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FB659">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shd w:val="clear" w:fill="FFFFFF"/>
        </w:rPr>
      </w:pPr>
    </w:p>
    <w:p w14:paraId="545A4BDE">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shd w:val="clear" w:fill="FFFFFF"/>
        </w:rPr>
      </w:pPr>
    </w:p>
    <w:p w14:paraId="3F0BDA60">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shd w:val="clear" w:fill="FFFFFF"/>
        </w:rPr>
      </w:pPr>
    </w:p>
    <w:p w14:paraId="4478859F">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shd w:val="clear" w:fill="FFFFFF"/>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shd w:val="clear" w:fill="FFFFFF"/>
        </w:rPr>
        <w:t>关于</w:t>
      </w:r>
      <w:r>
        <w:rPr>
          <w:rFonts w:hint="eastAsia" w:ascii="方正小标宋_GBK" w:hAnsi="方正小标宋_GBK" w:eastAsia="方正小标宋_GBK" w:cs="方正小标宋_GBK"/>
          <w:b w:val="0"/>
          <w:bCs w:val="0"/>
          <w:i w:val="0"/>
          <w:iCs w:val="0"/>
          <w:caps w:val="0"/>
          <w:color w:val="auto"/>
          <w:spacing w:val="0"/>
          <w:sz w:val="44"/>
          <w:szCs w:val="44"/>
          <w:shd w:val="clear" w:fill="FFFFFF"/>
          <w:lang w:eastAsia="zh-CN"/>
        </w:rPr>
        <w:t>印发</w:t>
      </w:r>
      <w:r>
        <w:rPr>
          <w:rFonts w:hint="eastAsia" w:ascii="方正小标宋_GBK" w:hAnsi="方正小标宋_GBK" w:eastAsia="方正小标宋_GBK" w:cs="方正小标宋_GBK"/>
          <w:b w:val="0"/>
          <w:bCs w:val="0"/>
          <w:i w:val="0"/>
          <w:iCs w:val="0"/>
          <w:caps w:val="0"/>
          <w:color w:val="auto"/>
          <w:spacing w:val="0"/>
          <w:sz w:val="44"/>
          <w:szCs w:val="44"/>
          <w:shd w:val="clear" w:fill="FFFFFF"/>
        </w:rPr>
        <w:t>《</w:t>
      </w:r>
      <w:r>
        <w:rPr>
          <w:rFonts w:hint="eastAsia" w:ascii="方正小标宋_GBK" w:hAnsi="方正小标宋_GBK" w:eastAsia="方正小标宋_GBK" w:cs="方正小标宋_GBK"/>
          <w:b w:val="0"/>
          <w:bCs w:val="0"/>
          <w:i w:val="0"/>
          <w:iCs w:val="0"/>
          <w:caps w:val="0"/>
          <w:color w:val="auto"/>
          <w:spacing w:val="0"/>
          <w:sz w:val="44"/>
          <w:szCs w:val="44"/>
          <w:shd w:val="clear" w:fill="FFFFFF"/>
          <w:lang w:eastAsia="zh-CN"/>
        </w:rPr>
        <w:t>连云港市</w:t>
      </w:r>
      <w:r>
        <w:rPr>
          <w:rFonts w:hint="eastAsia" w:ascii="方正小标宋_GBK" w:hAnsi="方正小标宋_GBK" w:eastAsia="方正小标宋_GBK" w:cs="方正小标宋_GBK"/>
          <w:b w:val="0"/>
          <w:bCs w:val="0"/>
          <w:i w:val="0"/>
          <w:iCs w:val="0"/>
          <w:caps w:val="0"/>
          <w:color w:val="auto"/>
          <w:spacing w:val="0"/>
          <w:sz w:val="44"/>
          <w:szCs w:val="44"/>
          <w:shd w:val="clear" w:fill="FFFFFF"/>
        </w:rPr>
        <w:t>住房和城乡建设系统行政处罚裁量基准</w:t>
      </w:r>
      <w:r>
        <w:rPr>
          <w:rFonts w:hint="eastAsia" w:ascii="方正小标宋_GBK" w:hAnsi="方正小标宋_GBK" w:eastAsia="方正小标宋_GBK" w:cs="方正小标宋_GBK"/>
          <w:b w:val="0"/>
          <w:bCs w:val="0"/>
          <w:i w:val="0"/>
          <w:iCs w:val="0"/>
          <w:caps w:val="0"/>
          <w:color w:val="auto"/>
          <w:spacing w:val="0"/>
          <w:sz w:val="44"/>
          <w:szCs w:val="44"/>
          <w:shd w:val="clear" w:fill="FFFFFF"/>
          <w:lang w:eastAsia="zh-CN"/>
        </w:rPr>
        <w:t>（</w:t>
      </w:r>
      <w:r>
        <w:rPr>
          <w:rFonts w:hint="eastAsia" w:ascii="方正小标宋_GBK" w:hAnsi="方正小标宋_GBK" w:eastAsia="方正小标宋_GBK" w:cs="方正小标宋_GBK"/>
          <w:b w:val="0"/>
          <w:bCs w:val="0"/>
          <w:i w:val="0"/>
          <w:iCs w:val="0"/>
          <w:caps w:val="0"/>
          <w:color w:val="auto"/>
          <w:spacing w:val="0"/>
          <w:sz w:val="44"/>
          <w:szCs w:val="44"/>
          <w:shd w:val="clear" w:fill="FFFFFF"/>
          <w:lang w:val="en-US" w:eastAsia="zh-CN"/>
        </w:rPr>
        <w:t>2026版</w:t>
      </w:r>
      <w:r>
        <w:rPr>
          <w:rFonts w:hint="eastAsia" w:ascii="方正小标宋_GBK" w:hAnsi="方正小标宋_GBK" w:eastAsia="方正小标宋_GBK" w:cs="方正小标宋_GBK"/>
          <w:b w:val="0"/>
          <w:bCs w:val="0"/>
          <w:i w:val="0"/>
          <w:iCs w:val="0"/>
          <w:caps w:val="0"/>
          <w:color w:val="auto"/>
          <w:spacing w:val="0"/>
          <w:sz w:val="44"/>
          <w:szCs w:val="44"/>
          <w:shd w:val="clear" w:fill="FFFFFF"/>
          <w:lang w:eastAsia="zh-CN"/>
        </w:rPr>
        <w:t>）》的通知</w:t>
      </w:r>
    </w:p>
    <w:p w14:paraId="3DF079AE">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420"/>
        <w:jc w:val="both"/>
        <w:textAlignment w:val="auto"/>
        <w:rPr>
          <w:rFonts w:hint="eastAsia" w:ascii="宋体" w:hAnsi="宋体" w:eastAsia="宋体" w:cs="宋体"/>
          <w:i w:val="0"/>
          <w:iCs w:val="0"/>
          <w:caps w:val="0"/>
          <w:color w:val="333333"/>
          <w:spacing w:val="0"/>
          <w:sz w:val="32"/>
          <w:szCs w:val="32"/>
          <w:shd w:val="clear" w:fill="FFFFFF"/>
        </w:rPr>
      </w:pPr>
    </w:p>
    <w:p w14:paraId="3213AE31">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640" w:firstLineChars="200"/>
        <w:jc w:val="both"/>
        <w:textAlignment w:val="auto"/>
        <w:rPr>
          <w:rFonts w:hint="eastAsia" w:ascii="方正仿宋_GBK" w:hAnsi="方正仿宋_GBK" w:eastAsia="方正仿宋_GBK" w:cs="方正仿宋_GBK"/>
          <w:i w:val="0"/>
          <w:iCs w:val="0"/>
          <w:caps w:val="0"/>
          <w:color w:val="333333"/>
          <w:spacing w:val="0"/>
          <w:sz w:val="32"/>
          <w:szCs w:val="32"/>
          <w:shd w:val="clear" w:fill="FFFFFF"/>
          <w:lang w:eastAsia="zh-CN"/>
        </w:rPr>
      </w:pPr>
      <w:r>
        <w:rPr>
          <w:rFonts w:hint="eastAsia" w:ascii="方正仿宋_GBK" w:hAnsi="方正仿宋_GBK" w:eastAsia="方正仿宋_GBK" w:cs="方正仿宋_GBK"/>
          <w:i w:val="0"/>
          <w:iCs w:val="0"/>
          <w:caps w:val="0"/>
          <w:color w:val="333333"/>
          <w:spacing w:val="0"/>
          <w:sz w:val="32"/>
          <w:szCs w:val="32"/>
          <w:shd w:val="clear" w:fill="FFFFFF"/>
          <w:lang w:eastAsia="zh-CN"/>
        </w:rPr>
        <w:t>各县（区）、功能板块住建局（规建局）、局机关各科室、直属事业单位：</w:t>
      </w:r>
    </w:p>
    <w:p w14:paraId="6F0BDF34">
      <w:pPr>
        <w:tabs>
          <w:tab w:val="left" w:pos="9193"/>
          <w:tab w:val="left" w:pos="9827"/>
        </w:tabs>
        <w:autoSpaceDE w:val="0"/>
        <w:autoSpaceDN w:val="0"/>
        <w:snapToGrid w:val="0"/>
        <w:spacing w:line="570" w:lineRule="exact"/>
        <w:ind w:firstLine="640" w:firstLineChars="200"/>
        <w:rPr>
          <w:rFonts w:ascii="仿宋_GB2312" w:eastAsia="仿宋_GB2312"/>
          <w:snapToGrid w:val="0"/>
          <w:kern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为进一步规范全</w:t>
      </w:r>
      <w:r>
        <w:rPr>
          <w:rFonts w:hint="eastAsia" w:ascii="方正仿宋_GBK" w:hAnsi="方正仿宋_GBK" w:eastAsia="方正仿宋_GBK" w:cs="方正仿宋_GBK"/>
          <w:i w:val="0"/>
          <w:iCs w:val="0"/>
          <w:caps w:val="0"/>
          <w:color w:val="333333"/>
          <w:spacing w:val="0"/>
          <w:sz w:val="32"/>
          <w:szCs w:val="32"/>
          <w:shd w:val="clear" w:fill="FFFFFF"/>
          <w:lang w:eastAsia="zh-CN"/>
        </w:rPr>
        <w:t>市</w:t>
      </w:r>
      <w:r>
        <w:rPr>
          <w:rFonts w:hint="eastAsia" w:ascii="方正仿宋_GBK" w:hAnsi="方正仿宋_GBK" w:eastAsia="方正仿宋_GBK" w:cs="方正仿宋_GBK"/>
          <w:i w:val="0"/>
          <w:iCs w:val="0"/>
          <w:caps w:val="0"/>
          <w:color w:val="333333"/>
          <w:spacing w:val="0"/>
          <w:sz w:val="32"/>
          <w:szCs w:val="32"/>
          <w:shd w:val="clear" w:fill="FFFFFF"/>
        </w:rPr>
        <w:t>住房和城乡建设系统行政处罚行为，公平、公正、合理地实施行政处罚自由裁量，保障行政处罚相对人的合法权益，我</w:t>
      </w:r>
      <w:r>
        <w:rPr>
          <w:rFonts w:hint="eastAsia" w:ascii="方正仿宋_GBK" w:hAnsi="方正仿宋_GBK" w:eastAsia="方正仿宋_GBK" w:cs="方正仿宋_GBK"/>
          <w:i w:val="0"/>
          <w:iCs w:val="0"/>
          <w:caps w:val="0"/>
          <w:color w:val="333333"/>
          <w:spacing w:val="0"/>
          <w:sz w:val="32"/>
          <w:szCs w:val="32"/>
          <w:shd w:val="clear" w:fill="FFFFFF"/>
          <w:lang w:eastAsia="zh-CN"/>
        </w:rPr>
        <w:t>局</w:t>
      </w:r>
      <w:r>
        <w:rPr>
          <w:rFonts w:hint="eastAsia" w:ascii="方正仿宋_GBK" w:hAnsi="方正仿宋_GBK" w:eastAsia="方正仿宋_GBK" w:cs="方正仿宋_GBK"/>
          <w:i w:val="0"/>
          <w:iCs w:val="0"/>
          <w:caps w:val="0"/>
          <w:color w:val="333333"/>
          <w:spacing w:val="0"/>
          <w:sz w:val="32"/>
          <w:szCs w:val="32"/>
          <w:shd w:val="clear" w:fill="FFFFFF"/>
        </w:rPr>
        <w:t>依据《中华人民共和国行政处罚法》《中华人民共和国建筑法》等法律法规，结合《江苏省住房和城乡建设系统行政处罚裁量基准编制和适用规则》（2023版）</w:t>
      </w:r>
      <w:r>
        <w:rPr>
          <w:rFonts w:hint="eastAsia" w:ascii="方正仿宋_GBK" w:hAnsi="方正仿宋_GBK" w:eastAsia="方正仿宋_GBK" w:cs="方正仿宋_GBK"/>
          <w:i w:val="0"/>
          <w:iCs w:val="0"/>
          <w:caps w:val="0"/>
          <w:color w:val="333333"/>
          <w:spacing w:val="0"/>
          <w:sz w:val="32"/>
          <w:szCs w:val="32"/>
          <w:shd w:val="clear" w:fill="FFFFFF"/>
          <w:lang w:eastAsia="zh-CN"/>
        </w:rPr>
        <w:t>、</w:t>
      </w:r>
      <w:r>
        <w:rPr>
          <w:rFonts w:hint="eastAsia" w:ascii="方正仿宋_GBK" w:hAnsi="方正仿宋_GBK" w:eastAsia="方正仿宋_GBK" w:cs="方正仿宋_GBK"/>
          <w:i w:val="0"/>
          <w:iCs w:val="0"/>
          <w:caps w:val="0"/>
          <w:color w:val="333333"/>
          <w:spacing w:val="0"/>
          <w:sz w:val="32"/>
          <w:szCs w:val="32"/>
          <w:shd w:val="clear" w:fill="FFFFFF"/>
        </w:rPr>
        <w:t>《江苏省人民防空系统行政处罚裁量基准》（2024版）</w:t>
      </w:r>
      <w:r>
        <w:rPr>
          <w:rFonts w:hint="eastAsia" w:ascii="方正仿宋_GBK" w:hAnsi="方正仿宋_GBK" w:eastAsia="方正仿宋_GBK" w:cs="方正仿宋_GBK"/>
          <w:i w:val="0"/>
          <w:iCs w:val="0"/>
          <w:caps w:val="0"/>
          <w:color w:val="333333"/>
          <w:spacing w:val="0"/>
          <w:sz w:val="32"/>
          <w:szCs w:val="32"/>
          <w:shd w:val="clear" w:fill="FFFFFF"/>
          <w:lang w:eastAsia="zh-CN"/>
        </w:rPr>
        <w:t>，</w:t>
      </w:r>
      <w:r>
        <w:rPr>
          <w:rFonts w:hint="eastAsia" w:ascii="方正仿宋_GBK" w:hAnsi="方正仿宋_GBK" w:eastAsia="方正仿宋_GBK" w:cs="方正仿宋_GBK"/>
          <w:i w:val="0"/>
          <w:iCs w:val="0"/>
          <w:caps w:val="0"/>
          <w:color w:val="333333"/>
          <w:spacing w:val="0"/>
          <w:sz w:val="32"/>
          <w:szCs w:val="32"/>
          <w:shd w:val="clear" w:fill="FFFFFF"/>
          <w:lang w:val="en-US" w:eastAsia="zh-CN"/>
        </w:rPr>
        <w:t>形成了《连云港市住建系统行政处罚裁量基准（2026版）》。现予以印发，</w:t>
      </w:r>
      <w:r>
        <w:rPr>
          <w:rFonts w:hint="eastAsia" w:ascii="仿宋_GB2312" w:eastAsia="仿宋_GB2312"/>
          <w:snapToGrid w:val="0"/>
          <w:kern w:val="0"/>
          <w:sz w:val="32"/>
          <w:szCs w:val="32"/>
        </w:rPr>
        <w:t>请全市住房和城乡建设系统各级执法部门作为重要的行政执法指导性规范，在行政处罚中予以应用。</w:t>
      </w:r>
    </w:p>
    <w:p w14:paraId="44A710A0">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640" w:firstLineChars="200"/>
        <w:jc w:val="both"/>
        <w:textAlignment w:val="auto"/>
        <w:rPr>
          <w:rFonts w:hint="eastAsia" w:ascii="方正仿宋_GBK" w:hAnsi="方正仿宋_GBK" w:eastAsia="方正仿宋_GBK" w:cs="方正仿宋_GBK"/>
          <w:i w:val="0"/>
          <w:iCs w:val="0"/>
          <w:caps w:val="0"/>
          <w:color w:val="333333"/>
          <w:spacing w:val="0"/>
          <w:sz w:val="32"/>
          <w:szCs w:val="32"/>
          <w:shd w:val="clear" w:fill="FFFFFF"/>
          <w:lang w:eastAsia="zh-CN"/>
        </w:rPr>
      </w:pPr>
      <w:r>
        <w:rPr>
          <w:rFonts w:hint="eastAsia" w:ascii="方正仿宋_GBK" w:hAnsi="方正仿宋_GBK" w:eastAsia="方正仿宋_GBK" w:cs="方正仿宋_GBK"/>
          <w:i w:val="0"/>
          <w:iCs w:val="0"/>
          <w:caps w:val="0"/>
          <w:color w:val="333333"/>
          <w:spacing w:val="0"/>
          <w:sz w:val="32"/>
          <w:szCs w:val="32"/>
          <w:shd w:val="clear" w:fill="FFFFFF"/>
          <w:lang w:val="en-US" w:eastAsia="zh-CN"/>
        </w:rPr>
        <w:t>附件：《连云港市住房和城乡建设系统行政处罚裁量基准（2026版）》</w:t>
      </w:r>
    </w:p>
    <w:p w14:paraId="58C647B0">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640" w:firstLineChars="200"/>
        <w:jc w:val="both"/>
        <w:textAlignment w:val="auto"/>
        <w:rPr>
          <w:rFonts w:hint="eastAsia" w:ascii="方正仿宋_GBK" w:hAnsi="方正仿宋_GBK" w:eastAsia="方正仿宋_GBK" w:cs="方正仿宋_GBK"/>
          <w:i w:val="0"/>
          <w:iCs w:val="0"/>
          <w:caps w:val="0"/>
          <w:color w:val="333333"/>
          <w:spacing w:val="0"/>
          <w:sz w:val="32"/>
          <w:szCs w:val="32"/>
          <w:shd w:val="clear" w:fill="FFFFFF"/>
          <w:lang w:val="en-US" w:eastAsia="zh-CN"/>
        </w:rPr>
      </w:pPr>
    </w:p>
    <w:p w14:paraId="2624D568">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3840" w:firstLineChars="1200"/>
        <w:jc w:val="both"/>
        <w:textAlignment w:val="auto"/>
        <w:rPr>
          <w:rFonts w:hint="eastAsia" w:ascii="方正仿宋_GBK" w:hAnsi="方正仿宋_GBK" w:eastAsia="方正仿宋_GBK" w:cs="方正仿宋_GBK"/>
          <w:i w:val="0"/>
          <w:iCs w:val="0"/>
          <w:caps w:val="0"/>
          <w:color w:val="333333"/>
          <w:spacing w:val="0"/>
          <w:sz w:val="32"/>
          <w:szCs w:val="32"/>
          <w:shd w:val="clear" w:fill="FFFFFF"/>
          <w:lang w:val="en-US" w:eastAsia="zh-CN"/>
        </w:rPr>
      </w:pPr>
      <w:r>
        <w:rPr>
          <w:rFonts w:hint="eastAsia" w:ascii="方正仿宋_GBK" w:hAnsi="方正仿宋_GBK" w:eastAsia="方正仿宋_GBK" w:cs="方正仿宋_GBK"/>
          <w:i w:val="0"/>
          <w:iCs w:val="0"/>
          <w:caps w:val="0"/>
          <w:color w:val="333333"/>
          <w:spacing w:val="0"/>
          <w:sz w:val="32"/>
          <w:szCs w:val="32"/>
          <w:shd w:val="clear" w:fill="FFFFFF"/>
          <w:lang w:val="en-US" w:eastAsia="zh-CN"/>
        </w:rPr>
        <w:t>连云港市住房和城乡建设局</w:t>
      </w:r>
    </w:p>
    <w:p w14:paraId="2D5BCB4C">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4800" w:firstLineChars="1500"/>
        <w:jc w:val="both"/>
        <w:textAlignment w:val="auto"/>
        <w:rPr>
          <w:rFonts w:hint="default" w:ascii="方正仿宋_GBK" w:hAnsi="方正仿宋_GBK" w:eastAsia="方正仿宋_GBK" w:cs="方正仿宋_GBK"/>
          <w:i w:val="0"/>
          <w:iCs w:val="0"/>
          <w:caps w:val="0"/>
          <w:color w:val="333333"/>
          <w:spacing w:val="0"/>
          <w:sz w:val="32"/>
          <w:szCs w:val="32"/>
          <w:shd w:val="clear" w:fill="FFFFFF"/>
          <w:lang w:val="en-US" w:eastAsia="zh-CN"/>
        </w:rPr>
      </w:pPr>
      <w:r>
        <w:rPr>
          <w:rFonts w:hint="eastAsia" w:ascii="方正仿宋_GBK" w:hAnsi="方正仿宋_GBK" w:eastAsia="方正仿宋_GBK" w:cs="方正仿宋_GBK"/>
          <w:i w:val="0"/>
          <w:iCs w:val="0"/>
          <w:caps w:val="0"/>
          <w:color w:val="333333"/>
          <w:spacing w:val="0"/>
          <w:sz w:val="32"/>
          <w:szCs w:val="32"/>
          <w:shd w:val="clear" w:fill="FFFFFF"/>
          <w:lang w:val="en-US" w:eastAsia="zh-CN"/>
        </w:rPr>
        <w:t>2026年9月1日</w:t>
      </w:r>
    </w:p>
    <w:p w14:paraId="6A0FDCFD">
      <w:pPr>
        <w:ind w:firstLine="640" w:firstLineChars="200"/>
        <w:rPr>
          <w:rFonts w:hint="eastAsia" w:ascii="Times New Roman" w:eastAsia="方正仿宋_GBK"/>
          <w:snapToGrid w:val="0"/>
          <w:kern w:val="0"/>
          <w:sz w:val="32"/>
        </w:rPr>
      </w:pPr>
    </w:p>
    <w:p w14:paraId="597FE1DE">
      <w:pPr>
        <w:ind w:firstLine="640" w:firstLineChars="200"/>
        <w:rPr>
          <w:rFonts w:ascii="Times New Roman" w:eastAsia="方正仿宋_GBK"/>
          <w:snapToGrid w:val="0"/>
          <w:kern w:val="0"/>
          <w:sz w:val="32"/>
        </w:rPr>
      </w:pPr>
      <w:r>
        <w:rPr>
          <w:rFonts w:hint="eastAsia" w:ascii="Times New Roman" w:eastAsia="方正仿宋_GBK"/>
          <w:snapToGrid w:val="0"/>
          <w:kern w:val="0"/>
          <w:sz w:val="32"/>
        </w:rPr>
        <w:t>（此件公开发布）</w:t>
      </w:r>
    </w:p>
    <w:p w14:paraId="65252B99">
      <w:pPr>
        <w:keepNext w:val="0"/>
        <w:keepLines w:val="0"/>
        <w:pageBreakBefore w:val="0"/>
        <w:widowControl w:val="0"/>
        <w:kinsoku/>
        <w:wordWrap w:val="0"/>
        <w:overflowPunct/>
        <w:topLinePunct w:val="0"/>
        <w:autoSpaceDE w:val="0"/>
        <w:autoSpaceDN w:val="0"/>
        <w:bidi w:val="0"/>
        <w:adjustRightInd/>
        <w:snapToGrid/>
        <w:spacing w:before="0" w:after="0" w:line="560" w:lineRule="exact"/>
        <w:ind w:firstLine="640" w:firstLineChars="200"/>
        <w:jc w:val="both"/>
        <w:textAlignment w:val="auto"/>
        <w:rPr>
          <w:rFonts w:hint="default" w:ascii="方正仿宋_GBK" w:hAnsi="方正仿宋_GBK" w:eastAsia="方正仿宋_GBK" w:cs="方正仿宋_GBK"/>
          <w:i w:val="0"/>
          <w:iCs w:val="0"/>
          <w:caps w:val="0"/>
          <w:color w:val="333333"/>
          <w:spacing w:val="0"/>
          <w:sz w:val="32"/>
          <w:szCs w:val="32"/>
          <w:shd w:val="clear" w:fill="FFFFFF"/>
          <w:lang w:val="en-US" w:eastAsia="zh-CN"/>
        </w:rPr>
        <w:sectPr>
          <w:pgSz w:w="11906" w:h="16838"/>
          <w:pgMar w:top="1440" w:right="1800" w:bottom="1440" w:left="1800" w:header="851" w:footer="992" w:gutter="0"/>
          <w:cols w:space="425" w:num="1"/>
          <w:docGrid w:type="lines" w:linePitch="435" w:charSpace="0"/>
        </w:sectPr>
      </w:pPr>
    </w:p>
    <w:p w14:paraId="72834258">
      <w:pPr>
        <w:spacing w:line="570" w:lineRule="exact"/>
        <w:jc w:val="center"/>
        <w:rPr>
          <w:rFonts w:ascii="方正小标宋_GBK" w:eastAsia="方正小标宋_GBK"/>
          <w:bCs/>
          <w:color w:val="000000"/>
          <w:kern w:val="0"/>
          <w:sz w:val="44"/>
          <w:szCs w:val="44"/>
        </w:rPr>
      </w:pPr>
      <w:r>
        <w:rPr>
          <w:rFonts w:hint="eastAsia" w:ascii="方正小标宋_GBK" w:eastAsia="方正小标宋_GBK"/>
          <w:bCs/>
          <w:color w:val="000000"/>
          <w:kern w:val="0"/>
          <w:sz w:val="44"/>
          <w:szCs w:val="44"/>
          <w:lang w:eastAsia="zh-CN"/>
        </w:rPr>
        <w:t>连云港市</w:t>
      </w:r>
      <w:r>
        <w:rPr>
          <w:rFonts w:hint="eastAsia" w:ascii="方正小标宋_GBK" w:eastAsia="方正小标宋_GBK"/>
          <w:bCs/>
          <w:color w:val="000000"/>
          <w:kern w:val="0"/>
          <w:sz w:val="44"/>
          <w:szCs w:val="44"/>
        </w:rPr>
        <w:t>住房和城乡建设系统行政处罚裁量基准（202</w:t>
      </w:r>
      <w:r>
        <w:rPr>
          <w:rFonts w:hint="eastAsia" w:ascii="方正小标宋_GBK" w:eastAsia="方正小标宋_GBK"/>
          <w:bCs/>
          <w:color w:val="000000"/>
          <w:kern w:val="0"/>
          <w:sz w:val="44"/>
          <w:szCs w:val="44"/>
          <w:lang w:val="en-US" w:eastAsia="zh-CN"/>
        </w:rPr>
        <w:t>6</w:t>
      </w:r>
      <w:r>
        <w:rPr>
          <w:rFonts w:hint="eastAsia" w:ascii="方正小标宋_GBK" w:eastAsia="方正小标宋_GBK"/>
          <w:bCs/>
          <w:color w:val="000000"/>
          <w:kern w:val="0"/>
          <w:sz w:val="44"/>
          <w:szCs w:val="44"/>
        </w:rPr>
        <w:t>版）</w:t>
      </w:r>
    </w:p>
    <w:p w14:paraId="0CF35780">
      <w:pPr>
        <w:spacing w:line="570" w:lineRule="exact"/>
        <w:jc w:val="center"/>
        <w:rPr>
          <w:b/>
          <w:bCs/>
          <w:color w:val="000000"/>
          <w:kern w:val="0"/>
          <w:sz w:val="36"/>
          <w:szCs w:val="36"/>
        </w:rPr>
      </w:pPr>
      <w:r>
        <w:rPr>
          <w:rFonts w:hint="eastAsia"/>
          <w:b/>
          <w:bCs/>
          <w:color w:val="000000"/>
          <w:kern w:val="0"/>
          <w:sz w:val="36"/>
          <w:szCs w:val="36"/>
        </w:rPr>
        <w:t xml:space="preserve"> </w:t>
      </w:r>
    </w:p>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15B223FF">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BE47769">
            <w:pPr>
              <w:spacing w:line="320" w:lineRule="exact"/>
              <w:jc w:val="left"/>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6AFD532D">
            <w:pPr>
              <w:spacing w:line="280" w:lineRule="exact"/>
              <w:jc w:val="left"/>
              <w:rPr>
                <w:color w:val="000000"/>
                <w:kern w:val="0"/>
                <w:sz w:val="18"/>
                <w:szCs w:val="18"/>
              </w:rPr>
            </w:pPr>
            <w:r>
              <w:rPr>
                <w:rFonts w:eastAsia="仿宋_GB2312"/>
                <w:b/>
                <w:bCs/>
                <w:color w:val="000000"/>
                <w:kern w:val="0"/>
                <w:sz w:val="18"/>
                <w:szCs w:val="18"/>
              </w:rPr>
              <w:t>320217001000</w:t>
            </w:r>
            <w:r>
              <w:rPr>
                <w:rFonts w:hint="eastAsia" w:eastAsia="仿宋_GB2312"/>
                <w:b/>
                <w:bCs/>
                <w:color w:val="000000"/>
                <w:kern w:val="0"/>
                <w:sz w:val="18"/>
                <w:szCs w:val="18"/>
              </w:rPr>
              <w:t xml:space="preserve"> </w:t>
            </w:r>
          </w:p>
        </w:tc>
      </w:tr>
      <w:tr w14:paraId="339BF66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36D3B83">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19E0F395">
            <w:pPr>
              <w:spacing w:line="320" w:lineRule="exact"/>
              <w:jc w:val="left"/>
              <w:rPr>
                <w:color w:val="000000"/>
                <w:kern w:val="0"/>
                <w:sz w:val="18"/>
                <w:szCs w:val="18"/>
              </w:rPr>
            </w:pPr>
            <w:r>
              <w:rPr>
                <w:rFonts w:hint="eastAsia"/>
                <w:color w:val="000000"/>
                <w:kern w:val="0"/>
                <w:sz w:val="18"/>
                <w:szCs w:val="18"/>
              </w:rPr>
              <w:t>对聘用单位为注册建筑师申请人提供虚假注册材料的处罚</w:t>
            </w:r>
          </w:p>
        </w:tc>
      </w:tr>
      <w:tr w14:paraId="3F59DD1A">
        <w:tblPrEx>
          <w:tblCellMar>
            <w:top w:w="0" w:type="dxa"/>
            <w:left w:w="108" w:type="dxa"/>
            <w:bottom w:w="0" w:type="dxa"/>
            <w:right w:w="108" w:type="dxa"/>
          </w:tblCellMar>
        </w:tblPrEx>
        <w:trPr>
          <w:trHeight w:val="780" w:hRule="atLeast"/>
        </w:trPr>
        <w:tc>
          <w:tcPr>
            <w:tcW w:w="1056" w:type="dxa"/>
            <w:tcBorders>
              <w:top w:val="nil"/>
              <w:left w:val="single" w:color="auto" w:sz="8" w:space="0"/>
              <w:bottom w:val="single" w:color="auto" w:sz="4" w:space="0"/>
              <w:right w:val="single" w:color="auto" w:sz="4" w:space="0"/>
            </w:tcBorders>
            <w:vAlign w:val="center"/>
          </w:tcPr>
          <w:p w14:paraId="07FF1247">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632F7D5A">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聘用单位为申请人提供虚假注册材料的，由县级以上人民政府建设主管部门给予警告，责令限期改正；逾期未改正的，可处以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7FB1805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7343173">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3E725293">
            <w:pPr>
              <w:spacing w:line="320" w:lineRule="exact"/>
              <w:jc w:val="left"/>
              <w:rPr>
                <w:color w:val="000000"/>
                <w:kern w:val="0"/>
                <w:sz w:val="18"/>
                <w:szCs w:val="18"/>
              </w:rPr>
            </w:pPr>
            <w:r>
              <w:rPr>
                <w:rFonts w:hint="eastAsia"/>
                <w:color w:val="000000"/>
                <w:kern w:val="0"/>
                <w:sz w:val="18"/>
                <w:szCs w:val="18"/>
              </w:rPr>
              <w:t>警告，责令限期整改，罚款</w:t>
            </w:r>
            <w:r>
              <w:rPr>
                <w:color w:val="000000"/>
                <w:kern w:val="0"/>
                <w:sz w:val="18"/>
                <w:szCs w:val="18"/>
              </w:rPr>
              <w:t xml:space="preserve"> </w:t>
            </w:r>
          </w:p>
        </w:tc>
      </w:tr>
      <w:tr w14:paraId="1E82FF93">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3FFF9E89">
            <w:pPr>
              <w:spacing w:line="320" w:lineRule="exact"/>
              <w:jc w:val="center"/>
              <w:rPr>
                <w:color w:val="000000"/>
                <w:kern w:val="0"/>
                <w:sz w:val="18"/>
                <w:szCs w:val="18"/>
              </w:rPr>
            </w:pPr>
            <w:r>
              <w:rPr>
                <w:rFonts w:hint="eastAsia"/>
                <w:color w:val="000000"/>
                <w:kern w:val="0"/>
                <w:sz w:val="18"/>
                <w:szCs w:val="18"/>
              </w:rPr>
              <w:t>裁量基准</w:t>
            </w:r>
          </w:p>
        </w:tc>
      </w:tr>
      <w:tr w14:paraId="78F0B2A9">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05DDAD9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304D081">
            <w:pPr>
              <w:spacing w:line="320" w:lineRule="exact"/>
              <w:jc w:val="left"/>
              <w:rPr>
                <w:color w:val="000000"/>
                <w:kern w:val="0"/>
                <w:sz w:val="18"/>
                <w:szCs w:val="18"/>
              </w:rPr>
            </w:pPr>
            <w:r>
              <w:rPr>
                <w:rFonts w:hint="eastAsia"/>
                <w:color w:val="000000"/>
                <w:kern w:val="0"/>
                <w:sz w:val="18"/>
                <w:szCs w:val="18"/>
              </w:rPr>
              <w:t>提供虚假注册材料，但尚未注册成功的</w:t>
            </w:r>
          </w:p>
        </w:tc>
        <w:tc>
          <w:tcPr>
            <w:tcW w:w="1044" w:type="dxa"/>
            <w:vMerge w:val="restart"/>
            <w:tcBorders>
              <w:top w:val="nil"/>
              <w:left w:val="single" w:color="auto" w:sz="4" w:space="0"/>
              <w:bottom w:val="single" w:color="auto" w:sz="4" w:space="0"/>
              <w:right w:val="single" w:color="auto" w:sz="4" w:space="0"/>
            </w:tcBorders>
            <w:vAlign w:val="center"/>
          </w:tcPr>
          <w:p w14:paraId="2A3C531A">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6CD73231">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65088DF5">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F45E30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398D839">
            <w:pPr>
              <w:spacing w:line="320" w:lineRule="exact"/>
              <w:jc w:val="left"/>
              <w:rPr>
                <w:color w:val="000000"/>
                <w:kern w:val="0"/>
                <w:sz w:val="18"/>
                <w:szCs w:val="18"/>
              </w:rPr>
            </w:pPr>
            <w:r>
              <w:rPr>
                <w:rFonts w:hint="eastAsia"/>
                <w:color w:val="000000"/>
                <w:kern w:val="0"/>
                <w:sz w:val="18"/>
                <w:szCs w:val="18"/>
              </w:rPr>
              <w:t>提供虚假证明材料且已注册成功的</w:t>
            </w:r>
          </w:p>
        </w:tc>
        <w:tc>
          <w:tcPr>
            <w:tcW w:w="1044" w:type="dxa"/>
            <w:vMerge w:val="continue"/>
            <w:tcBorders>
              <w:top w:val="nil"/>
              <w:left w:val="single" w:color="auto" w:sz="4" w:space="0"/>
              <w:bottom w:val="single" w:color="auto" w:sz="4" w:space="0"/>
              <w:right w:val="single" w:color="auto" w:sz="4" w:space="0"/>
            </w:tcBorders>
            <w:vAlign w:val="center"/>
          </w:tcPr>
          <w:p w14:paraId="78B22E1D">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6961CDB">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5C1D0FE7"/>
    <w:p w14:paraId="7F14C7F8"/>
    <w:p w14:paraId="40536E8F"/>
    <w:p w14:paraId="437AC00D"/>
    <w:p w14:paraId="640CED1C"/>
    <w:p w14:paraId="6AE98F80"/>
    <w:p w14:paraId="4A4F3BE3"/>
    <w:p w14:paraId="0EF0804E"/>
    <w:p w14:paraId="697A18A5"/>
    <w:tbl>
      <w:tblPr>
        <w:tblStyle w:val="15"/>
        <w:tblW w:w="0" w:type="auto"/>
        <w:tblInd w:w="88" w:type="dxa"/>
        <w:tblLayout w:type="fixed"/>
        <w:tblCellMar>
          <w:top w:w="0" w:type="dxa"/>
          <w:left w:w="108" w:type="dxa"/>
          <w:bottom w:w="0" w:type="dxa"/>
          <w:right w:w="108" w:type="dxa"/>
        </w:tblCellMar>
      </w:tblPr>
      <w:tblGrid>
        <w:gridCol w:w="1056"/>
        <w:gridCol w:w="3070"/>
        <w:gridCol w:w="3070"/>
        <w:gridCol w:w="1060"/>
        <w:gridCol w:w="5760"/>
      </w:tblGrid>
      <w:tr w14:paraId="115F7A10">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93BDDCE">
            <w:pPr>
              <w:spacing w:line="28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color="auto" w:sz="8" w:space="0"/>
              <w:left w:val="nil"/>
              <w:bottom w:val="single" w:color="auto" w:sz="4" w:space="0"/>
              <w:right w:val="single" w:color="000000" w:sz="8" w:space="0"/>
            </w:tcBorders>
            <w:vAlign w:val="center"/>
          </w:tcPr>
          <w:p w14:paraId="7B4A07E4">
            <w:pPr>
              <w:spacing w:line="280" w:lineRule="exact"/>
              <w:jc w:val="left"/>
              <w:rPr>
                <w:rFonts w:eastAsia="仿宋_GB2312"/>
                <w:b/>
                <w:bCs/>
                <w:color w:val="000000"/>
                <w:kern w:val="0"/>
                <w:sz w:val="18"/>
                <w:szCs w:val="18"/>
              </w:rPr>
            </w:pPr>
            <w:r>
              <w:rPr>
                <w:rFonts w:eastAsia="仿宋_GB2312"/>
                <w:b/>
                <w:bCs/>
                <w:color w:val="000000"/>
                <w:kern w:val="0"/>
                <w:sz w:val="18"/>
                <w:szCs w:val="18"/>
              </w:rPr>
              <w:t>320217002000</w:t>
            </w:r>
          </w:p>
        </w:tc>
      </w:tr>
      <w:tr w14:paraId="56AA531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97796E2">
            <w:pPr>
              <w:spacing w:line="28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color="auto" w:sz="4" w:space="0"/>
              <w:left w:val="nil"/>
              <w:bottom w:val="single" w:color="auto" w:sz="4" w:space="0"/>
              <w:right w:val="single" w:color="000000" w:sz="8" w:space="0"/>
            </w:tcBorders>
            <w:vAlign w:val="center"/>
          </w:tcPr>
          <w:p w14:paraId="54A1FBA7">
            <w:pPr>
              <w:spacing w:line="280" w:lineRule="exact"/>
              <w:jc w:val="left"/>
              <w:rPr>
                <w:color w:val="000000"/>
                <w:kern w:val="0"/>
                <w:sz w:val="18"/>
                <w:szCs w:val="18"/>
              </w:rPr>
            </w:pPr>
            <w:r>
              <w:rPr>
                <w:rFonts w:hint="eastAsia"/>
                <w:color w:val="000000"/>
                <w:kern w:val="0"/>
                <w:sz w:val="18"/>
                <w:szCs w:val="18"/>
              </w:rPr>
              <w:t>对建设单位将未出售或者未附赠的车位、车库不优先出租给本区域内业主，或者将多余车位、车库出租给本物业管理区域外使用人的租赁期限超过六个月的处罚</w:t>
            </w:r>
          </w:p>
        </w:tc>
      </w:tr>
      <w:tr w14:paraId="337170AC">
        <w:tblPrEx>
          <w:tblCellMar>
            <w:top w:w="0" w:type="dxa"/>
            <w:left w:w="108" w:type="dxa"/>
            <w:bottom w:w="0" w:type="dxa"/>
            <w:right w:w="108" w:type="dxa"/>
          </w:tblCellMar>
        </w:tblPrEx>
        <w:trPr>
          <w:trHeight w:val="1335" w:hRule="atLeast"/>
        </w:trPr>
        <w:tc>
          <w:tcPr>
            <w:tcW w:w="1056" w:type="dxa"/>
            <w:tcBorders>
              <w:top w:val="nil"/>
              <w:left w:val="single" w:color="auto" w:sz="8" w:space="0"/>
              <w:bottom w:val="single" w:color="auto" w:sz="4" w:space="0"/>
              <w:right w:val="single" w:color="auto" w:sz="4" w:space="0"/>
            </w:tcBorders>
            <w:vAlign w:val="center"/>
          </w:tcPr>
          <w:p w14:paraId="7869F2C1">
            <w:pPr>
              <w:spacing w:line="28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color="auto" w:sz="4" w:space="0"/>
              <w:left w:val="nil"/>
              <w:bottom w:val="single" w:color="auto" w:sz="4" w:space="0"/>
              <w:right w:val="single" w:color="000000" w:sz="8" w:space="0"/>
            </w:tcBorders>
            <w:vAlign w:val="center"/>
          </w:tcPr>
          <w:p w14:paraId="54728FD3">
            <w:pPr>
              <w:spacing w:line="280" w:lineRule="exact"/>
              <w:jc w:val="left"/>
              <w:rPr>
                <w:color w:val="000000"/>
                <w:kern w:val="0"/>
                <w:sz w:val="18"/>
                <w:szCs w:val="18"/>
              </w:rPr>
            </w:pPr>
            <w:r>
              <w:rPr>
                <w:rFonts w:hint="eastAsia"/>
                <w:color w:val="000000"/>
                <w:kern w:val="0"/>
                <w:sz w:val="18"/>
                <w:szCs w:val="18"/>
              </w:rPr>
              <w:t>【地方性法规】《江苏省物业管理条例》</w:t>
            </w:r>
          </w:p>
          <w:p w14:paraId="7E0D2EC7">
            <w:pPr>
              <w:spacing w:line="280" w:lineRule="exact"/>
              <w:jc w:val="left"/>
              <w:rPr>
                <w:color w:val="000000"/>
                <w:kern w:val="0"/>
                <w:sz w:val="18"/>
                <w:szCs w:val="18"/>
              </w:rPr>
            </w:pPr>
            <w:r>
              <w:rPr>
                <w:rFonts w:hint="eastAsia"/>
                <w:color w:val="000000"/>
                <w:kern w:val="0"/>
                <w:sz w:val="18"/>
                <w:szCs w:val="18"/>
              </w:rPr>
              <w:t xml:space="preserve">        第六十三条 物业管理区域内规划用于停放汽车的车位、车库，建设单位应当首先满足本区域内业主的停车需要，其归属由当事人通过出售、附赠或者出租等方式约定。</w:t>
            </w:r>
          </w:p>
          <w:p w14:paraId="60786F80">
            <w:pPr>
              <w:spacing w:line="280" w:lineRule="exact"/>
              <w:jc w:val="left"/>
              <w:rPr>
                <w:color w:val="000000"/>
                <w:kern w:val="0"/>
                <w:sz w:val="18"/>
                <w:szCs w:val="18"/>
              </w:rPr>
            </w:pPr>
            <w:r>
              <w:rPr>
                <w:rFonts w:hint="eastAsia"/>
                <w:color w:val="000000"/>
                <w:kern w:val="0"/>
                <w:sz w:val="18"/>
                <w:szCs w:val="18"/>
              </w:rPr>
              <w:t xml:space="preserve">        建设单位办理商品房房屋预销售登记后出售或者附赠的车位、车库，应当明示并在物业管理区域内显著位置公示拟出售车位、车库的产权证明文件和出售价格。拟出售车位、车库数量少于本区域要求购买车位、车库业主的房屋套数时，应当通过抽签等公平方式确定，每户业主只能购买一个车位或者车库。</w:t>
            </w:r>
          </w:p>
          <w:p w14:paraId="5E6D1052">
            <w:pPr>
              <w:spacing w:line="280" w:lineRule="exact"/>
              <w:jc w:val="left"/>
              <w:rPr>
                <w:color w:val="000000"/>
                <w:kern w:val="0"/>
                <w:sz w:val="18"/>
                <w:szCs w:val="18"/>
              </w:rPr>
            </w:pPr>
            <w:r>
              <w:rPr>
                <w:rFonts w:hint="eastAsia"/>
                <w:color w:val="000000"/>
                <w:kern w:val="0"/>
                <w:sz w:val="18"/>
                <w:szCs w:val="18"/>
              </w:rPr>
              <w:t xml:space="preserve">       建设单位未出售或者未附赠的车位、车库，应当优先出租给本区域内业主，租金按照价格行政主管部门核定的标准执行；业主要求承租车位、车库的，建设单位不得只售不租。拟出租车位、车库数量少于本区域要求承租车位、车库业主的房屋套数时，应当通过抽签等公平方式确定给未购买或者未受赠车位、车库的业主，每户业主只能承租一个车位或者车库。</w:t>
            </w:r>
          </w:p>
          <w:p w14:paraId="14AB69B9">
            <w:pPr>
              <w:spacing w:line="280" w:lineRule="exact"/>
              <w:jc w:val="left"/>
              <w:rPr>
                <w:color w:val="000000"/>
                <w:kern w:val="0"/>
                <w:sz w:val="18"/>
                <w:szCs w:val="18"/>
              </w:rPr>
            </w:pPr>
            <w:r>
              <w:rPr>
                <w:rFonts w:hint="eastAsia"/>
                <w:color w:val="000000"/>
                <w:kern w:val="0"/>
                <w:sz w:val="18"/>
                <w:szCs w:val="18"/>
              </w:rPr>
              <w:t xml:space="preserve">        在首先满足本物业管理区域内业主的购买和承租需要后还有多余车位、车库的，可以出租给本物业管理区域外的使用人，但租赁期限不得超过六个月。</w:t>
            </w:r>
          </w:p>
          <w:p w14:paraId="2416E63F">
            <w:pPr>
              <w:spacing w:line="280" w:lineRule="exact"/>
              <w:jc w:val="left"/>
              <w:rPr>
                <w:color w:val="000000"/>
                <w:kern w:val="0"/>
                <w:sz w:val="18"/>
                <w:szCs w:val="18"/>
              </w:rPr>
            </w:pPr>
            <w:r>
              <w:rPr>
                <w:rFonts w:hint="eastAsia"/>
                <w:color w:val="000000"/>
                <w:kern w:val="0"/>
                <w:sz w:val="18"/>
                <w:szCs w:val="18"/>
              </w:rPr>
              <w:t xml:space="preserve">        第八十九条 违反本条例第六十三条第三款、第四款规定，建设单位将未出售或者未附赠的车位、车库不优先出租给本区域内业主，或者将多余车位、车库出租给本物业管理区域外使用人的租赁期限超过六个月的，由县（市、区）物业管理行政主管部门责令限期改正，没收违法所得；逾期不改正的，处五万元以上十万元以下罚款。</w:t>
            </w:r>
          </w:p>
        </w:tc>
      </w:tr>
      <w:tr w14:paraId="3F303321">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75F041C">
            <w:pPr>
              <w:spacing w:line="28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color="auto" w:sz="4" w:space="0"/>
              <w:left w:val="nil"/>
              <w:bottom w:val="single" w:color="auto" w:sz="4" w:space="0"/>
              <w:right w:val="single" w:color="000000" w:sz="8" w:space="0"/>
            </w:tcBorders>
            <w:vAlign w:val="center"/>
          </w:tcPr>
          <w:p w14:paraId="7F706960">
            <w:pPr>
              <w:spacing w:line="280" w:lineRule="exact"/>
              <w:jc w:val="left"/>
              <w:rPr>
                <w:color w:val="000000"/>
                <w:kern w:val="0"/>
                <w:sz w:val="18"/>
                <w:szCs w:val="18"/>
              </w:rPr>
            </w:pPr>
            <w:r>
              <w:rPr>
                <w:rFonts w:hint="eastAsia"/>
                <w:color w:val="000000"/>
                <w:kern w:val="0"/>
                <w:sz w:val="18"/>
                <w:szCs w:val="18"/>
              </w:rPr>
              <w:t>没收违法所得，罚款</w:t>
            </w:r>
          </w:p>
        </w:tc>
      </w:tr>
      <w:tr w14:paraId="727636DD">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33FE930A">
            <w:pPr>
              <w:spacing w:line="280" w:lineRule="exact"/>
              <w:jc w:val="center"/>
              <w:rPr>
                <w:color w:val="000000"/>
                <w:kern w:val="0"/>
                <w:sz w:val="18"/>
                <w:szCs w:val="18"/>
              </w:rPr>
            </w:pPr>
            <w:r>
              <w:rPr>
                <w:rFonts w:hint="eastAsia"/>
                <w:color w:val="000000"/>
                <w:kern w:val="0"/>
                <w:sz w:val="18"/>
                <w:szCs w:val="18"/>
              </w:rPr>
              <w:t>裁量基准</w:t>
            </w:r>
          </w:p>
        </w:tc>
      </w:tr>
      <w:tr w14:paraId="350C1EFF">
        <w:tblPrEx>
          <w:tblCellMar>
            <w:top w:w="0" w:type="dxa"/>
            <w:left w:w="108" w:type="dxa"/>
            <w:bottom w:w="0" w:type="dxa"/>
            <w:right w:w="108" w:type="dxa"/>
          </w:tblCellMar>
        </w:tblPrEx>
        <w:trPr>
          <w:trHeight w:val="192" w:hRule="atLeast"/>
        </w:trPr>
        <w:tc>
          <w:tcPr>
            <w:tcW w:w="1056" w:type="dxa"/>
            <w:vMerge w:val="restart"/>
            <w:tcBorders>
              <w:top w:val="single" w:color="auto" w:sz="4" w:space="0"/>
              <w:left w:val="single" w:color="auto" w:sz="4" w:space="0"/>
              <w:bottom w:val="single" w:color="auto" w:sz="4" w:space="0"/>
              <w:right w:val="single" w:color="auto" w:sz="4" w:space="0"/>
            </w:tcBorders>
            <w:vAlign w:val="center"/>
          </w:tcPr>
          <w:p w14:paraId="4DAF70CB">
            <w:pPr>
              <w:spacing w:line="280" w:lineRule="exact"/>
              <w:jc w:val="center"/>
              <w:rPr>
                <w:color w:val="000000"/>
                <w:kern w:val="0"/>
                <w:sz w:val="18"/>
                <w:szCs w:val="18"/>
              </w:rPr>
            </w:pPr>
            <w:r>
              <w:rPr>
                <w:rFonts w:hint="eastAsia"/>
                <w:color w:val="000000"/>
                <w:kern w:val="0"/>
                <w:sz w:val="18"/>
                <w:szCs w:val="18"/>
              </w:rPr>
              <w:t>情形描述</w:t>
            </w:r>
          </w:p>
        </w:tc>
        <w:tc>
          <w:tcPr>
            <w:tcW w:w="3070" w:type="dxa"/>
            <w:vMerge w:val="restart"/>
            <w:tcBorders>
              <w:top w:val="single" w:color="auto" w:sz="4" w:space="0"/>
              <w:left w:val="nil"/>
              <w:bottom w:val="single" w:color="auto" w:sz="4" w:space="0"/>
              <w:right w:val="single" w:color="auto" w:sz="4" w:space="0"/>
            </w:tcBorders>
            <w:vAlign w:val="center"/>
          </w:tcPr>
          <w:p w14:paraId="3D15F61F">
            <w:pPr>
              <w:spacing w:line="280" w:lineRule="exact"/>
              <w:jc w:val="left"/>
              <w:rPr>
                <w:color w:val="000000"/>
                <w:kern w:val="0"/>
                <w:sz w:val="18"/>
                <w:szCs w:val="18"/>
              </w:rPr>
            </w:pPr>
            <w:r>
              <w:rPr>
                <w:rFonts w:hint="eastAsia"/>
                <w:color w:val="000000"/>
                <w:kern w:val="0"/>
                <w:sz w:val="18"/>
                <w:szCs w:val="18"/>
              </w:rPr>
              <w:t>将未出售或者未附赠的车位、车库不优先出租给本区域内业主</w:t>
            </w:r>
          </w:p>
        </w:tc>
        <w:tc>
          <w:tcPr>
            <w:tcW w:w="3070" w:type="dxa"/>
            <w:tcBorders>
              <w:top w:val="single" w:color="auto" w:sz="4" w:space="0"/>
              <w:left w:val="nil"/>
              <w:bottom w:val="single" w:color="auto" w:sz="4" w:space="0"/>
              <w:right w:val="single" w:color="auto" w:sz="4" w:space="0"/>
            </w:tcBorders>
            <w:vAlign w:val="center"/>
          </w:tcPr>
          <w:p w14:paraId="4C4289C0">
            <w:pPr>
              <w:spacing w:line="280" w:lineRule="exact"/>
              <w:jc w:val="left"/>
              <w:rPr>
                <w:color w:val="000000"/>
                <w:kern w:val="0"/>
                <w:sz w:val="18"/>
                <w:szCs w:val="18"/>
              </w:rPr>
            </w:pPr>
            <w:r>
              <w:rPr>
                <w:rFonts w:hint="eastAsia"/>
                <w:color w:val="000000"/>
                <w:kern w:val="0"/>
                <w:sz w:val="18"/>
                <w:szCs w:val="18"/>
              </w:rPr>
              <w:t>不超过未出售或者未附赠的车位、车库</w:t>
            </w:r>
            <w:r>
              <w:rPr>
                <w:color w:val="000000"/>
                <w:kern w:val="0"/>
                <w:sz w:val="18"/>
                <w:szCs w:val="18"/>
              </w:rPr>
              <w:t>50%</w:t>
            </w:r>
            <w:r>
              <w:rPr>
                <w:rFonts w:hint="eastAsia"/>
                <w:color w:val="000000"/>
                <w:kern w:val="0"/>
                <w:sz w:val="18"/>
                <w:szCs w:val="18"/>
              </w:rPr>
              <w:t>的</w:t>
            </w:r>
          </w:p>
        </w:tc>
        <w:tc>
          <w:tcPr>
            <w:tcW w:w="1060" w:type="dxa"/>
            <w:vMerge w:val="restart"/>
            <w:tcBorders>
              <w:top w:val="single" w:color="auto" w:sz="4" w:space="0"/>
              <w:left w:val="single" w:color="auto" w:sz="4" w:space="0"/>
              <w:bottom w:val="single" w:color="auto" w:sz="4" w:space="0"/>
              <w:right w:val="single" w:color="auto" w:sz="4" w:space="0"/>
            </w:tcBorders>
            <w:vAlign w:val="center"/>
          </w:tcPr>
          <w:p w14:paraId="0D85EE7C">
            <w:pPr>
              <w:spacing w:line="28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16F55CDE">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14:paraId="5F11209E">
        <w:tblPrEx>
          <w:tblCellMar>
            <w:top w:w="0" w:type="dxa"/>
            <w:left w:w="108" w:type="dxa"/>
            <w:bottom w:w="0" w:type="dxa"/>
            <w:right w:w="108" w:type="dxa"/>
          </w:tblCellMar>
        </w:tblPrEx>
        <w:trPr>
          <w:trHeight w:val="192" w:hRule="atLeast"/>
        </w:trPr>
        <w:tc>
          <w:tcPr>
            <w:tcW w:w="1056" w:type="dxa"/>
            <w:vMerge w:val="continue"/>
            <w:tcBorders>
              <w:top w:val="single" w:color="auto" w:sz="4" w:space="0"/>
              <w:left w:val="single" w:color="auto" w:sz="4" w:space="0"/>
              <w:bottom w:val="single" w:color="auto" w:sz="4" w:space="0"/>
              <w:right w:val="single" w:color="auto" w:sz="4" w:space="0"/>
            </w:tcBorders>
            <w:vAlign w:val="center"/>
          </w:tcPr>
          <w:p w14:paraId="3AC5BF51">
            <w:pPr>
              <w:spacing w:line="280" w:lineRule="exact"/>
              <w:jc w:val="center"/>
              <w:rPr>
                <w:color w:val="000000"/>
                <w:kern w:val="0"/>
                <w:sz w:val="18"/>
                <w:szCs w:val="18"/>
              </w:rPr>
            </w:pPr>
          </w:p>
        </w:tc>
        <w:tc>
          <w:tcPr>
            <w:tcW w:w="3070" w:type="dxa"/>
            <w:vMerge w:val="continue"/>
            <w:tcBorders>
              <w:top w:val="single" w:color="auto" w:sz="4" w:space="0"/>
              <w:left w:val="nil"/>
              <w:bottom w:val="single" w:color="auto" w:sz="4" w:space="0"/>
              <w:right w:val="single" w:color="auto" w:sz="4" w:space="0"/>
            </w:tcBorders>
            <w:vAlign w:val="center"/>
          </w:tcPr>
          <w:p w14:paraId="70F2383D">
            <w:pPr>
              <w:spacing w:line="280" w:lineRule="exact"/>
              <w:jc w:val="left"/>
              <w:rPr>
                <w:color w:val="000000"/>
                <w:kern w:val="0"/>
                <w:sz w:val="18"/>
                <w:szCs w:val="18"/>
              </w:rPr>
            </w:pPr>
          </w:p>
        </w:tc>
        <w:tc>
          <w:tcPr>
            <w:tcW w:w="3070" w:type="dxa"/>
            <w:tcBorders>
              <w:top w:val="single" w:color="auto" w:sz="4" w:space="0"/>
              <w:left w:val="nil"/>
              <w:bottom w:val="single" w:color="auto" w:sz="4" w:space="0"/>
              <w:right w:val="single" w:color="auto" w:sz="4" w:space="0"/>
            </w:tcBorders>
            <w:vAlign w:val="center"/>
          </w:tcPr>
          <w:p w14:paraId="0773BC02">
            <w:pPr>
              <w:spacing w:line="280" w:lineRule="exact"/>
              <w:jc w:val="left"/>
              <w:rPr>
                <w:color w:val="000000"/>
                <w:kern w:val="0"/>
                <w:sz w:val="18"/>
                <w:szCs w:val="18"/>
              </w:rPr>
            </w:pPr>
            <w:r>
              <w:rPr>
                <w:rFonts w:hint="eastAsia"/>
                <w:color w:val="000000"/>
                <w:kern w:val="0"/>
                <w:sz w:val="18"/>
                <w:szCs w:val="18"/>
              </w:rPr>
              <w:t>超过未出售或者未附赠的车位、车库</w:t>
            </w:r>
            <w:r>
              <w:rPr>
                <w:color w:val="000000"/>
                <w:kern w:val="0"/>
                <w:sz w:val="18"/>
                <w:szCs w:val="18"/>
              </w:rPr>
              <w:t>50%</w:t>
            </w:r>
            <w:r>
              <w:rPr>
                <w:rFonts w:hint="eastAsia"/>
                <w:color w:val="000000"/>
                <w:kern w:val="0"/>
                <w:sz w:val="18"/>
                <w:szCs w:val="18"/>
              </w:rPr>
              <w:t>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1B8816F7">
            <w:pPr>
              <w:spacing w:line="28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0FE0529F">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14:paraId="75AC5C36">
        <w:tblPrEx>
          <w:tblCellMar>
            <w:top w:w="0" w:type="dxa"/>
            <w:left w:w="108" w:type="dxa"/>
            <w:bottom w:w="0" w:type="dxa"/>
            <w:right w:w="108" w:type="dxa"/>
          </w:tblCellMar>
        </w:tblPrEx>
        <w:trPr>
          <w:trHeight w:val="600" w:hRule="atLeast"/>
        </w:trPr>
        <w:tc>
          <w:tcPr>
            <w:tcW w:w="1056" w:type="dxa"/>
            <w:vMerge w:val="continue"/>
            <w:tcBorders>
              <w:top w:val="single" w:color="auto" w:sz="4" w:space="0"/>
              <w:left w:val="single" w:color="auto" w:sz="4" w:space="0"/>
              <w:bottom w:val="single" w:color="auto" w:sz="4" w:space="0"/>
              <w:right w:val="single" w:color="auto" w:sz="4" w:space="0"/>
            </w:tcBorders>
            <w:vAlign w:val="center"/>
          </w:tcPr>
          <w:p w14:paraId="429F0EC6">
            <w:pPr>
              <w:spacing w:line="280" w:lineRule="exact"/>
              <w:jc w:val="center"/>
              <w:rPr>
                <w:color w:val="000000"/>
                <w:kern w:val="0"/>
                <w:sz w:val="18"/>
                <w:szCs w:val="18"/>
              </w:rPr>
            </w:pPr>
          </w:p>
        </w:tc>
        <w:tc>
          <w:tcPr>
            <w:tcW w:w="3070" w:type="dxa"/>
            <w:vMerge w:val="restart"/>
            <w:tcBorders>
              <w:top w:val="single" w:color="auto" w:sz="4" w:space="0"/>
              <w:left w:val="nil"/>
              <w:bottom w:val="single" w:color="auto" w:sz="4" w:space="0"/>
              <w:right w:val="single" w:color="auto" w:sz="4" w:space="0"/>
            </w:tcBorders>
            <w:vAlign w:val="center"/>
          </w:tcPr>
          <w:p w14:paraId="1433FC3C">
            <w:pPr>
              <w:spacing w:line="280" w:lineRule="exact"/>
              <w:jc w:val="left"/>
              <w:rPr>
                <w:color w:val="000000"/>
                <w:kern w:val="0"/>
                <w:sz w:val="18"/>
                <w:szCs w:val="18"/>
              </w:rPr>
            </w:pPr>
            <w:r>
              <w:rPr>
                <w:rFonts w:hint="eastAsia"/>
                <w:color w:val="000000"/>
                <w:kern w:val="0"/>
                <w:sz w:val="18"/>
                <w:szCs w:val="18"/>
              </w:rPr>
              <w:t>将多余车位、车库出租给本物业管理区域外使用人的租赁期限超过六个月</w:t>
            </w:r>
          </w:p>
        </w:tc>
        <w:tc>
          <w:tcPr>
            <w:tcW w:w="3070" w:type="dxa"/>
            <w:tcBorders>
              <w:top w:val="single" w:color="auto" w:sz="4" w:space="0"/>
              <w:left w:val="nil"/>
              <w:bottom w:val="single" w:color="auto" w:sz="4" w:space="0"/>
              <w:right w:val="single" w:color="auto" w:sz="4" w:space="0"/>
            </w:tcBorders>
            <w:vAlign w:val="center"/>
          </w:tcPr>
          <w:p w14:paraId="0CBDCAD1">
            <w:pPr>
              <w:spacing w:line="280" w:lineRule="exact"/>
              <w:jc w:val="left"/>
              <w:rPr>
                <w:color w:val="000000"/>
                <w:kern w:val="0"/>
                <w:sz w:val="18"/>
                <w:szCs w:val="18"/>
              </w:rPr>
            </w:pPr>
            <w:r>
              <w:rPr>
                <w:rFonts w:hint="eastAsia"/>
                <w:color w:val="000000"/>
                <w:kern w:val="0"/>
                <w:sz w:val="18"/>
                <w:szCs w:val="18"/>
              </w:rPr>
              <w:t>不超过多余车位、车库</w:t>
            </w:r>
            <w:r>
              <w:rPr>
                <w:color w:val="000000"/>
                <w:kern w:val="0"/>
                <w:sz w:val="18"/>
                <w:szCs w:val="18"/>
              </w:rPr>
              <w:t>50%</w:t>
            </w:r>
            <w:r>
              <w:rPr>
                <w:rFonts w:hint="eastAsia"/>
                <w:color w:val="000000"/>
                <w:kern w:val="0"/>
                <w:sz w:val="18"/>
                <w:szCs w:val="18"/>
              </w:rPr>
              <w:t>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61F2AB27">
            <w:pPr>
              <w:spacing w:line="28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0300165B">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14:paraId="6D732B3D">
        <w:tblPrEx>
          <w:tblCellMar>
            <w:top w:w="0" w:type="dxa"/>
            <w:left w:w="108" w:type="dxa"/>
            <w:bottom w:w="0" w:type="dxa"/>
            <w:right w:w="108" w:type="dxa"/>
          </w:tblCellMar>
        </w:tblPrEx>
        <w:trPr>
          <w:trHeight w:val="600" w:hRule="atLeast"/>
        </w:trPr>
        <w:tc>
          <w:tcPr>
            <w:tcW w:w="1056" w:type="dxa"/>
            <w:vMerge w:val="continue"/>
            <w:tcBorders>
              <w:top w:val="single" w:color="auto" w:sz="4" w:space="0"/>
              <w:left w:val="single" w:color="auto" w:sz="4" w:space="0"/>
              <w:bottom w:val="single" w:color="auto" w:sz="4" w:space="0"/>
              <w:right w:val="single" w:color="auto" w:sz="4" w:space="0"/>
            </w:tcBorders>
            <w:vAlign w:val="center"/>
          </w:tcPr>
          <w:p w14:paraId="26F33541">
            <w:pPr>
              <w:spacing w:line="280" w:lineRule="exact"/>
              <w:jc w:val="center"/>
              <w:rPr>
                <w:color w:val="000000"/>
                <w:kern w:val="0"/>
                <w:sz w:val="18"/>
                <w:szCs w:val="18"/>
              </w:rPr>
            </w:pPr>
          </w:p>
        </w:tc>
        <w:tc>
          <w:tcPr>
            <w:tcW w:w="3070" w:type="dxa"/>
            <w:vMerge w:val="continue"/>
            <w:tcBorders>
              <w:top w:val="single" w:color="auto" w:sz="4" w:space="0"/>
              <w:left w:val="nil"/>
              <w:bottom w:val="single" w:color="auto" w:sz="4" w:space="0"/>
              <w:right w:val="single" w:color="auto" w:sz="4" w:space="0"/>
            </w:tcBorders>
            <w:vAlign w:val="center"/>
          </w:tcPr>
          <w:p w14:paraId="55421A4C">
            <w:pPr>
              <w:spacing w:line="280" w:lineRule="exact"/>
              <w:jc w:val="left"/>
              <w:rPr>
                <w:color w:val="000000"/>
                <w:kern w:val="0"/>
                <w:sz w:val="18"/>
                <w:szCs w:val="18"/>
              </w:rPr>
            </w:pPr>
          </w:p>
        </w:tc>
        <w:tc>
          <w:tcPr>
            <w:tcW w:w="3070" w:type="dxa"/>
            <w:tcBorders>
              <w:top w:val="single" w:color="auto" w:sz="4" w:space="0"/>
              <w:left w:val="nil"/>
              <w:bottom w:val="single" w:color="auto" w:sz="4" w:space="0"/>
              <w:right w:val="single" w:color="auto" w:sz="4" w:space="0"/>
            </w:tcBorders>
            <w:vAlign w:val="center"/>
          </w:tcPr>
          <w:p w14:paraId="6CF93411">
            <w:pPr>
              <w:spacing w:line="280" w:lineRule="exact"/>
              <w:jc w:val="left"/>
              <w:rPr>
                <w:color w:val="000000"/>
                <w:kern w:val="0"/>
                <w:sz w:val="18"/>
                <w:szCs w:val="18"/>
              </w:rPr>
            </w:pPr>
            <w:r>
              <w:rPr>
                <w:rFonts w:hint="eastAsia"/>
                <w:color w:val="000000"/>
                <w:kern w:val="0"/>
                <w:sz w:val="18"/>
                <w:szCs w:val="18"/>
              </w:rPr>
              <w:t>超过多余车位、车库</w:t>
            </w:r>
            <w:r>
              <w:rPr>
                <w:color w:val="000000"/>
                <w:kern w:val="0"/>
                <w:sz w:val="18"/>
                <w:szCs w:val="18"/>
              </w:rPr>
              <w:t>50%</w:t>
            </w:r>
            <w:r>
              <w:rPr>
                <w:rFonts w:hint="eastAsia"/>
                <w:color w:val="000000"/>
                <w:kern w:val="0"/>
                <w:sz w:val="18"/>
                <w:szCs w:val="18"/>
              </w:rPr>
              <w:t>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48761E8A">
            <w:pPr>
              <w:spacing w:line="28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71B3A77C">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29B729B4"/>
    <w:p w14:paraId="72D4A50F"/>
    <w:p w14:paraId="672F54E7"/>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4693665D">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5F8811FD">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644B2E28">
            <w:pPr>
              <w:spacing w:line="320" w:lineRule="exact"/>
              <w:jc w:val="left"/>
              <w:rPr>
                <w:rFonts w:eastAsia="仿宋_GB2312"/>
                <w:b/>
                <w:bCs/>
                <w:color w:val="000000"/>
                <w:kern w:val="0"/>
                <w:sz w:val="18"/>
                <w:szCs w:val="18"/>
              </w:rPr>
            </w:pPr>
            <w:r>
              <w:rPr>
                <w:rFonts w:eastAsia="仿宋_GB2312"/>
                <w:b/>
                <w:bCs/>
                <w:color w:val="000000"/>
                <w:kern w:val="0"/>
                <w:sz w:val="18"/>
                <w:szCs w:val="18"/>
              </w:rPr>
              <w:t>320217003000</w:t>
            </w:r>
            <w:r>
              <w:rPr>
                <w:rFonts w:hint="eastAsia" w:eastAsia="仿宋_GB2312"/>
                <w:b/>
                <w:bCs/>
                <w:color w:val="000000"/>
                <w:kern w:val="0"/>
                <w:sz w:val="18"/>
                <w:szCs w:val="18"/>
              </w:rPr>
              <w:t xml:space="preserve"> </w:t>
            </w:r>
          </w:p>
        </w:tc>
      </w:tr>
      <w:tr w14:paraId="1B8592BD">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504EB19">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51A59437">
            <w:pPr>
              <w:spacing w:line="320" w:lineRule="exact"/>
              <w:jc w:val="left"/>
              <w:rPr>
                <w:color w:val="000000"/>
                <w:kern w:val="0"/>
                <w:sz w:val="18"/>
                <w:szCs w:val="18"/>
              </w:rPr>
            </w:pPr>
            <w:r>
              <w:rPr>
                <w:rFonts w:hint="eastAsia"/>
                <w:color w:val="000000"/>
                <w:kern w:val="0"/>
                <w:sz w:val="18"/>
                <w:szCs w:val="18"/>
              </w:rPr>
              <w:t>对房地产开发企业未按照规定在商品房现售前将房地产开发项目手册及符合商品房现售条件的有关证明文件报送房地产开发主管部门备案的处罚</w:t>
            </w:r>
          </w:p>
        </w:tc>
      </w:tr>
      <w:tr w14:paraId="540DB0BC">
        <w:tblPrEx>
          <w:tblCellMar>
            <w:top w:w="0" w:type="dxa"/>
            <w:left w:w="108" w:type="dxa"/>
            <w:bottom w:w="0" w:type="dxa"/>
            <w:right w:w="108" w:type="dxa"/>
          </w:tblCellMar>
        </w:tblPrEx>
        <w:trPr>
          <w:trHeight w:val="1140" w:hRule="atLeast"/>
        </w:trPr>
        <w:tc>
          <w:tcPr>
            <w:tcW w:w="1056" w:type="dxa"/>
            <w:tcBorders>
              <w:top w:val="nil"/>
              <w:left w:val="single" w:color="auto" w:sz="8" w:space="0"/>
              <w:bottom w:val="single" w:color="auto" w:sz="4" w:space="0"/>
              <w:right w:val="single" w:color="auto" w:sz="4" w:space="0"/>
            </w:tcBorders>
            <w:vAlign w:val="center"/>
          </w:tcPr>
          <w:p w14:paraId="29848609">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228A3B84">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681CD355">
            <w:pPr>
              <w:spacing w:line="320" w:lineRule="exact"/>
              <w:jc w:val="left"/>
              <w:rPr>
                <w:color w:val="000000"/>
                <w:kern w:val="0"/>
                <w:sz w:val="18"/>
                <w:szCs w:val="18"/>
              </w:rPr>
            </w:pPr>
            <w:r>
              <w:rPr>
                <w:rFonts w:hint="eastAsia"/>
                <w:color w:val="000000"/>
                <w:kern w:val="0"/>
                <w:sz w:val="18"/>
                <w:szCs w:val="18"/>
              </w:rPr>
              <w:t>第八条　房地产开发企业应当在商品房现售前将房地产开发项目手册及符合商品房现售条件的有关证明文件报送房地产开发主管部门备案。</w:t>
            </w:r>
          </w:p>
          <w:p w14:paraId="6B3490F9">
            <w:pPr>
              <w:spacing w:line="320" w:lineRule="exact"/>
              <w:jc w:val="left"/>
              <w:rPr>
                <w:color w:val="000000"/>
                <w:kern w:val="0"/>
                <w:sz w:val="18"/>
                <w:szCs w:val="18"/>
              </w:rPr>
            </w:pPr>
            <w:r>
              <w:rPr>
                <w:rFonts w:hint="eastAsia"/>
                <w:color w:val="000000"/>
                <w:kern w:val="0"/>
                <w:sz w:val="18"/>
                <w:szCs w:val="18"/>
              </w:rPr>
              <w:t>第四十二条　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14:paraId="547CD5CB">
            <w:pPr>
              <w:spacing w:line="320" w:lineRule="exact"/>
              <w:jc w:val="left"/>
              <w:rPr>
                <w:color w:val="000000"/>
                <w:kern w:val="0"/>
                <w:sz w:val="18"/>
                <w:szCs w:val="18"/>
              </w:rPr>
            </w:pPr>
            <w:r>
              <w:rPr>
                <w:rFonts w:hint="eastAsia"/>
                <w:color w:val="000000"/>
                <w:kern w:val="0"/>
                <w:sz w:val="18"/>
                <w:szCs w:val="18"/>
              </w:rPr>
              <w:t>（二）未按照规定在商品房现售前将房地产开发项目手册及符合商品房现售条件的有关证明文件报送房地产开发主管部门备案的。</w:t>
            </w:r>
          </w:p>
        </w:tc>
      </w:tr>
      <w:tr w14:paraId="6DC79FF4">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7C8B75D">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61D393C3">
            <w:pPr>
              <w:spacing w:line="320" w:lineRule="exact"/>
              <w:jc w:val="left"/>
              <w:rPr>
                <w:color w:val="000000"/>
                <w:kern w:val="0"/>
                <w:sz w:val="18"/>
                <w:szCs w:val="18"/>
              </w:rPr>
            </w:pPr>
            <w:r>
              <w:rPr>
                <w:rFonts w:hint="eastAsia"/>
                <w:color w:val="000000"/>
                <w:kern w:val="0"/>
                <w:sz w:val="18"/>
                <w:szCs w:val="18"/>
              </w:rPr>
              <w:t>警告，罚款</w:t>
            </w:r>
          </w:p>
        </w:tc>
      </w:tr>
      <w:tr w14:paraId="2A4397EB">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C55EDC8">
            <w:pPr>
              <w:spacing w:line="320" w:lineRule="exact"/>
              <w:jc w:val="center"/>
              <w:rPr>
                <w:color w:val="000000"/>
                <w:kern w:val="0"/>
                <w:sz w:val="18"/>
                <w:szCs w:val="18"/>
              </w:rPr>
            </w:pPr>
            <w:r>
              <w:rPr>
                <w:rFonts w:hint="eastAsia"/>
                <w:color w:val="000000"/>
                <w:kern w:val="0"/>
                <w:sz w:val="18"/>
                <w:szCs w:val="18"/>
              </w:rPr>
              <w:t>裁量基准</w:t>
            </w:r>
          </w:p>
        </w:tc>
      </w:tr>
      <w:tr w14:paraId="112D823D">
        <w:tblPrEx>
          <w:tblCellMar>
            <w:top w:w="0" w:type="dxa"/>
            <w:left w:w="108" w:type="dxa"/>
            <w:bottom w:w="0" w:type="dxa"/>
            <w:right w:w="108" w:type="dxa"/>
          </w:tblCellMar>
        </w:tblPrEx>
        <w:trPr>
          <w:trHeight w:val="650" w:hRule="atLeast"/>
        </w:trPr>
        <w:tc>
          <w:tcPr>
            <w:tcW w:w="1056" w:type="dxa"/>
            <w:vMerge w:val="restart"/>
            <w:tcBorders>
              <w:top w:val="nil"/>
              <w:left w:val="single" w:color="auto" w:sz="8" w:space="0"/>
              <w:bottom w:val="single" w:color="auto" w:sz="4" w:space="0"/>
              <w:right w:val="single" w:color="auto" w:sz="4" w:space="0"/>
            </w:tcBorders>
            <w:vAlign w:val="center"/>
          </w:tcPr>
          <w:p w14:paraId="6A0150E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6D364B03">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color="auto" w:sz="4" w:space="0"/>
              <w:left w:val="single" w:color="auto" w:sz="4" w:space="0"/>
              <w:bottom w:val="single" w:color="auto" w:sz="4" w:space="0"/>
              <w:right w:val="single" w:color="auto" w:sz="4" w:space="0"/>
            </w:tcBorders>
            <w:vAlign w:val="center"/>
          </w:tcPr>
          <w:p w14:paraId="2DCE0724">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2FF44F0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万元以上2万元以下罚款</w:t>
            </w:r>
          </w:p>
        </w:tc>
      </w:tr>
      <w:tr w14:paraId="77A4D5FE">
        <w:tblPrEx>
          <w:tblCellMar>
            <w:top w:w="0" w:type="dxa"/>
            <w:left w:w="108" w:type="dxa"/>
            <w:bottom w:w="0" w:type="dxa"/>
            <w:right w:w="108" w:type="dxa"/>
          </w:tblCellMar>
        </w:tblPrEx>
        <w:trPr>
          <w:trHeight w:val="362" w:hRule="atLeast"/>
        </w:trPr>
        <w:tc>
          <w:tcPr>
            <w:tcW w:w="1056" w:type="dxa"/>
            <w:vMerge w:val="continue"/>
            <w:tcBorders>
              <w:top w:val="nil"/>
              <w:left w:val="single" w:color="auto" w:sz="8" w:space="0"/>
              <w:bottom w:val="single" w:color="auto" w:sz="4" w:space="0"/>
              <w:right w:val="single" w:color="auto" w:sz="4" w:space="0"/>
            </w:tcBorders>
            <w:vAlign w:val="center"/>
          </w:tcPr>
          <w:p w14:paraId="071CB589">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F52FB9C">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7ECBD4AA">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3841A8E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367FF279"/>
    <w:p w14:paraId="37567EF5"/>
    <w:p w14:paraId="1A6F535C"/>
    <w:p w14:paraId="3650B1B5"/>
    <w:p w14:paraId="5F29061C"/>
    <w:p w14:paraId="20D94F49"/>
    <w:p w14:paraId="5916FD21"/>
    <w:p w14:paraId="7B407412"/>
    <w:p w14:paraId="62CD7D0C"/>
    <w:p w14:paraId="4970E740"/>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2CF2F18A">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2A1A50D4">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2C50C588">
            <w:pPr>
              <w:spacing w:line="320" w:lineRule="exact"/>
              <w:jc w:val="left"/>
              <w:rPr>
                <w:rFonts w:eastAsia="仿宋_GB2312"/>
                <w:b/>
                <w:bCs/>
                <w:color w:val="000000"/>
                <w:kern w:val="0"/>
                <w:sz w:val="18"/>
                <w:szCs w:val="18"/>
              </w:rPr>
            </w:pPr>
            <w:r>
              <w:rPr>
                <w:rFonts w:eastAsia="仿宋_GB2312"/>
                <w:b/>
                <w:bCs/>
                <w:color w:val="000000"/>
                <w:kern w:val="0"/>
                <w:sz w:val="18"/>
                <w:szCs w:val="18"/>
              </w:rPr>
              <w:t>320217005000</w:t>
            </w:r>
          </w:p>
        </w:tc>
      </w:tr>
      <w:tr w14:paraId="3291B6E2">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4A7491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3CC18D2A">
            <w:pPr>
              <w:spacing w:line="320" w:lineRule="exact"/>
              <w:jc w:val="left"/>
              <w:rPr>
                <w:color w:val="000000"/>
                <w:kern w:val="0"/>
                <w:sz w:val="18"/>
                <w:szCs w:val="18"/>
              </w:rPr>
            </w:pPr>
            <w:r>
              <w:rPr>
                <w:rFonts w:hint="eastAsia"/>
                <w:color w:val="000000"/>
                <w:kern w:val="0"/>
                <w:sz w:val="18"/>
                <w:szCs w:val="18"/>
              </w:rPr>
              <w:t>对建设单位、设计单位、施工单位、监理单位违反建筑节能标准的处罚</w:t>
            </w:r>
          </w:p>
        </w:tc>
      </w:tr>
      <w:tr w14:paraId="40FE3ACF">
        <w:tblPrEx>
          <w:tblCellMar>
            <w:top w:w="0" w:type="dxa"/>
            <w:left w:w="108" w:type="dxa"/>
            <w:bottom w:w="0" w:type="dxa"/>
            <w:right w:w="108" w:type="dxa"/>
          </w:tblCellMar>
        </w:tblPrEx>
        <w:trPr>
          <w:trHeight w:val="1290" w:hRule="atLeast"/>
        </w:trPr>
        <w:tc>
          <w:tcPr>
            <w:tcW w:w="1070" w:type="dxa"/>
            <w:tcBorders>
              <w:top w:val="nil"/>
              <w:left w:val="single" w:color="auto" w:sz="8" w:space="0"/>
              <w:bottom w:val="single" w:color="auto" w:sz="4" w:space="0"/>
              <w:right w:val="single" w:color="auto" w:sz="4" w:space="0"/>
            </w:tcBorders>
            <w:vAlign w:val="center"/>
          </w:tcPr>
          <w:p w14:paraId="76EBB777">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69EFECAE">
            <w:pPr>
              <w:spacing w:line="320" w:lineRule="exact"/>
              <w:jc w:val="left"/>
              <w:rPr>
                <w:color w:val="000000"/>
                <w:kern w:val="0"/>
                <w:sz w:val="18"/>
                <w:szCs w:val="18"/>
              </w:rPr>
            </w:pPr>
            <w:r>
              <w:rPr>
                <w:rFonts w:hint="eastAsia"/>
                <w:color w:val="000000"/>
                <w:kern w:val="0"/>
                <w:sz w:val="18"/>
                <w:szCs w:val="18"/>
              </w:rPr>
              <w:t>【法律】《中华人民共和国节约能源法》（</w:t>
            </w:r>
            <w:r>
              <w:rPr>
                <w:color w:val="000000"/>
                <w:kern w:val="0"/>
                <w:sz w:val="18"/>
                <w:szCs w:val="18"/>
              </w:rPr>
              <w:t>2007</w:t>
            </w:r>
            <w:r>
              <w:rPr>
                <w:rFonts w:hint="eastAsia"/>
                <w:color w:val="000000"/>
                <w:kern w:val="0"/>
                <w:sz w:val="18"/>
                <w:szCs w:val="18"/>
              </w:rPr>
              <w:t>年国家主席令第七十七号）</w:t>
            </w:r>
          </w:p>
          <w:p w14:paraId="31850CE7">
            <w:pPr>
              <w:spacing w:line="320" w:lineRule="exact"/>
              <w:jc w:val="left"/>
              <w:rPr>
                <w:color w:val="000000"/>
                <w:kern w:val="0"/>
                <w:sz w:val="18"/>
                <w:szCs w:val="18"/>
              </w:rPr>
            </w:pPr>
            <w:r>
              <w:rPr>
                <w:rFonts w:hint="eastAsia"/>
                <w:color w:val="000000"/>
                <w:kern w:val="0"/>
                <w:sz w:val="18"/>
                <w:szCs w:val="18"/>
              </w:rPr>
              <w:t>第三十五条第一款</w:t>
            </w:r>
            <w:r>
              <w:rPr>
                <w:color w:val="000000"/>
                <w:kern w:val="0"/>
                <w:sz w:val="18"/>
                <w:szCs w:val="18"/>
              </w:rPr>
              <w:t xml:space="preserve">  </w:t>
            </w:r>
            <w:r>
              <w:rPr>
                <w:rFonts w:hint="eastAsia"/>
                <w:color w:val="000000"/>
                <w:kern w:val="0"/>
                <w:sz w:val="18"/>
                <w:szCs w:val="18"/>
              </w:rPr>
              <w:t>建筑工程的建设、设计、施工和监理单位应当遵守建筑节能标准。</w:t>
            </w:r>
            <w:r>
              <w:rPr>
                <w:color w:val="000000"/>
                <w:kern w:val="0"/>
                <w:sz w:val="18"/>
                <w:szCs w:val="18"/>
              </w:rPr>
              <w:t xml:space="preserve"> </w:t>
            </w:r>
          </w:p>
          <w:p w14:paraId="1794AE7F">
            <w:pPr>
              <w:spacing w:line="320" w:lineRule="exact"/>
              <w:jc w:val="left"/>
              <w:rPr>
                <w:color w:val="000000"/>
                <w:kern w:val="0"/>
                <w:sz w:val="18"/>
                <w:szCs w:val="18"/>
              </w:rPr>
            </w:pPr>
            <w:r>
              <w:rPr>
                <w:rFonts w:hint="eastAsia"/>
                <w:color w:val="000000"/>
                <w:kern w:val="0"/>
                <w:sz w:val="18"/>
                <w:szCs w:val="18"/>
              </w:rPr>
              <w:t>第七十九条</w:t>
            </w:r>
            <w:r>
              <w:rPr>
                <w:color w:val="000000"/>
                <w:kern w:val="0"/>
                <w:sz w:val="18"/>
                <w:szCs w:val="18"/>
              </w:rPr>
              <w:t xml:space="preserve">  </w:t>
            </w:r>
            <w:r>
              <w:rPr>
                <w:rFonts w:hint="eastAsia"/>
                <w:color w:val="000000"/>
                <w:kern w:val="0"/>
                <w:sz w:val="18"/>
                <w:szCs w:val="18"/>
              </w:rPr>
              <w:t>建设单位违反建筑节能标准的，由建设主管部门责令改正，处二十万元以上五十万元以下罚款。</w:t>
            </w:r>
            <w:r>
              <w:rPr>
                <w:color w:val="000000"/>
                <w:kern w:val="0"/>
                <w:sz w:val="18"/>
                <w:szCs w:val="18"/>
              </w:rPr>
              <w:t xml:space="preserve"> </w:t>
            </w:r>
          </w:p>
          <w:p w14:paraId="0623809D">
            <w:pPr>
              <w:spacing w:line="320" w:lineRule="exact"/>
              <w:jc w:val="left"/>
              <w:rPr>
                <w:color w:val="000000"/>
                <w:kern w:val="0"/>
                <w:sz w:val="18"/>
                <w:szCs w:val="18"/>
              </w:rPr>
            </w:pPr>
            <w:r>
              <w:rPr>
                <w:rFonts w:hint="eastAsia"/>
                <w:color w:val="000000"/>
                <w:kern w:val="0"/>
                <w:sz w:val="18"/>
                <w:szCs w:val="18"/>
              </w:rPr>
              <w:t>设计单位、施工单位、监理单位违反建筑节能标准的，由建设主管部门责令改正，处十万元以上五十万元以下罚款；情节严重的，由颁发资质证书的部门降低资质等级或者吊销资质证书；造成损失的，依法承担赔偿责任。</w:t>
            </w:r>
          </w:p>
        </w:tc>
      </w:tr>
      <w:tr w14:paraId="14402A4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E7F0C81">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01E3D392">
            <w:pPr>
              <w:spacing w:line="320" w:lineRule="exact"/>
              <w:jc w:val="left"/>
              <w:rPr>
                <w:color w:val="000000"/>
                <w:kern w:val="0"/>
                <w:sz w:val="18"/>
                <w:szCs w:val="18"/>
              </w:rPr>
            </w:pPr>
            <w:r>
              <w:rPr>
                <w:rFonts w:hint="eastAsia"/>
                <w:color w:val="000000"/>
                <w:kern w:val="0"/>
                <w:sz w:val="18"/>
                <w:szCs w:val="18"/>
              </w:rPr>
              <w:t>罚款，降低资质等级，吊销资质证书</w:t>
            </w:r>
          </w:p>
        </w:tc>
      </w:tr>
      <w:tr w14:paraId="7930FA1A">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36C4C51F">
            <w:pPr>
              <w:spacing w:line="320" w:lineRule="exact"/>
              <w:jc w:val="center"/>
              <w:rPr>
                <w:color w:val="000000"/>
                <w:kern w:val="0"/>
                <w:sz w:val="18"/>
                <w:szCs w:val="18"/>
              </w:rPr>
            </w:pPr>
            <w:r>
              <w:rPr>
                <w:rFonts w:hint="eastAsia"/>
                <w:color w:val="000000"/>
                <w:kern w:val="0"/>
                <w:sz w:val="18"/>
                <w:szCs w:val="18"/>
              </w:rPr>
              <w:t>裁量基准</w:t>
            </w:r>
          </w:p>
        </w:tc>
      </w:tr>
      <w:tr w14:paraId="25A7CDCB">
        <w:tblPrEx>
          <w:tblCellMar>
            <w:top w:w="0" w:type="dxa"/>
            <w:left w:w="108" w:type="dxa"/>
            <w:bottom w:w="0" w:type="dxa"/>
            <w:right w:w="108" w:type="dxa"/>
          </w:tblCellMar>
        </w:tblPrEx>
        <w:trPr>
          <w:trHeight w:val="480" w:hRule="atLeast"/>
        </w:trPr>
        <w:tc>
          <w:tcPr>
            <w:tcW w:w="1070" w:type="dxa"/>
            <w:vMerge w:val="restart"/>
            <w:tcBorders>
              <w:top w:val="nil"/>
              <w:left w:val="single" w:color="auto" w:sz="8" w:space="0"/>
              <w:bottom w:val="single" w:color="auto" w:sz="4" w:space="0"/>
              <w:right w:val="single" w:color="auto" w:sz="4" w:space="0"/>
            </w:tcBorders>
            <w:vAlign w:val="center"/>
          </w:tcPr>
          <w:p w14:paraId="76CA9DF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5BEBFFA">
            <w:pPr>
              <w:spacing w:line="320" w:lineRule="exact"/>
              <w:jc w:val="left"/>
              <w:rPr>
                <w:color w:val="000000"/>
                <w:kern w:val="0"/>
                <w:sz w:val="18"/>
                <w:szCs w:val="18"/>
              </w:rPr>
            </w:pPr>
            <w:r>
              <w:rPr>
                <w:rFonts w:hint="eastAsia"/>
                <w:color w:val="000000"/>
                <w:kern w:val="0"/>
                <w:sz w:val="18"/>
                <w:szCs w:val="18"/>
              </w:rPr>
              <w:t>按照要求改正的</w:t>
            </w:r>
          </w:p>
        </w:tc>
        <w:tc>
          <w:tcPr>
            <w:tcW w:w="1106" w:type="dxa"/>
            <w:vMerge w:val="restart"/>
            <w:tcBorders>
              <w:top w:val="nil"/>
              <w:left w:val="single" w:color="auto" w:sz="4" w:space="0"/>
              <w:bottom w:val="single" w:color="auto" w:sz="4" w:space="0"/>
              <w:right w:val="single" w:color="auto" w:sz="4" w:space="0"/>
            </w:tcBorders>
            <w:vAlign w:val="center"/>
          </w:tcPr>
          <w:p w14:paraId="7CA8482E">
            <w:pPr>
              <w:spacing w:line="320" w:lineRule="exact"/>
              <w:jc w:val="center"/>
              <w:rPr>
                <w:color w:val="000000"/>
                <w:kern w:val="0"/>
                <w:sz w:val="18"/>
                <w:szCs w:val="18"/>
              </w:rPr>
            </w:pPr>
            <w:r>
              <w:rPr>
                <w:rFonts w:hint="eastAsia"/>
                <w:color w:val="000000"/>
                <w:kern w:val="0"/>
                <w:sz w:val="18"/>
                <w:szCs w:val="18"/>
              </w:rPr>
              <w:t>裁量幅度</w:t>
            </w:r>
          </w:p>
        </w:tc>
        <w:tc>
          <w:tcPr>
            <w:tcW w:w="5714" w:type="dxa"/>
            <w:tcBorders>
              <w:top w:val="nil"/>
              <w:left w:val="nil"/>
              <w:bottom w:val="single" w:color="auto" w:sz="4" w:space="0"/>
              <w:right w:val="single" w:color="auto" w:sz="8" w:space="0"/>
            </w:tcBorders>
            <w:vAlign w:val="center"/>
          </w:tcPr>
          <w:p w14:paraId="0A4F3AC2">
            <w:pPr>
              <w:spacing w:line="320" w:lineRule="exact"/>
              <w:jc w:val="left"/>
              <w:rPr>
                <w:color w:val="000000"/>
                <w:kern w:val="0"/>
                <w:sz w:val="18"/>
                <w:szCs w:val="18"/>
              </w:rPr>
            </w:pPr>
            <w:r>
              <w:rPr>
                <w:rFonts w:hint="eastAsia"/>
                <w:color w:val="000000"/>
                <w:kern w:val="0"/>
                <w:sz w:val="18"/>
                <w:szCs w:val="18"/>
              </w:rPr>
              <w:t>对建设单位：处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69D9B8D3">
            <w:pPr>
              <w:spacing w:line="320" w:lineRule="exact"/>
              <w:jc w:val="left"/>
              <w:rPr>
                <w:color w:val="000000"/>
                <w:kern w:val="0"/>
                <w:sz w:val="18"/>
                <w:szCs w:val="18"/>
              </w:rPr>
            </w:pPr>
            <w:r>
              <w:rPr>
                <w:rFonts w:hint="eastAsia"/>
                <w:color w:val="000000"/>
                <w:kern w:val="0"/>
                <w:sz w:val="18"/>
                <w:szCs w:val="18"/>
              </w:rPr>
              <w:t>对设计单位、施工单位、监理单位：处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6DCE0989">
        <w:tblPrEx>
          <w:tblCellMar>
            <w:top w:w="0" w:type="dxa"/>
            <w:left w:w="108" w:type="dxa"/>
            <w:bottom w:w="0" w:type="dxa"/>
            <w:right w:w="108" w:type="dxa"/>
          </w:tblCellMar>
        </w:tblPrEx>
        <w:trPr>
          <w:trHeight w:val="720" w:hRule="atLeast"/>
        </w:trPr>
        <w:tc>
          <w:tcPr>
            <w:tcW w:w="1070" w:type="dxa"/>
            <w:vMerge w:val="continue"/>
            <w:tcBorders>
              <w:top w:val="nil"/>
              <w:left w:val="single" w:color="auto" w:sz="8" w:space="0"/>
              <w:bottom w:val="single" w:color="auto" w:sz="4" w:space="0"/>
              <w:right w:val="single" w:color="auto" w:sz="4" w:space="0"/>
            </w:tcBorders>
            <w:vAlign w:val="center"/>
          </w:tcPr>
          <w:p w14:paraId="40AC152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8A36D8B">
            <w:pPr>
              <w:spacing w:line="320" w:lineRule="exact"/>
              <w:jc w:val="left"/>
              <w:rPr>
                <w:color w:val="000000"/>
                <w:kern w:val="0"/>
                <w:sz w:val="18"/>
                <w:szCs w:val="18"/>
              </w:rPr>
            </w:pPr>
            <w:r>
              <w:rPr>
                <w:rFonts w:hint="eastAsia"/>
                <w:color w:val="000000"/>
                <w:kern w:val="0"/>
                <w:sz w:val="18"/>
                <w:szCs w:val="18"/>
              </w:rPr>
              <w:t>对能改正的项目未按照要求改正的</w:t>
            </w:r>
          </w:p>
        </w:tc>
        <w:tc>
          <w:tcPr>
            <w:tcW w:w="1106" w:type="dxa"/>
            <w:vMerge w:val="continue"/>
            <w:tcBorders>
              <w:top w:val="nil"/>
              <w:left w:val="single" w:color="auto" w:sz="4" w:space="0"/>
              <w:bottom w:val="single" w:color="auto" w:sz="4" w:space="0"/>
              <w:right w:val="single" w:color="auto" w:sz="4" w:space="0"/>
            </w:tcBorders>
            <w:vAlign w:val="center"/>
          </w:tcPr>
          <w:p w14:paraId="2F5F06C0">
            <w:pPr>
              <w:spacing w:line="320" w:lineRule="exact"/>
              <w:jc w:val="left"/>
              <w:rPr>
                <w:color w:val="000000"/>
                <w:kern w:val="0"/>
                <w:sz w:val="18"/>
                <w:szCs w:val="18"/>
              </w:rPr>
            </w:pPr>
          </w:p>
        </w:tc>
        <w:tc>
          <w:tcPr>
            <w:tcW w:w="5714" w:type="dxa"/>
            <w:tcBorders>
              <w:top w:val="nil"/>
              <w:left w:val="nil"/>
              <w:bottom w:val="single" w:color="auto" w:sz="4" w:space="0"/>
              <w:right w:val="single" w:color="auto" w:sz="8" w:space="0"/>
            </w:tcBorders>
            <w:vAlign w:val="center"/>
          </w:tcPr>
          <w:p w14:paraId="74C5A3AE">
            <w:pPr>
              <w:spacing w:line="320" w:lineRule="exact"/>
              <w:jc w:val="left"/>
              <w:rPr>
                <w:color w:val="000000"/>
                <w:kern w:val="0"/>
                <w:sz w:val="18"/>
                <w:szCs w:val="18"/>
              </w:rPr>
            </w:pPr>
            <w:r>
              <w:rPr>
                <w:rFonts w:hint="eastAsia"/>
                <w:color w:val="000000"/>
                <w:kern w:val="0"/>
                <w:sz w:val="18"/>
                <w:szCs w:val="18"/>
              </w:rPr>
              <w:t>对建设单位：处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14:paraId="57060A4A">
            <w:pPr>
              <w:spacing w:line="320" w:lineRule="exact"/>
              <w:jc w:val="left"/>
              <w:rPr>
                <w:color w:val="000000"/>
                <w:kern w:val="0"/>
                <w:sz w:val="18"/>
                <w:szCs w:val="18"/>
              </w:rPr>
            </w:pPr>
            <w:r>
              <w:rPr>
                <w:rFonts w:hint="eastAsia"/>
                <w:color w:val="000000"/>
                <w:kern w:val="0"/>
                <w:sz w:val="18"/>
                <w:szCs w:val="18"/>
              </w:rPr>
              <w:t>对设计单位、施工单位、监理单位：处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万元以下罚款，降低资质等级</w:t>
            </w:r>
          </w:p>
        </w:tc>
      </w:tr>
      <w:tr w14:paraId="1F70BFE2">
        <w:tblPrEx>
          <w:tblCellMar>
            <w:top w:w="0" w:type="dxa"/>
            <w:left w:w="108" w:type="dxa"/>
            <w:bottom w:w="0" w:type="dxa"/>
            <w:right w:w="108" w:type="dxa"/>
          </w:tblCellMar>
        </w:tblPrEx>
        <w:trPr>
          <w:trHeight w:val="720" w:hRule="atLeast"/>
        </w:trPr>
        <w:tc>
          <w:tcPr>
            <w:tcW w:w="1070" w:type="dxa"/>
            <w:vMerge w:val="continue"/>
            <w:tcBorders>
              <w:top w:val="nil"/>
              <w:left w:val="single" w:color="auto" w:sz="8" w:space="0"/>
              <w:bottom w:val="single" w:color="auto" w:sz="4" w:space="0"/>
              <w:right w:val="single" w:color="auto" w:sz="4" w:space="0"/>
            </w:tcBorders>
            <w:vAlign w:val="center"/>
          </w:tcPr>
          <w:p w14:paraId="4704743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5E66824">
            <w:pPr>
              <w:spacing w:line="320" w:lineRule="exact"/>
              <w:jc w:val="left"/>
              <w:rPr>
                <w:color w:val="000000"/>
                <w:kern w:val="0"/>
                <w:sz w:val="18"/>
                <w:szCs w:val="18"/>
              </w:rPr>
            </w:pPr>
            <w:r>
              <w:rPr>
                <w:rFonts w:hint="eastAsia"/>
                <w:color w:val="000000"/>
                <w:kern w:val="0"/>
                <w:sz w:val="18"/>
                <w:szCs w:val="18"/>
              </w:rPr>
              <w:t>项目无法改正的</w:t>
            </w:r>
          </w:p>
        </w:tc>
        <w:tc>
          <w:tcPr>
            <w:tcW w:w="1106" w:type="dxa"/>
            <w:vMerge w:val="continue"/>
            <w:tcBorders>
              <w:top w:val="nil"/>
              <w:left w:val="single" w:color="auto" w:sz="4" w:space="0"/>
              <w:bottom w:val="single" w:color="auto" w:sz="4" w:space="0"/>
              <w:right w:val="single" w:color="auto" w:sz="4" w:space="0"/>
            </w:tcBorders>
            <w:vAlign w:val="center"/>
          </w:tcPr>
          <w:p w14:paraId="13E8124D">
            <w:pPr>
              <w:spacing w:line="320" w:lineRule="exact"/>
              <w:jc w:val="left"/>
              <w:rPr>
                <w:color w:val="000000"/>
                <w:kern w:val="0"/>
                <w:sz w:val="18"/>
                <w:szCs w:val="18"/>
              </w:rPr>
            </w:pPr>
          </w:p>
        </w:tc>
        <w:tc>
          <w:tcPr>
            <w:tcW w:w="5714" w:type="dxa"/>
            <w:tcBorders>
              <w:top w:val="nil"/>
              <w:left w:val="nil"/>
              <w:bottom w:val="single" w:color="auto" w:sz="4" w:space="0"/>
              <w:right w:val="single" w:color="auto" w:sz="8" w:space="0"/>
            </w:tcBorders>
            <w:vAlign w:val="center"/>
          </w:tcPr>
          <w:p w14:paraId="3B5C16E4">
            <w:pPr>
              <w:spacing w:line="320" w:lineRule="exact"/>
              <w:jc w:val="left"/>
              <w:rPr>
                <w:color w:val="000000"/>
                <w:kern w:val="0"/>
                <w:sz w:val="18"/>
                <w:szCs w:val="18"/>
              </w:rPr>
            </w:pPr>
            <w:r>
              <w:rPr>
                <w:rFonts w:hint="eastAsia"/>
                <w:color w:val="000000"/>
                <w:kern w:val="0"/>
                <w:sz w:val="18"/>
                <w:szCs w:val="18"/>
              </w:rPr>
              <w:t>对建设单位：处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14:paraId="3BB3D9B4">
            <w:pPr>
              <w:spacing w:line="320" w:lineRule="exact"/>
              <w:jc w:val="left"/>
              <w:rPr>
                <w:color w:val="000000"/>
                <w:kern w:val="0"/>
                <w:sz w:val="18"/>
                <w:szCs w:val="18"/>
              </w:rPr>
            </w:pPr>
            <w:r>
              <w:rPr>
                <w:rFonts w:hint="eastAsia"/>
                <w:color w:val="000000"/>
                <w:kern w:val="0"/>
                <w:sz w:val="18"/>
                <w:szCs w:val="18"/>
              </w:rPr>
              <w:t>对设计单位、施工单位、监理单位：处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万元以下罚款，吊销资质证书</w:t>
            </w:r>
          </w:p>
        </w:tc>
      </w:tr>
    </w:tbl>
    <w:p w14:paraId="598DB312"/>
    <w:p w14:paraId="75F4A859"/>
    <w:p w14:paraId="02D2529A"/>
    <w:p w14:paraId="4481CCB5"/>
    <w:p w14:paraId="0BE85D14"/>
    <w:p w14:paraId="1872753C"/>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6E89EBC0">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3C26D83">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6D68D411">
            <w:pPr>
              <w:spacing w:line="320" w:lineRule="exact"/>
              <w:jc w:val="left"/>
              <w:rPr>
                <w:rFonts w:eastAsia="仿宋_GB2312"/>
                <w:b/>
                <w:bCs/>
                <w:color w:val="000000"/>
                <w:kern w:val="0"/>
                <w:sz w:val="18"/>
                <w:szCs w:val="18"/>
              </w:rPr>
            </w:pPr>
            <w:r>
              <w:rPr>
                <w:rFonts w:eastAsia="仿宋_GB2312"/>
                <w:b/>
                <w:bCs/>
                <w:color w:val="000000"/>
                <w:kern w:val="0"/>
                <w:sz w:val="18"/>
                <w:szCs w:val="18"/>
              </w:rPr>
              <w:t>320217006000</w:t>
            </w:r>
            <w:r>
              <w:rPr>
                <w:rFonts w:hint="eastAsia" w:eastAsia="仿宋_GB2312"/>
                <w:b/>
                <w:bCs/>
                <w:color w:val="000000"/>
                <w:kern w:val="0"/>
                <w:sz w:val="18"/>
                <w:szCs w:val="18"/>
              </w:rPr>
              <w:t xml:space="preserve"> </w:t>
            </w:r>
          </w:p>
        </w:tc>
      </w:tr>
      <w:tr w14:paraId="5D3F114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DE39A46">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47AB01DF">
            <w:pPr>
              <w:spacing w:line="320" w:lineRule="exact"/>
              <w:jc w:val="left"/>
              <w:rPr>
                <w:color w:val="000000"/>
                <w:kern w:val="0"/>
                <w:sz w:val="18"/>
                <w:szCs w:val="18"/>
              </w:rPr>
            </w:pPr>
            <w:r>
              <w:rPr>
                <w:rFonts w:hint="eastAsia"/>
                <w:color w:val="000000"/>
                <w:kern w:val="0"/>
                <w:sz w:val="18"/>
                <w:szCs w:val="18"/>
              </w:rPr>
              <w:t>对建筑施工企业未按规定开展</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安全生产教育培训考核，或者未按规定如实将考核情况记入安全生产教育培训档案的处罚</w:t>
            </w:r>
          </w:p>
        </w:tc>
      </w:tr>
      <w:tr w14:paraId="6D69A1D4">
        <w:tblPrEx>
          <w:tblCellMar>
            <w:top w:w="0" w:type="dxa"/>
            <w:left w:w="108" w:type="dxa"/>
            <w:bottom w:w="0" w:type="dxa"/>
            <w:right w:w="108" w:type="dxa"/>
          </w:tblCellMar>
        </w:tblPrEx>
        <w:trPr>
          <w:trHeight w:val="1010" w:hRule="atLeast"/>
        </w:trPr>
        <w:tc>
          <w:tcPr>
            <w:tcW w:w="1010" w:type="dxa"/>
            <w:tcBorders>
              <w:top w:val="nil"/>
              <w:left w:val="single" w:color="auto" w:sz="8" w:space="0"/>
              <w:bottom w:val="single" w:color="auto" w:sz="4" w:space="0"/>
              <w:right w:val="single" w:color="auto" w:sz="4" w:space="0"/>
            </w:tcBorders>
            <w:vAlign w:val="center"/>
          </w:tcPr>
          <w:p w14:paraId="7662706C">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458DC262">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号）　</w:t>
            </w:r>
          </w:p>
          <w:p w14:paraId="0BCD2178">
            <w:pPr>
              <w:spacing w:line="320" w:lineRule="exact"/>
              <w:jc w:val="left"/>
              <w:rPr>
                <w:color w:val="000000"/>
                <w:kern w:val="0"/>
                <w:sz w:val="18"/>
                <w:szCs w:val="18"/>
              </w:rPr>
            </w:pPr>
            <w:r>
              <w:rPr>
                <w:rFonts w:hint="eastAsia"/>
                <w:color w:val="000000"/>
                <w:kern w:val="0"/>
                <w:sz w:val="18"/>
                <w:szCs w:val="18"/>
              </w:rPr>
              <w:t>　　第二十九条　建筑施工企业未按规定开展</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安全生产教育培训考核，或者未按规定如实将考核情况记入安全生产教育培训档案的，由县级以上地方人民政府住房城乡建设主管部门责令限期改正，并处</w:t>
            </w:r>
            <w:r>
              <w:rPr>
                <w:color w:val="000000"/>
                <w:kern w:val="0"/>
                <w:sz w:val="18"/>
                <w:szCs w:val="18"/>
              </w:rPr>
              <w:t>2</w:t>
            </w:r>
            <w:r>
              <w:rPr>
                <w:rFonts w:hint="eastAsia"/>
                <w:color w:val="000000"/>
                <w:kern w:val="0"/>
                <w:sz w:val="18"/>
                <w:szCs w:val="18"/>
              </w:rPr>
              <w:t>万元以下的罚款。</w:t>
            </w:r>
          </w:p>
        </w:tc>
      </w:tr>
      <w:tr w14:paraId="45403DC7">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770A380">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6FA51525">
            <w:pPr>
              <w:spacing w:line="320" w:lineRule="exact"/>
              <w:jc w:val="left"/>
              <w:rPr>
                <w:color w:val="000000"/>
                <w:kern w:val="0"/>
                <w:sz w:val="18"/>
                <w:szCs w:val="18"/>
              </w:rPr>
            </w:pPr>
            <w:r>
              <w:rPr>
                <w:rFonts w:hint="eastAsia"/>
                <w:color w:val="000000"/>
                <w:kern w:val="0"/>
                <w:sz w:val="18"/>
                <w:szCs w:val="18"/>
              </w:rPr>
              <w:t>罚款</w:t>
            </w:r>
          </w:p>
        </w:tc>
      </w:tr>
      <w:tr w14:paraId="4A807779">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568521E7">
            <w:pPr>
              <w:spacing w:line="320" w:lineRule="exact"/>
              <w:jc w:val="center"/>
              <w:rPr>
                <w:color w:val="000000"/>
                <w:kern w:val="0"/>
                <w:sz w:val="18"/>
                <w:szCs w:val="18"/>
              </w:rPr>
            </w:pPr>
            <w:r>
              <w:rPr>
                <w:rFonts w:hint="eastAsia"/>
                <w:color w:val="000000"/>
                <w:kern w:val="0"/>
                <w:sz w:val="18"/>
                <w:szCs w:val="18"/>
              </w:rPr>
              <w:t>裁量基准</w:t>
            </w:r>
          </w:p>
        </w:tc>
      </w:tr>
      <w:tr w14:paraId="0E6FE0CD">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6DE7C6E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5ACE54C">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color="auto" w:sz="4" w:space="0"/>
              <w:bottom w:val="single" w:color="auto" w:sz="4" w:space="0"/>
              <w:right w:val="single" w:color="auto" w:sz="4" w:space="0"/>
            </w:tcBorders>
            <w:vAlign w:val="center"/>
          </w:tcPr>
          <w:p w14:paraId="270496CC">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6D03647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14:paraId="1F6440D9">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5D73AB3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FDAF9E8">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val="continue"/>
            <w:tcBorders>
              <w:top w:val="nil"/>
              <w:left w:val="single" w:color="auto" w:sz="4" w:space="0"/>
              <w:bottom w:val="single" w:color="auto" w:sz="4" w:space="0"/>
              <w:right w:val="single" w:color="auto" w:sz="4" w:space="0"/>
            </w:tcBorders>
            <w:vAlign w:val="center"/>
          </w:tcPr>
          <w:p w14:paraId="09DDB1C5">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vAlign w:val="center"/>
          </w:tcPr>
          <w:p w14:paraId="6A4E46B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6E7B8A20"/>
    <w:p w14:paraId="0BBA4247"/>
    <w:p w14:paraId="7B2D432D"/>
    <w:p w14:paraId="60A1133A"/>
    <w:p w14:paraId="61AAB6DE"/>
    <w:p w14:paraId="15BAC337"/>
    <w:p w14:paraId="56155A81"/>
    <w:p w14:paraId="46CCB3F5"/>
    <w:p w14:paraId="63E5810C"/>
    <w:p w14:paraId="497B194C"/>
    <w:p w14:paraId="1E106D73"/>
    <w:p w14:paraId="5227D5FC"/>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2DAD111">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43313953">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700DAE70">
            <w:pPr>
              <w:spacing w:line="320" w:lineRule="exact"/>
              <w:jc w:val="left"/>
              <w:rPr>
                <w:rFonts w:eastAsia="仿宋_GB2312"/>
                <w:b/>
                <w:bCs/>
                <w:color w:val="000000"/>
                <w:kern w:val="0"/>
                <w:sz w:val="18"/>
                <w:szCs w:val="18"/>
              </w:rPr>
            </w:pPr>
            <w:r>
              <w:rPr>
                <w:rFonts w:eastAsia="仿宋_GB2312"/>
                <w:b/>
                <w:bCs/>
                <w:color w:val="000000"/>
                <w:kern w:val="0"/>
                <w:sz w:val="18"/>
                <w:szCs w:val="18"/>
              </w:rPr>
              <w:t>320217007000</w:t>
            </w:r>
          </w:p>
        </w:tc>
      </w:tr>
      <w:tr w14:paraId="3C7A42CE">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8E4EFA2">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199EE387">
            <w:pPr>
              <w:spacing w:line="320" w:lineRule="exact"/>
              <w:jc w:val="left"/>
              <w:rPr>
                <w:color w:val="000000"/>
                <w:kern w:val="0"/>
                <w:sz w:val="18"/>
                <w:szCs w:val="18"/>
              </w:rPr>
            </w:pPr>
            <w:r>
              <w:rPr>
                <w:rFonts w:hint="eastAsia"/>
                <w:color w:val="000000"/>
                <w:kern w:val="0"/>
                <w:sz w:val="18"/>
                <w:szCs w:val="18"/>
              </w:rPr>
              <w:t>对一个工程项目经理部及其项目经理同时承担两个以上大中型工程主体部分的施工业务的处罚</w:t>
            </w:r>
          </w:p>
        </w:tc>
      </w:tr>
      <w:tr w14:paraId="121ECA42">
        <w:tblPrEx>
          <w:tblCellMar>
            <w:top w:w="0" w:type="dxa"/>
            <w:left w:w="108" w:type="dxa"/>
            <w:bottom w:w="0" w:type="dxa"/>
            <w:right w:w="108" w:type="dxa"/>
          </w:tblCellMar>
        </w:tblPrEx>
        <w:trPr>
          <w:trHeight w:val="1586" w:hRule="atLeast"/>
        </w:trPr>
        <w:tc>
          <w:tcPr>
            <w:tcW w:w="1030" w:type="dxa"/>
            <w:tcBorders>
              <w:top w:val="nil"/>
              <w:left w:val="single" w:color="auto" w:sz="8" w:space="0"/>
              <w:bottom w:val="single" w:color="auto" w:sz="4" w:space="0"/>
              <w:right w:val="single" w:color="auto" w:sz="4" w:space="0"/>
            </w:tcBorders>
            <w:vAlign w:val="center"/>
          </w:tcPr>
          <w:p w14:paraId="352D7F10">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5BB4BBB7">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第十七条　施工承包人在承包工程时，必须组建与工程项目相适应的项目经理部。一个工程项目经理部及其项目经理和主要技术人员，不得同时承担两个以上大中型工程主体部分的施工业务。国家规定项目经理改由注册建造师代替的，按照其规定执行。</w:t>
            </w:r>
            <w:r>
              <w:rPr>
                <w:color w:val="000000"/>
                <w:kern w:val="0"/>
                <w:sz w:val="18"/>
                <w:szCs w:val="18"/>
              </w:rPr>
              <w:br w:type="textWrapping"/>
            </w:r>
            <w:r>
              <w:rPr>
                <w:rFonts w:hint="eastAsia"/>
                <w:color w:val="000000"/>
                <w:kern w:val="0"/>
                <w:sz w:val="18"/>
                <w:szCs w:val="18"/>
              </w:rPr>
              <w:t>第四十九条　违反本条例第十七条和第二十二条第三款的规定，一个项目经理部及其项目经理同时承担两个以上大中型工程主体部分的施工业务，或者从事工程建设中介服务业务的执业人员同时在两个以上中介服务机构执业的，由建设行政主管部门责令改正，处以警告；拒不改正的，降低资质等级或者注销执业资格。</w:t>
            </w:r>
          </w:p>
        </w:tc>
      </w:tr>
      <w:tr w14:paraId="5CB6BF52">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7807CD1">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72ADB8C6">
            <w:pPr>
              <w:spacing w:line="320" w:lineRule="exact"/>
              <w:jc w:val="left"/>
              <w:rPr>
                <w:color w:val="000000"/>
                <w:kern w:val="0"/>
                <w:sz w:val="18"/>
                <w:szCs w:val="18"/>
              </w:rPr>
            </w:pPr>
            <w:r>
              <w:rPr>
                <w:rFonts w:hint="eastAsia"/>
                <w:color w:val="000000"/>
                <w:kern w:val="0"/>
                <w:sz w:val="18"/>
                <w:szCs w:val="18"/>
              </w:rPr>
              <w:t>警告，降低资质等级或者注销执业资格</w:t>
            </w:r>
          </w:p>
        </w:tc>
      </w:tr>
      <w:tr w14:paraId="6CD81DE3">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7BA0C5E3">
            <w:pPr>
              <w:spacing w:line="320" w:lineRule="exact"/>
              <w:jc w:val="center"/>
              <w:rPr>
                <w:color w:val="000000"/>
                <w:kern w:val="0"/>
                <w:sz w:val="18"/>
                <w:szCs w:val="18"/>
              </w:rPr>
            </w:pPr>
            <w:r>
              <w:rPr>
                <w:rFonts w:hint="eastAsia"/>
                <w:color w:val="000000"/>
                <w:kern w:val="0"/>
                <w:sz w:val="18"/>
                <w:szCs w:val="18"/>
              </w:rPr>
              <w:t>裁量基准</w:t>
            </w:r>
          </w:p>
        </w:tc>
      </w:tr>
      <w:tr w14:paraId="1C0B0CE5">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73B0AD71">
            <w:pPr>
              <w:spacing w:line="320" w:lineRule="exact"/>
              <w:jc w:val="center"/>
              <w:rPr>
                <w:color w:val="000000"/>
                <w:kern w:val="0"/>
                <w:sz w:val="18"/>
                <w:szCs w:val="18"/>
              </w:rPr>
            </w:pPr>
            <w:r>
              <w:rPr>
                <w:rFonts w:hint="eastAsia"/>
                <w:color w:val="000000"/>
                <w:kern w:val="0"/>
                <w:sz w:val="18"/>
                <w:szCs w:val="18"/>
              </w:rPr>
              <w:t>情景描述</w:t>
            </w:r>
          </w:p>
        </w:tc>
        <w:tc>
          <w:tcPr>
            <w:tcW w:w="6140" w:type="dxa"/>
            <w:tcBorders>
              <w:top w:val="single" w:color="auto" w:sz="4" w:space="0"/>
              <w:left w:val="single" w:color="auto" w:sz="4" w:space="0"/>
              <w:bottom w:val="single" w:color="auto" w:sz="4" w:space="0"/>
              <w:right w:val="single" w:color="auto" w:sz="4" w:space="0"/>
            </w:tcBorders>
            <w:vAlign w:val="center"/>
          </w:tcPr>
          <w:p w14:paraId="24B513A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single" w:color="auto" w:sz="4" w:space="0"/>
              <w:left w:val="single" w:color="auto" w:sz="4" w:space="0"/>
              <w:right w:val="single" w:color="auto" w:sz="4" w:space="0"/>
            </w:tcBorders>
            <w:vAlign w:val="center"/>
          </w:tcPr>
          <w:p w14:paraId="1B600B5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042BABA2">
            <w:pPr>
              <w:spacing w:line="320" w:lineRule="exact"/>
              <w:jc w:val="left"/>
              <w:rPr>
                <w:color w:val="000000"/>
                <w:kern w:val="0"/>
                <w:sz w:val="18"/>
                <w:szCs w:val="18"/>
              </w:rPr>
            </w:pPr>
            <w:r>
              <w:rPr>
                <w:rFonts w:hint="eastAsia"/>
                <w:color w:val="000000"/>
                <w:kern w:val="0"/>
                <w:sz w:val="18"/>
                <w:szCs w:val="18"/>
              </w:rPr>
              <w:t>警告</w:t>
            </w:r>
          </w:p>
        </w:tc>
      </w:tr>
      <w:tr w14:paraId="0251EFFB">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685B24B2">
            <w:pPr>
              <w:spacing w:line="320" w:lineRule="exact"/>
              <w:jc w:val="center"/>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5EB662A2">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tcBorders>
              <w:left w:val="single" w:color="auto" w:sz="4" w:space="0"/>
              <w:bottom w:val="single" w:color="auto" w:sz="4" w:space="0"/>
              <w:right w:val="single" w:color="auto" w:sz="4" w:space="0"/>
            </w:tcBorders>
            <w:vAlign w:val="center"/>
          </w:tcPr>
          <w:p w14:paraId="1543D97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005F5AA2">
            <w:pPr>
              <w:spacing w:line="320" w:lineRule="exact"/>
              <w:jc w:val="left"/>
              <w:rPr>
                <w:color w:val="000000"/>
                <w:kern w:val="0"/>
                <w:sz w:val="18"/>
                <w:szCs w:val="18"/>
              </w:rPr>
            </w:pPr>
            <w:r>
              <w:rPr>
                <w:rFonts w:hint="eastAsia"/>
                <w:color w:val="000000"/>
                <w:kern w:val="0"/>
                <w:sz w:val="18"/>
                <w:szCs w:val="18"/>
              </w:rPr>
              <w:t>降低资质等级或者注销执业资格</w:t>
            </w:r>
          </w:p>
        </w:tc>
      </w:tr>
    </w:tbl>
    <w:p w14:paraId="59FE6F23"/>
    <w:p w14:paraId="6373A474"/>
    <w:p w14:paraId="01FA1087"/>
    <w:p w14:paraId="1DDD123B"/>
    <w:p w14:paraId="0495EF39"/>
    <w:p w14:paraId="40E1D72C"/>
    <w:p w14:paraId="78775A56"/>
    <w:p w14:paraId="5F757F1F"/>
    <w:p w14:paraId="6AC8AD61"/>
    <w:p w14:paraId="7DA778A0"/>
    <w:p w14:paraId="2486F37C"/>
    <w:tbl>
      <w:tblPr>
        <w:tblStyle w:val="15"/>
        <w:tblW w:w="0" w:type="auto"/>
        <w:tblInd w:w="7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6140"/>
        <w:gridCol w:w="1080"/>
        <w:gridCol w:w="5760"/>
      </w:tblGrid>
      <w:tr w14:paraId="60104A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tcBorders>
              <w:top w:val="single" w:color="auto" w:sz="8" w:space="0"/>
            </w:tcBorders>
            <w:vAlign w:val="center"/>
          </w:tcPr>
          <w:p w14:paraId="6595447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tcBorders>
            <w:vAlign w:val="center"/>
          </w:tcPr>
          <w:p w14:paraId="293AE4AF">
            <w:pPr>
              <w:spacing w:line="320" w:lineRule="exact"/>
              <w:jc w:val="left"/>
              <w:rPr>
                <w:rFonts w:eastAsia="仿宋_GB2312"/>
                <w:b/>
                <w:bCs/>
                <w:color w:val="000000"/>
                <w:kern w:val="0"/>
                <w:sz w:val="18"/>
                <w:szCs w:val="18"/>
              </w:rPr>
            </w:pPr>
            <w:r>
              <w:rPr>
                <w:rFonts w:eastAsia="仿宋_GB2312"/>
                <w:b/>
                <w:bCs/>
                <w:color w:val="000000"/>
                <w:kern w:val="0"/>
                <w:sz w:val="18"/>
                <w:szCs w:val="18"/>
              </w:rPr>
              <w:t>320217008000</w:t>
            </w:r>
            <w:r>
              <w:rPr>
                <w:rFonts w:hint="eastAsia" w:eastAsia="仿宋_GB2312"/>
                <w:b/>
                <w:bCs/>
                <w:color w:val="000000"/>
                <w:kern w:val="0"/>
                <w:sz w:val="18"/>
                <w:szCs w:val="18"/>
              </w:rPr>
              <w:t xml:space="preserve"> </w:t>
            </w:r>
          </w:p>
        </w:tc>
      </w:tr>
      <w:tr w14:paraId="5C620A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5F566851">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vAlign w:val="center"/>
          </w:tcPr>
          <w:p w14:paraId="0D6357D5">
            <w:pPr>
              <w:spacing w:line="320" w:lineRule="exact"/>
              <w:jc w:val="left"/>
              <w:rPr>
                <w:color w:val="000000"/>
                <w:kern w:val="0"/>
                <w:sz w:val="18"/>
                <w:szCs w:val="18"/>
              </w:rPr>
            </w:pPr>
            <w:r>
              <w:rPr>
                <w:rFonts w:hint="eastAsia"/>
                <w:color w:val="000000"/>
                <w:kern w:val="0"/>
                <w:sz w:val="18"/>
                <w:szCs w:val="18"/>
              </w:rPr>
              <w:t>对损坏或者擅自迁移、拆除历史建筑的处罚</w:t>
            </w:r>
          </w:p>
        </w:tc>
      </w:tr>
      <w:tr w14:paraId="75CDD7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90" w:hRule="atLeast"/>
        </w:trPr>
        <w:tc>
          <w:tcPr>
            <w:tcW w:w="1070" w:type="dxa"/>
            <w:vAlign w:val="center"/>
          </w:tcPr>
          <w:p w14:paraId="7DE6070E">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vAlign w:val="center"/>
          </w:tcPr>
          <w:p w14:paraId="64666DF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14:paraId="3D8BBD76">
            <w:pPr>
              <w:spacing w:line="320" w:lineRule="exact"/>
              <w:jc w:val="left"/>
              <w:rPr>
                <w:color w:val="000000"/>
                <w:kern w:val="0"/>
                <w:sz w:val="18"/>
                <w:szCs w:val="18"/>
              </w:rPr>
            </w:pPr>
            <w:r>
              <w:rPr>
                <w:rFonts w:hint="eastAsia"/>
                <w:color w:val="000000"/>
                <w:kern w:val="0"/>
                <w:sz w:val="18"/>
                <w:szCs w:val="18"/>
              </w:rPr>
              <w:t>第四十四条：违反本条例规定，损坏或者擅自迁移、拆除历史建筑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万元以下的罚款，对个人并处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万元以下的罚款；造成损失的，依法承担赔偿责任。</w:t>
            </w:r>
          </w:p>
        </w:tc>
      </w:tr>
      <w:tr w14:paraId="5F5C18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7EE473D3">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vAlign w:val="center"/>
          </w:tcPr>
          <w:p w14:paraId="7B7EB6B7">
            <w:pPr>
              <w:spacing w:line="320" w:lineRule="exact"/>
              <w:jc w:val="left"/>
              <w:rPr>
                <w:color w:val="000000"/>
                <w:kern w:val="0"/>
                <w:sz w:val="18"/>
                <w:szCs w:val="18"/>
              </w:rPr>
            </w:pPr>
            <w:r>
              <w:rPr>
                <w:rFonts w:hint="eastAsia"/>
                <w:color w:val="000000"/>
                <w:kern w:val="0"/>
                <w:sz w:val="18"/>
                <w:szCs w:val="18"/>
              </w:rPr>
              <w:t>罚款，没收违法所得</w:t>
            </w:r>
          </w:p>
        </w:tc>
      </w:tr>
      <w:tr w14:paraId="4711B7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50" w:type="dxa"/>
            <w:gridSpan w:val="4"/>
            <w:vAlign w:val="center"/>
          </w:tcPr>
          <w:p w14:paraId="61C88A9E">
            <w:pPr>
              <w:spacing w:line="320" w:lineRule="exact"/>
              <w:jc w:val="center"/>
              <w:rPr>
                <w:color w:val="000000"/>
                <w:kern w:val="0"/>
                <w:sz w:val="18"/>
                <w:szCs w:val="18"/>
              </w:rPr>
            </w:pPr>
            <w:r>
              <w:rPr>
                <w:rFonts w:hint="eastAsia"/>
                <w:color w:val="000000"/>
                <w:kern w:val="0"/>
                <w:sz w:val="18"/>
                <w:szCs w:val="18"/>
              </w:rPr>
              <w:t>裁量基准</w:t>
            </w:r>
          </w:p>
        </w:tc>
      </w:tr>
      <w:tr w14:paraId="7CC5D8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vMerge w:val="restart"/>
            <w:vAlign w:val="center"/>
          </w:tcPr>
          <w:p w14:paraId="43F56FEF">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14:paraId="07FAB9C7">
            <w:pPr>
              <w:spacing w:line="320" w:lineRule="exact"/>
              <w:jc w:val="left"/>
              <w:rPr>
                <w:color w:val="000000"/>
                <w:kern w:val="0"/>
                <w:sz w:val="18"/>
                <w:szCs w:val="18"/>
              </w:rPr>
            </w:pPr>
            <w:r>
              <w:rPr>
                <w:rFonts w:hint="eastAsia"/>
                <w:color w:val="000000"/>
                <w:kern w:val="0"/>
                <w:sz w:val="18"/>
                <w:szCs w:val="18"/>
              </w:rPr>
              <w:t>尚可恢复原状的</w:t>
            </w:r>
          </w:p>
        </w:tc>
        <w:tc>
          <w:tcPr>
            <w:tcW w:w="1080" w:type="dxa"/>
            <w:vMerge w:val="restart"/>
            <w:vAlign w:val="center"/>
          </w:tcPr>
          <w:p w14:paraId="3ABDF0F2">
            <w:pPr>
              <w:spacing w:line="320" w:lineRule="exact"/>
              <w:jc w:val="left"/>
              <w:rPr>
                <w:color w:val="000000"/>
                <w:kern w:val="0"/>
                <w:sz w:val="18"/>
                <w:szCs w:val="18"/>
              </w:rPr>
            </w:pPr>
            <w:r>
              <w:rPr>
                <w:rFonts w:hint="eastAsia"/>
                <w:color w:val="000000"/>
                <w:kern w:val="0"/>
                <w:sz w:val="18"/>
                <w:szCs w:val="18"/>
              </w:rPr>
              <w:t>裁量幅度</w:t>
            </w:r>
          </w:p>
        </w:tc>
        <w:tc>
          <w:tcPr>
            <w:tcW w:w="5760" w:type="dxa"/>
            <w:vAlign w:val="center"/>
          </w:tcPr>
          <w:p w14:paraId="62B28359">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01CB6A83">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54EB1F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vMerge w:val="continue"/>
            <w:vAlign w:val="center"/>
          </w:tcPr>
          <w:p w14:paraId="7E81A2BF">
            <w:pPr>
              <w:spacing w:line="320" w:lineRule="exact"/>
              <w:jc w:val="left"/>
              <w:rPr>
                <w:color w:val="000000"/>
                <w:kern w:val="0"/>
                <w:sz w:val="18"/>
                <w:szCs w:val="18"/>
              </w:rPr>
            </w:pPr>
          </w:p>
        </w:tc>
        <w:tc>
          <w:tcPr>
            <w:tcW w:w="6140" w:type="dxa"/>
            <w:vAlign w:val="center"/>
          </w:tcPr>
          <w:p w14:paraId="15413D19">
            <w:pPr>
              <w:spacing w:line="320" w:lineRule="exact"/>
              <w:jc w:val="left"/>
              <w:rPr>
                <w:color w:val="000000"/>
                <w:kern w:val="0"/>
                <w:sz w:val="18"/>
                <w:szCs w:val="18"/>
              </w:rPr>
            </w:pPr>
            <w:r>
              <w:rPr>
                <w:rFonts w:hint="eastAsia"/>
                <w:color w:val="000000"/>
                <w:kern w:val="0"/>
                <w:sz w:val="18"/>
                <w:szCs w:val="18"/>
              </w:rPr>
              <w:t>不可恢复原状但尚可采取其他补救措施的</w:t>
            </w:r>
          </w:p>
        </w:tc>
        <w:tc>
          <w:tcPr>
            <w:tcW w:w="1080" w:type="dxa"/>
            <w:vMerge w:val="continue"/>
            <w:vAlign w:val="center"/>
          </w:tcPr>
          <w:p w14:paraId="12965CAF">
            <w:pPr>
              <w:spacing w:line="320" w:lineRule="exact"/>
              <w:jc w:val="left"/>
              <w:rPr>
                <w:color w:val="000000"/>
                <w:kern w:val="0"/>
                <w:sz w:val="18"/>
                <w:szCs w:val="18"/>
              </w:rPr>
            </w:pPr>
          </w:p>
        </w:tc>
        <w:tc>
          <w:tcPr>
            <w:tcW w:w="5760" w:type="dxa"/>
            <w:vAlign w:val="center"/>
          </w:tcPr>
          <w:p w14:paraId="067E37C2">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14:paraId="1B0C6EA6">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2C1D08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vMerge w:val="continue"/>
            <w:tcBorders>
              <w:bottom w:val="single" w:color="auto" w:sz="8" w:space="0"/>
            </w:tcBorders>
            <w:vAlign w:val="center"/>
          </w:tcPr>
          <w:p w14:paraId="68B765C0">
            <w:pPr>
              <w:spacing w:line="320" w:lineRule="exact"/>
              <w:jc w:val="left"/>
              <w:rPr>
                <w:color w:val="000000"/>
                <w:kern w:val="0"/>
                <w:sz w:val="18"/>
                <w:szCs w:val="18"/>
              </w:rPr>
            </w:pPr>
          </w:p>
        </w:tc>
        <w:tc>
          <w:tcPr>
            <w:tcW w:w="6140" w:type="dxa"/>
            <w:tcBorders>
              <w:bottom w:val="single" w:color="auto" w:sz="8" w:space="0"/>
            </w:tcBorders>
            <w:vAlign w:val="center"/>
          </w:tcPr>
          <w:p w14:paraId="7E2908E8">
            <w:pPr>
              <w:spacing w:line="320" w:lineRule="exact"/>
              <w:jc w:val="left"/>
              <w:rPr>
                <w:color w:val="000000"/>
                <w:kern w:val="0"/>
                <w:sz w:val="18"/>
                <w:szCs w:val="18"/>
              </w:rPr>
            </w:pPr>
            <w:r>
              <w:rPr>
                <w:rFonts w:hint="eastAsia"/>
                <w:color w:val="000000"/>
                <w:kern w:val="0"/>
                <w:sz w:val="18"/>
                <w:szCs w:val="18"/>
              </w:rPr>
              <w:t>既无法恢复原状又无法采取其他补救措施的</w:t>
            </w:r>
          </w:p>
        </w:tc>
        <w:tc>
          <w:tcPr>
            <w:tcW w:w="1080" w:type="dxa"/>
            <w:vMerge w:val="continue"/>
            <w:tcBorders>
              <w:bottom w:val="single" w:color="auto" w:sz="8" w:space="0"/>
            </w:tcBorders>
            <w:vAlign w:val="center"/>
          </w:tcPr>
          <w:p w14:paraId="6CD12DC4">
            <w:pPr>
              <w:spacing w:line="320" w:lineRule="exact"/>
              <w:jc w:val="left"/>
              <w:rPr>
                <w:color w:val="000000"/>
                <w:kern w:val="0"/>
                <w:sz w:val="18"/>
                <w:szCs w:val="18"/>
              </w:rPr>
            </w:pPr>
          </w:p>
        </w:tc>
        <w:tc>
          <w:tcPr>
            <w:tcW w:w="5760" w:type="dxa"/>
            <w:tcBorders>
              <w:bottom w:val="single" w:color="auto" w:sz="8" w:space="0"/>
            </w:tcBorders>
            <w:vAlign w:val="center"/>
          </w:tcPr>
          <w:p w14:paraId="5CF77CE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14:paraId="165EF82B">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14:paraId="0A60C782"/>
    <w:p w14:paraId="3F8C43D7"/>
    <w:p w14:paraId="4C0F0DAA"/>
    <w:p w14:paraId="21A56E92"/>
    <w:p w14:paraId="6B391590"/>
    <w:p w14:paraId="233BD84E"/>
    <w:p w14:paraId="7EC300E1"/>
    <w:p w14:paraId="625B72C9"/>
    <w:tbl>
      <w:tblPr>
        <w:tblStyle w:val="15"/>
        <w:tblW w:w="0" w:type="auto"/>
        <w:tblInd w:w="88" w:type="dxa"/>
        <w:tblLayout w:type="fixed"/>
        <w:tblCellMar>
          <w:top w:w="0" w:type="dxa"/>
          <w:left w:w="108" w:type="dxa"/>
          <w:bottom w:w="0" w:type="dxa"/>
          <w:right w:w="108" w:type="dxa"/>
        </w:tblCellMar>
      </w:tblPr>
      <w:tblGrid>
        <w:gridCol w:w="1070"/>
        <w:gridCol w:w="6140"/>
        <w:gridCol w:w="1150"/>
        <w:gridCol w:w="5700"/>
      </w:tblGrid>
      <w:tr w14:paraId="6E0B956B">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4D612C2">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652AA43A">
            <w:pPr>
              <w:spacing w:line="320" w:lineRule="exact"/>
              <w:jc w:val="left"/>
              <w:rPr>
                <w:rFonts w:eastAsia="仿宋_GB2312"/>
                <w:b/>
                <w:bCs/>
                <w:color w:val="000000"/>
                <w:kern w:val="0"/>
                <w:sz w:val="18"/>
                <w:szCs w:val="18"/>
              </w:rPr>
            </w:pPr>
            <w:r>
              <w:rPr>
                <w:rFonts w:eastAsia="仿宋_GB2312"/>
                <w:b/>
                <w:bCs/>
                <w:color w:val="000000"/>
                <w:kern w:val="0"/>
                <w:sz w:val="18"/>
                <w:szCs w:val="18"/>
              </w:rPr>
              <w:t>320217009000</w:t>
            </w:r>
          </w:p>
        </w:tc>
      </w:tr>
      <w:tr w14:paraId="4A6E64BA">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0D39C9D">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40BCE299">
            <w:pPr>
              <w:spacing w:line="320" w:lineRule="exact"/>
              <w:jc w:val="left"/>
              <w:rPr>
                <w:color w:val="000000"/>
                <w:kern w:val="0"/>
                <w:sz w:val="18"/>
                <w:szCs w:val="18"/>
              </w:rPr>
            </w:pPr>
            <w:r>
              <w:rPr>
                <w:rFonts w:hint="eastAsia"/>
                <w:color w:val="000000"/>
                <w:kern w:val="0"/>
                <w:sz w:val="18"/>
                <w:szCs w:val="18"/>
              </w:rPr>
              <w:t>对安装、拆卸施工起重机械和整体提升脚手架、模板等自升式架设设施未编制拆装方案、制定安全施工措施的处罚</w:t>
            </w:r>
          </w:p>
        </w:tc>
      </w:tr>
      <w:tr w14:paraId="20EF5F2A">
        <w:tblPrEx>
          <w:tblCellMar>
            <w:top w:w="0" w:type="dxa"/>
            <w:left w:w="108" w:type="dxa"/>
            <w:bottom w:w="0" w:type="dxa"/>
            <w:right w:w="108" w:type="dxa"/>
          </w:tblCellMar>
        </w:tblPrEx>
        <w:trPr>
          <w:trHeight w:val="2115" w:hRule="atLeast"/>
        </w:trPr>
        <w:tc>
          <w:tcPr>
            <w:tcW w:w="1070" w:type="dxa"/>
            <w:tcBorders>
              <w:top w:val="nil"/>
              <w:left w:val="single" w:color="auto" w:sz="8" w:space="0"/>
              <w:bottom w:val="single" w:color="auto" w:sz="4" w:space="0"/>
              <w:right w:val="single" w:color="auto" w:sz="4" w:space="0"/>
            </w:tcBorders>
            <w:vAlign w:val="center"/>
          </w:tcPr>
          <w:p w14:paraId="17B3A27E">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79FEA0F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60CE16AA">
            <w:pPr>
              <w:spacing w:line="320" w:lineRule="exact"/>
              <w:jc w:val="left"/>
              <w:rPr>
                <w:color w:val="000000"/>
                <w:kern w:val="0"/>
                <w:sz w:val="18"/>
                <w:szCs w:val="18"/>
              </w:rPr>
            </w:pPr>
            <w:r>
              <w:rPr>
                <w:rFonts w:hint="eastAsia"/>
                <w:color w:val="000000"/>
                <w:kern w:val="0"/>
                <w:sz w:val="18"/>
                <w:szCs w:val="18"/>
              </w:rPr>
              <w:t>第十七条第二款　安装、拆卸施工起重机械和整体提升脚手架、模板等自升式架设设施，应当编制拆装方案、制定安全施工措施，并由专业技术人员现场监督。</w:t>
            </w:r>
          </w:p>
          <w:p w14:paraId="1BCB0053">
            <w:pPr>
              <w:spacing w:line="320" w:lineRule="exact"/>
              <w:jc w:val="left"/>
              <w:rPr>
                <w:color w:val="000000"/>
                <w:kern w:val="0"/>
                <w:sz w:val="18"/>
                <w:szCs w:val="18"/>
              </w:rPr>
            </w:pPr>
            <w:r>
              <w:rPr>
                <w:rFonts w:hint="eastAsia"/>
                <w:color w:val="000000"/>
                <w:kern w:val="0"/>
                <w:sz w:val="18"/>
                <w:szCs w:val="18"/>
              </w:rPr>
              <w:t>第六十一条　违反本条例的规定，施工起重机械和整体提升脚手架、模板等自升式架设设施安装、拆卸单位有下列行为之一的，责令限期改正，处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color w:val="000000"/>
                <w:kern w:val="0"/>
                <w:sz w:val="18"/>
                <w:szCs w:val="18"/>
              </w:rPr>
              <w:t xml:space="preserve"> </w:t>
            </w:r>
          </w:p>
          <w:p w14:paraId="5891B7B0">
            <w:pPr>
              <w:spacing w:line="320" w:lineRule="exact"/>
              <w:jc w:val="left"/>
              <w:rPr>
                <w:color w:val="000000"/>
                <w:kern w:val="0"/>
                <w:sz w:val="18"/>
                <w:szCs w:val="18"/>
              </w:rPr>
            </w:pPr>
            <w:r>
              <w:rPr>
                <w:rFonts w:hint="eastAsia"/>
                <w:color w:val="000000"/>
                <w:kern w:val="0"/>
                <w:sz w:val="18"/>
                <w:szCs w:val="18"/>
              </w:rPr>
              <w:t>（一）未编制拆装方案、制定安全施工措施的。</w:t>
            </w:r>
            <w:r>
              <w:rPr>
                <w:color w:val="000000"/>
                <w:kern w:val="0"/>
                <w:sz w:val="18"/>
                <w:szCs w:val="18"/>
              </w:rPr>
              <w:t xml:space="preserve"> </w:t>
            </w:r>
          </w:p>
          <w:p w14:paraId="540D0B1D">
            <w:pPr>
              <w:spacing w:line="320" w:lineRule="exact"/>
              <w:jc w:val="left"/>
              <w:rPr>
                <w:color w:val="000000"/>
                <w:kern w:val="0"/>
                <w:sz w:val="18"/>
                <w:szCs w:val="18"/>
              </w:rPr>
            </w:pPr>
            <w:r>
              <w:rPr>
                <w:rFonts w:hint="eastAsia"/>
                <w:color w:val="000000"/>
                <w:kern w:val="0"/>
                <w:sz w:val="18"/>
                <w:szCs w:val="18"/>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14:paraId="08DA00B3">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6778FD6C">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A1643EB">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63325A4E">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14:paraId="532DCAFA">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514635A8">
            <w:pPr>
              <w:spacing w:line="320" w:lineRule="exact"/>
              <w:jc w:val="center"/>
              <w:rPr>
                <w:color w:val="000000"/>
                <w:kern w:val="0"/>
                <w:sz w:val="18"/>
                <w:szCs w:val="18"/>
              </w:rPr>
            </w:pPr>
            <w:r>
              <w:rPr>
                <w:rFonts w:hint="eastAsia"/>
                <w:color w:val="000000"/>
                <w:kern w:val="0"/>
                <w:sz w:val="18"/>
                <w:szCs w:val="18"/>
              </w:rPr>
              <w:t>裁量基准</w:t>
            </w:r>
          </w:p>
        </w:tc>
      </w:tr>
      <w:tr w14:paraId="35198B45">
        <w:tblPrEx>
          <w:tblCellMar>
            <w:top w:w="0" w:type="dxa"/>
            <w:left w:w="108" w:type="dxa"/>
            <w:bottom w:w="0" w:type="dxa"/>
            <w:right w:w="108" w:type="dxa"/>
          </w:tblCellMar>
        </w:tblPrEx>
        <w:trPr>
          <w:trHeight w:val="285" w:hRule="atLeast"/>
        </w:trPr>
        <w:tc>
          <w:tcPr>
            <w:tcW w:w="1070" w:type="dxa"/>
            <w:vMerge w:val="restart"/>
            <w:tcBorders>
              <w:top w:val="single" w:color="auto" w:sz="4" w:space="0"/>
              <w:left w:val="single" w:color="auto" w:sz="4" w:space="0"/>
              <w:bottom w:val="single" w:color="auto" w:sz="4" w:space="0"/>
              <w:right w:val="single" w:color="auto" w:sz="4" w:space="0"/>
            </w:tcBorders>
            <w:vAlign w:val="center"/>
          </w:tcPr>
          <w:p w14:paraId="34439B6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7B4D0A2">
            <w:pPr>
              <w:spacing w:line="320" w:lineRule="exact"/>
              <w:jc w:val="left"/>
              <w:rPr>
                <w:color w:val="000000"/>
                <w:kern w:val="0"/>
                <w:sz w:val="18"/>
                <w:szCs w:val="18"/>
              </w:rPr>
            </w:pPr>
            <w:r>
              <w:rPr>
                <w:rFonts w:hint="eastAsia"/>
                <w:color w:val="000000"/>
                <w:kern w:val="0"/>
                <w:sz w:val="18"/>
                <w:szCs w:val="18"/>
              </w:rPr>
              <w:t>施工单位未开始施工的</w:t>
            </w:r>
          </w:p>
        </w:tc>
        <w:tc>
          <w:tcPr>
            <w:tcW w:w="1150" w:type="dxa"/>
            <w:vMerge w:val="restart"/>
            <w:tcBorders>
              <w:top w:val="single" w:color="auto" w:sz="4" w:space="0"/>
              <w:left w:val="single" w:color="auto" w:sz="4" w:space="0"/>
              <w:bottom w:val="single" w:color="auto" w:sz="4" w:space="0"/>
              <w:right w:val="single" w:color="auto" w:sz="4" w:space="0"/>
            </w:tcBorders>
            <w:vAlign w:val="center"/>
          </w:tcPr>
          <w:p w14:paraId="7F843B1C">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single" w:color="auto" w:sz="4" w:space="0"/>
              <w:left w:val="nil"/>
              <w:bottom w:val="single" w:color="auto" w:sz="4" w:space="0"/>
              <w:right w:val="single" w:color="auto" w:sz="4" w:space="0"/>
            </w:tcBorders>
            <w:vAlign w:val="center"/>
          </w:tcPr>
          <w:p w14:paraId="101491B6">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14:paraId="11A9A98D">
        <w:tblPrEx>
          <w:tblCellMar>
            <w:top w:w="0" w:type="dxa"/>
            <w:left w:w="108" w:type="dxa"/>
            <w:bottom w:w="0" w:type="dxa"/>
            <w:right w:w="108" w:type="dxa"/>
          </w:tblCellMar>
        </w:tblPrEx>
        <w:trPr>
          <w:trHeight w:val="285" w:hRule="atLeast"/>
        </w:trPr>
        <w:tc>
          <w:tcPr>
            <w:tcW w:w="1070" w:type="dxa"/>
            <w:vMerge w:val="continue"/>
            <w:tcBorders>
              <w:top w:val="single" w:color="auto" w:sz="4" w:space="0"/>
              <w:left w:val="single" w:color="auto" w:sz="4" w:space="0"/>
              <w:bottom w:val="single" w:color="auto" w:sz="4" w:space="0"/>
              <w:right w:val="single" w:color="auto" w:sz="4" w:space="0"/>
            </w:tcBorders>
            <w:vAlign w:val="center"/>
          </w:tcPr>
          <w:p w14:paraId="66B29DD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4BB17BA">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150" w:type="dxa"/>
            <w:vMerge w:val="continue"/>
            <w:tcBorders>
              <w:top w:val="single" w:color="auto" w:sz="4" w:space="0"/>
              <w:left w:val="single" w:color="auto" w:sz="4" w:space="0"/>
              <w:bottom w:val="single" w:color="auto" w:sz="4" w:space="0"/>
              <w:right w:val="single" w:color="auto" w:sz="4" w:space="0"/>
            </w:tcBorders>
            <w:vAlign w:val="center"/>
          </w:tcPr>
          <w:p w14:paraId="00D5B88F">
            <w:pPr>
              <w:spacing w:line="320" w:lineRule="exact"/>
              <w:jc w:val="left"/>
              <w:rPr>
                <w:color w:val="000000"/>
                <w:kern w:val="0"/>
                <w:sz w:val="18"/>
                <w:szCs w:val="18"/>
              </w:rPr>
            </w:pPr>
          </w:p>
        </w:tc>
        <w:tc>
          <w:tcPr>
            <w:tcW w:w="5700" w:type="dxa"/>
            <w:tcBorders>
              <w:top w:val="single" w:color="auto" w:sz="4" w:space="0"/>
              <w:left w:val="nil"/>
              <w:bottom w:val="single" w:color="auto" w:sz="4" w:space="0"/>
              <w:right w:val="single" w:color="auto" w:sz="4" w:space="0"/>
            </w:tcBorders>
            <w:vAlign w:val="center"/>
          </w:tcPr>
          <w:p w14:paraId="5CB861F1">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w:t>
            </w:r>
          </w:p>
        </w:tc>
      </w:tr>
      <w:tr w14:paraId="6BEBD158">
        <w:tblPrEx>
          <w:tblCellMar>
            <w:top w:w="0" w:type="dxa"/>
            <w:left w:w="108" w:type="dxa"/>
            <w:bottom w:w="0" w:type="dxa"/>
            <w:right w:w="108" w:type="dxa"/>
          </w:tblCellMar>
        </w:tblPrEx>
        <w:trPr>
          <w:trHeight w:val="970" w:hRule="atLeast"/>
        </w:trPr>
        <w:tc>
          <w:tcPr>
            <w:tcW w:w="1070" w:type="dxa"/>
            <w:vMerge w:val="continue"/>
            <w:tcBorders>
              <w:top w:val="single" w:color="auto" w:sz="4" w:space="0"/>
              <w:left w:val="single" w:color="auto" w:sz="4" w:space="0"/>
              <w:bottom w:val="single" w:color="auto" w:sz="4" w:space="0"/>
              <w:right w:val="single" w:color="auto" w:sz="4" w:space="0"/>
            </w:tcBorders>
            <w:vAlign w:val="center"/>
          </w:tcPr>
          <w:p w14:paraId="69C47EE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33F0142">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150" w:type="dxa"/>
            <w:vMerge w:val="continue"/>
            <w:tcBorders>
              <w:top w:val="single" w:color="auto" w:sz="4" w:space="0"/>
              <w:left w:val="single" w:color="auto" w:sz="4" w:space="0"/>
              <w:bottom w:val="single" w:color="auto" w:sz="4" w:space="0"/>
              <w:right w:val="single" w:color="auto" w:sz="4" w:space="0"/>
            </w:tcBorders>
            <w:vAlign w:val="center"/>
          </w:tcPr>
          <w:p w14:paraId="6C8B10A4">
            <w:pPr>
              <w:spacing w:line="320" w:lineRule="exact"/>
              <w:jc w:val="left"/>
              <w:rPr>
                <w:color w:val="000000"/>
                <w:kern w:val="0"/>
                <w:sz w:val="18"/>
                <w:szCs w:val="18"/>
              </w:rPr>
            </w:pPr>
          </w:p>
        </w:tc>
        <w:tc>
          <w:tcPr>
            <w:tcW w:w="5700" w:type="dxa"/>
            <w:tcBorders>
              <w:top w:val="single" w:color="auto" w:sz="4" w:space="0"/>
              <w:left w:val="nil"/>
              <w:bottom w:val="single" w:color="auto" w:sz="4" w:space="0"/>
              <w:right w:val="single" w:color="auto" w:sz="4" w:space="0"/>
            </w:tcBorders>
            <w:vAlign w:val="center"/>
          </w:tcPr>
          <w:p w14:paraId="1241CC89">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万元以下罚款，责令停业整顿，降低资质等级，吊销资质证书</w:t>
            </w:r>
          </w:p>
        </w:tc>
      </w:tr>
    </w:tbl>
    <w:p w14:paraId="0208D853"/>
    <w:p w14:paraId="39B3F2E3"/>
    <w:p w14:paraId="42B33FCF"/>
    <w:p w14:paraId="3C57B321"/>
    <w:p w14:paraId="175AE2A9"/>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4C8F1AF7">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33856188">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3CFE2813">
            <w:pPr>
              <w:spacing w:line="320" w:lineRule="exact"/>
              <w:jc w:val="left"/>
              <w:rPr>
                <w:rFonts w:eastAsia="仿宋_GB2312"/>
                <w:b/>
                <w:bCs/>
                <w:color w:val="000000"/>
                <w:kern w:val="0"/>
                <w:sz w:val="18"/>
                <w:szCs w:val="18"/>
              </w:rPr>
            </w:pPr>
            <w:r>
              <w:rPr>
                <w:rFonts w:eastAsia="仿宋_GB2312"/>
                <w:b/>
                <w:bCs/>
                <w:color w:val="000000"/>
                <w:kern w:val="0"/>
                <w:sz w:val="18"/>
                <w:szCs w:val="18"/>
              </w:rPr>
              <w:t>320217010000</w:t>
            </w:r>
            <w:r>
              <w:rPr>
                <w:rFonts w:hint="eastAsia" w:eastAsia="仿宋_GB2312"/>
                <w:b/>
                <w:bCs/>
                <w:color w:val="000000"/>
                <w:kern w:val="0"/>
                <w:sz w:val="18"/>
                <w:szCs w:val="18"/>
              </w:rPr>
              <w:t xml:space="preserve"> </w:t>
            </w:r>
          </w:p>
        </w:tc>
      </w:tr>
      <w:tr w14:paraId="76710347">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67800504">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4BA08E95">
            <w:pPr>
              <w:spacing w:line="320" w:lineRule="exact"/>
              <w:jc w:val="left"/>
              <w:rPr>
                <w:color w:val="000000"/>
                <w:kern w:val="0"/>
                <w:sz w:val="18"/>
                <w:szCs w:val="18"/>
              </w:rPr>
            </w:pPr>
            <w:r>
              <w:rPr>
                <w:rFonts w:hint="eastAsia"/>
                <w:color w:val="000000"/>
                <w:kern w:val="0"/>
                <w:sz w:val="18"/>
                <w:szCs w:val="18"/>
              </w:rPr>
              <w:t>对施工单位未在施工现场的危险部位设置明显的安全警示标志，或者未按照国家有关规定在施工现场设置消防通道、消防水源、配备消防设施和灭火器材的处罚</w:t>
            </w:r>
          </w:p>
        </w:tc>
      </w:tr>
      <w:tr w14:paraId="7241415B">
        <w:tblPrEx>
          <w:tblCellMar>
            <w:top w:w="0" w:type="dxa"/>
            <w:left w:w="108" w:type="dxa"/>
            <w:bottom w:w="0" w:type="dxa"/>
            <w:right w:w="108" w:type="dxa"/>
          </w:tblCellMar>
        </w:tblPrEx>
        <w:trPr>
          <w:trHeight w:val="3120" w:hRule="atLeast"/>
        </w:trPr>
        <w:tc>
          <w:tcPr>
            <w:tcW w:w="1026" w:type="dxa"/>
            <w:tcBorders>
              <w:top w:val="nil"/>
              <w:left w:val="single" w:color="auto" w:sz="8" w:space="0"/>
              <w:bottom w:val="single" w:color="auto" w:sz="4" w:space="0"/>
              <w:right w:val="single" w:color="auto" w:sz="4" w:space="0"/>
            </w:tcBorders>
            <w:vAlign w:val="center"/>
          </w:tcPr>
          <w:p w14:paraId="3867F77E">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66FCD48E">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14:paraId="634F9F34">
            <w:pPr>
              <w:spacing w:line="260" w:lineRule="exact"/>
              <w:jc w:val="left"/>
              <w:rPr>
                <w:color w:val="000000"/>
                <w:kern w:val="0"/>
                <w:sz w:val="18"/>
                <w:szCs w:val="18"/>
              </w:rPr>
            </w:pPr>
            <w:r>
              <w:rPr>
                <w:rFonts w:hint="eastAsia"/>
                <w:color w:val="000000"/>
                <w:kern w:val="0"/>
                <w:sz w:val="18"/>
                <w:szCs w:val="18"/>
              </w:rPr>
              <w:t xml:space="preserve">         第三十五条　生产经营单位应当在有较大危险因素的生产经营场所和有关设施、设备上，设置明显的安全警示标志。</w:t>
            </w:r>
          </w:p>
          <w:p w14:paraId="4D09F9F5">
            <w:pPr>
              <w:spacing w:line="260" w:lineRule="exact"/>
              <w:jc w:val="left"/>
              <w:rPr>
                <w:color w:val="000000"/>
                <w:kern w:val="0"/>
                <w:sz w:val="18"/>
                <w:szCs w:val="18"/>
              </w:rPr>
            </w:pPr>
            <w:r>
              <w:rPr>
                <w:rFonts w:hint="eastAsia"/>
                <w:color w:val="000000"/>
                <w:kern w:val="0"/>
                <w:sz w:val="18"/>
                <w:szCs w:val="18"/>
              </w:rPr>
              <w:t xml:space="preserve">        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04C417F4">
            <w:pPr>
              <w:spacing w:line="260" w:lineRule="exact"/>
              <w:jc w:val="left"/>
              <w:rPr>
                <w:color w:val="000000"/>
                <w:kern w:val="0"/>
                <w:sz w:val="18"/>
                <w:szCs w:val="18"/>
              </w:rPr>
            </w:pPr>
            <w:r>
              <w:rPr>
                <w:rFonts w:hint="eastAsia"/>
                <w:color w:val="000000"/>
                <w:kern w:val="0"/>
                <w:sz w:val="18"/>
                <w:szCs w:val="18"/>
              </w:rPr>
              <w:t xml:space="preserve">        （一）未在有较大危险因素的生产经营场所和有关设施、设备上设置明显的安全警示标志的；</w:t>
            </w:r>
          </w:p>
          <w:p w14:paraId="55047378">
            <w:pPr>
              <w:spacing w:line="260" w:lineRule="exact"/>
              <w:jc w:val="left"/>
              <w:rPr>
                <w:color w:val="000000"/>
                <w:kern w:val="0"/>
                <w:sz w:val="18"/>
                <w:szCs w:val="18"/>
              </w:rPr>
            </w:pPr>
            <w:r>
              <w:rPr>
                <w:rFonts w:hint="eastAsia"/>
                <w:color w:val="000000"/>
                <w:kern w:val="0"/>
                <w:sz w:val="18"/>
                <w:szCs w:val="18"/>
              </w:rPr>
              <w:t xml:space="preserve">       第一百一十二条  生产经营单位违反本法规定，被责令改正且受到罚款处罚，拒不改正的，负有安全生产监督管理职责的部门可以自作出责令改正之日的次日起，按照原处罚数额按日连续处罚。</w:t>
            </w:r>
          </w:p>
          <w:p w14:paraId="1FBCFDC4">
            <w:pPr>
              <w:spacing w:line="26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24ACDF94">
            <w:pPr>
              <w:spacing w:line="260" w:lineRule="exact"/>
              <w:jc w:val="left"/>
              <w:rPr>
                <w:color w:val="000000"/>
                <w:kern w:val="0"/>
                <w:sz w:val="18"/>
                <w:szCs w:val="18"/>
              </w:rPr>
            </w:pPr>
            <w:r>
              <w:rPr>
                <w:rFonts w:hint="eastAsia"/>
                <w:color w:val="000000"/>
                <w:kern w:val="0"/>
                <w:sz w:val="18"/>
                <w:szCs w:val="18"/>
              </w:rPr>
              <w:t xml:space="preserve">       第二十八条第一款　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14:paraId="71E8D244">
            <w:pPr>
              <w:spacing w:line="260" w:lineRule="exact"/>
              <w:jc w:val="left"/>
              <w:rPr>
                <w:color w:val="000000"/>
                <w:kern w:val="0"/>
                <w:sz w:val="18"/>
                <w:szCs w:val="18"/>
              </w:rPr>
            </w:pPr>
            <w:r>
              <w:rPr>
                <w:rFonts w:hint="eastAsia"/>
                <w:color w:val="000000"/>
                <w:kern w:val="0"/>
                <w:sz w:val="18"/>
                <w:szCs w:val="18"/>
              </w:rPr>
              <w:t xml:space="preserve">        第三十一条　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14:paraId="490EEA1D">
            <w:pPr>
              <w:spacing w:line="260" w:lineRule="exact"/>
              <w:jc w:val="left"/>
              <w:rPr>
                <w:color w:val="000000"/>
                <w:kern w:val="0"/>
                <w:sz w:val="18"/>
                <w:szCs w:val="18"/>
              </w:rPr>
            </w:pPr>
            <w:r>
              <w:rPr>
                <w:rFonts w:hint="eastAsia"/>
                <w:color w:val="000000"/>
                <w:kern w:val="0"/>
                <w:sz w:val="18"/>
                <w:szCs w:val="18"/>
              </w:rPr>
              <w:t xml:space="preserve">        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 </w:t>
            </w:r>
          </w:p>
          <w:p w14:paraId="5128F533">
            <w:pPr>
              <w:spacing w:line="260" w:lineRule="exact"/>
              <w:jc w:val="left"/>
              <w:rPr>
                <w:color w:val="000000"/>
                <w:kern w:val="0"/>
                <w:sz w:val="18"/>
                <w:szCs w:val="18"/>
              </w:rPr>
            </w:pPr>
            <w:r>
              <w:rPr>
                <w:rFonts w:hint="eastAsia"/>
                <w:color w:val="000000"/>
                <w:kern w:val="0"/>
                <w:sz w:val="18"/>
                <w:szCs w:val="18"/>
              </w:rPr>
              <w:t xml:space="preserve">     （三）未在施工现场的危险部位设置明显的安全警示标志，或者未按照国家有关规定在施工现场设置消防通道、消防水源、配备消防设施和灭火器材的。</w:t>
            </w:r>
          </w:p>
          <w:p w14:paraId="45DB4590">
            <w:pPr>
              <w:spacing w:line="26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w:t>
            </w:r>
          </w:p>
          <w:p w14:paraId="0664F7BC">
            <w:pPr>
              <w:spacing w:line="26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p>
          <w:p w14:paraId="5F5A89E2">
            <w:pPr>
              <w:spacing w:line="260" w:lineRule="exact"/>
              <w:jc w:val="left"/>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tc>
      </w:tr>
      <w:tr w14:paraId="5F52E5C9">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00465D1C">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2F38A01B">
            <w:pPr>
              <w:spacing w:line="26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w:t>
            </w:r>
          </w:p>
        </w:tc>
      </w:tr>
      <w:tr w14:paraId="1077BA2B">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051F8E1C">
            <w:pPr>
              <w:spacing w:line="320" w:lineRule="exact"/>
              <w:jc w:val="center"/>
              <w:rPr>
                <w:color w:val="000000"/>
                <w:kern w:val="0"/>
                <w:sz w:val="18"/>
                <w:szCs w:val="18"/>
              </w:rPr>
            </w:pPr>
            <w:r>
              <w:rPr>
                <w:rFonts w:hint="eastAsia"/>
                <w:color w:val="000000"/>
                <w:kern w:val="0"/>
                <w:sz w:val="18"/>
                <w:szCs w:val="18"/>
              </w:rPr>
              <w:t>裁量基准</w:t>
            </w:r>
          </w:p>
        </w:tc>
      </w:tr>
      <w:tr w14:paraId="4B1F5721">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right w:val="single" w:color="auto" w:sz="4" w:space="0"/>
            </w:tcBorders>
            <w:vAlign w:val="center"/>
          </w:tcPr>
          <w:p w14:paraId="2730EE0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6DEA522">
            <w:pPr>
              <w:spacing w:line="320" w:lineRule="exact"/>
              <w:jc w:val="left"/>
              <w:rPr>
                <w:color w:val="000000"/>
                <w:kern w:val="0"/>
                <w:sz w:val="18"/>
                <w:szCs w:val="18"/>
              </w:rPr>
            </w:pPr>
            <w:r>
              <w:rPr>
                <w:rFonts w:hint="eastAsia"/>
                <w:color w:val="000000"/>
                <w:kern w:val="0"/>
                <w:sz w:val="18"/>
                <w:szCs w:val="18"/>
              </w:rPr>
              <w:t>按要求改正的，未发生生产安全事故的</w:t>
            </w:r>
          </w:p>
        </w:tc>
        <w:tc>
          <w:tcPr>
            <w:tcW w:w="1120" w:type="dxa"/>
            <w:vMerge w:val="restart"/>
            <w:tcBorders>
              <w:top w:val="nil"/>
              <w:left w:val="single" w:color="auto" w:sz="4" w:space="0"/>
              <w:right w:val="single" w:color="auto" w:sz="4" w:space="0"/>
            </w:tcBorders>
            <w:vAlign w:val="center"/>
          </w:tcPr>
          <w:p w14:paraId="0C3FBA8D">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single" w:color="auto" w:sz="4" w:space="0"/>
              <w:left w:val="nil"/>
              <w:bottom w:val="single" w:color="auto" w:sz="4" w:space="0"/>
              <w:right w:val="single" w:color="auto" w:sz="4" w:space="0"/>
            </w:tcBorders>
            <w:vAlign w:val="center"/>
          </w:tcPr>
          <w:p w14:paraId="5780DDF3">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14:paraId="1AAAFD09">
        <w:tblPrEx>
          <w:tblCellMar>
            <w:top w:w="0" w:type="dxa"/>
            <w:left w:w="108" w:type="dxa"/>
            <w:bottom w:w="0" w:type="dxa"/>
            <w:right w:w="108" w:type="dxa"/>
          </w:tblCellMar>
        </w:tblPrEx>
        <w:trPr>
          <w:trHeight w:val="285" w:hRule="atLeast"/>
        </w:trPr>
        <w:tc>
          <w:tcPr>
            <w:tcW w:w="1026" w:type="dxa"/>
            <w:vMerge w:val="continue"/>
            <w:tcBorders>
              <w:left w:val="single" w:color="auto" w:sz="8" w:space="0"/>
              <w:right w:val="single" w:color="auto" w:sz="4" w:space="0"/>
            </w:tcBorders>
            <w:vAlign w:val="center"/>
          </w:tcPr>
          <w:p w14:paraId="46C96323">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180F2B5">
            <w:pPr>
              <w:spacing w:line="320" w:lineRule="exact"/>
              <w:jc w:val="left"/>
              <w:rPr>
                <w:color w:val="000000"/>
                <w:kern w:val="0"/>
                <w:sz w:val="18"/>
                <w:szCs w:val="18"/>
              </w:rPr>
            </w:pPr>
            <w:r>
              <w:rPr>
                <w:rFonts w:hint="eastAsia"/>
                <w:color w:val="000000"/>
                <w:kern w:val="0"/>
                <w:sz w:val="18"/>
                <w:szCs w:val="18"/>
              </w:rPr>
              <w:t>按要求改正的，发生生产安全事故的</w:t>
            </w:r>
          </w:p>
        </w:tc>
        <w:tc>
          <w:tcPr>
            <w:tcW w:w="1120" w:type="dxa"/>
            <w:vMerge w:val="continue"/>
            <w:tcBorders>
              <w:left w:val="single" w:color="auto" w:sz="4" w:space="0"/>
              <w:right w:val="single" w:color="auto" w:sz="4" w:space="0"/>
            </w:tcBorders>
            <w:vAlign w:val="center"/>
          </w:tcPr>
          <w:p w14:paraId="53FC9080">
            <w:pPr>
              <w:spacing w:line="320" w:lineRule="exact"/>
              <w:jc w:val="center"/>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3146E65F">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14:paraId="47B147E4">
        <w:tblPrEx>
          <w:tblCellMar>
            <w:top w:w="0" w:type="dxa"/>
            <w:left w:w="108" w:type="dxa"/>
            <w:bottom w:w="0" w:type="dxa"/>
            <w:right w:w="108" w:type="dxa"/>
          </w:tblCellMar>
        </w:tblPrEx>
        <w:trPr>
          <w:trHeight w:val="285" w:hRule="atLeast"/>
        </w:trPr>
        <w:tc>
          <w:tcPr>
            <w:tcW w:w="1026" w:type="dxa"/>
            <w:vMerge w:val="continue"/>
            <w:tcBorders>
              <w:left w:val="single" w:color="auto" w:sz="8" w:space="0"/>
              <w:right w:val="single" w:color="auto" w:sz="4" w:space="0"/>
            </w:tcBorders>
            <w:vAlign w:val="center"/>
          </w:tcPr>
          <w:p w14:paraId="4967C15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293FEC0">
            <w:pPr>
              <w:spacing w:line="320" w:lineRule="exact"/>
              <w:jc w:val="left"/>
              <w:rPr>
                <w:color w:val="000000"/>
                <w:kern w:val="0"/>
                <w:sz w:val="18"/>
                <w:szCs w:val="18"/>
              </w:rPr>
            </w:pPr>
            <w:r>
              <w:rPr>
                <w:rFonts w:hint="eastAsia"/>
                <w:color w:val="000000"/>
                <w:kern w:val="0"/>
                <w:sz w:val="18"/>
                <w:szCs w:val="18"/>
              </w:rPr>
              <w:t>未按要求改正的，未发生生产安全事故的</w:t>
            </w:r>
          </w:p>
        </w:tc>
        <w:tc>
          <w:tcPr>
            <w:tcW w:w="1120" w:type="dxa"/>
            <w:vMerge w:val="continue"/>
            <w:tcBorders>
              <w:left w:val="single" w:color="auto" w:sz="4" w:space="0"/>
              <w:right w:val="single" w:color="auto" w:sz="4" w:space="0"/>
            </w:tcBorders>
            <w:vAlign w:val="center"/>
          </w:tcPr>
          <w:p w14:paraId="7D77024B">
            <w:pPr>
              <w:spacing w:line="320" w:lineRule="exact"/>
              <w:jc w:val="left"/>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1EE30B0F">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5A61CC14">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14:paraId="7F7502D5">
        <w:tblPrEx>
          <w:tblCellMar>
            <w:top w:w="0" w:type="dxa"/>
            <w:left w:w="108" w:type="dxa"/>
            <w:bottom w:w="0" w:type="dxa"/>
            <w:right w:w="108" w:type="dxa"/>
          </w:tblCellMar>
        </w:tblPrEx>
        <w:trPr>
          <w:trHeight w:val="285" w:hRule="atLeast"/>
        </w:trPr>
        <w:tc>
          <w:tcPr>
            <w:tcW w:w="1026" w:type="dxa"/>
            <w:vMerge w:val="continue"/>
            <w:tcBorders>
              <w:left w:val="single" w:color="auto" w:sz="8" w:space="0"/>
              <w:bottom w:val="single" w:color="auto" w:sz="4" w:space="0"/>
              <w:right w:val="single" w:color="auto" w:sz="4" w:space="0"/>
            </w:tcBorders>
            <w:vAlign w:val="center"/>
          </w:tcPr>
          <w:p w14:paraId="490E1F1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D6CA301">
            <w:pPr>
              <w:spacing w:line="320" w:lineRule="exact"/>
              <w:jc w:val="left"/>
              <w:rPr>
                <w:color w:val="000000"/>
                <w:kern w:val="0"/>
                <w:sz w:val="18"/>
                <w:szCs w:val="18"/>
              </w:rPr>
            </w:pPr>
            <w:r>
              <w:rPr>
                <w:rFonts w:hint="eastAsia"/>
                <w:color w:val="000000"/>
                <w:kern w:val="0"/>
                <w:sz w:val="18"/>
                <w:szCs w:val="18"/>
              </w:rPr>
              <w:t>未按要求改正的，发生安全事故的</w:t>
            </w:r>
          </w:p>
        </w:tc>
        <w:tc>
          <w:tcPr>
            <w:tcW w:w="1120" w:type="dxa"/>
            <w:tcBorders>
              <w:left w:val="single" w:color="auto" w:sz="4" w:space="0"/>
              <w:bottom w:val="single" w:color="auto" w:sz="4" w:space="0"/>
              <w:right w:val="single" w:color="auto" w:sz="4" w:space="0"/>
            </w:tcBorders>
            <w:vAlign w:val="center"/>
          </w:tcPr>
          <w:p w14:paraId="7F99E75B">
            <w:pPr>
              <w:spacing w:line="320" w:lineRule="exact"/>
              <w:jc w:val="left"/>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5162143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14:paraId="75686077">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14:paraId="2289B6CC"/>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42C351C2">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6278CE3B">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7CBEAE6B">
            <w:pPr>
              <w:spacing w:line="320" w:lineRule="exact"/>
              <w:jc w:val="left"/>
              <w:rPr>
                <w:rFonts w:eastAsia="仿宋_GB2312"/>
                <w:b/>
                <w:bCs/>
                <w:color w:val="000000"/>
                <w:kern w:val="0"/>
                <w:sz w:val="18"/>
                <w:szCs w:val="18"/>
              </w:rPr>
            </w:pPr>
            <w:r>
              <w:rPr>
                <w:rFonts w:eastAsia="仿宋_GB2312"/>
                <w:b/>
                <w:bCs/>
                <w:color w:val="000000"/>
                <w:kern w:val="0"/>
                <w:sz w:val="18"/>
                <w:szCs w:val="18"/>
              </w:rPr>
              <w:t>320217011000</w:t>
            </w:r>
            <w:r>
              <w:rPr>
                <w:rFonts w:hint="eastAsia" w:eastAsia="仿宋_GB2312"/>
                <w:b/>
                <w:bCs/>
                <w:color w:val="000000"/>
                <w:kern w:val="0"/>
                <w:sz w:val="18"/>
                <w:szCs w:val="18"/>
              </w:rPr>
              <w:t xml:space="preserve"> </w:t>
            </w:r>
          </w:p>
        </w:tc>
      </w:tr>
      <w:tr w14:paraId="3AD27365">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63650C2E">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00187EFE">
            <w:pPr>
              <w:spacing w:line="320" w:lineRule="exact"/>
              <w:jc w:val="left"/>
              <w:rPr>
                <w:color w:val="000000"/>
                <w:kern w:val="0"/>
                <w:sz w:val="18"/>
                <w:szCs w:val="18"/>
              </w:rPr>
            </w:pPr>
            <w:r>
              <w:rPr>
                <w:rFonts w:hint="eastAsia"/>
                <w:color w:val="000000"/>
                <w:kern w:val="0"/>
                <w:sz w:val="18"/>
                <w:szCs w:val="18"/>
              </w:rPr>
              <w:t>对施工单位施工前未对有关安全施工的技术要求作出详细说明的处罚</w:t>
            </w:r>
          </w:p>
        </w:tc>
      </w:tr>
      <w:tr w14:paraId="565CA857">
        <w:tblPrEx>
          <w:tblCellMar>
            <w:top w:w="0" w:type="dxa"/>
            <w:left w:w="108" w:type="dxa"/>
            <w:bottom w:w="0" w:type="dxa"/>
            <w:right w:w="108" w:type="dxa"/>
          </w:tblCellMar>
        </w:tblPrEx>
        <w:trPr>
          <w:trHeight w:val="1560" w:hRule="atLeast"/>
        </w:trPr>
        <w:tc>
          <w:tcPr>
            <w:tcW w:w="1026" w:type="dxa"/>
            <w:tcBorders>
              <w:top w:val="nil"/>
              <w:left w:val="single" w:color="auto" w:sz="8" w:space="0"/>
              <w:bottom w:val="single" w:color="auto" w:sz="4" w:space="0"/>
              <w:right w:val="single" w:color="auto" w:sz="4" w:space="0"/>
            </w:tcBorders>
            <w:vAlign w:val="center"/>
          </w:tcPr>
          <w:p w14:paraId="05500A74">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18786C9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209C2414">
            <w:pPr>
              <w:spacing w:line="320" w:lineRule="exact"/>
              <w:jc w:val="left"/>
              <w:rPr>
                <w:color w:val="000000"/>
                <w:kern w:val="0"/>
                <w:sz w:val="18"/>
                <w:szCs w:val="18"/>
              </w:rPr>
            </w:pPr>
            <w:r>
              <w:rPr>
                <w:rFonts w:hint="eastAsia"/>
                <w:color w:val="000000"/>
                <w:kern w:val="0"/>
                <w:sz w:val="18"/>
                <w:szCs w:val="18"/>
              </w:rPr>
              <w:t>第二十七条　建设工程施工前，施工单位负责项目管理的技术人员应当对有关安全施工的技术要求向施工作业班组、作业人员作出详细说明，并由双方签字确认。</w:t>
            </w:r>
          </w:p>
          <w:p w14:paraId="17CAA276">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14:paraId="0158F09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（一）施工前未对有关安全施工的技术要求作出详细说明的。</w:t>
            </w:r>
          </w:p>
          <w:p w14:paraId="332DA91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526D597A">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27319351">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38F1831E">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431606DB">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2C625554">
            <w:pPr>
              <w:spacing w:line="320" w:lineRule="exact"/>
              <w:jc w:val="center"/>
              <w:rPr>
                <w:color w:val="000000"/>
                <w:kern w:val="0"/>
                <w:sz w:val="18"/>
                <w:szCs w:val="18"/>
              </w:rPr>
            </w:pPr>
            <w:r>
              <w:rPr>
                <w:rFonts w:hint="eastAsia"/>
                <w:color w:val="000000"/>
                <w:kern w:val="0"/>
                <w:sz w:val="18"/>
                <w:szCs w:val="18"/>
              </w:rPr>
              <w:t>裁量基准</w:t>
            </w:r>
          </w:p>
        </w:tc>
      </w:tr>
      <w:tr w14:paraId="048F9F94">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bottom w:val="single" w:color="auto" w:sz="4" w:space="0"/>
              <w:right w:val="single" w:color="auto" w:sz="4" w:space="0"/>
            </w:tcBorders>
            <w:vAlign w:val="center"/>
          </w:tcPr>
          <w:p w14:paraId="12D5409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4C767D0">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color="auto" w:sz="4" w:space="0"/>
              <w:bottom w:val="single" w:color="auto" w:sz="4" w:space="0"/>
              <w:right w:val="single" w:color="auto" w:sz="4" w:space="0"/>
            </w:tcBorders>
            <w:vAlign w:val="center"/>
          </w:tcPr>
          <w:p w14:paraId="21E84A94">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078D9144">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5593AA76">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7F04521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803A8C4">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val="continue"/>
            <w:tcBorders>
              <w:top w:val="nil"/>
              <w:left w:val="single" w:color="auto" w:sz="4" w:space="0"/>
              <w:bottom w:val="single" w:color="auto" w:sz="4" w:space="0"/>
              <w:right w:val="single" w:color="auto" w:sz="4" w:space="0"/>
            </w:tcBorders>
            <w:vAlign w:val="center"/>
          </w:tcPr>
          <w:p w14:paraId="23B7ECFD">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0C439853">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6CA07EF1"/>
    <w:p w14:paraId="76BE9492"/>
    <w:p w14:paraId="6AC6726A"/>
    <w:p w14:paraId="516E71C3"/>
    <w:p w14:paraId="2899AB09"/>
    <w:p w14:paraId="13CE5EC5"/>
    <w:p w14:paraId="2281823E"/>
    <w:p w14:paraId="2FA5A04F"/>
    <w:p w14:paraId="4F429D0D"/>
    <w:p w14:paraId="345AE610"/>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66AACCFB">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52F72E2">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569B3D7C">
            <w:pPr>
              <w:spacing w:line="320" w:lineRule="exact"/>
              <w:jc w:val="left"/>
              <w:rPr>
                <w:rFonts w:eastAsia="仿宋_GB2312"/>
                <w:b/>
                <w:bCs/>
                <w:color w:val="000000"/>
                <w:kern w:val="0"/>
                <w:sz w:val="18"/>
                <w:szCs w:val="18"/>
              </w:rPr>
            </w:pPr>
            <w:r>
              <w:rPr>
                <w:rFonts w:eastAsia="仿宋_GB2312"/>
                <w:b/>
                <w:bCs/>
                <w:color w:val="000000"/>
                <w:kern w:val="0"/>
                <w:sz w:val="18"/>
                <w:szCs w:val="18"/>
              </w:rPr>
              <w:t>320217012000</w:t>
            </w:r>
          </w:p>
        </w:tc>
      </w:tr>
      <w:tr w14:paraId="7AF6216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85915B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3B783055">
            <w:pPr>
              <w:spacing w:line="320" w:lineRule="exact"/>
              <w:jc w:val="left"/>
              <w:rPr>
                <w:color w:val="000000"/>
                <w:kern w:val="0"/>
                <w:sz w:val="18"/>
                <w:szCs w:val="18"/>
              </w:rPr>
            </w:pPr>
            <w:r>
              <w:rPr>
                <w:rFonts w:hint="eastAsia"/>
                <w:color w:val="000000"/>
                <w:kern w:val="0"/>
                <w:sz w:val="18"/>
                <w:szCs w:val="18"/>
              </w:rPr>
              <w:t>对注册建筑师、注册结构工程师、监理工程师等注册执业人员因过错造成质量事故的处罚</w:t>
            </w:r>
          </w:p>
        </w:tc>
      </w:tr>
      <w:tr w14:paraId="2291C60B">
        <w:tblPrEx>
          <w:tblCellMar>
            <w:top w:w="0" w:type="dxa"/>
            <w:left w:w="108" w:type="dxa"/>
            <w:bottom w:w="0" w:type="dxa"/>
            <w:right w:w="108" w:type="dxa"/>
          </w:tblCellMar>
        </w:tblPrEx>
        <w:trPr>
          <w:trHeight w:val="1305" w:hRule="atLeast"/>
        </w:trPr>
        <w:tc>
          <w:tcPr>
            <w:tcW w:w="1056" w:type="dxa"/>
            <w:tcBorders>
              <w:top w:val="nil"/>
              <w:left w:val="single" w:color="auto" w:sz="8" w:space="0"/>
              <w:bottom w:val="single" w:color="auto" w:sz="4" w:space="0"/>
              <w:right w:val="single" w:color="auto" w:sz="4" w:space="0"/>
            </w:tcBorders>
            <w:vAlign w:val="center"/>
          </w:tcPr>
          <w:p w14:paraId="05F15C22">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46B67B0E">
            <w:pPr>
              <w:spacing w:line="32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6103EBC3">
            <w:pPr>
              <w:spacing w:line="320" w:lineRule="exact"/>
              <w:jc w:val="left"/>
              <w:rPr>
                <w:color w:val="000000"/>
                <w:kern w:val="0"/>
                <w:sz w:val="18"/>
                <w:szCs w:val="18"/>
              </w:rPr>
            </w:pPr>
            <w:r>
              <w:rPr>
                <w:rFonts w:hint="eastAsia"/>
                <w:color w:val="000000"/>
                <w:kern w:val="0"/>
                <w:sz w:val="18"/>
                <w:szCs w:val="18"/>
              </w:rPr>
              <w:t>第十九条第二款</w:t>
            </w:r>
            <w:r>
              <w:rPr>
                <w:color w:val="000000"/>
                <w:kern w:val="0"/>
                <w:sz w:val="18"/>
                <w:szCs w:val="18"/>
              </w:rPr>
              <w:t xml:space="preserve">  </w:t>
            </w:r>
            <w:r>
              <w:rPr>
                <w:rFonts w:hint="eastAsia"/>
                <w:color w:val="000000"/>
                <w:kern w:val="0"/>
                <w:sz w:val="18"/>
                <w:szCs w:val="18"/>
              </w:rPr>
              <w:t>注册建筑师、注册结构工程师等注册执业人员应当在设计文件上签字，对设计文件负责。</w:t>
            </w:r>
          </w:p>
          <w:p w14:paraId="5DDD155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监理工程师应当按照工程监理规范的要求，采取旁站、巡视和平行检验等形式，对建设工程实施监理。</w:t>
            </w:r>
          </w:p>
          <w:p w14:paraId="35D36F4B">
            <w:pPr>
              <w:spacing w:line="320" w:lineRule="exact"/>
              <w:jc w:val="left"/>
              <w:rPr>
                <w:color w:val="000000"/>
                <w:kern w:val="0"/>
                <w:sz w:val="18"/>
                <w:szCs w:val="18"/>
              </w:rPr>
            </w:pPr>
            <w:r>
              <w:rPr>
                <w:rFonts w:hint="eastAsia"/>
                <w:color w:val="000000"/>
                <w:kern w:val="0"/>
                <w:sz w:val="18"/>
                <w:szCs w:val="18"/>
              </w:rPr>
              <w:t>第七十二条</w:t>
            </w:r>
            <w:r>
              <w:rPr>
                <w:color w:val="000000"/>
                <w:kern w:val="0"/>
                <w:sz w:val="18"/>
                <w:szCs w:val="18"/>
              </w:rPr>
              <w:t xml:space="preserve"> </w:t>
            </w:r>
            <w:r>
              <w:rPr>
                <w:rFonts w:hint="eastAsia"/>
                <w:color w:val="000000"/>
                <w:kern w:val="0"/>
                <w:sz w:val="18"/>
                <w:szCs w:val="18"/>
              </w:rPr>
              <w:t>违反本条例规定，注册建筑师、注册结构工程师、监理工程师等注册执业人员因过错造成质量事故的，责令停止执业１年；造成重大质量事故的，吊销执业资格证书，</w:t>
            </w:r>
            <w:r>
              <w:rPr>
                <w:color w:val="000000"/>
                <w:kern w:val="0"/>
                <w:sz w:val="18"/>
                <w:szCs w:val="18"/>
              </w:rPr>
              <w:t>5</w:t>
            </w:r>
            <w:r>
              <w:rPr>
                <w:rFonts w:hint="eastAsia"/>
                <w:color w:val="000000"/>
                <w:kern w:val="0"/>
                <w:sz w:val="18"/>
                <w:szCs w:val="18"/>
              </w:rPr>
              <w:t>年以内不予注册；情节特别恶劣的，终身不予注册。</w:t>
            </w:r>
          </w:p>
          <w:p w14:paraId="4808C820">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210F370E">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4" w:space="0"/>
              <w:bottom w:val="single" w:color="auto" w:sz="4" w:space="0"/>
              <w:right w:val="single" w:color="auto" w:sz="4" w:space="0"/>
            </w:tcBorders>
            <w:vAlign w:val="center"/>
          </w:tcPr>
          <w:p w14:paraId="55B34DAD">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4" w:space="0"/>
            </w:tcBorders>
            <w:vAlign w:val="center"/>
          </w:tcPr>
          <w:p w14:paraId="16A83FD5">
            <w:pPr>
              <w:spacing w:line="320" w:lineRule="exact"/>
              <w:jc w:val="left"/>
              <w:rPr>
                <w:color w:val="000000"/>
                <w:kern w:val="0"/>
                <w:sz w:val="18"/>
                <w:szCs w:val="18"/>
              </w:rPr>
            </w:pPr>
            <w:r>
              <w:rPr>
                <w:rFonts w:hint="eastAsia"/>
                <w:color w:val="000000"/>
                <w:kern w:val="0"/>
                <w:sz w:val="18"/>
                <w:szCs w:val="18"/>
              </w:rPr>
              <w:t>责令停止执业１年，吊销执业资格证书，</w:t>
            </w:r>
            <w:r>
              <w:rPr>
                <w:color w:val="000000"/>
                <w:kern w:val="0"/>
                <w:sz w:val="18"/>
                <w:szCs w:val="18"/>
              </w:rPr>
              <w:t>5</w:t>
            </w:r>
            <w:r>
              <w:rPr>
                <w:rFonts w:hint="eastAsia"/>
                <w:color w:val="000000"/>
                <w:kern w:val="0"/>
                <w:sz w:val="18"/>
                <w:szCs w:val="18"/>
              </w:rPr>
              <w:t>年以内不予注册，终身不予注册</w:t>
            </w:r>
          </w:p>
        </w:tc>
      </w:tr>
      <w:tr w14:paraId="3D22C6CA">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4" w:space="0"/>
              <w:bottom w:val="single" w:color="auto" w:sz="4" w:space="0"/>
              <w:right w:val="single" w:color="auto" w:sz="4" w:space="0"/>
            </w:tcBorders>
            <w:vAlign w:val="center"/>
          </w:tcPr>
          <w:p w14:paraId="73B83702">
            <w:pPr>
              <w:spacing w:line="320" w:lineRule="exact"/>
              <w:jc w:val="center"/>
              <w:rPr>
                <w:color w:val="000000"/>
                <w:kern w:val="0"/>
                <w:sz w:val="18"/>
                <w:szCs w:val="18"/>
              </w:rPr>
            </w:pPr>
            <w:r>
              <w:rPr>
                <w:rFonts w:hint="eastAsia"/>
                <w:color w:val="000000"/>
                <w:kern w:val="0"/>
                <w:sz w:val="18"/>
                <w:szCs w:val="18"/>
              </w:rPr>
              <w:t>裁量基准</w:t>
            </w:r>
          </w:p>
        </w:tc>
      </w:tr>
      <w:tr w14:paraId="44934E3C">
        <w:tblPrEx>
          <w:tblCellMar>
            <w:top w:w="0" w:type="dxa"/>
            <w:left w:w="108" w:type="dxa"/>
            <w:bottom w:w="0" w:type="dxa"/>
            <w:right w:w="108" w:type="dxa"/>
          </w:tblCellMar>
        </w:tblPrEx>
        <w:trPr>
          <w:trHeight w:val="980" w:hRule="atLeast"/>
        </w:trPr>
        <w:tc>
          <w:tcPr>
            <w:tcW w:w="1056" w:type="dxa"/>
            <w:tcBorders>
              <w:top w:val="single" w:color="auto" w:sz="4" w:space="0"/>
              <w:left w:val="single" w:color="auto" w:sz="4" w:space="0"/>
              <w:bottom w:val="single" w:color="auto" w:sz="4" w:space="0"/>
              <w:right w:val="single" w:color="auto" w:sz="4" w:space="0"/>
            </w:tcBorders>
            <w:vAlign w:val="center"/>
          </w:tcPr>
          <w:p w14:paraId="3A8F6F6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B3FA471">
            <w:pPr>
              <w:spacing w:line="320" w:lineRule="exact"/>
              <w:jc w:val="left"/>
              <w:rPr>
                <w:color w:val="000000"/>
                <w:kern w:val="0"/>
                <w:sz w:val="18"/>
                <w:szCs w:val="18"/>
              </w:rPr>
            </w:pPr>
          </w:p>
        </w:tc>
        <w:tc>
          <w:tcPr>
            <w:tcW w:w="1044" w:type="dxa"/>
            <w:tcBorders>
              <w:top w:val="single" w:color="auto" w:sz="4" w:space="0"/>
              <w:left w:val="nil"/>
              <w:bottom w:val="single" w:color="auto" w:sz="4" w:space="0"/>
              <w:right w:val="single" w:color="auto" w:sz="4" w:space="0"/>
            </w:tcBorders>
            <w:vAlign w:val="center"/>
          </w:tcPr>
          <w:p w14:paraId="40E6D828">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nil"/>
              <w:bottom w:val="single" w:color="auto" w:sz="4" w:space="0"/>
              <w:right w:val="single" w:color="auto" w:sz="4" w:space="0"/>
            </w:tcBorders>
            <w:vAlign w:val="center"/>
          </w:tcPr>
          <w:p w14:paraId="7F1E55BF">
            <w:pPr>
              <w:spacing w:line="320" w:lineRule="exact"/>
              <w:jc w:val="left"/>
              <w:rPr>
                <w:color w:val="000000"/>
                <w:kern w:val="0"/>
                <w:sz w:val="18"/>
                <w:szCs w:val="18"/>
              </w:rPr>
            </w:pPr>
          </w:p>
        </w:tc>
      </w:tr>
    </w:tbl>
    <w:p w14:paraId="41A11D7D"/>
    <w:p w14:paraId="12BCA17C"/>
    <w:p w14:paraId="390864D4"/>
    <w:p w14:paraId="6BC1F5C8"/>
    <w:p w14:paraId="504D86E8"/>
    <w:p w14:paraId="1E3DA454"/>
    <w:p w14:paraId="27A2A416"/>
    <w:p w14:paraId="3A9FA14C"/>
    <w:tbl>
      <w:tblPr>
        <w:tblStyle w:val="15"/>
        <w:tblW w:w="0" w:type="auto"/>
        <w:tblInd w:w="88" w:type="dxa"/>
        <w:tblLayout w:type="fixed"/>
        <w:tblCellMar>
          <w:top w:w="0" w:type="dxa"/>
          <w:left w:w="108" w:type="dxa"/>
          <w:bottom w:w="0" w:type="dxa"/>
          <w:right w:w="108" w:type="dxa"/>
        </w:tblCellMar>
      </w:tblPr>
      <w:tblGrid>
        <w:gridCol w:w="1070"/>
        <w:gridCol w:w="6140"/>
        <w:gridCol w:w="1150"/>
        <w:gridCol w:w="5700"/>
      </w:tblGrid>
      <w:tr w14:paraId="34287560">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0360053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6B763E9E">
            <w:pPr>
              <w:spacing w:line="320" w:lineRule="exact"/>
              <w:jc w:val="left"/>
              <w:rPr>
                <w:rFonts w:eastAsia="仿宋_GB2312"/>
                <w:b/>
                <w:bCs/>
                <w:color w:val="000000"/>
                <w:kern w:val="0"/>
                <w:sz w:val="18"/>
                <w:szCs w:val="18"/>
              </w:rPr>
            </w:pPr>
            <w:r>
              <w:rPr>
                <w:rFonts w:eastAsia="仿宋_GB2312"/>
                <w:b/>
                <w:bCs/>
                <w:color w:val="000000"/>
                <w:kern w:val="0"/>
                <w:sz w:val="18"/>
                <w:szCs w:val="18"/>
              </w:rPr>
              <w:t>320217013000</w:t>
            </w:r>
            <w:r>
              <w:rPr>
                <w:rFonts w:hint="eastAsia" w:eastAsia="仿宋_GB2312"/>
                <w:b/>
                <w:bCs/>
                <w:color w:val="000000"/>
                <w:kern w:val="0"/>
                <w:sz w:val="18"/>
                <w:szCs w:val="18"/>
              </w:rPr>
              <w:t xml:space="preserve"> </w:t>
            </w:r>
          </w:p>
        </w:tc>
      </w:tr>
      <w:tr w14:paraId="6E2B2559">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1427E24">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55CE1919">
            <w:pPr>
              <w:spacing w:line="320" w:lineRule="exact"/>
              <w:jc w:val="left"/>
              <w:rPr>
                <w:color w:val="000000"/>
                <w:kern w:val="0"/>
                <w:sz w:val="18"/>
                <w:szCs w:val="18"/>
              </w:rPr>
            </w:pPr>
            <w:r>
              <w:rPr>
                <w:rFonts w:hint="eastAsia"/>
                <w:color w:val="000000"/>
                <w:kern w:val="0"/>
                <w:sz w:val="18"/>
                <w:szCs w:val="18"/>
              </w:rPr>
              <w:t>对出租机械设备和施工机具及配件的单位出租未经安全性能检测或者经检测不合格的机械设备和施工机具及配件的处罚</w:t>
            </w:r>
          </w:p>
        </w:tc>
      </w:tr>
      <w:tr w14:paraId="0E4B4933">
        <w:tblPrEx>
          <w:tblCellMar>
            <w:top w:w="0" w:type="dxa"/>
            <w:left w:w="108" w:type="dxa"/>
            <w:bottom w:w="0" w:type="dxa"/>
            <w:right w:w="108" w:type="dxa"/>
          </w:tblCellMar>
        </w:tblPrEx>
        <w:trPr>
          <w:trHeight w:val="1275" w:hRule="atLeast"/>
        </w:trPr>
        <w:tc>
          <w:tcPr>
            <w:tcW w:w="1070" w:type="dxa"/>
            <w:tcBorders>
              <w:top w:val="nil"/>
              <w:left w:val="single" w:color="auto" w:sz="8" w:space="0"/>
              <w:bottom w:val="single" w:color="auto" w:sz="4" w:space="0"/>
              <w:right w:val="single" w:color="auto" w:sz="4" w:space="0"/>
            </w:tcBorders>
            <w:vAlign w:val="center"/>
          </w:tcPr>
          <w:p w14:paraId="1176CDB8">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0ABB7B7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0D1DDA5A">
            <w:pPr>
              <w:spacing w:line="320" w:lineRule="exact"/>
              <w:jc w:val="left"/>
              <w:rPr>
                <w:color w:val="000000"/>
                <w:kern w:val="0"/>
                <w:sz w:val="18"/>
                <w:szCs w:val="18"/>
              </w:rPr>
            </w:pPr>
            <w:r>
              <w:rPr>
                <w:rFonts w:hint="eastAsia"/>
                <w:color w:val="000000"/>
                <w:kern w:val="0"/>
                <w:sz w:val="18"/>
                <w:szCs w:val="18"/>
              </w:rPr>
              <w:t>第十六条第二款</w:t>
            </w:r>
            <w:r>
              <w:rPr>
                <w:color w:val="000000"/>
                <w:kern w:val="0"/>
                <w:sz w:val="18"/>
                <w:szCs w:val="18"/>
              </w:rPr>
              <w:t xml:space="preserve">  </w:t>
            </w:r>
            <w:r>
              <w:rPr>
                <w:rFonts w:hint="eastAsia"/>
                <w:color w:val="000000"/>
                <w:kern w:val="0"/>
                <w:sz w:val="18"/>
                <w:szCs w:val="18"/>
              </w:rPr>
              <w:t>出租单位应当对出租的机械设备和施工机具及配件的安全性能进行检测，在签订租赁协议时，应当出具检测合格证明。</w:t>
            </w:r>
            <w:r>
              <w:rPr>
                <w:color w:val="000000"/>
                <w:kern w:val="0"/>
                <w:sz w:val="18"/>
                <w:szCs w:val="18"/>
              </w:rPr>
              <w:t xml:space="preserve"> </w:t>
            </w:r>
          </w:p>
          <w:p w14:paraId="46DCE4CA">
            <w:pPr>
              <w:spacing w:line="320" w:lineRule="exact"/>
              <w:jc w:val="left"/>
              <w:rPr>
                <w:color w:val="000000"/>
                <w:kern w:val="0"/>
                <w:sz w:val="18"/>
                <w:szCs w:val="18"/>
              </w:rPr>
            </w:pP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禁止出租检测不合格的机械设备和施工机具及配件。</w:t>
            </w:r>
          </w:p>
          <w:p w14:paraId="584BE9E8">
            <w:pPr>
              <w:spacing w:line="320" w:lineRule="exact"/>
              <w:jc w:val="left"/>
              <w:rPr>
                <w:color w:val="000000"/>
                <w:kern w:val="0"/>
                <w:sz w:val="18"/>
                <w:szCs w:val="18"/>
              </w:rPr>
            </w:pPr>
            <w:r>
              <w:rPr>
                <w:rFonts w:hint="eastAsia"/>
                <w:color w:val="000000"/>
                <w:kern w:val="0"/>
                <w:sz w:val="18"/>
                <w:szCs w:val="18"/>
              </w:rPr>
              <w:t>第六十条</w:t>
            </w:r>
            <w:r>
              <w:rPr>
                <w:color w:val="000000"/>
                <w:kern w:val="0"/>
                <w:sz w:val="18"/>
                <w:szCs w:val="18"/>
              </w:rPr>
              <w:t xml:space="preserve"> </w:t>
            </w:r>
            <w:r>
              <w:rPr>
                <w:rFonts w:hint="eastAsia"/>
                <w:color w:val="000000"/>
                <w:kern w:val="0"/>
                <w:sz w:val="18"/>
                <w:szCs w:val="18"/>
              </w:rPr>
              <w:t>违反本条例的规定，出租单位出租未经安全性能检测或者经检测不合格的机械设备和施工机具及配件的，责令停业整顿，并处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万元以下的罚款；造成损失的，依法承担赔偿责任。</w:t>
            </w:r>
            <w:r>
              <w:rPr>
                <w:color w:val="000000"/>
                <w:kern w:val="0"/>
                <w:sz w:val="18"/>
                <w:szCs w:val="18"/>
              </w:rPr>
              <w:t xml:space="preserve"> </w:t>
            </w:r>
          </w:p>
          <w:p w14:paraId="5A8AAD56">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48E1B75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6DA27D0">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1FBE1CB9">
            <w:pPr>
              <w:spacing w:line="320" w:lineRule="exact"/>
              <w:jc w:val="left"/>
              <w:rPr>
                <w:color w:val="000000"/>
                <w:kern w:val="0"/>
                <w:sz w:val="18"/>
                <w:szCs w:val="18"/>
              </w:rPr>
            </w:pPr>
            <w:r>
              <w:rPr>
                <w:rFonts w:hint="eastAsia"/>
                <w:color w:val="000000"/>
                <w:kern w:val="0"/>
                <w:sz w:val="18"/>
                <w:szCs w:val="18"/>
              </w:rPr>
              <w:t>罚款，责令停业整顿</w:t>
            </w:r>
          </w:p>
        </w:tc>
      </w:tr>
      <w:tr w14:paraId="4ABCF220">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3BB583BC">
            <w:pPr>
              <w:spacing w:line="320" w:lineRule="exact"/>
              <w:jc w:val="center"/>
              <w:rPr>
                <w:color w:val="000000"/>
                <w:kern w:val="0"/>
                <w:sz w:val="18"/>
                <w:szCs w:val="18"/>
              </w:rPr>
            </w:pPr>
            <w:r>
              <w:rPr>
                <w:rFonts w:hint="eastAsia"/>
                <w:color w:val="000000"/>
                <w:kern w:val="0"/>
                <w:sz w:val="18"/>
                <w:szCs w:val="18"/>
              </w:rPr>
              <w:t>裁量基准</w:t>
            </w:r>
          </w:p>
        </w:tc>
      </w:tr>
      <w:tr w14:paraId="414A5DF7">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5348ACC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3593DFC">
            <w:pPr>
              <w:spacing w:line="320" w:lineRule="exact"/>
              <w:jc w:val="left"/>
              <w:rPr>
                <w:color w:val="000000"/>
                <w:kern w:val="0"/>
                <w:sz w:val="18"/>
                <w:szCs w:val="18"/>
              </w:rPr>
            </w:pPr>
            <w:r>
              <w:rPr>
                <w:rFonts w:hint="eastAsia"/>
                <w:color w:val="000000"/>
                <w:kern w:val="0"/>
                <w:sz w:val="18"/>
                <w:szCs w:val="18"/>
              </w:rPr>
              <w:t>未投入使用的</w:t>
            </w:r>
          </w:p>
        </w:tc>
        <w:tc>
          <w:tcPr>
            <w:tcW w:w="1150" w:type="dxa"/>
            <w:vMerge w:val="restart"/>
            <w:tcBorders>
              <w:top w:val="nil"/>
              <w:left w:val="single" w:color="auto" w:sz="4" w:space="0"/>
              <w:bottom w:val="single" w:color="auto" w:sz="4" w:space="0"/>
              <w:right w:val="single" w:color="auto" w:sz="4" w:space="0"/>
            </w:tcBorders>
            <w:vAlign w:val="center"/>
          </w:tcPr>
          <w:p w14:paraId="3CD1D8CF">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color="auto" w:sz="4" w:space="0"/>
              <w:right w:val="single" w:color="auto" w:sz="8" w:space="0"/>
            </w:tcBorders>
            <w:vAlign w:val="center"/>
          </w:tcPr>
          <w:p w14:paraId="162A9C5A">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5A3B8E32">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42141AD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C980905">
            <w:pPr>
              <w:spacing w:line="320" w:lineRule="exact"/>
              <w:jc w:val="left"/>
              <w:rPr>
                <w:color w:val="000000"/>
                <w:kern w:val="0"/>
                <w:sz w:val="18"/>
                <w:szCs w:val="18"/>
              </w:rPr>
            </w:pPr>
            <w:r>
              <w:rPr>
                <w:rFonts w:hint="eastAsia"/>
                <w:color w:val="000000"/>
                <w:kern w:val="0"/>
                <w:sz w:val="18"/>
                <w:szCs w:val="18"/>
              </w:rPr>
              <w:t>投入使用后经检测合格的</w:t>
            </w:r>
          </w:p>
        </w:tc>
        <w:tc>
          <w:tcPr>
            <w:tcW w:w="1150" w:type="dxa"/>
            <w:vMerge w:val="continue"/>
            <w:tcBorders>
              <w:top w:val="nil"/>
              <w:left w:val="single" w:color="auto" w:sz="4" w:space="0"/>
              <w:bottom w:val="single" w:color="auto" w:sz="4" w:space="0"/>
              <w:right w:val="single" w:color="auto" w:sz="4" w:space="0"/>
            </w:tcBorders>
            <w:vAlign w:val="center"/>
          </w:tcPr>
          <w:p w14:paraId="2026C0DB">
            <w:pPr>
              <w:spacing w:line="320" w:lineRule="exact"/>
              <w:jc w:val="left"/>
              <w:rPr>
                <w:color w:val="000000"/>
                <w:kern w:val="0"/>
                <w:sz w:val="18"/>
                <w:szCs w:val="18"/>
              </w:rPr>
            </w:pPr>
          </w:p>
        </w:tc>
        <w:tc>
          <w:tcPr>
            <w:tcW w:w="5700" w:type="dxa"/>
            <w:tcBorders>
              <w:top w:val="nil"/>
              <w:left w:val="nil"/>
              <w:bottom w:val="single" w:color="auto" w:sz="4" w:space="0"/>
              <w:right w:val="single" w:color="auto" w:sz="8" w:space="0"/>
            </w:tcBorders>
            <w:vAlign w:val="center"/>
          </w:tcPr>
          <w:p w14:paraId="6787C31C">
            <w:pPr>
              <w:spacing w:line="320" w:lineRule="exact"/>
              <w:jc w:val="left"/>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09D4B4BD">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1F86285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F7EC212">
            <w:pPr>
              <w:spacing w:line="320" w:lineRule="exact"/>
              <w:jc w:val="left"/>
              <w:rPr>
                <w:color w:val="000000"/>
                <w:kern w:val="0"/>
                <w:sz w:val="18"/>
                <w:szCs w:val="18"/>
              </w:rPr>
            </w:pPr>
            <w:r>
              <w:rPr>
                <w:rFonts w:hint="eastAsia"/>
                <w:color w:val="000000"/>
                <w:kern w:val="0"/>
                <w:sz w:val="18"/>
                <w:szCs w:val="18"/>
              </w:rPr>
              <w:t>检测不合格后投入使用或投入使用后经检测不合格的</w:t>
            </w:r>
          </w:p>
        </w:tc>
        <w:tc>
          <w:tcPr>
            <w:tcW w:w="1150" w:type="dxa"/>
            <w:vMerge w:val="continue"/>
            <w:tcBorders>
              <w:top w:val="nil"/>
              <w:left w:val="single" w:color="auto" w:sz="4" w:space="0"/>
              <w:bottom w:val="single" w:color="auto" w:sz="4" w:space="0"/>
              <w:right w:val="single" w:color="auto" w:sz="4" w:space="0"/>
            </w:tcBorders>
            <w:vAlign w:val="center"/>
          </w:tcPr>
          <w:p w14:paraId="1C4ACD68">
            <w:pPr>
              <w:spacing w:line="320" w:lineRule="exact"/>
              <w:jc w:val="left"/>
              <w:rPr>
                <w:color w:val="000000"/>
                <w:kern w:val="0"/>
                <w:sz w:val="18"/>
                <w:szCs w:val="18"/>
              </w:rPr>
            </w:pPr>
          </w:p>
        </w:tc>
        <w:tc>
          <w:tcPr>
            <w:tcW w:w="5700" w:type="dxa"/>
            <w:tcBorders>
              <w:top w:val="nil"/>
              <w:left w:val="nil"/>
              <w:bottom w:val="single" w:color="auto" w:sz="4" w:space="0"/>
              <w:right w:val="single" w:color="auto" w:sz="8" w:space="0"/>
            </w:tcBorders>
            <w:vAlign w:val="center"/>
          </w:tcPr>
          <w:p w14:paraId="1FD6F7CB">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3548C0E7"/>
    <w:p w14:paraId="33F187B6"/>
    <w:p w14:paraId="58EBC25F"/>
    <w:p w14:paraId="00B7710D"/>
    <w:p w14:paraId="3148806A"/>
    <w:p w14:paraId="58A3ECBB"/>
    <w:p w14:paraId="2AC63865"/>
    <w:p w14:paraId="73D935E9"/>
    <w:p w14:paraId="22AB10A6"/>
    <w:tbl>
      <w:tblPr>
        <w:tblStyle w:val="15"/>
        <w:tblW w:w="0" w:type="auto"/>
        <w:tblInd w:w="88" w:type="dxa"/>
        <w:tblLayout w:type="fixed"/>
        <w:tblCellMar>
          <w:top w:w="0" w:type="dxa"/>
          <w:left w:w="108" w:type="dxa"/>
          <w:bottom w:w="0" w:type="dxa"/>
          <w:right w:w="108" w:type="dxa"/>
        </w:tblCellMar>
      </w:tblPr>
      <w:tblGrid>
        <w:gridCol w:w="1070"/>
        <w:gridCol w:w="6140"/>
        <w:gridCol w:w="1150"/>
        <w:gridCol w:w="5700"/>
      </w:tblGrid>
      <w:tr w14:paraId="1F977FCE">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683F4C8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44EBCB3E">
            <w:pPr>
              <w:spacing w:line="320" w:lineRule="exact"/>
              <w:jc w:val="left"/>
              <w:rPr>
                <w:rFonts w:eastAsia="仿宋_GB2312"/>
                <w:b/>
                <w:bCs/>
                <w:color w:val="000000"/>
                <w:kern w:val="0"/>
                <w:sz w:val="18"/>
                <w:szCs w:val="18"/>
              </w:rPr>
            </w:pPr>
            <w:r>
              <w:rPr>
                <w:rFonts w:eastAsia="仿宋_GB2312"/>
                <w:b/>
                <w:bCs/>
                <w:color w:val="000000"/>
                <w:kern w:val="0"/>
                <w:sz w:val="18"/>
                <w:szCs w:val="18"/>
              </w:rPr>
              <w:t>320217016000</w:t>
            </w:r>
            <w:r>
              <w:rPr>
                <w:rFonts w:hint="eastAsia" w:eastAsia="仿宋_GB2312"/>
                <w:b/>
                <w:bCs/>
                <w:color w:val="000000"/>
                <w:kern w:val="0"/>
                <w:sz w:val="18"/>
                <w:szCs w:val="18"/>
              </w:rPr>
              <w:t xml:space="preserve"> </w:t>
            </w:r>
          </w:p>
        </w:tc>
      </w:tr>
      <w:tr w14:paraId="66AAE8D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78E923B2">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1D7959B7">
            <w:pPr>
              <w:spacing w:line="320" w:lineRule="exact"/>
              <w:jc w:val="left"/>
              <w:rPr>
                <w:color w:val="000000"/>
                <w:kern w:val="0"/>
                <w:sz w:val="18"/>
                <w:szCs w:val="18"/>
              </w:rPr>
            </w:pPr>
            <w:r>
              <w:rPr>
                <w:rFonts w:hint="eastAsia"/>
                <w:color w:val="000000"/>
                <w:kern w:val="0"/>
                <w:sz w:val="18"/>
                <w:szCs w:val="18"/>
              </w:rPr>
              <w:t>对安装、拆卸施工起重机械和整体提升脚手架、模板等自升式架设设施未由专业技术人员现场监督的处罚</w:t>
            </w:r>
          </w:p>
        </w:tc>
      </w:tr>
      <w:tr w14:paraId="44035CDB">
        <w:tblPrEx>
          <w:tblCellMar>
            <w:top w:w="0" w:type="dxa"/>
            <w:left w:w="108" w:type="dxa"/>
            <w:bottom w:w="0" w:type="dxa"/>
            <w:right w:w="108" w:type="dxa"/>
          </w:tblCellMar>
        </w:tblPrEx>
        <w:trPr>
          <w:trHeight w:val="1275" w:hRule="atLeast"/>
        </w:trPr>
        <w:tc>
          <w:tcPr>
            <w:tcW w:w="1070" w:type="dxa"/>
            <w:tcBorders>
              <w:top w:val="nil"/>
              <w:left w:val="single" w:color="auto" w:sz="8" w:space="0"/>
              <w:bottom w:val="single" w:color="auto" w:sz="4" w:space="0"/>
              <w:right w:val="single" w:color="auto" w:sz="4" w:space="0"/>
            </w:tcBorders>
            <w:vAlign w:val="center"/>
          </w:tcPr>
          <w:p w14:paraId="4FD4ED2A">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1BDD584D">
            <w:pPr>
              <w:spacing w:line="32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3FC47B88">
            <w:pPr>
              <w:spacing w:line="320" w:lineRule="exact"/>
              <w:jc w:val="left"/>
              <w:rPr>
                <w:color w:val="000000"/>
                <w:kern w:val="0"/>
                <w:sz w:val="18"/>
                <w:szCs w:val="18"/>
              </w:rPr>
            </w:pPr>
            <w:r>
              <w:rPr>
                <w:rFonts w:hint="eastAsia"/>
                <w:color w:val="000000"/>
                <w:kern w:val="0"/>
                <w:sz w:val="18"/>
                <w:szCs w:val="18"/>
              </w:rPr>
              <w:t xml:space="preserve">    第十七条第二款　安装、拆卸施工起重机械和整体提升脚手架、模板等自升式架设设施，应当编制拆装方案、制定安全施工措施，并由专业技术人员现场监督。</w:t>
            </w:r>
          </w:p>
          <w:p w14:paraId="03C3719F">
            <w:pPr>
              <w:spacing w:line="320" w:lineRule="exact"/>
              <w:jc w:val="left"/>
              <w:rPr>
                <w:color w:val="000000"/>
                <w:kern w:val="0"/>
                <w:sz w:val="18"/>
                <w:szCs w:val="18"/>
              </w:rPr>
            </w:pPr>
            <w:r>
              <w:rPr>
                <w:rFonts w:hint="eastAsia"/>
                <w:color w:val="000000"/>
                <w:kern w:val="0"/>
                <w:sz w:val="18"/>
                <w:szCs w:val="18"/>
              </w:rPr>
              <w:t xml:space="preserve">    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 </w:t>
            </w:r>
          </w:p>
          <w:p w14:paraId="69EEEFB7">
            <w:pPr>
              <w:spacing w:line="320" w:lineRule="exact"/>
              <w:jc w:val="left"/>
              <w:rPr>
                <w:color w:val="000000"/>
                <w:kern w:val="0"/>
                <w:sz w:val="18"/>
                <w:szCs w:val="18"/>
              </w:rPr>
            </w:pPr>
            <w:r>
              <w:rPr>
                <w:rFonts w:hint="eastAsia"/>
                <w:color w:val="000000"/>
                <w:kern w:val="0"/>
                <w:sz w:val="18"/>
                <w:szCs w:val="18"/>
              </w:rPr>
              <w:t xml:space="preserve">    （二）未由专业技术人员现场监督的。 </w:t>
            </w:r>
          </w:p>
          <w:p w14:paraId="48A30A7A">
            <w:pPr>
              <w:spacing w:line="320" w:lineRule="exact"/>
              <w:jc w:val="left"/>
              <w:rPr>
                <w:color w:val="000000"/>
                <w:kern w:val="0"/>
                <w:sz w:val="18"/>
                <w:szCs w:val="18"/>
              </w:rPr>
            </w:pPr>
            <w:r>
              <w:rPr>
                <w:rFonts w:hint="eastAsia"/>
                <w:color w:val="000000"/>
                <w:kern w:val="0"/>
                <w:sz w:val="18"/>
                <w:szCs w:val="18"/>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14:paraId="19213D69">
            <w:pPr>
              <w:spacing w:line="32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4456D128">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3C69070">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6A640CD8">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14:paraId="781065F4">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4F703347">
            <w:pPr>
              <w:spacing w:line="320" w:lineRule="exact"/>
              <w:jc w:val="center"/>
              <w:rPr>
                <w:color w:val="000000"/>
                <w:kern w:val="0"/>
                <w:sz w:val="18"/>
                <w:szCs w:val="18"/>
              </w:rPr>
            </w:pPr>
            <w:r>
              <w:rPr>
                <w:rFonts w:hint="eastAsia"/>
                <w:color w:val="000000"/>
                <w:kern w:val="0"/>
                <w:sz w:val="18"/>
                <w:szCs w:val="18"/>
              </w:rPr>
              <w:t>裁量基准</w:t>
            </w:r>
          </w:p>
        </w:tc>
      </w:tr>
      <w:tr w14:paraId="71C639E1">
        <w:tblPrEx>
          <w:tblCellMar>
            <w:top w:w="0" w:type="dxa"/>
            <w:left w:w="108" w:type="dxa"/>
            <w:bottom w:w="0" w:type="dxa"/>
            <w:right w:w="108" w:type="dxa"/>
          </w:tblCellMar>
        </w:tblPrEx>
        <w:trPr>
          <w:trHeight w:val="407" w:hRule="atLeast"/>
        </w:trPr>
        <w:tc>
          <w:tcPr>
            <w:tcW w:w="1070" w:type="dxa"/>
            <w:vMerge w:val="restart"/>
            <w:tcBorders>
              <w:top w:val="single" w:color="auto" w:sz="4" w:space="0"/>
              <w:left w:val="single" w:color="auto" w:sz="4" w:space="0"/>
              <w:right w:val="single" w:color="auto" w:sz="4" w:space="0"/>
            </w:tcBorders>
            <w:vAlign w:val="center"/>
          </w:tcPr>
          <w:p w14:paraId="7869652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506E14A">
            <w:pPr>
              <w:spacing w:line="320" w:lineRule="exact"/>
              <w:jc w:val="left"/>
              <w:rPr>
                <w:color w:val="000000" w:themeColor="text1"/>
                <w:kern w:val="0"/>
                <w:sz w:val="18"/>
                <w:szCs w:val="18"/>
                <w14:textFill>
                  <w14:solidFill>
                    <w14:schemeClr w14:val="tx1"/>
                  </w14:solidFill>
                </w14:textFill>
              </w:rPr>
            </w:pPr>
            <w:r>
              <w:rPr>
                <w:rFonts w:hint="eastAsia" w:eastAsiaTheme="minorEastAsia"/>
                <w:color w:val="000000" w:themeColor="text1"/>
                <w:kern w:val="0"/>
                <w:sz w:val="20"/>
                <w:lang w:bidi="ar"/>
                <w14:textFill>
                  <w14:solidFill>
                    <w14:schemeClr w14:val="tx1"/>
                  </w14:solidFill>
                </w14:textFill>
              </w:rPr>
              <w:t>未发生安全事故的</w:t>
            </w:r>
          </w:p>
        </w:tc>
        <w:tc>
          <w:tcPr>
            <w:tcW w:w="1150" w:type="dxa"/>
            <w:vMerge w:val="restart"/>
            <w:tcBorders>
              <w:top w:val="single" w:color="auto" w:sz="4" w:space="0"/>
              <w:left w:val="single" w:color="auto" w:sz="4" w:space="0"/>
              <w:right w:val="single" w:color="auto" w:sz="4" w:space="0"/>
            </w:tcBorders>
            <w:vAlign w:val="center"/>
          </w:tcPr>
          <w:p w14:paraId="025E9D41">
            <w:pPr>
              <w:spacing w:line="32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裁量幅度</w:t>
            </w:r>
          </w:p>
        </w:tc>
        <w:tc>
          <w:tcPr>
            <w:tcW w:w="5700" w:type="dxa"/>
            <w:tcBorders>
              <w:top w:val="single" w:color="auto" w:sz="4" w:space="0"/>
              <w:left w:val="nil"/>
              <w:bottom w:val="single" w:color="auto" w:sz="4" w:space="0"/>
              <w:right w:val="single" w:color="auto" w:sz="4" w:space="0"/>
            </w:tcBorders>
            <w:vAlign w:val="center"/>
          </w:tcPr>
          <w:p w14:paraId="4F685F0D">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5万元以上</w:t>
            </w:r>
            <w:r>
              <w:rPr>
                <w:rFonts w:hint="eastAsia" w:eastAsiaTheme="minorEastAsia"/>
                <w:color w:val="000000" w:themeColor="text1"/>
                <w:kern w:val="0"/>
                <w:sz w:val="20"/>
                <w:lang w:bidi="ar"/>
                <w14:textFill>
                  <w14:solidFill>
                    <w14:schemeClr w14:val="tx1"/>
                  </w14:solidFill>
                </w14:textFill>
              </w:rPr>
              <w:t>8</w:t>
            </w:r>
            <w:r>
              <w:rPr>
                <w:rFonts w:eastAsiaTheme="minorEastAsia"/>
                <w:color w:val="000000" w:themeColor="text1"/>
                <w:kern w:val="0"/>
                <w:sz w:val="20"/>
                <w:lang w:bidi="ar"/>
                <w14:textFill>
                  <w14:solidFill>
                    <w14:schemeClr w14:val="tx1"/>
                  </w14:solidFill>
                </w14:textFill>
              </w:rPr>
              <w:t>万元以下罚款</w:t>
            </w:r>
          </w:p>
        </w:tc>
      </w:tr>
      <w:tr w14:paraId="20325069">
        <w:tblPrEx>
          <w:tblCellMar>
            <w:top w:w="0" w:type="dxa"/>
            <w:left w:w="108" w:type="dxa"/>
            <w:bottom w:w="0" w:type="dxa"/>
            <w:right w:w="108" w:type="dxa"/>
          </w:tblCellMar>
        </w:tblPrEx>
        <w:trPr>
          <w:trHeight w:val="427" w:hRule="atLeast"/>
        </w:trPr>
        <w:tc>
          <w:tcPr>
            <w:tcW w:w="1070" w:type="dxa"/>
            <w:vMerge w:val="continue"/>
            <w:tcBorders>
              <w:left w:val="single" w:color="auto" w:sz="4" w:space="0"/>
              <w:right w:val="single" w:color="auto" w:sz="4" w:space="0"/>
            </w:tcBorders>
            <w:vAlign w:val="center"/>
          </w:tcPr>
          <w:p w14:paraId="6627001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B098907">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发生</w:t>
            </w:r>
            <w:r>
              <w:rPr>
                <w:rFonts w:hint="eastAsia" w:eastAsiaTheme="minorEastAsia"/>
                <w:color w:val="000000" w:themeColor="text1"/>
                <w:kern w:val="0"/>
                <w:sz w:val="20"/>
                <w:lang w:bidi="ar"/>
                <w14:textFill>
                  <w14:solidFill>
                    <w14:schemeClr w14:val="tx1"/>
                  </w14:solidFill>
                </w14:textFill>
              </w:rPr>
              <w:t>一般</w:t>
            </w:r>
            <w:r>
              <w:rPr>
                <w:rFonts w:eastAsiaTheme="minorEastAsia"/>
                <w:color w:val="000000" w:themeColor="text1"/>
                <w:kern w:val="0"/>
                <w:sz w:val="20"/>
                <w:lang w:bidi="ar"/>
                <w14:textFill>
                  <w14:solidFill>
                    <w14:schemeClr w14:val="tx1"/>
                  </w14:solidFill>
                </w14:textFill>
              </w:rPr>
              <w:t>安全事故的</w:t>
            </w:r>
          </w:p>
        </w:tc>
        <w:tc>
          <w:tcPr>
            <w:tcW w:w="1150" w:type="dxa"/>
            <w:vMerge w:val="continue"/>
            <w:tcBorders>
              <w:left w:val="single" w:color="auto" w:sz="4" w:space="0"/>
              <w:right w:val="single" w:color="auto" w:sz="4" w:space="0"/>
            </w:tcBorders>
            <w:vAlign w:val="center"/>
          </w:tcPr>
          <w:p w14:paraId="1ACC04AD">
            <w:pPr>
              <w:spacing w:line="320" w:lineRule="exact"/>
              <w:jc w:val="left"/>
              <w:rPr>
                <w:color w:val="000000" w:themeColor="text1"/>
                <w:kern w:val="0"/>
                <w:sz w:val="18"/>
                <w:szCs w:val="18"/>
                <w14:textFill>
                  <w14:solidFill>
                    <w14:schemeClr w14:val="tx1"/>
                  </w14:solidFill>
                </w14:textFill>
              </w:rPr>
            </w:pPr>
          </w:p>
        </w:tc>
        <w:tc>
          <w:tcPr>
            <w:tcW w:w="5700" w:type="dxa"/>
            <w:tcBorders>
              <w:top w:val="single" w:color="auto" w:sz="4" w:space="0"/>
              <w:left w:val="nil"/>
              <w:bottom w:val="single" w:color="auto" w:sz="4" w:space="0"/>
              <w:right w:val="single" w:color="auto" w:sz="4" w:space="0"/>
            </w:tcBorders>
            <w:vAlign w:val="center"/>
          </w:tcPr>
          <w:p w14:paraId="0836F989">
            <w:pPr>
              <w:spacing w:line="320" w:lineRule="exact"/>
              <w:jc w:val="left"/>
              <w:rPr>
                <w:color w:val="000000" w:themeColor="text1"/>
                <w:kern w:val="0"/>
                <w:sz w:val="18"/>
                <w:szCs w:val="18"/>
                <w14:textFill>
                  <w14:solidFill>
                    <w14:schemeClr w14:val="tx1"/>
                  </w14:solidFill>
                </w14:textFill>
              </w:rPr>
            </w:pPr>
            <w:r>
              <w:rPr>
                <w:rFonts w:hint="eastAsia" w:eastAsiaTheme="minorEastAsia"/>
                <w:color w:val="000000" w:themeColor="text1"/>
                <w:kern w:val="0"/>
                <w:sz w:val="20"/>
                <w:lang w:bidi="ar"/>
                <w14:textFill>
                  <w14:solidFill>
                    <w14:schemeClr w14:val="tx1"/>
                  </w14:solidFill>
                </w14:textFill>
              </w:rPr>
              <w:t>8</w:t>
            </w:r>
            <w:r>
              <w:rPr>
                <w:rFonts w:eastAsiaTheme="minorEastAsia"/>
                <w:color w:val="000000" w:themeColor="text1"/>
                <w:kern w:val="0"/>
                <w:sz w:val="20"/>
                <w:lang w:bidi="ar"/>
                <w14:textFill>
                  <w14:solidFill>
                    <w14:schemeClr w14:val="tx1"/>
                  </w14:solidFill>
                </w14:textFill>
              </w:rPr>
              <w:t>万元以上10万元以下罚款，责令停业整顿</w:t>
            </w:r>
          </w:p>
        </w:tc>
      </w:tr>
      <w:tr w14:paraId="1B746DF4">
        <w:tblPrEx>
          <w:tblCellMar>
            <w:top w:w="0" w:type="dxa"/>
            <w:left w:w="108" w:type="dxa"/>
            <w:bottom w:w="0" w:type="dxa"/>
            <w:right w:w="108" w:type="dxa"/>
          </w:tblCellMar>
        </w:tblPrEx>
        <w:trPr>
          <w:trHeight w:val="427" w:hRule="atLeast"/>
        </w:trPr>
        <w:tc>
          <w:tcPr>
            <w:tcW w:w="1070" w:type="dxa"/>
            <w:vMerge w:val="continue"/>
            <w:tcBorders>
              <w:left w:val="single" w:color="auto" w:sz="4" w:space="0"/>
              <w:bottom w:val="single" w:color="auto" w:sz="4" w:space="0"/>
              <w:right w:val="single" w:color="auto" w:sz="4" w:space="0"/>
            </w:tcBorders>
            <w:vAlign w:val="center"/>
          </w:tcPr>
          <w:p w14:paraId="5174A3C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9286E99">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发生</w:t>
            </w:r>
            <w:r>
              <w:rPr>
                <w:rFonts w:hint="eastAsia" w:eastAsiaTheme="minorEastAsia"/>
                <w:color w:val="000000" w:themeColor="text1"/>
                <w:kern w:val="0"/>
                <w:sz w:val="20"/>
                <w:lang w:bidi="ar"/>
                <w14:textFill>
                  <w14:solidFill>
                    <w14:schemeClr w14:val="tx1"/>
                  </w14:solidFill>
                </w14:textFill>
              </w:rPr>
              <w:t>较大以上</w:t>
            </w:r>
            <w:r>
              <w:rPr>
                <w:rFonts w:eastAsiaTheme="minorEastAsia"/>
                <w:color w:val="000000" w:themeColor="text1"/>
                <w:kern w:val="0"/>
                <w:sz w:val="20"/>
                <w:lang w:bidi="ar"/>
                <w14:textFill>
                  <w14:solidFill>
                    <w14:schemeClr w14:val="tx1"/>
                  </w14:solidFill>
                </w14:textFill>
              </w:rPr>
              <w:t>安全事故的</w:t>
            </w:r>
          </w:p>
        </w:tc>
        <w:tc>
          <w:tcPr>
            <w:tcW w:w="1150" w:type="dxa"/>
            <w:vMerge w:val="continue"/>
            <w:tcBorders>
              <w:left w:val="single" w:color="auto" w:sz="4" w:space="0"/>
              <w:bottom w:val="single" w:color="auto" w:sz="4" w:space="0"/>
              <w:right w:val="single" w:color="auto" w:sz="4" w:space="0"/>
            </w:tcBorders>
            <w:vAlign w:val="center"/>
          </w:tcPr>
          <w:p w14:paraId="2A5C5530">
            <w:pPr>
              <w:spacing w:line="320" w:lineRule="exact"/>
              <w:jc w:val="left"/>
              <w:rPr>
                <w:color w:val="000000" w:themeColor="text1"/>
                <w:kern w:val="0"/>
                <w:sz w:val="18"/>
                <w:szCs w:val="18"/>
                <w14:textFill>
                  <w14:solidFill>
                    <w14:schemeClr w14:val="tx1"/>
                  </w14:solidFill>
                </w14:textFill>
              </w:rPr>
            </w:pPr>
          </w:p>
        </w:tc>
        <w:tc>
          <w:tcPr>
            <w:tcW w:w="5700" w:type="dxa"/>
            <w:tcBorders>
              <w:top w:val="single" w:color="auto" w:sz="4" w:space="0"/>
              <w:left w:val="nil"/>
              <w:bottom w:val="single" w:color="auto" w:sz="4" w:space="0"/>
              <w:right w:val="single" w:color="auto" w:sz="4" w:space="0"/>
            </w:tcBorders>
            <w:vAlign w:val="center"/>
          </w:tcPr>
          <w:p w14:paraId="27860DDC">
            <w:pPr>
              <w:spacing w:line="320" w:lineRule="exact"/>
              <w:jc w:val="left"/>
              <w:rPr>
                <w:color w:val="000000" w:themeColor="text1"/>
                <w:kern w:val="0"/>
                <w:sz w:val="18"/>
                <w:szCs w:val="18"/>
                <w14:textFill>
                  <w14:solidFill>
                    <w14:schemeClr w14:val="tx1"/>
                  </w14:solidFill>
                </w14:textFill>
              </w:rPr>
            </w:pPr>
            <w:r>
              <w:rPr>
                <w:rFonts w:hint="eastAsia" w:eastAsiaTheme="minorEastAsia"/>
                <w:color w:val="000000" w:themeColor="text1"/>
                <w:kern w:val="0"/>
                <w:sz w:val="20"/>
                <w:lang w:bidi="ar"/>
                <w14:textFill>
                  <w14:solidFill>
                    <w14:schemeClr w14:val="tx1"/>
                  </w14:solidFill>
                </w14:textFill>
              </w:rPr>
              <w:t>8</w:t>
            </w:r>
            <w:r>
              <w:rPr>
                <w:rFonts w:eastAsiaTheme="minorEastAsia"/>
                <w:color w:val="000000" w:themeColor="text1"/>
                <w:kern w:val="0"/>
                <w:sz w:val="20"/>
                <w:lang w:bidi="ar"/>
                <w14:textFill>
                  <w14:solidFill>
                    <w14:schemeClr w14:val="tx1"/>
                  </w14:solidFill>
                </w14:textFill>
              </w:rPr>
              <w:t>万元以上10万元以下罚款，责令停业整顿，降低资质等级，吊销资质证书</w:t>
            </w:r>
          </w:p>
        </w:tc>
      </w:tr>
    </w:tbl>
    <w:p w14:paraId="0D83E31C"/>
    <w:p w14:paraId="34FCFE7F"/>
    <w:p w14:paraId="16A144D0"/>
    <w:p w14:paraId="608CEF87"/>
    <w:p w14:paraId="39DE680F"/>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1422AF2E">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3FE3F72">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auto" w:sz="4" w:space="0"/>
            </w:tcBorders>
            <w:vAlign w:val="center"/>
          </w:tcPr>
          <w:p w14:paraId="3EC7CB9D">
            <w:pPr>
              <w:spacing w:line="320" w:lineRule="exact"/>
              <w:jc w:val="left"/>
              <w:rPr>
                <w:rFonts w:eastAsia="仿宋_GB2312"/>
                <w:b/>
                <w:bCs/>
                <w:color w:val="000000"/>
                <w:kern w:val="0"/>
                <w:sz w:val="18"/>
                <w:szCs w:val="18"/>
              </w:rPr>
            </w:pPr>
            <w:r>
              <w:rPr>
                <w:rFonts w:eastAsia="仿宋_GB2312"/>
                <w:b/>
                <w:bCs/>
                <w:color w:val="000000"/>
                <w:kern w:val="0"/>
                <w:sz w:val="18"/>
                <w:szCs w:val="18"/>
              </w:rPr>
              <w:t>320217017000</w:t>
            </w:r>
          </w:p>
        </w:tc>
      </w:tr>
      <w:tr w14:paraId="01456C1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0206D01">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auto" w:sz="4" w:space="0"/>
            </w:tcBorders>
            <w:vAlign w:val="center"/>
          </w:tcPr>
          <w:p w14:paraId="24C230C2">
            <w:pPr>
              <w:spacing w:line="320" w:lineRule="exact"/>
              <w:jc w:val="left"/>
              <w:rPr>
                <w:color w:val="000000"/>
                <w:kern w:val="0"/>
                <w:sz w:val="18"/>
                <w:szCs w:val="18"/>
              </w:rPr>
            </w:pPr>
            <w:r>
              <w:rPr>
                <w:rFonts w:hint="eastAsia"/>
                <w:color w:val="000000"/>
                <w:kern w:val="0"/>
                <w:sz w:val="18"/>
                <w:szCs w:val="18"/>
              </w:rPr>
              <w:t>对涂改、倒卖、出租、出借或者以其他形式非法转让注册建筑师执业资格证书、互认资格证书、注册证书和执业印章的处罚</w:t>
            </w:r>
          </w:p>
        </w:tc>
      </w:tr>
      <w:tr w14:paraId="1181821C">
        <w:tblPrEx>
          <w:tblCellMar>
            <w:top w:w="0" w:type="dxa"/>
            <w:left w:w="108" w:type="dxa"/>
            <w:bottom w:w="0" w:type="dxa"/>
            <w:right w:w="108" w:type="dxa"/>
          </w:tblCellMar>
        </w:tblPrEx>
        <w:trPr>
          <w:trHeight w:val="1080" w:hRule="atLeast"/>
        </w:trPr>
        <w:tc>
          <w:tcPr>
            <w:tcW w:w="1056" w:type="dxa"/>
            <w:tcBorders>
              <w:top w:val="nil"/>
              <w:left w:val="single" w:color="auto" w:sz="8" w:space="0"/>
              <w:bottom w:val="single" w:color="auto" w:sz="4" w:space="0"/>
              <w:right w:val="single" w:color="auto" w:sz="4" w:space="0"/>
            </w:tcBorders>
            <w:vAlign w:val="center"/>
          </w:tcPr>
          <w:p w14:paraId="2E7C2924">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auto" w:sz="4" w:space="0"/>
            </w:tcBorders>
            <w:vAlign w:val="center"/>
          </w:tcPr>
          <w:p w14:paraId="722E7A4C">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第十六条第三款</w:t>
            </w:r>
            <w:r>
              <w:rPr>
                <w:color w:val="000000"/>
                <w:kern w:val="0"/>
                <w:sz w:val="18"/>
                <w:szCs w:val="18"/>
              </w:rPr>
              <w:t xml:space="preserve">  </w:t>
            </w:r>
            <w:r>
              <w:rPr>
                <w:rFonts w:hint="eastAsia"/>
                <w:color w:val="000000"/>
                <w:kern w:val="0"/>
                <w:sz w:val="18"/>
                <w:szCs w:val="18"/>
              </w:rPr>
              <w:t>禁止涂改、倒卖、出租、出借或者以其他形式非法转让执业资格证书、互认资格证书、注册证书和执业印章。</w:t>
            </w:r>
            <w:r>
              <w:rPr>
                <w:color w:val="000000"/>
                <w:kern w:val="0"/>
                <w:sz w:val="18"/>
                <w:szCs w:val="18"/>
              </w:rPr>
              <w:br w:type="textWrapping"/>
            </w:r>
            <w:r>
              <w:rPr>
                <w:rFonts w:hint="eastAsia"/>
                <w:color w:val="000000"/>
                <w:kern w:val="0"/>
                <w:sz w:val="18"/>
                <w:szCs w:val="18"/>
              </w:rPr>
              <w:t>第四十四条</w:t>
            </w:r>
            <w:r>
              <w:rPr>
                <w:color w:val="000000"/>
                <w:kern w:val="0"/>
                <w:sz w:val="18"/>
                <w:szCs w:val="18"/>
              </w:rPr>
              <w:t xml:space="preserve"> </w:t>
            </w:r>
            <w:r>
              <w:rPr>
                <w:rFonts w:hint="eastAsia"/>
                <w:color w:val="000000"/>
                <w:kern w:val="0"/>
                <w:sz w:val="18"/>
                <w:szCs w:val="18"/>
              </w:rPr>
              <w:t>违反本细则，涂改、倒卖、出租、出借或者以其他形式非法转让执业资格证书、互认资格证书、注册证书和执业印章的，由县级以上人民政府建设主管部门责令改正，其中没有违法所得的，处以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4276450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BABC807">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auto" w:sz="4" w:space="0"/>
            </w:tcBorders>
            <w:vAlign w:val="center"/>
          </w:tcPr>
          <w:p w14:paraId="3B201CE7">
            <w:pPr>
              <w:spacing w:line="320" w:lineRule="exact"/>
              <w:jc w:val="left"/>
              <w:rPr>
                <w:color w:val="000000"/>
                <w:kern w:val="0"/>
                <w:sz w:val="18"/>
                <w:szCs w:val="18"/>
              </w:rPr>
            </w:pPr>
            <w:r>
              <w:rPr>
                <w:rFonts w:hint="eastAsia"/>
                <w:color w:val="000000"/>
                <w:kern w:val="0"/>
                <w:sz w:val="18"/>
                <w:szCs w:val="18"/>
              </w:rPr>
              <w:t>责令整改，没收违法所得，罚款</w:t>
            </w:r>
            <w:r>
              <w:rPr>
                <w:color w:val="000000"/>
                <w:kern w:val="0"/>
                <w:sz w:val="18"/>
                <w:szCs w:val="18"/>
              </w:rPr>
              <w:t xml:space="preserve">  </w:t>
            </w:r>
          </w:p>
        </w:tc>
      </w:tr>
      <w:tr w14:paraId="4760FB68">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auto" w:sz="4" w:space="0"/>
            </w:tcBorders>
            <w:vAlign w:val="center"/>
          </w:tcPr>
          <w:p w14:paraId="42DAD64D">
            <w:pPr>
              <w:spacing w:line="320" w:lineRule="exact"/>
              <w:jc w:val="center"/>
              <w:rPr>
                <w:color w:val="000000"/>
                <w:kern w:val="0"/>
                <w:sz w:val="18"/>
                <w:szCs w:val="18"/>
              </w:rPr>
            </w:pPr>
            <w:r>
              <w:rPr>
                <w:rFonts w:hint="eastAsia"/>
                <w:color w:val="000000"/>
                <w:kern w:val="0"/>
                <w:sz w:val="18"/>
                <w:szCs w:val="18"/>
              </w:rPr>
              <w:t>裁量基准</w:t>
            </w:r>
          </w:p>
        </w:tc>
      </w:tr>
      <w:tr w14:paraId="7D23967F">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18D8BB98">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16EDCEAA">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color="auto" w:sz="4" w:space="0"/>
              <w:right w:val="single" w:color="auto" w:sz="4" w:space="0"/>
            </w:tcBorders>
            <w:vAlign w:val="center"/>
          </w:tcPr>
          <w:p w14:paraId="5857F4AD">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352630AF">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4" w:space="0"/>
            </w:tcBorders>
            <w:vAlign w:val="center"/>
          </w:tcPr>
          <w:p w14:paraId="3C50933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1D9E50C6">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7F72FD6">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31ADC07D">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A5DF0BA">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7EF7030">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0BDF235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78D3BA1B">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06059A78">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032ED591">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123B14A6">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71C2C745">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071B5889">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4D6AF93A">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8793106">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4F10EFE3">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1B885D74">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78419687">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159030F2">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47D9ED01"/>
    <w:p w14:paraId="522A0CB8"/>
    <w:p w14:paraId="701543FF"/>
    <w:p w14:paraId="4B55E48B"/>
    <w:p w14:paraId="291B9C85"/>
    <w:p w14:paraId="446294F6"/>
    <w:p w14:paraId="6489F816"/>
    <w:p w14:paraId="37D9661C"/>
    <w:p w14:paraId="75F34B77"/>
    <w:p w14:paraId="7203600C"/>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62A4B958">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95E24E6">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685C4125">
            <w:pPr>
              <w:jc w:val="left"/>
              <w:textAlignment w:val="center"/>
              <w:rPr>
                <w:rFonts w:eastAsia="仿宋_GB2312"/>
                <w:b/>
                <w:bCs/>
                <w:color w:val="000000"/>
                <w:kern w:val="0"/>
                <w:sz w:val="18"/>
                <w:szCs w:val="18"/>
              </w:rPr>
            </w:pPr>
            <w:r>
              <w:rPr>
                <w:rFonts w:eastAsia="仿宋_GB2312"/>
                <w:b/>
                <w:bCs/>
                <w:color w:val="000000"/>
                <w:kern w:val="0"/>
                <w:sz w:val="18"/>
                <w:szCs w:val="18"/>
              </w:rPr>
              <w:t>320217018000</w:t>
            </w:r>
          </w:p>
        </w:tc>
      </w:tr>
      <w:tr w14:paraId="3E9EEEF1">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2A8C330">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48EF7035">
            <w:pPr>
              <w:spacing w:line="320" w:lineRule="exact"/>
              <w:jc w:val="left"/>
              <w:rPr>
                <w:color w:val="000000"/>
                <w:kern w:val="0"/>
                <w:sz w:val="18"/>
                <w:szCs w:val="18"/>
              </w:rPr>
            </w:pPr>
            <w:r>
              <w:rPr>
                <w:rFonts w:hint="eastAsia"/>
                <w:color w:val="000000"/>
                <w:kern w:val="0"/>
                <w:sz w:val="18"/>
                <w:szCs w:val="18"/>
              </w:rPr>
              <w:t>对注册建筑师或者聘用单位未按照要求提供注册建筑师信用档案信息的处罚</w:t>
            </w:r>
          </w:p>
        </w:tc>
      </w:tr>
      <w:tr w14:paraId="7B8B1E8D">
        <w:tblPrEx>
          <w:tblCellMar>
            <w:top w:w="0" w:type="dxa"/>
            <w:left w:w="108" w:type="dxa"/>
            <w:bottom w:w="0" w:type="dxa"/>
            <w:right w:w="108" w:type="dxa"/>
          </w:tblCellMar>
        </w:tblPrEx>
        <w:trPr>
          <w:trHeight w:val="1080" w:hRule="atLeast"/>
        </w:trPr>
        <w:tc>
          <w:tcPr>
            <w:tcW w:w="1056" w:type="dxa"/>
            <w:tcBorders>
              <w:top w:val="nil"/>
              <w:left w:val="single" w:color="auto" w:sz="8" w:space="0"/>
              <w:bottom w:val="single" w:color="auto" w:sz="4" w:space="0"/>
              <w:right w:val="single" w:color="auto" w:sz="4" w:space="0"/>
            </w:tcBorders>
            <w:vAlign w:val="center"/>
          </w:tcPr>
          <w:p w14:paraId="436E3F4B">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1730CB6A">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第三十九条第一款</w:t>
            </w:r>
            <w:r>
              <w:rPr>
                <w:color w:val="000000"/>
                <w:kern w:val="0"/>
                <w:sz w:val="18"/>
                <w:szCs w:val="18"/>
              </w:rPr>
              <w:t xml:space="preserve">  </w:t>
            </w:r>
            <w:r>
              <w:rPr>
                <w:rFonts w:hint="eastAsia"/>
                <w:color w:val="000000"/>
                <w:kern w:val="0"/>
                <w:sz w:val="18"/>
                <w:szCs w:val="18"/>
              </w:rPr>
              <w:t>注册建筑师及其聘用单位应当按照要求，向注册机关提供真实、准确、完整的注册建筑师信用档案信息。</w:t>
            </w:r>
            <w:r>
              <w:rPr>
                <w:color w:val="000000"/>
                <w:kern w:val="0"/>
                <w:sz w:val="18"/>
                <w:szCs w:val="18"/>
              </w:rPr>
              <w:br w:type="textWrapping"/>
            </w:r>
            <w:r>
              <w:rPr>
                <w:rFonts w:hint="eastAsia"/>
                <w:color w:val="000000"/>
                <w:kern w:val="0"/>
                <w:sz w:val="18"/>
                <w:szCs w:val="18"/>
              </w:rPr>
              <w:t>第四十五条</w:t>
            </w:r>
            <w:r>
              <w:rPr>
                <w:color w:val="000000"/>
                <w:kern w:val="0"/>
                <w:sz w:val="18"/>
                <w:szCs w:val="18"/>
              </w:rPr>
              <w:t xml:space="preserve"> </w:t>
            </w:r>
            <w:r>
              <w:rPr>
                <w:rFonts w:hint="eastAsia"/>
                <w:color w:val="000000"/>
                <w:kern w:val="0"/>
                <w:sz w:val="18"/>
                <w:szCs w:val="18"/>
              </w:rPr>
              <w:t>违反本细则，注册建筑师或者其聘用单位未按照要求提供注册建筑师信用档案信息的，由县级以上人民政府建设主管部门责令限期改正；逾期未改正的，可处以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1370B91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7ACE757">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7F238930">
            <w:pPr>
              <w:jc w:val="left"/>
              <w:textAlignment w:val="center"/>
              <w:rPr>
                <w:rFonts w:eastAsia="仿宋_GB2312"/>
                <w:color w:val="000000"/>
                <w:sz w:val="20"/>
              </w:rPr>
            </w:pPr>
            <w:r>
              <w:rPr>
                <w:rFonts w:hint="eastAsia" w:eastAsia="仿宋_GB2312"/>
                <w:color w:val="000000"/>
                <w:kern w:val="0"/>
                <w:sz w:val="20"/>
              </w:rPr>
              <w:t>责令限期整改，罚款</w:t>
            </w:r>
            <w:r>
              <w:rPr>
                <w:rFonts w:eastAsia="仿宋_GB2312"/>
                <w:color w:val="000000"/>
                <w:kern w:val="0"/>
                <w:sz w:val="20"/>
              </w:rPr>
              <w:t xml:space="preserve"> </w:t>
            </w:r>
          </w:p>
        </w:tc>
      </w:tr>
      <w:tr w14:paraId="08FE95B1">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41CFC818">
            <w:pPr>
              <w:spacing w:line="320" w:lineRule="exact"/>
              <w:jc w:val="center"/>
              <w:rPr>
                <w:color w:val="000000"/>
                <w:kern w:val="0"/>
                <w:sz w:val="18"/>
                <w:szCs w:val="18"/>
              </w:rPr>
            </w:pPr>
            <w:r>
              <w:rPr>
                <w:rFonts w:hint="eastAsia"/>
                <w:color w:val="000000"/>
                <w:kern w:val="0"/>
                <w:sz w:val="18"/>
                <w:szCs w:val="18"/>
              </w:rPr>
              <w:t>裁量基准</w:t>
            </w:r>
          </w:p>
        </w:tc>
      </w:tr>
      <w:tr w14:paraId="70D4173F">
        <w:tblPrEx>
          <w:tblCellMar>
            <w:top w:w="0" w:type="dxa"/>
            <w:left w:w="108" w:type="dxa"/>
            <w:bottom w:w="0" w:type="dxa"/>
            <w:right w:w="108" w:type="dxa"/>
          </w:tblCellMar>
        </w:tblPrEx>
        <w:trPr>
          <w:trHeight w:val="480" w:hRule="atLeast"/>
        </w:trPr>
        <w:tc>
          <w:tcPr>
            <w:tcW w:w="1056" w:type="dxa"/>
            <w:vMerge w:val="restart"/>
            <w:tcBorders>
              <w:top w:val="nil"/>
              <w:left w:val="single" w:color="auto" w:sz="8" w:space="0"/>
              <w:bottom w:val="single" w:color="auto" w:sz="4" w:space="0"/>
              <w:right w:val="single" w:color="auto" w:sz="4" w:space="0"/>
            </w:tcBorders>
            <w:vAlign w:val="center"/>
          </w:tcPr>
          <w:p w14:paraId="1ABBBD87">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2AE1006">
            <w:pPr>
              <w:spacing w:line="320" w:lineRule="exact"/>
              <w:jc w:val="left"/>
              <w:rPr>
                <w:color w:val="000000"/>
                <w:kern w:val="0"/>
                <w:sz w:val="18"/>
                <w:szCs w:val="18"/>
              </w:rPr>
            </w:pPr>
            <w:r>
              <w:rPr>
                <w:rFonts w:hint="eastAsia"/>
                <w:color w:val="000000"/>
                <w:kern w:val="0"/>
                <w:sz w:val="18"/>
                <w:szCs w:val="18"/>
              </w:rPr>
              <w:t>提供的注册建筑师信用档案信息不准确、不完整，逾期不改正的</w:t>
            </w:r>
          </w:p>
        </w:tc>
        <w:tc>
          <w:tcPr>
            <w:tcW w:w="1044" w:type="dxa"/>
            <w:vMerge w:val="restart"/>
            <w:tcBorders>
              <w:top w:val="nil"/>
              <w:left w:val="single" w:color="auto" w:sz="4" w:space="0"/>
              <w:bottom w:val="single" w:color="auto" w:sz="4" w:space="0"/>
              <w:right w:val="single" w:color="auto" w:sz="4" w:space="0"/>
            </w:tcBorders>
            <w:vAlign w:val="center"/>
          </w:tcPr>
          <w:p w14:paraId="79DF397D">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1E3829AD">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0670DFE3">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6233301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88F2CE2">
            <w:pPr>
              <w:spacing w:line="320" w:lineRule="exact"/>
              <w:jc w:val="left"/>
              <w:rPr>
                <w:color w:val="000000"/>
                <w:kern w:val="0"/>
                <w:sz w:val="18"/>
                <w:szCs w:val="18"/>
              </w:rPr>
            </w:pPr>
            <w:r>
              <w:rPr>
                <w:rFonts w:hint="eastAsia"/>
                <w:color w:val="000000"/>
                <w:kern w:val="0"/>
                <w:sz w:val="18"/>
                <w:szCs w:val="18"/>
              </w:rPr>
              <w:t>提供的注册建筑师信用档案信息不真实，逾期不改正的</w:t>
            </w:r>
          </w:p>
        </w:tc>
        <w:tc>
          <w:tcPr>
            <w:tcW w:w="1044" w:type="dxa"/>
            <w:vMerge w:val="continue"/>
            <w:tcBorders>
              <w:top w:val="nil"/>
              <w:left w:val="single" w:color="auto" w:sz="4" w:space="0"/>
              <w:bottom w:val="single" w:color="auto" w:sz="4" w:space="0"/>
              <w:right w:val="single" w:color="auto" w:sz="4" w:space="0"/>
            </w:tcBorders>
            <w:vAlign w:val="center"/>
          </w:tcPr>
          <w:p w14:paraId="78BCF00F">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91D2586">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609BDE44">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24C3C1B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068AEF3">
            <w:pPr>
              <w:spacing w:line="320" w:lineRule="exact"/>
              <w:jc w:val="left"/>
              <w:rPr>
                <w:color w:val="000000"/>
                <w:kern w:val="0"/>
                <w:sz w:val="18"/>
                <w:szCs w:val="18"/>
              </w:rPr>
            </w:pPr>
            <w:r>
              <w:rPr>
                <w:rFonts w:hint="eastAsia"/>
                <w:color w:val="000000"/>
                <w:kern w:val="0"/>
                <w:sz w:val="18"/>
                <w:szCs w:val="18"/>
              </w:rPr>
              <w:t>未提供注册建筑师信用档案信息，逾期不改正的</w:t>
            </w:r>
          </w:p>
        </w:tc>
        <w:tc>
          <w:tcPr>
            <w:tcW w:w="1044" w:type="dxa"/>
            <w:vMerge w:val="continue"/>
            <w:tcBorders>
              <w:top w:val="nil"/>
              <w:left w:val="single" w:color="auto" w:sz="4" w:space="0"/>
              <w:bottom w:val="single" w:color="auto" w:sz="4" w:space="0"/>
              <w:right w:val="single" w:color="auto" w:sz="4" w:space="0"/>
            </w:tcBorders>
            <w:vAlign w:val="center"/>
          </w:tcPr>
          <w:p w14:paraId="23E26EAB">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58EEEE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14:paraId="42EC28A2"/>
    <w:p w14:paraId="796D5FBD"/>
    <w:p w14:paraId="69586857"/>
    <w:p w14:paraId="09E98518"/>
    <w:p w14:paraId="15F90FF3"/>
    <w:p w14:paraId="15A94278"/>
    <w:p w14:paraId="0ECDBAB1"/>
    <w:p w14:paraId="41C5D6A8"/>
    <w:p w14:paraId="6DCF17A1"/>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1821C1A2">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7729F37">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7FC57099">
            <w:pPr>
              <w:spacing w:line="320" w:lineRule="exact"/>
              <w:jc w:val="left"/>
              <w:rPr>
                <w:rFonts w:eastAsia="仿宋_GB2312"/>
                <w:b/>
                <w:bCs/>
                <w:color w:val="000000"/>
                <w:kern w:val="0"/>
                <w:sz w:val="18"/>
                <w:szCs w:val="18"/>
              </w:rPr>
            </w:pPr>
            <w:r>
              <w:rPr>
                <w:rFonts w:eastAsia="仿宋_GB2312"/>
                <w:b/>
                <w:bCs/>
                <w:color w:val="000000"/>
                <w:kern w:val="0"/>
                <w:sz w:val="18"/>
                <w:szCs w:val="18"/>
              </w:rPr>
              <w:t>320217019000</w:t>
            </w:r>
            <w:r>
              <w:rPr>
                <w:rFonts w:hint="eastAsia" w:eastAsia="仿宋_GB2312"/>
                <w:b/>
                <w:bCs/>
                <w:color w:val="000000"/>
                <w:kern w:val="0"/>
                <w:sz w:val="18"/>
                <w:szCs w:val="18"/>
              </w:rPr>
              <w:t xml:space="preserve"> </w:t>
            </w:r>
          </w:p>
        </w:tc>
      </w:tr>
      <w:tr w14:paraId="0BC58B3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81A7698">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02827F13">
            <w:pPr>
              <w:spacing w:line="320" w:lineRule="exact"/>
              <w:jc w:val="left"/>
              <w:rPr>
                <w:color w:val="000000"/>
                <w:kern w:val="0"/>
                <w:sz w:val="18"/>
                <w:szCs w:val="18"/>
              </w:rPr>
            </w:pPr>
            <w:r>
              <w:rPr>
                <w:rFonts w:hint="eastAsia"/>
                <w:color w:val="000000"/>
                <w:kern w:val="0"/>
                <w:sz w:val="18"/>
                <w:szCs w:val="18"/>
              </w:rPr>
              <w:t>对不符合商品房销售条件，房地产开发企业向买受人收取预订款性质费用的处罚</w:t>
            </w:r>
          </w:p>
        </w:tc>
      </w:tr>
      <w:tr w14:paraId="63B25039">
        <w:tblPrEx>
          <w:tblCellMar>
            <w:top w:w="0" w:type="dxa"/>
            <w:left w:w="108" w:type="dxa"/>
            <w:bottom w:w="0" w:type="dxa"/>
            <w:right w:w="108" w:type="dxa"/>
          </w:tblCellMar>
        </w:tblPrEx>
        <w:trPr>
          <w:trHeight w:val="1125" w:hRule="atLeast"/>
        </w:trPr>
        <w:tc>
          <w:tcPr>
            <w:tcW w:w="1056" w:type="dxa"/>
            <w:tcBorders>
              <w:top w:val="nil"/>
              <w:left w:val="single" w:color="auto" w:sz="8" w:space="0"/>
              <w:bottom w:val="single" w:color="auto" w:sz="4" w:space="0"/>
              <w:right w:val="single" w:color="auto" w:sz="4" w:space="0"/>
            </w:tcBorders>
            <w:vAlign w:val="center"/>
          </w:tcPr>
          <w:p w14:paraId="62009B37">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3316C1FB">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19AACDDC">
            <w:pPr>
              <w:spacing w:line="320" w:lineRule="exact"/>
              <w:jc w:val="left"/>
              <w:rPr>
                <w:color w:val="000000"/>
                <w:kern w:val="0"/>
                <w:sz w:val="18"/>
                <w:szCs w:val="18"/>
              </w:rPr>
            </w:pPr>
            <w:r>
              <w:rPr>
                <w:rFonts w:hint="eastAsia"/>
                <w:color w:val="000000"/>
                <w:kern w:val="0"/>
                <w:sz w:val="18"/>
                <w:szCs w:val="18"/>
              </w:rPr>
              <w:t>第二十二条第一款</w:t>
            </w:r>
            <w:r>
              <w:rPr>
                <w:color w:val="000000"/>
                <w:kern w:val="0"/>
                <w:sz w:val="18"/>
                <w:szCs w:val="18"/>
              </w:rPr>
              <w:t xml:space="preserve">  </w:t>
            </w:r>
            <w:r>
              <w:rPr>
                <w:rFonts w:hint="eastAsia"/>
                <w:color w:val="000000"/>
                <w:kern w:val="0"/>
                <w:sz w:val="18"/>
                <w:szCs w:val="18"/>
              </w:rPr>
              <w:t>不符合商品房销售条件的，房地产开发企业不得销售商品房，不得向买受人收取任何预订款性质费用。</w:t>
            </w:r>
          </w:p>
          <w:p w14:paraId="0B020E72">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14:paraId="1BA9D159">
            <w:pPr>
              <w:spacing w:line="320" w:lineRule="exact"/>
              <w:jc w:val="left"/>
              <w:rPr>
                <w:color w:val="000000"/>
                <w:kern w:val="0"/>
                <w:sz w:val="18"/>
                <w:szCs w:val="18"/>
              </w:rPr>
            </w:pPr>
            <w:r>
              <w:rPr>
                <w:rFonts w:hint="eastAsia"/>
                <w:color w:val="000000"/>
                <w:kern w:val="0"/>
                <w:sz w:val="18"/>
                <w:szCs w:val="18"/>
              </w:rPr>
              <w:t>（六）不符合商品房销售条件，向买受人收取预订款性质费用的。</w:t>
            </w:r>
          </w:p>
        </w:tc>
      </w:tr>
      <w:tr w14:paraId="020CF131">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71F8390">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11AFFD86">
            <w:pPr>
              <w:spacing w:line="320" w:lineRule="exact"/>
              <w:jc w:val="left"/>
              <w:rPr>
                <w:color w:val="000000"/>
                <w:kern w:val="0"/>
                <w:sz w:val="18"/>
                <w:szCs w:val="18"/>
              </w:rPr>
            </w:pPr>
            <w:r>
              <w:rPr>
                <w:rFonts w:hint="eastAsia"/>
                <w:color w:val="000000"/>
                <w:kern w:val="0"/>
                <w:sz w:val="18"/>
                <w:szCs w:val="18"/>
              </w:rPr>
              <w:t>警告，罚款</w:t>
            </w:r>
          </w:p>
        </w:tc>
      </w:tr>
      <w:tr w14:paraId="6E35B227">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443854F">
            <w:pPr>
              <w:spacing w:line="320" w:lineRule="exact"/>
              <w:jc w:val="center"/>
              <w:rPr>
                <w:color w:val="000000"/>
                <w:kern w:val="0"/>
                <w:sz w:val="18"/>
                <w:szCs w:val="18"/>
              </w:rPr>
            </w:pPr>
            <w:r>
              <w:rPr>
                <w:rFonts w:hint="eastAsia"/>
                <w:color w:val="000000"/>
                <w:kern w:val="0"/>
                <w:sz w:val="18"/>
                <w:szCs w:val="18"/>
              </w:rPr>
              <w:t>裁量基准</w:t>
            </w:r>
          </w:p>
        </w:tc>
      </w:tr>
      <w:tr w14:paraId="4626D0CF">
        <w:tblPrEx>
          <w:tblCellMar>
            <w:top w:w="0" w:type="dxa"/>
            <w:left w:w="108" w:type="dxa"/>
            <w:bottom w:w="0" w:type="dxa"/>
            <w:right w:w="108" w:type="dxa"/>
          </w:tblCellMar>
        </w:tblPrEx>
        <w:trPr>
          <w:trHeight w:val="460" w:hRule="atLeast"/>
        </w:trPr>
        <w:tc>
          <w:tcPr>
            <w:tcW w:w="1056" w:type="dxa"/>
            <w:vMerge w:val="restart"/>
            <w:tcBorders>
              <w:top w:val="nil"/>
              <w:left w:val="single" w:color="auto" w:sz="8" w:space="0"/>
              <w:bottom w:val="single" w:color="auto" w:sz="4" w:space="0"/>
              <w:right w:val="single" w:color="auto" w:sz="4" w:space="0"/>
            </w:tcBorders>
            <w:vAlign w:val="center"/>
          </w:tcPr>
          <w:p w14:paraId="3B941BD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8808735">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color="auto" w:sz="4" w:space="0"/>
              <w:left w:val="single" w:color="auto" w:sz="4" w:space="0"/>
              <w:bottom w:val="single" w:color="auto" w:sz="4" w:space="0"/>
              <w:right w:val="single" w:color="auto" w:sz="4" w:space="0"/>
            </w:tcBorders>
            <w:vAlign w:val="center"/>
          </w:tcPr>
          <w:p w14:paraId="00BAB167">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74F9520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33C8F2CD">
        <w:tblPrEx>
          <w:tblCellMar>
            <w:top w:w="0" w:type="dxa"/>
            <w:left w:w="108" w:type="dxa"/>
            <w:bottom w:w="0" w:type="dxa"/>
            <w:right w:w="108" w:type="dxa"/>
          </w:tblCellMar>
        </w:tblPrEx>
        <w:trPr>
          <w:trHeight w:val="498" w:hRule="atLeast"/>
        </w:trPr>
        <w:tc>
          <w:tcPr>
            <w:tcW w:w="1056" w:type="dxa"/>
            <w:vMerge w:val="continue"/>
            <w:tcBorders>
              <w:top w:val="nil"/>
              <w:left w:val="single" w:color="auto" w:sz="8" w:space="0"/>
              <w:bottom w:val="single" w:color="auto" w:sz="4" w:space="0"/>
              <w:right w:val="single" w:color="auto" w:sz="4" w:space="0"/>
            </w:tcBorders>
            <w:vAlign w:val="center"/>
          </w:tcPr>
          <w:p w14:paraId="555F757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24E2188">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6CD64D8F">
            <w:pPr>
              <w:spacing w:line="320" w:lineRule="exact"/>
              <w:jc w:val="left"/>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24EFBA9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1615F9B4"/>
    <w:p w14:paraId="705DB8C2"/>
    <w:p w14:paraId="13AD22E5"/>
    <w:p w14:paraId="0F2B67BF"/>
    <w:p w14:paraId="3182758D"/>
    <w:p w14:paraId="190EA82F"/>
    <w:p w14:paraId="706BD6ED"/>
    <w:p w14:paraId="24EE0770"/>
    <w:p w14:paraId="48D7626C"/>
    <w:p w14:paraId="70EE32C6"/>
    <w:p w14:paraId="52027190"/>
    <w:p w14:paraId="6DA92424"/>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08AE4B5F">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23A47808">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2FF04D20">
            <w:pPr>
              <w:spacing w:line="320" w:lineRule="exact"/>
              <w:jc w:val="left"/>
              <w:rPr>
                <w:rFonts w:eastAsia="仿宋_GB2312"/>
                <w:color w:val="000000"/>
                <w:sz w:val="20"/>
              </w:rPr>
            </w:pPr>
            <w:r>
              <w:rPr>
                <w:rFonts w:eastAsia="仿宋_GB2312"/>
                <w:b/>
                <w:bCs/>
                <w:color w:val="000000"/>
                <w:kern w:val="0"/>
                <w:sz w:val="18"/>
                <w:szCs w:val="18"/>
              </w:rPr>
              <w:t>320217020000</w:t>
            </w:r>
          </w:p>
        </w:tc>
      </w:tr>
      <w:tr w14:paraId="18E2D828">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E7B1191">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52A2697E">
            <w:pPr>
              <w:jc w:val="left"/>
              <w:rPr>
                <w:color w:val="000000"/>
                <w:sz w:val="20"/>
              </w:rPr>
            </w:pPr>
            <w:r>
              <w:rPr>
                <w:rFonts w:hint="eastAsia"/>
                <w:color w:val="000000"/>
                <w:sz w:val="20"/>
              </w:rPr>
              <w:t>对擅自在城市桥梁上架设各类管线、设置广告等辅助物的处罚</w:t>
            </w:r>
          </w:p>
        </w:tc>
      </w:tr>
      <w:tr w14:paraId="1CB0FC57">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3F82ECE1">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7DFCA6F5">
            <w:pPr>
              <w:spacing w:line="240" w:lineRule="exact"/>
              <w:jc w:val="left"/>
              <w:rPr>
                <w:color w:val="000000"/>
                <w:sz w:val="20"/>
              </w:rPr>
            </w:pPr>
            <w:r>
              <w:rPr>
                <w:color w:val="000000"/>
                <w:sz w:val="20"/>
              </w:rPr>
              <w:t xml:space="preserve">  </w:t>
            </w:r>
            <w:r>
              <w:rPr>
                <w:rFonts w:hint="eastAsia"/>
                <w:color w:val="000000"/>
                <w:sz w:val="20"/>
              </w:rPr>
              <w:t>【规章】《城市桥梁检测和养护维修管理办法》（建设部令第118号）</w:t>
            </w:r>
          </w:p>
          <w:p w14:paraId="08AC967C">
            <w:pPr>
              <w:spacing w:line="240" w:lineRule="exact"/>
              <w:jc w:val="left"/>
              <w:rPr>
                <w:color w:val="000000"/>
                <w:sz w:val="20"/>
              </w:rPr>
            </w:pPr>
            <w:r>
              <w:rPr>
                <w:rFonts w:hint="eastAsia"/>
                <w:color w:val="000000"/>
                <w:sz w:val="20"/>
              </w:rPr>
              <w:t xml:space="preserve">       第十七条 在城市桥梁上架设各种市政管线、电力线、电信线等，应当先经原设计单位提出技术安全意见，报城市人民政府市政工程设施行政主管部门批准后，方可实施。</w:t>
            </w:r>
          </w:p>
          <w:p w14:paraId="2B1547FE">
            <w:pPr>
              <w:spacing w:line="240" w:lineRule="exact"/>
              <w:jc w:val="left"/>
              <w:rPr>
                <w:color w:val="000000"/>
                <w:sz w:val="20"/>
              </w:rPr>
            </w:pPr>
            <w:r>
              <w:rPr>
                <w:rFonts w:hint="eastAsia"/>
                <w:color w:val="000000"/>
                <w:sz w:val="20"/>
              </w:rPr>
              <w:t xml:space="preserve">       第十八条 在城市桥梁上设置大型广告、悬挂物等辅助物的，应当出具相应的风载、荷载实验报告以及原设计单位的技术安全意见，报城市人民政府市政工程设施行政主管部门批准后，方可实施。  </w:t>
            </w:r>
          </w:p>
          <w:p w14:paraId="15350866">
            <w:pPr>
              <w:spacing w:line="240" w:lineRule="exact"/>
              <w:jc w:val="left"/>
              <w:rPr>
                <w:color w:val="000000"/>
                <w:sz w:val="20"/>
              </w:rPr>
            </w:pPr>
            <w:r>
              <w:rPr>
                <w:rFonts w:hint="eastAsia"/>
                <w:color w:val="000000"/>
                <w:sz w:val="20"/>
              </w:rPr>
              <w:t xml:space="preserve">       第二十六条 单位或者个人擅自在城市桥梁上架设各类管线、设置广告等辅助物的，由城市人民政府市政工程设施行政主管部门责令限期改正，并可处2万元以下的罚款；造成损失的，依法承担赔偿责任。</w:t>
            </w:r>
          </w:p>
        </w:tc>
      </w:tr>
      <w:tr w14:paraId="10DF3EF1">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6B8D0A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19A7BD46">
            <w:pPr>
              <w:spacing w:line="320" w:lineRule="exact"/>
              <w:jc w:val="left"/>
              <w:rPr>
                <w:color w:val="000000"/>
                <w:kern w:val="0"/>
                <w:sz w:val="18"/>
                <w:szCs w:val="18"/>
              </w:rPr>
            </w:pPr>
            <w:r>
              <w:rPr>
                <w:rFonts w:hint="eastAsia"/>
                <w:color w:val="000000"/>
                <w:kern w:val="0"/>
                <w:sz w:val="18"/>
                <w:szCs w:val="18"/>
              </w:rPr>
              <w:t>罚款</w:t>
            </w:r>
          </w:p>
        </w:tc>
      </w:tr>
      <w:tr w14:paraId="55076EAB">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14BBDBE8">
            <w:pPr>
              <w:spacing w:line="320" w:lineRule="exact"/>
              <w:jc w:val="center"/>
              <w:rPr>
                <w:color w:val="000000"/>
                <w:kern w:val="0"/>
                <w:sz w:val="18"/>
                <w:szCs w:val="18"/>
              </w:rPr>
            </w:pPr>
            <w:r>
              <w:rPr>
                <w:rFonts w:hint="eastAsia"/>
                <w:color w:val="000000"/>
                <w:kern w:val="0"/>
                <w:sz w:val="18"/>
                <w:szCs w:val="18"/>
              </w:rPr>
              <w:t>裁量基准</w:t>
            </w:r>
          </w:p>
        </w:tc>
      </w:tr>
      <w:tr w14:paraId="29455A4B">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1F9579D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E1BF26E">
            <w:pPr>
              <w:spacing w:line="320" w:lineRule="exact"/>
              <w:jc w:val="left"/>
              <w:rPr>
                <w:color w:val="000000"/>
                <w:kern w:val="0"/>
                <w:sz w:val="18"/>
                <w:szCs w:val="18"/>
              </w:rPr>
            </w:pPr>
            <w:r>
              <w:rPr>
                <w:rFonts w:hint="eastAsia"/>
                <w:color w:val="000000"/>
                <w:kern w:val="0"/>
                <w:sz w:val="18"/>
                <w:szCs w:val="18"/>
              </w:rPr>
              <w:t>按照要求改正未造成损失的</w:t>
            </w:r>
          </w:p>
        </w:tc>
        <w:tc>
          <w:tcPr>
            <w:tcW w:w="1080" w:type="dxa"/>
            <w:vMerge w:val="restart"/>
            <w:tcBorders>
              <w:top w:val="nil"/>
              <w:left w:val="single" w:color="auto" w:sz="4" w:space="0"/>
              <w:right w:val="single" w:color="auto" w:sz="4" w:space="0"/>
            </w:tcBorders>
            <w:vAlign w:val="center"/>
          </w:tcPr>
          <w:p w14:paraId="4EC6394A">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E38B5B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105C7D37">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1B29DB85">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434F496">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left w:val="single" w:color="auto" w:sz="4" w:space="0"/>
              <w:right w:val="single" w:color="auto" w:sz="4" w:space="0"/>
            </w:tcBorders>
            <w:vAlign w:val="center"/>
          </w:tcPr>
          <w:p w14:paraId="33D2FF3D">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B77B00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4FBF9A7">
        <w:tblPrEx>
          <w:tblCellMar>
            <w:top w:w="0" w:type="dxa"/>
            <w:left w:w="108" w:type="dxa"/>
            <w:bottom w:w="0" w:type="dxa"/>
            <w:right w:w="108" w:type="dxa"/>
          </w:tblCellMar>
        </w:tblPrEx>
        <w:trPr>
          <w:trHeight w:val="345" w:hRule="atLeast"/>
        </w:trPr>
        <w:tc>
          <w:tcPr>
            <w:tcW w:w="1070" w:type="dxa"/>
            <w:vMerge w:val="continue"/>
            <w:tcBorders>
              <w:left w:val="single" w:color="auto" w:sz="8" w:space="0"/>
              <w:right w:val="single" w:color="auto" w:sz="4" w:space="0"/>
            </w:tcBorders>
            <w:vAlign w:val="center"/>
          </w:tcPr>
          <w:p w14:paraId="021DBA6D">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8A96E4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continue"/>
            <w:tcBorders>
              <w:left w:val="single" w:color="auto" w:sz="4" w:space="0"/>
              <w:right w:val="single" w:color="auto" w:sz="4" w:space="0"/>
            </w:tcBorders>
            <w:vAlign w:val="center"/>
          </w:tcPr>
          <w:p w14:paraId="4A1BE207">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A04F7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43E8E27B">
        <w:tblPrEx>
          <w:tblCellMar>
            <w:top w:w="0" w:type="dxa"/>
            <w:left w:w="108" w:type="dxa"/>
            <w:bottom w:w="0" w:type="dxa"/>
            <w:right w:w="108" w:type="dxa"/>
          </w:tblCellMar>
        </w:tblPrEx>
        <w:trPr>
          <w:trHeight w:val="280" w:hRule="atLeast"/>
        </w:trPr>
        <w:tc>
          <w:tcPr>
            <w:tcW w:w="1070" w:type="dxa"/>
            <w:vMerge w:val="continue"/>
            <w:tcBorders>
              <w:left w:val="single" w:color="auto" w:sz="8" w:space="0"/>
              <w:bottom w:val="single" w:color="auto" w:sz="4" w:space="0"/>
              <w:right w:val="single" w:color="auto" w:sz="4" w:space="0"/>
            </w:tcBorders>
            <w:vAlign w:val="center"/>
          </w:tcPr>
          <w:p w14:paraId="66AE49F0">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63E7B18">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52B1B904">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5B2D450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3AB178B4"/>
    <w:p w14:paraId="5F09A11C"/>
    <w:p w14:paraId="7E244FA4"/>
    <w:p w14:paraId="3F69142E"/>
    <w:p w14:paraId="07DAEDF9"/>
    <w:p w14:paraId="0DE70FFA"/>
    <w:p w14:paraId="1192A612"/>
    <w:p w14:paraId="039051B3"/>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1B5658C2">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0EFA4E0E">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0E054077">
            <w:pPr>
              <w:spacing w:line="320" w:lineRule="exact"/>
              <w:jc w:val="left"/>
              <w:rPr>
                <w:rFonts w:eastAsia="仿宋_GB2312"/>
                <w:color w:val="000000"/>
                <w:sz w:val="20"/>
              </w:rPr>
            </w:pPr>
            <w:r>
              <w:rPr>
                <w:rFonts w:eastAsia="仿宋_GB2312"/>
                <w:color w:val="000000"/>
                <w:sz w:val="20"/>
              </w:rPr>
              <w:t>320217021000</w:t>
            </w:r>
          </w:p>
        </w:tc>
      </w:tr>
      <w:tr w14:paraId="78057F4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8B5E84F">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7A058802">
            <w:pPr>
              <w:jc w:val="left"/>
              <w:rPr>
                <w:color w:val="000000"/>
                <w:sz w:val="20"/>
              </w:rPr>
            </w:pPr>
            <w:r>
              <w:rPr>
                <w:rFonts w:hint="eastAsia"/>
                <w:color w:val="000000"/>
                <w:sz w:val="20"/>
              </w:rPr>
              <w:t>对擅自在城市桥梁施工控制范围内从事河道疏浚、挖掘、打桩、地下管道顶进、爆破等作业的处罚</w:t>
            </w:r>
          </w:p>
        </w:tc>
      </w:tr>
      <w:tr w14:paraId="19D9DEE5">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21FEF160">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799F7AF4">
            <w:pPr>
              <w:spacing w:line="320" w:lineRule="exact"/>
              <w:jc w:val="left"/>
              <w:rPr>
                <w:color w:val="000000"/>
                <w:kern w:val="0"/>
                <w:sz w:val="18"/>
                <w:szCs w:val="18"/>
              </w:rPr>
            </w:pPr>
            <w:r>
              <w:rPr>
                <w:rFonts w:hint="eastAsia"/>
                <w:color w:val="000000"/>
                <w:kern w:val="0"/>
                <w:sz w:val="18"/>
                <w:szCs w:val="18"/>
              </w:rPr>
              <w:t>【规章】《城市桥梁检测和养护维修管理办法》（建设部令第118号）  第十四条 城市人民政府市政工程设施行政主管部门应当根据城市桥梁的具体技术特点、结构安全条件等情况，确定城市桥梁的施工控制范围。</w:t>
            </w:r>
          </w:p>
          <w:p w14:paraId="6119F7D2">
            <w:pPr>
              <w:spacing w:line="320" w:lineRule="exact"/>
              <w:jc w:val="left"/>
              <w:rPr>
                <w:color w:val="000000"/>
                <w:kern w:val="0"/>
                <w:sz w:val="18"/>
                <w:szCs w:val="18"/>
              </w:rPr>
            </w:pPr>
            <w:r>
              <w:rPr>
                <w:rFonts w:hint="eastAsia"/>
                <w:color w:val="000000"/>
                <w:kern w:val="0"/>
                <w:sz w:val="18"/>
                <w:szCs w:val="18"/>
              </w:rPr>
              <w:t xml:space="preserve">在城市桥梁施工控制范围内从事河道疏浚、挖掘、打桩、地下管道顶进、爆破等作业的单位和个人，在取得施工许可证前应当先经城市人民政府市政工程设施行政主管部门同意，并与城市桥梁的产权人签订保护协议，采取保护措施后，方可施工。 </w:t>
            </w:r>
          </w:p>
          <w:p w14:paraId="066A29AD">
            <w:pPr>
              <w:spacing w:line="320" w:lineRule="exact"/>
              <w:jc w:val="left"/>
              <w:rPr>
                <w:color w:val="000000"/>
                <w:sz w:val="20"/>
              </w:rPr>
            </w:pPr>
            <w:r>
              <w:rPr>
                <w:rFonts w:hint="eastAsia"/>
                <w:color w:val="000000"/>
                <w:kern w:val="0"/>
                <w:sz w:val="18"/>
                <w:szCs w:val="18"/>
              </w:rPr>
              <w:t xml:space="preserve">  第二十七条 单位和个人擅自在城市桥梁施工控制范围内从事本办法第十四条第二款规定的活动的，由城市人民政府市政工程设施行政主管部门责令限期改正，并可处1万元以上3万元以下的罚款。</w:t>
            </w:r>
          </w:p>
        </w:tc>
      </w:tr>
      <w:tr w14:paraId="4B0EE09C">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80FDDBC">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2AB7991F">
            <w:pPr>
              <w:spacing w:line="320" w:lineRule="exact"/>
              <w:jc w:val="left"/>
              <w:rPr>
                <w:color w:val="000000"/>
                <w:kern w:val="0"/>
                <w:sz w:val="18"/>
                <w:szCs w:val="18"/>
              </w:rPr>
            </w:pPr>
            <w:r>
              <w:rPr>
                <w:rFonts w:hint="eastAsia"/>
                <w:color w:val="000000"/>
                <w:kern w:val="0"/>
                <w:sz w:val="18"/>
                <w:szCs w:val="18"/>
              </w:rPr>
              <w:t>罚款</w:t>
            </w:r>
          </w:p>
        </w:tc>
      </w:tr>
      <w:tr w14:paraId="3968615F">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0F738D3F">
            <w:pPr>
              <w:spacing w:line="320" w:lineRule="exact"/>
              <w:jc w:val="center"/>
              <w:rPr>
                <w:color w:val="000000"/>
                <w:kern w:val="0"/>
                <w:sz w:val="18"/>
                <w:szCs w:val="18"/>
              </w:rPr>
            </w:pPr>
            <w:r>
              <w:rPr>
                <w:rFonts w:hint="eastAsia"/>
                <w:color w:val="000000"/>
                <w:kern w:val="0"/>
                <w:sz w:val="18"/>
                <w:szCs w:val="18"/>
              </w:rPr>
              <w:t>裁量基准</w:t>
            </w:r>
          </w:p>
        </w:tc>
      </w:tr>
      <w:tr w14:paraId="48A32172">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22CB1F7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2D25E9D">
            <w:pPr>
              <w:spacing w:line="320" w:lineRule="exact"/>
              <w:jc w:val="left"/>
              <w:rPr>
                <w:color w:val="000000"/>
                <w:kern w:val="0"/>
                <w:sz w:val="18"/>
                <w:szCs w:val="18"/>
              </w:rPr>
            </w:pPr>
            <w:r>
              <w:rPr>
                <w:rFonts w:hint="eastAsia"/>
                <w:color w:val="000000"/>
                <w:kern w:val="0"/>
                <w:sz w:val="18"/>
                <w:szCs w:val="18"/>
              </w:rPr>
              <w:t>按照要求改正未造成损失的</w:t>
            </w:r>
          </w:p>
        </w:tc>
        <w:tc>
          <w:tcPr>
            <w:tcW w:w="1080" w:type="dxa"/>
            <w:vMerge w:val="restart"/>
            <w:tcBorders>
              <w:top w:val="nil"/>
              <w:left w:val="single" w:color="auto" w:sz="4" w:space="0"/>
              <w:right w:val="single" w:color="auto" w:sz="4" w:space="0"/>
            </w:tcBorders>
            <w:vAlign w:val="center"/>
          </w:tcPr>
          <w:p w14:paraId="2501FF82">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2911041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0DF5A5BF">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4A7E313E">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5388FEA">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left w:val="single" w:color="auto" w:sz="4" w:space="0"/>
              <w:right w:val="single" w:color="auto" w:sz="4" w:space="0"/>
            </w:tcBorders>
            <w:vAlign w:val="center"/>
          </w:tcPr>
          <w:p w14:paraId="361E9F3A">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8D6093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9234D93">
        <w:tblPrEx>
          <w:tblCellMar>
            <w:top w:w="0" w:type="dxa"/>
            <w:left w:w="108" w:type="dxa"/>
            <w:bottom w:w="0" w:type="dxa"/>
            <w:right w:w="108" w:type="dxa"/>
          </w:tblCellMar>
        </w:tblPrEx>
        <w:trPr>
          <w:trHeight w:val="345" w:hRule="atLeast"/>
        </w:trPr>
        <w:tc>
          <w:tcPr>
            <w:tcW w:w="1070" w:type="dxa"/>
            <w:vMerge w:val="continue"/>
            <w:tcBorders>
              <w:left w:val="single" w:color="auto" w:sz="8" w:space="0"/>
              <w:right w:val="single" w:color="auto" w:sz="4" w:space="0"/>
            </w:tcBorders>
            <w:vAlign w:val="center"/>
          </w:tcPr>
          <w:p w14:paraId="333032B5">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F5E3C3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continue"/>
            <w:tcBorders>
              <w:left w:val="single" w:color="auto" w:sz="4" w:space="0"/>
              <w:right w:val="single" w:color="auto" w:sz="4" w:space="0"/>
            </w:tcBorders>
            <w:vAlign w:val="center"/>
          </w:tcPr>
          <w:p w14:paraId="38F56948">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19D163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681F7242">
        <w:tblPrEx>
          <w:tblCellMar>
            <w:top w:w="0" w:type="dxa"/>
            <w:left w:w="108" w:type="dxa"/>
            <w:bottom w:w="0" w:type="dxa"/>
            <w:right w:w="108" w:type="dxa"/>
          </w:tblCellMar>
        </w:tblPrEx>
        <w:trPr>
          <w:trHeight w:val="280" w:hRule="atLeast"/>
        </w:trPr>
        <w:tc>
          <w:tcPr>
            <w:tcW w:w="1070" w:type="dxa"/>
            <w:vMerge w:val="continue"/>
            <w:tcBorders>
              <w:left w:val="single" w:color="auto" w:sz="8" w:space="0"/>
              <w:bottom w:val="single" w:color="auto" w:sz="4" w:space="0"/>
              <w:right w:val="single" w:color="auto" w:sz="4" w:space="0"/>
            </w:tcBorders>
            <w:vAlign w:val="center"/>
          </w:tcPr>
          <w:p w14:paraId="17B4C953">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7854732">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40795392">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70AB1E9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1009EC7B"/>
    <w:p w14:paraId="1B41A2B6"/>
    <w:p w14:paraId="65C509C8"/>
    <w:p w14:paraId="453A6D8E"/>
    <w:p w14:paraId="5C2D739D"/>
    <w:p w14:paraId="489B4313"/>
    <w:p w14:paraId="54FBA702"/>
    <w:p w14:paraId="1CD949D6"/>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62BE8A33">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shd w:val="clear" w:color="auto" w:fill="FFFFFF"/>
            <w:vAlign w:val="center"/>
          </w:tcPr>
          <w:p w14:paraId="16B4B387">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shd w:val="clear" w:color="auto" w:fill="FFFFFF"/>
            <w:vAlign w:val="center"/>
          </w:tcPr>
          <w:p w14:paraId="23C98FF5">
            <w:pPr>
              <w:spacing w:line="320" w:lineRule="exact"/>
              <w:jc w:val="left"/>
              <w:rPr>
                <w:rFonts w:eastAsia="仿宋_GB2312"/>
                <w:b/>
                <w:bCs/>
                <w:color w:val="000000"/>
                <w:kern w:val="0"/>
                <w:sz w:val="18"/>
                <w:szCs w:val="18"/>
              </w:rPr>
            </w:pPr>
            <w:r>
              <w:rPr>
                <w:rFonts w:eastAsia="仿宋_GB2312"/>
                <w:b/>
                <w:bCs/>
                <w:color w:val="000000"/>
                <w:kern w:val="0"/>
                <w:sz w:val="18"/>
                <w:szCs w:val="18"/>
              </w:rPr>
              <w:t>320217022000</w:t>
            </w:r>
          </w:p>
        </w:tc>
      </w:tr>
      <w:tr w14:paraId="0EE58569">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shd w:val="clear" w:color="auto" w:fill="FFFFFF"/>
            <w:vAlign w:val="center"/>
          </w:tcPr>
          <w:p w14:paraId="3BEF0201">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shd w:val="clear" w:color="auto" w:fill="FFFFFF"/>
            <w:vAlign w:val="center"/>
          </w:tcPr>
          <w:p w14:paraId="46A534A1">
            <w:pPr>
              <w:spacing w:line="320" w:lineRule="exact"/>
              <w:jc w:val="left"/>
              <w:rPr>
                <w:color w:val="000000"/>
                <w:kern w:val="0"/>
                <w:sz w:val="18"/>
                <w:szCs w:val="18"/>
              </w:rPr>
            </w:pPr>
            <w:r>
              <w:rPr>
                <w:rFonts w:hint="eastAsia"/>
                <w:color w:val="000000"/>
                <w:kern w:val="0"/>
                <w:sz w:val="18"/>
                <w:szCs w:val="18"/>
              </w:rPr>
              <w:t>对房地产开发企业在销售房屋时未向购买人明示所售房屋的节能措施、保温工程保修期等信息的或对以上信息作虚假宣传的处罚</w:t>
            </w:r>
          </w:p>
        </w:tc>
      </w:tr>
      <w:tr w14:paraId="326B2681">
        <w:tblPrEx>
          <w:tblCellMar>
            <w:top w:w="0" w:type="dxa"/>
            <w:left w:w="108" w:type="dxa"/>
            <w:bottom w:w="0" w:type="dxa"/>
            <w:right w:w="108" w:type="dxa"/>
          </w:tblCellMar>
        </w:tblPrEx>
        <w:trPr>
          <w:trHeight w:val="1470" w:hRule="atLeast"/>
        </w:trPr>
        <w:tc>
          <w:tcPr>
            <w:tcW w:w="1070" w:type="dxa"/>
            <w:tcBorders>
              <w:top w:val="nil"/>
              <w:left w:val="single" w:color="auto" w:sz="8" w:space="0"/>
              <w:bottom w:val="single" w:color="auto" w:sz="4" w:space="0"/>
              <w:right w:val="single" w:color="auto" w:sz="4" w:space="0"/>
            </w:tcBorders>
            <w:shd w:val="clear" w:color="auto" w:fill="FFFFFF"/>
            <w:vAlign w:val="center"/>
          </w:tcPr>
          <w:p w14:paraId="5C8DDF28">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shd w:val="clear" w:color="auto" w:fill="FFFFFF"/>
            <w:vAlign w:val="center"/>
          </w:tcPr>
          <w:p w14:paraId="0C605996">
            <w:pPr>
              <w:spacing w:line="320" w:lineRule="exact"/>
              <w:jc w:val="left"/>
              <w:rPr>
                <w:color w:val="000000"/>
                <w:kern w:val="0"/>
                <w:sz w:val="18"/>
                <w:szCs w:val="18"/>
              </w:rPr>
            </w:pPr>
            <w:r>
              <w:rPr>
                <w:rFonts w:hint="eastAsia"/>
                <w:color w:val="000000"/>
                <w:kern w:val="0"/>
                <w:sz w:val="18"/>
                <w:szCs w:val="18"/>
              </w:rPr>
              <w:t>【法律】《中华人民共和国节约能源法》（</w:t>
            </w:r>
            <w:r>
              <w:rPr>
                <w:color w:val="000000"/>
                <w:kern w:val="0"/>
                <w:sz w:val="18"/>
                <w:szCs w:val="18"/>
              </w:rPr>
              <w:t>2007</w:t>
            </w:r>
            <w:r>
              <w:rPr>
                <w:rFonts w:hint="eastAsia"/>
                <w:color w:val="000000"/>
                <w:kern w:val="0"/>
                <w:sz w:val="18"/>
                <w:szCs w:val="18"/>
              </w:rPr>
              <w:t>年国家主席令第七十七号）</w:t>
            </w:r>
          </w:p>
          <w:p w14:paraId="27619549">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房地产开发企业在销售房屋时，应当向购买人明示所售房屋的节能措施、保温工程保修期等信息，在房屋买卖合同、质量保证书和使用说明书中载明，并对其真实性、准确性负责。</w:t>
            </w:r>
          </w:p>
          <w:p w14:paraId="3A9AD185">
            <w:pPr>
              <w:spacing w:line="320" w:lineRule="exact"/>
              <w:jc w:val="left"/>
              <w:rPr>
                <w:color w:val="000000"/>
                <w:kern w:val="0"/>
                <w:sz w:val="18"/>
                <w:szCs w:val="18"/>
              </w:rPr>
            </w:pPr>
            <w:r>
              <w:rPr>
                <w:rFonts w:hint="eastAsia"/>
                <w:color w:val="000000"/>
                <w:kern w:val="0"/>
                <w:sz w:val="18"/>
                <w:szCs w:val="18"/>
              </w:rPr>
              <w:t>第八十条</w:t>
            </w:r>
            <w:r>
              <w:rPr>
                <w:color w:val="000000"/>
                <w:kern w:val="0"/>
                <w:sz w:val="18"/>
                <w:szCs w:val="18"/>
              </w:rPr>
              <w:t xml:space="preserve">  </w:t>
            </w:r>
            <w:r>
              <w:rPr>
                <w:rFonts w:hint="eastAsia"/>
                <w:color w:val="000000"/>
                <w:kern w:val="0"/>
                <w:sz w:val="18"/>
                <w:szCs w:val="18"/>
              </w:rPr>
              <w:t>房地产开发企业违反本法规定，在销售房屋时未向购买人明示所售房屋的节能措施、保温工程保修期等信息的，由建设主管部门责令限期改正，逾期不改正的，处三万元以上五万元以下罚款；对以上信息作虚假宣传的，由建设主管部门责令改正，处五万元以上二十万元以下罚款。</w:t>
            </w:r>
          </w:p>
        </w:tc>
      </w:tr>
      <w:tr w14:paraId="1A1D1DF0">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shd w:val="clear" w:color="auto" w:fill="FFFFFF"/>
            <w:vAlign w:val="center"/>
          </w:tcPr>
          <w:p w14:paraId="5BA63AFE">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shd w:val="clear" w:color="auto" w:fill="FFFFFF"/>
            <w:vAlign w:val="center"/>
          </w:tcPr>
          <w:p w14:paraId="2437D43F">
            <w:pPr>
              <w:spacing w:line="320" w:lineRule="exact"/>
              <w:jc w:val="left"/>
              <w:rPr>
                <w:color w:val="000000"/>
                <w:kern w:val="0"/>
                <w:sz w:val="18"/>
                <w:szCs w:val="18"/>
              </w:rPr>
            </w:pPr>
            <w:r>
              <w:rPr>
                <w:rFonts w:hint="eastAsia"/>
                <w:color w:val="000000"/>
                <w:kern w:val="0"/>
                <w:sz w:val="18"/>
                <w:szCs w:val="18"/>
              </w:rPr>
              <w:t>罚款</w:t>
            </w:r>
          </w:p>
        </w:tc>
      </w:tr>
      <w:tr w14:paraId="3A2C07B7">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shd w:val="clear" w:color="auto" w:fill="FFFFFF"/>
            <w:vAlign w:val="center"/>
          </w:tcPr>
          <w:p w14:paraId="03DECB11">
            <w:pPr>
              <w:spacing w:line="320" w:lineRule="exact"/>
              <w:jc w:val="center"/>
              <w:rPr>
                <w:color w:val="000000"/>
                <w:kern w:val="0"/>
                <w:sz w:val="18"/>
                <w:szCs w:val="18"/>
              </w:rPr>
            </w:pPr>
            <w:r>
              <w:rPr>
                <w:rFonts w:hint="eastAsia"/>
                <w:color w:val="000000"/>
                <w:kern w:val="0"/>
                <w:sz w:val="18"/>
                <w:szCs w:val="18"/>
              </w:rPr>
              <w:t>裁量基准</w:t>
            </w:r>
          </w:p>
        </w:tc>
      </w:tr>
      <w:tr w14:paraId="7CEF5544">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shd w:val="clear" w:color="auto" w:fill="FFFFFF"/>
            <w:vAlign w:val="center"/>
          </w:tcPr>
          <w:p w14:paraId="5770583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shd w:val="clear" w:color="auto" w:fill="FFFFFF"/>
            <w:vAlign w:val="center"/>
          </w:tcPr>
          <w:p w14:paraId="1A31C905">
            <w:pPr>
              <w:spacing w:line="320" w:lineRule="exact"/>
              <w:jc w:val="left"/>
              <w:rPr>
                <w:color w:val="000000"/>
                <w:kern w:val="0"/>
                <w:sz w:val="18"/>
                <w:szCs w:val="18"/>
              </w:rPr>
            </w:pPr>
            <w:r>
              <w:rPr>
                <w:rFonts w:hint="eastAsia"/>
                <w:color w:val="000000"/>
                <w:kern w:val="0"/>
                <w:sz w:val="18"/>
                <w:szCs w:val="18"/>
              </w:rPr>
              <w:t>明示的信息不完整且逾期不改正的</w:t>
            </w:r>
          </w:p>
        </w:tc>
        <w:tc>
          <w:tcPr>
            <w:tcW w:w="1106" w:type="dxa"/>
            <w:vMerge w:val="restart"/>
            <w:tcBorders>
              <w:top w:val="nil"/>
              <w:left w:val="single" w:color="auto" w:sz="4" w:space="0"/>
              <w:bottom w:val="single" w:color="auto" w:sz="4" w:space="0"/>
              <w:right w:val="single" w:color="auto" w:sz="4" w:space="0"/>
            </w:tcBorders>
            <w:shd w:val="clear" w:color="auto" w:fill="FFFFFF"/>
            <w:vAlign w:val="center"/>
          </w:tcPr>
          <w:p w14:paraId="06DD8DCF">
            <w:pPr>
              <w:spacing w:line="320" w:lineRule="exact"/>
              <w:jc w:val="center"/>
              <w:rPr>
                <w:color w:val="000000"/>
                <w:kern w:val="0"/>
                <w:sz w:val="18"/>
                <w:szCs w:val="18"/>
              </w:rPr>
            </w:pPr>
            <w:r>
              <w:rPr>
                <w:rFonts w:hint="eastAsia"/>
                <w:color w:val="000000"/>
                <w:kern w:val="0"/>
                <w:sz w:val="18"/>
                <w:szCs w:val="18"/>
              </w:rPr>
              <w:t>裁量幅度</w:t>
            </w:r>
          </w:p>
        </w:tc>
        <w:tc>
          <w:tcPr>
            <w:tcW w:w="5714" w:type="dxa"/>
            <w:tcBorders>
              <w:top w:val="nil"/>
              <w:left w:val="nil"/>
              <w:bottom w:val="single" w:color="auto" w:sz="4" w:space="0"/>
              <w:right w:val="single" w:color="auto" w:sz="8" w:space="0"/>
            </w:tcBorders>
            <w:shd w:val="clear" w:color="auto" w:fill="FFFFFF"/>
            <w:vAlign w:val="center"/>
          </w:tcPr>
          <w:p w14:paraId="14F6A33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14:paraId="4519AFEF">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shd w:val="clear" w:color="auto" w:fill="auto"/>
            <w:vAlign w:val="center"/>
          </w:tcPr>
          <w:p w14:paraId="3D2433D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shd w:val="clear" w:color="auto" w:fill="FFFFFF"/>
            <w:vAlign w:val="center"/>
          </w:tcPr>
          <w:p w14:paraId="44B4B1D8">
            <w:pPr>
              <w:spacing w:line="320" w:lineRule="exact"/>
              <w:jc w:val="left"/>
              <w:rPr>
                <w:color w:val="000000"/>
                <w:kern w:val="0"/>
                <w:sz w:val="18"/>
                <w:szCs w:val="18"/>
              </w:rPr>
            </w:pPr>
            <w:r>
              <w:rPr>
                <w:rFonts w:hint="eastAsia"/>
                <w:color w:val="000000"/>
                <w:kern w:val="0"/>
                <w:sz w:val="18"/>
                <w:szCs w:val="18"/>
              </w:rPr>
              <w:t>未明示信息的且逾期不改正的</w:t>
            </w:r>
          </w:p>
        </w:tc>
        <w:tc>
          <w:tcPr>
            <w:tcW w:w="1106" w:type="dxa"/>
            <w:vMerge w:val="continue"/>
            <w:tcBorders>
              <w:top w:val="nil"/>
              <w:left w:val="single" w:color="auto" w:sz="4" w:space="0"/>
              <w:bottom w:val="single" w:color="auto" w:sz="4" w:space="0"/>
              <w:right w:val="single" w:color="auto" w:sz="4" w:space="0"/>
            </w:tcBorders>
            <w:shd w:val="clear" w:color="auto" w:fill="auto"/>
            <w:vAlign w:val="center"/>
          </w:tcPr>
          <w:p w14:paraId="021BF047">
            <w:pPr>
              <w:spacing w:line="320" w:lineRule="exact"/>
              <w:jc w:val="left"/>
              <w:rPr>
                <w:color w:val="000000"/>
                <w:kern w:val="0"/>
                <w:sz w:val="18"/>
                <w:szCs w:val="18"/>
              </w:rPr>
            </w:pPr>
          </w:p>
        </w:tc>
        <w:tc>
          <w:tcPr>
            <w:tcW w:w="5714" w:type="dxa"/>
            <w:tcBorders>
              <w:top w:val="nil"/>
              <w:left w:val="nil"/>
              <w:bottom w:val="single" w:color="auto" w:sz="4" w:space="0"/>
              <w:right w:val="single" w:color="auto" w:sz="8" w:space="0"/>
            </w:tcBorders>
            <w:shd w:val="clear" w:color="auto" w:fill="FFFFFF"/>
            <w:vAlign w:val="center"/>
          </w:tcPr>
          <w:p w14:paraId="260ECC7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47067D33">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shd w:val="clear" w:color="auto" w:fill="auto"/>
            <w:vAlign w:val="center"/>
          </w:tcPr>
          <w:p w14:paraId="471FFC0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shd w:val="clear" w:color="auto" w:fill="FFFFFF"/>
            <w:vAlign w:val="center"/>
          </w:tcPr>
          <w:p w14:paraId="65ABB9B4">
            <w:pPr>
              <w:spacing w:line="320" w:lineRule="exact"/>
              <w:jc w:val="left"/>
              <w:rPr>
                <w:color w:val="000000"/>
                <w:kern w:val="0"/>
                <w:sz w:val="18"/>
                <w:szCs w:val="18"/>
              </w:rPr>
            </w:pPr>
            <w:r>
              <w:rPr>
                <w:rFonts w:hint="eastAsia"/>
                <w:color w:val="000000"/>
                <w:kern w:val="0"/>
                <w:sz w:val="18"/>
                <w:szCs w:val="18"/>
              </w:rPr>
              <w:t>按照要求改正虚假宣传信息的</w:t>
            </w:r>
          </w:p>
        </w:tc>
        <w:tc>
          <w:tcPr>
            <w:tcW w:w="1106" w:type="dxa"/>
            <w:vMerge w:val="continue"/>
            <w:tcBorders>
              <w:top w:val="nil"/>
              <w:left w:val="single" w:color="auto" w:sz="4" w:space="0"/>
              <w:bottom w:val="single" w:color="auto" w:sz="4" w:space="0"/>
              <w:right w:val="single" w:color="auto" w:sz="4" w:space="0"/>
            </w:tcBorders>
            <w:shd w:val="clear" w:color="auto" w:fill="auto"/>
            <w:vAlign w:val="center"/>
          </w:tcPr>
          <w:p w14:paraId="7AB21532">
            <w:pPr>
              <w:spacing w:line="320" w:lineRule="exact"/>
              <w:jc w:val="left"/>
              <w:rPr>
                <w:color w:val="000000"/>
                <w:kern w:val="0"/>
                <w:sz w:val="18"/>
                <w:szCs w:val="18"/>
              </w:rPr>
            </w:pPr>
          </w:p>
        </w:tc>
        <w:tc>
          <w:tcPr>
            <w:tcW w:w="5714" w:type="dxa"/>
            <w:tcBorders>
              <w:top w:val="nil"/>
              <w:left w:val="nil"/>
              <w:bottom w:val="single" w:color="auto" w:sz="4" w:space="0"/>
              <w:right w:val="single" w:color="auto" w:sz="8" w:space="0"/>
            </w:tcBorders>
            <w:shd w:val="clear" w:color="auto" w:fill="FFFFFF"/>
            <w:vAlign w:val="center"/>
          </w:tcPr>
          <w:p w14:paraId="603E982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14:paraId="2E4C8E90">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shd w:val="clear" w:color="auto" w:fill="auto"/>
            <w:vAlign w:val="center"/>
          </w:tcPr>
          <w:p w14:paraId="38E8C50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shd w:val="clear" w:color="auto" w:fill="FFFFFF"/>
            <w:vAlign w:val="center"/>
          </w:tcPr>
          <w:p w14:paraId="24D27DDE">
            <w:pPr>
              <w:spacing w:line="320" w:lineRule="exact"/>
              <w:jc w:val="left"/>
              <w:rPr>
                <w:color w:val="000000"/>
                <w:kern w:val="0"/>
                <w:sz w:val="18"/>
                <w:szCs w:val="18"/>
              </w:rPr>
            </w:pPr>
            <w:r>
              <w:rPr>
                <w:rFonts w:hint="eastAsia"/>
                <w:color w:val="000000"/>
                <w:kern w:val="0"/>
                <w:sz w:val="18"/>
                <w:szCs w:val="18"/>
              </w:rPr>
              <w:t>未按照要求改正虚假宣传信息的</w:t>
            </w:r>
          </w:p>
        </w:tc>
        <w:tc>
          <w:tcPr>
            <w:tcW w:w="1106" w:type="dxa"/>
            <w:vMerge w:val="continue"/>
            <w:tcBorders>
              <w:top w:val="nil"/>
              <w:left w:val="single" w:color="auto" w:sz="4" w:space="0"/>
              <w:bottom w:val="single" w:color="auto" w:sz="4" w:space="0"/>
              <w:right w:val="single" w:color="auto" w:sz="4" w:space="0"/>
            </w:tcBorders>
            <w:shd w:val="clear" w:color="auto" w:fill="auto"/>
            <w:vAlign w:val="center"/>
          </w:tcPr>
          <w:p w14:paraId="5409587E">
            <w:pPr>
              <w:spacing w:line="320" w:lineRule="exact"/>
              <w:jc w:val="left"/>
              <w:rPr>
                <w:color w:val="000000"/>
                <w:kern w:val="0"/>
                <w:sz w:val="18"/>
                <w:szCs w:val="18"/>
              </w:rPr>
            </w:pPr>
          </w:p>
        </w:tc>
        <w:tc>
          <w:tcPr>
            <w:tcW w:w="5714" w:type="dxa"/>
            <w:tcBorders>
              <w:top w:val="nil"/>
              <w:left w:val="nil"/>
              <w:bottom w:val="single" w:color="auto" w:sz="4" w:space="0"/>
              <w:right w:val="single" w:color="auto" w:sz="8" w:space="0"/>
            </w:tcBorders>
            <w:shd w:val="clear" w:color="auto" w:fill="FFFFFF"/>
            <w:vAlign w:val="center"/>
          </w:tcPr>
          <w:p w14:paraId="27BD133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14:paraId="06629B9C"/>
    <w:p w14:paraId="1D50BEAE"/>
    <w:p w14:paraId="4155116E"/>
    <w:p w14:paraId="7EBBEED4"/>
    <w:p w14:paraId="39E66419"/>
    <w:p w14:paraId="2C4B0234"/>
    <w:p w14:paraId="6DA70C8D"/>
    <w:p w14:paraId="6E5DF6D3"/>
    <w:p w14:paraId="3F9E6A9E"/>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2A2B03BF">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42680D2A">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501DEEB2">
            <w:pPr>
              <w:spacing w:line="320" w:lineRule="exact"/>
              <w:jc w:val="left"/>
              <w:rPr>
                <w:rFonts w:eastAsia="仿宋_GB2312"/>
                <w:b/>
                <w:bCs/>
                <w:color w:val="000000"/>
                <w:kern w:val="0"/>
                <w:sz w:val="18"/>
                <w:szCs w:val="18"/>
              </w:rPr>
            </w:pPr>
            <w:r>
              <w:rPr>
                <w:rFonts w:eastAsia="仿宋_GB2312"/>
                <w:b/>
                <w:bCs/>
                <w:color w:val="000000"/>
                <w:kern w:val="0"/>
                <w:sz w:val="18"/>
                <w:szCs w:val="18"/>
              </w:rPr>
              <w:t>320217023000</w:t>
            </w:r>
          </w:p>
        </w:tc>
      </w:tr>
      <w:tr w14:paraId="72A14C80">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5365752A">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16879441">
            <w:pPr>
              <w:spacing w:line="320" w:lineRule="exact"/>
              <w:jc w:val="left"/>
              <w:rPr>
                <w:color w:val="000000"/>
                <w:kern w:val="0"/>
                <w:sz w:val="18"/>
                <w:szCs w:val="18"/>
              </w:rPr>
            </w:pPr>
            <w:r>
              <w:rPr>
                <w:rFonts w:hint="eastAsia"/>
                <w:color w:val="000000"/>
                <w:kern w:val="0"/>
                <w:sz w:val="18"/>
                <w:szCs w:val="18"/>
              </w:rPr>
              <w:t>对建设单位明示或者暗示施工单位使用不符合施工图设计文件要求的墙体材料、保温材料、门窗、采暖制冷系统和照明设备的处罚</w:t>
            </w:r>
          </w:p>
        </w:tc>
      </w:tr>
      <w:tr w14:paraId="3EF6AD36">
        <w:tblPrEx>
          <w:tblCellMar>
            <w:top w:w="0" w:type="dxa"/>
            <w:left w:w="108" w:type="dxa"/>
            <w:bottom w:w="0" w:type="dxa"/>
            <w:right w:w="108" w:type="dxa"/>
          </w:tblCellMar>
        </w:tblPrEx>
        <w:trPr>
          <w:trHeight w:val="1260" w:hRule="atLeast"/>
        </w:trPr>
        <w:tc>
          <w:tcPr>
            <w:tcW w:w="1050" w:type="dxa"/>
            <w:tcBorders>
              <w:top w:val="nil"/>
              <w:left w:val="single" w:color="auto" w:sz="8" w:space="0"/>
              <w:bottom w:val="single" w:color="auto" w:sz="4" w:space="0"/>
              <w:right w:val="single" w:color="auto" w:sz="4" w:space="0"/>
            </w:tcBorders>
            <w:vAlign w:val="center"/>
          </w:tcPr>
          <w:p w14:paraId="7DB0F5EB">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2B3D8B8B">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14:paraId="1E6AE136">
            <w:pPr>
              <w:spacing w:line="320" w:lineRule="exact"/>
              <w:jc w:val="left"/>
              <w:rPr>
                <w:color w:val="000000"/>
                <w:kern w:val="0"/>
                <w:sz w:val="18"/>
                <w:szCs w:val="18"/>
              </w:rPr>
            </w:pPr>
            <w:r>
              <w:rPr>
                <w:rFonts w:hint="eastAsia"/>
                <w:color w:val="000000"/>
                <w:kern w:val="0"/>
                <w:sz w:val="18"/>
                <w:szCs w:val="18"/>
              </w:rPr>
              <w:t>第十四条　建设单位不得明示或者暗示设计单位、施工单位违反民用建筑节能强制性标准进行设计、施工，不得明示或者暗示施工单位使用不符合施工图设计文件要求的墙体材料、保温材料、门窗、采暖制冷系统和照明设备。</w:t>
            </w:r>
          </w:p>
          <w:p w14:paraId="75A3B5AD">
            <w:pPr>
              <w:spacing w:line="320" w:lineRule="exact"/>
              <w:jc w:val="left"/>
              <w:rPr>
                <w:color w:val="000000"/>
                <w:kern w:val="0"/>
                <w:sz w:val="18"/>
                <w:szCs w:val="18"/>
              </w:rPr>
            </w:pPr>
            <w:r>
              <w:rPr>
                <w:rFonts w:hint="eastAsia"/>
                <w:color w:val="000000"/>
                <w:kern w:val="0"/>
                <w:sz w:val="18"/>
                <w:szCs w:val="18"/>
              </w:rPr>
              <w:t>第三十七条　违反本条例规定，建设单位有下列行为之一的，由县级以上地方人民政府建设主管部门责令改正，处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14:paraId="038DAD5C">
            <w:pPr>
              <w:spacing w:line="320" w:lineRule="exact"/>
              <w:jc w:val="left"/>
              <w:rPr>
                <w:color w:val="000000"/>
                <w:kern w:val="0"/>
                <w:sz w:val="18"/>
                <w:szCs w:val="18"/>
              </w:rPr>
            </w:pPr>
            <w:r>
              <w:rPr>
                <w:rFonts w:hint="eastAsia"/>
                <w:color w:val="000000"/>
                <w:kern w:val="0"/>
                <w:sz w:val="18"/>
                <w:szCs w:val="18"/>
              </w:rPr>
              <w:t>（二）明示或者暗示施工单位使用不符合施工图设计文件要求的墙体材料、保温材料、门窗、采暖制冷系统和照明设备的。</w:t>
            </w:r>
          </w:p>
        </w:tc>
      </w:tr>
      <w:tr w14:paraId="72591E60">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78C9AA6E">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19FBC2A1">
            <w:pPr>
              <w:spacing w:line="320" w:lineRule="exact"/>
              <w:jc w:val="left"/>
              <w:rPr>
                <w:color w:val="000000"/>
                <w:kern w:val="0"/>
                <w:sz w:val="18"/>
                <w:szCs w:val="18"/>
              </w:rPr>
            </w:pPr>
            <w:r>
              <w:rPr>
                <w:rFonts w:hint="eastAsia"/>
                <w:color w:val="000000"/>
                <w:kern w:val="0"/>
                <w:sz w:val="18"/>
                <w:szCs w:val="18"/>
              </w:rPr>
              <w:t>罚款</w:t>
            </w:r>
          </w:p>
        </w:tc>
      </w:tr>
      <w:tr w14:paraId="49E59D1D">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37EEB0ED">
            <w:pPr>
              <w:spacing w:line="320" w:lineRule="exact"/>
              <w:jc w:val="center"/>
              <w:rPr>
                <w:color w:val="000000"/>
                <w:kern w:val="0"/>
                <w:sz w:val="18"/>
                <w:szCs w:val="18"/>
              </w:rPr>
            </w:pPr>
            <w:r>
              <w:rPr>
                <w:rFonts w:hint="eastAsia"/>
                <w:color w:val="000000"/>
                <w:kern w:val="0"/>
                <w:sz w:val="18"/>
                <w:szCs w:val="18"/>
              </w:rPr>
              <w:t>裁量基准</w:t>
            </w:r>
          </w:p>
        </w:tc>
      </w:tr>
      <w:tr w14:paraId="300BA9FF">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right w:val="single" w:color="auto" w:sz="4" w:space="0"/>
            </w:tcBorders>
            <w:vAlign w:val="center"/>
          </w:tcPr>
          <w:p w14:paraId="2026924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F0A269C">
            <w:pPr>
              <w:spacing w:line="320" w:lineRule="exact"/>
              <w:jc w:val="left"/>
              <w:rPr>
                <w:color w:val="000000"/>
                <w:kern w:val="0"/>
                <w:sz w:val="18"/>
                <w:szCs w:val="18"/>
              </w:rPr>
            </w:pPr>
            <w:r>
              <w:rPr>
                <w:rFonts w:hint="eastAsia"/>
                <w:color w:val="000000"/>
                <w:kern w:val="0"/>
                <w:sz w:val="18"/>
                <w:szCs w:val="18"/>
              </w:rPr>
              <w:t>施工单位尚未使用的</w:t>
            </w:r>
          </w:p>
        </w:tc>
        <w:tc>
          <w:tcPr>
            <w:tcW w:w="1100" w:type="dxa"/>
            <w:vMerge w:val="restart"/>
            <w:tcBorders>
              <w:top w:val="nil"/>
              <w:left w:val="single" w:color="auto" w:sz="4" w:space="0"/>
              <w:right w:val="single" w:color="auto" w:sz="4" w:space="0"/>
            </w:tcBorders>
            <w:vAlign w:val="center"/>
          </w:tcPr>
          <w:p w14:paraId="28D7A2B4">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472B2306">
            <w:pPr>
              <w:spacing w:line="320" w:lineRule="exact"/>
              <w:jc w:val="left"/>
              <w:rPr>
                <w:color w:val="000000"/>
                <w:kern w:val="0"/>
                <w:sz w:val="18"/>
                <w:szCs w:val="18"/>
              </w:rPr>
            </w:pP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r w14:paraId="470372B7">
        <w:tblPrEx>
          <w:tblCellMar>
            <w:top w:w="0" w:type="dxa"/>
            <w:left w:w="108" w:type="dxa"/>
            <w:bottom w:w="0" w:type="dxa"/>
            <w:right w:w="108" w:type="dxa"/>
          </w:tblCellMar>
        </w:tblPrEx>
        <w:trPr>
          <w:trHeight w:val="285" w:hRule="atLeast"/>
        </w:trPr>
        <w:tc>
          <w:tcPr>
            <w:tcW w:w="1050" w:type="dxa"/>
            <w:vMerge w:val="continue"/>
            <w:tcBorders>
              <w:left w:val="single" w:color="auto" w:sz="8" w:space="0"/>
              <w:right w:val="single" w:color="auto" w:sz="4" w:space="0"/>
            </w:tcBorders>
            <w:vAlign w:val="center"/>
          </w:tcPr>
          <w:p w14:paraId="5D8F7512">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B77B1EF">
            <w:pPr>
              <w:spacing w:line="320" w:lineRule="exact"/>
              <w:jc w:val="left"/>
              <w:rPr>
                <w:color w:val="000000"/>
                <w:kern w:val="0"/>
                <w:sz w:val="18"/>
                <w:szCs w:val="18"/>
              </w:rPr>
            </w:pPr>
            <w:r>
              <w:rPr>
                <w:rFonts w:hint="eastAsia"/>
                <w:color w:val="000000"/>
                <w:kern w:val="0"/>
                <w:sz w:val="18"/>
                <w:szCs w:val="18"/>
              </w:rPr>
              <w:t>施工单位已使用但按要求改正的</w:t>
            </w:r>
          </w:p>
        </w:tc>
        <w:tc>
          <w:tcPr>
            <w:tcW w:w="1100" w:type="dxa"/>
            <w:vMerge w:val="continue"/>
            <w:tcBorders>
              <w:left w:val="single" w:color="auto" w:sz="4" w:space="0"/>
              <w:right w:val="single" w:color="auto" w:sz="4" w:space="0"/>
            </w:tcBorders>
            <w:vAlign w:val="center"/>
          </w:tcPr>
          <w:p w14:paraId="2D82EDD5">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B594B1F">
            <w:pPr>
              <w:spacing w:line="320" w:lineRule="exact"/>
              <w:jc w:val="left"/>
              <w:rPr>
                <w:color w:val="000000"/>
                <w:kern w:val="0"/>
                <w:sz w:val="18"/>
                <w:szCs w:val="18"/>
              </w:rPr>
            </w:pP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14:paraId="6509FD54">
        <w:tblPrEx>
          <w:tblCellMar>
            <w:top w:w="0" w:type="dxa"/>
            <w:left w:w="108" w:type="dxa"/>
            <w:bottom w:w="0" w:type="dxa"/>
            <w:right w:w="108" w:type="dxa"/>
          </w:tblCellMar>
        </w:tblPrEx>
        <w:trPr>
          <w:trHeight w:val="285" w:hRule="atLeast"/>
        </w:trPr>
        <w:tc>
          <w:tcPr>
            <w:tcW w:w="1050" w:type="dxa"/>
            <w:vMerge w:val="continue"/>
            <w:tcBorders>
              <w:left w:val="single" w:color="auto" w:sz="8" w:space="0"/>
              <w:bottom w:val="single" w:color="auto" w:sz="4" w:space="0"/>
              <w:right w:val="single" w:color="auto" w:sz="4" w:space="0"/>
            </w:tcBorders>
            <w:vAlign w:val="center"/>
          </w:tcPr>
          <w:p w14:paraId="1B299EE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FA40F3C">
            <w:pPr>
              <w:spacing w:line="320" w:lineRule="exact"/>
              <w:jc w:val="left"/>
              <w:rPr>
                <w:color w:val="000000"/>
                <w:kern w:val="0"/>
                <w:sz w:val="18"/>
                <w:szCs w:val="18"/>
              </w:rPr>
            </w:pPr>
            <w:r>
              <w:rPr>
                <w:rFonts w:hint="eastAsia"/>
                <w:color w:val="000000"/>
                <w:kern w:val="0"/>
                <w:sz w:val="18"/>
                <w:szCs w:val="18"/>
              </w:rPr>
              <w:t>项目已经完工或者无法改正的</w:t>
            </w:r>
          </w:p>
        </w:tc>
        <w:tc>
          <w:tcPr>
            <w:tcW w:w="1100" w:type="dxa"/>
            <w:vMerge w:val="continue"/>
            <w:tcBorders>
              <w:left w:val="single" w:color="auto" w:sz="4" w:space="0"/>
              <w:bottom w:val="single" w:color="auto" w:sz="4" w:space="0"/>
              <w:right w:val="single" w:color="auto" w:sz="4" w:space="0"/>
            </w:tcBorders>
            <w:vAlign w:val="center"/>
          </w:tcPr>
          <w:p w14:paraId="573E1787">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03C0DB4">
            <w:pPr>
              <w:spacing w:line="320" w:lineRule="exact"/>
              <w:jc w:val="left"/>
              <w:rPr>
                <w:color w:val="000000"/>
                <w:kern w:val="0"/>
                <w:sz w:val="18"/>
                <w:szCs w:val="18"/>
              </w:rPr>
            </w:pP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2964D846"/>
    <w:p w14:paraId="33CF8C12"/>
    <w:p w14:paraId="0883ECE4"/>
    <w:p w14:paraId="5C33087B"/>
    <w:p w14:paraId="43B8B95B"/>
    <w:p w14:paraId="7F23F1D4"/>
    <w:p w14:paraId="6EDE0412"/>
    <w:p w14:paraId="0B0645F5"/>
    <w:p w14:paraId="605AAECC"/>
    <w:p w14:paraId="004596E5"/>
    <w:p w14:paraId="5D58D817"/>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0B609BA2">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2C897E3F">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4EB3C7D7">
            <w:pPr>
              <w:spacing w:line="320" w:lineRule="exact"/>
              <w:jc w:val="left"/>
              <w:rPr>
                <w:rFonts w:eastAsia="仿宋_GB2312"/>
                <w:b/>
                <w:bCs/>
                <w:color w:val="000000"/>
                <w:kern w:val="0"/>
                <w:sz w:val="18"/>
                <w:szCs w:val="18"/>
              </w:rPr>
            </w:pPr>
            <w:r>
              <w:rPr>
                <w:rFonts w:eastAsia="仿宋_GB2312"/>
                <w:b/>
                <w:bCs/>
                <w:color w:val="000000"/>
                <w:kern w:val="0"/>
                <w:sz w:val="18"/>
                <w:szCs w:val="18"/>
              </w:rPr>
              <w:t>320217024000</w:t>
            </w:r>
          </w:p>
        </w:tc>
      </w:tr>
      <w:tr w14:paraId="3B0CEA23">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7287395F">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75AC24FE">
            <w:pPr>
              <w:spacing w:line="320" w:lineRule="exact"/>
              <w:jc w:val="left"/>
              <w:rPr>
                <w:color w:val="000000"/>
                <w:kern w:val="0"/>
                <w:sz w:val="18"/>
                <w:szCs w:val="18"/>
              </w:rPr>
            </w:pPr>
            <w:r>
              <w:rPr>
                <w:rFonts w:hint="eastAsia"/>
                <w:color w:val="000000"/>
                <w:kern w:val="0"/>
                <w:sz w:val="18"/>
                <w:szCs w:val="18"/>
              </w:rPr>
              <w:t>对建设单位采购不符合施工图设计文件要求的墙体材料、保温材料、门窗、采暖制冷系统和照明设备的处罚</w:t>
            </w:r>
          </w:p>
        </w:tc>
      </w:tr>
      <w:tr w14:paraId="114750DF">
        <w:tblPrEx>
          <w:tblCellMar>
            <w:top w:w="0" w:type="dxa"/>
            <w:left w:w="108" w:type="dxa"/>
            <w:bottom w:w="0" w:type="dxa"/>
            <w:right w:w="108" w:type="dxa"/>
          </w:tblCellMar>
        </w:tblPrEx>
        <w:trPr>
          <w:trHeight w:val="1365" w:hRule="atLeast"/>
        </w:trPr>
        <w:tc>
          <w:tcPr>
            <w:tcW w:w="1050" w:type="dxa"/>
            <w:tcBorders>
              <w:top w:val="nil"/>
              <w:left w:val="single" w:color="auto" w:sz="8" w:space="0"/>
              <w:bottom w:val="single" w:color="auto" w:sz="4" w:space="0"/>
              <w:right w:val="single" w:color="auto" w:sz="4" w:space="0"/>
            </w:tcBorders>
            <w:vAlign w:val="center"/>
          </w:tcPr>
          <w:p w14:paraId="198BDAF3">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4F2574BF">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14:paraId="1D4EE8F8">
            <w:pPr>
              <w:spacing w:line="320" w:lineRule="exact"/>
              <w:jc w:val="left"/>
              <w:rPr>
                <w:color w:val="000000"/>
                <w:kern w:val="0"/>
                <w:sz w:val="18"/>
                <w:szCs w:val="18"/>
              </w:rPr>
            </w:pPr>
            <w:r>
              <w:rPr>
                <w:rFonts w:hint="eastAsia"/>
                <w:color w:val="000000"/>
                <w:kern w:val="0"/>
                <w:sz w:val="18"/>
                <w:szCs w:val="18"/>
              </w:rPr>
              <w:t>第十四条第二款　按照合同约定由建设单位采购墙体材料、保温材料、门窗、采暖制冷系统和照明设备的，建设单位应当保证其符合施工图设计文件要求。</w:t>
            </w:r>
          </w:p>
          <w:p w14:paraId="3B120869">
            <w:pPr>
              <w:spacing w:line="320" w:lineRule="exact"/>
              <w:jc w:val="left"/>
              <w:rPr>
                <w:color w:val="000000"/>
                <w:kern w:val="0"/>
                <w:sz w:val="18"/>
                <w:szCs w:val="18"/>
              </w:rPr>
            </w:pPr>
            <w:r>
              <w:rPr>
                <w:rFonts w:hint="eastAsia"/>
                <w:color w:val="000000"/>
                <w:kern w:val="0"/>
                <w:sz w:val="18"/>
                <w:szCs w:val="18"/>
              </w:rPr>
              <w:t>第三十七条　违反本条例规定，建设单位有下列行为之一的，由县级以上地方人民政府建设主管部门责令改正，处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14:paraId="033AE78B">
            <w:pPr>
              <w:spacing w:line="320" w:lineRule="exact"/>
              <w:jc w:val="left"/>
              <w:rPr>
                <w:color w:val="000000"/>
                <w:kern w:val="0"/>
                <w:sz w:val="18"/>
                <w:szCs w:val="18"/>
              </w:rPr>
            </w:pPr>
            <w:r>
              <w:rPr>
                <w:rFonts w:hint="eastAsia"/>
                <w:color w:val="000000"/>
                <w:kern w:val="0"/>
                <w:sz w:val="18"/>
                <w:szCs w:val="18"/>
              </w:rPr>
              <w:t>（三）采购不符合施工图设计文件要求的墙体材料、保温材料、门窗、采暖制冷系统和照明设备的。</w:t>
            </w:r>
          </w:p>
        </w:tc>
      </w:tr>
      <w:tr w14:paraId="2896B138">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6D693A98">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1354CAA9">
            <w:pPr>
              <w:spacing w:line="320" w:lineRule="exact"/>
              <w:jc w:val="left"/>
              <w:rPr>
                <w:color w:val="000000"/>
                <w:kern w:val="0"/>
                <w:sz w:val="18"/>
                <w:szCs w:val="18"/>
              </w:rPr>
            </w:pPr>
            <w:r>
              <w:rPr>
                <w:rFonts w:hint="eastAsia"/>
                <w:color w:val="000000"/>
                <w:kern w:val="0"/>
                <w:sz w:val="18"/>
                <w:szCs w:val="18"/>
              </w:rPr>
              <w:t>罚款</w:t>
            </w:r>
          </w:p>
        </w:tc>
      </w:tr>
      <w:tr w14:paraId="4509F3D9">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06B89BD2">
            <w:pPr>
              <w:spacing w:line="320" w:lineRule="exact"/>
              <w:jc w:val="center"/>
              <w:rPr>
                <w:color w:val="000000"/>
                <w:kern w:val="0"/>
                <w:sz w:val="18"/>
                <w:szCs w:val="18"/>
              </w:rPr>
            </w:pPr>
            <w:r>
              <w:rPr>
                <w:rFonts w:hint="eastAsia"/>
                <w:color w:val="000000"/>
                <w:kern w:val="0"/>
                <w:sz w:val="18"/>
                <w:szCs w:val="18"/>
              </w:rPr>
              <w:t>裁量基准</w:t>
            </w:r>
          </w:p>
        </w:tc>
      </w:tr>
      <w:tr w14:paraId="3C45C52A">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nil"/>
              <w:right w:val="single" w:color="auto" w:sz="4" w:space="0"/>
            </w:tcBorders>
            <w:vAlign w:val="center"/>
          </w:tcPr>
          <w:p w14:paraId="515962B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6C2D4E85">
            <w:pPr>
              <w:spacing w:line="320" w:lineRule="exact"/>
              <w:jc w:val="left"/>
              <w:rPr>
                <w:color w:val="000000"/>
                <w:kern w:val="0"/>
                <w:sz w:val="18"/>
                <w:szCs w:val="18"/>
              </w:rPr>
            </w:pPr>
            <w:r>
              <w:rPr>
                <w:rFonts w:hint="eastAsia"/>
                <w:color w:val="000000"/>
                <w:kern w:val="0"/>
                <w:sz w:val="18"/>
                <w:szCs w:val="18"/>
              </w:rPr>
              <w:t>采购的不符合要求材料尚未使用</w:t>
            </w:r>
          </w:p>
        </w:tc>
        <w:tc>
          <w:tcPr>
            <w:tcW w:w="1100" w:type="dxa"/>
            <w:vMerge w:val="restart"/>
            <w:tcBorders>
              <w:top w:val="nil"/>
              <w:left w:val="single" w:color="auto" w:sz="4" w:space="0"/>
              <w:bottom w:val="nil"/>
              <w:right w:val="single" w:color="auto" w:sz="4" w:space="0"/>
            </w:tcBorders>
            <w:vAlign w:val="center"/>
          </w:tcPr>
          <w:p w14:paraId="2EDFB7E1">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1F6244E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14:paraId="7E6B570C">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nil"/>
              <w:right w:val="single" w:color="auto" w:sz="4" w:space="0"/>
            </w:tcBorders>
            <w:vAlign w:val="center"/>
          </w:tcPr>
          <w:p w14:paraId="41437D5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29FD7A31">
            <w:pPr>
              <w:spacing w:line="320" w:lineRule="exact"/>
              <w:jc w:val="left"/>
              <w:rPr>
                <w:color w:val="000000"/>
                <w:kern w:val="0"/>
                <w:sz w:val="18"/>
                <w:szCs w:val="18"/>
              </w:rPr>
            </w:pPr>
            <w:r>
              <w:rPr>
                <w:rFonts w:hint="eastAsia"/>
                <w:color w:val="000000"/>
                <w:kern w:val="0"/>
                <w:sz w:val="18"/>
                <w:szCs w:val="18"/>
              </w:rPr>
              <w:t>采购的不符合要求材料部分使用</w:t>
            </w:r>
          </w:p>
        </w:tc>
        <w:tc>
          <w:tcPr>
            <w:tcW w:w="1100" w:type="dxa"/>
            <w:vMerge w:val="continue"/>
            <w:tcBorders>
              <w:top w:val="nil"/>
              <w:left w:val="single" w:color="auto" w:sz="4" w:space="0"/>
              <w:bottom w:val="nil"/>
              <w:right w:val="single" w:color="auto" w:sz="4" w:space="0"/>
            </w:tcBorders>
            <w:vAlign w:val="center"/>
          </w:tcPr>
          <w:p w14:paraId="177984B3">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181C8F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万元以下的罚款</w:t>
            </w:r>
          </w:p>
        </w:tc>
      </w:tr>
      <w:tr w14:paraId="649E92D6">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auto" w:sz="8" w:space="0"/>
              <w:right w:val="single" w:color="auto" w:sz="4" w:space="0"/>
            </w:tcBorders>
            <w:vAlign w:val="center"/>
          </w:tcPr>
          <w:p w14:paraId="2D304F8D">
            <w:pPr>
              <w:spacing w:line="320" w:lineRule="exact"/>
              <w:jc w:val="left"/>
              <w:rPr>
                <w:color w:val="000000"/>
                <w:kern w:val="0"/>
                <w:sz w:val="18"/>
                <w:szCs w:val="18"/>
              </w:rPr>
            </w:pPr>
          </w:p>
        </w:tc>
        <w:tc>
          <w:tcPr>
            <w:tcW w:w="6140" w:type="dxa"/>
            <w:tcBorders>
              <w:top w:val="single" w:color="auto" w:sz="4" w:space="0"/>
              <w:left w:val="nil"/>
              <w:bottom w:val="single" w:color="auto" w:sz="8" w:space="0"/>
              <w:right w:val="single" w:color="000000" w:sz="4" w:space="0"/>
            </w:tcBorders>
            <w:vAlign w:val="center"/>
          </w:tcPr>
          <w:p w14:paraId="7F5249CA">
            <w:pPr>
              <w:spacing w:line="320" w:lineRule="exact"/>
              <w:jc w:val="left"/>
              <w:rPr>
                <w:color w:val="000000"/>
                <w:kern w:val="0"/>
                <w:sz w:val="18"/>
                <w:szCs w:val="18"/>
              </w:rPr>
            </w:pPr>
            <w:r>
              <w:rPr>
                <w:rFonts w:hint="eastAsia"/>
                <w:color w:val="000000"/>
                <w:kern w:val="0"/>
                <w:sz w:val="18"/>
                <w:szCs w:val="18"/>
              </w:rPr>
              <w:t>采购的不符合要求材料全部使用</w:t>
            </w:r>
          </w:p>
        </w:tc>
        <w:tc>
          <w:tcPr>
            <w:tcW w:w="1100" w:type="dxa"/>
            <w:vMerge w:val="continue"/>
            <w:tcBorders>
              <w:top w:val="nil"/>
              <w:left w:val="single" w:color="auto" w:sz="4" w:space="0"/>
              <w:bottom w:val="single" w:color="auto" w:sz="8" w:space="0"/>
              <w:right w:val="single" w:color="auto" w:sz="4" w:space="0"/>
            </w:tcBorders>
            <w:vAlign w:val="center"/>
          </w:tcPr>
          <w:p w14:paraId="673761CE">
            <w:pPr>
              <w:spacing w:line="320" w:lineRule="exact"/>
              <w:jc w:val="left"/>
              <w:rPr>
                <w:color w:val="000000"/>
                <w:kern w:val="0"/>
                <w:sz w:val="18"/>
                <w:szCs w:val="18"/>
              </w:rPr>
            </w:pPr>
          </w:p>
        </w:tc>
        <w:tc>
          <w:tcPr>
            <w:tcW w:w="5760" w:type="dxa"/>
            <w:tcBorders>
              <w:top w:val="nil"/>
              <w:left w:val="nil"/>
              <w:bottom w:val="single" w:color="auto" w:sz="8" w:space="0"/>
              <w:right w:val="single" w:color="auto" w:sz="8" w:space="0"/>
            </w:tcBorders>
            <w:vAlign w:val="center"/>
          </w:tcPr>
          <w:p w14:paraId="13B59A4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bl>
    <w:p w14:paraId="4C4D9CFE"/>
    <w:p w14:paraId="27C2F863"/>
    <w:p w14:paraId="63B98AD9"/>
    <w:p w14:paraId="7256545D"/>
    <w:p w14:paraId="1EBF0D5F"/>
    <w:p w14:paraId="4254A07E"/>
    <w:p w14:paraId="149596A9"/>
    <w:p w14:paraId="6387D740"/>
    <w:p w14:paraId="032BBE9C"/>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2D0C66C3">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07069902">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10249A3A">
            <w:pPr>
              <w:spacing w:line="320" w:lineRule="exact"/>
              <w:jc w:val="left"/>
              <w:rPr>
                <w:rFonts w:eastAsia="仿宋_GB2312"/>
                <w:b/>
                <w:bCs/>
                <w:color w:val="000000"/>
                <w:kern w:val="0"/>
                <w:sz w:val="18"/>
                <w:szCs w:val="18"/>
              </w:rPr>
            </w:pPr>
            <w:r>
              <w:rPr>
                <w:rFonts w:eastAsia="仿宋_GB2312"/>
                <w:b/>
                <w:bCs/>
                <w:color w:val="000000"/>
                <w:kern w:val="0"/>
                <w:sz w:val="18"/>
                <w:szCs w:val="18"/>
              </w:rPr>
              <w:t>320217025000</w:t>
            </w:r>
            <w:r>
              <w:rPr>
                <w:rFonts w:hint="eastAsia" w:eastAsia="仿宋_GB2312"/>
                <w:b/>
                <w:bCs/>
                <w:color w:val="000000"/>
                <w:kern w:val="0"/>
                <w:sz w:val="18"/>
                <w:szCs w:val="18"/>
              </w:rPr>
              <w:t xml:space="preserve"> </w:t>
            </w:r>
          </w:p>
        </w:tc>
      </w:tr>
      <w:tr w14:paraId="69D80D25">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26856713">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5048A107">
            <w:pPr>
              <w:spacing w:line="320" w:lineRule="exact"/>
              <w:jc w:val="left"/>
              <w:rPr>
                <w:color w:val="000000"/>
                <w:kern w:val="0"/>
                <w:sz w:val="18"/>
                <w:szCs w:val="18"/>
              </w:rPr>
            </w:pPr>
            <w:r>
              <w:rPr>
                <w:rFonts w:hint="eastAsia"/>
                <w:color w:val="000000"/>
                <w:kern w:val="0"/>
                <w:sz w:val="18"/>
                <w:szCs w:val="18"/>
              </w:rPr>
              <w:t>对建设单位对不符合民用建筑节能强制性标准的民用建筑项目出具竣工验收合格报告的处罚</w:t>
            </w:r>
          </w:p>
        </w:tc>
      </w:tr>
      <w:tr w14:paraId="0D2BF3B8">
        <w:tblPrEx>
          <w:tblCellMar>
            <w:top w:w="0" w:type="dxa"/>
            <w:left w:w="108" w:type="dxa"/>
            <w:bottom w:w="0" w:type="dxa"/>
            <w:right w:w="108" w:type="dxa"/>
          </w:tblCellMar>
        </w:tblPrEx>
        <w:trPr>
          <w:trHeight w:val="1305" w:hRule="atLeast"/>
        </w:trPr>
        <w:tc>
          <w:tcPr>
            <w:tcW w:w="1050" w:type="dxa"/>
            <w:tcBorders>
              <w:top w:val="nil"/>
              <w:left w:val="single" w:color="auto" w:sz="8" w:space="0"/>
              <w:bottom w:val="single" w:color="auto" w:sz="4" w:space="0"/>
              <w:right w:val="single" w:color="auto" w:sz="4" w:space="0"/>
            </w:tcBorders>
            <w:vAlign w:val="center"/>
          </w:tcPr>
          <w:p w14:paraId="75477D43">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67C6212B">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14:paraId="58A88F3B">
            <w:pPr>
              <w:spacing w:line="320" w:lineRule="exact"/>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建设单位组织竣工验收，应当对民用建筑是否符合民用建筑节能强制性标准进行查验；对不符合民用建筑节能强制性标准的，不得出具竣工验收合格报告。</w:t>
            </w:r>
          </w:p>
          <w:p w14:paraId="521545B3">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违反本条例规定，建设单位对不符合民用建筑节能强制性标准的民用建筑项目出具竣工验收合格报告的，由县级以上地方人民政府建设主管部门责令改正，处民用建筑项目合同价款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tc>
      </w:tr>
      <w:tr w14:paraId="25975D90">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5E3FC464">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570461C7">
            <w:pPr>
              <w:spacing w:line="320" w:lineRule="exact"/>
              <w:jc w:val="left"/>
              <w:rPr>
                <w:color w:val="000000"/>
                <w:kern w:val="0"/>
                <w:sz w:val="18"/>
                <w:szCs w:val="18"/>
              </w:rPr>
            </w:pPr>
            <w:r>
              <w:rPr>
                <w:rFonts w:hint="eastAsia"/>
                <w:color w:val="000000"/>
                <w:kern w:val="0"/>
                <w:sz w:val="18"/>
                <w:szCs w:val="18"/>
              </w:rPr>
              <w:t>罚款</w:t>
            </w:r>
          </w:p>
        </w:tc>
      </w:tr>
      <w:tr w14:paraId="55F82202">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B4CCEE9">
            <w:pPr>
              <w:spacing w:line="320" w:lineRule="exact"/>
              <w:jc w:val="center"/>
              <w:rPr>
                <w:color w:val="000000"/>
                <w:kern w:val="0"/>
                <w:sz w:val="18"/>
                <w:szCs w:val="18"/>
              </w:rPr>
            </w:pPr>
            <w:r>
              <w:rPr>
                <w:rFonts w:hint="eastAsia"/>
                <w:color w:val="000000"/>
                <w:kern w:val="0"/>
                <w:sz w:val="18"/>
                <w:szCs w:val="18"/>
              </w:rPr>
              <w:t>裁量基准</w:t>
            </w:r>
          </w:p>
        </w:tc>
      </w:tr>
      <w:tr w14:paraId="07A7B015">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nil"/>
              <w:right w:val="single" w:color="auto" w:sz="4" w:space="0"/>
            </w:tcBorders>
            <w:vAlign w:val="center"/>
          </w:tcPr>
          <w:p w14:paraId="5D71C72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63A5CF3D">
            <w:pPr>
              <w:spacing w:line="320" w:lineRule="exact"/>
              <w:jc w:val="left"/>
              <w:rPr>
                <w:color w:val="000000"/>
                <w:kern w:val="0"/>
                <w:sz w:val="18"/>
                <w:szCs w:val="18"/>
              </w:rPr>
            </w:pPr>
            <w:r>
              <w:rPr>
                <w:rFonts w:hint="eastAsia"/>
                <w:color w:val="000000"/>
                <w:kern w:val="0"/>
                <w:sz w:val="18"/>
                <w:szCs w:val="18"/>
              </w:rPr>
              <w:t>项目尚未投入使用并及时改正的</w:t>
            </w:r>
          </w:p>
        </w:tc>
        <w:tc>
          <w:tcPr>
            <w:tcW w:w="1100" w:type="dxa"/>
            <w:vMerge w:val="restart"/>
            <w:tcBorders>
              <w:top w:val="nil"/>
              <w:left w:val="single" w:color="auto" w:sz="4" w:space="0"/>
              <w:bottom w:val="nil"/>
              <w:right w:val="single" w:color="auto" w:sz="4" w:space="0"/>
            </w:tcBorders>
            <w:vAlign w:val="center"/>
          </w:tcPr>
          <w:p w14:paraId="0FF12A81">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3095EC1">
            <w:pPr>
              <w:spacing w:line="320" w:lineRule="exact"/>
              <w:jc w:val="left"/>
              <w:rPr>
                <w:color w:val="000000"/>
                <w:kern w:val="0"/>
                <w:sz w:val="18"/>
                <w:szCs w:val="18"/>
              </w:rPr>
            </w:pPr>
            <w:r>
              <w:rPr>
                <w:rFonts w:hint="eastAsia"/>
                <w:color w:val="000000"/>
                <w:kern w:val="0"/>
                <w:sz w:val="18"/>
                <w:szCs w:val="18"/>
              </w:rPr>
              <w:t>处民用建筑项目合同价款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％以下的罚款</w:t>
            </w:r>
          </w:p>
        </w:tc>
      </w:tr>
      <w:tr w14:paraId="1965C150">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nil"/>
              <w:right w:val="single" w:color="auto" w:sz="4" w:space="0"/>
            </w:tcBorders>
            <w:vAlign w:val="center"/>
          </w:tcPr>
          <w:p w14:paraId="7F30E02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4BE38093">
            <w:pPr>
              <w:spacing w:line="320" w:lineRule="exact"/>
              <w:jc w:val="left"/>
              <w:rPr>
                <w:color w:val="000000"/>
                <w:kern w:val="0"/>
                <w:sz w:val="18"/>
                <w:szCs w:val="18"/>
              </w:rPr>
            </w:pPr>
            <w:r>
              <w:rPr>
                <w:rFonts w:hint="eastAsia"/>
                <w:color w:val="000000"/>
                <w:kern w:val="0"/>
                <w:sz w:val="18"/>
                <w:szCs w:val="18"/>
              </w:rPr>
              <w:t>项目已投入使用后按要求改正的</w:t>
            </w:r>
          </w:p>
        </w:tc>
        <w:tc>
          <w:tcPr>
            <w:tcW w:w="1100" w:type="dxa"/>
            <w:vMerge w:val="continue"/>
            <w:tcBorders>
              <w:top w:val="nil"/>
              <w:left w:val="single" w:color="auto" w:sz="4" w:space="0"/>
              <w:bottom w:val="nil"/>
              <w:right w:val="single" w:color="auto" w:sz="4" w:space="0"/>
            </w:tcBorders>
            <w:vAlign w:val="center"/>
          </w:tcPr>
          <w:p w14:paraId="6BF916B1">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9BBE8E7">
            <w:pPr>
              <w:spacing w:line="320" w:lineRule="exact"/>
              <w:jc w:val="left"/>
              <w:rPr>
                <w:color w:val="000000"/>
                <w:kern w:val="0"/>
                <w:sz w:val="18"/>
                <w:szCs w:val="18"/>
              </w:rPr>
            </w:pPr>
            <w:r>
              <w:rPr>
                <w:rFonts w:hint="eastAsia"/>
                <w:color w:val="000000"/>
                <w:kern w:val="0"/>
                <w:sz w:val="18"/>
                <w:szCs w:val="18"/>
              </w:rPr>
              <w:t>处民用建筑项目合同价款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％以下的罚款</w:t>
            </w:r>
          </w:p>
        </w:tc>
      </w:tr>
      <w:tr w14:paraId="5234558E">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auto" w:sz="8" w:space="0"/>
              <w:right w:val="single" w:color="auto" w:sz="4" w:space="0"/>
            </w:tcBorders>
            <w:vAlign w:val="center"/>
          </w:tcPr>
          <w:p w14:paraId="3649A440">
            <w:pPr>
              <w:spacing w:line="320" w:lineRule="exact"/>
              <w:jc w:val="left"/>
              <w:rPr>
                <w:color w:val="000000"/>
                <w:kern w:val="0"/>
                <w:sz w:val="18"/>
                <w:szCs w:val="18"/>
              </w:rPr>
            </w:pPr>
          </w:p>
        </w:tc>
        <w:tc>
          <w:tcPr>
            <w:tcW w:w="6140" w:type="dxa"/>
            <w:tcBorders>
              <w:top w:val="single" w:color="auto" w:sz="4" w:space="0"/>
              <w:left w:val="nil"/>
              <w:bottom w:val="single" w:color="auto" w:sz="8" w:space="0"/>
              <w:right w:val="single" w:color="000000" w:sz="4" w:space="0"/>
            </w:tcBorders>
            <w:vAlign w:val="center"/>
          </w:tcPr>
          <w:p w14:paraId="2D186B4F">
            <w:pPr>
              <w:spacing w:line="320" w:lineRule="exact"/>
              <w:jc w:val="left"/>
              <w:rPr>
                <w:color w:val="000000"/>
                <w:kern w:val="0"/>
                <w:sz w:val="18"/>
                <w:szCs w:val="18"/>
              </w:rPr>
            </w:pPr>
            <w:r>
              <w:rPr>
                <w:rFonts w:hint="eastAsia"/>
                <w:color w:val="000000"/>
                <w:kern w:val="0"/>
                <w:sz w:val="18"/>
                <w:szCs w:val="18"/>
              </w:rPr>
              <w:t>未按要求改正的</w:t>
            </w:r>
          </w:p>
        </w:tc>
        <w:tc>
          <w:tcPr>
            <w:tcW w:w="1100" w:type="dxa"/>
            <w:vMerge w:val="continue"/>
            <w:tcBorders>
              <w:top w:val="nil"/>
              <w:left w:val="single" w:color="auto" w:sz="4" w:space="0"/>
              <w:bottom w:val="single" w:color="auto" w:sz="8" w:space="0"/>
              <w:right w:val="single" w:color="auto" w:sz="4" w:space="0"/>
            </w:tcBorders>
            <w:vAlign w:val="center"/>
          </w:tcPr>
          <w:p w14:paraId="2E6C5560">
            <w:pPr>
              <w:spacing w:line="320" w:lineRule="exact"/>
              <w:jc w:val="left"/>
              <w:rPr>
                <w:color w:val="000000"/>
                <w:kern w:val="0"/>
                <w:sz w:val="18"/>
                <w:szCs w:val="18"/>
              </w:rPr>
            </w:pPr>
          </w:p>
        </w:tc>
        <w:tc>
          <w:tcPr>
            <w:tcW w:w="5760" w:type="dxa"/>
            <w:tcBorders>
              <w:top w:val="nil"/>
              <w:left w:val="nil"/>
              <w:bottom w:val="single" w:color="auto" w:sz="8" w:space="0"/>
              <w:right w:val="single" w:color="auto" w:sz="8" w:space="0"/>
            </w:tcBorders>
            <w:vAlign w:val="center"/>
          </w:tcPr>
          <w:p w14:paraId="660C2E08">
            <w:pPr>
              <w:spacing w:line="320" w:lineRule="exact"/>
              <w:jc w:val="left"/>
              <w:rPr>
                <w:color w:val="000000"/>
                <w:kern w:val="0"/>
                <w:sz w:val="18"/>
                <w:szCs w:val="18"/>
              </w:rPr>
            </w:pPr>
            <w:r>
              <w:rPr>
                <w:rFonts w:hint="eastAsia"/>
                <w:color w:val="000000"/>
                <w:kern w:val="0"/>
                <w:sz w:val="18"/>
                <w:szCs w:val="18"/>
              </w:rPr>
              <w:t>处民用建筑项目合同价款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w:t>
            </w:r>
          </w:p>
        </w:tc>
      </w:tr>
    </w:tbl>
    <w:p w14:paraId="13E4338C"/>
    <w:p w14:paraId="72A98867"/>
    <w:p w14:paraId="7D61E8F1"/>
    <w:p w14:paraId="4CEF2854"/>
    <w:p w14:paraId="0DE64235"/>
    <w:p w14:paraId="4969F356"/>
    <w:p w14:paraId="5C22BBEE"/>
    <w:p w14:paraId="25A6E3E0"/>
    <w:p w14:paraId="1999AC99"/>
    <w:p w14:paraId="6C6FB6ED"/>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4C85643D">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72C54ACA">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1205E5BF">
            <w:pPr>
              <w:spacing w:line="320" w:lineRule="exact"/>
              <w:jc w:val="left"/>
              <w:rPr>
                <w:rFonts w:eastAsia="仿宋_GB2312"/>
                <w:b/>
                <w:bCs/>
                <w:color w:val="000000"/>
                <w:kern w:val="0"/>
                <w:sz w:val="18"/>
                <w:szCs w:val="18"/>
              </w:rPr>
            </w:pPr>
            <w:r>
              <w:rPr>
                <w:rFonts w:eastAsia="仿宋_GB2312"/>
                <w:b/>
                <w:bCs/>
                <w:color w:val="000000"/>
                <w:kern w:val="0"/>
                <w:sz w:val="18"/>
                <w:szCs w:val="18"/>
              </w:rPr>
              <w:t>320217026000</w:t>
            </w:r>
            <w:r>
              <w:rPr>
                <w:rFonts w:hint="eastAsia" w:eastAsia="仿宋_GB2312"/>
                <w:b/>
                <w:bCs/>
                <w:color w:val="000000"/>
                <w:kern w:val="0"/>
                <w:sz w:val="18"/>
                <w:szCs w:val="18"/>
              </w:rPr>
              <w:t xml:space="preserve"> </w:t>
            </w:r>
          </w:p>
        </w:tc>
      </w:tr>
      <w:tr w14:paraId="17210A4E">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043DBC4A">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2F1C05EC">
            <w:pPr>
              <w:spacing w:line="320" w:lineRule="exact"/>
              <w:jc w:val="left"/>
              <w:rPr>
                <w:color w:val="000000"/>
                <w:kern w:val="0"/>
                <w:sz w:val="18"/>
                <w:szCs w:val="18"/>
              </w:rPr>
            </w:pPr>
            <w:r>
              <w:rPr>
                <w:rFonts w:hint="eastAsia"/>
                <w:color w:val="000000"/>
                <w:kern w:val="0"/>
                <w:sz w:val="18"/>
                <w:szCs w:val="18"/>
              </w:rPr>
              <w:t>对设计单位未按照民用建筑节能强制性标准进行设计，或者使用列入禁止使用目录的技术、工艺、材料和设备的处罚</w:t>
            </w:r>
          </w:p>
        </w:tc>
      </w:tr>
      <w:tr w14:paraId="15481031">
        <w:tblPrEx>
          <w:tblCellMar>
            <w:top w:w="0" w:type="dxa"/>
            <w:left w:w="108" w:type="dxa"/>
            <w:bottom w:w="0" w:type="dxa"/>
            <w:right w:w="108" w:type="dxa"/>
          </w:tblCellMar>
        </w:tblPrEx>
        <w:trPr>
          <w:trHeight w:val="1215" w:hRule="atLeast"/>
        </w:trPr>
        <w:tc>
          <w:tcPr>
            <w:tcW w:w="1050" w:type="dxa"/>
            <w:tcBorders>
              <w:top w:val="nil"/>
              <w:left w:val="single" w:color="auto" w:sz="8" w:space="0"/>
              <w:bottom w:val="single" w:color="auto" w:sz="4" w:space="0"/>
              <w:right w:val="single" w:color="auto" w:sz="4" w:space="0"/>
            </w:tcBorders>
            <w:vAlign w:val="center"/>
          </w:tcPr>
          <w:p w14:paraId="30834E38">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2BFDC93B">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14:paraId="4CFD9E34">
            <w:pPr>
              <w:spacing w:line="320" w:lineRule="exact"/>
              <w:ind w:firstLine="360"/>
              <w:jc w:val="left"/>
              <w:rPr>
                <w:color w:val="000000"/>
                <w:kern w:val="0"/>
                <w:sz w:val="18"/>
                <w:szCs w:val="18"/>
              </w:rPr>
            </w:pPr>
            <w:r>
              <w:rPr>
                <w:rFonts w:hint="eastAsia"/>
                <w:color w:val="000000"/>
                <w:kern w:val="0"/>
                <w:sz w:val="18"/>
                <w:szCs w:val="18"/>
              </w:rPr>
              <w:t>第十一条第三款</w:t>
            </w:r>
            <w:r>
              <w:rPr>
                <w:color w:val="000000"/>
                <w:kern w:val="0"/>
                <w:sz w:val="18"/>
                <w:szCs w:val="18"/>
              </w:rPr>
              <w:t xml:space="preserve">  </w:t>
            </w:r>
            <w:r>
              <w:rPr>
                <w:rFonts w:hint="eastAsia"/>
                <w:color w:val="000000"/>
                <w:kern w:val="0"/>
                <w:sz w:val="18"/>
                <w:szCs w:val="18"/>
              </w:rPr>
              <w:t>建设单位、设计单位、施工单位不得在建筑活动中使用列入禁止使用目录的技术、工艺、材料和设备。</w:t>
            </w:r>
          </w:p>
          <w:p w14:paraId="3DD4AB0E">
            <w:pPr>
              <w:spacing w:line="320" w:lineRule="exact"/>
              <w:ind w:firstLine="360"/>
              <w:jc w:val="left"/>
              <w:rPr>
                <w:color w:val="000000"/>
                <w:kern w:val="0"/>
                <w:sz w:val="18"/>
                <w:szCs w:val="18"/>
              </w:rPr>
            </w:pPr>
            <w:r>
              <w:rPr>
                <w:rFonts w:hint="eastAsia"/>
                <w:color w:val="000000"/>
                <w:kern w:val="0"/>
                <w:sz w:val="18"/>
                <w:szCs w:val="18"/>
              </w:rPr>
              <w:t>第十五条　设计单位、施工单位、工程监理单位及其注册执业人员，应当按照民用建筑节能强制性标准进行设计、施工、监理。</w:t>
            </w:r>
          </w:p>
          <w:p w14:paraId="492498DA">
            <w:pPr>
              <w:spacing w:line="320" w:lineRule="exact"/>
              <w:jc w:val="left"/>
              <w:rPr>
                <w:color w:val="000000"/>
                <w:kern w:val="0"/>
                <w:sz w:val="18"/>
                <w:szCs w:val="18"/>
              </w:rPr>
            </w:pPr>
            <w:r>
              <w:rPr>
                <w:rFonts w:hint="eastAsia"/>
                <w:color w:val="000000"/>
                <w:kern w:val="0"/>
                <w:sz w:val="18"/>
                <w:szCs w:val="18"/>
              </w:rPr>
              <w:t>第三十九条　违反本条例规定，设计单位未按照民用建筑节能强制性标准进行设计，或者使用列入禁止使用目录的技术、工艺、材料和设备的，由县级以上地方人民政府建设主管部门责令改正，处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万元以下的罚款；情节严重的，由颁发资质证书的部门责令停业整顿，降低资质等级或者吊销资质证书；造成损失的，依法承担赔偿责任。</w:t>
            </w:r>
          </w:p>
        </w:tc>
      </w:tr>
      <w:tr w14:paraId="63066C99">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5E659E20">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64BED641">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14:paraId="23FE9A01">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187AAAF5">
            <w:pPr>
              <w:spacing w:line="320" w:lineRule="exact"/>
              <w:jc w:val="center"/>
              <w:rPr>
                <w:color w:val="000000"/>
                <w:kern w:val="0"/>
                <w:sz w:val="18"/>
                <w:szCs w:val="18"/>
              </w:rPr>
            </w:pPr>
            <w:r>
              <w:rPr>
                <w:rFonts w:hint="eastAsia"/>
                <w:color w:val="000000"/>
                <w:kern w:val="0"/>
                <w:sz w:val="18"/>
                <w:szCs w:val="18"/>
              </w:rPr>
              <w:t>裁量基准</w:t>
            </w:r>
          </w:p>
        </w:tc>
      </w:tr>
      <w:tr w14:paraId="65D653CB">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right w:val="single" w:color="auto" w:sz="4" w:space="0"/>
            </w:tcBorders>
            <w:vAlign w:val="center"/>
          </w:tcPr>
          <w:p w14:paraId="1ABCF86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7FD591C7">
            <w:pPr>
              <w:spacing w:line="320" w:lineRule="exact"/>
              <w:jc w:val="left"/>
              <w:rPr>
                <w:color w:val="000000"/>
                <w:kern w:val="0"/>
                <w:sz w:val="18"/>
                <w:szCs w:val="18"/>
              </w:rPr>
            </w:pPr>
            <w:r>
              <w:rPr>
                <w:rFonts w:hint="eastAsia"/>
                <w:color w:val="000000"/>
                <w:kern w:val="0"/>
                <w:sz w:val="18"/>
                <w:szCs w:val="18"/>
              </w:rPr>
              <w:t>项目尚未开始施工的</w:t>
            </w:r>
          </w:p>
        </w:tc>
        <w:tc>
          <w:tcPr>
            <w:tcW w:w="1100" w:type="dxa"/>
            <w:vMerge w:val="restart"/>
            <w:tcBorders>
              <w:top w:val="nil"/>
              <w:left w:val="single" w:color="auto" w:sz="4" w:space="0"/>
              <w:right w:val="single" w:color="auto" w:sz="4" w:space="0"/>
            </w:tcBorders>
            <w:vAlign w:val="center"/>
          </w:tcPr>
          <w:p w14:paraId="7006D5F3">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575CAF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31DC6784">
        <w:tblPrEx>
          <w:tblCellMar>
            <w:top w:w="0" w:type="dxa"/>
            <w:left w:w="108" w:type="dxa"/>
            <w:bottom w:w="0" w:type="dxa"/>
            <w:right w:w="108" w:type="dxa"/>
          </w:tblCellMar>
        </w:tblPrEx>
        <w:trPr>
          <w:trHeight w:val="285" w:hRule="atLeast"/>
        </w:trPr>
        <w:tc>
          <w:tcPr>
            <w:tcW w:w="1050" w:type="dxa"/>
            <w:vMerge w:val="continue"/>
            <w:tcBorders>
              <w:left w:val="single" w:color="auto" w:sz="8" w:space="0"/>
              <w:right w:val="single" w:color="auto" w:sz="4" w:space="0"/>
            </w:tcBorders>
            <w:vAlign w:val="center"/>
          </w:tcPr>
          <w:p w14:paraId="4DF3E57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054F1CCF">
            <w:pPr>
              <w:spacing w:line="320" w:lineRule="exact"/>
              <w:jc w:val="left"/>
              <w:rPr>
                <w:color w:val="000000"/>
                <w:kern w:val="0"/>
                <w:sz w:val="18"/>
                <w:szCs w:val="18"/>
              </w:rPr>
            </w:pPr>
            <w:r>
              <w:rPr>
                <w:rFonts w:hint="eastAsia"/>
                <w:color w:val="000000"/>
                <w:kern w:val="0"/>
                <w:sz w:val="18"/>
                <w:szCs w:val="18"/>
              </w:rPr>
              <w:t>项目已经开始施工或者竣工后按要求改正的</w:t>
            </w:r>
          </w:p>
        </w:tc>
        <w:tc>
          <w:tcPr>
            <w:tcW w:w="1100" w:type="dxa"/>
            <w:vMerge w:val="continue"/>
            <w:tcBorders>
              <w:left w:val="single" w:color="auto" w:sz="4" w:space="0"/>
              <w:right w:val="single" w:color="auto" w:sz="4" w:space="0"/>
            </w:tcBorders>
            <w:vAlign w:val="center"/>
          </w:tcPr>
          <w:p w14:paraId="0FE86C7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25EE7E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万元以下罚款，责令停业整顿</w:t>
            </w:r>
          </w:p>
        </w:tc>
      </w:tr>
      <w:tr w14:paraId="734F3177">
        <w:tblPrEx>
          <w:tblCellMar>
            <w:top w:w="0" w:type="dxa"/>
            <w:left w:w="108" w:type="dxa"/>
            <w:bottom w:w="0" w:type="dxa"/>
            <w:right w:w="108" w:type="dxa"/>
          </w:tblCellMar>
        </w:tblPrEx>
        <w:trPr>
          <w:trHeight w:val="405" w:hRule="atLeast"/>
        </w:trPr>
        <w:tc>
          <w:tcPr>
            <w:tcW w:w="1050" w:type="dxa"/>
            <w:vMerge w:val="continue"/>
            <w:tcBorders>
              <w:left w:val="single" w:color="auto" w:sz="8" w:space="0"/>
              <w:bottom w:val="single" w:color="000000" w:sz="4" w:space="0"/>
              <w:right w:val="single" w:color="auto" w:sz="4" w:space="0"/>
            </w:tcBorders>
            <w:vAlign w:val="center"/>
          </w:tcPr>
          <w:p w14:paraId="664804D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7C44CBC5">
            <w:pPr>
              <w:spacing w:line="320" w:lineRule="exact"/>
              <w:jc w:val="left"/>
              <w:rPr>
                <w:color w:val="000000"/>
                <w:kern w:val="0"/>
                <w:sz w:val="18"/>
                <w:szCs w:val="18"/>
              </w:rPr>
            </w:pPr>
            <w:r>
              <w:rPr>
                <w:rFonts w:hint="eastAsia"/>
                <w:color w:val="000000"/>
                <w:kern w:val="0"/>
                <w:sz w:val="18"/>
                <w:szCs w:val="18"/>
              </w:rPr>
              <w:t>项目已经开始施工，未按要求改正的</w:t>
            </w:r>
          </w:p>
        </w:tc>
        <w:tc>
          <w:tcPr>
            <w:tcW w:w="1100" w:type="dxa"/>
            <w:vMerge w:val="continue"/>
            <w:tcBorders>
              <w:left w:val="single" w:color="auto" w:sz="4" w:space="0"/>
              <w:bottom w:val="single" w:color="000000" w:sz="4" w:space="0"/>
              <w:right w:val="single" w:color="auto" w:sz="4" w:space="0"/>
            </w:tcBorders>
            <w:vAlign w:val="center"/>
          </w:tcPr>
          <w:p w14:paraId="4ED4179F">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60129A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万元以下罚款，责令停业整顿，降低资质等级</w:t>
            </w:r>
          </w:p>
        </w:tc>
      </w:tr>
      <w:tr w14:paraId="23CFF3A7">
        <w:tblPrEx>
          <w:tblCellMar>
            <w:top w:w="0" w:type="dxa"/>
            <w:left w:w="108" w:type="dxa"/>
            <w:bottom w:w="0" w:type="dxa"/>
            <w:right w:w="108" w:type="dxa"/>
          </w:tblCellMar>
        </w:tblPrEx>
        <w:trPr>
          <w:trHeight w:val="425" w:hRule="atLeast"/>
        </w:trPr>
        <w:tc>
          <w:tcPr>
            <w:tcW w:w="1050" w:type="dxa"/>
            <w:vMerge w:val="continue"/>
            <w:tcBorders>
              <w:left w:val="single" w:color="auto" w:sz="8" w:space="0"/>
              <w:bottom w:val="single" w:color="000000" w:sz="4" w:space="0"/>
              <w:right w:val="single" w:color="auto" w:sz="4" w:space="0"/>
            </w:tcBorders>
            <w:vAlign w:val="center"/>
          </w:tcPr>
          <w:p w14:paraId="499355C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0BD5FDC4">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val="continue"/>
            <w:tcBorders>
              <w:left w:val="single" w:color="auto" w:sz="4" w:space="0"/>
              <w:bottom w:val="single" w:color="000000" w:sz="4" w:space="0"/>
              <w:right w:val="single" w:color="auto" w:sz="4" w:space="0"/>
            </w:tcBorders>
            <w:vAlign w:val="center"/>
          </w:tcPr>
          <w:p w14:paraId="766B57FF">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FC827E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万元以下罚款，责令停业整顿，降低资质等级或者吊销资质证书</w:t>
            </w:r>
          </w:p>
        </w:tc>
      </w:tr>
    </w:tbl>
    <w:p w14:paraId="1BEAB3DC"/>
    <w:p w14:paraId="129070ED"/>
    <w:p w14:paraId="0DC11107"/>
    <w:p w14:paraId="24ED132A"/>
    <w:p w14:paraId="4F836F8E"/>
    <w:p w14:paraId="18C7F34E"/>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7918C49A">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2755800D">
            <w:pPr>
              <w:spacing w:line="26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71F1A754">
            <w:pPr>
              <w:spacing w:line="260" w:lineRule="exact"/>
              <w:jc w:val="left"/>
              <w:rPr>
                <w:rFonts w:eastAsia="仿宋_GB2312"/>
                <w:b/>
                <w:bCs/>
                <w:color w:val="000000"/>
                <w:kern w:val="0"/>
                <w:sz w:val="18"/>
                <w:szCs w:val="18"/>
              </w:rPr>
            </w:pPr>
            <w:r>
              <w:rPr>
                <w:rFonts w:eastAsia="仿宋_GB2312"/>
                <w:b/>
                <w:bCs/>
                <w:color w:val="000000"/>
                <w:kern w:val="0"/>
                <w:sz w:val="18"/>
                <w:szCs w:val="18"/>
              </w:rPr>
              <w:t>320217027000</w:t>
            </w:r>
            <w:r>
              <w:rPr>
                <w:rFonts w:hint="eastAsia" w:eastAsia="仿宋_GB2312"/>
                <w:b/>
                <w:bCs/>
                <w:color w:val="000000"/>
                <w:kern w:val="0"/>
                <w:sz w:val="18"/>
                <w:szCs w:val="18"/>
              </w:rPr>
              <w:t xml:space="preserve"> </w:t>
            </w:r>
          </w:p>
        </w:tc>
      </w:tr>
      <w:tr w14:paraId="72F92D82">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5EAE61D5">
            <w:pPr>
              <w:spacing w:line="26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48C0E73C">
            <w:pPr>
              <w:spacing w:line="260" w:lineRule="exact"/>
              <w:jc w:val="left"/>
              <w:rPr>
                <w:color w:val="000000"/>
                <w:kern w:val="0"/>
                <w:sz w:val="18"/>
                <w:szCs w:val="18"/>
              </w:rPr>
            </w:pPr>
            <w:r>
              <w:rPr>
                <w:rFonts w:hint="eastAsia"/>
                <w:color w:val="000000"/>
                <w:kern w:val="0"/>
                <w:sz w:val="18"/>
                <w:szCs w:val="18"/>
              </w:rPr>
              <w:t>对施工单位的主要负责人、项目负责人、专职安全生产管理人员、作业人员或者特种作业人员未经安全教育培训或者经考核不合格即从事相关工作的处罚</w:t>
            </w:r>
          </w:p>
        </w:tc>
      </w:tr>
      <w:tr w14:paraId="695811E3">
        <w:tblPrEx>
          <w:tblCellMar>
            <w:top w:w="0" w:type="dxa"/>
            <w:left w:w="108" w:type="dxa"/>
            <w:bottom w:w="0" w:type="dxa"/>
            <w:right w:w="108" w:type="dxa"/>
          </w:tblCellMar>
        </w:tblPrEx>
        <w:trPr>
          <w:trHeight w:val="4755" w:hRule="atLeast"/>
        </w:trPr>
        <w:tc>
          <w:tcPr>
            <w:tcW w:w="1026" w:type="dxa"/>
            <w:tcBorders>
              <w:top w:val="nil"/>
              <w:left w:val="single" w:color="auto" w:sz="8" w:space="0"/>
              <w:bottom w:val="single" w:color="auto" w:sz="4" w:space="0"/>
              <w:right w:val="single" w:color="auto" w:sz="4" w:space="0"/>
            </w:tcBorders>
            <w:vAlign w:val="center"/>
          </w:tcPr>
          <w:p w14:paraId="600636E3">
            <w:pPr>
              <w:spacing w:line="26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44D42DAD">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14:paraId="1E060588">
            <w:pPr>
              <w:spacing w:line="240" w:lineRule="exact"/>
              <w:jc w:val="left"/>
              <w:rPr>
                <w:color w:val="000000"/>
                <w:kern w:val="0"/>
                <w:sz w:val="18"/>
                <w:szCs w:val="18"/>
              </w:rPr>
            </w:pPr>
            <w:r>
              <w:rPr>
                <w:rFonts w:hint="eastAsia"/>
                <w:color w:val="000000"/>
                <w:kern w:val="0"/>
                <w:sz w:val="18"/>
                <w:szCs w:val="18"/>
              </w:rPr>
              <w:t xml:space="preserve">        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12728AAF">
            <w:pPr>
              <w:spacing w:line="240" w:lineRule="exact"/>
              <w:jc w:val="left"/>
              <w:rPr>
                <w:color w:val="000000"/>
                <w:kern w:val="0"/>
                <w:sz w:val="18"/>
                <w:szCs w:val="18"/>
              </w:rPr>
            </w:pPr>
            <w:r>
              <w:rPr>
                <w:rFonts w:hint="eastAsia"/>
                <w:color w:val="000000"/>
                <w:kern w:val="0"/>
                <w:sz w:val="18"/>
                <w:szCs w:val="18"/>
              </w:rPr>
              <w:t xml:space="preserve">      （二）危险物品的生产、经营、储存、装卸单位以及矿山、金属冶炼、建筑施工、运输单位的主要负责人和安全生产管理人员未按照规定经考核合格的；</w:t>
            </w:r>
          </w:p>
          <w:p w14:paraId="49817CB8">
            <w:pPr>
              <w:spacing w:line="240" w:lineRule="exact"/>
              <w:jc w:val="left"/>
              <w:rPr>
                <w:color w:val="000000"/>
                <w:kern w:val="0"/>
                <w:sz w:val="18"/>
                <w:szCs w:val="18"/>
              </w:rPr>
            </w:pPr>
            <w:r>
              <w:rPr>
                <w:rFonts w:hint="eastAsia"/>
                <w:color w:val="000000"/>
                <w:kern w:val="0"/>
                <w:sz w:val="18"/>
                <w:szCs w:val="18"/>
              </w:rPr>
              <w:t>　 （三）未按照规定对从业人员、被派遣劳动者、实习学生进行安全生产教育和培训，或者未按照规定如实告知有关的安全生产事项的；</w:t>
            </w:r>
          </w:p>
          <w:p w14:paraId="51C09BCA">
            <w:pPr>
              <w:spacing w:line="240" w:lineRule="exact"/>
              <w:jc w:val="left"/>
              <w:rPr>
                <w:color w:val="000000"/>
                <w:kern w:val="0"/>
                <w:sz w:val="18"/>
                <w:szCs w:val="18"/>
              </w:rPr>
            </w:pPr>
            <w:r>
              <w:rPr>
                <w:rFonts w:hint="eastAsia"/>
                <w:color w:val="000000"/>
                <w:kern w:val="0"/>
                <w:sz w:val="18"/>
                <w:szCs w:val="18"/>
              </w:rPr>
              <w:t xml:space="preserve">       （七）特种作业人员未按照规定经专门的安全作业培训并取得相应资格，上岗作业的。</w:t>
            </w:r>
          </w:p>
          <w:p w14:paraId="668C891A">
            <w:pPr>
              <w:spacing w:line="240" w:lineRule="exact"/>
              <w:jc w:val="left"/>
              <w:rPr>
                <w:color w:val="000000"/>
                <w:kern w:val="0"/>
                <w:sz w:val="18"/>
                <w:szCs w:val="18"/>
              </w:rPr>
            </w:pPr>
            <w:r>
              <w:rPr>
                <w:rFonts w:hint="eastAsia"/>
                <w:color w:val="000000"/>
                <w:kern w:val="0"/>
                <w:sz w:val="18"/>
                <w:szCs w:val="18"/>
              </w:rPr>
              <w:t xml:space="preserve">      第一百一十二条  生产经营单位违反本法规定，被责令改正且受到罚款处罚，拒不改正的，负有安全生产监督管理职责的部门可以自作出责令改正之日的次日起，按照原处罚数额按日连续处罚。</w:t>
            </w:r>
          </w:p>
          <w:p w14:paraId="76B08F9F">
            <w:pPr>
              <w:spacing w:line="24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466DAD4B">
            <w:pPr>
              <w:spacing w:line="240" w:lineRule="exact"/>
              <w:jc w:val="left"/>
              <w:rPr>
                <w:color w:val="000000"/>
                <w:kern w:val="0"/>
                <w:sz w:val="18"/>
                <w:szCs w:val="18"/>
              </w:rPr>
            </w:pPr>
            <w:r>
              <w:rPr>
                <w:rFonts w:hint="eastAsia"/>
                <w:color w:val="000000"/>
                <w:kern w:val="0"/>
                <w:sz w:val="18"/>
                <w:szCs w:val="18"/>
              </w:rPr>
              <w:t xml:space="preserve">        第二十五条　垂直运输机械作业人员、安装拆卸工、爆破作业人员、起重信号工、登高架设作业人员等特种作业人员，必须按照国家有关规定经过专门的安全作业培训，并取得特种作业操作资格证书后，方可上岗作业。</w:t>
            </w:r>
          </w:p>
          <w:p w14:paraId="27CF9CFD">
            <w:pPr>
              <w:spacing w:line="240" w:lineRule="exact"/>
              <w:jc w:val="left"/>
              <w:rPr>
                <w:color w:val="000000"/>
                <w:kern w:val="0"/>
                <w:sz w:val="18"/>
                <w:szCs w:val="18"/>
              </w:rPr>
            </w:pPr>
            <w:r>
              <w:rPr>
                <w:rFonts w:hint="eastAsia"/>
                <w:color w:val="000000"/>
                <w:kern w:val="0"/>
                <w:sz w:val="18"/>
                <w:szCs w:val="18"/>
              </w:rPr>
              <w:t xml:space="preserve">        第三十六条　施工单位的主要负责人、项目负责人、专职安全生产管理人员应当经建设行政主管部门或者其他有关部门考核合格后方可任职。 </w:t>
            </w:r>
          </w:p>
          <w:p w14:paraId="7E61E9E4">
            <w:pPr>
              <w:spacing w:line="240" w:lineRule="exact"/>
              <w:jc w:val="left"/>
              <w:rPr>
                <w:color w:val="000000"/>
                <w:kern w:val="0"/>
                <w:sz w:val="18"/>
                <w:szCs w:val="18"/>
              </w:rPr>
            </w:pPr>
            <w:r>
              <w:rPr>
                <w:rFonts w:hint="eastAsia"/>
                <w:color w:val="000000"/>
                <w:kern w:val="0"/>
                <w:sz w:val="18"/>
                <w:szCs w:val="18"/>
              </w:rPr>
              <w:t xml:space="preserve">        施工单位应当对管理人员和作业人员每年至少进行一次安全生产教育培训，其教育培训情况记入个人工作档案。安全生产教育培训考核不合格的人员，不得上岗。 </w:t>
            </w:r>
          </w:p>
          <w:p w14:paraId="2F72C7B8">
            <w:pPr>
              <w:spacing w:line="240" w:lineRule="exact"/>
              <w:jc w:val="left"/>
              <w:rPr>
                <w:color w:val="000000"/>
                <w:kern w:val="0"/>
                <w:sz w:val="18"/>
                <w:szCs w:val="18"/>
              </w:rPr>
            </w:pPr>
            <w:r>
              <w:rPr>
                <w:rFonts w:hint="eastAsia"/>
                <w:color w:val="000000"/>
                <w:kern w:val="0"/>
                <w:sz w:val="18"/>
                <w:szCs w:val="18"/>
              </w:rPr>
              <w:t xml:space="preserve">         第三十七条　作业人员进入新的岗位或者新的施工现场前，应当接受安全生产教育培训。未经教育培训或者教育培训考核不合格的人员，不得上岗作业。 </w:t>
            </w:r>
          </w:p>
          <w:p w14:paraId="5A0363BA">
            <w:pPr>
              <w:spacing w:line="240" w:lineRule="exact"/>
              <w:jc w:val="left"/>
              <w:rPr>
                <w:color w:val="000000"/>
                <w:kern w:val="0"/>
                <w:sz w:val="18"/>
                <w:szCs w:val="18"/>
              </w:rPr>
            </w:pPr>
            <w:r>
              <w:rPr>
                <w:rFonts w:hint="eastAsia"/>
                <w:color w:val="000000"/>
                <w:kern w:val="0"/>
                <w:sz w:val="18"/>
                <w:szCs w:val="18"/>
              </w:rPr>
              <w:t xml:space="preserve">        施工单位在采用新技术、新工艺、新设备、新材料时，应当对作业人员进行相应的安全生产教育培训。</w:t>
            </w:r>
          </w:p>
          <w:p w14:paraId="60F11E8E">
            <w:pPr>
              <w:spacing w:line="240" w:lineRule="exact"/>
              <w:jc w:val="left"/>
              <w:rPr>
                <w:color w:val="000000"/>
                <w:kern w:val="0"/>
                <w:sz w:val="18"/>
                <w:szCs w:val="18"/>
              </w:rPr>
            </w:pPr>
            <w:r>
              <w:rPr>
                <w:rFonts w:hint="eastAsia"/>
                <w:color w:val="000000"/>
                <w:kern w:val="0"/>
                <w:sz w:val="18"/>
                <w:szCs w:val="18"/>
              </w:rPr>
              <w:t xml:space="preserve">       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  </w:t>
            </w:r>
          </w:p>
          <w:p w14:paraId="18A1E898">
            <w:pPr>
              <w:spacing w:line="240" w:lineRule="exact"/>
              <w:jc w:val="left"/>
              <w:rPr>
                <w:color w:val="000000"/>
                <w:kern w:val="0"/>
                <w:sz w:val="18"/>
                <w:szCs w:val="18"/>
              </w:rPr>
            </w:pPr>
            <w:r>
              <w:rPr>
                <w:rFonts w:hint="eastAsia"/>
                <w:color w:val="000000"/>
                <w:kern w:val="0"/>
                <w:sz w:val="18"/>
                <w:szCs w:val="18"/>
              </w:rPr>
              <w:t xml:space="preserve">    （二）施工单位的主要负责人、项目负责人、专职安全生产管理人员、作业人员或者特种作业人员，未经安全教育培训或者经考核不合格即从事相关工作的。</w:t>
            </w:r>
          </w:p>
          <w:p w14:paraId="798F0E2D">
            <w:pPr>
              <w:spacing w:line="24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w:t>
            </w:r>
          </w:p>
          <w:p w14:paraId="6659DA43">
            <w:pPr>
              <w:spacing w:line="24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p>
          <w:p w14:paraId="371E3CD0">
            <w:pPr>
              <w:spacing w:line="240" w:lineRule="exact"/>
              <w:jc w:val="left"/>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tc>
      </w:tr>
      <w:tr w14:paraId="6EED2AAD">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7A0B847C">
            <w:pPr>
              <w:spacing w:line="26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420B858B">
            <w:pPr>
              <w:spacing w:line="26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w:t>
            </w:r>
          </w:p>
        </w:tc>
      </w:tr>
      <w:tr w14:paraId="5BBBB3BE">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5131B6EE">
            <w:pPr>
              <w:spacing w:line="260" w:lineRule="exact"/>
              <w:jc w:val="center"/>
              <w:rPr>
                <w:color w:val="000000"/>
                <w:kern w:val="0"/>
                <w:sz w:val="18"/>
                <w:szCs w:val="18"/>
              </w:rPr>
            </w:pPr>
            <w:r>
              <w:rPr>
                <w:rFonts w:hint="eastAsia"/>
                <w:color w:val="000000"/>
                <w:kern w:val="0"/>
                <w:sz w:val="18"/>
                <w:szCs w:val="18"/>
              </w:rPr>
              <w:t>裁量基准</w:t>
            </w:r>
          </w:p>
        </w:tc>
      </w:tr>
      <w:tr w14:paraId="2D9AFCE2">
        <w:tblPrEx>
          <w:tblCellMar>
            <w:top w:w="0" w:type="dxa"/>
            <w:left w:w="108" w:type="dxa"/>
            <w:bottom w:w="0" w:type="dxa"/>
            <w:right w:w="108" w:type="dxa"/>
          </w:tblCellMar>
        </w:tblPrEx>
        <w:trPr>
          <w:trHeight w:val="285" w:hRule="atLeast"/>
        </w:trPr>
        <w:tc>
          <w:tcPr>
            <w:tcW w:w="1026" w:type="dxa"/>
            <w:vMerge w:val="restart"/>
            <w:tcBorders>
              <w:top w:val="single" w:color="auto" w:sz="4" w:space="0"/>
              <w:left w:val="single" w:color="auto" w:sz="4" w:space="0"/>
              <w:right w:val="single" w:color="auto" w:sz="4" w:space="0"/>
            </w:tcBorders>
            <w:vAlign w:val="center"/>
          </w:tcPr>
          <w:p w14:paraId="3A532F09">
            <w:pPr>
              <w:spacing w:line="26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C61B8ED">
            <w:pPr>
              <w:spacing w:line="260" w:lineRule="exact"/>
              <w:jc w:val="left"/>
              <w:rPr>
                <w:color w:val="000000"/>
                <w:kern w:val="0"/>
                <w:sz w:val="18"/>
                <w:szCs w:val="18"/>
              </w:rPr>
            </w:pPr>
            <w:r>
              <w:rPr>
                <w:rFonts w:hint="eastAsia"/>
                <w:color w:val="000000"/>
                <w:kern w:val="0"/>
                <w:sz w:val="18"/>
                <w:szCs w:val="18"/>
              </w:rPr>
              <w:t>按要求改正的，未发生生产安全事故的</w:t>
            </w:r>
          </w:p>
        </w:tc>
        <w:tc>
          <w:tcPr>
            <w:tcW w:w="1120" w:type="dxa"/>
            <w:vMerge w:val="restart"/>
            <w:tcBorders>
              <w:top w:val="single" w:color="auto" w:sz="4" w:space="0"/>
              <w:left w:val="single" w:color="auto" w:sz="4" w:space="0"/>
              <w:right w:val="single" w:color="auto" w:sz="4" w:space="0"/>
            </w:tcBorders>
            <w:vAlign w:val="center"/>
          </w:tcPr>
          <w:p w14:paraId="3F8760DC">
            <w:pPr>
              <w:spacing w:line="260" w:lineRule="exact"/>
              <w:jc w:val="center"/>
              <w:rPr>
                <w:color w:val="000000"/>
                <w:kern w:val="0"/>
                <w:sz w:val="18"/>
                <w:szCs w:val="18"/>
              </w:rPr>
            </w:pPr>
            <w:r>
              <w:rPr>
                <w:rFonts w:hint="eastAsia"/>
                <w:color w:val="000000"/>
                <w:kern w:val="0"/>
                <w:sz w:val="18"/>
                <w:szCs w:val="18"/>
              </w:rPr>
              <w:t>裁量幅度</w:t>
            </w:r>
          </w:p>
        </w:tc>
        <w:tc>
          <w:tcPr>
            <w:tcW w:w="5774" w:type="dxa"/>
            <w:tcBorders>
              <w:top w:val="single" w:color="auto" w:sz="4" w:space="0"/>
              <w:left w:val="nil"/>
              <w:bottom w:val="single" w:color="auto" w:sz="4" w:space="0"/>
              <w:right w:val="single" w:color="auto" w:sz="4" w:space="0"/>
            </w:tcBorders>
            <w:vAlign w:val="center"/>
          </w:tcPr>
          <w:p w14:paraId="4EAB9100">
            <w:pPr>
              <w:spacing w:line="260" w:lineRule="exact"/>
              <w:jc w:val="left"/>
              <w:rPr>
                <w:color w:val="000000"/>
                <w:kern w:val="0"/>
                <w:sz w:val="18"/>
                <w:szCs w:val="18"/>
              </w:rPr>
            </w:pPr>
            <w:r>
              <w:rPr>
                <w:rFonts w:hint="eastAsia"/>
                <w:color w:val="000000"/>
                <w:kern w:val="0"/>
                <w:sz w:val="18"/>
                <w:szCs w:val="18"/>
              </w:rPr>
              <w:t>5万元以下罚款</w:t>
            </w:r>
          </w:p>
        </w:tc>
      </w:tr>
      <w:tr w14:paraId="666D98C0">
        <w:tblPrEx>
          <w:tblCellMar>
            <w:top w:w="0" w:type="dxa"/>
            <w:left w:w="108" w:type="dxa"/>
            <w:bottom w:w="0" w:type="dxa"/>
            <w:right w:w="108" w:type="dxa"/>
          </w:tblCellMar>
        </w:tblPrEx>
        <w:trPr>
          <w:trHeight w:val="285" w:hRule="atLeast"/>
        </w:trPr>
        <w:tc>
          <w:tcPr>
            <w:tcW w:w="1026" w:type="dxa"/>
            <w:vMerge w:val="continue"/>
            <w:tcBorders>
              <w:left w:val="single" w:color="auto" w:sz="4" w:space="0"/>
              <w:right w:val="single" w:color="auto" w:sz="4" w:space="0"/>
            </w:tcBorders>
            <w:vAlign w:val="center"/>
          </w:tcPr>
          <w:p w14:paraId="391DF484">
            <w:pPr>
              <w:spacing w:line="26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799D38E">
            <w:pPr>
              <w:spacing w:line="260" w:lineRule="exact"/>
              <w:jc w:val="left"/>
              <w:rPr>
                <w:color w:val="000000"/>
                <w:kern w:val="0"/>
                <w:sz w:val="18"/>
                <w:szCs w:val="18"/>
              </w:rPr>
            </w:pPr>
            <w:r>
              <w:rPr>
                <w:rFonts w:hint="eastAsia"/>
                <w:color w:val="000000"/>
                <w:kern w:val="0"/>
                <w:sz w:val="18"/>
                <w:szCs w:val="18"/>
              </w:rPr>
              <w:t>按要求改正的，发生生产安全事故的</w:t>
            </w:r>
          </w:p>
        </w:tc>
        <w:tc>
          <w:tcPr>
            <w:tcW w:w="1120" w:type="dxa"/>
            <w:vMerge w:val="continue"/>
            <w:tcBorders>
              <w:left w:val="single" w:color="auto" w:sz="4" w:space="0"/>
              <w:right w:val="single" w:color="auto" w:sz="4" w:space="0"/>
            </w:tcBorders>
            <w:vAlign w:val="center"/>
          </w:tcPr>
          <w:p w14:paraId="6C2331F6">
            <w:pPr>
              <w:spacing w:line="260" w:lineRule="exact"/>
              <w:jc w:val="center"/>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37697E75">
            <w:pPr>
              <w:spacing w:line="260" w:lineRule="exact"/>
              <w:jc w:val="left"/>
              <w:rPr>
                <w:color w:val="000000"/>
                <w:kern w:val="0"/>
                <w:sz w:val="18"/>
                <w:szCs w:val="18"/>
              </w:rPr>
            </w:pPr>
            <w:r>
              <w:rPr>
                <w:rFonts w:hint="eastAsia"/>
                <w:color w:val="000000"/>
                <w:kern w:val="0"/>
                <w:sz w:val="18"/>
                <w:szCs w:val="18"/>
              </w:rPr>
              <w:t>5万元以上10万元以下罚款</w:t>
            </w:r>
            <w:r>
              <w:rPr>
                <w:color w:val="000000"/>
                <w:kern w:val="0"/>
                <w:sz w:val="18"/>
                <w:szCs w:val="18"/>
              </w:rPr>
              <w:t xml:space="preserve">   </w:t>
            </w:r>
          </w:p>
        </w:tc>
      </w:tr>
      <w:tr w14:paraId="69E04AA3">
        <w:tblPrEx>
          <w:tblCellMar>
            <w:top w:w="0" w:type="dxa"/>
            <w:left w:w="108" w:type="dxa"/>
            <w:bottom w:w="0" w:type="dxa"/>
            <w:right w:w="108" w:type="dxa"/>
          </w:tblCellMar>
        </w:tblPrEx>
        <w:trPr>
          <w:trHeight w:val="271" w:hRule="atLeast"/>
        </w:trPr>
        <w:tc>
          <w:tcPr>
            <w:tcW w:w="1026" w:type="dxa"/>
            <w:vMerge w:val="continue"/>
            <w:tcBorders>
              <w:left w:val="single" w:color="auto" w:sz="4" w:space="0"/>
              <w:right w:val="single" w:color="auto" w:sz="4" w:space="0"/>
            </w:tcBorders>
            <w:vAlign w:val="center"/>
          </w:tcPr>
          <w:p w14:paraId="17453CEA">
            <w:pPr>
              <w:spacing w:line="26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26C03CB">
            <w:pPr>
              <w:spacing w:line="260" w:lineRule="exact"/>
              <w:jc w:val="left"/>
              <w:rPr>
                <w:color w:val="000000"/>
                <w:kern w:val="0"/>
                <w:sz w:val="18"/>
                <w:szCs w:val="18"/>
              </w:rPr>
            </w:pPr>
            <w:r>
              <w:rPr>
                <w:rFonts w:hint="eastAsia"/>
                <w:color w:val="000000"/>
                <w:kern w:val="0"/>
                <w:sz w:val="18"/>
                <w:szCs w:val="18"/>
              </w:rPr>
              <w:t>未按要求改正的，未发生生产安全事故的</w:t>
            </w:r>
          </w:p>
        </w:tc>
        <w:tc>
          <w:tcPr>
            <w:tcW w:w="1120" w:type="dxa"/>
            <w:vMerge w:val="continue"/>
            <w:tcBorders>
              <w:left w:val="single" w:color="auto" w:sz="4" w:space="0"/>
              <w:right w:val="single" w:color="auto" w:sz="4" w:space="0"/>
            </w:tcBorders>
            <w:vAlign w:val="center"/>
          </w:tcPr>
          <w:p w14:paraId="3F751C51">
            <w:pPr>
              <w:spacing w:line="260" w:lineRule="exact"/>
              <w:jc w:val="left"/>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48AAD8BB">
            <w:pPr>
              <w:spacing w:line="260" w:lineRule="exact"/>
              <w:jc w:val="left"/>
              <w:rPr>
                <w:color w:val="000000"/>
                <w:kern w:val="0"/>
                <w:sz w:val="18"/>
                <w:szCs w:val="18"/>
              </w:rPr>
            </w:pPr>
            <w:r>
              <w:rPr>
                <w:rFonts w:hint="eastAsia"/>
                <w:color w:val="000000"/>
                <w:kern w:val="0"/>
                <w:sz w:val="18"/>
                <w:szCs w:val="18"/>
              </w:rPr>
              <w:t>对单位：10万元以上15万元以下罚款</w:t>
            </w:r>
          </w:p>
          <w:p w14:paraId="38005DDA">
            <w:pPr>
              <w:spacing w:line="260" w:lineRule="exact"/>
              <w:jc w:val="left"/>
              <w:rPr>
                <w:color w:val="000000"/>
                <w:kern w:val="0"/>
                <w:sz w:val="18"/>
                <w:szCs w:val="18"/>
              </w:rPr>
            </w:pPr>
            <w:r>
              <w:rPr>
                <w:rFonts w:hint="eastAsia"/>
                <w:color w:val="000000"/>
                <w:kern w:val="0"/>
                <w:sz w:val="18"/>
                <w:szCs w:val="18"/>
              </w:rPr>
              <w:t>对个人：2万以上4万以下罚款</w:t>
            </w:r>
            <w:r>
              <w:rPr>
                <w:color w:val="000000"/>
                <w:kern w:val="0"/>
                <w:sz w:val="18"/>
                <w:szCs w:val="18"/>
              </w:rPr>
              <w:t xml:space="preserve">   </w:t>
            </w:r>
          </w:p>
        </w:tc>
      </w:tr>
      <w:tr w14:paraId="6058F122">
        <w:tblPrEx>
          <w:tblCellMar>
            <w:top w:w="0" w:type="dxa"/>
            <w:left w:w="108" w:type="dxa"/>
            <w:bottom w:w="0" w:type="dxa"/>
            <w:right w:w="108" w:type="dxa"/>
          </w:tblCellMar>
        </w:tblPrEx>
        <w:trPr>
          <w:trHeight w:val="285" w:hRule="atLeast"/>
        </w:trPr>
        <w:tc>
          <w:tcPr>
            <w:tcW w:w="1026" w:type="dxa"/>
            <w:vMerge w:val="continue"/>
            <w:tcBorders>
              <w:left w:val="single" w:color="auto" w:sz="4" w:space="0"/>
              <w:bottom w:val="single" w:color="auto" w:sz="4" w:space="0"/>
              <w:right w:val="single" w:color="auto" w:sz="4" w:space="0"/>
            </w:tcBorders>
            <w:vAlign w:val="center"/>
          </w:tcPr>
          <w:p w14:paraId="25D60225">
            <w:pPr>
              <w:spacing w:line="26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5670D53">
            <w:pPr>
              <w:spacing w:line="260" w:lineRule="exact"/>
              <w:jc w:val="left"/>
              <w:rPr>
                <w:color w:val="000000"/>
                <w:kern w:val="0"/>
                <w:sz w:val="18"/>
                <w:szCs w:val="18"/>
              </w:rPr>
            </w:pPr>
            <w:r>
              <w:rPr>
                <w:rFonts w:hint="eastAsia"/>
                <w:color w:val="000000"/>
                <w:kern w:val="0"/>
                <w:sz w:val="18"/>
                <w:szCs w:val="18"/>
              </w:rPr>
              <w:t>未按要求改正的，发生生产安全事故的</w:t>
            </w:r>
          </w:p>
        </w:tc>
        <w:tc>
          <w:tcPr>
            <w:tcW w:w="1120" w:type="dxa"/>
            <w:vMerge w:val="continue"/>
            <w:tcBorders>
              <w:left w:val="single" w:color="auto" w:sz="4" w:space="0"/>
              <w:bottom w:val="single" w:color="auto" w:sz="4" w:space="0"/>
              <w:right w:val="single" w:color="auto" w:sz="4" w:space="0"/>
            </w:tcBorders>
            <w:vAlign w:val="center"/>
          </w:tcPr>
          <w:p w14:paraId="6F425F41">
            <w:pPr>
              <w:spacing w:line="260" w:lineRule="exact"/>
              <w:jc w:val="left"/>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0BE0F6DF">
            <w:pPr>
              <w:spacing w:line="260" w:lineRule="exact"/>
              <w:jc w:val="left"/>
              <w:rPr>
                <w:color w:val="000000"/>
                <w:kern w:val="0"/>
                <w:sz w:val="18"/>
                <w:szCs w:val="18"/>
              </w:rPr>
            </w:pPr>
            <w:r>
              <w:rPr>
                <w:rFonts w:hint="eastAsia"/>
                <w:color w:val="000000"/>
                <w:kern w:val="0"/>
                <w:sz w:val="18"/>
                <w:szCs w:val="18"/>
              </w:rPr>
              <w:t>对单位：15万元以上20万元以下罚款，责令停产停业整顿</w:t>
            </w:r>
          </w:p>
          <w:p w14:paraId="1BF9B67C">
            <w:pPr>
              <w:spacing w:line="260" w:lineRule="exact"/>
              <w:jc w:val="left"/>
              <w:rPr>
                <w:color w:val="000000"/>
                <w:kern w:val="0"/>
                <w:sz w:val="18"/>
                <w:szCs w:val="18"/>
              </w:rPr>
            </w:pPr>
            <w:r>
              <w:rPr>
                <w:rFonts w:hint="eastAsia"/>
                <w:color w:val="000000"/>
                <w:kern w:val="0"/>
                <w:sz w:val="18"/>
                <w:szCs w:val="18"/>
              </w:rPr>
              <w:t>对个人：4万以上5万以下罚款</w:t>
            </w:r>
            <w:r>
              <w:rPr>
                <w:color w:val="000000"/>
                <w:kern w:val="0"/>
                <w:sz w:val="18"/>
                <w:szCs w:val="18"/>
              </w:rPr>
              <w:t xml:space="preserve">   </w:t>
            </w:r>
          </w:p>
        </w:tc>
      </w:tr>
    </w:tbl>
    <w:p w14:paraId="378F4520"/>
    <w:p w14:paraId="043E91ED"/>
    <w:tbl>
      <w:tblPr>
        <w:tblStyle w:val="15"/>
        <w:tblW w:w="0" w:type="auto"/>
        <w:tblInd w:w="78" w:type="dxa"/>
        <w:tblLayout w:type="fixed"/>
        <w:tblCellMar>
          <w:top w:w="0" w:type="dxa"/>
          <w:left w:w="108" w:type="dxa"/>
          <w:bottom w:w="0" w:type="dxa"/>
          <w:right w:w="108" w:type="dxa"/>
        </w:tblCellMar>
      </w:tblPr>
      <w:tblGrid>
        <w:gridCol w:w="1070"/>
        <w:gridCol w:w="4630"/>
        <w:gridCol w:w="1418"/>
        <w:gridCol w:w="6932"/>
      </w:tblGrid>
      <w:tr w14:paraId="3E4A9537">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4861B88A">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2C2210EC">
            <w:pPr>
              <w:spacing w:line="320" w:lineRule="exact"/>
              <w:jc w:val="left"/>
              <w:rPr>
                <w:rFonts w:eastAsia="仿宋_GB2312"/>
                <w:color w:val="000000"/>
                <w:sz w:val="20"/>
              </w:rPr>
            </w:pPr>
            <w:r>
              <w:rPr>
                <w:rFonts w:eastAsia="仿宋_GB2312"/>
                <w:b/>
                <w:bCs/>
                <w:color w:val="000000"/>
                <w:kern w:val="0"/>
                <w:sz w:val="18"/>
                <w:szCs w:val="18"/>
              </w:rPr>
              <w:t>320217028000</w:t>
            </w:r>
            <w:r>
              <w:rPr>
                <w:rFonts w:hint="eastAsia" w:eastAsia="仿宋_GB2312"/>
                <w:b/>
                <w:bCs/>
                <w:color w:val="000000"/>
                <w:kern w:val="0"/>
                <w:sz w:val="18"/>
                <w:szCs w:val="18"/>
              </w:rPr>
              <w:t xml:space="preserve"> </w:t>
            </w:r>
          </w:p>
        </w:tc>
      </w:tr>
      <w:tr w14:paraId="4F3AB284">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C7B03B8">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518B9F80">
            <w:pPr>
              <w:jc w:val="left"/>
              <w:rPr>
                <w:color w:val="000000"/>
                <w:sz w:val="20"/>
              </w:rPr>
            </w:pPr>
            <w:r>
              <w:rPr>
                <w:rFonts w:hint="eastAsia"/>
                <w:color w:val="000000"/>
                <w:sz w:val="20"/>
              </w:rPr>
              <w:t>对擅自在城市照明设施上张贴、悬挂、设置宣传品、广告的处罚</w:t>
            </w:r>
          </w:p>
        </w:tc>
      </w:tr>
      <w:tr w14:paraId="73DDF712">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68390DD0">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55169864">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br w:type="textWrapping"/>
            </w:r>
            <w:r>
              <w:rPr>
                <w:rFonts w:hint="eastAsia"/>
                <w:color w:val="000000"/>
                <w:sz w:val="20"/>
              </w:rPr>
              <w:t>第二十八条</w:t>
            </w:r>
            <w:r>
              <w:rPr>
                <w:color w:val="000000"/>
                <w:sz w:val="20"/>
              </w:rPr>
              <w:t xml:space="preserve"> </w:t>
            </w:r>
            <w:r>
              <w:rPr>
                <w:rFonts w:hint="eastAsia"/>
                <w:color w:val="000000"/>
                <w:sz w:val="20"/>
              </w:rPr>
              <w:t>任何单位和个人都应当保护城市照明设施，不得实施下列行为：</w:t>
            </w:r>
            <w:r>
              <w:rPr>
                <w:color w:val="000000"/>
                <w:sz w:val="20"/>
              </w:rPr>
              <w:br w:type="textWrapping"/>
            </w:r>
            <w:r>
              <w:rPr>
                <w:color w:val="000000"/>
                <w:sz w:val="20"/>
              </w:rPr>
              <w:t xml:space="preserve">   </w:t>
            </w:r>
            <w:r>
              <w:rPr>
                <w:rFonts w:hint="eastAsia"/>
                <w:color w:val="000000"/>
                <w:sz w:val="20"/>
              </w:rPr>
              <w:t>（三）擅自在城市照明设施上张贴、悬挂、设置宣传品、广告；</w:t>
            </w:r>
            <w:r>
              <w:rPr>
                <w:color w:val="000000"/>
                <w:sz w:val="20"/>
              </w:rPr>
              <w:br w:type="textWrapping"/>
            </w:r>
            <w:r>
              <w:rPr>
                <w:rFonts w:hint="eastAsia"/>
                <w:color w:val="000000"/>
                <w:sz w:val="20"/>
              </w:rPr>
              <w:t>第三十二条</w:t>
            </w:r>
            <w:r>
              <w:rPr>
                <w:color w:val="000000"/>
                <w:sz w:val="20"/>
              </w:rPr>
              <w:t xml:space="preserve"> </w:t>
            </w:r>
            <w:r>
              <w:rPr>
                <w:rFonts w:hint="eastAsia"/>
                <w:color w:val="000000"/>
                <w:sz w:val="20"/>
              </w:rPr>
              <w:t>违反本规定，有第二十八条规定行为之一的，由城市照明主管部门责令限期改正，对个人处以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r>
              <w:rPr>
                <w:color w:val="000000"/>
                <w:sz w:val="20"/>
              </w:rPr>
              <w:t> </w:t>
            </w:r>
          </w:p>
        </w:tc>
      </w:tr>
      <w:tr w14:paraId="566CEF5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E720B2B">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0C158840">
            <w:pPr>
              <w:spacing w:line="320" w:lineRule="exact"/>
              <w:jc w:val="left"/>
              <w:rPr>
                <w:color w:val="000000"/>
                <w:kern w:val="0"/>
                <w:sz w:val="18"/>
                <w:szCs w:val="18"/>
              </w:rPr>
            </w:pPr>
            <w:r>
              <w:rPr>
                <w:rFonts w:hint="eastAsia"/>
                <w:color w:val="000000"/>
                <w:kern w:val="0"/>
                <w:sz w:val="18"/>
                <w:szCs w:val="18"/>
              </w:rPr>
              <w:t>罚款</w:t>
            </w:r>
          </w:p>
        </w:tc>
      </w:tr>
      <w:tr w14:paraId="750781CA">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40B9874">
            <w:pPr>
              <w:spacing w:line="320" w:lineRule="exact"/>
              <w:jc w:val="center"/>
              <w:rPr>
                <w:color w:val="000000"/>
                <w:kern w:val="0"/>
                <w:sz w:val="18"/>
                <w:szCs w:val="18"/>
              </w:rPr>
            </w:pPr>
            <w:r>
              <w:rPr>
                <w:rFonts w:hint="eastAsia"/>
                <w:color w:val="000000"/>
                <w:kern w:val="0"/>
                <w:sz w:val="18"/>
                <w:szCs w:val="18"/>
              </w:rPr>
              <w:t>裁量基准</w:t>
            </w:r>
          </w:p>
        </w:tc>
      </w:tr>
      <w:tr w14:paraId="5BEB9EB0">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01B5296B">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color="auto" w:sz="4" w:space="0"/>
              <w:left w:val="nil"/>
              <w:bottom w:val="single" w:color="auto" w:sz="4" w:space="0"/>
              <w:right w:val="single" w:color="auto" w:sz="4" w:space="0"/>
            </w:tcBorders>
            <w:vAlign w:val="center"/>
          </w:tcPr>
          <w:p w14:paraId="0743E31B">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color="auto" w:sz="4" w:space="0"/>
              <w:right w:val="single" w:color="auto" w:sz="4" w:space="0"/>
            </w:tcBorders>
            <w:vAlign w:val="center"/>
          </w:tcPr>
          <w:p w14:paraId="6D4A869B">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color="auto" w:sz="4" w:space="0"/>
              <w:right w:val="single" w:color="auto" w:sz="8" w:space="0"/>
            </w:tcBorders>
            <w:vAlign w:val="center"/>
          </w:tcPr>
          <w:p w14:paraId="6D0BD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14:paraId="20ADECD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14:paraId="34588B50">
        <w:tblPrEx>
          <w:tblCellMar>
            <w:top w:w="0" w:type="dxa"/>
            <w:left w:w="108" w:type="dxa"/>
            <w:bottom w:w="0" w:type="dxa"/>
            <w:right w:w="108" w:type="dxa"/>
          </w:tblCellMar>
        </w:tblPrEx>
        <w:trPr>
          <w:trHeight w:val="285" w:hRule="atLeast"/>
        </w:trPr>
        <w:tc>
          <w:tcPr>
            <w:tcW w:w="1070" w:type="dxa"/>
            <w:vMerge w:val="continue"/>
            <w:tcBorders>
              <w:left w:val="single" w:color="auto" w:sz="8" w:space="0"/>
              <w:bottom w:val="single" w:color="auto" w:sz="4" w:space="0"/>
              <w:right w:val="single" w:color="auto" w:sz="4" w:space="0"/>
            </w:tcBorders>
            <w:vAlign w:val="center"/>
          </w:tcPr>
          <w:p w14:paraId="769531AC">
            <w:pPr>
              <w:jc w:val="left"/>
              <w:rPr>
                <w:color w:val="000000"/>
                <w:kern w:val="0"/>
                <w:sz w:val="18"/>
                <w:szCs w:val="18"/>
              </w:rPr>
            </w:pPr>
          </w:p>
        </w:tc>
        <w:tc>
          <w:tcPr>
            <w:tcW w:w="4630" w:type="dxa"/>
            <w:tcBorders>
              <w:top w:val="single" w:color="auto" w:sz="4" w:space="0"/>
              <w:left w:val="nil"/>
              <w:bottom w:val="single" w:color="auto" w:sz="4" w:space="0"/>
              <w:right w:val="single" w:color="auto" w:sz="4" w:space="0"/>
            </w:tcBorders>
            <w:vAlign w:val="center"/>
          </w:tcPr>
          <w:p w14:paraId="58B4D087">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val="continue"/>
            <w:tcBorders>
              <w:left w:val="single" w:color="auto" w:sz="4" w:space="0"/>
              <w:bottom w:val="single" w:color="auto" w:sz="4" w:space="0"/>
              <w:right w:val="single" w:color="auto" w:sz="4" w:space="0"/>
            </w:tcBorders>
            <w:vAlign w:val="center"/>
          </w:tcPr>
          <w:p w14:paraId="5BC748FF">
            <w:pPr>
              <w:jc w:val="left"/>
              <w:rPr>
                <w:color w:val="000000"/>
                <w:kern w:val="0"/>
                <w:sz w:val="18"/>
                <w:szCs w:val="18"/>
              </w:rPr>
            </w:pPr>
          </w:p>
        </w:tc>
        <w:tc>
          <w:tcPr>
            <w:tcW w:w="6932" w:type="dxa"/>
            <w:tcBorders>
              <w:top w:val="nil"/>
              <w:left w:val="nil"/>
              <w:bottom w:val="single" w:color="auto" w:sz="4" w:space="0"/>
              <w:right w:val="single" w:color="auto" w:sz="8" w:space="0"/>
            </w:tcBorders>
            <w:vAlign w:val="center"/>
          </w:tcPr>
          <w:p w14:paraId="1DFD68DE">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75339B0D">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5599607B"/>
    <w:p w14:paraId="09ECC397"/>
    <w:p w14:paraId="3641DDBB"/>
    <w:p w14:paraId="47E53DD7"/>
    <w:p w14:paraId="6E459800"/>
    <w:p w14:paraId="50B25631"/>
    <w:p w14:paraId="3E1E85FA"/>
    <w:p w14:paraId="4D0495D4"/>
    <w:tbl>
      <w:tblPr>
        <w:tblStyle w:val="15"/>
        <w:tblW w:w="0" w:type="auto"/>
        <w:tblInd w:w="78" w:type="dxa"/>
        <w:tblLayout w:type="fixed"/>
        <w:tblCellMar>
          <w:top w:w="0" w:type="dxa"/>
          <w:left w:w="108" w:type="dxa"/>
          <w:bottom w:w="0" w:type="dxa"/>
          <w:right w:w="108" w:type="dxa"/>
        </w:tblCellMar>
      </w:tblPr>
      <w:tblGrid>
        <w:gridCol w:w="1070"/>
        <w:gridCol w:w="4630"/>
        <w:gridCol w:w="1418"/>
        <w:gridCol w:w="6932"/>
      </w:tblGrid>
      <w:tr w14:paraId="11708457">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0AA049E6">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1D1BE0F7">
            <w:pPr>
              <w:spacing w:line="320" w:lineRule="exact"/>
              <w:jc w:val="left"/>
              <w:rPr>
                <w:rFonts w:eastAsia="仿宋_GB2312"/>
                <w:color w:val="000000"/>
                <w:sz w:val="20"/>
              </w:rPr>
            </w:pPr>
            <w:r>
              <w:rPr>
                <w:rFonts w:eastAsia="仿宋_GB2312"/>
                <w:color w:val="000000"/>
                <w:sz w:val="20"/>
              </w:rPr>
              <w:t>320217029000</w:t>
            </w:r>
            <w:r>
              <w:rPr>
                <w:rFonts w:hint="eastAsia" w:eastAsia="仿宋_GB2312"/>
                <w:color w:val="000000"/>
                <w:sz w:val="20"/>
              </w:rPr>
              <w:t xml:space="preserve"> </w:t>
            </w:r>
          </w:p>
        </w:tc>
      </w:tr>
      <w:tr w14:paraId="3DADF023">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A57797F">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47734CFC">
            <w:pPr>
              <w:jc w:val="left"/>
              <w:rPr>
                <w:color w:val="000000"/>
                <w:sz w:val="20"/>
              </w:rPr>
            </w:pPr>
            <w:r>
              <w:rPr>
                <w:rFonts w:hint="eastAsia"/>
                <w:color w:val="000000"/>
                <w:sz w:val="20"/>
              </w:rPr>
              <w:t>对擅自在城市照明设施上架设线缆、安置其它设施或者接用电源的处罚</w:t>
            </w:r>
          </w:p>
        </w:tc>
      </w:tr>
      <w:tr w14:paraId="0D1AAC53">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5F75A358">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3C519D26">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号）第二十八条</w:t>
            </w:r>
            <w:r>
              <w:rPr>
                <w:color w:val="000000"/>
                <w:sz w:val="20"/>
              </w:rPr>
              <w:t xml:space="preserve"> </w:t>
            </w:r>
            <w:r>
              <w:rPr>
                <w:rFonts w:hint="eastAsia"/>
                <w:color w:val="000000"/>
                <w:sz w:val="20"/>
              </w:rPr>
              <w:t>任何单位和个人都应当保护城市照明设施，不得实施下列行为：</w:t>
            </w:r>
            <w:r>
              <w:rPr>
                <w:color w:val="000000"/>
                <w:sz w:val="20"/>
              </w:rPr>
              <w:br w:type="textWrapping"/>
            </w:r>
            <w:r>
              <w:rPr>
                <w:rFonts w:hint="eastAsia"/>
                <w:color w:val="000000"/>
                <w:sz w:val="20"/>
              </w:rPr>
              <w:t>（四）擅自在城市照明设施上架设线缆、安置其它设施或者接用电源；</w:t>
            </w:r>
            <w:r>
              <w:rPr>
                <w:color w:val="000000"/>
                <w:sz w:val="20"/>
              </w:rPr>
              <w:br w:type="textWrapping"/>
            </w:r>
            <w:r>
              <w:rPr>
                <w:rFonts w:hint="eastAsia"/>
                <w:color w:val="000000"/>
                <w:sz w:val="20"/>
              </w:rPr>
              <w:t>第三十二条</w:t>
            </w:r>
            <w:r>
              <w:rPr>
                <w:color w:val="000000"/>
                <w:sz w:val="20"/>
              </w:rPr>
              <w:t xml:space="preserve"> </w:t>
            </w:r>
            <w:r>
              <w:rPr>
                <w:rFonts w:hint="eastAsia"/>
                <w:color w:val="000000"/>
                <w:sz w:val="20"/>
              </w:rPr>
              <w:t>违反本规定，有第二十八条规定行为之一的，由城市照明主管部门责令限期改正，对个人处以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p>
        </w:tc>
      </w:tr>
      <w:tr w14:paraId="43B9772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267C7C5">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69C6F4C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295ADDD0">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5C4FA006">
            <w:pPr>
              <w:spacing w:line="320" w:lineRule="exact"/>
              <w:jc w:val="center"/>
              <w:rPr>
                <w:color w:val="000000"/>
                <w:kern w:val="0"/>
                <w:sz w:val="18"/>
                <w:szCs w:val="18"/>
              </w:rPr>
            </w:pPr>
            <w:r>
              <w:rPr>
                <w:rFonts w:hint="eastAsia"/>
                <w:color w:val="000000"/>
                <w:kern w:val="0"/>
                <w:sz w:val="18"/>
                <w:szCs w:val="18"/>
              </w:rPr>
              <w:t>裁量基准</w:t>
            </w:r>
          </w:p>
        </w:tc>
      </w:tr>
      <w:tr w14:paraId="7E451DB5">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1707A633">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color="auto" w:sz="4" w:space="0"/>
              <w:left w:val="nil"/>
              <w:bottom w:val="single" w:color="auto" w:sz="4" w:space="0"/>
              <w:right w:val="single" w:color="auto" w:sz="4" w:space="0"/>
            </w:tcBorders>
            <w:vAlign w:val="center"/>
          </w:tcPr>
          <w:p w14:paraId="22A61C4D">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color="auto" w:sz="4" w:space="0"/>
              <w:right w:val="single" w:color="auto" w:sz="4" w:space="0"/>
            </w:tcBorders>
            <w:vAlign w:val="center"/>
          </w:tcPr>
          <w:p w14:paraId="455B06D6">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color="auto" w:sz="4" w:space="0"/>
              <w:right w:val="single" w:color="auto" w:sz="8" w:space="0"/>
            </w:tcBorders>
            <w:vAlign w:val="center"/>
          </w:tcPr>
          <w:p w14:paraId="2DEDD74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14:paraId="2BB4390A">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14:paraId="608DD757">
        <w:tblPrEx>
          <w:tblCellMar>
            <w:top w:w="0" w:type="dxa"/>
            <w:left w:w="108" w:type="dxa"/>
            <w:bottom w:w="0" w:type="dxa"/>
            <w:right w:w="108" w:type="dxa"/>
          </w:tblCellMar>
        </w:tblPrEx>
        <w:trPr>
          <w:trHeight w:val="285" w:hRule="atLeast"/>
        </w:trPr>
        <w:tc>
          <w:tcPr>
            <w:tcW w:w="1070" w:type="dxa"/>
            <w:vMerge w:val="continue"/>
            <w:tcBorders>
              <w:left w:val="single" w:color="auto" w:sz="8" w:space="0"/>
              <w:bottom w:val="single" w:color="auto" w:sz="4" w:space="0"/>
              <w:right w:val="single" w:color="auto" w:sz="4" w:space="0"/>
            </w:tcBorders>
            <w:vAlign w:val="center"/>
          </w:tcPr>
          <w:p w14:paraId="3A4EAD66">
            <w:pPr>
              <w:jc w:val="left"/>
              <w:rPr>
                <w:color w:val="000000"/>
                <w:kern w:val="0"/>
                <w:sz w:val="18"/>
                <w:szCs w:val="18"/>
              </w:rPr>
            </w:pPr>
          </w:p>
        </w:tc>
        <w:tc>
          <w:tcPr>
            <w:tcW w:w="4630" w:type="dxa"/>
            <w:tcBorders>
              <w:top w:val="single" w:color="auto" w:sz="4" w:space="0"/>
              <w:left w:val="nil"/>
              <w:bottom w:val="single" w:color="auto" w:sz="4" w:space="0"/>
              <w:right w:val="single" w:color="auto" w:sz="4" w:space="0"/>
            </w:tcBorders>
            <w:vAlign w:val="center"/>
          </w:tcPr>
          <w:p w14:paraId="66506D3E">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val="continue"/>
            <w:tcBorders>
              <w:left w:val="single" w:color="auto" w:sz="4" w:space="0"/>
              <w:bottom w:val="single" w:color="auto" w:sz="4" w:space="0"/>
              <w:right w:val="single" w:color="auto" w:sz="4" w:space="0"/>
            </w:tcBorders>
            <w:vAlign w:val="center"/>
          </w:tcPr>
          <w:p w14:paraId="080C0040">
            <w:pPr>
              <w:jc w:val="left"/>
              <w:rPr>
                <w:color w:val="000000"/>
                <w:kern w:val="0"/>
                <w:sz w:val="18"/>
                <w:szCs w:val="18"/>
              </w:rPr>
            </w:pPr>
          </w:p>
        </w:tc>
        <w:tc>
          <w:tcPr>
            <w:tcW w:w="6932" w:type="dxa"/>
            <w:tcBorders>
              <w:top w:val="nil"/>
              <w:left w:val="nil"/>
              <w:bottom w:val="single" w:color="auto" w:sz="4" w:space="0"/>
              <w:right w:val="single" w:color="auto" w:sz="8" w:space="0"/>
            </w:tcBorders>
            <w:vAlign w:val="center"/>
          </w:tcPr>
          <w:p w14:paraId="346D432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5A156C8A">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392AE3EF"/>
    <w:p w14:paraId="553DD165"/>
    <w:p w14:paraId="38F4FB38"/>
    <w:p w14:paraId="31F7E269"/>
    <w:p w14:paraId="5B39AEB2"/>
    <w:p w14:paraId="622ED82E"/>
    <w:p w14:paraId="6FDC8862"/>
    <w:p w14:paraId="44181D19"/>
    <w:p w14:paraId="75137F9B"/>
    <w:tbl>
      <w:tblPr>
        <w:tblStyle w:val="15"/>
        <w:tblW w:w="0" w:type="auto"/>
        <w:tblInd w:w="88" w:type="dxa"/>
        <w:tblLayout w:type="fixed"/>
        <w:tblCellMar>
          <w:top w:w="0" w:type="dxa"/>
          <w:left w:w="108" w:type="dxa"/>
          <w:bottom w:w="0" w:type="dxa"/>
          <w:right w:w="108" w:type="dxa"/>
        </w:tblCellMar>
      </w:tblPr>
      <w:tblGrid>
        <w:gridCol w:w="1010"/>
        <w:gridCol w:w="1562"/>
        <w:gridCol w:w="4578"/>
        <w:gridCol w:w="1000"/>
        <w:gridCol w:w="5866"/>
      </w:tblGrid>
      <w:tr w14:paraId="71FB7261">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F4DFF0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61564768">
            <w:pPr>
              <w:spacing w:line="320" w:lineRule="exact"/>
              <w:jc w:val="left"/>
              <w:rPr>
                <w:rFonts w:eastAsia="仿宋_GB2312"/>
                <w:b/>
                <w:bCs/>
                <w:color w:val="000000"/>
                <w:kern w:val="0"/>
                <w:sz w:val="18"/>
                <w:szCs w:val="18"/>
              </w:rPr>
            </w:pPr>
            <w:r>
              <w:rPr>
                <w:rFonts w:eastAsia="仿宋_GB2312"/>
                <w:b/>
                <w:bCs/>
                <w:color w:val="000000"/>
                <w:kern w:val="0"/>
                <w:sz w:val="18"/>
                <w:szCs w:val="18"/>
              </w:rPr>
              <w:t>320217030000</w:t>
            </w:r>
          </w:p>
        </w:tc>
      </w:tr>
      <w:tr w14:paraId="153C681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205CA6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52619EF7">
            <w:pPr>
              <w:spacing w:line="320" w:lineRule="exact"/>
              <w:jc w:val="left"/>
              <w:rPr>
                <w:color w:val="000000"/>
                <w:kern w:val="0"/>
                <w:sz w:val="18"/>
                <w:szCs w:val="18"/>
              </w:rPr>
            </w:pPr>
            <w:r>
              <w:rPr>
                <w:rFonts w:hint="eastAsia"/>
                <w:color w:val="000000"/>
                <w:kern w:val="0"/>
                <w:sz w:val="18"/>
                <w:szCs w:val="18"/>
              </w:rPr>
              <w:t>对房产测绘单位在房产面积测算中不执行国家标准、规范和规定的处罚</w:t>
            </w:r>
          </w:p>
        </w:tc>
      </w:tr>
      <w:tr w14:paraId="3EAD6D45">
        <w:tblPrEx>
          <w:tblCellMar>
            <w:top w:w="0" w:type="dxa"/>
            <w:left w:w="108" w:type="dxa"/>
            <w:bottom w:w="0" w:type="dxa"/>
            <w:right w:w="108" w:type="dxa"/>
          </w:tblCellMar>
        </w:tblPrEx>
        <w:trPr>
          <w:trHeight w:val="1635" w:hRule="atLeast"/>
        </w:trPr>
        <w:tc>
          <w:tcPr>
            <w:tcW w:w="1010" w:type="dxa"/>
            <w:tcBorders>
              <w:top w:val="nil"/>
              <w:left w:val="single" w:color="auto" w:sz="8" w:space="0"/>
              <w:bottom w:val="single" w:color="auto" w:sz="4" w:space="0"/>
              <w:right w:val="single" w:color="auto" w:sz="4" w:space="0"/>
            </w:tcBorders>
            <w:vAlign w:val="center"/>
          </w:tcPr>
          <w:p w14:paraId="706D5CD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0EC4BEA4">
            <w:pPr>
              <w:spacing w:line="320" w:lineRule="exact"/>
              <w:jc w:val="left"/>
              <w:rPr>
                <w:color w:val="000000"/>
                <w:kern w:val="0"/>
                <w:sz w:val="18"/>
                <w:szCs w:val="18"/>
              </w:rPr>
            </w:pPr>
            <w:r>
              <w:rPr>
                <w:rFonts w:hint="eastAsia"/>
                <w:color w:val="000000"/>
                <w:kern w:val="0"/>
                <w:sz w:val="18"/>
                <w:szCs w:val="18"/>
              </w:rPr>
              <w:t>【规章】《房产测绘管理办法》（</w:t>
            </w:r>
            <w:r>
              <w:rPr>
                <w:color w:val="000000"/>
                <w:kern w:val="0"/>
                <w:sz w:val="18"/>
                <w:szCs w:val="18"/>
              </w:rPr>
              <w:t>2000</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国家测绘局令第</w:t>
            </w:r>
            <w:r>
              <w:rPr>
                <w:color w:val="000000"/>
                <w:kern w:val="0"/>
                <w:sz w:val="18"/>
                <w:szCs w:val="18"/>
              </w:rPr>
              <w:t>83</w:t>
            </w:r>
            <w:r>
              <w:rPr>
                <w:rFonts w:hint="eastAsia"/>
                <w:color w:val="000000"/>
                <w:kern w:val="0"/>
                <w:sz w:val="18"/>
                <w:szCs w:val="18"/>
              </w:rPr>
              <w:t>号）</w:t>
            </w:r>
          </w:p>
          <w:p w14:paraId="02A11E72">
            <w:pPr>
              <w:spacing w:line="320" w:lineRule="exact"/>
              <w:jc w:val="left"/>
              <w:rPr>
                <w:color w:val="000000"/>
                <w:kern w:val="0"/>
                <w:sz w:val="18"/>
                <w:szCs w:val="18"/>
              </w:rPr>
            </w:pPr>
            <w:r>
              <w:rPr>
                <w:rFonts w:hint="eastAsia"/>
                <w:color w:val="000000"/>
                <w:kern w:val="0"/>
                <w:sz w:val="18"/>
                <w:szCs w:val="18"/>
              </w:rPr>
              <w:t>第三条第一款</w:t>
            </w:r>
            <w:r>
              <w:rPr>
                <w:color w:val="000000"/>
                <w:kern w:val="0"/>
                <w:sz w:val="18"/>
                <w:szCs w:val="18"/>
              </w:rPr>
              <w:t xml:space="preserve">  </w:t>
            </w:r>
            <w:r>
              <w:rPr>
                <w:rFonts w:hint="eastAsia"/>
                <w:color w:val="000000"/>
                <w:kern w:val="0"/>
                <w:sz w:val="18"/>
                <w:szCs w:val="18"/>
              </w:rPr>
              <w:t>房产测绘单位应当严格遵守国家有关法律、法规，执行国家房产测量规范和有关技术标准、规定，对其完成的房产测绘成果质量负责。</w:t>
            </w:r>
          </w:p>
          <w:p w14:paraId="3734EEF4">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房产测绘单位有下列情形之一的，由县级以上人民政府房地产行政主管部门给予警告并责令限期改正，并可处以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万元以下的罚款；情节严重的，由发证机关予以降级或者取消其房产测绘资格：</w:t>
            </w:r>
            <w:r>
              <w:rPr>
                <w:color w:val="000000"/>
                <w:kern w:val="0"/>
                <w:sz w:val="18"/>
                <w:szCs w:val="18"/>
              </w:rPr>
              <w:t xml:space="preserve"> </w:t>
            </w:r>
          </w:p>
          <w:p w14:paraId="4C3FBDB1">
            <w:pPr>
              <w:spacing w:line="320" w:lineRule="exact"/>
              <w:jc w:val="left"/>
              <w:rPr>
                <w:color w:val="000000"/>
                <w:kern w:val="0"/>
                <w:sz w:val="18"/>
                <w:szCs w:val="18"/>
              </w:rPr>
            </w:pPr>
            <w:r>
              <w:rPr>
                <w:rFonts w:hint="eastAsia"/>
                <w:color w:val="000000"/>
                <w:kern w:val="0"/>
                <w:sz w:val="18"/>
                <w:szCs w:val="18"/>
              </w:rPr>
              <w:t>（一）在房产面积测算中不执行国家标准、规范和规定的。</w:t>
            </w:r>
          </w:p>
        </w:tc>
      </w:tr>
      <w:tr w14:paraId="07E91D4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AB1FC4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0A883956">
            <w:pPr>
              <w:spacing w:line="320" w:lineRule="exact"/>
              <w:jc w:val="left"/>
              <w:rPr>
                <w:color w:val="000000"/>
                <w:kern w:val="0"/>
                <w:sz w:val="18"/>
                <w:szCs w:val="18"/>
              </w:rPr>
            </w:pPr>
            <w:r>
              <w:rPr>
                <w:rFonts w:hint="eastAsia"/>
                <w:color w:val="000000"/>
                <w:kern w:val="0"/>
                <w:sz w:val="18"/>
                <w:szCs w:val="18"/>
              </w:rPr>
              <w:t>警告，罚款</w:t>
            </w:r>
          </w:p>
        </w:tc>
      </w:tr>
      <w:tr w14:paraId="644E9AC2">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7498BABE">
            <w:pPr>
              <w:spacing w:line="320" w:lineRule="exact"/>
              <w:jc w:val="center"/>
              <w:rPr>
                <w:color w:val="000000"/>
                <w:kern w:val="0"/>
                <w:sz w:val="18"/>
                <w:szCs w:val="18"/>
              </w:rPr>
            </w:pPr>
            <w:r>
              <w:rPr>
                <w:rFonts w:hint="eastAsia"/>
                <w:color w:val="000000"/>
                <w:kern w:val="0"/>
                <w:sz w:val="18"/>
                <w:szCs w:val="18"/>
              </w:rPr>
              <w:t>裁量基准</w:t>
            </w:r>
          </w:p>
        </w:tc>
      </w:tr>
      <w:tr w14:paraId="5BB83AA9">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66A7C1B7">
            <w:pPr>
              <w:spacing w:line="320" w:lineRule="exact"/>
              <w:jc w:val="center"/>
              <w:rPr>
                <w:color w:val="000000"/>
                <w:kern w:val="0"/>
                <w:sz w:val="18"/>
                <w:szCs w:val="18"/>
              </w:rPr>
            </w:pPr>
            <w:r>
              <w:rPr>
                <w:rFonts w:hint="eastAsia"/>
                <w:color w:val="000000"/>
                <w:kern w:val="0"/>
                <w:sz w:val="18"/>
                <w:szCs w:val="18"/>
              </w:rPr>
              <w:t>情形描述</w:t>
            </w:r>
          </w:p>
        </w:tc>
        <w:tc>
          <w:tcPr>
            <w:tcW w:w="1562" w:type="dxa"/>
            <w:vMerge w:val="restart"/>
            <w:tcBorders>
              <w:top w:val="single" w:color="auto" w:sz="4" w:space="0"/>
              <w:left w:val="nil"/>
              <w:right w:val="single" w:color="auto" w:sz="4" w:space="0"/>
            </w:tcBorders>
            <w:vAlign w:val="center"/>
          </w:tcPr>
          <w:p w14:paraId="772A0E31">
            <w:pPr>
              <w:spacing w:line="320" w:lineRule="exact"/>
              <w:jc w:val="left"/>
              <w:rPr>
                <w:color w:val="000000"/>
                <w:kern w:val="0"/>
                <w:sz w:val="18"/>
                <w:szCs w:val="18"/>
              </w:rPr>
            </w:pPr>
            <w:r>
              <w:rPr>
                <w:rFonts w:hint="eastAsia"/>
                <w:color w:val="000000"/>
                <w:kern w:val="0"/>
                <w:sz w:val="18"/>
                <w:szCs w:val="18"/>
              </w:rPr>
              <w:t>按照要求改正</w:t>
            </w:r>
          </w:p>
        </w:tc>
        <w:tc>
          <w:tcPr>
            <w:tcW w:w="4578" w:type="dxa"/>
            <w:tcBorders>
              <w:top w:val="single" w:color="auto" w:sz="4" w:space="0"/>
              <w:left w:val="nil"/>
              <w:bottom w:val="single" w:color="auto" w:sz="4" w:space="0"/>
              <w:right w:val="single" w:color="auto" w:sz="4" w:space="0"/>
            </w:tcBorders>
            <w:vAlign w:val="center"/>
          </w:tcPr>
          <w:p w14:paraId="3938EFC9">
            <w:pPr>
              <w:spacing w:line="320" w:lineRule="exact"/>
              <w:jc w:val="left"/>
              <w:rPr>
                <w:color w:val="000000"/>
                <w:kern w:val="0"/>
                <w:sz w:val="18"/>
                <w:szCs w:val="18"/>
              </w:rPr>
            </w:pPr>
            <w:r>
              <w:rPr>
                <w:rFonts w:hint="eastAsia"/>
                <w:color w:val="000000"/>
                <w:kern w:val="0"/>
                <w:sz w:val="18"/>
                <w:szCs w:val="18"/>
              </w:rPr>
              <w:t>未对测绘成果质量造成影响的</w:t>
            </w:r>
          </w:p>
        </w:tc>
        <w:tc>
          <w:tcPr>
            <w:tcW w:w="1000" w:type="dxa"/>
            <w:vMerge w:val="restart"/>
            <w:tcBorders>
              <w:top w:val="nil"/>
              <w:left w:val="single" w:color="auto" w:sz="4" w:space="0"/>
              <w:right w:val="single" w:color="auto" w:sz="4" w:space="0"/>
            </w:tcBorders>
            <w:vAlign w:val="center"/>
          </w:tcPr>
          <w:p w14:paraId="240E19D2">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25BE06D2">
            <w:pPr>
              <w:spacing w:line="320" w:lineRule="exact"/>
              <w:jc w:val="left"/>
              <w:rPr>
                <w:color w:val="000000"/>
                <w:kern w:val="0"/>
                <w:sz w:val="18"/>
                <w:szCs w:val="18"/>
              </w:rPr>
            </w:pPr>
            <w:r>
              <w:rPr>
                <w:rFonts w:hint="eastAsia"/>
                <w:color w:val="000000"/>
                <w:kern w:val="0"/>
                <w:sz w:val="18"/>
                <w:szCs w:val="18"/>
              </w:rPr>
              <w:t>不处罚款</w:t>
            </w:r>
          </w:p>
        </w:tc>
      </w:tr>
      <w:tr w14:paraId="7C34FDD7">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6DC8FDE3">
            <w:pPr>
              <w:spacing w:line="320" w:lineRule="exact"/>
              <w:jc w:val="center"/>
              <w:rPr>
                <w:color w:val="000000"/>
                <w:kern w:val="0"/>
                <w:sz w:val="18"/>
                <w:szCs w:val="18"/>
              </w:rPr>
            </w:pPr>
          </w:p>
        </w:tc>
        <w:tc>
          <w:tcPr>
            <w:tcW w:w="1562" w:type="dxa"/>
            <w:vMerge w:val="continue"/>
            <w:tcBorders>
              <w:left w:val="nil"/>
              <w:bottom w:val="single" w:color="auto" w:sz="4" w:space="0"/>
              <w:right w:val="single" w:color="auto" w:sz="4" w:space="0"/>
            </w:tcBorders>
            <w:vAlign w:val="center"/>
          </w:tcPr>
          <w:p w14:paraId="04873336">
            <w:pPr>
              <w:spacing w:line="320" w:lineRule="exact"/>
              <w:jc w:val="left"/>
              <w:rPr>
                <w:color w:val="000000"/>
                <w:kern w:val="0"/>
                <w:sz w:val="18"/>
                <w:szCs w:val="18"/>
              </w:rPr>
            </w:pPr>
          </w:p>
        </w:tc>
        <w:tc>
          <w:tcPr>
            <w:tcW w:w="4578" w:type="dxa"/>
            <w:tcBorders>
              <w:top w:val="single" w:color="auto" w:sz="4" w:space="0"/>
              <w:left w:val="nil"/>
              <w:bottom w:val="single" w:color="auto" w:sz="4" w:space="0"/>
              <w:right w:val="single" w:color="auto" w:sz="4" w:space="0"/>
            </w:tcBorders>
            <w:vAlign w:val="center"/>
          </w:tcPr>
          <w:p w14:paraId="6599B4E8">
            <w:pPr>
              <w:spacing w:line="320" w:lineRule="exact"/>
              <w:jc w:val="left"/>
              <w:rPr>
                <w:color w:val="000000"/>
                <w:kern w:val="0"/>
                <w:sz w:val="18"/>
                <w:szCs w:val="18"/>
              </w:rPr>
            </w:pPr>
            <w:r>
              <w:rPr>
                <w:rFonts w:hint="eastAsia"/>
                <w:color w:val="000000"/>
                <w:kern w:val="0"/>
                <w:sz w:val="18"/>
                <w:szCs w:val="18"/>
              </w:rPr>
              <w:t>对测绘成果质量造成影响的</w:t>
            </w:r>
          </w:p>
        </w:tc>
        <w:tc>
          <w:tcPr>
            <w:tcW w:w="1000" w:type="dxa"/>
            <w:vMerge w:val="continue"/>
            <w:tcBorders>
              <w:left w:val="single" w:color="auto" w:sz="4" w:space="0"/>
              <w:right w:val="single" w:color="auto" w:sz="4" w:space="0"/>
            </w:tcBorders>
            <w:vAlign w:val="center"/>
          </w:tcPr>
          <w:p w14:paraId="3059B512">
            <w:pPr>
              <w:spacing w:line="320" w:lineRule="exact"/>
              <w:jc w:val="center"/>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EF0402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82C5E67">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7062BA18">
            <w:pPr>
              <w:spacing w:line="320" w:lineRule="exact"/>
              <w:jc w:val="left"/>
              <w:rPr>
                <w:color w:val="000000"/>
                <w:kern w:val="0"/>
                <w:sz w:val="18"/>
                <w:szCs w:val="18"/>
              </w:rPr>
            </w:pPr>
          </w:p>
        </w:tc>
        <w:tc>
          <w:tcPr>
            <w:tcW w:w="1562" w:type="dxa"/>
            <w:vMerge w:val="restart"/>
            <w:tcBorders>
              <w:top w:val="single" w:color="auto" w:sz="4" w:space="0"/>
              <w:left w:val="nil"/>
              <w:right w:val="single" w:color="auto" w:sz="4" w:space="0"/>
            </w:tcBorders>
            <w:vAlign w:val="center"/>
          </w:tcPr>
          <w:p w14:paraId="536274B2">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color="auto" w:sz="4" w:space="0"/>
              <w:left w:val="nil"/>
              <w:bottom w:val="single" w:color="auto" w:sz="4" w:space="0"/>
              <w:right w:val="single" w:color="auto" w:sz="4" w:space="0"/>
            </w:tcBorders>
            <w:vAlign w:val="center"/>
          </w:tcPr>
          <w:p w14:paraId="20D3C29C">
            <w:pPr>
              <w:spacing w:line="320" w:lineRule="exact"/>
              <w:jc w:val="left"/>
              <w:rPr>
                <w:color w:val="000000"/>
                <w:kern w:val="0"/>
                <w:sz w:val="18"/>
                <w:szCs w:val="18"/>
              </w:rPr>
            </w:pPr>
            <w:r>
              <w:rPr>
                <w:rFonts w:hint="eastAsia"/>
                <w:color w:val="000000"/>
                <w:kern w:val="0"/>
                <w:sz w:val="18"/>
                <w:szCs w:val="18"/>
              </w:rPr>
              <w:t>对测绘成果质量造成的影响尚可挽回的</w:t>
            </w:r>
          </w:p>
        </w:tc>
        <w:tc>
          <w:tcPr>
            <w:tcW w:w="1000" w:type="dxa"/>
            <w:vMerge w:val="continue"/>
            <w:tcBorders>
              <w:left w:val="single" w:color="auto" w:sz="4" w:space="0"/>
              <w:right w:val="single" w:color="auto" w:sz="4" w:space="0"/>
            </w:tcBorders>
            <w:vAlign w:val="center"/>
          </w:tcPr>
          <w:p w14:paraId="5DCD1A8F">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1FAFBE3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万元以下罚款，予以降级</w:t>
            </w:r>
          </w:p>
        </w:tc>
      </w:tr>
      <w:tr w14:paraId="69DABE03">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285F0003">
            <w:pPr>
              <w:spacing w:line="320" w:lineRule="exact"/>
              <w:jc w:val="left"/>
              <w:rPr>
                <w:color w:val="000000"/>
                <w:kern w:val="0"/>
                <w:sz w:val="18"/>
                <w:szCs w:val="18"/>
              </w:rPr>
            </w:pPr>
          </w:p>
        </w:tc>
        <w:tc>
          <w:tcPr>
            <w:tcW w:w="1562" w:type="dxa"/>
            <w:vMerge w:val="continue"/>
            <w:tcBorders>
              <w:left w:val="nil"/>
              <w:bottom w:val="single" w:color="auto" w:sz="4" w:space="0"/>
              <w:right w:val="single" w:color="auto" w:sz="4" w:space="0"/>
            </w:tcBorders>
            <w:vAlign w:val="center"/>
          </w:tcPr>
          <w:p w14:paraId="4EFC4B5F">
            <w:pPr>
              <w:spacing w:line="320" w:lineRule="exact"/>
              <w:jc w:val="left"/>
              <w:rPr>
                <w:color w:val="000000"/>
                <w:kern w:val="0"/>
                <w:sz w:val="18"/>
                <w:szCs w:val="18"/>
              </w:rPr>
            </w:pPr>
          </w:p>
        </w:tc>
        <w:tc>
          <w:tcPr>
            <w:tcW w:w="4578" w:type="dxa"/>
            <w:tcBorders>
              <w:top w:val="single" w:color="auto" w:sz="4" w:space="0"/>
              <w:left w:val="nil"/>
              <w:bottom w:val="single" w:color="auto" w:sz="4" w:space="0"/>
              <w:right w:val="single" w:color="auto" w:sz="4" w:space="0"/>
            </w:tcBorders>
            <w:vAlign w:val="center"/>
          </w:tcPr>
          <w:p w14:paraId="64035960">
            <w:pPr>
              <w:spacing w:line="320" w:lineRule="exact"/>
              <w:jc w:val="left"/>
              <w:rPr>
                <w:color w:val="000000"/>
                <w:kern w:val="0"/>
                <w:sz w:val="18"/>
                <w:szCs w:val="18"/>
              </w:rPr>
            </w:pPr>
            <w:r>
              <w:rPr>
                <w:rFonts w:hint="eastAsia"/>
                <w:color w:val="000000"/>
                <w:kern w:val="0"/>
                <w:sz w:val="18"/>
                <w:szCs w:val="18"/>
              </w:rPr>
              <w:t>对测绘成果质量造成的影响无法挽回的</w:t>
            </w:r>
          </w:p>
        </w:tc>
        <w:tc>
          <w:tcPr>
            <w:tcW w:w="1000" w:type="dxa"/>
            <w:vMerge w:val="continue"/>
            <w:tcBorders>
              <w:left w:val="single" w:color="auto" w:sz="4" w:space="0"/>
              <w:bottom w:val="single" w:color="auto" w:sz="4" w:space="0"/>
              <w:right w:val="single" w:color="auto" w:sz="4" w:space="0"/>
            </w:tcBorders>
            <w:vAlign w:val="center"/>
          </w:tcPr>
          <w:p w14:paraId="1AA97337">
            <w:pPr>
              <w:spacing w:line="320" w:lineRule="exact"/>
              <w:jc w:val="left"/>
              <w:rPr>
                <w:color w:val="000000"/>
                <w:kern w:val="0"/>
                <w:sz w:val="18"/>
                <w:szCs w:val="18"/>
              </w:rPr>
            </w:pPr>
          </w:p>
        </w:tc>
        <w:tc>
          <w:tcPr>
            <w:tcW w:w="5866" w:type="dxa"/>
            <w:tcBorders>
              <w:top w:val="single" w:color="auto" w:sz="4" w:space="0"/>
              <w:left w:val="nil"/>
              <w:bottom w:val="single" w:color="auto" w:sz="4" w:space="0"/>
              <w:right w:val="single" w:color="auto" w:sz="8" w:space="0"/>
            </w:tcBorders>
            <w:vAlign w:val="center"/>
          </w:tcPr>
          <w:p w14:paraId="7AD4BCE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万元以下罚款，取消其房产测绘资格</w:t>
            </w:r>
          </w:p>
        </w:tc>
      </w:tr>
    </w:tbl>
    <w:p w14:paraId="201D844E"/>
    <w:p w14:paraId="6762B041"/>
    <w:p w14:paraId="6567F690"/>
    <w:p w14:paraId="60024CF6"/>
    <w:p w14:paraId="30A33A20"/>
    <w:p w14:paraId="34E4DEBA"/>
    <w:p w14:paraId="46D33DF5"/>
    <w:p w14:paraId="3EC0F36F"/>
    <w:p w14:paraId="5D623FCA"/>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213AF213">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16CF162">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3966DB1C">
            <w:pPr>
              <w:spacing w:line="320" w:lineRule="exact"/>
              <w:jc w:val="left"/>
              <w:rPr>
                <w:color w:val="000000"/>
                <w:kern w:val="0"/>
                <w:sz w:val="18"/>
                <w:szCs w:val="18"/>
              </w:rPr>
            </w:pPr>
            <w:r>
              <w:rPr>
                <w:rFonts w:eastAsia="仿宋_GB2312"/>
                <w:b/>
                <w:bCs/>
                <w:color w:val="000000"/>
                <w:kern w:val="0"/>
                <w:sz w:val="18"/>
                <w:szCs w:val="18"/>
              </w:rPr>
              <w:t>320217031000</w:t>
            </w:r>
          </w:p>
        </w:tc>
      </w:tr>
      <w:tr w14:paraId="4878385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F5623C1">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23FF7D23">
            <w:pPr>
              <w:jc w:val="left"/>
              <w:textAlignment w:val="center"/>
              <w:rPr>
                <w:rFonts w:eastAsia="仿宋_GB2312"/>
                <w:color w:val="000000"/>
                <w:sz w:val="20"/>
              </w:rPr>
            </w:pPr>
            <w:r>
              <w:rPr>
                <w:rFonts w:hint="eastAsia" w:eastAsia="仿宋_GB2312"/>
                <w:color w:val="000000"/>
                <w:kern w:val="0"/>
                <w:sz w:val="20"/>
              </w:rPr>
              <w:t>对未按照规定编制城市桥梁养护维修的中长期规划和年度计划，或者未经批准即实施的处罚</w:t>
            </w:r>
          </w:p>
        </w:tc>
      </w:tr>
      <w:tr w14:paraId="00977276">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5E06299C">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4AA493D3">
            <w:pPr>
              <w:spacing w:line="320" w:lineRule="exact"/>
              <w:jc w:val="left"/>
              <w:rPr>
                <w:color w:val="000000"/>
                <w:kern w:val="0"/>
                <w:sz w:val="18"/>
                <w:szCs w:val="18"/>
              </w:rPr>
            </w:pPr>
            <w:r>
              <w:rPr>
                <w:rFonts w:hint="eastAsia"/>
                <w:color w:val="000000"/>
                <w:kern w:val="0"/>
                <w:sz w:val="18"/>
                <w:szCs w:val="18"/>
              </w:rPr>
              <w:t>【规章】《城市桥梁检测和养护维修管理办法》（建设部令第118号）</w:t>
            </w:r>
          </w:p>
          <w:p w14:paraId="28D32B31">
            <w:pPr>
              <w:spacing w:line="320" w:lineRule="exact"/>
              <w:jc w:val="left"/>
              <w:rPr>
                <w:color w:val="000000"/>
                <w:kern w:val="0"/>
                <w:sz w:val="18"/>
                <w:szCs w:val="18"/>
              </w:rPr>
            </w:pPr>
            <w:r>
              <w:rPr>
                <w:rFonts w:hint="eastAsia"/>
                <w:color w:val="000000"/>
                <w:kern w:val="0"/>
                <w:sz w:val="18"/>
                <w:szCs w:val="18"/>
              </w:rPr>
              <w:t xml:space="preserve">      第十条 县级以上城市人民政府市政工程设施行政主管部门应当编制城市桥梁养护维修的中长期规划和年度计划，报城市人民政府批准后实施。</w:t>
            </w:r>
          </w:p>
          <w:p w14:paraId="73D912CB">
            <w:pPr>
              <w:spacing w:line="320" w:lineRule="exact"/>
              <w:jc w:val="left"/>
              <w:rPr>
                <w:color w:val="000000"/>
                <w:kern w:val="0"/>
                <w:sz w:val="18"/>
                <w:szCs w:val="18"/>
              </w:rPr>
            </w:pPr>
            <w:r>
              <w:rPr>
                <w:rFonts w:hint="eastAsia"/>
                <w:color w:val="000000"/>
                <w:kern w:val="0"/>
                <w:sz w:val="18"/>
                <w:szCs w:val="18"/>
              </w:rPr>
              <w:t xml:space="preserve">       城市桥梁产权人或者委托管理人应当编制城市桥梁养护维修的中长期规划和年度计划，报城市人民政府市政工程设施行政主管部门批准后实施。 </w:t>
            </w:r>
          </w:p>
          <w:p w14:paraId="45FB60EC">
            <w:pPr>
              <w:spacing w:line="320" w:lineRule="exact"/>
              <w:jc w:val="left"/>
              <w:rPr>
                <w:color w:val="000000"/>
                <w:kern w:val="0"/>
                <w:sz w:val="18"/>
                <w:szCs w:val="18"/>
              </w:rPr>
            </w:pPr>
            <w:r>
              <w:rPr>
                <w:rFonts w:hint="eastAsia"/>
                <w:color w:val="000000"/>
                <w:kern w:val="0"/>
                <w:sz w:val="18"/>
                <w:szCs w:val="18"/>
              </w:rPr>
              <w:t xml:space="preserve">       第二十五条  城市桥梁产权人或者委托管理人有下列行为之一的，由城市人民政府市政工程设施行政主管部门责令限期改正，并可处1000元以上5000元以下的罚款：</w:t>
            </w:r>
          </w:p>
          <w:p w14:paraId="034466E1">
            <w:pPr>
              <w:spacing w:line="320" w:lineRule="exact"/>
              <w:jc w:val="left"/>
              <w:rPr>
                <w:color w:val="000000"/>
                <w:kern w:val="0"/>
                <w:sz w:val="18"/>
                <w:szCs w:val="18"/>
              </w:rPr>
            </w:pPr>
            <w:r>
              <w:rPr>
                <w:rFonts w:hint="eastAsia"/>
                <w:color w:val="000000"/>
                <w:kern w:val="0"/>
                <w:sz w:val="18"/>
                <w:szCs w:val="18"/>
              </w:rPr>
              <w:t xml:space="preserve">     （一）未按照规定编制城市桥梁养护维修的中长期规划和年度计划，或者未经批准即实施的；</w:t>
            </w:r>
          </w:p>
        </w:tc>
      </w:tr>
      <w:tr w14:paraId="2DA2062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0D6567F">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2480A222">
            <w:pPr>
              <w:spacing w:line="320" w:lineRule="exact"/>
              <w:jc w:val="left"/>
              <w:rPr>
                <w:color w:val="000000"/>
                <w:kern w:val="0"/>
                <w:sz w:val="18"/>
                <w:szCs w:val="18"/>
              </w:rPr>
            </w:pPr>
            <w:r>
              <w:rPr>
                <w:rFonts w:hint="eastAsia"/>
                <w:color w:val="000000"/>
                <w:kern w:val="0"/>
                <w:sz w:val="18"/>
                <w:szCs w:val="18"/>
              </w:rPr>
              <w:t>罚款</w:t>
            </w:r>
          </w:p>
        </w:tc>
      </w:tr>
      <w:tr w14:paraId="4BE9BE74">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CB2F074">
            <w:pPr>
              <w:spacing w:line="320" w:lineRule="exact"/>
              <w:jc w:val="center"/>
              <w:rPr>
                <w:color w:val="000000"/>
                <w:kern w:val="0"/>
                <w:sz w:val="18"/>
                <w:szCs w:val="18"/>
              </w:rPr>
            </w:pPr>
            <w:r>
              <w:rPr>
                <w:rFonts w:hint="eastAsia"/>
                <w:color w:val="000000"/>
                <w:kern w:val="0"/>
                <w:sz w:val="18"/>
                <w:szCs w:val="18"/>
              </w:rPr>
              <w:t>裁量基准</w:t>
            </w:r>
          </w:p>
        </w:tc>
      </w:tr>
      <w:tr w14:paraId="555D8525">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2A50B9C1">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15A00B5">
            <w:pPr>
              <w:spacing w:line="320" w:lineRule="exact"/>
              <w:jc w:val="left"/>
              <w:rPr>
                <w:color w:val="000000"/>
                <w:kern w:val="0"/>
                <w:sz w:val="18"/>
                <w:szCs w:val="18"/>
              </w:rPr>
            </w:pPr>
            <w:r>
              <w:rPr>
                <w:rFonts w:hint="eastAsia"/>
                <w:color w:val="000000"/>
                <w:kern w:val="0"/>
                <w:sz w:val="18"/>
                <w:szCs w:val="18"/>
              </w:rPr>
              <w:t>未按照规定编制规划和计划且尚未实施的</w:t>
            </w:r>
          </w:p>
        </w:tc>
        <w:tc>
          <w:tcPr>
            <w:tcW w:w="1080" w:type="dxa"/>
            <w:vMerge w:val="restart"/>
            <w:tcBorders>
              <w:top w:val="nil"/>
              <w:left w:val="single" w:color="auto" w:sz="4" w:space="0"/>
              <w:bottom w:val="single" w:color="auto" w:sz="4" w:space="0"/>
              <w:right w:val="single" w:color="auto" w:sz="4" w:space="0"/>
            </w:tcBorders>
            <w:vAlign w:val="center"/>
          </w:tcPr>
          <w:p w14:paraId="0F6F61CA">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6E7320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14:paraId="0C062F47">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E32DAF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B749CDE">
            <w:pPr>
              <w:spacing w:line="320" w:lineRule="exact"/>
              <w:jc w:val="left"/>
              <w:rPr>
                <w:color w:val="000000"/>
                <w:kern w:val="0"/>
                <w:sz w:val="18"/>
                <w:szCs w:val="18"/>
              </w:rPr>
            </w:pPr>
            <w:r>
              <w:rPr>
                <w:rFonts w:hint="eastAsia"/>
                <w:color w:val="000000"/>
                <w:kern w:val="0"/>
                <w:sz w:val="18"/>
                <w:szCs w:val="18"/>
              </w:rPr>
              <w:t>按照规定已编制规划和计划但未经批准即实施的</w:t>
            </w:r>
          </w:p>
        </w:tc>
        <w:tc>
          <w:tcPr>
            <w:tcW w:w="1080" w:type="dxa"/>
            <w:vMerge w:val="continue"/>
            <w:tcBorders>
              <w:top w:val="nil"/>
              <w:left w:val="single" w:color="auto" w:sz="4" w:space="0"/>
              <w:bottom w:val="single" w:color="auto" w:sz="4" w:space="0"/>
              <w:right w:val="single" w:color="auto" w:sz="4" w:space="0"/>
            </w:tcBorders>
            <w:vAlign w:val="center"/>
          </w:tcPr>
          <w:p w14:paraId="78EE7F0D">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D7317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4D00E097">
        <w:tblPrEx>
          <w:tblCellMar>
            <w:top w:w="0" w:type="dxa"/>
            <w:left w:w="108" w:type="dxa"/>
            <w:bottom w:w="0" w:type="dxa"/>
            <w:right w:w="108" w:type="dxa"/>
          </w:tblCellMar>
        </w:tblPrEx>
        <w:trPr>
          <w:trHeight w:val="480" w:hRule="atLeast"/>
        </w:trPr>
        <w:tc>
          <w:tcPr>
            <w:tcW w:w="1070" w:type="dxa"/>
            <w:vMerge w:val="continue"/>
            <w:tcBorders>
              <w:top w:val="nil"/>
              <w:left w:val="single" w:color="auto" w:sz="8" w:space="0"/>
              <w:bottom w:val="single" w:color="auto" w:sz="4" w:space="0"/>
              <w:right w:val="single" w:color="auto" w:sz="4" w:space="0"/>
            </w:tcBorders>
            <w:vAlign w:val="center"/>
          </w:tcPr>
          <w:p w14:paraId="1065BC4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31F4725">
            <w:pPr>
              <w:spacing w:line="320" w:lineRule="exact"/>
              <w:jc w:val="left"/>
              <w:rPr>
                <w:color w:val="000000"/>
                <w:kern w:val="0"/>
                <w:sz w:val="18"/>
                <w:szCs w:val="18"/>
              </w:rPr>
            </w:pPr>
            <w:r>
              <w:rPr>
                <w:rFonts w:hint="eastAsia"/>
                <w:color w:val="000000"/>
                <w:kern w:val="0"/>
                <w:sz w:val="18"/>
                <w:szCs w:val="18"/>
              </w:rPr>
              <w:t>未按照规定编制规划和计划但已实施的</w:t>
            </w:r>
          </w:p>
        </w:tc>
        <w:tc>
          <w:tcPr>
            <w:tcW w:w="1080" w:type="dxa"/>
            <w:vMerge w:val="continue"/>
            <w:tcBorders>
              <w:top w:val="nil"/>
              <w:left w:val="single" w:color="auto" w:sz="4" w:space="0"/>
              <w:bottom w:val="single" w:color="auto" w:sz="4" w:space="0"/>
              <w:right w:val="single" w:color="auto" w:sz="4" w:space="0"/>
            </w:tcBorders>
            <w:vAlign w:val="center"/>
          </w:tcPr>
          <w:p w14:paraId="4111D81A">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D84E33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6642560A"/>
    <w:p w14:paraId="42F9EA74"/>
    <w:p w14:paraId="005D83D3"/>
    <w:p w14:paraId="216C2C32"/>
    <w:p w14:paraId="1255CE5A"/>
    <w:p w14:paraId="00AAF82B"/>
    <w:p w14:paraId="0AD7A30D"/>
    <w:p w14:paraId="456ACC94"/>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5C260A2E">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3593DFA4">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3F77FA38">
            <w:pPr>
              <w:spacing w:line="320" w:lineRule="exact"/>
              <w:jc w:val="left"/>
              <w:rPr>
                <w:color w:val="000000"/>
                <w:kern w:val="0"/>
                <w:sz w:val="18"/>
                <w:szCs w:val="18"/>
              </w:rPr>
            </w:pPr>
            <w:r>
              <w:rPr>
                <w:rFonts w:eastAsia="仿宋_GB2312"/>
                <w:b/>
                <w:bCs/>
                <w:color w:val="000000"/>
                <w:kern w:val="0"/>
                <w:sz w:val="18"/>
                <w:szCs w:val="18"/>
              </w:rPr>
              <w:t>320217032000</w:t>
            </w:r>
          </w:p>
        </w:tc>
      </w:tr>
      <w:tr w14:paraId="40010873">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0843177">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2EAB19B1">
            <w:pPr>
              <w:spacing w:line="320" w:lineRule="exact"/>
              <w:jc w:val="left"/>
              <w:rPr>
                <w:color w:val="000000"/>
                <w:kern w:val="0"/>
                <w:sz w:val="18"/>
                <w:szCs w:val="18"/>
              </w:rPr>
            </w:pPr>
            <w:r>
              <w:rPr>
                <w:rFonts w:hint="eastAsia"/>
                <w:color w:val="000000"/>
                <w:kern w:val="0"/>
                <w:sz w:val="18"/>
                <w:szCs w:val="18"/>
              </w:rPr>
              <w:t>对未按照规定设置相应的标志，并保持其完好、清晰的处罚</w:t>
            </w:r>
          </w:p>
        </w:tc>
      </w:tr>
      <w:tr w14:paraId="3BD7CCDC">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5C5D045C">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058A9261">
            <w:pPr>
              <w:spacing w:line="320" w:lineRule="exact"/>
              <w:jc w:val="left"/>
              <w:rPr>
                <w:color w:val="000000"/>
                <w:kern w:val="0"/>
                <w:sz w:val="18"/>
                <w:szCs w:val="18"/>
              </w:rPr>
            </w:pPr>
            <w:r>
              <w:rPr>
                <w:rFonts w:hint="eastAsia"/>
                <w:color w:val="000000"/>
                <w:kern w:val="0"/>
                <w:sz w:val="18"/>
                <w:szCs w:val="18"/>
              </w:rPr>
              <w:t>【规章】《城市桥梁检测和养护维修管理办法》（建设部令第118号）</w:t>
            </w:r>
          </w:p>
          <w:p w14:paraId="1DCC9819">
            <w:pPr>
              <w:spacing w:line="320" w:lineRule="exact"/>
              <w:jc w:val="left"/>
              <w:rPr>
                <w:color w:val="000000"/>
                <w:kern w:val="0"/>
                <w:sz w:val="18"/>
                <w:szCs w:val="18"/>
              </w:rPr>
            </w:pPr>
            <w:r>
              <w:rPr>
                <w:rFonts w:hint="eastAsia"/>
                <w:color w:val="000000"/>
                <w:kern w:val="0"/>
                <w:sz w:val="18"/>
                <w:szCs w:val="18"/>
              </w:rPr>
              <w:t xml:space="preserve">        第十三条 城市桥梁产权人或者委托管理人应当按照有关规定，在城市桥梁上设置承载能力、限高等标志，并保持其完好、清晰。 </w:t>
            </w:r>
          </w:p>
          <w:p w14:paraId="5C25B0C6">
            <w:pPr>
              <w:spacing w:line="320" w:lineRule="exact"/>
              <w:jc w:val="left"/>
              <w:rPr>
                <w:color w:val="000000"/>
                <w:kern w:val="0"/>
                <w:sz w:val="18"/>
                <w:szCs w:val="18"/>
              </w:rPr>
            </w:pPr>
            <w:r>
              <w:rPr>
                <w:rFonts w:hint="eastAsia"/>
                <w:color w:val="000000"/>
                <w:kern w:val="0"/>
                <w:sz w:val="18"/>
                <w:szCs w:val="18"/>
              </w:rPr>
              <w:t xml:space="preserve">        第二十五条    城市桥梁产权人或者委托管理人有下列行为之一的，由城市人民政府市政工程设施行政主管部门责令限期改正，并可处1000元以上5000元以下的罚款：</w:t>
            </w:r>
          </w:p>
          <w:p w14:paraId="250C99B3">
            <w:pPr>
              <w:spacing w:line="320" w:lineRule="exact"/>
              <w:jc w:val="left"/>
              <w:rPr>
                <w:color w:val="000000"/>
                <w:kern w:val="0"/>
                <w:sz w:val="18"/>
                <w:szCs w:val="18"/>
              </w:rPr>
            </w:pPr>
            <w:r>
              <w:rPr>
                <w:rFonts w:hint="eastAsia"/>
                <w:color w:val="000000"/>
                <w:kern w:val="0"/>
                <w:sz w:val="18"/>
                <w:szCs w:val="18"/>
              </w:rPr>
              <w:t xml:space="preserve">      （二）未按照规定设置相应的标志，并保持其完好、清晰的；</w:t>
            </w:r>
          </w:p>
        </w:tc>
      </w:tr>
      <w:tr w14:paraId="4A4F26F2">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901E131">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3937F846">
            <w:pPr>
              <w:spacing w:line="320" w:lineRule="exact"/>
              <w:jc w:val="left"/>
              <w:rPr>
                <w:color w:val="000000"/>
                <w:kern w:val="0"/>
                <w:sz w:val="18"/>
                <w:szCs w:val="18"/>
              </w:rPr>
            </w:pPr>
            <w:r>
              <w:rPr>
                <w:rFonts w:hint="eastAsia"/>
                <w:color w:val="000000"/>
                <w:kern w:val="0"/>
                <w:sz w:val="18"/>
                <w:szCs w:val="18"/>
              </w:rPr>
              <w:t>罚款</w:t>
            </w:r>
          </w:p>
        </w:tc>
      </w:tr>
      <w:tr w14:paraId="1E3DDD39">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144163DA">
            <w:pPr>
              <w:spacing w:line="320" w:lineRule="exact"/>
              <w:jc w:val="center"/>
              <w:rPr>
                <w:color w:val="000000"/>
                <w:kern w:val="0"/>
                <w:sz w:val="18"/>
                <w:szCs w:val="18"/>
              </w:rPr>
            </w:pPr>
            <w:r>
              <w:rPr>
                <w:rFonts w:hint="eastAsia"/>
                <w:color w:val="000000"/>
                <w:kern w:val="0"/>
                <w:sz w:val="18"/>
                <w:szCs w:val="18"/>
              </w:rPr>
              <w:t>裁量基准</w:t>
            </w:r>
          </w:p>
        </w:tc>
      </w:tr>
      <w:tr w14:paraId="1CAC8F96">
        <w:tblPrEx>
          <w:tblCellMar>
            <w:top w:w="0" w:type="dxa"/>
            <w:left w:w="108" w:type="dxa"/>
            <w:bottom w:w="0" w:type="dxa"/>
            <w:right w:w="108" w:type="dxa"/>
          </w:tblCellMar>
        </w:tblPrEx>
        <w:trPr>
          <w:trHeight w:val="285" w:hRule="atLeast"/>
        </w:trPr>
        <w:tc>
          <w:tcPr>
            <w:tcW w:w="1070" w:type="dxa"/>
            <w:vMerge w:val="restart"/>
            <w:tcBorders>
              <w:left w:val="single" w:color="auto" w:sz="8" w:space="0"/>
              <w:right w:val="single" w:color="auto" w:sz="4" w:space="0"/>
            </w:tcBorders>
            <w:vAlign w:val="center"/>
          </w:tcPr>
          <w:p w14:paraId="5FA726AA">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72788F9">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restart"/>
            <w:tcBorders>
              <w:left w:val="single" w:color="auto" w:sz="4" w:space="0"/>
              <w:right w:val="single" w:color="auto" w:sz="4" w:space="0"/>
            </w:tcBorders>
            <w:vAlign w:val="center"/>
          </w:tcPr>
          <w:p w14:paraId="3DAD09BB">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98E547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14:paraId="24D7DAB3">
        <w:tblPrEx>
          <w:tblCellMar>
            <w:top w:w="0" w:type="dxa"/>
            <w:left w:w="108" w:type="dxa"/>
            <w:bottom w:w="0" w:type="dxa"/>
            <w:right w:w="108" w:type="dxa"/>
          </w:tblCellMar>
        </w:tblPrEx>
        <w:trPr>
          <w:trHeight w:val="240" w:hRule="atLeast"/>
        </w:trPr>
        <w:tc>
          <w:tcPr>
            <w:tcW w:w="1070" w:type="dxa"/>
            <w:vMerge w:val="continue"/>
            <w:tcBorders>
              <w:left w:val="single" w:color="auto" w:sz="8" w:space="0"/>
              <w:bottom w:val="single" w:color="auto" w:sz="4" w:space="0"/>
              <w:right w:val="single" w:color="auto" w:sz="4" w:space="0"/>
            </w:tcBorders>
            <w:vAlign w:val="center"/>
          </w:tcPr>
          <w:p w14:paraId="14E1E643">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9BE4D03">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val="continue"/>
            <w:tcBorders>
              <w:left w:val="single" w:color="auto" w:sz="4" w:space="0"/>
              <w:bottom w:val="single" w:color="auto" w:sz="4" w:space="0"/>
              <w:right w:val="single" w:color="auto" w:sz="4" w:space="0"/>
            </w:tcBorders>
            <w:vAlign w:val="center"/>
          </w:tcPr>
          <w:p w14:paraId="4CBA58AF">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2622C8F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7C05F9CE"/>
    <w:p w14:paraId="5EDE9F09"/>
    <w:p w14:paraId="0F8B3FDA"/>
    <w:p w14:paraId="749DB2EB"/>
    <w:p w14:paraId="6E52F068"/>
    <w:p w14:paraId="2902403D"/>
    <w:p w14:paraId="3AB66FFE"/>
    <w:p w14:paraId="1B804B38"/>
    <w:p w14:paraId="3C6EFB71"/>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39DC3CB7">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7ACBFE97">
            <w:pPr>
              <w:spacing w:line="24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single" w:color="auto" w:sz="4" w:space="0"/>
              <w:bottom w:val="single" w:color="auto" w:sz="4" w:space="0"/>
              <w:right w:val="single" w:color="auto" w:sz="8" w:space="0"/>
            </w:tcBorders>
            <w:vAlign w:val="center"/>
          </w:tcPr>
          <w:p w14:paraId="5AB22B51">
            <w:pPr>
              <w:spacing w:line="240" w:lineRule="exact"/>
              <w:jc w:val="left"/>
              <w:rPr>
                <w:rFonts w:eastAsia="仿宋_GB2312"/>
                <w:b/>
                <w:bCs/>
                <w:color w:val="000000"/>
                <w:kern w:val="0"/>
                <w:sz w:val="18"/>
                <w:szCs w:val="18"/>
              </w:rPr>
            </w:pPr>
            <w:r>
              <w:rPr>
                <w:rFonts w:eastAsia="仿宋_GB2312"/>
                <w:b/>
                <w:bCs/>
                <w:color w:val="000000"/>
                <w:kern w:val="0"/>
                <w:sz w:val="18"/>
                <w:szCs w:val="18"/>
              </w:rPr>
              <w:t>320217033000</w:t>
            </w:r>
            <w:r>
              <w:rPr>
                <w:rFonts w:hint="eastAsia" w:eastAsia="仿宋_GB2312"/>
                <w:b/>
                <w:bCs/>
                <w:color w:val="000000"/>
                <w:kern w:val="0"/>
                <w:sz w:val="18"/>
                <w:szCs w:val="18"/>
              </w:rPr>
              <w:t xml:space="preserve"> </w:t>
            </w:r>
          </w:p>
        </w:tc>
      </w:tr>
      <w:tr w14:paraId="389CB414">
        <w:tblPrEx>
          <w:tblCellMar>
            <w:top w:w="0" w:type="dxa"/>
            <w:left w:w="108" w:type="dxa"/>
            <w:bottom w:w="0" w:type="dxa"/>
            <w:right w:w="108" w:type="dxa"/>
          </w:tblCellMar>
        </w:tblPrEx>
        <w:trPr>
          <w:trHeight w:val="285" w:hRule="atLeast"/>
        </w:trPr>
        <w:tc>
          <w:tcPr>
            <w:tcW w:w="1040" w:type="dxa"/>
            <w:tcBorders>
              <w:top w:val="single" w:color="auto" w:sz="4" w:space="0"/>
              <w:left w:val="single" w:color="auto" w:sz="8" w:space="0"/>
              <w:bottom w:val="single" w:color="auto" w:sz="4" w:space="0"/>
              <w:right w:val="single" w:color="auto" w:sz="4" w:space="0"/>
            </w:tcBorders>
            <w:shd w:val="clear" w:color="auto" w:fill="FFFFFF"/>
            <w:vAlign w:val="center"/>
          </w:tcPr>
          <w:p w14:paraId="24F36342">
            <w:pPr>
              <w:spacing w:line="24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single" w:color="auto" w:sz="4" w:space="0"/>
              <w:bottom w:val="single" w:color="auto" w:sz="4" w:space="0"/>
              <w:right w:val="single" w:color="auto" w:sz="8" w:space="0"/>
            </w:tcBorders>
            <w:shd w:val="clear" w:color="auto" w:fill="FFFFFF"/>
            <w:vAlign w:val="center"/>
          </w:tcPr>
          <w:p w14:paraId="5FDB59B4">
            <w:pPr>
              <w:spacing w:line="240" w:lineRule="exact"/>
              <w:jc w:val="left"/>
              <w:rPr>
                <w:color w:val="000000"/>
                <w:kern w:val="0"/>
                <w:sz w:val="18"/>
                <w:szCs w:val="18"/>
              </w:rPr>
            </w:pPr>
            <w:r>
              <w:rPr>
                <w:rFonts w:hint="eastAsia"/>
                <w:color w:val="000000"/>
                <w:kern w:val="0"/>
                <w:sz w:val="18"/>
                <w:szCs w:val="18"/>
              </w:rPr>
              <w:t>对未取得施工许可证或者为规避办理施工许可证将工程项目分解后擅自施工的处罚</w:t>
            </w:r>
          </w:p>
        </w:tc>
      </w:tr>
      <w:tr w14:paraId="1A0221C5">
        <w:tblPrEx>
          <w:tblCellMar>
            <w:top w:w="0" w:type="dxa"/>
            <w:left w:w="108" w:type="dxa"/>
            <w:bottom w:w="0" w:type="dxa"/>
            <w:right w:w="108" w:type="dxa"/>
          </w:tblCellMar>
        </w:tblPrEx>
        <w:trPr>
          <w:trHeight w:val="910" w:hRule="atLeast"/>
        </w:trPr>
        <w:tc>
          <w:tcPr>
            <w:tcW w:w="1040" w:type="dxa"/>
            <w:tcBorders>
              <w:top w:val="single" w:color="auto" w:sz="4" w:space="0"/>
              <w:left w:val="single" w:color="auto" w:sz="8" w:space="0"/>
              <w:bottom w:val="single" w:color="auto" w:sz="4" w:space="0"/>
              <w:right w:val="single" w:color="auto" w:sz="4" w:space="0"/>
            </w:tcBorders>
            <w:shd w:val="clear" w:color="auto" w:fill="FFFFFF"/>
            <w:vAlign w:val="center"/>
          </w:tcPr>
          <w:p w14:paraId="02A93255">
            <w:pPr>
              <w:spacing w:line="24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single" w:color="auto" w:sz="4" w:space="0"/>
              <w:bottom w:val="single" w:color="auto" w:sz="4" w:space="0"/>
              <w:right w:val="single" w:color="auto" w:sz="8" w:space="0"/>
            </w:tcBorders>
            <w:shd w:val="clear" w:color="auto" w:fill="FFFFFF"/>
            <w:vAlign w:val="center"/>
          </w:tcPr>
          <w:p w14:paraId="4A6983D6">
            <w:pPr>
              <w:spacing w:line="240" w:lineRule="exact"/>
              <w:ind w:firstLine="180" w:firstLineChars="100"/>
              <w:jc w:val="left"/>
              <w:rPr>
                <w:color w:val="000000"/>
                <w:kern w:val="0"/>
                <w:sz w:val="18"/>
                <w:szCs w:val="18"/>
              </w:rPr>
            </w:pPr>
            <w:r>
              <w:rPr>
                <w:rFonts w:hint="eastAsia"/>
                <w:color w:val="000000"/>
                <w:kern w:val="0"/>
                <w:sz w:val="18"/>
                <w:szCs w:val="18"/>
              </w:rPr>
              <w:t>【法律】《中华人民共和国建筑法》</w:t>
            </w:r>
          </w:p>
          <w:p w14:paraId="41B33B03">
            <w:pPr>
              <w:spacing w:line="240" w:lineRule="exact"/>
              <w:ind w:firstLine="180" w:firstLineChars="100"/>
              <w:jc w:val="left"/>
              <w:rPr>
                <w:color w:val="000000"/>
                <w:kern w:val="0"/>
                <w:sz w:val="18"/>
                <w:szCs w:val="18"/>
              </w:rPr>
            </w:pPr>
            <w:r>
              <w:rPr>
                <w:rFonts w:hint="eastAsia"/>
                <w:color w:val="000000"/>
                <w:kern w:val="0"/>
                <w:sz w:val="18"/>
                <w:szCs w:val="18"/>
              </w:rPr>
              <w:t xml:space="preserve">    第七条　建筑工程开工前，建设单位应当按照国家有关规定向工程所在地县级以上人民政府建设行政主管部门申请领取施工许可证；但是，国务院建设行政主管部门确定的限额以下的小型工程除外。</w:t>
            </w:r>
          </w:p>
          <w:p w14:paraId="754941BB">
            <w:pPr>
              <w:spacing w:line="240" w:lineRule="exact"/>
              <w:ind w:firstLine="180" w:firstLineChars="100"/>
              <w:jc w:val="left"/>
              <w:rPr>
                <w:color w:val="000000"/>
                <w:kern w:val="0"/>
                <w:sz w:val="18"/>
                <w:szCs w:val="18"/>
              </w:rPr>
            </w:pPr>
            <w:r>
              <w:rPr>
                <w:rFonts w:hint="eastAsia"/>
                <w:color w:val="000000"/>
                <w:kern w:val="0"/>
                <w:sz w:val="18"/>
                <w:szCs w:val="18"/>
              </w:rPr>
              <w:t xml:space="preserve">    按照国务院规定的权限和程序批准开工报告的建筑工程，不再领取施工许可证。</w:t>
            </w:r>
          </w:p>
          <w:p w14:paraId="3842D1CA">
            <w:pPr>
              <w:spacing w:line="240" w:lineRule="exact"/>
              <w:ind w:firstLine="180" w:firstLineChars="100"/>
              <w:jc w:val="left"/>
              <w:rPr>
                <w:color w:val="000000"/>
                <w:kern w:val="0"/>
                <w:sz w:val="18"/>
                <w:szCs w:val="18"/>
              </w:rPr>
            </w:pPr>
            <w:r>
              <w:rPr>
                <w:rFonts w:hint="eastAsia"/>
                <w:color w:val="000000"/>
                <w:kern w:val="0"/>
                <w:sz w:val="18"/>
                <w:szCs w:val="18"/>
              </w:rPr>
              <w:t>【行政法规】《建设工程质量管理条例》（国务院令第279号，根据中华人民共和国国务院令第714号修改）</w:t>
            </w:r>
          </w:p>
          <w:p w14:paraId="432E3F80">
            <w:pPr>
              <w:spacing w:line="240" w:lineRule="exact"/>
              <w:ind w:firstLine="180" w:firstLineChars="100"/>
              <w:jc w:val="left"/>
              <w:rPr>
                <w:color w:val="000000"/>
                <w:kern w:val="0"/>
                <w:sz w:val="18"/>
                <w:szCs w:val="18"/>
              </w:rPr>
            </w:pPr>
            <w:r>
              <w:rPr>
                <w:rFonts w:hint="eastAsia"/>
                <w:color w:val="000000"/>
                <w:kern w:val="0"/>
                <w:sz w:val="18"/>
                <w:szCs w:val="18"/>
              </w:rPr>
              <w:t xml:space="preserve">    第十三条 建设单位在开工前，应当按照国家有关规定办理工程质量监督手续，工程质量监督手续可以与施工许可证或者开工报告合并办理。</w:t>
            </w:r>
          </w:p>
          <w:p w14:paraId="60BBF680">
            <w:pPr>
              <w:spacing w:line="240" w:lineRule="exact"/>
              <w:ind w:firstLine="180" w:firstLineChars="100"/>
              <w:jc w:val="left"/>
              <w:rPr>
                <w:color w:val="000000"/>
                <w:kern w:val="0"/>
                <w:sz w:val="18"/>
                <w:szCs w:val="18"/>
              </w:rPr>
            </w:pPr>
            <w:r>
              <w:rPr>
                <w:rFonts w:hint="eastAsia"/>
                <w:color w:val="000000"/>
                <w:kern w:val="0"/>
                <w:sz w:val="18"/>
                <w:szCs w:val="18"/>
              </w:rPr>
              <w:t xml:space="preserve">    第五十七条 违反本条例规定，建设单位未取得施工许可证或者开工报告未经批准，擅自施工的，责令停止施工，限期改正，处工程合同价款1％以上2％以下的罚款。 </w:t>
            </w:r>
          </w:p>
          <w:p w14:paraId="33F7FE28">
            <w:pPr>
              <w:spacing w:line="240" w:lineRule="exact"/>
              <w:ind w:firstLine="180" w:firstLineChars="100"/>
              <w:jc w:val="left"/>
              <w:rPr>
                <w:color w:val="000000"/>
                <w:kern w:val="0"/>
                <w:sz w:val="18"/>
                <w:szCs w:val="18"/>
              </w:rPr>
            </w:pPr>
            <w:r>
              <w:rPr>
                <w:rFonts w:hint="eastAsia"/>
                <w:color w:val="000000"/>
                <w:kern w:val="0"/>
                <w:sz w:val="18"/>
                <w:szCs w:val="18"/>
              </w:rPr>
              <w:t xml:space="preserve">    第七十三条 依照本条例规定，给予单位罚款处罚的，对单位直接负责的主管人员和其他直接责任人员处单位罚款数额５％以上１０％以下的罚款。</w:t>
            </w:r>
          </w:p>
          <w:p w14:paraId="68B76D7C">
            <w:pPr>
              <w:spacing w:line="240" w:lineRule="exact"/>
              <w:ind w:firstLine="180" w:firstLineChars="100"/>
              <w:jc w:val="left"/>
              <w:rPr>
                <w:color w:val="000000"/>
                <w:kern w:val="0"/>
                <w:sz w:val="18"/>
                <w:szCs w:val="18"/>
              </w:rPr>
            </w:pPr>
            <w:r>
              <w:rPr>
                <w:rFonts w:hint="eastAsia"/>
                <w:color w:val="000000"/>
                <w:kern w:val="0"/>
                <w:sz w:val="18"/>
                <w:szCs w:val="18"/>
              </w:rPr>
              <w:t xml:space="preserve">    第七十五条第一款  本条例规定的责令停业整顿、降低资质等级和吊销资质证书的行政处罚，由颁发资质证书的机关决定；其他行政处罚，由建设行政主管部门或者其他有关部门依照法定职权决定。</w:t>
            </w:r>
          </w:p>
          <w:p w14:paraId="62663ED8">
            <w:pPr>
              <w:spacing w:line="240" w:lineRule="exact"/>
              <w:ind w:firstLine="180" w:firstLineChars="100"/>
              <w:jc w:val="left"/>
              <w:rPr>
                <w:color w:val="000000"/>
                <w:kern w:val="0"/>
                <w:sz w:val="18"/>
                <w:szCs w:val="18"/>
              </w:rPr>
            </w:pPr>
            <w:r>
              <w:rPr>
                <w:rFonts w:hint="eastAsia"/>
                <w:color w:val="000000"/>
                <w:kern w:val="0"/>
                <w:sz w:val="18"/>
                <w:szCs w:val="18"/>
              </w:rPr>
              <w:t>【规章】《建筑工程施工许可管理办法》（住房和城乡建设部令第18号）</w:t>
            </w:r>
          </w:p>
          <w:p w14:paraId="2C0FD6C8">
            <w:pPr>
              <w:spacing w:line="240" w:lineRule="exact"/>
              <w:ind w:firstLine="180" w:firstLineChars="100"/>
              <w:jc w:val="left"/>
              <w:rPr>
                <w:color w:val="000000"/>
                <w:kern w:val="0"/>
                <w:sz w:val="18"/>
                <w:szCs w:val="18"/>
              </w:rPr>
            </w:pPr>
            <w:r>
              <w:rPr>
                <w:rFonts w:hint="eastAsia"/>
                <w:color w:val="000000"/>
                <w:kern w:val="0"/>
                <w:sz w:val="18"/>
                <w:szCs w:val="18"/>
              </w:rPr>
              <w:t xml:space="preserve">    第三条第二款 任何单位和个人不得将应该申请领取施工许可证的工程项目分解为若干限额以下的工程项目，规避申请领取施工许可证。</w:t>
            </w:r>
          </w:p>
          <w:p w14:paraId="368954B4">
            <w:pPr>
              <w:spacing w:line="240" w:lineRule="exact"/>
              <w:ind w:firstLine="180" w:firstLineChars="100"/>
              <w:jc w:val="left"/>
              <w:rPr>
                <w:color w:val="000000"/>
                <w:kern w:val="0"/>
                <w:sz w:val="18"/>
                <w:szCs w:val="18"/>
              </w:rPr>
            </w:pPr>
            <w:r>
              <w:rPr>
                <w:rFonts w:hint="eastAsia"/>
                <w:color w:val="000000"/>
                <w:kern w:val="0"/>
                <w:sz w:val="18"/>
                <w:szCs w:val="18"/>
              </w:rPr>
              <w:t xml:space="preserve">    第十二条　对于未取得施工许可证或者为规避办理施工许可证将工程项目分解后擅自施工的，由有管辖权的发证机关责令停止施工，限期改正，对建设单位处工程合同价款1%以上2%以下罚款；对施工单位处3万元以下罚款。</w:t>
            </w:r>
          </w:p>
          <w:p w14:paraId="2E6D2A39">
            <w:pPr>
              <w:spacing w:line="240" w:lineRule="exact"/>
              <w:ind w:firstLine="180" w:firstLineChars="100"/>
              <w:jc w:val="left"/>
              <w:rPr>
                <w:color w:val="000000"/>
                <w:kern w:val="0"/>
                <w:sz w:val="18"/>
                <w:szCs w:val="18"/>
              </w:rPr>
            </w:pPr>
            <w:r>
              <w:rPr>
                <w:rFonts w:hint="eastAsia"/>
                <w:color w:val="000000"/>
                <w:kern w:val="0"/>
                <w:sz w:val="18"/>
                <w:szCs w:val="18"/>
              </w:rPr>
              <w:t xml:space="preserve">    第十五条　依照本办法规定，给予单位罚款处罚的，对单位直接负责的主管人员和其他直接责任人员处单位罚款数额5%以上10%以下罚款。</w:t>
            </w:r>
          </w:p>
          <w:p w14:paraId="160E47CB">
            <w:pPr>
              <w:spacing w:line="240" w:lineRule="exact"/>
              <w:ind w:firstLine="180" w:firstLineChars="100"/>
              <w:jc w:val="left"/>
              <w:rPr>
                <w:color w:val="000000"/>
                <w:kern w:val="0"/>
                <w:sz w:val="18"/>
                <w:szCs w:val="18"/>
              </w:rPr>
            </w:pPr>
            <w:r>
              <w:rPr>
                <w:rFonts w:hint="eastAsia"/>
                <w:color w:val="000000"/>
                <w:kern w:val="0"/>
                <w:sz w:val="18"/>
                <w:szCs w:val="18"/>
              </w:rPr>
              <w:t>　　单位及相关责任人受到处罚的，作为不良行为记录予以通报。</w:t>
            </w:r>
          </w:p>
          <w:p w14:paraId="5097E7E6">
            <w:pPr>
              <w:spacing w:line="240" w:lineRule="exact"/>
              <w:ind w:firstLine="180" w:firstLineChars="100"/>
              <w:jc w:val="left"/>
              <w:rPr>
                <w:color w:val="000000"/>
                <w:kern w:val="0"/>
                <w:sz w:val="18"/>
                <w:szCs w:val="18"/>
              </w:rPr>
            </w:pPr>
            <w:r>
              <w:rPr>
                <w:rFonts w:hint="eastAsia"/>
                <w:color w:val="000000"/>
                <w:kern w:val="0"/>
                <w:sz w:val="18"/>
                <w:szCs w:val="18"/>
              </w:rPr>
              <w:t>【规章】《建筑业企业资质管理规定》（住房和城乡建设部令第22号）</w:t>
            </w:r>
          </w:p>
          <w:p w14:paraId="7D05466A">
            <w:pPr>
              <w:spacing w:line="240" w:lineRule="exact"/>
              <w:ind w:firstLine="180" w:firstLineChars="100"/>
              <w:jc w:val="left"/>
              <w:rPr>
                <w:color w:val="000000"/>
                <w:kern w:val="0"/>
                <w:sz w:val="18"/>
                <w:szCs w:val="18"/>
              </w:rPr>
            </w:pPr>
            <w:r>
              <w:rPr>
                <w:rFonts w:hint="eastAsia"/>
                <w:color w:val="000000"/>
                <w:kern w:val="0"/>
                <w:sz w:val="18"/>
                <w:szCs w:val="18"/>
              </w:rPr>
              <w:t xml:space="preserve">    第二十三条　企业申请建筑业企业资质升级、资质增项，在申请之日起前一年至资质许可决定作出前，有下列情形之一的，资质许可机关不予批准其建筑业企业资质升级申请和增项申请：</w:t>
            </w:r>
          </w:p>
          <w:p w14:paraId="3C7FFB8F">
            <w:pPr>
              <w:spacing w:line="240" w:lineRule="exact"/>
              <w:ind w:firstLine="180" w:firstLineChars="100"/>
              <w:jc w:val="left"/>
              <w:rPr>
                <w:color w:val="000000"/>
                <w:kern w:val="0"/>
                <w:sz w:val="18"/>
                <w:szCs w:val="18"/>
              </w:rPr>
            </w:pPr>
            <w:r>
              <w:rPr>
                <w:rFonts w:hint="eastAsia"/>
                <w:color w:val="000000"/>
                <w:kern w:val="0"/>
                <w:sz w:val="18"/>
                <w:szCs w:val="18"/>
              </w:rPr>
              <w:t xml:space="preserve">    （三）未取得施工许可证擅自施工的；</w:t>
            </w:r>
          </w:p>
          <w:p w14:paraId="6915ED34">
            <w:pPr>
              <w:spacing w:line="240" w:lineRule="exact"/>
              <w:ind w:firstLine="180" w:firstLineChars="100"/>
              <w:jc w:val="left"/>
              <w:rPr>
                <w:color w:val="000000"/>
                <w:kern w:val="0"/>
                <w:sz w:val="18"/>
                <w:szCs w:val="18"/>
              </w:rPr>
            </w:pPr>
            <w:r>
              <w:rPr>
                <w:rFonts w:hint="eastAsia"/>
                <w:color w:val="000000"/>
                <w:kern w:val="0"/>
                <w:sz w:val="18"/>
                <w:szCs w:val="18"/>
              </w:rPr>
              <w:t xml:space="preserve">    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p w14:paraId="7EC3059B">
            <w:pPr>
              <w:spacing w:line="240" w:lineRule="exact"/>
              <w:jc w:val="left"/>
              <w:rPr>
                <w:color w:val="000000"/>
                <w:kern w:val="0"/>
                <w:sz w:val="18"/>
                <w:szCs w:val="18"/>
              </w:rPr>
            </w:pPr>
            <w:r>
              <w:rPr>
                <w:rFonts w:hint="eastAsia"/>
                <w:color w:val="000000"/>
                <w:kern w:val="0"/>
                <w:sz w:val="18"/>
                <w:szCs w:val="18"/>
              </w:rPr>
              <w:t>【规范性文件】《关于印发&lt;江苏省工程建设项目审批事项清单&gt;的通知》（苏工改组〔2019〕1号）附件：江苏省工程建设项目审批事项清单：将“工程质量监督手续”、“建设工程安全监管手续”、“人防工程质量监督1000483000”事项并入“建筑工程施工许可证的发放”。</w:t>
            </w:r>
          </w:p>
        </w:tc>
      </w:tr>
      <w:tr w14:paraId="5B74167A">
        <w:tblPrEx>
          <w:tblCellMar>
            <w:top w:w="0" w:type="dxa"/>
            <w:left w:w="108" w:type="dxa"/>
            <w:bottom w:w="0" w:type="dxa"/>
            <w:right w:w="108" w:type="dxa"/>
          </w:tblCellMar>
        </w:tblPrEx>
        <w:trPr>
          <w:trHeight w:val="910" w:hRule="atLeast"/>
        </w:trPr>
        <w:tc>
          <w:tcPr>
            <w:tcW w:w="1040" w:type="dxa"/>
            <w:tcBorders>
              <w:top w:val="single" w:color="auto" w:sz="4" w:space="0"/>
              <w:left w:val="single" w:color="auto" w:sz="8" w:space="0"/>
              <w:bottom w:val="single" w:color="auto" w:sz="4" w:space="0"/>
              <w:right w:val="single" w:color="auto" w:sz="4" w:space="0"/>
            </w:tcBorders>
            <w:shd w:val="clear" w:color="auto" w:fill="FFFFFF"/>
            <w:vAlign w:val="center"/>
          </w:tcPr>
          <w:p w14:paraId="66437B2F">
            <w:pPr>
              <w:spacing w:line="24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single" w:color="auto" w:sz="4" w:space="0"/>
              <w:bottom w:val="single" w:color="auto" w:sz="4" w:space="0"/>
              <w:right w:val="single" w:color="auto" w:sz="8" w:space="0"/>
            </w:tcBorders>
            <w:shd w:val="clear" w:color="auto" w:fill="FFFFFF"/>
            <w:vAlign w:val="center"/>
          </w:tcPr>
          <w:p w14:paraId="1279A203">
            <w:pPr>
              <w:spacing w:line="240" w:lineRule="exact"/>
              <w:ind w:firstLine="180" w:firstLineChars="100"/>
              <w:jc w:val="left"/>
              <w:rPr>
                <w:color w:val="000000"/>
                <w:kern w:val="0"/>
                <w:sz w:val="18"/>
                <w:szCs w:val="18"/>
              </w:rPr>
            </w:pPr>
            <w:r>
              <w:rPr>
                <w:rFonts w:hint="eastAsia"/>
                <w:color w:val="000000"/>
                <w:kern w:val="0"/>
                <w:sz w:val="18"/>
                <w:szCs w:val="18"/>
              </w:rPr>
              <w:t>警告，责令停止施工，限期改正，罚款</w:t>
            </w:r>
            <w:r>
              <w:rPr>
                <w:color w:val="000000"/>
                <w:kern w:val="0"/>
                <w:sz w:val="18"/>
                <w:szCs w:val="18"/>
              </w:rPr>
              <w:t xml:space="preserve">  </w:t>
            </w:r>
            <w:r>
              <w:rPr>
                <w:rFonts w:hint="eastAsia"/>
                <w:color w:val="000000"/>
                <w:kern w:val="0"/>
                <w:sz w:val="18"/>
                <w:szCs w:val="18"/>
              </w:rPr>
              <w:t>　</w:t>
            </w:r>
          </w:p>
        </w:tc>
      </w:tr>
      <w:tr w14:paraId="28D2E2B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shd w:val="clear" w:color="auto" w:fill="FFFFFF"/>
            <w:vAlign w:val="center"/>
          </w:tcPr>
          <w:p w14:paraId="3CDCD10A">
            <w:pPr>
              <w:spacing w:line="300" w:lineRule="exact"/>
              <w:jc w:val="center"/>
              <w:rPr>
                <w:color w:val="000000"/>
                <w:kern w:val="0"/>
                <w:sz w:val="18"/>
                <w:szCs w:val="18"/>
              </w:rPr>
            </w:pPr>
            <w:r>
              <w:rPr>
                <w:rFonts w:hint="eastAsia"/>
                <w:color w:val="000000"/>
                <w:kern w:val="0"/>
                <w:sz w:val="18"/>
                <w:szCs w:val="18"/>
              </w:rPr>
              <w:t>裁量基准</w:t>
            </w:r>
          </w:p>
        </w:tc>
      </w:tr>
      <w:tr w14:paraId="3CF1222C">
        <w:tblPrEx>
          <w:tblCellMar>
            <w:top w:w="0" w:type="dxa"/>
            <w:left w:w="108" w:type="dxa"/>
            <w:bottom w:w="0" w:type="dxa"/>
            <w:right w:w="108" w:type="dxa"/>
          </w:tblCellMar>
        </w:tblPrEx>
        <w:trPr>
          <w:trHeight w:val="720" w:hRule="atLeast"/>
        </w:trPr>
        <w:tc>
          <w:tcPr>
            <w:tcW w:w="1040" w:type="dxa"/>
            <w:vMerge w:val="restart"/>
            <w:tcBorders>
              <w:top w:val="single" w:color="auto" w:sz="4" w:space="0"/>
              <w:left w:val="single" w:color="auto" w:sz="8" w:space="0"/>
              <w:right w:val="single" w:color="auto" w:sz="4" w:space="0"/>
            </w:tcBorders>
            <w:shd w:val="clear" w:color="auto" w:fill="FFFFFF"/>
            <w:vAlign w:val="center"/>
          </w:tcPr>
          <w:p w14:paraId="07007E57">
            <w:pPr>
              <w:spacing w:line="30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shd w:val="clear" w:color="auto" w:fill="FFFFFF"/>
            <w:vAlign w:val="center"/>
          </w:tcPr>
          <w:p w14:paraId="691446C8">
            <w:pPr>
              <w:spacing w:line="300" w:lineRule="exact"/>
              <w:jc w:val="left"/>
              <w:rPr>
                <w:color w:val="000000"/>
                <w:kern w:val="0"/>
                <w:sz w:val="18"/>
                <w:szCs w:val="18"/>
              </w:rPr>
            </w:pPr>
            <w:r>
              <w:rPr>
                <w:rFonts w:hint="eastAsia"/>
                <w:color w:val="000000"/>
                <w:kern w:val="0"/>
                <w:sz w:val="18"/>
                <w:szCs w:val="18"/>
              </w:rPr>
              <w:t>已办理部分前期手续，开工时间少于一个月的</w:t>
            </w:r>
          </w:p>
        </w:tc>
        <w:tc>
          <w:tcPr>
            <w:tcW w:w="1076" w:type="dxa"/>
            <w:vMerge w:val="restart"/>
            <w:tcBorders>
              <w:top w:val="single" w:color="auto" w:sz="4" w:space="0"/>
              <w:left w:val="single" w:color="auto" w:sz="4" w:space="0"/>
              <w:right w:val="single" w:color="auto" w:sz="4" w:space="0"/>
            </w:tcBorders>
            <w:shd w:val="clear" w:color="auto" w:fill="FFFFFF"/>
            <w:vAlign w:val="center"/>
          </w:tcPr>
          <w:p w14:paraId="08E49BC5">
            <w:pPr>
              <w:spacing w:line="30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single" w:color="auto" w:sz="4" w:space="0"/>
              <w:bottom w:val="single" w:color="auto" w:sz="4" w:space="0"/>
              <w:right w:val="single" w:color="auto" w:sz="8" w:space="0"/>
            </w:tcBorders>
            <w:shd w:val="clear" w:color="auto" w:fill="FFFFFF"/>
            <w:vAlign w:val="center"/>
          </w:tcPr>
          <w:p w14:paraId="7EB56A6D">
            <w:pPr>
              <w:spacing w:line="300" w:lineRule="exact"/>
              <w:jc w:val="left"/>
              <w:rPr>
                <w:color w:val="000000"/>
                <w:kern w:val="0"/>
                <w:sz w:val="18"/>
                <w:szCs w:val="18"/>
              </w:rPr>
            </w:pPr>
            <w:r>
              <w:rPr>
                <w:rFonts w:hint="eastAsia"/>
                <w:color w:val="000000"/>
                <w:kern w:val="0"/>
                <w:sz w:val="18"/>
                <w:szCs w:val="18"/>
              </w:rPr>
              <w:t>对建设单位：工程合同价款</w:t>
            </w:r>
            <w:r>
              <w:rPr>
                <w:color w:val="000000"/>
                <w:kern w:val="0"/>
                <w:sz w:val="18"/>
                <w:szCs w:val="18"/>
              </w:rPr>
              <w:t>1%</w:t>
            </w:r>
            <w:r>
              <w:rPr>
                <w:rFonts w:hint="eastAsia"/>
                <w:color w:val="000000"/>
                <w:kern w:val="0"/>
                <w:sz w:val="18"/>
                <w:szCs w:val="18"/>
              </w:rPr>
              <w:t>以上</w:t>
            </w:r>
            <w:r>
              <w:rPr>
                <w:color w:val="000000"/>
                <w:kern w:val="0"/>
                <w:sz w:val="18"/>
                <w:szCs w:val="18"/>
              </w:rPr>
              <w:t>1.3%</w:t>
            </w:r>
            <w:r>
              <w:rPr>
                <w:rFonts w:hint="eastAsia"/>
                <w:color w:val="000000"/>
                <w:kern w:val="0"/>
                <w:sz w:val="18"/>
                <w:szCs w:val="18"/>
              </w:rPr>
              <w:t>以下罚款</w:t>
            </w:r>
          </w:p>
          <w:p w14:paraId="1716C768">
            <w:pPr>
              <w:spacing w:line="300" w:lineRule="exact"/>
              <w:jc w:val="left"/>
              <w:rPr>
                <w:color w:val="000000"/>
                <w:kern w:val="0"/>
                <w:sz w:val="18"/>
                <w:szCs w:val="18"/>
              </w:rPr>
            </w:pPr>
            <w:r>
              <w:rPr>
                <w:rFonts w:hint="eastAsia"/>
                <w:color w:val="000000"/>
                <w:kern w:val="0"/>
                <w:sz w:val="18"/>
                <w:szCs w:val="18"/>
              </w:rPr>
              <w:t>对施工单位：</w:t>
            </w:r>
            <w:r>
              <w:rPr>
                <w:color w:val="000000"/>
                <w:kern w:val="0"/>
                <w:sz w:val="18"/>
                <w:szCs w:val="18"/>
              </w:rPr>
              <w:t>1</w:t>
            </w:r>
            <w:r>
              <w:rPr>
                <w:rFonts w:hint="eastAsia"/>
                <w:color w:val="000000"/>
                <w:kern w:val="0"/>
                <w:sz w:val="18"/>
                <w:szCs w:val="18"/>
              </w:rPr>
              <w:t>万元以下罚款</w:t>
            </w:r>
          </w:p>
          <w:p w14:paraId="540A906B">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6BC75218">
        <w:tblPrEx>
          <w:tblCellMar>
            <w:top w:w="0" w:type="dxa"/>
            <w:left w:w="108" w:type="dxa"/>
            <w:bottom w:w="0" w:type="dxa"/>
            <w:right w:w="108" w:type="dxa"/>
          </w:tblCellMar>
        </w:tblPrEx>
        <w:trPr>
          <w:trHeight w:val="720" w:hRule="atLeast"/>
        </w:trPr>
        <w:tc>
          <w:tcPr>
            <w:tcW w:w="1040" w:type="dxa"/>
            <w:vMerge w:val="continue"/>
            <w:tcBorders>
              <w:left w:val="single" w:color="auto" w:sz="8" w:space="0"/>
              <w:right w:val="single" w:color="auto" w:sz="4" w:space="0"/>
            </w:tcBorders>
            <w:shd w:val="clear" w:color="auto" w:fill="auto"/>
            <w:vAlign w:val="center"/>
          </w:tcPr>
          <w:p w14:paraId="6F436F83">
            <w:pPr>
              <w:spacing w:line="30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shd w:val="clear" w:color="auto" w:fill="FFFFFF"/>
            <w:vAlign w:val="center"/>
          </w:tcPr>
          <w:p w14:paraId="7A24C42D">
            <w:pPr>
              <w:spacing w:line="300" w:lineRule="exact"/>
              <w:jc w:val="left"/>
              <w:rPr>
                <w:color w:val="000000"/>
                <w:kern w:val="0"/>
                <w:sz w:val="18"/>
                <w:szCs w:val="18"/>
              </w:rPr>
            </w:pPr>
            <w:r>
              <w:rPr>
                <w:rFonts w:hint="eastAsia"/>
                <w:color w:val="000000"/>
                <w:kern w:val="0"/>
                <w:sz w:val="18"/>
                <w:szCs w:val="18"/>
              </w:rPr>
              <w:t>未办理前期手续，开工时间少于一个月的</w:t>
            </w:r>
          </w:p>
        </w:tc>
        <w:tc>
          <w:tcPr>
            <w:tcW w:w="1076" w:type="dxa"/>
            <w:vMerge w:val="continue"/>
            <w:tcBorders>
              <w:left w:val="single" w:color="auto" w:sz="4" w:space="0"/>
              <w:right w:val="single" w:color="auto" w:sz="4" w:space="0"/>
            </w:tcBorders>
            <w:shd w:val="clear" w:color="auto" w:fill="auto"/>
            <w:vAlign w:val="center"/>
          </w:tcPr>
          <w:p w14:paraId="76535564">
            <w:pPr>
              <w:spacing w:line="30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8" w:space="0"/>
            </w:tcBorders>
            <w:shd w:val="clear" w:color="auto" w:fill="FFFFFF"/>
            <w:vAlign w:val="center"/>
          </w:tcPr>
          <w:p w14:paraId="064FF900">
            <w:pPr>
              <w:spacing w:line="300" w:lineRule="exact"/>
              <w:jc w:val="left"/>
              <w:rPr>
                <w:color w:val="000000"/>
                <w:kern w:val="0"/>
                <w:sz w:val="18"/>
                <w:szCs w:val="18"/>
              </w:rPr>
            </w:pPr>
            <w:r>
              <w:rPr>
                <w:rFonts w:hint="eastAsia"/>
                <w:color w:val="000000"/>
                <w:kern w:val="0"/>
                <w:sz w:val="18"/>
                <w:szCs w:val="18"/>
              </w:rPr>
              <w:t>对建设单位：工程合同价款</w:t>
            </w:r>
            <w:r>
              <w:rPr>
                <w:color w:val="000000"/>
                <w:kern w:val="0"/>
                <w:sz w:val="18"/>
                <w:szCs w:val="18"/>
              </w:rPr>
              <w:t>1.3%</w:t>
            </w:r>
            <w:r>
              <w:rPr>
                <w:rFonts w:hint="eastAsia"/>
                <w:color w:val="000000"/>
                <w:kern w:val="0"/>
                <w:sz w:val="18"/>
                <w:szCs w:val="18"/>
              </w:rPr>
              <w:t>以上</w:t>
            </w:r>
            <w:r>
              <w:rPr>
                <w:color w:val="000000"/>
                <w:kern w:val="0"/>
                <w:sz w:val="18"/>
                <w:szCs w:val="18"/>
              </w:rPr>
              <w:t>1.5%</w:t>
            </w:r>
            <w:r>
              <w:rPr>
                <w:rFonts w:hint="eastAsia"/>
                <w:color w:val="000000"/>
                <w:kern w:val="0"/>
                <w:sz w:val="18"/>
                <w:szCs w:val="18"/>
              </w:rPr>
              <w:t>以下罚款</w:t>
            </w:r>
          </w:p>
          <w:p w14:paraId="5F92D26F">
            <w:pPr>
              <w:spacing w:line="300" w:lineRule="exact"/>
              <w:jc w:val="left"/>
              <w:rPr>
                <w:color w:val="000000"/>
                <w:kern w:val="0"/>
                <w:sz w:val="18"/>
                <w:szCs w:val="18"/>
              </w:rPr>
            </w:pPr>
            <w:r>
              <w:rPr>
                <w:rFonts w:hint="eastAsia"/>
                <w:color w:val="000000"/>
                <w:kern w:val="0"/>
                <w:sz w:val="18"/>
                <w:szCs w:val="18"/>
              </w:rPr>
              <w:t>对施工单位：</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561708D7">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14:paraId="67754C18">
        <w:tblPrEx>
          <w:tblCellMar>
            <w:top w:w="0" w:type="dxa"/>
            <w:left w:w="108" w:type="dxa"/>
            <w:bottom w:w="0" w:type="dxa"/>
            <w:right w:w="108" w:type="dxa"/>
          </w:tblCellMar>
        </w:tblPrEx>
        <w:trPr>
          <w:trHeight w:val="720" w:hRule="atLeast"/>
        </w:trPr>
        <w:tc>
          <w:tcPr>
            <w:tcW w:w="1040" w:type="dxa"/>
            <w:vMerge w:val="continue"/>
            <w:tcBorders>
              <w:left w:val="single" w:color="auto" w:sz="8" w:space="0"/>
              <w:right w:val="single" w:color="auto" w:sz="4" w:space="0"/>
            </w:tcBorders>
            <w:shd w:val="clear" w:color="auto" w:fill="auto"/>
            <w:vAlign w:val="center"/>
          </w:tcPr>
          <w:p w14:paraId="78A4D8C9">
            <w:pPr>
              <w:spacing w:line="30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shd w:val="clear" w:color="auto" w:fill="FFFFFF"/>
            <w:vAlign w:val="center"/>
          </w:tcPr>
          <w:p w14:paraId="7AD3FAA0">
            <w:pPr>
              <w:spacing w:line="300" w:lineRule="exact"/>
              <w:jc w:val="left"/>
              <w:rPr>
                <w:color w:val="000000"/>
                <w:kern w:val="0"/>
                <w:sz w:val="18"/>
                <w:szCs w:val="18"/>
              </w:rPr>
            </w:pPr>
            <w:r>
              <w:rPr>
                <w:rFonts w:hint="eastAsia"/>
                <w:color w:val="000000"/>
                <w:kern w:val="0"/>
                <w:sz w:val="18"/>
                <w:szCs w:val="18"/>
              </w:rPr>
              <w:t>已办理部分前期手续，开工时间超过一个月的</w:t>
            </w:r>
          </w:p>
        </w:tc>
        <w:tc>
          <w:tcPr>
            <w:tcW w:w="1076" w:type="dxa"/>
            <w:vMerge w:val="continue"/>
            <w:tcBorders>
              <w:left w:val="single" w:color="auto" w:sz="4" w:space="0"/>
              <w:right w:val="single" w:color="auto" w:sz="4" w:space="0"/>
            </w:tcBorders>
            <w:shd w:val="clear" w:color="auto" w:fill="auto"/>
            <w:vAlign w:val="center"/>
          </w:tcPr>
          <w:p w14:paraId="066B551E">
            <w:pPr>
              <w:spacing w:line="30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8" w:space="0"/>
            </w:tcBorders>
            <w:shd w:val="clear" w:color="auto" w:fill="FFFFFF"/>
            <w:vAlign w:val="center"/>
          </w:tcPr>
          <w:p w14:paraId="7A0910AB">
            <w:pPr>
              <w:spacing w:line="300" w:lineRule="exact"/>
              <w:jc w:val="left"/>
              <w:rPr>
                <w:color w:val="000000"/>
                <w:kern w:val="0"/>
                <w:sz w:val="18"/>
                <w:szCs w:val="18"/>
              </w:rPr>
            </w:pPr>
            <w:r>
              <w:rPr>
                <w:rFonts w:hint="eastAsia"/>
                <w:color w:val="000000"/>
                <w:kern w:val="0"/>
                <w:sz w:val="18"/>
                <w:szCs w:val="18"/>
              </w:rPr>
              <w:t>对建设单位：工程合同价款</w:t>
            </w:r>
            <w:r>
              <w:rPr>
                <w:color w:val="000000"/>
                <w:kern w:val="0"/>
                <w:sz w:val="18"/>
                <w:szCs w:val="18"/>
              </w:rPr>
              <w:t>1.5%</w:t>
            </w:r>
            <w:r>
              <w:rPr>
                <w:rFonts w:hint="eastAsia"/>
                <w:color w:val="000000"/>
                <w:kern w:val="0"/>
                <w:sz w:val="18"/>
                <w:szCs w:val="18"/>
              </w:rPr>
              <w:t>以上</w:t>
            </w:r>
            <w:r>
              <w:rPr>
                <w:color w:val="000000"/>
                <w:kern w:val="0"/>
                <w:sz w:val="18"/>
                <w:szCs w:val="18"/>
              </w:rPr>
              <w:t>1.8%</w:t>
            </w:r>
            <w:r>
              <w:rPr>
                <w:rFonts w:hint="eastAsia"/>
                <w:color w:val="000000"/>
                <w:kern w:val="0"/>
                <w:sz w:val="18"/>
                <w:szCs w:val="18"/>
              </w:rPr>
              <w:t>以下罚款</w:t>
            </w:r>
          </w:p>
          <w:p w14:paraId="78EC5B25">
            <w:pPr>
              <w:spacing w:line="300" w:lineRule="exact"/>
              <w:jc w:val="left"/>
              <w:rPr>
                <w:color w:val="000000"/>
                <w:kern w:val="0"/>
                <w:sz w:val="18"/>
                <w:szCs w:val="18"/>
              </w:rPr>
            </w:pPr>
            <w:r>
              <w:rPr>
                <w:rFonts w:hint="eastAsia"/>
                <w:color w:val="000000"/>
                <w:kern w:val="0"/>
                <w:sz w:val="18"/>
                <w:szCs w:val="18"/>
              </w:rPr>
              <w:t>对施工单位：</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2ACED401">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0872E70A">
        <w:tblPrEx>
          <w:tblCellMar>
            <w:top w:w="0" w:type="dxa"/>
            <w:left w:w="108" w:type="dxa"/>
            <w:bottom w:w="0" w:type="dxa"/>
            <w:right w:w="108" w:type="dxa"/>
          </w:tblCellMar>
        </w:tblPrEx>
        <w:trPr>
          <w:trHeight w:val="720" w:hRule="atLeast"/>
        </w:trPr>
        <w:tc>
          <w:tcPr>
            <w:tcW w:w="1040" w:type="dxa"/>
            <w:vMerge w:val="continue"/>
            <w:tcBorders>
              <w:left w:val="single" w:color="auto" w:sz="8" w:space="0"/>
              <w:right w:val="single" w:color="auto" w:sz="4" w:space="0"/>
            </w:tcBorders>
            <w:shd w:val="clear" w:color="auto" w:fill="auto"/>
            <w:vAlign w:val="center"/>
          </w:tcPr>
          <w:p w14:paraId="06CD7E50">
            <w:pPr>
              <w:spacing w:line="30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shd w:val="clear" w:color="auto" w:fill="FFFFFF"/>
            <w:vAlign w:val="center"/>
          </w:tcPr>
          <w:p w14:paraId="439231A2">
            <w:pPr>
              <w:spacing w:line="300" w:lineRule="exact"/>
              <w:jc w:val="left"/>
              <w:rPr>
                <w:color w:val="000000"/>
                <w:kern w:val="0"/>
                <w:sz w:val="18"/>
                <w:szCs w:val="18"/>
              </w:rPr>
            </w:pPr>
            <w:r>
              <w:rPr>
                <w:rFonts w:hint="eastAsia"/>
                <w:color w:val="000000"/>
                <w:kern w:val="0"/>
                <w:sz w:val="18"/>
                <w:szCs w:val="18"/>
              </w:rPr>
              <w:t>未办理前期手续，开工时间超过一个月的</w:t>
            </w:r>
          </w:p>
        </w:tc>
        <w:tc>
          <w:tcPr>
            <w:tcW w:w="1076" w:type="dxa"/>
            <w:vMerge w:val="continue"/>
            <w:tcBorders>
              <w:left w:val="single" w:color="auto" w:sz="4" w:space="0"/>
              <w:right w:val="single" w:color="auto" w:sz="4" w:space="0"/>
            </w:tcBorders>
            <w:shd w:val="clear" w:color="auto" w:fill="auto"/>
            <w:vAlign w:val="center"/>
          </w:tcPr>
          <w:p w14:paraId="01D1EBDF">
            <w:pPr>
              <w:spacing w:line="30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8" w:space="0"/>
            </w:tcBorders>
            <w:shd w:val="clear" w:color="auto" w:fill="FFFFFF"/>
            <w:vAlign w:val="center"/>
          </w:tcPr>
          <w:p w14:paraId="385D12B1">
            <w:pPr>
              <w:spacing w:line="300" w:lineRule="exact"/>
              <w:jc w:val="left"/>
              <w:rPr>
                <w:color w:val="000000"/>
                <w:kern w:val="0"/>
                <w:sz w:val="18"/>
                <w:szCs w:val="18"/>
              </w:rPr>
            </w:pPr>
            <w:r>
              <w:rPr>
                <w:rFonts w:hint="eastAsia"/>
                <w:color w:val="000000"/>
                <w:kern w:val="0"/>
                <w:sz w:val="18"/>
                <w:szCs w:val="18"/>
              </w:rPr>
              <w:t>对建设单位：工程合同价款</w:t>
            </w:r>
            <w:r>
              <w:rPr>
                <w:color w:val="000000"/>
                <w:kern w:val="0"/>
                <w:sz w:val="18"/>
                <w:szCs w:val="18"/>
              </w:rPr>
              <w:t>1.8%</w:t>
            </w:r>
            <w:r>
              <w:rPr>
                <w:rFonts w:hint="eastAsia"/>
                <w:color w:val="000000"/>
                <w:kern w:val="0"/>
                <w:sz w:val="18"/>
                <w:szCs w:val="18"/>
              </w:rPr>
              <w:t>以上</w:t>
            </w:r>
            <w:r>
              <w:rPr>
                <w:color w:val="000000"/>
                <w:kern w:val="0"/>
                <w:sz w:val="18"/>
                <w:szCs w:val="18"/>
              </w:rPr>
              <w:t>2%</w:t>
            </w:r>
            <w:r>
              <w:rPr>
                <w:rFonts w:hint="eastAsia"/>
                <w:color w:val="000000"/>
                <w:kern w:val="0"/>
                <w:sz w:val="18"/>
                <w:szCs w:val="18"/>
              </w:rPr>
              <w:t>以下罚款</w:t>
            </w:r>
          </w:p>
          <w:p w14:paraId="58D823B1">
            <w:pPr>
              <w:spacing w:line="300" w:lineRule="exact"/>
              <w:jc w:val="left"/>
              <w:rPr>
                <w:color w:val="000000"/>
                <w:kern w:val="0"/>
                <w:sz w:val="18"/>
                <w:szCs w:val="18"/>
              </w:rPr>
            </w:pPr>
            <w:r>
              <w:rPr>
                <w:rFonts w:hint="eastAsia"/>
                <w:color w:val="000000"/>
                <w:kern w:val="0"/>
                <w:sz w:val="18"/>
                <w:szCs w:val="18"/>
              </w:rPr>
              <w:t>对施工单位：</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14:paraId="67DCDECE">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14:paraId="4B6E1200">
        <w:tblPrEx>
          <w:tblCellMar>
            <w:top w:w="0" w:type="dxa"/>
            <w:left w:w="108" w:type="dxa"/>
            <w:bottom w:w="0" w:type="dxa"/>
            <w:right w:w="108" w:type="dxa"/>
          </w:tblCellMar>
        </w:tblPrEx>
        <w:trPr>
          <w:trHeight w:val="720" w:hRule="atLeast"/>
        </w:trPr>
        <w:tc>
          <w:tcPr>
            <w:tcW w:w="1040" w:type="dxa"/>
            <w:vMerge w:val="continue"/>
            <w:tcBorders>
              <w:left w:val="single" w:color="auto" w:sz="8" w:space="0"/>
              <w:bottom w:val="single" w:color="auto" w:sz="8" w:space="0"/>
              <w:right w:val="single" w:color="auto" w:sz="4" w:space="0"/>
            </w:tcBorders>
            <w:shd w:val="clear" w:color="auto" w:fill="auto"/>
            <w:vAlign w:val="center"/>
          </w:tcPr>
          <w:p w14:paraId="63CB7B87">
            <w:pPr>
              <w:spacing w:line="30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shd w:val="clear" w:color="auto" w:fill="FFFFFF"/>
            <w:vAlign w:val="center"/>
          </w:tcPr>
          <w:p w14:paraId="6C0C6A39">
            <w:pPr>
              <w:spacing w:line="300" w:lineRule="exact"/>
              <w:jc w:val="left"/>
              <w:rPr>
                <w:color w:val="000000"/>
                <w:kern w:val="0"/>
                <w:sz w:val="18"/>
                <w:szCs w:val="18"/>
              </w:rPr>
            </w:pPr>
            <w:r>
              <w:rPr>
                <w:rFonts w:hint="eastAsia"/>
                <w:color w:val="000000"/>
                <w:kern w:val="0"/>
                <w:sz w:val="18"/>
                <w:szCs w:val="18"/>
              </w:rPr>
              <w:t>工程提前开工，造成事故的</w:t>
            </w:r>
          </w:p>
        </w:tc>
        <w:tc>
          <w:tcPr>
            <w:tcW w:w="1076" w:type="dxa"/>
            <w:vMerge w:val="continue"/>
            <w:tcBorders>
              <w:left w:val="single" w:color="auto" w:sz="4" w:space="0"/>
              <w:bottom w:val="single" w:color="auto" w:sz="8" w:space="0"/>
              <w:right w:val="single" w:color="auto" w:sz="4" w:space="0"/>
            </w:tcBorders>
            <w:shd w:val="clear" w:color="auto" w:fill="auto"/>
            <w:vAlign w:val="center"/>
          </w:tcPr>
          <w:p w14:paraId="155150AC">
            <w:pPr>
              <w:spacing w:line="300" w:lineRule="exact"/>
              <w:jc w:val="left"/>
              <w:rPr>
                <w:color w:val="000000"/>
                <w:kern w:val="0"/>
                <w:sz w:val="18"/>
                <w:szCs w:val="18"/>
              </w:rPr>
            </w:pPr>
          </w:p>
        </w:tc>
        <w:tc>
          <w:tcPr>
            <w:tcW w:w="5760" w:type="dxa"/>
            <w:tcBorders>
              <w:top w:val="single" w:color="auto" w:sz="4" w:space="0"/>
              <w:left w:val="single" w:color="auto" w:sz="4" w:space="0"/>
              <w:bottom w:val="single" w:color="auto" w:sz="8" w:space="0"/>
              <w:right w:val="single" w:color="auto" w:sz="8" w:space="0"/>
            </w:tcBorders>
            <w:shd w:val="clear" w:color="auto" w:fill="FFFFFF"/>
            <w:vAlign w:val="center"/>
          </w:tcPr>
          <w:p w14:paraId="459F26C1">
            <w:pPr>
              <w:spacing w:line="300" w:lineRule="exact"/>
              <w:jc w:val="left"/>
              <w:rPr>
                <w:color w:val="000000"/>
                <w:kern w:val="0"/>
                <w:sz w:val="18"/>
                <w:szCs w:val="18"/>
              </w:rPr>
            </w:pPr>
            <w:r>
              <w:rPr>
                <w:rFonts w:hint="eastAsia"/>
                <w:color w:val="000000"/>
                <w:kern w:val="0"/>
                <w:sz w:val="18"/>
                <w:szCs w:val="18"/>
              </w:rPr>
              <w:t>对建设单位：工程合同价款</w:t>
            </w:r>
            <w:r>
              <w:rPr>
                <w:color w:val="000000"/>
                <w:kern w:val="0"/>
                <w:sz w:val="18"/>
                <w:szCs w:val="18"/>
              </w:rPr>
              <w:t>2%</w:t>
            </w:r>
            <w:r>
              <w:rPr>
                <w:rFonts w:hint="eastAsia"/>
                <w:color w:val="000000"/>
                <w:kern w:val="0"/>
                <w:sz w:val="18"/>
                <w:szCs w:val="18"/>
              </w:rPr>
              <w:t>罚款</w:t>
            </w:r>
          </w:p>
          <w:p w14:paraId="71DAEFC3">
            <w:pPr>
              <w:spacing w:line="300" w:lineRule="exact"/>
              <w:jc w:val="left"/>
              <w:rPr>
                <w:color w:val="000000"/>
                <w:kern w:val="0"/>
                <w:sz w:val="18"/>
                <w:szCs w:val="18"/>
              </w:rPr>
            </w:pPr>
            <w:r>
              <w:rPr>
                <w:rFonts w:hint="eastAsia"/>
                <w:color w:val="000000"/>
                <w:kern w:val="0"/>
                <w:sz w:val="18"/>
                <w:szCs w:val="18"/>
              </w:rPr>
              <w:t>对施工单位：</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667707BD">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9%</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02821569"/>
    <w:p w14:paraId="2CE67EC5"/>
    <w:p w14:paraId="35F40936"/>
    <w:p w14:paraId="3E6F391A"/>
    <w:p w14:paraId="0DF3D69A"/>
    <w:p w14:paraId="20BF163C"/>
    <w:p w14:paraId="47D99478"/>
    <w:p w14:paraId="6EB43B39"/>
    <w:p w14:paraId="10F50B57"/>
    <w:tbl>
      <w:tblPr>
        <w:tblStyle w:val="15"/>
        <w:tblW w:w="0" w:type="auto"/>
        <w:tblInd w:w="7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3335"/>
        <w:gridCol w:w="1559"/>
        <w:gridCol w:w="8066"/>
      </w:tblGrid>
      <w:tr w14:paraId="5036A6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90" w:type="dxa"/>
            <w:tcBorders>
              <w:top w:val="single" w:color="auto" w:sz="8" w:space="0"/>
            </w:tcBorders>
            <w:vAlign w:val="center"/>
          </w:tcPr>
          <w:p w14:paraId="12CDC4D3">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tcBorders>
            <w:vAlign w:val="center"/>
          </w:tcPr>
          <w:p w14:paraId="0438CDC2">
            <w:pPr>
              <w:spacing w:line="320" w:lineRule="exact"/>
              <w:jc w:val="left"/>
              <w:rPr>
                <w:rFonts w:eastAsia="仿宋_GB2312"/>
                <w:b/>
                <w:bCs/>
                <w:color w:val="000000"/>
                <w:kern w:val="0"/>
                <w:sz w:val="18"/>
                <w:szCs w:val="18"/>
              </w:rPr>
            </w:pPr>
            <w:r>
              <w:rPr>
                <w:rFonts w:eastAsia="仿宋_GB2312"/>
                <w:b/>
                <w:bCs/>
                <w:color w:val="000000"/>
                <w:kern w:val="0"/>
                <w:sz w:val="18"/>
                <w:szCs w:val="18"/>
              </w:rPr>
              <w:t>320217035000</w:t>
            </w:r>
            <w:r>
              <w:rPr>
                <w:rFonts w:hint="eastAsia" w:eastAsia="仿宋_GB2312"/>
                <w:b/>
                <w:bCs/>
                <w:color w:val="000000"/>
                <w:kern w:val="0"/>
                <w:sz w:val="18"/>
                <w:szCs w:val="18"/>
              </w:rPr>
              <w:t xml:space="preserve"> </w:t>
            </w:r>
          </w:p>
        </w:tc>
      </w:tr>
      <w:tr w14:paraId="09F6A8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90" w:type="dxa"/>
            <w:vAlign w:val="center"/>
          </w:tcPr>
          <w:p w14:paraId="67367F9D">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vAlign w:val="center"/>
          </w:tcPr>
          <w:p w14:paraId="2AE8F771">
            <w:pPr>
              <w:spacing w:line="320" w:lineRule="exact"/>
              <w:jc w:val="left"/>
              <w:rPr>
                <w:color w:val="000000"/>
                <w:kern w:val="0"/>
                <w:sz w:val="18"/>
                <w:szCs w:val="18"/>
              </w:rPr>
            </w:pPr>
            <w:r>
              <w:rPr>
                <w:rFonts w:hint="eastAsia"/>
                <w:color w:val="000000"/>
                <w:kern w:val="0"/>
                <w:sz w:val="18"/>
                <w:szCs w:val="18"/>
              </w:rPr>
              <w:t>对勘察、设计、施工、工程监理单位超越本单位资质等级承揽工程的处罚</w:t>
            </w:r>
          </w:p>
        </w:tc>
      </w:tr>
      <w:tr w14:paraId="7ACBA3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090" w:type="dxa"/>
            <w:vAlign w:val="center"/>
          </w:tcPr>
          <w:p w14:paraId="4AD8ECB7">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vAlign w:val="center"/>
          </w:tcPr>
          <w:p w14:paraId="752E12E0">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496DA41A">
            <w:pPr>
              <w:spacing w:line="280" w:lineRule="exact"/>
              <w:jc w:val="left"/>
              <w:rPr>
                <w:color w:val="000000"/>
                <w:kern w:val="0"/>
                <w:sz w:val="18"/>
                <w:szCs w:val="18"/>
              </w:rPr>
            </w:pPr>
            <w:r>
              <w:rPr>
                <w:rFonts w:hint="eastAsia"/>
                <w:color w:val="000000"/>
                <w:kern w:val="0"/>
                <w:sz w:val="18"/>
                <w:szCs w:val="18"/>
              </w:rPr>
              <w:t>第十八条第一款　从事建设工程勘察、设计的单位应当依法取得相应等级的资质证书，并在其资质等级许可的范围内承揽工程。</w:t>
            </w:r>
          </w:p>
          <w:p w14:paraId="355D555B">
            <w:pPr>
              <w:spacing w:line="28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禁止勘察、设计单位超越其资质等级许可的范围或者以其他勘察、设计单位的名义承揽工程。禁止勘察、设计单位允许其他单位或者个人以本单位的名义承揽工程。</w:t>
            </w:r>
          </w:p>
          <w:p w14:paraId="4E903112">
            <w:pPr>
              <w:spacing w:line="280" w:lineRule="exact"/>
              <w:jc w:val="left"/>
              <w:rPr>
                <w:color w:val="000000"/>
                <w:kern w:val="0"/>
                <w:sz w:val="18"/>
                <w:szCs w:val="18"/>
              </w:rPr>
            </w:pPr>
            <w:r>
              <w:rPr>
                <w:rFonts w:hint="eastAsia"/>
                <w:color w:val="000000"/>
                <w:kern w:val="0"/>
                <w:sz w:val="18"/>
                <w:szCs w:val="18"/>
              </w:rPr>
              <w:t>第二十五条第一款　施工单位应当依法取得相应等级的资质证书，并在其资质等级许可的范围内承揽工程。</w:t>
            </w:r>
          </w:p>
          <w:p w14:paraId="7EC070FB">
            <w:pPr>
              <w:spacing w:line="28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禁止施工单位超越本单位资质等级许可的业务范围或者以其他施工单位的名义承揽工程。禁止施工单位允许其他单位或者个人以本单位的名义承揽工程。</w:t>
            </w:r>
          </w:p>
          <w:p w14:paraId="76175F8E">
            <w:pPr>
              <w:spacing w:line="280" w:lineRule="exact"/>
              <w:jc w:val="left"/>
              <w:rPr>
                <w:color w:val="000000"/>
                <w:kern w:val="0"/>
                <w:sz w:val="18"/>
                <w:szCs w:val="18"/>
              </w:rPr>
            </w:pPr>
            <w:r>
              <w:rPr>
                <w:rFonts w:hint="eastAsia"/>
                <w:color w:val="000000"/>
                <w:kern w:val="0"/>
                <w:sz w:val="18"/>
                <w:szCs w:val="18"/>
              </w:rPr>
              <w:t>第三十四条第一款　工程监理单位应当依法取得相应等级的资质证书，并在其资质等级许可的范围内承担工程监理业务。</w:t>
            </w:r>
          </w:p>
          <w:p w14:paraId="34B3087A">
            <w:pPr>
              <w:spacing w:line="28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禁止工程监理单位超越本单位资质等级许可的范围或者以其他工程监理单位的名义承担工程监理业务。禁止工程监理单位允许其他单位或者个人以本单位的名义承担工程监理业务。</w:t>
            </w:r>
          </w:p>
          <w:p w14:paraId="6D84A513">
            <w:pPr>
              <w:spacing w:line="280" w:lineRule="exact"/>
              <w:jc w:val="left"/>
              <w:rPr>
                <w:color w:val="000000"/>
                <w:kern w:val="0"/>
                <w:sz w:val="18"/>
                <w:szCs w:val="18"/>
              </w:rPr>
            </w:pPr>
            <w:r>
              <w:rPr>
                <w:rFonts w:hint="eastAsia"/>
                <w:color w:val="000000"/>
                <w:kern w:val="0"/>
                <w:sz w:val="18"/>
                <w:szCs w:val="18"/>
              </w:rPr>
              <w:t>第六十条第一款　违反本条例规定，勘察、设计、施工、工程监理单位超越本单位资质等级承揽工程的，责令停止违法行为，对勘察、设计单位或者工程监理单位处合同约定的勘察费、设计费或者监理酬金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％以下的罚款，可以责令停业整顿，降低资质等级；情节严重的，吊销资质证书；有违法所得的，予以没收。</w:t>
            </w:r>
          </w:p>
          <w:p w14:paraId="040ADA97">
            <w:pPr>
              <w:spacing w:line="28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0AD0E136">
            <w:pPr>
              <w:spacing w:line="28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7B633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90" w:type="dxa"/>
            <w:vAlign w:val="center"/>
          </w:tcPr>
          <w:p w14:paraId="3E632F16">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vAlign w:val="center"/>
          </w:tcPr>
          <w:p w14:paraId="3EB40A31">
            <w:pPr>
              <w:spacing w:line="32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14:paraId="72A47E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50" w:type="dxa"/>
            <w:gridSpan w:val="4"/>
            <w:vAlign w:val="center"/>
          </w:tcPr>
          <w:p w14:paraId="1DF44E25">
            <w:pPr>
              <w:spacing w:line="320" w:lineRule="exact"/>
              <w:jc w:val="center"/>
              <w:rPr>
                <w:color w:val="000000"/>
                <w:kern w:val="0"/>
                <w:sz w:val="18"/>
                <w:szCs w:val="18"/>
              </w:rPr>
            </w:pPr>
            <w:r>
              <w:rPr>
                <w:rFonts w:hint="eastAsia"/>
                <w:color w:val="000000"/>
                <w:kern w:val="0"/>
                <w:sz w:val="18"/>
                <w:szCs w:val="18"/>
              </w:rPr>
              <w:t>裁量基准</w:t>
            </w:r>
          </w:p>
        </w:tc>
      </w:tr>
      <w:tr w14:paraId="0BC3B7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1090" w:type="dxa"/>
            <w:vMerge w:val="restart"/>
            <w:vAlign w:val="center"/>
          </w:tcPr>
          <w:p w14:paraId="64C245EA">
            <w:pPr>
              <w:spacing w:line="320" w:lineRule="exact"/>
              <w:jc w:val="center"/>
              <w:rPr>
                <w:color w:val="000000"/>
                <w:kern w:val="0"/>
                <w:sz w:val="18"/>
                <w:szCs w:val="18"/>
              </w:rPr>
            </w:pPr>
            <w:r>
              <w:rPr>
                <w:rFonts w:hint="eastAsia"/>
                <w:color w:val="000000"/>
                <w:kern w:val="0"/>
                <w:sz w:val="18"/>
                <w:szCs w:val="18"/>
              </w:rPr>
              <w:t>情形描述</w:t>
            </w:r>
          </w:p>
        </w:tc>
        <w:tc>
          <w:tcPr>
            <w:tcW w:w="3335" w:type="dxa"/>
            <w:vAlign w:val="center"/>
          </w:tcPr>
          <w:p w14:paraId="58BD5610">
            <w:pPr>
              <w:rPr>
                <w:color w:val="000000"/>
                <w:kern w:val="0"/>
                <w:sz w:val="18"/>
                <w:szCs w:val="18"/>
              </w:rPr>
            </w:pPr>
            <w:r>
              <w:rPr>
                <w:rFonts w:hint="eastAsia"/>
                <w:color w:val="000000"/>
                <w:kern w:val="0"/>
                <w:sz w:val="18"/>
                <w:szCs w:val="18"/>
              </w:rPr>
              <w:t>超越一个资质等级的</w:t>
            </w:r>
          </w:p>
        </w:tc>
        <w:tc>
          <w:tcPr>
            <w:tcW w:w="1559" w:type="dxa"/>
            <w:vMerge w:val="restart"/>
            <w:vAlign w:val="center"/>
          </w:tcPr>
          <w:p w14:paraId="26E669E6">
            <w:pPr>
              <w:spacing w:line="320" w:lineRule="exact"/>
              <w:jc w:val="center"/>
              <w:rPr>
                <w:color w:val="000000"/>
                <w:kern w:val="0"/>
                <w:sz w:val="18"/>
                <w:szCs w:val="18"/>
              </w:rPr>
            </w:pPr>
            <w:r>
              <w:rPr>
                <w:rFonts w:hint="eastAsia"/>
                <w:color w:val="000000"/>
                <w:kern w:val="0"/>
                <w:sz w:val="18"/>
                <w:szCs w:val="18"/>
              </w:rPr>
              <w:t>裁量幅度</w:t>
            </w:r>
          </w:p>
        </w:tc>
        <w:tc>
          <w:tcPr>
            <w:tcW w:w="8066" w:type="dxa"/>
            <w:vAlign w:val="center"/>
          </w:tcPr>
          <w:p w14:paraId="7663F932">
            <w:pPr>
              <w:spacing w:line="320" w:lineRule="exact"/>
              <w:jc w:val="left"/>
              <w:rPr>
                <w:color w:val="000000"/>
                <w:kern w:val="0"/>
                <w:sz w:val="18"/>
                <w:szCs w:val="18"/>
              </w:rPr>
            </w:pPr>
            <w:r>
              <w:rPr>
                <w:rFonts w:hint="eastAsia"/>
                <w:color w:val="000000"/>
                <w:kern w:val="0"/>
                <w:sz w:val="18"/>
                <w:szCs w:val="18"/>
              </w:rPr>
              <w:t>对勘察、设计单位：处合同约定的勘察、设计费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14:paraId="5EB4D3E4">
            <w:pPr>
              <w:spacing w:line="320" w:lineRule="exact"/>
              <w:jc w:val="left"/>
              <w:rPr>
                <w:color w:val="000000"/>
                <w:kern w:val="0"/>
                <w:sz w:val="18"/>
                <w:szCs w:val="18"/>
              </w:rPr>
            </w:pPr>
            <w:r>
              <w:rPr>
                <w:rFonts w:hint="eastAsia"/>
                <w:color w:val="000000"/>
                <w:kern w:val="0"/>
                <w:sz w:val="18"/>
                <w:szCs w:val="18"/>
              </w:rPr>
              <w:t>对工程监理单位：处合同约定的监理酬金</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14:paraId="3B62D603">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14:paraId="06CAA7A1">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228061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1090" w:type="dxa"/>
            <w:vMerge w:val="continue"/>
            <w:vAlign w:val="center"/>
          </w:tcPr>
          <w:p w14:paraId="11F20956">
            <w:pPr>
              <w:spacing w:line="320" w:lineRule="exact"/>
              <w:jc w:val="left"/>
              <w:rPr>
                <w:color w:val="000000"/>
                <w:kern w:val="0"/>
                <w:sz w:val="18"/>
                <w:szCs w:val="18"/>
              </w:rPr>
            </w:pPr>
          </w:p>
        </w:tc>
        <w:tc>
          <w:tcPr>
            <w:tcW w:w="3335" w:type="dxa"/>
            <w:vAlign w:val="center"/>
          </w:tcPr>
          <w:p w14:paraId="6E4C873B">
            <w:pPr>
              <w:rPr>
                <w:color w:val="000000"/>
                <w:kern w:val="0"/>
                <w:sz w:val="18"/>
                <w:szCs w:val="18"/>
              </w:rPr>
            </w:pPr>
            <w:r>
              <w:rPr>
                <w:rFonts w:hint="eastAsia"/>
                <w:color w:val="000000"/>
                <w:kern w:val="0"/>
                <w:sz w:val="18"/>
                <w:szCs w:val="18"/>
              </w:rPr>
              <w:t>超越两个以上资质等级，或者超越序列的</w:t>
            </w:r>
          </w:p>
        </w:tc>
        <w:tc>
          <w:tcPr>
            <w:tcW w:w="1559" w:type="dxa"/>
            <w:vMerge w:val="continue"/>
            <w:vAlign w:val="center"/>
          </w:tcPr>
          <w:p w14:paraId="3ABE3681">
            <w:pPr>
              <w:spacing w:line="320" w:lineRule="exact"/>
              <w:jc w:val="left"/>
              <w:rPr>
                <w:color w:val="000000"/>
                <w:kern w:val="0"/>
                <w:sz w:val="18"/>
                <w:szCs w:val="18"/>
              </w:rPr>
            </w:pPr>
          </w:p>
        </w:tc>
        <w:tc>
          <w:tcPr>
            <w:tcW w:w="8066" w:type="dxa"/>
            <w:vAlign w:val="center"/>
          </w:tcPr>
          <w:p w14:paraId="071F9A5F">
            <w:pPr>
              <w:spacing w:line="320" w:lineRule="exact"/>
              <w:jc w:val="left"/>
              <w:rPr>
                <w:color w:val="000000"/>
                <w:kern w:val="0"/>
                <w:sz w:val="18"/>
                <w:szCs w:val="18"/>
              </w:rPr>
            </w:pPr>
            <w:r>
              <w:rPr>
                <w:rFonts w:hint="eastAsia"/>
                <w:color w:val="000000"/>
                <w:kern w:val="0"/>
                <w:sz w:val="18"/>
                <w:szCs w:val="18"/>
              </w:rPr>
              <w:t>对勘察、设计单位：处合同约定的勘察、设计费</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倍以下罚款，责令停业整顿</w:t>
            </w:r>
          </w:p>
          <w:p w14:paraId="32BF4046">
            <w:pPr>
              <w:spacing w:line="320" w:lineRule="exact"/>
              <w:jc w:val="left"/>
              <w:rPr>
                <w:color w:val="000000"/>
                <w:kern w:val="0"/>
                <w:sz w:val="18"/>
                <w:szCs w:val="18"/>
              </w:rPr>
            </w:pPr>
            <w:r>
              <w:rPr>
                <w:rFonts w:hint="eastAsia"/>
                <w:color w:val="000000"/>
                <w:kern w:val="0"/>
                <w:sz w:val="18"/>
                <w:szCs w:val="18"/>
              </w:rPr>
              <w:t>对工程监理单位：处合同约定的监理酬金</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倍以下罚款，责令停业整顿</w:t>
            </w:r>
          </w:p>
          <w:p w14:paraId="32D798D2">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以下罚款，责令停业整顿，降低资质等级</w:t>
            </w:r>
          </w:p>
          <w:p w14:paraId="199323AB">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1BA53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90" w:type="dxa"/>
            <w:vMerge w:val="restart"/>
            <w:vAlign w:val="center"/>
          </w:tcPr>
          <w:p w14:paraId="3710EFDF">
            <w:pPr>
              <w:spacing w:line="320" w:lineRule="exact"/>
              <w:jc w:val="left"/>
              <w:rPr>
                <w:color w:val="000000"/>
                <w:kern w:val="0"/>
                <w:sz w:val="18"/>
                <w:szCs w:val="18"/>
              </w:rPr>
            </w:pPr>
            <w:r>
              <w:rPr>
                <w:rFonts w:hint="eastAsia"/>
                <w:color w:val="000000"/>
                <w:kern w:val="0"/>
                <w:sz w:val="18"/>
                <w:szCs w:val="18"/>
              </w:rPr>
              <w:t>情形描述</w:t>
            </w:r>
          </w:p>
        </w:tc>
        <w:tc>
          <w:tcPr>
            <w:tcW w:w="3335" w:type="dxa"/>
            <w:vAlign w:val="center"/>
          </w:tcPr>
          <w:p w14:paraId="01B6120C">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559" w:type="dxa"/>
            <w:vMerge w:val="restart"/>
            <w:vAlign w:val="center"/>
          </w:tcPr>
          <w:p w14:paraId="48DEDB77">
            <w:pPr>
              <w:spacing w:line="320" w:lineRule="exact"/>
              <w:ind w:firstLine="180" w:firstLineChars="100"/>
              <w:jc w:val="left"/>
              <w:rPr>
                <w:color w:val="000000"/>
                <w:kern w:val="0"/>
                <w:sz w:val="18"/>
                <w:szCs w:val="18"/>
              </w:rPr>
            </w:pPr>
            <w:r>
              <w:rPr>
                <w:rFonts w:hint="eastAsia"/>
                <w:color w:val="000000"/>
                <w:kern w:val="0"/>
                <w:sz w:val="18"/>
                <w:szCs w:val="18"/>
              </w:rPr>
              <w:t>裁量幅度</w:t>
            </w:r>
          </w:p>
        </w:tc>
        <w:tc>
          <w:tcPr>
            <w:tcW w:w="8066" w:type="dxa"/>
            <w:vAlign w:val="center"/>
          </w:tcPr>
          <w:p w14:paraId="3F7D209C">
            <w:pPr>
              <w:spacing w:line="320" w:lineRule="exact"/>
              <w:jc w:val="left"/>
              <w:rPr>
                <w:color w:val="000000"/>
                <w:kern w:val="0"/>
                <w:sz w:val="18"/>
                <w:szCs w:val="18"/>
              </w:rPr>
            </w:pPr>
            <w:r>
              <w:rPr>
                <w:rFonts w:hint="eastAsia"/>
                <w:color w:val="000000"/>
                <w:kern w:val="0"/>
                <w:sz w:val="18"/>
                <w:szCs w:val="18"/>
              </w:rPr>
              <w:t>对勘察、设计单位：处合同约定的勘察、设计费</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倍以下罚款，责令停业整顿，降低资质等级</w:t>
            </w:r>
          </w:p>
          <w:p w14:paraId="253377C7">
            <w:pPr>
              <w:spacing w:line="320" w:lineRule="exact"/>
              <w:jc w:val="left"/>
              <w:rPr>
                <w:color w:val="000000"/>
                <w:kern w:val="0"/>
                <w:sz w:val="18"/>
                <w:szCs w:val="18"/>
              </w:rPr>
            </w:pPr>
            <w:r>
              <w:rPr>
                <w:rFonts w:hint="eastAsia"/>
                <w:color w:val="000000"/>
                <w:kern w:val="0"/>
                <w:sz w:val="18"/>
                <w:szCs w:val="18"/>
              </w:rPr>
              <w:t>对工程监理单位：处合同约定的监理酬金</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倍以下罚款，责令停业整顿，降低资质等级</w:t>
            </w:r>
          </w:p>
          <w:p w14:paraId="0077CFA7">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以下罚款，责令停业整顿，降低资质等级</w:t>
            </w:r>
          </w:p>
          <w:p w14:paraId="56BA70A2">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7%</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14:paraId="304813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90" w:type="dxa"/>
            <w:vMerge w:val="continue"/>
            <w:tcBorders>
              <w:bottom w:val="single" w:color="auto" w:sz="8" w:space="0"/>
            </w:tcBorders>
            <w:vAlign w:val="center"/>
          </w:tcPr>
          <w:p w14:paraId="69A2049A">
            <w:pPr>
              <w:spacing w:line="320" w:lineRule="exact"/>
              <w:jc w:val="left"/>
              <w:rPr>
                <w:color w:val="000000"/>
                <w:kern w:val="0"/>
                <w:sz w:val="18"/>
                <w:szCs w:val="18"/>
              </w:rPr>
            </w:pPr>
          </w:p>
        </w:tc>
        <w:tc>
          <w:tcPr>
            <w:tcW w:w="3335" w:type="dxa"/>
            <w:tcBorders>
              <w:bottom w:val="single" w:color="auto" w:sz="8" w:space="0"/>
            </w:tcBorders>
            <w:vAlign w:val="center"/>
          </w:tcPr>
          <w:p w14:paraId="50449D40">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559" w:type="dxa"/>
            <w:vMerge w:val="continue"/>
            <w:tcBorders>
              <w:bottom w:val="single" w:color="auto" w:sz="8" w:space="0"/>
            </w:tcBorders>
            <w:vAlign w:val="center"/>
          </w:tcPr>
          <w:p w14:paraId="04D6EE39">
            <w:pPr>
              <w:spacing w:line="320" w:lineRule="exact"/>
              <w:jc w:val="left"/>
              <w:rPr>
                <w:color w:val="000000"/>
                <w:kern w:val="0"/>
                <w:sz w:val="18"/>
                <w:szCs w:val="18"/>
              </w:rPr>
            </w:pPr>
          </w:p>
        </w:tc>
        <w:tc>
          <w:tcPr>
            <w:tcW w:w="8066" w:type="dxa"/>
            <w:tcBorders>
              <w:bottom w:val="single" w:color="auto" w:sz="8" w:space="0"/>
            </w:tcBorders>
            <w:vAlign w:val="center"/>
          </w:tcPr>
          <w:p w14:paraId="456DCCD8">
            <w:pPr>
              <w:spacing w:line="320" w:lineRule="exact"/>
              <w:jc w:val="left"/>
              <w:rPr>
                <w:color w:val="000000"/>
                <w:kern w:val="0"/>
                <w:sz w:val="18"/>
                <w:szCs w:val="18"/>
              </w:rPr>
            </w:pPr>
            <w:r>
              <w:rPr>
                <w:rFonts w:hint="eastAsia"/>
                <w:color w:val="000000"/>
                <w:kern w:val="0"/>
                <w:sz w:val="18"/>
                <w:szCs w:val="18"/>
              </w:rPr>
              <w:t>对勘察、设计单位：处合同约定的勘察、设计费</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倍以下罚款，责令停业整顿，吊销资质证书</w:t>
            </w:r>
          </w:p>
          <w:p w14:paraId="45485B30">
            <w:pPr>
              <w:spacing w:line="320" w:lineRule="exact"/>
              <w:jc w:val="left"/>
              <w:rPr>
                <w:color w:val="000000"/>
                <w:kern w:val="0"/>
                <w:sz w:val="18"/>
                <w:szCs w:val="18"/>
              </w:rPr>
            </w:pPr>
            <w:r>
              <w:rPr>
                <w:rFonts w:hint="eastAsia"/>
                <w:color w:val="000000"/>
                <w:kern w:val="0"/>
                <w:sz w:val="18"/>
                <w:szCs w:val="18"/>
              </w:rPr>
              <w:t>对工程监理单位：处合同约定的监理酬金</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倍以下罚款，责令停业整顿，吊销资质证书</w:t>
            </w:r>
          </w:p>
          <w:p w14:paraId="08D36E25">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以下罚款，责令停业整顿，吊销资质证书</w:t>
            </w:r>
          </w:p>
          <w:p w14:paraId="3E5F8EB1">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50BA5C72"/>
    <w:p w14:paraId="1FF6E788"/>
    <w:p w14:paraId="29A6DB9E"/>
    <w:p w14:paraId="7E1AC72E"/>
    <w:p w14:paraId="11B6C957"/>
    <w:p w14:paraId="7C4551C4"/>
    <w:p w14:paraId="40A1F963"/>
    <w:p w14:paraId="385885AD"/>
    <w:p w14:paraId="6E90E681"/>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36E8EA0C">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E37A28C">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7634928D">
            <w:pPr>
              <w:spacing w:line="320" w:lineRule="exact"/>
              <w:jc w:val="left"/>
              <w:rPr>
                <w:rFonts w:eastAsia="仿宋_GB2312"/>
                <w:b/>
                <w:bCs/>
                <w:color w:val="000000"/>
                <w:kern w:val="0"/>
                <w:sz w:val="18"/>
                <w:szCs w:val="18"/>
              </w:rPr>
            </w:pPr>
            <w:r>
              <w:rPr>
                <w:rFonts w:eastAsia="仿宋_GB2312"/>
                <w:b/>
                <w:bCs/>
                <w:color w:val="000000"/>
                <w:kern w:val="0"/>
                <w:sz w:val="18"/>
                <w:szCs w:val="18"/>
              </w:rPr>
              <w:t>320217037000</w:t>
            </w:r>
          </w:p>
        </w:tc>
      </w:tr>
      <w:tr w14:paraId="1018818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5C1BE70">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300B129E">
            <w:pPr>
              <w:spacing w:line="320" w:lineRule="exact"/>
              <w:jc w:val="left"/>
              <w:rPr>
                <w:color w:val="000000"/>
                <w:kern w:val="0"/>
                <w:sz w:val="18"/>
                <w:szCs w:val="18"/>
              </w:rPr>
            </w:pPr>
            <w:r>
              <w:rPr>
                <w:rFonts w:hint="eastAsia"/>
                <w:color w:val="000000"/>
                <w:kern w:val="0"/>
                <w:sz w:val="18"/>
                <w:szCs w:val="18"/>
              </w:rPr>
              <w:t>对工程监理单位将不合格的建设工程、建筑材料、建筑构配件和设备按照合格签字的处罚</w:t>
            </w:r>
          </w:p>
        </w:tc>
      </w:tr>
      <w:tr w14:paraId="37C0288B">
        <w:tblPrEx>
          <w:tblCellMar>
            <w:top w:w="0" w:type="dxa"/>
            <w:left w:w="108" w:type="dxa"/>
            <w:bottom w:w="0" w:type="dxa"/>
            <w:right w:w="108" w:type="dxa"/>
          </w:tblCellMar>
        </w:tblPrEx>
        <w:trPr>
          <w:trHeight w:val="2250" w:hRule="atLeast"/>
        </w:trPr>
        <w:tc>
          <w:tcPr>
            <w:tcW w:w="1056" w:type="dxa"/>
            <w:tcBorders>
              <w:top w:val="nil"/>
              <w:left w:val="single" w:color="auto" w:sz="8" w:space="0"/>
              <w:bottom w:val="single" w:color="auto" w:sz="4" w:space="0"/>
              <w:right w:val="single" w:color="auto" w:sz="4" w:space="0"/>
            </w:tcBorders>
            <w:vAlign w:val="center"/>
          </w:tcPr>
          <w:p w14:paraId="53EF985A">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5985780D">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0CEBCAB2">
            <w:pPr>
              <w:spacing w:line="280" w:lineRule="exact"/>
              <w:jc w:val="left"/>
              <w:rPr>
                <w:color w:val="000000"/>
                <w:kern w:val="0"/>
                <w:sz w:val="18"/>
                <w:szCs w:val="18"/>
              </w:rPr>
            </w:pPr>
            <w:r>
              <w:rPr>
                <w:rFonts w:hint="eastAsia"/>
                <w:color w:val="000000"/>
                <w:kern w:val="0"/>
                <w:sz w:val="18"/>
                <w:szCs w:val="18"/>
              </w:rPr>
              <w:t>第三十七条第二款</w:t>
            </w:r>
            <w:r>
              <w:rPr>
                <w:color w:val="000000"/>
                <w:kern w:val="0"/>
                <w:sz w:val="18"/>
                <w:szCs w:val="18"/>
              </w:rPr>
              <w:t xml:space="preserve">  </w:t>
            </w:r>
            <w:r>
              <w:rPr>
                <w:rFonts w:hint="eastAsia"/>
                <w:color w:val="000000"/>
                <w:kern w:val="0"/>
                <w:sz w:val="18"/>
                <w:szCs w:val="18"/>
              </w:rPr>
              <w:t>未经监理工程师签字，建筑材料、建筑构配件和设备不得在工程上使用或者安装，施工单位不得进行下一道工序的施工。未经总监理工程师签字，建设单位不拨付工程款，不进行竣工验收。</w:t>
            </w:r>
          </w:p>
          <w:p w14:paraId="7379F4F6">
            <w:pPr>
              <w:spacing w:line="280" w:lineRule="exact"/>
              <w:jc w:val="left"/>
              <w:rPr>
                <w:color w:val="000000"/>
                <w:kern w:val="0"/>
                <w:sz w:val="18"/>
                <w:szCs w:val="18"/>
              </w:rPr>
            </w:pPr>
            <w:r>
              <w:rPr>
                <w:rFonts w:hint="eastAsia"/>
                <w:color w:val="000000"/>
                <w:kern w:val="0"/>
                <w:sz w:val="18"/>
                <w:szCs w:val="18"/>
              </w:rPr>
              <w:t>第六十七条　工程监理单位有下列行为之一的，责令改正，处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万元以下的罚款，降低资质等级或者吊销资质证书；有违法所得的，予以没收；造成损失的，承担连带赔偿责任：</w:t>
            </w:r>
          </w:p>
          <w:p w14:paraId="5E865BA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（二）将不合格的建设工程、建筑材料、建筑构配件和设备按照合格签字的。</w:t>
            </w:r>
          </w:p>
          <w:p w14:paraId="3D69C811">
            <w:pPr>
              <w:spacing w:line="28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54D6F432">
            <w:pPr>
              <w:spacing w:line="28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7E9AD87F">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6AEDD2D">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4E51C0D4">
            <w:pPr>
              <w:spacing w:line="320" w:lineRule="exact"/>
              <w:jc w:val="left"/>
              <w:rPr>
                <w:color w:val="000000"/>
                <w:kern w:val="0"/>
                <w:sz w:val="18"/>
                <w:szCs w:val="18"/>
              </w:rPr>
            </w:pPr>
            <w:r>
              <w:rPr>
                <w:rFonts w:hint="eastAsia"/>
                <w:color w:val="000000"/>
                <w:kern w:val="0"/>
                <w:sz w:val="18"/>
                <w:szCs w:val="18"/>
              </w:rPr>
              <w:t>罚款，降低资质等级或者吊销资质证书，没收违法所得</w:t>
            </w:r>
          </w:p>
        </w:tc>
      </w:tr>
      <w:tr w14:paraId="0E63FC0C">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6F6A89F4">
            <w:pPr>
              <w:spacing w:line="320" w:lineRule="exact"/>
              <w:jc w:val="center"/>
              <w:rPr>
                <w:color w:val="000000"/>
                <w:kern w:val="0"/>
                <w:sz w:val="18"/>
                <w:szCs w:val="18"/>
              </w:rPr>
            </w:pPr>
            <w:r>
              <w:rPr>
                <w:rFonts w:hint="eastAsia"/>
                <w:color w:val="000000"/>
                <w:kern w:val="0"/>
                <w:sz w:val="18"/>
                <w:szCs w:val="18"/>
              </w:rPr>
              <w:t>裁量基准</w:t>
            </w:r>
          </w:p>
        </w:tc>
      </w:tr>
      <w:tr w14:paraId="5FB10F62">
        <w:tblPrEx>
          <w:tblCellMar>
            <w:top w:w="0" w:type="dxa"/>
            <w:left w:w="108" w:type="dxa"/>
            <w:bottom w:w="0" w:type="dxa"/>
            <w:right w:w="108" w:type="dxa"/>
          </w:tblCellMar>
        </w:tblPrEx>
        <w:trPr>
          <w:trHeight w:val="720" w:hRule="atLeast"/>
        </w:trPr>
        <w:tc>
          <w:tcPr>
            <w:tcW w:w="1056" w:type="dxa"/>
            <w:vMerge w:val="restart"/>
            <w:tcBorders>
              <w:top w:val="nil"/>
              <w:left w:val="single" w:color="auto" w:sz="8" w:space="0"/>
              <w:bottom w:val="single" w:color="auto" w:sz="4" w:space="0"/>
              <w:right w:val="single" w:color="auto" w:sz="4" w:space="0"/>
            </w:tcBorders>
            <w:vAlign w:val="center"/>
          </w:tcPr>
          <w:p w14:paraId="2F22318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3D6DC43">
            <w:pPr>
              <w:spacing w:line="320" w:lineRule="exact"/>
              <w:jc w:val="left"/>
              <w:rPr>
                <w:color w:val="000000"/>
                <w:kern w:val="0"/>
                <w:sz w:val="18"/>
                <w:szCs w:val="18"/>
              </w:rPr>
            </w:pPr>
            <w:r>
              <w:rPr>
                <w:rFonts w:hint="eastAsia"/>
                <w:color w:val="000000"/>
                <w:kern w:val="0"/>
                <w:sz w:val="18"/>
                <w:szCs w:val="18"/>
              </w:rPr>
              <w:t>未造成质量缺陷的</w:t>
            </w:r>
          </w:p>
        </w:tc>
        <w:tc>
          <w:tcPr>
            <w:tcW w:w="1044" w:type="dxa"/>
            <w:vMerge w:val="restart"/>
            <w:tcBorders>
              <w:top w:val="nil"/>
              <w:left w:val="single" w:color="auto" w:sz="4" w:space="0"/>
              <w:bottom w:val="single" w:color="auto" w:sz="4" w:space="0"/>
              <w:right w:val="single" w:color="auto" w:sz="4" w:space="0"/>
            </w:tcBorders>
            <w:vAlign w:val="center"/>
          </w:tcPr>
          <w:p w14:paraId="16B293FA">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22562918">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50</w:t>
            </w:r>
            <w:r>
              <w:rPr>
                <w:rFonts w:hint="eastAsia"/>
                <w:color w:val="000000"/>
                <w:kern w:val="0"/>
                <w:sz w:val="18"/>
                <w:szCs w:val="18"/>
              </w:rPr>
              <w:t>万元以上以上</w:t>
            </w:r>
            <w:r>
              <w:rPr>
                <w:color w:val="000000"/>
                <w:kern w:val="0"/>
                <w:sz w:val="18"/>
                <w:szCs w:val="18"/>
              </w:rPr>
              <w:t>60</w:t>
            </w:r>
            <w:r>
              <w:rPr>
                <w:rFonts w:hint="eastAsia"/>
                <w:color w:val="000000"/>
                <w:kern w:val="0"/>
                <w:sz w:val="18"/>
                <w:szCs w:val="18"/>
              </w:rPr>
              <w:t>万元以下罚款，降低资质等级或者吊销资质证书</w:t>
            </w:r>
          </w:p>
          <w:p w14:paraId="7AA65C74">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0370025F">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73B7322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81F44D6">
            <w:pPr>
              <w:spacing w:line="320" w:lineRule="exact"/>
              <w:jc w:val="left"/>
              <w:rPr>
                <w:color w:val="000000"/>
                <w:kern w:val="0"/>
                <w:sz w:val="18"/>
                <w:szCs w:val="18"/>
              </w:rPr>
            </w:pPr>
            <w:r>
              <w:rPr>
                <w:rFonts w:hint="eastAsia"/>
                <w:color w:val="000000"/>
                <w:kern w:val="0"/>
                <w:sz w:val="18"/>
                <w:szCs w:val="18"/>
              </w:rPr>
              <w:t>造成质量缺陷但未造成质量安全事故的</w:t>
            </w:r>
          </w:p>
        </w:tc>
        <w:tc>
          <w:tcPr>
            <w:tcW w:w="1044" w:type="dxa"/>
            <w:vMerge w:val="continue"/>
            <w:tcBorders>
              <w:top w:val="nil"/>
              <w:left w:val="single" w:color="auto" w:sz="4" w:space="0"/>
              <w:bottom w:val="single" w:color="auto" w:sz="4" w:space="0"/>
              <w:right w:val="single" w:color="auto" w:sz="4" w:space="0"/>
            </w:tcBorders>
            <w:vAlign w:val="center"/>
          </w:tcPr>
          <w:p w14:paraId="277B1E56">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0C3722D">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60</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万元以下罚款，降低资质等级或者吊销资质证书</w:t>
            </w:r>
          </w:p>
          <w:p w14:paraId="21BE6296">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546DD2EB">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460D12C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CB1B796">
            <w:pPr>
              <w:spacing w:line="320" w:lineRule="exact"/>
              <w:jc w:val="left"/>
              <w:rPr>
                <w:color w:val="000000"/>
                <w:kern w:val="0"/>
                <w:sz w:val="18"/>
                <w:szCs w:val="18"/>
              </w:rPr>
            </w:pPr>
            <w:r>
              <w:rPr>
                <w:rFonts w:hint="eastAsia"/>
                <w:color w:val="000000"/>
                <w:kern w:val="0"/>
                <w:sz w:val="18"/>
                <w:szCs w:val="18"/>
              </w:rPr>
              <w:t>造成质量安全事故的</w:t>
            </w:r>
          </w:p>
        </w:tc>
        <w:tc>
          <w:tcPr>
            <w:tcW w:w="1044" w:type="dxa"/>
            <w:vMerge w:val="continue"/>
            <w:tcBorders>
              <w:top w:val="nil"/>
              <w:left w:val="single" w:color="auto" w:sz="4" w:space="0"/>
              <w:bottom w:val="single" w:color="auto" w:sz="4" w:space="0"/>
              <w:right w:val="single" w:color="auto" w:sz="4" w:space="0"/>
            </w:tcBorders>
            <w:vAlign w:val="center"/>
          </w:tcPr>
          <w:p w14:paraId="3754EBA2">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2C9CE88">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万元以下罚款，吊销资质证书</w:t>
            </w:r>
          </w:p>
          <w:p w14:paraId="352B6F22">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09CC4B48"/>
    <w:p w14:paraId="6531D7C0"/>
    <w:p w14:paraId="2033D75E"/>
    <w:p w14:paraId="6E6EAF27"/>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1A54269F">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07B5745A">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21FAB23B">
            <w:pPr>
              <w:spacing w:line="320" w:lineRule="exact"/>
              <w:jc w:val="left"/>
              <w:rPr>
                <w:rFonts w:eastAsia="仿宋_GB2312"/>
                <w:b/>
                <w:bCs/>
                <w:color w:val="000000"/>
                <w:kern w:val="0"/>
                <w:sz w:val="18"/>
                <w:szCs w:val="18"/>
              </w:rPr>
            </w:pPr>
            <w:r>
              <w:rPr>
                <w:rFonts w:eastAsia="仿宋_GB2312"/>
                <w:b/>
                <w:bCs/>
                <w:color w:val="000000"/>
                <w:kern w:val="0"/>
                <w:sz w:val="18"/>
                <w:szCs w:val="18"/>
              </w:rPr>
              <w:t>320217038000</w:t>
            </w:r>
            <w:r>
              <w:rPr>
                <w:rFonts w:hint="eastAsia" w:eastAsia="仿宋_GB2312"/>
                <w:b/>
                <w:bCs/>
                <w:color w:val="000000"/>
                <w:kern w:val="0"/>
                <w:sz w:val="18"/>
                <w:szCs w:val="18"/>
              </w:rPr>
              <w:t xml:space="preserve"> </w:t>
            </w:r>
          </w:p>
        </w:tc>
      </w:tr>
      <w:tr w14:paraId="1C50B750">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74A8C2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5ECDE0C9">
            <w:pPr>
              <w:spacing w:line="320" w:lineRule="exact"/>
              <w:jc w:val="left"/>
              <w:rPr>
                <w:color w:val="000000"/>
                <w:kern w:val="0"/>
                <w:sz w:val="18"/>
                <w:szCs w:val="18"/>
              </w:rPr>
            </w:pPr>
            <w:r>
              <w:rPr>
                <w:rFonts w:hint="eastAsia"/>
                <w:color w:val="000000"/>
                <w:kern w:val="0"/>
                <w:sz w:val="18"/>
                <w:szCs w:val="18"/>
              </w:rPr>
              <w:t>对生产经营单位未与承包单位、承租单位签订专门的安全生产管理协议或者未在承包合同、租赁合同中明确各自的安全生产管理职责，或者未对承包单位、承租单位的安全生产统一协调、管理的处罚</w:t>
            </w:r>
          </w:p>
        </w:tc>
      </w:tr>
      <w:tr w14:paraId="44F6354F">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684428EA">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1E190BDD">
            <w:pPr>
              <w:spacing w:line="320" w:lineRule="exact"/>
              <w:ind w:firstLine="360" w:firstLineChars="200"/>
              <w:jc w:val="left"/>
              <w:rPr>
                <w:color w:val="000000"/>
                <w:kern w:val="0"/>
                <w:sz w:val="18"/>
                <w:szCs w:val="18"/>
              </w:rPr>
            </w:pPr>
            <w:r>
              <w:rPr>
                <w:rFonts w:hint="eastAsia"/>
                <w:color w:val="000000"/>
                <w:kern w:val="0"/>
                <w:sz w:val="18"/>
                <w:szCs w:val="18"/>
              </w:rPr>
              <w:t>【法律】《中华人民共和国安全生产法》</w:t>
            </w:r>
          </w:p>
          <w:p w14:paraId="6D514E68">
            <w:pPr>
              <w:spacing w:line="320" w:lineRule="exact"/>
              <w:ind w:firstLine="360" w:firstLineChars="200"/>
              <w:jc w:val="left"/>
              <w:rPr>
                <w:color w:val="000000"/>
                <w:kern w:val="0"/>
                <w:sz w:val="18"/>
                <w:szCs w:val="18"/>
              </w:rPr>
            </w:pPr>
            <w:r>
              <w:rPr>
                <w:rFonts w:hint="eastAsia"/>
                <w:color w:val="000000"/>
                <w:kern w:val="0"/>
                <w:sz w:val="18"/>
                <w:szCs w:val="18"/>
              </w:rPr>
              <w:t>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14:paraId="05AAC666">
            <w:pPr>
              <w:spacing w:line="320" w:lineRule="exact"/>
              <w:ind w:firstLine="360" w:firstLineChars="200"/>
              <w:jc w:val="left"/>
              <w:rPr>
                <w:color w:val="000000"/>
                <w:kern w:val="0"/>
                <w:sz w:val="18"/>
                <w:szCs w:val="18"/>
              </w:rPr>
            </w:pPr>
            <w:r>
              <w:rPr>
                <w:rFonts w:hint="eastAsia"/>
                <w:color w:val="000000"/>
                <w:kern w:val="0"/>
                <w:sz w:val="18"/>
                <w:szCs w:val="18"/>
              </w:rPr>
              <w:t>第一百零三条第二款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14:paraId="5D49386C">
            <w:pPr>
              <w:spacing w:line="320" w:lineRule="exact"/>
              <w:jc w:val="left"/>
              <w:rPr>
                <w:color w:val="000000"/>
                <w:kern w:val="0"/>
                <w:sz w:val="18"/>
                <w:szCs w:val="18"/>
              </w:rPr>
            </w:pPr>
            <w:r>
              <w:rPr>
                <w:color w:val="000000"/>
                <w:kern w:val="0"/>
                <w:sz w:val="18"/>
                <w:szCs w:val="18"/>
              </w:rPr>
              <w:t xml:space="preserve">   </w:t>
            </w:r>
          </w:p>
        </w:tc>
      </w:tr>
      <w:tr w14:paraId="05E76C18">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2AEB262C">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6B5AA954">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14E7163A">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3D8F62C6">
            <w:pPr>
              <w:spacing w:line="320" w:lineRule="exact"/>
              <w:jc w:val="center"/>
              <w:rPr>
                <w:color w:val="000000"/>
                <w:kern w:val="0"/>
                <w:sz w:val="18"/>
                <w:szCs w:val="18"/>
              </w:rPr>
            </w:pPr>
            <w:r>
              <w:rPr>
                <w:rFonts w:hint="eastAsia"/>
                <w:color w:val="000000"/>
                <w:kern w:val="0"/>
                <w:sz w:val="18"/>
                <w:szCs w:val="18"/>
              </w:rPr>
              <w:t>裁量基准</w:t>
            </w:r>
          </w:p>
        </w:tc>
      </w:tr>
      <w:tr w14:paraId="262108DD">
        <w:tblPrEx>
          <w:tblCellMar>
            <w:top w:w="0" w:type="dxa"/>
            <w:left w:w="108" w:type="dxa"/>
            <w:bottom w:w="0" w:type="dxa"/>
            <w:right w:w="108" w:type="dxa"/>
          </w:tblCellMar>
        </w:tblPrEx>
        <w:trPr>
          <w:trHeight w:val="285" w:hRule="atLeast"/>
        </w:trPr>
        <w:tc>
          <w:tcPr>
            <w:tcW w:w="1040" w:type="dxa"/>
            <w:vMerge w:val="restart"/>
            <w:tcBorders>
              <w:top w:val="single" w:color="auto" w:sz="4" w:space="0"/>
              <w:left w:val="single" w:color="auto" w:sz="4" w:space="0"/>
              <w:bottom w:val="single" w:color="auto" w:sz="4" w:space="0"/>
              <w:right w:val="single" w:color="auto" w:sz="4" w:space="0"/>
            </w:tcBorders>
            <w:vAlign w:val="center"/>
          </w:tcPr>
          <w:p w14:paraId="106C5C5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4EA6B6F2">
            <w:pPr>
              <w:spacing w:line="320" w:lineRule="exact"/>
              <w:jc w:val="left"/>
              <w:rPr>
                <w:color w:val="000000"/>
                <w:kern w:val="0"/>
                <w:sz w:val="18"/>
                <w:szCs w:val="18"/>
              </w:rPr>
            </w:pPr>
            <w:r>
              <w:rPr>
                <w:rFonts w:hint="eastAsia"/>
                <w:color w:val="000000"/>
                <w:kern w:val="0"/>
                <w:sz w:val="18"/>
                <w:szCs w:val="18"/>
              </w:rPr>
              <w:t>未造成生产安全事故的</w:t>
            </w:r>
          </w:p>
        </w:tc>
        <w:tc>
          <w:tcPr>
            <w:tcW w:w="1076" w:type="dxa"/>
            <w:vMerge w:val="restart"/>
            <w:tcBorders>
              <w:top w:val="single" w:color="auto" w:sz="4" w:space="0"/>
              <w:left w:val="single" w:color="auto" w:sz="4" w:space="0"/>
              <w:bottom w:val="single" w:color="auto" w:sz="4" w:space="0"/>
              <w:right w:val="single" w:color="auto" w:sz="4" w:space="0"/>
            </w:tcBorders>
            <w:vAlign w:val="center"/>
          </w:tcPr>
          <w:p w14:paraId="569A141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single" w:color="auto" w:sz="4" w:space="0"/>
              <w:bottom w:val="single" w:color="auto" w:sz="4" w:space="0"/>
              <w:right w:val="single" w:color="auto" w:sz="4" w:space="0"/>
            </w:tcBorders>
            <w:vAlign w:val="center"/>
          </w:tcPr>
          <w:p w14:paraId="4443C1AF">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万元以下罚款</w:t>
            </w:r>
          </w:p>
          <w:p w14:paraId="4630AA70">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元以下罚款</w:t>
            </w:r>
          </w:p>
        </w:tc>
      </w:tr>
      <w:tr w14:paraId="581FED14">
        <w:tblPrEx>
          <w:tblCellMar>
            <w:top w:w="0" w:type="dxa"/>
            <w:left w:w="108" w:type="dxa"/>
            <w:bottom w:w="0" w:type="dxa"/>
            <w:right w:w="108" w:type="dxa"/>
          </w:tblCellMar>
        </w:tblPrEx>
        <w:trPr>
          <w:trHeight w:val="285" w:hRule="atLeast"/>
        </w:trPr>
        <w:tc>
          <w:tcPr>
            <w:tcW w:w="1040" w:type="dxa"/>
            <w:vMerge w:val="continue"/>
            <w:tcBorders>
              <w:top w:val="single" w:color="auto" w:sz="4" w:space="0"/>
              <w:left w:val="single" w:color="auto" w:sz="4" w:space="0"/>
              <w:bottom w:val="single" w:color="auto" w:sz="4" w:space="0"/>
              <w:right w:val="single" w:color="auto" w:sz="4" w:space="0"/>
            </w:tcBorders>
            <w:vAlign w:val="center"/>
          </w:tcPr>
          <w:p w14:paraId="599E5801">
            <w:pPr>
              <w:spacing w:line="320" w:lineRule="exact"/>
              <w:jc w:val="center"/>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243B3B73">
            <w:pPr>
              <w:spacing w:line="320" w:lineRule="exact"/>
              <w:jc w:val="left"/>
              <w:rPr>
                <w:color w:val="000000"/>
                <w:kern w:val="0"/>
                <w:sz w:val="18"/>
                <w:szCs w:val="18"/>
              </w:rPr>
            </w:pPr>
            <w:r>
              <w:rPr>
                <w:rFonts w:hint="eastAsia"/>
                <w:color w:val="000000"/>
                <w:kern w:val="0"/>
                <w:sz w:val="18"/>
                <w:szCs w:val="18"/>
              </w:rPr>
              <w:t>造成生产安全事故的</w:t>
            </w: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736950F9">
            <w:pPr>
              <w:spacing w:line="320" w:lineRule="exact"/>
              <w:jc w:val="center"/>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701704A0">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14:paraId="6A1E2A5E">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0339004C"/>
    <w:p w14:paraId="0C0D7814"/>
    <w:p w14:paraId="1AD0FFC0"/>
    <w:p w14:paraId="6C66760F"/>
    <w:p w14:paraId="22180D9F"/>
    <w:p w14:paraId="4014380E"/>
    <w:p w14:paraId="1CEC0DC3"/>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02E8B4B7">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4815AF6C">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30F10CBC">
            <w:pPr>
              <w:spacing w:line="320" w:lineRule="exact"/>
              <w:jc w:val="left"/>
              <w:rPr>
                <w:rFonts w:eastAsia="仿宋_GB2312"/>
                <w:b/>
                <w:bCs/>
                <w:color w:val="000000"/>
                <w:kern w:val="0"/>
                <w:sz w:val="18"/>
                <w:szCs w:val="18"/>
              </w:rPr>
            </w:pPr>
            <w:r>
              <w:rPr>
                <w:rFonts w:eastAsia="仿宋_GB2312"/>
                <w:b/>
                <w:bCs/>
                <w:color w:val="000000"/>
                <w:kern w:val="0"/>
                <w:sz w:val="18"/>
                <w:szCs w:val="18"/>
              </w:rPr>
              <w:t>320217039000</w:t>
            </w:r>
          </w:p>
        </w:tc>
      </w:tr>
      <w:tr w14:paraId="401CF452">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1D5CEF5F">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0DC86FD4">
            <w:pPr>
              <w:spacing w:line="320" w:lineRule="exact"/>
              <w:jc w:val="left"/>
              <w:rPr>
                <w:color w:val="000000"/>
                <w:kern w:val="0"/>
                <w:sz w:val="18"/>
                <w:szCs w:val="18"/>
              </w:rPr>
            </w:pPr>
            <w:r>
              <w:rPr>
                <w:rFonts w:hint="eastAsia"/>
                <w:color w:val="000000"/>
                <w:kern w:val="0"/>
                <w:sz w:val="18"/>
                <w:szCs w:val="18"/>
              </w:rPr>
              <w:t>对建设单位未将拆除工程的有关资料报送有关部门备案的处罚</w:t>
            </w:r>
          </w:p>
        </w:tc>
      </w:tr>
      <w:tr w14:paraId="3AACFD7F">
        <w:tblPrEx>
          <w:tblCellMar>
            <w:top w:w="0" w:type="dxa"/>
            <w:left w:w="108" w:type="dxa"/>
            <w:bottom w:w="0" w:type="dxa"/>
            <w:right w:w="108" w:type="dxa"/>
          </w:tblCellMar>
        </w:tblPrEx>
        <w:trPr>
          <w:trHeight w:val="1890" w:hRule="atLeast"/>
        </w:trPr>
        <w:tc>
          <w:tcPr>
            <w:tcW w:w="1050" w:type="dxa"/>
            <w:tcBorders>
              <w:top w:val="nil"/>
              <w:left w:val="single" w:color="auto" w:sz="8" w:space="0"/>
              <w:bottom w:val="single" w:color="auto" w:sz="4" w:space="0"/>
              <w:right w:val="single" w:color="auto" w:sz="4" w:space="0"/>
            </w:tcBorders>
            <w:vAlign w:val="center"/>
          </w:tcPr>
          <w:p w14:paraId="745B56AD">
            <w:pPr>
              <w:spacing w:line="320" w:lineRule="exact"/>
              <w:jc w:val="center"/>
              <w:rPr>
                <w:color w:val="000000"/>
                <w:kern w:val="0"/>
                <w:sz w:val="18"/>
                <w:szCs w:val="18"/>
              </w:rPr>
            </w:pPr>
            <w:r>
              <w:rPr>
                <w:rFonts w:hint="eastAsia"/>
                <w:color w:val="000000"/>
                <w:kern w:val="0"/>
                <w:sz w:val="18"/>
                <w:szCs w:val="18"/>
              </w:rPr>
              <w:t>　法律依据</w:t>
            </w:r>
          </w:p>
        </w:tc>
        <w:tc>
          <w:tcPr>
            <w:tcW w:w="13000" w:type="dxa"/>
            <w:gridSpan w:val="3"/>
            <w:tcBorders>
              <w:top w:val="single" w:color="auto" w:sz="4" w:space="0"/>
              <w:left w:val="nil"/>
              <w:bottom w:val="single" w:color="auto" w:sz="4" w:space="0"/>
              <w:right w:val="single" w:color="000000" w:sz="8" w:space="0"/>
            </w:tcBorders>
            <w:vAlign w:val="center"/>
          </w:tcPr>
          <w:p w14:paraId="7876FF6E">
            <w:pPr>
              <w:spacing w:line="32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39DD2319">
            <w:pPr>
              <w:spacing w:line="320" w:lineRule="exact"/>
              <w:jc w:val="left"/>
              <w:rPr>
                <w:color w:val="000000"/>
                <w:kern w:val="0"/>
                <w:sz w:val="18"/>
                <w:szCs w:val="18"/>
              </w:rPr>
            </w:pPr>
            <w:r>
              <w:rPr>
                <w:rFonts w:hint="eastAsia"/>
                <w:color w:val="000000"/>
                <w:kern w:val="0"/>
                <w:sz w:val="18"/>
                <w:szCs w:val="18"/>
              </w:rPr>
              <w:t xml:space="preserve">    第十一条第二款  建设单位应当在拆除工程施工15日前，将下列资料报送建设工程所在地的县级以上地方人民政府建设行政主管部门或者其他有关部门备案：</w:t>
            </w:r>
          </w:p>
          <w:p w14:paraId="3F677410">
            <w:pPr>
              <w:spacing w:line="320" w:lineRule="exact"/>
              <w:jc w:val="left"/>
              <w:rPr>
                <w:color w:val="000000"/>
                <w:kern w:val="0"/>
                <w:sz w:val="18"/>
                <w:szCs w:val="18"/>
              </w:rPr>
            </w:pPr>
            <w:r>
              <w:rPr>
                <w:rFonts w:hint="eastAsia"/>
                <w:color w:val="000000"/>
                <w:kern w:val="0"/>
                <w:sz w:val="18"/>
                <w:szCs w:val="18"/>
              </w:rPr>
              <w:t xml:space="preserve">     (一)施工单位资质等级证明；</w:t>
            </w:r>
          </w:p>
          <w:p w14:paraId="288316FD">
            <w:pPr>
              <w:spacing w:line="320" w:lineRule="exact"/>
              <w:jc w:val="left"/>
              <w:rPr>
                <w:color w:val="000000"/>
                <w:kern w:val="0"/>
                <w:sz w:val="18"/>
                <w:szCs w:val="18"/>
              </w:rPr>
            </w:pPr>
            <w:r>
              <w:rPr>
                <w:rFonts w:hint="eastAsia"/>
                <w:color w:val="000000"/>
                <w:kern w:val="0"/>
                <w:sz w:val="18"/>
                <w:szCs w:val="18"/>
              </w:rPr>
              <w:t xml:space="preserve">     (二)拟拆除建筑物、构筑物及可能危及毗邻建筑的说明；</w:t>
            </w:r>
          </w:p>
          <w:p w14:paraId="38646A52">
            <w:pPr>
              <w:spacing w:line="320" w:lineRule="exact"/>
              <w:jc w:val="left"/>
              <w:rPr>
                <w:color w:val="000000"/>
                <w:kern w:val="0"/>
                <w:sz w:val="18"/>
                <w:szCs w:val="18"/>
              </w:rPr>
            </w:pPr>
            <w:r>
              <w:rPr>
                <w:rFonts w:hint="eastAsia"/>
                <w:color w:val="000000"/>
                <w:kern w:val="0"/>
                <w:sz w:val="18"/>
                <w:szCs w:val="18"/>
              </w:rPr>
              <w:t xml:space="preserve">     (三)拆除施工组织方案；</w:t>
            </w:r>
          </w:p>
          <w:p w14:paraId="490B0ACC">
            <w:pPr>
              <w:spacing w:line="320" w:lineRule="exact"/>
              <w:jc w:val="left"/>
              <w:rPr>
                <w:color w:val="000000"/>
                <w:kern w:val="0"/>
                <w:sz w:val="18"/>
                <w:szCs w:val="18"/>
              </w:rPr>
            </w:pPr>
            <w:r>
              <w:rPr>
                <w:rFonts w:hint="eastAsia"/>
                <w:color w:val="000000"/>
                <w:kern w:val="0"/>
                <w:sz w:val="18"/>
                <w:szCs w:val="18"/>
              </w:rPr>
              <w:t xml:space="preserve">     (四)堆放、清除废弃物的措施。</w:t>
            </w:r>
          </w:p>
          <w:p w14:paraId="6FF169AF">
            <w:pPr>
              <w:spacing w:line="320" w:lineRule="exact"/>
              <w:jc w:val="left"/>
              <w:rPr>
                <w:color w:val="000000"/>
                <w:kern w:val="0"/>
                <w:sz w:val="18"/>
                <w:szCs w:val="18"/>
              </w:rPr>
            </w:pPr>
            <w:r>
              <w:rPr>
                <w:rFonts w:hint="eastAsia"/>
                <w:color w:val="000000"/>
                <w:kern w:val="0"/>
                <w:sz w:val="18"/>
                <w:szCs w:val="18"/>
              </w:rPr>
              <w:t xml:space="preserve">       第五十四条第二款　建设单位未将保证安全施工的措施或者拆除工程的有关资料报送有关部门备案的，责令限期改正，给予警告。</w:t>
            </w:r>
          </w:p>
          <w:p w14:paraId="59F01674">
            <w:pPr>
              <w:spacing w:line="320" w:lineRule="exact"/>
              <w:ind w:firstLine="540" w:firstLineChars="300"/>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w:t>
            </w:r>
          </w:p>
          <w:p w14:paraId="7C196D7E">
            <w:pPr>
              <w:spacing w:line="32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p>
          <w:p w14:paraId="2FB85070">
            <w:pPr>
              <w:spacing w:line="320" w:lineRule="exact"/>
              <w:jc w:val="left"/>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tc>
      </w:tr>
      <w:tr w14:paraId="1A7E4586">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78F07E78">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64DC187F">
            <w:pPr>
              <w:spacing w:line="320" w:lineRule="exact"/>
              <w:jc w:val="left"/>
              <w:rPr>
                <w:color w:val="000000"/>
                <w:kern w:val="0"/>
                <w:sz w:val="18"/>
                <w:szCs w:val="18"/>
              </w:rPr>
            </w:pPr>
            <w:r>
              <w:rPr>
                <w:rFonts w:hint="eastAsia"/>
                <w:color w:val="000000"/>
                <w:kern w:val="0"/>
                <w:sz w:val="18"/>
                <w:szCs w:val="18"/>
              </w:rPr>
              <w:t>警告</w:t>
            </w:r>
          </w:p>
        </w:tc>
      </w:tr>
      <w:tr w14:paraId="7E6A5F5F">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8" w:space="0"/>
              <w:right w:val="single" w:color="000000" w:sz="8" w:space="0"/>
            </w:tcBorders>
            <w:vAlign w:val="center"/>
          </w:tcPr>
          <w:p w14:paraId="4DD341E4">
            <w:pPr>
              <w:spacing w:line="320" w:lineRule="exact"/>
              <w:jc w:val="center"/>
              <w:rPr>
                <w:color w:val="000000"/>
                <w:kern w:val="0"/>
                <w:sz w:val="18"/>
                <w:szCs w:val="18"/>
              </w:rPr>
            </w:pPr>
            <w:r>
              <w:rPr>
                <w:rFonts w:hint="eastAsia"/>
                <w:color w:val="000000"/>
                <w:kern w:val="0"/>
                <w:sz w:val="18"/>
                <w:szCs w:val="18"/>
              </w:rPr>
              <w:t>裁量基准</w:t>
            </w:r>
          </w:p>
        </w:tc>
      </w:tr>
      <w:tr w14:paraId="2F39F44B">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8" w:space="0"/>
              <w:right w:val="single" w:color="auto" w:sz="4" w:space="0"/>
            </w:tcBorders>
            <w:vAlign w:val="center"/>
          </w:tcPr>
          <w:p w14:paraId="61A1980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8" w:space="0"/>
              <w:left w:val="nil"/>
              <w:bottom w:val="single" w:color="auto" w:sz="8" w:space="0"/>
              <w:right w:val="single" w:color="000000" w:sz="4" w:space="0"/>
            </w:tcBorders>
            <w:vAlign w:val="center"/>
          </w:tcPr>
          <w:p w14:paraId="2F59D390">
            <w:pPr>
              <w:spacing w:line="320" w:lineRule="exact"/>
              <w:jc w:val="left"/>
              <w:rPr>
                <w:color w:val="000000"/>
                <w:kern w:val="0"/>
                <w:sz w:val="18"/>
                <w:szCs w:val="18"/>
              </w:rPr>
            </w:pPr>
            <w:r>
              <w:rPr>
                <w:rFonts w:hint="eastAsia"/>
                <w:color w:val="000000"/>
                <w:kern w:val="0"/>
                <w:sz w:val="18"/>
                <w:szCs w:val="18"/>
              </w:rPr>
              <w:t>　</w:t>
            </w:r>
          </w:p>
        </w:tc>
        <w:tc>
          <w:tcPr>
            <w:tcW w:w="1100" w:type="dxa"/>
            <w:tcBorders>
              <w:top w:val="single" w:color="auto" w:sz="8" w:space="0"/>
              <w:left w:val="nil"/>
              <w:bottom w:val="single" w:color="auto" w:sz="8" w:space="0"/>
              <w:right w:val="single" w:color="auto" w:sz="4" w:space="0"/>
            </w:tcBorders>
            <w:vAlign w:val="center"/>
          </w:tcPr>
          <w:p w14:paraId="7687B836">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8" w:space="0"/>
              <w:left w:val="nil"/>
              <w:bottom w:val="single" w:color="auto" w:sz="8" w:space="0"/>
              <w:right w:val="single" w:color="auto" w:sz="8" w:space="0"/>
            </w:tcBorders>
            <w:vAlign w:val="center"/>
          </w:tcPr>
          <w:p w14:paraId="3F4F1EB8">
            <w:pPr>
              <w:spacing w:line="320" w:lineRule="exact"/>
              <w:jc w:val="left"/>
              <w:rPr>
                <w:color w:val="000000"/>
                <w:kern w:val="0"/>
                <w:sz w:val="18"/>
                <w:szCs w:val="18"/>
              </w:rPr>
            </w:pPr>
            <w:r>
              <w:rPr>
                <w:rFonts w:hint="eastAsia"/>
                <w:color w:val="000000"/>
                <w:kern w:val="0"/>
                <w:sz w:val="18"/>
                <w:szCs w:val="18"/>
              </w:rPr>
              <w:t>　</w:t>
            </w:r>
          </w:p>
        </w:tc>
      </w:tr>
    </w:tbl>
    <w:p w14:paraId="31F50541"/>
    <w:p w14:paraId="63F6AB29"/>
    <w:p w14:paraId="7F0C05A7"/>
    <w:p w14:paraId="2D24F5E7"/>
    <w:p w14:paraId="46D0D1B9"/>
    <w:p w14:paraId="39D68F89"/>
    <w:p w14:paraId="7B267948"/>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5FEC2087">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2BA5F77C">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49D29F3A">
            <w:pPr>
              <w:spacing w:line="320" w:lineRule="exact"/>
              <w:jc w:val="left"/>
              <w:rPr>
                <w:rFonts w:eastAsia="仿宋_GB2312"/>
                <w:b/>
                <w:bCs/>
                <w:color w:val="000000"/>
                <w:kern w:val="0"/>
                <w:sz w:val="18"/>
                <w:szCs w:val="18"/>
              </w:rPr>
            </w:pPr>
            <w:r>
              <w:rPr>
                <w:rFonts w:eastAsia="仿宋_GB2312"/>
                <w:b/>
                <w:bCs/>
                <w:color w:val="000000"/>
                <w:kern w:val="0"/>
                <w:sz w:val="18"/>
                <w:szCs w:val="18"/>
              </w:rPr>
              <w:t>320217040000</w:t>
            </w:r>
            <w:r>
              <w:rPr>
                <w:rFonts w:hint="eastAsia" w:eastAsia="仿宋_GB2312"/>
                <w:b/>
                <w:bCs/>
                <w:color w:val="000000"/>
                <w:kern w:val="0"/>
                <w:sz w:val="18"/>
                <w:szCs w:val="18"/>
              </w:rPr>
              <w:t xml:space="preserve"> </w:t>
            </w:r>
          </w:p>
        </w:tc>
      </w:tr>
      <w:tr w14:paraId="1FF70D9B">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554D64B3">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023D4845">
            <w:pPr>
              <w:spacing w:line="320" w:lineRule="exact"/>
              <w:jc w:val="left"/>
              <w:rPr>
                <w:color w:val="000000"/>
                <w:kern w:val="0"/>
                <w:sz w:val="18"/>
                <w:szCs w:val="18"/>
              </w:rPr>
            </w:pPr>
            <w:r>
              <w:rPr>
                <w:rFonts w:hint="eastAsia"/>
                <w:color w:val="000000"/>
                <w:kern w:val="0"/>
                <w:sz w:val="18"/>
                <w:szCs w:val="18"/>
              </w:rPr>
              <w:t>对建设单位对勘察、设计、施工、工程监理等单位提出不符合安全生产法律、法规和强制性标准规定的要求的处罚</w:t>
            </w:r>
          </w:p>
        </w:tc>
      </w:tr>
      <w:tr w14:paraId="37A5CC48">
        <w:tblPrEx>
          <w:tblCellMar>
            <w:top w:w="0" w:type="dxa"/>
            <w:left w:w="108" w:type="dxa"/>
            <w:bottom w:w="0" w:type="dxa"/>
            <w:right w:w="108" w:type="dxa"/>
          </w:tblCellMar>
        </w:tblPrEx>
        <w:trPr>
          <w:trHeight w:val="2310" w:hRule="atLeast"/>
        </w:trPr>
        <w:tc>
          <w:tcPr>
            <w:tcW w:w="1050" w:type="dxa"/>
            <w:tcBorders>
              <w:top w:val="nil"/>
              <w:left w:val="single" w:color="auto" w:sz="8" w:space="0"/>
              <w:bottom w:val="single" w:color="auto" w:sz="4" w:space="0"/>
              <w:right w:val="single" w:color="auto" w:sz="4" w:space="0"/>
            </w:tcBorders>
            <w:vAlign w:val="center"/>
          </w:tcPr>
          <w:p w14:paraId="0CFF219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5294794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14:paraId="24E48440">
            <w:pPr>
              <w:spacing w:line="320" w:lineRule="exact"/>
              <w:jc w:val="left"/>
              <w:rPr>
                <w:color w:val="000000"/>
                <w:kern w:val="0"/>
                <w:sz w:val="18"/>
                <w:szCs w:val="18"/>
              </w:rPr>
            </w:pPr>
            <w:r>
              <w:rPr>
                <w:rFonts w:hint="eastAsia"/>
                <w:color w:val="000000"/>
                <w:kern w:val="0"/>
                <w:sz w:val="18"/>
                <w:szCs w:val="18"/>
              </w:rPr>
              <w:t>第七条　建设单位不得对勘察、设计、施工、工程监理等单位提出不符合建设工程安全生产法律、法规和强制性标准规定的要求，不得压缩合同约定的工期。</w:t>
            </w:r>
          </w:p>
          <w:p w14:paraId="75BF3785">
            <w:pPr>
              <w:spacing w:line="320" w:lineRule="exact"/>
              <w:jc w:val="left"/>
              <w:rPr>
                <w:color w:val="000000"/>
                <w:kern w:val="0"/>
                <w:sz w:val="18"/>
                <w:szCs w:val="18"/>
              </w:rPr>
            </w:pPr>
            <w:r>
              <w:rPr>
                <w:rFonts w:hint="eastAsia"/>
                <w:color w:val="000000"/>
                <w:kern w:val="0"/>
                <w:sz w:val="18"/>
                <w:szCs w:val="18"/>
              </w:rPr>
              <w:t>第五十五条　违反本条例的规定，建设单位有下列行为之一的，责令限期改正，处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万元以下的罚款；造成重大安全事故，构成犯罪的，对直接责任人员，依照刑法有关规定追究刑事责任；造成损失的，依法承担赔偿责任：</w:t>
            </w:r>
          </w:p>
          <w:p w14:paraId="5016DD1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（一）对勘察、设计、施工、工程监理等单位提出不符合安全生产法律、法规和强制性标准规定的要求的；</w:t>
            </w:r>
          </w:p>
          <w:p w14:paraId="23659C26">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151B02E6">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0B238723">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25734709">
            <w:pPr>
              <w:spacing w:line="320" w:lineRule="exact"/>
              <w:jc w:val="left"/>
              <w:rPr>
                <w:color w:val="000000"/>
                <w:kern w:val="0"/>
                <w:sz w:val="18"/>
                <w:szCs w:val="18"/>
              </w:rPr>
            </w:pPr>
            <w:r>
              <w:rPr>
                <w:rFonts w:hint="eastAsia"/>
                <w:color w:val="000000"/>
                <w:kern w:val="0"/>
                <w:sz w:val="18"/>
                <w:szCs w:val="18"/>
              </w:rPr>
              <w:t>责令限期改正，罚款</w:t>
            </w:r>
          </w:p>
        </w:tc>
      </w:tr>
      <w:tr w14:paraId="16FC3CE9">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62D6B807">
            <w:pPr>
              <w:spacing w:line="320" w:lineRule="exact"/>
              <w:jc w:val="center"/>
              <w:rPr>
                <w:color w:val="000000"/>
                <w:kern w:val="0"/>
                <w:sz w:val="18"/>
                <w:szCs w:val="18"/>
              </w:rPr>
            </w:pPr>
            <w:r>
              <w:rPr>
                <w:rFonts w:hint="eastAsia"/>
                <w:color w:val="000000"/>
                <w:kern w:val="0"/>
                <w:sz w:val="18"/>
                <w:szCs w:val="18"/>
              </w:rPr>
              <w:t>裁量基准</w:t>
            </w:r>
          </w:p>
        </w:tc>
      </w:tr>
      <w:tr w14:paraId="7B4DA140">
        <w:tblPrEx>
          <w:tblCellMar>
            <w:top w:w="0" w:type="dxa"/>
            <w:left w:w="108" w:type="dxa"/>
            <w:bottom w:w="0" w:type="dxa"/>
            <w:right w:w="108" w:type="dxa"/>
          </w:tblCellMar>
        </w:tblPrEx>
        <w:trPr>
          <w:trHeight w:val="285" w:hRule="atLeast"/>
        </w:trPr>
        <w:tc>
          <w:tcPr>
            <w:tcW w:w="1050" w:type="dxa"/>
            <w:vMerge w:val="restart"/>
            <w:tcBorders>
              <w:top w:val="single" w:color="auto" w:sz="4" w:space="0"/>
              <w:left w:val="single" w:color="auto" w:sz="4" w:space="0"/>
              <w:bottom w:val="single" w:color="auto" w:sz="4" w:space="0"/>
              <w:right w:val="single" w:color="auto" w:sz="4" w:space="0"/>
            </w:tcBorders>
            <w:vAlign w:val="center"/>
          </w:tcPr>
          <w:p w14:paraId="27768E1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67096182">
            <w:pPr>
              <w:spacing w:line="320" w:lineRule="exact"/>
              <w:jc w:val="left"/>
              <w:rPr>
                <w:color w:val="000000"/>
                <w:kern w:val="0"/>
                <w:sz w:val="18"/>
                <w:szCs w:val="18"/>
              </w:rPr>
            </w:pPr>
            <w:r>
              <w:rPr>
                <w:rFonts w:hint="eastAsia"/>
                <w:color w:val="000000"/>
                <w:kern w:val="0"/>
                <w:sz w:val="18"/>
                <w:szCs w:val="18"/>
              </w:rPr>
              <w:t>勘察、设计、施工、工程监理等单位未按照建设单位的要求实施的</w:t>
            </w:r>
          </w:p>
        </w:tc>
        <w:tc>
          <w:tcPr>
            <w:tcW w:w="1100" w:type="dxa"/>
            <w:vMerge w:val="restart"/>
            <w:tcBorders>
              <w:top w:val="single" w:color="auto" w:sz="4" w:space="0"/>
              <w:left w:val="single" w:color="auto" w:sz="4" w:space="0"/>
              <w:bottom w:val="single" w:color="auto" w:sz="4" w:space="0"/>
              <w:right w:val="single" w:color="auto" w:sz="4" w:space="0"/>
            </w:tcBorders>
            <w:vAlign w:val="center"/>
          </w:tcPr>
          <w:p w14:paraId="12F93A07">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single" w:color="auto" w:sz="4" w:space="0"/>
              <w:bottom w:val="single" w:color="auto" w:sz="4" w:space="0"/>
              <w:right w:val="single" w:color="auto" w:sz="4" w:space="0"/>
            </w:tcBorders>
            <w:vAlign w:val="center"/>
          </w:tcPr>
          <w:p w14:paraId="6891043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w:t>
            </w:r>
          </w:p>
        </w:tc>
      </w:tr>
      <w:tr w14:paraId="13BA461E">
        <w:tblPrEx>
          <w:tblCellMar>
            <w:top w:w="0" w:type="dxa"/>
            <w:left w:w="108" w:type="dxa"/>
            <w:bottom w:w="0" w:type="dxa"/>
            <w:right w:w="108" w:type="dxa"/>
          </w:tblCellMar>
        </w:tblPrEx>
        <w:trPr>
          <w:trHeight w:val="285" w:hRule="atLeast"/>
        </w:trPr>
        <w:tc>
          <w:tcPr>
            <w:tcW w:w="1050" w:type="dxa"/>
            <w:vMerge w:val="continue"/>
            <w:tcBorders>
              <w:top w:val="single" w:color="auto" w:sz="4" w:space="0"/>
              <w:left w:val="single" w:color="auto" w:sz="4" w:space="0"/>
              <w:bottom w:val="single" w:color="auto" w:sz="4" w:space="0"/>
              <w:right w:val="single" w:color="auto" w:sz="4" w:space="0"/>
            </w:tcBorders>
            <w:vAlign w:val="center"/>
          </w:tcPr>
          <w:p w14:paraId="57118968">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17533F53">
            <w:pPr>
              <w:spacing w:line="320" w:lineRule="exact"/>
              <w:jc w:val="left"/>
              <w:rPr>
                <w:color w:val="000000"/>
                <w:kern w:val="0"/>
                <w:sz w:val="18"/>
                <w:szCs w:val="18"/>
              </w:rPr>
            </w:pPr>
            <w:r>
              <w:rPr>
                <w:rFonts w:hint="eastAsia"/>
                <w:color w:val="000000"/>
                <w:kern w:val="0"/>
                <w:sz w:val="18"/>
                <w:szCs w:val="18"/>
              </w:rPr>
              <w:t>按照建设单位的要求实施，未发生生产安全事故的</w:t>
            </w:r>
          </w:p>
        </w:tc>
        <w:tc>
          <w:tcPr>
            <w:tcW w:w="1100" w:type="dxa"/>
            <w:vMerge w:val="continue"/>
            <w:tcBorders>
              <w:top w:val="single" w:color="auto" w:sz="4" w:space="0"/>
              <w:left w:val="single" w:color="auto" w:sz="4" w:space="0"/>
              <w:bottom w:val="single" w:color="auto" w:sz="4" w:space="0"/>
              <w:right w:val="single" w:color="auto" w:sz="4" w:space="0"/>
            </w:tcBorders>
            <w:vAlign w:val="center"/>
          </w:tcPr>
          <w:p w14:paraId="37492975">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5AC4EEF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万以上</w:t>
            </w:r>
            <w:r>
              <w:rPr>
                <w:color w:val="000000"/>
                <w:kern w:val="0"/>
                <w:sz w:val="18"/>
                <w:szCs w:val="18"/>
              </w:rPr>
              <w:t>40</w:t>
            </w:r>
            <w:r>
              <w:rPr>
                <w:rFonts w:hint="eastAsia"/>
                <w:color w:val="000000"/>
                <w:kern w:val="0"/>
                <w:sz w:val="18"/>
                <w:szCs w:val="18"/>
              </w:rPr>
              <w:t>万以下的罚款</w:t>
            </w:r>
          </w:p>
        </w:tc>
      </w:tr>
      <w:tr w14:paraId="41BB3405">
        <w:tblPrEx>
          <w:tblCellMar>
            <w:top w:w="0" w:type="dxa"/>
            <w:left w:w="108" w:type="dxa"/>
            <w:bottom w:w="0" w:type="dxa"/>
            <w:right w:w="108" w:type="dxa"/>
          </w:tblCellMar>
        </w:tblPrEx>
        <w:trPr>
          <w:trHeight w:val="373" w:hRule="atLeast"/>
        </w:trPr>
        <w:tc>
          <w:tcPr>
            <w:tcW w:w="1050" w:type="dxa"/>
            <w:vMerge w:val="continue"/>
            <w:tcBorders>
              <w:top w:val="single" w:color="auto" w:sz="4" w:space="0"/>
              <w:left w:val="single" w:color="auto" w:sz="4" w:space="0"/>
              <w:bottom w:val="single" w:color="auto" w:sz="4" w:space="0"/>
              <w:right w:val="single" w:color="auto" w:sz="4" w:space="0"/>
            </w:tcBorders>
            <w:vAlign w:val="center"/>
          </w:tcPr>
          <w:p w14:paraId="769A3067">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7C3708F0">
            <w:pPr>
              <w:spacing w:line="320" w:lineRule="exact"/>
              <w:jc w:val="left"/>
              <w:rPr>
                <w:color w:val="000000"/>
                <w:kern w:val="0"/>
                <w:sz w:val="18"/>
                <w:szCs w:val="18"/>
              </w:rPr>
            </w:pPr>
            <w:r>
              <w:rPr>
                <w:rFonts w:hint="eastAsia"/>
                <w:color w:val="000000"/>
                <w:kern w:val="0"/>
                <w:sz w:val="18"/>
                <w:szCs w:val="18"/>
              </w:rPr>
              <w:t>按照建设单位的要求实施，发生生产安全事故的</w:t>
            </w:r>
          </w:p>
        </w:tc>
        <w:tc>
          <w:tcPr>
            <w:tcW w:w="1100" w:type="dxa"/>
            <w:vMerge w:val="continue"/>
            <w:tcBorders>
              <w:top w:val="single" w:color="auto" w:sz="4" w:space="0"/>
              <w:left w:val="single" w:color="auto" w:sz="4" w:space="0"/>
              <w:bottom w:val="single" w:color="auto" w:sz="4" w:space="0"/>
              <w:right w:val="single" w:color="auto" w:sz="4" w:space="0"/>
            </w:tcBorders>
            <w:vAlign w:val="center"/>
          </w:tcPr>
          <w:p w14:paraId="4D8B0328">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46EAA9C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万以上</w:t>
            </w:r>
            <w:r>
              <w:rPr>
                <w:color w:val="000000"/>
                <w:kern w:val="0"/>
                <w:sz w:val="18"/>
                <w:szCs w:val="18"/>
              </w:rPr>
              <w:t>50</w:t>
            </w:r>
            <w:r>
              <w:rPr>
                <w:rFonts w:hint="eastAsia"/>
                <w:color w:val="000000"/>
                <w:kern w:val="0"/>
                <w:sz w:val="18"/>
                <w:szCs w:val="18"/>
              </w:rPr>
              <w:t>万以下的罚款</w:t>
            </w:r>
          </w:p>
        </w:tc>
      </w:tr>
    </w:tbl>
    <w:p w14:paraId="77C8C462"/>
    <w:p w14:paraId="6E43A5C1"/>
    <w:p w14:paraId="5E5AB4E6"/>
    <w:p w14:paraId="10155854"/>
    <w:p w14:paraId="2A1575C5"/>
    <w:p w14:paraId="6D3ABD05"/>
    <w:p w14:paraId="1563E5C0"/>
    <w:p w14:paraId="41AC75A0"/>
    <w:tbl>
      <w:tblPr>
        <w:tblStyle w:val="15"/>
        <w:tblW w:w="14300" w:type="dxa"/>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1248"/>
        <w:gridCol w:w="5103"/>
        <w:gridCol w:w="1560"/>
        <w:gridCol w:w="5349"/>
      </w:tblGrid>
      <w:tr w14:paraId="4CAB23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0" w:type="dxa"/>
            <w:tcBorders>
              <w:top w:val="single" w:color="auto" w:sz="8" w:space="0"/>
            </w:tcBorders>
            <w:vAlign w:val="center"/>
          </w:tcPr>
          <w:p w14:paraId="3F856C6D">
            <w:pPr>
              <w:spacing w:line="320" w:lineRule="exact"/>
              <w:jc w:val="center"/>
              <w:rPr>
                <w:color w:val="000000"/>
                <w:kern w:val="0"/>
                <w:sz w:val="18"/>
                <w:szCs w:val="18"/>
              </w:rPr>
            </w:pPr>
            <w:r>
              <w:rPr>
                <w:rFonts w:hint="eastAsia"/>
                <w:color w:val="000000"/>
                <w:kern w:val="0"/>
                <w:sz w:val="18"/>
                <w:szCs w:val="18"/>
              </w:rPr>
              <w:t>编号</w:t>
            </w:r>
          </w:p>
        </w:tc>
        <w:tc>
          <w:tcPr>
            <w:tcW w:w="13260" w:type="dxa"/>
            <w:gridSpan w:val="4"/>
            <w:tcBorders>
              <w:top w:val="single" w:color="auto" w:sz="8" w:space="0"/>
            </w:tcBorders>
            <w:vAlign w:val="center"/>
          </w:tcPr>
          <w:p w14:paraId="43FBDEF3">
            <w:pPr>
              <w:spacing w:line="320" w:lineRule="exact"/>
              <w:jc w:val="left"/>
              <w:rPr>
                <w:rFonts w:eastAsia="仿宋_GB2312"/>
                <w:b/>
                <w:bCs/>
                <w:color w:val="000000"/>
                <w:kern w:val="0"/>
                <w:sz w:val="18"/>
                <w:szCs w:val="18"/>
              </w:rPr>
            </w:pPr>
            <w:r>
              <w:rPr>
                <w:rFonts w:eastAsia="仿宋_GB2312"/>
                <w:b/>
                <w:bCs/>
                <w:color w:val="000000"/>
                <w:kern w:val="0"/>
                <w:sz w:val="18"/>
                <w:szCs w:val="18"/>
              </w:rPr>
              <w:t>320217041000</w:t>
            </w:r>
          </w:p>
        </w:tc>
      </w:tr>
      <w:tr w14:paraId="450A1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0" w:type="dxa"/>
            <w:vAlign w:val="center"/>
          </w:tcPr>
          <w:p w14:paraId="4C3B38E5">
            <w:pPr>
              <w:spacing w:line="320" w:lineRule="exact"/>
              <w:jc w:val="center"/>
              <w:rPr>
                <w:color w:val="000000"/>
                <w:kern w:val="0"/>
                <w:sz w:val="18"/>
                <w:szCs w:val="18"/>
              </w:rPr>
            </w:pPr>
            <w:r>
              <w:rPr>
                <w:rFonts w:hint="eastAsia"/>
                <w:color w:val="000000"/>
                <w:kern w:val="0"/>
                <w:sz w:val="18"/>
                <w:szCs w:val="18"/>
              </w:rPr>
              <w:t>行为名称</w:t>
            </w:r>
          </w:p>
        </w:tc>
        <w:tc>
          <w:tcPr>
            <w:tcW w:w="13260" w:type="dxa"/>
            <w:gridSpan w:val="4"/>
            <w:vAlign w:val="center"/>
          </w:tcPr>
          <w:p w14:paraId="0FDB6B72">
            <w:pPr>
              <w:spacing w:line="320" w:lineRule="exact"/>
              <w:jc w:val="left"/>
              <w:rPr>
                <w:color w:val="000000"/>
                <w:kern w:val="0"/>
                <w:sz w:val="18"/>
                <w:szCs w:val="18"/>
              </w:rPr>
            </w:pPr>
            <w:r>
              <w:rPr>
                <w:rFonts w:hint="eastAsia"/>
                <w:color w:val="000000"/>
                <w:kern w:val="0"/>
                <w:sz w:val="18"/>
                <w:szCs w:val="18"/>
              </w:rPr>
              <w:t>对施工单位取得资质证书后降低安全生产条件的处罚</w:t>
            </w:r>
          </w:p>
        </w:tc>
      </w:tr>
      <w:tr w14:paraId="30AB64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7" w:hRule="atLeast"/>
        </w:trPr>
        <w:tc>
          <w:tcPr>
            <w:tcW w:w="1040" w:type="dxa"/>
            <w:vAlign w:val="center"/>
          </w:tcPr>
          <w:p w14:paraId="0E5ABF14">
            <w:pPr>
              <w:spacing w:line="320" w:lineRule="exact"/>
              <w:jc w:val="center"/>
              <w:rPr>
                <w:color w:val="000000"/>
                <w:kern w:val="0"/>
                <w:sz w:val="18"/>
                <w:szCs w:val="18"/>
              </w:rPr>
            </w:pPr>
            <w:r>
              <w:rPr>
                <w:rFonts w:hint="eastAsia"/>
                <w:color w:val="000000"/>
                <w:kern w:val="0"/>
                <w:sz w:val="18"/>
                <w:szCs w:val="18"/>
              </w:rPr>
              <w:t>法律依据</w:t>
            </w:r>
          </w:p>
        </w:tc>
        <w:tc>
          <w:tcPr>
            <w:tcW w:w="13260" w:type="dxa"/>
            <w:gridSpan w:val="4"/>
            <w:vAlign w:val="center"/>
          </w:tcPr>
          <w:p w14:paraId="03523FB6">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【行政法规】《安全生产许可证条例》(国务院令第397号)</w:t>
            </w:r>
          </w:p>
          <w:p w14:paraId="5342CA77">
            <w:pPr>
              <w:spacing w:line="240" w:lineRule="exact"/>
              <w:jc w:val="left"/>
              <w:rPr>
                <w:color w:val="000000"/>
                <w:kern w:val="0"/>
                <w:sz w:val="18"/>
                <w:szCs w:val="18"/>
              </w:rPr>
            </w:pPr>
            <w:r>
              <w:rPr>
                <w:rFonts w:hint="eastAsia"/>
                <w:color w:val="000000"/>
                <w:kern w:val="0"/>
                <w:sz w:val="18"/>
                <w:szCs w:val="18"/>
              </w:rPr>
              <w:t xml:space="preserve">　　第十四条　企业取得安全生产许可证后，不得降低安全生产条件，并应当加强日常安全生产管理，接受安全生产许可证颁发管理机关的监督检查。 </w:t>
            </w:r>
          </w:p>
          <w:p w14:paraId="2FB97261">
            <w:pPr>
              <w:spacing w:line="240" w:lineRule="exact"/>
              <w:jc w:val="left"/>
              <w:rPr>
                <w:color w:val="000000"/>
                <w:kern w:val="0"/>
                <w:sz w:val="18"/>
                <w:szCs w:val="18"/>
              </w:rPr>
            </w:pPr>
            <w:r>
              <w:rPr>
                <w:rFonts w:hint="eastAsia"/>
                <w:color w:val="000000"/>
                <w:kern w:val="0"/>
                <w:sz w:val="18"/>
                <w:szCs w:val="18"/>
              </w:rPr>
              <w:t>　　安全生产许可证颁发管理机关应当加强对取得安全生产许可证的企业的监督检查，发现其不再具备本条例规定的安全生产条件的，应当暂扣或者吊销安全生产许可证。</w:t>
            </w:r>
          </w:p>
          <w:p w14:paraId="6F8A4A95">
            <w:pPr>
              <w:spacing w:line="24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35BDDBCF">
            <w:pPr>
              <w:spacing w:line="240" w:lineRule="exact"/>
              <w:jc w:val="left"/>
              <w:rPr>
                <w:color w:val="000000"/>
                <w:kern w:val="0"/>
                <w:sz w:val="18"/>
                <w:szCs w:val="18"/>
              </w:rPr>
            </w:pPr>
            <w:r>
              <w:rPr>
                <w:rFonts w:hint="eastAsia"/>
                <w:color w:val="000000"/>
                <w:kern w:val="0"/>
                <w:sz w:val="18"/>
                <w:szCs w:val="18"/>
              </w:rPr>
              <w:t xml:space="preserve">        第六十七条　施工单位取得资质证书后，降低安全生产条件的，责令限期改正；经整改仍未达到与其资质等级相适应的安全生产条件的，责令停业整顿，降低其资质等级直至吊销资质证书。</w:t>
            </w:r>
          </w:p>
          <w:p w14:paraId="08A9E96E">
            <w:pPr>
              <w:spacing w:line="24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w:t>
            </w:r>
          </w:p>
          <w:p w14:paraId="425EF393">
            <w:pPr>
              <w:spacing w:line="24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p>
          <w:p w14:paraId="1DEB9BF6">
            <w:pPr>
              <w:spacing w:line="240" w:lineRule="exact"/>
              <w:jc w:val="left"/>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p w14:paraId="40AC7EE4">
            <w:pPr>
              <w:spacing w:line="240" w:lineRule="exact"/>
              <w:jc w:val="left"/>
              <w:rPr>
                <w:color w:val="000000"/>
                <w:kern w:val="0"/>
                <w:sz w:val="18"/>
                <w:szCs w:val="18"/>
              </w:rPr>
            </w:pPr>
            <w:r>
              <w:rPr>
                <w:rFonts w:hint="eastAsia"/>
                <w:color w:val="000000"/>
                <w:kern w:val="0"/>
                <w:sz w:val="18"/>
                <w:szCs w:val="18"/>
              </w:rPr>
              <w:t>【规章】《建筑施工企业安全生产许可证管理规定》(建设部令第128号)</w:t>
            </w:r>
          </w:p>
          <w:p w14:paraId="699BE895">
            <w:pPr>
              <w:spacing w:line="240" w:lineRule="exact"/>
              <w:jc w:val="left"/>
              <w:rPr>
                <w:color w:val="000000"/>
                <w:kern w:val="0"/>
                <w:sz w:val="18"/>
                <w:szCs w:val="18"/>
              </w:rPr>
            </w:pPr>
            <w:r>
              <w:rPr>
                <w:rFonts w:hint="eastAsia"/>
                <w:color w:val="000000"/>
                <w:kern w:val="0"/>
                <w:sz w:val="18"/>
                <w:szCs w:val="18"/>
              </w:rPr>
              <w:t>　　第二十二条　取得安全生产许可证的建筑施工企业，发生重大安全事故的，暂扣安全生产许可证并限期整改。</w:t>
            </w:r>
          </w:p>
          <w:p w14:paraId="3BE0B03F">
            <w:pPr>
              <w:spacing w:line="240" w:lineRule="exact"/>
              <w:jc w:val="left"/>
              <w:rPr>
                <w:color w:val="000000"/>
                <w:kern w:val="0"/>
                <w:sz w:val="18"/>
                <w:szCs w:val="18"/>
              </w:rPr>
            </w:pPr>
            <w:r>
              <w:rPr>
                <w:rFonts w:hint="eastAsia"/>
                <w:color w:val="000000"/>
                <w:kern w:val="0"/>
                <w:sz w:val="18"/>
                <w:szCs w:val="18"/>
              </w:rPr>
              <w:t xml:space="preserve">　　第二十三条　建筑施工企业不再具备安全生产条件的，暂扣安全生产许可证并限期整改；情节严重的，吊销安全生产许可证。 </w:t>
            </w:r>
          </w:p>
          <w:p w14:paraId="27A6B708">
            <w:pPr>
              <w:spacing w:line="240" w:lineRule="exact"/>
              <w:jc w:val="left"/>
              <w:rPr>
                <w:color w:val="000000"/>
                <w:kern w:val="0"/>
                <w:sz w:val="18"/>
                <w:szCs w:val="18"/>
              </w:rPr>
            </w:pPr>
            <w:r>
              <w:rPr>
                <w:rFonts w:hint="eastAsia"/>
                <w:color w:val="000000"/>
                <w:kern w:val="0"/>
                <w:sz w:val="18"/>
                <w:szCs w:val="18"/>
              </w:rPr>
              <w:t>　　第二十八条　本规定的暂扣、吊销安全生产许可证的行政处罚，由安全生产许可证的颁发管理机关决定；其他行政处罚，由县级以上地方人民政府建设主管部门决定。</w:t>
            </w:r>
          </w:p>
        </w:tc>
      </w:tr>
      <w:tr w14:paraId="58C6D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0" w:type="dxa"/>
            <w:vAlign w:val="center"/>
          </w:tcPr>
          <w:p w14:paraId="42DD33A1">
            <w:pPr>
              <w:spacing w:line="320" w:lineRule="exact"/>
              <w:jc w:val="center"/>
              <w:rPr>
                <w:color w:val="000000"/>
                <w:kern w:val="0"/>
                <w:sz w:val="18"/>
                <w:szCs w:val="18"/>
              </w:rPr>
            </w:pPr>
            <w:r>
              <w:rPr>
                <w:rFonts w:hint="eastAsia"/>
                <w:color w:val="000000"/>
                <w:kern w:val="0"/>
                <w:sz w:val="18"/>
                <w:szCs w:val="18"/>
              </w:rPr>
              <w:t>行使内容</w:t>
            </w:r>
          </w:p>
        </w:tc>
        <w:tc>
          <w:tcPr>
            <w:tcW w:w="13260" w:type="dxa"/>
            <w:gridSpan w:val="4"/>
            <w:vAlign w:val="center"/>
          </w:tcPr>
          <w:p w14:paraId="4D264E8C">
            <w:pPr>
              <w:spacing w:line="320" w:lineRule="exact"/>
              <w:jc w:val="left"/>
              <w:rPr>
                <w:color w:val="000000"/>
                <w:kern w:val="0"/>
                <w:sz w:val="18"/>
                <w:szCs w:val="18"/>
              </w:rPr>
            </w:pPr>
            <w:r>
              <w:rPr>
                <w:rFonts w:hint="eastAsia"/>
                <w:color w:val="000000"/>
                <w:kern w:val="0"/>
                <w:sz w:val="18"/>
                <w:szCs w:val="18"/>
              </w:rPr>
              <w:t>责令限期改正，暂扣安全生产许可证，吊销安全生产许可证，责令停业整顿 ，降低资质等级，吊销资质证书</w:t>
            </w:r>
          </w:p>
        </w:tc>
      </w:tr>
      <w:tr w14:paraId="36D46F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300" w:type="dxa"/>
            <w:gridSpan w:val="5"/>
            <w:vAlign w:val="center"/>
          </w:tcPr>
          <w:p w14:paraId="0CCC6E3F">
            <w:pPr>
              <w:spacing w:line="320" w:lineRule="exact"/>
              <w:jc w:val="center"/>
              <w:rPr>
                <w:color w:val="000000"/>
                <w:kern w:val="0"/>
                <w:sz w:val="18"/>
                <w:szCs w:val="18"/>
              </w:rPr>
            </w:pPr>
            <w:r>
              <w:rPr>
                <w:rFonts w:hint="eastAsia"/>
                <w:color w:val="000000"/>
                <w:kern w:val="0"/>
                <w:sz w:val="18"/>
                <w:szCs w:val="18"/>
              </w:rPr>
              <w:t>裁量基准</w:t>
            </w:r>
          </w:p>
        </w:tc>
      </w:tr>
      <w:tr w14:paraId="1836DE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288" w:type="dxa"/>
            <w:gridSpan w:val="2"/>
            <w:tcBorders>
              <w:bottom w:val="single" w:color="auto" w:sz="8" w:space="0"/>
            </w:tcBorders>
            <w:vAlign w:val="center"/>
          </w:tcPr>
          <w:p w14:paraId="7EE7AB16">
            <w:pPr>
              <w:spacing w:line="320" w:lineRule="exact"/>
              <w:jc w:val="center"/>
              <w:rPr>
                <w:color w:val="000000"/>
                <w:kern w:val="0"/>
                <w:sz w:val="18"/>
                <w:szCs w:val="18"/>
              </w:rPr>
            </w:pPr>
            <w:r>
              <w:rPr>
                <w:rFonts w:hint="eastAsia"/>
                <w:color w:val="000000"/>
                <w:kern w:val="0"/>
                <w:sz w:val="18"/>
                <w:szCs w:val="18"/>
              </w:rPr>
              <w:t>情形描述</w:t>
            </w:r>
          </w:p>
        </w:tc>
        <w:tc>
          <w:tcPr>
            <w:tcW w:w="5103" w:type="dxa"/>
            <w:tcBorders>
              <w:bottom w:val="single" w:color="auto" w:sz="8" w:space="0"/>
            </w:tcBorders>
            <w:vAlign w:val="center"/>
          </w:tcPr>
          <w:p w14:paraId="373C430F">
            <w:pPr>
              <w:spacing w:line="320" w:lineRule="exact"/>
              <w:rPr>
                <w:color w:val="000000"/>
                <w:kern w:val="0"/>
                <w:sz w:val="18"/>
                <w:szCs w:val="18"/>
              </w:rPr>
            </w:pPr>
            <w:r>
              <w:rPr>
                <w:rFonts w:hint="eastAsia"/>
                <w:color w:val="000000"/>
                <w:kern w:val="0"/>
                <w:sz w:val="18"/>
                <w:szCs w:val="18"/>
              </w:rPr>
              <w:t>根据住建部关于印发《建筑施工企业安全生产许可证动态监管暂行办法》的通知</w:t>
            </w:r>
            <w:r>
              <w:rPr>
                <w:color w:val="000000"/>
                <w:kern w:val="0"/>
                <w:sz w:val="18"/>
                <w:szCs w:val="18"/>
              </w:rPr>
              <w:t xml:space="preserve"> </w:t>
            </w:r>
            <w:r>
              <w:rPr>
                <w:rFonts w:hint="eastAsia"/>
                <w:color w:val="000000"/>
                <w:kern w:val="0"/>
                <w:sz w:val="18"/>
                <w:szCs w:val="18"/>
              </w:rPr>
              <w:t>建质</w:t>
            </w:r>
            <w:r>
              <w:rPr>
                <w:color w:val="000000"/>
                <w:kern w:val="0"/>
                <w:sz w:val="18"/>
                <w:szCs w:val="18"/>
              </w:rPr>
              <w:t>[2008]121</w:t>
            </w:r>
            <w:r>
              <w:rPr>
                <w:rFonts w:hint="eastAsia"/>
                <w:color w:val="000000"/>
                <w:kern w:val="0"/>
                <w:sz w:val="18"/>
                <w:szCs w:val="18"/>
              </w:rPr>
              <w:t>号进行具体划分</w:t>
            </w:r>
          </w:p>
        </w:tc>
        <w:tc>
          <w:tcPr>
            <w:tcW w:w="1560" w:type="dxa"/>
            <w:tcBorders>
              <w:bottom w:val="single" w:color="auto" w:sz="8" w:space="0"/>
            </w:tcBorders>
            <w:vAlign w:val="center"/>
          </w:tcPr>
          <w:p w14:paraId="64FA613E">
            <w:pPr>
              <w:spacing w:line="320" w:lineRule="exact"/>
              <w:jc w:val="center"/>
              <w:rPr>
                <w:color w:val="000000"/>
                <w:kern w:val="0"/>
                <w:sz w:val="18"/>
                <w:szCs w:val="18"/>
              </w:rPr>
            </w:pPr>
            <w:r>
              <w:rPr>
                <w:rFonts w:hint="eastAsia"/>
                <w:color w:val="000000"/>
                <w:kern w:val="0"/>
                <w:sz w:val="18"/>
                <w:szCs w:val="18"/>
              </w:rPr>
              <w:t>裁量幅度</w:t>
            </w:r>
          </w:p>
        </w:tc>
        <w:tc>
          <w:tcPr>
            <w:tcW w:w="5349" w:type="dxa"/>
            <w:tcBorders>
              <w:bottom w:val="single" w:color="auto" w:sz="8" w:space="0"/>
            </w:tcBorders>
            <w:vAlign w:val="center"/>
          </w:tcPr>
          <w:p w14:paraId="4878F540">
            <w:pPr>
              <w:spacing w:line="320" w:lineRule="exact"/>
              <w:jc w:val="center"/>
              <w:rPr>
                <w:color w:val="000000"/>
                <w:kern w:val="0"/>
                <w:sz w:val="18"/>
                <w:szCs w:val="18"/>
              </w:rPr>
            </w:pPr>
          </w:p>
        </w:tc>
      </w:tr>
    </w:tbl>
    <w:p w14:paraId="47DAA6AF"/>
    <w:p w14:paraId="058DAE05"/>
    <w:p w14:paraId="55E8D143"/>
    <w:p w14:paraId="4F315191"/>
    <w:p w14:paraId="23B8D82E"/>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2984E1B3">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F41C1F3">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4585C3B4">
            <w:pPr>
              <w:spacing w:line="320" w:lineRule="exact"/>
              <w:jc w:val="left"/>
              <w:rPr>
                <w:rFonts w:eastAsia="仿宋_GB2312"/>
                <w:b/>
                <w:bCs/>
                <w:color w:val="000000"/>
                <w:kern w:val="0"/>
                <w:sz w:val="18"/>
                <w:szCs w:val="18"/>
              </w:rPr>
            </w:pPr>
            <w:r>
              <w:rPr>
                <w:rFonts w:eastAsia="仿宋_GB2312"/>
                <w:b/>
                <w:bCs/>
                <w:color w:val="000000"/>
                <w:kern w:val="0"/>
                <w:sz w:val="18"/>
                <w:szCs w:val="18"/>
              </w:rPr>
              <w:t>320217042000</w:t>
            </w:r>
            <w:r>
              <w:rPr>
                <w:rFonts w:hint="eastAsia" w:eastAsia="仿宋_GB2312"/>
                <w:b/>
                <w:bCs/>
                <w:color w:val="000000"/>
                <w:kern w:val="0"/>
                <w:sz w:val="18"/>
                <w:szCs w:val="18"/>
              </w:rPr>
              <w:t xml:space="preserve"> </w:t>
            </w:r>
          </w:p>
        </w:tc>
      </w:tr>
      <w:tr w14:paraId="7D9ADD8E">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E4973A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58217154">
            <w:pPr>
              <w:spacing w:line="320" w:lineRule="exact"/>
              <w:jc w:val="left"/>
              <w:rPr>
                <w:color w:val="000000"/>
                <w:kern w:val="0"/>
                <w:sz w:val="18"/>
                <w:szCs w:val="18"/>
              </w:rPr>
            </w:pPr>
            <w:r>
              <w:rPr>
                <w:rFonts w:hint="eastAsia"/>
                <w:color w:val="000000"/>
                <w:kern w:val="0"/>
                <w:sz w:val="18"/>
                <w:szCs w:val="18"/>
              </w:rPr>
              <w:t>对建筑业企业未依法履行工程质量保修义务或拖延履行保修义务的处罚</w:t>
            </w:r>
          </w:p>
        </w:tc>
      </w:tr>
      <w:tr w14:paraId="3199D664">
        <w:tblPrEx>
          <w:tblCellMar>
            <w:top w:w="0" w:type="dxa"/>
            <w:left w:w="108" w:type="dxa"/>
            <w:bottom w:w="0" w:type="dxa"/>
            <w:right w:w="108" w:type="dxa"/>
          </w:tblCellMar>
        </w:tblPrEx>
        <w:trPr>
          <w:trHeight w:val="1785" w:hRule="atLeast"/>
        </w:trPr>
        <w:tc>
          <w:tcPr>
            <w:tcW w:w="1056" w:type="dxa"/>
            <w:tcBorders>
              <w:top w:val="nil"/>
              <w:left w:val="single" w:color="auto" w:sz="8" w:space="0"/>
              <w:bottom w:val="single" w:color="auto" w:sz="4" w:space="0"/>
              <w:right w:val="single" w:color="auto" w:sz="4" w:space="0"/>
            </w:tcBorders>
            <w:vAlign w:val="center"/>
          </w:tcPr>
          <w:p w14:paraId="6B13A276">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6F60601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4DA34E3A">
            <w:pPr>
              <w:spacing w:line="320" w:lineRule="exact"/>
              <w:jc w:val="left"/>
              <w:rPr>
                <w:color w:val="000000"/>
                <w:kern w:val="0"/>
                <w:sz w:val="18"/>
                <w:szCs w:val="18"/>
              </w:rPr>
            </w:pPr>
            <w:r>
              <w:rPr>
                <w:rFonts w:hint="eastAsia"/>
                <w:color w:val="000000"/>
                <w:kern w:val="0"/>
                <w:sz w:val="18"/>
                <w:szCs w:val="18"/>
              </w:rPr>
              <w:t>第四十一条　建设工程在保修范围和保修期限内发生质量问题的，施工单位应当履行保修义务，并对造成的损失承担赔偿责任。</w:t>
            </w:r>
          </w:p>
          <w:p w14:paraId="47B1EE9F">
            <w:pPr>
              <w:spacing w:line="320" w:lineRule="exact"/>
              <w:jc w:val="left"/>
              <w:rPr>
                <w:color w:val="000000"/>
                <w:kern w:val="0"/>
                <w:sz w:val="18"/>
                <w:szCs w:val="18"/>
              </w:rPr>
            </w:pPr>
            <w:r>
              <w:rPr>
                <w:rFonts w:hint="eastAsia"/>
                <w:color w:val="000000"/>
                <w:kern w:val="0"/>
                <w:sz w:val="18"/>
                <w:szCs w:val="18"/>
              </w:rPr>
              <w:t>第六十六条　违反本条例规定，施工单位不履行保修义务或者拖延履行保修义务的，责令改正，处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万元以下的罚款，并对在保修期内因质量缺陷造成的损失承担赔偿责任。</w:t>
            </w:r>
          </w:p>
          <w:p w14:paraId="315011F4">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63CAD63E">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6D6498D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1CE5A0B">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788F3EDB">
            <w:pPr>
              <w:spacing w:line="320" w:lineRule="exact"/>
              <w:jc w:val="left"/>
              <w:rPr>
                <w:color w:val="000000"/>
                <w:kern w:val="0"/>
                <w:sz w:val="18"/>
                <w:szCs w:val="18"/>
              </w:rPr>
            </w:pPr>
            <w:r>
              <w:rPr>
                <w:rFonts w:hint="eastAsia"/>
                <w:color w:val="000000"/>
                <w:kern w:val="0"/>
                <w:sz w:val="18"/>
                <w:szCs w:val="18"/>
              </w:rPr>
              <w:t>罚款</w:t>
            </w:r>
          </w:p>
        </w:tc>
      </w:tr>
      <w:tr w14:paraId="765A76C3">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18B19FF1">
            <w:pPr>
              <w:spacing w:line="320" w:lineRule="exact"/>
              <w:jc w:val="center"/>
              <w:rPr>
                <w:color w:val="000000"/>
                <w:kern w:val="0"/>
                <w:sz w:val="18"/>
                <w:szCs w:val="18"/>
              </w:rPr>
            </w:pPr>
            <w:r>
              <w:rPr>
                <w:rFonts w:hint="eastAsia"/>
                <w:color w:val="000000"/>
                <w:kern w:val="0"/>
                <w:sz w:val="18"/>
                <w:szCs w:val="18"/>
              </w:rPr>
              <w:t>裁量基准</w:t>
            </w:r>
          </w:p>
        </w:tc>
      </w:tr>
      <w:tr w14:paraId="707168AA">
        <w:tblPrEx>
          <w:tblCellMar>
            <w:top w:w="0" w:type="dxa"/>
            <w:left w:w="108" w:type="dxa"/>
            <w:bottom w:w="0" w:type="dxa"/>
            <w:right w:w="108" w:type="dxa"/>
          </w:tblCellMar>
        </w:tblPrEx>
        <w:trPr>
          <w:trHeight w:val="480" w:hRule="atLeast"/>
        </w:trPr>
        <w:tc>
          <w:tcPr>
            <w:tcW w:w="1056" w:type="dxa"/>
            <w:vMerge w:val="restart"/>
            <w:tcBorders>
              <w:top w:val="nil"/>
              <w:left w:val="single" w:color="auto" w:sz="8" w:space="0"/>
              <w:bottom w:val="single" w:color="auto" w:sz="4" w:space="0"/>
              <w:right w:val="single" w:color="auto" w:sz="4" w:space="0"/>
            </w:tcBorders>
            <w:vAlign w:val="center"/>
          </w:tcPr>
          <w:p w14:paraId="050CD20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1C030F9">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天内不履行保修义务的</w:t>
            </w:r>
          </w:p>
        </w:tc>
        <w:tc>
          <w:tcPr>
            <w:tcW w:w="1044" w:type="dxa"/>
            <w:vMerge w:val="restart"/>
            <w:tcBorders>
              <w:top w:val="nil"/>
              <w:left w:val="single" w:color="auto" w:sz="4" w:space="0"/>
              <w:bottom w:val="single" w:color="auto" w:sz="4" w:space="0"/>
              <w:right w:val="single" w:color="auto" w:sz="4" w:space="0"/>
            </w:tcBorders>
            <w:vAlign w:val="center"/>
          </w:tcPr>
          <w:p w14:paraId="7B0BE1F6">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254B89D1">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万元以上以上</w:t>
            </w:r>
            <w:r>
              <w:rPr>
                <w:color w:val="000000"/>
                <w:kern w:val="0"/>
                <w:sz w:val="18"/>
                <w:szCs w:val="18"/>
              </w:rPr>
              <w:t>12</w:t>
            </w:r>
            <w:r>
              <w:rPr>
                <w:rFonts w:hint="eastAsia"/>
                <w:color w:val="000000"/>
                <w:kern w:val="0"/>
                <w:sz w:val="18"/>
                <w:szCs w:val="18"/>
              </w:rPr>
              <w:t>万元以下罚款</w:t>
            </w:r>
          </w:p>
          <w:p w14:paraId="35C37D83">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0F904470">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0AA4942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1C3C60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个月内不履行保修义务的</w:t>
            </w:r>
          </w:p>
        </w:tc>
        <w:tc>
          <w:tcPr>
            <w:tcW w:w="1044" w:type="dxa"/>
            <w:vMerge w:val="continue"/>
            <w:tcBorders>
              <w:top w:val="nil"/>
              <w:left w:val="single" w:color="auto" w:sz="4" w:space="0"/>
              <w:bottom w:val="single" w:color="auto" w:sz="4" w:space="0"/>
              <w:right w:val="single" w:color="auto" w:sz="4" w:space="0"/>
            </w:tcBorders>
            <w:vAlign w:val="center"/>
          </w:tcPr>
          <w:p w14:paraId="02F47CA0">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209682D">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77769A9D">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6AA54449">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02D81A4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8E6AC1F">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个月以上不履行保修义务的或者因迟延履行造成质量安全事故的</w:t>
            </w:r>
          </w:p>
        </w:tc>
        <w:tc>
          <w:tcPr>
            <w:tcW w:w="1044" w:type="dxa"/>
            <w:vMerge w:val="continue"/>
            <w:tcBorders>
              <w:top w:val="nil"/>
              <w:left w:val="single" w:color="auto" w:sz="4" w:space="0"/>
              <w:bottom w:val="single" w:color="auto" w:sz="4" w:space="0"/>
              <w:right w:val="single" w:color="auto" w:sz="4" w:space="0"/>
            </w:tcBorders>
            <w:vAlign w:val="center"/>
          </w:tcPr>
          <w:p w14:paraId="4AA71316">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E68AC46">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14:paraId="55086FB0">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652182AA"/>
    <w:p w14:paraId="17F712F6"/>
    <w:p w14:paraId="72DA16C6"/>
    <w:p w14:paraId="388551FF"/>
    <w:p w14:paraId="78C67AD4"/>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2688753B">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4E216BB">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1B4C1EB1">
            <w:pPr>
              <w:spacing w:line="320" w:lineRule="exact"/>
              <w:jc w:val="left"/>
              <w:rPr>
                <w:rFonts w:eastAsia="仿宋_GB2312"/>
                <w:b/>
                <w:bCs/>
                <w:color w:val="000000"/>
                <w:kern w:val="0"/>
                <w:sz w:val="18"/>
                <w:szCs w:val="18"/>
              </w:rPr>
            </w:pPr>
            <w:r>
              <w:rPr>
                <w:rFonts w:eastAsia="仿宋_GB2312"/>
                <w:b/>
                <w:bCs/>
                <w:color w:val="000000"/>
                <w:kern w:val="0"/>
                <w:sz w:val="18"/>
                <w:szCs w:val="18"/>
              </w:rPr>
              <w:t>320217043000</w:t>
            </w:r>
          </w:p>
        </w:tc>
      </w:tr>
      <w:tr w14:paraId="76786FA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F6DF0BF">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7461E486">
            <w:pPr>
              <w:spacing w:line="320" w:lineRule="exact"/>
              <w:jc w:val="left"/>
              <w:rPr>
                <w:color w:val="000000"/>
                <w:kern w:val="0"/>
                <w:sz w:val="18"/>
                <w:szCs w:val="18"/>
              </w:rPr>
            </w:pPr>
            <w:r>
              <w:rPr>
                <w:rFonts w:hint="eastAsia"/>
                <w:color w:val="000000"/>
                <w:kern w:val="0"/>
                <w:sz w:val="18"/>
                <w:szCs w:val="18"/>
              </w:rPr>
              <w:t>对设计单位未根据勘察成果文件进行工程设计的处罚</w:t>
            </w:r>
          </w:p>
        </w:tc>
      </w:tr>
      <w:tr w14:paraId="4B3996D7">
        <w:tblPrEx>
          <w:tblCellMar>
            <w:top w:w="0" w:type="dxa"/>
            <w:left w:w="108" w:type="dxa"/>
            <w:bottom w:w="0" w:type="dxa"/>
            <w:right w:w="108" w:type="dxa"/>
          </w:tblCellMar>
        </w:tblPrEx>
        <w:trPr>
          <w:trHeight w:val="1740" w:hRule="atLeast"/>
        </w:trPr>
        <w:tc>
          <w:tcPr>
            <w:tcW w:w="1056" w:type="dxa"/>
            <w:tcBorders>
              <w:top w:val="nil"/>
              <w:left w:val="single" w:color="auto" w:sz="8" w:space="0"/>
              <w:bottom w:val="single" w:color="auto" w:sz="4" w:space="0"/>
              <w:right w:val="single" w:color="auto" w:sz="4" w:space="0"/>
            </w:tcBorders>
            <w:vAlign w:val="center"/>
          </w:tcPr>
          <w:p w14:paraId="5E88783C">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42CD121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4CBBBB5C">
            <w:pPr>
              <w:spacing w:line="320" w:lineRule="exact"/>
              <w:jc w:val="left"/>
              <w:rPr>
                <w:color w:val="000000"/>
                <w:kern w:val="0"/>
                <w:sz w:val="18"/>
                <w:szCs w:val="18"/>
              </w:rPr>
            </w:pPr>
            <w:r>
              <w:rPr>
                <w:rFonts w:hint="eastAsia"/>
                <w:color w:val="000000"/>
                <w:kern w:val="0"/>
                <w:sz w:val="18"/>
                <w:szCs w:val="18"/>
              </w:rPr>
              <w:t>第二十一条第一款</w:t>
            </w:r>
            <w:r>
              <w:rPr>
                <w:color w:val="000000"/>
                <w:kern w:val="0"/>
                <w:sz w:val="18"/>
                <w:szCs w:val="18"/>
              </w:rPr>
              <w:t xml:space="preserve">  </w:t>
            </w:r>
            <w:r>
              <w:rPr>
                <w:rFonts w:hint="eastAsia"/>
                <w:color w:val="000000"/>
                <w:kern w:val="0"/>
                <w:sz w:val="18"/>
                <w:szCs w:val="18"/>
              </w:rPr>
              <w:t>设计单位应当根据勘察成果文件进行建设工程设计。</w:t>
            </w:r>
          </w:p>
          <w:p w14:paraId="122DCEFD">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违反本条例规定，有下列行为之一的，责令改正，处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p w14:paraId="10A6101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（二）设计单位未根据勘察成果文件进行工程设计的。</w:t>
            </w:r>
          </w:p>
          <w:p w14:paraId="39FFA40E">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43846DFE">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113D3BBB">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187CA37">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2BE32462">
            <w:pPr>
              <w:spacing w:line="320" w:lineRule="exact"/>
              <w:jc w:val="left"/>
              <w:rPr>
                <w:color w:val="000000"/>
                <w:kern w:val="0"/>
                <w:sz w:val="18"/>
                <w:szCs w:val="18"/>
              </w:rPr>
            </w:pPr>
            <w:r>
              <w:rPr>
                <w:rFonts w:hint="eastAsia"/>
                <w:color w:val="000000"/>
                <w:kern w:val="0"/>
                <w:sz w:val="18"/>
                <w:szCs w:val="18"/>
              </w:rPr>
              <w:t>罚款</w:t>
            </w:r>
          </w:p>
        </w:tc>
      </w:tr>
      <w:tr w14:paraId="24E805C2">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61894ABE">
            <w:pPr>
              <w:spacing w:line="320" w:lineRule="exact"/>
              <w:jc w:val="center"/>
              <w:rPr>
                <w:color w:val="000000"/>
                <w:kern w:val="0"/>
                <w:sz w:val="18"/>
                <w:szCs w:val="18"/>
              </w:rPr>
            </w:pPr>
            <w:r>
              <w:rPr>
                <w:rFonts w:hint="eastAsia"/>
                <w:color w:val="000000"/>
                <w:kern w:val="0"/>
                <w:sz w:val="18"/>
                <w:szCs w:val="18"/>
              </w:rPr>
              <w:t>裁量基准</w:t>
            </w:r>
          </w:p>
        </w:tc>
      </w:tr>
      <w:tr w14:paraId="5A858D9A">
        <w:tblPrEx>
          <w:tblCellMar>
            <w:top w:w="0" w:type="dxa"/>
            <w:left w:w="108" w:type="dxa"/>
            <w:bottom w:w="0" w:type="dxa"/>
            <w:right w:w="108" w:type="dxa"/>
          </w:tblCellMar>
        </w:tblPrEx>
        <w:trPr>
          <w:trHeight w:val="480" w:hRule="atLeast"/>
        </w:trPr>
        <w:tc>
          <w:tcPr>
            <w:tcW w:w="1056" w:type="dxa"/>
            <w:vMerge w:val="restart"/>
            <w:tcBorders>
              <w:top w:val="nil"/>
              <w:left w:val="single" w:color="auto" w:sz="8" w:space="0"/>
              <w:bottom w:val="single" w:color="auto" w:sz="4" w:space="0"/>
              <w:right w:val="single" w:color="auto" w:sz="4" w:space="0"/>
            </w:tcBorders>
            <w:vAlign w:val="center"/>
          </w:tcPr>
          <w:p w14:paraId="7A24D6D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5705481">
            <w:pPr>
              <w:spacing w:line="320" w:lineRule="exact"/>
              <w:jc w:val="left"/>
              <w:rPr>
                <w:color w:val="000000"/>
                <w:kern w:val="0"/>
                <w:sz w:val="18"/>
                <w:szCs w:val="18"/>
              </w:rPr>
            </w:pPr>
            <w:r>
              <w:rPr>
                <w:rFonts w:hint="eastAsia"/>
                <w:color w:val="000000"/>
                <w:kern w:val="0"/>
                <w:sz w:val="18"/>
                <w:szCs w:val="18"/>
              </w:rPr>
              <w:t>未造成设计缺陷的</w:t>
            </w:r>
          </w:p>
        </w:tc>
        <w:tc>
          <w:tcPr>
            <w:tcW w:w="1044" w:type="dxa"/>
            <w:vMerge w:val="restart"/>
            <w:tcBorders>
              <w:top w:val="nil"/>
              <w:left w:val="single" w:color="auto" w:sz="4" w:space="0"/>
              <w:bottom w:val="single" w:color="auto" w:sz="4" w:space="0"/>
              <w:right w:val="single" w:color="auto" w:sz="4" w:space="0"/>
            </w:tcBorders>
            <w:vAlign w:val="center"/>
          </w:tcPr>
          <w:p w14:paraId="55BCC0AE">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4AE8FD7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49206402">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5057FC76">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66C4F6C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5A51B55">
            <w:pPr>
              <w:spacing w:line="320" w:lineRule="exact"/>
              <w:jc w:val="left"/>
              <w:rPr>
                <w:color w:val="000000"/>
                <w:kern w:val="0"/>
                <w:sz w:val="18"/>
                <w:szCs w:val="18"/>
              </w:rPr>
            </w:pPr>
            <w:r>
              <w:rPr>
                <w:rFonts w:hint="eastAsia"/>
                <w:color w:val="000000"/>
                <w:kern w:val="0"/>
                <w:sz w:val="18"/>
                <w:szCs w:val="18"/>
              </w:rPr>
              <w:t>造成设计缺陷但未造成质量事故的</w:t>
            </w:r>
          </w:p>
        </w:tc>
        <w:tc>
          <w:tcPr>
            <w:tcW w:w="1044" w:type="dxa"/>
            <w:vMerge w:val="continue"/>
            <w:tcBorders>
              <w:top w:val="nil"/>
              <w:left w:val="single" w:color="auto" w:sz="4" w:space="0"/>
              <w:bottom w:val="single" w:color="auto" w:sz="4" w:space="0"/>
              <w:right w:val="single" w:color="auto" w:sz="4" w:space="0"/>
            </w:tcBorders>
            <w:vAlign w:val="center"/>
          </w:tcPr>
          <w:p w14:paraId="690636CC">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4094D0E">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14:paraId="34503CB5">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46067F8F">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50E861C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C3FFB68">
            <w:pPr>
              <w:spacing w:line="320" w:lineRule="exact"/>
              <w:jc w:val="left"/>
              <w:rPr>
                <w:color w:val="000000"/>
                <w:kern w:val="0"/>
                <w:sz w:val="18"/>
                <w:szCs w:val="18"/>
              </w:rPr>
            </w:pPr>
            <w:r>
              <w:rPr>
                <w:rFonts w:hint="eastAsia"/>
                <w:color w:val="000000"/>
                <w:kern w:val="0"/>
                <w:sz w:val="18"/>
                <w:szCs w:val="18"/>
              </w:rPr>
              <w:t>造成质量安全事故的</w:t>
            </w:r>
          </w:p>
        </w:tc>
        <w:tc>
          <w:tcPr>
            <w:tcW w:w="1044" w:type="dxa"/>
            <w:vMerge w:val="continue"/>
            <w:tcBorders>
              <w:top w:val="nil"/>
              <w:left w:val="single" w:color="auto" w:sz="4" w:space="0"/>
              <w:bottom w:val="single" w:color="auto" w:sz="4" w:space="0"/>
              <w:right w:val="single" w:color="auto" w:sz="4" w:space="0"/>
            </w:tcBorders>
            <w:vAlign w:val="center"/>
          </w:tcPr>
          <w:p w14:paraId="333DD37B">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609DD00">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351328E4">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32A78566"/>
    <w:p w14:paraId="3E7C2F19"/>
    <w:p w14:paraId="057B2E8C"/>
    <w:p w14:paraId="0B3C3C5D"/>
    <w:p w14:paraId="6F9C0012"/>
    <w:p w14:paraId="4AD76B00"/>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34450319">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22D18E9">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4CAF2986">
            <w:pPr>
              <w:spacing w:line="320" w:lineRule="exact"/>
              <w:jc w:val="left"/>
              <w:rPr>
                <w:rFonts w:eastAsia="仿宋_GB2312"/>
                <w:b/>
                <w:bCs/>
                <w:color w:val="000000"/>
                <w:kern w:val="0"/>
                <w:sz w:val="18"/>
                <w:szCs w:val="18"/>
              </w:rPr>
            </w:pPr>
            <w:r>
              <w:rPr>
                <w:rFonts w:eastAsia="仿宋_GB2312"/>
                <w:b/>
                <w:bCs/>
                <w:color w:val="000000"/>
                <w:kern w:val="0"/>
                <w:sz w:val="18"/>
                <w:szCs w:val="18"/>
              </w:rPr>
              <w:t>320217044000</w:t>
            </w:r>
            <w:r>
              <w:rPr>
                <w:rFonts w:hint="eastAsia" w:eastAsia="仿宋_GB2312"/>
                <w:b/>
                <w:bCs/>
                <w:color w:val="000000"/>
                <w:kern w:val="0"/>
                <w:sz w:val="18"/>
                <w:szCs w:val="18"/>
              </w:rPr>
              <w:t xml:space="preserve"> </w:t>
            </w:r>
          </w:p>
        </w:tc>
      </w:tr>
      <w:tr w14:paraId="1482C56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D4A54A3">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18A3E39D">
            <w:pPr>
              <w:spacing w:line="320" w:lineRule="exact"/>
              <w:jc w:val="left"/>
              <w:rPr>
                <w:color w:val="000000"/>
                <w:kern w:val="0"/>
                <w:sz w:val="18"/>
                <w:szCs w:val="18"/>
              </w:rPr>
            </w:pPr>
            <w:r>
              <w:rPr>
                <w:rFonts w:hint="eastAsia"/>
                <w:color w:val="000000"/>
                <w:kern w:val="0"/>
                <w:sz w:val="18"/>
                <w:szCs w:val="18"/>
              </w:rPr>
              <w:t>对设计单位违反规定指定建筑材料、建筑构配件的生产厂、供应商的处罚</w:t>
            </w:r>
          </w:p>
        </w:tc>
      </w:tr>
      <w:tr w14:paraId="745BCD51">
        <w:tblPrEx>
          <w:tblCellMar>
            <w:top w:w="0" w:type="dxa"/>
            <w:left w:w="108" w:type="dxa"/>
            <w:bottom w:w="0" w:type="dxa"/>
            <w:right w:w="108" w:type="dxa"/>
          </w:tblCellMar>
        </w:tblPrEx>
        <w:trPr>
          <w:trHeight w:val="1860" w:hRule="atLeast"/>
        </w:trPr>
        <w:tc>
          <w:tcPr>
            <w:tcW w:w="1056" w:type="dxa"/>
            <w:tcBorders>
              <w:top w:val="nil"/>
              <w:left w:val="single" w:color="auto" w:sz="8" w:space="0"/>
              <w:bottom w:val="single" w:color="auto" w:sz="4" w:space="0"/>
              <w:right w:val="single" w:color="auto" w:sz="4" w:space="0"/>
            </w:tcBorders>
            <w:vAlign w:val="center"/>
          </w:tcPr>
          <w:p w14:paraId="2A2E3A07">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4FD98557">
            <w:pPr>
              <w:spacing w:line="320" w:lineRule="exact"/>
              <w:jc w:val="left"/>
              <w:rPr>
                <w:color w:val="000000"/>
                <w:kern w:val="0"/>
                <w:sz w:val="18"/>
                <w:szCs w:val="18"/>
              </w:rPr>
            </w:pPr>
            <w:r>
              <w:rPr>
                <w:rFonts w:hint="eastAsia"/>
                <w:color w:val="000000"/>
                <w:kern w:val="0"/>
                <w:sz w:val="18"/>
                <w:szCs w:val="18"/>
              </w:rPr>
              <w:t>行政法规《建设工程质量管理条例》（</w:t>
            </w:r>
            <w:r>
              <w:rPr>
                <w:color w:val="000000"/>
                <w:kern w:val="0"/>
                <w:sz w:val="18"/>
                <w:szCs w:val="18"/>
              </w:rPr>
              <w:t>2000</w:t>
            </w:r>
            <w:r>
              <w:rPr>
                <w:rFonts w:hint="eastAsia"/>
                <w:color w:val="000000"/>
                <w:kern w:val="0"/>
                <w:sz w:val="18"/>
                <w:szCs w:val="18"/>
              </w:rPr>
              <w:t>年国务院令第</w:t>
            </w:r>
            <w:r>
              <w:rPr>
                <w:color w:val="000000"/>
                <w:kern w:val="0"/>
                <w:sz w:val="18"/>
                <w:szCs w:val="18"/>
              </w:rPr>
              <w:t>279</w:t>
            </w:r>
            <w:r>
              <w:rPr>
                <w:rFonts w:hint="eastAsia"/>
                <w:color w:val="000000"/>
                <w:kern w:val="0"/>
                <w:sz w:val="18"/>
                <w:szCs w:val="18"/>
              </w:rPr>
              <w:t>号）</w:t>
            </w:r>
          </w:p>
          <w:p w14:paraId="47685DB5">
            <w:pPr>
              <w:spacing w:line="320" w:lineRule="exact"/>
              <w:jc w:val="left"/>
              <w:rPr>
                <w:color w:val="000000"/>
                <w:kern w:val="0"/>
                <w:sz w:val="18"/>
                <w:szCs w:val="18"/>
              </w:rPr>
            </w:pPr>
            <w:r>
              <w:rPr>
                <w:rFonts w:hint="eastAsia"/>
                <w:color w:val="000000"/>
                <w:kern w:val="0"/>
                <w:sz w:val="18"/>
                <w:szCs w:val="18"/>
              </w:rPr>
              <w:t>第二十二条第二款</w:t>
            </w:r>
            <w:r>
              <w:rPr>
                <w:color w:val="000000"/>
                <w:kern w:val="0"/>
                <w:sz w:val="18"/>
                <w:szCs w:val="18"/>
              </w:rPr>
              <w:t xml:space="preserve">  </w:t>
            </w:r>
            <w:r>
              <w:rPr>
                <w:rFonts w:hint="eastAsia"/>
                <w:color w:val="000000"/>
                <w:kern w:val="0"/>
                <w:sz w:val="18"/>
                <w:szCs w:val="18"/>
              </w:rPr>
              <w:t>除有特殊要求的建筑材料、专用设备、工艺生产线等外，设计单位不得指定生产厂、供应商。</w:t>
            </w:r>
          </w:p>
          <w:p w14:paraId="412A8088">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违反本条例规定，有下列行为之一的，责令改正，处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p w14:paraId="1C69B6E7">
            <w:pPr>
              <w:spacing w:line="320" w:lineRule="exact"/>
              <w:jc w:val="left"/>
              <w:rPr>
                <w:color w:val="000000"/>
                <w:kern w:val="0"/>
                <w:sz w:val="18"/>
                <w:szCs w:val="18"/>
              </w:rPr>
            </w:pPr>
            <w:r>
              <w:rPr>
                <w:rFonts w:hint="eastAsia"/>
                <w:color w:val="000000"/>
                <w:kern w:val="0"/>
                <w:sz w:val="18"/>
                <w:szCs w:val="18"/>
              </w:rPr>
              <w:t>（三）设计单位指定建筑材料、建筑构配件的生产厂、供应商的。</w:t>
            </w:r>
          </w:p>
          <w:p w14:paraId="66B2B93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452045C3">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123A9BEB">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C3972EF">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58D9A3EF">
            <w:pPr>
              <w:spacing w:line="320" w:lineRule="exact"/>
              <w:jc w:val="left"/>
              <w:rPr>
                <w:color w:val="000000"/>
                <w:kern w:val="0"/>
                <w:sz w:val="18"/>
                <w:szCs w:val="18"/>
              </w:rPr>
            </w:pPr>
            <w:r>
              <w:rPr>
                <w:rFonts w:hint="eastAsia"/>
                <w:color w:val="000000"/>
                <w:kern w:val="0"/>
                <w:sz w:val="18"/>
                <w:szCs w:val="18"/>
              </w:rPr>
              <w:t>罚款</w:t>
            </w:r>
          </w:p>
        </w:tc>
      </w:tr>
      <w:tr w14:paraId="3ADC04D9">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8" w:space="0"/>
              <w:right w:val="single" w:color="000000" w:sz="8" w:space="0"/>
            </w:tcBorders>
            <w:vAlign w:val="center"/>
          </w:tcPr>
          <w:p w14:paraId="4C669569">
            <w:pPr>
              <w:spacing w:line="320" w:lineRule="exact"/>
              <w:jc w:val="center"/>
              <w:rPr>
                <w:color w:val="000000"/>
                <w:kern w:val="0"/>
                <w:sz w:val="18"/>
                <w:szCs w:val="18"/>
              </w:rPr>
            </w:pPr>
            <w:r>
              <w:rPr>
                <w:rFonts w:hint="eastAsia"/>
                <w:color w:val="000000"/>
                <w:kern w:val="0"/>
                <w:sz w:val="18"/>
                <w:szCs w:val="18"/>
              </w:rPr>
              <w:t>裁量基准</w:t>
            </w:r>
          </w:p>
        </w:tc>
      </w:tr>
      <w:tr w14:paraId="70794B17">
        <w:tblPrEx>
          <w:tblCellMar>
            <w:top w:w="0" w:type="dxa"/>
            <w:left w:w="108" w:type="dxa"/>
            <w:bottom w:w="0" w:type="dxa"/>
            <w:right w:w="108" w:type="dxa"/>
          </w:tblCellMar>
        </w:tblPrEx>
        <w:trPr>
          <w:trHeight w:val="480" w:hRule="atLeast"/>
        </w:trPr>
        <w:tc>
          <w:tcPr>
            <w:tcW w:w="1056" w:type="dxa"/>
            <w:vMerge w:val="restart"/>
            <w:tcBorders>
              <w:top w:val="single" w:color="auto" w:sz="8" w:space="0"/>
              <w:left w:val="single" w:color="auto" w:sz="8" w:space="0"/>
              <w:bottom w:val="single" w:color="auto" w:sz="8" w:space="0"/>
              <w:right w:val="single" w:color="auto" w:sz="4" w:space="0"/>
            </w:tcBorders>
            <w:vAlign w:val="center"/>
          </w:tcPr>
          <w:p w14:paraId="2E3DDDC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8" w:space="0"/>
              <w:left w:val="nil"/>
              <w:bottom w:val="single" w:color="auto" w:sz="8" w:space="0"/>
              <w:right w:val="single" w:color="000000" w:sz="4" w:space="0"/>
            </w:tcBorders>
            <w:vAlign w:val="center"/>
          </w:tcPr>
          <w:p w14:paraId="51571DBF">
            <w:pPr>
              <w:spacing w:line="320" w:lineRule="exact"/>
              <w:jc w:val="left"/>
              <w:rPr>
                <w:color w:val="000000"/>
                <w:kern w:val="0"/>
                <w:sz w:val="18"/>
                <w:szCs w:val="18"/>
              </w:rPr>
            </w:pPr>
            <w:r>
              <w:rPr>
                <w:rFonts w:hint="eastAsia"/>
                <w:color w:val="000000"/>
                <w:kern w:val="0"/>
                <w:sz w:val="18"/>
                <w:szCs w:val="18"/>
              </w:rPr>
              <w:t>指定的产品在非主体、非关键部分的</w:t>
            </w:r>
          </w:p>
        </w:tc>
        <w:tc>
          <w:tcPr>
            <w:tcW w:w="1044" w:type="dxa"/>
            <w:vMerge w:val="restart"/>
            <w:tcBorders>
              <w:top w:val="single" w:color="auto" w:sz="8" w:space="0"/>
              <w:left w:val="single" w:color="auto" w:sz="4" w:space="0"/>
              <w:bottom w:val="single" w:color="auto" w:sz="8" w:space="0"/>
              <w:right w:val="single" w:color="auto" w:sz="4" w:space="0"/>
            </w:tcBorders>
            <w:vAlign w:val="center"/>
          </w:tcPr>
          <w:p w14:paraId="2D91EE07">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8" w:space="0"/>
              <w:left w:val="nil"/>
              <w:bottom w:val="single" w:color="auto" w:sz="8" w:space="0"/>
              <w:right w:val="single" w:color="auto" w:sz="8" w:space="0"/>
            </w:tcBorders>
            <w:vAlign w:val="center"/>
          </w:tcPr>
          <w:p w14:paraId="6B9C73BD">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5FAFBEDD">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29CC48CD">
        <w:tblPrEx>
          <w:tblCellMar>
            <w:top w:w="0" w:type="dxa"/>
            <w:left w:w="108" w:type="dxa"/>
            <w:bottom w:w="0" w:type="dxa"/>
            <w:right w:w="108" w:type="dxa"/>
          </w:tblCellMar>
        </w:tblPrEx>
        <w:trPr>
          <w:trHeight w:val="480" w:hRule="atLeast"/>
        </w:trPr>
        <w:tc>
          <w:tcPr>
            <w:tcW w:w="1056" w:type="dxa"/>
            <w:vMerge w:val="continue"/>
            <w:tcBorders>
              <w:top w:val="single" w:color="auto" w:sz="8" w:space="0"/>
              <w:left w:val="single" w:color="auto" w:sz="8" w:space="0"/>
              <w:bottom w:val="single" w:color="auto" w:sz="8" w:space="0"/>
              <w:right w:val="single" w:color="auto" w:sz="4" w:space="0"/>
            </w:tcBorders>
            <w:vAlign w:val="center"/>
          </w:tcPr>
          <w:p w14:paraId="0E86A524">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0AF96B8B">
            <w:pPr>
              <w:spacing w:line="320" w:lineRule="exact"/>
              <w:jc w:val="left"/>
              <w:rPr>
                <w:color w:val="000000"/>
                <w:kern w:val="0"/>
                <w:sz w:val="18"/>
                <w:szCs w:val="18"/>
              </w:rPr>
            </w:pPr>
            <w:r>
              <w:rPr>
                <w:rFonts w:hint="eastAsia"/>
                <w:color w:val="000000"/>
                <w:kern w:val="0"/>
                <w:sz w:val="18"/>
                <w:szCs w:val="18"/>
              </w:rPr>
              <w:t>指定的产品在非主体、非关键部分但尚未造成质量事故的</w:t>
            </w:r>
          </w:p>
        </w:tc>
        <w:tc>
          <w:tcPr>
            <w:tcW w:w="1044" w:type="dxa"/>
            <w:vMerge w:val="continue"/>
            <w:tcBorders>
              <w:top w:val="single" w:color="auto" w:sz="8" w:space="0"/>
              <w:left w:val="single" w:color="auto" w:sz="4" w:space="0"/>
              <w:bottom w:val="single" w:color="auto" w:sz="8" w:space="0"/>
              <w:right w:val="single" w:color="auto" w:sz="4" w:space="0"/>
            </w:tcBorders>
            <w:vAlign w:val="center"/>
          </w:tcPr>
          <w:p w14:paraId="0F778007">
            <w:pPr>
              <w:spacing w:line="320" w:lineRule="exact"/>
              <w:jc w:val="left"/>
              <w:rPr>
                <w:color w:val="000000"/>
                <w:kern w:val="0"/>
                <w:sz w:val="18"/>
                <w:szCs w:val="18"/>
              </w:rPr>
            </w:pPr>
          </w:p>
        </w:tc>
        <w:tc>
          <w:tcPr>
            <w:tcW w:w="5820" w:type="dxa"/>
            <w:tcBorders>
              <w:top w:val="single" w:color="auto" w:sz="8" w:space="0"/>
              <w:left w:val="nil"/>
              <w:bottom w:val="single" w:color="auto" w:sz="8" w:space="0"/>
              <w:right w:val="single" w:color="auto" w:sz="8" w:space="0"/>
            </w:tcBorders>
            <w:vAlign w:val="center"/>
          </w:tcPr>
          <w:p w14:paraId="43A7D772">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14:paraId="44294F53">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76C59774">
        <w:tblPrEx>
          <w:tblCellMar>
            <w:top w:w="0" w:type="dxa"/>
            <w:left w:w="108" w:type="dxa"/>
            <w:bottom w:w="0" w:type="dxa"/>
            <w:right w:w="108" w:type="dxa"/>
          </w:tblCellMar>
        </w:tblPrEx>
        <w:trPr>
          <w:trHeight w:val="480" w:hRule="atLeast"/>
        </w:trPr>
        <w:tc>
          <w:tcPr>
            <w:tcW w:w="1056" w:type="dxa"/>
            <w:vMerge w:val="continue"/>
            <w:tcBorders>
              <w:top w:val="single" w:color="auto" w:sz="8" w:space="0"/>
              <w:left w:val="single" w:color="auto" w:sz="8" w:space="0"/>
              <w:bottom w:val="single" w:color="auto" w:sz="8" w:space="0"/>
              <w:right w:val="single" w:color="auto" w:sz="4" w:space="0"/>
            </w:tcBorders>
            <w:vAlign w:val="center"/>
          </w:tcPr>
          <w:p w14:paraId="2A993D10">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4A0FCCCC">
            <w:pPr>
              <w:spacing w:line="320" w:lineRule="exact"/>
              <w:jc w:val="left"/>
              <w:rPr>
                <w:color w:val="000000"/>
                <w:kern w:val="0"/>
                <w:sz w:val="18"/>
                <w:szCs w:val="18"/>
              </w:rPr>
            </w:pPr>
            <w:r>
              <w:rPr>
                <w:rFonts w:hint="eastAsia"/>
                <w:color w:val="000000"/>
                <w:kern w:val="0"/>
                <w:sz w:val="18"/>
                <w:szCs w:val="18"/>
              </w:rPr>
              <w:t>造成质量事故的</w:t>
            </w:r>
          </w:p>
        </w:tc>
        <w:tc>
          <w:tcPr>
            <w:tcW w:w="1044" w:type="dxa"/>
            <w:vMerge w:val="continue"/>
            <w:tcBorders>
              <w:top w:val="single" w:color="auto" w:sz="8" w:space="0"/>
              <w:left w:val="single" w:color="auto" w:sz="4" w:space="0"/>
              <w:bottom w:val="single" w:color="auto" w:sz="8" w:space="0"/>
              <w:right w:val="single" w:color="auto" w:sz="4" w:space="0"/>
            </w:tcBorders>
            <w:vAlign w:val="center"/>
          </w:tcPr>
          <w:p w14:paraId="780B663C">
            <w:pPr>
              <w:spacing w:line="320" w:lineRule="exact"/>
              <w:jc w:val="left"/>
              <w:rPr>
                <w:color w:val="000000"/>
                <w:kern w:val="0"/>
                <w:sz w:val="18"/>
                <w:szCs w:val="18"/>
              </w:rPr>
            </w:pPr>
          </w:p>
        </w:tc>
        <w:tc>
          <w:tcPr>
            <w:tcW w:w="5820" w:type="dxa"/>
            <w:tcBorders>
              <w:top w:val="single" w:color="auto" w:sz="8" w:space="0"/>
              <w:left w:val="nil"/>
              <w:bottom w:val="single" w:color="auto" w:sz="8" w:space="0"/>
              <w:right w:val="single" w:color="auto" w:sz="8" w:space="0"/>
            </w:tcBorders>
            <w:vAlign w:val="center"/>
          </w:tcPr>
          <w:p w14:paraId="38992D7E">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5EC4C574">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0161DA42"/>
    <w:p w14:paraId="4CEEEB9F"/>
    <w:p w14:paraId="71DE643E"/>
    <w:p w14:paraId="078538E7"/>
    <w:p w14:paraId="18998E2A"/>
    <w:p w14:paraId="7DC4CCF0"/>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7FE6657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shd w:val="clear" w:color="auto" w:fill="FFFFFF"/>
            <w:vAlign w:val="center"/>
          </w:tcPr>
          <w:p w14:paraId="6B478518">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shd w:val="clear" w:color="auto" w:fill="FFFFFF"/>
            <w:vAlign w:val="center"/>
          </w:tcPr>
          <w:p w14:paraId="19A14F39">
            <w:pPr>
              <w:jc w:val="left"/>
              <w:textAlignment w:val="center"/>
              <w:rPr>
                <w:rFonts w:eastAsia="仿宋_GB2312"/>
                <w:b/>
                <w:bCs/>
                <w:color w:val="000000"/>
                <w:kern w:val="0"/>
                <w:sz w:val="18"/>
                <w:szCs w:val="18"/>
              </w:rPr>
            </w:pPr>
            <w:r>
              <w:rPr>
                <w:rFonts w:eastAsia="仿宋_GB2312"/>
                <w:b/>
                <w:color w:val="000000"/>
                <w:kern w:val="0"/>
                <w:sz w:val="20"/>
              </w:rPr>
              <w:t>320217045000</w:t>
            </w:r>
            <w:r>
              <w:rPr>
                <w:rFonts w:hint="eastAsia" w:eastAsia="仿宋_GB2312"/>
                <w:b/>
                <w:color w:val="000000"/>
                <w:kern w:val="0"/>
                <w:sz w:val="20"/>
              </w:rPr>
              <w:t xml:space="preserve"> </w:t>
            </w:r>
          </w:p>
        </w:tc>
      </w:tr>
      <w:tr w14:paraId="459E7A1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shd w:val="clear" w:color="auto" w:fill="FFFFFF"/>
            <w:vAlign w:val="center"/>
          </w:tcPr>
          <w:p w14:paraId="52AE9DC9">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shd w:val="clear" w:color="auto" w:fill="FFFFFF"/>
            <w:vAlign w:val="center"/>
          </w:tcPr>
          <w:p w14:paraId="543CE524">
            <w:pPr>
              <w:spacing w:line="320" w:lineRule="exact"/>
              <w:jc w:val="left"/>
              <w:rPr>
                <w:color w:val="000000"/>
                <w:kern w:val="0"/>
                <w:sz w:val="18"/>
                <w:szCs w:val="18"/>
              </w:rPr>
            </w:pPr>
            <w:r>
              <w:rPr>
                <w:rFonts w:hint="eastAsia"/>
                <w:color w:val="000000"/>
                <w:kern w:val="0"/>
                <w:sz w:val="18"/>
                <w:szCs w:val="18"/>
              </w:rPr>
              <w:t>对勘察设计企业未按照规定提供信用档案信息的处罚</w:t>
            </w:r>
          </w:p>
        </w:tc>
      </w:tr>
      <w:tr w14:paraId="72EE40C2">
        <w:tblPrEx>
          <w:tblCellMar>
            <w:top w:w="0" w:type="dxa"/>
            <w:left w:w="108" w:type="dxa"/>
            <w:bottom w:w="0" w:type="dxa"/>
            <w:right w:w="108" w:type="dxa"/>
          </w:tblCellMar>
        </w:tblPrEx>
        <w:trPr>
          <w:trHeight w:val="1050" w:hRule="atLeast"/>
        </w:trPr>
        <w:tc>
          <w:tcPr>
            <w:tcW w:w="1056" w:type="dxa"/>
            <w:tcBorders>
              <w:top w:val="nil"/>
              <w:left w:val="single" w:color="auto" w:sz="8" w:space="0"/>
              <w:bottom w:val="single" w:color="auto" w:sz="4" w:space="0"/>
              <w:right w:val="single" w:color="auto" w:sz="4" w:space="0"/>
            </w:tcBorders>
            <w:shd w:val="clear" w:color="auto" w:fill="FFFFFF"/>
            <w:vAlign w:val="center"/>
          </w:tcPr>
          <w:p w14:paraId="7630CACF">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shd w:val="clear" w:color="auto" w:fill="FFFFFF"/>
            <w:vAlign w:val="center"/>
          </w:tcPr>
          <w:p w14:paraId="1E2FA966">
            <w:pPr>
              <w:spacing w:line="320" w:lineRule="exact"/>
              <w:ind w:firstLine="180" w:firstLineChars="100"/>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14:paraId="603DEAB2">
            <w:pPr>
              <w:spacing w:line="320" w:lineRule="exact"/>
              <w:jc w:val="left"/>
              <w:rPr>
                <w:color w:val="000000"/>
                <w:kern w:val="0"/>
                <w:sz w:val="18"/>
                <w:szCs w:val="18"/>
              </w:rPr>
            </w:pPr>
            <w:r>
              <w:rPr>
                <w:rFonts w:hint="eastAsia"/>
                <w:color w:val="000000"/>
                <w:kern w:val="0"/>
                <w:sz w:val="18"/>
                <w:szCs w:val="18"/>
              </w:rPr>
              <w:t>第二十九条第一款</w:t>
            </w:r>
            <w:r>
              <w:rPr>
                <w:color w:val="000000"/>
                <w:kern w:val="0"/>
                <w:sz w:val="18"/>
                <w:szCs w:val="18"/>
              </w:rPr>
              <w:t xml:space="preserve">  </w:t>
            </w:r>
            <w:r>
              <w:rPr>
                <w:rFonts w:hint="eastAsia"/>
                <w:color w:val="000000"/>
                <w:kern w:val="0"/>
                <w:sz w:val="18"/>
                <w:szCs w:val="18"/>
              </w:rPr>
              <w:t>企业应当按照有关规定，向资质许可机关提供真实、准确、完整的企业信用档案信息。</w:t>
            </w:r>
          </w:p>
          <w:p w14:paraId="77806D4F">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企业未按照规定提供信用档案信息的，由县级以上地方人民政府建设主管部门给予警告，责令限期改正；逾期未改正的，可处以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7AA7F513">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shd w:val="clear" w:color="auto" w:fill="FFFFFF"/>
            <w:vAlign w:val="center"/>
          </w:tcPr>
          <w:p w14:paraId="6C949489">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shd w:val="clear" w:color="auto" w:fill="FFFFFF"/>
            <w:vAlign w:val="center"/>
          </w:tcPr>
          <w:p w14:paraId="5677B021">
            <w:pPr>
              <w:spacing w:line="320" w:lineRule="exact"/>
              <w:jc w:val="left"/>
              <w:rPr>
                <w:color w:val="000000"/>
                <w:kern w:val="0"/>
                <w:sz w:val="18"/>
                <w:szCs w:val="18"/>
              </w:rPr>
            </w:pPr>
            <w:r>
              <w:rPr>
                <w:rFonts w:hint="eastAsia"/>
                <w:color w:val="000000"/>
                <w:kern w:val="0"/>
                <w:sz w:val="18"/>
                <w:szCs w:val="18"/>
              </w:rPr>
              <w:t>警告，罚款</w:t>
            </w:r>
          </w:p>
        </w:tc>
      </w:tr>
      <w:tr w14:paraId="3F27732E">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shd w:val="clear" w:color="auto" w:fill="FFFFFF"/>
            <w:vAlign w:val="center"/>
          </w:tcPr>
          <w:p w14:paraId="0567EE03">
            <w:pPr>
              <w:spacing w:line="320" w:lineRule="exact"/>
              <w:jc w:val="center"/>
              <w:rPr>
                <w:color w:val="000000"/>
                <w:kern w:val="0"/>
                <w:sz w:val="18"/>
                <w:szCs w:val="18"/>
              </w:rPr>
            </w:pPr>
            <w:r>
              <w:rPr>
                <w:rFonts w:hint="eastAsia"/>
                <w:color w:val="000000"/>
                <w:kern w:val="0"/>
                <w:sz w:val="18"/>
                <w:szCs w:val="18"/>
              </w:rPr>
              <w:t>裁量基准</w:t>
            </w:r>
          </w:p>
        </w:tc>
      </w:tr>
      <w:tr w14:paraId="0019190C">
        <w:tblPrEx>
          <w:tblCellMar>
            <w:top w:w="0" w:type="dxa"/>
            <w:left w:w="108" w:type="dxa"/>
            <w:bottom w:w="0" w:type="dxa"/>
            <w:right w:w="108" w:type="dxa"/>
          </w:tblCellMar>
        </w:tblPrEx>
        <w:trPr>
          <w:trHeight w:val="300" w:hRule="atLeast"/>
        </w:trPr>
        <w:tc>
          <w:tcPr>
            <w:tcW w:w="1056" w:type="dxa"/>
            <w:vMerge w:val="restart"/>
            <w:tcBorders>
              <w:top w:val="nil"/>
              <w:left w:val="single" w:color="auto" w:sz="8" w:space="0"/>
              <w:bottom w:val="single" w:color="auto" w:sz="4" w:space="0"/>
              <w:right w:val="single" w:color="auto" w:sz="4" w:space="0"/>
            </w:tcBorders>
            <w:shd w:val="clear" w:color="auto" w:fill="FFFFFF"/>
            <w:vAlign w:val="center"/>
          </w:tcPr>
          <w:p w14:paraId="0F19657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shd w:val="clear" w:color="auto" w:fill="FFFFFF"/>
            <w:vAlign w:val="center"/>
          </w:tcPr>
          <w:p w14:paraId="6115A37D">
            <w:pPr>
              <w:spacing w:line="320" w:lineRule="exact"/>
              <w:jc w:val="left"/>
              <w:rPr>
                <w:color w:val="000000"/>
                <w:kern w:val="0"/>
                <w:sz w:val="18"/>
                <w:szCs w:val="18"/>
              </w:rPr>
            </w:pPr>
            <w:r>
              <w:rPr>
                <w:rFonts w:hint="eastAsia"/>
                <w:color w:val="000000"/>
                <w:kern w:val="0"/>
                <w:sz w:val="18"/>
                <w:szCs w:val="18"/>
              </w:rPr>
              <w:t>逾期未改正且提供的企业信用档案信息不准确、不完整的</w:t>
            </w:r>
          </w:p>
        </w:tc>
        <w:tc>
          <w:tcPr>
            <w:tcW w:w="1044" w:type="dxa"/>
            <w:vMerge w:val="restart"/>
            <w:tcBorders>
              <w:top w:val="nil"/>
              <w:left w:val="single" w:color="auto" w:sz="4" w:space="0"/>
              <w:bottom w:val="single" w:color="auto" w:sz="4" w:space="0"/>
              <w:right w:val="single" w:color="auto" w:sz="4" w:space="0"/>
            </w:tcBorders>
            <w:shd w:val="clear" w:color="auto" w:fill="FFFFFF"/>
            <w:vAlign w:val="center"/>
          </w:tcPr>
          <w:p w14:paraId="33E3FAED">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shd w:val="clear" w:color="auto" w:fill="FFFFFF"/>
            <w:vAlign w:val="center"/>
          </w:tcPr>
          <w:p w14:paraId="79A31011">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5B54420F">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shd w:val="clear" w:color="auto" w:fill="auto"/>
            <w:vAlign w:val="center"/>
          </w:tcPr>
          <w:p w14:paraId="17D2868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shd w:val="clear" w:color="auto" w:fill="FFFFFF"/>
            <w:vAlign w:val="center"/>
          </w:tcPr>
          <w:p w14:paraId="37C1E6E8">
            <w:pPr>
              <w:spacing w:line="320" w:lineRule="exact"/>
              <w:jc w:val="left"/>
              <w:rPr>
                <w:color w:val="000000"/>
                <w:kern w:val="0"/>
                <w:sz w:val="18"/>
                <w:szCs w:val="18"/>
              </w:rPr>
            </w:pPr>
            <w:r>
              <w:rPr>
                <w:rFonts w:hint="eastAsia"/>
                <w:color w:val="000000"/>
                <w:kern w:val="0"/>
                <w:sz w:val="18"/>
                <w:szCs w:val="18"/>
              </w:rPr>
              <w:t>逾期未改正且提供的企业信用档案信息不真实的</w:t>
            </w:r>
          </w:p>
        </w:tc>
        <w:tc>
          <w:tcPr>
            <w:tcW w:w="1044" w:type="dxa"/>
            <w:vMerge w:val="continue"/>
            <w:tcBorders>
              <w:top w:val="nil"/>
              <w:left w:val="single" w:color="auto" w:sz="4" w:space="0"/>
              <w:bottom w:val="single" w:color="auto" w:sz="4" w:space="0"/>
              <w:right w:val="single" w:color="auto" w:sz="4" w:space="0"/>
            </w:tcBorders>
            <w:shd w:val="clear" w:color="auto" w:fill="auto"/>
            <w:vAlign w:val="center"/>
          </w:tcPr>
          <w:p w14:paraId="40539B6A">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shd w:val="clear" w:color="auto" w:fill="FFFFFF"/>
            <w:vAlign w:val="center"/>
          </w:tcPr>
          <w:p w14:paraId="5E0F0581">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2F0BDBEA">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shd w:val="clear" w:color="auto" w:fill="auto"/>
            <w:vAlign w:val="center"/>
          </w:tcPr>
          <w:p w14:paraId="01AA756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shd w:val="clear" w:color="auto" w:fill="FFFFFF"/>
            <w:vAlign w:val="center"/>
          </w:tcPr>
          <w:p w14:paraId="2EC00AE0">
            <w:pPr>
              <w:spacing w:line="320" w:lineRule="exact"/>
              <w:jc w:val="left"/>
              <w:rPr>
                <w:color w:val="000000"/>
                <w:kern w:val="0"/>
                <w:sz w:val="18"/>
                <w:szCs w:val="18"/>
              </w:rPr>
            </w:pPr>
            <w:r>
              <w:rPr>
                <w:rFonts w:hint="eastAsia"/>
                <w:color w:val="000000"/>
                <w:kern w:val="0"/>
                <w:sz w:val="18"/>
                <w:szCs w:val="18"/>
              </w:rPr>
              <w:t>逾期未改正且未提供企业信用档案信息的</w:t>
            </w:r>
          </w:p>
        </w:tc>
        <w:tc>
          <w:tcPr>
            <w:tcW w:w="1044" w:type="dxa"/>
            <w:vMerge w:val="continue"/>
            <w:tcBorders>
              <w:top w:val="nil"/>
              <w:left w:val="single" w:color="auto" w:sz="4" w:space="0"/>
              <w:bottom w:val="single" w:color="auto" w:sz="4" w:space="0"/>
              <w:right w:val="single" w:color="auto" w:sz="4" w:space="0"/>
            </w:tcBorders>
            <w:shd w:val="clear" w:color="auto" w:fill="auto"/>
            <w:vAlign w:val="center"/>
          </w:tcPr>
          <w:p w14:paraId="277F3924">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shd w:val="clear" w:color="auto" w:fill="FFFFFF"/>
            <w:vAlign w:val="center"/>
          </w:tcPr>
          <w:p w14:paraId="453FC6C9">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14:paraId="145C7294"/>
    <w:p w14:paraId="4DECE06E"/>
    <w:p w14:paraId="4DBBD586"/>
    <w:p w14:paraId="0B207D34"/>
    <w:p w14:paraId="1F5DA666"/>
    <w:p w14:paraId="35DE5252"/>
    <w:p w14:paraId="086AF540"/>
    <w:p w14:paraId="78C6CFB4"/>
    <w:p w14:paraId="132E735D"/>
    <w:p w14:paraId="037CB1DF"/>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1A65F15D">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9A7C644">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0DA654D5">
            <w:pPr>
              <w:jc w:val="left"/>
              <w:textAlignment w:val="center"/>
              <w:rPr>
                <w:rFonts w:eastAsia="仿宋_GB2312"/>
                <w:b/>
                <w:bCs/>
                <w:color w:val="000000"/>
                <w:kern w:val="0"/>
                <w:sz w:val="18"/>
                <w:szCs w:val="18"/>
              </w:rPr>
            </w:pPr>
            <w:r>
              <w:rPr>
                <w:rFonts w:eastAsia="仿宋_GB2312"/>
                <w:b/>
                <w:color w:val="000000"/>
                <w:kern w:val="0"/>
                <w:sz w:val="20"/>
              </w:rPr>
              <w:t>320217046000</w:t>
            </w:r>
          </w:p>
        </w:tc>
      </w:tr>
      <w:tr w14:paraId="6943D23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5391DC8">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7B3DC3A5">
            <w:pPr>
              <w:spacing w:line="320" w:lineRule="exact"/>
              <w:jc w:val="left"/>
              <w:rPr>
                <w:color w:val="000000"/>
                <w:kern w:val="0"/>
                <w:sz w:val="18"/>
                <w:szCs w:val="18"/>
              </w:rPr>
            </w:pPr>
            <w:r>
              <w:rPr>
                <w:rFonts w:hint="eastAsia"/>
                <w:color w:val="000000"/>
                <w:kern w:val="0"/>
                <w:sz w:val="18"/>
                <w:szCs w:val="18"/>
              </w:rPr>
              <w:t>对勘察设计企业涂改、倒卖、出租、出借或者以其他形式非法转让资质证书的处罚</w:t>
            </w:r>
          </w:p>
        </w:tc>
      </w:tr>
      <w:tr w14:paraId="3552F66F">
        <w:tblPrEx>
          <w:tblCellMar>
            <w:top w:w="0" w:type="dxa"/>
            <w:left w:w="108" w:type="dxa"/>
            <w:bottom w:w="0" w:type="dxa"/>
            <w:right w:w="108" w:type="dxa"/>
          </w:tblCellMar>
        </w:tblPrEx>
        <w:trPr>
          <w:trHeight w:val="1620" w:hRule="atLeast"/>
        </w:trPr>
        <w:tc>
          <w:tcPr>
            <w:tcW w:w="1056" w:type="dxa"/>
            <w:tcBorders>
              <w:top w:val="nil"/>
              <w:left w:val="single" w:color="auto" w:sz="8" w:space="0"/>
              <w:bottom w:val="single" w:color="auto" w:sz="4" w:space="0"/>
              <w:right w:val="single" w:color="auto" w:sz="4" w:space="0"/>
            </w:tcBorders>
            <w:vAlign w:val="center"/>
          </w:tcPr>
          <w:p w14:paraId="4050240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7C5C20D6">
            <w:pPr>
              <w:spacing w:line="320" w:lineRule="exact"/>
              <w:ind w:firstLine="180" w:firstLineChars="100"/>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14:paraId="1CCC2AC9">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从事建设工程勘察、设计活动的企业，申请资质升级、资质增项，在申请之日起前一年内有下列情形之一的，资质许可机关不予批准企业的资质升级申请和增项申请：</w:t>
            </w:r>
          </w:p>
          <w:p w14:paraId="438C068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（九）涂改、倒卖、出租、出借或者以其他形式非法转让资质证书的。</w:t>
            </w:r>
          </w:p>
          <w:p w14:paraId="58704E8A">
            <w:pPr>
              <w:spacing w:line="320" w:lineRule="exact"/>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涂改、倒卖、出租、出借或者以其他形式非法转让资质证书的，由县级以上地方人民政府建设主管部门或者有关部门给予警告，责令改正，并处以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万元以下的罚款；造成损失的，依法承担赔偿责任；构成犯罪的，依法追究刑事责任。</w:t>
            </w:r>
          </w:p>
        </w:tc>
      </w:tr>
      <w:tr w14:paraId="271692B1">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FD8147F">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02419A66">
            <w:pPr>
              <w:spacing w:line="320" w:lineRule="exact"/>
              <w:jc w:val="left"/>
              <w:rPr>
                <w:color w:val="000000"/>
                <w:kern w:val="0"/>
                <w:sz w:val="18"/>
                <w:szCs w:val="18"/>
              </w:rPr>
            </w:pPr>
            <w:r>
              <w:rPr>
                <w:rFonts w:hint="eastAsia"/>
                <w:color w:val="000000"/>
                <w:kern w:val="0"/>
                <w:sz w:val="18"/>
                <w:szCs w:val="18"/>
              </w:rPr>
              <w:t>警告，罚款，责令改正</w:t>
            </w:r>
          </w:p>
        </w:tc>
      </w:tr>
      <w:tr w14:paraId="244E1B4A">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12E6E311">
            <w:pPr>
              <w:spacing w:line="320" w:lineRule="exact"/>
              <w:jc w:val="center"/>
              <w:rPr>
                <w:color w:val="000000"/>
                <w:kern w:val="0"/>
                <w:sz w:val="18"/>
                <w:szCs w:val="18"/>
              </w:rPr>
            </w:pPr>
            <w:r>
              <w:rPr>
                <w:rFonts w:hint="eastAsia"/>
                <w:color w:val="000000"/>
                <w:kern w:val="0"/>
                <w:sz w:val="18"/>
                <w:szCs w:val="18"/>
              </w:rPr>
              <w:t>裁量基准</w:t>
            </w:r>
          </w:p>
        </w:tc>
      </w:tr>
      <w:tr w14:paraId="42A713F7">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4BD9FE9F">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4FB08879">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53EC8C73">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65F04D21">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490618B">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5FB52FB8">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4E6C232">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049D14B1">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31FBA612">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5F7A12D5">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644F54A">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78702D21">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D1C0775">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517EBD27">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564F0000">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2008517B">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95B72BC">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466D8FB8">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AE42EEF">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381E8DAA">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8E2C44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7470066E">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2A60E78">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5F60909B"/>
    <w:p w14:paraId="0C1E7BB7"/>
    <w:p w14:paraId="53F9D045"/>
    <w:p w14:paraId="2E2FBDDC"/>
    <w:p w14:paraId="17153443"/>
    <w:p w14:paraId="0291741C"/>
    <w:p w14:paraId="08CD49C7"/>
    <w:p w14:paraId="6A129737"/>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729B419D">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7BFEB32">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6CB7555F">
            <w:pPr>
              <w:jc w:val="left"/>
              <w:textAlignment w:val="center"/>
              <w:rPr>
                <w:rFonts w:eastAsia="仿宋_GB2312"/>
                <w:b/>
                <w:bCs/>
                <w:color w:val="000000"/>
                <w:kern w:val="0"/>
                <w:sz w:val="18"/>
                <w:szCs w:val="18"/>
              </w:rPr>
            </w:pPr>
            <w:r>
              <w:rPr>
                <w:rFonts w:eastAsia="仿宋_GB2312"/>
                <w:b/>
                <w:color w:val="000000"/>
                <w:kern w:val="0"/>
                <w:sz w:val="20"/>
              </w:rPr>
              <w:t>320217047000</w:t>
            </w:r>
            <w:r>
              <w:rPr>
                <w:rFonts w:hint="eastAsia" w:eastAsia="仿宋_GB2312"/>
                <w:b/>
                <w:color w:val="000000"/>
                <w:kern w:val="0"/>
                <w:sz w:val="20"/>
              </w:rPr>
              <w:t xml:space="preserve"> </w:t>
            </w:r>
          </w:p>
        </w:tc>
      </w:tr>
      <w:tr w14:paraId="31CF834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26372D9">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6FBB398E">
            <w:pPr>
              <w:spacing w:line="320" w:lineRule="exact"/>
              <w:jc w:val="left"/>
              <w:rPr>
                <w:color w:val="000000"/>
                <w:kern w:val="0"/>
                <w:sz w:val="18"/>
                <w:szCs w:val="18"/>
              </w:rPr>
            </w:pPr>
            <w:r>
              <w:rPr>
                <w:rFonts w:hint="eastAsia"/>
                <w:color w:val="000000"/>
                <w:kern w:val="0"/>
                <w:sz w:val="18"/>
                <w:szCs w:val="18"/>
              </w:rPr>
              <w:t>对隐瞒有关情况或者提供虚假材料申请建筑业企业资质的处罚</w:t>
            </w:r>
          </w:p>
        </w:tc>
      </w:tr>
      <w:tr w14:paraId="6097EC0C">
        <w:tblPrEx>
          <w:tblCellMar>
            <w:top w:w="0" w:type="dxa"/>
            <w:left w:w="108" w:type="dxa"/>
            <w:bottom w:w="0" w:type="dxa"/>
            <w:right w:w="108" w:type="dxa"/>
          </w:tblCellMar>
        </w:tblPrEx>
        <w:trPr>
          <w:trHeight w:val="1545" w:hRule="atLeast"/>
        </w:trPr>
        <w:tc>
          <w:tcPr>
            <w:tcW w:w="1056" w:type="dxa"/>
            <w:tcBorders>
              <w:top w:val="nil"/>
              <w:left w:val="single" w:color="auto" w:sz="8" w:space="0"/>
              <w:bottom w:val="single" w:color="auto" w:sz="4" w:space="0"/>
              <w:right w:val="single" w:color="auto" w:sz="4" w:space="0"/>
            </w:tcBorders>
            <w:vAlign w:val="center"/>
          </w:tcPr>
          <w:p w14:paraId="491C834F">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2AA2F156">
            <w:pPr>
              <w:spacing w:line="320" w:lineRule="exact"/>
              <w:ind w:firstLine="180" w:firstLineChars="100"/>
              <w:jc w:val="left"/>
              <w:rPr>
                <w:color w:val="000000"/>
                <w:kern w:val="0"/>
                <w:sz w:val="18"/>
                <w:szCs w:val="18"/>
              </w:rPr>
            </w:pPr>
            <w:r>
              <w:rPr>
                <w:rFonts w:hint="eastAsia"/>
                <w:color w:val="000000"/>
                <w:kern w:val="0"/>
                <w:sz w:val="18"/>
                <w:szCs w:val="18"/>
              </w:rPr>
              <w:t>【法律】《中华人民共和国行政许可法》</w:t>
            </w:r>
          </w:p>
          <w:p w14:paraId="6B7BD606">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14:paraId="5DF6E594">
            <w:pPr>
              <w:spacing w:line="320" w:lineRule="exact"/>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14:paraId="0CB5D0A2">
            <w:pPr>
              <w:spacing w:line="320" w:lineRule="exact"/>
              <w:jc w:val="left"/>
              <w:rPr>
                <w:color w:val="000000"/>
                <w:kern w:val="0"/>
                <w:sz w:val="18"/>
                <w:szCs w:val="18"/>
              </w:rPr>
            </w:pPr>
            <w:r>
              <w:rPr>
                <w:rFonts w:hint="eastAsia"/>
                <w:color w:val="000000"/>
                <w:kern w:val="0"/>
                <w:sz w:val="18"/>
                <w:szCs w:val="18"/>
              </w:rPr>
              <w:t>第三十五条　申请企业隐瞒有关真实情况或者提供虚假材料申请建筑业企业资质的，资质许可机关不予许可，并给予警告，申请企业在</w:t>
            </w:r>
            <w:r>
              <w:rPr>
                <w:color w:val="000000"/>
                <w:kern w:val="0"/>
                <w:sz w:val="18"/>
                <w:szCs w:val="18"/>
              </w:rPr>
              <w:t>1</w:t>
            </w:r>
            <w:r>
              <w:rPr>
                <w:rFonts w:hint="eastAsia"/>
                <w:color w:val="000000"/>
                <w:kern w:val="0"/>
                <w:sz w:val="18"/>
                <w:szCs w:val="18"/>
              </w:rPr>
              <w:t>年内不得再次申请建筑业企业资质。</w:t>
            </w:r>
          </w:p>
        </w:tc>
      </w:tr>
      <w:tr w14:paraId="65744493">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2F55237">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4A3C3F9E">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w:t>
            </w:r>
          </w:p>
        </w:tc>
      </w:tr>
      <w:tr w14:paraId="6D2B9A35">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660EECC8">
            <w:pPr>
              <w:spacing w:line="320" w:lineRule="exact"/>
              <w:jc w:val="center"/>
              <w:rPr>
                <w:color w:val="000000"/>
                <w:kern w:val="0"/>
                <w:sz w:val="18"/>
                <w:szCs w:val="18"/>
              </w:rPr>
            </w:pPr>
            <w:r>
              <w:rPr>
                <w:rFonts w:hint="eastAsia"/>
                <w:color w:val="000000"/>
                <w:kern w:val="0"/>
                <w:sz w:val="18"/>
                <w:szCs w:val="18"/>
              </w:rPr>
              <w:t>裁量基准</w:t>
            </w:r>
          </w:p>
        </w:tc>
      </w:tr>
      <w:tr w14:paraId="469F030E">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98DBA0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178C612">
            <w:pPr>
              <w:spacing w:line="320" w:lineRule="exact"/>
              <w:jc w:val="left"/>
              <w:rPr>
                <w:color w:val="000000"/>
                <w:kern w:val="0"/>
                <w:sz w:val="18"/>
                <w:szCs w:val="18"/>
              </w:rPr>
            </w:pPr>
            <w:r>
              <w:rPr>
                <w:rFonts w:hint="eastAsia"/>
                <w:color w:val="000000"/>
                <w:kern w:val="0"/>
                <w:sz w:val="18"/>
                <w:szCs w:val="18"/>
              </w:rPr>
              <w:t>　</w:t>
            </w:r>
          </w:p>
        </w:tc>
        <w:tc>
          <w:tcPr>
            <w:tcW w:w="1044" w:type="dxa"/>
            <w:tcBorders>
              <w:top w:val="nil"/>
              <w:left w:val="nil"/>
              <w:bottom w:val="single" w:color="auto" w:sz="4" w:space="0"/>
              <w:right w:val="single" w:color="auto" w:sz="4" w:space="0"/>
            </w:tcBorders>
            <w:vAlign w:val="center"/>
          </w:tcPr>
          <w:p w14:paraId="5BA1FF7B">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4E9FA476">
            <w:pPr>
              <w:spacing w:line="320" w:lineRule="exact"/>
              <w:jc w:val="left"/>
              <w:rPr>
                <w:color w:val="000000"/>
                <w:kern w:val="0"/>
                <w:sz w:val="18"/>
                <w:szCs w:val="18"/>
              </w:rPr>
            </w:pPr>
            <w:r>
              <w:rPr>
                <w:rFonts w:hint="eastAsia"/>
                <w:color w:val="000000"/>
                <w:kern w:val="0"/>
                <w:sz w:val="18"/>
                <w:szCs w:val="18"/>
              </w:rPr>
              <w:t>　</w:t>
            </w:r>
          </w:p>
        </w:tc>
      </w:tr>
    </w:tbl>
    <w:p w14:paraId="7EB469C1"/>
    <w:p w14:paraId="0ED0F0E8"/>
    <w:p w14:paraId="583841E9"/>
    <w:p w14:paraId="70A376DB"/>
    <w:p w14:paraId="4A0591E7"/>
    <w:p w14:paraId="1A720203"/>
    <w:p w14:paraId="6E9020C0"/>
    <w:p w14:paraId="0325C1FE"/>
    <w:p w14:paraId="3FAFDF7D"/>
    <w:p w14:paraId="5EDF131A"/>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59CE9D19">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0E546B4">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268A83AA">
            <w:pPr>
              <w:spacing w:line="320" w:lineRule="exact"/>
              <w:jc w:val="left"/>
              <w:rPr>
                <w:rFonts w:eastAsia="仿宋_GB2312"/>
                <w:b/>
                <w:bCs/>
                <w:color w:val="000000"/>
                <w:kern w:val="0"/>
                <w:sz w:val="18"/>
                <w:szCs w:val="18"/>
              </w:rPr>
            </w:pPr>
            <w:r>
              <w:rPr>
                <w:rFonts w:eastAsia="仿宋_GB2312"/>
                <w:b/>
                <w:bCs/>
                <w:color w:val="000000"/>
                <w:kern w:val="0"/>
                <w:sz w:val="18"/>
                <w:szCs w:val="18"/>
              </w:rPr>
              <w:t>320217048000</w:t>
            </w:r>
          </w:p>
        </w:tc>
      </w:tr>
      <w:tr w14:paraId="2F90158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B240C63">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1FDF4DCE">
            <w:pPr>
              <w:spacing w:line="320" w:lineRule="exact"/>
              <w:jc w:val="left"/>
              <w:rPr>
                <w:color w:val="000000"/>
                <w:kern w:val="0"/>
                <w:sz w:val="18"/>
                <w:szCs w:val="18"/>
              </w:rPr>
            </w:pPr>
            <w:r>
              <w:rPr>
                <w:rFonts w:hint="eastAsia"/>
                <w:color w:val="000000"/>
                <w:kern w:val="0"/>
                <w:sz w:val="18"/>
                <w:szCs w:val="18"/>
              </w:rPr>
              <w:t>对工程监理单位与被监理工程的施工承包单位以及建筑材料、建筑构配件和设备供应单位有隶属关系或者其他利害关系承担该项建设工程的监理业务的处罚</w:t>
            </w:r>
          </w:p>
        </w:tc>
      </w:tr>
      <w:tr w14:paraId="0C895A12">
        <w:tblPrEx>
          <w:tblCellMar>
            <w:top w:w="0" w:type="dxa"/>
            <w:left w:w="108" w:type="dxa"/>
            <w:bottom w:w="0" w:type="dxa"/>
            <w:right w:w="108" w:type="dxa"/>
          </w:tblCellMar>
        </w:tblPrEx>
        <w:trPr>
          <w:trHeight w:val="629" w:hRule="atLeast"/>
        </w:trPr>
        <w:tc>
          <w:tcPr>
            <w:tcW w:w="1056" w:type="dxa"/>
            <w:tcBorders>
              <w:top w:val="nil"/>
              <w:left w:val="single" w:color="auto" w:sz="8" w:space="0"/>
              <w:bottom w:val="single" w:color="auto" w:sz="4" w:space="0"/>
              <w:right w:val="single" w:color="auto" w:sz="4" w:space="0"/>
            </w:tcBorders>
            <w:vAlign w:val="center"/>
          </w:tcPr>
          <w:p w14:paraId="774DE8BB">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365D284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2C479F92">
            <w:pPr>
              <w:spacing w:line="320" w:lineRule="exact"/>
              <w:jc w:val="left"/>
              <w:rPr>
                <w:color w:val="000000"/>
                <w:kern w:val="0"/>
                <w:sz w:val="18"/>
                <w:szCs w:val="18"/>
              </w:rPr>
            </w:pPr>
            <w:r>
              <w:rPr>
                <w:rFonts w:hint="eastAsia"/>
                <w:color w:val="000000"/>
                <w:kern w:val="0"/>
                <w:sz w:val="18"/>
                <w:szCs w:val="18"/>
              </w:rPr>
              <w:t>第三十五条　工程监理单位与被监理工程的施工承包单位以及建筑材料、建筑构配件和设备供应单位不得有隶属关系或者其他利害关系，不得承担该项建设工程的监理业务。</w:t>
            </w:r>
          </w:p>
          <w:p w14:paraId="37B9995E">
            <w:pPr>
              <w:spacing w:line="320" w:lineRule="exact"/>
              <w:jc w:val="left"/>
              <w:rPr>
                <w:color w:val="000000"/>
                <w:kern w:val="0"/>
                <w:sz w:val="18"/>
                <w:szCs w:val="18"/>
              </w:rPr>
            </w:pPr>
            <w:r>
              <w:rPr>
                <w:rFonts w:hint="eastAsia"/>
                <w:color w:val="000000"/>
                <w:kern w:val="0"/>
                <w:sz w:val="18"/>
                <w:szCs w:val="18"/>
              </w:rPr>
              <w:t>第六十八条　违反本条例规定，工程监理单位与被监理工程的施工承包单位以及建筑材料、建筑构配件和设备供应单位有隶属关系或者其他利害关系承担该项建设工程的监理业务的，责令改正，处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万元以下的罚款，降低资质等级或者吊销资质证书；有违法所得的，予以没收。</w:t>
            </w:r>
          </w:p>
          <w:p w14:paraId="71D2B1B7">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5D8996F3">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0624A0E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09BE9DB">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1F3ADE33">
            <w:pPr>
              <w:spacing w:line="320" w:lineRule="exact"/>
              <w:jc w:val="left"/>
              <w:rPr>
                <w:color w:val="000000"/>
                <w:kern w:val="0"/>
                <w:sz w:val="18"/>
                <w:szCs w:val="18"/>
              </w:rPr>
            </w:pPr>
            <w:r>
              <w:rPr>
                <w:rFonts w:hint="eastAsia"/>
                <w:color w:val="000000"/>
                <w:kern w:val="0"/>
                <w:sz w:val="18"/>
                <w:szCs w:val="18"/>
              </w:rPr>
              <w:t>罚款，降低资质等级或者吊销资质证书，没收违法所得</w:t>
            </w:r>
          </w:p>
        </w:tc>
      </w:tr>
      <w:tr w14:paraId="500573C0">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0DB95705">
            <w:pPr>
              <w:spacing w:line="320" w:lineRule="exact"/>
              <w:jc w:val="center"/>
              <w:rPr>
                <w:color w:val="000000"/>
                <w:kern w:val="0"/>
                <w:sz w:val="18"/>
                <w:szCs w:val="18"/>
              </w:rPr>
            </w:pPr>
            <w:r>
              <w:rPr>
                <w:rFonts w:hint="eastAsia"/>
                <w:color w:val="000000"/>
                <w:kern w:val="0"/>
                <w:sz w:val="18"/>
                <w:szCs w:val="18"/>
              </w:rPr>
              <w:t>裁量基准</w:t>
            </w:r>
          </w:p>
        </w:tc>
      </w:tr>
      <w:tr w14:paraId="4C9E48A0">
        <w:tblPrEx>
          <w:tblCellMar>
            <w:top w:w="0" w:type="dxa"/>
            <w:left w:w="108" w:type="dxa"/>
            <w:bottom w:w="0" w:type="dxa"/>
            <w:right w:w="108" w:type="dxa"/>
          </w:tblCellMar>
        </w:tblPrEx>
        <w:trPr>
          <w:trHeight w:val="720" w:hRule="atLeast"/>
        </w:trPr>
        <w:tc>
          <w:tcPr>
            <w:tcW w:w="1056" w:type="dxa"/>
            <w:vMerge w:val="restart"/>
            <w:tcBorders>
              <w:top w:val="nil"/>
              <w:left w:val="single" w:color="auto" w:sz="8" w:space="0"/>
              <w:bottom w:val="single" w:color="auto" w:sz="4" w:space="0"/>
              <w:right w:val="single" w:color="auto" w:sz="4" w:space="0"/>
            </w:tcBorders>
            <w:vAlign w:val="center"/>
          </w:tcPr>
          <w:p w14:paraId="529FFCD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3BF77F8">
            <w:pPr>
              <w:spacing w:line="320" w:lineRule="exact"/>
              <w:jc w:val="left"/>
              <w:rPr>
                <w:color w:val="000000"/>
                <w:kern w:val="0"/>
                <w:sz w:val="18"/>
                <w:szCs w:val="18"/>
              </w:rPr>
            </w:pPr>
            <w:r>
              <w:rPr>
                <w:rFonts w:hint="eastAsia"/>
                <w:color w:val="000000"/>
                <w:kern w:val="0"/>
                <w:sz w:val="18"/>
                <w:szCs w:val="18"/>
              </w:rPr>
              <w:t>未造成质量缺陷的</w:t>
            </w:r>
          </w:p>
        </w:tc>
        <w:tc>
          <w:tcPr>
            <w:tcW w:w="1044" w:type="dxa"/>
            <w:vMerge w:val="restart"/>
            <w:tcBorders>
              <w:top w:val="nil"/>
              <w:left w:val="single" w:color="auto" w:sz="4" w:space="0"/>
              <w:bottom w:val="single" w:color="auto" w:sz="4" w:space="0"/>
              <w:right w:val="single" w:color="auto" w:sz="4" w:space="0"/>
            </w:tcBorders>
            <w:vAlign w:val="center"/>
          </w:tcPr>
          <w:p w14:paraId="2D72858E">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32CA3180">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万元以上以上</w:t>
            </w:r>
            <w:r>
              <w:rPr>
                <w:color w:val="000000"/>
                <w:kern w:val="0"/>
                <w:sz w:val="18"/>
                <w:szCs w:val="18"/>
              </w:rPr>
              <w:t>6</w:t>
            </w:r>
            <w:r>
              <w:rPr>
                <w:rFonts w:hint="eastAsia"/>
                <w:color w:val="000000"/>
                <w:kern w:val="0"/>
                <w:sz w:val="18"/>
                <w:szCs w:val="18"/>
              </w:rPr>
              <w:t>万元以下罚款，降低资质等级或者吊销资质证书</w:t>
            </w:r>
          </w:p>
          <w:p w14:paraId="0CD0E570">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1D9DE33D">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37D0FD5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29CC695">
            <w:pPr>
              <w:spacing w:line="320" w:lineRule="exact"/>
              <w:jc w:val="left"/>
              <w:rPr>
                <w:color w:val="000000"/>
                <w:kern w:val="0"/>
                <w:sz w:val="18"/>
                <w:szCs w:val="18"/>
              </w:rPr>
            </w:pPr>
            <w:r>
              <w:rPr>
                <w:rFonts w:hint="eastAsia"/>
                <w:color w:val="000000"/>
                <w:kern w:val="0"/>
                <w:sz w:val="18"/>
                <w:szCs w:val="18"/>
              </w:rPr>
              <w:t>造成质量缺陷但未造成质量安全事故的</w:t>
            </w:r>
          </w:p>
        </w:tc>
        <w:tc>
          <w:tcPr>
            <w:tcW w:w="1044" w:type="dxa"/>
            <w:vMerge w:val="continue"/>
            <w:tcBorders>
              <w:top w:val="nil"/>
              <w:left w:val="single" w:color="auto" w:sz="4" w:space="0"/>
              <w:bottom w:val="single" w:color="auto" w:sz="4" w:space="0"/>
              <w:right w:val="single" w:color="auto" w:sz="4" w:space="0"/>
            </w:tcBorders>
            <w:vAlign w:val="center"/>
          </w:tcPr>
          <w:p w14:paraId="73B88E84">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650D680">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万元以下罚款，降低资质等级或者吊销资质证书</w:t>
            </w:r>
          </w:p>
          <w:p w14:paraId="731B18C5">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663D733E">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3CB065E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9EB201B">
            <w:pPr>
              <w:spacing w:line="320" w:lineRule="exact"/>
              <w:jc w:val="left"/>
              <w:rPr>
                <w:color w:val="000000"/>
                <w:kern w:val="0"/>
                <w:sz w:val="18"/>
                <w:szCs w:val="18"/>
              </w:rPr>
            </w:pPr>
            <w:r>
              <w:rPr>
                <w:rFonts w:hint="eastAsia"/>
                <w:color w:val="000000"/>
                <w:kern w:val="0"/>
                <w:sz w:val="18"/>
                <w:szCs w:val="18"/>
              </w:rPr>
              <w:t>造成质量安全事故的</w:t>
            </w:r>
          </w:p>
        </w:tc>
        <w:tc>
          <w:tcPr>
            <w:tcW w:w="1044" w:type="dxa"/>
            <w:vMerge w:val="continue"/>
            <w:tcBorders>
              <w:top w:val="nil"/>
              <w:left w:val="single" w:color="auto" w:sz="4" w:space="0"/>
              <w:bottom w:val="single" w:color="auto" w:sz="4" w:space="0"/>
              <w:right w:val="single" w:color="auto" w:sz="4" w:space="0"/>
            </w:tcBorders>
            <w:vAlign w:val="center"/>
          </w:tcPr>
          <w:p w14:paraId="28D34C86">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E6F3F1C">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万元以下罚款，吊销资质证书</w:t>
            </w:r>
          </w:p>
          <w:p w14:paraId="2E53A84A">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02110714"/>
    <w:p w14:paraId="7FC52726"/>
    <w:p w14:paraId="21D01C33"/>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250C2B59">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5E6288BD">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055120A2">
            <w:pPr>
              <w:jc w:val="left"/>
              <w:textAlignment w:val="center"/>
              <w:rPr>
                <w:rFonts w:eastAsia="仿宋_GB2312"/>
                <w:b/>
                <w:bCs/>
                <w:color w:val="000000"/>
                <w:kern w:val="0"/>
                <w:sz w:val="18"/>
                <w:szCs w:val="18"/>
              </w:rPr>
            </w:pPr>
            <w:r>
              <w:rPr>
                <w:rFonts w:eastAsia="仿宋_GB2312"/>
                <w:b/>
                <w:color w:val="000000"/>
                <w:kern w:val="0"/>
                <w:sz w:val="20"/>
              </w:rPr>
              <w:t>320217049000</w:t>
            </w:r>
          </w:p>
        </w:tc>
      </w:tr>
      <w:tr w14:paraId="06BE36B3">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220E12F2">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700753FB">
            <w:pPr>
              <w:spacing w:line="320" w:lineRule="exact"/>
              <w:jc w:val="left"/>
              <w:rPr>
                <w:color w:val="000000"/>
                <w:kern w:val="0"/>
                <w:sz w:val="18"/>
                <w:szCs w:val="18"/>
              </w:rPr>
            </w:pPr>
            <w:r>
              <w:rPr>
                <w:rFonts w:hint="eastAsia"/>
                <w:color w:val="000000"/>
                <w:kern w:val="0"/>
                <w:sz w:val="18"/>
                <w:szCs w:val="18"/>
              </w:rPr>
              <w:t>对建筑施工企业隐瞒或谎报、拖延报告工程质量安全事故，破坏事故现场、阻碍对事故调查的处罚</w:t>
            </w:r>
          </w:p>
        </w:tc>
      </w:tr>
      <w:tr w14:paraId="460ADE04">
        <w:tblPrEx>
          <w:tblCellMar>
            <w:top w:w="0" w:type="dxa"/>
            <w:left w:w="108" w:type="dxa"/>
            <w:bottom w:w="0" w:type="dxa"/>
            <w:right w:w="108" w:type="dxa"/>
          </w:tblCellMar>
        </w:tblPrEx>
        <w:trPr>
          <w:trHeight w:val="1845" w:hRule="atLeast"/>
        </w:trPr>
        <w:tc>
          <w:tcPr>
            <w:tcW w:w="1056" w:type="dxa"/>
            <w:tcBorders>
              <w:top w:val="single" w:color="auto" w:sz="4" w:space="0"/>
              <w:left w:val="single" w:color="auto" w:sz="8" w:space="0"/>
              <w:bottom w:val="single" w:color="auto" w:sz="4" w:space="0"/>
              <w:right w:val="single" w:color="auto" w:sz="4" w:space="0"/>
            </w:tcBorders>
            <w:vAlign w:val="center"/>
          </w:tcPr>
          <w:p w14:paraId="629AE06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0C1A32EC">
            <w:pPr>
              <w:spacing w:line="320" w:lineRule="exact"/>
              <w:ind w:firstLine="180" w:firstLineChars="100"/>
              <w:jc w:val="left"/>
              <w:rPr>
                <w:color w:val="000000"/>
                <w:kern w:val="0"/>
                <w:sz w:val="18"/>
                <w:szCs w:val="18"/>
              </w:rPr>
            </w:pPr>
            <w:r>
              <w:rPr>
                <w:rFonts w:hint="eastAsia"/>
                <w:color w:val="000000"/>
                <w:kern w:val="0"/>
                <w:sz w:val="18"/>
                <w:szCs w:val="18"/>
              </w:rPr>
              <w:t>【规章】《建筑业企业资质管理规定》</w:t>
            </w:r>
            <w:r>
              <w:rPr>
                <w:color w:val="000000"/>
                <w:kern w:val="0"/>
                <w:sz w:val="18"/>
                <w:szCs w:val="18"/>
              </w:rPr>
              <w:t>（</w:t>
            </w:r>
            <w:r>
              <w:rPr>
                <w:rFonts w:hint="eastAsia"/>
                <w:color w:val="000000"/>
                <w:kern w:val="0"/>
                <w:sz w:val="18"/>
                <w:szCs w:val="18"/>
              </w:rPr>
              <w:t>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w:t>
            </w:r>
          </w:p>
          <w:p w14:paraId="595259BA">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企业申请建筑业企业资质升级、资质增项，在申请之日起前一年至资质许可决定作出前，有下列情形之一的，资质许可机关不予批准其建筑业企业资质升级申请和增项申请：</w:t>
            </w:r>
          </w:p>
          <w:p w14:paraId="24FBA8F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（七）隐瞒或谎报、拖延报告工程质量安全事故，破坏事故现场、阻碍对事故调查的；</w:t>
            </w:r>
          </w:p>
          <w:p w14:paraId="064ACF89">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5C80E6AF">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5AA6134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618A7ECC">
            <w:pPr>
              <w:spacing w:line="320" w:lineRule="exact"/>
              <w:jc w:val="left"/>
              <w:rPr>
                <w:color w:val="000000"/>
                <w:kern w:val="0"/>
                <w:sz w:val="18"/>
                <w:szCs w:val="18"/>
              </w:rPr>
            </w:pPr>
            <w:r>
              <w:rPr>
                <w:rFonts w:hint="eastAsia"/>
                <w:color w:val="000000"/>
                <w:kern w:val="0"/>
                <w:sz w:val="18"/>
                <w:szCs w:val="18"/>
              </w:rPr>
              <w:t>警告，罚款，限期改正，</w:t>
            </w:r>
          </w:p>
        </w:tc>
      </w:tr>
      <w:tr w14:paraId="6449858E">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0607DDA8">
            <w:pPr>
              <w:spacing w:line="320" w:lineRule="exact"/>
              <w:jc w:val="center"/>
              <w:rPr>
                <w:color w:val="000000"/>
                <w:kern w:val="0"/>
                <w:sz w:val="18"/>
                <w:szCs w:val="18"/>
              </w:rPr>
            </w:pPr>
            <w:r>
              <w:rPr>
                <w:rFonts w:hint="eastAsia"/>
                <w:color w:val="000000"/>
                <w:kern w:val="0"/>
                <w:sz w:val="18"/>
                <w:szCs w:val="18"/>
              </w:rPr>
              <w:t>裁量基准</w:t>
            </w:r>
          </w:p>
        </w:tc>
      </w:tr>
      <w:tr w14:paraId="05793C1B">
        <w:tblPrEx>
          <w:tblCellMar>
            <w:top w:w="0" w:type="dxa"/>
            <w:left w:w="108" w:type="dxa"/>
            <w:bottom w:w="0" w:type="dxa"/>
            <w:right w:w="108" w:type="dxa"/>
          </w:tblCellMar>
        </w:tblPrEx>
        <w:trPr>
          <w:trHeight w:val="285" w:hRule="atLeast"/>
        </w:trPr>
        <w:tc>
          <w:tcPr>
            <w:tcW w:w="1056" w:type="dxa"/>
            <w:vMerge w:val="restart"/>
            <w:tcBorders>
              <w:top w:val="single" w:color="auto" w:sz="4" w:space="0"/>
              <w:left w:val="single" w:color="auto" w:sz="8" w:space="0"/>
              <w:bottom w:val="single" w:color="auto" w:sz="4" w:space="0"/>
              <w:right w:val="single" w:color="auto" w:sz="4" w:space="0"/>
            </w:tcBorders>
            <w:vAlign w:val="center"/>
          </w:tcPr>
          <w:p w14:paraId="4FE3DD1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20A323B2">
            <w:pPr>
              <w:spacing w:line="320" w:lineRule="exact"/>
              <w:jc w:val="left"/>
              <w:rPr>
                <w:color w:val="000000"/>
                <w:kern w:val="0"/>
                <w:sz w:val="18"/>
                <w:szCs w:val="18"/>
              </w:rPr>
            </w:pPr>
            <w:r>
              <w:rPr>
                <w:rFonts w:hint="eastAsia"/>
                <w:color w:val="000000"/>
                <w:kern w:val="0"/>
                <w:sz w:val="18"/>
                <w:szCs w:val="18"/>
              </w:rPr>
              <w:t>按照要求改正</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7F105132">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54FE742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1DE5B00D">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8" w:space="0"/>
              <w:right w:val="single" w:color="auto" w:sz="4" w:space="0"/>
            </w:tcBorders>
            <w:vAlign w:val="center"/>
          </w:tcPr>
          <w:p w14:paraId="16783F83">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0D5A7D35">
            <w:pPr>
              <w:spacing w:line="320" w:lineRule="exact"/>
              <w:jc w:val="left"/>
              <w:rPr>
                <w:color w:val="000000"/>
                <w:kern w:val="0"/>
                <w:sz w:val="18"/>
                <w:szCs w:val="18"/>
              </w:rPr>
            </w:pPr>
            <w:r>
              <w:rPr>
                <w:rFonts w:hint="eastAsia"/>
                <w:color w:val="000000"/>
                <w:kern w:val="0"/>
                <w:sz w:val="18"/>
                <w:szCs w:val="18"/>
              </w:rPr>
              <w:t>未按照要求改正</w:t>
            </w:r>
          </w:p>
        </w:tc>
        <w:tc>
          <w:tcPr>
            <w:tcW w:w="1044" w:type="dxa"/>
            <w:vMerge w:val="continue"/>
            <w:tcBorders>
              <w:top w:val="single" w:color="auto" w:sz="4" w:space="0"/>
              <w:left w:val="single" w:color="auto" w:sz="4" w:space="0"/>
              <w:bottom w:val="single" w:color="auto" w:sz="8" w:space="0"/>
              <w:right w:val="single" w:color="auto" w:sz="4" w:space="0"/>
            </w:tcBorders>
            <w:vAlign w:val="center"/>
          </w:tcPr>
          <w:p w14:paraId="2501D5E5">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3B79B71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9242CC5"/>
    <w:p w14:paraId="56AF9B54"/>
    <w:p w14:paraId="0A9E8CB3"/>
    <w:p w14:paraId="58241D8E"/>
    <w:p w14:paraId="3D3667C8"/>
    <w:p w14:paraId="524625F8"/>
    <w:p w14:paraId="6D768E83"/>
    <w:p w14:paraId="2A10CAB7"/>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0CB304F3">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81CA761">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0684DCE2">
            <w:pPr>
              <w:jc w:val="left"/>
              <w:textAlignment w:val="center"/>
              <w:rPr>
                <w:rFonts w:eastAsia="仿宋_GB2312"/>
                <w:b/>
                <w:bCs/>
                <w:color w:val="000000"/>
                <w:kern w:val="0"/>
                <w:sz w:val="18"/>
                <w:szCs w:val="18"/>
              </w:rPr>
            </w:pPr>
            <w:r>
              <w:rPr>
                <w:rFonts w:eastAsia="仿宋_GB2312"/>
                <w:b/>
                <w:color w:val="000000"/>
                <w:kern w:val="0"/>
                <w:sz w:val="20"/>
              </w:rPr>
              <w:t>320217050000</w:t>
            </w:r>
            <w:r>
              <w:rPr>
                <w:rFonts w:hint="eastAsia" w:eastAsia="仿宋_GB2312"/>
                <w:b/>
                <w:color w:val="000000"/>
                <w:kern w:val="0"/>
                <w:sz w:val="20"/>
              </w:rPr>
              <w:t xml:space="preserve"> </w:t>
            </w:r>
          </w:p>
        </w:tc>
      </w:tr>
      <w:tr w14:paraId="79F5B877">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5BFCE87E">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53A83D19">
            <w:pPr>
              <w:spacing w:line="320" w:lineRule="exact"/>
              <w:jc w:val="left"/>
              <w:rPr>
                <w:color w:val="000000"/>
                <w:kern w:val="0"/>
                <w:sz w:val="18"/>
                <w:szCs w:val="18"/>
              </w:rPr>
            </w:pPr>
            <w:r>
              <w:rPr>
                <w:rFonts w:hint="eastAsia"/>
                <w:color w:val="000000"/>
                <w:kern w:val="0"/>
                <w:sz w:val="18"/>
                <w:szCs w:val="18"/>
              </w:rPr>
              <w:t>对建筑业企业违反国家法律、法规和标准规定，需要持证上岗的现场管理人员和技术工种作业人员未取得证书上岗的处罚</w:t>
            </w:r>
          </w:p>
        </w:tc>
      </w:tr>
      <w:tr w14:paraId="0300E571">
        <w:tblPrEx>
          <w:tblCellMar>
            <w:top w:w="0" w:type="dxa"/>
            <w:left w:w="108" w:type="dxa"/>
            <w:bottom w:w="0" w:type="dxa"/>
            <w:right w:w="108" w:type="dxa"/>
          </w:tblCellMar>
        </w:tblPrEx>
        <w:trPr>
          <w:trHeight w:val="1860" w:hRule="atLeast"/>
        </w:trPr>
        <w:tc>
          <w:tcPr>
            <w:tcW w:w="1056" w:type="dxa"/>
            <w:tcBorders>
              <w:top w:val="single" w:color="auto" w:sz="4" w:space="0"/>
              <w:left w:val="single" w:color="auto" w:sz="8" w:space="0"/>
              <w:bottom w:val="single" w:color="auto" w:sz="4" w:space="0"/>
              <w:right w:val="single" w:color="auto" w:sz="4" w:space="0"/>
            </w:tcBorders>
            <w:vAlign w:val="center"/>
          </w:tcPr>
          <w:p w14:paraId="40753AE9">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713CF0C6">
            <w:pPr>
              <w:spacing w:line="320" w:lineRule="exact"/>
              <w:ind w:firstLine="180" w:firstLineChars="100"/>
              <w:jc w:val="left"/>
              <w:rPr>
                <w:color w:val="000000"/>
                <w:kern w:val="0"/>
                <w:sz w:val="18"/>
                <w:szCs w:val="18"/>
              </w:rPr>
            </w:pPr>
            <w:r>
              <w:rPr>
                <w:rFonts w:hint="eastAsia"/>
                <w:color w:val="000000"/>
                <w:kern w:val="0"/>
                <w:sz w:val="18"/>
                <w:szCs w:val="18"/>
              </w:rPr>
              <w:t>【规章】《建筑业企业资质管理规定》</w:t>
            </w:r>
            <w:r>
              <w:rPr>
                <w:color w:val="000000"/>
                <w:kern w:val="0"/>
                <w:sz w:val="18"/>
                <w:szCs w:val="18"/>
              </w:rPr>
              <w:t>（</w:t>
            </w:r>
            <w:r>
              <w:rPr>
                <w:rFonts w:hint="eastAsia"/>
                <w:color w:val="000000"/>
                <w:kern w:val="0"/>
                <w:sz w:val="18"/>
                <w:szCs w:val="18"/>
              </w:rPr>
              <w:t>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w:t>
            </w:r>
          </w:p>
          <w:p w14:paraId="05F6EA7A">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企业申请建筑业企业资质升级、资质增项，在申请之日起前一年至资质许可决定作出前，有下列情形之一的，资质许可机关不予批准其建筑业企业资质升级申请和增项申请：</w:t>
            </w:r>
          </w:p>
          <w:p w14:paraId="5A1327C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（八）按照国家法律、法规和标准规定需要持证上岗的现场管理人员和技术工种作业人员未取得证书上岗的；</w:t>
            </w:r>
          </w:p>
          <w:p w14:paraId="4BF3E498">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1C364441">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520BFB39">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53CAF6A5">
            <w:pPr>
              <w:spacing w:line="320" w:lineRule="exact"/>
              <w:jc w:val="left"/>
              <w:rPr>
                <w:color w:val="000000"/>
                <w:kern w:val="0"/>
                <w:sz w:val="18"/>
                <w:szCs w:val="18"/>
              </w:rPr>
            </w:pPr>
            <w:r>
              <w:rPr>
                <w:rFonts w:hint="eastAsia"/>
                <w:color w:val="000000"/>
                <w:kern w:val="0"/>
                <w:sz w:val="18"/>
                <w:szCs w:val="18"/>
              </w:rPr>
              <w:t>警告，罚款，限期改正，</w:t>
            </w:r>
          </w:p>
        </w:tc>
      </w:tr>
      <w:tr w14:paraId="741AC406">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133F0791">
            <w:pPr>
              <w:spacing w:line="320" w:lineRule="exact"/>
              <w:jc w:val="center"/>
              <w:rPr>
                <w:color w:val="000000"/>
                <w:kern w:val="0"/>
                <w:sz w:val="18"/>
                <w:szCs w:val="18"/>
              </w:rPr>
            </w:pPr>
            <w:r>
              <w:rPr>
                <w:rFonts w:hint="eastAsia"/>
                <w:color w:val="000000"/>
                <w:kern w:val="0"/>
                <w:sz w:val="18"/>
                <w:szCs w:val="18"/>
              </w:rPr>
              <w:t>裁量基准</w:t>
            </w:r>
          </w:p>
        </w:tc>
      </w:tr>
      <w:tr w14:paraId="6EAA12CE">
        <w:tblPrEx>
          <w:tblCellMar>
            <w:top w:w="0" w:type="dxa"/>
            <w:left w:w="108" w:type="dxa"/>
            <w:bottom w:w="0" w:type="dxa"/>
            <w:right w:w="108" w:type="dxa"/>
          </w:tblCellMar>
        </w:tblPrEx>
        <w:trPr>
          <w:trHeight w:val="285" w:hRule="atLeast"/>
        </w:trPr>
        <w:tc>
          <w:tcPr>
            <w:tcW w:w="1056" w:type="dxa"/>
            <w:vMerge w:val="restart"/>
            <w:tcBorders>
              <w:top w:val="single" w:color="auto" w:sz="4" w:space="0"/>
              <w:left w:val="single" w:color="auto" w:sz="8" w:space="0"/>
              <w:bottom w:val="single" w:color="auto" w:sz="4" w:space="0"/>
              <w:right w:val="single" w:color="auto" w:sz="4" w:space="0"/>
            </w:tcBorders>
            <w:vAlign w:val="center"/>
          </w:tcPr>
          <w:p w14:paraId="70DB098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68DFD7CE">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00A0424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0667142E">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1F161B9">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8" w:space="0"/>
              <w:right w:val="single" w:color="auto" w:sz="4" w:space="0"/>
            </w:tcBorders>
            <w:vAlign w:val="center"/>
          </w:tcPr>
          <w:p w14:paraId="11222B4D">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0B8D8912">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single" w:color="auto" w:sz="4" w:space="0"/>
              <w:left w:val="single" w:color="auto" w:sz="4" w:space="0"/>
              <w:bottom w:val="single" w:color="auto" w:sz="8" w:space="0"/>
              <w:right w:val="single" w:color="auto" w:sz="4" w:space="0"/>
            </w:tcBorders>
            <w:vAlign w:val="center"/>
          </w:tcPr>
          <w:p w14:paraId="5BE8FEA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4372251F">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5C8F7983"/>
    <w:p w14:paraId="6EBAB223"/>
    <w:p w14:paraId="39F990EB"/>
    <w:p w14:paraId="1BAA0FBB"/>
    <w:p w14:paraId="06535E5A"/>
    <w:p w14:paraId="56CC615A"/>
    <w:p w14:paraId="4F578231"/>
    <w:p w14:paraId="270DA39B"/>
    <w:p w14:paraId="7EF9ECE8"/>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3BB3921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704415C">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1BE3AA7A">
            <w:pPr>
              <w:jc w:val="left"/>
              <w:textAlignment w:val="center"/>
              <w:rPr>
                <w:rFonts w:eastAsia="仿宋_GB2312"/>
                <w:b/>
                <w:bCs/>
                <w:color w:val="000000"/>
                <w:kern w:val="0"/>
                <w:sz w:val="18"/>
                <w:szCs w:val="18"/>
              </w:rPr>
            </w:pPr>
            <w:r>
              <w:rPr>
                <w:rFonts w:eastAsia="仿宋_GB2312"/>
                <w:b/>
                <w:color w:val="000000"/>
                <w:kern w:val="0"/>
                <w:sz w:val="20"/>
              </w:rPr>
              <w:t>320217051000</w:t>
            </w:r>
          </w:p>
        </w:tc>
      </w:tr>
      <w:tr w14:paraId="26ACE828">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6309A878">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60442127">
            <w:pPr>
              <w:spacing w:line="320" w:lineRule="exact"/>
              <w:jc w:val="left"/>
              <w:rPr>
                <w:color w:val="000000"/>
                <w:kern w:val="0"/>
                <w:sz w:val="18"/>
                <w:szCs w:val="18"/>
              </w:rPr>
            </w:pPr>
            <w:r>
              <w:rPr>
                <w:rFonts w:hint="eastAsia"/>
                <w:color w:val="000000"/>
                <w:kern w:val="0"/>
                <w:sz w:val="18"/>
                <w:szCs w:val="18"/>
              </w:rPr>
              <w:t>对企业发生过较大以上质量安全事故或者发生过两起以上一般质量安全事故的处罚</w:t>
            </w:r>
          </w:p>
        </w:tc>
      </w:tr>
      <w:tr w14:paraId="179DEE0A">
        <w:tblPrEx>
          <w:tblCellMar>
            <w:top w:w="0" w:type="dxa"/>
            <w:left w:w="108" w:type="dxa"/>
            <w:bottom w:w="0" w:type="dxa"/>
            <w:right w:w="108" w:type="dxa"/>
          </w:tblCellMar>
        </w:tblPrEx>
        <w:trPr>
          <w:trHeight w:val="1815" w:hRule="atLeast"/>
        </w:trPr>
        <w:tc>
          <w:tcPr>
            <w:tcW w:w="1056" w:type="dxa"/>
            <w:tcBorders>
              <w:top w:val="single" w:color="auto" w:sz="4" w:space="0"/>
              <w:left w:val="single" w:color="auto" w:sz="8" w:space="0"/>
              <w:bottom w:val="single" w:color="auto" w:sz="4" w:space="0"/>
              <w:right w:val="single" w:color="auto" w:sz="4" w:space="0"/>
            </w:tcBorders>
            <w:vAlign w:val="center"/>
          </w:tcPr>
          <w:p w14:paraId="095E6020">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24A90390">
            <w:pPr>
              <w:spacing w:line="320" w:lineRule="exact"/>
              <w:ind w:firstLine="360" w:firstLineChars="20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14:paraId="48A7146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企业申请建筑业企业资质升级、资质增项，在申请之日起前一年至资质许可决定作出前，有下列情形之一的，资质许可机关不予批准其建筑业企业资质升级申请和增项申请：</w:t>
            </w:r>
          </w:p>
          <w:p w14:paraId="6E4E85CE">
            <w:pPr>
              <w:spacing w:line="320" w:lineRule="exact"/>
              <w:jc w:val="left"/>
              <w:rPr>
                <w:color w:val="000000"/>
                <w:kern w:val="0"/>
                <w:sz w:val="18"/>
                <w:szCs w:val="18"/>
              </w:rPr>
            </w:pPr>
            <w:r>
              <w:rPr>
                <w:rFonts w:hint="eastAsia"/>
                <w:color w:val="000000"/>
                <w:kern w:val="0"/>
                <w:sz w:val="18"/>
                <w:szCs w:val="18"/>
              </w:rPr>
              <w:t>　　（十一）发生过较大以上质量安全事故或者发生过两起以上一般质量安全事故的；</w:t>
            </w:r>
          </w:p>
          <w:p w14:paraId="45BE351C">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568E7756">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4E14F8A3">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2BA27D6D">
            <w:pPr>
              <w:spacing w:line="320" w:lineRule="exact"/>
              <w:jc w:val="left"/>
              <w:rPr>
                <w:color w:val="000000"/>
                <w:kern w:val="0"/>
                <w:sz w:val="18"/>
                <w:szCs w:val="18"/>
              </w:rPr>
            </w:pPr>
            <w:r>
              <w:rPr>
                <w:rFonts w:hint="eastAsia"/>
                <w:color w:val="000000"/>
                <w:kern w:val="0"/>
                <w:sz w:val="18"/>
                <w:szCs w:val="18"/>
              </w:rPr>
              <w:t>警告，罚款，限期改正，</w:t>
            </w:r>
          </w:p>
        </w:tc>
      </w:tr>
      <w:tr w14:paraId="7D1BF9A8">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66B6124A">
            <w:pPr>
              <w:spacing w:line="320" w:lineRule="exact"/>
              <w:jc w:val="center"/>
              <w:rPr>
                <w:color w:val="000000"/>
                <w:kern w:val="0"/>
                <w:sz w:val="18"/>
                <w:szCs w:val="18"/>
              </w:rPr>
            </w:pPr>
            <w:r>
              <w:rPr>
                <w:rFonts w:hint="eastAsia"/>
                <w:color w:val="000000"/>
                <w:kern w:val="0"/>
                <w:sz w:val="18"/>
                <w:szCs w:val="18"/>
              </w:rPr>
              <w:t>裁量基准</w:t>
            </w:r>
          </w:p>
        </w:tc>
      </w:tr>
      <w:tr w14:paraId="27A2C5F3">
        <w:tblPrEx>
          <w:tblCellMar>
            <w:top w:w="0" w:type="dxa"/>
            <w:left w:w="108" w:type="dxa"/>
            <w:bottom w:w="0" w:type="dxa"/>
            <w:right w:w="108" w:type="dxa"/>
          </w:tblCellMar>
        </w:tblPrEx>
        <w:trPr>
          <w:trHeight w:val="285" w:hRule="atLeast"/>
        </w:trPr>
        <w:tc>
          <w:tcPr>
            <w:tcW w:w="1056" w:type="dxa"/>
            <w:vMerge w:val="restart"/>
            <w:tcBorders>
              <w:top w:val="single" w:color="auto" w:sz="4" w:space="0"/>
              <w:left w:val="single" w:color="auto" w:sz="8" w:space="0"/>
              <w:bottom w:val="single" w:color="auto" w:sz="4" w:space="0"/>
              <w:right w:val="single" w:color="auto" w:sz="4" w:space="0"/>
            </w:tcBorders>
            <w:vAlign w:val="center"/>
          </w:tcPr>
          <w:p w14:paraId="15D38C0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23E304E8">
            <w:pPr>
              <w:spacing w:line="320" w:lineRule="exact"/>
              <w:jc w:val="left"/>
              <w:rPr>
                <w:color w:val="000000"/>
                <w:kern w:val="0"/>
                <w:sz w:val="18"/>
                <w:szCs w:val="18"/>
              </w:rPr>
            </w:pPr>
            <w:r>
              <w:rPr>
                <w:rFonts w:hint="eastAsia"/>
                <w:color w:val="000000"/>
                <w:kern w:val="0"/>
                <w:sz w:val="18"/>
                <w:szCs w:val="18"/>
              </w:rPr>
              <w:t>发生</w:t>
            </w:r>
            <w:r>
              <w:rPr>
                <w:color w:val="000000"/>
                <w:kern w:val="0"/>
                <w:sz w:val="18"/>
                <w:szCs w:val="18"/>
              </w:rPr>
              <w:t>2</w:t>
            </w:r>
            <w:r>
              <w:rPr>
                <w:rFonts w:hint="eastAsia"/>
                <w:color w:val="000000"/>
                <w:kern w:val="0"/>
                <w:sz w:val="18"/>
                <w:szCs w:val="18"/>
              </w:rPr>
              <w:t>起一般事故</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199B8194">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1A6D937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7FF4E945">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4" w:space="0"/>
              <w:right w:val="single" w:color="auto" w:sz="4" w:space="0"/>
            </w:tcBorders>
            <w:vAlign w:val="center"/>
          </w:tcPr>
          <w:p w14:paraId="5A001221">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677B310C">
            <w:pPr>
              <w:spacing w:line="320" w:lineRule="exact"/>
              <w:jc w:val="left"/>
              <w:rPr>
                <w:color w:val="000000"/>
                <w:kern w:val="0"/>
                <w:sz w:val="18"/>
                <w:szCs w:val="18"/>
              </w:rPr>
            </w:pPr>
            <w:r>
              <w:rPr>
                <w:rFonts w:hint="eastAsia"/>
                <w:color w:val="000000"/>
                <w:kern w:val="0"/>
                <w:sz w:val="18"/>
                <w:szCs w:val="18"/>
              </w:rPr>
              <w:t>发生</w:t>
            </w:r>
            <w:r>
              <w:rPr>
                <w:color w:val="000000"/>
                <w:kern w:val="0"/>
                <w:sz w:val="18"/>
                <w:szCs w:val="18"/>
              </w:rPr>
              <w:t>1</w:t>
            </w:r>
            <w:r>
              <w:rPr>
                <w:rFonts w:hint="eastAsia"/>
                <w:color w:val="000000"/>
                <w:kern w:val="0"/>
                <w:sz w:val="18"/>
                <w:szCs w:val="18"/>
              </w:rPr>
              <w:t>起较大事故或</w:t>
            </w:r>
            <w:r>
              <w:rPr>
                <w:color w:val="000000"/>
                <w:kern w:val="0"/>
                <w:sz w:val="18"/>
                <w:szCs w:val="18"/>
              </w:rPr>
              <w:t>2</w:t>
            </w:r>
            <w:r>
              <w:rPr>
                <w:rFonts w:hint="eastAsia"/>
                <w:color w:val="000000"/>
                <w:kern w:val="0"/>
                <w:sz w:val="18"/>
                <w:szCs w:val="18"/>
              </w:rPr>
              <w:t>起以上一般事故</w:t>
            </w:r>
          </w:p>
        </w:tc>
        <w:tc>
          <w:tcPr>
            <w:tcW w:w="1044" w:type="dxa"/>
            <w:vMerge w:val="continue"/>
            <w:tcBorders>
              <w:top w:val="single" w:color="auto" w:sz="4" w:space="0"/>
              <w:left w:val="single" w:color="auto" w:sz="4" w:space="0"/>
              <w:bottom w:val="single" w:color="auto" w:sz="4" w:space="0"/>
              <w:right w:val="single" w:color="auto" w:sz="4" w:space="0"/>
            </w:tcBorders>
            <w:vAlign w:val="center"/>
          </w:tcPr>
          <w:p w14:paraId="479FB518">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8" w:space="0"/>
            </w:tcBorders>
            <w:vAlign w:val="center"/>
          </w:tcPr>
          <w:p w14:paraId="70239EC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488860F7">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8" w:space="0"/>
              <w:right w:val="single" w:color="auto" w:sz="4" w:space="0"/>
            </w:tcBorders>
            <w:vAlign w:val="center"/>
          </w:tcPr>
          <w:p w14:paraId="3D0F575A">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471D1072">
            <w:pPr>
              <w:spacing w:line="320" w:lineRule="exact"/>
              <w:jc w:val="left"/>
              <w:rPr>
                <w:color w:val="000000"/>
                <w:kern w:val="0"/>
                <w:sz w:val="18"/>
                <w:szCs w:val="18"/>
              </w:rPr>
            </w:pPr>
            <w:r>
              <w:rPr>
                <w:rFonts w:hint="eastAsia"/>
                <w:color w:val="000000"/>
                <w:kern w:val="0"/>
                <w:sz w:val="18"/>
                <w:szCs w:val="18"/>
              </w:rPr>
              <w:t>发生</w:t>
            </w:r>
            <w:r>
              <w:rPr>
                <w:color w:val="000000"/>
                <w:kern w:val="0"/>
                <w:sz w:val="18"/>
                <w:szCs w:val="18"/>
              </w:rPr>
              <w:t>1</w:t>
            </w:r>
            <w:r>
              <w:rPr>
                <w:rFonts w:hint="eastAsia"/>
                <w:color w:val="000000"/>
                <w:kern w:val="0"/>
                <w:sz w:val="18"/>
                <w:szCs w:val="18"/>
              </w:rPr>
              <w:t>起以上较大事故</w:t>
            </w:r>
          </w:p>
        </w:tc>
        <w:tc>
          <w:tcPr>
            <w:tcW w:w="1044" w:type="dxa"/>
            <w:vMerge w:val="continue"/>
            <w:tcBorders>
              <w:top w:val="single" w:color="auto" w:sz="4" w:space="0"/>
              <w:left w:val="single" w:color="auto" w:sz="4" w:space="0"/>
              <w:bottom w:val="single" w:color="auto" w:sz="8" w:space="0"/>
              <w:right w:val="single" w:color="auto" w:sz="4" w:space="0"/>
            </w:tcBorders>
            <w:vAlign w:val="center"/>
          </w:tcPr>
          <w:p w14:paraId="0B0EE063">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11ECC29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49DED379"/>
    <w:p w14:paraId="0F8FA7BF"/>
    <w:p w14:paraId="20F8367B"/>
    <w:p w14:paraId="45DE5C45"/>
    <w:p w14:paraId="41369DEE"/>
    <w:p w14:paraId="025FA60C"/>
    <w:p w14:paraId="55BB57AD"/>
    <w:p w14:paraId="5A4D6C62"/>
    <w:tbl>
      <w:tblPr>
        <w:tblStyle w:val="15"/>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6140"/>
        <w:gridCol w:w="1044"/>
        <w:gridCol w:w="5820"/>
      </w:tblGrid>
      <w:tr w14:paraId="072894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tcBorders>
              <w:top w:val="single" w:color="auto" w:sz="8" w:space="0"/>
            </w:tcBorders>
            <w:vAlign w:val="center"/>
          </w:tcPr>
          <w:p w14:paraId="232F3537">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tcBorders>
            <w:vAlign w:val="center"/>
          </w:tcPr>
          <w:p w14:paraId="1BFE4AF1">
            <w:pPr>
              <w:jc w:val="left"/>
              <w:textAlignment w:val="center"/>
              <w:rPr>
                <w:rFonts w:eastAsia="仿宋_GB2312"/>
                <w:b/>
                <w:bCs/>
                <w:color w:val="000000"/>
                <w:kern w:val="0"/>
                <w:sz w:val="18"/>
                <w:szCs w:val="18"/>
              </w:rPr>
            </w:pPr>
            <w:r>
              <w:rPr>
                <w:rFonts w:eastAsia="仿宋_GB2312"/>
                <w:b/>
                <w:color w:val="000000"/>
                <w:kern w:val="0"/>
                <w:sz w:val="20"/>
              </w:rPr>
              <w:t>320217052000</w:t>
            </w:r>
          </w:p>
        </w:tc>
      </w:tr>
      <w:tr w14:paraId="07FFF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50AFC244">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vAlign w:val="center"/>
          </w:tcPr>
          <w:p w14:paraId="7E69AC2A">
            <w:pPr>
              <w:spacing w:line="320" w:lineRule="exact"/>
              <w:jc w:val="left"/>
              <w:rPr>
                <w:color w:val="000000"/>
                <w:kern w:val="0"/>
                <w:sz w:val="18"/>
                <w:szCs w:val="18"/>
              </w:rPr>
            </w:pPr>
            <w:r>
              <w:rPr>
                <w:rFonts w:hint="eastAsia"/>
                <w:color w:val="000000"/>
                <w:kern w:val="0"/>
                <w:sz w:val="18"/>
                <w:szCs w:val="18"/>
              </w:rPr>
              <w:t>对建筑业企业未及时办理建筑业企业资质证书变更手续的处罚</w:t>
            </w:r>
          </w:p>
        </w:tc>
      </w:tr>
      <w:tr w14:paraId="750A45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056" w:type="dxa"/>
            <w:vAlign w:val="center"/>
          </w:tcPr>
          <w:p w14:paraId="5D2F0041">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vAlign w:val="center"/>
          </w:tcPr>
          <w:p w14:paraId="5C2E360B">
            <w:pPr>
              <w:spacing w:line="320" w:lineRule="exact"/>
              <w:ind w:firstLine="180" w:firstLineChars="10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14:paraId="0C1398D3">
            <w:pPr>
              <w:spacing w:line="320" w:lineRule="exact"/>
              <w:jc w:val="left"/>
              <w:rPr>
                <w:color w:val="000000"/>
                <w:kern w:val="0"/>
                <w:sz w:val="18"/>
                <w:szCs w:val="18"/>
              </w:rPr>
            </w:pPr>
            <w:r>
              <w:rPr>
                <w:rFonts w:hint="eastAsia"/>
                <w:color w:val="000000"/>
                <w:kern w:val="0"/>
                <w:sz w:val="18"/>
                <w:szCs w:val="18"/>
              </w:rPr>
              <w:t>第十九条　企业在建筑业企业资质证书有效期内名称、地址、注册资本、法定代表人等发生变更的，应当在工商部门办理变更手续后</w:t>
            </w:r>
            <w:r>
              <w:rPr>
                <w:color w:val="000000"/>
                <w:kern w:val="0"/>
                <w:sz w:val="18"/>
                <w:szCs w:val="18"/>
              </w:rPr>
              <w:t>1</w:t>
            </w:r>
            <w:r>
              <w:rPr>
                <w:rFonts w:hint="eastAsia"/>
                <w:color w:val="000000"/>
                <w:kern w:val="0"/>
                <w:sz w:val="18"/>
                <w:szCs w:val="18"/>
              </w:rPr>
              <w:t>个月内办理资质证书变更手续。</w:t>
            </w:r>
          </w:p>
          <w:p w14:paraId="6B876CA1">
            <w:pPr>
              <w:spacing w:line="320" w:lineRule="exact"/>
              <w:jc w:val="left"/>
              <w:rPr>
                <w:color w:val="000000"/>
                <w:kern w:val="0"/>
                <w:sz w:val="18"/>
                <w:szCs w:val="18"/>
              </w:rPr>
            </w:pPr>
            <w:r>
              <w:rPr>
                <w:rFonts w:hint="eastAsia"/>
                <w:color w:val="000000"/>
                <w:kern w:val="0"/>
                <w:sz w:val="18"/>
                <w:szCs w:val="18"/>
              </w:rPr>
              <w:t>第三十八条　企业未按照本规定及时办理建筑业企业资质证书变更手续的，由县级以上地方人民政府住房城乡建设主管部门责令限期办理；逾期不办理的，可处以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7EEC13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1E49A30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vAlign w:val="center"/>
          </w:tcPr>
          <w:p w14:paraId="367EC9AA">
            <w:pPr>
              <w:spacing w:line="320" w:lineRule="exact"/>
              <w:jc w:val="left"/>
              <w:rPr>
                <w:color w:val="000000"/>
                <w:kern w:val="0"/>
                <w:sz w:val="18"/>
                <w:szCs w:val="18"/>
              </w:rPr>
            </w:pPr>
            <w:r>
              <w:rPr>
                <w:rFonts w:hint="eastAsia"/>
                <w:color w:val="000000"/>
                <w:kern w:val="0"/>
                <w:sz w:val="18"/>
                <w:szCs w:val="18"/>
              </w:rPr>
              <w:t>罚款，限期改正，</w:t>
            </w:r>
          </w:p>
        </w:tc>
      </w:tr>
      <w:tr w14:paraId="6888AC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60" w:type="dxa"/>
            <w:gridSpan w:val="4"/>
            <w:vAlign w:val="center"/>
          </w:tcPr>
          <w:p w14:paraId="04C58A4D">
            <w:pPr>
              <w:spacing w:line="320" w:lineRule="exact"/>
              <w:jc w:val="center"/>
              <w:rPr>
                <w:color w:val="000000"/>
                <w:kern w:val="0"/>
                <w:sz w:val="18"/>
                <w:szCs w:val="18"/>
              </w:rPr>
            </w:pPr>
            <w:r>
              <w:rPr>
                <w:rFonts w:hint="eastAsia"/>
                <w:color w:val="000000"/>
                <w:kern w:val="0"/>
                <w:sz w:val="18"/>
                <w:szCs w:val="18"/>
              </w:rPr>
              <w:t>裁量基准</w:t>
            </w:r>
          </w:p>
        </w:tc>
      </w:tr>
      <w:tr w14:paraId="5F979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56" w:type="dxa"/>
            <w:vMerge w:val="restart"/>
            <w:vAlign w:val="center"/>
          </w:tcPr>
          <w:p w14:paraId="1E2F18FC">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552E2235">
            <w:pPr>
              <w:spacing w:line="320" w:lineRule="exact"/>
              <w:jc w:val="left"/>
              <w:rPr>
                <w:color w:val="000000"/>
                <w:kern w:val="0"/>
                <w:sz w:val="18"/>
                <w:szCs w:val="18"/>
              </w:rPr>
            </w:pPr>
            <w:r>
              <w:rPr>
                <w:rFonts w:hint="eastAsia"/>
                <w:color w:val="000000"/>
                <w:kern w:val="0"/>
                <w:sz w:val="18"/>
                <w:szCs w:val="18"/>
              </w:rPr>
              <w:t>逾期不办理，但未承揽业务的</w:t>
            </w:r>
          </w:p>
        </w:tc>
        <w:tc>
          <w:tcPr>
            <w:tcW w:w="1044" w:type="dxa"/>
            <w:vMerge w:val="restart"/>
            <w:vAlign w:val="center"/>
          </w:tcPr>
          <w:p w14:paraId="336EA26B">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5A5E466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39FF44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continue"/>
            <w:tcBorders>
              <w:bottom w:val="single" w:color="auto" w:sz="8" w:space="0"/>
            </w:tcBorders>
            <w:vAlign w:val="center"/>
          </w:tcPr>
          <w:p w14:paraId="09942AF4">
            <w:pPr>
              <w:spacing w:line="320" w:lineRule="exact"/>
              <w:jc w:val="center"/>
              <w:rPr>
                <w:color w:val="000000"/>
                <w:kern w:val="0"/>
                <w:sz w:val="18"/>
                <w:szCs w:val="18"/>
              </w:rPr>
            </w:pPr>
          </w:p>
        </w:tc>
        <w:tc>
          <w:tcPr>
            <w:tcW w:w="6140" w:type="dxa"/>
            <w:tcBorders>
              <w:bottom w:val="single" w:color="auto" w:sz="8" w:space="0"/>
            </w:tcBorders>
            <w:vAlign w:val="center"/>
          </w:tcPr>
          <w:p w14:paraId="36D938EB">
            <w:pPr>
              <w:spacing w:line="320" w:lineRule="exact"/>
              <w:jc w:val="left"/>
              <w:rPr>
                <w:color w:val="000000"/>
                <w:kern w:val="0"/>
                <w:sz w:val="18"/>
                <w:szCs w:val="18"/>
              </w:rPr>
            </w:pPr>
            <w:r>
              <w:rPr>
                <w:rFonts w:hint="eastAsia"/>
                <w:color w:val="000000"/>
                <w:kern w:val="0"/>
                <w:sz w:val="18"/>
                <w:szCs w:val="18"/>
              </w:rPr>
              <w:t>逾期不办理，且继续承揽业务的</w:t>
            </w:r>
          </w:p>
        </w:tc>
        <w:tc>
          <w:tcPr>
            <w:tcW w:w="1044" w:type="dxa"/>
            <w:vMerge w:val="continue"/>
            <w:tcBorders>
              <w:bottom w:val="single" w:color="auto" w:sz="8" w:space="0"/>
            </w:tcBorders>
            <w:vAlign w:val="center"/>
          </w:tcPr>
          <w:p w14:paraId="5E0A8C48">
            <w:pPr>
              <w:spacing w:line="320" w:lineRule="exact"/>
              <w:jc w:val="center"/>
              <w:rPr>
                <w:color w:val="000000"/>
                <w:kern w:val="0"/>
                <w:sz w:val="18"/>
                <w:szCs w:val="18"/>
              </w:rPr>
            </w:pPr>
          </w:p>
        </w:tc>
        <w:tc>
          <w:tcPr>
            <w:tcW w:w="5820" w:type="dxa"/>
            <w:tcBorders>
              <w:bottom w:val="single" w:color="auto" w:sz="8" w:space="0"/>
            </w:tcBorders>
            <w:vAlign w:val="center"/>
          </w:tcPr>
          <w:p w14:paraId="7569F2F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14:paraId="457026B4"/>
    <w:p w14:paraId="13C565BA"/>
    <w:p w14:paraId="57BC79B2"/>
    <w:p w14:paraId="5DAFBB82"/>
    <w:p w14:paraId="55BA60D1"/>
    <w:p w14:paraId="32F18961"/>
    <w:p w14:paraId="415B56D1"/>
    <w:p w14:paraId="5FE1916E"/>
    <w:p w14:paraId="2F218150"/>
    <w:p w14:paraId="1B08C185"/>
    <w:tbl>
      <w:tblPr>
        <w:tblStyle w:val="15"/>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6140"/>
        <w:gridCol w:w="1120"/>
        <w:gridCol w:w="5774"/>
      </w:tblGrid>
      <w:tr w14:paraId="78A7DA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6" w:type="dxa"/>
            <w:tcBorders>
              <w:top w:val="single" w:color="auto" w:sz="8" w:space="0"/>
            </w:tcBorders>
            <w:vAlign w:val="center"/>
          </w:tcPr>
          <w:p w14:paraId="1B7D8BBC">
            <w:pPr>
              <w:spacing w:line="2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tcBorders>
            <w:vAlign w:val="center"/>
          </w:tcPr>
          <w:p w14:paraId="769608E2">
            <w:pPr>
              <w:spacing w:line="220" w:lineRule="exact"/>
              <w:jc w:val="left"/>
              <w:rPr>
                <w:rFonts w:eastAsia="仿宋_GB2312"/>
                <w:b/>
                <w:bCs/>
                <w:color w:val="000000"/>
                <w:kern w:val="0"/>
                <w:sz w:val="18"/>
                <w:szCs w:val="18"/>
              </w:rPr>
            </w:pPr>
            <w:r>
              <w:rPr>
                <w:rFonts w:eastAsia="仿宋_GB2312"/>
                <w:b/>
                <w:bCs/>
                <w:color w:val="000000"/>
                <w:kern w:val="0"/>
                <w:sz w:val="18"/>
                <w:szCs w:val="18"/>
              </w:rPr>
              <w:t>320217053000</w:t>
            </w:r>
          </w:p>
        </w:tc>
      </w:tr>
      <w:tr w14:paraId="00C687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6" w:type="dxa"/>
            <w:vAlign w:val="center"/>
          </w:tcPr>
          <w:p w14:paraId="45755D03">
            <w:pPr>
              <w:spacing w:line="220" w:lineRule="exact"/>
              <w:jc w:val="center"/>
              <w:rPr>
                <w:color w:val="000000"/>
                <w:kern w:val="0"/>
                <w:sz w:val="18"/>
                <w:szCs w:val="18"/>
              </w:rPr>
            </w:pPr>
            <w:r>
              <w:rPr>
                <w:rFonts w:hint="eastAsia"/>
                <w:color w:val="000000"/>
                <w:kern w:val="0"/>
                <w:sz w:val="18"/>
                <w:szCs w:val="18"/>
              </w:rPr>
              <w:t>行为名称</w:t>
            </w:r>
          </w:p>
        </w:tc>
        <w:tc>
          <w:tcPr>
            <w:tcW w:w="13034" w:type="dxa"/>
            <w:gridSpan w:val="3"/>
            <w:vAlign w:val="center"/>
          </w:tcPr>
          <w:p w14:paraId="3911F165">
            <w:pPr>
              <w:spacing w:line="220" w:lineRule="exact"/>
              <w:jc w:val="left"/>
              <w:rPr>
                <w:color w:val="000000"/>
                <w:kern w:val="0"/>
                <w:sz w:val="18"/>
                <w:szCs w:val="18"/>
              </w:rPr>
            </w:pPr>
            <w:r>
              <w:rPr>
                <w:rFonts w:hint="eastAsia"/>
                <w:color w:val="000000"/>
                <w:kern w:val="0"/>
                <w:sz w:val="18"/>
                <w:szCs w:val="18"/>
              </w:rPr>
              <w:t>对施工单位的主要负责人、项目负责人未履行安全生产管理职责的处罚</w:t>
            </w:r>
          </w:p>
        </w:tc>
      </w:tr>
      <w:tr w14:paraId="72BC62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1026" w:type="dxa"/>
            <w:vAlign w:val="center"/>
          </w:tcPr>
          <w:p w14:paraId="531177FF">
            <w:pPr>
              <w:spacing w:line="220" w:lineRule="exact"/>
              <w:jc w:val="center"/>
              <w:rPr>
                <w:color w:val="000000"/>
                <w:kern w:val="0"/>
                <w:sz w:val="18"/>
                <w:szCs w:val="18"/>
              </w:rPr>
            </w:pPr>
            <w:r>
              <w:rPr>
                <w:rFonts w:hint="eastAsia"/>
                <w:color w:val="000000"/>
                <w:kern w:val="0"/>
                <w:sz w:val="18"/>
                <w:szCs w:val="18"/>
              </w:rPr>
              <w:t>法律依据</w:t>
            </w:r>
          </w:p>
        </w:tc>
        <w:tc>
          <w:tcPr>
            <w:tcW w:w="13034" w:type="dxa"/>
            <w:gridSpan w:val="3"/>
            <w:vAlign w:val="center"/>
          </w:tcPr>
          <w:p w14:paraId="085C8C4C">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14:paraId="131DA833">
            <w:pPr>
              <w:spacing w:line="220" w:lineRule="exact"/>
              <w:jc w:val="left"/>
              <w:rPr>
                <w:color w:val="000000"/>
                <w:kern w:val="0"/>
                <w:sz w:val="18"/>
                <w:szCs w:val="18"/>
              </w:rPr>
            </w:pPr>
            <w:r>
              <w:rPr>
                <w:rFonts w:hint="eastAsia"/>
                <w:color w:val="000000"/>
                <w:kern w:val="0"/>
                <w:sz w:val="18"/>
                <w:szCs w:val="18"/>
              </w:rPr>
              <w:t xml:space="preserve">    　第九十四条　生产经营单位的主要负责人未履行本法规定的安全生产管理职责的，责令限期改正，处二万元以上五万元以下的罚款；逾期未改正的，处五万元以上十万元以下的罚款，责令生产经营单位停产停业整顿。</w:t>
            </w:r>
          </w:p>
          <w:p w14:paraId="0D83EA48">
            <w:pPr>
              <w:spacing w:line="220" w:lineRule="exact"/>
              <w:jc w:val="left"/>
              <w:rPr>
                <w:color w:val="000000"/>
                <w:kern w:val="0"/>
                <w:sz w:val="18"/>
                <w:szCs w:val="18"/>
              </w:rPr>
            </w:pPr>
            <w:r>
              <w:rPr>
                <w:rFonts w:hint="eastAsia"/>
                <w:color w:val="000000"/>
                <w:kern w:val="0"/>
                <w:sz w:val="18"/>
                <w:szCs w:val="18"/>
              </w:rPr>
              <w:t>　　生产经营单位的主要负责人有前款违法行为，导致发生生产安全事故的，给予撤职处分；构成犯罪的，依照刑法有关规定追究刑事责任。</w:t>
            </w:r>
          </w:p>
          <w:p w14:paraId="11703698">
            <w:pPr>
              <w:spacing w:line="220" w:lineRule="exact"/>
              <w:jc w:val="left"/>
              <w:rPr>
                <w:color w:val="000000"/>
                <w:kern w:val="0"/>
                <w:sz w:val="18"/>
                <w:szCs w:val="18"/>
              </w:rPr>
            </w:pPr>
            <w:r>
              <w:rPr>
                <w:rFonts w:hint="eastAsia"/>
                <w:color w:val="000000"/>
                <w:kern w:val="0"/>
                <w:sz w:val="18"/>
                <w:szCs w:val="18"/>
              </w:rPr>
              <w:t>　　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14:paraId="179D1800">
            <w:pPr>
              <w:spacing w:line="220" w:lineRule="exact"/>
              <w:jc w:val="left"/>
              <w:rPr>
                <w:color w:val="000000"/>
                <w:kern w:val="0"/>
                <w:sz w:val="18"/>
                <w:szCs w:val="18"/>
              </w:rPr>
            </w:pPr>
            <w:r>
              <w:rPr>
                <w:rFonts w:hint="eastAsia"/>
                <w:color w:val="000000"/>
                <w:kern w:val="0"/>
                <w:sz w:val="18"/>
                <w:szCs w:val="18"/>
              </w:rPr>
              <w:t xml:space="preserve">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14:paraId="01594DFA">
            <w:pPr>
              <w:spacing w:line="220" w:lineRule="exact"/>
              <w:jc w:val="left"/>
              <w:rPr>
                <w:color w:val="000000"/>
                <w:kern w:val="0"/>
                <w:sz w:val="18"/>
                <w:szCs w:val="18"/>
              </w:rPr>
            </w:pPr>
            <w:r>
              <w:rPr>
                <w:rFonts w:hint="eastAsia"/>
                <w:color w:val="000000"/>
                <w:kern w:val="0"/>
                <w:sz w:val="18"/>
                <w:szCs w:val="18"/>
              </w:rPr>
              <w:t xml:space="preserve">         第一百一十二条  生产经营单位违反本法规定，被责令改正且受到罚款处罚，拒不改正的，负有安全生产监督管理职责的部门可以自作出责令改正之日的次日起，按照原处罚数额按日连续处罚。</w:t>
            </w:r>
          </w:p>
          <w:p w14:paraId="1396A35F">
            <w:pPr>
              <w:spacing w:line="22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234921EB">
            <w:pPr>
              <w:spacing w:line="220" w:lineRule="exact"/>
              <w:jc w:val="left"/>
              <w:rPr>
                <w:color w:val="000000"/>
                <w:kern w:val="0"/>
                <w:sz w:val="18"/>
                <w:szCs w:val="18"/>
              </w:rPr>
            </w:pPr>
            <w:r>
              <w:rPr>
                <w:rFonts w:hint="eastAsia"/>
                <w:color w:val="000000"/>
                <w:kern w:val="0"/>
                <w:sz w:val="18"/>
                <w:szCs w:val="18"/>
              </w:rPr>
              <w:t xml:space="preserve">         第二十一条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 </w:t>
            </w:r>
          </w:p>
          <w:p w14:paraId="50AE37BA">
            <w:pPr>
              <w:spacing w:line="220" w:lineRule="exact"/>
              <w:jc w:val="left"/>
              <w:rPr>
                <w:color w:val="000000"/>
                <w:kern w:val="0"/>
                <w:sz w:val="18"/>
                <w:szCs w:val="18"/>
              </w:rPr>
            </w:pPr>
            <w:r>
              <w:rPr>
                <w:rFonts w:hint="eastAsia"/>
                <w:color w:val="000000"/>
                <w:kern w:val="0"/>
                <w:sz w:val="18"/>
                <w:szCs w:val="18"/>
              </w:rPr>
              <w:t xml:space="preserve">         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p w14:paraId="0E37D4ED">
            <w:pPr>
              <w:spacing w:line="220" w:lineRule="exact"/>
              <w:jc w:val="left"/>
              <w:rPr>
                <w:color w:val="000000"/>
                <w:kern w:val="0"/>
                <w:sz w:val="18"/>
                <w:szCs w:val="18"/>
              </w:rPr>
            </w:pPr>
            <w:r>
              <w:rPr>
                <w:rFonts w:hint="eastAsia"/>
                <w:color w:val="000000"/>
                <w:kern w:val="0"/>
                <w:sz w:val="18"/>
                <w:szCs w:val="18"/>
              </w:rPr>
              <w:t xml:space="preserve">         第六十六条第一款   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 </w:t>
            </w:r>
          </w:p>
          <w:p w14:paraId="0E129BB2">
            <w:pPr>
              <w:spacing w:line="220" w:lineRule="exact"/>
              <w:jc w:val="left"/>
              <w:rPr>
                <w:color w:val="000000"/>
                <w:kern w:val="0"/>
                <w:sz w:val="18"/>
                <w:szCs w:val="18"/>
              </w:rPr>
            </w:pPr>
            <w:r>
              <w:rPr>
                <w:rFonts w:hint="eastAsia"/>
                <w:color w:val="000000"/>
                <w:kern w:val="0"/>
                <w:sz w:val="18"/>
                <w:szCs w:val="18"/>
              </w:rPr>
              <w:t xml:space="preserve">         第三款    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 </w:t>
            </w:r>
          </w:p>
          <w:p w14:paraId="570526B3">
            <w:pPr>
              <w:spacing w:line="22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w:t>
            </w:r>
          </w:p>
          <w:p w14:paraId="4BC2F268">
            <w:pPr>
              <w:spacing w:line="22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p>
          <w:p w14:paraId="145FDCE6">
            <w:pPr>
              <w:spacing w:line="220" w:lineRule="exact"/>
              <w:jc w:val="left"/>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tc>
      </w:tr>
      <w:tr w14:paraId="72965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6" w:type="dxa"/>
            <w:vAlign w:val="center"/>
          </w:tcPr>
          <w:p w14:paraId="0A16CDF4">
            <w:pPr>
              <w:spacing w:line="220" w:lineRule="exact"/>
              <w:jc w:val="center"/>
              <w:rPr>
                <w:color w:val="000000"/>
                <w:kern w:val="0"/>
                <w:sz w:val="18"/>
                <w:szCs w:val="18"/>
              </w:rPr>
            </w:pPr>
            <w:r>
              <w:rPr>
                <w:rFonts w:hint="eastAsia"/>
                <w:color w:val="000000"/>
                <w:kern w:val="0"/>
                <w:sz w:val="18"/>
                <w:szCs w:val="18"/>
              </w:rPr>
              <w:t>行使内容</w:t>
            </w:r>
          </w:p>
        </w:tc>
        <w:tc>
          <w:tcPr>
            <w:tcW w:w="13034" w:type="dxa"/>
            <w:gridSpan w:val="3"/>
            <w:vAlign w:val="center"/>
          </w:tcPr>
          <w:p w14:paraId="52F90ADA">
            <w:pPr>
              <w:spacing w:line="220" w:lineRule="exact"/>
              <w:jc w:val="left"/>
              <w:rPr>
                <w:color w:val="000000"/>
                <w:kern w:val="0"/>
                <w:sz w:val="18"/>
                <w:szCs w:val="18"/>
              </w:rPr>
            </w:pPr>
            <w:r>
              <w:rPr>
                <w:rFonts w:hint="eastAsia"/>
                <w:color w:val="000000"/>
                <w:kern w:val="0"/>
                <w:sz w:val="18"/>
                <w:szCs w:val="18"/>
              </w:rPr>
              <w:t>责令限期改正，罚款，责令停产停业整顿</w:t>
            </w:r>
          </w:p>
        </w:tc>
      </w:tr>
      <w:tr w14:paraId="224EB2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60" w:type="dxa"/>
            <w:gridSpan w:val="4"/>
            <w:vAlign w:val="center"/>
          </w:tcPr>
          <w:p w14:paraId="40B170C3">
            <w:pPr>
              <w:spacing w:line="220" w:lineRule="exact"/>
              <w:jc w:val="center"/>
              <w:rPr>
                <w:color w:val="000000"/>
                <w:kern w:val="0"/>
                <w:sz w:val="18"/>
                <w:szCs w:val="18"/>
              </w:rPr>
            </w:pPr>
            <w:r>
              <w:rPr>
                <w:rFonts w:hint="eastAsia"/>
                <w:color w:val="000000"/>
                <w:kern w:val="0"/>
                <w:sz w:val="18"/>
                <w:szCs w:val="18"/>
              </w:rPr>
              <w:t>裁量基准</w:t>
            </w:r>
          </w:p>
        </w:tc>
      </w:tr>
      <w:tr w14:paraId="1E7CDD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6" w:type="dxa"/>
            <w:vMerge w:val="restart"/>
            <w:vAlign w:val="center"/>
          </w:tcPr>
          <w:p w14:paraId="3F68F35D">
            <w:pPr>
              <w:spacing w:line="2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0DA49C3E">
            <w:pPr>
              <w:spacing w:line="220" w:lineRule="exact"/>
              <w:jc w:val="left"/>
              <w:rPr>
                <w:color w:val="000000"/>
                <w:kern w:val="0"/>
                <w:sz w:val="18"/>
                <w:szCs w:val="18"/>
              </w:rPr>
            </w:pPr>
            <w:r>
              <w:rPr>
                <w:rFonts w:hint="eastAsia"/>
                <w:color w:val="000000"/>
                <w:kern w:val="0"/>
                <w:sz w:val="18"/>
                <w:szCs w:val="18"/>
              </w:rPr>
              <w:t>按要求改正的</w:t>
            </w:r>
          </w:p>
        </w:tc>
        <w:tc>
          <w:tcPr>
            <w:tcW w:w="1120" w:type="dxa"/>
            <w:vMerge w:val="restart"/>
            <w:vAlign w:val="center"/>
          </w:tcPr>
          <w:p w14:paraId="158E97C9">
            <w:pPr>
              <w:spacing w:line="220" w:lineRule="exact"/>
              <w:jc w:val="center"/>
              <w:rPr>
                <w:color w:val="000000"/>
                <w:kern w:val="0"/>
                <w:sz w:val="18"/>
                <w:szCs w:val="18"/>
              </w:rPr>
            </w:pPr>
            <w:r>
              <w:rPr>
                <w:rFonts w:hint="eastAsia"/>
                <w:color w:val="000000"/>
                <w:kern w:val="0"/>
                <w:sz w:val="18"/>
                <w:szCs w:val="18"/>
              </w:rPr>
              <w:t>裁量幅度</w:t>
            </w:r>
          </w:p>
        </w:tc>
        <w:tc>
          <w:tcPr>
            <w:tcW w:w="5774" w:type="dxa"/>
            <w:vAlign w:val="center"/>
          </w:tcPr>
          <w:p w14:paraId="002CA55E">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10AF32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6" w:type="dxa"/>
            <w:vMerge w:val="continue"/>
            <w:vAlign w:val="center"/>
          </w:tcPr>
          <w:p w14:paraId="6DFC0EBA">
            <w:pPr>
              <w:spacing w:line="220" w:lineRule="exact"/>
              <w:jc w:val="left"/>
              <w:rPr>
                <w:color w:val="000000"/>
                <w:kern w:val="0"/>
                <w:sz w:val="18"/>
                <w:szCs w:val="18"/>
              </w:rPr>
            </w:pPr>
          </w:p>
        </w:tc>
        <w:tc>
          <w:tcPr>
            <w:tcW w:w="6140" w:type="dxa"/>
            <w:vAlign w:val="center"/>
          </w:tcPr>
          <w:p w14:paraId="6F72E1A2">
            <w:pPr>
              <w:spacing w:line="220" w:lineRule="exact"/>
              <w:jc w:val="left"/>
              <w:rPr>
                <w:color w:val="000000"/>
                <w:kern w:val="0"/>
                <w:sz w:val="18"/>
                <w:szCs w:val="18"/>
              </w:rPr>
            </w:pPr>
            <w:r>
              <w:rPr>
                <w:rFonts w:hint="eastAsia"/>
                <w:color w:val="000000"/>
                <w:kern w:val="0"/>
                <w:sz w:val="18"/>
                <w:szCs w:val="18"/>
              </w:rPr>
              <w:t>有重大生产安全事故隐患的</w:t>
            </w:r>
          </w:p>
        </w:tc>
        <w:tc>
          <w:tcPr>
            <w:tcW w:w="1120" w:type="dxa"/>
            <w:vMerge w:val="continue"/>
            <w:vAlign w:val="center"/>
          </w:tcPr>
          <w:p w14:paraId="6CF9FD9E">
            <w:pPr>
              <w:spacing w:line="220" w:lineRule="exact"/>
              <w:jc w:val="left"/>
              <w:rPr>
                <w:color w:val="000000"/>
                <w:kern w:val="0"/>
                <w:sz w:val="18"/>
                <w:szCs w:val="18"/>
              </w:rPr>
            </w:pPr>
          </w:p>
        </w:tc>
        <w:tc>
          <w:tcPr>
            <w:tcW w:w="5774" w:type="dxa"/>
            <w:vAlign w:val="center"/>
          </w:tcPr>
          <w:p w14:paraId="2E8A78BC">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14:paraId="3A14F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26" w:type="dxa"/>
            <w:vMerge w:val="continue"/>
            <w:vAlign w:val="center"/>
          </w:tcPr>
          <w:p w14:paraId="6DD71A75">
            <w:pPr>
              <w:spacing w:line="220" w:lineRule="exact"/>
              <w:jc w:val="left"/>
              <w:rPr>
                <w:color w:val="000000"/>
                <w:kern w:val="0"/>
                <w:sz w:val="18"/>
                <w:szCs w:val="18"/>
              </w:rPr>
            </w:pPr>
          </w:p>
        </w:tc>
        <w:tc>
          <w:tcPr>
            <w:tcW w:w="6140" w:type="dxa"/>
            <w:vAlign w:val="center"/>
          </w:tcPr>
          <w:p w14:paraId="6E38194E">
            <w:pPr>
              <w:spacing w:line="220" w:lineRule="exact"/>
              <w:jc w:val="left"/>
              <w:rPr>
                <w:color w:val="000000"/>
                <w:kern w:val="0"/>
                <w:sz w:val="18"/>
                <w:szCs w:val="18"/>
              </w:rPr>
            </w:pPr>
            <w:r>
              <w:rPr>
                <w:rFonts w:hint="eastAsia"/>
                <w:color w:val="000000"/>
                <w:kern w:val="0"/>
                <w:sz w:val="18"/>
                <w:szCs w:val="18"/>
              </w:rPr>
              <w:t>发生一般或较大生产安全事故的</w:t>
            </w:r>
          </w:p>
        </w:tc>
        <w:tc>
          <w:tcPr>
            <w:tcW w:w="1120" w:type="dxa"/>
            <w:vMerge w:val="continue"/>
            <w:vAlign w:val="center"/>
          </w:tcPr>
          <w:p w14:paraId="68F05C0F">
            <w:pPr>
              <w:spacing w:line="220" w:lineRule="exact"/>
              <w:jc w:val="left"/>
              <w:rPr>
                <w:color w:val="000000"/>
                <w:kern w:val="0"/>
                <w:sz w:val="18"/>
                <w:szCs w:val="18"/>
              </w:rPr>
            </w:pPr>
          </w:p>
        </w:tc>
        <w:tc>
          <w:tcPr>
            <w:tcW w:w="5774" w:type="dxa"/>
            <w:vAlign w:val="center"/>
          </w:tcPr>
          <w:p w14:paraId="2DE92846">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10</w:t>
            </w:r>
            <w:r>
              <w:rPr>
                <w:rFonts w:hint="eastAsia"/>
                <w:color w:val="000000"/>
                <w:kern w:val="0"/>
                <w:sz w:val="18"/>
                <w:szCs w:val="18"/>
              </w:rPr>
              <w:t>万元以上</w:t>
            </w:r>
            <w:r>
              <w:rPr>
                <w:color w:val="000000"/>
                <w:kern w:val="0"/>
                <w:sz w:val="18"/>
                <w:szCs w:val="18"/>
              </w:rPr>
              <w:t>18</w:t>
            </w:r>
            <w:r>
              <w:rPr>
                <w:rFonts w:hint="eastAsia"/>
                <w:color w:val="000000"/>
                <w:kern w:val="0"/>
                <w:sz w:val="18"/>
                <w:szCs w:val="18"/>
              </w:rPr>
              <w:t>万元以下罚款</w:t>
            </w:r>
          </w:p>
        </w:tc>
      </w:tr>
      <w:tr w14:paraId="3AA481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6" w:type="dxa"/>
            <w:vMerge w:val="continue"/>
            <w:tcBorders>
              <w:bottom w:val="single" w:color="auto" w:sz="8" w:space="0"/>
            </w:tcBorders>
            <w:vAlign w:val="center"/>
          </w:tcPr>
          <w:p w14:paraId="7894DC63">
            <w:pPr>
              <w:spacing w:line="220" w:lineRule="exact"/>
              <w:jc w:val="left"/>
              <w:rPr>
                <w:color w:val="000000"/>
                <w:kern w:val="0"/>
                <w:sz w:val="18"/>
                <w:szCs w:val="18"/>
              </w:rPr>
            </w:pPr>
          </w:p>
        </w:tc>
        <w:tc>
          <w:tcPr>
            <w:tcW w:w="6140" w:type="dxa"/>
            <w:tcBorders>
              <w:bottom w:val="single" w:color="auto" w:sz="8" w:space="0"/>
            </w:tcBorders>
            <w:vAlign w:val="bottom"/>
          </w:tcPr>
          <w:p w14:paraId="09DDB996">
            <w:pPr>
              <w:spacing w:line="220" w:lineRule="exact"/>
              <w:jc w:val="left"/>
              <w:rPr>
                <w:color w:val="000000"/>
                <w:kern w:val="0"/>
                <w:sz w:val="18"/>
                <w:szCs w:val="18"/>
              </w:rPr>
            </w:pPr>
            <w:r>
              <w:rPr>
                <w:rFonts w:hint="eastAsia"/>
                <w:color w:val="000000"/>
                <w:kern w:val="0"/>
                <w:sz w:val="18"/>
                <w:szCs w:val="18"/>
              </w:rPr>
              <w:t>发生重大生产安全事故的</w:t>
            </w:r>
          </w:p>
        </w:tc>
        <w:tc>
          <w:tcPr>
            <w:tcW w:w="1120" w:type="dxa"/>
            <w:vMerge w:val="continue"/>
            <w:tcBorders>
              <w:bottom w:val="single" w:color="auto" w:sz="8" w:space="0"/>
            </w:tcBorders>
            <w:vAlign w:val="center"/>
          </w:tcPr>
          <w:p w14:paraId="4CB3902E">
            <w:pPr>
              <w:spacing w:line="220" w:lineRule="exact"/>
              <w:jc w:val="left"/>
              <w:rPr>
                <w:color w:val="000000"/>
                <w:kern w:val="0"/>
                <w:sz w:val="18"/>
                <w:szCs w:val="18"/>
              </w:rPr>
            </w:pPr>
          </w:p>
        </w:tc>
        <w:tc>
          <w:tcPr>
            <w:tcW w:w="5774" w:type="dxa"/>
            <w:tcBorders>
              <w:bottom w:val="single" w:color="auto" w:sz="8" w:space="0"/>
            </w:tcBorders>
            <w:vAlign w:val="center"/>
          </w:tcPr>
          <w:p w14:paraId="6F41B7DE">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18</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14:paraId="2482548C"/>
    <w:p w14:paraId="6D461445"/>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111FB2AD">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1157AEDE">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4B3AC79D">
            <w:pPr>
              <w:jc w:val="left"/>
              <w:textAlignment w:val="center"/>
              <w:rPr>
                <w:rFonts w:eastAsia="仿宋_GB2312"/>
                <w:b/>
                <w:bCs/>
                <w:color w:val="000000"/>
                <w:kern w:val="0"/>
                <w:sz w:val="18"/>
                <w:szCs w:val="18"/>
              </w:rPr>
            </w:pPr>
            <w:r>
              <w:rPr>
                <w:rFonts w:eastAsia="仿宋_GB2312"/>
                <w:b/>
                <w:color w:val="000000"/>
                <w:kern w:val="0"/>
                <w:sz w:val="20"/>
              </w:rPr>
              <w:t>320217054000</w:t>
            </w:r>
            <w:r>
              <w:rPr>
                <w:rFonts w:hint="eastAsia" w:eastAsia="仿宋_GB2312"/>
                <w:b/>
                <w:color w:val="000000"/>
                <w:kern w:val="0"/>
                <w:sz w:val="20"/>
              </w:rPr>
              <w:t xml:space="preserve"> </w:t>
            </w:r>
          </w:p>
        </w:tc>
      </w:tr>
      <w:tr w14:paraId="053E78E6">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5182AA9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17577CC6">
            <w:pPr>
              <w:spacing w:line="320" w:lineRule="exact"/>
              <w:jc w:val="left"/>
              <w:rPr>
                <w:color w:val="000000"/>
                <w:kern w:val="0"/>
                <w:sz w:val="18"/>
                <w:szCs w:val="18"/>
              </w:rPr>
            </w:pPr>
            <w:r>
              <w:rPr>
                <w:rFonts w:hint="eastAsia"/>
                <w:color w:val="000000"/>
                <w:kern w:val="0"/>
                <w:sz w:val="18"/>
                <w:szCs w:val="18"/>
              </w:rPr>
              <w:t>对擅自变动或者破坏房屋建筑抗震构件、隔震装置、减震部件或者地震反应观测系统等抗震设施的处罚</w:t>
            </w:r>
          </w:p>
        </w:tc>
      </w:tr>
      <w:tr w14:paraId="5680CAA5">
        <w:tblPrEx>
          <w:tblCellMar>
            <w:top w:w="0" w:type="dxa"/>
            <w:left w:w="108" w:type="dxa"/>
            <w:bottom w:w="0" w:type="dxa"/>
            <w:right w:w="108" w:type="dxa"/>
          </w:tblCellMar>
        </w:tblPrEx>
        <w:trPr>
          <w:trHeight w:val="1020" w:hRule="atLeast"/>
        </w:trPr>
        <w:tc>
          <w:tcPr>
            <w:tcW w:w="1030" w:type="dxa"/>
            <w:tcBorders>
              <w:top w:val="single" w:color="auto" w:sz="4" w:space="0"/>
              <w:left w:val="single" w:color="auto" w:sz="8" w:space="0"/>
              <w:bottom w:val="single" w:color="auto" w:sz="4" w:space="0"/>
              <w:right w:val="single" w:color="auto" w:sz="4" w:space="0"/>
            </w:tcBorders>
            <w:vAlign w:val="center"/>
          </w:tcPr>
          <w:p w14:paraId="759FF9B1">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3A18E188">
            <w:pPr>
              <w:spacing w:line="320" w:lineRule="exact"/>
              <w:ind w:firstLine="180" w:firstLineChars="100"/>
              <w:jc w:val="left"/>
              <w:rPr>
                <w:color w:val="000000"/>
                <w:kern w:val="0"/>
                <w:sz w:val="18"/>
                <w:szCs w:val="18"/>
              </w:rPr>
            </w:pPr>
            <w:r>
              <w:rPr>
                <w:rFonts w:hint="eastAsia"/>
                <w:color w:val="000000"/>
                <w:kern w:val="0"/>
                <w:sz w:val="18"/>
                <w:szCs w:val="18"/>
              </w:rPr>
              <w:t>【行政法规】《建设工程抗震管理条例》(国务院令第744号）</w:t>
            </w:r>
          </w:p>
          <w:p w14:paraId="400C9E4C">
            <w:pPr>
              <w:spacing w:line="320" w:lineRule="exact"/>
              <w:ind w:firstLine="180" w:firstLineChars="100"/>
              <w:jc w:val="left"/>
              <w:rPr>
                <w:color w:val="000000"/>
                <w:kern w:val="0"/>
                <w:sz w:val="18"/>
                <w:szCs w:val="18"/>
              </w:rPr>
            </w:pPr>
            <w:r>
              <w:rPr>
                <w:rFonts w:hint="eastAsia"/>
                <w:color w:val="000000"/>
                <w:kern w:val="0"/>
                <w:sz w:val="18"/>
                <w:szCs w:val="18"/>
              </w:rPr>
              <w:t xml:space="preserve">        第二十三条第二款  任何单位和个人不得擅自变动、损坏或者拆除建设工程抗震构件、隔震沟、隔震缝、隔震减震装置及隔震标识。</w:t>
            </w:r>
          </w:p>
          <w:p w14:paraId="6B6FF6F8">
            <w:pPr>
              <w:spacing w:line="320" w:lineRule="exact"/>
              <w:ind w:firstLine="180" w:firstLineChars="100"/>
              <w:jc w:val="left"/>
              <w:rPr>
                <w:color w:val="000000"/>
                <w:kern w:val="0"/>
                <w:sz w:val="18"/>
                <w:szCs w:val="18"/>
              </w:rPr>
            </w:pPr>
            <w:r>
              <w:rPr>
                <w:rFonts w:hint="eastAsia"/>
                <w:color w:val="000000"/>
                <w:kern w:val="0"/>
                <w:sz w:val="18"/>
                <w:szCs w:val="18"/>
              </w:rPr>
              <w:t xml:space="preserve">        第四十六条　违反本条例规定，擅自变动、损坏或者拆除建设工程抗震构件、隔震沟、隔震缝、隔震减震装置及隔震标识的，责令停止违法行为，恢复原状或者采取其他补救措施，对个人处5万元以上10万元以下的罚款，对单位处10万元以上30万元以下的罚款；造成损失的，依法承担赔偿责任。</w:t>
            </w:r>
          </w:p>
          <w:p w14:paraId="208513DC">
            <w:pPr>
              <w:spacing w:line="320" w:lineRule="exact"/>
              <w:ind w:firstLine="180" w:firstLineChars="100"/>
              <w:jc w:val="left"/>
              <w:rPr>
                <w:color w:val="000000"/>
                <w:kern w:val="0"/>
                <w:sz w:val="18"/>
                <w:szCs w:val="18"/>
              </w:rPr>
            </w:pPr>
            <w:r>
              <w:rPr>
                <w:rFonts w:hint="eastAsia"/>
                <w:color w:val="000000"/>
                <w:kern w:val="0"/>
                <w:sz w:val="18"/>
                <w:szCs w:val="18"/>
              </w:rPr>
              <w:t xml:space="preserve">        第四十七条第二款　本条例规定的降低资质等级或者吊销资质证书的行政处罚，由颁发资质证书的机关决定；其他行政处罚，由住房和城乡建设主管部门或者其他有关监督管理部门依照法定职权决定。</w:t>
            </w:r>
          </w:p>
          <w:p w14:paraId="1FCB2086">
            <w:pPr>
              <w:spacing w:line="320" w:lineRule="exact"/>
              <w:ind w:firstLine="180" w:firstLineChars="100"/>
              <w:jc w:val="left"/>
              <w:rPr>
                <w:color w:val="000000"/>
                <w:kern w:val="0"/>
                <w:sz w:val="18"/>
                <w:szCs w:val="18"/>
              </w:rPr>
            </w:pPr>
            <w:r>
              <w:rPr>
                <w:rFonts w:hint="eastAsia"/>
                <w:color w:val="000000"/>
                <w:kern w:val="0"/>
                <w:sz w:val="18"/>
                <w:szCs w:val="18"/>
              </w:rPr>
              <w:t>【规章】《房屋建筑工程抗震设防管理规定》（建设部令第148号）</w:t>
            </w:r>
          </w:p>
          <w:p w14:paraId="727309B4">
            <w:pPr>
              <w:spacing w:line="320" w:lineRule="exact"/>
              <w:ind w:firstLine="180" w:firstLineChars="100"/>
              <w:jc w:val="left"/>
              <w:rPr>
                <w:color w:val="000000"/>
                <w:kern w:val="0"/>
                <w:sz w:val="18"/>
                <w:szCs w:val="18"/>
              </w:rPr>
            </w:pPr>
            <w:r>
              <w:rPr>
                <w:rFonts w:hint="eastAsia"/>
                <w:color w:val="000000"/>
                <w:kern w:val="0"/>
                <w:sz w:val="18"/>
                <w:szCs w:val="18"/>
              </w:rPr>
              <w:t xml:space="preserve">        第十一条　产权人和使用人不得擅自变动或者破坏房屋建筑抗震构件、隔震装置、减震部件或者地震反应观测系统等抗震设施。</w:t>
            </w:r>
          </w:p>
          <w:p w14:paraId="2241203A">
            <w:pPr>
              <w:spacing w:line="320" w:lineRule="exact"/>
              <w:jc w:val="left"/>
              <w:rPr>
                <w:color w:val="000000"/>
                <w:kern w:val="0"/>
                <w:sz w:val="18"/>
                <w:szCs w:val="18"/>
              </w:rPr>
            </w:pPr>
            <w:r>
              <w:rPr>
                <w:rFonts w:hint="eastAsia"/>
                <w:color w:val="000000"/>
                <w:kern w:val="0"/>
                <w:sz w:val="18"/>
                <w:szCs w:val="18"/>
              </w:rPr>
              <w:t xml:space="preserve">        第二十六条　违反本规定，擅自变动或者破坏房屋建筑抗震构件、隔震装置、减震部件或者地震反应观测系统等抗震设施的，由县级以上地方人民政府建设主管部门责令限期改正，并对个人处以1000元以下罚款，对单位处以1万元以上3万元以下罚款。</w:t>
            </w:r>
          </w:p>
        </w:tc>
      </w:tr>
      <w:tr w14:paraId="44BF59DE">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590AFB44">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3A26C4C0">
            <w:pPr>
              <w:spacing w:line="320" w:lineRule="exact"/>
              <w:jc w:val="left"/>
              <w:rPr>
                <w:color w:val="000000"/>
                <w:kern w:val="0"/>
                <w:sz w:val="18"/>
                <w:szCs w:val="18"/>
              </w:rPr>
            </w:pPr>
            <w:r>
              <w:rPr>
                <w:rFonts w:hint="eastAsia"/>
                <w:color w:val="000000"/>
                <w:kern w:val="0"/>
                <w:sz w:val="18"/>
                <w:szCs w:val="18"/>
              </w:rPr>
              <w:t>责令限期改正，罚款</w:t>
            </w:r>
          </w:p>
        </w:tc>
      </w:tr>
      <w:tr w14:paraId="3DEB12A5">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4E1A705E">
            <w:pPr>
              <w:spacing w:line="320" w:lineRule="exact"/>
              <w:jc w:val="center"/>
              <w:rPr>
                <w:color w:val="000000"/>
                <w:kern w:val="0"/>
                <w:sz w:val="18"/>
                <w:szCs w:val="18"/>
              </w:rPr>
            </w:pPr>
            <w:r>
              <w:rPr>
                <w:rFonts w:hint="eastAsia"/>
                <w:color w:val="000000"/>
                <w:kern w:val="0"/>
                <w:sz w:val="18"/>
                <w:szCs w:val="18"/>
              </w:rPr>
              <w:t>裁量基准</w:t>
            </w:r>
          </w:p>
        </w:tc>
      </w:tr>
      <w:tr w14:paraId="41A3268A">
        <w:tblPrEx>
          <w:tblCellMar>
            <w:top w:w="0" w:type="dxa"/>
            <w:left w:w="108" w:type="dxa"/>
            <w:bottom w:w="0" w:type="dxa"/>
            <w:right w:w="108" w:type="dxa"/>
          </w:tblCellMar>
        </w:tblPrEx>
        <w:trPr>
          <w:trHeight w:val="480" w:hRule="atLeast"/>
        </w:trPr>
        <w:tc>
          <w:tcPr>
            <w:tcW w:w="1030" w:type="dxa"/>
            <w:vMerge w:val="restart"/>
            <w:tcBorders>
              <w:top w:val="single" w:color="auto" w:sz="4" w:space="0"/>
              <w:left w:val="single" w:color="auto" w:sz="8" w:space="0"/>
              <w:bottom w:val="single" w:color="auto" w:sz="4" w:space="0"/>
              <w:right w:val="single" w:color="auto" w:sz="4" w:space="0"/>
            </w:tcBorders>
            <w:vAlign w:val="center"/>
          </w:tcPr>
          <w:p w14:paraId="74E4883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0C9BBF5C">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3506BB54">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56617E51">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43454797">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元以下罚款</w:t>
            </w:r>
          </w:p>
        </w:tc>
      </w:tr>
      <w:tr w14:paraId="14B1ECC0">
        <w:tblPrEx>
          <w:tblCellMar>
            <w:top w:w="0" w:type="dxa"/>
            <w:left w:w="108" w:type="dxa"/>
            <w:bottom w:w="0" w:type="dxa"/>
            <w:right w:w="108" w:type="dxa"/>
          </w:tblCellMar>
        </w:tblPrEx>
        <w:trPr>
          <w:trHeight w:val="480" w:hRule="atLeast"/>
        </w:trPr>
        <w:tc>
          <w:tcPr>
            <w:tcW w:w="1030" w:type="dxa"/>
            <w:vMerge w:val="continue"/>
            <w:tcBorders>
              <w:top w:val="single" w:color="auto" w:sz="4" w:space="0"/>
              <w:left w:val="single" w:color="auto" w:sz="8" w:space="0"/>
              <w:bottom w:val="single" w:color="auto" w:sz="8" w:space="0"/>
              <w:right w:val="single" w:color="auto" w:sz="4" w:space="0"/>
            </w:tcBorders>
            <w:vAlign w:val="center"/>
          </w:tcPr>
          <w:p w14:paraId="0E4AE73C">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30EBE7AC">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val="continue"/>
            <w:tcBorders>
              <w:top w:val="single" w:color="auto" w:sz="4" w:space="0"/>
              <w:left w:val="single" w:color="auto" w:sz="4" w:space="0"/>
              <w:bottom w:val="single" w:color="auto" w:sz="8" w:space="0"/>
              <w:right w:val="single" w:color="auto" w:sz="4" w:space="0"/>
            </w:tcBorders>
            <w:vAlign w:val="center"/>
          </w:tcPr>
          <w:p w14:paraId="0009F4A5">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1886A9EE">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03220807">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5F1CB8C6"/>
    <w:p w14:paraId="24C39B75"/>
    <w:p w14:paraId="4917BD0A"/>
    <w:p w14:paraId="4342EEB4"/>
    <w:tbl>
      <w:tblPr>
        <w:tblStyle w:val="15"/>
        <w:tblW w:w="0" w:type="auto"/>
        <w:tblInd w:w="7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3D845B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tcBorders>
              <w:top w:val="single" w:color="auto" w:sz="8" w:space="0"/>
            </w:tcBorders>
            <w:vAlign w:val="center"/>
          </w:tcPr>
          <w:p w14:paraId="3F77AEEB">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tcBorders>
            <w:vAlign w:val="center"/>
          </w:tcPr>
          <w:p w14:paraId="6C12BCD2">
            <w:pPr>
              <w:jc w:val="left"/>
              <w:textAlignment w:val="center"/>
              <w:rPr>
                <w:rFonts w:eastAsia="仿宋_GB2312"/>
                <w:b/>
                <w:bCs/>
                <w:color w:val="000000"/>
                <w:kern w:val="0"/>
                <w:sz w:val="18"/>
                <w:szCs w:val="18"/>
              </w:rPr>
            </w:pPr>
            <w:r>
              <w:rPr>
                <w:rFonts w:eastAsia="仿宋_GB2312"/>
                <w:b/>
                <w:color w:val="000000"/>
                <w:kern w:val="0"/>
                <w:sz w:val="20"/>
              </w:rPr>
              <w:t>320217055000</w:t>
            </w:r>
          </w:p>
        </w:tc>
      </w:tr>
      <w:tr w14:paraId="766894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C1952C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vAlign w:val="center"/>
          </w:tcPr>
          <w:p w14:paraId="476B1330">
            <w:pPr>
              <w:spacing w:line="320" w:lineRule="exact"/>
              <w:jc w:val="left"/>
              <w:rPr>
                <w:color w:val="000000"/>
                <w:kern w:val="0"/>
                <w:sz w:val="18"/>
                <w:szCs w:val="18"/>
              </w:rPr>
            </w:pPr>
            <w:r>
              <w:rPr>
                <w:rFonts w:hint="eastAsia"/>
                <w:color w:val="000000"/>
                <w:kern w:val="0"/>
                <w:sz w:val="18"/>
                <w:szCs w:val="18"/>
              </w:rPr>
              <w:t>对未对抗震能力受损、荷载增加或者需提高抗震设防类别的房屋建筑工程进行抗震验算、修复和加固的处罚</w:t>
            </w:r>
          </w:p>
        </w:tc>
      </w:tr>
      <w:tr w14:paraId="2C4B27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1030" w:type="dxa"/>
            <w:vAlign w:val="center"/>
          </w:tcPr>
          <w:p w14:paraId="23090309">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vAlign w:val="center"/>
          </w:tcPr>
          <w:p w14:paraId="1049CDE5">
            <w:pPr>
              <w:spacing w:line="320" w:lineRule="exact"/>
              <w:ind w:firstLine="180" w:firstLineChars="100"/>
              <w:jc w:val="left"/>
              <w:rPr>
                <w:color w:val="000000"/>
                <w:kern w:val="0"/>
                <w:sz w:val="18"/>
                <w:szCs w:val="18"/>
              </w:rPr>
            </w:pPr>
            <w:r>
              <w:rPr>
                <w:rFonts w:hint="eastAsia"/>
                <w:color w:val="000000"/>
                <w:kern w:val="0"/>
                <w:sz w:val="18"/>
                <w:szCs w:val="18"/>
              </w:rPr>
              <w:t>【规章】《房屋建筑工程抗震设防管理规定》（建设部令第</w:t>
            </w:r>
            <w:r>
              <w:rPr>
                <w:color w:val="000000"/>
                <w:kern w:val="0"/>
                <w:sz w:val="18"/>
                <w:szCs w:val="18"/>
              </w:rPr>
              <w:t>148</w:t>
            </w:r>
            <w:r>
              <w:rPr>
                <w:rFonts w:hint="eastAsia"/>
                <w:color w:val="000000"/>
                <w:kern w:val="0"/>
                <w:sz w:val="18"/>
                <w:szCs w:val="18"/>
              </w:rPr>
              <w:t>号）</w:t>
            </w:r>
          </w:p>
          <w:p w14:paraId="198DDC28">
            <w:pPr>
              <w:spacing w:line="320" w:lineRule="exact"/>
              <w:jc w:val="left"/>
              <w:rPr>
                <w:color w:val="000000"/>
                <w:kern w:val="0"/>
                <w:sz w:val="18"/>
                <w:szCs w:val="18"/>
              </w:rPr>
            </w:pPr>
            <w:r>
              <w:rPr>
                <w:rFonts w:hint="eastAsia"/>
                <w:color w:val="000000"/>
                <w:kern w:val="0"/>
                <w:sz w:val="18"/>
                <w:szCs w:val="18"/>
              </w:rPr>
              <w:t>第十六条　已按工程建设标准进行抗震设计或抗震加固的房屋建筑工程在合理使用年限内，因各种人为因素使房屋建筑工程抗震能力受损的，或者因改变原设计使用性质，导致荷载增加或需提高抗震设防类别的，产权人应当委托有相应资质的单位进行抗震验算、修复或加固。需要进行工程检测的，应由委托具有相应资质的单位进行检测。</w:t>
            </w:r>
          </w:p>
          <w:p w14:paraId="438535BC">
            <w:pPr>
              <w:spacing w:line="320" w:lineRule="exact"/>
              <w:jc w:val="left"/>
              <w:rPr>
                <w:color w:val="000000"/>
                <w:kern w:val="0"/>
                <w:sz w:val="18"/>
                <w:szCs w:val="18"/>
              </w:rPr>
            </w:pPr>
            <w:r>
              <w:rPr>
                <w:rFonts w:hint="eastAsia"/>
                <w:color w:val="000000"/>
                <w:kern w:val="0"/>
                <w:sz w:val="18"/>
                <w:szCs w:val="18"/>
              </w:rPr>
              <w:t>第二十七条　违反本规定，未对抗震能力受损、荷载增加或者需提高抗震设防类别的房屋建筑工程，进行抗震验算、修复和加固的，由县级以上地方人民政府建设主管部门责令限期改正，逾期不改的，处以</w:t>
            </w:r>
            <w:r>
              <w:rPr>
                <w:color w:val="000000"/>
                <w:kern w:val="0"/>
                <w:sz w:val="18"/>
                <w:szCs w:val="18"/>
              </w:rPr>
              <w:t>1</w:t>
            </w:r>
            <w:r>
              <w:rPr>
                <w:rFonts w:hint="eastAsia"/>
                <w:color w:val="000000"/>
                <w:kern w:val="0"/>
                <w:sz w:val="18"/>
                <w:szCs w:val="18"/>
              </w:rPr>
              <w:t>万元以下罚款。</w:t>
            </w:r>
          </w:p>
        </w:tc>
      </w:tr>
      <w:tr w14:paraId="4386EC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0A820E69">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7281663A">
            <w:pPr>
              <w:spacing w:line="320" w:lineRule="exact"/>
              <w:jc w:val="left"/>
              <w:rPr>
                <w:color w:val="000000"/>
                <w:kern w:val="0"/>
                <w:sz w:val="18"/>
                <w:szCs w:val="18"/>
              </w:rPr>
            </w:pPr>
            <w:r>
              <w:rPr>
                <w:rFonts w:hint="eastAsia"/>
                <w:color w:val="000000"/>
                <w:kern w:val="0"/>
                <w:sz w:val="18"/>
                <w:szCs w:val="18"/>
              </w:rPr>
              <w:t>责令限期改正，罚款</w:t>
            </w:r>
          </w:p>
        </w:tc>
      </w:tr>
      <w:tr w14:paraId="115C3A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3F988D7A">
            <w:pPr>
              <w:spacing w:line="320" w:lineRule="exact"/>
              <w:jc w:val="center"/>
              <w:rPr>
                <w:color w:val="000000"/>
                <w:kern w:val="0"/>
                <w:sz w:val="18"/>
                <w:szCs w:val="18"/>
              </w:rPr>
            </w:pPr>
            <w:r>
              <w:rPr>
                <w:rFonts w:hint="eastAsia"/>
                <w:color w:val="000000"/>
                <w:kern w:val="0"/>
                <w:sz w:val="18"/>
                <w:szCs w:val="18"/>
              </w:rPr>
              <w:t>裁量基准</w:t>
            </w:r>
          </w:p>
        </w:tc>
      </w:tr>
      <w:tr w14:paraId="3E9F79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788685EB">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066C7504">
            <w:pPr>
              <w:spacing w:line="320" w:lineRule="exact"/>
              <w:jc w:val="left"/>
              <w:rPr>
                <w:color w:val="000000"/>
                <w:kern w:val="0"/>
                <w:sz w:val="18"/>
                <w:szCs w:val="18"/>
              </w:rPr>
            </w:pPr>
            <w:r>
              <w:rPr>
                <w:rFonts w:hint="eastAsia"/>
                <w:color w:val="000000"/>
                <w:kern w:val="0"/>
                <w:sz w:val="18"/>
                <w:szCs w:val="18"/>
              </w:rPr>
              <w:t>逾期不改未发生安全事故的</w:t>
            </w:r>
          </w:p>
        </w:tc>
        <w:tc>
          <w:tcPr>
            <w:tcW w:w="1080" w:type="dxa"/>
            <w:vMerge w:val="restart"/>
            <w:vAlign w:val="center"/>
          </w:tcPr>
          <w:p w14:paraId="1C71757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54CA0C5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5DB4A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tcBorders>
              <w:bottom w:val="single" w:color="auto" w:sz="8" w:space="0"/>
            </w:tcBorders>
            <w:vAlign w:val="center"/>
          </w:tcPr>
          <w:p w14:paraId="3057991B">
            <w:pPr>
              <w:spacing w:line="320" w:lineRule="exact"/>
              <w:jc w:val="left"/>
              <w:rPr>
                <w:color w:val="000000"/>
                <w:kern w:val="0"/>
                <w:sz w:val="18"/>
                <w:szCs w:val="18"/>
              </w:rPr>
            </w:pPr>
          </w:p>
        </w:tc>
        <w:tc>
          <w:tcPr>
            <w:tcW w:w="6140" w:type="dxa"/>
            <w:tcBorders>
              <w:bottom w:val="single" w:color="auto" w:sz="8" w:space="0"/>
            </w:tcBorders>
            <w:vAlign w:val="center"/>
          </w:tcPr>
          <w:p w14:paraId="44B1B68D">
            <w:pPr>
              <w:spacing w:line="320" w:lineRule="exact"/>
              <w:jc w:val="left"/>
              <w:rPr>
                <w:color w:val="000000"/>
                <w:kern w:val="0"/>
                <w:sz w:val="18"/>
                <w:szCs w:val="18"/>
              </w:rPr>
            </w:pPr>
            <w:r>
              <w:rPr>
                <w:rFonts w:hint="eastAsia"/>
                <w:color w:val="000000"/>
                <w:kern w:val="0"/>
                <w:sz w:val="18"/>
                <w:szCs w:val="18"/>
              </w:rPr>
              <w:t>逾期不改发生安全事故的</w:t>
            </w:r>
          </w:p>
        </w:tc>
        <w:tc>
          <w:tcPr>
            <w:tcW w:w="1080" w:type="dxa"/>
            <w:vMerge w:val="continue"/>
            <w:tcBorders>
              <w:bottom w:val="single" w:color="auto" w:sz="8" w:space="0"/>
            </w:tcBorders>
            <w:vAlign w:val="center"/>
          </w:tcPr>
          <w:p w14:paraId="655835DA">
            <w:pPr>
              <w:spacing w:line="320" w:lineRule="exact"/>
              <w:jc w:val="left"/>
              <w:rPr>
                <w:color w:val="000000"/>
                <w:kern w:val="0"/>
                <w:sz w:val="18"/>
                <w:szCs w:val="18"/>
              </w:rPr>
            </w:pPr>
          </w:p>
        </w:tc>
        <w:tc>
          <w:tcPr>
            <w:tcW w:w="5820" w:type="dxa"/>
            <w:tcBorders>
              <w:bottom w:val="single" w:color="auto" w:sz="8" w:space="0"/>
            </w:tcBorders>
            <w:vAlign w:val="center"/>
          </w:tcPr>
          <w:p w14:paraId="3B45B352">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647C20DF"/>
    <w:p w14:paraId="5E85578F"/>
    <w:p w14:paraId="33048E2A"/>
    <w:p w14:paraId="5FB50282"/>
    <w:p w14:paraId="46D0344C"/>
    <w:p w14:paraId="08434DF8"/>
    <w:p w14:paraId="18C64022"/>
    <w:p w14:paraId="71425B8F"/>
    <w:p w14:paraId="214E2CAD"/>
    <w:p w14:paraId="47631B83"/>
    <w:p w14:paraId="02FA0809"/>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51EE58DC">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4B18E54F">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74040B36">
            <w:pPr>
              <w:jc w:val="left"/>
              <w:textAlignment w:val="center"/>
              <w:rPr>
                <w:rFonts w:eastAsia="仿宋_GB2312"/>
                <w:b/>
                <w:bCs/>
                <w:color w:val="000000"/>
                <w:kern w:val="0"/>
                <w:sz w:val="18"/>
                <w:szCs w:val="18"/>
              </w:rPr>
            </w:pPr>
            <w:r>
              <w:rPr>
                <w:rFonts w:eastAsia="仿宋_GB2312"/>
                <w:b/>
                <w:color w:val="000000"/>
                <w:kern w:val="0"/>
                <w:sz w:val="20"/>
              </w:rPr>
              <w:t>320217056000</w:t>
            </w:r>
          </w:p>
        </w:tc>
      </w:tr>
      <w:tr w14:paraId="202156DF">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7563263F">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42864256">
            <w:pPr>
              <w:spacing w:line="320" w:lineRule="exact"/>
              <w:jc w:val="left"/>
              <w:rPr>
                <w:color w:val="000000"/>
                <w:kern w:val="0"/>
                <w:sz w:val="18"/>
                <w:szCs w:val="18"/>
              </w:rPr>
            </w:pPr>
            <w:r>
              <w:rPr>
                <w:rFonts w:hint="eastAsia"/>
                <w:color w:val="000000"/>
                <w:kern w:val="0"/>
                <w:sz w:val="18"/>
                <w:szCs w:val="18"/>
              </w:rPr>
              <w:t>对经鉴定需抗震加固的房屋建筑工程在进行装修改造时未进行抗震加固的处罚</w:t>
            </w:r>
          </w:p>
        </w:tc>
      </w:tr>
      <w:tr w14:paraId="0645EB69">
        <w:tblPrEx>
          <w:tblCellMar>
            <w:top w:w="0" w:type="dxa"/>
            <w:left w:w="108" w:type="dxa"/>
            <w:bottom w:w="0" w:type="dxa"/>
            <w:right w:w="108" w:type="dxa"/>
          </w:tblCellMar>
        </w:tblPrEx>
        <w:trPr>
          <w:trHeight w:val="1230" w:hRule="atLeast"/>
        </w:trPr>
        <w:tc>
          <w:tcPr>
            <w:tcW w:w="1030" w:type="dxa"/>
            <w:tcBorders>
              <w:top w:val="single" w:color="auto" w:sz="4" w:space="0"/>
              <w:left w:val="single" w:color="auto" w:sz="8" w:space="0"/>
              <w:bottom w:val="single" w:color="auto" w:sz="4" w:space="0"/>
              <w:right w:val="single" w:color="auto" w:sz="4" w:space="0"/>
            </w:tcBorders>
            <w:vAlign w:val="center"/>
          </w:tcPr>
          <w:p w14:paraId="7921A212">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7511F9F8">
            <w:pPr>
              <w:spacing w:line="320" w:lineRule="exact"/>
              <w:ind w:firstLine="180" w:firstLineChars="100"/>
              <w:jc w:val="left"/>
              <w:rPr>
                <w:color w:val="000000"/>
                <w:kern w:val="0"/>
                <w:sz w:val="18"/>
                <w:szCs w:val="18"/>
              </w:rPr>
            </w:pPr>
            <w:r>
              <w:rPr>
                <w:rFonts w:hint="eastAsia"/>
                <w:color w:val="000000"/>
                <w:kern w:val="0"/>
                <w:sz w:val="18"/>
                <w:szCs w:val="18"/>
              </w:rPr>
              <w:t>【规章】《房屋建筑工程抗震设防管理规定》（建设部令第</w:t>
            </w:r>
            <w:r>
              <w:rPr>
                <w:color w:val="000000"/>
                <w:kern w:val="0"/>
                <w:sz w:val="18"/>
                <w:szCs w:val="18"/>
              </w:rPr>
              <w:t>148</w:t>
            </w:r>
            <w:r>
              <w:rPr>
                <w:rFonts w:hint="eastAsia"/>
                <w:color w:val="000000"/>
                <w:kern w:val="0"/>
                <w:sz w:val="18"/>
                <w:szCs w:val="18"/>
              </w:rPr>
              <w:t>号）</w:t>
            </w:r>
          </w:p>
          <w:p w14:paraId="16B42156">
            <w:pPr>
              <w:spacing w:line="320" w:lineRule="exact"/>
              <w:jc w:val="left"/>
              <w:rPr>
                <w:color w:val="000000"/>
                <w:kern w:val="0"/>
                <w:sz w:val="18"/>
                <w:szCs w:val="18"/>
              </w:rPr>
            </w:pPr>
            <w:r>
              <w:rPr>
                <w:rFonts w:hint="eastAsia"/>
                <w:color w:val="000000"/>
                <w:kern w:val="0"/>
                <w:sz w:val="18"/>
                <w:szCs w:val="18"/>
              </w:rPr>
              <w:t>第十八条　震后经应急评估需进行抗震鉴定的房屋建筑工程，应当按照抗震鉴定标准进行鉴定。经鉴定需修复或者抗震加固的，应当按照工程建设强制性标准进行修复或者抗震加固。需易地重建的，应当按照国家有关法律、法规的规定进行规划和建设。</w:t>
            </w:r>
          </w:p>
          <w:p w14:paraId="19C6946B">
            <w:pPr>
              <w:spacing w:line="320" w:lineRule="exact"/>
              <w:jc w:val="left"/>
              <w:rPr>
                <w:color w:val="000000"/>
                <w:kern w:val="0"/>
                <w:sz w:val="18"/>
                <w:szCs w:val="18"/>
              </w:rPr>
            </w:pPr>
            <w:r>
              <w:rPr>
                <w:rFonts w:hint="eastAsia"/>
                <w:color w:val="000000"/>
                <w:kern w:val="0"/>
                <w:sz w:val="18"/>
                <w:szCs w:val="18"/>
              </w:rPr>
              <w:t>第二十八条　违反本规定，经鉴定需抗震加固的房屋建筑工程在进行装修改造时未进行抗震加固的，由县级以上地方人民政府建设主管部门责令限期改正，逾期不改的，处以</w:t>
            </w:r>
            <w:r>
              <w:rPr>
                <w:color w:val="000000"/>
                <w:kern w:val="0"/>
                <w:sz w:val="18"/>
                <w:szCs w:val="18"/>
              </w:rPr>
              <w:t>1</w:t>
            </w:r>
            <w:r>
              <w:rPr>
                <w:rFonts w:hint="eastAsia"/>
                <w:color w:val="000000"/>
                <w:kern w:val="0"/>
                <w:sz w:val="18"/>
                <w:szCs w:val="18"/>
              </w:rPr>
              <w:t>万元以下罚款。</w:t>
            </w:r>
          </w:p>
        </w:tc>
      </w:tr>
      <w:tr w14:paraId="730DA9D1">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635EC8B8">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5B6C2941">
            <w:pPr>
              <w:spacing w:line="320" w:lineRule="exact"/>
              <w:jc w:val="left"/>
              <w:rPr>
                <w:color w:val="000000"/>
                <w:kern w:val="0"/>
                <w:sz w:val="18"/>
                <w:szCs w:val="18"/>
              </w:rPr>
            </w:pPr>
            <w:r>
              <w:rPr>
                <w:rFonts w:hint="eastAsia"/>
                <w:color w:val="000000"/>
                <w:kern w:val="0"/>
                <w:sz w:val="18"/>
                <w:szCs w:val="18"/>
              </w:rPr>
              <w:t>责令限期改正，罚款</w:t>
            </w:r>
          </w:p>
        </w:tc>
      </w:tr>
      <w:tr w14:paraId="6EE0A70C">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6014DF3C">
            <w:pPr>
              <w:spacing w:line="320" w:lineRule="exact"/>
              <w:jc w:val="center"/>
              <w:rPr>
                <w:color w:val="000000"/>
                <w:kern w:val="0"/>
                <w:sz w:val="18"/>
                <w:szCs w:val="18"/>
              </w:rPr>
            </w:pPr>
            <w:r>
              <w:rPr>
                <w:rFonts w:hint="eastAsia"/>
                <w:color w:val="000000"/>
                <w:kern w:val="0"/>
                <w:sz w:val="18"/>
                <w:szCs w:val="18"/>
              </w:rPr>
              <w:t>裁量基准</w:t>
            </w:r>
          </w:p>
        </w:tc>
      </w:tr>
      <w:tr w14:paraId="02728B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6B97882B">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4791E23E">
            <w:pPr>
              <w:spacing w:line="320" w:lineRule="exact"/>
              <w:jc w:val="left"/>
              <w:rPr>
                <w:color w:val="000000"/>
                <w:kern w:val="0"/>
                <w:sz w:val="18"/>
                <w:szCs w:val="18"/>
              </w:rPr>
            </w:pPr>
            <w:r>
              <w:rPr>
                <w:rFonts w:hint="eastAsia"/>
                <w:color w:val="000000"/>
                <w:kern w:val="0"/>
                <w:sz w:val="18"/>
                <w:szCs w:val="18"/>
              </w:rPr>
              <w:t>逾期不改未发生安全事故的</w:t>
            </w:r>
          </w:p>
        </w:tc>
        <w:tc>
          <w:tcPr>
            <w:tcW w:w="1080" w:type="dxa"/>
            <w:vMerge w:val="restart"/>
            <w:vAlign w:val="center"/>
          </w:tcPr>
          <w:p w14:paraId="51E6E9E0">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5C3F64A8">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313630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tcBorders>
              <w:bottom w:val="single" w:color="auto" w:sz="8" w:space="0"/>
            </w:tcBorders>
            <w:vAlign w:val="center"/>
          </w:tcPr>
          <w:p w14:paraId="3D40A6FE">
            <w:pPr>
              <w:spacing w:line="320" w:lineRule="exact"/>
              <w:jc w:val="left"/>
              <w:rPr>
                <w:color w:val="000000"/>
                <w:kern w:val="0"/>
                <w:sz w:val="18"/>
                <w:szCs w:val="18"/>
              </w:rPr>
            </w:pPr>
          </w:p>
        </w:tc>
        <w:tc>
          <w:tcPr>
            <w:tcW w:w="6140" w:type="dxa"/>
            <w:tcBorders>
              <w:bottom w:val="single" w:color="auto" w:sz="8" w:space="0"/>
            </w:tcBorders>
            <w:vAlign w:val="center"/>
          </w:tcPr>
          <w:p w14:paraId="1E9545EF">
            <w:pPr>
              <w:spacing w:line="320" w:lineRule="exact"/>
              <w:jc w:val="left"/>
              <w:rPr>
                <w:color w:val="000000"/>
                <w:kern w:val="0"/>
                <w:sz w:val="18"/>
                <w:szCs w:val="18"/>
              </w:rPr>
            </w:pPr>
            <w:r>
              <w:rPr>
                <w:rFonts w:hint="eastAsia"/>
                <w:color w:val="000000"/>
                <w:kern w:val="0"/>
                <w:sz w:val="18"/>
                <w:szCs w:val="18"/>
              </w:rPr>
              <w:t>逾期不改发生安全事故的</w:t>
            </w:r>
          </w:p>
        </w:tc>
        <w:tc>
          <w:tcPr>
            <w:tcW w:w="1080" w:type="dxa"/>
            <w:vMerge w:val="continue"/>
            <w:tcBorders>
              <w:bottom w:val="single" w:color="auto" w:sz="8" w:space="0"/>
            </w:tcBorders>
            <w:vAlign w:val="center"/>
          </w:tcPr>
          <w:p w14:paraId="21725185">
            <w:pPr>
              <w:spacing w:line="320" w:lineRule="exact"/>
              <w:jc w:val="left"/>
              <w:rPr>
                <w:color w:val="000000"/>
                <w:kern w:val="0"/>
                <w:sz w:val="18"/>
                <w:szCs w:val="18"/>
              </w:rPr>
            </w:pPr>
          </w:p>
        </w:tc>
        <w:tc>
          <w:tcPr>
            <w:tcW w:w="5820" w:type="dxa"/>
            <w:tcBorders>
              <w:bottom w:val="single" w:color="auto" w:sz="8" w:space="0"/>
            </w:tcBorders>
            <w:vAlign w:val="center"/>
          </w:tcPr>
          <w:p w14:paraId="2EF0881E">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350C8801"/>
    <w:p w14:paraId="51036782"/>
    <w:p w14:paraId="0708799E"/>
    <w:p w14:paraId="0D8F1240"/>
    <w:p w14:paraId="3302CACF"/>
    <w:p w14:paraId="6D1626B5"/>
    <w:p w14:paraId="59F62D53"/>
    <w:p w14:paraId="3597B9BE"/>
    <w:p w14:paraId="54A320D5"/>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5759DD8B">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7169348F">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3E119AB2">
            <w:pPr>
              <w:jc w:val="left"/>
              <w:textAlignment w:val="center"/>
              <w:rPr>
                <w:rFonts w:eastAsia="仿宋_GB2312"/>
                <w:b/>
                <w:bCs/>
                <w:color w:val="000000"/>
                <w:kern w:val="0"/>
                <w:sz w:val="18"/>
                <w:szCs w:val="18"/>
              </w:rPr>
            </w:pPr>
            <w:r>
              <w:rPr>
                <w:rFonts w:eastAsia="仿宋_GB2312"/>
                <w:b/>
                <w:color w:val="000000"/>
                <w:kern w:val="0"/>
                <w:sz w:val="20"/>
              </w:rPr>
              <w:t>320217057000</w:t>
            </w:r>
          </w:p>
        </w:tc>
      </w:tr>
      <w:tr w14:paraId="247682E5">
        <w:tblPrEx>
          <w:tblCellMar>
            <w:top w:w="0" w:type="dxa"/>
            <w:left w:w="108" w:type="dxa"/>
            <w:bottom w:w="0" w:type="dxa"/>
            <w:right w:w="108" w:type="dxa"/>
          </w:tblCellMar>
        </w:tblPrEx>
        <w:trPr>
          <w:trHeight w:val="540" w:hRule="atLeast"/>
        </w:trPr>
        <w:tc>
          <w:tcPr>
            <w:tcW w:w="1030" w:type="dxa"/>
            <w:tcBorders>
              <w:top w:val="single" w:color="auto" w:sz="4" w:space="0"/>
              <w:left w:val="single" w:color="auto" w:sz="8" w:space="0"/>
              <w:bottom w:val="single" w:color="auto" w:sz="4" w:space="0"/>
              <w:right w:val="single" w:color="auto" w:sz="4" w:space="0"/>
            </w:tcBorders>
            <w:vAlign w:val="center"/>
          </w:tcPr>
          <w:p w14:paraId="5B438DFD">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016C0C36">
            <w:pPr>
              <w:spacing w:line="320" w:lineRule="exact"/>
              <w:jc w:val="left"/>
              <w:rPr>
                <w:color w:val="000000"/>
                <w:kern w:val="0"/>
                <w:sz w:val="18"/>
                <w:szCs w:val="18"/>
              </w:rPr>
            </w:pPr>
            <w:r>
              <w:rPr>
                <w:rFonts w:hint="eastAsia"/>
                <w:color w:val="000000"/>
                <w:kern w:val="0"/>
                <w:sz w:val="18"/>
                <w:szCs w:val="18"/>
              </w:rPr>
              <w:t>对擅自变动或者破坏市政公用设施的防灾设施、抗震抗风构件、隔震或者振动控制装置、安全监测系统、健康监测系统、应急自动处置系统以及地震反应观测系统等设施的处罚</w:t>
            </w:r>
          </w:p>
        </w:tc>
      </w:tr>
      <w:tr w14:paraId="147FD5A0">
        <w:tblPrEx>
          <w:tblCellMar>
            <w:top w:w="0" w:type="dxa"/>
            <w:left w:w="108" w:type="dxa"/>
            <w:bottom w:w="0" w:type="dxa"/>
            <w:right w:w="108" w:type="dxa"/>
          </w:tblCellMar>
        </w:tblPrEx>
        <w:trPr>
          <w:trHeight w:val="1590" w:hRule="atLeast"/>
        </w:trPr>
        <w:tc>
          <w:tcPr>
            <w:tcW w:w="1030" w:type="dxa"/>
            <w:tcBorders>
              <w:top w:val="single" w:color="auto" w:sz="4" w:space="0"/>
              <w:left w:val="single" w:color="auto" w:sz="8" w:space="0"/>
              <w:bottom w:val="single" w:color="auto" w:sz="4" w:space="0"/>
              <w:right w:val="single" w:color="auto" w:sz="4" w:space="0"/>
            </w:tcBorders>
            <w:vAlign w:val="center"/>
          </w:tcPr>
          <w:p w14:paraId="5BF9562F">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44F59ADB">
            <w:pPr>
              <w:spacing w:line="320" w:lineRule="exact"/>
              <w:ind w:firstLine="180" w:firstLineChars="100"/>
              <w:jc w:val="left"/>
              <w:rPr>
                <w:color w:val="000000"/>
                <w:kern w:val="0"/>
                <w:sz w:val="18"/>
                <w:szCs w:val="18"/>
              </w:rPr>
            </w:pPr>
            <w:r>
              <w:rPr>
                <w:rFonts w:hint="eastAsia"/>
                <w:color w:val="000000"/>
                <w:kern w:val="0"/>
                <w:sz w:val="18"/>
                <w:szCs w:val="18"/>
              </w:rPr>
              <w:t>【规章】《市政公用设施抗灾设防管理规定》（建设部令第</w:t>
            </w:r>
            <w:r>
              <w:rPr>
                <w:color w:val="000000"/>
                <w:kern w:val="0"/>
                <w:sz w:val="18"/>
                <w:szCs w:val="18"/>
              </w:rPr>
              <w:t>1</w:t>
            </w:r>
            <w:r>
              <w:rPr>
                <w:rFonts w:hint="eastAsia"/>
                <w:color w:val="000000"/>
                <w:kern w:val="0"/>
                <w:sz w:val="18"/>
                <w:szCs w:val="18"/>
              </w:rPr>
              <w:t>号）</w:t>
            </w:r>
          </w:p>
          <w:p w14:paraId="07B7E669">
            <w:pPr>
              <w:spacing w:line="320" w:lineRule="exact"/>
              <w:jc w:val="left"/>
              <w:rPr>
                <w:color w:val="000000"/>
                <w:kern w:val="0"/>
                <w:sz w:val="18"/>
                <w:szCs w:val="18"/>
              </w:rPr>
            </w:pPr>
            <w:r>
              <w:rPr>
                <w:rFonts w:hint="eastAsia"/>
                <w:color w:val="000000"/>
                <w:kern w:val="0"/>
                <w:sz w:val="18"/>
                <w:szCs w:val="18"/>
              </w:rPr>
              <w:t>第二十一条　任何单位和个人不得擅自变动或者破坏市政公用设施的防灾设施、抗震抗风构件、隔震或者振动控制装置、安全监测系统、健康监测系统、应急自动处置系统以及地震反应观测系统等设施。</w:t>
            </w:r>
          </w:p>
          <w:p w14:paraId="04DCF741">
            <w:pPr>
              <w:spacing w:line="320" w:lineRule="exact"/>
              <w:jc w:val="left"/>
              <w:rPr>
                <w:color w:val="000000"/>
                <w:kern w:val="0"/>
                <w:sz w:val="18"/>
                <w:szCs w:val="18"/>
              </w:rPr>
            </w:pPr>
            <w:r>
              <w:rPr>
                <w:rFonts w:hint="eastAsia"/>
                <w:color w:val="000000"/>
                <w:kern w:val="0"/>
                <w:sz w:val="18"/>
                <w:szCs w:val="18"/>
              </w:rPr>
              <w:t>第三十二条　违反本规定，擅自变动或者破坏市政公用设施的防灾设施、抗震抗风构件、隔震或者振动控制装置、安全监测系统、健康监测系统、应急自动处置系统以及地震反应观测系统等设施的，由县级以上地方人民政府建设主管部门责令限期改正，并对个人处以</w:t>
            </w:r>
            <w:r>
              <w:rPr>
                <w:color w:val="000000"/>
                <w:kern w:val="0"/>
                <w:sz w:val="18"/>
                <w:szCs w:val="18"/>
              </w:rPr>
              <w:t>1000</w:t>
            </w:r>
            <w:r>
              <w:rPr>
                <w:rFonts w:hint="eastAsia"/>
                <w:color w:val="000000"/>
                <w:kern w:val="0"/>
                <w:sz w:val="18"/>
                <w:szCs w:val="18"/>
              </w:rPr>
              <w:t>元以下罚款，对单位处以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4D845A71">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4A8C9F54">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0EDAF64C">
            <w:pPr>
              <w:spacing w:line="320" w:lineRule="exact"/>
              <w:jc w:val="left"/>
              <w:rPr>
                <w:color w:val="000000"/>
                <w:kern w:val="0"/>
                <w:sz w:val="18"/>
                <w:szCs w:val="18"/>
              </w:rPr>
            </w:pPr>
            <w:r>
              <w:rPr>
                <w:rFonts w:hint="eastAsia"/>
                <w:color w:val="000000"/>
                <w:kern w:val="0"/>
                <w:sz w:val="18"/>
                <w:szCs w:val="18"/>
              </w:rPr>
              <w:t>责令限期改正，罚款</w:t>
            </w:r>
          </w:p>
        </w:tc>
      </w:tr>
      <w:tr w14:paraId="2A6F07A9">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3061145E">
            <w:pPr>
              <w:spacing w:line="320" w:lineRule="exact"/>
              <w:jc w:val="center"/>
              <w:rPr>
                <w:color w:val="000000"/>
                <w:kern w:val="0"/>
                <w:sz w:val="18"/>
                <w:szCs w:val="18"/>
              </w:rPr>
            </w:pPr>
            <w:r>
              <w:rPr>
                <w:rFonts w:hint="eastAsia"/>
                <w:color w:val="000000"/>
                <w:kern w:val="0"/>
                <w:sz w:val="18"/>
                <w:szCs w:val="18"/>
              </w:rPr>
              <w:t>裁量基准</w:t>
            </w:r>
          </w:p>
        </w:tc>
      </w:tr>
      <w:tr w14:paraId="61FAF985">
        <w:tblPrEx>
          <w:tblCellMar>
            <w:top w:w="0" w:type="dxa"/>
            <w:left w:w="108" w:type="dxa"/>
            <w:bottom w:w="0" w:type="dxa"/>
            <w:right w:w="108" w:type="dxa"/>
          </w:tblCellMar>
        </w:tblPrEx>
        <w:trPr>
          <w:trHeight w:val="480" w:hRule="atLeast"/>
        </w:trPr>
        <w:tc>
          <w:tcPr>
            <w:tcW w:w="1030" w:type="dxa"/>
            <w:vMerge w:val="restart"/>
            <w:tcBorders>
              <w:top w:val="single" w:color="auto" w:sz="4" w:space="0"/>
              <w:left w:val="single" w:color="auto" w:sz="8" w:space="0"/>
              <w:bottom w:val="single" w:color="auto" w:sz="4" w:space="0"/>
              <w:right w:val="single" w:color="auto" w:sz="4" w:space="0"/>
            </w:tcBorders>
            <w:vAlign w:val="center"/>
          </w:tcPr>
          <w:p w14:paraId="3831DCA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3D41F2DC">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1EBEC4A1">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3BC9CEF9">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1C076002">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元以下罚款</w:t>
            </w:r>
          </w:p>
        </w:tc>
      </w:tr>
      <w:tr w14:paraId="4F716665">
        <w:tblPrEx>
          <w:tblCellMar>
            <w:top w:w="0" w:type="dxa"/>
            <w:left w:w="108" w:type="dxa"/>
            <w:bottom w:w="0" w:type="dxa"/>
            <w:right w:w="108" w:type="dxa"/>
          </w:tblCellMar>
        </w:tblPrEx>
        <w:trPr>
          <w:trHeight w:val="480" w:hRule="atLeast"/>
        </w:trPr>
        <w:tc>
          <w:tcPr>
            <w:tcW w:w="1030" w:type="dxa"/>
            <w:vMerge w:val="continue"/>
            <w:tcBorders>
              <w:top w:val="single" w:color="auto" w:sz="4" w:space="0"/>
              <w:left w:val="single" w:color="auto" w:sz="8" w:space="0"/>
              <w:bottom w:val="single" w:color="auto" w:sz="8" w:space="0"/>
              <w:right w:val="single" w:color="auto" w:sz="4" w:space="0"/>
            </w:tcBorders>
            <w:vAlign w:val="center"/>
          </w:tcPr>
          <w:p w14:paraId="07E8B30D">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44254872">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val="continue"/>
            <w:tcBorders>
              <w:top w:val="single" w:color="auto" w:sz="4" w:space="0"/>
              <w:left w:val="single" w:color="auto" w:sz="4" w:space="0"/>
              <w:bottom w:val="single" w:color="auto" w:sz="8" w:space="0"/>
              <w:right w:val="single" w:color="auto" w:sz="4" w:space="0"/>
            </w:tcBorders>
            <w:vAlign w:val="center"/>
          </w:tcPr>
          <w:p w14:paraId="35F260A8">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4757ED8C">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360CDF66">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0D472E3B"/>
    <w:p w14:paraId="356CEF24"/>
    <w:p w14:paraId="21B8626C"/>
    <w:p w14:paraId="56EF1451"/>
    <w:p w14:paraId="246C83F0"/>
    <w:p w14:paraId="76F1EA01"/>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0FF50160">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6760903C">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1FFB6C04">
            <w:pPr>
              <w:jc w:val="left"/>
              <w:textAlignment w:val="center"/>
              <w:rPr>
                <w:rFonts w:eastAsia="仿宋_GB2312"/>
                <w:b/>
                <w:bCs/>
                <w:color w:val="000000"/>
                <w:kern w:val="0"/>
                <w:sz w:val="18"/>
                <w:szCs w:val="18"/>
              </w:rPr>
            </w:pPr>
            <w:r>
              <w:rPr>
                <w:rFonts w:eastAsia="仿宋_GB2312"/>
                <w:b/>
                <w:color w:val="000000"/>
                <w:kern w:val="0"/>
                <w:sz w:val="20"/>
              </w:rPr>
              <w:t>320217058000</w:t>
            </w:r>
          </w:p>
        </w:tc>
      </w:tr>
      <w:tr w14:paraId="585BD9F2">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18209097">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0171EDA4">
            <w:pPr>
              <w:spacing w:line="320" w:lineRule="exact"/>
              <w:jc w:val="left"/>
              <w:rPr>
                <w:color w:val="000000"/>
                <w:kern w:val="0"/>
                <w:sz w:val="18"/>
                <w:szCs w:val="18"/>
              </w:rPr>
            </w:pPr>
            <w:r>
              <w:rPr>
                <w:rFonts w:hint="eastAsia"/>
                <w:color w:val="000000"/>
                <w:kern w:val="0"/>
                <w:sz w:val="18"/>
                <w:szCs w:val="18"/>
              </w:rPr>
              <w:t>对经鉴定不符合抗震要求的市政公用设施未进行改造、改建或者抗震加固，又未限制使用的处罚</w:t>
            </w:r>
          </w:p>
        </w:tc>
      </w:tr>
      <w:tr w14:paraId="41E30DED">
        <w:tblPrEx>
          <w:tblCellMar>
            <w:top w:w="0" w:type="dxa"/>
            <w:left w:w="108" w:type="dxa"/>
            <w:bottom w:w="0" w:type="dxa"/>
            <w:right w:w="108" w:type="dxa"/>
          </w:tblCellMar>
        </w:tblPrEx>
        <w:trPr>
          <w:trHeight w:val="1290" w:hRule="atLeast"/>
        </w:trPr>
        <w:tc>
          <w:tcPr>
            <w:tcW w:w="1030" w:type="dxa"/>
            <w:tcBorders>
              <w:top w:val="single" w:color="auto" w:sz="4" w:space="0"/>
              <w:left w:val="single" w:color="auto" w:sz="8" w:space="0"/>
              <w:bottom w:val="single" w:color="auto" w:sz="4" w:space="0"/>
              <w:right w:val="single" w:color="auto" w:sz="4" w:space="0"/>
            </w:tcBorders>
            <w:vAlign w:val="center"/>
          </w:tcPr>
          <w:p w14:paraId="0CC6F1BE">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4EC590F2">
            <w:pPr>
              <w:spacing w:line="320" w:lineRule="exact"/>
              <w:ind w:firstLine="180" w:firstLineChars="100"/>
              <w:jc w:val="left"/>
              <w:rPr>
                <w:color w:val="000000"/>
                <w:kern w:val="0"/>
                <w:sz w:val="18"/>
                <w:szCs w:val="18"/>
              </w:rPr>
            </w:pPr>
            <w:r>
              <w:rPr>
                <w:rFonts w:hint="eastAsia"/>
                <w:color w:val="000000"/>
                <w:kern w:val="0"/>
                <w:sz w:val="18"/>
                <w:szCs w:val="18"/>
              </w:rPr>
              <w:t>【规章】《市政公用设施抗灾设防管理规定》（建设部令第</w:t>
            </w:r>
            <w:r>
              <w:rPr>
                <w:color w:val="000000"/>
                <w:kern w:val="0"/>
                <w:sz w:val="18"/>
                <w:szCs w:val="18"/>
              </w:rPr>
              <w:t>1</w:t>
            </w:r>
            <w:r>
              <w:rPr>
                <w:rFonts w:hint="eastAsia"/>
                <w:color w:val="000000"/>
                <w:kern w:val="0"/>
                <w:sz w:val="18"/>
                <w:szCs w:val="18"/>
              </w:rPr>
              <w:t>号）</w:t>
            </w:r>
          </w:p>
          <w:p w14:paraId="58455C78">
            <w:pPr>
              <w:spacing w:line="320" w:lineRule="exact"/>
              <w:jc w:val="left"/>
              <w:rPr>
                <w:color w:val="000000"/>
                <w:kern w:val="0"/>
                <w:sz w:val="18"/>
                <w:szCs w:val="18"/>
              </w:rPr>
            </w:pPr>
            <w:r>
              <w:rPr>
                <w:rFonts w:hint="eastAsia"/>
                <w:color w:val="000000"/>
                <w:kern w:val="0"/>
                <w:sz w:val="18"/>
                <w:szCs w:val="18"/>
              </w:rPr>
              <w:t>第二十四条第二款</w:t>
            </w:r>
            <w:r>
              <w:rPr>
                <w:color w:val="000000"/>
                <w:kern w:val="0"/>
                <w:sz w:val="18"/>
                <w:szCs w:val="18"/>
              </w:rPr>
              <w:t xml:space="preserve">  </w:t>
            </w:r>
            <w:r>
              <w:rPr>
                <w:rFonts w:hint="eastAsia"/>
                <w:color w:val="000000"/>
                <w:kern w:val="0"/>
                <w:sz w:val="18"/>
                <w:szCs w:val="18"/>
              </w:rPr>
              <w:t>经鉴定不符合抗震要求的市政公用设施应当进行改造、改建，或者由具有相应资质的设计、施工单位按照有关工程建设标准依法进行抗震加固设计与施工；未进行改造、改建或者加固前，应当限制使用。</w:t>
            </w:r>
          </w:p>
          <w:p w14:paraId="1D512D0F">
            <w:pPr>
              <w:spacing w:line="320" w:lineRule="exact"/>
              <w:jc w:val="left"/>
              <w:rPr>
                <w:color w:val="000000"/>
                <w:kern w:val="0"/>
                <w:sz w:val="18"/>
                <w:szCs w:val="18"/>
              </w:rPr>
            </w:pPr>
            <w:r>
              <w:rPr>
                <w:rFonts w:hint="eastAsia"/>
                <w:color w:val="000000"/>
                <w:kern w:val="0"/>
                <w:sz w:val="18"/>
                <w:szCs w:val="18"/>
              </w:rPr>
              <w:t>第三十三条　违反本规定，未对经鉴定不符合抗震要求的市政公用设施进行改造、改建或者抗震加固，又未限制使用的，由县级以上地方人民政府建设主管部门责令限期改正，逾期不改的，处以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346F026E">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37A5A293">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60E2A039">
            <w:pPr>
              <w:spacing w:line="320" w:lineRule="exact"/>
              <w:jc w:val="left"/>
              <w:rPr>
                <w:color w:val="000000"/>
                <w:kern w:val="0"/>
                <w:sz w:val="18"/>
                <w:szCs w:val="18"/>
              </w:rPr>
            </w:pPr>
            <w:r>
              <w:rPr>
                <w:rFonts w:hint="eastAsia"/>
                <w:color w:val="000000"/>
                <w:kern w:val="0"/>
                <w:sz w:val="18"/>
                <w:szCs w:val="18"/>
              </w:rPr>
              <w:t>责令限期改正，罚款</w:t>
            </w:r>
          </w:p>
        </w:tc>
      </w:tr>
      <w:tr w14:paraId="5C81C4FE">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274B70A8">
            <w:pPr>
              <w:spacing w:line="320" w:lineRule="exact"/>
              <w:jc w:val="center"/>
              <w:rPr>
                <w:color w:val="000000"/>
                <w:kern w:val="0"/>
                <w:sz w:val="18"/>
                <w:szCs w:val="18"/>
              </w:rPr>
            </w:pPr>
            <w:r>
              <w:rPr>
                <w:rFonts w:hint="eastAsia"/>
                <w:color w:val="000000"/>
                <w:kern w:val="0"/>
                <w:sz w:val="18"/>
                <w:szCs w:val="18"/>
              </w:rPr>
              <w:t>裁量基准</w:t>
            </w:r>
          </w:p>
        </w:tc>
      </w:tr>
      <w:tr w14:paraId="0E8A36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331BBCA9">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46BA9010">
            <w:pPr>
              <w:spacing w:line="320" w:lineRule="exact"/>
              <w:jc w:val="left"/>
              <w:rPr>
                <w:color w:val="000000"/>
                <w:kern w:val="0"/>
                <w:sz w:val="18"/>
                <w:szCs w:val="18"/>
              </w:rPr>
            </w:pPr>
            <w:r>
              <w:rPr>
                <w:rFonts w:hint="eastAsia"/>
                <w:color w:val="000000"/>
                <w:kern w:val="0"/>
                <w:sz w:val="18"/>
                <w:szCs w:val="18"/>
              </w:rPr>
              <w:t>逾期不改未发生安全事故的</w:t>
            </w:r>
          </w:p>
        </w:tc>
        <w:tc>
          <w:tcPr>
            <w:tcW w:w="1080" w:type="dxa"/>
            <w:vMerge w:val="restart"/>
            <w:vAlign w:val="center"/>
          </w:tcPr>
          <w:p w14:paraId="2A1E8369">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086AA760">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74A512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tcBorders>
              <w:bottom w:val="single" w:color="auto" w:sz="8" w:space="0"/>
            </w:tcBorders>
            <w:vAlign w:val="center"/>
          </w:tcPr>
          <w:p w14:paraId="5998CBAE">
            <w:pPr>
              <w:spacing w:line="320" w:lineRule="exact"/>
              <w:jc w:val="left"/>
              <w:rPr>
                <w:color w:val="000000"/>
                <w:kern w:val="0"/>
                <w:sz w:val="18"/>
                <w:szCs w:val="18"/>
              </w:rPr>
            </w:pPr>
          </w:p>
        </w:tc>
        <w:tc>
          <w:tcPr>
            <w:tcW w:w="6140" w:type="dxa"/>
            <w:tcBorders>
              <w:bottom w:val="single" w:color="auto" w:sz="8" w:space="0"/>
            </w:tcBorders>
            <w:vAlign w:val="center"/>
          </w:tcPr>
          <w:p w14:paraId="438F065C">
            <w:pPr>
              <w:spacing w:line="320" w:lineRule="exact"/>
              <w:jc w:val="left"/>
              <w:rPr>
                <w:color w:val="000000"/>
                <w:kern w:val="0"/>
                <w:sz w:val="18"/>
                <w:szCs w:val="18"/>
              </w:rPr>
            </w:pPr>
            <w:r>
              <w:rPr>
                <w:rFonts w:hint="eastAsia"/>
                <w:color w:val="000000"/>
                <w:kern w:val="0"/>
                <w:sz w:val="18"/>
                <w:szCs w:val="18"/>
              </w:rPr>
              <w:t>逾期不改发生安全事故的</w:t>
            </w:r>
          </w:p>
        </w:tc>
        <w:tc>
          <w:tcPr>
            <w:tcW w:w="1080" w:type="dxa"/>
            <w:vMerge w:val="continue"/>
            <w:tcBorders>
              <w:bottom w:val="single" w:color="auto" w:sz="8" w:space="0"/>
            </w:tcBorders>
            <w:vAlign w:val="center"/>
          </w:tcPr>
          <w:p w14:paraId="2EA5D2EA">
            <w:pPr>
              <w:spacing w:line="320" w:lineRule="exact"/>
              <w:jc w:val="left"/>
              <w:rPr>
                <w:color w:val="000000"/>
                <w:kern w:val="0"/>
                <w:sz w:val="18"/>
                <w:szCs w:val="18"/>
              </w:rPr>
            </w:pPr>
          </w:p>
        </w:tc>
        <w:tc>
          <w:tcPr>
            <w:tcW w:w="5820" w:type="dxa"/>
            <w:tcBorders>
              <w:bottom w:val="single" w:color="auto" w:sz="8" w:space="0"/>
            </w:tcBorders>
            <w:vAlign w:val="center"/>
          </w:tcPr>
          <w:p w14:paraId="29B9ECE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4473816F"/>
    <w:tbl>
      <w:tblPr>
        <w:tblStyle w:val="15"/>
        <w:tblW w:w="0" w:type="auto"/>
        <w:tblInd w:w="88" w:type="dxa"/>
        <w:tblLayout w:type="fixed"/>
        <w:tblCellMar>
          <w:top w:w="0" w:type="dxa"/>
          <w:left w:w="108" w:type="dxa"/>
          <w:bottom w:w="0" w:type="dxa"/>
          <w:right w:w="108" w:type="dxa"/>
        </w:tblCellMar>
      </w:tblPr>
      <w:tblGrid>
        <w:gridCol w:w="1010"/>
        <w:gridCol w:w="6376"/>
        <w:gridCol w:w="1016"/>
        <w:gridCol w:w="5652"/>
      </w:tblGrid>
      <w:tr w14:paraId="08FC0933">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290695E">
            <w:pPr>
              <w:spacing w:line="320" w:lineRule="exact"/>
              <w:jc w:val="center"/>
              <w:rPr>
                <w:color w:val="000000"/>
                <w:kern w:val="0"/>
                <w:sz w:val="18"/>
                <w:szCs w:val="18"/>
              </w:rPr>
            </w:pPr>
            <w:r>
              <w:rPr>
                <w:rFonts w:hint="eastAsia"/>
                <w:color w:val="000000"/>
                <w:kern w:val="0"/>
                <w:sz w:val="18"/>
                <w:szCs w:val="18"/>
              </w:rPr>
              <w:t>编号</w:t>
            </w:r>
          </w:p>
        </w:tc>
        <w:tc>
          <w:tcPr>
            <w:tcW w:w="13044" w:type="dxa"/>
            <w:gridSpan w:val="3"/>
            <w:tcBorders>
              <w:top w:val="single" w:color="auto" w:sz="8" w:space="0"/>
              <w:left w:val="nil"/>
              <w:bottom w:val="single" w:color="auto" w:sz="4" w:space="0"/>
              <w:right w:val="single" w:color="000000" w:sz="8" w:space="0"/>
            </w:tcBorders>
            <w:vAlign w:val="center"/>
          </w:tcPr>
          <w:p w14:paraId="166D3F3A">
            <w:pPr>
              <w:spacing w:line="320" w:lineRule="exact"/>
              <w:jc w:val="left"/>
              <w:rPr>
                <w:rFonts w:eastAsia="仿宋_GB2312"/>
                <w:b/>
                <w:bCs/>
                <w:color w:val="000000"/>
                <w:kern w:val="0"/>
                <w:sz w:val="18"/>
                <w:szCs w:val="18"/>
              </w:rPr>
            </w:pPr>
            <w:r>
              <w:rPr>
                <w:rFonts w:eastAsia="仿宋_GB2312"/>
                <w:b/>
                <w:bCs/>
                <w:color w:val="000000"/>
                <w:kern w:val="0"/>
                <w:sz w:val="18"/>
                <w:szCs w:val="18"/>
              </w:rPr>
              <w:t>320217059000</w:t>
            </w:r>
            <w:r>
              <w:rPr>
                <w:rFonts w:hint="eastAsia" w:eastAsia="仿宋_GB2312"/>
                <w:b/>
                <w:bCs/>
                <w:color w:val="000000"/>
                <w:kern w:val="0"/>
                <w:sz w:val="18"/>
                <w:szCs w:val="18"/>
              </w:rPr>
              <w:t xml:space="preserve"> </w:t>
            </w:r>
          </w:p>
        </w:tc>
      </w:tr>
      <w:tr w14:paraId="30B4508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65C5DD4">
            <w:pPr>
              <w:spacing w:line="320" w:lineRule="exact"/>
              <w:jc w:val="center"/>
              <w:rPr>
                <w:color w:val="000000"/>
                <w:kern w:val="0"/>
                <w:sz w:val="18"/>
                <w:szCs w:val="18"/>
              </w:rPr>
            </w:pPr>
            <w:r>
              <w:rPr>
                <w:rFonts w:hint="eastAsia"/>
                <w:color w:val="000000"/>
                <w:kern w:val="0"/>
                <w:sz w:val="18"/>
                <w:szCs w:val="18"/>
              </w:rPr>
              <w:t>行为名称</w:t>
            </w:r>
          </w:p>
        </w:tc>
        <w:tc>
          <w:tcPr>
            <w:tcW w:w="13044" w:type="dxa"/>
            <w:gridSpan w:val="3"/>
            <w:tcBorders>
              <w:top w:val="single" w:color="auto" w:sz="4" w:space="0"/>
              <w:left w:val="nil"/>
              <w:bottom w:val="single" w:color="auto" w:sz="4" w:space="0"/>
              <w:right w:val="single" w:color="000000" w:sz="8" w:space="0"/>
            </w:tcBorders>
            <w:vAlign w:val="center"/>
          </w:tcPr>
          <w:p w14:paraId="4CC24147">
            <w:pPr>
              <w:spacing w:line="320" w:lineRule="exact"/>
              <w:jc w:val="left"/>
              <w:rPr>
                <w:color w:val="000000"/>
                <w:kern w:val="0"/>
                <w:sz w:val="18"/>
                <w:szCs w:val="18"/>
              </w:rPr>
            </w:pPr>
            <w:r>
              <w:rPr>
                <w:rFonts w:hint="eastAsia"/>
                <w:color w:val="000000"/>
                <w:kern w:val="0"/>
                <w:sz w:val="18"/>
                <w:szCs w:val="18"/>
              </w:rPr>
              <w:t>对未经城市人民政府市容环境卫生行政主管部门同意，擅自设置大型户外广告，影响市容的处罚</w:t>
            </w:r>
          </w:p>
        </w:tc>
      </w:tr>
      <w:tr w14:paraId="45598EBE">
        <w:tblPrEx>
          <w:tblCellMar>
            <w:top w:w="0" w:type="dxa"/>
            <w:left w:w="108" w:type="dxa"/>
            <w:bottom w:w="0" w:type="dxa"/>
            <w:right w:w="108" w:type="dxa"/>
          </w:tblCellMar>
        </w:tblPrEx>
        <w:trPr>
          <w:trHeight w:val="1620" w:hRule="atLeast"/>
        </w:trPr>
        <w:tc>
          <w:tcPr>
            <w:tcW w:w="1010" w:type="dxa"/>
            <w:tcBorders>
              <w:top w:val="nil"/>
              <w:left w:val="single" w:color="auto" w:sz="8" w:space="0"/>
              <w:bottom w:val="single" w:color="auto" w:sz="4" w:space="0"/>
              <w:right w:val="single" w:color="auto" w:sz="4" w:space="0"/>
            </w:tcBorders>
            <w:vAlign w:val="center"/>
          </w:tcPr>
          <w:p w14:paraId="14764FAE">
            <w:pPr>
              <w:spacing w:line="320" w:lineRule="exact"/>
              <w:jc w:val="center"/>
              <w:rPr>
                <w:color w:val="000000"/>
                <w:kern w:val="0"/>
                <w:sz w:val="18"/>
                <w:szCs w:val="18"/>
              </w:rPr>
            </w:pPr>
            <w:r>
              <w:rPr>
                <w:rFonts w:hint="eastAsia"/>
                <w:color w:val="000000"/>
                <w:kern w:val="0"/>
                <w:sz w:val="18"/>
                <w:szCs w:val="18"/>
              </w:rPr>
              <w:t>法律依据</w:t>
            </w:r>
          </w:p>
        </w:tc>
        <w:tc>
          <w:tcPr>
            <w:tcW w:w="13044" w:type="dxa"/>
            <w:gridSpan w:val="3"/>
            <w:tcBorders>
              <w:top w:val="single" w:color="auto" w:sz="4" w:space="0"/>
              <w:left w:val="nil"/>
              <w:bottom w:val="single" w:color="auto" w:sz="4" w:space="0"/>
              <w:right w:val="single" w:color="000000" w:sz="8" w:space="0"/>
            </w:tcBorders>
            <w:vAlign w:val="center"/>
          </w:tcPr>
          <w:p w14:paraId="582D4F09">
            <w:pPr>
              <w:spacing w:line="320" w:lineRule="exact"/>
              <w:jc w:val="left"/>
              <w:rPr>
                <w:color w:val="000000"/>
                <w:kern w:val="0"/>
                <w:sz w:val="18"/>
                <w:szCs w:val="18"/>
              </w:rPr>
            </w:pPr>
            <w:r>
              <w:rPr>
                <w:rFonts w:hint="eastAsia"/>
                <w:color w:val="000000"/>
                <w:kern w:val="0"/>
                <w:sz w:val="18"/>
                <w:szCs w:val="18"/>
              </w:rPr>
              <w:t>【行政法规】《城市市容和环境卫生管理条例》（国务院令第101号）</w:t>
            </w:r>
          </w:p>
          <w:p w14:paraId="256FE401">
            <w:pPr>
              <w:spacing w:line="320" w:lineRule="exact"/>
              <w:jc w:val="left"/>
              <w:rPr>
                <w:color w:val="000000"/>
                <w:kern w:val="0"/>
                <w:sz w:val="18"/>
                <w:szCs w:val="18"/>
              </w:rPr>
            </w:pPr>
            <w:r>
              <w:rPr>
                <w:rFonts w:hint="eastAsia"/>
                <w:color w:val="000000"/>
                <w:kern w:val="0"/>
                <w:sz w:val="18"/>
                <w:szCs w:val="18"/>
              </w:rPr>
              <w:t xml:space="preserve">    第十一条第二款  大型户外广告的设置必须征得城市人民政府市容环境卫生行政主管部门同意后，按照有关规定办理审批手续。 　</w:t>
            </w:r>
          </w:p>
          <w:p w14:paraId="6C0FD341">
            <w:pPr>
              <w:spacing w:line="320" w:lineRule="exact"/>
              <w:jc w:val="left"/>
              <w:rPr>
                <w:color w:val="000000"/>
                <w:kern w:val="0"/>
                <w:sz w:val="18"/>
                <w:szCs w:val="18"/>
              </w:rPr>
            </w:pPr>
            <w:r>
              <w:rPr>
                <w:rFonts w:hint="eastAsia"/>
                <w:color w:val="000000"/>
                <w:kern w:val="0"/>
                <w:sz w:val="18"/>
                <w:szCs w:val="18"/>
              </w:rPr>
              <w:t xml:space="preserve">    第三十六条　有下列行为之一者，由城市人民政府市容环境卫生行政主管部门或者其委托的单位责令其停止违法行为，限期清理、拆除或者采取其他补救措施，并可处以罚款：</w:t>
            </w:r>
          </w:p>
          <w:p w14:paraId="32723E42">
            <w:pPr>
              <w:spacing w:line="320" w:lineRule="exact"/>
              <w:jc w:val="left"/>
              <w:rPr>
                <w:color w:val="000000"/>
                <w:kern w:val="0"/>
                <w:sz w:val="18"/>
                <w:szCs w:val="18"/>
              </w:rPr>
            </w:pPr>
            <w:r>
              <w:rPr>
                <w:rFonts w:hint="eastAsia"/>
                <w:color w:val="000000"/>
                <w:kern w:val="0"/>
                <w:sz w:val="18"/>
                <w:szCs w:val="18"/>
              </w:rPr>
              <w:t>　　（一）未经城市人民政府市容环境卫生行政主管部门同意，擅自设置大型户外广告，影响市容的；</w:t>
            </w:r>
          </w:p>
        </w:tc>
      </w:tr>
      <w:tr w14:paraId="0432BE4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E01E822">
            <w:pPr>
              <w:spacing w:line="320" w:lineRule="exact"/>
              <w:jc w:val="center"/>
              <w:rPr>
                <w:color w:val="000000"/>
                <w:kern w:val="0"/>
                <w:sz w:val="18"/>
                <w:szCs w:val="18"/>
              </w:rPr>
            </w:pPr>
            <w:r>
              <w:rPr>
                <w:rFonts w:hint="eastAsia"/>
                <w:color w:val="000000"/>
                <w:kern w:val="0"/>
                <w:sz w:val="18"/>
                <w:szCs w:val="18"/>
              </w:rPr>
              <w:t>行使内容</w:t>
            </w:r>
          </w:p>
        </w:tc>
        <w:tc>
          <w:tcPr>
            <w:tcW w:w="13044" w:type="dxa"/>
            <w:gridSpan w:val="3"/>
            <w:tcBorders>
              <w:top w:val="single" w:color="auto" w:sz="4" w:space="0"/>
              <w:left w:val="nil"/>
              <w:bottom w:val="single" w:color="auto" w:sz="4" w:space="0"/>
              <w:right w:val="single" w:color="000000" w:sz="8" w:space="0"/>
            </w:tcBorders>
            <w:vAlign w:val="center"/>
          </w:tcPr>
          <w:p w14:paraId="363C3DE7">
            <w:pPr>
              <w:spacing w:line="320" w:lineRule="exact"/>
              <w:jc w:val="left"/>
              <w:rPr>
                <w:color w:val="000000"/>
                <w:kern w:val="0"/>
                <w:sz w:val="18"/>
                <w:szCs w:val="18"/>
              </w:rPr>
            </w:pPr>
            <w:r>
              <w:rPr>
                <w:rFonts w:hint="eastAsia"/>
                <w:color w:val="000000"/>
                <w:kern w:val="0"/>
                <w:sz w:val="18"/>
                <w:szCs w:val="18"/>
              </w:rPr>
              <w:t>罚款</w:t>
            </w:r>
          </w:p>
        </w:tc>
      </w:tr>
      <w:tr w14:paraId="6C179082">
        <w:tblPrEx>
          <w:tblCellMar>
            <w:top w:w="0" w:type="dxa"/>
            <w:left w:w="108" w:type="dxa"/>
            <w:bottom w:w="0" w:type="dxa"/>
            <w:right w:w="108" w:type="dxa"/>
          </w:tblCellMar>
        </w:tblPrEx>
        <w:trPr>
          <w:trHeight w:val="285" w:hRule="atLeast"/>
        </w:trPr>
        <w:tc>
          <w:tcPr>
            <w:tcW w:w="14054" w:type="dxa"/>
            <w:gridSpan w:val="4"/>
            <w:tcBorders>
              <w:top w:val="single" w:color="auto" w:sz="4" w:space="0"/>
              <w:left w:val="single" w:color="auto" w:sz="8" w:space="0"/>
              <w:bottom w:val="single" w:color="auto" w:sz="4" w:space="0"/>
              <w:right w:val="single" w:color="000000" w:sz="8" w:space="0"/>
            </w:tcBorders>
            <w:vAlign w:val="center"/>
          </w:tcPr>
          <w:p w14:paraId="63BBE982">
            <w:pPr>
              <w:spacing w:line="320" w:lineRule="exact"/>
              <w:jc w:val="center"/>
              <w:rPr>
                <w:color w:val="000000"/>
                <w:kern w:val="0"/>
                <w:sz w:val="18"/>
                <w:szCs w:val="18"/>
              </w:rPr>
            </w:pPr>
            <w:r>
              <w:rPr>
                <w:rFonts w:hint="eastAsia"/>
                <w:color w:val="000000"/>
                <w:kern w:val="0"/>
                <w:sz w:val="18"/>
                <w:szCs w:val="18"/>
              </w:rPr>
              <w:t>裁量基准</w:t>
            </w:r>
          </w:p>
        </w:tc>
      </w:tr>
      <w:tr w14:paraId="6470F301">
        <w:tblPrEx>
          <w:tblCellMar>
            <w:top w:w="0" w:type="dxa"/>
            <w:left w:w="108" w:type="dxa"/>
            <w:bottom w:w="0" w:type="dxa"/>
            <w:right w:w="108" w:type="dxa"/>
          </w:tblCellMar>
        </w:tblPrEx>
        <w:trPr>
          <w:trHeight w:val="980" w:hRule="atLeast"/>
        </w:trPr>
        <w:tc>
          <w:tcPr>
            <w:tcW w:w="1010" w:type="dxa"/>
            <w:tcBorders>
              <w:top w:val="single" w:color="auto" w:sz="4" w:space="0"/>
              <w:left w:val="single" w:color="auto" w:sz="4" w:space="0"/>
              <w:bottom w:val="single" w:color="auto" w:sz="4" w:space="0"/>
              <w:right w:val="single" w:color="auto" w:sz="4" w:space="0"/>
            </w:tcBorders>
            <w:vAlign w:val="center"/>
          </w:tcPr>
          <w:p w14:paraId="7B24D729">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547C4691">
            <w:pPr>
              <w:spacing w:line="320" w:lineRule="exact"/>
              <w:jc w:val="left"/>
              <w:rPr>
                <w:color w:val="000000"/>
                <w:kern w:val="0"/>
                <w:sz w:val="18"/>
                <w:szCs w:val="18"/>
              </w:rPr>
            </w:pPr>
          </w:p>
        </w:tc>
        <w:tc>
          <w:tcPr>
            <w:tcW w:w="1016" w:type="dxa"/>
            <w:tcBorders>
              <w:top w:val="single" w:color="auto" w:sz="4" w:space="0"/>
              <w:left w:val="single" w:color="auto" w:sz="4" w:space="0"/>
              <w:bottom w:val="single" w:color="auto" w:sz="4" w:space="0"/>
              <w:right w:val="single" w:color="auto" w:sz="4" w:space="0"/>
            </w:tcBorders>
            <w:vAlign w:val="center"/>
          </w:tcPr>
          <w:p w14:paraId="4FFE278D">
            <w:pPr>
              <w:spacing w:line="320" w:lineRule="exact"/>
              <w:jc w:val="center"/>
              <w:rPr>
                <w:color w:val="000000"/>
                <w:kern w:val="0"/>
                <w:sz w:val="18"/>
                <w:szCs w:val="18"/>
              </w:rPr>
            </w:pPr>
            <w:r>
              <w:rPr>
                <w:rFonts w:hint="eastAsia"/>
                <w:color w:val="000000"/>
                <w:kern w:val="0"/>
                <w:sz w:val="18"/>
                <w:szCs w:val="18"/>
              </w:rPr>
              <w:t>裁量幅度</w:t>
            </w:r>
          </w:p>
        </w:tc>
        <w:tc>
          <w:tcPr>
            <w:tcW w:w="5652" w:type="dxa"/>
            <w:tcBorders>
              <w:top w:val="single" w:color="auto" w:sz="4" w:space="0"/>
              <w:left w:val="nil"/>
              <w:bottom w:val="single" w:color="auto" w:sz="4" w:space="0"/>
              <w:right w:val="single" w:color="auto" w:sz="4" w:space="0"/>
            </w:tcBorders>
            <w:vAlign w:val="center"/>
          </w:tcPr>
          <w:p w14:paraId="376B6086">
            <w:pPr>
              <w:spacing w:line="320" w:lineRule="exact"/>
              <w:jc w:val="left"/>
              <w:rPr>
                <w:color w:val="000000"/>
                <w:kern w:val="0"/>
                <w:sz w:val="18"/>
                <w:szCs w:val="18"/>
              </w:rPr>
            </w:pPr>
          </w:p>
        </w:tc>
      </w:tr>
    </w:tbl>
    <w:p w14:paraId="7C02C575"/>
    <w:p w14:paraId="5829E85D"/>
    <w:tbl>
      <w:tblPr>
        <w:tblStyle w:val="15"/>
        <w:tblW w:w="0" w:type="auto"/>
        <w:tblInd w:w="7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28ABC3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tcBorders>
              <w:top w:val="single" w:color="auto" w:sz="8" w:space="0"/>
            </w:tcBorders>
            <w:vAlign w:val="center"/>
          </w:tcPr>
          <w:p w14:paraId="3854F91A">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tcBorders>
            <w:vAlign w:val="center"/>
          </w:tcPr>
          <w:p w14:paraId="36BB6EBE">
            <w:pPr>
              <w:jc w:val="left"/>
              <w:textAlignment w:val="center"/>
              <w:rPr>
                <w:rFonts w:eastAsia="仿宋_GB2312"/>
                <w:b/>
                <w:bCs/>
                <w:color w:val="000000"/>
                <w:kern w:val="0"/>
                <w:sz w:val="18"/>
                <w:szCs w:val="18"/>
              </w:rPr>
            </w:pPr>
            <w:r>
              <w:rPr>
                <w:rFonts w:eastAsia="仿宋_GB2312"/>
                <w:b/>
                <w:color w:val="000000"/>
                <w:kern w:val="0"/>
                <w:sz w:val="20"/>
              </w:rPr>
              <w:t>320217060000</w:t>
            </w:r>
          </w:p>
        </w:tc>
      </w:tr>
      <w:tr w14:paraId="3111A9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669FB4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53CAD47D">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对房屋建筑和市政基础设施工程施工图设计文件审查机构超出认定的范围从事施工图审查的处罚</w:t>
            </w:r>
          </w:p>
        </w:tc>
      </w:tr>
      <w:tr w14:paraId="72239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1030" w:type="dxa"/>
            <w:vAlign w:val="center"/>
          </w:tcPr>
          <w:p w14:paraId="25CCD513">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64F80055">
            <w:pPr>
              <w:spacing w:line="320" w:lineRule="exact"/>
              <w:ind w:firstLine="180" w:firstLineChars="10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14:paraId="5686DDF0">
            <w:pPr>
              <w:spacing w:line="320" w:lineRule="exact"/>
              <w:jc w:val="left"/>
              <w:rPr>
                <w:color w:val="000000"/>
                <w:kern w:val="0"/>
                <w:sz w:val="18"/>
                <w:szCs w:val="18"/>
              </w:rPr>
            </w:pPr>
            <w:r>
              <w:rPr>
                <w:rFonts w:hint="eastAsia"/>
                <w:color w:val="000000"/>
                <w:kern w:val="0"/>
                <w:sz w:val="18"/>
                <w:szCs w:val="18"/>
              </w:rPr>
              <w:t>第六条　审查机构按承接业务范围分两类，一类机构承接房屋建筑、市政基础设施工程施工图审查业务范围不受限制；二类机构可以承接中型及以下房屋建筑、市政基础设施工程的施工图审查。</w:t>
            </w:r>
          </w:p>
          <w:p w14:paraId="5FC1CA23">
            <w:pPr>
              <w:spacing w:line="320" w:lineRule="exact"/>
              <w:jc w:val="left"/>
              <w:rPr>
                <w:color w:val="000000"/>
                <w:kern w:val="0"/>
                <w:sz w:val="18"/>
                <w:szCs w:val="18"/>
              </w:rPr>
            </w:pPr>
            <w:r>
              <w:rPr>
                <w:rFonts w:hint="eastAsia"/>
                <w:color w:val="000000"/>
                <w:kern w:val="0"/>
                <w:sz w:val="18"/>
                <w:szCs w:val="18"/>
              </w:rPr>
              <w:t>第十九条　县级以上人民政府住房城乡建设主管部门应当加强对审查机构的监督检查，主要检查下列内容：</w:t>
            </w:r>
          </w:p>
          <w:p w14:paraId="50870839">
            <w:pPr>
              <w:spacing w:line="320" w:lineRule="exact"/>
              <w:jc w:val="left"/>
              <w:rPr>
                <w:color w:val="000000"/>
                <w:kern w:val="0"/>
                <w:sz w:val="18"/>
                <w:szCs w:val="18"/>
              </w:rPr>
            </w:pPr>
            <w:r>
              <w:rPr>
                <w:rFonts w:hint="eastAsia"/>
                <w:color w:val="000000"/>
                <w:kern w:val="0"/>
                <w:sz w:val="18"/>
                <w:szCs w:val="18"/>
              </w:rPr>
              <w:t>（二）是否超出范围从事施工图审查；</w:t>
            </w:r>
          </w:p>
          <w:p w14:paraId="1A652ACE">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14:paraId="78877F64">
            <w:pPr>
              <w:spacing w:line="320" w:lineRule="exact"/>
              <w:jc w:val="left"/>
              <w:rPr>
                <w:color w:val="000000"/>
                <w:kern w:val="0"/>
                <w:sz w:val="18"/>
                <w:szCs w:val="18"/>
              </w:rPr>
            </w:pPr>
            <w:r>
              <w:rPr>
                <w:rFonts w:hint="eastAsia"/>
                <w:color w:val="000000"/>
                <w:kern w:val="0"/>
                <w:sz w:val="18"/>
                <w:szCs w:val="18"/>
              </w:rPr>
              <w:t>（一）超出范围从事施工图审查的；</w:t>
            </w:r>
          </w:p>
        </w:tc>
      </w:tr>
      <w:tr w14:paraId="47B298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3975D41E">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13EF8108">
            <w:pPr>
              <w:spacing w:line="320" w:lineRule="exact"/>
              <w:jc w:val="left"/>
              <w:rPr>
                <w:color w:val="000000"/>
                <w:kern w:val="0"/>
                <w:sz w:val="18"/>
                <w:szCs w:val="18"/>
              </w:rPr>
            </w:pPr>
            <w:r>
              <w:rPr>
                <w:rFonts w:hint="eastAsia"/>
                <w:color w:val="000000"/>
                <w:kern w:val="0"/>
                <w:sz w:val="18"/>
                <w:szCs w:val="18"/>
              </w:rPr>
              <w:t>罚款</w:t>
            </w:r>
          </w:p>
        </w:tc>
      </w:tr>
      <w:tr w14:paraId="58D9E6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550BE1DF">
            <w:pPr>
              <w:spacing w:line="320" w:lineRule="exact"/>
              <w:jc w:val="center"/>
              <w:rPr>
                <w:color w:val="000000"/>
                <w:kern w:val="0"/>
                <w:sz w:val="18"/>
                <w:szCs w:val="18"/>
              </w:rPr>
            </w:pPr>
            <w:r>
              <w:rPr>
                <w:rFonts w:hint="eastAsia"/>
                <w:color w:val="000000"/>
                <w:kern w:val="0"/>
                <w:sz w:val="18"/>
                <w:szCs w:val="18"/>
              </w:rPr>
              <w:t>裁量基准</w:t>
            </w:r>
          </w:p>
        </w:tc>
      </w:tr>
      <w:tr w14:paraId="6D61E8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tcBorders>
              <w:bottom w:val="single" w:color="auto" w:sz="8" w:space="0"/>
            </w:tcBorders>
            <w:vAlign w:val="center"/>
          </w:tcPr>
          <w:p w14:paraId="273C6D8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bottom w:val="single" w:color="auto" w:sz="8" w:space="0"/>
            </w:tcBorders>
            <w:vAlign w:val="center"/>
          </w:tcPr>
          <w:p w14:paraId="3A4948DD">
            <w:pPr>
              <w:spacing w:line="320" w:lineRule="exact"/>
              <w:jc w:val="left"/>
              <w:rPr>
                <w:color w:val="000000"/>
                <w:kern w:val="0"/>
                <w:sz w:val="18"/>
                <w:szCs w:val="18"/>
              </w:rPr>
            </w:pPr>
          </w:p>
        </w:tc>
        <w:tc>
          <w:tcPr>
            <w:tcW w:w="1080" w:type="dxa"/>
            <w:tcBorders>
              <w:bottom w:val="single" w:color="auto" w:sz="8" w:space="0"/>
            </w:tcBorders>
            <w:vAlign w:val="center"/>
          </w:tcPr>
          <w:p w14:paraId="6DFBD0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bottom w:val="single" w:color="auto" w:sz="8" w:space="0"/>
            </w:tcBorders>
            <w:vAlign w:val="center"/>
          </w:tcPr>
          <w:p w14:paraId="6233A1BE">
            <w:pPr>
              <w:spacing w:line="320" w:lineRule="exact"/>
              <w:jc w:val="left"/>
              <w:rPr>
                <w:color w:val="000000"/>
                <w:kern w:val="0"/>
                <w:sz w:val="18"/>
                <w:szCs w:val="18"/>
              </w:rPr>
            </w:pPr>
          </w:p>
        </w:tc>
      </w:tr>
    </w:tbl>
    <w:p w14:paraId="1E5DFAC2"/>
    <w:p w14:paraId="603C25D6"/>
    <w:p w14:paraId="7CEF1A37"/>
    <w:p w14:paraId="10440A02"/>
    <w:p w14:paraId="43164575"/>
    <w:p w14:paraId="2896B486"/>
    <w:p w14:paraId="3432A8DB"/>
    <w:p w14:paraId="62558D9C"/>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3EB8FC7A">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5E3C4224">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41992127">
            <w:pPr>
              <w:jc w:val="left"/>
              <w:textAlignment w:val="center"/>
              <w:rPr>
                <w:rFonts w:eastAsia="仿宋_GB2312"/>
                <w:b/>
                <w:bCs/>
                <w:color w:val="000000"/>
                <w:kern w:val="0"/>
                <w:sz w:val="18"/>
                <w:szCs w:val="18"/>
              </w:rPr>
            </w:pPr>
            <w:r>
              <w:rPr>
                <w:rFonts w:eastAsia="仿宋_GB2312"/>
                <w:b/>
                <w:color w:val="000000"/>
                <w:kern w:val="0"/>
                <w:sz w:val="20"/>
              </w:rPr>
              <w:t>320217061000</w:t>
            </w:r>
          </w:p>
        </w:tc>
      </w:tr>
      <w:tr w14:paraId="4544BC3A">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144127D8">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2FC2C298">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对房屋建筑和市政基础设施工程施工图设计文件审查机构使用不符合条件审查人员的处罚</w:t>
            </w:r>
          </w:p>
        </w:tc>
      </w:tr>
      <w:tr w14:paraId="347BDEBA">
        <w:tblPrEx>
          <w:tblCellMar>
            <w:top w:w="0" w:type="dxa"/>
            <w:left w:w="108" w:type="dxa"/>
            <w:bottom w:w="0" w:type="dxa"/>
            <w:right w:w="108" w:type="dxa"/>
          </w:tblCellMar>
        </w:tblPrEx>
        <w:trPr>
          <w:trHeight w:val="1485" w:hRule="atLeast"/>
        </w:trPr>
        <w:tc>
          <w:tcPr>
            <w:tcW w:w="1030" w:type="dxa"/>
            <w:tcBorders>
              <w:top w:val="single" w:color="auto" w:sz="4" w:space="0"/>
              <w:left w:val="single" w:color="auto" w:sz="8" w:space="0"/>
              <w:bottom w:val="single" w:color="auto" w:sz="4" w:space="0"/>
              <w:right w:val="single" w:color="auto" w:sz="4" w:space="0"/>
            </w:tcBorders>
            <w:vAlign w:val="center"/>
          </w:tcPr>
          <w:p w14:paraId="7AB231F3">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50302E06">
            <w:pPr>
              <w:spacing w:line="320" w:lineRule="exact"/>
              <w:ind w:firstLine="180" w:firstLineChars="10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14:paraId="608E065B">
            <w:pPr>
              <w:spacing w:line="320" w:lineRule="exact"/>
              <w:jc w:val="left"/>
              <w:rPr>
                <w:color w:val="000000"/>
                <w:kern w:val="0"/>
                <w:sz w:val="18"/>
                <w:szCs w:val="18"/>
              </w:rPr>
            </w:pPr>
            <w:r>
              <w:rPr>
                <w:rFonts w:hint="eastAsia"/>
                <w:color w:val="000000"/>
                <w:kern w:val="0"/>
                <w:sz w:val="18"/>
                <w:szCs w:val="18"/>
              </w:rPr>
              <w:t>第十九条　县级以上人民政府住房城乡建设主管部门应当加强对审查机构的监督检查，主要检查下列内容：</w:t>
            </w:r>
          </w:p>
          <w:p w14:paraId="438CF616">
            <w:pPr>
              <w:spacing w:line="320" w:lineRule="exact"/>
              <w:jc w:val="left"/>
              <w:rPr>
                <w:color w:val="000000"/>
                <w:kern w:val="0"/>
                <w:sz w:val="18"/>
                <w:szCs w:val="18"/>
              </w:rPr>
            </w:pPr>
            <w:r>
              <w:rPr>
                <w:rFonts w:hint="eastAsia"/>
                <w:color w:val="000000"/>
                <w:kern w:val="0"/>
                <w:sz w:val="18"/>
                <w:szCs w:val="18"/>
              </w:rPr>
              <w:t>（三）是否使用不符合条件的审查人员；</w:t>
            </w:r>
          </w:p>
          <w:p w14:paraId="2150D756">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14:paraId="3D42196F">
            <w:pPr>
              <w:spacing w:line="320" w:lineRule="exact"/>
              <w:jc w:val="left"/>
              <w:rPr>
                <w:color w:val="000000"/>
                <w:kern w:val="0"/>
                <w:sz w:val="18"/>
                <w:szCs w:val="18"/>
              </w:rPr>
            </w:pPr>
            <w:r>
              <w:rPr>
                <w:rFonts w:hint="eastAsia"/>
                <w:color w:val="000000"/>
                <w:kern w:val="0"/>
                <w:sz w:val="18"/>
                <w:szCs w:val="18"/>
              </w:rPr>
              <w:t>（二）使用不符合条件审查人员的；</w:t>
            </w:r>
          </w:p>
        </w:tc>
      </w:tr>
      <w:tr w14:paraId="66DDEBAD">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771C91F4">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2B7F08C5">
            <w:pPr>
              <w:spacing w:line="320" w:lineRule="exact"/>
              <w:jc w:val="left"/>
              <w:rPr>
                <w:color w:val="000000"/>
                <w:kern w:val="0"/>
                <w:sz w:val="18"/>
                <w:szCs w:val="18"/>
              </w:rPr>
            </w:pPr>
            <w:r>
              <w:rPr>
                <w:rFonts w:hint="eastAsia"/>
                <w:color w:val="000000"/>
                <w:kern w:val="0"/>
                <w:sz w:val="18"/>
                <w:szCs w:val="18"/>
              </w:rPr>
              <w:t>罚款</w:t>
            </w:r>
          </w:p>
        </w:tc>
      </w:tr>
      <w:tr w14:paraId="18FCF2C6">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63174A72">
            <w:pPr>
              <w:spacing w:line="320" w:lineRule="exact"/>
              <w:jc w:val="center"/>
              <w:rPr>
                <w:color w:val="000000"/>
                <w:kern w:val="0"/>
                <w:sz w:val="18"/>
                <w:szCs w:val="18"/>
              </w:rPr>
            </w:pPr>
            <w:r>
              <w:rPr>
                <w:rFonts w:hint="eastAsia"/>
                <w:color w:val="000000"/>
                <w:kern w:val="0"/>
                <w:sz w:val="18"/>
                <w:szCs w:val="18"/>
              </w:rPr>
              <w:t>裁量基准</w:t>
            </w:r>
          </w:p>
        </w:tc>
      </w:tr>
      <w:tr w14:paraId="52F5E17B">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8" w:space="0"/>
              <w:right w:val="single" w:color="auto" w:sz="4" w:space="0"/>
            </w:tcBorders>
            <w:vAlign w:val="center"/>
          </w:tcPr>
          <w:p w14:paraId="55E210D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8" w:space="0"/>
              <w:right w:val="single" w:color="auto" w:sz="4" w:space="0"/>
            </w:tcBorders>
            <w:vAlign w:val="center"/>
          </w:tcPr>
          <w:p w14:paraId="1F700667">
            <w:pPr>
              <w:spacing w:line="320" w:lineRule="exact"/>
              <w:jc w:val="left"/>
              <w:rPr>
                <w:color w:val="000000"/>
                <w:kern w:val="0"/>
                <w:sz w:val="18"/>
                <w:szCs w:val="18"/>
              </w:rPr>
            </w:pPr>
            <w:r>
              <w:rPr>
                <w:rFonts w:hint="eastAsia"/>
                <w:color w:val="000000"/>
                <w:kern w:val="0"/>
                <w:sz w:val="18"/>
                <w:szCs w:val="18"/>
              </w:rPr>
              <w:t>　</w:t>
            </w:r>
          </w:p>
        </w:tc>
        <w:tc>
          <w:tcPr>
            <w:tcW w:w="1080" w:type="dxa"/>
            <w:tcBorders>
              <w:top w:val="single" w:color="auto" w:sz="4" w:space="0"/>
              <w:left w:val="single" w:color="auto" w:sz="4" w:space="0"/>
              <w:bottom w:val="single" w:color="auto" w:sz="8" w:space="0"/>
              <w:right w:val="single" w:color="auto" w:sz="4" w:space="0"/>
            </w:tcBorders>
            <w:vAlign w:val="center"/>
          </w:tcPr>
          <w:p w14:paraId="75AC27DC">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8" w:space="0"/>
              <w:right w:val="single" w:color="auto" w:sz="8" w:space="0"/>
            </w:tcBorders>
            <w:vAlign w:val="center"/>
          </w:tcPr>
          <w:p w14:paraId="07996DB7">
            <w:pPr>
              <w:spacing w:line="320" w:lineRule="exact"/>
              <w:jc w:val="left"/>
              <w:rPr>
                <w:color w:val="000000"/>
                <w:kern w:val="0"/>
                <w:sz w:val="18"/>
                <w:szCs w:val="18"/>
              </w:rPr>
            </w:pPr>
            <w:r>
              <w:rPr>
                <w:rFonts w:hint="eastAsia"/>
                <w:color w:val="000000"/>
                <w:kern w:val="0"/>
                <w:sz w:val="18"/>
                <w:szCs w:val="18"/>
              </w:rPr>
              <w:t>　</w:t>
            </w:r>
          </w:p>
        </w:tc>
      </w:tr>
    </w:tbl>
    <w:p w14:paraId="228E78EE"/>
    <w:p w14:paraId="032FFFF7"/>
    <w:p w14:paraId="2C4A209F"/>
    <w:p w14:paraId="3F7C8BCA"/>
    <w:p w14:paraId="7C339691"/>
    <w:p w14:paraId="58429647"/>
    <w:p w14:paraId="7CE7DE67"/>
    <w:p w14:paraId="5B88503C"/>
    <w:p w14:paraId="2A09A07A"/>
    <w:p w14:paraId="74ECCC89"/>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02B321A6">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79F2EF27">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3E712230">
            <w:pPr>
              <w:jc w:val="left"/>
              <w:textAlignment w:val="center"/>
              <w:rPr>
                <w:rFonts w:eastAsia="仿宋_GB2312"/>
                <w:b/>
                <w:bCs/>
                <w:color w:val="000000"/>
                <w:kern w:val="0"/>
                <w:sz w:val="18"/>
                <w:szCs w:val="18"/>
              </w:rPr>
            </w:pPr>
            <w:r>
              <w:rPr>
                <w:rFonts w:eastAsia="仿宋_GB2312"/>
                <w:b/>
                <w:color w:val="000000"/>
                <w:kern w:val="0"/>
                <w:sz w:val="20"/>
              </w:rPr>
              <w:t>320217062000</w:t>
            </w:r>
          </w:p>
        </w:tc>
      </w:tr>
      <w:tr w14:paraId="16D5C72A">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7821184E">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4B1DA7F9">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对房屋建筑和市政基础设施工程施工图设计文件审查机构未按规定的审查内容进行审查的处罚</w:t>
            </w:r>
          </w:p>
        </w:tc>
      </w:tr>
      <w:tr w14:paraId="6C152F51">
        <w:tblPrEx>
          <w:tblCellMar>
            <w:top w:w="0" w:type="dxa"/>
            <w:left w:w="108" w:type="dxa"/>
            <w:bottom w:w="0" w:type="dxa"/>
            <w:right w:w="108" w:type="dxa"/>
          </w:tblCellMar>
        </w:tblPrEx>
        <w:trPr>
          <w:trHeight w:val="1470" w:hRule="atLeast"/>
        </w:trPr>
        <w:tc>
          <w:tcPr>
            <w:tcW w:w="1030" w:type="dxa"/>
            <w:tcBorders>
              <w:top w:val="single" w:color="auto" w:sz="4" w:space="0"/>
              <w:left w:val="single" w:color="auto" w:sz="8" w:space="0"/>
              <w:bottom w:val="single" w:color="auto" w:sz="4" w:space="0"/>
              <w:right w:val="single" w:color="auto" w:sz="4" w:space="0"/>
            </w:tcBorders>
            <w:vAlign w:val="center"/>
          </w:tcPr>
          <w:p w14:paraId="45E26162">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54622FF9">
            <w:pPr>
              <w:spacing w:line="320" w:lineRule="exact"/>
              <w:ind w:firstLine="180" w:firstLineChars="10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【规章】《房屋建筑和市政基础设施工程施工图设计文件审查管理办法》（住房和城乡建设部令第13号，住房和城乡建设部令第46号修改）</w:t>
            </w:r>
          </w:p>
          <w:p w14:paraId="17FD6DD4">
            <w:pPr>
              <w:spacing w:line="320" w:lineRule="exact"/>
              <w:ind w:firstLine="180" w:firstLineChars="100"/>
              <w:jc w:val="left"/>
              <w:rPr>
                <w:color w:val="000000"/>
                <w:kern w:val="0"/>
                <w:sz w:val="18"/>
                <w:szCs w:val="18"/>
              </w:rPr>
            </w:pPr>
            <w:r>
              <w:rPr>
                <w:rFonts w:hint="eastAsia"/>
                <w:color w:val="000000"/>
                <w:kern w:val="0"/>
                <w:sz w:val="18"/>
                <w:szCs w:val="18"/>
              </w:rPr>
              <w:t xml:space="preserve">       第十九条　县级以上人民政府住房城乡建设主管部门应当加强对审查机构的监督检查，主要检查下列内容：</w:t>
            </w:r>
          </w:p>
          <w:p w14:paraId="5E6278F6">
            <w:pPr>
              <w:spacing w:line="320" w:lineRule="exact"/>
              <w:ind w:firstLine="180" w:firstLineChars="100"/>
              <w:jc w:val="left"/>
              <w:rPr>
                <w:color w:val="000000"/>
                <w:kern w:val="0"/>
                <w:sz w:val="18"/>
                <w:szCs w:val="18"/>
              </w:rPr>
            </w:pPr>
            <w:r>
              <w:rPr>
                <w:rFonts w:hint="eastAsia"/>
                <w:color w:val="000000"/>
                <w:kern w:val="0"/>
                <w:sz w:val="18"/>
                <w:szCs w:val="18"/>
              </w:rPr>
              <w:t xml:space="preserve">      （四）是否按规定的内容进行审查；</w:t>
            </w:r>
          </w:p>
          <w:p w14:paraId="7F8CBB83">
            <w:pPr>
              <w:spacing w:line="320" w:lineRule="exact"/>
              <w:ind w:firstLine="180" w:firstLineChars="100"/>
              <w:jc w:val="left"/>
              <w:rPr>
                <w:color w:val="000000"/>
                <w:kern w:val="0"/>
                <w:sz w:val="18"/>
                <w:szCs w:val="18"/>
              </w:rPr>
            </w:pPr>
            <w:r>
              <w:rPr>
                <w:rFonts w:hint="eastAsia"/>
                <w:color w:val="000000"/>
                <w:kern w:val="0"/>
                <w:sz w:val="18"/>
                <w:szCs w:val="18"/>
              </w:rPr>
              <w:t xml:space="preserve">       第二十四条第一款　审查机构违反本办法规定，有下列行为之一的，由县级以上地方人民政府住房城乡建设主管部门责令改正，处3万元罚款，并记入信用档案；情节严重的，省、自治区、直辖市人民政府住房城乡建设主管部门不再将其列入审查机构名录：</w:t>
            </w:r>
          </w:p>
          <w:p w14:paraId="57EFDEF1">
            <w:pPr>
              <w:spacing w:line="320" w:lineRule="exact"/>
              <w:ind w:firstLine="180" w:firstLineChars="100"/>
              <w:jc w:val="left"/>
              <w:rPr>
                <w:color w:val="000000"/>
                <w:kern w:val="0"/>
                <w:sz w:val="18"/>
                <w:szCs w:val="18"/>
              </w:rPr>
            </w:pPr>
            <w:r>
              <w:rPr>
                <w:rFonts w:hint="eastAsia"/>
                <w:color w:val="000000"/>
                <w:kern w:val="0"/>
                <w:sz w:val="18"/>
                <w:szCs w:val="18"/>
              </w:rPr>
              <w:t xml:space="preserve">      （三）未按规定的内容进行审查的；</w:t>
            </w:r>
          </w:p>
          <w:p w14:paraId="0E4090ED">
            <w:pPr>
              <w:spacing w:line="320" w:lineRule="exact"/>
              <w:ind w:firstLine="180" w:firstLineChars="100"/>
              <w:jc w:val="left"/>
              <w:rPr>
                <w:color w:val="000000"/>
                <w:kern w:val="0"/>
                <w:sz w:val="18"/>
                <w:szCs w:val="18"/>
              </w:rPr>
            </w:pPr>
            <w:r>
              <w:rPr>
                <w:rFonts w:hint="eastAsia"/>
                <w:color w:val="000000"/>
                <w:kern w:val="0"/>
                <w:sz w:val="18"/>
                <w:szCs w:val="18"/>
              </w:rPr>
              <w:t>【地方性法规】《江苏省发展新型墙体材料条例》</w:t>
            </w:r>
          </w:p>
          <w:p w14:paraId="4827CAFC">
            <w:pPr>
              <w:spacing w:line="320" w:lineRule="exact"/>
              <w:ind w:firstLine="180" w:firstLineChars="100"/>
              <w:jc w:val="left"/>
              <w:rPr>
                <w:color w:val="000000"/>
                <w:kern w:val="0"/>
                <w:sz w:val="18"/>
                <w:szCs w:val="18"/>
              </w:rPr>
            </w:pPr>
            <w:r>
              <w:rPr>
                <w:rFonts w:hint="eastAsia"/>
                <w:color w:val="000000"/>
                <w:kern w:val="0"/>
                <w:sz w:val="18"/>
                <w:szCs w:val="18"/>
              </w:rPr>
              <w:t xml:space="preserve">        第二十五条第三款 施工图设计文件审查机构应当对施工图设计文件中使用新型墙体材料的情况进行审查，不符合规定的，不得通过审查。</w:t>
            </w:r>
          </w:p>
          <w:p w14:paraId="682E57D2">
            <w:pPr>
              <w:spacing w:line="320" w:lineRule="exact"/>
              <w:ind w:firstLine="180" w:firstLineChars="100"/>
              <w:jc w:val="left"/>
              <w:rPr>
                <w:color w:val="000000"/>
                <w:kern w:val="0"/>
                <w:sz w:val="18"/>
                <w:szCs w:val="18"/>
              </w:rPr>
            </w:pPr>
            <w:r>
              <w:rPr>
                <w:rFonts w:hint="eastAsia"/>
                <w:color w:val="000000"/>
                <w:kern w:val="0"/>
                <w:sz w:val="18"/>
                <w:szCs w:val="18"/>
              </w:rPr>
              <w:t xml:space="preserve">       第三十条第二款 违反本条例第二十五条第三款规定，施工图设计文件审查机构未依法审查施工图设计文件的，由住房城乡建设主管部门责令改正，处以一万元以上三万元以下罚款；情节严重的，省住房城乡建设主管部门不再将其列入审查机构名录。</w:t>
            </w:r>
          </w:p>
          <w:p w14:paraId="699F8CC6">
            <w:pPr>
              <w:spacing w:line="320" w:lineRule="exact"/>
              <w:ind w:firstLine="180" w:firstLineChars="100"/>
              <w:jc w:val="left"/>
              <w:rPr>
                <w:color w:val="000000"/>
                <w:kern w:val="0"/>
                <w:sz w:val="18"/>
                <w:szCs w:val="18"/>
              </w:rPr>
            </w:pPr>
            <w:r>
              <w:rPr>
                <w:rFonts w:hint="eastAsia"/>
                <w:color w:val="000000"/>
                <w:kern w:val="0"/>
                <w:sz w:val="18"/>
                <w:szCs w:val="18"/>
              </w:rPr>
              <w:t>　【地方性法规】《江苏省散装水泥促进条例》</w:t>
            </w:r>
          </w:p>
          <w:p w14:paraId="03CA2AF5">
            <w:pPr>
              <w:spacing w:line="320" w:lineRule="exact"/>
              <w:ind w:firstLine="180" w:firstLineChars="100"/>
              <w:jc w:val="left"/>
              <w:rPr>
                <w:color w:val="000000"/>
                <w:kern w:val="0"/>
                <w:sz w:val="18"/>
                <w:szCs w:val="18"/>
              </w:rPr>
            </w:pPr>
            <w:r>
              <w:rPr>
                <w:rFonts w:hint="eastAsia"/>
                <w:color w:val="000000"/>
                <w:kern w:val="0"/>
                <w:sz w:val="18"/>
                <w:szCs w:val="18"/>
              </w:rPr>
              <w:t xml:space="preserve">       第二十五条  禁止现场搅拌混凝土、砂浆的工程建设项目，适用下列规定：</w:t>
            </w:r>
          </w:p>
          <w:p w14:paraId="52C3DCFD">
            <w:pPr>
              <w:spacing w:line="320" w:lineRule="exact"/>
              <w:ind w:firstLine="180" w:firstLineChars="100"/>
              <w:jc w:val="left"/>
              <w:rPr>
                <w:color w:val="000000"/>
                <w:kern w:val="0"/>
                <w:sz w:val="18"/>
                <w:szCs w:val="18"/>
              </w:rPr>
            </w:pPr>
            <w:r>
              <w:rPr>
                <w:rFonts w:hint="eastAsia"/>
                <w:color w:val="000000"/>
                <w:kern w:val="0"/>
                <w:sz w:val="18"/>
                <w:szCs w:val="18"/>
              </w:rPr>
              <w:t xml:space="preserve">　（四）施工图审查机构对未按照规定标明使用预拌混凝土、预拌砂浆等级的施工图设计文件，不予审查通过； </w:t>
            </w:r>
          </w:p>
          <w:p w14:paraId="7C0D167E">
            <w:pPr>
              <w:spacing w:line="320" w:lineRule="exact"/>
              <w:jc w:val="left"/>
              <w:rPr>
                <w:color w:val="000000"/>
                <w:kern w:val="0"/>
                <w:sz w:val="18"/>
                <w:szCs w:val="18"/>
              </w:rPr>
            </w:pPr>
            <w:r>
              <w:rPr>
                <w:rFonts w:hint="eastAsia"/>
                <w:color w:val="000000"/>
                <w:kern w:val="0"/>
                <w:sz w:val="18"/>
                <w:szCs w:val="18"/>
              </w:rPr>
              <w:t>　   第三十一条  违反本条例第二十五条第四项规定，施工图审查机构对未按照规定标明使用预拌混凝土、预拌砂浆等级的施工图设计文件予以审查通过的，由住房和城乡建设行政主管部门责令改正，并可以处以一万元以上五万元以下罚款；情节严重的，由住房和城乡建设行政主管部门撤销对审查机构的认定。</w:t>
            </w:r>
          </w:p>
        </w:tc>
      </w:tr>
      <w:tr w14:paraId="146888FF">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28F318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095D542A">
            <w:pPr>
              <w:spacing w:line="320" w:lineRule="exact"/>
              <w:jc w:val="left"/>
              <w:rPr>
                <w:color w:val="000000"/>
                <w:kern w:val="0"/>
                <w:sz w:val="18"/>
                <w:szCs w:val="18"/>
              </w:rPr>
            </w:pPr>
            <w:r>
              <w:rPr>
                <w:rFonts w:hint="eastAsia"/>
                <w:color w:val="000000"/>
                <w:kern w:val="0"/>
                <w:sz w:val="18"/>
                <w:szCs w:val="18"/>
              </w:rPr>
              <w:t>责令改正，罚款，不再列入审查机构名录</w:t>
            </w:r>
          </w:p>
        </w:tc>
      </w:tr>
      <w:tr w14:paraId="48D778CA">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740328F5">
            <w:pPr>
              <w:spacing w:line="320" w:lineRule="exact"/>
              <w:jc w:val="center"/>
              <w:rPr>
                <w:color w:val="000000"/>
                <w:kern w:val="0"/>
                <w:sz w:val="18"/>
                <w:szCs w:val="18"/>
              </w:rPr>
            </w:pPr>
            <w:r>
              <w:rPr>
                <w:rFonts w:hint="eastAsia"/>
                <w:color w:val="000000"/>
                <w:kern w:val="0"/>
                <w:sz w:val="18"/>
                <w:szCs w:val="18"/>
              </w:rPr>
              <w:t>裁量基准</w:t>
            </w:r>
          </w:p>
        </w:tc>
      </w:tr>
      <w:tr w14:paraId="6D110F98">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8" w:space="0"/>
              <w:right w:val="single" w:color="auto" w:sz="4" w:space="0"/>
            </w:tcBorders>
            <w:vAlign w:val="center"/>
          </w:tcPr>
          <w:p w14:paraId="331D56E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8" w:space="0"/>
              <w:right w:val="single" w:color="auto" w:sz="4" w:space="0"/>
            </w:tcBorders>
            <w:vAlign w:val="center"/>
          </w:tcPr>
          <w:p w14:paraId="6559BBFD">
            <w:pPr>
              <w:spacing w:line="320" w:lineRule="exact"/>
              <w:jc w:val="left"/>
              <w:rPr>
                <w:color w:val="000000"/>
                <w:kern w:val="0"/>
                <w:sz w:val="18"/>
                <w:szCs w:val="18"/>
              </w:rPr>
            </w:pPr>
            <w:r>
              <w:rPr>
                <w:rFonts w:hint="eastAsia"/>
                <w:color w:val="000000"/>
                <w:kern w:val="0"/>
                <w:sz w:val="18"/>
                <w:szCs w:val="18"/>
              </w:rPr>
              <w:t>　</w:t>
            </w:r>
          </w:p>
        </w:tc>
        <w:tc>
          <w:tcPr>
            <w:tcW w:w="1080" w:type="dxa"/>
            <w:tcBorders>
              <w:top w:val="single" w:color="auto" w:sz="4" w:space="0"/>
              <w:left w:val="single" w:color="auto" w:sz="4" w:space="0"/>
              <w:bottom w:val="single" w:color="auto" w:sz="8" w:space="0"/>
              <w:right w:val="single" w:color="auto" w:sz="4" w:space="0"/>
            </w:tcBorders>
            <w:vAlign w:val="center"/>
          </w:tcPr>
          <w:p w14:paraId="0E7A317A">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8" w:space="0"/>
              <w:right w:val="single" w:color="auto" w:sz="8" w:space="0"/>
            </w:tcBorders>
            <w:vAlign w:val="center"/>
          </w:tcPr>
          <w:p w14:paraId="56D4A17B">
            <w:pPr>
              <w:spacing w:line="320" w:lineRule="exact"/>
              <w:jc w:val="left"/>
              <w:rPr>
                <w:color w:val="000000"/>
                <w:kern w:val="0"/>
                <w:sz w:val="18"/>
                <w:szCs w:val="18"/>
              </w:rPr>
            </w:pPr>
            <w:r>
              <w:rPr>
                <w:rFonts w:hint="eastAsia"/>
                <w:color w:val="000000"/>
                <w:kern w:val="0"/>
                <w:sz w:val="18"/>
                <w:szCs w:val="18"/>
              </w:rPr>
              <w:t>　</w:t>
            </w:r>
          </w:p>
        </w:tc>
      </w:tr>
    </w:tbl>
    <w:p w14:paraId="61CB302C"/>
    <w:p w14:paraId="13F59F35"/>
    <w:p w14:paraId="31311C22"/>
    <w:p w14:paraId="26E20C4B"/>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3A49FD99">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3831617E">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330940EF">
            <w:pPr>
              <w:jc w:val="left"/>
              <w:textAlignment w:val="center"/>
              <w:rPr>
                <w:rFonts w:eastAsia="仿宋_GB2312"/>
                <w:b/>
                <w:bCs/>
                <w:color w:val="000000"/>
                <w:kern w:val="0"/>
                <w:sz w:val="18"/>
                <w:szCs w:val="18"/>
              </w:rPr>
            </w:pPr>
            <w:r>
              <w:rPr>
                <w:rFonts w:eastAsia="仿宋_GB2312"/>
                <w:b/>
                <w:color w:val="000000"/>
                <w:kern w:val="0"/>
                <w:sz w:val="20"/>
              </w:rPr>
              <w:t>320217063000</w:t>
            </w:r>
          </w:p>
        </w:tc>
      </w:tr>
      <w:tr w14:paraId="553F4439">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58BFD87A">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344747C8">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对房屋建筑和市政基础设施工程施工图设计文件审查机构未按规定上报审查过程中发现的违法违规行为的处罚</w:t>
            </w:r>
          </w:p>
        </w:tc>
      </w:tr>
      <w:tr w14:paraId="1976B70B">
        <w:tblPrEx>
          <w:tblCellMar>
            <w:top w:w="0" w:type="dxa"/>
            <w:left w:w="108" w:type="dxa"/>
            <w:bottom w:w="0" w:type="dxa"/>
            <w:right w:w="108" w:type="dxa"/>
          </w:tblCellMar>
        </w:tblPrEx>
        <w:trPr>
          <w:trHeight w:val="2025" w:hRule="atLeast"/>
        </w:trPr>
        <w:tc>
          <w:tcPr>
            <w:tcW w:w="1030" w:type="dxa"/>
            <w:tcBorders>
              <w:top w:val="single" w:color="auto" w:sz="4" w:space="0"/>
              <w:left w:val="single" w:color="auto" w:sz="8" w:space="0"/>
              <w:bottom w:val="single" w:color="auto" w:sz="4" w:space="0"/>
              <w:right w:val="single" w:color="auto" w:sz="4" w:space="0"/>
            </w:tcBorders>
            <w:vAlign w:val="center"/>
          </w:tcPr>
          <w:p w14:paraId="2090A3B2">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2455E5F5">
            <w:pPr>
              <w:spacing w:line="320" w:lineRule="exact"/>
              <w:ind w:firstLine="360" w:firstLineChars="20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14:paraId="509B2176">
            <w:pPr>
              <w:spacing w:line="320" w:lineRule="exact"/>
              <w:jc w:val="left"/>
              <w:rPr>
                <w:color w:val="000000"/>
                <w:kern w:val="0"/>
                <w:sz w:val="18"/>
                <w:szCs w:val="18"/>
              </w:rPr>
            </w:pPr>
            <w:r>
              <w:rPr>
                <w:rFonts w:hint="eastAsia"/>
                <w:color w:val="000000"/>
                <w:kern w:val="0"/>
                <w:sz w:val="18"/>
                <w:szCs w:val="18"/>
              </w:rPr>
              <w:t>第十九条　县级以上人民政府住房城乡建设主管部门应当加强对审查机构的监督检查，主要检查下列内容：</w:t>
            </w:r>
          </w:p>
          <w:p w14:paraId="144FEE84">
            <w:pPr>
              <w:spacing w:line="320" w:lineRule="exact"/>
              <w:jc w:val="left"/>
              <w:rPr>
                <w:color w:val="000000"/>
                <w:kern w:val="0"/>
                <w:sz w:val="18"/>
                <w:szCs w:val="18"/>
              </w:rPr>
            </w:pPr>
            <w:r>
              <w:rPr>
                <w:rFonts w:hint="eastAsia"/>
                <w:color w:val="000000"/>
                <w:kern w:val="0"/>
                <w:sz w:val="18"/>
                <w:szCs w:val="18"/>
              </w:rPr>
              <w:t>（五）是否按规定上报审查过程中发现的违法违规行为；</w:t>
            </w:r>
          </w:p>
          <w:p w14:paraId="0F620E56">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14:paraId="2D04AC15">
            <w:pPr>
              <w:spacing w:line="320" w:lineRule="exact"/>
              <w:jc w:val="left"/>
              <w:rPr>
                <w:color w:val="000000"/>
                <w:kern w:val="0"/>
                <w:sz w:val="18"/>
                <w:szCs w:val="18"/>
              </w:rPr>
            </w:pPr>
            <w:r>
              <w:rPr>
                <w:rFonts w:hint="eastAsia"/>
                <w:color w:val="000000"/>
                <w:kern w:val="0"/>
                <w:sz w:val="18"/>
                <w:szCs w:val="18"/>
              </w:rPr>
              <w:t>（四）未按规定上报审查过程中发现的违法违规行为的；</w:t>
            </w:r>
          </w:p>
        </w:tc>
      </w:tr>
      <w:tr w14:paraId="79952B48">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5E2334D6">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71080EE3">
            <w:pPr>
              <w:spacing w:line="320" w:lineRule="exact"/>
              <w:jc w:val="left"/>
              <w:rPr>
                <w:color w:val="000000"/>
                <w:kern w:val="0"/>
                <w:sz w:val="18"/>
                <w:szCs w:val="18"/>
              </w:rPr>
            </w:pPr>
            <w:r>
              <w:rPr>
                <w:rFonts w:hint="eastAsia"/>
                <w:color w:val="000000"/>
                <w:kern w:val="0"/>
                <w:sz w:val="18"/>
                <w:szCs w:val="18"/>
              </w:rPr>
              <w:t>罚款</w:t>
            </w:r>
          </w:p>
        </w:tc>
      </w:tr>
      <w:tr w14:paraId="0D9E60D5">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4ABEFD2B">
            <w:pPr>
              <w:spacing w:line="320" w:lineRule="exact"/>
              <w:jc w:val="center"/>
              <w:rPr>
                <w:color w:val="000000"/>
                <w:kern w:val="0"/>
                <w:sz w:val="18"/>
                <w:szCs w:val="18"/>
              </w:rPr>
            </w:pPr>
            <w:r>
              <w:rPr>
                <w:rFonts w:hint="eastAsia"/>
                <w:color w:val="000000"/>
                <w:kern w:val="0"/>
                <w:sz w:val="18"/>
                <w:szCs w:val="18"/>
              </w:rPr>
              <w:t>裁量基准</w:t>
            </w:r>
          </w:p>
        </w:tc>
      </w:tr>
      <w:tr w14:paraId="7558A49C">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8" w:space="0"/>
              <w:right w:val="single" w:color="auto" w:sz="4" w:space="0"/>
            </w:tcBorders>
            <w:vAlign w:val="center"/>
          </w:tcPr>
          <w:p w14:paraId="2A17615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8" w:space="0"/>
              <w:right w:val="single" w:color="auto" w:sz="4" w:space="0"/>
            </w:tcBorders>
            <w:vAlign w:val="center"/>
          </w:tcPr>
          <w:p w14:paraId="03A7E484">
            <w:pPr>
              <w:spacing w:line="320" w:lineRule="exact"/>
              <w:jc w:val="left"/>
              <w:rPr>
                <w:color w:val="000000"/>
                <w:kern w:val="0"/>
                <w:sz w:val="18"/>
                <w:szCs w:val="18"/>
              </w:rPr>
            </w:pPr>
            <w:r>
              <w:rPr>
                <w:rFonts w:hint="eastAsia"/>
                <w:color w:val="000000"/>
                <w:kern w:val="0"/>
                <w:sz w:val="18"/>
                <w:szCs w:val="18"/>
              </w:rPr>
              <w:t>　</w:t>
            </w:r>
          </w:p>
        </w:tc>
        <w:tc>
          <w:tcPr>
            <w:tcW w:w="1080" w:type="dxa"/>
            <w:tcBorders>
              <w:top w:val="single" w:color="auto" w:sz="4" w:space="0"/>
              <w:left w:val="single" w:color="auto" w:sz="4" w:space="0"/>
              <w:bottom w:val="single" w:color="auto" w:sz="8" w:space="0"/>
              <w:right w:val="single" w:color="auto" w:sz="4" w:space="0"/>
            </w:tcBorders>
            <w:vAlign w:val="center"/>
          </w:tcPr>
          <w:p w14:paraId="2288BDD8">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8" w:space="0"/>
              <w:right w:val="single" w:color="auto" w:sz="8" w:space="0"/>
            </w:tcBorders>
            <w:vAlign w:val="center"/>
          </w:tcPr>
          <w:p w14:paraId="76496A94">
            <w:pPr>
              <w:spacing w:line="320" w:lineRule="exact"/>
              <w:jc w:val="left"/>
              <w:rPr>
                <w:color w:val="000000"/>
                <w:kern w:val="0"/>
                <w:sz w:val="18"/>
                <w:szCs w:val="18"/>
              </w:rPr>
            </w:pPr>
            <w:r>
              <w:rPr>
                <w:rFonts w:hint="eastAsia"/>
                <w:color w:val="000000"/>
                <w:kern w:val="0"/>
                <w:sz w:val="18"/>
                <w:szCs w:val="18"/>
              </w:rPr>
              <w:t>　</w:t>
            </w:r>
          </w:p>
        </w:tc>
      </w:tr>
    </w:tbl>
    <w:p w14:paraId="206A9565"/>
    <w:p w14:paraId="345D7E8A"/>
    <w:p w14:paraId="14D5C3AD"/>
    <w:p w14:paraId="7BAB5E38"/>
    <w:p w14:paraId="60EB81B3"/>
    <w:p w14:paraId="7B9689F5"/>
    <w:p w14:paraId="6A081565"/>
    <w:p w14:paraId="2DF06497"/>
    <w:p w14:paraId="4203AA08"/>
    <w:p w14:paraId="2DE4A692"/>
    <w:tbl>
      <w:tblPr>
        <w:tblStyle w:val="15"/>
        <w:tblW w:w="0" w:type="auto"/>
        <w:tblInd w:w="9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5916"/>
        <w:gridCol w:w="851"/>
        <w:gridCol w:w="6239"/>
      </w:tblGrid>
      <w:tr w14:paraId="4A543A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0" w:type="dxa"/>
            <w:tcBorders>
              <w:top w:val="single" w:color="auto" w:sz="8" w:space="0"/>
            </w:tcBorders>
            <w:vAlign w:val="center"/>
          </w:tcPr>
          <w:p w14:paraId="5309714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tcBorders>
            <w:vAlign w:val="center"/>
          </w:tcPr>
          <w:p w14:paraId="7C0C5B0E">
            <w:pPr>
              <w:spacing w:line="320" w:lineRule="exact"/>
              <w:jc w:val="left"/>
              <w:rPr>
                <w:rFonts w:eastAsia="仿宋_GB2312"/>
                <w:b/>
                <w:bCs/>
                <w:color w:val="000000"/>
                <w:kern w:val="0"/>
                <w:sz w:val="18"/>
                <w:szCs w:val="18"/>
              </w:rPr>
            </w:pPr>
            <w:r>
              <w:rPr>
                <w:rFonts w:eastAsia="仿宋_GB2312"/>
                <w:b/>
                <w:bCs/>
                <w:color w:val="000000"/>
                <w:kern w:val="0"/>
                <w:sz w:val="18"/>
                <w:szCs w:val="18"/>
              </w:rPr>
              <w:t>320217064000</w:t>
            </w:r>
            <w:r>
              <w:rPr>
                <w:rFonts w:hint="eastAsia" w:eastAsia="仿宋_GB2312"/>
                <w:b/>
                <w:bCs/>
                <w:color w:val="000000"/>
                <w:kern w:val="0"/>
                <w:sz w:val="18"/>
                <w:szCs w:val="18"/>
              </w:rPr>
              <w:t xml:space="preserve"> </w:t>
            </w:r>
          </w:p>
        </w:tc>
      </w:tr>
      <w:tr w14:paraId="66CC66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0" w:type="dxa"/>
            <w:vAlign w:val="center"/>
          </w:tcPr>
          <w:p w14:paraId="33F1313A">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EEDB891">
            <w:pPr>
              <w:spacing w:line="320" w:lineRule="exact"/>
              <w:jc w:val="left"/>
              <w:rPr>
                <w:color w:val="000000"/>
                <w:kern w:val="0"/>
                <w:sz w:val="18"/>
                <w:szCs w:val="18"/>
              </w:rPr>
            </w:pPr>
            <w:r>
              <w:rPr>
                <w:rFonts w:hint="eastAsia"/>
                <w:color w:val="000000"/>
                <w:kern w:val="0"/>
                <w:sz w:val="18"/>
                <w:szCs w:val="18"/>
              </w:rPr>
              <w:t>对勘察、设计、施工单位将所承包的工程转包或者违法分包，工程监理单位转让工程监理业务的处罚</w:t>
            </w:r>
          </w:p>
        </w:tc>
      </w:tr>
      <w:tr w14:paraId="36557D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22" w:hRule="atLeast"/>
        </w:trPr>
        <w:tc>
          <w:tcPr>
            <w:tcW w:w="1040" w:type="dxa"/>
            <w:vAlign w:val="center"/>
          </w:tcPr>
          <w:p w14:paraId="48B8D931">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EE16321">
            <w:pPr>
              <w:spacing w:line="200" w:lineRule="exact"/>
              <w:jc w:val="left"/>
              <w:rPr>
                <w:color w:val="000000"/>
                <w:kern w:val="0"/>
                <w:sz w:val="18"/>
                <w:szCs w:val="18"/>
              </w:rPr>
            </w:pPr>
            <w:r>
              <w:rPr>
                <w:rFonts w:hint="eastAsia"/>
                <w:color w:val="000000"/>
                <w:kern w:val="0"/>
                <w:sz w:val="18"/>
                <w:szCs w:val="18"/>
              </w:rPr>
              <w:t>行政法规《建设工程质量管理条例》（</w:t>
            </w:r>
            <w:r>
              <w:rPr>
                <w:color w:val="000000"/>
                <w:kern w:val="0"/>
                <w:sz w:val="18"/>
                <w:szCs w:val="18"/>
              </w:rPr>
              <w:t>2000</w:t>
            </w:r>
            <w:r>
              <w:rPr>
                <w:rFonts w:hint="eastAsia"/>
                <w:color w:val="000000"/>
                <w:kern w:val="0"/>
                <w:sz w:val="18"/>
                <w:szCs w:val="18"/>
              </w:rPr>
              <w:t>年国务院令第</w:t>
            </w:r>
            <w:r>
              <w:rPr>
                <w:color w:val="000000"/>
                <w:kern w:val="0"/>
                <w:sz w:val="18"/>
                <w:szCs w:val="18"/>
              </w:rPr>
              <w:t>279</w:t>
            </w:r>
            <w:r>
              <w:rPr>
                <w:rFonts w:hint="eastAsia"/>
                <w:color w:val="000000"/>
                <w:kern w:val="0"/>
                <w:sz w:val="18"/>
                <w:szCs w:val="18"/>
              </w:rPr>
              <w:t>号）</w:t>
            </w:r>
          </w:p>
          <w:p w14:paraId="42F76108">
            <w:pPr>
              <w:spacing w:line="200" w:lineRule="exact"/>
              <w:jc w:val="left"/>
              <w:rPr>
                <w:color w:val="000000"/>
                <w:kern w:val="0"/>
                <w:sz w:val="18"/>
                <w:szCs w:val="18"/>
              </w:rPr>
            </w:pPr>
            <w:r>
              <w:rPr>
                <w:rFonts w:hint="eastAsia"/>
                <w:color w:val="000000"/>
                <w:kern w:val="0"/>
                <w:sz w:val="18"/>
                <w:szCs w:val="18"/>
              </w:rPr>
              <w:t>第十八条第三款　勘察、设计单位不得转包或者违法分包所承揽的工程。</w:t>
            </w:r>
          </w:p>
          <w:p w14:paraId="65B1D90C">
            <w:pPr>
              <w:spacing w:line="200" w:lineRule="exact"/>
              <w:jc w:val="left"/>
              <w:rPr>
                <w:color w:val="000000"/>
                <w:kern w:val="0"/>
                <w:sz w:val="18"/>
                <w:szCs w:val="18"/>
              </w:rPr>
            </w:pPr>
            <w:r>
              <w:rPr>
                <w:rFonts w:hint="eastAsia"/>
                <w:color w:val="000000"/>
                <w:kern w:val="0"/>
                <w:sz w:val="18"/>
                <w:szCs w:val="18"/>
              </w:rPr>
              <w:t>第二十五条第三款　施工单位不得转包或者违法分包工程。</w:t>
            </w:r>
          </w:p>
          <w:p w14:paraId="34C941E3">
            <w:pPr>
              <w:spacing w:line="200" w:lineRule="exact"/>
              <w:jc w:val="left"/>
              <w:rPr>
                <w:color w:val="000000"/>
                <w:kern w:val="0"/>
                <w:sz w:val="18"/>
                <w:szCs w:val="18"/>
              </w:rPr>
            </w:pPr>
            <w:r>
              <w:rPr>
                <w:rFonts w:hint="eastAsia"/>
                <w:color w:val="000000"/>
                <w:kern w:val="0"/>
                <w:sz w:val="18"/>
                <w:szCs w:val="18"/>
              </w:rPr>
              <w:t>第三十四条第三款　工程监理单位不得转让工程监理业务。</w:t>
            </w:r>
          </w:p>
          <w:p w14:paraId="234F0CBA">
            <w:pPr>
              <w:spacing w:line="200" w:lineRule="exact"/>
              <w:jc w:val="left"/>
              <w:rPr>
                <w:color w:val="000000"/>
                <w:kern w:val="0"/>
                <w:sz w:val="18"/>
                <w:szCs w:val="18"/>
              </w:rPr>
            </w:pPr>
            <w:r>
              <w:rPr>
                <w:rFonts w:hint="eastAsia"/>
                <w:color w:val="000000"/>
                <w:kern w:val="0"/>
                <w:sz w:val="18"/>
                <w:szCs w:val="18"/>
              </w:rPr>
              <w:t>第六十二条　违反本条例规定，承包单位将承包的工程转包或者违法分包的，责令改正，没收违法所得，对勘察、设计单位处合同约定的勘察费、设计费</w:t>
            </w:r>
            <w:r>
              <w:rPr>
                <w:color w:val="000000"/>
                <w:kern w:val="0"/>
                <w:sz w:val="18"/>
                <w:szCs w:val="18"/>
              </w:rPr>
              <w:t>25</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％以下的罚款；对施工单位处工程合同价款</w:t>
            </w:r>
            <w:r>
              <w:rPr>
                <w:color w:val="000000"/>
                <w:kern w:val="0"/>
                <w:sz w:val="18"/>
                <w:szCs w:val="18"/>
              </w:rPr>
              <w:t>0</w:t>
            </w:r>
            <w:r>
              <w:rPr>
                <w:rFonts w:hint="eastAsia"/>
                <w:color w:val="000000"/>
                <w:kern w:val="0"/>
                <w:sz w:val="18"/>
                <w:szCs w:val="18"/>
              </w:rPr>
              <w:t>．</w:t>
            </w:r>
            <w:r>
              <w:rPr>
                <w:color w:val="000000"/>
                <w:kern w:val="0"/>
                <w:sz w:val="18"/>
                <w:szCs w:val="18"/>
              </w:rPr>
              <w:t>5</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％以下的罚款；可以责令停业整顿，降低资质等级；情节严重的，吊销资质证书。</w:t>
            </w:r>
          </w:p>
          <w:p w14:paraId="0C9F7A6D">
            <w:pPr>
              <w:spacing w:line="200" w:lineRule="exact"/>
              <w:jc w:val="left"/>
              <w:rPr>
                <w:color w:val="000000"/>
                <w:kern w:val="0"/>
                <w:sz w:val="18"/>
                <w:szCs w:val="18"/>
              </w:rPr>
            </w:pPr>
            <w:r>
              <w:rPr>
                <w:rFonts w:hint="eastAsia"/>
                <w:color w:val="000000"/>
                <w:kern w:val="0"/>
                <w:sz w:val="18"/>
                <w:szCs w:val="18"/>
              </w:rPr>
              <w:t>工程监理单位转让工程监理业务的，责令改正，没收违法所得，处合同约定的监理酬金</w:t>
            </w:r>
            <w:r>
              <w:rPr>
                <w:color w:val="000000"/>
                <w:kern w:val="0"/>
                <w:sz w:val="18"/>
                <w:szCs w:val="18"/>
              </w:rPr>
              <w:t>25</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％以下的罚款；可以责令停业整顿，降低资质等级；情节严重的，吊销资质证书。</w:t>
            </w:r>
          </w:p>
          <w:p w14:paraId="4B72233B">
            <w:pPr>
              <w:spacing w:line="20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67413496">
            <w:pPr>
              <w:spacing w:line="20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712E9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0" w:type="dxa"/>
            <w:vAlign w:val="center"/>
          </w:tcPr>
          <w:p w14:paraId="6A649A3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12620B4">
            <w:pPr>
              <w:spacing w:line="200" w:lineRule="exact"/>
              <w:jc w:val="left"/>
              <w:rPr>
                <w:color w:val="000000"/>
                <w:kern w:val="0"/>
                <w:sz w:val="18"/>
                <w:szCs w:val="18"/>
              </w:rPr>
            </w:pPr>
            <w:r>
              <w:rPr>
                <w:rFonts w:hint="eastAsia"/>
                <w:color w:val="000000"/>
                <w:kern w:val="0"/>
                <w:sz w:val="18"/>
                <w:szCs w:val="18"/>
              </w:rPr>
              <w:t>没收违法所得，罚款，责令停业整顿，降低资质等级，吊销资质证书</w:t>
            </w:r>
          </w:p>
        </w:tc>
      </w:tr>
      <w:tr w14:paraId="04EE82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46" w:type="dxa"/>
            <w:gridSpan w:val="4"/>
            <w:vAlign w:val="center"/>
          </w:tcPr>
          <w:p w14:paraId="48F6AF7B">
            <w:pPr>
              <w:spacing w:line="200" w:lineRule="exact"/>
              <w:jc w:val="center"/>
              <w:rPr>
                <w:color w:val="000000"/>
                <w:kern w:val="0"/>
                <w:sz w:val="18"/>
                <w:szCs w:val="18"/>
              </w:rPr>
            </w:pPr>
            <w:r>
              <w:rPr>
                <w:rFonts w:hint="eastAsia"/>
                <w:color w:val="000000"/>
                <w:kern w:val="0"/>
                <w:sz w:val="18"/>
                <w:szCs w:val="18"/>
              </w:rPr>
              <w:t>裁量基准</w:t>
            </w:r>
          </w:p>
        </w:tc>
      </w:tr>
      <w:tr w14:paraId="1C9E71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2" w:hRule="atLeast"/>
        </w:trPr>
        <w:tc>
          <w:tcPr>
            <w:tcW w:w="1040" w:type="dxa"/>
            <w:vMerge w:val="restart"/>
            <w:vAlign w:val="center"/>
          </w:tcPr>
          <w:p w14:paraId="3C5D1C97">
            <w:pPr>
              <w:spacing w:line="320" w:lineRule="exact"/>
              <w:jc w:val="center"/>
              <w:rPr>
                <w:color w:val="000000"/>
                <w:kern w:val="0"/>
                <w:sz w:val="18"/>
                <w:szCs w:val="18"/>
              </w:rPr>
            </w:pPr>
            <w:r>
              <w:rPr>
                <w:rFonts w:hint="eastAsia"/>
                <w:color w:val="000000"/>
                <w:kern w:val="0"/>
                <w:sz w:val="18"/>
                <w:szCs w:val="18"/>
              </w:rPr>
              <w:t>情形描述</w:t>
            </w:r>
          </w:p>
        </w:tc>
        <w:tc>
          <w:tcPr>
            <w:tcW w:w="5916" w:type="dxa"/>
            <w:vAlign w:val="center"/>
          </w:tcPr>
          <w:p w14:paraId="166D0210">
            <w:pPr>
              <w:spacing w:line="200" w:lineRule="exact"/>
              <w:jc w:val="left"/>
              <w:rPr>
                <w:color w:val="000000"/>
                <w:kern w:val="0"/>
                <w:sz w:val="18"/>
                <w:szCs w:val="18"/>
              </w:rPr>
            </w:pPr>
            <w:r>
              <w:rPr>
                <w:rFonts w:hint="eastAsia"/>
                <w:color w:val="000000"/>
                <w:kern w:val="0"/>
                <w:sz w:val="18"/>
                <w:szCs w:val="18"/>
              </w:rPr>
              <w:t>转包或者违法分包、监理转让给其他具备相应资质条件他人的，但未发生质量安全事故的。</w:t>
            </w:r>
          </w:p>
        </w:tc>
        <w:tc>
          <w:tcPr>
            <w:tcW w:w="851" w:type="dxa"/>
            <w:vMerge w:val="restart"/>
            <w:vAlign w:val="center"/>
          </w:tcPr>
          <w:p w14:paraId="5C4B28C0">
            <w:pPr>
              <w:spacing w:line="200" w:lineRule="exact"/>
              <w:jc w:val="center"/>
              <w:rPr>
                <w:color w:val="000000"/>
                <w:kern w:val="0"/>
                <w:sz w:val="18"/>
                <w:szCs w:val="18"/>
              </w:rPr>
            </w:pPr>
            <w:r>
              <w:rPr>
                <w:rFonts w:hint="eastAsia"/>
                <w:color w:val="000000"/>
                <w:kern w:val="0"/>
                <w:sz w:val="18"/>
                <w:szCs w:val="18"/>
              </w:rPr>
              <w:t>裁量幅度</w:t>
            </w:r>
          </w:p>
        </w:tc>
        <w:tc>
          <w:tcPr>
            <w:tcW w:w="6239" w:type="dxa"/>
            <w:vAlign w:val="center"/>
          </w:tcPr>
          <w:p w14:paraId="74130E23">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25%</w:t>
            </w:r>
            <w:r>
              <w:rPr>
                <w:rFonts w:hint="eastAsia"/>
                <w:color w:val="000000"/>
                <w:kern w:val="0"/>
                <w:sz w:val="18"/>
                <w:szCs w:val="18"/>
              </w:rPr>
              <w:t>以上</w:t>
            </w:r>
            <w:r>
              <w:rPr>
                <w:color w:val="000000"/>
                <w:kern w:val="0"/>
                <w:sz w:val="18"/>
                <w:szCs w:val="18"/>
              </w:rPr>
              <w:t>30%</w:t>
            </w:r>
            <w:r>
              <w:rPr>
                <w:rFonts w:hint="eastAsia"/>
                <w:color w:val="000000"/>
                <w:kern w:val="0"/>
                <w:sz w:val="18"/>
                <w:szCs w:val="18"/>
              </w:rPr>
              <w:t>以下罚款</w:t>
            </w:r>
          </w:p>
          <w:p w14:paraId="7C1C12E4">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0.5%</w:t>
            </w:r>
            <w:r>
              <w:rPr>
                <w:rFonts w:hint="eastAsia"/>
                <w:color w:val="000000"/>
                <w:kern w:val="0"/>
                <w:sz w:val="18"/>
                <w:szCs w:val="18"/>
              </w:rPr>
              <w:t>以上</w:t>
            </w:r>
            <w:r>
              <w:rPr>
                <w:color w:val="000000"/>
                <w:kern w:val="0"/>
                <w:sz w:val="18"/>
                <w:szCs w:val="18"/>
              </w:rPr>
              <w:t>0.6%</w:t>
            </w:r>
            <w:r>
              <w:rPr>
                <w:rFonts w:hint="eastAsia"/>
                <w:color w:val="000000"/>
                <w:kern w:val="0"/>
                <w:sz w:val="18"/>
                <w:szCs w:val="18"/>
              </w:rPr>
              <w:t>以下罚款</w:t>
            </w:r>
          </w:p>
          <w:p w14:paraId="07919613">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25%</w:t>
            </w:r>
            <w:r>
              <w:rPr>
                <w:rFonts w:hint="eastAsia"/>
                <w:color w:val="000000"/>
                <w:kern w:val="0"/>
                <w:sz w:val="18"/>
                <w:szCs w:val="18"/>
              </w:rPr>
              <w:t>以上</w:t>
            </w:r>
            <w:r>
              <w:rPr>
                <w:color w:val="000000"/>
                <w:kern w:val="0"/>
                <w:sz w:val="18"/>
                <w:szCs w:val="18"/>
              </w:rPr>
              <w:t>30%</w:t>
            </w:r>
            <w:r>
              <w:rPr>
                <w:rFonts w:hint="eastAsia"/>
                <w:color w:val="000000"/>
                <w:kern w:val="0"/>
                <w:sz w:val="18"/>
                <w:szCs w:val="18"/>
              </w:rPr>
              <w:t>以下罚款</w:t>
            </w:r>
          </w:p>
          <w:p w14:paraId="73C061EA">
            <w:pPr>
              <w:spacing w:line="2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58DF47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1040" w:type="dxa"/>
            <w:vMerge w:val="continue"/>
            <w:vAlign w:val="center"/>
          </w:tcPr>
          <w:p w14:paraId="74A7003E">
            <w:pPr>
              <w:spacing w:line="320" w:lineRule="exact"/>
              <w:jc w:val="left"/>
              <w:rPr>
                <w:color w:val="000000"/>
                <w:kern w:val="0"/>
                <w:sz w:val="18"/>
                <w:szCs w:val="18"/>
              </w:rPr>
            </w:pPr>
          </w:p>
        </w:tc>
        <w:tc>
          <w:tcPr>
            <w:tcW w:w="5916" w:type="dxa"/>
            <w:vAlign w:val="center"/>
          </w:tcPr>
          <w:p w14:paraId="16AA0699">
            <w:pPr>
              <w:spacing w:line="200" w:lineRule="exact"/>
              <w:jc w:val="left"/>
              <w:rPr>
                <w:color w:val="000000"/>
                <w:kern w:val="0"/>
                <w:sz w:val="18"/>
                <w:szCs w:val="18"/>
              </w:rPr>
            </w:pPr>
            <w:r>
              <w:rPr>
                <w:rFonts w:hint="eastAsia"/>
                <w:color w:val="000000"/>
                <w:kern w:val="0"/>
                <w:sz w:val="18"/>
                <w:szCs w:val="18"/>
              </w:rPr>
              <w:t>将转包或者违法分包、监理转让给其他不具备相应资质条件他人的，但未发生质量安全事故的。</w:t>
            </w:r>
          </w:p>
        </w:tc>
        <w:tc>
          <w:tcPr>
            <w:tcW w:w="851" w:type="dxa"/>
            <w:vMerge w:val="continue"/>
            <w:vAlign w:val="center"/>
          </w:tcPr>
          <w:p w14:paraId="0C4188A5">
            <w:pPr>
              <w:spacing w:line="200" w:lineRule="exact"/>
              <w:jc w:val="left"/>
              <w:rPr>
                <w:color w:val="000000"/>
                <w:kern w:val="0"/>
                <w:sz w:val="18"/>
                <w:szCs w:val="18"/>
              </w:rPr>
            </w:pPr>
          </w:p>
        </w:tc>
        <w:tc>
          <w:tcPr>
            <w:tcW w:w="6239" w:type="dxa"/>
            <w:vAlign w:val="center"/>
          </w:tcPr>
          <w:p w14:paraId="4FBF7CFD">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以下罚款，责令停业整顿</w:t>
            </w:r>
          </w:p>
          <w:p w14:paraId="67C8CF3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0.6%</w:t>
            </w:r>
            <w:r>
              <w:rPr>
                <w:rFonts w:hint="eastAsia"/>
                <w:color w:val="000000"/>
                <w:kern w:val="0"/>
                <w:sz w:val="18"/>
                <w:szCs w:val="18"/>
              </w:rPr>
              <w:t>以上</w:t>
            </w:r>
            <w:r>
              <w:rPr>
                <w:color w:val="000000"/>
                <w:kern w:val="0"/>
                <w:sz w:val="18"/>
                <w:szCs w:val="18"/>
              </w:rPr>
              <w:t>0.8%</w:t>
            </w:r>
            <w:r>
              <w:rPr>
                <w:rFonts w:hint="eastAsia"/>
                <w:color w:val="000000"/>
                <w:kern w:val="0"/>
                <w:sz w:val="18"/>
                <w:szCs w:val="18"/>
              </w:rPr>
              <w:t>以下罚款，责令停业整顿</w:t>
            </w:r>
          </w:p>
          <w:p w14:paraId="51CC5D29">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以下罚款，责令停业整顿</w:t>
            </w:r>
          </w:p>
          <w:p w14:paraId="50FDC799">
            <w:pPr>
              <w:spacing w:line="2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2CE5C5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1040" w:type="dxa"/>
            <w:vMerge w:val="continue"/>
            <w:tcBorders>
              <w:bottom w:val="single" w:color="auto" w:sz="8" w:space="0"/>
            </w:tcBorders>
            <w:vAlign w:val="center"/>
          </w:tcPr>
          <w:p w14:paraId="258173E4">
            <w:pPr>
              <w:spacing w:line="320" w:lineRule="exact"/>
              <w:jc w:val="left"/>
              <w:rPr>
                <w:color w:val="000000"/>
                <w:kern w:val="0"/>
                <w:sz w:val="18"/>
                <w:szCs w:val="18"/>
              </w:rPr>
            </w:pPr>
          </w:p>
        </w:tc>
        <w:tc>
          <w:tcPr>
            <w:tcW w:w="5916" w:type="dxa"/>
            <w:tcBorders>
              <w:bottom w:val="single" w:color="auto" w:sz="8" w:space="0"/>
            </w:tcBorders>
            <w:vAlign w:val="center"/>
          </w:tcPr>
          <w:p w14:paraId="45F1DA8D">
            <w:pPr>
              <w:spacing w:line="200" w:lineRule="exact"/>
              <w:jc w:val="left"/>
              <w:rPr>
                <w:color w:val="000000"/>
                <w:kern w:val="0"/>
                <w:sz w:val="18"/>
                <w:szCs w:val="18"/>
              </w:rPr>
            </w:pPr>
            <w:r>
              <w:rPr>
                <w:rFonts w:hint="eastAsia"/>
                <w:color w:val="000000"/>
                <w:kern w:val="0"/>
                <w:sz w:val="18"/>
                <w:szCs w:val="18"/>
              </w:rPr>
              <w:t>发生质量安全事故的</w:t>
            </w:r>
          </w:p>
        </w:tc>
        <w:tc>
          <w:tcPr>
            <w:tcW w:w="851" w:type="dxa"/>
            <w:vMerge w:val="continue"/>
            <w:tcBorders>
              <w:bottom w:val="single" w:color="auto" w:sz="8" w:space="0"/>
            </w:tcBorders>
            <w:vAlign w:val="center"/>
          </w:tcPr>
          <w:p w14:paraId="1913E0EC">
            <w:pPr>
              <w:spacing w:line="200" w:lineRule="exact"/>
              <w:jc w:val="left"/>
              <w:rPr>
                <w:color w:val="000000"/>
                <w:kern w:val="0"/>
                <w:sz w:val="18"/>
                <w:szCs w:val="18"/>
              </w:rPr>
            </w:pPr>
          </w:p>
        </w:tc>
        <w:tc>
          <w:tcPr>
            <w:tcW w:w="6239" w:type="dxa"/>
            <w:tcBorders>
              <w:bottom w:val="single" w:color="auto" w:sz="8" w:space="0"/>
            </w:tcBorders>
            <w:vAlign w:val="center"/>
          </w:tcPr>
          <w:p w14:paraId="2F6CFD6B">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以下罚款，降低资质等级或者吊销资质证书</w:t>
            </w:r>
          </w:p>
          <w:p w14:paraId="06D33188">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0.8%</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以下罚款，降低资质等级或者吊销资质证书</w:t>
            </w:r>
          </w:p>
          <w:p w14:paraId="119B1E16">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以下罚款，降低资质等级或者吊销资质证书</w:t>
            </w:r>
          </w:p>
          <w:p w14:paraId="6D0CE61F">
            <w:pPr>
              <w:spacing w:line="2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463C3B85"/>
    <w:p w14:paraId="65E57107"/>
    <w:p w14:paraId="586E3D76"/>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756D49DF">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13C4BAAC">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27726FD0">
            <w:pPr>
              <w:spacing w:line="320" w:lineRule="exact"/>
              <w:jc w:val="left"/>
              <w:rPr>
                <w:rFonts w:eastAsia="仿宋_GB2312"/>
                <w:b/>
                <w:bCs/>
                <w:color w:val="000000"/>
                <w:kern w:val="0"/>
                <w:sz w:val="18"/>
                <w:szCs w:val="18"/>
              </w:rPr>
            </w:pPr>
            <w:r>
              <w:rPr>
                <w:rFonts w:eastAsia="仿宋_GB2312"/>
                <w:b/>
                <w:bCs/>
                <w:color w:val="000000"/>
                <w:kern w:val="0"/>
                <w:sz w:val="18"/>
                <w:szCs w:val="18"/>
              </w:rPr>
              <w:t>320217065000</w:t>
            </w:r>
            <w:r>
              <w:rPr>
                <w:rFonts w:hint="eastAsia" w:eastAsia="仿宋_GB2312"/>
                <w:b/>
                <w:bCs/>
                <w:color w:val="000000"/>
                <w:kern w:val="0"/>
                <w:sz w:val="18"/>
                <w:szCs w:val="18"/>
              </w:rPr>
              <w:t xml:space="preserve"> </w:t>
            </w:r>
          </w:p>
        </w:tc>
      </w:tr>
      <w:tr w14:paraId="2349AEF5">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1CBE9C69">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03D08EA3">
            <w:pPr>
              <w:spacing w:line="320" w:lineRule="exact"/>
              <w:jc w:val="left"/>
              <w:rPr>
                <w:color w:val="000000"/>
                <w:kern w:val="0"/>
                <w:sz w:val="18"/>
                <w:szCs w:val="18"/>
              </w:rPr>
            </w:pPr>
            <w:r>
              <w:rPr>
                <w:rFonts w:hint="eastAsia"/>
                <w:color w:val="000000"/>
                <w:kern w:val="0"/>
                <w:sz w:val="18"/>
                <w:szCs w:val="18"/>
              </w:rPr>
              <w:t>对建设单位将建设工程肢解发包的处罚</w:t>
            </w:r>
          </w:p>
        </w:tc>
      </w:tr>
      <w:tr w14:paraId="7AEEEB25">
        <w:tblPrEx>
          <w:tblCellMar>
            <w:top w:w="0" w:type="dxa"/>
            <w:left w:w="108" w:type="dxa"/>
            <w:bottom w:w="0" w:type="dxa"/>
            <w:right w:w="108" w:type="dxa"/>
          </w:tblCellMar>
        </w:tblPrEx>
        <w:trPr>
          <w:trHeight w:val="1740" w:hRule="atLeast"/>
        </w:trPr>
        <w:tc>
          <w:tcPr>
            <w:tcW w:w="1090" w:type="dxa"/>
            <w:tcBorders>
              <w:top w:val="nil"/>
              <w:left w:val="single" w:color="auto" w:sz="8" w:space="0"/>
              <w:bottom w:val="single" w:color="auto" w:sz="4" w:space="0"/>
              <w:right w:val="single" w:color="auto" w:sz="4" w:space="0"/>
            </w:tcBorders>
            <w:vAlign w:val="center"/>
          </w:tcPr>
          <w:p w14:paraId="78D34F74">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73E1EF1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6AA27577">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建设单位不得将建设工程肢解发包。</w:t>
            </w:r>
          </w:p>
          <w:p w14:paraId="194124FD">
            <w:pPr>
              <w:spacing w:line="320" w:lineRule="exact"/>
              <w:jc w:val="left"/>
              <w:rPr>
                <w:color w:val="000000"/>
                <w:kern w:val="0"/>
                <w:sz w:val="18"/>
                <w:szCs w:val="18"/>
              </w:rPr>
            </w:pPr>
            <w:r>
              <w:rPr>
                <w:rFonts w:hint="eastAsia"/>
                <w:color w:val="000000"/>
                <w:kern w:val="0"/>
                <w:sz w:val="18"/>
                <w:szCs w:val="18"/>
              </w:rPr>
              <w:t>第五十五条　违反本条例规定，建设单位将建设工程肢解发包的，责令改正，处工程合同价款</w:t>
            </w:r>
            <w:r>
              <w:rPr>
                <w:color w:val="000000"/>
                <w:kern w:val="0"/>
                <w:sz w:val="18"/>
                <w:szCs w:val="18"/>
              </w:rPr>
              <w:t>0</w:t>
            </w:r>
            <w:r>
              <w:rPr>
                <w:rFonts w:hint="eastAsia"/>
                <w:color w:val="000000"/>
                <w:kern w:val="0"/>
                <w:sz w:val="18"/>
                <w:szCs w:val="18"/>
              </w:rPr>
              <w:t>．</w:t>
            </w:r>
            <w:r>
              <w:rPr>
                <w:color w:val="000000"/>
                <w:kern w:val="0"/>
                <w:sz w:val="18"/>
                <w:szCs w:val="18"/>
              </w:rPr>
              <w:t>5</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％以下的罚款；对全部或者部分使用国有资金的项目，并可以暂停项目执行或者暂停资金拨付。</w:t>
            </w:r>
          </w:p>
          <w:p w14:paraId="2CE805DD">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7023CCF3">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0A2D7259">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4FEC492C">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3EB167D4">
            <w:pPr>
              <w:spacing w:line="320" w:lineRule="exact"/>
              <w:jc w:val="left"/>
              <w:rPr>
                <w:color w:val="000000"/>
                <w:kern w:val="0"/>
                <w:sz w:val="18"/>
                <w:szCs w:val="18"/>
              </w:rPr>
            </w:pPr>
            <w:r>
              <w:rPr>
                <w:rFonts w:hint="eastAsia"/>
                <w:color w:val="000000"/>
                <w:kern w:val="0"/>
                <w:sz w:val="18"/>
                <w:szCs w:val="18"/>
              </w:rPr>
              <w:t>罚款</w:t>
            </w:r>
          </w:p>
        </w:tc>
      </w:tr>
      <w:tr w14:paraId="53E4C881">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0D62E4A">
            <w:pPr>
              <w:spacing w:line="320" w:lineRule="exact"/>
              <w:jc w:val="center"/>
              <w:rPr>
                <w:color w:val="000000"/>
                <w:kern w:val="0"/>
                <w:sz w:val="18"/>
                <w:szCs w:val="18"/>
              </w:rPr>
            </w:pPr>
            <w:r>
              <w:rPr>
                <w:rFonts w:hint="eastAsia"/>
                <w:color w:val="000000"/>
                <w:kern w:val="0"/>
                <w:sz w:val="18"/>
                <w:szCs w:val="18"/>
              </w:rPr>
              <w:t>裁量基准</w:t>
            </w:r>
          </w:p>
        </w:tc>
      </w:tr>
      <w:tr w14:paraId="655D1596">
        <w:tblPrEx>
          <w:tblCellMar>
            <w:top w:w="0" w:type="dxa"/>
            <w:left w:w="108" w:type="dxa"/>
            <w:bottom w:w="0" w:type="dxa"/>
            <w:right w:w="108" w:type="dxa"/>
          </w:tblCellMar>
        </w:tblPrEx>
        <w:trPr>
          <w:trHeight w:val="480" w:hRule="atLeast"/>
        </w:trPr>
        <w:tc>
          <w:tcPr>
            <w:tcW w:w="1090" w:type="dxa"/>
            <w:vMerge w:val="restart"/>
            <w:tcBorders>
              <w:top w:val="nil"/>
              <w:left w:val="single" w:color="auto" w:sz="8" w:space="0"/>
              <w:bottom w:val="single" w:color="auto" w:sz="4" w:space="0"/>
              <w:right w:val="single" w:color="auto" w:sz="4" w:space="0"/>
            </w:tcBorders>
            <w:vAlign w:val="center"/>
          </w:tcPr>
          <w:p w14:paraId="5639D3D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F43A25B">
            <w:pPr>
              <w:spacing w:line="320" w:lineRule="exact"/>
              <w:jc w:val="left"/>
              <w:rPr>
                <w:color w:val="000000"/>
                <w:kern w:val="0"/>
                <w:sz w:val="18"/>
                <w:szCs w:val="18"/>
              </w:rPr>
            </w:pPr>
            <w:r>
              <w:rPr>
                <w:rFonts w:hint="eastAsia"/>
                <w:color w:val="000000"/>
                <w:kern w:val="0"/>
                <w:sz w:val="18"/>
                <w:szCs w:val="18"/>
              </w:rPr>
              <w:t>将非主体、非关键性工作肢解发包的，且未造成质量安全事故的</w:t>
            </w:r>
          </w:p>
        </w:tc>
        <w:tc>
          <w:tcPr>
            <w:tcW w:w="1080" w:type="dxa"/>
            <w:vMerge w:val="restart"/>
            <w:tcBorders>
              <w:top w:val="nil"/>
              <w:left w:val="single" w:color="auto" w:sz="4" w:space="0"/>
              <w:bottom w:val="single" w:color="auto" w:sz="4" w:space="0"/>
              <w:right w:val="single" w:color="auto" w:sz="4" w:space="0"/>
            </w:tcBorders>
            <w:vAlign w:val="center"/>
          </w:tcPr>
          <w:p w14:paraId="278516B7">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color="auto" w:sz="4" w:space="0"/>
              <w:right w:val="single" w:color="auto" w:sz="8" w:space="0"/>
            </w:tcBorders>
            <w:vAlign w:val="center"/>
          </w:tcPr>
          <w:p w14:paraId="6E61CEBD">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0.5%</w:t>
            </w:r>
            <w:r>
              <w:rPr>
                <w:rFonts w:hint="eastAsia"/>
                <w:color w:val="000000"/>
                <w:kern w:val="0"/>
                <w:sz w:val="18"/>
                <w:szCs w:val="18"/>
              </w:rPr>
              <w:t>以上</w:t>
            </w:r>
            <w:r>
              <w:rPr>
                <w:color w:val="000000"/>
                <w:kern w:val="0"/>
                <w:sz w:val="18"/>
                <w:szCs w:val="18"/>
              </w:rPr>
              <w:t>0.6%</w:t>
            </w:r>
            <w:r>
              <w:rPr>
                <w:rFonts w:hint="eastAsia"/>
                <w:color w:val="000000"/>
                <w:kern w:val="0"/>
                <w:sz w:val="18"/>
                <w:szCs w:val="18"/>
              </w:rPr>
              <w:t>以下罚款</w:t>
            </w:r>
          </w:p>
          <w:p w14:paraId="132B56B4">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7FBCDDE3">
        <w:tblPrEx>
          <w:tblCellMar>
            <w:top w:w="0" w:type="dxa"/>
            <w:left w:w="108" w:type="dxa"/>
            <w:bottom w:w="0" w:type="dxa"/>
            <w:right w:w="108" w:type="dxa"/>
          </w:tblCellMar>
        </w:tblPrEx>
        <w:trPr>
          <w:trHeight w:val="480" w:hRule="atLeast"/>
        </w:trPr>
        <w:tc>
          <w:tcPr>
            <w:tcW w:w="1090" w:type="dxa"/>
            <w:vMerge w:val="continue"/>
            <w:tcBorders>
              <w:top w:val="nil"/>
              <w:left w:val="single" w:color="auto" w:sz="8" w:space="0"/>
              <w:bottom w:val="single" w:color="auto" w:sz="4" w:space="0"/>
              <w:right w:val="single" w:color="auto" w:sz="4" w:space="0"/>
            </w:tcBorders>
            <w:vAlign w:val="center"/>
          </w:tcPr>
          <w:p w14:paraId="708E197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0B7D4A1">
            <w:pPr>
              <w:spacing w:line="320" w:lineRule="exact"/>
              <w:jc w:val="left"/>
              <w:rPr>
                <w:color w:val="000000"/>
                <w:kern w:val="0"/>
                <w:sz w:val="18"/>
                <w:szCs w:val="18"/>
              </w:rPr>
            </w:pPr>
            <w:r>
              <w:rPr>
                <w:rFonts w:hint="eastAsia"/>
                <w:color w:val="000000"/>
                <w:kern w:val="0"/>
                <w:sz w:val="18"/>
                <w:szCs w:val="18"/>
              </w:rPr>
              <w:t>将主体或者关键性工作肢解发包的，且未造成质量安全事故的</w:t>
            </w:r>
          </w:p>
        </w:tc>
        <w:tc>
          <w:tcPr>
            <w:tcW w:w="1080" w:type="dxa"/>
            <w:vMerge w:val="continue"/>
            <w:tcBorders>
              <w:top w:val="nil"/>
              <w:left w:val="single" w:color="auto" w:sz="4" w:space="0"/>
              <w:bottom w:val="single" w:color="auto" w:sz="4" w:space="0"/>
              <w:right w:val="single" w:color="auto" w:sz="4" w:space="0"/>
            </w:tcBorders>
            <w:vAlign w:val="center"/>
          </w:tcPr>
          <w:p w14:paraId="37AA9A9C">
            <w:pPr>
              <w:spacing w:line="320" w:lineRule="exact"/>
              <w:jc w:val="left"/>
              <w:rPr>
                <w:color w:val="000000"/>
                <w:kern w:val="0"/>
                <w:sz w:val="18"/>
                <w:szCs w:val="18"/>
              </w:rPr>
            </w:pPr>
          </w:p>
        </w:tc>
        <w:tc>
          <w:tcPr>
            <w:tcW w:w="5740" w:type="dxa"/>
            <w:tcBorders>
              <w:top w:val="nil"/>
              <w:left w:val="nil"/>
              <w:bottom w:val="single" w:color="auto" w:sz="4" w:space="0"/>
              <w:right w:val="single" w:color="auto" w:sz="8" w:space="0"/>
            </w:tcBorders>
            <w:vAlign w:val="center"/>
          </w:tcPr>
          <w:p w14:paraId="6E6E2FCF">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0.6%</w:t>
            </w:r>
            <w:r>
              <w:rPr>
                <w:rFonts w:hint="eastAsia"/>
                <w:color w:val="000000"/>
                <w:kern w:val="0"/>
                <w:sz w:val="18"/>
                <w:szCs w:val="18"/>
              </w:rPr>
              <w:t>以上</w:t>
            </w:r>
            <w:r>
              <w:rPr>
                <w:color w:val="000000"/>
                <w:kern w:val="0"/>
                <w:sz w:val="18"/>
                <w:szCs w:val="18"/>
              </w:rPr>
              <w:t>0.8%</w:t>
            </w:r>
            <w:r>
              <w:rPr>
                <w:rFonts w:hint="eastAsia"/>
                <w:color w:val="000000"/>
                <w:kern w:val="0"/>
                <w:sz w:val="18"/>
                <w:szCs w:val="18"/>
              </w:rPr>
              <w:t>以下罚款</w:t>
            </w:r>
          </w:p>
          <w:p w14:paraId="03C48991">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7C3862EC">
        <w:tblPrEx>
          <w:tblCellMar>
            <w:top w:w="0" w:type="dxa"/>
            <w:left w:w="108" w:type="dxa"/>
            <w:bottom w:w="0" w:type="dxa"/>
            <w:right w:w="108" w:type="dxa"/>
          </w:tblCellMar>
        </w:tblPrEx>
        <w:trPr>
          <w:trHeight w:val="480" w:hRule="atLeast"/>
        </w:trPr>
        <w:tc>
          <w:tcPr>
            <w:tcW w:w="1090" w:type="dxa"/>
            <w:vMerge w:val="continue"/>
            <w:tcBorders>
              <w:top w:val="nil"/>
              <w:left w:val="single" w:color="auto" w:sz="8" w:space="0"/>
              <w:bottom w:val="single" w:color="auto" w:sz="4" w:space="0"/>
              <w:right w:val="single" w:color="auto" w:sz="4" w:space="0"/>
            </w:tcBorders>
            <w:vAlign w:val="center"/>
          </w:tcPr>
          <w:p w14:paraId="4416DCC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278F768">
            <w:pPr>
              <w:spacing w:line="320" w:lineRule="exact"/>
              <w:jc w:val="left"/>
              <w:rPr>
                <w:color w:val="000000"/>
                <w:kern w:val="0"/>
                <w:sz w:val="18"/>
                <w:szCs w:val="18"/>
              </w:rPr>
            </w:pPr>
            <w:r>
              <w:rPr>
                <w:rFonts w:hint="eastAsia"/>
                <w:color w:val="000000"/>
                <w:kern w:val="0"/>
                <w:sz w:val="18"/>
                <w:szCs w:val="18"/>
              </w:rPr>
              <w:t>将主体和关键性工作肢解发包的或者造成质量安全事故的。</w:t>
            </w:r>
          </w:p>
        </w:tc>
        <w:tc>
          <w:tcPr>
            <w:tcW w:w="1080" w:type="dxa"/>
            <w:vMerge w:val="continue"/>
            <w:tcBorders>
              <w:top w:val="nil"/>
              <w:left w:val="single" w:color="auto" w:sz="4" w:space="0"/>
              <w:bottom w:val="single" w:color="auto" w:sz="4" w:space="0"/>
              <w:right w:val="single" w:color="auto" w:sz="4" w:space="0"/>
            </w:tcBorders>
            <w:vAlign w:val="center"/>
          </w:tcPr>
          <w:p w14:paraId="75297B95">
            <w:pPr>
              <w:spacing w:line="320" w:lineRule="exact"/>
              <w:jc w:val="left"/>
              <w:rPr>
                <w:color w:val="000000"/>
                <w:kern w:val="0"/>
                <w:sz w:val="18"/>
                <w:szCs w:val="18"/>
              </w:rPr>
            </w:pPr>
          </w:p>
        </w:tc>
        <w:tc>
          <w:tcPr>
            <w:tcW w:w="5740" w:type="dxa"/>
            <w:tcBorders>
              <w:top w:val="nil"/>
              <w:left w:val="nil"/>
              <w:bottom w:val="single" w:color="auto" w:sz="4" w:space="0"/>
              <w:right w:val="single" w:color="auto" w:sz="8" w:space="0"/>
            </w:tcBorders>
            <w:vAlign w:val="center"/>
          </w:tcPr>
          <w:p w14:paraId="12840FA2">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0.8%</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w:t>
            </w:r>
          </w:p>
          <w:p w14:paraId="16117AF1">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597649E7"/>
    <w:p w14:paraId="0C9D70B2"/>
    <w:p w14:paraId="2A0875AC"/>
    <w:p w14:paraId="665706AA"/>
    <w:p w14:paraId="0C3E8C63"/>
    <w:tbl>
      <w:tblPr>
        <w:tblStyle w:val="15"/>
        <w:tblW w:w="0" w:type="auto"/>
        <w:tblInd w:w="88" w:type="dxa"/>
        <w:tblLayout w:type="fixed"/>
        <w:tblCellMar>
          <w:top w:w="0" w:type="dxa"/>
          <w:left w:w="108" w:type="dxa"/>
          <w:bottom w:w="0" w:type="dxa"/>
          <w:right w:w="108" w:type="dxa"/>
        </w:tblCellMar>
      </w:tblPr>
      <w:tblGrid>
        <w:gridCol w:w="1010"/>
        <w:gridCol w:w="1562"/>
        <w:gridCol w:w="4578"/>
        <w:gridCol w:w="1000"/>
        <w:gridCol w:w="5866"/>
      </w:tblGrid>
      <w:tr w14:paraId="1C22CA55">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67C41A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28B729A6">
            <w:pPr>
              <w:spacing w:line="320" w:lineRule="exact"/>
              <w:jc w:val="left"/>
              <w:rPr>
                <w:rFonts w:eastAsia="仿宋_GB2312"/>
                <w:b/>
                <w:bCs/>
                <w:color w:val="000000"/>
                <w:kern w:val="0"/>
                <w:sz w:val="18"/>
                <w:szCs w:val="18"/>
              </w:rPr>
            </w:pPr>
            <w:r>
              <w:rPr>
                <w:rFonts w:eastAsia="仿宋_GB2312"/>
                <w:b/>
                <w:bCs/>
                <w:color w:val="000000"/>
                <w:kern w:val="0"/>
                <w:sz w:val="18"/>
                <w:szCs w:val="18"/>
              </w:rPr>
              <w:t>320217066000</w:t>
            </w:r>
          </w:p>
        </w:tc>
      </w:tr>
      <w:tr w14:paraId="2A58E44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521D478">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5A1084EF">
            <w:pPr>
              <w:spacing w:line="320" w:lineRule="exact"/>
              <w:jc w:val="left"/>
              <w:rPr>
                <w:color w:val="000000"/>
                <w:kern w:val="0"/>
                <w:sz w:val="18"/>
                <w:szCs w:val="18"/>
              </w:rPr>
            </w:pPr>
            <w:r>
              <w:rPr>
                <w:rFonts w:hint="eastAsia"/>
                <w:color w:val="000000"/>
                <w:kern w:val="0"/>
                <w:sz w:val="18"/>
                <w:szCs w:val="18"/>
              </w:rPr>
              <w:t>对房产测绘单位在房产面积测算中弄虚作假、欺骗房屋权利人的处罚</w:t>
            </w:r>
          </w:p>
        </w:tc>
      </w:tr>
      <w:tr w14:paraId="2B3E8241">
        <w:tblPrEx>
          <w:tblCellMar>
            <w:top w:w="0" w:type="dxa"/>
            <w:left w:w="108" w:type="dxa"/>
            <w:bottom w:w="0" w:type="dxa"/>
            <w:right w:w="108" w:type="dxa"/>
          </w:tblCellMar>
        </w:tblPrEx>
        <w:trPr>
          <w:trHeight w:val="1380" w:hRule="atLeast"/>
        </w:trPr>
        <w:tc>
          <w:tcPr>
            <w:tcW w:w="1010" w:type="dxa"/>
            <w:tcBorders>
              <w:top w:val="nil"/>
              <w:left w:val="single" w:color="auto" w:sz="8" w:space="0"/>
              <w:bottom w:val="single" w:color="auto" w:sz="4" w:space="0"/>
              <w:right w:val="single" w:color="auto" w:sz="4" w:space="0"/>
            </w:tcBorders>
            <w:vAlign w:val="center"/>
          </w:tcPr>
          <w:p w14:paraId="36303EA0">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582EDB02">
            <w:pPr>
              <w:spacing w:line="320" w:lineRule="exact"/>
              <w:jc w:val="left"/>
              <w:rPr>
                <w:color w:val="000000"/>
                <w:kern w:val="0"/>
                <w:sz w:val="18"/>
                <w:szCs w:val="18"/>
              </w:rPr>
            </w:pPr>
            <w:r>
              <w:rPr>
                <w:rFonts w:hint="eastAsia"/>
                <w:color w:val="000000"/>
                <w:kern w:val="0"/>
                <w:sz w:val="18"/>
                <w:szCs w:val="18"/>
              </w:rPr>
              <w:t>【规章】《房产测绘管理办法》（</w:t>
            </w:r>
            <w:r>
              <w:rPr>
                <w:color w:val="000000"/>
                <w:kern w:val="0"/>
                <w:sz w:val="18"/>
                <w:szCs w:val="18"/>
              </w:rPr>
              <w:t>2000</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国家测绘局令第</w:t>
            </w:r>
            <w:r>
              <w:rPr>
                <w:color w:val="000000"/>
                <w:kern w:val="0"/>
                <w:sz w:val="18"/>
                <w:szCs w:val="18"/>
              </w:rPr>
              <w:t>83</w:t>
            </w:r>
            <w:r>
              <w:rPr>
                <w:rFonts w:hint="eastAsia"/>
                <w:color w:val="000000"/>
                <w:kern w:val="0"/>
                <w:sz w:val="18"/>
                <w:szCs w:val="18"/>
              </w:rPr>
              <w:t>号）</w:t>
            </w:r>
          </w:p>
          <w:p w14:paraId="62929D40">
            <w:pPr>
              <w:spacing w:line="320" w:lineRule="exact"/>
              <w:jc w:val="left"/>
              <w:rPr>
                <w:color w:val="000000"/>
                <w:kern w:val="0"/>
                <w:sz w:val="18"/>
                <w:szCs w:val="18"/>
              </w:rPr>
            </w:pPr>
            <w:r>
              <w:rPr>
                <w:rFonts w:hint="eastAsia"/>
                <w:color w:val="000000"/>
                <w:kern w:val="0"/>
                <w:sz w:val="18"/>
                <w:szCs w:val="18"/>
              </w:rPr>
              <w:t>第四条　房产测绘从业人员应当保证测绘成果的完整、准确，不得违规测绘、弄虚作假，不得损害国家利益、社会公共利益和他人合法权益。</w:t>
            </w:r>
          </w:p>
          <w:p w14:paraId="201309E7">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房产测绘单位有下列情形之一的，由县级以上人民政府房地产行政主管部门给予警告并责令限期改正，并可处以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万元以下的罚款；情节严重的，由发证机关予以降级或者取消其房产测绘资格：</w:t>
            </w:r>
            <w:r>
              <w:rPr>
                <w:color w:val="000000"/>
                <w:kern w:val="0"/>
                <w:sz w:val="18"/>
                <w:szCs w:val="18"/>
              </w:rPr>
              <w:t xml:space="preserve"> </w:t>
            </w:r>
          </w:p>
          <w:p w14:paraId="51F04D42">
            <w:pPr>
              <w:spacing w:line="320" w:lineRule="exact"/>
              <w:jc w:val="left"/>
              <w:rPr>
                <w:color w:val="000000"/>
                <w:kern w:val="0"/>
                <w:sz w:val="18"/>
                <w:szCs w:val="18"/>
              </w:rPr>
            </w:pPr>
            <w:r>
              <w:rPr>
                <w:rFonts w:hint="eastAsia"/>
                <w:color w:val="000000"/>
                <w:kern w:val="0"/>
                <w:sz w:val="18"/>
                <w:szCs w:val="18"/>
              </w:rPr>
              <w:t>（二）在房产面积测算中弄虚作假、欺骗房屋权利人的。</w:t>
            </w:r>
          </w:p>
        </w:tc>
      </w:tr>
      <w:tr w14:paraId="65CA4EA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1B2051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3B09BDD4">
            <w:pPr>
              <w:spacing w:line="320" w:lineRule="exact"/>
              <w:jc w:val="left"/>
              <w:rPr>
                <w:color w:val="000000"/>
                <w:kern w:val="0"/>
                <w:sz w:val="18"/>
                <w:szCs w:val="18"/>
              </w:rPr>
            </w:pPr>
            <w:r>
              <w:rPr>
                <w:rFonts w:hint="eastAsia"/>
                <w:color w:val="000000"/>
                <w:kern w:val="0"/>
                <w:sz w:val="18"/>
                <w:szCs w:val="18"/>
              </w:rPr>
              <w:t>警告，罚款</w:t>
            </w:r>
          </w:p>
        </w:tc>
      </w:tr>
      <w:tr w14:paraId="673B76DC">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6F70C5D1">
            <w:pPr>
              <w:spacing w:line="320" w:lineRule="exact"/>
              <w:jc w:val="center"/>
              <w:rPr>
                <w:color w:val="000000"/>
                <w:kern w:val="0"/>
                <w:sz w:val="18"/>
                <w:szCs w:val="18"/>
              </w:rPr>
            </w:pPr>
            <w:r>
              <w:rPr>
                <w:rFonts w:hint="eastAsia"/>
                <w:color w:val="000000"/>
                <w:kern w:val="0"/>
                <w:sz w:val="18"/>
                <w:szCs w:val="18"/>
              </w:rPr>
              <w:t>裁量基准</w:t>
            </w:r>
          </w:p>
        </w:tc>
      </w:tr>
      <w:tr w14:paraId="3A0CE44A">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37EA7F68">
            <w:pPr>
              <w:spacing w:line="320" w:lineRule="exact"/>
              <w:jc w:val="center"/>
              <w:rPr>
                <w:color w:val="000000"/>
                <w:kern w:val="0"/>
                <w:sz w:val="18"/>
                <w:szCs w:val="18"/>
              </w:rPr>
            </w:pPr>
            <w:r>
              <w:rPr>
                <w:rFonts w:hint="eastAsia"/>
                <w:color w:val="000000"/>
                <w:kern w:val="0"/>
                <w:sz w:val="18"/>
                <w:szCs w:val="18"/>
              </w:rPr>
              <w:t>情形描述</w:t>
            </w:r>
          </w:p>
        </w:tc>
        <w:tc>
          <w:tcPr>
            <w:tcW w:w="1562" w:type="dxa"/>
            <w:vMerge w:val="restart"/>
            <w:tcBorders>
              <w:top w:val="single" w:color="auto" w:sz="4" w:space="0"/>
              <w:left w:val="nil"/>
              <w:right w:val="single" w:color="auto" w:sz="4" w:space="0"/>
            </w:tcBorders>
            <w:vAlign w:val="center"/>
          </w:tcPr>
          <w:p w14:paraId="0B9F7EB0">
            <w:pPr>
              <w:spacing w:line="320" w:lineRule="exact"/>
              <w:jc w:val="left"/>
              <w:rPr>
                <w:color w:val="000000"/>
                <w:kern w:val="0"/>
                <w:sz w:val="18"/>
                <w:szCs w:val="18"/>
              </w:rPr>
            </w:pPr>
            <w:r>
              <w:rPr>
                <w:rFonts w:hint="eastAsia"/>
                <w:color w:val="000000"/>
                <w:kern w:val="0"/>
                <w:sz w:val="18"/>
                <w:szCs w:val="18"/>
              </w:rPr>
              <w:t>按照要求改正</w:t>
            </w:r>
          </w:p>
        </w:tc>
        <w:tc>
          <w:tcPr>
            <w:tcW w:w="4578" w:type="dxa"/>
            <w:tcBorders>
              <w:top w:val="single" w:color="auto" w:sz="4" w:space="0"/>
              <w:left w:val="nil"/>
              <w:bottom w:val="single" w:color="auto" w:sz="4" w:space="0"/>
              <w:right w:val="single" w:color="auto" w:sz="4" w:space="0"/>
            </w:tcBorders>
            <w:vAlign w:val="center"/>
          </w:tcPr>
          <w:p w14:paraId="798850CD">
            <w:pPr>
              <w:spacing w:line="320" w:lineRule="exact"/>
              <w:jc w:val="left"/>
              <w:rPr>
                <w:color w:val="000000"/>
                <w:kern w:val="0"/>
                <w:sz w:val="18"/>
                <w:szCs w:val="18"/>
              </w:rPr>
            </w:pPr>
            <w:r>
              <w:rPr>
                <w:rFonts w:hint="eastAsia"/>
                <w:color w:val="000000"/>
                <w:kern w:val="0"/>
                <w:sz w:val="18"/>
                <w:szCs w:val="18"/>
              </w:rPr>
              <w:t>未损害国家利益、社会公共利益和他人合法权益的</w:t>
            </w:r>
          </w:p>
        </w:tc>
        <w:tc>
          <w:tcPr>
            <w:tcW w:w="1000" w:type="dxa"/>
            <w:vMerge w:val="restart"/>
            <w:tcBorders>
              <w:top w:val="nil"/>
              <w:left w:val="single" w:color="auto" w:sz="4" w:space="0"/>
              <w:right w:val="single" w:color="auto" w:sz="4" w:space="0"/>
            </w:tcBorders>
            <w:vAlign w:val="center"/>
          </w:tcPr>
          <w:p w14:paraId="360AA776">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2C99B62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30AB8E74">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4D904517">
            <w:pPr>
              <w:spacing w:line="320" w:lineRule="exact"/>
              <w:jc w:val="center"/>
              <w:rPr>
                <w:color w:val="000000"/>
                <w:kern w:val="0"/>
                <w:sz w:val="18"/>
                <w:szCs w:val="18"/>
              </w:rPr>
            </w:pPr>
          </w:p>
        </w:tc>
        <w:tc>
          <w:tcPr>
            <w:tcW w:w="1562" w:type="dxa"/>
            <w:vMerge w:val="continue"/>
            <w:tcBorders>
              <w:left w:val="nil"/>
              <w:bottom w:val="single" w:color="auto" w:sz="4" w:space="0"/>
              <w:right w:val="single" w:color="auto" w:sz="4" w:space="0"/>
            </w:tcBorders>
            <w:vAlign w:val="center"/>
          </w:tcPr>
          <w:p w14:paraId="21DAB4DA">
            <w:pPr>
              <w:spacing w:line="320" w:lineRule="exact"/>
              <w:jc w:val="left"/>
              <w:rPr>
                <w:color w:val="000000"/>
                <w:kern w:val="0"/>
                <w:sz w:val="18"/>
                <w:szCs w:val="18"/>
              </w:rPr>
            </w:pPr>
          </w:p>
        </w:tc>
        <w:tc>
          <w:tcPr>
            <w:tcW w:w="4578" w:type="dxa"/>
            <w:tcBorders>
              <w:top w:val="single" w:color="auto" w:sz="4" w:space="0"/>
              <w:left w:val="nil"/>
              <w:bottom w:val="single" w:color="auto" w:sz="4" w:space="0"/>
              <w:right w:val="single" w:color="auto" w:sz="4" w:space="0"/>
            </w:tcBorders>
            <w:vAlign w:val="center"/>
          </w:tcPr>
          <w:p w14:paraId="09D94EF9">
            <w:pPr>
              <w:spacing w:line="320" w:lineRule="exact"/>
              <w:jc w:val="left"/>
              <w:rPr>
                <w:color w:val="000000"/>
                <w:kern w:val="0"/>
                <w:sz w:val="18"/>
                <w:szCs w:val="18"/>
              </w:rPr>
            </w:pPr>
            <w:r>
              <w:rPr>
                <w:rFonts w:hint="eastAsia"/>
                <w:color w:val="000000"/>
                <w:kern w:val="0"/>
                <w:sz w:val="18"/>
                <w:szCs w:val="18"/>
              </w:rPr>
              <w:t>损害国家利益、社会公共利益和他人合法权益的</w:t>
            </w:r>
          </w:p>
        </w:tc>
        <w:tc>
          <w:tcPr>
            <w:tcW w:w="1000" w:type="dxa"/>
            <w:vMerge w:val="continue"/>
            <w:tcBorders>
              <w:left w:val="single" w:color="auto" w:sz="4" w:space="0"/>
              <w:right w:val="single" w:color="auto" w:sz="4" w:space="0"/>
            </w:tcBorders>
            <w:vAlign w:val="center"/>
          </w:tcPr>
          <w:p w14:paraId="0FA6E757">
            <w:pPr>
              <w:spacing w:line="320" w:lineRule="exact"/>
              <w:jc w:val="center"/>
              <w:rPr>
                <w:color w:val="000000"/>
                <w:kern w:val="0"/>
                <w:sz w:val="18"/>
                <w:szCs w:val="18"/>
              </w:rPr>
            </w:pPr>
          </w:p>
        </w:tc>
        <w:tc>
          <w:tcPr>
            <w:tcW w:w="5866" w:type="dxa"/>
            <w:tcBorders>
              <w:top w:val="nil"/>
              <w:left w:val="nil"/>
              <w:bottom w:val="single" w:color="auto" w:sz="4" w:space="0"/>
              <w:right w:val="single" w:color="auto" w:sz="8" w:space="0"/>
            </w:tcBorders>
            <w:vAlign w:val="center"/>
          </w:tcPr>
          <w:p w14:paraId="3D4F994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642CBAE7">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0CF5FF32">
            <w:pPr>
              <w:spacing w:line="320" w:lineRule="exact"/>
              <w:jc w:val="left"/>
              <w:rPr>
                <w:color w:val="000000"/>
                <w:kern w:val="0"/>
                <w:sz w:val="18"/>
                <w:szCs w:val="18"/>
              </w:rPr>
            </w:pPr>
          </w:p>
        </w:tc>
        <w:tc>
          <w:tcPr>
            <w:tcW w:w="1562" w:type="dxa"/>
            <w:vMerge w:val="restart"/>
            <w:tcBorders>
              <w:top w:val="single" w:color="auto" w:sz="4" w:space="0"/>
              <w:left w:val="nil"/>
              <w:right w:val="single" w:color="auto" w:sz="4" w:space="0"/>
            </w:tcBorders>
            <w:vAlign w:val="center"/>
          </w:tcPr>
          <w:p w14:paraId="3EBD46A1">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color="auto" w:sz="4" w:space="0"/>
              <w:left w:val="nil"/>
              <w:bottom w:val="single" w:color="auto" w:sz="4" w:space="0"/>
              <w:right w:val="single" w:color="auto" w:sz="4" w:space="0"/>
            </w:tcBorders>
            <w:vAlign w:val="center"/>
          </w:tcPr>
          <w:p w14:paraId="00ADB1E9">
            <w:pPr>
              <w:spacing w:line="320" w:lineRule="exact"/>
              <w:jc w:val="left"/>
              <w:rPr>
                <w:color w:val="000000"/>
                <w:kern w:val="0"/>
                <w:sz w:val="18"/>
                <w:szCs w:val="18"/>
              </w:rPr>
            </w:pPr>
            <w:r>
              <w:rPr>
                <w:rFonts w:hint="eastAsia"/>
                <w:color w:val="000000"/>
                <w:kern w:val="0"/>
                <w:sz w:val="18"/>
                <w:szCs w:val="18"/>
              </w:rPr>
              <w:t>未损害国家利益、社会公共利益和他人合法权益的</w:t>
            </w:r>
          </w:p>
        </w:tc>
        <w:tc>
          <w:tcPr>
            <w:tcW w:w="1000" w:type="dxa"/>
            <w:vMerge w:val="continue"/>
            <w:tcBorders>
              <w:left w:val="single" w:color="auto" w:sz="4" w:space="0"/>
              <w:right w:val="single" w:color="auto" w:sz="4" w:space="0"/>
            </w:tcBorders>
            <w:vAlign w:val="center"/>
          </w:tcPr>
          <w:p w14:paraId="11CB6BD0">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438E5CA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万元以下罚款，予以降级</w:t>
            </w:r>
          </w:p>
        </w:tc>
      </w:tr>
      <w:tr w14:paraId="6141C7E5">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37ECBC80">
            <w:pPr>
              <w:spacing w:line="320" w:lineRule="exact"/>
              <w:jc w:val="left"/>
              <w:rPr>
                <w:color w:val="000000"/>
                <w:kern w:val="0"/>
                <w:sz w:val="18"/>
                <w:szCs w:val="18"/>
              </w:rPr>
            </w:pPr>
          </w:p>
        </w:tc>
        <w:tc>
          <w:tcPr>
            <w:tcW w:w="1562" w:type="dxa"/>
            <w:vMerge w:val="continue"/>
            <w:tcBorders>
              <w:left w:val="nil"/>
              <w:bottom w:val="single" w:color="auto" w:sz="4" w:space="0"/>
              <w:right w:val="single" w:color="auto" w:sz="4" w:space="0"/>
            </w:tcBorders>
            <w:vAlign w:val="center"/>
          </w:tcPr>
          <w:p w14:paraId="44F18A87">
            <w:pPr>
              <w:spacing w:line="320" w:lineRule="exact"/>
              <w:jc w:val="left"/>
              <w:rPr>
                <w:color w:val="000000"/>
                <w:kern w:val="0"/>
                <w:sz w:val="18"/>
                <w:szCs w:val="18"/>
              </w:rPr>
            </w:pPr>
          </w:p>
        </w:tc>
        <w:tc>
          <w:tcPr>
            <w:tcW w:w="4578" w:type="dxa"/>
            <w:tcBorders>
              <w:top w:val="single" w:color="auto" w:sz="4" w:space="0"/>
              <w:left w:val="nil"/>
              <w:bottom w:val="single" w:color="auto" w:sz="4" w:space="0"/>
              <w:right w:val="single" w:color="auto" w:sz="4" w:space="0"/>
            </w:tcBorders>
            <w:vAlign w:val="center"/>
          </w:tcPr>
          <w:p w14:paraId="6640DBD2">
            <w:pPr>
              <w:spacing w:line="320" w:lineRule="exact"/>
              <w:jc w:val="left"/>
              <w:rPr>
                <w:color w:val="000000"/>
                <w:kern w:val="0"/>
                <w:sz w:val="18"/>
                <w:szCs w:val="18"/>
              </w:rPr>
            </w:pPr>
            <w:r>
              <w:rPr>
                <w:rFonts w:hint="eastAsia"/>
                <w:color w:val="000000"/>
                <w:kern w:val="0"/>
                <w:sz w:val="18"/>
                <w:szCs w:val="18"/>
              </w:rPr>
              <w:t>损害国家利益、社会公共利益和他人合法权益的</w:t>
            </w:r>
          </w:p>
        </w:tc>
        <w:tc>
          <w:tcPr>
            <w:tcW w:w="1000" w:type="dxa"/>
            <w:vMerge w:val="continue"/>
            <w:tcBorders>
              <w:left w:val="single" w:color="auto" w:sz="4" w:space="0"/>
              <w:bottom w:val="single" w:color="auto" w:sz="4" w:space="0"/>
              <w:right w:val="single" w:color="auto" w:sz="4" w:space="0"/>
            </w:tcBorders>
            <w:vAlign w:val="center"/>
          </w:tcPr>
          <w:p w14:paraId="4DBED850">
            <w:pPr>
              <w:spacing w:line="320" w:lineRule="exact"/>
              <w:jc w:val="left"/>
              <w:rPr>
                <w:color w:val="000000"/>
                <w:kern w:val="0"/>
                <w:sz w:val="18"/>
                <w:szCs w:val="18"/>
              </w:rPr>
            </w:pPr>
          </w:p>
        </w:tc>
        <w:tc>
          <w:tcPr>
            <w:tcW w:w="5866" w:type="dxa"/>
            <w:tcBorders>
              <w:top w:val="single" w:color="auto" w:sz="4" w:space="0"/>
              <w:left w:val="nil"/>
              <w:bottom w:val="single" w:color="auto" w:sz="4" w:space="0"/>
              <w:right w:val="single" w:color="auto" w:sz="8" w:space="0"/>
            </w:tcBorders>
            <w:vAlign w:val="center"/>
          </w:tcPr>
          <w:p w14:paraId="07BB534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万元以下罚款，取消其房产测绘资格</w:t>
            </w:r>
          </w:p>
        </w:tc>
      </w:tr>
    </w:tbl>
    <w:p w14:paraId="03B70417"/>
    <w:p w14:paraId="08A5638F"/>
    <w:p w14:paraId="659D333D"/>
    <w:p w14:paraId="7D9EE2F2"/>
    <w:p w14:paraId="312E97A8"/>
    <w:p w14:paraId="32961F10"/>
    <w:p w14:paraId="26B20F79"/>
    <w:p w14:paraId="0C4F699A"/>
    <w:p w14:paraId="4349CE72"/>
    <w:tbl>
      <w:tblPr>
        <w:tblStyle w:val="15"/>
        <w:tblW w:w="0" w:type="auto"/>
        <w:tblInd w:w="88" w:type="dxa"/>
        <w:tblLayout w:type="fixed"/>
        <w:tblCellMar>
          <w:top w:w="0" w:type="dxa"/>
          <w:left w:w="108" w:type="dxa"/>
          <w:bottom w:w="0" w:type="dxa"/>
          <w:right w:w="108" w:type="dxa"/>
        </w:tblCellMar>
      </w:tblPr>
      <w:tblGrid>
        <w:gridCol w:w="1010"/>
        <w:gridCol w:w="1562"/>
        <w:gridCol w:w="4578"/>
        <w:gridCol w:w="1000"/>
        <w:gridCol w:w="5866"/>
      </w:tblGrid>
      <w:tr w14:paraId="6179F96C">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DA29E2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2F47C6D4">
            <w:pPr>
              <w:spacing w:line="320" w:lineRule="exact"/>
              <w:jc w:val="left"/>
              <w:rPr>
                <w:rFonts w:eastAsia="仿宋_GB2312"/>
                <w:b/>
                <w:bCs/>
                <w:color w:val="000000"/>
                <w:kern w:val="0"/>
                <w:sz w:val="18"/>
                <w:szCs w:val="18"/>
              </w:rPr>
            </w:pPr>
            <w:r>
              <w:rPr>
                <w:rFonts w:eastAsia="仿宋_GB2312"/>
                <w:b/>
                <w:bCs/>
                <w:color w:val="000000"/>
                <w:kern w:val="0"/>
                <w:sz w:val="18"/>
                <w:szCs w:val="18"/>
              </w:rPr>
              <w:t>320217067000</w:t>
            </w:r>
          </w:p>
        </w:tc>
      </w:tr>
      <w:tr w14:paraId="45E8683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F658D4B">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0B8E4408">
            <w:pPr>
              <w:spacing w:line="320" w:lineRule="exact"/>
              <w:jc w:val="left"/>
              <w:rPr>
                <w:color w:val="000000"/>
                <w:kern w:val="0"/>
                <w:sz w:val="18"/>
                <w:szCs w:val="18"/>
              </w:rPr>
            </w:pPr>
            <w:r>
              <w:rPr>
                <w:rFonts w:hint="eastAsia"/>
                <w:color w:val="000000"/>
                <w:kern w:val="0"/>
                <w:sz w:val="18"/>
                <w:szCs w:val="18"/>
              </w:rPr>
              <w:t>对房产测绘单位房产面积测算失误，造成重大损失的处罚</w:t>
            </w:r>
          </w:p>
        </w:tc>
      </w:tr>
      <w:tr w14:paraId="7BE0B397">
        <w:tblPrEx>
          <w:tblCellMar>
            <w:top w:w="0" w:type="dxa"/>
            <w:left w:w="108" w:type="dxa"/>
            <w:bottom w:w="0" w:type="dxa"/>
            <w:right w:w="108" w:type="dxa"/>
          </w:tblCellMar>
        </w:tblPrEx>
        <w:trPr>
          <w:trHeight w:val="1575" w:hRule="atLeast"/>
        </w:trPr>
        <w:tc>
          <w:tcPr>
            <w:tcW w:w="1010" w:type="dxa"/>
            <w:tcBorders>
              <w:top w:val="nil"/>
              <w:left w:val="single" w:color="auto" w:sz="8" w:space="0"/>
              <w:bottom w:val="single" w:color="auto" w:sz="4" w:space="0"/>
              <w:right w:val="single" w:color="auto" w:sz="4" w:space="0"/>
            </w:tcBorders>
            <w:vAlign w:val="center"/>
          </w:tcPr>
          <w:p w14:paraId="18AECE2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5576EB1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【规章】《房产测绘管理办法》（</w:t>
            </w:r>
            <w:r>
              <w:rPr>
                <w:color w:val="000000"/>
                <w:kern w:val="0"/>
                <w:sz w:val="18"/>
                <w:szCs w:val="18"/>
              </w:rPr>
              <w:t>2000</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国家测绘局令第</w:t>
            </w:r>
            <w:r>
              <w:rPr>
                <w:color w:val="000000"/>
                <w:kern w:val="0"/>
                <w:sz w:val="18"/>
                <w:szCs w:val="18"/>
              </w:rPr>
              <w:t>83</w:t>
            </w:r>
            <w:r>
              <w:rPr>
                <w:rFonts w:hint="eastAsia"/>
                <w:color w:val="000000"/>
                <w:kern w:val="0"/>
                <w:sz w:val="18"/>
                <w:szCs w:val="18"/>
              </w:rPr>
              <w:t>号）</w:t>
            </w:r>
          </w:p>
          <w:p w14:paraId="2917C013">
            <w:pPr>
              <w:spacing w:line="320" w:lineRule="exact"/>
              <w:jc w:val="left"/>
              <w:rPr>
                <w:color w:val="000000"/>
                <w:kern w:val="0"/>
                <w:sz w:val="18"/>
                <w:szCs w:val="18"/>
              </w:rPr>
            </w:pPr>
            <w:r>
              <w:rPr>
                <w:rFonts w:hint="eastAsia"/>
                <w:color w:val="000000"/>
                <w:kern w:val="0"/>
                <w:sz w:val="18"/>
                <w:szCs w:val="18"/>
              </w:rPr>
              <w:t>第三条第一款</w:t>
            </w:r>
            <w:r>
              <w:rPr>
                <w:color w:val="000000"/>
                <w:kern w:val="0"/>
                <w:sz w:val="18"/>
                <w:szCs w:val="18"/>
              </w:rPr>
              <w:t xml:space="preserve">  </w:t>
            </w:r>
            <w:r>
              <w:rPr>
                <w:rFonts w:hint="eastAsia"/>
                <w:color w:val="000000"/>
                <w:kern w:val="0"/>
                <w:sz w:val="18"/>
                <w:szCs w:val="18"/>
              </w:rPr>
              <w:t>房产测绘单位应当严格遵守国家有关法律、法规，执行国家房产测量规范和有关技术标准、规定，对其完成的房产测绘成果质量负责。</w:t>
            </w:r>
          </w:p>
          <w:p w14:paraId="3BA152C2">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房产测绘单位有下列情形之一的，由县级以上人民政府房地产行政主管部门给予警告并责令限期改正，并可处以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万元以下的罚款；情节严重的，由发证机关予以降级或者取消其房产测绘资格：</w:t>
            </w:r>
            <w:r>
              <w:rPr>
                <w:color w:val="000000"/>
                <w:kern w:val="0"/>
                <w:sz w:val="18"/>
                <w:szCs w:val="18"/>
              </w:rPr>
              <w:t xml:space="preserve"> </w:t>
            </w:r>
          </w:p>
          <w:p w14:paraId="78B449FF">
            <w:pPr>
              <w:spacing w:line="320" w:lineRule="exact"/>
              <w:jc w:val="left"/>
              <w:rPr>
                <w:color w:val="000000"/>
                <w:kern w:val="0"/>
                <w:sz w:val="18"/>
                <w:szCs w:val="18"/>
              </w:rPr>
            </w:pPr>
            <w:r>
              <w:rPr>
                <w:rFonts w:hint="eastAsia"/>
                <w:color w:val="000000"/>
                <w:kern w:val="0"/>
                <w:sz w:val="18"/>
                <w:szCs w:val="18"/>
              </w:rPr>
              <w:t>（三）房产面积测算失误，造成重大损失的。</w:t>
            </w:r>
          </w:p>
        </w:tc>
      </w:tr>
      <w:tr w14:paraId="363A790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7EABDD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0ECB8656">
            <w:pPr>
              <w:spacing w:line="320" w:lineRule="exact"/>
              <w:jc w:val="left"/>
              <w:rPr>
                <w:color w:val="000000"/>
                <w:kern w:val="0"/>
                <w:sz w:val="18"/>
                <w:szCs w:val="18"/>
              </w:rPr>
            </w:pPr>
            <w:r>
              <w:rPr>
                <w:rFonts w:hint="eastAsia"/>
                <w:color w:val="000000"/>
                <w:kern w:val="0"/>
                <w:sz w:val="18"/>
                <w:szCs w:val="18"/>
              </w:rPr>
              <w:t>警告，罚款</w:t>
            </w:r>
            <w:r>
              <w:rPr>
                <w:color w:val="000000"/>
                <w:kern w:val="0"/>
                <w:sz w:val="18"/>
                <w:szCs w:val="18"/>
              </w:rPr>
              <w:t xml:space="preserve"> </w:t>
            </w:r>
          </w:p>
        </w:tc>
      </w:tr>
      <w:tr w14:paraId="24A840D0">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51C9258F">
            <w:pPr>
              <w:spacing w:line="320" w:lineRule="exact"/>
              <w:jc w:val="center"/>
              <w:rPr>
                <w:color w:val="000000"/>
                <w:kern w:val="0"/>
                <w:sz w:val="18"/>
                <w:szCs w:val="18"/>
              </w:rPr>
            </w:pPr>
            <w:r>
              <w:rPr>
                <w:rFonts w:hint="eastAsia"/>
                <w:color w:val="000000"/>
                <w:kern w:val="0"/>
                <w:sz w:val="18"/>
                <w:szCs w:val="18"/>
              </w:rPr>
              <w:t>裁量基准</w:t>
            </w:r>
          </w:p>
        </w:tc>
      </w:tr>
      <w:tr w14:paraId="06FEEC92">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487F9651">
            <w:pPr>
              <w:spacing w:line="320" w:lineRule="exact"/>
              <w:jc w:val="center"/>
              <w:rPr>
                <w:color w:val="000000"/>
                <w:kern w:val="0"/>
                <w:sz w:val="18"/>
                <w:szCs w:val="18"/>
              </w:rPr>
            </w:pPr>
            <w:r>
              <w:rPr>
                <w:rFonts w:hint="eastAsia"/>
                <w:color w:val="000000"/>
                <w:kern w:val="0"/>
                <w:sz w:val="18"/>
                <w:szCs w:val="18"/>
              </w:rPr>
              <w:t>情形描述</w:t>
            </w:r>
          </w:p>
        </w:tc>
        <w:tc>
          <w:tcPr>
            <w:tcW w:w="1562" w:type="dxa"/>
            <w:vMerge w:val="restart"/>
            <w:tcBorders>
              <w:top w:val="single" w:color="auto" w:sz="4" w:space="0"/>
              <w:left w:val="nil"/>
              <w:right w:val="single" w:color="auto" w:sz="4" w:space="0"/>
            </w:tcBorders>
            <w:vAlign w:val="center"/>
          </w:tcPr>
          <w:p w14:paraId="0B908CB8">
            <w:pPr>
              <w:spacing w:line="320" w:lineRule="exact"/>
              <w:jc w:val="left"/>
              <w:rPr>
                <w:color w:val="000000"/>
                <w:kern w:val="0"/>
                <w:sz w:val="18"/>
                <w:szCs w:val="18"/>
              </w:rPr>
            </w:pPr>
            <w:r>
              <w:rPr>
                <w:rFonts w:hint="eastAsia"/>
                <w:color w:val="000000"/>
                <w:kern w:val="0"/>
                <w:sz w:val="18"/>
                <w:szCs w:val="18"/>
              </w:rPr>
              <w:t>按照要求改正</w:t>
            </w:r>
          </w:p>
        </w:tc>
        <w:tc>
          <w:tcPr>
            <w:tcW w:w="4578" w:type="dxa"/>
            <w:tcBorders>
              <w:top w:val="single" w:color="auto" w:sz="4" w:space="0"/>
              <w:left w:val="nil"/>
              <w:bottom w:val="single" w:color="auto" w:sz="4" w:space="0"/>
              <w:right w:val="single" w:color="auto" w:sz="4" w:space="0"/>
            </w:tcBorders>
            <w:vAlign w:val="center"/>
          </w:tcPr>
          <w:p w14:paraId="7FCBCA08">
            <w:pPr>
              <w:spacing w:line="320" w:lineRule="exact"/>
              <w:jc w:val="left"/>
              <w:rPr>
                <w:color w:val="000000"/>
                <w:kern w:val="0"/>
                <w:sz w:val="18"/>
                <w:szCs w:val="18"/>
              </w:rPr>
            </w:pPr>
            <w:r>
              <w:rPr>
                <w:rFonts w:hint="eastAsia"/>
                <w:color w:val="000000"/>
                <w:kern w:val="0"/>
                <w:sz w:val="18"/>
                <w:szCs w:val="18"/>
              </w:rPr>
              <w:t>挽回损失的</w:t>
            </w:r>
          </w:p>
        </w:tc>
        <w:tc>
          <w:tcPr>
            <w:tcW w:w="1000" w:type="dxa"/>
            <w:vMerge w:val="restart"/>
            <w:tcBorders>
              <w:top w:val="nil"/>
              <w:left w:val="single" w:color="auto" w:sz="4" w:space="0"/>
              <w:right w:val="single" w:color="auto" w:sz="4" w:space="0"/>
            </w:tcBorders>
            <w:vAlign w:val="center"/>
          </w:tcPr>
          <w:p w14:paraId="546F368A">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24C19D0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0D8A9CF6">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792E3B86">
            <w:pPr>
              <w:spacing w:line="320" w:lineRule="exact"/>
              <w:jc w:val="center"/>
              <w:rPr>
                <w:color w:val="000000"/>
                <w:kern w:val="0"/>
                <w:sz w:val="18"/>
                <w:szCs w:val="18"/>
              </w:rPr>
            </w:pPr>
          </w:p>
        </w:tc>
        <w:tc>
          <w:tcPr>
            <w:tcW w:w="1562" w:type="dxa"/>
            <w:vMerge w:val="continue"/>
            <w:tcBorders>
              <w:left w:val="nil"/>
              <w:bottom w:val="single" w:color="auto" w:sz="4" w:space="0"/>
              <w:right w:val="single" w:color="auto" w:sz="4" w:space="0"/>
            </w:tcBorders>
            <w:vAlign w:val="center"/>
          </w:tcPr>
          <w:p w14:paraId="19A3B3E5">
            <w:pPr>
              <w:spacing w:line="320" w:lineRule="exact"/>
              <w:jc w:val="left"/>
              <w:rPr>
                <w:color w:val="000000"/>
                <w:kern w:val="0"/>
                <w:sz w:val="18"/>
                <w:szCs w:val="18"/>
              </w:rPr>
            </w:pPr>
          </w:p>
        </w:tc>
        <w:tc>
          <w:tcPr>
            <w:tcW w:w="4578" w:type="dxa"/>
            <w:tcBorders>
              <w:top w:val="single" w:color="auto" w:sz="4" w:space="0"/>
              <w:left w:val="nil"/>
              <w:bottom w:val="single" w:color="auto" w:sz="4" w:space="0"/>
              <w:right w:val="single" w:color="auto" w:sz="4" w:space="0"/>
            </w:tcBorders>
            <w:vAlign w:val="center"/>
          </w:tcPr>
          <w:p w14:paraId="66E5477B">
            <w:pPr>
              <w:spacing w:line="320" w:lineRule="exact"/>
              <w:jc w:val="left"/>
              <w:rPr>
                <w:color w:val="000000"/>
                <w:kern w:val="0"/>
                <w:sz w:val="18"/>
                <w:szCs w:val="18"/>
              </w:rPr>
            </w:pPr>
            <w:r>
              <w:rPr>
                <w:rFonts w:hint="eastAsia"/>
                <w:color w:val="000000"/>
                <w:kern w:val="0"/>
                <w:sz w:val="18"/>
                <w:szCs w:val="18"/>
              </w:rPr>
              <w:t>未挽回损失的</w:t>
            </w:r>
          </w:p>
        </w:tc>
        <w:tc>
          <w:tcPr>
            <w:tcW w:w="1000" w:type="dxa"/>
            <w:vMerge w:val="continue"/>
            <w:tcBorders>
              <w:left w:val="single" w:color="auto" w:sz="4" w:space="0"/>
              <w:right w:val="single" w:color="auto" w:sz="4" w:space="0"/>
            </w:tcBorders>
            <w:vAlign w:val="center"/>
          </w:tcPr>
          <w:p w14:paraId="660D4E0F">
            <w:pPr>
              <w:spacing w:line="320" w:lineRule="exact"/>
              <w:jc w:val="center"/>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19B1A0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559E122D">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2EB59ABE">
            <w:pPr>
              <w:spacing w:line="320" w:lineRule="exact"/>
              <w:jc w:val="left"/>
              <w:rPr>
                <w:color w:val="000000"/>
                <w:kern w:val="0"/>
                <w:sz w:val="18"/>
                <w:szCs w:val="18"/>
              </w:rPr>
            </w:pPr>
          </w:p>
        </w:tc>
        <w:tc>
          <w:tcPr>
            <w:tcW w:w="1562" w:type="dxa"/>
            <w:vMerge w:val="restart"/>
            <w:tcBorders>
              <w:top w:val="single" w:color="auto" w:sz="4" w:space="0"/>
              <w:left w:val="nil"/>
              <w:right w:val="single" w:color="auto" w:sz="4" w:space="0"/>
            </w:tcBorders>
            <w:vAlign w:val="center"/>
          </w:tcPr>
          <w:p w14:paraId="4E9CB2C0">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color="auto" w:sz="4" w:space="0"/>
              <w:left w:val="nil"/>
              <w:bottom w:val="single" w:color="auto" w:sz="4" w:space="0"/>
              <w:right w:val="single" w:color="auto" w:sz="4" w:space="0"/>
            </w:tcBorders>
            <w:vAlign w:val="center"/>
          </w:tcPr>
          <w:p w14:paraId="247A6D42">
            <w:pPr>
              <w:spacing w:line="320" w:lineRule="exact"/>
              <w:jc w:val="left"/>
              <w:rPr>
                <w:color w:val="000000"/>
                <w:kern w:val="0"/>
                <w:sz w:val="18"/>
                <w:szCs w:val="18"/>
              </w:rPr>
            </w:pPr>
            <w:r>
              <w:rPr>
                <w:rFonts w:hint="eastAsia"/>
                <w:color w:val="000000"/>
                <w:kern w:val="0"/>
                <w:sz w:val="18"/>
                <w:szCs w:val="18"/>
              </w:rPr>
              <w:t>损失尚可挽回的</w:t>
            </w:r>
          </w:p>
        </w:tc>
        <w:tc>
          <w:tcPr>
            <w:tcW w:w="1000" w:type="dxa"/>
            <w:vMerge w:val="continue"/>
            <w:tcBorders>
              <w:left w:val="single" w:color="auto" w:sz="4" w:space="0"/>
              <w:right w:val="single" w:color="auto" w:sz="4" w:space="0"/>
            </w:tcBorders>
            <w:vAlign w:val="center"/>
          </w:tcPr>
          <w:p w14:paraId="0937233A">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9E2752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万元以下罚款，予以降级</w:t>
            </w:r>
          </w:p>
        </w:tc>
      </w:tr>
      <w:tr w14:paraId="78AB176D">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0391A198">
            <w:pPr>
              <w:spacing w:line="320" w:lineRule="exact"/>
              <w:jc w:val="left"/>
              <w:rPr>
                <w:color w:val="000000"/>
                <w:kern w:val="0"/>
                <w:sz w:val="18"/>
                <w:szCs w:val="18"/>
              </w:rPr>
            </w:pPr>
          </w:p>
        </w:tc>
        <w:tc>
          <w:tcPr>
            <w:tcW w:w="1562" w:type="dxa"/>
            <w:vMerge w:val="continue"/>
            <w:tcBorders>
              <w:left w:val="nil"/>
              <w:bottom w:val="single" w:color="auto" w:sz="4" w:space="0"/>
              <w:right w:val="single" w:color="auto" w:sz="4" w:space="0"/>
            </w:tcBorders>
            <w:vAlign w:val="center"/>
          </w:tcPr>
          <w:p w14:paraId="727FF6A1">
            <w:pPr>
              <w:spacing w:line="320" w:lineRule="exact"/>
              <w:jc w:val="left"/>
              <w:rPr>
                <w:color w:val="000000"/>
                <w:kern w:val="0"/>
                <w:sz w:val="18"/>
                <w:szCs w:val="18"/>
              </w:rPr>
            </w:pPr>
          </w:p>
        </w:tc>
        <w:tc>
          <w:tcPr>
            <w:tcW w:w="4578" w:type="dxa"/>
            <w:tcBorders>
              <w:top w:val="single" w:color="auto" w:sz="4" w:space="0"/>
              <w:left w:val="nil"/>
              <w:bottom w:val="single" w:color="auto" w:sz="4" w:space="0"/>
              <w:right w:val="single" w:color="auto" w:sz="4" w:space="0"/>
            </w:tcBorders>
            <w:vAlign w:val="center"/>
          </w:tcPr>
          <w:p w14:paraId="6B49D7B6">
            <w:pPr>
              <w:spacing w:line="320" w:lineRule="exact"/>
              <w:jc w:val="left"/>
              <w:rPr>
                <w:color w:val="000000"/>
                <w:kern w:val="0"/>
                <w:sz w:val="18"/>
                <w:szCs w:val="18"/>
              </w:rPr>
            </w:pPr>
            <w:r>
              <w:rPr>
                <w:rFonts w:hint="eastAsia"/>
                <w:color w:val="000000"/>
                <w:kern w:val="0"/>
                <w:sz w:val="18"/>
                <w:szCs w:val="18"/>
              </w:rPr>
              <w:t>损失无法挽回的</w:t>
            </w:r>
          </w:p>
        </w:tc>
        <w:tc>
          <w:tcPr>
            <w:tcW w:w="1000" w:type="dxa"/>
            <w:vMerge w:val="continue"/>
            <w:tcBorders>
              <w:left w:val="single" w:color="auto" w:sz="4" w:space="0"/>
              <w:bottom w:val="single" w:color="auto" w:sz="4" w:space="0"/>
              <w:right w:val="single" w:color="auto" w:sz="4" w:space="0"/>
            </w:tcBorders>
            <w:vAlign w:val="center"/>
          </w:tcPr>
          <w:p w14:paraId="3D0B6115">
            <w:pPr>
              <w:spacing w:line="320" w:lineRule="exact"/>
              <w:jc w:val="left"/>
              <w:rPr>
                <w:color w:val="000000"/>
                <w:kern w:val="0"/>
                <w:sz w:val="18"/>
                <w:szCs w:val="18"/>
              </w:rPr>
            </w:pPr>
          </w:p>
        </w:tc>
        <w:tc>
          <w:tcPr>
            <w:tcW w:w="5866" w:type="dxa"/>
            <w:tcBorders>
              <w:top w:val="single" w:color="auto" w:sz="4" w:space="0"/>
              <w:left w:val="nil"/>
              <w:bottom w:val="single" w:color="auto" w:sz="4" w:space="0"/>
              <w:right w:val="single" w:color="auto" w:sz="8" w:space="0"/>
            </w:tcBorders>
            <w:vAlign w:val="center"/>
          </w:tcPr>
          <w:p w14:paraId="44D9F84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万元以下罚款，取消其房产测绘资格</w:t>
            </w:r>
          </w:p>
        </w:tc>
      </w:tr>
    </w:tbl>
    <w:p w14:paraId="4421A100"/>
    <w:p w14:paraId="12C2A213"/>
    <w:p w14:paraId="4BA07E41"/>
    <w:p w14:paraId="745BE020"/>
    <w:p w14:paraId="55759B8B"/>
    <w:p w14:paraId="30AF62A5"/>
    <w:p w14:paraId="3E580ECD"/>
    <w:p w14:paraId="672FF1CB"/>
    <w:p w14:paraId="074C4DAD"/>
    <w:tbl>
      <w:tblPr>
        <w:tblStyle w:val="15"/>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6012"/>
        <w:gridCol w:w="1074"/>
        <w:gridCol w:w="5820"/>
      </w:tblGrid>
      <w:tr w14:paraId="273B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49" w:type="dxa"/>
            <w:vAlign w:val="center"/>
          </w:tcPr>
          <w:p w14:paraId="7078674D">
            <w:pPr>
              <w:spacing w:line="240" w:lineRule="exact"/>
              <w:rPr>
                <w:color w:val="000000"/>
              </w:rPr>
            </w:pPr>
            <w:r>
              <w:rPr>
                <w:rFonts w:hint="eastAsia"/>
                <w:color w:val="000000"/>
              </w:rPr>
              <w:t>编号</w:t>
            </w:r>
          </w:p>
        </w:tc>
        <w:tc>
          <w:tcPr>
            <w:tcW w:w="12906" w:type="dxa"/>
            <w:gridSpan w:val="3"/>
            <w:vAlign w:val="center"/>
          </w:tcPr>
          <w:p w14:paraId="184E8426">
            <w:pPr>
              <w:spacing w:line="240" w:lineRule="exact"/>
              <w:rPr>
                <w:b/>
                <w:bCs/>
                <w:color w:val="000000"/>
              </w:rPr>
            </w:pPr>
            <w:r>
              <w:rPr>
                <w:b/>
                <w:bCs/>
                <w:color w:val="000000"/>
              </w:rPr>
              <w:t>320217068000</w:t>
            </w:r>
          </w:p>
        </w:tc>
      </w:tr>
      <w:tr w14:paraId="6778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49" w:type="dxa"/>
            <w:vAlign w:val="center"/>
          </w:tcPr>
          <w:p w14:paraId="4897FC1C">
            <w:pPr>
              <w:spacing w:line="240" w:lineRule="exact"/>
              <w:rPr>
                <w:color w:val="000000"/>
              </w:rPr>
            </w:pPr>
            <w:r>
              <w:rPr>
                <w:rFonts w:hint="eastAsia"/>
                <w:color w:val="000000"/>
              </w:rPr>
              <w:t>行为名称</w:t>
            </w:r>
          </w:p>
        </w:tc>
        <w:tc>
          <w:tcPr>
            <w:tcW w:w="12906" w:type="dxa"/>
            <w:gridSpan w:val="3"/>
            <w:vAlign w:val="center"/>
          </w:tcPr>
          <w:p w14:paraId="3F01E44B">
            <w:pPr>
              <w:spacing w:line="240" w:lineRule="exact"/>
              <w:rPr>
                <w:color w:val="000000"/>
              </w:rPr>
            </w:pPr>
            <w:r>
              <w:rPr>
                <w:rFonts w:hint="eastAsia"/>
                <w:color w:val="000000"/>
              </w:rPr>
              <w:t>对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等的处罚</w:t>
            </w:r>
          </w:p>
        </w:tc>
      </w:tr>
      <w:tr w14:paraId="30BF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1149" w:type="dxa"/>
            <w:vAlign w:val="center"/>
          </w:tcPr>
          <w:p w14:paraId="675A0EC7">
            <w:pPr>
              <w:spacing w:line="240" w:lineRule="exact"/>
              <w:rPr>
                <w:color w:val="000000"/>
              </w:rPr>
            </w:pPr>
            <w:r>
              <w:rPr>
                <w:rFonts w:hint="eastAsia"/>
                <w:color w:val="000000"/>
              </w:rPr>
              <w:t>法律依据</w:t>
            </w:r>
          </w:p>
        </w:tc>
        <w:tc>
          <w:tcPr>
            <w:tcW w:w="12906" w:type="dxa"/>
            <w:gridSpan w:val="3"/>
            <w:vAlign w:val="center"/>
          </w:tcPr>
          <w:p w14:paraId="3BB938FB">
            <w:pPr>
              <w:spacing w:line="240" w:lineRule="exact"/>
              <w:ind w:firstLine="420"/>
              <w:rPr>
                <w:color w:val="000000"/>
              </w:rPr>
            </w:pPr>
            <w:r>
              <w:rPr>
                <w:rFonts w:hint="eastAsia"/>
                <w:color w:val="000000"/>
              </w:rPr>
              <w:t>【行政法规】《中华人民共和国招标投标法实施条例》（国务院令第613号）</w:t>
            </w:r>
          </w:p>
          <w:p w14:paraId="760BECB9">
            <w:pPr>
              <w:spacing w:line="240" w:lineRule="exact"/>
              <w:rPr>
                <w:color w:val="000000"/>
              </w:rPr>
            </w:pPr>
            <w:r>
              <w:rPr>
                <w:rFonts w:hint="eastAsia"/>
                <w:color w:val="000000"/>
              </w:rPr>
              <w:t xml:space="preserve">    第四十九条　评标委员会成员应当依照招标投标法和本条例的规定，按照招标文件规定的评标标准和方法，客观、公正地对投标文件提出评审意见。招标文件没有规定的评标标准和方法不得作为评标的依据。</w:t>
            </w:r>
          </w:p>
          <w:p w14:paraId="0EF1FC33">
            <w:pPr>
              <w:spacing w:line="240" w:lineRule="exact"/>
              <w:ind w:firstLine="420"/>
              <w:rPr>
                <w:color w:val="000000"/>
              </w:rPr>
            </w:pPr>
            <w:r>
              <w:rPr>
                <w:rFonts w:hint="eastAsia"/>
                <w:color w:val="000000"/>
              </w:rPr>
              <w:t>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14:paraId="2736365B">
            <w:pPr>
              <w:spacing w:line="240" w:lineRule="exact"/>
              <w:ind w:firstLine="420"/>
              <w:rPr>
                <w:color w:val="000000"/>
              </w:rPr>
            </w:pPr>
            <w:r>
              <w:rPr>
                <w:rFonts w:hint="eastAsia"/>
                <w:color w:val="000000"/>
              </w:rPr>
              <w:t>第七十一条　评标委员会成员有下列行为之一的，由有关行政监督部门责令改正；情节严重的，禁止其在一定期限内参加依法必须进行招标的项目的评标；情节特别严重的，取消其担任评标委员会成员的资格：</w:t>
            </w:r>
          </w:p>
          <w:p w14:paraId="19C16696">
            <w:pPr>
              <w:spacing w:line="240" w:lineRule="exact"/>
              <w:ind w:firstLine="735" w:firstLineChars="350"/>
              <w:rPr>
                <w:color w:val="000000"/>
              </w:rPr>
            </w:pPr>
            <w:r>
              <w:rPr>
                <w:rFonts w:hint="eastAsia"/>
                <w:color w:val="000000"/>
              </w:rPr>
              <w:t>（一）应当回避而不回避。</w:t>
            </w:r>
          </w:p>
          <w:p w14:paraId="23AB9D98">
            <w:pPr>
              <w:spacing w:line="240" w:lineRule="exact"/>
              <w:ind w:firstLine="735" w:firstLineChars="350"/>
              <w:rPr>
                <w:color w:val="000000"/>
              </w:rPr>
            </w:pPr>
            <w:r>
              <w:rPr>
                <w:rFonts w:hint="eastAsia"/>
                <w:color w:val="000000"/>
              </w:rPr>
              <w:t>（二）擅离职守；</w:t>
            </w:r>
          </w:p>
          <w:p w14:paraId="711BDCC8">
            <w:pPr>
              <w:spacing w:line="240" w:lineRule="exact"/>
              <w:ind w:firstLine="420"/>
              <w:rPr>
                <w:color w:val="000000"/>
              </w:rPr>
            </w:pPr>
            <w:r>
              <w:rPr>
                <w:rFonts w:hint="eastAsia"/>
                <w:color w:val="000000"/>
              </w:rPr>
              <w:t xml:space="preserve">    （三）不按照招标文件规定的评标标准和方法评标；</w:t>
            </w:r>
          </w:p>
          <w:p w14:paraId="03A7A0DB">
            <w:pPr>
              <w:spacing w:line="240" w:lineRule="exact"/>
              <w:ind w:firstLine="420"/>
              <w:rPr>
                <w:color w:val="000000"/>
              </w:rPr>
            </w:pPr>
            <w:r>
              <w:rPr>
                <w:rFonts w:hint="eastAsia"/>
                <w:color w:val="000000"/>
              </w:rPr>
              <w:t xml:space="preserve">    （四）私下接触投标人；</w:t>
            </w:r>
          </w:p>
          <w:p w14:paraId="5AC71191">
            <w:pPr>
              <w:spacing w:line="240" w:lineRule="exact"/>
              <w:ind w:firstLine="420"/>
              <w:rPr>
                <w:color w:val="000000"/>
              </w:rPr>
            </w:pPr>
            <w:r>
              <w:rPr>
                <w:rFonts w:hint="eastAsia"/>
                <w:color w:val="000000"/>
              </w:rPr>
              <w:t xml:space="preserve">    （五）向招标人征询确定中标人的意向或者接受任何单位或者个人明示或者暗示提出的倾向或者排斥特定投标人的要求；</w:t>
            </w:r>
          </w:p>
          <w:p w14:paraId="62E47B03">
            <w:pPr>
              <w:spacing w:line="240" w:lineRule="exact"/>
              <w:ind w:firstLine="420"/>
              <w:rPr>
                <w:color w:val="000000"/>
              </w:rPr>
            </w:pPr>
            <w:r>
              <w:rPr>
                <w:rFonts w:hint="eastAsia"/>
                <w:color w:val="000000"/>
              </w:rPr>
              <w:t xml:space="preserve">    （六）对依法应当否决的投标不提出否决意见；</w:t>
            </w:r>
          </w:p>
          <w:p w14:paraId="271CD563">
            <w:pPr>
              <w:spacing w:line="240" w:lineRule="exact"/>
              <w:ind w:firstLine="420"/>
              <w:rPr>
                <w:color w:val="000000"/>
              </w:rPr>
            </w:pPr>
            <w:r>
              <w:rPr>
                <w:rFonts w:hint="eastAsia"/>
                <w:color w:val="000000"/>
              </w:rPr>
              <w:t xml:space="preserve">    （七）暗示或者诱导投标人作出澄清、说明或者接受投标人主动提出的澄清、说明；</w:t>
            </w:r>
          </w:p>
          <w:p w14:paraId="35E54027">
            <w:pPr>
              <w:spacing w:line="240" w:lineRule="exact"/>
              <w:ind w:firstLine="420"/>
              <w:rPr>
                <w:color w:val="000000"/>
              </w:rPr>
            </w:pPr>
            <w:r>
              <w:rPr>
                <w:rFonts w:hint="eastAsia"/>
                <w:color w:val="000000"/>
              </w:rPr>
              <w:t xml:space="preserve">    （八）其他不客观、不公正履行职务的行为。</w:t>
            </w:r>
          </w:p>
        </w:tc>
      </w:tr>
      <w:tr w14:paraId="383B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49" w:type="dxa"/>
            <w:vAlign w:val="center"/>
          </w:tcPr>
          <w:p w14:paraId="1A008550">
            <w:pPr>
              <w:rPr>
                <w:color w:val="000000"/>
              </w:rPr>
            </w:pPr>
            <w:r>
              <w:rPr>
                <w:rFonts w:hint="eastAsia"/>
                <w:color w:val="000000"/>
              </w:rPr>
              <w:t>行使内容</w:t>
            </w:r>
          </w:p>
        </w:tc>
        <w:tc>
          <w:tcPr>
            <w:tcW w:w="12906" w:type="dxa"/>
            <w:gridSpan w:val="3"/>
            <w:vAlign w:val="center"/>
          </w:tcPr>
          <w:p w14:paraId="0FEC1644">
            <w:pPr>
              <w:ind w:firstLine="420"/>
              <w:rPr>
                <w:color w:val="000000"/>
              </w:rPr>
            </w:pPr>
            <w:r>
              <w:rPr>
                <w:rFonts w:hint="eastAsia"/>
                <w:color w:val="000000"/>
              </w:rPr>
              <w:t>禁止其在一定期限内参加依法必须进行招标的项目的评标，取消其担任评标委员会成员的资格</w:t>
            </w:r>
          </w:p>
        </w:tc>
      </w:tr>
      <w:tr w14:paraId="519F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55" w:type="dxa"/>
            <w:gridSpan w:val="4"/>
            <w:vAlign w:val="center"/>
          </w:tcPr>
          <w:p w14:paraId="46B453AA">
            <w:pPr>
              <w:jc w:val="center"/>
              <w:rPr>
                <w:color w:val="000000"/>
              </w:rPr>
            </w:pPr>
            <w:r>
              <w:rPr>
                <w:rFonts w:hint="eastAsia"/>
                <w:color w:val="000000"/>
              </w:rPr>
              <w:t>裁量基准</w:t>
            </w:r>
          </w:p>
        </w:tc>
      </w:tr>
      <w:tr w14:paraId="6019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49" w:type="dxa"/>
            <w:vMerge w:val="restart"/>
            <w:vAlign w:val="center"/>
          </w:tcPr>
          <w:p w14:paraId="11861D5B">
            <w:pPr>
              <w:rPr>
                <w:color w:val="000000"/>
              </w:rPr>
            </w:pPr>
            <w:r>
              <w:rPr>
                <w:rFonts w:hint="eastAsia"/>
                <w:color w:val="000000"/>
              </w:rPr>
              <w:t>情形描述</w:t>
            </w:r>
          </w:p>
        </w:tc>
        <w:tc>
          <w:tcPr>
            <w:tcW w:w="6012" w:type="dxa"/>
            <w:vAlign w:val="center"/>
          </w:tcPr>
          <w:p w14:paraId="4AB958EC">
            <w:pPr>
              <w:rPr>
                <w:color w:val="000000"/>
              </w:rPr>
            </w:pPr>
            <w:r>
              <w:rPr>
                <w:rFonts w:hint="eastAsia"/>
                <w:color w:val="000000"/>
              </w:rPr>
              <w:t>对中标结果未造成实质性影响的</w:t>
            </w:r>
          </w:p>
        </w:tc>
        <w:tc>
          <w:tcPr>
            <w:tcW w:w="1074" w:type="dxa"/>
            <w:vMerge w:val="restart"/>
            <w:vAlign w:val="center"/>
          </w:tcPr>
          <w:p w14:paraId="2E928E1B">
            <w:pPr>
              <w:rPr>
                <w:color w:val="000000"/>
              </w:rPr>
            </w:pPr>
            <w:r>
              <w:rPr>
                <w:rFonts w:hint="eastAsia"/>
                <w:color w:val="000000"/>
              </w:rPr>
              <w:t>裁量幅度</w:t>
            </w:r>
          </w:p>
        </w:tc>
        <w:tc>
          <w:tcPr>
            <w:tcW w:w="5820" w:type="dxa"/>
            <w:vAlign w:val="center"/>
          </w:tcPr>
          <w:p w14:paraId="19F777CE">
            <w:pPr>
              <w:rPr>
                <w:color w:val="000000"/>
              </w:rPr>
            </w:pPr>
            <w:r>
              <w:rPr>
                <w:rFonts w:hint="eastAsia"/>
                <w:color w:val="000000"/>
              </w:rPr>
              <w:t>禁止其在一定期限内参加依法必须进行招标的项目的评标</w:t>
            </w:r>
          </w:p>
        </w:tc>
      </w:tr>
      <w:tr w14:paraId="1BA6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49" w:type="dxa"/>
            <w:vMerge w:val="continue"/>
            <w:vAlign w:val="center"/>
          </w:tcPr>
          <w:p w14:paraId="1A9FE05E">
            <w:pPr>
              <w:rPr>
                <w:color w:val="000000"/>
              </w:rPr>
            </w:pPr>
          </w:p>
        </w:tc>
        <w:tc>
          <w:tcPr>
            <w:tcW w:w="6012" w:type="dxa"/>
            <w:vAlign w:val="center"/>
          </w:tcPr>
          <w:p w14:paraId="22D9B0A4">
            <w:pPr>
              <w:rPr>
                <w:color w:val="000000"/>
              </w:rPr>
            </w:pPr>
            <w:r>
              <w:rPr>
                <w:rFonts w:hint="eastAsia"/>
                <w:color w:val="000000"/>
              </w:rPr>
              <w:t>对中标结果造成实质性影响的</w:t>
            </w:r>
          </w:p>
        </w:tc>
        <w:tc>
          <w:tcPr>
            <w:tcW w:w="1074" w:type="dxa"/>
            <w:vMerge w:val="continue"/>
            <w:vAlign w:val="center"/>
          </w:tcPr>
          <w:p w14:paraId="6697FE6E">
            <w:pPr>
              <w:rPr>
                <w:color w:val="000000"/>
              </w:rPr>
            </w:pPr>
          </w:p>
        </w:tc>
        <w:tc>
          <w:tcPr>
            <w:tcW w:w="5820" w:type="dxa"/>
            <w:vAlign w:val="center"/>
          </w:tcPr>
          <w:p w14:paraId="6D251826">
            <w:pPr>
              <w:rPr>
                <w:color w:val="000000"/>
              </w:rPr>
            </w:pPr>
            <w:r>
              <w:rPr>
                <w:rFonts w:hint="eastAsia"/>
                <w:color w:val="000000"/>
              </w:rPr>
              <w:t>取消其评标专家资格</w:t>
            </w:r>
          </w:p>
        </w:tc>
      </w:tr>
    </w:tbl>
    <w:p w14:paraId="3D1D8191"/>
    <w:p w14:paraId="143E1190"/>
    <w:p w14:paraId="63E44685"/>
    <w:p w14:paraId="0CEE132E"/>
    <w:p w14:paraId="2178A6DE"/>
    <w:tbl>
      <w:tblPr>
        <w:tblStyle w:val="15"/>
        <w:tblW w:w="0" w:type="auto"/>
        <w:tblInd w:w="88" w:type="dxa"/>
        <w:tblLayout w:type="fixed"/>
        <w:tblCellMar>
          <w:top w:w="0" w:type="dxa"/>
          <w:left w:w="108" w:type="dxa"/>
          <w:bottom w:w="0" w:type="dxa"/>
          <w:right w:w="108" w:type="dxa"/>
        </w:tblCellMar>
      </w:tblPr>
      <w:tblGrid>
        <w:gridCol w:w="1056"/>
        <w:gridCol w:w="1516"/>
        <w:gridCol w:w="4624"/>
        <w:gridCol w:w="1060"/>
        <w:gridCol w:w="5760"/>
      </w:tblGrid>
      <w:tr w14:paraId="7D8583D0">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692BE44">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color="auto" w:sz="8" w:space="0"/>
              <w:left w:val="nil"/>
              <w:bottom w:val="single" w:color="auto" w:sz="4" w:space="0"/>
              <w:right w:val="single" w:color="000000" w:sz="8" w:space="0"/>
            </w:tcBorders>
            <w:vAlign w:val="center"/>
          </w:tcPr>
          <w:p w14:paraId="5C1E0D86">
            <w:pPr>
              <w:spacing w:line="320" w:lineRule="exact"/>
              <w:jc w:val="left"/>
              <w:rPr>
                <w:rFonts w:eastAsia="仿宋_GB2312"/>
                <w:b/>
                <w:bCs/>
                <w:color w:val="000000"/>
                <w:kern w:val="0"/>
                <w:sz w:val="18"/>
                <w:szCs w:val="18"/>
              </w:rPr>
            </w:pPr>
            <w:r>
              <w:rPr>
                <w:rFonts w:eastAsia="仿宋_GB2312"/>
                <w:b/>
                <w:bCs/>
                <w:color w:val="000000"/>
                <w:kern w:val="0"/>
                <w:sz w:val="18"/>
                <w:szCs w:val="18"/>
              </w:rPr>
              <w:t>320217069000</w:t>
            </w:r>
            <w:r>
              <w:rPr>
                <w:rFonts w:hint="eastAsia" w:eastAsia="仿宋_GB2312"/>
                <w:b/>
                <w:bCs/>
                <w:color w:val="000000"/>
                <w:kern w:val="0"/>
                <w:sz w:val="18"/>
                <w:szCs w:val="18"/>
              </w:rPr>
              <w:t xml:space="preserve"> </w:t>
            </w:r>
          </w:p>
        </w:tc>
      </w:tr>
      <w:tr w14:paraId="53A3033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BFC5B0A">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color="auto" w:sz="4" w:space="0"/>
              <w:left w:val="nil"/>
              <w:bottom w:val="single" w:color="auto" w:sz="4" w:space="0"/>
              <w:right w:val="single" w:color="000000" w:sz="8" w:space="0"/>
            </w:tcBorders>
            <w:vAlign w:val="center"/>
          </w:tcPr>
          <w:p w14:paraId="11C6D359">
            <w:pPr>
              <w:spacing w:line="320" w:lineRule="exact"/>
              <w:jc w:val="left"/>
              <w:rPr>
                <w:color w:val="000000"/>
                <w:kern w:val="0"/>
                <w:sz w:val="18"/>
                <w:szCs w:val="18"/>
              </w:rPr>
            </w:pPr>
            <w:r>
              <w:rPr>
                <w:rFonts w:hint="eastAsia"/>
                <w:color w:val="000000"/>
                <w:kern w:val="0"/>
                <w:sz w:val="18"/>
                <w:szCs w:val="18"/>
              </w:rPr>
              <w:t>对开发企业不按规定使用商品房预售款项的处罚</w:t>
            </w:r>
          </w:p>
        </w:tc>
      </w:tr>
      <w:tr w14:paraId="52B32359">
        <w:tblPrEx>
          <w:tblCellMar>
            <w:top w:w="0" w:type="dxa"/>
            <w:left w:w="108" w:type="dxa"/>
            <w:bottom w:w="0" w:type="dxa"/>
            <w:right w:w="108" w:type="dxa"/>
          </w:tblCellMar>
        </w:tblPrEx>
        <w:trPr>
          <w:trHeight w:val="885" w:hRule="atLeast"/>
        </w:trPr>
        <w:tc>
          <w:tcPr>
            <w:tcW w:w="1056" w:type="dxa"/>
            <w:tcBorders>
              <w:top w:val="nil"/>
              <w:left w:val="single" w:color="auto" w:sz="8" w:space="0"/>
              <w:bottom w:val="single" w:color="auto" w:sz="4" w:space="0"/>
              <w:right w:val="single" w:color="auto" w:sz="4" w:space="0"/>
            </w:tcBorders>
            <w:vAlign w:val="center"/>
          </w:tcPr>
          <w:p w14:paraId="20FF1CFA">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color="auto" w:sz="4" w:space="0"/>
              <w:left w:val="nil"/>
              <w:bottom w:val="single" w:color="auto" w:sz="4" w:space="0"/>
              <w:right w:val="single" w:color="000000" w:sz="8" w:space="0"/>
            </w:tcBorders>
            <w:vAlign w:val="center"/>
          </w:tcPr>
          <w:p w14:paraId="115D23E8">
            <w:pPr>
              <w:spacing w:line="320" w:lineRule="exact"/>
              <w:jc w:val="left"/>
              <w:rPr>
                <w:color w:val="000000"/>
                <w:kern w:val="0"/>
                <w:sz w:val="18"/>
                <w:szCs w:val="18"/>
              </w:rPr>
            </w:pPr>
            <w:r>
              <w:rPr>
                <w:rFonts w:hint="eastAsia"/>
                <w:color w:val="000000"/>
                <w:kern w:val="0"/>
                <w:sz w:val="18"/>
                <w:szCs w:val="18"/>
              </w:rPr>
              <w:t>【规章】《城市商品房预售管理办法》（</w:t>
            </w:r>
            <w:r>
              <w:rPr>
                <w:color w:val="000000"/>
                <w:kern w:val="0"/>
                <w:sz w:val="18"/>
                <w:szCs w:val="18"/>
              </w:rPr>
              <w:t>2004</w:t>
            </w:r>
            <w:r>
              <w:rPr>
                <w:rFonts w:hint="eastAsia"/>
                <w:color w:val="000000"/>
                <w:kern w:val="0"/>
                <w:sz w:val="18"/>
                <w:szCs w:val="18"/>
              </w:rPr>
              <w:t>年建设部令第</w:t>
            </w:r>
            <w:r>
              <w:rPr>
                <w:color w:val="000000"/>
                <w:kern w:val="0"/>
                <w:sz w:val="18"/>
                <w:szCs w:val="18"/>
              </w:rPr>
              <w:t>131</w:t>
            </w:r>
            <w:r>
              <w:rPr>
                <w:rFonts w:hint="eastAsia"/>
                <w:color w:val="000000"/>
                <w:kern w:val="0"/>
                <w:sz w:val="18"/>
                <w:szCs w:val="18"/>
              </w:rPr>
              <w:t>号）</w:t>
            </w:r>
          </w:p>
          <w:p w14:paraId="6D650CA0">
            <w:pPr>
              <w:spacing w:line="320" w:lineRule="exact"/>
              <w:jc w:val="left"/>
              <w:rPr>
                <w:color w:val="000000"/>
                <w:kern w:val="0"/>
                <w:sz w:val="18"/>
                <w:szCs w:val="18"/>
              </w:rPr>
            </w:pPr>
            <w:r>
              <w:rPr>
                <w:rFonts w:hint="eastAsia"/>
                <w:color w:val="000000"/>
                <w:kern w:val="0"/>
                <w:sz w:val="18"/>
                <w:szCs w:val="18"/>
              </w:rPr>
              <w:t>第十一条第一款</w:t>
            </w:r>
            <w:r>
              <w:rPr>
                <w:color w:val="000000"/>
                <w:kern w:val="0"/>
                <w:sz w:val="18"/>
                <w:szCs w:val="18"/>
              </w:rPr>
              <w:t xml:space="preserve">  </w:t>
            </w:r>
            <w:r>
              <w:rPr>
                <w:rFonts w:hint="eastAsia"/>
                <w:color w:val="000000"/>
                <w:kern w:val="0"/>
                <w:sz w:val="18"/>
                <w:szCs w:val="18"/>
              </w:rPr>
              <w:t>开发企业预售商品房所得款项应当用于有关的工程建设。</w:t>
            </w:r>
          </w:p>
          <w:p w14:paraId="45B6B9B4">
            <w:pPr>
              <w:spacing w:line="320" w:lineRule="exact"/>
              <w:jc w:val="left"/>
              <w:rPr>
                <w:color w:val="000000"/>
                <w:kern w:val="0"/>
                <w:sz w:val="18"/>
                <w:szCs w:val="18"/>
              </w:rPr>
            </w:pP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开发企业不按规定使用商品房预售款项的，由房地产管理部门责令限期纠正，并可处以违法所得</w:t>
            </w:r>
            <w:r>
              <w:rPr>
                <w:color w:val="000000"/>
                <w:kern w:val="0"/>
                <w:sz w:val="18"/>
                <w:szCs w:val="18"/>
              </w:rPr>
              <w:t>3</w:t>
            </w:r>
            <w:r>
              <w:rPr>
                <w:rFonts w:hint="eastAsia"/>
                <w:color w:val="000000"/>
                <w:kern w:val="0"/>
                <w:sz w:val="18"/>
                <w:szCs w:val="18"/>
              </w:rPr>
              <w:t>倍以下但不超过</w:t>
            </w:r>
            <w:r>
              <w:rPr>
                <w:color w:val="000000"/>
                <w:kern w:val="0"/>
                <w:sz w:val="18"/>
                <w:szCs w:val="18"/>
              </w:rPr>
              <w:t>3</w:t>
            </w:r>
            <w:r>
              <w:rPr>
                <w:rFonts w:hint="eastAsia"/>
                <w:color w:val="000000"/>
                <w:kern w:val="0"/>
                <w:sz w:val="18"/>
                <w:szCs w:val="18"/>
              </w:rPr>
              <w:t>万元的罚款。</w:t>
            </w:r>
          </w:p>
        </w:tc>
      </w:tr>
      <w:tr w14:paraId="3789022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8993B9D">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color="auto" w:sz="4" w:space="0"/>
              <w:left w:val="nil"/>
              <w:bottom w:val="single" w:color="auto" w:sz="4" w:space="0"/>
              <w:right w:val="single" w:color="000000" w:sz="8" w:space="0"/>
            </w:tcBorders>
            <w:vAlign w:val="center"/>
          </w:tcPr>
          <w:p w14:paraId="0FD2479F">
            <w:pPr>
              <w:spacing w:line="320" w:lineRule="exact"/>
              <w:jc w:val="left"/>
              <w:rPr>
                <w:color w:val="000000"/>
                <w:kern w:val="0"/>
                <w:sz w:val="18"/>
                <w:szCs w:val="18"/>
              </w:rPr>
            </w:pPr>
            <w:r>
              <w:rPr>
                <w:rFonts w:hint="eastAsia"/>
                <w:color w:val="000000"/>
                <w:kern w:val="0"/>
                <w:sz w:val="18"/>
                <w:szCs w:val="18"/>
              </w:rPr>
              <w:t>罚款</w:t>
            </w:r>
          </w:p>
        </w:tc>
      </w:tr>
      <w:tr w14:paraId="553B031F">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29317DAE">
            <w:pPr>
              <w:spacing w:line="320" w:lineRule="exact"/>
              <w:jc w:val="center"/>
              <w:rPr>
                <w:color w:val="000000"/>
                <w:kern w:val="0"/>
                <w:sz w:val="18"/>
                <w:szCs w:val="18"/>
              </w:rPr>
            </w:pPr>
            <w:r>
              <w:rPr>
                <w:rFonts w:hint="eastAsia"/>
                <w:color w:val="000000"/>
                <w:kern w:val="0"/>
                <w:sz w:val="18"/>
                <w:szCs w:val="18"/>
              </w:rPr>
              <w:t>裁量基准</w:t>
            </w:r>
          </w:p>
        </w:tc>
      </w:tr>
      <w:tr w14:paraId="2E0104D8">
        <w:tblPrEx>
          <w:tblCellMar>
            <w:top w:w="0" w:type="dxa"/>
            <w:left w:w="108" w:type="dxa"/>
            <w:bottom w:w="0" w:type="dxa"/>
            <w:right w:w="108" w:type="dxa"/>
          </w:tblCellMar>
        </w:tblPrEx>
        <w:trPr>
          <w:trHeight w:val="666" w:hRule="atLeast"/>
        </w:trPr>
        <w:tc>
          <w:tcPr>
            <w:tcW w:w="1056" w:type="dxa"/>
            <w:vMerge w:val="restart"/>
            <w:tcBorders>
              <w:top w:val="nil"/>
              <w:left w:val="single" w:color="auto" w:sz="8" w:space="0"/>
              <w:bottom w:val="single" w:color="auto" w:sz="4" w:space="0"/>
              <w:right w:val="single" w:color="auto" w:sz="4" w:space="0"/>
            </w:tcBorders>
            <w:vAlign w:val="center"/>
          </w:tcPr>
          <w:p w14:paraId="5A4AAEDD">
            <w:pPr>
              <w:spacing w:line="320" w:lineRule="exact"/>
              <w:jc w:val="center"/>
              <w:rPr>
                <w:color w:val="000000"/>
                <w:kern w:val="0"/>
                <w:sz w:val="18"/>
                <w:szCs w:val="18"/>
              </w:rPr>
            </w:pPr>
            <w:r>
              <w:rPr>
                <w:rFonts w:hint="eastAsia"/>
                <w:color w:val="000000"/>
                <w:kern w:val="0"/>
                <w:sz w:val="18"/>
                <w:szCs w:val="18"/>
              </w:rPr>
              <w:t>情形描述</w:t>
            </w:r>
          </w:p>
        </w:tc>
        <w:tc>
          <w:tcPr>
            <w:tcW w:w="1516" w:type="dxa"/>
            <w:vMerge w:val="restart"/>
            <w:tcBorders>
              <w:top w:val="single" w:color="auto" w:sz="4" w:space="0"/>
              <w:left w:val="nil"/>
              <w:right w:val="single" w:color="auto" w:sz="4" w:space="0"/>
            </w:tcBorders>
            <w:vAlign w:val="center"/>
          </w:tcPr>
          <w:p w14:paraId="0A0A81F7">
            <w:pPr>
              <w:spacing w:line="320" w:lineRule="exact"/>
              <w:jc w:val="left"/>
              <w:rPr>
                <w:color w:val="000000"/>
                <w:kern w:val="0"/>
                <w:sz w:val="18"/>
                <w:szCs w:val="18"/>
              </w:rPr>
            </w:pPr>
            <w:r>
              <w:rPr>
                <w:rFonts w:hint="eastAsia"/>
                <w:color w:val="000000"/>
                <w:kern w:val="0"/>
                <w:sz w:val="18"/>
                <w:szCs w:val="18"/>
              </w:rPr>
              <w:t>有违法所得</w:t>
            </w:r>
          </w:p>
        </w:tc>
        <w:tc>
          <w:tcPr>
            <w:tcW w:w="4624" w:type="dxa"/>
            <w:tcBorders>
              <w:top w:val="single" w:color="auto" w:sz="4" w:space="0"/>
              <w:left w:val="nil"/>
              <w:right w:val="single" w:color="auto" w:sz="4" w:space="0"/>
            </w:tcBorders>
            <w:vAlign w:val="center"/>
          </w:tcPr>
          <w:p w14:paraId="69EFBBC7">
            <w:pPr>
              <w:spacing w:line="320" w:lineRule="exact"/>
              <w:jc w:val="left"/>
              <w:rPr>
                <w:color w:val="000000"/>
                <w:kern w:val="0"/>
                <w:sz w:val="18"/>
                <w:szCs w:val="18"/>
              </w:rPr>
            </w:pPr>
            <w:r>
              <w:rPr>
                <w:rFonts w:hint="eastAsia"/>
                <w:color w:val="000000"/>
                <w:kern w:val="0"/>
                <w:sz w:val="18"/>
                <w:szCs w:val="18"/>
              </w:rPr>
              <w:t>按照要求整改的</w:t>
            </w:r>
          </w:p>
        </w:tc>
        <w:tc>
          <w:tcPr>
            <w:tcW w:w="1060" w:type="dxa"/>
            <w:vMerge w:val="restart"/>
            <w:tcBorders>
              <w:top w:val="single" w:color="auto" w:sz="4" w:space="0"/>
              <w:left w:val="single" w:color="auto" w:sz="4" w:space="0"/>
              <w:bottom w:val="single" w:color="auto" w:sz="4" w:space="0"/>
              <w:right w:val="single" w:color="auto" w:sz="4" w:space="0"/>
            </w:tcBorders>
            <w:vAlign w:val="center"/>
          </w:tcPr>
          <w:p w14:paraId="64356789">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3D11CB44">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25137A92">
        <w:tblPrEx>
          <w:tblCellMar>
            <w:top w:w="0" w:type="dxa"/>
            <w:left w:w="108" w:type="dxa"/>
            <w:bottom w:w="0" w:type="dxa"/>
            <w:right w:w="108" w:type="dxa"/>
          </w:tblCellMar>
        </w:tblPrEx>
        <w:trPr>
          <w:trHeight w:val="336" w:hRule="atLeast"/>
        </w:trPr>
        <w:tc>
          <w:tcPr>
            <w:tcW w:w="1056" w:type="dxa"/>
            <w:vMerge w:val="continue"/>
            <w:tcBorders>
              <w:top w:val="nil"/>
              <w:left w:val="single" w:color="auto" w:sz="8" w:space="0"/>
              <w:bottom w:val="single" w:color="auto" w:sz="4" w:space="0"/>
              <w:right w:val="single" w:color="auto" w:sz="4" w:space="0"/>
            </w:tcBorders>
            <w:vAlign w:val="center"/>
          </w:tcPr>
          <w:p w14:paraId="519A98F1">
            <w:pPr>
              <w:spacing w:line="320" w:lineRule="exact"/>
              <w:jc w:val="center"/>
              <w:rPr>
                <w:color w:val="000000"/>
                <w:kern w:val="0"/>
                <w:sz w:val="18"/>
                <w:szCs w:val="18"/>
              </w:rPr>
            </w:pPr>
          </w:p>
        </w:tc>
        <w:tc>
          <w:tcPr>
            <w:tcW w:w="1516" w:type="dxa"/>
            <w:vMerge w:val="continue"/>
            <w:tcBorders>
              <w:left w:val="nil"/>
              <w:bottom w:val="single" w:color="auto" w:sz="4" w:space="0"/>
              <w:right w:val="single" w:color="auto" w:sz="4" w:space="0"/>
            </w:tcBorders>
            <w:vAlign w:val="center"/>
          </w:tcPr>
          <w:p w14:paraId="29798DD9">
            <w:pPr>
              <w:spacing w:line="320" w:lineRule="exact"/>
              <w:jc w:val="left"/>
              <w:rPr>
                <w:color w:val="000000"/>
                <w:kern w:val="0"/>
                <w:sz w:val="18"/>
                <w:szCs w:val="18"/>
              </w:rPr>
            </w:pPr>
          </w:p>
        </w:tc>
        <w:tc>
          <w:tcPr>
            <w:tcW w:w="4624" w:type="dxa"/>
            <w:tcBorders>
              <w:top w:val="single" w:color="auto" w:sz="4" w:space="0"/>
              <w:left w:val="nil"/>
              <w:bottom w:val="single" w:color="auto" w:sz="4" w:space="0"/>
              <w:right w:val="single" w:color="auto" w:sz="4" w:space="0"/>
            </w:tcBorders>
            <w:vAlign w:val="center"/>
          </w:tcPr>
          <w:p w14:paraId="1B1B13B9">
            <w:pPr>
              <w:spacing w:line="320" w:lineRule="exact"/>
              <w:jc w:val="left"/>
              <w:rPr>
                <w:color w:val="000000"/>
                <w:kern w:val="0"/>
                <w:sz w:val="18"/>
                <w:szCs w:val="18"/>
              </w:rPr>
            </w:pPr>
            <w:r>
              <w:rPr>
                <w:rFonts w:hint="eastAsia"/>
                <w:color w:val="000000"/>
                <w:kern w:val="0"/>
                <w:sz w:val="18"/>
                <w:szCs w:val="18"/>
              </w:rPr>
              <w:t>未按照要求整改的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73D3AD10">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4B67F1DE">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万元罚款</w:t>
            </w:r>
          </w:p>
        </w:tc>
      </w:tr>
    </w:tbl>
    <w:p w14:paraId="19AF22BB"/>
    <w:p w14:paraId="7ADCF6FB"/>
    <w:p w14:paraId="1CE8ABE0"/>
    <w:p w14:paraId="1FA40088"/>
    <w:p w14:paraId="3FE2492C"/>
    <w:p w14:paraId="6B7A9D03"/>
    <w:p w14:paraId="07F479E1"/>
    <w:p w14:paraId="1D1F1B04"/>
    <w:p w14:paraId="0B7F5631"/>
    <w:p w14:paraId="1FA374A0"/>
    <w:tbl>
      <w:tblPr>
        <w:tblStyle w:val="15"/>
        <w:tblW w:w="0" w:type="auto"/>
        <w:tblInd w:w="78" w:type="dxa"/>
        <w:tblLayout w:type="fixed"/>
        <w:tblCellMar>
          <w:top w:w="0" w:type="dxa"/>
          <w:left w:w="108" w:type="dxa"/>
          <w:bottom w:w="0" w:type="dxa"/>
          <w:right w:w="108" w:type="dxa"/>
        </w:tblCellMar>
      </w:tblPr>
      <w:tblGrid>
        <w:gridCol w:w="1070"/>
        <w:gridCol w:w="4630"/>
        <w:gridCol w:w="1418"/>
        <w:gridCol w:w="6932"/>
      </w:tblGrid>
      <w:tr w14:paraId="5A81DB2E">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68CBD183">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2F07DF67">
            <w:pPr>
              <w:spacing w:line="320" w:lineRule="exact"/>
              <w:jc w:val="left"/>
              <w:rPr>
                <w:rFonts w:eastAsia="仿宋_GB2312"/>
                <w:b/>
                <w:color w:val="000000"/>
                <w:sz w:val="20"/>
              </w:rPr>
            </w:pPr>
            <w:r>
              <w:rPr>
                <w:rFonts w:eastAsia="仿宋_GB2312"/>
                <w:b/>
                <w:color w:val="000000"/>
                <w:sz w:val="20"/>
              </w:rPr>
              <w:t>320217070000</w:t>
            </w:r>
            <w:r>
              <w:rPr>
                <w:rFonts w:hint="eastAsia" w:eastAsia="仿宋_GB2312"/>
                <w:b/>
                <w:color w:val="000000"/>
                <w:sz w:val="20"/>
              </w:rPr>
              <w:t xml:space="preserve"> </w:t>
            </w:r>
          </w:p>
        </w:tc>
      </w:tr>
      <w:tr w14:paraId="4FD89468">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4C7DA6A">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3B10BD55">
            <w:pPr>
              <w:jc w:val="left"/>
              <w:rPr>
                <w:color w:val="000000"/>
                <w:sz w:val="20"/>
              </w:rPr>
            </w:pPr>
            <w:r>
              <w:rPr>
                <w:rFonts w:hint="eastAsia"/>
                <w:color w:val="000000"/>
                <w:sz w:val="20"/>
              </w:rPr>
              <w:t>对擅自拆除、迁移、改动城市道路照明设施的处罚</w:t>
            </w:r>
          </w:p>
        </w:tc>
      </w:tr>
      <w:tr w14:paraId="18DB61E6">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472113DD">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1293B9DD">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t xml:space="preserve"> </w:t>
            </w:r>
            <w:r>
              <w:rPr>
                <w:color w:val="000000"/>
                <w:sz w:val="20"/>
              </w:rPr>
              <w:br w:type="textWrapping"/>
            </w:r>
            <w:r>
              <w:rPr>
                <w:rFonts w:hint="eastAsia"/>
                <w:color w:val="000000"/>
                <w:sz w:val="20"/>
              </w:rPr>
              <w:t>第二十八条第五项　任何单位和个人都应当保护城市照明设施，不得实施下列行为：</w:t>
            </w:r>
            <w:r>
              <w:rPr>
                <w:color w:val="000000"/>
                <w:sz w:val="20"/>
              </w:rPr>
              <w:br w:type="textWrapping"/>
            </w:r>
            <w:r>
              <w:rPr>
                <w:color w:val="000000"/>
                <w:sz w:val="20"/>
              </w:rPr>
              <w:t xml:space="preserve">   </w:t>
            </w:r>
            <w:r>
              <w:rPr>
                <w:rFonts w:hint="eastAsia"/>
                <w:color w:val="000000"/>
                <w:sz w:val="20"/>
              </w:rPr>
              <w:t>（五）擅自迁移、拆除、利用城市照明设施；</w:t>
            </w:r>
            <w:r>
              <w:rPr>
                <w:color w:val="000000"/>
                <w:sz w:val="20"/>
              </w:rPr>
              <w:t xml:space="preserve"> </w:t>
            </w:r>
            <w:r>
              <w:rPr>
                <w:color w:val="000000"/>
                <w:sz w:val="20"/>
              </w:rPr>
              <w:br w:type="textWrapping"/>
            </w:r>
            <w:r>
              <w:rPr>
                <w:rFonts w:hint="eastAsia"/>
                <w:color w:val="000000"/>
                <w:sz w:val="20"/>
              </w:rPr>
              <w:t>第三十二条</w:t>
            </w:r>
            <w:r>
              <w:rPr>
                <w:color w:val="000000"/>
                <w:sz w:val="20"/>
              </w:rPr>
              <w:t xml:space="preserve"> </w:t>
            </w:r>
            <w:r>
              <w:rPr>
                <w:rFonts w:hint="eastAsia"/>
                <w:color w:val="000000"/>
                <w:sz w:val="20"/>
              </w:rPr>
              <w:t>违反本规定，有第二十八条规定行为之一的，</w:t>
            </w:r>
            <w:r>
              <w:rPr>
                <w:color w:val="000000"/>
                <w:sz w:val="20"/>
              </w:rPr>
              <w:t xml:space="preserve"> </w:t>
            </w:r>
            <w:r>
              <w:rPr>
                <w:rFonts w:hint="eastAsia"/>
                <w:color w:val="000000"/>
                <w:sz w:val="20"/>
              </w:rPr>
              <w:t>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p>
        </w:tc>
      </w:tr>
      <w:tr w14:paraId="314D21A1">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97C0E24">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6067A6B2">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6D56A1EB">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5A422FBE">
            <w:pPr>
              <w:spacing w:line="320" w:lineRule="exact"/>
              <w:jc w:val="center"/>
              <w:rPr>
                <w:color w:val="000000"/>
                <w:kern w:val="0"/>
                <w:sz w:val="18"/>
                <w:szCs w:val="18"/>
              </w:rPr>
            </w:pPr>
            <w:r>
              <w:rPr>
                <w:rFonts w:hint="eastAsia"/>
                <w:color w:val="000000"/>
                <w:kern w:val="0"/>
                <w:sz w:val="18"/>
                <w:szCs w:val="18"/>
              </w:rPr>
              <w:t>裁量基准</w:t>
            </w:r>
          </w:p>
        </w:tc>
      </w:tr>
      <w:tr w14:paraId="023CE8FF">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4D351BF3">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color="auto" w:sz="4" w:space="0"/>
              <w:left w:val="nil"/>
              <w:bottom w:val="single" w:color="auto" w:sz="4" w:space="0"/>
              <w:right w:val="single" w:color="auto" w:sz="4" w:space="0"/>
            </w:tcBorders>
            <w:vAlign w:val="center"/>
          </w:tcPr>
          <w:p w14:paraId="2CAF3D31">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color="auto" w:sz="4" w:space="0"/>
              <w:right w:val="single" w:color="auto" w:sz="4" w:space="0"/>
            </w:tcBorders>
            <w:vAlign w:val="center"/>
          </w:tcPr>
          <w:p w14:paraId="24F3766F">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color="auto" w:sz="4" w:space="0"/>
              <w:right w:val="single" w:color="auto" w:sz="8" w:space="0"/>
            </w:tcBorders>
            <w:vAlign w:val="center"/>
          </w:tcPr>
          <w:p w14:paraId="763C4BF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14:paraId="44F3C806">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14:paraId="6B791C79">
        <w:tblPrEx>
          <w:tblCellMar>
            <w:top w:w="0" w:type="dxa"/>
            <w:left w:w="108" w:type="dxa"/>
            <w:bottom w:w="0" w:type="dxa"/>
            <w:right w:w="108" w:type="dxa"/>
          </w:tblCellMar>
        </w:tblPrEx>
        <w:trPr>
          <w:trHeight w:val="285" w:hRule="atLeast"/>
        </w:trPr>
        <w:tc>
          <w:tcPr>
            <w:tcW w:w="1070" w:type="dxa"/>
            <w:vMerge w:val="continue"/>
            <w:tcBorders>
              <w:left w:val="single" w:color="auto" w:sz="8" w:space="0"/>
              <w:bottom w:val="single" w:color="auto" w:sz="4" w:space="0"/>
              <w:right w:val="single" w:color="auto" w:sz="4" w:space="0"/>
            </w:tcBorders>
            <w:vAlign w:val="center"/>
          </w:tcPr>
          <w:p w14:paraId="488F168E">
            <w:pPr>
              <w:jc w:val="left"/>
              <w:rPr>
                <w:color w:val="000000"/>
                <w:kern w:val="0"/>
                <w:sz w:val="18"/>
                <w:szCs w:val="18"/>
              </w:rPr>
            </w:pPr>
          </w:p>
        </w:tc>
        <w:tc>
          <w:tcPr>
            <w:tcW w:w="4630" w:type="dxa"/>
            <w:tcBorders>
              <w:top w:val="single" w:color="auto" w:sz="4" w:space="0"/>
              <w:left w:val="nil"/>
              <w:bottom w:val="single" w:color="auto" w:sz="4" w:space="0"/>
              <w:right w:val="single" w:color="auto" w:sz="4" w:space="0"/>
            </w:tcBorders>
            <w:vAlign w:val="center"/>
          </w:tcPr>
          <w:p w14:paraId="464B02CB">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val="continue"/>
            <w:tcBorders>
              <w:left w:val="single" w:color="auto" w:sz="4" w:space="0"/>
              <w:bottom w:val="single" w:color="auto" w:sz="4" w:space="0"/>
              <w:right w:val="single" w:color="auto" w:sz="4" w:space="0"/>
            </w:tcBorders>
            <w:vAlign w:val="center"/>
          </w:tcPr>
          <w:p w14:paraId="6A1AB349">
            <w:pPr>
              <w:jc w:val="left"/>
              <w:rPr>
                <w:color w:val="000000"/>
                <w:kern w:val="0"/>
                <w:sz w:val="18"/>
                <w:szCs w:val="18"/>
              </w:rPr>
            </w:pPr>
          </w:p>
        </w:tc>
        <w:tc>
          <w:tcPr>
            <w:tcW w:w="6932" w:type="dxa"/>
            <w:tcBorders>
              <w:top w:val="nil"/>
              <w:left w:val="nil"/>
              <w:bottom w:val="single" w:color="auto" w:sz="4" w:space="0"/>
              <w:right w:val="single" w:color="auto" w:sz="8" w:space="0"/>
            </w:tcBorders>
            <w:vAlign w:val="center"/>
          </w:tcPr>
          <w:p w14:paraId="20F9D4B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55684834">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05D431A9"/>
    <w:p w14:paraId="75C9DFD7"/>
    <w:p w14:paraId="3AE7F15E"/>
    <w:p w14:paraId="1EA49F82"/>
    <w:p w14:paraId="3FA0DC3C"/>
    <w:p w14:paraId="7919AA0B"/>
    <w:p w14:paraId="7E1A03C7"/>
    <w:p w14:paraId="3E11A4EF"/>
    <w:p w14:paraId="214345C5"/>
    <w:p w14:paraId="2C56EE8D"/>
    <w:p w14:paraId="44703102"/>
    <w:tbl>
      <w:tblPr>
        <w:tblStyle w:val="15"/>
        <w:tblW w:w="0" w:type="auto"/>
        <w:tblInd w:w="78" w:type="dxa"/>
        <w:tblLayout w:type="fixed"/>
        <w:tblCellMar>
          <w:top w:w="0" w:type="dxa"/>
          <w:left w:w="108" w:type="dxa"/>
          <w:bottom w:w="0" w:type="dxa"/>
          <w:right w:w="108" w:type="dxa"/>
        </w:tblCellMar>
      </w:tblPr>
      <w:tblGrid>
        <w:gridCol w:w="1070"/>
        <w:gridCol w:w="4630"/>
        <w:gridCol w:w="1418"/>
        <w:gridCol w:w="6932"/>
      </w:tblGrid>
      <w:tr w14:paraId="68DC0A05">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0721C649">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54320BD1">
            <w:pPr>
              <w:spacing w:line="320" w:lineRule="exact"/>
              <w:jc w:val="left"/>
              <w:rPr>
                <w:rFonts w:eastAsia="仿宋_GB2312"/>
                <w:b/>
                <w:color w:val="000000"/>
                <w:sz w:val="20"/>
              </w:rPr>
            </w:pPr>
            <w:r>
              <w:rPr>
                <w:rFonts w:eastAsia="仿宋_GB2312"/>
                <w:b/>
                <w:color w:val="000000"/>
                <w:sz w:val="20"/>
              </w:rPr>
              <w:t>320217071000</w:t>
            </w:r>
            <w:r>
              <w:rPr>
                <w:rFonts w:hint="eastAsia" w:eastAsia="仿宋_GB2312"/>
                <w:b/>
                <w:color w:val="000000"/>
                <w:sz w:val="20"/>
              </w:rPr>
              <w:t xml:space="preserve"> </w:t>
            </w:r>
          </w:p>
        </w:tc>
      </w:tr>
      <w:tr w14:paraId="2EF305D7">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D98BE16">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248CA083">
            <w:pPr>
              <w:jc w:val="left"/>
              <w:rPr>
                <w:color w:val="000000"/>
                <w:sz w:val="20"/>
              </w:rPr>
            </w:pPr>
            <w:r>
              <w:rPr>
                <w:rFonts w:hint="eastAsia"/>
                <w:color w:val="000000"/>
                <w:sz w:val="20"/>
              </w:rPr>
              <w:t>对在城市照明设施上刻划、涂污的处罚</w:t>
            </w:r>
          </w:p>
        </w:tc>
      </w:tr>
      <w:tr w14:paraId="4629D068">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4D2A2AD3">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578EF7A0">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br w:type="textWrapping"/>
            </w:r>
            <w:r>
              <w:rPr>
                <w:rFonts w:hint="eastAsia"/>
                <w:color w:val="000000"/>
                <w:sz w:val="20"/>
              </w:rPr>
              <w:t>第二十八条</w:t>
            </w:r>
            <w:r>
              <w:rPr>
                <w:color w:val="000000"/>
                <w:sz w:val="20"/>
              </w:rPr>
              <w:t xml:space="preserve"> </w:t>
            </w:r>
            <w:r>
              <w:rPr>
                <w:rFonts w:hint="eastAsia"/>
                <w:color w:val="000000"/>
                <w:sz w:val="20"/>
              </w:rPr>
              <w:t>任何单位和个人都应当保护城市照明设施，不得实施下列行为：</w:t>
            </w:r>
            <w:r>
              <w:rPr>
                <w:color w:val="000000"/>
                <w:sz w:val="20"/>
              </w:rPr>
              <w:br w:type="textWrapping"/>
            </w:r>
            <w:r>
              <w:rPr>
                <w:rFonts w:hint="eastAsia"/>
                <w:color w:val="000000"/>
                <w:sz w:val="20"/>
              </w:rPr>
              <w:t>（一）在城市照明设施上刻划、涂污；</w:t>
            </w:r>
            <w:r>
              <w:rPr>
                <w:color w:val="000000"/>
                <w:sz w:val="20"/>
              </w:rPr>
              <w:br w:type="textWrapping"/>
            </w:r>
            <w:r>
              <w:rPr>
                <w:rFonts w:hint="eastAsia"/>
                <w:color w:val="000000"/>
                <w:sz w:val="20"/>
              </w:rPr>
              <w:t>第三十二条</w:t>
            </w:r>
            <w:r>
              <w:rPr>
                <w:color w:val="000000"/>
                <w:sz w:val="20"/>
              </w:rPr>
              <w:t xml:space="preserve"> </w:t>
            </w:r>
            <w:r>
              <w:rPr>
                <w:rFonts w:hint="eastAsia"/>
                <w:color w:val="000000"/>
                <w:sz w:val="20"/>
              </w:rPr>
              <w:t>违反本规定，有第二十八条规定行为之一的，由城市照明主管部门责令限期改正，对个人处以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r>
              <w:rPr>
                <w:color w:val="000000"/>
                <w:sz w:val="20"/>
              </w:rPr>
              <w:t xml:space="preserve">  </w:t>
            </w:r>
          </w:p>
        </w:tc>
      </w:tr>
      <w:tr w14:paraId="4AF9A5D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A4132F7">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3028DBEC">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7015E4F1">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5A7305B8">
            <w:pPr>
              <w:spacing w:line="320" w:lineRule="exact"/>
              <w:jc w:val="center"/>
              <w:rPr>
                <w:color w:val="000000"/>
                <w:kern w:val="0"/>
                <w:sz w:val="18"/>
                <w:szCs w:val="18"/>
              </w:rPr>
            </w:pPr>
            <w:r>
              <w:rPr>
                <w:rFonts w:hint="eastAsia"/>
                <w:color w:val="000000"/>
                <w:kern w:val="0"/>
                <w:sz w:val="18"/>
                <w:szCs w:val="18"/>
              </w:rPr>
              <w:t>裁量基准</w:t>
            </w:r>
          </w:p>
        </w:tc>
      </w:tr>
      <w:tr w14:paraId="770C3EB4">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13B88257">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color="auto" w:sz="4" w:space="0"/>
              <w:left w:val="nil"/>
              <w:bottom w:val="single" w:color="auto" w:sz="4" w:space="0"/>
              <w:right w:val="single" w:color="auto" w:sz="4" w:space="0"/>
            </w:tcBorders>
            <w:vAlign w:val="center"/>
          </w:tcPr>
          <w:p w14:paraId="1E5C0F70">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color="auto" w:sz="4" w:space="0"/>
              <w:right w:val="single" w:color="auto" w:sz="4" w:space="0"/>
            </w:tcBorders>
            <w:vAlign w:val="center"/>
          </w:tcPr>
          <w:p w14:paraId="1E0DC5F6">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color="auto" w:sz="4" w:space="0"/>
              <w:right w:val="single" w:color="auto" w:sz="8" w:space="0"/>
            </w:tcBorders>
            <w:vAlign w:val="center"/>
          </w:tcPr>
          <w:p w14:paraId="7A9BBFF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14:paraId="63E9DB81">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14:paraId="5508CDA5">
        <w:tblPrEx>
          <w:tblCellMar>
            <w:top w:w="0" w:type="dxa"/>
            <w:left w:w="108" w:type="dxa"/>
            <w:bottom w:w="0" w:type="dxa"/>
            <w:right w:w="108" w:type="dxa"/>
          </w:tblCellMar>
        </w:tblPrEx>
        <w:trPr>
          <w:trHeight w:val="285" w:hRule="atLeast"/>
        </w:trPr>
        <w:tc>
          <w:tcPr>
            <w:tcW w:w="1070" w:type="dxa"/>
            <w:vMerge w:val="continue"/>
            <w:tcBorders>
              <w:left w:val="single" w:color="auto" w:sz="8" w:space="0"/>
              <w:bottom w:val="single" w:color="auto" w:sz="4" w:space="0"/>
              <w:right w:val="single" w:color="auto" w:sz="4" w:space="0"/>
            </w:tcBorders>
            <w:vAlign w:val="center"/>
          </w:tcPr>
          <w:p w14:paraId="30757124">
            <w:pPr>
              <w:jc w:val="left"/>
              <w:rPr>
                <w:color w:val="000000"/>
                <w:kern w:val="0"/>
                <w:sz w:val="18"/>
                <w:szCs w:val="18"/>
              </w:rPr>
            </w:pPr>
          </w:p>
        </w:tc>
        <w:tc>
          <w:tcPr>
            <w:tcW w:w="4630" w:type="dxa"/>
            <w:tcBorders>
              <w:top w:val="single" w:color="auto" w:sz="4" w:space="0"/>
              <w:left w:val="nil"/>
              <w:bottom w:val="single" w:color="auto" w:sz="4" w:space="0"/>
              <w:right w:val="single" w:color="auto" w:sz="4" w:space="0"/>
            </w:tcBorders>
            <w:vAlign w:val="center"/>
          </w:tcPr>
          <w:p w14:paraId="2C2FA29B">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val="continue"/>
            <w:tcBorders>
              <w:left w:val="single" w:color="auto" w:sz="4" w:space="0"/>
              <w:bottom w:val="single" w:color="auto" w:sz="4" w:space="0"/>
              <w:right w:val="single" w:color="auto" w:sz="4" w:space="0"/>
            </w:tcBorders>
            <w:vAlign w:val="center"/>
          </w:tcPr>
          <w:p w14:paraId="3D9007B7">
            <w:pPr>
              <w:jc w:val="left"/>
              <w:rPr>
                <w:color w:val="000000"/>
                <w:kern w:val="0"/>
                <w:sz w:val="18"/>
                <w:szCs w:val="18"/>
              </w:rPr>
            </w:pPr>
          </w:p>
        </w:tc>
        <w:tc>
          <w:tcPr>
            <w:tcW w:w="6932" w:type="dxa"/>
            <w:tcBorders>
              <w:top w:val="nil"/>
              <w:left w:val="nil"/>
              <w:bottom w:val="single" w:color="auto" w:sz="4" w:space="0"/>
              <w:right w:val="single" w:color="auto" w:sz="8" w:space="0"/>
            </w:tcBorders>
            <w:vAlign w:val="center"/>
          </w:tcPr>
          <w:p w14:paraId="7FA8C81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5EC7CD0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47FDF3BD"/>
    <w:p w14:paraId="77985D9F"/>
    <w:p w14:paraId="309F2EF2"/>
    <w:p w14:paraId="14C8D32C"/>
    <w:p w14:paraId="798A7594"/>
    <w:p w14:paraId="16AAABA9"/>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711DFE4B">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7D113F0">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7F84DF3D">
            <w:pPr>
              <w:spacing w:line="320" w:lineRule="exact"/>
              <w:jc w:val="left"/>
              <w:rPr>
                <w:rFonts w:eastAsia="仿宋_GB2312"/>
                <w:b/>
                <w:bCs/>
                <w:color w:val="000000"/>
                <w:kern w:val="0"/>
                <w:sz w:val="18"/>
                <w:szCs w:val="18"/>
              </w:rPr>
            </w:pPr>
            <w:r>
              <w:rPr>
                <w:rFonts w:eastAsia="仿宋_GB2312"/>
                <w:b/>
                <w:bCs/>
                <w:color w:val="000000"/>
                <w:kern w:val="0"/>
                <w:sz w:val="18"/>
                <w:szCs w:val="18"/>
              </w:rPr>
              <w:t>320217072000</w:t>
            </w:r>
            <w:r>
              <w:rPr>
                <w:rFonts w:hint="eastAsia" w:eastAsia="仿宋_GB2312"/>
                <w:b/>
                <w:bCs/>
                <w:color w:val="000000"/>
                <w:kern w:val="0"/>
                <w:sz w:val="18"/>
                <w:szCs w:val="18"/>
              </w:rPr>
              <w:t xml:space="preserve"> </w:t>
            </w:r>
          </w:p>
        </w:tc>
      </w:tr>
      <w:tr w14:paraId="6CC16C3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4094FE3">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3C5CA1D8">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以欺骗、贿赂等不正当手段取得安全生产考核合格证书的处罚</w:t>
            </w:r>
          </w:p>
        </w:tc>
      </w:tr>
      <w:tr w14:paraId="3FA062C6">
        <w:tblPrEx>
          <w:tblCellMar>
            <w:top w:w="0" w:type="dxa"/>
            <w:left w:w="108" w:type="dxa"/>
            <w:bottom w:w="0" w:type="dxa"/>
            <w:right w:w="108" w:type="dxa"/>
          </w:tblCellMar>
        </w:tblPrEx>
        <w:trPr>
          <w:trHeight w:val="1152" w:hRule="atLeast"/>
        </w:trPr>
        <w:tc>
          <w:tcPr>
            <w:tcW w:w="1010" w:type="dxa"/>
            <w:tcBorders>
              <w:top w:val="nil"/>
              <w:left w:val="single" w:color="auto" w:sz="8" w:space="0"/>
              <w:bottom w:val="single" w:color="auto" w:sz="4" w:space="0"/>
              <w:right w:val="single" w:color="auto" w:sz="4" w:space="0"/>
            </w:tcBorders>
            <w:vAlign w:val="center"/>
          </w:tcPr>
          <w:p w14:paraId="6939DCFA">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0CADA74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号）　</w:t>
            </w:r>
          </w:p>
          <w:p w14:paraId="05638E41">
            <w:pPr>
              <w:spacing w:line="320" w:lineRule="exact"/>
              <w:jc w:val="left"/>
              <w:rPr>
                <w:color w:val="000000"/>
                <w:kern w:val="0"/>
                <w:sz w:val="18"/>
                <w:szCs w:val="18"/>
              </w:rPr>
            </w:pPr>
            <w:r>
              <w:rPr>
                <w:rFonts w:hint="eastAsia"/>
                <w:color w:val="000000"/>
                <w:kern w:val="0"/>
                <w:sz w:val="18"/>
                <w:szCs w:val="18"/>
              </w:rPr>
              <w:t>第二十七条第二款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以欺骗、贿赂等不正当手段取得安全生产考核合格证书的，由原考核机关撤销安全生产考核合格证书；</w:t>
            </w:r>
            <w:r>
              <w:rPr>
                <w:color w:val="000000"/>
                <w:kern w:val="0"/>
                <w:sz w:val="18"/>
                <w:szCs w:val="18"/>
              </w:rPr>
              <w:t>“</w:t>
            </w:r>
            <w:r>
              <w:rPr>
                <w:rFonts w:hint="eastAsia"/>
                <w:color w:val="000000"/>
                <w:kern w:val="0"/>
                <w:sz w:val="18"/>
                <w:szCs w:val="18"/>
              </w:rPr>
              <w:t>安管人员</w:t>
            </w:r>
            <w:r>
              <w:rPr>
                <w:color w:val="000000"/>
                <w:kern w:val="0"/>
                <w:sz w:val="18"/>
                <w:szCs w:val="18"/>
              </w:rPr>
              <w:t>”3</w:t>
            </w:r>
            <w:r>
              <w:rPr>
                <w:rFonts w:hint="eastAsia"/>
                <w:color w:val="000000"/>
                <w:kern w:val="0"/>
                <w:sz w:val="18"/>
                <w:szCs w:val="18"/>
              </w:rPr>
              <w:t>年内不得再次申请考核。</w:t>
            </w:r>
          </w:p>
        </w:tc>
      </w:tr>
      <w:tr w14:paraId="0F45EAE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E608490">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075D0F84">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年内不得再次申请考核</w:t>
            </w:r>
          </w:p>
        </w:tc>
      </w:tr>
      <w:tr w14:paraId="4FD12F5C">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06B323F0">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14:paraId="598FA8D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BD60F9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3C630B9">
            <w:pPr>
              <w:spacing w:line="320" w:lineRule="exact"/>
              <w:jc w:val="left"/>
              <w:rPr>
                <w:color w:val="000000"/>
                <w:kern w:val="0"/>
                <w:sz w:val="18"/>
                <w:szCs w:val="18"/>
              </w:rPr>
            </w:pPr>
            <w:r>
              <w:rPr>
                <w:rFonts w:hint="eastAsia"/>
                <w:color w:val="000000"/>
                <w:kern w:val="0"/>
                <w:sz w:val="18"/>
                <w:szCs w:val="18"/>
              </w:rPr>
              <w:t>　</w:t>
            </w:r>
          </w:p>
        </w:tc>
        <w:tc>
          <w:tcPr>
            <w:tcW w:w="1030" w:type="dxa"/>
            <w:tcBorders>
              <w:top w:val="nil"/>
              <w:left w:val="nil"/>
              <w:bottom w:val="single" w:color="auto" w:sz="4" w:space="0"/>
              <w:right w:val="single" w:color="auto" w:sz="4" w:space="0"/>
            </w:tcBorders>
            <w:vAlign w:val="center"/>
          </w:tcPr>
          <w:p w14:paraId="359C2BA3">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18A437AC">
            <w:pPr>
              <w:spacing w:line="320" w:lineRule="exact"/>
              <w:jc w:val="left"/>
              <w:rPr>
                <w:color w:val="000000"/>
                <w:kern w:val="0"/>
                <w:sz w:val="18"/>
                <w:szCs w:val="18"/>
              </w:rPr>
            </w:pPr>
            <w:r>
              <w:rPr>
                <w:rFonts w:hint="eastAsia"/>
                <w:color w:val="000000"/>
                <w:kern w:val="0"/>
                <w:sz w:val="18"/>
                <w:szCs w:val="18"/>
              </w:rPr>
              <w:t>　</w:t>
            </w:r>
          </w:p>
        </w:tc>
      </w:tr>
    </w:tbl>
    <w:p w14:paraId="3BB9E97C"/>
    <w:p w14:paraId="67E1FDD7"/>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738235C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DDF88F2">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31A862A3">
            <w:pPr>
              <w:spacing w:line="320" w:lineRule="exact"/>
              <w:jc w:val="left"/>
              <w:rPr>
                <w:rFonts w:eastAsia="仿宋_GB2312"/>
                <w:b/>
                <w:bCs/>
                <w:color w:val="000000"/>
                <w:kern w:val="0"/>
                <w:sz w:val="18"/>
                <w:szCs w:val="18"/>
              </w:rPr>
            </w:pPr>
            <w:r>
              <w:rPr>
                <w:rFonts w:eastAsia="仿宋_GB2312"/>
                <w:b/>
                <w:bCs/>
                <w:color w:val="000000"/>
                <w:kern w:val="0"/>
                <w:sz w:val="18"/>
                <w:szCs w:val="18"/>
              </w:rPr>
              <w:t>320217073000</w:t>
            </w:r>
            <w:r>
              <w:rPr>
                <w:rFonts w:hint="eastAsia" w:eastAsia="仿宋_GB2312"/>
                <w:b/>
                <w:bCs/>
                <w:color w:val="000000"/>
                <w:kern w:val="0"/>
                <w:sz w:val="18"/>
                <w:szCs w:val="18"/>
              </w:rPr>
              <w:t xml:space="preserve"> </w:t>
            </w:r>
          </w:p>
        </w:tc>
      </w:tr>
      <w:tr w14:paraId="57F961A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ED92237">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691A503D">
            <w:pPr>
              <w:spacing w:line="320" w:lineRule="exact"/>
              <w:jc w:val="left"/>
              <w:rPr>
                <w:color w:val="000000"/>
                <w:kern w:val="0"/>
                <w:sz w:val="18"/>
                <w:szCs w:val="18"/>
              </w:rPr>
            </w:pPr>
            <w:r>
              <w:rPr>
                <w:rFonts w:hint="eastAsia"/>
                <w:color w:val="000000"/>
                <w:kern w:val="0"/>
                <w:sz w:val="18"/>
                <w:szCs w:val="18"/>
              </w:rPr>
              <w:t>对房地产开发企业隐瞒有关情况、提供虚假材料，或者采用欺骗、贿赂等不正当手段取得商品房预售许可的处罚</w:t>
            </w:r>
          </w:p>
        </w:tc>
      </w:tr>
      <w:tr w14:paraId="555F611B">
        <w:tblPrEx>
          <w:tblCellMar>
            <w:top w:w="0" w:type="dxa"/>
            <w:left w:w="108" w:type="dxa"/>
            <w:bottom w:w="0" w:type="dxa"/>
            <w:right w:w="108" w:type="dxa"/>
          </w:tblCellMar>
        </w:tblPrEx>
        <w:trPr>
          <w:trHeight w:val="1530" w:hRule="atLeast"/>
        </w:trPr>
        <w:tc>
          <w:tcPr>
            <w:tcW w:w="1056" w:type="dxa"/>
            <w:tcBorders>
              <w:top w:val="nil"/>
              <w:left w:val="single" w:color="auto" w:sz="8" w:space="0"/>
              <w:bottom w:val="single" w:color="auto" w:sz="4" w:space="0"/>
              <w:right w:val="single" w:color="auto" w:sz="4" w:space="0"/>
            </w:tcBorders>
            <w:vAlign w:val="center"/>
          </w:tcPr>
          <w:p w14:paraId="40B8022E">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2627B98B">
            <w:pPr>
              <w:spacing w:line="320" w:lineRule="exact"/>
              <w:jc w:val="left"/>
              <w:rPr>
                <w:color w:val="000000"/>
                <w:kern w:val="0"/>
                <w:sz w:val="18"/>
                <w:szCs w:val="18"/>
              </w:rPr>
            </w:pPr>
            <w:r>
              <w:rPr>
                <w:rFonts w:hint="eastAsia"/>
                <w:color w:val="000000"/>
                <w:kern w:val="0"/>
                <w:sz w:val="18"/>
                <w:szCs w:val="18"/>
              </w:rPr>
              <w:t>【规章】《城市商品房预售管理办法》（</w:t>
            </w:r>
            <w:r>
              <w:rPr>
                <w:color w:val="000000"/>
                <w:kern w:val="0"/>
                <w:sz w:val="18"/>
                <w:szCs w:val="18"/>
              </w:rPr>
              <w:t>2004</w:t>
            </w:r>
            <w:r>
              <w:rPr>
                <w:rFonts w:hint="eastAsia"/>
                <w:color w:val="000000"/>
                <w:kern w:val="0"/>
                <w:sz w:val="18"/>
                <w:szCs w:val="18"/>
              </w:rPr>
              <w:t>年建设部令第</w:t>
            </w:r>
            <w:r>
              <w:rPr>
                <w:color w:val="000000"/>
                <w:kern w:val="0"/>
                <w:sz w:val="18"/>
                <w:szCs w:val="18"/>
              </w:rPr>
              <w:t>131</w:t>
            </w:r>
            <w:r>
              <w:rPr>
                <w:rFonts w:hint="eastAsia"/>
                <w:color w:val="000000"/>
                <w:kern w:val="0"/>
                <w:sz w:val="18"/>
                <w:szCs w:val="18"/>
              </w:rPr>
              <w:t>号）</w:t>
            </w:r>
          </w:p>
          <w:p w14:paraId="2CB9DA90">
            <w:pPr>
              <w:spacing w:line="320" w:lineRule="exact"/>
              <w:jc w:val="left"/>
              <w:rPr>
                <w:color w:val="000000"/>
                <w:kern w:val="0"/>
                <w:sz w:val="18"/>
                <w:szCs w:val="18"/>
              </w:rPr>
            </w:pPr>
            <w:r>
              <w:rPr>
                <w:rFonts w:hint="eastAsia"/>
                <w:color w:val="000000"/>
                <w:kern w:val="0"/>
                <w:sz w:val="18"/>
                <w:szCs w:val="18"/>
              </w:rPr>
              <w:t>第八条　商品房预售许可依下列程序办理：</w:t>
            </w:r>
            <w:r>
              <w:rPr>
                <w:color w:val="000000"/>
                <w:kern w:val="0"/>
                <w:sz w:val="18"/>
                <w:szCs w:val="18"/>
              </w:rPr>
              <w:t xml:space="preserve"> </w:t>
            </w:r>
          </w:p>
          <w:p w14:paraId="44CD3515">
            <w:pPr>
              <w:spacing w:line="320" w:lineRule="exact"/>
              <w:jc w:val="left"/>
              <w:rPr>
                <w:color w:val="000000"/>
                <w:kern w:val="0"/>
                <w:sz w:val="18"/>
                <w:szCs w:val="18"/>
              </w:rPr>
            </w:pPr>
            <w:r>
              <w:rPr>
                <w:rFonts w:hint="eastAsia"/>
                <w:color w:val="000000"/>
                <w:kern w:val="0"/>
                <w:sz w:val="18"/>
                <w:szCs w:val="18"/>
              </w:rPr>
              <w:t>（二）审核。房地产管理部门对开发企业提供的有关材料是否符合法定条件进行审核。</w:t>
            </w:r>
            <w:r>
              <w:rPr>
                <w:color w:val="000000"/>
                <w:kern w:val="0"/>
                <w:sz w:val="18"/>
                <w:szCs w:val="18"/>
              </w:rPr>
              <w:t xml:space="preserve"> </w:t>
            </w:r>
          </w:p>
          <w:p w14:paraId="60A4B8C7">
            <w:pPr>
              <w:spacing w:line="320" w:lineRule="exact"/>
              <w:jc w:val="left"/>
              <w:rPr>
                <w:color w:val="000000"/>
                <w:kern w:val="0"/>
                <w:sz w:val="18"/>
                <w:szCs w:val="18"/>
              </w:rPr>
            </w:pPr>
            <w:r>
              <w:rPr>
                <w:rFonts w:hint="eastAsia"/>
                <w:color w:val="000000"/>
                <w:kern w:val="0"/>
                <w:sz w:val="18"/>
                <w:szCs w:val="18"/>
              </w:rPr>
              <w:t>开发企业对所提交材料实质内容的真实性负责。</w:t>
            </w:r>
          </w:p>
          <w:p w14:paraId="40148F72">
            <w:pPr>
              <w:spacing w:line="320" w:lineRule="exact"/>
              <w:jc w:val="left"/>
              <w:rPr>
                <w:color w:val="000000"/>
                <w:kern w:val="0"/>
                <w:sz w:val="18"/>
                <w:szCs w:val="18"/>
              </w:rPr>
            </w:pPr>
            <w:r>
              <w:rPr>
                <w:rFonts w:hint="eastAsia"/>
                <w:color w:val="000000"/>
                <w:kern w:val="0"/>
                <w:sz w:val="18"/>
                <w:szCs w:val="18"/>
              </w:rPr>
              <w:t>第十五条　开发企业隐瞒有关情况、提供虚假材料，或者采用欺骗、贿赂等不正当手段取得商品房预售许可的，由房地产管理部门责令停止预售，撤销商品房预售许可，并处</w:t>
            </w:r>
            <w:r>
              <w:rPr>
                <w:color w:val="000000"/>
                <w:kern w:val="0"/>
                <w:sz w:val="18"/>
                <w:szCs w:val="18"/>
              </w:rPr>
              <w:t>3</w:t>
            </w:r>
            <w:r>
              <w:rPr>
                <w:rFonts w:hint="eastAsia"/>
                <w:color w:val="000000"/>
                <w:kern w:val="0"/>
                <w:sz w:val="18"/>
                <w:szCs w:val="18"/>
              </w:rPr>
              <w:t>万元罚款。</w:t>
            </w:r>
          </w:p>
        </w:tc>
      </w:tr>
      <w:tr w14:paraId="168BC1A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E20FC66">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5254A150">
            <w:pPr>
              <w:spacing w:line="320" w:lineRule="exact"/>
              <w:jc w:val="left"/>
              <w:rPr>
                <w:color w:val="000000"/>
                <w:kern w:val="0"/>
                <w:sz w:val="18"/>
                <w:szCs w:val="18"/>
              </w:rPr>
            </w:pPr>
            <w:r>
              <w:rPr>
                <w:rFonts w:hint="eastAsia"/>
                <w:color w:val="000000"/>
                <w:kern w:val="0"/>
                <w:sz w:val="18"/>
                <w:szCs w:val="18"/>
              </w:rPr>
              <w:t>罚款</w:t>
            </w:r>
          </w:p>
        </w:tc>
      </w:tr>
      <w:tr w14:paraId="61824CC7">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479AEB0B">
            <w:pPr>
              <w:spacing w:line="320" w:lineRule="exact"/>
              <w:jc w:val="center"/>
              <w:rPr>
                <w:color w:val="000000"/>
                <w:kern w:val="0"/>
                <w:sz w:val="18"/>
                <w:szCs w:val="18"/>
              </w:rPr>
            </w:pPr>
            <w:r>
              <w:rPr>
                <w:rFonts w:hint="eastAsia"/>
                <w:color w:val="000000"/>
                <w:kern w:val="0"/>
                <w:sz w:val="18"/>
                <w:szCs w:val="18"/>
              </w:rPr>
              <w:t>裁量基准</w:t>
            </w:r>
          </w:p>
        </w:tc>
      </w:tr>
      <w:tr w14:paraId="0A54326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E2C37F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D9F0F03">
            <w:pPr>
              <w:spacing w:line="320" w:lineRule="exact"/>
              <w:jc w:val="left"/>
              <w:rPr>
                <w:color w:val="000000"/>
                <w:kern w:val="0"/>
                <w:sz w:val="18"/>
                <w:szCs w:val="18"/>
              </w:rPr>
            </w:pPr>
            <w:r>
              <w:rPr>
                <w:rFonts w:hint="eastAsia"/>
                <w:color w:val="000000"/>
                <w:kern w:val="0"/>
                <w:sz w:val="18"/>
                <w:szCs w:val="18"/>
              </w:rPr>
              <w:t>　</w:t>
            </w:r>
          </w:p>
        </w:tc>
        <w:tc>
          <w:tcPr>
            <w:tcW w:w="1060" w:type="dxa"/>
            <w:tcBorders>
              <w:top w:val="nil"/>
              <w:left w:val="nil"/>
              <w:bottom w:val="single" w:color="auto" w:sz="4" w:space="0"/>
              <w:right w:val="single" w:color="auto" w:sz="4" w:space="0"/>
            </w:tcBorders>
            <w:vAlign w:val="center"/>
          </w:tcPr>
          <w:p w14:paraId="27C6B2BF">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C5910AE">
            <w:pPr>
              <w:spacing w:line="320" w:lineRule="exact"/>
              <w:jc w:val="left"/>
              <w:rPr>
                <w:color w:val="000000"/>
                <w:kern w:val="0"/>
                <w:sz w:val="18"/>
                <w:szCs w:val="18"/>
              </w:rPr>
            </w:pPr>
          </w:p>
        </w:tc>
      </w:tr>
    </w:tbl>
    <w:p w14:paraId="6BE50681"/>
    <w:p w14:paraId="53B594B4"/>
    <w:p w14:paraId="534274CB"/>
    <w:tbl>
      <w:tblPr>
        <w:tblStyle w:val="15"/>
        <w:tblW w:w="0" w:type="auto"/>
        <w:tblInd w:w="88" w:type="dxa"/>
        <w:tblLayout w:type="fixed"/>
        <w:tblCellMar>
          <w:top w:w="0" w:type="dxa"/>
          <w:left w:w="108" w:type="dxa"/>
          <w:bottom w:w="0" w:type="dxa"/>
          <w:right w:w="108" w:type="dxa"/>
        </w:tblCellMar>
      </w:tblPr>
      <w:tblGrid>
        <w:gridCol w:w="980"/>
        <w:gridCol w:w="6140"/>
        <w:gridCol w:w="1016"/>
        <w:gridCol w:w="5880"/>
      </w:tblGrid>
      <w:tr w14:paraId="474DCCDA">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5C0A18BE">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color="auto" w:sz="8" w:space="0"/>
              <w:left w:val="nil"/>
              <w:bottom w:val="single" w:color="auto" w:sz="4" w:space="0"/>
              <w:right w:val="single" w:color="000000" w:sz="8" w:space="0"/>
            </w:tcBorders>
            <w:vAlign w:val="center"/>
          </w:tcPr>
          <w:p w14:paraId="240C3C86">
            <w:pPr>
              <w:spacing w:line="320" w:lineRule="exact"/>
              <w:jc w:val="left"/>
              <w:rPr>
                <w:rFonts w:eastAsia="仿宋_GB2312"/>
                <w:b/>
                <w:bCs/>
                <w:color w:val="000000"/>
                <w:kern w:val="0"/>
                <w:sz w:val="18"/>
                <w:szCs w:val="18"/>
              </w:rPr>
            </w:pPr>
            <w:r>
              <w:rPr>
                <w:rFonts w:eastAsia="仿宋_GB2312"/>
                <w:b/>
                <w:bCs/>
                <w:color w:val="000000"/>
                <w:kern w:val="0"/>
                <w:sz w:val="18"/>
                <w:szCs w:val="18"/>
              </w:rPr>
              <w:t>320217076000</w:t>
            </w:r>
            <w:r>
              <w:rPr>
                <w:rFonts w:hint="eastAsia" w:eastAsia="仿宋_GB2312"/>
                <w:b/>
                <w:bCs/>
                <w:color w:val="000000"/>
                <w:kern w:val="0"/>
                <w:sz w:val="18"/>
                <w:szCs w:val="18"/>
              </w:rPr>
              <w:t xml:space="preserve"> </w:t>
            </w:r>
          </w:p>
        </w:tc>
      </w:tr>
      <w:tr w14:paraId="65D43536">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7190618C">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color="auto" w:sz="4" w:space="0"/>
              <w:left w:val="nil"/>
              <w:bottom w:val="single" w:color="auto" w:sz="4" w:space="0"/>
              <w:right w:val="single" w:color="000000" w:sz="8" w:space="0"/>
            </w:tcBorders>
            <w:vAlign w:val="center"/>
          </w:tcPr>
          <w:p w14:paraId="6322109B">
            <w:pPr>
              <w:spacing w:line="320" w:lineRule="exact"/>
              <w:jc w:val="left"/>
              <w:rPr>
                <w:color w:val="000000"/>
                <w:kern w:val="0"/>
                <w:sz w:val="18"/>
                <w:szCs w:val="18"/>
              </w:rPr>
            </w:pPr>
            <w:r>
              <w:rPr>
                <w:rFonts w:hint="eastAsia"/>
                <w:color w:val="000000"/>
                <w:kern w:val="0"/>
                <w:sz w:val="18"/>
                <w:szCs w:val="18"/>
              </w:rPr>
              <w:t>对违反已批准的绿化规划，缩小绿地面积的处罚</w:t>
            </w:r>
          </w:p>
        </w:tc>
      </w:tr>
      <w:tr w14:paraId="21E73A07">
        <w:tblPrEx>
          <w:tblCellMar>
            <w:top w:w="0" w:type="dxa"/>
            <w:left w:w="108" w:type="dxa"/>
            <w:bottom w:w="0" w:type="dxa"/>
            <w:right w:w="108" w:type="dxa"/>
          </w:tblCellMar>
        </w:tblPrEx>
        <w:trPr>
          <w:trHeight w:val="1035" w:hRule="atLeast"/>
        </w:trPr>
        <w:tc>
          <w:tcPr>
            <w:tcW w:w="980" w:type="dxa"/>
            <w:tcBorders>
              <w:top w:val="nil"/>
              <w:left w:val="single" w:color="auto" w:sz="8" w:space="0"/>
              <w:bottom w:val="single" w:color="auto" w:sz="4" w:space="0"/>
              <w:right w:val="single" w:color="auto" w:sz="4" w:space="0"/>
            </w:tcBorders>
            <w:vAlign w:val="center"/>
          </w:tcPr>
          <w:p w14:paraId="21D381D9">
            <w:pPr>
              <w:spacing w:line="320" w:lineRule="exact"/>
              <w:jc w:val="left"/>
              <w:rPr>
                <w:color w:val="000000"/>
                <w:kern w:val="0"/>
                <w:sz w:val="18"/>
                <w:szCs w:val="18"/>
              </w:rPr>
            </w:pPr>
            <w:r>
              <w:rPr>
                <w:rFonts w:hint="eastAsia"/>
                <w:color w:val="000000"/>
                <w:kern w:val="0"/>
                <w:sz w:val="18"/>
                <w:szCs w:val="18"/>
              </w:rPr>
              <w:t>法律依据</w:t>
            </w:r>
          </w:p>
        </w:tc>
        <w:tc>
          <w:tcPr>
            <w:tcW w:w="13036" w:type="dxa"/>
            <w:gridSpan w:val="3"/>
            <w:tcBorders>
              <w:top w:val="single" w:color="auto" w:sz="4" w:space="0"/>
              <w:left w:val="nil"/>
              <w:bottom w:val="single" w:color="auto" w:sz="4" w:space="0"/>
              <w:right w:val="single" w:color="000000" w:sz="8" w:space="0"/>
            </w:tcBorders>
            <w:vAlign w:val="center"/>
          </w:tcPr>
          <w:p w14:paraId="390322E9">
            <w:pPr>
              <w:jc w:val="left"/>
              <w:textAlignment w:val="center"/>
              <w:rPr>
                <w:color w:val="000000"/>
                <w:kern w:val="0"/>
                <w:sz w:val="18"/>
                <w:szCs w:val="18"/>
              </w:rPr>
            </w:pPr>
            <w:r>
              <w:rPr>
                <w:rFonts w:hint="eastAsia"/>
                <w:color w:val="000000"/>
                <w:kern w:val="0"/>
                <w:sz w:val="18"/>
                <w:szCs w:val="18"/>
              </w:rPr>
              <w:t>【地方性法规】《江苏省城市绿化管理条例》</w:t>
            </w:r>
            <w:r>
              <w:rPr>
                <w:color w:val="000000"/>
                <w:kern w:val="0"/>
                <w:sz w:val="18"/>
                <w:szCs w:val="18"/>
              </w:rPr>
              <w:br w:type="textWrapping"/>
            </w:r>
            <w:r>
              <w:rPr>
                <w:rFonts w:hint="eastAsia"/>
                <w:color w:val="000000"/>
                <w:kern w:val="0"/>
                <w:sz w:val="18"/>
                <w:szCs w:val="18"/>
              </w:rPr>
              <w:t>第十一条</w:t>
            </w:r>
            <w:r>
              <w:rPr>
                <w:color w:val="000000"/>
                <w:kern w:val="0"/>
                <w:sz w:val="18"/>
                <w:szCs w:val="18"/>
              </w:rPr>
              <w:t xml:space="preserve"> </w:t>
            </w:r>
            <w:r>
              <w:rPr>
                <w:rFonts w:hint="eastAsia"/>
                <w:color w:val="000000"/>
                <w:kern w:val="0"/>
                <w:sz w:val="18"/>
                <w:szCs w:val="18"/>
              </w:rPr>
              <w:t>城市绿化建设必须按照城市规划进行。城市规划确定的绿地，任何单位和个人不得擅自占用或者改变用途。</w:t>
            </w:r>
            <w:r>
              <w:rPr>
                <w:color w:val="000000"/>
                <w:kern w:val="0"/>
                <w:sz w:val="18"/>
                <w:szCs w:val="18"/>
              </w:rPr>
              <w:br w:type="textWrapping"/>
            </w:r>
            <w:r>
              <w:rPr>
                <w:rFonts w:hint="eastAsia"/>
                <w:color w:val="000000"/>
                <w:kern w:val="0"/>
                <w:sz w:val="18"/>
                <w:szCs w:val="18"/>
              </w:rPr>
              <w:t>第二十四条第二款</w:t>
            </w:r>
            <w:r>
              <w:rPr>
                <w:color w:val="000000"/>
                <w:kern w:val="0"/>
                <w:sz w:val="18"/>
                <w:szCs w:val="18"/>
              </w:rPr>
              <w:t xml:space="preserve"> </w:t>
            </w:r>
            <w:r>
              <w:rPr>
                <w:rFonts w:hint="eastAsia"/>
                <w:color w:val="000000"/>
                <w:kern w:val="0"/>
                <w:sz w:val="18"/>
                <w:szCs w:val="18"/>
              </w:rPr>
              <w:t>对违反已批准的绿化规划，缩小绿地面积的单位和个人，由城市人民政府建设（园林）行政主管部门责令改正，可以并处每平方米五百元以上一千元以下的罚款。</w:t>
            </w:r>
          </w:p>
        </w:tc>
      </w:tr>
      <w:tr w14:paraId="006A67D7">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3BBB9240">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color="auto" w:sz="4" w:space="0"/>
              <w:left w:val="nil"/>
              <w:bottom w:val="single" w:color="auto" w:sz="4" w:space="0"/>
              <w:right w:val="single" w:color="000000" w:sz="8" w:space="0"/>
            </w:tcBorders>
            <w:vAlign w:val="center"/>
          </w:tcPr>
          <w:p w14:paraId="3E543E89">
            <w:pPr>
              <w:spacing w:line="320" w:lineRule="exact"/>
              <w:jc w:val="left"/>
              <w:rPr>
                <w:color w:val="000000"/>
                <w:kern w:val="0"/>
                <w:sz w:val="18"/>
                <w:szCs w:val="18"/>
              </w:rPr>
            </w:pPr>
            <w:r>
              <w:rPr>
                <w:rFonts w:hint="eastAsia"/>
                <w:color w:val="000000"/>
                <w:kern w:val="0"/>
                <w:sz w:val="18"/>
                <w:szCs w:val="18"/>
              </w:rPr>
              <w:t>罚款</w:t>
            </w:r>
          </w:p>
        </w:tc>
      </w:tr>
      <w:tr w14:paraId="56FC9DFD">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B8A7884">
            <w:pPr>
              <w:spacing w:line="320" w:lineRule="exact"/>
              <w:jc w:val="center"/>
              <w:rPr>
                <w:color w:val="000000"/>
                <w:kern w:val="0"/>
                <w:sz w:val="18"/>
                <w:szCs w:val="18"/>
              </w:rPr>
            </w:pPr>
            <w:r>
              <w:rPr>
                <w:rFonts w:hint="eastAsia"/>
                <w:color w:val="000000"/>
                <w:kern w:val="0"/>
                <w:sz w:val="18"/>
                <w:szCs w:val="18"/>
              </w:rPr>
              <w:t>裁量基准</w:t>
            </w:r>
          </w:p>
        </w:tc>
      </w:tr>
      <w:tr w14:paraId="39546AC3">
        <w:tblPrEx>
          <w:tblCellMar>
            <w:top w:w="0" w:type="dxa"/>
            <w:left w:w="108" w:type="dxa"/>
            <w:bottom w:w="0" w:type="dxa"/>
            <w:right w:w="108" w:type="dxa"/>
          </w:tblCellMar>
        </w:tblPrEx>
        <w:trPr>
          <w:trHeight w:val="285" w:hRule="atLeast"/>
        </w:trPr>
        <w:tc>
          <w:tcPr>
            <w:tcW w:w="980" w:type="dxa"/>
            <w:vMerge w:val="restart"/>
            <w:tcBorders>
              <w:top w:val="single" w:color="auto" w:sz="4" w:space="0"/>
              <w:left w:val="single" w:color="auto" w:sz="4" w:space="0"/>
              <w:bottom w:val="single" w:color="auto" w:sz="4" w:space="0"/>
              <w:right w:val="single" w:color="auto" w:sz="4" w:space="0"/>
            </w:tcBorders>
            <w:vAlign w:val="center"/>
          </w:tcPr>
          <w:p w14:paraId="652C970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4639DD4">
            <w:pPr>
              <w:spacing w:line="320" w:lineRule="exact"/>
              <w:jc w:val="left"/>
              <w:rPr>
                <w:color w:val="000000"/>
                <w:kern w:val="0"/>
                <w:sz w:val="18"/>
                <w:szCs w:val="18"/>
              </w:rPr>
            </w:pPr>
            <w:r>
              <w:rPr>
                <w:rFonts w:hint="eastAsia"/>
                <w:color w:val="000000"/>
                <w:kern w:val="0"/>
                <w:sz w:val="18"/>
                <w:szCs w:val="18"/>
              </w:rPr>
              <w:t>缩小面积在规划面积20%以下的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7B5E833D">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color="auto" w:sz="4" w:space="0"/>
              <w:left w:val="nil"/>
              <w:bottom w:val="single" w:color="auto" w:sz="4" w:space="0"/>
              <w:right w:val="single" w:color="auto" w:sz="4" w:space="0"/>
            </w:tcBorders>
            <w:vAlign w:val="center"/>
          </w:tcPr>
          <w:p w14:paraId="480AEEF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r w14:paraId="7F2557A8">
        <w:tblPrEx>
          <w:tblCellMar>
            <w:top w:w="0" w:type="dxa"/>
            <w:left w:w="108" w:type="dxa"/>
            <w:bottom w:w="0" w:type="dxa"/>
            <w:right w:w="108" w:type="dxa"/>
          </w:tblCellMar>
        </w:tblPrEx>
        <w:trPr>
          <w:trHeight w:val="563" w:hRule="atLeast"/>
        </w:trPr>
        <w:tc>
          <w:tcPr>
            <w:tcW w:w="980" w:type="dxa"/>
            <w:vMerge w:val="continue"/>
            <w:tcBorders>
              <w:top w:val="single" w:color="auto" w:sz="4" w:space="0"/>
              <w:left w:val="single" w:color="auto" w:sz="4" w:space="0"/>
              <w:bottom w:val="single" w:color="auto" w:sz="4" w:space="0"/>
              <w:right w:val="single" w:color="auto" w:sz="4" w:space="0"/>
            </w:tcBorders>
            <w:vAlign w:val="center"/>
          </w:tcPr>
          <w:p w14:paraId="2CEC8FB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27D940D">
            <w:pPr>
              <w:spacing w:line="320" w:lineRule="exact"/>
              <w:jc w:val="left"/>
              <w:rPr>
                <w:color w:val="000000"/>
                <w:kern w:val="0"/>
                <w:sz w:val="18"/>
                <w:szCs w:val="18"/>
              </w:rPr>
            </w:pPr>
            <w:r>
              <w:rPr>
                <w:rFonts w:hint="eastAsia"/>
                <w:color w:val="000000"/>
                <w:kern w:val="0"/>
                <w:sz w:val="18"/>
                <w:szCs w:val="18"/>
              </w:rPr>
              <w:t>缩小面积在规划面积20%以上的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13D83541">
            <w:pPr>
              <w:spacing w:line="320" w:lineRule="exact"/>
              <w:jc w:val="left"/>
              <w:rPr>
                <w:color w:val="000000"/>
                <w:kern w:val="0"/>
                <w:sz w:val="18"/>
                <w:szCs w:val="18"/>
              </w:rPr>
            </w:pPr>
          </w:p>
        </w:tc>
        <w:tc>
          <w:tcPr>
            <w:tcW w:w="5880" w:type="dxa"/>
            <w:tcBorders>
              <w:top w:val="single" w:color="auto" w:sz="4" w:space="0"/>
              <w:left w:val="nil"/>
              <w:bottom w:val="single" w:color="auto" w:sz="4" w:space="0"/>
              <w:right w:val="single" w:color="auto" w:sz="4" w:space="0"/>
            </w:tcBorders>
            <w:vAlign w:val="center"/>
          </w:tcPr>
          <w:p w14:paraId="4BDA739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1000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bl>
    <w:p w14:paraId="7180FA2E"/>
    <w:p w14:paraId="53342121"/>
    <w:p w14:paraId="209E317A"/>
    <w:p w14:paraId="1A3705D7"/>
    <w:p w14:paraId="477EB280"/>
    <w:p w14:paraId="4DD0DC8F"/>
    <w:p w14:paraId="5E0FE9CD"/>
    <w:p w14:paraId="10517616"/>
    <w:p w14:paraId="4BF841C3"/>
    <w:p w14:paraId="4CD1C70B"/>
    <w:p w14:paraId="3AA601B8"/>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688D3496">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368B9A0">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32BE1599">
            <w:pPr>
              <w:spacing w:line="320" w:lineRule="exact"/>
              <w:jc w:val="left"/>
              <w:rPr>
                <w:rFonts w:eastAsia="仿宋_GB2312"/>
                <w:b/>
                <w:bCs/>
                <w:color w:val="000000"/>
                <w:kern w:val="0"/>
                <w:sz w:val="18"/>
                <w:szCs w:val="18"/>
              </w:rPr>
            </w:pPr>
            <w:r>
              <w:rPr>
                <w:rFonts w:eastAsia="仿宋_GB2312"/>
                <w:b/>
                <w:bCs/>
                <w:color w:val="000000"/>
                <w:kern w:val="0"/>
                <w:sz w:val="18"/>
                <w:szCs w:val="18"/>
              </w:rPr>
              <w:t>320217077000</w:t>
            </w:r>
            <w:r>
              <w:rPr>
                <w:rFonts w:hint="eastAsia" w:eastAsia="仿宋_GB2312"/>
                <w:b/>
                <w:bCs/>
                <w:color w:val="000000"/>
                <w:kern w:val="0"/>
                <w:sz w:val="18"/>
                <w:szCs w:val="18"/>
              </w:rPr>
              <w:t xml:space="preserve"> </w:t>
            </w:r>
          </w:p>
        </w:tc>
      </w:tr>
      <w:tr w14:paraId="3602ECF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8E0B155">
            <w:pPr>
              <w:spacing w:line="320" w:lineRule="exact"/>
              <w:jc w:val="left"/>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13E5E6A3">
            <w:pPr>
              <w:spacing w:line="320" w:lineRule="exact"/>
              <w:jc w:val="left"/>
              <w:rPr>
                <w:color w:val="000000"/>
                <w:kern w:val="0"/>
                <w:sz w:val="18"/>
                <w:szCs w:val="18"/>
              </w:rPr>
            </w:pPr>
            <w:r>
              <w:rPr>
                <w:rFonts w:hint="eastAsia"/>
                <w:color w:val="000000"/>
                <w:kern w:val="0"/>
                <w:sz w:val="18"/>
                <w:szCs w:val="18"/>
              </w:rPr>
              <w:t>对专职安全生产管理人员未按规定履行安全生产管理职责的处罚</w:t>
            </w:r>
          </w:p>
        </w:tc>
      </w:tr>
      <w:tr w14:paraId="084BE80D">
        <w:tblPrEx>
          <w:tblCellMar>
            <w:top w:w="0" w:type="dxa"/>
            <w:left w:w="108" w:type="dxa"/>
            <w:bottom w:w="0" w:type="dxa"/>
            <w:right w:w="108" w:type="dxa"/>
          </w:tblCellMar>
        </w:tblPrEx>
        <w:trPr>
          <w:trHeight w:val="2711" w:hRule="atLeast"/>
        </w:trPr>
        <w:tc>
          <w:tcPr>
            <w:tcW w:w="1010" w:type="dxa"/>
            <w:tcBorders>
              <w:top w:val="nil"/>
              <w:left w:val="single" w:color="auto" w:sz="8" w:space="0"/>
              <w:bottom w:val="single" w:color="auto" w:sz="4" w:space="0"/>
              <w:right w:val="single" w:color="auto" w:sz="4" w:space="0"/>
            </w:tcBorders>
            <w:vAlign w:val="center"/>
          </w:tcPr>
          <w:p w14:paraId="060768D7">
            <w:pPr>
              <w:spacing w:line="320" w:lineRule="exact"/>
              <w:jc w:val="left"/>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0AB85CA0">
            <w:pPr>
              <w:spacing w:line="320" w:lineRule="exact"/>
              <w:jc w:val="left"/>
              <w:rPr>
                <w:color w:val="000000"/>
                <w:kern w:val="0"/>
                <w:sz w:val="18"/>
                <w:szCs w:val="18"/>
              </w:rPr>
            </w:pPr>
            <w:r>
              <w:rPr>
                <w:rFonts w:hint="eastAsia"/>
                <w:color w:val="000000"/>
                <w:kern w:val="0"/>
                <w:sz w:val="18"/>
                <w:szCs w:val="18"/>
              </w:rPr>
              <w:t>【行政法规】《生产安全事故报告和调查处理条例》（国务院令第</w:t>
            </w:r>
            <w:r>
              <w:rPr>
                <w:color w:val="000000"/>
                <w:kern w:val="0"/>
                <w:sz w:val="18"/>
                <w:szCs w:val="18"/>
              </w:rPr>
              <w:t>493</w:t>
            </w:r>
            <w:r>
              <w:rPr>
                <w:rFonts w:hint="eastAsia"/>
                <w:color w:val="000000"/>
                <w:kern w:val="0"/>
                <w:sz w:val="18"/>
                <w:szCs w:val="18"/>
              </w:rPr>
              <w:t>号）</w:t>
            </w:r>
          </w:p>
          <w:p w14:paraId="3F7D407A">
            <w:pPr>
              <w:spacing w:line="320" w:lineRule="exact"/>
              <w:jc w:val="left"/>
              <w:rPr>
                <w:color w:val="000000"/>
                <w:kern w:val="0"/>
                <w:sz w:val="18"/>
                <w:szCs w:val="18"/>
              </w:rPr>
            </w:pPr>
            <w:r>
              <w:rPr>
                <w:rFonts w:hint="eastAsia"/>
                <w:color w:val="000000"/>
                <w:kern w:val="0"/>
                <w:sz w:val="18"/>
                <w:szCs w:val="18"/>
              </w:rPr>
              <w:t>　　第四十条</w:t>
            </w:r>
            <w:r>
              <w:rPr>
                <w:color w:val="000000"/>
                <w:kern w:val="0"/>
                <w:sz w:val="18"/>
                <w:szCs w:val="18"/>
              </w:rPr>
              <w:t xml:space="preserve"> </w:t>
            </w:r>
            <w:r>
              <w:rPr>
                <w:rFonts w:hint="eastAsia"/>
                <w:color w:val="000000"/>
                <w:kern w:val="0"/>
                <w:sz w:val="18"/>
                <w:szCs w:val="18"/>
              </w:rPr>
              <w:t>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w:t>
            </w:r>
            <w:r>
              <w:rPr>
                <w:color w:val="000000"/>
                <w:kern w:val="0"/>
                <w:sz w:val="18"/>
                <w:szCs w:val="18"/>
              </w:rPr>
              <w:t>5</w:t>
            </w:r>
            <w:r>
              <w:rPr>
                <w:rFonts w:hint="eastAsia"/>
                <w:color w:val="000000"/>
                <w:kern w:val="0"/>
                <w:sz w:val="18"/>
                <w:szCs w:val="18"/>
              </w:rPr>
              <w:t>年内不得担任任何生产经营单位的主要负责人。</w:t>
            </w:r>
          </w:p>
          <w:p w14:paraId="3085B42F">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号）　</w:t>
            </w:r>
          </w:p>
          <w:p w14:paraId="3A2B096E">
            <w:pPr>
              <w:spacing w:line="320" w:lineRule="exact"/>
              <w:jc w:val="left"/>
              <w:rPr>
                <w:color w:val="000000"/>
                <w:kern w:val="0"/>
                <w:sz w:val="18"/>
                <w:szCs w:val="18"/>
              </w:rPr>
            </w:pPr>
            <w:r>
              <w:rPr>
                <w:rFonts w:hint="eastAsia"/>
                <w:color w:val="000000"/>
                <w:kern w:val="0"/>
                <w:sz w:val="18"/>
                <w:szCs w:val="18"/>
              </w:rPr>
              <w:t>　　第三十三条　专职安全生产管理人员未按规定履行安全生产管理职责的，由县级以上地方人民政府住房城乡建设主管部门责令限期改正，并处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元以下的罚款；造成生产安全事故或者其他严重后果的，按照《生产安全事故报告和调查处理条例》的有关规定，依法暂扣或者吊销安全生产考核合格证书；构成犯罪的，依法追究刑事责任。</w:t>
            </w:r>
          </w:p>
        </w:tc>
      </w:tr>
      <w:tr w14:paraId="44ABF8E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FF2C93A">
            <w:pPr>
              <w:spacing w:line="320" w:lineRule="exact"/>
              <w:jc w:val="left"/>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4E82F51E">
            <w:pPr>
              <w:spacing w:line="320" w:lineRule="exact"/>
              <w:jc w:val="left"/>
              <w:rPr>
                <w:color w:val="000000"/>
                <w:kern w:val="0"/>
                <w:sz w:val="18"/>
                <w:szCs w:val="18"/>
              </w:rPr>
            </w:pPr>
            <w:r>
              <w:rPr>
                <w:rFonts w:hint="eastAsia"/>
                <w:color w:val="000000"/>
                <w:kern w:val="0"/>
                <w:sz w:val="18"/>
                <w:szCs w:val="18"/>
              </w:rPr>
              <w:t>罚款，暂扣或者吊销安全生产考核合格证书</w:t>
            </w:r>
          </w:p>
        </w:tc>
      </w:tr>
      <w:tr w14:paraId="62E7E771">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2B040050">
            <w:pPr>
              <w:spacing w:line="320" w:lineRule="exact"/>
              <w:jc w:val="center"/>
              <w:rPr>
                <w:color w:val="000000"/>
                <w:kern w:val="0"/>
                <w:sz w:val="18"/>
                <w:szCs w:val="18"/>
              </w:rPr>
            </w:pPr>
            <w:r>
              <w:rPr>
                <w:rFonts w:hint="eastAsia"/>
                <w:color w:val="000000"/>
                <w:kern w:val="0"/>
                <w:sz w:val="18"/>
                <w:szCs w:val="18"/>
              </w:rPr>
              <w:t>裁量基准</w:t>
            </w:r>
          </w:p>
        </w:tc>
      </w:tr>
      <w:tr w14:paraId="71E53AD0">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7CFC426E">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4A2360E">
            <w:pPr>
              <w:spacing w:line="320" w:lineRule="exact"/>
              <w:jc w:val="left"/>
              <w:rPr>
                <w:color w:val="000000"/>
                <w:kern w:val="0"/>
                <w:sz w:val="18"/>
                <w:szCs w:val="18"/>
              </w:rPr>
            </w:pPr>
            <w:r>
              <w:rPr>
                <w:rFonts w:hint="eastAsia"/>
                <w:color w:val="000000"/>
                <w:kern w:val="0"/>
                <w:sz w:val="18"/>
                <w:szCs w:val="18"/>
              </w:rPr>
              <w:t>按照要求改正的，未造成安全事故的</w:t>
            </w:r>
          </w:p>
        </w:tc>
        <w:tc>
          <w:tcPr>
            <w:tcW w:w="1030" w:type="dxa"/>
            <w:vMerge w:val="restart"/>
            <w:tcBorders>
              <w:top w:val="single" w:color="auto" w:sz="4" w:space="0"/>
              <w:left w:val="single" w:color="auto" w:sz="4" w:space="0"/>
              <w:bottom w:val="single" w:color="auto" w:sz="4" w:space="0"/>
              <w:right w:val="single" w:color="auto" w:sz="4" w:space="0"/>
            </w:tcBorders>
            <w:vAlign w:val="center"/>
          </w:tcPr>
          <w:p w14:paraId="3DAB6C83">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color="auto" w:sz="4" w:space="0"/>
              <w:left w:val="nil"/>
              <w:bottom w:val="single" w:color="auto" w:sz="4" w:space="0"/>
              <w:right w:val="single" w:color="auto" w:sz="4" w:space="0"/>
            </w:tcBorders>
            <w:vAlign w:val="center"/>
          </w:tcPr>
          <w:p w14:paraId="2294A7B4">
            <w:pPr>
              <w:spacing w:line="320" w:lineRule="exact"/>
              <w:jc w:val="left"/>
              <w:rPr>
                <w:color w:val="000000"/>
                <w:kern w:val="0"/>
                <w:sz w:val="18"/>
                <w:szCs w:val="18"/>
              </w:rPr>
            </w:pPr>
            <w:r>
              <w:rPr>
                <w:rFonts w:hint="eastAsia"/>
                <w:color w:val="000000"/>
                <w:kern w:val="0"/>
                <w:sz w:val="18"/>
                <w:szCs w:val="18"/>
              </w:rPr>
              <w:t>处1000元以上2000元以下罚款</w:t>
            </w:r>
          </w:p>
        </w:tc>
      </w:tr>
      <w:tr w14:paraId="6795B88F">
        <w:tblPrEx>
          <w:tblCellMar>
            <w:top w:w="0" w:type="dxa"/>
            <w:left w:w="108" w:type="dxa"/>
            <w:bottom w:w="0" w:type="dxa"/>
            <w:right w:w="108" w:type="dxa"/>
          </w:tblCellMar>
        </w:tblPrEx>
        <w:trPr>
          <w:trHeight w:val="650" w:hRule="atLeast"/>
        </w:trPr>
        <w:tc>
          <w:tcPr>
            <w:tcW w:w="1010" w:type="dxa"/>
            <w:vMerge w:val="continue"/>
            <w:tcBorders>
              <w:top w:val="single" w:color="auto" w:sz="4" w:space="0"/>
              <w:left w:val="single" w:color="auto" w:sz="8" w:space="0"/>
              <w:bottom w:val="single" w:color="auto" w:sz="4" w:space="0"/>
              <w:right w:val="single" w:color="auto" w:sz="4" w:space="0"/>
            </w:tcBorders>
            <w:vAlign w:val="center"/>
          </w:tcPr>
          <w:p w14:paraId="4214A35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87F517B">
            <w:pPr>
              <w:spacing w:line="320" w:lineRule="exact"/>
              <w:jc w:val="left"/>
              <w:rPr>
                <w:color w:val="000000"/>
                <w:kern w:val="0"/>
                <w:sz w:val="18"/>
                <w:szCs w:val="18"/>
              </w:rPr>
            </w:pPr>
            <w:r>
              <w:rPr>
                <w:rFonts w:hint="eastAsia"/>
                <w:color w:val="000000"/>
                <w:kern w:val="0"/>
                <w:sz w:val="18"/>
                <w:szCs w:val="18"/>
              </w:rPr>
              <w:t>未按照要求改正的，未造成安全事故的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5EFC390B">
            <w:pPr>
              <w:spacing w:line="320" w:lineRule="exact"/>
              <w:jc w:val="left"/>
              <w:rPr>
                <w:color w:val="000000"/>
                <w:kern w:val="0"/>
                <w:sz w:val="18"/>
                <w:szCs w:val="18"/>
              </w:rPr>
            </w:pPr>
          </w:p>
        </w:tc>
        <w:tc>
          <w:tcPr>
            <w:tcW w:w="5850" w:type="dxa"/>
            <w:tcBorders>
              <w:top w:val="single" w:color="auto" w:sz="4" w:space="0"/>
              <w:left w:val="nil"/>
              <w:bottom w:val="single" w:color="auto" w:sz="4" w:space="0"/>
              <w:right w:val="single" w:color="auto" w:sz="4" w:space="0"/>
            </w:tcBorders>
            <w:vAlign w:val="center"/>
          </w:tcPr>
          <w:p w14:paraId="20DA3C2D">
            <w:pPr>
              <w:spacing w:line="320" w:lineRule="exact"/>
              <w:jc w:val="left"/>
              <w:rPr>
                <w:color w:val="000000"/>
                <w:kern w:val="0"/>
                <w:sz w:val="18"/>
                <w:szCs w:val="18"/>
              </w:rPr>
            </w:pPr>
            <w:r>
              <w:rPr>
                <w:rFonts w:hint="eastAsia"/>
                <w:color w:val="000000"/>
                <w:kern w:val="0"/>
                <w:sz w:val="18"/>
                <w:szCs w:val="18"/>
              </w:rPr>
              <w:t>处2000元以上3000元以下罚款</w:t>
            </w:r>
          </w:p>
        </w:tc>
      </w:tr>
      <w:tr w14:paraId="6E16DE83">
        <w:tblPrEx>
          <w:tblCellMar>
            <w:top w:w="0" w:type="dxa"/>
            <w:left w:w="108" w:type="dxa"/>
            <w:bottom w:w="0" w:type="dxa"/>
            <w:right w:w="108" w:type="dxa"/>
          </w:tblCellMar>
        </w:tblPrEx>
        <w:trPr>
          <w:trHeight w:val="329" w:hRule="atLeast"/>
        </w:trPr>
        <w:tc>
          <w:tcPr>
            <w:tcW w:w="1010" w:type="dxa"/>
            <w:vMerge w:val="continue"/>
            <w:tcBorders>
              <w:top w:val="single" w:color="auto" w:sz="4" w:space="0"/>
              <w:left w:val="single" w:color="auto" w:sz="8" w:space="0"/>
              <w:bottom w:val="single" w:color="auto" w:sz="4" w:space="0"/>
              <w:right w:val="single" w:color="auto" w:sz="4" w:space="0"/>
            </w:tcBorders>
            <w:vAlign w:val="center"/>
          </w:tcPr>
          <w:p w14:paraId="62A52FF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490AAF4">
            <w:pPr>
              <w:rPr>
                <w:color w:val="000000"/>
              </w:rPr>
            </w:pPr>
            <w:r>
              <w:rPr>
                <w:rFonts w:hint="eastAsia"/>
                <w:color w:val="000000"/>
                <w:kern w:val="0"/>
                <w:sz w:val="18"/>
                <w:szCs w:val="18"/>
              </w:rPr>
              <w:t>造成一般生产安全事故的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62968EBB">
            <w:pPr>
              <w:spacing w:line="320" w:lineRule="exact"/>
              <w:jc w:val="left"/>
              <w:rPr>
                <w:color w:val="000000"/>
                <w:kern w:val="0"/>
                <w:sz w:val="18"/>
                <w:szCs w:val="18"/>
              </w:rPr>
            </w:pPr>
          </w:p>
        </w:tc>
        <w:tc>
          <w:tcPr>
            <w:tcW w:w="5850" w:type="dxa"/>
            <w:tcBorders>
              <w:top w:val="single" w:color="auto" w:sz="4" w:space="0"/>
              <w:left w:val="nil"/>
              <w:bottom w:val="single" w:color="auto" w:sz="4" w:space="0"/>
              <w:right w:val="single" w:color="auto" w:sz="4" w:space="0"/>
            </w:tcBorders>
          </w:tcPr>
          <w:p w14:paraId="1DF61F30">
            <w:pPr>
              <w:spacing w:line="320" w:lineRule="exact"/>
              <w:jc w:val="left"/>
              <w:rPr>
                <w:color w:val="000000"/>
                <w:kern w:val="0"/>
                <w:sz w:val="18"/>
                <w:szCs w:val="18"/>
              </w:rPr>
            </w:pPr>
            <w:r>
              <w:rPr>
                <w:rFonts w:hint="eastAsia"/>
                <w:color w:val="000000"/>
                <w:kern w:val="0"/>
                <w:sz w:val="18"/>
                <w:szCs w:val="18"/>
              </w:rPr>
              <w:t>处3000元以上4000元以下罚款，暂扣安全生产考核合格证书1年</w:t>
            </w:r>
          </w:p>
        </w:tc>
      </w:tr>
      <w:tr w14:paraId="08666881">
        <w:tblPrEx>
          <w:tblCellMar>
            <w:top w:w="0" w:type="dxa"/>
            <w:left w:w="108" w:type="dxa"/>
            <w:bottom w:w="0" w:type="dxa"/>
            <w:right w:w="108" w:type="dxa"/>
          </w:tblCellMar>
        </w:tblPrEx>
        <w:trPr>
          <w:trHeight w:val="438"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33E229B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26468379">
            <w:pPr>
              <w:rPr>
                <w:color w:val="000000"/>
                <w:kern w:val="0"/>
                <w:sz w:val="18"/>
                <w:szCs w:val="18"/>
              </w:rPr>
            </w:pPr>
            <w:r>
              <w:rPr>
                <w:rFonts w:hint="eastAsia"/>
                <w:color w:val="000000"/>
                <w:kern w:val="0"/>
                <w:sz w:val="18"/>
                <w:szCs w:val="18"/>
              </w:rPr>
              <w:t>造成较大及以上生产安全事故的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0127A0AE">
            <w:pPr>
              <w:spacing w:line="320" w:lineRule="exact"/>
              <w:jc w:val="left"/>
              <w:rPr>
                <w:color w:val="000000"/>
                <w:kern w:val="0"/>
                <w:sz w:val="18"/>
                <w:szCs w:val="18"/>
              </w:rPr>
            </w:pPr>
          </w:p>
        </w:tc>
        <w:tc>
          <w:tcPr>
            <w:tcW w:w="5850" w:type="dxa"/>
            <w:tcBorders>
              <w:top w:val="single" w:color="auto" w:sz="4" w:space="0"/>
              <w:left w:val="nil"/>
              <w:bottom w:val="single" w:color="auto" w:sz="4" w:space="0"/>
              <w:right w:val="single" w:color="auto" w:sz="4" w:space="0"/>
            </w:tcBorders>
          </w:tcPr>
          <w:p w14:paraId="6CF818B5">
            <w:pPr>
              <w:spacing w:line="320" w:lineRule="exact"/>
              <w:jc w:val="left"/>
              <w:rPr>
                <w:color w:val="000000"/>
                <w:kern w:val="0"/>
                <w:sz w:val="18"/>
                <w:szCs w:val="18"/>
              </w:rPr>
            </w:pPr>
            <w:r>
              <w:rPr>
                <w:rFonts w:hint="eastAsia"/>
                <w:color w:val="000000"/>
                <w:kern w:val="0"/>
                <w:sz w:val="18"/>
                <w:szCs w:val="18"/>
              </w:rPr>
              <w:t>处4000元以上5000元以下罚款，吊销安全生产考核合格证书</w:t>
            </w:r>
          </w:p>
        </w:tc>
      </w:tr>
    </w:tbl>
    <w:p w14:paraId="65D1B273"/>
    <w:p w14:paraId="10459D90"/>
    <w:p w14:paraId="4E9B98D1"/>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53D338F5">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71E84721">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7080D419">
            <w:pPr>
              <w:spacing w:line="320" w:lineRule="exact"/>
              <w:jc w:val="left"/>
              <w:rPr>
                <w:rFonts w:eastAsia="仿宋_GB2312"/>
                <w:b/>
                <w:bCs/>
                <w:color w:val="000000"/>
                <w:kern w:val="0"/>
                <w:sz w:val="18"/>
                <w:szCs w:val="18"/>
              </w:rPr>
            </w:pPr>
            <w:r>
              <w:rPr>
                <w:rFonts w:eastAsia="仿宋_GB2312"/>
                <w:b/>
                <w:bCs/>
                <w:color w:val="000000"/>
                <w:kern w:val="0"/>
                <w:sz w:val="18"/>
                <w:szCs w:val="18"/>
              </w:rPr>
              <w:t>320217078000</w:t>
            </w:r>
          </w:p>
        </w:tc>
      </w:tr>
      <w:tr w14:paraId="037DE5F4">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233F751D">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528ACFAD">
            <w:pPr>
              <w:spacing w:line="320" w:lineRule="exact"/>
              <w:jc w:val="left"/>
              <w:rPr>
                <w:color w:val="000000"/>
                <w:kern w:val="0"/>
                <w:sz w:val="18"/>
                <w:szCs w:val="18"/>
              </w:rPr>
            </w:pPr>
            <w:r>
              <w:rPr>
                <w:rFonts w:hint="eastAsia"/>
                <w:color w:val="000000"/>
                <w:kern w:val="0"/>
                <w:sz w:val="18"/>
                <w:szCs w:val="18"/>
              </w:rPr>
              <w:t>对发包人强令总承包人实施分包或者限定总承包人将工程发包给指定的分包人的处罚</w:t>
            </w:r>
          </w:p>
        </w:tc>
      </w:tr>
      <w:tr w14:paraId="68DA8739">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0B40BBEB">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6F3D099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【地方性法规】《江苏省建筑市场管理条例》</w:t>
            </w:r>
          </w:p>
          <w:p w14:paraId="4276D2A1">
            <w:pPr>
              <w:spacing w:line="320" w:lineRule="exact"/>
              <w:jc w:val="left"/>
              <w:rPr>
                <w:color w:val="000000"/>
                <w:kern w:val="0"/>
                <w:sz w:val="18"/>
                <w:szCs w:val="18"/>
              </w:rPr>
            </w:pPr>
            <w:r>
              <w:rPr>
                <w:rFonts w:hint="eastAsia"/>
                <w:color w:val="000000"/>
                <w:kern w:val="0"/>
                <w:sz w:val="18"/>
                <w:szCs w:val="18"/>
              </w:rPr>
              <w:t>第十二条　发包人不得实施下列行为：</w:t>
            </w:r>
          </w:p>
          <w:p w14:paraId="06107AB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（六）强令总承包人实施分包，或者限定总承包人将工程发包给指定的分包人；</w:t>
            </w:r>
          </w:p>
          <w:p w14:paraId="175E90AC">
            <w:pPr>
              <w:spacing w:line="320" w:lineRule="exact"/>
              <w:jc w:val="left"/>
              <w:rPr>
                <w:color w:val="000000"/>
                <w:kern w:val="0"/>
                <w:sz w:val="18"/>
                <w:szCs w:val="18"/>
              </w:rPr>
            </w:pPr>
            <w:r>
              <w:rPr>
                <w:rFonts w:hint="eastAsia"/>
                <w:color w:val="000000"/>
                <w:kern w:val="0"/>
                <w:sz w:val="18"/>
                <w:szCs w:val="18"/>
              </w:rPr>
              <w:t>第四十七条　发包人有本条例第十二条第（六）项和第（十）项规定的行为，由建设行政主管部门责令改正，处以警告；有违法所得的，没收违法所得。</w:t>
            </w:r>
          </w:p>
        </w:tc>
      </w:tr>
      <w:tr w14:paraId="68B17CE5">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99D5C59">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1CAD966C">
            <w:pPr>
              <w:spacing w:line="320" w:lineRule="exact"/>
              <w:jc w:val="left"/>
              <w:rPr>
                <w:color w:val="000000"/>
                <w:kern w:val="0"/>
                <w:sz w:val="18"/>
                <w:szCs w:val="18"/>
              </w:rPr>
            </w:pPr>
            <w:r>
              <w:rPr>
                <w:rFonts w:hint="eastAsia"/>
                <w:color w:val="000000"/>
                <w:kern w:val="0"/>
                <w:sz w:val="18"/>
                <w:szCs w:val="18"/>
              </w:rPr>
              <w:t>警告，没收违法所得</w:t>
            </w:r>
          </w:p>
        </w:tc>
      </w:tr>
      <w:tr w14:paraId="1908B512">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02A7CF95">
            <w:pPr>
              <w:spacing w:line="320" w:lineRule="exact"/>
              <w:jc w:val="center"/>
              <w:rPr>
                <w:color w:val="000000"/>
                <w:kern w:val="0"/>
                <w:sz w:val="18"/>
                <w:szCs w:val="18"/>
              </w:rPr>
            </w:pPr>
            <w:r>
              <w:rPr>
                <w:rFonts w:hint="eastAsia"/>
                <w:color w:val="000000"/>
                <w:kern w:val="0"/>
                <w:sz w:val="18"/>
                <w:szCs w:val="18"/>
              </w:rPr>
              <w:t>裁量基准</w:t>
            </w:r>
          </w:p>
        </w:tc>
      </w:tr>
      <w:tr w14:paraId="1B2C50E3">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4" w:space="0"/>
              <w:bottom w:val="single" w:color="auto" w:sz="4" w:space="0"/>
              <w:right w:val="single" w:color="auto" w:sz="4" w:space="0"/>
            </w:tcBorders>
            <w:vAlign w:val="center"/>
          </w:tcPr>
          <w:p w14:paraId="1EBDF8B0">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10D6D61">
            <w:pPr>
              <w:spacing w:line="320" w:lineRule="exact"/>
              <w:jc w:val="left"/>
              <w:rPr>
                <w:color w:val="000000"/>
                <w:kern w:val="0"/>
                <w:sz w:val="18"/>
                <w:szCs w:val="18"/>
              </w:rPr>
            </w:pPr>
            <w:r>
              <w:rPr>
                <w:rFonts w:hint="eastAsia"/>
                <w:color w:val="000000"/>
                <w:kern w:val="0"/>
                <w:sz w:val="18"/>
                <w:szCs w:val="18"/>
              </w:rPr>
              <w:t>　</w:t>
            </w:r>
          </w:p>
        </w:tc>
        <w:tc>
          <w:tcPr>
            <w:tcW w:w="1080" w:type="dxa"/>
            <w:tcBorders>
              <w:top w:val="single" w:color="auto" w:sz="4" w:space="0"/>
              <w:left w:val="single" w:color="auto" w:sz="4" w:space="0"/>
              <w:bottom w:val="single" w:color="auto" w:sz="4" w:space="0"/>
              <w:right w:val="single" w:color="auto" w:sz="4" w:space="0"/>
            </w:tcBorders>
            <w:vAlign w:val="center"/>
          </w:tcPr>
          <w:p w14:paraId="40305FF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5BF187D3">
            <w:pPr>
              <w:spacing w:line="320" w:lineRule="exact"/>
              <w:jc w:val="left"/>
              <w:rPr>
                <w:color w:val="000000"/>
                <w:kern w:val="0"/>
                <w:sz w:val="18"/>
                <w:szCs w:val="18"/>
              </w:rPr>
            </w:pPr>
          </w:p>
        </w:tc>
      </w:tr>
    </w:tbl>
    <w:p w14:paraId="4D8A7C9E"/>
    <w:p w14:paraId="4929336E"/>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49867E0F">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54A01FF7">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39B69829">
            <w:pPr>
              <w:spacing w:line="320" w:lineRule="exact"/>
              <w:jc w:val="left"/>
              <w:rPr>
                <w:rFonts w:eastAsia="仿宋_GB2312"/>
                <w:b/>
                <w:bCs/>
                <w:color w:val="000000"/>
                <w:kern w:val="0"/>
                <w:sz w:val="18"/>
                <w:szCs w:val="18"/>
              </w:rPr>
            </w:pPr>
            <w:r>
              <w:rPr>
                <w:rFonts w:eastAsia="仿宋_GB2312"/>
                <w:b/>
                <w:bCs/>
                <w:color w:val="000000"/>
                <w:kern w:val="0"/>
                <w:sz w:val="18"/>
                <w:szCs w:val="18"/>
              </w:rPr>
              <w:t>320217079000</w:t>
            </w:r>
          </w:p>
        </w:tc>
      </w:tr>
      <w:tr w14:paraId="41E2188E">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6D7D22D">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06A6577A">
            <w:pPr>
              <w:spacing w:line="320" w:lineRule="exact"/>
              <w:jc w:val="left"/>
              <w:rPr>
                <w:color w:val="000000"/>
                <w:kern w:val="0"/>
                <w:sz w:val="18"/>
                <w:szCs w:val="18"/>
              </w:rPr>
            </w:pPr>
            <w:r>
              <w:rPr>
                <w:rFonts w:hint="eastAsia"/>
                <w:color w:val="000000"/>
                <w:kern w:val="0"/>
                <w:sz w:val="18"/>
                <w:szCs w:val="18"/>
              </w:rPr>
              <w:t>对承包人以伪造、涂改、复制资质证书、图章、图签等方式承接工程业务的处罚</w:t>
            </w:r>
          </w:p>
        </w:tc>
      </w:tr>
      <w:tr w14:paraId="09A19B72">
        <w:tblPrEx>
          <w:tblCellMar>
            <w:top w:w="0" w:type="dxa"/>
            <w:left w:w="108" w:type="dxa"/>
            <w:bottom w:w="0" w:type="dxa"/>
            <w:right w:w="108" w:type="dxa"/>
          </w:tblCellMar>
        </w:tblPrEx>
        <w:trPr>
          <w:trHeight w:val="1215" w:hRule="atLeast"/>
        </w:trPr>
        <w:tc>
          <w:tcPr>
            <w:tcW w:w="1030" w:type="dxa"/>
            <w:tcBorders>
              <w:top w:val="nil"/>
              <w:left w:val="single" w:color="auto" w:sz="8" w:space="0"/>
              <w:bottom w:val="single" w:color="auto" w:sz="4" w:space="0"/>
              <w:right w:val="single" w:color="auto" w:sz="4" w:space="0"/>
            </w:tcBorders>
            <w:vAlign w:val="center"/>
          </w:tcPr>
          <w:p w14:paraId="04955A7F">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2374EFF4">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第二十一条　承包人不得实施下列行为：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（四）以伪造、涂改、复制资质证书、图章、图签等方式承接工程业务；</w:t>
            </w:r>
            <w:r>
              <w:rPr>
                <w:color w:val="000000"/>
                <w:kern w:val="0"/>
                <w:sz w:val="18"/>
                <w:szCs w:val="18"/>
              </w:rPr>
              <w:br w:type="textWrapping"/>
            </w:r>
            <w:r>
              <w:rPr>
                <w:rFonts w:hint="eastAsia"/>
                <w:color w:val="000000"/>
                <w:kern w:val="0"/>
                <w:sz w:val="18"/>
                <w:szCs w:val="18"/>
              </w:rPr>
              <w:t>第四十九条</w:t>
            </w:r>
            <w:r>
              <w:rPr>
                <w:color w:val="000000"/>
                <w:kern w:val="0"/>
                <w:sz w:val="18"/>
                <w:szCs w:val="18"/>
              </w:rPr>
              <w:t xml:space="preserve"> </w:t>
            </w:r>
            <w:r>
              <w:rPr>
                <w:rFonts w:hint="eastAsia"/>
                <w:color w:val="000000"/>
                <w:kern w:val="0"/>
                <w:sz w:val="18"/>
                <w:szCs w:val="18"/>
              </w:rPr>
              <w:t>承包人有本条例第二十一条第（四）项规定行为的，由建设行政主管部门责令改正，没收违法所得，处以五万元以上十万元以下的罚款。</w:t>
            </w:r>
          </w:p>
        </w:tc>
      </w:tr>
      <w:tr w14:paraId="77C2621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020669B">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37BF8CF4">
            <w:pPr>
              <w:spacing w:line="320" w:lineRule="exact"/>
              <w:jc w:val="left"/>
              <w:rPr>
                <w:color w:val="000000"/>
                <w:kern w:val="0"/>
                <w:sz w:val="18"/>
                <w:szCs w:val="18"/>
              </w:rPr>
            </w:pPr>
            <w:r>
              <w:rPr>
                <w:rFonts w:hint="eastAsia"/>
                <w:color w:val="000000"/>
                <w:kern w:val="0"/>
                <w:sz w:val="18"/>
                <w:szCs w:val="18"/>
              </w:rPr>
              <w:t>罚款，没收违法所得</w:t>
            </w:r>
            <w:r>
              <w:rPr>
                <w:color w:val="000000"/>
                <w:kern w:val="0"/>
                <w:sz w:val="18"/>
                <w:szCs w:val="18"/>
              </w:rPr>
              <w:t xml:space="preserve">  </w:t>
            </w:r>
            <w:r>
              <w:rPr>
                <w:rFonts w:hint="eastAsia"/>
                <w:color w:val="000000"/>
                <w:kern w:val="0"/>
                <w:sz w:val="18"/>
                <w:szCs w:val="18"/>
              </w:rPr>
              <w:t>　</w:t>
            </w:r>
          </w:p>
        </w:tc>
      </w:tr>
      <w:tr w14:paraId="3D927B21">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787E004C">
            <w:pPr>
              <w:spacing w:line="320" w:lineRule="exact"/>
              <w:jc w:val="center"/>
              <w:rPr>
                <w:color w:val="000000"/>
                <w:kern w:val="0"/>
                <w:sz w:val="18"/>
                <w:szCs w:val="18"/>
              </w:rPr>
            </w:pPr>
            <w:r>
              <w:rPr>
                <w:rFonts w:hint="eastAsia"/>
                <w:color w:val="000000"/>
                <w:kern w:val="0"/>
                <w:sz w:val="18"/>
                <w:szCs w:val="18"/>
              </w:rPr>
              <w:t>裁量基准</w:t>
            </w:r>
          </w:p>
        </w:tc>
      </w:tr>
      <w:tr w14:paraId="01D96636">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bottom w:val="single" w:color="auto" w:sz="4" w:space="0"/>
              <w:right w:val="single" w:color="auto" w:sz="4" w:space="0"/>
            </w:tcBorders>
            <w:vAlign w:val="center"/>
          </w:tcPr>
          <w:p w14:paraId="73C3810F">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466EE4FA">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177B3226">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37535E92">
            <w:pPr>
              <w:spacing w:line="32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14:paraId="54954C57">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bottom w:val="single" w:color="auto" w:sz="4" w:space="0"/>
              <w:right w:val="single" w:color="auto" w:sz="4" w:space="0"/>
            </w:tcBorders>
            <w:vAlign w:val="center"/>
          </w:tcPr>
          <w:p w14:paraId="0707A325">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4CCC965C">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AFDB26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39F3517">
            <w:pPr>
              <w:spacing w:line="32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3327A668"/>
    <w:p w14:paraId="16146A3E"/>
    <w:p w14:paraId="5830427B"/>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57512CA8">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D6B6D8D">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4BEC2604">
            <w:pPr>
              <w:jc w:val="left"/>
              <w:rPr>
                <w:rFonts w:eastAsia="仿宋_GB2312"/>
                <w:b/>
                <w:color w:val="000000"/>
                <w:sz w:val="20"/>
              </w:rPr>
            </w:pPr>
            <w:r>
              <w:rPr>
                <w:rFonts w:eastAsia="仿宋_GB2312"/>
                <w:b/>
                <w:color w:val="000000"/>
                <w:sz w:val="20"/>
              </w:rPr>
              <w:t>320217080000</w:t>
            </w:r>
          </w:p>
        </w:tc>
      </w:tr>
      <w:tr w14:paraId="440D178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EC871DB">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489803C3">
            <w:pPr>
              <w:jc w:val="left"/>
              <w:rPr>
                <w:color w:val="000000"/>
                <w:sz w:val="20"/>
              </w:rPr>
            </w:pPr>
            <w:r>
              <w:rPr>
                <w:rFonts w:hint="eastAsia"/>
                <w:color w:val="000000"/>
                <w:kern w:val="0"/>
                <w:sz w:val="18"/>
                <w:szCs w:val="18"/>
              </w:rPr>
              <w:t>对注册造价工程师签署有虚假记载、误导性陈述的工程造价成果文件的处罚</w:t>
            </w:r>
          </w:p>
        </w:tc>
      </w:tr>
      <w:tr w14:paraId="7173BC78">
        <w:tblPrEx>
          <w:tblCellMar>
            <w:top w:w="0" w:type="dxa"/>
            <w:left w:w="108" w:type="dxa"/>
            <w:bottom w:w="0" w:type="dxa"/>
            <w:right w:w="108" w:type="dxa"/>
          </w:tblCellMar>
        </w:tblPrEx>
        <w:trPr>
          <w:trHeight w:val="1365" w:hRule="atLeast"/>
        </w:trPr>
        <w:tc>
          <w:tcPr>
            <w:tcW w:w="1056" w:type="dxa"/>
            <w:tcBorders>
              <w:top w:val="nil"/>
              <w:left w:val="single" w:color="auto" w:sz="8" w:space="0"/>
              <w:bottom w:val="single" w:color="auto" w:sz="4" w:space="0"/>
              <w:right w:val="single" w:color="auto" w:sz="4" w:space="0"/>
            </w:tcBorders>
            <w:vAlign w:val="center"/>
          </w:tcPr>
          <w:p w14:paraId="68F84B40">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78EACCB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【规章】《注册造价工程师管理办法》（建设部令第150号发布，根据住房和城乡建设部令第32号，住房和城乡建设部令第50号修正）</w:t>
            </w:r>
          </w:p>
          <w:p w14:paraId="744E5BB3">
            <w:pPr>
              <w:spacing w:line="320" w:lineRule="exact"/>
              <w:jc w:val="left"/>
              <w:rPr>
                <w:color w:val="000000"/>
                <w:kern w:val="0"/>
                <w:sz w:val="18"/>
                <w:szCs w:val="18"/>
              </w:rPr>
            </w:pPr>
            <w:r>
              <w:rPr>
                <w:rFonts w:hint="eastAsia"/>
                <w:color w:val="000000"/>
                <w:kern w:val="0"/>
                <w:sz w:val="18"/>
                <w:szCs w:val="18"/>
              </w:rPr>
              <w:t xml:space="preserve">   第二十条　注册造价工程师不得有下列行为：</w:t>
            </w:r>
          </w:p>
          <w:p w14:paraId="327C741C">
            <w:pPr>
              <w:spacing w:line="320" w:lineRule="exact"/>
              <w:jc w:val="left"/>
              <w:rPr>
                <w:color w:val="000000"/>
                <w:kern w:val="0"/>
                <w:sz w:val="18"/>
                <w:szCs w:val="18"/>
              </w:rPr>
            </w:pPr>
            <w:r>
              <w:rPr>
                <w:rFonts w:hint="eastAsia"/>
                <w:color w:val="000000"/>
                <w:kern w:val="0"/>
                <w:sz w:val="18"/>
                <w:szCs w:val="18"/>
              </w:rPr>
              <w:t>　　（四）签署有虚假记载、误导性陈述的工程造价成果文件；</w:t>
            </w:r>
          </w:p>
          <w:p w14:paraId="598EBAC7">
            <w:pPr>
              <w:spacing w:line="320" w:lineRule="exact"/>
              <w:jc w:val="left"/>
              <w:rPr>
                <w:color w:val="000000"/>
                <w:kern w:val="0"/>
                <w:sz w:val="18"/>
                <w:szCs w:val="18"/>
              </w:rPr>
            </w:pPr>
            <w:r>
              <w:rPr>
                <w:rFonts w:hint="eastAsia"/>
                <w:color w:val="000000"/>
                <w:kern w:val="0"/>
                <w:sz w:val="18"/>
                <w:szCs w:val="18"/>
              </w:rPr>
              <w:t>　　第三十六条　注册造价工程师有本办法第二十条规定行为之一的，由县级以上地方人民政府住房城乡建设主管部门或者其他有关部门给予警告，责令改正，没有违法所得的，处以1万元以下罚款，有违法所得的，处以违法所得3倍以下且不超过3万元的罚款。</w:t>
            </w:r>
          </w:p>
        </w:tc>
      </w:tr>
      <w:tr w14:paraId="0D7BF264">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BBEBD50">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1E40831A">
            <w:pPr>
              <w:spacing w:line="320" w:lineRule="exact"/>
              <w:jc w:val="left"/>
              <w:rPr>
                <w:color w:val="000000"/>
                <w:kern w:val="0"/>
                <w:sz w:val="18"/>
                <w:szCs w:val="18"/>
              </w:rPr>
            </w:pPr>
            <w:r>
              <w:rPr>
                <w:rFonts w:hint="eastAsia"/>
                <w:color w:val="000000"/>
                <w:kern w:val="0"/>
                <w:sz w:val="18"/>
                <w:szCs w:val="18"/>
              </w:rPr>
              <w:t>警告，罚款</w:t>
            </w:r>
          </w:p>
        </w:tc>
      </w:tr>
      <w:tr w14:paraId="00A83B92">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0AC34AA2">
            <w:pPr>
              <w:spacing w:line="320" w:lineRule="exact"/>
              <w:jc w:val="center"/>
              <w:rPr>
                <w:color w:val="000000"/>
                <w:kern w:val="0"/>
                <w:sz w:val="18"/>
                <w:szCs w:val="18"/>
              </w:rPr>
            </w:pPr>
            <w:r>
              <w:rPr>
                <w:rFonts w:hint="eastAsia"/>
                <w:color w:val="000000"/>
                <w:kern w:val="0"/>
                <w:sz w:val="18"/>
                <w:szCs w:val="18"/>
              </w:rPr>
              <w:t>裁量基准</w:t>
            </w:r>
          </w:p>
        </w:tc>
      </w:tr>
      <w:tr w14:paraId="45F05E14">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61872070">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313520EE">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0AB4D477">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0BF95396">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1B7109C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2A2BF821">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396D573">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16301D1D">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3DFC86C0">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3A351A5B">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2013D36">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8055207">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31345D3">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262E377A">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1E717328">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9CDEFD9">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4D31C36">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770DD150">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810F488">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0F069273">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4A31394E">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706099F9">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84D2D02">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6AB979FC"/>
    <w:p w14:paraId="695163AC"/>
    <w:p w14:paraId="681ACA8F"/>
    <w:p w14:paraId="04982E0F"/>
    <w:p w14:paraId="5009345D"/>
    <w:p w14:paraId="434E7DDF"/>
    <w:p w14:paraId="2CCDBDAC"/>
    <w:p w14:paraId="0947E4C2"/>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4F4A9FB2">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134FB2DD">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50B2D619">
            <w:pPr>
              <w:spacing w:line="320" w:lineRule="exact"/>
              <w:jc w:val="left"/>
              <w:rPr>
                <w:rFonts w:eastAsia="仿宋_GB2312"/>
                <w:b/>
                <w:bCs/>
                <w:color w:val="000000"/>
                <w:kern w:val="0"/>
                <w:sz w:val="18"/>
                <w:szCs w:val="18"/>
              </w:rPr>
            </w:pPr>
            <w:r>
              <w:rPr>
                <w:rFonts w:eastAsia="仿宋_GB2312"/>
                <w:b/>
                <w:bCs/>
                <w:color w:val="000000"/>
                <w:kern w:val="0"/>
                <w:sz w:val="18"/>
                <w:szCs w:val="18"/>
              </w:rPr>
              <w:t>320217081000</w:t>
            </w:r>
          </w:p>
        </w:tc>
      </w:tr>
      <w:tr w14:paraId="048492BF">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5842E099">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5F29ED43">
            <w:pPr>
              <w:spacing w:line="320" w:lineRule="exact"/>
              <w:jc w:val="left"/>
              <w:rPr>
                <w:color w:val="000000"/>
                <w:kern w:val="0"/>
                <w:sz w:val="18"/>
                <w:szCs w:val="18"/>
              </w:rPr>
            </w:pPr>
            <w:r>
              <w:rPr>
                <w:rFonts w:hint="eastAsia"/>
                <w:color w:val="000000"/>
                <w:kern w:val="0"/>
                <w:sz w:val="18"/>
                <w:szCs w:val="18"/>
              </w:rPr>
              <w:t>对建设单位迫使承包方以低于成本的价格竞标的处罚</w:t>
            </w:r>
          </w:p>
        </w:tc>
      </w:tr>
      <w:tr w14:paraId="4D8357DF">
        <w:tblPrEx>
          <w:tblCellMar>
            <w:top w:w="0" w:type="dxa"/>
            <w:left w:w="108" w:type="dxa"/>
            <w:bottom w:w="0" w:type="dxa"/>
            <w:right w:w="108" w:type="dxa"/>
          </w:tblCellMar>
        </w:tblPrEx>
        <w:trPr>
          <w:trHeight w:val="841" w:hRule="atLeast"/>
        </w:trPr>
        <w:tc>
          <w:tcPr>
            <w:tcW w:w="1090" w:type="dxa"/>
            <w:tcBorders>
              <w:top w:val="nil"/>
              <w:left w:val="single" w:color="auto" w:sz="8" w:space="0"/>
              <w:bottom w:val="single" w:color="auto" w:sz="4" w:space="0"/>
              <w:right w:val="single" w:color="auto" w:sz="4" w:space="0"/>
            </w:tcBorders>
            <w:vAlign w:val="center"/>
          </w:tcPr>
          <w:p w14:paraId="62901593">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0C02691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0F30724B">
            <w:pPr>
              <w:spacing w:line="320" w:lineRule="exact"/>
              <w:jc w:val="left"/>
              <w:rPr>
                <w:color w:val="000000"/>
                <w:kern w:val="0"/>
                <w:sz w:val="18"/>
                <w:szCs w:val="18"/>
              </w:rPr>
            </w:pPr>
            <w:r>
              <w:rPr>
                <w:rFonts w:hint="eastAsia"/>
                <w:color w:val="000000"/>
                <w:kern w:val="0"/>
                <w:sz w:val="18"/>
                <w:szCs w:val="18"/>
              </w:rPr>
              <w:t>第十条第一款　建设工程发包单位不得迫使承包方以低于成本的价格竞标，不得任意压缩合理工期。</w:t>
            </w:r>
          </w:p>
          <w:p w14:paraId="499C33B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14:paraId="437815C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（一）迫使承包方以低于成本的价格竞标的。</w:t>
            </w:r>
          </w:p>
          <w:p w14:paraId="3E0073B2">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4EEC8700">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545023BC">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4F559513">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755AADAC">
            <w:pPr>
              <w:spacing w:line="320" w:lineRule="exact"/>
              <w:jc w:val="left"/>
              <w:rPr>
                <w:color w:val="000000"/>
                <w:kern w:val="0"/>
                <w:sz w:val="18"/>
                <w:szCs w:val="18"/>
              </w:rPr>
            </w:pPr>
            <w:r>
              <w:rPr>
                <w:rFonts w:hint="eastAsia"/>
                <w:color w:val="000000"/>
                <w:kern w:val="0"/>
                <w:sz w:val="18"/>
                <w:szCs w:val="18"/>
              </w:rPr>
              <w:t>罚款</w:t>
            </w:r>
          </w:p>
        </w:tc>
      </w:tr>
      <w:tr w14:paraId="06ACBE49">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0E54535">
            <w:pPr>
              <w:spacing w:line="320" w:lineRule="exact"/>
              <w:jc w:val="center"/>
              <w:rPr>
                <w:color w:val="000000"/>
                <w:kern w:val="0"/>
                <w:sz w:val="18"/>
                <w:szCs w:val="18"/>
              </w:rPr>
            </w:pPr>
            <w:r>
              <w:rPr>
                <w:rFonts w:hint="eastAsia"/>
                <w:color w:val="000000"/>
                <w:kern w:val="0"/>
                <w:sz w:val="18"/>
                <w:szCs w:val="18"/>
              </w:rPr>
              <w:t>裁量基准</w:t>
            </w:r>
          </w:p>
        </w:tc>
      </w:tr>
      <w:tr w14:paraId="69CBF709">
        <w:tblPrEx>
          <w:tblCellMar>
            <w:top w:w="0" w:type="dxa"/>
            <w:left w:w="108" w:type="dxa"/>
            <w:bottom w:w="0" w:type="dxa"/>
            <w:right w:w="108" w:type="dxa"/>
          </w:tblCellMar>
        </w:tblPrEx>
        <w:trPr>
          <w:trHeight w:val="480" w:hRule="atLeast"/>
        </w:trPr>
        <w:tc>
          <w:tcPr>
            <w:tcW w:w="1090" w:type="dxa"/>
            <w:vMerge w:val="restart"/>
            <w:tcBorders>
              <w:top w:val="nil"/>
              <w:left w:val="single" w:color="auto" w:sz="8" w:space="0"/>
              <w:bottom w:val="single" w:color="auto" w:sz="4" w:space="0"/>
              <w:right w:val="single" w:color="auto" w:sz="4" w:space="0"/>
            </w:tcBorders>
            <w:vAlign w:val="center"/>
          </w:tcPr>
          <w:p w14:paraId="1A13353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CA07C52">
            <w:pPr>
              <w:spacing w:line="320" w:lineRule="exact"/>
              <w:jc w:val="left"/>
              <w:rPr>
                <w:color w:val="000000"/>
                <w:kern w:val="0"/>
                <w:sz w:val="18"/>
                <w:szCs w:val="18"/>
              </w:rPr>
            </w:pPr>
            <w:r>
              <w:rPr>
                <w:rFonts w:hint="eastAsia"/>
                <w:color w:val="000000"/>
                <w:kern w:val="0"/>
                <w:sz w:val="18"/>
                <w:szCs w:val="18"/>
              </w:rPr>
              <w:t>低于成本</w:t>
            </w:r>
            <w:r>
              <w:rPr>
                <w:color w:val="000000"/>
                <w:kern w:val="0"/>
                <w:sz w:val="18"/>
                <w:szCs w:val="18"/>
              </w:rPr>
              <w:t>10%</w:t>
            </w:r>
            <w:r>
              <w:rPr>
                <w:rFonts w:hint="eastAsia"/>
                <w:color w:val="000000"/>
                <w:kern w:val="0"/>
                <w:sz w:val="18"/>
                <w:szCs w:val="18"/>
              </w:rPr>
              <w:t>以下的</w:t>
            </w:r>
          </w:p>
        </w:tc>
        <w:tc>
          <w:tcPr>
            <w:tcW w:w="1080" w:type="dxa"/>
            <w:vMerge w:val="restart"/>
            <w:tcBorders>
              <w:top w:val="nil"/>
              <w:left w:val="single" w:color="auto" w:sz="4" w:space="0"/>
              <w:bottom w:val="single" w:color="auto" w:sz="4" w:space="0"/>
              <w:right w:val="single" w:color="auto" w:sz="4" w:space="0"/>
            </w:tcBorders>
            <w:vAlign w:val="center"/>
          </w:tcPr>
          <w:p w14:paraId="43176057">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color="auto" w:sz="4" w:space="0"/>
              <w:right w:val="single" w:color="auto" w:sz="8" w:space="0"/>
            </w:tcBorders>
            <w:vAlign w:val="center"/>
          </w:tcPr>
          <w:p w14:paraId="4E16E77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3DD0DAF8">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3AC9ED81">
        <w:tblPrEx>
          <w:tblCellMar>
            <w:top w:w="0" w:type="dxa"/>
            <w:left w:w="108" w:type="dxa"/>
            <w:bottom w:w="0" w:type="dxa"/>
            <w:right w:w="108" w:type="dxa"/>
          </w:tblCellMar>
        </w:tblPrEx>
        <w:trPr>
          <w:trHeight w:val="480" w:hRule="atLeast"/>
        </w:trPr>
        <w:tc>
          <w:tcPr>
            <w:tcW w:w="1090" w:type="dxa"/>
            <w:vMerge w:val="continue"/>
            <w:tcBorders>
              <w:top w:val="nil"/>
              <w:left w:val="single" w:color="auto" w:sz="8" w:space="0"/>
              <w:bottom w:val="single" w:color="auto" w:sz="4" w:space="0"/>
              <w:right w:val="single" w:color="auto" w:sz="4" w:space="0"/>
            </w:tcBorders>
            <w:vAlign w:val="center"/>
          </w:tcPr>
          <w:p w14:paraId="1D47D8B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0070E3C">
            <w:pPr>
              <w:spacing w:line="320" w:lineRule="exact"/>
              <w:jc w:val="left"/>
              <w:rPr>
                <w:color w:val="000000"/>
                <w:kern w:val="0"/>
                <w:sz w:val="18"/>
                <w:szCs w:val="18"/>
              </w:rPr>
            </w:pPr>
            <w:r>
              <w:rPr>
                <w:rFonts w:hint="eastAsia"/>
                <w:color w:val="000000"/>
                <w:kern w:val="0"/>
                <w:sz w:val="18"/>
                <w:szCs w:val="18"/>
              </w:rPr>
              <w:t>低于成本</w:t>
            </w:r>
            <w:r>
              <w:rPr>
                <w:color w:val="000000"/>
                <w:kern w:val="0"/>
                <w:sz w:val="18"/>
                <w:szCs w:val="18"/>
              </w:rPr>
              <w:t>10%</w:t>
            </w:r>
            <w:r>
              <w:rPr>
                <w:rFonts w:hint="eastAsia"/>
                <w:color w:val="000000"/>
                <w:kern w:val="0"/>
                <w:sz w:val="18"/>
                <w:szCs w:val="18"/>
              </w:rPr>
              <w:t>以上</w:t>
            </w:r>
            <w:r>
              <w:rPr>
                <w:color w:val="000000"/>
                <w:kern w:val="0"/>
                <w:sz w:val="18"/>
                <w:szCs w:val="18"/>
              </w:rPr>
              <w:t>20%</w:t>
            </w:r>
            <w:r>
              <w:rPr>
                <w:rFonts w:hint="eastAsia"/>
                <w:color w:val="000000"/>
                <w:kern w:val="0"/>
                <w:sz w:val="18"/>
                <w:szCs w:val="18"/>
              </w:rPr>
              <w:t>以下的</w:t>
            </w:r>
          </w:p>
        </w:tc>
        <w:tc>
          <w:tcPr>
            <w:tcW w:w="1080" w:type="dxa"/>
            <w:vMerge w:val="continue"/>
            <w:tcBorders>
              <w:top w:val="nil"/>
              <w:left w:val="single" w:color="auto" w:sz="4" w:space="0"/>
              <w:bottom w:val="single" w:color="auto" w:sz="4" w:space="0"/>
              <w:right w:val="single" w:color="auto" w:sz="4" w:space="0"/>
            </w:tcBorders>
            <w:vAlign w:val="center"/>
          </w:tcPr>
          <w:p w14:paraId="48E0FCA3">
            <w:pPr>
              <w:spacing w:line="320" w:lineRule="exact"/>
              <w:jc w:val="left"/>
              <w:rPr>
                <w:color w:val="000000"/>
                <w:kern w:val="0"/>
                <w:sz w:val="18"/>
                <w:szCs w:val="18"/>
              </w:rPr>
            </w:pPr>
          </w:p>
        </w:tc>
        <w:tc>
          <w:tcPr>
            <w:tcW w:w="5740" w:type="dxa"/>
            <w:tcBorders>
              <w:top w:val="nil"/>
              <w:left w:val="nil"/>
              <w:bottom w:val="single" w:color="auto" w:sz="4" w:space="0"/>
              <w:right w:val="single" w:color="auto" w:sz="8" w:space="0"/>
            </w:tcBorders>
            <w:vAlign w:val="center"/>
          </w:tcPr>
          <w:p w14:paraId="67F2E40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14:paraId="4333D156">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033FC70F">
        <w:tblPrEx>
          <w:tblCellMar>
            <w:top w:w="0" w:type="dxa"/>
            <w:left w:w="108" w:type="dxa"/>
            <w:bottom w:w="0" w:type="dxa"/>
            <w:right w:w="108" w:type="dxa"/>
          </w:tblCellMar>
        </w:tblPrEx>
        <w:trPr>
          <w:trHeight w:val="480" w:hRule="atLeast"/>
        </w:trPr>
        <w:tc>
          <w:tcPr>
            <w:tcW w:w="1090" w:type="dxa"/>
            <w:vMerge w:val="continue"/>
            <w:tcBorders>
              <w:top w:val="nil"/>
              <w:left w:val="single" w:color="auto" w:sz="8" w:space="0"/>
              <w:bottom w:val="single" w:color="auto" w:sz="4" w:space="0"/>
              <w:right w:val="single" w:color="auto" w:sz="4" w:space="0"/>
            </w:tcBorders>
            <w:vAlign w:val="center"/>
          </w:tcPr>
          <w:p w14:paraId="22943F5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43F1F40">
            <w:pPr>
              <w:spacing w:line="320" w:lineRule="exact"/>
              <w:jc w:val="left"/>
              <w:rPr>
                <w:color w:val="000000"/>
                <w:kern w:val="0"/>
                <w:sz w:val="18"/>
                <w:szCs w:val="18"/>
              </w:rPr>
            </w:pPr>
            <w:r>
              <w:rPr>
                <w:rFonts w:hint="eastAsia"/>
                <w:color w:val="000000"/>
                <w:kern w:val="0"/>
                <w:sz w:val="18"/>
                <w:szCs w:val="18"/>
              </w:rPr>
              <w:t>低于成本</w:t>
            </w:r>
            <w:r>
              <w:rPr>
                <w:color w:val="000000"/>
                <w:kern w:val="0"/>
                <w:sz w:val="18"/>
                <w:szCs w:val="18"/>
              </w:rPr>
              <w:t>20%</w:t>
            </w:r>
            <w:r>
              <w:rPr>
                <w:rFonts w:hint="eastAsia"/>
                <w:color w:val="000000"/>
                <w:kern w:val="0"/>
                <w:sz w:val="18"/>
                <w:szCs w:val="18"/>
              </w:rPr>
              <w:t>以上，或者造成重大质量安全事故的</w:t>
            </w:r>
          </w:p>
        </w:tc>
        <w:tc>
          <w:tcPr>
            <w:tcW w:w="1080" w:type="dxa"/>
            <w:vMerge w:val="continue"/>
            <w:tcBorders>
              <w:top w:val="nil"/>
              <w:left w:val="single" w:color="auto" w:sz="4" w:space="0"/>
              <w:bottom w:val="single" w:color="auto" w:sz="4" w:space="0"/>
              <w:right w:val="single" w:color="auto" w:sz="4" w:space="0"/>
            </w:tcBorders>
            <w:vAlign w:val="center"/>
          </w:tcPr>
          <w:p w14:paraId="602A99A2">
            <w:pPr>
              <w:spacing w:line="320" w:lineRule="exact"/>
              <w:jc w:val="left"/>
              <w:rPr>
                <w:color w:val="000000"/>
                <w:kern w:val="0"/>
                <w:sz w:val="18"/>
                <w:szCs w:val="18"/>
              </w:rPr>
            </w:pPr>
          </w:p>
        </w:tc>
        <w:tc>
          <w:tcPr>
            <w:tcW w:w="5740" w:type="dxa"/>
            <w:tcBorders>
              <w:top w:val="nil"/>
              <w:left w:val="nil"/>
              <w:bottom w:val="single" w:color="auto" w:sz="4" w:space="0"/>
              <w:right w:val="single" w:color="auto" w:sz="8" w:space="0"/>
            </w:tcBorders>
            <w:vAlign w:val="center"/>
          </w:tcPr>
          <w:p w14:paraId="1CDFD27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14:paraId="7CC0A474">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24914DA8"/>
    <w:p w14:paraId="18DFC022"/>
    <w:p w14:paraId="3E47BB93"/>
    <w:p w14:paraId="5752CD9D"/>
    <w:p w14:paraId="38ED60B6"/>
    <w:p w14:paraId="7910BDAB"/>
    <w:p w14:paraId="777108EF"/>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6DBE3D1B">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7A862BA2">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625EF6E3">
            <w:pPr>
              <w:spacing w:line="320" w:lineRule="exact"/>
              <w:jc w:val="left"/>
              <w:rPr>
                <w:rFonts w:eastAsia="仿宋_GB2312"/>
                <w:b/>
                <w:bCs/>
                <w:color w:val="000000"/>
                <w:kern w:val="0"/>
                <w:sz w:val="18"/>
                <w:szCs w:val="18"/>
              </w:rPr>
            </w:pPr>
            <w:r>
              <w:rPr>
                <w:rFonts w:eastAsia="仿宋_GB2312"/>
                <w:b/>
                <w:bCs/>
                <w:color w:val="000000"/>
                <w:kern w:val="0"/>
                <w:sz w:val="18"/>
                <w:szCs w:val="18"/>
              </w:rPr>
              <w:t>320217082000</w:t>
            </w:r>
          </w:p>
        </w:tc>
      </w:tr>
      <w:tr w14:paraId="6338F103">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7CE8B69E">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6339B5FE">
            <w:pPr>
              <w:spacing w:line="320" w:lineRule="exact"/>
              <w:jc w:val="left"/>
              <w:rPr>
                <w:color w:val="000000"/>
                <w:kern w:val="0"/>
                <w:sz w:val="18"/>
                <w:szCs w:val="18"/>
              </w:rPr>
            </w:pPr>
            <w:r>
              <w:rPr>
                <w:rFonts w:hint="eastAsia"/>
                <w:color w:val="000000"/>
                <w:kern w:val="0"/>
                <w:sz w:val="18"/>
                <w:szCs w:val="18"/>
              </w:rPr>
              <w:t>对建设单位任意压缩合理工期的处罚</w:t>
            </w:r>
          </w:p>
        </w:tc>
      </w:tr>
      <w:tr w14:paraId="6DB28B64">
        <w:tblPrEx>
          <w:tblCellMar>
            <w:top w:w="0" w:type="dxa"/>
            <w:left w:w="108" w:type="dxa"/>
            <w:bottom w:w="0" w:type="dxa"/>
            <w:right w:w="108" w:type="dxa"/>
          </w:tblCellMar>
        </w:tblPrEx>
        <w:trPr>
          <w:trHeight w:val="1905" w:hRule="atLeast"/>
        </w:trPr>
        <w:tc>
          <w:tcPr>
            <w:tcW w:w="1090" w:type="dxa"/>
            <w:tcBorders>
              <w:top w:val="nil"/>
              <w:left w:val="single" w:color="auto" w:sz="8" w:space="0"/>
              <w:bottom w:val="single" w:color="auto" w:sz="4" w:space="0"/>
              <w:right w:val="single" w:color="auto" w:sz="4" w:space="0"/>
            </w:tcBorders>
            <w:vAlign w:val="center"/>
          </w:tcPr>
          <w:p w14:paraId="3FBC03CC">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2654F19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0E305727">
            <w:pPr>
              <w:spacing w:line="260" w:lineRule="exact"/>
              <w:jc w:val="left"/>
              <w:rPr>
                <w:color w:val="000000"/>
                <w:kern w:val="0"/>
                <w:sz w:val="18"/>
                <w:szCs w:val="18"/>
              </w:rPr>
            </w:pPr>
            <w:r>
              <w:rPr>
                <w:rFonts w:hint="eastAsia"/>
                <w:color w:val="000000"/>
                <w:kern w:val="0"/>
                <w:sz w:val="18"/>
                <w:szCs w:val="18"/>
              </w:rPr>
              <w:t>第十条第一款　建设工程发包单位不得迫使承包方以低于成本的价格竞标，不得任意压缩合理工期。</w:t>
            </w:r>
          </w:p>
          <w:p w14:paraId="0A2BC8E8">
            <w:pPr>
              <w:spacing w:line="26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14:paraId="5E88D5CC">
            <w:pPr>
              <w:spacing w:line="260" w:lineRule="exact"/>
              <w:jc w:val="left"/>
              <w:rPr>
                <w:color w:val="000000"/>
                <w:kern w:val="0"/>
                <w:sz w:val="18"/>
                <w:szCs w:val="18"/>
              </w:rPr>
            </w:pPr>
            <w:r>
              <w:rPr>
                <w:rFonts w:hint="eastAsia"/>
                <w:color w:val="000000"/>
                <w:kern w:val="0"/>
                <w:sz w:val="18"/>
                <w:szCs w:val="18"/>
              </w:rPr>
              <w:t>（二）任意压缩合理工期的。</w:t>
            </w:r>
          </w:p>
          <w:p w14:paraId="731345BE">
            <w:pPr>
              <w:spacing w:line="26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233507C2">
            <w:pPr>
              <w:spacing w:line="26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14:paraId="0168E515">
            <w:pPr>
              <w:spacing w:line="260" w:lineRule="exact"/>
              <w:ind w:firstLine="270" w:firstLineChars="150"/>
              <w:jc w:val="left"/>
              <w:rPr>
                <w:color w:val="000000"/>
                <w:kern w:val="0"/>
                <w:sz w:val="18"/>
                <w:szCs w:val="18"/>
              </w:rPr>
            </w:pP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14:paraId="1D808905">
            <w:pPr>
              <w:spacing w:line="26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第五十五条　违反本条例的规定，建设单位有下列行为之一的，责令限期改正，处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万元以下的罚款；造成重大安全事故，构成犯罪的，对直接责任人员，依照刑法有关规定追究刑事责任；造成损失的，依法承担赔偿责任：</w:t>
            </w:r>
          </w:p>
          <w:p w14:paraId="52A55B52">
            <w:pPr>
              <w:spacing w:line="26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（二）要求施工单位压缩合同约定的工期的。</w:t>
            </w:r>
          </w:p>
          <w:p w14:paraId="3B22E899">
            <w:pPr>
              <w:spacing w:line="26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r>
              <w:rPr>
                <w:color w:val="000000"/>
                <w:kern w:val="0"/>
                <w:sz w:val="18"/>
                <w:szCs w:val="18"/>
              </w:rPr>
              <w:t xml:space="preserve"> </w:t>
            </w:r>
          </w:p>
          <w:p w14:paraId="687D088F">
            <w:pPr>
              <w:spacing w:line="260" w:lineRule="exact"/>
              <w:jc w:val="left"/>
              <w:rPr>
                <w:color w:val="000000"/>
                <w:kern w:val="0"/>
                <w:sz w:val="18"/>
                <w:szCs w:val="18"/>
              </w:rPr>
            </w:pPr>
            <w:r>
              <w:rPr>
                <w:rFonts w:hint="eastAsia"/>
                <w:color w:val="000000"/>
                <w:kern w:val="0"/>
                <w:sz w:val="18"/>
                <w:szCs w:val="18"/>
              </w:rPr>
              <w:t>　　　违反消防安全管理规定的行为，由公安消防机构依法处罚。</w:t>
            </w:r>
            <w:r>
              <w:rPr>
                <w:color w:val="000000"/>
                <w:kern w:val="0"/>
                <w:sz w:val="18"/>
                <w:szCs w:val="18"/>
              </w:rPr>
              <w:t xml:space="preserve"> </w:t>
            </w:r>
          </w:p>
          <w:p w14:paraId="4BB73C26">
            <w:pPr>
              <w:spacing w:line="320" w:lineRule="exact"/>
              <w:ind w:firstLine="360"/>
              <w:rPr>
                <w:color w:val="000000"/>
                <w:kern w:val="0"/>
                <w:sz w:val="18"/>
                <w:szCs w:val="18"/>
              </w:rPr>
            </w:pPr>
            <w:r>
              <w:rPr>
                <w:rFonts w:hint="eastAsia"/>
                <w:color w:val="000000"/>
                <w:kern w:val="0"/>
                <w:sz w:val="18"/>
                <w:szCs w:val="18"/>
              </w:rPr>
              <w:t>　有关法律、行政法规对建设工程安全生产违法行为的行政处罚决定机关另有规定的，从其规定。</w:t>
            </w:r>
          </w:p>
        </w:tc>
      </w:tr>
      <w:tr w14:paraId="6A800556">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4385B6C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5ED1D682">
            <w:pPr>
              <w:spacing w:line="320" w:lineRule="exact"/>
              <w:jc w:val="left"/>
              <w:rPr>
                <w:color w:val="000000"/>
                <w:kern w:val="0"/>
                <w:sz w:val="18"/>
                <w:szCs w:val="18"/>
              </w:rPr>
            </w:pPr>
            <w:r>
              <w:rPr>
                <w:rFonts w:hint="eastAsia"/>
                <w:color w:val="000000"/>
                <w:kern w:val="0"/>
                <w:sz w:val="18"/>
                <w:szCs w:val="18"/>
              </w:rPr>
              <w:t>罚款</w:t>
            </w:r>
          </w:p>
        </w:tc>
      </w:tr>
      <w:tr w14:paraId="3CEB172F">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798457E">
            <w:pPr>
              <w:spacing w:line="320" w:lineRule="exact"/>
              <w:jc w:val="center"/>
              <w:rPr>
                <w:color w:val="000000"/>
                <w:kern w:val="0"/>
                <w:sz w:val="18"/>
                <w:szCs w:val="18"/>
              </w:rPr>
            </w:pPr>
            <w:r>
              <w:rPr>
                <w:rFonts w:hint="eastAsia"/>
                <w:color w:val="000000"/>
                <w:kern w:val="0"/>
                <w:sz w:val="18"/>
                <w:szCs w:val="18"/>
              </w:rPr>
              <w:t>裁量基准</w:t>
            </w:r>
          </w:p>
        </w:tc>
      </w:tr>
      <w:tr w14:paraId="70937BBF">
        <w:tblPrEx>
          <w:tblCellMar>
            <w:top w:w="0" w:type="dxa"/>
            <w:left w:w="108" w:type="dxa"/>
            <w:bottom w:w="0" w:type="dxa"/>
            <w:right w:w="108" w:type="dxa"/>
          </w:tblCellMar>
        </w:tblPrEx>
        <w:trPr>
          <w:trHeight w:val="480" w:hRule="atLeast"/>
        </w:trPr>
        <w:tc>
          <w:tcPr>
            <w:tcW w:w="1090" w:type="dxa"/>
            <w:vMerge w:val="restart"/>
            <w:tcBorders>
              <w:top w:val="nil"/>
              <w:left w:val="single" w:color="auto" w:sz="8" w:space="0"/>
              <w:bottom w:val="single" w:color="auto" w:sz="4" w:space="0"/>
              <w:right w:val="single" w:color="auto" w:sz="4" w:space="0"/>
            </w:tcBorders>
            <w:vAlign w:val="center"/>
          </w:tcPr>
          <w:p w14:paraId="52A4D9C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E4AF84B">
            <w:pPr>
              <w:spacing w:line="320" w:lineRule="exact"/>
              <w:jc w:val="left"/>
              <w:rPr>
                <w:color w:val="000000"/>
                <w:kern w:val="0"/>
                <w:sz w:val="18"/>
                <w:szCs w:val="18"/>
              </w:rPr>
            </w:pPr>
            <w:r>
              <w:rPr>
                <w:rFonts w:hint="eastAsia"/>
                <w:color w:val="000000"/>
                <w:kern w:val="0"/>
                <w:sz w:val="18"/>
                <w:szCs w:val="18"/>
              </w:rPr>
              <w:t>比合理工期少</w:t>
            </w:r>
            <w:r>
              <w:rPr>
                <w:color w:val="000000"/>
                <w:kern w:val="0"/>
                <w:sz w:val="18"/>
                <w:szCs w:val="18"/>
              </w:rPr>
              <w:t>10%</w:t>
            </w:r>
            <w:r>
              <w:rPr>
                <w:rFonts w:hint="eastAsia"/>
                <w:color w:val="000000"/>
                <w:kern w:val="0"/>
                <w:sz w:val="18"/>
                <w:szCs w:val="18"/>
              </w:rPr>
              <w:t>以下的</w:t>
            </w:r>
          </w:p>
        </w:tc>
        <w:tc>
          <w:tcPr>
            <w:tcW w:w="1080" w:type="dxa"/>
            <w:vMerge w:val="restart"/>
            <w:tcBorders>
              <w:top w:val="nil"/>
              <w:left w:val="single" w:color="auto" w:sz="4" w:space="0"/>
              <w:bottom w:val="single" w:color="auto" w:sz="4" w:space="0"/>
              <w:right w:val="single" w:color="auto" w:sz="4" w:space="0"/>
            </w:tcBorders>
            <w:vAlign w:val="center"/>
          </w:tcPr>
          <w:p w14:paraId="6021A7A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color="auto" w:sz="4" w:space="0"/>
              <w:right w:val="single" w:color="auto" w:sz="8" w:space="0"/>
            </w:tcBorders>
            <w:vAlign w:val="center"/>
          </w:tcPr>
          <w:p w14:paraId="59FD5D12">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15BA5EAA">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28E4F82E">
        <w:tblPrEx>
          <w:tblCellMar>
            <w:top w:w="0" w:type="dxa"/>
            <w:left w:w="108" w:type="dxa"/>
            <w:bottom w:w="0" w:type="dxa"/>
            <w:right w:w="108" w:type="dxa"/>
          </w:tblCellMar>
        </w:tblPrEx>
        <w:trPr>
          <w:trHeight w:val="480" w:hRule="atLeast"/>
        </w:trPr>
        <w:tc>
          <w:tcPr>
            <w:tcW w:w="1090" w:type="dxa"/>
            <w:vMerge w:val="continue"/>
            <w:tcBorders>
              <w:top w:val="nil"/>
              <w:left w:val="single" w:color="auto" w:sz="8" w:space="0"/>
              <w:bottom w:val="single" w:color="auto" w:sz="4" w:space="0"/>
              <w:right w:val="single" w:color="auto" w:sz="4" w:space="0"/>
            </w:tcBorders>
            <w:vAlign w:val="center"/>
          </w:tcPr>
          <w:p w14:paraId="196EFF1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F1AC032">
            <w:pPr>
              <w:spacing w:line="320" w:lineRule="exact"/>
              <w:jc w:val="left"/>
              <w:rPr>
                <w:color w:val="000000"/>
                <w:kern w:val="0"/>
                <w:sz w:val="18"/>
                <w:szCs w:val="18"/>
              </w:rPr>
            </w:pPr>
            <w:r>
              <w:rPr>
                <w:rFonts w:hint="eastAsia"/>
                <w:color w:val="000000"/>
                <w:kern w:val="0"/>
                <w:sz w:val="18"/>
                <w:szCs w:val="18"/>
              </w:rPr>
              <w:t>比合理工期少</w:t>
            </w:r>
            <w:r>
              <w:rPr>
                <w:color w:val="000000"/>
                <w:kern w:val="0"/>
                <w:sz w:val="18"/>
                <w:szCs w:val="18"/>
              </w:rPr>
              <w:t>10%</w:t>
            </w:r>
            <w:r>
              <w:rPr>
                <w:rFonts w:hint="eastAsia"/>
                <w:color w:val="000000"/>
                <w:kern w:val="0"/>
                <w:sz w:val="18"/>
                <w:szCs w:val="18"/>
              </w:rPr>
              <w:t>以上</w:t>
            </w:r>
            <w:r>
              <w:rPr>
                <w:color w:val="000000"/>
                <w:kern w:val="0"/>
                <w:sz w:val="18"/>
                <w:szCs w:val="18"/>
              </w:rPr>
              <w:t>20%</w:t>
            </w:r>
            <w:r>
              <w:rPr>
                <w:rFonts w:hint="eastAsia"/>
                <w:color w:val="000000"/>
                <w:kern w:val="0"/>
                <w:sz w:val="18"/>
                <w:szCs w:val="18"/>
              </w:rPr>
              <w:t>以下的</w:t>
            </w:r>
          </w:p>
        </w:tc>
        <w:tc>
          <w:tcPr>
            <w:tcW w:w="1080" w:type="dxa"/>
            <w:vMerge w:val="continue"/>
            <w:tcBorders>
              <w:top w:val="nil"/>
              <w:left w:val="single" w:color="auto" w:sz="4" w:space="0"/>
              <w:bottom w:val="single" w:color="auto" w:sz="4" w:space="0"/>
              <w:right w:val="single" w:color="auto" w:sz="4" w:space="0"/>
            </w:tcBorders>
            <w:vAlign w:val="center"/>
          </w:tcPr>
          <w:p w14:paraId="67D23E0C">
            <w:pPr>
              <w:spacing w:line="320" w:lineRule="exact"/>
              <w:jc w:val="left"/>
              <w:rPr>
                <w:color w:val="000000"/>
                <w:kern w:val="0"/>
                <w:sz w:val="18"/>
                <w:szCs w:val="18"/>
              </w:rPr>
            </w:pPr>
          </w:p>
        </w:tc>
        <w:tc>
          <w:tcPr>
            <w:tcW w:w="5740" w:type="dxa"/>
            <w:tcBorders>
              <w:top w:val="nil"/>
              <w:left w:val="nil"/>
              <w:bottom w:val="single" w:color="auto" w:sz="4" w:space="0"/>
              <w:right w:val="single" w:color="auto" w:sz="8" w:space="0"/>
            </w:tcBorders>
            <w:vAlign w:val="center"/>
          </w:tcPr>
          <w:p w14:paraId="3214239E">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14:paraId="5D09565A">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44E21E4C">
        <w:tblPrEx>
          <w:tblCellMar>
            <w:top w:w="0" w:type="dxa"/>
            <w:left w:w="108" w:type="dxa"/>
            <w:bottom w:w="0" w:type="dxa"/>
            <w:right w:w="108" w:type="dxa"/>
          </w:tblCellMar>
        </w:tblPrEx>
        <w:trPr>
          <w:trHeight w:val="480" w:hRule="atLeast"/>
        </w:trPr>
        <w:tc>
          <w:tcPr>
            <w:tcW w:w="1090" w:type="dxa"/>
            <w:vMerge w:val="continue"/>
            <w:tcBorders>
              <w:top w:val="nil"/>
              <w:left w:val="single" w:color="auto" w:sz="8" w:space="0"/>
              <w:bottom w:val="single" w:color="auto" w:sz="4" w:space="0"/>
              <w:right w:val="single" w:color="auto" w:sz="4" w:space="0"/>
            </w:tcBorders>
            <w:vAlign w:val="center"/>
          </w:tcPr>
          <w:p w14:paraId="0FDA24D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BD9DFE0">
            <w:pPr>
              <w:spacing w:line="320" w:lineRule="exact"/>
              <w:jc w:val="left"/>
              <w:rPr>
                <w:color w:val="000000"/>
                <w:kern w:val="0"/>
                <w:sz w:val="18"/>
                <w:szCs w:val="18"/>
              </w:rPr>
            </w:pPr>
            <w:r>
              <w:rPr>
                <w:rFonts w:hint="eastAsia"/>
                <w:color w:val="000000"/>
                <w:kern w:val="0"/>
                <w:sz w:val="18"/>
                <w:szCs w:val="18"/>
              </w:rPr>
              <w:t>比合理工期少</w:t>
            </w:r>
            <w:r>
              <w:rPr>
                <w:color w:val="000000"/>
                <w:kern w:val="0"/>
                <w:sz w:val="18"/>
                <w:szCs w:val="18"/>
              </w:rPr>
              <w:t>20%</w:t>
            </w:r>
            <w:r>
              <w:rPr>
                <w:rFonts w:hint="eastAsia"/>
                <w:color w:val="000000"/>
                <w:kern w:val="0"/>
                <w:sz w:val="18"/>
                <w:szCs w:val="18"/>
              </w:rPr>
              <w:t>以上，或者造成重大质量安全事故的</w:t>
            </w:r>
          </w:p>
        </w:tc>
        <w:tc>
          <w:tcPr>
            <w:tcW w:w="1080" w:type="dxa"/>
            <w:vMerge w:val="continue"/>
            <w:tcBorders>
              <w:top w:val="nil"/>
              <w:left w:val="single" w:color="auto" w:sz="4" w:space="0"/>
              <w:bottom w:val="single" w:color="auto" w:sz="4" w:space="0"/>
              <w:right w:val="single" w:color="auto" w:sz="4" w:space="0"/>
            </w:tcBorders>
            <w:vAlign w:val="center"/>
          </w:tcPr>
          <w:p w14:paraId="08362773">
            <w:pPr>
              <w:spacing w:line="320" w:lineRule="exact"/>
              <w:jc w:val="left"/>
              <w:rPr>
                <w:color w:val="000000"/>
                <w:kern w:val="0"/>
                <w:sz w:val="18"/>
                <w:szCs w:val="18"/>
              </w:rPr>
            </w:pPr>
          </w:p>
        </w:tc>
        <w:tc>
          <w:tcPr>
            <w:tcW w:w="5740" w:type="dxa"/>
            <w:tcBorders>
              <w:top w:val="nil"/>
              <w:left w:val="nil"/>
              <w:bottom w:val="single" w:color="auto" w:sz="4" w:space="0"/>
              <w:right w:val="single" w:color="auto" w:sz="8" w:space="0"/>
            </w:tcBorders>
            <w:vAlign w:val="center"/>
          </w:tcPr>
          <w:p w14:paraId="3EBAEFEE">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14:paraId="04A670A7">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762C156A"/>
    <w:p w14:paraId="4260CA8A"/>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0E1FFB1B">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67636530">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3F62C994">
            <w:pPr>
              <w:spacing w:line="320" w:lineRule="exact"/>
              <w:jc w:val="left"/>
              <w:rPr>
                <w:rFonts w:eastAsia="仿宋_GB2312"/>
                <w:b/>
                <w:bCs/>
                <w:color w:val="000000"/>
                <w:kern w:val="0"/>
                <w:sz w:val="18"/>
                <w:szCs w:val="18"/>
              </w:rPr>
            </w:pPr>
            <w:r>
              <w:rPr>
                <w:rFonts w:eastAsia="仿宋_GB2312"/>
                <w:b/>
                <w:bCs/>
                <w:color w:val="000000"/>
                <w:kern w:val="0"/>
                <w:sz w:val="18"/>
                <w:szCs w:val="18"/>
              </w:rPr>
              <w:t>320217083000</w:t>
            </w:r>
            <w:r>
              <w:rPr>
                <w:rFonts w:hint="eastAsia" w:eastAsia="仿宋_GB2312"/>
                <w:b/>
                <w:bCs/>
                <w:color w:val="000000"/>
                <w:kern w:val="0"/>
                <w:sz w:val="18"/>
                <w:szCs w:val="18"/>
              </w:rPr>
              <w:t xml:space="preserve"> </w:t>
            </w:r>
          </w:p>
        </w:tc>
      </w:tr>
      <w:tr w14:paraId="7622CB59">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6191D8B0">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386F5543">
            <w:pPr>
              <w:spacing w:line="320" w:lineRule="exact"/>
              <w:jc w:val="left"/>
              <w:rPr>
                <w:color w:val="000000"/>
                <w:kern w:val="0"/>
                <w:sz w:val="18"/>
                <w:szCs w:val="18"/>
              </w:rPr>
            </w:pPr>
            <w:r>
              <w:rPr>
                <w:rFonts w:hint="eastAsia"/>
                <w:color w:val="000000"/>
                <w:kern w:val="0"/>
                <w:sz w:val="18"/>
                <w:szCs w:val="18"/>
              </w:rPr>
              <w:t>对建设单位明示或者暗示建筑设计单位或者建筑施工企业违反工程建设强制性标准，降低工程质量行为的处罚</w:t>
            </w:r>
          </w:p>
        </w:tc>
      </w:tr>
      <w:tr w14:paraId="5F36B7FF">
        <w:tblPrEx>
          <w:tblCellMar>
            <w:top w:w="0" w:type="dxa"/>
            <w:left w:w="108" w:type="dxa"/>
            <w:bottom w:w="0" w:type="dxa"/>
            <w:right w:w="108" w:type="dxa"/>
          </w:tblCellMar>
        </w:tblPrEx>
        <w:trPr>
          <w:trHeight w:val="1755" w:hRule="atLeast"/>
        </w:trPr>
        <w:tc>
          <w:tcPr>
            <w:tcW w:w="1090" w:type="dxa"/>
            <w:tcBorders>
              <w:top w:val="nil"/>
              <w:left w:val="single" w:color="auto" w:sz="8" w:space="0"/>
              <w:bottom w:val="single" w:color="auto" w:sz="4" w:space="0"/>
              <w:right w:val="single" w:color="auto" w:sz="4" w:space="0"/>
            </w:tcBorders>
            <w:vAlign w:val="center"/>
          </w:tcPr>
          <w:p w14:paraId="67BB1CC9">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7A0BDAF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40EFB99E">
            <w:pPr>
              <w:spacing w:line="320" w:lineRule="exact"/>
              <w:jc w:val="left"/>
              <w:rPr>
                <w:color w:val="000000"/>
                <w:kern w:val="0"/>
                <w:sz w:val="18"/>
                <w:szCs w:val="18"/>
              </w:rPr>
            </w:pPr>
            <w:r>
              <w:rPr>
                <w:rFonts w:hint="eastAsia"/>
                <w:color w:val="000000"/>
                <w:kern w:val="0"/>
                <w:sz w:val="18"/>
                <w:szCs w:val="18"/>
              </w:rPr>
              <w:t>第十条第二款　建设单位不得明示或者暗示设计单位或者施工单位违反工程建设强制性标准，降低建设工程质量。</w:t>
            </w:r>
          </w:p>
          <w:p w14:paraId="66B5F7CB">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14:paraId="14845E1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w:t>
            </w:r>
            <w:r>
              <w:rPr>
                <w:color w:val="000000"/>
                <w:kern w:val="0"/>
                <w:sz w:val="18"/>
                <w:szCs w:val="18"/>
              </w:rPr>
              <w:t xml:space="preserve"> </w:t>
            </w:r>
            <w:r>
              <w:rPr>
                <w:rFonts w:hint="eastAsia"/>
                <w:color w:val="000000"/>
                <w:kern w:val="0"/>
                <w:sz w:val="18"/>
                <w:szCs w:val="18"/>
              </w:rPr>
              <w:t>三）明示或者暗示设计单位或者施工单位违反工程建设强制性标准，降低工程质量的。</w:t>
            </w:r>
          </w:p>
          <w:p w14:paraId="5855B0D2">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549972FB">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1298C798">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1F13E879">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412867EE">
            <w:pPr>
              <w:spacing w:line="320" w:lineRule="exact"/>
              <w:jc w:val="left"/>
              <w:rPr>
                <w:color w:val="000000"/>
                <w:kern w:val="0"/>
                <w:sz w:val="18"/>
                <w:szCs w:val="18"/>
              </w:rPr>
            </w:pPr>
            <w:r>
              <w:rPr>
                <w:rFonts w:hint="eastAsia"/>
                <w:color w:val="000000"/>
                <w:kern w:val="0"/>
                <w:sz w:val="18"/>
                <w:szCs w:val="18"/>
              </w:rPr>
              <w:t>罚款</w:t>
            </w:r>
          </w:p>
        </w:tc>
      </w:tr>
      <w:tr w14:paraId="070E836E">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6C416672">
            <w:pPr>
              <w:spacing w:line="320" w:lineRule="exact"/>
              <w:jc w:val="center"/>
              <w:rPr>
                <w:color w:val="000000"/>
                <w:kern w:val="0"/>
                <w:sz w:val="18"/>
                <w:szCs w:val="18"/>
              </w:rPr>
            </w:pPr>
            <w:r>
              <w:rPr>
                <w:rFonts w:hint="eastAsia"/>
                <w:color w:val="000000"/>
                <w:kern w:val="0"/>
                <w:sz w:val="18"/>
                <w:szCs w:val="18"/>
              </w:rPr>
              <w:t>裁量基准</w:t>
            </w:r>
          </w:p>
        </w:tc>
      </w:tr>
      <w:tr w14:paraId="5AF106F6">
        <w:tblPrEx>
          <w:tblCellMar>
            <w:top w:w="0" w:type="dxa"/>
            <w:left w:w="108" w:type="dxa"/>
            <w:bottom w:w="0" w:type="dxa"/>
            <w:right w:w="108" w:type="dxa"/>
          </w:tblCellMar>
        </w:tblPrEx>
        <w:trPr>
          <w:trHeight w:val="480" w:hRule="atLeast"/>
        </w:trPr>
        <w:tc>
          <w:tcPr>
            <w:tcW w:w="1090" w:type="dxa"/>
            <w:vMerge w:val="restart"/>
            <w:tcBorders>
              <w:top w:val="nil"/>
              <w:left w:val="single" w:color="auto" w:sz="8" w:space="0"/>
              <w:right w:val="single" w:color="auto" w:sz="4" w:space="0"/>
            </w:tcBorders>
            <w:vAlign w:val="center"/>
          </w:tcPr>
          <w:p w14:paraId="6CEA936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34DC1B8">
            <w:pPr>
              <w:spacing w:line="320" w:lineRule="exact"/>
              <w:jc w:val="left"/>
              <w:rPr>
                <w:color w:val="000000"/>
                <w:kern w:val="0"/>
                <w:sz w:val="18"/>
                <w:szCs w:val="18"/>
              </w:rPr>
            </w:pPr>
            <w:r>
              <w:rPr>
                <w:rFonts w:hint="eastAsia"/>
                <w:color w:val="000000"/>
                <w:kern w:val="0"/>
                <w:sz w:val="18"/>
                <w:szCs w:val="18"/>
              </w:rPr>
              <w:t>建筑设计单位或者建筑施工企业未实施，或者未造成质量隐患的</w:t>
            </w:r>
          </w:p>
        </w:tc>
        <w:tc>
          <w:tcPr>
            <w:tcW w:w="1080" w:type="dxa"/>
            <w:vMerge w:val="restart"/>
            <w:tcBorders>
              <w:top w:val="nil"/>
              <w:left w:val="nil"/>
              <w:right w:val="single" w:color="auto" w:sz="4" w:space="0"/>
            </w:tcBorders>
            <w:vAlign w:val="center"/>
          </w:tcPr>
          <w:p w14:paraId="260B8C3E">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color="auto" w:sz="4" w:space="0"/>
              <w:right w:val="single" w:color="auto" w:sz="8" w:space="0"/>
            </w:tcBorders>
            <w:vAlign w:val="center"/>
          </w:tcPr>
          <w:p w14:paraId="0C70A773">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14:paraId="11E3C657">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245D4B20">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0867CD15">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BBFF7C5">
            <w:pPr>
              <w:spacing w:line="320" w:lineRule="exact"/>
              <w:jc w:val="left"/>
              <w:rPr>
                <w:color w:val="000000"/>
                <w:kern w:val="0"/>
                <w:sz w:val="18"/>
                <w:szCs w:val="18"/>
              </w:rPr>
            </w:pPr>
            <w:r>
              <w:rPr>
                <w:rFonts w:hint="eastAsia"/>
                <w:color w:val="000000"/>
                <w:kern w:val="0"/>
                <w:sz w:val="18"/>
                <w:szCs w:val="18"/>
              </w:rPr>
              <w:t>造成质量隐患的</w:t>
            </w:r>
          </w:p>
        </w:tc>
        <w:tc>
          <w:tcPr>
            <w:tcW w:w="1080" w:type="dxa"/>
            <w:vMerge w:val="continue"/>
            <w:tcBorders>
              <w:left w:val="nil"/>
              <w:right w:val="single" w:color="auto" w:sz="4" w:space="0"/>
            </w:tcBorders>
            <w:vAlign w:val="center"/>
          </w:tcPr>
          <w:p w14:paraId="02CF0D54">
            <w:pPr>
              <w:spacing w:line="320" w:lineRule="exact"/>
              <w:jc w:val="center"/>
              <w:rPr>
                <w:color w:val="000000"/>
                <w:kern w:val="0"/>
                <w:sz w:val="18"/>
                <w:szCs w:val="18"/>
              </w:rPr>
            </w:pPr>
          </w:p>
        </w:tc>
        <w:tc>
          <w:tcPr>
            <w:tcW w:w="5740" w:type="dxa"/>
            <w:tcBorders>
              <w:top w:val="single" w:color="auto" w:sz="4" w:space="0"/>
              <w:left w:val="nil"/>
              <w:bottom w:val="single" w:color="auto" w:sz="8" w:space="0"/>
              <w:right w:val="single" w:color="auto" w:sz="8" w:space="0"/>
            </w:tcBorders>
            <w:vAlign w:val="center"/>
          </w:tcPr>
          <w:p w14:paraId="0E2F8C13">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0E8EC348">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14:paraId="65B1F570">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62764B68">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7CD5408">
            <w:pPr>
              <w:spacing w:line="320" w:lineRule="exact"/>
              <w:jc w:val="left"/>
              <w:rPr>
                <w:color w:val="000000"/>
                <w:kern w:val="0"/>
                <w:sz w:val="18"/>
                <w:szCs w:val="18"/>
              </w:rPr>
            </w:pPr>
            <w:r>
              <w:rPr>
                <w:rFonts w:hint="eastAsia"/>
                <w:color w:val="000000"/>
                <w:kern w:val="0"/>
                <w:sz w:val="18"/>
                <w:szCs w:val="18"/>
              </w:rPr>
              <w:t>造成一般或较大质量事故的</w:t>
            </w:r>
          </w:p>
        </w:tc>
        <w:tc>
          <w:tcPr>
            <w:tcW w:w="1080" w:type="dxa"/>
            <w:vMerge w:val="continue"/>
            <w:tcBorders>
              <w:left w:val="nil"/>
              <w:right w:val="single" w:color="auto" w:sz="4" w:space="0"/>
            </w:tcBorders>
            <w:vAlign w:val="center"/>
          </w:tcPr>
          <w:p w14:paraId="1F595290">
            <w:pPr>
              <w:spacing w:line="320" w:lineRule="exact"/>
              <w:jc w:val="center"/>
              <w:rPr>
                <w:color w:val="000000"/>
                <w:kern w:val="0"/>
                <w:sz w:val="18"/>
                <w:szCs w:val="18"/>
              </w:rPr>
            </w:pPr>
          </w:p>
        </w:tc>
        <w:tc>
          <w:tcPr>
            <w:tcW w:w="5740" w:type="dxa"/>
            <w:tcBorders>
              <w:top w:val="single" w:color="auto" w:sz="4" w:space="0"/>
              <w:left w:val="nil"/>
              <w:bottom w:val="single" w:color="auto" w:sz="8" w:space="0"/>
              <w:right w:val="single" w:color="auto" w:sz="8" w:space="0"/>
            </w:tcBorders>
            <w:vAlign w:val="center"/>
          </w:tcPr>
          <w:p w14:paraId="1FB05822">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14:paraId="0392BAF2">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2AF6D258">
        <w:tblPrEx>
          <w:tblCellMar>
            <w:top w:w="0" w:type="dxa"/>
            <w:left w:w="108" w:type="dxa"/>
            <w:bottom w:w="0" w:type="dxa"/>
            <w:right w:w="108" w:type="dxa"/>
          </w:tblCellMar>
        </w:tblPrEx>
        <w:trPr>
          <w:trHeight w:val="480" w:hRule="atLeast"/>
        </w:trPr>
        <w:tc>
          <w:tcPr>
            <w:tcW w:w="1090" w:type="dxa"/>
            <w:vMerge w:val="continue"/>
            <w:tcBorders>
              <w:left w:val="single" w:color="auto" w:sz="8" w:space="0"/>
              <w:bottom w:val="single" w:color="auto" w:sz="4" w:space="0"/>
              <w:right w:val="single" w:color="auto" w:sz="4" w:space="0"/>
            </w:tcBorders>
            <w:vAlign w:val="center"/>
          </w:tcPr>
          <w:p w14:paraId="57B1130A">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DD91C41">
            <w:pPr>
              <w:spacing w:line="320" w:lineRule="exact"/>
              <w:jc w:val="left"/>
              <w:rPr>
                <w:color w:val="000000"/>
                <w:kern w:val="0"/>
                <w:sz w:val="18"/>
                <w:szCs w:val="18"/>
              </w:rPr>
            </w:pPr>
            <w:r>
              <w:rPr>
                <w:rFonts w:hint="eastAsia"/>
                <w:color w:val="000000"/>
                <w:kern w:val="0"/>
                <w:sz w:val="18"/>
                <w:szCs w:val="18"/>
              </w:rPr>
              <w:t>造成重大及以上质量事故的</w:t>
            </w:r>
          </w:p>
        </w:tc>
        <w:tc>
          <w:tcPr>
            <w:tcW w:w="1080" w:type="dxa"/>
            <w:vMerge w:val="continue"/>
            <w:tcBorders>
              <w:left w:val="nil"/>
              <w:bottom w:val="single" w:color="auto" w:sz="4" w:space="0"/>
              <w:right w:val="single" w:color="auto" w:sz="4" w:space="0"/>
            </w:tcBorders>
            <w:vAlign w:val="center"/>
          </w:tcPr>
          <w:p w14:paraId="25764A27">
            <w:pPr>
              <w:spacing w:line="320" w:lineRule="exact"/>
              <w:jc w:val="center"/>
              <w:rPr>
                <w:color w:val="000000"/>
                <w:kern w:val="0"/>
                <w:sz w:val="18"/>
                <w:szCs w:val="18"/>
              </w:rPr>
            </w:pPr>
          </w:p>
        </w:tc>
        <w:tc>
          <w:tcPr>
            <w:tcW w:w="5740" w:type="dxa"/>
            <w:tcBorders>
              <w:top w:val="single" w:color="auto" w:sz="8" w:space="0"/>
              <w:left w:val="nil"/>
              <w:bottom w:val="single" w:color="auto" w:sz="4" w:space="0"/>
              <w:right w:val="single" w:color="auto" w:sz="8" w:space="0"/>
            </w:tcBorders>
            <w:vAlign w:val="center"/>
          </w:tcPr>
          <w:p w14:paraId="59CA6F4A">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14:paraId="178B51F0">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22ED02A6"/>
    <w:p w14:paraId="7DFCCEC5"/>
    <w:p w14:paraId="2075E819"/>
    <w:p w14:paraId="5130E252"/>
    <w:p w14:paraId="5B60D0B4"/>
    <w:p w14:paraId="27CCC243"/>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1396A4FC">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223B72DD">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039BEC86">
            <w:pPr>
              <w:spacing w:line="320" w:lineRule="exact"/>
              <w:jc w:val="left"/>
              <w:rPr>
                <w:rFonts w:eastAsia="仿宋_GB2312"/>
                <w:b/>
                <w:bCs/>
                <w:color w:val="000000"/>
                <w:kern w:val="0"/>
                <w:sz w:val="18"/>
                <w:szCs w:val="18"/>
              </w:rPr>
            </w:pPr>
            <w:r>
              <w:rPr>
                <w:rFonts w:eastAsia="仿宋_GB2312"/>
                <w:b/>
                <w:bCs/>
                <w:color w:val="000000"/>
                <w:kern w:val="0"/>
                <w:sz w:val="18"/>
                <w:szCs w:val="18"/>
              </w:rPr>
              <w:t>320217084000</w:t>
            </w:r>
            <w:r>
              <w:rPr>
                <w:rFonts w:hint="eastAsia" w:eastAsia="仿宋_GB2312"/>
                <w:b/>
                <w:bCs/>
                <w:color w:val="000000"/>
                <w:kern w:val="0"/>
                <w:sz w:val="18"/>
                <w:szCs w:val="18"/>
              </w:rPr>
              <w:t xml:space="preserve"> </w:t>
            </w:r>
          </w:p>
        </w:tc>
      </w:tr>
      <w:tr w14:paraId="4C1F51C0">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61216C71">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25ED36D7">
            <w:pPr>
              <w:spacing w:line="320" w:lineRule="exact"/>
              <w:jc w:val="left"/>
              <w:rPr>
                <w:color w:val="000000"/>
                <w:kern w:val="0"/>
                <w:sz w:val="18"/>
                <w:szCs w:val="18"/>
              </w:rPr>
            </w:pPr>
            <w:r>
              <w:rPr>
                <w:rFonts w:hint="eastAsia"/>
                <w:color w:val="000000"/>
                <w:kern w:val="0"/>
                <w:sz w:val="18"/>
                <w:szCs w:val="18"/>
              </w:rPr>
              <w:t>对施工图设计文件未经审查或者审查不合格，建设单位擅自施工的处罚</w:t>
            </w:r>
          </w:p>
        </w:tc>
      </w:tr>
      <w:tr w14:paraId="0CC85451">
        <w:tblPrEx>
          <w:tblCellMar>
            <w:top w:w="0" w:type="dxa"/>
            <w:left w:w="108" w:type="dxa"/>
            <w:bottom w:w="0" w:type="dxa"/>
            <w:right w:w="108" w:type="dxa"/>
          </w:tblCellMar>
        </w:tblPrEx>
        <w:trPr>
          <w:trHeight w:val="1785" w:hRule="atLeast"/>
        </w:trPr>
        <w:tc>
          <w:tcPr>
            <w:tcW w:w="1090" w:type="dxa"/>
            <w:tcBorders>
              <w:top w:val="nil"/>
              <w:left w:val="single" w:color="auto" w:sz="8" w:space="0"/>
              <w:bottom w:val="single" w:color="auto" w:sz="4" w:space="0"/>
              <w:right w:val="single" w:color="auto" w:sz="4" w:space="0"/>
            </w:tcBorders>
            <w:vAlign w:val="center"/>
          </w:tcPr>
          <w:p w14:paraId="2D29D5EB">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78CEC3E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017E14FC">
            <w:pPr>
              <w:spacing w:line="320" w:lineRule="exact"/>
              <w:jc w:val="left"/>
              <w:rPr>
                <w:color w:val="000000"/>
                <w:kern w:val="0"/>
                <w:sz w:val="18"/>
                <w:szCs w:val="18"/>
              </w:rPr>
            </w:pPr>
            <w:r>
              <w:rPr>
                <w:rFonts w:hint="eastAsia"/>
                <w:color w:val="000000"/>
                <w:kern w:val="0"/>
                <w:sz w:val="18"/>
                <w:szCs w:val="18"/>
              </w:rPr>
              <w:t>第十一条第二款　施工图设计文件未经审查批准的，不得使用。</w:t>
            </w:r>
          </w:p>
          <w:p w14:paraId="5E816BB1">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14:paraId="617AC71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（四）施工图设计文件未经审查或者审查不合格，擅自施工的。</w:t>
            </w:r>
          </w:p>
          <w:p w14:paraId="50359369">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0CF51FEF">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61A689B3">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354306E8">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4D6FD138">
            <w:pPr>
              <w:spacing w:line="320" w:lineRule="exact"/>
              <w:jc w:val="left"/>
              <w:rPr>
                <w:color w:val="000000"/>
                <w:kern w:val="0"/>
                <w:sz w:val="18"/>
                <w:szCs w:val="18"/>
              </w:rPr>
            </w:pPr>
            <w:r>
              <w:rPr>
                <w:rFonts w:hint="eastAsia"/>
                <w:color w:val="000000"/>
                <w:kern w:val="0"/>
                <w:sz w:val="18"/>
                <w:szCs w:val="18"/>
              </w:rPr>
              <w:t>罚款</w:t>
            </w:r>
          </w:p>
        </w:tc>
      </w:tr>
      <w:tr w14:paraId="2D339FE1">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0E541C4F">
            <w:pPr>
              <w:spacing w:line="320" w:lineRule="exact"/>
              <w:jc w:val="center"/>
              <w:rPr>
                <w:color w:val="000000"/>
                <w:kern w:val="0"/>
                <w:sz w:val="18"/>
                <w:szCs w:val="18"/>
              </w:rPr>
            </w:pPr>
            <w:r>
              <w:rPr>
                <w:rFonts w:hint="eastAsia"/>
                <w:color w:val="000000"/>
                <w:kern w:val="0"/>
                <w:sz w:val="18"/>
                <w:szCs w:val="18"/>
              </w:rPr>
              <w:t>裁量基准</w:t>
            </w:r>
          </w:p>
        </w:tc>
      </w:tr>
      <w:tr w14:paraId="708A423A">
        <w:tblPrEx>
          <w:tblCellMar>
            <w:top w:w="0" w:type="dxa"/>
            <w:left w:w="108" w:type="dxa"/>
            <w:bottom w:w="0" w:type="dxa"/>
            <w:right w:w="108" w:type="dxa"/>
          </w:tblCellMar>
        </w:tblPrEx>
        <w:trPr>
          <w:trHeight w:val="480" w:hRule="atLeast"/>
        </w:trPr>
        <w:tc>
          <w:tcPr>
            <w:tcW w:w="1090" w:type="dxa"/>
            <w:vMerge w:val="restart"/>
            <w:tcBorders>
              <w:top w:val="nil"/>
              <w:left w:val="single" w:color="auto" w:sz="8" w:space="0"/>
              <w:right w:val="single" w:color="auto" w:sz="4" w:space="0"/>
            </w:tcBorders>
            <w:vAlign w:val="center"/>
          </w:tcPr>
          <w:p w14:paraId="5191819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3C28417">
            <w:pPr>
              <w:spacing w:line="320" w:lineRule="exact"/>
              <w:jc w:val="left"/>
              <w:rPr>
                <w:color w:val="000000"/>
                <w:kern w:val="0"/>
                <w:sz w:val="18"/>
                <w:szCs w:val="18"/>
              </w:rPr>
            </w:pPr>
            <w:r>
              <w:rPr>
                <w:rFonts w:hint="eastAsia"/>
                <w:color w:val="000000"/>
                <w:kern w:val="0"/>
                <w:sz w:val="18"/>
                <w:szCs w:val="18"/>
              </w:rPr>
              <w:t>停止施工，且施工图经审查合格的</w:t>
            </w:r>
          </w:p>
        </w:tc>
        <w:tc>
          <w:tcPr>
            <w:tcW w:w="1080" w:type="dxa"/>
            <w:vMerge w:val="restart"/>
            <w:tcBorders>
              <w:top w:val="nil"/>
              <w:left w:val="nil"/>
              <w:right w:val="single" w:color="auto" w:sz="4" w:space="0"/>
            </w:tcBorders>
            <w:vAlign w:val="center"/>
          </w:tcPr>
          <w:p w14:paraId="5789F9DC">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color="auto" w:sz="4" w:space="0"/>
              <w:right w:val="single" w:color="auto" w:sz="8" w:space="0"/>
            </w:tcBorders>
            <w:vAlign w:val="center"/>
          </w:tcPr>
          <w:p w14:paraId="3B7E67A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14:paraId="10E09466">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4E56A112">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361FEA47">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DD7F2C3">
            <w:pPr>
              <w:spacing w:line="320" w:lineRule="exact"/>
              <w:jc w:val="left"/>
              <w:rPr>
                <w:color w:val="000000"/>
                <w:kern w:val="0"/>
                <w:sz w:val="18"/>
                <w:szCs w:val="18"/>
              </w:rPr>
            </w:pPr>
            <w:r>
              <w:rPr>
                <w:rFonts w:hint="eastAsia"/>
                <w:color w:val="000000"/>
                <w:kern w:val="0"/>
                <w:sz w:val="18"/>
                <w:szCs w:val="18"/>
              </w:rPr>
              <w:t>未停止施工，或者施工图经审查不合格的</w:t>
            </w:r>
          </w:p>
        </w:tc>
        <w:tc>
          <w:tcPr>
            <w:tcW w:w="1080" w:type="dxa"/>
            <w:vMerge w:val="continue"/>
            <w:tcBorders>
              <w:left w:val="nil"/>
              <w:right w:val="single" w:color="auto" w:sz="4" w:space="0"/>
            </w:tcBorders>
            <w:vAlign w:val="center"/>
          </w:tcPr>
          <w:p w14:paraId="0E6726E2">
            <w:pPr>
              <w:spacing w:line="320" w:lineRule="exact"/>
              <w:jc w:val="center"/>
              <w:rPr>
                <w:color w:val="000000"/>
                <w:kern w:val="0"/>
                <w:sz w:val="18"/>
                <w:szCs w:val="18"/>
              </w:rPr>
            </w:pPr>
          </w:p>
        </w:tc>
        <w:tc>
          <w:tcPr>
            <w:tcW w:w="5740" w:type="dxa"/>
            <w:tcBorders>
              <w:top w:val="single" w:color="auto" w:sz="4" w:space="0"/>
              <w:left w:val="nil"/>
              <w:bottom w:val="single" w:color="auto" w:sz="8" w:space="0"/>
              <w:right w:val="single" w:color="auto" w:sz="8" w:space="0"/>
            </w:tcBorders>
            <w:vAlign w:val="center"/>
          </w:tcPr>
          <w:p w14:paraId="2E7DE56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769A7173">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14:paraId="59B3981F">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38AC1AA6">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3BF1FE6">
            <w:pPr>
              <w:spacing w:line="320" w:lineRule="exact"/>
              <w:jc w:val="left"/>
              <w:rPr>
                <w:color w:val="000000"/>
                <w:kern w:val="0"/>
                <w:sz w:val="18"/>
                <w:szCs w:val="18"/>
              </w:rPr>
            </w:pPr>
            <w:r>
              <w:rPr>
                <w:rFonts w:hint="eastAsia"/>
                <w:color w:val="000000"/>
                <w:kern w:val="0"/>
                <w:sz w:val="18"/>
                <w:szCs w:val="18"/>
              </w:rPr>
              <w:t>引起一般或较大质量事故的</w:t>
            </w:r>
          </w:p>
        </w:tc>
        <w:tc>
          <w:tcPr>
            <w:tcW w:w="1080" w:type="dxa"/>
            <w:vMerge w:val="continue"/>
            <w:tcBorders>
              <w:left w:val="nil"/>
              <w:right w:val="single" w:color="auto" w:sz="4" w:space="0"/>
            </w:tcBorders>
            <w:vAlign w:val="center"/>
          </w:tcPr>
          <w:p w14:paraId="3C0BEA24">
            <w:pPr>
              <w:spacing w:line="320" w:lineRule="exact"/>
              <w:jc w:val="center"/>
              <w:rPr>
                <w:color w:val="000000"/>
                <w:kern w:val="0"/>
                <w:sz w:val="18"/>
                <w:szCs w:val="18"/>
              </w:rPr>
            </w:pPr>
          </w:p>
        </w:tc>
        <w:tc>
          <w:tcPr>
            <w:tcW w:w="5740" w:type="dxa"/>
            <w:tcBorders>
              <w:top w:val="single" w:color="auto" w:sz="4" w:space="0"/>
              <w:left w:val="nil"/>
              <w:bottom w:val="single" w:color="auto" w:sz="8" w:space="0"/>
              <w:right w:val="single" w:color="auto" w:sz="8" w:space="0"/>
            </w:tcBorders>
            <w:vAlign w:val="center"/>
          </w:tcPr>
          <w:p w14:paraId="4C860C0A">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14:paraId="2AD5623E">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31B2AC5B">
        <w:tblPrEx>
          <w:tblCellMar>
            <w:top w:w="0" w:type="dxa"/>
            <w:left w:w="108" w:type="dxa"/>
            <w:bottom w:w="0" w:type="dxa"/>
            <w:right w:w="108" w:type="dxa"/>
          </w:tblCellMar>
        </w:tblPrEx>
        <w:trPr>
          <w:trHeight w:val="480" w:hRule="atLeast"/>
        </w:trPr>
        <w:tc>
          <w:tcPr>
            <w:tcW w:w="1090" w:type="dxa"/>
            <w:vMerge w:val="continue"/>
            <w:tcBorders>
              <w:left w:val="single" w:color="auto" w:sz="8" w:space="0"/>
              <w:bottom w:val="single" w:color="auto" w:sz="4" w:space="0"/>
              <w:right w:val="single" w:color="auto" w:sz="4" w:space="0"/>
            </w:tcBorders>
            <w:vAlign w:val="center"/>
          </w:tcPr>
          <w:p w14:paraId="7F0BFEA7">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E664FFF">
            <w:pPr>
              <w:spacing w:line="320" w:lineRule="exact"/>
              <w:jc w:val="left"/>
              <w:rPr>
                <w:color w:val="000000"/>
                <w:kern w:val="0"/>
                <w:sz w:val="18"/>
                <w:szCs w:val="18"/>
              </w:rPr>
            </w:pPr>
            <w:r>
              <w:rPr>
                <w:rFonts w:hint="eastAsia"/>
                <w:color w:val="000000"/>
                <w:kern w:val="0"/>
                <w:sz w:val="18"/>
                <w:szCs w:val="18"/>
              </w:rPr>
              <w:t>引起重大及以上质量事故的</w:t>
            </w:r>
          </w:p>
        </w:tc>
        <w:tc>
          <w:tcPr>
            <w:tcW w:w="1080" w:type="dxa"/>
            <w:vMerge w:val="continue"/>
            <w:tcBorders>
              <w:left w:val="nil"/>
              <w:bottom w:val="single" w:color="auto" w:sz="4" w:space="0"/>
              <w:right w:val="single" w:color="auto" w:sz="4" w:space="0"/>
            </w:tcBorders>
            <w:vAlign w:val="center"/>
          </w:tcPr>
          <w:p w14:paraId="12B6F82D">
            <w:pPr>
              <w:spacing w:line="320" w:lineRule="exact"/>
              <w:jc w:val="center"/>
              <w:rPr>
                <w:color w:val="000000"/>
                <w:kern w:val="0"/>
                <w:sz w:val="18"/>
                <w:szCs w:val="18"/>
              </w:rPr>
            </w:pPr>
          </w:p>
        </w:tc>
        <w:tc>
          <w:tcPr>
            <w:tcW w:w="5740" w:type="dxa"/>
            <w:tcBorders>
              <w:top w:val="single" w:color="auto" w:sz="8" w:space="0"/>
              <w:left w:val="nil"/>
              <w:bottom w:val="single" w:color="auto" w:sz="4" w:space="0"/>
              <w:right w:val="single" w:color="auto" w:sz="8" w:space="0"/>
            </w:tcBorders>
            <w:vAlign w:val="center"/>
          </w:tcPr>
          <w:p w14:paraId="1009AC9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14:paraId="69615919">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71340657"/>
    <w:p w14:paraId="00B93ED9"/>
    <w:p w14:paraId="4807544D"/>
    <w:p w14:paraId="2227B261"/>
    <w:tbl>
      <w:tblPr>
        <w:tblStyle w:val="15"/>
        <w:tblW w:w="0" w:type="auto"/>
        <w:tblInd w:w="88" w:type="dxa"/>
        <w:tblLayout w:type="fixed"/>
        <w:tblCellMar>
          <w:top w:w="0" w:type="dxa"/>
          <w:left w:w="108" w:type="dxa"/>
          <w:bottom w:w="0" w:type="dxa"/>
          <w:right w:w="108" w:type="dxa"/>
        </w:tblCellMar>
      </w:tblPr>
      <w:tblGrid>
        <w:gridCol w:w="980"/>
        <w:gridCol w:w="25"/>
        <w:gridCol w:w="6115"/>
        <w:gridCol w:w="1000"/>
        <w:gridCol w:w="5905"/>
        <w:gridCol w:w="51"/>
      </w:tblGrid>
      <w:tr w14:paraId="4A01B8BF">
        <w:tblPrEx>
          <w:tblCellMar>
            <w:top w:w="0" w:type="dxa"/>
            <w:left w:w="108" w:type="dxa"/>
            <w:bottom w:w="0" w:type="dxa"/>
            <w:right w:w="108" w:type="dxa"/>
          </w:tblCellMar>
        </w:tblPrEx>
        <w:trPr>
          <w:gridAfter w:val="1"/>
          <w:wAfter w:w="51" w:type="dxa"/>
          <w:trHeight w:val="285" w:hRule="atLeast"/>
        </w:trPr>
        <w:tc>
          <w:tcPr>
            <w:tcW w:w="1005" w:type="dxa"/>
            <w:gridSpan w:val="2"/>
            <w:tcBorders>
              <w:top w:val="single" w:color="auto" w:sz="8" w:space="0"/>
              <w:left w:val="single" w:color="auto" w:sz="8" w:space="0"/>
              <w:bottom w:val="single" w:color="auto" w:sz="4" w:space="0"/>
              <w:right w:val="single" w:color="auto" w:sz="4" w:space="0"/>
            </w:tcBorders>
            <w:vAlign w:val="center"/>
          </w:tcPr>
          <w:p w14:paraId="637FFB3F">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6EFDA1D7">
            <w:pPr>
              <w:spacing w:line="320" w:lineRule="exact"/>
              <w:jc w:val="left"/>
              <w:rPr>
                <w:rFonts w:eastAsia="仿宋_GB2312"/>
                <w:b/>
                <w:bCs/>
                <w:color w:val="000000"/>
                <w:kern w:val="0"/>
                <w:sz w:val="18"/>
                <w:szCs w:val="18"/>
              </w:rPr>
            </w:pPr>
            <w:r>
              <w:rPr>
                <w:rFonts w:eastAsia="仿宋_GB2312"/>
                <w:b/>
                <w:bCs/>
                <w:color w:val="000000"/>
                <w:kern w:val="0"/>
                <w:sz w:val="18"/>
                <w:szCs w:val="18"/>
              </w:rPr>
              <w:t>320217085000</w:t>
            </w:r>
            <w:r>
              <w:rPr>
                <w:rFonts w:hint="eastAsia" w:eastAsia="仿宋_GB2312"/>
                <w:b/>
                <w:bCs/>
                <w:color w:val="000000"/>
                <w:kern w:val="0"/>
                <w:sz w:val="18"/>
                <w:szCs w:val="18"/>
              </w:rPr>
              <w:t xml:space="preserve"> </w:t>
            </w:r>
          </w:p>
        </w:tc>
      </w:tr>
      <w:tr w14:paraId="2FCFDA4B">
        <w:tblPrEx>
          <w:tblCellMar>
            <w:top w:w="0" w:type="dxa"/>
            <w:left w:w="108" w:type="dxa"/>
            <w:bottom w:w="0" w:type="dxa"/>
            <w:right w:w="108" w:type="dxa"/>
          </w:tblCellMar>
        </w:tblPrEx>
        <w:trPr>
          <w:gridAfter w:val="1"/>
          <w:wAfter w:w="51" w:type="dxa"/>
          <w:trHeight w:val="285" w:hRule="atLeast"/>
        </w:trPr>
        <w:tc>
          <w:tcPr>
            <w:tcW w:w="1005" w:type="dxa"/>
            <w:gridSpan w:val="2"/>
            <w:tcBorders>
              <w:top w:val="nil"/>
              <w:left w:val="single" w:color="auto" w:sz="8" w:space="0"/>
              <w:bottom w:val="single" w:color="auto" w:sz="4" w:space="0"/>
              <w:right w:val="single" w:color="auto" w:sz="4" w:space="0"/>
            </w:tcBorders>
            <w:vAlign w:val="center"/>
          </w:tcPr>
          <w:p w14:paraId="391B6EAC">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color="auto" w:sz="4" w:space="0"/>
              <w:left w:val="nil"/>
              <w:bottom w:val="single" w:color="auto" w:sz="4" w:space="0"/>
              <w:right w:val="single" w:color="000000" w:sz="8" w:space="0"/>
            </w:tcBorders>
            <w:vAlign w:val="center"/>
          </w:tcPr>
          <w:p w14:paraId="7546CD78">
            <w:pPr>
              <w:spacing w:line="320" w:lineRule="exact"/>
              <w:jc w:val="left"/>
              <w:rPr>
                <w:color w:val="000000"/>
                <w:kern w:val="0"/>
                <w:sz w:val="18"/>
                <w:szCs w:val="18"/>
              </w:rPr>
            </w:pPr>
            <w:r>
              <w:rPr>
                <w:rFonts w:hint="eastAsia"/>
                <w:color w:val="000000"/>
                <w:kern w:val="0"/>
                <w:sz w:val="18"/>
                <w:szCs w:val="18"/>
              </w:rPr>
              <w:t>对向未取得燃气经营许可证或者供应许可证的单位或者个人供应用于经营的燃气的处罚</w:t>
            </w:r>
          </w:p>
        </w:tc>
      </w:tr>
      <w:tr w14:paraId="241727C4">
        <w:tblPrEx>
          <w:tblCellMar>
            <w:top w:w="0" w:type="dxa"/>
            <w:left w:w="108" w:type="dxa"/>
            <w:bottom w:w="0" w:type="dxa"/>
            <w:right w:w="108" w:type="dxa"/>
          </w:tblCellMar>
        </w:tblPrEx>
        <w:trPr>
          <w:gridAfter w:val="1"/>
          <w:wAfter w:w="51" w:type="dxa"/>
          <w:trHeight w:val="1560" w:hRule="atLeast"/>
        </w:trPr>
        <w:tc>
          <w:tcPr>
            <w:tcW w:w="1005" w:type="dxa"/>
            <w:gridSpan w:val="2"/>
            <w:tcBorders>
              <w:top w:val="nil"/>
              <w:left w:val="single" w:color="auto" w:sz="8" w:space="0"/>
              <w:bottom w:val="single" w:color="auto" w:sz="4" w:space="0"/>
              <w:right w:val="single" w:color="auto" w:sz="4" w:space="0"/>
            </w:tcBorders>
            <w:vAlign w:val="center"/>
          </w:tcPr>
          <w:p w14:paraId="0D26E69B">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584F7468">
            <w:pPr>
              <w:spacing w:line="320" w:lineRule="exact"/>
              <w:jc w:val="left"/>
              <w:rPr>
                <w:color w:val="000000"/>
                <w:kern w:val="0"/>
                <w:sz w:val="18"/>
                <w:szCs w:val="18"/>
              </w:rPr>
            </w:pPr>
            <w:r>
              <w:rPr>
                <w:rFonts w:hint="eastAsia"/>
                <w:color w:val="000000"/>
                <w:kern w:val="0"/>
                <w:sz w:val="18"/>
                <w:szCs w:val="18"/>
              </w:rPr>
              <w:t>【行政法规】《城镇燃气管理条例》（国务院令第583号）</w:t>
            </w:r>
          </w:p>
          <w:p w14:paraId="538ED046">
            <w:pPr>
              <w:spacing w:line="320" w:lineRule="exact"/>
              <w:jc w:val="left"/>
              <w:rPr>
                <w:color w:val="000000"/>
                <w:kern w:val="0"/>
                <w:sz w:val="18"/>
                <w:szCs w:val="18"/>
              </w:rPr>
            </w:pPr>
            <w:r>
              <w:rPr>
                <w:rFonts w:hint="eastAsia"/>
                <w:color w:val="000000"/>
                <w:kern w:val="0"/>
                <w:sz w:val="18"/>
                <w:szCs w:val="18"/>
              </w:rPr>
              <w:t xml:space="preserve">    第十八条 燃气经营者不得有下列行为： </w:t>
            </w:r>
          </w:p>
          <w:p w14:paraId="23912576">
            <w:pPr>
              <w:spacing w:line="320" w:lineRule="exact"/>
              <w:jc w:val="left"/>
              <w:rPr>
                <w:color w:val="000000"/>
                <w:kern w:val="0"/>
                <w:sz w:val="18"/>
                <w:szCs w:val="18"/>
              </w:rPr>
            </w:pPr>
            <w:r>
              <w:rPr>
                <w:rFonts w:hint="eastAsia"/>
                <w:color w:val="000000"/>
                <w:kern w:val="0"/>
                <w:sz w:val="18"/>
                <w:szCs w:val="18"/>
              </w:rPr>
              <w:t xml:space="preserve">   （四）向未取得燃气经营许可证的单位或者个人提供用于经营的燃气；</w:t>
            </w:r>
          </w:p>
          <w:p w14:paraId="21284F2E">
            <w:pPr>
              <w:spacing w:line="320" w:lineRule="exact"/>
              <w:jc w:val="left"/>
              <w:rPr>
                <w:color w:val="000000"/>
                <w:kern w:val="0"/>
                <w:sz w:val="18"/>
                <w:szCs w:val="18"/>
              </w:rPr>
            </w:pPr>
            <w:r>
              <w:rPr>
                <w:rFonts w:hint="eastAsia"/>
                <w:color w:val="000000"/>
                <w:kern w:val="0"/>
                <w:sz w:val="18"/>
                <w:szCs w:val="18"/>
              </w:rPr>
              <w:t xml:space="preserve">    第四十六条 违反本条例规定，燃气经营者有下列行为之一的，由燃气管理部门责令限期改正，处1万元以上10万元以下罚款；有违法所得的，没收违法所得；情节严重的，吊销燃气经营许可证；造成损失的，依法承担赔偿责任；构成犯罪的，依法追究刑事责任：</w:t>
            </w:r>
          </w:p>
          <w:p w14:paraId="3840A687">
            <w:pPr>
              <w:spacing w:line="320" w:lineRule="exact"/>
              <w:jc w:val="left"/>
              <w:rPr>
                <w:color w:val="000000"/>
                <w:kern w:val="0"/>
                <w:sz w:val="18"/>
                <w:szCs w:val="18"/>
              </w:rPr>
            </w:pPr>
            <w:r>
              <w:rPr>
                <w:rFonts w:hint="eastAsia"/>
                <w:color w:val="000000"/>
                <w:kern w:val="0"/>
                <w:sz w:val="18"/>
                <w:szCs w:val="18"/>
              </w:rPr>
              <w:t xml:space="preserve">   （四）向未取得燃气经营许可证的单位或者个人提供用于经营的燃气的；</w:t>
            </w:r>
          </w:p>
          <w:p w14:paraId="78377249">
            <w:pPr>
              <w:spacing w:line="320" w:lineRule="exact"/>
              <w:jc w:val="left"/>
              <w:rPr>
                <w:color w:val="000000"/>
                <w:kern w:val="0"/>
                <w:sz w:val="18"/>
                <w:szCs w:val="18"/>
              </w:rPr>
            </w:pPr>
            <w:r>
              <w:rPr>
                <w:rFonts w:hint="eastAsia"/>
                <w:color w:val="000000"/>
                <w:kern w:val="0"/>
                <w:sz w:val="18"/>
                <w:szCs w:val="18"/>
              </w:rPr>
              <w:t>【地方性法规】《江苏省燃气管理条例》</w:t>
            </w:r>
          </w:p>
          <w:p w14:paraId="095B2898">
            <w:pPr>
              <w:spacing w:line="320" w:lineRule="exact"/>
              <w:jc w:val="left"/>
              <w:rPr>
                <w:color w:val="000000"/>
                <w:kern w:val="0"/>
                <w:sz w:val="18"/>
                <w:szCs w:val="18"/>
              </w:rPr>
            </w:pPr>
            <w:r>
              <w:rPr>
                <w:rFonts w:hint="eastAsia"/>
                <w:color w:val="000000"/>
                <w:kern w:val="0"/>
                <w:sz w:val="18"/>
                <w:szCs w:val="18"/>
              </w:rPr>
              <w:t xml:space="preserve">   第二十七条第四款 禁止向未取得燃气经营许可证或者供应许可证的单位或者个人供应用于经营的燃气。</w:t>
            </w:r>
          </w:p>
          <w:p w14:paraId="489876B9">
            <w:pPr>
              <w:spacing w:line="320" w:lineRule="exact"/>
              <w:jc w:val="left"/>
              <w:rPr>
                <w:color w:val="000000"/>
                <w:kern w:val="0"/>
                <w:sz w:val="18"/>
                <w:szCs w:val="18"/>
              </w:rPr>
            </w:pPr>
            <w:r>
              <w:rPr>
                <w:rFonts w:hint="eastAsia"/>
                <w:color w:val="000000"/>
                <w:kern w:val="0"/>
                <w:sz w:val="18"/>
                <w:szCs w:val="18"/>
              </w:rPr>
              <w:t xml:space="preserve">   第六十二条  违反本条例第二十七条第四款规定，由燃气主管部门责令改正，处一万元以上十万元以下罚款；有违法所得的，没收违法所得；情节严重的，吊销燃气经营许可证或者燃气供应许可证。</w:t>
            </w:r>
          </w:p>
        </w:tc>
      </w:tr>
      <w:tr w14:paraId="0F4658F2">
        <w:tblPrEx>
          <w:tblCellMar>
            <w:top w:w="0" w:type="dxa"/>
            <w:left w:w="108" w:type="dxa"/>
            <w:bottom w:w="0" w:type="dxa"/>
            <w:right w:w="108" w:type="dxa"/>
          </w:tblCellMar>
        </w:tblPrEx>
        <w:trPr>
          <w:gridAfter w:val="1"/>
          <w:wAfter w:w="51" w:type="dxa"/>
          <w:trHeight w:val="1182" w:hRule="atLeast"/>
        </w:trPr>
        <w:tc>
          <w:tcPr>
            <w:tcW w:w="1005" w:type="dxa"/>
            <w:gridSpan w:val="2"/>
            <w:tcBorders>
              <w:top w:val="nil"/>
              <w:left w:val="single" w:color="auto" w:sz="8" w:space="0"/>
              <w:bottom w:val="single" w:color="auto" w:sz="4" w:space="0"/>
              <w:right w:val="single" w:color="auto" w:sz="4" w:space="0"/>
            </w:tcBorders>
            <w:vAlign w:val="center"/>
          </w:tcPr>
          <w:p w14:paraId="2389E50E">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0E00CBB4">
            <w:pPr>
              <w:spacing w:line="320" w:lineRule="exact"/>
              <w:jc w:val="left"/>
              <w:rPr>
                <w:color w:val="000000"/>
                <w:kern w:val="0"/>
                <w:sz w:val="18"/>
                <w:szCs w:val="18"/>
              </w:rPr>
            </w:pPr>
            <w:r>
              <w:rPr>
                <w:rFonts w:hint="eastAsia"/>
                <w:color w:val="000000"/>
                <w:kern w:val="0"/>
                <w:sz w:val="18"/>
                <w:szCs w:val="18"/>
              </w:rPr>
              <w:t>责令改正，罚款，没收违法所得，吊销燃气经营许可证或者燃气供应许可证</w:t>
            </w:r>
          </w:p>
        </w:tc>
      </w:tr>
      <w:tr w14:paraId="6D614154">
        <w:tblPrEx>
          <w:tblCellMar>
            <w:top w:w="0" w:type="dxa"/>
            <w:left w:w="108" w:type="dxa"/>
            <w:bottom w:w="0" w:type="dxa"/>
            <w:right w:w="108" w:type="dxa"/>
          </w:tblCellMar>
        </w:tblPrEx>
        <w:trPr>
          <w:gridAfter w:val="1"/>
          <w:wAfter w:w="51" w:type="dxa"/>
          <w:trHeight w:val="285" w:hRule="atLeast"/>
        </w:trPr>
        <w:tc>
          <w:tcPr>
            <w:tcW w:w="14025" w:type="dxa"/>
            <w:gridSpan w:val="5"/>
            <w:tcBorders>
              <w:top w:val="single" w:color="auto" w:sz="4" w:space="0"/>
              <w:left w:val="single" w:color="auto" w:sz="8" w:space="0"/>
              <w:bottom w:val="single" w:color="auto" w:sz="4" w:space="0"/>
              <w:right w:val="single" w:color="000000" w:sz="8" w:space="0"/>
            </w:tcBorders>
            <w:vAlign w:val="center"/>
          </w:tcPr>
          <w:p w14:paraId="247A3583">
            <w:pPr>
              <w:spacing w:line="320" w:lineRule="exact"/>
              <w:jc w:val="center"/>
              <w:rPr>
                <w:color w:val="000000"/>
                <w:kern w:val="0"/>
                <w:sz w:val="18"/>
                <w:szCs w:val="18"/>
              </w:rPr>
            </w:pPr>
            <w:r>
              <w:rPr>
                <w:rFonts w:hint="eastAsia"/>
                <w:color w:val="000000"/>
                <w:kern w:val="0"/>
                <w:sz w:val="18"/>
                <w:szCs w:val="18"/>
              </w:rPr>
              <w:t>裁量基准</w:t>
            </w:r>
          </w:p>
        </w:tc>
      </w:tr>
      <w:tr w14:paraId="5779E7C3">
        <w:tblPrEx>
          <w:tblCellMar>
            <w:top w:w="0" w:type="dxa"/>
            <w:left w:w="108" w:type="dxa"/>
            <w:bottom w:w="0" w:type="dxa"/>
            <w:right w:w="108" w:type="dxa"/>
          </w:tblCellMar>
        </w:tblPrEx>
        <w:trPr>
          <w:trHeight w:val="650" w:hRule="atLeast"/>
        </w:trPr>
        <w:tc>
          <w:tcPr>
            <w:tcW w:w="980" w:type="dxa"/>
            <w:vMerge w:val="restart"/>
            <w:tcBorders>
              <w:top w:val="nil"/>
              <w:left w:val="single" w:color="auto" w:sz="8" w:space="0"/>
              <w:bottom w:val="single" w:color="auto" w:sz="4" w:space="0"/>
              <w:right w:val="single" w:color="auto" w:sz="4" w:space="0"/>
            </w:tcBorders>
            <w:vAlign w:val="center"/>
          </w:tcPr>
          <w:p w14:paraId="27634E9B">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right w:val="single" w:color="auto" w:sz="4" w:space="0"/>
            </w:tcBorders>
            <w:vAlign w:val="center"/>
          </w:tcPr>
          <w:p w14:paraId="05048C50">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color="auto" w:sz="4" w:space="0"/>
              <w:bottom w:val="single" w:color="auto" w:sz="4" w:space="0"/>
              <w:right w:val="single" w:color="auto" w:sz="4" w:space="0"/>
            </w:tcBorders>
            <w:vAlign w:val="center"/>
          </w:tcPr>
          <w:p w14:paraId="762D4DDE">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color="auto" w:sz="8" w:space="0"/>
            </w:tcBorders>
            <w:vAlign w:val="center"/>
          </w:tcPr>
          <w:p w14:paraId="3B2F09BA">
            <w:pPr>
              <w:spacing w:line="320" w:lineRule="exact"/>
              <w:jc w:val="left"/>
              <w:rPr>
                <w:color w:val="000000"/>
                <w:kern w:val="0"/>
                <w:sz w:val="18"/>
                <w:szCs w:val="18"/>
              </w:rPr>
            </w:pPr>
            <w:r>
              <w:rPr>
                <w:rFonts w:hint="eastAsia"/>
                <w:color w:val="000000"/>
                <w:kern w:val="0"/>
                <w:sz w:val="18"/>
                <w:szCs w:val="18"/>
              </w:rPr>
              <w:t>处1万元以上</w:t>
            </w:r>
            <w:r>
              <w:rPr>
                <w:color w:val="000000"/>
                <w:kern w:val="0"/>
                <w:sz w:val="18"/>
                <w:szCs w:val="18"/>
              </w:rPr>
              <w:t>3</w:t>
            </w:r>
            <w:r>
              <w:rPr>
                <w:rFonts w:hint="eastAsia"/>
                <w:color w:val="000000"/>
                <w:kern w:val="0"/>
                <w:sz w:val="18"/>
                <w:szCs w:val="18"/>
              </w:rPr>
              <w:t>万元以下罚款</w:t>
            </w:r>
          </w:p>
        </w:tc>
      </w:tr>
      <w:tr w14:paraId="4B892484">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575C831C">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66EEA5D3">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33BCC9A8">
            <w:pPr>
              <w:spacing w:line="320" w:lineRule="exact"/>
              <w:jc w:val="left"/>
              <w:rPr>
                <w:color w:val="000000"/>
                <w:kern w:val="0"/>
                <w:sz w:val="18"/>
                <w:szCs w:val="18"/>
              </w:rPr>
            </w:pPr>
          </w:p>
        </w:tc>
        <w:tc>
          <w:tcPr>
            <w:tcW w:w="5956" w:type="dxa"/>
            <w:gridSpan w:val="2"/>
            <w:tcBorders>
              <w:top w:val="single" w:color="auto" w:sz="4" w:space="0"/>
              <w:left w:val="nil"/>
              <w:bottom w:val="single" w:color="auto" w:sz="4" w:space="0"/>
              <w:right w:val="single" w:color="auto" w:sz="8" w:space="0"/>
            </w:tcBorders>
            <w:vAlign w:val="center"/>
          </w:tcPr>
          <w:p w14:paraId="5E3FA09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0A0FD02A">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68E77842">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6016D455">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36CCA6D8">
            <w:pPr>
              <w:spacing w:line="320" w:lineRule="exact"/>
              <w:jc w:val="left"/>
              <w:rPr>
                <w:color w:val="000000"/>
                <w:kern w:val="0"/>
                <w:sz w:val="18"/>
                <w:szCs w:val="18"/>
              </w:rPr>
            </w:pPr>
          </w:p>
        </w:tc>
        <w:tc>
          <w:tcPr>
            <w:tcW w:w="5956" w:type="dxa"/>
            <w:gridSpan w:val="2"/>
            <w:tcBorders>
              <w:top w:val="single" w:color="auto" w:sz="4" w:space="0"/>
              <w:left w:val="nil"/>
              <w:bottom w:val="single" w:color="auto" w:sz="4" w:space="0"/>
              <w:right w:val="single" w:color="auto" w:sz="8" w:space="0"/>
            </w:tcBorders>
            <w:vAlign w:val="center"/>
          </w:tcPr>
          <w:p w14:paraId="551CA38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万元以下罚款，吊销燃气经营许可证或者燃气供应许可证</w:t>
            </w:r>
          </w:p>
        </w:tc>
      </w:tr>
    </w:tbl>
    <w:p w14:paraId="3BF4F47C"/>
    <w:p w14:paraId="740D7C1E"/>
    <w:p w14:paraId="2AA73E58"/>
    <w:tbl>
      <w:tblPr>
        <w:tblStyle w:val="15"/>
        <w:tblW w:w="0" w:type="auto"/>
        <w:tblInd w:w="88" w:type="dxa"/>
        <w:tblLayout w:type="fixed"/>
        <w:tblCellMar>
          <w:top w:w="0" w:type="dxa"/>
          <w:left w:w="108" w:type="dxa"/>
          <w:bottom w:w="0" w:type="dxa"/>
          <w:right w:w="108" w:type="dxa"/>
        </w:tblCellMar>
      </w:tblPr>
      <w:tblGrid>
        <w:gridCol w:w="980"/>
        <w:gridCol w:w="25"/>
        <w:gridCol w:w="6115"/>
        <w:gridCol w:w="1000"/>
        <w:gridCol w:w="5905"/>
        <w:gridCol w:w="51"/>
      </w:tblGrid>
      <w:tr w14:paraId="6F0F8A1C">
        <w:tblPrEx>
          <w:tblCellMar>
            <w:top w:w="0" w:type="dxa"/>
            <w:left w:w="108" w:type="dxa"/>
            <w:bottom w:w="0" w:type="dxa"/>
            <w:right w:w="108" w:type="dxa"/>
          </w:tblCellMar>
        </w:tblPrEx>
        <w:trPr>
          <w:gridAfter w:val="1"/>
          <w:wAfter w:w="51" w:type="dxa"/>
          <w:trHeight w:val="285" w:hRule="atLeast"/>
        </w:trPr>
        <w:tc>
          <w:tcPr>
            <w:tcW w:w="1005" w:type="dxa"/>
            <w:gridSpan w:val="2"/>
            <w:tcBorders>
              <w:top w:val="single" w:color="auto" w:sz="8" w:space="0"/>
              <w:left w:val="single" w:color="auto" w:sz="8" w:space="0"/>
              <w:bottom w:val="single" w:color="auto" w:sz="4" w:space="0"/>
              <w:right w:val="single" w:color="auto" w:sz="4" w:space="0"/>
            </w:tcBorders>
            <w:vAlign w:val="center"/>
          </w:tcPr>
          <w:p w14:paraId="5F897C23">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19CB0FC6">
            <w:pPr>
              <w:spacing w:line="320" w:lineRule="exact"/>
              <w:jc w:val="left"/>
              <w:rPr>
                <w:rFonts w:eastAsia="仿宋_GB2312"/>
                <w:b/>
                <w:bCs/>
                <w:color w:val="000000"/>
                <w:kern w:val="0"/>
                <w:sz w:val="18"/>
                <w:szCs w:val="18"/>
              </w:rPr>
            </w:pPr>
            <w:r>
              <w:rPr>
                <w:rFonts w:eastAsia="仿宋_GB2312"/>
                <w:b/>
                <w:bCs/>
                <w:color w:val="000000"/>
                <w:kern w:val="0"/>
                <w:sz w:val="18"/>
                <w:szCs w:val="18"/>
              </w:rPr>
              <w:t>320217086000</w:t>
            </w:r>
            <w:r>
              <w:rPr>
                <w:rFonts w:hint="eastAsia" w:eastAsia="仿宋_GB2312"/>
                <w:b/>
                <w:bCs/>
                <w:color w:val="000000"/>
                <w:kern w:val="0"/>
                <w:sz w:val="18"/>
                <w:szCs w:val="18"/>
              </w:rPr>
              <w:t xml:space="preserve"> </w:t>
            </w:r>
          </w:p>
        </w:tc>
      </w:tr>
      <w:tr w14:paraId="2295D59C">
        <w:tblPrEx>
          <w:tblCellMar>
            <w:top w:w="0" w:type="dxa"/>
            <w:left w:w="108" w:type="dxa"/>
            <w:bottom w:w="0" w:type="dxa"/>
            <w:right w:w="108" w:type="dxa"/>
          </w:tblCellMar>
        </w:tblPrEx>
        <w:trPr>
          <w:gridAfter w:val="1"/>
          <w:wAfter w:w="51" w:type="dxa"/>
          <w:trHeight w:val="285" w:hRule="atLeast"/>
        </w:trPr>
        <w:tc>
          <w:tcPr>
            <w:tcW w:w="1005" w:type="dxa"/>
            <w:gridSpan w:val="2"/>
            <w:tcBorders>
              <w:top w:val="nil"/>
              <w:left w:val="single" w:color="auto" w:sz="8" w:space="0"/>
              <w:bottom w:val="single" w:color="auto" w:sz="4" w:space="0"/>
              <w:right w:val="single" w:color="auto" w:sz="4" w:space="0"/>
            </w:tcBorders>
            <w:vAlign w:val="center"/>
          </w:tcPr>
          <w:p w14:paraId="04A88837">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59EC8E64">
            <w:pPr>
              <w:spacing w:line="320" w:lineRule="exact"/>
              <w:jc w:val="left"/>
              <w:rPr>
                <w:color w:val="000000"/>
                <w:kern w:val="0"/>
                <w:sz w:val="18"/>
                <w:szCs w:val="18"/>
              </w:rPr>
            </w:pPr>
            <w:r>
              <w:rPr>
                <w:rFonts w:hint="eastAsia"/>
                <w:color w:val="000000"/>
                <w:kern w:val="0"/>
                <w:sz w:val="18"/>
                <w:szCs w:val="18"/>
              </w:rPr>
              <w:t>对燃气经营者在不具备安全条件的场所储存燃气的处罚</w:t>
            </w:r>
          </w:p>
        </w:tc>
      </w:tr>
      <w:tr w14:paraId="4FAEF549">
        <w:tblPrEx>
          <w:tblCellMar>
            <w:top w:w="0" w:type="dxa"/>
            <w:left w:w="108" w:type="dxa"/>
            <w:bottom w:w="0" w:type="dxa"/>
            <w:right w:w="108" w:type="dxa"/>
          </w:tblCellMar>
        </w:tblPrEx>
        <w:trPr>
          <w:gridAfter w:val="1"/>
          <w:wAfter w:w="51" w:type="dxa"/>
          <w:trHeight w:val="1590" w:hRule="atLeast"/>
        </w:trPr>
        <w:tc>
          <w:tcPr>
            <w:tcW w:w="1005" w:type="dxa"/>
            <w:gridSpan w:val="2"/>
            <w:tcBorders>
              <w:top w:val="nil"/>
              <w:left w:val="single" w:color="auto" w:sz="8" w:space="0"/>
              <w:bottom w:val="single" w:color="auto" w:sz="4" w:space="0"/>
              <w:right w:val="single" w:color="auto" w:sz="4" w:space="0"/>
            </w:tcBorders>
            <w:vAlign w:val="center"/>
          </w:tcPr>
          <w:p w14:paraId="7287158B">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7290A313">
            <w:pPr>
              <w:spacing w:line="320" w:lineRule="exact"/>
              <w:jc w:val="left"/>
              <w:rPr>
                <w:color w:val="000000"/>
                <w:kern w:val="0"/>
                <w:sz w:val="18"/>
                <w:szCs w:val="18"/>
              </w:rPr>
            </w:pPr>
            <w:r>
              <w:rPr>
                <w:rFonts w:hint="eastAsia"/>
                <w:color w:val="000000"/>
                <w:kern w:val="0"/>
                <w:sz w:val="18"/>
                <w:szCs w:val="18"/>
              </w:rPr>
              <w:t>【行政法规】《城镇燃气管理条例》（国务院令第583号）</w:t>
            </w:r>
          </w:p>
          <w:p w14:paraId="12A793D8">
            <w:pPr>
              <w:spacing w:line="320" w:lineRule="exact"/>
              <w:jc w:val="left"/>
              <w:rPr>
                <w:color w:val="000000"/>
                <w:kern w:val="0"/>
                <w:sz w:val="18"/>
                <w:szCs w:val="18"/>
              </w:rPr>
            </w:pPr>
            <w:r>
              <w:rPr>
                <w:rFonts w:hint="eastAsia"/>
                <w:color w:val="000000"/>
                <w:kern w:val="0"/>
                <w:sz w:val="18"/>
                <w:szCs w:val="18"/>
              </w:rPr>
              <w:t xml:space="preserve">  第十八条 燃气经营者不得有下列行为： </w:t>
            </w:r>
          </w:p>
          <w:p w14:paraId="2CF1FC23">
            <w:pPr>
              <w:spacing w:line="320" w:lineRule="exact"/>
              <w:jc w:val="left"/>
              <w:rPr>
                <w:color w:val="000000"/>
                <w:kern w:val="0"/>
                <w:sz w:val="18"/>
                <w:szCs w:val="18"/>
              </w:rPr>
            </w:pPr>
            <w:r>
              <w:rPr>
                <w:rFonts w:hint="eastAsia"/>
                <w:color w:val="000000"/>
                <w:kern w:val="0"/>
                <w:sz w:val="18"/>
                <w:szCs w:val="18"/>
              </w:rPr>
              <w:t xml:space="preserve"> （五）在不具备安全条件的场所储存燃气。</w:t>
            </w:r>
          </w:p>
          <w:p w14:paraId="4E660252">
            <w:pPr>
              <w:spacing w:line="320" w:lineRule="exact"/>
              <w:jc w:val="left"/>
              <w:rPr>
                <w:color w:val="000000"/>
                <w:kern w:val="0"/>
                <w:sz w:val="18"/>
                <w:szCs w:val="18"/>
              </w:rPr>
            </w:pPr>
            <w:r>
              <w:rPr>
                <w:rFonts w:hint="eastAsia"/>
                <w:color w:val="000000"/>
                <w:kern w:val="0"/>
                <w:sz w:val="18"/>
                <w:szCs w:val="18"/>
              </w:rPr>
              <w:t xml:space="preserve"> 第四十六条 违反本条例规定，燃气经营者有下列行为之一的，由燃气管理部门责令限期改正，处1万元以上10万元以下罚款；有违法所得的，没收违法所得；情节严重的，吊销燃气经营许可证；造成损失的，依法承担赔偿责任；构成犯罪的，依法追究刑事责任：</w:t>
            </w:r>
          </w:p>
          <w:p w14:paraId="5EE394D2">
            <w:pPr>
              <w:spacing w:line="320" w:lineRule="exact"/>
              <w:jc w:val="left"/>
              <w:rPr>
                <w:color w:val="000000"/>
                <w:kern w:val="0"/>
                <w:sz w:val="18"/>
                <w:szCs w:val="18"/>
              </w:rPr>
            </w:pPr>
            <w:r>
              <w:rPr>
                <w:rFonts w:hint="eastAsia"/>
                <w:color w:val="000000"/>
                <w:kern w:val="0"/>
                <w:sz w:val="18"/>
                <w:szCs w:val="18"/>
              </w:rPr>
              <w:t>（五）在不具备安全条件的场所储存燃气的；</w:t>
            </w:r>
          </w:p>
        </w:tc>
      </w:tr>
      <w:tr w14:paraId="264F6218">
        <w:tblPrEx>
          <w:tblCellMar>
            <w:top w:w="0" w:type="dxa"/>
            <w:left w:w="108" w:type="dxa"/>
            <w:bottom w:w="0" w:type="dxa"/>
            <w:right w:w="108" w:type="dxa"/>
          </w:tblCellMar>
        </w:tblPrEx>
        <w:trPr>
          <w:gridAfter w:val="1"/>
          <w:wAfter w:w="51" w:type="dxa"/>
          <w:trHeight w:val="285" w:hRule="atLeast"/>
        </w:trPr>
        <w:tc>
          <w:tcPr>
            <w:tcW w:w="1005" w:type="dxa"/>
            <w:gridSpan w:val="2"/>
            <w:tcBorders>
              <w:top w:val="nil"/>
              <w:left w:val="single" w:color="auto" w:sz="8" w:space="0"/>
              <w:bottom w:val="single" w:color="auto" w:sz="4" w:space="0"/>
              <w:right w:val="single" w:color="auto" w:sz="4" w:space="0"/>
            </w:tcBorders>
            <w:vAlign w:val="center"/>
          </w:tcPr>
          <w:p w14:paraId="2BBEB30F">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4F9EFF4D">
            <w:pPr>
              <w:spacing w:line="320" w:lineRule="exact"/>
              <w:jc w:val="left"/>
              <w:rPr>
                <w:color w:val="000000"/>
                <w:kern w:val="0"/>
                <w:sz w:val="18"/>
                <w:szCs w:val="18"/>
              </w:rPr>
            </w:pPr>
            <w:r>
              <w:rPr>
                <w:rFonts w:hint="eastAsia"/>
                <w:color w:val="000000"/>
                <w:kern w:val="0"/>
                <w:sz w:val="18"/>
                <w:szCs w:val="18"/>
              </w:rPr>
              <w:t>罚款，没收违法所得，吊销许可证</w:t>
            </w:r>
          </w:p>
        </w:tc>
      </w:tr>
      <w:tr w14:paraId="21782004">
        <w:tblPrEx>
          <w:tblCellMar>
            <w:top w:w="0" w:type="dxa"/>
            <w:left w:w="108" w:type="dxa"/>
            <w:bottom w:w="0" w:type="dxa"/>
            <w:right w:w="108" w:type="dxa"/>
          </w:tblCellMar>
        </w:tblPrEx>
        <w:trPr>
          <w:gridAfter w:val="1"/>
          <w:wAfter w:w="51" w:type="dxa"/>
          <w:trHeight w:val="285" w:hRule="atLeast"/>
        </w:trPr>
        <w:tc>
          <w:tcPr>
            <w:tcW w:w="14025" w:type="dxa"/>
            <w:gridSpan w:val="5"/>
            <w:tcBorders>
              <w:top w:val="single" w:color="auto" w:sz="4" w:space="0"/>
              <w:left w:val="single" w:color="auto" w:sz="8" w:space="0"/>
              <w:bottom w:val="single" w:color="auto" w:sz="4" w:space="0"/>
              <w:right w:val="single" w:color="000000" w:sz="8" w:space="0"/>
            </w:tcBorders>
            <w:vAlign w:val="center"/>
          </w:tcPr>
          <w:p w14:paraId="220E0A4C">
            <w:pPr>
              <w:spacing w:line="320" w:lineRule="exact"/>
              <w:jc w:val="center"/>
              <w:rPr>
                <w:color w:val="000000"/>
                <w:kern w:val="0"/>
                <w:sz w:val="18"/>
                <w:szCs w:val="18"/>
              </w:rPr>
            </w:pPr>
            <w:r>
              <w:rPr>
                <w:rFonts w:hint="eastAsia"/>
                <w:color w:val="000000"/>
                <w:kern w:val="0"/>
                <w:sz w:val="18"/>
                <w:szCs w:val="18"/>
              </w:rPr>
              <w:t>裁量基准</w:t>
            </w:r>
          </w:p>
        </w:tc>
      </w:tr>
      <w:tr w14:paraId="1D7B6B1B">
        <w:tblPrEx>
          <w:tblCellMar>
            <w:top w:w="0" w:type="dxa"/>
            <w:left w:w="108" w:type="dxa"/>
            <w:bottom w:w="0" w:type="dxa"/>
            <w:right w:w="108" w:type="dxa"/>
          </w:tblCellMar>
        </w:tblPrEx>
        <w:trPr>
          <w:trHeight w:val="650" w:hRule="atLeast"/>
        </w:trPr>
        <w:tc>
          <w:tcPr>
            <w:tcW w:w="980" w:type="dxa"/>
            <w:vMerge w:val="restart"/>
            <w:tcBorders>
              <w:top w:val="nil"/>
              <w:left w:val="single" w:color="auto" w:sz="8" w:space="0"/>
              <w:bottom w:val="single" w:color="auto" w:sz="4" w:space="0"/>
              <w:right w:val="single" w:color="auto" w:sz="4" w:space="0"/>
            </w:tcBorders>
            <w:vAlign w:val="center"/>
          </w:tcPr>
          <w:p w14:paraId="5A6E8913">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right w:val="single" w:color="auto" w:sz="4" w:space="0"/>
            </w:tcBorders>
            <w:vAlign w:val="center"/>
          </w:tcPr>
          <w:p w14:paraId="16A10CDA">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color="auto" w:sz="4" w:space="0"/>
              <w:bottom w:val="single" w:color="auto" w:sz="4" w:space="0"/>
              <w:right w:val="single" w:color="auto" w:sz="4" w:space="0"/>
            </w:tcBorders>
            <w:vAlign w:val="center"/>
          </w:tcPr>
          <w:p w14:paraId="0F4C028B">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color="auto" w:sz="8" w:space="0"/>
            </w:tcBorders>
            <w:vAlign w:val="center"/>
          </w:tcPr>
          <w:p w14:paraId="24C2F7B9">
            <w:pPr>
              <w:spacing w:line="320" w:lineRule="exact"/>
              <w:jc w:val="left"/>
              <w:rPr>
                <w:color w:val="000000"/>
                <w:kern w:val="0"/>
                <w:sz w:val="18"/>
                <w:szCs w:val="18"/>
              </w:rPr>
            </w:pPr>
            <w:r>
              <w:rPr>
                <w:rFonts w:hint="eastAsia"/>
                <w:color w:val="000000"/>
                <w:kern w:val="0"/>
                <w:sz w:val="18"/>
                <w:szCs w:val="18"/>
              </w:rPr>
              <w:t>处1万元以上</w:t>
            </w:r>
            <w:r>
              <w:rPr>
                <w:color w:val="000000"/>
                <w:kern w:val="0"/>
                <w:sz w:val="18"/>
                <w:szCs w:val="18"/>
              </w:rPr>
              <w:t>3</w:t>
            </w:r>
            <w:r>
              <w:rPr>
                <w:rFonts w:hint="eastAsia"/>
                <w:color w:val="000000"/>
                <w:kern w:val="0"/>
                <w:sz w:val="18"/>
                <w:szCs w:val="18"/>
              </w:rPr>
              <w:t>万元以下罚款</w:t>
            </w:r>
          </w:p>
        </w:tc>
      </w:tr>
      <w:tr w14:paraId="1FC6B7E5">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1A787BF6">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480E752C">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53474C8D">
            <w:pPr>
              <w:spacing w:line="320" w:lineRule="exact"/>
              <w:jc w:val="left"/>
              <w:rPr>
                <w:color w:val="000000"/>
                <w:kern w:val="0"/>
                <w:sz w:val="18"/>
                <w:szCs w:val="18"/>
              </w:rPr>
            </w:pPr>
          </w:p>
        </w:tc>
        <w:tc>
          <w:tcPr>
            <w:tcW w:w="5956" w:type="dxa"/>
            <w:gridSpan w:val="2"/>
            <w:tcBorders>
              <w:top w:val="single" w:color="auto" w:sz="4" w:space="0"/>
              <w:left w:val="nil"/>
              <w:bottom w:val="single" w:color="auto" w:sz="4" w:space="0"/>
              <w:right w:val="single" w:color="auto" w:sz="8" w:space="0"/>
            </w:tcBorders>
            <w:vAlign w:val="center"/>
          </w:tcPr>
          <w:p w14:paraId="6DF7175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67229303">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2758DBF6">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01D1504A">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69BC46E1">
            <w:pPr>
              <w:spacing w:line="320" w:lineRule="exact"/>
              <w:jc w:val="left"/>
              <w:rPr>
                <w:color w:val="000000"/>
                <w:kern w:val="0"/>
                <w:sz w:val="18"/>
                <w:szCs w:val="18"/>
              </w:rPr>
            </w:pPr>
          </w:p>
        </w:tc>
        <w:tc>
          <w:tcPr>
            <w:tcW w:w="5956" w:type="dxa"/>
            <w:gridSpan w:val="2"/>
            <w:tcBorders>
              <w:top w:val="single" w:color="auto" w:sz="4" w:space="0"/>
              <w:left w:val="nil"/>
              <w:bottom w:val="single" w:color="auto" w:sz="4" w:space="0"/>
              <w:right w:val="single" w:color="auto" w:sz="8" w:space="0"/>
            </w:tcBorders>
            <w:vAlign w:val="center"/>
          </w:tcPr>
          <w:p w14:paraId="66B205A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14:paraId="26A01BC6"/>
    <w:p w14:paraId="75E7B1C4"/>
    <w:p w14:paraId="40776F01"/>
    <w:p w14:paraId="26C1DEED"/>
    <w:p w14:paraId="7F176A9D"/>
    <w:p w14:paraId="04CEF182"/>
    <w:p w14:paraId="3CB5D2D9"/>
    <w:p w14:paraId="4617FDBD"/>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940"/>
        <w:gridCol w:w="16"/>
      </w:tblGrid>
      <w:tr w14:paraId="75E285A4">
        <w:tblPrEx>
          <w:tblCellMar>
            <w:top w:w="0" w:type="dxa"/>
            <w:left w:w="108" w:type="dxa"/>
            <w:bottom w:w="0" w:type="dxa"/>
            <w:right w:w="108" w:type="dxa"/>
          </w:tblCellMar>
        </w:tblPrEx>
        <w:trPr>
          <w:gridAfter w:val="1"/>
          <w:wAfter w:w="16" w:type="dxa"/>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48ED3C11">
            <w:pPr>
              <w:spacing w:line="320" w:lineRule="exact"/>
              <w:jc w:val="center"/>
              <w:rPr>
                <w:color w:val="000000"/>
                <w:kern w:val="0"/>
                <w:sz w:val="18"/>
                <w:szCs w:val="18"/>
              </w:rPr>
            </w:pPr>
            <w:r>
              <w:rPr>
                <w:rFonts w:hint="eastAsia"/>
                <w:color w:val="000000"/>
                <w:kern w:val="0"/>
                <w:sz w:val="18"/>
                <w:szCs w:val="18"/>
              </w:rPr>
              <w:t>编号</w:t>
            </w:r>
          </w:p>
        </w:tc>
        <w:tc>
          <w:tcPr>
            <w:tcW w:w="13064" w:type="dxa"/>
            <w:gridSpan w:val="3"/>
            <w:tcBorders>
              <w:top w:val="single" w:color="auto" w:sz="8" w:space="0"/>
              <w:left w:val="nil"/>
              <w:bottom w:val="single" w:color="auto" w:sz="4" w:space="0"/>
              <w:right w:val="single" w:color="000000" w:sz="8" w:space="0"/>
            </w:tcBorders>
            <w:vAlign w:val="center"/>
          </w:tcPr>
          <w:p w14:paraId="6C790C92">
            <w:pPr>
              <w:spacing w:line="320" w:lineRule="exact"/>
              <w:jc w:val="left"/>
              <w:rPr>
                <w:rFonts w:eastAsia="仿宋_GB2312"/>
                <w:b/>
                <w:bCs/>
                <w:color w:val="000000"/>
                <w:kern w:val="0"/>
                <w:sz w:val="18"/>
                <w:szCs w:val="18"/>
              </w:rPr>
            </w:pPr>
            <w:r>
              <w:rPr>
                <w:rFonts w:eastAsia="仿宋_GB2312"/>
                <w:b/>
                <w:bCs/>
                <w:color w:val="000000"/>
                <w:kern w:val="0"/>
                <w:sz w:val="18"/>
                <w:szCs w:val="18"/>
              </w:rPr>
              <w:t>320217087000</w:t>
            </w:r>
            <w:r>
              <w:rPr>
                <w:rFonts w:hint="eastAsia" w:eastAsia="仿宋_GB2312"/>
                <w:b/>
                <w:bCs/>
                <w:color w:val="000000"/>
                <w:kern w:val="0"/>
                <w:sz w:val="18"/>
                <w:szCs w:val="18"/>
              </w:rPr>
              <w:t xml:space="preserve"> </w:t>
            </w:r>
          </w:p>
        </w:tc>
      </w:tr>
      <w:tr w14:paraId="140F0953">
        <w:tblPrEx>
          <w:tblCellMar>
            <w:top w:w="0" w:type="dxa"/>
            <w:left w:w="108" w:type="dxa"/>
            <w:bottom w:w="0" w:type="dxa"/>
            <w:right w:w="108" w:type="dxa"/>
          </w:tblCellMar>
        </w:tblPrEx>
        <w:trPr>
          <w:gridAfter w:val="1"/>
          <w:wAfter w:w="16" w:type="dxa"/>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4D842D60">
            <w:pPr>
              <w:spacing w:line="320" w:lineRule="exact"/>
              <w:jc w:val="center"/>
              <w:rPr>
                <w:color w:val="000000"/>
                <w:kern w:val="0"/>
                <w:sz w:val="18"/>
                <w:szCs w:val="18"/>
              </w:rPr>
            </w:pPr>
            <w:r>
              <w:rPr>
                <w:rFonts w:hint="eastAsia"/>
                <w:color w:val="000000"/>
                <w:kern w:val="0"/>
                <w:sz w:val="18"/>
                <w:szCs w:val="18"/>
              </w:rPr>
              <w:t>权力名称</w:t>
            </w:r>
          </w:p>
        </w:tc>
        <w:tc>
          <w:tcPr>
            <w:tcW w:w="13064" w:type="dxa"/>
            <w:gridSpan w:val="3"/>
            <w:tcBorders>
              <w:top w:val="single" w:color="auto" w:sz="4" w:space="0"/>
              <w:left w:val="nil"/>
              <w:bottom w:val="single" w:color="auto" w:sz="4" w:space="0"/>
              <w:right w:val="single" w:color="000000" w:sz="8" w:space="0"/>
            </w:tcBorders>
            <w:vAlign w:val="center"/>
          </w:tcPr>
          <w:p w14:paraId="4D730ACC">
            <w:pPr>
              <w:spacing w:line="320" w:lineRule="exact"/>
              <w:jc w:val="left"/>
              <w:rPr>
                <w:color w:val="000000"/>
                <w:kern w:val="0"/>
                <w:sz w:val="18"/>
                <w:szCs w:val="18"/>
              </w:rPr>
            </w:pPr>
            <w:r>
              <w:rPr>
                <w:rFonts w:hint="eastAsia"/>
                <w:color w:val="000000"/>
                <w:kern w:val="0"/>
                <w:sz w:val="18"/>
                <w:szCs w:val="18"/>
              </w:rPr>
              <w:t>对燃气经营者要求燃气用户购买其指定的产品或者接受其提供的服务的处罚</w:t>
            </w:r>
          </w:p>
        </w:tc>
      </w:tr>
      <w:tr w14:paraId="18CBB4AC">
        <w:tblPrEx>
          <w:tblCellMar>
            <w:top w:w="0" w:type="dxa"/>
            <w:left w:w="108" w:type="dxa"/>
            <w:bottom w:w="0" w:type="dxa"/>
            <w:right w:w="108" w:type="dxa"/>
          </w:tblCellMar>
        </w:tblPrEx>
        <w:trPr>
          <w:gridAfter w:val="1"/>
          <w:wAfter w:w="16" w:type="dxa"/>
          <w:trHeight w:val="1530" w:hRule="atLeast"/>
        </w:trPr>
        <w:tc>
          <w:tcPr>
            <w:tcW w:w="996" w:type="dxa"/>
            <w:gridSpan w:val="2"/>
            <w:tcBorders>
              <w:top w:val="nil"/>
              <w:left w:val="single" w:color="auto" w:sz="8" w:space="0"/>
              <w:bottom w:val="single" w:color="auto" w:sz="4" w:space="0"/>
              <w:right w:val="single" w:color="auto" w:sz="4" w:space="0"/>
            </w:tcBorders>
            <w:vAlign w:val="center"/>
          </w:tcPr>
          <w:p w14:paraId="3B018A57">
            <w:pPr>
              <w:spacing w:line="320" w:lineRule="exact"/>
              <w:jc w:val="center"/>
              <w:rPr>
                <w:color w:val="000000"/>
                <w:kern w:val="0"/>
                <w:sz w:val="18"/>
                <w:szCs w:val="18"/>
              </w:rPr>
            </w:pPr>
            <w:r>
              <w:rPr>
                <w:rFonts w:hint="eastAsia"/>
                <w:color w:val="000000"/>
                <w:kern w:val="0"/>
                <w:sz w:val="18"/>
                <w:szCs w:val="18"/>
              </w:rPr>
              <w:t>法律依据</w:t>
            </w:r>
          </w:p>
        </w:tc>
        <w:tc>
          <w:tcPr>
            <w:tcW w:w="13064" w:type="dxa"/>
            <w:gridSpan w:val="3"/>
            <w:tcBorders>
              <w:top w:val="single" w:color="auto" w:sz="4" w:space="0"/>
              <w:left w:val="nil"/>
              <w:bottom w:val="single" w:color="auto" w:sz="4" w:space="0"/>
              <w:right w:val="single" w:color="000000" w:sz="8" w:space="0"/>
            </w:tcBorders>
            <w:vAlign w:val="center"/>
          </w:tcPr>
          <w:p w14:paraId="17E20726">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14:paraId="70D1A678">
            <w:pPr>
              <w:spacing w:line="320" w:lineRule="exact"/>
              <w:jc w:val="left"/>
              <w:rPr>
                <w:color w:val="000000"/>
                <w:kern w:val="0"/>
                <w:sz w:val="18"/>
                <w:szCs w:val="18"/>
              </w:rPr>
            </w:pP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p>
          <w:p w14:paraId="2FB4E792">
            <w:pPr>
              <w:spacing w:line="320" w:lineRule="exact"/>
              <w:jc w:val="left"/>
              <w:rPr>
                <w:color w:val="000000"/>
                <w:kern w:val="0"/>
                <w:sz w:val="18"/>
                <w:szCs w:val="18"/>
              </w:rPr>
            </w:pPr>
            <w:r>
              <w:rPr>
                <w:rFonts w:hint="eastAsia"/>
                <w:color w:val="000000"/>
                <w:kern w:val="0"/>
                <w:sz w:val="18"/>
                <w:szCs w:val="18"/>
              </w:rPr>
              <w:t>（六）要求燃气用户购买其指定的产品或者接受其提供的服务。</w:t>
            </w:r>
          </w:p>
          <w:p w14:paraId="29636E21">
            <w:pPr>
              <w:spacing w:line="320" w:lineRule="exact"/>
              <w:jc w:val="left"/>
              <w:rPr>
                <w:color w:val="000000"/>
                <w:kern w:val="0"/>
                <w:sz w:val="18"/>
                <w:szCs w:val="18"/>
              </w:rPr>
            </w:pP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p>
          <w:p w14:paraId="65B3D5E9">
            <w:pPr>
              <w:spacing w:line="320" w:lineRule="exact"/>
              <w:jc w:val="left"/>
              <w:rPr>
                <w:color w:val="000000"/>
                <w:kern w:val="0"/>
                <w:sz w:val="18"/>
                <w:szCs w:val="18"/>
              </w:rPr>
            </w:pPr>
            <w:r>
              <w:rPr>
                <w:rFonts w:hint="eastAsia"/>
                <w:color w:val="000000"/>
                <w:kern w:val="0"/>
                <w:sz w:val="18"/>
                <w:szCs w:val="18"/>
              </w:rPr>
              <w:t>（六）要求燃气用户购买其指定的产品或者接受其提供的服务。</w:t>
            </w:r>
          </w:p>
        </w:tc>
      </w:tr>
      <w:tr w14:paraId="4C07C4AE">
        <w:tblPrEx>
          <w:tblCellMar>
            <w:top w:w="0" w:type="dxa"/>
            <w:left w:w="108" w:type="dxa"/>
            <w:bottom w:w="0" w:type="dxa"/>
            <w:right w:w="108" w:type="dxa"/>
          </w:tblCellMar>
        </w:tblPrEx>
        <w:trPr>
          <w:gridAfter w:val="1"/>
          <w:wAfter w:w="16" w:type="dxa"/>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0ABFAB50">
            <w:pPr>
              <w:spacing w:line="320" w:lineRule="exact"/>
              <w:jc w:val="center"/>
              <w:rPr>
                <w:color w:val="000000"/>
                <w:kern w:val="0"/>
                <w:sz w:val="18"/>
                <w:szCs w:val="18"/>
              </w:rPr>
            </w:pPr>
            <w:r>
              <w:rPr>
                <w:rFonts w:hint="eastAsia"/>
                <w:color w:val="000000"/>
                <w:kern w:val="0"/>
                <w:sz w:val="18"/>
                <w:szCs w:val="18"/>
              </w:rPr>
              <w:t>行使内容</w:t>
            </w:r>
          </w:p>
        </w:tc>
        <w:tc>
          <w:tcPr>
            <w:tcW w:w="13064" w:type="dxa"/>
            <w:gridSpan w:val="3"/>
            <w:tcBorders>
              <w:top w:val="single" w:color="auto" w:sz="4" w:space="0"/>
              <w:left w:val="nil"/>
              <w:bottom w:val="single" w:color="auto" w:sz="4" w:space="0"/>
              <w:right w:val="single" w:color="000000" w:sz="8" w:space="0"/>
            </w:tcBorders>
            <w:vAlign w:val="center"/>
          </w:tcPr>
          <w:p w14:paraId="3073032A">
            <w:pPr>
              <w:spacing w:line="320" w:lineRule="exact"/>
              <w:jc w:val="left"/>
              <w:rPr>
                <w:color w:val="000000"/>
                <w:kern w:val="0"/>
                <w:sz w:val="18"/>
                <w:szCs w:val="18"/>
              </w:rPr>
            </w:pPr>
            <w:r>
              <w:rPr>
                <w:rFonts w:hint="eastAsia"/>
                <w:color w:val="000000"/>
                <w:kern w:val="0"/>
                <w:sz w:val="18"/>
                <w:szCs w:val="18"/>
              </w:rPr>
              <w:t>罚款，没收违法所得，吊销许可证</w:t>
            </w:r>
          </w:p>
        </w:tc>
      </w:tr>
      <w:tr w14:paraId="68DBE106">
        <w:tblPrEx>
          <w:tblCellMar>
            <w:top w:w="0" w:type="dxa"/>
            <w:left w:w="108" w:type="dxa"/>
            <w:bottom w:w="0" w:type="dxa"/>
            <w:right w:w="108" w:type="dxa"/>
          </w:tblCellMar>
        </w:tblPrEx>
        <w:trPr>
          <w:gridAfter w:val="1"/>
          <w:wAfter w:w="16" w:type="dxa"/>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1309B5F8">
            <w:pPr>
              <w:spacing w:line="320" w:lineRule="exact"/>
              <w:jc w:val="center"/>
              <w:rPr>
                <w:color w:val="000000"/>
                <w:kern w:val="0"/>
                <w:sz w:val="18"/>
                <w:szCs w:val="18"/>
              </w:rPr>
            </w:pPr>
            <w:r>
              <w:rPr>
                <w:rFonts w:hint="eastAsia"/>
                <w:color w:val="000000"/>
                <w:kern w:val="0"/>
                <w:sz w:val="18"/>
                <w:szCs w:val="18"/>
              </w:rPr>
              <w:t>裁量基准</w:t>
            </w:r>
          </w:p>
        </w:tc>
      </w:tr>
      <w:tr w14:paraId="0D4773E1">
        <w:tblPrEx>
          <w:tblCellMar>
            <w:top w:w="0" w:type="dxa"/>
            <w:left w:w="108" w:type="dxa"/>
            <w:bottom w:w="0" w:type="dxa"/>
            <w:right w:w="108" w:type="dxa"/>
          </w:tblCellMar>
        </w:tblPrEx>
        <w:trPr>
          <w:trHeight w:val="650" w:hRule="atLeast"/>
        </w:trPr>
        <w:tc>
          <w:tcPr>
            <w:tcW w:w="980" w:type="dxa"/>
            <w:vMerge w:val="restart"/>
            <w:tcBorders>
              <w:top w:val="nil"/>
              <w:left w:val="single" w:color="auto" w:sz="8" w:space="0"/>
              <w:bottom w:val="single" w:color="auto" w:sz="4" w:space="0"/>
              <w:right w:val="single" w:color="auto" w:sz="4" w:space="0"/>
            </w:tcBorders>
            <w:vAlign w:val="center"/>
          </w:tcPr>
          <w:p w14:paraId="37AC6A4A">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right w:val="single" w:color="auto" w:sz="4" w:space="0"/>
            </w:tcBorders>
            <w:vAlign w:val="center"/>
          </w:tcPr>
          <w:p w14:paraId="4DC9DBB1">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color="auto" w:sz="4" w:space="0"/>
              <w:bottom w:val="single" w:color="auto" w:sz="4" w:space="0"/>
              <w:right w:val="single" w:color="auto" w:sz="4" w:space="0"/>
            </w:tcBorders>
            <w:vAlign w:val="center"/>
          </w:tcPr>
          <w:p w14:paraId="01A64D08">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color="auto" w:sz="8" w:space="0"/>
            </w:tcBorders>
            <w:vAlign w:val="center"/>
          </w:tcPr>
          <w:p w14:paraId="2CEB5AA6">
            <w:pPr>
              <w:spacing w:line="320" w:lineRule="exact"/>
              <w:jc w:val="left"/>
              <w:rPr>
                <w:color w:val="000000"/>
                <w:kern w:val="0"/>
                <w:sz w:val="18"/>
                <w:szCs w:val="18"/>
              </w:rPr>
            </w:pPr>
            <w:r>
              <w:rPr>
                <w:rFonts w:hint="eastAsia"/>
                <w:color w:val="000000"/>
                <w:kern w:val="0"/>
                <w:sz w:val="18"/>
                <w:szCs w:val="18"/>
              </w:rPr>
              <w:t>处1万元以上</w:t>
            </w:r>
            <w:r>
              <w:rPr>
                <w:color w:val="000000"/>
                <w:kern w:val="0"/>
                <w:sz w:val="18"/>
                <w:szCs w:val="18"/>
              </w:rPr>
              <w:t>3</w:t>
            </w:r>
            <w:r>
              <w:rPr>
                <w:rFonts w:hint="eastAsia"/>
                <w:color w:val="000000"/>
                <w:kern w:val="0"/>
                <w:sz w:val="18"/>
                <w:szCs w:val="18"/>
              </w:rPr>
              <w:t>万元以下罚款</w:t>
            </w:r>
          </w:p>
        </w:tc>
      </w:tr>
      <w:tr w14:paraId="798658DE">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28943BF4">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7C98328A">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3A56629E">
            <w:pPr>
              <w:spacing w:line="320" w:lineRule="exact"/>
              <w:jc w:val="left"/>
              <w:rPr>
                <w:color w:val="000000"/>
                <w:kern w:val="0"/>
                <w:sz w:val="18"/>
                <w:szCs w:val="18"/>
              </w:rPr>
            </w:pPr>
          </w:p>
        </w:tc>
        <w:tc>
          <w:tcPr>
            <w:tcW w:w="5956" w:type="dxa"/>
            <w:gridSpan w:val="2"/>
            <w:tcBorders>
              <w:top w:val="single" w:color="auto" w:sz="4" w:space="0"/>
              <w:left w:val="nil"/>
              <w:bottom w:val="single" w:color="auto" w:sz="4" w:space="0"/>
              <w:right w:val="single" w:color="auto" w:sz="8" w:space="0"/>
            </w:tcBorders>
            <w:vAlign w:val="center"/>
          </w:tcPr>
          <w:p w14:paraId="1972D8E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23E0FB4A">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069F20B5">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53F7CE6D">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364A8E3F">
            <w:pPr>
              <w:spacing w:line="320" w:lineRule="exact"/>
              <w:jc w:val="left"/>
              <w:rPr>
                <w:color w:val="000000"/>
                <w:kern w:val="0"/>
                <w:sz w:val="18"/>
                <w:szCs w:val="18"/>
              </w:rPr>
            </w:pPr>
          </w:p>
        </w:tc>
        <w:tc>
          <w:tcPr>
            <w:tcW w:w="5956" w:type="dxa"/>
            <w:gridSpan w:val="2"/>
            <w:tcBorders>
              <w:top w:val="single" w:color="auto" w:sz="4" w:space="0"/>
              <w:left w:val="nil"/>
              <w:bottom w:val="single" w:color="auto" w:sz="4" w:space="0"/>
              <w:right w:val="single" w:color="auto" w:sz="8" w:space="0"/>
            </w:tcBorders>
            <w:vAlign w:val="center"/>
          </w:tcPr>
          <w:p w14:paraId="0DE520F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14:paraId="5541B007"/>
    <w:p w14:paraId="6C061EA1"/>
    <w:p w14:paraId="634EC1E9"/>
    <w:p w14:paraId="53986241"/>
    <w:p w14:paraId="1A1A309E"/>
    <w:p w14:paraId="21014EA1"/>
    <w:p w14:paraId="35B40B4E"/>
    <w:p w14:paraId="390CF403"/>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3256AAA5">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5082D647">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2B4F9EE0">
            <w:pPr>
              <w:spacing w:line="320" w:lineRule="exact"/>
              <w:jc w:val="left"/>
              <w:rPr>
                <w:rFonts w:eastAsia="仿宋_GB2312"/>
                <w:b/>
                <w:bCs/>
                <w:color w:val="000000"/>
                <w:kern w:val="0"/>
                <w:sz w:val="18"/>
                <w:szCs w:val="18"/>
              </w:rPr>
            </w:pPr>
            <w:r>
              <w:rPr>
                <w:rFonts w:eastAsia="仿宋_GB2312"/>
                <w:b/>
                <w:bCs/>
                <w:color w:val="000000"/>
                <w:kern w:val="0"/>
                <w:sz w:val="18"/>
                <w:szCs w:val="18"/>
              </w:rPr>
              <w:t>320217088000</w:t>
            </w:r>
          </w:p>
        </w:tc>
      </w:tr>
      <w:tr w14:paraId="0344686B">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0088135F">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0AEBD7FF">
            <w:pPr>
              <w:spacing w:line="320" w:lineRule="exact"/>
              <w:jc w:val="left"/>
              <w:rPr>
                <w:color w:val="000000"/>
                <w:kern w:val="0"/>
                <w:sz w:val="18"/>
                <w:szCs w:val="18"/>
              </w:rPr>
            </w:pPr>
            <w:r>
              <w:rPr>
                <w:rFonts w:hint="eastAsia"/>
                <w:color w:val="000000"/>
                <w:kern w:val="0"/>
                <w:sz w:val="18"/>
                <w:szCs w:val="18"/>
              </w:rPr>
              <w:t>对生产经营单位未按照规定制定生产安全事故应急救援预案或者未定期组织演练的处罚</w:t>
            </w:r>
          </w:p>
        </w:tc>
      </w:tr>
      <w:tr w14:paraId="0D0E293C">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035E9A16">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6BFA2AD2">
            <w:pPr>
              <w:spacing w:line="320" w:lineRule="exact"/>
              <w:jc w:val="left"/>
              <w:rPr>
                <w:color w:val="000000"/>
                <w:kern w:val="0"/>
                <w:sz w:val="18"/>
                <w:szCs w:val="18"/>
              </w:rPr>
            </w:pPr>
            <w:r>
              <w:rPr>
                <w:rFonts w:hint="eastAsia"/>
                <w:color w:val="000000"/>
                <w:kern w:val="0"/>
                <w:sz w:val="18"/>
                <w:szCs w:val="18"/>
              </w:rPr>
              <w:t>【法律】《中华人民共和国安全生产法》</w:t>
            </w:r>
          </w:p>
          <w:p w14:paraId="5DC9FAB9">
            <w:pPr>
              <w:spacing w:line="320" w:lineRule="exact"/>
              <w:jc w:val="left"/>
              <w:rPr>
                <w:color w:val="000000"/>
                <w:kern w:val="0"/>
                <w:sz w:val="18"/>
                <w:szCs w:val="18"/>
              </w:rPr>
            </w:pPr>
            <w:r>
              <w:rPr>
                <w:rFonts w:hint="eastAsia"/>
                <w:color w:val="000000"/>
                <w:kern w:val="0"/>
                <w:sz w:val="18"/>
                <w:szCs w:val="18"/>
              </w:rPr>
              <w:t>　    第八十一条　生产经营单位应当制定本单位生产安全事故应急救援预案，与所在地县级以上地方人民政府组织制定的生产安全事故应急救援预案相衔接，并定期组织演练。</w:t>
            </w:r>
          </w:p>
          <w:p w14:paraId="3E2B7EDC">
            <w:pPr>
              <w:spacing w:line="320" w:lineRule="exact"/>
              <w:jc w:val="left"/>
              <w:rPr>
                <w:color w:val="000000"/>
                <w:kern w:val="0"/>
                <w:sz w:val="18"/>
                <w:szCs w:val="18"/>
              </w:rPr>
            </w:pPr>
            <w:r>
              <w:rPr>
                <w:rFonts w:hint="eastAsia"/>
                <w:color w:val="000000"/>
                <w:kern w:val="0"/>
                <w:sz w:val="18"/>
                <w:szCs w:val="18"/>
              </w:rPr>
              <w:t xml:space="preserve">       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58EB12CC">
            <w:pPr>
              <w:spacing w:line="320" w:lineRule="exact"/>
              <w:jc w:val="left"/>
              <w:rPr>
                <w:color w:val="000000"/>
                <w:kern w:val="0"/>
                <w:sz w:val="18"/>
                <w:szCs w:val="18"/>
              </w:rPr>
            </w:pPr>
            <w:r>
              <w:rPr>
                <w:rFonts w:hint="eastAsia"/>
                <w:color w:val="000000"/>
                <w:kern w:val="0"/>
                <w:sz w:val="18"/>
                <w:szCs w:val="18"/>
              </w:rPr>
              <w:t xml:space="preserve">     （六）未按照规定制定生产安全事故应急救援预案或者未定期组织演练的；</w:t>
            </w:r>
          </w:p>
          <w:p w14:paraId="75563C1B">
            <w:pPr>
              <w:spacing w:line="320" w:lineRule="exact"/>
              <w:jc w:val="left"/>
              <w:rPr>
                <w:color w:val="000000"/>
                <w:kern w:val="0"/>
                <w:sz w:val="18"/>
                <w:szCs w:val="18"/>
              </w:rPr>
            </w:pPr>
            <w:r>
              <w:rPr>
                <w:color w:val="000000"/>
                <w:kern w:val="0"/>
                <w:sz w:val="18"/>
                <w:szCs w:val="18"/>
              </w:rPr>
              <w:t xml:space="preserve">       </w:t>
            </w:r>
          </w:p>
        </w:tc>
      </w:tr>
      <w:tr w14:paraId="5993A490">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2C50DACC">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5F98436A">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6C05EAAD">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5D1546A4">
            <w:pPr>
              <w:spacing w:line="320" w:lineRule="exact"/>
              <w:jc w:val="center"/>
              <w:rPr>
                <w:color w:val="000000"/>
                <w:kern w:val="0"/>
                <w:sz w:val="18"/>
                <w:szCs w:val="18"/>
              </w:rPr>
            </w:pPr>
            <w:r>
              <w:rPr>
                <w:rFonts w:hint="eastAsia"/>
                <w:color w:val="000000"/>
                <w:kern w:val="0"/>
                <w:sz w:val="18"/>
                <w:szCs w:val="18"/>
              </w:rPr>
              <w:t>裁量基准</w:t>
            </w:r>
          </w:p>
        </w:tc>
      </w:tr>
      <w:tr w14:paraId="4BBBCC10">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bottom w:val="single" w:color="auto" w:sz="4" w:space="0"/>
              <w:right w:val="single" w:color="auto" w:sz="4" w:space="0"/>
            </w:tcBorders>
            <w:vAlign w:val="center"/>
          </w:tcPr>
          <w:p w14:paraId="04F36F0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6E771A96">
            <w:pPr>
              <w:spacing w:line="320" w:lineRule="exact"/>
              <w:jc w:val="left"/>
              <w:rPr>
                <w:color w:val="000000"/>
                <w:kern w:val="0"/>
                <w:sz w:val="18"/>
                <w:szCs w:val="18"/>
              </w:rPr>
            </w:pPr>
            <w:r>
              <w:rPr>
                <w:rFonts w:hint="eastAsia"/>
                <w:color w:val="000000"/>
                <w:kern w:val="0"/>
                <w:sz w:val="18"/>
                <w:szCs w:val="18"/>
              </w:rPr>
              <w:t>制定预案未定期组织演练且按照要求改正的</w:t>
            </w:r>
          </w:p>
        </w:tc>
        <w:tc>
          <w:tcPr>
            <w:tcW w:w="1076" w:type="dxa"/>
            <w:vMerge w:val="restart"/>
            <w:tcBorders>
              <w:top w:val="nil"/>
              <w:left w:val="single" w:color="auto" w:sz="4" w:space="0"/>
              <w:bottom w:val="single" w:color="auto" w:sz="4" w:space="0"/>
              <w:right w:val="single" w:color="auto" w:sz="4" w:space="0"/>
            </w:tcBorders>
            <w:vAlign w:val="center"/>
          </w:tcPr>
          <w:p w14:paraId="5DBE19AB">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E68BE84">
            <w:pPr>
              <w:spacing w:line="320" w:lineRule="exact"/>
              <w:jc w:val="left"/>
              <w:rPr>
                <w:color w:val="000000"/>
                <w:kern w:val="0"/>
                <w:sz w:val="18"/>
                <w:szCs w:val="18"/>
              </w:rPr>
            </w:pPr>
            <w:r>
              <w:rPr>
                <w:rFonts w:hint="eastAsia"/>
                <w:color w:val="000000"/>
                <w:kern w:val="0"/>
                <w:sz w:val="18"/>
                <w:szCs w:val="18"/>
              </w:rPr>
              <w:t>5万元以下罚款</w:t>
            </w:r>
          </w:p>
        </w:tc>
      </w:tr>
      <w:tr w14:paraId="78706135">
        <w:tblPrEx>
          <w:tblCellMar>
            <w:top w:w="0" w:type="dxa"/>
            <w:left w:w="108" w:type="dxa"/>
            <w:bottom w:w="0" w:type="dxa"/>
            <w:right w:w="108" w:type="dxa"/>
          </w:tblCellMar>
        </w:tblPrEx>
        <w:trPr>
          <w:trHeight w:val="90" w:hRule="atLeast"/>
        </w:trPr>
        <w:tc>
          <w:tcPr>
            <w:tcW w:w="1040" w:type="dxa"/>
            <w:vMerge w:val="continue"/>
            <w:tcBorders>
              <w:top w:val="nil"/>
              <w:left w:val="single" w:color="auto" w:sz="8" w:space="0"/>
              <w:bottom w:val="single" w:color="auto" w:sz="4" w:space="0"/>
              <w:right w:val="single" w:color="auto" w:sz="4" w:space="0"/>
            </w:tcBorders>
            <w:vAlign w:val="center"/>
          </w:tcPr>
          <w:p w14:paraId="30779BB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3645BCE0">
            <w:pPr>
              <w:spacing w:line="320" w:lineRule="exact"/>
              <w:jc w:val="left"/>
              <w:rPr>
                <w:color w:val="000000"/>
                <w:kern w:val="0"/>
                <w:sz w:val="18"/>
                <w:szCs w:val="18"/>
              </w:rPr>
            </w:pPr>
            <w:r>
              <w:rPr>
                <w:rFonts w:hint="eastAsia"/>
                <w:color w:val="000000"/>
                <w:kern w:val="0"/>
                <w:sz w:val="18"/>
                <w:szCs w:val="18"/>
              </w:rPr>
              <w:t>未制定预案未定期组织演练且按照要求改正的</w:t>
            </w:r>
          </w:p>
        </w:tc>
        <w:tc>
          <w:tcPr>
            <w:tcW w:w="1076" w:type="dxa"/>
            <w:vMerge w:val="continue"/>
            <w:tcBorders>
              <w:top w:val="nil"/>
              <w:left w:val="single" w:color="auto" w:sz="4" w:space="0"/>
              <w:bottom w:val="single" w:color="auto" w:sz="4" w:space="0"/>
              <w:right w:val="single" w:color="auto" w:sz="4" w:space="0"/>
            </w:tcBorders>
            <w:vAlign w:val="center"/>
          </w:tcPr>
          <w:p w14:paraId="7613B8F5">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2B98438">
            <w:pPr>
              <w:spacing w:line="320" w:lineRule="exact"/>
              <w:jc w:val="left"/>
              <w:rPr>
                <w:color w:val="000000"/>
                <w:kern w:val="0"/>
                <w:sz w:val="18"/>
                <w:szCs w:val="18"/>
              </w:rPr>
            </w:pPr>
            <w:r>
              <w:rPr>
                <w:rFonts w:hint="eastAsia"/>
                <w:color w:val="000000"/>
                <w:kern w:val="0"/>
                <w:sz w:val="18"/>
                <w:szCs w:val="18"/>
              </w:rPr>
              <w:t>5万元以上10万元以下罚款</w:t>
            </w:r>
          </w:p>
        </w:tc>
      </w:tr>
      <w:tr w14:paraId="6A97ADBF">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70DDB82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1FD8BF1B">
            <w:pPr>
              <w:spacing w:line="320" w:lineRule="exact"/>
              <w:jc w:val="left"/>
              <w:rPr>
                <w:color w:val="000000"/>
                <w:kern w:val="0"/>
                <w:sz w:val="18"/>
                <w:szCs w:val="18"/>
              </w:rPr>
            </w:pPr>
            <w:r>
              <w:rPr>
                <w:rFonts w:hint="eastAsia"/>
                <w:color w:val="000000"/>
                <w:kern w:val="0"/>
                <w:sz w:val="18"/>
                <w:szCs w:val="18"/>
              </w:rPr>
              <w:t>制定预案未定期组织演练且未按照要求改正的</w:t>
            </w:r>
          </w:p>
        </w:tc>
        <w:tc>
          <w:tcPr>
            <w:tcW w:w="1076" w:type="dxa"/>
            <w:vMerge w:val="continue"/>
            <w:tcBorders>
              <w:top w:val="nil"/>
              <w:left w:val="single" w:color="auto" w:sz="4" w:space="0"/>
              <w:bottom w:val="single" w:color="auto" w:sz="4" w:space="0"/>
              <w:right w:val="single" w:color="auto" w:sz="4" w:space="0"/>
            </w:tcBorders>
            <w:vAlign w:val="center"/>
          </w:tcPr>
          <w:p w14:paraId="034296D4">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14FFA54">
            <w:pPr>
              <w:spacing w:line="320" w:lineRule="exact"/>
              <w:jc w:val="left"/>
              <w:rPr>
                <w:color w:val="000000"/>
                <w:kern w:val="0"/>
                <w:sz w:val="18"/>
                <w:szCs w:val="18"/>
              </w:rPr>
            </w:pPr>
            <w:r>
              <w:rPr>
                <w:rFonts w:hint="eastAsia"/>
                <w:color w:val="000000"/>
                <w:kern w:val="0"/>
                <w:sz w:val="18"/>
                <w:szCs w:val="18"/>
              </w:rPr>
              <w:t>对单位：10万元以上15万元以下罚款，责令停产停业整顿</w:t>
            </w:r>
          </w:p>
          <w:p w14:paraId="6BA441D2">
            <w:pPr>
              <w:spacing w:line="320" w:lineRule="exact"/>
              <w:jc w:val="left"/>
              <w:rPr>
                <w:color w:val="000000"/>
                <w:kern w:val="0"/>
                <w:sz w:val="18"/>
                <w:szCs w:val="18"/>
              </w:rPr>
            </w:pPr>
            <w:r>
              <w:rPr>
                <w:rFonts w:hint="eastAsia"/>
                <w:color w:val="000000"/>
                <w:kern w:val="0"/>
                <w:sz w:val="18"/>
                <w:szCs w:val="18"/>
              </w:rPr>
              <w:t>对个人：2万元以上4万元以下罚款</w:t>
            </w:r>
          </w:p>
        </w:tc>
      </w:tr>
      <w:tr w14:paraId="7262F0D8">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7E6F487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3F502F2F">
            <w:pPr>
              <w:spacing w:line="320" w:lineRule="exact"/>
              <w:jc w:val="left"/>
              <w:rPr>
                <w:color w:val="000000"/>
                <w:kern w:val="0"/>
                <w:sz w:val="18"/>
                <w:szCs w:val="18"/>
              </w:rPr>
            </w:pPr>
            <w:r>
              <w:rPr>
                <w:rFonts w:hint="eastAsia"/>
                <w:color w:val="000000"/>
                <w:kern w:val="0"/>
                <w:sz w:val="18"/>
                <w:szCs w:val="18"/>
              </w:rPr>
              <w:t>未制定预案未定期组织演练且未按照要求改正的</w:t>
            </w:r>
          </w:p>
        </w:tc>
        <w:tc>
          <w:tcPr>
            <w:tcW w:w="1076" w:type="dxa"/>
            <w:vMerge w:val="continue"/>
            <w:tcBorders>
              <w:top w:val="nil"/>
              <w:left w:val="single" w:color="auto" w:sz="4" w:space="0"/>
              <w:bottom w:val="single" w:color="auto" w:sz="4" w:space="0"/>
              <w:right w:val="single" w:color="auto" w:sz="4" w:space="0"/>
            </w:tcBorders>
            <w:vAlign w:val="center"/>
          </w:tcPr>
          <w:p w14:paraId="394D2C42">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5176698">
            <w:pPr>
              <w:spacing w:line="320" w:lineRule="exact"/>
              <w:jc w:val="left"/>
              <w:rPr>
                <w:color w:val="000000"/>
                <w:kern w:val="0"/>
                <w:sz w:val="18"/>
                <w:szCs w:val="18"/>
              </w:rPr>
            </w:pPr>
            <w:r>
              <w:rPr>
                <w:rFonts w:hint="eastAsia"/>
                <w:color w:val="000000"/>
                <w:kern w:val="0"/>
                <w:sz w:val="18"/>
                <w:szCs w:val="18"/>
              </w:rPr>
              <w:t>对单位：15万元以上20万元以下罚款，责令停产停业整顿</w:t>
            </w:r>
          </w:p>
          <w:p w14:paraId="031D291B">
            <w:pPr>
              <w:spacing w:line="320" w:lineRule="exact"/>
              <w:jc w:val="left"/>
              <w:rPr>
                <w:color w:val="000000"/>
                <w:kern w:val="0"/>
                <w:sz w:val="18"/>
                <w:szCs w:val="18"/>
              </w:rPr>
            </w:pPr>
            <w:r>
              <w:rPr>
                <w:rFonts w:hint="eastAsia"/>
                <w:color w:val="000000"/>
                <w:kern w:val="0"/>
                <w:sz w:val="18"/>
                <w:szCs w:val="18"/>
              </w:rPr>
              <w:t>对个人：4万元以上5万元以下罚款</w:t>
            </w:r>
          </w:p>
        </w:tc>
      </w:tr>
    </w:tbl>
    <w:p w14:paraId="1CF06A90"/>
    <w:p w14:paraId="15E349EC"/>
    <w:p w14:paraId="51426757"/>
    <w:p w14:paraId="6A58A742"/>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7D8F1878">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0CAAC15D">
            <w:pPr>
              <w:spacing w:line="320" w:lineRule="exact"/>
              <w:jc w:val="center"/>
              <w:rPr>
                <w:color w:val="000000"/>
                <w:kern w:val="0"/>
                <w:sz w:val="18"/>
                <w:szCs w:val="18"/>
              </w:rPr>
            </w:pPr>
            <w:r>
              <w:rPr>
                <w:color w:val="000000"/>
                <w:sz w:val="28"/>
                <w:szCs w:val="28"/>
              </w:rPr>
              <w:br w:type="column"/>
            </w: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43D0768D">
            <w:pPr>
              <w:spacing w:line="320" w:lineRule="exact"/>
              <w:jc w:val="left"/>
              <w:rPr>
                <w:rFonts w:eastAsia="仿宋_GB2312"/>
                <w:b/>
                <w:bCs/>
                <w:color w:val="000000"/>
                <w:kern w:val="0"/>
                <w:sz w:val="18"/>
                <w:szCs w:val="18"/>
              </w:rPr>
            </w:pPr>
            <w:r>
              <w:rPr>
                <w:rFonts w:eastAsia="仿宋_GB2312"/>
                <w:b/>
                <w:bCs/>
                <w:color w:val="000000"/>
                <w:kern w:val="0"/>
                <w:sz w:val="18"/>
                <w:szCs w:val="18"/>
              </w:rPr>
              <w:t>320217089000</w:t>
            </w:r>
          </w:p>
        </w:tc>
      </w:tr>
      <w:tr w14:paraId="39FF7920">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5C0BE8FB">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19E94B38">
            <w:pPr>
              <w:spacing w:line="320" w:lineRule="exact"/>
              <w:jc w:val="left"/>
              <w:rPr>
                <w:color w:val="000000"/>
                <w:kern w:val="0"/>
                <w:sz w:val="18"/>
                <w:szCs w:val="18"/>
              </w:rPr>
            </w:pPr>
            <w:r>
              <w:rPr>
                <w:rFonts w:hint="eastAsia"/>
                <w:color w:val="000000"/>
                <w:kern w:val="0"/>
                <w:sz w:val="18"/>
                <w:szCs w:val="18"/>
              </w:rPr>
              <w:t>对生产经营单位在生产经营场所和员工宿舍未设有符合紧急疏散需要、标志明显、保持畅通的出口、疏散通道，或者占用、锁闭、封堵生产经营场所或者员工宿舍出口、疏散通道的处罚</w:t>
            </w:r>
          </w:p>
        </w:tc>
      </w:tr>
      <w:tr w14:paraId="77EBE9D3">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52D7582B">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0E39218B">
            <w:pPr>
              <w:spacing w:line="320" w:lineRule="exact"/>
              <w:ind w:firstLine="360" w:firstLineChars="200"/>
              <w:jc w:val="left"/>
              <w:rPr>
                <w:color w:val="000000"/>
                <w:kern w:val="0"/>
                <w:sz w:val="18"/>
                <w:szCs w:val="18"/>
              </w:rPr>
            </w:pPr>
            <w:r>
              <w:rPr>
                <w:rFonts w:hint="eastAsia"/>
                <w:color w:val="000000"/>
                <w:kern w:val="0"/>
                <w:sz w:val="18"/>
                <w:szCs w:val="18"/>
              </w:rPr>
              <w:t>【法律】《中华人民共和国安全生产法》</w:t>
            </w:r>
          </w:p>
          <w:p w14:paraId="1462AFF6">
            <w:pPr>
              <w:spacing w:line="320" w:lineRule="exact"/>
              <w:ind w:firstLine="360" w:firstLineChars="200"/>
              <w:jc w:val="left"/>
              <w:rPr>
                <w:color w:val="000000"/>
                <w:kern w:val="0"/>
                <w:sz w:val="18"/>
                <w:szCs w:val="18"/>
              </w:rPr>
            </w:pPr>
            <w:r>
              <w:rPr>
                <w:rFonts w:hint="eastAsia"/>
                <w:color w:val="000000"/>
                <w:kern w:val="0"/>
                <w:sz w:val="18"/>
                <w:szCs w:val="18"/>
              </w:rPr>
              <w:t>第四十二条第二款 　生产经营场所和员工宿舍应当设有符合紧急疏散要求、标志明显、保持畅通的出口、疏散通道。禁止占用、锁闭、封堵生产经营场所或者员工宿舍的出口、疏散通道。</w:t>
            </w:r>
          </w:p>
          <w:p w14:paraId="72A1030E">
            <w:pPr>
              <w:spacing w:line="320" w:lineRule="exact"/>
              <w:ind w:firstLine="360" w:firstLineChars="200"/>
              <w:jc w:val="left"/>
              <w:rPr>
                <w:color w:val="000000"/>
                <w:kern w:val="0"/>
                <w:sz w:val="18"/>
                <w:szCs w:val="18"/>
              </w:rPr>
            </w:pPr>
            <w:r>
              <w:rPr>
                <w:rFonts w:hint="eastAsia"/>
                <w:color w:val="000000"/>
                <w:kern w:val="0"/>
                <w:sz w:val="18"/>
                <w:szCs w:val="18"/>
              </w:rPr>
              <w:t>第一百零五条　生产经营单位有下列行为之一的，责令限期改正，处五万元以下的罚款，对其直接负责的主管人员和其他直接责任人员处一万元以下的罚款；逾期未改正的，责令停产停业整顿；构成犯罪的，依照刑法有关规定追究刑事责任:</w:t>
            </w:r>
          </w:p>
          <w:p w14:paraId="01CD8B32">
            <w:pPr>
              <w:spacing w:line="320" w:lineRule="exact"/>
              <w:ind w:firstLine="360" w:firstLineChars="200"/>
              <w:jc w:val="left"/>
              <w:rPr>
                <w:color w:val="000000"/>
                <w:kern w:val="0"/>
                <w:sz w:val="18"/>
                <w:szCs w:val="18"/>
              </w:rPr>
            </w:pPr>
            <w:r>
              <w:rPr>
                <w:rFonts w:hint="eastAsia"/>
                <w:color w:val="000000"/>
                <w:kern w:val="0"/>
                <w:sz w:val="18"/>
                <w:szCs w:val="18"/>
              </w:rPr>
              <w:t>（二）生产经营场所和员工宿舍未设有符合紧急疏散需要、标志明显、保持畅通的出口、疏散通道，或者占用、锁闭、封堵生产经营场所或者员工宿舍出口、疏散通道的。</w:t>
            </w:r>
          </w:p>
          <w:p w14:paraId="78F4C60D">
            <w:pPr>
              <w:spacing w:line="320" w:lineRule="exact"/>
              <w:jc w:val="left"/>
              <w:rPr>
                <w:color w:val="000000"/>
                <w:kern w:val="0"/>
                <w:sz w:val="18"/>
                <w:szCs w:val="18"/>
              </w:rPr>
            </w:pPr>
            <w:r>
              <w:rPr>
                <w:rFonts w:hint="eastAsia"/>
                <w:color w:val="000000"/>
                <w:kern w:val="0"/>
                <w:sz w:val="18"/>
                <w:szCs w:val="18"/>
              </w:rPr>
              <w:t xml:space="preserve">      第一百一十二条　生产经营单位违反本法规定，被责令改正且受到罚款处罚，拒不改正的，负有安全生产监督管理职责的部门可以自作出责令改正之日的次日起，按照原处罚数额按日连续处罚。</w:t>
            </w:r>
          </w:p>
        </w:tc>
      </w:tr>
      <w:tr w14:paraId="5775BBD2">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47F955A3">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5A537745">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2628430F">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6B1B787E">
            <w:pPr>
              <w:spacing w:line="320" w:lineRule="exact"/>
              <w:jc w:val="center"/>
              <w:rPr>
                <w:color w:val="000000"/>
                <w:kern w:val="0"/>
                <w:sz w:val="18"/>
                <w:szCs w:val="18"/>
              </w:rPr>
            </w:pPr>
            <w:r>
              <w:rPr>
                <w:rFonts w:hint="eastAsia"/>
                <w:color w:val="000000"/>
                <w:kern w:val="0"/>
                <w:sz w:val="18"/>
                <w:szCs w:val="18"/>
              </w:rPr>
              <w:t>裁量基准</w:t>
            </w:r>
          </w:p>
        </w:tc>
      </w:tr>
      <w:tr w14:paraId="6E20415D">
        <w:tblPrEx>
          <w:tblCellMar>
            <w:top w:w="0" w:type="dxa"/>
            <w:left w:w="108" w:type="dxa"/>
            <w:bottom w:w="0" w:type="dxa"/>
            <w:right w:w="108" w:type="dxa"/>
          </w:tblCellMar>
        </w:tblPrEx>
        <w:trPr>
          <w:trHeight w:val="285" w:hRule="atLeast"/>
        </w:trPr>
        <w:tc>
          <w:tcPr>
            <w:tcW w:w="1040" w:type="dxa"/>
            <w:vMerge w:val="restart"/>
            <w:tcBorders>
              <w:top w:val="single" w:color="auto" w:sz="4" w:space="0"/>
              <w:left w:val="single" w:color="auto" w:sz="4" w:space="0"/>
              <w:bottom w:val="single" w:color="auto" w:sz="4" w:space="0"/>
              <w:right w:val="single" w:color="auto" w:sz="4" w:space="0"/>
            </w:tcBorders>
            <w:vAlign w:val="center"/>
          </w:tcPr>
          <w:p w14:paraId="3FE7CEA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27555664">
            <w:pPr>
              <w:spacing w:line="320" w:lineRule="exact"/>
              <w:jc w:val="left"/>
              <w:rPr>
                <w:color w:val="000000"/>
                <w:kern w:val="0"/>
                <w:sz w:val="18"/>
                <w:szCs w:val="18"/>
              </w:rPr>
            </w:pPr>
            <w:r>
              <w:rPr>
                <w:rFonts w:hint="eastAsia"/>
                <w:color w:val="000000"/>
                <w:kern w:val="0"/>
                <w:sz w:val="18"/>
                <w:szCs w:val="18"/>
              </w:rPr>
              <w:t>按要求改正</w:t>
            </w:r>
          </w:p>
        </w:tc>
        <w:tc>
          <w:tcPr>
            <w:tcW w:w="1076" w:type="dxa"/>
            <w:vMerge w:val="restart"/>
            <w:tcBorders>
              <w:top w:val="single" w:color="auto" w:sz="4" w:space="0"/>
              <w:left w:val="single" w:color="auto" w:sz="4" w:space="0"/>
              <w:bottom w:val="single" w:color="auto" w:sz="4" w:space="0"/>
              <w:right w:val="single" w:color="auto" w:sz="4" w:space="0"/>
            </w:tcBorders>
            <w:vAlign w:val="center"/>
          </w:tcPr>
          <w:p w14:paraId="30A7E763">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single" w:color="auto" w:sz="4" w:space="0"/>
              <w:bottom w:val="single" w:color="auto" w:sz="4" w:space="0"/>
              <w:right w:val="single" w:color="auto" w:sz="4" w:space="0"/>
            </w:tcBorders>
            <w:vAlign w:val="center"/>
          </w:tcPr>
          <w:p w14:paraId="21CE4656">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万元以下罚款</w:t>
            </w:r>
          </w:p>
          <w:p w14:paraId="4178C0EB">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元以下罚款</w:t>
            </w:r>
          </w:p>
        </w:tc>
      </w:tr>
      <w:tr w14:paraId="25FD7DE2">
        <w:tblPrEx>
          <w:tblCellMar>
            <w:top w:w="0" w:type="dxa"/>
            <w:left w:w="108" w:type="dxa"/>
            <w:bottom w:w="0" w:type="dxa"/>
            <w:right w:w="108" w:type="dxa"/>
          </w:tblCellMar>
        </w:tblPrEx>
        <w:trPr>
          <w:trHeight w:val="285" w:hRule="atLeast"/>
        </w:trPr>
        <w:tc>
          <w:tcPr>
            <w:tcW w:w="1040" w:type="dxa"/>
            <w:vMerge w:val="continue"/>
            <w:tcBorders>
              <w:top w:val="single" w:color="auto" w:sz="4" w:space="0"/>
              <w:left w:val="single" w:color="auto" w:sz="4" w:space="0"/>
              <w:bottom w:val="single" w:color="auto" w:sz="4" w:space="0"/>
              <w:right w:val="single" w:color="auto" w:sz="4" w:space="0"/>
            </w:tcBorders>
            <w:vAlign w:val="center"/>
          </w:tcPr>
          <w:p w14:paraId="26114FDD">
            <w:pPr>
              <w:spacing w:line="320" w:lineRule="exact"/>
              <w:jc w:val="center"/>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1714E367">
            <w:pPr>
              <w:spacing w:line="320" w:lineRule="exact"/>
              <w:jc w:val="left"/>
              <w:rPr>
                <w:color w:val="000000"/>
                <w:kern w:val="0"/>
                <w:sz w:val="18"/>
                <w:szCs w:val="18"/>
              </w:rPr>
            </w:pPr>
            <w:r>
              <w:rPr>
                <w:rFonts w:hint="eastAsia"/>
                <w:color w:val="000000"/>
                <w:kern w:val="0"/>
                <w:sz w:val="18"/>
                <w:szCs w:val="18"/>
              </w:rPr>
              <w:t>未按要求改正</w:t>
            </w: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23A877F6">
            <w:pPr>
              <w:spacing w:line="320" w:lineRule="exact"/>
              <w:jc w:val="center"/>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262EAF3E">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14:paraId="1DE915D7">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64A1C82A"/>
    <w:p w14:paraId="13F573B3"/>
    <w:p w14:paraId="69B213B1"/>
    <w:p w14:paraId="14690A3D"/>
    <w:p w14:paraId="483A5DF0"/>
    <w:p w14:paraId="0560D4B1"/>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04EC668D">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3A6AEFC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66B94BD6">
            <w:pPr>
              <w:spacing w:line="320" w:lineRule="exact"/>
              <w:jc w:val="left"/>
              <w:rPr>
                <w:rFonts w:eastAsia="仿宋_GB2312"/>
                <w:b/>
                <w:bCs/>
                <w:color w:val="000000"/>
                <w:kern w:val="0"/>
                <w:sz w:val="18"/>
                <w:szCs w:val="18"/>
              </w:rPr>
            </w:pPr>
            <w:r>
              <w:rPr>
                <w:rFonts w:eastAsia="仿宋_GB2312"/>
                <w:b/>
                <w:bCs/>
                <w:color w:val="000000"/>
                <w:kern w:val="0"/>
                <w:sz w:val="18"/>
                <w:szCs w:val="18"/>
              </w:rPr>
              <w:t>320217090000</w:t>
            </w:r>
          </w:p>
        </w:tc>
      </w:tr>
      <w:tr w14:paraId="4DE3E228">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0FAC6811">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7D20A71C">
            <w:pPr>
              <w:spacing w:line="320" w:lineRule="exact"/>
              <w:jc w:val="left"/>
              <w:rPr>
                <w:color w:val="000000"/>
                <w:kern w:val="0"/>
                <w:sz w:val="18"/>
                <w:szCs w:val="18"/>
              </w:rPr>
            </w:pPr>
            <w:r>
              <w:rPr>
                <w:rFonts w:hint="eastAsia"/>
                <w:color w:val="000000"/>
                <w:kern w:val="0"/>
                <w:sz w:val="18"/>
                <w:szCs w:val="18"/>
              </w:rPr>
              <w:t>生产经营单位与从业人员订立协议，免除或者减轻其对从业人员因生产安全事故伤亡依法应承担的责任时，对生产经营单位主要负责人、个人经营的投资人的处罚</w:t>
            </w:r>
          </w:p>
        </w:tc>
      </w:tr>
      <w:tr w14:paraId="4B0803F6">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1D381600">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29C7063D">
            <w:pPr>
              <w:spacing w:line="320" w:lineRule="exact"/>
              <w:ind w:firstLine="360" w:firstLineChars="200"/>
              <w:jc w:val="left"/>
              <w:rPr>
                <w:color w:val="000000"/>
                <w:kern w:val="0"/>
                <w:sz w:val="18"/>
                <w:szCs w:val="18"/>
              </w:rPr>
            </w:pPr>
            <w:r>
              <w:rPr>
                <w:rFonts w:hint="eastAsia"/>
                <w:color w:val="000000"/>
                <w:kern w:val="0"/>
                <w:sz w:val="18"/>
                <w:szCs w:val="18"/>
              </w:rPr>
              <w:t>【法律】《中华人民共和国安全生产法》</w:t>
            </w:r>
          </w:p>
          <w:p w14:paraId="4223E964">
            <w:pPr>
              <w:spacing w:line="320" w:lineRule="exact"/>
              <w:ind w:firstLine="360" w:firstLineChars="200"/>
              <w:jc w:val="left"/>
              <w:rPr>
                <w:color w:val="000000"/>
                <w:kern w:val="0"/>
                <w:sz w:val="18"/>
                <w:szCs w:val="18"/>
              </w:rPr>
            </w:pPr>
            <w:r>
              <w:rPr>
                <w:rFonts w:hint="eastAsia"/>
                <w:color w:val="000000"/>
                <w:kern w:val="0"/>
                <w:sz w:val="18"/>
                <w:szCs w:val="18"/>
              </w:rPr>
              <w:t xml:space="preserve">  第五十二条第二款　生产经营单位不得以任何形式与从业人员订立协议，免除或者减轻其对从业人员因生产安全事故伤亡依法应承担的责任。</w:t>
            </w:r>
          </w:p>
          <w:p w14:paraId="1ECA2008">
            <w:pPr>
              <w:spacing w:line="320" w:lineRule="exact"/>
              <w:ind w:firstLine="360" w:firstLineChars="200"/>
              <w:jc w:val="left"/>
              <w:rPr>
                <w:color w:val="000000"/>
                <w:kern w:val="0"/>
                <w:sz w:val="18"/>
                <w:szCs w:val="18"/>
              </w:rPr>
            </w:pPr>
            <w:r>
              <w:rPr>
                <w:rFonts w:hint="eastAsia"/>
                <w:color w:val="000000"/>
                <w:kern w:val="0"/>
                <w:sz w:val="18"/>
                <w:szCs w:val="18"/>
              </w:rPr>
              <w:t xml:space="preserve">   第一百零六条　生产经营单位与从业人员订立协议，免除或者减轻其对从业人员因生产安全事故伤亡依法应承担的责任的，该协议无效；对生产经营单位的主要负责人、个人经营的投资人处二万元以上十万元以下的罚款。</w:t>
            </w:r>
          </w:p>
          <w:p w14:paraId="5FB69CBD">
            <w:pPr>
              <w:spacing w:line="320" w:lineRule="exact"/>
              <w:jc w:val="left"/>
              <w:rPr>
                <w:color w:val="000000"/>
                <w:kern w:val="0"/>
                <w:sz w:val="18"/>
                <w:szCs w:val="18"/>
              </w:rPr>
            </w:pPr>
            <w:r>
              <w:rPr>
                <w:color w:val="000000"/>
                <w:kern w:val="0"/>
                <w:sz w:val="18"/>
                <w:szCs w:val="18"/>
              </w:rPr>
              <w:t xml:space="preserve">       </w:t>
            </w:r>
          </w:p>
        </w:tc>
      </w:tr>
      <w:tr w14:paraId="262F8568">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0EA0602E">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356F5D6B">
            <w:pPr>
              <w:spacing w:line="320" w:lineRule="exact"/>
              <w:jc w:val="left"/>
              <w:rPr>
                <w:color w:val="000000"/>
                <w:kern w:val="0"/>
                <w:sz w:val="18"/>
                <w:szCs w:val="18"/>
              </w:rPr>
            </w:pPr>
            <w:r>
              <w:rPr>
                <w:rFonts w:hint="eastAsia"/>
                <w:color w:val="000000"/>
                <w:kern w:val="0"/>
                <w:sz w:val="18"/>
                <w:szCs w:val="18"/>
              </w:rPr>
              <w:t>罚款</w:t>
            </w:r>
          </w:p>
        </w:tc>
      </w:tr>
      <w:tr w14:paraId="530D77E0">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8" w:space="0"/>
              <w:right w:val="single" w:color="auto" w:sz="8" w:space="0"/>
            </w:tcBorders>
            <w:vAlign w:val="center"/>
          </w:tcPr>
          <w:p w14:paraId="5A92E9AF">
            <w:pPr>
              <w:spacing w:line="320" w:lineRule="exact"/>
              <w:jc w:val="center"/>
              <w:rPr>
                <w:color w:val="000000"/>
                <w:kern w:val="0"/>
                <w:sz w:val="18"/>
                <w:szCs w:val="18"/>
              </w:rPr>
            </w:pPr>
            <w:r>
              <w:rPr>
                <w:rFonts w:hint="eastAsia"/>
                <w:color w:val="000000"/>
                <w:kern w:val="0"/>
                <w:sz w:val="18"/>
                <w:szCs w:val="18"/>
              </w:rPr>
              <w:t>裁量基准</w:t>
            </w:r>
          </w:p>
        </w:tc>
      </w:tr>
      <w:tr w14:paraId="62AE6B02">
        <w:tblPrEx>
          <w:tblCellMar>
            <w:top w:w="0" w:type="dxa"/>
            <w:left w:w="108" w:type="dxa"/>
            <w:bottom w:w="0" w:type="dxa"/>
            <w:right w:w="108" w:type="dxa"/>
          </w:tblCellMar>
        </w:tblPrEx>
        <w:trPr>
          <w:trHeight w:val="285" w:hRule="atLeast"/>
        </w:trPr>
        <w:tc>
          <w:tcPr>
            <w:tcW w:w="1040" w:type="dxa"/>
            <w:vMerge w:val="restart"/>
            <w:tcBorders>
              <w:top w:val="single" w:color="auto" w:sz="8" w:space="0"/>
              <w:left w:val="single" w:color="auto" w:sz="8" w:space="0"/>
              <w:bottom w:val="single" w:color="auto" w:sz="8" w:space="0"/>
              <w:right w:val="single" w:color="auto" w:sz="4" w:space="0"/>
            </w:tcBorders>
            <w:vAlign w:val="center"/>
          </w:tcPr>
          <w:p w14:paraId="0BD0E2DB">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8" w:space="0"/>
              <w:left w:val="nil"/>
              <w:bottom w:val="single" w:color="auto" w:sz="8" w:space="0"/>
              <w:right w:val="single" w:color="000000" w:sz="4" w:space="0"/>
            </w:tcBorders>
            <w:vAlign w:val="center"/>
          </w:tcPr>
          <w:p w14:paraId="7D43E93F">
            <w:pPr>
              <w:spacing w:line="320" w:lineRule="exact"/>
              <w:jc w:val="left"/>
              <w:rPr>
                <w:color w:val="000000"/>
                <w:kern w:val="0"/>
                <w:sz w:val="18"/>
                <w:szCs w:val="18"/>
              </w:rPr>
            </w:pPr>
            <w:r>
              <w:rPr>
                <w:rFonts w:hint="eastAsia"/>
                <w:color w:val="000000"/>
                <w:kern w:val="0"/>
                <w:sz w:val="18"/>
                <w:szCs w:val="18"/>
              </w:rPr>
              <w:t>减轻其对从业人员因生产安全事故伤亡依法应承担的责任的</w:t>
            </w:r>
          </w:p>
        </w:tc>
        <w:tc>
          <w:tcPr>
            <w:tcW w:w="1076" w:type="dxa"/>
            <w:vMerge w:val="restart"/>
            <w:tcBorders>
              <w:top w:val="single" w:color="auto" w:sz="8" w:space="0"/>
              <w:left w:val="single" w:color="auto" w:sz="4" w:space="0"/>
              <w:bottom w:val="single" w:color="auto" w:sz="8" w:space="0"/>
              <w:right w:val="single" w:color="auto" w:sz="4" w:space="0"/>
            </w:tcBorders>
            <w:vAlign w:val="center"/>
          </w:tcPr>
          <w:p w14:paraId="5EF1B552">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color="auto" w:sz="8" w:space="0"/>
              <w:left w:val="nil"/>
              <w:bottom w:val="single" w:color="auto" w:sz="8" w:space="0"/>
              <w:right w:val="single" w:color="auto" w:sz="8" w:space="0"/>
            </w:tcBorders>
            <w:vAlign w:val="center"/>
          </w:tcPr>
          <w:p w14:paraId="5E87D189">
            <w:pPr>
              <w:spacing w:line="320" w:lineRule="exact"/>
              <w:jc w:val="left"/>
              <w:rPr>
                <w:color w:val="000000"/>
                <w:kern w:val="0"/>
                <w:sz w:val="18"/>
                <w:szCs w:val="18"/>
              </w:rPr>
            </w:pPr>
            <w:r>
              <w:rPr>
                <w:rFonts w:hint="eastAsia"/>
                <w:color w:val="000000"/>
                <w:kern w:val="0"/>
                <w:sz w:val="18"/>
                <w:szCs w:val="18"/>
              </w:rPr>
              <w:t>对生产经营单位的主要负责人、个人经营的投资人：</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14:paraId="255414DA">
        <w:tblPrEx>
          <w:tblCellMar>
            <w:top w:w="0" w:type="dxa"/>
            <w:left w:w="108" w:type="dxa"/>
            <w:bottom w:w="0" w:type="dxa"/>
            <w:right w:w="108" w:type="dxa"/>
          </w:tblCellMar>
        </w:tblPrEx>
        <w:trPr>
          <w:trHeight w:val="285" w:hRule="atLeast"/>
        </w:trPr>
        <w:tc>
          <w:tcPr>
            <w:tcW w:w="1040" w:type="dxa"/>
            <w:vMerge w:val="continue"/>
            <w:tcBorders>
              <w:top w:val="single" w:color="auto" w:sz="8" w:space="0"/>
              <w:left w:val="single" w:color="auto" w:sz="8" w:space="0"/>
              <w:bottom w:val="single" w:color="auto" w:sz="8" w:space="0"/>
              <w:right w:val="single" w:color="auto" w:sz="4" w:space="0"/>
            </w:tcBorders>
            <w:vAlign w:val="center"/>
          </w:tcPr>
          <w:p w14:paraId="6A3F8361">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0B3FC1A8">
            <w:pPr>
              <w:spacing w:line="320" w:lineRule="exact"/>
              <w:jc w:val="left"/>
              <w:rPr>
                <w:color w:val="000000"/>
                <w:kern w:val="0"/>
                <w:sz w:val="18"/>
                <w:szCs w:val="18"/>
              </w:rPr>
            </w:pPr>
            <w:r>
              <w:rPr>
                <w:rFonts w:hint="eastAsia"/>
                <w:color w:val="000000"/>
                <w:kern w:val="0"/>
                <w:sz w:val="18"/>
                <w:szCs w:val="18"/>
              </w:rPr>
              <w:t>免除其对从业人员因生产安全事故伤亡依法应承担的责任的</w:t>
            </w:r>
          </w:p>
        </w:tc>
        <w:tc>
          <w:tcPr>
            <w:tcW w:w="1076" w:type="dxa"/>
            <w:vMerge w:val="continue"/>
            <w:tcBorders>
              <w:top w:val="single" w:color="auto" w:sz="8" w:space="0"/>
              <w:left w:val="single" w:color="auto" w:sz="4" w:space="0"/>
              <w:bottom w:val="single" w:color="auto" w:sz="8" w:space="0"/>
              <w:right w:val="single" w:color="auto" w:sz="4" w:space="0"/>
            </w:tcBorders>
            <w:vAlign w:val="center"/>
          </w:tcPr>
          <w:p w14:paraId="796F569B">
            <w:pPr>
              <w:spacing w:line="320" w:lineRule="exact"/>
              <w:jc w:val="left"/>
              <w:rPr>
                <w:color w:val="000000"/>
                <w:kern w:val="0"/>
                <w:sz w:val="18"/>
                <w:szCs w:val="18"/>
              </w:rPr>
            </w:pPr>
          </w:p>
        </w:tc>
        <w:tc>
          <w:tcPr>
            <w:tcW w:w="5760" w:type="dxa"/>
            <w:tcBorders>
              <w:top w:val="single" w:color="auto" w:sz="8" w:space="0"/>
              <w:left w:val="nil"/>
              <w:bottom w:val="single" w:color="auto" w:sz="8" w:space="0"/>
              <w:right w:val="single" w:color="auto" w:sz="8" w:space="0"/>
            </w:tcBorders>
            <w:vAlign w:val="center"/>
          </w:tcPr>
          <w:p w14:paraId="3368E22A">
            <w:pPr>
              <w:spacing w:line="320" w:lineRule="exact"/>
              <w:jc w:val="left"/>
              <w:rPr>
                <w:color w:val="000000"/>
                <w:kern w:val="0"/>
                <w:sz w:val="18"/>
                <w:szCs w:val="18"/>
              </w:rPr>
            </w:pPr>
            <w:r>
              <w:rPr>
                <w:rFonts w:hint="eastAsia"/>
                <w:color w:val="000000"/>
                <w:kern w:val="0"/>
                <w:sz w:val="18"/>
                <w:szCs w:val="18"/>
              </w:rPr>
              <w:t>对生产经营单位的主要负责人、个人经营的投资人：</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2598B559"/>
    <w:p w14:paraId="06DFCED5"/>
    <w:p w14:paraId="6F5A801B"/>
    <w:p w14:paraId="3424A139"/>
    <w:p w14:paraId="0EAEA5C6"/>
    <w:p w14:paraId="174968A6"/>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2FE45DCA">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0B8470FA">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52CECFA4">
            <w:pPr>
              <w:spacing w:line="320" w:lineRule="exact"/>
              <w:jc w:val="left"/>
              <w:rPr>
                <w:rFonts w:eastAsia="仿宋_GB2312"/>
                <w:b/>
                <w:bCs/>
                <w:color w:val="000000"/>
                <w:kern w:val="0"/>
                <w:sz w:val="18"/>
                <w:szCs w:val="18"/>
              </w:rPr>
            </w:pPr>
            <w:r>
              <w:rPr>
                <w:rFonts w:eastAsia="仿宋_GB2312"/>
                <w:b/>
                <w:bCs/>
                <w:color w:val="000000"/>
                <w:kern w:val="0"/>
                <w:sz w:val="18"/>
                <w:szCs w:val="18"/>
              </w:rPr>
              <w:t>320217091000</w:t>
            </w:r>
            <w:r>
              <w:rPr>
                <w:rFonts w:hint="eastAsia" w:eastAsia="仿宋_GB2312"/>
                <w:b/>
                <w:bCs/>
                <w:color w:val="000000"/>
                <w:kern w:val="0"/>
                <w:sz w:val="18"/>
                <w:szCs w:val="18"/>
              </w:rPr>
              <w:t xml:space="preserve"> </w:t>
            </w:r>
          </w:p>
        </w:tc>
      </w:tr>
      <w:tr w14:paraId="42D5EB42">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75DEEB8A">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72A20DE6">
            <w:pPr>
              <w:spacing w:line="320" w:lineRule="exact"/>
              <w:jc w:val="left"/>
              <w:rPr>
                <w:color w:val="000000"/>
                <w:kern w:val="0"/>
                <w:sz w:val="18"/>
                <w:szCs w:val="18"/>
              </w:rPr>
            </w:pPr>
            <w:r>
              <w:rPr>
                <w:rFonts w:hint="eastAsia"/>
                <w:color w:val="000000"/>
                <w:kern w:val="0"/>
                <w:sz w:val="18"/>
                <w:szCs w:val="18"/>
              </w:rPr>
              <w:t>对生产经营单位拒绝、阻碍负有安全生产监督管理职责的部门依法实施监督检查的处罚</w:t>
            </w:r>
          </w:p>
        </w:tc>
      </w:tr>
      <w:tr w14:paraId="76D596E6">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343DA597">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37AC03FF">
            <w:pPr>
              <w:spacing w:line="320" w:lineRule="exact"/>
              <w:ind w:firstLine="360" w:firstLineChars="200"/>
              <w:jc w:val="left"/>
              <w:rPr>
                <w:color w:val="000000"/>
                <w:kern w:val="0"/>
                <w:sz w:val="18"/>
                <w:szCs w:val="18"/>
              </w:rPr>
            </w:pPr>
            <w:r>
              <w:rPr>
                <w:rFonts w:hint="eastAsia"/>
                <w:color w:val="000000"/>
                <w:kern w:val="0"/>
                <w:sz w:val="18"/>
                <w:szCs w:val="18"/>
              </w:rPr>
              <w:t>【法律】《中华人民共和国安全生产法》</w:t>
            </w:r>
          </w:p>
          <w:p w14:paraId="1FC82E33">
            <w:pPr>
              <w:spacing w:line="320" w:lineRule="exact"/>
              <w:ind w:firstLine="360" w:firstLineChars="200"/>
              <w:jc w:val="left"/>
              <w:rPr>
                <w:color w:val="000000"/>
                <w:kern w:val="0"/>
                <w:sz w:val="18"/>
                <w:szCs w:val="18"/>
              </w:rPr>
            </w:pPr>
            <w:r>
              <w:rPr>
                <w:rFonts w:hint="eastAsia"/>
                <w:color w:val="000000"/>
                <w:kern w:val="0"/>
                <w:sz w:val="18"/>
                <w:szCs w:val="18"/>
              </w:rPr>
              <w:t>第六十六条　生产经营单位对负有安全生产监督管理职责的部门的监督检查人员（以下统称安全生产监督检查人员）依法履行监督检查职责，应当予以配合，不得拒绝、阻挠。</w:t>
            </w:r>
          </w:p>
          <w:p w14:paraId="4F76F8C8">
            <w:pPr>
              <w:spacing w:line="320" w:lineRule="exact"/>
              <w:ind w:firstLine="360" w:firstLineChars="200"/>
              <w:jc w:val="left"/>
              <w:rPr>
                <w:color w:val="000000"/>
                <w:kern w:val="0"/>
                <w:sz w:val="18"/>
                <w:szCs w:val="18"/>
              </w:rPr>
            </w:pPr>
            <w:r>
              <w:rPr>
                <w:rFonts w:hint="eastAsia"/>
                <w:color w:val="000000"/>
                <w:kern w:val="0"/>
                <w:sz w:val="18"/>
                <w:szCs w:val="18"/>
              </w:rPr>
              <w:t>第一百零八条　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p w14:paraId="41E21045">
            <w:pPr>
              <w:spacing w:line="320" w:lineRule="exact"/>
              <w:jc w:val="left"/>
              <w:rPr>
                <w:color w:val="000000"/>
                <w:kern w:val="0"/>
                <w:sz w:val="18"/>
                <w:szCs w:val="18"/>
              </w:rPr>
            </w:pPr>
            <w:r>
              <w:rPr>
                <w:color w:val="000000"/>
                <w:kern w:val="0"/>
                <w:sz w:val="18"/>
                <w:szCs w:val="18"/>
              </w:rPr>
              <w:t xml:space="preserve">     </w:t>
            </w:r>
          </w:p>
        </w:tc>
      </w:tr>
      <w:tr w14:paraId="6FB71EE5">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6B2039AB">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7F7D0524">
            <w:pPr>
              <w:spacing w:line="320" w:lineRule="exact"/>
              <w:jc w:val="left"/>
              <w:rPr>
                <w:color w:val="000000"/>
                <w:kern w:val="0"/>
                <w:sz w:val="18"/>
                <w:szCs w:val="18"/>
              </w:rPr>
            </w:pPr>
            <w:r>
              <w:rPr>
                <w:rFonts w:hint="eastAsia"/>
                <w:color w:val="000000"/>
                <w:kern w:val="0"/>
                <w:sz w:val="18"/>
                <w:szCs w:val="18"/>
              </w:rPr>
              <w:t>责令改正，罚款</w:t>
            </w:r>
          </w:p>
        </w:tc>
      </w:tr>
      <w:tr w14:paraId="5DE3A3D4">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8" w:space="0"/>
              <w:right w:val="single" w:color="auto" w:sz="8" w:space="0"/>
            </w:tcBorders>
            <w:vAlign w:val="center"/>
          </w:tcPr>
          <w:p w14:paraId="6D74A6BD">
            <w:pPr>
              <w:spacing w:line="320" w:lineRule="exact"/>
              <w:jc w:val="center"/>
              <w:rPr>
                <w:color w:val="000000"/>
                <w:kern w:val="0"/>
                <w:sz w:val="18"/>
                <w:szCs w:val="18"/>
              </w:rPr>
            </w:pPr>
            <w:r>
              <w:rPr>
                <w:rFonts w:hint="eastAsia"/>
                <w:color w:val="000000"/>
                <w:kern w:val="0"/>
                <w:sz w:val="18"/>
                <w:szCs w:val="18"/>
              </w:rPr>
              <w:t>裁量基准</w:t>
            </w:r>
          </w:p>
        </w:tc>
      </w:tr>
      <w:tr w14:paraId="57026937">
        <w:tblPrEx>
          <w:tblCellMar>
            <w:top w:w="0" w:type="dxa"/>
            <w:left w:w="108" w:type="dxa"/>
            <w:bottom w:w="0" w:type="dxa"/>
            <w:right w:w="108" w:type="dxa"/>
          </w:tblCellMar>
        </w:tblPrEx>
        <w:trPr>
          <w:trHeight w:val="285" w:hRule="atLeast"/>
        </w:trPr>
        <w:tc>
          <w:tcPr>
            <w:tcW w:w="1040" w:type="dxa"/>
            <w:vMerge w:val="restart"/>
            <w:tcBorders>
              <w:top w:val="single" w:color="auto" w:sz="8" w:space="0"/>
              <w:left w:val="single" w:color="auto" w:sz="8" w:space="0"/>
              <w:bottom w:val="single" w:color="auto" w:sz="8" w:space="0"/>
              <w:right w:val="single" w:color="auto" w:sz="4" w:space="0"/>
            </w:tcBorders>
            <w:vAlign w:val="center"/>
          </w:tcPr>
          <w:p w14:paraId="7B508C9E">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8" w:space="0"/>
              <w:left w:val="nil"/>
              <w:bottom w:val="single" w:color="auto" w:sz="8" w:space="0"/>
              <w:right w:val="single" w:color="000000" w:sz="4" w:space="0"/>
            </w:tcBorders>
            <w:vAlign w:val="center"/>
          </w:tcPr>
          <w:p w14:paraId="682F802A">
            <w:pPr>
              <w:spacing w:line="320" w:lineRule="exact"/>
              <w:jc w:val="left"/>
              <w:rPr>
                <w:color w:val="000000"/>
                <w:kern w:val="0"/>
                <w:sz w:val="18"/>
                <w:szCs w:val="18"/>
              </w:rPr>
            </w:pPr>
            <w:r>
              <w:rPr>
                <w:rFonts w:hint="eastAsia"/>
                <w:color w:val="000000"/>
                <w:kern w:val="0"/>
                <w:sz w:val="18"/>
                <w:szCs w:val="18"/>
              </w:rPr>
              <w:t>拒绝、阻碍监督检查但监管部门完成监督检查的</w:t>
            </w:r>
          </w:p>
        </w:tc>
        <w:tc>
          <w:tcPr>
            <w:tcW w:w="1076" w:type="dxa"/>
            <w:vMerge w:val="restart"/>
            <w:tcBorders>
              <w:top w:val="single" w:color="auto" w:sz="8" w:space="0"/>
              <w:left w:val="single" w:color="auto" w:sz="4" w:space="0"/>
              <w:bottom w:val="single" w:color="auto" w:sz="8" w:space="0"/>
              <w:right w:val="single" w:color="auto" w:sz="4" w:space="0"/>
            </w:tcBorders>
            <w:vAlign w:val="center"/>
          </w:tcPr>
          <w:p w14:paraId="6D0060C3">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color="auto" w:sz="8" w:space="0"/>
              <w:left w:val="nil"/>
              <w:bottom w:val="single" w:color="auto" w:sz="8" w:space="0"/>
              <w:right w:val="single" w:color="auto" w:sz="8" w:space="0"/>
            </w:tcBorders>
            <w:vAlign w:val="center"/>
          </w:tcPr>
          <w:p w14:paraId="4FD7030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14:paraId="10B40133">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14:paraId="7C17F428">
        <w:tblPrEx>
          <w:tblCellMar>
            <w:top w:w="0" w:type="dxa"/>
            <w:left w:w="108" w:type="dxa"/>
            <w:bottom w:w="0" w:type="dxa"/>
            <w:right w:w="108" w:type="dxa"/>
          </w:tblCellMar>
        </w:tblPrEx>
        <w:trPr>
          <w:trHeight w:val="285" w:hRule="atLeast"/>
        </w:trPr>
        <w:tc>
          <w:tcPr>
            <w:tcW w:w="1040" w:type="dxa"/>
            <w:vMerge w:val="continue"/>
            <w:tcBorders>
              <w:top w:val="single" w:color="auto" w:sz="8" w:space="0"/>
              <w:left w:val="single" w:color="auto" w:sz="8" w:space="0"/>
              <w:bottom w:val="single" w:color="auto" w:sz="8" w:space="0"/>
              <w:right w:val="single" w:color="auto" w:sz="4" w:space="0"/>
            </w:tcBorders>
            <w:vAlign w:val="center"/>
          </w:tcPr>
          <w:p w14:paraId="64C50401">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022DBDBA">
            <w:pPr>
              <w:spacing w:line="320" w:lineRule="exact"/>
              <w:jc w:val="left"/>
              <w:rPr>
                <w:color w:val="000000"/>
                <w:kern w:val="0"/>
                <w:sz w:val="18"/>
                <w:szCs w:val="18"/>
              </w:rPr>
            </w:pPr>
            <w:r>
              <w:rPr>
                <w:rFonts w:hint="eastAsia"/>
                <w:color w:val="000000"/>
                <w:kern w:val="0"/>
                <w:sz w:val="18"/>
                <w:szCs w:val="18"/>
              </w:rPr>
              <w:t>拒绝、阻碍监督检查导致监管部门未完成监督检查的</w:t>
            </w:r>
          </w:p>
        </w:tc>
        <w:tc>
          <w:tcPr>
            <w:tcW w:w="1076" w:type="dxa"/>
            <w:vMerge w:val="continue"/>
            <w:tcBorders>
              <w:top w:val="single" w:color="auto" w:sz="8" w:space="0"/>
              <w:left w:val="single" w:color="auto" w:sz="4" w:space="0"/>
              <w:bottom w:val="single" w:color="auto" w:sz="8" w:space="0"/>
              <w:right w:val="single" w:color="auto" w:sz="4" w:space="0"/>
            </w:tcBorders>
            <w:vAlign w:val="center"/>
          </w:tcPr>
          <w:p w14:paraId="7F023587">
            <w:pPr>
              <w:spacing w:line="320" w:lineRule="exact"/>
              <w:jc w:val="left"/>
              <w:rPr>
                <w:color w:val="000000"/>
                <w:kern w:val="0"/>
                <w:sz w:val="18"/>
                <w:szCs w:val="18"/>
              </w:rPr>
            </w:pPr>
          </w:p>
        </w:tc>
        <w:tc>
          <w:tcPr>
            <w:tcW w:w="5760" w:type="dxa"/>
            <w:tcBorders>
              <w:top w:val="single" w:color="auto" w:sz="8" w:space="0"/>
              <w:left w:val="nil"/>
              <w:bottom w:val="single" w:color="auto" w:sz="8" w:space="0"/>
              <w:right w:val="single" w:color="auto" w:sz="8" w:space="0"/>
            </w:tcBorders>
            <w:vAlign w:val="center"/>
          </w:tcPr>
          <w:p w14:paraId="222C30F7">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14:paraId="16103D1A">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14:paraId="25209D0F"/>
    <w:p w14:paraId="66AA0CBB"/>
    <w:p w14:paraId="3B8A4E69"/>
    <w:p w14:paraId="007F4512"/>
    <w:p w14:paraId="724EA6FB"/>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36CB3C78">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762CDE6F">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103051B0">
            <w:pPr>
              <w:spacing w:line="320" w:lineRule="exact"/>
              <w:jc w:val="left"/>
              <w:rPr>
                <w:rFonts w:eastAsia="仿宋_GB2312"/>
                <w:b/>
                <w:bCs/>
                <w:color w:val="000000"/>
                <w:kern w:val="0"/>
                <w:sz w:val="18"/>
                <w:szCs w:val="18"/>
              </w:rPr>
            </w:pPr>
            <w:r>
              <w:rPr>
                <w:rFonts w:eastAsia="仿宋_GB2312"/>
                <w:b/>
                <w:bCs/>
                <w:color w:val="000000"/>
                <w:kern w:val="0"/>
                <w:sz w:val="18"/>
                <w:szCs w:val="18"/>
              </w:rPr>
              <w:t>320217092000</w:t>
            </w:r>
            <w:r>
              <w:rPr>
                <w:rFonts w:hint="eastAsia" w:eastAsia="仿宋_GB2312"/>
                <w:b/>
                <w:bCs/>
                <w:color w:val="000000"/>
                <w:kern w:val="0"/>
                <w:sz w:val="18"/>
                <w:szCs w:val="18"/>
              </w:rPr>
              <w:t xml:space="preserve"> </w:t>
            </w:r>
          </w:p>
        </w:tc>
      </w:tr>
      <w:tr w14:paraId="4A061F6E">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481F7AE3">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2EB476F6">
            <w:pPr>
              <w:spacing w:line="320" w:lineRule="exact"/>
              <w:jc w:val="left"/>
              <w:rPr>
                <w:color w:val="000000"/>
                <w:kern w:val="0"/>
                <w:sz w:val="18"/>
                <w:szCs w:val="18"/>
              </w:rPr>
            </w:pPr>
            <w:r>
              <w:rPr>
                <w:rFonts w:hint="eastAsia"/>
                <w:color w:val="000000"/>
                <w:kern w:val="0"/>
                <w:sz w:val="18"/>
                <w:szCs w:val="18"/>
              </w:rPr>
              <w:t>对勘察、设计单位以其他建设工程勘察、设计单位的名义承揽工程的处罚</w:t>
            </w:r>
          </w:p>
        </w:tc>
      </w:tr>
      <w:tr w14:paraId="522ACDA2">
        <w:tblPrEx>
          <w:tblCellMar>
            <w:top w:w="0" w:type="dxa"/>
            <w:left w:w="108" w:type="dxa"/>
            <w:bottom w:w="0" w:type="dxa"/>
            <w:right w:w="108" w:type="dxa"/>
          </w:tblCellMar>
        </w:tblPrEx>
        <w:trPr>
          <w:trHeight w:val="1545" w:hRule="atLeast"/>
        </w:trPr>
        <w:tc>
          <w:tcPr>
            <w:tcW w:w="1050" w:type="dxa"/>
            <w:tcBorders>
              <w:top w:val="nil"/>
              <w:left w:val="single" w:color="auto" w:sz="8" w:space="0"/>
              <w:bottom w:val="single" w:color="auto" w:sz="4" w:space="0"/>
              <w:right w:val="single" w:color="auto" w:sz="4" w:space="0"/>
            </w:tcBorders>
            <w:vAlign w:val="center"/>
          </w:tcPr>
          <w:p w14:paraId="1F755E4C">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62465750">
            <w:pPr>
              <w:spacing w:line="320" w:lineRule="exact"/>
              <w:ind w:firstLine="360" w:firstLineChars="200"/>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14:paraId="6FF0ED3C">
            <w:pPr>
              <w:spacing w:line="320" w:lineRule="exact"/>
              <w:ind w:firstLine="360" w:firstLineChars="200"/>
              <w:jc w:val="left"/>
              <w:rPr>
                <w:color w:val="000000"/>
                <w:kern w:val="0"/>
                <w:sz w:val="18"/>
                <w:szCs w:val="18"/>
              </w:rPr>
            </w:pPr>
            <w:r>
              <w:rPr>
                <w:rFonts w:hint="eastAsia"/>
                <w:color w:val="000000"/>
                <w:kern w:val="0"/>
                <w:sz w:val="18"/>
                <w:szCs w:val="18"/>
              </w:rPr>
              <w:t>第八条</w:t>
            </w:r>
            <w:r>
              <w:rPr>
                <w:color w:val="000000"/>
                <w:kern w:val="0"/>
                <w:sz w:val="18"/>
                <w:szCs w:val="18"/>
              </w:rPr>
              <w:t xml:space="preserve"> </w:t>
            </w:r>
            <w:r>
              <w:rPr>
                <w:rFonts w:hint="eastAsia"/>
                <w:color w:val="000000"/>
                <w:kern w:val="0"/>
                <w:sz w:val="18"/>
                <w:szCs w:val="18"/>
              </w:rPr>
              <w:t>建设工程勘察、设计单位应当在其资质等级许可的范围内承揽建设工程勘察、设计业务。禁止建设工程勘察、设计单位超越其资质等级许可的范围或者以其他建设工程勘察、设计单位的名义承揽建设工程勘察、设计业务。禁止建设工程勘察、设计单位允许其他单位或者个人以本单位的名义承揽建设工程勘察、设计业务。</w:t>
            </w:r>
          </w:p>
          <w:p w14:paraId="29BB742B">
            <w:pPr>
              <w:spacing w:line="320" w:lineRule="exact"/>
              <w:ind w:firstLine="360" w:firstLineChars="200"/>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违反本条例第八条规定的，责令停止违法行为，处合同约定的勘察费、设计费１倍以上２倍以下的罚款，有违法所得的，予以没收；可以责令停业整顿，降低资质等级；情节严重的，吊销资质证书。</w:t>
            </w:r>
          </w:p>
        </w:tc>
      </w:tr>
      <w:tr w14:paraId="3A945984">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52ED9AFB">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7F8794BB">
            <w:pPr>
              <w:spacing w:line="32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14:paraId="154BD4CE">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187D6883">
            <w:pPr>
              <w:spacing w:line="320" w:lineRule="exact"/>
              <w:jc w:val="center"/>
              <w:rPr>
                <w:color w:val="000000"/>
                <w:kern w:val="0"/>
                <w:sz w:val="18"/>
                <w:szCs w:val="18"/>
              </w:rPr>
            </w:pPr>
            <w:r>
              <w:rPr>
                <w:rFonts w:hint="eastAsia"/>
                <w:color w:val="000000"/>
                <w:kern w:val="0"/>
                <w:sz w:val="18"/>
                <w:szCs w:val="18"/>
              </w:rPr>
              <w:t>裁量基准</w:t>
            </w:r>
          </w:p>
        </w:tc>
      </w:tr>
      <w:tr w14:paraId="7150D97B">
        <w:tblPrEx>
          <w:tblCellMar>
            <w:top w:w="0" w:type="dxa"/>
            <w:left w:w="108" w:type="dxa"/>
            <w:bottom w:w="0" w:type="dxa"/>
            <w:right w:w="108" w:type="dxa"/>
          </w:tblCellMar>
        </w:tblPrEx>
        <w:trPr>
          <w:trHeight w:val="90" w:hRule="atLeast"/>
        </w:trPr>
        <w:tc>
          <w:tcPr>
            <w:tcW w:w="1050" w:type="dxa"/>
            <w:vMerge w:val="restart"/>
            <w:tcBorders>
              <w:top w:val="nil"/>
              <w:left w:val="single" w:color="auto" w:sz="8" w:space="0"/>
              <w:bottom w:val="single" w:color="auto" w:sz="4" w:space="0"/>
              <w:right w:val="single" w:color="auto" w:sz="4" w:space="0"/>
            </w:tcBorders>
            <w:vAlign w:val="center"/>
          </w:tcPr>
          <w:p w14:paraId="5AF7D96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000000" w:sz="4" w:space="0"/>
            </w:tcBorders>
            <w:vAlign w:val="center"/>
          </w:tcPr>
          <w:p w14:paraId="023B9104">
            <w:pPr>
              <w:spacing w:line="320" w:lineRule="exact"/>
              <w:jc w:val="left"/>
              <w:rPr>
                <w:color w:val="000000"/>
                <w:kern w:val="0"/>
                <w:sz w:val="18"/>
                <w:szCs w:val="18"/>
              </w:rPr>
            </w:pPr>
            <w:r>
              <w:rPr>
                <w:rFonts w:hint="eastAsia"/>
                <w:color w:val="000000"/>
                <w:kern w:val="0"/>
                <w:sz w:val="18"/>
                <w:szCs w:val="18"/>
              </w:rPr>
              <w:t>未发生安全事故，没有违法所得的</w:t>
            </w:r>
          </w:p>
        </w:tc>
        <w:tc>
          <w:tcPr>
            <w:tcW w:w="1100" w:type="dxa"/>
            <w:vMerge w:val="restart"/>
            <w:tcBorders>
              <w:top w:val="nil"/>
              <w:left w:val="single" w:color="auto" w:sz="4" w:space="0"/>
              <w:bottom w:val="single" w:color="000000" w:sz="4" w:space="0"/>
              <w:right w:val="single" w:color="auto" w:sz="4" w:space="0"/>
            </w:tcBorders>
            <w:vAlign w:val="center"/>
          </w:tcPr>
          <w:p w14:paraId="5EED907B">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F7F6F9B">
            <w:pPr>
              <w:spacing w:line="320" w:lineRule="exact"/>
              <w:jc w:val="left"/>
              <w:rPr>
                <w:color w:val="000000"/>
                <w:kern w:val="0"/>
                <w:sz w:val="18"/>
                <w:szCs w:val="18"/>
              </w:rPr>
            </w:pPr>
            <w:r>
              <w:rPr>
                <w:rFonts w:hint="eastAsia"/>
                <w:color w:val="000000"/>
                <w:kern w:val="0"/>
                <w:sz w:val="18"/>
                <w:szCs w:val="18"/>
              </w:rPr>
              <w:t>合同约定的勘察、设计费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1.3</w:t>
            </w:r>
            <w:r>
              <w:rPr>
                <w:rFonts w:hint="eastAsia"/>
                <w:color w:val="000000"/>
                <w:kern w:val="0"/>
                <w:sz w:val="18"/>
                <w:szCs w:val="18"/>
              </w:rPr>
              <w:t>倍以下罚款</w:t>
            </w:r>
          </w:p>
        </w:tc>
      </w:tr>
      <w:tr w14:paraId="4D7D8FC7">
        <w:tblPrEx>
          <w:tblCellMar>
            <w:top w:w="0" w:type="dxa"/>
            <w:left w:w="108" w:type="dxa"/>
            <w:bottom w:w="0" w:type="dxa"/>
            <w:right w:w="108" w:type="dxa"/>
          </w:tblCellMar>
        </w:tblPrEx>
        <w:trPr>
          <w:trHeight w:val="480" w:hRule="atLeast"/>
        </w:trPr>
        <w:tc>
          <w:tcPr>
            <w:tcW w:w="1050" w:type="dxa"/>
            <w:vMerge w:val="continue"/>
            <w:tcBorders>
              <w:top w:val="nil"/>
              <w:left w:val="single" w:color="auto" w:sz="8" w:space="0"/>
              <w:bottom w:val="single" w:color="auto" w:sz="4" w:space="0"/>
              <w:right w:val="single" w:color="auto" w:sz="4" w:space="0"/>
            </w:tcBorders>
            <w:vAlign w:val="center"/>
          </w:tcPr>
          <w:p w14:paraId="5478C73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1450D470">
            <w:pPr>
              <w:spacing w:line="320" w:lineRule="exact"/>
              <w:jc w:val="left"/>
              <w:rPr>
                <w:color w:val="000000"/>
                <w:kern w:val="0"/>
                <w:sz w:val="18"/>
                <w:szCs w:val="18"/>
              </w:rPr>
            </w:pPr>
            <w:r>
              <w:rPr>
                <w:rFonts w:hint="eastAsia"/>
                <w:color w:val="000000"/>
                <w:kern w:val="0"/>
                <w:sz w:val="18"/>
                <w:szCs w:val="18"/>
              </w:rPr>
              <w:t>未发生安全事故，有违法所得的</w:t>
            </w:r>
          </w:p>
        </w:tc>
        <w:tc>
          <w:tcPr>
            <w:tcW w:w="1100" w:type="dxa"/>
            <w:vMerge w:val="continue"/>
            <w:tcBorders>
              <w:top w:val="nil"/>
              <w:left w:val="single" w:color="auto" w:sz="4" w:space="0"/>
              <w:bottom w:val="single" w:color="000000" w:sz="4" w:space="0"/>
              <w:right w:val="single" w:color="auto" w:sz="4" w:space="0"/>
            </w:tcBorders>
            <w:vAlign w:val="center"/>
          </w:tcPr>
          <w:p w14:paraId="0ED82A57">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D37D924">
            <w:pPr>
              <w:spacing w:line="320" w:lineRule="exact"/>
              <w:jc w:val="left"/>
              <w:rPr>
                <w:color w:val="000000"/>
                <w:kern w:val="0"/>
                <w:sz w:val="18"/>
                <w:szCs w:val="18"/>
              </w:rPr>
            </w:pPr>
            <w:r>
              <w:rPr>
                <w:rFonts w:hint="eastAsia"/>
                <w:color w:val="000000"/>
                <w:kern w:val="0"/>
                <w:sz w:val="18"/>
                <w:szCs w:val="18"/>
              </w:rPr>
              <w:t>合同约定的勘察、设计费</w:t>
            </w:r>
            <w:r>
              <w:rPr>
                <w:color w:val="000000"/>
                <w:kern w:val="0"/>
                <w:sz w:val="18"/>
                <w:szCs w:val="18"/>
              </w:rPr>
              <w:t>1.3</w:t>
            </w:r>
            <w:r>
              <w:rPr>
                <w:rFonts w:hint="eastAsia"/>
                <w:color w:val="000000"/>
                <w:kern w:val="0"/>
                <w:sz w:val="18"/>
                <w:szCs w:val="18"/>
              </w:rPr>
              <w:t>倍以上</w:t>
            </w:r>
            <w:r>
              <w:rPr>
                <w:color w:val="000000"/>
                <w:kern w:val="0"/>
                <w:sz w:val="18"/>
                <w:szCs w:val="18"/>
              </w:rPr>
              <w:t>1.6</w:t>
            </w:r>
            <w:r>
              <w:rPr>
                <w:rFonts w:hint="eastAsia"/>
                <w:color w:val="000000"/>
                <w:kern w:val="0"/>
                <w:sz w:val="18"/>
                <w:szCs w:val="18"/>
              </w:rPr>
              <w:t>倍以下罚款，责令停业整顿，降低资质等级</w:t>
            </w:r>
          </w:p>
        </w:tc>
      </w:tr>
      <w:tr w14:paraId="425DF309">
        <w:tblPrEx>
          <w:tblCellMar>
            <w:top w:w="0" w:type="dxa"/>
            <w:left w:w="108" w:type="dxa"/>
            <w:bottom w:w="0" w:type="dxa"/>
            <w:right w:w="108" w:type="dxa"/>
          </w:tblCellMar>
        </w:tblPrEx>
        <w:trPr>
          <w:trHeight w:val="480" w:hRule="atLeast"/>
        </w:trPr>
        <w:tc>
          <w:tcPr>
            <w:tcW w:w="1050" w:type="dxa"/>
            <w:vMerge w:val="continue"/>
            <w:tcBorders>
              <w:top w:val="nil"/>
              <w:left w:val="single" w:color="auto" w:sz="8" w:space="0"/>
              <w:bottom w:val="single" w:color="auto" w:sz="4" w:space="0"/>
              <w:right w:val="single" w:color="auto" w:sz="4" w:space="0"/>
            </w:tcBorders>
            <w:vAlign w:val="center"/>
          </w:tcPr>
          <w:p w14:paraId="2527181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38A3CF3A">
            <w:pPr>
              <w:spacing w:line="320" w:lineRule="exact"/>
              <w:jc w:val="left"/>
              <w:rPr>
                <w:color w:val="000000"/>
                <w:kern w:val="0"/>
                <w:sz w:val="18"/>
                <w:szCs w:val="18"/>
              </w:rPr>
            </w:pPr>
            <w:r>
              <w:rPr>
                <w:rFonts w:hint="eastAsia"/>
                <w:color w:val="000000"/>
                <w:kern w:val="0"/>
                <w:sz w:val="18"/>
                <w:szCs w:val="18"/>
              </w:rPr>
              <w:t>发生安全事故的</w:t>
            </w:r>
          </w:p>
        </w:tc>
        <w:tc>
          <w:tcPr>
            <w:tcW w:w="1100" w:type="dxa"/>
            <w:vMerge w:val="continue"/>
            <w:tcBorders>
              <w:top w:val="nil"/>
              <w:left w:val="single" w:color="auto" w:sz="4" w:space="0"/>
              <w:bottom w:val="single" w:color="000000" w:sz="4" w:space="0"/>
              <w:right w:val="single" w:color="auto" w:sz="4" w:space="0"/>
            </w:tcBorders>
            <w:vAlign w:val="center"/>
          </w:tcPr>
          <w:p w14:paraId="4113800B">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356E9F0">
            <w:pPr>
              <w:spacing w:line="320" w:lineRule="exact"/>
              <w:jc w:val="left"/>
              <w:rPr>
                <w:color w:val="000000"/>
                <w:kern w:val="0"/>
                <w:sz w:val="18"/>
                <w:szCs w:val="18"/>
              </w:rPr>
            </w:pPr>
            <w:r>
              <w:rPr>
                <w:rFonts w:hint="eastAsia"/>
                <w:color w:val="000000"/>
                <w:kern w:val="0"/>
                <w:sz w:val="18"/>
                <w:szCs w:val="18"/>
              </w:rPr>
              <w:t>合同约定的勘察、设计费</w:t>
            </w:r>
            <w:r>
              <w:rPr>
                <w:color w:val="000000"/>
                <w:kern w:val="0"/>
                <w:sz w:val="18"/>
                <w:szCs w:val="18"/>
              </w:rPr>
              <w:t>1.6</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倍以下罚款，吊销资质证书</w:t>
            </w:r>
          </w:p>
        </w:tc>
      </w:tr>
    </w:tbl>
    <w:p w14:paraId="0B6A0B2F"/>
    <w:p w14:paraId="1499BDB6"/>
    <w:p w14:paraId="1F8861A7"/>
    <w:p w14:paraId="756B17E1"/>
    <w:p w14:paraId="278173CE"/>
    <w:p w14:paraId="1884C97E"/>
    <w:p w14:paraId="57A5667E"/>
    <w:p w14:paraId="37AC1F50"/>
    <w:tbl>
      <w:tblPr>
        <w:tblStyle w:val="15"/>
        <w:tblpPr w:leftFromText="180" w:rightFromText="180" w:vertAnchor="text" w:horzAnchor="page" w:tblpX="1522" w:tblpY="424"/>
        <w:tblOverlap w:val="never"/>
        <w:tblW w:w="14226" w:type="dxa"/>
        <w:tblInd w:w="0" w:type="dxa"/>
        <w:tblLayout w:type="fixed"/>
        <w:tblCellMar>
          <w:top w:w="0" w:type="dxa"/>
          <w:left w:w="108" w:type="dxa"/>
          <w:bottom w:w="0" w:type="dxa"/>
          <w:right w:w="108" w:type="dxa"/>
        </w:tblCellMar>
      </w:tblPr>
      <w:tblGrid>
        <w:gridCol w:w="1226"/>
        <w:gridCol w:w="6140"/>
        <w:gridCol w:w="1100"/>
        <w:gridCol w:w="5760"/>
      </w:tblGrid>
      <w:tr w14:paraId="31F4B8D5">
        <w:tblPrEx>
          <w:tblCellMar>
            <w:top w:w="0" w:type="dxa"/>
            <w:left w:w="108" w:type="dxa"/>
            <w:bottom w:w="0" w:type="dxa"/>
            <w:right w:w="108" w:type="dxa"/>
          </w:tblCellMar>
        </w:tblPrEx>
        <w:trPr>
          <w:trHeight w:val="285" w:hRule="atLeast"/>
        </w:trPr>
        <w:tc>
          <w:tcPr>
            <w:tcW w:w="1226" w:type="dxa"/>
            <w:tcBorders>
              <w:top w:val="single" w:color="auto" w:sz="8" w:space="0"/>
              <w:left w:val="single" w:color="auto" w:sz="8" w:space="0"/>
              <w:bottom w:val="single" w:color="auto" w:sz="4" w:space="0"/>
              <w:right w:val="single" w:color="auto" w:sz="4" w:space="0"/>
            </w:tcBorders>
            <w:vAlign w:val="center"/>
          </w:tcPr>
          <w:p w14:paraId="75B8694E">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single" w:color="auto" w:sz="4" w:space="0"/>
              <w:bottom w:val="single" w:color="auto" w:sz="4" w:space="0"/>
              <w:right w:val="single" w:color="auto" w:sz="8" w:space="0"/>
            </w:tcBorders>
            <w:vAlign w:val="center"/>
          </w:tcPr>
          <w:p w14:paraId="19646C06">
            <w:pPr>
              <w:spacing w:line="320" w:lineRule="exact"/>
              <w:jc w:val="left"/>
              <w:rPr>
                <w:b/>
                <w:bCs/>
                <w:color w:val="000000"/>
                <w:kern w:val="0"/>
                <w:sz w:val="18"/>
                <w:szCs w:val="18"/>
              </w:rPr>
            </w:pPr>
            <w:r>
              <w:rPr>
                <w:b/>
                <w:color w:val="000000"/>
                <w:kern w:val="0"/>
                <w:sz w:val="18"/>
                <w:szCs w:val="18"/>
              </w:rPr>
              <w:t>320217093000</w:t>
            </w:r>
            <w:r>
              <w:rPr>
                <w:rFonts w:hint="eastAsia"/>
                <w:b/>
                <w:color w:val="000000"/>
                <w:kern w:val="0"/>
                <w:sz w:val="18"/>
                <w:szCs w:val="18"/>
              </w:rPr>
              <w:t xml:space="preserve"> </w:t>
            </w:r>
          </w:p>
        </w:tc>
      </w:tr>
      <w:tr w14:paraId="2809C8C3">
        <w:tblPrEx>
          <w:tblCellMar>
            <w:top w:w="0" w:type="dxa"/>
            <w:left w:w="108" w:type="dxa"/>
            <w:bottom w:w="0" w:type="dxa"/>
            <w:right w:w="108" w:type="dxa"/>
          </w:tblCellMar>
        </w:tblPrEx>
        <w:trPr>
          <w:trHeight w:val="285" w:hRule="atLeast"/>
        </w:trPr>
        <w:tc>
          <w:tcPr>
            <w:tcW w:w="1226" w:type="dxa"/>
            <w:tcBorders>
              <w:top w:val="single" w:color="auto" w:sz="4" w:space="0"/>
              <w:left w:val="single" w:color="auto" w:sz="8" w:space="0"/>
              <w:bottom w:val="single" w:color="auto" w:sz="4" w:space="0"/>
              <w:right w:val="single" w:color="auto" w:sz="4" w:space="0"/>
            </w:tcBorders>
            <w:vAlign w:val="center"/>
          </w:tcPr>
          <w:p w14:paraId="4203E51D">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single" w:color="auto" w:sz="4" w:space="0"/>
              <w:bottom w:val="single" w:color="auto" w:sz="4" w:space="0"/>
              <w:right w:val="single" w:color="auto" w:sz="8" w:space="0"/>
            </w:tcBorders>
            <w:vAlign w:val="center"/>
          </w:tcPr>
          <w:p w14:paraId="77E340C6">
            <w:pPr>
              <w:spacing w:line="320" w:lineRule="exact"/>
              <w:jc w:val="left"/>
              <w:rPr>
                <w:color w:val="000000"/>
                <w:kern w:val="0"/>
                <w:sz w:val="18"/>
                <w:szCs w:val="18"/>
              </w:rPr>
            </w:pPr>
            <w:r>
              <w:rPr>
                <w:rFonts w:hint="eastAsia"/>
                <w:color w:val="000000"/>
                <w:kern w:val="0"/>
                <w:sz w:val="18"/>
                <w:szCs w:val="18"/>
              </w:rPr>
              <w:t>对未经注册擅自以注册建设工程勘察设计人员的名义从事建设工程勘察、设计活动的处罚</w:t>
            </w:r>
          </w:p>
        </w:tc>
      </w:tr>
      <w:tr w14:paraId="65A7690C">
        <w:tblPrEx>
          <w:tblCellMar>
            <w:top w:w="0" w:type="dxa"/>
            <w:left w:w="108" w:type="dxa"/>
            <w:bottom w:w="0" w:type="dxa"/>
            <w:right w:w="108" w:type="dxa"/>
          </w:tblCellMar>
        </w:tblPrEx>
        <w:trPr>
          <w:trHeight w:val="1365" w:hRule="atLeast"/>
        </w:trPr>
        <w:tc>
          <w:tcPr>
            <w:tcW w:w="1226" w:type="dxa"/>
            <w:tcBorders>
              <w:top w:val="single" w:color="auto" w:sz="4" w:space="0"/>
              <w:left w:val="single" w:color="auto" w:sz="8" w:space="0"/>
              <w:bottom w:val="single" w:color="auto" w:sz="4" w:space="0"/>
              <w:right w:val="single" w:color="auto" w:sz="4" w:space="0"/>
            </w:tcBorders>
            <w:vAlign w:val="center"/>
          </w:tcPr>
          <w:p w14:paraId="59E33DDF">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single" w:color="auto" w:sz="4" w:space="0"/>
              <w:bottom w:val="single" w:color="auto" w:sz="4" w:space="0"/>
              <w:right w:val="single" w:color="auto" w:sz="8" w:space="0"/>
            </w:tcBorders>
            <w:vAlign w:val="center"/>
          </w:tcPr>
          <w:p w14:paraId="2E4C54D0">
            <w:pPr>
              <w:spacing w:line="320" w:lineRule="exact"/>
              <w:ind w:firstLine="360" w:firstLineChars="200"/>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14:paraId="00FDC816">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国家对从事建设工程勘察、设计活动的专业技术人员，实行执业资格注册管理制度。未经注册的建设工程勘察、设计人员，不得以注册执业人员的名义从事建设工程勘察、设计活动。</w:t>
            </w:r>
          </w:p>
          <w:p w14:paraId="04D514CA">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违反本条例规定，未经注册，擅自以注册建设工程勘察、设计人员的名义从事建设工程勘察、设计活动的，责令停止违法行为，没收违法所得，处违法所得２倍以上５倍以下罚款；给他人造成损失的，依法承担赔偿责任。</w:t>
            </w:r>
          </w:p>
        </w:tc>
      </w:tr>
      <w:tr w14:paraId="4933E945">
        <w:tblPrEx>
          <w:tblCellMar>
            <w:top w:w="0" w:type="dxa"/>
            <w:left w:w="108" w:type="dxa"/>
            <w:bottom w:w="0" w:type="dxa"/>
            <w:right w:w="108" w:type="dxa"/>
          </w:tblCellMar>
        </w:tblPrEx>
        <w:trPr>
          <w:trHeight w:val="285" w:hRule="atLeast"/>
        </w:trPr>
        <w:tc>
          <w:tcPr>
            <w:tcW w:w="1226" w:type="dxa"/>
            <w:tcBorders>
              <w:top w:val="single" w:color="auto" w:sz="4" w:space="0"/>
              <w:left w:val="single" w:color="auto" w:sz="8" w:space="0"/>
              <w:bottom w:val="single" w:color="auto" w:sz="4" w:space="0"/>
              <w:right w:val="single" w:color="auto" w:sz="4" w:space="0"/>
            </w:tcBorders>
            <w:vAlign w:val="center"/>
          </w:tcPr>
          <w:p w14:paraId="0D4626E0">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single" w:color="auto" w:sz="4" w:space="0"/>
              <w:bottom w:val="single" w:color="auto" w:sz="4" w:space="0"/>
              <w:right w:val="single" w:color="auto" w:sz="8" w:space="0"/>
            </w:tcBorders>
            <w:vAlign w:val="center"/>
          </w:tcPr>
          <w:p w14:paraId="2ADCC562">
            <w:pPr>
              <w:spacing w:line="320" w:lineRule="exact"/>
              <w:jc w:val="left"/>
              <w:rPr>
                <w:color w:val="000000"/>
                <w:kern w:val="0"/>
                <w:sz w:val="18"/>
                <w:szCs w:val="18"/>
              </w:rPr>
            </w:pPr>
            <w:r>
              <w:rPr>
                <w:rFonts w:hint="eastAsia"/>
                <w:color w:val="000000"/>
                <w:kern w:val="0"/>
                <w:sz w:val="18"/>
                <w:szCs w:val="18"/>
              </w:rPr>
              <w:t>罚款，没收违法所得</w:t>
            </w:r>
          </w:p>
        </w:tc>
      </w:tr>
      <w:tr w14:paraId="614A9E0D">
        <w:tblPrEx>
          <w:tblCellMar>
            <w:top w:w="0" w:type="dxa"/>
            <w:left w:w="108" w:type="dxa"/>
            <w:bottom w:w="0" w:type="dxa"/>
            <w:right w:w="108" w:type="dxa"/>
          </w:tblCellMar>
        </w:tblPrEx>
        <w:trPr>
          <w:trHeight w:val="285" w:hRule="atLeast"/>
        </w:trPr>
        <w:tc>
          <w:tcPr>
            <w:tcW w:w="14226" w:type="dxa"/>
            <w:gridSpan w:val="4"/>
            <w:tcBorders>
              <w:top w:val="single" w:color="auto" w:sz="4" w:space="0"/>
              <w:left w:val="single" w:color="auto" w:sz="8" w:space="0"/>
              <w:bottom w:val="single" w:color="auto" w:sz="4" w:space="0"/>
              <w:right w:val="single" w:color="auto" w:sz="8" w:space="0"/>
            </w:tcBorders>
            <w:vAlign w:val="center"/>
          </w:tcPr>
          <w:p w14:paraId="295131D7">
            <w:pPr>
              <w:spacing w:line="320" w:lineRule="exact"/>
              <w:jc w:val="center"/>
              <w:rPr>
                <w:color w:val="000000"/>
                <w:kern w:val="0"/>
                <w:sz w:val="18"/>
                <w:szCs w:val="18"/>
              </w:rPr>
            </w:pPr>
            <w:r>
              <w:rPr>
                <w:rFonts w:hint="eastAsia"/>
                <w:color w:val="000000"/>
                <w:kern w:val="0"/>
                <w:sz w:val="18"/>
                <w:szCs w:val="18"/>
              </w:rPr>
              <w:t>裁量基准</w:t>
            </w:r>
          </w:p>
        </w:tc>
      </w:tr>
      <w:tr w14:paraId="32010E24">
        <w:tblPrEx>
          <w:tblCellMar>
            <w:top w:w="0" w:type="dxa"/>
            <w:left w:w="108" w:type="dxa"/>
            <w:bottom w:w="0" w:type="dxa"/>
            <w:right w:w="108" w:type="dxa"/>
          </w:tblCellMar>
        </w:tblPrEx>
        <w:trPr>
          <w:trHeight w:val="285" w:hRule="atLeast"/>
        </w:trPr>
        <w:tc>
          <w:tcPr>
            <w:tcW w:w="1226" w:type="dxa"/>
            <w:vMerge w:val="restart"/>
            <w:tcBorders>
              <w:top w:val="single" w:color="auto" w:sz="4" w:space="0"/>
              <w:left w:val="single" w:color="auto" w:sz="8" w:space="0"/>
              <w:bottom w:val="single" w:color="auto" w:sz="4" w:space="0"/>
              <w:right w:val="single" w:color="auto" w:sz="4" w:space="0"/>
            </w:tcBorders>
            <w:vAlign w:val="center"/>
          </w:tcPr>
          <w:p w14:paraId="1C0E31A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1AE40FCC">
            <w:pPr>
              <w:spacing w:line="320" w:lineRule="exact"/>
              <w:jc w:val="left"/>
              <w:rPr>
                <w:color w:val="000000"/>
                <w:kern w:val="0"/>
                <w:sz w:val="18"/>
                <w:szCs w:val="18"/>
              </w:rPr>
            </w:pPr>
            <w:r>
              <w:rPr>
                <w:rFonts w:hint="eastAsia"/>
                <w:color w:val="000000"/>
                <w:kern w:val="0"/>
                <w:sz w:val="18"/>
                <w:szCs w:val="18"/>
              </w:rPr>
              <w:t>成果未交付的</w:t>
            </w:r>
          </w:p>
        </w:tc>
        <w:tc>
          <w:tcPr>
            <w:tcW w:w="1100" w:type="dxa"/>
            <w:vMerge w:val="restart"/>
            <w:tcBorders>
              <w:top w:val="single" w:color="auto" w:sz="4" w:space="0"/>
              <w:left w:val="single" w:color="auto" w:sz="4" w:space="0"/>
              <w:bottom w:val="single" w:color="auto" w:sz="4" w:space="0"/>
              <w:right w:val="single" w:color="auto" w:sz="4" w:space="0"/>
            </w:tcBorders>
            <w:vAlign w:val="center"/>
          </w:tcPr>
          <w:p w14:paraId="63C4CAEF">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single" w:color="auto" w:sz="4" w:space="0"/>
              <w:bottom w:val="single" w:color="auto" w:sz="4" w:space="0"/>
              <w:right w:val="single" w:color="auto" w:sz="8" w:space="0"/>
            </w:tcBorders>
            <w:vAlign w:val="center"/>
          </w:tcPr>
          <w:p w14:paraId="3D39688E">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7B515D34">
        <w:tblPrEx>
          <w:tblCellMar>
            <w:top w:w="0" w:type="dxa"/>
            <w:left w:w="108" w:type="dxa"/>
            <w:bottom w:w="0" w:type="dxa"/>
            <w:right w:w="108" w:type="dxa"/>
          </w:tblCellMar>
        </w:tblPrEx>
        <w:trPr>
          <w:trHeight w:val="285" w:hRule="atLeast"/>
        </w:trPr>
        <w:tc>
          <w:tcPr>
            <w:tcW w:w="1226" w:type="dxa"/>
            <w:vMerge w:val="continue"/>
            <w:tcBorders>
              <w:top w:val="single" w:color="auto" w:sz="4" w:space="0"/>
              <w:left w:val="single" w:color="auto" w:sz="8" w:space="0"/>
              <w:bottom w:val="single" w:color="auto" w:sz="8" w:space="0"/>
              <w:right w:val="single" w:color="auto" w:sz="4" w:space="0"/>
            </w:tcBorders>
            <w:vAlign w:val="center"/>
          </w:tcPr>
          <w:p w14:paraId="5F9AAA50">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5B2F2058">
            <w:pPr>
              <w:spacing w:line="320" w:lineRule="exact"/>
              <w:jc w:val="left"/>
              <w:rPr>
                <w:color w:val="000000"/>
                <w:kern w:val="0"/>
                <w:sz w:val="18"/>
                <w:szCs w:val="18"/>
              </w:rPr>
            </w:pPr>
            <w:r>
              <w:rPr>
                <w:rFonts w:hint="eastAsia"/>
                <w:color w:val="000000"/>
                <w:kern w:val="0"/>
                <w:sz w:val="18"/>
                <w:szCs w:val="18"/>
              </w:rPr>
              <w:t>成果已交付的</w:t>
            </w:r>
          </w:p>
        </w:tc>
        <w:tc>
          <w:tcPr>
            <w:tcW w:w="1100" w:type="dxa"/>
            <w:vMerge w:val="continue"/>
            <w:tcBorders>
              <w:top w:val="single" w:color="auto" w:sz="4" w:space="0"/>
              <w:left w:val="single" w:color="auto" w:sz="4" w:space="0"/>
              <w:bottom w:val="single" w:color="auto" w:sz="8" w:space="0"/>
              <w:right w:val="single" w:color="auto" w:sz="4" w:space="0"/>
            </w:tcBorders>
            <w:vAlign w:val="center"/>
          </w:tcPr>
          <w:p w14:paraId="2AC3AE1D">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8" w:space="0"/>
              <w:right w:val="single" w:color="auto" w:sz="8" w:space="0"/>
            </w:tcBorders>
            <w:vAlign w:val="center"/>
          </w:tcPr>
          <w:p w14:paraId="6D43F2E3">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31481DB6"/>
    <w:p w14:paraId="4ABD7BFB"/>
    <w:p w14:paraId="0F931BB3"/>
    <w:p w14:paraId="30E067EC"/>
    <w:p w14:paraId="3D18A686"/>
    <w:p w14:paraId="3AAAA967"/>
    <w:p w14:paraId="53760278"/>
    <w:p w14:paraId="18C4F75F"/>
    <w:p w14:paraId="3CADD205"/>
    <w:p w14:paraId="4766A292"/>
    <w:p w14:paraId="014688F6"/>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2C2C3DCA">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0C6D7FDF">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295573EA">
            <w:pPr>
              <w:jc w:val="left"/>
              <w:textAlignment w:val="center"/>
              <w:rPr>
                <w:rFonts w:eastAsia="仿宋_GB2312"/>
                <w:b/>
                <w:bCs/>
                <w:color w:val="000000"/>
                <w:kern w:val="0"/>
                <w:sz w:val="18"/>
                <w:szCs w:val="18"/>
              </w:rPr>
            </w:pPr>
            <w:r>
              <w:rPr>
                <w:rFonts w:eastAsia="仿宋_GB2312"/>
                <w:b/>
                <w:color w:val="000000"/>
                <w:kern w:val="0"/>
                <w:sz w:val="20"/>
              </w:rPr>
              <w:t>320217094000</w:t>
            </w:r>
          </w:p>
        </w:tc>
      </w:tr>
      <w:tr w14:paraId="6558E9B6">
        <w:tblPrEx>
          <w:tblCellMar>
            <w:top w:w="0" w:type="dxa"/>
            <w:left w:w="108" w:type="dxa"/>
            <w:bottom w:w="0" w:type="dxa"/>
            <w:right w:w="108" w:type="dxa"/>
          </w:tblCellMar>
        </w:tblPrEx>
        <w:trPr>
          <w:trHeight w:val="540" w:hRule="atLeast"/>
        </w:trPr>
        <w:tc>
          <w:tcPr>
            <w:tcW w:w="1030" w:type="dxa"/>
            <w:tcBorders>
              <w:top w:val="single" w:color="auto" w:sz="4" w:space="0"/>
              <w:left w:val="single" w:color="auto" w:sz="8" w:space="0"/>
              <w:bottom w:val="single" w:color="auto" w:sz="4" w:space="0"/>
              <w:right w:val="single" w:color="auto" w:sz="4" w:space="0"/>
            </w:tcBorders>
            <w:vAlign w:val="center"/>
          </w:tcPr>
          <w:p w14:paraId="6B5FC3B4">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7780F9BC">
            <w:pPr>
              <w:spacing w:line="320" w:lineRule="exact"/>
              <w:jc w:val="left"/>
              <w:rPr>
                <w:color w:val="000000"/>
                <w:kern w:val="0"/>
                <w:sz w:val="18"/>
                <w:szCs w:val="18"/>
              </w:rPr>
            </w:pPr>
            <w:r>
              <w:rPr>
                <w:rFonts w:hint="eastAsia"/>
                <w:color w:val="000000"/>
                <w:kern w:val="0"/>
                <w:sz w:val="18"/>
                <w:szCs w:val="18"/>
              </w:rPr>
              <w:t>对擅自使用没有国家技术标准而又未经审定通过的新技术、新材料，或者将不适用于抗震设防区的新技术、新材料用于抗震设防区，或者超出经审定的抗震烈度范围的处罚</w:t>
            </w:r>
          </w:p>
        </w:tc>
      </w:tr>
      <w:tr w14:paraId="5A9EE7FD">
        <w:tblPrEx>
          <w:tblCellMar>
            <w:top w:w="0" w:type="dxa"/>
            <w:left w:w="108" w:type="dxa"/>
            <w:bottom w:w="0" w:type="dxa"/>
            <w:right w:w="108" w:type="dxa"/>
          </w:tblCellMar>
        </w:tblPrEx>
        <w:trPr>
          <w:trHeight w:val="1425" w:hRule="atLeast"/>
        </w:trPr>
        <w:tc>
          <w:tcPr>
            <w:tcW w:w="1030" w:type="dxa"/>
            <w:tcBorders>
              <w:top w:val="single" w:color="auto" w:sz="4" w:space="0"/>
              <w:left w:val="single" w:color="auto" w:sz="8" w:space="0"/>
              <w:bottom w:val="single" w:color="auto" w:sz="4" w:space="0"/>
              <w:right w:val="single" w:color="auto" w:sz="4" w:space="0"/>
            </w:tcBorders>
            <w:vAlign w:val="center"/>
          </w:tcPr>
          <w:p w14:paraId="525C951D">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0CA4F5C7">
            <w:pPr>
              <w:spacing w:line="320" w:lineRule="exact"/>
              <w:jc w:val="left"/>
              <w:rPr>
                <w:color w:val="000000"/>
                <w:kern w:val="0"/>
                <w:sz w:val="18"/>
                <w:szCs w:val="18"/>
              </w:rPr>
            </w:pPr>
            <w:r>
              <w:rPr>
                <w:rFonts w:hint="eastAsia"/>
                <w:color w:val="000000"/>
                <w:kern w:val="0"/>
                <w:sz w:val="18"/>
                <w:szCs w:val="18"/>
              </w:rPr>
              <w:t>【规章】《房屋建筑工程抗震设防管理规定》（建设部令第</w:t>
            </w:r>
            <w:r>
              <w:rPr>
                <w:color w:val="000000"/>
                <w:kern w:val="0"/>
                <w:sz w:val="18"/>
                <w:szCs w:val="18"/>
              </w:rPr>
              <w:t>148</w:t>
            </w:r>
            <w:r>
              <w:rPr>
                <w:rFonts w:hint="eastAsia"/>
                <w:color w:val="000000"/>
                <w:kern w:val="0"/>
                <w:sz w:val="18"/>
                <w:szCs w:val="18"/>
              </w:rPr>
              <w:t>号）</w:t>
            </w:r>
          </w:p>
          <w:p w14:paraId="4819AA1D">
            <w:pPr>
              <w:spacing w:line="320" w:lineRule="exact"/>
              <w:jc w:val="left"/>
              <w:rPr>
                <w:color w:val="000000"/>
                <w:kern w:val="0"/>
                <w:sz w:val="18"/>
                <w:szCs w:val="18"/>
              </w:rPr>
            </w:pPr>
            <w:r>
              <w:rPr>
                <w:rFonts w:hint="eastAsia"/>
                <w:color w:val="000000"/>
                <w:kern w:val="0"/>
                <w:sz w:val="18"/>
                <w:szCs w:val="18"/>
              </w:rPr>
              <w:t>第九条　采用可能影响房屋建筑工程抗震安全，又没有国家技术标准的新技术、新材料的，应当按照有关规定申请核准。申请时，应当说明是否适用于抗震设防区以及适用的抗震设防烈度范围。</w:t>
            </w:r>
          </w:p>
          <w:p w14:paraId="61E4C781">
            <w:pPr>
              <w:spacing w:line="320" w:lineRule="exact"/>
              <w:jc w:val="left"/>
              <w:rPr>
                <w:color w:val="000000"/>
                <w:kern w:val="0"/>
                <w:sz w:val="18"/>
                <w:szCs w:val="18"/>
              </w:rPr>
            </w:pPr>
            <w:r>
              <w:rPr>
                <w:rFonts w:hint="eastAsia"/>
                <w:color w:val="000000"/>
                <w:kern w:val="0"/>
                <w:sz w:val="18"/>
                <w:szCs w:val="18"/>
              </w:rPr>
              <w:t>第二十五条　违反本规定，擅自使用没有国家技术标准又未经审定通过的新技术、新材料，或者将不适用于抗震设防区的新技术、新材料用于抗震设防区，或者超出经审定的抗震烈度范围的，由县级以上地方人民政府建设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2DA00D08">
            <w:pPr>
              <w:spacing w:line="320" w:lineRule="exact"/>
              <w:jc w:val="left"/>
              <w:rPr>
                <w:color w:val="000000"/>
                <w:kern w:val="0"/>
                <w:sz w:val="18"/>
                <w:szCs w:val="18"/>
              </w:rPr>
            </w:pPr>
            <w:r>
              <w:rPr>
                <w:rFonts w:hint="eastAsia"/>
                <w:color w:val="000000"/>
                <w:kern w:val="0"/>
                <w:sz w:val="18"/>
                <w:szCs w:val="18"/>
              </w:rPr>
              <w:t>【规章】《市政公用设施抗灾设防管理规定》（住房和城乡建设部令第</w:t>
            </w:r>
            <w:r>
              <w:rPr>
                <w:color w:val="000000"/>
                <w:kern w:val="0"/>
                <w:sz w:val="18"/>
                <w:szCs w:val="18"/>
              </w:rPr>
              <w:t>1</w:t>
            </w:r>
            <w:r>
              <w:rPr>
                <w:rFonts w:hint="eastAsia"/>
                <w:color w:val="000000"/>
                <w:kern w:val="0"/>
                <w:sz w:val="18"/>
                <w:szCs w:val="18"/>
              </w:rPr>
              <w:t>号）</w:t>
            </w:r>
          </w:p>
          <w:p w14:paraId="344CA506">
            <w:pPr>
              <w:spacing w:line="320" w:lineRule="exact"/>
              <w:jc w:val="left"/>
              <w:rPr>
                <w:color w:val="000000"/>
                <w:kern w:val="0"/>
                <w:sz w:val="18"/>
                <w:szCs w:val="18"/>
              </w:rPr>
            </w:pPr>
            <w:r>
              <w:rPr>
                <w:rFonts w:hint="eastAsia"/>
                <w:color w:val="000000"/>
                <w:kern w:val="0"/>
                <w:sz w:val="18"/>
                <w:szCs w:val="18"/>
              </w:rPr>
              <w:t>第六条</w:t>
            </w:r>
            <w:r>
              <w:rPr>
                <w:color w:val="000000"/>
                <w:kern w:val="0"/>
                <w:sz w:val="18"/>
                <w:szCs w:val="18"/>
              </w:rPr>
              <w:t xml:space="preserve"> </w:t>
            </w:r>
            <w:r>
              <w:rPr>
                <w:rFonts w:hint="eastAsia"/>
                <w:color w:val="000000"/>
                <w:kern w:val="0"/>
                <w:sz w:val="18"/>
                <w:szCs w:val="18"/>
              </w:rPr>
              <w:t>国家鼓励采用符合工程建设标准的先进技术方法和材料设备，进行市政公用设施的抗灾设计与施工。在工程设计和施工中采用可能影响市政公用设施抗灾能力，且无相应工程建设标准的新技术、新材料的，应当按照国家有关规定申请核准。</w:t>
            </w:r>
          </w:p>
          <w:p w14:paraId="331CCF1E">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违反本规定，擅自采用没有工程建设标准又未经核准的新技术、新材料的，由县级以上地方人民政府建设主管部门责令限期改正，并处以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72C5FE8E">
            <w:pPr>
              <w:spacing w:line="320" w:lineRule="exact"/>
              <w:jc w:val="left"/>
              <w:rPr>
                <w:color w:val="000000"/>
                <w:kern w:val="0"/>
                <w:sz w:val="18"/>
                <w:szCs w:val="18"/>
              </w:rPr>
            </w:pPr>
            <w:r>
              <w:rPr>
                <w:rFonts w:hint="eastAsia"/>
                <w:color w:val="000000"/>
                <w:kern w:val="0"/>
                <w:sz w:val="18"/>
                <w:szCs w:val="18"/>
              </w:rPr>
              <w:t>【规章】《住房和城乡建设部关于修改</w:t>
            </w:r>
            <w:r>
              <w:rPr>
                <w:color w:val="000000"/>
                <w:kern w:val="0"/>
                <w:sz w:val="18"/>
                <w:szCs w:val="18"/>
              </w:rPr>
              <w:t>&lt;</w:t>
            </w:r>
            <w:r>
              <w:rPr>
                <w:rFonts w:hint="eastAsia"/>
                <w:color w:val="000000"/>
                <w:kern w:val="0"/>
                <w:sz w:val="18"/>
                <w:szCs w:val="18"/>
              </w:rPr>
              <w:t>市政公用设施抗灾设防管理规定</w:t>
            </w:r>
            <w:r>
              <w:rPr>
                <w:color w:val="000000"/>
                <w:kern w:val="0"/>
                <w:sz w:val="18"/>
                <w:szCs w:val="18"/>
              </w:rPr>
              <w:t>&gt;</w:t>
            </w:r>
            <w:r>
              <w:rPr>
                <w:rFonts w:hint="eastAsia"/>
                <w:color w:val="000000"/>
                <w:kern w:val="0"/>
                <w:sz w:val="18"/>
                <w:szCs w:val="18"/>
              </w:rPr>
              <w:t>等部门规章的决定》（住房和城乡建设部令第</w:t>
            </w:r>
            <w:r>
              <w:rPr>
                <w:color w:val="000000"/>
                <w:kern w:val="0"/>
                <w:sz w:val="18"/>
                <w:szCs w:val="18"/>
              </w:rPr>
              <w:t>23</w:t>
            </w:r>
            <w:r>
              <w:rPr>
                <w:rFonts w:hint="eastAsia"/>
                <w:color w:val="000000"/>
                <w:kern w:val="0"/>
                <w:sz w:val="18"/>
                <w:szCs w:val="18"/>
              </w:rPr>
              <w:t>号）</w:t>
            </w:r>
          </w:p>
          <w:p w14:paraId="066BFE94">
            <w:pPr>
              <w:spacing w:line="320" w:lineRule="exact"/>
              <w:jc w:val="left"/>
              <w:rPr>
                <w:color w:val="000000"/>
                <w:kern w:val="0"/>
                <w:sz w:val="18"/>
                <w:szCs w:val="18"/>
              </w:rPr>
            </w:pPr>
            <w:r>
              <w:rPr>
                <w:rFonts w:hint="eastAsia"/>
                <w:color w:val="000000"/>
                <w:kern w:val="0"/>
                <w:sz w:val="18"/>
                <w:szCs w:val="18"/>
              </w:rPr>
              <w:t>一、将《市政公用设施抗灾设防管理规定》（住房城乡建设部令第</w:t>
            </w:r>
            <w:r>
              <w:rPr>
                <w:color w:val="000000"/>
                <w:kern w:val="0"/>
                <w:sz w:val="18"/>
                <w:szCs w:val="18"/>
              </w:rPr>
              <w:t>1</w:t>
            </w:r>
            <w:r>
              <w:rPr>
                <w:rFonts w:hint="eastAsia"/>
                <w:color w:val="000000"/>
                <w:kern w:val="0"/>
                <w:sz w:val="18"/>
                <w:szCs w:val="18"/>
              </w:rPr>
              <w:t>号）将第三十一条修改为：</w:t>
            </w:r>
            <w:r>
              <w:rPr>
                <w:color w:val="000000"/>
                <w:kern w:val="0"/>
                <w:sz w:val="18"/>
                <w:szCs w:val="18"/>
              </w:rPr>
              <w:t>“</w:t>
            </w:r>
            <w:r>
              <w:rPr>
                <w:rFonts w:hint="eastAsia"/>
                <w:color w:val="000000"/>
                <w:kern w:val="0"/>
                <w:sz w:val="18"/>
                <w:szCs w:val="18"/>
              </w:rPr>
              <w:t>违反本规定，擅自使用没有国家技术标准又未经审定的新技术、新材料的，由县级以上地方人民政府住房城乡建设主管部门责令限期改正，并处以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7B19EDD3">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2E6B042C">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3F81130F">
            <w:pPr>
              <w:spacing w:line="320" w:lineRule="exact"/>
              <w:jc w:val="left"/>
              <w:rPr>
                <w:color w:val="000000"/>
                <w:kern w:val="0"/>
                <w:sz w:val="18"/>
                <w:szCs w:val="18"/>
              </w:rPr>
            </w:pPr>
            <w:r>
              <w:rPr>
                <w:rFonts w:hint="eastAsia"/>
                <w:color w:val="000000"/>
                <w:kern w:val="0"/>
                <w:sz w:val="18"/>
                <w:szCs w:val="18"/>
              </w:rPr>
              <w:t>责令限期改正，罚款</w:t>
            </w:r>
          </w:p>
        </w:tc>
      </w:tr>
      <w:tr w14:paraId="07BD1A2B">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1E4D19F6">
            <w:pPr>
              <w:spacing w:line="320" w:lineRule="exact"/>
              <w:jc w:val="center"/>
              <w:rPr>
                <w:color w:val="000000"/>
                <w:kern w:val="0"/>
                <w:sz w:val="18"/>
                <w:szCs w:val="18"/>
              </w:rPr>
            </w:pPr>
            <w:r>
              <w:rPr>
                <w:rFonts w:hint="eastAsia"/>
                <w:color w:val="000000"/>
                <w:kern w:val="0"/>
                <w:sz w:val="18"/>
                <w:szCs w:val="18"/>
              </w:rPr>
              <w:t>裁量基准</w:t>
            </w:r>
          </w:p>
        </w:tc>
      </w:tr>
      <w:tr w14:paraId="2E3C8D56">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8" w:space="0"/>
              <w:bottom w:val="single" w:color="auto" w:sz="4" w:space="0"/>
              <w:right w:val="single" w:color="auto" w:sz="4" w:space="0"/>
            </w:tcBorders>
            <w:vAlign w:val="center"/>
          </w:tcPr>
          <w:p w14:paraId="7222BDD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1BD97F84">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63F74428">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7866237A">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310AF5F8">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8" w:space="0"/>
              <w:bottom w:val="single" w:color="auto" w:sz="4" w:space="0"/>
              <w:right w:val="single" w:color="auto" w:sz="4" w:space="0"/>
            </w:tcBorders>
            <w:vAlign w:val="center"/>
          </w:tcPr>
          <w:p w14:paraId="10F8DE96">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6703C742">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2DED647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8" w:space="0"/>
            </w:tcBorders>
            <w:vAlign w:val="center"/>
          </w:tcPr>
          <w:p w14:paraId="2A5D7A2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7DD77AF9"/>
    <w:p w14:paraId="604C1464"/>
    <w:p w14:paraId="3B5ACB4B"/>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49209A81">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D7AB864">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161E22CD">
            <w:pPr>
              <w:spacing w:line="320" w:lineRule="exact"/>
              <w:jc w:val="left"/>
              <w:rPr>
                <w:rFonts w:eastAsia="仿宋_GB2312"/>
                <w:b/>
                <w:bCs/>
                <w:color w:val="000000"/>
                <w:kern w:val="0"/>
                <w:sz w:val="18"/>
                <w:szCs w:val="18"/>
              </w:rPr>
            </w:pPr>
            <w:r>
              <w:rPr>
                <w:rFonts w:eastAsia="仿宋_GB2312"/>
                <w:b/>
                <w:bCs/>
                <w:color w:val="000000"/>
                <w:kern w:val="0"/>
                <w:sz w:val="18"/>
                <w:szCs w:val="18"/>
              </w:rPr>
              <w:t>320217095000</w:t>
            </w:r>
          </w:p>
        </w:tc>
      </w:tr>
      <w:tr w14:paraId="47F0F76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011998E">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6CA62D7F">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涂改、倒卖、出租、出借或者以其他形式非法转让安全生产考核合格证书的处罚</w:t>
            </w:r>
          </w:p>
        </w:tc>
      </w:tr>
      <w:tr w14:paraId="12EB6238">
        <w:tblPrEx>
          <w:tblCellMar>
            <w:top w:w="0" w:type="dxa"/>
            <w:left w:w="108" w:type="dxa"/>
            <w:bottom w:w="0" w:type="dxa"/>
            <w:right w:w="108" w:type="dxa"/>
          </w:tblCellMar>
        </w:tblPrEx>
        <w:trPr>
          <w:trHeight w:val="1140" w:hRule="atLeast"/>
        </w:trPr>
        <w:tc>
          <w:tcPr>
            <w:tcW w:w="1010" w:type="dxa"/>
            <w:tcBorders>
              <w:top w:val="nil"/>
              <w:left w:val="single" w:color="auto" w:sz="8" w:space="0"/>
              <w:bottom w:val="single" w:color="auto" w:sz="4" w:space="0"/>
              <w:right w:val="single" w:color="auto" w:sz="4" w:space="0"/>
            </w:tcBorders>
            <w:vAlign w:val="center"/>
          </w:tcPr>
          <w:p w14:paraId="774FBE50">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6985EBCE">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号）　</w:t>
            </w:r>
          </w:p>
          <w:p w14:paraId="798CC1BF">
            <w:pPr>
              <w:spacing w:line="320" w:lineRule="exact"/>
              <w:jc w:val="left"/>
              <w:rPr>
                <w:color w:val="000000"/>
                <w:kern w:val="0"/>
                <w:sz w:val="18"/>
                <w:szCs w:val="18"/>
              </w:rPr>
            </w:pPr>
            <w:r>
              <w:rPr>
                <w:rFonts w:hint="eastAsia"/>
                <w:color w:val="000000"/>
                <w:kern w:val="0"/>
                <w:sz w:val="18"/>
                <w:szCs w:val="18"/>
              </w:rPr>
              <w:t>　　第二十八条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涂改、倒卖、出租、出借或者以其他形式非法转让安全生产考核合格证书的，由县级以上地方人民政府住房城乡建设主管部门给予警告，并处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4A7FF1FF">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13FEC12">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2E2410F4">
            <w:pPr>
              <w:spacing w:line="320" w:lineRule="exact"/>
              <w:jc w:val="left"/>
              <w:rPr>
                <w:color w:val="000000"/>
                <w:kern w:val="0"/>
                <w:sz w:val="18"/>
                <w:szCs w:val="18"/>
              </w:rPr>
            </w:pPr>
            <w:r>
              <w:rPr>
                <w:rFonts w:hint="eastAsia"/>
                <w:color w:val="000000"/>
                <w:kern w:val="0"/>
                <w:sz w:val="18"/>
                <w:szCs w:val="18"/>
              </w:rPr>
              <w:t>警告，罚款</w:t>
            </w:r>
          </w:p>
        </w:tc>
      </w:tr>
      <w:tr w14:paraId="184D013A">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53A75EB8">
            <w:pPr>
              <w:spacing w:line="320" w:lineRule="exact"/>
              <w:jc w:val="center"/>
              <w:rPr>
                <w:color w:val="000000"/>
                <w:kern w:val="0"/>
                <w:sz w:val="18"/>
                <w:szCs w:val="18"/>
              </w:rPr>
            </w:pPr>
            <w:r>
              <w:rPr>
                <w:rFonts w:hint="eastAsia"/>
                <w:color w:val="000000"/>
                <w:kern w:val="0"/>
                <w:sz w:val="18"/>
                <w:szCs w:val="18"/>
              </w:rPr>
              <w:t>裁量基准</w:t>
            </w:r>
          </w:p>
        </w:tc>
      </w:tr>
      <w:tr w14:paraId="5DC9AFBB">
        <w:tblPrEx>
          <w:tblCellMar>
            <w:top w:w="0" w:type="dxa"/>
            <w:left w:w="108" w:type="dxa"/>
            <w:bottom w:w="0" w:type="dxa"/>
            <w:right w:w="108" w:type="dxa"/>
          </w:tblCellMar>
        </w:tblPrEx>
        <w:trPr>
          <w:trHeight w:val="285" w:hRule="atLeast"/>
        </w:trPr>
        <w:tc>
          <w:tcPr>
            <w:tcW w:w="1010" w:type="dxa"/>
            <w:tcBorders>
              <w:top w:val="nil"/>
              <w:left w:val="single" w:color="auto" w:sz="8" w:space="0"/>
              <w:bottom w:val="nil"/>
              <w:right w:val="single" w:color="auto" w:sz="4" w:space="0"/>
            </w:tcBorders>
            <w:vAlign w:val="center"/>
          </w:tcPr>
          <w:p w14:paraId="13DE336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D187750">
            <w:pPr>
              <w:spacing w:line="320" w:lineRule="exact"/>
              <w:jc w:val="left"/>
              <w:rPr>
                <w:color w:val="000000"/>
                <w:kern w:val="0"/>
                <w:sz w:val="18"/>
                <w:szCs w:val="18"/>
              </w:rPr>
            </w:pPr>
            <w:r>
              <w:rPr>
                <w:rFonts w:hint="eastAsia"/>
                <w:color w:val="000000"/>
                <w:kern w:val="0"/>
                <w:sz w:val="18"/>
                <w:szCs w:val="18"/>
              </w:rPr>
              <w:t>未造成安全事故的</w:t>
            </w:r>
          </w:p>
        </w:tc>
        <w:tc>
          <w:tcPr>
            <w:tcW w:w="1030" w:type="dxa"/>
            <w:tcBorders>
              <w:top w:val="nil"/>
              <w:left w:val="nil"/>
              <w:bottom w:val="nil"/>
              <w:right w:val="single" w:color="auto" w:sz="4" w:space="0"/>
            </w:tcBorders>
            <w:vAlign w:val="center"/>
          </w:tcPr>
          <w:p w14:paraId="7C097DED">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49213A5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14:paraId="4473143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CD4D569">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CB3723A">
            <w:pPr>
              <w:spacing w:line="320" w:lineRule="exact"/>
              <w:jc w:val="left"/>
              <w:rPr>
                <w:color w:val="000000"/>
                <w:kern w:val="0"/>
                <w:sz w:val="18"/>
                <w:szCs w:val="18"/>
              </w:rPr>
            </w:pPr>
            <w:r>
              <w:rPr>
                <w:rFonts w:hint="eastAsia"/>
                <w:color w:val="000000"/>
                <w:kern w:val="0"/>
                <w:sz w:val="18"/>
                <w:szCs w:val="18"/>
              </w:rPr>
              <w:t>造成安全事故的</w:t>
            </w:r>
          </w:p>
        </w:tc>
        <w:tc>
          <w:tcPr>
            <w:tcW w:w="1030" w:type="dxa"/>
            <w:tcBorders>
              <w:top w:val="nil"/>
              <w:left w:val="nil"/>
              <w:bottom w:val="single" w:color="auto" w:sz="4" w:space="0"/>
              <w:right w:val="single" w:color="auto" w:sz="4" w:space="0"/>
            </w:tcBorders>
            <w:vAlign w:val="center"/>
          </w:tcPr>
          <w:p w14:paraId="3F40047A">
            <w:pPr>
              <w:spacing w:line="320" w:lineRule="exact"/>
              <w:jc w:val="center"/>
              <w:rPr>
                <w:color w:val="000000"/>
                <w:kern w:val="0"/>
                <w:sz w:val="18"/>
                <w:szCs w:val="18"/>
              </w:rPr>
            </w:pPr>
          </w:p>
        </w:tc>
        <w:tc>
          <w:tcPr>
            <w:tcW w:w="5850" w:type="dxa"/>
            <w:tcBorders>
              <w:top w:val="single" w:color="auto" w:sz="4" w:space="0"/>
              <w:left w:val="nil"/>
              <w:bottom w:val="single" w:color="auto" w:sz="4" w:space="0"/>
              <w:right w:val="single" w:color="auto" w:sz="8" w:space="0"/>
            </w:tcBorders>
            <w:vAlign w:val="center"/>
          </w:tcPr>
          <w:p w14:paraId="22F14B6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12D1CF29"/>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08480779">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439E720B">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1C609F3D">
            <w:pPr>
              <w:spacing w:line="320" w:lineRule="exact"/>
              <w:jc w:val="left"/>
              <w:rPr>
                <w:rFonts w:eastAsia="仿宋_GB2312"/>
                <w:b/>
                <w:bCs/>
                <w:color w:val="000000"/>
                <w:kern w:val="0"/>
                <w:sz w:val="18"/>
                <w:szCs w:val="18"/>
              </w:rPr>
            </w:pPr>
            <w:r>
              <w:rPr>
                <w:rFonts w:eastAsia="仿宋_GB2312"/>
                <w:b/>
                <w:bCs/>
                <w:color w:val="000000"/>
                <w:kern w:val="0"/>
                <w:sz w:val="18"/>
                <w:szCs w:val="18"/>
              </w:rPr>
              <w:t>320217098000</w:t>
            </w:r>
            <w:r>
              <w:rPr>
                <w:rFonts w:hint="eastAsia" w:eastAsia="仿宋_GB2312"/>
                <w:b/>
                <w:bCs/>
                <w:color w:val="000000"/>
                <w:kern w:val="0"/>
                <w:sz w:val="18"/>
                <w:szCs w:val="18"/>
              </w:rPr>
              <w:t xml:space="preserve"> </w:t>
            </w:r>
          </w:p>
        </w:tc>
      </w:tr>
      <w:tr w14:paraId="2ADFE9AF">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6E0B2D04">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1D4F13A9">
            <w:pPr>
              <w:spacing w:line="320" w:lineRule="exact"/>
              <w:jc w:val="left"/>
              <w:rPr>
                <w:color w:val="000000"/>
                <w:kern w:val="0"/>
                <w:sz w:val="18"/>
                <w:szCs w:val="18"/>
              </w:rPr>
            </w:pPr>
            <w:r>
              <w:rPr>
                <w:rFonts w:hint="eastAsia"/>
                <w:color w:val="000000"/>
                <w:kern w:val="0"/>
                <w:sz w:val="18"/>
                <w:szCs w:val="18"/>
              </w:rPr>
              <w:t>对用贮罐、槽车直接向气瓶充装燃气或者用气瓶相互倒灌燃气的处罚</w:t>
            </w:r>
          </w:p>
        </w:tc>
      </w:tr>
      <w:tr w14:paraId="1BE18EEC">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5DC1B078">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7870145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【地方性法规】《江苏省燃气管理条例》</w:t>
            </w:r>
          </w:p>
          <w:p w14:paraId="2817315E">
            <w:pPr>
              <w:spacing w:line="320" w:lineRule="exact"/>
              <w:jc w:val="left"/>
              <w:rPr>
                <w:color w:val="000000"/>
                <w:kern w:val="0"/>
                <w:sz w:val="18"/>
                <w:szCs w:val="18"/>
              </w:rPr>
            </w:pPr>
            <w:r>
              <w:rPr>
                <w:rFonts w:hint="eastAsia"/>
                <w:color w:val="000000"/>
                <w:kern w:val="0"/>
                <w:sz w:val="18"/>
                <w:szCs w:val="18"/>
              </w:rPr>
              <w:t>　第二十三条  瓶装燃气经营者应当遵守下列规定：</w:t>
            </w:r>
          </w:p>
          <w:p w14:paraId="00107077">
            <w:pPr>
              <w:spacing w:line="320" w:lineRule="exact"/>
              <w:jc w:val="left"/>
              <w:rPr>
                <w:color w:val="000000"/>
                <w:kern w:val="0"/>
                <w:sz w:val="18"/>
                <w:szCs w:val="18"/>
              </w:rPr>
            </w:pPr>
            <w:r>
              <w:rPr>
                <w:rFonts w:hint="eastAsia"/>
                <w:color w:val="000000"/>
                <w:kern w:val="0"/>
                <w:sz w:val="18"/>
                <w:szCs w:val="18"/>
              </w:rPr>
              <w:t xml:space="preserve">   （三）不得用贮罐、槽车直接向气瓶充装燃气或者用气瓶相互倒灌燃气；</w:t>
            </w:r>
          </w:p>
          <w:p w14:paraId="0D343461">
            <w:pPr>
              <w:spacing w:line="320" w:lineRule="exact"/>
              <w:jc w:val="left"/>
              <w:rPr>
                <w:color w:val="000000"/>
                <w:kern w:val="0"/>
                <w:sz w:val="18"/>
                <w:szCs w:val="18"/>
              </w:rPr>
            </w:pPr>
            <w:r>
              <w:rPr>
                <w:rFonts w:hint="eastAsia"/>
                <w:color w:val="000000"/>
                <w:kern w:val="0"/>
                <w:sz w:val="18"/>
                <w:szCs w:val="18"/>
              </w:rPr>
              <w:t xml:space="preserve">   第六十一条第二款  违反本条例第二十三条第三项至第六项规定，由燃气主管部门责令限期改正，处一万元以上十万元以下罚款。</w:t>
            </w:r>
          </w:p>
        </w:tc>
      </w:tr>
      <w:tr w14:paraId="345DA9C2">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5DFF0A55">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650B5713">
            <w:pPr>
              <w:spacing w:line="320" w:lineRule="exact"/>
              <w:jc w:val="left"/>
              <w:rPr>
                <w:color w:val="000000"/>
                <w:kern w:val="0"/>
                <w:sz w:val="18"/>
                <w:szCs w:val="18"/>
              </w:rPr>
            </w:pPr>
            <w:r>
              <w:rPr>
                <w:rFonts w:hint="eastAsia"/>
                <w:color w:val="000000"/>
                <w:kern w:val="0"/>
                <w:sz w:val="18"/>
                <w:szCs w:val="18"/>
              </w:rPr>
              <w:t>责令限期改正，罚款</w:t>
            </w:r>
          </w:p>
        </w:tc>
      </w:tr>
      <w:tr w14:paraId="635F15C1">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593D8516">
            <w:pPr>
              <w:spacing w:line="320" w:lineRule="exact"/>
              <w:jc w:val="center"/>
              <w:rPr>
                <w:color w:val="000000"/>
                <w:kern w:val="0"/>
                <w:sz w:val="18"/>
                <w:szCs w:val="18"/>
              </w:rPr>
            </w:pPr>
            <w:r>
              <w:rPr>
                <w:rFonts w:hint="eastAsia"/>
                <w:color w:val="000000"/>
                <w:kern w:val="0"/>
                <w:sz w:val="18"/>
                <w:szCs w:val="18"/>
              </w:rPr>
              <w:t>裁量基准</w:t>
            </w:r>
          </w:p>
        </w:tc>
      </w:tr>
      <w:tr w14:paraId="235B9F91">
        <w:tblPrEx>
          <w:tblCellMar>
            <w:top w:w="0" w:type="dxa"/>
            <w:left w:w="108" w:type="dxa"/>
            <w:bottom w:w="0" w:type="dxa"/>
            <w:right w:w="108" w:type="dxa"/>
          </w:tblCellMar>
        </w:tblPrEx>
        <w:trPr>
          <w:gridAfter w:val="1"/>
          <w:wAfter w:w="14" w:type="dxa"/>
          <w:trHeight w:val="285"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00F0347E">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5789BBBA">
            <w:pPr>
              <w:spacing w:line="320" w:lineRule="exact"/>
              <w:jc w:val="left"/>
              <w:rPr>
                <w:color w:val="000000"/>
                <w:kern w:val="0"/>
                <w:sz w:val="18"/>
                <w:szCs w:val="18"/>
              </w:rPr>
            </w:pPr>
            <w:r>
              <w:rPr>
                <w:rFonts w:hint="eastAsia"/>
                <w:color w:val="000000"/>
                <w:kern w:val="0"/>
                <w:sz w:val="18"/>
                <w:szCs w:val="18"/>
              </w:rPr>
              <w:t>未造成安全事故的</w:t>
            </w:r>
          </w:p>
        </w:tc>
        <w:tc>
          <w:tcPr>
            <w:tcW w:w="1139" w:type="dxa"/>
            <w:vMerge w:val="restart"/>
            <w:tcBorders>
              <w:top w:val="single" w:color="auto" w:sz="4" w:space="0"/>
              <w:left w:val="single" w:color="auto" w:sz="4" w:space="0"/>
              <w:bottom w:val="single" w:color="auto" w:sz="4" w:space="0"/>
              <w:right w:val="single" w:color="auto" w:sz="4" w:space="0"/>
            </w:tcBorders>
            <w:vAlign w:val="center"/>
          </w:tcPr>
          <w:p w14:paraId="2131EAEB">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color="auto" w:sz="4" w:space="0"/>
              <w:left w:val="nil"/>
              <w:bottom w:val="single" w:color="auto" w:sz="4" w:space="0"/>
              <w:right w:val="single" w:color="auto" w:sz="4" w:space="0"/>
            </w:tcBorders>
            <w:vAlign w:val="center"/>
          </w:tcPr>
          <w:p w14:paraId="2E0710A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1498C4EE">
        <w:tblPrEx>
          <w:tblCellMar>
            <w:top w:w="0" w:type="dxa"/>
            <w:left w:w="108" w:type="dxa"/>
            <w:bottom w:w="0" w:type="dxa"/>
            <w:right w:w="108" w:type="dxa"/>
          </w:tblCellMar>
        </w:tblPrEx>
        <w:trPr>
          <w:gridAfter w:val="1"/>
          <w:wAfter w:w="14" w:type="dxa"/>
          <w:trHeight w:val="650"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3DC17A8F">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68AACFB4">
            <w:pPr>
              <w:spacing w:line="320" w:lineRule="exact"/>
              <w:jc w:val="left"/>
              <w:rPr>
                <w:color w:val="000000"/>
                <w:kern w:val="0"/>
                <w:sz w:val="18"/>
                <w:szCs w:val="18"/>
              </w:rPr>
            </w:pPr>
            <w:r>
              <w:rPr>
                <w:rFonts w:hint="eastAsia"/>
                <w:color w:val="000000"/>
                <w:kern w:val="0"/>
                <w:sz w:val="18"/>
                <w:szCs w:val="18"/>
              </w:rPr>
              <w:t>已经造成安全事故的</w:t>
            </w:r>
          </w:p>
        </w:tc>
        <w:tc>
          <w:tcPr>
            <w:tcW w:w="1139" w:type="dxa"/>
            <w:vMerge w:val="continue"/>
            <w:tcBorders>
              <w:top w:val="single" w:color="auto" w:sz="4" w:space="0"/>
              <w:left w:val="single" w:color="auto" w:sz="4" w:space="0"/>
              <w:bottom w:val="single" w:color="auto" w:sz="4" w:space="0"/>
              <w:right w:val="single" w:color="auto" w:sz="4" w:space="0"/>
            </w:tcBorders>
            <w:vAlign w:val="center"/>
          </w:tcPr>
          <w:p w14:paraId="757F23C8">
            <w:pPr>
              <w:spacing w:line="320" w:lineRule="exact"/>
              <w:jc w:val="left"/>
              <w:rPr>
                <w:color w:val="000000"/>
                <w:kern w:val="0"/>
                <w:sz w:val="18"/>
                <w:szCs w:val="18"/>
              </w:rPr>
            </w:pPr>
          </w:p>
        </w:tc>
        <w:tc>
          <w:tcPr>
            <w:tcW w:w="6180" w:type="dxa"/>
            <w:tcBorders>
              <w:top w:val="single" w:color="auto" w:sz="4" w:space="0"/>
              <w:left w:val="nil"/>
              <w:bottom w:val="single" w:color="auto" w:sz="4" w:space="0"/>
              <w:right w:val="single" w:color="auto" w:sz="4" w:space="0"/>
            </w:tcBorders>
            <w:vAlign w:val="center"/>
          </w:tcPr>
          <w:p w14:paraId="5142120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万元以上10万元以下罚款</w:t>
            </w:r>
          </w:p>
        </w:tc>
      </w:tr>
    </w:tbl>
    <w:p w14:paraId="5EE4676A"/>
    <w:p w14:paraId="7A345F93"/>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037D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036FA632">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580FC2F9">
            <w:pPr>
              <w:spacing w:line="320" w:lineRule="exact"/>
              <w:jc w:val="left"/>
              <w:rPr>
                <w:rFonts w:eastAsia="仿宋_GB2312"/>
                <w:b/>
                <w:bCs/>
                <w:color w:val="000000"/>
                <w:kern w:val="0"/>
                <w:sz w:val="18"/>
                <w:szCs w:val="18"/>
              </w:rPr>
            </w:pPr>
            <w:r>
              <w:rPr>
                <w:rFonts w:eastAsia="仿宋_GB2312"/>
                <w:b/>
                <w:bCs/>
                <w:color w:val="000000"/>
                <w:kern w:val="0"/>
                <w:sz w:val="18"/>
                <w:szCs w:val="18"/>
              </w:rPr>
              <w:t>320217099000</w:t>
            </w:r>
            <w:r>
              <w:rPr>
                <w:rFonts w:hint="eastAsia" w:eastAsia="仿宋_GB2312"/>
                <w:b/>
                <w:bCs/>
                <w:color w:val="000000"/>
                <w:kern w:val="0"/>
                <w:sz w:val="18"/>
                <w:szCs w:val="18"/>
              </w:rPr>
              <w:t xml:space="preserve"> </w:t>
            </w:r>
          </w:p>
        </w:tc>
      </w:tr>
      <w:tr w14:paraId="7D3E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3FD5A10F">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1158203D">
            <w:pPr>
              <w:spacing w:line="320" w:lineRule="exact"/>
              <w:jc w:val="left"/>
              <w:rPr>
                <w:color w:val="000000"/>
                <w:kern w:val="0"/>
                <w:sz w:val="18"/>
                <w:szCs w:val="18"/>
              </w:rPr>
            </w:pPr>
            <w:r>
              <w:rPr>
                <w:rFonts w:hint="eastAsia"/>
                <w:color w:val="000000"/>
                <w:kern w:val="0"/>
                <w:sz w:val="18"/>
                <w:szCs w:val="18"/>
              </w:rPr>
              <w:t>对特种设备使用单位使用特种设备未按照规定办理使用登记的；未建立特种设备安全技术档案或者安全技术档案不符合规定要求，或者未依法设置使用登记标志、定期检验标志的；未对其使用的特种设备进行经常性维护保养和定期自行检查，或者未对其使用的特种设备的安全附件、安全保护装置进行定期校验、检修，并作出记录的；未制定特种设备事故应急专项预案的处罚</w:t>
            </w:r>
          </w:p>
        </w:tc>
      </w:tr>
      <w:tr w14:paraId="68CE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705C4227">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5043D1B0">
            <w:pPr>
              <w:spacing w:line="280" w:lineRule="exact"/>
              <w:jc w:val="left"/>
              <w:rPr>
                <w:color w:val="000000"/>
                <w:kern w:val="0"/>
                <w:sz w:val="18"/>
                <w:szCs w:val="18"/>
              </w:rPr>
            </w:pPr>
            <w:r>
              <w:rPr>
                <w:rFonts w:hint="eastAsia"/>
                <w:color w:val="000000"/>
                <w:kern w:val="0"/>
                <w:sz w:val="18"/>
                <w:szCs w:val="18"/>
              </w:rPr>
              <w:t>【法律】《中华人民共和国特种设备安全法》</w:t>
            </w:r>
          </w:p>
          <w:p w14:paraId="49522254">
            <w:pPr>
              <w:spacing w:line="28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特种设备使用单位应当使用取得许可生产并经检验合格的特种设备。</w:t>
            </w:r>
          </w:p>
          <w:p w14:paraId="21979A4E">
            <w:pPr>
              <w:spacing w:line="280" w:lineRule="exact"/>
              <w:jc w:val="left"/>
              <w:rPr>
                <w:color w:val="000000"/>
                <w:kern w:val="0"/>
                <w:sz w:val="18"/>
                <w:szCs w:val="18"/>
              </w:rPr>
            </w:pPr>
            <w:r>
              <w:rPr>
                <w:rFonts w:hint="eastAsia"/>
                <w:color w:val="000000"/>
                <w:kern w:val="0"/>
                <w:sz w:val="18"/>
                <w:szCs w:val="18"/>
              </w:rPr>
              <w:t>禁止使用国家明令淘汰和已经报废的特种设备。</w:t>
            </w:r>
          </w:p>
          <w:p w14:paraId="2397E353">
            <w:pPr>
              <w:spacing w:line="28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特种设备使用单位应当在特种设备投入使用前或者投入使用后三十日内，向负责特种设备安全监督管理的部门办理使用登记，取得使用登记证书。登记标志应当置于该特种设备的显著位置。</w:t>
            </w:r>
          </w:p>
          <w:p w14:paraId="5DD1ACD4">
            <w:pPr>
              <w:spacing w:line="28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特种设备使用单位应当对其使用的特种设备进行经常性维护保养和定期自行检查，并作出记录。</w:t>
            </w:r>
          </w:p>
          <w:p w14:paraId="640CDF90">
            <w:pPr>
              <w:spacing w:line="280" w:lineRule="exact"/>
              <w:jc w:val="left"/>
              <w:rPr>
                <w:color w:val="000000"/>
                <w:kern w:val="0"/>
                <w:sz w:val="18"/>
                <w:szCs w:val="18"/>
              </w:rPr>
            </w:pPr>
            <w:r>
              <w:rPr>
                <w:rFonts w:hint="eastAsia"/>
                <w:color w:val="000000"/>
                <w:kern w:val="0"/>
                <w:sz w:val="18"/>
                <w:szCs w:val="18"/>
              </w:rPr>
              <w:t>特种设备使用单位应当对其使用的特种设备的安全附件、安全保护装置进行定期校验、检修，并作出记录。</w:t>
            </w:r>
          </w:p>
          <w:p w14:paraId="11CCFF02">
            <w:pPr>
              <w:spacing w:line="280" w:lineRule="exact"/>
              <w:jc w:val="left"/>
              <w:rPr>
                <w:color w:val="000000"/>
                <w:kern w:val="0"/>
                <w:sz w:val="18"/>
                <w:szCs w:val="18"/>
              </w:rPr>
            </w:pPr>
            <w:r>
              <w:rPr>
                <w:rFonts w:hint="eastAsia"/>
                <w:color w:val="000000"/>
                <w:kern w:val="0"/>
                <w:sz w:val="18"/>
                <w:szCs w:val="18"/>
              </w:rPr>
              <w:t>第六十九条</w:t>
            </w:r>
            <w:r>
              <w:rPr>
                <w:color w:val="000000"/>
                <w:kern w:val="0"/>
                <w:sz w:val="18"/>
                <w:szCs w:val="18"/>
              </w:rPr>
              <w:t xml:space="preserve"> </w:t>
            </w:r>
            <w:r>
              <w:rPr>
                <w:rFonts w:hint="eastAsia"/>
                <w:color w:val="000000"/>
                <w:kern w:val="0"/>
                <w:sz w:val="18"/>
                <w:szCs w:val="18"/>
              </w:rPr>
              <w:t>国务院负责特种设备安全监督管理的部门应当依法组织制定特种设备重特大事故应急预案，报国务院批准后纳入国家突发事件应急预案体系。</w:t>
            </w:r>
          </w:p>
          <w:p w14:paraId="285C505B">
            <w:pPr>
              <w:spacing w:line="280" w:lineRule="exact"/>
              <w:jc w:val="left"/>
              <w:rPr>
                <w:color w:val="000000"/>
                <w:kern w:val="0"/>
                <w:sz w:val="18"/>
                <w:szCs w:val="18"/>
              </w:rPr>
            </w:pPr>
            <w:r>
              <w:rPr>
                <w:rFonts w:hint="eastAsia"/>
                <w:color w:val="000000"/>
                <w:kern w:val="0"/>
                <w:sz w:val="18"/>
                <w:szCs w:val="18"/>
              </w:rPr>
              <w:t>特种设备使用单位应当制定特种设备事故应急专项预案，并定期进行应急演练。</w:t>
            </w:r>
          </w:p>
          <w:p w14:paraId="38A3B4CB">
            <w:pPr>
              <w:spacing w:line="280" w:lineRule="exact"/>
              <w:jc w:val="left"/>
              <w:rPr>
                <w:color w:val="000000"/>
                <w:kern w:val="0"/>
                <w:sz w:val="18"/>
                <w:szCs w:val="18"/>
              </w:rPr>
            </w:pPr>
            <w:r>
              <w:rPr>
                <w:rFonts w:hint="eastAsia"/>
                <w:color w:val="000000"/>
                <w:kern w:val="0"/>
                <w:sz w:val="18"/>
                <w:szCs w:val="18"/>
              </w:rPr>
              <w:t>第八十三条</w:t>
            </w:r>
            <w:r>
              <w:rPr>
                <w:color w:val="000000"/>
                <w:kern w:val="0"/>
                <w:sz w:val="18"/>
                <w:szCs w:val="18"/>
              </w:rPr>
              <w:t xml:space="preserve"> </w:t>
            </w:r>
            <w:r>
              <w:rPr>
                <w:rFonts w:hint="eastAsia"/>
                <w:color w:val="000000"/>
                <w:kern w:val="0"/>
                <w:sz w:val="18"/>
                <w:szCs w:val="18"/>
              </w:rPr>
              <w:t>违反本法规定，特种设备使用单位有下列行为之一的，责令限期改正；逾期未改正的，责令停止使用有关特种设备，处一万元以上十万元以下罚款：</w:t>
            </w:r>
          </w:p>
          <w:p w14:paraId="03F0E434">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（一）使用特种设备未按照规定办理使用登记的；</w:t>
            </w:r>
          </w:p>
          <w:p w14:paraId="52958A7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（二）未建立特种设备安全技术档案或者安全技术档案不符合规定要求，或者未依法设置使用登记标志、定期检验标志的；</w:t>
            </w:r>
          </w:p>
          <w:p w14:paraId="13831B72">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（三）未对其使用的特种设备进行经常性维护保养和定期自行检查，或者未对其使用的特种设备的安全附件、安全保护装置进行定期校验、检修，并作出记录的；</w:t>
            </w:r>
          </w:p>
          <w:p w14:paraId="2173927E">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（六）未制定特种设备事故应急专项预案的。</w:t>
            </w:r>
          </w:p>
        </w:tc>
      </w:tr>
      <w:tr w14:paraId="7D01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38B735D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7F9178CF">
            <w:pPr>
              <w:spacing w:line="320" w:lineRule="exact"/>
              <w:jc w:val="left"/>
              <w:rPr>
                <w:color w:val="000000"/>
                <w:kern w:val="0"/>
                <w:sz w:val="18"/>
                <w:szCs w:val="18"/>
              </w:rPr>
            </w:pPr>
            <w:r>
              <w:rPr>
                <w:rFonts w:hint="eastAsia"/>
                <w:color w:val="000000"/>
                <w:kern w:val="0"/>
                <w:sz w:val="18"/>
                <w:szCs w:val="18"/>
              </w:rPr>
              <w:t>罚款</w:t>
            </w:r>
          </w:p>
        </w:tc>
      </w:tr>
      <w:tr w14:paraId="4782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0798C71D">
            <w:pPr>
              <w:spacing w:line="320" w:lineRule="exact"/>
              <w:jc w:val="center"/>
              <w:rPr>
                <w:color w:val="000000"/>
                <w:kern w:val="0"/>
                <w:sz w:val="18"/>
                <w:szCs w:val="18"/>
              </w:rPr>
            </w:pPr>
            <w:r>
              <w:rPr>
                <w:rFonts w:hint="eastAsia"/>
                <w:color w:val="000000"/>
                <w:kern w:val="0"/>
                <w:sz w:val="18"/>
                <w:szCs w:val="18"/>
              </w:rPr>
              <w:t>裁量基准</w:t>
            </w:r>
          </w:p>
        </w:tc>
      </w:tr>
      <w:tr w14:paraId="4B92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4CCA235B">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196230D6">
            <w:pPr>
              <w:spacing w:line="320" w:lineRule="exact"/>
              <w:jc w:val="left"/>
              <w:rPr>
                <w:color w:val="000000"/>
                <w:kern w:val="0"/>
                <w:sz w:val="18"/>
                <w:szCs w:val="18"/>
              </w:rPr>
            </w:pPr>
            <w:r>
              <w:rPr>
                <w:rFonts w:hint="eastAsia"/>
                <w:color w:val="000000"/>
                <w:kern w:val="0"/>
                <w:sz w:val="18"/>
                <w:szCs w:val="18"/>
              </w:rPr>
              <w:t>未按照要求整改，未发生生产安全事故的</w:t>
            </w:r>
          </w:p>
        </w:tc>
        <w:tc>
          <w:tcPr>
            <w:tcW w:w="1080" w:type="dxa"/>
            <w:vMerge w:val="restart"/>
            <w:vAlign w:val="center"/>
          </w:tcPr>
          <w:p w14:paraId="197D8D1A">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8384F3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4593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3BACF571">
            <w:pPr>
              <w:spacing w:line="320" w:lineRule="exact"/>
              <w:jc w:val="center"/>
              <w:rPr>
                <w:color w:val="000000"/>
                <w:kern w:val="0"/>
                <w:sz w:val="18"/>
                <w:szCs w:val="18"/>
              </w:rPr>
            </w:pPr>
          </w:p>
        </w:tc>
        <w:tc>
          <w:tcPr>
            <w:tcW w:w="6140" w:type="dxa"/>
            <w:vAlign w:val="center"/>
          </w:tcPr>
          <w:p w14:paraId="6E9CBE7B">
            <w:pPr>
              <w:spacing w:line="320" w:lineRule="exact"/>
              <w:jc w:val="left"/>
              <w:rPr>
                <w:color w:val="000000"/>
                <w:kern w:val="0"/>
                <w:sz w:val="18"/>
                <w:szCs w:val="18"/>
              </w:rPr>
            </w:pPr>
            <w:r>
              <w:rPr>
                <w:rFonts w:hint="eastAsia"/>
                <w:color w:val="000000"/>
                <w:kern w:val="0"/>
                <w:sz w:val="18"/>
                <w:szCs w:val="18"/>
              </w:rPr>
              <w:t>未按照要求整改，发生一般生产安全事故的</w:t>
            </w:r>
          </w:p>
        </w:tc>
        <w:tc>
          <w:tcPr>
            <w:tcW w:w="1080" w:type="dxa"/>
            <w:vMerge w:val="continue"/>
            <w:vAlign w:val="center"/>
          </w:tcPr>
          <w:p w14:paraId="21ABF23C">
            <w:pPr>
              <w:spacing w:line="320" w:lineRule="exact"/>
              <w:jc w:val="center"/>
              <w:rPr>
                <w:color w:val="000000"/>
                <w:kern w:val="0"/>
                <w:sz w:val="18"/>
                <w:szCs w:val="18"/>
              </w:rPr>
            </w:pPr>
          </w:p>
        </w:tc>
        <w:tc>
          <w:tcPr>
            <w:tcW w:w="5820" w:type="dxa"/>
            <w:vAlign w:val="center"/>
          </w:tcPr>
          <w:p w14:paraId="4BAB930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0C9B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18AC9F8">
            <w:pPr>
              <w:spacing w:line="320" w:lineRule="exact"/>
              <w:jc w:val="center"/>
              <w:rPr>
                <w:color w:val="000000"/>
                <w:kern w:val="0"/>
                <w:sz w:val="18"/>
                <w:szCs w:val="18"/>
              </w:rPr>
            </w:pPr>
          </w:p>
        </w:tc>
        <w:tc>
          <w:tcPr>
            <w:tcW w:w="6140" w:type="dxa"/>
            <w:vAlign w:val="center"/>
          </w:tcPr>
          <w:p w14:paraId="4262685F">
            <w:pPr>
              <w:spacing w:line="320" w:lineRule="exact"/>
              <w:jc w:val="left"/>
              <w:rPr>
                <w:color w:val="000000"/>
                <w:kern w:val="0"/>
                <w:sz w:val="18"/>
                <w:szCs w:val="18"/>
              </w:rPr>
            </w:pPr>
            <w:r>
              <w:rPr>
                <w:rFonts w:hint="eastAsia"/>
                <w:color w:val="000000"/>
                <w:kern w:val="0"/>
                <w:sz w:val="18"/>
                <w:szCs w:val="18"/>
              </w:rPr>
              <w:t>未按照要求整改，发生较大及以上生产安全事故的</w:t>
            </w:r>
          </w:p>
        </w:tc>
        <w:tc>
          <w:tcPr>
            <w:tcW w:w="1080" w:type="dxa"/>
            <w:vMerge w:val="continue"/>
            <w:vAlign w:val="center"/>
          </w:tcPr>
          <w:p w14:paraId="78C3F5A3">
            <w:pPr>
              <w:spacing w:line="320" w:lineRule="exact"/>
              <w:jc w:val="center"/>
              <w:rPr>
                <w:color w:val="000000"/>
                <w:kern w:val="0"/>
                <w:sz w:val="18"/>
                <w:szCs w:val="18"/>
              </w:rPr>
            </w:pPr>
          </w:p>
        </w:tc>
        <w:tc>
          <w:tcPr>
            <w:tcW w:w="5820" w:type="dxa"/>
            <w:vAlign w:val="center"/>
          </w:tcPr>
          <w:p w14:paraId="4BD7751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12CBE0BB"/>
    <w:p w14:paraId="261C674D"/>
    <w:p w14:paraId="7F0CF139"/>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7AF88474">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70DBF28E">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5E95D89F">
            <w:pPr>
              <w:spacing w:line="320" w:lineRule="exact"/>
              <w:jc w:val="left"/>
              <w:rPr>
                <w:rFonts w:eastAsia="仿宋_GB2312"/>
                <w:b/>
                <w:bCs/>
                <w:color w:val="000000"/>
                <w:kern w:val="0"/>
                <w:sz w:val="18"/>
                <w:szCs w:val="18"/>
              </w:rPr>
            </w:pPr>
            <w:r>
              <w:rPr>
                <w:rFonts w:eastAsia="仿宋_GB2312"/>
                <w:b/>
                <w:bCs/>
                <w:color w:val="000000"/>
                <w:kern w:val="0"/>
                <w:sz w:val="18"/>
                <w:szCs w:val="18"/>
              </w:rPr>
              <w:t>320217100000</w:t>
            </w:r>
            <w:r>
              <w:rPr>
                <w:rFonts w:hint="eastAsia" w:eastAsia="仿宋_GB2312"/>
                <w:b/>
                <w:bCs/>
                <w:color w:val="000000"/>
                <w:kern w:val="0"/>
                <w:sz w:val="18"/>
                <w:szCs w:val="18"/>
              </w:rPr>
              <w:t xml:space="preserve"> </w:t>
            </w:r>
          </w:p>
        </w:tc>
      </w:tr>
      <w:tr w14:paraId="518AB38A">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78FA7374">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16634808">
            <w:pPr>
              <w:spacing w:line="320" w:lineRule="exact"/>
              <w:jc w:val="left"/>
              <w:rPr>
                <w:color w:val="000000"/>
                <w:kern w:val="0"/>
                <w:sz w:val="18"/>
                <w:szCs w:val="18"/>
              </w:rPr>
            </w:pPr>
            <w:r>
              <w:rPr>
                <w:rFonts w:hint="eastAsia"/>
                <w:color w:val="000000"/>
                <w:kern w:val="0"/>
                <w:sz w:val="18"/>
                <w:szCs w:val="18"/>
              </w:rPr>
              <w:t>对城镇污水处理设施维护运营单位或者污泥处理单位对污泥流向、用途、用量等未进行跟踪、记录，或者处理后的污泥不符合国家有关标准的处罚</w:t>
            </w:r>
          </w:p>
        </w:tc>
      </w:tr>
      <w:tr w14:paraId="5649EB9C">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2E33AF68">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1EA2395B">
            <w:pPr>
              <w:spacing w:line="320" w:lineRule="exact"/>
              <w:jc w:val="left"/>
              <w:rPr>
                <w:color w:val="000000"/>
                <w:kern w:val="0"/>
                <w:sz w:val="18"/>
                <w:szCs w:val="18"/>
              </w:rPr>
            </w:pPr>
            <w:r>
              <w:rPr>
                <w:rFonts w:hint="eastAsia"/>
                <w:color w:val="000000"/>
                <w:kern w:val="0"/>
                <w:sz w:val="18"/>
                <w:szCs w:val="18"/>
              </w:rPr>
              <w:t>【法律】《中华人民共和国固体废物污染环境防治法》</w:t>
            </w:r>
          </w:p>
          <w:p w14:paraId="27701AA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第七十一条第一款</w:t>
            </w:r>
            <w:r>
              <w:rPr>
                <w:color w:val="000000"/>
                <w:kern w:val="0"/>
                <w:sz w:val="18"/>
                <w:szCs w:val="18"/>
              </w:rPr>
              <w:t>  </w:t>
            </w:r>
            <w:r>
              <w:rPr>
                <w:rFonts w:hint="eastAsia"/>
                <w:color w:val="000000"/>
                <w:kern w:val="0"/>
                <w:sz w:val="18"/>
                <w:szCs w:val="18"/>
              </w:rPr>
              <w:t>城镇污水处理设施维护运营单位或者污泥处理单位应当安全处理污泥，保证处理后的污泥符合国家有关标准，对污泥的流向、用途、用量等进行跟踪、记录，并报告城镇排水主管部门、生态环境主管部门。</w:t>
            </w:r>
          </w:p>
          <w:p w14:paraId="356275D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第一百零八条第一款</w:t>
            </w:r>
            <w:r>
              <w:rPr>
                <w:color w:val="000000"/>
                <w:kern w:val="0"/>
                <w:sz w:val="18"/>
                <w:szCs w:val="18"/>
              </w:rPr>
              <w:t>  </w:t>
            </w:r>
            <w:r>
              <w:rPr>
                <w:rFonts w:hint="eastAsia"/>
                <w:color w:val="000000"/>
                <w:kern w:val="0"/>
                <w:sz w:val="18"/>
                <w:szCs w:val="18"/>
              </w:rPr>
              <w:t>违反本法规定，城镇污水处理设施维护运营单位或者污泥处理单位对污泥流向、用途、用量等未进行跟踪、记录，或者处理后的污泥不符合国家有关标准的，由城镇排水主管部门责令改正，给予警告；造成严重后果的，处十万元以上二十万元以下的罚款；拒不改正的，城镇排水主管部门可以指定有治理能力的单位代为治理，所需费用由违法者承担。</w:t>
            </w:r>
          </w:p>
          <w:p w14:paraId="3E1AD59D">
            <w:pPr>
              <w:spacing w:line="320" w:lineRule="exact"/>
              <w:jc w:val="left"/>
              <w:rPr>
                <w:color w:val="000000"/>
                <w:kern w:val="0"/>
                <w:sz w:val="18"/>
                <w:szCs w:val="18"/>
              </w:rPr>
            </w:pPr>
            <w:r>
              <w:rPr>
                <w:rFonts w:hint="eastAsia"/>
                <w:color w:val="000000"/>
                <w:kern w:val="0"/>
                <w:sz w:val="18"/>
                <w:szCs w:val="18"/>
              </w:rPr>
              <w:t>【行政法规】《城镇排水与污水处理条例》（国务院令第641号）</w:t>
            </w:r>
          </w:p>
          <w:p w14:paraId="3B096A1C">
            <w:pPr>
              <w:spacing w:line="320" w:lineRule="exact"/>
              <w:jc w:val="left"/>
              <w:rPr>
                <w:color w:val="000000"/>
                <w:kern w:val="0"/>
                <w:sz w:val="18"/>
                <w:szCs w:val="18"/>
              </w:rPr>
            </w:pPr>
            <w:r>
              <w:rPr>
                <w:rFonts w:hint="eastAsia"/>
                <w:color w:val="000000"/>
                <w:kern w:val="0"/>
                <w:sz w:val="18"/>
                <w:szCs w:val="18"/>
              </w:rPr>
              <w:t xml:space="preserve">    第三十条　城镇污水处理设施维护运营单位或者污泥处理处置单位应当安全处理处置污泥，保证处理处置后的污泥符合国家有关标准，对产生的污泥以及处理处置后的污泥去向、用途、用量等进行跟踪、记录，并向城镇排水主管部门、环境保护主管部门报告。任何单位和个人不得擅自倾倒、堆放、丢弃、遗撒污泥。</w:t>
            </w:r>
          </w:p>
          <w:p w14:paraId="12343EEE">
            <w:pPr>
              <w:spacing w:line="320" w:lineRule="exact"/>
              <w:jc w:val="left"/>
              <w:rPr>
                <w:color w:val="000000"/>
                <w:kern w:val="0"/>
                <w:sz w:val="18"/>
                <w:szCs w:val="18"/>
              </w:rPr>
            </w:pPr>
            <w:r>
              <w:rPr>
                <w:rFonts w:hint="eastAsia"/>
                <w:color w:val="000000"/>
                <w:kern w:val="0"/>
                <w:sz w:val="18"/>
                <w:szCs w:val="18"/>
              </w:rPr>
              <w:t xml:space="preserve">    第五十三条第一款　违反本条例规定，城镇污水处理设施维护运营单位或者污泥处理处置单位对产生的污泥以及处理处置后的污泥的去向、用途、用量等未进行跟踪、记录的，或者处理处置后的污泥不符合国家有关标准的，由城镇排水主管部门责令限期采取治理措施，给予警告；造成严重后果的，处10万元以上20万元以下罚款；逾期不采取治理措施的，城镇排水主管部门可以指定有治理能力的单位代为治理，所需费用由当事人承担；造成损失的，依法承担赔偿责任。</w:t>
            </w:r>
          </w:p>
        </w:tc>
      </w:tr>
      <w:tr w14:paraId="5170A098">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57E01627">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6E551F73">
            <w:pPr>
              <w:spacing w:line="320" w:lineRule="exact"/>
              <w:jc w:val="left"/>
              <w:rPr>
                <w:color w:val="000000"/>
                <w:kern w:val="0"/>
                <w:sz w:val="18"/>
                <w:szCs w:val="18"/>
              </w:rPr>
            </w:pPr>
            <w:r>
              <w:rPr>
                <w:rFonts w:hint="eastAsia"/>
                <w:color w:val="000000"/>
                <w:kern w:val="0"/>
                <w:sz w:val="18"/>
                <w:szCs w:val="18"/>
              </w:rPr>
              <w:t>警告；罚款</w:t>
            </w:r>
          </w:p>
        </w:tc>
      </w:tr>
      <w:tr w14:paraId="0321B7FA">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41B2BD1D">
            <w:pPr>
              <w:spacing w:line="320" w:lineRule="exact"/>
              <w:jc w:val="center"/>
              <w:rPr>
                <w:color w:val="000000"/>
                <w:kern w:val="0"/>
                <w:sz w:val="18"/>
                <w:szCs w:val="18"/>
              </w:rPr>
            </w:pPr>
            <w:r>
              <w:rPr>
                <w:rFonts w:hint="eastAsia"/>
                <w:color w:val="000000"/>
                <w:kern w:val="0"/>
                <w:sz w:val="18"/>
                <w:szCs w:val="18"/>
              </w:rPr>
              <w:t>裁量基准</w:t>
            </w:r>
          </w:p>
        </w:tc>
      </w:tr>
      <w:tr w14:paraId="4ABB496A">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07DA7CC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D510EC6">
            <w:pPr>
              <w:spacing w:line="320" w:lineRule="exact"/>
              <w:jc w:val="left"/>
              <w:rPr>
                <w:color w:val="000000"/>
                <w:kern w:val="0"/>
                <w:sz w:val="18"/>
                <w:szCs w:val="18"/>
              </w:rPr>
            </w:pPr>
            <w:r>
              <w:rPr>
                <w:rFonts w:hint="eastAsia"/>
                <w:color w:val="000000"/>
                <w:kern w:val="0"/>
                <w:sz w:val="18"/>
                <w:szCs w:val="18"/>
              </w:rPr>
              <w:t>对产生的污泥以及处理处置后的污泥的去向、用途、用量等未进行跟踪、记录，且造成严重后果的</w:t>
            </w:r>
          </w:p>
        </w:tc>
        <w:tc>
          <w:tcPr>
            <w:tcW w:w="1000" w:type="dxa"/>
            <w:vMerge w:val="restart"/>
            <w:tcBorders>
              <w:top w:val="nil"/>
              <w:left w:val="single" w:color="auto" w:sz="4" w:space="0"/>
              <w:bottom w:val="single" w:color="auto" w:sz="4" w:space="0"/>
              <w:right w:val="single" w:color="auto" w:sz="4" w:space="0"/>
            </w:tcBorders>
            <w:vAlign w:val="center"/>
          </w:tcPr>
          <w:p w14:paraId="551D48A2">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253D892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2341DCE5">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71BE145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D04166E">
            <w:pPr>
              <w:spacing w:line="320" w:lineRule="exact"/>
              <w:jc w:val="left"/>
              <w:rPr>
                <w:color w:val="000000"/>
                <w:kern w:val="0"/>
                <w:sz w:val="18"/>
                <w:szCs w:val="18"/>
              </w:rPr>
            </w:pPr>
            <w:r>
              <w:rPr>
                <w:rFonts w:hint="eastAsia"/>
                <w:color w:val="000000"/>
                <w:kern w:val="0"/>
                <w:sz w:val="18"/>
                <w:szCs w:val="18"/>
              </w:rPr>
              <w:t>处理处置后的污泥不符合国家有关标准，且造成严重后果的</w:t>
            </w:r>
          </w:p>
        </w:tc>
        <w:tc>
          <w:tcPr>
            <w:tcW w:w="1000" w:type="dxa"/>
            <w:vMerge w:val="continue"/>
            <w:tcBorders>
              <w:top w:val="nil"/>
              <w:left w:val="single" w:color="auto" w:sz="4" w:space="0"/>
              <w:bottom w:val="single" w:color="auto" w:sz="4" w:space="0"/>
              <w:right w:val="single" w:color="auto" w:sz="4" w:space="0"/>
            </w:tcBorders>
            <w:vAlign w:val="center"/>
          </w:tcPr>
          <w:p w14:paraId="24144DE8">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59C0F54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18</w:t>
            </w:r>
            <w:r>
              <w:rPr>
                <w:rFonts w:hint="eastAsia"/>
                <w:color w:val="000000"/>
                <w:kern w:val="0"/>
                <w:sz w:val="18"/>
                <w:szCs w:val="18"/>
              </w:rPr>
              <w:t>万元以下罚款</w:t>
            </w:r>
          </w:p>
        </w:tc>
      </w:tr>
      <w:tr w14:paraId="15F35341">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22CF605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271B867">
            <w:pPr>
              <w:spacing w:line="320" w:lineRule="exact"/>
              <w:jc w:val="left"/>
              <w:rPr>
                <w:color w:val="000000"/>
                <w:kern w:val="0"/>
                <w:sz w:val="18"/>
                <w:szCs w:val="18"/>
              </w:rPr>
            </w:pPr>
            <w:r>
              <w:rPr>
                <w:rFonts w:hint="eastAsia"/>
                <w:color w:val="000000"/>
                <w:kern w:val="0"/>
                <w:sz w:val="18"/>
                <w:szCs w:val="18"/>
              </w:rPr>
              <w:t>既对产生的污泥以及处理处置后的污泥的去向、用途、用量等未进行跟踪、记录，又处理处置后的污泥不符合国家有关标准已经造成损失，且造成严重后果的</w:t>
            </w:r>
          </w:p>
        </w:tc>
        <w:tc>
          <w:tcPr>
            <w:tcW w:w="1000" w:type="dxa"/>
            <w:vMerge w:val="continue"/>
            <w:tcBorders>
              <w:top w:val="nil"/>
              <w:left w:val="single" w:color="auto" w:sz="4" w:space="0"/>
              <w:bottom w:val="single" w:color="auto" w:sz="4" w:space="0"/>
              <w:right w:val="single" w:color="auto" w:sz="4" w:space="0"/>
            </w:tcBorders>
            <w:vAlign w:val="center"/>
          </w:tcPr>
          <w:p w14:paraId="156839A3">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30B08E1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18</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14:paraId="0CF18F74"/>
    <w:p w14:paraId="5BA3C4DF"/>
    <w:p w14:paraId="2D9F7BD0"/>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0B825BAC">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2F8B0F7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61220BC5">
            <w:pPr>
              <w:spacing w:line="320" w:lineRule="exact"/>
              <w:jc w:val="left"/>
              <w:rPr>
                <w:rFonts w:eastAsia="仿宋_GB2312"/>
                <w:b/>
                <w:bCs/>
                <w:color w:val="000000"/>
                <w:kern w:val="0"/>
                <w:sz w:val="18"/>
                <w:szCs w:val="18"/>
              </w:rPr>
            </w:pPr>
            <w:r>
              <w:rPr>
                <w:rFonts w:eastAsia="仿宋_GB2312"/>
                <w:b/>
                <w:bCs/>
                <w:color w:val="000000"/>
                <w:kern w:val="0"/>
                <w:sz w:val="18"/>
                <w:szCs w:val="18"/>
              </w:rPr>
              <w:t>320217101000</w:t>
            </w:r>
            <w:r>
              <w:rPr>
                <w:rFonts w:hint="eastAsia" w:eastAsia="仿宋_GB2312"/>
                <w:b/>
                <w:bCs/>
                <w:color w:val="000000"/>
                <w:kern w:val="0"/>
                <w:sz w:val="18"/>
                <w:szCs w:val="18"/>
              </w:rPr>
              <w:t xml:space="preserve"> </w:t>
            </w:r>
          </w:p>
        </w:tc>
      </w:tr>
      <w:tr w14:paraId="461A2B4F">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FC3CBA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6ED72DC1">
            <w:pPr>
              <w:spacing w:line="320" w:lineRule="exact"/>
              <w:jc w:val="left"/>
              <w:rPr>
                <w:color w:val="000000"/>
                <w:kern w:val="0"/>
                <w:sz w:val="18"/>
                <w:szCs w:val="18"/>
              </w:rPr>
            </w:pPr>
            <w:r>
              <w:rPr>
                <w:rFonts w:hint="eastAsia"/>
                <w:color w:val="000000"/>
                <w:kern w:val="0"/>
                <w:sz w:val="18"/>
                <w:szCs w:val="18"/>
              </w:rPr>
              <w:t>对房地产经纪机构和房地产经纪人员承购、承租自己提供经纪服务的房屋的处罚</w:t>
            </w:r>
          </w:p>
        </w:tc>
      </w:tr>
      <w:tr w14:paraId="0B2FF936">
        <w:tblPrEx>
          <w:tblCellMar>
            <w:top w:w="0" w:type="dxa"/>
            <w:left w:w="108" w:type="dxa"/>
            <w:bottom w:w="0" w:type="dxa"/>
            <w:right w:w="108" w:type="dxa"/>
          </w:tblCellMar>
        </w:tblPrEx>
        <w:trPr>
          <w:trHeight w:val="1515" w:hRule="atLeast"/>
        </w:trPr>
        <w:tc>
          <w:tcPr>
            <w:tcW w:w="1010" w:type="dxa"/>
            <w:tcBorders>
              <w:top w:val="nil"/>
              <w:left w:val="single" w:color="auto" w:sz="8" w:space="0"/>
              <w:bottom w:val="single" w:color="auto" w:sz="4" w:space="0"/>
              <w:right w:val="single" w:color="auto" w:sz="4" w:space="0"/>
            </w:tcBorders>
            <w:vAlign w:val="center"/>
          </w:tcPr>
          <w:p w14:paraId="6A8DEFC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647BED5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641576C6">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14:paraId="43DD7EE5">
            <w:pPr>
              <w:spacing w:line="320" w:lineRule="exact"/>
              <w:jc w:val="left"/>
              <w:rPr>
                <w:color w:val="000000"/>
                <w:kern w:val="0"/>
                <w:sz w:val="18"/>
                <w:szCs w:val="18"/>
              </w:rPr>
            </w:pPr>
            <w:r>
              <w:rPr>
                <w:rFonts w:hint="eastAsia"/>
                <w:color w:val="000000"/>
                <w:kern w:val="0"/>
                <w:sz w:val="18"/>
                <w:szCs w:val="18"/>
              </w:rPr>
              <w:t>（八）承购、承租自己提供经纪服务的房屋。</w:t>
            </w:r>
          </w:p>
          <w:p w14:paraId="12D8AEA7">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14:paraId="61D2C38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DC456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0703C37F">
            <w:pPr>
              <w:spacing w:line="320" w:lineRule="exact"/>
              <w:jc w:val="left"/>
              <w:rPr>
                <w:color w:val="000000"/>
                <w:kern w:val="0"/>
                <w:sz w:val="18"/>
                <w:szCs w:val="18"/>
              </w:rPr>
            </w:pPr>
            <w:r>
              <w:rPr>
                <w:rFonts w:hint="eastAsia"/>
                <w:color w:val="000000"/>
                <w:kern w:val="0"/>
                <w:sz w:val="18"/>
                <w:szCs w:val="18"/>
              </w:rPr>
              <w:t>罚款</w:t>
            </w:r>
          </w:p>
        </w:tc>
      </w:tr>
      <w:tr w14:paraId="2F193098">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4A13BD01">
            <w:pPr>
              <w:spacing w:line="320" w:lineRule="exact"/>
              <w:jc w:val="center"/>
              <w:rPr>
                <w:color w:val="000000"/>
                <w:kern w:val="0"/>
                <w:sz w:val="18"/>
                <w:szCs w:val="18"/>
              </w:rPr>
            </w:pPr>
            <w:r>
              <w:rPr>
                <w:rFonts w:hint="eastAsia"/>
                <w:color w:val="000000"/>
                <w:kern w:val="0"/>
                <w:sz w:val="18"/>
                <w:szCs w:val="18"/>
              </w:rPr>
              <w:t>裁量基准</w:t>
            </w:r>
          </w:p>
        </w:tc>
      </w:tr>
      <w:tr w14:paraId="64E5357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984C3D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D67CBD9">
            <w:pPr>
              <w:spacing w:line="320" w:lineRule="exact"/>
              <w:jc w:val="left"/>
              <w:rPr>
                <w:color w:val="000000"/>
                <w:kern w:val="0"/>
                <w:sz w:val="18"/>
                <w:szCs w:val="18"/>
              </w:rPr>
            </w:pPr>
            <w:r>
              <w:rPr>
                <w:rFonts w:hint="eastAsia"/>
                <w:color w:val="000000"/>
                <w:kern w:val="0"/>
                <w:sz w:val="18"/>
                <w:szCs w:val="18"/>
              </w:rPr>
              <w:t>　</w:t>
            </w:r>
          </w:p>
        </w:tc>
        <w:tc>
          <w:tcPr>
            <w:tcW w:w="1000" w:type="dxa"/>
            <w:tcBorders>
              <w:top w:val="nil"/>
              <w:left w:val="nil"/>
              <w:bottom w:val="single" w:color="auto" w:sz="4" w:space="0"/>
              <w:right w:val="single" w:color="auto" w:sz="4" w:space="0"/>
            </w:tcBorders>
            <w:vAlign w:val="center"/>
          </w:tcPr>
          <w:p w14:paraId="5C347471">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2BCE7BCF">
            <w:pPr>
              <w:spacing w:line="320" w:lineRule="exact"/>
              <w:jc w:val="left"/>
              <w:rPr>
                <w:color w:val="000000"/>
                <w:kern w:val="0"/>
                <w:sz w:val="18"/>
                <w:szCs w:val="18"/>
              </w:rPr>
            </w:pPr>
          </w:p>
        </w:tc>
      </w:tr>
    </w:tbl>
    <w:p w14:paraId="18643F93"/>
    <w:p w14:paraId="49D68E92"/>
    <w:p w14:paraId="3DE58D69"/>
    <w:p w14:paraId="01245802"/>
    <w:p w14:paraId="367AD3A5"/>
    <w:p w14:paraId="1623B275"/>
    <w:p w14:paraId="0301D173"/>
    <w:p w14:paraId="0016B792"/>
    <w:p w14:paraId="31811584"/>
    <w:p w14:paraId="3BA00BBB"/>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6DF38BA5">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7E061E9C">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04075BC5">
            <w:pPr>
              <w:jc w:val="left"/>
              <w:textAlignment w:val="center"/>
              <w:rPr>
                <w:rFonts w:eastAsia="仿宋_GB2312"/>
                <w:b/>
                <w:bCs/>
                <w:color w:val="000000"/>
                <w:kern w:val="0"/>
                <w:sz w:val="18"/>
                <w:szCs w:val="18"/>
              </w:rPr>
            </w:pPr>
            <w:r>
              <w:rPr>
                <w:rFonts w:eastAsia="仿宋_GB2312"/>
                <w:b/>
                <w:color w:val="000000"/>
                <w:kern w:val="0"/>
                <w:sz w:val="20"/>
              </w:rPr>
              <w:t>320217104000</w:t>
            </w:r>
          </w:p>
        </w:tc>
      </w:tr>
      <w:tr w14:paraId="4E1777BF">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24929596">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52195C6F">
            <w:pPr>
              <w:spacing w:line="320" w:lineRule="exact"/>
              <w:jc w:val="left"/>
              <w:rPr>
                <w:color w:val="000000"/>
                <w:kern w:val="0"/>
                <w:sz w:val="18"/>
                <w:szCs w:val="18"/>
              </w:rPr>
            </w:pPr>
            <w:r>
              <w:rPr>
                <w:rFonts w:hint="eastAsia"/>
                <w:color w:val="000000"/>
                <w:kern w:val="0"/>
                <w:sz w:val="18"/>
                <w:szCs w:val="18"/>
              </w:rPr>
              <w:t>对注册建筑师在建筑设计或者相关业务中侵犯他人合法权益的处罚</w:t>
            </w:r>
          </w:p>
        </w:tc>
      </w:tr>
      <w:tr w14:paraId="78DB51CB">
        <w:tblPrEx>
          <w:tblCellMar>
            <w:top w:w="0" w:type="dxa"/>
            <w:left w:w="108" w:type="dxa"/>
            <w:bottom w:w="0" w:type="dxa"/>
            <w:right w:w="108" w:type="dxa"/>
          </w:tblCellMar>
        </w:tblPrEx>
        <w:trPr>
          <w:trHeight w:val="2070" w:hRule="atLeast"/>
        </w:trPr>
        <w:tc>
          <w:tcPr>
            <w:tcW w:w="1030" w:type="dxa"/>
            <w:tcBorders>
              <w:top w:val="single" w:color="auto" w:sz="4" w:space="0"/>
              <w:left w:val="single" w:color="auto" w:sz="8" w:space="0"/>
              <w:bottom w:val="single" w:color="auto" w:sz="4" w:space="0"/>
              <w:right w:val="single" w:color="auto" w:sz="4" w:space="0"/>
            </w:tcBorders>
            <w:vAlign w:val="center"/>
          </w:tcPr>
          <w:p w14:paraId="7DC8B03D">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02BAEBC3">
            <w:pPr>
              <w:spacing w:line="320" w:lineRule="exact"/>
              <w:ind w:firstLine="360" w:firstLineChars="20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14:paraId="3136DA31">
            <w:pPr>
              <w:spacing w:line="320" w:lineRule="exact"/>
              <w:jc w:val="left"/>
              <w:rPr>
                <w:color w:val="000000"/>
                <w:kern w:val="0"/>
                <w:sz w:val="18"/>
                <w:szCs w:val="18"/>
              </w:rPr>
            </w:pPr>
            <w:r>
              <w:rPr>
                <w:rFonts w:hint="eastAsia"/>
                <w:color w:val="000000"/>
                <w:kern w:val="0"/>
                <w:sz w:val="18"/>
                <w:szCs w:val="18"/>
              </w:rPr>
              <w:t>第二十八条　注册建筑师应当履行下列义务：</w:t>
            </w:r>
          </w:p>
          <w:p w14:paraId="61A3E428">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（一）遵守法律、法规和职业道德，维护社会公共利益；</w:t>
            </w:r>
          </w:p>
          <w:p w14:paraId="7A2829B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（三）保守在执业中知悉的单位和个人的秘密；</w:t>
            </w:r>
          </w:p>
          <w:p w14:paraId="28A7A084">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14:paraId="64057CC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（三）在建筑设计或者相关业务中侵犯他人合法权益的；</w:t>
            </w:r>
          </w:p>
        </w:tc>
      </w:tr>
      <w:tr w14:paraId="5B9AED96">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206BC790">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6914D27A">
            <w:pPr>
              <w:spacing w:line="320" w:lineRule="exact"/>
              <w:jc w:val="left"/>
              <w:rPr>
                <w:color w:val="000000"/>
                <w:kern w:val="0"/>
                <w:sz w:val="18"/>
                <w:szCs w:val="18"/>
              </w:rPr>
            </w:pPr>
            <w:r>
              <w:rPr>
                <w:rFonts w:hint="eastAsia"/>
                <w:color w:val="000000"/>
                <w:kern w:val="0"/>
                <w:sz w:val="18"/>
                <w:szCs w:val="18"/>
              </w:rPr>
              <w:t>没收违法所得，罚款</w:t>
            </w:r>
          </w:p>
        </w:tc>
      </w:tr>
      <w:tr w14:paraId="0225B6D9">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250F1AA9">
            <w:pPr>
              <w:spacing w:line="320" w:lineRule="exact"/>
              <w:jc w:val="center"/>
              <w:rPr>
                <w:color w:val="000000"/>
                <w:kern w:val="0"/>
                <w:sz w:val="18"/>
                <w:szCs w:val="18"/>
              </w:rPr>
            </w:pPr>
            <w:r>
              <w:rPr>
                <w:rFonts w:hint="eastAsia"/>
                <w:color w:val="000000"/>
                <w:kern w:val="0"/>
                <w:sz w:val="18"/>
                <w:szCs w:val="18"/>
              </w:rPr>
              <w:t>裁量基准</w:t>
            </w:r>
          </w:p>
        </w:tc>
      </w:tr>
      <w:tr w14:paraId="51CC1DC3">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8" w:space="0"/>
              <w:bottom w:val="single" w:color="auto" w:sz="4" w:space="0"/>
              <w:right w:val="single" w:color="auto" w:sz="4" w:space="0"/>
            </w:tcBorders>
            <w:vAlign w:val="center"/>
          </w:tcPr>
          <w:p w14:paraId="70511DF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32E8314E">
            <w:pPr>
              <w:spacing w:line="320" w:lineRule="exact"/>
              <w:jc w:val="left"/>
              <w:rPr>
                <w:color w:val="000000"/>
                <w:kern w:val="0"/>
                <w:sz w:val="18"/>
                <w:szCs w:val="18"/>
              </w:rPr>
            </w:pPr>
            <w:r>
              <w:rPr>
                <w:rFonts w:hint="eastAsia"/>
                <w:color w:val="000000"/>
                <w:kern w:val="0"/>
                <w:sz w:val="18"/>
                <w:szCs w:val="18"/>
              </w:rPr>
              <w:t>未发生安全事故的</w:t>
            </w:r>
          </w:p>
        </w:tc>
        <w:tc>
          <w:tcPr>
            <w:tcW w:w="1080" w:type="dxa"/>
            <w:vMerge w:val="restart"/>
            <w:tcBorders>
              <w:top w:val="single" w:color="auto" w:sz="4" w:space="0"/>
              <w:left w:val="single" w:color="auto" w:sz="4" w:space="0"/>
              <w:right w:val="single" w:color="auto" w:sz="4" w:space="0"/>
            </w:tcBorders>
            <w:vAlign w:val="center"/>
          </w:tcPr>
          <w:p w14:paraId="5237A9DC">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1B9588D4">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14:paraId="25281E68">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8" w:space="0"/>
              <w:bottom w:val="single" w:color="auto" w:sz="4" w:space="0"/>
              <w:right w:val="single" w:color="auto" w:sz="4" w:space="0"/>
            </w:tcBorders>
            <w:vAlign w:val="center"/>
          </w:tcPr>
          <w:p w14:paraId="1C58F989">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0C47A8FC">
            <w:pPr>
              <w:spacing w:line="320" w:lineRule="exact"/>
              <w:jc w:val="left"/>
              <w:rPr>
                <w:color w:val="000000"/>
                <w:kern w:val="0"/>
                <w:sz w:val="18"/>
                <w:szCs w:val="18"/>
              </w:rPr>
            </w:pPr>
            <w:r>
              <w:rPr>
                <w:rFonts w:hint="eastAsia"/>
                <w:color w:val="000000"/>
                <w:kern w:val="0"/>
                <w:sz w:val="18"/>
                <w:szCs w:val="18"/>
              </w:rPr>
              <w:t>发生安全事故仅造成他人经济损失的</w:t>
            </w:r>
          </w:p>
        </w:tc>
        <w:tc>
          <w:tcPr>
            <w:tcW w:w="1080" w:type="dxa"/>
            <w:vMerge w:val="continue"/>
            <w:tcBorders>
              <w:left w:val="single" w:color="auto" w:sz="4" w:space="0"/>
              <w:right w:val="single" w:color="auto" w:sz="4" w:space="0"/>
            </w:tcBorders>
            <w:vAlign w:val="center"/>
          </w:tcPr>
          <w:p w14:paraId="746A686B">
            <w:pPr>
              <w:spacing w:line="320" w:lineRule="exact"/>
              <w:jc w:val="center"/>
              <w:rPr>
                <w:color w:val="000000"/>
                <w:kern w:val="0"/>
                <w:sz w:val="18"/>
                <w:szCs w:val="18"/>
              </w:rPr>
            </w:pPr>
          </w:p>
        </w:tc>
        <w:tc>
          <w:tcPr>
            <w:tcW w:w="5820" w:type="dxa"/>
            <w:tcBorders>
              <w:top w:val="single" w:color="auto" w:sz="4" w:space="0"/>
              <w:left w:val="single" w:color="auto" w:sz="4" w:space="0"/>
              <w:bottom w:val="single" w:color="auto" w:sz="4" w:space="0"/>
              <w:right w:val="single" w:color="auto" w:sz="8" w:space="0"/>
            </w:tcBorders>
            <w:vAlign w:val="center"/>
          </w:tcPr>
          <w:p w14:paraId="61D97E5D">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14:paraId="043EA6B8">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8" w:space="0"/>
              <w:bottom w:val="single" w:color="auto" w:sz="8" w:space="0"/>
              <w:right w:val="single" w:color="auto" w:sz="4" w:space="0"/>
            </w:tcBorders>
            <w:vAlign w:val="center"/>
          </w:tcPr>
          <w:p w14:paraId="70AB4BE5">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76CEE7AC">
            <w:pPr>
              <w:spacing w:line="320" w:lineRule="exact"/>
              <w:jc w:val="left"/>
              <w:rPr>
                <w:color w:val="000000"/>
                <w:kern w:val="0"/>
                <w:sz w:val="18"/>
                <w:szCs w:val="18"/>
              </w:rPr>
            </w:pPr>
            <w:r>
              <w:rPr>
                <w:rFonts w:hint="eastAsia"/>
                <w:color w:val="000000"/>
                <w:kern w:val="0"/>
                <w:sz w:val="18"/>
                <w:szCs w:val="18"/>
              </w:rPr>
              <w:t>发生安全事故造成人员伤亡的的</w:t>
            </w:r>
          </w:p>
        </w:tc>
        <w:tc>
          <w:tcPr>
            <w:tcW w:w="1080" w:type="dxa"/>
            <w:vMerge w:val="continue"/>
            <w:tcBorders>
              <w:left w:val="single" w:color="auto" w:sz="4" w:space="0"/>
              <w:bottom w:val="single" w:color="auto" w:sz="8" w:space="0"/>
              <w:right w:val="single" w:color="auto" w:sz="4" w:space="0"/>
            </w:tcBorders>
            <w:vAlign w:val="center"/>
          </w:tcPr>
          <w:p w14:paraId="773BD918">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3B69914E">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39694F47"/>
    <w:p w14:paraId="53ADD662"/>
    <w:p w14:paraId="5E827AC7"/>
    <w:p w14:paraId="7B00F1C1"/>
    <w:p w14:paraId="6FF28081"/>
    <w:p w14:paraId="0DA06A74"/>
    <w:p w14:paraId="75F1B95C"/>
    <w:p w14:paraId="6BA3D31B"/>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5D7EC0D3">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77EE1EB">
            <w:pPr>
              <w:spacing w:line="320" w:lineRule="exact"/>
              <w:jc w:val="left"/>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1A5C21B7">
            <w:pPr>
              <w:spacing w:line="320" w:lineRule="exact"/>
              <w:jc w:val="left"/>
              <w:rPr>
                <w:b/>
                <w:color w:val="000000"/>
                <w:kern w:val="0"/>
                <w:sz w:val="18"/>
                <w:szCs w:val="18"/>
              </w:rPr>
            </w:pPr>
            <w:r>
              <w:rPr>
                <w:b/>
                <w:color w:val="000000"/>
                <w:kern w:val="0"/>
                <w:sz w:val="18"/>
                <w:szCs w:val="18"/>
              </w:rPr>
              <w:t>320217105000</w:t>
            </w:r>
          </w:p>
        </w:tc>
      </w:tr>
      <w:tr w14:paraId="327A884D">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4D85C11F">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11C3ADE8">
            <w:pPr>
              <w:spacing w:line="320" w:lineRule="exact"/>
              <w:jc w:val="left"/>
              <w:rPr>
                <w:color w:val="000000"/>
                <w:kern w:val="0"/>
                <w:sz w:val="18"/>
                <w:szCs w:val="18"/>
              </w:rPr>
            </w:pPr>
            <w:r>
              <w:rPr>
                <w:rFonts w:hint="eastAsia"/>
                <w:color w:val="000000"/>
                <w:kern w:val="0"/>
                <w:sz w:val="18"/>
                <w:szCs w:val="18"/>
              </w:rPr>
              <w:t>对隐瞒有关情况或者提供虚假材料申请勘察设计资质的处罚</w:t>
            </w:r>
          </w:p>
        </w:tc>
      </w:tr>
      <w:tr w14:paraId="79002501">
        <w:tblPrEx>
          <w:tblCellMar>
            <w:top w:w="0" w:type="dxa"/>
            <w:left w:w="108" w:type="dxa"/>
            <w:bottom w:w="0" w:type="dxa"/>
            <w:right w:w="108" w:type="dxa"/>
          </w:tblCellMar>
        </w:tblPrEx>
        <w:trPr>
          <w:trHeight w:val="1575" w:hRule="atLeast"/>
        </w:trPr>
        <w:tc>
          <w:tcPr>
            <w:tcW w:w="1056" w:type="dxa"/>
            <w:tcBorders>
              <w:top w:val="single" w:color="auto" w:sz="4" w:space="0"/>
              <w:left w:val="single" w:color="auto" w:sz="8" w:space="0"/>
              <w:bottom w:val="single" w:color="auto" w:sz="4" w:space="0"/>
              <w:right w:val="single" w:color="auto" w:sz="4" w:space="0"/>
            </w:tcBorders>
            <w:vAlign w:val="center"/>
          </w:tcPr>
          <w:p w14:paraId="7D2DDD0F">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41149426">
            <w:pPr>
              <w:spacing w:line="320" w:lineRule="exact"/>
              <w:jc w:val="left"/>
              <w:rPr>
                <w:color w:val="000000"/>
                <w:kern w:val="0"/>
                <w:sz w:val="18"/>
                <w:szCs w:val="18"/>
              </w:rPr>
            </w:pPr>
            <w:r>
              <w:rPr>
                <w:rFonts w:hint="eastAsia"/>
                <w:color w:val="000000"/>
                <w:kern w:val="0"/>
                <w:sz w:val="18"/>
                <w:szCs w:val="18"/>
              </w:rPr>
              <w:t>【法律】《中华人民共和国行政许可法》</w:t>
            </w:r>
          </w:p>
          <w:p w14:paraId="7CEDFF0D">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14:paraId="37DFDE1B">
            <w:pPr>
              <w:spacing w:line="320" w:lineRule="exact"/>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14:paraId="18C77B8A">
            <w:pPr>
              <w:spacing w:line="320" w:lineRule="exact"/>
              <w:jc w:val="left"/>
              <w:rPr>
                <w:color w:val="000000"/>
                <w:kern w:val="0"/>
                <w:sz w:val="18"/>
                <w:szCs w:val="18"/>
              </w:rPr>
            </w:pP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企业隐瞒有关情况或者提供虚假材料申请资质的，资质许可机关不予受理或者不予行政许可，并给予警告，该企业在</w:t>
            </w:r>
            <w:r>
              <w:rPr>
                <w:color w:val="000000"/>
                <w:kern w:val="0"/>
                <w:sz w:val="18"/>
                <w:szCs w:val="18"/>
              </w:rPr>
              <w:t>1</w:t>
            </w:r>
            <w:r>
              <w:rPr>
                <w:rFonts w:hint="eastAsia"/>
                <w:color w:val="000000"/>
                <w:kern w:val="0"/>
                <w:sz w:val="18"/>
                <w:szCs w:val="18"/>
              </w:rPr>
              <w:t>年内不得再次申请该资质。</w:t>
            </w:r>
          </w:p>
        </w:tc>
      </w:tr>
      <w:tr w14:paraId="5325A4E4">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1D2761AD">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37C5CBEF">
            <w:pPr>
              <w:spacing w:line="320" w:lineRule="exact"/>
              <w:jc w:val="left"/>
              <w:rPr>
                <w:rFonts w:eastAsia="仿宋_GB2312"/>
                <w:color w:val="000000"/>
                <w:sz w:val="20"/>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年内不不得再次申请</w:t>
            </w:r>
          </w:p>
        </w:tc>
      </w:tr>
      <w:tr w14:paraId="15C45FD9">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4EFB0E91">
            <w:pPr>
              <w:spacing w:line="320" w:lineRule="exact"/>
              <w:jc w:val="center"/>
              <w:rPr>
                <w:color w:val="000000"/>
                <w:kern w:val="0"/>
                <w:sz w:val="18"/>
                <w:szCs w:val="18"/>
              </w:rPr>
            </w:pPr>
            <w:r>
              <w:rPr>
                <w:rFonts w:hint="eastAsia"/>
                <w:color w:val="000000"/>
                <w:kern w:val="0"/>
                <w:sz w:val="18"/>
                <w:szCs w:val="18"/>
              </w:rPr>
              <w:t>裁量基准</w:t>
            </w:r>
          </w:p>
        </w:tc>
      </w:tr>
      <w:tr w14:paraId="4BCE0986">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8" w:space="0"/>
              <w:right w:val="single" w:color="auto" w:sz="4" w:space="0"/>
            </w:tcBorders>
            <w:vAlign w:val="center"/>
          </w:tcPr>
          <w:p w14:paraId="6C5AECD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8" w:space="0"/>
              <w:right w:val="single" w:color="auto" w:sz="4" w:space="0"/>
            </w:tcBorders>
            <w:vAlign w:val="center"/>
          </w:tcPr>
          <w:p w14:paraId="03A09C7B">
            <w:pPr>
              <w:spacing w:line="320" w:lineRule="exact"/>
              <w:jc w:val="left"/>
              <w:rPr>
                <w:color w:val="000000"/>
                <w:kern w:val="0"/>
                <w:sz w:val="18"/>
                <w:szCs w:val="18"/>
              </w:rPr>
            </w:pPr>
            <w:r>
              <w:rPr>
                <w:rFonts w:hint="eastAsia"/>
                <w:color w:val="000000"/>
                <w:kern w:val="0"/>
                <w:sz w:val="18"/>
                <w:szCs w:val="18"/>
              </w:rPr>
              <w:t>　</w:t>
            </w:r>
          </w:p>
        </w:tc>
        <w:tc>
          <w:tcPr>
            <w:tcW w:w="1044" w:type="dxa"/>
            <w:tcBorders>
              <w:top w:val="single" w:color="auto" w:sz="4" w:space="0"/>
              <w:left w:val="single" w:color="auto" w:sz="4" w:space="0"/>
              <w:bottom w:val="single" w:color="auto" w:sz="8" w:space="0"/>
              <w:right w:val="single" w:color="auto" w:sz="4" w:space="0"/>
            </w:tcBorders>
            <w:vAlign w:val="center"/>
          </w:tcPr>
          <w:p w14:paraId="2C953E60">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8" w:space="0"/>
              <w:right w:val="single" w:color="auto" w:sz="8" w:space="0"/>
            </w:tcBorders>
            <w:vAlign w:val="center"/>
          </w:tcPr>
          <w:p w14:paraId="23F43C08">
            <w:pPr>
              <w:spacing w:line="320" w:lineRule="exact"/>
              <w:jc w:val="left"/>
              <w:rPr>
                <w:color w:val="000000"/>
                <w:kern w:val="0"/>
                <w:sz w:val="18"/>
                <w:szCs w:val="18"/>
              </w:rPr>
            </w:pPr>
            <w:r>
              <w:rPr>
                <w:rFonts w:hint="eastAsia"/>
                <w:color w:val="000000"/>
                <w:kern w:val="0"/>
                <w:sz w:val="18"/>
                <w:szCs w:val="18"/>
              </w:rPr>
              <w:t>　</w:t>
            </w:r>
          </w:p>
        </w:tc>
      </w:tr>
    </w:tbl>
    <w:p w14:paraId="28C09335"/>
    <w:p w14:paraId="3CDB3931"/>
    <w:tbl>
      <w:tblPr>
        <w:tblStyle w:val="15"/>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6140"/>
        <w:gridCol w:w="1044"/>
        <w:gridCol w:w="5820"/>
      </w:tblGrid>
      <w:tr w14:paraId="7B2261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tcBorders>
              <w:top w:val="single" w:color="auto" w:sz="8" w:space="0"/>
            </w:tcBorders>
            <w:vAlign w:val="center"/>
          </w:tcPr>
          <w:p w14:paraId="5838FAD9">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tcBorders>
            <w:vAlign w:val="center"/>
          </w:tcPr>
          <w:p w14:paraId="001C6379">
            <w:pPr>
              <w:jc w:val="left"/>
              <w:textAlignment w:val="center"/>
              <w:rPr>
                <w:rFonts w:eastAsia="仿宋_GB2312"/>
                <w:b/>
                <w:bCs/>
                <w:color w:val="000000"/>
                <w:kern w:val="0"/>
                <w:sz w:val="18"/>
                <w:szCs w:val="18"/>
              </w:rPr>
            </w:pPr>
            <w:r>
              <w:rPr>
                <w:rFonts w:eastAsia="仿宋_GB2312"/>
                <w:b/>
                <w:color w:val="000000"/>
                <w:kern w:val="0"/>
                <w:sz w:val="20"/>
              </w:rPr>
              <w:t>320217106000</w:t>
            </w:r>
            <w:r>
              <w:rPr>
                <w:rFonts w:hint="eastAsia" w:eastAsia="仿宋_GB2312"/>
                <w:b/>
                <w:color w:val="000000"/>
                <w:kern w:val="0"/>
                <w:sz w:val="20"/>
              </w:rPr>
              <w:t xml:space="preserve"> </w:t>
            </w:r>
          </w:p>
        </w:tc>
      </w:tr>
      <w:tr w14:paraId="0E63EB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4B955E98">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vAlign w:val="center"/>
          </w:tcPr>
          <w:p w14:paraId="65F93197">
            <w:pPr>
              <w:spacing w:line="320" w:lineRule="exact"/>
              <w:jc w:val="left"/>
              <w:rPr>
                <w:color w:val="000000"/>
                <w:kern w:val="0"/>
                <w:sz w:val="18"/>
                <w:szCs w:val="18"/>
              </w:rPr>
            </w:pPr>
            <w:r>
              <w:rPr>
                <w:rFonts w:hint="eastAsia"/>
                <w:color w:val="000000"/>
                <w:kern w:val="0"/>
                <w:sz w:val="18"/>
                <w:szCs w:val="18"/>
              </w:rPr>
              <w:t>对勘察设计企业不及时办理资质证书变更手续的处罚</w:t>
            </w:r>
          </w:p>
        </w:tc>
      </w:tr>
      <w:tr w14:paraId="6C92D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056" w:type="dxa"/>
            <w:vAlign w:val="center"/>
          </w:tcPr>
          <w:p w14:paraId="5D1095B6">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vAlign w:val="center"/>
          </w:tcPr>
          <w:p w14:paraId="6F3A61A9">
            <w:pPr>
              <w:spacing w:line="320" w:lineRule="exact"/>
              <w:ind w:firstLine="180" w:firstLineChars="100"/>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14:paraId="3FE8E212">
            <w:pPr>
              <w:spacing w:line="320" w:lineRule="exact"/>
              <w:jc w:val="left"/>
              <w:rPr>
                <w:color w:val="000000"/>
                <w:kern w:val="0"/>
                <w:sz w:val="18"/>
                <w:szCs w:val="18"/>
              </w:rPr>
            </w:pPr>
            <w:r>
              <w:rPr>
                <w:rFonts w:hint="eastAsia"/>
                <w:color w:val="000000"/>
                <w:kern w:val="0"/>
                <w:sz w:val="18"/>
                <w:szCs w:val="18"/>
              </w:rPr>
              <w:t>第十五条第一款</w:t>
            </w:r>
            <w:r>
              <w:rPr>
                <w:color w:val="000000"/>
                <w:kern w:val="0"/>
                <w:sz w:val="18"/>
                <w:szCs w:val="18"/>
              </w:rPr>
              <w:t xml:space="preserve">  </w:t>
            </w:r>
            <w:r>
              <w:rPr>
                <w:rFonts w:hint="eastAsia"/>
                <w:color w:val="000000"/>
                <w:kern w:val="0"/>
                <w:sz w:val="18"/>
                <w:szCs w:val="18"/>
              </w:rPr>
              <w:t>企业在资质证书有效期内名称、地址、注册资本、法定代表人等发生变更的，应当在工商部门办理变更手续后</w:t>
            </w:r>
            <w:r>
              <w:rPr>
                <w:color w:val="000000"/>
                <w:kern w:val="0"/>
                <w:sz w:val="18"/>
                <w:szCs w:val="18"/>
              </w:rPr>
              <w:t>30</w:t>
            </w:r>
            <w:r>
              <w:rPr>
                <w:rFonts w:hint="eastAsia"/>
                <w:color w:val="000000"/>
                <w:kern w:val="0"/>
                <w:sz w:val="18"/>
                <w:szCs w:val="18"/>
              </w:rPr>
              <w:t>日内办理资质证书变更手续。</w:t>
            </w:r>
          </w:p>
          <w:p w14:paraId="35BDE43B">
            <w:pPr>
              <w:spacing w:line="32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企业不及时办理资质证书变更手续的，由资质许可机关责令限期办理；逾期不办理的，可处以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58F6C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648EC2E4">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vAlign w:val="center"/>
          </w:tcPr>
          <w:p w14:paraId="090AFA6C">
            <w:pPr>
              <w:spacing w:line="320" w:lineRule="exact"/>
              <w:jc w:val="left"/>
              <w:rPr>
                <w:color w:val="000000"/>
                <w:kern w:val="0"/>
                <w:sz w:val="18"/>
                <w:szCs w:val="18"/>
              </w:rPr>
            </w:pPr>
            <w:r>
              <w:rPr>
                <w:rFonts w:hint="eastAsia"/>
                <w:color w:val="000000"/>
                <w:kern w:val="0"/>
                <w:sz w:val="18"/>
                <w:szCs w:val="18"/>
              </w:rPr>
              <w:t>罚款</w:t>
            </w:r>
          </w:p>
        </w:tc>
      </w:tr>
      <w:tr w14:paraId="1AD378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60" w:type="dxa"/>
            <w:gridSpan w:val="4"/>
            <w:vAlign w:val="center"/>
          </w:tcPr>
          <w:p w14:paraId="5C6A05DB">
            <w:pPr>
              <w:spacing w:line="320" w:lineRule="exact"/>
              <w:jc w:val="center"/>
              <w:rPr>
                <w:color w:val="000000"/>
                <w:kern w:val="0"/>
                <w:sz w:val="18"/>
                <w:szCs w:val="18"/>
              </w:rPr>
            </w:pPr>
            <w:r>
              <w:rPr>
                <w:rFonts w:hint="eastAsia"/>
                <w:color w:val="000000"/>
                <w:kern w:val="0"/>
                <w:sz w:val="18"/>
                <w:szCs w:val="18"/>
              </w:rPr>
              <w:t>裁量基准</w:t>
            </w:r>
          </w:p>
        </w:tc>
      </w:tr>
      <w:tr w14:paraId="417853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restart"/>
            <w:vAlign w:val="center"/>
          </w:tcPr>
          <w:p w14:paraId="45D70352">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42BFDCE9">
            <w:pPr>
              <w:spacing w:line="320" w:lineRule="exact"/>
              <w:jc w:val="left"/>
              <w:rPr>
                <w:color w:val="000000"/>
                <w:kern w:val="0"/>
                <w:sz w:val="18"/>
                <w:szCs w:val="18"/>
              </w:rPr>
            </w:pPr>
            <w:r>
              <w:rPr>
                <w:rFonts w:hint="eastAsia"/>
                <w:color w:val="000000"/>
                <w:kern w:val="0"/>
                <w:sz w:val="18"/>
                <w:szCs w:val="18"/>
              </w:rPr>
              <w:t>逾期不办理，但未承揽业务的</w:t>
            </w:r>
          </w:p>
        </w:tc>
        <w:tc>
          <w:tcPr>
            <w:tcW w:w="1044" w:type="dxa"/>
            <w:vMerge w:val="restart"/>
            <w:vAlign w:val="center"/>
          </w:tcPr>
          <w:p w14:paraId="37F3A504">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0390F67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73A04E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continue"/>
            <w:tcBorders>
              <w:bottom w:val="single" w:color="auto" w:sz="8" w:space="0"/>
            </w:tcBorders>
            <w:vAlign w:val="center"/>
          </w:tcPr>
          <w:p w14:paraId="3C252F8F">
            <w:pPr>
              <w:spacing w:line="320" w:lineRule="exact"/>
              <w:jc w:val="center"/>
              <w:rPr>
                <w:color w:val="000000"/>
                <w:kern w:val="0"/>
                <w:sz w:val="18"/>
                <w:szCs w:val="18"/>
              </w:rPr>
            </w:pPr>
          </w:p>
        </w:tc>
        <w:tc>
          <w:tcPr>
            <w:tcW w:w="6140" w:type="dxa"/>
            <w:tcBorders>
              <w:bottom w:val="single" w:color="auto" w:sz="8" w:space="0"/>
            </w:tcBorders>
            <w:vAlign w:val="center"/>
          </w:tcPr>
          <w:p w14:paraId="3116659B">
            <w:pPr>
              <w:spacing w:line="320" w:lineRule="exact"/>
              <w:jc w:val="left"/>
              <w:rPr>
                <w:color w:val="000000"/>
                <w:kern w:val="0"/>
                <w:sz w:val="18"/>
                <w:szCs w:val="18"/>
              </w:rPr>
            </w:pPr>
            <w:r>
              <w:rPr>
                <w:rFonts w:hint="eastAsia"/>
                <w:color w:val="000000"/>
                <w:kern w:val="0"/>
                <w:sz w:val="18"/>
                <w:szCs w:val="18"/>
              </w:rPr>
              <w:t>逾期不办理，且继续承揽业务的</w:t>
            </w:r>
          </w:p>
        </w:tc>
        <w:tc>
          <w:tcPr>
            <w:tcW w:w="1044" w:type="dxa"/>
            <w:vMerge w:val="continue"/>
            <w:tcBorders>
              <w:bottom w:val="single" w:color="auto" w:sz="8" w:space="0"/>
            </w:tcBorders>
            <w:vAlign w:val="center"/>
          </w:tcPr>
          <w:p w14:paraId="107F2AEB">
            <w:pPr>
              <w:spacing w:line="320" w:lineRule="exact"/>
              <w:jc w:val="center"/>
              <w:rPr>
                <w:color w:val="000000"/>
                <w:kern w:val="0"/>
                <w:sz w:val="18"/>
                <w:szCs w:val="18"/>
              </w:rPr>
            </w:pPr>
          </w:p>
        </w:tc>
        <w:tc>
          <w:tcPr>
            <w:tcW w:w="5820" w:type="dxa"/>
            <w:tcBorders>
              <w:bottom w:val="single" w:color="auto" w:sz="8" w:space="0"/>
            </w:tcBorders>
            <w:vAlign w:val="center"/>
          </w:tcPr>
          <w:p w14:paraId="0BB826A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14:paraId="6428F848"/>
    <w:p w14:paraId="6C8817FC"/>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113DE504">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5DE25A96">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40A24383">
            <w:pPr>
              <w:spacing w:line="320" w:lineRule="exact"/>
              <w:jc w:val="left"/>
              <w:rPr>
                <w:rFonts w:eastAsia="仿宋_GB2312"/>
                <w:b/>
                <w:bCs/>
                <w:color w:val="000000"/>
                <w:kern w:val="0"/>
                <w:sz w:val="18"/>
                <w:szCs w:val="18"/>
              </w:rPr>
            </w:pPr>
            <w:r>
              <w:rPr>
                <w:rFonts w:eastAsia="仿宋_GB2312"/>
                <w:b/>
                <w:bCs/>
                <w:color w:val="000000"/>
                <w:kern w:val="0"/>
                <w:sz w:val="18"/>
                <w:szCs w:val="18"/>
              </w:rPr>
              <w:t>320217107000</w:t>
            </w:r>
            <w:r>
              <w:rPr>
                <w:rFonts w:hint="eastAsia" w:eastAsia="仿宋_GB2312"/>
                <w:b/>
                <w:bCs/>
                <w:color w:val="000000"/>
                <w:kern w:val="0"/>
                <w:sz w:val="18"/>
                <w:szCs w:val="18"/>
              </w:rPr>
              <w:t xml:space="preserve"> </w:t>
            </w:r>
          </w:p>
        </w:tc>
      </w:tr>
      <w:tr w14:paraId="5178A5A3">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4A64ED1B">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3007843D">
            <w:pPr>
              <w:spacing w:line="320" w:lineRule="exact"/>
              <w:jc w:val="left"/>
              <w:rPr>
                <w:color w:val="000000"/>
                <w:kern w:val="0"/>
                <w:sz w:val="18"/>
                <w:szCs w:val="18"/>
              </w:rPr>
            </w:pPr>
            <w:r>
              <w:rPr>
                <w:rFonts w:hint="eastAsia"/>
                <w:color w:val="000000"/>
                <w:kern w:val="0"/>
                <w:sz w:val="18"/>
                <w:szCs w:val="18"/>
              </w:rPr>
              <w:t>对施工单位未按照规定在施工起重机械和整体提升脚手架、模板等自升式架设设施验收合格后登记的处罚</w:t>
            </w:r>
          </w:p>
        </w:tc>
      </w:tr>
      <w:tr w14:paraId="3867D44D">
        <w:tblPrEx>
          <w:tblCellMar>
            <w:top w:w="0" w:type="dxa"/>
            <w:left w:w="108" w:type="dxa"/>
            <w:bottom w:w="0" w:type="dxa"/>
            <w:right w:w="108" w:type="dxa"/>
          </w:tblCellMar>
        </w:tblPrEx>
        <w:trPr>
          <w:trHeight w:val="2535" w:hRule="atLeast"/>
        </w:trPr>
        <w:tc>
          <w:tcPr>
            <w:tcW w:w="1026" w:type="dxa"/>
            <w:tcBorders>
              <w:top w:val="nil"/>
              <w:left w:val="single" w:color="auto" w:sz="8" w:space="0"/>
              <w:bottom w:val="single" w:color="auto" w:sz="4" w:space="0"/>
              <w:right w:val="single" w:color="auto" w:sz="4" w:space="0"/>
            </w:tcBorders>
            <w:vAlign w:val="center"/>
          </w:tcPr>
          <w:p w14:paraId="428224AE">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0DE7BFC6">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14:paraId="36CD6C7B">
            <w:pPr>
              <w:spacing w:line="280" w:lineRule="exact"/>
              <w:jc w:val="left"/>
              <w:rPr>
                <w:color w:val="000000"/>
                <w:kern w:val="0"/>
                <w:sz w:val="18"/>
                <w:szCs w:val="18"/>
              </w:rPr>
            </w:pPr>
            <w:r>
              <w:rPr>
                <w:rFonts w:hint="eastAsia"/>
                <w:color w:val="000000"/>
                <w:kern w:val="0"/>
                <w:sz w:val="18"/>
                <w:szCs w:val="18"/>
              </w:rPr>
              <w:t xml:space="preserve">       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29F385B9">
            <w:pPr>
              <w:spacing w:line="280" w:lineRule="exact"/>
              <w:jc w:val="left"/>
              <w:rPr>
                <w:color w:val="000000"/>
                <w:kern w:val="0"/>
                <w:sz w:val="18"/>
                <w:szCs w:val="18"/>
              </w:rPr>
            </w:pPr>
            <w:r>
              <w:rPr>
                <w:rFonts w:hint="eastAsia"/>
                <w:color w:val="000000"/>
                <w:kern w:val="0"/>
                <w:sz w:val="18"/>
                <w:szCs w:val="18"/>
              </w:rPr>
              <w:t xml:space="preserve">        （六）危险物品的容器、运输工具，以及涉及人身安全、危险性较大的海洋石油开采特种设备和矿山井下特种设备未经具有专业资质的机构检测、检验合格，取得安全使用证或者安全标志，投入使用的；</w:t>
            </w:r>
          </w:p>
          <w:p w14:paraId="3FAC007F">
            <w:pPr>
              <w:spacing w:line="280" w:lineRule="exact"/>
              <w:jc w:val="left"/>
              <w:rPr>
                <w:color w:val="000000"/>
                <w:kern w:val="0"/>
                <w:sz w:val="18"/>
                <w:szCs w:val="18"/>
              </w:rPr>
            </w:pPr>
            <w:r>
              <w:rPr>
                <w:rFonts w:hint="eastAsia"/>
                <w:color w:val="000000"/>
                <w:kern w:val="0"/>
                <w:sz w:val="18"/>
                <w:szCs w:val="18"/>
              </w:rPr>
              <w:t xml:space="preserve">       第一百一十二条  生产经营单位违反本法规定，被责令改正且受到罚款处罚，拒不改正的，负有安全生产监督管理职责的部门可以自作出责令改正之日的次日起，按照原处罚数额按日连续处罚。</w:t>
            </w:r>
          </w:p>
          <w:p w14:paraId="34351622">
            <w:pPr>
              <w:spacing w:line="28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7DCCC3D1">
            <w:pPr>
              <w:spacing w:line="280" w:lineRule="exact"/>
              <w:jc w:val="left"/>
              <w:rPr>
                <w:color w:val="000000"/>
                <w:kern w:val="0"/>
                <w:sz w:val="18"/>
                <w:szCs w:val="18"/>
              </w:rPr>
            </w:pPr>
            <w:r>
              <w:rPr>
                <w:rFonts w:hint="eastAsia"/>
                <w:color w:val="000000"/>
                <w:kern w:val="0"/>
                <w:sz w:val="18"/>
                <w:szCs w:val="18"/>
              </w:rPr>
              <w:t xml:space="preserve">        第三十五条第三款  施工单位应当自施工起重机械和整体提升脚手架、模板等自升式架设设施验收合格之日起30日内，向建设行政主管部门或者其他有关部门登记。登记标志应当置于或者附着于该设备的显著位置。</w:t>
            </w:r>
          </w:p>
          <w:p w14:paraId="032BDF62">
            <w:pPr>
              <w:spacing w:line="280" w:lineRule="exact"/>
              <w:jc w:val="left"/>
              <w:rPr>
                <w:color w:val="000000"/>
                <w:kern w:val="0"/>
                <w:sz w:val="18"/>
                <w:szCs w:val="18"/>
              </w:rPr>
            </w:pPr>
            <w:r>
              <w:rPr>
                <w:rFonts w:hint="eastAsia"/>
                <w:color w:val="000000"/>
                <w:kern w:val="0"/>
                <w:sz w:val="18"/>
                <w:szCs w:val="18"/>
              </w:rPr>
              <w:t xml:space="preserve">        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  </w:t>
            </w:r>
          </w:p>
          <w:p w14:paraId="727A3FF3">
            <w:pPr>
              <w:spacing w:line="280" w:lineRule="exact"/>
              <w:jc w:val="left"/>
              <w:rPr>
                <w:color w:val="000000"/>
                <w:kern w:val="0"/>
                <w:sz w:val="18"/>
                <w:szCs w:val="18"/>
              </w:rPr>
            </w:pPr>
            <w:r>
              <w:rPr>
                <w:rFonts w:hint="eastAsia"/>
                <w:color w:val="000000"/>
                <w:kern w:val="0"/>
                <w:sz w:val="18"/>
                <w:szCs w:val="18"/>
              </w:rPr>
              <w:t xml:space="preserve">      （五）未按照规定在施工起重机械和整体提升脚手架、模板等自升式架设设施验收合格后登记的。</w:t>
            </w:r>
          </w:p>
          <w:p w14:paraId="335C4511">
            <w:pPr>
              <w:spacing w:line="28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w:t>
            </w:r>
          </w:p>
          <w:p w14:paraId="7639A5D0">
            <w:pPr>
              <w:spacing w:line="28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p>
          <w:p w14:paraId="5857253D">
            <w:pPr>
              <w:spacing w:line="280" w:lineRule="exact"/>
              <w:jc w:val="left"/>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tc>
      </w:tr>
      <w:tr w14:paraId="793CE88A">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353ED09D">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3D4F8941">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72580AB5">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2E11B4A3">
            <w:pPr>
              <w:spacing w:line="320" w:lineRule="exact"/>
              <w:jc w:val="center"/>
              <w:rPr>
                <w:color w:val="000000"/>
                <w:kern w:val="0"/>
                <w:sz w:val="18"/>
                <w:szCs w:val="18"/>
              </w:rPr>
            </w:pPr>
            <w:r>
              <w:rPr>
                <w:rFonts w:hint="eastAsia"/>
                <w:color w:val="000000"/>
                <w:kern w:val="0"/>
                <w:sz w:val="18"/>
                <w:szCs w:val="18"/>
              </w:rPr>
              <w:t>裁量基准</w:t>
            </w:r>
          </w:p>
        </w:tc>
      </w:tr>
      <w:tr w14:paraId="44B181AE">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right w:val="single" w:color="auto" w:sz="4" w:space="0"/>
            </w:tcBorders>
            <w:vAlign w:val="center"/>
          </w:tcPr>
          <w:p w14:paraId="4CBBB30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4B22107">
            <w:pPr>
              <w:spacing w:line="320" w:lineRule="exact"/>
              <w:jc w:val="left"/>
              <w:rPr>
                <w:color w:val="000000"/>
                <w:kern w:val="0"/>
                <w:sz w:val="18"/>
                <w:szCs w:val="18"/>
              </w:rPr>
            </w:pPr>
            <w:r>
              <w:rPr>
                <w:rFonts w:hint="eastAsia"/>
                <w:color w:val="000000"/>
                <w:kern w:val="0"/>
                <w:sz w:val="18"/>
                <w:szCs w:val="18"/>
              </w:rPr>
              <w:t>按要求改正的，未发生安全事故的</w:t>
            </w:r>
          </w:p>
        </w:tc>
        <w:tc>
          <w:tcPr>
            <w:tcW w:w="1120" w:type="dxa"/>
            <w:vMerge w:val="restart"/>
            <w:tcBorders>
              <w:top w:val="nil"/>
              <w:left w:val="single" w:color="auto" w:sz="4" w:space="0"/>
              <w:right w:val="single" w:color="auto" w:sz="4" w:space="0"/>
            </w:tcBorders>
            <w:vAlign w:val="center"/>
          </w:tcPr>
          <w:p w14:paraId="3EB614BB">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2C481C14">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14:paraId="24B38450">
        <w:tblPrEx>
          <w:tblCellMar>
            <w:top w:w="0" w:type="dxa"/>
            <w:left w:w="108" w:type="dxa"/>
            <w:bottom w:w="0" w:type="dxa"/>
            <w:right w:w="108" w:type="dxa"/>
          </w:tblCellMar>
        </w:tblPrEx>
        <w:trPr>
          <w:trHeight w:val="285" w:hRule="atLeast"/>
        </w:trPr>
        <w:tc>
          <w:tcPr>
            <w:tcW w:w="1026" w:type="dxa"/>
            <w:vMerge w:val="continue"/>
            <w:tcBorders>
              <w:left w:val="single" w:color="auto" w:sz="8" w:space="0"/>
              <w:right w:val="single" w:color="auto" w:sz="4" w:space="0"/>
            </w:tcBorders>
            <w:vAlign w:val="center"/>
          </w:tcPr>
          <w:p w14:paraId="66E71183">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06672F3">
            <w:pPr>
              <w:spacing w:line="320" w:lineRule="exact"/>
              <w:jc w:val="left"/>
              <w:rPr>
                <w:color w:val="000000"/>
                <w:kern w:val="0"/>
                <w:sz w:val="18"/>
                <w:szCs w:val="18"/>
              </w:rPr>
            </w:pPr>
            <w:r>
              <w:rPr>
                <w:rFonts w:hint="eastAsia"/>
                <w:color w:val="000000"/>
                <w:kern w:val="0"/>
                <w:sz w:val="18"/>
                <w:szCs w:val="18"/>
              </w:rPr>
              <w:t>按要求改正的，发生安全事故的</w:t>
            </w:r>
          </w:p>
        </w:tc>
        <w:tc>
          <w:tcPr>
            <w:tcW w:w="1120" w:type="dxa"/>
            <w:vMerge w:val="continue"/>
            <w:tcBorders>
              <w:left w:val="single" w:color="auto" w:sz="4" w:space="0"/>
              <w:right w:val="single" w:color="auto" w:sz="4" w:space="0"/>
            </w:tcBorders>
            <w:vAlign w:val="center"/>
          </w:tcPr>
          <w:p w14:paraId="2AAA217A">
            <w:pPr>
              <w:spacing w:line="320" w:lineRule="exact"/>
              <w:jc w:val="center"/>
              <w:rPr>
                <w:color w:val="000000"/>
                <w:kern w:val="0"/>
                <w:sz w:val="18"/>
                <w:szCs w:val="18"/>
              </w:rPr>
            </w:pPr>
          </w:p>
        </w:tc>
        <w:tc>
          <w:tcPr>
            <w:tcW w:w="5774" w:type="dxa"/>
            <w:tcBorders>
              <w:top w:val="nil"/>
              <w:left w:val="nil"/>
              <w:bottom w:val="single" w:color="auto" w:sz="4" w:space="0"/>
              <w:right w:val="single" w:color="auto" w:sz="8" w:space="0"/>
            </w:tcBorders>
            <w:vAlign w:val="center"/>
          </w:tcPr>
          <w:p w14:paraId="28418EC8">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14:paraId="0CE10033">
        <w:tblPrEx>
          <w:tblCellMar>
            <w:top w:w="0" w:type="dxa"/>
            <w:left w:w="108" w:type="dxa"/>
            <w:bottom w:w="0" w:type="dxa"/>
            <w:right w:w="108" w:type="dxa"/>
          </w:tblCellMar>
        </w:tblPrEx>
        <w:trPr>
          <w:trHeight w:val="392" w:hRule="atLeast"/>
        </w:trPr>
        <w:tc>
          <w:tcPr>
            <w:tcW w:w="1026" w:type="dxa"/>
            <w:vMerge w:val="continue"/>
            <w:tcBorders>
              <w:left w:val="single" w:color="auto" w:sz="8" w:space="0"/>
              <w:right w:val="single" w:color="auto" w:sz="4" w:space="0"/>
            </w:tcBorders>
            <w:vAlign w:val="center"/>
          </w:tcPr>
          <w:p w14:paraId="196D8E0F">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A9A345F">
            <w:pPr>
              <w:spacing w:line="320" w:lineRule="exact"/>
              <w:jc w:val="left"/>
              <w:rPr>
                <w:color w:val="000000"/>
                <w:kern w:val="0"/>
                <w:sz w:val="18"/>
                <w:szCs w:val="18"/>
              </w:rPr>
            </w:pPr>
            <w:r>
              <w:rPr>
                <w:rFonts w:hint="eastAsia"/>
                <w:color w:val="000000"/>
                <w:kern w:val="0"/>
                <w:sz w:val="18"/>
                <w:szCs w:val="18"/>
              </w:rPr>
              <w:t>未按要求改正的，未发生安全事故的</w:t>
            </w:r>
          </w:p>
        </w:tc>
        <w:tc>
          <w:tcPr>
            <w:tcW w:w="1120" w:type="dxa"/>
            <w:vMerge w:val="continue"/>
            <w:tcBorders>
              <w:left w:val="single" w:color="auto" w:sz="4" w:space="0"/>
              <w:right w:val="single" w:color="auto" w:sz="4" w:space="0"/>
            </w:tcBorders>
            <w:vAlign w:val="center"/>
          </w:tcPr>
          <w:p w14:paraId="65BFCAA1">
            <w:pPr>
              <w:spacing w:line="320" w:lineRule="exact"/>
              <w:jc w:val="center"/>
              <w:rPr>
                <w:color w:val="000000"/>
                <w:kern w:val="0"/>
                <w:sz w:val="18"/>
                <w:szCs w:val="18"/>
              </w:rPr>
            </w:pPr>
          </w:p>
        </w:tc>
        <w:tc>
          <w:tcPr>
            <w:tcW w:w="5774" w:type="dxa"/>
            <w:tcBorders>
              <w:top w:val="nil"/>
              <w:left w:val="nil"/>
              <w:bottom w:val="single" w:color="auto" w:sz="4" w:space="0"/>
              <w:right w:val="single" w:color="auto" w:sz="8" w:space="0"/>
            </w:tcBorders>
            <w:vAlign w:val="center"/>
          </w:tcPr>
          <w:p w14:paraId="12CC345A">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2B55EF2B">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14:paraId="2EFCE40C">
        <w:tblPrEx>
          <w:tblCellMar>
            <w:top w:w="0" w:type="dxa"/>
            <w:left w:w="108" w:type="dxa"/>
            <w:bottom w:w="0" w:type="dxa"/>
            <w:right w:w="108" w:type="dxa"/>
          </w:tblCellMar>
        </w:tblPrEx>
        <w:trPr>
          <w:trHeight w:val="285" w:hRule="atLeast"/>
        </w:trPr>
        <w:tc>
          <w:tcPr>
            <w:tcW w:w="1026" w:type="dxa"/>
            <w:vMerge w:val="continue"/>
            <w:tcBorders>
              <w:left w:val="single" w:color="auto" w:sz="8" w:space="0"/>
              <w:bottom w:val="single" w:color="auto" w:sz="4" w:space="0"/>
              <w:right w:val="single" w:color="auto" w:sz="4" w:space="0"/>
            </w:tcBorders>
            <w:vAlign w:val="center"/>
          </w:tcPr>
          <w:p w14:paraId="1A4576D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BB1F98A">
            <w:pPr>
              <w:spacing w:line="320" w:lineRule="exact"/>
              <w:jc w:val="left"/>
              <w:rPr>
                <w:color w:val="000000"/>
                <w:kern w:val="0"/>
                <w:sz w:val="18"/>
                <w:szCs w:val="18"/>
              </w:rPr>
            </w:pPr>
            <w:r>
              <w:rPr>
                <w:rFonts w:hint="eastAsia"/>
                <w:color w:val="000000"/>
                <w:kern w:val="0"/>
                <w:sz w:val="18"/>
                <w:szCs w:val="18"/>
              </w:rPr>
              <w:t>未按要求改正的，发生安全事故的</w:t>
            </w:r>
          </w:p>
        </w:tc>
        <w:tc>
          <w:tcPr>
            <w:tcW w:w="1120" w:type="dxa"/>
            <w:vMerge w:val="continue"/>
            <w:tcBorders>
              <w:left w:val="single" w:color="auto" w:sz="4" w:space="0"/>
              <w:bottom w:val="single" w:color="auto" w:sz="4" w:space="0"/>
              <w:right w:val="single" w:color="auto" w:sz="4" w:space="0"/>
            </w:tcBorders>
            <w:vAlign w:val="center"/>
          </w:tcPr>
          <w:p w14:paraId="5F48D8D0">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666C50EF">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14:paraId="5852B8AA">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14:paraId="6D4FC551"/>
    <w:p w14:paraId="5C5D72A9"/>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3A2E14EE">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1EC872AF">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103590E2">
            <w:pPr>
              <w:spacing w:line="320" w:lineRule="exact"/>
              <w:jc w:val="left"/>
              <w:rPr>
                <w:rFonts w:eastAsia="仿宋_GB2312"/>
                <w:b/>
                <w:bCs/>
                <w:color w:val="000000"/>
                <w:kern w:val="0"/>
                <w:sz w:val="18"/>
                <w:szCs w:val="18"/>
              </w:rPr>
            </w:pPr>
            <w:r>
              <w:rPr>
                <w:rFonts w:eastAsia="仿宋_GB2312"/>
                <w:b/>
                <w:bCs/>
                <w:color w:val="000000"/>
                <w:kern w:val="0"/>
                <w:sz w:val="18"/>
                <w:szCs w:val="18"/>
              </w:rPr>
              <w:t>320217108000</w:t>
            </w:r>
          </w:p>
        </w:tc>
      </w:tr>
      <w:tr w14:paraId="68203E09">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6A0BE0BE">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538F97DC">
            <w:pPr>
              <w:spacing w:line="320" w:lineRule="exact"/>
              <w:jc w:val="left"/>
              <w:rPr>
                <w:color w:val="000000"/>
                <w:kern w:val="0"/>
                <w:sz w:val="18"/>
                <w:szCs w:val="18"/>
              </w:rPr>
            </w:pPr>
            <w:r>
              <w:rPr>
                <w:rFonts w:hint="eastAsia"/>
                <w:color w:val="000000"/>
                <w:kern w:val="0"/>
                <w:sz w:val="18"/>
                <w:szCs w:val="18"/>
              </w:rPr>
              <w:t>对生产经营单位将生产经营项目、场所、设备发包或者出租给不具备安全生产条件或者相应资质的单位或者个人的处罚</w:t>
            </w:r>
          </w:p>
        </w:tc>
      </w:tr>
      <w:tr w14:paraId="56495AFC">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548322DF">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76D54D7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14:paraId="187C09A8">
            <w:pPr>
              <w:spacing w:line="320" w:lineRule="exact"/>
              <w:jc w:val="left"/>
              <w:rPr>
                <w:color w:val="000000"/>
                <w:kern w:val="0"/>
                <w:sz w:val="18"/>
                <w:szCs w:val="18"/>
              </w:rPr>
            </w:pPr>
            <w:r>
              <w:rPr>
                <w:rFonts w:hint="eastAsia"/>
                <w:color w:val="000000"/>
                <w:kern w:val="0"/>
                <w:sz w:val="18"/>
                <w:szCs w:val="18"/>
              </w:rPr>
              <w:t xml:space="preserve">  　  第四十九条第一款　生产经营单位不得将生产经营项目、场所、设备发包或者出租给不具备安全生产条件或者相应资质的单位或者个人。</w:t>
            </w:r>
          </w:p>
          <w:p w14:paraId="24844724">
            <w:pPr>
              <w:spacing w:line="320" w:lineRule="exact"/>
              <w:jc w:val="left"/>
              <w:rPr>
                <w:color w:val="000000"/>
                <w:kern w:val="0"/>
                <w:sz w:val="18"/>
                <w:szCs w:val="18"/>
              </w:rPr>
            </w:pPr>
            <w:r>
              <w:rPr>
                <w:rFonts w:hint="eastAsia"/>
                <w:color w:val="000000"/>
                <w:kern w:val="0"/>
                <w:sz w:val="18"/>
                <w:szCs w:val="18"/>
              </w:rPr>
              <w:t xml:space="preserve">   　第一百零三条第一款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14:paraId="2556132D">
            <w:pPr>
              <w:spacing w:line="320" w:lineRule="exact"/>
              <w:jc w:val="left"/>
              <w:rPr>
                <w:color w:val="000000"/>
                <w:kern w:val="0"/>
                <w:sz w:val="18"/>
                <w:szCs w:val="18"/>
              </w:rPr>
            </w:pPr>
            <w:r>
              <w:rPr>
                <w:color w:val="000000"/>
                <w:kern w:val="0"/>
                <w:sz w:val="18"/>
                <w:szCs w:val="18"/>
              </w:rPr>
              <w:t xml:space="preserve">       </w:t>
            </w:r>
          </w:p>
        </w:tc>
      </w:tr>
      <w:tr w14:paraId="520A29B8">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2175EAB1">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60489572">
            <w:pPr>
              <w:spacing w:line="320" w:lineRule="exact"/>
              <w:jc w:val="left"/>
              <w:rPr>
                <w:color w:val="000000"/>
                <w:kern w:val="0"/>
                <w:sz w:val="18"/>
                <w:szCs w:val="18"/>
              </w:rPr>
            </w:pPr>
            <w:r>
              <w:rPr>
                <w:rFonts w:hint="eastAsia"/>
                <w:color w:val="000000"/>
                <w:kern w:val="0"/>
                <w:sz w:val="18"/>
                <w:szCs w:val="18"/>
              </w:rPr>
              <w:t>责令限期改正，没收违法所得，罚款</w:t>
            </w:r>
            <w:r>
              <w:rPr>
                <w:color w:val="000000"/>
                <w:kern w:val="0"/>
                <w:sz w:val="18"/>
                <w:szCs w:val="18"/>
              </w:rPr>
              <w:t xml:space="preserve">  </w:t>
            </w:r>
          </w:p>
        </w:tc>
      </w:tr>
      <w:tr w14:paraId="5E299C2F">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391666EC">
            <w:pPr>
              <w:spacing w:line="320" w:lineRule="exact"/>
              <w:jc w:val="center"/>
              <w:rPr>
                <w:color w:val="000000"/>
                <w:kern w:val="0"/>
                <w:sz w:val="18"/>
                <w:szCs w:val="18"/>
              </w:rPr>
            </w:pPr>
            <w:r>
              <w:rPr>
                <w:rFonts w:hint="eastAsia"/>
                <w:color w:val="000000"/>
                <w:kern w:val="0"/>
                <w:sz w:val="18"/>
                <w:szCs w:val="18"/>
              </w:rPr>
              <w:t>裁量基准</w:t>
            </w:r>
          </w:p>
        </w:tc>
      </w:tr>
      <w:tr w14:paraId="18A4FA50">
        <w:tblPrEx>
          <w:tblCellMar>
            <w:top w:w="0" w:type="dxa"/>
            <w:left w:w="108" w:type="dxa"/>
            <w:bottom w:w="0" w:type="dxa"/>
            <w:right w:w="108" w:type="dxa"/>
          </w:tblCellMar>
        </w:tblPrEx>
        <w:trPr>
          <w:trHeight w:val="285" w:hRule="atLeast"/>
        </w:trPr>
        <w:tc>
          <w:tcPr>
            <w:tcW w:w="1040" w:type="dxa"/>
            <w:vMerge w:val="restart"/>
            <w:tcBorders>
              <w:left w:val="single" w:color="auto" w:sz="8" w:space="0"/>
              <w:right w:val="single" w:color="auto" w:sz="4" w:space="0"/>
            </w:tcBorders>
            <w:vAlign w:val="center"/>
          </w:tcPr>
          <w:p w14:paraId="4E31AFFB">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7FC5904A">
            <w:pPr>
              <w:spacing w:line="320" w:lineRule="exact"/>
              <w:jc w:val="left"/>
              <w:rPr>
                <w:color w:val="000000"/>
                <w:kern w:val="0"/>
                <w:sz w:val="18"/>
                <w:szCs w:val="18"/>
              </w:rPr>
            </w:pPr>
            <w:r>
              <w:rPr>
                <w:rFonts w:hint="eastAsia"/>
                <w:color w:val="000000"/>
                <w:kern w:val="0"/>
                <w:sz w:val="18"/>
                <w:szCs w:val="18"/>
              </w:rPr>
              <w:t>违法所得不足</w:t>
            </w:r>
            <w:r>
              <w:rPr>
                <w:color w:val="000000"/>
                <w:kern w:val="0"/>
                <w:sz w:val="18"/>
                <w:szCs w:val="18"/>
              </w:rPr>
              <w:t>10</w:t>
            </w:r>
            <w:r>
              <w:rPr>
                <w:rFonts w:hint="eastAsia"/>
                <w:color w:val="000000"/>
                <w:kern w:val="0"/>
                <w:sz w:val="18"/>
                <w:szCs w:val="18"/>
              </w:rPr>
              <w:t>万元且未造成生产安全事故的</w:t>
            </w:r>
          </w:p>
        </w:tc>
        <w:tc>
          <w:tcPr>
            <w:tcW w:w="1076" w:type="dxa"/>
            <w:vMerge w:val="restart"/>
            <w:tcBorders>
              <w:left w:val="single" w:color="auto" w:sz="4" w:space="0"/>
              <w:right w:val="single" w:color="auto" w:sz="4" w:space="0"/>
            </w:tcBorders>
            <w:vAlign w:val="center"/>
          </w:tcPr>
          <w:p w14:paraId="06D3B0B0">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515C4B60">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5D1DABAF">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77557F63">
        <w:tblPrEx>
          <w:tblCellMar>
            <w:top w:w="0" w:type="dxa"/>
            <w:left w:w="108" w:type="dxa"/>
            <w:bottom w:w="0" w:type="dxa"/>
            <w:right w:w="108" w:type="dxa"/>
          </w:tblCellMar>
        </w:tblPrEx>
        <w:trPr>
          <w:trHeight w:val="285" w:hRule="atLeast"/>
        </w:trPr>
        <w:tc>
          <w:tcPr>
            <w:tcW w:w="1040" w:type="dxa"/>
            <w:vMerge w:val="continue"/>
            <w:tcBorders>
              <w:left w:val="single" w:color="auto" w:sz="8" w:space="0"/>
              <w:right w:val="single" w:color="auto" w:sz="4" w:space="0"/>
            </w:tcBorders>
            <w:vAlign w:val="center"/>
          </w:tcPr>
          <w:p w14:paraId="65DF9A1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5DEAFC98">
            <w:pPr>
              <w:spacing w:line="320" w:lineRule="exact"/>
              <w:jc w:val="left"/>
              <w:rPr>
                <w:color w:val="000000"/>
                <w:kern w:val="0"/>
                <w:sz w:val="18"/>
                <w:szCs w:val="18"/>
              </w:rPr>
            </w:pPr>
            <w:r>
              <w:rPr>
                <w:rFonts w:hint="eastAsia"/>
                <w:color w:val="000000"/>
                <w:kern w:val="0"/>
                <w:sz w:val="18"/>
                <w:szCs w:val="18"/>
              </w:rPr>
              <w:t>违法所得不足</w:t>
            </w:r>
            <w:r>
              <w:rPr>
                <w:color w:val="000000"/>
                <w:kern w:val="0"/>
                <w:sz w:val="18"/>
                <w:szCs w:val="18"/>
              </w:rPr>
              <w:t>10</w:t>
            </w:r>
            <w:r>
              <w:rPr>
                <w:rFonts w:hint="eastAsia"/>
                <w:color w:val="000000"/>
                <w:kern w:val="0"/>
                <w:sz w:val="18"/>
                <w:szCs w:val="18"/>
              </w:rPr>
              <w:t>万元且造成生产安全事故的</w:t>
            </w:r>
          </w:p>
        </w:tc>
        <w:tc>
          <w:tcPr>
            <w:tcW w:w="1076" w:type="dxa"/>
            <w:vMerge w:val="continue"/>
            <w:tcBorders>
              <w:left w:val="single" w:color="auto" w:sz="4" w:space="0"/>
              <w:right w:val="single" w:color="auto" w:sz="4" w:space="0"/>
            </w:tcBorders>
            <w:vAlign w:val="center"/>
          </w:tcPr>
          <w:p w14:paraId="07AED74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4F10E5A">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元以上</w:t>
            </w:r>
            <w:r>
              <w:rPr>
                <w:color w:val="000000"/>
                <w:kern w:val="0"/>
                <w:sz w:val="18"/>
                <w:szCs w:val="18"/>
              </w:rPr>
              <w:t>20</w:t>
            </w:r>
            <w:r>
              <w:rPr>
                <w:rFonts w:hint="eastAsia"/>
                <w:color w:val="000000"/>
                <w:kern w:val="0"/>
                <w:sz w:val="18"/>
                <w:szCs w:val="18"/>
              </w:rPr>
              <w:t>万元以下罚款</w:t>
            </w:r>
          </w:p>
          <w:p w14:paraId="07B5C04E">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60AED15E">
        <w:tblPrEx>
          <w:tblCellMar>
            <w:top w:w="0" w:type="dxa"/>
            <w:left w:w="108" w:type="dxa"/>
            <w:bottom w:w="0" w:type="dxa"/>
            <w:right w:w="108" w:type="dxa"/>
          </w:tblCellMar>
        </w:tblPrEx>
        <w:trPr>
          <w:trHeight w:val="285" w:hRule="atLeast"/>
        </w:trPr>
        <w:tc>
          <w:tcPr>
            <w:tcW w:w="1040" w:type="dxa"/>
            <w:vMerge w:val="continue"/>
            <w:tcBorders>
              <w:left w:val="single" w:color="auto" w:sz="8" w:space="0"/>
              <w:right w:val="single" w:color="auto" w:sz="4" w:space="0"/>
            </w:tcBorders>
            <w:vAlign w:val="center"/>
          </w:tcPr>
          <w:p w14:paraId="6CAE1A5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21D729E8">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10</w:t>
            </w:r>
            <w:r>
              <w:rPr>
                <w:rFonts w:hint="eastAsia"/>
                <w:color w:val="000000"/>
                <w:kern w:val="0"/>
                <w:sz w:val="18"/>
                <w:szCs w:val="18"/>
              </w:rPr>
              <w:t>万元以上且未造成生产安全事故的</w:t>
            </w:r>
          </w:p>
        </w:tc>
        <w:tc>
          <w:tcPr>
            <w:tcW w:w="1076" w:type="dxa"/>
            <w:vMerge w:val="continue"/>
            <w:tcBorders>
              <w:left w:val="single" w:color="auto" w:sz="4" w:space="0"/>
              <w:right w:val="single" w:color="auto" w:sz="4" w:space="0"/>
            </w:tcBorders>
            <w:vAlign w:val="center"/>
          </w:tcPr>
          <w:p w14:paraId="0F1969F9">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BFBC06D">
            <w:pPr>
              <w:spacing w:line="320" w:lineRule="exact"/>
              <w:jc w:val="left"/>
              <w:rPr>
                <w:color w:val="000000"/>
                <w:kern w:val="0"/>
                <w:sz w:val="18"/>
                <w:szCs w:val="18"/>
              </w:rPr>
            </w:pPr>
            <w:r>
              <w:rPr>
                <w:rFonts w:hint="eastAsia"/>
                <w:color w:val="000000"/>
                <w:kern w:val="0"/>
                <w:sz w:val="18"/>
                <w:szCs w:val="18"/>
              </w:rPr>
              <w:t>对单位：违法所得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p w14:paraId="47FE67B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209EEE88">
        <w:tblPrEx>
          <w:tblCellMar>
            <w:top w:w="0" w:type="dxa"/>
            <w:left w:w="108" w:type="dxa"/>
            <w:bottom w:w="0" w:type="dxa"/>
            <w:right w:w="108" w:type="dxa"/>
          </w:tblCellMar>
        </w:tblPrEx>
        <w:trPr>
          <w:trHeight w:val="285" w:hRule="atLeast"/>
        </w:trPr>
        <w:tc>
          <w:tcPr>
            <w:tcW w:w="1040" w:type="dxa"/>
            <w:vMerge w:val="continue"/>
            <w:tcBorders>
              <w:left w:val="single" w:color="auto" w:sz="8" w:space="0"/>
              <w:bottom w:val="single" w:color="auto" w:sz="4" w:space="0"/>
              <w:right w:val="single" w:color="auto" w:sz="4" w:space="0"/>
            </w:tcBorders>
            <w:vAlign w:val="center"/>
          </w:tcPr>
          <w:p w14:paraId="2B03976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1B2120B3">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10</w:t>
            </w:r>
            <w:r>
              <w:rPr>
                <w:rFonts w:hint="eastAsia"/>
                <w:color w:val="000000"/>
                <w:kern w:val="0"/>
                <w:sz w:val="18"/>
                <w:szCs w:val="18"/>
              </w:rPr>
              <w:t>万元以上且造成生产安全事故的</w:t>
            </w:r>
          </w:p>
        </w:tc>
        <w:tc>
          <w:tcPr>
            <w:tcW w:w="1076" w:type="dxa"/>
            <w:vMerge w:val="continue"/>
            <w:tcBorders>
              <w:left w:val="single" w:color="auto" w:sz="4" w:space="0"/>
              <w:bottom w:val="single" w:color="auto" w:sz="4" w:space="0"/>
              <w:right w:val="single" w:color="auto" w:sz="4" w:space="0"/>
            </w:tcBorders>
            <w:vAlign w:val="center"/>
          </w:tcPr>
          <w:p w14:paraId="4BD3F94B">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0D7B40F">
            <w:pPr>
              <w:spacing w:line="320" w:lineRule="exact"/>
              <w:jc w:val="left"/>
              <w:rPr>
                <w:color w:val="000000"/>
                <w:kern w:val="0"/>
                <w:sz w:val="18"/>
                <w:szCs w:val="18"/>
              </w:rPr>
            </w:pPr>
            <w:r>
              <w:rPr>
                <w:rFonts w:hint="eastAsia"/>
                <w:color w:val="000000"/>
                <w:kern w:val="0"/>
                <w:sz w:val="18"/>
                <w:szCs w:val="18"/>
              </w:rPr>
              <w:t>对单位：违法所得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p w14:paraId="04694D0B">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2ACA15E0"/>
    <w:p w14:paraId="10B40864"/>
    <w:p w14:paraId="58524D6E"/>
    <w:tbl>
      <w:tblPr>
        <w:tblStyle w:val="15"/>
        <w:tblW w:w="0" w:type="auto"/>
        <w:tblInd w:w="88" w:type="dxa"/>
        <w:tblLayout w:type="fixed"/>
        <w:tblCellMar>
          <w:top w:w="0" w:type="dxa"/>
          <w:left w:w="108" w:type="dxa"/>
          <w:bottom w:w="0" w:type="dxa"/>
          <w:right w:w="108" w:type="dxa"/>
        </w:tblCellMar>
      </w:tblPr>
      <w:tblGrid>
        <w:gridCol w:w="1056"/>
        <w:gridCol w:w="1658"/>
        <w:gridCol w:w="4482"/>
        <w:gridCol w:w="1060"/>
        <w:gridCol w:w="5760"/>
      </w:tblGrid>
      <w:tr w14:paraId="62FC5866">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577D3C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color="auto" w:sz="8" w:space="0"/>
              <w:left w:val="nil"/>
              <w:bottom w:val="single" w:color="auto" w:sz="4" w:space="0"/>
              <w:right w:val="single" w:color="000000" w:sz="8" w:space="0"/>
            </w:tcBorders>
            <w:vAlign w:val="center"/>
          </w:tcPr>
          <w:p w14:paraId="412ED806">
            <w:pPr>
              <w:spacing w:line="320" w:lineRule="exact"/>
              <w:jc w:val="left"/>
              <w:rPr>
                <w:rFonts w:eastAsia="仿宋_GB2312"/>
                <w:b/>
                <w:bCs/>
                <w:color w:val="000000"/>
                <w:kern w:val="0"/>
                <w:sz w:val="18"/>
                <w:szCs w:val="18"/>
              </w:rPr>
            </w:pPr>
            <w:r>
              <w:rPr>
                <w:rFonts w:eastAsia="仿宋_GB2312"/>
                <w:b/>
                <w:bCs/>
                <w:color w:val="000000"/>
                <w:kern w:val="0"/>
                <w:sz w:val="18"/>
                <w:szCs w:val="18"/>
              </w:rPr>
              <w:t>320217109000</w:t>
            </w:r>
          </w:p>
        </w:tc>
      </w:tr>
      <w:tr w14:paraId="49B9630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0676788">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color="auto" w:sz="4" w:space="0"/>
              <w:left w:val="nil"/>
              <w:bottom w:val="single" w:color="auto" w:sz="4" w:space="0"/>
              <w:right w:val="single" w:color="000000" w:sz="8" w:space="0"/>
            </w:tcBorders>
            <w:vAlign w:val="center"/>
          </w:tcPr>
          <w:p w14:paraId="55FE31E9">
            <w:pPr>
              <w:spacing w:line="320" w:lineRule="exact"/>
              <w:jc w:val="left"/>
              <w:rPr>
                <w:color w:val="000000"/>
                <w:kern w:val="0"/>
                <w:sz w:val="18"/>
                <w:szCs w:val="18"/>
              </w:rPr>
            </w:pPr>
            <w:r>
              <w:rPr>
                <w:rFonts w:hint="eastAsia"/>
                <w:color w:val="000000"/>
                <w:kern w:val="0"/>
                <w:sz w:val="18"/>
                <w:szCs w:val="18"/>
              </w:rPr>
              <w:t>对房地产开发企业分割拆零销售商品住宅的处罚</w:t>
            </w:r>
          </w:p>
        </w:tc>
      </w:tr>
      <w:tr w14:paraId="17D482EE">
        <w:tblPrEx>
          <w:tblCellMar>
            <w:top w:w="0" w:type="dxa"/>
            <w:left w:w="108" w:type="dxa"/>
            <w:bottom w:w="0" w:type="dxa"/>
            <w:right w:w="108" w:type="dxa"/>
          </w:tblCellMar>
        </w:tblPrEx>
        <w:trPr>
          <w:trHeight w:val="1125" w:hRule="atLeast"/>
        </w:trPr>
        <w:tc>
          <w:tcPr>
            <w:tcW w:w="1056" w:type="dxa"/>
            <w:tcBorders>
              <w:top w:val="nil"/>
              <w:left w:val="single" w:color="auto" w:sz="8" w:space="0"/>
              <w:bottom w:val="single" w:color="auto" w:sz="4" w:space="0"/>
              <w:right w:val="single" w:color="auto" w:sz="4" w:space="0"/>
            </w:tcBorders>
            <w:vAlign w:val="center"/>
          </w:tcPr>
          <w:p w14:paraId="3E3100D8">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color="auto" w:sz="4" w:space="0"/>
              <w:left w:val="nil"/>
              <w:bottom w:val="single" w:color="auto" w:sz="4" w:space="0"/>
              <w:right w:val="single" w:color="000000" w:sz="8" w:space="0"/>
            </w:tcBorders>
            <w:vAlign w:val="center"/>
          </w:tcPr>
          <w:p w14:paraId="63EC7C77">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106D3E97">
            <w:pPr>
              <w:spacing w:line="320" w:lineRule="exact"/>
              <w:jc w:val="left"/>
              <w:rPr>
                <w:color w:val="000000"/>
                <w:kern w:val="0"/>
                <w:sz w:val="18"/>
                <w:szCs w:val="18"/>
              </w:rPr>
            </w:pPr>
            <w:r>
              <w:rPr>
                <w:rFonts w:hint="eastAsia"/>
                <w:color w:val="000000"/>
                <w:kern w:val="0"/>
                <w:sz w:val="18"/>
                <w:szCs w:val="18"/>
              </w:rPr>
              <w:t>第十二条　商品住宅按套销售，不得分割拆零销售。</w:t>
            </w:r>
          </w:p>
          <w:p w14:paraId="5B84CF3C">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14:paraId="7AF24031">
            <w:pPr>
              <w:spacing w:line="320" w:lineRule="exact"/>
              <w:jc w:val="left"/>
              <w:rPr>
                <w:color w:val="000000"/>
                <w:kern w:val="0"/>
                <w:sz w:val="18"/>
                <w:szCs w:val="18"/>
              </w:rPr>
            </w:pPr>
            <w:r>
              <w:rPr>
                <w:rFonts w:hint="eastAsia"/>
                <w:color w:val="000000"/>
                <w:kern w:val="0"/>
                <w:sz w:val="18"/>
                <w:szCs w:val="18"/>
              </w:rPr>
              <w:t>（五）分割拆零销售商品住宅的。</w:t>
            </w:r>
          </w:p>
        </w:tc>
      </w:tr>
      <w:tr w14:paraId="68125CD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838C267">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color="auto" w:sz="4" w:space="0"/>
              <w:left w:val="nil"/>
              <w:bottom w:val="single" w:color="auto" w:sz="4" w:space="0"/>
              <w:right w:val="single" w:color="000000" w:sz="8" w:space="0"/>
            </w:tcBorders>
            <w:vAlign w:val="center"/>
          </w:tcPr>
          <w:p w14:paraId="317B7391">
            <w:pPr>
              <w:spacing w:line="320" w:lineRule="exact"/>
              <w:jc w:val="left"/>
              <w:rPr>
                <w:color w:val="000000"/>
                <w:kern w:val="0"/>
                <w:sz w:val="18"/>
                <w:szCs w:val="18"/>
              </w:rPr>
            </w:pPr>
            <w:r>
              <w:rPr>
                <w:rFonts w:hint="eastAsia"/>
                <w:color w:val="000000"/>
                <w:kern w:val="0"/>
                <w:sz w:val="18"/>
                <w:szCs w:val="18"/>
              </w:rPr>
              <w:t>警告，罚款</w:t>
            </w:r>
          </w:p>
        </w:tc>
      </w:tr>
      <w:tr w14:paraId="7AF8F483">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38CC2212">
            <w:pPr>
              <w:spacing w:line="320" w:lineRule="exact"/>
              <w:jc w:val="center"/>
              <w:rPr>
                <w:color w:val="000000"/>
                <w:kern w:val="0"/>
                <w:sz w:val="18"/>
                <w:szCs w:val="18"/>
              </w:rPr>
            </w:pPr>
            <w:r>
              <w:rPr>
                <w:rFonts w:hint="eastAsia"/>
                <w:color w:val="000000"/>
                <w:kern w:val="0"/>
                <w:sz w:val="18"/>
                <w:szCs w:val="18"/>
              </w:rPr>
              <w:t>裁量基准</w:t>
            </w:r>
          </w:p>
        </w:tc>
      </w:tr>
      <w:tr w14:paraId="467588B8">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54814661">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color="auto" w:sz="4" w:space="0"/>
              <w:left w:val="nil"/>
              <w:right w:val="single" w:color="auto" w:sz="4" w:space="0"/>
            </w:tcBorders>
            <w:vAlign w:val="center"/>
          </w:tcPr>
          <w:p w14:paraId="74A49058">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color="auto" w:sz="4" w:space="0"/>
              <w:left w:val="nil"/>
              <w:bottom w:val="single" w:color="auto" w:sz="4" w:space="0"/>
              <w:right w:val="single" w:color="auto" w:sz="4" w:space="0"/>
            </w:tcBorders>
            <w:vAlign w:val="center"/>
          </w:tcPr>
          <w:p w14:paraId="1C7DB69E">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color="auto" w:sz="4" w:space="0"/>
              <w:bottom w:val="single" w:color="auto" w:sz="4" w:space="0"/>
              <w:right w:val="single" w:color="auto" w:sz="4" w:space="0"/>
            </w:tcBorders>
            <w:vAlign w:val="center"/>
          </w:tcPr>
          <w:p w14:paraId="4045FF9A">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2308533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1E7B375F">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E1ECE04">
            <w:pPr>
              <w:spacing w:line="320" w:lineRule="exact"/>
              <w:jc w:val="center"/>
              <w:rPr>
                <w:color w:val="000000"/>
                <w:kern w:val="0"/>
                <w:sz w:val="18"/>
                <w:szCs w:val="18"/>
              </w:rPr>
            </w:pPr>
          </w:p>
        </w:tc>
        <w:tc>
          <w:tcPr>
            <w:tcW w:w="1658" w:type="dxa"/>
            <w:vMerge w:val="continue"/>
            <w:tcBorders>
              <w:left w:val="nil"/>
              <w:bottom w:val="single" w:color="auto" w:sz="4" w:space="0"/>
              <w:right w:val="single" w:color="auto" w:sz="4" w:space="0"/>
            </w:tcBorders>
            <w:vAlign w:val="center"/>
          </w:tcPr>
          <w:p w14:paraId="0AAE3DBA">
            <w:pPr>
              <w:spacing w:line="320" w:lineRule="exact"/>
              <w:jc w:val="left"/>
              <w:rPr>
                <w:color w:val="000000"/>
                <w:kern w:val="0"/>
                <w:sz w:val="18"/>
                <w:szCs w:val="18"/>
              </w:rPr>
            </w:pPr>
          </w:p>
        </w:tc>
        <w:tc>
          <w:tcPr>
            <w:tcW w:w="4482" w:type="dxa"/>
            <w:tcBorders>
              <w:top w:val="single" w:color="auto" w:sz="4" w:space="0"/>
              <w:left w:val="nil"/>
              <w:bottom w:val="single" w:color="auto" w:sz="4" w:space="0"/>
              <w:right w:val="single" w:color="auto" w:sz="4" w:space="0"/>
            </w:tcBorders>
            <w:vAlign w:val="center"/>
          </w:tcPr>
          <w:p w14:paraId="2B81BFFD">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val="continue"/>
            <w:tcBorders>
              <w:top w:val="nil"/>
              <w:left w:val="single" w:color="auto" w:sz="4" w:space="0"/>
              <w:bottom w:val="single" w:color="auto" w:sz="4" w:space="0"/>
              <w:right w:val="single" w:color="auto" w:sz="4" w:space="0"/>
            </w:tcBorders>
            <w:vAlign w:val="center"/>
          </w:tcPr>
          <w:p w14:paraId="1D90AE69">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7F518B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02FEB935">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C685FD7">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0793A844">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val="continue"/>
            <w:tcBorders>
              <w:top w:val="nil"/>
              <w:left w:val="single" w:color="auto" w:sz="4" w:space="0"/>
              <w:bottom w:val="single" w:color="auto" w:sz="4" w:space="0"/>
              <w:right w:val="single" w:color="auto" w:sz="4" w:space="0"/>
            </w:tcBorders>
            <w:vAlign w:val="center"/>
          </w:tcPr>
          <w:p w14:paraId="23C4B8E6">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3441F1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4E463CFF"/>
    <w:p w14:paraId="623C9F26"/>
    <w:p w14:paraId="512D8880"/>
    <w:p w14:paraId="4BE45445"/>
    <w:p w14:paraId="0512A723"/>
    <w:p w14:paraId="30B149CB"/>
    <w:p w14:paraId="60AF185F"/>
    <w:p w14:paraId="05C6961C"/>
    <w:p w14:paraId="161BAC2E"/>
    <w:p w14:paraId="0A32A485"/>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210C4377">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322A00A8">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0174A92F">
            <w:pPr>
              <w:spacing w:line="320" w:lineRule="exact"/>
              <w:jc w:val="left"/>
              <w:rPr>
                <w:rFonts w:eastAsia="仿宋_GB2312"/>
                <w:b/>
                <w:color w:val="000000"/>
                <w:sz w:val="20"/>
              </w:rPr>
            </w:pPr>
            <w:r>
              <w:rPr>
                <w:rFonts w:eastAsia="仿宋_GB2312"/>
                <w:b/>
                <w:color w:val="000000"/>
                <w:sz w:val="20"/>
              </w:rPr>
              <w:t>320217110000</w:t>
            </w:r>
            <w:r>
              <w:rPr>
                <w:rFonts w:hint="eastAsia" w:eastAsia="仿宋_GB2312"/>
                <w:b/>
                <w:color w:val="000000"/>
                <w:sz w:val="20"/>
              </w:rPr>
              <w:t xml:space="preserve"> </w:t>
            </w:r>
          </w:p>
        </w:tc>
      </w:tr>
      <w:tr w14:paraId="447966DC">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870FB20">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3068A339">
            <w:pPr>
              <w:jc w:val="left"/>
              <w:rPr>
                <w:color w:val="000000"/>
                <w:sz w:val="20"/>
              </w:rPr>
            </w:pPr>
            <w:r>
              <w:rPr>
                <w:rFonts w:hint="eastAsia"/>
                <w:color w:val="000000"/>
                <w:sz w:val="20"/>
              </w:rPr>
              <w:t>对超限机动车辆、履带车、铁轮车等擅自经过城市桥梁的处罚</w:t>
            </w:r>
          </w:p>
        </w:tc>
      </w:tr>
      <w:tr w14:paraId="1CE54870">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028B3E4B">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786D2B5A">
            <w:pPr>
              <w:spacing w:line="320" w:lineRule="exact"/>
              <w:jc w:val="left"/>
              <w:rPr>
                <w:color w:val="000000"/>
                <w:sz w:val="20"/>
              </w:rPr>
            </w:pPr>
            <w:r>
              <w:rPr>
                <w:rFonts w:hint="eastAsia"/>
                <w:color w:val="000000"/>
                <w:sz w:val="20"/>
              </w:rPr>
              <w:t>【规章】《城市桥梁检测和养护维修管理办法》（住房和城乡建设部令第</w:t>
            </w:r>
            <w:r>
              <w:rPr>
                <w:color w:val="000000"/>
                <w:sz w:val="20"/>
              </w:rPr>
              <w:t>118</w:t>
            </w:r>
            <w:r>
              <w:rPr>
                <w:rFonts w:hint="eastAsia"/>
                <w:color w:val="000000"/>
                <w:sz w:val="20"/>
              </w:rPr>
              <w:t>号）</w:t>
            </w:r>
            <w:r>
              <w:rPr>
                <w:color w:val="000000"/>
                <w:sz w:val="20"/>
              </w:rPr>
              <w:br w:type="textWrapping"/>
            </w:r>
            <w:r>
              <w:rPr>
                <w:rFonts w:hint="eastAsia"/>
                <w:color w:val="000000"/>
                <w:sz w:val="20"/>
              </w:rPr>
              <w:t>第十六条</w:t>
            </w:r>
            <w:r>
              <w:rPr>
                <w:color w:val="000000"/>
                <w:sz w:val="20"/>
              </w:rPr>
              <w:t xml:space="preserve"> </w:t>
            </w:r>
            <w:r>
              <w:rPr>
                <w:rFonts w:hint="eastAsia"/>
                <w:color w:val="000000"/>
                <w:sz w:val="20"/>
              </w:rPr>
              <w:t>超限机动车辆、履带车、铁轮车等需经过城市桥梁的，在报公安交通管理部门审批前，应当先经城市人民政府市政工程设施行政主管部门同意，并采取相应技术措施后，方可通行。</w:t>
            </w:r>
            <w:r>
              <w:rPr>
                <w:color w:val="000000"/>
                <w:sz w:val="20"/>
              </w:rPr>
              <w:t xml:space="preserve">   </w:t>
            </w:r>
            <w:r>
              <w:rPr>
                <w:color w:val="000000"/>
                <w:sz w:val="20"/>
              </w:rPr>
              <w:br w:type="textWrapping"/>
            </w:r>
            <w:r>
              <w:rPr>
                <w:rFonts w:hint="eastAsia"/>
                <w:color w:val="000000"/>
                <w:sz w:val="20"/>
              </w:rPr>
              <w:t>第二十八条</w:t>
            </w:r>
            <w:r>
              <w:rPr>
                <w:color w:val="000000"/>
                <w:sz w:val="20"/>
              </w:rPr>
              <w:t xml:space="preserve"> </w:t>
            </w:r>
            <w:r>
              <w:rPr>
                <w:rFonts w:hint="eastAsia"/>
                <w:color w:val="000000"/>
                <w:sz w:val="20"/>
              </w:rPr>
              <w:t>违反本办法第十六条、第二十三条规定，由城市人民政府市政工程设施行政主管部门责令限期改正，并可处</w:t>
            </w:r>
            <w:r>
              <w:rPr>
                <w:color w:val="000000"/>
                <w:sz w:val="20"/>
              </w:rPr>
              <w:t>1</w:t>
            </w:r>
            <w:r>
              <w:rPr>
                <w:rFonts w:hint="eastAsia"/>
                <w:color w:val="000000"/>
                <w:sz w:val="20"/>
              </w:rPr>
              <w:t>万元以上</w:t>
            </w:r>
            <w:r>
              <w:rPr>
                <w:color w:val="000000"/>
                <w:sz w:val="20"/>
              </w:rPr>
              <w:t>2</w:t>
            </w:r>
            <w:r>
              <w:rPr>
                <w:rFonts w:hint="eastAsia"/>
                <w:color w:val="000000"/>
                <w:sz w:val="20"/>
              </w:rPr>
              <w:t>万元以下的罚款；造成损失的，依法承担赔偿责任。</w:t>
            </w:r>
          </w:p>
        </w:tc>
      </w:tr>
      <w:tr w14:paraId="7591E084">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C8F5D30">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5FA6892B">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0C8ED7DE">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5C2A92F">
            <w:pPr>
              <w:spacing w:line="320" w:lineRule="exact"/>
              <w:jc w:val="center"/>
              <w:rPr>
                <w:color w:val="000000"/>
                <w:kern w:val="0"/>
                <w:sz w:val="18"/>
                <w:szCs w:val="18"/>
              </w:rPr>
            </w:pPr>
            <w:r>
              <w:rPr>
                <w:rFonts w:hint="eastAsia"/>
                <w:color w:val="000000"/>
                <w:kern w:val="0"/>
                <w:sz w:val="18"/>
                <w:szCs w:val="18"/>
              </w:rPr>
              <w:t>裁量基准</w:t>
            </w:r>
          </w:p>
        </w:tc>
      </w:tr>
      <w:tr w14:paraId="024FDEB1">
        <w:tblPrEx>
          <w:tblCellMar>
            <w:top w:w="0" w:type="dxa"/>
            <w:left w:w="108" w:type="dxa"/>
            <w:bottom w:w="0" w:type="dxa"/>
            <w:right w:w="108" w:type="dxa"/>
          </w:tblCellMar>
        </w:tblPrEx>
        <w:trPr>
          <w:trHeight w:val="540" w:hRule="atLeast"/>
        </w:trPr>
        <w:tc>
          <w:tcPr>
            <w:tcW w:w="1070" w:type="dxa"/>
            <w:vMerge w:val="restart"/>
            <w:tcBorders>
              <w:top w:val="single" w:color="auto" w:sz="4" w:space="0"/>
              <w:left w:val="single" w:color="auto" w:sz="4" w:space="0"/>
              <w:bottom w:val="single" w:color="auto" w:sz="4" w:space="0"/>
              <w:right w:val="single" w:color="auto" w:sz="4" w:space="0"/>
            </w:tcBorders>
            <w:vAlign w:val="center"/>
          </w:tcPr>
          <w:p w14:paraId="5939B40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4F01419">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0F481B2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01BA7A78">
            <w:pPr>
              <w:spacing w:line="320" w:lineRule="exact"/>
              <w:jc w:val="left"/>
              <w:rPr>
                <w:color w:val="000000"/>
                <w:kern w:val="0"/>
                <w:sz w:val="18"/>
                <w:szCs w:val="18"/>
              </w:rPr>
            </w:pPr>
            <w:r>
              <w:rPr>
                <w:rFonts w:hint="eastAsia"/>
                <w:color w:val="000000"/>
                <w:kern w:val="0"/>
                <w:sz w:val="18"/>
                <w:szCs w:val="18"/>
              </w:rPr>
              <w:t>处1万元以上1.5万元以下罚款</w:t>
            </w:r>
          </w:p>
        </w:tc>
      </w:tr>
      <w:tr w14:paraId="61493BD1">
        <w:tblPrEx>
          <w:tblCellMar>
            <w:top w:w="0" w:type="dxa"/>
            <w:left w:w="108" w:type="dxa"/>
            <w:bottom w:w="0" w:type="dxa"/>
            <w:right w:w="108" w:type="dxa"/>
          </w:tblCellMar>
        </w:tblPrEx>
        <w:trPr>
          <w:trHeight w:val="644" w:hRule="atLeast"/>
        </w:trPr>
        <w:tc>
          <w:tcPr>
            <w:tcW w:w="1070" w:type="dxa"/>
            <w:vMerge w:val="continue"/>
            <w:tcBorders>
              <w:top w:val="single" w:color="auto" w:sz="4" w:space="0"/>
              <w:left w:val="single" w:color="auto" w:sz="4" w:space="0"/>
              <w:bottom w:val="single" w:color="auto" w:sz="4" w:space="0"/>
              <w:right w:val="single" w:color="auto" w:sz="4" w:space="0"/>
            </w:tcBorders>
            <w:vAlign w:val="center"/>
          </w:tcPr>
          <w:p w14:paraId="7908A74C">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B51C1AB">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4E546FC">
            <w:pPr>
              <w:jc w:val="left"/>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09C9419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6452194A"/>
    <w:p w14:paraId="4198BBD0"/>
    <w:p w14:paraId="6D9EF93F"/>
    <w:p w14:paraId="588E4C37"/>
    <w:p w14:paraId="72949ABD"/>
    <w:p w14:paraId="41407FAC"/>
    <w:p w14:paraId="220869FE"/>
    <w:p w14:paraId="62ADE27C"/>
    <w:p w14:paraId="20DBEC4B"/>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36653970">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45D37748">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3F30D4F7">
            <w:pPr>
              <w:spacing w:line="320" w:lineRule="exact"/>
              <w:jc w:val="left"/>
              <w:rPr>
                <w:rFonts w:eastAsia="仿宋_GB2312"/>
                <w:b/>
                <w:color w:val="000000"/>
                <w:sz w:val="20"/>
              </w:rPr>
            </w:pPr>
            <w:r>
              <w:rPr>
                <w:rFonts w:eastAsia="仿宋_GB2312"/>
                <w:b/>
                <w:color w:val="000000"/>
                <w:sz w:val="20"/>
              </w:rPr>
              <w:t>320217111000</w:t>
            </w:r>
          </w:p>
        </w:tc>
      </w:tr>
      <w:tr w14:paraId="6DC8AD4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03E022C">
            <w:pPr>
              <w:spacing w:line="320" w:lineRule="exact"/>
              <w:jc w:val="center"/>
              <w:rPr>
                <w:rFonts w:ascii="宋体" w:hAnsi="宋体"/>
                <w:color w:val="000000"/>
                <w:kern w:val="0"/>
                <w:sz w:val="20"/>
              </w:rPr>
            </w:pPr>
            <w:r>
              <w:rPr>
                <w:rFonts w:hint="eastAsia" w:ascii="宋体" w:hAnsi="宋体"/>
                <w:color w:val="000000"/>
                <w:kern w:val="0"/>
                <w:sz w:val="20"/>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381A8AFF">
            <w:pPr>
              <w:jc w:val="left"/>
              <w:textAlignment w:val="center"/>
              <w:rPr>
                <w:rFonts w:ascii="宋体" w:hAnsi="宋体"/>
                <w:color w:val="000000"/>
                <w:sz w:val="20"/>
              </w:rPr>
            </w:pPr>
            <w:r>
              <w:rPr>
                <w:rFonts w:hint="eastAsia" w:ascii="宋体" w:hAnsi="宋体"/>
                <w:color w:val="000000"/>
                <w:kern w:val="0"/>
                <w:sz w:val="20"/>
              </w:rPr>
              <w:t>对经过检测评估，确定城市桥梁的承载能力下降，但尚未构成危桥或者判定为危桥，城市桥梁产权人和委托管理人未按规定采取措施的处罚</w:t>
            </w:r>
          </w:p>
        </w:tc>
      </w:tr>
      <w:tr w14:paraId="7EA61DDC">
        <w:tblPrEx>
          <w:tblCellMar>
            <w:top w:w="0" w:type="dxa"/>
            <w:left w:w="108" w:type="dxa"/>
            <w:bottom w:w="0" w:type="dxa"/>
            <w:right w:w="108" w:type="dxa"/>
          </w:tblCellMar>
        </w:tblPrEx>
        <w:trPr>
          <w:trHeight w:val="1793" w:hRule="atLeast"/>
        </w:trPr>
        <w:tc>
          <w:tcPr>
            <w:tcW w:w="1070" w:type="dxa"/>
            <w:tcBorders>
              <w:top w:val="nil"/>
              <w:left w:val="single" w:color="auto" w:sz="8" w:space="0"/>
              <w:bottom w:val="single" w:color="auto" w:sz="4" w:space="0"/>
              <w:right w:val="single" w:color="auto" w:sz="4" w:space="0"/>
            </w:tcBorders>
            <w:vAlign w:val="center"/>
          </w:tcPr>
          <w:p w14:paraId="1F495355">
            <w:pPr>
              <w:spacing w:line="320" w:lineRule="exact"/>
              <w:jc w:val="center"/>
              <w:rPr>
                <w:rFonts w:ascii="宋体" w:hAnsi="宋体"/>
                <w:color w:val="000000"/>
                <w:kern w:val="0"/>
                <w:sz w:val="20"/>
              </w:rPr>
            </w:pPr>
            <w:r>
              <w:rPr>
                <w:rFonts w:hint="eastAsia" w:ascii="宋体" w:hAnsi="宋体"/>
                <w:color w:val="000000"/>
                <w:kern w:val="0"/>
                <w:sz w:val="20"/>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05247F90">
            <w:pPr>
              <w:jc w:val="left"/>
              <w:textAlignment w:val="center"/>
              <w:rPr>
                <w:rFonts w:ascii="宋体" w:hAnsi="宋体"/>
                <w:color w:val="000000"/>
                <w:kern w:val="0"/>
                <w:sz w:val="20"/>
              </w:rPr>
            </w:pPr>
            <w:r>
              <w:rPr>
                <w:rFonts w:hint="eastAsia" w:ascii="宋体" w:hAnsi="宋体"/>
                <w:color w:val="000000"/>
                <w:kern w:val="0"/>
                <w:sz w:val="20"/>
              </w:rPr>
              <w:t>【规章】《城市桥梁检测和养护维修管理办法》（建设部令第118号）</w:t>
            </w:r>
          </w:p>
          <w:p w14:paraId="47D3ED80">
            <w:pPr>
              <w:jc w:val="left"/>
              <w:textAlignment w:val="center"/>
              <w:rPr>
                <w:rFonts w:ascii="宋体" w:hAnsi="宋体"/>
                <w:color w:val="000000"/>
                <w:kern w:val="0"/>
                <w:sz w:val="20"/>
              </w:rPr>
            </w:pPr>
            <w:r>
              <w:rPr>
                <w:rFonts w:hint="eastAsia" w:ascii="宋体" w:hAnsi="宋体"/>
                <w:color w:val="000000"/>
                <w:kern w:val="0"/>
                <w:sz w:val="20"/>
              </w:rPr>
              <w:t xml:space="preserve"> 第二十三条第一款 经过检测评估，确定城市桥梁的承载能力下降，但尚未构成危桥的，城市桥梁产权人和委托管理人应当及时设置警示标志，并立即采取加固等安全措施。</w:t>
            </w:r>
          </w:p>
          <w:p w14:paraId="257ADF80">
            <w:pPr>
              <w:jc w:val="left"/>
              <w:textAlignment w:val="center"/>
              <w:rPr>
                <w:rFonts w:ascii="宋体" w:hAnsi="宋体"/>
                <w:color w:val="000000"/>
                <w:sz w:val="20"/>
              </w:rPr>
            </w:pPr>
            <w:r>
              <w:rPr>
                <w:rFonts w:hint="eastAsia" w:ascii="宋体" w:hAnsi="宋体"/>
                <w:color w:val="000000"/>
                <w:kern w:val="0"/>
                <w:sz w:val="20"/>
              </w:rPr>
              <w:t xml:space="preserve"> 第二十八条 违反本办法第十六条、第二十三条规定，由城市人民政府市政工程设施行政主管部门责令限期改正，并可处1万元以上2万元以下的罚款；造成损失的，依法承担赔偿责任。</w:t>
            </w:r>
          </w:p>
        </w:tc>
      </w:tr>
      <w:tr w14:paraId="4553A52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DBF6BD7">
            <w:pPr>
              <w:spacing w:line="320" w:lineRule="exact"/>
              <w:jc w:val="center"/>
              <w:rPr>
                <w:rFonts w:ascii="宋体" w:hAnsi="宋体"/>
                <w:color w:val="000000"/>
                <w:kern w:val="0"/>
                <w:sz w:val="20"/>
              </w:rPr>
            </w:pPr>
            <w:r>
              <w:rPr>
                <w:rFonts w:hint="eastAsia" w:ascii="宋体" w:hAnsi="宋体"/>
                <w:color w:val="000000"/>
                <w:kern w:val="0"/>
                <w:sz w:val="20"/>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1E85BFBF">
            <w:pPr>
              <w:spacing w:line="320" w:lineRule="exact"/>
              <w:jc w:val="left"/>
              <w:rPr>
                <w:rFonts w:ascii="宋体" w:hAnsi="宋体"/>
                <w:color w:val="000000"/>
                <w:kern w:val="0"/>
                <w:sz w:val="20"/>
              </w:rPr>
            </w:pPr>
            <w:r>
              <w:rPr>
                <w:rFonts w:hint="eastAsia" w:ascii="宋体" w:hAnsi="宋体"/>
                <w:color w:val="000000"/>
                <w:kern w:val="0"/>
                <w:sz w:val="20"/>
              </w:rPr>
              <w:t>罚款</w:t>
            </w:r>
            <w:r>
              <w:rPr>
                <w:rFonts w:ascii="宋体" w:hAnsi="宋体"/>
                <w:color w:val="000000"/>
                <w:kern w:val="0"/>
                <w:sz w:val="20"/>
              </w:rPr>
              <w:t xml:space="preserve"> </w:t>
            </w:r>
          </w:p>
        </w:tc>
      </w:tr>
      <w:tr w14:paraId="5D341001">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4553344">
            <w:pPr>
              <w:spacing w:line="320" w:lineRule="exact"/>
              <w:jc w:val="left"/>
              <w:rPr>
                <w:rFonts w:ascii="宋体" w:hAnsi="宋体"/>
                <w:color w:val="000000"/>
                <w:kern w:val="0"/>
                <w:sz w:val="20"/>
              </w:rPr>
            </w:pPr>
          </w:p>
        </w:tc>
      </w:tr>
      <w:tr w14:paraId="3C7A8EED">
        <w:tblPrEx>
          <w:tblCellMar>
            <w:top w:w="0" w:type="dxa"/>
            <w:left w:w="108" w:type="dxa"/>
            <w:bottom w:w="0" w:type="dxa"/>
            <w:right w:w="108" w:type="dxa"/>
          </w:tblCellMar>
        </w:tblPrEx>
        <w:trPr>
          <w:trHeight w:val="285" w:hRule="atLeast"/>
        </w:trPr>
        <w:tc>
          <w:tcPr>
            <w:tcW w:w="1070" w:type="dxa"/>
            <w:vMerge w:val="restart"/>
            <w:tcBorders>
              <w:top w:val="single" w:color="auto" w:sz="4" w:space="0"/>
              <w:left w:val="single" w:color="auto" w:sz="4" w:space="0"/>
              <w:bottom w:val="single" w:color="auto" w:sz="4" w:space="0"/>
              <w:right w:val="single" w:color="auto" w:sz="4" w:space="0"/>
            </w:tcBorders>
            <w:vAlign w:val="center"/>
          </w:tcPr>
          <w:p w14:paraId="420DC82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4CD9458">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0FBD4E3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53E8F6F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w:t>
            </w:r>
            <w:r>
              <w:rPr>
                <w:rFonts w:hint="eastAsia"/>
                <w:color w:val="000000"/>
                <w:kern w:val="0"/>
                <w:sz w:val="18"/>
                <w:szCs w:val="18"/>
              </w:rPr>
              <w:t>5万元以下罚款</w:t>
            </w:r>
          </w:p>
        </w:tc>
      </w:tr>
      <w:tr w14:paraId="0072D9A0">
        <w:tblPrEx>
          <w:tblCellMar>
            <w:top w:w="0" w:type="dxa"/>
            <w:left w:w="108" w:type="dxa"/>
            <w:bottom w:w="0" w:type="dxa"/>
            <w:right w:w="108" w:type="dxa"/>
          </w:tblCellMar>
        </w:tblPrEx>
        <w:trPr>
          <w:trHeight w:val="650" w:hRule="atLeast"/>
        </w:trPr>
        <w:tc>
          <w:tcPr>
            <w:tcW w:w="1070" w:type="dxa"/>
            <w:vMerge w:val="continue"/>
            <w:tcBorders>
              <w:top w:val="single" w:color="auto" w:sz="4" w:space="0"/>
              <w:left w:val="single" w:color="auto" w:sz="4" w:space="0"/>
              <w:bottom w:val="single" w:color="auto" w:sz="4" w:space="0"/>
              <w:right w:val="single" w:color="auto" w:sz="4" w:space="0"/>
            </w:tcBorders>
            <w:vAlign w:val="center"/>
          </w:tcPr>
          <w:p w14:paraId="3767411E">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CC22F0B">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39F6E7CE">
            <w:pPr>
              <w:jc w:val="left"/>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5E5D07E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5万元以上2万元以下罚款</w:t>
            </w:r>
          </w:p>
        </w:tc>
      </w:tr>
    </w:tbl>
    <w:p w14:paraId="48EC0DFB"/>
    <w:p w14:paraId="76EE2E66"/>
    <w:p w14:paraId="2FB0169F"/>
    <w:p w14:paraId="2C3842AF"/>
    <w:p w14:paraId="03638DDE"/>
    <w:p w14:paraId="6DC7544A"/>
    <w:p w14:paraId="7759EB91"/>
    <w:p w14:paraId="36A394AA"/>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3C443206">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8073BC4">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1CAF0223">
            <w:pPr>
              <w:spacing w:line="320" w:lineRule="exact"/>
              <w:jc w:val="left"/>
              <w:rPr>
                <w:rFonts w:eastAsia="仿宋_GB2312"/>
                <w:b/>
                <w:bCs/>
                <w:color w:val="000000"/>
                <w:kern w:val="0"/>
                <w:sz w:val="18"/>
                <w:szCs w:val="18"/>
              </w:rPr>
            </w:pPr>
            <w:r>
              <w:rPr>
                <w:rFonts w:eastAsia="仿宋_GB2312"/>
                <w:b/>
                <w:bCs/>
                <w:color w:val="000000"/>
                <w:kern w:val="0"/>
                <w:sz w:val="18"/>
                <w:szCs w:val="18"/>
              </w:rPr>
              <w:t>320217118000</w:t>
            </w:r>
          </w:p>
        </w:tc>
      </w:tr>
      <w:tr w14:paraId="29C095DC">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C76BDFE">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1130F0A9">
            <w:pPr>
              <w:spacing w:line="320" w:lineRule="exact"/>
              <w:jc w:val="left"/>
              <w:rPr>
                <w:color w:val="000000"/>
                <w:kern w:val="0"/>
                <w:sz w:val="18"/>
                <w:szCs w:val="18"/>
              </w:rPr>
            </w:pPr>
            <w:r>
              <w:rPr>
                <w:rFonts w:hint="eastAsia"/>
                <w:color w:val="000000"/>
                <w:kern w:val="0"/>
                <w:sz w:val="18"/>
                <w:szCs w:val="18"/>
              </w:rPr>
              <w:t>对擅自设置、移动、涂改或者损毁历史文化街区、名镇、名村标志牌的处罚</w:t>
            </w:r>
          </w:p>
        </w:tc>
      </w:tr>
      <w:tr w14:paraId="68CA24D8">
        <w:tblPrEx>
          <w:tblCellMar>
            <w:top w:w="0" w:type="dxa"/>
            <w:left w:w="108" w:type="dxa"/>
            <w:bottom w:w="0" w:type="dxa"/>
            <w:right w:w="108" w:type="dxa"/>
          </w:tblCellMar>
        </w:tblPrEx>
        <w:trPr>
          <w:trHeight w:val="1200" w:hRule="atLeast"/>
        </w:trPr>
        <w:tc>
          <w:tcPr>
            <w:tcW w:w="1070" w:type="dxa"/>
            <w:tcBorders>
              <w:top w:val="nil"/>
              <w:left w:val="single" w:color="auto" w:sz="8" w:space="0"/>
              <w:bottom w:val="single" w:color="auto" w:sz="4" w:space="0"/>
              <w:right w:val="single" w:color="auto" w:sz="4" w:space="0"/>
            </w:tcBorders>
            <w:vAlign w:val="center"/>
          </w:tcPr>
          <w:p w14:paraId="45F71BDE">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4582CF81">
            <w:pPr>
              <w:spacing w:line="320" w:lineRule="exact"/>
              <w:ind w:firstLine="360" w:firstLineChars="200"/>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14:paraId="45253D6B">
            <w:pPr>
              <w:spacing w:line="320" w:lineRule="exact"/>
              <w:jc w:val="left"/>
              <w:rPr>
                <w:color w:val="000000"/>
                <w:kern w:val="0"/>
                <w:sz w:val="18"/>
                <w:szCs w:val="18"/>
              </w:rPr>
            </w:pPr>
            <w:r>
              <w:rPr>
                <w:rFonts w:hint="eastAsia"/>
                <w:color w:val="000000"/>
                <w:kern w:val="0"/>
                <w:sz w:val="18"/>
                <w:szCs w:val="18"/>
              </w:rPr>
              <w:t>第三十条第二款任何单位和个人不得擅自设置、移动、涂改或者损毁标志牌。</w:t>
            </w:r>
          </w:p>
          <w:p w14:paraId="40DC859E">
            <w:pPr>
              <w:spacing w:line="320" w:lineRule="exact"/>
              <w:jc w:val="left"/>
              <w:rPr>
                <w:color w:val="000000"/>
                <w:kern w:val="0"/>
                <w:sz w:val="18"/>
                <w:szCs w:val="18"/>
              </w:rPr>
            </w:pPr>
            <w:r>
              <w:rPr>
                <w:rFonts w:hint="eastAsia"/>
                <w:color w:val="000000"/>
                <w:kern w:val="0"/>
                <w:sz w:val="18"/>
                <w:szCs w:val="18"/>
              </w:rPr>
              <w:t>第四十五条</w:t>
            </w:r>
            <w:r>
              <w:rPr>
                <w:color w:val="000000"/>
                <w:kern w:val="0"/>
                <w:sz w:val="18"/>
                <w:szCs w:val="18"/>
              </w:rPr>
              <w:t xml:space="preserve"> </w:t>
            </w:r>
            <w:r>
              <w:rPr>
                <w:rFonts w:hint="eastAsia"/>
                <w:color w:val="000000"/>
                <w:kern w:val="0"/>
                <w:sz w:val="18"/>
                <w:szCs w:val="18"/>
              </w:rPr>
              <w:t>违反本条例规定，擅自设置、移动、涂改或者损毁历史文化街区、名镇、名村标志牌的，由城市、县人民政府城乡规划主管部门责令限期改正；逾期不改正的，对单位处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万元以下的罚款，对个人处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1F11A58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F4151A8">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22E98AA1">
            <w:pPr>
              <w:spacing w:line="320" w:lineRule="exact"/>
              <w:jc w:val="left"/>
              <w:rPr>
                <w:color w:val="000000"/>
                <w:kern w:val="0"/>
                <w:sz w:val="18"/>
                <w:szCs w:val="18"/>
              </w:rPr>
            </w:pPr>
            <w:r>
              <w:rPr>
                <w:rFonts w:hint="eastAsia"/>
                <w:color w:val="000000"/>
                <w:kern w:val="0"/>
                <w:sz w:val="18"/>
                <w:szCs w:val="18"/>
              </w:rPr>
              <w:t>罚款</w:t>
            </w:r>
          </w:p>
        </w:tc>
      </w:tr>
      <w:tr w14:paraId="4F640331">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9301067">
            <w:pPr>
              <w:spacing w:line="320" w:lineRule="exact"/>
              <w:jc w:val="center"/>
              <w:rPr>
                <w:color w:val="000000"/>
                <w:kern w:val="0"/>
                <w:sz w:val="18"/>
                <w:szCs w:val="18"/>
              </w:rPr>
            </w:pPr>
            <w:r>
              <w:rPr>
                <w:rFonts w:hint="eastAsia"/>
                <w:color w:val="000000"/>
                <w:kern w:val="0"/>
                <w:sz w:val="18"/>
                <w:szCs w:val="18"/>
              </w:rPr>
              <w:t>裁量基准</w:t>
            </w:r>
          </w:p>
        </w:tc>
      </w:tr>
      <w:tr w14:paraId="59DB0B87">
        <w:tblPrEx>
          <w:tblCellMar>
            <w:top w:w="0" w:type="dxa"/>
            <w:left w:w="108" w:type="dxa"/>
            <w:bottom w:w="0" w:type="dxa"/>
            <w:right w:w="108" w:type="dxa"/>
          </w:tblCellMar>
        </w:tblPrEx>
        <w:trPr>
          <w:trHeight w:val="480" w:hRule="atLeast"/>
        </w:trPr>
        <w:tc>
          <w:tcPr>
            <w:tcW w:w="1070" w:type="dxa"/>
            <w:vMerge w:val="restart"/>
            <w:tcBorders>
              <w:top w:val="nil"/>
              <w:left w:val="single" w:color="auto" w:sz="8" w:space="0"/>
              <w:bottom w:val="single" w:color="auto" w:sz="4" w:space="0"/>
              <w:right w:val="single" w:color="auto" w:sz="4" w:space="0"/>
            </w:tcBorders>
            <w:vAlign w:val="center"/>
          </w:tcPr>
          <w:p w14:paraId="03124424">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72A5580">
            <w:pPr>
              <w:spacing w:line="320" w:lineRule="exact"/>
              <w:jc w:val="left"/>
              <w:rPr>
                <w:color w:val="000000"/>
                <w:kern w:val="0"/>
                <w:sz w:val="18"/>
                <w:szCs w:val="18"/>
              </w:rPr>
            </w:pPr>
            <w:r>
              <w:rPr>
                <w:rFonts w:hint="eastAsia"/>
                <w:color w:val="000000"/>
                <w:kern w:val="0"/>
                <w:sz w:val="18"/>
                <w:szCs w:val="18"/>
              </w:rPr>
              <w:t>擅自设置的</w:t>
            </w:r>
          </w:p>
        </w:tc>
        <w:tc>
          <w:tcPr>
            <w:tcW w:w="1080" w:type="dxa"/>
            <w:vMerge w:val="restart"/>
            <w:tcBorders>
              <w:top w:val="nil"/>
              <w:left w:val="single" w:color="auto" w:sz="4" w:space="0"/>
              <w:bottom w:val="single" w:color="auto" w:sz="4" w:space="0"/>
              <w:right w:val="single" w:color="auto" w:sz="4" w:space="0"/>
            </w:tcBorders>
            <w:vAlign w:val="center"/>
          </w:tcPr>
          <w:p w14:paraId="756C8EA4">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11E57CA3">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61B204DF">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4F49F999">
        <w:tblPrEx>
          <w:tblCellMar>
            <w:top w:w="0" w:type="dxa"/>
            <w:left w:w="108" w:type="dxa"/>
            <w:bottom w:w="0" w:type="dxa"/>
            <w:right w:w="108" w:type="dxa"/>
          </w:tblCellMar>
        </w:tblPrEx>
        <w:trPr>
          <w:trHeight w:val="480" w:hRule="atLeast"/>
        </w:trPr>
        <w:tc>
          <w:tcPr>
            <w:tcW w:w="1070" w:type="dxa"/>
            <w:vMerge w:val="continue"/>
            <w:tcBorders>
              <w:top w:val="nil"/>
              <w:left w:val="single" w:color="auto" w:sz="8" w:space="0"/>
              <w:bottom w:val="single" w:color="auto" w:sz="4" w:space="0"/>
              <w:right w:val="single" w:color="auto" w:sz="4" w:space="0"/>
            </w:tcBorders>
            <w:vAlign w:val="center"/>
          </w:tcPr>
          <w:p w14:paraId="726561A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AF4E6F7">
            <w:pPr>
              <w:spacing w:line="320" w:lineRule="exact"/>
              <w:jc w:val="left"/>
              <w:rPr>
                <w:color w:val="000000"/>
                <w:kern w:val="0"/>
                <w:sz w:val="18"/>
                <w:szCs w:val="18"/>
              </w:rPr>
            </w:pPr>
            <w:r>
              <w:rPr>
                <w:rFonts w:hint="eastAsia"/>
                <w:color w:val="000000"/>
                <w:kern w:val="0"/>
                <w:sz w:val="18"/>
                <w:szCs w:val="18"/>
              </w:rPr>
              <w:t>擅自移动或者涂改的</w:t>
            </w:r>
          </w:p>
        </w:tc>
        <w:tc>
          <w:tcPr>
            <w:tcW w:w="1080" w:type="dxa"/>
            <w:vMerge w:val="continue"/>
            <w:tcBorders>
              <w:top w:val="nil"/>
              <w:left w:val="single" w:color="auto" w:sz="4" w:space="0"/>
              <w:bottom w:val="single" w:color="auto" w:sz="4" w:space="0"/>
              <w:right w:val="single" w:color="auto" w:sz="4" w:space="0"/>
            </w:tcBorders>
            <w:vAlign w:val="center"/>
          </w:tcPr>
          <w:p w14:paraId="75C8ED71">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D51B5A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34B8401C">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14:paraId="6EA0BC22">
        <w:tblPrEx>
          <w:tblCellMar>
            <w:top w:w="0" w:type="dxa"/>
            <w:left w:w="108" w:type="dxa"/>
            <w:bottom w:w="0" w:type="dxa"/>
            <w:right w:w="108" w:type="dxa"/>
          </w:tblCellMar>
        </w:tblPrEx>
        <w:trPr>
          <w:trHeight w:val="480" w:hRule="atLeast"/>
        </w:trPr>
        <w:tc>
          <w:tcPr>
            <w:tcW w:w="1070" w:type="dxa"/>
            <w:vMerge w:val="continue"/>
            <w:tcBorders>
              <w:top w:val="nil"/>
              <w:left w:val="single" w:color="auto" w:sz="8" w:space="0"/>
              <w:bottom w:val="single" w:color="auto" w:sz="4" w:space="0"/>
              <w:right w:val="single" w:color="auto" w:sz="4" w:space="0"/>
            </w:tcBorders>
            <w:vAlign w:val="center"/>
          </w:tcPr>
          <w:p w14:paraId="5C330E4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CC24822">
            <w:pPr>
              <w:spacing w:line="320" w:lineRule="exact"/>
              <w:jc w:val="left"/>
              <w:rPr>
                <w:color w:val="000000"/>
                <w:kern w:val="0"/>
                <w:sz w:val="18"/>
                <w:szCs w:val="18"/>
              </w:rPr>
            </w:pPr>
            <w:r>
              <w:rPr>
                <w:rFonts w:hint="eastAsia"/>
                <w:color w:val="000000"/>
                <w:kern w:val="0"/>
                <w:sz w:val="18"/>
                <w:szCs w:val="18"/>
              </w:rPr>
              <w:t>擅自损毁的</w:t>
            </w:r>
          </w:p>
        </w:tc>
        <w:tc>
          <w:tcPr>
            <w:tcW w:w="1080" w:type="dxa"/>
            <w:vMerge w:val="continue"/>
            <w:tcBorders>
              <w:top w:val="nil"/>
              <w:left w:val="single" w:color="auto" w:sz="4" w:space="0"/>
              <w:bottom w:val="single" w:color="auto" w:sz="4" w:space="0"/>
              <w:right w:val="single" w:color="auto" w:sz="4" w:space="0"/>
            </w:tcBorders>
            <w:vAlign w:val="center"/>
          </w:tcPr>
          <w:p w14:paraId="3A9F33CB">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2C41C6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14:paraId="3E3FE80C">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6000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78D2337F"/>
    <w:p w14:paraId="308779BB"/>
    <w:p w14:paraId="384F847E"/>
    <w:p w14:paraId="271AD402"/>
    <w:p w14:paraId="536196B8"/>
    <w:p w14:paraId="7165BBA8"/>
    <w:p w14:paraId="54D3EC5A"/>
    <w:tbl>
      <w:tblPr>
        <w:tblStyle w:val="15"/>
        <w:tblW w:w="0" w:type="auto"/>
        <w:tblInd w:w="88" w:type="dxa"/>
        <w:tblLayout w:type="fixed"/>
        <w:tblCellMar>
          <w:top w:w="0" w:type="dxa"/>
          <w:left w:w="108" w:type="dxa"/>
          <w:bottom w:w="0" w:type="dxa"/>
          <w:right w:w="108" w:type="dxa"/>
        </w:tblCellMar>
      </w:tblPr>
      <w:tblGrid>
        <w:gridCol w:w="1070"/>
        <w:gridCol w:w="6140"/>
        <w:gridCol w:w="1150"/>
        <w:gridCol w:w="5700"/>
      </w:tblGrid>
      <w:tr w14:paraId="7C6DF9A6">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06CAD276">
            <w:pPr>
              <w:spacing w:line="24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2B866587">
            <w:pPr>
              <w:spacing w:line="240" w:lineRule="exact"/>
              <w:jc w:val="left"/>
              <w:rPr>
                <w:rFonts w:eastAsia="仿宋_GB2312"/>
                <w:b/>
                <w:bCs/>
                <w:color w:val="000000"/>
                <w:kern w:val="0"/>
                <w:sz w:val="18"/>
                <w:szCs w:val="18"/>
              </w:rPr>
            </w:pPr>
            <w:r>
              <w:rPr>
                <w:rFonts w:eastAsia="仿宋_GB2312"/>
                <w:b/>
                <w:bCs/>
                <w:color w:val="000000"/>
                <w:kern w:val="0"/>
                <w:sz w:val="18"/>
                <w:szCs w:val="18"/>
              </w:rPr>
              <w:t>320217119000</w:t>
            </w:r>
            <w:r>
              <w:rPr>
                <w:rFonts w:hint="eastAsia" w:eastAsia="仿宋_GB2312"/>
                <w:b/>
                <w:bCs/>
                <w:color w:val="000000"/>
                <w:kern w:val="0"/>
                <w:sz w:val="18"/>
                <w:szCs w:val="18"/>
              </w:rPr>
              <w:t xml:space="preserve"> </w:t>
            </w:r>
          </w:p>
        </w:tc>
      </w:tr>
      <w:tr w14:paraId="7677B36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451A05D">
            <w:pPr>
              <w:spacing w:line="24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098AC053">
            <w:pPr>
              <w:spacing w:line="240" w:lineRule="exact"/>
              <w:jc w:val="left"/>
              <w:rPr>
                <w:color w:val="000000"/>
                <w:kern w:val="0"/>
                <w:sz w:val="18"/>
                <w:szCs w:val="18"/>
              </w:rPr>
            </w:pPr>
            <w:r>
              <w:rPr>
                <w:rFonts w:hint="eastAsia"/>
                <w:color w:val="000000"/>
                <w:kern w:val="0"/>
                <w:sz w:val="18"/>
                <w:szCs w:val="18"/>
              </w:rPr>
              <w:t>对施工单位未设立安全生产管理机构、配备专职安全生产管理人员或者分部分项工程施工时无专职安全生产管理人员现场监督的处罚</w:t>
            </w:r>
          </w:p>
        </w:tc>
      </w:tr>
      <w:tr w14:paraId="572862F7">
        <w:tblPrEx>
          <w:tblCellMar>
            <w:top w:w="0" w:type="dxa"/>
            <w:left w:w="108" w:type="dxa"/>
            <w:bottom w:w="0" w:type="dxa"/>
            <w:right w:w="108" w:type="dxa"/>
          </w:tblCellMar>
        </w:tblPrEx>
        <w:trPr>
          <w:trHeight w:val="2505" w:hRule="atLeast"/>
        </w:trPr>
        <w:tc>
          <w:tcPr>
            <w:tcW w:w="1070" w:type="dxa"/>
            <w:tcBorders>
              <w:top w:val="nil"/>
              <w:left w:val="single" w:color="auto" w:sz="8" w:space="0"/>
              <w:bottom w:val="single" w:color="auto" w:sz="4" w:space="0"/>
              <w:right w:val="single" w:color="auto" w:sz="4" w:space="0"/>
            </w:tcBorders>
            <w:vAlign w:val="center"/>
          </w:tcPr>
          <w:p w14:paraId="71808A7C">
            <w:pPr>
              <w:spacing w:line="24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0B37D58A">
            <w:pPr>
              <w:spacing w:line="220" w:lineRule="exact"/>
              <w:jc w:val="left"/>
              <w:rPr>
                <w:color w:val="000000"/>
                <w:kern w:val="0"/>
                <w:sz w:val="18"/>
                <w:szCs w:val="18"/>
              </w:rPr>
            </w:pPr>
            <w:r>
              <w:rPr>
                <w:rFonts w:hint="eastAsia"/>
                <w:color w:val="000000"/>
                <w:kern w:val="0"/>
                <w:sz w:val="18"/>
                <w:szCs w:val="18"/>
              </w:rPr>
              <w:t>【法律】《中华人民共和国安全生产法》</w:t>
            </w:r>
          </w:p>
          <w:p w14:paraId="73BE3CAB">
            <w:pPr>
              <w:spacing w:line="220" w:lineRule="exact"/>
              <w:jc w:val="left"/>
              <w:rPr>
                <w:color w:val="000000"/>
                <w:kern w:val="0"/>
                <w:sz w:val="18"/>
                <w:szCs w:val="18"/>
              </w:rPr>
            </w:pPr>
            <w:r>
              <w:rPr>
                <w:rFonts w:hint="eastAsia"/>
                <w:color w:val="000000"/>
                <w:kern w:val="0"/>
                <w:sz w:val="18"/>
                <w:szCs w:val="18"/>
              </w:rPr>
              <w:t xml:space="preserve">        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7AA49424">
            <w:pPr>
              <w:spacing w:line="220" w:lineRule="exact"/>
              <w:jc w:val="left"/>
              <w:rPr>
                <w:color w:val="000000"/>
                <w:kern w:val="0"/>
                <w:sz w:val="18"/>
                <w:szCs w:val="18"/>
              </w:rPr>
            </w:pPr>
            <w:r>
              <w:rPr>
                <w:rFonts w:hint="eastAsia"/>
                <w:color w:val="000000"/>
                <w:kern w:val="0"/>
                <w:sz w:val="18"/>
                <w:szCs w:val="18"/>
              </w:rPr>
              <w:t>　　（一）未按照规定设置安全生产管理机构或者配备安全生产管理人员、注册安全工程师的；</w:t>
            </w:r>
          </w:p>
          <w:p w14:paraId="3183DFCB">
            <w:pPr>
              <w:spacing w:line="220" w:lineRule="exact"/>
              <w:jc w:val="left"/>
              <w:rPr>
                <w:color w:val="000000"/>
                <w:kern w:val="0"/>
                <w:sz w:val="18"/>
                <w:szCs w:val="18"/>
              </w:rPr>
            </w:pPr>
            <w:r>
              <w:rPr>
                <w:rFonts w:hint="eastAsia"/>
                <w:color w:val="000000"/>
                <w:kern w:val="0"/>
                <w:sz w:val="18"/>
                <w:szCs w:val="18"/>
              </w:rPr>
              <w:t xml:space="preserve">        第一百一十二条  生产经营单位违反本法规定，被责令改正且受到罚款处罚，拒不改正的，负有安全生产监督管理职责的部门可以自作出责令改正之日的次日起，按照原处罚数额按日连续处罚。</w:t>
            </w:r>
          </w:p>
          <w:p w14:paraId="2F611208">
            <w:pPr>
              <w:spacing w:line="22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560A3D8F">
            <w:pPr>
              <w:spacing w:line="220" w:lineRule="exact"/>
              <w:jc w:val="left"/>
              <w:rPr>
                <w:color w:val="000000"/>
                <w:kern w:val="0"/>
                <w:sz w:val="18"/>
                <w:szCs w:val="18"/>
              </w:rPr>
            </w:pPr>
            <w:r>
              <w:rPr>
                <w:rFonts w:hint="eastAsia"/>
                <w:color w:val="000000"/>
                <w:kern w:val="0"/>
                <w:sz w:val="18"/>
                <w:szCs w:val="18"/>
              </w:rPr>
              <w:t xml:space="preserve">         第二十三条第一款  施工单位应当设立安全生产管理机构，配备专职安全生产管理人员。</w:t>
            </w:r>
          </w:p>
          <w:p w14:paraId="5357606E">
            <w:pPr>
              <w:spacing w:line="220" w:lineRule="exact"/>
              <w:jc w:val="left"/>
              <w:rPr>
                <w:color w:val="000000"/>
                <w:kern w:val="0"/>
                <w:sz w:val="18"/>
                <w:szCs w:val="18"/>
              </w:rPr>
            </w:pPr>
            <w:r>
              <w:rPr>
                <w:rFonts w:hint="eastAsia"/>
                <w:color w:val="000000"/>
                <w:kern w:val="0"/>
                <w:sz w:val="18"/>
                <w:szCs w:val="18"/>
              </w:rPr>
              <w:t xml:space="preserve">        第二款  专职安全生产管理人员负责对安全生产进行现场监督检查。发现安全事故隐患，应当及时向项目负责人和安全生产管理机构报告；对违章指挥、违章操作的，应当立即制止。</w:t>
            </w:r>
          </w:p>
          <w:p w14:paraId="7C166664">
            <w:pPr>
              <w:spacing w:line="220" w:lineRule="exact"/>
              <w:jc w:val="left"/>
              <w:rPr>
                <w:color w:val="000000"/>
                <w:kern w:val="0"/>
                <w:sz w:val="18"/>
                <w:szCs w:val="18"/>
              </w:rPr>
            </w:pPr>
            <w:r>
              <w:rPr>
                <w:rFonts w:hint="eastAsia"/>
                <w:color w:val="000000"/>
                <w:kern w:val="0"/>
                <w:sz w:val="18"/>
                <w:szCs w:val="18"/>
              </w:rPr>
              <w:t xml:space="preserve">       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 </w:t>
            </w:r>
          </w:p>
          <w:p w14:paraId="50FB3520">
            <w:pPr>
              <w:spacing w:line="220" w:lineRule="exact"/>
              <w:jc w:val="left"/>
              <w:rPr>
                <w:color w:val="000000"/>
                <w:kern w:val="0"/>
                <w:sz w:val="18"/>
                <w:szCs w:val="18"/>
              </w:rPr>
            </w:pPr>
            <w:r>
              <w:rPr>
                <w:rFonts w:hint="eastAsia"/>
                <w:color w:val="000000"/>
                <w:kern w:val="0"/>
                <w:sz w:val="18"/>
                <w:szCs w:val="18"/>
              </w:rPr>
              <w:t xml:space="preserve">      （一）未设立安全生产管理机构、配备专职安全生产管理人员或者分部分项工程施工时无专职安全生产管理人员现场监督的。</w:t>
            </w:r>
          </w:p>
          <w:p w14:paraId="4A350513">
            <w:pPr>
              <w:spacing w:line="22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w:t>
            </w:r>
          </w:p>
          <w:p w14:paraId="7C160D60">
            <w:pPr>
              <w:spacing w:line="22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p>
          <w:p w14:paraId="5D1BB775">
            <w:pPr>
              <w:spacing w:line="220" w:lineRule="exact"/>
              <w:jc w:val="left"/>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p w14:paraId="33C102B0">
            <w:pPr>
              <w:spacing w:line="2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【规章】《建筑施工企业主要负责人、项目负责人和专职安全生产管理人员安全生产管理规定》（住房和城乡建设部令第17号）　</w:t>
            </w:r>
          </w:p>
          <w:p w14:paraId="3B3CF788">
            <w:pPr>
              <w:spacing w:line="220" w:lineRule="exact"/>
              <w:jc w:val="left"/>
              <w:rPr>
                <w:color w:val="000000"/>
                <w:kern w:val="0"/>
                <w:sz w:val="18"/>
                <w:szCs w:val="18"/>
              </w:rPr>
            </w:pPr>
            <w:r>
              <w:rPr>
                <w:rFonts w:hint="eastAsia"/>
                <w:color w:val="000000"/>
                <w:kern w:val="0"/>
                <w:sz w:val="18"/>
                <w:szCs w:val="18"/>
              </w:rPr>
              <w:t>　　第三十条　建筑施工企业有下列行为之一的，由县级以上人民政府住房城乡建设主管部门责令限期改正；逾期未改正的，责令停业整顿，并处2万元以下的罚款；导致不具备《安全生产许可证条例》规定的安全生产条件的，应当依法暂扣或者吊销安全生产许可证：</w:t>
            </w:r>
          </w:p>
          <w:p w14:paraId="4C520918">
            <w:pPr>
              <w:spacing w:line="220" w:lineRule="exact"/>
              <w:jc w:val="left"/>
              <w:rPr>
                <w:color w:val="000000"/>
                <w:kern w:val="0"/>
                <w:sz w:val="18"/>
                <w:szCs w:val="18"/>
              </w:rPr>
            </w:pPr>
            <w:r>
              <w:rPr>
                <w:rFonts w:hint="eastAsia"/>
                <w:color w:val="000000"/>
                <w:kern w:val="0"/>
                <w:sz w:val="18"/>
                <w:szCs w:val="18"/>
              </w:rPr>
              <w:t xml:space="preserve">   （一）未按规定设立安全生产管理机构的；</w:t>
            </w:r>
          </w:p>
          <w:p w14:paraId="0CA78378">
            <w:pPr>
              <w:spacing w:line="220" w:lineRule="exact"/>
              <w:jc w:val="left"/>
              <w:rPr>
                <w:color w:val="000000"/>
                <w:kern w:val="0"/>
                <w:sz w:val="18"/>
                <w:szCs w:val="18"/>
              </w:rPr>
            </w:pPr>
            <w:r>
              <w:rPr>
                <w:rFonts w:hint="eastAsia"/>
                <w:color w:val="000000"/>
                <w:kern w:val="0"/>
                <w:sz w:val="18"/>
                <w:szCs w:val="18"/>
              </w:rPr>
              <w:t xml:space="preserve">   （二）未按规定配备专职安全生产管理人员的；</w:t>
            </w:r>
          </w:p>
          <w:p w14:paraId="256B30EE">
            <w:pPr>
              <w:spacing w:line="220" w:lineRule="exact"/>
              <w:jc w:val="left"/>
              <w:rPr>
                <w:color w:val="000000"/>
                <w:kern w:val="0"/>
                <w:sz w:val="18"/>
                <w:szCs w:val="18"/>
              </w:rPr>
            </w:pPr>
            <w:r>
              <w:rPr>
                <w:rFonts w:hint="eastAsia"/>
                <w:color w:val="000000"/>
                <w:kern w:val="0"/>
                <w:sz w:val="18"/>
                <w:szCs w:val="18"/>
              </w:rPr>
              <w:t xml:space="preserve">   （三）危险性较大的分部分项工程施工时未安排专职安全生产管理人员现场监督的；</w:t>
            </w:r>
          </w:p>
        </w:tc>
      </w:tr>
      <w:tr w14:paraId="1FB4C918">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56DF919">
            <w:pPr>
              <w:spacing w:line="24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289E93B4">
            <w:pPr>
              <w:spacing w:line="240" w:lineRule="exact"/>
              <w:jc w:val="left"/>
              <w:rPr>
                <w:color w:val="000000"/>
                <w:kern w:val="0"/>
                <w:sz w:val="18"/>
                <w:szCs w:val="18"/>
              </w:rPr>
            </w:pPr>
            <w:r>
              <w:rPr>
                <w:rFonts w:hint="eastAsia"/>
                <w:color w:val="000000"/>
                <w:kern w:val="0"/>
                <w:sz w:val="18"/>
                <w:szCs w:val="18"/>
              </w:rPr>
              <w:t>责令限期改正，罚款、责令停业整顿，暂扣、吊销安全生产许可证　</w:t>
            </w:r>
          </w:p>
        </w:tc>
      </w:tr>
      <w:tr w14:paraId="58FF254C">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14B680F8">
            <w:pPr>
              <w:spacing w:line="240" w:lineRule="exact"/>
              <w:jc w:val="center"/>
              <w:rPr>
                <w:color w:val="000000"/>
                <w:kern w:val="0"/>
                <w:sz w:val="18"/>
                <w:szCs w:val="18"/>
              </w:rPr>
            </w:pPr>
            <w:r>
              <w:rPr>
                <w:rFonts w:hint="eastAsia"/>
                <w:color w:val="000000"/>
                <w:kern w:val="0"/>
                <w:sz w:val="18"/>
                <w:szCs w:val="18"/>
              </w:rPr>
              <w:t>裁量基准</w:t>
            </w:r>
          </w:p>
        </w:tc>
      </w:tr>
      <w:tr w14:paraId="272272CD">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2A8A7E7E">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4E8AFBC">
            <w:pPr>
              <w:spacing w:line="240" w:lineRule="exact"/>
              <w:jc w:val="left"/>
              <w:rPr>
                <w:color w:val="000000"/>
                <w:kern w:val="0"/>
                <w:sz w:val="18"/>
                <w:szCs w:val="18"/>
              </w:rPr>
            </w:pPr>
            <w:r>
              <w:rPr>
                <w:rFonts w:hint="eastAsia"/>
                <w:color w:val="000000"/>
                <w:kern w:val="0"/>
                <w:sz w:val="18"/>
                <w:szCs w:val="18"/>
              </w:rPr>
              <w:t>按要求改正的，未发生生产安全事故的</w:t>
            </w:r>
          </w:p>
        </w:tc>
        <w:tc>
          <w:tcPr>
            <w:tcW w:w="1150" w:type="dxa"/>
            <w:vMerge w:val="restart"/>
            <w:tcBorders>
              <w:top w:val="single" w:color="auto" w:sz="4" w:space="0"/>
              <w:left w:val="single" w:color="auto" w:sz="4" w:space="0"/>
              <w:right w:val="single" w:color="auto" w:sz="4" w:space="0"/>
            </w:tcBorders>
            <w:vAlign w:val="center"/>
          </w:tcPr>
          <w:p w14:paraId="175CCECB">
            <w:pPr>
              <w:spacing w:line="240" w:lineRule="exact"/>
              <w:jc w:val="left"/>
              <w:rPr>
                <w:color w:val="000000"/>
                <w:kern w:val="0"/>
                <w:sz w:val="18"/>
                <w:szCs w:val="18"/>
              </w:rPr>
            </w:pPr>
            <w:r>
              <w:rPr>
                <w:rFonts w:hint="eastAsia"/>
                <w:color w:val="000000"/>
                <w:kern w:val="0"/>
                <w:sz w:val="18"/>
                <w:szCs w:val="18"/>
              </w:rPr>
              <w:t>裁量幅度</w:t>
            </w:r>
          </w:p>
        </w:tc>
        <w:tc>
          <w:tcPr>
            <w:tcW w:w="5700" w:type="dxa"/>
            <w:tcBorders>
              <w:top w:val="single" w:color="auto" w:sz="4" w:space="0"/>
              <w:left w:val="nil"/>
              <w:bottom w:val="single" w:color="auto" w:sz="4" w:space="0"/>
              <w:right w:val="single" w:color="auto" w:sz="4" w:space="0"/>
            </w:tcBorders>
            <w:vAlign w:val="center"/>
          </w:tcPr>
          <w:p w14:paraId="59F3C25F">
            <w:pPr>
              <w:spacing w:line="240" w:lineRule="exact"/>
              <w:jc w:val="left"/>
              <w:rPr>
                <w:color w:val="000000"/>
                <w:kern w:val="0"/>
                <w:sz w:val="18"/>
                <w:szCs w:val="18"/>
              </w:rPr>
            </w:pPr>
            <w:r>
              <w:rPr>
                <w:rFonts w:hint="eastAsia"/>
                <w:color w:val="000000"/>
                <w:kern w:val="0"/>
                <w:sz w:val="18"/>
                <w:szCs w:val="18"/>
              </w:rPr>
              <w:t>5万元以下罚款</w:t>
            </w:r>
          </w:p>
        </w:tc>
      </w:tr>
      <w:tr w14:paraId="15473F2F">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532A8676">
            <w:pPr>
              <w:spacing w:line="24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5F21CF0">
            <w:pPr>
              <w:spacing w:line="240" w:lineRule="exact"/>
              <w:jc w:val="left"/>
              <w:rPr>
                <w:color w:val="000000"/>
                <w:kern w:val="0"/>
                <w:sz w:val="18"/>
                <w:szCs w:val="18"/>
              </w:rPr>
            </w:pPr>
            <w:r>
              <w:rPr>
                <w:rFonts w:hint="eastAsia"/>
                <w:color w:val="000000"/>
                <w:kern w:val="0"/>
                <w:sz w:val="18"/>
                <w:szCs w:val="18"/>
              </w:rPr>
              <w:t>按要求改正的，发生生产安全事故的</w:t>
            </w:r>
          </w:p>
        </w:tc>
        <w:tc>
          <w:tcPr>
            <w:tcW w:w="1150" w:type="dxa"/>
            <w:vMerge w:val="continue"/>
            <w:tcBorders>
              <w:left w:val="single" w:color="auto" w:sz="4" w:space="0"/>
              <w:right w:val="single" w:color="auto" w:sz="4" w:space="0"/>
            </w:tcBorders>
            <w:vAlign w:val="center"/>
          </w:tcPr>
          <w:p w14:paraId="5FB8DE22">
            <w:pPr>
              <w:spacing w:line="240" w:lineRule="exact"/>
              <w:jc w:val="left"/>
              <w:rPr>
                <w:color w:val="000000"/>
                <w:kern w:val="0"/>
                <w:sz w:val="18"/>
                <w:szCs w:val="18"/>
              </w:rPr>
            </w:pPr>
          </w:p>
        </w:tc>
        <w:tc>
          <w:tcPr>
            <w:tcW w:w="5700" w:type="dxa"/>
            <w:tcBorders>
              <w:top w:val="nil"/>
              <w:left w:val="nil"/>
              <w:bottom w:val="single" w:color="auto" w:sz="4" w:space="0"/>
              <w:right w:val="single" w:color="auto" w:sz="4" w:space="0"/>
            </w:tcBorders>
            <w:vAlign w:val="center"/>
          </w:tcPr>
          <w:p w14:paraId="184D09B2">
            <w:pPr>
              <w:spacing w:line="240" w:lineRule="exact"/>
              <w:jc w:val="left"/>
              <w:rPr>
                <w:color w:val="000000"/>
                <w:kern w:val="0"/>
                <w:sz w:val="18"/>
                <w:szCs w:val="18"/>
              </w:rPr>
            </w:pPr>
            <w:r>
              <w:rPr>
                <w:rFonts w:hint="eastAsia"/>
                <w:color w:val="000000"/>
                <w:kern w:val="0"/>
                <w:sz w:val="18"/>
                <w:szCs w:val="18"/>
              </w:rPr>
              <w:t>5万元以上10万元以下罚款</w:t>
            </w:r>
            <w:r>
              <w:rPr>
                <w:color w:val="000000"/>
                <w:kern w:val="0"/>
                <w:sz w:val="18"/>
                <w:szCs w:val="18"/>
              </w:rPr>
              <w:t xml:space="preserve">   </w:t>
            </w:r>
          </w:p>
        </w:tc>
      </w:tr>
      <w:tr w14:paraId="511DD018">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11725BE7">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B2C40E7">
            <w:pPr>
              <w:spacing w:line="240" w:lineRule="exact"/>
              <w:jc w:val="left"/>
              <w:rPr>
                <w:color w:val="000000"/>
                <w:kern w:val="0"/>
                <w:sz w:val="18"/>
                <w:szCs w:val="18"/>
              </w:rPr>
            </w:pPr>
            <w:r>
              <w:rPr>
                <w:rFonts w:hint="eastAsia"/>
                <w:color w:val="000000"/>
                <w:kern w:val="0"/>
                <w:sz w:val="18"/>
                <w:szCs w:val="18"/>
              </w:rPr>
              <w:t>未按要求改正的，未发生生产安全事故的</w:t>
            </w:r>
          </w:p>
        </w:tc>
        <w:tc>
          <w:tcPr>
            <w:tcW w:w="1150" w:type="dxa"/>
            <w:vMerge w:val="continue"/>
            <w:tcBorders>
              <w:left w:val="single" w:color="auto" w:sz="4" w:space="0"/>
              <w:right w:val="single" w:color="auto" w:sz="4" w:space="0"/>
            </w:tcBorders>
            <w:vAlign w:val="center"/>
          </w:tcPr>
          <w:p w14:paraId="66C4106F">
            <w:pPr>
              <w:spacing w:line="240" w:lineRule="exact"/>
              <w:jc w:val="left"/>
              <w:rPr>
                <w:color w:val="000000"/>
                <w:kern w:val="0"/>
                <w:sz w:val="18"/>
                <w:szCs w:val="18"/>
              </w:rPr>
            </w:pPr>
          </w:p>
        </w:tc>
        <w:tc>
          <w:tcPr>
            <w:tcW w:w="5700" w:type="dxa"/>
            <w:tcBorders>
              <w:top w:val="nil"/>
              <w:left w:val="nil"/>
              <w:bottom w:val="single" w:color="auto" w:sz="4" w:space="0"/>
              <w:right w:val="single" w:color="auto" w:sz="4" w:space="0"/>
            </w:tcBorders>
            <w:vAlign w:val="center"/>
          </w:tcPr>
          <w:p w14:paraId="633F3C0A">
            <w:pPr>
              <w:spacing w:line="240" w:lineRule="exact"/>
              <w:jc w:val="left"/>
              <w:rPr>
                <w:color w:val="000000"/>
                <w:kern w:val="0"/>
                <w:sz w:val="18"/>
                <w:szCs w:val="18"/>
              </w:rPr>
            </w:pPr>
            <w:r>
              <w:rPr>
                <w:rFonts w:hint="eastAsia"/>
                <w:color w:val="000000"/>
                <w:kern w:val="0"/>
                <w:sz w:val="18"/>
                <w:szCs w:val="18"/>
              </w:rPr>
              <w:t>对单位：10万元以上15万元以下罚款</w:t>
            </w:r>
          </w:p>
          <w:p w14:paraId="15C14CCA">
            <w:pPr>
              <w:spacing w:line="240" w:lineRule="exact"/>
              <w:jc w:val="left"/>
              <w:rPr>
                <w:color w:val="000000"/>
                <w:kern w:val="0"/>
                <w:sz w:val="18"/>
                <w:szCs w:val="18"/>
              </w:rPr>
            </w:pPr>
            <w:r>
              <w:rPr>
                <w:rFonts w:hint="eastAsia"/>
                <w:color w:val="000000"/>
                <w:kern w:val="0"/>
                <w:sz w:val="18"/>
                <w:szCs w:val="18"/>
              </w:rPr>
              <w:t>对个人：2万以上4万以下罚款</w:t>
            </w:r>
            <w:r>
              <w:rPr>
                <w:color w:val="000000"/>
                <w:kern w:val="0"/>
                <w:sz w:val="18"/>
                <w:szCs w:val="18"/>
              </w:rPr>
              <w:t xml:space="preserve">   </w:t>
            </w:r>
          </w:p>
        </w:tc>
      </w:tr>
      <w:tr w14:paraId="34D547D7">
        <w:tblPrEx>
          <w:tblCellMar>
            <w:top w:w="0" w:type="dxa"/>
            <w:left w:w="108" w:type="dxa"/>
            <w:bottom w:w="0" w:type="dxa"/>
            <w:right w:w="108" w:type="dxa"/>
          </w:tblCellMar>
        </w:tblPrEx>
        <w:trPr>
          <w:trHeight w:val="285" w:hRule="atLeast"/>
        </w:trPr>
        <w:tc>
          <w:tcPr>
            <w:tcW w:w="1070" w:type="dxa"/>
            <w:vMerge w:val="continue"/>
            <w:tcBorders>
              <w:left w:val="single" w:color="auto" w:sz="8" w:space="0"/>
              <w:bottom w:val="single" w:color="auto" w:sz="4" w:space="0"/>
              <w:right w:val="single" w:color="auto" w:sz="4" w:space="0"/>
            </w:tcBorders>
            <w:vAlign w:val="center"/>
          </w:tcPr>
          <w:p w14:paraId="6876145D">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056FECD">
            <w:pPr>
              <w:spacing w:line="240" w:lineRule="exact"/>
              <w:jc w:val="left"/>
              <w:rPr>
                <w:color w:val="000000"/>
                <w:kern w:val="0"/>
                <w:sz w:val="18"/>
                <w:szCs w:val="18"/>
              </w:rPr>
            </w:pPr>
            <w:r>
              <w:rPr>
                <w:rFonts w:hint="eastAsia"/>
                <w:color w:val="000000"/>
                <w:kern w:val="0"/>
                <w:sz w:val="18"/>
                <w:szCs w:val="18"/>
              </w:rPr>
              <w:t>未按要求改正的，发生生产安全事故的</w:t>
            </w:r>
          </w:p>
        </w:tc>
        <w:tc>
          <w:tcPr>
            <w:tcW w:w="1150" w:type="dxa"/>
            <w:vMerge w:val="continue"/>
            <w:tcBorders>
              <w:left w:val="single" w:color="auto" w:sz="4" w:space="0"/>
              <w:bottom w:val="single" w:color="auto" w:sz="4" w:space="0"/>
              <w:right w:val="single" w:color="auto" w:sz="4" w:space="0"/>
            </w:tcBorders>
            <w:vAlign w:val="center"/>
          </w:tcPr>
          <w:p w14:paraId="64EE6B41">
            <w:pPr>
              <w:spacing w:line="240" w:lineRule="exact"/>
              <w:jc w:val="left"/>
              <w:rPr>
                <w:color w:val="000000"/>
                <w:kern w:val="0"/>
                <w:sz w:val="18"/>
                <w:szCs w:val="18"/>
              </w:rPr>
            </w:pPr>
          </w:p>
        </w:tc>
        <w:tc>
          <w:tcPr>
            <w:tcW w:w="5700" w:type="dxa"/>
            <w:tcBorders>
              <w:top w:val="single" w:color="auto" w:sz="4" w:space="0"/>
              <w:left w:val="nil"/>
              <w:bottom w:val="single" w:color="auto" w:sz="4" w:space="0"/>
              <w:right w:val="single" w:color="auto" w:sz="8" w:space="0"/>
            </w:tcBorders>
            <w:vAlign w:val="center"/>
          </w:tcPr>
          <w:p w14:paraId="297D12F8">
            <w:pPr>
              <w:spacing w:line="240" w:lineRule="exact"/>
              <w:jc w:val="left"/>
              <w:rPr>
                <w:color w:val="000000"/>
                <w:kern w:val="0"/>
                <w:sz w:val="18"/>
                <w:szCs w:val="18"/>
              </w:rPr>
            </w:pPr>
            <w:r>
              <w:rPr>
                <w:rFonts w:hint="eastAsia"/>
                <w:color w:val="000000"/>
                <w:kern w:val="0"/>
                <w:sz w:val="18"/>
                <w:szCs w:val="18"/>
              </w:rPr>
              <w:t>对单位：15万元以上20万元以下罚款，责令停产停业整顿</w:t>
            </w:r>
          </w:p>
          <w:p w14:paraId="011FD627">
            <w:pPr>
              <w:spacing w:line="240" w:lineRule="exact"/>
              <w:jc w:val="left"/>
              <w:rPr>
                <w:color w:val="000000"/>
                <w:kern w:val="0"/>
                <w:sz w:val="18"/>
                <w:szCs w:val="18"/>
              </w:rPr>
            </w:pPr>
            <w:r>
              <w:rPr>
                <w:rFonts w:hint="eastAsia"/>
                <w:color w:val="000000"/>
                <w:kern w:val="0"/>
                <w:sz w:val="18"/>
                <w:szCs w:val="18"/>
              </w:rPr>
              <w:t>对个人：4万以上5万以下罚款</w:t>
            </w:r>
            <w:r>
              <w:rPr>
                <w:color w:val="000000"/>
                <w:kern w:val="0"/>
                <w:sz w:val="18"/>
                <w:szCs w:val="18"/>
              </w:rPr>
              <w:t xml:space="preserve">   </w:t>
            </w:r>
          </w:p>
        </w:tc>
      </w:tr>
    </w:tbl>
    <w:p w14:paraId="1DD7C8C4"/>
    <w:p w14:paraId="06F2E096"/>
    <w:tbl>
      <w:tblPr>
        <w:tblStyle w:val="15"/>
        <w:tblW w:w="0" w:type="auto"/>
        <w:tblInd w:w="78" w:type="dxa"/>
        <w:tblLayout w:type="fixed"/>
        <w:tblCellMar>
          <w:top w:w="0" w:type="dxa"/>
          <w:left w:w="108" w:type="dxa"/>
          <w:bottom w:w="0" w:type="dxa"/>
          <w:right w:w="108" w:type="dxa"/>
        </w:tblCellMar>
      </w:tblPr>
      <w:tblGrid>
        <w:gridCol w:w="1030"/>
        <w:gridCol w:w="5937"/>
        <w:gridCol w:w="970"/>
        <w:gridCol w:w="6133"/>
      </w:tblGrid>
      <w:tr w14:paraId="6DE711C2">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5450907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6F1C409B">
            <w:pPr>
              <w:jc w:val="left"/>
              <w:textAlignment w:val="center"/>
              <w:rPr>
                <w:rFonts w:eastAsia="仿宋_GB2312"/>
                <w:b/>
                <w:bCs/>
                <w:color w:val="000000"/>
                <w:kern w:val="0"/>
                <w:sz w:val="18"/>
                <w:szCs w:val="18"/>
              </w:rPr>
            </w:pPr>
            <w:r>
              <w:rPr>
                <w:rFonts w:eastAsia="仿宋_GB2312"/>
                <w:b/>
                <w:color w:val="000000"/>
                <w:kern w:val="0"/>
                <w:sz w:val="20"/>
              </w:rPr>
              <w:t>320217121000</w:t>
            </w:r>
          </w:p>
        </w:tc>
      </w:tr>
      <w:tr w14:paraId="62046D86">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50F02249">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7D56E428">
            <w:pPr>
              <w:spacing w:line="320" w:lineRule="exact"/>
              <w:jc w:val="left"/>
              <w:rPr>
                <w:color w:val="000000"/>
                <w:kern w:val="0"/>
                <w:sz w:val="18"/>
                <w:szCs w:val="18"/>
              </w:rPr>
            </w:pPr>
            <w:r>
              <w:rPr>
                <w:rFonts w:hint="eastAsia"/>
                <w:color w:val="000000"/>
                <w:kern w:val="0"/>
                <w:sz w:val="18"/>
                <w:szCs w:val="18"/>
              </w:rPr>
              <w:t>对注册建筑师准许他人以本人名义执行业务的处罚</w:t>
            </w:r>
          </w:p>
        </w:tc>
      </w:tr>
      <w:tr w14:paraId="36536FB7">
        <w:tblPrEx>
          <w:tblCellMar>
            <w:top w:w="0" w:type="dxa"/>
            <w:left w:w="108" w:type="dxa"/>
            <w:bottom w:w="0" w:type="dxa"/>
            <w:right w:w="108" w:type="dxa"/>
          </w:tblCellMar>
        </w:tblPrEx>
        <w:trPr>
          <w:trHeight w:val="1845" w:hRule="atLeast"/>
        </w:trPr>
        <w:tc>
          <w:tcPr>
            <w:tcW w:w="1030" w:type="dxa"/>
            <w:tcBorders>
              <w:top w:val="single" w:color="auto" w:sz="4" w:space="0"/>
              <w:left w:val="single" w:color="auto" w:sz="8" w:space="0"/>
              <w:bottom w:val="single" w:color="auto" w:sz="4" w:space="0"/>
              <w:right w:val="single" w:color="auto" w:sz="4" w:space="0"/>
            </w:tcBorders>
            <w:vAlign w:val="center"/>
          </w:tcPr>
          <w:p w14:paraId="0F2D3A0E">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165EA932">
            <w:pPr>
              <w:spacing w:line="320" w:lineRule="exact"/>
              <w:ind w:firstLine="360" w:firstLineChars="20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14:paraId="7866DF84">
            <w:pPr>
              <w:spacing w:line="320" w:lineRule="exact"/>
              <w:jc w:val="left"/>
              <w:rPr>
                <w:color w:val="000000"/>
                <w:kern w:val="0"/>
                <w:sz w:val="18"/>
                <w:szCs w:val="18"/>
              </w:rPr>
            </w:pPr>
            <w:r>
              <w:rPr>
                <w:rFonts w:hint="eastAsia"/>
                <w:color w:val="000000"/>
                <w:kern w:val="0"/>
                <w:sz w:val="18"/>
                <w:szCs w:val="18"/>
              </w:rPr>
              <w:t>第二十八条　注册建筑师应当履行下列义务：（五）不得准许他人以本人名义执行业务。</w:t>
            </w:r>
          </w:p>
          <w:p w14:paraId="6CE1FB1F">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14:paraId="26AA5C0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（四）准许他人以本人名义执行业务的；</w:t>
            </w:r>
          </w:p>
        </w:tc>
      </w:tr>
      <w:tr w14:paraId="164064A4">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4D28429D">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6FB565CD">
            <w:pPr>
              <w:spacing w:line="320" w:lineRule="exact"/>
              <w:jc w:val="left"/>
              <w:rPr>
                <w:color w:val="000000"/>
                <w:kern w:val="0"/>
                <w:sz w:val="18"/>
                <w:szCs w:val="18"/>
              </w:rPr>
            </w:pPr>
            <w:r>
              <w:rPr>
                <w:rFonts w:hint="eastAsia"/>
                <w:color w:val="000000"/>
                <w:kern w:val="0"/>
                <w:sz w:val="18"/>
                <w:szCs w:val="18"/>
              </w:rPr>
              <w:t>没收违法所得，罚款</w:t>
            </w:r>
          </w:p>
        </w:tc>
      </w:tr>
      <w:tr w14:paraId="6FB2C862">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40DC811C">
            <w:pPr>
              <w:spacing w:line="320" w:lineRule="exact"/>
              <w:jc w:val="center"/>
              <w:rPr>
                <w:color w:val="000000"/>
                <w:kern w:val="0"/>
                <w:sz w:val="18"/>
                <w:szCs w:val="18"/>
              </w:rPr>
            </w:pPr>
            <w:r>
              <w:rPr>
                <w:rFonts w:hint="eastAsia"/>
                <w:color w:val="000000"/>
                <w:kern w:val="0"/>
                <w:sz w:val="18"/>
                <w:szCs w:val="18"/>
              </w:rPr>
              <w:t>裁量基准</w:t>
            </w:r>
          </w:p>
        </w:tc>
      </w:tr>
      <w:tr w14:paraId="4FD6CE71">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8" w:space="0"/>
              <w:bottom w:val="single" w:color="auto" w:sz="4" w:space="0"/>
              <w:right w:val="single" w:color="auto" w:sz="4" w:space="0"/>
            </w:tcBorders>
            <w:vAlign w:val="center"/>
          </w:tcPr>
          <w:p w14:paraId="1ABD8A1D">
            <w:pPr>
              <w:spacing w:line="320" w:lineRule="exact"/>
              <w:jc w:val="center"/>
              <w:rPr>
                <w:color w:val="000000"/>
                <w:kern w:val="0"/>
                <w:sz w:val="18"/>
                <w:szCs w:val="18"/>
              </w:rPr>
            </w:pPr>
            <w:r>
              <w:rPr>
                <w:rFonts w:hint="eastAsia"/>
                <w:color w:val="000000"/>
                <w:kern w:val="0"/>
                <w:sz w:val="18"/>
                <w:szCs w:val="18"/>
              </w:rPr>
              <w:t>情形描述</w:t>
            </w:r>
          </w:p>
        </w:tc>
        <w:tc>
          <w:tcPr>
            <w:tcW w:w="5937" w:type="dxa"/>
            <w:tcBorders>
              <w:top w:val="single" w:color="auto" w:sz="4" w:space="0"/>
              <w:left w:val="single" w:color="auto" w:sz="4" w:space="0"/>
              <w:bottom w:val="single" w:color="auto" w:sz="4" w:space="0"/>
              <w:right w:val="single" w:color="auto" w:sz="4" w:space="0"/>
            </w:tcBorders>
            <w:vAlign w:val="center"/>
          </w:tcPr>
          <w:p w14:paraId="045FD8C4">
            <w:pPr>
              <w:spacing w:line="320" w:lineRule="exact"/>
              <w:jc w:val="left"/>
              <w:rPr>
                <w:color w:val="000000"/>
                <w:kern w:val="0"/>
                <w:sz w:val="18"/>
                <w:szCs w:val="18"/>
              </w:rPr>
            </w:pPr>
            <w:r>
              <w:rPr>
                <w:rFonts w:hint="eastAsia"/>
                <w:color w:val="000000"/>
                <w:kern w:val="0"/>
                <w:sz w:val="18"/>
                <w:szCs w:val="18"/>
              </w:rPr>
              <w:t>设计成果未交付的</w:t>
            </w:r>
          </w:p>
        </w:tc>
        <w:tc>
          <w:tcPr>
            <w:tcW w:w="970" w:type="dxa"/>
            <w:vMerge w:val="restart"/>
            <w:tcBorders>
              <w:top w:val="single" w:color="auto" w:sz="4" w:space="0"/>
              <w:left w:val="single" w:color="auto" w:sz="4" w:space="0"/>
              <w:right w:val="single" w:color="auto" w:sz="4" w:space="0"/>
            </w:tcBorders>
            <w:vAlign w:val="center"/>
          </w:tcPr>
          <w:p w14:paraId="47D9E125">
            <w:pPr>
              <w:spacing w:line="320" w:lineRule="exact"/>
              <w:jc w:val="center"/>
              <w:rPr>
                <w:color w:val="000000"/>
                <w:kern w:val="0"/>
                <w:sz w:val="18"/>
                <w:szCs w:val="18"/>
              </w:rPr>
            </w:pPr>
            <w:r>
              <w:rPr>
                <w:rFonts w:hint="eastAsia"/>
                <w:color w:val="000000"/>
                <w:kern w:val="0"/>
                <w:sz w:val="18"/>
                <w:szCs w:val="18"/>
              </w:rPr>
              <w:t>裁量幅度　</w:t>
            </w:r>
          </w:p>
        </w:tc>
        <w:tc>
          <w:tcPr>
            <w:tcW w:w="6133" w:type="dxa"/>
            <w:tcBorders>
              <w:top w:val="single" w:color="auto" w:sz="4" w:space="0"/>
              <w:left w:val="single" w:color="auto" w:sz="4" w:space="0"/>
              <w:bottom w:val="single" w:color="auto" w:sz="4" w:space="0"/>
              <w:right w:val="single" w:color="auto" w:sz="8" w:space="0"/>
            </w:tcBorders>
            <w:vAlign w:val="center"/>
          </w:tcPr>
          <w:p w14:paraId="67FF2CD6">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14:paraId="2CE5436C">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8" w:space="0"/>
              <w:bottom w:val="single" w:color="auto" w:sz="4" w:space="0"/>
              <w:right w:val="single" w:color="auto" w:sz="4" w:space="0"/>
            </w:tcBorders>
            <w:vAlign w:val="center"/>
          </w:tcPr>
          <w:p w14:paraId="069FAFDD">
            <w:pPr>
              <w:spacing w:line="320" w:lineRule="exact"/>
              <w:jc w:val="left"/>
              <w:rPr>
                <w:color w:val="000000"/>
                <w:kern w:val="0"/>
                <w:sz w:val="18"/>
                <w:szCs w:val="18"/>
              </w:rPr>
            </w:pPr>
          </w:p>
        </w:tc>
        <w:tc>
          <w:tcPr>
            <w:tcW w:w="5937" w:type="dxa"/>
            <w:tcBorders>
              <w:top w:val="single" w:color="auto" w:sz="4" w:space="0"/>
              <w:left w:val="single" w:color="auto" w:sz="4" w:space="0"/>
              <w:bottom w:val="single" w:color="auto" w:sz="4" w:space="0"/>
              <w:right w:val="single" w:color="auto" w:sz="4" w:space="0"/>
            </w:tcBorders>
            <w:vAlign w:val="center"/>
          </w:tcPr>
          <w:p w14:paraId="4FF78EC7">
            <w:pPr>
              <w:spacing w:line="320" w:lineRule="exact"/>
              <w:jc w:val="left"/>
              <w:rPr>
                <w:color w:val="000000"/>
                <w:kern w:val="0"/>
                <w:sz w:val="18"/>
                <w:szCs w:val="18"/>
              </w:rPr>
            </w:pPr>
            <w:r>
              <w:rPr>
                <w:rFonts w:hint="eastAsia"/>
                <w:color w:val="000000"/>
                <w:kern w:val="0"/>
                <w:sz w:val="18"/>
                <w:szCs w:val="18"/>
              </w:rPr>
              <w:t>设计成果已交付但未违反设计标准的</w:t>
            </w:r>
          </w:p>
        </w:tc>
        <w:tc>
          <w:tcPr>
            <w:tcW w:w="970" w:type="dxa"/>
            <w:vMerge w:val="continue"/>
            <w:tcBorders>
              <w:left w:val="single" w:color="auto" w:sz="4" w:space="0"/>
              <w:right w:val="single" w:color="auto" w:sz="4" w:space="0"/>
            </w:tcBorders>
            <w:vAlign w:val="center"/>
          </w:tcPr>
          <w:p w14:paraId="7309DFE5">
            <w:pPr>
              <w:spacing w:line="320" w:lineRule="exact"/>
              <w:jc w:val="center"/>
              <w:rPr>
                <w:color w:val="000000"/>
                <w:kern w:val="0"/>
                <w:sz w:val="18"/>
                <w:szCs w:val="18"/>
              </w:rPr>
            </w:pPr>
          </w:p>
        </w:tc>
        <w:tc>
          <w:tcPr>
            <w:tcW w:w="6133" w:type="dxa"/>
            <w:tcBorders>
              <w:top w:val="single" w:color="auto" w:sz="4" w:space="0"/>
              <w:left w:val="single" w:color="auto" w:sz="4" w:space="0"/>
              <w:bottom w:val="single" w:color="auto" w:sz="4" w:space="0"/>
              <w:right w:val="single" w:color="auto" w:sz="8" w:space="0"/>
            </w:tcBorders>
            <w:vAlign w:val="center"/>
          </w:tcPr>
          <w:p w14:paraId="18121BE6">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14:paraId="48B79553">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8" w:space="0"/>
              <w:bottom w:val="single" w:color="auto" w:sz="8" w:space="0"/>
              <w:right w:val="single" w:color="auto" w:sz="4" w:space="0"/>
            </w:tcBorders>
            <w:vAlign w:val="center"/>
          </w:tcPr>
          <w:p w14:paraId="45EAF8DB">
            <w:pPr>
              <w:spacing w:line="320" w:lineRule="exact"/>
              <w:jc w:val="left"/>
              <w:rPr>
                <w:color w:val="000000"/>
                <w:kern w:val="0"/>
                <w:sz w:val="18"/>
                <w:szCs w:val="18"/>
              </w:rPr>
            </w:pPr>
          </w:p>
        </w:tc>
        <w:tc>
          <w:tcPr>
            <w:tcW w:w="5937" w:type="dxa"/>
            <w:tcBorders>
              <w:top w:val="single" w:color="auto" w:sz="4" w:space="0"/>
              <w:left w:val="single" w:color="auto" w:sz="4" w:space="0"/>
              <w:bottom w:val="single" w:color="auto" w:sz="8" w:space="0"/>
              <w:right w:val="single" w:color="auto" w:sz="4" w:space="0"/>
            </w:tcBorders>
            <w:vAlign w:val="center"/>
          </w:tcPr>
          <w:p w14:paraId="39EF496C">
            <w:pPr>
              <w:spacing w:line="320" w:lineRule="exact"/>
              <w:jc w:val="left"/>
              <w:rPr>
                <w:color w:val="000000"/>
                <w:kern w:val="0"/>
                <w:sz w:val="18"/>
                <w:szCs w:val="18"/>
              </w:rPr>
            </w:pPr>
            <w:r>
              <w:rPr>
                <w:rFonts w:hint="eastAsia"/>
                <w:color w:val="000000"/>
                <w:kern w:val="0"/>
                <w:sz w:val="18"/>
                <w:szCs w:val="18"/>
              </w:rPr>
              <w:t>设计成果已交付且违反设计标准的</w:t>
            </w:r>
          </w:p>
        </w:tc>
        <w:tc>
          <w:tcPr>
            <w:tcW w:w="970" w:type="dxa"/>
            <w:vMerge w:val="continue"/>
            <w:tcBorders>
              <w:left w:val="single" w:color="auto" w:sz="4" w:space="0"/>
              <w:bottom w:val="single" w:color="auto" w:sz="8" w:space="0"/>
              <w:right w:val="single" w:color="auto" w:sz="4" w:space="0"/>
            </w:tcBorders>
            <w:vAlign w:val="center"/>
          </w:tcPr>
          <w:p w14:paraId="272ECD0F">
            <w:pPr>
              <w:spacing w:line="320" w:lineRule="exact"/>
              <w:jc w:val="left"/>
              <w:rPr>
                <w:color w:val="000000"/>
                <w:kern w:val="0"/>
                <w:sz w:val="18"/>
                <w:szCs w:val="18"/>
              </w:rPr>
            </w:pPr>
          </w:p>
        </w:tc>
        <w:tc>
          <w:tcPr>
            <w:tcW w:w="6133" w:type="dxa"/>
            <w:tcBorders>
              <w:top w:val="single" w:color="auto" w:sz="4" w:space="0"/>
              <w:left w:val="single" w:color="auto" w:sz="4" w:space="0"/>
              <w:bottom w:val="single" w:color="auto" w:sz="8" w:space="0"/>
              <w:right w:val="single" w:color="auto" w:sz="8" w:space="0"/>
            </w:tcBorders>
            <w:vAlign w:val="center"/>
          </w:tcPr>
          <w:p w14:paraId="11DC0A7A">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4DE88F79"/>
    <w:p w14:paraId="14CD7319"/>
    <w:p w14:paraId="714754E8"/>
    <w:p w14:paraId="48B304A9"/>
    <w:p w14:paraId="50387D9F"/>
    <w:p w14:paraId="7D9A85D1"/>
    <w:p w14:paraId="6C72428C"/>
    <w:p w14:paraId="0263F3AA"/>
    <w:tbl>
      <w:tblPr>
        <w:tblStyle w:val="15"/>
        <w:tblW w:w="0" w:type="auto"/>
        <w:tblInd w:w="78" w:type="dxa"/>
        <w:tblLayout w:type="fixed"/>
        <w:tblCellMar>
          <w:top w:w="0" w:type="dxa"/>
          <w:left w:w="108" w:type="dxa"/>
          <w:bottom w:w="0" w:type="dxa"/>
          <w:right w:w="108" w:type="dxa"/>
        </w:tblCellMar>
      </w:tblPr>
      <w:tblGrid>
        <w:gridCol w:w="1030"/>
        <w:gridCol w:w="5937"/>
        <w:gridCol w:w="970"/>
        <w:gridCol w:w="6133"/>
      </w:tblGrid>
      <w:tr w14:paraId="00344EFF">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1AAFCDD7">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2770953D">
            <w:pPr>
              <w:jc w:val="left"/>
              <w:textAlignment w:val="center"/>
              <w:rPr>
                <w:rFonts w:eastAsia="仿宋_GB2312"/>
                <w:b/>
                <w:bCs/>
                <w:color w:val="000000"/>
                <w:kern w:val="0"/>
                <w:sz w:val="18"/>
                <w:szCs w:val="18"/>
              </w:rPr>
            </w:pPr>
            <w:r>
              <w:rPr>
                <w:rFonts w:eastAsia="仿宋_GB2312"/>
                <w:color w:val="000000"/>
                <w:kern w:val="0"/>
                <w:sz w:val="20"/>
              </w:rPr>
              <w:t>320217122000</w:t>
            </w:r>
          </w:p>
        </w:tc>
      </w:tr>
      <w:tr w14:paraId="5E812010">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2277939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46301C0E">
            <w:pPr>
              <w:spacing w:line="320" w:lineRule="exact"/>
              <w:jc w:val="left"/>
              <w:rPr>
                <w:color w:val="000000"/>
                <w:kern w:val="0"/>
                <w:sz w:val="18"/>
                <w:szCs w:val="18"/>
              </w:rPr>
            </w:pPr>
            <w:r>
              <w:rPr>
                <w:rFonts w:hint="eastAsia"/>
                <w:color w:val="000000"/>
                <w:kern w:val="0"/>
                <w:sz w:val="18"/>
                <w:szCs w:val="18"/>
              </w:rPr>
              <w:t>对二级注册建筑师以一级注册建筑师的名义执行业务或者超越国家规定的执业范围执行业务的处罚</w:t>
            </w:r>
          </w:p>
        </w:tc>
      </w:tr>
      <w:tr w14:paraId="3FD99A41">
        <w:tblPrEx>
          <w:tblCellMar>
            <w:top w:w="0" w:type="dxa"/>
            <w:left w:w="108" w:type="dxa"/>
            <w:bottom w:w="0" w:type="dxa"/>
            <w:right w:w="108" w:type="dxa"/>
          </w:tblCellMar>
        </w:tblPrEx>
        <w:trPr>
          <w:trHeight w:val="1710" w:hRule="atLeast"/>
        </w:trPr>
        <w:tc>
          <w:tcPr>
            <w:tcW w:w="1030" w:type="dxa"/>
            <w:tcBorders>
              <w:top w:val="single" w:color="auto" w:sz="4" w:space="0"/>
              <w:left w:val="single" w:color="auto" w:sz="8" w:space="0"/>
              <w:bottom w:val="single" w:color="auto" w:sz="4" w:space="0"/>
              <w:right w:val="single" w:color="auto" w:sz="4" w:space="0"/>
            </w:tcBorders>
            <w:vAlign w:val="center"/>
          </w:tcPr>
          <w:p w14:paraId="64918D7D">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1FE49E66">
            <w:pPr>
              <w:spacing w:line="320" w:lineRule="exact"/>
              <w:ind w:firstLine="180" w:firstLineChars="10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14:paraId="23BB8B71">
            <w:pPr>
              <w:spacing w:line="320" w:lineRule="exact"/>
              <w:jc w:val="left"/>
              <w:rPr>
                <w:color w:val="000000"/>
                <w:kern w:val="0"/>
                <w:sz w:val="18"/>
                <w:szCs w:val="18"/>
              </w:rPr>
            </w:pPr>
            <w:r>
              <w:rPr>
                <w:rFonts w:hint="eastAsia"/>
                <w:color w:val="000000"/>
                <w:kern w:val="0"/>
                <w:sz w:val="18"/>
                <w:szCs w:val="18"/>
              </w:rPr>
              <w:t>第二十五条第二款　非注册建筑师不得以注册建筑师的名义执行注册建筑师业务。二级注册建筑师不得以一级注册建筑师的名义执行业务，也不得超越国家规定的二级注册建筑师的执业范围执行业务。</w:t>
            </w:r>
          </w:p>
          <w:p w14:paraId="51E2738B">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14:paraId="5262C61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（五）二级注册建筑师以一级注册建筑师的名义执行业务或者超越国家规定的执业范围执行业务的。</w:t>
            </w:r>
          </w:p>
        </w:tc>
      </w:tr>
      <w:tr w14:paraId="04940A73">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18D35A3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7E0197D4">
            <w:pPr>
              <w:spacing w:line="320" w:lineRule="exact"/>
              <w:jc w:val="left"/>
              <w:rPr>
                <w:color w:val="000000"/>
                <w:kern w:val="0"/>
                <w:sz w:val="18"/>
                <w:szCs w:val="18"/>
              </w:rPr>
            </w:pPr>
            <w:r>
              <w:rPr>
                <w:rFonts w:hint="eastAsia"/>
                <w:color w:val="000000"/>
                <w:kern w:val="0"/>
                <w:sz w:val="18"/>
                <w:szCs w:val="18"/>
              </w:rPr>
              <w:t>没收违法所得，罚款</w:t>
            </w:r>
          </w:p>
        </w:tc>
      </w:tr>
      <w:tr w14:paraId="39D4FDE8">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437D3A5A">
            <w:pPr>
              <w:spacing w:line="320" w:lineRule="exact"/>
              <w:jc w:val="center"/>
              <w:rPr>
                <w:color w:val="000000"/>
                <w:kern w:val="0"/>
                <w:sz w:val="18"/>
                <w:szCs w:val="18"/>
              </w:rPr>
            </w:pPr>
            <w:r>
              <w:rPr>
                <w:rFonts w:hint="eastAsia"/>
                <w:color w:val="000000"/>
                <w:kern w:val="0"/>
                <w:sz w:val="18"/>
                <w:szCs w:val="18"/>
              </w:rPr>
              <w:t>裁量基准</w:t>
            </w:r>
          </w:p>
        </w:tc>
      </w:tr>
      <w:tr w14:paraId="36173E6A">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8" w:space="0"/>
              <w:bottom w:val="single" w:color="auto" w:sz="4" w:space="0"/>
              <w:right w:val="single" w:color="auto" w:sz="4" w:space="0"/>
            </w:tcBorders>
            <w:vAlign w:val="center"/>
          </w:tcPr>
          <w:p w14:paraId="17FE5AED">
            <w:pPr>
              <w:spacing w:line="320" w:lineRule="exact"/>
              <w:jc w:val="center"/>
              <w:rPr>
                <w:color w:val="000000"/>
                <w:kern w:val="0"/>
                <w:sz w:val="18"/>
                <w:szCs w:val="18"/>
              </w:rPr>
            </w:pPr>
            <w:r>
              <w:rPr>
                <w:rFonts w:hint="eastAsia"/>
                <w:color w:val="000000"/>
                <w:kern w:val="0"/>
                <w:sz w:val="18"/>
                <w:szCs w:val="18"/>
              </w:rPr>
              <w:t>情形描述</w:t>
            </w:r>
          </w:p>
        </w:tc>
        <w:tc>
          <w:tcPr>
            <w:tcW w:w="5937" w:type="dxa"/>
            <w:tcBorders>
              <w:top w:val="single" w:color="auto" w:sz="4" w:space="0"/>
              <w:left w:val="single" w:color="auto" w:sz="4" w:space="0"/>
              <w:bottom w:val="single" w:color="auto" w:sz="4" w:space="0"/>
              <w:right w:val="single" w:color="auto" w:sz="4" w:space="0"/>
            </w:tcBorders>
            <w:vAlign w:val="center"/>
          </w:tcPr>
          <w:p w14:paraId="6EFBFA92">
            <w:pPr>
              <w:spacing w:line="320" w:lineRule="exact"/>
              <w:jc w:val="left"/>
              <w:rPr>
                <w:color w:val="000000"/>
                <w:kern w:val="0"/>
                <w:sz w:val="18"/>
                <w:szCs w:val="18"/>
              </w:rPr>
            </w:pPr>
            <w:r>
              <w:rPr>
                <w:rFonts w:hint="eastAsia"/>
                <w:color w:val="000000"/>
                <w:kern w:val="0"/>
                <w:sz w:val="18"/>
                <w:szCs w:val="18"/>
              </w:rPr>
              <w:t>设计成果未交付的</w:t>
            </w:r>
          </w:p>
        </w:tc>
        <w:tc>
          <w:tcPr>
            <w:tcW w:w="970" w:type="dxa"/>
            <w:vMerge w:val="restart"/>
            <w:tcBorders>
              <w:top w:val="single" w:color="auto" w:sz="4" w:space="0"/>
              <w:left w:val="single" w:color="auto" w:sz="4" w:space="0"/>
              <w:right w:val="single" w:color="auto" w:sz="4" w:space="0"/>
            </w:tcBorders>
            <w:vAlign w:val="center"/>
          </w:tcPr>
          <w:p w14:paraId="6D0B4BA5">
            <w:pPr>
              <w:spacing w:line="320" w:lineRule="exact"/>
              <w:jc w:val="center"/>
              <w:rPr>
                <w:color w:val="000000"/>
                <w:kern w:val="0"/>
                <w:sz w:val="18"/>
                <w:szCs w:val="18"/>
              </w:rPr>
            </w:pPr>
            <w:r>
              <w:rPr>
                <w:rFonts w:hint="eastAsia"/>
                <w:color w:val="000000"/>
                <w:kern w:val="0"/>
                <w:sz w:val="18"/>
                <w:szCs w:val="18"/>
              </w:rPr>
              <w:t>裁量幅度　</w:t>
            </w:r>
          </w:p>
        </w:tc>
        <w:tc>
          <w:tcPr>
            <w:tcW w:w="6133" w:type="dxa"/>
            <w:tcBorders>
              <w:top w:val="single" w:color="auto" w:sz="4" w:space="0"/>
              <w:left w:val="single" w:color="auto" w:sz="4" w:space="0"/>
              <w:bottom w:val="single" w:color="auto" w:sz="4" w:space="0"/>
              <w:right w:val="single" w:color="auto" w:sz="8" w:space="0"/>
            </w:tcBorders>
            <w:vAlign w:val="center"/>
          </w:tcPr>
          <w:p w14:paraId="4F289969">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14:paraId="3C05E80B">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8" w:space="0"/>
              <w:bottom w:val="single" w:color="auto" w:sz="4" w:space="0"/>
              <w:right w:val="single" w:color="auto" w:sz="4" w:space="0"/>
            </w:tcBorders>
            <w:vAlign w:val="center"/>
          </w:tcPr>
          <w:p w14:paraId="103A0939">
            <w:pPr>
              <w:spacing w:line="320" w:lineRule="exact"/>
              <w:jc w:val="left"/>
              <w:rPr>
                <w:color w:val="000000"/>
                <w:kern w:val="0"/>
                <w:sz w:val="18"/>
                <w:szCs w:val="18"/>
              </w:rPr>
            </w:pPr>
          </w:p>
        </w:tc>
        <w:tc>
          <w:tcPr>
            <w:tcW w:w="5937" w:type="dxa"/>
            <w:tcBorders>
              <w:top w:val="single" w:color="auto" w:sz="4" w:space="0"/>
              <w:left w:val="single" w:color="auto" w:sz="4" w:space="0"/>
              <w:bottom w:val="single" w:color="auto" w:sz="4" w:space="0"/>
              <w:right w:val="single" w:color="auto" w:sz="4" w:space="0"/>
            </w:tcBorders>
            <w:vAlign w:val="center"/>
          </w:tcPr>
          <w:p w14:paraId="3A8FA3FC">
            <w:pPr>
              <w:spacing w:line="320" w:lineRule="exact"/>
              <w:jc w:val="left"/>
              <w:rPr>
                <w:color w:val="000000"/>
                <w:kern w:val="0"/>
                <w:sz w:val="18"/>
                <w:szCs w:val="18"/>
              </w:rPr>
            </w:pPr>
            <w:r>
              <w:rPr>
                <w:rFonts w:hint="eastAsia"/>
                <w:color w:val="000000"/>
                <w:kern w:val="0"/>
                <w:sz w:val="18"/>
                <w:szCs w:val="18"/>
              </w:rPr>
              <w:t>设计成果已交付但未违反设计标准的</w:t>
            </w:r>
          </w:p>
        </w:tc>
        <w:tc>
          <w:tcPr>
            <w:tcW w:w="970" w:type="dxa"/>
            <w:vMerge w:val="continue"/>
            <w:tcBorders>
              <w:left w:val="single" w:color="auto" w:sz="4" w:space="0"/>
              <w:right w:val="single" w:color="auto" w:sz="4" w:space="0"/>
            </w:tcBorders>
            <w:vAlign w:val="center"/>
          </w:tcPr>
          <w:p w14:paraId="049C33CD">
            <w:pPr>
              <w:spacing w:line="320" w:lineRule="exact"/>
              <w:jc w:val="center"/>
              <w:rPr>
                <w:color w:val="000000"/>
                <w:kern w:val="0"/>
                <w:sz w:val="18"/>
                <w:szCs w:val="18"/>
              </w:rPr>
            </w:pPr>
          </w:p>
        </w:tc>
        <w:tc>
          <w:tcPr>
            <w:tcW w:w="6133" w:type="dxa"/>
            <w:tcBorders>
              <w:top w:val="single" w:color="auto" w:sz="4" w:space="0"/>
              <w:left w:val="single" w:color="auto" w:sz="4" w:space="0"/>
              <w:bottom w:val="single" w:color="auto" w:sz="4" w:space="0"/>
              <w:right w:val="single" w:color="auto" w:sz="8" w:space="0"/>
            </w:tcBorders>
            <w:vAlign w:val="center"/>
          </w:tcPr>
          <w:p w14:paraId="59E6621E">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14:paraId="3CA20ACD">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8" w:space="0"/>
              <w:bottom w:val="single" w:color="auto" w:sz="8" w:space="0"/>
              <w:right w:val="single" w:color="auto" w:sz="4" w:space="0"/>
            </w:tcBorders>
            <w:vAlign w:val="center"/>
          </w:tcPr>
          <w:p w14:paraId="08257B5A">
            <w:pPr>
              <w:spacing w:line="320" w:lineRule="exact"/>
              <w:jc w:val="left"/>
              <w:rPr>
                <w:color w:val="000000"/>
                <w:kern w:val="0"/>
                <w:sz w:val="18"/>
                <w:szCs w:val="18"/>
              </w:rPr>
            </w:pPr>
          </w:p>
        </w:tc>
        <w:tc>
          <w:tcPr>
            <w:tcW w:w="5937" w:type="dxa"/>
            <w:tcBorders>
              <w:top w:val="single" w:color="auto" w:sz="4" w:space="0"/>
              <w:left w:val="single" w:color="auto" w:sz="4" w:space="0"/>
              <w:bottom w:val="single" w:color="auto" w:sz="8" w:space="0"/>
              <w:right w:val="single" w:color="auto" w:sz="4" w:space="0"/>
            </w:tcBorders>
            <w:vAlign w:val="center"/>
          </w:tcPr>
          <w:p w14:paraId="2C06AA2E">
            <w:pPr>
              <w:spacing w:line="320" w:lineRule="exact"/>
              <w:jc w:val="left"/>
              <w:rPr>
                <w:color w:val="000000"/>
                <w:kern w:val="0"/>
                <w:sz w:val="18"/>
                <w:szCs w:val="18"/>
              </w:rPr>
            </w:pPr>
            <w:r>
              <w:rPr>
                <w:rFonts w:hint="eastAsia"/>
                <w:color w:val="000000"/>
                <w:kern w:val="0"/>
                <w:sz w:val="18"/>
                <w:szCs w:val="18"/>
              </w:rPr>
              <w:t>设计成果已交付且违反设计标准的</w:t>
            </w:r>
          </w:p>
        </w:tc>
        <w:tc>
          <w:tcPr>
            <w:tcW w:w="970" w:type="dxa"/>
            <w:vMerge w:val="continue"/>
            <w:tcBorders>
              <w:left w:val="single" w:color="auto" w:sz="4" w:space="0"/>
              <w:bottom w:val="single" w:color="auto" w:sz="8" w:space="0"/>
              <w:right w:val="single" w:color="auto" w:sz="4" w:space="0"/>
            </w:tcBorders>
            <w:vAlign w:val="center"/>
          </w:tcPr>
          <w:p w14:paraId="430FEF7F">
            <w:pPr>
              <w:spacing w:line="320" w:lineRule="exact"/>
              <w:jc w:val="left"/>
              <w:rPr>
                <w:color w:val="000000"/>
                <w:kern w:val="0"/>
                <w:sz w:val="18"/>
                <w:szCs w:val="18"/>
              </w:rPr>
            </w:pPr>
          </w:p>
        </w:tc>
        <w:tc>
          <w:tcPr>
            <w:tcW w:w="6133" w:type="dxa"/>
            <w:tcBorders>
              <w:top w:val="single" w:color="auto" w:sz="4" w:space="0"/>
              <w:left w:val="single" w:color="auto" w:sz="4" w:space="0"/>
              <w:bottom w:val="single" w:color="auto" w:sz="8" w:space="0"/>
              <w:right w:val="single" w:color="auto" w:sz="8" w:space="0"/>
            </w:tcBorders>
            <w:vAlign w:val="center"/>
          </w:tcPr>
          <w:p w14:paraId="76B6C264">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76A7666D"/>
    <w:p w14:paraId="523F1BC4"/>
    <w:p w14:paraId="29619F8B"/>
    <w:p w14:paraId="546FC718"/>
    <w:p w14:paraId="4BE9BA73"/>
    <w:p w14:paraId="7CAC15B2"/>
    <w:p w14:paraId="6F7AAF45"/>
    <w:p w14:paraId="2E121145"/>
    <w:p w14:paraId="5E15D713"/>
    <w:p w14:paraId="1B1E63A2"/>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1BA96714">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6921A990">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72C2B8EE">
            <w:pPr>
              <w:spacing w:line="320" w:lineRule="exact"/>
              <w:jc w:val="left"/>
              <w:rPr>
                <w:rFonts w:eastAsia="仿宋_GB2312"/>
                <w:b/>
                <w:bCs/>
                <w:color w:val="000000"/>
                <w:kern w:val="0"/>
                <w:sz w:val="18"/>
                <w:szCs w:val="18"/>
              </w:rPr>
            </w:pPr>
            <w:r>
              <w:rPr>
                <w:rFonts w:eastAsia="仿宋_GB2312"/>
                <w:b/>
                <w:bCs/>
                <w:color w:val="000000"/>
                <w:kern w:val="0"/>
                <w:sz w:val="18"/>
                <w:szCs w:val="18"/>
              </w:rPr>
              <w:t>320217123000</w:t>
            </w:r>
            <w:r>
              <w:rPr>
                <w:rFonts w:hint="eastAsia" w:eastAsia="仿宋_GB2312"/>
                <w:b/>
                <w:bCs/>
                <w:color w:val="000000"/>
                <w:kern w:val="0"/>
                <w:sz w:val="18"/>
                <w:szCs w:val="18"/>
              </w:rPr>
              <w:t xml:space="preserve"> </w:t>
            </w:r>
          </w:p>
        </w:tc>
      </w:tr>
      <w:tr w14:paraId="78FD085F">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6EA58759">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59FC9EE0">
            <w:pPr>
              <w:spacing w:line="320" w:lineRule="exact"/>
              <w:jc w:val="left"/>
              <w:rPr>
                <w:color w:val="000000"/>
                <w:kern w:val="0"/>
                <w:sz w:val="18"/>
                <w:szCs w:val="18"/>
              </w:rPr>
            </w:pPr>
            <w:r>
              <w:rPr>
                <w:rFonts w:hint="eastAsia"/>
                <w:color w:val="000000"/>
                <w:kern w:val="0"/>
                <w:sz w:val="18"/>
                <w:szCs w:val="18"/>
              </w:rPr>
              <w:t>对注册执业人员未执行法律、法规和工程建设强制性标准的处罚</w:t>
            </w:r>
          </w:p>
        </w:tc>
      </w:tr>
      <w:tr w14:paraId="155DF43C">
        <w:tblPrEx>
          <w:tblCellMar>
            <w:top w:w="0" w:type="dxa"/>
            <w:left w:w="108" w:type="dxa"/>
            <w:bottom w:w="0" w:type="dxa"/>
            <w:right w:w="108" w:type="dxa"/>
          </w:tblCellMar>
        </w:tblPrEx>
        <w:trPr>
          <w:trHeight w:val="2070" w:hRule="atLeast"/>
        </w:trPr>
        <w:tc>
          <w:tcPr>
            <w:tcW w:w="1030" w:type="dxa"/>
            <w:tcBorders>
              <w:top w:val="nil"/>
              <w:left w:val="single" w:color="auto" w:sz="8" w:space="0"/>
              <w:bottom w:val="single" w:color="auto" w:sz="4" w:space="0"/>
              <w:right w:val="single" w:color="auto" w:sz="4" w:space="0"/>
            </w:tcBorders>
            <w:vAlign w:val="center"/>
          </w:tcPr>
          <w:p w14:paraId="0168F186">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2E95BF3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14:paraId="76F8F424">
            <w:pPr>
              <w:spacing w:line="320" w:lineRule="exact"/>
              <w:jc w:val="left"/>
              <w:rPr>
                <w:color w:val="000000"/>
                <w:kern w:val="0"/>
                <w:sz w:val="18"/>
                <w:szCs w:val="18"/>
              </w:rPr>
            </w:pPr>
            <w:r>
              <w:rPr>
                <w:rFonts w:hint="eastAsia"/>
                <w:color w:val="000000"/>
                <w:kern w:val="0"/>
                <w:sz w:val="18"/>
                <w:szCs w:val="18"/>
              </w:rPr>
              <w:t>第十三条第一款、第三款　设计单位应当按照法律、法规和工程建设强制性标准进行设计，防止因设计不合理导致生产安全事故的发生。设计单位和注册建筑师等注册执业人员应当对其设计负责。</w:t>
            </w:r>
            <w:r>
              <w:rPr>
                <w:color w:val="000000"/>
                <w:kern w:val="0"/>
                <w:sz w:val="18"/>
                <w:szCs w:val="18"/>
              </w:rPr>
              <w:t xml:space="preserve">  </w:t>
            </w:r>
          </w:p>
          <w:p w14:paraId="7C3A429A">
            <w:pPr>
              <w:spacing w:line="320" w:lineRule="exact"/>
              <w:jc w:val="left"/>
              <w:rPr>
                <w:color w:val="000000"/>
                <w:kern w:val="0"/>
                <w:sz w:val="18"/>
                <w:szCs w:val="18"/>
              </w:rPr>
            </w:pPr>
            <w:r>
              <w:rPr>
                <w:rFonts w:hint="eastAsia"/>
                <w:color w:val="000000"/>
                <w:kern w:val="0"/>
                <w:sz w:val="18"/>
                <w:szCs w:val="18"/>
              </w:rPr>
              <w:t>第五十八条　注册执业人员未执行法律、法规和工程建设强制性标准的，责令停止执业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年以下；情节严重的，吊销执业资格证书，</w:t>
            </w:r>
            <w:r>
              <w:rPr>
                <w:color w:val="000000"/>
                <w:kern w:val="0"/>
                <w:sz w:val="18"/>
                <w:szCs w:val="18"/>
              </w:rPr>
              <w:t>5</w:t>
            </w:r>
            <w:r>
              <w:rPr>
                <w:rFonts w:hint="eastAsia"/>
                <w:color w:val="000000"/>
                <w:kern w:val="0"/>
                <w:sz w:val="18"/>
                <w:szCs w:val="18"/>
              </w:rPr>
              <w:t>年内不予注册；造成重大安全事故的，终身不予注册；构成犯罪的，依照刑法有关规定追究刑事责任。</w:t>
            </w:r>
          </w:p>
          <w:p w14:paraId="3AB22FFE">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7C45353E">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C06C3DF">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0CB48CCE">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年以下，吊销执业资格证，</w:t>
            </w:r>
            <w:r>
              <w:rPr>
                <w:color w:val="000000"/>
                <w:kern w:val="0"/>
                <w:sz w:val="18"/>
                <w:szCs w:val="18"/>
              </w:rPr>
              <w:t>5</w:t>
            </w:r>
            <w:r>
              <w:rPr>
                <w:rFonts w:hint="eastAsia"/>
                <w:color w:val="000000"/>
                <w:kern w:val="0"/>
                <w:sz w:val="18"/>
                <w:szCs w:val="18"/>
              </w:rPr>
              <w:t>年内不予注册，终身不予注册</w:t>
            </w:r>
          </w:p>
        </w:tc>
      </w:tr>
      <w:tr w14:paraId="61D6597F">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8" w:space="0"/>
              <w:right w:val="single" w:color="000000" w:sz="8" w:space="0"/>
            </w:tcBorders>
            <w:vAlign w:val="center"/>
          </w:tcPr>
          <w:p w14:paraId="695496D4">
            <w:pPr>
              <w:spacing w:line="320" w:lineRule="exact"/>
              <w:jc w:val="center"/>
              <w:rPr>
                <w:color w:val="000000"/>
                <w:kern w:val="0"/>
                <w:sz w:val="18"/>
                <w:szCs w:val="18"/>
              </w:rPr>
            </w:pPr>
            <w:r>
              <w:rPr>
                <w:rFonts w:hint="eastAsia"/>
                <w:color w:val="000000"/>
                <w:kern w:val="0"/>
                <w:sz w:val="18"/>
                <w:szCs w:val="18"/>
              </w:rPr>
              <w:t>裁量基准</w:t>
            </w:r>
          </w:p>
        </w:tc>
      </w:tr>
      <w:tr w14:paraId="53F7A85D">
        <w:tblPrEx>
          <w:tblCellMar>
            <w:top w:w="0" w:type="dxa"/>
            <w:left w:w="108" w:type="dxa"/>
            <w:bottom w:w="0" w:type="dxa"/>
            <w:right w:w="108" w:type="dxa"/>
          </w:tblCellMar>
        </w:tblPrEx>
        <w:trPr>
          <w:trHeight w:val="285" w:hRule="atLeast"/>
        </w:trPr>
        <w:tc>
          <w:tcPr>
            <w:tcW w:w="1030" w:type="dxa"/>
            <w:vMerge w:val="restart"/>
            <w:tcBorders>
              <w:top w:val="single" w:color="auto" w:sz="8" w:space="0"/>
              <w:left w:val="single" w:color="auto" w:sz="8" w:space="0"/>
              <w:right w:val="single" w:color="auto" w:sz="4" w:space="0"/>
            </w:tcBorders>
            <w:vAlign w:val="center"/>
          </w:tcPr>
          <w:p w14:paraId="6080ECE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8" w:space="0"/>
              <w:left w:val="nil"/>
              <w:bottom w:val="single" w:color="auto" w:sz="8" w:space="0"/>
              <w:right w:val="single" w:color="000000" w:sz="4" w:space="0"/>
            </w:tcBorders>
            <w:vAlign w:val="center"/>
          </w:tcPr>
          <w:p w14:paraId="69A61688">
            <w:pPr>
              <w:spacing w:line="320" w:lineRule="exact"/>
              <w:jc w:val="left"/>
              <w:rPr>
                <w:color w:val="000000"/>
                <w:kern w:val="0"/>
                <w:sz w:val="18"/>
                <w:szCs w:val="18"/>
              </w:rPr>
            </w:pPr>
            <w:r>
              <w:rPr>
                <w:rFonts w:hint="eastAsia"/>
                <w:color w:val="000000"/>
                <w:kern w:val="0"/>
                <w:sz w:val="18"/>
                <w:szCs w:val="18"/>
              </w:rPr>
              <w:t>仅违反一条强制性标准中的一般性条文</w:t>
            </w:r>
          </w:p>
        </w:tc>
        <w:tc>
          <w:tcPr>
            <w:tcW w:w="1080" w:type="dxa"/>
            <w:vMerge w:val="restart"/>
            <w:tcBorders>
              <w:top w:val="single" w:color="auto" w:sz="8" w:space="0"/>
              <w:left w:val="single" w:color="auto" w:sz="4" w:space="0"/>
              <w:right w:val="single" w:color="auto" w:sz="4" w:space="0"/>
            </w:tcBorders>
            <w:vAlign w:val="center"/>
          </w:tcPr>
          <w:p w14:paraId="177AE836">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8" w:space="0"/>
              <w:left w:val="nil"/>
              <w:bottom w:val="single" w:color="auto" w:sz="8" w:space="0"/>
              <w:right w:val="single" w:color="auto" w:sz="8" w:space="0"/>
            </w:tcBorders>
            <w:vAlign w:val="center"/>
          </w:tcPr>
          <w:p w14:paraId="4E9D55EC">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w:t>
            </w:r>
          </w:p>
        </w:tc>
      </w:tr>
      <w:tr w14:paraId="22ADFB8B">
        <w:tblPrEx>
          <w:tblCellMar>
            <w:top w:w="0" w:type="dxa"/>
            <w:left w:w="108" w:type="dxa"/>
            <w:bottom w:w="0" w:type="dxa"/>
            <w:right w:w="108" w:type="dxa"/>
          </w:tblCellMar>
        </w:tblPrEx>
        <w:trPr>
          <w:trHeight w:val="285" w:hRule="atLeast"/>
        </w:trPr>
        <w:tc>
          <w:tcPr>
            <w:tcW w:w="1030" w:type="dxa"/>
            <w:vMerge w:val="continue"/>
            <w:tcBorders>
              <w:left w:val="single" w:color="auto" w:sz="8" w:space="0"/>
              <w:right w:val="single" w:color="auto" w:sz="4" w:space="0"/>
            </w:tcBorders>
            <w:vAlign w:val="center"/>
          </w:tcPr>
          <w:p w14:paraId="54C47340">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6DE9E03F">
            <w:pPr>
              <w:spacing w:line="320" w:lineRule="exact"/>
              <w:jc w:val="left"/>
              <w:rPr>
                <w:color w:val="000000"/>
                <w:kern w:val="0"/>
                <w:sz w:val="18"/>
                <w:szCs w:val="18"/>
              </w:rPr>
            </w:pPr>
            <w:r>
              <w:rPr>
                <w:rFonts w:hint="eastAsia"/>
                <w:color w:val="000000"/>
                <w:kern w:val="0"/>
                <w:sz w:val="18"/>
                <w:szCs w:val="18"/>
              </w:rPr>
              <w:t>违反一条强制性标准中的强制性条文或违反多条强制性标准中的一般性条文</w:t>
            </w:r>
          </w:p>
        </w:tc>
        <w:tc>
          <w:tcPr>
            <w:tcW w:w="1080" w:type="dxa"/>
            <w:vMerge w:val="continue"/>
            <w:tcBorders>
              <w:left w:val="single" w:color="auto" w:sz="4" w:space="0"/>
              <w:right w:val="single" w:color="auto" w:sz="4" w:space="0"/>
            </w:tcBorders>
            <w:vAlign w:val="center"/>
          </w:tcPr>
          <w:p w14:paraId="012D39B6">
            <w:pPr>
              <w:spacing w:line="320" w:lineRule="exact"/>
              <w:jc w:val="left"/>
              <w:rPr>
                <w:color w:val="000000"/>
                <w:kern w:val="0"/>
                <w:sz w:val="18"/>
                <w:szCs w:val="18"/>
              </w:rPr>
            </w:pPr>
          </w:p>
        </w:tc>
        <w:tc>
          <w:tcPr>
            <w:tcW w:w="5820" w:type="dxa"/>
            <w:tcBorders>
              <w:top w:val="single" w:color="auto" w:sz="8" w:space="0"/>
              <w:left w:val="nil"/>
              <w:bottom w:val="single" w:color="auto" w:sz="8" w:space="0"/>
              <w:right w:val="single" w:color="auto" w:sz="8" w:space="0"/>
            </w:tcBorders>
            <w:vAlign w:val="center"/>
          </w:tcPr>
          <w:p w14:paraId="7B1C7C6E">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6</w:t>
            </w:r>
            <w:r>
              <w:rPr>
                <w:rFonts w:hint="eastAsia"/>
                <w:color w:val="000000"/>
                <w:kern w:val="0"/>
                <w:sz w:val="18"/>
                <w:szCs w:val="18"/>
              </w:rPr>
              <w:t>个月以上</w:t>
            </w:r>
            <w:r>
              <w:rPr>
                <w:color w:val="000000"/>
                <w:kern w:val="0"/>
                <w:sz w:val="18"/>
                <w:szCs w:val="18"/>
              </w:rPr>
              <w:t>9</w:t>
            </w:r>
            <w:r>
              <w:rPr>
                <w:rFonts w:hint="eastAsia"/>
                <w:color w:val="000000"/>
                <w:kern w:val="0"/>
                <w:sz w:val="18"/>
                <w:szCs w:val="18"/>
              </w:rPr>
              <w:t>个月以下</w:t>
            </w:r>
          </w:p>
        </w:tc>
      </w:tr>
      <w:tr w14:paraId="7C3B1070">
        <w:tblPrEx>
          <w:tblCellMar>
            <w:top w:w="0" w:type="dxa"/>
            <w:left w:w="108" w:type="dxa"/>
            <w:bottom w:w="0" w:type="dxa"/>
            <w:right w:w="108" w:type="dxa"/>
          </w:tblCellMar>
        </w:tblPrEx>
        <w:trPr>
          <w:trHeight w:val="285" w:hRule="atLeast"/>
        </w:trPr>
        <w:tc>
          <w:tcPr>
            <w:tcW w:w="1030" w:type="dxa"/>
            <w:vMerge w:val="continue"/>
            <w:tcBorders>
              <w:left w:val="single" w:color="auto" w:sz="8" w:space="0"/>
              <w:right w:val="single" w:color="auto" w:sz="4" w:space="0"/>
            </w:tcBorders>
            <w:vAlign w:val="center"/>
          </w:tcPr>
          <w:p w14:paraId="22467DDE">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324C9A13">
            <w:pPr>
              <w:spacing w:line="320" w:lineRule="exact"/>
              <w:jc w:val="left"/>
              <w:rPr>
                <w:color w:val="000000"/>
                <w:kern w:val="0"/>
                <w:sz w:val="18"/>
                <w:szCs w:val="18"/>
              </w:rPr>
            </w:pPr>
            <w:r>
              <w:rPr>
                <w:rFonts w:hint="eastAsia"/>
                <w:color w:val="000000"/>
                <w:kern w:val="0"/>
                <w:sz w:val="18"/>
                <w:szCs w:val="18"/>
              </w:rPr>
              <w:t>违反多条强制性条文的</w:t>
            </w:r>
          </w:p>
        </w:tc>
        <w:tc>
          <w:tcPr>
            <w:tcW w:w="1080" w:type="dxa"/>
            <w:vMerge w:val="continue"/>
            <w:tcBorders>
              <w:left w:val="single" w:color="auto" w:sz="4" w:space="0"/>
              <w:right w:val="single" w:color="auto" w:sz="4" w:space="0"/>
            </w:tcBorders>
            <w:vAlign w:val="center"/>
          </w:tcPr>
          <w:p w14:paraId="740E6ED1">
            <w:pPr>
              <w:spacing w:line="320" w:lineRule="exact"/>
              <w:jc w:val="left"/>
              <w:rPr>
                <w:color w:val="000000"/>
                <w:kern w:val="0"/>
                <w:sz w:val="18"/>
                <w:szCs w:val="18"/>
              </w:rPr>
            </w:pPr>
          </w:p>
        </w:tc>
        <w:tc>
          <w:tcPr>
            <w:tcW w:w="5820" w:type="dxa"/>
            <w:tcBorders>
              <w:top w:val="single" w:color="auto" w:sz="8" w:space="0"/>
              <w:left w:val="nil"/>
              <w:bottom w:val="single" w:color="auto" w:sz="8" w:space="0"/>
              <w:right w:val="single" w:color="auto" w:sz="8" w:space="0"/>
            </w:tcBorders>
            <w:vAlign w:val="center"/>
          </w:tcPr>
          <w:p w14:paraId="3F63375C">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9</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w:t>
            </w:r>
          </w:p>
        </w:tc>
      </w:tr>
      <w:tr w14:paraId="0DABC018">
        <w:tblPrEx>
          <w:tblCellMar>
            <w:top w:w="0" w:type="dxa"/>
            <w:left w:w="108" w:type="dxa"/>
            <w:bottom w:w="0" w:type="dxa"/>
            <w:right w:w="108" w:type="dxa"/>
          </w:tblCellMar>
        </w:tblPrEx>
        <w:trPr>
          <w:trHeight w:val="285" w:hRule="atLeast"/>
        </w:trPr>
        <w:tc>
          <w:tcPr>
            <w:tcW w:w="1030" w:type="dxa"/>
            <w:vMerge w:val="continue"/>
            <w:tcBorders>
              <w:left w:val="single" w:color="auto" w:sz="8" w:space="0"/>
              <w:right w:val="single" w:color="auto" w:sz="4" w:space="0"/>
            </w:tcBorders>
            <w:vAlign w:val="center"/>
          </w:tcPr>
          <w:p w14:paraId="7CBE4671">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184EE1CA">
            <w:pPr>
              <w:spacing w:line="320" w:lineRule="exact"/>
              <w:jc w:val="left"/>
              <w:rPr>
                <w:color w:val="000000"/>
                <w:kern w:val="0"/>
                <w:sz w:val="18"/>
                <w:szCs w:val="18"/>
              </w:rPr>
            </w:pPr>
            <w:r>
              <w:rPr>
                <w:rFonts w:hint="eastAsia"/>
                <w:color w:val="000000"/>
                <w:kern w:val="0"/>
                <w:sz w:val="18"/>
                <w:szCs w:val="18"/>
              </w:rPr>
              <w:t>造成一般安全事故的</w:t>
            </w:r>
            <w:r>
              <w:rPr>
                <w:color w:val="000000"/>
                <w:kern w:val="0"/>
                <w:sz w:val="18"/>
                <w:szCs w:val="18"/>
              </w:rPr>
              <w:t xml:space="preserve"> </w:t>
            </w:r>
          </w:p>
        </w:tc>
        <w:tc>
          <w:tcPr>
            <w:tcW w:w="1080" w:type="dxa"/>
            <w:vMerge w:val="continue"/>
            <w:tcBorders>
              <w:left w:val="single" w:color="auto" w:sz="4" w:space="0"/>
              <w:right w:val="single" w:color="auto" w:sz="4" w:space="0"/>
            </w:tcBorders>
            <w:vAlign w:val="center"/>
          </w:tcPr>
          <w:p w14:paraId="2DA07183">
            <w:pPr>
              <w:spacing w:line="320" w:lineRule="exact"/>
              <w:jc w:val="left"/>
              <w:rPr>
                <w:color w:val="000000"/>
                <w:kern w:val="0"/>
                <w:sz w:val="18"/>
                <w:szCs w:val="18"/>
              </w:rPr>
            </w:pPr>
          </w:p>
        </w:tc>
        <w:tc>
          <w:tcPr>
            <w:tcW w:w="5820" w:type="dxa"/>
            <w:tcBorders>
              <w:top w:val="single" w:color="auto" w:sz="8" w:space="0"/>
              <w:left w:val="nil"/>
              <w:bottom w:val="single" w:color="auto" w:sz="8" w:space="0"/>
              <w:right w:val="single" w:color="auto" w:sz="8" w:space="0"/>
            </w:tcBorders>
            <w:vAlign w:val="center"/>
          </w:tcPr>
          <w:p w14:paraId="1E7A3DD2">
            <w:pPr>
              <w:spacing w:line="320" w:lineRule="exact"/>
              <w:jc w:val="left"/>
              <w:rPr>
                <w:color w:val="000000"/>
                <w:kern w:val="0"/>
                <w:sz w:val="18"/>
                <w:szCs w:val="18"/>
              </w:rPr>
            </w:pPr>
            <w:r>
              <w:rPr>
                <w:rFonts w:hint="eastAsia"/>
                <w:color w:val="000000"/>
                <w:kern w:val="0"/>
                <w:sz w:val="18"/>
                <w:szCs w:val="18"/>
              </w:rPr>
              <w:t>吊销执业资格证书，</w:t>
            </w:r>
            <w:r>
              <w:rPr>
                <w:color w:val="000000"/>
                <w:kern w:val="0"/>
                <w:sz w:val="18"/>
                <w:szCs w:val="18"/>
              </w:rPr>
              <w:t>5</w:t>
            </w:r>
            <w:r>
              <w:rPr>
                <w:rFonts w:hint="eastAsia"/>
                <w:color w:val="000000"/>
                <w:kern w:val="0"/>
                <w:sz w:val="18"/>
                <w:szCs w:val="18"/>
              </w:rPr>
              <w:t>年内不予注册；</w:t>
            </w:r>
            <w:r>
              <w:rPr>
                <w:color w:val="000000"/>
                <w:kern w:val="0"/>
                <w:sz w:val="18"/>
                <w:szCs w:val="18"/>
              </w:rPr>
              <w:t xml:space="preserve"> </w:t>
            </w:r>
          </w:p>
        </w:tc>
      </w:tr>
      <w:tr w14:paraId="590514FB">
        <w:tblPrEx>
          <w:tblCellMar>
            <w:top w:w="0" w:type="dxa"/>
            <w:left w:w="108" w:type="dxa"/>
            <w:bottom w:w="0" w:type="dxa"/>
            <w:right w:w="108" w:type="dxa"/>
          </w:tblCellMar>
        </w:tblPrEx>
        <w:trPr>
          <w:trHeight w:val="285" w:hRule="atLeast"/>
        </w:trPr>
        <w:tc>
          <w:tcPr>
            <w:tcW w:w="1030" w:type="dxa"/>
            <w:tcBorders>
              <w:left w:val="single" w:color="auto" w:sz="8" w:space="0"/>
              <w:bottom w:val="single" w:color="auto" w:sz="8" w:space="0"/>
              <w:right w:val="single" w:color="auto" w:sz="4" w:space="0"/>
            </w:tcBorders>
            <w:vAlign w:val="center"/>
          </w:tcPr>
          <w:p w14:paraId="5DE34614">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3BC477F5">
            <w:pPr>
              <w:spacing w:line="320" w:lineRule="exact"/>
              <w:jc w:val="left"/>
              <w:rPr>
                <w:color w:val="000000"/>
                <w:kern w:val="0"/>
                <w:sz w:val="18"/>
                <w:szCs w:val="18"/>
              </w:rPr>
            </w:pPr>
            <w:r>
              <w:rPr>
                <w:rFonts w:hint="eastAsia"/>
                <w:color w:val="000000"/>
                <w:kern w:val="0"/>
                <w:sz w:val="18"/>
                <w:szCs w:val="18"/>
              </w:rPr>
              <w:t>造成重大安全事故</w:t>
            </w:r>
          </w:p>
        </w:tc>
        <w:tc>
          <w:tcPr>
            <w:tcW w:w="1080" w:type="dxa"/>
            <w:tcBorders>
              <w:left w:val="single" w:color="auto" w:sz="4" w:space="0"/>
              <w:bottom w:val="single" w:color="auto" w:sz="8" w:space="0"/>
              <w:right w:val="single" w:color="auto" w:sz="4" w:space="0"/>
            </w:tcBorders>
            <w:vAlign w:val="center"/>
          </w:tcPr>
          <w:p w14:paraId="26CD29A3">
            <w:pPr>
              <w:spacing w:line="320" w:lineRule="exact"/>
              <w:jc w:val="left"/>
              <w:rPr>
                <w:color w:val="000000"/>
                <w:kern w:val="0"/>
                <w:sz w:val="18"/>
                <w:szCs w:val="18"/>
              </w:rPr>
            </w:pPr>
          </w:p>
        </w:tc>
        <w:tc>
          <w:tcPr>
            <w:tcW w:w="5820" w:type="dxa"/>
            <w:tcBorders>
              <w:top w:val="single" w:color="auto" w:sz="8" w:space="0"/>
              <w:left w:val="nil"/>
              <w:bottom w:val="single" w:color="auto" w:sz="8" w:space="0"/>
              <w:right w:val="single" w:color="auto" w:sz="8" w:space="0"/>
            </w:tcBorders>
            <w:vAlign w:val="center"/>
          </w:tcPr>
          <w:p w14:paraId="3DBA0B4E">
            <w:pPr>
              <w:spacing w:line="320" w:lineRule="exact"/>
              <w:jc w:val="left"/>
              <w:rPr>
                <w:color w:val="000000"/>
                <w:kern w:val="0"/>
                <w:sz w:val="18"/>
                <w:szCs w:val="18"/>
              </w:rPr>
            </w:pPr>
            <w:r>
              <w:rPr>
                <w:rFonts w:hint="eastAsia"/>
                <w:color w:val="000000"/>
                <w:kern w:val="0"/>
                <w:sz w:val="18"/>
                <w:szCs w:val="18"/>
              </w:rPr>
              <w:t>吊销执业资格证书，终身不予注册；</w:t>
            </w:r>
            <w:r>
              <w:rPr>
                <w:color w:val="000000"/>
                <w:kern w:val="0"/>
                <w:sz w:val="18"/>
                <w:szCs w:val="18"/>
              </w:rPr>
              <w:t xml:space="preserve"> </w:t>
            </w:r>
          </w:p>
        </w:tc>
      </w:tr>
    </w:tbl>
    <w:p w14:paraId="512A77C8"/>
    <w:p w14:paraId="222C2D84"/>
    <w:p w14:paraId="542C0124"/>
    <w:p w14:paraId="04553B70"/>
    <w:p w14:paraId="25332478"/>
    <w:p w14:paraId="0C9B2FD0"/>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192F2423">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69B11DA">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5C17D0FF">
            <w:pPr>
              <w:jc w:val="left"/>
              <w:textAlignment w:val="center"/>
              <w:rPr>
                <w:rFonts w:eastAsia="仿宋_GB2312"/>
                <w:b/>
                <w:bCs/>
                <w:color w:val="000000"/>
                <w:kern w:val="0"/>
                <w:sz w:val="18"/>
                <w:szCs w:val="18"/>
              </w:rPr>
            </w:pPr>
            <w:r>
              <w:rPr>
                <w:rFonts w:eastAsia="仿宋_GB2312"/>
                <w:b/>
                <w:color w:val="000000"/>
                <w:kern w:val="0"/>
                <w:sz w:val="20"/>
              </w:rPr>
              <w:t>320217124000</w:t>
            </w:r>
          </w:p>
        </w:tc>
      </w:tr>
      <w:tr w14:paraId="3B7E637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D1278FE">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7C8AC433">
            <w:pPr>
              <w:spacing w:line="320" w:lineRule="exact"/>
              <w:jc w:val="left"/>
              <w:rPr>
                <w:color w:val="000000"/>
                <w:kern w:val="0"/>
                <w:sz w:val="18"/>
                <w:szCs w:val="18"/>
              </w:rPr>
            </w:pPr>
            <w:r>
              <w:rPr>
                <w:rFonts w:hint="eastAsia"/>
                <w:color w:val="000000"/>
                <w:kern w:val="0"/>
                <w:sz w:val="18"/>
                <w:szCs w:val="18"/>
              </w:rPr>
              <w:t>对以欺骗、贿赂等不正当手段取得勘察设计注册工程师注册证书的处罚</w:t>
            </w:r>
          </w:p>
        </w:tc>
      </w:tr>
      <w:tr w14:paraId="367EF339">
        <w:tblPrEx>
          <w:tblCellMar>
            <w:top w:w="0" w:type="dxa"/>
            <w:left w:w="108" w:type="dxa"/>
            <w:bottom w:w="0" w:type="dxa"/>
            <w:right w:w="108" w:type="dxa"/>
          </w:tblCellMar>
        </w:tblPrEx>
        <w:trPr>
          <w:trHeight w:val="2715" w:hRule="atLeast"/>
        </w:trPr>
        <w:tc>
          <w:tcPr>
            <w:tcW w:w="1056" w:type="dxa"/>
            <w:tcBorders>
              <w:top w:val="nil"/>
              <w:left w:val="single" w:color="auto" w:sz="8" w:space="0"/>
              <w:bottom w:val="single" w:color="auto" w:sz="4" w:space="0"/>
              <w:right w:val="single" w:color="auto" w:sz="4" w:space="0"/>
            </w:tcBorders>
            <w:vAlign w:val="center"/>
          </w:tcPr>
          <w:p w14:paraId="6DF5227C">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38572B9A">
            <w:pPr>
              <w:spacing w:line="32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type="textWrapping"/>
            </w: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取得资格证书并受聘于一个建设工程勘察、设计、施工、监理、招标代理、造价咨询等单位的人员，应当通过聘用单位提出注册申请，并可以向单位工商注册所在地的省、自治区、直辖市人民政府住房城乡建设主管部门提交申请材料；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日内将全部申请材料报审批部门。</w:t>
            </w:r>
            <w:r>
              <w:rPr>
                <w:color w:val="000000"/>
                <w:kern w:val="0"/>
                <w:sz w:val="18"/>
                <w:szCs w:val="18"/>
              </w:rPr>
              <w:br w:type="textWrapping"/>
            </w: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以欺骗、贿赂等不正当手段取得注册证书的，由负责审批的部门撤销其注册，</w:t>
            </w:r>
            <w:r>
              <w:rPr>
                <w:color w:val="000000"/>
                <w:kern w:val="0"/>
                <w:sz w:val="18"/>
                <w:szCs w:val="18"/>
              </w:rPr>
              <w:t>3</w:t>
            </w:r>
            <w:r>
              <w:rPr>
                <w:rFonts w:hint="eastAsia"/>
                <w:color w:val="000000"/>
                <w:kern w:val="0"/>
                <w:sz w:val="18"/>
                <w:szCs w:val="18"/>
              </w:rPr>
              <w:t>年内不得再次申请注册；并由县级以上人民政府建设主管部门或者有关部门处以罚款，其中没有违法所得的，处以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万元的罚款；构成犯罪的，依法追究刑事责任。</w:t>
            </w:r>
          </w:p>
        </w:tc>
      </w:tr>
      <w:tr w14:paraId="181869F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0220BA3">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3BD9992E">
            <w:pPr>
              <w:spacing w:line="320" w:lineRule="exact"/>
              <w:jc w:val="left"/>
              <w:rPr>
                <w:color w:val="000000"/>
                <w:kern w:val="0"/>
                <w:sz w:val="18"/>
                <w:szCs w:val="18"/>
              </w:rPr>
            </w:pPr>
            <w:r>
              <w:rPr>
                <w:rFonts w:hint="eastAsia"/>
                <w:color w:val="000000"/>
                <w:kern w:val="0"/>
                <w:sz w:val="18"/>
                <w:szCs w:val="18"/>
              </w:rPr>
              <w:t>罚款</w:t>
            </w:r>
          </w:p>
        </w:tc>
      </w:tr>
      <w:tr w14:paraId="714D42A5">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2E7A7A71">
            <w:pPr>
              <w:spacing w:line="320" w:lineRule="exact"/>
              <w:jc w:val="center"/>
              <w:rPr>
                <w:color w:val="000000"/>
                <w:kern w:val="0"/>
                <w:sz w:val="18"/>
                <w:szCs w:val="18"/>
              </w:rPr>
            </w:pPr>
            <w:r>
              <w:rPr>
                <w:rFonts w:hint="eastAsia"/>
                <w:color w:val="000000"/>
                <w:kern w:val="0"/>
                <w:sz w:val="18"/>
                <w:szCs w:val="18"/>
              </w:rPr>
              <w:t>裁量基准</w:t>
            </w:r>
          </w:p>
        </w:tc>
      </w:tr>
      <w:tr w14:paraId="397539CD">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203A791B">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682A3BF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3D480E21">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以欺骗、贿赂等不正当手段取得勘察设计注册工程师注册证书但积极配合调查的</w:t>
            </w:r>
          </w:p>
        </w:tc>
        <w:tc>
          <w:tcPr>
            <w:tcW w:w="1044" w:type="dxa"/>
            <w:vMerge w:val="restart"/>
            <w:tcBorders>
              <w:top w:val="nil"/>
              <w:left w:val="single" w:color="auto" w:sz="4" w:space="0"/>
              <w:bottom w:val="single" w:color="auto" w:sz="4" w:space="0"/>
              <w:right w:val="single" w:color="auto" w:sz="4" w:space="0"/>
            </w:tcBorders>
            <w:vAlign w:val="center"/>
          </w:tcPr>
          <w:p w14:paraId="2988858D">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6D5EDD6A">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24875284">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82466D7">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2A223A70">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35C8304">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以欺骗、贿赂等不正当手段取得勘察设计注册工程师注册证书且不配合调查的</w:t>
            </w:r>
          </w:p>
        </w:tc>
        <w:tc>
          <w:tcPr>
            <w:tcW w:w="1044" w:type="dxa"/>
            <w:vMerge w:val="continue"/>
            <w:tcBorders>
              <w:top w:val="nil"/>
              <w:left w:val="single" w:color="auto" w:sz="4" w:space="0"/>
              <w:bottom w:val="single" w:color="auto" w:sz="4" w:space="0"/>
              <w:right w:val="single" w:color="auto" w:sz="4" w:space="0"/>
            </w:tcBorders>
            <w:vAlign w:val="center"/>
          </w:tcPr>
          <w:p w14:paraId="7F542F64">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A1688CB">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42484A36">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EA41645">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74B449A9">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22867860">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以欺骗、贿赂等不正当手段取得勘察设计注册工程师注册证书但积极配合调查的</w:t>
            </w:r>
          </w:p>
        </w:tc>
        <w:tc>
          <w:tcPr>
            <w:tcW w:w="1044" w:type="dxa"/>
            <w:vMerge w:val="continue"/>
            <w:tcBorders>
              <w:top w:val="nil"/>
              <w:left w:val="single" w:color="auto" w:sz="4" w:space="0"/>
              <w:bottom w:val="single" w:color="auto" w:sz="4" w:space="0"/>
              <w:right w:val="single" w:color="auto" w:sz="4" w:space="0"/>
            </w:tcBorders>
            <w:vAlign w:val="center"/>
          </w:tcPr>
          <w:p w14:paraId="789998D4">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868DAFD">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0F62E463">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4482B67">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3D72F51">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411C7DCB">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以欺骗、贿赂等不正当手段取得勘察设计注册工程师注册证书且不配合调查的</w:t>
            </w:r>
          </w:p>
        </w:tc>
        <w:tc>
          <w:tcPr>
            <w:tcW w:w="1044" w:type="dxa"/>
            <w:vMerge w:val="continue"/>
            <w:tcBorders>
              <w:top w:val="nil"/>
              <w:left w:val="single" w:color="auto" w:sz="4" w:space="0"/>
              <w:bottom w:val="single" w:color="auto" w:sz="4" w:space="0"/>
              <w:right w:val="single" w:color="auto" w:sz="4" w:space="0"/>
            </w:tcBorders>
            <w:vAlign w:val="center"/>
          </w:tcPr>
          <w:p w14:paraId="7CF3FD7E">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BC97541">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79E69C91"/>
    <w:p w14:paraId="6180E47D"/>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4CE2FE94">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CF6E0BE">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7ED6AF6A">
            <w:pPr>
              <w:jc w:val="left"/>
              <w:textAlignment w:val="center"/>
              <w:rPr>
                <w:rFonts w:eastAsia="仿宋_GB2312"/>
                <w:b/>
                <w:bCs/>
                <w:color w:val="000000"/>
                <w:kern w:val="0"/>
                <w:sz w:val="18"/>
                <w:szCs w:val="18"/>
              </w:rPr>
            </w:pPr>
            <w:r>
              <w:rPr>
                <w:rFonts w:eastAsia="仿宋_GB2312"/>
                <w:color w:val="000000"/>
                <w:kern w:val="0"/>
                <w:sz w:val="20"/>
              </w:rPr>
              <w:t>320217125000</w:t>
            </w:r>
          </w:p>
        </w:tc>
      </w:tr>
      <w:tr w14:paraId="523DF86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A766B59">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48CDA452">
            <w:pPr>
              <w:spacing w:line="320" w:lineRule="exact"/>
              <w:jc w:val="left"/>
              <w:rPr>
                <w:color w:val="000000"/>
                <w:kern w:val="0"/>
                <w:sz w:val="18"/>
                <w:szCs w:val="18"/>
              </w:rPr>
            </w:pPr>
            <w:r>
              <w:rPr>
                <w:rFonts w:hint="eastAsia"/>
                <w:color w:val="000000"/>
                <w:kern w:val="0"/>
                <w:sz w:val="18"/>
                <w:szCs w:val="18"/>
              </w:rPr>
              <w:t>对勘察设计注册工程师以个人名义承接业务的处罚</w:t>
            </w:r>
          </w:p>
        </w:tc>
      </w:tr>
      <w:tr w14:paraId="2BA74BC9">
        <w:tblPrEx>
          <w:tblCellMar>
            <w:top w:w="0" w:type="dxa"/>
            <w:left w:w="108" w:type="dxa"/>
            <w:bottom w:w="0" w:type="dxa"/>
            <w:right w:w="108" w:type="dxa"/>
          </w:tblCellMar>
        </w:tblPrEx>
        <w:trPr>
          <w:trHeight w:val="2715" w:hRule="atLeast"/>
        </w:trPr>
        <w:tc>
          <w:tcPr>
            <w:tcW w:w="1056" w:type="dxa"/>
            <w:tcBorders>
              <w:top w:val="nil"/>
              <w:left w:val="single" w:color="auto" w:sz="8" w:space="0"/>
              <w:bottom w:val="single" w:color="auto" w:sz="4" w:space="0"/>
              <w:right w:val="single" w:color="auto" w:sz="4" w:space="0"/>
            </w:tcBorders>
            <w:vAlign w:val="center"/>
          </w:tcPr>
          <w:p w14:paraId="70352390">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4AF3A790">
            <w:pPr>
              <w:spacing w:line="320" w:lineRule="exact"/>
              <w:jc w:val="left"/>
              <w:rPr>
                <w:color w:val="000000"/>
                <w:kern w:val="0"/>
                <w:sz w:val="18"/>
                <w:szCs w:val="18"/>
              </w:rPr>
            </w:pP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取得资格证书的人员，应受聘于一个具有建设工程勘察、设计、施工、监理、</w:t>
            </w:r>
            <w:r>
              <w:fldChar w:fldCharType="begin"/>
            </w:r>
            <w:r>
              <w:instrText xml:space="preserve"> HYPERLINK "https://baike.so.com/doc/5422274-5660469.html" \t "https://baike.so.com/doc/_blank" </w:instrText>
            </w:r>
            <w:r>
              <w:fldChar w:fldCharType="separate"/>
            </w:r>
            <w:r>
              <w:rPr>
                <w:rFonts w:hint="eastAsia"/>
                <w:color w:val="000000"/>
                <w:kern w:val="0"/>
                <w:sz w:val="18"/>
                <w:szCs w:val="18"/>
              </w:rPr>
              <w:t>招标代理</w:t>
            </w:r>
            <w:r>
              <w:rPr>
                <w:rFonts w:hint="eastAsia"/>
                <w:color w:val="000000"/>
                <w:kern w:val="0"/>
                <w:sz w:val="18"/>
                <w:szCs w:val="18"/>
              </w:rPr>
              <w:fldChar w:fldCharType="end"/>
            </w:r>
            <w:r>
              <w:rPr>
                <w:rFonts w:hint="eastAsia"/>
                <w:color w:val="000000"/>
                <w:kern w:val="0"/>
                <w:sz w:val="18"/>
                <w:szCs w:val="18"/>
              </w:rPr>
              <w:t>、造价咨询等一项或多项资质的单位，经注册后方可从事相应的执业活动。但从事建设工程勘察、设计执业活动的，应受聘并注册于一个具有建设工程勘察、设计资质的单位。（禁则错误，已修改）</w:t>
            </w:r>
            <w:r>
              <w:rPr>
                <w:color w:val="000000"/>
                <w:kern w:val="0"/>
                <w:sz w:val="18"/>
                <w:szCs w:val="18"/>
              </w:rPr>
              <w:br w:type="textWrapping"/>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（一）以个人名义承接业务的。</w:t>
            </w:r>
          </w:p>
        </w:tc>
      </w:tr>
      <w:tr w14:paraId="43FA3523">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0494C25">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435197BB">
            <w:pPr>
              <w:spacing w:line="320" w:lineRule="exact"/>
              <w:jc w:val="left"/>
              <w:rPr>
                <w:color w:val="000000"/>
                <w:kern w:val="0"/>
                <w:sz w:val="18"/>
                <w:szCs w:val="18"/>
              </w:rPr>
            </w:pPr>
            <w:r>
              <w:rPr>
                <w:rFonts w:hint="eastAsia"/>
                <w:color w:val="000000"/>
                <w:kern w:val="0"/>
                <w:sz w:val="18"/>
                <w:szCs w:val="18"/>
              </w:rPr>
              <w:t>罚款</w:t>
            </w:r>
          </w:p>
        </w:tc>
      </w:tr>
      <w:tr w14:paraId="49C9C0BB">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3355D308">
            <w:pPr>
              <w:spacing w:line="320" w:lineRule="exact"/>
              <w:jc w:val="center"/>
              <w:rPr>
                <w:color w:val="000000"/>
                <w:kern w:val="0"/>
                <w:sz w:val="18"/>
                <w:szCs w:val="18"/>
              </w:rPr>
            </w:pPr>
            <w:r>
              <w:rPr>
                <w:rFonts w:hint="eastAsia"/>
                <w:color w:val="000000"/>
                <w:kern w:val="0"/>
                <w:sz w:val="18"/>
                <w:szCs w:val="18"/>
              </w:rPr>
              <w:t>裁量基准</w:t>
            </w:r>
          </w:p>
        </w:tc>
      </w:tr>
      <w:tr w14:paraId="6F733C42">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17EB85CD">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0E9DFFEE">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4F193613">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val="restart"/>
            <w:tcBorders>
              <w:top w:val="nil"/>
              <w:left w:val="single" w:color="auto" w:sz="4" w:space="0"/>
              <w:bottom w:val="single" w:color="auto" w:sz="4" w:space="0"/>
              <w:right w:val="single" w:color="auto" w:sz="4" w:space="0"/>
            </w:tcBorders>
            <w:vAlign w:val="center"/>
          </w:tcPr>
          <w:p w14:paraId="1E7DAD39">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2823AD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73C1CA4A">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8D3A67C">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417BD7A8">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1643156">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val="continue"/>
            <w:tcBorders>
              <w:top w:val="nil"/>
              <w:left w:val="single" w:color="auto" w:sz="4" w:space="0"/>
              <w:bottom w:val="single" w:color="auto" w:sz="4" w:space="0"/>
              <w:right w:val="single" w:color="auto" w:sz="4" w:space="0"/>
            </w:tcBorders>
            <w:vAlign w:val="center"/>
          </w:tcPr>
          <w:p w14:paraId="662B157D">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A0BB14B">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3A274BC">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DCC5C79">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62A3F683">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08E0C4EC">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val="continue"/>
            <w:tcBorders>
              <w:top w:val="nil"/>
              <w:left w:val="single" w:color="auto" w:sz="4" w:space="0"/>
              <w:bottom w:val="single" w:color="auto" w:sz="4" w:space="0"/>
              <w:right w:val="single" w:color="auto" w:sz="4" w:space="0"/>
            </w:tcBorders>
            <w:vAlign w:val="center"/>
          </w:tcPr>
          <w:p w14:paraId="722BF9DA">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D05749A">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53388E17">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19AC7B0">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6043679">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39F11EB4">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val="continue"/>
            <w:tcBorders>
              <w:top w:val="nil"/>
              <w:left w:val="single" w:color="auto" w:sz="4" w:space="0"/>
              <w:bottom w:val="single" w:color="auto" w:sz="4" w:space="0"/>
              <w:right w:val="single" w:color="auto" w:sz="4" w:space="0"/>
            </w:tcBorders>
            <w:vAlign w:val="center"/>
          </w:tcPr>
          <w:p w14:paraId="7E0BDD6D">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805143D">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03D0B873"/>
    <w:p w14:paraId="2922E72D"/>
    <w:p w14:paraId="546E9A2F"/>
    <w:p w14:paraId="3B80911A"/>
    <w:p w14:paraId="5783348F"/>
    <w:p w14:paraId="1FDE076E"/>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7DB6691F">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F9B75DD">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736E61F5">
            <w:pPr>
              <w:jc w:val="left"/>
              <w:textAlignment w:val="center"/>
              <w:rPr>
                <w:rFonts w:eastAsia="仿宋_GB2312"/>
                <w:b/>
                <w:bCs/>
                <w:color w:val="000000"/>
                <w:kern w:val="0"/>
                <w:sz w:val="18"/>
                <w:szCs w:val="18"/>
              </w:rPr>
            </w:pPr>
            <w:r>
              <w:rPr>
                <w:rFonts w:eastAsia="仿宋_GB2312"/>
                <w:b/>
                <w:color w:val="000000"/>
                <w:kern w:val="0"/>
                <w:sz w:val="20"/>
              </w:rPr>
              <w:t>320217126000</w:t>
            </w:r>
          </w:p>
        </w:tc>
      </w:tr>
      <w:tr w14:paraId="3787AF7F">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265832E">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2527FBBD">
            <w:pPr>
              <w:spacing w:line="320" w:lineRule="exact"/>
              <w:jc w:val="left"/>
              <w:rPr>
                <w:color w:val="000000"/>
                <w:kern w:val="0"/>
                <w:sz w:val="18"/>
                <w:szCs w:val="18"/>
              </w:rPr>
            </w:pPr>
            <w:r>
              <w:rPr>
                <w:rFonts w:hint="eastAsia"/>
                <w:color w:val="000000"/>
                <w:kern w:val="0"/>
                <w:sz w:val="18"/>
                <w:szCs w:val="18"/>
              </w:rPr>
              <w:t>对涂改、倒卖、出租、出借或者以其他形式非法转让勘察设计注册工程师注册证书或者执业印章的处罚</w:t>
            </w:r>
          </w:p>
        </w:tc>
      </w:tr>
      <w:tr w14:paraId="268C27E9">
        <w:tblPrEx>
          <w:tblCellMar>
            <w:top w:w="0" w:type="dxa"/>
            <w:left w:w="108" w:type="dxa"/>
            <w:bottom w:w="0" w:type="dxa"/>
            <w:right w:w="108" w:type="dxa"/>
          </w:tblCellMar>
        </w:tblPrEx>
        <w:trPr>
          <w:trHeight w:val="1785" w:hRule="atLeast"/>
        </w:trPr>
        <w:tc>
          <w:tcPr>
            <w:tcW w:w="1056" w:type="dxa"/>
            <w:tcBorders>
              <w:top w:val="nil"/>
              <w:left w:val="single" w:color="auto" w:sz="8" w:space="0"/>
              <w:bottom w:val="single" w:color="auto" w:sz="4" w:space="0"/>
              <w:right w:val="single" w:color="auto" w:sz="4" w:space="0"/>
            </w:tcBorders>
            <w:vAlign w:val="center"/>
          </w:tcPr>
          <w:p w14:paraId="7B2ABD96">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22308529">
            <w:pPr>
              <w:spacing w:line="320" w:lineRule="exact"/>
              <w:jc w:val="left"/>
              <w:rPr>
                <w:color w:val="000000"/>
                <w:kern w:val="0"/>
                <w:sz w:val="18"/>
                <w:szCs w:val="18"/>
              </w:rPr>
            </w:pP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注册工程师应当履行下列义务：</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（七）不得涂改、出租、出借或者以其他形式非法转让注册证书或者执业印章。</w:t>
            </w:r>
            <w:r>
              <w:rPr>
                <w:color w:val="000000"/>
                <w:kern w:val="0"/>
                <w:sz w:val="18"/>
                <w:szCs w:val="18"/>
              </w:rPr>
              <w:br w:type="textWrapping"/>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（二）涂改、出租、出借或者以形式非法转让注册证书或者执业印章的。</w:t>
            </w:r>
          </w:p>
        </w:tc>
      </w:tr>
      <w:tr w14:paraId="66D3737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F2BC752">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39640FC4">
            <w:pPr>
              <w:spacing w:line="320" w:lineRule="exact"/>
              <w:jc w:val="left"/>
              <w:rPr>
                <w:color w:val="000000"/>
                <w:kern w:val="0"/>
                <w:sz w:val="18"/>
                <w:szCs w:val="18"/>
              </w:rPr>
            </w:pPr>
            <w:r>
              <w:rPr>
                <w:rFonts w:hint="eastAsia"/>
                <w:color w:val="000000"/>
                <w:kern w:val="0"/>
                <w:sz w:val="18"/>
                <w:szCs w:val="18"/>
              </w:rPr>
              <w:t>警告，罚款</w:t>
            </w:r>
          </w:p>
        </w:tc>
      </w:tr>
      <w:tr w14:paraId="6E20CB61">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1C567C0F">
            <w:pPr>
              <w:spacing w:line="320" w:lineRule="exact"/>
              <w:jc w:val="center"/>
              <w:rPr>
                <w:color w:val="000000"/>
                <w:kern w:val="0"/>
                <w:sz w:val="18"/>
                <w:szCs w:val="18"/>
              </w:rPr>
            </w:pPr>
            <w:r>
              <w:rPr>
                <w:rFonts w:hint="eastAsia"/>
                <w:color w:val="000000"/>
                <w:kern w:val="0"/>
                <w:sz w:val="18"/>
                <w:szCs w:val="18"/>
              </w:rPr>
              <w:t>裁量基准</w:t>
            </w:r>
          </w:p>
        </w:tc>
      </w:tr>
      <w:tr w14:paraId="50A4E9D5">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4B901212">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27E6023F">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color="auto" w:sz="4" w:space="0"/>
              <w:right w:val="single" w:color="auto" w:sz="4" w:space="0"/>
            </w:tcBorders>
            <w:vAlign w:val="center"/>
          </w:tcPr>
          <w:p w14:paraId="61F7E647">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0A7CF4B7">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6EFAEE9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73F3AF6F">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99DD2F8">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0018C4B3">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0B158E08">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12877A7F">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A1A69D0">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6B4741D9">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CE65436">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3E1EE342">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63672B97">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5CF9EF40">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9F893B3">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0E3BD0A7">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F36E27A">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1712073F">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157F0BA6">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308C80AB">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0D4C110">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5D80D4DE"/>
    <w:p w14:paraId="450FE2AF"/>
    <w:p w14:paraId="07CB3262"/>
    <w:p w14:paraId="1E3B3AFF"/>
    <w:p w14:paraId="7B3AD079"/>
    <w:p w14:paraId="54E568A8"/>
    <w:p w14:paraId="26F2FE1C"/>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52B5A731">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C1F760A">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35CC995A">
            <w:pPr>
              <w:jc w:val="left"/>
              <w:textAlignment w:val="center"/>
              <w:rPr>
                <w:rFonts w:eastAsia="仿宋_GB2312"/>
                <w:b/>
                <w:bCs/>
                <w:color w:val="000000"/>
                <w:kern w:val="0"/>
                <w:sz w:val="18"/>
                <w:szCs w:val="18"/>
              </w:rPr>
            </w:pPr>
            <w:r>
              <w:rPr>
                <w:rFonts w:eastAsia="仿宋_GB2312"/>
                <w:b/>
                <w:color w:val="000000"/>
                <w:kern w:val="0"/>
                <w:sz w:val="20"/>
              </w:rPr>
              <w:t>320217127000</w:t>
            </w:r>
          </w:p>
        </w:tc>
      </w:tr>
      <w:tr w14:paraId="3F2A891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A70149C">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3467EBEA">
            <w:pPr>
              <w:spacing w:line="320" w:lineRule="exact"/>
              <w:rPr>
                <w:color w:val="000000"/>
                <w:kern w:val="0"/>
                <w:sz w:val="18"/>
                <w:szCs w:val="18"/>
              </w:rPr>
            </w:pPr>
            <w:r>
              <w:rPr>
                <w:rFonts w:hint="eastAsia"/>
                <w:color w:val="000000"/>
                <w:kern w:val="0"/>
                <w:sz w:val="18"/>
                <w:szCs w:val="18"/>
              </w:rPr>
              <w:t>对注册工程师在执业活动中泄露执业中应当保守的秘密并造成严重后果的处罚</w:t>
            </w:r>
          </w:p>
        </w:tc>
      </w:tr>
      <w:tr w14:paraId="156C3F69">
        <w:tblPrEx>
          <w:tblCellMar>
            <w:top w:w="0" w:type="dxa"/>
            <w:left w:w="108" w:type="dxa"/>
            <w:bottom w:w="0" w:type="dxa"/>
            <w:right w:w="108" w:type="dxa"/>
          </w:tblCellMar>
        </w:tblPrEx>
        <w:trPr>
          <w:trHeight w:val="1290" w:hRule="atLeast"/>
        </w:trPr>
        <w:tc>
          <w:tcPr>
            <w:tcW w:w="1056" w:type="dxa"/>
            <w:tcBorders>
              <w:top w:val="nil"/>
              <w:left w:val="single" w:color="auto" w:sz="8" w:space="0"/>
              <w:bottom w:val="single" w:color="auto" w:sz="4" w:space="0"/>
              <w:right w:val="single" w:color="auto" w:sz="4" w:space="0"/>
            </w:tcBorders>
            <w:vAlign w:val="center"/>
          </w:tcPr>
          <w:p w14:paraId="4B429E2C">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3294372B">
            <w:pPr>
              <w:spacing w:line="320" w:lineRule="exact"/>
              <w:rPr>
                <w:color w:val="000000"/>
                <w:kern w:val="0"/>
                <w:sz w:val="18"/>
                <w:szCs w:val="18"/>
              </w:rPr>
            </w:pPr>
            <w:r>
              <w:rPr>
                <w:rFonts w:hint="eastAsia"/>
                <w:color w:val="000000"/>
                <w:kern w:val="0"/>
                <w:sz w:val="18"/>
                <w:szCs w:val="18"/>
              </w:rPr>
              <w:t>【规章】《勘察设计注册工程师管理规定》</w:t>
            </w:r>
            <w:r>
              <w:rPr>
                <w:color w:val="000000"/>
                <w:kern w:val="0"/>
                <w:sz w:val="18"/>
                <w:szCs w:val="18"/>
              </w:rPr>
              <w:t>（</w:t>
            </w:r>
            <w:r>
              <w:rPr>
                <w:rFonts w:hint="eastAsia"/>
                <w:color w:val="000000"/>
                <w:kern w:val="0"/>
                <w:sz w:val="18"/>
                <w:szCs w:val="18"/>
              </w:rPr>
              <w:t>建设部第</w:t>
            </w:r>
            <w:r>
              <w:rPr>
                <w:color w:val="000000"/>
                <w:kern w:val="0"/>
                <w:sz w:val="18"/>
                <w:szCs w:val="18"/>
              </w:rPr>
              <w:t>137</w:t>
            </w:r>
            <w:r>
              <w:rPr>
                <w:rFonts w:hint="eastAsia"/>
                <w:color w:val="000000"/>
                <w:kern w:val="0"/>
                <w:sz w:val="18"/>
                <w:szCs w:val="18"/>
              </w:rPr>
              <w:t>号令）</w:t>
            </w:r>
            <w:r>
              <w:rPr>
                <w:color w:val="000000"/>
                <w:kern w:val="0"/>
                <w:sz w:val="18"/>
                <w:szCs w:val="18"/>
              </w:rPr>
              <w:br w:type="textWrapping"/>
            </w:r>
            <w:r>
              <w:rPr>
                <w:rFonts w:hint="eastAsia"/>
                <w:color w:val="000000"/>
                <w:kern w:val="0"/>
                <w:sz w:val="18"/>
                <w:szCs w:val="18"/>
              </w:rPr>
              <w:t>第三十条　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倍以上但不超过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br w:type="textWrapping"/>
            </w:r>
            <w:r>
              <w:rPr>
                <w:rFonts w:hint="eastAsia"/>
                <w:color w:val="000000"/>
                <w:kern w:val="0"/>
                <w:sz w:val="18"/>
                <w:szCs w:val="18"/>
              </w:rPr>
              <w:t>　　（三）泄露执业中应当保守的秘密并造成严重后果的；</w:t>
            </w:r>
          </w:p>
        </w:tc>
      </w:tr>
      <w:tr w14:paraId="32BDA88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0BA0D5F">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5987B746">
            <w:pPr>
              <w:spacing w:line="320" w:lineRule="exact"/>
              <w:jc w:val="left"/>
              <w:rPr>
                <w:color w:val="000000"/>
                <w:kern w:val="0"/>
                <w:sz w:val="18"/>
                <w:szCs w:val="18"/>
              </w:rPr>
            </w:pPr>
            <w:r>
              <w:rPr>
                <w:rFonts w:hint="eastAsia"/>
                <w:color w:val="000000"/>
                <w:kern w:val="0"/>
                <w:sz w:val="18"/>
                <w:szCs w:val="18"/>
              </w:rPr>
              <w:t>警告，罚款</w:t>
            </w:r>
          </w:p>
        </w:tc>
      </w:tr>
      <w:tr w14:paraId="74B3054B">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05110A8E">
            <w:pPr>
              <w:spacing w:line="320" w:lineRule="exact"/>
              <w:jc w:val="center"/>
              <w:rPr>
                <w:color w:val="000000"/>
                <w:kern w:val="0"/>
                <w:sz w:val="18"/>
                <w:szCs w:val="18"/>
              </w:rPr>
            </w:pPr>
            <w:r>
              <w:rPr>
                <w:rFonts w:hint="eastAsia"/>
                <w:color w:val="000000"/>
                <w:kern w:val="0"/>
                <w:sz w:val="18"/>
                <w:szCs w:val="18"/>
              </w:rPr>
              <w:t>裁量基准</w:t>
            </w:r>
          </w:p>
        </w:tc>
      </w:tr>
      <w:tr w14:paraId="173075DA">
        <w:tblPrEx>
          <w:tblCellMar>
            <w:top w:w="0" w:type="dxa"/>
            <w:left w:w="108" w:type="dxa"/>
            <w:bottom w:w="0" w:type="dxa"/>
            <w:right w:w="108" w:type="dxa"/>
          </w:tblCellMar>
        </w:tblPrEx>
        <w:trPr>
          <w:trHeight w:val="822" w:hRule="atLeast"/>
        </w:trPr>
        <w:tc>
          <w:tcPr>
            <w:tcW w:w="1056" w:type="dxa"/>
            <w:vMerge w:val="restart"/>
            <w:tcBorders>
              <w:top w:val="nil"/>
              <w:left w:val="single" w:color="auto" w:sz="8" w:space="0"/>
              <w:bottom w:val="single" w:color="000000" w:sz="4" w:space="0"/>
              <w:right w:val="nil"/>
            </w:tcBorders>
            <w:vAlign w:val="center"/>
          </w:tcPr>
          <w:p w14:paraId="2AD5C0CF">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000000" w:sz="4" w:space="0"/>
              <w:right w:val="single" w:color="auto" w:sz="4" w:space="0"/>
            </w:tcBorders>
            <w:vAlign w:val="center"/>
          </w:tcPr>
          <w:p w14:paraId="157E893D">
            <w:pPr>
              <w:spacing w:line="320" w:lineRule="exact"/>
              <w:jc w:val="left"/>
              <w:rPr>
                <w:color w:val="000000"/>
                <w:kern w:val="0"/>
                <w:sz w:val="18"/>
                <w:szCs w:val="18"/>
              </w:rPr>
            </w:pPr>
            <w:r>
              <w:rPr>
                <w:rFonts w:hint="eastAsia"/>
                <w:color w:val="000000"/>
                <w:kern w:val="0"/>
                <w:sz w:val="18"/>
                <w:szCs w:val="18"/>
              </w:rPr>
              <w:t>泄露执业中应当保守的秘密并造成严重后果的，主动停止违法活动的</w:t>
            </w:r>
          </w:p>
        </w:tc>
        <w:tc>
          <w:tcPr>
            <w:tcW w:w="4600" w:type="dxa"/>
            <w:tcBorders>
              <w:top w:val="nil"/>
              <w:left w:val="nil"/>
              <w:bottom w:val="single" w:color="auto" w:sz="4" w:space="0"/>
              <w:right w:val="single" w:color="auto" w:sz="4" w:space="0"/>
            </w:tcBorders>
            <w:vAlign w:val="center"/>
          </w:tcPr>
          <w:p w14:paraId="7EA1F46B">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restart"/>
            <w:tcBorders>
              <w:top w:val="nil"/>
              <w:left w:val="single" w:color="auto" w:sz="4" w:space="0"/>
              <w:bottom w:val="single" w:color="auto" w:sz="4" w:space="0"/>
              <w:right w:val="single" w:color="auto" w:sz="4" w:space="0"/>
            </w:tcBorders>
            <w:vAlign w:val="center"/>
          </w:tcPr>
          <w:p w14:paraId="71E32D38">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single" w:color="auto" w:sz="4" w:space="0"/>
              <w:bottom w:val="single" w:color="auto" w:sz="4" w:space="0"/>
              <w:right w:val="single" w:color="auto" w:sz="8" w:space="0"/>
            </w:tcBorders>
            <w:vAlign w:val="center"/>
          </w:tcPr>
          <w:p w14:paraId="5A27C7AF">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元以下的罚款</w:t>
            </w:r>
          </w:p>
        </w:tc>
      </w:tr>
      <w:tr w14:paraId="03153322">
        <w:tblPrEx>
          <w:tblCellMar>
            <w:top w:w="0" w:type="dxa"/>
            <w:left w:w="108" w:type="dxa"/>
            <w:bottom w:w="0" w:type="dxa"/>
            <w:right w:w="108" w:type="dxa"/>
          </w:tblCellMar>
        </w:tblPrEx>
        <w:trPr>
          <w:trHeight w:val="822" w:hRule="atLeast"/>
        </w:trPr>
        <w:tc>
          <w:tcPr>
            <w:tcW w:w="1056" w:type="dxa"/>
            <w:vMerge w:val="continue"/>
            <w:tcBorders>
              <w:top w:val="nil"/>
              <w:left w:val="single" w:color="auto" w:sz="8" w:space="0"/>
              <w:bottom w:val="single" w:color="000000" w:sz="4" w:space="0"/>
              <w:right w:val="nil"/>
            </w:tcBorders>
            <w:vAlign w:val="center"/>
          </w:tcPr>
          <w:p w14:paraId="0BE08949">
            <w:pPr>
              <w:spacing w:line="320" w:lineRule="exact"/>
              <w:jc w:val="left"/>
              <w:rPr>
                <w:color w:val="000000"/>
                <w:kern w:val="0"/>
                <w:sz w:val="18"/>
                <w:szCs w:val="18"/>
              </w:rPr>
            </w:pPr>
          </w:p>
        </w:tc>
        <w:tc>
          <w:tcPr>
            <w:tcW w:w="1540" w:type="dxa"/>
            <w:vMerge w:val="continue"/>
            <w:tcBorders>
              <w:top w:val="nil"/>
              <w:left w:val="single" w:color="auto" w:sz="4" w:space="0"/>
              <w:bottom w:val="single" w:color="000000" w:sz="4" w:space="0"/>
              <w:right w:val="single" w:color="auto" w:sz="4" w:space="0"/>
            </w:tcBorders>
            <w:vAlign w:val="center"/>
          </w:tcPr>
          <w:p w14:paraId="602C1075">
            <w:pPr>
              <w:spacing w:line="320" w:lineRule="exact"/>
              <w:jc w:val="left"/>
              <w:rPr>
                <w:color w:val="000000"/>
                <w:kern w:val="0"/>
                <w:sz w:val="18"/>
                <w:szCs w:val="18"/>
              </w:rPr>
            </w:pPr>
          </w:p>
        </w:tc>
        <w:tc>
          <w:tcPr>
            <w:tcW w:w="4600" w:type="dxa"/>
            <w:tcBorders>
              <w:top w:val="single" w:color="auto" w:sz="4" w:space="0"/>
              <w:left w:val="nil"/>
              <w:bottom w:val="single" w:color="auto" w:sz="4" w:space="0"/>
              <w:right w:val="single" w:color="auto" w:sz="4" w:space="0"/>
            </w:tcBorders>
            <w:vAlign w:val="center"/>
          </w:tcPr>
          <w:p w14:paraId="70C07E21">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val="continue"/>
            <w:tcBorders>
              <w:top w:val="single" w:color="auto" w:sz="4" w:space="0"/>
              <w:left w:val="single" w:color="auto" w:sz="4" w:space="0"/>
              <w:right w:val="single" w:color="auto" w:sz="4" w:space="0"/>
            </w:tcBorders>
            <w:vAlign w:val="center"/>
          </w:tcPr>
          <w:p w14:paraId="7D1C4578">
            <w:pPr>
              <w:spacing w:line="320" w:lineRule="exact"/>
              <w:jc w:val="center"/>
              <w:rPr>
                <w:color w:val="000000"/>
                <w:kern w:val="0"/>
                <w:sz w:val="18"/>
                <w:szCs w:val="18"/>
              </w:rPr>
            </w:pPr>
          </w:p>
        </w:tc>
        <w:tc>
          <w:tcPr>
            <w:tcW w:w="5820" w:type="dxa"/>
            <w:tcBorders>
              <w:top w:val="single" w:color="auto" w:sz="4" w:space="0"/>
              <w:left w:val="nil"/>
              <w:bottom w:val="single" w:color="auto" w:sz="4" w:space="0"/>
              <w:right w:val="single" w:color="auto" w:sz="8" w:space="0"/>
            </w:tcBorders>
            <w:vAlign w:val="center"/>
          </w:tcPr>
          <w:p w14:paraId="62D4C52F">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2</w:t>
            </w:r>
            <w:r>
              <w:rPr>
                <w:rFonts w:hint="eastAsia"/>
                <w:color w:val="000000"/>
                <w:kern w:val="0"/>
                <w:sz w:val="18"/>
                <w:szCs w:val="18"/>
              </w:rPr>
              <w:t>倍以上但不超过</w:t>
            </w:r>
            <w:r>
              <w:rPr>
                <w:color w:val="000000"/>
                <w:kern w:val="0"/>
                <w:sz w:val="18"/>
                <w:szCs w:val="18"/>
              </w:rPr>
              <w:t>2</w:t>
            </w:r>
            <w:r>
              <w:rPr>
                <w:rFonts w:hint="eastAsia"/>
                <w:color w:val="000000"/>
                <w:kern w:val="0"/>
                <w:sz w:val="18"/>
                <w:szCs w:val="18"/>
              </w:rPr>
              <w:t>万元的罚款</w:t>
            </w:r>
          </w:p>
        </w:tc>
      </w:tr>
      <w:tr w14:paraId="33854E0E">
        <w:tblPrEx>
          <w:tblCellMar>
            <w:top w:w="0" w:type="dxa"/>
            <w:left w:w="108" w:type="dxa"/>
            <w:bottom w:w="0" w:type="dxa"/>
            <w:right w:w="108" w:type="dxa"/>
          </w:tblCellMar>
        </w:tblPrEx>
        <w:trPr>
          <w:trHeight w:val="822" w:hRule="atLeast"/>
        </w:trPr>
        <w:tc>
          <w:tcPr>
            <w:tcW w:w="1056" w:type="dxa"/>
            <w:vMerge w:val="continue"/>
            <w:tcBorders>
              <w:top w:val="nil"/>
              <w:left w:val="single" w:color="auto" w:sz="8" w:space="0"/>
              <w:bottom w:val="single" w:color="000000" w:sz="4" w:space="0"/>
              <w:right w:val="nil"/>
            </w:tcBorders>
            <w:vAlign w:val="center"/>
          </w:tcPr>
          <w:p w14:paraId="6685CF01">
            <w:pPr>
              <w:spacing w:line="320" w:lineRule="exact"/>
              <w:jc w:val="left"/>
              <w:rPr>
                <w:color w:val="000000"/>
                <w:kern w:val="0"/>
                <w:sz w:val="18"/>
                <w:szCs w:val="18"/>
              </w:rPr>
            </w:pPr>
          </w:p>
        </w:tc>
        <w:tc>
          <w:tcPr>
            <w:tcW w:w="1540" w:type="dxa"/>
            <w:vMerge w:val="restart"/>
            <w:tcBorders>
              <w:top w:val="nil"/>
              <w:left w:val="single" w:color="auto" w:sz="4" w:space="0"/>
              <w:bottom w:val="single" w:color="000000" w:sz="4" w:space="0"/>
              <w:right w:val="single" w:color="auto" w:sz="4" w:space="0"/>
            </w:tcBorders>
            <w:vAlign w:val="center"/>
          </w:tcPr>
          <w:p w14:paraId="414C50B8">
            <w:pPr>
              <w:spacing w:line="320" w:lineRule="exact"/>
              <w:jc w:val="left"/>
              <w:rPr>
                <w:color w:val="000000"/>
                <w:kern w:val="0"/>
                <w:sz w:val="18"/>
                <w:szCs w:val="18"/>
              </w:rPr>
            </w:pPr>
            <w:r>
              <w:rPr>
                <w:rFonts w:hint="eastAsia"/>
                <w:color w:val="000000"/>
                <w:kern w:val="0"/>
                <w:sz w:val="18"/>
                <w:szCs w:val="18"/>
              </w:rPr>
              <w:t>泄露执业中应当保守的秘密并造成严重后果的，拒不停止违法活动的</w:t>
            </w:r>
          </w:p>
        </w:tc>
        <w:tc>
          <w:tcPr>
            <w:tcW w:w="4600" w:type="dxa"/>
            <w:tcBorders>
              <w:top w:val="nil"/>
              <w:left w:val="nil"/>
              <w:bottom w:val="single" w:color="auto" w:sz="4" w:space="0"/>
              <w:right w:val="single" w:color="auto" w:sz="4" w:space="0"/>
            </w:tcBorders>
            <w:vAlign w:val="center"/>
          </w:tcPr>
          <w:p w14:paraId="36FBE568">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continue"/>
            <w:tcBorders>
              <w:left w:val="single" w:color="auto" w:sz="4" w:space="0"/>
              <w:right w:val="single" w:color="auto" w:sz="4" w:space="0"/>
            </w:tcBorders>
            <w:vAlign w:val="center"/>
          </w:tcPr>
          <w:p w14:paraId="3A9B2613">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34D1C49">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171A3DF6">
        <w:tblPrEx>
          <w:tblCellMar>
            <w:top w:w="0" w:type="dxa"/>
            <w:left w:w="108" w:type="dxa"/>
            <w:bottom w:w="0" w:type="dxa"/>
            <w:right w:w="108" w:type="dxa"/>
          </w:tblCellMar>
        </w:tblPrEx>
        <w:trPr>
          <w:trHeight w:val="822" w:hRule="atLeast"/>
        </w:trPr>
        <w:tc>
          <w:tcPr>
            <w:tcW w:w="1056" w:type="dxa"/>
            <w:vMerge w:val="continue"/>
            <w:tcBorders>
              <w:top w:val="nil"/>
              <w:left w:val="single" w:color="auto" w:sz="8" w:space="0"/>
              <w:bottom w:val="single" w:color="000000" w:sz="4" w:space="0"/>
              <w:right w:val="nil"/>
            </w:tcBorders>
            <w:vAlign w:val="center"/>
          </w:tcPr>
          <w:p w14:paraId="4F58F4FD">
            <w:pPr>
              <w:spacing w:line="320" w:lineRule="exact"/>
              <w:jc w:val="left"/>
              <w:rPr>
                <w:color w:val="000000"/>
                <w:kern w:val="0"/>
                <w:sz w:val="18"/>
                <w:szCs w:val="18"/>
              </w:rPr>
            </w:pPr>
          </w:p>
        </w:tc>
        <w:tc>
          <w:tcPr>
            <w:tcW w:w="1540" w:type="dxa"/>
            <w:vMerge w:val="continue"/>
            <w:tcBorders>
              <w:top w:val="nil"/>
              <w:left w:val="single" w:color="auto" w:sz="4" w:space="0"/>
              <w:bottom w:val="single" w:color="000000" w:sz="4" w:space="0"/>
              <w:right w:val="single" w:color="auto" w:sz="4" w:space="0"/>
            </w:tcBorders>
            <w:vAlign w:val="center"/>
          </w:tcPr>
          <w:p w14:paraId="6247B32F">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4DCD28B3">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val="continue"/>
            <w:tcBorders>
              <w:left w:val="single" w:color="auto" w:sz="4" w:space="0"/>
              <w:bottom w:val="single" w:color="000000" w:sz="4" w:space="0"/>
              <w:right w:val="single" w:color="auto" w:sz="4" w:space="0"/>
            </w:tcBorders>
            <w:vAlign w:val="center"/>
          </w:tcPr>
          <w:p w14:paraId="18F5416A">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6F44C20">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3</w:t>
            </w:r>
            <w:r>
              <w:rPr>
                <w:rFonts w:hint="eastAsia"/>
                <w:color w:val="000000"/>
                <w:kern w:val="0"/>
                <w:sz w:val="18"/>
                <w:szCs w:val="18"/>
              </w:rPr>
              <w:t>倍以上但不超过</w:t>
            </w:r>
            <w:r>
              <w:rPr>
                <w:color w:val="000000"/>
                <w:kern w:val="0"/>
                <w:sz w:val="18"/>
                <w:szCs w:val="18"/>
              </w:rPr>
              <w:t>3</w:t>
            </w:r>
            <w:r>
              <w:rPr>
                <w:rFonts w:hint="eastAsia"/>
                <w:color w:val="000000"/>
                <w:kern w:val="0"/>
                <w:sz w:val="18"/>
                <w:szCs w:val="18"/>
              </w:rPr>
              <w:t>万元的罚款</w:t>
            </w:r>
          </w:p>
        </w:tc>
      </w:tr>
    </w:tbl>
    <w:p w14:paraId="451407E7"/>
    <w:p w14:paraId="65B9D5D6"/>
    <w:p w14:paraId="1ABA69B1"/>
    <w:p w14:paraId="7E68FE0D"/>
    <w:p w14:paraId="7817CEA3"/>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10F3111E">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FE30BE0">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238267DE">
            <w:pPr>
              <w:spacing w:line="320" w:lineRule="exact"/>
              <w:jc w:val="left"/>
              <w:rPr>
                <w:rFonts w:eastAsia="仿宋_GB2312"/>
                <w:b/>
                <w:bCs/>
                <w:color w:val="000000"/>
                <w:kern w:val="0"/>
                <w:sz w:val="18"/>
                <w:szCs w:val="18"/>
              </w:rPr>
            </w:pPr>
            <w:r>
              <w:rPr>
                <w:rFonts w:eastAsia="仿宋_GB2312"/>
                <w:b/>
                <w:bCs/>
                <w:color w:val="000000"/>
                <w:kern w:val="0"/>
                <w:sz w:val="18"/>
                <w:szCs w:val="18"/>
              </w:rPr>
              <w:t>320217130000</w:t>
            </w:r>
          </w:p>
        </w:tc>
      </w:tr>
      <w:tr w14:paraId="7B59410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1981F3E">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7BF743C3">
            <w:pPr>
              <w:spacing w:line="320" w:lineRule="exact"/>
              <w:jc w:val="left"/>
              <w:rPr>
                <w:color w:val="000000"/>
                <w:kern w:val="0"/>
                <w:sz w:val="18"/>
                <w:szCs w:val="18"/>
              </w:rPr>
            </w:pPr>
            <w:r>
              <w:rPr>
                <w:rFonts w:hint="eastAsia"/>
                <w:color w:val="000000"/>
                <w:kern w:val="0"/>
                <w:sz w:val="18"/>
                <w:szCs w:val="18"/>
              </w:rPr>
              <w:t>对申请人隐瞒有关情况或者提供虚假材料申请公共租赁住房的处罚</w:t>
            </w:r>
          </w:p>
        </w:tc>
      </w:tr>
      <w:tr w14:paraId="639B05DF">
        <w:tblPrEx>
          <w:tblCellMar>
            <w:top w:w="0" w:type="dxa"/>
            <w:left w:w="108" w:type="dxa"/>
            <w:bottom w:w="0" w:type="dxa"/>
            <w:right w:w="108" w:type="dxa"/>
          </w:tblCellMar>
        </w:tblPrEx>
        <w:trPr>
          <w:trHeight w:val="1305" w:hRule="atLeast"/>
        </w:trPr>
        <w:tc>
          <w:tcPr>
            <w:tcW w:w="1010" w:type="dxa"/>
            <w:tcBorders>
              <w:top w:val="nil"/>
              <w:left w:val="single" w:color="auto" w:sz="8" w:space="0"/>
              <w:bottom w:val="single" w:color="auto" w:sz="4" w:space="0"/>
              <w:right w:val="single" w:color="auto" w:sz="4" w:space="0"/>
            </w:tcBorders>
            <w:vAlign w:val="center"/>
          </w:tcPr>
          <w:p w14:paraId="34709691">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6AEB447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14:paraId="354F4081">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申请人隐瞒有关情况或者提供虚假材料申请公共租赁住房的，市、县级人民政府住房保障主管部门不予受理，给予警告，并记入公共租赁住房管理档案。</w:t>
            </w:r>
          </w:p>
        </w:tc>
      </w:tr>
      <w:tr w14:paraId="00ADC14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EAC863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1B70D68">
            <w:pPr>
              <w:spacing w:line="320" w:lineRule="exact"/>
              <w:jc w:val="left"/>
              <w:rPr>
                <w:color w:val="000000"/>
                <w:kern w:val="0"/>
                <w:sz w:val="18"/>
                <w:szCs w:val="18"/>
              </w:rPr>
            </w:pPr>
            <w:r>
              <w:rPr>
                <w:rFonts w:hint="eastAsia"/>
                <w:color w:val="000000"/>
                <w:kern w:val="0"/>
                <w:sz w:val="18"/>
                <w:szCs w:val="18"/>
              </w:rPr>
              <w:t>警告</w:t>
            </w:r>
          </w:p>
        </w:tc>
      </w:tr>
      <w:tr w14:paraId="7ABAA07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A081102">
            <w:pPr>
              <w:spacing w:line="320" w:lineRule="exact"/>
              <w:jc w:val="center"/>
              <w:rPr>
                <w:color w:val="000000"/>
                <w:kern w:val="0"/>
                <w:sz w:val="18"/>
                <w:szCs w:val="18"/>
              </w:rPr>
            </w:pPr>
            <w:r>
              <w:rPr>
                <w:rFonts w:hint="eastAsia"/>
                <w:color w:val="000000"/>
                <w:kern w:val="0"/>
                <w:sz w:val="18"/>
                <w:szCs w:val="18"/>
              </w:rPr>
              <w:t>裁量基准</w:t>
            </w:r>
          </w:p>
        </w:tc>
      </w:tr>
      <w:tr w14:paraId="7526B073">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CBF222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2A3B1C1">
            <w:pPr>
              <w:spacing w:line="320" w:lineRule="exact"/>
              <w:jc w:val="left"/>
              <w:rPr>
                <w:color w:val="000000"/>
                <w:kern w:val="0"/>
                <w:sz w:val="18"/>
                <w:szCs w:val="18"/>
              </w:rPr>
            </w:pPr>
            <w:r>
              <w:rPr>
                <w:rFonts w:hint="eastAsia"/>
                <w:color w:val="000000"/>
                <w:kern w:val="0"/>
                <w:sz w:val="18"/>
                <w:szCs w:val="18"/>
              </w:rPr>
              <w:t>　</w:t>
            </w:r>
          </w:p>
        </w:tc>
        <w:tc>
          <w:tcPr>
            <w:tcW w:w="1000" w:type="dxa"/>
            <w:tcBorders>
              <w:top w:val="nil"/>
              <w:left w:val="nil"/>
              <w:bottom w:val="single" w:color="auto" w:sz="4" w:space="0"/>
              <w:right w:val="single" w:color="auto" w:sz="4" w:space="0"/>
            </w:tcBorders>
            <w:vAlign w:val="center"/>
          </w:tcPr>
          <w:p w14:paraId="1293DEC9">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46F2B019">
            <w:pPr>
              <w:spacing w:line="320" w:lineRule="exact"/>
              <w:jc w:val="left"/>
              <w:rPr>
                <w:color w:val="000000"/>
                <w:kern w:val="0"/>
                <w:sz w:val="18"/>
                <w:szCs w:val="18"/>
              </w:rPr>
            </w:pPr>
          </w:p>
        </w:tc>
      </w:tr>
    </w:tbl>
    <w:p w14:paraId="714ADF78"/>
    <w:tbl>
      <w:tblPr>
        <w:tblStyle w:val="15"/>
        <w:tblW w:w="0" w:type="auto"/>
        <w:tblInd w:w="88" w:type="dxa"/>
        <w:tblLayout w:type="fixed"/>
        <w:tblCellMar>
          <w:top w:w="0" w:type="dxa"/>
          <w:left w:w="108" w:type="dxa"/>
          <w:bottom w:w="0" w:type="dxa"/>
          <w:right w:w="108" w:type="dxa"/>
        </w:tblCellMar>
      </w:tblPr>
      <w:tblGrid>
        <w:gridCol w:w="1070"/>
        <w:gridCol w:w="6140"/>
        <w:gridCol w:w="1150"/>
        <w:gridCol w:w="5700"/>
      </w:tblGrid>
      <w:tr w14:paraId="3A0525DC">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452CAB31">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28A5C3B5">
            <w:pPr>
              <w:spacing w:line="320" w:lineRule="exact"/>
              <w:jc w:val="left"/>
              <w:rPr>
                <w:rFonts w:eastAsia="仿宋_GB2312"/>
                <w:b/>
                <w:bCs/>
                <w:color w:val="000000"/>
                <w:kern w:val="0"/>
                <w:sz w:val="18"/>
                <w:szCs w:val="18"/>
              </w:rPr>
            </w:pPr>
            <w:r>
              <w:rPr>
                <w:rFonts w:eastAsia="仿宋_GB2312"/>
                <w:b/>
                <w:bCs/>
                <w:color w:val="000000"/>
                <w:kern w:val="0"/>
                <w:sz w:val="18"/>
                <w:szCs w:val="18"/>
              </w:rPr>
              <w:t>320217131000</w:t>
            </w:r>
            <w:r>
              <w:rPr>
                <w:rFonts w:hint="eastAsia" w:eastAsia="仿宋_GB2312"/>
                <w:b/>
                <w:bCs/>
                <w:color w:val="000000"/>
                <w:kern w:val="0"/>
                <w:sz w:val="18"/>
                <w:szCs w:val="18"/>
              </w:rPr>
              <w:t xml:space="preserve"> </w:t>
            </w:r>
          </w:p>
        </w:tc>
      </w:tr>
      <w:tr w14:paraId="2175965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4C7BAE2">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4A0374D8">
            <w:pPr>
              <w:spacing w:line="320" w:lineRule="exact"/>
              <w:jc w:val="left"/>
              <w:rPr>
                <w:color w:val="000000"/>
                <w:kern w:val="0"/>
                <w:sz w:val="18"/>
                <w:szCs w:val="18"/>
              </w:rPr>
            </w:pPr>
            <w:r>
              <w:rPr>
                <w:rFonts w:hint="eastAsia"/>
                <w:color w:val="000000"/>
                <w:kern w:val="0"/>
                <w:sz w:val="18"/>
                <w:szCs w:val="18"/>
              </w:rPr>
              <w:t>对为建设工程提供机械设备和配件的单位未按照安全施工的要求配备齐全有效的保险、限位等安全设施和装置的处罚</w:t>
            </w:r>
          </w:p>
        </w:tc>
      </w:tr>
      <w:tr w14:paraId="52D19A6D">
        <w:tblPrEx>
          <w:tblCellMar>
            <w:top w:w="0" w:type="dxa"/>
            <w:left w:w="108" w:type="dxa"/>
            <w:bottom w:w="0" w:type="dxa"/>
            <w:right w:w="108" w:type="dxa"/>
          </w:tblCellMar>
        </w:tblPrEx>
        <w:trPr>
          <w:trHeight w:val="1170" w:hRule="atLeast"/>
        </w:trPr>
        <w:tc>
          <w:tcPr>
            <w:tcW w:w="1070" w:type="dxa"/>
            <w:tcBorders>
              <w:top w:val="nil"/>
              <w:left w:val="single" w:color="auto" w:sz="8" w:space="0"/>
              <w:bottom w:val="single" w:color="auto" w:sz="4" w:space="0"/>
              <w:right w:val="single" w:color="auto" w:sz="4" w:space="0"/>
            </w:tcBorders>
            <w:vAlign w:val="center"/>
          </w:tcPr>
          <w:p w14:paraId="7F90CA9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0CE7CF9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3BB4BE1D">
            <w:pPr>
              <w:spacing w:line="320" w:lineRule="exact"/>
              <w:jc w:val="left"/>
              <w:rPr>
                <w:color w:val="000000"/>
                <w:kern w:val="0"/>
                <w:sz w:val="18"/>
                <w:szCs w:val="18"/>
              </w:rPr>
            </w:pPr>
            <w:r>
              <w:rPr>
                <w:rFonts w:hint="eastAsia"/>
                <w:color w:val="000000"/>
                <w:kern w:val="0"/>
                <w:sz w:val="18"/>
                <w:szCs w:val="18"/>
              </w:rPr>
              <w:t>第十五条　为建设工程提供机械设备和配件的单位，应当按照安全施工的要求配备齐全有效的保险、限位等安全设施和装置。</w:t>
            </w:r>
          </w:p>
          <w:p w14:paraId="0A290C86">
            <w:pPr>
              <w:spacing w:line="320" w:lineRule="exact"/>
              <w:jc w:val="left"/>
              <w:rPr>
                <w:color w:val="000000"/>
                <w:kern w:val="0"/>
                <w:sz w:val="18"/>
                <w:szCs w:val="18"/>
              </w:rPr>
            </w:pPr>
            <w:r>
              <w:rPr>
                <w:rFonts w:hint="eastAsia"/>
                <w:color w:val="000000"/>
                <w:kern w:val="0"/>
                <w:sz w:val="18"/>
                <w:szCs w:val="18"/>
              </w:rPr>
              <w:t>第五十九条　违反本条例的规定，为建设工程提供机械设备和配件的单位，未按照安全施工的要求配备齐全有效的保险、限位等安全设施和装置的，责令限期改正，处合同价款</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倍以下的罚款；造成损失的，依法承担赔偿责任。</w:t>
            </w:r>
            <w:r>
              <w:rPr>
                <w:color w:val="000000"/>
                <w:kern w:val="0"/>
                <w:sz w:val="18"/>
                <w:szCs w:val="18"/>
              </w:rPr>
              <w:t xml:space="preserve"> </w:t>
            </w:r>
          </w:p>
          <w:p w14:paraId="47CDCC98">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16D4BF87">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DBF5233">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79E0C3AF">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238800ED">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6E83F1E0">
            <w:pPr>
              <w:spacing w:line="320" w:lineRule="exact"/>
              <w:jc w:val="center"/>
              <w:rPr>
                <w:color w:val="000000"/>
                <w:kern w:val="0"/>
                <w:sz w:val="18"/>
                <w:szCs w:val="18"/>
              </w:rPr>
            </w:pPr>
            <w:r>
              <w:rPr>
                <w:rFonts w:hint="eastAsia"/>
                <w:color w:val="000000"/>
                <w:kern w:val="0"/>
                <w:sz w:val="18"/>
                <w:szCs w:val="18"/>
              </w:rPr>
              <w:t>裁量基准</w:t>
            </w:r>
          </w:p>
        </w:tc>
      </w:tr>
      <w:tr w14:paraId="41DF092D">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76E138A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1493B45">
            <w:pPr>
              <w:spacing w:line="320" w:lineRule="exact"/>
              <w:jc w:val="left"/>
              <w:rPr>
                <w:color w:val="000000"/>
                <w:kern w:val="0"/>
                <w:sz w:val="18"/>
                <w:szCs w:val="18"/>
              </w:rPr>
            </w:pPr>
            <w:r>
              <w:rPr>
                <w:rFonts w:hint="eastAsia"/>
                <w:color w:val="000000"/>
                <w:kern w:val="0"/>
                <w:sz w:val="18"/>
                <w:szCs w:val="18"/>
              </w:rPr>
              <w:t>按照要求改正的</w:t>
            </w:r>
          </w:p>
        </w:tc>
        <w:tc>
          <w:tcPr>
            <w:tcW w:w="1150" w:type="dxa"/>
            <w:vMerge w:val="restart"/>
            <w:tcBorders>
              <w:top w:val="nil"/>
              <w:left w:val="single" w:color="auto" w:sz="4" w:space="0"/>
              <w:right w:val="single" w:color="auto" w:sz="4" w:space="0"/>
            </w:tcBorders>
            <w:vAlign w:val="center"/>
          </w:tcPr>
          <w:p w14:paraId="6BBB9766">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color="auto" w:sz="4" w:space="0"/>
              <w:right w:val="single" w:color="auto" w:sz="8" w:space="0"/>
            </w:tcBorders>
            <w:vAlign w:val="center"/>
          </w:tcPr>
          <w:p w14:paraId="0D153DC7">
            <w:pPr>
              <w:spacing w:line="320" w:lineRule="exact"/>
              <w:jc w:val="left"/>
              <w:rPr>
                <w:color w:val="000000"/>
                <w:kern w:val="0"/>
                <w:sz w:val="18"/>
                <w:szCs w:val="18"/>
              </w:rPr>
            </w:pPr>
            <w:r>
              <w:rPr>
                <w:rFonts w:hint="eastAsia"/>
                <w:color w:val="000000"/>
                <w:kern w:val="0"/>
                <w:sz w:val="18"/>
                <w:szCs w:val="18"/>
              </w:rPr>
              <w:t>合同价款</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tc>
      </w:tr>
      <w:tr w14:paraId="45DB9294">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2D4009A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4BA4197">
            <w:pPr>
              <w:spacing w:line="320" w:lineRule="exact"/>
              <w:jc w:val="left"/>
              <w:rPr>
                <w:color w:val="000000"/>
                <w:kern w:val="0"/>
                <w:sz w:val="18"/>
                <w:szCs w:val="18"/>
              </w:rPr>
            </w:pPr>
            <w:r>
              <w:rPr>
                <w:rFonts w:hint="eastAsia"/>
                <w:color w:val="000000"/>
                <w:kern w:val="0"/>
                <w:sz w:val="18"/>
                <w:szCs w:val="18"/>
              </w:rPr>
              <w:t>未按照要求改正且未造成安全事故的</w:t>
            </w:r>
          </w:p>
        </w:tc>
        <w:tc>
          <w:tcPr>
            <w:tcW w:w="1150" w:type="dxa"/>
            <w:vMerge w:val="continue"/>
            <w:tcBorders>
              <w:left w:val="single" w:color="auto" w:sz="4" w:space="0"/>
              <w:right w:val="single" w:color="auto" w:sz="4" w:space="0"/>
            </w:tcBorders>
            <w:vAlign w:val="center"/>
          </w:tcPr>
          <w:p w14:paraId="66D90304">
            <w:pPr>
              <w:spacing w:line="320" w:lineRule="exact"/>
              <w:jc w:val="left"/>
              <w:rPr>
                <w:color w:val="000000"/>
                <w:kern w:val="0"/>
                <w:sz w:val="18"/>
                <w:szCs w:val="18"/>
              </w:rPr>
            </w:pPr>
          </w:p>
        </w:tc>
        <w:tc>
          <w:tcPr>
            <w:tcW w:w="5700" w:type="dxa"/>
            <w:tcBorders>
              <w:top w:val="single" w:color="auto" w:sz="4" w:space="0"/>
              <w:left w:val="nil"/>
              <w:bottom w:val="single" w:color="auto" w:sz="8" w:space="0"/>
              <w:right w:val="single" w:color="auto" w:sz="8" w:space="0"/>
            </w:tcBorders>
            <w:vAlign w:val="center"/>
          </w:tcPr>
          <w:p w14:paraId="286BE51B">
            <w:pPr>
              <w:spacing w:line="320" w:lineRule="exact"/>
              <w:jc w:val="left"/>
              <w:rPr>
                <w:color w:val="000000"/>
                <w:kern w:val="0"/>
                <w:sz w:val="18"/>
                <w:szCs w:val="18"/>
              </w:rPr>
            </w:pPr>
            <w:r>
              <w:rPr>
                <w:rFonts w:hint="eastAsia"/>
                <w:color w:val="000000"/>
                <w:kern w:val="0"/>
                <w:sz w:val="18"/>
                <w:szCs w:val="18"/>
              </w:rPr>
              <w:t>合同价款</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29230D38">
        <w:tblPrEx>
          <w:tblCellMar>
            <w:top w:w="0" w:type="dxa"/>
            <w:left w:w="108" w:type="dxa"/>
            <w:bottom w:w="0" w:type="dxa"/>
            <w:right w:w="108" w:type="dxa"/>
          </w:tblCellMar>
        </w:tblPrEx>
        <w:trPr>
          <w:trHeight w:val="285" w:hRule="atLeast"/>
        </w:trPr>
        <w:tc>
          <w:tcPr>
            <w:tcW w:w="1070" w:type="dxa"/>
            <w:vMerge w:val="continue"/>
            <w:tcBorders>
              <w:left w:val="single" w:color="auto" w:sz="8" w:space="0"/>
              <w:bottom w:val="single" w:color="auto" w:sz="4" w:space="0"/>
              <w:right w:val="single" w:color="auto" w:sz="4" w:space="0"/>
            </w:tcBorders>
            <w:vAlign w:val="center"/>
          </w:tcPr>
          <w:p w14:paraId="149905F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24692FA">
            <w:pPr>
              <w:spacing w:line="320" w:lineRule="exact"/>
              <w:jc w:val="left"/>
              <w:rPr>
                <w:color w:val="000000"/>
                <w:kern w:val="0"/>
                <w:sz w:val="18"/>
                <w:szCs w:val="18"/>
              </w:rPr>
            </w:pPr>
            <w:r>
              <w:rPr>
                <w:rFonts w:hint="eastAsia"/>
                <w:color w:val="000000"/>
                <w:kern w:val="0"/>
                <w:sz w:val="18"/>
                <w:szCs w:val="18"/>
              </w:rPr>
              <w:t>造成安全事故的</w:t>
            </w:r>
          </w:p>
        </w:tc>
        <w:tc>
          <w:tcPr>
            <w:tcW w:w="1150" w:type="dxa"/>
            <w:vMerge w:val="continue"/>
            <w:tcBorders>
              <w:left w:val="single" w:color="auto" w:sz="4" w:space="0"/>
              <w:bottom w:val="single" w:color="auto" w:sz="4" w:space="0"/>
              <w:right w:val="single" w:color="auto" w:sz="4" w:space="0"/>
            </w:tcBorders>
            <w:vAlign w:val="center"/>
          </w:tcPr>
          <w:p w14:paraId="5CA87547">
            <w:pPr>
              <w:spacing w:line="320" w:lineRule="exact"/>
              <w:jc w:val="left"/>
              <w:rPr>
                <w:color w:val="000000"/>
                <w:kern w:val="0"/>
                <w:sz w:val="18"/>
                <w:szCs w:val="18"/>
              </w:rPr>
            </w:pPr>
          </w:p>
        </w:tc>
        <w:tc>
          <w:tcPr>
            <w:tcW w:w="5700" w:type="dxa"/>
            <w:tcBorders>
              <w:top w:val="single" w:color="auto" w:sz="8" w:space="0"/>
              <w:left w:val="nil"/>
              <w:bottom w:val="single" w:color="auto" w:sz="4" w:space="0"/>
              <w:right w:val="single" w:color="auto" w:sz="8" w:space="0"/>
            </w:tcBorders>
            <w:vAlign w:val="center"/>
          </w:tcPr>
          <w:p w14:paraId="474B753F">
            <w:pPr>
              <w:spacing w:line="320" w:lineRule="exact"/>
              <w:jc w:val="left"/>
              <w:rPr>
                <w:color w:val="000000"/>
                <w:kern w:val="0"/>
                <w:sz w:val="18"/>
                <w:szCs w:val="18"/>
              </w:rPr>
            </w:pPr>
            <w:r>
              <w:rPr>
                <w:rFonts w:hint="eastAsia"/>
                <w:color w:val="000000"/>
                <w:kern w:val="0"/>
                <w:sz w:val="18"/>
                <w:szCs w:val="18"/>
              </w:rPr>
              <w:t>合同价款</w:t>
            </w:r>
            <w:r>
              <w:rPr>
                <w:color w:val="000000"/>
                <w:kern w:val="0"/>
                <w:sz w:val="18"/>
                <w:szCs w:val="18"/>
              </w:rPr>
              <w:t>3</w:t>
            </w:r>
            <w:r>
              <w:rPr>
                <w:rFonts w:hint="eastAsia"/>
                <w:color w:val="000000"/>
                <w:kern w:val="0"/>
                <w:sz w:val="18"/>
                <w:szCs w:val="18"/>
              </w:rPr>
              <w:t>倍罚款</w:t>
            </w:r>
          </w:p>
        </w:tc>
      </w:tr>
    </w:tbl>
    <w:p w14:paraId="1C266112"/>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69A50AC3">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757ED24C">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72231373">
            <w:pPr>
              <w:spacing w:line="320" w:lineRule="exact"/>
              <w:jc w:val="left"/>
              <w:rPr>
                <w:rFonts w:eastAsia="仿宋_GB2312"/>
                <w:b/>
                <w:bCs/>
                <w:color w:val="000000"/>
                <w:kern w:val="0"/>
                <w:sz w:val="18"/>
                <w:szCs w:val="18"/>
              </w:rPr>
            </w:pPr>
            <w:r>
              <w:rPr>
                <w:rFonts w:eastAsia="仿宋_GB2312"/>
                <w:b/>
                <w:bCs/>
                <w:color w:val="000000"/>
                <w:kern w:val="0"/>
                <w:sz w:val="18"/>
                <w:szCs w:val="18"/>
              </w:rPr>
              <w:t>320217132000</w:t>
            </w:r>
            <w:r>
              <w:rPr>
                <w:rFonts w:hint="eastAsia" w:eastAsia="仿宋_GB2312"/>
                <w:b/>
                <w:bCs/>
                <w:color w:val="000000"/>
                <w:kern w:val="0"/>
                <w:sz w:val="18"/>
                <w:szCs w:val="18"/>
              </w:rPr>
              <w:t xml:space="preserve"> </w:t>
            </w:r>
          </w:p>
        </w:tc>
      </w:tr>
      <w:tr w14:paraId="1B193D2F">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7CC8D2BE">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042DC76F">
            <w:pPr>
              <w:spacing w:line="320" w:lineRule="exact"/>
              <w:jc w:val="left"/>
              <w:rPr>
                <w:color w:val="000000"/>
                <w:kern w:val="0"/>
                <w:sz w:val="18"/>
                <w:szCs w:val="18"/>
              </w:rPr>
            </w:pPr>
            <w:r>
              <w:rPr>
                <w:rFonts w:hint="eastAsia"/>
                <w:color w:val="000000"/>
                <w:kern w:val="0"/>
                <w:sz w:val="18"/>
                <w:szCs w:val="18"/>
              </w:rPr>
              <w:t>对施工单位使用国家明令淘汰、禁止使用的危及施工安全的工艺、设备、材料的处罚</w:t>
            </w:r>
          </w:p>
        </w:tc>
      </w:tr>
      <w:tr w14:paraId="23C334C9">
        <w:tblPrEx>
          <w:tblCellMar>
            <w:top w:w="0" w:type="dxa"/>
            <w:left w:w="108" w:type="dxa"/>
            <w:bottom w:w="0" w:type="dxa"/>
            <w:right w:w="108" w:type="dxa"/>
          </w:tblCellMar>
        </w:tblPrEx>
        <w:trPr>
          <w:trHeight w:val="2490" w:hRule="atLeast"/>
        </w:trPr>
        <w:tc>
          <w:tcPr>
            <w:tcW w:w="1026" w:type="dxa"/>
            <w:tcBorders>
              <w:top w:val="nil"/>
              <w:left w:val="single" w:color="auto" w:sz="8" w:space="0"/>
              <w:bottom w:val="single" w:color="auto" w:sz="4" w:space="0"/>
              <w:right w:val="single" w:color="auto" w:sz="4" w:space="0"/>
            </w:tcBorders>
            <w:vAlign w:val="center"/>
          </w:tcPr>
          <w:p w14:paraId="46F1B749">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7AFBE79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14:paraId="07ED75FD">
            <w:pPr>
              <w:spacing w:line="320" w:lineRule="exact"/>
              <w:jc w:val="left"/>
              <w:rPr>
                <w:color w:val="000000"/>
                <w:kern w:val="0"/>
                <w:sz w:val="18"/>
                <w:szCs w:val="18"/>
              </w:rPr>
            </w:pPr>
            <w:r>
              <w:rPr>
                <w:rFonts w:hint="eastAsia"/>
                <w:color w:val="000000"/>
                <w:kern w:val="0"/>
                <w:sz w:val="18"/>
                <w:szCs w:val="18"/>
              </w:rPr>
              <w:t xml:space="preserve">        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6433469E">
            <w:pPr>
              <w:spacing w:line="320" w:lineRule="exact"/>
              <w:jc w:val="left"/>
              <w:rPr>
                <w:color w:val="000000"/>
                <w:kern w:val="0"/>
                <w:sz w:val="18"/>
                <w:szCs w:val="18"/>
              </w:rPr>
            </w:pPr>
            <w:r>
              <w:rPr>
                <w:rFonts w:hint="eastAsia"/>
                <w:color w:val="000000"/>
                <w:kern w:val="0"/>
                <w:sz w:val="18"/>
                <w:szCs w:val="18"/>
              </w:rPr>
              <w:t xml:space="preserve">     （七）使用应当淘汰的危及生产安全的工艺、设备的；</w:t>
            </w:r>
          </w:p>
          <w:p w14:paraId="7ED059C3">
            <w:pPr>
              <w:spacing w:line="320" w:lineRule="exact"/>
              <w:jc w:val="left"/>
              <w:rPr>
                <w:color w:val="000000"/>
                <w:kern w:val="0"/>
                <w:sz w:val="18"/>
                <w:szCs w:val="18"/>
              </w:rPr>
            </w:pPr>
            <w:r>
              <w:rPr>
                <w:rFonts w:hint="eastAsia"/>
                <w:color w:val="000000"/>
                <w:kern w:val="0"/>
                <w:sz w:val="18"/>
                <w:szCs w:val="18"/>
              </w:rPr>
              <w:t xml:space="preserve">        第一百一十二条  生产经营单位违反本法规定，被责令改正且受到罚款处罚，拒不改正的，负有安全生产监督管理职责的部门可以自作出责令改正之日的次日起，按照原处罚数额按日连续处罚。</w:t>
            </w:r>
          </w:p>
          <w:p w14:paraId="1202B71C">
            <w:pPr>
              <w:spacing w:line="32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72874A19">
            <w:pPr>
              <w:spacing w:line="320" w:lineRule="exact"/>
              <w:jc w:val="left"/>
              <w:rPr>
                <w:color w:val="000000"/>
                <w:kern w:val="0"/>
                <w:sz w:val="18"/>
                <w:szCs w:val="18"/>
              </w:rPr>
            </w:pPr>
            <w:r>
              <w:rPr>
                <w:rFonts w:hint="eastAsia"/>
                <w:color w:val="000000"/>
                <w:kern w:val="0"/>
                <w:sz w:val="18"/>
                <w:szCs w:val="18"/>
              </w:rPr>
              <w:t xml:space="preserve">        第四十五条　国家对严重危及施工安全的工艺、设备、材料实行淘汰制度。具体目录由国务院建设行政主管部门会同国务院其他有关部门制定并公布。</w:t>
            </w:r>
          </w:p>
          <w:p w14:paraId="2184CA1C">
            <w:pPr>
              <w:spacing w:line="320" w:lineRule="exact"/>
              <w:jc w:val="left"/>
              <w:rPr>
                <w:color w:val="000000"/>
                <w:kern w:val="0"/>
                <w:sz w:val="18"/>
                <w:szCs w:val="18"/>
              </w:rPr>
            </w:pPr>
            <w:r>
              <w:rPr>
                <w:rFonts w:hint="eastAsia"/>
                <w:color w:val="000000"/>
                <w:kern w:val="0"/>
                <w:sz w:val="18"/>
                <w:szCs w:val="18"/>
              </w:rPr>
              <w:t xml:space="preserve">        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 </w:t>
            </w:r>
          </w:p>
          <w:p w14:paraId="3ECC76B9">
            <w:pPr>
              <w:spacing w:line="320" w:lineRule="exact"/>
              <w:jc w:val="left"/>
              <w:rPr>
                <w:color w:val="000000"/>
                <w:kern w:val="0"/>
                <w:sz w:val="18"/>
                <w:szCs w:val="18"/>
              </w:rPr>
            </w:pPr>
            <w:r>
              <w:rPr>
                <w:rFonts w:hint="eastAsia"/>
                <w:color w:val="000000"/>
                <w:kern w:val="0"/>
                <w:sz w:val="18"/>
                <w:szCs w:val="18"/>
              </w:rPr>
              <w:t xml:space="preserve">       （六）使用国家明令淘汰、禁止使用的危及施工安全的工艺、设备、材料的。</w:t>
            </w:r>
          </w:p>
          <w:p w14:paraId="78302255">
            <w:pPr>
              <w:spacing w:line="32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w:t>
            </w:r>
          </w:p>
          <w:p w14:paraId="0EF66566">
            <w:pPr>
              <w:spacing w:line="32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p>
          <w:p w14:paraId="004F1196">
            <w:pPr>
              <w:spacing w:line="320" w:lineRule="exact"/>
              <w:jc w:val="left"/>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tc>
      </w:tr>
      <w:tr w14:paraId="0392FEA0">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40427352">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57E6495D">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3DBCFA7C">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2ED00858">
            <w:pPr>
              <w:spacing w:line="320" w:lineRule="exact"/>
              <w:jc w:val="center"/>
              <w:rPr>
                <w:color w:val="000000"/>
                <w:kern w:val="0"/>
                <w:sz w:val="18"/>
                <w:szCs w:val="18"/>
              </w:rPr>
            </w:pPr>
            <w:r>
              <w:rPr>
                <w:rFonts w:hint="eastAsia"/>
                <w:color w:val="000000"/>
                <w:kern w:val="0"/>
                <w:sz w:val="18"/>
                <w:szCs w:val="18"/>
              </w:rPr>
              <w:t>裁量基准</w:t>
            </w:r>
          </w:p>
        </w:tc>
      </w:tr>
      <w:tr w14:paraId="0F591995">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right w:val="single" w:color="auto" w:sz="4" w:space="0"/>
            </w:tcBorders>
            <w:vAlign w:val="center"/>
          </w:tcPr>
          <w:p w14:paraId="4DC7C5E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FED5A8F">
            <w:pPr>
              <w:spacing w:line="320" w:lineRule="exact"/>
              <w:jc w:val="left"/>
              <w:rPr>
                <w:color w:val="000000"/>
                <w:kern w:val="0"/>
                <w:sz w:val="18"/>
                <w:szCs w:val="18"/>
              </w:rPr>
            </w:pPr>
            <w:r>
              <w:rPr>
                <w:rFonts w:hint="eastAsia"/>
                <w:color w:val="000000"/>
                <w:kern w:val="0"/>
                <w:sz w:val="18"/>
                <w:szCs w:val="18"/>
              </w:rPr>
              <w:t>按要求改正的，未发生生产安全事故的</w:t>
            </w:r>
          </w:p>
        </w:tc>
        <w:tc>
          <w:tcPr>
            <w:tcW w:w="1120" w:type="dxa"/>
            <w:vMerge w:val="restart"/>
            <w:tcBorders>
              <w:top w:val="nil"/>
              <w:left w:val="single" w:color="auto" w:sz="4" w:space="0"/>
              <w:right w:val="single" w:color="auto" w:sz="4" w:space="0"/>
            </w:tcBorders>
            <w:vAlign w:val="center"/>
          </w:tcPr>
          <w:p w14:paraId="4A5F3E97">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single" w:color="auto" w:sz="4" w:space="0"/>
              <w:left w:val="nil"/>
              <w:bottom w:val="single" w:color="auto" w:sz="4" w:space="0"/>
              <w:right w:val="single" w:color="auto" w:sz="4" w:space="0"/>
            </w:tcBorders>
            <w:vAlign w:val="center"/>
          </w:tcPr>
          <w:p w14:paraId="5C695CDF">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14:paraId="0C431C4B">
        <w:tblPrEx>
          <w:tblCellMar>
            <w:top w:w="0" w:type="dxa"/>
            <w:left w:w="108" w:type="dxa"/>
            <w:bottom w:w="0" w:type="dxa"/>
            <w:right w:w="108" w:type="dxa"/>
          </w:tblCellMar>
        </w:tblPrEx>
        <w:trPr>
          <w:trHeight w:val="285" w:hRule="atLeast"/>
        </w:trPr>
        <w:tc>
          <w:tcPr>
            <w:tcW w:w="1026" w:type="dxa"/>
            <w:vMerge w:val="continue"/>
            <w:tcBorders>
              <w:left w:val="single" w:color="auto" w:sz="8" w:space="0"/>
              <w:right w:val="single" w:color="auto" w:sz="4" w:space="0"/>
            </w:tcBorders>
            <w:vAlign w:val="center"/>
          </w:tcPr>
          <w:p w14:paraId="5356655F">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5C86EA0">
            <w:pPr>
              <w:spacing w:line="320" w:lineRule="exact"/>
              <w:jc w:val="left"/>
              <w:rPr>
                <w:color w:val="000000"/>
                <w:kern w:val="0"/>
                <w:sz w:val="18"/>
                <w:szCs w:val="18"/>
              </w:rPr>
            </w:pPr>
            <w:r>
              <w:rPr>
                <w:rFonts w:hint="eastAsia"/>
                <w:color w:val="000000"/>
                <w:kern w:val="0"/>
                <w:sz w:val="18"/>
                <w:szCs w:val="18"/>
              </w:rPr>
              <w:t>按要求改正的，发生生产安全事故的</w:t>
            </w:r>
          </w:p>
        </w:tc>
        <w:tc>
          <w:tcPr>
            <w:tcW w:w="1120" w:type="dxa"/>
            <w:vMerge w:val="continue"/>
            <w:tcBorders>
              <w:left w:val="single" w:color="auto" w:sz="4" w:space="0"/>
              <w:right w:val="single" w:color="auto" w:sz="4" w:space="0"/>
            </w:tcBorders>
            <w:vAlign w:val="center"/>
          </w:tcPr>
          <w:p w14:paraId="6E617AF2">
            <w:pPr>
              <w:spacing w:line="320" w:lineRule="exact"/>
              <w:jc w:val="center"/>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26EE8831">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14:paraId="7167DD82">
        <w:tblPrEx>
          <w:tblCellMar>
            <w:top w:w="0" w:type="dxa"/>
            <w:left w:w="108" w:type="dxa"/>
            <w:bottom w:w="0" w:type="dxa"/>
            <w:right w:w="108" w:type="dxa"/>
          </w:tblCellMar>
        </w:tblPrEx>
        <w:trPr>
          <w:trHeight w:val="285" w:hRule="atLeast"/>
        </w:trPr>
        <w:tc>
          <w:tcPr>
            <w:tcW w:w="1026" w:type="dxa"/>
            <w:vMerge w:val="continue"/>
            <w:tcBorders>
              <w:left w:val="single" w:color="auto" w:sz="8" w:space="0"/>
              <w:right w:val="single" w:color="auto" w:sz="4" w:space="0"/>
            </w:tcBorders>
            <w:vAlign w:val="center"/>
          </w:tcPr>
          <w:p w14:paraId="4DF6E6F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0901A9C">
            <w:pPr>
              <w:spacing w:line="320" w:lineRule="exact"/>
              <w:jc w:val="left"/>
              <w:rPr>
                <w:color w:val="000000"/>
                <w:kern w:val="0"/>
                <w:sz w:val="18"/>
                <w:szCs w:val="18"/>
              </w:rPr>
            </w:pPr>
            <w:r>
              <w:rPr>
                <w:rFonts w:hint="eastAsia"/>
                <w:color w:val="000000"/>
                <w:kern w:val="0"/>
                <w:sz w:val="18"/>
                <w:szCs w:val="18"/>
              </w:rPr>
              <w:t>未按要求改正的，未发生生产安全事故的</w:t>
            </w:r>
          </w:p>
        </w:tc>
        <w:tc>
          <w:tcPr>
            <w:tcW w:w="1120" w:type="dxa"/>
            <w:vMerge w:val="continue"/>
            <w:tcBorders>
              <w:left w:val="single" w:color="auto" w:sz="4" w:space="0"/>
              <w:right w:val="single" w:color="auto" w:sz="4" w:space="0"/>
            </w:tcBorders>
            <w:vAlign w:val="center"/>
          </w:tcPr>
          <w:p w14:paraId="071E6F83">
            <w:pPr>
              <w:spacing w:line="320" w:lineRule="exact"/>
              <w:jc w:val="left"/>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5367E130">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6D5976B1">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14:paraId="5888B0F8">
        <w:tblPrEx>
          <w:tblCellMar>
            <w:top w:w="0" w:type="dxa"/>
            <w:left w:w="108" w:type="dxa"/>
            <w:bottom w:w="0" w:type="dxa"/>
            <w:right w:w="108" w:type="dxa"/>
          </w:tblCellMar>
        </w:tblPrEx>
        <w:trPr>
          <w:trHeight w:val="285" w:hRule="atLeast"/>
        </w:trPr>
        <w:tc>
          <w:tcPr>
            <w:tcW w:w="1026" w:type="dxa"/>
            <w:vMerge w:val="continue"/>
            <w:tcBorders>
              <w:left w:val="single" w:color="auto" w:sz="8" w:space="0"/>
              <w:bottom w:val="single" w:color="auto" w:sz="4" w:space="0"/>
              <w:right w:val="single" w:color="auto" w:sz="4" w:space="0"/>
            </w:tcBorders>
            <w:vAlign w:val="center"/>
          </w:tcPr>
          <w:p w14:paraId="3CA5256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BBEE330">
            <w:pPr>
              <w:spacing w:line="320" w:lineRule="exact"/>
              <w:jc w:val="left"/>
              <w:rPr>
                <w:color w:val="000000"/>
                <w:kern w:val="0"/>
                <w:sz w:val="18"/>
                <w:szCs w:val="18"/>
              </w:rPr>
            </w:pPr>
            <w:r>
              <w:rPr>
                <w:rFonts w:hint="eastAsia"/>
                <w:color w:val="000000"/>
                <w:kern w:val="0"/>
                <w:sz w:val="18"/>
                <w:szCs w:val="18"/>
              </w:rPr>
              <w:t>未按要求改正的，发生生产安全事故的</w:t>
            </w:r>
          </w:p>
        </w:tc>
        <w:tc>
          <w:tcPr>
            <w:tcW w:w="1120" w:type="dxa"/>
            <w:vMerge w:val="continue"/>
            <w:tcBorders>
              <w:left w:val="single" w:color="auto" w:sz="4" w:space="0"/>
              <w:bottom w:val="single" w:color="auto" w:sz="4" w:space="0"/>
              <w:right w:val="single" w:color="auto" w:sz="4" w:space="0"/>
            </w:tcBorders>
            <w:vAlign w:val="center"/>
          </w:tcPr>
          <w:p w14:paraId="1B3BE50B">
            <w:pPr>
              <w:spacing w:line="320" w:lineRule="exact"/>
              <w:jc w:val="left"/>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5A33C5F4">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14:paraId="3B228E82">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14:paraId="593BDB9E"/>
    <w:p w14:paraId="28F6E8C6"/>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68338661">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EB47561">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auto" w:sz="4" w:space="0"/>
            </w:tcBorders>
            <w:vAlign w:val="center"/>
          </w:tcPr>
          <w:p w14:paraId="5DED31D8">
            <w:pPr>
              <w:jc w:val="left"/>
              <w:textAlignment w:val="center"/>
              <w:rPr>
                <w:rFonts w:eastAsia="仿宋_GB2312"/>
                <w:b/>
                <w:bCs/>
                <w:color w:val="000000"/>
                <w:kern w:val="0"/>
                <w:sz w:val="18"/>
                <w:szCs w:val="18"/>
              </w:rPr>
            </w:pPr>
            <w:r>
              <w:rPr>
                <w:rFonts w:eastAsia="仿宋_GB2312"/>
                <w:b/>
                <w:color w:val="000000"/>
                <w:kern w:val="0"/>
                <w:sz w:val="20"/>
              </w:rPr>
              <w:t>320217133000</w:t>
            </w:r>
          </w:p>
        </w:tc>
      </w:tr>
      <w:tr w14:paraId="5C30431E">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399F18F">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auto" w:sz="4" w:space="0"/>
            </w:tcBorders>
            <w:vAlign w:val="center"/>
          </w:tcPr>
          <w:p w14:paraId="56C577C5">
            <w:pPr>
              <w:spacing w:line="320" w:lineRule="exact"/>
              <w:jc w:val="left"/>
              <w:rPr>
                <w:color w:val="000000"/>
                <w:kern w:val="0"/>
                <w:sz w:val="18"/>
                <w:szCs w:val="18"/>
              </w:rPr>
            </w:pPr>
            <w:r>
              <w:rPr>
                <w:rFonts w:hint="eastAsia"/>
                <w:color w:val="000000"/>
                <w:kern w:val="0"/>
                <w:sz w:val="18"/>
                <w:szCs w:val="18"/>
              </w:rPr>
              <w:t>对勘察设计注册工程师超出本专业规定范围或者聘用单位业务范围从事执业活动的处罚</w:t>
            </w:r>
          </w:p>
        </w:tc>
      </w:tr>
      <w:tr w14:paraId="5E902170">
        <w:tblPrEx>
          <w:tblCellMar>
            <w:top w:w="0" w:type="dxa"/>
            <w:left w:w="108" w:type="dxa"/>
            <w:bottom w:w="0" w:type="dxa"/>
            <w:right w:w="108" w:type="dxa"/>
          </w:tblCellMar>
        </w:tblPrEx>
        <w:trPr>
          <w:trHeight w:val="1875" w:hRule="atLeast"/>
        </w:trPr>
        <w:tc>
          <w:tcPr>
            <w:tcW w:w="1056" w:type="dxa"/>
            <w:tcBorders>
              <w:top w:val="nil"/>
              <w:left w:val="single" w:color="auto" w:sz="8" w:space="0"/>
              <w:bottom w:val="single" w:color="auto" w:sz="4" w:space="0"/>
              <w:right w:val="single" w:color="auto" w:sz="4" w:space="0"/>
            </w:tcBorders>
            <w:vAlign w:val="center"/>
          </w:tcPr>
          <w:p w14:paraId="01F93BD6">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auto" w:sz="4" w:space="0"/>
            </w:tcBorders>
            <w:vAlign w:val="center"/>
          </w:tcPr>
          <w:p w14:paraId="27EFAFB1">
            <w:pPr>
              <w:spacing w:line="320" w:lineRule="exact"/>
              <w:jc w:val="left"/>
              <w:rPr>
                <w:color w:val="000000"/>
                <w:kern w:val="0"/>
                <w:sz w:val="18"/>
                <w:szCs w:val="18"/>
              </w:rPr>
            </w:pP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　注册工程师应当履行下列义务：</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（九）在本专业规定的执业范围和聘用单位业务范围内从事执业活动。</w:t>
            </w:r>
            <w:r>
              <w:rPr>
                <w:color w:val="000000"/>
                <w:kern w:val="0"/>
                <w:sz w:val="18"/>
                <w:szCs w:val="18"/>
              </w:rPr>
              <w:br w:type="textWrapping"/>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（四）超出本专业规定范围或者聘用单位业务范围从事执业活动的。</w:t>
            </w:r>
          </w:p>
        </w:tc>
      </w:tr>
      <w:tr w14:paraId="6C8A22C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2C62AA5">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auto" w:sz="4" w:space="0"/>
            </w:tcBorders>
            <w:vAlign w:val="center"/>
          </w:tcPr>
          <w:p w14:paraId="48BA72E9">
            <w:pPr>
              <w:spacing w:line="320" w:lineRule="exact"/>
              <w:jc w:val="left"/>
              <w:rPr>
                <w:color w:val="000000"/>
                <w:kern w:val="0"/>
                <w:sz w:val="18"/>
                <w:szCs w:val="18"/>
              </w:rPr>
            </w:pPr>
            <w:r>
              <w:rPr>
                <w:rFonts w:hint="eastAsia"/>
                <w:color w:val="000000"/>
                <w:kern w:val="0"/>
                <w:sz w:val="18"/>
                <w:szCs w:val="18"/>
              </w:rPr>
              <w:t>警告、罚款</w:t>
            </w:r>
          </w:p>
        </w:tc>
      </w:tr>
      <w:tr w14:paraId="25C1646A">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auto" w:sz="4" w:space="0"/>
            </w:tcBorders>
            <w:vAlign w:val="center"/>
          </w:tcPr>
          <w:p w14:paraId="69B1CC7C">
            <w:pPr>
              <w:spacing w:line="320" w:lineRule="exact"/>
              <w:jc w:val="center"/>
              <w:rPr>
                <w:color w:val="000000"/>
                <w:kern w:val="0"/>
                <w:sz w:val="18"/>
                <w:szCs w:val="18"/>
              </w:rPr>
            </w:pPr>
            <w:r>
              <w:rPr>
                <w:rFonts w:hint="eastAsia"/>
                <w:color w:val="000000"/>
                <w:kern w:val="0"/>
                <w:sz w:val="18"/>
                <w:szCs w:val="18"/>
              </w:rPr>
              <w:t>裁量基准</w:t>
            </w:r>
          </w:p>
        </w:tc>
      </w:tr>
      <w:tr w14:paraId="27514D3F">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79303118">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73DA8D4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61673303">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41A8FB24">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4" w:space="0"/>
            </w:tcBorders>
            <w:vAlign w:val="center"/>
          </w:tcPr>
          <w:p w14:paraId="4E75561C">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018F1D73">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07485786">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25CC6A60">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48F37BD3">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F214A35">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68F3DE3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2854037D">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EF56EFB">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3A1BD1AE">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4E1E73FA">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63DCCC1">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5217D294">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3B9DEA3E">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F5290C4">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4E9EE3C0">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173F5ED3">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D14F3DC">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05865C6E">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06B0CBF2"/>
    <w:p w14:paraId="185C94E8"/>
    <w:p w14:paraId="71E247C0"/>
    <w:p w14:paraId="1A899F7E"/>
    <w:p w14:paraId="368D7B74"/>
    <w:p w14:paraId="34AB8021"/>
    <w:p w14:paraId="3DC60754"/>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62016990">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478A6743">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638A222C">
            <w:pPr>
              <w:jc w:val="left"/>
              <w:textAlignment w:val="center"/>
              <w:rPr>
                <w:rFonts w:eastAsia="仿宋_GB2312"/>
                <w:b/>
                <w:bCs/>
                <w:color w:val="000000"/>
                <w:kern w:val="0"/>
                <w:sz w:val="18"/>
                <w:szCs w:val="18"/>
              </w:rPr>
            </w:pPr>
            <w:r>
              <w:rPr>
                <w:rFonts w:eastAsia="仿宋_GB2312"/>
                <w:b/>
                <w:color w:val="000000"/>
                <w:kern w:val="0"/>
                <w:sz w:val="20"/>
              </w:rPr>
              <w:t>320217134000</w:t>
            </w:r>
          </w:p>
        </w:tc>
      </w:tr>
      <w:tr w14:paraId="6AED806D">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338D86D0">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142BECDF">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对房屋建筑和市政基础设施工程施工图设计文件审查机构未按规定在审查合格书和施工图上签字盖章的处罚</w:t>
            </w:r>
          </w:p>
        </w:tc>
      </w:tr>
      <w:tr w14:paraId="4AE8ED51">
        <w:tblPrEx>
          <w:tblCellMar>
            <w:top w:w="0" w:type="dxa"/>
            <w:left w:w="108" w:type="dxa"/>
            <w:bottom w:w="0" w:type="dxa"/>
            <w:right w:w="108" w:type="dxa"/>
          </w:tblCellMar>
        </w:tblPrEx>
        <w:trPr>
          <w:trHeight w:val="2025" w:hRule="atLeast"/>
        </w:trPr>
        <w:tc>
          <w:tcPr>
            <w:tcW w:w="1030" w:type="dxa"/>
            <w:tcBorders>
              <w:top w:val="single" w:color="auto" w:sz="4" w:space="0"/>
              <w:left w:val="single" w:color="auto" w:sz="8" w:space="0"/>
              <w:bottom w:val="single" w:color="auto" w:sz="4" w:space="0"/>
              <w:right w:val="single" w:color="auto" w:sz="4" w:space="0"/>
            </w:tcBorders>
            <w:vAlign w:val="center"/>
          </w:tcPr>
          <w:p w14:paraId="09476E0F">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645D7AC6">
            <w:pPr>
              <w:spacing w:line="320" w:lineRule="exact"/>
              <w:ind w:firstLine="180" w:firstLineChars="10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14:paraId="56788F16">
            <w:pPr>
              <w:spacing w:line="320" w:lineRule="exact"/>
              <w:jc w:val="left"/>
              <w:rPr>
                <w:color w:val="000000"/>
                <w:kern w:val="0"/>
                <w:sz w:val="18"/>
                <w:szCs w:val="18"/>
              </w:rPr>
            </w:pPr>
            <w:r>
              <w:rPr>
                <w:rFonts w:hint="eastAsia"/>
                <w:color w:val="000000"/>
                <w:kern w:val="0"/>
                <w:sz w:val="18"/>
                <w:szCs w:val="18"/>
              </w:rPr>
              <w:t>第十三条第一款　审查机构对施工图进行审查后，应当根据下列情况分别作出处理：</w:t>
            </w:r>
          </w:p>
          <w:p w14:paraId="2170987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审查合格的，审查机构应当向建设单位出具审查合格书，并在全套施工图上加盖审查专用章。审查合格书应当有各专业的审查人员签字，经法定代表人签发，并加盖审查机构公章。审查机构应当在出具审查合格书后</w:t>
            </w:r>
            <w:r>
              <w:rPr>
                <w:color w:val="000000"/>
                <w:kern w:val="0"/>
                <w:sz w:val="18"/>
                <w:szCs w:val="18"/>
              </w:rPr>
              <w:t>5</w:t>
            </w:r>
            <w:r>
              <w:rPr>
                <w:rFonts w:hint="eastAsia"/>
                <w:color w:val="000000"/>
                <w:kern w:val="0"/>
                <w:sz w:val="18"/>
                <w:szCs w:val="18"/>
              </w:rPr>
              <w:t>个工作日内，将审查情况报工程所在地县级以上地方人民政府住房城乡建设主管部门备案。</w:t>
            </w:r>
          </w:p>
          <w:p w14:paraId="5B4092C3">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14:paraId="1BCCB1A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（六）未按规定在审查合格书和施工图上签字盖章的。</w:t>
            </w:r>
          </w:p>
        </w:tc>
      </w:tr>
      <w:tr w14:paraId="08E16602">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044B4D3C">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0F9B80F6">
            <w:pPr>
              <w:spacing w:line="320" w:lineRule="exact"/>
              <w:jc w:val="left"/>
              <w:rPr>
                <w:color w:val="000000"/>
                <w:kern w:val="0"/>
                <w:sz w:val="18"/>
                <w:szCs w:val="18"/>
              </w:rPr>
            </w:pPr>
            <w:r>
              <w:rPr>
                <w:rFonts w:hint="eastAsia"/>
                <w:color w:val="000000"/>
                <w:kern w:val="0"/>
                <w:sz w:val="18"/>
                <w:szCs w:val="18"/>
              </w:rPr>
              <w:t>罚款</w:t>
            </w:r>
          </w:p>
        </w:tc>
      </w:tr>
      <w:tr w14:paraId="4305FF7B">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22773B40">
            <w:pPr>
              <w:spacing w:line="320" w:lineRule="exact"/>
              <w:jc w:val="center"/>
              <w:rPr>
                <w:color w:val="000000"/>
                <w:kern w:val="0"/>
                <w:sz w:val="18"/>
                <w:szCs w:val="18"/>
              </w:rPr>
            </w:pPr>
            <w:r>
              <w:rPr>
                <w:rFonts w:hint="eastAsia"/>
                <w:color w:val="000000"/>
                <w:kern w:val="0"/>
                <w:sz w:val="18"/>
                <w:szCs w:val="18"/>
              </w:rPr>
              <w:t>裁量基准</w:t>
            </w:r>
          </w:p>
        </w:tc>
      </w:tr>
      <w:tr w14:paraId="0F1D2DE1">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8" w:space="0"/>
              <w:right w:val="single" w:color="auto" w:sz="4" w:space="0"/>
            </w:tcBorders>
            <w:vAlign w:val="center"/>
          </w:tcPr>
          <w:p w14:paraId="3AD5B97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8" w:space="0"/>
              <w:right w:val="single" w:color="auto" w:sz="4" w:space="0"/>
            </w:tcBorders>
            <w:vAlign w:val="center"/>
          </w:tcPr>
          <w:p w14:paraId="782AEEFC">
            <w:pPr>
              <w:spacing w:line="320" w:lineRule="exact"/>
              <w:jc w:val="left"/>
              <w:rPr>
                <w:color w:val="000000"/>
                <w:kern w:val="0"/>
                <w:sz w:val="18"/>
                <w:szCs w:val="18"/>
              </w:rPr>
            </w:pPr>
            <w:r>
              <w:rPr>
                <w:rFonts w:hint="eastAsia"/>
                <w:color w:val="000000"/>
                <w:kern w:val="0"/>
                <w:sz w:val="18"/>
                <w:szCs w:val="18"/>
              </w:rPr>
              <w:t>　</w:t>
            </w:r>
          </w:p>
        </w:tc>
        <w:tc>
          <w:tcPr>
            <w:tcW w:w="1080" w:type="dxa"/>
            <w:tcBorders>
              <w:top w:val="single" w:color="auto" w:sz="4" w:space="0"/>
              <w:left w:val="single" w:color="auto" w:sz="4" w:space="0"/>
              <w:bottom w:val="single" w:color="auto" w:sz="8" w:space="0"/>
              <w:right w:val="single" w:color="auto" w:sz="4" w:space="0"/>
            </w:tcBorders>
            <w:vAlign w:val="center"/>
          </w:tcPr>
          <w:p w14:paraId="1090454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8" w:space="0"/>
              <w:right w:val="single" w:color="auto" w:sz="8" w:space="0"/>
            </w:tcBorders>
            <w:vAlign w:val="center"/>
          </w:tcPr>
          <w:p w14:paraId="0CC779E6">
            <w:pPr>
              <w:spacing w:line="320" w:lineRule="exact"/>
              <w:jc w:val="left"/>
              <w:rPr>
                <w:color w:val="000000"/>
                <w:kern w:val="0"/>
                <w:sz w:val="18"/>
                <w:szCs w:val="18"/>
              </w:rPr>
            </w:pPr>
            <w:r>
              <w:rPr>
                <w:rFonts w:hint="eastAsia"/>
                <w:color w:val="000000"/>
                <w:kern w:val="0"/>
                <w:sz w:val="18"/>
                <w:szCs w:val="18"/>
              </w:rPr>
              <w:t>　</w:t>
            </w:r>
          </w:p>
        </w:tc>
      </w:tr>
    </w:tbl>
    <w:p w14:paraId="520AEA1D"/>
    <w:p w14:paraId="4859C647"/>
    <w:p w14:paraId="66AA396D"/>
    <w:p w14:paraId="2820B61F"/>
    <w:p w14:paraId="6F4400DC"/>
    <w:p w14:paraId="48A57825"/>
    <w:p w14:paraId="188912B7"/>
    <w:p w14:paraId="3C4C0CBD"/>
    <w:p w14:paraId="466CA88B"/>
    <w:p w14:paraId="37A59365"/>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DF6D521">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24F9C9ED">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5F20D89C">
            <w:pPr>
              <w:jc w:val="left"/>
              <w:textAlignment w:val="center"/>
              <w:rPr>
                <w:rFonts w:eastAsia="仿宋_GB2312"/>
                <w:b/>
                <w:bCs/>
                <w:color w:val="000000"/>
                <w:kern w:val="0"/>
                <w:sz w:val="18"/>
                <w:szCs w:val="18"/>
              </w:rPr>
            </w:pPr>
            <w:r>
              <w:rPr>
                <w:rFonts w:eastAsia="仿宋_GB2312"/>
                <w:b/>
                <w:color w:val="000000"/>
                <w:kern w:val="0"/>
                <w:sz w:val="20"/>
              </w:rPr>
              <w:t>320217135000</w:t>
            </w:r>
          </w:p>
        </w:tc>
      </w:tr>
      <w:tr w14:paraId="3CCB0D09">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215992D2">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27CF0149">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对房屋建筑和市政基础设施工程施工图设计文件审查机构出具虚假审查合格书的处罚</w:t>
            </w:r>
          </w:p>
        </w:tc>
      </w:tr>
      <w:tr w14:paraId="1E14DCCE">
        <w:tblPrEx>
          <w:tblCellMar>
            <w:top w:w="0" w:type="dxa"/>
            <w:left w:w="108" w:type="dxa"/>
            <w:bottom w:w="0" w:type="dxa"/>
            <w:right w:w="108" w:type="dxa"/>
          </w:tblCellMar>
        </w:tblPrEx>
        <w:trPr>
          <w:trHeight w:val="1320" w:hRule="atLeast"/>
        </w:trPr>
        <w:tc>
          <w:tcPr>
            <w:tcW w:w="1030" w:type="dxa"/>
            <w:tcBorders>
              <w:top w:val="nil"/>
              <w:left w:val="single" w:color="auto" w:sz="8" w:space="0"/>
              <w:bottom w:val="single" w:color="auto" w:sz="4" w:space="0"/>
              <w:right w:val="single" w:color="auto" w:sz="4" w:space="0"/>
            </w:tcBorders>
            <w:vAlign w:val="center"/>
          </w:tcPr>
          <w:p w14:paraId="11AC1970">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233488BD">
            <w:pPr>
              <w:spacing w:line="320" w:lineRule="exact"/>
              <w:ind w:firstLine="180" w:firstLineChars="10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14:paraId="70EE3E9D">
            <w:pPr>
              <w:spacing w:line="320" w:lineRule="exact"/>
              <w:jc w:val="left"/>
              <w:rPr>
                <w:color w:val="000000"/>
                <w:kern w:val="0"/>
                <w:sz w:val="18"/>
                <w:szCs w:val="18"/>
              </w:rPr>
            </w:pPr>
            <w:r>
              <w:rPr>
                <w:rFonts w:hint="eastAsia"/>
                <w:color w:val="000000"/>
                <w:kern w:val="0"/>
                <w:sz w:val="18"/>
                <w:szCs w:val="18"/>
              </w:rPr>
              <w:t>第二十五条　审查机构出具虚假审查合格书的，审查合格书无效，县级以上地方人民政府住房城乡建设主管部门处</w:t>
            </w:r>
            <w:r>
              <w:rPr>
                <w:color w:val="000000"/>
                <w:kern w:val="0"/>
                <w:sz w:val="18"/>
                <w:szCs w:val="18"/>
              </w:rPr>
              <w:t>3</w:t>
            </w:r>
            <w:r>
              <w:rPr>
                <w:rFonts w:hint="eastAsia"/>
                <w:color w:val="000000"/>
                <w:kern w:val="0"/>
                <w:sz w:val="18"/>
                <w:szCs w:val="18"/>
              </w:rPr>
              <w:t>万元罚款，省、自治区、直辖市人民政府住房城乡建设主管部门不再将其列入审查机构名录。</w:t>
            </w:r>
          </w:p>
          <w:p w14:paraId="11E333AF">
            <w:pPr>
              <w:spacing w:line="320" w:lineRule="exact"/>
              <w:jc w:val="left"/>
              <w:rPr>
                <w:color w:val="000000"/>
                <w:kern w:val="0"/>
                <w:sz w:val="18"/>
                <w:szCs w:val="18"/>
              </w:rPr>
            </w:pPr>
            <w:r>
              <w:rPr>
                <w:rFonts w:hint="eastAsia"/>
                <w:color w:val="000000"/>
                <w:kern w:val="0"/>
                <w:sz w:val="18"/>
                <w:szCs w:val="18"/>
              </w:rPr>
              <w:t>审查人员在虚假审查合格书上签字的，终身不得再担任审查人员；对于已实行执业注册制度的专业的审查人员，还应当依照《建设工程质量管理条例》第七十二条、《建设工程安全生产管理条例》第五十八条规定予以处罚。</w:t>
            </w:r>
          </w:p>
        </w:tc>
      </w:tr>
      <w:tr w14:paraId="00A3D481">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A9F2B9B">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2EBE861C">
            <w:pPr>
              <w:spacing w:line="320" w:lineRule="exact"/>
              <w:jc w:val="left"/>
              <w:rPr>
                <w:color w:val="000000"/>
                <w:kern w:val="0"/>
                <w:sz w:val="18"/>
                <w:szCs w:val="18"/>
              </w:rPr>
            </w:pPr>
            <w:r>
              <w:rPr>
                <w:rFonts w:hint="eastAsia"/>
                <w:color w:val="000000"/>
                <w:kern w:val="0"/>
                <w:sz w:val="18"/>
                <w:szCs w:val="18"/>
              </w:rPr>
              <w:t>罚款</w:t>
            </w:r>
          </w:p>
        </w:tc>
      </w:tr>
      <w:tr w14:paraId="5AE94DF9">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21816252">
            <w:pPr>
              <w:spacing w:line="320" w:lineRule="exact"/>
              <w:jc w:val="center"/>
              <w:rPr>
                <w:color w:val="000000"/>
                <w:kern w:val="0"/>
                <w:sz w:val="18"/>
                <w:szCs w:val="18"/>
              </w:rPr>
            </w:pPr>
            <w:r>
              <w:rPr>
                <w:rFonts w:hint="eastAsia"/>
                <w:color w:val="000000"/>
                <w:kern w:val="0"/>
                <w:sz w:val="18"/>
                <w:szCs w:val="18"/>
              </w:rPr>
              <w:t>裁量基准</w:t>
            </w:r>
          </w:p>
        </w:tc>
      </w:tr>
      <w:tr w14:paraId="5D729A53">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68B0A6A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773FB3C">
            <w:pPr>
              <w:spacing w:line="320" w:lineRule="exact"/>
              <w:jc w:val="left"/>
              <w:rPr>
                <w:color w:val="000000"/>
                <w:kern w:val="0"/>
                <w:sz w:val="18"/>
                <w:szCs w:val="18"/>
              </w:rPr>
            </w:pPr>
            <w:r>
              <w:rPr>
                <w:rFonts w:hint="eastAsia"/>
                <w:color w:val="000000"/>
                <w:kern w:val="0"/>
                <w:sz w:val="18"/>
                <w:szCs w:val="18"/>
              </w:rPr>
              <w:t>　</w:t>
            </w:r>
          </w:p>
        </w:tc>
        <w:tc>
          <w:tcPr>
            <w:tcW w:w="1080" w:type="dxa"/>
            <w:tcBorders>
              <w:top w:val="nil"/>
              <w:left w:val="nil"/>
              <w:bottom w:val="single" w:color="auto" w:sz="4" w:space="0"/>
              <w:right w:val="single" w:color="auto" w:sz="4" w:space="0"/>
            </w:tcBorders>
            <w:vAlign w:val="center"/>
          </w:tcPr>
          <w:p w14:paraId="7E48F312">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10C0A458">
            <w:pPr>
              <w:spacing w:line="320" w:lineRule="exact"/>
              <w:jc w:val="left"/>
              <w:rPr>
                <w:color w:val="000000"/>
                <w:kern w:val="0"/>
                <w:sz w:val="18"/>
                <w:szCs w:val="18"/>
              </w:rPr>
            </w:pPr>
            <w:r>
              <w:rPr>
                <w:rFonts w:hint="eastAsia"/>
                <w:color w:val="000000"/>
                <w:kern w:val="0"/>
                <w:sz w:val="18"/>
                <w:szCs w:val="18"/>
              </w:rPr>
              <w:t>　</w:t>
            </w:r>
          </w:p>
        </w:tc>
      </w:tr>
    </w:tbl>
    <w:p w14:paraId="3760E435"/>
    <w:p w14:paraId="156D7866"/>
    <w:p w14:paraId="2D89CE7D"/>
    <w:p w14:paraId="63D1D5F6"/>
    <w:p w14:paraId="243CF2EA"/>
    <w:p w14:paraId="05190B3C"/>
    <w:p w14:paraId="0DC092FA"/>
    <w:p w14:paraId="6DCCA22B"/>
    <w:p w14:paraId="1064CEE4"/>
    <w:p w14:paraId="2F1C60A0"/>
    <w:p w14:paraId="177273CD"/>
    <w:p w14:paraId="05CEB408"/>
    <w:tbl>
      <w:tblPr>
        <w:tblStyle w:val="15"/>
        <w:tblW w:w="0" w:type="auto"/>
        <w:tblInd w:w="88" w:type="dxa"/>
        <w:tblLayout w:type="fixed"/>
        <w:tblCellMar>
          <w:top w:w="0" w:type="dxa"/>
          <w:left w:w="108" w:type="dxa"/>
          <w:bottom w:w="0" w:type="dxa"/>
          <w:right w:w="108" w:type="dxa"/>
        </w:tblCellMar>
      </w:tblPr>
      <w:tblGrid>
        <w:gridCol w:w="1010"/>
        <w:gridCol w:w="2271"/>
        <w:gridCol w:w="3869"/>
        <w:gridCol w:w="1000"/>
        <w:gridCol w:w="5866"/>
      </w:tblGrid>
      <w:tr w14:paraId="64ADAF72">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EC64BA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23D33FDD">
            <w:pPr>
              <w:spacing w:line="320" w:lineRule="exact"/>
              <w:jc w:val="left"/>
              <w:rPr>
                <w:rFonts w:eastAsia="仿宋_GB2312"/>
                <w:b/>
                <w:bCs/>
                <w:color w:val="000000"/>
                <w:kern w:val="0"/>
                <w:sz w:val="18"/>
                <w:szCs w:val="18"/>
              </w:rPr>
            </w:pPr>
            <w:r>
              <w:rPr>
                <w:rFonts w:eastAsia="仿宋_GB2312"/>
                <w:b/>
                <w:bCs/>
                <w:color w:val="000000"/>
                <w:kern w:val="0"/>
                <w:sz w:val="18"/>
                <w:szCs w:val="18"/>
              </w:rPr>
              <w:t>320217136000</w:t>
            </w:r>
          </w:p>
        </w:tc>
      </w:tr>
      <w:tr w14:paraId="75165137">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80D6E0A">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7B50A979">
            <w:pPr>
              <w:spacing w:line="320" w:lineRule="exact"/>
              <w:jc w:val="left"/>
              <w:rPr>
                <w:color w:val="000000"/>
                <w:kern w:val="0"/>
                <w:sz w:val="18"/>
                <w:szCs w:val="18"/>
              </w:rPr>
            </w:pPr>
            <w:r>
              <w:rPr>
                <w:rFonts w:hint="eastAsia"/>
                <w:color w:val="000000"/>
                <w:kern w:val="0"/>
                <w:sz w:val="18"/>
                <w:szCs w:val="18"/>
              </w:rPr>
              <w:t>对申请人以欺骗等不正手段，登记为轮候对象或者承租公共租赁住房的处罚</w:t>
            </w:r>
          </w:p>
        </w:tc>
      </w:tr>
      <w:tr w14:paraId="7AFF8F8A">
        <w:tblPrEx>
          <w:tblCellMar>
            <w:top w:w="0" w:type="dxa"/>
            <w:left w:w="108" w:type="dxa"/>
            <w:bottom w:w="0" w:type="dxa"/>
            <w:right w:w="108" w:type="dxa"/>
          </w:tblCellMar>
        </w:tblPrEx>
        <w:trPr>
          <w:trHeight w:val="1278" w:hRule="atLeast"/>
        </w:trPr>
        <w:tc>
          <w:tcPr>
            <w:tcW w:w="1010" w:type="dxa"/>
            <w:tcBorders>
              <w:top w:val="nil"/>
              <w:left w:val="single" w:color="auto" w:sz="8" w:space="0"/>
              <w:bottom w:val="single" w:color="auto" w:sz="4" w:space="0"/>
              <w:right w:val="single" w:color="auto" w:sz="4" w:space="0"/>
            </w:tcBorders>
            <w:vAlign w:val="center"/>
          </w:tcPr>
          <w:p w14:paraId="7E1F53ED">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7EEECAC3">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14:paraId="594007F4">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以欺骗等不正手段，登记为轮候对象或者承租公共租赁住房的，由市、县级人民政府住房保障主管部门处以</w:t>
            </w:r>
            <w:r>
              <w:rPr>
                <w:color w:val="000000"/>
                <w:kern w:val="0"/>
                <w:sz w:val="18"/>
                <w:szCs w:val="18"/>
              </w:rPr>
              <w:t>1000</w:t>
            </w:r>
            <w:r>
              <w:rPr>
                <w:rFonts w:hint="eastAsia"/>
                <w:color w:val="000000"/>
                <w:kern w:val="0"/>
                <w:sz w:val="18"/>
                <w:szCs w:val="18"/>
              </w:rPr>
              <w:t>元以下罚款，记入公共租赁住房管理档案；登记为轮候对象的，取消其登记；已承租公共租赁住房的，责令限期退回所承租公共租赁住房，并按市场价格补缴租金，逾期不退回的，可以依法申请人民法院强制执行，承租人自退回公共租赁住房之日起五年内不得再次申请公共租赁住房。</w:t>
            </w:r>
          </w:p>
        </w:tc>
      </w:tr>
      <w:tr w14:paraId="0F2A049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69EA78F">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787FCD50">
            <w:pPr>
              <w:spacing w:line="320" w:lineRule="exact"/>
              <w:jc w:val="left"/>
              <w:rPr>
                <w:color w:val="000000"/>
                <w:kern w:val="0"/>
                <w:sz w:val="18"/>
                <w:szCs w:val="18"/>
              </w:rPr>
            </w:pPr>
            <w:r>
              <w:rPr>
                <w:rFonts w:hint="eastAsia"/>
                <w:color w:val="000000"/>
                <w:kern w:val="0"/>
                <w:sz w:val="18"/>
                <w:szCs w:val="18"/>
              </w:rPr>
              <w:t>罚款</w:t>
            </w:r>
          </w:p>
        </w:tc>
      </w:tr>
      <w:tr w14:paraId="2DFBE431">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256F2E54">
            <w:pPr>
              <w:spacing w:line="320" w:lineRule="exact"/>
              <w:jc w:val="center"/>
              <w:rPr>
                <w:color w:val="000000"/>
                <w:kern w:val="0"/>
                <w:sz w:val="18"/>
                <w:szCs w:val="18"/>
              </w:rPr>
            </w:pPr>
            <w:r>
              <w:rPr>
                <w:rFonts w:hint="eastAsia"/>
                <w:color w:val="000000"/>
                <w:kern w:val="0"/>
                <w:sz w:val="18"/>
                <w:szCs w:val="18"/>
              </w:rPr>
              <w:t>裁量基准</w:t>
            </w:r>
          </w:p>
        </w:tc>
      </w:tr>
      <w:tr w14:paraId="2BE8FF0B">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6AA2FC8B">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153F5DE9">
            <w:pPr>
              <w:spacing w:line="320" w:lineRule="exact"/>
              <w:jc w:val="left"/>
              <w:rPr>
                <w:color w:val="000000"/>
                <w:kern w:val="0"/>
                <w:sz w:val="18"/>
                <w:szCs w:val="18"/>
              </w:rPr>
            </w:pPr>
            <w:r>
              <w:rPr>
                <w:rFonts w:hint="eastAsia"/>
                <w:color w:val="000000"/>
                <w:kern w:val="0"/>
                <w:sz w:val="18"/>
                <w:szCs w:val="18"/>
              </w:rPr>
              <w:t>登记为轮候对象的</w:t>
            </w:r>
          </w:p>
        </w:tc>
        <w:tc>
          <w:tcPr>
            <w:tcW w:w="1000" w:type="dxa"/>
            <w:vMerge w:val="restart"/>
            <w:tcBorders>
              <w:top w:val="nil"/>
              <w:left w:val="single" w:color="auto" w:sz="4" w:space="0"/>
              <w:bottom w:val="single" w:color="auto" w:sz="4" w:space="0"/>
              <w:right w:val="single" w:color="auto" w:sz="4" w:space="0"/>
            </w:tcBorders>
            <w:vAlign w:val="center"/>
          </w:tcPr>
          <w:p w14:paraId="0AEE0F8B">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6416AFF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w:t>
            </w:r>
            <w:r>
              <w:rPr>
                <w:rFonts w:hint="eastAsia"/>
                <w:color w:val="000000"/>
                <w:kern w:val="0"/>
                <w:sz w:val="18"/>
                <w:szCs w:val="18"/>
              </w:rPr>
              <w:t>元以下罚款</w:t>
            </w:r>
          </w:p>
        </w:tc>
      </w:tr>
      <w:tr w14:paraId="29CECB71">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29DC91BD">
            <w:pPr>
              <w:spacing w:line="320" w:lineRule="exact"/>
              <w:jc w:val="left"/>
              <w:rPr>
                <w:color w:val="000000"/>
                <w:kern w:val="0"/>
                <w:sz w:val="18"/>
                <w:szCs w:val="18"/>
              </w:rPr>
            </w:pPr>
          </w:p>
        </w:tc>
        <w:tc>
          <w:tcPr>
            <w:tcW w:w="2271" w:type="dxa"/>
            <w:vMerge w:val="restart"/>
            <w:tcBorders>
              <w:top w:val="single" w:color="auto" w:sz="4" w:space="0"/>
              <w:left w:val="nil"/>
              <w:right w:val="single" w:color="auto" w:sz="4" w:space="0"/>
            </w:tcBorders>
            <w:vAlign w:val="center"/>
          </w:tcPr>
          <w:p w14:paraId="3D15D87E">
            <w:pPr>
              <w:spacing w:line="320" w:lineRule="exact"/>
              <w:jc w:val="left"/>
              <w:rPr>
                <w:color w:val="000000"/>
                <w:kern w:val="0"/>
                <w:sz w:val="18"/>
                <w:szCs w:val="18"/>
              </w:rPr>
            </w:pPr>
            <w:r>
              <w:rPr>
                <w:rFonts w:hint="eastAsia"/>
                <w:color w:val="000000"/>
                <w:kern w:val="0"/>
                <w:sz w:val="18"/>
                <w:szCs w:val="18"/>
              </w:rPr>
              <w:t>登记为承租公共租赁住房</w:t>
            </w:r>
          </w:p>
        </w:tc>
        <w:tc>
          <w:tcPr>
            <w:tcW w:w="3869" w:type="dxa"/>
            <w:tcBorders>
              <w:top w:val="single" w:color="auto" w:sz="4" w:space="0"/>
              <w:left w:val="nil"/>
              <w:bottom w:val="single" w:color="auto" w:sz="4" w:space="0"/>
              <w:right w:val="single" w:color="auto" w:sz="4" w:space="0"/>
            </w:tcBorders>
            <w:vAlign w:val="center"/>
          </w:tcPr>
          <w:p w14:paraId="5D3BA398">
            <w:pPr>
              <w:spacing w:line="320" w:lineRule="exact"/>
              <w:jc w:val="left"/>
              <w:rPr>
                <w:color w:val="000000"/>
                <w:kern w:val="0"/>
                <w:sz w:val="18"/>
                <w:szCs w:val="18"/>
              </w:rPr>
            </w:pPr>
            <w:r>
              <w:rPr>
                <w:rFonts w:hint="eastAsia"/>
                <w:color w:val="000000"/>
                <w:kern w:val="0"/>
                <w:sz w:val="18"/>
                <w:szCs w:val="18"/>
              </w:rPr>
              <w:t>按照要求退回住房的</w:t>
            </w:r>
          </w:p>
        </w:tc>
        <w:tc>
          <w:tcPr>
            <w:tcW w:w="1000" w:type="dxa"/>
            <w:vMerge w:val="continue"/>
            <w:tcBorders>
              <w:top w:val="nil"/>
              <w:left w:val="single" w:color="auto" w:sz="4" w:space="0"/>
              <w:bottom w:val="single" w:color="auto" w:sz="4" w:space="0"/>
              <w:right w:val="single" w:color="auto" w:sz="4" w:space="0"/>
            </w:tcBorders>
            <w:vAlign w:val="center"/>
          </w:tcPr>
          <w:p w14:paraId="04EEDB76">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D6D83A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元以下罚款</w:t>
            </w:r>
          </w:p>
        </w:tc>
      </w:tr>
      <w:tr w14:paraId="05DD6108">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604FD227">
            <w:pPr>
              <w:spacing w:line="320" w:lineRule="exact"/>
              <w:jc w:val="left"/>
              <w:rPr>
                <w:color w:val="000000"/>
                <w:kern w:val="0"/>
                <w:sz w:val="18"/>
                <w:szCs w:val="18"/>
              </w:rPr>
            </w:pPr>
          </w:p>
        </w:tc>
        <w:tc>
          <w:tcPr>
            <w:tcW w:w="2271" w:type="dxa"/>
            <w:vMerge w:val="continue"/>
            <w:tcBorders>
              <w:left w:val="nil"/>
              <w:bottom w:val="single" w:color="auto" w:sz="4" w:space="0"/>
              <w:right w:val="single" w:color="auto" w:sz="4" w:space="0"/>
            </w:tcBorders>
            <w:vAlign w:val="center"/>
          </w:tcPr>
          <w:p w14:paraId="17E4604E">
            <w:pPr>
              <w:spacing w:line="320" w:lineRule="exact"/>
              <w:jc w:val="left"/>
              <w:rPr>
                <w:color w:val="000000"/>
                <w:kern w:val="0"/>
                <w:sz w:val="18"/>
                <w:szCs w:val="18"/>
              </w:rPr>
            </w:pPr>
          </w:p>
        </w:tc>
        <w:tc>
          <w:tcPr>
            <w:tcW w:w="3869" w:type="dxa"/>
            <w:tcBorders>
              <w:top w:val="single" w:color="auto" w:sz="4" w:space="0"/>
              <w:left w:val="nil"/>
              <w:bottom w:val="single" w:color="auto" w:sz="4" w:space="0"/>
              <w:right w:val="single" w:color="auto" w:sz="4" w:space="0"/>
            </w:tcBorders>
            <w:vAlign w:val="center"/>
          </w:tcPr>
          <w:p w14:paraId="1B09ACC5">
            <w:pPr>
              <w:spacing w:line="320" w:lineRule="exact"/>
              <w:jc w:val="left"/>
              <w:rPr>
                <w:color w:val="000000"/>
                <w:kern w:val="0"/>
                <w:sz w:val="18"/>
                <w:szCs w:val="18"/>
              </w:rPr>
            </w:pPr>
            <w:r>
              <w:rPr>
                <w:rFonts w:hint="eastAsia"/>
                <w:color w:val="000000"/>
                <w:kern w:val="0"/>
                <w:sz w:val="18"/>
                <w:szCs w:val="18"/>
              </w:rPr>
              <w:t>未按照要求退回住房的</w:t>
            </w:r>
          </w:p>
        </w:tc>
        <w:tc>
          <w:tcPr>
            <w:tcW w:w="1000" w:type="dxa"/>
            <w:vMerge w:val="continue"/>
            <w:tcBorders>
              <w:top w:val="nil"/>
              <w:left w:val="single" w:color="auto" w:sz="4" w:space="0"/>
              <w:bottom w:val="single" w:color="auto" w:sz="4" w:space="0"/>
              <w:right w:val="single" w:color="auto" w:sz="4" w:space="0"/>
            </w:tcBorders>
            <w:vAlign w:val="center"/>
          </w:tcPr>
          <w:p w14:paraId="60DF5D5F">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7783B1F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0C4AE1E0"/>
    <w:p w14:paraId="14386353"/>
    <w:p w14:paraId="1E720FC2"/>
    <w:p w14:paraId="3C0DDDAF"/>
    <w:p w14:paraId="58F381CD"/>
    <w:p w14:paraId="4951A7F4"/>
    <w:p w14:paraId="37F71DE2"/>
    <w:p w14:paraId="16445161"/>
    <w:p w14:paraId="6289CAE0"/>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79CE32E1">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C0F738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30C83691">
            <w:pPr>
              <w:spacing w:line="320" w:lineRule="exact"/>
              <w:jc w:val="left"/>
              <w:rPr>
                <w:rFonts w:eastAsia="仿宋_GB2312"/>
                <w:b/>
                <w:bCs/>
                <w:color w:val="000000"/>
                <w:kern w:val="0"/>
                <w:sz w:val="18"/>
                <w:szCs w:val="18"/>
              </w:rPr>
            </w:pPr>
            <w:r>
              <w:rPr>
                <w:rFonts w:eastAsia="仿宋_GB2312"/>
                <w:b/>
                <w:bCs/>
                <w:color w:val="000000"/>
                <w:kern w:val="0"/>
                <w:sz w:val="18"/>
                <w:szCs w:val="18"/>
              </w:rPr>
              <w:t>320217137000</w:t>
            </w:r>
          </w:p>
        </w:tc>
      </w:tr>
      <w:tr w14:paraId="4557A53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9B98FD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3913EF03">
            <w:pPr>
              <w:spacing w:line="320" w:lineRule="exact"/>
              <w:jc w:val="left"/>
              <w:rPr>
                <w:color w:val="000000"/>
                <w:kern w:val="0"/>
                <w:sz w:val="18"/>
                <w:szCs w:val="18"/>
              </w:rPr>
            </w:pPr>
            <w:r>
              <w:rPr>
                <w:rFonts w:hint="eastAsia"/>
                <w:color w:val="000000"/>
                <w:kern w:val="0"/>
                <w:sz w:val="18"/>
                <w:szCs w:val="18"/>
              </w:rPr>
              <w:t>对承租人转借、转租或者擅自调换所承租公共租赁住房的处罚</w:t>
            </w:r>
          </w:p>
        </w:tc>
      </w:tr>
      <w:tr w14:paraId="6BA7ABFF">
        <w:tblPrEx>
          <w:tblCellMar>
            <w:top w:w="0" w:type="dxa"/>
            <w:left w:w="108" w:type="dxa"/>
            <w:bottom w:w="0" w:type="dxa"/>
            <w:right w:w="108" w:type="dxa"/>
          </w:tblCellMar>
        </w:tblPrEx>
        <w:trPr>
          <w:trHeight w:val="1420" w:hRule="atLeast"/>
        </w:trPr>
        <w:tc>
          <w:tcPr>
            <w:tcW w:w="1010" w:type="dxa"/>
            <w:tcBorders>
              <w:top w:val="nil"/>
              <w:left w:val="single" w:color="auto" w:sz="8" w:space="0"/>
              <w:bottom w:val="single" w:color="auto" w:sz="4" w:space="0"/>
              <w:right w:val="single" w:color="auto" w:sz="4" w:space="0"/>
            </w:tcBorders>
            <w:vAlign w:val="center"/>
          </w:tcPr>
          <w:p w14:paraId="12A5BE96">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7EE4812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14:paraId="33CBA6EC">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倍以下但不超过</w:t>
            </w:r>
            <w:r>
              <w:rPr>
                <w:color w:val="000000"/>
                <w:kern w:val="0"/>
                <w:sz w:val="18"/>
                <w:szCs w:val="18"/>
              </w:rPr>
              <w:t>3</w:t>
            </w:r>
            <w:r>
              <w:rPr>
                <w:rFonts w:hint="eastAsia"/>
                <w:color w:val="000000"/>
                <w:kern w:val="0"/>
                <w:sz w:val="18"/>
                <w:szCs w:val="18"/>
              </w:rPr>
              <w:t>万元的罚款</w:t>
            </w:r>
          </w:p>
          <w:p w14:paraId="1865285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（一）转借、转租或者擅自调换所承租公共租赁住房的；</w:t>
            </w:r>
          </w:p>
          <w:p w14:paraId="3F77F8E1">
            <w:pPr>
              <w:spacing w:line="320" w:lineRule="exact"/>
              <w:ind w:firstLine="360" w:firstLineChars="200"/>
              <w:jc w:val="left"/>
              <w:rPr>
                <w:color w:val="000000"/>
                <w:kern w:val="0"/>
                <w:sz w:val="18"/>
                <w:szCs w:val="18"/>
              </w:rPr>
            </w:pPr>
            <w:r>
              <w:rPr>
                <w:rFonts w:hint="eastAsia"/>
                <w:color w:val="000000"/>
                <w:kern w:val="0"/>
                <w:sz w:val="18"/>
                <w:szCs w:val="18"/>
              </w:rPr>
              <w:t>有前款所列行为，承租人自退回公共租赁住房之日起五年内不得再次申请公共租赁住房；造成损失的，依法承担赔偿责任。</w:t>
            </w:r>
          </w:p>
        </w:tc>
      </w:tr>
      <w:tr w14:paraId="006BA46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498ABFE">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AB029CE">
            <w:pPr>
              <w:spacing w:line="320" w:lineRule="exact"/>
              <w:jc w:val="left"/>
              <w:rPr>
                <w:color w:val="000000"/>
                <w:kern w:val="0"/>
                <w:sz w:val="18"/>
                <w:szCs w:val="18"/>
              </w:rPr>
            </w:pPr>
            <w:r>
              <w:rPr>
                <w:rFonts w:hint="eastAsia"/>
                <w:color w:val="000000"/>
                <w:kern w:val="0"/>
                <w:sz w:val="18"/>
                <w:szCs w:val="18"/>
              </w:rPr>
              <w:t>罚款</w:t>
            </w:r>
          </w:p>
        </w:tc>
      </w:tr>
      <w:tr w14:paraId="434FFE4D">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1F0B03C">
            <w:pPr>
              <w:spacing w:line="320" w:lineRule="exact"/>
              <w:jc w:val="center"/>
              <w:rPr>
                <w:color w:val="000000"/>
                <w:kern w:val="0"/>
                <w:sz w:val="18"/>
                <w:szCs w:val="18"/>
              </w:rPr>
            </w:pPr>
            <w:r>
              <w:rPr>
                <w:rFonts w:hint="eastAsia"/>
                <w:color w:val="000000"/>
                <w:kern w:val="0"/>
                <w:sz w:val="18"/>
                <w:szCs w:val="18"/>
              </w:rPr>
              <w:t>裁量基准</w:t>
            </w:r>
          </w:p>
        </w:tc>
      </w:tr>
      <w:tr w14:paraId="5E822D3B">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11F94BB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74D7BED">
            <w:pPr>
              <w:spacing w:line="320" w:lineRule="exact"/>
              <w:jc w:val="left"/>
              <w:rPr>
                <w:color w:val="000000"/>
                <w:kern w:val="0"/>
                <w:sz w:val="18"/>
                <w:szCs w:val="18"/>
              </w:rPr>
            </w:pPr>
            <w:r>
              <w:rPr>
                <w:rFonts w:hint="eastAsia"/>
                <w:color w:val="000000"/>
                <w:kern w:val="0"/>
                <w:sz w:val="18"/>
                <w:szCs w:val="18"/>
              </w:rPr>
              <w:t>没有违法所得且按照要求退回公共租赁住房的</w:t>
            </w:r>
          </w:p>
        </w:tc>
        <w:tc>
          <w:tcPr>
            <w:tcW w:w="1000" w:type="dxa"/>
            <w:vMerge w:val="restart"/>
            <w:tcBorders>
              <w:top w:val="nil"/>
              <w:left w:val="single" w:color="auto" w:sz="4" w:space="0"/>
              <w:bottom w:val="single" w:color="auto" w:sz="4" w:space="0"/>
              <w:right w:val="single" w:color="auto" w:sz="4" w:space="0"/>
            </w:tcBorders>
            <w:vAlign w:val="center"/>
          </w:tcPr>
          <w:p w14:paraId="1B3E2610">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3C32009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14:paraId="57506708">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0BC65B2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CA0703F">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val="continue"/>
            <w:tcBorders>
              <w:top w:val="nil"/>
              <w:left w:val="single" w:color="auto" w:sz="4" w:space="0"/>
              <w:bottom w:val="single" w:color="auto" w:sz="4" w:space="0"/>
              <w:right w:val="single" w:color="auto" w:sz="4" w:space="0"/>
            </w:tcBorders>
            <w:vAlign w:val="center"/>
          </w:tcPr>
          <w:p w14:paraId="41A8604A">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ABAC68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14:paraId="6F84BFAB">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4C9DFEC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4E1266C">
            <w:pPr>
              <w:spacing w:line="320" w:lineRule="exact"/>
              <w:jc w:val="left"/>
              <w:rPr>
                <w:color w:val="000000"/>
                <w:kern w:val="0"/>
                <w:sz w:val="18"/>
                <w:szCs w:val="18"/>
              </w:rPr>
            </w:pPr>
            <w:r>
              <w:rPr>
                <w:rFonts w:hint="eastAsia"/>
                <w:color w:val="000000"/>
                <w:kern w:val="0"/>
                <w:sz w:val="18"/>
                <w:szCs w:val="18"/>
              </w:rPr>
              <w:t>有违法所得且按照要求退回公共租赁住房的</w:t>
            </w:r>
          </w:p>
        </w:tc>
        <w:tc>
          <w:tcPr>
            <w:tcW w:w="1000" w:type="dxa"/>
            <w:vMerge w:val="continue"/>
            <w:tcBorders>
              <w:top w:val="nil"/>
              <w:left w:val="single" w:color="auto" w:sz="4" w:space="0"/>
              <w:bottom w:val="single" w:color="auto" w:sz="4" w:space="0"/>
              <w:right w:val="single" w:color="auto" w:sz="4" w:space="0"/>
            </w:tcBorders>
            <w:vAlign w:val="center"/>
          </w:tcPr>
          <w:p w14:paraId="31A0A038">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315F89CA">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1ACD6561">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22DFF6D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D60071D">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val="continue"/>
            <w:tcBorders>
              <w:top w:val="nil"/>
              <w:left w:val="single" w:color="auto" w:sz="4" w:space="0"/>
              <w:bottom w:val="single" w:color="auto" w:sz="4" w:space="0"/>
              <w:right w:val="single" w:color="auto" w:sz="4" w:space="0"/>
            </w:tcBorders>
            <w:vAlign w:val="center"/>
          </w:tcPr>
          <w:p w14:paraId="7B4539C8">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024DB623">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7E7F86A5"/>
    <w:p w14:paraId="081F7539"/>
    <w:p w14:paraId="09B105C8"/>
    <w:p w14:paraId="031914A1"/>
    <w:p w14:paraId="0DF0E255"/>
    <w:p w14:paraId="699E882B"/>
    <w:p w14:paraId="3ED13EC6"/>
    <w:p w14:paraId="6F262C7E"/>
    <w:p w14:paraId="44D87DEE"/>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3113EC2E">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1E76F48D">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0D9CE2DD">
            <w:pPr>
              <w:spacing w:line="320" w:lineRule="exact"/>
              <w:jc w:val="left"/>
              <w:rPr>
                <w:rFonts w:eastAsia="仿宋_GB2312"/>
                <w:b/>
                <w:bCs/>
                <w:color w:val="000000"/>
                <w:kern w:val="0"/>
                <w:sz w:val="18"/>
                <w:szCs w:val="18"/>
              </w:rPr>
            </w:pPr>
            <w:r>
              <w:rPr>
                <w:rFonts w:eastAsia="仿宋_GB2312"/>
                <w:b/>
                <w:bCs/>
                <w:color w:val="000000"/>
                <w:kern w:val="0"/>
                <w:sz w:val="18"/>
                <w:szCs w:val="18"/>
              </w:rPr>
              <w:t>320217138000</w:t>
            </w:r>
            <w:r>
              <w:rPr>
                <w:rFonts w:hint="eastAsia" w:eastAsia="仿宋_GB2312"/>
                <w:b/>
                <w:bCs/>
                <w:color w:val="000000"/>
                <w:kern w:val="0"/>
                <w:sz w:val="18"/>
                <w:szCs w:val="18"/>
              </w:rPr>
              <w:t xml:space="preserve"> </w:t>
            </w:r>
          </w:p>
        </w:tc>
      </w:tr>
      <w:tr w14:paraId="1C2735EB">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5BB93B24">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23DFBE74">
            <w:pPr>
              <w:spacing w:line="320" w:lineRule="exact"/>
              <w:jc w:val="left"/>
              <w:rPr>
                <w:rFonts w:eastAsia="仿宋_GB2312"/>
                <w:color w:val="000000"/>
                <w:sz w:val="20"/>
              </w:rPr>
            </w:pPr>
            <w:r>
              <w:rPr>
                <w:rFonts w:hint="eastAsia"/>
                <w:color w:val="000000"/>
                <w:kern w:val="0"/>
                <w:sz w:val="18"/>
                <w:szCs w:val="18"/>
              </w:rPr>
              <w:t>对排水户名称、法定代表人等其他事项变更，未按本办法规定及时向城镇排水主管部门申请办理变更的处罚</w:t>
            </w:r>
          </w:p>
        </w:tc>
      </w:tr>
      <w:tr w14:paraId="3F002431">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7C9CACF2">
            <w:pPr>
              <w:spacing w:line="320" w:lineRule="exact"/>
              <w:jc w:val="left"/>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69A5430C">
            <w:pPr>
              <w:jc w:val="left"/>
              <w:textAlignment w:val="center"/>
              <w:rPr>
                <w:color w:val="000000"/>
                <w:kern w:val="0"/>
                <w:sz w:val="18"/>
                <w:szCs w:val="18"/>
              </w:rPr>
            </w:pPr>
            <w:r>
              <w:rPr>
                <w:rFonts w:hint="eastAsia"/>
                <w:color w:val="000000"/>
                <w:kern w:val="0"/>
                <w:sz w:val="18"/>
                <w:szCs w:val="18"/>
              </w:rPr>
              <w:t xml:space="preserve">【规章】《城镇污水排入排水管网许可管理办法》（住房和城乡建设部令第56号）   </w:t>
            </w:r>
          </w:p>
          <w:p w14:paraId="37AD6670">
            <w:pPr>
              <w:jc w:val="left"/>
              <w:textAlignment w:val="center"/>
              <w:rPr>
                <w:color w:val="000000"/>
                <w:kern w:val="0"/>
                <w:sz w:val="18"/>
                <w:szCs w:val="18"/>
              </w:rPr>
            </w:pPr>
            <w:r>
              <w:rPr>
                <w:rFonts w:hint="eastAsia"/>
                <w:color w:val="000000"/>
                <w:kern w:val="0"/>
                <w:sz w:val="18"/>
                <w:szCs w:val="18"/>
              </w:rPr>
              <w:t xml:space="preserve">      第十二条第二款   排水户名称、法定代表人等其他事项变更的，排水户应当在变更之日起30日内向城镇排水主管部门申请办理变更。</w:t>
            </w:r>
          </w:p>
          <w:p w14:paraId="43162D88">
            <w:pPr>
              <w:jc w:val="left"/>
              <w:textAlignment w:val="center"/>
              <w:rPr>
                <w:color w:val="000000"/>
                <w:kern w:val="0"/>
                <w:sz w:val="18"/>
                <w:szCs w:val="18"/>
              </w:rPr>
            </w:pPr>
            <w:r>
              <w:rPr>
                <w:rFonts w:hint="eastAsia"/>
                <w:color w:val="000000"/>
                <w:kern w:val="0"/>
                <w:sz w:val="18"/>
                <w:szCs w:val="18"/>
              </w:rPr>
              <w:t>　    第二十九条　排水户名称、法定代表人等其他事项变更，未按本办法规定及时向城镇排水主管部门申请办理变更的，由城镇排水主管部门责令改正，可以处1万元以下罚款。</w:t>
            </w:r>
          </w:p>
        </w:tc>
      </w:tr>
      <w:tr w14:paraId="67F0E93A">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E32CD19">
            <w:pPr>
              <w:spacing w:line="320" w:lineRule="exact"/>
              <w:jc w:val="left"/>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1DE3A57F">
            <w:pPr>
              <w:spacing w:line="320" w:lineRule="exact"/>
              <w:jc w:val="left"/>
              <w:rPr>
                <w:color w:val="000000"/>
                <w:kern w:val="0"/>
                <w:sz w:val="18"/>
                <w:szCs w:val="18"/>
              </w:rPr>
            </w:pPr>
            <w:r>
              <w:rPr>
                <w:rFonts w:hint="eastAsia"/>
                <w:color w:val="000000"/>
                <w:kern w:val="0"/>
                <w:sz w:val="18"/>
                <w:szCs w:val="18"/>
              </w:rPr>
              <w:t>责令改正，罚款</w:t>
            </w:r>
          </w:p>
        </w:tc>
      </w:tr>
      <w:tr w14:paraId="586D7323">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025AA68A">
            <w:pPr>
              <w:spacing w:line="320" w:lineRule="exact"/>
              <w:jc w:val="center"/>
              <w:rPr>
                <w:color w:val="000000"/>
                <w:kern w:val="0"/>
                <w:sz w:val="18"/>
                <w:szCs w:val="18"/>
              </w:rPr>
            </w:pPr>
            <w:r>
              <w:rPr>
                <w:rFonts w:hint="eastAsia"/>
                <w:color w:val="000000"/>
                <w:kern w:val="0"/>
                <w:sz w:val="18"/>
                <w:szCs w:val="18"/>
              </w:rPr>
              <w:t>裁量基准</w:t>
            </w:r>
          </w:p>
        </w:tc>
      </w:tr>
      <w:tr w14:paraId="537A3FB6">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right w:val="single" w:color="auto" w:sz="4" w:space="0"/>
            </w:tcBorders>
            <w:vAlign w:val="center"/>
          </w:tcPr>
          <w:p w14:paraId="6CE69F0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50BC0E0">
            <w:pPr>
              <w:spacing w:line="320" w:lineRule="exact"/>
              <w:jc w:val="left"/>
              <w:rPr>
                <w:color w:val="000000"/>
                <w:kern w:val="0"/>
                <w:sz w:val="18"/>
                <w:szCs w:val="18"/>
              </w:rPr>
            </w:pPr>
            <w:r>
              <w:rPr>
                <w:rFonts w:hint="eastAsia"/>
                <w:color w:val="000000"/>
                <w:kern w:val="0"/>
                <w:sz w:val="18"/>
                <w:szCs w:val="18"/>
              </w:rPr>
              <w:t>仅一个事项未及时办理变更，且未按照要求改正的</w:t>
            </w:r>
          </w:p>
        </w:tc>
        <w:tc>
          <w:tcPr>
            <w:tcW w:w="1000" w:type="dxa"/>
            <w:vMerge w:val="restart"/>
            <w:tcBorders>
              <w:top w:val="nil"/>
              <w:left w:val="single" w:color="auto" w:sz="4" w:space="0"/>
              <w:right w:val="single" w:color="auto" w:sz="4" w:space="0"/>
            </w:tcBorders>
            <w:vAlign w:val="center"/>
          </w:tcPr>
          <w:p w14:paraId="6AF2F89A">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6CD2E24A">
            <w:pPr>
              <w:spacing w:line="320" w:lineRule="exact"/>
              <w:jc w:val="left"/>
              <w:rPr>
                <w:color w:val="000000"/>
                <w:kern w:val="0"/>
                <w:sz w:val="18"/>
                <w:szCs w:val="18"/>
              </w:rPr>
            </w:pPr>
            <w:r>
              <w:rPr>
                <w:rFonts w:hint="eastAsia"/>
                <w:color w:val="000000"/>
                <w:kern w:val="0"/>
                <w:sz w:val="18"/>
                <w:szCs w:val="18"/>
              </w:rPr>
              <w:t>处5000元以下的罚款</w:t>
            </w:r>
          </w:p>
        </w:tc>
      </w:tr>
      <w:tr w14:paraId="3FD356D6">
        <w:tblPrEx>
          <w:tblCellMar>
            <w:top w:w="0" w:type="dxa"/>
            <w:left w:w="108" w:type="dxa"/>
            <w:bottom w:w="0" w:type="dxa"/>
            <w:right w:w="108" w:type="dxa"/>
          </w:tblCellMar>
        </w:tblPrEx>
        <w:trPr>
          <w:trHeight w:val="285" w:hRule="atLeast"/>
        </w:trPr>
        <w:tc>
          <w:tcPr>
            <w:tcW w:w="980" w:type="dxa"/>
            <w:vMerge w:val="continue"/>
            <w:tcBorders>
              <w:left w:val="single" w:color="auto" w:sz="8" w:space="0"/>
              <w:bottom w:val="single" w:color="auto" w:sz="4" w:space="0"/>
              <w:right w:val="single" w:color="auto" w:sz="4" w:space="0"/>
            </w:tcBorders>
            <w:vAlign w:val="center"/>
          </w:tcPr>
          <w:p w14:paraId="3C5F678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EF581CF">
            <w:pPr>
              <w:spacing w:line="320" w:lineRule="exact"/>
              <w:jc w:val="left"/>
              <w:rPr>
                <w:color w:val="000000"/>
                <w:kern w:val="0"/>
                <w:sz w:val="18"/>
                <w:szCs w:val="18"/>
              </w:rPr>
            </w:pPr>
            <w:r>
              <w:rPr>
                <w:rFonts w:hint="eastAsia"/>
                <w:color w:val="000000"/>
                <w:kern w:val="0"/>
                <w:sz w:val="18"/>
                <w:szCs w:val="18"/>
              </w:rPr>
              <w:t>两个及以上事项未及时办理变更，且未按照要求改正的</w:t>
            </w:r>
          </w:p>
        </w:tc>
        <w:tc>
          <w:tcPr>
            <w:tcW w:w="1000" w:type="dxa"/>
            <w:vMerge w:val="continue"/>
            <w:tcBorders>
              <w:left w:val="single" w:color="auto" w:sz="4" w:space="0"/>
              <w:bottom w:val="single" w:color="auto" w:sz="4" w:space="0"/>
              <w:right w:val="single" w:color="auto" w:sz="4" w:space="0"/>
            </w:tcBorders>
            <w:vAlign w:val="center"/>
          </w:tcPr>
          <w:p w14:paraId="22A098E0">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3BE74C9E">
            <w:pPr>
              <w:spacing w:line="320" w:lineRule="exact"/>
              <w:jc w:val="left"/>
              <w:rPr>
                <w:color w:val="000000"/>
                <w:kern w:val="0"/>
                <w:sz w:val="18"/>
                <w:szCs w:val="18"/>
              </w:rPr>
            </w:pPr>
            <w:r>
              <w:rPr>
                <w:rFonts w:hint="eastAsia"/>
                <w:color w:val="000000"/>
                <w:kern w:val="0"/>
                <w:sz w:val="18"/>
                <w:szCs w:val="18"/>
              </w:rPr>
              <w:t>处5000元以上1万元以下的罚款</w:t>
            </w:r>
          </w:p>
        </w:tc>
      </w:tr>
    </w:tbl>
    <w:p w14:paraId="03B23871"/>
    <w:p w14:paraId="45ADA455"/>
    <w:p w14:paraId="410A9DBB"/>
    <w:p w14:paraId="336D1330"/>
    <w:p w14:paraId="341E4B7B"/>
    <w:p w14:paraId="1547D693"/>
    <w:p w14:paraId="6C0A7976"/>
    <w:p w14:paraId="7315382B"/>
    <w:p w14:paraId="410DD3D9"/>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19E679DC">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2860D5A6">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2D81F6C2">
            <w:pPr>
              <w:spacing w:line="320" w:lineRule="exact"/>
              <w:jc w:val="left"/>
              <w:rPr>
                <w:rFonts w:eastAsia="仿宋_GB2312"/>
                <w:b/>
                <w:bCs/>
                <w:color w:val="000000"/>
                <w:kern w:val="0"/>
                <w:sz w:val="18"/>
                <w:szCs w:val="18"/>
              </w:rPr>
            </w:pPr>
            <w:r>
              <w:rPr>
                <w:rFonts w:eastAsia="仿宋_GB2312"/>
                <w:b/>
                <w:bCs/>
                <w:color w:val="000000"/>
                <w:kern w:val="0"/>
                <w:sz w:val="18"/>
                <w:szCs w:val="18"/>
              </w:rPr>
              <w:t>320217143000</w:t>
            </w:r>
          </w:p>
        </w:tc>
      </w:tr>
      <w:tr w14:paraId="4BCF3CEC">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4189B14C">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1D525A7E">
            <w:pPr>
              <w:spacing w:line="320" w:lineRule="exact"/>
              <w:jc w:val="left"/>
              <w:rPr>
                <w:color w:val="000000"/>
                <w:kern w:val="0"/>
                <w:sz w:val="18"/>
                <w:szCs w:val="18"/>
              </w:rPr>
            </w:pPr>
            <w:r>
              <w:rPr>
                <w:rFonts w:hint="eastAsia"/>
                <w:color w:val="000000"/>
                <w:kern w:val="0"/>
                <w:sz w:val="18"/>
                <w:szCs w:val="18"/>
              </w:rPr>
              <w:t>对施工单位挪用列入建设工程概算的安全生产作业环境及安全施工措施所需费用的处罚</w:t>
            </w:r>
          </w:p>
        </w:tc>
      </w:tr>
      <w:tr w14:paraId="1418A50E">
        <w:tblPrEx>
          <w:tblCellMar>
            <w:top w:w="0" w:type="dxa"/>
            <w:left w:w="108" w:type="dxa"/>
            <w:bottom w:w="0" w:type="dxa"/>
            <w:right w:w="108" w:type="dxa"/>
          </w:tblCellMar>
        </w:tblPrEx>
        <w:trPr>
          <w:trHeight w:val="1635" w:hRule="atLeast"/>
        </w:trPr>
        <w:tc>
          <w:tcPr>
            <w:tcW w:w="1026" w:type="dxa"/>
            <w:tcBorders>
              <w:top w:val="nil"/>
              <w:left w:val="single" w:color="auto" w:sz="8" w:space="0"/>
              <w:bottom w:val="single" w:color="auto" w:sz="4" w:space="0"/>
              <w:right w:val="single" w:color="auto" w:sz="4" w:space="0"/>
            </w:tcBorders>
            <w:vAlign w:val="center"/>
          </w:tcPr>
          <w:p w14:paraId="5C8D32F3">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313EE40B">
            <w:pPr>
              <w:spacing w:line="320" w:lineRule="exact"/>
              <w:jc w:val="left"/>
              <w:rPr>
                <w:color w:val="000000"/>
                <w:kern w:val="0"/>
                <w:sz w:val="18"/>
                <w:szCs w:val="18"/>
              </w:rPr>
            </w:pP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76FF3185">
            <w:pPr>
              <w:spacing w:line="320" w:lineRule="exact"/>
              <w:jc w:val="left"/>
              <w:rPr>
                <w:color w:val="000000"/>
                <w:kern w:val="0"/>
                <w:sz w:val="18"/>
                <w:szCs w:val="18"/>
              </w:rPr>
            </w:pPr>
            <w:r>
              <w:rPr>
                <w:rFonts w:hint="eastAsia"/>
                <w:color w:val="000000"/>
                <w:kern w:val="0"/>
                <w:sz w:val="18"/>
                <w:szCs w:val="18"/>
              </w:rPr>
              <w:t>第八条　建设单位在编制工程概算时，应当确定建设工程安全作业环境及安全施工措施所需费用。</w:t>
            </w:r>
          </w:p>
          <w:p w14:paraId="34EF6DDC">
            <w:pPr>
              <w:spacing w:line="320" w:lineRule="exact"/>
              <w:jc w:val="left"/>
              <w:rPr>
                <w:color w:val="000000"/>
                <w:kern w:val="0"/>
                <w:sz w:val="18"/>
                <w:szCs w:val="18"/>
              </w:rPr>
            </w:pPr>
            <w:r>
              <w:rPr>
                <w:rFonts w:hint="eastAsia"/>
                <w:color w:val="000000"/>
                <w:kern w:val="0"/>
                <w:sz w:val="18"/>
                <w:szCs w:val="18"/>
              </w:rPr>
              <w:t>第二十二条　施工单位对列入建设工程概算的安全作业环境及安全施工措施所需费用，应当用于施工安全防护用具及设施的采购和更新、安全施工措施的落实、安全生产条件的改善，不得挪作他用。</w:t>
            </w:r>
          </w:p>
          <w:p w14:paraId="004FECAA">
            <w:pPr>
              <w:spacing w:line="320" w:lineRule="exact"/>
              <w:jc w:val="left"/>
              <w:rPr>
                <w:color w:val="000000"/>
                <w:kern w:val="0"/>
                <w:sz w:val="18"/>
                <w:szCs w:val="18"/>
              </w:rPr>
            </w:pPr>
            <w:r>
              <w:rPr>
                <w:rFonts w:hint="eastAsia"/>
                <w:color w:val="000000"/>
                <w:kern w:val="0"/>
                <w:sz w:val="18"/>
                <w:szCs w:val="18"/>
              </w:rPr>
              <w:t>第六十三条　违反本条例的规定，施工单位挪用列入建设工程概算的安全生产作业环境及安全施工措施所需费用的，责令限期改正，处挪用费用</w:t>
            </w:r>
            <w:r>
              <w:rPr>
                <w:color w:val="000000"/>
                <w:kern w:val="0"/>
                <w:sz w:val="18"/>
                <w:szCs w:val="18"/>
              </w:rPr>
              <w:t>20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％以下的罚款；造成损失的，依法承担赔偿责任。</w:t>
            </w:r>
          </w:p>
          <w:p w14:paraId="428657F6">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06EF369A">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7ADDC38D">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3C049DC7">
            <w:pPr>
              <w:spacing w:line="320" w:lineRule="exact"/>
              <w:jc w:val="left"/>
              <w:rPr>
                <w:color w:val="000000"/>
                <w:kern w:val="0"/>
                <w:sz w:val="18"/>
                <w:szCs w:val="18"/>
              </w:rPr>
            </w:pPr>
            <w:r>
              <w:rPr>
                <w:rFonts w:hint="eastAsia"/>
                <w:color w:val="000000"/>
                <w:kern w:val="0"/>
                <w:sz w:val="18"/>
                <w:szCs w:val="18"/>
              </w:rPr>
              <w:t>责令限期改正，罚款</w:t>
            </w:r>
          </w:p>
        </w:tc>
      </w:tr>
      <w:tr w14:paraId="26C2F5EA">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24A9F1F4">
            <w:pPr>
              <w:spacing w:line="320" w:lineRule="exact"/>
              <w:jc w:val="center"/>
              <w:rPr>
                <w:color w:val="000000"/>
                <w:kern w:val="0"/>
                <w:sz w:val="18"/>
                <w:szCs w:val="18"/>
              </w:rPr>
            </w:pPr>
            <w:r>
              <w:rPr>
                <w:rFonts w:hint="eastAsia"/>
                <w:color w:val="000000"/>
                <w:kern w:val="0"/>
                <w:sz w:val="18"/>
                <w:szCs w:val="18"/>
              </w:rPr>
              <w:t>裁量基准</w:t>
            </w:r>
          </w:p>
        </w:tc>
      </w:tr>
      <w:tr w14:paraId="33F45E2A">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right w:val="single" w:color="auto" w:sz="4" w:space="0"/>
            </w:tcBorders>
            <w:vAlign w:val="center"/>
          </w:tcPr>
          <w:p w14:paraId="450A4A4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9365438">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120" w:type="dxa"/>
            <w:vMerge w:val="restart"/>
            <w:tcBorders>
              <w:top w:val="nil"/>
              <w:left w:val="single" w:color="auto" w:sz="4" w:space="0"/>
              <w:right w:val="single" w:color="auto" w:sz="4" w:space="0"/>
            </w:tcBorders>
            <w:vAlign w:val="center"/>
          </w:tcPr>
          <w:p w14:paraId="599947A4">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1D07EAAB">
            <w:pPr>
              <w:spacing w:line="320" w:lineRule="exact"/>
              <w:jc w:val="left"/>
              <w:rPr>
                <w:color w:val="000000"/>
                <w:kern w:val="0"/>
                <w:sz w:val="18"/>
                <w:szCs w:val="18"/>
              </w:rPr>
            </w:pPr>
            <w:r>
              <w:rPr>
                <w:rFonts w:hint="eastAsia"/>
                <w:color w:val="000000"/>
                <w:kern w:val="0"/>
                <w:sz w:val="18"/>
                <w:szCs w:val="18"/>
              </w:rPr>
              <w:t>挪用费用</w:t>
            </w:r>
            <w:r>
              <w:rPr>
                <w:color w:val="000000"/>
                <w:kern w:val="0"/>
                <w:sz w:val="18"/>
                <w:szCs w:val="18"/>
              </w:rPr>
              <w:t>20%</w:t>
            </w:r>
            <w:r>
              <w:rPr>
                <w:rFonts w:hint="eastAsia"/>
                <w:color w:val="000000"/>
                <w:kern w:val="0"/>
                <w:sz w:val="18"/>
                <w:szCs w:val="18"/>
              </w:rPr>
              <w:t>以上</w:t>
            </w:r>
            <w:r>
              <w:rPr>
                <w:color w:val="000000"/>
                <w:kern w:val="0"/>
                <w:sz w:val="18"/>
                <w:szCs w:val="18"/>
              </w:rPr>
              <w:t>30%</w:t>
            </w:r>
            <w:r>
              <w:rPr>
                <w:rFonts w:hint="eastAsia"/>
                <w:color w:val="000000"/>
                <w:kern w:val="0"/>
                <w:sz w:val="18"/>
                <w:szCs w:val="18"/>
              </w:rPr>
              <w:t>以下罚款</w:t>
            </w:r>
          </w:p>
        </w:tc>
      </w:tr>
      <w:tr w14:paraId="2882DF80">
        <w:tblPrEx>
          <w:tblCellMar>
            <w:top w:w="0" w:type="dxa"/>
            <w:left w:w="108" w:type="dxa"/>
            <w:bottom w:w="0" w:type="dxa"/>
            <w:right w:w="108" w:type="dxa"/>
          </w:tblCellMar>
        </w:tblPrEx>
        <w:trPr>
          <w:trHeight w:val="285" w:hRule="atLeast"/>
        </w:trPr>
        <w:tc>
          <w:tcPr>
            <w:tcW w:w="1026" w:type="dxa"/>
            <w:vMerge w:val="continue"/>
            <w:tcBorders>
              <w:left w:val="single" w:color="auto" w:sz="8" w:space="0"/>
              <w:right w:val="single" w:color="auto" w:sz="4" w:space="0"/>
            </w:tcBorders>
            <w:vAlign w:val="center"/>
          </w:tcPr>
          <w:p w14:paraId="63BBAD8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0D2BD90">
            <w:pPr>
              <w:spacing w:line="320" w:lineRule="exact"/>
              <w:jc w:val="left"/>
              <w:rPr>
                <w:color w:val="000000"/>
                <w:kern w:val="0"/>
                <w:sz w:val="18"/>
                <w:szCs w:val="18"/>
              </w:rPr>
            </w:pPr>
            <w:r>
              <w:rPr>
                <w:rFonts w:hint="eastAsia"/>
                <w:color w:val="000000"/>
                <w:kern w:val="0"/>
                <w:sz w:val="18"/>
                <w:szCs w:val="18"/>
              </w:rPr>
              <w:t>未按要求改正的但未发生安全事故的</w:t>
            </w:r>
          </w:p>
        </w:tc>
        <w:tc>
          <w:tcPr>
            <w:tcW w:w="1120" w:type="dxa"/>
            <w:vMerge w:val="continue"/>
            <w:tcBorders>
              <w:left w:val="single" w:color="auto" w:sz="4" w:space="0"/>
              <w:right w:val="single" w:color="auto" w:sz="4" w:space="0"/>
            </w:tcBorders>
            <w:vAlign w:val="center"/>
          </w:tcPr>
          <w:p w14:paraId="597F6B59">
            <w:pPr>
              <w:spacing w:line="320" w:lineRule="exact"/>
              <w:jc w:val="left"/>
              <w:rPr>
                <w:color w:val="000000"/>
                <w:kern w:val="0"/>
                <w:sz w:val="18"/>
                <w:szCs w:val="18"/>
              </w:rPr>
            </w:pPr>
          </w:p>
        </w:tc>
        <w:tc>
          <w:tcPr>
            <w:tcW w:w="5774" w:type="dxa"/>
            <w:tcBorders>
              <w:top w:val="single" w:color="auto" w:sz="4" w:space="0"/>
              <w:left w:val="nil"/>
              <w:bottom w:val="single" w:color="auto" w:sz="8" w:space="0"/>
              <w:right w:val="single" w:color="auto" w:sz="8" w:space="0"/>
            </w:tcBorders>
            <w:vAlign w:val="center"/>
          </w:tcPr>
          <w:p w14:paraId="0A9152D8">
            <w:pPr>
              <w:spacing w:line="320" w:lineRule="exact"/>
              <w:jc w:val="left"/>
              <w:rPr>
                <w:color w:val="000000"/>
                <w:kern w:val="0"/>
                <w:sz w:val="18"/>
                <w:szCs w:val="18"/>
              </w:rPr>
            </w:pPr>
            <w:r>
              <w:rPr>
                <w:rFonts w:hint="eastAsia"/>
                <w:color w:val="000000"/>
                <w:kern w:val="0"/>
                <w:sz w:val="18"/>
                <w:szCs w:val="18"/>
              </w:rPr>
              <w:t>挪用费用</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以下罚款</w:t>
            </w:r>
          </w:p>
        </w:tc>
      </w:tr>
      <w:tr w14:paraId="221584FF">
        <w:tblPrEx>
          <w:tblCellMar>
            <w:top w:w="0" w:type="dxa"/>
            <w:left w:w="108" w:type="dxa"/>
            <w:bottom w:w="0" w:type="dxa"/>
            <w:right w:w="108" w:type="dxa"/>
          </w:tblCellMar>
        </w:tblPrEx>
        <w:trPr>
          <w:trHeight w:val="285" w:hRule="atLeast"/>
        </w:trPr>
        <w:tc>
          <w:tcPr>
            <w:tcW w:w="1026" w:type="dxa"/>
            <w:vMerge w:val="continue"/>
            <w:tcBorders>
              <w:left w:val="single" w:color="auto" w:sz="8" w:space="0"/>
              <w:bottom w:val="single" w:color="auto" w:sz="4" w:space="0"/>
              <w:right w:val="single" w:color="auto" w:sz="4" w:space="0"/>
            </w:tcBorders>
            <w:vAlign w:val="center"/>
          </w:tcPr>
          <w:p w14:paraId="4488FA4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2EB558E">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val="continue"/>
            <w:tcBorders>
              <w:left w:val="single" w:color="auto" w:sz="4" w:space="0"/>
              <w:bottom w:val="single" w:color="auto" w:sz="4" w:space="0"/>
              <w:right w:val="single" w:color="auto" w:sz="4" w:space="0"/>
            </w:tcBorders>
            <w:vAlign w:val="center"/>
          </w:tcPr>
          <w:p w14:paraId="023EB6D1">
            <w:pPr>
              <w:spacing w:line="320" w:lineRule="exact"/>
              <w:jc w:val="left"/>
              <w:rPr>
                <w:color w:val="000000"/>
                <w:kern w:val="0"/>
                <w:sz w:val="18"/>
                <w:szCs w:val="18"/>
              </w:rPr>
            </w:pPr>
          </w:p>
        </w:tc>
        <w:tc>
          <w:tcPr>
            <w:tcW w:w="5774" w:type="dxa"/>
            <w:tcBorders>
              <w:top w:val="single" w:color="auto" w:sz="8" w:space="0"/>
              <w:left w:val="nil"/>
              <w:bottom w:val="single" w:color="auto" w:sz="4" w:space="0"/>
              <w:right w:val="single" w:color="auto" w:sz="8" w:space="0"/>
            </w:tcBorders>
            <w:vAlign w:val="center"/>
          </w:tcPr>
          <w:p w14:paraId="32513D1A">
            <w:pPr>
              <w:spacing w:line="320" w:lineRule="exact"/>
              <w:jc w:val="left"/>
              <w:rPr>
                <w:color w:val="000000"/>
                <w:kern w:val="0"/>
                <w:sz w:val="18"/>
                <w:szCs w:val="18"/>
              </w:rPr>
            </w:pPr>
            <w:r>
              <w:rPr>
                <w:rFonts w:hint="eastAsia"/>
                <w:color w:val="000000"/>
                <w:kern w:val="0"/>
                <w:sz w:val="18"/>
                <w:szCs w:val="18"/>
              </w:rPr>
              <w:t>挪用费用</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以下罚款</w:t>
            </w:r>
          </w:p>
        </w:tc>
      </w:tr>
    </w:tbl>
    <w:p w14:paraId="7365922A"/>
    <w:p w14:paraId="6265ACFE"/>
    <w:p w14:paraId="1AE5E8CE"/>
    <w:p w14:paraId="387CAE3C"/>
    <w:p w14:paraId="68B65B64"/>
    <w:p w14:paraId="34022540"/>
    <w:p w14:paraId="7D9E177F"/>
    <w:p w14:paraId="34E8FBD2"/>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677C1949">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6DBCFF47">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1234BE5F">
            <w:pPr>
              <w:spacing w:line="320" w:lineRule="exact"/>
              <w:jc w:val="left"/>
              <w:rPr>
                <w:rFonts w:eastAsia="仿宋_GB2312"/>
                <w:b/>
                <w:bCs/>
                <w:color w:val="000000"/>
                <w:kern w:val="0"/>
                <w:sz w:val="18"/>
                <w:szCs w:val="18"/>
              </w:rPr>
            </w:pPr>
            <w:r>
              <w:rPr>
                <w:rFonts w:eastAsia="仿宋_GB2312"/>
                <w:b/>
                <w:bCs/>
                <w:color w:val="000000"/>
                <w:kern w:val="0"/>
                <w:sz w:val="18"/>
                <w:szCs w:val="18"/>
              </w:rPr>
              <w:t>320217144000</w:t>
            </w:r>
          </w:p>
        </w:tc>
      </w:tr>
      <w:tr w14:paraId="00832AC1">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7BD7B6D6">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0305E8C2">
            <w:pPr>
              <w:spacing w:line="320" w:lineRule="exact"/>
              <w:jc w:val="left"/>
              <w:rPr>
                <w:color w:val="000000"/>
                <w:kern w:val="0"/>
                <w:sz w:val="18"/>
                <w:szCs w:val="18"/>
              </w:rPr>
            </w:pPr>
            <w:r>
              <w:rPr>
                <w:rFonts w:hint="eastAsia"/>
                <w:color w:val="000000"/>
                <w:kern w:val="0"/>
                <w:sz w:val="18"/>
                <w:szCs w:val="18"/>
              </w:rPr>
              <w:t>对施工单位未对进入施工现场的墙体材料、保温材料、门窗、采暖制冷系统和照明设备进行查验的处罚</w:t>
            </w:r>
          </w:p>
        </w:tc>
      </w:tr>
      <w:tr w14:paraId="1ABCDE92">
        <w:tblPrEx>
          <w:tblCellMar>
            <w:top w:w="0" w:type="dxa"/>
            <w:left w:w="108" w:type="dxa"/>
            <w:bottom w:w="0" w:type="dxa"/>
            <w:right w:w="108" w:type="dxa"/>
          </w:tblCellMar>
        </w:tblPrEx>
        <w:trPr>
          <w:trHeight w:val="1545" w:hRule="atLeast"/>
        </w:trPr>
        <w:tc>
          <w:tcPr>
            <w:tcW w:w="1050" w:type="dxa"/>
            <w:tcBorders>
              <w:top w:val="nil"/>
              <w:left w:val="single" w:color="auto" w:sz="8" w:space="0"/>
              <w:bottom w:val="single" w:color="auto" w:sz="4" w:space="0"/>
              <w:right w:val="single" w:color="auto" w:sz="4" w:space="0"/>
            </w:tcBorders>
            <w:vAlign w:val="center"/>
          </w:tcPr>
          <w:p w14:paraId="0B24357E">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64405506">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14:paraId="0827C702">
            <w:pPr>
              <w:spacing w:line="320" w:lineRule="exact"/>
              <w:jc w:val="left"/>
              <w:rPr>
                <w:color w:val="000000"/>
                <w:kern w:val="0"/>
                <w:sz w:val="18"/>
                <w:szCs w:val="18"/>
              </w:rPr>
            </w:pPr>
            <w:r>
              <w:rPr>
                <w:rFonts w:hint="eastAsia"/>
                <w:color w:val="000000"/>
                <w:kern w:val="0"/>
                <w:sz w:val="18"/>
                <w:szCs w:val="18"/>
              </w:rPr>
              <w:t>第十六条　施工单位应当对进入施工现场的墙体材料、保温材料、门窗、采暖制冷系统和照明设备进行查验；不符合施工图设计文件要求的，不得使用。</w:t>
            </w:r>
          </w:p>
          <w:p w14:paraId="3588D7D8">
            <w:pPr>
              <w:spacing w:line="320" w:lineRule="exact"/>
              <w:jc w:val="left"/>
              <w:rPr>
                <w:color w:val="000000"/>
                <w:kern w:val="0"/>
                <w:sz w:val="18"/>
                <w:szCs w:val="18"/>
              </w:rPr>
            </w:pPr>
            <w:r>
              <w:rPr>
                <w:rFonts w:hint="eastAsia"/>
                <w:color w:val="000000"/>
                <w:kern w:val="0"/>
                <w:sz w:val="18"/>
                <w:szCs w:val="18"/>
              </w:rPr>
              <w:t>第四十一条　违反本条例规定，施工单位有下列行为之一的，由县级以上地方人民政府建设主管部门责令改正，处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万元以下的罚款；情节严重的，由颁发资质证书的部门责令停业整顿，降低资质等级或者吊销资质证书；造成损失的，依法承担赔偿责任：</w:t>
            </w:r>
          </w:p>
          <w:p w14:paraId="4B37448D">
            <w:pPr>
              <w:spacing w:line="320" w:lineRule="exact"/>
              <w:jc w:val="left"/>
              <w:rPr>
                <w:color w:val="000000"/>
                <w:kern w:val="0"/>
                <w:sz w:val="18"/>
                <w:szCs w:val="18"/>
              </w:rPr>
            </w:pPr>
            <w:r>
              <w:rPr>
                <w:rFonts w:hint="eastAsia"/>
                <w:color w:val="000000"/>
                <w:kern w:val="0"/>
                <w:sz w:val="18"/>
                <w:szCs w:val="18"/>
              </w:rPr>
              <w:t>（一）未对进入施工现场的墙体材料、保温材料、门窗、采暖制冷系统和照明设备进行查验的。</w:t>
            </w:r>
          </w:p>
        </w:tc>
      </w:tr>
      <w:tr w14:paraId="1AA8665B">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119E7F64">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5EC9670F">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14:paraId="00E7B234">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61FF4235">
            <w:pPr>
              <w:spacing w:line="320" w:lineRule="exact"/>
              <w:jc w:val="center"/>
              <w:rPr>
                <w:color w:val="000000"/>
                <w:kern w:val="0"/>
                <w:sz w:val="18"/>
                <w:szCs w:val="18"/>
              </w:rPr>
            </w:pPr>
            <w:r>
              <w:rPr>
                <w:rFonts w:hint="eastAsia"/>
                <w:color w:val="000000"/>
                <w:kern w:val="0"/>
                <w:sz w:val="18"/>
                <w:szCs w:val="18"/>
              </w:rPr>
              <w:t>裁量基准</w:t>
            </w:r>
          </w:p>
        </w:tc>
      </w:tr>
      <w:tr w14:paraId="73ED48AF">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single" w:color="000000" w:sz="4" w:space="0"/>
              <w:right w:val="single" w:color="auto" w:sz="4" w:space="0"/>
            </w:tcBorders>
            <w:vAlign w:val="center"/>
          </w:tcPr>
          <w:p w14:paraId="7425687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3053C090">
            <w:pPr>
              <w:spacing w:line="320" w:lineRule="exact"/>
              <w:jc w:val="left"/>
              <w:rPr>
                <w:color w:val="000000"/>
                <w:kern w:val="0"/>
                <w:sz w:val="18"/>
                <w:szCs w:val="18"/>
              </w:rPr>
            </w:pPr>
            <w:r>
              <w:rPr>
                <w:rFonts w:hint="eastAsia"/>
                <w:color w:val="000000"/>
                <w:kern w:val="0"/>
                <w:sz w:val="18"/>
                <w:szCs w:val="18"/>
              </w:rPr>
              <w:t>材料尚未投入使用且经检验后符合要求的</w:t>
            </w:r>
          </w:p>
        </w:tc>
        <w:tc>
          <w:tcPr>
            <w:tcW w:w="1100" w:type="dxa"/>
            <w:vMerge w:val="restart"/>
            <w:tcBorders>
              <w:top w:val="nil"/>
              <w:left w:val="single" w:color="auto" w:sz="4" w:space="0"/>
              <w:bottom w:val="single" w:color="000000" w:sz="4" w:space="0"/>
              <w:right w:val="single" w:color="auto" w:sz="4" w:space="0"/>
            </w:tcBorders>
            <w:vAlign w:val="center"/>
          </w:tcPr>
          <w:p w14:paraId="3062C9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22586C9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14:paraId="226D6733">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000000" w:sz="4" w:space="0"/>
              <w:right w:val="single" w:color="auto" w:sz="4" w:space="0"/>
            </w:tcBorders>
            <w:vAlign w:val="center"/>
          </w:tcPr>
          <w:p w14:paraId="4C99441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53ACCB85">
            <w:pPr>
              <w:spacing w:line="320" w:lineRule="exact"/>
              <w:jc w:val="left"/>
              <w:rPr>
                <w:color w:val="000000"/>
                <w:kern w:val="0"/>
                <w:sz w:val="18"/>
                <w:szCs w:val="18"/>
              </w:rPr>
            </w:pPr>
            <w:r>
              <w:rPr>
                <w:rFonts w:hint="eastAsia"/>
                <w:color w:val="000000"/>
                <w:kern w:val="0"/>
                <w:sz w:val="18"/>
                <w:szCs w:val="18"/>
              </w:rPr>
              <w:t>材料已投入使用但经检验后符合要求的</w:t>
            </w:r>
          </w:p>
        </w:tc>
        <w:tc>
          <w:tcPr>
            <w:tcW w:w="1100" w:type="dxa"/>
            <w:vMerge w:val="continue"/>
            <w:tcBorders>
              <w:top w:val="nil"/>
              <w:left w:val="single" w:color="auto" w:sz="4" w:space="0"/>
              <w:bottom w:val="single" w:color="000000" w:sz="4" w:space="0"/>
              <w:right w:val="single" w:color="auto" w:sz="4" w:space="0"/>
            </w:tcBorders>
            <w:vAlign w:val="center"/>
          </w:tcPr>
          <w:p w14:paraId="71E7DCD3">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02AB72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14</w:t>
            </w:r>
            <w:r>
              <w:rPr>
                <w:rFonts w:hint="eastAsia"/>
                <w:color w:val="000000"/>
                <w:kern w:val="0"/>
                <w:sz w:val="18"/>
                <w:szCs w:val="18"/>
              </w:rPr>
              <w:t>万元以下的罚款，责令停业整顿</w:t>
            </w:r>
          </w:p>
        </w:tc>
      </w:tr>
      <w:tr w14:paraId="320430B0">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000000" w:sz="4" w:space="0"/>
              <w:right w:val="single" w:color="auto" w:sz="4" w:space="0"/>
            </w:tcBorders>
            <w:vAlign w:val="center"/>
          </w:tcPr>
          <w:p w14:paraId="1D6F5EF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7811515A">
            <w:pPr>
              <w:spacing w:line="320" w:lineRule="exact"/>
              <w:jc w:val="left"/>
              <w:rPr>
                <w:color w:val="000000"/>
                <w:kern w:val="0"/>
                <w:sz w:val="18"/>
                <w:szCs w:val="18"/>
              </w:rPr>
            </w:pPr>
            <w:r>
              <w:rPr>
                <w:rFonts w:hint="eastAsia"/>
                <w:color w:val="000000"/>
                <w:kern w:val="0"/>
                <w:sz w:val="18"/>
                <w:szCs w:val="18"/>
              </w:rPr>
              <w:t>材料已投入使用且经检验后不符合要求，但按要求改正的</w:t>
            </w:r>
          </w:p>
        </w:tc>
        <w:tc>
          <w:tcPr>
            <w:tcW w:w="1100" w:type="dxa"/>
            <w:vMerge w:val="continue"/>
            <w:tcBorders>
              <w:top w:val="nil"/>
              <w:left w:val="single" w:color="auto" w:sz="4" w:space="0"/>
              <w:bottom w:val="single" w:color="000000" w:sz="4" w:space="0"/>
              <w:right w:val="single" w:color="auto" w:sz="4" w:space="0"/>
            </w:tcBorders>
            <w:vAlign w:val="center"/>
          </w:tcPr>
          <w:p w14:paraId="36147E7F">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0602B1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14</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万元以下的罚款，责令停业整顿，降低资质等级</w:t>
            </w:r>
          </w:p>
        </w:tc>
      </w:tr>
      <w:tr w14:paraId="6DA068FD">
        <w:tblPrEx>
          <w:tblCellMar>
            <w:top w:w="0" w:type="dxa"/>
            <w:left w:w="108" w:type="dxa"/>
            <w:bottom w:w="0" w:type="dxa"/>
            <w:right w:w="108" w:type="dxa"/>
          </w:tblCellMar>
        </w:tblPrEx>
        <w:trPr>
          <w:trHeight w:val="454" w:hRule="atLeast"/>
        </w:trPr>
        <w:tc>
          <w:tcPr>
            <w:tcW w:w="1050" w:type="dxa"/>
            <w:vMerge w:val="continue"/>
            <w:tcBorders>
              <w:top w:val="nil"/>
              <w:left w:val="single" w:color="auto" w:sz="8" w:space="0"/>
              <w:bottom w:val="single" w:color="000000" w:sz="4" w:space="0"/>
              <w:right w:val="single" w:color="auto" w:sz="4" w:space="0"/>
            </w:tcBorders>
            <w:vAlign w:val="center"/>
          </w:tcPr>
          <w:p w14:paraId="135BE11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5C4116A6">
            <w:pPr>
              <w:spacing w:line="320" w:lineRule="exact"/>
              <w:jc w:val="left"/>
              <w:rPr>
                <w:color w:val="000000"/>
                <w:kern w:val="0"/>
                <w:sz w:val="18"/>
                <w:szCs w:val="18"/>
              </w:rPr>
            </w:pPr>
            <w:r>
              <w:rPr>
                <w:rFonts w:hint="eastAsia"/>
                <w:color w:val="000000"/>
                <w:kern w:val="0"/>
                <w:sz w:val="18"/>
                <w:szCs w:val="18"/>
              </w:rPr>
              <w:t>材料投入使用且经检验后不符合要求，且未按要求改正的</w:t>
            </w:r>
          </w:p>
        </w:tc>
        <w:tc>
          <w:tcPr>
            <w:tcW w:w="1100" w:type="dxa"/>
            <w:vMerge w:val="continue"/>
            <w:tcBorders>
              <w:top w:val="nil"/>
              <w:left w:val="single" w:color="auto" w:sz="4" w:space="0"/>
              <w:bottom w:val="single" w:color="000000" w:sz="4" w:space="0"/>
              <w:right w:val="single" w:color="auto" w:sz="4" w:space="0"/>
            </w:tcBorders>
            <w:vAlign w:val="center"/>
          </w:tcPr>
          <w:p w14:paraId="6355A425">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67560B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万元以下的罚款，责令停业整顿，降低资质等级或者吊销资质证书</w:t>
            </w:r>
          </w:p>
        </w:tc>
      </w:tr>
    </w:tbl>
    <w:p w14:paraId="75785F48"/>
    <w:p w14:paraId="35DD6BF1"/>
    <w:p w14:paraId="547DC4FD"/>
    <w:p w14:paraId="33BA97D6"/>
    <w:p w14:paraId="432A2665"/>
    <w:p w14:paraId="4739C540"/>
    <w:p w14:paraId="6256DE80"/>
    <w:p w14:paraId="692AA991"/>
    <w:tbl>
      <w:tblPr>
        <w:tblStyle w:val="15"/>
        <w:tblW w:w="0" w:type="auto"/>
        <w:tblInd w:w="88" w:type="dxa"/>
        <w:tblLayout w:type="fixed"/>
        <w:tblCellMar>
          <w:top w:w="0" w:type="dxa"/>
          <w:left w:w="108" w:type="dxa"/>
          <w:bottom w:w="0" w:type="dxa"/>
          <w:right w:w="108" w:type="dxa"/>
        </w:tblCellMar>
      </w:tblPr>
      <w:tblGrid>
        <w:gridCol w:w="1056"/>
        <w:gridCol w:w="1941"/>
        <w:gridCol w:w="4199"/>
        <w:gridCol w:w="1060"/>
        <w:gridCol w:w="5760"/>
      </w:tblGrid>
      <w:tr w14:paraId="38AC33DF">
        <w:tblPrEx>
          <w:tblCellMar>
            <w:top w:w="0" w:type="dxa"/>
            <w:left w:w="108" w:type="dxa"/>
            <w:bottom w:w="0" w:type="dxa"/>
            <w:right w:w="108" w:type="dxa"/>
          </w:tblCellMar>
        </w:tblPrEx>
        <w:trPr>
          <w:trHeight w:val="303" w:hRule="atLeast"/>
        </w:trPr>
        <w:tc>
          <w:tcPr>
            <w:tcW w:w="1056" w:type="dxa"/>
            <w:tcBorders>
              <w:top w:val="single" w:color="auto" w:sz="8" w:space="0"/>
              <w:left w:val="single" w:color="auto" w:sz="8" w:space="0"/>
              <w:bottom w:val="single" w:color="auto" w:sz="4" w:space="0"/>
              <w:right w:val="single" w:color="auto" w:sz="4" w:space="0"/>
            </w:tcBorders>
            <w:vAlign w:val="center"/>
          </w:tcPr>
          <w:p w14:paraId="5B1615E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color="auto" w:sz="8" w:space="0"/>
              <w:left w:val="nil"/>
              <w:bottom w:val="single" w:color="auto" w:sz="4" w:space="0"/>
              <w:right w:val="single" w:color="000000" w:sz="8" w:space="0"/>
            </w:tcBorders>
            <w:vAlign w:val="center"/>
          </w:tcPr>
          <w:p w14:paraId="202B5EDF">
            <w:pPr>
              <w:spacing w:line="320" w:lineRule="exact"/>
              <w:jc w:val="left"/>
              <w:rPr>
                <w:rFonts w:eastAsia="仿宋_GB2312"/>
                <w:b/>
                <w:bCs/>
                <w:color w:val="000000"/>
                <w:kern w:val="0"/>
                <w:sz w:val="18"/>
                <w:szCs w:val="18"/>
              </w:rPr>
            </w:pPr>
            <w:r>
              <w:rPr>
                <w:rFonts w:eastAsia="仿宋_GB2312"/>
                <w:b/>
                <w:bCs/>
                <w:color w:val="000000"/>
                <w:kern w:val="0"/>
                <w:sz w:val="18"/>
                <w:szCs w:val="18"/>
              </w:rPr>
              <w:t>320217145000</w:t>
            </w:r>
            <w:r>
              <w:rPr>
                <w:rFonts w:hint="eastAsia" w:eastAsia="仿宋_GB2312"/>
                <w:b/>
                <w:bCs/>
                <w:color w:val="000000"/>
                <w:kern w:val="0"/>
                <w:sz w:val="18"/>
                <w:szCs w:val="18"/>
              </w:rPr>
              <w:t xml:space="preserve"> </w:t>
            </w:r>
          </w:p>
        </w:tc>
      </w:tr>
      <w:tr w14:paraId="43C4F47B">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4E69038">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color="auto" w:sz="4" w:space="0"/>
              <w:left w:val="nil"/>
              <w:bottom w:val="single" w:color="auto" w:sz="4" w:space="0"/>
              <w:right w:val="single" w:color="000000" w:sz="8" w:space="0"/>
            </w:tcBorders>
            <w:vAlign w:val="center"/>
          </w:tcPr>
          <w:p w14:paraId="4C801921">
            <w:pPr>
              <w:spacing w:line="320" w:lineRule="exact"/>
              <w:jc w:val="left"/>
              <w:rPr>
                <w:color w:val="000000"/>
                <w:kern w:val="0"/>
                <w:sz w:val="18"/>
                <w:szCs w:val="18"/>
              </w:rPr>
            </w:pPr>
            <w:r>
              <w:rPr>
                <w:rFonts w:hint="eastAsia"/>
                <w:color w:val="000000"/>
                <w:kern w:val="0"/>
                <w:sz w:val="18"/>
                <w:szCs w:val="18"/>
              </w:rPr>
              <w:t>对房地产开发企业返本销售或者变相返本销售商品房的处罚</w:t>
            </w:r>
          </w:p>
        </w:tc>
      </w:tr>
      <w:tr w14:paraId="3D7CC126">
        <w:tblPrEx>
          <w:tblCellMar>
            <w:top w:w="0" w:type="dxa"/>
            <w:left w:w="108" w:type="dxa"/>
            <w:bottom w:w="0" w:type="dxa"/>
            <w:right w:w="108" w:type="dxa"/>
          </w:tblCellMar>
        </w:tblPrEx>
        <w:trPr>
          <w:trHeight w:val="1155" w:hRule="atLeast"/>
        </w:trPr>
        <w:tc>
          <w:tcPr>
            <w:tcW w:w="1056" w:type="dxa"/>
            <w:tcBorders>
              <w:top w:val="nil"/>
              <w:left w:val="single" w:color="auto" w:sz="8" w:space="0"/>
              <w:bottom w:val="single" w:color="auto" w:sz="4" w:space="0"/>
              <w:right w:val="single" w:color="auto" w:sz="4" w:space="0"/>
            </w:tcBorders>
            <w:vAlign w:val="center"/>
          </w:tcPr>
          <w:p w14:paraId="3ECA7174">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color="auto" w:sz="4" w:space="0"/>
              <w:left w:val="nil"/>
              <w:bottom w:val="single" w:color="auto" w:sz="4" w:space="0"/>
              <w:right w:val="single" w:color="000000" w:sz="8" w:space="0"/>
            </w:tcBorders>
            <w:vAlign w:val="center"/>
          </w:tcPr>
          <w:p w14:paraId="184B1F2C">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793ACD21">
            <w:pPr>
              <w:spacing w:line="320" w:lineRule="exact"/>
              <w:jc w:val="left"/>
              <w:rPr>
                <w:color w:val="000000"/>
                <w:kern w:val="0"/>
                <w:sz w:val="18"/>
                <w:szCs w:val="18"/>
              </w:rPr>
            </w:pPr>
            <w:r>
              <w:rPr>
                <w:rFonts w:hint="eastAsia"/>
                <w:color w:val="000000"/>
                <w:kern w:val="0"/>
                <w:sz w:val="18"/>
                <w:szCs w:val="18"/>
              </w:rPr>
              <w:t>第十一条第一款</w:t>
            </w:r>
            <w:r>
              <w:rPr>
                <w:color w:val="000000"/>
                <w:kern w:val="0"/>
                <w:sz w:val="18"/>
                <w:szCs w:val="18"/>
              </w:rPr>
              <w:t xml:space="preserve">  </w:t>
            </w:r>
            <w:r>
              <w:rPr>
                <w:rFonts w:hint="eastAsia"/>
                <w:color w:val="000000"/>
                <w:kern w:val="0"/>
                <w:sz w:val="18"/>
                <w:szCs w:val="18"/>
              </w:rPr>
              <w:t>房地产开发企业不得采取返本销售或者变相返本销售的方式销售商品房。</w:t>
            </w:r>
          </w:p>
          <w:p w14:paraId="515CF617">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14:paraId="474EE719">
            <w:pPr>
              <w:spacing w:line="320" w:lineRule="exact"/>
              <w:jc w:val="left"/>
              <w:rPr>
                <w:color w:val="000000"/>
                <w:kern w:val="0"/>
                <w:sz w:val="18"/>
                <w:szCs w:val="18"/>
              </w:rPr>
            </w:pPr>
            <w:r>
              <w:rPr>
                <w:rFonts w:hint="eastAsia"/>
                <w:color w:val="000000"/>
                <w:kern w:val="0"/>
                <w:sz w:val="18"/>
                <w:szCs w:val="18"/>
              </w:rPr>
              <w:t>（三）返本销售或者变相返本销售商品房的。</w:t>
            </w:r>
          </w:p>
        </w:tc>
      </w:tr>
      <w:tr w14:paraId="4C7D65F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94A1A5C">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color="auto" w:sz="4" w:space="0"/>
              <w:left w:val="nil"/>
              <w:bottom w:val="single" w:color="auto" w:sz="4" w:space="0"/>
              <w:right w:val="single" w:color="000000" w:sz="8" w:space="0"/>
            </w:tcBorders>
            <w:vAlign w:val="center"/>
          </w:tcPr>
          <w:p w14:paraId="2F09CDC0">
            <w:pPr>
              <w:spacing w:line="320" w:lineRule="exact"/>
              <w:jc w:val="left"/>
              <w:rPr>
                <w:color w:val="000000"/>
                <w:kern w:val="0"/>
                <w:sz w:val="18"/>
                <w:szCs w:val="18"/>
              </w:rPr>
            </w:pPr>
            <w:r>
              <w:rPr>
                <w:rFonts w:hint="eastAsia"/>
                <w:color w:val="000000"/>
                <w:kern w:val="0"/>
                <w:sz w:val="18"/>
                <w:szCs w:val="18"/>
              </w:rPr>
              <w:t>警告，罚款</w:t>
            </w:r>
          </w:p>
        </w:tc>
      </w:tr>
      <w:tr w14:paraId="3DFAAA9E">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175C12E0">
            <w:pPr>
              <w:spacing w:line="320" w:lineRule="exact"/>
              <w:jc w:val="center"/>
              <w:rPr>
                <w:color w:val="000000"/>
                <w:kern w:val="0"/>
                <w:sz w:val="18"/>
                <w:szCs w:val="18"/>
              </w:rPr>
            </w:pPr>
            <w:r>
              <w:rPr>
                <w:rFonts w:hint="eastAsia"/>
                <w:color w:val="000000"/>
                <w:kern w:val="0"/>
                <w:sz w:val="18"/>
                <w:szCs w:val="18"/>
              </w:rPr>
              <w:t>裁量基准</w:t>
            </w:r>
          </w:p>
        </w:tc>
      </w:tr>
      <w:tr w14:paraId="622D58AE">
        <w:tblPrEx>
          <w:tblCellMar>
            <w:top w:w="0" w:type="dxa"/>
            <w:left w:w="108" w:type="dxa"/>
            <w:bottom w:w="0" w:type="dxa"/>
            <w:right w:w="108" w:type="dxa"/>
          </w:tblCellMar>
        </w:tblPrEx>
        <w:trPr>
          <w:trHeight w:val="268" w:hRule="atLeast"/>
        </w:trPr>
        <w:tc>
          <w:tcPr>
            <w:tcW w:w="1056" w:type="dxa"/>
            <w:vMerge w:val="restart"/>
            <w:tcBorders>
              <w:top w:val="nil"/>
              <w:left w:val="single" w:color="auto" w:sz="8" w:space="0"/>
              <w:bottom w:val="single" w:color="auto" w:sz="4" w:space="0"/>
              <w:right w:val="single" w:color="auto" w:sz="4" w:space="0"/>
            </w:tcBorders>
            <w:vAlign w:val="center"/>
          </w:tcPr>
          <w:p w14:paraId="4843E1BE">
            <w:pPr>
              <w:spacing w:line="320" w:lineRule="exact"/>
              <w:jc w:val="center"/>
              <w:rPr>
                <w:color w:val="000000"/>
                <w:kern w:val="0"/>
                <w:sz w:val="18"/>
                <w:szCs w:val="18"/>
              </w:rPr>
            </w:pPr>
            <w:r>
              <w:rPr>
                <w:rFonts w:hint="eastAsia"/>
                <w:color w:val="000000"/>
                <w:kern w:val="0"/>
                <w:sz w:val="18"/>
                <w:szCs w:val="18"/>
              </w:rPr>
              <w:t>情形描述</w:t>
            </w:r>
          </w:p>
        </w:tc>
        <w:tc>
          <w:tcPr>
            <w:tcW w:w="1941" w:type="dxa"/>
            <w:vMerge w:val="restart"/>
            <w:tcBorders>
              <w:top w:val="single" w:color="auto" w:sz="4" w:space="0"/>
              <w:left w:val="nil"/>
              <w:right w:val="single" w:color="auto" w:sz="4" w:space="0"/>
            </w:tcBorders>
            <w:vAlign w:val="center"/>
          </w:tcPr>
          <w:p w14:paraId="5002823A">
            <w:pPr>
              <w:spacing w:line="320" w:lineRule="exact"/>
              <w:jc w:val="left"/>
              <w:rPr>
                <w:color w:val="000000"/>
                <w:kern w:val="0"/>
                <w:sz w:val="18"/>
                <w:szCs w:val="18"/>
              </w:rPr>
            </w:pPr>
            <w:r>
              <w:rPr>
                <w:rFonts w:hint="eastAsia"/>
                <w:color w:val="000000"/>
                <w:kern w:val="0"/>
                <w:sz w:val="18"/>
                <w:szCs w:val="18"/>
              </w:rPr>
              <w:t>按照要求改正</w:t>
            </w:r>
          </w:p>
        </w:tc>
        <w:tc>
          <w:tcPr>
            <w:tcW w:w="4199" w:type="dxa"/>
            <w:tcBorders>
              <w:top w:val="single" w:color="auto" w:sz="4" w:space="0"/>
              <w:left w:val="nil"/>
              <w:bottom w:val="single" w:color="auto" w:sz="4" w:space="0"/>
              <w:right w:val="single" w:color="auto" w:sz="4" w:space="0"/>
            </w:tcBorders>
            <w:vAlign w:val="center"/>
          </w:tcPr>
          <w:p w14:paraId="2EABFA5F">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color="auto" w:sz="4" w:space="0"/>
              <w:bottom w:val="single" w:color="auto" w:sz="4" w:space="0"/>
              <w:right w:val="single" w:color="auto" w:sz="4" w:space="0"/>
            </w:tcBorders>
            <w:vAlign w:val="center"/>
          </w:tcPr>
          <w:p w14:paraId="50917CD4">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8" w:space="0"/>
            </w:tcBorders>
            <w:vAlign w:val="center"/>
          </w:tcPr>
          <w:p w14:paraId="7EAE781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331ED818">
        <w:tblPrEx>
          <w:tblCellMar>
            <w:top w:w="0" w:type="dxa"/>
            <w:left w:w="108" w:type="dxa"/>
            <w:bottom w:w="0" w:type="dxa"/>
            <w:right w:w="108" w:type="dxa"/>
          </w:tblCellMar>
        </w:tblPrEx>
        <w:trPr>
          <w:trHeight w:val="268" w:hRule="atLeast"/>
        </w:trPr>
        <w:tc>
          <w:tcPr>
            <w:tcW w:w="1056" w:type="dxa"/>
            <w:vMerge w:val="continue"/>
            <w:tcBorders>
              <w:top w:val="nil"/>
              <w:left w:val="single" w:color="auto" w:sz="8" w:space="0"/>
              <w:bottom w:val="single" w:color="auto" w:sz="4" w:space="0"/>
              <w:right w:val="single" w:color="auto" w:sz="4" w:space="0"/>
            </w:tcBorders>
            <w:vAlign w:val="center"/>
          </w:tcPr>
          <w:p w14:paraId="516D2EBC">
            <w:pPr>
              <w:spacing w:line="320" w:lineRule="exact"/>
              <w:jc w:val="center"/>
              <w:rPr>
                <w:color w:val="000000"/>
                <w:kern w:val="0"/>
                <w:sz w:val="18"/>
                <w:szCs w:val="18"/>
              </w:rPr>
            </w:pPr>
          </w:p>
        </w:tc>
        <w:tc>
          <w:tcPr>
            <w:tcW w:w="1941" w:type="dxa"/>
            <w:vMerge w:val="continue"/>
            <w:tcBorders>
              <w:left w:val="nil"/>
              <w:bottom w:val="single" w:color="auto" w:sz="4" w:space="0"/>
              <w:right w:val="single" w:color="auto" w:sz="4" w:space="0"/>
            </w:tcBorders>
            <w:vAlign w:val="center"/>
          </w:tcPr>
          <w:p w14:paraId="450CF922">
            <w:pPr>
              <w:spacing w:line="320" w:lineRule="exact"/>
              <w:jc w:val="left"/>
              <w:rPr>
                <w:color w:val="000000"/>
                <w:kern w:val="0"/>
                <w:sz w:val="18"/>
                <w:szCs w:val="18"/>
              </w:rPr>
            </w:pPr>
          </w:p>
        </w:tc>
        <w:tc>
          <w:tcPr>
            <w:tcW w:w="4199" w:type="dxa"/>
            <w:tcBorders>
              <w:top w:val="single" w:color="auto" w:sz="4" w:space="0"/>
              <w:left w:val="nil"/>
              <w:bottom w:val="single" w:color="auto" w:sz="4" w:space="0"/>
              <w:right w:val="single" w:color="auto" w:sz="4" w:space="0"/>
            </w:tcBorders>
            <w:vAlign w:val="center"/>
          </w:tcPr>
          <w:p w14:paraId="29B4340B">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val="continue"/>
            <w:tcBorders>
              <w:top w:val="nil"/>
              <w:left w:val="single" w:color="auto" w:sz="4" w:space="0"/>
              <w:bottom w:val="single" w:color="auto" w:sz="4" w:space="0"/>
              <w:right w:val="single" w:color="auto" w:sz="4" w:space="0"/>
            </w:tcBorders>
            <w:vAlign w:val="center"/>
          </w:tcPr>
          <w:p w14:paraId="46E1B9CF">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182D6F8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0AA7584A">
        <w:tblPrEx>
          <w:tblCellMar>
            <w:top w:w="0" w:type="dxa"/>
            <w:left w:w="108" w:type="dxa"/>
            <w:bottom w:w="0" w:type="dxa"/>
            <w:right w:w="108" w:type="dxa"/>
          </w:tblCellMar>
        </w:tblPrEx>
        <w:trPr>
          <w:trHeight w:val="268" w:hRule="atLeast"/>
        </w:trPr>
        <w:tc>
          <w:tcPr>
            <w:tcW w:w="1056" w:type="dxa"/>
            <w:vMerge w:val="continue"/>
            <w:tcBorders>
              <w:top w:val="nil"/>
              <w:left w:val="single" w:color="auto" w:sz="8" w:space="0"/>
              <w:bottom w:val="single" w:color="auto" w:sz="4" w:space="0"/>
              <w:right w:val="single" w:color="auto" w:sz="4" w:space="0"/>
            </w:tcBorders>
            <w:vAlign w:val="center"/>
          </w:tcPr>
          <w:p w14:paraId="08542ADB">
            <w:pPr>
              <w:spacing w:line="320" w:lineRule="exact"/>
              <w:jc w:val="center"/>
              <w:rPr>
                <w:color w:val="000000"/>
                <w:kern w:val="0"/>
                <w:sz w:val="18"/>
                <w:szCs w:val="18"/>
              </w:rPr>
            </w:pPr>
          </w:p>
        </w:tc>
        <w:tc>
          <w:tcPr>
            <w:tcW w:w="1941" w:type="dxa"/>
            <w:tcBorders>
              <w:top w:val="single" w:color="auto" w:sz="4" w:space="0"/>
              <w:left w:val="nil"/>
              <w:bottom w:val="single" w:color="auto" w:sz="4" w:space="0"/>
              <w:right w:val="single" w:color="auto" w:sz="4" w:space="0"/>
            </w:tcBorders>
            <w:vAlign w:val="center"/>
          </w:tcPr>
          <w:p w14:paraId="1A4ED129">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color="auto" w:sz="4" w:space="0"/>
              <w:left w:val="nil"/>
              <w:bottom w:val="single" w:color="auto" w:sz="4" w:space="0"/>
              <w:right w:val="single" w:color="auto" w:sz="4" w:space="0"/>
            </w:tcBorders>
            <w:vAlign w:val="center"/>
          </w:tcPr>
          <w:p w14:paraId="4910A7D2">
            <w:pPr>
              <w:spacing w:line="320" w:lineRule="exact"/>
              <w:jc w:val="left"/>
              <w:rPr>
                <w:color w:val="000000"/>
                <w:kern w:val="0"/>
                <w:sz w:val="18"/>
                <w:szCs w:val="18"/>
              </w:rPr>
            </w:pPr>
            <w:r>
              <w:rPr>
                <w:rFonts w:hint="eastAsia"/>
                <w:color w:val="000000"/>
                <w:kern w:val="0"/>
                <w:sz w:val="18"/>
                <w:szCs w:val="18"/>
              </w:rPr>
              <w:t>返本销售</w:t>
            </w:r>
          </w:p>
        </w:tc>
        <w:tc>
          <w:tcPr>
            <w:tcW w:w="1060" w:type="dxa"/>
            <w:vMerge w:val="continue"/>
            <w:tcBorders>
              <w:top w:val="nil"/>
              <w:left w:val="single" w:color="auto" w:sz="4" w:space="0"/>
              <w:bottom w:val="single" w:color="auto" w:sz="4" w:space="0"/>
              <w:right w:val="single" w:color="auto" w:sz="4" w:space="0"/>
            </w:tcBorders>
            <w:vAlign w:val="center"/>
          </w:tcPr>
          <w:p w14:paraId="15E69DD1">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5710CAB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0A2D51F0">
        <w:tblPrEx>
          <w:tblCellMar>
            <w:top w:w="0" w:type="dxa"/>
            <w:left w:w="108" w:type="dxa"/>
            <w:bottom w:w="0" w:type="dxa"/>
            <w:right w:w="108" w:type="dxa"/>
          </w:tblCellMar>
        </w:tblPrEx>
        <w:trPr>
          <w:trHeight w:val="362" w:hRule="atLeast"/>
        </w:trPr>
        <w:tc>
          <w:tcPr>
            <w:tcW w:w="1056" w:type="dxa"/>
            <w:vMerge w:val="continue"/>
            <w:tcBorders>
              <w:top w:val="nil"/>
              <w:left w:val="single" w:color="auto" w:sz="8" w:space="0"/>
              <w:bottom w:val="single" w:color="auto" w:sz="4" w:space="0"/>
              <w:right w:val="single" w:color="auto" w:sz="4" w:space="0"/>
            </w:tcBorders>
            <w:vAlign w:val="center"/>
          </w:tcPr>
          <w:p w14:paraId="7793C09D">
            <w:pPr>
              <w:spacing w:line="320" w:lineRule="exact"/>
              <w:jc w:val="center"/>
              <w:rPr>
                <w:color w:val="000000"/>
                <w:kern w:val="0"/>
                <w:sz w:val="18"/>
                <w:szCs w:val="18"/>
              </w:rPr>
            </w:pPr>
          </w:p>
        </w:tc>
        <w:tc>
          <w:tcPr>
            <w:tcW w:w="1941" w:type="dxa"/>
            <w:tcBorders>
              <w:top w:val="single" w:color="auto" w:sz="4" w:space="0"/>
              <w:left w:val="nil"/>
              <w:bottom w:val="single" w:color="auto" w:sz="4" w:space="0"/>
              <w:right w:val="single" w:color="auto" w:sz="4" w:space="0"/>
            </w:tcBorders>
            <w:vAlign w:val="center"/>
          </w:tcPr>
          <w:p w14:paraId="2B7F8E66">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color="auto" w:sz="4" w:space="0"/>
              <w:left w:val="nil"/>
              <w:bottom w:val="single" w:color="auto" w:sz="4" w:space="0"/>
              <w:right w:val="single" w:color="auto" w:sz="4" w:space="0"/>
            </w:tcBorders>
            <w:vAlign w:val="center"/>
          </w:tcPr>
          <w:p w14:paraId="0D3C3C94">
            <w:pPr>
              <w:spacing w:line="320" w:lineRule="exact"/>
              <w:jc w:val="left"/>
              <w:rPr>
                <w:color w:val="000000"/>
                <w:kern w:val="0"/>
                <w:sz w:val="18"/>
                <w:szCs w:val="18"/>
              </w:rPr>
            </w:pPr>
            <w:r>
              <w:rPr>
                <w:rFonts w:hint="eastAsia"/>
                <w:color w:val="000000"/>
                <w:kern w:val="0"/>
                <w:sz w:val="18"/>
                <w:szCs w:val="18"/>
              </w:rPr>
              <w:t>变相返本销售</w:t>
            </w:r>
          </w:p>
        </w:tc>
        <w:tc>
          <w:tcPr>
            <w:tcW w:w="1060" w:type="dxa"/>
            <w:vMerge w:val="continue"/>
            <w:tcBorders>
              <w:top w:val="nil"/>
              <w:left w:val="single" w:color="auto" w:sz="4" w:space="0"/>
              <w:bottom w:val="single" w:color="auto" w:sz="4" w:space="0"/>
              <w:right w:val="single" w:color="auto" w:sz="4" w:space="0"/>
            </w:tcBorders>
            <w:vAlign w:val="center"/>
          </w:tcPr>
          <w:p w14:paraId="47545B63">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2FF4D6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722E9688"/>
    <w:p w14:paraId="23495C13"/>
    <w:p w14:paraId="45A5E63E"/>
    <w:p w14:paraId="085B800B"/>
    <w:p w14:paraId="6578D22F"/>
    <w:p w14:paraId="0347FEB6"/>
    <w:p w14:paraId="60F9AD01"/>
    <w:p w14:paraId="64C1FD01"/>
    <w:p w14:paraId="6952F486"/>
    <w:p w14:paraId="19B12C8A"/>
    <w:tbl>
      <w:tblPr>
        <w:tblStyle w:val="15"/>
        <w:tblW w:w="0" w:type="auto"/>
        <w:tblInd w:w="88" w:type="dxa"/>
        <w:tblLayout w:type="fixed"/>
        <w:tblCellMar>
          <w:top w:w="0" w:type="dxa"/>
          <w:left w:w="108" w:type="dxa"/>
          <w:bottom w:w="0" w:type="dxa"/>
          <w:right w:w="108" w:type="dxa"/>
        </w:tblCellMar>
      </w:tblPr>
      <w:tblGrid>
        <w:gridCol w:w="1056"/>
        <w:gridCol w:w="1941"/>
        <w:gridCol w:w="4199"/>
        <w:gridCol w:w="1060"/>
        <w:gridCol w:w="5760"/>
      </w:tblGrid>
      <w:tr w14:paraId="598A42C1">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2E84254">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color="auto" w:sz="8" w:space="0"/>
              <w:left w:val="nil"/>
              <w:bottom w:val="single" w:color="auto" w:sz="4" w:space="0"/>
              <w:right w:val="single" w:color="000000" w:sz="8" w:space="0"/>
            </w:tcBorders>
            <w:vAlign w:val="center"/>
          </w:tcPr>
          <w:p w14:paraId="3848AC91">
            <w:pPr>
              <w:spacing w:line="320" w:lineRule="exact"/>
              <w:jc w:val="left"/>
              <w:rPr>
                <w:rFonts w:eastAsia="仿宋_GB2312"/>
                <w:b/>
                <w:bCs/>
                <w:color w:val="000000"/>
                <w:kern w:val="0"/>
                <w:sz w:val="18"/>
                <w:szCs w:val="18"/>
              </w:rPr>
            </w:pPr>
            <w:r>
              <w:rPr>
                <w:rFonts w:eastAsia="仿宋_GB2312"/>
                <w:b/>
                <w:bCs/>
                <w:color w:val="000000"/>
                <w:kern w:val="0"/>
                <w:sz w:val="18"/>
                <w:szCs w:val="18"/>
              </w:rPr>
              <w:t>320217146000</w:t>
            </w:r>
            <w:r>
              <w:rPr>
                <w:rFonts w:hint="eastAsia" w:eastAsia="仿宋_GB2312"/>
                <w:b/>
                <w:bCs/>
                <w:color w:val="000000"/>
                <w:kern w:val="0"/>
                <w:sz w:val="18"/>
                <w:szCs w:val="18"/>
              </w:rPr>
              <w:t xml:space="preserve"> </w:t>
            </w:r>
          </w:p>
        </w:tc>
      </w:tr>
      <w:tr w14:paraId="43829BC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6318EDF">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color="auto" w:sz="4" w:space="0"/>
              <w:left w:val="nil"/>
              <w:bottom w:val="single" w:color="auto" w:sz="4" w:space="0"/>
              <w:right w:val="single" w:color="000000" w:sz="8" w:space="0"/>
            </w:tcBorders>
            <w:vAlign w:val="center"/>
          </w:tcPr>
          <w:p w14:paraId="25A14A0C">
            <w:pPr>
              <w:spacing w:line="320" w:lineRule="exact"/>
              <w:jc w:val="left"/>
              <w:rPr>
                <w:color w:val="000000"/>
                <w:kern w:val="0"/>
                <w:sz w:val="18"/>
                <w:szCs w:val="18"/>
              </w:rPr>
            </w:pPr>
            <w:r>
              <w:rPr>
                <w:rFonts w:hint="eastAsia"/>
                <w:color w:val="000000"/>
                <w:kern w:val="0"/>
                <w:sz w:val="18"/>
                <w:szCs w:val="18"/>
              </w:rPr>
              <w:t>对房地产开发企业采取售后包租或者变相售后包租方式销售未竣工商品房的处罚</w:t>
            </w:r>
          </w:p>
        </w:tc>
      </w:tr>
      <w:tr w14:paraId="32583FED">
        <w:tblPrEx>
          <w:tblCellMar>
            <w:top w:w="0" w:type="dxa"/>
            <w:left w:w="108" w:type="dxa"/>
            <w:bottom w:w="0" w:type="dxa"/>
            <w:right w:w="108" w:type="dxa"/>
          </w:tblCellMar>
        </w:tblPrEx>
        <w:trPr>
          <w:trHeight w:val="1080" w:hRule="atLeast"/>
        </w:trPr>
        <w:tc>
          <w:tcPr>
            <w:tcW w:w="1056" w:type="dxa"/>
            <w:tcBorders>
              <w:top w:val="nil"/>
              <w:left w:val="single" w:color="auto" w:sz="8" w:space="0"/>
              <w:bottom w:val="single" w:color="auto" w:sz="4" w:space="0"/>
              <w:right w:val="single" w:color="auto" w:sz="4" w:space="0"/>
            </w:tcBorders>
            <w:vAlign w:val="center"/>
          </w:tcPr>
          <w:p w14:paraId="778038A3">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color="auto" w:sz="4" w:space="0"/>
              <w:left w:val="nil"/>
              <w:bottom w:val="single" w:color="auto" w:sz="4" w:space="0"/>
              <w:right w:val="single" w:color="000000" w:sz="8" w:space="0"/>
            </w:tcBorders>
            <w:vAlign w:val="center"/>
          </w:tcPr>
          <w:p w14:paraId="6B352E44">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23A16137">
            <w:pPr>
              <w:spacing w:line="320" w:lineRule="exact"/>
              <w:jc w:val="left"/>
              <w:rPr>
                <w:color w:val="000000"/>
                <w:kern w:val="0"/>
                <w:sz w:val="18"/>
                <w:szCs w:val="18"/>
              </w:rPr>
            </w:pPr>
            <w:r>
              <w:rPr>
                <w:rFonts w:hint="eastAsia"/>
                <w:color w:val="000000"/>
                <w:kern w:val="0"/>
                <w:sz w:val="18"/>
                <w:szCs w:val="18"/>
              </w:rPr>
              <w:t>第十一条第二款</w:t>
            </w:r>
            <w:r>
              <w:rPr>
                <w:color w:val="000000"/>
                <w:kern w:val="0"/>
                <w:sz w:val="18"/>
                <w:szCs w:val="18"/>
              </w:rPr>
              <w:t xml:space="preserve">  </w:t>
            </w:r>
            <w:r>
              <w:rPr>
                <w:rFonts w:hint="eastAsia"/>
                <w:color w:val="000000"/>
                <w:kern w:val="0"/>
                <w:sz w:val="18"/>
                <w:szCs w:val="18"/>
              </w:rPr>
              <w:t>房地产开发企业不得采取售后包租或者变相售后包租的方式销售未竣工商品房。</w:t>
            </w:r>
          </w:p>
          <w:p w14:paraId="4D6254FB">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14:paraId="0660B1E8">
            <w:pPr>
              <w:spacing w:line="320" w:lineRule="exact"/>
              <w:jc w:val="left"/>
              <w:rPr>
                <w:color w:val="000000"/>
                <w:kern w:val="0"/>
                <w:sz w:val="18"/>
                <w:szCs w:val="18"/>
              </w:rPr>
            </w:pPr>
            <w:r>
              <w:rPr>
                <w:rFonts w:hint="eastAsia"/>
                <w:color w:val="000000"/>
                <w:kern w:val="0"/>
                <w:sz w:val="18"/>
                <w:szCs w:val="18"/>
              </w:rPr>
              <w:t>（四）采取售后包租或者变相售后包租方式销售未竣工商品房的。</w:t>
            </w:r>
          </w:p>
        </w:tc>
      </w:tr>
      <w:tr w14:paraId="22B083EE">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5D11AB6">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color="auto" w:sz="4" w:space="0"/>
              <w:left w:val="nil"/>
              <w:bottom w:val="single" w:color="auto" w:sz="4" w:space="0"/>
              <w:right w:val="single" w:color="000000" w:sz="8" w:space="0"/>
            </w:tcBorders>
            <w:vAlign w:val="center"/>
          </w:tcPr>
          <w:p w14:paraId="050F8BAA">
            <w:pPr>
              <w:spacing w:line="320" w:lineRule="exact"/>
              <w:jc w:val="left"/>
              <w:rPr>
                <w:color w:val="000000"/>
                <w:kern w:val="0"/>
                <w:sz w:val="18"/>
                <w:szCs w:val="18"/>
              </w:rPr>
            </w:pPr>
            <w:r>
              <w:rPr>
                <w:rFonts w:hint="eastAsia"/>
                <w:color w:val="000000"/>
                <w:kern w:val="0"/>
                <w:sz w:val="18"/>
                <w:szCs w:val="18"/>
              </w:rPr>
              <w:t>警告，罚款</w:t>
            </w:r>
          </w:p>
        </w:tc>
      </w:tr>
      <w:tr w14:paraId="41CB5AA6">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66E74164">
            <w:pPr>
              <w:spacing w:line="320" w:lineRule="exact"/>
              <w:jc w:val="center"/>
              <w:rPr>
                <w:color w:val="000000"/>
                <w:kern w:val="0"/>
                <w:sz w:val="18"/>
                <w:szCs w:val="18"/>
              </w:rPr>
            </w:pPr>
            <w:r>
              <w:rPr>
                <w:rFonts w:hint="eastAsia"/>
                <w:color w:val="000000"/>
                <w:kern w:val="0"/>
                <w:sz w:val="18"/>
                <w:szCs w:val="18"/>
              </w:rPr>
              <w:t>裁量基准</w:t>
            </w:r>
          </w:p>
        </w:tc>
      </w:tr>
      <w:tr w14:paraId="7844D1AD">
        <w:tblPrEx>
          <w:tblCellMar>
            <w:top w:w="0" w:type="dxa"/>
            <w:left w:w="108" w:type="dxa"/>
            <w:bottom w:w="0" w:type="dxa"/>
            <w:right w:w="108" w:type="dxa"/>
          </w:tblCellMar>
        </w:tblPrEx>
        <w:trPr>
          <w:trHeight w:val="268" w:hRule="atLeast"/>
        </w:trPr>
        <w:tc>
          <w:tcPr>
            <w:tcW w:w="1056" w:type="dxa"/>
            <w:vMerge w:val="restart"/>
            <w:tcBorders>
              <w:top w:val="nil"/>
              <w:left w:val="single" w:color="auto" w:sz="8" w:space="0"/>
              <w:bottom w:val="single" w:color="auto" w:sz="4" w:space="0"/>
              <w:right w:val="single" w:color="auto" w:sz="4" w:space="0"/>
            </w:tcBorders>
            <w:vAlign w:val="center"/>
          </w:tcPr>
          <w:p w14:paraId="07AAF75F">
            <w:pPr>
              <w:spacing w:line="320" w:lineRule="exact"/>
              <w:jc w:val="center"/>
              <w:rPr>
                <w:color w:val="000000"/>
                <w:kern w:val="0"/>
                <w:sz w:val="18"/>
                <w:szCs w:val="18"/>
              </w:rPr>
            </w:pPr>
            <w:r>
              <w:rPr>
                <w:rFonts w:hint="eastAsia"/>
                <w:color w:val="000000"/>
                <w:kern w:val="0"/>
                <w:sz w:val="18"/>
                <w:szCs w:val="18"/>
              </w:rPr>
              <w:t>情形描述</w:t>
            </w:r>
          </w:p>
        </w:tc>
        <w:tc>
          <w:tcPr>
            <w:tcW w:w="1941" w:type="dxa"/>
            <w:vMerge w:val="restart"/>
            <w:tcBorders>
              <w:top w:val="single" w:color="auto" w:sz="4" w:space="0"/>
              <w:left w:val="nil"/>
              <w:right w:val="single" w:color="auto" w:sz="4" w:space="0"/>
            </w:tcBorders>
            <w:vAlign w:val="center"/>
          </w:tcPr>
          <w:p w14:paraId="4CBB210A">
            <w:pPr>
              <w:spacing w:line="320" w:lineRule="exact"/>
              <w:jc w:val="left"/>
              <w:rPr>
                <w:color w:val="000000"/>
                <w:kern w:val="0"/>
                <w:sz w:val="18"/>
                <w:szCs w:val="18"/>
              </w:rPr>
            </w:pPr>
            <w:r>
              <w:rPr>
                <w:rFonts w:hint="eastAsia"/>
                <w:color w:val="000000"/>
                <w:kern w:val="0"/>
                <w:sz w:val="18"/>
                <w:szCs w:val="18"/>
              </w:rPr>
              <w:t>按照要求改正</w:t>
            </w:r>
          </w:p>
        </w:tc>
        <w:tc>
          <w:tcPr>
            <w:tcW w:w="4199" w:type="dxa"/>
            <w:tcBorders>
              <w:top w:val="single" w:color="auto" w:sz="4" w:space="0"/>
              <w:left w:val="nil"/>
              <w:bottom w:val="single" w:color="auto" w:sz="4" w:space="0"/>
              <w:right w:val="single" w:color="auto" w:sz="4" w:space="0"/>
            </w:tcBorders>
            <w:vAlign w:val="center"/>
          </w:tcPr>
          <w:p w14:paraId="025012F8">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color="auto" w:sz="4" w:space="0"/>
              <w:bottom w:val="single" w:color="auto" w:sz="4" w:space="0"/>
              <w:right w:val="single" w:color="auto" w:sz="4" w:space="0"/>
            </w:tcBorders>
            <w:vAlign w:val="center"/>
          </w:tcPr>
          <w:p w14:paraId="78FF17DA">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8" w:space="0"/>
            </w:tcBorders>
            <w:vAlign w:val="center"/>
          </w:tcPr>
          <w:p w14:paraId="126E2C6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29AE0F4B">
        <w:tblPrEx>
          <w:tblCellMar>
            <w:top w:w="0" w:type="dxa"/>
            <w:left w:w="108" w:type="dxa"/>
            <w:bottom w:w="0" w:type="dxa"/>
            <w:right w:w="108" w:type="dxa"/>
          </w:tblCellMar>
        </w:tblPrEx>
        <w:trPr>
          <w:trHeight w:val="268" w:hRule="atLeast"/>
        </w:trPr>
        <w:tc>
          <w:tcPr>
            <w:tcW w:w="1056" w:type="dxa"/>
            <w:vMerge w:val="continue"/>
            <w:tcBorders>
              <w:top w:val="nil"/>
              <w:left w:val="single" w:color="auto" w:sz="8" w:space="0"/>
              <w:bottom w:val="single" w:color="auto" w:sz="4" w:space="0"/>
              <w:right w:val="single" w:color="auto" w:sz="4" w:space="0"/>
            </w:tcBorders>
            <w:vAlign w:val="center"/>
          </w:tcPr>
          <w:p w14:paraId="65CF61EF">
            <w:pPr>
              <w:spacing w:line="320" w:lineRule="exact"/>
              <w:jc w:val="center"/>
              <w:rPr>
                <w:color w:val="000000"/>
                <w:kern w:val="0"/>
                <w:sz w:val="18"/>
                <w:szCs w:val="18"/>
              </w:rPr>
            </w:pPr>
          </w:p>
        </w:tc>
        <w:tc>
          <w:tcPr>
            <w:tcW w:w="1941" w:type="dxa"/>
            <w:vMerge w:val="continue"/>
            <w:tcBorders>
              <w:left w:val="nil"/>
              <w:bottom w:val="single" w:color="auto" w:sz="4" w:space="0"/>
              <w:right w:val="single" w:color="auto" w:sz="4" w:space="0"/>
            </w:tcBorders>
            <w:vAlign w:val="center"/>
          </w:tcPr>
          <w:p w14:paraId="68C98E32">
            <w:pPr>
              <w:spacing w:line="320" w:lineRule="exact"/>
              <w:jc w:val="left"/>
              <w:rPr>
                <w:color w:val="000000"/>
                <w:kern w:val="0"/>
                <w:sz w:val="18"/>
                <w:szCs w:val="18"/>
              </w:rPr>
            </w:pPr>
          </w:p>
        </w:tc>
        <w:tc>
          <w:tcPr>
            <w:tcW w:w="4199" w:type="dxa"/>
            <w:tcBorders>
              <w:top w:val="single" w:color="auto" w:sz="4" w:space="0"/>
              <w:left w:val="nil"/>
              <w:bottom w:val="single" w:color="auto" w:sz="4" w:space="0"/>
              <w:right w:val="single" w:color="auto" w:sz="4" w:space="0"/>
            </w:tcBorders>
            <w:vAlign w:val="center"/>
          </w:tcPr>
          <w:p w14:paraId="61BD32A9">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val="continue"/>
            <w:tcBorders>
              <w:top w:val="nil"/>
              <w:left w:val="single" w:color="auto" w:sz="4" w:space="0"/>
              <w:bottom w:val="single" w:color="auto" w:sz="4" w:space="0"/>
              <w:right w:val="single" w:color="auto" w:sz="4" w:space="0"/>
            </w:tcBorders>
            <w:vAlign w:val="center"/>
          </w:tcPr>
          <w:p w14:paraId="6A9B09DE">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598FE61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7A7EC367">
        <w:tblPrEx>
          <w:tblCellMar>
            <w:top w:w="0" w:type="dxa"/>
            <w:left w:w="108" w:type="dxa"/>
            <w:bottom w:w="0" w:type="dxa"/>
            <w:right w:w="108" w:type="dxa"/>
          </w:tblCellMar>
        </w:tblPrEx>
        <w:trPr>
          <w:trHeight w:val="268" w:hRule="atLeast"/>
        </w:trPr>
        <w:tc>
          <w:tcPr>
            <w:tcW w:w="1056" w:type="dxa"/>
            <w:vMerge w:val="continue"/>
            <w:tcBorders>
              <w:top w:val="nil"/>
              <w:left w:val="single" w:color="auto" w:sz="8" w:space="0"/>
              <w:bottom w:val="single" w:color="auto" w:sz="4" w:space="0"/>
              <w:right w:val="single" w:color="auto" w:sz="4" w:space="0"/>
            </w:tcBorders>
            <w:vAlign w:val="center"/>
          </w:tcPr>
          <w:p w14:paraId="7A08A290">
            <w:pPr>
              <w:spacing w:line="320" w:lineRule="exact"/>
              <w:jc w:val="center"/>
              <w:rPr>
                <w:color w:val="000000"/>
                <w:kern w:val="0"/>
                <w:sz w:val="18"/>
                <w:szCs w:val="18"/>
              </w:rPr>
            </w:pPr>
          </w:p>
        </w:tc>
        <w:tc>
          <w:tcPr>
            <w:tcW w:w="1941" w:type="dxa"/>
            <w:tcBorders>
              <w:top w:val="single" w:color="auto" w:sz="4" w:space="0"/>
              <w:left w:val="nil"/>
              <w:bottom w:val="single" w:color="auto" w:sz="4" w:space="0"/>
              <w:right w:val="single" w:color="auto" w:sz="4" w:space="0"/>
            </w:tcBorders>
            <w:vAlign w:val="center"/>
          </w:tcPr>
          <w:p w14:paraId="63B00EE1">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color="auto" w:sz="4" w:space="0"/>
              <w:left w:val="nil"/>
              <w:bottom w:val="single" w:color="auto" w:sz="4" w:space="0"/>
              <w:right w:val="single" w:color="auto" w:sz="4" w:space="0"/>
            </w:tcBorders>
            <w:vAlign w:val="center"/>
          </w:tcPr>
          <w:p w14:paraId="78124D8E">
            <w:pPr>
              <w:spacing w:line="320" w:lineRule="exact"/>
              <w:jc w:val="left"/>
              <w:rPr>
                <w:color w:val="000000"/>
                <w:kern w:val="0"/>
                <w:sz w:val="18"/>
                <w:szCs w:val="18"/>
              </w:rPr>
            </w:pPr>
            <w:r>
              <w:rPr>
                <w:rFonts w:hint="eastAsia"/>
                <w:color w:val="000000"/>
                <w:kern w:val="0"/>
                <w:sz w:val="18"/>
                <w:szCs w:val="18"/>
              </w:rPr>
              <w:t>售后包租的</w:t>
            </w:r>
          </w:p>
        </w:tc>
        <w:tc>
          <w:tcPr>
            <w:tcW w:w="1060" w:type="dxa"/>
            <w:vMerge w:val="continue"/>
            <w:tcBorders>
              <w:top w:val="nil"/>
              <w:left w:val="single" w:color="auto" w:sz="4" w:space="0"/>
              <w:bottom w:val="single" w:color="auto" w:sz="4" w:space="0"/>
              <w:right w:val="single" w:color="auto" w:sz="4" w:space="0"/>
            </w:tcBorders>
            <w:vAlign w:val="center"/>
          </w:tcPr>
          <w:p w14:paraId="5B9CE879">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35FD7CC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55915B2B">
        <w:tblPrEx>
          <w:tblCellMar>
            <w:top w:w="0" w:type="dxa"/>
            <w:left w:w="108" w:type="dxa"/>
            <w:bottom w:w="0" w:type="dxa"/>
            <w:right w:w="108" w:type="dxa"/>
          </w:tblCellMar>
        </w:tblPrEx>
        <w:trPr>
          <w:trHeight w:val="362" w:hRule="atLeast"/>
        </w:trPr>
        <w:tc>
          <w:tcPr>
            <w:tcW w:w="1056" w:type="dxa"/>
            <w:vMerge w:val="continue"/>
            <w:tcBorders>
              <w:top w:val="nil"/>
              <w:left w:val="single" w:color="auto" w:sz="8" w:space="0"/>
              <w:bottom w:val="single" w:color="auto" w:sz="4" w:space="0"/>
              <w:right w:val="single" w:color="auto" w:sz="4" w:space="0"/>
            </w:tcBorders>
            <w:vAlign w:val="center"/>
          </w:tcPr>
          <w:p w14:paraId="63D1A6FD">
            <w:pPr>
              <w:spacing w:line="320" w:lineRule="exact"/>
              <w:jc w:val="center"/>
              <w:rPr>
                <w:color w:val="000000"/>
                <w:kern w:val="0"/>
                <w:sz w:val="18"/>
                <w:szCs w:val="18"/>
              </w:rPr>
            </w:pPr>
          </w:p>
        </w:tc>
        <w:tc>
          <w:tcPr>
            <w:tcW w:w="1941" w:type="dxa"/>
            <w:tcBorders>
              <w:top w:val="single" w:color="auto" w:sz="4" w:space="0"/>
              <w:left w:val="nil"/>
              <w:bottom w:val="single" w:color="auto" w:sz="4" w:space="0"/>
              <w:right w:val="single" w:color="auto" w:sz="4" w:space="0"/>
            </w:tcBorders>
            <w:vAlign w:val="center"/>
          </w:tcPr>
          <w:p w14:paraId="7F1BEF2F">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color="auto" w:sz="4" w:space="0"/>
              <w:left w:val="nil"/>
              <w:bottom w:val="single" w:color="auto" w:sz="4" w:space="0"/>
              <w:right w:val="single" w:color="auto" w:sz="4" w:space="0"/>
            </w:tcBorders>
            <w:vAlign w:val="center"/>
          </w:tcPr>
          <w:p w14:paraId="302589A0">
            <w:pPr>
              <w:spacing w:line="320" w:lineRule="exact"/>
              <w:jc w:val="left"/>
              <w:rPr>
                <w:color w:val="000000"/>
                <w:kern w:val="0"/>
                <w:sz w:val="18"/>
                <w:szCs w:val="18"/>
              </w:rPr>
            </w:pPr>
            <w:r>
              <w:rPr>
                <w:rFonts w:hint="eastAsia"/>
                <w:color w:val="000000"/>
                <w:kern w:val="0"/>
                <w:sz w:val="18"/>
                <w:szCs w:val="18"/>
              </w:rPr>
              <w:t>变相售后包租的</w:t>
            </w:r>
          </w:p>
        </w:tc>
        <w:tc>
          <w:tcPr>
            <w:tcW w:w="1060" w:type="dxa"/>
            <w:vMerge w:val="continue"/>
            <w:tcBorders>
              <w:top w:val="nil"/>
              <w:left w:val="single" w:color="auto" w:sz="4" w:space="0"/>
              <w:bottom w:val="single" w:color="auto" w:sz="4" w:space="0"/>
              <w:right w:val="single" w:color="auto" w:sz="4" w:space="0"/>
            </w:tcBorders>
            <w:vAlign w:val="center"/>
          </w:tcPr>
          <w:p w14:paraId="56657827">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396AA5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353E1A39"/>
    <w:p w14:paraId="620672F6"/>
    <w:p w14:paraId="0FF2C789"/>
    <w:p w14:paraId="69E5B5F6"/>
    <w:p w14:paraId="4652CA2B"/>
    <w:p w14:paraId="580C8BF5"/>
    <w:p w14:paraId="4CBDACFD"/>
    <w:p w14:paraId="3A57E006"/>
    <w:p w14:paraId="3819DB3C"/>
    <w:p w14:paraId="45493DED"/>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41B7241F">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2D85AD07">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5604C319">
            <w:pPr>
              <w:jc w:val="left"/>
              <w:textAlignment w:val="center"/>
              <w:rPr>
                <w:rFonts w:eastAsia="仿宋_GB2312"/>
                <w:b/>
                <w:bCs/>
                <w:color w:val="000000"/>
                <w:kern w:val="0"/>
                <w:sz w:val="18"/>
                <w:szCs w:val="18"/>
              </w:rPr>
            </w:pPr>
            <w:r>
              <w:rPr>
                <w:rFonts w:eastAsia="仿宋_GB2312"/>
                <w:b/>
                <w:color w:val="000000"/>
                <w:kern w:val="0"/>
                <w:sz w:val="20"/>
              </w:rPr>
              <w:t>320217147000</w:t>
            </w:r>
          </w:p>
        </w:tc>
      </w:tr>
      <w:tr w14:paraId="209B3413">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32CA0F8F">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424E24A3">
            <w:pPr>
              <w:spacing w:line="320" w:lineRule="exact"/>
              <w:jc w:val="left"/>
              <w:rPr>
                <w:color w:val="000000"/>
                <w:kern w:val="0"/>
                <w:sz w:val="18"/>
                <w:szCs w:val="18"/>
              </w:rPr>
            </w:pPr>
            <w:r>
              <w:rPr>
                <w:rFonts w:hint="eastAsia"/>
                <w:color w:val="000000"/>
                <w:kern w:val="0"/>
                <w:sz w:val="18"/>
                <w:szCs w:val="18"/>
              </w:rPr>
              <w:t>对负有直接责任的注册建筑师因建筑设计质量不合格发生重大责任事故，造成重大损失的处罚</w:t>
            </w:r>
          </w:p>
        </w:tc>
      </w:tr>
      <w:tr w14:paraId="58FCEBCA">
        <w:tblPrEx>
          <w:tblCellMar>
            <w:top w:w="0" w:type="dxa"/>
            <w:left w:w="108" w:type="dxa"/>
            <w:bottom w:w="0" w:type="dxa"/>
            <w:right w:w="108" w:type="dxa"/>
          </w:tblCellMar>
        </w:tblPrEx>
        <w:trPr>
          <w:trHeight w:val="90" w:hRule="atLeast"/>
        </w:trPr>
        <w:tc>
          <w:tcPr>
            <w:tcW w:w="1030" w:type="dxa"/>
            <w:tcBorders>
              <w:top w:val="single" w:color="auto" w:sz="4" w:space="0"/>
              <w:left w:val="single" w:color="auto" w:sz="8" w:space="0"/>
              <w:bottom w:val="single" w:color="auto" w:sz="4" w:space="0"/>
              <w:right w:val="single" w:color="auto" w:sz="4" w:space="0"/>
            </w:tcBorders>
            <w:vAlign w:val="center"/>
          </w:tcPr>
          <w:p w14:paraId="1EA71183">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273C7BE7">
            <w:pPr>
              <w:spacing w:line="320" w:lineRule="exact"/>
              <w:ind w:firstLine="180" w:firstLineChars="10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14:paraId="43306D92">
            <w:pPr>
              <w:spacing w:line="320" w:lineRule="exact"/>
              <w:jc w:val="left"/>
              <w:rPr>
                <w:color w:val="000000"/>
                <w:kern w:val="0"/>
                <w:sz w:val="18"/>
                <w:szCs w:val="18"/>
              </w:rPr>
            </w:pPr>
            <w:r>
              <w:rPr>
                <w:rFonts w:hint="eastAsia"/>
                <w:color w:val="000000"/>
                <w:kern w:val="0"/>
                <w:sz w:val="18"/>
                <w:szCs w:val="18"/>
              </w:rPr>
              <w:t>第二十八条　注册建筑师应当履行下列义务：</w:t>
            </w:r>
          </w:p>
          <w:p w14:paraId="6B1C75B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（二）保证建筑设计的质量，并在其负责的设计图纸上签字；</w:t>
            </w:r>
          </w:p>
          <w:p w14:paraId="5DE3091B">
            <w:pPr>
              <w:spacing w:line="320" w:lineRule="exact"/>
              <w:jc w:val="left"/>
              <w:rPr>
                <w:color w:val="000000"/>
                <w:kern w:val="0"/>
                <w:sz w:val="18"/>
                <w:szCs w:val="18"/>
              </w:rPr>
            </w:pPr>
            <w:r>
              <w:rPr>
                <w:rFonts w:hint="eastAsia"/>
                <w:color w:val="000000"/>
                <w:kern w:val="0"/>
                <w:sz w:val="18"/>
                <w:szCs w:val="18"/>
              </w:rPr>
              <w:t>第三十二条　因建筑设计质量不合格发生重大责任事故，造成重大损失的，对该建筑设计负有直接责任的注册建筑师，由县级以上人民政府建设行政主管部门责令停止执行业务；情节严重的，由全国注册建筑师管理委员会或者省、自治区、直辖市注册建筑师管理委员会吊销注册建筑师证书。</w:t>
            </w:r>
          </w:p>
        </w:tc>
      </w:tr>
      <w:tr w14:paraId="20AC339B">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1C6798D5">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051EFA24">
            <w:pPr>
              <w:spacing w:line="320" w:lineRule="exact"/>
              <w:jc w:val="left"/>
              <w:rPr>
                <w:color w:val="000000"/>
                <w:kern w:val="0"/>
                <w:sz w:val="18"/>
                <w:szCs w:val="18"/>
              </w:rPr>
            </w:pPr>
            <w:r>
              <w:rPr>
                <w:rFonts w:hint="eastAsia"/>
                <w:color w:val="000000"/>
                <w:kern w:val="0"/>
                <w:sz w:val="18"/>
                <w:szCs w:val="18"/>
              </w:rPr>
              <w:t>责令停止执业</w:t>
            </w:r>
          </w:p>
        </w:tc>
      </w:tr>
      <w:tr w14:paraId="48BD3014">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28A283B0">
            <w:pPr>
              <w:spacing w:line="320" w:lineRule="exact"/>
              <w:jc w:val="center"/>
              <w:rPr>
                <w:color w:val="000000"/>
                <w:kern w:val="0"/>
                <w:sz w:val="18"/>
                <w:szCs w:val="18"/>
              </w:rPr>
            </w:pPr>
            <w:r>
              <w:rPr>
                <w:rFonts w:hint="eastAsia"/>
                <w:color w:val="000000"/>
                <w:kern w:val="0"/>
                <w:sz w:val="18"/>
                <w:szCs w:val="18"/>
              </w:rPr>
              <w:t>裁量基准</w:t>
            </w:r>
          </w:p>
        </w:tc>
      </w:tr>
      <w:tr w14:paraId="60B68DB7">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8" w:space="0"/>
              <w:bottom w:val="single" w:color="auto" w:sz="4" w:space="0"/>
              <w:right w:val="single" w:color="auto" w:sz="4" w:space="0"/>
            </w:tcBorders>
            <w:vAlign w:val="center"/>
          </w:tcPr>
          <w:p w14:paraId="6B21298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1B712B54">
            <w:pPr>
              <w:spacing w:line="320" w:lineRule="exact"/>
              <w:jc w:val="left"/>
              <w:rPr>
                <w:color w:val="000000"/>
                <w:kern w:val="0"/>
                <w:sz w:val="18"/>
                <w:szCs w:val="18"/>
              </w:rPr>
            </w:pPr>
            <w:r>
              <w:rPr>
                <w:rFonts w:hint="eastAsia"/>
                <w:color w:val="000000"/>
                <w:kern w:val="0"/>
                <w:sz w:val="18"/>
                <w:szCs w:val="18"/>
              </w:rPr>
              <w:t>发生安全事故未造成人员死亡的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74513E9C">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65ADB38C">
            <w:pPr>
              <w:spacing w:line="320" w:lineRule="exact"/>
              <w:jc w:val="left"/>
              <w:rPr>
                <w:color w:val="000000"/>
                <w:kern w:val="0"/>
                <w:sz w:val="18"/>
                <w:szCs w:val="18"/>
              </w:rPr>
            </w:pPr>
            <w:r>
              <w:rPr>
                <w:rFonts w:hint="eastAsia"/>
                <w:color w:val="000000"/>
                <w:kern w:val="0"/>
                <w:sz w:val="18"/>
                <w:szCs w:val="18"/>
              </w:rPr>
              <w:t>责令停止执业</w:t>
            </w:r>
          </w:p>
        </w:tc>
      </w:tr>
      <w:tr w14:paraId="0482EBC8">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8" w:space="0"/>
              <w:bottom w:val="single" w:color="auto" w:sz="8" w:space="0"/>
              <w:right w:val="single" w:color="auto" w:sz="4" w:space="0"/>
            </w:tcBorders>
            <w:vAlign w:val="center"/>
          </w:tcPr>
          <w:p w14:paraId="4DD87E37">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64AE0350">
            <w:pPr>
              <w:spacing w:line="320" w:lineRule="exact"/>
              <w:jc w:val="left"/>
              <w:rPr>
                <w:color w:val="000000"/>
                <w:kern w:val="0"/>
                <w:sz w:val="18"/>
                <w:szCs w:val="18"/>
              </w:rPr>
            </w:pPr>
            <w:r>
              <w:rPr>
                <w:rFonts w:hint="eastAsia"/>
                <w:color w:val="000000"/>
                <w:kern w:val="0"/>
                <w:sz w:val="18"/>
                <w:szCs w:val="18"/>
              </w:rPr>
              <w:t>发生安全事故造成人员死亡的</w:t>
            </w:r>
          </w:p>
        </w:tc>
        <w:tc>
          <w:tcPr>
            <w:tcW w:w="1080" w:type="dxa"/>
            <w:vMerge w:val="continue"/>
            <w:tcBorders>
              <w:top w:val="single" w:color="auto" w:sz="4" w:space="0"/>
              <w:left w:val="single" w:color="auto" w:sz="4" w:space="0"/>
              <w:bottom w:val="single" w:color="auto" w:sz="8" w:space="0"/>
              <w:right w:val="single" w:color="auto" w:sz="4" w:space="0"/>
            </w:tcBorders>
            <w:vAlign w:val="center"/>
          </w:tcPr>
          <w:p w14:paraId="0E27334A">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293C15D6">
            <w:pPr>
              <w:spacing w:line="320" w:lineRule="exact"/>
              <w:jc w:val="left"/>
              <w:rPr>
                <w:color w:val="000000"/>
                <w:kern w:val="0"/>
                <w:sz w:val="18"/>
                <w:szCs w:val="18"/>
              </w:rPr>
            </w:pPr>
            <w:r>
              <w:rPr>
                <w:rFonts w:hint="eastAsia"/>
                <w:color w:val="000000"/>
                <w:kern w:val="0"/>
                <w:sz w:val="18"/>
                <w:szCs w:val="18"/>
              </w:rPr>
              <w:t>吊销注册建筑师证书</w:t>
            </w:r>
          </w:p>
        </w:tc>
      </w:tr>
    </w:tbl>
    <w:p w14:paraId="7E4F887B"/>
    <w:p w14:paraId="606E046B"/>
    <w:p w14:paraId="46071EF6"/>
    <w:p w14:paraId="2265D14F"/>
    <w:p w14:paraId="40C77410"/>
    <w:p w14:paraId="6A5AC3C2"/>
    <w:p w14:paraId="2016A760"/>
    <w:p w14:paraId="2C810F8C"/>
    <w:p w14:paraId="253034BB"/>
    <w:p w14:paraId="03FB522C"/>
    <w:p w14:paraId="6E8C4354"/>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7116807B">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6ADA3E7D">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5A2B4188">
            <w:pPr>
              <w:spacing w:line="320" w:lineRule="exact"/>
              <w:jc w:val="left"/>
              <w:rPr>
                <w:rFonts w:eastAsia="仿宋_GB2312"/>
                <w:b/>
                <w:bCs/>
                <w:color w:val="000000"/>
                <w:kern w:val="0"/>
                <w:sz w:val="18"/>
                <w:szCs w:val="18"/>
              </w:rPr>
            </w:pPr>
            <w:r>
              <w:rPr>
                <w:rFonts w:eastAsia="仿宋_GB2312"/>
                <w:b/>
                <w:bCs/>
                <w:color w:val="000000"/>
                <w:kern w:val="0"/>
                <w:sz w:val="18"/>
                <w:szCs w:val="18"/>
              </w:rPr>
              <w:t>320217148000</w:t>
            </w:r>
            <w:r>
              <w:rPr>
                <w:rFonts w:hint="eastAsia" w:eastAsia="仿宋_GB2312"/>
                <w:b/>
                <w:bCs/>
                <w:color w:val="000000"/>
                <w:kern w:val="0"/>
                <w:sz w:val="18"/>
                <w:szCs w:val="18"/>
              </w:rPr>
              <w:t xml:space="preserve"> </w:t>
            </w:r>
          </w:p>
        </w:tc>
      </w:tr>
      <w:tr w14:paraId="7B57192E">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03A89D24">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22269043">
            <w:pPr>
              <w:spacing w:line="320" w:lineRule="exact"/>
              <w:jc w:val="left"/>
              <w:rPr>
                <w:color w:val="000000"/>
                <w:kern w:val="0"/>
                <w:sz w:val="18"/>
                <w:szCs w:val="18"/>
              </w:rPr>
            </w:pPr>
            <w:r>
              <w:rPr>
                <w:rFonts w:hint="eastAsia"/>
                <w:color w:val="000000"/>
                <w:kern w:val="0"/>
                <w:sz w:val="18"/>
                <w:szCs w:val="18"/>
              </w:rPr>
              <w:t>对生产经营单位安全设备的安装、使用、检测、改造和报废不符合国家标准或者行业标准的处罚</w:t>
            </w:r>
          </w:p>
        </w:tc>
      </w:tr>
      <w:tr w14:paraId="0033FCA7">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1D8AB5A0">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56E12A35">
            <w:pPr>
              <w:spacing w:line="320" w:lineRule="exact"/>
              <w:jc w:val="left"/>
              <w:rPr>
                <w:color w:val="000000"/>
                <w:kern w:val="0"/>
                <w:sz w:val="18"/>
                <w:szCs w:val="18"/>
              </w:rPr>
            </w:pPr>
            <w:r>
              <w:rPr>
                <w:rFonts w:hint="eastAsia"/>
                <w:color w:val="000000"/>
                <w:kern w:val="0"/>
                <w:sz w:val="18"/>
                <w:szCs w:val="18"/>
              </w:rPr>
              <w:t>【法律】《中华人民共和国安全生产法》</w:t>
            </w:r>
          </w:p>
          <w:p w14:paraId="6AD98FD2">
            <w:pPr>
              <w:spacing w:line="320" w:lineRule="exact"/>
              <w:jc w:val="left"/>
              <w:rPr>
                <w:color w:val="000000"/>
                <w:kern w:val="0"/>
                <w:sz w:val="18"/>
                <w:szCs w:val="18"/>
              </w:rPr>
            </w:pPr>
            <w:r>
              <w:rPr>
                <w:rFonts w:hint="eastAsia"/>
                <w:color w:val="000000"/>
                <w:kern w:val="0"/>
                <w:sz w:val="18"/>
                <w:szCs w:val="18"/>
              </w:rPr>
              <w:t>　    第三十六条第一款　安全设备的设计、制造、安装、使用、检测、维修、改造和报废，应当符合国家标准或者行业标准。</w:t>
            </w:r>
          </w:p>
          <w:p w14:paraId="2345E9EE">
            <w:pPr>
              <w:spacing w:line="320" w:lineRule="exact"/>
              <w:jc w:val="left"/>
              <w:rPr>
                <w:color w:val="000000"/>
                <w:kern w:val="0"/>
                <w:sz w:val="18"/>
                <w:szCs w:val="18"/>
              </w:rPr>
            </w:pPr>
            <w:r>
              <w:rPr>
                <w:rFonts w:hint="eastAsia"/>
                <w:color w:val="000000"/>
                <w:kern w:val="0"/>
                <w:sz w:val="18"/>
                <w:szCs w:val="18"/>
              </w:rPr>
              <w:t xml:space="preserve">     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7F3A61FF">
            <w:pPr>
              <w:spacing w:line="320" w:lineRule="exact"/>
              <w:jc w:val="left"/>
              <w:rPr>
                <w:color w:val="000000"/>
                <w:kern w:val="0"/>
                <w:sz w:val="18"/>
                <w:szCs w:val="18"/>
              </w:rPr>
            </w:pPr>
            <w:r>
              <w:rPr>
                <w:rFonts w:hint="eastAsia"/>
                <w:color w:val="000000"/>
                <w:kern w:val="0"/>
                <w:sz w:val="18"/>
                <w:szCs w:val="18"/>
              </w:rPr>
              <w:t>　（二）安全设备的安装、使用、检测、改造和报废不符合国家标准或者行业标准的；</w:t>
            </w:r>
          </w:p>
        </w:tc>
      </w:tr>
      <w:tr w14:paraId="33984DA6">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2A65B003">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2261ADB7">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4EED416C">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03303E97">
            <w:pPr>
              <w:spacing w:line="320" w:lineRule="exact"/>
              <w:jc w:val="center"/>
              <w:rPr>
                <w:color w:val="000000"/>
                <w:kern w:val="0"/>
                <w:sz w:val="18"/>
                <w:szCs w:val="18"/>
              </w:rPr>
            </w:pPr>
            <w:r>
              <w:rPr>
                <w:rFonts w:hint="eastAsia"/>
                <w:color w:val="000000"/>
                <w:kern w:val="0"/>
                <w:sz w:val="18"/>
                <w:szCs w:val="18"/>
              </w:rPr>
              <w:t>裁量基准</w:t>
            </w:r>
          </w:p>
        </w:tc>
      </w:tr>
      <w:tr w14:paraId="2D6EAB42">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bottom w:val="single" w:color="auto" w:sz="4" w:space="0"/>
              <w:right w:val="single" w:color="auto" w:sz="4" w:space="0"/>
            </w:tcBorders>
            <w:vAlign w:val="center"/>
          </w:tcPr>
          <w:p w14:paraId="7C3ADF5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1C506E34">
            <w:pPr>
              <w:spacing w:line="320" w:lineRule="exact"/>
              <w:jc w:val="left"/>
              <w:rPr>
                <w:color w:val="000000"/>
                <w:kern w:val="0"/>
                <w:sz w:val="18"/>
                <w:szCs w:val="18"/>
              </w:rPr>
            </w:pPr>
            <w:r>
              <w:rPr>
                <w:rFonts w:hint="eastAsia"/>
                <w:color w:val="000000"/>
                <w:kern w:val="0"/>
                <w:sz w:val="18"/>
                <w:szCs w:val="18"/>
              </w:rPr>
              <w:t>按照要求改正且未造成生产安全事故的</w:t>
            </w:r>
          </w:p>
        </w:tc>
        <w:tc>
          <w:tcPr>
            <w:tcW w:w="1076" w:type="dxa"/>
            <w:vMerge w:val="restart"/>
            <w:tcBorders>
              <w:top w:val="nil"/>
              <w:left w:val="single" w:color="auto" w:sz="4" w:space="0"/>
              <w:bottom w:val="single" w:color="auto" w:sz="4" w:space="0"/>
              <w:right w:val="single" w:color="auto" w:sz="4" w:space="0"/>
            </w:tcBorders>
            <w:vAlign w:val="center"/>
          </w:tcPr>
          <w:p w14:paraId="717FFFBB">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2CC3717">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14:paraId="7A243EE1">
        <w:tblPrEx>
          <w:tblCellMar>
            <w:top w:w="0" w:type="dxa"/>
            <w:left w:w="108" w:type="dxa"/>
            <w:bottom w:w="0" w:type="dxa"/>
            <w:right w:w="108" w:type="dxa"/>
          </w:tblCellMar>
        </w:tblPrEx>
        <w:trPr>
          <w:trHeight w:val="285" w:hRule="atLeast"/>
        </w:trPr>
        <w:tc>
          <w:tcPr>
            <w:tcW w:w="1040" w:type="dxa"/>
            <w:vMerge w:val="continue"/>
            <w:tcBorders>
              <w:left w:val="single" w:color="auto" w:sz="8" w:space="0"/>
              <w:right w:val="single" w:color="auto" w:sz="4" w:space="0"/>
            </w:tcBorders>
            <w:vAlign w:val="center"/>
          </w:tcPr>
          <w:p w14:paraId="484C942D">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50E7606F">
            <w:pPr>
              <w:spacing w:line="320" w:lineRule="exact"/>
              <w:jc w:val="left"/>
              <w:rPr>
                <w:color w:val="000000"/>
                <w:kern w:val="0"/>
                <w:sz w:val="18"/>
                <w:szCs w:val="18"/>
              </w:rPr>
            </w:pPr>
            <w:r>
              <w:rPr>
                <w:rFonts w:hint="eastAsia"/>
                <w:color w:val="000000"/>
                <w:kern w:val="0"/>
                <w:sz w:val="18"/>
                <w:szCs w:val="18"/>
              </w:rPr>
              <w:t>按照要求改正且造成生产安全事故的</w:t>
            </w:r>
          </w:p>
        </w:tc>
        <w:tc>
          <w:tcPr>
            <w:tcW w:w="1076" w:type="dxa"/>
            <w:vMerge w:val="continue"/>
            <w:tcBorders>
              <w:left w:val="single" w:color="auto" w:sz="4" w:space="0"/>
              <w:right w:val="single" w:color="auto" w:sz="4" w:space="0"/>
            </w:tcBorders>
            <w:vAlign w:val="center"/>
          </w:tcPr>
          <w:p w14:paraId="5085ED5D">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4A1440B">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万元以下罚款，责令停产停业整顿</w:t>
            </w:r>
          </w:p>
        </w:tc>
      </w:tr>
      <w:tr w14:paraId="0095742A">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31D7ABB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745B9356">
            <w:pPr>
              <w:spacing w:line="320" w:lineRule="exact"/>
              <w:jc w:val="left"/>
              <w:rPr>
                <w:color w:val="000000"/>
                <w:kern w:val="0"/>
                <w:sz w:val="18"/>
                <w:szCs w:val="18"/>
              </w:rPr>
            </w:pPr>
            <w:r>
              <w:rPr>
                <w:rFonts w:hint="eastAsia"/>
                <w:color w:val="000000"/>
                <w:kern w:val="0"/>
                <w:sz w:val="18"/>
                <w:szCs w:val="18"/>
              </w:rPr>
              <w:t>未按照要求改正且未造成生产安全事故的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11CFDF75">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36EF6F0">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5262AF46">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4BA7AD59">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2A7DD3F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568514E1">
            <w:pPr>
              <w:spacing w:line="320" w:lineRule="exact"/>
              <w:jc w:val="left"/>
              <w:rPr>
                <w:color w:val="000000"/>
                <w:kern w:val="0"/>
                <w:sz w:val="18"/>
                <w:szCs w:val="18"/>
              </w:rPr>
            </w:pPr>
            <w:r>
              <w:rPr>
                <w:rFonts w:hint="eastAsia"/>
                <w:color w:val="000000"/>
                <w:kern w:val="0"/>
                <w:sz w:val="18"/>
                <w:szCs w:val="18"/>
              </w:rPr>
              <w:t>未按照要求改正且造成生产安全事故的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1A380C52">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11CDAC8">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14:paraId="4D3B2D74">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165B08B1"/>
    <w:p w14:paraId="3460D5F6"/>
    <w:p w14:paraId="036D7A5C"/>
    <w:p w14:paraId="07D645D7"/>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2B83A39C">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0CC87409">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6E63FB37">
            <w:pPr>
              <w:spacing w:line="320" w:lineRule="exact"/>
              <w:jc w:val="left"/>
              <w:rPr>
                <w:rFonts w:eastAsia="仿宋_GB2312"/>
                <w:b/>
                <w:bCs/>
                <w:color w:val="000000"/>
                <w:kern w:val="0"/>
                <w:sz w:val="18"/>
                <w:szCs w:val="18"/>
              </w:rPr>
            </w:pPr>
            <w:r>
              <w:rPr>
                <w:rFonts w:eastAsia="仿宋_GB2312"/>
                <w:b/>
                <w:bCs/>
                <w:color w:val="000000"/>
                <w:kern w:val="0"/>
                <w:sz w:val="18"/>
                <w:szCs w:val="18"/>
              </w:rPr>
              <w:t>320217149000</w:t>
            </w:r>
            <w:r>
              <w:rPr>
                <w:rFonts w:hint="eastAsia" w:eastAsia="仿宋_GB2312"/>
                <w:b/>
                <w:bCs/>
                <w:color w:val="000000"/>
                <w:kern w:val="0"/>
                <w:sz w:val="18"/>
                <w:szCs w:val="18"/>
              </w:rPr>
              <w:t xml:space="preserve"> </w:t>
            </w:r>
          </w:p>
        </w:tc>
      </w:tr>
      <w:tr w14:paraId="4DC7373B">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61954C8B">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4413B9DE">
            <w:pPr>
              <w:spacing w:line="320" w:lineRule="exact"/>
              <w:jc w:val="left"/>
              <w:rPr>
                <w:color w:val="000000"/>
                <w:kern w:val="0"/>
                <w:sz w:val="18"/>
                <w:szCs w:val="18"/>
              </w:rPr>
            </w:pPr>
            <w:r>
              <w:rPr>
                <w:rFonts w:hint="eastAsia"/>
                <w:color w:val="000000"/>
                <w:kern w:val="0"/>
                <w:sz w:val="18"/>
                <w:szCs w:val="18"/>
              </w:rPr>
              <w:t>对生产经营单位未对安全设备进行经常性维护、保养和定期检测的处罚</w:t>
            </w:r>
          </w:p>
        </w:tc>
      </w:tr>
      <w:tr w14:paraId="3DACFAD8">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08DA5BA7">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7D791440">
            <w:pPr>
              <w:spacing w:line="320" w:lineRule="exact"/>
              <w:jc w:val="left"/>
              <w:rPr>
                <w:color w:val="000000"/>
                <w:kern w:val="0"/>
                <w:sz w:val="18"/>
                <w:szCs w:val="18"/>
              </w:rPr>
            </w:pPr>
            <w:r>
              <w:rPr>
                <w:rFonts w:hint="eastAsia"/>
                <w:color w:val="000000"/>
                <w:kern w:val="0"/>
                <w:sz w:val="18"/>
                <w:szCs w:val="18"/>
              </w:rPr>
              <w:t>【法律】《中华人民共和国安全生产法》</w:t>
            </w:r>
          </w:p>
          <w:p w14:paraId="16BCD81B">
            <w:pPr>
              <w:spacing w:line="320" w:lineRule="exact"/>
              <w:jc w:val="left"/>
              <w:rPr>
                <w:color w:val="000000"/>
                <w:kern w:val="0"/>
                <w:sz w:val="18"/>
                <w:szCs w:val="18"/>
              </w:rPr>
            </w:pPr>
            <w:r>
              <w:rPr>
                <w:rFonts w:hint="eastAsia"/>
                <w:color w:val="000000"/>
                <w:kern w:val="0"/>
                <w:sz w:val="18"/>
                <w:szCs w:val="18"/>
              </w:rPr>
              <w:t xml:space="preserve">        第三十六条第二款   生产经营单位必须对安全设备进行经常性维护、保养，并定期检测，保证正常运转。维护、保养、检测应当作好记录，并由有关人员签字。</w:t>
            </w:r>
          </w:p>
          <w:p w14:paraId="3C64F236">
            <w:pPr>
              <w:spacing w:line="320" w:lineRule="exact"/>
              <w:jc w:val="left"/>
              <w:rPr>
                <w:color w:val="000000"/>
                <w:kern w:val="0"/>
                <w:sz w:val="18"/>
                <w:szCs w:val="18"/>
              </w:rPr>
            </w:pPr>
            <w:r>
              <w:rPr>
                <w:rFonts w:hint="eastAsia"/>
                <w:color w:val="000000"/>
                <w:kern w:val="0"/>
                <w:sz w:val="18"/>
                <w:szCs w:val="18"/>
              </w:rPr>
              <w:t xml:space="preserve">       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114A3651">
            <w:pPr>
              <w:spacing w:line="320" w:lineRule="exact"/>
              <w:jc w:val="left"/>
              <w:rPr>
                <w:color w:val="000000"/>
                <w:kern w:val="0"/>
                <w:sz w:val="18"/>
                <w:szCs w:val="18"/>
              </w:rPr>
            </w:pPr>
            <w:r>
              <w:rPr>
                <w:rFonts w:hint="eastAsia"/>
                <w:color w:val="000000"/>
                <w:kern w:val="0"/>
                <w:sz w:val="18"/>
                <w:szCs w:val="18"/>
              </w:rPr>
              <w:t xml:space="preserve">     （三）未对安全设备进行经常性维护、保养和定期检测的；</w:t>
            </w:r>
          </w:p>
        </w:tc>
      </w:tr>
      <w:tr w14:paraId="528CF602">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09C46DD1">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041787E4">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2FEBC85D">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7CCFF895">
            <w:pPr>
              <w:spacing w:line="320" w:lineRule="exact"/>
              <w:jc w:val="center"/>
              <w:rPr>
                <w:color w:val="000000"/>
                <w:kern w:val="0"/>
                <w:sz w:val="18"/>
                <w:szCs w:val="18"/>
              </w:rPr>
            </w:pPr>
            <w:r>
              <w:rPr>
                <w:rFonts w:hint="eastAsia"/>
                <w:color w:val="000000"/>
                <w:kern w:val="0"/>
                <w:sz w:val="18"/>
                <w:szCs w:val="18"/>
              </w:rPr>
              <w:t>裁量基准</w:t>
            </w:r>
          </w:p>
        </w:tc>
      </w:tr>
      <w:tr w14:paraId="32840728">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bottom w:val="single" w:color="auto" w:sz="4" w:space="0"/>
              <w:right w:val="single" w:color="auto" w:sz="4" w:space="0"/>
            </w:tcBorders>
            <w:vAlign w:val="center"/>
          </w:tcPr>
          <w:p w14:paraId="516F868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4DA81357">
            <w:pPr>
              <w:spacing w:line="320" w:lineRule="exact"/>
              <w:jc w:val="left"/>
              <w:rPr>
                <w:color w:val="000000"/>
                <w:kern w:val="0"/>
                <w:sz w:val="18"/>
                <w:szCs w:val="18"/>
              </w:rPr>
            </w:pPr>
            <w:r>
              <w:rPr>
                <w:rFonts w:hint="eastAsia"/>
                <w:color w:val="000000"/>
                <w:kern w:val="0"/>
                <w:sz w:val="18"/>
                <w:szCs w:val="18"/>
              </w:rPr>
              <w:t>按照要求改正且未造成生产安全事故的</w:t>
            </w:r>
          </w:p>
        </w:tc>
        <w:tc>
          <w:tcPr>
            <w:tcW w:w="1076" w:type="dxa"/>
            <w:vMerge w:val="restart"/>
            <w:tcBorders>
              <w:top w:val="nil"/>
              <w:left w:val="single" w:color="auto" w:sz="4" w:space="0"/>
              <w:bottom w:val="single" w:color="auto" w:sz="4" w:space="0"/>
              <w:right w:val="single" w:color="auto" w:sz="4" w:space="0"/>
            </w:tcBorders>
            <w:vAlign w:val="center"/>
          </w:tcPr>
          <w:p w14:paraId="03FFA638">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2BE76F4E">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14:paraId="64ECAAAD">
        <w:tblPrEx>
          <w:tblCellMar>
            <w:top w:w="0" w:type="dxa"/>
            <w:left w:w="108" w:type="dxa"/>
            <w:bottom w:w="0" w:type="dxa"/>
            <w:right w:w="108" w:type="dxa"/>
          </w:tblCellMar>
        </w:tblPrEx>
        <w:trPr>
          <w:trHeight w:val="285" w:hRule="atLeast"/>
        </w:trPr>
        <w:tc>
          <w:tcPr>
            <w:tcW w:w="1040" w:type="dxa"/>
            <w:vMerge w:val="continue"/>
            <w:tcBorders>
              <w:left w:val="single" w:color="auto" w:sz="8" w:space="0"/>
              <w:right w:val="single" w:color="auto" w:sz="4" w:space="0"/>
            </w:tcBorders>
            <w:vAlign w:val="center"/>
          </w:tcPr>
          <w:p w14:paraId="5BB3BE1A">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1A37DC4A">
            <w:pPr>
              <w:spacing w:line="320" w:lineRule="exact"/>
              <w:jc w:val="left"/>
              <w:rPr>
                <w:color w:val="000000"/>
                <w:kern w:val="0"/>
                <w:sz w:val="18"/>
                <w:szCs w:val="18"/>
              </w:rPr>
            </w:pPr>
            <w:r>
              <w:rPr>
                <w:rFonts w:hint="eastAsia"/>
                <w:color w:val="000000"/>
                <w:kern w:val="0"/>
                <w:sz w:val="18"/>
                <w:szCs w:val="18"/>
              </w:rPr>
              <w:t>按照要求改正且造成生产安全事故的</w:t>
            </w:r>
          </w:p>
        </w:tc>
        <w:tc>
          <w:tcPr>
            <w:tcW w:w="1076" w:type="dxa"/>
            <w:vMerge w:val="continue"/>
            <w:tcBorders>
              <w:left w:val="single" w:color="auto" w:sz="4" w:space="0"/>
              <w:right w:val="single" w:color="auto" w:sz="4" w:space="0"/>
            </w:tcBorders>
            <w:vAlign w:val="center"/>
          </w:tcPr>
          <w:p w14:paraId="27EE52D4">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0D34BEE">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万元以下罚款，责令停产停业整顿</w:t>
            </w:r>
          </w:p>
        </w:tc>
      </w:tr>
      <w:tr w14:paraId="5A2D8679">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7BD8C3C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64181EE6">
            <w:pPr>
              <w:spacing w:line="320" w:lineRule="exact"/>
              <w:jc w:val="left"/>
              <w:rPr>
                <w:color w:val="000000"/>
                <w:kern w:val="0"/>
                <w:sz w:val="18"/>
                <w:szCs w:val="18"/>
              </w:rPr>
            </w:pPr>
            <w:r>
              <w:rPr>
                <w:rFonts w:hint="eastAsia"/>
                <w:color w:val="000000"/>
                <w:kern w:val="0"/>
                <w:sz w:val="18"/>
                <w:szCs w:val="18"/>
              </w:rPr>
              <w:t>未按照要求改正且未造成生产安全事故的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28E75319">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A3A39CC">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07E04DA7">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68B758F3">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4D3095E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6C39268A">
            <w:pPr>
              <w:spacing w:line="320" w:lineRule="exact"/>
              <w:jc w:val="left"/>
              <w:rPr>
                <w:color w:val="000000"/>
                <w:kern w:val="0"/>
                <w:sz w:val="18"/>
                <w:szCs w:val="18"/>
              </w:rPr>
            </w:pPr>
            <w:r>
              <w:rPr>
                <w:rFonts w:hint="eastAsia"/>
                <w:color w:val="000000"/>
                <w:kern w:val="0"/>
                <w:sz w:val="18"/>
                <w:szCs w:val="18"/>
              </w:rPr>
              <w:t>未按照要求改正且造成生产安全事故的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61931B5A">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25DA3E9">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14:paraId="309D32E9">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2B79A36D"/>
    <w:p w14:paraId="0EEBC348"/>
    <w:p w14:paraId="5601BB45"/>
    <w:p w14:paraId="661257D0"/>
    <w:p w14:paraId="55B8B74A"/>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38162FF4">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521C07E0">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5032F06F">
            <w:pPr>
              <w:spacing w:line="320" w:lineRule="exact"/>
              <w:jc w:val="left"/>
              <w:rPr>
                <w:rFonts w:eastAsia="仿宋_GB2312"/>
                <w:b/>
                <w:bCs/>
                <w:color w:val="000000"/>
                <w:kern w:val="0"/>
                <w:sz w:val="18"/>
                <w:szCs w:val="18"/>
              </w:rPr>
            </w:pPr>
            <w:r>
              <w:rPr>
                <w:rFonts w:eastAsia="仿宋_GB2312"/>
                <w:b/>
                <w:bCs/>
                <w:color w:val="000000"/>
                <w:kern w:val="0"/>
                <w:sz w:val="18"/>
                <w:szCs w:val="18"/>
              </w:rPr>
              <w:t>320217150000</w:t>
            </w:r>
            <w:r>
              <w:rPr>
                <w:rFonts w:hint="eastAsia" w:eastAsia="仿宋_GB2312"/>
                <w:b/>
                <w:bCs/>
                <w:color w:val="000000"/>
                <w:kern w:val="0"/>
                <w:sz w:val="18"/>
                <w:szCs w:val="18"/>
              </w:rPr>
              <w:t xml:space="preserve"> </w:t>
            </w:r>
          </w:p>
        </w:tc>
      </w:tr>
      <w:tr w14:paraId="204417F1">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1C7F1C4A">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7138439F">
            <w:pPr>
              <w:spacing w:line="320" w:lineRule="exact"/>
              <w:jc w:val="left"/>
              <w:rPr>
                <w:color w:val="000000"/>
                <w:kern w:val="0"/>
                <w:sz w:val="18"/>
                <w:szCs w:val="18"/>
              </w:rPr>
            </w:pPr>
            <w:r>
              <w:rPr>
                <w:rFonts w:hint="eastAsia"/>
                <w:color w:val="000000"/>
                <w:kern w:val="0"/>
                <w:sz w:val="18"/>
                <w:szCs w:val="18"/>
              </w:rPr>
              <w:t>对生产经营单位未建立事故隐患排查治理制度，或者重大事故隐患排查治理情况未按照规定报告的处罚</w:t>
            </w:r>
          </w:p>
        </w:tc>
      </w:tr>
      <w:tr w14:paraId="40CFC447">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6C1C6977">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552838E0">
            <w:pPr>
              <w:spacing w:line="320" w:lineRule="exact"/>
              <w:jc w:val="left"/>
              <w:rPr>
                <w:color w:val="000000"/>
                <w:kern w:val="0"/>
                <w:sz w:val="18"/>
                <w:szCs w:val="18"/>
              </w:rPr>
            </w:pPr>
            <w:r>
              <w:rPr>
                <w:rFonts w:hint="eastAsia"/>
                <w:color w:val="000000"/>
                <w:kern w:val="0"/>
                <w:sz w:val="18"/>
                <w:szCs w:val="18"/>
              </w:rPr>
              <w:t>【法律】《中华人民共和国安全生产法》</w:t>
            </w:r>
          </w:p>
          <w:p w14:paraId="7B56C659">
            <w:pPr>
              <w:spacing w:line="320" w:lineRule="exact"/>
              <w:jc w:val="left"/>
              <w:rPr>
                <w:color w:val="000000"/>
                <w:kern w:val="0"/>
                <w:sz w:val="18"/>
                <w:szCs w:val="18"/>
              </w:rPr>
            </w:pPr>
            <w:r>
              <w:rPr>
                <w:rFonts w:hint="eastAsia"/>
                <w:color w:val="000000"/>
                <w:kern w:val="0"/>
                <w:sz w:val="18"/>
                <w:szCs w:val="18"/>
              </w:rPr>
              <w:t xml:space="preserve">         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1B7E0A00">
            <w:pPr>
              <w:spacing w:line="320" w:lineRule="exact"/>
              <w:jc w:val="left"/>
              <w:rPr>
                <w:color w:val="000000"/>
                <w:kern w:val="0"/>
                <w:sz w:val="18"/>
                <w:szCs w:val="18"/>
              </w:rPr>
            </w:pPr>
            <w:r>
              <w:rPr>
                <w:rFonts w:hint="eastAsia"/>
                <w:color w:val="000000"/>
                <w:kern w:val="0"/>
                <w:sz w:val="18"/>
                <w:szCs w:val="18"/>
              </w:rPr>
              <w:t>　　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p w14:paraId="0BA50D44">
            <w:pPr>
              <w:spacing w:line="320" w:lineRule="exact"/>
              <w:jc w:val="left"/>
              <w:rPr>
                <w:color w:val="000000"/>
                <w:kern w:val="0"/>
                <w:sz w:val="18"/>
                <w:szCs w:val="18"/>
              </w:rPr>
            </w:pPr>
            <w:r>
              <w:rPr>
                <w:rFonts w:hint="eastAsia"/>
                <w:color w:val="000000"/>
                <w:kern w:val="0"/>
                <w:sz w:val="18"/>
                <w:szCs w:val="18"/>
              </w:rPr>
              <w:t xml:space="preserve">       （五）未建立事故隐患排查治理制度，或者重大事故隐患排查治理情况未按照规定报告的。</w:t>
            </w:r>
          </w:p>
          <w:p w14:paraId="4503C5F1">
            <w:pPr>
              <w:spacing w:line="320" w:lineRule="exact"/>
              <w:jc w:val="left"/>
              <w:rPr>
                <w:color w:val="000000"/>
                <w:kern w:val="0"/>
                <w:sz w:val="18"/>
                <w:szCs w:val="18"/>
              </w:rPr>
            </w:pPr>
            <w:r>
              <w:rPr>
                <w:rFonts w:hint="eastAsia"/>
                <w:color w:val="000000"/>
                <w:kern w:val="0"/>
                <w:sz w:val="18"/>
                <w:szCs w:val="18"/>
              </w:rPr>
              <w:t xml:space="preserve">        第一百一十二条  生产经营单位违反本法规定，被责令改正且受到罚款处罚，拒不改正的，负有安全生产监督管理职责的部门可以自作出责令改正之日的次日起，按照原处罚数额按日连续处罚。</w:t>
            </w:r>
          </w:p>
        </w:tc>
      </w:tr>
      <w:tr w14:paraId="146DC996">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75677E11">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5CEF16B4">
            <w:pPr>
              <w:spacing w:line="320" w:lineRule="exact"/>
              <w:jc w:val="left"/>
              <w:rPr>
                <w:color w:val="000000"/>
                <w:kern w:val="0"/>
                <w:sz w:val="18"/>
                <w:szCs w:val="18"/>
              </w:rPr>
            </w:pPr>
            <w:r>
              <w:rPr>
                <w:rFonts w:hint="eastAsia"/>
                <w:color w:val="000000"/>
                <w:kern w:val="0"/>
                <w:sz w:val="18"/>
                <w:szCs w:val="18"/>
              </w:rPr>
              <w:t>责令限期改正，罚款，责令停产停业整顿</w:t>
            </w:r>
          </w:p>
        </w:tc>
      </w:tr>
      <w:tr w14:paraId="60F36EC2">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0F984A12">
            <w:pPr>
              <w:spacing w:line="320" w:lineRule="exact"/>
              <w:jc w:val="center"/>
              <w:rPr>
                <w:color w:val="000000"/>
                <w:kern w:val="0"/>
                <w:sz w:val="18"/>
                <w:szCs w:val="18"/>
              </w:rPr>
            </w:pPr>
            <w:r>
              <w:rPr>
                <w:rFonts w:hint="eastAsia"/>
                <w:color w:val="000000"/>
                <w:kern w:val="0"/>
                <w:sz w:val="18"/>
                <w:szCs w:val="18"/>
              </w:rPr>
              <w:t>裁量基准</w:t>
            </w:r>
          </w:p>
        </w:tc>
      </w:tr>
      <w:tr w14:paraId="257FB351">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bottom w:val="single" w:color="auto" w:sz="4" w:space="0"/>
              <w:right w:val="single" w:color="auto" w:sz="4" w:space="0"/>
            </w:tcBorders>
            <w:vAlign w:val="center"/>
          </w:tcPr>
          <w:p w14:paraId="1FF7DE5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2FB1FCFD">
            <w:pPr>
              <w:spacing w:line="320" w:lineRule="exact"/>
              <w:jc w:val="left"/>
              <w:rPr>
                <w:color w:val="000000"/>
                <w:kern w:val="0"/>
                <w:sz w:val="18"/>
                <w:szCs w:val="18"/>
              </w:rPr>
            </w:pPr>
            <w:r>
              <w:rPr>
                <w:rFonts w:hint="eastAsia"/>
                <w:color w:val="000000"/>
                <w:kern w:val="0"/>
                <w:sz w:val="18"/>
                <w:szCs w:val="18"/>
              </w:rPr>
              <w:t>按照要求改正且未造成生产安全事故的</w:t>
            </w:r>
          </w:p>
        </w:tc>
        <w:tc>
          <w:tcPr>
            <w:tcW w:w="1076" w:type="dxa"/>
            <w:vMerge w:val="restart"/>
            <w:tcBorders>
              <w:top w:val="nil"/>
              <w:left w:val="single" w:color="auto" w:sz="4" w:space="0"/>
              <w:bottom w:val="single" w:color="auto" w:sz="4" w:space="0"/>
              <w:right w:val="single" w:color="auto" w:sz="4" w:space="0"/>
            </w:tcBorders>
            <w:vAlign w:val="center"/>
          </w:tcPr>
          <w:p w14:paraId="0E511028">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3B9A940D">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万元以下罚款</w:t>
            </w:r>
          </w:p>
        </w:tc>
      </w:tr>
      <w:tr w14:paraId="37FC86B1">
        <w:tblPrEx>
          <w:tblCellMar>
            <w:top w:w="0" w:type="dxa"/>
            <w:left w:w="108" w:type="dxa"/>
            <w:bottom w:w="0" w:type="dxa"/>
            <w:right w:w="108" w:type="dxa"/>
          </w:tblCellMar>
        </w:tblPrEx>
        <w:trPr>
          <w:trHeight w:val="285" w:hRule="atLeast"/>
        </w:trPr>
        <w:tc>
          <w:tcPr>
            <w:tcW w:w="1040" w:type="dxa"/>
            <w:vMerge w:val="continue"/>
            <w:tcBorders>
              <w:left w:val="single" w:color="auto" w:sz="8" w:space="0"/>
              <w:right w:val="single" w:color="auto" w:sz="4" w:space="0"/>
            </w:tcBorders>
            <w:vAlign w:val="center"/>
          </w:tcPr>
          <w:p w14:paraId="63A035AC">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0B432378">
            <w:pPr>
              <w:spacing w:line="320" w:lineRule="exact"/>
              <w:jc w:val="left"/>
              <w:rPr>
                <w:color w:val="000000"/>
                <w:kern w:val="0"/>
                <w:sz w:val="18"/>
                <w:szCs w:val="18"/>
              </w:rPr>
            </w:pPr>
            <w:r>
              <w:rPr>
                <w:rFonts w:hint="eastAsia"/>
                <w:color w:val="000000"/>
                <w:kern w:val="0"/>
                <w:sz w:val="18"/>
                <w:szCs w:val="18"/>
              </w:rPr>
              <w:t>按照要求改正且造成生产安全事故的</w:t>
            </w:r>
          </w:p>
        </w:tc>
        <w:tc>
          <w:tcPr>
            <w:tcW w:w="1076" w:type="dxa"/>
            <w:vMerge w:val="continue"/>
            <w:tcBorders>
              <w:left w:val="single" w:color="auto" w:sz="4" w:space="0"/>
              <w:right w:val="single" w:color="auto" w:sz="4" w:space="0"/>
            </w:tcBorders>
            <w:vAlign w:val="center"/>
          </w:tcPr>
          <w:p w14:paraId="74EB9BA6">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95A8449">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14:paraId="4BBDE893">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16F6D02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75E91CDB">
            <w:pPr>
              <w:spacing w:line="320" w:lineRule="exact"/>
              <w:jc w:val="left"/>
              <w:rPr>
                <w:color w:val="000000"/>
                <w:kern w:val="0"/>
                <w:sz w:val="18"/>
                <w:szCs w:val="18"/>
              </w:rPr>
            </w:pPr>
            <w:r>
              <w:rPr>
                <w:rFonts w:hint="eastAsia"/>
                <w:color w:val="000000"/>
                <w:kern w:val="0"/>
                <w:sz w:val="18"/>
                <w:szCs w:val="18"/>
              </w:rPr>
              <w:t>未按照要求改正且未造成生产安全事故的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6B4AE0BB">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3AF7F74">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万元以下罚款，责令停产停业整顿</w:t>
            </w:r>
          </w:p>
          <w:p w14:paraId="52C9C5FA">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225271A0">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3CC3C29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2148A554">
            <w:pPr>
              <w:spacing w:line="320" w:lineRule="exact"/>
              <w:jc w:val="left"/>
              <w:rPr>
                <w:color w:val="000000"/>
                <w:kern w:val="0"/>
                <w:sz w:val="18"/>
                <w:szCs w:val="18"/>
              </w:rPr>
            </w:pPr>
            <w:r>
              <w:rPr>
                <w:rFonts w:hint="eastAsia"/>
                <w:color w:val="000000"/>
                <w:kern w:val="0"/>
                <w:sz w:val="18"/>
                <w:szCs w:val="18"/>
              </w:rPr>
              <w:t>未按照要求改正且造成生产安全事故的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615A017A">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14CFF12">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14:paraId="4F61F21C">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2972F714"/>
    <w:p w14:paraId="0CC4D3F3"/>
    <w:p w14:paraId="35843D69"/>
    <w:p w14:paraId="281448BD"/>
    <w:p w14:paraId="362EEDD3"/>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361A3A42">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63B037AB">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726788A3">
            <w:pPr>
              <w:spacing w:line="320" w:lineRule="exact"/>
              <w:jc w:val="left"/>
              <w:rPr>
                <w:rFonts w:eastAsia="仿宋_GB2312"/>
                <w:b/>
                <w:bCs/>
                <w:color w:val="000000"/>
                <w:kern w:val="0"/>
                <w:sz w:val="18"/>
                <w:szCs w:val="18"/>
              </w:rPr>
            </w:pPr>
            <w:r>
              <w:rPr>
                <w:rFonts w:eastAsia="仿宋_GB2312"/>
                <w:b/>
                <w:bCs/>
                <w:color w:val="000000"/>
                <w:kern w:val="0"/>
                <w:sz w:val="18"/>
                <w:szCs w:val="18"/>
              </w:rPr>
              <w:t>320217151000</w:t>
            </w:r>
            <w:r>
              <w:rPr>
                <w:rFonts w:hint="eastAsia" w:eastAsia="仿宋_GB2312"/>
                <w:b/>
                <w:bCs/>
                <w:color w:val="000000"/>
                <w:kern w:val="0"/>
                <w:sz w:val="18"/>
                <w:szCs w:val="18"/>
              </w:rPr>
              <w:t xml:space="preserve"> </w:t>
            </w:r>
          </w:p>
        </w:tc>
      </w:tr>
      <w:tr w14:paraId="487D1522">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08E630DA">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4BA8D09A">
            <w:pPr>
              <w:spacing w:line="320" w:lineRule="exact"/>
              <w:jc w:val="left"/>
              <w:rPr>
                <w:color w:val="000000"/>
                <w:kern w:val="0"/>
                <w:sz w:val="18"/>
                <w:szCs w:val="18"/>
              </w:rPr>
            </w:pPr>
            <w:r>
              <w:rPr>
                <w:rFonts w:hint="eastAsia"/>
                <w:color w:val="000000"/>
                <w:kern w:val="0"/>
                <w:sz w:val="18"/>
                <w:szCs w:val="18"/>
              </w:rPr>
              <w:t>对生产经营单位未采取措施消除事故隐患的处罚</w:t>
            </w:r>
          </w:p>
        </w:tc>
      </w:tr>
      <w:tr w14:paraId="38AEE281">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0412BBCD">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50E7B5E5">
            <w:pPr>
              <w:spacing w:line="320" w:lineRule="exact"/>
              <w:jc w:val="left"/>
              <w:rPr>
                <w:color w:val="000000"/>
                <w:kern w:val="0"/>
                <w:sz w:val="18"/>
                <w:szCs w:val="18"/>
              </w:rPr>
            </w:pPr>
            <w:r>
              <w:rPr>
                <w:rFonts w:hint="eastAsia"/>
                <w:color w:val="000000"/>
                <w:kern w:val="0"/>
                <w:sz w:val="18"/>
                <w:szCs w:val="18"/>
              </w:rPr>
              <w:t>【法律】《中华人民共和国安全生产法》</w:t>
            </w:r>
          </w:p>
          <w:p w14:paraId="379FF4CE">
            <w:pPr>
              <w:spacing w:line="320" w:lineRule="exact"/>
              <w:jc w:val="left"/>
              <w:rPr>
                <w:color w:val="000000"/>
                <w:kern w:val="0"/>
                <w:sz w:val="18"/>
                <w:szCs w:val="18"/>
              </w:rPr>
            </w:pPr>
            <w:r>
              <w:rPr>
                <w:rFonts w:hint="eastAsia"/>
                <w:color w:val="000000"/>
                <w:kern w:val="0"/>
                <w:sz w:val="18"/>
                <w:szCs w:val="18"/>
              </w:rPr>
              <w:t xml:space="preserve">        第七十条第一款　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p>
          <w:p w14:paraId="542EDADC">
            <w:pPr>
              <w:spacing w:line="320" w:lineRule="exact"/>
              <w:jc w:val="left"/>
              <w:rPr>
                <w:color w:val="000000"/>
                <w:kern w:val="0"/>
                <w:sz w:val="18"/>
                <w:szCs w:val="18"/>
              </w:rPr>
            </w:pPr>
            <w:r>
              <w:rPr>
                <w:rFonts w:hint="eastAsia"/>
                <w:color w:val="000000"/>
                <w:kern w:val="0"/>
                <w:sz w:val="18"/>
                <w:szCs w:val="18"/>
              </w:rPr>
              <w:t xml:space="preserve">        第一百零二条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p w14:paraId="61FE7B79">
            <w:pPr>
              <w:spacing w:line="320" w:lineRule="exact"/>
              <w:jc w:val="left"/>
              <w:rPr>
                <w:color w:val="000000"/>
                <w:kern w:val="0"/>
                <w:sz w:val="18"/>
                <w:szCs w:val="18"/>
              </w:rPr>
            </w:pPr>
            <w:r>
              <w:rPr>
                <w:rFonts w:hint="eastAsia"/>
                <w:color w:val="000000"/>
                <w:kern w:val="0"/>
                <w:sz w:val="18"/>
                <w:szCs w:val="18"/>
              </w:rPr>
              <w:t xml:space="preserve">      【法律】《中华人民共和国建筑法》</w:t>
            </w:r>
          </w:p>
          <w:p w14:paraId="4C6BD260">
            <w:pPr>
              <w:spacing w:line="320" w:lineRule="exact"/>
              <w:jc w:val="left"/>
              <w:rPr>
                <w:color w:val="000000"/>
                <w:kern w:val="0"/>
                <w:sz w:val="18"/>
                <w:szCs w:val="18"/>
              </w:rPr>
            </w:pPr>
            <w:r>
              <w:rPr>
                <w:rFonts w:hint="eastAsia"/>
                <w:color w:val="000000"/>
                <w:kern w:val="0"/>
                <w:sz w:val="18"/>
                <w:szCs w:val="18"/>
              </w:rPr>
              <w:t>　　第七十一条第一款　建筑施工企业违反本法规定，对建筑安全事故隐患不采取措施予以消除的，责令改正，可以处以罚款；情节严重的，责令停业整顿，降低资质等级或者吊销资质证书；构成犯罪的，依法追究刑事责任。</w:t>
            </w:r>
          </w:p>
          <w:p w14:paraId="0133F997">
            <w:pPr>
              <w:spacing w:line="320" w:lineRule="exact"/>
              <w:jc w:val="left"/>
              <w:rPr>
                <w:color w:val="000000"/>
                <w:kern w:val="0"/>
                <w:sz w:val="18"/>
                <w:szCs w:val="18"/>
              </w:rPr>
            </w:pPr>
            <w:r>
              <w:rPr>
                <w:rFonts w:hint="eastAsia"/>
                <w:color w:val="000000"/>
                <w:kern w:val="0"/>
                <w:sz w:val="18"/>
                <w:szCs w:val="18"/>
              </w:rPr>
              <w:t xml:space="preserve">        第七十六条　本法规定的责令停业整顿、降低资质等级和吊销资质证书的行政处罚，由颁发资质证书的机关决定；其他行政处罚，由建设行政主管部门或者有关部门依照法律和国务院规定的职权范围决定。</w:t>
            </w:r>
          </w:p>
          <w:p w14:paraId="5AB0E91C">
            <w:pPr>
              <w:spacing w:line="320" w:lineRule="exact"/>
              <w:jc w:val="left"/>
              <w:rPr>
                <w:color w:val="000000"/>
                <w:kern w:val="0"/>
                <w:sz w:val="18"/>
                <w:szCs w:val="18"/>
              </w:rPr>
            </w:pPr>
            <w:r>
              <w:rPr>
                <w:rFonts w:hint="eastAsia"/>
                <w:color w:val="000000"/>
                <w:kern w:val="0"/>
                <w:sz w:val="18"/>
                <w:szCs w:val="18"/>
              </w:rPr>
              <w:t xml:space="preserve">       依照本法规定被吊销资质证书的，由工商行政管理部门吊销其营业执照。</w:t>
            </w:r>
          </w:p>
        </w:tc>
      </w:tr>
      <w:tr w14:paraId="1EF5F1AF">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1B6D1F46">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5D1027C7">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14:paraId="3E221727">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1626AD73">
            <w:pPr>
              <w:spacing w:line="320" w:lineRule="exact"/>
              <w:jc w:val="center"/>
              <w:rPr>
                <w:color w:val="000000"/>
                <w:kern w:val="0"/>
                <w:sz w:val="18"/>
                <w:szCs w:val="18"/>
              </w:rPr>
            </w:pPr>
            <w:r>
              <w:rPr>
                <w:rFonts w:hint="eastAsia"/>
                <w:color w:val="000000"/>
                <w:kern w:val="0"/>
                <w:sz w:val="18"/>
                <w:szCs w:val="18"/>
              </w:rPr>
              <w:t>裁量基准</w:t>
            </w:r>
          </w:p>
        </w:tc>
      </w:tr>
      <w:tr w14:paraId="02F17EC2">
        <w:tblPrEx>
          <w:tblCellMar>
            <w:top w:w="0" w:type="dxa"/>
            <w:left w:w="108" w:type="dxa"/>
            <w:bottom w:w="0" w:type="dxa"/>
            <w:right w:w="108" w:type="dxa"/>
          </w:tblCellMar>
        </w:tblPrEx>
        <w:trPr>
          <w:trHeight w:val="267" w:hRule="atLeast"/>
        </w:trPr>
        <w:tc>
          <w:tcPr>
            <w:tcW w:w="1040" w:type="dxa"/>
            <w:vMerge w:val="restart"/>
            <w:tcBorders>
              <w:top w:val="nil"/>
              <w:left w:val="single" w:color="auto" w:sz="8" w:space="0"/>
              <w:right w:val="single" w:color="auto" w:sz="4" w:space="0"/>
            </w:tcBorders>
            <w:vAlign w:val="center"/>
          </w:tcPr>
          <w:p w14:paraId="77A6FEDA">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2B3F30E">
            <w:pPr>
              <w:spacing w:line="320" w:lineRule="exact"/>
              <w:jc w:val="left"/>
              <w:rPr>
                <w:color w:val="000000"/>
                <w:kern w:val="0"/>
                <w:sz w:val="18"/>
                <w:szCs w:val="18"/>
              </w:rPr>
            </w:pPr>
            <w:r>
              <w:rPr>
                <w:rFonts w:hint="eastAsia"/>
                <w:color w:val="000000"/>
                <w:kern w:val="0"/>
                <w:sz w:val="18"/>
                <w:szCs w:val="18"/>
              </w:rPr>
              <w:t>按照要求改正且未造成生产安全事故的</w:t>
            </w:r>
          </w:p>
        </w:tc>
        <w:tc>
          <w:tcPr>
            <w:tcW w:w="1076" w:type="dxa"/>
            <w:vMerge w:val="restart"/>
            <w:tcBorders>
              <w:top w:val="single" w:color="auto" w:sz="4" w:space="0"/>
              <w:left w:val="single" w:color="auto" w:sz="4" w:space="0"/>
              <w:bottom w:val="single" w:color="auto" w:sz="4" w:space="0"/>
              <w:right w:val="single" w:color="auto" w:sz="4" w:space="0"/>
            </w:tcBorders>
            <w:vAlign w:val="center"/>
          </w:tcPr>
          <w:p w14:paraId="519A7B71">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color="auto" w:sz="4" w:space="0"/>
              <w:left w:val="single" w:color="auto" w:sz="4" w:space="0"/>
              <w:bottom w:val="single" w:color="auto" w:sz="4" w:space="0"/>
              <w:right w:val="single" w:color="auto" w:sz="4" w:space="0"/>
            </w:tcBorders>
            <w:vAlign w:val="center"/>
          </w:tcPr>
          <w:p w14:paraId="49713742">
            <w:pPr>
              <w:spacing w:line="320" w:lineRule="exact"/>
              <w:jc w:val="left"/>
              <w:rPr>
                <w:color w:val="000000"/>
                <w:kern w:val="0"/>
                <w:sz w:val="18"/>
                <w:szCs w:val="18"/>
              </w:rPr>
            </w:pPr>
            <w:r>
              <w:rPr>
                <w:rFonts w:hint="eastAsia"/>
                <w:color w:val="000000"/>
                <w:kern w:val="0"/>
                <w:sz w:val="18"/>
                <w:szCs w:val="18"/>
              </w:rPr>
              <w:t>对单位：处2万元以下罚款</w:t>
            </w:r>
          </w:p>
        </w:tc>
      </w:tr>
      <w:tr w14:paraId="6502EF4E">
        <w:tblPrEx>
          <w:tblCellMar>
            <w:top w:w="0" w:type="dxa"/>
            <w:left w:w="108" w:type="dxa"/>
            <w:bottom w:w="0" w:type="dxa"/>
            <w:right w:w="108" w:type="dxa"/>
          </w:tblCellMar>
        </w:tblPrEx>
        <w:trPr>
          <w:trHeight w:val="267" w:hRule="atLeast"/>
        </w:trPr>
        <w:tc>
          <w:tcPr>
            <w:tcW w:w="1040" w:type="dxa"/>
            <w:vMerge w:val="continue"/>
            <w:tcBorders>
              <w:left w:val="single" w:color="auto" w:sz="8" w:space="0"/>
              <w:right w:val="single" w:color="auto" w:sz="4" w:space="0"/>
            </w:tcBorders>
            <w:vAlign w:val="center"/>
          </w:tcPr>
          <w:p w14:paraId="77A9C38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3DC413F">
            <w:pPr>
              <w:spacing w:line="320" w:lineRule="exact"/>
              <w:jc w:val="left"/>
              <w:rPr>
                <w:color w:val="000000"/>
                <w:kern w:val="0"/>
                <w:sz w:val="18"/>
                <w:szCs w:val="18"/>
              </w:rPr>
            </w:pPr>
            <w:r>
              <w:rPr>
                <w:rFonts w:hint="eastAsia"/>
                <w:color w:val="000000"/>
                <w:kern w:val="0"/>
                <w:sz w:val="18"/>
                <w:szCs w:val="18"/>
              </w:rPr>
              <w:t>按照要求改正但造成生产安全事故的</w:t>
            </w: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1790D162">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6D4DDF8B">
            <w:pPr>
              <w:spacing w:line="320" w:lineRule="exact"/>
              <w:jc w:val="left"/>
              <w:rPr>
                <w:color w:val="000000"/>
                <w:kern w:val="0"/>
                <w:sz w:val="18"/>
                <w:szCs w:val="18"/>
              </w:rPr>
            </w:pPr>
            <w:r>
              <w:rPr>
                <w:rFonts w:hint="eastAsia"/>
                <w:color w:val="000000"/>
                <w:kern w:val="0"/>
                <w:sz w:val="18"/>
                <w:szCs w:val="18"/>
              </w:rPr>
              <w:t>对单位：处2万元以上5万元以下罚款</w:t>
            </w:r>
          </w:p>
        </w:tc>
      </w:tr>
      <w:tr w14:paraId="7753EC12">
        <w:tblPrEx>
          <w:tblCellMar>
            <w:top w:w="0" w:type="dxa"/>
            <w:left w:w="108" w:type="dxa"/>
            <w:bottom w:w="0" w:type="dxa"/>
            <w:right w:w="108" w:type="dxa"/>
          </w:tblCellMar>
        </w:tblPrEx>
        <w:trPr>
          <w:trHeight w:val="267" w:hRule="atLeast"/>
        </w:trPr>
        <w:tc>
          <w:tcPr>
            <w:tcW w:w="1040" w:type="dxa"/>
            <w:vMerge w:val="continue"/>
            <w:tcBorders>
              <w:left w:val="single" w:color="auto" w:sz="8" w:space="0"/>
              <w:right w:val="single" w:color="auto" w:sz="4" w:space="0"/>
            </w:tcBorders>
            <w:vAlign w:val="center"/>
          </w:tcPr>
          <w:p w14:paraId="2467254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C30AE75">
            <w:pPr>
              <w:spacing w:line="320" w:lineRule="exact"/>
              <w:jc w:val="left"/>
              <w:rPr>
                <w:color w:val="000000"/>
                <w:kern w:val="0"/>
                <w:sz w:val="18"/>
                <w:szCs w:val="18"/>
              </w:rPr>
            </w:pPr>
            <w:r>
              <w:rPr>
                <w:rFonts w:hint="eastAsia"/>
                <w:color w:val="000000"/>
                <w:kern w:val="0"/>
                <w:sz w:val="18"/>
                <w:szCs w:val="18"/>
              </w:rPr>
              <w:t>未按照要求改正（即拒不执行的）但未造成生产安全事故的</w:t>
            </w: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375EC7E1">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7DCACB87">
            <w:pPr>
              <w:spacing w:line="320" w:lineRule="exact"/>
              <w:jc w:val="left"/>
              <w:rPr>
                <w:color w:val="000000"/>
                <w:kern w:val="0"/>
                <w:sz w:val="18"/>
                <w:szCs w:val="18"/>
              </w:rPr>
            </w:pPr>
            <w:r>
              <w:rPr>
                <w:rFonts w:hint="eastAsia"/>
                <w:color w:val="000000"/>
                <w:kern w:val="0"/>
                <w:sz w:val="18"/>
                <w:szCs w:val="18"/>
              </w:rPr>
              <w:t>对个人：5万元以上7万元以下罚款</w:t>
            </w:r>
          </w:p>
        </w:tc>
      </w:tr>
      <w:tr w14:paraId="68F37C0B">
        <w:tblPrEx>
          <w:tblCellMar>
            <w:top w:w="0" w:type="dxa"/>
            <w:left w:w="108" w:type="dxa"/>
            <w:bottom w:w="0" w:type="dxa"/>
            <w:right w:w="108" w:type="dxa"/>
          </w:tblCellMar>
        </w:tblPrEx>
        <w:trPr>
          <w:trHeight w:val="285" w:hRule="atLeast"/>
        </w:trPr>
        <w:tc>
          <w:tcPr>
            <w:tcW w:w="1040" w:type="dxa"/>
            <w:vMerge w:val="continue"/>
            <w:tcBorders>
              <w:left w:val="single" w:color="auto" w:sz="8" w:space="0"/>
              <w:bottom w:val="single" w:color="auto" w:sz="4" w:space="0"/>
              <w:right w:val="single" w:color="auto" w:sz="4" w:space="0"/>
            </w:tcBorders>
            <w:vAlign w:val="center"/>
          </w:tcPr>
          <w:p w14:paraId="4D835E0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91295B5">
            <w:pPr>
              <w:spacing w:line="320" w:lineRule="exact"/>
              <w:jc w:val="left"/>
              <w:rPr>
                <w:color w:val="000000"/>
                <w:kern w:val="0"/>
                <w:sz w:val="18"/>
                <w:szCs w:val="18"/>
              </w:rPr>
            </w:pPr>
            <w:r>
              <w:rPr>
                <w:rFonts w:hint="eastAsia"/>
                <w:color w:val="000000"/>
                <w:kern w:val="0"/>
                <w:sz w:val="18"/>
                <w:szCs w:val="18"/>
              </w:rPr>
              <w:t>未按照要求改正（即拒不执行的）且造成生产安全事故的</w:t>
            </w: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68283623">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095B15B2">
            <w:pPr>
              <w:spacing w:line="320" w:lineRule="exact"/>
              <w:jc w:val="left"/>
              <w:rPr>
                <w:color w:val="000000"/>
                <w:kern w:val="0"/>
                <w:sz w:val="18"/>
                <w:szCs w:val="18"/>
              </w:rPr>
            </w:pPr>
            <w:r>
              <w:rPr>
                <w:rFonts w:hint="eastAsia"/>
                <w:color w:val="000000"/>
                <w:kern w:val="0"/>
                <w:sz w:val="18"/>
                <w:szCs w:val="18"/>
              </w:rPr>
              <w:t>对个人：7万元以上10万元以下罚款</w:t>
            </w:r>
          </w:p>
        </w:tc>
      </w:tr>
    </w:tbl>
    <w:p w14:paraId="609FDC9C"/>
    <w:p w14:paraId="06AA683E"/>
    <w:p w14:paraId="610B9749"/>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47557DF9">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7F478BB">
            <w:pPr>
              <w:spacing w:line="26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1F996C5E">
            <w:pPr>
              <w:spacing w:line="260" w:lineRule="exact"/>
              <w:jc w:val="left"/>
              <w:rPr>
                <w:rFonts w:eastAsia="仿宋_GB2312"/>
                <w:b/>
                <w:bCs/>
                <w:color w:val="000000"/>
                <w:kern w:val="0"/>
                <w:sz w:val="18"/>
                <w:szCs w:val="18"/>
              </w:rPr>
            </w:pPr>
            <w:r>
              <w:rPr>
                <w:rFonts w:eastAsia="仿宋_GB2312"/>
                <w:b/>
                <w:bCs/>
                <w:color w:val="000000"/>
                <w:kern w:val="0"/>
                <w:sz w:val="18"/>
                <w:szCs w:val="18"/>
              </w:rPr>
              <w:t>320217153000</w:t>
            </w:r>
            <w:r>
              <w:rPr>
                <w:rFonts w:hint="eastAsia" w:eastAsia="仿宋_GB2312"/>
                <w:b/>
                <w:bCs/>
                <w:color w:val="000000"/>
                <w:kern w:val="0"/>
                <w:sz w:val="18"/>
                <w:szCs w:val="18"/>
              </w:rPr>
              <w:t xml:space="preserve"> </w:t>
            </w:r>
          </w:p>
        </w:tc>
      </w:tr>
      <w:tr w14:paraId="245E99B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3B2C707">
            <w:pPr>
              <w:spacing w:line="26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5BCC3D77">
            <w:pPr>
              <w:spacing w:line="260" w:lineRule="exact"/>
              <w:jc w:val="left"/>
              <w:rPr>
                <w:color w:val="000000"/>
                <w:kern w:val="0"/>
                <w:sz w:val="18"/>
                <w:szCs w:val="18"/>
              </w:rPr>
            </w:pPr>
            <w:r>
              <w:rPr>
                <w:rFonts w:hint="eastAsia"/>
                <w:color w:val="000000"/>
                <w:kern w:val="0"/>
                <w:sz w:val="18"/>
                <w:szCs w:val="18"/>
              </w:rPr>
              <w:t>对涉及建筑主体或者承重构变动的装修工程没有设计方案擅自施工的处罚</w:t>
            </w:r>
          </w:p>
        </w:tc>
      </w:tr>
      <w:tr w14:paraId="2EAFF9CB">
        <w:tblPrEx>
          <w:tblCellMar>
            <w:top w:w="0" w:type="dxa"/>
            <w:left w:w="108" w:type="dxa"/>
            <w:bottom w:w="0" w:type="dxa"/>
            <w:right w:w="108" w:type="dxa"/>
          </w:tblCellMar>
        </w:tblPrEx>
        <w:trPr>
          <w:trHeight w:val="1860" w:hRule="atLeast"/>
        </w:trPr>
        <w:tc>
          <w:tcPr>
            <w:tcW w:w="1056" w:type="dxa"/>
            <w:tcBorders>
              <w:top w:val="nil"/>
              <w:left w:val="single" w:color="auto" w:sz="8" w:space="0"/>
              <w:bottom w:val="single" w:color="auto" w:sz="4" w:space="0"/>
              <w:right w:val="single" w:color="auto" w:sz="4" w:space="0"/>
            </w:tcBorders>
            <w:vAlign w:val="center"/>
          </w:tcPr>
          <w:p w14:paraId="4563E5F2">
            <w:pPr>
              <w:spacing w:line="26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2CD9CB31">
            <w:pPr>
              <w:spacing w:line="26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76C7F225">
            <w:pPr>
              <w:spacing w:line="260" w:lineRule="exact"/>
              <w:jc w:val="left"/>
              <w:rPr>
                <w:color w:val="000000"/>
                <w:kern w:val="0"/>
                <w:sz w:val="18"/>
                <w:szCs w:val="18"/>
              </w:rPr>
            </w:pPr>
            <w:r>
              <w:rPr>
                <w:rFonts w:hint="eastAsia"/>
                <w:color w:val="000000"/>
                <w:kern w:val="0"/>
                <w:sz w:val="18"/>
                <w:szCs w:val="18"/>
              </w:rPr>
              <w:t>第十五条　涉及建筑主体和承重结构变动的装修工程，建设单位应当在施工前委托原设计单位或者具有相应资质等级的设计单位提出设计方案；没有设计方案的，不得施工。</w:t>
            </w:r>
          </w:p>
          <w:p w14:paraId="304FC39E">
            <w:pPr>
              <w:spacing w:line="260" w:lineRule="exact"/>
              <w:jc w:val="left"/>
              <w:rPr>
                <w:color w:val="000000"/>
                <w:kern w:val="0"/>
                <w:sz w:val="18"/>
                <w:szCs w:val="18"/>
              </w:rPr>
            </w:pPr>
            <w:r>
              <w:rPr>
                <w:rFonts w:hint="eastAsia"/>
                <w:color w:val="000000"/>
                <w:kern w:val="0"/>
                <w:sz w:val="18"/>
                <w:szCs w:val="18"/>
              </w:rPr>
              <w:t>房屋建筑使用者在装修过程中，不得擅自变动房屋建筑主体和承重结构。</w:t>
            </w:r>
          </w:p>
          <w:p w14:paraId="6A179B3D">
            <w:pPr>
              <w:spacing w:line="260" w:lineRule="exact"/>
              <w:jc w:val="left"/>
              <w:rPr>
                <w:color w:val="000000"/>
                <w:kern w:val="0"/>
                <w:sz w:val="18"/>
                <w:szCs w:val="18"/>
              </w:rPr>
            </w:pPr>
            <w:r>
              <w:rPr>
                <w:rFonts w:hint="eastAsia"/>
                <w:color w:val="000000"/>
                <w:kern w:val="0"/>
                <w:sz w:val="18"/>
                <w:szCs w:val="18"/>
              </w:rPr>
              <w:t>第六十九条第一款</w:t>
            </w:r>
            <w:r>
              <w:rPr>
                <w:color w:val="000000"/>
                <w:kern w:val="0"/>
                <w:sz w:val="18"/>
                <w:szCs w:val="18"/>
              </w:rPr>
              <w:t xml:space="preserve">  </w:t>
            </w:r>
            <w:r>
              <w:rPr>
                <w:rFonts w:hint="eastAsia"/>
                <w:color w:val="000000"/>
                <w:kern w:val="0"/>
                <w:sz w:val="18"/>
                <w:szCs w:val="18"/>
              </w:rPr>
              <w:t>违反本条例规定，涉及建筑主体或者承重结构变动的装修工程，没有设计方案擅自施工的，责令改正，处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万元以下的罚款；房屋建筑使用者在装修过程中擅自变动房屋建筑主体和承重结构的，责令改正，处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14:paraId="464980A5">
            <w:pPr>
              <w:spacing w:line="26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5837AB9B">
            <w:pPr>
              <w:spacing w:line="26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461C71F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B537D25">
            <w:pPr>
              <w:spacing w:line="26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6D5A78D6">
            <w:pPr>
              <w:spacing w:line="260" w:lineRule="exact"/>
              <w:jc w:val="left"/>
              <w:rPr>
                <w:color w:val="000000"/>
                <w:kern w:val="0"/>
                <w:sz w:val="18"/>
                <w:szCs w:val="18"/>
              </w:rPr>
            </w:pPr>
            <w:r>
              <w:rPr>
                <w:rFonts w:hint="eastAsia"/>
                <w:color w:val="000000"/>
                <w:kern w:val="0"/>
                <w:sz w:val="18"/>
                <w:szCs w:val="18"/>
              </w:rPr>
              <w:t>罚款</w:t>
            </w:r>
          </w:p>
        </w:tc>
      </w:tr>
      <w:tr w14:paraId="0B48A595">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2154FEC3">
            <w:pPr>
              <w:spacing w:line="260" w:lineRule="exact"/>
              <w:jc w:val="center"/>
              <w:rPr>
                <w:color w:val="000000"/>
                <w:kern w:val="0"/>
                <w:sz w:val="18"/>
                <w:szCs w:val="18"/>
              </w:rPr>
            </w:pPr>
            <w:r>
              <w:rPr>
                <w:rFonts w:hint="eastAsia"/>
                <w:color w:val="000000"/>
                <w:kern w:val="0"/>
                <w:sz w:val="18"/>
                <w:szCs w:val="18"/>
              </w:rPr>
              <w:t>裁量基准</w:t>
            </w:r>
          </w:p>
        </w:tc>
      </w:tr>
      <w:tr w14:paraId="797320FD">
        <w:tblPrEx>
          <w:tblCellMar>
            <w:top w:w="0" w:type="dxa"/>
            <w:left w:w="108" w:type="dxa"/>
            <w:bottom w:w="0" w:type="dxa"/>
            <w:right w:w="108" w:type="dxa"/>
          </w:tblCellMar>
        </w:tblPrEx>
        <w:trPr>
          <w:trHeight w:val="480" w:hRule="atLeast"/>
        </w:trPr>
        <w:tc>
          <w:tcPr>
            <w:tcW w:w="1056" w:type="dxa"/>
            <w:vMerge w:val="restart"/>
            <w:tcBorders>
              <w:top w:val="nil"/>
              <w:left w:val="single" w:color="auto" w:sz="8" w:space="0"/>
              <w:right w:val="single" w:color="auto" w:sz="4" w:space="0"/>
            </w:tcBorders>
            <w:vAlign w:val="center"/>
          </w:tcPr>
          <w:p w14:paraId="5DF3299B">
            <w:pPr>
              <w:spacing w:line="26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right w:val="single" w:color="auto" w:sz="4" w:space="0"/>
            </w:tcBorders>
            <w:vAlign w:val="center"/>
          </w:tcPr>
          <w:p w14:paraId="496C95D9">
            <w:pPr>
              <w:spacing w:line="260" w:lineRule="exact"/>
              <w:jc w:val="left"/>
              <w:rPr>
                <w:color w:val="000000"/>
                <w:kern w:val="0"/>
                <w:sz w:val="18"/>
                <w:szCs w:val="18"/>
              </w:rPr>
            </w:pPr>
            <w:r>
              <w:rPr>
                <w:rFonts w:hint="eastAsia"/>
                <w:color w:val="000000"/>
                <w:kern w:val="0"/>
                <w:sz w:val="18"/>
                <w:szCs w:val="18"/>
              </w:rPr>
              <w:t>建设单位</w:t>
            </w:r>
          </w:p>
        </w:tc>
        <w:tc>
          <w:tcPr>
            <w:tcW w:w="4600" w:type="dxa"/>
            <w:tcBorders>
              <w:top w:val="nil"/>
              <w:left w:val="nil"/>
              <w:bottom w:val="single" w:color="auto" w:sz="4" w:space="0"/>
              <w:right w:val="single" w:color="auto" w:sz="4" w:space="0"/>
            </w:tcBorders>
            <w:vAlign w:val="center"/>
          </w:tcPr>
          <w:p w14:paraId="1A0C2C1F">
            <w:pPr>
              <w:spacing w:line="260" w:lineRule="exact"/>
              <w:jc w:val="left"/>
              <w:rPr>
                <w:color w:val="000000"/>
                <w:kern w:val="0"/>
                <w:sz w:val="18"/>
                <w:szCs w:val="18"/>
              </w:rPr>
            </w:pPr>
            <w:r>
              <w:rPr>
                <w:rFonts w:hint="eastAsia"/>
                <w:color w:val="000000"/>
                <w:kern w:val="0"/>
                <w:sz w:val="18"/>
                <w:szCs w:val="18"/>
              </w:rPr>
              <w:t>未造成安全隐患的</w:t>
            </w:r>
          </w:p>
        </w:tc>
        <w:tc>
          <w:tcPr>
            <w:tcW w:w="1044" w:type="dxa"/>
            <w:vMerge w:val="restart"/>
            <w:tcBorders>
              <w:top w:val="nil"/>
              <w:left w:val="single" w:color="auto" w:sz="4" w:space="0"/>
              <w:bottom w:val="single" w:color="auto" w:sz="4" w:space="0"/>
              <w:right w:val="single" w:color="auto" w:sz="4" w:space="0"/>
            </w:tcBorders>
            <w:vAlign w:val="center"/>
          </w:tcPr>
          <w:p w14:paraId="45D7E6B0">
            <w:pPr>
              <w:spacing w:line="26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04E37DB8">
            <w:pPr>
              <w:spacing w:line="260" w:lineRule="exact"/>
              <w:jc w:val="left"/>
              <w:rPr>
                <w:color w:val="000000"/>
                <w:kern w:val="0"/>
                <w:sz w:val="18"/>
                <w:szCs w:val="18"/>
              </w:rPr>
            </w:pPr>
            <w:r>
              <w:rPr>
                <w:rFonts w:hint="eastAsia"/>
                <w:color w:val="000000"/>
                <w:kern w:val="0"/>
                <w:sz w:val="18"/>
                <w:szCs w:val="18"/>
              </w:rPr>
              <w:t>对单位：</w:t>
            </w:r>
            <w:r>
              <w:rPr>
                <w:color w:val="000000"/>
                <w:kern w:val="0"/>
                <w:sz w:val="18"/>
                <w:szCs w:val="18"/>
              </w:rPr>
              <w:t>50</w:t>
            </w:r>
            <w:r>
              <w:rPr>
                <w:rFonts w:hint="eastAsia"/>
                <w:color w:val="000000"/>
                <w:kern w:val="0"/>
                <w:sz w:val="18"/>
                <w:szCs w:val="18"/>
              </w:rPr>
              <w:t>万元以上</w:t>
            </w:r>
            <w:r>
              <w:rPr>
                <w:color w:val="000000"/>
                <w:kern w:val="0"/>
                <w:sz w:val="18"/>
                <w:szCs w:val="18"/>
              </w:rPr>
              <w:t>65</w:t>
            </w:r>
            <w:r>
              <w:rPr>
                <w:rFonts w:hint="eastAsia"/>
                <w:color w:val="000000"/>
                <w:kern w:val="0"/>
                <w:sz w:val="18"/>
                <w:szCs w:val="18"/>
              </w:rPr>
              <w:t>万元以下罚款</w:t>
            </w:r>
          </w:p>
          <w:p w14:paraId="381C39BE">
            <w:pPr>
              <w:spacing w:line="26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6.5%</w:t>
            </w:r>
            <w:r>
              <w:rPr>
                <w:rFonts w:hint="eastAsia"/>
                <w:color w:val="000000"/>
                <w:kern w:val="0"/>
                <w:sz w:val="18"/>
                <w:szCs w:val="18"/>
              </w:rPr>
              <w:t>以下罚款</w:t>
            </w:r>
          </w:p>
        </w:tc>
      </w:tr>
      <w:tr w14:paraId="2FA21BA2">
        <w:tblPrEx>
          <w:tblCellMar>
            <w:top w:w="0" w:type="dxa"/>
            <w:left w:w="108" w:type="dxa"/>
            <w:bottom w:w="0" w:type="dxa"/>
            <w:right w:w="108" w:type="dxa"/>
          </w:tblCellMar>
        </w:tblPrEx>
        <w:trPr>
          <w:trHeight w:val="405" w:hRule="atLeast"/>
        </w:trPr>
        <w:tc>
          <w:tcPr>
            <w:tcW w:w="1056" w:type="dxa"/>
            <w:vMerge w:val="continue"/>
            <w:tcBorders>
              <w:left w:val="single" w:color="auto" w:sz="8" w:space="0"/>
              <w:right w:val="single" w:color="auto" w:sz="4" w:space="0"/>
            </w:tcBorders>
            <w:vAlign w:val="center"/>
          </w:tcPr>
          <w:p w14:paraId="53525895">
            <w:pPr>
              <w:spacing w:line="260" w:lineRule="exact"/>
              <w:jc w:val="left"/>
              <w:rPr>
                <w:color w:val="000000"/>
                <w:kern w:val="0"/>
                <w:sz w:val="18"/>
                <w:szCs w:val="18"/>
              </w:rPr>
            </w:pPr>
          </w:p>
        </w:tc>
        <w:tc>
          <w:tcPr>
            <w:tcW w:w="1540" w:type="dxa"/>
            <w:vMerge w:val="continue"/>
            <w:tcBorders>
              <w:left w:val="single" w:color="auto" w:sz="4" w:space="0"/>
              <w:right w:val="single" w:color="auto" w:sz="4" w:space="0"/>
            </w:tcBorders>
            <w:vAlign w:val="center"/>
          </w:tcPr>
          <w:p w14:paraId="46A4CE7A">
            <w:pPr>
              <w:spacing w:line="26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23841A2A">
            <w:pPr>
              <w:spacing w:line="260" w:lineRule="exact"/>
              <w:jc w:val="left"/>
              <w:rPr>
                <w:color w:val="000000"/>
                <w:kern w:val="0"/>
                <w:sz w:val="18"/>
                <w:szCs w:val="18"/>
              </w:rPr>
            </w:pPr>
            <w:r>
              <w:rPr>
                <w:rFonts w:hint="eastAsia"/>
                <w:color w:val="000000"/>
                <w:kern w:val="0"/>
                <w:sz w:val="18"/>
                <w:szCs w:val="18"/>
              </w:rPr>
              <w:t>造成安全隐患的</w:t>
            </w:r>
          </w:p>
        </w:tc>
        <w:tc>
          <w:tcPr>
            <w:tcW w:w="1044" w:type="dxa"/>
            <w:vMerge w:val="continue"/>
            <w:tcBorders>
              <w:top w:val="nil"/>
              <w:left w:val="single" w:color="auto" w:sz="4" w:space="0"/>
              <w:bottom w:val="single" w:color="auto" w:sz="4" w:space="0"/>
              <w:right w:val="single" w:color="auto" w:sz="4" w:space="0"/>
            </w:tcBorders>
            <w:vAlign w:val="center"/>
          </w:tcPr>
          <w:p w14:paraId="4E4173E2">
            <w:pPr>
              <w:spacing w:line="26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4E88571">
            <w:pPr>
              <w:spacing w:line="260" w:lineRule="exact"/>
              <w:jc w:val="left"/>
              <w:rPr>
                <w:color w:val="000000"/>
                <w:kern w:val="0"/>
                <w:sz w:val="18"/>
                <w:szCs w:val="18"/>
              </w:rPr>
            </w:pPr>
            <w:r>
              <w:rPr>
                <w:rFonts w:hint="eastAsia"/>
                <w:color w:val="000000"/>
                <w:kern w:val="0"/>
                <w:sz w:val="18"/>
                <w:szCs w:val="18"/>
              </w:rPr>
              <w:t>对单位：</w:t>
            </w:r>
            <w:r>
              <w:rPr>
                <w:color w:val="000000"/>
                <w:kern w:val="0"/>
                <w:sz w:val="18"/>
                <w:szCs w:val="18"/>
              </w:rPr>
              <w:t>65</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万元以下罚款</w:t>
            </w:r>
          </w:p>
          <w:p w14:paraId="4B0714EB">
            <w:pPr>
              <w:spacing w:line="26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6.5%</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4E4E59E4">
        <w:tblPrEx>
          <w:tblCellMar>
            <w:top w:w="0" w:type="dxa"/>
            <w:left w:w="108" w:type="dxa"/>
            <w:bottom w:w="0" w:type="dxa"/>
            <w:right w:w="108" w:type="dxa"/>
          </w:tblCellMar>
        </w:tblPrEx>
        <w:trPr>
          <w:trHeight w:val="329" w:hRule="atLeast"/>
        </w:trPr>
        <w:tc>
          <w:tcPr>
            <w:tcW w:w="1056" w:type="dxa"/>
            <w:vMerge w:val="continue"/>
            <w:tcBorders>
              <w:left w:val="single" w:color="auto" w:sz="8" w:space="0"/>
              <w:right w:val="single" w:color="auto" w:sz="4" w:space="0"/>
            </w:tcBorders>
            <w:vAlign w:val="center"/>
          </w:tcPr>
          <w:p w14:paraId="1CF6021F">
            <w:pPr>
              <w:spacing w:line="260" w:lineRule="exact"/>
              <w:jc w:val="left"/>
              <w:rPr>
                <w:color w:val="000000"/>
                <w:kern w:val="0"/>
                <w:sz w:val="18"/>
                <w:szCs w:val="18"/>
              </w:rPr>
            </w:pPr>
          </w:p>
        </w:tc>
        <w:tc>
          <w:tcPr>
            <w:tcW w:w="1540" w:type="dxa"/>
            <w:vMerge w:val="continue"/>
            <w:tcBorders>
              <w:left w:val="single" w:color="auto" w:sz="4" w:space="0"/>
              <w:bottom w:val="single" w:color="auto" w:sz="4" w:space="0"/>
              <w:right w:val="single" w:color="auto" w:sz="4" w:space="0"/>
            </w:tcBorders>
            <w:vAlign w:val="center"/>
          </w:tcPr>
          <w:p w14:paraId="363C2CBF">
            <w:pPr>
              <w:spacing w:line="26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521F2AF7">
            <w:pPr>
              <w:spacing w:line="260" w:lineRule="exact"/>
              <w:jc w:val="left"/>
              <w:rPr>
                <w:color w:val="000000"/>
                <w:kern w:val="0"/>
                <w:sz w:val="18"/>
                <w:szCs w:val="18"/>
              </w:rPr>
            </w:pPr>
            <w:r>
              <w:rPr>
                <w:rFonts w:hint="eastAsia"/>
                <w:color w:val="000000"/>
                <w:kern w:val="0"/>
                <w:sz w:val="18"/>
                <w:szCs w:val="18"/>
              </w:rPr>
              <w:t>造成安全事故的</w:t>
            </w:r>
          </w:p>
        </w:tc>
        <w:tc>
          <w:tcPr>
            <w:tcW w:w="1044" w:type="dxa"/>
            <w:vMerge w:val="continue"/>
            <w:tcBorders>
              <w:top w:val="nil"/>
              <w:left w:val="single" w:color="auto" w:sz="4" w:space="0"/>
              <w:bottom w:val="single" w:color="auto" w:sz="4" w:space="0"/>
              <w:right w:val="single" w:color="auto" w:sz="4" w:space="0"/>
            </w:tcBorders>
            <w:vAlign w:val="center"/>
          </w:tcPr>
          <w:p w14:paraId="0F981776">
            <w:pPr>
              <w:spacing w:line="26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D694085">
            <w:pPr>
              <w:spacing w:line="260" w:lineRule="exact"/>
              <w:jc w:val="left"/>
              <w:rPr>
                <w:color w:val="000000"/>
                <w:kern w:val="0"/>
                <w:sz w:val="18"/>
                <w:szCs w:val="18"/>
              </w:rPr>
            </w:pPr>
            <w:r>
              <w:rPr>
                <w:rFonts w:hint="eastAsia"/>
                <w:color w:val="000000"/>
                <w:kern w:val="0"/>
                <w:sz w:val="18"/>
                <w:szCs w:val="18"/>
              </w:rPr>
              <w:t>对单位：</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w:t>
            </w:r>
          </w:p>
          <w:p w14:paraId="14E56E12">
            <w:pPr>
              <w:spacing w:line="26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r w14:paraId="00D67741">
        <w:tblPrEx>
          <w:tblCellMar>
            <w:top w:w="0" w:type="dxa"/>
            <w:left w:w="108" w:type="dxa"/>
            <w:bottom w:w="0" w:type="dxa"/>
            <w:right w:w="108" w:type="dxa"/>
          </w:tblCellMar>
        </w:tblPrEx>
        <w:trPr>
          <w:trHeight w:val="480" w:hRule="atLeast"/>
        </w:trPr>
        <w:tc>
          <w:tcPr>
            <w:tcW w:w="1056" w:type="dxa"/>
            <w:vMerge w:val="continue"/>
            <w:tcBorders>
              <w:left w:val="single" w:color="auto" w:sz="8" w:space="0"/>
              <w:right w:val="single" w:color="auto" w:sz="4" w:space="0"/>
            </w:tcBorders>
            <w:vAlign w:val="center"/>
          </w:tcPr>
          <w:p w14:paraId="17F46D15">
            <w:pPr>
              <w:spacing w:line="260" w:lineRule="exact"/>
              <w:jc w:val="left"/>
              <w:rPr>
                <w:color w:val="000000"/>
                <w:kern w:val="0"/>
                <w:sz w:val="18"/>
                <w:szCs w:val="18"/>
              </w:rPr>
            </w:pPr>
          </w:p>
        </w:tc>
        <w:tc>
          <w:tcPr>
            <w:tcW w:w="1540" w:type="dxa"/>
            <w:vMerge w:val="restart"/>
            <w:tcBorders>
              <w:top w:val="single" w:color="auto" w:sz="4" w:space="0"/>
              <w:left w:val="single" w:color="auto" w:sz="4" w:space="0"/>
              <w:bottom w:val="single" w:color="auto" w:sz="4" w:space="0"/>
              <w:right w:val="single" w:color="auto" w:sz="4" w:space="0"/>
            </w:tcBorders>
            <w:vAlign w:val="center"/>
          </w:tcPr>
          <w:p w14:paraId="38F45FAB">
            <w:pPr>
              <w:spacing w:line="260" w:lineRule="exact"/>
              <w:jc w:val="left"/>
              <w:rPr>
                <w:color w:val="000000"/>
                <w:kern w:val="0"/>
                <w:sz w:val="18"/>
                <w:szCs w:val="18"/>
              </w:rPr>
            </w:pPr>
            <w:r>
              <w:rPr>
                <w:rFonts w:hint="eastAsia"/>
                <w:color w:val="000000"/>
                <w:kern w:val="0"/>
                <w:sz w:val="18"/>
                <w:szCs w:val="18"/>
              </w:rPr>
              <w:t>房屋建筑使用者</w:t>
            </w:r>
          </w:p>
        </w:tc>
        <w:tc>
          <w:tcPr>
            <w:tcW w:w="4600" w:type="dxa"/>
            <w:tcBorders>
              <w:top w:val="single" w:color="auto" w:sz="4" w:space="0"/>
              <w:left w:val="nil"/>
              <w:bottom w:val="single" w:color="auto" w:sz="4" w:space="0"/>
              <w:right w:val="single" w:color="auto" w:sz="4" w:space="0"/>
            </w:tcBorders>
            <w:vAlign w:val="center"/>
          </w:tcPr>
          <w:p w14:paraId="61E9F451">
            <w:pPr>
              <w:spacing w:line="260" w:lineRule="exact"/>
              <w:jc w:val="left"/>
              <w:rPr>
                <w:color w:val="000000"/>
                <w:kern w:val="0"/>
                <w:sz w:val="18"/>
                <w:szCs w:val="18"/>
              </w:rPr>
            </w:pPr>
            <w:r>
              <w:rPr>
                <w:rFonts w:hint="eastAsia"/>
                <w:color w:val="000000"/>
                <w:kern w:val="0"/>
                <w:sz w:val="18"/>
                <w:szCs w:val="18"/>
              </w:rPr>
              <w:t>未造成安全隐患的</w:t>
            </w:r>
          </w:p>
        </w:tc>
        <w:tc>
          <w:tcPr>
            <w:tcW w:w="1044" w:type="dxa"/>
            <w:vMerge w:val="continue"/>
            <w:tcBorders>
              <w:top w:val="single" w:color="auto" w:sz="4" w:space="0"/>
              <w:left w:val="single" w:color="auto" w:sz="4" w:space="0"/>
              <w:bottom w:val="single" w:color="auto" w:sz="4" w:space="0"/>
              <w:right w:val="single" w:color="auto" w:sz="4" w:space="0"/>
            </w:tcBorders>
            <w:vAlign w:val="center"/>
          </w:tcPr>
          <w:p w14:paraId="0193965E">
            <w:pPr>
              <w:spacing w:line="260" w:lineRule="exact"/>
              <w:jc w:val="left"/>
              <w:rPr>
                <w:color w:val="000000"/>
                <w:kern w:val="0"/>
                <w:sz w:val="18"/>
                <w:szCs w:val="18"/>
              </w:rPr>
            </w:pPr>
          </w:p>
        </w:tc>
        <w:tc>
          <w:tcPr>
            <w:tcW w:w="5820" w:type="dxa"/>
            <w:tcBorders>
              <w:top w:val="single" w:color="auto" w:sz="4" w:space="0"/>
              <w:left w:val="nil"/>
              <w:bottom w:val="single" w:color="auto" w:sz="4" w:space="0"/>
              <w:right w:val="single" w:color="auto" w:sz="4" w:space="0"/>
            </w:tcBorders>
            <w:vAlign w:val="center"/>
          </w:tcPr>
          <w:p w14:paraId="617417E8">
            <w:pPr>
              <w:spacing w:line="26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6.5</w:t>
            </w:r>
            <w:r>
              <w:rPr>
                <w:rFonts w:hint="eastAsia"/>
                <w:color w:val="000000"/>
                <w:kern w:val="0"/>
                <w:sz w:val="18"/>
                <w:szCs w:val="18"/>
              </w:rPr>
              <w:t>万元以下罚款</w:t>
            </w:r>
          </w:p>
          <w:p w14:paraId="5B1910E7">
            <w:pPr>
              <w:spacing w:line="26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6.5%</w:t>
            </w:r>
            <w:r>
              <w:rPr>
                <w:rFonts w:hint="eastAsia"/>
                <w:color w:val="000000"/>
                <w:kern w:val="0"/>
                <w:sz w:val="18"/>
                <w:szCs w:val="18"/>
              </w:rPr>
              <w:t>以下罚款</w:t>
            </w:r>
          </w:p>
        </w:tc>
      </w:tr>
      <w:tr w14:paraId="49E9EFF6">
        <w:tblPrEx>
          <w:tblCellMar>
            <w:top w:w="0" w:type="dxa"/>
            <w:left w:w="108" w:type="dxa"/>
            <w:bottom w:w="0" w:type="dxa"/>
            <w:right w:w="108" w:type="dxa"/>
          </w:tblCellMar>
        </w:tblPrEx>
        <w:trPr>
          <w:trHeight w:val="589" w:hRule="atLeast"/>
        </w:trPr>
        <w:tc>
          <w:tcPr>
            <w:tcW w:w="1056" w:type="dxa"/>
            <w:vMerge w:val="continue"/>
            <w:tcBorders>
              <w:left w:val="single" w:color="auto" w:sz="8" w:space="0"/>
              <w:right w:val="single" w:color="auto" w:sz="4" w:space="0"/>
            </w:tcBorders>
            <w:vAlign w:val="center"/>
          </w:tcPr>
          <w:p w14:paraId="41B47F6A">
            <w:pPr>
              <w:spacing w:line="260" w:lineRule="exact"/>
              <w:jc w:val="left"/>
              <w:rPr>
                <w:color w:val="000000"/>
                <w:kern w:val="0"/>
                <w:sz w:val="18"/>
                <w:szCs w:val="18"/>
              </w:rPr>
            </w:pPr>
          </w:p>
        </w:tc>
        <w:tc>
          <w:tcPr>
            <w:tcW w:w="1540" w:type="dxa"/>
            <w:vMerge w:val="continue"/>
            <w:tcBorders>
              <w:top w:val="single" w:color="auto" w:sz="4" w:space="0"/>
              <w:left w:val="single" w:color="auto" w:sz="4" w:space="0"/>
              <w:bottom w:val="single" w:color="auto" w:sz="4" w:space="0"/>
              <w:right w:val="single" w:color="auto" w:sz="4" w:space="0"/>
            </w:tcBorders>
            <w:vAlign w:val="center"/>
          </w:tcPr>
          <w:p w14:paraId="56752213">
            <w:pPr>
              <w:spacing w:line="260" w:lineRule="exact"/>
              <w:jc w:val="left"/>
              <w:rPr>
                <w:color w:val="000000"/>
                <w:kern w:val="0"/>
                <w:sz w:val="18"/>
                <w:szCs w:val="18"/>
              </w:rPr>
            </w:pPr>
          </w:p>
        </w:tc>
        <w:tc>
          <w:tcPr>
            <w:tcW w:w="4600" w:type="dxa"/>
            <w:tcBorders>
              <w:top w:val="single" w:color="auto" w:sz="4" w:space="0"/>
              <w:left w:val="nil"/>
              <w:bottom w:val="single" w:color="auto" w:sz="4" w:space="0"/>
              <w:right w:val="single" w:color="auto" w:sz="4" w:space="0"/>
            </w:tcBorders>
            <w:vAlign w:val="center"/>
          </w:tcPr>
          <w:p w14:paraId="79C04024">
            <w:pPr>
              <w:spacing w:line="260" w:lineRule="exact"/>
              <w:jc w:val="left"/>
              <w:rPr>
                <w:color w:val="000000"/>
                <w:kern w:val="0"/>
                <w:sz w:val="18"/>
                <w:szCs w:val="18"/>
              </w:rPr>
            </w:pPr>
            <w:r>
              <w:rPr>
                <w:rFonts w:hint="eastAsia"/>
                <w:color w:val="000000"/>
                <w:kern w:val="0"/>
                <w:sz w:val="18"/>
                <w:szCs w:val="18"/>
              </w:rPr>
              <w:t>造成安全隐患的</w:t>
            </w:r>
          </w:p>
        </w:tc>
        <w:tc>
          <w:tcPr>
            <w:tcW w:w="1044" w:type="dxa"/>
            <w:vMerge w:val="continue"/>
            <w:tcBorders>
              <w:top w:val="single" w:color="auto" w:sz="4" w:space="0"/>
              <w:left w:val="single" w:color="auto" w:sz="4" w:space="0"/>
              <w:bottom w:val="single" w:color="auto" w:sz="4" w:space="0"/>
              <w:right w:val="single" w:color="auto" w:sz="4" w:space="0"/>
            </w:tcBorders>
            <w:vAlign w:val="center"/>
          </w:tcPr>
          <w:p w14:paraId="6EBF9599">
            <w:pPr>
              <w:spacing w:line="260" w:lineRule="exact"/>
              <w:jc w:val="left"/>
              <w:rPr>
                <w:color w:val="000000"/>
                <w:kern w:val="0"/>
                <w:sz w:val="18"/>
                <w:szCs w:val="18"/>
              </w:rPr>
            </w:pPr>
          </w:p>
        </w:tc>
        <w:tc>
          <w:tcPr>
            <w:tcW w:w="5820" w:type="dxa"/>
            <w:tcBorders>
              <w:top w:val="single" w:color="auto" w:sz="4" w:space="0"/>
              <w:left w:val="nil"/>
              <w:bottom w:val="single" w:color="auto" w:sz="4" w:space="0"/>
              <w:right w:val="single" w:color="auto" w:sz="4" w:space="0"/>
            </w:tcBorders>
            <w:vAlign w:val="center"/>
          </w:tcPr>
          <w:p w14:paraId="6C3C83AA">
            <w:pPr>
              <w:spacing w:line="260" w:lineRule="exact"/>
              <w:jc w:val="left"/>
              <w:rPr>
                <w:color w:val="000000"/>
                <w:kern w:val="0"/>
                <w:sz w:val="18"/>
                <w:szCs w:val="18"/>
              </w:rPr>
            </w:pPr>
            <w:r>
              <w:rPr>
                <w:color w:val="000000"/>
                <w:kern w:val="0"/>
                <w:sz w:val="18"/>
                <w:szCs w:val="18"/>
              </w:rPr>
              <w:t>6.5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14:paraId="4FE62491">
            <w:pPr>
              <w:spacing w:line="26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6.5%</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16A7B117">
        <w:tblPrEx>
          <w:tblCellMar>
            <w:top w:w="0" w:type="dxa"/>
            <w:left w:w="108" w:type="dxa"/>
            <w:bottom w:w="0" w:type="dxa"/>
            <w:right w:w="108" w:type="dxa"/>
          </w:tblCellMar>
        </w:tblPrEx>
        <w:trPr>
          <w:trHeight w:val="83" w:hRule="atLeast"/>
        </w:trPr>
        <w:tc>
          <w:tcPr>
            <w:tcW w:w="1056" w:type="dxa"/>
            <w:vMerge w:val="continue"/>
            <w:tcBorders>
              <w:left w:val="single" w:color="auto" w:sz="8" w:space="0"/>
              <w:bottom w:val="single" w:color="auto" w:sz="4" w:space="0"/>
              <w:right w:val="single" w:color="auto" w:sz="4" w:space="0"/>
            </w:tcBorders>
            <w:vAlign w:val="center"/>
          </w:tcPr>
          <w:p w14:paraId="63150422">
            <w:pPr>
              <w:spacing w:line="260" w:lineRule="exact"/>
              <w:jc w:val="left"/>
              <w:rPr>
                <w:color w:val="000000"/>
                <w:kern w:val="0"/>
                <w:sz w:val="18"/>
                <w:szCs w:val="18"/>
              </w:rPr>
            </w:pPr>
          </w:p>
        </w:tc>
        <w:tc>
          <w:tcPr>
            <w:tcW w:w="1540" w:type="dxa"/>
            <w:vMerge w:val="continue"/>
            <w:tcBorders>
              <w:top w:val="single" w:color="auto" w:sz="4" w:space="0"/>
              <w:left w:val="single" w:color="auto" w:sz="4" w:space="0"/>
              <w:bottom w:val="single" w:color="auto" w:sz="4" w:space="0"/>
              <w:right w:val="single" w:color="auto" w:sz="4" w:space="0"/>
            </w:tcBorders>
            <w:vAlign w:val="center"/>
          </w:tcPr>
          <w:p w14:paraId="5CF90861">
            <w:pPr>
              <w:spacing w:line="260" w:lineRule="exact"/>
              <w:jc w:val="left"/>
              <w:rPr>
                <w:color w:val="000000"/>
                <w:kern w:val="0"/>
                <w:sz w:val="18"/>
                <w:szCs w:val="18"/>
              </w:rPr>
            </w:pPr>
          </w:p>
        </w:tc>
        <w:tc>
          <w:tcPr>
            <w:tcW w:w="4600" w:type="dxa"/>
            <w:tcBorders>
              <w:top w:val="single" w:color="auto" w:sz="4" w:space="0"/>
              <w:left w:val="nil"/>
              <w:bottom w:val="single" w:color="auto" w:sz="4" w:space="0"/>
              <w:right w:val="single" w:color="auto" w:sz="4" w:space="0"/>
            </w:tcBorders>
            <w:vAlign w:val="center"/>
          </w:tcPr>
          <w:p w14:paraId="65C335B0">
            <w:pPr>
              <w:spacing w:line="260" w:lineRule="exact"/>
              <w:jc w:val="left"/>
              <w:rPr>
                <w:color w:val="000000"/>
                <w:kern w:val="0"/>
                <w:sz w:val="18"/>
                <w:szCs w:val="18"/>
              </w:rPr>
            </w:pPr>
            <w:r>
              <w:rPr>
                <w:rFonts w:hint="eastAsia"/>
                <w:color w:val="000000"/>
                <w:kern w:val="0"/>
                <w:sz w:val="18"/>
                <w:szCs w:val="18"/>
              </w:rPr>
              <w:t>造成安全事故的</w:t>
            </w:r>
          </w:p>
        </w:tc>
        <w:tc>
          <w:tcPr>
            <w:tcW w:w="1044" w:type="dxa"/>
            <w:tcBorders>
              <w:top w:val="single" w:color="auto" w:sz="4" w:space="0"/>
              <w:left w:val="single" w:color="auto" w:sz="4" w:space="0"/>
              <w:bottom w:val="single" w:color="auto" w:sz="4" w:space="0"/>
              <w:right w:val="single" w:color="auto" w:sz="4" w:space="0"/>
            </w:tcBorders>
            <w:vAlign w:val="center"/>
          </w:tcPr>
          <w:p w14:paraId="218AC8A8">
            <w:pPr>
              <w:spacing w:line="260" w:lineRule="exact"/>
              <w:jc w:val="left"/>
              <w:rPr>
                <w:color w:val="000000"/>
                <w:kern w:val="0"/>
                <w:sz w:val="18"/>
                <w:szCs w:val="18"/>
              </w:rPr>
            </w:pPr>
          </w:p>
        </w:tc>
        <w:tc>
          <w:tcPr>
            <w:tcW w:w="5820" w:type="dxa"/>
            <w:tcBorders>
              <w:top w:val="single" w:color="auto" w:sz="4" w:space="0"/>
              <w:left w:val="nil"/>
              <w:bottom w:val="single" w:color="auto" w:sz="4" w:space="0"/>
              <w:right w:val="single" w:color="auto" w:sz="4" w:space="0"/>
            </w:tcBorders>
            <w:vAlign w:val="center"/>
          </w:tcPr>
          <w:p w14:paraId="15898998">
            <w:pPr>
              <w:spacing w:line="26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79B0AB51">
            <w:pPr>
              <w:spacing w:line="26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4C1782DA"/>
    <w:p w14:paraId="4556AC7D"/>
    <w:p w14:paraId="14CBF9CC"/>
    <w:tbl>
      <w:tblPr>
        <w:tblStyle w:val="15"/>
        <w:tblW w:w="0" w:type="auto"/>
        <w:tblInd w:w="88" w:type="dxa"/>
        <w:tblLayout w:type="fixed"/>
        <w:tblCellMar>
          <w:top w:w="0" w:type="dxa"/>
          <w:left w:w="108" w:type="dxa"/>
          <w:bottom w:w="0" w:type="dxa"/>
          <w:right w:w="108" w:type="dxa"/>
        </w:tblCellMar>
      </w:tblPr>
      <w:tblGrid>
        <w:gridCol w:w="1070"/>
        <w:gridCol w:w="6140"/>
        <w:gridCol w:w="1150"/>
        <w:gridCol w:w="5700"/>
      </w:tblGrid>
      <w:tr w14:paraId="6BC678F9">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BEA42EF">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4C4AD5C6">
            <w:pPr>
              <w:spacing w:line="320" w:lineRule="exact"/>
              <w:jc w:val="left"/>
              <w:rPr>
                <w:rFonts w:eastAsia="仿宋_GB2312"/>
                <w:b/>
                <w:bCs/>
                <w:color w:val="000000"/>
                <w:kern w:val="0"/>
                <w:sz w:val="18"/>
                <w:szCs w:val="18"/>
              </w:rPr>
            </w:pPr>
            <w:r>
              <w:rPr>
                <w:rFonts w:eastAsia="仿宋_GB2312"/>
                <w:b/>
                <w:bCs/>
                <w:color w:val="000000"/>
                <w:kern w:val="0"/>
                <w:sz w:val="18"/>
                <w:szCs w:val="18"/>
              </w:rPr>
              <w:t>320217155000</w:t>
            </w:r>
          </w:p>
        </w:tc>
      </w:tr>
      <w:tr w14:paraId="15C98A3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AB303DF">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04A13CB7">
            <w:pPr>
              <w:spacing w:line="320" w:lineRule="exact"/>
              <w:jc w:val="left"/>
              <w:rPr>
                <w:color w:val="000000"/>
                <w:kern w:val="0"/>
                <w:sz w:val="18"/>
                <w:szCs w:val="18"/>
              </w:rPr>
            </w:pPr>
            <w:r>
              <w:rPr>
                <w:rFonts w:hint="eastAsia"/>
                <w:color w:val="000000"/>
                <w:kern w:val="0"/>
                <w:sz w:val="18"/>
                <w:szCs w:val="18"/>
              </w:rPr>
              <w:t>对施工起重机械和整体提升脚手架、模板等自升式架设设施安装完毕后，安装单位未出具自检合格证明或者出具虚假证明的处罚</w:t>
            </w:r>
          </w:p>
        </w:tc>
      </w:tr>
      <w:tr w14:paraId="2F81EE6A">
        <w:tblPrEx>
          <w:tblCellMar>
            <w:top w:w="0" w:type="dxa"/>
            <w:left w:w="108" w:type="dxa"/>
            <w:bottom w:w="0" w:type="dxa"/>
            <w:right w:w="108" w:type="dxa"/>
          </w:tblCellMar>
        </w:tblPrEx>
        <w:trPr>
          <w:trHeight w:val="2055" w:hRule="atLeast"/>
        </w:trPr>
        <w:tc>
          <w:tcPr>
            <w:tcW w:w="1070" w:type="dxa"/>
            <w:tcBorders>
              <w:top w:val="nil"/>
              <w:left w:val="single" w:color="auto" w:sz="8" w:space="0"/>
              <w:bottom w:val="single" w:color="auto" w:sz="4" w:space="0"/>
              <w:right w:val="single" w:color="auto" w:sz="4" w:space="0"/>
            </w:tcBorders>
            <w:vAlign w:val="center"/>
          </w:tcPr>
          <w:p w14:paraId="226D0A5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7B96E76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3CCF48F6">
            <w:pPr>
              <w:spacing w:line="320" w:lineRule="exact"/>
              <w:jc w:val="left"/>
              <w:rPr>
                <w:color w:val="000000"/>
                <w:kern w:val="0"/>
                <w:sz w:val="18"/>
                <w:szCs w:val="18"/>
              </w:rPr>
            </w:pPr>
            <w:r>
              <w:rPr>
                <w:rFonts w:hint="eastAsia"/>
                <w:color w:val="000000"/>
                <w:kern w:val="0"/>
                <w:sz w:val="18"/>
                <w:szCs w:val="18"/>
              </w:rPr>
              <w:t>第十七条第三款　施工起重机械和整体提升脚手架、模板等自升式架设设施安装完毕后，安装单位应当自检，出具自检合格证明，并向施工单位进行安全使用说明，办理验收手续并签字。</w:t>
            </w:r>
          </w:p>
          <w:p w14:paraId="7EBC70CF">
            <w:pPr>
              <w:spacing w:line="320" w:lineRule="exact"/>
              <w:jc w:val="left"/>
              <w:rPr>
                <w:color w:val="000000"/>
                <w:kern w:val="0"/>
                <w:sz w:val="18"/>
                <w:szCs w:val="18"/>
              </w:rPr>
            </w:pPr>
            <w:r>
              <w:rPr>
                <w:rFonts w:hint="eastAsia"/>
                <w:color w:val="000000"/>
                <w:kern w:val="0"/>
                <w:sz w:val="18"/>
                <w:szCs w:val="18"/>
              </w:rPr>
              <w:t>第六十一条　违反本条例的规定，施工起重机械和整体提升脚手架、模板等自升式架设设施安装、拆卸单位有下列行为之一的，责令限期改正，处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color w:val="000000"/>
                <w:kern w:val="0"/>
                <w:sz w:val="18"/>
                <w:szCs w:val="18"/>
              </w:rPr>
              <w:t xml:space="preserve"> </w:t>
            </w:r>
          </w:p>
          <w:p w14:paraId="731C78A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（三）未出具自检合格证明或者出具虚假证明的。</w:t>
            </w:r>
            <w:r>
              <w:rPr>
                <w:color w:val="000000"/>
                <w:kern w:val="0"/>
                <w:sz w:val="18"/>
                <w:szCs w:val="18"/>
              </w:rPr>
              <w:t xml:space="preserve"> </w:t>
            </w:r>
          </w:p>
          <w:p w14:paraId="0A2EDC8C">
            <w:pPr>
              <w:spacing w:line="320" w:lineRule="exact"/>
              <w:jc w:val="left"/>
              <w:rPr>
                <w:color w:val="000000"/>
                <w:kern w:val="0"/>
                <w:sz w:val="18"/>
                <w:szCs w:val="18"/>
              </w:rPr>
            </w:pPr>
            <w:r>
              <w:rPr>
                <w:rFonts w:hint="eastAsia"/>
                <w:color w:val="000000"/>
                <w:kern w:val="0"/>
                <w:sz w:val="18"/>
                <w:szCs w:val="18"/>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14:paraId="2C5D3E7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11610E00">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D9B3457">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1BB65882">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14:paraId="1F1DE508">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49D6B07E">
            <w:pPr>
              <w:spacing w:line="320" w:lineRule="exact"/>
              <w:jc w:val="center"/>
              <w:rPr>
                <w:color w:val="000000"/>
                <w:kern w:val="0"/>
                <w:sz w:val="18"/>
                <w:szCs w:val="18"/>
              </w:rPr>
            </w:pPr>
            <w:r>
              <w:rPr>
                <w:rFonts w:hint="eastAsia"/>
                <w:color w:val="000000"/>
                <w:kern w:val="0"/>
                <w:sz w:val="18"/>
                <w:szCs w:val="18"/>
              </w:rPr>
              <w:t>裁量基准</w:t>
            </w:r>
          </w:p>
        </w:tc>
      </w:tr>
      <w:tr w14:paraId="12D89568">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423385C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37D4BEF">
            <w:pPr>
              <w:spacing w:line="320" w:lineRule="exact"/>
              <w:jc w:val="left"/>
              <w:rPr>
                <w:color w:val="000000"/>
                <w:kern w:val="0"/>
                <w:sz w:val="18"/>
                <w:szCs w:val="18"/>
              </w:rPr>
            </w:pPr>
            <w:r>
              <w:rPr>
                <w:rFonts w:hint="eastAsia"/>
                <w:color w:val="000000"/>
                <w:kern w:val="0"/>
                <w:sz w:val="18"/>
                <w:szCs w:val="18"/>
              </w:rPr>
              <w:t>按照要求改正的</w:t>
            </w:r>
          </w:p>
        </w:tc>
        <w:tc>
          <w:tcPr>
            <w:tcW w:w="1150" w:type="dxa"/>
            <w:vMerge w:val="restart"/>
            <w:tcBorders>
              <w:top w:val="nil"/>
              <w:left w:val="single" w:color="auto" w:sz="4" w:space="0"/>
              <w:bottom w:val="single" w:color="auto" w:sz="4" w:space="0"/>
              <w:right w:val="single" w:color="auto" w:sz="4" w:space="0"/>
            </w:tcBorders>
            <w:vAlign w:val="center"/>
          </w:tcPr>
          <w:p w14:paraId="13467616">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color="auto" w:sz="4" w:space="0"/>
              <w:right w:val="single" w:color="auto" w:sz="8" w:space="0"/>
            </w:tcBorders>
            <w:vAlign w:val="center"/>
          </w:tcPr>
          <w:p w14:paraId="6E10D1BC">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45DDD806">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3EE7629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0C8D087">
            <w:pPr>
              <w:spacing w:line="320" w:lineRule="exact"/>
              <w:jc w:val="left"/>
              <w:rPr>
                <w:color w:val="000000"/>
                <w:kern w:val="0"/>
                <w:sz w:val="18"/>
                <w:szCs w:val="18"/>
              </w:rPr>
            </w:pPr>
            <w:r>
              <w:rPr>
                <w:rFonts w:hint="eastAsia"/>
                <w:color w:val="000000"/>
                <w:kern w:val="0"/>
                <w:sz w:val="18"/>
                <w:szCs w:val="18"/>
              </w:rPr>
              <w:t>未按照要求改正且未发生安全事故的</w:t>
            </w:r>
          </w:p>
        </w:tc>
        <w:tc>
          <w:tcPr>
            <w:tcW w:w="1150" w:type="dxa"/>
            <w:vMerge w:val="continue"/>
            <w:tcBorders>
              <w:top w:val="nil"/>
              <w:left w:val="single" w:color="auto" w:sz="4" w:space="0"/>
              <w:bottom w:val="single" w:color="auto" w:sz="4" w:space="0"/>
              <w:right w:val="single" w:color="auto" w:sz="4" w:space="0"/>
            </w:tcBorders>
            <w:vAlign w:val="center"/>
          </w:tcPr>
          <w:p w14:paraId="10A6C66A">
            <w:pPr>
              <w:spacing w:line="320" w:lineRule="exact"/>
              <w:jc w:val="left"/>
              <w:rPr>
                <w:color w:val="000000"/>
                <w:kern w:val="0"/>
                <w:sz w:val="18"/>
                <w:szCs w:val="18"/>
              </w:rPr>
            </w:pPr>
          </w:p>
        </w:tc>
        <w:tc>
          <w:tcPr>
            <w:tcW w:w="5700" w:type="dxa"/>
            <w:tcBorders>
              <w:top w:val="nil"/>
              <w:left w:val="nil"/>
              <w:bottom w:val="single" w:color="auto" w:sz="4" w:space="0"/>
              <w:right w:val="single" w:color="auto" w:sz="8" w:space="0"/>
            </w:tcBorders>
            <w:vAlign w:val="center"/>
          </w:tcPr>
          <w:p w14:paraId="2868F9A1">
            <w:pPr>
              <w:spacing w:line="320" w:lineRule="exact"/>
              <w:jc w:val="left"/>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万元以下罚款，责令停业整顿</w:t>
            </w:r>
          </w:p>
        </w:tc>
      </w:tr>
      <w:tr w14:paraId="5EE8C3FA">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3D88EBE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BA7D1FC">
            <w:pPr>
              <w:spacing w:line="320" w:lineRule="exact"/>
              <w:jc w:val="left"/>
              <w:rPr>
                <w:color w:val="000000"/>
                <w:kern w:val="0"/>
                <w:sz w:val="18"/>
                <w:szCs w:val="18"/>
              </w:rPr>
            </w:pPr>
            <w:r>
              <w:rPr>
                <w:rFonts w:hint="eastAsia"/>
                <w:color w:val="000000"/>
                <w:kern w:val="0"/>
                <w:sz w:val="18"/>
                <w:szCs w:val="18"/>
              </w:rPr>
              <w:t>未按照要求改正且发生一般安全事故的</w:t>
            </w:r>
          </w:p>
        </w:tc>
        <w:tc>
          <w:tcPr>
            <w:tcW w:w="1150" w:type="dxa"/>
            <w:vMerge w:val="continue"/>
            <w:tcBorders>
              <w:top w:val="nil"/>
              <w:left w:val="single" w:color="auto" w:sz="4" w:space="0"/>
              <w:bottom w:val="single" w:color="auto" w:sz="4" w:space="0"/>
              <w:right w:val="single" w:color="auto" w:sz="4" w:space="0"/>
            </w:tcBorders>
            <w:vAlign w:val="center"/>
          </w:tcPr>
          <w:p w14:paraId="6FD17610">
            <w:pPr>
              <w:spacing w:line="320" w:lineRule="exact"/>
              <w:jc w:val="left"/>
              <w:rPr>
                <w:color w:val="000000"/>
                <w:kern w:val="0"/>
                <w:sz w:val="18"/>
                <w:szCs w:val="18"/>
              </w:rPr>
            </w:pPr>
          </w:p>
        </w:tc>
        <w:tc>
          <w:tcPr>
            <w:tcW w:w="5700" w:type="dxa"/>
            <w:tcBorders>
              <w:top w:val="nil"/>
              <w:left w:val="nil"/>
              <w:bottom w:val="single" w:color="auto" w:sz="4" w:space="0"/>
              <w:right w:val="single" w:color="auto" w:sz="8" w:space="0"/>
            </w:tcBorders>
            <w:vAlign w:val="center"/>
          </w:tcPr>
          <w:p w14:paraId="3B2748A9">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万元以下罚款，责令停业整顿，降低资质等级</w:t>
            </w:r>
          </w:p>
        </w:tc>
      </w:tr>
      <w:tr w14:paraId="66A4DBF6">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2C78E77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BBC93AA">
            <w:pPr>
              <w:spacing w:line="320" w:lineRule="exact"/>
              <w:jc w:val="left"/>
              <w:rPr>
                <w:color w:val="000000"/>
                <w:kern w:val="0"/>
                <w:sz w:val="18"/>
                <w:szCs w:val="18"/>
              </w:rPr>
            </w:pPr>
            <w:r>
              <w:rPr>
                <w:rFonts w:hint="eastAsia"/>
                <w:color w:val="000000"/>
                <w:kern w:val="0"/>
                <w:sz w:val="18"/>
                <w:szCs w:val="18"/>
              </w:rPr>
              <w:t>未按照要求改正且发生较大及以上等级安全事故的</w:t>
            </w:r>
          </w:p>
        </w:tc>
        <w:tc>
          <w:tcPr>
            <w:tcW w:w="1150" w:type="dxa"/>
            <w:vMerge w:val="continue"/>
            <w:tcBorders>
              <w:top w:val="nil"/>
              <w:left w:val="single" w:color="auto" w:sz="4" w:space="0"/>
              <w:bottom w:val="single" w:color="auto" w:sz="4" w:space="0"/>
              <w:right w:val="single" w:color="auto" w:sz="4" w:space="0"/>
            </w:tcBorders>
            <w:vAlign w:val="center"/>
          </w:tcPr>
          <w:p w14:paraId="39B62293">
            <w:pPr>
              <w:spacing w:line="320" w:lineRule="exact"/>
              <w:jc w:val="left"/>
              <w:rPr>
                <w:color w:val="000000"/>
                <w:kern w:val="0"/>
                <w:sz w:val="18"/>
                <w:szCs w:val="18"/>
              </w:rPr>
            </w:pPr>
          </w:p>
        </w:tc>
        <w:tc>
          <w:tcPr>
            <w:tcW w:w="5700" w:type="dxa"/>
            <w:tcBorders>
              <w:top w:val="nil"/>
              <w:left w:val="nil"/>
              <w:bottom w:val="single" w:color="auto" w:sz="4" w:space="0"/>
              <w:right w:val="single" w:color="auto" w:sz="8" w:space="0"/>
            </w:tcBorders>
            <w:vAlign w:val="center"/>
          </w:tcPr>
          <w:p w14:paraId="331A5B4A">
            <w:pPr>
              <w:spacing w:line="320" w:lineRule="exact"/>
              <w:jc w:val="left"/>
              <w:rPr>
                <w:color w:val="000000"/>
                <w:kern w:val="0"/>
                <w:sz w:val="18"/>
                <w:szCs w:val="18"/>
              </w:rPr>
            </w:pP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万元以下罚款，责令停业整顿，吊销资质证书</w:t>
            </w:r>
          </w:p>
        </w:tc>
      </w:tr>
    </w:tbl>
    <w:p w14:paraId="70BF3C0E"/>
    <w:p w14:paraId="7897612B"/>
    <w:p w14:paraId="00D42ADF"/>
    <w:p w14:paraId="3FD72A05"/>
    <w:p w14:paraId="044FE41B"/>
    <w:p w14:paraId="04FE8A63"/>
    <w:tbl>
      <w:tblPr>
        <w:tblStyle w:val="15"/>
        <w:tblW w:w="0" w:type="auto"/>
        <w:tblInd w:w="88" w:type="dxa"/>
        <w:tblLayout w:type="fixed"/>
        <w:tblCellMar>
          <w:top w:w="0" w:type="dxa"/>
          <w:left w:w="108" w:type="dxa"/>
          <w:bottom w:w="0" w:type="dxa"/>
          <w:right w:w="108" w:type="dxa"/>
        </w:tblCellMar>
      </w:tblPr>
      <w:tblGrid>
        <w:gridCol w:w="1070"/>
        <w:gridCol w:w="6140"/>
        <w:gridCol w:w="1150"/>
        <w:gridCol w:w="5700"/>
      </w:tblGrid>
      <w:tr w14:paraId="2E2C8C4D">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7F891536">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31EDC1F2">
            <w:pPr>
              <w:spacing w:line="320" w:lineRule="exact"/>
              <w:jc w:val="left"/>
              <w:rPr>
                <w:rFonts w:eastAsia="仿宋_GB2312"/>
                <w:b/>
                <w:bCs/>
                <w:color w:val="000000"/>
                <w:kern w:val="0"/>
                <w:sz w:val="18"/>
                <w:szCs w:val="18"/>
              </w:rPr>
            </w:pPr>
            <w:r>
              <w:rPr>
                <w:rFonts w:eastAsia="仿宋_GB2312"/>
                <w:b/>
                <w:bCs/>
                <w:color w:val="000000"/>
                <w:kern w:val="0"/>
                <w:sz w:val="18"/>
                <w:szCs w:val="18"/>
              </w:rPr>
              <w:t>320217156000</w:t>
            </w:r>
          </w:p>
        </w:tc>
      </w:tr>
      <w:tr w14:paraId="622D016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ECFE298">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6091FCED">
            <w:pPr>
              <w:spacing w:line="320" w:lineRule="exact"/>
              <w:jc w:val="left"/>
              <w:rPr>
                <w:color w:val="000000"/>
                <w:kern w:val="0"/>
                <w:sz w:val="18"/>
                <w:szCs w:val="18"/>
              </w:rPr>
            </w:pPr>
            <w:r>
              <w:rPr>
                <w:rFonts w:hint="eastAsia"/>
                <w:color w:val="000000"/>
                <w:kern w:val="0"/>
                <w:sz w:val="18"/>
                <w:szCs w:val="18"/>
              </w:rPr>
              <w:t>对施工起重机械和整体提升脚手架、模板等自升式架设设施安装完毕后，安装单位未向施工单位进行安全使用说明，办理移交手续的处罚</w:t>
            </w:r>
          </w:p>
        </w:tc>
      </w:tr>
      <w:tr w14:paraId="029E6526">
        <w:tblPrEx>
          <w:tblCellMar>
            <w:top w:w="0" w:type="dxa"/>
            <w:left w:w="108" w:type="dxa"/>
            <w:bottom w:w="0" w:type="dxa"/>
            <w:right w:w="108" w:type="dxa"/>
          </w:tblCellMar>
        </w:tblPrEx>
        <w:trPr>
          <w:trHeight w:val="2115" w:hRule="atLeast"/>
        </w:trPr>
        <w:tc>
          <w:tcPr>
            <w:tcW w:w="1070" w:type="dxa"/>
            <w:tcBorders>
              <w:top w:val="nil"/>
              <w:left w:val="single" w:color="auto" w:sz="8" w:space="0"/>
              <w:bottom w:val="single" w:color="auto" w:sz="4" w:space="0"/>
              <w:right w:val="single" w:color="auto" w:sz="4" w:space="0"/>
            </w:tcBorders>
            <w:vAlign w:val="center"/>
          </w:tcPr>
          <w:p w14:paraId="67C6887C">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178ADA7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3EC76371">
            <w:pPr>
              <w:spacing w:line="320" w:lineRule="exact"/>
              <w:jc w:val="left"/>
              <w:rPr>
                <w:color w:val="000000"/>
                <w:kern w:val="0"/>
                <w:sz w:val="18"/>
                <w:szCs w:val="18"/>
              </w:rPr>
            </w:pPr>
            <w:r>
              <w:rPr>
                <w:rFonts w:hint="eastAsia"/>
                <w:color w:val="000000"/>
                <w:kern w:val="0"/>
                <w:sz w:val="18"/>
                <w:szCs w:val="18"/>
              </w:rPr>
              <w:t>第十七条第三款　施工起重机械和整体提升脚手架、模板等自升式架设设施安装完毕后，安装单位应当自检，出具自检合格证明，并向施工单位进行安全使用说明，办理验收手续并签字。</w:t>
            </w:r>
          </w:p>
          <w:p w14:paraId="5F7A5D6C">
            <w:pPr>
              <w:spacing w:line="320" w:lineRule="exact"/>
              <w:jc w:val="left"/>
              <w:rPr>
                <w:color w:val="000000"/>
                <w:kern w:val="0"/>
                <w:sz w:val="18"/>
                <w:szCs w:val="18"/>
              </w:rPr>
            </w:pPr>
            <w:r>
              <w:rPr>
                <w:rFonts w:hint="eastAsia"/>
                <w:color w:val="000000"/>
                <w:kern w:val="0"/>
                <w:sz w:val="18"/>
                <w:szCs w:val="18"/>
              </w:rPr>
              <w:t>第六十一条　违反本条例的规定，施工起重机械和整体提升脚手架、模板等自升式架设设施安装、拆卸单位有下列行为之一的，责令限期改正，处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color w:val="000000"/>
                <w:kern w:val="0"/>
                <w:sz w:val="18"/>
                <w:szCs w:val="18"/>
              </w:rPr>
              <w:t xml:space="preserve"> </w:t>
            </w:r>
          </w:p>
          <w:p w14:paraId="44CE078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（四）未向施工单位进行安全使用说明，办理移交手续的。</w:t>
            </w:r>
            <w:r>
              <w:rPr>
                <w:color w:val="000000"/>
                <w:kern w:val="0"/>
                <w:sz w:val="18"/>
                <w:szCs w:val="18"/>
              </w:rPr>
              <w:t xml:space="preserve"> </w:t>
            </w:r>
          </w:p>
          <w:p w14:paraId="2796A537">
            <w:pPr>
              <w:spacing w:line="320" w:lineRule="exact"/>
              <w:jc w:val="left"/>
              <w:rPr>
                <w:color w:val="000000"/>
                <w:kern w:val="0"/>
                <w:sz w:val="18"/>
                <w:szCs w:val="18"/>
              </w:rPr>
            </w:pPr>
            <w:r>
              <w:rPr>
                <w:rFonts w:hint="eastAsia"/>
                <w:color w:val="000000"/>
                <w:kern w:val="0"/>
                <w:sz w:val="18"/>
                <w:szCs w:val="18"/>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14:paraId="61D9BC48">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7EA070C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DB59CDF">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526B4BDF">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14:paraId="26433BE5">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3BE35AA5">
            <w:pPr>
              <w:spacing w:line="320" w:lineRule="exact"/>
              <w:jc w:val="center"/>
              <w:rPr>
                <w:color w:val="000000"/>
                <w:kern w:val="0"/>
                <w:sz w:val="18"/>
                <w:szCs w:val="18"/>
              </w:rPr>
            </w:pPr>
            <w:r>
              <w:rPr>
                <w:rFonts w:hint="eastAsia"/>
                <w:color w:val="000000"/>
                <w:kern w:val="0"/>
                <w:sz w:val="18"/>
                <w:szCs w:val="18"/>
              </w:rPr>
              <w:t>裁量基准</w:t>
            </w:r>
          </w:p>
        </w:tc>
      </w:tr>
      <w:tr w14:paraId="75790C4C">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6AE5EA2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433BBC8">
            <w:pPr>
              <w:spacing w:line="320" w:lineRule="exact"/>
              <w:jc w:val="left"/>
              <w:rPr>
                <w:color w:val="000000"/>
                <w:kern w:val="0"/>
                <w:sz w:val="18"/>
                <w:szCs w:val="18"/>
              </w:rPr>
            </w:pPr>
            <w:r>
              <w:rPr>
                <w:rFonts w:hint="eastAsia"/>
                <w:color w:val="000000"/>
                <w:kern w:val="0"/>
                <w:sz w:val="18"/>
                <w:szCs w:val="18"/>
              </w:rPr>
              <w:t>按照要求改正的</w:t>
            </w:r>
          </w:p>
        </w:tc>
        <w:tc>
          <w:tcPr>
            <w:tcW w:w="1150" w:type="dxa"/>
            <w:vMerge w:val="restart"/>
            <w:tcBorders>
              <w:top w:val="nil"/>
              <w:left w:val="single" w:color="auto" w:sz="4" w:space="0"/>
              <w:bottom w:val="single" w:color="auto" w:sz="4" w:space="0"/>
              <w:right w:val="single" w:color="auto" w:sz="4" w:space="0"/>
            </w:tcBorders>
            <w:vAlign w:val="center"/>
          </w:tcPr>
          <w:p w14:paraId="0B270EDE">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color="auto" w:sz="4" w:space="0"/>
              <w:right w:val="single" w:color="auto" w:sz="8" w:space="0"/>
            </w:tcBorders>
            <w:vAlign w:val="center"/>
          </w:tcPr>
          <w:p w14:paraId="4775371B">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77000FB1">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4CC2E56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675B1E9">
            <w:pPr>
              <w:spacing w:line="320" w:lineRule="exact"/>
              <w:jc w:val="left"/>
              <w:rPr>
                <w:color w:val="000000"/>
                <w:kern w:val="0"/>
                <w:sz w:val="18"/>
                <w:szCs w:val="18"/>
              </w:rPr>
            </w:pPr>
            <w:r>
              <w:rPr>
                <w:rFonts w:hint="eastAsia"/>
                <w:color w:val="000000"/>
                <w:kern w:val="0"/>
                <w:sz w:val="18"/>
                <w:szCs w:val="18"/>
              </w:rPr>
              <w:t>未按照要求改正且未发生安全事故的</w:t>
            </w:r>
          </w:p>
        </w:tc>
        <w:tc>
          <w:tcPr>
            <w:tcW w:w="1150" w:type="dxa"/>
            <w:vMerge w:val="continue"/>
            <w:tcBorders>
              <w:top w:val="nil"/>
              <w:left w:val="single" w:color="auto" w:sz="4" w:space="0"/>
              <w:bottom w:val="single" w:color="auto" w:sz="4" w:space="0"/>
              <w:right w:val="single" w:color="auto" w:sz="4" w:space="0"/>
            </w:tcBorders>
            <w:vAlign w:val="center"/>
          </w:tcPr>
          <w:p w14:paraId="56157A9C">
            <w:pPr>
              <w:spacing w:line="320" w:lineRule="exact"/>
              <w:jc w:val="left"/>
              <w:rPr>
                <w:color w:val="000000"/>
                <w:kern w:val="0"/>
                <w:sz w:val="18"/>
                <w:szCs w:val="18"/>
              </w:rPr>
            </w:pPr>
          </w:p>
        </w:tc>
        <w:tc>
          <w:tcPr>
            <w:tcW w:w="5700" w:type="dxa"/>
            <w:tcBorders>
              <w:top w:val="nil"/>
              <w:left w:val="nil"/>
              <w:bottom w:val="single" w:color="auto" w:sz="4" w:space="0"/>
              <w:right w:val="single" w:color="auto" w:sz="8" w:space="0"/>
            </w:tcBorders>
            <w:vAlign w:val="center"/>
          </w:tcPr>
          <w:p w14:paraId="34B2F0F9">
            <w:pPr>
              <w:spacing w:line="320" w:lineRule="exact"/>
              <w:jc w:val="left"/>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万元以下罚款，责令停业整顿</w:t>
            </w:r>
          </w:p>
        </w:tc>
      </w:tr>
      <w:tr w14:paraId="6F47B6E8">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3B24B06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2CD31CE">
            <w:pPr>
              <w:spacing w:line="320" w:lineRule="exact"/>
              <w:jc w:val="left"/>
              <w:rPr>
                <w:color w:val="000000"/>
                <w:kern w:val="0"/>
                <w:sz w:val="18"/>
                <w:szCs w:val="18"/>
              </w:rPr>
            </w:pPr>
            <w:r>
              <w:rPr>
                <w:rFonts w:hint="eastAsia"/>
                <w:color w:val="000000"/>
                <w:kern w:val="0"/>
                <w:sz w:val="18"/>
                <w:szCs w:val="18"/>
              </w:rPr>
              <w:t>未按照要求改正且发生一般安全事故的</w:t>
            </w:r>
          </w:p>
        </w:tc>
        <w:tc>
          <w:tcPr>
            <w:tcW w:w="1150" w:type="dxa"/>
            <w:vMerge w:val="continue"/>
            <w:tcBorders>
              <w:top w:val="nil"/>
              <w:left w:val="single" w:color="auto" w:sz="4" w:space="0"/>
              <w:bottom w:val="single" w:color="auto" w:sz="4" w:space="0"/>
              <w:right w:val="single" w:color="auto" w:sz="4" w:space="0"/>
            </w:tcBorders>
            <w:vAlign w:val="center"/>
          </w:tcPr>
          <w:p w14:paraId="787B2EA3">
            <w:pPr>
              <w:spacing w:line="320" w:lineRule="exact"/>
              <w:jc w:val="left"/>
              <w:rPr>
                <w:color w:val="000000"/>
                <w:kern w:val="0"/>
                <w:sz w:val="18"/>
                <w:szCs w:val="18"/>
              </w:rPr>
            </w:pPr>
          </w:p>
        </w:tc>
        <w:tc>
          <w:tcPr>
            <w:tcW w:w="5700" w:type="dxa"/>
            <w:tcBorders>
              <w:top w:val="nil"/>
              <w:left w:val="nil"/>
              <w:bottom w:val="single" w:color="auto" w:sz="4" w:space="0"/>
              <w:right w:val="single" w:color="auto" w:sz="8" w:space="0"/>
            </w:tcBorders>
            <w:vAlign w:val="center"/>
          </w:tcPr>
          <w:p w14:paraId="3E059659">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万元以下罚款，责令停业整顿，降低资质等级</w:t>
            </w:r>
          </w:p>
        </w:tc>
      </w:tr>
      <w:tr w14:paraId="2757AB53">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6BEB34B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F61D819">
            <w:pPr>
              <w:spacing w:line="320" w:lineRule="exact"/>
              <w:jc w:val="left"/>
              <w:rPr>
                <w:color w:val="000000"/>
                <w:kern w:val="0"/>
                <w:sz w:val="18"/>
                <w:szCs w:val="18"/>
              </w:rPr>
            </w:pPr>
            <w:r>
              <w:rPr>
                <w:rFonts w:hint="eastAsia"/>
                <w:color w:val="000000"/>
                <w:kern w:val="0"/>
                <w:sz w:val="18"/>
                <w:szCs w:val="18"/>
              </w:rPr>
              <w:t>未按照要求改正且发生较大及以上等级安全事故的</w:t>
            </w:r>
          </w:p>
        </w:tc>
        <w:tc>
          <w:tcPr>
            <w:tcW w:w="1150" w:type="dxa"/>
            <w:vMerge w:val="continue"/>
            <w:tcBorders>
              <w:top w:val="nil"/>
              <w:left w:val="single" w:color="auto" w:sz="4" w:space="0"/>
              <w:bottom w:val="single" w:color="auto" w:sz="4" w:space="0"/>
              <w:right w:val="single" w:color="auto" w:sz="4" w:space="0"/>
            </w:tcBorders>
            <w:vAlign w:val="center"/>
          </w:tcPr>
          <w:p w14:paraId="1800584C">
            <w:pPr>
              <w:spacing w:line="320" w:lineRule="exact"/>
              <w:jc w:val="left"/>
              <w:rPr>
                <w:color w:val="000000"/>
                <w:kern w:val="0"/>
                <w:sz w:val="18"/>
                <w:szCs w:val="18"/>
              </w:rPr>
            </w:pPr>
          </w:p>
        </w:tc>
        <w:tc>
          <w:tcPr>
            <w:tcW w:w="5700" w:type="dxa"/>
            <w:tcBorders>
              <w:top w:val="nil"/>
              <w:left w:val="nil"/>
              <w:bottom w:val="single" w:color="auto" w:sz="4" w:space="0"/>
              <w:right w:val="single" w:color="auto" w:sz="8" w:space="0"/>
            </w:tcBorders>
            <w:vAlign w:val="center"/>
          </w:tcPr>
          <w:p w14:paraId="451433B1">
            <w:pPr>
              <w:spacing w:line="320" w:lineRule="exact"/>
              <w:jc w:val="left"/>
              <w:rPr>
                <w:color w:val="000000"/>
                <w:kern w:val="0"/>
                <w:sz w:val="18"/>
                <w:szCs w:val="18"/>
              </w:rPr>
            </w:pP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万元以下罚款，责令停业整顿，吊销资质证书</w:t>
            </w:r>
          </w:p>
        </w:tc>
      </w:tr>
    </w:tbl>
    <w:p w14:paraId="39F20B5F"/>
    <w:p w14:paraId="119B1159"/>
    <w:p w14:paraId="6471311F"/>
    <w:p w14:paraId="5D9B5FBA"/>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64DDA634">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00BCDA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6EC11D7C">
            <w:pPr>
              <w:jc w:val="left"/>
              <w:textAlignment w:val="center"/>
              <w:rPr>
                <w:rFonts w:eastAsia="仿宋_GB2312"/>
                <w:b/>
                <w:bCs/>
                <w:color w:val="000000"/>
                <w:kern w:val="0"/>
                <w:sz w:val="18"/>
                <w:szCs w:val="18"/>
              </w:rPr>
            </w:pPr>
            <w:r>
              <w:rPr>
                <w:rFonts w:eastAsia="仿宋_GB2312"/>
                <w:b/>
                <w:color w:val="000000"/>
                <w:kern w:val="0"/>
                <w:sz w:val="20"/>
              </w:rPr>
              <w:t>320217157000</w:t>
            </w:r>
          </w:p>
        </w:tc>
      </w:tr>
      <w:tr w14:paraId="4201AA0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9DF10E9">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29E3199B">
            <w:pPr>
              <w:spacing w:line="320" w:lineRule="exact"/>
              <w:jc w:val="left"/>
              <w:rPr>
                <w:color w:val="000000"/>
                <w:kern w:val="0"/>
                <w:sz w:val="18"/>
                <w:szCs w:val="18"/>
              </w:rPr>
            </w:pPr>
            <w:r>
              <w:rPr>
                <w:rFonts w:hint="eastAsia"/>
                <w:color w:val="000000"/>
                <w:kern w:val="0"/>
                <w:sz w:val="18"/>
                <w:szCs w:val="18"/>
              </w:rPr>
              <w:t>对注册建筑师未办理变更注册而继续执业的处罚</w:t>
            </w:r>
          </w:p>
        </w:tc>
      </w:tr>
      <w:tr w14:paraId="3FE173D0">
        <w:tblPrEx>
          <w:tblCellMar>
            <w:top w:w="0" w:type="dxa"/>
            <w:left w:w="108" w:type="dxa"/>
            <w:bottom w:w="0" w:type="dxa"/>
            <w:right w:w="108" w:type="dxa"/>
          </w:tblCellMar>
        </w:tblPrEx>
        <w:trPr>
          <w:trHeight w:val="1230" w:hRule="atLeast"/>
        </w:trPr>
        <w:tc>
          <w:tcPr>
            <w:tcW w:w="1056" w:type="dxa"/>
            <w:tcBorders>
              <w:top w:val="nil"/>
              <w:left w:val="single" w:color="auto" w:sz="8" w:space="0"/>
              <w:bottom w:val="single" w:color="auto" w:sz="4" w:space="0"/>
              <w:right w:val="single" w:color="auto" w:sz="4" w:space="0"/>
            </w:tcBorders>
            <w:vAlign w:val="center"/>
          </w:tcPr>
          <w:p w14:paraId="315E1DC0">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49BC8852">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第二十条第一款</w:t>
            </w:r>
            <w:r>
              <w:rPr>
                <w:color w:val="000000"/>
                <w:kern w:val="0"/>
                <w:sz w:val="18"/>
                <w:szCs w:val="18"/>
              </w:rPr>
              <w:t xml:space="preserve">  </w:t>
            </w:r>
            <w:r>
              <w:rPr>
                <w:rFonts w:hint="eastAsia"/>
                <w:color w:val="000000"/>
                <w:kern w:val="0"/>
                <w:sz w:val="18"/>
                <w:szCs w:val="18"/>
              </w:rPr>
              <w:t>注册建筑师变更执业单位，应当与原聘用单位解除劳动关系，并按照本细则第十五条规定的程序办理变更注册手续。变更注册后，仍延续原注册有效期。</w:t>
            </w:r>
            <w:r>
              <w:rPr>
                <w:color w:val="000000"/>
                <w:kern w:val="0"/>
                <w:sz w:val="18"/>
                <w:szCs w:val="18"/>
              </w:rPr>
              <w:br w:type="textWrapping"/>
            </w: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违反本细则，未办理变更注册而继续执业的，由县级以上人民政府建设主管部门责令限期改正；逾期未改正的，可处以</w:t>
            </w:r>
            <w:r>
              <w:rPr>
                <w:color w:val="000000"/>
                <w:kern w:val="0"/>
                <w:sz w:val="18"/>
                <w:szCs w:val="18"/>
              </w:rPr>
              <w:t>5000</w:t>
            </w:r>
            <w:r>
              <w:rPr>
                <w:rFonts w:hint="eastAsia"/>
                <w:color w:val="000000"/>
                <w:kern w:val="0"/>
                <w:sz w:val="18"/>
                <w:szCs w:val="18"/>
              </w:rPr>
              <w:t>元以下的罚款。</w:t>
            </w:r>
          </w:p>
        </w:tc>
      </w:tr>
      <w:tr w14:paraId="5FB83BB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9FDBEBB">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14513402">
            <w:pPr>
              <w:spacing w:line="320" w:lineRule="exact"/>
              <w:jc w:val="left"/>
              <w:rPr>
                <w:color w:val="000000"/>
                <w:kern w:val="0"/>
                <w:sz w:val="18"/>
                <w:szCs w:val="18"/>
              </w:rPr>
            </w:pPr>
            <w:r>
              <w:rPr>
                <w:rFonts w:hint="eastAsia"/>
                <w:color w:val="000000"/>
                <w:kern w:val="0"/>
                <w:sz w:val="18"/>
                <w:szCs w:val="18"/>
              </w:rPr>
              <w:t>责令限期整改，罚款</w:t>
            </w:r>
            <w:r>
              <w:rPr>
                <w:color w:val="000000"/>
                <w:kern w:val="0"/>
                <w:sz w:val="18"/>
                <w:szCs w:val="18"/>
              </w:rPr>
              <w:t xml:space="preserve"> </w:t>
            </w:r>
          </w:p>
        </w:tc>
      </w:tr>
      <w:tr w14:paraId="3AC201EC">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7D42C9C7">
            <w:pPr>
              <w:spacing w:line="320" w:lineRule="exact"/>
              <w:jc w:val="center"/>
              <w:rPr>
                <w:color w:val="000000"/>
                <w:kern w:val="0"/>
                <w:sz w:val="18"/>
                <w:szCs w:val="18"/>
              </w:rPr>
            </w:pPr>
            <w:r>
              <w:rPr>
                <w:rFonts w:hint="eastAsia"/>
                <w:color w:val="000000"/>
                <w:kern w:val="0"/>
                <w:sz w:val="18"/>
                <w:szCs w:val="18"/>
              </w:rPr>
              <w:t>裁量基准</w:t>
            </w:r>
          </w:p>
        </w:tc>
      </w:tr>
      <w:tr w14:paraId="4E34AF1C">
        <w:tblPrEx>
          <w:tblCellMar>
            <w:top w:w="0" w:type="dxa"/>
            <w:left w:w="108" w:type="dxa"/>
            <w:bottom w:w="0" w:type="dxa"/>
            <w:right w:w="108" w:type="dxa"/>
          </w:tblCellMar>
        </w:tblPrEx>
        <w:trPr>
          <w:trHeight w:val="285" w:hRule="atLeast"/>
        </w:trPr>
        <w:tc>
          <w:tcPr>
            <w:tcW w:w="1056" w:type="dxa"/>
            <w:vMerge w:val="restart"/>
            <w:tcBorders>
              <w:left w:val="single" w:color="auto" w:sz="8" w:space="0"/>
              <w:right w:val="single" w:color="auto" w:sz="4" w:space="0"/>
            </w:tcBorders>
            <w:vAlign w:val="center"/>
          </w:tcPr>
          <w:p w14:paraId="177C6E6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5871263">
            <w:pPr>
              <w:spacing w:line="320" w:lineRule="exact"/>
              <w:jc w:val="left"/>
              <w:rPr>
                <w:color w:val="000000"/>
                <w:kern w:val="0"/>
                <w:sz w:val="18"/>
                <w:szCs w:val="18"/>
              </w:rPr>
            </w:pPr>
            <w:r>
              <w:rPr>
                <w:rFonts w:hint="eastAsia"/>
                <w:color w:val="000000"/>
                <w:kern w:val="0"/>
                <w:sz w:val="18"/>
                <w:szCs w:val="18"/>
              </w:rPr>
              <w:t>逾期未改正且未在图纸上签章的</w:t>
            </w:r>
          </w:p>
        </w:tc>
        <w:tc>
          <w:tcPr>
            <w:tcW w:w="1044" w:type="dxa"/>
            <w:vMerge w:val="restart"/>
            <w:tcBorders>
              <w:left w:val="nil"/>
              <w:right w:val="single" w:color="auto" w:sz="4" w:space="0"/>
            </w:tcBorders>
            <w:vAlign w:val="center"/>
          </w:tcPr>
          <w:p w14:paraId="6D8BD89C">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nil"/>
              <w:bottom w:val="single" w:color="auto" w:sz="4" w:space="0"/>
              <w:right w:val="single" w:color="auto" w:sz="4" w:space="0"/>
            </w:tcBorders>
            <w:vAlign w:val="center"/>
          </w:tcPr>
          <w:p w14:paraId="7E2041C9">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2000</w:t>
            </w:r>
            <w:r>
              <w:rPr>
                <w:rFonts w:hint="eastAsia"/>
                <w:color w:val="000000"/>
                <w:kern w:val="0"/>
                <w:sz w:val="18"/>
                <w:szCs w:val="18"/>
              </w:rPr>
              <w:t>元以下罚款</w:t>
            </w:r>
          </w:p>
        </w:tc>
      </w:tr>
      <w:tr w14:paraId="40E5E8F3">
        <w:tblPrEx>
          <w:tblCellMar>
            <w:top w:w="0" w:type="dxa"/>
            <w:left w:w="108" w:type="dxa"/>
            <w:bottom w:w="0" w:type="dxa"/>
            <w:right w:w="108" w:type="dxa"/>
          </w:tblCellMar>
        </w:tblPrEx>
        <w:trPr>
          <w:trHeight w:val="285" w:hRule="atLeast"/>
        </w:trPr>
        <w:tc>
          <w:tcPr>
            <w:tcW w:w="1056" w:type="dxa"/>
            <w:vMerge w:val="continue"/>
            <w:tcBorders>
              <w:left w:val="single" w:color="auto" w:sz="8" w:space="0"/>
              <w:bottom w:val="single" w:color="auto" w:sz="4" w:space="0"/>
              <w:right w:val="single" w:color="auto" w:sz="4" w:space="0"/>
            </w:tcBorders>
            <w:vAlign w:val="center"/>
          </w:tcPr>
          <w:p w14:paraId="4F081F84">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60D0502">
            <w:pPr>
              <w:spacing w:line="320" w:lineRule="exact"/>
              <w:jc w:val="left"/>
              <w:rPr>
                <w:color w:val="000000"/>
                <w:kern w:val="0"/>
                <w:sz w:val="18"/>
                <w:szCs w:val="18"/>
              </w:rPr>
            </w:pPr>
            <w:r>
              <w:rPr>
                <w:rFonts w:hint="eastAsia"/>
                <w:color w:val="000000"/>
                <w:kern w:val="0"/>
                <w:sz w:val="18"/>
                <w:szCs w:val="18"/>
              </w:rPr>
              <w:t>逾期未改正且已在图纸上签章的</w:t>
            </w:r>
          </w:p>
        </w:tc>
        <w:tc>
          <w:tcPr>
            <w:tcW w:w="1044" w:type="dxa"/>
            <w:vMerge w:val="continue"/>
            <w:tcBorders>
              <w:left w:val="nil"/>
              <w:bottom w:val="single" w:color="auto" w:sz="4" w:space="0"/>
              <w:right w:val="single" w:color="auto" w:sz="4" w:space="0"/>
            </w:tcBorders>
            <w:vAlign w:val="center"/>
          </w:tcPr>
          <w:p w14:paraId="7A152DDA">
            <w:pPr>
              <w:spacing w:line="320" w:lineRule="exact"/>
              <w:rPr>
                <w:color w:val="000000"/>
                <w:kern w:val="0"/>
                <w:sz w:val="18"/>
                <w:szCs w:val="18"/>
              </w:rPr>
            </w:pPr>
          </w:p>
        </w:tc>
        <w:tc>
          <w:tcPr>
            <w:tcW w:w="5820" w:type="dxa"/>
            <w:tcBorders>
              <w:top w:val="single" w:color="auto" w:sz="4" w:space="0"/>
              <w:left w:val="nil"/>
              <w:bottom w:val="single" w:color="auto" w:sz="4" w:space="0"/>
              <w:right w:val="single" w:color="auto" w:sz="4" w:space="0"/>
            </w:tcBorders>
            <w:vAlign w:val="center"/>
          </w:tcPr>
          <w:p w14:paraId="65312A86">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5D704E0A"/>
    <w:p w14:paraId="5F7DD8EB"/>
    <w:p w14:paraId="25696720"/>
    <w:p w14:paraId="7656BD1D"/>
    <w:p w14:paraId="018021F3"/>
    <w:p w14:paraId="45E4E2E9"/>
    <w:p w14:paraId="3F4C1FF6"/>
    <w:p w14:paraId="5B351D31"/>
    <w:p w14:paraId="27E56B74"/>
    <w:p w14:paraId="503CF1C0"/>
    <w:p w14:paraId="71A82BA9"/>
    <w:p w14:paraId="0F10560B"/>
    <w:tbl>
      <w:tblPr>
        <w:tblStyle w:val="15"/>
        <w:tblW w:w="0" w:type="auto"/>
        <w:tblInd w:w="93" w:type="dxa"/>
        <w:tblLayout w:type="fixed"/>
        <w:tblCellMar>
          <w:top w:w="0" w:type="dxa"/>
          <w:left w:w="108" w:type="dxa"/>
          <w:bottom w:w="0" w:type="dxa"/>
          <w:right w:w="108" w:type="dxa"/>
        </w:tblCellMar>
      </w:tblPr>
      <w:tblGrid>
        <w:gridCol w:w="975"/>
        <w:gridCol w:w="30"/>
        <w:gridCol w:w="6110"/>
        <w:gridCol w:w="1000"/>
        <w:gridCol w:w="5910"/>
      </w:tblGrid>
      <w:tr w14:paraId="72B43FF1">
        <w:tblPrEx>
          <w:tblCellMar>
            <w:top w:w="0" w:type="dxa"/>
            <w:left w:w="108" w:type="dxa"/>
            <w:bottom w:w="0" w:type="dxa"/>
            <w:right w:w="108" w:type="dxa"/>
          </w:tblCellMar>
        </w:tblPrEx>
        <w:trPr>
          <w:trHeight w:val="285" w:hRule="atLeast"/>
        </w:trPr>
        <w:tc>
          <w:tcPr>
            <w:tcW w:w="1005" w:type="dxa"/>
            <w:gridSpan w:val="2"/>
            <w:tcBorders>
              <w:top w:val="single" w:color="auto" w:sz="8" w:space="0"/>
              <w:left w:val="single" w:color="auto" w:sz="8" w:space="0"/>
              <w:bottom w:val="single" w:color="auto" w:sz="4" w:space="0"/>
              <w:right w:val="single" w:color="auto" w:sz="4" w:space="0"/>
            </w:tcBorders>
            <w:vAlign w:val="center"/>
          </w:tcPr>
          <w:p w14:paraId="1B7F22F7">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1B1FC50F">
            <w:pPr>
              <w:spacing w:line="320" w:lineRule="exact"/>
              <w:jc w:val="left"/>
              <w:rPr>
                <w:rFonts w:eastAsia="仿宋_GB2312"/>
                <w:b/>
                <w:bCs/>
                <w:color w:val="000000"/>
                <w:kern w:val="0"/>
                <w:sz w:val="18"/>
                <w:szCs w:val="18"/>
              </w:rPr>
            </w:pPr>
            <w:r>
              <w:rPr>
                <w:rFonts w:eastAsia="仿宋_GB2312"/>
                <w:b/>
                <w:bCs/>
                <w:color w:val="000000"/>
                <w:kern w:val="0"/>
                <w:sz w:val="18"/>
                <w:szCs w:val="18"/>
              </w:rPr>
              <w:t>320217158000</w:t>
            </w:r>
            <w:r>
              <w:rPr>
                <w:rFonts w:hint="eastAsia" w:eastAsia="仿宋_GB2312"/>
                <w:b/>
                <w:bCs/>
                <w:color w:val="000000"/>
                <w:kern w:val="0"/>
                <w:sz w:val="18"/>
                <w:szCs w:val="18"/>
              </w:rPr>
              <w:t xml:space="preserve"> </w:t>
            </w:r>
          </w:p>
        </w:tc>
      </w:tr>
      <w:tr w14:paraId="6D9A0371">
        <w:tblPrEx>
          <w:tblCellMar>
            <w:top w:w="0" w:type="dxa"/>
            <w:left w:w="108" w:type="dxa"/>
            <w:bottom w:w="0" w:type="dxa"/>
            <w:right w:w="108" w:type="dxa"/>
          </w:tblCellMar>
        </w:tblPrEx>
        <w:trPr>
          <w:trHeight w:val="285" w:hRule="atLeast"/>
        </w:trPr>
        <w:tc>
          <w:tcPr>
            <w:tcW w:w="1005" w:type="dxa"/>
            <w:gridSpan w:val="2"/>
            <w:tcBorders>
              <w:top w:val="nil"/>
              <w:left w:val="single" w:color="auto" w:sz="8" w:space="0"/>
              <w:bottom w:val="single" w:color="auto" w:sz="4" w:space="0"/>
              <w:right w:val="single" w:color="auto" w:sz="4" w:space="0"/>
            </w:tcBorders>
            <w:vAlign w:val="center"/>
          </w:tcPr>
          <w:p w14:paraId="5806E64B">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373A0F0B">
            <w:pPr>
              <w:spacing w:line="320" w:lineRule="exact"/>
              <w:jc w:val="left"/>
              <w:rPr>
                <w:color w:val="000000"/>
                <w:kern w:val="0"/>
                <w:sz w:val="18"/>
                <w:szCs w:val="18"/>
              </w:rPr>
            </w:pPr>
            <w:r>
              <w:rPr>
                <w:rFonts w:hint="eastAsia"/>
                <w:color w:val="000000"/>
                <w:kern w:val="0"/>
                <w:sz w:val="18"/>
                <w:szCs w:val="18"/>
              </w:rPr>
              <w:t>对燃气经营者拒绝向市政燃气管网覆盖范围内符合用气条件的单位或者个人供气的处罚</w:t>
            </w:r>
          </w:p>
        </w:tc>
      </w:tr>
      <w:tr w14:paraId="38B4D37A">
        <w:tblPrEx>
          <w:tblCellMar>
            <w:top w:w="0" w:type="dxa"/>
            <w:left w:w="108" w:type="dxa"/>
            <w:bottom w:w="0" w:type="dxa"/>
            <w:right w:w="108" w:type="dxa"/>
          </w:tblCellMar>
        </w:tblPrEx>
        <w:trPr>
          <w:trHeight w:val="488" w:hRule="atLeast"/>
        </w:trPr>
        <w:tc>
          <w:tcPr>
            <w:tcW w:w="1005" w:type="dxa"/>
            <w:gridSpan w:val="2"/>
            <w:tcBorders>
              <w:top w:val="nil"/>
              <w:left w:val="single" w:color="auto" w:sz="8" w:space="0"/>
              <w:bottom w:val="single" w:color="auto" w:sz="4" w:space="0"/>
              <w:right w:val="single" w:color="auto" w:sz="4" w:space="0"/>
            </w:tcBorders>
            <w:vAlign w:val="center"/>
          </w:tcPr>
          <w:p w14:paraId="40164C1F">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7EC540DF">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（一）拒绝向市政燃气管网覆盖范围内符合用气条件的单位或者个人供气。</w:t>
            </w:r>
            <w:r>
              <w:rPr>
                <w:color w:val="000000"/>
                <w:kern w:val="0"/>
                <w:sz w:val="18"/>
                <w:szCs w:val="18"/>
              </w:rPr>
              <w:br w:type="textWrapping"/>
            </w: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（一）拒绝向市政燃气管网覆盖范围内符合用气条件的单位或者个人供气的。</w:t>
            </w:r>
          </w:p>
        </w:tc>
      </w:tr>
      <w:tr w14:paraId="401463AF">
        <w:tblPrEx>
          <w:tblCellMar>
            <w:top w:w="0" w:type="dxa"/>
            <w:left w:w="108" w:type="dxa"/>
            <w:bottom w:w="0" w:type="dxa"/>
            <w:right w:w="108" w:type="dxa"/>
          </w:tblCellMar>
        </w:tblPrEx>
        <w:trPr>
          <w:trHeight w:val="285" w:hRule="atLeast"/>
        </w:trPr>
        <w:tc>
          <w:tcPr>
            <w:tcW w:w="1005" w:type="dxa"/>
            <w:gridSpan w:val="2"/>
            <w:tcBorders>
              <w:top w:val="nil"/>
              <w:left w:val="single" w:color="auto" w:sz="8" w:space="0"/>
              <w:bottom w:val="single" w:color="auto" w:sz="4" w:space="0"/>
              <w:right w:val="single" w:color="auto" w:sz="4" w:space="0"/>
            </w:tcBorders>
            <w:vAlign w:val="center"/>
          </w:tcPr>
          <w:p w14:paraId="0A99C69E">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31504B00">
            <w:pPr>
              <w:spacing w:line="320" w:lineRule="exact"/>
              <w:jc w:val="left"/>
              <w:rPr>
                <w:color w:val="000000"/>
                <w:kern w:val="0"/>
                <w:sz w:val="18"/>
                <w:szCs w:val="18"/>
              </w:rPr>
            </w:pPr>
            <w:r>
              <w:rPr>
                <w:rFonts w:hint="eastAsia"/>
                <w:color w:val="000000"/>
                <w:kern w:val="0"/>
                <w:sz w:val="18"/>
                <w:szCs w:val="18"/>
              </w:rPr>
              <w:t>罚款，没收违法所得，吊销许可证</w:t>
            </w:r>
          </w:p>
        </w:tc>
      </w:tr>
      <w:tr w14:paraId="22880E08">
        <w:tblPrEx>
          <w:tblCellMar>
            <w:top w:w="0" w:type="dxa"/>
            <w:left w:w="108" w:type="dxa"/>
            <w:bottom w:w="0" w:type="dxa"/>
            <w:right w:w="108" w:type="dxa"/>
          </w:tblCellMar>
        </w:tblPrEx>
        <w:trPr>
          <w:trHeight w:val="285" w:hRule="atLeast"/>
        </w:trPr>
        <w:tc>
          <w:tcPr>
            <w:tcW w:w="14025" w:type="dxa"/>
            <w:gridSpan w:val="5"/>
            <w:tcBorders>
              <w:top w:val="single" w:color="auto" w:sz="4" w:space="0"/>
              <w:left w:val="single" w:color="auto" w:sz="8" w:space="0"/>
              <w:bottom w:val="single" w:color="auto" w:sz="4" w:space="0"/>
              <w:right w:val="single" w:color="000000" w:sz="8" w:space="0"/>
            </w:tcBorders>
            <w:vAlign w:val="center"/>
          </w:tcPr>
          <w:p w14:paraId="3C5DE296">
            <w:pPr>
              <w:spacing w:line="320" w:lineRule="exact"/>
              <w:jc w:val="center"/>
              <w:rPr>
                <w:color w:val="000000"/>
                <w:kern w:val="0"/>
                <w:sz w:val="18"/>
                <w:szCs w:val="18"/>
              </w:rPr>
            </w:pPr>
            <w:r>
              <w:rPr>
                <w:rFonts w:hint="eastAsia"/>
                <w:color w:val="000000"/>
                <w:kern w:val="0"/>
                <w:sz w:val="18"/>
                <w:szCs w:val="18"/>
              </w:rPr>
              <w:t>裁量基准</w:t>
            </w:r>
          </w:p>
        </w:tc>
      </w:tr>
      <w:tr w14:paraId="1F309FAA">
        <w:tblPrEx>
          <w:tblCellMar>
            <w:top w:w="0" w:type="dxa"/>
            <w:left w:w="108" w:type="dxa"/>
            <w:bottom w:w="0" w:type="dxa"/>
            <w:right w:w="108" w:type="dxa"/>
          </w:tblCellMar>
        </w:tblPrEx>
        <w:trPr>
          <w:trHeight w:val="285" w:hRule="atLeast"/>
        </w:trPr>
        <w:tc>
          <w:tcPr>
            <w:tcW w:w="975" w:type="dxa"/>
            <w:vMerge w:val="restart"/>
            <w:tcBorders>
              <w:top w:val="nil"/>
              <w:left w:val="single" w:color="auto" w:sz="8" w:space="0"/>
              <w:bottom w:val="single" w:color="auto" w:sz="4" w:space="0"/>
              <w:right w:val="single" w:color="auto" w:sz="4" w:space="0"/>
            </w:tcBorders>
            <w:vAlign w:val="center"/>
          </w:tcPr>
          <w:p w14:paraId="22F72231">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5A8DFC2E">
            <w:pPr>
              <w:spacing w:line="320" w:lineRule="exact"/>
              <w:jc w:val="left"/>
              <w:rPr>
                <w:color w:val="000000"/>
                <w:kern w:val="0"/>
                <w:sz w:val="18"/>
                <w:szCs w:val="18"/>
              </w:rPr>
            </w:pPr>
            <w:r>
              <w:rPr>
                <w:rFonts w:hint="eastAsia"/>
                <w:color w:val="000000"/>
                <w:kern w:val="0"/>
                <w:sz w:val="18"/>
                <w:szCs w:val="18"/>
              </w:rPr>
              <w:t>按照要求已改正的</w:t>
            </w:r>
          </w:p>
        </w:tc>
        <w:tc>
          <w:tcPr>
            <w:tcW w:w="1000" w:type="dxa"/>
            <w:vMerge w:val="restart"/>
            <w:tcBorders>
              <w:top w:val="nil"/>
              <w:left w:val="single" w:color="auto" w:sz="4" w:space="0"/>
              <w:bottom w:val="single" w:color="auto" w:sz="4" w:space="0"/>
              <w:right w:val="single" w:color="auto" w:sz="4" w:space="0"/>
            </w:tcBorders>
            <w:vAlign w:val="center"/>
          </w:tcPr>
          <w:p w14:paraId="049937AD">
            <w:pPr>
              <w:spacing w:line="320" w:lineRule="exact"/>
              <w:jc w:val="center"/>
              <w:rPr>
                <w:color w:val="000000"/>
                <w:kern w:val="0"/>
                <w:sz w:val="18"/>
                <w:szCs w:val="18"/>
              </w:rPr>
            </w:pPr>
            <w:r>
              <w:rPr>
                <w:rFonts w:hint="eastAsia"/>
                <w:color w:val="000000"/>
                <w:kern w:val="0"/>
                <w:sz w:val="18"/>
                <w:szCs w:val="18"/>
              </w:rPr>
              <w:t>裁量幅度</w:t>
            </w:r>
          </w:p>
        </w:tc>
        <w:tc>
          <w:tcPr>
            <w:tcW w:w="5910" w:type="dxa"/>
            <w:tcBorders>
              <w:top w:val="nil"/>
              <w:left w:val="nil"/>
              <w:bottom w:val="single" w:color="auto" w:sz="4" w:space="0"/>
              <w:right w:val="single" w:color="auto" w:sz="8" w:space="0"/>
            </w:tcBorders>
            <w:vAlign w:val="center"/>
          </w:tcPr>
          <w:p w14:paraId="757E96E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201D16DA">
        <w:tblPrEx>
          <w:tblCellMar>
            <w:top w:w="0" w:type="dxa"/>
            <w:left w:w="108" w:type="dxa"/>
            <w:bottom w:w="0" w:type="dxa"/>
            <w:right w:w="108" w:type="dxa"/>
          </w:tblCellMar>
        </w:tblPrEx>
        <w:trPr>
          <w:trHeight w:val="285" w:hRule="atLeast"/>
        </w:trPr>
        <w:tc>
          <w:tcPr>
            <w:tcW w:w="975" w:type="dxa"/>
            <w:vMerge w:val="continue"/>
            <w:tcBorders>
              <w:top w:val="nil"/>
              <w:left w:val="single" w:color="auto" w:sz="8" w:space="0"/>
              <w:bottom w:val="single" w:color="auto" w:sz="4" w:space="0"/>
              <w:right w:val="single" w:color="auto" w:sz="4" w:space="0"/>
            </w:tcBorders>
            <w:vAlign w:val="center"/>
          </w:tcPr>
          <w:p w14:paraId="6A159836">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08E22FA1">
            <w:pPr>
              <w:spacing w:line="320" w:lineRule="exact"/>
              <w:jc w:val="left"/>
              <w:rPr>
                <w:color w:val="000000"/>
                <w:kern w:val="0"/>
                <w:sz w:val="18"/>
                <w:szCs w:val="18"/>
              </w:rPr>
            </w:pPr>
            <w:r>
              <w:rPr>
                <w:rFonts w:hint="eastAsia"/>
                <w:color w:val="000000"/>
                <w:kern w:val="0"/>
                <w:sz w:val="18"/>
                <w:szCs w:val="18"/>
              </w:rPr>
              <w:t>未按照要求改正，且造成</w:t>
            </w:r>
            <w:r>
              <w:rPr>
                <w:color w:val="000000"/>
                <w:kern w:val="0"/>
                <w:sz w:val="18"/>
                <w:szCs w:val="18"/>
              </w:rPr>
              <w:t>10</w:t>
            </w:r>
            <w:r>
              <w:rPr>
                <w:rFonts w:hint="eastAsia"/>
                <w:color w:val="000000"/>
                <w:kern w:val="0"/>
                <w:sz w:val="18"/>
                <w:szCs w:val="18"/>
              </w:rPr>
              <w:t>家以下用户无法正常用气的</w:t>
            </w:r>
          </w:p>
        </w:tc>
        <w:tc>
          <w:tcPr>
            <w:tcW w:w="1000" w:type="dxa"/>
            <w:vMerge w:val="continue"/>
            <w:tcBorders>
              <w:top w:val="nil"/>
              <w:left w:val="single" w:color="auto" w:sz="4" w:space="0"/>
              <w:bottom w:val="single" w:color="auto" w:sz="4" w:space="0"/>
              <w:right w:val="single" w:color="auto" w:sz="4" w:space="0"/>
            </w:tcBorders>
            <w:vAlign w:val="center"/>
          </w:tcPr>
          <w:p w14:paraId="236E91BF">
            <w:pPr>
              <w:spacing w:line="320" w:lineRule="exact"/>
              <w:jc w:val="left"/>
              <w:rPr>
                <w:color w:val="000000"/>
                <w:kern w:val="0"/>
                <w:sz w:val="18"/>
                <w:szCs w:val="18"/>
              </w:rPr>
            </w:pPr>
          </w:p>
        </w:tc>
        <w:tc>
          <w:tcPr>
            <w:tcW w:w="5910" w:type="dxa"/>
            <w:tcBorders>
              <w:top w:val="nil"/>
              <w:left w:val="nil"/>
              <w:bottom w:val="single" w:color="auto" w:sz="4" w:space="0"/>
              <w:right w:val="single" w:color="auto" w:sz="8" w:space="0"/>
            </w:tcBorders>
            <w:vAlign w:val="center"/>
          </w:tcPr>
          <w:p w14:paraId="5D85C9A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47E2A30D">
        <w:tblPrEx>
          <w:tblCellMar>
            <w:top w:w="0" w:type="dxa"/>
            <w:left w:w="108" w:type="dxa"/>
            <w:bottom w:w="0" w:type="dxa"/>
            <w:right w:w="108" w:type="dxa"/>
          </w:tblCellMar>
        </w:tblPrEx>
        <w:trPr>
          <w:trHeight w:val="390" w:hRule="atLeast"/>
        </w:trPr>
        <w:tc>
          <w:tcPr>
            <w:tcW w:w="975" w:type="dxa"/>
            <w:vMerge w:val="continue"/>
            <w:tcBorders>
              <w:top w:val="nil"/>
              <w:left w:val="single" w:color="auto" w:sz="8" w:space="0"/>
              <w:bottom w:val="single" w:color="auto" w:sz="4" w:space="0"/>
              <w:right w:val="single" w:color="auto" w:sz="4" w:space="0"/>
            </w:tcBorders>
            <w:vAlign w:val="center"/>
          </w:tcPr>
          <w:p w14:paraId="25046F4F">
            <w:pPr>
              <w:spacing w:line="320" w:lineRule="exact"/>
              <w:jc w:val="left"/>
              <w:rPr>
                <w:color w:val="000000"/>
                <w:kern w:val="0"/>
                <w:sz w:val="18"/>
                <w:szCs w:val="18"/>
              </w:rPr>
            </w:pPr>
          </w:p>
        </w:tc>
        <w:tc>
          <w:tcPr>
            <w:tcW w:w="6140" w:type="dxa"/>
            <w:gridSpan w:val="2"/>
            <w:tcBorders>
              <w:top w:val="single" w:color="auto" w:sz="4" w:space="0"/>
              <w:left w:val="nil"/>
              <w:bottom w:val="single" w:color="auto" w:sz="8" w:space="0"/>
              <w:right w:val="single" w:color="auto" w:sz="4" w:space="0"/>
            </w:tcBorders>
            <w:vAlign w:val="center"/>
          </w:tcPr>
          <w:p w14:paraId="0DA20631">
            <w:pPr>
              <w:spacing w:line="320" w:lineRule="exact"/>
              <w:jc w:val="left"/>
              <w:rPr>
                <w:color w:val="000000"/>
                <w:kern w:val="0"/>
                <w:sz w:val="18"/>
                <w:szCs w:val="18"/>
              </w:rPr>
            </w:pPr>
            <w:r>
              <w:rPr>
                <w:rFonts w:hint="eastAsia"/>
                <w:color w:val="000000"/>
                <w:kern w:val="0"/>
                <w:sz w:val="18"/>
                <w:szCs w:val="18"/>
              </w:rPr>
              <w:t>未按照要求改正，且造成</w:t>
            </w:r>
            <w:r>
              <w:rPr>
                <w:color w:val="000000"/>
                <w:kern w:val="0"/>
                <w:sz w:val="18"/>
                <w:szCs w:val="18"/>
              </w:rPr>
              <w:t>10</w:t>
            </w:r>
            <w:r>
              <w:rPr>
                <w:rFonts w:hint="eastAsia"/>
                <w:color w:val="000000"/>
                <w:kern w:val="0"/>
                <w:sz w:val="18"/>
                <w:szCs w:val="18"/>
              </w:rPr>
              <w:t>家以上用户无法正常用气的</w:t>
            </w:r>
          </w:p>
        </w:tc>
        <w:tc>
          <w:tcPr>
            <w:tcW w:w="1000" w:type="dxa"/>
            <w:vMerge w:val="continue"/>
            <w:tcBorders>
              <w:top w:val="nil"/>
              <w:left w:val="single" w:color="auto" w:sz="4" w:space="0"/>
              <w:bottom w:val="single" w:color="auto" w:sz="4" w:space="0"/>
              <w:right w:val="single" w:color="auto" w:sz="4" w:space="0"/>
            </w:tcBorders>
            <w:vAlign w:val="center"/>
          </w:tcPr>
          <w:p w14:paraId="0EB0261D">
            <w:pPr>
              <w:spacing w:line="320" w:lineRule="exact"/>
              <w:jc w:val="left"/>
              <w:rPr>
                <w:color w:val="000000"/>
                <w:kern w:val="0"/>
                <w:sz w:val="18"/>
                <w:szCs w:val="18"/>
              </w:rPr>
            </w:pPr>
          </w:p>
        </w:tc>
        <w:tc>
          <w:tcPr>
            <w:tcW w:w="5910" w:type="dxa"/>
            <w:tcBorders>
              <w:top w:val="single" w:color="auto" w:sz="4" w:space="0"/>
              <w:left w:val="nil"/>
              <w:bottom w:val="single" w:color="auto" w:sz="4" w:space="0"/>
              <w:right w:val="single" w:color="auto" w:sz="8" w:space="0"/>
            </w:tcBorders>
            <w:vAlign w:val="center"/>
          </w:tcPr>
          <w:p w14:paraId="62CA607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14:paraId="754EB922"/>
    <w:p w14:paraId="35E09676"/>
    <w:p w14:paraId="67056957"/>
    <w:p w14:paraId="3BDDD8B7"/>
    <w:p w14:paraId="0BD63E58"/>
    <w:p w14:paraId="17A9EB48"/>
    <w:p w14:paraId="5ED9664D"/>
    <w:p w14:paraId="3B4F0BA1"/>
    <w:tbl>
      <w:tblPr>
        <w:tblStyle w:val="15"/>
        <w:tblW w:w="0" w:type="auto"/>
        <w:tblInd w:w="88" w:type="dxa"/>
        <w:tblLayout w:type="fixed"/>
        <w:tblCellMar>
          <w:top w:w="0" w:type="dxa"/>
          <w:left w:w="108" w:type="dxa"/>
          <w:bottom w:w="0" w:type="dxa"/>
          <w:right w:w="108" w:type="dxa"/>
        </w:tblCellMar>
      </w:tblPr>
      <w:tblGrid>
        <w:gridCol w:w="980"/>
        <w:gridCol w:w="25"/>
        <w:gridCol w:w="6115"/>
        <w:gridCol w:w="1000"/>
        <w:gridCol w:w="5905"/>
        <w:gridCol w:w="51"/>
      </w:tblGrid>
      <w:tr w14:paraId="1289BB01">
        <w:tblPrEx>
          <w:tblCellMar>
            <w:top w:w="0" w:type="dxa"/>
            <w:left w:w="108" w:type="dxa"/>
            <w:bottom w:w="0" w:type="dxa"/>
            <w:right w:w="108" w:type="dxa"/>
          </w:tblCellMar>
        </w:tblPrEx>
        <w:trPr>
          <w:gridAfter w:val="1"/>
          <w:wAfter w:w="51" w:type="dxa"/>
          <w:trHeight w:val="285" w:hRule="atLeast"/>
        </w:trPr>
        <w:tc>
          <w:tcPr>
            <w:tcW w:w="1005" w:type="dxa"/>
            <w:gridSpan w:val="2"/>
            <w:tcBorders>
              <w:top w:val="single" w:color="auto" w:sz="8" w:space="0"/>
              <w:left w:val="single" w:color="auto" w:sz="8" w:space="0"/>
              <w:bottom w:val="single" w:color="auto" w:sz="4" w:space="0"/>
              <w:right w:val="single" w:color="auto" w:sz="4" w:space="0"/>
            </w:tcBorders>
            <w:vAlign w:val="center"/>
          </w:tcPr>
          <w:p w14:paraId="358DF5B6">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116F32CD">
            <w:pPr>
              <w:spacing w:line="320" w:lineRule="exact"/>
              <w:jc w:val="left"/>
              <w:rPr>
                <w:rFonts w:eastAsia="仿宋_GB2312"/>
                <w:b/>
                <w:bCs/>
                <w:color w:val="000000"/>
                <w:kern w:val="0"/>
                <w:sz w:val="18"/>
                <w:szCs w:val="18"/>
              </w:rPr>
            </w:pPr>
            <w:r>
              <w:rPr>
                <w:rFonts w:eastAsia="仿宋_GB2312"/>
                <w:b/>
                <w:bCs/>
                <w:color w:val="000000"/>
                <w:kern w:val="0"/>
                <w:sz w:val="18"/>
                <w:szCs w:val="18"/>
              </w:rPr>
              <w:t>320217159000</w:t>
            </w:r>
            <w:r>
              <w:rPr>
                <w:rFonts w:hint="eastAsia" w:eastAsia="仿宋_GB2312"/>
                <w:b/>
                <w:bCs/>
                <w:color w:val="000000"/>
                <w:kern w:val="0"/>
                <w:sz w:val="18"/>
                <w:szCs w:val="18"/>
              </w:rPr>
              <w:t xml:space="preserve"> </w:t>
            </w:r>
          </w:p>
        </w:tc>
      </w:tr>
      <w:tr w14:paraId="2079F694">
        <w:tblPrEx>
          <w:tblCellMar>
            <w:top w:w="0" w:type="dxa"/>
            <w:left w:w="108" w:type="dxa"/>
            <w:bottom w:w="0" w:type="dxa"/>
            <w:right w:w="108" w:type="dxa"/>
          </w:tblCellMar>
        </w:tblPrEx>
        <w:trPr>
          <w:gridAfter w:val="1"/>
          <w:wAfter w:w="51" w:type="dxa"/>
          <w:trHeight w:val="285" w:hRule="atLeast"/>
        </w:trPr>
        <w:tc>
          <w:tcPr>
            <w:tcW w:w="1005" w:type="dxa"/>
            <w:gridSpan w:val="2"/>
            <w:tcBorders>
              <w:top w:val="nil"/>
              <w:left w:val="single" w:color="auto" w:sz="8" w:space="0"/>
              <w:bottom w:val="single" w:color="auto" w:sz="4" w:space="0"/>
              <w:right w:val="single" w:color="auto" w:sz="4" w:space="0"/>
            </w:tcBorders>
            <w:vAlign w:val="center"/>
          </w:tcPr>
          <w:p w14:paraId="68E8D50D">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color="auto" w:sz="4" w:space="0"/>
              <w:left w:val="nil"/>
              <w:bottom w:val="single" w:color="auto" w:sz="4" w:space="0"/>
              <w:right w:val="single" w:color="000000" w:sz="8" w:space="0"/>
            </w:tcBorders>
            <w:vAlign w:val="center"/>
          </w:tcPr>
          <w:p w14:paraId="3C6A1C7F">
            <w:pPr>
              <w:spacing w:line="320" w:lineRule="exact"/>
              <w:jc w:val="left"/>
              <w:rPr>
                <w:color w:val="000000"/>
                <w:kern w:val="0"/>
                <w:sz w:val="18"/>
                <w:szCs w:val="18"/>
              </w:rPr>
            </w:pPr>
            <w:r>
              <w:rPr>
                <w:rFonts w:hint="eastAsia"/>
                <w:color w:val="000000"/>
                <w:kern w:val="0"/>
                <w:sz w:val="18"/>
                <w:szCs w:val="18"/>
              </w:rPr>
              <w:t>对燃气经营者倒卖、抵押、出租、出借、转让、涂改燃气经营许可证的处罚</w:t>
            </w:r>
          </w:p>
        </w:tc>
      </w:tr>
      <w:tr w14:paraId="286885C8">
        <w:tblPrEx>
          <w:tblCellMar>
            <w:top w:w="0" w:type="dxa"/>
            <w:left w:w="108" w:type="dxa"/>
            <w:bottom w:w="0" w:type="dxa"/>
            <w:right w:w="108" w:type="dxa"/>
          </w:tblCellMar>
        </w:tblPrEx>
        <w:trPr>
          <w:gridAfter w:val="1"/>
          <w:wAfter w:w="51" w:type="dxa"/>
          <w:trHeight w:val="1575" w:hRule="atLeast"/>
        </w:trPr>
        <w:tc>
          <w:tcPr>
            <w:tcW w:w="1005" w:type="dxa"/>
            <w:gridSpan w:val="2"/>
            <w:tcBorders>
              <w:top w:val="nil"/>
              <w:left w:val="single" w:color="auto" w:sz="8" w:space="0"/>
              <w:bottom w:val="single" w:color="auto" w:sz="4" w:space="0"/>
              <w:right w:val="single" w:color="auto" w:sz="4" w:space="0"/>
            </w:tcBorders>
            <w:vAlign w:val="center"/>
          </w:tcPr>
          <w:p w14:paraId="2CC75D20">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708D95D9">
            <w:pPr>
              <w:spacing w:line="320" w:lineRule="exact"/>
              <w:jc w:val="left"/>
              <w:rPr>
                <w:color w:val="000000"/>
              </w:rPr>
            </w:pPr>
            <w:r>
              <w:rPr>
                <w:rFonts w:hint="eastAsia"/>
                <w:color w:val="000000"/>
              </w:rPr>
              <w:t>【行政法规】《城镇燃气管理条例》（国务院令第</w:t>
            </w:r>
            <w:r>
              <w:rPr>
                <w:color w:val="000000"/>
              </w:rPr>
              <w:t>583</w:t>
            </w:r>
            <w:r>
              <w:rPr>
                <w:rFonts w:hint="eastAsia"/>
                <w:color w:val="000000"/>
              </w:rPr>
              <w:t>号）</w:t>
            </w:r>
          </w:p>
          <w:p w14:paraId="24509CB9">
            <w:pPr>
              <w:spacing w:line="320" w:lineRule="exact"/>
              <w:jc w:val="left"/>
              <w:rPr>
                <w:color w:val="000000"/>
              </w:rPr>
            </w:pPr>
            <w:r>
              <w:rPr>
                <w:rFonts w:hint="eastAsia"/>
                <w:color w:val="000000"/>
              </w:rPr>
              <w:t>第十八条</w:t>
            </w:r>
            <w:r>
              <w:rPr>
                <w:color w:val="000000"/>
              </w:rPr>
              <w:t xml:space="preserve"> </w:t>
            </w:r>
            <w:r>
              <w:rPr>
                <w:rFonts w:hint="eastAsia"/>
                <w:color w:val="000000"/>
              </w:rPr>
              <w:t>燃气经营者不得有下列行为：</w:t>
            </w:r>
          </w:p>
          <w:p w14:paraId="79F12BE8">
            <w:pPr>
              <w:spacing w:line="320" w:lineRule="exact"/>
              <w:jc w:val="left"/>
              <w:rPr>
                <w:color w:val="000000"/>
              </w:rPr>
            </w:pPr>
            <w:r>
              <w:rPr>
                <w:color w:val="000000"/>
              </w:rPr>
              <w:t xml:space="preserve">   </w:t>
            </w:r>
            <w:r>
              <w:rPr>
                <w:rFonts w:hint="eastAsia"/>
                <w:color w:val="000000"/>
              </w:rPr>
              <w:t>（二）倒卖、抵押、出租、出借、转让、涂改燃气经营许可证。</w:t>
            </w:r>
          </w:p>
          <w:p w14:paraId="4083846A">
            <w:pPr>
              <w:spacing w:line="320" w:lineRule="exact"/>
              <w:jc w:val="left"/>
              <w:rPr>
                <w:color w:val="000000"/>
              </w:rPr>
            </w:pPr>
            <w:r>
              <w:rPr>
                <w:rFonts w:hint="eastAsia"/>
                <w:color w:val="000000"/>
              </w:rPr>
              <w:t>第四十六条</w:t>
            </w:r>
            <w:r>
              <w:rPr>
                <w:color w:val="000000"/>
              </w:rPr>
              <w:t xml:space="preserve"> </w:t>
            </w:r>
            <w:r>
              <w:rPr>
                <w:rFonts w:hint="eastAsia"/>
                <w:color w:val="000000"/>
              </w:rPr>
              <w:t>违反本条例规定，燃气经营者有下列行为之一的，由燃气管理部门责令限期改正，处</w:t>
            </w:r>
            <w:r>
              <w:rPr>
                <w:color w:val="000000"/>
              </w:rPr>
              <w:t>1</w:t>
            </w:r>
            <w:r>
              <w:rPr>
                <w:rFonts w:hint="eastAsia"/>
                <w:color w:val="000000"/>
              </w:rPr>
              <w:t>万元以上</w:t>
            </w:r>
            <w:r>
              <w:rPr>
                <w:color w:val="000000"/>
              </w:rPr>
              <w:t>10</w:t>
            </w:r>
            <w:r>
              <w:rPr>
                <w:rFonts w:hint="eastAsia"/>
                <w:color w:val="000000"/>
              </w:rPr>
              <w:t>万元以下罚款；有违法所得的，没收违法所得；情节严重的，吊销燃气经营许可证；造成损失的，依法承担赔偿责任；构成犯罪的，依法追究刑事责任：</w:t>
            </w:r>
          </w:p>
          <w:p w14:paraId="22E8D0D1">
            <w:pPr>
              <w:spacing w:line="320" w:lineRule="exact"/>
              <w:jc w:val="left"/>
              <w:rPr>
                <w:color w:val="000000"/>
                <w:kern w:val="0"/>
                <w:sz w:val="18"/>
                <w:szCs w:val="18"/>
              </w:rPr>
            </w:pPr>
            <w:r>
              <w:rPr>
                <w:color w:val="000000"/>
              </w:rPr>
              <w:t xml:space="preserve">   </w:t>
            </w:r>
            <w:r>
              <w:rPr>
                <w:rFonts w:hint="eastAsia"/>
                <w:color w:val="000000"/>
              </w:rPr>
              <w:t>（二）倒卖、抵押、出租、出借、转让、涂改燃气经营许可证的。</w:t>
            </w:r>
          </w:p>
        </w:tc>
      </w:tr>
      <w:tr w14:paraId="48D20756">
        <w:tblPrEx>
          <w:tblCellMar>
            <w:top w:w="0" w:type="dxa"/>
            <w:left w:w="108" w:type="dxa"/>
            <w:bottom w:w="0" w:type="dxa"/>
            <w:right w:w="108" w:type="dxa"/>
          </w:tblCellMar>
        </w:tblPrEx>
        <w:trPr>
          <w:gridAfter w:val="1"/>
          <w:wAfter w:w="51" w:type="dxa"/>
          <w:trHeight w:val="285" w:hRule="atLeast"/>
        </w:trPr>
        <w:tc>
          <w:tcPr>
            <w:tcW w:w="1005" w:type="dxa"/>
            <w:gridSpan w:val="2"/>
            <w:tcBorders>
              <w:top w:val="nil"/>
              <w:left w:val="single" w:color="auto" w:sz="8" w:space="0"/>
              <w:bottom w:val="single" w:color="auto" w:sz="4" w:space="0"/>
              <w:right w:val="single" w:color="auto" w:sz="4" w:space="0"/>
            </w:tcBorders>
            <w:vAlign w:val="center"/>
          </w:tcPr>
          <w:p w14:paraId="1DFA17CC">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767A0ED3">
            <w:pPr>
              <w:spacing w:line="320" w:lineRule="exact"/>
              <w:jc w:val="left"/>
              <w:rPr>
                <w:color w:val="000000"/>
                <w:kern w:val="0"/>
                <w:sz w:val="18"/>
                <w:szCs w:val="18"/>
              </w:rPr>
            </w:pPr>
            <w:r>
              <w:rPr>
                <w:rFonts w:hint="eastAsia"/>
                <w:color w:val="000000"/>
                <w:kern w:val="0"/>
                <w:sz w:val="18"/>
                <w:szCs w:val="18"/>
              </w:rPr>
              <w:t>罚款，没收违法所得，吊销许可证</w:t>
            </w:r>
          </w:p>
        </w:tc>
      </w:tr>
      <w:tr w14:paraId="033C1F01">
        <w:tblPrEx>
          <w:tblCellMar>
            <w:top w:w="0" w:type="dxa"/>
            <w:left w:w="108" w:type="dxa"/>
            <w:bottom w:w="0" w:type="dxa"/>
            <w:right w:w="108" w:type="dxa"/>
          </w:tblCellMar>
        </w:tblPrEx>
        <w:trPr>
          <w:gridAfter w:val="1"/>
          <w:wAfter w:w="51" w:type="dxa"/>
          <w:trHeight w:val="285" w:hRule="atLeast"/>
        </w:trPr>
        <w:tc>
          <w:tcPr>
            <w:tcW w:w="14025" w:type="dxa"/>
            <w:gridSpan w:val="5"/>
            <w:tcBorders>
              <w:top w:val="single" w:color="auto" w:sz="4" w:space="0"/>
              <w:left w:val="single" w:color="auto" w:sz="8" w:space="0"/>
              <w:bottom w:val="single" w:color="auto" w:sz="4" w:space="0"/>
              <w:right w:val="single" w:color="000000" w:sz="8" w:space="0"/>
            </w:tcBorders>
            <w:vAlign w:val="center"/>
          </w:tcPr>
          <w:p w14:paraId="017D13A6">
            <w:pPr>
              <w:spacing w:line="320" w:lineRule="exact"/>
              <w:jc w:val="center"/>
              <w:rPr>
                <w:color w:val="000000"/>
                <w:kern w:val="0"/>
                <w:sz w:val="18"/>
                <w:szCs w:val="18"/>
              </w:rPr>
            </w:pPr>
            <w:r>
              <w:rPr>
                <w:rFonts w:hint="eastAsia"/>
                <w:color w:val="000000"/>
                <w:kern w:val="0"/>
                <w:sz w:val="18"/>
                <w:szCs w:val="18"/>
              </w:rPr>
              <w:t>裁量基准</w:t>
            </w:r>
          </w:p>
        </w:tc>
      </w:tr>
      <w:tr w14:paraId="7A6F6987">
        <w:tblPrEx>
          <w:tblCellMar>
            <w:top w:w="0" w:type="dxa"/>
            <w:left w:w="108" w:type="dxa"/>
            <w:bottom w:w="0" w:type="dxa"/>
            <w:right w:w="108" w:type="dxa"/>
          </w:tblCellMar>
        </w:tblPrEx>
        <w:trPr>
          <w:trHeight w:val="650" w:hRule="atLeast"/>
        </w:trPr>
        <w:tc>
          <w:tcPr>
            <w:tcW w:w="980" w:type="dxa"/>
            <w:vMerge w:val="restart"/>
            <w:tcBorders>
              <w:top w:val="nil"/>
              <w:left w:val="single" w:color="auto" w:sz="8" w:space="0"/>
              <w:bottom w:val="single" w:color="auto" w:sz="4" w:space="0"/>
              <w:right w:val="single" w:color="auto" w:sz="4" w:space="0"/>
            </w:tcBorders>
            <w:vAlign w:val="center"/>
          </w:tcPr>
          <w:p w14:paraId="6F643D9B">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right w:val="single" w:color="auto" w:sz="4" w:space="0"/>
            </w:tcBorders>
            <w:vAlign w:val="center"/>
          </w:tcPr>
          <w:p w14:paraId="7420A3DB">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color="auto" w:sz="4" w:space="0"/>
              <w:bottom w:val="single" w:color="auto" w:sz="4" w:space="0"/>
              <w:right w:val="single" w:color="auto" w:sz="4" w:space="0"/>
            </w:tcBorders>
            <w:vAlign w:val="center"/>
          </w:tcPr>
          <w:p w14:paraId="6757184A">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color="auto" w:sz="8" w:space="0"/>
            </w:tcBorders>
            <w:vAlign w:val="center"/>
          </w:tcPr>
          <w:p w14:paraId="4A3017EB">
            <w:pPr>
              <w:spacing w:line="320" w:lineRule="exact"/>
              <w:jc w:val="left"/>
              <w:rPr>
                <w:color w:val="000000"/>
                <w:kern w:val="0"/>
                <w:sz w:val="18"/>
                <w:szCs w:val="18"/>
              </w:rPr>
            </w:pPr>
            <w:r>
              <w:rPr>
                <w:rFonts w:hint="eastAsia"/>
                <w:color w:val="000000"/>
                <w:kern w:val="0"/>
                <w:sz w:val="18"/>
                <w:szCs w:val="18"/>
              </w:rPr>
              <w:t>处1万元以上</w:t>
            </w:r>
            <w:r>
              <w:rPr>
                <w:color w:val="000000"/>
                <w:kern w:val="0"/>
                <w:sz w:val="18"/>
                <w:szCs w:val="18"/>
              </w:rPr>
              <w:t>3</w:t>
            </w:r>
            <w:r>
              <w:rPr>
                <w:rFonts w:hint="eastAsia"/>
                <w:color w:val="000000"/>
                <w:kern w:val="0"/>
                <w:sz w:val="18"/>
                <w:szCs w:val="18"/>
              </w:rPr>
              <w:t>万元以下罚款</w:t>
            </w:r>
          </w:p>
        </w:tc>
      </w:tr>
      <w:tr w14:paraId="1D149E10">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7DEB57D7">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6E902B3A">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7DD5CA93">
            <w:pPr>
              <w:spacing w:line="320" w:lineRule="exact"/>
              <w:jc w:val="left"/>
              <w:rPr>
                <w:color w:val="000000"/>
                <w:kern w:val="0"/>
                <w:sz w:val="18"/>
                <w:szCs w:val="18"/>
              </w:rPr>
            </w:pPr>
          </w:p>
        </w:tc>
        <w:tc>
          <w:tcPr>
            <w:tcW w:w="5956" w:type="dxa"/>
            <w:gridSpan w:val="2"/>
            <w:tcBorders>
              <w:top w:val="single" w:color="auto" w:sz="4" w:space="0"/>
              <w:left w:val="nil"/>
              <w:bottom w:val="single" w:color="auto" w:sz="4" w:space="0"/>
              <w:right w:val="single" w:color="auto" w:sz="8" w:space="0"/>
            </w:tcBorders>
            <w:vAlign w:val="center"/>
          </w:tcPr>
          <w:p w14:paraId="4309DC3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02895FED">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08FC345F">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519A84CD">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252A6AD1">
            <w:pPr>
              <w:spacing w:line="320" w:lineRule="exact"/>
              <w:jc w:val="left"/>
              <w:rPr>
                <w:color w:val="000000"/>
                <w:kern w:val="0"/>
                <w:sz w:val="18"/>
                <w:szCs w:val="18"/>
              </w:rPr>
            </w:pPr>
          </w:p>
        </w:tc>
        <w:tc>
          <w:tcPr>
            <w:tcW w:w="5956" w:type="dxa"/>
            <w:gridSpan w:val="2"/>
            <w:tcBorders>
              <w:top w:val="single" w:color="auto" w:sz="4" w:space="0"/>
              <w:left w:val="nil"/>
              <w:bottom w:val="single" w:color="auto" w:sz="4" w:space="0"/>
              <w:right w:val="single" w:color="auto" w:sz="8" w:space="0"/>
            </w:tcBorders>
            <w:vAlign w:val="center"/>
          </w:tcPr>
          <w:p w14:paraId="1F6EE40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14:paraId="6EEB9307"/>
    <w:p w14:paraId="1B41A921"/>
    <w:p w14:paraId="3D4CE758"/>
    <w:p w14:paraId="336C9A24"/>
    <w:p w14:paraId="2AE7776B"/>
    <w:p w14:paraId="68E6BF19"/>
    <w:p w14:paraId="264E5689"/>
    <w:p w14:paraId="16512C79"/>
    <w:tbl>
      <w:tblPr>
        <w:tblStyle w:val="15"/>
        <w:tblW w:w="0" w:type="auto"/>
        <w:tblInd w:w="88" w:type="dxa"/>
        <w:tblLayout w:type="fixed"/>
        <w:tblCellMar>
          <w:top w:w="0" w:type="dxa"/>
          <w:left w:w="108" w:type="dxa"/>
          <w:bottom w:w="0" w:type="dxa"/>
          <w:right w:w="108" w:type="dxa"/>
        </w:tblCellMar>
      </w:tblPr>
      <w:tblGrid>
        <w:gridCol w:w="1056"/>
        <w:gridCol w:w="6140"/>
        <w:gridCol w:w="1060"/>
        <w:gridCol w:w="5790"/>
      </w:tblGrid>
      <w:tr w14:paraId="1D612BD4">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A713655">
            <w:pPr>
              <w:rPr>
                <w:color w:val="000000"/>
              </w:rPr>
            </w:pPr>
            <w:r>
              <w:rPr>
                <w:rFonts w:hint="eastAsia"/>
                <w:color w:val="000000"/>
              </w:rPr>
              <w:t>编号</w:t>
            </w:r>
          </w:p>
        </w:tc>
        <w:tc>
          <w:tcPr>
            <w:tcW w:w="12990" w:type="dxa"/>
            <w:gridSpan w:val="3"/>
            <w:tcBorders>
              <w:top w:val="single" w:color="auto" w:sz="8" w:space="0"/>
              <w:left w:val="nil"/>
              <w:bottom w:val="single" w:color="auto" w:sz="4" w:space="0"/>
              <w:right w:val="single" w:color="000000" w:sz="8" w:space="0"/>
            </w:tcBorders>
            <w:vAlign w:val="center"/>
          </w:tcPr>
          <w:p w14:paraId="20C8C683">
            <w:pPr>
              <w:rPr>
                <w:b/>
                <w:bCs/>
                <w:color w:val="000000"/>
              </w:rPr>
            </w:pPr>
            <w:r>
              <w:rPr>
                <w:b/>
                <w:bCs/>
                <w:color w:val="000000"/>
              </w:rPr>
              <w:t>320217160000</w:t>
            </w:r>
            <w:r>
              <w:rPr>
                <w:rFonts w:hint="eastAsia"/>
                <w:b/>
                <w:bCs/>
                <w:color w:val="000000"/>
              </w:rPr>
              <w:t xml:space="preserve"> </w:t>
            </w:r>
          </w:p>
        </w:tc>
      </w:tr>
      <w:tr w14:paraId="46F10394">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0D14309">
            <w:pPr>
              <w:rPr>
                <w:color w:val="000000"/>
              </w:rPr>
            </w:pPr>
            <w:r>
              <w:rPr>
                <w:rFonts w:hint="eastAsia"/>
                <w:color w:val="000000"/>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2395FF83">
            <w:pPr>
              <w:rPr>
                <w:color w:val="000000"/>
              </w:rPr>
            </w:pPr>
            <w:r>
              <w:rPr>
                <w:rFonts w:hint="eastAsia"/>
                <w:color w:val="000000"/>
              </w:rPr>
              <w:t>对中标人无正当理由不与招标人订立合同，在签订合同时向招标人提出附加条件，或者不按照招标文件要求提交履约保证金的处罚</w:t>
            </w:r>
          </w:p>
        </w:tc>
      </w:tr>
      <w:tr w14:paraId="155B0C49">
        <w:tblPrEx>
          <w:tblCellMar>
            <w:top w:w="0" w:type="dxa"/>
            <w:left w:w="108" w:type="dxa"/>
            <w:bottom w:w="0" w:type="dxa"/>
            <w:right w:w="108" w:type="dxa"/>
          </w:tblCellMar>
        </w:tblPrEx>
        <w:trPr>
          <w:trHeight w:val="2067" w:hRule="atLeast"/>
        </w:trPr>
        <w:tc>
          <w:tcPr>
            <w:tcW w:w="1056" w:type="dxa"/>
            <w:tcBorders>
              <w:top w:val="nil"/>
              <w:left w:val="single" w:color="auto" w:sz="8" w:space="0"/>
              <w:bottom w:val="single" w:color="auto" w:sz="4" w:space="0"/>
              <w:right w:val="single" w:color="auto" w:sz="4" w:space="0"/>
            </w:tcBorders>
            <w:vAlign w:val="center"/>
          </w:tcPr>
          <w:p w14:paraId="2BB6C85A">
            <w:pPr>
              <w:rPr>
                <w:color w:val="000000"/>
              </w:rPr>
            </w:pPr>
            <w:r>
              <w:rPr>
                <w:rFonts w:hint="eastAsia"/>
                <w:color w:val="000000"/>
              </w:rPr>
              <w:t>法律依据</w:t>
            </w:r>
          </w:p>
        </w:tc>
        <w:tc>
          <w:tcPr>
            <w:tcW w:w="12990" w:type="dxa"/>
            <w:gridSpan w:val="3"/>
          </w:tcPr>
          <w:p w14:paraId="01A64CC0">
            <w:pPr>
              <w:rPr>
                <w:color w:val="000000"/>
              </w:rPr>
            </w:pPr>
            <w:r>
              <w:rPr>
                <w:rFonts w:hint="eastAsia"/>
                <w:color w:val="000000"/>
              </w:rPr>
              <w:t>【行政法规】《中华人民共和国招标投标法实施条例》（国务院令第</w:t>
            </w:r>
            <w:r>
              <w:rPr>
                <w:color w:val="000000"/>
              </w:rPr>
              <w:t>613</w:t>
            </w:r>
            <w:r>
              <w:rPr>
                <w:rFonts w:hint="eastAsia"/>
                <w:color w:val="000000"/>
              </w:rPr>
              <w:t>号）</w:t>
            </w:r>
            <w:r>
              <w:rPr>
                <w:color w:val="000000"/>
              </w:rPr>
              <w:br w:type="textWrapping"/>
            </w:r>
            <w:r>
              <w:rPr>
                <w:rFonts w:hint="eastAsia"/>
                <w:color w:val="000000"/>
              </w:rPr>
              <w:t>第七十四条　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w:t>
            </w:r>
            <w:r>
              <w:rPr>
                <w:color w:val="000000"/>
              </w:rPr>
              <w:t>10‰</w:t>
            </w:r>
            <w:r>
              <w:rPr>
                <w:rFonts w:hint="eastAsia"/>
                <w:color w:val="000000"/>
              </w:rPr>
              <w:t>以下的罚款。</w:t>
            </w:r>
            <w:r>
              <w:rPr>
                <w:color w:val="000000"/>
              </w:rPr>
              <w:br w:type="textWrapping"/>
            </w:r>
            <w:r>
              <w:rPr>
                <w:rFonts w:hint="eastAsia"/>
                <w:color w:val="000000"/>
              </w:rPr>
              <w:t>【规章】《评标委员会和评标方法暂行规定》（国家发展计划委员会、国家经济贸易委员会、建设部、铁道部、交通部、信息产业部、水利部令</w:t>
            </w:r>
            <w:r>
              <w:rPr>
                <w:color w:val="000000"/>
              </w:rPr>
              <w:t xml:space="preserve"> </w:t>
            </w:r>
            <w:r>
              <w:rPr>
                <w:rFonts w:hint="eastAsia"/>
                <w:color w:val="000000"/>
              </w:rPr>
              <w:t>第</w:t>
            </w:r>
            <w:r>
              <w:rPr>
                <w:color w:val="000000"/>
              </w:rPr>
              <w:t>12</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年令第</w:t>
            </w:r>
            <w:r>
              <w:rPr>
                <w:color w:val="000000"/>
              </w:rPr>
              <w:t>23</w:t>
            </w:r>
            <w:r>
              <w:rPr>
                <w:rFonts w:hint="eastAsia"/>
                <w:color w:val="000000"/>
              </w:rPr>
              <w:t>号修正）</w:t>
            </w:r>
            <w:r>
              <w:rPr>
                <w:color w:val="000000"/>
              </w:rPr>
              <w:br w:type="textWrapping"/>
            </w:r>
            <w:r>
              <w:rPr>
                <w:rFonts w:hint="eastAsia"/>
                <w:color w:val="000000"/>
              </w:rPr>
              <w:t>第五十七条</w:t>
            </w:r>
            <w:r>
              <w:rPr>
                <w:color w:val="000000"/>
              </w:rPr>
              <w:t xml:space="preserve"> </w:t>
            </w:r>
            <w:r>
              <w:rPr>
                <w:rFonts w:hint="eastAsia"/>
                <w:color w:val="000000"/>
              </w:rPr>
              <w:t>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１０</w:t>
            </w:r>
            <w:r>
              <w:rPr>
                <w:color w:val="000000"/>
              </w:rPr>
              <w:t>‰</w:t>
            </w:r>
            <w:r>
              <w:rPr>
                <w:rFonts w:hint="eastAsia"/>
                <w:color w:val="000000"/>
              </w:rPr>
              <w:t>以下的罚款。</w:t>
            </w:r>
            <w:r>
              <w:rPr>
                <w:color w:val="000000"/>
              </w:rPr>
              <w:t xml:space="preserve"> </w:t>
            </w:r>
          </w:p>
        </w:tc>
      </w:tr>
      <w:tr w14:paraId="1909CC8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D6FD5B0">
            <w:pPr>
              <w:rPr>
                <w:color w:val="000000"/>
              </w:rPr>
            </w:pPr>
            <w:r>
              <w:rPr>
                <w:rFonts w:hint="eastAsia"/>
                <w:color w:val="000000"/>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7A8A9696">
            <w:pPr>
              <w:rPr>
                <w:color w:val="000000"/>
              </w:rPr>
            </w:pPr>
            <w:r>
              <w:rPr>
                <w:rFonts w:hint="eastAsia"/>
                <w:color w:val="000000"/>
              </w:rPr>
              <w:t>罚款</w:t>
            </w:r>
          </w:p>
        </w:tc>
      </w:tr>
      <w:tr w14:paraId="27F40388">
        <w:tblPrEx>
          <w:tblCellMar>
            <w:top w:w="0" w:type="dxa"/>
            <w:left w:w="108" w:type="dxa"/>
            <w:bottom w:w="0" w:type="dxa"/>
            <w:right w:w="108" w:type="dxa"/>
          </w:tblCellMar>
        </w:tblPrEx>
        <w:trPr>
          <w:trHeight w:val="285" w:hRule="atLeast"/>
        </w:trPr>
        <w:tc>
          <w:tcPr>
            <w:tcW w:w="14046" w:type="dxa"/>
            <w:gridSpan w:val="4"/>
            <w:tcBorders>
              <w:top w:val="single" w:color="auto" w:sz="4" w:space="0"/>
              <w:left w:val="single" w:color="auto" w:sz="8" w:space="0"/>
              <w:bottom w:val="single" w:color="auto" w:sz="4" w:space="0"/>
              <w:right w:val="single" w:color="000000" w:sz="8" w:space="0"/>
            </w:tcBorders>
            <w:vAlign w:val="center"/>
          </w:tcPr>
          <w:p w14:paraId="240B1633">
            <w:pPr>
              <w:jc w:val="center"/>
              <w:rPr>
                <w:color w:val="000000"/>
              </w:rPr>
            </w:pPr>
            <w:r>
              <w:rPr>
                <w:rFonts w:hint="eastAsia"/>
                <w:color w:val="000000"/>
              </w:rPr>
              <w:t>裁量基准</w:t>
            </w:r>
          </w:p>
        </w:tc>
      </w:tr>
      <w:tr w14:paraId="065A62B9">
        <w:tblPrEx>
          <w:tblCellMar>
            <w:top w:w="0" w:type="dxa"/>
            <w:left w:w="108" w:type="dxa"/>
            <w:bottom w:w="0" w:type="dxa"/>
            <w:right w:w="108" w:type="dxa"/>
          </w:tblCellMar>
        </w:tblPrEx>
        <w:trPr>
          <w:trHeight w:val="807" w:hRule="atLeast"/>
        </w:trPr>
        <w:tc>
          <w:tcPr>
            <w:tcW w:w="1056" w:type="dxa"/>
            <w:vMerge w:val="restart"/>
            <w:tcBorders>
              <w:top w:val="nil"/>
              <w:left w:val="single" w:color="auto" w:sz="8" w:space="0"/>
              <w:right w:val="nil"/>
            </w:tcBorders>
            <w:vAlign w:val="center"/>
          </w:tcPr>
          <w:p w14:paraId="2F5229E5">
            <w:pPr>
              <w:rPr>
                <w:color w:val="000000"/>
              </w:rPr>
            </w:pPr>
            <w:r>
              <w:rPr>
                <w:rFonts w:hint="eastAsia"/>
                <w:color w:val="000000"/>
                <w:kern w:val="0"/>
                <w:sz w:val="18"/>
                <w:szCs w:val="18"/>
              </w:rPr>
              <w:t>情形描述</w:t>
            </w:r>
          </w:p>
        </w:tc>
        <w:tc>
          <w:tcPr>
            <w:tcW w:w="6140" w:type="dxa"/>
            <w:tcBorders>
              <w:top w:val="nil"/>
              <w:left w:val="single" w:color="auto" w:sz="4" w:space="0"/>
              <w:bottom w:val="single" w:color="000000" w:sz="4" w:space="0"/>
              <w:right w:val="single" w:color="auto" w:sz="4" w:space="0"/>
            </w:tcBorders>
            <w:vAlign w:val="center"/>
          </w:tcPr>
          <w:p w14:paraId="1BD56C15">
            <w:pPr>
              <w:rPr>
                <w:color w:val="000000"/>
              </w:rPr>
            </w:pPr>
            <w:r>
              <w:rPr>
                <w:rFonts w:hint="eastAsia"/>
                <w:color w:val="000000"/>
                <w:kern w:val="0"/>
                <w:sz w:val="18"/>
                <w:szCs w:val="18"/>
              </w:rPr>
              <w:t>中标通知书发出后，在签订合同时向招标人提出附加条件或者更改合同实质性内容的，或者拒不提交所要求的履约保证金</w:t>
            </w:r>
          </w:p>
        </w:tc>
        <w:tc>
          <w:tcPr>
            <w:tcW w:w="1060" w:type="dxa"/>
            <w:vMerge w:val="restart"/>
            <w:tcBorders>
              <w:top w:val="nil"/>
              <w:left w:val="single" w:color="auto" w:sz="4" w:space="0"/>
              <w:right w:val="single" w:color="auto" w:sz="4" w:space="0"/>
            </w:tcBorders>
            <w:vAlign w:val="center"/>
          </w:tcPr>
          <w:p w14:paraId="2F65DB8B">
            <w:pPr>
              <w:rPr>
                <w:color w:val="000000"/>
              </w:rPr>
            </w:pPr>
            <w:r>
              <w:rPr>
                <w:rFonts w:hint="eastAsia"/>
                <w:color w:val="000000"/>
                <w:kern w:val="0"/>
                <w:sz w:val="18"/>
                <w:szCs w:val="18"/>
              </w:rPr>
              <w:t>裁量幅度</w:t>
            </w:r>
          </w:p>
        </w:tc>
        <w:tc>
          <w:tcPr>
            <w:tcW w:w="5790" w:type="dxa"/>
            <w:tcBorders>
              <w:top w:val="nil"/>
              <w:left w:val="nil"/>
              <w:bottom w:val="single" w:color="auto" w:sz="4" w:space="0"/>
              <w:right w:val="single" w:color="auto" w:sz="8" w:space="0"/>
            </w:tcBorders>
            <w:vAlign w:val="center"/>
          </w:tcPr>
          <w:p w14:paraId="79FB7A30">
            <w:pPr>
              <w:rPr>
                <w:color w:val="000000"/>
              </w:rPr>
            </w:pPr>
            <w:r>
              <w:rPr>
                <w:rFonts w:hint="eastAsia"/>
                <w:color w:val="000000"/>
                <w:kern w:val="0"/>
                <w:sz w:val="18"/>
                <w:szCs w:val="18"/>
              </w:rPr>
              <w:t>处中标金额</w:t>
            </w:r>
            <w:r>
              <w:rPr>
                <w:color w:val="000000"/>
                <w:kern w:val="0"/>
                <w:sz w:val="18"/>
                <w:szCs w:val="18"/>
              </w:rPr>
              <w:t>5</w:t>
            </w:r>
            <w:r>
              <w:rPr>
                <w:color w:val="000000"/>
              </w:rPr>
              <w:t>‰</w:t>
            </w:r>
            <w:r>
              <w:rPr>
                <w:rFonts w:hint="eastAsia"/>
                <w:color w:val="000000"/>
                <w:kern w:val="0"/>
                <w:sz w:val="18"/>
                <w:szCs w:val="18"/>
              </w:rPr>
              <w:t>以下罚款</w:t>
            </w:r>
          </w:p>
        </w:tc>
      </w:tr>
      <w:tr w14:paraId="533B3933">
        <w:tblPrEx>
          <w:tblCellMar>
            <w:top w:w="0" w:type="dxa"/>
            <w:left w:w="108" w:type="dxa"/>
            <w:bottom w:w="0" w:type="dxa"/>
            <w:right w:w="108" w:type="dxa"/>
          </w:tblCellMar>
        </w:tblPrEx>
        <w:trPr>
          <w:trHeight w:val="680" w:hRule="atLeast"/>
        </w:trPr>
        <w:tc>
          <w:tcPr>
            <w:tcW w:w="1056" w:type="dxa"/>
            <w:vMerge w:val="continue"/>
            <w:tcBorders>
              <w:left w:val="single" w:color="auto" w:sz="8" w:space="0"/>
              <w:bottom w:val="single" w:color="000000" w:sz="4" w:space="0"/>
              <w:right w:val="nil"/>
            </w:tcBorders>
            <w:vAlign w:val="center"/>
          </w:tcPr>
          <w:p w14:paraId="46AA12FD">
            <w:pPr>
              <w:rPr>
                <w:color w:val="000000"/>
                <w:kern w:val="0"/>
                <w:sz w:val="18"/>
                <w:szCs w:val="18"/>
              </w:rPr>
            </w:pPr>
          </w:p>
        </w:tc>
        <w:tc>
          <w:tcPr>
            <w:tcW w:w="6140" w:type="dxa"/>
            <w:tcBorders>
              <w:top w:val="nil"/>
              <w:left w:val="single" w:color="auto" w:sz="4" w:space="0"/>
              <w:bottom w:val="single" w:color="000000" w:sz="4" w:space="0"/>
              <w:right w:val="single" w:color="auto" w:sz="4" w:space="0"/>
            </w:tcBorders>
            <w:vAlign w:val="center"/>
          </w:tcPr>
          <w:p w14:paraId="1A455FA8">
            <w:pPr>
              <w:rPr>
                <w:color w:val="000000"/>
                <w:kern w:val="0"/>
                <w:sz w:val="18"/>
                <w:szCs w:val="18"/>
              </w:rPr>
            </w:pPr>
            <w:r>
              <w:rPr>
                <w:rFonts w:hint="eastAsia"/>
                <w:color w:val="000000"/>
                <w:kern w:val="0"/>
                <w:sz w:val="18"/>
                <w:szCs w:val="18"/>
              </w:rPr>
              <w:t>中标通知书发出后，中标人放弃中标项目的，无正当理由不与招标人签订合同的</w:t>
            </w:r>
          </w:p>
        </w:tc>
        <w:tc>
          <w:tcPr>
            <w:tcW w:w="1060" w:type="dxa"/>
            <w:vMerge w:val="continue"/>
            <w:tcBorders>
              <w:left w:val="single" w:color="auto" w:sz="4" w:space="0"/>
              <w:bottom w:val="single" w:color="000000" w:sz="4" w:space="0"/>
              <w:right w:val="single" w:color="auto" w:sz="4" w:space="0"/>
            </w:tcBorders>
            <w:vAlign w:val="center"/>
          </w:tcPr>
          <w:p w14:paraId="312D7807">
            <w:pPr>
              <w:rPr>
                <w:color w:val="000000"/>
                <w:kern w:val="0"/>
                <w:sz w:val="18"/>
                <w:szCs w:val="18"/>
              </w:rPr>
            </w:pPr>
          </w:p>
        </w:tc>
        <w:tc>
          <w:tcPr>
            <w:tcW w:w="5790" w:type="dxa"/>
            <w:tcBorders>
              <w:top w:val="nil"/>
              <w:left w:val="nil"/>
              <w:bottom w:val="single" w:color="auto" w:sz="4" w:space="0"/>
              <w:right w:val="single" w:color="auto" w:sz="8" w:space="0"/>
            </w:tcBorders>
            <w:vAlign w:val="center"/>
          </w:tcPr>
          <w:p w14:paraId="724F2F8F">
            <w:pPr>
              <w:rPr>
                <w:color w:val="000000"/>
                <w:kern w:val="0"/>
                <w:sz w:val="18"/>
                <w:szCs w:val="18"/>
              </w:rPr>
            </w:pPr>
            <w:r>
              <w:rPr>
                <w:rFonts w:hint="eastAsia"/>
                <w:color w:val="000000"/>
                <w:kern w:val="0"/>
                <w:sz w:val="18"/>
                <w:szCs w:val="18"/>
              </w:rPr>
              <w:t>处中标金额</w:t>
            </w:r>
            <w:r>
              <w:rPr>
                <w:color w:val="000000"/>
                <w:kern w:val="0"/>
                <w:sz w:val="18"/>
                <w:szCs w:val="18"/>
              </w:rPr>
              <w:t>5</w:t>
            </w:r>
            <w:r>
              <w:rPr>
                <w:color w:val="000000"/>
              </w:rPr>
              <w:t>‰</w:t>
            </w:r>
            <w:r>
              <w:rPr>
                <w:rFonts w:hint="eastAsia"/>
                <w:color w:val="000000"/>
                <w:kern w:val="0"/>
                <w:sz w:val="18"/>
                <w:szCs w:val="18"/>
              </w:rPr>
              <w:t>以上</w:t>
            </w:r>
            <w:r>
              <w:rPr>
                <w:color w:val="000000"/>
                <w:kern w:val="0"/>
                <w:sz w:val="18"/>
                <w:szCs w:val="18"/>
              </w:rPr>
              <w:t>10</w:t>
            </w:r>
            <w:r>
              <w:rPr>
                <w:color w:val="000000"/>
              </w:rPr>
              <w:t>‰</w:t>
            </w:r>
            <w:r>
              <w:rPr>
                <w:rFonts w:hint="eastAsia"/>
                <w:color w:val="000000"/>
                <w:kern w:val="0"/>
                <w:sz w:val="18"/>
                <w:szCs w:val="18"/>
              </w:rPr>
              <w:t>以下罚款</w:t>
            </w:r>
          </w:p>
        </w:tc>
      </w:tr>
    </w:tbl>
    <w:p w14:paraId="3866B755"/>
    <w:p w14:paraId="41880613"/>
    <w:tbl>
      <w:tblPr>
        <w:tblStyle w:val="15"/>
        <w:tblW w:w="0" w:type="auto"/>
        <w:tblInd w:w="88" w:type="dxa"/>
        <w:tblLayout w:type="fixed"/>
        <w:tblCellMar>
          <w:top w:w="0" w:type="dxa"/>
          <w:left w:w="108" w:type="dxa"/>
          <w:bottom w:w="0" w:type="dxa"/>
          <w:right w:w="108" w:type="dxa"/>
        </w:tblCellMar>
      </w:tblPr>
      <w:tblGrid>
        <w:gridCol w:w="1056"/>
        <w:gridCol w:w="5060"/>
        <w:gridCol w:w="1275"/>
        <w:gridCol w:w="6669"/>
      </w:tblGrid>
      <w:tr w14:paraId="0543A8D3">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9BC8480">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76D692E5">
            <w:pPr>
              <w:jc w:val="left"/>
              <w:textAlignment w:val="center"/>
              <w:rPr>
                <w:rFonts w:eastAsia="仿宋_GB2312"/>
                <w:b/>
                <w:bCs/>
                <w:color w:val="000000"/>
                <w:kern w:val="0"/>
                <w:sz w:val="18"/>
                <w:szCs w:val="18"/>
              </w:rPr>
            </w:pPr>
            <w:r>
              <w:rPr>
                <w:rFonts w:eastAsia="仿宋_GB2312"/>
                <w:color w:val="000000"/>
                <w:kern w:val="0"/>
                <w:sz w:val="20"/>
              </w:rPr>
              <w:t>320217164000</w:t>
            </w:r>
          </w:p>
        </w:tc>
      </w:tr>
      <w:tr w14:paraId="30667049">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40BD1F92">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5DE22C33">
            <w:pPr>
              <w:spacing w:line="320" w:lineRule="exact"/>
              <w:jc w:val="left"/>
              <w:rPr>
                <w:color w:val="000000"/>
                <w:kern w:val="0"/>
                <w:sz w:val="18"/>
                <w:szCs w:val="18"/>
              </w:rPr>
            </w:pPr>
            <w:r>
              <w:rPr>
                <w:rFonts w:hint="eastAsia"/>
                <w:color w:val="000000"/>
                <w:kern w:val="0"/>
                <w:sz w:val="18"/>
                <w:szCs w:val="18"/>
              </w:rPr>
              <w:t>对隐瞒有关情况或者提供虚假材料申请建设工程质量检测机构资质的处罚</w:t>
            </w:r>
          </w:p>
        </w:tc>
      </w:tr>
      <w:tr w14:paraId="236ECC99">
        <w:tblPrEx>
          <w:tblCellMar>
            <w:top w:w="0" w:type="dxa"/>
            <w:left w:w="108" w:type="dxa"/>
            <w:bottom w:w="0" w:type="dxa"/>
            <w:right w:w="108" w:type="dxa"/>
          </w:tblCellMar>
        </w:tblPrEx>
        <w:trPr>
          <w:trHeight w:val="1530" w:hRule="atLeast"/>
        </w:trPr>
        <w:tc>
          <w:tcPr>
            <w:tcW w:w="1056" w:type="dxa"/>
            <w:tcBorders>
              <w:top w:val="single" w:color="auto" w:sz="4" w:space="0"/>
              <w:left w:val="single" w:color="auto" w:sz="8" w:space="0"/>
              <w:bottom w:val="single" w:color="auto" w:sz="4" w:space="0"/>
              <w:right w:val="single" w:color="auto" w:sz="4" w:space="0"/>
            </w:tcBorders>
            <w:vAlign w:val="center"/>
          </w:tcPr>
          <w:p w14:paraId="7E6F14E7">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02D038E0">
            <w:pPr>
              <w:spacing w:line="320" w:lineRule="exact"/>
              <w:jc w:val="left"/>
              <w:rPr>
                <w:color w:val="000000"/>
                <w:kern w:val="0"/>
                <w:sz w:val="18"/>
                <w:szCs w:val="18"/>
              </w:rPr>
            </w:pPr>
            <w:r>
              <w:rPr>
                <w:rFonts w:hint="eastAsia"/>
                <w:color w:val="000000"/>
                <w:kern w:val="0"/>
                <w:sz w:val="18"/>
                <w:szCs w:val="18"/>
              </w:rPr>
              <w:t>【法律】《中华人民共和国行政许可法》</w:t>
            </w:r>
          </w:p>
          <w:p w14:paraId="4B67A483">
            <w:pPr>
              <w:spacing w:line="320" w:lineRule="exact"/>
              <w:jc w:val="left"/>
              <w:rPr>
                <w:color w:val="000000"/>
                <w:kern w:val="0"/>
                <w:sz w:val="18"/>
                <w:szCs w:val="18"/>
              </w:rPr>
            </w:pPr>
            <w:r>
              <w:rPr>
                <w:rFonts w:hint="eastAsia"/>
                <w:color w:val="000000"/>
                <w:kern w:val="0"/>
                <w:sz w:val="18"/>
                <w:szCs w:val="18"/>
              </w:rPr>
              <w:t xml:space="preserve">      第三十一条 申请人申请行政许可，应当如实向行政机关提交有关材料和反映真实情况，并对其申请材料实质内容的真实性负责。行政机关不得要求申请人提交与其申请的行政许可事项无关的技术资料和其他材料。</w:t>
            </w:r>
          </w:p>
          <w:p w14:paraId="66980A54">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6B30E1FE">
            <w:pPr>
              <w:spacing w:line="320" w:lineRule="exact"/>
              <w:jc w:val="left"/>
              <w:rPr>
                <w:color w:val="000000"/>
                <w:kern w:val="0"/>
                <w:sz w:val="18"/>
                <w:szCs w:val="18"/>
              </w:rPr>
            </w:pPr>
            <w:r>
              <w:rPr>
                <w:rFonts w:hint="eastAsia"/>
                <w:color w:val="000000"/>
                <w:kern w:val="0"/>
                <w:sz w:val="18"/>
                <w:szCs w:val="18"/>
              </w:rPr>
              <w:t xml:space="preserve">      第四十条　检测机构隐瞒有关情况或者提供虚假材料申请资质，资质许可机关不予受理或者不予行政许可，并给予警告；检测机构1年内不得再次申请资质。</w:t>
            </w:r>
          </w:p>
          <w:p w14:paraId="1E81D686">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1090D00F">
        <w:tblPrEx>
          <w:tblCellMar>
            <w:top w:w="0" w:type="dxa"/>
            <w:left w:w="108" w:type="dxa"/>
            <w:bottom w:w="0" w:type="dxa"/>
            <w:right w:w="108" w:type="dxa"/>
          </w:tblCellMar>
        </w:tblPrEx>
        <w:trPr>
          <w:trHeight w:val="310" w:hRule="atLeast"/>
        </w:trPr>
        <w:tc>
          <w:tcPr>
            <w:tcW w:w="1056" w:type="dxa"/>
            <w:tcBorders>
              <w:top w:val="single" w:color="auto" w:sz="4" w:space="0"/>
              <w:left w:val="single" w:color="auto" w:sz="8" w:space="0"/>
              <w:bottom w:val="single" w:color="auto" w:sz="4" w:space="0"/>
              <w:right w:val="single" w:color="auto" w:sz="4" w:space="0"/>
            </w:tcBorders>
            <w:vAlign w:val="center"/>
          </w:tcPr>
          <w:p w14:paraId="0A85E1E9">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6D7FF36D">
            <w:pPr>
              <w:spacing w:line="320" w:lineRule="exact"/>
              <w:jc w:val="left"/>
              <w:rPr>
                <w:rFonts w:eastAsia="仿宋_GB2312"/>
                <w:color w:val="000000"/>
                <w:sz w:val="20"/>
              </w:rPr>
            </w:pPr>
            <w:r>
              <w:rPr>
                <w:rFonts w:hint="eastAsia"/>
                <w:color w:val="000000"/>
                <w:kern w:val="0"/>
                <w:sz w:val="18"/>
                <w:szCs w:val="18"/>
              </w:rPr>
              <w:t>警告，１年内不得再次申请</w:t>
            </w:r>
          </w:p>
        </w:tc>
      </w:tr>
      <w:tr w14:paraId="48437362">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4FF53163">
            <w:pPr>
              <w:spacing w:line="320" w:lineRule="exact"/>
              <w:jc w:val="center"/>
              <w:rPr>
                <w:color w:val="000000"/>
                <w:kern w:val="0"/>
                <w:sz w:val="18"/>
                <w:szCs w:val="18"/>
              </w:rPr>
            </w:pPr>
            <w:r>
              <w:rPr>
                <w:rFonts w:hint="eastAsia"/>
                <w:color w:val="000000"/>
                <w:kern w:val="0"/>
                <w:sz w:val="18"/>
                <w:szCs w:val="18"/>
              </w:rPr>
              <w:t>裁量基准</w:t>
            </w:r>
          </w:p>
        </w:tc>
      </w:tr>
      <w:tr w14:paraId="77A98F57">
        <w:tblPrEx>
          <w:tblCellMar>
            <w:top w:w="0" w:type="dxa"/>
            <w:left w:w="108" w:type="dxa"/>
            <w:bottom w:w="0" w:type="dxa"/>
            <w:right w:w="108" w:type="dxa"/>
          </w:tblCellMar>
        </w:tblPrEx>
        <w:trPr>
          <w:trHeight w:val="285" w:hRule="atLeast"/>
        </w:trPr>
        <w:tc>
          <w:tcPr>
            <w:tcW w:w="1056" w:type="dxa"/>
            <w:vMerge w:val="restart"/>
            <w:tcBorders>
              <w:top w:val="single" w:color="auto" w:sz="4" w:space="0"/>
              <w:left w:val="single" w:color="auto" w:sz="8" w:space="0"/>
              <w:right w:val="single" w:color="auto" w:sz="4" w:space="0"/>
            </w:tcBorders>
            <w:vAlign w:val="center"/>
          </w:tcPr>
          <w:p w14:paraId="5B96E8A5">
            <w:pPr>
              <w:spacing w:line="320" w:lineRule="exact"/>
              <w:jc w:val="center"/>
              <w:rPr>
                <w:color w:val="000000"/>
                <w:kern w:val="0"/>
                <w:sz w:val="18"/>
                <w:szCs w:val="18"/>
              </w:rPr>
            </w:pPr>
            <w:r>
              <w:rPr>
                <w:rFonts w:hint="eastAsia"/>
                <w:color w:val="000000"/>
                <w:kern w:val="0"/>
                <w:sz w:val="18"/>
                <w:szCs w:val="18"/>
              </w:rPr>
              <w:t>情形描述</w:t>
            </w:r>
          </w:p>
        </w:tc>
        <w:tc>
          <w:tcPr>
            <w:tcW w:w="5060" w:type="dxa"/>
            <w:tcBorders>
              <w:top w:val="single" w:color="auto" w:sz="4" w:space="0"/>
              <w:left w:val="single" w:color="auto" w:sz="4" w:space="0"/>
              <w:bottom w:val="single" w:color="auto" w:sz="4" w:space="0"/>
              <w:right w:val="single" w:color="auto" w:sz="4" w:space="0"/>
            </w:tcBorders>
            <w:vAlign w:val="center"/>
          </w:tcPr>
          <w:p w14:paraId="26EFB9D4">
            <w:pPr>
              <w:spacing w:line="320" w:lineRule="exact"/>
              <w:jc w:val="left"/>
              <w:rPr>
                <w:color w:val="000000"/>
                <w:kern w:val="0"/>
                <w:sz w:val="18"/>
                <w:szCs w:val="18"/>
              </w:rPr>
            </w:pPr>
            <w:r>
              <w:rPr>
                <w:rFonts w:hint="eastAsia"/>
                <w:color w:val="000000"/>
                <w:kern w:val="0"/>
                <w:sz w:val="18"/>
                <w:szCs w:val="18"/>
              </w:rPr>
              <w:t>未获得建设工程质量检测机构资质的</w:t>
            </w:r>
          </w:p>
        </w:tc>
        <w:tc>
          <w:tcPr>
            <w:tcW w:w="1275" w:type="dxa"/>
            <w:vMerge w:val="restart"/>
            <w:tcBorders>
              <w:top w:val="single" w:color="auto" w:sz="4" w:space="0"/>
              <w:left w:val="single" w:color="auto" w:sz="4" w:space="0"/>
              <w:right w:val="single" w:color="auto" w:sz="4" w:space="0"/>
            </w:tcBorders>
            <w:vAlign w:val="center"/>
          </w:tcPr>
          <w:p w14:paraId="6FA197C3">
            <w:pPr>
              <w:spacing w:line="320" w:lineRule="exact"/>
              <w:jc w:val="center"/>
              <w:rPr>
                <w:color w:val="000000"/>
                <w:kern w:val="0"/>
                <w:sz w:val="18"/>
                <w:szCs w:val="18"/>
              </w:rPr>
            </w:pPr>
            <w:r>
              <w:rPr>
                <w:rFonts w:hint="eastAsia"/>
                <w:color w:val="000000"/>
                <w:kern w:val="0"/>
                <w:sz w:val="18"/>
                <w:szCs w:val="18"/>
              </w:rPr>
              <w:t>裁量幅度</w:t>
            </w:r>
          </w:p>
        </w:tc>
        <w:tc>
          <w:tcPr>
            <w:tcW w:w="6669" w:type="dxa"/>
            <w:tcBorders>
              <w:top w:val="single" w:color="auto" w:sz="4" w:space="0"/>
              <w:left w:val="single" w:color="auto" w:sz="4" w:space="0"/>
              <w:bottom w:val="single" w:color="auto" w:sz="4" w:space="0"/>
              <w:right w:val="single" w:color="auto" w:sz="8" w:space="0"/>
            </w:tcBorders>
            <w:vAlign w:val="center"/>
          </w:tcPr>
          <w:p w14:paraId="3E9FC29E">
            <w:pPr>
              <w:spacing w:line="320" w:lineRule="exact"/>
              <w:jc w:val="left"/>
              <w:rPr>
                <w:color w:val="000000"/>
                <w:kern w:val="0"/>
                <w:sz w:val="18"/>
                <w:szCs w:val="18"/>
              </w:rPr>
            </w:pPr>
            <w:r>
              <w:rPr>
                <w:rFonts w:hint="eastAsia"/>
                <w:color w:val="000000"/>
                <w:kern w:val="0"/>
                <w:sz w:val="18"/>
                <w:szCs w:val="18"/>
              </w:rPr>
              <w:t>对单位直接负责的主管人员和其他直接责任人员处2万元以下罚款</w:t>
            </w:r>
          </w:p>
        </w:tc>
      </w:tr>
      <w:tr w14:paraId="4CA1FFE3">
        <w:tblPrEx>
          <w:tblCellMar>
            <w:top w:w="0" w:type="dxa"/>
            <w:left w:w="108" w:type="dxa"/>
            <w:bottom w:w="0" w:type="dxa"/>
            <w:right w:w="108" w:type="dxa"/>
          </w:tblCellMar>
        </w:tblPrEx>
        <w:trPr>
          <w:trHeight w:val="285" w:hRule="atLeast"/>
        </w:trPr>
        <w:tc>
          <w:tcPr>
            <w:tcW w:w="1056" w:type="dxa"/>
            <w:vMerge w:val="continue"/>
            <w:tcBorders>
              <w:left w:val="single" w:color="auto" w:sz="8" w:space="0"/>
              <w:bottom w:val="single" w:color="auto" w:sz="8" w:space="0"/>
              <w:right w:val="single" w:color="auto" w:sz="4" w:space="0"/>
            </w:tcBorders>
            <w:vAlign w:val="center"/>
          </w:tcPr>
          <w:p w14:paraId="6EA695F9">
            <w:pPr>
              <w:spacing w:line="320" w:lineRule="exact"/>
              <w:jc w:val="center"/>
              <w:rPr>
                <w:color w:val="000000"/>
                <w:kern w:val="0"/>
                <w:sz w:val="18"/>
                <w:szCs w:val="18"/>
              </w:rPr>
            </w:pPr>
          </w:p>
        </w:tc>
        <w:tc>
          <w:tcPr>
            <w:tcW w:w="5060" w:type="dxa"/>
            <w:tcBorders>
              <w:top w:val="single" w:color="auto" w:sz="4" w:space="0"/>
              <w:left w:val="single" w:color="auto" w:sz="4" w:space="0"/>
              <w:bottom w:val="single" w:color="auto" w:sz="8" w:space="0"/>
              <w:right w:val="single" w:color="auto" w:sz="4" w:space="0"/>
            </w:tcBorders>
            <w:vAlign w:val="center"/>
          </w:tcPr>
          <w:p w14:paraId="3F3B80A6">
            <w:pPr>
              <w:spacing w:line="320" w:lineRule="exact"/>
              <w:jc w:val="left"/>
              <w:rPr>
                <w:color w:val="000000"/>
                <w:kern w:val="0"/>
                <w:sz w:val="18"/>
                <w:szCs w:val="18"/>
              </w:rPr>
            </w:pPr>
            <w:r>
              <w:rPr>
                <w:rFonts w:hint="eastAsia"/>
                <w:color w:val="000000"/>
                <w:kern w:val="0"/>
                <w:sz w:val="18"/>
                <w:szCs w:val="18"/>
              </w:rPr>
              <w:t>获得建设工程质量检测机构资质的</w:t>
            </w:r>
          </w:p>
        </w:tc>
        <w:tc>
          <w:tcPr>
            <w:tcW w:w="1275" w:type="dxa"/>
            <w:vMerge w:val="continue"/>
            <w:tcBorders>
              <w:left w:val="single" w:color="auto" w:sz="4" w:space="0"/>
              <w:bottom w:val="single" w:color="auto" w:sz="8" w:space="0"/>
              <w:right w:val="single" w:color="auto" w:sz="4" w:space="0"/>
            </w:tcBorders>
            <w:vAlign w:val="center"/>
          </w:tcPr>
          <w:p w14:paraId="72CA2C62">
            <w:pPr>
              <w:spacing w:line="320" w:lineRule="exact"/>
              <w:jc w:val="center"/>
              <w:rPr>
                <w:color w:val="000000"/>
                <w:kern w:val="0"/>
                <w:sz w:val="18"/>
                <w:szCs w:val="18"/>
              </w:rPr>
            </w:pPr>
          </w:p>
        </w:tc>
        <w:tc>
          <w:tcPr>
            <w:tcW w:w="6669" w:type="dxa"/>
            <w:tcBorders>
              <w:top w:val="single" w:color="auto" w:sz="4" w:space="0"/>
              <w:left w:val="single" w:color="auto" w:sz="4" w:space="0"/>
              <w:bottom w:val="single" w:color="auto" w:sz="8" w:space="0"/>
              <w:right w:val="single" w:color="auto" w:sz="8" w:space="0"/>
            </w:tcBorders>
            <w:vAlign w:val="center"/>
          </w:tcPr>
          <w:p w14:paraId="3D780FE1">
            <w:pPr>
              <w:spacing w:line="320" w:lineRule="exact"/>
              <w:jc w:val="left"/>
              <w:rPr>
                <w:color w:val="000000"/>
                <w:kern w:val="0"/>
                <w:sz w:val="18"/>
                <w:szCs w:val="18"/>
              </w:rPr>
            </w:pPr>
            <w:r>
              <w:rPr>
                <w:rFonts w:hint="eastAsia"/>
                <w:color w:val="000000"/>
                <w:kern w:val="0"/>
                <w:sz w:val="18"/>
                <w:szCs w:val="18"/>
              </w:rPr>
              <w:t>对单位直接负责的主管人员和其他直接责任人员处2万以上3万元以下罚款</w:t>
            </w:r>
          </w:p>
        </w:tc>
      </w:tr>
    </w:tbl>
    <w:p w14:paraId="4622D2CC"/>
    <w:p w14:paraId="5D6A8ED8"/>
    <w:p w14:paraId="79746C0E"/>
    <w:p w14:paraId="74BAD7C5"/>
    <w:p w14:paraId="464947AE"/>
    <w:p w14:paraId="1D42607D"/>
    <w:p w14:paraId="4519229E"/>
    <w:p w14:paraId="50526BBB"/>
    <w:p w14:paraId="363EDF93"/>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64FAD87E">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526FA1AD">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6F6A58C1">
            <w:pPr>
              <w:jc w:val="left"/>
              <w:textAlignment w:val="center"/>
              <w:rPr>
                <w:rFonts w:eastAsia="仿宋_GB2312"/>
                <w:b/>
                <w:bCs/>
                <w:color w:val="000000"/>
                <w:kern w:val="0"/>
                <w:sz w:val="18"/>
                <w:szCs w:val="18"/>
              </w:rPr>
            </w:pPr>
            <w:r>
              <w:rPr>
                <w:rFonts w:eastAsia="仿宋_GB2312"/>
                <w:b/>
                <w:color w:val="000000"/>
                <w:kern w:val="0"/>
                <w:sz w:val="20"/>
              </w:rPr>
              <w:t>320217165000</w:t>
            </w:r>
          </w:p>
        </w:tc>
      </w:tr>
      <w:tr w14:paraId="3DC52C83">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1192DFBA">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4963733A">
            <w:pPr>
              <w:spacing w:line="320" w:lineRule="exact"/>
              <w:jc w:val="left"/>
              <w:rPr>
                <w:color w:val="000000"/>
                <w:kern w:val="0"/>
                <w:sz w:val="18"/>
                <w:szCs w:val="18"/>
              </w:rPr>
            </w:pPr>
            <w:r>
              <w:rPr>
                <w:rFonts w:hint="eastAsia"/>
                <w:color w:val="000000"/>
                <w:kern w:val="0"/>
                <w:sz w:val="18"/>
                <w:szCs w:val="18"/>
              </w:rPr>
              <w:t>对以欺骗、贿赂等不正当手段取得建设工程质量检测机构资质证书的处罚</w:t>
            </w:r>
          </w:p>
        </w:tc>
      </w:tr>
      <w:tr w14:paraId="290DC0A1">
        <w:tblPrEx>
          <w:tblCellMar>
            <w:top w:w="0" w:type="dxa"/>
            <w:left w:w="108" w:type="dxa"/>
            <w:bottom w:w="0" w:type="dxa"/>
            <w:right w:w="108" w:type="dxa"/>
          </w:tblCellMar>
        </w:tblPrEx>
        <w:trPr>
          <w:trHeight w:val="1920" w:hRule="atLeast"/>
        </w:trPr>
        <w:tc>
          <w:tcPr>
            <w:tcW w:w="1056" w:type="dxa"/>
            <w:tcBorders>
              <w:top w:val="single" w:color="auto" w:sz="4" w:space="0"/>
              <w:left w:val="single" w:color="auto" w:sz="8" w:space="0"/>
              <w:bottom w:val="single" w:color="auto" w:sz="4" w:space="0"/>
              <w:right w:val="single" w:color="auto" w:sz="4" w:space="0"/>
            </w:tcBorders>
            <w:vAlign w:val="center"/>
          </w:tcPr>
          <w:p w14:paraId="0DB7014C">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4D5D1C1D">
            <w:pPr>
              <w:spacing w:line="320" w:lineRule="exact"/>
              <w:jc w:val="left"/>
              <w:rPr>
                <w:color w:val="000000"/>
                <w:kern w:val="0"/>
                <w:sz w:val="18"/>
                <w:szCs w:val="18"/>
              </w:rPr>
            </w:pPr>
            <w:r>
              <w:rPr>
                <w:rFonts w:hint="eastAsia"/>
                <w:color w:val="000000"/>
                <w:kern w:val="0"/>
                <w:sz w:val="18"/>
                <w:szCs w:val="18"/>
              </w:rPr>
              <w:t>【法律】《中华人民共和国行政许可法》</w:t>
            </w:r>
          </w:p>
          <w:p w14:paraId="74A397A7">
            <w:pPr>
              <w:spacing w:line="320" w:lineRule="exact"/>
              <w:jc w:val="left"/>
              <w:rPr>
                <w:color w:val="000000"/>
                <w:kern w:val="0"/>
                <w:sz w:val="18"/>
                <w:szCs w:val="18"/>
              </w:rPr>
            </w:pPr>
            <w:r>
              <w:rPr>
                <w:rFonts w:hint="eastAsia"/>
                <w:color w:val="000000"/>
                <w:kern w:val="0"/>
                <w:sz w:val="18"/>
                <w:szCs w:val="18"/>
              </w:rPr>
              <w:t xml:space="preserve">    第三十一条 申请人申请行政许可，应当如实向行政机关提交有关材料和反映真实情况，并对其申请材料实质内容的真实性负责。行政机关不得要求申请人提交与其申请的行政许可事项无关的技术资料和其他材料。</w:t>
            </w:r>
          </w:p>
          <w:p w14:paraId="255C5A0E">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5BC5590F">
            <w:pPr>
              <w:spacing w:line="320" w:lineRule="exact"/>
              <w:jc w:val="left"/>
              <w:rPr>
                <w:color w:val="000000"/>
                <w:kern w:val="0"/>
                <w:sz w:val="18"/>
                <w:szCs w:val="18"/>
              </w:rPr>
            </w:pPr>
            <w:r>
              <w:rPr>
                <w:rFonts w:hint="eastAsia"/>
                <w:color w:val="000000"/>
                <w:kern w:val="0"/>
                <w:sz w:val="18"/>
                <w:szCs w:val="18"/>
              </w:rPr>
              <w:t xml:space="preserve">    　第四十一条　以欺骗、贿赂等不正当手段取得资质证书的，由资质许可机关予以撤销；由县级以上地方人民政府住房和城乡建设主管部门给予警告或者通报批评，并处5万元以上10万元以下罚款；检测机构3年内不得再次申请资质；构成犯罪的，依法追究刑事责任。</w:t>
            </w:r>
          </w:p>
          <w:p w14:paraId="39C6DD72">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2148E48B">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350ABAC5">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4D4079FD">
            <w:pPr>
              <w:jc w:val="left"/>
              <w:textAlignment w:val="center"/>
              <w:rPr>
                <w:color w:val="000000"/>
                <w:kern w:val="0"/>
                <w:sz w:val="18"/>
                <w:szCs w:val="18"/>
              </w:rPr>
            </w:pPr>
            <w:r>
              <w:rPr>
                <w:rFonts w:hint="eastAsia"/>
                <w:color w:val="000000"/>
                <w:kern w:val="0"/>
                <w:sz w:val="18"/>
                <w:szCs w:val="18"/>
              </w:rPr>
              <w:t>撤销，警告或者通报批评，罚款，3年内不得再次申请资质</w:t>
            </w:r>
          </w:p>
        </w:tc>
      </w:tr>
      <w:tr w14:paraId="181605BC">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6672428B">
            <w:pPr>
              <w:spacing w:line="320" w:lineRule="exact"/>
              <w:jc w:val="center"/>
              <w:rPr>
                <w:color w:val="000000"/>
                <w:kern w:val="0"/>
                <w:sz w:val="18"/>
                <w:szCs w:val="18"/>
              </w:rPr>
            </w:pPr>
            <w:r>
              <w:rPr>
                <w:rFonts w:hint="eastAsia"/>
                <w:color w:val="000000"/>
                <w:kern w:val="0"/>
                <w:sz w:val="18"/>
                <w:szCs w:val="18"/>
              </w:rPr>
              <w:t>裁量基准</w:t>
            </w:r>
          </w:p>
        </w:tc>
      </w:tr>
      <w:tr w14:paraId="758A9D95">
        <w:tblPrEx>
          <w:tblCellMar>
            <w:top w:w="0" w:type="dxa"/>
            <w:left w:w="108" w:type="dxa"/>
            <w:bottom w:w="0" w:type="dxa"/>
            <w:right w:w="108" w:type="dxa"/>
          </w:tblCellMar>
        </w:tblPrEx>
        <w:trPr>
          <w:trHeight w:val="480" w:hRule="atLeast"/>
        </w:trPr>
        <w:tc>
          <w:tcPr>
            <w:tcW w:w="1056" w:type="dxa"/>
            <w:vMerge w:val="restart"/>
            <w:tcBorders>
              <w:top w:val="single" w:color="auto" w:sz="4" w:space="0"/>
              <w:left w:val="single" w:color="auto" w:sz="8" w:space="0"/>
              <w:bottom w:val="single" w:color="auto" w:sz="4" w:space="0"/>
              <w:right w:val="single" w:color="auto" w:sz="4" w:space="0"/>
            </w:tcBorders>
            <w:vAlign w:val="center"/>
          </w:tcPr>
          <w:p w14:paraId="08C3653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33EB5057">
            <w:pPr>
              <w:spacing w:line="320" w:lineRule="exact"/>
              <w:jc w:val="left"/>
              <w:rPr>
                <w:color w:val="000000"/>
                <w:kern w:val="0"/>
                <w:sz w:val="18"/>
                <w:szCs w:val="18"/>
              </w:rPr>
            </w:pPr>
            <w:r>
              <w:rPr>
                <w:rFonts w:hint="eastAsia"/>
                <w:color w:val="000000"/>
                <w:kern w:val="0"/>
                <w:sz w:val="18"/>
                <w:szCs w:val="18"/>
              </w:rPr>
              <w:t>以欺骗、贿赂等不正当手段取得资质但尚未承揽业务的</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2A1D6891">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4074D583">
            <w:pPr>
              <w:spacing w:line="320" w:lineRule="exact"/>
              <w:jc w:val="left"/>
              <w:rPr>
                <w:color w:val="000000"/>
                <w:kern w:val="0"/>
                <w:sz w:val="18"/>
                <w:szCs w:val="18"/>
              </w:rPr>
            </w:pPr>
            <w:r>
              <w:rPr>
                <w:rFonts w:hint="eastAsia"/>
                <w:color w:val="000000"/>
                <w:kern w:val="0"/>
                <w:sz w:val="18"/>
                <w:szCs w:val="18"/>
              </w:rPr>
              <w:t>对单位：5万元以上8万元以下罚款</w:t>
            </w:r>
          </w:p>
          <w:p w14:paraId="108E0676">
            <w:pPr>
              <w:spacing w:line="320" w:lineRule="exact"/>
              <w:jc w:val="left"/>
              <w:rPr>
                <w:color w:val="000000"/>
                <w:kern w:val="0"/>
                <w:sz w:val="18"/>
                <w:szCs w:val="18"/>
              </w:rPr>
            </w:pPr>
            <w:r>
              <w:rPr>
                <w:rFonts w:hint="eastAsia"/>
                <w:color w:val="000000"/>
                <w:kern w:val="0"/>
                <w:sz w:val="18"/>
                <w:szCs w:val="18"/>
              </w:rPr>
              <w:t>对个人：1.5万元以下罚款</w:t>
            </w:r>
          </w:p>
        </w:tc>
      </w:tr>
      <w:tr w14:paraId="158FAD88">
        <w:tblPrEx>
          <w:tblCellMar>
            <w:top w:w="0" w:type="dxa"/>
            <w:left w:w="108" w:type="dxa"/>
            <w:bottom w:w="0" w:type="dxa"/>
            <w:right w:w="108" w:type="dxa"/>
          </w:tblCellMar>
        </w:tblPrEx>
        <w:trPr>
          <w:trHeight w:val="480" w:hRule="atLeast"/>
        </w:trPr>
        <w:tc>
          <w:tcPr>
            <w:tcW w:w="1056" w:type="dxa"/>
            <w:vMerge w:val="continue"/>
            <w:tcBorders>
              <w:top w:val="single" w:color="auto" w:sz="4" w:space="0"/>
              <w:left w:val="single" w:color="auto" w:sz="8" w:space="0"/>
              <w:bottom w:val="single" w:color="auto" w:sz="8" w:space="0"/>
              <w:right w:val="single" w:color="auto" w:sz="4" w:space="0"/>
            </w:tcBorders>
            <w:vAlign w:val="center"/>
          </w:tcPr>
          <w:p w14:paraId="093BE199">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3B2BD73B">
            <w:pPr>
              <w:spacing w:line="320" w:lineRule="exact"/>
              <w:jc w:val="left"/>
              <w:rPr>
                <w:color w:val="000000"/>
                <w:kern w:val="0"/>
                <w:sz w:val="18"/>
                <w:szCs w:val="18"/>
              </w:rPr>
            </w:pPr>
            <w:r>
              <w:rPr>
                <w:rFonts w:hint="eastAsia"/>
                <w:color w:val="000000"/>
                <w:kern w:val="0"/>
                <w:sz w:val="18"/>
                <w:szCs w:val="18"/>
              </w:rPr>
              <w:t>以欺骗、贿赂等不正当手段取得资质且继续已承揽业务的</w:t>
            </w:r>
          </w:p>
        </w:tc>
        <w:tc>
          <w:tcPr>
            <w:tcW w:w="1044" w:type="dxa"/>
            <w:vMerge w:val="continue"/>
            <w:tcBorders>
              <w:top w:val="single" w:color="auto" w:sz="4" w:space="0"/>
              <w:left w:val="single" w:color="auto" w:sz="4" w:space="0"/>
              <w:bottom w:val="single" w:color="auto" w:sz="8" w:space="0"/>
              <w:right w:val="single" w:color="auto" w:sz="4" w:space="0"/>
            </w:tcBorders>
            <w:vAlign w:val="center"/>
          </w:tcPr>
          <w:p w14:paraId="26BC02ED">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21B0EBEA">
            <w:pPr>
              <w:spacing w:line="320" w:lineRule="exact"/>
              <w:jc w:val="left"/>
              <w:rPr>
                <w:color w:val="000000"/>
                <w:kern w:val="0"/>
                <w:sz w:val="18"/>
                <w:szCs w:val="18"/>
              </w:rPr>
            </w:pPr>
            <w:r>
              <w:rPr>
                <w:rFonts w:hint="eastAsia"/>
                <w:color w:val="000000"/>
                <w:kern w:val="0"/>
                <w:sz w:val="18"/>
                <w:szCs w:val="18"/>
              </w:rPr>
              <w:t>对单位：8万元以上10万元以下罚款</w:t>
            </w:r>
          </w:p>
          <w:p w14:paraId="11B58F00">
            <w:pPr>
              <w:spacing w:line="320" w:lineRule="exact"/>
              <w:jc w:val="left"/>
              <w:rPr>
                <w:color w:val="000000"/>
                <w:kern w:val="0"/>
                <w:sz w:val="18"/>
                <w:szCs w:val="18"/>
              </w:rPr>
            </w:pPr>
            <w:r>
              <w:rPr>
                <w:rFonts w:hint="eastAsia"/>
                <w:color w:val="000000"/>
                <w:kern w:val="0"/>
                <w:sz w:val="18"/>
                <w:szCs w:val="18"/>
              </w:rPr>
              <w:t>对个人：1.5万元以上3万元以下罚款</w:t>
            </w:r>
          </w:p>
        </w:tc>
      </w:tr>
    </w:tbl>
    <w:p w14:paraId="6947485D"/>
    <w:p w14:paraId="5BA4C1F9"/>
    <w:p w14:paraId="60429257"/>
    <w:p w14:paraId="4B398AFF"/>
    <w:p w14:paraId="75CB5867"/>
    <w:p w14:paraId="5CC7ABC8"/>
    <w:p w14:paraId="7B451963"/>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2E6394DB">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1017B197">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749DAB10">
            <w:pPr>
              <w:spacing w:line="320" w:lineRule="exact"/>
              <w:jc w:val="left"/>
              <w:rPr>
                <w:rFonts w:eastAsia="仿宋_GB2312"/>
                <w:b/>
                <w:bCs/>
                <w:color w:val="000000"/>
                <w:kern w:val="0"/>
                <w:sz w:val="18"/>
                <w:szCs w:val="18"/>
              </w:rPr>
            </w:pPr>
            <w:r>
              <w:rPr>
                <w:rFonts w:eastAsia="仿宋_GB2312"/>
                <w:b/>
                <w:bCs/>
                <w:color w:val="000000"/>
                <w:kern w:val="0"/>
                <w:sz w:val="18"/>
                <w:szCs w:val="18"/>
              </w:rPr>
              <w:t>320217166000</w:t>
            </w:r>
            <w:r>
              <w:rPr>
                <w:rFonts w:hint="eastAsia" w:eastAsia="仿宋_GB2312"/>
                <w:b/>
                <w:bCs/>
                <w:color w:val="000000"/>
                <w:kern w:val="0"/>
                <w:sz w:val="18"/>
                <w:szCs w:val="18"/>
              </w:rPr>
              <w:t xml:space="preserve"> </w:t>
            </w:r>
          </w:p>
        </w:tc>
      </w:tr>
      <w:tr w14:paraId="19A0CF6A">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75DB5AA4">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6FAB58E2">
            <w:pPr>
              <w:spacing w:line="320" w:lineRule="exact"/>
              <w:jc w:val="left"/>
              <w:rPr>
                <w:color w:val="000000"/>
                <w:kern w:val="0"/>
                <w:sz w:val="18"/>
                <w:szCs w:val="18"/>
              </w:rPr>
            </w:pPr>
            <w:r>
              <w:rPr>
                <w:rFonts w:hint="eastAsia"/>
                <w:color w:val="000000"/>
                <w:kern w:val="0"/>
                <w:sz w:val="18"/>
                <w:szCs w:val="18"/>
              </w:rPr>
              <w:t>对建设单位将不合格建设工程按照合格工程验收的处罚</w:t>
            </w:r>
          </w:p>
        </w:tc>
      </w:tr>
      <w:tr w14:paraId="4E4D134F">
        <w:tblPrEx>
          <w:tblCellMar>
            <w:top w:w="0" w:type="dxa"/>
            <w:left w:w="108" w:type="dxa"/>
            <w:bottom w:w="0" w:type="dxa"/>
            <w:right w:w="108" w:type="dxa"/>
          </w:tblCellMar>
        </w:tblPrEx>
        <w:trPr>
          <w:trHeight w:val="1875" w:hRule="atLeast"/>
        </w:trPr>
        <w:tc>
          <w:tcPr>
            <w:tcW w:w="1090" w:type="dxa"/>
            <w:tcBorders>
              <w:top w:val="nil"/>
              <w:left w:val="single" w:color="auto" w:sz="8" w:space="0"/>
              <w:bottom w:val="single" w:color="auto" w:sz="4" w:space="0"/>
              <w:right w:val="single" w:color="auto" w:sz="4" w:space="0"/>
            </w:tcBorders>
            <w:vAlign w:val="center"/>
          </w:tcPr>
          <w:p w14:paraId="40AB4D28">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593FF6A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59BD0640">
            <w:pPr>
              <w:spacing w:line="320" w:lineRule="exact"/>
              <w:jc w:val="left"/>
              <w:rPr>
                <w:color w:val="000000"/>
                <w:kern w:val="0"/>
                <w:sz w:val="18"/>
                <w:szCs w:val="18"/>
              </w:rPr>
            </w:pPr>
            <w:r>
              <w:rPr>
                <w:rFonts w:hint="eastAsia"/>
                <w:color w:val="000000"/>
                <w:kern w:val="0"/>
                <w:sz w:val="18"/>
                <w:szCs w:val="18"/>
              </w:rPr>
              <w:t>第十六条第三款　建设工程经验收合格的，方可交付使用。</w:t>
            </w:r>
          </w:p>
          <w:p w14:paraId="1511A8EB">
            <w:pPr>
              <w:spacing w:line="320" w:lineRule="exact"/>
              <w:jc w:val="left"/>
              <w:rPr>
                <w:color w:val="000000"/>
                <w:kern w:val="0"/>
                <w:sz w:val="18"/>
                <w:szCs w:val="18"/>
              </w:rPr>
            </w:pPr>
            <w:r>
              <w:rPr>
                <w:rFonts w:hint="eastAsia"/>
                <w:color w:val="000000"/>
                <w:kern w:val="0"/>
                <w:sz w:val="18"/>
                <w:szCs w:val="18"/>
              </w:rPr>
              <w:t>第五十八条　违反本条例规定，建设单位有下列行为之一的，责令改正，处工程合同价款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p w14:paraId="48DF802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（三）对不合格的建设工程按照合格工程验收的。</w:t>
            </w:r>
          </w:p>
          <w:p w14:paraId="31B5D460">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450E8131">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524A9688">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3D6FE99E">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40EA31AE">
            <w:pPr>
              <w:spacing w:line="320" w:lineRule="exact"/>
              <w:jc w:val="left"/>
              <w:rPr>
                <w:color w:val="000000"/>
                <w:kern w:val="0"/>
                <w:sz w:val="18"/>
                <w:szCs w:val="18"/>
              </w:rPr>
            </w:pPr>
            <w:r>
              <w:rPr>
                <w:rFonts w:hint="eastAsia"/>
                <w:color w:val="000000"/>
                <w:kern w:val="0"/>
                <w:sz w:val="18"/>
                <w:szCs w:val="18"/>
              </w:rPr>
              <w:t>罚款</w:t>
            </w:r>
          </w:p>
        </w:tc>
      </w:tr>
      <w:tr w14:paraId="68ECE458">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64B3DC74">
            <w:pPr>
              <w:spacing w:line="320" w:lineRule="exact"/>
              <w:jc w:val="center"/>
              <w:rPr>
                <w:color w:val="000000"/>
                <w:kern w:val="0"/>
                <w:sz w:val="18"/>
                <w:szCs w:val="18"/>
              </w:rPr>
            </w:pPr>
            <w:r>
              <w:rPr>
                <w:rFonts w:hint="eastAsia"/>
                <w:color w:val="000000"/>
                <w:kern w:val="0"/>
                <w:sz w:val="18"/>
                <w:szCs w:val="18"/>
              </w:rPr>
              <w:t>裁量基准</w:t>
            </w:r>
          </w:p>
        </w:tc>
      </w:tr>
      <w:tr w14:paraId="495AFB1B">
        <w:tblPrEx>
          <w:tblCellMar>
            <w:top w:w="0" w:type="dxa"/>
            <w:left w:w="108" w:type="dxa"/>
            <w:bottom w:w="0" w:type="dxa"/>
            <w:right w:w="108" w:type="dxa"/>
          </w:tblCellMar>
        </w:tblPrEx>
        <w:trPr>
          <w:trHeight w:val="480" w:hRule="atLeast"/>
        </w:trPr>
        <w:tc>
          <w:tcPr>
            <w:tcW w:w="1090" w:type="dxa"/>
            <w:vMerge w:val="restart"/>
            <w:tcBorders>
              <w:top w:val="nil"/>
              <w:left w:val="single" w:color="auto" w:sz="8" w:space="0"/>
              <w:right w:val="single" w:color="auto" w:sz="4" w:space="0"/>
            </w:tcBorders>
            <w:vAlign w:val="center"/>
          </w:tcPr>
          <w:p w14:paraId="6D8D36C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26F878A">
            <w:pPr>
              <w:spacing w:line="320" w:lineRule="exact"/>
              <w:jc w:val="left"/>
              <w:rPr>
                <w:color w:val="000000"/>
                <w:kern w:val="0"/>
                <w:sz w:val="18"/>
                <w:szCs w:val="18"/>
              </w:rPr>
            </w:pPr>
            <w:r>
              <w:rPr>
                <w:rFonts w:hint="eastAsia"/>
                <w:color w:val="000000"/>
                <w:kern w:val="0"/>
                <w:sz w:val="18"/>
                <w:szCs w:val="18"/>
              </w:rPr>
              <w:t>按照要求改正后重新验收合格的</w:t>
            </w:r>
          </w:p>
        </w:tc>
        <w:tc>
          <w:tcPr>
            <w:tcW w:w="1080" w:type="dxa"/>
            <w:vMerge w:val="restart"/>
            <w:tcBorders>
              <w:top w:val="nil"/>
              <w:left w:val="single" w:color="auto" w:sz="4" w:space="0"/>
              <w:right w:val="single" w:color="auto" w:sz="4" w:space="0"/>
            </w:tcBorders>
            <w:vAlign w:val="center"/>
          </w:tcPr>
          <w:p w14:paraId="6533D0F7">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color="auto" w:sz="4" w:space="0"/>
              <w:right w:val="single" w:color="auto" w:sz="8" w:space="0"/>
            </w:tcBorders>
            <w:vAlign w:val="center"/>
          </w:tcPr>
          <w:p w14:paraId="12A865C8">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2%-2.5%</w:t>
            </w:r>
            <w:r>
              <w:rPr>
                <w:rFonts w:hint="eastAsia"/>
                <w:color w:val="000000"/>
                <w:kern w:val="0"/>
                <w:sz w:val="18"/>
                <w:szCs w:val="18"/>
              </w:rPr>
              <w:t>罚款</w:t>
            </w:r>
          </w:p>
          <w:p w14:paraId="2C087C70">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183A430A">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3A2ED55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16827AB">
            <w:pPr>
              <w:spacing w:line="320" w:lineRule="exact"/>
              <w:jc w:val="left"/>
              <w:rPr>
                <w:color w:val="000000"/>
                <w:kern w:val="0"/>
                <w:sz w:val="18"/>
                <w:szCs w:val="18"/>
              </w:rPr>
            </w:pPr>
            <w:r>
              <w:rPr>
                <w:rFonts w:hint="eastAsia"/>
                <w:color w:val="000000"/>
                <w:kern w:val="0"/>
                <w:sz w:val="18"/>
                <w:szCs w:val="18"/>
              </w:rPr>
              <w:t>按照要求改正后重新验收仍不合格，或者未按照要求改正的</w:t>
            </w:r>
          </w:p>
        </w:tc>
        <w:tc>
          <w:tcPr>
            <w:tcW w:w="1080" w:type="dxa"/>
            <w:vMerge w:val="continue"/>
            <w:tcBorders>
              <w:left w:val="single" w:color="auto" w:sz="4" w:space="0"/>
              <w:right w:val="single" w:color="auto" w:sz="4" w:space="0"/>
            </w:tcBorders>
            <w:vAlign w:val="center"/>
          </w:tcPr>
          <w:p w14:paraId="62E22278">
            <w:pPr>
              <w:spacing w:line="320" w:lineRule="exact"/>
              <w:jc w:val="left"/>
              <w:rPr>
                <w:color w:val="000000"/>
                <w:kern w:val="0"/>
                <w:sz w:val="18"/>
                <w:szCs w:val="18"/>
              </w:rPr>
            </w:pPr>
          </w:p>
        </w:tc>
        <w:tc>
          <w:tcPr>
            <w:tcW w:w="5740" w:type="dxa"/>
            <w:tcBorders>
              <w:top w:val="single" w:color="auto" w:sz="4" w:space="0"/>
              <w:left w:val="nil"/>
              <w:bottom w:val="single" w:color="auto" w:sz="8" w:space="0"/>
              <w:right w:val="single" w:color="auto" w:sz="8" w:space="0"/>
            </w:tcBorders>
            <w:vAlign w:val="center"/>
          </w:tcPr>
          <w:p w14:paraId="0B7CB390">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2.5%-3%</w:t>
            </w:r>
            <w:r>
              <w:rPr>
                <w:rFonts w:hint="eastAsia"/>
                <w:color w:val="000000"/>
                <w:kern w:val="0"/>
                <w:sz w:val="18"/>
                <w:szCs w:val="18"/>
              </w:rPr>
              <w:t>罚款</w:t>
            </w:r>
          </w:p>
          <w:p w14:paraId="63757ED4">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3BF58EB1">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49FCBD8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E768796">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080" w:type="dxa"/>
            <w:vMerge w:val="continue"/>
            <w:tcBorders>
              <w:left w:val="single" w:color="auto" w:sz="4" w:space="0"/>
              <w:right w:val="single" w:color="auto" w:sz="4" w:space="0"/>
            </w:tcBorders>
            <w:vAlign w:val="center"/>
          </w:tcPr>
          <w:p w14:paraId="47F5E803">
            <w:pPr>
              <w:spacing w:line="320" w:lineRule="exact"/>
              <w:jc w:val="left"/>
              <w:rPr>
                <w:color w:val="000000"/>
                <w:kern w:val="0"/>
                <w:sz w:val="18"/>
                <w:szCs w:val="18"/>
              </w:rPr>
            </w:pPr>
          </w:p>
        </w:tc>
        <w:tc>
          <w:tcPr>
            <w:tcW w:w="5740" w:type="dxa"/>
            <w:tcBorders>
              <w:top w:val="single" w:color="auto" w:sz="8" w:space="0"/>
              <w:left w:val="nil"/>
              <w:bottom w:val="single" w:color="auto" w:sz="8" w:space="0"/>
              <w:right w:val="single" w:color="auto" w:sz="8" w:space="0"/>
            </w:tcBorders>
            <w:vAlign w:val="center"/>
          </w:tcPr>
          <w:p w14:paraId="3EBFF441">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3%-3.5%</w:t>
            </w:r>
            <w:r>
              <w:rPr>
                <w:rFonts w:hint="eastAsia"/>
                <w:color w:val="000000"/>
                <w:kern w:val="0"/>
                <w:sz w:val="18"/>
                <w:szCs w:val="18"/>
              </w:rPr>
              <w:t>罚款</w:t>
            </w:r>
          </w:p>
          <w:p w14:paraId="0150226B">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14:paraId="4B910568">
        <w:tblPrEx>
          <w:tblCellMar>
            <w:top w:w="0" w:type="dxa"/>
            <w:left w:w="108" w:type="dxa"/>
            <w:bottom w:w="0" w:type="dxa"/>
            <w:right w:w="108" w:type="dxa"/>
          </w:tblCellMar>
        </w:tblPrEx>
        <w:trPr>
          <w:trHeight w:val="480" w:hRule="atLeast"/>
        </w:trPr>
        <w:tc>
          <w:tcPr>
            <w:tcW w:w="1090" w:type="dxa"/>
            <w:vMerge w:val="continue"/>
            <w:tcBorders>
              <w:left w:val="single" w:color="auto" w:sz="8" w:space="0"/>
              <w:bottom w:val="single" w:color="auto" w:sz="4" w:space="0"/>
              <w:right w:val="single" w:color="auto" w:sz="4" w:space="0"/>
            </w:tcBorders>
            <w:vAlign w:val="center"/>
          </w:tcPr>
          <w:p w14:paraId="0767476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ECF31BF">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080" w:type="dxa"/>
            <w:vMerge w:val="continue"/>
            <w:tcBorders>
              <w:left w:val="single" w:color="auto" w:sz="4" w:space="0"/>
              <w:bottom w:val="single" w:color="auto" w:sz="4" w:space="0"/>
              <w:right w:val="single" w:color="auto" w:sz="4" w:space="0"/>
            </w:tcBorders>
            <w:vAlign w:val="center"/>
          </w:tcPr>
          <w:p w14:paraId="49BCA771">
            <w:pPr>
              <w:spacing w:line="320" w:lineRule="exact"/>
              <w:jc w:val="left"/>
              <w:rPr>
                <w:color w:val="000000"/>
                <w:kern w:val="0"/>
                <w:sz w:val="18"/>
                <w:szCs w:val="18"/>
              </w:rPr>
            </w:pPr>
          </w:p>
        </w:tc>
        <w:tc>
          <w:tcPr>
            <w:tcW w:w="5740" w:type="dxa"/>
            <w:tcBorders>
              <w:top w:val="single" w:color="auto" w:sz="8" w:space="0"/>
              <w:left w:val="nil"/>
              <w:bottom w:val="single" w:color="auto" w:sz="4" w:space="0"/>
              <w:right w:val="single" w:color="auto" w:sz="8" w:space="0"/>
            </w:tcBorders>
            <w:vAlign w:val="center"/>
          </w:tcPr>
          <w:p w14:paraId="4947489C">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3.5%-4%</w:t>
            </w:r>
            <w:r>
              <w:rPr>
                <w:rFonts w:hint="eastAsia"/>
                <w:color w:val="000000"/>
                <w:kern w:val="0"/>
                <w:sz w:val="18"/>
                <w:szCs w:val="18"/>
              </w:rPr>
              <w:t>罚款</w:t>
            </w:r>
          </w:p>
          <w:p w14:paraId="698DA492">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9%</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68D7D6B9"/>
    <w:p w14:paraId="632A70C4"/>
    <w:p w14:paraId="41FC0021"/>
    <w:p w14:paraId="79FD8F98"/>
    <w:p w14:paraId="5CCC85B8"/>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164B9383">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1C33FA7A">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auto" w:sz="4" w:space="0"/>
            </w:tcBorders>
            <w:vAlign w:val="center"/>
          </w:tcPr>
          <w:p w14:paraId="7234791F">
            <w:pPr>
              <w:spacing w:line="320" w:lineRule="exact"/>
              <w:jc w:val="left"/>
              <w:rPr>
                <w:rFonts w:eastAsia="仿宋_GB2312"/>
                <w:b/>
                <w:bCs/>
                <w:color w:val="000000"/>
                <w:kern w:val="0"/>
                <w:sz w:val="18"/>
                <w:szCs w:val="18"/>
              </w:rPr>
            </w:pPr>
            <w:r>
              <w:rPr>
                <w:rFonts w:eastAsia="仿宋_GB2312"/>
                <w:b/>
                <w:bCs/>
                <w:color w:val="000000"/>
                <w:kern w:val="0"/>
                <w:sz w:val="18"/>
                <w:szCs w:val="18"/>
              </w:rPr>
              <w:t>320217167000</w:t>
            </w:r>
            <w:r>
              <w:rPr>
                <w:rFonts w:hint="eastAsia" w:eastAsia="仿宋_GB2312"/>
                <w:b/>
                <w:bCs/>
                <w:color w:val="000000"/>
                <w:kern w:val="0"/>
                <w:sz w:val="18"/>
                <w:szCs w:val="18"/>
              </w:rPr>
              <w:t xml:space="preserve"> </w:t>
            </w:r>
          </w:p>
        </w:tc>
      </w:tr>
      <w:tr w14:paraId="41B99E50">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23D2D7FF">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auto" w:sz="4" w:space="0"/>
            </w:tcBorders>
            <w:vAlign w:val="center"/>
          </w:tcPr>
          <w:p w14:paraId="7377C8BF">
            <w:pPr>
              <w:spacing w:line="320" w:lineRule="exact"/>
              <w:jc w:val="left"/>
              <w:rPr>
                <w:color w:val="000000"/>
                <w:kern w:val="0"/>
                <w:sz w:val="18"/>
                <w:szCs w:val="18"/>
              </w:rPr>
            </w:pPr>
            <w:r>
              <w:rPr>
                <w:rFonts w:hint="eastAsia"/>
                <w:color w:val="000000"/>
                <w:kern w:val="0"/>
                <w:sz w:val="18"/>
                <w:szCs w:val="18"/>
              </w:rPr>
              <w:t>对建设单位未向建设行政主管部门移交建设项目档案的处罚</w:t>
            </w:r>
          </w:p>
        </w:tc>
      </w:tr>
      <w:tr w14:paraId="7E7C1DB8">
        <w:tblPrEx>
          <w:tblCellMar>
            <w:top w:w="0" w:type="dxa"/>
            <w:left w:w="108" w:type="dxa"/>
            <w:bottom w:w="0" w:type="dxa"/>
            <w:right w:w="108" w:type="dxa"/>
          </w:tblCellMar>
        </w:tblPrEx>
        <w:trPr>
          <w:trHeight w:val="1995" w:hRule="atLeast"/>
        </w:trPr>
        <w:tc>
          <w:tcPr>
            <w:tcW w:w="1090" w:type="dxa"/>
            <w:tcBorders>
              <w:top w:val="nil"/>
              <w:left w:val="single" w:color="auto" w:sz="8" w:space="0"/>
              <w:bottom w:val="single" w:color="auto" w:sz="4" w:space="0"/>
              <w:right w:val="single" w:color="auto" w:sz="4" w:space="0"/>
            </w:tcBorders>
            <w:vAlign w:val="center"/>
          </w:tcPr>
          <w:p w14:paraId="1500DE08">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auto" w:sz="4" w:space="0"/>
            </w:tcBorders>
            <w:vAlign w:val="center"/>
          </w:tcPr>
          <w:p w14:paraId="0866CA3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2BE04BF6">
            <w:pPr>
              <w:spacing w:line="320" w:lineRule="exact"/>
              <w:jc w:val="left"/>
              <w:rPr>
                <w:color w:val="000000"/>
                <w:kern w:val="0"/>
                <w:sz w:val="18"/>
                <w:szCs w:val="18"/>
              </w:rPr>
            </w:pPr>
            <w:r>
              <w:rPr>
                <w:rFonts w:hint="eastAsia"/>
                <w:color w:val="000000"/>
                <w:kern w:val="0"/>
                <w:sz w:val="18"/>
                <w:szCs w:val="18"/>
              </w:rPr>
              <w:t>第十七条　建设单位应当严格按照国家有关档案管理的规定，及时收集、整理建设项目各环节的文件资料，建立、健全建设项目档案，并在建设工程竣工验收后，及时向建设行政主管部门或者其他有关部门移交建设项目档案。</w:t>
            </w:r>
          </w:p>
          <w:p w14:paraId="566CC4C7">
            <w:pPr>
              <w:spacing w:line="320" w:lineRule="exact"/>
              <w:jc w:val="left"/>
              <w:rPr>
                <w:color w:val="000000"/>
                <w:kern w:val="0"/>
                <w:sz w:val="18"/>
                <w:szCs w:val="18"/>
              </w:rPr>
            </w:pPr>
            <w:r>
              <w:rPr>
                <w:rFonts w:hint="eastAsia"/>
                <w:color w:val="000000"/>
                <w:kern w:val="0"/>
                <w:sz w:val="18"/>
                <w:szCs w:val="18"/>
              </w:rPr>
              <w:t>第五十九条　违反本条例规定，建设工程竣工验收后，建设单位未向建设行政主管部门或者其他有关部门移交建设项目档案的，责令改正，处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14:paraId="608959F8">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1A5A574C">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2A5D2D77">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0EFA53B8">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auto" w:sz="4" w:space="0"/>
            </w:tcBorders>
            <w:vAlign w:val="center"/>
          </w:tcPr>
          <w:p w14:paraId="361A616D">
            <w:pPr>
              <w:spacing w:line="320" w:lineRule="exact"/>
              <w:jc w:val="left"/>
              <w:rPr>
                <w:color w:val="000000"/>
                <w:kern w:val="0"/>
                <w:sz w:val="18"/>
                <w:szCs w:val="18"/>
              </w:rPr>
            </w:pPr>
            <w:r>
              <w:rPr>
                <w:rFonts w:hint="eastAsia"/>
                <w:color w:val="000000"/>
                <w:kern w:val="0"/>
                <w:sz w:val="18"/>
                <w:szCs w:val="18"/>
              </w:rPr>
              <w:t>罚款</w:t>
            </w:r>
          </w:p>
        </w:tc>
      </w:tr>
      <w:tr w14:paraId="2DED40E8">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auto" w:sz="4" w:space="0"/>
            </w:tcBorders>
            <w:vAlign w:val="center"/>
          </w:tcPr>
          <w:p w14:paraId="30E7D71E">
            <w:pPr>
              <w:spacing w:line="320" w:lineRule="exact"/>
              <w:jc w:val="center"/>
              <w:rPr>
                <w:color w:val="000000"/>
                <w:kern w:val="0"/>
                <w:sz w:val="18"/>
                <w:szCs w:val="18"/>
              </w:rPr>
            </w:pPr>
            <w:r>
              <w:rPr>
                <w:rFonts w:hint="eastAsia"/>
                <w:color w:val="000000"/>
                <w:kern w:val="0"/>
                <w:sz w:val="18"/>
                <w:szCs w:val="18"/>
              </w:rPr>
              <w:t>裁量基准</w:t>
            </w:r>
          </w:p>
        </w:tc>
      </w:tr>
      <w:tr w14:paraId="3D071F81">
        <w:tblPrEx>
          <w:tblCellMar>
            <w:top w:w="0" w:type="dxa"/>
            <w:left w:w="108" w:type="dxa"/>
            <w:bottom w:w="0" w:type="dxa"/>
            <w:right w:w="108" w:type="dxa"/>
          </w:tblCellMar>
        </w:tblPrEx>
        <w:trPr>
          <w:trHeight w:val="480" w:hRule="atLeast"/>
        </w:trPr>
        <w:tc>
          <w:tcPr>
            <w:tcW w:w="1090" w:type="dxa"/>
            <w:vMerge w:val="restart"/>
            <w:tcBorders>
              <w:top w:val="nil"/>
              <w:left w:val="single" w:color="auto" w:sz="8" w:space="0"/>
              <w:bottom w:val="single" w:color="auto" w:sz="4" w:space="0"/>
              <w:right w:val="single" w:color="auto" w:sz="4" w:space="0"/>
            </w:tcBorders>
            <w:vAlign w:val="center"/>
          </w:tcPr>
          <w:p w14:paraId="6E129C9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A992C44">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nil"/>
              <w:left w:val="single" w:color="auto" w:sz="4" w:space="0"/>
              <w:bottom w:val="single" w:color="auto" w:sz="4" w:space="0"/>
              <w:right w:val="single" w:color="auto" w:sz="4" w:space="0"/>
            </w:tcBorders>
            <w:vAlign w:val="center"/>
          </w:tcPr>
          <w:p w14:paraId="162EFA8E">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color="auto" w:sz="4" w:space="0"/>
              <w:right w:val="single" w:color="auto" w:sz="4" w:space="0"/>
            </w:tcBorders>
            <w:vAlign w:val="center"/>
          </w:tcPr>
          <w:p w14:paraId="231BAB4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4AF515EA">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01467873">
        <w:tblPrEx>
          <w:tblCellMar>
            <w:top w:w="0" w:type="dxa"/>
            <w:left w:w="108" w:type="dxa"/>
            <w:bottom w:w="0" w:type="dxa"/>
            <w:right w:w="108" w:type="dxa"/>
          </w:tblCellMar>
        </w:tblPrEx>
        <w:trPr>
          <w:trHeight w:val="480" w:hRule="atLeast"/>
        </w:trPr>
        <w:tc>
          <w:tcPr>
            <w:tcW w:w="1090" w:type="dxa"/>
            <w:vMerge w:val="continue"/>
            <w:tcBorders>
              <w:top w:val="nil"/>
              <w:left w:val="single" w:color="auto" w:sz="8" w:space="0"/>
              <w:bottom w:val="single" w:color="auto" w:sz="4" w:space="0"/>
              <w:right w:val="single" w:color="auto" w:sz="4" w:space="0"/>
            </w:tcBorders>
            <w:vAlign w:val="center"/>
          </w:tcPr>
          <w:p w14:paraId="7EB11E2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09F078C">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val="continue"/>
            <w:tcBorders>
              <w:top w:val="nil"/>
              <w:left w:val="single" w:color="auto" w:sz="4" w:space="0"/>
              <w:bottom w:val="single" w:color="auto" w:sz="4" w:space="0"/>
              <w:right w:val="single" w:color="auto" w:sz="4" w:space="0"/>
            </w:tcBorders>
            <w:vAlign w:val="center"/>
          </w:tcPr>
          <w:p w14:paraId="1B082B69">
            <w:pPr>
              <w:spacing w:line="320" w:lineRule="exact"/>
              <w:jc w:val="left"/>
              <w:rPr>
                <w:color w:val="000000"/>
                <w:kern w:val="0"/>
                <w:sz w:val="18"/>
                <w:szCs w:val="18"/>
              </w:rPr>
            </w:pPr>
          </w:p>
        </w:tc>
        <w:tc>
          <w:tcPr>
            <w:tcW w:w="5740" w:type="dxa"/>
            <w:tcBorders>
              <w:top w:val="nil"/>
              <w:left w:val="nil"/>
              <w:bottom w:val="single" w:color="auto" w:sz="4" w:space="0"/>
              <w:right w:val="single" w:color="auto" w:sz="4" w:space="0"/>
            </w:tcBorders>
            <w:vAlign w:val="center"/>
          </w:tcPr>
          <w:p w14:paraId="3ED600C1">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5AB5AE3F">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7FDD8E43"/>
    <w:p w14:paraId="45E387F0"/>
    <w:p w14:paraId="6CAF43CA"/>
    <w:p w14:paraId="6F6EDD9B"/>
    <w:p w14:paraId="729ACB79"/>
    <w:p w14:paraId="088EF8F0"/>
    <w:p w14:paraId="15E3702E"/>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17C2F6F8">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B4B8727">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3247305B">
            <w:pPr>
              <w:spacing w:line="320" w:lineRule="exact"/>
              <w:jc w:val="left"/>
              <w:rPr>
                <w:rFonts w:eastAsia="仿宋_GB2312"/>
                <w:b/>
                <w:bCs/>
                <w:color w:val="000000"/>
                <w:kern w:val="0"/>
                <w:sz w:val="18"/>
                <w:szCs w:val="18"/>
              </w:rPr>
            </w:pPr>
            <w:r>
              <w:rPr>
                <w:rFonts w:eastAsia="仿宋_GB2312"/>
                <w:b/>
                <w:bCs/>
                <w:color w:val="000000"/>
                <w:kern w:val="0"/>
                <w:sz w:val="18"/>
                <w:szCs w:val="18"/>
              </w:rPr>
              <w:t>320217169000</w:t>
            </w:r>
            <w:r>
              <w:rPr>
                <w:rFonts w:hint="eastAsia" w:eastAsia="仿宋_GB2312"/>
                <w:b/>
                <w:bCs/>
                <w:color w:val="000000"/>
                <w:kern w:val="0"/>
                <w:sz w:val="18"/>
                <w:szCs w:val="18"/>
              </w:rPr>
              <w:t xml:space="preserve"> </w:t>
            </w:r>
          </w:p>
        </w:tc>
      </w:tr>
      <w:tr w14:paraId="7FE3B18B">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94DF799">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3463DCDF">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未按规定办理证书变更的处罚</w:t>
            </w:r>
          </w:p>
        </w:tc>
      </w:tr>
      <w:tr w14:paraId="4B7E6E81">
        <w:tblPrEx>
          <w:tblCellMar>
            <w:top w:w="0" w:type="dxa"/>
            <w:left w:w="108" w:type="dxa"/>
            <w:bottom w:w="0" w:type="dxa"/>
            <w:right w:w="108" w:type="dxa"/>
          </w:tblCellMar>
        </w:tblPrEx>
        <w:trPr>
          <w:trHeight w:val="869" w:hRule="atLeast"/>
        </w:trPr>
        <w:tc>
          <w:tcPr>
            <w:tcW w:w="1010" w:type="dxa"/>
            <w:tcBorders>
              <w:top w:val="nil"/>
              <w:left w:val="single" w:color="auto" w:sz="8" w:space="0"/>
              <w:bottom w:val="single" w:color="auto" w:sz="4" w:space="0"/>
              <w:right w:val="single" w:color="auto" w:sz="4" w:space="0"/>
            </w:tcBorders>
            <w:vAlign w:val="center"/>
          </w:tcPr>
          <w:p w14:paraId="19143A13">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4591D5FB">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号）　</w:t>
            </w:r>
          </w:p>
          <w:p w14:paraId="56EDF3BD">
            <w:pPr>
              <w:spacing w:line="320" w:lineRule="exact"/>
              <w:jc w:val="left"/>
              <w:rPr>
                <w:color w:val="000000"/>
                <w:kern w:val="0"/>
                <w:sz w:val="18"/>
                <w:szCs w:val="18"/>
              </w:rPr>
            </w:pPr>
            <w:r>
              <w:rPr>
                <w:rFonts w:hint="eastAsia"/>
                <w:color w:val="000000"/>
                <w:kern w:val="0"/>
                <w:sz w:val="18"/>
                <w:szCs w:val="18"/>
              </w:rPr>
              <w:t>　　第三十一条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未按规定办理证书变更的，由县级以上地方人民政府住房城乡建设主管部门责令限期改正，并处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38C110E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11EA99F">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0CEB7BF8">
            <w:pPr>
              <w:spacing w:line="320" w:lineRule="exact"/>
              <w:jc w:val="left"/>
              <w:rPr>
                <w:color w:val="000000"/>
                <w:kern w:val="0"/>
                <w:sz w:val="18"/>
                <w:szCs w:val="18"/>
              </w:rPr>
            </w:pPr>
            <w:r>
              <w:rPr>
                <w:rFonts w:hint="eastAsia"/>
                <w:color w:val="000000"/>
                <w:kern w:val="0"/>
                <w:sz w:val="18"/>
                <w:szCs w:val="18"/>
              </w:rPr>
              <w:t>罚款</w:t>
            </w:r>
          </w:p>
        </w:tc>
      </w:tr>
      <w:tr w14:paraId="3AD43B9B">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0DCB1237">
            <w:pPr>
              <w:spacing w:line="320" w:lineRule="exact"/>
              <w:jc w:val="center"/>
              <w:rPr>
                <w:color w:val="000000"/>
                <w:kern w:val="0"/>
                <w:sz w:val="18"/>
                <w:szCs w:val="18"/>
              </w:rPr>
            </w:pPr>
            <w:r>
              <w:rPr>
                <w:rFonts w:hint="eastAsia"/>
                <w:color w:val="000000"/>
                <w:kern w:val="0"/>
                <w:sz w:val="18"/>
                <w:szCs w:val="18"/>
              </w:rPr>
              <w:t>裁量基准</w:t>
            </w:r>
          </w:p>
        </w:tc>
      </w:tr>
      <w:tr w14:paraId="7C66B4FD">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1C30B3C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30D31E1">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color="auto" w:sz="4" w:space="0"/>
              <w:bottom w:val="single" w:color="auto" w:sz="4" w:space="0"/>
              <w:right w:val="single" w:color="auto" w:sz="4" w:space="0"/>
            </w:tcBorders>
            <w:vAlign w:val="center"/>
          </w:tcPr>
          <w:p w14:paraId="597BED6A">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1EE2241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50421FDB">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0DD5D88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A9F47C6">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val="continue"/>
            <w:tcBorders>
              <w:top w:val="nil"/>
              <w:left w:val="single" w:color="auto" w:sz="4" w:space="0"/>
              <w:bottom w:val="single" w:color="auto" w:sz="4" w:space="0"/>
              <w:right w:val="single" w:color="auto" w:sz="4" w:space="0"/>
            </w:tcBorders>
            <w:vAlign w:val="center"/>
          </w:tcPr>
          <w:p w14:paraId="43A40F32">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vAlign w:val="center"/>
          </w:tcPr>
          <w:p w14:paraId="44B2F7E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3684FB5A"/>
    <w:p w14:paraId="765AD0E0"/>
    <w:p w14:paraId="173CA217"/>
    <w:p w14:paraId="3206ABF0"/>
    <w:p w14:paraId="5796BD3C"/>
    <w:p w14:paraId="4A6C23E1"/>
    <w:p w14:paraId="0B406A11"/>
    <w:p w14:paraId="7E2B6108"/>
    <w:p w14:paraId="498D8C9B"/>
    <w:p w14:paraId="169C9C7F"/>
    <w:p w14:paraId="066A2950"/>
    <w:p w14:paraId="1236CB2C"/>
    <w:tbl>
      <w:tblPr>
        <w:tblStyle w:val="15"/>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6140"/>
        <w:gridCol w:w="1120"/>
        <w:gridCol w:w="5774"/>
      </w:tblGrid>
      <w:tr w14:paraId="7557A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6" w:type="dxa"/>
            <w:tcBorders>
              <w:top w:val="single" w:color="auto" w:sz="8" w:space="0"/>
            </w:tcBorders>
            <w:vAlign w:val="center"/>
          </w:tcPr>
          <w:p w14:paraId="710AADD9">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tcBorders>
            <w:vAlign w:val="center"/>
          </w:tcPr>
          <w:p w14:paraId="407F881D">
            <w:pPr>
              <w:spacing w:line="320" w:lineRule="exact"/>
              <w:jc w:val="left"/>
              <w:rPr>
                <w:rFonts w:eastAsia="仿宋_GB2312"/>
                <w:b/>
                <w:bCs/>
                <w:color w:val="000000"/>
                <w:kern w:val="0"/>
                <w:sz w:val="18"/>
                <w:szCs w:val="18"/>
              </w:rPr>
            </w:pPr>
            <w:r>
              <w:rPr>
                <w:rFonts w:eastAsia="仿宋_GB2312"/>
                <w:b/>
                <w:bCs/>
                <w:color w:val="000000"/>
                <w:kern w:val="0"/>
                <w:sz w:val="18"/>
                <w:szCs w:val="18"/>
              </w:rPr>
              <w:t>320217170000</w:t>
            </w:r>
            <w:r>
              <w:rPr>
                <w:rFonts w:hint="eastAsia" w:eastAsia="仿宋_GB2312"/>
                <w:b/>
                <w:bCs/>
                <w:color w:val="000000"/>
                <w:kern w:val="0"/>
                <w:sz w:val="18"/>
                <w:szCs w:val="18"/>
              </w:rPr>
              <w:t xml:space="preserve"> </w:t>
            </w:r>
          </w:p>
        </w:tc>
      </w:tr>
      <w:tr w14:paraId="448C4E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6" w:type="dxa"/>
            <w:vAlign w:val="center"/>
          </w:tcPr>
          <w:p w14:paraId="6DDE5AAA">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vAlign w:val="center"/>
          </w:tcPr>
          <w:p w14:paraId="723D3B16">
            <w:pPr>
              <w:spacing w:line="320" w:lineRule="exact"/>
              <w:jc w:val="left"/>
              <w:rPr>
                <w:color w:val="000000"/>
                <w:kern w:val="0"/>
                <w:sz w:val="18"/>
                <w:szCs w:val="18"/>
              </w:rPr>
            </w:pPr>
            <w:r>
              <w:rPr>
                <w:rFonts w:hint="eastAsia"/>
                <w:color w:val="000000"/>
                <w:kern w:val="0"/>
                <w:sz w:val="18"/>
                <w:szCs w:val="18"/>
              </w:rPr>
              <w:t>对主要负责人、项目负责人未按规定履行安全生产管理职责的处罚</w:t>
            </w:r>
          </w:p>
        </w:tc>
      </w:tr>
      <w:tr w14:paraId="6A2C4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1026" w:type="dxa"/>
            <w:vAlign w:val="center"/>
          </w:tcPr>
          <w:p w14:paraId="22AF21A7">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vAlign w:val="center"/>
          </w:tcPr>
          <w:p w14:paraId="444E5B1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号）　</w:t>
            </w:r>
          </w:p>
          <w:p w14:paraId="4F0E25E8">
            <w:pPr>
              <w:spacing w:line="320" w:lineRule="exact"/>
              <w:jc w:val="left"/>
              <w:rPr>
                <w:color w:val="000000"/>
                <w:kern w:val="0"/>
                <w:sz w:val="18"/>
                <w:szCs w:val="18"/>
              </w:rPr>
            </w:pPr>
            <w:r>
              <w:rPr>
                <w:rFonts w:hint="eastAsia"/>
                <w:color w:val="000000"/>
                <w:kern w:val="0"/>
                <w:sz w:val="18"/>
                <w:szCs w:val="18"/>
              </w:rPr>
              <w:t>　　第三十二条　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w:t>
            </w:r>
          </w:p>
          <w:p w14:paraId="04DAA960">
            <w:pPr>
              <w:spacing w:line="320" w:lineRule="exact"/>
              <w:jc w:val="left"/>
              <w:rPr>
                <w:color w:val="000000"/>
                <w:kern w:val="0"/>
                <w:sz w:val="18"/>
                <w:szCs w:val="18"/>
              </w:rPr>
            </w:pPr>
            <w:r>
              <w:rPr>
                <w:rFonts w:hint="eastAsia"/>
                <w:color w:val="000000"/>
                <w:kern w:val="0"/>
                <w:sz w:val="18"/>
                <w:szCs w:val="18"/>
              </w:rPr>
              <w:t>　　主要负责人、项目负责人有前款违法行为，尚不够刑事处罚的，处</w:t>
            </w:r>
            <w:r>
              <w:rPr>
                <w:color w:val="000000"/>
                <w:kern w:val="0"/>
                <w:sz w:val="18"/>
                <w:szCs w:val="18"/>
              </w:rPr>
              <w:t>2</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万元以下的罚款或者按照管理权限给予撤职处分；自刑罚执行完毕或者受处分之日起，</w:t>
            </w:r>
            <w:r>
              <w:rPr>
                <w:color w:val="000000"/>
                <w:kern w:val="0"/>
                <w:sz w:val="18"/>
                <w:szCs w:val="18"/>
              </w:rPr>
              <w:t>5</w:t>
            </w:r>
            <w:r>
              <w:rPr>
                <w:rFonts w:hint="eastAsia"/>
                <w:color w:val="000000"/>
                <w:kern w:val="0"/>
                <w:sz w:val="18"/>
                <w:szCs w:val="18"/>
              </w:rPr>
              <w:t>年内不得担任建筑施工企业的主要负责人、项目负责人。</w:t>
            </w:r>
          </w:p>
        </w:tc>
      </w:tr>
      <w:tr w14:paraId="240D33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6" w:type="dxa"/>
            <w:vAlign w:val="center"/>
          </w:tcPr>
          <w:p w14:paraId="53907507">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vAlign w:val="center"/>
          </w:tcPr>
          <w:p w14:paraId="5FC63D6D">
            <w:pPr>
              <w:spacing w:line="320" w:lineRule="exact"/>
              <w:jc w:val="left"/>
              <w:rPr>
                <w:color w:val="000000"/>
                <w:kern w:val="0"/>
                <w:sz w:val="18"/>
                <w:szCs w:val="18"/>
              </w:rPr>
            </w:pPr>
            <w:r>
              <w:rPr>
                <w:rFonts w:hint="eastAsia"/>
                <w:color w:val="000000"/>
                <w:kern w:val="0"/>
                <w:sz w:val="18"/>
                <w:szCs w:val="18"/>
              </w:rPr>
              <w:t>责令停业整顿，罚款</w:t>
            </w:r>
            <w:r>
              <w:rPr>
                <w:color w:val="000000"/>
                <w:kern w:val="0"/>
                <w:sz w:val="18"/>
                <w:szCs w:val="18"/>
              </w:rPr>
              <w:t xml:space="preserve"> </w:t>
            </w:r>
          </w:p>
        </w:tc>
      </w:tr>
      <w:tr w14:paraId="458BBA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60" w:type="dxa"/>
            <w:gridSpan w:val="4"/>
            <w:vAlign w:val="center"/>
          </w:tcPr>
          <w:p w14:paraId="56B2E989">
            <w:pPr>
              <w:spacing w:line="320" w:lineRule="exact"/>
              <w:jc w:val="center"/>
              <w:rPr>
                <w:color w:val="000000"/>
                <w:kern w:val="0"/>
                <w:sz w:val="18"/>
                <w:szCs w:val="18"/>
              </w:rPr>
            </w:pPr>
            <w:r>
              <w:rPr>
                <w:rFonts w:hint="eastAsia"/>
                <w:color w:val="000000"/>
                <w:kern w:val="0"/>
                <w:sz w:val="18"/>
                <w:szCs w:val="18"/>
              </w:rPr>
              <w:t>裁量基准</w:t>
            </w:r>
          </w:p>
        </w:tc>
      </w:tr>
      <w:tr w14:paraId="02D7A2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26" w:type="dxa"/>
            <w:vMerge w:val="restart"/>
            <w:vAlign w:val="center"/>
          </w:tcPr>
          <w:p w14:paraId="78AD46F9">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489E0934">
            <w:pPr>
              <w:spacing w:line="320" w:lineRule="exact"/>
              <w:jc w:val="left"/>
              <w:rPr>
                <w:color w:val="000000"/>
                <w:kern w:val="0"/>
                <w:sz w:val="18"/>
                <w:szCs w:val="18"/>
              </w:rPr>
            </w:pPr>
            <w:r>
              <w:rPr>
                <w:rFonts w:hint="eastAsia"/>
                <w:color w:val="000000"/>
                <w:kern w:val="0"/>
                <w:sz w:val="18"/>
                <w:szCs w:val="18"/>
              </w:rPr>
              <w:t>按照要求改正的，未造成安全事故的</w:t>
            </w:r>
          </w:p>
        </w:tc>
        <w:tc>
          <w:tcPr>
            <w:tcW w:w="1120" w:type="dxa"/>
            <w:vMerge w:val="restart"/>
            <w:vAlign w:val="center"/>
          </w:tcPr>
          <w:p w14:paraId="311D71C9">
            <w:pPr>
              <w:spacing w:line="320" w:lineRule="exact"/>
              <w:jc w:val="center"/>
              <w:rPr>
                <w:color w:val="000000"/>
                <w:kern w:val="0"/>
                <w:sz w:val="18"/>
                <w:szCs w:val="18"/>
              </w:rPr>
            </w:pPr>
            <w:r>
              <w:rPr>
                <w:rFonts w:hint="eastAsia"/>
                <w:color w:val="000000"/>
                <w:kern w:val="0"/>
                <w:sz w:val="18"/>
                <w:szCs w:val="18"/>
              </w:rPr>
              <w:t>裁量幅度</w:t>
            </w:r>
          </w:p>
        </w:tc>
        <w:tc>
          <w:tcPr>
            <w:tcW w:w="5774" w:type="dxa"/>
            <w:vAlign w:val="center"/>
          </w:tcPr>
          <w:p w14:paraId="75248E2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万元以上10万元以下罚款</w:t>
            </w:r>
          </w:p>
        </w:tc>
      </w:tr>
      <w:tr w14:paraId="4697BC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026" w:type="dxa"/>
            <w:vMerge w:val="continue"/>
            <w:vAlign w:val="center"/>
          </w:tcPr>
          <w:p w14:paraId="3F433B19">
            <w:pPr>
              <w:spacing w:line="320" w:lineRule="exact"/>
              <w:jc w:val="center"/>
              <w:rPr>
                <w:color w:val="000000"/>
                <w:kern w:val="0"/>
                <w:sz w:val="18"/>
                <w:szCs w:val="18"/>
              </w:rPr>
            </w:pPr>
          </w:p>
        </w:tc>
        <w:tc>
          <w:tcPr>
            <w:tcW w:w="6140" w:type="dxa"/>
            <w:vAlign w:val="center"/>
          </w:tcPr>
          <w:p w14:paraId="59B94999">
            <w:pPr>
              <w:spacing w:line="320" w:lineRule="exact"/>
              <w:jc w:val="left"/>
              <w:rPr>
                <w:color w:val="000000"/>
                <w:kern w:val="0"/>
                <w:sz w:val="18"/>
                <w:szCs w:val="18"/>
              </w:rPr>
            </w:pPr>
            <w:r>
              <w:rPr>
                <w:rFonts w:hint="eastAsia"/>
                <w:color w:val="000000"/>
                <w:kern w:val="0"/>
                <w:sz w:val="18"/>
                <w:szCs w:val="18"/>
              </w:rPr>
              <w:t>未按照要求改正的，未造成安全事故的</w:t>
            </w:r>
          </w:p>
        </w:tc>
        <w:tc>
          <w:tcPr>
            <w:tcW w:w="1120" w:type="dxa"/>
            <w:vMerge w:val="continue"/>
            <w:vAlign w:val="center"/>
          </w:tcPr>
          <w:p w14:paraId="6C97CC55">
            <w:pPr>
              <w:spacing w:line="320" w:lineRule="exact"/>
              <w:jc w:val="center"/>
              <w:rPr>
                <w:color w:val="000000"/>
                <w:kern w:val="0"/>
                <w:sz w:val="18"/>
                <w:szCs w:val="18"/>
              </w:rPr>
            </w:pPr>
          </w:p>
        </w:tc>
        <w:tc>
          <w:tcPr>
            <w:tcW w:w="5774" w:type="dxa"/>
            <w:vAlign w:val="center"/>
          </w:tcPr>
          <w:p w14:paraId="08A4F562">
            <w:pPr>
              <w:spacing w:line="320" w:lineRule="exact"/>
              <w:jc w:val="left"/>
              <w:rPr>
                <w:color w:val="000000"/>
                <w:kern w:val="0"/>
                <w:sz w:val="18"/>
                <w:szCs w:val="18"/>
              </w:rPr>
            </w:pPr>
            <w:r>
              <w:rPr>
                <w:rFonts w:hint="eastAsia"/>
                <w:color w:val="000000"/>
                <w:kern w:val="0"/>
                <w:sz w:val="18"/>
                <w:szCs w:val="18"/>
              </w:rPr>
              <w:t>处10万元以上15万元以下罚款</w:t>
            </w:r>
          </w:p>
        </w:tc>
      </w:tr>
      <w:tr w14:paraId="0A8D06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6" w:type="dxa"/>
            <w:vMerge w:val="continue"/>
            <w:vAlign w:val="center"/>
          </w:tcPr>
          <w:p w14:paraId="11C27EB1">
            <w:pPr>
              <w:spacing w:line="320" w:lineRule="exact"/>
              <w:jc w:val="center"/>
              <w:rPr>
                <w:color w:val="000000"/>
                <w:kern w:val="0"/>
                <w:sz w:val="18"/>
                <w:szCs w:val="18"/>
              </w:rPr>
            </w:pPr>
          </w:p>
        </w:tc>
        <w:tc>
          <w:tcPr>
            <w:tcW w:w="6140" w:type="dxa"/>
            <w:vAlign w:val="center"/>
          </w:tcPr>
          <w:p w14:paraId="768605C1">
            <w:pPr>
              <w:rPr>
                <w:color w:val="000000"/>
                <w:kern w:val="0"/>
                <w:sz w:val="18"/>
                <w:szCs w:val="18"/>
              </w:rPr>
            </w:pPr>
            <w:r>
              <w:rPr>
                <w:rFonts w:hint="eastAsia"/>
                <w:color w:val="000000"/>
                <w:kern w:val="0"/>
                <w:sz w:val="18"/>
                <w:szCs w:val="18"/>
              </w:rPr>
              <w:t>造成一般生产安全事故的</w:t>
            </w:r>
          </w:p>
        </w:tc>
        <w:tc>
          <w:tcPr>
            <w:tcW w:w="1120" w:type="dxa"/>
            <w:vMerge w:val="continue"/>
            <w:vAlign w:val="center"/>
          </w:tcPr>
          <w:p w14:paraId="062207B2">
            <w:pPr>
              <w:spacing w:line="320" w:lineRule="exact"/>
              <w:jc w:val="center"/>
              <w:rPr>
                <w:color w:val="000000"/>
                <w:kern w:val="0"/>
                <w:sz w:val="18"/>
                <w:szCs w:val="18"/>
              </w:rPr>
            </w:pPr>
          </w:p>
        </w:tc>
        <w:tc>
          <w:tcPr>
            <w:tcW w:w="5774" w:type="dxa"/>
          </w:tcPr>
          <w:p w14:paraId="79B44FC6">
            <w:pPr>
              <w:spacing w:line="320" w:lineRule="exact"/>
              <w:jc w:val="left"/>
              <w:rPr>
                <w:color w:val="000000"/>
                <w:kern w:val="0"/>
                <w:sz w:val="18"/>
                <w:szCs w:val="18"/>
              </w:rPr>
            </w:pPr>
            <w:r>
              <w:rPr>
                <w:rFonts w:hint="eastAsia"/>
                <w:color w:val="000000"/>
                <w:kern w:val="0"/>
                <w:sz w:val="18"/>
                <w:szCs w:val="18"/>
              </w:rPr>
              <w:t>处15万元以上18万元以下罚款，暂扣安全生产考核合格证书1年</w:t>
            </w:r>
          </w:p>
        </w:tc>
      </w:tr>
      <w:tr w14:paraId="60E5D1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026" w:type="dxa"/>
            <w:vMerge w:val="continue"/>
            <w:vAlign w:val="center"/>
          </w:tcPr>
          <w:p w14:paraId="26226D6C">
            <w:pPr>
              <w:spacing w:line="320" w:lineRule="exact"/>
              <w:jc w:val="center"/>
              <w:rPr>
                <w:color w:val="000000"/>
                <w:kern w:val="0"/>
                <w:sz w:val="18"/>
                <w:szCs w:val="18"/>
              </w:rPr>
            </w:pPr>
          </w:p>
        </w:tc>
        <w:tc>
          <w:tcPr>
            <w:tcW w:w="6140" w:type="dxa"/>
          </w:tcPr>
          <w:p w14:paraId="6AEF3B94">
            <w:pPr>
              <w:spacing w:line="320" w:lineRule="exact"/>
              <w:jc w:val="left"/>
              <w:rPr>
                <w:color w:val="000000"/>
                <w:kern w:val="0"/>
                <w:sz w:val="18"/>
                <w:szCs w:val="18"/>
              </w:rPr>
            </w:pPr>
            <w:r>
              <w:rPr>
                <w:rFonts w:hint="eastAsia"/>
                <w:color w:val="000000"/>
                <w:kern w:val="0"/>
                <w:sz w:val="18"/>
                <w:szCs w:val="18"/>
              </w:rPr>
              <w:t>造成较大及以上生产安全事故的</w:t>
            </w:r>
          </w:p>
        </w:tc>
        <w:tc>
          <w:tcPr>
            <w:tcW w:w="1120" w:type="dxa"/>
            <w:vMerge w:val="continue"/>
            <w:vAlign w:val="center"/>
          </w:tcPr>
          <w:p w14:paraId="2971D379">
            <w:pPr>
              <w:spacing w:line="320" w:lineRule="exact"/>
              <w:jc w:val="center"/>
              <w:rPr>
                <w:color w:val="000000"/>
                <w:kern w:val="0"/>
                <w:sz w:val="18"/>
                <w:szCs w:val="18"/>
              </w:rPr>
            </w:pPr>
          </w:p>
        </w:tc>
        <w:tc>
          <w:tcPr>
            <w:tcW w:w="5774" w:type="dxa"/>
          </w:tcPr>
          <w:p w14:paraId="29B0E6C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8万元以上</w:t>
            </w:r>
            <w:r>
              <w:rPr>
                <w:color w:val="000000"/>
                <w:kern w:val="0"/>
                <w:sz w:val="18"/>
                <w:szCs w:val="18"/>
              </w:rPr>
              <w:t>20</w:t>
            </w:r>
            <w:r>
              <w:rPr>
                <w:rFonts w:hint="eastAsia"/>
                <w:color w:val="000000"/>
                <w:kern w:val="0"/>
                <w:sz w:val="18"/>
                <w:szCs w:val="18"/>
              </w:rPr>
              <w:t>万元以下罚款，吊销安全生产考核合格证书</w:t>
            </w:r>
          </w:p>
        </w:tc>
      </w:tr>
    </w:tbl>
    <w:p w14:paraId="627C4BB7"/>
    <w:p w14:paraId="6D8AFC89"/>
    <w:p w14:paraId="0039AB22"/>
    <w:p w14:paraId="30A36252"/>
    <w:p w14:paraId="3B87CFDE"/>
    <w:p w14:paraId="6BBE28C4"/>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74894BC8">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E6383ED">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773EAEEA">
            <w:pPr>
              <w:spacing w:line="320" w:lineRule="exact"/>
              <w:jc w:val="left"/>
              <w:rPr>
                <w:rFonts w:eastAsia="仿宋_GB2312"/>
                <w:b/>
                <w:bCs/>
                <w:color w:val="000000"/>
                <w:kern w:val="0"/>
                <w:sz w:val="18"/>
                <w:szCs w:val="18"/>
              </w:rPr>
            </w:pPr>
            <w:r>
              <w:rPr>
                <w:rFonts w:eastAsia="仿宋_GB2312"/>
                <w:b/>
                <w:bCs/>
                <w:color w:val="000000"/>
                <w:kern w:val="0"/>
                <w:sz w:val="18"/>
                <w:szCs w:val="18"/>
              </w:rPr>
              <w:t>320217174000</w:t>
            </w:r>
          </w:p>
        </w:tc>
      </w:tr>
      <w:tr w14:paraId="186C99F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3F9B5CD">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3F99A3C5">
            <w:pPr>
              <w:spacing w:line="320" w:lineRule="exact"/>
              <w:jc w:val="left"/>
              <w:rPr>
                <w:color w:val="000000"/>
                <w:kern w:val="0"/>
                <w:sz w:val="18"/>
                <w:szCs w:val="18"/>
              </w:rPr>
            </w:pPr>
            <w:r>
              <w:rPr>
                <w:rFonts w:hint="eastAsia"/>
                <w:color w:val="000000"/>
                <w:kern w:val="0"/>
                <w:sz w:val="18"/>
                <w:szCs w:val="18"/>
              </w:rPr>
              <w:t>对城市低收入住房困难家庭隐瞒有关情况或者提供虚假材料申请廉租住房保障的处罚</w:t>
            </w:r>
          </w:p>
        </w:tc>
      </w:tr>
      <w:tr w14:paraId="06A0CE1D">
        <w:tblPrEx>
          <w:tblCellMar>
            <w:top w:w="0" w:type="dxa"/>
            <w:left w:w="108" w:type="dxa"/>
            <w:bottom w:w="0" w:type="dxa"/>
            <w:right w:w="108" w:type="dxa"/>
          </w:tblCellMar>
        </w:tblPrEx>
        <w:trPr>
          <w:trHeight w:val="2535" w:hRule="atLeast"/>
        </w:trPr>
        <w:tc>
          <w:tcPr>
            <w:tcW w:w="1056" w:type="dxa"/>
            <w:tcBorders>
              <w:top w:val="nil"/>
              <w:left w:val="single" w:color="auto" w:sz="8" w:space="0"/>
              <w:bottom w:val="single" w:color="auto" w:sz="4" w:space="0"/>
              <w:right w:val="single" w:color="auto" w:sz="4" w:space="0"/>
            </w:tcBorders>
            <w:vAlign w:val="center"/>
          </w:tcPr>
          <w:p w14:paraId="444CAB02">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22A1A692">
            <w:pPr>
              <w:spacing w:line="320" w:lineRule="exact"/>
              <w:jc w:val="left"/>
              <w:rPr>
                <w:color w:val="000000"/>
                <w:kern w:val="0"/>
                <w:sz w:val="18"/>
                <w:szCs w:val="18"/>
              </w:rPr>
            </w:pPr>
            <w:r>
              <w:rPr>
                <w:rFonts w:hint="eastAsia"/>
                <w:color w:val="000000"/>
                <w:kern w:val="0"/>
                <w:sz w:val="18"/>
                <w:szCs w:val="18"/>
              </w:rPr>
              <w:t>【规章】《廉租住房保障办法》（建设部 国家发展和改革委员会　监察部民政部　财政部　国土资源部　中国人民银行　国家税务总局国家统计局令第162号公布）</w:t>
            </w:r>
          </w:p>
          <w:p w14:paraId="3DDD06C5">
            <w:pPr>
              <w:spacing w:line="320" w:lineRule="exact"/>
              <w:jc w:val="left"/>
              <w:rPr>
                <w:color w:val="000000"/>
                <w:kern w:val="0"/>
                <w:sz w:val="18"/>
                <w:szCs w:val="18"/>
              </w:rPr>
            </w:pPr>
            <w:r>
              <w:rPr>
                <w:rFonts w:hint="eastAsia"/>
                <w:color w:val="000000"/>
                <w:kern w:val="0"/>
                <w:sz w:val="18"/>
                <w:szCs w:val="18"/>
              </w:rPr>
              <w:t xml:space="preserve">       第十八条　建设（住房保障）主管部门、民政等有关部门以及街道办事处、镇人民政府，可以通过入户调查、邻里访问以及信函索证等方式对申请人的家庭收入和住房状况等进行核实。申请人及有关单位和个人应当予以配合，如实提供有关情况。</w:t>
            </w:r>
          </w:p>
          <w:p w14:paraId="586D5F68">
            <w:pPr>
              <w:spacing w:line="320" w:lineRule="exact"/>
              <w:jc w:val="left"/>
              <w:rPr>
                <w:color w:val="000000"/>
                <w:kern w:val="0"/>
                <w:sz w:val="18"/>
                <w:szCs w:val="18"/>
              </w:rPr>
            </w:pPr>
            <w:r>
              <w:rPr>
                <w:rFonts w:hint="eastAsia"/>
                <w:color w:val="000000"/>
                <w:kern w:val="0"/>
                <w:sz w:val="18"/>
                <w:szCs w:val="18"/>
              </w:rPr>
              <w:t xml:space="preserve">       第二十九条  城市低收入住房困难家庭隐瞒有关情况或者提供虚假材料申请廉租住房保障的，建设（住房保障）主管部门不予受理，并给予警告。</w:t>
            </w:r>
          </w:p>
          <w:p w14:paraId="72189038">
            <w:pPr>
              <w:spacing w:line="320" w:lineRule="exact"/>
              <w:jc w:val="left"/>
              <w:rPr>
                <w:color w:val="000000"/>
                <w:kern w:val="0"/>
                <w:sz w:val="18"/>
                <w:szCs w:val="18"/>
              </w:rPr>
            </w:pPr>
            <w:r>
              <w:rPr>
                <w:rFonts w:hint="eastAsia"/>
                <w:color w:val="000000"/>
                <w:kern w:val="0"/>
                <w:sz w:val="18"/>
                <w:szCs w:val="18"/>
              </w:rPr>
              <w:t>【规章】《江苏省廉租住房保障办法》（江苏省人民政府令第50号）</w:t>
            </w:r>
          </w:p>
          <w:p w14:paraId="0F6BA0AF">
            <w:pPr>
              <w:spacing w:line="320" w:lineRule="exact"/>
              <w:jc w:val="left"/>
              <w:rPr>
                <w:color w:val="000000"/>
                <w:kern w:val="0"/>
                <w:sz w:val="18"/>
                <w:szCs w:val="18"/>
              </w:rPr>
            </w:pPr>
            <w:r>
              <w:rPr>
                <w:rFonts w:hint="eastAsia"/>
                <w:color w:val="000000"/>
                <w:kern w:val="0"/>
                <w:sz w:val="18"/>
                <w:szCs w:val="18"/>
              </w:rPr>
              <w:t xml:space="preserve">       第二十三条  市、县人民政府住房保障、民政等有关部门以及街道办事处、镇人民政府，可以通过入户调查、邻里访问、信函索证及公示等方式对申请人的家庭收入和住房状况等进行核实。申请人及有关单位和个人应当予以配合，如实提供有关情况。</w:t>
            </w:r>
          </w:p>
          <w:p w14:paraId="6C8DF4C0">
            <w:pPr>
              <w:spacing w:line="320" w:lineRule="exact"/>
              <w:jc w:val="left"/>
              <w:rPr>
                <w:color w:val="000000"/>
                <w:kern w:val="0"/>
                <w:sz w:val="18"/>
                <w:szCs w:val="18"/>
              </w:rPr>
            </w:pPr>
            <w:r>
              <w:rPr>
                <w:rFonts w:hint="eastAsia"/>
                <w:color w:val="000000"/>
                <w:kern w:val="0"/>
                <w:sz w:val="18"/>
                <w:szCs w:val="18"/>
              </w:rPr>
              <w:t xml:space="preserve">       第三十一条  隐瞒有关情况或者提供虚假材料申请廉租住房保障的，街道办事处或者镇人民政府，市、县人民政府住房保障主管部门不予受理，并给予警告。</w:t>
            </w:r>
          </w:p>
        </w:tc>
      </w:tr>
      <w:tr w14:paraId="13748B2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B2C7910">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30779492">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 xml:space="preserve"> </w:t>
            </w:r>
          </w:p>
        </w:tc>
      </w:tr>
      <w:tr w14:paraId="6B54F67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F06354A">
            <w:pPr>
              <w:spacing w:line="320" w:lineRule="exact"/>
              <w:jc w:val="center"/>
              <w:rPr>
                <w:color w:val="000000"/>
                <w:kern w:val="0"/>
                <w:sz w:val="18"/>
                <w:szCs w:val="18"/>
              </w:rPr>
            </w:pPr>
            <w:r>
              <w:rPr>
                <w:rFonts w:hint="eastAsia"/>
                <w:color w:val="000000"/>
                <w:kern w:val="0"/>
                <w:sz w:val="18"/>
                <w:szCs w:val="18"/>
              </w:rPr>
              <w:t>裁量基准</w:t>
            </w:r>
          </w:p>
        </w:tc>
      </w:tr>
      <w:tr w14:paraId="4EE94F5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ABF218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273E5F1">
            <w:pPr>
              <w:spacing w:line="320" w:lineRule="exact"/>
              <w:jc w:val="left"/>
              <w:rPr>
                <w:color w:val="000000"/>
                <w:kern w:val="0"/>
                <w:sz w:val="18"/>
                <w:szCs w:val="18"/>
              </w:rPr>
            </w:pPr>
            <w:r>
              <w:rPr>
                <w:rFonts w:hint="eastAsia"/>
                <w:color w:val="000000"/>
                <w:kern w:val="0"/>
                <w:sz w:val="18"/>
                <w:szCs w:val="18"/>
              </w:rPr>
              <w:t>　</w:t>
            </w:r>
          </w:p>
        </w:tc>
        <w:tc>
          <w:tcPr>
            <w:tcW w:w="1060" w:type="dxa"/>
            <w:tcBorders>
              <w:top w:val="nil"/>
              <w:left w:val="nil"/>
              <w:bottom w:val="single" w:color="auto" w:sz="4" w:space="0"/>
              <w:right w:val="single" w:color="auto" w:sz="4" w:space="0"/>
            </w:tcBorders>
            <w:vAlign w:val="center"/>
          </w:tcPr>
          <w:p w14:paraId="65023B56">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A55CEF3">
            <w:pPr>
              <w:spacing w:line="320" w:lineRule="exact"/>
              <w:jc w:val="left"/>
              <w:rPr>
                <w:color w:val="000000"/>
                <w:kern w:val="0"/>
                <w:sz w:val="18"/>
                <w:szCs w:val="18"/>
              </w:rPr>
            </w:pPr>
          </w:p>
        </w:tc>
      </w:tr>
    </w:tbl>
    <w:p w14:paraId="684B99D5"/>
    <w:p w14:paraId="6B1CECCC"/>
    <w:p w14:paraId="287E2BBF"/>
    <w:p w14:paraId="1598D645"/>
    <w:p w14:paraId="6F5E6685"/>
    <w:p w14:paraId="15118A3E"/>
    <w:p w14:paraId="0D73DC24"/>
    <w:p w14:paraId="2C8E9EE0"/>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0FEBA00B">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5ADAB5C">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594A8806">
            <w:pPr>
              <w:spacing w:line="320" w:lineRule="exact"/>
              <w:jc w:val="left"/>
              <w:rPr>
                <w:rFonts w:eastAsia="仿宋_GB2312"/>
                <w:b/>
                <w:bCs/>
                <w:color w:val="000000"/>
                <w:kern w:val="0"/>
                <w:sz w:val="18"/>
                <w:szCs w:val="18"/>
              </w:rPr>
            </w:pPr>
            <w:r>
              <w:rPr>
                <w:rFonts w:eastAsia="仿宋_GB2312"/>
                <w:b/>
                <w:bCs/>
                <w:color w:val="000000"/>
                <w:kern w:val="0"/>
                <w:sz w:val="18"/>
                <w:szCs w:val="18"/>
              </w:rPr>
              <w:t>320217175000</w:t>
            </w:r>
          </w:p>
        </w:tc>
      </w:tr>
      <w:tr w14:paraId="3C88623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2B42587">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24E9D9E1">
            <w:pPr>
              <w:spacing w:line="320" w:lineRule="exact"/>
              <w:jc w:val="left"/>
              <w:rPr>
                <w:color w:val="000000"/>
                <w:kern w:val="0"/>
                <w:sz w:val="18"/>
                <w:szCs w:val="18"/>
              </w:rPr>
            </w:pPr>
            <w:r>
              <w:rPr>
                <w:rFonts w:hint="eastAsia"/>
                <w:color w:val="000000"/>
                <w:kern w:val="0"/>
                <w:sz w:val="18"/>
                <w:szCs w:val="18"/>
              </w:rPr>
              <w:t>对以欺骗等不正当手段，取得审核同意或者获得廉租住房保障的处罚</w:t>
            </w:r>
          </w:p>
        </w:tc>
      </w:tr>
      <w:tr w14:paraId="134815D5">
        <w:tblPrEx>
          <w:tblCellMar>
            <w:top w:w="0" w:type="dxa"/>
            <w:left w:w="108" w:type="dxa"/>
            <w:bottom w:w="0" w:type="dxa"/>
            <w:right w:w="108" w:type="dxa"/>
          </w:tblCellMar>
        </w:tblPrEx>
        <w:trPr>
          <w:trHeight w:val="853" w:hRule="atLeast"/>
        </w:trPr>
        <w:tc>
          <w:tcPr>
            <w:tcW w:w="1056" w:type="dxa"/>
            <w:tcBorders>
              <w:top w:val="nil"/>
              <w:left w:val="single" w:color="auto" w:sz="8" w:space="0"/>
              <w:bottom w:val="single" w:color="auto" w:sz="4" w:space="0"/>
              <w:right w:val="single" w:color="auto" w:sz="4" w:space="0"/>
            </w:tcBorders>
            <w:vAlign w:val="center"/>
          </w:tcPr>
          <w:p w14:paraId="74A2B431">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203155B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【规章】《廉租住房保障办法》（建设部令第</w:t>
            </w:r>
            <w:r>
              <w:rPr>
                <w:color w:val="000000"/>
                <w:kern w:val="0"/>
                <w:sz w:val="18"/>
                <w:szCs w:val="18"/>
              </w:rPr>
              <w:t>162</w:t>
            </w:r>
            <w:r>
              <w:rPr>
                <w:rFonts w:hint="eastAsia"/>
                <w:color w:val="000000"/>
                <w:kern w:val="0"/>
                <w:sz w:val="18"/>
                <w:szCs w:val="18"/>
              </w:rPr>
              <w:t>号）</w:t>
            </w:r>
          </w:p>
          <w:p w14:paraId="1F451D8A">
            <w:pPr>
              <w:spacing w:line="320" w:lineRule="exact"/>
              <w:jc w:val="left"/>
              <w:rPr>
                <w:color w:val="000000"/>
                <w:kern w:val="0"/>
                <w:sz w:val="18"/>
                <w:szCs w:val="18"/>
              </w:rPr>
            </w:pPr>
            <w:r>
              <w:rPr>
                <w:rFonts w:hint="eastAsia"/>
                <w:color w:val="000000"/>
                <w:kern w:val="0"/>
                <w:sz w:val="18"/>
                <w:szCs w:val="18"/>
              </w:rPr>
              <w:t>第三十条对以欺骗等不正当手段，取得审核同意或者获得廉租住房保障的，由建设（住房保障）主管部门给予警告；对已经登记但尚未获得廉租住房保障的，取消其登记；对已经获得廉租住房保障的，责令其退还已领取的租赁住房补贴，或者退出实物配租的住房并按市场价格补交以前房租。</w:t>
            </w:r>
          </w:p>
        </w:tc>
      </w:tr>
      <w:tr w14:paraId="0C2EAF2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43A7AA9">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482483ED">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 xml:space="preserve"> </w:t>
            </w:r>
          </w:p>
        </w:tc>
      </w:tr>
      <w:tr w14:paraId="3C3124A1">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68970F5">
            <w:pPr>
              <w:spacing w:line="320" w:lineRule="exact"/>
              <w:jc w:val="center"/>
              <w:rPr>
                <w:color w:val="000000"/>
                <w:kern w:val="0"/>
                <w:sz w:val="18"/>
                <w:szCs w:val="18"/>
              </w:rPr>
            </w:pPr>
            <w:r>
              <w:rPr>
                <w:rFonts w:hint="eastAsia"/>
                <w:color w:val="000000"/>
                <w:kern w:val="0"/>
                <w:sz w:val="18"/>
                <w:szCs w:val="18"/>
              </w:rPr>
              <w:t>裁量基准</w:t>
            </w:r>
          </w:p>
        </w:tc>
      </w:tr>
      <w:tr w14:paraId="762E268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C135E9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F79D204">
            <w:pPr>
              <w:spacing w:line="320" w:lineRule="exact"/>
              <w:jc w:val="left"/>
              <w:rPr>
                <w:color w:val="000000"/>
                <w:kern w:val="0"/>
                <w:sz w:val="18"/>
                <w:szCs w:val="18"/>
              </w:rPr>
            </w:pPr>
            <w:r>
              <w:rPr>
                <w:rFonts w:hint="eastAsia"/>
                <w:color w:val="000000"/>
                <w:kern w:val="0"/>
                <w:sz w:val="18"/>
                <w:szCs w:val="18"/>
              </w:rPr>
              <w:t>　</w:t>
            </w:r>
          </w:p>
        </w:tc>
        <w:tc>
          <w:tcPr>
            <w:tcW w:w="1060" w:type="dxa"/>
            <w:tcBorders>
              <w:top w:val="nil"/>
              <w:left w:val="nil"/>
              <w:bottom w:val="single" w:color="auto" w:sz="4" w:space="0"/>
              <w:right w:val="single" w:color="auto" w:sz="4" w:space="0"/>
            </w:tcBorders>
            <w:vAlign w:val="center"/>
          </w:tcPr>
          <w:p w14:paraId="7E1AE5D0">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53F57881">
            <w:pPr>
              <w:spacing w:line="320" w:lineRule="exact"/>
              <w:jc w:val="left"/>
              <w:rPr>
                <w:color w:val="000000"/>
                <w:kern w:val="0"/>
                <w:sz w:val="18"/>
                <w:szCs w:val="18"/>
              </w:rPr>
            </w:pPr>
          </w:p>
        </w:tc>
      </w:tr>
    </w:tbl>
    <w:p w14:paraId="5D49DFCD"/>
    <w:p w14:paraId="0A9F5489"/>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72C998AB">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387AD04">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50C33F59">
            <w:pPr>
              <w:spacing w:line="320" w:lineRule="exact"/>
              <w:jc w:val="left"/>
              <w:rPr>
                <w:rFonts w:eastAsia="仿宋_GB2312"/>
                <w:b/>
                <w:bCs/>
                <w:color w:val="000000"/>
                <w:kern w:val="0"/>
                <w:sz w:val="18"/>
                <w:szCs w:val="18"/>
              </w:rPr>
            </w:pPr>
            <w:r>
              <w:rPr>
                <w:rFonts w:eastAsia="仿宋_GB2312"/>
                <w:b/>
                <w:bCs/>
                <w:color w:val="000000"/>
                <w:kern w:val="0"/>
                <w:sz w:val="18"/>
                <w:szCs w:val="18"/>
              </w:rPr>
              <w:t>320217176000</w:t>
            </w:r>
          </w:p>
        </w:tc>
      </w:tr>
      <w:tr w14:paraId="50C8C4ED">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77631AB">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7373DA64">
            <w:pPr>
              <w:spacing w:line="320" w:lineRule="exact"/>
              <w:jc w:val="left"/>
              <w:rPr>
                <w:color w:val="000000"/>
                <w:kern w:val="0"/>
                <w:sz w:val="18"/>
                <w:szCs w:val="18"/>
              </w:rPr>
            </w:pPr>
            <w:r>
              <w:rPr>
                <w:rFonts w:hint="eastAsia"/>
                <w:color w:val="000000"/>
                <w:kern w:val="0"/>
                <w:sz w:val="18"/>
                <w:szCs w:val="18"/>
              </w:rPr>
              <w:t>对公共租赁住房的所有权人及其委托的运营单位向不符合条件的对象出租公共租赁住房的处罚</w:t>
            </w:r>
          </w:p>
        </w:tc>
      </w:tr>
      <w:tr w14:paraId="6470F76C">
        <w:tblPrEx>
          <w:tblCellMar>
            <w:top w:w="0" w:type="dxa"/>
            <w:left w:w="108" w:type="dxa"/>
            <w:bottom w:w="0" w:type="dxa"/>
            <w:right w:w="108" w:type="dxa"/>
          </w:tblCellMar>
        </w:tblPrEx>
        <w:trPr>
          <w:trHeight w:val="1137" w:hRule="atLeast"/>
        </w:trPr>
        <w:tc>
          <w:tcPr>
            <w:tcW w:w="1010" w:type="dxa"/>
            <w:tcBorders>
              <w:top w:val="nil"/>
              <w:left w:val="single" w:color="auto" w:sz="8" w:space="0"/>
              <w:bottom w:val="single" w:color="auto" w:sz="4" w:space="0"/>
              <w:right w:val="single" w:color="auto" w:sz="4" w:space="0"/>
            </w:tcBorders>
            <w:vAlign w:val="center"/>
          </w:tcPr>
          <w:p w14:paraId="646CF98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1D9B18F8">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14:paraId="7DCD0393">
            <w:pPr>
              <w:spacing w:line="320" w:lineRule="exact"/>
              <w:jc w:val="left"/>
              <w:rPr>
                <w:color w:val="000000"/>
                <w:kern w:val="0"/>
                <w:sz w:val="18"/>
                <w:szCs w:val="18"/>
              </w:rPr>
            </w:pPr>
            <w:r>
              <w:rPr>
                <w:rFonts w:hint="eastAsia"/>
                <w:color w:val="000000"/>
                <w:kern w:val="0"/>
                <w:sz w:val="18"/>
                <w:szCs w:val="18"/>
              </w:rPr>
              <w:t>第三十四条公共租赁住房的所有权人及其委托的运营单位违反本办法，有下列行为之一的，由市、县级人民政府住房保障主管部门责令限期改正，并处以</w:t>
            </w:r>
            <w:r>
              <w:rPr>
                <w:color w:val="000000"/>
                <w:kern w:val="0"/>
                <w:sz w:val="18"/>
                <w:szCs w:val="18"/>
              </w:rPr>
              <w:t>3</w:t>
            </w:r>
            <w:r>
              <w:rPr>
                <w:rFonts w:hint="eastAsia"/>
                <w:color w:val="000000"/>
                <w:kern w:val="0"/>
                <w:sz w:val="18"/>
                <w:szCs w:val="18"/>
              </w:rPr>
              <w:t>万元以下罚款</w:t>
            </w:r>
          </w:p>
          <w:p w14:paraId="39A8601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（一）向不符合条件的对象出租公共租赁住房的；</w:t>
            </w:r>
          </w:p>
        </w:tc>
      </w:tr>
      <w:tr w14:paraId="4303C4AF">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D059A77">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5564E1BF">
            <w:pPr>
              <w:spacing w:line="320" w:lineRule="exact"/>
              <w:jc w:val="left"/>
              <w:rPr>
                <w:color w:val="000000"/>
                <w:kern w:val="0"/>
                <w:sz w:val="18"/>
                <w:szCs w:val="18"/>
              </w:rPr>
            </w:pPr>
            <w:r>
              <w:rPr>
                <w:rFonts w:hint="eastAsia"/>
                <w:color w:val="000000"/>
                <w:kern w:val="0"/>
                <w:sz w:val="18"/>
                <w:szCs w:val="18"/>
              </w:rPr>
              <w:t>罚款</w:t>
            </w:r>
          </w:p>
        </w:tc>
      </w:tr>
      <w:tr w14:paraId="2BC67011">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D9F774F">
            <w:pPr>
              <w:spacing w:line="320" w:lineRule="exact"/>
              <w:jc w:val="center"/>
              <w:rPr>
                <w:color w:val="000000"/>
                <w:kern w:val="0"/>
                <w:sz w:val="18"/>
                <w:szCs w:val="18"/>
              </w:rPr>
            </w:pPr>
            <w:r>
              <w:rPr>
                <w:rFonts w:hint="eastAsia"/>
                <w:color w:val="000000"/>
                <w:kern w:val="0"/>
                <w:sz w:val="18"/>
                <w:szCs w:val="18"/>
              </w:rPr>
              <w:t>裁量基准</w:t>
            </w:r>
          </w:p>
        </w:tc>
      </w:tr>
      <w:tr w14:paraId="66C6EB39">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46F44DD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297F24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247655C4">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27C0040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14:paraId="2F517ADF">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19C5360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55D59C6">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4DFD3049">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5176C3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AA94E8A"/>
    <w:p w14:paraId="4362738A"/>
    <w:p w14:paraId="40104BEE"/>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1CFDC7D7">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22F5D85A">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57501FFD">
            <w:pPr>
              <w:spacing w:line="320" w:lineRule="exact"/>
              <w:jc w:val="left"/>
              <w:rPr>
                <w:rFonts w:eastAsia="仿宋_GB2312"/>
                <w:b/>
                <w:bCs/>
                <w:color w:val="000000"/>
                <w:kern w:val="0"/>
                <w:sz w:val="18"/>
                <w:szCs w:val="18"/>
              </w:rPr>
            </w:pPr>
            <w:r>
              <w:rPr>
                <w:rFonts w:eastAsia="仿宋_GB2312"/>
                <w:b/>
                <w:bCs/>
                <w:color w:val="000000"/>
                <w:kern w:val="0"/>
                <w:sz w:val="18"/>
                <w:szCs w:val="18"/>
              </w:rPr>
              <w:t>320217177000</w:t>
            </w:r>
          </w:p>
        </w:tc>
      </w:tr>
      <w:tr w14:paraId="1C25B83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88097FE">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3B0BEE16">
            <w:pPr>
              <w:spacing w:line="320" w:lineRule="exact"/>
              <w:jc w:val="left"/>
              <w:rPr>
                <w:color w:val="000000"/>
                <w:kern w:val="0"/>
                <w:sz w:val="18"/>
                <w:szCs w:val="18"/>
              </w:rPr>
            </w:pPr>
            <w:r>
              <w:rPr>
                <w:rFonts w:hint="eastAsia"/>
                <w:color w:val="000000"/>
                <w:kern w:val="0"/>
                <w:sz w:val="18"/>
                <w:szCs w:val="18"/>
              </w:rPr>
              <w:t>对公共租赁住房的所有权人及其委托的运营单位未履行公共租赁住房及其配套设施维修养护义务的处罚</w:t>
            </w:r>
          </w:p>
        </w:tc>
      </w:tr>
      <w:tr w14:paraId="5F45E8BF">
        <w:tblPrEx>
          <w:tblCellMar>
            <w:top w:w="0" w:type="dxa"/>
            <w:left w:w="108" w:type="dxa"/>
            <w:bottom w:w="0" w:type="dxa"/>
            <w:right w:w="108" w:type="dxa"/>
          </w:tblCellMar>
        </w:tblPrEx>
        <w:trPr>
          <w:trHeight w:val="1560" w:hRule="atLeast"/>
        </w:trPr>
        <w:tc>
          <w:tcPr>
            <w:tcW w:w="1010" w:type="dxa"/>
            <w:tcBorders>
              <w:top w:val="nil"/>
              <w:left w:val="single" w:color="auto" w:sz="8" w:space="0"/>
              <w:bottom w:val="single" w:color="auto" w:sz="4" w:space="0"/>
              <w:right w:val="single" w:color="auto" w:sz="4" w:space="0"/>
            </w:tcBorders>
            <w:vAlign w:val="center"/>
          </w:tcPr>
          <w:p w14:paraId="7B61798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4F7304CA">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14:paraId="02026A7E">
            <w:pPr>
              <w:spacing w:line="320" w:lineRule="exact"/>
              <w:jc w:val="left"/>
              <w:rPr>
                <w:color w:val="000000"/>
                <w:kern w:val="0"/>
                <w:sz w:val="18"/>
                <w:szCs w:val="18"/>
              </w:rPr>
            </w:pPr>
            <w:r>
              <w:rPr>
                <w:rFonts w:hint="eastAsia"/>
                <w:color w:val="000000"/>
                <w:kern w:val="0"/>
                <w:sz w:val="18"/>
                <w:szCs w:val="18"/>
              </w:rPr>
              <w:t>第三十四条公共租赁住房的所有权人及其委托的运营单位违反本办法，有下列行为之一的，由市、县级人民政府住房保障主管部门责令限期改正，并处以</w:t>
            </w:r>
            <w:r>
              <w:rPr>
                <w:color w:val="000000"/>
                <w:kern w:val="0"/>
                <w:sz w:val="18"/>
                <w:szCs w:val="18"/>
              </w:rPr>
              <w:t>3</w:t>
            </w:r>
            <w:r>
              <w:rPr>
                <w:rFonts w:hint="eastAsia"/>
                <w:color w:val="000000"/>
                <w:kern w:val="0"/>
                <w:sz w:val="18"/>
                <w:szCs w:val="18"/>
              </w:rPr>
              <w:t>万元以下罚款</w:t>
            </w:r>
          </w:p>
          <w:p w14:paraId="6125F36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（二）未履行公共租赁住房及其配套设施维修养护义务的；</w:t>
            </w:r>
          </w:p>
        </w:tc>
      </w:tr>
      <w:tr w14:paraId="1C3D93F2">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E99464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07500287">
            <w:pPr>
              <w:spacing w:line="320" w:lineRule="exact"/>
              <w:jc w:val="left"/>
              <w:rPr>
                <w:color w:val="000000"/>
                <w:kern w:val="0"/>
                <w:sz w:val="18"/>
                <w:szCs w:val="18"/>
              </w:rPr>
            </w:pPr>
            <w:r>
              <w:rPr>
                <w:rFonts w:hint="eastAsia"/>
                <w:color w:val="000000"/>
                <w:kern w:val="0"/>
                <w:sz w:val="18"/>
                <w:szCs w:val="18"/>
              </w:rPr>
              <w:t>罚款</w:t>
            </w:r>
          </w:p>
        </w:tc>
      </w:tr>
      <w:tr w14:paraId="12BB742C">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E73E10B">
            <w:pPr>
              <w:spacing w:line="320" w:lineRule="exact"/>
              <w:jc w:val="center"/>
              <w:rPr>
                <w:color w:val="000000"/>
                <w:kern w:val="0"/>
                <w:sz w:val="18"/>
                <w:szCs w:val="18"/>
              </w:rPr>
            </w:pPr>
            <w:r>
              <w:rPr>
                <w:rFonts w:hint="eastAsia"/>
                <w:color w:val="000000"/>
                <w:kern w:val="0"/>
                <w:sz w:val="18"/>
                <w:szCs w:val="18"/>
              </w:rPr>
              <w:t>裁量基准</w:t>
            </w:r>
          </w:p>
        </w:tc>
      </w:tr>
      <w:tr w14:paraId="4D472F90">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25AFF2E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EAF8558">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418BC0C6">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030FA84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14:paraId="64211B23">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7EC1897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D9EAE07">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7A35A44D">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3DB4EA9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094777F2"/>
    <w:p w14:paraId="34D35C52"/>
    <w:p w14:paraId="181BFE1D"/>
    <w:p w14:paraId="6768E67D"/>
    <w:p w14:paraId="201AB68A"/>
    <w:p w14:paraId="380BF271"/>
    <w:p w14:paraId="5129EDFA"/>
    <w:p w14:paraId="4252BC0E"/>
    <w:p w14:paraId="5121536F"/>
    <w:p w14:paraId="2D7A136E"/>
    <w:p w14:paraId="58E142D0"/>
    <w:tbl>
      <w:tblPr>
        <w:tblStyle w:val="15"/>
        <w:tblW w:w="0" w:type="auto"/>
        <w:tblInd w:w="7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6140"/>
        <w:gridCol w:w="1080"/>
        <w:gridCol w:w="5760"/>
      </w:tblGrid>
      <w:tr w14:paraId="598724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tcBorders>
              <w:top w:val="single" w:color="auto" w:sz="8" w:space="0"/>
            </w:tcBorders>
            <w:vAlign w:val="center"/>
          </w:tcPr>
          <w:p w14:paraId="193E60A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tcBorders>
            <w:vAlign w:val="center"/>
          </w:tcPr>
          <w:p w14:paraId="2CA8B33C">
            <w:pPr>
              <w:spacing w:line="320" w:lineRule="exact"/>
              <w:jc w:val="left"/>
              <w:rPr>
                <w:rFonts w:eastAsia="仿宋_GB2312"/>
                <w:b/>
                <w:bCs/>
                <w:color w:val="000000"/>
                <w:kern w:val="0"/>
                <w:sz w:val="18"/>
                <w:szCs w:val="18"/>
              </w:rPr>
            </w:pPr>
            <w:r>
              <w:rPr>
                <w:rFonts w:eastAsia="仿宋_GB2312"/>
                <w:b/>
                <w:bCs/>
                <w:color w:val="000000"/>
                <w:kern w:val="0"/>
                <w:sz w:val="18"/>
                <w:szCs w:val="18"/>
              </w:rPr>
              <w:t>320217178000</w:t>
            </w:r>
          </w:p>
        </w:tc>
      </w:tr>
      <w:tr w14:paraId="3EDC14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272FAD88">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vAlign w:val="center"/>
          </w:tcPr>
          <w:p w14:paraId="1BF19511">
            <w:pPr>
              <w:spacing w:line="320" w:lineRule="exact"/>
              <w:jc w:val="left"/>
              <w:rPr>
                <w:color w:val="000000"/>
                <w:kern w:val="0"/>
                <w:sz w:val="18"/>
                <w:szCs w:val="18"/>
              </w:rPr>
            </w:pPr>
            <w:r>
              <w:rPr>
                <w:rFonts w:hint="eastAsia"/>
                <w:color w:val="000000"/>
                <w:kern w:val="0"/>
                <w:sz w:val="18"/>
                <w:szCs w:val="18"/>
              </w:rPr>
              <w:t>对在历史文化名城、名镇、名村保护范围内开山、采石、开矿等破坏传统格局和历史风貌，占用保护规划确定保留的园林绿地、河湖水系、道路、修建生产、储存爆炸性、易燃性、放射性、毒害性、腐蚀性物品的工厂、仓库等的处罚</w:t>
            </w:r>
          </w:p>
        </w:tc>
      </w:tr>
      <w:tr w14:paraId="710E63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1070" w:type="dxa"/>
            <w:vAlign w:val="center"/>
          </w:tcPr>
          <w:p w14:paraId="1C8ED970">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vAlign w:val="center"/>
          </w:tcPr>
          <w:p w14:paraId="6BFF318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14:paraId="3150232C">
            <w:pPr>
              <w:spacing w:line="320" w:lineRule="exact"/>
              <w:jc w:val="left"/>
              <w:rPr>
                <w:color w:val="000000"/>
                <w:kern w:val="0"/>
                <w:sz w:val="18"/>
                <w:szCs w:val="18"/>
              </w:rPr>
            </w:pPr>
            <w:r>
              <w:rPr>
                <w:rFonts w:hint="eastAsia"/>
                <w:color w:val="000000"/>
                <w:kern w:val="0"/>
                <w:sz w:val="18"/>
                <w:szCs w:val="18"/>
              </w:rPr>
              <w:t>第二十四条　在历史文化名城、名镇、名村保护范围内禁止进行下列活动：</w:t>
            </w:r>
          </w:p>
          <w:p w14:paraId="67347463">
            <w:pPr>
              <w:spacing w:line="320" w:lineRule="exact"/>
              <w:jc w:val="left"/>
              <w:rPr>
                <w:color w:val="000000"/>
                <w:kern w:val="0"/>
                <w:sz w:val="18"/>
                <w:szCs w:val="18"/>
              </w:rPr>
            </w:pPr>
            <w:r>
              <w:rPr>
                <w:rFonts w:hint="eastAsia"/>
                <w:color w:val="000000"/>
                <w:kern w:val="0"/>
                <w:sz w:val="18"/>
                <w:szCs w:val="18"/>
              </w:rPr>
              <w:t>　　（一）开山、采石、开矿等破坏传统格局和历史风貌的活动；</w:t>
            </w:r>
          </w:p>
          <w:p w14:paraId="5234EDEA">
            <w:pPr>
              <w:spacing w:line="320" w:lineRule="exact"/>
              <w:jc w:val="left"/>
              <w:rPr>
                <w:color w:val="000000"/>
                <w:kern w:val="0"/>
                <w:sz w:val="18"/>
                <w:szCs w:val="18"/>
              </w:rPr>
            </w:pPr>
            <w:r>
              <w:rPr>
                <w:rFonts w:hint="eastAsia"/>
                <w:color w:val="000000"/>
                <w:kern w:val="0"/>
                <w:sz w:val="18"/>
                <w:szCs w:val="18"/>
              </w:rPr>
              <w:t>　　（二）占用保护规划确定保留的园林绿地、河湖水系、道路等；</w:t>
            </w:r>
          </w:p>
          <w:p w14:paraId="727AA07B">
            <w:pPr>
              <w:spacing w:line="320" w:lineRule="exact"/>
              <w:jc w:val="left"/>
              <w:rPr>
                <w:color w:val="000000"/>
                <w:kern w:val="0"/>
                <w:sz w:val="18"/>
                <w:szCs w:val="18"/>
              </w:rPr>
            </w:pPr>
            <w:r>
              <w:rPr>
                <w:rFonts w:hint="eastAsia"/>
                <w:color w:val="000000"/>
                <w:kern w:val="0"/>
                <w:sz w:val="18"/>
                <w:szCs w:val="18"/>
              </w:rPr>
              <w:t>　　（三）修建生产、储存爆炸性、易燃性、放射性、毒害性、腐蚀性物品的工厂、仓库等；</w:t>
            </w:r>
          </w:p>
          <w:p w14:paraId="30F76B1E">
            <w:pPr>
              <w:spacing w:line="320" w:lineRule="exact"/>
              <w:jc w:val="left"/>
              <w:rPr>
                <w:color w:val="000000"/>
                <w:kern w:val="0"/>
                <w:sz w:val="18"/>
                <w:szCs w:val="18"/>
              </w:rPr>
            </w:pPr>
            <w:r>
              <w:rPr>
                <w:rFonts w:hint="eastAsia"/>
                <w:color w:val="000000"/>
                <w:kern w:val="0"/>
                <w:sz w:val="18"/>
                <w:szCs w:val="18"/>
              </w:rPr>
              <w:t>第四十一条</w:t>
            </w:r>
            <w:r>
              <w:rPr>
                <w:color w:val="000000"/>
                <w:kern w:val="0"/>
                <w:sz w:val="18"/>
                <w:szCs w:val="18"/>
              </w:rPr>
              <w:t xml:space="preserve"> </w:t>
            </w:r>
            <w:r>
              <w:rPr>
                <w:rFonts w:hint="eastAsia"/>
                <w:color w:val="000000"/>
                <w:kern w:val="0"/>
                <w:sz w:val="18"/>
                <w:szCs w:val="18"/>
              </w:rPr>
              <w:t>违反本条例规定，在历史文化名城、名镇、名村保护范围内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万元以下的罚款，对个人并处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万元以下的罚款；造成损失的，依法承担赔偿责任：</w:t>
            </w:r>
          </w:p>
          <w:p w14:paraId="1D1C8415">
            <w:pPr>
              <w:spacing w:line="320" w:lineRule="exact"/>
              <w:ind w:firstLine="360" w:firstLineChars="200"/>
              <w:jc w:val="left"/>
              <w:rPr>
                <w:color w:val="000000"/>
                <w:kern w:val="0"/>
                <w:sz w:val="18"/>
                <w:szCs w:val="18"/>
              </w:rPr>
            </w:pPr>
            <w:r>
              <w:rPr>
                <w:rFonts w:hint="eastAsia"/>
                <w:color w:val="000000"/>
                <w:kern w:val="0"/>
                <w:sz w:val="18"/>
                <w:szCs w:val="18"/>
              </w:rPr>
              <w:t>（一）开山、采石、开矿等破坏传统格局和历史风貌的；</w:t>
            </w:r>
          </w:p>
          <w:p w14:paraId="5732B147">
            <w:pPr>
              <w:spacing w:line="320" w:lineRule="exact"/>
              <w:ind w:firstLine="360" w:firstLineChars="200"/>
              <w:jc w:val="left"/>
              <w:rPr>
                <w:color w:val="000000"/>
                <w:kern w:val="0"/>
                <w:sz w:val="18"/>
                <w:szCs w:val="18"/>
              </w:rPr>
            </w:pPr>
            <w:r>
              <w:rPr>
                <w:rFonts w:hint="eastAsia"/>
                <w:color w:val="000000"/>
                <w:kern w:val="0"/>
                <w:sz w:val="18"/>
                <w:szCs w:val="18"/>
              </w:rPr>
              <w:t>（二）占用保护规划确定保留的园林绿地、河湖水系、道路等的；</w:t>
            </w:r>
          </w:p>
          <w:p w14:paraId="3A6D1001">
            <w:pPr>
              <w:spacing w:line="320" w:lineRule="exact"/>
              <w:ind w:firstLine="360" w:firstLineChars="200"/>
              <w:jc w:val="left"/>
              <w:rPr>
                <w:color w:val="000000"/>
                <w:kern w:val="0"/>
                <w:sz w:val="18"/>
                <w:szCs w:val="18"/>
              </w:rPr>
            </w:pPr>
            <w:r>
              <w:rPr>
                <w:rFonts w:hint="eastAsia"/>
                <w:color w:val="000000"/>
                <w:kern w:val="0"/>
                <w:sz w:val="18"/>
                <w:szCs w:val="18"/>
              </w:rPr>
              <w:t>（三）修建生产、储存爆炸性、易燃性、放射性、毒害性、腐蚀性物品的工厂、仓库等的。</w:t>
            </w:r>
          </w:p>
        </w:tc>
      </w:tr>
      <w:tr w14:paraId="569761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50DE2229">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vAlign w:val="center"/>
          </w:tcPr>
          <w:p w14:paraId="294F6E39">
            <w:pPr>
              <w:spacing w:line="320" w:lineRule="exact"/>
              <w:jc w:val="left"/>
              <w:rPr>
                <w:color w:val="000000"/>
                <w:kern w:val="0"/>
                <w:sz w:val="18"/>
                <w:szCs w:val="18"/>
              </w:rPr>
            </w:pPr>
            <w:r>
              <w:rPr>
                <w:rFonts w:hint="eastAsia"/>
                <w:color w:val="000000"/>
                <w:kern w:val="0"/>
                <w:sz w:val="18"/>
                <w:szCs w:val="18"/>
              </w:rPr>
              <w:t>罚款</w:t>
            </w:r>
          </w:p>
        </w:tc>
      </w:tr>
      <w:tr w14:paraId="4A42F3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50" w:type="dxa"/>
            <w:gridSpan w:val="4"/>
            <w:vAlign w:val="center"/>
          </w:tcPr>
          <w:p w14:paraId="0387C7EB">
            <w:pPr>
              <w:spacing w:line="320" w:lineRule="exact"/>
              <w:jc w:val="center"/>
              <w:rPr>
                <w:color w:val="000000"/>
                <w:kern w:val="0"/>
                <w:sz w:val="18"/>
                <w:szCs w:val="18"/>
              </w:rPr>
            </w:pPr>
            <w:r>
              <w:rPr>
                <w:rFonts w:hint="eastAsia"/>
                <w:color w:val="000000"/>
                <w:kern w:val="0"/>
                <w:sz w:val="18"/>
                <w:szCs w:val="18"/>
              </w:rPr>
              <w:t>裁量基准</w:t>
            </w:r>
          </w:p>
        </w:tc>
      </w:tr>
      <w:tr w14:paraId="1F0A35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vMerge w:val="restart"/>
            <w:vAlign w:val="center"/>
          </w:tcPr>
          <w:p w14:paraId="090D716F">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14:paraId="7B1DDC35">
            <w:pPr>
              <w:spacing w:line="320" w:lineRule="exact"/>
              <w:jc w:val="left"/>
              <w:rPr>
                <w:color w:val="000000"/>
                <w:kern w:val="0"/>
                <w:sz w:val="18"/>
                <w:szCs w:val="18"/>
              </w:rPr>
            </w:pPr>
            <w:r>
              <w:rPr>
                <w:rFonts w:hint="eastAsia"/>
                <w:color w:val="000000"/>
                <w:kern w:val="0"/>
                <w:sz w:val="18"/>
                <w:szCs w:val="18"/>
              </w:rPr>
              <w:t>尚可恢复原状的</w:t>
            </w:r>
          </w:p>
        </w:tc>
        <w:tc>
          <w:tcPr>
            <w:tcW w:w="1080" w:type="dxa"/>
            <w:vMerge w:val="restart"/>
            <w:vAlign w:val="center"/>
          </w:tcPr>
          <w:p w14:paraId="6335F965">
            <w:pPr>
              <w:spacing w:line="320" w:lineRule="exact"/>
              <w:jc w:val="left"/>
              <w:rPr>
                <w:color w:val="000000"/>
                <w:kern w:val="0"/>
                <w:sz w:val="18"/>
                <w:szCs w:val="18"/>
              </w:rPr>
            </w:pPr>
            <w:r>
              <w:rPr>
                <w:rFonts w:hint="eastAsia"/>
                <w:color w:val="000000"/>
                <w:kern w:val="0"/>
                <w:sz w:val="18"/>
                <w:szCs w:val="18"/>
              </w:rPr>
              <w:t>裁量幅度</w:t>
            </w:r>
          </w:p>
        </w:tc>
        <w:tc>
          <w:tcPr>
            <w:tcW w:w="5760" w:type="dxa"/>
            <w:vAlign w:val="center"/>
          </w:tcPr>
          <w:p w14:paraId="2B1719A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60</w:t>
            </w:r>
            <w:r>
              <w:rPr>
                <w:rFonts w:hint="eastAsia"/>
                <w:color w:val="000000"/>
                <w:kern w:val="0"/>
                <w:sz w:val="18"/>
                <w:szCs w:val="18"/>
              </w:rPr>
              <w:t>万元以下罚款</w:t>
            </w:r>
          </w:p>
          <w:p w14:paraId="6CAA321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338ECB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vMerge w:val="continue"/>
            <w:vAlign w:val="center"/>
          </w:tcPr>
          <w:p w14:paraId="4D3F0205">
            <w:pPr>
              <w:spacing w:line="320" w:lineRule="exact"/>
              <w:jc w:val="left"/>
              <w:rPr>
                <w:color w:val="000000"/>
                <w:kern w:val="0"/>
                <w:sz w:val="18"/>
                <w:szCs w:val="18"/>
              </w:rPr>
            </w:pPr>
          </w:p>
        </w:tc>
        <w:tc>
          <w:tcPr>
            <w:tcW w:w="6140" w:type="dxa"/>
            <w:vAlign w:val="center"/>
          </w:tcPr>
          <w:p w14:paraId="459CE9AB">
            <w:pPr>
              <w:spacing w:line="320" w:lineRule="exact"/>
              <w:jc w:val="left"/>
              <w:rPr>
                <w:color w:val="000000"/>
                <w:kern w:val="0"/>
                <w:sz w:val="18"/>
                <w:szCs w:val="18"/>
              </w:rPr>
            </w:pPr>
            <w:r>
              <w:rPr>
                <w:rFonts w:hint="eastAsia"/>
                <w:color w:val="000000"/>
                <w:kern w:val="0"/>
                <w:sz w:val="18"/>
                <w:szCs w:val="18"/>
              </w:rPr>
              <w:t>不可恢复原状但尚可采取其他补救措施的</w:t>
            </w:r>
          </w:p>
        </w:tc>
        <w:tc>
          <w:tcPr>
            <w:tcW w:w="1080" w:type="dxa"/>
            <w:vMerge w:val="continue"/>
            <w:vAlign w:val="center"/>
          </w:tcPr>
          <w:p w14:paraId="050F0D80">
            <w:pPr>
              <w:spacing w:line="320" w:lineRule="exact"/>
              <w:jc w:val="left"/>
              <w:rPr>
                <w:color w:val="000000"/>
                <w:kern w:val="0"/>
                <w:sz w:val="18"/>
                <w:szCs w:val="18"/>
              </w:rPr>
            </w:pPr>
          </w:p>
        </w:tc>
        <w:tc>
          <w:tcPr>
            <w:tcW w:w="5760" w:type="dxa"/>
            <w:vAlign w:val="center"/>
          </w:tcPr>
          <w:p w14:paraId="1F60D9F1">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60</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万元以下罚款</w:t>
            </w:r>
          </w:p>
          <w:p w14:paraId="7F5D1CA9">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216F44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vMerge w:val="continue"/>
            <w:tcBorders>
              <w:bottom w:val="single" w:color="auto" w:sz="8" w:space="0"/>
            </w:tcBorders>
            <w:vAlign w:val="center"/>
          </w:tcPr>
          <w:p w14:paraId="0CF017BD">
            <w:pPr>
              <w:spacing w:line="320" w:lineRule="exact"/>
              <w:jc w:val="left"/>
              <w:rPr>
                <w:color w:val="000000"/>
                <w:kern w:val="0"/>
                <w:sz w:val="18"/>
                <w:szCs w:val="18"/>
              </w:rPr>
            </w:pPr>
          </w:p>
        </w:tc>
        <w:tc>
          <w:tcPr>
            <w:tcW w:w="6140" w:type="dxa"/>
            <w:tcBorders>
              <w:bottom w:val="single" w:color="auto" w:sz="8" w:space="0"/>
            </w:tcBorders>
            <w:vAlign w:val="center"/>
          </w:tcPr>
          <w:p w14:paraId="355A21FC">
            <w:pPr>
              <w:spacing w:line="320" w:lineRule="exact"/>
              <w:jc w:val="left"/>
              <w:rPr>
                <w:color w:val="000000"/>
                <w:kern w:val="0"/>
                <w:sz w:val="18"/>
                <w:szCs w:val="18"/>
              </w:rPr>
            </w:pPr>
            <w:r>
              <w:rPr>
                <w:rFonts w:hint="eastAsia"/>
                <w:color w:val="000000"/>
                <w:kern w:val="0"/>
                <w:sz w:val="18"/>
                <w:szCs w:val="18"/>
              </w:rPr>
              <w:t>既无法恢复原状又无法采取其他补救措施的</w:t>
            </w:r>
          </w:p>
        </w:tc>
        <w:tc>
          <w:tcPr>
            <w:tcW w:w="1080" w:type="dxa"/>
            <w:vMerge w:val="continue"/>
            <w:tcBorders>
              <w:bottom w:val="single" w:color="auto" w:sz="8" w:space="0"/>
            </w:tcBorders>
            <w:vAlign w:val="center"/>
          </w:tcPr>
          <w:p w14:paraId="7DACAF2F">
            <w:pPr>
              <w:spacing w:line="320" w:lineRule="exact"/>
              <w:jc w:val="left"/>
              <w:rPr>
                <w:color w:val="000000"/>
                <w:kern w:val="0"/>
                <w:sz w:val="18"/>
                <w:szCs w:val="18"/>
              </w:rPr>
            </w:pPr>
          </w:p>
        </w:tc>
        <w:tc>
          <w:tcPr>
            <w:tcW w:w="5760" w:type="dxa"/>
            <w:tcBorders>
              <w:bottom w:val="single" w:color="auto" w:sz="8" w:space="0"/>
            </w:tcBorders>
            <w:vAlign w:val="center"/>
          </w:tcPr>
          <w:p w14:paraId="070FFEB7">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w:t>
            </w:r>
          </w:p>
          <w:p w14:paraId="3C07FE2C">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73AF3D30"/>
    <w:p w14:paraId="637A4688"/>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67184281">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23844806">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65C9154B">
            <w:pPr>
              <w:spacing w:line="320" w:lineRule="exact"/>
              <w:jc w:val="left"/>
              <w:rPr>
                <w:rFonts w:eastAsia="仿宋_GB2312"/>
                <w:b/>
                <w:bCs/>
                <w:color w:val="000000"/>
                <w:kern w:val="0"/>
                <w:sz w:val="18"/>
                <w:szCs w:val="18"/>
              </w:rPr>
            </w:pPr>
            <w:r>
              <w:rPr>
                <w:rFonts w:eastAsia="仿宋_GB2312"/>
                <w:b/>
                <w:bCs/>
                <w:color w:val="000000"/>
                <w:kern w:val="0"/>
                <w:sz w:val="18"/>
                <w:szCs w:val="18"/>
              </w:rPr>
              <w:t>320217179000</w:t>
            </w:r>
            <w:r>
              <w:rPr>
                <w:rFonts w:hint="eastAsia" w:eastAsia="仿宋_GB2312"/>
                <w:b/>
                <w:bCs/>
                <w:color w:val="000000"/>
                <w:kern w:val="0"/>
                <w:sz w:val="18"/>
                <w:szCs w:val="18"/>
              </w:rPr>
              <w:t xml:space="preserve"> </w:t>
            </w:r>
          </w:p>
        </w:tc>
      </w:tr>
      <w:tr w14:paraId="09C53213">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79234188">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5FA2FA34">
            <w:pPr>
              <w:spacing w:line="320" w:lineRule="exact"/>
              <w:jc w:val="left"/>
              <w:rPr>
                <w:color w:val="000000"/>
                <w:kern w:val="0"/>
                <w:sz w:val="18"/>
                <w:szCs w:val="18"/>
              </w:rPr>
            </w:pPr>
            <w:r>
              <w:rPr>
                <w:rFonts w:hint="eastAsia"/>
                <w:color w:val="000000"/>
                <w:kern w:val="0"/>
                <w:sz w:val="18"/>
                <w:szCs w:val="18"/>
              </w:rPr>
              <w:t>对在历史建筑上刻划、涂污的处罚</w:t>
            </w:r>
          </w:p>
        </w:tc>
      </w:tr>
      <w:tr w14:paraId="17D324A1">
        <w:tblPrEx>
          <w:tblCellMar>
            <w:top w:w="0" w:type="dxa"/>
            <w:left w:w="108" w:type="dxa"/>
            <w:bottom w:w="0" w:type="dxa"/>
            <w:right w:w="108" w:type="dxa"/>
          </w:tblCellMar>
        </w:tblPrEx>
        <w:trPr>
          <w:trHeight w:val="1185" w:hRule="atLeast"/>
        </w:trPr>
        <w:tc>
          <w:tcPr>
            <w:tcW w:w="1070" w:type="dxa"/>
            <w:tcBorders>
              <w:top w:val="nil"/>
              <w:left w:val="single" w:color="auto" w:sz="8" w:space="0"/>
              <w:bottom w:val="single" w:color="auto" w:sz="4" w:space="0"/>
              <w:right w:val="single" w:color="auto" w:sz="4" w:space="0"/>
            </w:tcBorders>
            <w:vAlign w:val="center"/>
          </w:tcPr>
          <w:p w14:paraId="6246B7CC">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4808A52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14:paraId="0B890D83">
            <w:pPr>
              <w:spacing w:line="320" w:lineRule="exact"/>
              <w:jc w:val="left"/>
              <w:rPr>
                <w:color w:val="000000"/>
                <w:kern w:val="0"/>
                <w:sz w:val="18"/>
                <w:szCs w:val="18"/>
              </w:rPr>
            </w:pPr>
            <w:r>
              <w:rPr>
                <w:rFonts w:hint="eastAsia"/>
                <w:color w:val="000000"/>
                <w:kern w:val="0"/>
                <w:sz w:val="18"/>
                <w:szCs w:val="18"/>
              </w:rPr>
              <w:t>第二十四条　在历史文化名城、名镇、名村保护范围内禁止进行下列活动：</w:t>
            </w:r>
          </w:p>
          <w:p w14:paraId="379013FE">
            <w:pPr>
              <w:spacing w:line="320" w:lineRule="exact"/>
              <w:jc w:val="left"/>
              <w:rPr>
                <w:color w:val="000000"/>
                <w:kern w:val="0"/>
                <w:sz w:val="18"/>
                <w:szCs w:val="18"/>
              </w:rPr>
            </w:pPr>
            <w:r>
              <w:rPr>
                <w:rFonts w:hint="eastAsia"/>
                <w:color w:val="000000"/>
                <w:kern w:val="0"/>
                <w:sz w:val="18"/>
                <w:szCs w:val="18"/>
              </w:rPr>
              <w:t>　　（一）开山、采石、开矿等破坏传统格局和历史风貌的活动；</w:t>
            </w:r>
          </w:p>
          <w:p w14:paraId="03FF2928">
            <w:pPr>
              <w:spacing w:line="320" w:lineRule="exact"/>
              <w:jc w:val="left"/>
              <w:rPr>
                <w:color w:val="000000"/>
                <w:kern w:val="0"/>
                <w:sz w:val="18"/>
                <w:szCs w:val="18"/>
              </w:rPr>
            </w:pPr>
            <w:r>
              <w:rPr>
                <w:rFonts w:hint="eastAsia"/>
                <w:color w:val="000000"/>
                <w:kern w:val="0"/>
                <w:sz w:val="18"/>
                <w:szCs w:val="18"/>
              </w:rPr>
              <w:t>　　（二）占用保护规划确定保留的园林绿地、河湖水系、道路等；</w:t>
            </w:r>
          </w:p>
          <w:p w14:paraId="14C3DDC0">
            <w:pPr>
              <w:spacing w:line="320" w:lineRule="exact"/>
              <w:jc w:val="left"/>
              <w:rPr>
                <w:color w:val="000000"/>
                <w:kern w:val="0"/>
                <w:sz w:val="18"/>
                <w:szCs w:val="18"/>
              </w:rPr>
            </w:pPr>
            <w:r>
              <w:rPr>
                <w:rFonts w:hint="eastAsia"/>
                <w:color w:val="000000"/>
                <w:kern w:val="0"/>
                <w:sz w:val="18"/>
                <w:szCs w:val="18"/>
              </w:rPr>
              <w:t>　　（三）修建生产、储存爆炸性、易燃性、放射性、毒害性、腐蚀性物品的工厂、仓库等；</w:t>
            </w:r>
          </w:p>
          <w:p w14:paraId="61FFDA24">
            <w:pPr>
              <w:spacing w:line="320" w:lineRule="exact"/>
              <w:jc w:val="left"/>
              <w:rPr>
                <w:color w:val="000000"/>
                <w:kern w:val="0"/>
                <w:sz w:val="18"/>
                <w:szCs w:val="18"/>
              </w:rPr>
            </w:pPr>
            <w:r>
              <w:rPr>
                <w:rFonts w:hint="eastAsia"/>
                <w:color w:val="000000"/>
                <w:kern w:val="0"/>
                <w:sz w:val="18"/>
                <w:szCs w:val="18"/>
              </w:rPr>
              <w:t>　　（四）在历史建筑上刻划、涂污。</w:t>
            </w:r>
          </w:p>
          <w:p w14:paraId="2AC1EEAE">
            <w:pPr>
              <w:spacing w:line="320" w:lineRule="exact"/>
              <w:jc w:val="left"/>
              <w:rPr>
                <w:color w:val="000000"/>
                <w:kern w:val="0"/>
                <w:sz w:val="18"/>
                <w:szCs w:val="18"/>
              </w:rPr>
            </w:pPr>
            <w:r>
              <w:rPr>
                <w:rFonts w:hint="eastAsia"/>
                <w:color w:val="000000"/>
                <w:kern w:val="0"/>
                <w:sz w:val="18"/>
                <w:szCs w:val="18"/>
              </w:rPr>
              <w:t>第四十二条　违反本条例规定，在历史建筑上刻划、涂污的，由城市、县人民政府城乡规划主管部门责令恢复原状或者采取其他补救措施，处</w:t>
            </w:r>
            <w:r>
              <w:rPr>
                <w:color w:val="000000"/>
                <w:kern w:val="0"/>
                <w:sz w:val="18"/>
                <w:szCs w:val="18"/>
              </w:rPr>
              <w:t>50</w:t>
            </w:r>
            <w:r>
              <w:rPr>
                <w:rFonts w:hint="eastAsia"/>
                <w:color w:val="000000"/>
                <w:kern w:val="0"/>
                <w:sz w:val="18"/>
                <w:szCs w:val="18"/>
              </w:rPr>
              <w:t>元的罚款。</w:t>
            </w:r>
          </w:p>
        </w:tc>
      </w:tr>
      <w:tr w14:paraId="2BD76332">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71CB2E8F">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61B9BBF4">
            <w:pPr>
              <w:spacing w:line="320" w:lineRule="exact"/>
              <w:jc w:val="left"/>
              <w:rPr>
                <w:color w:val="000000"/>
                <w:kern w:val="0"/>
                <w:sz w:val="18"/>
                <w:szCs w:val="18"/>
              </w:rPr>
            </w:pPr>
            <w:r>
              <w:rPr>
                <w:rFonts w:hint="eastAsia"/>
                <w:color w:val="000000"/>
                <w:kern w:val="0"/>
                <w:sz w:val="18"/>
                <w:szCs w:val="18"/>
              </w:rPr>
              <w:t>罚款</w:t>
            </w:r>
          </w:p>
        </w:tc>
      </w:tr>
      <w:tr w14:paraId="0ABAC2D3">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4CF278B">
            <w:pPr>
              <w:spacing w:line="320" w:lineRule="exact"/>
              <w:jc w:val="center"/>
              <w:rPr>
                <w:color w:val="000000"/>
                <w:kern w:val="0"/>
                <w:sz w:val="18"/>
                <w:szCs w:val="18"/>
              </w:rPr>
            </w:pPr>
            <w:r>
              <w:rPr>
                <w:rFonts w:hint="eastAsia"/>
                <w:color w:val="000000"/>
                <w:kern w:val="0"/>
                <w:sz w:val="18"/>
                <w:szCs w:val="18"/>
              </w:rPr>
              <w:t>裁量基准</w:t>
            </w:r>
          </w:p>
        </w:tc>
      </w:tr>
      <w:tr w14:paraId="00470AD4">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7CC995E6">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C0518B7">
            <w:pPr>
              <w:spacing w:line="320" w:lineRule="exact"/>
              <w:jc w:val="left"/>
              <w:rPr>
                <w:color w:val="000000"/>
                <w:kern w:val="0"/>
                <w:sz w:val="18"/>
                <w:szCs w:val="18"/>
              </w:rPr>
            </w:pPr>
            <w:r>
              <w:rPr>
                <w:rFonts w:hint="eastAsia"/>
                <w:color w:val="000000"/>
                <w:kern w:val="0"/>
                <w:sz w:val="18"/>
                <w:szCs w:val="18"/>
              </w:rPr>
              <w:t>能够恢复原状的</w:t>
            </w:r>
          </w:p>
        </w:tc>
        <w:tc>
          <w:tcPr>
            <w:tcW w:w="1080" w:type="dxa"/>
            <w:vMerge w:val="restart"/>
            <w:tcBorders>
              <w:top w:val="nil"/>
              <w:left w:val="nil"/>
              <w:right w:val="single" w:color="auto" w:sz="4" w:space="0"/>
            </w:tcBorders>
            <w:vAlign w:val="center"/>
          </w:tcPr>
          <w:p w14:paraId="423030E8">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E859981">
            <w:pPr>
              <w:spacing w:line="320" w:lineRule="exact"/>
              <w:jc w:val="left"/>
              <w:rPr>
                <w:color w:val="000000"/>
                <w:kern w:val="0"/>
                <w:sz w:val="18"/>
                <w:szCs w:val="18"/>
              </w:rPr>
            </w:pPr>
            <w:r>
              <w:rPr>
                <w:rFonts w:hint="eastAsia"/>
                <w:color w:val="000000"/>
                <w:kern w:val="0"/>
                <w:sz w:val="18"/>
                <w:szCs w:val="18"/>
              </w:rPr>
              <w:t>责令恢复原状，处</w:t>
            </w:r>
            <w:r>
              <w:rPr>
                <w:color w:val="000000"/>
                <w:kern w:val="0"/>
                <w:sz w:val="18"/>
                <w:szCs w:val="18"/>
              </w:rPr>
              <w:t>50</w:t>
            </w:r>
            <w:r>
              <w:rPr>
                <w:rFonts w:hint="eastAsia"/>
                <w:color w:val="000000"/>
                <w:kern w:val="0"/>
                <w:sz w:val="18"/>
                <w:szCs w:val="18"/>
              </w:rPr>
              <w:t>元的罚款</w:t>
            </w:r>
          </w:p>
        </w:tc>
      </w:tr>
      <w:tr w14:paraId="3785B965">
        <w:tblPrEx>
          <w:tblCellMar>
            <w:top w:w="0" w:type="dxa"/>
            <w:left w:w="108" w:type="dxa"/>
            <w:bottom w:w="0" w:type="dxa"/>
            <w:right w:w="108" w:type="dxa"/>
          </w:tblCellMar>
        </w:tblPrEx>
        <w:trPr>
          <w:trHeight w:val="285" w:hRule="atLeast"/>
        </w:trPr>
        <w:tc>
          <w:tcPr>
            <w:tcW w:w="1070" w:type="dxa"/>
            <w:vMerge w:val="continue"/>
            <w:tcBorders>
              <w:left w:val="single" w:color="auto" w:sz="8" w:space="0"/>
              <w:bottom w:val="single" w:color="auto" w:sz="4" w:space="0"/>
              <w:right w:val="single" w:color="auto" w:sz="4" w:space="0"/>
            </w:tcBorders>
            <w:vAlign w:val="center"/>
          </w:tcPr>
          <w:p w14:paraId="1997D9D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F469EE6">
            <w:pPr>
              <w:spacing w:line="320" w:lineRule="exact"/>
              <w:jc w:val="left"/>
              <w:rPr>
                <w:color w:val="000000"/>
                <w:kern w:val="0"/>
                <w:sz w:val="18"/>
                <w:szCs w:val="18"/>
              </w:rPr>
            </w:pPr>
            <w:r>
              <w:rPr>
                <w:rFonts w:hint="eastAsia"/>
                <w:color w:val="000000"/>
                <w:kern w:val="0"/>
                <w:sz w:val="18"/>
                <w:szCs w:val="18"/>
              </w:rPr>
              <w:t>不能恢复原状的</w:t>
            </w:r>
          </w:p>
        </w:tc>
        <w:tc>
          <w:tcPr>
            <w:tcW w:w="1080" w:type="dxa"/>
            <w:vMerge w:val="continue"/>
            <w:tcBorders>
              <w:left w:val="nil"/>
              <w:bottom w:val="single" w:color="auto" w:sz="4" w:space="0"/>
              <w:right w:val="single" w:color="auto" w:sz="4" w:space="0"/>
            </w:tcBorders>
            <w:vAlign w:val="center"/>
          </w:tcPr>
          <w:p w14:paraId="74E804C8">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652C42DE">
            <w:pPr>
              <w:spacing w:line="320" w:lineRule="exact"/>
              <w:jc w:val="left"/>
              <w:rPr>
                <w:color w:val="000000"/>
                <w:kern w:val="0"/>
                <w:sz w:val="18"/>
                <w:szCs w:val="18"/>
              </w:rPr>
            </w:pPr>
            <w:r>
              <w:rPr>
                <w:rFonts w:hint="eastAsia"/>
                <w:color w:val="000000"/>
                <w:kern w:val="0"/>
                <w:sz w:val="18"/>
                <w:szCs w:val="18"/>
              </w:rPr>
              <w:t>责令采取其他补救措施，处</w:t>
            </w:r>
            <w:r>
              <w:rPr>
                <w:color w:val="000000"/>
                <w:kern w:val="0"/>
                <w:sz w:val="18"/>
                <w:szCs w:val="18"/>
              </w:rPr>
              <w:t>50</w:t>
            </w:r>
            <w:r>
              <w:rPr>
                <w:rFonts w:hint="eastAsia"/>
                <w:color w:val="000000"/>
                <w:kern w:val="0"/>
                <w:sz w:val="18"/>
                <w:szCs w:val="18"/>
              </w:rPr>
              <w:t>元的罚款</w:t>
            </w:r>
          </w:p>
        </w:tc>
      </w:tr>
    </w:tbl>
    <w:p w14:paraId="3D50EF63"/>
    <w:p w14:paraId="065928B3"/>
    <w:p w14:paraId="71C01F39"/>
    <w:p w14:paraId="4506EF55"/>
    <w:p w14:paraId="3E90879D"/>
    <w:p w14:paraId="3B925BA6"/>
    <w:p w14:paraId="44F6CB42"/>
    <w:p w14:paraId="76E2EFB6"/>
    <w:p w14:paraId="21CE5A41"/>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01C41B6C">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F6A3B24">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4CE2911C">
            <w:pPr>
              <w:spacing w:line="320" w:lineRule="exact"/>
              <w:jc w:val="left"/>
              <w:rPr>
                <w:rFonts w:eastAsia="仿宋_GB2312"/>
                <w:b/>
                <w:bCs/>
                <w:color w:val="000000"/>
                <w:kern w:val="0"/>
                <w:sz w:val="18"/>
                <w:szCs w:val="18"/>
              </w:rPr>
            </w:pPr>
            <w:r>
              <w:rPr>
                <w:rFonts w:eastAsia="仿宋_GB2312"/>
                <w:b/>
                <w:bCs/>
                <w:color w:val="000000"/>
                <w:kern w:val="0"/>
                <w:sz w:val="18"/>
                <w:szCs w:val="18"/>
              </w:rPr>
              <w:t>320217180000</w:t>
            </w:r>
          </w:p>
        </w:tc>
      </w:tr>
      <w:tr w14:paraId="6613C42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899F82D">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303FDECD">
            <w:pPr>
              <w:spacing w:line="320" w:lineRule="exact"/>
              <w:jc w:val="left"/>
              <w:rPr>
                <w:color w:val="000000"/>
                <w:kern w:val="0"/>
                <w:sz w:val="18"/>
                <w:szCs w:val="18"/>
              </w:rPr>
            </w:pPr>
            <w:r>
              <w:rPr>
                <w:rFonts w:hint="eastAsia"/>
                <w:color w:val="000000"/>
                <w:kern w:val="0"/>
                <w:sz w:val="18"/>
                <w:szCs w:val="18"/>
              </w:rPr>
              <w:t>对工程监理企业涂改、伪造、出借、转让工程监理企业资质证书的处罚</w:t>
            </w:r>
          </w:p>
        </w:tc>
      </w:tr>
      <w:tr w14:paraId="2D864311">
        <w:tblPrEx>
          <w:tblCellMar>
            <w:top w:w="0" w:type="dxa"/>
            <w:left w:w="108" w:type="dxa"/>
            <w:bottom w:w="0" w:type="dxa"/>
            <w:right w:w="108" w:type="dxa"/>
          </w:tblCellMar>
        </w:tblPrEx>
        <w:trPr>
          <w:trHeight w:val="1350" w:hRule="atLeast"/>
        </w:trPr>
        <w:tc>
          <w:tcPr>
            <w:tcW w:w="1010" w:type="dxa"/>
            <w:tcBorders>
              <w:top w:val="nil"/>
              <w:left w:val="single" w:color="auto" w:sz="8" w:space="0"/>
              <w:bottom w:val="single" w:color="auto" w:sz="4" w:space="0"/>
              <w:right w:val="single" w:color="auto" w:sz="4" w:space="0"/>
            </w:tcBorders>
            <w:vAlign w:val="center"/>
          </w:tcPr>
          <w:p w14:paraId="499E2D1E">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56494E41">
            <w:pPr>
              <w:spacing w:line="32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14:paraId="62065A70">
            <w:pPr>
              <w:spacing w:line="320" w:lineRule="exact"/>
              <w:jc w:val="left"/>
              <w:rPr>
                <w:color w:val="000000"/>
                <w:kern w:val="0"/>
                <w:sz w:val="18"/>
                <w:szCs w:val="18"/>
              </w:rPr>
            </w:pPr>
            <w:r>
              <w:rPr>
                <w:rFonts w:hint="eastAsia"/>
                <w:color w:val="000000"/>
                <w:kern w:val="0"/>
                <w:sz w:val="18"/>
                <w:szCs w:val="18"/>
              </w:rPr>
              <w:t>第十六条　工程监理企业不得有下列行为：</w:t>
            </w:r>
          </w:p>
          <w:p w14:paraId="4D9D9C81">
            <w:pPr>
              <w:spacing w:line="320" w:lineRule="exact"/>
              <w:jc w:val="left"/>
              <w:rPr>
                <w:color w:val="000000"/>
                <w:kern w:val="0"/>
                <w:sz w:val="18"/>
                <w:szCs w:val="18"/>
              </w:rPr>
            </w:pPr>
            <w:r>
              <w:rPr>
                <w:rFonts w:hint="eastAsia"/>
                <w:color w:val="000000"/>
                <w:kern w:val="0"/>
                <w:sz w:val="18"/>
                <w:szCs w:val="18"/>
              </w:rPr>
              <w:t>　　（八）涂改、伪造、出借、转让工程监理企业资质证书；</w:t>
            </w:r>
          </w:p>
          <w:p w14:paraId="2881403F">
            <w:pPr>
              <w:spacing w:line="320" w:lineRule="exact"/>
              <w:jc w:val="left"/>
              <w:rPr>
                <w:color w:val="000000"/>
                <w:kern w:val="0"/>
                <w:sz w:val="18"/>
                <w:szCs w:val="18"/>
              </w:rPr>
            </w:pPr>
            <w:r>
              <w:rPr>
                <w:rFonts w:hint="eastAsia"/>
                <w:color w:val="000000"/>
                <w:kern w:val="0"/>
                <w:sz w:val="18"/>
                <w:szCs w:val="18"/>
              </w:rPr>
              <w:t>第二十九条　工程监理企业有本规定第十六条第七项、第八项行为之一的，由县级以上地方人民政府建设主管部门或者有关部门予以警告，责令其改正，并处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万元以下的罚款；造成损失的，依法承担赔偿责任；构成犯罪的，依法追究刑事责任。</w:t>
            </w:r>
          </w:p>
        </w:tc>
      </w:tr>
      <w:tr w14:paraId="3F0E7DB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C44AE10">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23738DB7">
            <w:pPr>
              <w:spacing w:line="320" w:lineRule="exact"/>
              <w:jc w:val="left"/>
              <w:rPr>
                <w:color w:val="000000"/>
                <w:kern w:val="0"/>
                <w:sz w:val="18"/>
                <w:szCs w:val="18"/>
              </w:rPr>
            </w:pPr>
            <w:r>
              <w:rPr>
                <w:rFonts w:hint="eastAsia"/>
                <w:color w:val="000000"/>
                <w:kern w:val="0"/>
                <w:sz w:val="18"/>
                <w:szCs w:val="18"/>
              </w:rPr>
              <w:t>警告，罚款</w:t>
            </w:r>
          </w:p>
        </w:tc>
      </w:tr>
      <w:tr w14:paraId="7E669DDE">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72451D6A">
            <w:pPr>
              <w:spacing w:line="320" w:lineRule="exact"/>
              <w:jc w:val="center"/>
              <w:rPr>
                <w:color w:val="000000"/>
                <w:kern w:val="0"/>
                <w:sz w:val="18"/>
                <w:szCs w:val="18"/>
              </w:rPr>
            </w:pPr>
            <w:r>
              <w:rPr>
                <w:rFonts w:hint="eastAsia"/>
                <w:color w:val="000000"/>
                <w:kern w:val="0"/>
                <w:sz w:val="18"/>
                <w:szCs w:val="18"/>
              </w:rPr>
              <w:t>裁量基准</w:t>
            </w:r>
          </w:p>
        </w:tc>
      </w:tr>
      <w:tr w14:paraId="5B9AFE29">
        <w:tblPrEx>
          <w:tblCellMar>
            <w:top w:w="0" w:type="dxa"/>
            <w:left w:w="108" w:type="dxa"/>
            <w:bottom w:w="0" w:type="dxa"/>
            <w:right w:w="108" w:type="dxa"/>
          </w:tblCellMar>
        </w:tblPrEx>
        <w:trPr>
          <w:trHeight w:val="540" w:hRule="atLeast"/>
        </w:trPr>
        <w:tc>
          <w:tcPr>
            <w:tcW w:w="1010" w:type="dxa"/>
            <w:vMerge w:val="restart"/>
            <w:tcBorders>
              <w:top w:val="nil"/>
              <w:left w:val="single" w:color="auto" w:sz="8" w:space="0"/>
              <w:bottom w:val="single" w:color="000000" w:sz="4" w:space="0"/>
              <w:right w:val="single" w:color="auto" w:sz="4" w:space="0"/>
            </w:tcBorders>
            <w:vAlign w:val="center"/>
          </w:tcPr>
          <w:p w14:paraId="657CD80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20D37FB1">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color="auto" w:sz="4" w:space="0"/>
              <w:bottom w:val="single" w:color="000000" w:sz="4" w:space="0"/>
              <w:right w:val="single" w:color="auto" w:sz="4" w:space="0"/>
            </w:tcBorders>
            <w:vAlign w:val="center"/>
          </w:tcPr>
          <w:p w14:paraId="0578DFF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0556EC1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25BC8ED3">
        <w:tblPrEx>
          <w:tblCellMar>
            <w:top w:w="0" w:type="dxa"/>
            <w:left w:w="108" w:type="dxa"/>
            <w:bottom w:w="0" w:type="dxa"/>
            <w:right w:w="108" w:type="dxa"/>
          </w:tblCellMar>
        </w:tblPrEx>
        <w:trPr>
          <w:trHeight w:val="540" w:hRule="atLeast"/>
        </w:trPr>
        <w:tc>
          <w:tcPr>
            <w:tcW w:w="1010" w:type="dxa"/>
            <w:vMerge w:val="continue"/>
            <w:tcBorders>
              <w:top w:val="nil"/>
              <w:left w:val="single" w:color="auto" w:sz="8" w:space="0"/>
              <w:bottom w:val="single" w:color="000000" w:sz="4" w:space="0"/>
              <w:right w:val="single" w:color="auto" w:sz="4" w:space="0"/>
            </w:tcBorders>
            <w:vAlign w:val="center"/>
          </w:tcPr>
          <w:p w14:paraId="589E61AA">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77D2426B">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val="continue"/>
            <w:tcBorders>
              <w:top w:val="nil"/>
              <w:left w:val="single" w:color="auto" w:sz="4" w:space="0"/>
              <w:bottom w:val="single" w:color="000000" w:sz="4" w:space="0"/>
              <w:right w:val="single" w:color="auto" w:sz="4" w:space="0"/>
            </w:tcBorders>
            <w:vAlign w:val="center"/>
          </w:tcPr>
          <w:p w14:paraId="296B2AE6">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vAlign w:val="center"/>
          </w:tcPr>
          <w:p w14:paraId="6D89C08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3C221C28"/>
    <w:p w14:paraId="0A641C68"/>
    <w:p w14:paraId="68CFB727"/>
    <w:p w14:paraId="7A759B7C"/>
    <w:p w14:paraId="6B1E5728"/>
    <w:p w14:paraId="30BF8719"/>
    <w:p w14:paraId="545981E9"/>
    <w:p w14:paraId="1E569DF3"/>
    <w:p w14:paraId="214AD783"/>
    <w:p w14:paraId="4FB0F5CE"/>
    <w:p w14:paraId="5E2D343F"/>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2D3BE17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77C46E2">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585C1A34">
            <w:pPr>
              <w:spacing w:line="320" w:lineRule="exact"/>
              <w:jc w:val="left"/>
              <w:rPr>
                <w:rFonts w:eastAsia="仿宋_GB2312"/>
                <w:b/>
                <w:bCs/>
                <w:color w:val="000000"/>
                <w:kern w:val="0"/>
                <w:sz w:val="18"/>
                <w:szCs w:val="18"/>
              </w:rPr>
            </w:pPr>
            <w:r>
              <w:rPr>
                <w:rFonts w:eastAsia="仿宋_GB2312"/>
                <w:b/>
                <w:bCs/>
                <w:color w:val="000000"/>
                <w:kern w:val="0"/>
                <w:sz w:val="18"/>
                <w:szCs w:val="18"/>
              </w:rPr>
              <w:t>320217181000</w:t>
            </w:r>
            <w:r>
              <w:rPr>
                <w:rFonts w:hint="eastAsia" w:eastAsia="仿宋_GB2312"/>
                <w:b/>
                <w:bCs/>
                <w:color w:val="000000"/>
                <w:kern w:val="0"/>
                <w:sz w:val="18"/>
                <w:szCs w:val="18"/>
              </w:rPr>
              <w:t xml:space="preserve"> </w:t>
            </w:r>
          </w:p>
        </w:tc>
      </w:tr>
      <w:tr w14:paraId="4F90CB3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6D42876">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3B555A75">
            <w:pPr>
              <w:spacing w:line="320" w:lineRule="exact"/>
              <w:jc w:val="left"/>
              <w:rPr>
                <w:color w:val="000000"/>
                <w:kern w:val="0"/>
                <w:sz w:val="18"/>
                <w:szCs w:val="18"/>
              </w:rPr>
            </w:pPr>
            <w:r>
              <w:rPr>
                <w:rFonts w:hint="eastAsia"/>
                <w:color w:val="000000"/>
                <w:kern w:val="0"/>
                <w:sz w:val="18"/>
                <w:szCs w:val="18"/>
              </w:rPr>
              <w:t>对施工单位未对建筑材料、建筑构配件、设备和商品混凝土进行检验，或者未对涉及结构安全的试块、试件以及有关材料取样检测的处罚</w:t>
            </w:r>
          </w:p>
        </w:tc>
      </w:tr>
      <w:tr w14:paraId="6090F6FD">
        <w:tblPrEx>
          <w:tblCellMar>
            <w:top w:w="0" w:type="dxa"/>
            <w:left w:w="108" w:type="dxa"/>
            <w:bottom w:w="0" w:type="dxa"/>
            <w:right w:w="108" w:type="dxa"/>
          </w:tblCellMar>
        </w:tblPrEx>
        <w:trPr>
          <w:trHeight w:val="2310" w:hRule="atLeast"/>
        </w:trPr>
        <w:tc>
          <w:tcPr>
            <w:tcW w:w="1056" w:type="dxa"/>
            <w:tcBorders>
              <w:top w:val="nil"/>
              <w:left w:val="single" w:color="auto" w:sz="8" w:space="0"/>
              <w:bottom w:val="single" w:color="auto" w:sz="4" w:space="0"/>
              <w:right w:val="single" w:color="auto" w:sz="4" w:space="0"/>
            </w:tcBorders>
            <w:vAlign w:val="center"/>
          </w:tcPr>
          <w:p w14:paraId="6C56AA51">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3D8B4CA2">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5D42F5DE">
            <w:pPr>
              <w:spacing w:line="280" w:lineRule="exact"/>
              <w:jc w:val="left"/>
              <w:rPr>
                <w:color w:val="000000"/>
                <w:kern w:val="0"/>
                <w:sz w:val="18"/>
                <w:szCs w:val="18"/>
              </w:rPr>
            </w:pPr>
            <w:r>
              <w:rPr>
                <w:rFonts w:hint="eastAsia"/>
                <w:color w:val="000000"/>
                <w:kern w:val="0"/>
                <w:sz w:val="18"/>
                <w:szCs w:val="18"/>
              </w:rPr>
              <w:t>第二十九条　施工单位必须按照工程设计要求、施工技术标准和合同约定，对建筑材料、建筑构配件、设备和商品混凝土进行检验，检验应当有书面记录和专人签字；未经检验或者检验不合格的，不得使用。</w:t>
            </w:r>
          </w:p>
          <w:p w14:paraId="602170F6">
            <w:pPr>
              <w:spacing w:line="280" w:lineRule="exact"/>
              <w:jc w:val="left"/>
              <w:rPr>
                <w:color w:val="000000"/>
                <w:kern w:val="0"/>
                <w:sz w:val="18"/>
                <w:szCs w:val="18"/>
              </w:rPr>
            </w:pPr>
            <w:r>
              <w:rPr>
                <w:rFonts w:hint="eastAsia"/>
                <w:color w:val="000000"/>
                <w:kern w:val="0"/>
                <w:sz w:val="18"/>
                <w:szCs w:val="18"/>
              </w:rPr>
              <w:t>第六十五条　违反本条例规定，施工单位未对建筑材料、建筑构配件、设备和商品混凝土进行检验，或者未对涉及结构安全的试块、试件以及有关材料取样检测的，责令改正，处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万元以下的罚款；情节严重的，责令停业整顿，降低资质等级或者吊销资质证书；造成损失的，依法承担赔偿责任。</w:t>
            </w:r>
          </w:p>
          <w:p w14:paraId="42118474">
            <w:pPr>
              <w:spacing w:line="28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59D10189">
            <w:pPr>
              <w:spacing w:line="28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56B60F6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5163C88">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69BFE160">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14:paraId="0A3B03BA">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15CC9CF9">
            <w:pPr>
              <w:spacing w:line="320" w:lineRule="exact"/>
              <w:jc w:val="center"/>
              <w:rPr>
                <w:color w:val="000000"/>
                <w:kern w:val="0"/>
                <w:sz w:val="18"/>
                <w:szCs w:val="18"/>
              </w:rPr>
            </w:pPr>
            <w:r>
              <w:rPr>
                <w:rFonts w:hint="eastAsia"/>
                <w:color w:val="000000"/>
                <w:kern w:val="0"/>
                <w:sz w:val="18"/>
                <w:szCs w:val="18"/>
              </w:rPr>
              <w:t>裁量基准</w:t>
            </w:r>
          </w:p>
        </w:tc>
      </w:tr>
      <w:tr w14:paraId="0B3124C2">
        <w:tblPrEx>
          <w:tblCellMar>
            <w:top w:w="0" w:type="dxa"/>
            <w:left w:w="108" w:type="dxa"/>
            <w:bottom w:w="0" w:type="dxa"/>
            <w:right w:w="108" w:type="dxa"/>
          </w:tblCellMar>
        </w:tblPrEx>
        <w:trPr>
          <w:trHeight w:val="480" w:hRule="atLeast"/>
        </w:trPr>
        <w:tc>
          <w:tcPr>
            <w:tcW w:w="1056" w:type="dxa"/>
            <w:vMerge w:val="restart"/>
            <w:tcBorders>
              <w:top w:val="nil"/>
              <w:left w:val="single" w:color="auto" w:sz="8" w:space="0"/>
              <w:bottom w:val="single" w:color="auto" w:sz="4" w:space="0"/>
              <w:right w:val="single" w:color="auto" w:sz="4" w:space="0"/>
            </w:tcBorders>
            <w:vAlign w:val="center"/>
          </w:tcPr>
          <w:p w14:paraId="3C2F0F7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4995B76">
            <w:pPr>
              <w:spacing w:line="320" w:lineRule="exact"/>
              <w:jc w:val="left"/>
              <w:rPr>
                <w:color w:val="000000"/>
                <w:kern w:val="0"/>
                <w:sz w:val="18"/>
                <w:szCs w:val="18"/>
              </w:rPr>
            </w:pPr>
            <w:r>
              <w:rPr>
                <w:rFonts w:hint="eastAsia"/>
                <w:color w:val="000000"/>
                <w:kern w:val="0"/>
                <w:sz w:val="18"/>
                <w:szCs w:val="18"/>
              </w:rPr>
              <w:t>尚未使用的</w:t>
            </w:r>
          </w:p>
        </w:tc>
        <w:tc>
          <w:tcPr>
            <w:tcW w:w="1044" w:type="dxa"/>
            <w:vMerge w:val="restart"/>
            <w:tcBorders>
              <w:top w:val="nil"/>
              <w:left w:val="single" w:color="auto" w:sz="4" w:space="0"/>
              <w:bottom w:val="single" w:color="auto" w:sz="4" w:space="0"/>
              <w:right w:val="single" w:color="auto" w:sz="4" w:space="0"/>
            </w:tcBorders>
            <w:vAlign w:val="center"/>
          </w:tcPr>
          <w:p w14:paraId="61EFC787">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75A200CF">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万元以上以上</w:t>
            </w:r>
            <w:r>
              <w:rPr>
                <w:color w:val="000000"/>
                <w:kern w:val="0"/>
                <w:sz w:val="18"/>
                <w:szCs w:val="18"/>
              </w:rPr>
              <w:t>12</w:t>
            </w:r>
            <w:r>
              <w:rPr>
                <w:rFonts w:hint="eastAsia"/>
                <w:color w:val="000000"/>
                <w:kern w:val="0"/>
                <w:sz w:val="18"/>
                <w:szCs w:val="18"/>
              </w:rPr>
              <w:t>万元以下罚款</w:t>
            </w:r>
          </w:p>
          <w:p w14:paraId="2DA8BB1F">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445AFFE7">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7A566AD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304355F">
            <w:pPr>
              <w:spacing w:line="320" w:lineRule="exact"/>
              <w:jc w:val="left"/>
              <w:rPr>
                <w:color w:val="000000"/>
                <w:kern w:val="0"/>
                <w:sz w:val="18"/>
                <w:szCs w:val="18"/>
              </w:rPr>
            </w:pPr>
            <w:r>
              <w:rPr>
                <w:rFonts w:hint="eastAsia"/>
                <w:color w:val="000000"/>
                <w:kern w:val="0"/>
                <w:sz w:val="18"/>
                <w:szCs w:val="18"/>
              </w:rPr>
              <w:t>投入使用，经检验合格的</w:t>
            </w:r>
          </w:p>
        </w:tc>
        <w:tc>
          <w:tcPr>
            <w:tcW w:w="1044" w:type="dxa"/>
            <w:vMerge w:val="continue"/>
            <w:tcBorders>
              <w:top w:val="nil"/>
              <w:left w:val="single" w:color="auto" w:sz="4" w:space="0"/>
              <w:bottom w:val="single" w:color="auto" w:sz="4" w:space="0"/>
              <w:right w:val="single" w:color="auto" w:sz="4" w:space="0"/>
            </w:tcBorders>
            <w:vAlign w:val="center"/>
          </w:tcPr>
          <w:p w14:paraId="44BCEB8A">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F4B90D6">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万元以下罚款，责令停业整顿</w:t>
            </w:r>
          </w:p>
          <w:p w14:paraId="3E4B9936">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163CAC4E">
        <w:tblPrEx>
          <w:tblCellMar>
            <w:top w:w="0" w:type="dxa"/>
            <w:left w:w="108" w:type="dxa"/>
            <w:bottom w:w="0" w:type="dxa"/>
            <w:right w:w="108" w:type="dxa"/>
          </w:tblCellMar>
        </w:tblPrEx>
        <w:trPr>
          <w:trHeight w:val="720" w:hRule="atLeast"/>
        </w:trPr>
        <w:tc>
          <w:tcPr>
            <w:tcW w:w="1056" w:type="dxa"/>
            <w:vMerge w:val="continue"/>
            <w:tcBorders>
              <w:top w:val="nil"/>
              <w:left w:val="single" w:color="auto" w:sz="8" w:space="0"/>
              <w:bottom w:val="single" w:color="auto" w:sz="4" w:space="0"/>
              <w:right w:val="single" w:color="auto" w:sz="4" w:space="0"/>
            </w:tcBorders>
            <w:vAlign w:val="center"/>
          </w:tcPr>
          <w:p w14:paraId="111D00B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42F9EE3">
            <w:pPr>
              <w:spacing w:line="320" w:lineRule="exact"/>
              <w:jc w:val="left"/>
              <w:rPr>
                <w:color w:val="000000"/>
                <w:kern w:val="0"/>
                <w:sz w:val="18"/>
                <w:szCs w:val="18"/>
              </w:rPr>
            </w:pPr>
            <w:r>
              <w:rPr>
                <w:rFonts w:hint="eastAsia"/>
                <w:color w:val="000000"/>
                <w:kern w:val="0"/>
                <w:sz w:val="18"/>
                <w:szCs w:val="18"/>
              </w:rPr>
              <w:t>投入使用，经检验不合格的</w:t>
            </w:r>
          </w:p>
        </w:tc>
        <w:tc>
          <w:tcPr>
            <w:tcW w:w="1044" w:type="dxa"/>
            <w:vMerge w:val="continue"/>
            <w:tcBorders>
              <w:top w:val="nil"/>
              <w:left w:val="single" w:color="auto" w:sz="4" w:space="0"/>
              <w:bottom w:val="single" w:color="auto" w:sz="4" w:space="0"/>
              <w:right w:val="single" w:color="auto" w:sz="4" w:space="0"/>
            </w:tcBorders>
            <w:vAlign w:val="center"/>
          </w:tcPr>
          <w:p w14:paraId="791E12D8">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41FD66E">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万元以下罚款，责令停业整顿，降低资质等级或者吊销资质证书</w:t>
            </w:r>
          </w:p>
          <w:p w14:paraId="1756B319">
            <w:pPr>
              <w:spacing w:line="32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1B145976"/>
    <w:p w14:paraId="63817FE6"/>
    <w:p w14:paraId="2194C96A"/>
    <w:p w14:paraId="15F52C76"/>
    <w:p w14:paraId="3FCA3E34"/>
    <w:tbl>
      <w:tblPr>
        <w:tblStyle w:val="15"/>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1540"/>
        <w:gridCol w:w="4600"/>
        <w:gridCol w:w="1044"/>
        <w:gridCol w:w="5820"/>
      </w:tblGrid>
      <w:tr w14:paraId="2CB126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tcBorders>
              <w:top w:val="single" w:color="auto" w:sz="8" w:space="0"/>
            </w:tcBorders>
            <w:shd w:val="clear" w:color="auto" w:fill="FFFFFF"/>
            <w:vAlign w:val="center"/>
          </w:tcPr>
          <w:p w14:paraId="25B3E6DB">
            <w:pPr>
              <w:spacing w:line="24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tcBorders>
            <w:shd w:val="clear" w:color="auto" w:fill="FFFFFF"/>
            <w:vAlign w:val="center"/>
          </w:tcPr>
          <w:p w14:paraId="782ADC35">
            <w:pPr>
              <w:spacing w:line="240" w:lineRule="exact"/>
              <w:jc w:val="left"/>
              <w:textAlignment w:val="center"/>
              <w:rPr>
                <w:rFonts w:eastAsia="仿宋_GB2312"/>
                <w:b/>
                <w:bCs/>
                <w:color w:val="000000"/>
                <w:kern w:val="0"/>
                <w:sz w:val="18"/>
                <w:szCs w:val="18"/>
              </w:rPr>
            </w:pPr>
            <w:r>
              <w:rPr>
                <w:rFonts w:eastAsia="仿宋_GB2312"/>
                <w:b/>
                <w:color w:val="000000"/>
                <w:kern w:val="0"/>
                <w:sz w:val="20"/>
              </w:rPr>
              <w:t>320217183000</w:t>
            </w:r>
          </w:p>
        </w:tc>
      </w:tr>
      <w:tr w14:paraId="20AD94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shd w:val="clear" w:color="auto" w:fill="FFFFFF"/>
            <w:vAlign w:val="center"/>
          </w:tcPr>
          <w:p w14:paraId="21924B61">
            <w:pPr>
              <w:spacing w:line="240" w:lineRule="exact"/>
              <w:jc w:val="center"/>
              <w:rPr>
                <w:color w:val="000000"/>
                <w:kern w:val="0"/>
                <w:sz w:val="18"/>
                <w:szCs w:val="18"/>
              </w:rPr>
            </w:pPr>
            <w:r>
              <w:rPr>
                <w:rFonts w:hint="eastAsia"/>
                <w:color w:val="000000"/>
                <w:kern w:val="0"/>
                <w:sz w:val="18"/>
                <w:szCs w:val="18"/>
              </w:rPr>
              <w:t>行为名称</w:t>
            </w:r>
          </w:p>
        </w:tc>
        <w:tc>
          <w:tcPr>
            <w:tcW w:w="13004" w:type="dxa"/>
            <w:gridSpan w:val="4"/>
            <w:shd w:val="clear" w:color="auto" w:fill="FFFFFF"/>
            <w:vAlign w:val="center"/>
          </w:tcPr>
          <w:p w14:paraId="43022E48">
            <w:pPr>
              <w:spacing w:line="240" w:lineRule="exact"/>
              <w:jc w:val="left"/>
              <w:rPr>
                <w:color w:val="000000"/>
                <w:kern w:val="0"/>
                <w:sz w:val="18"/>
                <w:szCs w:val="18"/>
              </w:rPr>
            </w:pPr>
            <w:r>
              <w:rPr>
                <w:rFonts w:hint="eastAsia"/>
                <w:color w:val="000000"/>
                <w:kern w:val="0"/>
                <w:sz w:val="18"/>
                <w:szCs w:val="18"/>
              </w:rPr>
              <w:t>对以欺骗、贿赂等不正当手段取得注册建筑师注册证书和执业印章的处罚</w:t>
            </w:r>
          </w:p>
        </w:tc>
      </w:tr>
      <w:tr w14:paraId="515BD8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5" w:hRule="atLeast"/>
        </w:trPr>
        <w:tc>
          <w:tcPr>
            <w:tcW w:w="1056" w:type="dxa"/>
            <w:shd w:val="clear" w:color="auto" w:fill="FFFFFF"/>
            <w:vAlign w:val="center"/>
          </w:tcPr>
          <w:p w14:paraId="4B7CB6E8">
            <w:pPr>
              <w:spacing w:line="240" w:lineRule="exact"/>
              <w:jc w:val="center"/>
              <w:rPr>
                <w:color w:val="000000"/>
                <w:kern w:val="0"/>
                <w:sz w:val="18"/>
                <w:szCs w:val="18"/>
              </w:rPr>
            </w:pPr>
            <w:r>
              <w:rPr>
                <w:rFonts w:hint="eastAsia"/>
                <w:color w:val="000000"/>
                <w:kern w:val="0"/>
                <w:sz w:val="18"/>
                <w:szCs w:val="18"/>
              </w:rPr>
              <w:t>法律依据</w:t>
            </w:r>
          </w:p>
        </w:tc>
        <w:tc>
          <w:tcPr>
            <w:tcW w:w="13004" w:type="dxa"/>
            <w:gridSpan w:val="4"/>
            <w:shd w:val="clear" w:color="auto" w:fill="FFFFFF"/>
            <w:vAlign w:val="center"/>
          </w:tcPr>
          <w:p w14:paraId="1B6A1AAF">
            <w:pPr>
              <w:spacing w:line="24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type="textWrapping"/>
            </w: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取得一级注册建筑师资格证书并受聘于一个相关单位的人员，应当通过聘用单位向单位工商注册所在地的省、自治区、直辖市注册建筑师管理委员会提出申请；省、自治区、直辖市注册建筑师管理委员会受理后提出初审意见，并将初审意见和申请材料报全国注册建筑师管理委员会审批；符合条件的，由全国注册建筑师管理委员会颁发一级注册建筑师注册证书和执业印章。</w:t>
            </w:r>
            <w:r>
              <w:rPr>
                <w:color w:val="000000"/>
                <w:kern w:val="0"/>
                <w:sz w:val="18"/>
                <w:szCs w:val="18"/>
              </w:rPr>
              <w:br w:type="textWrapping"/>
            </w:r>
            <w:r>
              <w:rPr>
                <w:rFonts w:hint="eastAsia"/>
                <w:color w:val="000000"/>
                <w:kern w:val="0"/>
                <w:sz w:val="18"/>
                <w:szCs w:val="18"/>
              </w:rPr>
              <w:t>第十五条第六款</w:t>
            </w:r>
            <w:r>
              <w:rPr>
                <w:color w:val="000000"/>
                <w:kern w:val="0"/>
                <w:sz w:val="18"/>
                <w:szCs w:val="18"/>
              </w:rPr>
              <w:t xml:space="preserve">  </w:t>
            </w:r>
            <w:r>
              <w:rPr>
                <w:rFonts w:hint="eastAsia"/>
                <w:color w:val="000000"/>
                <w:kern w:val="0"/>
                <w:sz w:val="18"/>
                <w:szCs w:val="18"/>
              </w:rPr>
              <w:t>二级注册建筑师的注册办法由省、自治区、直辖市注册建筑师管理委员会依法制定。</w:t>
            </w:r>
            <w:r>
              <w:rPr>
                <w:color w:val="000000"/>
                <w:kern w:val="0"/>
                <w:sz w:val="18"/>
                <w:szCs w:val="18"/>
              </w:rPr>
              <w:br w:type="textWrapping"/>
            </w:r>
            <w:r>
              <w:rPr>
                <w:rFonts w:hint="eastAsia"/>
                <w:color w:val="000000"/>
                <w:kern w:val="0"/>
                <w:sz w:val="18"/>
                <w:szCs w:val="18"/>
              </w:rPr>
              <w:t>第四十一条</w:t>
            </w:r>
            <w:r>
              <w:rPr>
                <w:color w:val="000000"/>
                <w:kern w:val="0"/>
                <w:sz w:val="18"/>
                <w:szCs w:val="18"/>
              </w:rPr>
              <w:t xml:space="preserve"> </w:t>
            </w:r>
            <w:r>
              <w:rPr>
                <w:rFonts w:hint="eastAsia"/>
                <w:color w:val="000000"/>
                <w:kern w:val="0"/>
                <w:sz w:val="18"/>
                <w:szCs w:val="18"/>
              </w:rPr>
              <w:t>以欺骗、贿赂等不正当手段取得注册证书和执业印章的，由全国注册建筑师管理委员会或省、自治区、直辖市注册建筑师管理委员会撤销注册证书并收回执业印章，三年内不得再次申请注册，并由县级以上人民政府建设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730C0F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shd w:val="clear" w:color="auto" w:fill="FFFFFF"/>
            <w:vAlign w:val="center"/>
          </w:tcPr>
          <w:p w14:paraId="5240752B">
            <w:pPr>
              <w:spacing w:line="240" w:lineRule="exact"/>
              <w:jc w:val="center"/>
              <w:rPr>
                <w:color w:val="000000"/>
                <w:kern w:val="0"/>
                <w:sz w:val="18"/>
                <w:szCs w:val="18"/>
              </w:rPr>
            </w:pPr>
            <w:r>
              <w:rPr>
                <w:rFonts w:hint="eastAsia"/>
                <w:color w:val="000000"/>
                <w:kern w:val="0"/>
                <w:sz w:val="18"/>
                <w:szCs w:val="18"/>
              </w:rPr>
              <w:t>行使内容</w:t>
            </w:r>
          </w:p>
        </w:tc>
        <w:tc>
          <w:tcPr>
            <w:tcW w:w="13004" w:type="dxa"/>
            <w:gridSpan w:val="4"/>
            <w:shd w:val="clear" w:color="auto" w:fill="FFFFFF"/>
            <w:vAlign w:val="center"/>
          </w:tcPr>
          <w:p w14:paraId="2E6BB7F2">
            <w:pPr>
              <w:spacing w:line="240" w:lineRule="exact"/>
              <w:jc w:val="left"/>
              <w:rPr>
                <w:color w:val="000000"/>
                <w:kern w:val="0"/>
                <w:sz w:val="18"/>
                <w:szCs w:val="18"/>
              </w:rPr>
            </w:pPr>
            <w:r>
              <w:rPr>
                <w:rFonts w:hint="eastAsia"/>
                <w:color w:val="000000"/>
                <w:kern w:val="0"/>
                <w:sz w:val="18"/>
                <w:szCs w:val="18"/>
              </w:rPr>
              <w:t>罚款</w:t>
            </w:r>
          </w:p>
        </w:tc>
      </w:tr>
      <w:tr w14:paraId="26E9C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60" w:type="dxa"/>
            <w:gridSpan w:val="5"/>
            <w:shd w:val="clear" w:color="auto" w:fill="FFFFFF"/>
            <w:vAlign w:val="center"/>
          </w:tcPr>
          <w:p w14:paraId="7DF9A67C">
            <w:pPr>
              <w:spacing w:line="240" w:lineRule="exact"/>
              <w:jc w:val="center"/>
              <w:rPr>
                <w:color w:val="000000"/>
                <w:kern w:val="0"/>
                <w:sz w:val="18"/>
                <w:szCs w:val="18"/>
              </w:rPr>
            </w:pPr>
            <w:r>
              <w:rPr>
                <w:rFonts w:hint="eastAsia"/>
                <w:color w:val="000000"/>
                <w:kern w:val="0"/>
                <w:sz w:val="18"/>
                <w:szCs w:val="18"/>
              </w:rPr>
              <w:t>裁量基准</w:t>
            </w:r>
          </w:p>
        </w:tc>
      </w:tr>
      <w:tr w14:paraId="08AD6D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restart"/>
            <w:shd w:val="clear" w:color="auto" w:fill="FFFFFF"/>
            <w:vAlign w:val="center"/>
          </w:tcPr>
          <w:p w14:paraId="415931CD">
            <w:pPr>
              <w:spacing w:line="240" w:lineRule="exact"/>
              <w:jc w:val="center"/>
              <w:rPr>
                <w:color w:val="000000"/>
                <w:kern w:val="0"/>
                <w:sz w:val="18"/>
                <w:szCs w:val="18"/>
              </w:rPr>
            </w:pPr>
            <w:r>
              <w:rPr>
                <w:rFonts w:hint="eastAsia"/>
                <w:color w:val="000000"/>
                <w:kern w:val="0"/>
                <w:sz w:val="18"/>
                <w:szCs w:val="18"/>
              </w:rPr>
              <w:t>情形描述</w:t>
            </w:r>
          </w:p>
        </w:tc>
        <w:tc>
          <w:tcPr>
            <w:tcW w:w="1540" w:type="dxa"/>
            <w:vMerge w:val="restart"/>
            <w:shd w:val="clear" w:color="auto" w:fill="FFFFFF"/>
            <w:vAlign w:val="center"/>
          </w:tcPr>
          <w:p w14:paraId="2C22D440">
            <w:pPr>
              <w:spacing w:line="240" w:lineRule="exact"/>
              <w:jc w:val="left"/>
              <w:rPr>
                <w:color w:val="000000"/>
                <w:kern w:val="0"/>
                <w:sz w:val="18"/>
                <w:szCs w:val="18"/>
              </w:rPr>
            </w:pPr>
            <w:r>
              <w:rPr>
                <w:rFonts w:hint="eastAsia"/>
                <w:color w:val="000000"/>
                <w:kern w:val="0"/>
                <w:sz w:val="18"/>
                <w:szCs w:val="18"/>
              </w:rPr>
              <w:t>无违法所得的</w:t>
            </w:r>
          </w:p>
        </w:tc>
        <w:tc>
          <w:tcPr>
            <w:tcW w:w="4600" w:type="dxa"/>
            <w:shd w:val="clear" w:color="auto" w:fill="FFFFFF"/>
            <w:vAlign w:val="center"/>
          </w:tcPr>
          <w:p w14:paraId="167A9B6A">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以欺骗、贿赂等不正当手段取得注册建筑师注册证书和执业印章但积极配合调查的</w:t>
            </w:r>
          </w:p>
        </w:tc>
        <w:tc>
          <w:tcPr>
            <w:tcW w:w="1044" w:type="dxa"/>
            <w:vMerge w:val="restart"/>
            <w:shd w:val="clear" w:color="auto" w:fill="FFFFFF"/>
            <w:vAlign w:val="center"/>
          </w:tcPr>
          <w:p w14:paraId="362DAC53">
            <w:pPr>
              <w:spacing w:line="240" w:lineRule="exact"/>
              <w:jc w:val="center"/>
              <w:rPr>
                <w:color w:val="000000"/>
                <w:kern w:val="0"/>
                <w:sz w:val="18"/>
                <w:szCs w:val="18"/>
              </w:rPr>
            </w:pPr>
            <w:r>
              <w:rPr>
                <w:rFonts w:hint="eastAsia"/>
                <w:color w:val="000000"/>
                <w:kern w:val="0"/>
                <w:sz w:val="18"/>
                <w:szCs w:val="18"/>
              </w:rPr>
              <w:t>裁量幅度</w:t>
            </w:r>
          </w:p>
        </w:tc>
        <w:tc>
          <w:tcPr>
            <w:tcW w:w="5820" w:type="dxa"/>
            <w:shd w:val="clear" w:color="auto" w:fill="FFFFFF"/>
            <w:vAlign w:val="center"/>
          </w:tcPr>
          <w:p w14:paraId="5DB938C7">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206D95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continue"/>
            <w:shd w:val="clear" w:color="auto" w:fill="FFFFFF"/>
            <w:vAlign w:val="center"/>
          </w:tcPr>
          <w:p w14:paraId="11652173">
            <w:pPr>
              <w:spacing w:line="240" w:lineRule="exact"/>
              <w:jc w:val="left"/>
              <w:rPr>
                <w:color w:val="000000"/>
                <w:kern w:val="0"/>
                <w:sz w:val="18"/>
                <w:szCs w:val="18"/>
              </w:rPr>
            </w:pPr>
          </w:p>
        </w:tc>
        <w:tc>
          <w:tcPr>
            <w:tcW w:w="1540" w:type="dxa"/>
            <w:vMerge w:val="continue"/>
            <w:shd w:val="clear" w:color="auto" w:fill="FFFFFF"/>
            <w:vAlign w:val="center"/>
          </w:tcPr>
          <w:p w14:paraId="6973EE4F">
            <w:pPr>
              <w:spacing w:line="240" w:lineRule="exact"/>
              <w:jc w:val="left"/>
              <w:rPr>
                <w:color w:val="000000"/>
                <w:kern w:val="0"/>
                <w:sz w:val="18"/>
                <w:szCs w:val="18"/>
              </w:rPr>
            </w:pPr>
          </w:p>
        </w:tc>
        <w:tc>
          <w:tcPr>
            <w:tcW w:w="4600" w:type="dxa"/>
            <w:shd w:val="clear" w:color="auto" w:fill="FFFFFF"/>
            <w:vAlign w:val="center"/>
          </w:tcPr>
          <w:p w14:paraId="59491D56">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以欺骗、贿赂等不正当手段取得注册建筑师注册证书和执业印章且不配合调查的</w:t>
            </w:r>
          </w:p>
        </w:tc>
        <w:tc>
          <w:tcPr>
            <w:tcW w:w="1044" w:type="dxa"/>
            <w:vMerge w:val="continue"/>
            <w:shd w:val="clear" w:color="auto" w:fill="FFFFFF"/>
            <w:vAlign w:val="center"/>
          </w:tcPr>
          <w:p w14:paraId="2CB987EB">
            <w:pPr>
              <w:spacing w:line="240" w:lineRule="exact"/>
              <w:jc w:val="left"/>
              <w:rPr>
                <w:color w:val="000000"/>
                <w:kern w:val="0"/>
                <w:sz w:val="18"/>
                <w:szCs w:val="18"/>
              </w:rPr>
            </w:pPr>
          </w:p>
        </w:tc>
        <w:tc>
          <w:tcPr>
            <w:tcW w:w="5820" w:type="dxa"/>
            <w:shd w:val="clear" w:color="auto" w:fill="FFFFFF"/>
            <w:vAlign w:val="center"/>
          </w:tcPr>
          <w:p w14:paraId="6DA3A6FC">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07D14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continue"/>
            <w:shd w:val="clear" w:color="auto" w:fill="FFFFFF"/>
            <w:vAlign w:val="center"/>
          </w:tcPr>
          <w:p w14:paraId="5A7A61F0">
            <w:pPr>
              <w:spacing w:line="240" w:lineRule="exact"/>
              <w:jc w:val="left"/>
              <w:rPr>
                <w:color w:val="000000"/>
                <w:kern w:val="0"/>
                <w:sz w:val="18"/>
                <w:szCs w:val="18"/>
              </w:rPr>
            </w:pPr>
          </w:p>
        </w:tc>
        <w:tc>
          <w:tcPr>
            <w:tcW w:w="1540" w:type="dxa"/>
            <w:vMerge w:val="restart"/>
            <w:shd w:val="clear" w:color="auto" w:fill="FFFFFF"/>
            <w:vAlign w:val="center"/>
          </w:tcPr>
          <w:p w14:paraId="11271E04">
            <w:pPr>
              <w:spacing w:line="240" w:lineRule="exact"/>
              <w:jc w:val="left"/>
              <w:rPr>
                <w:color w:val="000000"/>
                <w:kern w:val="0"/>
                <w:sz w:val="18"/>
                <w:szCs w:val="18"/>
              </w:rPr>
            </w:pPr>
            <w:r>
              <w:rPr>
                <w:rFonts w:hint="eastAsia"/>
                <w:color w:val="000000"/>
                <w:kern w:val="0"/>
                <w:sz w:val="18"/>
                <w:szCs w:val="18"/>
              </w:rPr>
              <w:t>有违法所得的</w:t>
            </w:r>
          </w:p>
        </w:tc>
        <w:tc>
          <w:tcPr>
            <w:tcW w:w="4600" w:type="dxa"/>
            <w:shd w:val="clear" w:color="auto" w:fill="FFFFFF"/>
            <w:vAlign w:val="center"/>
          </w:tcPr>
          <w:p w14:paraId="0062F2A1">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以欺骗、贿赂等不正当手段取得注册建筑师注册证书和执业印章但积极配合调查的</w:t>
            </w:r>
          </w:p>
        </w:tc>
        <w:tc>
          <w:tcPr>
            <w:tcW w:w="1044" w:type="dxa"/>
            <w:vMerge w:val="continue"/>
            <w:shd w:val="clear" w:color="auto" w:fill="FFFFFF"/>
            <w:vAlign w:val="center"/>
          </w:tcPr>
          <w:p w14:paraId="4EA3BB6E">
            <w:pPr>
              <w:spacing w:line="240" w:lineRule="exact"/>
              <w:jc w:val="left"/>
              <w:rPr>
                <w:color w:val="000000"/>
                <w:kern w:val="0"/>
                <w:sz w:val="18"/>
                <w:szCs w:val="18"/>
              </w:rPr>
            </w:pPr>
          </w:p>
        </w:tc>
        <w:tc>
          <w:tcPr>
            <w:tcW w:w="5820" w:type="dxa"/>
            <w:shd w:val="clear" w:color="auto" w:fill="FFFFFF"/>
            <w:vAlign w:val="center"/>
          </w:tcPr>
          <w:p w14:paraId="6219D950">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10C28D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continue"/>
            <w:tcBorders>
              <w:bottom w:val="single" w:color="auto" w:sz="8" w:space="0"/>
            </w:tcBorders>
            <w:shd w:val="clear" w:color="auto" w:fill="FFFFFF"/>
            <w:vAlign w:val="center"/>
          </w:tcPr>
          <w:p w14:paraId="2F00EA1D">
            <w:pPr>
              <w:spacing w:line="240" w:lineRule="exact"/>
              <w:jc w:val="left"/>
              <w:rPr>
                <w:color w:val="000000"/>
                <w:kern w:val="0"/>
                <w:sz w:val="18"/>
                <w:szCs w:val="18"/>
              </w:rPr>
            </w:pPr>
          </w:p>
        </w:tc>
        <w:tc>
          <w:tcPr>
            <w:tcW w:w="1540" w:type="dxa"/>
            <w:vMerge w:val="continue"/>
            <w:tcBorders>
              <w:bottom w:val="single" w:color="auto" w:sz="8" w:space="0"/>
            </w:tcBorders>
            <w:shd w:val="clear" w:color="auto" w:fill="FFFFFF"/>
            <w:vAlign w:val="center"/>
          </w:tcPr>
          <w:p w14:paraId="6F32D861">
            <w:pPr>
              <w:spacing w:line="240" w:lineRule="exact"/>
              <w:jc w:val="left"/>
              <w:rPr>
                <w:color w:val="000000"/>
                <w:kern w:val="0"/>
                <w:sz w:val="18"/>
                <w:szCs w:val="18"/>
              </w:rPr>
            </w:pPr>
          </w:p>
        </w:tc>
        <w:tc>
          <w:tcPr>
            <w:tcW w:w="4600" w:type="dxa"/>
            <w:tcBorders>
              <w:bottom w:val="single" w:color="auto" w:sz="8" w:space="0"/>
            </w:tcBorders>
            <w:shd w:val="clear" w:color="auto" w:fill="FFFFFF"/>
            <w:vAlign w:val="center"/>
          </w:tcPr>
          <w:p w14:paraId="585F3A58">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以欺骗、贿赂等不正当手段取得注册建筑师注册证书和执业印章且不配合调查的</w:t>
            </w:r>
          </w:p>
        </w:tc>
        <w:tc>
          <w:tcPr>
            <w:tcW w:w="1044" w:type="dxa"/>
            <w:vMerge w:val="continue"/>
            <w:tcBorders>
              <w:bottom w:val="single" w:color="auto" w:sz="8" w:space="0"/>
            </w:tcBorders>
            <w:shd w:val="clear" w:color="auto" w:fill="FFFFFF"/>
            <w:vAlign w:val="center"/>
          </w:tcPr>
          <w:p w14:paraId="1308D691">
            <w:pPr>
              <w:spacing w:line="240" w:lineRule="exact"/>
              <w:jc w:val="left"/>
              <w:rPr>
                <w:color w:val="000000"/>
                <w:kern w:val="0"/>
                <w:sz w:val="18"/>
                <w:szCs w:val="18"/>
              </w:rPr>
            </w:pPr>
          </w:p>
        </w:tc>
        <w:tc>
          <w:tcPr>
            <w:tcW w:w="5820" w:type="dxa"/>
            <w:tcBorders>
              <w:bottom w:val="single" w:color="auto" w:sz="8" w:space="0"/>
            </w:tcBorders>
            <w:shd w:val="clear" w:color="auto" w:fill="FFFFFF"/>
            <w:vAlign w:val="center"/>
          </w:tcPr>
          <w:p w14:paraId="68502785">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0A58CB12"/>
    <w:p w14:paraId="37D99B15"/>
    <w:p w14:paraId="361624EC"/>
    <w:p w14:paraId="2F943C5B"/>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33FFFBC3">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2DB921A7">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18D2C10F">
            <w:pPr>
              <w:spacing w:line="320" w:lineRule="exact"/>
              <w:jc w:val="left"/>
              <w:rPr>
                <w:rFonts w:eastAsia="仿宋_GB2312"/>
                <w:b/>
                <w:bCs/>
                <w:color w:val="000000"/>
                <w:kern w:val="0"/>
                <w:sz w:val="18"/>
                <w:szCs w:val="18"/>
              </w:rPr>
            </w:pPr>
            <w:r>
              <w:rPr>
                <w:rFonts w:eastAsia="仿宋_GB2312"/>
                <w:b/>
                <w:bCs/>
                <w:color w:val="000000"/>
                <w:kern w:val="0"/>
                <w:sz w:val="18"/>
                <w:szCs w:val="18"/>
              </w:rPr>
              <w:t>320217184000</w:t>
            </w:r>
          </w:p>
        </w:tc>
      </w:tr>
      <w:tr w14:paraId="51662335">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A58AE66">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35DB2B73">
            <w:pPr>
              <w:spacing w:line="320" w:lineRule="exact"/>
              <w:jc w:val="left"/>
              <w:rPr>
                <w:color w:val="000000"/>
                <w:kern w:val="0"/>
                <w:sz w:val="18"/>
                <w:szCs w:val="18"/>
              </w:rPr>
            </w:pPr>
            <w:r>
              <w:rPr>
                <w:rFonts w:hint="eastAsia"/>
                <w:color w:val="000000"/>
                <w:kern w:val="0"/>
                <w:sz w:val="18"/>
                <w:szCs w:val="18"/>
              </w:rPr>
              <w:t>对未经批准在历史文化名城、名镇、名村保护范围内拆除历史建筑以外的建筑物、构筑物或者其他设施，或者在活动过程中对传统格局、历史风貌或者历史建筑构成破坏性影响的的处罚</w:t>
            </w:r>
          </w:p>
        </w:tc>
      </w:tr>
      <w:tr w14:paraId="1EF8580C">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6081ACC1">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3FAB17C5">
            <w:pPr>
              <w:spacing w:line="320" w:lineRule="exact"/>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14:paraId="3625F0D3">
            <w:pPr>
              <w:spacing w:line="320" w:lineRule="exact"/>
              <w:jc w:val="left"/>
              <w:rPr>
                <w:color w:val="000000"/>
                <w:kern w:val="0"/>
                <w:sz w:val="18"/>
                <w:szCs w:val="18"/>
              </w:rPr>
            </w:pPr>
            <w:r>
              <w:rPr>
                <w:rFonts w:hint="eastAsia"/>
                <w:color w:val="000000"/>
                <w:kern w:val="0"/>
                <w:sz w:val="18"/>
                <w:szCs w:val="18"/>
              </w:rPr>
              <w:t>第二十八条第三款</w:t>
            </w:r>
            <w:r>
              <w:rPr>
                <w:color w:val="000000"/>
                <w:kern w:val="0"/>
                <w:sz w:val="18"/>
                <w:szCs w:val="18"/>
              </w:rPr>
              <w:t xml:space="preserve"> </w:t>
            </w:r>
            <w:r>
              <w:rPr>
                <w:rFonts w:hint="eastAsia"/>
                <w:color w:val="000000"/>
                <w:kern w:val="0"/>
                <w:sz w:val="18"/>
                <w:szCs w:val="18"/>
              </w:rPr>
              <w:t>在历史文化街区、名镇、名村核心保护范围内，拆除历史建筑以外的建筑物、构筑物或者其他设施的，应当经城市、县人民政府城乡规划主管部门会同同级文物主管部门批准。</w:t>
            </w:r>
          </w:p>
          <w:p w14:paraId="4641B69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万元以下的罚款；造成损失的，依法承担赔偿责任：</w:t>
            </w:r>
          </w:p>
          <w:p w14:paraId="4AD69E8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（一）拆除历史建筑以外的建筑物、构筑物或者其他设施的；</w:t>
            </w:r>
          </w:p>
          <w:p w14:paraId="19E94D8E">
            <w:pPr>
              <w:spacing w:line="320" w:lineRule="exact"/>
              <w:jc w:val="left"/>
              <w:rPr>
                <w:color w:val="000000"/>
                <w:kern w:val="0"/>
                <w:sz w:val="18"/>
                <w:szCs w:val="18"/>
              </w:rPr>
            </w:pPr>
            <w:r>
              <w:rPr>
                <w:rFonts w:hint="eastAsia"/>
                <w:color w:val="000000"/>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r>
      <w:tr w14:paraId="0281C91E">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6B3787F">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40C6F777">
            <w:pPr>
              <w:spacing w:line="320" w:lineRule="exact"/>
              <w:jc w:val="left"/>
              <w:rPr>
                <w:color w:val="000000"/>
                <w:kern w:val="0"/>
                <w:sz w:val="18"/>
                <w:szCs w:val="18"/>
              </w:rPr>
            </w:pPr>
            <w:r>
              <w:rPr>
                <w:rFonts w:hint="eastAsia"/>
                <w:color w:val="000000"/>
                <w:kern w:val="0"/>
                <w:sz w:val="18"/>
                <w:szCs w:val="18"/>
              </w:rPr>
              <w:t>没收违法所得，罚款</w:t>
            </w:r>
          </w:p>
        </w:tc>
      </w:tr>
      <w:tr w14:paraId="1ECB6CB2">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4AF68AB6">
            <w:pPr>
              <w:spacing w:line="320" w:lineRule="exact"/>
              <w:jc w:val="center"/>
              <w:rPr>
                <w:color w:val="000000"/>
                <w:kern w:val="0"/>
                <w:sz w:val="18"/>
                <w:szCs w:val="18"/>
              </w:rPr>
            </w:pPr>
            <w:r>
              <w:rPr>
                <w:rFonts w:hint="eastAsia"/>
                <w:color w:val="000000"/>
                <w:kern w:val="0"/>
                <w:sz w:val="18"/>
                <w:szCs w:val="18"/>
              </w:rPr>
              <w:t>裁量基准</w:t>
            </w:r>
          </w:p>
        </w:tc>
      </w:tr>
      <w:tr w14:paraId="2087F37A">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098CA27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077F0F2">
            <w:pPr>
              <w:spacing w:line="320" w:lineRule="exact"/>
              <w:jc w:val="left"/>
              <w:rPr>
                <w:color w:val="000000"/>
                <w:kern w:val="0"/>
                <w:sz w:val="18"/>
                <w:szCs w:val="18"/>
              </w:rPr>
            </w:pPr>
            <w:r>
              <w:rPr>
                <w:rFonts w:hint="eastAsia"/>
                <w:color w:val="000000"/>
                <w:kern w:val="0"/>
                <w:sz w:val="18"/>
                <w:szCs w:val="18"/>
              </w:rPr>
              <w:t>未拆除建筑物、构筑物和其他设施，但对传统格局、历史风貌或者历史建筑构成破坏性影响，且影响无法消除的</w:t>
            </w:r>
          </w:p>
        </w:tc>
        <w:tc>
          <w:tcPr>
            <w:tcW w:w="1080" w:type="dxa"/>
            <w:vMerge w:val="restart"/>
            <w:tcBorders>
              <w:top w:val="nil"/>
              <w:left w:val="single" w:color="auto" w:sz="4" w:space="0"/>
              <w:bottom w:val="single" w:color="auto" w:sz="4" w:space="0"/>
              <w:right w:val="single" w:color="auto" w:sz="4" w:space="0"/>
            </w:tcBorders>
            <w:vAlign w:val="center"/>
          </w:tcPr>
          <w:p w14:paraId="40A5709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2BE7633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14:paraId="4E280C4A">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78BBA0C5">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6760AD3B">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A68E17B">
            <w:pPr>
              <w:spacing w:line="320" w:lineRule="exact"/>
              <w:jc w:val="left"/>
              <w:rPr>
                <w:color w:val="000000"/>
                <w:kern w:val="0"/>
                <w:sz w:val="18"/>
                <w:szCs w:val="18"/>
              </w:rPr>
            </w:pPr>
            <w:r>
              <w:rPr>
                <w:rFonts w:hint="eastAsia"/>
                <w:color w:val="000000"/>
                <w:kern w:val="0"/>
                <w:sz w:val="18"/>
                <w:szCs w:val="18"/>
              </w:rPr>
              <w:t>只拆除建筑物、构筑物以外其他设施，且无法恢复的</w:t>
            </w:r>
          </w:p>
        </w:tc>
        <w:tc>
          <w:tcPr>
            <w:tcW w:w="1080" w:type="dxa"/>
            <w:vMerge w:val="continue"/>
            <w:tcBorders>
              <w:top w:val="nil"/>
              <w:left w:val="single" w:color="auto" w:sz="4" w:space="0"/>
              <w:bottom w:val="single" w:color="auto" w:sz="4" w:space="0"/>
              <w:right w:val="single" w:color="auto" w:sz="4" w:space="0"/>
            </w:tcBorders>
            <w:vAlign w:val="center"/>
          </w:tcPr>
          <w:p w14:paraId="301FAC48">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52F1BB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p w14:paraId="321FB392">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0805C282">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CC068C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087DB28">
            <w:pPr>
              <w:spacing w:line="320" w:lineRule="exact"/>
              <w:jc w:val="left"/>
              <w:rPr>
                <w:color w:val="000000"/>
                <w:kern w:val="0"/>
                <w:sz w:val="18"/>
                <w:szCs w:val="18"/>
              </w:rPr>
            </w:pPr>
            <w:r>
              <w:rPr>
                <w:rFonts w:hint="eastAsia"/>
                <w:color w:val="000000"/>
                <w:kern w:val="0"/>
                <w:sz w:val="18"/>
                <w:szCs w:val="18"/>
              </w:rPr>
              <w:t>拆除构筑物但未拆除建筑物，无法恢复的</w:t>
            </w:r>
          </w:p>
        </w:tc>
        <w:tc>
          <w:tcPr>
            <w:tcW w:w="1080" w:type="dxa"/>
            <w:vMerge w:val="continue"/>
            <w:tcBorders>
              <w:top w:val="nil"/>
              <w:left w:val="single" w:color="auto" w:sz="4" w:space="0"/>
              <w:bottom w:val="single" w:color="auto" w:sz="4" w:space="0"/>
              <w:right w:val="single" w:color="auto" w:sz="4" w:space="0"/>
            </w:tcBorders>
            <w:vAlign w:val="center"/>
          </w:tcPr>
          <w:p w14:paraId="06FDE3B8">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F927D2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14:paraId="03D53C61">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14:paraId="512A1846">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14012D8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2EE9AA2">
            <w:pPr>
              <w:spacing w:line="320" w:lineRule="exact"/>
              <w:jc w:val="left"/>
              <w:rPr>
                <w:color w:val="000000"/>
                <w:kern w:val="0"/>
                <w:sz w:val="18"/>
                <w:szCs w:val="18"/>
              </w:rPr>
            </w:pPr>
            <w:r>
              <w:rPr>
                <w:rFonts w:hint="eastAsia"/>
                <w:color w:val="000000"/>
                <w:kern w:val="0"/>
                <w:sz w:val="18"/>
                <w:szCs w:val="18"/>
              </w:rPr>
              <w:t>拆除建筑物，且无法恢复的</w:t>
            </w:r>
          </w:p>
        </w:tc>
        <w:tc>
          <w:tcPr>
            <w:tcW w:w="1080" w:type="dxa"/>
            <w:vMerge w:val="continue"/>
            <w:tcBorders>
              <w:top w:val="nil"/>
              <w:left w:val="single" w:color="auto" w:sz="4" w:space="0"/>
              <w:bottom w:val="single" w:color="auto" w:sz="4" w:space="0"/>
              <w:right w:val="single" w:color="auto" w:sz="4" w:space="0"/>
            </w:tcBorders>
            <w:vAlign w:val="center"/>
          </w:tcPr>
          <w:p w14:paraId="4FB8A010">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F9E8ADF">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3EAF9786">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42C7646A"/>
    <w:p w14:paraId="4A7ED069"/>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2B8E85D0">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7192509D">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685CAC7F">
            <w:pPr>
              <w:spacing w:line="320" w:lineRule="exact"/>
              <w:jc w:val="left"/>
              <w:rPr>
                <w:rFonts w:eastAsia="仿宋_GB2312"/>
                <w:b/>
                <w:bCs/>
                <w:color w:val="000000"/>
                <w:kern w:val="0"/>
                <w:sz w:val="18"/>
                <w:szCs w:val="18"/>
              </w:rPr>
            </w:pPr>
            <w:r>
              <w:rPr>
                <w:rFonts w:eastAsia="仿宋_GB2312"/>
                <w:b/>
                <w:bCs/>
                <w:color w:val="000000"/>
                <w:kern w:val="0"/>
                <w:sz w:val="18"/>
                <w:szCs w:val="18"/>
              </w:rPr>
              <w:t>320217186000</w:t>
            </w:r>
            <w:r>
              <w:rPr>
                <w:rFonts w:hint="eastAsia" w:eastAsia="仿宋_GB2312"/>
                <w:b/>
                <w:bCs/>
                <w:color w:val="000000"/>
                <w:kern w:val="0"/>
                <w:sz w:val="18"/>
                <w:szCs w:val="18"/>
              </w:rPr>
              <w:t xml:space="preserve"> </w:t>
            </w:r>
          </w:p>
        </w:tc>
      </w:tr>
      <w:tr w14:paraId="6798E26A">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0912BDC1">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72F7B193">
            <w:pPr>
              <w:spacing w:line="320" w:lineRule="exact"/>
              <w:jc w:val="left"/>
              <w:rPr>
                <w:color w:val="000000"/>
                <w:kern w:val="0"/>
                <w:sz w:val="18"/>
                <w:szCs w:val="18"/>
              </w:rPr>
            </w:pPr>
            <w:r>
              <w:rPr>
                <w:rFonts w:hint="eastAsia"/>
                <w:color w:val="000000"/>
                <w:kern w:val="0"/>
                <w:sz w:val="18"/>
                <w:szCs w:val="18"/>
              </w:rPr>
              <w:t>对建设项目必须实行工程监理而未实行工程监理的处罚</w:t>
            </w:r>
          </w:p>
        </w:tc>
      </w:tr>
      <w:tr w14:paraId="055A4599">
        <w:tblPrEx>
          <w:tblCellMar>
            <w:top w:w="0" w:type="dxa"/>
            <w:left w:w="108" w:type="dxa"/>
            <w:bottom w:w="0" w:type="dxa"/>
            <w:right w:w="108" w:type="dxa"/>
          </w:tblCellMar>
        </w:tblPrEx>
        <w:trPr>
          <w:trHeight w:val="1691" w:hRule="atLeast"/>
        </w:trPr>
        <w:tc>
          <w:tcPr>
            <w:tcW w:w="1090" w:type="dxa"/>
            <w:tcBorders>
              <w:top w:val="nil"/>
              <w:left w:val="single" w:color="auto" w:sz="8" w:space="0"/>
              <w:bottom w:val="single" w:color="auto" w:sz="4" w:space="0"/>
              <w:right w:val="single" w:color="auto" w:sz="4" w:space="0"/>
            </w:tcBorders>
            <w:vAlign w:val="center"/>
          </w:tcPr>
          <w:p w14:paraId="7BC9936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2431BD2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5DAF1B50">
            <w:pPr>
              <w:spacing w:line="320" w:lineRule="exact"/>
              <w:jc w:val="left"/>
              <w:rPr>
                <w:color w:val="000000"/>
                <w:kern w:val="0"/>
                <w:sz w:val="18"/>
                <w:szCs w:val="18"/>
              </w:rPr>
            </w:pPr>
            <w:r>
              <w:rPr>
                <w:rFonts w:hint="eastAsia"/>
                <w:color w:val="000000"/>
                <w:kern w:val="0"/>
                <w:sz w:val="18"/>
                <w:szCs w:val="18"/>
              </w:rPr>
              <w:t>第十二条第二款　下列建设工程必须实行监理：</w:t>
            </w:r>
          </w:p>
          <w:p w14:paraId="4F99CF9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（一）国家重点建设工程；</w:t>
            </w:r>
          </w:p>
          <w:p w14:paraId="653475A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（二）大中型公用事业工程；</w:t>
            </w:r>
          </w:p>
          <w:p w14:paraId="760B5D2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（三）成片开发建设的住宅小区工程；</w:t>
            </w:r>
          </w:p>
          <w:p w14:paraId="0E88177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（四）利用外国政府或者国际组织贷款、援助资金的工程；</w:t>
            </w:r>
          </w:p>
          <w:p w14:paraId="45F59F4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（五）国家规定必须实行监理的其他工程。</w:t>
            </w:r>
          </w:p>
          <w:p w14:paraId="0C70207A">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14:paraId="57BAA89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（五）建设项目必须实行工程监理而未实行工程监理的。</w:t>
            </w:r>
          </w:p>
          <w:p w14:paraId="2CC53C79">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529F0A34">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44EEC5B0">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1CCD0388">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20A92039">
            <w:pPr>
              <w:spacing w:line="320" w:lineRule="exact"/>
              <w:jc w:val="left"/>
              <w:rPr>
                <w:color w:val="000000"/>
                <w:kern w:val="0"/>
                <w:sz w:val="18"/>
                <w:szCs w:val="18"/>
              </w:rPr>
            </w:pPr>
            <w:r>
              <w:rPr>
                <w:rFonts w:hint="eastAsia"/>
                <w:color w:val="000000"/>
                <w:kern w:val="0"/>
                <w:sz w:val="18"/>
                <w:szCs w:val="18"/>
              </w:rPr>
              <w:t>罚款</w:t>
            </w:r>
          </w:p>
        </w:tc>
      </w:tr>
      <w:tr w14:paraId="45FC97ED">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6EADFE72">
            <w:pPr>
              <w:spacing w:line="320" w:lineRule="exact"/>
              <w:jc w:val="center"/>
              <w:rPr>
                <w:color w:val="000000"/>
                <w:kern w:val="0"/>
                <w:sz w:val="18"/>
                <w:szCs w:val="18"/>
              </w:rPr>
            </w:pPr>
            <w:r>
              <w:rPr>
                <w:rFonts w:hint="eastAsia"/>
                <w:color w:val="000000"/>
                <w:kern w:val="0"/>
                <w:sz w:val="18"/>
                <w:szCs w:val="18"/>
              </w:rPr>
              <w:t>裁量基准</w:t>
            </w:r>
          </w:p>
        </w:tc>
      </w:tr>
      <w:tr w14:paraId="6321BC91">
        <w:tblPrEx>
          <w:tblCellMar>
            <w:top w:w="0" w:type="dxa"/>
            <w:left w:w="108" w:type="dxa"/>
            <w:bottom w:w="0" w:type="dxa"/>
            <w:right w:w="108" w:type="dxa"/>
          </w:tblCellMar>
        </w:tblPrEx>
        <w:trPr>
          <w:trHeight w:val="480" w:hRule="atLeast"/>
        </w:trPr>
        <w:tc>
          <w:tcPr>
            <w:tcW w:w="1090" w:type="dxa"/>
            <w:vMerge w:val="restart"/>
            <w:tcBorders>
              <w:top w:val="nil"/>
              <w:left w:val="single" w:color="auto" w:sz="8" w:space="0"/>
              <w:right w:val="single" w:color="auto" w:sz="4" w:space="0"/>
            </w:tcBorders>
            <w:vAlign w:val="center"/>
          </w:tcPr>
          <w:p w14:paraId="75BDFD9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A8CBBD8">
            <w:pPr>
              <w:spacing w:line="320" w:lineRule="exact"/>
              <w:jc w:val="left"/>
              <w:rPr>
                <w:color w:val="000000"/>
                <w:kern w:val="0"/>
                <w:sz w:val="18"/>
                <w:szCs w:val="18"/>
              </w:rPr>
            </w:pPr>
            <w:r>
              <w:rPr>
                <w:rFonts w:hint="eastAsia"/>
                <w:color w:val="000000"/>
                <w:kern w:val="0"/>
                <w:sz w:val="18"/>
                <w:szCs w:val="18"/>
              </w:rPr>
              <w:t>工程形象进度未过半的</w:t>
            </w:r>
          </w:p>
        </w:tc>
        <w:tc>
          <w:tcPr>
            <w:tcW w:w="1080" w:type="dxa"/>
            <w:vMerge w:val="restart"/>
            <w:tcBorders>
              <w:top w:val="nil"/>
              <w:left w:val="single" w:color="auto" w:sz="4" w:space="0"/>
              <w:right w:val="single" w:color="auto" w:sz="4" w:space="0"/>
            </w:tcBorders>
            <w:vAlign w:val="center"/>
          </w:tcPr>
          <w:p w14:paraId="6592B841">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color="auto" w:sz="4" w:space="0"/>
              <w:right w:val="single" w:color="auto" w:sz="8" w:space="0"/>
            </w:tcBorders>
            <w:vAlign w:val="center"/>
          </w:tcPr>
          <w:p w14:paraId="3321EBD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171137E4">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14:paraId="093D64A3">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3C25866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82BE081">
            <w:pPr>
              <w:spacing w:line="320" w:lineRule="exact"/>
              <w:jc w:val="left"/>
              <w:rPr>
                <w:color w:val="000000"/>
                <w:kern w:val="0"/>
                <w:sz w:val="18"/>
                <w:szCs w:val="18"/>
              </w:rPr>
            </w:pPr>
            <w:r>
              <w:rPr>
                <w:rFonts w:hint="eastAsia"/>
                <w:color w:val="000000"/>
                <w:kern w:val="0"/>
                <w:sz w:val="18"/>
                <w:szCs w:val="18"/>
              </w:rPr>
              <w:t>工程形象进度已过半的</w:t>
            </w:r>
          </w:p>
        </w:tc>
        <w:tc>
          <w:tcPr>
            <w:tcW w:w="1080" w:type="dxa"/>
            <w:vMerge w:val="continue"/>
            <w:tcBorders>
              <w:left w:val="single" w:color="auto" w:sz="4" w:space="0"/>
              <w:right w:val="single" w:color="auto" w:sz="4" w:space="0"/>
            </w:tcBorders>
            <w:vAlign w:val="center"/>
          </w:tcPr>
          <w:p w14:paraId="486B9280">
            <w:pPr>
              <w:spacing w:line="320" w:lineRule="exact"/>
              <w:jc w:val="left"/>
              <w:rPr>
                <w:color w:val="000000"/>
                <w:kern w:val="0"/>
                <w:sz w:val="18"/>
                <w:szCs w:val="18"/>
              </w:rPr>
            </w:pPr>
          </w:p>
        </w:tc>
        <w:tc>
          <w:tcPr>
            <w:tcW w:w="5740" w:type="dxa"/>
            <w:tcBorders>
              <w:top w:val="single" w:color="auto" w:sz="4" w:space="0"/>
              <w:left w:val="nil"/>
              <w:bottom w:val="single" w:color="auto" w:sz="8" w:space="0"/>
              <w:right w:val="single" w:color="auto" w:sz="8" w:space="0"/>
            </w:tcBorders>
            <w:vAlign w:val="center"/>
          </w:tcPr>
          <w:p w14:paraId="7497DE13">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14:paraId="586EA4D5">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12F92ADB">
        <w:tblPrEx>
          <w:tblCellMar>
            <w:top w:w="0" w:type="dxa"/>
            <w:left w:w="108" w:type="dxa"/>
            <w:bottom w:w="0" w:type="dxa"/>
            <w:right w:w="108" w:type="dxa"/>
          </w:tblCellMar>
        </w:tblPrEx>
        <w:trPr>
          <w:trHeight w:val="480" w:hRule="atLeast"/>
        </w:trPr>
        <w:tc>
          <w:tcPr>
            <w:tcW w:w="1090" w:type="dxa"/>
            <w:vMerge w:val="continue"/>
            <w:tcBorders>
              <w:left w:val="single" w:color="auto" w:sz="8" w:space="0"/>
              <w:bottom w:val="single" w:color="auto" w:sz="4" w:space="0"/>
              <w:right w:val="single" w:color="auto" w:sz="4" w:space="0"/>
            </w:tcBorders>
            <w:vAlign w:val="center"/>
          </w:tcPr>
          <w:p w14:paraId="0C0A3DF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B98F5F7">
            <w:pPr>
              <w:spacing w:line="320" w:lineRule="exact"/>
              <w:jc w:val="left"/>
              <w:rPr>
                <w:color w:val="000000"/>
                <w:kern w:val="0"/>
                <w:sz w:val="18"/>
                <w:szCs w:val="18"/>
              </w:rPr>
            </w:pPr>
            <w:r>
              <w:rPr>
                <w:rFonts w:hint="eastAsia"/>
                <w:color w:val="000000"/>
                <w:kern w:val="0"/>
                <w:sz w:val="18"/>
                <w:szCs w:val="18"/>
              </w:rPr>
              <w:t>工程已完工的</w:t>
            </w:r>
          </w:p>
        </w:tc>
        <w:tc>
          <w:tcPr>
            <w:tcW w:w="1080" w:type="dxa"/>
            <w:vMerge w:val="continue"/>
            <w:tcBorders>
              <w:left w:val="single" w:color="auto" w:sz="4" w:space="0"/>
              <w:bottom w:val="single" w:color="auto" w:sz="4" w:space="0"/>
              <w:right w:val="single" w:color="auto" w:sz="4" w:space="0"/>
            </w:tcBorders>
            <w:vAlign w:val="center"/>
          </w:tcPr>
          <w:p w14:paraId="27924071">
            <w:pPr>
              <w:spacing w:line="320" w:lineRule="exact"/>
              <w:jc w:val="left"/>
              <w:rPr>
                <w:color w:val="000000"/>
                <w:kern w:val="0"/>
                <w:sz w:val="18"/>
                <w:szCs w:val="18"/>
              </w:rPr>
            </w:pPr>
          </w:p>
        </w:tc>
        <w:tc>
          <w:tcPr>
            <w:tcW w:w="5740" w:type="dxa"/>
            <w:tcBorders>
              <w:top w:val="single" w:color="auto" w:sz="8" w:space="0"/>
              <w:left w:val="nil"/>
              <w:bottom w:val="single" w:color="auto" w:sz="4" w:space="0"/>
              <w:right w:val="single" w:color="auto" w:sz="8" w:space="0"/>
            </w:tcBorders>
            <w:vAlign w:val="center"/>
          </w:tcPr>
          <w:p w14:paraId="0998CBF9">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14:paraId="3D16A4AA">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2393774A"/>
    <w:p w14:paraId="04B7FAE5"/>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0FC059CD">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3246CB50">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3799035A">
            <w:pPr>
              <w:spacing w:line="320" w:lineRule="exact"/>
              <w:jc w:val="left"/>
              <w:rPr>
                <w:rFonts w:eastAsia="仿宋_GB2312"/>
                <w:b/>
                <w:bCs/>
                <w:color w:val="000000"/>
                <w:kern w:val="0"/>
                <w:sz w:val="18"/>
                <w:szCs w:val="18"/>
              </w:rPr>
            </w:pPr>
            <w:r>
              <w:rPr>
                <w:rFonts w:eastAsia="仿宋_GB2312"/>
                <w:b/>
                <w:bCs/>
                <w:color w:val="000000"/>
                <w:kern w:val="0"/>
                <w:sz w:val="18"/>
                <w:szCs w:val="18"/>
              </w:rPr>
              <w:t>320217188000</w:t>
            </w:r>
            <w:r>
              <w:rPr>
                <w:rFonts w:hint="eastAsia" w:eastAsia="仿宋_GB2312"/>
                <w:b/>
                <w:bCs/>
                <w:color w:val="000000"/>
                <w:kern w:val="0"/>
                <w:sz w:val="18"/>
                <w:szCs w:val="18"/>
              </w:rPr>
              <w:t xml:space="preserve"> </w:t>
            </w:r>
          </w:p>
        </w:tc>
      </w:tr>
      <w:tr w14:paraId="323BC347">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2CE0AEB3">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355F60BD">
            <w:pPr>
              <w:spacing w:line="320" w:lineRule="exact"/>
              <w:jc w:val="left"/>
              <w:rPr>
                <w:color w:val="000000"/>
                <w:kern w:val="0"/>
                <w:sz w:val="18"/>
                <w:szCs w:val="18"/>
              </w:rPr>
            </w:pPr>
            <w:r>
              <w:rPr>
                <w:rFonts w:hint="eastAsia"/>
                <w:color w:val="000000"/>
                <w:kern w:val="0"/>
                <w:sz w:val="18"/>
                <w:szCs w:val="18"/>
              </w:rPr>
              <w:t>对建设单位明示或者暗示施工单位使用不合格的建筑材料、建筑构配件和设备的处罚</w:t>
            </w:r>
          </w:p>
        </w:tc>
      </w:tr>
      <w:tr w14:paraId="523591BF">
        <w:tblPrEx>
          <w:tblCellMar>
            <w:top w:w="0" w:type="dxa"/>
            <w:left w:w="108" w:type="dxa"/>
            <w:bottom w:w="0" w:type="dxa"/>
            <w:right w:w="108" w:type="dxa"/>
          </w:tblCellMar>
        </w:tblPrEx>
        <w:trPr>
          <w:trHeight w:val="1845" w:hRule="atLeast"/>
        </w:trPr>
        <w:tc>
          <w:tcPr>
            <w:tcW w:w="1090" w:type="dxa"/>
            <w:tcBorders>
              <w:top w:val="nil"/>
              <w:left w:val="single" w:color="auto" w:sz="8" w:space="0"/>
              <w:bottom w:val="single" w:color="auto" w:sz="4" w:space="0"/>
              <w:right w:val="single" w:color="auto" w:sz="4" w:space="0"/>
            </w:tcBorders>
            <w:vAlign w:val="center"/>
          </w:tcPr>
          <w:p w14:paraId="16B3E411">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0F3DFA8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44251EC2">
            <w:pPr>
              <w:spacing w:line="320" w:lineRule="exact"/>
              <w:jc w:val="left"/>
              <w:rPr>
                <w:color w:val="000000"/>
                <w:kern w:val="0"/>
                <w:sz w:val="18"/>
                <w:szCs w:val="18"/>
              </w:rPr>
            </w:pPr>
            <w:r>
              <w:rPr>
                <w:rFonts w:hint="eastAsia"/>
                <w:color w:val="000000"/>
                <w:kern w:val="0"/>
                <w:sz w:val="18"/>
                <w:szCs w:val="18"/>
              </w:rPr>
              <w:t>第十四条第二款</w:t>
            </w:r>
            <w:r>
              <w:rPr>
                <w:color w:val="000000"/>
                <w:kern w:val="0"/>
                <w:sz w:val="18"/>
                <w:szCs w:val="18"/>
              </w:rPr>
              <w:t xml:space="preserve">  </w:t>
            </w:r>
            <w:r>
              <w:rPr>
                <w:rFonts w:hint="eastAsia"/>
                <w:color w:val="000000"/>
                <w:kern w:val="0"/>
                <w:sz w:val="18"/>
                <w:szCs w:val="18"/>
              </w:rPr>
              <w:t>建设单位不得明示或者暗示施工单位使用不合格的建筑材料、建筑构配件和设备。</w:t>
            </w:r>
          </w:p>
          <w:p w14:paraId="2D92FE00">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14:paraId="399BDBB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（七）明示或者暗示施工单位使用不合格的建筑材料、建筑构配件和设备的。</w:t>
            </w:r>
          </w:p>
          <w:p w14:paraId="774398C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0B19F020">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75D57E1A">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1F596B7F">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277140CA">
            <w:pPr>
              <w:spacing w:line="320" w:lineRule="exact"/>
              <w:jc w:val="left"/>
              <w:rPr>
                <w:color w:val="000000"/>
                <w:kern w:val="0"/>
                <w:sz w:val="18"/>
                <w:szCs w:val="18"/>
              </w:rPr>
            </w:pPr>
            <w:r>
              <w:rPr>
                <w:rFonts w:hint="eastAsia"/>
                <w:color w:val="000000"/>
                <w:kern w:val="0"/>
                <w:sz w:val="18"/>
                <w:szCs w:val="18"/>
              </w:rPr>
              <w:t>罚款</w:t>
            </w:r>
          </w:p>
        </w:tc>
      </w:tr>
      <w:tr w14:paraId="3CF8F3B3">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4742F253">
            <w:pPr>
              <w:spacing w:line="320" w:lineRule="exact"/>
              <w:jc w:val="center"/>
              <w:rPr>
                <w:color w:val="000000"/>
                <w:kern w:val="0"/>
                <w:sz w:val="18"/>
                <w:szCs w:val="18"/>
              </w:rPr>
            </w:pPr>
            <w:r>
              <w:rPr>
                <w:rFonts w:hint="eastAsia"/>
                <w:color w:val="000000"/>
                <w:kern w:val="0"/>
                <w:sz w:val="18"/>
                <w:szCs w:val="18"/>
              </w:rPr>
              <w:t>裁量基准</w:t>
            </w:r>
          </w:p>
        </w:tc>
      </w:tr>
      <w:tr w14:paraId="537880AF">
        <w:tblPrEx>
          <w:tblCellMar>
            <w:top w:w="0" w:type="dxa"/>
            <w:left w:w="108" w:type="dxa"/>
            <w:bottom w:w="0" w:type="dxa"/>
            <w:right w:w="108" w:type="dxa"/>
          </w:tblCellMar>
        </w:tblPrEx>
        <w:trPr>
          <w:trHeight w:val="480" w:hRule="atLeast"/>
        </w:trPr>
        <w:tc>
          <w:tcPr>
            <w:tcW w:w="1090" w:type="dxa"/>
            <w:vMerge w:val="restart"/>
            <w:tcBorders>
              <w:top w:val="single" w:color="auto" w:sz="4" w:space="0"/>
              <w:left w:val="single" w:color="auto" w:sz="8" w:space="0"/>
              <w:bottom w:val="single" w:color="auto" w:sz="4" w:space="0"/>
              <w:right w:val="single" w:color="auto" w:sz="4" w:space="0"/>
            </w:tcBorders>
            <w:vAlign w:val="center"/>
          </w:tcPr>
          <w:p w14:paraId="76D79A8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D597DAF">
            <w:pPr>
              <w:spacing w:line="320" w:lineRule="exact"/>
              <w:jc w:val="left"/>
              <w:rPr>
                <w:color w:val="000000"/>
                <w:kern w:val="0"/>
                <w:sz w:val="18"/>
                <w:szCs w:val="18"/>
              </w:rPr>
            </w:pPr>
            <w:r>
              <w:rPr>
                <w:rFonts w:hint="eastAsia"/>
                <w:color w:val="000000"/>
                <w:kern w:val="0"/>
                <w:sz w:val="18"/>
                <w:szCs w:val="18"/>
              </w:rPr>
              <w:t>施工单位尚未使用的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558B59E1">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single" w:color="auto" w:sz="4" w:space="0"/>
              <w:left w:val="nil"/>
              <w:bottom w:val="single" w:color="auto" w:sz="4" w:space="0"/>
              <w:right w:val="single" w:color="auto" w:sz="8" w:space="0"/>
            </w:tcBorders>
            <w:vAlign w:val="center"/>
          </w:tcPr>
          <w:p w14:paraId="0A4D1F6C">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3356BCCB">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14:paraId="317F2BBE">
        <w:tblPrEx>
          <w:tblCellMar>
            <w:top w:w="0" w:type="dxa"/>
            <w:left w:w="108" w:type="dxa"/>
            <w:bottom w:w="0" w:type="dxa"/>
            <w:right w:w="108" w:type="dxa"/>
          </w:tblCellMar>
        </w:tblPrEx>
        <w:trPr>
          <w:trHeight w:val="480" w:hRule="atLeast"/>
        </w:trPr>
        <w:tc>
          <w:tcPr>
            <w:tcW w:w="1090" w:type="dxa"/>
            <w:vMerge w:val="continue"/>
            <w:tcBorders>
              <w:top w:val="single" w:color="auto" w:sz="4" w:space="0"/>
              <w:left w:val="single" w:color="auto" w:sz="8" w:space="0"/>
              <w:bottom w:val="single" w:color="auto" w:sz="4" w:space="0"/>
              <w:right w:val="single" w:color="auto" w:sz="4" w:space="0"/>
            </w:tcBorders>
            <w:vAlign w:val="center"/>
          </w:tcPr>
          <w:p w14:paraId="342047A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71AEEF4">
            <w:pPr>
              <w:spacing w:line="320" w:lineRule="exact"/>
              <w:jc w:val="left"/>
              <w:rPr>
                <w:color w:val="000000"/>
                <w:kern w:val="0"/>
                <w:sz w:val="18"/>
                <w:szCs w:val="18"/>
              </w:rPr>
            </w:pPr>
            <w:r>
              <w:rPr>
                <w:rFonts w:hint="eastAsia"/>
                <w:color w:val="000000"/>
                <w:kern w:val="0"/>
                <w:sz w:val="18"/>
                <w:szCs w:val="18"/>
              </w:rPr>
              <w:t>施工单位已使用但可按要求改正的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33D39821">
            <w:pPr>
              <w:spacing w:line="320" w:lineRule="exact"/>
              <w:jc w:val="left"/>
              <w:rPr>
                <w:color w:val="000000"/>
                <w:kern w:val="0"/>
                <w:sz w:val="18"/>
                <w:szCs w:val="18"/>
              </w:rPr>
            </w:pPr>
          </w:p>
        </w:tc>
        <w:tc>
          <w:tcPr>
            <w:tcW w:w="5740" w:type="dxa"/>
            <w:tcBorders>
              <w:top w:val="single" w:color="auto" w:sz="4" w:space="0"/>
              <w:left w:val="nil"/>
              <w:bottom w:val="single" w:color="auto" w:sz="4" w:space="0"/>
              <w:right w:val="single" w:color="auto" w:sz="8" w:space="0"/>
            </w:tcBorders>
            <w:vAlign w:val="center"/>
          </w:tcPr>
          <w:p w14:paraId="7E1381BF">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14:paraId="08F36FCA">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49914CD1">
        <w:tblPrEx>
          <w:tblCellMar>
            <w:top w:w="0" w:type="dxa"/>
            <w:left w:w="108" w:type="dxa"/>
            <w:bottom w:w="0" w:type="dxa"/>
            <w:right w:w="108" w:type="dxa"/>
          </w:tblCellMar>
        </w:tblPrEx>
        <w:trPr>
          <w:trHeight w:val="480" w:hRule="atLeast"/>
        </w:trPr>
        <w:tc>
          <w:tcPr>
            <w:tcW w:w="1090" w:type="dxa"/>
            <w:vMerge w:val="continue"/>
            <w:tcBorders>
              <w:top w:val="single" w:color="auto" w:sz="4" w:space="0"/>
              <w:left w:val="single" w:color="auto" w:sz="8" w:space="0"/>
              <w:bottom w:val="single" w:color="auto" w:sz="4" w:space="0"/>
              <w:right w:val="single" w:color="auto" w:sz="4" w:space="0"/>
            </w:tcBorders>
            <w:vAlign w:val="center"/>
          </w:tcPr>
          <w:p w14:paraId="1F72D06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E9F8455">
            <w:pPr>
              <w:spacing w:line="320" w:lineRule="exact"/>
              <w:jc w:val="left"/>
              <w:rPr>
                <w:color w:val="000000"/>
                <w:kern w:val="0"/>
                <w:sz w:val="18"/>
                <w:szCs w:val="18"/>
              </w:rPr>
            </w:pPr>
            <w:r>
              <w:rPr>
                <w:rFonts w:hint="eastAsia"/>
                <w:color w:val="000000"/>
                <w:kern w:val="0"/>
                <w:sz w:val="18"/>
                <w:szCs w:val="18"/>
              </w:rPr>
              <w:t>项目已经完工或者无法改正的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2938641C">
            <w:pPr>
              <w:spacing w:line="320" w:lineRule="exact"/>
              <w:jc w:val="left"/>
              <w:rPr>
                <w:color w:val="000000"/>
                <w:kern w:val="0"/>
                <w:sz w:val="18"/>
                <w:szCs w:val="18"/>
              </w:rPr>
            </w:pPr>
          </w:p>
        </w:tc>
        <w:tc>
          <w:tcPr>
            <w:tcW w:w="5740" w:type="dxa"/>
            <w:tcBorders>
              <w:top w:val="single" w:color="auto" w:sz="4" w:space="0"/>
              <w:left w:val="nil"/>
              <w:bottom w:val="single" w:color="auto" w:sz="4" w:space="0"/>
              <w:right w:val="single" w:color="auto" w:sz="8" w:space="0"/>
            </w:tcBorders>
            <w:vAlign w:val="center"/>
          </w:tcPr>
          <w:p w14:paraId="11C47A13">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14:paraId="7488D047">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23D5C260"/>
    <w:p w14:paraId="4D116E10"/>
    <w:p w14:paraId="7BEB8986"/>
    <w:p w14:paraId="6DDDC2F1"/>
    <w:p w14:paraId="01FD0799"/>
    <w:p w14:paraId="7EF8BCF3"/>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06C1417D">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610D015B">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290700A4">
            <w:pPr>
              <w:spacing w:line="320" w:lineRule="exact"/>
              <w:jc w:val="left"/>
              <w:rPr>
                <w:rFonts w:eastAsia="仿宋_GB2312"/>
                <w:b/>
                <w:bCs/>
                <w:color w:val="000000"/>
                <w:kern w:val="0"/>
                <w:sz w:val="18"/>
                <w:szCs w:val="18"/>
              </w:rPr>
            </w:pPr>
            <w:r>
              <w:rPr>
                <w:rFonts w:eastAsia="仿宋_GB2312"/>
                <w:b/>
                <w:bCs/>
                <w:color w:val="000000"/>
                <w:kern w:val="0"/>
                <w:sz w:val="18"/>
                <w:szCs w:val="18"/>
              </w:rPr>
              <w:t>320217189000</w:t>
            </w:r>
            <w:r>
              <w:rPr>
                <w:rFonts w:hint="eastAsia" w:eastAsia="仿宋_GB2312"/>
                <w:b/>
                <w:bCs/>
                <w:color w:val="000000"/>
                <w:kern w:val="0"/>
                <w:sz w:val="18"/>
                <w:szCs w:val="18"/>
              </w:rPr>
              <w:t xml:space="preserve"> </w:t>
            </w:r>
          </w:p>
        </w:tc>
      </w:tr>
      <w:tr w14:paraId="523FC1E2">
        <w:tblPrEx>
          <w:tblCellMar>
            <w:top w:w="0" w:type="dxa"/>
            <w:left w:w="108" w:type="dxa"/>
            <w:bottom w:w="0" w:type="dxa"/>
            <w:right w:w="108" w:type="dxa"/>
          </w:tblCellMar>
        </w:tblPrEx>
        <w:trPr>
          <w:trHeight w:val="540" w:hRule="atLeast"/>
        </w:trPr>
        <w:tc>
          <w:tcPr>
            <w:tcW w:w="1026" w:type="dxa"/>
            <w:tcBorders>
              <w:top w:val="nil"/>
              <w:left w:val="single" w:color="auto" w:sz="8" w:space="0"/>
              <w:bottom w:val="single" w:color="auto" w:sz="4" w:space="0"/>
              <w:right w:val="single" w:color="auto" w:sz="4" w:space="0"/>
            </w:tcBorders>
            <w:vAlign w:val="center"/>
          </w:tcPr>
          <w:p w14:paraId="01BE36C2">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446C62EE">
            <w:pPr>
              <w:spacing w:line="320" w:lineRule="exact"/>
              <w:jc w:val="left"/>
              <w:rPr>
                <w:color w:val="000000"/>
                <w:kern w:val="0"/>
                <w:sz w:val="18"/>
                <w:szCs w:val="18"/>
              </w:rPr>
            </w:pPr>
            <w:r>
              <w:rPr>
                <w:rFonts w:hint="eastAsia"/>
                <w:color w:val="000000"/>
                <w:kern w:val="0"/>
                <w:sz w:val="18"/>
                <w:szCs w:val="18"/>
              </w:rPr>
              <w:t>对施工单位未根据不同施工阶段和周围环境及季节、气候的变化，在施工现场采取相应的安全施工措施，或者在城市市区内的建设工程的施工现场未实行封闭围挡的处罚</w:t>
            </w:r>
          </w:p>
        </w:tc>
      </w:tr>
      <w:tr w14:paraId="4118AE42">
        <w:tblPrEx>
          <w:tblCellMar>
            <w:top w:w="0" w:type="dxa"/>
            <w:left w:w="108" w:type="dxa"/>
            <w:bottom w:w="0" w:type="dxa"/>
            <w:right w:w="108" w:type="dxa"/>
          </w:tblCellMar>
        </w:tblPrEx>
        <w:trPr>
          <w:trHeight w:val="2085" w:hRule="atLeast"/>
        </w:trPr>
        <w:tc>
          <w:tcPr>
            <w:tcW w:w="1026" w:type="dxa"/>
            <w:tcBorders>
              <w:top w:val="nil"/>
              <w:left w:val="single" w:color="auto" w:sz="8" w:space="0"/>
              <w:bottom w:val="single" w:color="auto" w:sz="4" w:space="0"/>
              <w:right w:val="single" w:color="auto" w:sz="4" w:space="0"/>
            </w:tcBorders>
            <w:vAlign w:val="center"/>
          </w:tcPr>
          <w:p w14:paraId="49071328">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7E68873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43B94EB5">
            <w:pPr>
              <w:spacing w:line="320" w:lineRule="exact"/>
              <w:jc w:val="left"/>
              <w:rPr>
                <w:color w:val="000000"/>
                <w:kern w:val="0"/>
                <w:sz w:val="18"/>
                <w:szCs w:val="18"/>
              </w:rPr>
            </w:pPr>
            <w:r>
              <w:rPr>
                <w:rFonts w:hint="eastAsia"/>
                <w:color w:val="000000"/>
                <w:kern w:val="0"/>
                <w:sz w:val="18"/>
                <w:szCs w:val="18"/>
              </w:rPr>
              <w:t>第二十八条第二款</w:t>
            </w:r>
            <w:r>
              <w:rPr>
                <w:color w:val="000000"/>
                <w:kern w:val="0"/>
                <w:sz w:val="18"/>
                <w:szCs w:val="18"/>
              </w:rPr>
              <w:t xml:space="preserve">  </w:t>
            </w:r>
            <w:r>
              <w:rPr>
                <w:rFonts w:hint="eastAsia"/>
                <w:color w:val="000000"/>
                <w:kern w:val="0"/>
                <w:sz w:val="18"/>
                <w:szCs w:val="18"/>
              </w:rPr>
              <w:t>施工单位应当根据不同施工阶段和周围环境及季节、气候的变化，在施工现场采取相应的安全施工措施。施工现场暂时停止施工的，施工单位应当做好现场防护，所需费用由责任方承担，或者按照合同约定执行。</w:t>
            </w:r>
          </w:p>
          <w:p w14:paraId="64D39D42">
            <w:pPr>
              <w:spacing w:line="320" w:lineRule="exact"/>
              <w:jc w:val="left"/>
              <w:rPr>
                <w:color w:val="000000"/>
                <w:kern w:val="0"/>
                <w:sz w:val="18"/>
                <w:szCs w:val="18"/>
              </w:rPr>
            </w:pPr>
            <w:r>
              <w:rPr>
                <w:rFonts w:hint="eastAsia"/>
                <w:color w:val="000000"/>
                <w:kern w:val="0"/>
                <w:sz w:val="18"/>
                <w:szCs w:val="18"/>
              </w:rPr>
              <w:t>第三十条第三款</w:t>
            </w:r>
            <w:r>
              <w:rPr>
                <w:color w:val="000000"/>
                <w:kern w:val="0"/>
                <w:sz w:val="18"/>
                <w:szCs w:val="18"/>
              </w:rPr>
              <w:t xml:space="preserve">  </w:t>
            </w:r>
            <w:r>
              <w:rPr>
                <w:rFonts w:hint="eastAsia"/>
                <w:color w:val="000000"/>
                <w:kern w:val="0"/>
                <w:sz w:val="18"/>
                <w:szCs w:val="18"/>
              </w:rPr>
              <w:t>在城市市区内的建设工程，施工单位应当对施工现场实行封闭围挡。</w:t>
            </w:r>
          </w:p>
          <w:p w14:paraId="7896F9E3">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14:paraId="410BB5C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（二）未根据不同施工阶段和周围环境及季节、气候的变化，在施工现场采取相应的安全施工措施，或者在城市市区内的建设工程的施工现场未实行封闭围挡的。</w:t>
            </w:r>
          </w:p>
          <w:p w14:paraId="0F0A6AA8">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13465119">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5349E8CE">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13276E70">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w:t>
            </w:r>
          </w:p>
        </w:tc>
      </w:tr>
      <w:tr w14:paraId="48F841CE">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21FE4F40">
            <w:pPr>
              <w:spacing w:line="320" w:lineRule="exact"/>
              <w:jc w:val="center"/>
              <w:rPr>
                <w:color w:val="000000"/>
                <w:kern w:val="0"/>
                <w:sz w:val="18"/>
                <w:szCs w:val="18"/>
              </w:rPr>
            </w:pPr>
            <w:r>
              <w:rPr>
                <w:rFonts w:hint="eastAsia"/>
                <w:color w:val="000000"/>
                <w:kern w:val="0"/>
                <w:sz w:val="18"/>
                <w:szCs w:val="18"/>
              </w:rPr>
              <w:t>裁量基准</w:t>
            </w:r>
          </w:p>
        </w:tc>
      </w:tr>
      <w:tr w14:paraId="6A460060">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bottom w:val="single" w:color="auto" w:sz="4" w:space="0"/>
              <w:right w:val="single" w:color="auto" w:sz="4" w:space="0"/>
            </w:tcBorders>
            <w:vAlign w:val="center"/>
          </w:tcPr>
          <w:p w14:paraId="4CAC832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CB6D215">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color="auto" w:sz="4" w:space="0"/>
              <w:bottom w:val="single" w:color="auto" w:sz="4" w:space="0"/>
              <w:right w:val="single" w:color="auto" w:sz="4" w:space="0"/>
            </w:tcBorders>
            <w:vAlign w:val="center"/>
          </w:tcPr>
          <w:p w14:paraId="38047E91">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0C12A327">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52508653">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3F28993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2F73FAF">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val="continue"/>
            <w:tcBorders>
              <w:top w:val="nil"/>
              <w:left w:val="single" w:color="auto" w:sz="4" w:space="0"/>
              <w:bottom w:val="single" w:color="auto" w:sz="4" w:space="0"/>
              <w:right w:val="single" w:color="auto" w:sz="4" w:space="0"/>
            </w:tcBorders>
            <w:vAlign w:val="center"/>
          </w:tcPr>
          <w:p w14:paraId="514FE800">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71934570">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73A9CA78"/>
    <w:p w14:paraId="09371DC0"/>
    <w:p w14:paraId="708AB0E4"/>
    <w:p w14:paraId="08032CA5"/>
    <w:p w14:paraId="6B902039"/>
    <w:p w14:paraId="020D5134"/>
    <w:p w14:paraId="5A951F60"/>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6FB73EA8">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5325404C">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7AF96044">
            <w:pPr>
              <w:spacing w:line="320" w:lineRule="exact"/>
              <w:jc w:val="left"/>
              <w:rPr>
                <w:rFonts w:eastAsia="仿宋_GB2312"/>
                <w:b/>
                <w:bCs/>
                <w:color w:val="000000"/>
                <w:kern w:val="0"/>
                <w:sz w:val="18"/>
                <w:szCs w:val="18"/>
              </w:rPr>
            </w:pPr>
            <w:r>
              <w:rPr>
                <w:rFonts w:eastAsia="仿宋_GB2312"/>
                <w:b/>
                <w:bCs/>
                <w:color w:val="000000"/>
                <w:kern w:val="0"/>
                <w:sz w:val="18"/>
                <w:szCs w:val="18"/>
              </w:rPr>
              <w:t>320217190000</w:t>
            </w:r>
            <w:r>
              <w:rPr>
                <w:rFonts w:hint="eastAsia" w:eastAsia="仿宋_GB2312"/>
                <w:b/>
                <w:bCs/>
                <w:color w:val="000000"/>
                <w:kern w:val="0"/>
                <w:sz w:val="18"/>
                <w:szCs w:val="18"/>
              </w:rPr>
              <w:t xml:space="preserve"> </w:t>
            </w:r>
          </w:p>
        </w:tc>
      </w:tr>
      <w:tr w14:paraId="30C88BDD">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7ED87089">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4EBBE51D">
            <w:pPr>
              <w:spacing w:line="320" w:lineRule="exact"/>
              <w:jc w:val="left"/>
              <w:rPr>
                <w:color w:val="000000"/>
                <w:kern w:val="0"/>
                <w:sz w:val="18"/>
                <w:szCs w:val="18"/>
              </w:rPr>
            </w:pPr>
            <w:r>
              <w:rPr>
                <w:rFonts w:hint="eastAsia"/>
                <w:color w:val="000000"/>
                <w:kern w:val="0"/>
                <w:sz w:val="18"/>
                <w:szCs w:val="18"/>
              </w:rPr>
              <w:t>对两个以上生产经营单位在同一作业区域内进行可能危及对方安全生产的生产经营活动，未签订安全生产管理协议或者未指定专职安全生产管理人员进行安全检查与协调的处罚</w:t>
            </w:r>
          </w:p>
        </w:tc>
      </w:tr>
      <w:tr w14:paraId="0606ED6B">
        <w:tblPrEx>
          <w:tblCellMar>
            <w:top w:w="0" w:type="dxa"/>
            <w:left w:w="108" w:type="dxa"/>
            <w:bottom w:w="0" w:type="dxa"/>
            <w:right w:w="108" w:type="dxa"/>
          </w:tblCellMar>
        </w:tblPrEx>
        <w:trPr>
          <w:trHeight w:val="2760" w:hRule="atLeast"/>
        </w:trPr>
        <w:tc>
          <w:tcPr>
            <w:tcW w:w="1040" w:type="dxa"/>
            <w:tcBorders>
              <w:top w:val="single" w:color="auto" w:sz="4" w:space="0"/>
              <w:left w:val="single" w:color="auto" w:sz="4" w:space="0"/>
              <w:bottom w:val="single" w:color="auto" w:sz="4" w:space="0"/>
              <w:right w:val="single" w:color="auto" w:sz="4" w:space="0"/>
            </w:tcBorders>
            <w:vAlign w:val="center"/>
          </w:tcPr>
          <w:p w14:paraId="22A42231">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single" w:color="auto" w:sz="4" w:space="0"/>
              <w:bottom w:val="single" w:color="auto" w:sz="4" w:space="0"/>
              <w:right w:val="single" w:color="auto" w:sz="4" w:space="0"/>
            </w:tcBorders>
            <w:vAlign w:val="center"/>
          </w:tcPr>
          <w:p w14:paraId="7B086A79">
            <w:pPr>
              <w:spacing w:line="320" w:lineRule="exact"/>
              <w:ind w:firstLine="180" w:firstLineChars="100"/>
              <w:jc w:val="left"/>
              <w:rPr>
                <w:color w:val="000000"/>
                <w:kern w:val="0"/>
                <w:sz w:val="18"/>
                <w:szCs w:val="18"/>
              </w:rPr>
            </w:pPr>
            <w:r>
              <w:rPr>
                <w:rFonts w:hint="eastAsia"/>
                <w:color w:val="000000"/>
                <w:kern w:val="0"/>
                <w:sz w:val="18"/>
                <w:szCs w:val="18"/>
              </w:rPr>
              <w:t>【法律】《中华人民共和国安全生产法》</w:t>
            </w:r>
          </w:p>
          <w:p w14:paraId="731B675A">
            <w:pPr>
              <w:spacing w:line="320" w:lineRule="exact"/>
              <w:ind w:firstLine="180" w:firstLineChars="100"/>
              <w:jc w:val="left"/>
              <w:rPr>
                <w:color w:val="000000"/>
                <w:kern w:val="0"/>
                <w:sz w:val="18"/>
                <w:szCs w:val="18"/>
              </w:rPr>
            </w:pPr>
            <w:r>
              <w:rPr>
                <w:rFonts w:hint="eastAsia"/>
                <w:color w:val="000000"/>
                <w:kern w:val="0"/>
                <w:sz w:val="18"/>
                <w:szCs w:val="18"/>
              </w:rPr>
              <w:t xml:space="preserve">        第四十八条　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p w14:paraId="310A03DC">
            <w:pPr>
              <w:spacing w:line="320" w:lineRule="exact"/>
              <w:ind w:firstLine="180" w:firstLineChars="100"/>
              <w:jc w:val="left"/>
              <w:rPr>
                <w:color w:val="000000"/>
                <w:kern w:val="0"/>
                <w:sz w:val="18"/>
                <w:szCs w:val="18"/>
              </w:rPr>
            </w:pPr>
            <w:r>
              <w:rPr>
                <w:rFonts w:hint="eastAsia"/>
                <w:color w:val="000000"/>
                <w:kern w:val="0"/>
                <w:sz w:val="18"/>
                <w:szCs w:val="18"/>
              </w:rPr>
              <w:t xml:space="preserve">    　第一百零四条　两个以上生产经营单位在同一作业区域内进行可能危及对方安全生产的生产经营活动，未签订安全生产管理协议或者未指定专职安全生产管理人员进行安全检查与协调的，责令限期改正，处五万元以下的罚款，对其直接负责的主管人员和其他直接责任人员处一万元以下的罚款；逾期未改正的，责令停产停业。</w:t>
            </w:r>
          </w:p>
          <w:p w14:paraId="356E7D1C">
            <w:pPr>
              <w:spacing w:line="320" w:lineRule="exact"/>
              <w:jc w:val="left"/>
              <w:rPr>
                <w:color w:val="000000"/>
                <w:kern w:val="0"/>
                <w:sz w:val="18"/>
                <w:szCs w:val="18"/>
              </w:rPr>
            </w:pPr>
            <w:r>
              <w:rPr>
                <w:color w:val="000000"/>
                <w:kern w:val="0"/>
                <w:sz w:val="18"/>
                <w:szCs w:val="18"/>
              </w:rPr>
              <w:t xml:space="preserve">       </w:t>
            </w:r>
          </w:p>
        </w:tc>
      </w:tr>
      <w:tr w14:paraId="7CB19BC8">
        <w:tblPrEx>
          <w:tblCellMar>
            <w:top w:w="0" w:type="dxa"/>
            <w:left w:w="108" w:type="dxa"/>
            <w:bottom w:w="0" w:type="dxa"/>
            <w:right w:w="108" w:type="dxa"/>
          </w:tblCellMar>
        </w:tblPrEx>
        <w:trPr>
          <w:trHeight w:val="285" w:hRule="atLeast"/>
        </w:trPr>
        <w:tc>
          <w:tcPr>
            <w:tcW w:w="1040" w:type="dxa"/>
            <w:tcBorders>
              <w:top w:val="single" w:color="auto" w:sz="4" w:space="0"/>
              <w:left w:val="single" w:color="auto" w:sz="4" w:space="0"/>
              <w:bottom w:val="single" w:color="auto" w:sz="4" w:space="0"/>
              <w:right w:val="single" w:color="auto" w:sz="4" w:space="0"/>
            </w:tcBorders>
            <w:vAlign w:val="center"/>
          </w:tcPr>
          <w:p w14:paraId="011DF34E">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single" w:color="auto" w:sz="4" w:space="0"/>
              <w:bottom w:val="single" w:color="auto" w:sz="4" w:space="0"/>
              <w:right w:val="single" w:color="auto" w:sz="4" w:space="0"/>
            </w:tcBorders>
            <w:vAlign w:val="center"/>
          </w:tcPr>
          <w:p w14:paraId="4F352F4B">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5074E320">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4" w:space="0"/>
              <w:bottom w:val="single" w:color="auto" w:sz="4" w:space="0"/>
              <w:right w:val="single" w:color="auto" w:sz="4" w:space="0"/>
            </w:tcBorders>
            <w:vAlign w:val="center"/>
          </w:tcPr>
          <w:p w14:paraId="184C82E8">
            <w:pPr>
              <w:spacing w:line="320" w:lineRule="exact"/>
              <w:jc w:val="center"/>
              <w:rPr>
                <w:color w:val="000000"/>
                <w:kern w:val="0"/>
                <w:sz w:val="18"/>
                <w:szCs w:val="18"/>
              </w:rPr>
            </w:pPr>
            <w:r>
              <w:rPr>
                <w:rFonts w:hint="eastAsia"/>
                <w:color w:val="000000"/>
                <w:kern w:val="0"/>
                <w:sz w:val="18"/>
                <w:szCs w:val="18"/>
              </w:rPr>
              <w:t>裁量基准</w:t>
            </w:r>
          </w:p>
        </w:tc>
      </w:tr>
      <w:tr w14:paraId="4948C027">
        <w:tblPrEx>
          <w:tblCellMar>
            <w:top w:w="0" w:type="dxa"/>
            <w:left w:w="108" w:type="dxa"/>
            <w:bottom w:w="0" w:type="dxa"/>
            <w:right w:w="108" w:type="dxa"/>
          </w:tblCellMar>
        </w:tblPrEx>
        <w:trPr>
          <w:trHeight w:val="285" w:hRule="atLeast"/>
        </w:trPr>
        <w:tc>
          <w:tcPr>
            <w:tcW w:w="1040" w:type="dxa"/>
            <w:vMerge w:val="restart"/>
            <w:tcBorders>
              <w:top w:val="single" w:color="auto" w:sz="4" w:space="0"/>
              <w:left w:val="single" w:color="auto" w:sz="4" w:space="0"/>
              <w:bottom w:val="single" w:color="auto" w:sz="4" w:space="0"/>
              <w:right w:val="single" w:color="auto" w:sz="4" w:space="0"/>
            </w:tcBorders>
            <w:vAlign w:val="center"/>
          </w:tcPr>
          <w:p w14:paraId="779C489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2CFA0D8E">
            <w:pPr>
              <w:spacing w:line="320" w:lineRule="exact"/>
              <w:jc w:val="left"/>
              <w:rPr>
                <w:color w:val="000000"/>
                <w:kern w:val="0"/>
                <w:sz w:val="18"/>
                <w:szCs w:val="18"/>
              </w:rPr>
            </w:pPr>
            <w:r>
              <w:rPr>
                <w:rFonts w:hint="eastAsia"/>
                <w:color w:val="000000"/>
                <w:kern w:val="0"/>
                <w:sz w:val="18"/>
                <w:szCs w:val="18"/>
              </w:rPr>
              <w:t>未造成生产安全事故的</w:t>
            </w:r>
          </w:p>
        </w:tc>
        <w:tc>
          <w:tcPr>
            <w:tcW w:w="1076" w:type="dxa"/>
            <w:vMerge w:val="restart"/>
            <w:tcBorders>
              <w:top w:val="single" w:color="auto" w:sz="4" w:space="0"/>
              <w:left w:val="single" w:color="auto" w:sz="4" w:space="0"/>
              <w:bottom w:val="single" w:color="auto" w:sz="4" w:space="0"/>
              <w:right w:val="single" w:color="auto" w:sz="4" w:space="0"/>
            </w:tcBorders>
            <w:vAlign w:val="center"/>
          </w:tcPr>
          <w:p w14:paraId="5E317199">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single" w:color="auto" w:sz="4" w:space="0"/>
              <w:bottom w:val="single" w:color="auto" w:sz="4" w:space="0"/>
              <w:right w:val="single" w:color="auto" w:sz="4" w:space="0"/>
            </w:tcBorders>
            <w:vAlign w:val="center"/>
          </w:tcPr>
          <w:p w14:paraId="6E485210">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万元以下罚款</w:t>
            </w:r>
          </w:p>
          <w:p w14:paraId="64F8C986">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元以下罚款</w:t>
            </w:r>
          </w:p>
        </w:tc>
      </w:tr>
      <w:tr w14:paraId="7EFE710D">
        <w:tblPrEx>
          <w:tblCellMar>
            <w:top w:w="0" w:type="dxa"/>
            <w:left w:w="108" w:type="dxa"/>
            <w:bottom w:w="0" w:type="dxa"/>
            <w:right w:w="108" w:type="dxa"/>
          </w:tblCellMar>
        </w:tblPrEx>
        <w:trPr>
          <w:trHeight w:val="285" w:hRule="atLeast"/>
        </w:trPr>
        <w:tc>
          <w:tcPr>
            <w:tcW w:w="1040" w:type="dxa"/>
            <w:vMerge w:val="continue"/>
            <w:tcBorders>
              <w:top w:val="single" w:color="auto" w:sz="4" w:space="0"/>
              <w:left w:val="single" w:color="auto" w:sz="4" w:space="0"/>
              <w:bottom w:val="single" w:color="auto" w:sz="4" w:space="0"/>
              <w:right w:val="single" w:color="auto" w:sz="4" w:space="0"/>
            </w:tcBorders>
            <w:vAlign w:val="center"/>
          </w:tcPr>
          <w:p w14:paraId="0658FBC9">
            <w:pPr>
              <w:spacing w:line="320" w:lineRule="exact"/>
              <w:jc w:val="center"/>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68F729F7">
            <w:pPr>
              <w:spacing w:line="320" w:lineRule="exact"/>
              <w:jc w:val="left"/>
              <w:rPr>
                <w:color w:val="000000"/>
                <w:kern w:val="0"/>
                <w:sz w:val="18"/>
                <w:szCs w:val="18"/>
              </w:rPr>
            </w:pPr>
            <w:r>
              <w:rPr>
                <w:rFonts w:hint="eastAsia"/>
                <w:color w:val="000000"/>
                <w:kern w:val="0"/>
                <w:sz w:val="18"/>
                <w:szCs w:val="18"/>
              </w:rPr>
              <w:t>造成生产安全事故的</w:t>
            </w: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12283133">
            <w:pPr>
              <w:spacing w:line="320" w:lineRule="exact"/>
              <w:jc w:val="center"/>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5CB1F783">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14:paraId="626F227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0FF7F15E"/>
    <w:p w14:paraId="78F6DBD3"/>
    <w:p w14:paraId="4F4156CA"/>
    <w:p w14:paraId="3D50E7CB"/>
    <w:p w14:paraId="36A7C6D8"/>
    <w:p w14:paraId="0F7157D0"/>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3516A90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53020C49">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49F5B833">
            <w:pPr>
              <w:jc w:val="left"/>
              <w:textAlignment w:val="center"/>
              <w:rPr>
                <w:rFonts w:eastAsia="仿宋_GB2312"/>
                <w:b/>
                <w:bCs/>
                <w:color w:val="000000"/>
                <w:kern w:val="0"/>
                <w:sz w:val="18"/>
                <w:szCs w:val="18"/>
              </w:rPr>
            </w:pPr>
            <w:r>
              <w:rPr>
                <w:rFonts w:eastAsia="仿宋_GB2312"/>
                <w:b/>
                <w:color w:val="000000"/>
                <w:kern w:val="0"/>
                <w:sz w:val="20"/>
              </w:rPr>
              <w:t>320217191000</w:t>
            </w:r>
          </w:p>
        </w:tc>
      </w:tr>
      <w:tr w14:paraId="232EC2F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5B76DC0">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57E3E749">
            <w:pPr>
              <w:spacing w:line="320" w:lineRule="exact"/>
              <w:jc w:val="left"/>
              <w:rPr>
                <w:color w:val="000000"/>
                <w:kern w:val="0"/>
                <w:sz w:val="18"/>
                <w:szCs w:val="18"/>
              </w:rPr>
            </w:pPr>
            <w:r>
              <w:rPr>
                <w:rFonts w:hint="eastAsia"/>
                <w:color w:val="000000"/>
                <w:kern w:val="0"/>
                <w:sz w:val="18"/>
                <w:szCs w:val="18"/>
              </w:rPr>
              <w:t>对注册造价工程师不履行义务的处罚</w:t>
            </w:r>
          </w:p>
        </w:tc>
      </w:tr>
      <w:tr w14:paraId="000F3979">
        <w:tblPrEx>
          <w:tblCellMar>
            <w:top w:w="0" w:type="dxa"/>
            <w:left w:w="108" w:type="dxa"/>
            <w:bottom w:w="0" w:type="dxa"/>
            <w:right w:w="108" w:type="dxa"/>
          </w:tblCellMar>
        </w:tblPrEx>
        <w:trPr>
          <w:trHeight w:val="1365" w:hRule="atLeast"/>
        </w:trPr>
        <w:tc>
          <w:tcPr>
            <w:tcW w:w="1056" w:type="dxa"/>
            <w:tcBorders>
              <w:top w:val="nil"/>
              <w:left w:val="single" w:color="auto" w:sz="8" w:space="0"/>
              <w:bottom w:val="single" w:color="auto" w:sz="4" w:space="0"/>
              <w:right w:val="single" w:color="auto" w:sz="4" w:space="0"/>
            </w:tcBorders>
            <w:vAlign w:val="center"/>
          </w:tcPr>
          <w:p w14:paraId="6A1A0612">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766A7782">
            <w:pPr>
              <w:spacing w:line="320" w:lineRule="exact"/>
              <w:jc w:val="left"/>
              <w:rPr>
                <w:color w:val="000000"/>
                <w:kern w:val="0"/>
                <w:sz w:val="18"/>
                <w:szCs w:val="18"/>
              </w:rPr>
            </w:pPr>
            <w:r>
              <w:rPr>
                <w:rFonts w:hint="eastAsia"/>
                <w:color w:val="000000"/>
                <w:kern w:val="0"/>
                <w:sz w:val="18"/>
                <w:szCs w:val="18"/>
              </w:rPr>
              <w:t>【规章】《注册造价工程师管理办法》（建设部令第150号发布，根据住房和城乡建设部令第32号，住房和城乡建设部令第50号修正）</w:t>
            </w:r>
          </w:p>
          <w:p w14:paraId="5C5A5719">
            <w:pPr>
              <w:spacing w:line="320" w:lineRule="exact"/>
              <w:jc w:val="left"/>
              <w:rPr>
                <w:color w:val="000000"/>
                <w:kern w:val="0"/>
                <w:sz w:val="18"/>
                <w:szCs w:val="18"/>
              </w:rPr>
            </w:pPr>
            <w:r>
              <w:rPr>
                <w:rFonts w:hint="eastAsia"/>
                <w:color w:val="000000"/>
                <w:kern w:val="0"/>
                <w:sz w:val="18"/>
                <w:szCs w:val="18"/>
              </w:rPr>
              <w:t xml:space="preserve">   第二十条　注册造价工程师不得有下列行为：</w:t>
            </w:r>
          </w:p>
          <w:p w14:paraId="7D3AF6FF">
            <w:pPr>
              <w:spacing w:line="320" w:lineRule="exact"/>
              <w:jc w:val="left"/>
              <w:rPr>
                <w:color w:val="000000"/>
                <w:kern w:val="0"/>
                <w:sz w:val="18"/>
                <w:szCs w:val="18"/>
              </w:rPr>
            </w:pPr>
            <w:r>
              <w:rPr>
                <w:rFonts w:hint="eastAsia"/>
                <w:color w:val="000000"/>
                <w:kern w:val="0"/>
                <w:sz w:val="18"/>
                <w:szCs w:val="18"/>
              </w:rPr>
              <w:t>　　（一）不履行注册造价工程师义务；</w:t>
            </w:r>
          </w:p>
          <w:p w14:paraId="2C3447BC">
            <w:pPr>
              <w:spacing w:line="320" w:lineRule="exact"/>
              <w:jc w:val="left"/>
              <w:rPr>
                <w:color w:val="000000"/>
                <w:kern w:val="0"/>
                <w:sz w:val="18"/>
                <w:szCs w:val="18"/>
              </w:rPr>
            </w:pPr>
            <w:r>
              <w:rPr>
                <w:rFonts w:hint="eastAsia"/>
                <w:color w:val="000000"/>
                <w:kern w:val="0"/>
                <w:sz w:val="18"/>
                <w:szCs w:val="18"/>
              </w:rPr>
              <w:t>　　 第三十六条　注册造价工程师有本办法第二十条规定行为之一的，由县级以上地方人民政府住房城乡建设主管部门或者其他有关部门给予警告，责令改正，没有违法所得的，处以1万元以下罚款，有违法所得的，处以违法所得3倍以下且不超过3万元的罚款。</w:t>
            </w:r>
          </w:p>
        </w:tc>
      </w:tr>
      <w:tr w14:paraId="1AE1A06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44A3613">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55FC1B22">
            <w:pPr>
              <w:spacing w:line="320" w:lineRule="exact"/>
              <w:jc w:val="left"/>
              <w:rPr>
                <w:color w:val="000000"/>
                <w:kern w:val="0"/>
                <w:sz w:val="18"/>
                <w:szCs w:val="18"/>
              </w:rPr>
            </w:pPr>
            <w:r>
              <w:rPr>
                <w:rFonts w:hint="eastAsia"/>
                <w:color w:val="000000"/>
                <w:kern w:val="0"/>
                <w:sz w:val="18"/>
                <w:szCs w:val="18"/>
              </w:rPr>
              <w:t>警告，罚款</w:t>
            </w:r>
          </w:p>
        </w:tc>
      </w:tr>
      <w:tr w14:paraId="0C5409F2">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16D3599D">
            <w:pPr>
              <w:spacing w:line="320" w:lineRule="exact"/>
              <w:jc w:val="center"/>
              <w:rPr>
                <w:color w:val="000000"/>
                <w:kern w:val="0"/>
                <w:sz w:val="18"/>
                <w:szCs w:val="18"/>
              </w:rPr>
            </w:pPr>
            <w:r>
              <w:rPr>
                <w:rFonts w:hint="eastAsia"/>
                <w:color w:val="000000"/>
                <w:kern w:val="0"/>
                <w:sz w:val="18"/>
                <w:szCs w:val="18"/>
              </w:rPr>
              <w:t>裁量基准</w:t>
            </w:r>
          </w:p>
        </w:tc>
      </w:tr>
      <w:tr w14:paraId="08CE0EF4">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0552860D">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3FADD494">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46C4E6C6">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48344881">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26DCD079">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740B863F">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D4247DA">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0FED47E9">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1E20AEF">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3E61220">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8CC4BC0">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46F7994">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6A1FE27">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6FA76524">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6099935A">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64630D7C">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172E7FF">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6E372F20">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F654DA1">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5F313F80">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249F5540">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34A7981">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A69AC0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73A042D7"/>
    <w:p w14:paraId="1CB937B8"/>
    <w:p w14:paraId="61ADA310"/>
    <w:p w14:paraId="3C776D00"/>
    <w:p w14:paraId="53F930EB"/>
    <w:p w14:paraId="75E9C6AA"/>
    <w:p w14:paraId="58D4A061"/>
    <w:p w14:paraId="4970E92E"/>
    <w:p w14:paraId="66EC2466"/>
    <w:p w14:paraId="2295F43B"/>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44A462B0">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BCA0E09">
            <w:pPr>
              <w:spacing w:line="320" w:lineRule="exact"/>
              <w:jc w:val="left"/>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2ABE2DD9">
            <w:pPr>
              <w:spacing w:line="320" w:lineRule="exact"/>
              <w:jc w:val="left"/>
              <w:rPr>
                <w:b/>
                <w:color w:val="000000"/>
                <w:kern w:val="0"/>
                <w:sz w:val="18"/>
                <w:szCs w:val="18"/>
              </w:rPr>
            </w:pPr>
            <w:r>
              <w:rPr>
                <w:b/>
                <w:color w:val="000000"/>
                <w:kern w:val="0"/>
                <w:sz w:val="18"/>
                <w:szCs w:val="18"/>
              </w:rPr>
              <w:t>320217192000</w:t>
            </w:r>
          </w:p>
        </w:tc>
      </w:tr>
      <w:tr w14:paraId="72E3266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1B2D8E2">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2A8B5734">
            <w:pPr>
              <w:spacing w:line="320" w:lineRule="exact"/>
              <w:jc w:val="left"/>
              <w:rPr>
                <w:color w:val="000000"/>
                <w:kern w:val="0"/>
                <w:sz w:val="18"/>
                <w:szCs w:val="18"/>
              </w:rPr>
            </w:pPr>
            <w:r>
              <w:rPr>
                <w:rFonts w:hint="eastAsia"/>
                <w:color w:val="000000"/>
                <w:kern w:val="0"/>
                <w:sz w:val="18"/>
                <w:szCs w:val="18"/>
              </w:rPr>
              <w:t>对注册造价工程师在执业过程中索贿、受贿或者谋取合同约定费用外的其他利益的处罚</w:t>
            </w:r>
          </w:p>
        </w:tc>
      </w:tr>
      <w:tr w14:paraId="3A56A14F">
        <w:tblPrEx>
          <w:tblCellMar>
            <w:top w:w="0" w:type="dxa"/>
            <w:left w:w="108" w:type="dxa"/>
            <w:bottom w:w="0" w:type="dxa"/>
            <w:right w:w="108" w:type="dxa"/>
          </w:tblCellMar>
        </w:tblPrEx>
        <w:trPr>
          <w:trHeight w:val="1335" w:hRule="atLeast"/>
        </w:trPr>
        <w:tc>
          <w:tcPr>
            <w:tcW w:w="1056" w:type="dxa"/>
            <w:tcBorders>
              <w:top w:val="nil"/>
              <w:left w:val="single" w:color="auto" w:sz="8" w:space="0"/>
              <w:bottom w:val="single" w:color="auto" w:sz="4" w:space="0"/>
              <w:right w:val="single" w:color="auto" w:sz="4" w:space="0"/>
            </w:tcBorders>
            <w:vAlign w:val="center"/>
          </w:tcPr>
          <w:p w14:paraId="184CF358">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2117F39D">
            <w:pPr>
              <w:spacing w:line="320" w:lineRule="exact"/>
              <w:jc w:val="left"/>
              <w:rPr>
                <w:color w:val="000000"/>
                <w:kern w:val="0"/>
                <w:sz w:val="18"/>
                <w:szCs w:val="18"/>
              </w:rPr>
            </w:pPr>
            <w:r>
              <w:rPr>
                <w:rFonts w:hint="eastAsia"/>
                <w:color w:val="000000"/>
                <w:kern w:val="0"/>
                <w:sz w:val="18"/>
                <w:szCs w:val="18"/>
              </w:rPr>
              <w:t>【规章】《注册造价工程师管理办法》（建设部令第150号发布，根据住房和城乡建设部令第32号，住房和城乡建设部令第50号修正）</w:t>
            </w:r>
          </w:p>
          <w:p w14:paraId="37E850AF">
            <w:pPr>
              <w:spacing w:line="320" w:lineRule="exact"/>
              <w:jc w:val="left"/>
              <w:rPr>
                <w:color w:val="000000"/>
                <w:kern w:val="0"/>
                <w:sz w:val="18"/>
                <w:szCs w:val="18"/>
              </w:rPr>
            </w:pPr>
            <w:r>
              <w:rPr>
                <w:rFonts w:hint="eastAsia"/>
                <w:color w:val="000000"/>
                <w:kern w:val="0"/>
                <w:sz w:val="18"/>
                <w:szCs w:val="18"/>
              </w:rPr>
              <w:t xml:space="preserve">        第二十条　注册造价工程师不得有下列行为：</w:t>
            </w:r>
          </w:p>
          <w:p w14:paraId="4E40D90D">
            <w:pPr>
              <w:spacing w:line="320" w:lineRule="exact"/>
              <w:jc w:val="left"/>
              <w:rPr>
                <w:color w:val="000000"/>
                <w:kern w:val="0"/>
                <w:sz w:val="18"/>
                <w:szCs w:val="18"/>
              </w:rPr>
            </w:pPr>
            <w:r>
              <w:rPr>
                <w:rFonts w:hint="eastAsia"/>
                <w:color w:val="000000"/>
                <w:kern w:val="0"/>
                <w:sz w:val="18"/>
                <w:szCs w:val="18"/>
              </w:rPr>
              <w:t>　　（二）在执业过程中，索贿、受贿或者谋取合同约定费用外的其他利益；</w:t>
            </w:r>
          </w:p>
          <w:p w14:paraId="64F0EB2B">
            <w:pPr>
              <w:spacing w:line="320" w:lineRule="exact"/>
              <w:jc w:val="left"/>
              <w:rPr>
                <w:color w:val="000000"/>
                <w:kern w:val="0"/>
                <w:sz w:val="18"/>
                <w:szCs w:val="18"/>
              </w:rPr>
            </w:pPr>
            <w:r>
              <w:rPr>
                <w:rFonts w:hint="eastAsia"/>
                <w:color w:val="000000"/>
                <w:kern w:val="0"/>
                <w:sz w:val="18"/>
                <w:szCs w:val="18"/>
              </w:rPr>
              <w:t>　　第三十六条　注册造价工程师有本办法第二十条规定行为之一的，由县级以上地方人民政府住房城乡建设主管部门或者其他有关部门给予警告，责令改正，没有违法所得的，处以1万元以下罚款，有违法所得的，处以违法所得3倍以下且不超过3万元的罚款。</w:t>
            </w:r>
          </w:p>
        </w:tc>
      </w:tr>
      <w:tr w14:paraId="4A20292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FD6A25D">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0B569E42">
            <w:pPr>
              <w:spacing w:line="320" w:lineRule="exact"/>
              <w:jc w:val="left"/>
              <w:rPr>
                <w:color w:val="000000"/>
                <w:kern w:val="0"/>
                <w:sz w:val="18"/>
                <w:szCs w:val="18"/>
              </w:rPr>
            </w:pPr>
            <w:r>
              <w:rPr>
                <w:rFonts w:hint="eastAsia"/>
                <w:color w:val="000000"/>
                <w:kern w:val="0"/>
                <w:sz w:val="18"/>
                <w:szCs w:val="18"/>
              </w:rPr>
              <w:t>警告，罚款</w:t>
            </w:r>
          </w:p>
        </w:tc>
      </w:tr>
      <w:tr w14:paraId="62D86F10">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12459336">
            <w:pPr>
              <w:spacing w:line="320" w:lineRule="exact"/>
              <w:jc w:val="center"/>
              <w:rPr>
                <w:color w:val="000000"/>
                <w:kern w:val="0"/>
                <w:sz w:val="18"/>
                <w:szCs w:val="18"/>
              </w:rPr>
            </w:pPr>
            <w:r>
              <w:rPr>
                <w:rFonts w:hint="eastAsia"/>
                <w:color w:val="000000"/>
                <w:kern w:val="0"/>
                <w:sz w:val="18"/>
                <w:szCs w:val="18"/>
              </w:rPr>
              <w:t>裁量基准</w:t>
            </w:r>
          </w:p>
        </w:tc>
      </w:tr>
      <w:tr w14:paraId="45A80EF1">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2BD3D888">
            <w:pPr>
              <w:spacing w:line="32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3607801E">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013A1E96">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07D6DA56">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4099C9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0D980B0D">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7276A81">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5A54362C">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BF6BE74">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374BF8B">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0640A74">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C6B9355">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C1FE78B">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56CE773C">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4E3A2AAE">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9E6D617">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4CB1A17">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4DB3DC81">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E7792A9">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3C097778">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31D35C7C">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68B8D0A6">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10A3D1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62ED0D49"/>
    <w:p w14:paraId="085EAB0B"/>
    <w:p w14:paraId="6FDB822C"/>
    <w:p w14:paraId="57998781"/>
    <w:p w14:paraId="121F0AAE"/>
    <w:p w14:paraId="020B114A"/>
    <w:p w14:paraId="06D6E016"/>
    <w:p w14:paraId="768B28E6"/>
    <w:p w14:paraId="513A241E"/>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01C1F710">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5E0026E4">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2CC7FCFD">
            <w:pPr>
              <w:spacing w:line="320" w:lineRule="exact"/>
              <w:jc w:val="left"/>
              <w:rPr>
                <w:b/>
                <w:color w:val="000000"/>
                <w:kern w:val="0"/>
                <w:sz w:val="18"/>
                <w:szCs w:val="18"/>
              </w:rPr>
            </w:pPr>
            <w:r>
              <w:rPr>
                <w:b/>
                <w:color w:val="000000"/>
                <w:kern w:val="0"/>
                <w:sz w:val="18"/>
                <w:szCs w:val="18"/>
              </w:rPr>
              <w:t>320217193000</w:t>
            </w:r>
          </w:p>
        </w:tc>
      </w:tr>
      <w:tr w14:paraId="23D674F1">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AE69528">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7A2B7B1D">
            <w:pPr>
              <w:spacing w:line="320" w:lineRule="exact"/>
              <w:jc w:val="left"/>
              <w:rPr>
                <w:color w:val="000000"/>
                <w:kern w:val="0"/>
                <w:sz w:val="18"/>
                <w:szCs w:val="18"/>
              </w:rPr>
            </w:pPr>
            <w:r>
              <w:rPr>
                <w:rFonts w:hint="eastAsia"/>
                <w:color w:val="000000"/>
                <w:kern w:val="0"/>
                <w:sz w:val="18"/>
                <w:szCs w:val="18"/>
              </w:rPr>
              <w:t>对注册造价工程师在执业过程中实施商业贿赂的处罚</w:t>
            </w:r>
          </w:p>
        </w:tc>
      </w:tr>
      <w:tr w14:paraId="77C576F3">
        <w:tblPrEx>
          <w:tblCellMar>
            <w:top w:w="0" w:type="dxa"/>
            <w:left w:w="108" w:type="dxa"/>
            <w:bottom w:w="0" w:type="dxa"/>
            <w:right w:w="108" w:type="dxa"/>
          </w:tblCellMar>
        </w:tblPrEx>
        <w:trPr>
          <w:trHeight w:val="1320" w:hRule="atLeast"/>
        </w:trPr>
        <w:tc>
          <w:tcPr>
            <w:tcW w:w="1056" w:type="dxa"/>
            <w:tcBorders>
              <w:top w:val="nil"/>
              <w:left w:val="single" w:color="auto" w:sz="8" w:space="0"/>
              <w:bottom w:val="single" w:color="auto" w:sz="4" w:space="0"/>
              <w:right w:val="single" w:color="auto" w:sz="4" w:space="0"/>
            </w:tcBorders>
            <w:vAlign w:val="center"/>
          </w:tcPr>
          <w:p w14:paraId="09D739C6">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1A7B49FF">
            <w:pPr>
              <w:spacing w:line="320" w:lineRule="exact"/>
              <w:jc w:val="left"/>
              <w:rPr>
                <w:color w:val="000000"/>
                <w:kern w:val="0"/>
                <w:sz w:val="18"/>
                <w:szCs w:val="18"/>
              </w:rPr>
            </w:pPr>
            <w:r>
              <w:rPr>
                <w:rFonts w:hint="eastAsia"/>
                <w:color w:val="000000"/>
                <w:kern w:val="0"/>
                <w:sz w:val="18"/>
                <w:szCs w:val="18"/>
              </w:rPr>
              <w:t>【规章】《注册造价工程师管理办法》（建设部令第150号发布，根据住房和城乡建设部令第32号，住房和城乡建设部令第50号修正）</w:t>
            </w:r>
          </w:p>
          <w:p w14:paraId="10771E19">
            <w:pPr>
              <w:spacing w:line="320" w:lineRule="exact"/>
              <w:jc w:val="left"/>
              <w:rPr>
                <w:color w:val="000000"/>
                <w:kern w:val="0"/>
                <w:sz w:val="18"/>
                <w:szCs w:val="18"/>
              </w:rPr>
            </w:pPr>
            <w:r>
              <w:rPr>
                <w:rFonts w:hint="eastAsia"/>
                <w:color w:val="000000"/>
                <w:kern w:val="0"/>
                <w:sz w:val="18"/>
                <w:szCs w:val="18"/>
              </w:rPr>
              <w:t xml:space="preserve">         第二十条　注册造价工程师不得有下列行为：</w:t>
            </w:r>
          </w:p>
          <w:p w14:paraId="2E7DDA47">
            <w:pPr>
              <w:spacing w:line="320" w:lineRule="exact"/>
              <w:jc w:val="left"/>
              <w:rPr>
                <w:color w:val="000000"/>
                <w:kern w:val="0"/>
                <w:sz w:val="18"/>
                <w:szCs w:val="18"/>
              </w:rPr>
            </w:pPr>
            <w:r>
              <w:rPr>
                <w:rFonts w:hint="eastAsia"/>
                <w:color w:val="000000"/>
                <w:kern w:val="0"/>
                <w:sz w:val="18"/>
                <w:szCs w:val="18"/>
              </w:rPr>
              <w:t>　   （三）在执业过程中实施商业贿赂；</w:t>
            </w:r>
          </w:p>
          <w:p w14:paraId="085616BD">
            <w:pPr>
              <w:spacing w:line="320" w:lineRule="exact"/>
              <w:jc w:val="left"/>
              <w:rPr>
                <w:color w:val="000000"/>
                <w:kern w:val="0"/>
                <w:sz w:val="18"/>
                <w:szCs w:val="18"/>
              </w:rPr>
            </w:pPr>
            <w:r>
              <w:rPr>
                <w:rFonts w:hint="eastAsia"/>
                <w:color w:val="000000"/>
                <w:kern w:val="0"/>
                <w:sz w:val="18"/>
                <w:szCs w:val="18"/>
              </w:rPr>
              <w:t>　　 第三十六条　注册造价工程师有本办法第二十条规定行为之一的，由县级以上地方人民政府住房城乡建设主管部门或者其他有关部门给予警告，责令改正，没有违法所得的，处以1万元以下罚款，有违法所得的，处以违法所得3倍以下且不超过3万元的罚款。</w:t>
            </w:r>
          </w:p>
        </w:tc>
      </w:tr>
      <w:tr w14:paraId="445A5B1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7BDBD77">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1E0AB7DE">
            <w:pPr>
              <w:spacing w:line="320" w:lineRule="exact"/>
              <w:jc w:val="left"/>
              <w:rPr>
                <w:color w:val="000000"/>
                <w:kern w:val="0"/>
                <w:sz w:val="18"/>
                <w:szCs w:val="18"/>
              </w:rPr>
            </w:pPr>
            <w:r>
              <w:rPr>
                <w:rFonts w:hint="eastAsia"/>
                <w:color w:val="000000"/>
                <w:kern w:val="0"/>
                <w:sz w:val="18"/>
                <w:szCs w:val="18"/>
              </w:rPr>
              <w:t>警告，罚款</w:t>
            </w:r>
          </w:p>
        </w:tc>
      </w:tr>
      <w:tr w14:paraId="27C77CFE">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6163ED64">
            <w:pPr>
              <w:spacing w:line="320" w:lineRule="exact"/>
              <w:jc w:val="center"/>
              <w:rPr>
                <w:color w:val="000000"/>
                <w:kern w:val="0"/>
                <w:sz w:val="18"/>
                <w:szCs w:val="18"/>
              </w:rPr>
            </w:pPr>
            <w:r>
              <w:rPr>
                <w:rFonts w:hint="eastAsia"/>
                <w:color w:val="000000"/>
                <w:kern w:val="0"/>
                <w:sz w:val="18"/>
                <w:szCs w:val="18"/>
              </w:rPr>
              <w:t>裁量基准</w:t>
            </w:r>
          </w:p>
        </w:tc>
      </w:tr>
      <w:tr w14:paraId="6E435E32">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3F3787B4">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6E8541A3">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59E1AD36">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340B75F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6B28DCCF">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47587276">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E5458FF">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3F2C2B63">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3E8825B">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020D922">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0A48CC6">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363AD4C1">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9EA48A8">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156BB7AA">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276AE943">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34874449">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F4A82A6">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20A12CE8">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1212727">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09C38071">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27DC1277">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534B17CF">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63471F3">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1B24CDA3"/>
    <w:p w14:paraId="5472643E"/>
    <w:p w14:paraId="504E069D"/>
    <w:p w14:paraId="73B24213"/>
    <w:p w14:paraId="1561211D"/>
    <w:p w14:paraId="75A9C662"/>
    <w:p w14:paraId="59A34FA8"/>
    <w:p w14:paraId="7B9C8D29"/>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3DDE254A">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7C7DD4B">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2DCB6F24">
            <w:pPr>
              <w:jc w:val="left"/>
              <w:textAlignment w:val="center"/>
              <w:rPr>
                <w:rFonts w:eastAsia="仿宋_GB2312"/>
                <w:b/>
                <w:bCs/>
                <w:color w:val="000000"/>
                <w:kern w:val="0"/>
                <w:sz w:val="18"/>
                <w:szCs w:val="18"/>
              </w:rPr>
            </w:pPr>
            <w:r>
              <w:rPr>
                <w:rFonts w:eastAsia="仿宋_GB2312"/>
                <w:b/>
                <w:color w:val="000000"/>
                <w:kern w:val="0"/>
                <w:sz w:val="20"/>
              </w:rPr>
              <w:t>320217194000</w:t>
            </w:r>
          </w:p>
        </w:tc>
      </w:tr>
      <w:tr w14:paraId="0ABB48CD">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A416994">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28AFFBD3">
            <w:pPr>
              <w:spacing w:line="320" w:lineRule="exact"/>
              <w:rPr>
                <w:color w:val="000000"/>
                <w:kern w:val="0"/>
                <w:sz w:val="18"/>
                <w:szCs w:val="18"/>
              </w:rPr>
            </w:pPr>
            <w:r>
              <w:rPr>
                <w:rFonts w:hint="eastAsia"/>
                <w:color w:val="000000"/>
                <w:kern w:val="0"/>
                <w:sz w:val="18"/>
                <w:szCs w:val="18"/>
              </w:rPr>
              <w:t>对注册监理工程师泄露执业中应当保守的秘密并造成严重后果的处罚</w:t>
            </w:r>
          </w:p>
        </w:tc>
      </w:tr>
      <w:tr w14:paraId="5D7ACCE4">
        <w:tblPrEx>
          <w:tblCellMar>
            <w:top w:w="0" w:type="dxa"/>
            <w:left w:w="108" w:type="dxa"/>
            <w:bottom w:w="0" w:type="dxa"/>
            <w:right w:w="108" w:type="dxa"/>
          </w:tblCellMar>
        </w:tblPrEx>
        <w:trPr>
          <w:trHeight w:val="1530" w:hRule="atLeast"/>
        </w:trPr>
        <w:tc>
          <w:tcPr>
            <w:tcW w:w="1056" w:type="dxa"/>
            <w:tcBorders>
              <w:top w:val="nil"/>
              <w:left w:val="single" w:color="auto" w:sz="8" w:space="0"/>
              <w:bottom w:val="single" w:color="auto" w:sz="4" w:space="0"/>
              <w:right w:val="single" w:color="auto" w:sz="4" w:space="0"/>
            </w:tcBorders>
            <w:vAlign w:val="center"/>
          </w:tcPr>
          <w:p w14:paraId="33AD0022">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48E0FD80">
            <w:pPr>
              <w:spacing w:line="320" w:lineRule="exact"/>
              <w:rPr>
                <w:color w:val="000000"/>
                <w:kern w:val="0"/>
                <w:sz w:val="18"/>
                <w:szCs w:val="18"/>
              </w:rPr>
            </w:pPr>
            <w:r>
              <w:rPr>
                <w:rFonts w:hint="eastAsia"/>
                <w:color w:val="000000"/>
                <w:kern w:val="0"/>
                <w:sz w:val="18"/>
                <w:szCs w:val="18"/>
              </w:rPr>
              <w:t>【规章】《注册监理师管理规定》</w:t>
            </w:r>
            <w:r>
              <w:rPr>
                <w:color w:val="000000"/>
                <w:kern w:val="0"/>
                <w:sz w:val="18"/>
                <w:szCs w:val="18"/>
              </w:rPr>
              <w:t>（</w:t>
            </w:r>
            <w:r>
              <w:rPr>
                <w:rFonts w:hint="eastAsia"/>
                <w:color w:val="000000"/>
                <w:kern w:val="0"/>
                <w:sz w:val="18"/>
                <w:szCs w:val="18"/>
              </w:rPr>
              <w:t>建设部第</w:t>
            </w:r>
            <w:r>
              <w:rPr>
                <w:color w:val="000000"/>
                <w:kern w:val="0"/>
                <w:sz w:val="18"/>
                <w:szCs w:val="18"/>
              </w:rPr>
              <w:t>147</w:t>
            </w:r>
            <w:r>
              <w:rPr>
                <w:rFonts w:hint="eastAsia"/>
                <w:color w:val="000000"/>
                <w:kern w:val="0"/>
                <w:sz w:val="18"/>
                <w:szCs w:val="18"/>
              </w:rPr>
              <w:t>号令）</w:t>
            </w:r>
            <w:r>
              <w:rPr>
                <w:color w:val="000000"/>
                <w:kern w:val="0"/>
                <w:sz w:val="18"/>
                <w:szCs w:val="18"/>
              </w:rPr>
              <w:br w:type="textWrapping"/>
            </w:r>
            <w:r>
              <w:rPr>
                <w:rFonts w:hint="eastAsia"/>
                <w:color w:val="000000"/>
                <w:kern w:val="0"/>
                <w:sz w:val="18"/>
                <w:szCs w:val="18"/>
              </w:rPr>
              <w:t>第二十六条　注册监理工程师应当履行下列义务：</w:t>
            </w:r>
            <w:r>
              <w:rPr>
                <w:color w:val="000000"/>
                <w:kern w:val="0"/>
                <w:sz w:val="18"/>
                <w:szCs w:val="18"/>
              </w:rPr>
              <w:br w:type="textWrapping"/>
            </w:r>
            <w:r>
              <w:rPr>
                <w:rFonts w:hint="eastAsia"/>
                <w:color w:val="000000"/>
                <w:kern w:val="0"/>
                <w:sz w:val="18"/>
                <w:szCs w:val="18"/>
              </w:rPr>
              <w:t>　　（六）保守在执业中知悉的国家秘密和他人的商业、技术秘密；</w:t>
            </w:r>
            <w:r>
              <w:rPr>
                <w:color w:val="000000"/>
                <w:kern w:val="0"/>
                <w:sz w:val="18"/>
                <w:szCs w:val="18"/>
              </w:rPr>
              <w:br w:type="textWrapping"/>
            </w:r>
            <w:r>
              <w:rPr>
                <w:rFonts w:hint="eastAsia"/>
                <w:color w:val="000000"/>
                <w:kern w:val="0"/>
                <w:sz w:val="18"/>
                <w:szCs w:val="18"/>
              </w:rPr>
              <w:t>第三十一条　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br w:type="textWrapping"/>
            </w:r>
            <w:r>
              <w:rPr>
                <w:rFonts w:hint="eastAsia"/>
                <w:color w:val="000000"/>
                <w:kern w:val="0"/>
                <w:sz w:val="18"/>
                <w:szCs w:val="18"/>
              </w:rPr>
              <w:t>　　（三）泄露执业中应当保守的秘密并造成严重后果的；</w:t>
            </w:r>
          </w:p>
        </w:tc>
      </w:tr>
      <w:tr w14:paraId="4574544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C72ADC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6334BB84">
            <w:pPr>
              <w:spacing w:line="320" w:lineRule="exact"/>
              <w:jc w:val="left"/>
              <w:rPr>
                <w:color w:val="000000"/>
                <w:kern w:val="0"/>
                <w:sz w:val="18"/>
                <w:szCs w:val="18"/>
              </w:rPr>
            </w:pPr>
            <w:r>
              <w:rPr>
                <w:rFonts w:hint="eastAsia"/>
                <w:color w:val="000000"/>
                <w:kern w:val="0"/>
                <w:sz w:val="18"/>
                <w:szCs w:val="18"/>
              </w:rPr>
              <w:t>警告，罚款</w:t>
            </w:r>
          </w:p>
        </w:tc>
      </w:tr>
      <w:tr w14:paraId="3C1FC2D8">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263F9064">
            <w:pPr>
              <w:spacing w:line="320" w:lineRule="exact"/>
              <w:jc w:val="center"/>
              <w:rPr>
                <w:color w:val="000000"/>
                <w:kern w:val="0"/>
                <w:sz w:val="18"/>
                <w:szCs w:val="18"/>
              </w:rPr>
            </w:pPr>
            <w:r>
              <w:rPr>
                <w:rFonts w:hint="eastAsia"/>
                <w:color w:val="000000"/>
                <w:kern w:val="0"/>
                <w:sz w:val="18"/>
                <w:szCs w:val="18"/>
              </w:rPr>
              <w:t>裁量基准</w:t>
            </w:r>
          </w:p>
        </w:tc>
      </w:tr>
      <w:tr w14:paraId="2B0A90C8">
        <w:tblPrEx>
          <w:tblCellMar>
            <w:top w:w="0" w:type="dxa"/>
            <w:left w:w="108" w:type="dxa"/>
            <w:bottom w:w="0" w:type="dxa"/>
            <w:right w:w="108" w:type="dxa"/>
          </w:tblCellMar>
        </w:tblPrEx>
        <w:trPr>
          <w:trHeight w:val="822" w:hRule="atLeast"/>
        </w:trPr>
        <w:tc>
          <w:tcPr>
            <w:tcW w:w="1056" w:type="dxa"/>
            <w:vMerge w:val="restart"/>
            <w:tcBorders>
              <w:top w:val="nil"/>
              <w:left w:val="single" w:color="auto" w:sz="8" w:space="0"/>
              <w:bottom w:val="single" w:color="000000" w:sz="4" w:space="0"/>
              <w:right w:val="nil"/>
            </w:tcBorders>
            <w:vAlign w:val="center"/>
          </w:tcPr>
          <w:p w14:paraId="32FCD886">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000000" w:sz="4" w:space="0"/>
              <w:right w:val="single" w:color="auto" w:sz="4" w:space="0"/>
            </w:tcBorders>
            <w:vAlign w:val="center"/>
          </w:tcPr>
          <w:p w14:paraId="7EA49E1B">
            <w:pPr>
              <w:spacing w:line="320" w:lineRule="exact"/>
              <w:jc w:val="center"/>
              <w:rPr>
                <w:color w:val="000000"/>
                <w:kern w:val="0"/>
                <w:sz w:val="18"/>
                <w:szCs w:val="18"/>
              </w:rPr>
            </w:pPr>
            <w:r>
              <w:rPr>
                <w:rFonts w:hint="eastAsia"/>
                <w:color w:val="000000"/>
                <w:kern w:val="0"/>
                <w:sz w:val="18"/>
                <w:szCs w:val="18"/>
              </w:rPr>
              <w:t>注册监理工程师泄露执业中应当保守的秘密并造成严重后果的，主动纠正的</w:t>
            </w:r>
          </w:p>
        </w:tc>
        <w:tc>
          <w:tcPr>
            <w:tcW w:w="4600" w:type="dxa"/>
            <w:tcBorders>
              <w:top w:val="nil"/>
              <w:left w:val="nil"/>
              <w:bottom w:val="nil"/>
              <w:right w:val="nil"/>
            </w:tcBorders>
            <w:vAlign w:val="center"/>
          </w:tcPr>
          <w:p w14:paraId="00CB3309">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restart"/>
            <w:tcBorders>
              <w:top w:val="nil"/>
              <w:left w:val="single" w:color="auto" w:sz="4" w:space="0"/>
              <w:bottom w:val="single" w:color="000000" w:sz="4" w:space="0"/>
              <w:right w:val="single" w:color="auto" w:sz="4" w:space="0"/>
            </w:tcBorders>
            <w:vAlign w:val="center"/>
          </w:tcPr>
          <w:p w14:paraId="17A77AA6">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7E39449">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元以下的罚款</w:t>
            </w:r>
          </w:p>
        </w:tc>
      </w:tr>
      <w:tr w14:paraId="5A4AC3DE">
        <w:tblPrEx>
          <w:tblCellMar>
            <w:top w:w="0" w:type="dxa"/>
            <w:left w:w="108" w:type="dxa"/>
            <w:bottom w:w="0" w:type="dxa"/>
            <w:right w:w="108" w:type="dxa"/>
          </w:tblCellMar>
        </w:tblPrEx>
        <w:trPr>
          <w:trHeight w:val="822" w:hRule="atLeast"/>
        </w:trPr>
        <w:tc>
          <w:tcPr>
            <w:tcW w:w="1056" w:type="dxa"/>
            <w:vMerge w:val="continue"/>
            <w:tcBorders>
              <w:top w:val="nil"/>
              <w:left w:val="single" w:color="auto" w:sz="8" w:space="0"/>
              <w:bottom w:val="single" w:color="000000" w:sz="4" w:space="0"/>
              <w:right w:val="nil"/>
            </w:tcBorders>
            <w:vAlign w:val="center"/>
          </w:tcPr>
          <w:p w14:paraId="00836AC5">
            <w:pPr>
              <w:spacing w:line="320" w:lineRule="exact"/>
              <w:jc w:val="left"/>
              <w:rPr>
                <w:color w:val="000000"/>
                <w:kern w:val="0"/>
                <w:sz w:val="18"/>
                <w:szCs w:val="18"/>
              </w:rPr>
            </w:pPr>
          </w:p>
        </w:tc>
        <w:tc>
          <w:tcPr>
            <w:tcW w:w="1540" w:type="dxa"/>
            <w:vMerge w:val="continue"/>
            <w:tcBorders>
              <w:top w:val="nil"/>
              <w:left w:val="single" w:color="auto" w:sz="4" w:space="0"/>
              <w:bottom w:val="single" w:color="000000" w:sz="4" w:space="0"/>
              <w:right w:val="single" w:color="auto" w:sz="4" w:space="0"/>
            </w:tcBorders>
            <w:vAlign w:val="center"/>
          </w:tcPr>
          <w:p w14:paraId="35E03F8D">
            <w:pPr>
              <w:spacing w:line="320" w:lineRule="exact"/>
              <w:jc w:val="left"/>
              <w:rPr>
                <w:color w:val="000000"/>
                <w:kern w:val="0"/>
                <w:sz w:val="18"/>
                <w:szCs w:val="18"/>
              </w:rPr>
            </w:pPr>
          </w:p>
        </w:tc>
        <w:tc>
          <w:tcPr>
            <w:tcW w:w="4600" w:type="dxa"/>
            <w:tcBorders>
              <w:top w:val="single" w:color="auto" w:sz="4" w:space="0"/>
              <w:left w:val="nil"/>
              <w:bottom w:val="single" w:color="auto" w:sz="4" w:space="0"/>
              <w:right w:val="nil"/>
            </w:tcBorders>
            <w:vAlign w:val="center"/>
          </w:tcPr>
          <w:p w14:paraId="36C6C5E0">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val="continue"/>
            <w:tcBorders>
              <w:top w:val="nil"/>
              <w:left w:val="single" w:color="auto" w:sz="4" w:space="0"/>
              <w:bottom w:val="single" w:color="000000" w:sz="4" w:space="0"/>
              <w:right w:val="single" w:color="auto" w:sz="4" w:space="0"/>
            </w:tcBorders>
            <w:vAlign w:val="center"/>
          </w:tcPr>
          <w:p w14:paraId="0249F947">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3E54772">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2</w:t>
            </w:r>
            <w:r>
              <w:rPr>
                <w:rFonts w:hint="eastAsia"/>
                <w:color w:val="000000"/>
                <w:kern w:val="0"/>
                <w:sz w:val="18"/>
                <w:szCs w:val="18"/>
              </w:rPr>
              <w:t>倍以上但不超过</w:t>
            </w:r>
            <w:r>
              <w:rPr>
                <w:color w:val="000000"/>
                <w:kern w:val="0"/>
                <w:sz w:val="18"/>
                <w:szCs w:val="18"/>
              </w:rPr>
              <w:t>2</w:t>
            </w:r>
            <w:r>
              <w:rPr>
                <w:rFonts w:hint="eastAsia"/>
                <w:color w:val="000000"/>
                <w:kern w:val="0"/>
                <w:sz w:val="18"/>
                <w:szCs w:val="18"/>
              </w:rPr>
              <w:t>万元的罚款</w:t>
            </w:r>
          </w:p>
        </w:tc>
      </w:tr>
      <w:tr w14:paraId="67FBA4C0">
        <w:tblPrEx>
          <w:tblCellMar>
            <w:top w:w="0" w:type="dxa"/>
            <w:left w:w="108" w:type="dxa"/>
            <w:bottom w:w="0" w:type="dxa"/>
            <w:right w:w="108" w:type="dxa"/>
          </w:tblCellMar>
        </w:tblPrEx>
        <w:trPr>
          <w:trHeight w:val="822" w:hRule="atLeast"/>
        </w:trPr>
        <w:tc>
          <w:tcPr>
            <w:tcW w:w="1056" w:type="dxa"/>
            <w:vMerge w:val="continue"/>
            <w:tcBorders>
              <w:top w:val="nil"/>
              <w:left w:val="single" w:color="auto" w:sz="8" w:space="0"/>
              <w:bottom w:val="single" w:color="000000" w:sz="4" w:space="0"/>
              <w:right w:val="nil"/>
            </w:tcBorders>
            <w:vAlign w:val="center"/>
          </w:tcPr>
          <w:p w14:paraId="452A2616">
            <w:pPr>
              <w:spacing w:line="320" w:lineRule="exact"/>
              <w:jc w:val="left"/>
              <w:rPr>
                <w:color w:val="000000"/>
                <w:kern w:val="0"/>
                <w:sz w:val="18"/>
                <w:szCs w:val="18"/>
              </w:rPr>
            </w:pPr>
          </w:p>
        </w:tc>
        <w:tc>
          <w:tcPr>
            <w:tcW w:w="1540" w:type="dxa"/>
            <w:vMerge w:val="restart"/>
            <w:tcBorders>
              <w:top w:val="nil"/>
              <w:left w:val="single" w:color="auto" w:sz="4" w:space="0"/>
              <w:bottom w:val="single" w:color="000000" w:sz="4" w:space="0"/>
              <w:right w:val="single" w:color="auto" w:sz="4" w:space="0"/>
            </w:tcBorders>
            <w:vAlign w:val="center"/>
          </w:tcPr>
          <w:p w14:paraId="0A31BB5D">
            <w:pPr>
              <w:spacing w:line="320" w:lineRule="exact"/>
              <w:jc w:val="center"/>
              <w:rPr>
                <w:color w:val="000000"/>
                <w:kern w:val="0"/>
                <w:sz w:val="18"/>
                <w:szCs w:val="18"/>
              </w:rPr>
            </w:pPr>
            <w:r>
              <w:rPr>
                <w:rFonts w:hint="eastAsia"/>
                <w:color w:val="000000"/>
                <w:kern w:val="0"/>
                <w:sz w:val="18"/>
                <w:szCs w:val="18"/>
              </w:rPr>
              <w:t>注册监理工程师泄露执业中应当保守的秘密并造成严重后果的，拒不纠正的</w:t>
            </w:r>
          </w:p>
        </w:tc>
        <w:tc>
          <w:tcPr>
            <w:tcW w:w="4600" w:type="dxa"/>
            <w:tcBorders>
              <w:top w:val="nil"/>
              <w:left w:val="nil"/>
              <w:bottom w:val="single" w:color="auto" w:sz="4" w:space="0"/>
              <w:right w:val="nil"/>
            </w:tcBorders>
            <w:vAlign w:val="center"/>
          </w:tcPr>
          <w:p w14:paraId="089B14F4">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continue"/>
            <w:tcBorders>
              <w:top w:val="nil"/>
              <w:left w:val="single" w:color="auto" w:sz="4" w:space="0"/>
              <w:bottom w:val="single" w:color="000000" w:sz="4" w:space="0"/>
              <w:right w:val="single" w:color="auto" w:sz="4" w:space="0"/>
            </w:tcBorders>
            <w:vAlign w:val="center"/>
          </w:tcPr>
          <w:p w14:paraId="3105F729">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88A8C18">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281F3DB5">
        <w:tblPrEx>
          <w:tblCellMar>
            <w:top w:w="0" w:type="dxa"/>
            <w:left w:w="108" w:type="dxa"/>
            <w:bottom w:w="0" w:type="dxa"/>
            <w:right w:w="108" w:type="dxa"/>
          </w:tblCellMar>
        </w:tblPrEx>
        <w:trPr>
          <w:trHeight w:val="822" w:hRule="atLeast"/>
        </w:trPr>
        <w:tc>
          <w:tcPr>
            <w:tcW w:w="1056" w:type="dxa"/>
            <w:vMerge w:val="continue"/>
            <w:tcBorders>
              <w:top w:val="nil"/>
              <w:left w:val="single" w:color="auto" w:sz="8" w:space="0"/>
              <w:bottom w:val="single" w:color="000000" w:sz="4" w:space="0"/>
              <w:right w:val="nil"/>
            </w:tcBorders>
            <w:vAlign w:val="center"/>
          </w:tcPr>
          <w:p w14:paraId="60FF81C9">
            <w:pPr>
              <w:spacing w:line="320" w:lineRule="exact"/>
              <w:jc w:val="left"/>
              <w:rPr>
                <w:color w:val="000000"/>
                <w:kern w:val="0"/>
                <w:sz w:val="18"/>
                <w:szCs w:val="18"/>
              </w:rPr>
            </w:pPr>
          </w:p>
        </w:tc>
        <w:tc>
          <w:tcPr>
            <w:tcW w:w="1540" w:type="dxa"/>
            <w:vMerge w:val="continue"/>
            <w:tcBorders>
              <w:top w:val="nil"/>
              <w:left w:val="single" w:color="auto" w:sz="4" w:space="0"/>
              <w:bottom w:val="single" w:color="000000" w:sz="4" w:space="0"/>
              <w:right w:val="single" w:color="auto" w:sz="4" w:space="0"/>
            </w:tcBorders>
            <w:vAlign w:val="center"/>
          </w:tcPr>
          <w:p w14:paraId="289A022B">
            <w:pPr>
              <w:spacing w:line="320" w:lineRule="exact"/>
              <w:jc w:val="left"/>
              <w:rPr>
                <w:color w:val="000000"/>
                <w:kern w:val="0"/>
                <w:sz w:val="18"/>
                <w:szCs w:val="18"/>
              </w:rPr>
            </w:pPr>
          </w:p>
        </w:tc>
        <w:tc>
          <w:tcPr>
            <w:tcW w:w="4600" w:type="dxa"/>
            <w:tcBorders>
              <w:top w:val="nil"/>
              <w:left w:val="nil"/>
              <w:bottom w:val="single" w:color="auto" w:sz="4" w:space="0"/>
              <w:right w:val="nil"/>
            </w:tcBorders>
            <w:vAlign w:val="center"/>
          </w:tcPr>
          <w:p w14:paraId="3984975B">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val="continue"/>
            <w:tcBorders>
              <w:top w:val="nil"/>
              <w:left w:val="single" w:color="auto" w:sz="4" w:space="0"/>
              <w:bottom w:val="single" w:color="000000" w:sz="4" w:space="0"/>
              <w:right w:val="single" w:color="auto" w:sz="4" w:space="0"/>
            </w:tcBorders>
            <w:vAlign w:val="center"/>
          </w:tcPr>
          <w:p w14:paraId="7B5E29CE">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97CA7B8">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3</w:t>
            </w:r>
            <w:r>
              <w:rPr>
                <w:rFonts w:hint="eastAsia"/>
                <w:color w:val="000000"/>
                <w:kern w:val="0"/>
                <w:sz w:val="18"/>
                <w:szCs w:val="18"/>
              </w:rPr>
              <w:t>倍以上但不超过</w:t>
            </w:r>
            <w:r>
              <w:rPr>
                <w:color w:val="000000"/>
                <w:kern w:val="0"/>
                <w:sz w:val="18"/>
                <w:szCs w:val="18"/>
              </w:rPr>
              <w:t>3</w:t>
            </w:r>
            <w:r>
              <w:rPr>
                <w:rFonts w:hint="eastAsia"/>
                <w:color w:val="000000"/>
                <w:kern w:val="0"/>
                <w:sz w:val="18"/>
                <w:szCs w:val="18"/>
              </w:rPr>
              <w:t>万元的罚款</w:t>
            </w:r>
          </w:p>
        </w:tc>
      </w:tr>
    </w:tbl>
    <w:p w14:paraId="3E132E31"/>
    <w:p w14:paraId="1B781010"/>
    <w:p w14:paraId="796E0CB1"/>
    <w:p w14:paraId="55335541"/>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1A034432">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69C5519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18BAE626">
            <w:pPr>
              <w:spacing w:line="320" w:lineRule="exact"/>
              <w:jc w:val="left"/>
              <w:rPr>
                <w:rFonts w:eastAsia="仿宋_GB2312"/>
                <w:b/>
                <w:bCs/>
                <w:color w:val="000000"/>
                <w:kern w:val="0"/>
                <w:sz w:val="18"/>
                <w:szCs w:val="18"/>
              </w:rPr>
            </w:pPr>
            <w:r>
              <w:rPr>
                <w:rFonts w:eastAsia="仿宋_GB2312"/>
                <w:b/>
                <w:bCs/>
                <w:color w:val="000000"/>
                <w:kern w:val="0"/>
                <w:sz w:val="18"/>
                <w:szCs w:val="18"/>
              </w:rPr>
              <w:t>320217195000</w:t>
            </w:r>
            <w:r>
              <w:rPr>
                <w:rFonts w:hint="eastAsia" w:eastAsia="仿宋_GB2312"/>
                <w:b/>
                <w:bCs/>
                <w:color w:val="000000"/>
                <w:kern w:val="0"/>
                <w:sz w:val="18"/>
                <w:szCs w:val="18"/>
              </w:rPr>
              <w:t xml:space="preserve"> </w:t>
            </w:r>
          </w:p>
        </w:tc>
      </w:tr>
      <w:tr w14:paraId="5048563D">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23A936B0">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4BA920D9">
            <w:pPr>
              <w:spacing w:line="320" w:lineRule="exact"/>
              <w:jc w:val="left"/>
              <w:rPr>
                <w:color w:val="000000"/>
                <w:kern w:val="0"/>
                <w:sz w:val="18"/>
                <w:szCs w:val="18"/>
              </w:rPr>
            </w:pPr>
            <w:r>
              <w:rPr>
                <w:rFonts w:hint="eastAsia"/>
                <w:color w:val="000000"/>
                <w:kern w:val="0"/>
                <w:sz w:val="18"/>
                <w:szCs w:val="18"/>
              </w:rPr>
              <w:t>对工程监理单位未依照法律、法规和工程建设强制性标准实施监理的处罚</w:t>
            </w:r>
          </w:p>
        </w:tc>
      </w:tr>
      <w:tr w14:paraId="63A2B688">
        <w:tblPrEx>
          <w:tblCellMar>
            <w:top w:w="0" w:type="dxa"/>
            <w:left w:w="108" w:type="dxa"/>
            <w:bottom w:w="0" w:type="dxa"/>
            <w:right w:w="108" w:type="dxa"/>
          </w:tblCellMar>
        </w:tblPrEx>
        <w:trPr>
          <w:trHeight w:val="2310" w:hRule="atLeast"/>
        </w:trPr>
        <w:tc>
          <w:tcPr>
            <w:tcW w:w="1030" w:type="dxa"/>
            <w:tcBorders>
              <w:top w:val="nil"/>
              <w:left w:val="single" w:color="auto" w:sz="8" w:space="0"/>
              <w:bottom w:val="single" w:color="auto" w:sz="4" w:space="0"/>
              <w:right w:val="single" w:color="auto" w:sz="4" w:space="0"/>
            </w:tcBorders>
            <w:vAlign w:val="center"/>
          </w:tcPr>
          <w:p w14:paraId="39FF37F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5F1FA1F1">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【行政法规】《建设工程安全生产管理条例》（国务院令第393号）</w:t>
            </w:r>
          </w:p>
          <w:p w14:paraId="7B7843AC">
            <w:pPr>
              <w:spacing w:line="280" w:lineRule="exact"/>
              <w:jc w:val="left"/>
              <w:rPr>
                <w:color w:val="000000"/>
                <w:kern w:val="0"/>
                <w:sz w:val="18"/>
                <w:szCs w:val="18"/>
              </w:rPr>
            </w:pPr>
            <w:r>
              <w:rPr>
                <w:rFonts w:hint="eastAsia"/>
                <w:color w:val="000000"/>
                <w:kern w:val="0"/>
                <w:sz w:val="18"/>
                <w:szCs w:val="18"/>
              </w:rPr>
              <w:t xml:space="preserve">    第十四条第三款　工程监理单位和监理工程师应当按照法律、法规和工程建设强制性标准实施监理，并对建设工程安全生产承担监理责任。  </w:t>
            </w:r>
          </w:p>
          <w:p w14:paraId="2B5501D4">
            <w:pPr>
              <w:spacing w:line="280" w:lineRule="exact"/>
              <w:jc w:val="left"/>
              <w:rPr>
                <w:color w:val="000000"/>
                <w:kern w:val="0"/>
                <w:sz w:val="18"/>
                <w:szCs w:val="18"/>
              </w:rPr>
            </w:pPr>
            <w:r>
              <w:rPr>
                <w:rFonts w:hint="eastAsia"/>
                <w:color w:val="000000"/>
                <w:kern w:val="0"/>
                <w:sz w:val="18"/>
                <w:szCs w:val="18"/>
              </w:rPr>
              <w:t xml:space="preserve">    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1A448A5D">
            <w:pPr>
              <w:spacing w:line="280" w:lineRule="exact"/>
              <w:jc w:val="left"/>
              <w:rPr>
                <w:color w:val="000000"/>
                <w:kern w:val="0"/>
                <w:sz w:val="18"/>
                <w:szCs w:val="18"/>
              </w:rPr>
            </w:pPr>
            <w:r>
              <w:rPr>
                <w:rFonts w:hint="eastAsia"/>
                <w:color w:val="000000"/>
                <w:kern w:val="0"/>
                <w:sz w:val="18"/>
                <w:szCs w:val="18"/>
              </w:rPr>
              <w:t xml:space="preserve">   （四）未依照法律、法规和工程建设强制性标准实施监理的。 </w:t>
            </w:r>
          </w:p>
          <w:p w14:paraId="669AC667">
            <w:pPr>
              <w:spacing w:line="28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31BE898E">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8E37089">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08DBD6F0">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14:paraId="445152F0">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2DA95A27">
            <w:pPr>
              <w:spacing w:line="320" w:lineRule="exact"/>
              <w:jc w:val="center"/>
              <w:rPr>
                <w:color w:val="000000"/>
                <w:kern w:val="0"/>
                <w:sz w:val="18"/>
                <w:szCs w:val="18"/>
              </w:rPr>
            </w:pPr>
            <w:r>
              <w:rPr>
                <w:rFonts w:hint="eastAsia"/>
                <w:color w:val="000000"/>
                <w:kern w:val="0"/>
                <w:sz w:val="18"/>
                <w:szCs w:val="18"/>
              </w:rPr>
              <w:t>裁量基准</w:t>
            </w:r>
          </w:p>
        </w:tc>
      </w:tr>
      <w:tr w14:paraId="29EFC20A">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bottom w:val="single" w:color="000000" w:sz="4" w:space="0"/>
              <w:right w:val="single" w:color="auto" w:sz="4" w:space="0"/>
            </w:tcBorders>
            <w:vAlign w:val="center"/>
          </w:tcPr>
          <w:p w14:paraId="26ACA2A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4D677312">
            <w:pPr>
              <w:spacing w:line="320" w:lineRule="exact"/>
              <w:jc w:val="left"/>
              <w:rPr>
                <w:color w:val="000000"/>
                <w:kern w:val="0"/>
                <w:sz w:val="18"/>
                <w:szCs w:val="18"/>
              </w:rPr>
            </w:pPr>
            <w:r>
              <w:rPr>
                <w:rFonts w:hint="eastAsia"/>
                <w:color w:val="000000"/>
                <w:kern w:val="0"/>
                <w:sz w:val="18"/>
                <w:szCs w:val="18"/>
              </w:rPr>
              <w:t>施工单位未开始施工的</w:t>
            </w:r>
          </w:p>
        </w:tc>
        <w:tc>
          <w:tcPr>
            <w:tcW w:w="1080" w:type="dxa"/>
            <w:vMerge w:val="restart"/>
            <w:tcBorders>
              <w:top w:val="single" w:color="auto" w:sz="4" w:space="0"/>
              <w:left w:val="single" w:color="auto" w:sz="4" w:space="0"/>
              <w:bottom w:val="single" w:color="000000" w:sz="4" w:space="0"/>
              <w:right w:val="single" w:color="auto" w:sz="4" w:space="0"/>
            </w:tcBorders>
            <w:vAlign w:val="center"/>
          </w:tcPr>
          <w:p w14:paraId="38CA1FA8">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nil"/>
              <w:bottom w:val="single" w:color="auto" w:sz="4" w:space="0"/>
              <w:right w:val="single" w:color="auto" w:sz="4" w:space="0"/>
            </w:tcBorders>
            <w:vAlign w:val="center"/>
          </w:tcPr>
          <w:p w14:paraId="37DDB7B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tc>
      </w:tr>
      <w:tr w14:paraId="601156B2">
        <w:tblPrEx>
          <w:tblCellMar>
            <w:top w:w="0" w:type="dxa"/>
            <w:left w:w="108" w:type="dxa"/>
            <w:bottom w:w="0" w:type="dxa"/>
            <w:right w:w="108" w:type="dxa"/>
          </w:tblCellMar>
        </w:tblPrEx>
        <w:trPr>
          <w:trHeight w:val="285" w:hRule="atLeast"/>
        </w:trPr>
        <w:tc>
          <w:tcPr>
            <w:tcW w:w="1030" w:type="dxa"/>
            <w:vMerge w:val="continue"/>
            <w:tcBorders>
              <w:top w:val="nil"/>
              <w:left w:val="single" w:color="auto" w:sz="4" w:space="0"/>
              <w:bottom w:val="single" w:color="000000" w:sz="4" w:space="0"/>
              <w:right w:val="single" w:color="auto" w:sz="4" w:space="0"/>
            </w:tcBorders>
            <w:vAlign w:val="center"/>
          </w:tcPr>
          <w:p w14:paraId="4125926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66D4CBED">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080" w:type="dxa"/>
            <w:vMerge w:val="continue"/>
            <w:tcBorders>
              <w:top w:val="nil"/>
              <w:left w:val="single" w:color="auto" w:sz="4" w:space="0"/>
              <w:bottom w:val="single" w:color="000000" w:sz="4" w:space="0"/>
              <w:right w:val="single" w:color="auto" w:sz="4" w:space="0"/>
            </w:tcBorders>
            <w:vAlign w:val="center"/>
          </w:tcPr>
          <w:p w14:paraId="4D1FFD17">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6CC48B0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tc>
      </w:tr>
      <w:tr w14:paraId="65C84E88">
        <w:tblPrEx>
          <w:tblCellMar>
            <w:top w:w="0" w:type="dxa"/>
            <w:left w:w="108" w:type="dxa"/>
            <w:bottom w:w="0" w:type="dxa"/>
            <w:right w:w="108" w:type="dxa"/>
          </w:tblCellMar>
        </w:tblPrEx>
        <w:trPr>
          <w:trHeight w:val="487" w:hRule="atLeast"/>
        </w:trPr>
        <w:tc>
          <w:tcPr>
            <w:tcW w:w="1030" w:type="dxa"/>
            <w:vMerge w:val="continue"/>
            <w:tcBorders>
              <w:top w:val="nil"/>
              <w:left w:val="single" w:color="auto" w:sz="4" w:space="0"/>
              <w:bottom w:val="single" w:color="auto" w:sz="4" w:space="0"/>
              <w:right w:val="single" w:color="auto" w:sz="4" w:space="0"/>
            </w:tcBorders>
            <w:vAlign w:val="center"/>
          </w:tcPr>
          <w:p w14:paraId="5DE6857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343F20BC">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080" w:type="dxa"/>
            <w:vMerge w:val="continue"/>
            <w:tcBorders>
              <w:top w:val="nil"/>
              <w:left w:val="single" w:color="auto" w:sz="4" w:space="0"/>
              <w:bottom w:val="single" w:color="auto" w:sz="4" w:space="0"/>
              <w:right w:val="single" w:color="auto" w:sz="4" w:space="0"/>
            </w:tcBorders>
            <w:vAlign w:val="center"/>
          </w:tcPr>
          <w:p w14:paraId="6881D190">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5A7AAD4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tc>
      </w:tr>
    </w:tbl>
    <w:p w14:paraId="6432404C"/>
    <w:p w14:paraId="1AB97541"/>
    <w:p w14:paraId="029208EE"/>
    <w:p w14:paraId="122C6050"/>
    <w:p w14:paraId="32382203"/>
    <w:p w14:paraId="3616179B"/>
    <w:p w14:paraId="12C8CA59"/>
    <w:p w14:paraId="682436EA"/>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59C324B1">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5A3925D">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690832B9">
            <w:pPr>
              <w:jc w:val="left"/>
              <w:textAlignment w:val="center"/>
              <w:rPr>
                <w:rFonts w:eastAsia="仿宋_GB2312"/>
                <w:b/>
                <w:bCs/>
                <w:color w:val="000000"/>
                <w:kern w:val="0"/>
                <w:sz w:val="18"/>
                <w:szCs w:val="18"/>
              </w:rPr>
            </w:pPr>
            <w:r>
              <w:rPr>
                <w:rFonts w:eastAsia="仿宋_GB2312"/>
                <w:color w:val="000000"/>
                <w:kern w:val="0"/>
                <w:sz w:val="20"/>
              </w:rPr>
              <w:t>320217196000</w:t>
            </w:r>
          </w:p>
        </w:tc>
      </w:tr>
      <w:tr w14:paraId="409A7B7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1B7A589">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7F047F5F">
            <w:pPr>
              <w:spacing w:line="320" w:lineRule="exact"/>
              <w:jc w:val="left"/>
              <w:rPr>
                <w:color w:val="000000"/>
                <w:kern w:val="0"/>
                <w:sz w:val="18"/>
                <w:szCs w:val="18"/>
              </w:rPr>
            </w:pPr>
            <w:r>
              <w:rPr>
                <w:rFonts w:hint="eastAsia"/>
                <w:color w:val="000000"/>
                <w:kern w:val="0"/>
                <w:sz w:val="18"/>
                <w:szCs w:val="18"/>
              </w:rPr>
              <w:t>对以欺骗、贿赂等不正当手段取得注册监理工程师注册证书的处罚</w:t>
            </w:r>
          </w:p>
        </w:tc>
      </w:tr>
      <w:tr w14:paraId="51FA737E">
        <w:tblPrEx>
          <w:tblCellMar>
            <w:top w:w="0" w:type="dxa"/>
            <w:left w:w="108" w:type="dxa"/>
            <w:bottom w:w="0" w:type="dxa"/>
            <w:right w:w="108" w:type="dxa"/>
          </w:tblCellMar>
        </w:tblPrEx>
        <w:trPr>
          <w:trHeight w:val="2595" w:hRule="atLeast"/>
        </w:trPr>
        <w:tc>
          <w:tcPr>
            <w:tcW w:w="1056" w:type="dxa"/>
            <w:tcBorders>
              <w:top w:val="nil"/>
              <w:left w:val="single" w:color="auto" w:sz="8" w:space="0"/>
              <w:bottom w:val="single" w:color="auto" w:sz="4" w:space="0"/>
              <w:right w:val="single" w:color="auto" w:sz="4" w:space="0"/>
            </w:tcBorders>
            <w:vAlign w:val="center"/>
          </w:tcPr>
          <w:p w14:paraId="50027893">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03200DCF">
            <w:pPr>
              <w:spacing w:line="32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type="textWrapping"/>
            </w:r>
            <w:r>
              <w:rPr>
                <w:rFonts w:hint="eastAsia"/>
                <w:color w:val="000000"/>
                <w:kern w:val="0"/>
                <w:sz w:val="18"/>
                <w:szCs w:val="18"/>
              </w:rPr>
              <w:t>【规章】《注册监理工程师管理规定》</w:t>
            </w:r>
            <w:r>
              <w:rPr>
                <w:color w:val="000000"/>
                <w:kern w:val="0"/>
                <w:sz w:val="18"/>
                <w:szCs w:val="18"/>
              </w:rPr>
              <w:t>（</w:t>
            </w:r>
            <w:r>
              <w:rPr>
                <w:rFonts w:hint="eastAsia"/>
                <w:color w:val="000000"/>
                <w:kern w:val="0"/>
                <w:sz w:val="18"/>
                <w:szCs w:val="18"/>
              </w:rPr>
              <w:t>建设部令第</w:t>
            </w:r>
            <w:r>
              <w:rPr>
                <w:color w:val="000000"/>
                <w:kern w:val="0"/>
                <w:sz w:val="18"/>
                <w:szCs w:val="18"/>
              </w:rPr>
              <w:t>147</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取得资格证书并受聘于一个建设工程勘察、设计、施工、监理、招标代理、造价咨询等单位的人员，应当通过聘用单位提出注册申请，并可以向单位工商注册所在地的省、自治区、直辖市人民政府住房城乡建设主管部门提交申请材料；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日内将全部申请材料报审批部门。</w:t>
            </w:r>
            <w:r>
              <w:rPr>
                <w:color w:val="000000"/>
                <w:kern w:val="0"/>
                <w:sz w:val="18"/>
                <w:szCs w:val="18"/>
              </w:rPr>
              <w:br w:type="textWrapping"/>
            </w:r>
            <w:r>
              <w:rPr>
                <w:rFonts w:hint="eastAsia"/>
                <w:color w:val="000000"/>
                <w:kern w:val="0"/>
                <w:sz w:val="18"/>
                <w:szCs w:val="18"/>
              </w:rPr>
              <w:t>第二十八条　以欺骗、贿赂等不正当手段取得注册证书的，由国务院建设主管部门撤销其注册，</w:t>
            </w:r>
            <w:r>
              <w:rPr>
                <w:color w:val="000000"/>
                <w:kern w:val="0"/>
                <w:sz w:val="18"/>
                <w:szCs w:val="18"/>
              </w:rPr>
              <w:t>3</w:t>
            </w:r>
            <w:r>
              <w:rPr>
                <w:rFonts w:hint="eastAsia"/>
                <w:color w:val="000000"/>
                <w:kern w:val="0"/>
                <w:sz w:val="18"/>
                <w:szCs w:val="18"/>
              </w:rPr>
              <w:t>年内不得再次申请注册，并由县级以上地方人民政府建设主管部门处以罚款，其中没有违法所得的，处以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万元的罚款；构成犯罪的，依法追究刑事责任。</w:t>
            </w:r>
            <w:r>
              <w:rPr>
                <w:color w:val="000000"/>
                <w:kern w:val="0"/>
                <w:sz w:val="18"/>
                <w:szCs w:val="18"/>
              </w:rPr>
              <w:t xml:space="preserve"> </w:t>
            </w:r>
          </w:p>
        </w:tc>
      </w:tr>
      <w:tr w14:paraId="3C4AC1C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62C26E2">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4C018B2F">
            <w:pPr>
              <w:spacing w:line="320" w:lineRule="exact"/>
              <w:jc w:val="left"/>
              <w:rPr>
                <w:color w:val="000000"/>
                <w:kern w:val="0"/>
                <w:sz w:val="18"/>
                <w:szCs w:val="18"/>
              </w:rPr>
            </w:pPr>
            <w:r>
              <w:rPr>
                <w:rFonts w:hint="eastAsia"/>
                <w:color w:val="000000"/>
                <w:kern w:val="0"/>
                <w:sz w:val="18"/>
                <w:szCs w:val="18"/>
              </w:rPr>
              <w:t>罚款</w:t>
            </w:r>
          </w:p>
        </w:tc>
      </w:tr>
      <w:tr w14:paraId="3E4A85C8">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7C5275BF">
            <w:pPr>
              <w:spacing w:line="320" w:lineRule="exact"/>
              <w:jc w:val="center"/>
              <w:rPr>
                <w:color w:val="000000"/>
                <w:kern w:val="0"/>
                <w:sz w:val="18"/>
                <w:szCs w:val="18"/>
              </w:rPr>
            </w:pPr>
            <w:r>
              <w:rPr>
                <w:rFonts w:hint="eastAsia"/>
                <w:color w:val="000000"/>
                <w:kern w:val="0"/>
                <w:sz w:val="18"/>
                <w:szCs w:val="18"/>
              </w:rPr>
              <w:t>裁量基准</w:t>
            </w:r>
          </w:p>
        </w:tc>
      </w:tr>
      <w:tr w14:paraId="57F3A476">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410D359E">
            <w:pPr>
              <w:spacing w:line="32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62132E7E">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44A6C1D4">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以欺骗、贿赂等不正当手段取得注册监理工程师注册证书，没有违法所得，积极配合调查的</w:t>
            </w:r>
          </w:p>
        </w:tc>
        <w:tc>
          <w:tcPr>
            <w:tcW w:w="1044" w:type="dxa"/>
            <w:vMerge w:val="restart"/>
            <w:tcBorders>
              <w:top w:val="nil"/>
              <w:left w:val="single" w:color="auto" w:sz="4" w:space="0"/>
              <w:bottom w:val="single" w:color="auto" w:sz="4" w:space="0"/>
              <w:right w:val="single" w:color="auto" w:sz="4" w:space="0"/>
            </w:tcBorders>
            <w:vAlign w:val="center"/>
          </w:tcPr>
          <w:p w14:paraId="3D46184E">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79E1DD6B">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3F80CFC2">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DDBB0CE">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03E0B13F">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2857C62A">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以欺骗、贿赂等不正当手段取得注册监理工程师注册证书，没有违法所得，不配合调查的</w:t>
            </w:r>
          </w:p>
        </w:tc>
        <w:tc>
          <w:tcPr>
            <w:tcW w:w="1044" w:type="dxa"/>
            <w:vMerge w:val="continue"/>
            <w:tcBorders>
              <w:top w:val="nil"/>
              <w:left w:val="single" w:color="auto" w:sz="4" w:space="0"/>
              <w:bottom w:val="single" w:color="auto" w:sz="4" w:space="0"/>
              <w:right w:val="single" w:color="auto" w:sz="4" w:space="0"/>
            </w:tcBorders>
            <w:vAlign w:val="center"/>
          </w:tcPr>
          <w:p w14:paraId="056B1353">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3F99367">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CF96397">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6848306">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739F1703">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5C563DF7">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以欺骗、贿赂等不正当手段取得注册监理工程师注册证书，有违法所得，但积极配合调查的</w:t>
            </w:r>
          </w:p>
        </w:tc>
        <w:tc>
          <w:tcPr>
            <w:tcW w:w="1044" w:type="dxa"/>
            <w:vMerge w:val="continue"/>
            <w:tcBorders>
              <w:top w:val="nil"/>
              <w:left w:val="single" w:color="auto" w:sz="4" w:space="0"/>
              <w:bottom w:val="single" w:color="auto" w:sz="4" w:space="0"/>
              <w:right w:val="single" w:color="auto" w:sz="4" w:space="0"/>
            </w:tcBorders>
            <w:vAlign w:val="center"/>
          </w:tcPr>
          <w:p w14:paraId="03BB0DE8">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BD43794">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286BA7D6">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6BFC7D0">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5A92C35F">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49FD5EEF">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以欺骗、贿赂等不正当手段取得注册监理工程师注册证书，有违法所得，不配合调查的</w:t>
            </w:r>
          </w:p>
        </w:tc>
        <w:tc>
          <w:tcPr>
            <w:tcW w:w="1044" w:type="dxa"/>
            <w:vMerge w:val="continue"/>
            <w:tcBorders>
              <w:top w:val="nil"/>
              <w:left w:val="single" w:color="auto" w:sz="4" w:space="0"/>
              <w:bottom w:val="single" w:color="auto" w:sz="4" w:space="0"/>
              <w:right w:val="single" w:color="auto" w:sz="4" w:space="0"/>
            </w:tcBorders>
            <w:vAlign w:val="center"/>
          </w:tcPr>
          <w:p w14:paraId="25F452F3">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AA24149">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6160D24F"/>
    <w:p w14:paraId="47E5AF3F"/>
    <w:tbl>
      <w:tblPr>
        <w:tblStyle w:val="15"/>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1753"/>
        <w:gridCol w:w="4387"/>
        <w:gridCol w:w="1044"/>
        <w:gridCol w:w="5820"/>
      </w:tblGrid>
      <w:tr w14:paraId="35C68B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tcBorders>
              <w:top w:val="single" w:color="auto" w:sz="8" w:space="0"/>
            </w:tcBorders>
            <w:vAlign w:val="center"/>
          </w:tcPr>
          <w:p w14:paraId="44840F4B">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tcBorders>
            <w:vAlign w:val="center"/>
          </w:tcPr>
          <w:p w14:paraId="7AB4CFD3">
            <w:pPr>
              <w:jc w:val="left"/>
              <w:textAlignment w:val="center"/>
              <w:rPr>
                <w:rFonts w:eastAsia="仿宋_GB2312"/>
                <w:b/>
                <w:bCs/>
                <w:color w:val="000000"/>
                <w:kern w:val="0"/>
                <w:sz w:val="18"/>
                <w:szCs w:val="18"/>
              </w:rPr>
            </w:pPr>
            <w:r>
              <w:rPr>
                <w:rFonts w:eastAsia="仿宋_GB2312"/>
                <w:b/>
                <w:color w:val="000000"/>
                <w:kern w:val="0"/>
                <w:sz w:val="20"/>
              </w:rPr>
              <w:t>320217197000</w:t>
            </w:r>
          </w:p>
        </w:tc>
      </w:tr>
      <w:tr w14:paraId="20FEB3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5D4563A9">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vAlign w:val="center"/>
          </w:tcPr>
          <w:p w14:paraId="5DCE2623">
            <w:pPr>
              <w:spacing w:line="320" w:lineRule="exact"/>
              <w:jc w:val="left"/>
              <w:rPr>
                <w:color w:val="000000"/>
                <w:kern w:val="0"/>
                <w:sz w:val="18"/>
                <w:szCs w:val="18"/>
              </w:rPr>
            </w:pPr>
            <w:r>
              <w:rPr>
                <w:rFonts w:hint="eastAsia"/>
                <w:color w:val="000000"/>
                <w:kern w:val="0"/>
                <w:sz w:val="18"/>
                <w:szCs w:val="18"/>
              </w:rPr>
              <w:t>对未经注册擅自以注册监理工程师的名义从事工程监理及相关业务活动的处罚</w:t>
            </w:r>
          </w:p>
        </w:tc>
      </w:tr>
      <w:tr w14:paraId="3B2CBE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1056" w:type="dxa"/>
            <w:vAlign w:val="center"/>
          </w:tcPr>
          <w:p w14:paraId="41C610AE">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vAlign w:val="center"/>
          </w:tcPr>
          <w:p w14:paraId="1847C4EE">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第十七条　取得资格证书的人员，应当受聘于一个具有建设工程勘察、设计、施工、监理、招标代理、造价咨询等一项或者多项资质的单位，经注册后方可从事相应的执业活动。从事工程监理执业活动的，应当受聘并注册于一个具有工程监理资质的单位。</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第二十九条　违反本规定</w:t>
            </w:r>
            <w:r>
              <w:rPr>
                <w:color w:val="000000"/>
                <w:kern w:val="0"/>
                <w:sz w:val="18"/>
                <w:szCs w:val="18"/>
              </w:rPr>
              <w:t>,</w:t>
            </w:r>
            <w:r>
              <w:rPr>
                <w:rFonts w:hint="eastAsia"/>
                <w:color w:val="000000"/>
                <w:kern w:val="0"/>
                <w:sz w:val="18"/>
                <w:szCs w:val="18"/>
              </w:rPr>
              <w:t>未经注册，擅自以注册监理工程师的名义从事工程监理及相关业务活动的，由县级以上地方人民政府建设主管部门给予警告，责令停止违法行为，处以</w:t>
            </w:r>
            <w:r>
              <w:rPr>
                <w:color w:val="000000"/>
                <w:kern w:val="0"/>
                <w:sz w:val="18"/>
                <w:szCs w:val="18"/>
              </w:rPr>
              <w:t>3</w:t>
            </w:r>
            <w:r>
              <w:rPr>
                <w:rFonts w:hint="eastAsia"/>
                <w:color w:val="000000"/>
                <w:kern w:val="0"/>
                <w:sz w:val="18"/>
                <w:szCs w:val="18"/>
              </w:rPr>
              <w:t>万元以下罚款；造成损失的，依法承担赔偿责任。</w:t>
            </w:r>
          </w:p>
        </w:tc>
      </w:tr>
      <w:tr w14:paraId="5F52CF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066E6026">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vAlign w:val="center"/>
          </w:tcPr>
          <w:p w14:paraId="68D852AA">
            <w:pPr>
              <w:spacing w:line="320" w:lineRule="exact"/>
              <w:jc w:val="left"/>
              <w:rPr>
                <w:color w:val="000000"/>
                <w:kern w:val="0"/>
                <w:sz w:val="18"/>
                <w:szCs w:val="18"/>
              </w:rPr>
            </w:pPr>
            <w:r>
              <w:rPr>
                <w:rFonts w:hint="eastAsia"/>
                <w:color w:val="000000"/>
                <w:kern w:val="0"/>
                <w:sz w:val="18"/>
                <w:szCs w:val="18"/>
              </w:rPr>
              <w:t>警告，罚款</w:t>
            </w:r>
          </w:p>
        </w:tc>
      </w:tr>
      <w:tr w14:paraId="5A3A79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60" w:type="dxa"/>
            <w:gridSpan w:val="5"/>
            <w:vAlign w:val="center"/>
          </w:tcPr>
          <w:p w14:paraId="46FE7940">
            <w:pPr>
              <w:spacing w:line="320" w:lineRule="exact"/>
              <w:jc w:val="center"/>
              <w:rPr>
                <w:color w:val="000000"/>
                <w:kern w:val="0"/>
                <w:sz w:val="18"/>
                <w:szCs w:val="18"/>
              </w:rPr>
            </w:pPr>
            <w:r>
              <w:rPr>
                <w:rFonts w:hint="eastAsia"/>
                <w:color w:val="000000"/>
                <w:kern w:val="0"/>
                <w:sz w:val="18"/>
                <w:szCs w:val="18"/>
              </w:rPr>
              <w:t>裁量基准</w:t>
            </w:r>
          </w:p>
        </w:tc>
      </w:tr>
      <w:tr w14:paraId="00952A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restart"/>
            <w:vAlign w:val="center"/>
          </w:tcPr>
          <w:p w14:paraId="3F83EC7F">
            <w:pPr>
              <w:spacing w:line="320" w:lineRule="exact"/>
              <w:jc w:val="center"/>
              <w:rPr>
                <w:color w:val="000000"/>
                <w:kern w:val="0"/>
                <w:sz w:val="18"/>
                <w:szCs w:val="18"/>
              </w:rPr>
            </w:pPr>
            <w:r>
              <w:rPr>
                <w:rFonts w:hint="eastAsia"/>
                <w:color w:val="000000"/>
                <w:kern w:val="0"/>
                <w:sz w:val="18"/>
                <w:szCs w:val="18"/>
              </w:rPr>
              <w:t>情形描述</w:t>
            </w:r>
          </w:p>
        </w:tc>
        <w:tc>
          <w:tcPr>
            <w:tcW w:w="1753" w:type="dxa"/>
            <w:vMerge w:val="restart"/>
            <w:vAlign w:val="center"/>
          </w:tcPr>
          <w:p w14:paraId="2F9A6BB9">
            <w:pPr>
              <w:spacing w:line="320" w:lineRule="exact"/>
              <w:jc w:val="left"/>
              <w:rPr>
                <w:color w:val="000000"/>
                <w:kern w:val="0"/>
                <w:sz w:val="18"/>
                <w:szCs w:val="18"/>
              </w:rPr>
            </w:pPr>
            <w:r>
              <w:rPr>
                <w:rFonts w:hint="eastAsia"/>
                <w:color w:val="000000"/>
                <w:kern w:val="0"/>
                <w:sz w:val="18"/>
                <w:szCs w:val="18"/>
              </w:rPr>
              <w:t>按要求停止违法行为的</w:t>
            </w:r>
          </w:p>
        </w:tc>
        <w:tc>
          <w:tcPr>
            <w:tcW w:w="4387" w:type="dxa"/>
            <w:vAlign w:val="center"/>
          </w:tcPr>
          <w:p w14:paraId="48D37B83">
            <w:pPr>
              <w:spacing w:line="320" w:lineRule="exact"/>
              <w:jc w:val="left"/>
              <w:rPr>
                <w:color w:val="000000"/>
                <w:kern w:val="0"/>
                <w:sz w:val="18"/>
                <w:szCs w:val="18"/>
              </w:rPr>
            </w:pPr>
            <w:r>
              <w:rPr>
                <w:rFonts w:hint="eastAsia"/>
                <w:color w:val="000000"/>
                <w:kern w:val="0"/>
                <w:sz w:val="18"/>
                <w:szCs w:val="18"/>
              </w:rPr>
              <w:t>没有违法所得的</w:t>
            </w:r>
          </w:p>
        </w:tc>
        <w:tc>
          <w:tcPr>
            <w:tcW w:w="1044" w:type="dxa"/>
            <w:vMerge w:val="restart"/>
            <w:vAlign w:val="center"/>
          </w:tcPr>
          <w:p w14:paraId="24784288">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2CBA8A2E">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2A515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continue"/>
            <w:vAlign w:val="center"/>
          </w:tcPr>
          <w:p w14:paraId="3C81DD12">
            <w:pPr>
              <w:spacing w:line="320" w:lineRule="exact"/>
              <w:jc w:val="left"/>
              <w:rPr>
                <w:color w:val="000000"/>
                <w:kern w:val="0"/>
                <w:sz w:val="18"/>
                <w:szCs w:val="18"/>
              </w:rPr>
            </w:pPr>
          </w:p>
        </w:tc>
        <w:tc>
          <w:tcPr>
            <w:tcW w:w="1753" w:type="dxa"/>
            <w:vMerge w:val="continue"/>
            <w:vAlign w:val="center"/>
          </w:tcPr>
          <w:p w14:paraId="01683420">
            <w:pPr>
              <w:spacing w:line="320" w:lineRule="exact"/>
              <w:jc w:val="left"/>
              <w:rPr>
                <w:color w:val="000000"/>
                <w:kern w:val="0"/>
                <w:sz w:val="18"/>
                <w:szCs w:val="18"/>
              </w:rPr>
            </w:pPr>
          </w:p>
        </w:tc>
        <w:tc>
          <w:tcPr>
            <w:tcW w:w="4387" w:type="dxa"/>
            <w:vAlign w:val="center"/>
          </w:tcPr>
          <w:p w14:paraId="3914F92F">
            <w:pPr>
              <w:spacing w:line="320" w:lineRule="exact"/>
              <w:jc w:val="left"/>
              <w:rPr>
                <w:color w:val="000000"/>
                <w:kern w:val="0"/>
                <w:sz w:val="18"/>
                <w:szCs w:val="18"/>
              </w:rPr>
            </w:pPr>
            <w:r>
              <w:rPr>
                <w:rFonts w:hint="eastAsia"/>
                <w:color w:val="000000"/>
                <w:kern w:val="0"/>
                <w:sz w:val="18"/>
                <w:szCs w:val="18"/>
              </w:rPr>
              <w:t>有违法所得的</w:t>
            </w:r>
          </w:p>
        </w:tc>
        <w:tc>
          <w:tcPr>
            <w:tcW w:w="1044" w:type="dxa"/>
            <w:vMerge w:val="continue"/>
            <w:vAlign w:val="center"/>
          </w:tcPr>
          <w:p w14:paraId="2F483E0C">
            <w:pPr>
              <w:spacing w:line="320" w:lineRule="exact"/>
              <w:jc w:val="left"/>
              <w:rPr>
                <w:color w:val="000000"/>
                <w:kern w:val="0"/>
                <w:sz w:val="18"/>
                <w:szCs w:val="18"/>
              </w:rPr>
            </w:pPr>
          </w:p>
        </w:tc>
        <w:tc>
          <w:tcPr>
            <w:tcW w:w="5820" w:type="dxa"/>
            <w:vAlign w:val="center"/>
          </w:tcPr>
          <w:p w14:paraId="2ED1820B">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05DFE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continue"/>
            <w:vAlign w:val="center"/>
          </w:tcPr>
          <w:p w14:paraId="7CB6A3E2">
            <w:pPr>
              <w:spacing w:line="320" w:lineRule="exact"/>
              <w:jc w:val="left"/>
              <w:rPr>
                <w:color w:val="000000"/>
                <w:kern w:val="0"/>
                <w:sz w:val="18"/>
                <w:szCs w:val="18"/>
              </w:rPr>
            </w:pPr>
          </w:p>
        </w:tc>
        <w:tc>
          <w:tcPr>
            <w:tcW w:w="1753" w:type="dxa"/>
            <w:vMerge w:val="restart"/>
            <w:vAlign w:val="center"/>
          </w:tcPr>
          <w:p w14:paraId="2DB8118C">
            <w:pPr>
              <w:spacing w:line="320" w:lineRule="exact"/>
              <w:jc w:val="left"/>
              <w:rPr>
                <w:color w:val="000000"/>
                <w:kern w:val="0"/>
                <w:sz w:val="18"/>
                <w:szCs w:val="18"/>
              </w:rPr>
            </w:pPr>
            <w:r>
              <w:rPr>
                <w:rFonts w:hint="eastAsia"/>
                <w:color w:val="000000"/>
                <w:kern w:val="0"/>
                <w:sz w:val="18"/>
                <w:szCs w:val="18"/>
              </w:rPr>
              <w:t>拒不停止违法行为的</w:t>
            </w:r>
          </w:p>
        </w:tc>
        <w:tc>
          <w:tcPr>
            <w:tcW w:w="4387" w:type="dxa"/>
            <w:vAlign w:val="center"/>
          </w:tcPr>
          <w:p w14:paraId="1F95DAF0">
            <w:pPr>
              <w:spacing w:line="320" w:lineRule="exact"/>
              <w:jc w:val="left"/>
              <w:rPr>
                <w:color w:val="000000"/>
                <w:kern w:val="0"/>
                <w:sz w:val="18"/>
                <w:szCs w:val="18"/>
              </w:rPr>
            </w:pPr>
            <w:r>
              <w:rPr>
                <w:rFonts w:hint="eastAsia"/>
                <w:color w:val="000000"/>
                <w:kern w:val="0"/>
                <w:sz w:val="18"/>
                <w:szCs w:val="18"/>
              </w:rPr>
              <w:t>没有违法所得的</w:t>
            </w:r>
          </w:p>
        </w:tc>
        <w:tc>
          <w:tcPr>
            <w:tcW w:w="1044" w:type="dxa"/>
            <w:vMerge w:val="continue"/>
            <w:vAlign w:val="center"/>
          </w:tcPr>
          <w:p w14:paraId="6F6E5BDB">
            <w:pPr>
              <w:spacing w:line="320" w:lineRule="exact"/>
              <w:jc w:val="left"/>
              <w:rPr>
                <w:color w:val="000000"/>
                <w:kern w:val="0"/>
                <w:sz w:val="18"/>
                <w:szCs w:val="18"/>
              </w:rPr>
            </w:pPr>
          </w:p>
        </w:tc>
        <w:tc>
          <w:tcPr>
            <w:tcW w:w="5820" w:type="dxa"/>
            <w:vAlign w:val="center"/>
          </w:tcPr>
          <w:p w14:paraId="21CB30CF">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18C6B1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continue"/>
            <w:tcBorders>
              <w:bottom w:val="single" w:color="auto" w:sz="8" w:space="0"/>
            </w:tcBorders>
            <w:vAlign w:val="center"/>
          </w:tcPr>
          <w:p w14:paraId="2128152C">
            <w:pPr>
              <w:spacing w:line="320" w:lineRule="exact"/>
              <w:jc w:val="left"/>
              <w:rPr>
                <w:color w:val="000000"/>
                <w:kern w:val="0"/>
                <w:sz w:val="18"/>
                <w:szCs w:val="18"/>
              </w:rPr>
            </w:pPr>
          </w:p>
        </w:tc>
        <w:tc>
          <w:tcPr>
            <w:tcW w:w="1753" w:type="dxa"/>
            <w:vMerge w:val="continue"/>
            <w:tcBorders>
              <w:bottom w:val="single" w:color="auto" w:sz="8" w:space="0"/>
            </w:tcBorders>
            <w:vAlign w:val="center"/>
          </w:tcPr>
          <w:p w14:paraId="745BD336">
            <w:pPr>
              <w:spacing w:line="320" w:lineRule="exact"/>
              <w:jc w:val="left"/>
              <w:rPr>
                <w:color w:val="000000"/>
                <w:kern w:val="0"/>
                <w:sz w:val="18"/>
                <w:szCs w:val="18"/>
              </w:rPr>
            </w:pPr>
          </w:p>
        </w:tc>
        <w:tc>
          <w:tcPr>
            <w:tcW w:w="4387" w:type="dxa"/>
            <w:tcBorders>
              <w:bottom w:val="single" w:color="auto" w:sz="8" w:space="0"/>
            </w:tcBorders>
            <w:vAlign w:val="center"/>
          </w:tcPr>
          <w:p w14:paraId="50B227ED">
            <w:pPr>
              <w:spacing w:line="320" w:lineRule="exact"/>
              <w:jc w:val="left"/>
              <w:rPr>
                <w:color w:val="000000"/>
                <w:kern w:val="0"/>
                <w:sz w:val="18"/>
                <w:szCs w:val="18"/>
              </w:rPr>
            </w:pPr>
            <w:r>
              <w:rPr>
                <w:rFonts w:hint="eastAsia"/>
                <w:color w:val="000000"/>
                <w:kern w:val="0"/>
                <w:sz w:val="18"/>
                <w:szCs w:val="18"/>
              </w:rPr>
              <w:t>有违法所得的</w:t>
            </w:r>
          </w:p>
        </w:tc>
        <w:tc>
          <w:tcPr>
            <w:tcW w:w="1044" w:type="dxa"/>
            <w:vMerge w:val="continue"/>
            <w:tcBorders>
              <w:bottom w:val="single" w:color="auto" w:sz="8" w:space="0"/>
            </w:tcBorders>
            <w:vAlign w:val="center"/>
          </w:tcPr>
          <w:p w14:paraId="2BB12FF0">
            <w:pPr>
              <w:spacing w:line="320" w:lineRule="exact"/>
              <w:jc w:val="left"/>
              <w:rPr>
                <w:color w:val="000000"/>
                <w:kern w:val="0"/>
                <w:sz w:val="18"/>
                <w:szCs w:val="18"/>
              </w:rPr>
            </w:pPr>
          </w:p>
        </w:tc>
        <w:tc>
          <w:tcPr>
            <w:tcW w:w="5820" w:type="dxa"/>
            <w:tcBorders>
              <w:bottom w:val="single" w:color="auto" w:sz="8" w:space="0"/>
            </w:tcBorders>
            <w:vAlign w:val="center"/>
          </w:tcPr>
          <w:p w14:paraId="02B22A09">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33C7E8DF"/>
    <w:p w14:paraId="3A48B709"/>
    <w:p w14:paraId="79518840"/>
    <w:p w14:paraId="05E4659C"/>
    <w:p w14:paraId="70CCDEA2"/>
    <w:p w14:paraId="18CB18F0"/>
    <w:p w14:paraId="3FA6A9FE"/>
    <w:p w14:paraId="143B7D34"/>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7C5116E9">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2810FF9">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2EF63E0A">
            <w:pPr>
              <w:jc w:val="left"/>
              <w:textAlignment w:val="center"/>
              <w:rPr>
                <w:rFonts w:eastAsia="仿宋_GB2312"/>
                <w:b/>
                <w:bCs/>
                <w:color w:val="000000"/>
                <w:kern w:val="0"/>
                <w:sz w:val="18"/>
                <w:szCs w:val="18"/>
              </w:rPr>
            </w:pPr>
            <w:r>
              <w:rPr>
                <w:rFonts w:eastAsia="仿宋_GB2312"/>
                <w:b/>
                <w:color w:val="000000"/>
                <w:kern w:val="0"/>
                <w:sz w:val="20"/>
              </w:rPr>
              <w:t>320217198000</w:t>
            </w:r>
          </w:p>
        </w:tc>
      </w:tr>
      <w:tr w14:paraId="07BB664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6719ACD">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641E6E89">
            <w:pPr>
              <w:spacing w:line="320" w:lineRule="exact"/>
              <w:jc w:val="left"/>
              <w:rPr>
                <w:color w:val="000000"/>
                <w:kern w:val="0"/>
                <w:sz w:val="18"/>
                <w:szCs w:val="18"/>
              </w:rPr>
            </w:pPr>
            <w:r>
              <w:rPr>
                <w:rFonts w:hint="eastAsia"/>
                <w:color w:val="000000"/>
                <w:kern w:val="0"/>
                <w:sz w:val="18"/>
                <w:szCs w:val="18"/>
              </w:rPr>
              <w:t>对注册监理工程师未办理变更注册仍执业的处罚</w:t>
            </w:r>
          </w:p>
        </w:tc>
      </w:tr>
      <w:tr w14:paraId="2D1E270D">
        <w:tblPrEx>
          <w:tblCellMar>
            <w:top w:w="0" w:type="dxa"/>
            <w:left w:w="108" w:type="dxa"/>
            <w:bottom w:w="0" w:type="dxa"/>
            <w:right w:w="108" w:type="dxa"/>
          </w:tblCellMar>
        </w:tblPrEx>
        <w:trPr>
          <w:trHeight w:val="1230" w:hRule="atLeast"/>
        </w:trPr>
        <w:tc>
          <w:tcPr>
            <w:tcW w:w="1056" w:type="dxa"/>
            <w:tcBorders>
              <w:top w:val="nil"/>
              <w:left w:val="single" w:color="auto" w:sz="8" w:space="0"/>
              <w:bottom w:val="single" w:color="auto" w:sz="4" w:space="0"/>
              <w:right w:val="single" w:color="auto" w:sz="4" w:space="0"/>
            </w:tcBorders>
            <w:vAlign w:val="center"/>
          </w:tcPr>
          <w:p w14:paraId="7381A58B">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34E0A907">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第十二条第一款</w:t>
            </w:r>
            <w:r>
              <w:rPr>
                <w:color w:val="000000"/>
                <w:kern w:val="0"/>
                <w:sz w:val="18"/>
                <w:szCs w:val="18"/>
              </w:rPr>
              <w:t xml:space="preserve">  </w:t>
            </w:r>
            <w:r>
              <w:rPr>
                <w:rFonts w:hint="eastAsia"/>
                <w:color w:val="000000"/>
                <w:kern w:val="0"/>
                <w:sz w:val="18"/>
                <w:szCs w:val="18"/>
              </w:rPr>
              <w:t>在注册有效期内，注册监理工程师变更执业单位，应当与原聘用单位解除劳动关系，并按本规定第七条规定的程序办理变更注册手续，变更注册后仍延续原注册有效期。</w:t>
            </w:r>
            <w:r>
              <w:rPr>
                <w:color w:val="000000"/>
                <w:kern w:val="0"/>
                <w:sz w:val="18"/>
                <w:szCs w:val="18"/>
              </w:rPr>
              <w:br w:type="textWrapping"/>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违反本规定，未办理变更注册仍执业的，由县级以上地方人民政府建设主管部门给予警告，责令限期改正；逾期不改的，可处以</w:t>
            </w:r>
            <w:r>
              <w:rPr>
                <w:color w:val="000000"/>
                <w:kern w:val="0"/>
                <w:sz w:val="18"/>
                <w:szCs w:val="18"/>
              </w:rPr>
              <w:t>5000</w:t>
            </w:r>
            <w:r>
              <w:rPr>
                <w:rFonts w:hint="eastAsia"/>
                <w:color w:val="000000"/>
                <w:kern w:val="0"/>
                <w:sz w:val="18"/>
                <w:szCs w:val="18"/>
              </w:rPr>
              <w:t>元以下的罚款。</w:t>
            </w:r>
          </w:p>
        </w:tc>
      </w:tr>
      <w:tr w14:paraId="40B22D1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3BD6D2E">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75B01199">
            <w:pPr>
              <w:spacing w:line="320" w:lineRule="exact"/>
              <w:jc w:val="left"/>
              <w:rPr>
                <w:color w:val="000000"/>
                <w:kern w:val="0"/>
                <w:sz w:val="18"/>
                <w:szCs w:val="18"/>
              </w:rPr>
            </w:pPr>
            <w:r>
              <w:rPr>
                <w:rFonts w:hint="eastAsia"/>
                <w:color w:val="000000"/>
                <w:kern w:val="0"/>
                <w:sz w:val="18"/>
                <w:szCs w:val="18"/>
              </w:rPr>
              <w:t>警告，罚款</w:t>
            </w:r>
          </w:p>
        </w:tc>
      </w:tr>
      <w:tr w14:paraId="7F9959C5">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7F5A308D">
            <w:pPr>
              <w:spacing w:line="320" w:lineRule="exact"/>
              <w:jc w:val="center"/>
              <w:rPr>
                <w:color w:val="000000"/>
                <w:kern w:val="0"/>
                <w:sz w:val="18"/>
                <w:szCs w:val="18"/>
              </w:rPr>
            </w:pPr>
            <w:r>
              <w:rPr>
                <w:rFonts w:hint="eastAsia"/>
                <w:color w:val="000000"/>
                <w:kern w:val="0"/>
                <w:sz w:val="18"/>
                <w:szCs w:val="18"/>
              </w:rPr>
              <w:t>裁量基准</w:t>
            </w:r>
          </w:p>
        </w:tc>
      </w:tr>
      <w:tr w14:paraId="48A16EBB">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right w:val="single" w:color="auto" w:sz="4" w:space="0"/>
            </w:tcBorders>
            <w:vAlign w:val="center"/>
          </w:tcPr>
          <w:p w14:paraId="601CFAC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F777C59">
            <w:pPr>
              <w:spacing w:line="320" w:lineRule="exact"/>
              <w:jc w:val="left"/>
              <w:rPr>
                <w:color w:val="000000"/>
                <w:kern w:val="0"/>
                <w:sz w:val="18"/>
                <w:szCs w:val="18"/>
              </w:rPr>
            </w:pPr>
            <w:r>
              <w:rPr>
                <w:rFonts w:hint="eastAsia"/>
                <w:color w:val="000000"/>
                <w:kern w:val="0"/>
                <w:sz w:val="18"/>
                <w:szCs w:val="18"/>
              </w:rPr>
              <w:t>逾期不改正，有正当理由的</w:t>
            </w:r>
          </w:p>
        </w:tc>
        <w:tc>
          <w:tcPr>
            <w:tcW w:w="1044" w:type="dxa"/>
            <w:vMerge w:val="restart"/>
            <w:tcBorders>
              <w:top w:val="nil"/>
              <w:left w:val="nil"/>
              <w:right w:val="single" w:color="auto" w:sz="4" w:space="0"/>
            </w:tcBorders>
            <w:vAlign w:val="center"/>
          </w:tcPr>
          <w:p w14:paraId="73D5E793">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44F2E81">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元以下罚款</w:t>
            </w:r>
          </w:p>
        </w:tc>
      </w:tr>
      <w:tr w14:paraId="439743CD">
        <w:tblPrEx>
          <w:tblCellMar>
            <w:top w:w="0" w:type="dxa"/>
            <w:left w:w="108" w:type="dxa"/>
            <w:bottom w:w="0" w:type="dxa"/>
            <w:right w:w="108" w:type="dxa"/>
          </w:tblCellMar>
        </w:tblPrEx>
        <w:trPr>
          <w:trHeight w:val="285" w:hRule="atLeast"/>
        </w:trPr>
        <w:tc>
          <w:tcPr>
            <w:tcW w:w="1056" w:type="dxa"/>
            <w:vMerge w:val="continue"/>
            <w:tcBorders>
              <w:left w:val="single" w:color="auto" w:sz="8" w:space="0"/>
              <w:bottom w:val="single" w:color="auto" w:sz="4" w:space="0"/>
              <w:right w:val="single" w:color="auto" w:sz="4" w:space="0"/>
            </w:tcBorders>
            <w:vAlign w:val="center"/>
          </w:tcPr>
          <w:p w14:paraId="3BE7B514">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41ADC9A">
            <w:pPr>
              <w:spacing w:line="320" w:lineRule="exact"/>
              <w:jc w:val="left"/>
              <w:rPr>
                <w:color w:val="000000"/>
                <w:kern w:val="0"/>
                <w:sz w:val="18"/>
                <w:szCs w:val="18"/>
              </w:rPr>
            </w:pPr>
            <w:r>
              <w:rPr>
                <w:rFonts w:hint="eastAsia"/>
                <w:color w:val="000000"/>
                <w:kern w:val="0"/>
                <w:sz w:val="18"/>
                <w:szCs w:val="18"/>
              </w:rPr>
              <w:t>逾期不改正，无正当理由的</w:t>
            </w:r>
          </w:p>
        </w:tc>
        <w:tc>
          <w:tcPr>
            <w:tcW w:w="1044" w:type="dxa"/>
            <w:vMerge w:val="continue"/>
            <w:tcBorders>
              <w:left w:val="nil"/>
              <w:bottom w:val="single" w:color="auto" w:sz="4" w:space="0"/>
              <w:right w:val="single" w:color="auto" w:sz="4" w:space="0"/>
            </w:tcBorders>
            <w:vAlign w:val="center"/>
          </w:tcPr>
          <w:p w14:paraId="2BD366FF">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6587403">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0E553211"/>
    <w:p w14:paraId="158BEA76"/>
    <w:p w14:paraId="62822F1D"/>
    <w:p w14:paraId="1D76A566"/>
    <w:p w14:paraId="04D3F075"/>
    <w:p w14:paraId="0257C5CB"/>
    <w:p w14:paraId="5953373A"/>
    <w:p w14:paraId="058D594A"/>
    <w:p w14:paraId="07379CA4"/>
    <w:p w14:paraId="26729277"/>
    <w:p w14:paraId="43E397B9"/>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050A5D07">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9C87A9E">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1868FC16">
            <w:pPr>
              <w:jc w:val="left"/>
              <w:textAlignment w:val="center"/>
              <w:rPr>
                <w:rFonts w:eastAsia="仿宋_GB2312"/>
                <w:b/>
                <w:bCs/>
                <w:color w:val="000000"/>
                <w:kern w:val="0"/>
                <w:sz w:val="18"/>
                <w:szCs w:val="18"/>
              </w:rPr>
            </w:pPr>
            <w:r>
              <w:rPr>
                <w:rFonts w:eastAsia="仿宋_GB2312"/>
                <w:b/>
                <w:color w:val="000000"/>
                <w:kern w:val="0"/>
                <w:sz w:val="20"/>
              </w:rPr>
              <w:t>320217199000</w:t>
            </w:r>
          </w:p>
        </w:tc>
      </w:tr>
      <w:tr w14:paraId="0ED1F5BA">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7FC6E56">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7BFF91A2">
            <w:pPr>
              <w:spacing w:line="320" w:lineRule="exact"/>
              <w:jc w:val="left"/>
              <w:rPr>
                <w:color w:val="000000"/>
                <w:kern w:val="0"/>
                <w:sz w:val="18"/>
                <w:szCs w:val="18"/>
              </w:rPr>
            </w:pPr>
            <w:r>
              <w:rPr>
                <w:rFonts w:hint="eastAsia"/>
                <w:color w:val="000000"/>
                <w:kern w:val="0"/>
                <w:sz w:val="18"/>
                <w:szCs w:val="18"/>
              </w:rPr>
              <w:t>对建筑业企业以其他企业的名义承揽工程的处罚</w:t>
            </w:r>
          </w:p>
        </w:tc>
      </w:tr>
      <w:tr w14:paraId="0C299218">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1A9DB00B">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652183E8">
            <w:pPr>
              <w:spacing w:line="320" w:lineRule="exact"/>
              <w:ind w:firstLine="180" w:firstLineChars="10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14:paraId="0AE8DF64">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企业申请建筑业企业资质升级、资质增项，在申请之日起前一年至资质许可决定作出前，有下列情形之一的，资质许可机关不予批准其建筑业企业资质升级申请和增项申请：</w:t>
            </w:r>
          </w:p>
          <w:p w14:paraId="1B8B0C9D">
            <w:pPr>
              <w:spacing w:line="320" w:lineRule="exact"/>
              <w:jc w:val="left"/>
              <w:rPr>
                <w:color w:val="000000"/>
                <w:kern w:val="0"/>
                <w:sz w:val="18"/>
                <w:szCs w:val="18"/>
              </w:rPr>
            </w:pPr>
            <w:r>
              <w:rPr>
                <w:rFonts w:hint="eastAsia"/>
                <w:color w:val="000000"/>
                <w:kern w:val="0"/>
                <w:sz w:val="18"/>
                <w:szCs w:val="18"/>
              </w:rPr>
              <w:t>　　（一）超越本企业资质等级或以其他企业的名义承揽工程，或允许其他企业或个人以本企业的名义承揽工程的；</w:t>
            </w:r>
          </w:p>
          <w:p w14:paraId="1D2D0D32">
            <w:pPr>
              <w:spacing w:line="320" w:lineRule="exact"/>
              <w:jc w:val="left"/>
              <w:rPr>
                <w:color w:val="000000"/>
                <w:kern w:val="0"/>
                <w:sz w:val="18"/>
                <w:szCs w:val="18"/>
              </w:rPr>
            </w:pPr>
            <w:r>
              <w:rPr>
                <w:rFonts w:hint="eastAsia"/>
                <w:color w:val="000000"/>
                <w:kern w:val="0"/>
                <w:sz w:val="18"/>
                <w:szCs w:val="18"/>
              </w:rPr>
              <w:t>　　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25D2C649">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A30646C">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1DE03CFA">
            <w:pPr>
              <w:spacing w:line="320" w:lineRule="exact"/>
              <w:jc w:val="left"/>
              <w:rPr>
                <w:color w:val="000000"/>
                <w:kern w:val="0"/>
                <w:sz w:val="18"/>
                <w:szCs w:val="18"/>
              </w:rPr>
            </w:pPr>
            <w:r>
              <w:rPr>
                <w:rFonts w:hint="eastAsia"/>
                <w:color w:val="000000"/>
                <w:kern w:val="0"/>
                <w:sz w:val="18"/>
                <w:szCs w:val="18"/>
              </w:rPr>
              <w:t>警告；罚款；责令改正</w:t>
            </w:r>
          </w:p>
        </w:tc>
      </w:tr>
      <w:tr w14:paraId="608C7EF3">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0900425B">
            <w:pPr>
              <w:spacing w:line="320" w:lineRule="exact"/>
              <w:jc w:val="center"/>
              <w:rPr>
                <w:color w:val="000000"/>
                <w:kern w:val="0"/>
                <w:sz w:val="18"/>
                <w:szCs w:val="18"/>
              </w:rPr>
            </w:pPr>
            <w:r>
              <w:rPr>
                <w:rFonts w:hint="eastAsia"/>
                <w:color w:val="000000"/>
                <w:kern w:val="0"/>
                <w:sz w:val="18"/>
                <w:szCs w:val="18"/>
              </w:rPr>
              <w:t>裁量基准</w:t>
            </w:r>
          </w:p>
        </w:tc>
      </w:tr>
      <w:tr w14:paraId="3EA7F174">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298AAC7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67C96C1">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nil"/>
              <w:left w:val="single" w:color="auto" w:sz="4" w:space="0"/>
              <w:bottom w:val="single" w:color="auto" w:sz="4" w:space="0"/>
              <w:right w:val="single" w:color="auto" w:sz="4" w:space="0"/>
            </w:tcBorders>
            <w:vAlign w:val="center"/>
          </w:tcPr>
          <w:p w14:paraId="71952E59">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1F8F21F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6B3BB11B">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60DDDC8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4FF5C06">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val="continue"/>
            <w:tcBorders>
              <w:top w:val="nil"/>
              <w:left w:val="single" w:color="auto" w:sz="4" w:space="0"/>
              <w:bottom w:val="single" w:color="auto" w:sz="4" w:space="0"/>
              <w:right w:val="single" w:color="auto" w:sz="4" w:space="0"/>
            </w:tcBorders>
            <w:vAlign w:val="center"/>
          </w:tcPr>
          <w:p w14:paraId="7FBDDFD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41BD8E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2E52B2B8">
        <w:tblPrEx>
          <w:tblCellMar>
            <w:top w:w="0" w:type="dxa"/>
            <w:left w:w="108" w:type="dxa"/>
            <w:bottom w:w="0" w:type="dxa"/>
            <w:right w:w="108" w:type="dxa"/>
          </w:tblCellMar>
        </w:tblPrEx>
        <w:trPr>
          <w:trHeight w:val="480" w:hRule="atLeast"/>
        </w:trPr>
        <w:tc>
          <w:tcPr>
            <w:tcW w:w="1070" w:type="dxa"/>
            <w:vMerge w:val="continue"/>
            <w:tcBorders>
              <w:top w:val="nil"/>
              <w:left w:val="single" w:color="auto" w:sz="8" w:space="0"/>
              <w:bottom w:val="single" w:color="auto" w:sz="4" w:space="0"/>
              <w:right w:val="single" w:color="auto" w:sz="4" w:space="0"/>
            </w:tcBorders>
            <w:vAlign w:val="center"/>
          </w:tcPr>
          <w:p w14:paraId="0EA001D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A853BAD">
            <w:pPr>
              <w:spacing w:line="320" w:lineRule="exact"/>
              <w:jc w:val="left"/>
              <w:rPr>
                <w:color w:val="000000"/>
                <w:kern w:val="0"/>
                <w:sz w:val="18"/>
                <w:szCs w:val="18"/>
              </w:rPr>
            </w:pPr>
            <w:r>
              <w:rPr>
                <w:rFonts w:hint="eastAsia"/>
                <w:color w:val="000000"/>
                <w:kern w:val="0"/>
                <w:sz w:val="18"/>
                <w:szCs w:val="18"/>
              </w:rPr>
              <w:t>承揽工程任务后发生事故的</w:t>
            </w:r>
          </w:p>
        </w:tc>
        <w:tc>
          <w:tcPr>
            <w:tcW w:w="1080" w:type="dxa"/>
            <w:vMerge w:val="continue"/>
            <w:tcBorders>
              <w:top w:val="nil"/>
              <w:left w:val="single" w:color="auto" w:sz="4" w:space="0"/>
              <w:bottom w:val="single" w:color="auto" w:sz="4" w:space="0"/>
              <w:right w:val="single" w:color="auto" w:sz="4" w:space="0"/>
            </w:tcBorders>
            <w:vAlign w:val="center"/>
          </w:tcPr>
          <w:p w14:paraId="1C79A6D8">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6B96D4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71028E1F"/>
    <w:p w14:paraId="049771FF"/>
    <w:p w14:paraId="746887F2"/>
    <w:p w14:paraId="2E4F0665"/>
    <w:p w14:paraId="6F6BCBB8"/>
    <w:p w14:paraId="17D01E72"/>
    <w:p w14:paraId="658BE648"/>
    <w:p w14:paraId="1A896E61"/>
    <w:p w14:paraId="4FC39EDF"/>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330D9181">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36DB51AB">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0BBFE094">
            <w:pPr>
              <w:spacing w:line="320" w:lineRule="exact"/>
              <w:jc w:val="left"/>
              <w:rPr>
                <w:rFonts w:eastAsia="仿宋_GB2312"/>
                <w:b/>
                <w:bCs/>
                <w:color w:val="000000"/>
                <w:kern w:val="0"/>
                <w:sz w:val="18"/>
                <w:szCs w:val="18"/>
              </w:rPr>
            </w:pPr>
            <w:r>
              <w:rPr>
                <w:rFonts w:eastAsia="仿宋_GB2312"/>
                <w:b/>
                <w:bCs/>
                <w:color w:val="000000"/>
                <w:kern w:val="0"/>
                <w:sz w:val="18"/>
                <w:szCs w:val="18"/>
              </w:rPr>
              <w:t>320217200000</w:t>
            </w:r>
            <w:r>
              <w:rPr>
                <w:rFonts w:hint="eastAsia" w:eastAsia="仿宋_GB2312"/>
                <w:b/>
                <w:bCs/>
                <w:color w:val="000000"/>
                <w:kern w:val="0"/>
                <w:sz w:val="18"/>
                <w:szCs w:val="18"/>
              </w:rPr>
              <w:t xml:space="preserve"> </w:t>
            </w:r>
          </w:p>
        </w:tc>
      </w:tr>
      <w:tr w14:paraId="6989AE24">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0DA4BCE3">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159DE673">
            <w:pPr>
              <w:spacing w:line="320" w:lineRule="exact"/>
              <w:jc w:val="left"/>
              <w:rPr>
                <w:color w:val="000000"/>
                <w:kern w:val="0"/>
                <w:sz w:val="18"/>
                <w:szCs w:val="18"/>
              </w:rPr>
            </w:pPr>
            <w:r>
              <w:rPr>
                <w:rFonts w:hint="eastAsia"/>
                <w:color w:val="000000"/>
                <w:kern w:val="0"/>
                <w:sz w:val="18"/>
                <w:szCs w:val="18"/>
              </w:rPr>
              <w:t>对施工单位在尚未竣工的建筑物内设置员工集体宿舍的处罚</w:t>
            </w:r>
          </w:p>
        </w:tc>
      </w:tr>
      <w:tr w14:paraId="5CFAFF5D">
        <w:tblPrEx>
          <w:tblCellMar>
            <w:top w:w="0" w:type="dxa"/>
            <w:left w:w="108" w:type="dxa"/>
            <w:bottom w:w="0" w:type="dxa"/>
            <w:right w:w="108" w:type="dxa"/>
          </w:tblCellMar>
        </w:tblPrEx>
        <w:trPr>
          <w:trHeight w:val="1575" w:hRule="atLeast"/>
        </w:trPr>
        <w:tc>
          <w:tcPr>
            <w:tcW w:w="1026" w:type="dxa"/>
            <w:tcBorders>
              <w:top w:val="nil"/>
              <w:left w:val="single" w:color="auto" w:sz="8" w:space="0"/>
              <w:bottom w:val="single" w:color="auto" w:sz="4" w:space="0"/>
              <w:right w:val="single" w:color="auto" w:sz="4" w:space="0"/>
            </w:tcBorders>
            <w:vAlign w:val="center"/>
          </w:tcPr>
          <w:p w14:paraId="2DF90C9E">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7D10909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36228DD4">
            <w:pPr>
              <w:spacing w:line="320" w:lineRule="exact"/>
              <w:jc w:val="left"/>
              <w:rPr>
                <w:color w:val="000000"/>
                <w:kern w:val="0"/>
                <w:sz w:val="18"/>
                <w:szCs w:val="18"/>
              </w:rPr>
            </w:pPr>
            <w:r>
              <w:rPr>
                <w:rFonts w:hint="eastAsia"/>
                <w:color w:val="000000"/>
                <w:kern w:val="0"/>
                <w:sz w:val="18"/>
                <w:szCs w:val="18"/>
              </w:rPr>
              <w:t>第二十九条第一款　施工单位应当将施工现场的办公、生活区与作业区分开设置，并保持安全距离；办公、生活区的选址应当符合安全性要求。职工的膳食、饮水、休息场所等应当符合卫生标准。施工单位不得在尚未竣工的建筑物内设置员工集体宿舍。</w:t>
            </w:r>
          </w:p>
          <w:p w14:paraId="1B6F4A4A">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p>
          <w:p w14:paraId="75CC661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（三）在尚未竣工的建筑物内设置员工集体宿舍的。</w:t>
            </w:r>
          </w:p>
          <w:p w14:paraId="7440BEBD">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470BEF97">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2D04C868">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6E5E21FB">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w:t>
            </w:r>
          </w:p>
        </w:tc>
      </w:tr>
      <w:tr w14:paraId="7CCBF7CB">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1279C8D2">
            <w:pPr>
              <w:spacing w:line="320" w:lineRule="exact"/>
              <w:jc w:val="center"/>
              <w:rPr>
                <w:color w:val="000000"/>
                <w:kern w:val="0"/>
                <w:sz w:val="18"/>
                <w:szCs w:val="18"/>
              </w:rPr>
            </w:pPr>
            <w:r>
              <w:rPr>
                <w:rFonts w:hint="eastAsia"/>
                <w:color w:val="000000"/>
                <w:kern w:val="0"/>
                <w:sz w:val="18"/>
                <w:szCs w:val="18"/>
              </w:rPr>
              <w:t>裁量基准</w:t>
            </w:r>
          </w:p>
        </w:tc>
      </w:tr>
      <w:tr w14:paraId="52C0E310">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bottom w:val="single" w:color="auto" w:sz="4" w:space="0"/>
              <w:right w:val="single" w:color="auto" w:sz="4" w:space="0"/>
            </w:tcBorders>
            <w:vAlign w:val="center"/>
          </w:tcPr>
          <w:p w14:paraId="186FF67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DCBD280">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color="auto" w:sz="4" w:space="0"/>
              <w:bottom w:val="single" w:color="auto" w:sz="4" w:space="0"/>
              <w:right w:val="single" w:color="auto" w:sz="4" w:space="0"/>
            </w:tcBorders>
            <w:vAlign w:val="center"/>
          </w:tcPr>
          <w:p w14:paraId="3FC2647F">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4060EC1B">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098DF4E2">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3324631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75DF5A7">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val="continue"/>
            <w:tcBorders>
              <w:top w:val="nil"/>
              <w:left w:val="single" w:color="auto" w:sz="4" w:space="0"/>
              <w:bottom w:val="single" w:color="auto" w:sz="4" w:space="0"/>
              <w:right w:val="single" w:color="auto" w:sz="4" w:space="0"/>
            </w:tcBorders>
            <w:vAlign w:val="center"/>
          </w:tcPr>
          <w:p w14:paraId="3D837322">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4B2E9473">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71480CA0"/>
    <w:p w14:paraId="3499347C"/>
    <w:p w14:paraId="0509F488"/>
    <w:p w14:paraId="2C1BE66E"/>
    <w:p w14:paraId="0700EB98"/>
    <w:p w14:paraId="1517904A"/>
    <w:p w14:paraId="3E859C10"/>
    <w:p w14:paraId="02F0BEC3"/>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0BA324D1">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5F7023C4">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10568D01">
            <w:pPr>
              <w:spacing w:line="320" w:lineRule="exact"/>
              <w:jc w:val="left"/>
              <w:rPr>
                <w:rFonts w:eastAsia="仿宋_GB2312"/>
                <w:b/>
                <w:bCs/>
                <w:color w:val="000000"/>
                <w:kern w:val="0"/>
                <w:sz w:val="18"/>
                <w:szCs w:val="18"/>
              </w:rPr>
            </w:pPr>
            <w:r>
              <w:rPr>
                <w:rFonts w:eastAsia="仿宋_GB2312"/>
                <w:b/>
                <w:bCs/>
                <w:color w:val="000000"/>
                <w:kern w:val="0"/>
                <w:sz w:val="18"/>
                <w:szCs w:val="18"/>
              </w:rPr>
              <w:t>320217201000</w:t>
            </w:r>
          </w:p>
        </w:tc>
      </w:tr>
      <w:tr w14:paraId="48C25A45">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1DC1AC27">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0EDDF871">
            <w:pPr>
              <w:spacing w:line="320" w:lineRule="exact"/>
              <w:jc w:val="left"/>
              <w:rPr>
                <w:color w:val="000000"/>
                <w:kern w:val="0"/>
                <w:sz w:val="18"/>
                <w:szCs w:val="18"/>
              </w:rPr>
            </w:pPr>
            <w:r>
              <w:rPr>
                <w:rFonts w:hint="eastAsia"/>
                <w:color w:val="000000"/>
                <w:kern w:val="0"/>
                <w:sz w:val="18"/>
                <w:szCs w:val="18"/>
              </w:rPr>
              <w:t>对工程监理单位对不符合施工图设计文件要求的墙体材料、保温材料、门窗、采暖制冷系统和照明设备，按照符合施工图设计文件要求签字的处罚</w:t>
            </w:r>
          </w:p>
        </w:tc>
      </w:tr>
      <w:tr w14:paraId="428B9344">
        <w:tblPrEx>
          <w:tblCellMar>
            <w:top w:w="0" w:type="dxa"/>
            <w:left w:w="108" w:type="dxa"/>
            <w:bottom w:w="0" w:type="dxa"/>
            <w:right w:w="108" w:type="dxa"/>
          </w:tblCellMar>
        </w:tblPrEx>
        <w:trPr>
          <w:trHeight w:val="2550" w:hRule="atLeast"/>
        </w:trPr>
        <w:tc>
          <w:tcPr>
            <w:tcW w:w="1050" w:type="dxa"/>
            <w:tcBorders>
              <w:top w:val="nil"/>
              <w:left w:val="single" w:color="auto" w:sz="8" w:space="0"/>
              <w:bottom w:val="single" w:color="auto" w:sz="4" w:space="0"/>
              <w:right w:val="single" w:color="auto" w:sz="4" w:space="0"/>
            </w:tcBorders>
            <w:vAlign w:val="center"/>
          </w:tcPr>
          <w:p w14:paraId="45B19B47">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45CDE6F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14:paraId="2AF445FA">
            <w:pPr>
              <w:spacing w:line="320" w:lineRule="exact"/>
              <w:jc w:val="left"/>
              <w:rPr>
                <w:color w:val="000000"/>
                <w:kern w:val="0"/>
                <w:sz w:val="18"/>
                <w:szCs w:val="18"/>
              </w:rPr>
            </w:pPr>
            <w:r>
              <w:rPr>
                <w:rFonts w:hint="eastAsia"/>
                <w:color w:val="000000"/>
                <w:kern w:val="0"/>
                <w:sz w:val="18"/>
                <w:szCs w:val="18"/>
              </w:rPr>
              <w:t>第四十二条第二款　对不符合施工图设计文件要求的墙体材料、保温材料、门窗、采暖制冷系统和照明设备，按照符合施工图设计文件要求签字的，依照《建设工程质量管理条例》第六十七条的规定处罚。</w:t>
            </w:r>
          </w:p>
          <w:p w14:paraId="3CE2DA60">
            <w:pPr>
              <w:spacing w:line="32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1B50AB58">
            <w:pPr>
              <w:spacing w:line="320" w:lineRule="exact"/>
              <w:jc w:val="left"/>
              <w:rPr>
                <w:color w:val="000000"/>
                <w:kern w:val="0"/>
                <w:sz w:val="18"/>
                <w:szCs w:val="18"/>
              </w:rPr>
            </w:pPr>
            <w:r>
              <w:rPr>
                <w:rFonts w:hint="eastAsia"/>
                <w:color w:val="000000"/>
                <w:kern w:val="0"/>
                <w:sz w:val="18"/>
                <w:szCs w:val="18"/>
              </w:rPr>
              <w:t>第六十七条　工程监理单位有下列行为之一的，责令改正，处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万元以下的罚款，降低资质等级或者吊销资质证书；有违法所得的，予以没收；造成损失的，承担连带赔偿责任：</w:t>
            </w:r>
          </w:p>
          <w:p w14:paraId="051725F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（二）将不合格的建设工程、建筑材料、建筑构配件和设备按照合格签字的。</w:t>
            </w:r>
          </w:p>
        </w:tc>
      </w:tr>
      <w:tr w14:paraId="4FD5B579">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58A08C2B">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61F2EF28">
            <w:pPr>
              <w:spacing w:line="320" w:lineRule="exact"/>
              <w:jc w:val="left"/>
              <w:rPr>
                <w:color w:val="000000"/>
                <w:kern w:val="0"/>
                <w:sz w:val="18"/>
                <w:szCs w:val="18"/>
              </w:rPr>
            </w:pPr>
            <w:r>
              <w:rPr>
                <w:rFonts w:hint="eastAsia"/>
                <w:color w:val="000000"/>
                <w:kern w:val="0"/>
                <w:sz w:val="18"/>
                <w:szCs w:val="18"/>
              </w:rPr>
              <w:t>罚款，没收违法所得，降低资质等级，吊销资质证书</w:t>
            </w:r>
          </w:p>
        </w:tc>
      </w:tr>
      <w:tr w14:paraId="3628DF8B">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1B1DAD2">
            <w:pPr>
              <w:spacing w:line="320" w:lineRule="exact"/>
              <w:jc w:val="center"/>
              <w:rPr>
                <w:color w:val="000000"/>
                <w:kern w:val="0"/>
                <w:sz w:val="18"/>
                <w:szCs w:val="18"/>
              </w:rPr>
            </w:pPr>
            <w:r>
              <w:rPr>
                <w:rFonts w:hint="eastAsia"/>
                <w:color w:val="000000"/>
                <w:kern w:val="0"/>
                <w:sz w:val="18"/>
                <w:szCs w:val="18"/>
              </w:rPr>
              <w:t>裁量基准</w:t>
            </w:r>
          </w:p>
        </w:tc>
      </w:tr>
      <w:tr w14:paraId="7F07E92F">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nil"/>
              <w:right w:val="single" w:color="auto" w:sz="4" w:space="0"/>
            </w:tcBorders>
            <w:vAlign w:val="center"/>
          </w:tcPr>
          <w:p w14:paraId="17707F3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3F52107D">
            <w:pPr>
              <w:spacing w:line="320" w:lineRule="exact"/>
              <w:jc w:val="left"/>
              <w:rPr>
                <w:color w:val="000000"/>
                <w:kern w:val="0"/>
                <w:sz w:val="18"/>
                <w:szCs w:val="18"/>
              </w:rPr>
            </w:pPr>
            <w:r>
              <w:rPr>
                <w:rFonts w:hint="eastAsia"/>
                <w:color w:val="000000"/>
                <w:kern w:val="0"/>
                <w:sz w:val="18"/>
                <w:szCs w:val="18"/>
              </w:rPr>
              <w:t>按照要求改正且未投入使用的</w:t>
            </w:r>
          </w:p>
        </w:tc>
        <w:tc>
          <w:tcPr>
            <w:tcW w:w="1100" w:type="dxa"/>
            <w:vMerge w:val="restart"/>
            <w:tcBorders>
              <w:top w:val="nil"/>
              <w:left w:val="single" w:color="auto" w:sz="4" w:space="0"/>
              <w:bottom w:val="nil"/>
              <w:right w:val="single" w:color="auto" w:sz="4" w:space="0"/>
            </w:tcBorders>
            <w:vAlign w:val="center"/>
          </w:tcPr>
          <w:p w14:paraId="28563D7D">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D3AF32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w:t>
            </w:r>
            <w:r>
              <w:rPr>
                <w:rFonts w:hint="eastAsia"/>
                <w:color w:val="000000"/>
                <w:kern w:val="0"/>
                <w:sz w:val="18"/>
                <w:szCs w:val="18"/>
              </w:rPr>
              <w:t>万元以上</w:t>
            </w:r>
            <w:r>
              <w:rPr>
                <w:color w:val="000000"/>
                <w:kern w:val="0"/>
                <w:sz w:val="18"/>
                <w:szCs w:val="18"/>
              </w:rPr>
              <w:t>60</w:t>
            </w:r>
            <w:r>
              <w:rPr>
                <w:rFonts w:hint="eastAsia"/>
                <w:color w:val="000000"/>
                <w:kern w:val="0"/>
                <w:sz w:val="18"/>
                <w:szCs w:val="18"/>
              </w:rPr>
              <w:t>万元以下的罚款，降低资质等级</w:t>
            </w:r>
          </w:p>
        </w:tc>
      </w:tr>
      <w:tr w14:paraId="01A26F68">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nil"/>
              <w:right w:val="single" w:color="auto" w:sz="4" w:space="0"/>
            </w:tcBorders>
            <w:vAlign w:val="center"/>
          </w:tcPr>
          <w:p w14:paraId="5C97608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06FB5644">
            <w:pPr>
              <w:spacing w:line="320" w:lineRule="exact"/>
              <w:jc w:val="left"/>
              <w:rPr>
                <w:color w:val="000000"/>
                <w:kern w:val="0"/>
                <w:sz w:val="18"/>
                <w:szCs w:val="18"/>
              </w:rPr>
            </w:pPr>
            <w:r>
              <w:rPr>
                <w:rFonts w:hint="eastAsia"/>
                <w:color w:val="000000"/>
                <w:kern w:val="0"/>
                <w:sz w:val="18"/>
                <w:szCs w:val="18"/>
              </w:rPr>
              <w:t>未按照要求改正且未投入使用的</w:t>
            </w:r>
          </w:p>
        </w:tc>
        <w:tc>
          <w:tcPr>
            <w:tcW w:w="1100" w:type="dxa"/>
            <w:vMerge w:val="continue"/>
            <w:tcBorders>
              <w:top w:val="nil"/>
              <w:left w:val="single" w:color="auto" w:sz="4" w:space="0"/>
              <w:bottom w:val="nil"/>
              <w:right w:val="single" w:color="auto" w:sz="4" w:space="0"/>
            </w:tcBorders>
            <w:vAlign w:val="center"/>
          </w:tcPr>
          <w:p w14:paraId="720968A5">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F7F011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w:t>
            </w:r>
            <w:r>
              <w:rPr>
                <w:rFonts w:hint="eastAsia"/>
                <w:color w:val="000000"/>
                <w:kern w:val="0"/>
                <w:sz w:val="18"/>
                <w:szCs w:val="18"/>
              </w:rPr>
              <w:t>万元以上</w:t>
            </w:r>
            <w:r>
              <w:rPr>
                <w:color w:val="000000"/>
                <w:kern w:val="0"/>
                <w:sz w:val="18"/>
                <w:szCs w:val="18"/>
              </w:rPr>
              <w:t>70</w:t>
            </w:r>
            <w:r>
              <w:rPr>
                <w:rFonts w:hint="eastAsia"/>
                <w:color w:val="000000"/>
                <w:kern w:val="0"/>
                <w:sz w:val="18"/>
                <w:szCs w:val="18"/>
              </w:rPr>
              <w:t>万元以下的罚款，降低资质等级</w:t>
            </w:r>
          </w:p>
        </w:tc>
      </w:tr>
      <w:tr w14:paraId="6F379048">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nil"/>
              <w:right w:val="single" w:color="auto" w:sz="4" w:space="0"/>
            </w:tcBorders>
            <w:vAlign w:val="center"/>
          </w:tcPr>
          <w:p w14:paraId="4B8EAEC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2D7BE74B">
            <w:pPr>
              <w:spacing w:line="320" w:lineRule="exact"/>
              <w:jc w:val="left"/>
              <w:rPr>
                <w:color w:val="000000"/>
                <w:kern w:val="0"/>
                <w:sz w:val="18"/>
                <w:szCs w:val="18"/>
              </w:rPr>
            </w:pPr>
            <w:r>
              <w:rPr>
                <w:rFonts w:hint="eastAsia"/>
                <w:color w:val="000000"/>
                <w:kern w:val="0"/>
                <w:sz w:val="18"/>
                <w:szCs w:val="18"/>
              </w:rPr>
              <w:t>按照要求改正且已投入使用的</w:t>
            </w:r>
          </w:p>
        </w:tc>
        <w:tc>
          <w:tcPr>
            <w:tcW w:w="1100" w:type="dxa"/>
            <w:vMerge w:val="continue"/>
            <w:tcBorders>
              <w:top w:val="nil"/>
              <w:left w:val="single" w:color="auto" w:sz="4" w:space="0"/>
              <w:bottom w:val="nil"/>
              <w:right w:val="single" w:color="auto" w:sz="4" w:space="0"/>
            </w:tcBorders>
            <w:vAlign w:val="center"/>
          </w:tcPr>
          <w:p w14:paraId="6F266C3F">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1E9D31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70</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万元以下的罚款，吊销资质证书</w:t>
            </w:r>
          </w:p>
        </w:tc>
      </w:tr>
      <w:tr w14:paraId="2E483154">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auto" w:sz="8" w:space="0"/>
              <w:right w:val="single" w:color="auto" w:sz="4" w:space="0"/>
            </w:tcBorders>
            <w:vAlign w:val="center"/>
          </w:tcPr>
          <w:p w14:paraId="5189C45B">
            <w:pPr>
              <w:spacing w:line="320" w:lineRule="exact"/>
              <w:jc w:val="left"/>
              <w:rPr>
                <w:color w:val="000000"/>
                <w:kern w:val="0"/>
                <w:sz w:val="18"/>
                <w:szCs w:val="18"/>
              </w:rPr>
            </w:pPr>
          </w:p>
        </w:tc>
        <w:tc>
          <w:tcPr>
            <w:tcW w:w="6140" w:type="dxa"/>
            <w:tcBorders>
              <w:top w:val="single" w:color="auto" w:sz="4" w:space="0"/>
              <w:left w:val="nil"/>
              <w:bottom w:val="single" w:color="auto" w:sz="8" w:space="0"/>
              <w:right w:val="single" w:color="000000" w:sz="4" w:space="0"/>
            </w:tcBorders>
            <w:vAlign w:val="center"/>
          </w:tcPr>
          <w:p w14:paraId="790BBC29">
            <w:pPr>
              <w:spacing w:line="320" w:lineRule="exact"/>
              <w:jc w:val="left"/>
              <w:rPr>
                <w:color w:val="000000"/>
                <w:kern w:val="0"/>
                <w:sz w:val="18"/>
                <w:szCs w:val="18"/>
              </w:rPr>
            </w:pPr>
            <w:r>
              <w:rPr>
                <w:rFonts w:hint="eastAsia"/>
                <w:color w:val="000000"/>
                <w:kern w:val="0"/>
                <w:sz w:val="18"/>
                <w:szCs w:val="18"/>
              </w:rPr>
              <w:t>未按照要求改正且已投入使用的</w:t>
            </w:r>
          </w:p>
        </w:tc>
        <w:tc>
          <w:tcPr>
            <w:tcW w:w="1100" w:type="dxa"/>
            <w:vMerge w:val="continue"/>
            <w:tcBorders>
              <w:top w:val="nil"/>
              <w:left w:val="single" w:color="auto" w:sz="4" w:space="0"/>
              <w:bottom w:val="single" w:color="auto" w:sz="8" w:space="0"/>
              <w:right w:val="single" w:color="auto" w:sz="4" w:space="0"/>
            </w:tcBorders>
            <w:vAlign w:val="center"/>
          </w:tcPr>
          <w:p w14:paraId="5F5F0F56">
            <w:pPr>
              <w:spacing w:line="320" w:lineRule="exact"/>
              <w:jc w:val="left"/>
              <w:rPr>
                <w:color w:val="000000"/>
                <w:kern w:val="0"/>
                <w:sz w:val="18"/>
                <w:szCs w:val="18"/>
              </w:rPr>
            </w:pPr>
          </w:p>
        </w:tc>
        <w:tc>
          <w:tcPr>
            <w:tcW w:w="5760" w:type="dxa"/>
            <w:tcBorders>
              <w:top w:val="nil"/>
              <w:left w:val="nil"/>
              <w:bottom w:val="single" w:color="auto" w:sz="8" w:space="0"/>
              <w:right w:val="single" w:color="auto" w:sz="8" w:space="0"/>
            </w:tcBorders>
            <w:vAlign w:val="center"/>
          </w:tcPr>
          <w:p w14:paraId="221BFE9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万元以下的罚款，吊销资质证书</w:t>
            </w:r>
          </w:p>
        </w:tc>
      </w:tr>
    </w:tbl>
    <w:p w14:paraId="5B4C2BF9"/>
    <w:p w14:paraId="77CD51BB"/>
    <w:p w14:paraId="5ABD837F"/>
    <w:p w14:paraId="0348F9FB"/>
    <w:p w14:paraId="3C652D7D"/>
    <w:p w14:paraId="3C92DC38"/>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54237E6B">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00DA0633">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7E41B602">
            <w:pPr>
              <w:spacing w:line="320" w:lineRule="exact"/>
              <w:jc w:val="left"/>
              <w:rPr>
                <w:rFonts w:eastAsia="仿宋_GB2312"/>
                <w:b/>
                <w:bCs/>
                <w:color w:val="000000"/>
                <w:kern w:val="0"/>
                <w:sz w:val="18"/>
                <w:szCs w:val="18"/>
              </w:rPr>
            </w:pPr>
            <w:r>
              <w:rPr>
                <w:rFonts w:eastAsia="仿宋_GB2312"/>
                <w:b/>
                <w:bCs/>
                <w:color w:val="000000"/>
                <w:kern w:val="0"/>
                <w:sz w:val="18"/>
                <w:szCs w:val="18"/>
              </w:rPr>
              <w:t>320217202000</w:t>
            </w:r>
          </w:p>
        </w:tc>
      </w:tr>
      <w:tr w14:paraId="10D2CB7B">
        <w:tblPrEx>
          <w:tblCellMar>
            <w:top w:w="0" w:type="dxa"/>
            <w:left w:w="108" w:type="dxa"/>
            <w:bottom w:w="0" w:type="dxa"/>
            <w:right w:w="108" w:type="dxa"/>
          </w:tblCellMar>
        </w:tblPrEx>
        <w:trPr>
          <w:trHeight w:val="510" w:hRule="atLeast"/>
        </w:trPr>
        <w:tc>
          <w:tcPr>
            <w:tcW w:w="1050" w:type="dxa"/>
            <w:tcBorders>
              <w:top w:val="nil"/>
              <w:left w:val="single" w:color="auto" w:sz="8" w:space="0"/>
              <w:bottom w:val="single" w:color="auto" w:sz="4" w:space="0"/>
              <w:right w:val="single" w:color="auto" w:sz="4" w:space="0"/>
            </w:tcBorders>
            <w:vAlign w:val="center"/>
          </w:tcPr>
          <w:p w14:paraId="2A56F7EF">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700B14C0">
            <w:pPr>
              <w:spacing w:line="320" w:lineRule="exact"/>
              <w:jc w:val="left"/>
              <w:rPr>
                <w:color w:val="000000"/>
                <w:kern w:val="0"/>
                <w:sz w:val="18"/>
                <w:szCs w:val="18"/>
              </w:rPr>
            </w:pPr>
            <w:r>
              <w:rPr>
                <w:rFonts w:hint="eastAsia"/>
                <w:color w:val="000000"/>
                <w:kern w:val="0"/>
                <w:sz w:val="18"/>
                <w:szCs w:val="18"/>
              </w:rPr>
              <w:t>对房地产开发企业销售商品房，未向购买人明示所售商品房的能源消耗指标、节能措施和保护要求、保温工程保修期等信息，或者向购买人明示的所售商品房能源消耗指标与实际能源消耗不符的处罚</w:t>
            </w:r>
          </w:p>
        </w:tc>
      </w:tr>
      <w:tr w14:paraId="70662047">
        <w:tblPrEx>
          <w:tblCellMar>
            <w:top w:w="0" w:type="dxa"/>
            <w:left w:w="108" w:type="dxa"/>
            <w:bottom w:w="0" w:type="dxa"/>
            <w:right w:w="108" w:type="dxa"/>
          </w:tblCellMar>
        </w:tblPrEx>
        <w:trPr>
          <w:trHeight w:val="1560" w:hRule="atLeast"/>
        </w:trPr>
        <w:tc>
          <w:tcPr>
            <w:tcW w:w="1050" w:type="dxa"/>
            <w:tcBorders>
              <w:top w:val="nil"/>
              <w:left w:val="single" w:color="auto" w:sz="8" w:space="0"/>
              <w:bottom w:val="single" w:color="auto" w:sz="4" w:space="0"/>
              <w:right w:val="single" w:color="auto" w:sz="4" w:space="0"/>
            </w:tcBorders>
            <w:vAlign w:val="center"/>
          </w:tcPr>
          <w:p w14:paraId="1A3FC024">
            <w:pPr>
              <w:spacing w:line="320" w:lineRule="exact"/>
              <w:jc w:val="center"/>
              <w:rPr>
                <w:color w:val="000000"/>
                <w:kern w:val="0"/>
                <w:sz w:val="18"/>
                <w:szCs w:val="18"/>
              </w:rPr>
            </w:pPr>
            <w:r>
              <w:rPr>
                <w:rFonts w:hint="eastAsia"/>
                <w:color w:val="000000"/>
                <w:kern w:val="0"/>
                <w:sz w:val="18"/>
                <w:szCs w:val="18"/>
              </w:rPr>
              <w:t>法律依据　</w:t>
            </w:r>
          </w:p>
        </w:tc>
        <w:tc>
          <w:tcPr>
            <w:tcW w:w="13000" w:type="dxa"/>
            <w:gridSpan w:val="3"/>
            <w:tcBorders>
              <w:top w:val="single" w:color="auto" w:sz="4" w:space="0"/>
              <w:left w:val="nil"/>
              <w:bottom w:val="single" w:color="auto" w:sz="4" w:space="0"/>
              <w:right w:val="single" w:color="000000" w:sz="8" w:space="0"/>
            </w:tcBorders>
            <w:vAlign w:val="center"/>
          </w:tcPr>
          <w:p w14:paraId="06EEA55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14:paraId="1F268515">
            <w:pPr>
              <w:spacing w:line="320" w:lineRule="exact"/>
              <w:jc w:val="left"/>
              <w:rPr>
                <w:color w:val="000000"/>
                <w:kern w:val="0"/>
                <w:sz w:val="18"/>
                <w:szCs w:val="18"/>
              </w:rPr>
            </w:pPr>
            <w:r>
              <w:rPr>
                <w:rFonts w:hint="eastAsia"/>
                <w:color w:val="000000"/>
                <w:kern w:val="0"/>
                <w:sz w:val="18"/>
                <w:szCs w:val="18"/>
              </w:rPr>
              <w:t>第二十二条　房地产开发企业销售商品房，应当向购买人明示所售商品房的能源消耗指标、节能措施和保护要求、保温工程保修期等信息，并在商品房买卖合同和住宅质量保证书、住宅使用说明书中载明。</w:t>
            </w:r>
          </w:p>
          <w:p w14:paraId="63E6DF0D">
            <w:pPr>
              <w:spacing w:line="320" w:lineRule="exact"/>
              <w:jc w:val="left"/>
              <w:rPr>
                <w:color w:val="000000"/>
                <w:kern w:val="0"/>
                <w:sz w:val="18"/>
                <w:szCs w:val="18"/>
              </w:rPr>
            </w:pPr>
            <w:r>
              <w:rPr>
                <w:rFonts w:hint="eastAsia"/>
                <w:color w:val="000000"/>
                <w:kern w:val="0"/>
                <w:sz w:val="18"/>
                <w:szCs w:val="18"/>
              </w:rPr>
              <w:t>第四十三条　违反本条例规定，房地产开发企业销售商品房，未向购买人明示所售商品房的能源消耗指标、节能措施和保护要求、保温工程保修期等信息，或者向购买人明示的所售商品房能源消耗指标与实际能源消耗不符的，依法承担民事责任；由县级以上地方人民政府建设主管部门责令限期改正；逾期未改正的，处交付使用的房屋销售总额</w:t>
            </w:r>
            <w:r>
              <w:rPr>
                <w:color w:val="000000"/>
                <w:kern w:val="0"/>
                <w:sz w:val="18"/>
                <w:szCs w:val="18"/>
              </w:rPr>
              <w:t>2%</w:t>
            </w:r>
            <w:r>
              <w:rPr>
                <w:rFonts w:hint="eastAsia"/>
                <w:color w:val="000000"/>
                <w:kern w:val="0"/>
                <w:sz w:val="18"/>
                <w:szCs w:val="18"/>
              </w:rPr>
              <w:t>以下的罚款；情节严重的，由颁发资质证书的部门降低资质等级或者吊销资质证书。</w:t>
            </w:r>
          </w:p>
        </w:tc>
      </w:tr>
      <w:tr w14:paraId="692F88F6">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6AC542B2">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199A0910">
            <w:pPr>
              <w:spacing w:line="320" w:lineRule="exact"/>
              <w:jc w:val="left"/>
              <w:rPr>
                <w:color w:val="000000"/>
                <w:kern w:val="0"/>
                <w:sz w:val="18"/>
                <w:szCs w:val="18"/>
              </w:rPr>
            </w:pPr>
            <w:r>
              <w:rPr>
                <w:rFonts w:hint="eastAsia"/>
                <w:color w:val="000000"/>
                <w:kern w:val="0"/>
                <w:sz w:val="18"/>
                <w:szCs w:val="18"/>
              </w:rPr>
              <w:t>罚款，降低资质等级，吊销资质证书</w:t>
            </w:r>
          </w:p>
        </w:tc>
      </w:tr>
      <w:tr w14:paraId="194F90E8">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473F365">
            <w:pPr>
              <w:spacing w:line="320" w:lineRule="exact"/>
              <w:jc w:val="center"/>
              <w:rPr>
                <w:color w:val="000000"/>
                <w:kern w:val="0"/>
                <w:sz w:val="18"/>
                <w:szCs w:val="18"/>
              </w:rPr>
            </w:pPr>
            <w:r>
              <w:rPr>
                <w:rFonts w:hint="eastAsia"/>
                <w:color w:val="000000"/>
                <w:kern w:val="0"/>
                <w:sz w:val="18"/>
                <w:szCs w:val="18"/>
              </w:rPr>
              <w:t>裁量基准</w:t>
            </w:r>
          </w:p>
        </w:tc>
      </w:tr>
      <w:tr w14:paraId="2F77A488">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single" w:color="000000" w:sz="4" w:space="0"/>
              <w:right w:val="single" w:color="auto" w:sz="4" w:space="0"/>
            </w:tcBorders>
            <w:vAlign w:val="center"/>
          </w:tcPr>
          <w:p w14:paraId="7A8E3B4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793561FB">
            <w:pPr>
              <w:rPr>
                <w:color w:val="000000"/>
              </w:rPr>
            </w:pPr>
            <w:r>
              <w:rPr>
                <w:rFonts w:hint="eastAsia"/>
                <w:color w:val="000000"/>
                <w:kern w:val="0"/>
                <w:sz w:val="18"/>
                <w:szCs w:val="18"/>
              </w:rPr>
              <w:t>节能措施和保护要求、保温工程保修期等信息未明示的</w:t>
            </w:r>
          </w:p>
        </w:tc>
        <w:tc>
          <w:tcPr>
            <w:tcW w:w="1100" w:type="dxa"/>
            <w:vMerge w:val="restart"/>
            <w:tcBorders>
              <w:top w:val="nil"/>
              <w:left w:val="single" w:color="auto" w:sz="4" w:space="0"/>
              <w:bottom w:val="single" w:color="000000" w:sz="4" w:space="0"/>
              <w:right w:val="single" w:color="auto" w:sz="4" w:space="0"/>
            </w:tcBorders>
            <w:vAlign w:val="center"/>
          </w:tcPr>
          <w:p w14:paraId="08137A38">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B7BA2CA">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0.5%</w:t>
            </w:r>
            <w:r>
              <w:rPr>
                <w:rFonts w:hint="eastAsia"/>
                <w:color w:val="000000"/>
                <w:kern w:val="0"/>
                <w:sz w:val="18"/>
                <w:szCs w:val="18"/>
              </w:rPr>
              <w:t>以下罚款</w:t>
            </w:r>
          </w:p>
        </w:tc>
      </w:tr>
      <w:tr w14:paraId="095BB389">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000000" w:sz="4" w:space="0"/>
              <w:right w:val="single" w:color="auto" w:sz="4" w:space="0"/>
            </w:tcBorders>
            <w:vAlign w:val="center"/>
          </w:tcPr>
          <w:p w14:paraId="353CF21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15DDB42C">
            <w:pPr>
              <w:rPr>
                <w:color w:val="000000"/>
              </w:rPr>
            </w:pPr>
            <w:r>
              <w:rPr>
                <w:rFonts w:hint="eastAsia"/>
                <w:color w:val="000000"/>
                <w:kern w:val="0"/>
                <w:sz w:val="18"/>
                <w:szCs w:val="18"/>
              </w:rPr>
              <w:t>能源消耗指标未明示，或与实际不符的</w:t>
            </w:r>
          </w:p>
        </w:tc>
        <w:tc>
          <w:tcPr>
            <w:tcW w:w="1100" w:type="dxa"/>
            <w:vMerge w:val="continue"/>
            <w:tcBorders>
              <w:top w:val="nil"/>
              <w:left w:val="single" w:color="auto" w:sz="4" w:space="0"/>
              <w:bottom w:val="single" w:color="000000" w:sz="4" w:space="0"/>
              <w:right w:val="single" w:color="auto" w:sz="4" w:space="0"/>
            </w:tcBorders>
            <w:vAlign w:val="center"/>
          </w:tcPr>
          <w:p w14:paraId="259DEE3A">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471B2CC">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0.5%</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以下罚款，降低资质等级</w:t>
            </w:r>
          </w:p>
        </w:tc>
      </w:tr>
      <w:tr w14:paraId="6B6FD943">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000000" w:sz="4" w:space="0"/>
              <w:right w:val="single" w:color="auto" w:sz="4" w:space="0"/>
            </w:tcBorders>
            <w:vAlign w:val="center"/>
          </w:tcPr>
          <w:p w14:paraId="0EA9456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732E45B6">
            <w:pPr>
              <w:rPr>
                <w:color w:val="000000"/>
                <w:kern w:val="0"/>
                <w:sz w:val="18"/>
                <w:szCs w:val="18"/>
              </w:rPr>
            </w:pPr>
            <w:r>
              <w:rPr>
                <w:rFonts w:hint="eastAsia"/>
                <w:color w:val="000000"/>
                <w:kern w:val="0"/>
                <w:sz w:val="18"/>
                <w:szCs w:val="18"/>
              </w:rPr>
              <w:t>能源消耗指标、节能措施和保护要求、保温工程保修期等信息均未明示，或与实际不符的</w:t>
            </w:r>
          </w:p>
        </w:tc>
        <w:tc>
          <w:tcPr>
            <w:tcW w:w="1100" w:type="dxa"/>
            <w:vMerge w:val="continue"/>
            <w:tcBorders>
              <w:top w:val="nil"/>
              <w:left w:val="single" w:color="auto" w:sz="4" w:space="0"/>
              <w:bottom w:val="single" w:color="000000" w:sz="4" w:space="0"/>
              <w:right w:val="single" w:color="auto" w:sz="4" w:space="0"/>
            </w:tcBorders>
            <w:vAlign w:val="center"/>
          </w:tcPr>
          <w:p w14:paraId="1208C21B">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9D418C4">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1%</w:t>
            </w:r>
            <w:r>
              <w:rPr>
                <w:rFonts w:hint="eastAsia"/>
                <w:color w:val="000000"/>
                <w:kern w:val="0"/>
                <w:sz w:val="18"/>
                <w:szCs w:val="18"/>
              </w:rPr>
              <w:t>以上</w:t>
            </w:r>
            <w:r>
              <w:rPr>
                <w:color w:val="000000"/>
                <w:kern w:val="0"/>
                <w:sz w:val="18"/>
                <w:szCs w:val="18"/>
              </w:rPr>
              <w:t>2%</w:t>
            </w:r>
            <w:r>
              <w:rPr>
                <w:rFonts w:hint="eastAsia"/>
                <w:color w:val="000000"/>
                <w:kern w:val="0"/>
                <w:sz w:val="18"/>
                <w:szCs w:val="18"/>
              </w:rPr>
              <w:t>以下罚款，吊销资质证书</w:t>
            </w:r>
          </w:p>
        </w:tc>
      </w:tr>
    </w:tbl>
    <w:p w14:paraId="1361F4B0"/>
    <w:p w14:paraId="20E8073F"/>
    <w:p w14:paraId="64DD6A64"/>
    <w:p w14:paraId="52BF0F41"/>
    <w:p w14:paraId="38604E7C"/>
    <w:p w14:paraId="7F6BE027"/>
    <w:p w14:paraId="7504E106"/>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0C1828D1">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shd w:val="clear" w:color="auto" w:fill="FFFFFF"/>
            <w:vAlign w:val="center"/>
          </w:tcPr>
          <w:p w14:paraId="1967F9BB">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shd w:val="clear" w:color="auto" w:fill="FFFFFF"/>
            <w:vAlign w:val="center"/>
          </w:tcPr>
          <w:p w14:paraId="13E41B44">
            <w:pPr>
              <w:spacing w:line="320" w:lineRule="exact"/>
              <w:jc w:val="left"/>
              <w:rPr>
                <w:rFonts w:eastAsia="仿宋_GB2312"/>
                <w:b/>
                <w:bCs/>
                <w:color w:val="000000"/>
                <w:kern w:val="0"/>
                <w:sz w:val="18"/>
                <w:szCs w:val="18"/>
              </w:rPr>
            </w:pPr>
            <w:r>
              <w:rPr>
                <w:rFonts w:eastAsia="仿宋_GB2312"/>
                <w:b/>
                <w:bCs/>
                <w:color w:val="000000"/>
                <w:kern w:val="0"/>
                <w:sz w:val="18"/>
                <w:szCs w:val="18"/>
              </w:rPr>
              <w:t>320217203000</w:t>
            </w:r>
            <w:r>
              <w:rPr>
                <w:rFonts w:hint="eastAsia" w:eastAsia="仿宋_GB2312"/>
                <w:b/>
                <w:bCs/>
                <w:color w:val="000000"/>
                <w:kern w:val="0"/>
                <w:sz w:val="18"/>
                <w:szCs w:val="18"/>
              </w:rPr>
              <w:t xml:space="preserve"> </w:t>
            </w:r>
          </w:p>
        </w:tc>
      </w:tr>
      <w:tr w14:paraId="3DB7198C">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shd w:val="clear" w:color="auto" w:fill="FFFFFF"/>
            <w:vAlign w:val="center"/>
          </w:tcPr>
          <w:p w14:paraId="05A67C4F">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shd w:val="clear" w:color="auto" w:fill="FFFFFF"/>
            <w:vAlign w:val="center"/>
          </w:tcPr>
          <w:p w14:paraId="0209FE19">
            <w:pPr>
              <w:spacing w:line="320" w:lineRule="exact"/>
              <w:jc w:val="left"/>
              <w:rPr>
                <w:color w:val="000000"/>
                <w:kern w:val="0"/>
                <w:sz w:val="18"/>
                <w:szCs w:val="18"/>
              </w:rPr>
            </w:pPr>
            <w:r>
              <w:rPr>
                <w:rFonts w:hint="eastAsia"/>
                <w:color w:val="000000"/>
                <w:kern w:val="0"/>
                <w:sz w:val="18"/>
                <w:szCs w:val="18"/>
              </w:rPr>
              <w:t>对施工单位未对因建设工程施工可能造成损害的毗邻建筑物、构筑物和地下管线等采取专项防护措施的处罚</w:t>
            </w:r>
          </w:p>
        </w:tc>
      </w:tr>
      <w:tr w14:paraId="2FD2E09A">
        <w:tblPrEx>
          <w:tblCellMar>
            <w:top w:w="0" w:type="dxa"/>
            <w:left w:w="108" w:type="dxa"/>
            <w:bottom w:w="0" w:type="dxa"/>
            <w:right w:w="108" w:type="dxa"/>
          </w:tblCellMar>
        </w:tblPrEx>
        <w:trPr>
          <w:trHeight w:val="1575" w:hRule="atLeast"/>
        </w:trPr>
        <w:tc>
          <w:tcPr>
            <w:tcW w:w="1026" w:type="dxa"/>
            <w:tcBorders>
              <w:top w:val="nil"/>
              <w:left w:val="single" w:color="auto" w:sz="8" w:space="0"/>
              <w:bottom w:val="single" w:color="auto" w:sz="4" w:space="0"/>
              <w:right w:val="single" w:color="auto" w:sz="4" w:space="0"/>
            </w:tcBorders>
            <w:shd w:val="clear" w:color="auto" w:fill="FFFFFF"/>
            <w:vAlign w:val="center"/>
          </w:tcPr>
          <w:p w14:paraId="7BA08F74">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shd w:val="clear" w:color="auto" w:fill="FFFFFF"/>
            <w:vAlign w:val="center"/>
          </w:tcPr>
          <w:p w14:paraId="4D3E0BA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4FFB2CDE">
            <w:pPr>
              <w:spacing w:line="320" w:lineRule="exact"/>
              <w:jc w:val="left"/>
              <w:rPr>
                <w:color w:val="000000"/>
                <w:kern w:val="0"/>
                <w:sz w:val="18"/>
                <w:szCs w:val="18"/>
              </w:rPr>
            </w:pPr>
            <w:r>
              <w:rPr>
                <w:rFonts w:hint="eastAsia"/>
                <w:color w:val="000000"/>
                <w:kern w:val="0"/>
                <w:sz w:val="18"/>
                <w:szCs w:val="18"/>
              </w:rPr>
              <w:t>第三十条第一款　施工单位对因建设工程施工可能造成损害的毗邻建筑物、构筑物和地下管线等，应当采取专项防护措施。</w:t>
            </w:r>
          </w:p>
          <w:p w14:paraId="018B0588">
            <w:pPr>
              <w:spacing w:line="320" w:lineRule="exact"/>
              <w:jc w:val="left"/>
              <w:rPr>
                <w:color w:val="000000"/>
                <w:kern w:val="0"/>
                <w:sz w:val="18"/>
                <w:szCs w:val="18"/>
              </w:rPr>
            </w:pPr>
            <w:r>
              <w:rPr>
                <w:rFonts w:hint="eastAsia"/>
                <w:color w:val="000000"/>
                <w:kern w:val="0"/>
                <w:sz w:val="18"/>
                <w:szCs w:val="18"/>
              </w:rPr>
              <w:t>第六十四条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14:paraId="6429A518">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（五）未对因建设工程施工可能造成损害的毗邻建筑物、构筑物和地下管线等采取专项防护措施的。</w:t>
            </w:r>
            <w:r>
              <w:rPr>
                <w:color w:val="000000"/>
                <w:kern w:val="0"/>
                <w:sz w:val="18"/>
                <w:szCs w:val="18"/>
              </w:rPr>
              <w:t xml:space="preserve"> </w:t>
            </w:r>
          </w:p>
          <w:p w14:paraId="4DC49905">
            <w:pPr>
              <w:spacing w:line="320" w:lineRule="exact"/>
              <w:jc w:val="left"/>
              <w:rPr>
                <w:color w:val="000000"/>
                <w:kern w:val="0"/>
                <w:sz w:val="18"/>
                <w:szCs w:val="18"/>
              </w:rPr>
            </w:pPr>
            <w:r>
              <w:rPr>
                <w:rFonts w:hint="eastAsia"/>
                <w:color w:val="000000"/>
                <w:kern w:val="0"/>
                <w:sz w:val="18"/>
                <w:szCs w:val="18"/>
              </w:rPr>
              <w:t>施工单位有前款规定第（四）项、第（五）项行为，造成损失的，依法承担赔偿责任。</w:t>
            </w:r>
          </w:p>
          <w:p w14:paraId="1B20676A">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12E33480">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shd w:val="clear" w:color="auto" w:fill="FFFFFF"/>
            <w:vAlign w:val="center"/>
          </w:tcPr>
          <w:p w14:paraId="30A96729">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shd w:val="clear" w:color="auto" w:fill="FFFFFF"/>
            <w:vAlign w:val="center"/>
          </w:tcPr>
          <w:p w14:paraId="55310C71">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w:t>
            </w:r>
          </w:p>
        </w:tc>
      </w:tr>
      <w:tr w14:paraId="0A45B639">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shd w:val="clear" w:color="auto" w:fill="FFFFFF"/>
            <w:vAlign w:val="center"/>
          </w:tcPr>
          <w:p w14:paraId="0639B443">
            <w:pPr>
              <w:spacing w:line="320" w:lineRule="exact"/>
              <w:jc w:val="center"/>
              <w:rPr>
                <w:color w:val="000000"/>
                <w:kern w:val="0"/>
                <w:sz w:val="18"/>
                <w:szCs w:val="18"/>
              </w:rPr>
            </w:pPr>
            <w:r>
              <w:rPr>
                <w:rFonts w:hint="eastAsia"/>
                <w:color w:val="000000"/>
                <w:kern w:val="0"/>
                <w:sz w:val="18"/>
                <w:szCs w:val="18"/>
              </w:rPr>
              <w:t>裁量基准</w:t>
            </w:r>
          </w:p>
        </w:tc>
      </w:tr>
      <w:tr w14:paraId="17DE07E8">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bottom w:val="single" w:color="auto" w:sz="4" w:space="0"/>
              <w:right w:val="single" w:color="auto" w:sz="4" w:space="0"/>
            </w:tcBorders>
            <w:shd w:val="clear" w:color="auto" w:fill="FFFFFF"/>
            <w:vAlign w:val="center"/>
          </w:tcPr>
          <w:p w14:paraId="597E50B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shd w:val="clear" w:color="auto" w:fill="FFFFFF"/>
            <w:vAlign w:val="center"/>
          </w:tcPr>
          <w:p w14:paraId="4F8D3D19">
            <w:pPr>
              <w:spacing w:line="320" w:lineRule="exact"/>
              <w:jc w:val="left"/>
              <w:rPr>
                <w:color w:val="000000"/>
                <w:kern w:val="0"/>
                <w:sz w:val="18"/>
                <w:szCs w:val="18"/>
              </w:rPr>
            </w:pPr>
            <w:r>
              <w:rPr>
                <w:rFonts w:hint="eastAsia"/>
                <w:color w:val="000000"/>
                <w:kern w:val="0"/>
                <w:sz w:val="18"/>
                <w:szCs w:val="18"/>
              </w:rPr>
              <w:t>未按要求改正未造成损害的</w:t>
            </w:r>
          </w:p>
        </w:tc>
        <w:tc>
          <w:tcPr>
            <w:tcW w:w="1120" w:type="dxa"/>
            <w:vMerge w:val="restart"/>
            <w:tcBorders>
              <w:top w:val="nil"/>
              <w:left w:val="single" w:color="auto" w:sz="4" w:space="0"/>
              <w:bottom w:val="single" w:color="auto" w:sz="4" w:space="0"/>
              <w:right w:val="single" w:color="auto" w:sz="4" w:space="0"/>
            </w:tcBorders>
            <w:shd w:val="clear" w:color="auto" w:fill="FFFFFF"/>
            <w:vAlign w:val="center"/>
          </w:tcPr>
          <w:p w14:paraId="3091662D">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shd w:val="clear" w:color="auto" w:fill="FFFFFF"/>
            <w:vAlign w:val="center"/>
          </w:tcPr>
          <w:p w14:paraId="5ECDF2DB">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44CC81B8">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shd w:val="clear" w:color="auto" w:fill="auto"/>
            <w:vAlign w:val="center"/>
          </w:tcPr>
          <w:p w14:paraId="44E83E3D">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shd w:val="clear" w:color="auto" w:fill="FFFFFF"/>
            <w:vAlign w:val="center"/>
          </w:tcPr>
          <w:p w14:paraId="3F85E1A7">
            <w:pPr>
              <w:spacing w:line="320" w:lineRule="exact"/>
              <w:jc w:val="left"/>
              <w:rPr>
                <w:color w:val="000000"/>
                <w:kern w:val="0"/>
                <w:sz w:val="18"/>
                <w:szCs w:val="18"/>
              </w:rPr>
            </w:pPr>
            <w:r>
              <w:rPr>
                <w:rFonts w:hint="eastAsia"/>
                <w:color w:val="000000"/>
                <w:kern w:val="0"/>
                <w:sz w:val="18"/>
                <w:szCs w:val="18"/>
              </w:rPr>
              <w:t>未按要求改正且造成损害的</w:t>
            </w:r>
          </w:p>
        </w:tc>
        <w:tc>
          <w:tcPr>
            <w:tcW w:w="1120" w:type="dxa"/>
            <w:vMerge w:val="continue"/>
            <w:tcBorders>
              <w:top w:val="nil"/>
              <w:left w:val="single" w:color="auto" w:sz="4" w:space="0"/>
              <w:bottom w:val="single" w:color="auto" w:sz="4" w:space="0"/>
              <w:right w:val="single" w:color="auto" w:sz="4" w:space="0"/>
            </w:tcBorders>
            <w:shd w:val="clear" w:color="auto" w:fill="auto"/>
            <w:vAlign w:val="center"/>
          </w:tcPr>
          <w:p w14:paraId="61779386">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shd w:val="clear" w:color="auto" w:fill="FFFFFF"/>
            <w:vAlign w:val="center"/>
          </w:tcPr>
          <w:p w14:paraId="77CBC4FB">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64A3F341"/>
    <w:p w14:paraId="355C75E1"/>
    <w:p w14:paraId="7BC13D88"/>
    <w:p w14:paraId="4033F2F8"/>
    <w:p w14:paraId="7E72B4F9"/>
    <w:p w14:paraId="6F970A0B"/>
    <w:p w14:paraId="55ECC7D7"/>
    <w:p w14:paraId="2F265CC0"/>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7BBE7D4D">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08154CED">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4A6D2CC2">
            <w:pPr>
              <w:spacing w:line="320" w:lineRule="exact"/>
              <w:jc w:val="left"/>
              <w:rPr>
                <w:rFonts w:eastAsia="仿宋_GB2312"/>
                <w:b/>
                <w:bCs/>
                <w:color w:val="000000"/>
                <w:kern w:val="0"/>
                <w:sz w:val="18"/>
                <w:szCs w:val="18"/>
              </w:rPr>
            </w:pPr>
            <w:r>
              <w:rPr>
                <w:rFonts w:eastAsia="仿宋_GB2312"/>
                <w:b/>
                <w:bCs/>
                <w:color w:val="000000"/>
                <w:kern w:val="0"/>
                <w:sz w:val="18"/>
                <w:szCs w:val="18"/>
              </w:rPr>
              <w:t>320217204000</w:t>
            </w:r>
            <w:r>
              <w:rPr>
                <w:rFonts w:hint="eastAsia" w:eastAsia="仿宋_GB2312"/>
                <w:b/>
                <w:bCs/>
                <w:color w:val="000000"/>
                <w:kern w:val="0"/>
                <w:sz w:val="18"/>
                <w:szCs w:val="18"/>
              </w:rPr>
              <w:t xml:space="preserve"> </w:t>
            </w:r>
          </w:p>
        </w:tc>
      </w:tr>
      <w:tr w14:paraId="1D63567A">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32EAA2B1">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1B7B38AE">
            <w:pPr>
              <w:spacing w:line="320" w:lineRule="exact"/>
              <w:jc w:val="left"/>
              <w:rPr>
                <w:color w:val="000000"/>
                <w:kern w:val="0"/>
                <w:sz w:val="18"/>
                <w:szCs w:val="18"/>
              </w:rPr>
            </w:pPr>
            <w:r>
              <w:rPr>
                <w:rFonts w:hint="eastAsia"/>
                <w:color w:val="000000"/>
                <w:kern w:val="0"/>
                <w:sz w:val="18"/>
                <w:szCs w:val="18"/>
              </w:rPr>
              <w:t>对安全防护用具、机械设备、施工机具及配件在进入施工现场前未经查验或者查验不合格即投入使用的处罚</w:t>
            </w:r>
          </w:p>
        </w:tc>
      </w:tr>
      <w:tr w14:paraId="30776E29">
        <w:tblPrEx>
          <w:tblCellMar>
            <w:top w:w="0" w:type="dxa"/>
            <w:left w:w="108" w:type="dxa"/>
            <w:bottom w:w="0" w:type="dxa"/>
            <w:right w:w="108" w:type="dxa"/>
          </w:tblCellMar>
        </w:tblPrEx>
        <w:trPr>
          <w:trHeight w:val="1845" w:hRule="atLeast"/>
        </w:trPr>
        <w:tc>
          <w:tcPr>
            <w:tcW w:w="1026" w:type="dxa"/>
            <w:tcBorders>
              <w:top w:val="nil"/>
              <w:left w:val="single" w:color="auto" w:sz="8" w:space="0"/>
              <w:bottom w:val="single" w:color="auto" w:sz="4" w:space="0"/>
              <w:right w:val="single" w:color="auto" w:sz="4" w:space="0"/>
            </w:tcBorders>
            <w:vAlign w:val="center"/>
          </w:tcPr>
          <w:p w14:paraId="3942B208">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6F2338B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3D4B9851">
            <w:pPr>
              <w:spacing w:line="320" w:lineRule="exact"/>
              <w:jc w:val="left"/>
              <w:rPr>
                <w:color w:val="000000"/>
                <w:kern w:val="0"/>
                <w:sz w:val="18"/>
                <w:szCs w:val="18"/>
              </w:rPr>
            </w:pPr>
            <w:r>
              <w:rPr>
                <w:rFonts w:hint="eastAsia"/>
                <w:color w:val="000000"/>
                <w:kern w:val="0"/>
                <w:sz w:val="18"/>
                <w:szCs w:val="18"/>
              </w:rPr>
              <w:t>第三十四条第一款　施工单位采购、租赁的安全防护用具、机械设备、施工机具及配件，应当具有生产（制造）许可证、产品合格证，并在进入施工现场前进行查验。</w:t>
            </w:r>
          </w:p>
          <w:p w14:paraId="4347BF8B">
            <w:pPr>
              <w:spacing w:line="320" w:lineRule="exact"/>
              <w:jc w:val="left"/>
              <w:rPr>
                <w:color w:val="000000"/>
                <w:kern w:val="0"/>
                <w:sz w:val="18"/>
                <w:szCs w:val="18"/>
              </w:rPr>
            </w:pP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14:paraId="5A1B8487">
            <w:pPr>
              <w:spacing w:line="320" w:lineRule="exact"/>
              <w:jc w:val="left"/>
              <w:rPr>
                <w:color w:val="000000"/>
                <w:kern w:val="0"/>
                <w:sz w:val="18"/>
                <w:szCs w:val="18"/>
              </w:rPr>
            </w:pPr>
            <w:r>
              <w:rPr>
                <w:rFonts w:hint="eastAsia"/>
                <w:color w:val="000000"/>
                <w:kern w:val="0"/>
                <w:sz w:val="18"/>
                <w:szCs w:val="18"/>
              </w:rPr>
              <w:t>（一）安全防护用具、机械设备、施工机具及配件在进入施工现场前未经查验或者查验不合格即投入使用的；</w:t>
            </w:r>
          </w:p>
          <w:p w14:paraId="3F52E473">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4D7C84BA">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7FBD4463">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32F8D684">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14:paraId="3F395037">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063EB5EF">
            <w:pPr>
              <w:spacing w:line="320" w:lineRule="exact"/>
              <w:jc w:val="center"/>
              <w:rPr>
                <w:color w:val="000000"/>
                <w:kern w:val="0"/>
                <w:sz w:val="18"/>
                <w:szCs w:val="18"/>
              </w:rPr>
            </w:pPr>
            <w:r>
              <w:rPr>
                <w:rFonts w:hint="eastAsia"/>
                <w:color w:val="000000"/>
                <w:kern w:val="0"/>
                <w:sz w:val="18"/>
                <w:szCs w:val="18"/>
              </w:rPr>
              <w:t>裁量基准</w:t>
            </w:r>
          </w:p>
        </w:tc>
      </w:tr>
      <w:tr w14:paraId="165E899B">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bottom w:val="single" w:color="auto" w:sz="4" w:space="0"/>
              <w:right w:val="single" w:color="auto" w:sz="4" w:space="0"/>
            </w:tcBorders>
            <w:vAlign w:val="center"/>
          </w:tcPr>
          <w:p w14:paraId="1111571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color="000000" w:sz="4" w:space="0"/>
            </w:tcBorders>
            <w:vAlign w:val="center"/>
          </w:tcPr>
          <w:p w14:paraId="0A158E93">
            <w:pPr>
              <w:spacing w:line="320" w:lineRule="exact"/>
              <w:jc w:val="left"/>
              <w:rPr>
                <w:color w:val="000000"/>
                <w:kern w:val="0"/>
                <w:sz w:val="18"/>
                <w:szCs w:val="18"/>
              </w:rPr>
            </w:pPr>
            <w:r>
              <w:rPr>
                <w:rFonts w:hint="eastAsia"/>
                <w:color w:val="000000"/>
                <w:kern w:val="0"/>
                <w:sz w:val="18"/>
                <w:szCs w:val="18"/>
              </w:rPr>
              <w:t>未经查验，但是后经查验属于合格的。</w:t>
            </w:r>
          </w:p>
        </w:tc>
        <w:tc>
          <w:tcPr>
            <w:tcW w:w="1120" w:type="dxa"/>
            <w:vMerge w:val="restart"/>
            <w:tcBorders>
              <w:top w:val="nil"/>
              <w:left w:val="single" w:color="auto" w:sz="4" w:space="0"/>
              <w:bottom w:val="single" w:color="auto" w:sz="4" w:space="0"/>
              <w:right w:val="single" w:color="auto" w:sz="4" w:space="0"/>
            </w:tcBorders>
            <w:vAlign w:val="center"/>
          </w:tcPr>
          <w:p w14:paraId="5D740793">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6BD5680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14:paraId="68CB41A5">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0EBF6C4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19AAC22">
            <w:pPr>
              <w:spacing w:line="320" w:lineRule="exact"/>
              <w:jc w:val="left"/>
              <w:rPr>
                <w:color w:val="000000"/>
                <w:kern w:val="0"/>
                <w:sz w:val="18"/>
                <w:szCs w:val="18"/>
              </w:rPr>
            </w:pPr>
            <w:r>
              <w:rPr>
                <w:rFonts w:hint="eastAsia"/>
                <w:color w:val="000000"/>
                <w:kern w:val="0"/>
                <w:sz w:val="18"/>
                <w:szCs w:val="18"/>
              </w:rPr>
              <w:t>未按要求改正的且有安全事故隐患的</w:t>
            </w:r>
          </w:p>
        </w:tc>
        <w:tc>
          <w:tcPr>
            <w:tcW w:w="1120" w:type="dxa"/>
            <w:vMerge w:val="continue"/>
            <w:tcBorders>
              <w:top w:val="nil"/>
              <w:left w:val="single" w:color="auto" w:sz="4" w:space="0"/>
              <w:bottom w:val="single" w:color="auto" w:sz="4" w:space="0"/>
              <w:right w:val="single" w:color="auto" w:sz="4" w:space="0"/>
            </w:tcBorders>
            <w:vAlign w:val="center"/>
          </w:tcPr>
          <w:p w14:paraId="02EBDBBC">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7051E20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14:paraId="0930553E">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056138A1">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3BEC66F1">
            <w:pPr>
              <w:spacing w:line="3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val="continue"/>
            <w:tcBorders>
              <w:top w:val="nil"/>
              <w:left w:val="single" w:color="auto" w:sz="4" w:space="0"/>
              <w:bottom w:val="single" w:color="auto" w:sz="4" w:space="0"/>
              <w:right w:val="single" w:color="auto" w:sz="4" w:space="0"/>
            </w:tcBorders>
            <w:vAlign w:val="center"/>
          </w:tcPr>
          <w:p w14:paraId="5B22AECD">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5FBC42D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14:paraId="6F6E552A">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13839B2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bottom"/>
          </w:tcPr>
          <w:p w14:paraId="13AF8F99">
            <w:pPr>
              <w:spacing w:line="320" w:lineRule="exact"/>
              <w:jc w:val="left"/>
              <w:rPr>
                <w:color w:val="000000"/>
                <w:kern w:val="0"/>
                <w:sz w:val="18"/>
                <w:szCs w:val="18"/>
              </w:rPr>
            </w:pPr>
            <w:r>
              <w:rPr>
                <w:rFonts w:hint="eastAsia"/>
                <w:color w:val="000000"/>
                <w:kern w:val="0"/>
                <w:sz w:val="18"/>
                <w:szCs w:val="18"/>
              </w:rPr>
              <w:t>发生重大安全事故的</w:t>
            </w:r>
          </w:p>
        </w:tc>
        <w:tc>
          <w:tcPr>
            <w:tcW w:w="1120" w:type="dxa"/>
            <w:vMerge w:val="continue"/>
            <w:tcBorders>
              <w:top w:val="nil"/>
              <w:left w:val="single" w:color="auto" w:sz="4" w:space="0"/>
              <w:bottom w:val="single" w:color="auto" w:sz="4" w:space="0"/>
              <w:right w:val="single" w:color="auto" w:sz="4" w:space="0"/>
            </w:tcBorders>
            <w:vAlign w:val="center"/>
          </w:tcPr>
          <w:p w14:paraId="0AB82656">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23CD9E1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14:paraId="155C1D23"/>
    <w:p w14:paraId="14CA4C18"/>
    <w:p w14:paraId="7DDAA921"/>
    <w:p w14:paraId="61D6DB09"/>
    <w:p w14:paraId="21243B66"/>
    <w:p w14:paraId="1BC8E9DD"/>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5798CB93">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482A6447">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5D919DFB">
            <w:pPr>
              <w:spacing w:line="320" w:lineRule="exact"/>
              <w:jc w:val="left"/>
              <w:rPr>
                <w:rFonts w:eastAsia="仿宋_GB2312"/>
                <w:b/>
                <w:bCs/>
                <w:color w:val="000000"/>
                <w:kern w:val="0"/>
                <w:sz w:val="18"/>
                <w:szCs w:val="18"/>
              </w:rPr>
            </w:pPr>
            <w:r>
              <w:rPr>
                <w:rFonts w:eastAsia="仿宋_GB2312"/>
                <w:b/>
                <w:bCs/>
                <w:color w:val="000000"/>
                <w:kern w:val="0"/>
                <w:sz w:val="18"/>
                <w:szCs w:val="18"/>
              </w:rPr>
              <w:t>320217205000</w:t>
            </w:r>
            <w:r>
              <w:rPr>
                <w:rFonts w:hint="eastAsia" w:eastAsia="仿宋_GB2312"/>
                <w:b/>
                <w:bCs/>
                <w:color w:val="000000"/>
                <w:kern w:val="0"/>
                <w:sz w:val="18"/>
                <w:szCs w:val="18"/>
              </w:rPr>
              <w:t xml:space="preserve"> </w:t>
            </w:r>
          </w:p>
        </w:tc>
      </w:tr>
      <w:tr w14:paraId="0DE34BE3">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2CDB5A3F">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6483E14C">
            <w:pPr>
              <w:spacing w:line="320" w:lineRule="exact"/>
              <w:jc w:val="left"/>
              <w:rPr>
                <w:color w:val="000000"/>
                <w:kern w:val="0"/>
                <w:sz w:val="18"/>
                <w:szCs w:val="18"/>
              </w:rPr>
            </w:pPr>
            <w:r>
              <w:rPr>
                <w:rFonts w:hint="eastAsia"/>
                <w:color w:val="000000"/>
                <w:kern w:val="0"/>
                <w:sz w:val="18"/>
                <w:szCs w:val="18"/>
              </w:rPr>
              <w:t>对施工单位使用未经验收或者验收不合格的施工起重机械和整体提升脚手架、模板等自升式架设设施的处罚</w:t>
            </w:r>
          </w:p>
        </w:tc>
      </w:tr>
      <w:tr w14:paraId="61987AAB">
        <w:tblPrEx>
          <w:tblCellMar>
            <w:top w:w="0" w:type="dxa"/>
            <w:left w:w="108" w:type="dxa"/>
            <w:bottom w:w="0" w:type="dxa"/>
            <w:right w:w="108" w:type="dxa"/>
          </w:tblCellMar>
        </w:tblPrEx>
        <w:trPr>
          <w:trHeight w:val="1815" w:hRule="atLeast"/>
        </w:trPr>
        <w:tc>
          <w:tcPr>
            <w:tcW w:w="1026" w:type="dxa"/>
            <w:tcBorders>
              <w:top w:val="nil"/>
              <w:left w:val="single" w:color="auto" w:sz="8" w:space="0"/>
              <w:bottom w:val="single" w:color="auto" w:sz="4" w:space="0"/>
              <w:right w:val="single" w:color="auto" w:sz="4" w:space="0"/>
            </w:tcBorders>
            <w:vAlign w:val="center"/>
          </w:tcPr>
          <w:p w14:paraId="2877A15A">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0FBEC03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6D50F6A2">
            <w:pPr>
              <w:spacing w:line="320" w:lineRule="exact"/>
              <w:jc w:val="left"/>
              <w:rPr>
                <w:color w:val="000000"/>
                <w:kern w:val="0"/>
                <w:sz w:val="18"/>
                <w:szCs w:val="18"/>
              </w:rPr>
            </w:pPr>
            <w:r>
              <w:rPr>
                <w:rFonts w:hint="eastAsia"/>
                <w:color w:val="000000"/>
                <w:kern w:val="0"/>
                <w:sz w:val="18"/>
                <w:szCs w:val="18"/>
              </w:rPr>
              <w:t>第三十四条第一款　施工单位采购、租赁的安全防护用具、机械设备、施工机具及配件，应当具有生产（制造）许可证、产品合格证，并在进入施工现场前进行查验。</w:t>
            </w:r>
          </w:p>
          <w:p w14:paraId="5D7DBBA1">
            <w:pPr>
              <w:spacing w:line="320" w:lineRule="exact"/>
              <w:jc w:val="left"/>
              <w:rPr>
                <w:color w:val="000000"/>
                <w:kern w:val="0"/>
                <w:sz w:val="18"/>
                <w:szCs w:val="18"/>
              </w:rPr>
            </w:pP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14:paraId="2ADDA668">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（二）使用未经验收或者验收不合格的施工起重机械和整体提升脚手架、模板等自升式架设设施的；</w:t>
            </w:r>
            <w:r>
              <w:rPr>
                <w:color w:val="000000"/>
                <w:kern w:val="0"/>
                <w:sz w:val="18"/>
                <w:szCs w:val="18"/>
              </w:rPr>
              <w:t xml:space="preserve"> </w:t>
            </w:r>
          </w:p>
          <w:p w14:paraId="547E70C8">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2613EFF7">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16F7CE8E">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2D762A2E">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14:paraId="00B9FE75">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6B0A56E3">
            <w:pPr>
              <w:spacing w:line="320" w:lineRule="exact"/>
              <w:jc w:val="center"/>
              <w:rPr>
                <w:color w:val="000000"/>
                <w:kern w:val="0"/>
                <w:sz w:val="18"/>
                <w:szCs w:val="18"/>
              </w:rPr>
            </w:pPr>
            <w:r>
              <w:rPr>
                <w:rFonts w:hint="eastAsia"/>
                <w:color w:val="000000"/>
                <w:kern w:val="0"/>
                <w:sz w:val="18"/>
                <w:szCs w:val="18"/>
              </w:rPr>
              <w:t>裁量基准</w:t>
            </w:r>
          </w:p>
        </w:tc>
      </w:tr>
      <w:tr w14:paraId="3AFDB1A5">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bottom w:val="single" w:color="auto" w:sz="4" w:space="0"/>
              <w:right w:val="single" w:color="auto" w:sz="4" w:space="0"/>
            </w:tcBorders>
            <w:vAlign w:val="center"/>
          </w:tcPr>
          <w:p w14:paraId="3810F3E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color="000000" w:sz="4" w:space="0"/>
            </w:tcBorders>
            <w:vAlign w:val="center"/>
          </w:tcPr>
          <w:p w14:paraId="4A349F11">
            <w:pPr>
              <w:spacing w:line="320" w:lineRule="exact"/>
              <w:jc w:val="left"/>
              <w:rPr>
                <w:color w:val="000000"/>
                <w:kern w:val="0"/>
                <w:sz w:val="18"/>
                <w:szCs w:val="18"/>
              </w:rPr>
            </w:pPr>
            <w:r>
              <w:rPr>
                <w:rFonts w:hint="eastAsia"/>
                <w:color w:val="000000"/>
                <w:kern w:val="0"/>
                <w:sz w:val="18"/>
                <w:szCs w:val="18"/>
              </w:rPr>
              <w:t>未经验收，但是后经验收属于合格的。</w:t>
            </w:r>
          </w:p>
        </w:tc>
        <w:tc>
          <w:tcPr>
            <w:tcW w:w="1120" w:type="dxa"/>
            <w:vMerge w:val="restart"/>
            <w:tcBorders>
              <w:top w:val="nil"/>
              <w:left w:val="single" w:color="auto" w:sz="4" w:space="0"/>
              <w:bottom w:val="single" w:color="auto" w:sz="4" w:space="0"/>
              <w:right w:val="single" w:color="auto" w:sz="4" w:space="0"/>
            </w:tcBorders>
            <w:vAlign w:val="center"/>
          </w:tcPr>
          <w:p w14:paraId="307C659A">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48FF64F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14:paraId="3A00AA8B">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4348907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DD15483">
            <w:pPr>
              <w:spacing w:line="320" w:lineRule="exact"/>
              <w:jc w:val="left"/>
              <w:rPr>
                <w:color w:val="000000"/>
                <w:kern w:val="0"/>
                <w:sz w:val="18"/>
                <w:szCs w:val="18"/>
              </w:rPr>
            </w:pPr>
            <w:r>
              <w:rPr>
                <w:rFonts w:hint="eastAsia"/>
                <w:color w:val="000000"/>
                <w:kern w:val="0"/>
                <w:sz w:val="18"/>
                <w:szCs w:val="18"/>
              </w:rPr>
              <w:t>未按要求改正的且有安全事故隐患的</w:t>
            </w:r>
          </w:p>
        </w:tc>
        <w:tc>
          <w:tcPr>
            <w:tcW w:w="1120" w:type="dxa"/>
            <w:vMerge w:val="continue"/>
            <w:tcBorders>
              <w:top w:val="nil"/>
              <w:left w:val="single" w:color="auto" w:sz="4" w:space="0"/>
              <w:bottom w:val="single" w:color="auto" w:sz="4" w:space="0"/>
              <w:right w:val="single" w:color="auto" w:sz="4" w:space="0"/>
            </w:tcBorders>
            <w:vAlign w:val="center"/>
          </w:tcPr>
          <w:p w14:paraId="319EA05E">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012E956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14:paraId="7FE681E5">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533FE985">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07748C35">
            <w:pPr>
              <w:spacing w:line="3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val="continue"/>
            <w:tcBorders>
              <w:top w:val="nil"/>
              <w:left w:val="single" w:color="auto" w:sz="4" w:space="0"/>
              <w:bottom w:val="single" w:color="auto" w:sz="4" w:space="0"/>
              <w:right w:val="single" w:color="auto" w:sz="4" w:space="0"/>
            </w:tcBorders>
            <w:vAlign w:val="center"/>
          </w:tcPr>
          <w:p w14:paraId="6B07B9E2">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0529A9E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14:paraId="1170F851">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6587826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bottom"/>
          </w:tcPr>
          <w:p w14:paraId="66A3521D">
            <w:pPr>
              <w:spacing w:line="320" w:lineRule="exact"/>
              <w:jc w:val="left"/>
              <w:rPr>
                <w:color w:val="000000"/>
                <w:kern w:val="0"/>
                <w:sz w:val="18"/>
                <w:szCs w:val="18"/>
              </w:rPr>
            </w:pPr>
            <w:r>
              <w:rPr>
                <w:rFonts w:hint="eastAsia"/>
                <w:color w:val="000000"/>
                <w:kern w:val="0"/>
                <w:sz w:val="18"/>
                <w:szCs w:val="18"/>
              </w:rPr>
              <w:t>发生重大安全事故的</w:t>
            </w:r>
          </w:p>
        </w:tc>
        <w:tc>
          <w:tcPr>
            <w:tcW w:w="1120" w:type="dxa"/>
            <w:vMerge w:val="continue"/>
            <w:tcBorders>
              <w:top w:val="nil"/>
              <w:left w:val="single" w:color="auto" w:sz="4" w:space="0"/>
              <w:bottom w:val="single" w:color="auto" w:sz="4" w:space="0"/>
              <w:right w:val="single" w:color="auto" w:sz="4" w:space="0"/>
            </w:tcBorders>
            <w:vAlign w:val="center"/>
          </w:tcPr>
          <w:p w14:paraId="12709037">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1255B2F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14:paraId="476CF99E"/>
    <w:p w14:paraId="3F6F7CF1"/>
    <w:p w14:paraId="444F3CEF"/>
    <w:p w14:paraId="2C96C7B1"/>
    <w:p w14:paraId="18CBBB0F"/>
    <w:p w14:paraId="266DB78C"/>
    <w:p w14:paraId="477EC167"/>
    <w:p w14:paraId="2E2FF0EF"/>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5A3EEE78">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51EBDA32">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207BAF8D">
            <w:pPr>
              <w:spacing w:line="320" w:lineRule="exact"/>
              <w:jc w:val="left"/>
              <w:rPr>
                <w:rFonts w:eastAsia="仿宋_GB2312"/>
                <w:b/>
                <w:bCs/>
                <w:color w:val="000000"/>
                <w:kern w:val="0"/>
                <w:sz w:val="18"/>
                <w:szCs w:val="18"/>
              </w:rPr>
            </w:pPr>
            <w:r>
              <w:rPr>
                <w:rFonts w:eastAsia="仿宋_GB2312"/>
                <w:b/>
                <w:bCs/>
                <w:color w:val="000000"/>
                <w:kern w:val="0"/>
                <w:sz w:val="18"/>
                <w:szCs w:val="18"/>
              </w:rPr>
              <w:t>320217206000</w:t>
            </w:r>
            <w:r>
              <w:rPr>
                <w:rFonts w:hint="eastAsia" w:eastAsia="仿宋_GB2312"/>
                <w:b/>
                <w:bCs/>
                <w:color w:val="000000"/>
                <w:kern w:val="0"/>
                <w:sz w:val="18"/>
                <w:szCs w:val="18"/>
              </w:rPr>
              <w:t xml:space="preserve"> </w:t>
            </w:r>
          </w:p>
        </w:tc>
      </w:tr>
      <w:tr w14:paraId="36EA7A2F">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451BEF77">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2645621B">
            <w:pPr>
              <w:spacing w:line="320" w:lineRule="exact"/>
              <w:jc w:val="left"/>
              <w:rPr>
                <w:color w:val="000000"/>
                <w:kern w:val="0"/>
                <w:sz w:val="18"/>
                <w:szCs w:val="18"/>
              </w:rPr>
            </w:pPr>
            <w:r>
              <w:rPr>
                <w:rFonts w:hint="eastAsia"/>
                <w:color w:val="000000"/>
                <w:kern w:val="0"/>
                <w:sz w:val="18"/>
                <w:szCs w:val="18"/>
              </w:rPr>
              <w:t>对建设单位未按照国家规定将竣工验收报告、有关认可文件或者准许使用文件报送备案的处罚</w:t>
            </w:r>
          </w:p>
        </w:tc>
      </w:tr>
      <w:tr w14:paraId="1CC72CAA">
        <w:tblPrEx>
          <w:tblCellMar>
            <w:top w:w="0" w:type="dxa"/>
            <w:left w:w="108" w:type="dxa"/>
            <w:bottom w:w="0" w:type="dxa"/>
            <w:right w:w="108" w:type="dxa"/>
          </w:tblCellMar>
        </w:tblPrEx>
        <w:trPr>
          <w:trHeight w:val="1980" w:hRule="atLeast"/>
        </w:trPr>
        <w:tc>
          <w:tcPr>
            <w:tcW w:w="1090" w:type="dxa"/>
            <w:tcBorders>
              <w:top w:val="nil"/>
              <w:left w:val="single" w:color="auto" w:sz="8" w:space="0"/>
              <w:bottom w:val="single" w:color="auto" w:sz="4" w:space="0"/>
              <w:right w:val="single" w:color="auto" w:sz="4" w:space="0"/>
            </w:tcBorders>
            <w:vAlign w:val="center"/>
          </w:tcPr>
          <w:p w14:paraId="4138FE51">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6AF0741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1A5631A8">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建设单位应当自建设工程竣工验收合格之日起</w:t>
            </w:r>
            <w:r>
              <w:rPr>
                <w:color w:val="000000"/>
                <w:kern w:val="0"/>
                <w:sz w:val="18"/>
                <w:szCs w:val="18"/>
              </w:rPr>
              <w:t>15</w:t>
            </w:r>
            <w:r>
              <w:rPr>
                <w:rFonts w:hint="eastAsia"/>
                <w:color w:val="000000"/>
                <w:kern w:val="0"/>
                <w:sz w:val="18"/>
                <w:szCs w:val="18"/>
              </w:rPr>
              <w:t>日内，将建设工程竣工验收报告和规划、公安消防、环保等部门出具的认可文件或者准许使用文件报建设行政主管部门或者其他有关部门备案。</w:t>
            </w:r>
          </w:p>
          <w:p w14:paraId="07879DB2">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14:paraId="43262BF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（八）未按照国家规定将竣工验收报告、有关认可文件或者准许使用文件报送备案的。</w:t>
            </w:r>
          </w:p>
          <w:p w14:paraId="0F7725F1">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7114F6A2">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2D7D1226">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1BC3D628">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7F7B6DCF">
            <w:pPr>
              <w:spacing w:line="320" w:lineRule="exact"/>
              <w:jc w:val="left"/>
              <w:rPr>
                <w:color w:val="000000"/>
                <w:kern w:val="0"/>
                <w:sz w:val="18"/>
                <w:szCs w:val="18"/>
              </w:rPr>
            </w:pPr>
            <w:r>
              <w:rPr>
                <w:rFonts w:hint="eastAsia"/>
                <w:color w:val="000000"/>
                <w:kern w:val="0"/>
                <w:sz w:val="18"/>
                <w:szCs w:val="18"/>
              </w:rPr>
              <w:t>罚款</w:t>
            </w:r>
          </w:p>
        </w:tc>
      </w:tr>
      <w:tr w14:paraId="674E912B">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0BAB537A">
            <w:pPr>
              <w:spacing w:line="320" w:lineRule="exact"/>
              <w:jc w:val="center"/>
              <w:rPr>
                <w:color w:val="000000"/>
                <w:kern w:val="0"/>
                <w:sz w:val="18"/>
                <w:szCs w:val="18"/>
              </w:rPr>
            </w:pPr>
            <w:r>
              <w:rPr>
                <w:rFonts w:hint="eastAsia"/>
                <w:color w:val="000000"/>
                <w:kern w:val="0"/>
                <w:sz w:val="18"/>
                <w:szCs w:val="18"/>
              </w:rPr>
              <w:t>裁量基准</w:t>
            </w:r>
          </w:p>
        </w:tc>
      </w:tr>
      <w:tr w14:paraId="105F0727">
        <w:tblPrEx>
          <w:tblCellMar>
            <w:top w:w="0" w:type="dxa"/>
            <w:left w:w="108" w:type="dxa"/>
            <w:bottom w:w="0" w:type="dxa"/>
            <w:right w:w="108" w:type="dxa"/>
          </w:tblCellMar>
        </w:tblPrEx>
        <w:trPr>
          <w:trHeight w:val="702" w:hRule="atLeast"/>
        </w:trPr>
        <w:tc>
          <w:tcPr>
            <w:tcW w:w="1090" w:type="dxa"/>
            <w:vMerge w:val="restart"/>
            <w:tcBorders>
              <w:top w:val="nil"/>
              <w:left w:val="single" w:color="auto" w:sz="8" w:space="0"/>
              <w:bottom w:val="single" w:color="auto" w:sz="4" w:space="0"/>
              <w:right w:val="single" w:color="auto" w:sz="4" w:space="0"/>
            </w:tcBorders>
            <w:vAlign w:val="center"/>
          </w:tcPr>
          <w:p w14:paraId="3D85B0B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6329DDF">
            <w:pPr>
              <w:spacing w:line="320" w:lineRule="exact"/>
              <w:jc w:val="left"/>
              <w:rPr>
                <w:color w:val="000000"/>
                <w:kern w:val="0"/>
                <w:sz w:val="18"/>
                <w:szCs w:val="18"/>
              </w:rPr>
            </w:pPr>
            <w:r>
              <w:rPr>
                <w:rFonts w:hint="eastAsia"/>
                <w:color w:val="000000"/>
                <w:kern w:val="0"/>
                <w:sz w:val="18"/>
                <w:szCs w:val="18"/>
              </w:rPr>
              <w:t>未投入使用的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41C0DAAA">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single" w:color="auto" w:sz="4" w:space="0"/>
              <w:left w:val="nil"/>
              <w:bottom w:val="single" w:color="auto" w:sz="4" w:space="0"/>
              <w:right w:val="single" w:color="auto" w:sz="4" w:space="0"/>
            </w:tcBorders>
            <w:vAlign w:val="center"/>
          </w:tcPr>
          <w:p w14:paraId="0B1298DF">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万元以上40万元以下罚款</w:t>
            </w:r>
          </w:p>
          <w:p w14:paraId="2836BB8D">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以上8</w:t>
            </w:r>
            <w:r>
              <w:rPr>
                <w:color w:val="000000"/>
                <w:kern w:val="0"/>
                <w:sz w:val="18"/>
                <w:szCs w:val="18"/>
              </w:rPr>
              <w:t>%</w:t>
            </w:r>
            <w:r>
              <w:rPr>
                <w:rFonts w:hint="eastAsia"/>
                <w:color w:val="000000"/>
                <w:kern w:val="0"/>
                <w:sz w:val="18"/>
                <w:szCs w:val="18"/>
              </w:rPr>
              <w:t>以下罚款</w:t>
            </w:r>
          </w:p>
        </w:tc>
      </w:tr>
      <w:tr w14:paraId="58DA8200">
        <w:tblPrEx>
          <w:tblCellMar>
            <w:top w:w="0" w:type="dxa"/>
            <w:left w:w="108" w:type="dxa"/>
            <w:bottom w:w="0" w:type="dxa"/>
            <w:right w:w="108" w:type="dxa"/>
          </w:tblCellMar>
        </w:tblPrEx>
        <w:trPr>
          <w:trHeight w:val="480" w:hRule="atLeast"/>
        </w:trPr>
        <w:tc>
          <w:tcPr>
            <w:tcW w:w="1090" w:type="dxa"/>
            <w:vMerge w:val="continue"/>
            <w:tcBorders>
              <w:top w:val="nil"/>
              <w:left w:val="single" w:color="auto" w:sz="8" w:space="0"/>
              <w:bottom w:val="single" w:color="auto" w:sz="4" w:space="0"/>
              <w:right w:val="single" w:color="auto" w:sz="4" w:space="0"/>
            </w:tcBorders>
            <w:vAlign w:val="center"/>
          </w:tcPr>
          <w:p w14:paraId="691A379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509F774">
            <w:pPr>
              <w:spacing w:line="320" w:lineRule="exact"/>
              <w:jc w:val="left"/>
              <w:rPr>
                <w:color w:val="000000"/>
                <w:kern w:val="0"/>
                <w:sz w:val="18"/>
                <w:szCs w:val="18"/>
              </w:rPr>
            </w:pPr>
            <w:r>
              <w:rPr>
                <w:rFonts w:hint="eastAsia"/>
                <w:color w:val="000000"/>
                <w:kern w:val="0"/>
                <w:sz w:val="18"/>
                <w:szCs w:val="18"/>
              </w:rPr>
              <w:t>已经投入使用的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1C1DEAAC">
            <w:pPr>
              <w:spacing w:line="320" w:lineRule="exact"/>
              <w:jc w:val="left"/>
              <w:rPr>
                <w:color w:val="000000"/>
                <w:kern w:val="0"/>
                <w:sz w:val="18"/>
                <w:szCs w:val="18"/>
              </w:rPr>
            </w:pPr>
          </w:p>
        </w:tc>
        <w:tc>
          <w:tcPr>
            <w:tcW w:w="5740" w:type="dxa"/>
            <w:tcBorders>
              <w:top w:val="single" w:color="auto" w:sz="4" w:space="0"/>
              <w:left w:val="nil"/>
              <w:bottom w:val="single" w:color="auto" w:sz="4" w:space="0"/>
              <w:right w:val="single" w:color="auto" w:sz="4" w:space="0"/>
            </w:tcBorders>
            <w:vAlign w:val="center"/>
          </w:tcPr>
          <w:p w14:paraId="5E93CFA2">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14:paraId="4F8D3DA0">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36B51892"/>
    <w:p w14:paraId="05E218DA"/>
    <w:p w14:paraId="36E3DB7E"/>
    <w:p w14:paraId="03FC7E99"/>
    <w:p w14:paraId="07DC05C6"/>
    <w:p w14:paraId="5F6E6F1C"/>
    <w:p w14:paraId="536D6D16"/>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27611E83">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B13F75C">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2EF6B622">
            <w:pPr>
              <w:spacing w:line="320" w:lineRule="exact"/>
              <w:jc w:val="left"/>
              <w:rPr>
                <w:rFonts w:eastAsia="仿宋_GB2312"/>
                <w:b/>
                <w:bCs/>
                <w:color w:val="000000"/>
                <w:kern w:val="0"/>
                <w:sz w:val="18"/>
                <w:szCs w:val="18"/>
              </w:rPr>
            </w:pPr>
            <w:r>
              <w:rPr>
                <w:rFonts w:eastAsia="仿宋_GB2312"/>
                <w:b/>
                <w:bCs/>
                <w:color w:val="000000"/>
                <w:kern w:val="0"/>
                <w:sz w:val="18"/>
                <w:szCs w:val="18"/>
              </w:rPr>
              <w:t>320217208000</w:t>
            </w:r>
          </w:p>
        </w:tc>
      </w:tr>
      <w:tr w14:paraId="2E8C7C8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019E7BB">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1849A68B">
            <w:pPr>
              <w:spacing w:line="320" w:lineRule="exact"/>
              <w:jc w:val="left"/>
              <w:rPr>
                <w:color w:val="000000"/>
                <w:kern w:val="0"/>
                <w:sz w:val="18"/>
                <w:szCs w:val="18"/>
              </w:rPr>
            </w:pPr>
            <w:r>
              <w:rPr>
                <w:rFonts w:hint="eastAsia"/>
                <w:color w:val="000000"/>
                <w:kern w:val="0"/>
                <w:sz w:val="18"/>
                <w:szCs w:val="18"/>
              </w:rPr>
              <w:t>对房地产开发企业在未解除商品房买卖合同前将作为合同标的物的商品房再行销售给他人的处罚</w:t>
            </w:r>
          </w:p>
        </w:tc>
      </w:tr>
      <w:tr w14:paraId="5650CDD9">
        <w:tblPrEx>
          <w:tblCellMar>
            <w:top w:w="0" w:type="dxa"/>
            <w:left w:w="108" w:type="dxa"/>
            <w:bottom w:w="0" w:type="dxa"/>
            <w:right w:w="108" w:type="dxa"/>
          </w:tblCellMar>
        </w:tblPrEx>
        <w:trPr>
          <w:trHeight w:val="1245" w:hRule="atLeast"/>
        </w:trPr>
        <w:tc>
          <w:tcPr>
            <w:tcW w:w="1056" w:type="dxa"/>
            <w:tcBorders>
              <w:top w:val="nil"/>
              <w:left w:val="single" w:color="auto" w:sz="8" w:space="0"/>
              <w:bottom w:val="single" w:color="auto" w:sz="4" w:space="0"/>
              <w:right w:val="single" w:color="auto" w:sz="4" w:space="0"/>
            </w:tcBorders>
            <w:vAlign w:val="center"/>
          </w:tcPr>
          <w:p w14:paraId="3F1E33DF">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6EB5CBB0">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65796E48">
            <w:pPr>
              <w:spacing w:line="320" w:lineRule="exact"/>
              <w:jc w:val="left"/>
              <w:rPr>
                <w:color w:val="000000"/>
                <w:kern w:val="0"/>
                <w:sz w:val="18"/>
                <w:szCs w:val="18"/>
              </w:rPr>
            </w:pPr>
            <w:r>
              <w:rPr>
                <w:rFonts w:hint="eastAsia"/>
                <w:color w:val="000000"/>
                <w:kern w:val="0"/>
                <w:sz w:val="18"/>
                <w:szCs w:val="18"/>
              </w:rPr>
              <w:t>第十条　房地产开发企业不得在未解除商品房买卖合同前，将作为合同标的物的商品房再行销售给他人。</w:t>
            </w:r>
          </w:p>
          <w:p w14:paraId="32993D98">
            <w:pPr>
              <w:spacing w:line="320" w:lineRule="exact"/>
              <w:jc w:val="left"/>
              <w:rPr>
                <w:color w:val="000000"/>
                <w:kern w:val="0"/>
                <w:sz w:val="18"/>
                <w:szCs w:val="18"/>
              </w:rPr>
            </w:pPr>
            <w:r>
              <w:rPr>
                <w:rFonts w:hint="eastAsia"/>
                <w:color w:val="000000"/>
                <w:kern w:val="0"/>
                <w:sz w:val="18"/>
                <w:szCs w:val="18"/>
              </w:rPr>
              <w:t>第三十九条　在未解除商品房买卖合同前，将作为合同标的物的商品房再行销售给他人的，处以警告，责令限期改正，并处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p>
        </w:tc>
      </w:tr>
      <w:tr w14:paraId="1C377C13">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3AD62BD">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793240D3">
            <w:pPr>
              <w:spacing w:line="320" w:lineRule="exact"/>
              <w:jc w:val="left"/>
              <w:rPr>
                <w:color w:val="000000"/>
                <w:kern w:val="0"/>
                <w:sz w:val="18"/>
                <w:szCs w:val="18"/>
              </w:rPr>
            </w:pPr>
            <w:r>
              <w:rPr>
                <w:rFonts w:hint="eastAsia"/>
                <w:color w:val="000000"/>
                <w:kern w:val="0"/>
                <w:sz w:val="18"/>
                <w:szCs w:val="18"/>
              </w:rPr>
              <w:t>警告，罚款</w:t>
            </w:r>
          </w:p>
        </w:tc>
      </w:tr>
      <w:tr w14:paraId="17791AE0">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4899FB86">
            <w:pPr>
              <w:spacing w:line="320" w:lineRule="exact"/>
              <w:jc w:val="center"/>
              <w:rPr>
                <w:color w:val="000000"/>
                <w:kern w:val="0"/>
                <w:sz w:val="18"/>
                <w:szCs w:val="18"/>
              </w:rPr>
            </w:pPr>
            <w:r>
              <w:rPr>
                <w:rFonts w:hint="eastAsia"/>
                <w:color w:val="000000"/>
                <w:kern w:val="0"/>
                <w:sz w:val="18"/>
                <w:szCs w:val="18"/>
              </w:rPr>
              <w:t>裁量基准</w:t>
            </w:r>
          </w:p>
        </w:tc>
      </w:tr>
      <w:tr w14:paraId="27EACF36">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65C411C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3ACDCD1">
            <w:pPr>
              <w:spacing w:line="320" w:lineRule="exact"/>
              <w:jc w:val="left"/>
              <w:rPr>
                <w:color w:val="000000"/>
                <w:kern w:val="0"/>
                <w:sz w:val="18"/>
                <w:szCs w:val="18"/>
              </w:rPr>
            </w:pPr>
            <w:r>
              <w:rPr>
                <w:rFonts w:hint="eastAsia"/>
                <w:color w:val="000000"/>
                <w:kern w:val="0"/>
                <w:sz w:val="18"/>
                <w:szCs w:val="18"/>
              </w:rPr>
              <w:t>按照要求改正的</w:t>
            </w:r>
          </w:p>
        </w:tc>
        <w:tc>
          <w:tcPr>
            <w:tcW w:w="1060" w:type="dxa"/>
            <w:vMerge w:val="restart"/>
            <w:tcBorders>
              <w:top w:val="nil"/>
              <w:left w:val="single" w:color="auto" w:sz="4" w:space="0"/>
              <w:bottom w:val="single" w:color="auto" w:sz="4" w:space="0"/>
              <w:right w:val="single" w:color="auto" w:sz="4" w:space="0"/>
            </w:tcBorders>
            <w:vAlign w:val="center"/>
          </w:tcPr>
          <w:p w14:paraId="02B6E8A4">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318F9E4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2719AA8C">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0BABCA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AF51ACE">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val="continue"/>
            <w:tcBorders>
              <w:top w:val="nil"/>
              <w:left w:val="single" w:color="auto" w:sz="4" w:space="0"/>
              <w:bottom w:val="single" w:color="auto" w:sz="4" w:space="0"/>
              <w:right w:val="single" w:color="auto" w:sz="4" w:space="0"/>
            </w:tcBorders>
            <w:vAlign w:val="center"/>
          </w:tcPr>
          <w:p w14:paraId="200D40D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2CE2DF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50BAFC13"/>
    <w:p w14:paraId="696077E3"/>
    <w:p w14:paraId="0BC453DA"/>
    <w:p w14:paraId="257B9120"/>
    <w:p w14:paraId="52A6BA5A"/>
    <w:p w14:paraId="421A7EBD"/>
    <w:p w14:paraId="61FCF67A"/>
    <w:p w14:paraId="6F732E72"/>
    <w:p w14:paraId="71D4074B"/>
    <w:p w14:paraId="24C0873D"/>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65B3D171">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9E94A6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3F97DBFB">
            <w:pPr>
              <w:spacing w:line="320" w:lineRule="exact"/>
              <w:jc w:val="left"/>
              <w:rPr>
                <w:rFonts w:eastAsia="仿宋_GB2312"/>
                <w:b/>
                <w:bCs/>
                <w:color w:val="000000"/>
                <w:kern w:val="0"/>
                <w:sz w:val="18"/>
                <w:szCs w:val="18"/>
              </w:rPr>
            </w:pPr>
            <w:r>
              <w:rPr>
                <w:rFonts w:eastAsia="仿宋_GB2312"/>
                <w:b/>
                <w:bCs/>
                <w:color w:val="000000"/>
                <w:kern w:val="0"/>
                <w:sz w:val="18"/>
                <w:szCs w:val="18"/>
              </w:rPr>
              <w:t>320217209000</w:t>
            </w:r>
            <w:r>
              <w:rPr>
                <w:rFonts w:hint="eastAsia" w:eastAsia="仿宋_GB2312"/>
                <w:b/>
                <w:bCs/>
                <w:color w:val="000000"/>
                <w:kern w:val="0"/>
                <w:sz w:val="18"/>
                <w:szCs w:val="18"/>
              </w:rPr>
              <w:t xml:space="preserve"> </w:t>
            </w:r>
          </w:p>
        </w:tc>
      </w:tr>
      <w:tr w14:paraId="661CB10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7DB1867">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653F38F3">
            <w:pPr>
              <w:spacing w:line="320" w:lineRule="exact"/>
              <w:jc w:val="left"/>
              <w:rPr>
                <w:color w:val="000000"/>
                <w:kern w:val="0"/>
                <w:sz w:val="18"/>
                <w:szCs w:val="18"/>
              </w:rPr>
            </w:pPr>
            <w:r>
              <w:rPr>
                <w:rFonts w:hint="eastAsia"/>
                <w:color w:val="000000"/>
                <w:kern w:val="0"/>
                <w:sz w:val="18"/>
                <w:szCs w:val="18"/>
              </w:rPr>
              <w:t>对房地产开发企业未按规定将测绘成果或者需要由其提供的办理房屋权属登记的资料报送房地产行政主管部门的处罚</w:t>
            </w:r>
          </w:p>
        </w:tc>
      </w:tr>
      <w:tr w14:paraId="4CFC3352">
        <w:tblPrEx>
          <w:tblCellMar>
            <w:top w:w="0" w:type="dxa"/>
            <w:left w:w="108" w:type="dxa"/>
            <w:bottom w:w="0" w:type="dxa"/>
            <w:right w:w="108" w:type="dxa"/>
          </w:tblCellMar>
        </w:tblPrEx>
        <w:trPr>
          <w:trHeight w:val="1335" w:hRule="atLeast"/>
        </w:trPr>
        <w:tc>
          <w:tcPr>
            <w:tcW w:w="1056" w:type="dxa"/>
            <w:tcBorders>
              <w:top w:val="nil"/>
              <w:left w:val="single" w:color="auto" w:sz="8" w:space="0"/>
              <w:bottom w:val="single" w:color="auto" w:sz="4" w:space="0"/>
              <w:right w:val="single" w:color="auto" w:sz="4" w:space="0"/>
            </w:tcBorders>
            <w:vAlign w:val="center"/>
          </w:tcPr>
          <w:p w14:paraId="20963ADE">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3C6BAD67">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20522E71">
            <w:pPr>
              <w:spacing w:line="320" w:lineRule="exact"/>
              <w:jc w:val="left"/>
              <w:rPr>
                <w:color w:val="000000"/>
                <w:kern w:val="0"/>
                <w:sz w:val="18"/>
                <w:szCs w:val="18"/>
              </w:rPr>
            </w:pPr>
            <w:r>
              <w:rPr>
                <w:rFonts w:hint="eastAsia"/>
                <w:color w:val="000000"/>
                <w:kern w:val="0"/>
                <w:sz w:val="18"/>
                <w:szCs w:val="18"/>
              </w:rPr>
              <w:t>第三十四条第二款　房地产开发企业应当在商品房交付使用之日起</w:t>
            </w:r>
            <w:r>
              <w:rPr>
                <w:color w:val="000000"/>
                <w:kern w:val="0"/>
                <w:sz w:val="18"/>
                <w:szCs w:val="18"/>
              </w:rPr>
              <w:t>60</w:t>
            </w:r>
            <w:r>
              <w:rPr>
                <w:rFonts w:hint="eastAsia"/>
                <w:color w:val="000000"/>
                <w:kern w:val="0"/>
                <w:sz w:val="18"/>
                <w:szCs w:val="18"/>
              </w:rPr>
              <w:t>日内，将需要由其提供的办理房屋权属登记的资料报送房屋所在地房地产行政主管部门。</w:t>
            </w:r>
          </w:p>
          <w:p w14:paraId="1F5A46DA">
            <w:pPr>
              <w:spacing w:line="320" w:lineRule="exact"/>
              <w:jc w:val="left"/>
              <w:rPr>
                <w:color w:val="000000"/>
                <w:kern w:val="0"/>
                <w:sz w:val="18"/>
                <w:szCs w:val="18"/>
              </w:rPr>
            </w:pPr>
            <w:r>
              <w:rPr>
                <w:rFonts w:hint="eastAsia"/>
                <w:color w:val="000000"/>
                <w:kern w:val="0"/>
                <w:sz w:val="18"/>
                <w:szCs w:val="18"/>
              </w:rPr>
              <w:t>第四十一条　房地产开发企业未按规定将测绘成果或者需要由其提供的办理房屋权属登记的资料报送房地产行政主管部门的，处以警告，责令限期改正，并可处以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2456669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36A877B">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2691EFBB">
            <w:pPr>
              <w:spacing w:line="320" w:lineRule="exact"/>
              <w:jc w:val="left"/>
              <w:rPr>
                <w:color w:val="000000"/>
                <w:kern w:val="0"/>
                <w:sz w:val="18"/>
                <w:szCs w:val="18"/>
              </w:rPr>
            </w:pPr>
            <w:r>
              <w:rPr>
                <w:rFonts w:hint="eastAsia"/>
                <w:color w:val="000000"/>
                <w:kern w:val="0"/>
                <w:sz w:val="18"/>
                <w:szCs w:val="18"/>
              </w:rPr>
              <w:t>警告，罚款</w:t>
            </w:r>
          </w:p>
        </w:tc>
      </w:tr>
      <w:tr w14:paraId="069C346F">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C3EE8CF">
            <w:pPr>
              <w:spacing w:line="320" w:lineRule="exact"/>
              <w:jc w:val="center"/>
              <w:rPr>
                <w:color w:val="000000"/>
                <w:kern w:val="0"/>
                <w:sz w:val="18"/>
                <w:szCs w:val="18"/>
              </w:rPr>
            </w:pPr>
            <w:r>
              <w:rPr>
                <w:rFonts w:hint="eastAsia"/>
                <w:color w:val="000000"/>
                <w:kern w:val="0"/>
                <w:sz w:val="18"/>
                <w:szCs w:val="18"/>
              </w:rPr>
              <w:t>裁量基准</w:t>
            </w:r>
          </w:p>
        </w:tc>
      </w:tr>
      <w:tr w14:paraId="6F467FEF">
        <w:tblPrEx>
          <w:tblCellMar>
            <w:top w:w="0" w:type="dxa"/>
            <w:left w:w="108" w:type="dxa"/>
            <w:bottom w:w="0" w:type="dxa"/>
            <w:right w:w="108" w:type="dxa"/>
          </w:tblCellMar>
        </w:tblPrEx>
        <w:trPr>
          <w:trHeight w:val="650" w:hRule="atLeast"/>
        </w:trPr>
        <w:tc>
          <w:tcPr>
            <w:tcW w:w="1056" w:type="dxa"/>
            <w:vMerge w:val="restart"/>
            <w:tcBorders>
              <w:top w:val="nil"/>
              <w:left w:val="single" w:color="auto" w:sz="8" w:space="0"/>
              <w:bottom w:val="single" w:color="auto" w:sz="4" w:space="0"/>
              <w:right w:val="single" w:color="auto" w:sz="4" w:space="0"/>
            </w:tcBorders>
            <w:vAlign w:val="center"/>
          </w:tcPr>
          <w:p w14:paraId="5EECD8A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740EAD79">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color="auto" w:sz="4" w:space="0"/>
              <w:left w:val="single" w:color="auto" w:sz="4" w:space="0"/>
              <w:bottom w:val="single" w:color="auto" w:sz="4" w:space="0"/>
              <w:right w:val="single" w:color="auto" w:sz="4" w:space="0"/>
            </w:tcBorders>
            <w:vAlign w:val="center"/>
          </w:tcPr>
          <w:p w14:paraId="2A282F37">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3E009D3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41E1FEDB">
        <w:tblPrEx>
          <w:tblCellMar>
            <w:top w:w="0" w:type="dxa"/>
            <w:left w:w="108" w:type="dxa"/>
            <w:bottom w:w="0" w:type="dxa"/>
            <w:right w:w="108" w:type="dxa"/>
          </w:tblCellMar>
        </w:tblPrEx>
        <w:trPr>
          <w:trHeight w:val="362" w:hRule="atLeast"/>
        </w:trPr>
        <w:tc>
          <w:tcPr>
            <w:tcW w:w="1056" w:type="dxa"/>
            <w:vMerge w:val="continue"/>
            <w:tcBorders>
              <w:top w:val="nil"/>
              <w:left w:val="single" w:color="auto" w:sz="8" w:space="0"/>
              <w:bottom w:val="single" w:color="auto" w:sz="4" w:space="0"/>
              <w:right w:val="single" w:color="auto" w:sz="4" w:space="0"/>
            </w:tcBorders>
            <w:vAlign w:val="center"/>
          </w:tcPr>
          <w:p w14:paraId="2425E4F8">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228E343">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48055E23">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1BE645A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3B9C5109"/>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2C3B9B3C">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1A8357FF">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0CC3BF39">
            <w:pPr>
              <w:spacing w:line="320" w:lineRule="exact"/>
              <w:jc w:val="left"/>
              <w:rPr>
                <w:rFonts w:eastAsia="仿宋_GB2312"/>
                <w:b/>
                <w:bCs/>
                <w:color w:val="000000"/>
                <w:kern w:val="0"/>
                <w:sz w:val="18"/>
                <w:szCs w:val="18"/>
              </w:rPr>
            </w:pPr>
            <w:r>
              <w:rPr>
                <w:rFonts w:eastAsia="仿宋_GB2312"/>
                <w:b/>
                <w:bCs/>
                <w:color w:val="000000"/>
                <w:kern w:val="0"/>
                <w:sz w:val="18"/>
                <w:szCs w:val="18"/>
              </w:rPr>
              <w:t>320217210000</w:t>
            </w:r>
          </w:p>
        </w:tc>
      </w:tr>
      <w:tr w14:paraId="0C97A1B0">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3DFC0352">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669EAA77">
            <w:pPr>
              <w:spacing w:line="320" w:lineRule="exact"/>
              <w:jc w:val="left"/>
              <w:rPr>
                <w:color w:val="000000"/>
                <w:kern w:val="0"/>
                <w:sz w:val="18"/>
                <w:szCs w:val="18"/>
              </w:rPr>
            </w:pPr>
            <w:r>
              <w:rPr>
                <w:rFonts w:hint="eastAsia"/>
                <w:color w:val="000000"/>
                <w:kern w:val="0"/>
                <w:sz w:val="18"/>
                <w:szCs w:val="18"/>
              </w:rPr>
              <w:t>对注册执业人员未执行民用建筑节能强制性标准的处罚</w:t>
            </w:r>
          </w:p>
        </w:tc>
      </w:tr>
      <w:tr w14:paraId="560A30AE">
        <w:tblPrEx>
          <w:tblCellMar>
            <w:top w:w="0" w:type="dxa"/>
            <w:left w:w="108" w:type="dxa"/>
            <w:bottom w:w="0" w:type="dxa"/>
            <w:right w:w="108" w:type="dxa"/>
          </w:tblCellMar>
        </w:tblPrEx>
        <w:trPr>
          <w:trHeight w:val="1065" w:hRule="atLeast"/>
        </w:trPr>
        <w:tc>
          <w:tcPr>
            <w:tcW w:w="1050" w:type="dxa"/>
            <w:tcBorders>
              <w:top w:val="nil"/>
              <w:left w:val="single" w:color="auto" w:sz="8" w:space="0"/>
              <w:bottom w:val="single" w:color="auto" w:sz="4" w:space="0"/>
              <w:right w:val="single" w:color="auto" w:sz="4" w:space="0"/>
            </w:tcBorders>
            <w:vAlign w:val="center"/>
          </w:tcPr>
          <w:p w14:paraId="0A18E5BC">
            <w:pPr>
              <w:spacing w:line="320" w:lineRule="exact"/>
              <w:jc w:val="center"/>
              <w:rPr>
                <w:color w:val="000000"/>
                <w:kern w:val="0"/>
                <w:sz w:val="18"/>
                <w:szCs w:val="18"/>
              </w:rPr>
            </w:pPr>
            <w:r>
              <w:rPr>
                <w:rFonts w:hint="eastAsia"/>
                <w:color w:val="000000"/>
                <w:kern w:val="0"/>
                <w:sz w:val="18"/>
                <w:szCs w:val="18"/>
              </w:rPr>
              <w:t>法律依据　</w:t>
            </w:r>
          </w:p>
        </w:tc>
        <w:tc>
          <w:tcPr>
            <w:tcW w:w="13000" w:type="dxa"/>
            <w:gridSpan w:val="3"/>
            <w:tcBorders>
              <w:top w:val="single" w:color="auto" w:sz="4" w:space="0"/>
              <w:left w:val="nil"/>
              <w:bottom w:val="single" w:color="auto" w:sz="4" w:space="0"/>
              <w:right w:val="single" w:color="000000" w:sz="8" w:space="0"/>
            </w:tcBorders>
            <w:vAlign w:val="center"/>
          </w:tcPr>
          <w:p w14:paraId="6ACA3F1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14:paraId="7D74C6C8">
            <w:pPr>
              <w:spacing w:line="320" w:lineRule="exact"/>
              <w:jc w:val="left"/>
              <w:rPr>
                <w:color w:val="000000"/>
                <w:kern w:val="0"/>
                <w:sz w:val="18"/>
                <w:szCs w:val="18"/>
              </w:rPr>
            </w:pPr>
            <w:r>
              <w:rPr>
                <w:rFonts w:hint="eastAsia"/>
                <w:color w:val="000000"/>
                <w:kern w:val="0"/>
                <w:sz w:val="18"/>
                <w:szCs w:val="18"/>
              </w:rPr>
              <w:t>第十五条　设计单位、施工单位、工程监理单位及其注册执业人员，应当按照民用建筑节能强制性标准进行设计、施工、监理。</w:t>
            </w:r>
          </w:p>
          <w:p w14:paraId="62B26272">
            <w:pPr>
              <w:spacing w:line="320" w:lineRule="exact"/>
              <w:jc w:val="left"/>
              <w:rPr>
                <w:color w:val="000000"/>
                <w:kern w:val="0"/>
                <w:sz w:val="18"/>
                <w:szCs w:val="18"/>
              </w:rPr>
            </w:pPr>
            <w:r>
              <w:rPr>
                <w:rFonts w:hint="eastAsia"/>
                <w:color w:val="000000"/>
                <w:kern w:val="0"/>
                <w:sz w:val="18"/>
                <w:szCs w:val="18"/>
              </w:rPr>
              <w:t>第四十四条　违反本条例规定，注册执业人员未执行民用建筑节能强制性标准的，由县级以上人民政府建设主管部门责令停止执业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年以下；情节严重的，由颁发资格证书的部门吊销执业资格证书，</w:t>
            </w:r>
            <w:r>
              <w:rPr>
                <w:color w:val="000000"/>
                <w:kern w:val="0"/>
                <w:sz w:val="18"/>
                <w:szCs w:val="18"/>
              </w:rPr>
              <w:t>5</w:t>
            </w:r>
            <w:r>
              <w:rPr>
                <w:rFonts w:hint="eastAsia"/>
                <w:color w:val="000000"/>
                <w:kern w:val="0"/>
                <w:sz w:val="18"/>
                <w:szCs w:val="18"/>
              </w:rPr>
              <w:t>年内不予注册。</w:t>
            </w:r>
          </w:p>
        </w:tc>
      </w:tr>
      <w:tr w14:paraId="69FBA098">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17A7D1B7">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0E3EF8FF">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年以下，吊销执业资格证，</w:t>
            </w:r>
            <w:r>
              <w:rPr>
                <w:color w:val="000000"/>
                <w:kern w:val="0"/>
                <w:sz w:val="18"/>
                <w:szCs w:val="18"/>
              </w:rPr>
              <w:t>5</w:t>
            </w:r>
            <w:r>
              <w:rPr>
                <w:rFonts w:hint="eastAsia"/>
                <w:color w:val="000000"/>
                <w:kern w:val="0"/>
                <w:sz w:val="18"/>
                <w:szCs w:val="18"/>
              </w:rPr>
              <w:t>年内不予注册</w:t>
            </w:r>
          </w:p>
        </w:tc>
      </w:tr>
      <w:tr w14:paraId="6D4F2A40">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53DB04C3">
            <w:pPr>
              <w:spacing w:line="320" w:lineRule="exact"/>
              <w:jc w:val="center"/>
              <w:rPr>
                <w:color w:val="000000"/>
                <w:kern w:val="0"/>
                <w:sz w:val="18"/>
                <w:szCs w:val="18"/>
              </w:rPr>
            </w:pPr>
            <w:r>
              <w:rPr>
                <w:rFonts w:hint="eastAsia"/>
                <w:color w:val="000000"/>
                <w:kern w:val="0"/>
                <w:sz w:val="18"/>
                <w:szCs w:val="18"/>
              </w:rPr>
              <w:t>裁量基准</w:t>
            </w:r>
          </w:p>
        </w:tc>
      </w:tr>
      <w:tr w14:paraId="4C485E3E">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single" w:color="000000" w:sz="4" w:space="0"/>
              <w:right w:val="single" w:color="auto" w:sz="4" w:space="0"/>
            </w:tcBorders>
            <w:vAlign w:val="center"/>
          </w:tcPr>
          <w:p w14:paraId="4F90409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50E29999">
            <w:pPr>
              <w:spacing w:line="320" w:lineRule="exact"/>
              <w:jc w:val="left"/>
              <w:rPr>
                <w:color w:val="000000"/>
                <w:kern w:val="0"/>
                <w:sz w:val="18"/>
                <w:szCs w:val="18"/>
              </w:rPr>
            </w:pPr>
            <w:r>
              <w:rPr>
                <w:rFonts w:hint="eastAsia"/>
                <w:color w:val="000000"/>
                <w:kern w:val="0"/>
                <w:sz w:val="18"/>
                <w:szCs w:val="18"/>
              </w:rPr>
              <w:t>未产生质量问题且及时改正的</w:t>
            </w:r>
          </w:p>
        </w:tc>
        <w:tc>
          <w:tcPr>
            <w:tcW w:w="1100" w:type="dxa"/>
            <w:vMerge w:val="restart"/>
            <w:tcBorders>
              <w:top w:val="nil"/>
              <w:left w:val="single" w:color="auto" w:sz="4" w:space="0"/>
              <w:bottom w:val="single" w:color="000000" w:sz="4" w:space="0"/>
              <w:right w:val="single" w:color="auto" w:sz="4" w:space="0"/>
            </w:tcBorders>
            <w:vAlign w:val="center"/>
          </w:tcPr>
          <w:p w14:paraId="3E13D832">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3D1CEBED">
            <w:pPr>
              <w:spacing w:line="320" w:lineRule="exact"/>
              <w:jc w:val="left"/>
              <w:rPr>
                <w:color w:val="000000"/>
                <w:kern w:val="0"/>
                <w:sz w:val="18"/>
                <w:szCs w:val="18"/>
              </w:rPr>
            </w:pPr>
            <w:r>
              <w:rPr>
                <w:rFonts w:hint="eastAsia"/>
                <w:color w:val="000000"/>
                <w:kern w:val="0"/>
                <w:sz w:val="18"/>
                <w:szCs w:val="18"/>
              </w:rPr>
              <w:t>停止执业</w:t>
            </w:r>
            <w:r>
              <w:rPr>
                <w:color w:val="000000"/>
                <w:kern w:val="0"/>
                <w:sz w:val="18"/>
                <w:szCs w:val="18"/>
              </w:rPr>
              <w:t>3</w:t>
            </w:r>
            <w:r>
              <w:rPr>
                <w:rFonts w:hint="eastAsia"/>
                <w:color w:val="000000"/>
                <w:kern w:val="0"/>
                <w:sz w:val="18"/>
                <w:szCs w:val="18"/>
              </w:rPr>
              <w:t>个月以上</w:t>
            </w:r>
            <w:r>
              <w:rPr>
                <w:color w:val="000000"/>
                <w:kern w:val="0"/>
                <w:sz w:val="18"/>
                <w:szCs w:val="18"/>
              </w:rPr>
              <w:t>9</w:t>
            </w:r>
            <w:r>
              <w:rPr>
                <w:rFonts w:hint="eastAsia"/>
                <w:color w:val="000000"/>
                <w:kern w:val="0"/>
                <w:sz w:val="18"/>
                <w:szCs w:val="18"/>
              </w:rPr>
              <w:t>个月以下</w:t>
            </w:r>
          </w:p>
        </w:tc>
      </w:tr>
      <w:tr w14:paraId="6FF40535">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auto" w:sz="8" w:space="0"/>
              <w:right w:val="single" w:color="auto" w:sz="4" w:space="0"/>
            </w:tcBorders>
            <w:vAlign w:val="center"/>
          </w:tcPr>
          <w:p w14:paraId="1E736956">
            <w:pPr>
              <w:spacing w:line="320" w:lineRule="exact"/>
              <w:jc w:val="left"/>
              <w:rPr>
                <w:color w:val="000000"/>
                <w:kern w:val="0"/>
                <w:sz w:val="18"/>
                <w:szCs w:val="18"/>
              </w:rPr>
            </w:pPr>
          </w:p>
        </w:tc>
        <w:tc>
          <w:tcPr>
            <w:tcW w:w="6140" w:type="dxa"/>
            <w:tcBorders>
              <w:top w:val="single" w:color="auto" w:sz="4" w:space="0"/>
              <w:left w:val="nil"/>
              <w:bottom w:val="single" w:color="auto" w:sz="8" w:space="0"/>
              <w:right w:val="single" w:color="000000" w:sz="4" w:space="0"/>
            </w:tcBorders>
            <w:vAlign w:val="center"/>
          </w:tcPr>
          <w:p w14:paraId="5802F22D">
            <w:pPr>
              <w:spacing w:line="320" w:lineRule="exact"/>
              <w:jc w:val="left"/>
              <w:rPr>
                <w:color w:val="000000"/>
                <w:kern w:val="0"/>
                <w:sz w:val="18"/>
                <w:szCs w:val="18"/>
              </w:rPr>
            </w:pPr>
            <w:r>
              <w:rPr>
                <w:rFonts w:hint="eastAsia"/>
                <w:color w:val="000000"/>
                <w:kern w:val="0"/>
                <w:sz w:val="18"/>
                <w:szCs w:val="18"/>
              </w:rPr>
              <w:t>存在质量问题的</w:t>
            </w:r>
          </w:p>
        </w:tc>
        <w:tc>
          <w:tcPr>
            <w:tcW w:w="1100" w:type="dxa"/>
            <w:vMerge w:val="continue"/>
            <w:tcBorders>
              <w:top w:val="nil"/>
              <w:left w:val="single" w:color="auto" w:sz="4" w:space="0"/>
              <w:bottom w:val="single" w:color="auto" w:sz="8" w:space="0"/>
              <w:right w:val="single" w:color="auto" w:sz="4" w:space="0"/>
            </w:tcBorders>
            <w:vAlign w:val="center"/>
          </w:tcPr>
          <w:p w14:paraId="1AF8DB32">
            <w:pPr>
              <w:spacing w:line="320" w:lineRule="exact"/>
              <w:jc w:val="left"/>
              <w:rPr>
                <w:color w:val="000000"/>
                <w:kern w:val="0"/>
                <w:sz w:val="18"/>
                <w:szCs w:val="18"/>
              </w:rPr>
            </w:pPr>
          </w:p>
        </w:tc>
        <w:tc>
          <w:tcPr>
            <w:tcW w:w="5760" w:type="dxa"/>
            <w:tcBorders>
              <w:top w:val="nil"/>
              <w:left w:val="nil"/>
              <w:bottom w:val="single" w:color="auto" w:sz="8" w:space="0"/>
              <w:right w:val="single" w:color="auto" w:sz="8" w:space="0"/>
            </w:tcBorders>
            <w:vAlign w:val="center"/>
          </w:tcPr>
          <w:p w14:paraId="71ACCA04">
            <w:pPr>
              <w:spacing w:line="320" w:lineRule="exact"/>
              <w:jc w:val="left"/>
              <w:rPr>
                <w:color w:val="000000"/>
                <w:kern w:val="0"/>
                <w:sz w:val="18"/>
                <w:szCs w:val="18"/>
              </w:rPr>
            </w:pPr>
            <w:r>
              <w:rPr>
                <w:rFonts w:hint="eastAsia"/>
                <w:color w:val="000000"/>
                <w:kern w:val="0"/>
                <w:sz w:val="18"/>
                <w:szCs w:val="18"/>
              </w:rPr>
              <w:t>停止执业</w:t>
            </w:r>
            <w:r>
              <w:rPr>
                <w:color w:val="000000"/>
                <w:kern w:val="0"/>
                <w:sz w:val="18"/>
                <w:szCs w:val="18"/>
              </w:rPr>
              <w:t>9</w:t>
            </w:r>
            <w:r>
              <w:rPr>
                <w:rFonts w:hint="eastAsia"/>
                <w:color w:val="000000"/>
                <w:kern w:val="0"/>
                <w:sz w:val="18"/>
                <w:szCs w:val="18"/>
              </w:rPr>
              <w:t>个月以上</w:t>
            </w:r>
            <w:r>
              <w:rPr>
                <w:color w:val="000000"/>
                <w:kern w:val="0"/>
                <w:sz w:val="18"/>
                <w:szCs w:val="18"/>
              </w:rPr>
              <w:t>12</w:t>
            </w:r>
            <w:r>
              <w:rPr>
                <w:rFonts w:hint="eastAsia"/>
                <w:color w:val="000000"/>
                <w:kern w:val="0"/>
                <w:sz w:val="18"/>
                <w:szCs w:val="18"/>
              </w:rPr>
              <w:t>个月以下</w:t>
            </w:r>
          </w:p>
        </w:tc>
      </w:tr>
      <w:tr w14:paraId="1F876521">
        <w:tblPrEx>
          <w:tblCellMar>
            <w:top w:w="0" w:type="dxa"/>
            <w:left w:w="108" w:type="dxa"/>
            <w:bottom w:w="0" w:type="dxa"/>
            <w:right w:w="108" w:type="dxa"/>
          </w:tblCellMar>
        </w:tblPrEx>
        <w:trPr>
          <w:trHeight w:val="485" w:hRule="atLeast"/>
        </w:trPr>
        <w:tc>
          <w:tcPr>
            <w:tcW w:w="1050" w:type="dxa"/>
            <w:vMerge w:val="continue"/>
            <w:tcBorders>
              <w:top w:val="single" w:color="auto" w:sz="8" w:space="0"/>
              <w:left w:val="single" w:color="auto" w:sz="8" w:space="0"/>
              <w:bottom w:val="single" w:color="auto" w:sz="8" w:space="0"/>
              <w:right w:val="single" w:color="auto" w:sz="4" w:space="0"/>
            </w:tcBorders>
            <w:vAlign w:val="center"/>
          </w:tcPr>
          <w:p w14:paraId="23997C88">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76B070AF">
            <w:pPr>
              <w:spacing w:line="320" w:lineRule="exact"/>
              <w:jc w:val="left"/>
              <w:rPr>
                <w:color w:val="000000"/>
                <w:kern w:val="0"/>
                <w:sz w:val="18"/>
                <w:szCs w:val="18"/>
              </w:rPr>
            </w:pPr>
            <w:r>
              <w:rPr>
                <w:rFonts w:hint="eastAsia"/>
                <w:color w:val="000000"/>
                <w:kern w:val="0"/>
                <w:sz w:val="18"/>
                <w:szCs w:val="18"/>
              </w:rPr>
              <w:t>造成质量安全事故的</w:t>
            </w:r>
          </w:p>
        </w:tc>
        <w:tc>
          <w:tcPr>
            <w:tcW w:w="1100" w:type="dxa"/>
            <w:vMerge w:val="continue"/>
            <w:tcBorders>
              <w:top w:val="single" w:color="auto" w:sz="8" w:space="0"/>
              <w:left w:val="single" w:color="auto" w:sz="4" w:space="0"/>
              <w:bottom w:val="single" w:color="auto" w:sz="8" w:space="0"/>
              <w:right w:val="single" w:color="auto" w:sz="4" w:space="0"/>
            </w:tcBorders>
            <w:vAlign w:val="center"/>
          </w:tcPr>
          <w:p w14:paraId="03D8721D">
            <w:pPr>
              <w:spacing w:line="320" w:lineRule="exact"/>
              <w:jc w:val="left"/>
              <w:rPr>
                <w:color w:val="000000"/>
                <w:kern w:val="0"/>
                <w:sz w:val="18"/>
                <w:szCs w:val="18"/>
              </w:rPr>
            </w:pPr>
          </w:p>
        </w:tc>
        <w:tc>
          <w:tcPr>
            <w:tcW w:w="5760" w:type="dxa"/>
            <w:tcBorders>
              <w:top w:val="single" w:color="auto" w:sz="8" w:space="0"/>
              <w:left w:val="nil"/>
              <w:bottom w:val="single" w:color="auto" w:sz="8" w:space="0"/>
              <w:right w:val="single" w:color="auto" w:sz="8" w:space="0"/>
            </w:tcBorders>
            <w:vAlign w:val="center"/>
          </w:tcPr>
          <w:p w14:paraId="671DBD0F">
            <w:pPr>
              <w:spacing w:line="320" w:lineRule="exact"/>
              <w:jc w:val="left"/>
              <w:rPr>
                <w:color w:val="000000"/>
                <w:kern w:val="0"/>
                <w:sz w:val="18"/>
                <w:szCs w:val="18"/>
              </w:rPr>
            </w:pPr>
            <w:r>
              <w:rPr>
                <w:rFonts w:hint="eastAsia"/>
                <w:color w:val="000000"/>
                <w:kern w:val="0"/>
                <w:sz w:val="18"/>
                <w:szCs w:val="18"/>
              </w:rPr>
              <w:t>吊销执业资格证书，</w:t>
            </w:r>
            <w:r>
              <w:rPr>
                <w:color w:val="000000"/>
                <w:kern w:val="0"/>
                <w:sz w:val="18"/>
                <w:szCs w:val="18"/>
              </w:rPr>
              <w:t>5</w:t>
            </w:r>
            <w:r>
              <w:rPr>
                <w:rFonts w:hint="eastAsia"/>
                <w:color w:val="000000"/>
                <w:kern w:val="0"/>
                <w:sz w:val="18"/>
                <w:szCs w:val="18"/>
              </w:rPr>
              <w:t>年内不予注册</w:t>
            </w:r>
          </w:p>
        </w:tc>
      </w:tr>
    </w:tbl>
    <w:p w14:paraId="7AB78C35"/>
    <w:p w14:paraId="13F68705"/>
    <w:tbl>
      <w:tblPr>
        <w:tblStyle w:val="15"/>
        <w:tblW w:w="0" w:type="auto"/>
        <w:tblInd w:w="78" w:type="dxa"/>
        <w:tblLayout w:type="fixed"/>
        <w:tblCellMar>
          <w:top w:w="0" w:type="dxa"/>
          <w:left w:w="108" w:type="dxa"/>
          <w:bottom w:w="0" w:type="dxa"/>
          <w:right w:w="108" w:type="dxa"/>
        </w:tblCellMar>
      </w:tblPr>
      <w:tblGrid>
        <w:gridCol w:w="1030"/>
        <w:gridCol w:w="1540"/>
        <w:gridCol w:w="4600"/>
        <w:gridCol w:w="1080"/>
        <w:gridCol w:w="5820"/>
      </w:tblGrid>
      <w:tr w14:paraId="4C6B37EE">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68F426E3">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tcBorders>
              <w:top w:val="single" w:color="auto" w:sz="8" w:space="0"/>
              <w:left w:val="nil"/>
              <w:bottom w:val="single" w:color="auto" w:sz="4" w:space="0"/>
              <w:right w:val="single" w:color="000000" w:sz="8" w:space="0"/>
            </w:tcBorders>
            <w:vAlign w:val="center"/>
          </w:tcPr>
          <w:p w14:paraId="1D165186">
            <w:pPr>
              <w:spacing w:line="320" w:lineRule="exact"/>
              <w:jc w:val="left"/>
              <w:rPr>
                <w:rFonts w:eastAsia="仿宋_GB2312"/>
                <w:b/>
                <w:bCs/>
                <w:color w:val="000000"/>
                <w:kern w:val="0"/>
                <w:sz w:val="18"/>
                <w:szCs w:val="18"/>
              </w:rPr>
            </w:pPr>
            <w:r>
              <w:rPr>
                <w:rFonts w:eastAsia="仿宋_GB2312"/>
                <w:b/>
                <w:bCs/>
                <w:color w:val="000000"/>
                <w:kern w:val="0"/>
                <w:sz w:val="18"/>
                <w:szCs w:val="18"/>
              </w:rPr>
              <w:t>320217211000</w:t>
            </w:r>
            <w:r>
              <w:rPr>
                <w:rFonts w:hint="eastAsia" w:eastAsia="仿宋_GB2312"/>
                <w:b/>
                <w:bCs/>
                <w:color w:val="000000"/>
                <w:kern w:val="0"/>
                <w:sz w:val="18"/>
                <w:szCs w:val="18"/>
              </w:rPr>
              <w:t xml:space="preserve"> </w:t>
            </w:r>
          </w:p>
        </w:tc>
      </w:tr>
      <w:tr w14:paraId="0790E6B1">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FBEEC3E">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tcBorders>
              <w:top w:val="single" w:color="auto" w:sz="4" w:space="0"/>
              <w:left w:val="nil"/>
              <w:bottom w:val="single" w:color="auto" w:sz="4" w:space="0"/>
              <w:right w:val="single" w:color="000000" w:sz="8" w:space="0"/>
            </w:tcBorders>
            <w:vAlign w:val="center"/>
          </w:tcPr>
          <w:p w14:paraId="59A7E955">
            <w:pPr>
              <w:spacing w:line="320" w:lineRule="exact"/>
              <w:jc w:val="left"/>
              <w:rPr>
                <w:color w:val="000000"/>
                <w:kern w:val="0"/>
                <w:sz w:val="18"/>
                <w:szCs w:val="18"/>
              </w:rPr>
            </w:pPr>
            <w:r>
              <w:rPr>
                <w:rFonts w:hint="eastAsia"/>
                <w:color w:val="000000"/>
                <w:kern w:val="0"/>
                <w:sz w:val="18"/>
                <w:szCs w:val="18"/>
              </w:rPr>
              <w:t>对建设单位将建设工程发包给不具有相应资质等级的勘察、设计、施工单位或者委托给不具有相应资质等级的工程监理单位等的处罚</w:t>
            </w:r>
          </w:p>
        </w:tc>
      </w:tr>
      <w:tr w14:paraId="4F133D77">
        <w:tblPrEx>
          <w:tblCellMar>
            <w:top w:w="0" w:type="dxa"/>
            <w:left w:w="108" w:type="dxa"/>
            <w:bottom w:w="0" w:type="dxa"/>
            <w:right w:w="108" w:type="dxa"/>
          </w:tblCellMar>
        </w:tblPrEx>
        <w:trPr>
          <w:trHeight w:val="1740" w:hRule="atLeast"/>
        </w:trPr>
        <w:tc>
          <w:tcPr>
            <w:tcW w:w="1030" w:type="dxa"/>
            <w:tcBorders>
              <w:top w:val="nil"/>
              <w:left w:val="single" w:color="auto" w:sz="8" w:space="0"/>
              <w:bottom w:val="single" w:color="auto" w:sz="4" w:space="0"/>
              <w:right w:val="single" w:color="auto" w:sz="4" w:space="0"/>
            </w:tcBorders>
            <w:vAlign w:val="center"/>
          </w:tcPr>
          <w:p w14:paraId="3B4A0AAD">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tcBorders>
              <w:top w:val="single" w:color="auto" w:sz="4" w:space="0"/>
              <w:left w:val="nil"/>
              <w:bottom w:val="single" w:color="auto" w:sz="4" w:space="0"/>
              <w:right w:val="single" w:color="000000" w:sz="8" w:space="0"/>
            </w:tcBorders>
            <w:vAlign w:val="center"/>
          </w:tcPr>
          <w:p w14:paraId="0BD7505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02678DB4">
            <w:pPr>
              <w:spacing w:line="320" w:lineRule="exact"/>
              <w:jc w:val="left"/>
              <w:rPr>
                <w:color w:val="000000"/>
                <w:kern w:val="0"/>
                <w:sz w:val="18"/>
                <w:szCs w:val="18"/>
              </w:rPr>
            </w:pPr>
            <w:r>
              <w:rPr>
                <w:rFonts w:hint="eastAsia"/>
                <w:color w:val="000000"/>
                <w:kern w:val="0"/>
                <w:sz w:val="18"/>
                <w:szCs w:val="18"/>
              </w:rPr>
              <w:t>第七条第一款</w:t>
            </w:r>
            <w:r>
              <w:rPr>
                <w:color w:val="000000"/>
                <w:kern w:val="0"/>
                <w:sz w:val="18"/>
                <w:szCs w:val="18"/>
              </w:rPr>
              <w:t xml:space="preserve">  </w:t>
            </w:r>
            <w:r>
              <w:rPr>
                <w:rFonts w:hint="eastAsia"/>
                <w:color w:val="000000"/>
                <w:kern w:val="0"/>
                <w:sz w:val="18"/>
                <w:szCs w:val="18"/>
              </w:rPr>
              <w:t>建设单位应当将工程发包给具有相应资质等级的单位。</w:t>
            </w:r>
          </w:p>
          <w:p w14:paraId="06F6A2B3">
            <w:pPr>
              <w:spacing w:line="320" w:lineRule="exact"/>
              <w:jc w:val="left"/>
              <w:rPr>
                <w:color w:val="000000"/>
                <w:kern w:val="0"/>
                <w:sz w:val="18"/>
                <w:szCs w:val="18"/>
              </w:rPr>
            </w:pPr>
            <w:r>
              <w:rPr>
                <w:rFonts w:hint="eastAsia"/>
                <w:color w:val="000000"/>
                <w:kern w:val="0"/>
                <w:sz w:val="18"/>
                <w:szCs w:val="18"/>
              </w:rPr>
              <w:t>第五十四条</w:t>
            </w:r>
            <w:r>
              <w:rPr>
                <w:color w:val="000000"/>
                <w:kern w:val="0"/>
                <w:sz w:val="18"/>
                <w:szCs w:val="18"/>
              </w:rPr>
              <w:t xml:space="preserve"> </w:t>
            </w:r>
            <w:r>
              <w:rPr>
                <w:rFonts w:hint="eastAsia"/>
                <w:color w:val="000000"/>
                <w:kern w:val="0"/>
                <w:sz w:val="18"/>
                <w:szCs w:val="18"/>
              </w:rPr>
              <w:t>违反本条例规定，建设单位将建设工程发包给不具有相应资质等级的勘察、设计、施工单位或者委托给不具有相应资质等级的工程监理单位的，责令改正，处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w:t>
            </w:r>
          </w:p>
          <w:p w14:paraId="427D7F67">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565E44AB">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44D2670E">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FCCBEE4">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tcBorders>
              <w:top w:val="single" w:color="auto" w:sz="4" w:space="0"/>
              <w:left w:val="nil"/>
              <w:bottom w:val="single" w:color="auto" w:sz="4" w:space="0"/>
              <w:right w:val="single" w:color="000000" w:sz="8" w:space="0"/>
            </w:tcBorders>
            <w:vAlign w:val="center"/>
          </w:tcPr>
          <w:p w14:paraId="012004A6">
            <w:pPr>
              <w:spacing w:line="320" w:lineRule="exact"/>
              <w:jc w:val="left"/>
              <w:rPr>
                <w:color w:val="000000"/>
                <w:kern w:val="0"/>
                <w:sz w:val="18"/>
                <w:szCs w:val="18"/>
              </w:rPr>
            </w:pPr>
            <w:r>
              <w:rPr>
                <w:rFonts w:hint="eastAsia"/>
                <w:color w:val="000000"/>
                <w:kern w:val="0"/>
                <w:sz w:val="18"/>
                <w:szCs w:val="18"/>
              </w:rPr>
              <w:t>罚款</w:t>
            </w:r>
          </w:p>
        </w:tc>
      </w:tr>
      <w:tr w14:paraId="4CA5D6A5">
        <w:tblPrEx>
          <w:tblCellMar>
            <w:top w:w="0" w:type="dxa"/>
            <w:left w:w="108" w:type="dxa"/>
            <w:bottom w:w="0" w:type="dxa"/>
            <w:right w:w="108" w:type="dxa"/>
          </w:tblCellMar>
        </w:tblPrEx>
        <w:trPr>
          <w:trHeight w:val="285" w:hRule="atLeast"/>
        </w:trPr>
        <w:tc>
          <w:tcPr>
            <w:tcW w:w="14070" w:type="dxa"/>
            <w:gridSpan w:val="5"/>
            <w:tcBorders>
              <w:top w:val="single" w:color="auto" w:sz="4" w:space="0"/>
              <w:left w:val="single" w:color="auto" w:sz="8" w:space="0"/>
              <w:bottom w:val="single" w:color="auto" w:sz="4" w:space="0"/>
              <w:right w:val="single" w:color="000000" w:sz="8" w:space="0"/>
            </w:tcBorders>
            <w:vAlign w:val="center"/>
          </w:tcPr>
          <w:p w14:paraId="6E41CC38">
            <w:pPr>
              <w:spacing w:line="320" w:lineRule="exact"/>
              <w:jc w:val="center"/>
              <w:rPr>
                <w:color w:val="000000"/>
                <w:kern w:val="0"/>
                <w:sz w:val="18"/>
                <w:szCs w:val="18"/>
              </w:rPr>
            </w:pPr>
            <w:r>
              <w:rPr>
                <w:rFonts w:hint="eastAsia"/>
                <w:color w:val="000000"/>
                <w:kern w:val="0"/>
                <w:sz w:val="18"/>
                <w:szCs w:val="18"/>
              </w:rPr>
              <w:t>裁量基准</w:t>
            </w:r>
          </w:p>
        </w:tc>
      </w:tr>
      <w:tr w14:paraId="0E1BB912">
        <w:tblPrEx>
          <w:tblCellMar>
            <w:top w:w="0" w:type="dxa"/>
            <w:left w:w="108" w:type="dxa"/>
            <w:bottom w:w="0" w:type="dxa"/>
            <w:right w:w="108" w:type="dxa"/>
          </w:tblCellMar>
        </w:tblPrEx>
        <w:trPr>
          <w:trHeight w:val="480" w:hRule="atLeast"/>
        </w:trPr>
        <w:tc>
          <w:tcPr>
            <w:tcW w:w="1030" w:type="dxa"/>
            <w:vMerge w:val="restart"/>
            <w:tcBorders>
              <w:top w:val="nil"/>
              <w:left w:val="single" w:color="auto" w:sz="8" w:space="0"/>
              <w:bottom w:val="single" w:color="auto" w:sz="4" w:space="0"/>
              <w:right w:val="single" w:color="auto" w:sz="4" w:space="0"/>
            </w:tcBorders>
            <w:vAlign w:val="center"/>
          </w:tcPr>
          <w:p w14:paraId="18F59D5F">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6E222E2F">
            <w:pPr>
              <w:spacing w:line="320" w:lineRule="exact"/>
              <w:jc w:val="left"/>
              <w:rPr>
                <w:color w:val="000000"/>
                <w:kern w:val="0"/>
                <w:sz w:val="18"/>
                <w:szCs w:val="18"/>
              </w:rPr>
            </w:pPr>
            <w:r>
              <w:rPr>
                <w:rFonts w:hint="eastAsia"/>
                <w:color w:val="000000"/>
                <w:kern w:val="0"/>
                <w:sz w:val="18"/>
                <w:szCs w:val="18"/>
              </w:rPr>
              <w:t>承包或受委托单位低于规定资质等级的</w:t>
            </w:r>
          </w:p>
        </w:tc>
        <w:tc>
          <w:tcPr>
            <w:tcW w:w="4600" w:type="dxa"/>
            <w:tcBorders>
              <w:top w:val="nil"/>
              <w:left w:val="nil"/>
              <w:bottom w:val="single" w:color="auto" w:sz="4" w:space="0"/>
              <w:right w:val="single" w:color="auto" w:sz="4" w:space="0"/>
            </w:tcBorders>
            <w:vAlign w:val="center"/>
          </w:tcPr>
          <w:p w14:paraId="09D7D52B">
            <w:pPr>
              <w:spacing w:line="320" w:lineRule="exact"/>
              <w:jc w:val="left"/>
              <w:rPr>
                <w:color w:val="000000"/>
                <w:kern w:val="0"/>
                <w:sz w:val="18"/>
                <w:szCs w:val="18"/>
              </w:rPr>
            </w:pPr>
            <w:r>
              <w:rPr>
                <w:rFonts w:hint="eastAsia"/>
                <w:color w:val="000000"/>
                <w:kern w:val="0"/>
                <w:sz w:val="18"/>
                <w:szCs w:val="18"/>
              </w:rPr>
              <w:t>按照要求改正且未造成质量安全事故的</w:t>
            </w:r>
          </w:p>
        </w:tc>
        <w:tc>
          <w:tcPr>
            <w:tcW w:w="1080" w:type="dxa"/>
            <w:vMerge w:val="restart"/>
            <w:tcBorders>
              <w:top w:val="nil"/>
              <w:left w:val="single" w:color="auto" w:sz="4" w:space="0"/>
              <w:bottom w:val="single" w:color="auto" w:sz="4" w:space="0"/>
              <w:right w:val="single" w:color="auto" w:sz="4" w:space="0"/>
            </w:tcBorders>
            <w:vAlign w:val="center"/>
          </w:tcPr>
          <w:p w14:paraId="685565BA">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4A446593">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60</w:t>
            </w:r>
            <w:r>
              <w:rPr>
                <w:rFonts w:hint="eastAsia"/>
                <w:color w:val="000000"/>
                <w:kern w:val="0"/>
                <w:sz w:val="18"/>
                <w:szCs w:val="18"/>
              </w:rPr>
              <w:t>万元以下罚款</w:t>
            </w:r>
          </w:p>
          <w:p w14:paraId="0A7A3FD8">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2184568A">
        <w:tblPrEx>
          <w:tblCellMar>
            <w:top w:w="0" w:type="dxa"/>
            <w:left w:w="108" w:type="dxa"/>
            <w:bottom w:w="0" w:type="dxa"/>
            <w:right w:w="108" w:type="dxa"/>
          </w:tblCellMar>
        </w:tblPrEx>
        <w:trPr>
          <w:trHeight w:val="480" w:hRule="atLeast"/>
        </w:trPr>
        <w:tc>
          <w:tcPr>
            <w:tcW w:w="1030" w:type="dxa"/>
            <w:vMerge w:val="continue"/>
            <w:tcBorders>
              <w:top w:val="nil"/>
              <w:left w:val="single" w:color="auto" w:sz="8" w:space="0"/>
              <w:bottom w:val="single" w:color="auto" w:sz="4" w:space="0"/>
              <w:right w:val="single" w:color="auto" w:sz="4" w:space="0"/>
            </w:tcBorders>
            <w:vAlign w:val="center"/>
          </w:tcPr>
          <w:p w14:paraId="3637D408">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0D0FE0E0">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327821CB">
            <w:pPr>
              <w:spacing w:line="320" w:lineRule="exact"/>
              <w:jc w:val="left"/>
              <w:rPr>
                <w:color w:val="000000"/>
                <w:kern w:val="0"/>
                <w:sz w:val="18"/>
                <w:szCs w:val="18"/>
              </w:rPr>
            </w:pPr>
            <w:r>
              <w:rPr>
                <w:rFonts w:hint="eastAsia"/>
                <w:color w:val="000000"/>
                <w:kern w:val="0"/>
                <w:sz w:val="18"/>
                <w:szCs w:val="18"/>
              </w:rPr>
              <w:t>未按照要求改正或者造成质量安全事故的</w:t>
            </w:r>
          </w:p>
        </w:tc>
        <w:tc>
          <w:tcPr>
            <w:tcW w:w="1080" w:type="dxa"/>
            <w:vMerge w:val="continue"/>
            <w:tcBorders>
              <w:top w:val="nil"/>
              <w:left w:val="single" w:color="auto" w:sz="4" w:space="0"/>
              <w:bottom w:val="single" w:color="auto" w:sz="4" w:space="0"/>
              <w:right w:val="single" w:color="auto" w:sz="4" w:space="0"/>
            </w:tcBorders>
            <w:vAlign w:val="center"/>
          </w:tcPr>
          <w:p w14:paraId="02B17162">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B506A3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60</w:t>
            </w:r>
            <w:r>
              <w:rPr>
                <w:rFonts w:hint="eastAsia"/>
                <w:color w:val="000000"/>
                <w:kern w:val="0"/>
                <w:sz w:val="18"/>
                <w:szCs w:val="18"/>
              </w:rPr>
              <w:t>万元以上</w:t>
            </w:r>
            <w:r>
              <w:rPr>
                <w:color w:val="000000"/>
                <w:kern w:val="0"/>
                <w:sz w:val="18"/>
                <w:szCs w:val="18"/>
              </w:rPr>
              <w:t>90</w:t>
            </w:r>
            <w:r>
              <w:rPr>
                <w:rFonts w:hint="eastAsia"/>
                <w:color w:val="000000"/>
                <w:kern w:val="0"/>
                <w:sz w:val="18"/>
                <w:szCs w:val="18"/>
              </w:rPr>
              <w:t>万元以下罚款</w:t>
            </w:r>
          </w:p>
          <w:p w14:paraId="40FAD61F">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5CA1DACE">
        <w:tblPrEx>
          <w:tblCellMar>
            <w:top w:w="0" w:type="dxa"/>
            <w:left w:w="108" w:type="dxa"/>
            <w:bottom w:w="0" w:type="dxa"/>
            <w:right w:w="108" w:type="dxa"/>
          </w:tblCellMar>
        </w:tblPrEx>
        <w:trPr>
          <w:trHeight w:val="480" w:hRule="atLeast"/>
        </w:trPr>
        <w:tc>
          <w:tcPr>
            <w:tcW w:w="1030" w:type="dxa"/>
            <w:vMerge w:val="continue"/>
            <w:tcBorders>
              <w:top w:val="nil"/>
              <w:left w:val="single" w:color="auto" w:sz="8" w:space="0"/>
              <w:bottom w:val="single" w:color="auto" w:sz="4" w:space="0"/>
              <w:right w:val="single" w:color="auto" w:sz="4" w:space="0"/>
            </w:tcBorders>
            <w:vAlign w:val="center"/>
          </w:tcPr>
          <w:p w14:paraId="38AFB7F0">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47E407C6">
            <w:pPr>
              <w:spacing w:line="320" w:lineRule="exact"/>
              <w:jc w:val="left"/>
              <w:rPr>
                <w:color w:val="000000"/>
                <w:kern w:val="0"/>
                <w:sz w:val="18"/>
                <w:szCs w:val="18"/>
              </w:rPr>
            </w:pPr>
            <w:r>
              <w:rPr>
                <w:rFonts w:hint="eastAsia"/>
                <w:color w:val="000000"/>
                <w:kern w:val="0"/>
                <w:sz w:val="18"/>
                <w:szCs w:val="18"/>
              </w:rPr>
              <w:t>承包或受委托单位无资质的</w:t>
            </w:r>
          </w:p>
        </w:tc>
        <w:tc>
          <w:tcPr>
            <w:tcW w:w="4600" w:type="dxa"/>
            <w:tcBorders>
              <w:top w:val="nil"/>
              <w:left w:val="nil"/>
              <w:bottom w:val="single" w:color="auto" w:sz="4" w:space="0"/>
              <w:right w:val="single" w:color="auto" w:sz="4" w:space="0"/>
            </w:tcBorders>
            <w:vAlign w:val="center"/>
          </w:tcPr>
          <w:p w14:paraId="777283EB">
            <w:pPr>
              <w:spacing w:line="320" w:lineRule="exact"/>
              <w:jc w:val="left"/>
              <w:rPr>
                <w:color w:val="000000"/>
                <w:kern w:val="0"/>
                <w:sz w:val="18"/>
                <w:szCs w:val="18"/>
              </w:rPr>
            </w:pPr>
            <w:r>
              <w:rPr>
                <w:rFonts w:hint="eastAsia"/>
                <w:color w:val="000000"/>
                <w:kern w:val="0"/>
                <w:sz w:val="18"/>
                <w:szCs w:val="18"/>
              </w:rPr>
              <w:t>按照要求改正且未造成质量安全事故的</w:t>
            </w:r>
          </w:p>
        </w:tc>
        <w:tc>
          <w:tcPr>
            <w:tcW w:w="1080" w:type="dxa"/>
            <w:vMerge w:val="continue"/>
            <w:tcBorders>
              <w:top w:val="nil"/>
              <w:left w:val="single" w:color="auto" w:sz="4" w:space="0"/>
              <w:bottom w:val="single" w:color="auto" w:sz="4" w:space="0"/>
              <w:right w:val="single" w:color="auto" w:sz="4" w:space="0"/>
            </w:tcBorders>
            <w:vAlign w:val="center"/>
          </w:tcPr>
          <w:p w14:paraId="6377C22A">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F4F403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70</w:t>
            </w:r>
            <w:r>
              <w:rPr>
                <w:rFonts w:hint="eastAsia"/>
                <w:color w:val="000000"/>
                <w:kern w:val="0"/>
                <w:sz w:val="18"/>
                <w:szCs w:val="18"/>
              </w:rPr>
              <w:t>万元以下罚款</w:t>
            </w:r>
          </w:p>
          <w:p w14:paraId="089E18CD">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14:paraId="7AC805E7">
        <w:tblPrEx>
          <w:tblCellMar>
            <w:top w:w="0" w:type="dxa"/>
            <w:left w:w="108" w:type="dxa"/>
            <w:bottom w:w="0" w:type="dxa"/>
            <w:right w:w="108" w:type="dxa"/>
          </w:tblCellMar>
        </w:tblPrEx>
        <w:trPr>
          <w:trHeight w:val="480" w:hRule="atLeast"/>
        </w:trPr>
        <w:tc>
          <w:tcPr>
            <w:tcW w:w="1030" w:type="dxa"/>
            <w:vMerge w:val="continue"/>
            <w:tcBorders>
              <w:top w:val="nil"/>
              <w:left w:val="single" w:color="auto" w:sz="8" w:space="0"/>
              <w:bottom w:val="single" w:color="auto" w:sz="4" w:space="0"/>
              <w:right w:val="single" w:color="auto" w:sz="4" w:space="0"/>
            </w:tcBorders>
            <w:vAlign w:val="center"/>
          </w:tcPr>
          <w:p w14:paraId="40C8AECA">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13CE83BE">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BBA52FA">
            <w:pPr>
              <w:spacing w:line="320" w:lineRule="exact"/>
              <w:jc w:val="left"/>
              <w:rPr>
                <w:color w:val="000000"/>
                <w:kern w:val="0"/>
                <w:sz w:val="18"/>
                <w:szCs w:val="18"/>
              </w:rPr>
            </w:pPr>
            <w:r>
              <w:rPr>
                <w:rFonts w:hint="eastAsia"/>
                <w:color w:val="000000"/>
                <w:kern w:val="0"/>
                <w:sz w:val="18"/>
                <w:szCs w:val="18"/>
              </w:rPr>
              <w:t>未按照要求改正或者造成质量安全事故的</w:t>
            </w:r>
          </w:p>
        </w:tc>
        <w:tc>
          <w:tcPr>
            <w:tcW w:w="1080" w:type="dxa"/>
            <w:vMerge w:val="continue"/>
            <w:tcBorders>
              <w:top w:val="nil"/>
              <w:left w:val="single" w:color="auto" w:sz="4" w:space="0"/>
              <w:bottom w:val="single" w:color="auto" w:sz="4" w:space="0"/>
              <w:right w:val="single" w:color="auto" w:sz="4" w:space="0"/>
            </w:tcBorders>
            <w:vAlign w:val="center"/>
          </w:tcPr>
          <w:p w14:paraId="5F46B383">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2EB082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70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w:t>
            </w:r>
          </w:p>
          <w:p w14:paraId="25A960FE">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7%</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6C036A56"/>
    <w:p w14:paraId="558DEEDD"/>
    <w:p w14:paraId="6876A889"/>
    <w:p w14:paraId="42AC8111"/>
    <w:p w14:paraId="5993B614"/>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14FC49FA">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8783DF8">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72EBAEA2">
            <w:pPr>
              <w:spacing w:line="320" w:lineRule="exact"/>
              <w:jc w:val="left"/>
              <w:rPr>
                <w:rFonts w:eastAsia="仿宋_GB2312"/>
                <w:b/>
                <w:bCs/>
                <w:color w:val="000000"/>
                <w:kern w:val="0"/>
                <w:sz w:val="18"/>
                <w:szCs w:val="18"/>
              </w:rPr>
            </w:pPr>
            <w:r>
              <w:rPr>
                <w:rFonts w:eastAsia="仿宋_GB2312"/>
                <w:b/>
                <w:bCs/>
                <w:color w:val="000000"/>
                <w:kern w:val="0"/>
                <w:sz w:val="18"/>
                <w:szCs w:val="18"/>
              </w:rPr>
              <w:t>320217212000</w:t>
            </w:r>
          </w:p>
        </w:tc>
      </w:tr>
      <w:tr w14:paraId="4670736F">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5306916">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6F3A9AB8">
            <w:pPr>
              <w:spacing w:line="320" w:lineRule="exact"/>
              <w:jc w:val="left"/>
              <w:rPr>
                <w:color w:val="000000"/>
                <w:kern w:val="0"/>
                <w:sz w:val="18"/>
                <w:szCs w:val="18"/>
              </w:rPr>
            </w:pPr>
            <w:r>
              <w:rPr>
                <w:rFonts w:hint="eastAsia"/>
                <w:color w:val="000000"/>
                <w:kern w:val="0"/>
                <w:sz w:val="18"/>
                <w:szCs w:val="18"/>
              </w:rPr>
              <w:t>对工程监理单位与建设单位或者建筑施工企业串通，弄虚作假、降低工程质量的处罚</w:t>
            </w:r>
          </w:p>
        </w:tc>
      </w:tr>
      <w:tr w14:paraId="0846940F">
        <w:tblPrEx>
          <w:tblCellMar>
            <w:top w:w="0" w:type="dxa"/>
            <w:left w:w="108" w:type="dxa"/>
            <w:bottom w:w="0" w:type="dxa"/>
            <w:right w:w="108" w:type="dxa"/>
          </w:tblCellMar>
        </w:tblPrEx>
        <w:trPr>
          <w:trHeight w:val="2265" w:hRule="atLeast"/>
        </w:trPr>
        <w:tc>
          <w:tcPr>
            <w:tcW w:w="1056" w:type="dxa"/>
            <w:tcBorders>
              <w:top w:val="nil"/>
              <w:left w:val="single" w:color="auto" w:sz="8" w:space="0"/>
              <w:bottom w:val="single" w:color="auto" w:sz="4" w:space="0"/>
              <w:right w:val="single" w:color="auto" w:sz="4" w:space="0"/>
            </w:tcBorders>
            <w:vAlign w:val="center"/>
          </w:tcPr>
          <w:p w14:paraId="6150DB2E">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31A6DF21">
            <w:pPr>
              <w:spacing w:line="240" w:lineRule="exact"/>
              <w:jc w:val="left"/>
              <w:rPr>
                <w:color w:val="000000"/>
                <w:kern w:val="0"/>
                <w:sz w:val="18"/>
                <w:szCs w:val="18"/>
              </w:rPr>
            </w:pPr>
            <w:r>
              <w:rPr>
                <w:color w:val="000000"/>
                <w:kern w:val="0"/>
                <w:sz w:val="18"/>
                <w:szCs w:val="18"/>
              </w:rPr>
              <w:t xml:space="preserve">   【行政法规】《建设工程质量管理条例》（国务院令第279号）</w:t>
            </w:r>
          </w:p>
          <w:p w14:paraId="49C5A25E">
            <w:pPr>
              <w:spacing w:line="240" w:lineRule="exact"/>
              <w:jc w:val="left"/>
              <w:rPr>
                <w:color w:val="000000"/>
                <w:kern w:val="0"/>
                <w:sz w:val="18"/>
                <w:szCs w:val="18"/>
              </w:rPr>
            </w:pPr>
            <w:r>
              <w:rPr>
                <w:color w:val="000000"/>
                <w:kern w:val="0"/>
                <w:sz w:val="18"/>
                <w:szCs w:val="18"/>
              </w:rPr>
              <w:t>第三十六条　工程监理单位应当依照法律、法规以及有关技术标准、设计文件和建设工程承包合同，代表建设单位对施工质量实施监理，并对施工质量承担监理责任。</w:t>
            </w:r>
          </w:p>
          <w:p w14:paraId="1DFE6A28">
            <w:pPr>
              <w:spacing w:line="240" w:lineRule="exact"/>
              <w:jc w:val="left"/>
              <w:rPr>
                <w:color w:val="000000"/>
                <w:kern w:val="0"/>
                <w:sz w:val="18"/>
                <w:szCs w:val="18"/>
              </w:rPr>
            </w:pPr>
            <w:r>
              <w:rPr>
                <w:color w:val="000000"/>
                <w:kern w:val="0"/>
                <w:sz w:val="18"/>
                <w:szCs w:val="18"/>
              </w:rPr>
              <w:t>第六十七条　工程监理单位有下列行为之一的，责令改正，处50万元以上100万元以下的罚款，降低资质等级或者吊销资质证书；有违法所得的，予以没收；造成损失的，承担连带赔偿责任：</w:t>
            </w:r>
          </w:p>
          <w:p w14:paraId="5E992FC0">
            <w:pPr>
              <w:spacing w:line="240" w:lineRule="exact"/>
              <w:jc w:val="left"/>
              <w:rPr>
                <w:color w:val="000000"/>
                <w:kern w:val="0"/>
                <w:sz w:val="18"/>
                <w:szCs w:val="18"/>
              </w:rPr>
            </w:pPr>
            <w:r>
              <w:rPr>
                <w:color w:val="000000"/>
                <w:kern w:val="0"/>
                <w:sz w:val="18"/>
                <w:szCs w:val="18"/>
              </w:rPr>
              <w:t xml:space="preserve">  （一）与建设单位或者施工单位串通，弄虚作假，降低工程质量的。</w:t>
            </w:r>
          </w:p>
          <w:p w14:paraId="078BB904">
            <w:pPr>
              <w:spacing w:line="240" w:lineRule="exact"/>
              <w:jc w:val="left"/>
              <w:rPr>
                <w:color w:val="000000"/>
                <w:kern w:val="0"/>
                <w:sz w:val="18"/>
                <w:szCs w:val="18"/>
              </w:rPr>
            </w:pPr>
            <w:r>
              <w:rPr>
                <w:color w:val="000000"/>
                <w:kern w:val="0"/>
                <w:sz w:val="18"/>
                <w:szCs w:val="18"/>
              </w:rPr>
              <w:t>第七十三条 依照本条例规定，给予单位罚款处罚的，对单位直接负责的主管人员和其他直接责任人员处单位罚款数额５％以上１０％以下的罚款。</w:t>
            </w:r>
          </w:p>
          <w:p w14:paraId="20CCC9D2">
            <w:pPr>
              <w:spacing w:line="240" w:lineRule="exact"/>
              <w:jc w:val="left"/>
              <w:rPr>
                <w:color w:val="000000"/>
                <w:kern w:val="0"/>
                <w:sz w:val="18"/>
                <w:szCs w:val="18"/>
              </w:rPr>
            </w:pPr>
            <w:r>
              <w:rPr>
                <w:color w:val="000000"/>
                <w:kern w:val="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tc>
      </w:tr>
      <w:tr w14:paraId="51F794B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BCFCF21">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6D4479F2">
            <w:pPr>
              <w:spacing w:line="240" w:lineRule="exact"/>
              <w:jc w:val="left"/>
              <w:rPr>
                <w:color w:val="000000"/>
                <w:kern w:val="0"/>
                <w:sz w:val="18"/>
                <w:szCs w:val="18"/>
              </w:rPr>
            </w:pPr>
            <w:r>
              <w:rPr>
                <w:color w:val="000000"/>
                <w:kern w:val="0"/>
                <w:sz w:val="18"/>
                <w:szCs w:val="18"/>
              </w:rPr>
              <w:t>罚款，没收违法所得，降低资质等级，吊销资质证书</w:t>
            </w:r>
          </w:p>
        </w:tc>
      </w:tr>
      <w:tr w14:paraId="47F34E3A">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77540C98">
            <w:pPr>
              <w:spacing w:line="240" w:lineRule="exact"/>
              <w:jc w:val="center"/>
              <w:rPr>
                <w:color w:val="000000"/>
                <w:kern w:val="0"/>
                <w:sz w:val="18"/>
                <w:szCs w:val="18"/>
              </w:rPr>
            </w:pPr>
            <w:r>
              <w:rPr>
                <w:color w:val="000000"/>
                <w:kern w:val="0"/>
                <w:sz w:val="18"/>
                <w:szCs w:val="18"/>
              </w:rPr>
              <w:t>裁量基准</w:t>
            </w:r>
          </w:p>
        </w:tc>
      </w:tr>
      <w:tr w14:paraId="0B128B8B">
        <w:tblPrEx>
          <w:tblCellMar>
            <w:top w:w="0" w:type="dxa"/>
            <w:left w:w="108" w:type="dxa"/>
            <w:bottom w:w="0" w:type="dxa"/>
            <w:right w:w="108" w:type="dxa"/>
          </w:tblCellMar>
        </w:tblPrEx>
        <w:trPr>
          <w:trHeight w:val="720" w:hRule="atLeast"/>
        </w:trPr>
        <w:tc>
          <w:tcPr>
            <w:tcW w:w="1056" w:type="dxa"/>
            <w:vMerge w:val="restart"/>
            <w:tcBorders>
              <w:top w:val="nil"/>
              <w:left w:val="single" w:color="auto" w:sz="8" w:space="0"/>
              <w:bottom w:val="single" w:color="auto" w:sz="4" w:space="0"/>
              <w:right w:val="single" w:color="auto" w:sz="4" w:space="0"/>
            </w:tcBorders>
            <w:vAlign w:val="center"/>
          </w:tcPr>
          <w:p w14:paraId="67D57F8D">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2E65389F">
            <w:pPr>
              <w:spacing w:line="240" w:lineRule="exact"/>
              <w:jc w:val="left"/>
              <w:rPr>
                <w:color w:val="000000"/>
                <w:kern w:val="0"/>
                <w:sz w:val="18"/>
                <w:szCs w:val="18"/>
              </w:rPr>
            </w:pPr>
            <w:r>
              <w:rPr>
                <w:rFonts w:hint="eastAsia"/>
                <w:color w:val="000000"/>
                <w:kern w:val="0"/>
                <w:sz w:val="18"/>
                <w:szCs w:val="18"/>
              </w:rPr>
              <w:t>未造成质量事故的</w:t>
            </w:r>
          </w:p>
        </w:tc>
        <w:tc>
          <w:tcPr>
            <w:tcW w:w="4600" w:type="dxa"/>
            <w:tcBorders>
              <w:top w:val="nil"/>
              <w:left w:val="nil"/>
              <w:bottom w:val="single" w:color="auto" w:sz="4" w:space="0"/>
              <w:right w:val="single" w:color="auto" w:sz="4" w:space="0"/>
            </w:tcBorders>
            <w:vAlign w:val="center"/>
          </w:tcPr>
          <w:p w14:paraId="6F7A3152">
            <w:pPr>
              <w:spacing w:line="240" w:lineRule="exact"/>
              <w:jc w:val="left"/>
              <w:rPr>
                <w:color w:val="000000"/>
                <w:kern w:val="0"/>
                <w:sz w:val="18"/>
                <w:szCs w:val="18"/>
              </w:rPr>
            </w:pPr>
            <w:r>
              <w:rPr>
                <w:rFonts w:hint="eastAsia"/>
                <w:color w:val="000000"/>
                <w:kern w:val="0"/>
                <w:sz w:val="18"/>
                <w:szCs w:val="18"/>
              </w:rPr>
              <w:t>与建设单位或者施工单位串通，弄虚作假，降低工程质量</w:t>
            </w:r>
          </w:p>
        </w:tc>
        <w:tc>
          <w:tcPr>
            <w:tcW w:w="1044" w:type="dxa"/>
            <w:vMerge w:val="restart"/>
            <w:tcBorders>
              <w:top w:val="nil"/>
              <w:left w:val="single" w:color="auto" w:sz="4" w:space="0"/>
              <w:bottom w:val="single" w:color="auto" w:sz="4" w:space="0"/>
              <w:right w:val="single" w:color="auto" w:sz="4" w:space="0"/>
            </w:tcBorders>
            <w:vAlign w:val="center"/>
          </w:tcPr>
          <w:p w14:paraId="03A316E0">
            <w:pPr>
              <w:spacing w:line="24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4496C9B5">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50</w:t>
            </w:r>
            <w:r>
              <w:rPr>
                <w:rFonts w:hint="eastAsia"/>
                <w:color w:val="000000"/>
                <w:kern w:val="0"/>
                <w:sz w:val="18"/>
                <w:szCs w:val="18"/>
              </w:rPr>
              <w:t>万元以上以上</w:t>
            </w:r>
            <w:r>
              <w:rPr>
                <w:color w:val="000000"/>
                <w:kern w:val="0"/>
                <w:sz w:val="18"/>
                <w:szCs w:val="18"/>
              </w:rPr>
              <w:t>60</w:t>
            </w:r>
            <w:r>
              <w:rPr>
                <w:rFonts w:hint="eastAsia"/>
                <w:color w:val="000000"/>
                <w:kern w:val="0"/>
                <w:sz w:val="18"/>
                <w:szCs w:val="18"/>
              </w:rPr>
              <w:t>万元以下罚款，降低资质等级或者吊销资质证书</w:t>
            </w:r>
          </w:p>
          <w:p w14:paraId="7F03A358">
            <w:pPr>
              <w:spacing w:line="24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7F47B90F">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241BCD07">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1FD69066">
            <w:pPr>
              <w:spacing w:line="24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73EF6F1">
            <w:pPr>
              <w:spacing w:line="240" w:lineRule="exact"/>
              <w:jc w:val="left"/>
              <w:rPr>
                <w:color w:val="000000"/>
                <w:kern w:val="0"/>
                <w:sz w:val="18"/>
                <w:szCs w:val="18"/>
              </w:rPr>
            </w:pPr>
            <w:r>
              <w:rPr>
                <w:rFonts w:hint="eastAsia"/>
                <w:color w:val="000000"/>
                <w:kern w:val="0"/>
                <w:sz w:val="18"/>
                <w:szCs w:val="18"/>
              </w:rPr>
              <w:t>与建设单位和施工单位串通，弄虚作假，降低工程质量</w:t>
            </w:r>
          </w:p>
        </w:tc>
        <w:tc>
          <w:tcPr>
            <w:tcW w:w="1044" w:type="dxa"/>
            <w:vMerge w:val="continue"/>
            <w:tcBorders>
              <w:top w:val="nil"/>
              <w:left w:val="single" w:color="auto" w:sz="4" w:space="0"/>
              <w:bottom w:val="single" w:color="auto" w:sz="4" w:space="0"/>
              <w:right w:val="single" w:color="auto" w:sz="4" w:space="0"/>
            </w:tcBorders>
            <w:vAlign w:val="center"/>
          </w:tcPr>
          <w:p w14:paraId="71F9EC25">
            <w:pPr>
              <w:spacing w:line="24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289C571">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60</w:t>
            </w:r>
            <w:r>
              <w:rPr>
                <w:rFonts w:hint="eastAsia"/>
                <w:color w:val="000000"/>
                <w:kern w:val="0"/>
                <w:sz w:val="18"/>
                <w:szCs w:val="18"/>
              </w:rPr>
              <w:t>万元以上</w:t>
            </w:r>
            <w:r>
              <w:rPr>
                <w:color w:val="000000"/>
                <w:kern w:val="0"/>
                <w:sz w:val="18"/>
                <w:szCs w:val="18"/>
              </w:rPr>
              <w:t>70</w:t>
            </w:r>
            <w:r>
              <w:rPr>
                <w:rFonts w:hint="eastAsia"/>
                <w:color w:val="000000"/>
                <w:kern w:val="0"/>
                <w:sz w:val="18"/>
                <w:szCs w:val="18"/>
              </w:rPr>
              <w:t>万元以下罚款，降低资质等级或者吊销资质证书</w:t>
            </w:r>
          </w:p>
          <w:p w14:paraId="699372B1">
            <w:pPr>
              <w:spacing w:line="24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14:paraId="045DBD17">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4E916365">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6F9B9208">
            <w:pPr>
              <w:spacing w:line="240" w:lineRule="exact"/>
              <w:jc w:val="left"/>
              <w:rPr>
                <w:color w:val="000000"/>
                <w:kern w:val="0"/>
                <w:sz w:val="18"/>
                <w:szCs w:val="18"/>
              </w:rPr>
            </w:pPr>
            <w:r>
              <w:rPr>
                <w:rFonts w:hint="eastAsia"/>
                <w:color w:val="000000"/>
                <w:kern w:val="0"/>
                <w:sz w:val="18"/>
                <w:szCs w:val="18"/>
              </w:rPr>
              <w:t>造成质量事故的</w:t>
            </w:r>
          </w:p>
        </w:tc>
        <w:tc>
          <w:tcPr>
            <w:tcW w:w="4600" w:type="dxa"/>
            <w:tcBorders>
              <w:top w:val="nil"/>
              <w:left w:val="nil"/>
              <w:bottom w:val="single" w:color="auto" w:sz="4" w:space="0"/>
              <w:right w:val="single" w:color="auto" w:sz="4" w:space="0"/>
            </w:tcBorders>
            <w:vAlign w:val="center"/>
          </w:tcPr>
          <w:p w14:paraId="74275263">
            <w:pPr>
              <w:spacing w:line="240" w:lineRule="exact"/>
              <w:jc w:val="left"/>
              <w:rPr>
                <w:color w:val="000000"/>
                <w:kern w:val="0"/>
                <w:sz w:val="18"/>
                <w:szCs w:val="18"/>
              </w:rPr>
            </w:pPr>
            <w:r>
              <w:rPr>
                <w:rFonts w:hint="eastAsia"/>
                <w:color w:val="000000"/>
                <w:kern w:val="0"/>
                <w:sz w:val="18"/>
                <w:szCs w:val="18"/>
              </w:rPr>
              <w:t>与建设单位或者施工单位串通，弄虚作假，降低工程质量</w:t>
            </w:r>
          </w:p>
        </w:tc>
        <w:tc>
          <w:tcPr>
            <w:tcW w:w="1044" w:type="dxa"/>
            <w:vMerge w:val="continue"/>
            <w:tcBorders>
              <w:top w:val="nil"/>
              <w:left w:val="single" w:color="auto" w:sz="4" w:space="0"/>
              <w:bottom w:val="single" w:color="auto" w:sz="4" w:space="0"/>
              <w:right w:val="single" w:color="auto" w:sz="4" w:space="0"/>
            </w:tcBorders>
            <w:vAlign w:val="center"/>
          </w:tcPr>
          <w:p w14:paraId="26DEF426">
            <w:pPr>
              <w:spacing w:line="24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EAF5C2D">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70</w:t>
            </w:r>
            <w:r>
              <w:rPr>
                <w:rFonts w:hint="eastAsia"/>
                <w:color w:val="000000"/>
                <w:kern w:val="0"/>
                <w:sz w:val="18"/>
                <w:szCs w:val="18"/>
              </w:rPr>
              <w:t>万元以上</w:t>
            </w:r>
            <w:r>
              <w:rPr>
                <w:color w:val="000000"/>
                <w:kern w:val="0"/>
                <w:sz w:val="18"/>
                <w:szCs w:val="18"/>
              </w:rPr>
              <w:t>85</w:t>
            </w:r>
            <w:r>
              <w:rPr>
                <w:rFonts w:hint="eastAsia"/>
                <w:color w:val="000000"/>
                <w:kern w:val="0"/>
                <w:sz w:val="18"/>
                <w:szCs w:val="18"/>
              </w:rPr>
              <w:t>万元以下罚款，吊销资质证书</w:t>
            </w:r>
          </w:p>
          <w:p w14:paraId="11610923">
            <w:pPr>
              <w:spacing w:line="24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7%</w:t>
            </w:r>
            <w:r>
              <w:rPr>
                <w:rFonts w:hint="eastAsia"/>
                <w:color w:val="000000"/>
                <w:kern w:val="0"/>
                <w:sz w:val="18"/>
                <w:szCs w:val="18"/>
              </w:rPr>
              <w:t>以上</w:t>
            </w:r>
            <w:r>
              <w:rPr>
                <w:color w:val="000000"/>
                <w:kern w:val="0"/>
                <w:sz w:val="18"/>
                <w:szCs w:val="18"/>
              </w:rPr>
              <w:t>8.5%</w:t>
            </w:r>
            <w:r>
              <w:rPr>
                <w:rFonts w:hint="eastAsia"/>
                <w:color w:val="000000"/>
                <w:kern w:val="0"/>
                <w:sz w:val="18"/>
                <w:szCs w:val="18"/>
              </w:rPr>
              <w:t>以下罚款</w:t>
            </w:r>
          </w:p>
        </w:tc>
      </w:tr>
      <w:tr w14:paraId="4D42B0A4">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354E3B34">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419517E7">
            <w:pPr>
              <w:spacing w:line="24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F6429FB">
            <w:pPr>
              <w:spacing w:line="240" w:lineRule="exact"/>
              <w:jc w:val="left"/>
              <w:rPr>
                <w:color w:val="000000"/>
                <w:kern w:val="0"/>
                <w:sz w:val="18"/>
                <w:szCs w:val="18"/>
              </w:rPr>
            </w:pPr>
            <w:r>
              <w:rPr>
                <w:rFonts w:hint="eastAsia"/>
                <w:color w:val="000000"/>
                <w:kern w:val="0"/>
                <w:sz w:val="18"/>
                <w:szCs w:val="18"/>
              </w:rPr>
              <w:t>与建设单位和施工单位串通，弄虚作假，降低工程质量</w:t>
            </w:r>
          </w:p>
        </w:tc>
        <w:tc>
          <w:tcPr>
            <w:tcW w:w="1044" w:type="dxa"/>
            <w:vMerge w:val="continue"/>
            <w:tcBorders>
              <w:top w:val="nil"/>
              <w:left w:val="single" w:color="auto" w:sz="4" w:space="0"/>
              <w:bottom w:val="single" w:color="auto" w:sz="4" w:space="0"/>
              <w:right w:val="single" w:color="auto" w:sz="4" w:space="0"/>
            </w:tcBorders>
            <w:vAlign w:val="center"/>
          </w:tcPr>
          <w:p w14:paraId="73C3EE31">
            <w:pPr>
              <w:spacing w:line="24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A999664">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85</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万元以下罚款，吊销资质证书</w:t>
            </w:r>
          </w:p>
          <w:p w14:paraId="7167386C">
            <w:pPr>
              <w:spacing w:line="24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3BB5A911"/>
    <w:p w14:paraId="18AFDCEE"/>
    <w:p w14:paraId="205CAEF4"/>
    <w:p w14:paraId="78616468"/>
    <w:p w14:paraId="2D453F01"/>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0E2E19DA">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C1BDD3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52786788">
            <w:pPr>
              <w:jc w:val="left"/>
              <w:textAlignment w:val="center"/>
              <w:rPr>
                <w:rFonts w:eastAsia="仿宋_GB2312"/>
                <w:b/>
                <w:bCs/>
                <w:color w:val="000000"/>
                <w:kern w:val="0"/>
                <w:sz w:val="18"/>
                <w:szCs w:val="18"/>
              </w:rPr>
            </w:pPr>
            <w:r>
              <w:rPr>
                <w:rFonts w:eastAsia="仿宋_GB2312"/>
                <w:b/>
                <w:color w:val="000000"/>
                <w:kern w:val="0"/>
                <w:sz w:val="20"/>
              </w:rPr>
              <w:t>320217214000</w:t>
            </w:r>
            <w:r>
              <w:rPr>
                <w:rFonts w:hint="eastAsia" w:eastAsia="仿宋_GB2312"/>
                <w:b/>
                <w:color w:val="000000"/>
                <w:kern w:val="0"/>
                <w:sz w:val="20"/>
              </w:rPr>
              <w:t xml:space="preserve"> </w:t>
            </w:r>
          </w:p>
        </w:tc>
      </w:tr>
      <w:tr w14:paraId="61BDE81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A15D214">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6CDB8396">
            <w:pPr>
              <w:spacing w:line="320" w:lineRule="exact"/>
              <w:jc w:val="left"/>
              <w:rPr>
                <w:color w:val="000000"/>
                <w:kern w:val="0"/>
                <w:sz w:val="18"/>
                <w:szCs w:val="18"/>
              </w:rPr>
            </w:pPr>
            <w:r>
              <w:rPr>
                <w:rFonts w:hint="eastAsia"/>
                <w:color w:val="000000"/>
                <w:kern w:val="0"/>
                <w:sz w:val="18"/>
                <w:szCs w:val="18"/>
              </w:rPr>
              <w:t>对以欺骗、贿赂等不正当手段取得注册造价工程师注册证书的处罚</w:t>
            </w:r>
          </w:p>
        </w:tc>
      </w:tr>
      <w:tr w14:paraId="07A9B119">
        <w:tblPrEx>
          <w:tblCellMar>
            <w:top w:w="0" w:type="dxa"/>
            <w:left w:w="108" w:type="dxa"/>
            <w:bottom w:w="0" w:type="dxa"/>
            <w:right w:w="108" w:type="dxa"/>
          </w:tblCellMar>
        </w:tblPrEx>
        <w:trPr>
          <w:trHeight w:val="2040" w:hRule="atLeast"/>
        </w:trPr>
        <w:tc>
          <w:tcPr>
            <w:tcW w:w="1056" w:type="dxa"/>
            <w:tcBorders>
              <w:top w:val="nil"/>
              <w:left w:val="single" w:color="auto" w:sz="8" w:space="0"/>
              <w:bottom w:val="single" w:color="auto" w:sz="4" w:space="0"/>
              <w:right w:val="single" w:color="auto" w:sz="4" w:space="0"/>
            </w:tcBorders>
            <w:vAlign w:val="center"/>
          </w:tcPr>
          <w:p w14:paraId="652815A3">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1F788D38">
            <w:pPr>
              <w:spacing w:line="320" w:lineRule="exact"/>
              <w:jc w:val="left"/>
              <w:rPr>
                <w:color w:val="000000"/>
                <w:kern w:val="0"/>
                <w:sz w:val="18"/>
                <w:szCs w:val="18"/>
              </w:rPr>
            </w:pPr>
            <w:r>
              <w:rPr>
                <w:rFonts w:hint="eastAsia"/>
                <w:color w:val="000000"/>
                <w:kern w:val="0"/>
                <w:sz w:val="18"/>
                <w:szCs w:val="18"/>
              </w:rPr>
              <w:t>【法律】《中华人民共和国行政许可法》</w:t>
            </w:r>
          </w:p>
          <w:p w14:paraId="6072C57D">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14:paraId="63BADD71">
            <w:pPr>
              <w:spacing w:line="320" w:lineRule="exact"/>
              <w:jc w:val="left"/>
              <w:rPr>
                <w:color w:val="000000"/>
                <w:kern w:val="0"/>
                <w:sz w:val="18"/>
                <w:szCs w:val="18"/>
              </w:rPr>
            </w:pPr>
            <w:r>
              <w:rPr>
                <w:rFonts w:hint="eastAsia"/>
                <w:color w:val="000000"/>
                <w:kern w:val="0"/>
                <w:sz w:val="18"/>
                <w:szCs w:val="18"/>
              </w:rPr>
              <w:t>【规章】《注册造价工程师管理办法》（</w:t>
            </w:r>
            <w:r>
              <w:rPr>
                <w:color w:val="000000"/>
                <w:kern w:val="0"/>
                <w:sz w:val="18"/>
                <w:szCs w:val="18"/>
              </w:rPr>
              <w:t>2006</w:t>
            </w:r>
            <w:r>
              <w:rPr>
                <w:rFonts w:hint="eastAsia"/>
                <w:color w:val="000000"/>
                <w:kern w:val="0"/>
                <w:sz w:val="18"/>
                <w:szCs w:val="18"/>
              </w:rPr>
              <w:t>年</w:t>
            </w:r>
            <w:r>
              <w:rPr>
                <w:color w:val="000000"/>
                <w:kern w:val="0"/>
                <w:sz w:val="18"/>
                <w:szCs w:val="18"/>
              </w:rPr>
              <w:t>12</w:t>
            </w:r>
            <w:r>
              <w:rPr>
                <w:rFonts w:hint="eastAsia"/>
                <w:color w:val="000000"/>
                <w:kern w:val="0"/>
                <w:sz w:val="18"/>
                <w:szCs w:val="18"/>
              </w:rPr>
              <w:t>月</w:t>
            </w:r>
            <w:r>
              <w:rPr>
                <w:color w:val="000000"/>
                <w:kern w:val="0"/>
                <w:sz w:val="18"/>
                <w:szCs w:val="18"/>
              </w:rPr>
              <w:t>25</w:t>
            </w:r>
            <w:r>
              <w:rPr>
                <w:rFonts w:hint="eastAsia"/>
                <w:color w:val="000000"/>
                <w:kern w:val="0"/>
                <w:sz w:val="18"/>
                <w:szCs w:val="18"/>
              </w:rPr>
              <w:t>日建设部令第</w:t>
            </w:r>
            <w:r>
              <w:rPr>
                <w:color w:val="000000"/>
                <w:kern w:val="0"/>
                <w:sz w:val="18"/>
                <w:szCs w:val="18"/>
              </w:rPr>
              <w:t>150</w:t>
            </w:r>
            <w:r>
              <w:rPr>
                <w:rFonts w:hint="eastAsia"/>
                <w:color w:val="000000"/>
                <w:kern w:val="0"/>
                <w:sz w:val="18"/>
                <w:szCs w:val="18"/>
              </w:rPr>
              <w:t>号发布，根据</w:t>
            </w:r>
            <w:r>
              <w:rPr>
                <w:color w:val="000000"/>
                <w:kern w:val="0"/>
                <w:sz w:val="18"/>
                <w:szCs w:val="18"/>
              </w:rPr>
              <w:t>2016</w:t>
            </w:r>
            <w:r>
              <w:rPr>
                <w:rFonts w:hint="eastAsia"/>
                <w:color w:val="000000"/>
                <w:kern w:val="0"/>
                <w:sz w:val="18"/>
                <w:szCs w:val="18"/>
              </w:rPr>
              <w:t>年</w:t>
            </w:r>
            <w:r>
              <w:rPr>
                <w:color w:val="000000"/>
                <w:kern w:val="0"/>
                <w:sz w:val="18"/>
                <w:szCs w:val="18"/>
              </w:rPr>
              <w:t>9</w:t>
            </w:r>
            <w:r>
              <w:rPr>
                <w:rFonts w:hint="eastAsia"/>
                <w:color w:val="000000"/>
                <w:kern w:val="0"/>
                <w:sz w:val="18"/>
                <w:szCs w:val="18"/>
              </w:rPr>
              <w:t>月</w:t>
            </w:r>
            <w:r>
              <w:rPr>
                <w:color w:val="000000"/>
                <w:kern w:val="0"/>
                <w:sz w:val="18"/>
                <w:szCs w:val="18"/>
              </w:rPr>
              <w:t>13</w:t>
            </w:r>
            <w:r>
              <w:rPr>
                <w:rFonts w:hint="eastAsia"/>
                <w:color w:val="000000"/>
                <w:kern w:val="0"/>
                <w:sz w:val="18"/>
                <w:szCs w:val="18"/>
              </w:rPr>
              <w:t>日住房和城乡建设部令第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t>2020</w:t>
            </w:r>
            <w:r>
              <w:rPr>
                <w:rFonts w:hint="eastAsia"/>
                <w:color w:val="000000"/>
                <w:kern w:val="0"/>
                <w:sz w:val="18"/>
                <w:szCs w:val="18"/>
              </w:rPr>
              <w:t>年</w:t>
            </w:r>
            <w:r>
              <w:rPr>
                <w:color w:val="000000"/>
                <w:kern w:val="0"/>
                <w:sz w:val="18"/>
                <w:szCs w:val="18"/>
              </w:rPr>
              <w:t>2</w:t>
            </w:r>
            <w:r>
              <w:rPr>
                <w:rFonts w:hint="eastAsia"/>
                <w:color w:val="000000"/>
                <w:kern w:val="0"/>
                <w:sz w:val="18"/>
                <w:szCs w:val="18"/>
              </w:rPr>
              <w:t>月</w:t>
            </w:r>
            <w:r>
              <w:rPr>
                <w:color w:val="000000"/>
                <w:kern w:val="0"/>
                <w:sz w:val="18"/>
                <w:szCs w:val="18"/>
              </w:rPr>
              <w:t>19</w:t>
            </w:r>
            <w:r>
              <w:rPr>
                <w:rFonts w:hint="eastAsia"/>
                <w:color w:val="000000"/>
                <w:kern w:val="0"/>
                <w:sz w:val="18"/>
                <w:szCs w:val="18"/>
              </w:rPr>
              <w:t>日住房和城乡建设部令第</w:t>
            </w:r>
            <w:r>
              <w:rPr>
                <w:color w:val="000000"/>
                <w:kern w:val="0"/>
                <w:sz w:val="18"/>
                <w:szCs w:val="18"/>
              </w:rPr>
              <w:t>50</w:t>
            </w:r>
            <w:r>
              <w:rPr>
                <w:rFonts w:hint="eastAsia"/>
                <w:color w:val="000000"/>
                <w:kern w:val="0"/>
                <w:sz w:val="18"/>
                <w:szCs w:val="18"/>
              </w:rPr>
              <w:t>号修正）</w:t>
            </w:r>
          </w:p>
          <w:p w14:paraId="3454C76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第二十八条第二款</w:t>
            </w:r>
            <w:r>
              <w:rPr>
                <w:color w:val="000000"/>
                <w:kern w:val="0"/>
                <w:sz w:val="18"/>
                <w:szCs w:val="18"/>
              </w:rPr>
              <w:t xml:space="preserve">  </w:t>
            </w:r>
            <w:r>
              <w:rPr>
                <w:rFonts w:hint="eastAsia"/>
                <w:color w:val="000000"/>
                <w:kern w:val="0"/>
                <w:sz w:val="18"/>
                <w:szCs w:val="18"/>
              </w:rPr>
              <w:t>申请人以欺骗、贿赂等不正当手段获准注册的，应当予以撤销。</w:t>
            </w:r>
          </w:p>
          <w:p w14:paraId="315109E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第三十三条　以欺骗、贿赂等不正当手段取得造价工程师注册的，由注册机关撤销其注册，</w:t>
            </w:r>
            <w:r>
              <w:rPr>
                <w:color w:val="000000"/>
                <w:kern w:val="0"/>
                <w:sz w:val="18"/>
                <w:szCs w:val="18"/>
              </w:rPr>
              <w:t>3</w:t>
            </w:r>
            <w:r>
              <w:rPr>
                <w:rFonts w:hint="eastAsia"/>
                <w:color w:val="000000"/>
                <w:kern w:val="0"/>
                <w:sz w:val="18"/>
                <w:szCs w:val="18"/>
              </w:rPr>
              <w:t>年内不得再次申请注册，并由县级以上地方人民政府住房城乡建设主管部门处以罚款。其中，没有违法所得的，处以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45DAB0F4">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C68C03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486FD1CF">
            <w:pPr>
              <w:spacing w:line="320" w:lineRule="exact"/>
              <w:jc w:val="left"/>
              <w:rPr>
                <w:color w:val="000000"/>
                <w:kern w:val="0"/>
                <w:sz w:val="18"/>
                <w:szCs w:val="18"/>
              </w:rPr>
            </w:pPr>
            <w:r>
              <w:rPr>
                <w:rFonts w:hint="eastAsia"/>
                <w:color w:val="000000"/>
                <w:kern w:val="0"/>
                <w:sz w:val="18"/>
                <w:szCs w:val="18"/>
              </w:rPr>
              <w:t>罚款，撤销注册，3年内不得再次申请注册</w:t>
            </w:r>
          </w:p>
        </w:tc>
      </w:tr>
      <w:tr w14:paraId="62284771">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1C02D25A">
            <w:pPr>
              <w:spacing w:line="320" w:lineRule="exact"/>
              <w:jc w:val="center"/>
              <w:rPr>
                <w:color w:val="000000"/>
                <w:kern w:val="0"/>
                <w:sz w:val="18"/>
                <w:szCs w:val="18"/>
              </w:rPr>
            </w:pPr>
            <w:r>
              <w:rPr>
                <w:rFonts w:hint="eastAsia"/>
                <w:color w:val="000000"/>
                <w:kern w:val="0"/>
                <w:sz w:val="18"/>
                <w:szCs w:val="18"/>
              </w:rPr>
              <w:t>裁量基准</w:t>
            </w:r>
          </w:p>
        </w:tc>
      </w:tr>
      <w:tr w14:paraId="79D74091">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03F4122C">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57A96649">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474CE328">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以欺骗、贿赂等不正当手段取得注册造价工程师注册证书但积极配合调查的</w:t>
            </w:r>
          </w:p>
        </w:tc>
        <w:tc>
          <w:tcPr>
            <w:tcW w:w="1044" w:type="dxa"/>
            <w:vMerge w:val="restart"/>
            <w:tcBorders>
              <w:top w:val="nil"/>
              <w:left w:val="single" w:color="auto" w:sz="4" w:space="0"/>
              <w:bottom w:val="single" w:color="auto" w:sz="4" w:space="0"/>
              <w:right w:val="single" w:color="auto" w:sz="4" w:space="0"/>
            </w:tcBorders>
            <w:vAlign w:val="center"/>
          </w:tcPr>
          <w:p w14:paraId="5FECE4B6">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17D10496">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05DBEBB4">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558285E">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69DD65AA">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B815C3F">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以欺骗、贿赂等不正当手段取得注册造价工程师注册证书且不配合调查的</w:t>
            </w:r>
          </w:p>
        </w:tc>
        <w:tc>
          <w:tcPr>
            <w:tcW w:w="1044" w:type="dxa"/>
            <w:vMerge w:val="continue"/>
            <w:tcBorders>
              <w:top w:val="nil"/>
              <w:left w:val="single" w:color="auto" w:sz="4" w:space="0"/>
              <w:bottom w:val="single" w:color="auto" w:sz="4" w:space="0"/>
              <w:right w:val="single" w:color="auto" w:sz="4" w:space="0"/>
            </w:tcBorders>
            <w:vAlign w:val="center"/>
          </w:tcPr>
          <w:p w14:paraId="1D13E531">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F558D73">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B97E21B">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244BC5F">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40DB3CF4">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567B1E8D">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以欺骗、贿赂等不正当手段取得注册造价工程师注册证书但积极配合调查的</w:t>
            </w:r>
          </w:p>
        </w:tc>
        <w:tc>
          <w:tcPr>
            <w:tcW w:w="1044" w:type="dxa"/>
            <w:vMerge w:val="continue"/>
            <w:tcBorders>
              <w:top w:val="nil"/>
              <w:left w:val="single" w:color="auto" w:sz="4" w:space="0"/>
              <w:bottom w:val="single" w:color="auto" w:sz="4" w:space="0"/>
              <w:right w:val="single" w:color="auto" w:sz="4" w:space="0"/>
            </w:tcBorders>
            <w:vAlign w:val="center"/>
          </w:tcPr>
          <w:p w14:paraId="58640E16">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7208AB1">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28E00E10">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DF90BCD">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2A83B9BE">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D0C11C2">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以欺骗、贿赂等不正当手段取得注册造价工程师注册证书且不配合调查的</w:t>
            </w:r>
          </w:p>
        </w:tc>
        <w:tc>
          <w:tcPr>
            <w:tcW w:w="1044" w:type="dxa"/>
            <w:vMerge w:val="continue"/>
            <w:tcBorders>
              <w:top w:val="nil"/>
              <w:left w:val="single" w:color="auto" w:sz="4" w:space="0"/>
              <w:bottom w:val="single" w:color="auto" w:sz="4" w:space="0"/>
              <w:right w:val="single" w:color="auto" w:sz="4" w:space="0"/>
            </w:tcBorders>
            <w:vAlign w:val="center"/>
          </w:tcPr>
          <w:p w14:paraId="02246A87">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AF9FA57">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1E6F7772"/>
    <w:p w14:paraId="643887F7"/>
    <w:p w14:paraId="701E7015"/>
    <w:p w14:paraId="67DAA152"/>
    <w:p w14:paraId="7BD035DD"/>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73FC628E">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A70FC04">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4CA6B1BD">
            <w:pPr>
              <w:jc w:val="left"/>
              <w:textAlignment w:val="center"/>
              <w:rPr>
                <w:rFonts w:eastAsia="仿宋_GB2312"/>
                <w:b/>
                <w:bCs/>
                <w:color w:val="000000"/>
                <w:kern w:val="0"/>
                <w:sz w:val="18"/>
                <w:szCs w:val="18"/>
              </w:rPr>
            </w:pPr>
            <w:r>
              <w:rPr>
                <w:rFonts w:eastAsia="仿宋_GB2312"/>
                <w:b/>
                <w:color w:val="000000"/>
                <w:kern w:val="0"/>
                <w:sz w:val="20"/>
              </w:rPr>
              <w:t>320217216000</w:t>
            </w:r>
          </w:p>
        </w:tc>
      </w:tr>
      <w:tr w14:paraId="60CA3B9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107DA0B">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0D0C181B">
            <w:pPr>
              <w:spacing w:line="320" w:lineRule="exact"/>
              <w:jc w:val="left"/>
              <w:rPr>
                <w:color w:val="000000"/>
                <w:kern w:val="0"/>
                <w:sz w:val="18"/>
                <w:szCs w:val="18"/>
              </w:rPr>
            </w:pPr>
            <w:r>
              <w:rPr>
                <w:rFonts w:hint="eastAsia"/>
                <w:color w:val="000000"/>
                <w:kern w:val="0"/>
                <w:sz w:val="18"/>
                <w:szCs w:val="18"/>
              </w:rPr>
              <w:t>对注册监理工程师以个人名义承接业务的处罚</w:t>
            </w:r>
          </w:p>
        </w:tc>
      </w:tr>
      <w:tr w14:paraId="485AC51D">
        <w:tblPrEx>
          <w:tblCellMar>
            <w:top w:w="0" w:type="dxa"/>
            <w:left w:w="108" w:type="dxa"/>
            <w:bottom w:w="0" w:type="dxa"/>
            <w:right w:w="108" w:type="dxa"/>
          </w:tblCellMar>
        </w:tblPrEx>
        <w:trPr>
          <w:trHeight w:val="2715" w:hRule="atLeast"/>
        </w:trPr>
        <w:tc>
          <w:tcPr>
            <w:tcW w:w="1056" w:type="dxa"/>
            <w:tcBorders>
              <w:top w:val="nil"/>
              <w:left w:val="single" w:color="auto" w:sz="8" w:space="0"/>
              <w:bottom w:val="single" w:color="auto" w:sz="4" w:space="0"/>
              <w:right w:val="single" w:color="auto" w:sz="4" w:space="0"/>
            </w:tcBorders>
            <w:vAlign w:val="center"/>
          </w:tcPr>
          <w:p w14:paraId="48CB4E0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591CAFAB">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取得资格证书的人员，应当受聘于一个具有建设工程勘察、设计、施工、监理、</w:t>
            </w:r>
            <w:r>
              <w:fldChar w:fldCharType="begin"/>
            </w:r>
            <w:r>
              <w:instrText xml:space="preserve"> HYPERLINK "https://baike.so.com/doc/5422274-5660469.html" \t "https://baike.so.com/doc/_blank" </w:instrText>
            </w:r>
            <w:r>
              <w:fldChar w:fldCharType="separate"/>
            </w:r>
            <w:r>
              <w:rPr>
                <w:rFonts w:hint="eastAsia"/>
                <w:color w:val="000000"/>
                <w:kern w:val="0"/>
                <w:sz w:val="18"/>
                <w:szCs w:val="18"/>
              </w:rPr>
              <w:t>招标代理</w:t>
            </w:r>
            <w:r>
              <w:rPr>
                <w:rFonts w:hint="eastAsia"/>
                <w:color w:val="000000"/>
                <w:kern w:val="0"/>
                <w:sz w:val="18"/>
                <w:szCs w:val="18"/>
              </w:rPr>
              <w:fldChar w:fldCharType="end"/>
            </w:r>
            <w:r>
              <w:rPr>
                <w:rFonts w:hint="eastAsia"/>
                <w:color w:val="000000"/>
                <w:kern w:val="0"/>
                <w:sz w:val="18"/>
                <w:szCs w:val="18"/>
              </w:rPr>
              <w:t>、造价咨询等一项或者多项资质的单位，经注册后方可从事相应的执业活动。从事</w:t>
            </w:r>
            <w:r>
              <w:fldChar w:fldCharType="begin"/>
            </w:r>
            <w:r>
              <w:instrText xml:space="preserve"> HYPERLINK "https://baike.so.com/doc/4778065-4993916.html" \t "https://baike.so.com/doc/_blank" </w:instrText>
            </w:r>
            <w:r>
              <w:fldChar w:fldCharType="separate"/>
            </w:r>
            <w:r>
              <w:rPr>
                <w:rFonts w:hint="eastAsia"/>
                <w:color w:val="000000"/>
                <w:kern w:val="0"/>
                <w:sz w:val="18"/>
                <w:szCs w:val="18"/>
              </w:rPr>
              <w:t>工程监理</w:t>
            </w:r>
            <w:r>
              <w:rPr>
                <w:rFonts w:hint="eastAsia"/>
                <w:color w:val="000000"/>
                <w:kern w:val="0"/>
                <w:sz w:val="18"/>
                <w:szCs w:val="18"/>
              </w:rPr>
              <w:fldChar w:fldCharType="end"/>
            </w:r>
            <w:r>
              <w:rPr>
                <w:rFonts w:hint="eastAsia"/>
                <w:color w:val="000000"/>
                <w:kern w:val="0"/>
                <w:sz w:val="18"/>
                <w:szCs w:val="18"/>
              </w:rPr>
              <w:t>执业活动的，应当受聘并注册于一个具有工程监理资质的单位。（禁则错误，已修改）</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（一）以个人名义承接业务的。</w:t>
            </w:r>
          </w:p>
        </w:tc>
      </w:tr>
      <w:tr w14:paraId="3D92078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159E47B">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407481B7">
            <w:pPr>
              <w:spacing w:line="320" w:lineRule="exact"/>
              <w:jc w:val="left"/>
              <w:rPr>
                <w:color w:val="000000"/>
                <w:kern w:val="0"/>
                <w:sz w:val="18"/>
                <w:szCs w:val="18"/>
              </w:rPr>
            </w:pPr>
            <w:r>
              <w:rPr>
                <w:rFonts w:hint="eastAsia"/>
                <w:color w:val="000000"/>
                <w:kern w:val="0"/>
                <w:sz w:val="18"/>
                <w:szCs w:val="18"/>
              </w:rPr>
              <w:t>罚款</w:t>
            </w:r>
          </w:p>
        </w:tc>
      </w:tr>
      <w:tr w14:paraId="6A04C425">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69BFF756">
            <w:pPr>
              <w:spacing w:line="320" w:lineRule="exact"/>
              <w:jc w:val="center"/>
              <w:rPr>
                <w:color w:val="000000"/>
                <w:kern w:val="0"/>
                <w:sz w:val="18"/>
                <w:szCs w:val="18"/>
              </w:rPr>
            </w:pPr>
            <w:r>
              <w:rPr>
                <w:rFonts w:hint="eastAsia"/>
                <w:color w:val="000000"/>
                <w:kern w:val="0"/>
                <w:sz w:val="18"/>
                <w:szCs w:val="18"/>
              </w:rPr>
              <w:t>裁量基准</w:t>
            </w:r>
          </w:p>
        </w:tc>
      </w:tr>
      <w:tr w14:paraId="1747A5D7">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647A67BE">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5E8FECAB">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0DD76644">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val="restart"/>
            <w:tcBorders>
              <w:top w:val="nil"/>
              <w:left w:val="single" w:color="auto" w:sz="4" w:space="0"/>
              <w:bottom w:val="single" w:color="auto" w:sz="4" w:space="0"/>
              <w:right w:val="single" w:color="auto" w:sz="4" w:space="0"/>
            </w:tcBorders>
            <w:vAlign w:val="center"/>
          </w:tcPr>
          <w:p w14:paraId="62BF0903">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0D74843">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6464C1BA">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4111B48">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6610B2CA">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6BC00FC">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val="continue"/>
            <w:tcBorders>
              <w:top w:val="nil"/>
              <w:left w:val="single" w:color="auto" w:sz="4" w:space="0"/>
              <w:bottom w:val="single" w:color="auto" w:sz="4" w:space="0"/>
              <w:right w:val="single" w:color="auto" w:sz="4" w:space="0"/>
            </w:tcBorders>
            <w:vAlign w:val="center"/>
          </w:tcPr>
          <w:p w14:paraId="5E3E0ECC">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A7EB5B3">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3A043B72">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9645766">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5F73FD89">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506A9C9C">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val="continue"/>
            <w:tcBorders>
              <w:top w:val="nil"/>
              <w:left w:val="single" w:color="auto" w:sz="4" w:space="0"/>
              <w:bottom w:val="single" w:color="auto" w:sz="4" w:space="0"/>
              <w:right w:val="single" w:color="auto" w:sz="4" w:space="0"/>
            </w:tcBorders>
            <w:vAlign w:val="center"/>
          </w:tcPr>
          <w:p w14:paraId="2AF4A68E">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634FE30">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1737AE71">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0DA839B">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644AF281">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A582E7D">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val="continue"/>
            <w:tcBorders>
              <w:top w:val="nil"/>
              <w:left w:val="single" w:color="auto" w:sz="4" w:space="0"/>
              <w:bottom w:val="single" w:color="auto" w:sz="4" w:space="0"/>
              <w:right w:val="single" w:color="auto" w:sz="4" w:space="0"/>
            </w:tcBorders>
            <w:vAlign w:val="center"/>
          </w:tcPr>
          <w:p w14:paraId="5F1092F9">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D72638B">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0C96BDF0"/>
    <w:p w14:paraId="25C8C7A0"/>
    <w:p w14:paraId="0146A90C"/>
    <w:p w14:paraId="6C2385AF"/>
    <w:p w14:paraId="7C44DC29"/>
    <w:p w14:paraId="5D583611"/>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23EFA65B">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601A32AC">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4ED2489C">
            <w:pPr>
              <w:spacing w:line="320" w:lineRule="exact"/>
              <w:jc w:val="left"/>
              <w:rPr>
                <w:rFonts w:eastAsia="仿宋_GB2312"/>
                <w:b/>
                <w:bCs/>
                <w:color w:val="000000"/>
                <w:kern w:val="0"/>
                <w:sz w:val="18"/>
                <w:szCs w:val="18"/>
              </w:rPr>
            </w:pPr>
            <w:r>
              <w:rPr>
                <w:rFonts w:eastAsia="仿宋_GB2312"/>
                <w:b/>
                <w:bCs/>
                <w:color w:val="000000"/>
                <w:kern w:val="0"/>
                <w:sz w:val="18"/>
                <w:szCs w:val="18"/>
              </w:rPr>
              <w:t>320217217000</w:t>
            </w:r>
            <w:r>
              <w:rPr>
                <w:rFonts w:hint="eastAsia" w:eastAsia="仿宋_GB2312"/>
                <w:b/>
                <w:bCs/>
                <w:color w:val="000000"/>
                <w:kern w:val="0"/>
                <w:sz w:val="18"/>
                <w:szCs w:val="18"/>
              </w:rPr>
              <w:t xml:space="preserve"> </w:t>
            </w:r>
          </w:p>
        </w:tc>
      </w:tr>
      <w:tr w14:paraId="24429D34">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6FF4ACA7">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00496D4D">
            <w:pPr>
              <w:spacing w:line="320" w:lineRule="exact"/>
              <w:jc w:val="left"/>
              <w:rPr>
                <w:color w:val="000000"/>
                <w:kern w:val="0"/>
                <w:sz w:val="18"/>
                <w:szCs w:val="18"/>
              </w:rPr>
            </w:pPr>
            <w:r>
              <w:rPr>
                <w:rFonts w:hint="eastAsia"/>
                <w:color w:val="000000"/>
                <w:kern w:val="0"/>
                <w:sz w:val="18"/>
                <w:szCs w:val="18"/>
              </w:rPr>
              <w:t>对施工单位使用不符合施工图设计文件要求的墙体材料、保温材料、门窗、供暖制冷系统、照明设备、非传统水源利用设施、节水器具的处罚</w:t>
            </w:r>
          </w:p>
        </w:tc>
      </w:tr>
      <w:tr w14:paraId="5BA66C73">
        <w:tblPrEx>
          <w:tblCellMar>
            <w:top w:w="0" w:type="dxa"/>
            <w:left w:w="108" w:type="dxa"/>
            <w:bottom w:w="0" w:type="dxa"/>
            <w:right w:w="108" w:type="dxa"/>
          </w:tblCellMar>
        </w:tblPrEx>
        <w:trPr>
          <w:trHeight w:val="1215" w:hRule="atLeast"/>
        </w:trPr>
        <w:tc>
          <w:tcPr>
            <w:tcW w:w="1050" w:type="dxa"/>
            <w:tcBorders>
              <w:top w:val="nil"/>
              <w:left w:val="single" w:color="auto" w:sz="8" w:space="0"/>
              <w:bottom w:val="single" w:color="auto" w:sz="4" w:space="0"/>
              <w:right w:val="single" w:color="auto" w:sz="4" w:space="0"/>
            </w:tcBorders>
            <w:vAlign w:val="center"/>
          </w:tcPr>
          <w:p w14:paraId="55951D87">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282511BE">
            <w:pPr>
              <w:spacing w:line="320" w:lineRule="exact"/>
              <w:jc w:val="left"/>
              <w:rPr>
                <w:color w:val="000000"/>
                <w:kern w:val="0"/>
                <w:sz w:val="18"/>
                <w:szCs w:val="18"/>
              </w:rPr>
            </w:pP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14:paraId="43E78351">
            <w:pPr>
              <w:spacing w:line="320" w:lineRule="exact"/>
              <w:jc w:val="left"/>
              <w:rPr>
                <w:color w:val="000000"/>
                <w:kern w:val="0"/>
                <w:sz w:val="18"/>
                <w:szCs w:val="18"/>
              </w:rPr>
            </w:pPr>
            <w:r>
              <w:rPr>
                <w:rFonts w:hint="eastAsia"/>
                <w:color w:val="000000"/>
                <w:kern w:val="0"/>
                <w:sz w:val="18"/>
                <w:szCs w:val="18"/>
              </w:rPr>
              <w:t>第十六条　施工单位应当对进入施工现场的墙体材料、保温材料、门窗、采暖制冷系统和照明设备进行查验；不符合施工图设计文件要求的，不得使用。</w:t>
            </w:r>
          </w:p>
          <w:p w14:paraId="36129B60">
            <w:pPr>
              <w:spacing w:line="320" w:lineRule="exact"/>
              <w:jc w:val="left"/>
              <w:rPr>
                <w:color w:val="000000"/>
                <w:kern w:val="0"/>
                <w:sz w:val="18"/>
                <w:szCs w:val="18"/>
              </w:rPr>
            </w:pPr>
            <w:r>
              <w:rPr>
                <w:rFonts w:hint="eastAsia"/>
                <w:color w:val="000000"/>
                <w:kern w:val="0"/>
                <w:sz w:val="18"/>
                <w:szCs w:val="18"/>
              </w:rPr>
              <w:t>第四十一条　违反本条例规定，施工单位有下列行为之一的，由县级以上地方人民政府建设主管部门责令改正，处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万元以下的罚款；情节严重的，由颁发资质证书的部门责令停业整顿，降低资质等级或者吊销资质证书；造成损失的，依法承担赔偿责任：</w:t>
            </w:r>
          </w:p>
          <w:p w14:paraId="225F8501">
            <w:pPr>
              <w:spacing w:line="320" w:lineRule="exact"/>
              <w:jc w:val="left"/>
              <w:rPr>
                <w:color w:val="000000"/>
                <w:kern w:val="0"/>
                <w:sz w:val="18"/>
                <w:szCs w:val="18"/>
              </w:rPr>
            </w:pPr>
            <w:r>
              <w:rPr>
                <w:rFonts w:hint="eastAsia"/>
                <w:color w:val="000000"/>
                <w:kern w:val="0"/>
                <w:sz w:val="18"/>
                <w:szCs w:val="18"/>
              </w:rPr>
              <w:t>（二）使用不符合施工图设计文件要求的墙体材料、保温材料、门窗、采暖制冷系统和照明设备的；</w:t>
            </w:r>
          </w:p>
          <w:p w14:paraId="4B038867">
            <w:pPr>
              <w:spacing w:line="320" w:lineRule="exact"/>
              <w:jc w:val="left"/>
              <w:rPr>
                <w:color w:val="000000"/>
                <w:kern w:val="0"/>
                <w:sz w:val="18"/>
                <w:szCs w:val="18"/>
              </w:rPr>
            </w:pPr>
            <w:r>
              <w:rPr>
                <w:rFonts w:hint="eastAsia"/>
                <w:color w:val="000000"/>
                <w:kern w:val="0"/>
                <w:sz w:val="18"/>
                <w:szCs w:val="18"/>
              </w:rPr>
              <w:t>【地方性法规】《江苏省绿色建筑发展条例》</w:t>
            </w:r>
          </w:p>
          <w:p w14:paraId="26204207">
            <w:pPr>
              <w:spacing w:line="320" w:lineRule="exact"/>
              <w:jc w:val="left"/>
              <w:rPr>
                <w:color w:val="000000"/>
                <w:kern w:val="0"/>
                <w:sz w:val="18"/>
                <w:szCs w:val="18"/>
              </w:rPr>
            </w:pPr>
            <w:r>
              <w:rPr>
                <w:rFonts w:hint="eastAsia"/>
                <w:color w:val="000000"/>
                <w:kern w:val="0"/>
                <w:sz w:val="18"/>
                <w:szCs w:val="18"/>
              </w:rPr>
              <w:t>　　第十九条第二款　施工单位应当对施工现场的墙体材料、保温材料、门窗、供暖制冷系统、照明设备、非传统水源利用设施、节水器具等进行查验；不符合施工图设计文件要求的，不得使用。</w:t>
            </w:r>
          </w:p>
          <w:p w14:paraId="475CB9C2">
            <w:pPr>
              <w:spacing w:line="320" w:lineRule="exact"/>
              <w:jc w:val="left"/>
              <w:rPr>
                <w:color w:val="000000"/>
                <w:kern w:val="0"/>
                <w:sz w:val="18"/>
                <w:szCs w:val="18"/>
              </w:rPr>
            </w:pPr>
            <w:r>
              <w:rPr>
                <w:rFonts w:hint="eastAsia"/>
                <w:color w:val="000000"/>
                <w:kern w:val="0"/>
                <w:sz w:val="18"/>
                <w:szCs w:val="18"/>
              </w:rPr>
              <w:t>　　第五十四条　违反本条例规定，施工单位有下列行为之一的，由建设主管部门责令限期改正，并处十万元以上二十万元以下罚款：</w:t>
            </w:r>
          </w:p>
          <w:p w14:paraId="11DD8709">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使用不符合施工图设计文件要求的墙体材料、保温材料、门窗、供暖制冷系统、照明设备、非传统水源利用设施、节水器具的；</w:t>
            </w:r>
          </w:p>
        </w:tc>
      </w:tr>
      <w:tr w14:paraId="40298C11">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1F5E19FF">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0EE3C9AC">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14:paraId="0071ECE9">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8" w:space="0"/>
              <w:right w:val="single" w:color="000000" w:sz="8" w:space="0"/>
            </w:tcBorders>
            <w:vAlign w:val="center"/>
          </w:tcPr>
          <w:p w14:paraId="6FD32B27">
            <w:pPr>
              <w:spacing w:line="320" w:lineRule="exact"/>
              <w:jc w:val="center"/>
              <w:rPr>
                <w:color w:val="000000"/>
                <w:kern w:val="0"/>
                <w:sz w:val="18"/>
                <w:szCs w:val="18"/>
              </w:rPr>
            </w:pPr>
            <w:r>
              <w:rPr>
                <w:rFonts w:hint="eastAsia"/>
                <w:color w:val="000000"/>
                <w:kern w:val="0"/>
                <w:sz w:val="18"/>
                <w:szCs w:val="18"/>
              </w:rPr>
              <w:t>裁量基准</w:t>
            </w:r>
          </w:p>
        </w:tc>
      </w:tr>
      <w:tr w14:paraId="6F90B8A5">
        <w:tblPrEx>
          <w:tblCellMar>
            <w:top w:w="0" w:type="dxa"/>
            <w:left w:w="108" w:type="dxa"/>
            <w:bottom w:w="0" w:type="dxa"/>
            <w:right w:w="108" w:type="dxa"/>
          </w:tblCellMar>
        </w:tblPrEx>
        <w:trPr>
          <w:trHeight w:val="285" w:hRule="atLeast"/>
        </w:trPr>
        <w:tc>
          <w:tcPr>
            <w:tcW w:w="1050" w:type="dxa"/>
            <w:vMerge w:val="restart"/>
            <w:tcBorders>
              <w:top w:val="single" w:color="auto" w:sz="8" w:space="0"/>
              <w:left w:val="single" w:color="auto" w:sz="8" w:space="0"/>
              <w:bottom w:val="single" w:color="auto" w:sz="8" w:space="0"/>
              <w:right w:val="single" w:color="auto" w:sz="4" w:space="0"/>
            </w:tcBorders>
            <w:vAlign w:val="center"/>
          </w:tcPr>
          <w:p w14:paraId="6061EAF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8" w:space="0"/>
              <w:left w:val="nil"/>
              <w:bottom w:val="single" w:color="auto" w:sz="8" w:space="0"/>
              <w:right w:val="single" w:color="000000" w:sz="4" w:space="0"/>
            </w:tcBorders>
            <w:vAlign w:val="center"/>
          </w:tcPr>
          <w:p w14:paraId="5EC61450">
            <w:pPr>
              <w:spacing w:line="320" w:lineRule="exact"/>
              <w:jc w:val="left"/>
              <w:rPr>
                <w:color w:val="000000"/>
                <w:kern w:val="0"/>
                <w:sz w:val="18"/>
                <w:szCs w:val="18"/>
              </w:rPr>
            </w:pPr>
            <w:r>
              <w:rPr>
                <w:rFonts w:hint="eastAsia"/>
                <w:color w:val="000000"/>
                <w:kern w:val="0"/>
                <w:sz w:val="18"/>
                <w:szCs w:val="18"/>
              </w:rPr>
              <w:t>项目已经开始施工后按要求改正的</w:t>
            </w:r>
          </w:p>
        </w:tc>
        <w:tc>
          <w:tcPr>
            <w:tcW w:w="1100" w:type="dxa"/>
            <w:vMerge w:val="restart"/>
            <w:tcBorders>
              <w:top w:val="single" w:color="auto" w:sz="8" w:space="0"/>
              <w:left w:val="single" w:color="auto" w:sz="4" w:space="0"/>
              <w:bottom w:val="single" w:color="auto" w:sz="8" w:space="0"/>
              <w:right w:val="single" w:color="auto" w:sz="4" w:space="0"/>
            </w:tcBorders>
            <w:vAlign w:val="center"/>
          </w:tcPr>
          <w:p w14:paraId="326B7B0E">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8" w:space="0"/>
              <w:left w:val="nil"/>
              <w:bottom w:val="single" w:color="auto" w:sz="8" w:space="0"/>
              <w:right w:val="single" w:color="auto" w:sz="8" w:space="0"/>
            </w:tcBorders>
            <w:vAlign w:val="center"/>
          </w:tcPr>
          <w:p w14:paraId="27F14C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14:paraId="19F72220">
        <w:tblPrEx>
          <w:tblCellMar>
            <w:top w:w="0" w:type="dxa"/>
            <w:left w:w="108" w:type="dxa"/>
            <w:bottom w:w="0" w:type="dxa"/>
            <w:right w:w="108" w:type="dxa"/>
          </w:tblCellMar>
        </w:tblPrEx>
        <w:trPr>
          <w:trHeight w:val="285" w:hRule="atLeast"/>
        </w:trPr>
        <w:tc>
          <w:tcPr>
            <w:tcW w:w="1050" w:type="dxa"/>
            <w:vMerge w:val="continue"/>
            <w:tcBorders>
              <w:top w:val="single" w:color="auto" w:sz="8" w:space="0"/>
              <w:left w:val="single" w:color="auto" w:sz="8" w:space="0"/>
              <w:bottom w:val="single" w:color="auto" w:sz="8" w:space="0"/>
              <w:right w:val="single" w:color="auto" w:sz="4" w:space="0"/>
            </w:tcBorders>
            <w:vAlign w:val="center"/>
          </w:tcPr>
          <w:p w14:paraId="75584B75">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6B84115E">
            <w:pPr>
              <w:spacing w:line="320" w:lineRule="exact"/>
              <w:jc w:val="left"/>
              <w:rPr>
                <w:color w:val="000000"/>
                <w:kern w:val="0"/>
                <w:sz w:val="18"/>
                <w:szCs w:val="18"/>
              </w:rPr>
            </w:pPr>
            <w:r>
              <w:rPr>
                <w:rFonts w:hint="eastAsia"/>
                <w:color w:val="000000"/>
                <w:kern w:val="0"/>
                <w:sz w:val="18"/>
                <w:szCs w:val="18"/>
              </w:rPr>
              <w:t>项目已经完成施工后按要求改正的</w:t>
            </w:r>
          </w:p>
        </w:tc>
        <w:tc>
          <w:tcPr>
            <w:tcW w:w="1100" w:type="dxa"/>
            <w:vMerge w:val="continue"/>
            <w:tcBorders>
              <w:top w:val="single" w:color="auto" w:sz="8" w:space="0"/>
              <w:left w:val="single" w:color="auto" w:sz="4" w:space="0"/>
              <w:bottom w:val="single" w:color="auto" w:sz="8" w:space="0"/>
              <w:right w:val="single" w:color="auto" w:sz="4" w:space="0"/>
            </w:tcBorders>
            <w:vAlign w:val="center"/>
          </w:tcPr>
          <w:p w14:paraId="380200D6">
            <w:pPr>
              <w:spacing w:line="320" w:lineRule="exact"/>
              <w:jc w:val="left"/>
              <w:rPr>
                <w:color w:val="000000"/>
                <w:kern w:val="0"/>
                <w:sz w:val="18"/>
                <w:szCs w:val="18"/>
              </w:rPr>
            </w:pPr>
          </w:p>
        </w:tc>
        <w:tc>
          <w:tcPr>
            <w:tcW w:w="5760" w:type="dxa"/>
            <w:tcBorders>
              <w:top w:val="single" w:color="auto" w:sz="8" w:space="0"/>
              <w:left w:val="nil"/>
              <w:bottom w:val="single" w:color="auto" w:sz="8" w:space="0"/>
              <w:right w:val="single" w:color="auto" w:sz="8" w:space="0"/>
            </w:tcBorders>
            <w:vAlign w:val="center"/>
          </w:tcPr>
          <w:p w14:paraId="21C6BF0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万元以下的罚款，责令停业整顿，降低资质等级</w:t>
            </w:r>
          </w:p>
        </w:tc>
      </w:tr>
      <w:tr w14:paraId="200BF303">
        <w:tblPrEx>
          <w:tblCellMar>
            <w:top w:w="0" w:type="dxa"/>
            <w:left w:w="108" w:type="dxa"/>
            <w:bottom w:w="0" w:type="dxa"/>
            <w:right w:w="108" w:type="dxa"/>
          </w:tblCellMar>
        </w:tblPrEx>
        <w:trPr>
          <w:trHeight w:val="285" w:hRule="atLeast"/>
        </w:trPr>
        <w:tc>
          <w:tcPr>
            <w:tcW w:w="1050" w:type="dxa"/>
            <w:vMerge w:val="continue"/>
            <w:tcBorders>
              <w:top w:val="single" w:color="auto" w:sz="8" w:space="0"/>
              <w:left w:val="single" w:color="auto" w:sz="8" w:space="0"/>
              <w:bottom w:val="single" w:color="auto" w:sz="8" w:space="0"/>
              <w:right w:val="single" w:color="auto" w:sz="4" w:space="0"/>
            </w:tcBorders>
            <w:vAlign w:val="center"/>
          </w:tcPr>
          <w:p w14:paraId="5501F3ED">
            <w:pPr>
              <w:spacing w:line="320" w:lineRule="exact"/>
              <w:jc w:val="left"/>
              <w:rPr>
                <w:color w:val="000000"/>
                <w:kern w:val="0"/>
                <w:sz w:val="18"/>
                <w:szCs w:val="18"/>
              </w:rPr>
            </w:pPr>
          </w:p>
        </w:tc>
        <w:tc>
          <w:tcPr>
            <w:tcW w:w="6140" w:type="dxa"/>
            <w:tcBorders>
              <w:top w:val="single" w:color="auto" w:sz="8" w:space="0"/>
              <w:left w:val="nil"/>
              <w:bottom w:val="single" w:color="auto" w:sz="8" w:space="0"/>
              <w:right w:val="single" w:color="000000" w:sz="4" w:space="0"/>
            </w:tcBorders>
            <w:vAlign w:val="center"/>
          </w:tcPr>
          <w:p w14:paraId="4A4BEAB1">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val="continue"/>
            <w:tcBorders>
              <w:top w:val="single" w:color="auto" w:sz="8" w:space="0"/>
              <w:left w:val="single" w:color="auto" w:sz="4" w:space="0"/>
              <w:bottom w:val="single" w:color="auto" w:sz="8" w:space="0"/>
              <w:right w:val="single" w:color="auto" w:sz="4" w:space="0"/>
            </w:tcBorders>
            <w:vAlign w:val="center"/>
          </w:tcPr>
          <w:p w14:paraId="64B690A3">
            <w:pPr>
              <w:spacing w:line="320" w:lineRule="exact"/>
              <w:jc w:val="left"/>
              <w:rPr>
                <w:color w:val="000000"/>
                <w:kern w:val="0"/>
                <w:sz w:val="18"/>
                <w:szCs w:val="18"/>
              </w:rPr>
            </w:pPr>
          </w:p>
        </w:tc>
        <w:tc>
          <w:tcPr>
            <w:tcW w:w="5760" w:type="dxa"/>
            <w:tcBorders>
              <w:top w:val="single" w:color="auto" w:sz="8" w:space="0"/>
              <w:left w:val="nil"/>
              <w:bottom w:val="single" w:color="auto" w:sz="8" w:space="0"/>
              <w:right w:val="single" w:color="auto" w:sz="8" w:space="0"/>
            </w:tcBorders>
            <w:vAlign w:val="center"/>
          </w:tcPr>
          <w:p w14:paraId="3222321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万元以下的罚款，责令停业整顿，降低资质等级或者吊销资质证书</w:t>
            </w:r>
          </w:p>
        </w:tc>
      </w:tr>
    </w:tbl>
    <w:p w14:paraId="305EBD0D"/>
    <w:p w14:paraId="15355867"/>
    <w:p w14:paraId="76430F8F"/>
    <w:p w14:paraId="322C4A99"/>
    <w:p w14:paraId="167E2D99"/>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4E851000">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9E85714">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75A3EFBD">
            <w:pPr>
              <w:jc w:val="left"/>
              <w:textAlignment w:val="center"/>
              <w:rPr>
                <w:rFonts w:eastAsia="仿宋_GB2312"/>
                <w:b/>
                <w:bCs/>
                <w:color w:val="000000"/>
                <w:kern w:val="0"/>
                <w:sz w:val="18"/>
                <w:szCs w:val="18"/>
              </w:rPr>
            </w:pPr>
            <w:r>
              <w:rPr>
                <w:rFonts w:eastAsia="仿宋_GB2312"/>
                <w:b/>
                <w:color w:val="000000"/>
                <w:kern w:val="0"/>
                <w:sz w:val="20"/>
              </w:rPr>
              <w:t>320217219000</w:t>
            </w:r>
          </w:p>
        </w:tc>
      </w:tr>
      <w:tr w14:paraId="3FCF9F2D">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9AC6D18">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4150E471">
            <w:pPr>
              <w:spacing w:line="320" w:lineRule="exact"/>
              <w:jc w:val="left"/>
              <w:rPr>
                <w:color w:val="000000"/>
                <w:kern w:val="0"/>
                <w:sz w:val="18"/>
                <w:szCs w:val="18"/>
              </w:rPr>
            </w:pPr>
            <w:r>
              <w:rPr>
                <w:rFonts w:hint="eastAsia"/>
                <w:color w:val="000000"/>
                <w:kern w:val="0"/>
                <w:sz w:val="18"/>
                <w:szCs w:val="18"/>
              </w:rPr>
              <w:t>对注册监理工程师超出规定执业范围或者聘用单位业务范围从事执业活动的处罚</w:t>
            </w:r>
          </w:p>
        </w:tc>
      </w:tr>
      <w:tr w14:paraId="018E3FF1">
        <w:tblPrEx>
          <w:tblCellMar>
            <w:top w:w="0" w:type="dxa"/>
            <w:left w:w="108" w:type="dxa"/>
            <w:bottom w:w="0" w:type="dxa"/>
            <w:right w:w="108" w:type="dxa"/>
          </w:tblCellMar>
        </w:tblPrEx>
        <w:trPr>
          <w:trHeight w:val="1560" w:hRule="atLeast"/>
        </w:trPr>
        <w:tc>
          <w:tcPr>
            <w:tcW w:w="1056" w:type="dxa"/>
            <w:tcBorders>
              <w:top w:val="nil"/>
              <w:left w:val="single" w:color="auto" w:sz="8" w:space="0"/>
              <w:bottom w:val="single" w:color="auto" w:sz="4" w:space="0"/>
              <w:right w:val="single" w:color="auto" w:sz="4" w:space="0"/>
            </w:tcBorders>
            <w:vAlign w:val="center"/>
          </w:tcPr>
          <w:p w14:paraId="29F96372">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0DA5D4E6">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注册监理工程师应当履行下列义务：</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（九）在规定的执业范围和聘用单位业务范围内从事执业活动。</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（四）超出规定执业范围或者聘用单位业务范围从事执业活动的。</w:t>
            </w:r>
          </w:p>
        </w:tc>
      </w:tr>
      <w:tr w14:paraId="336E1CF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0FBD05F">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5844D5E0">
            <w:pPr>
              <w:spacing w:line="320" w:lineRule="exact"/>
              <w:jc w:val="left"/>
              <w:rPr>
                <w:color w:val="000000"/>
                <w:kern w:val="0"/>
                <w:sz w:val="18"/>
                <w:szCs w:val="18"/>
              </w:rPr>
            </w:pPr>
            <w:r>
              <w:rPr>
                <w:rFonts w:hint="eastAsia"/>
                <w:color w:val="000000"/>
                <w:kern w:val="0"/>
                <w:sz w:val="18"/>
                <w:szCs w:val="18"/>
              </w:rPr>
              <w:t>警告、罚款</w:t>
            </w:r>
          </w:p>
        </w:tc>
      </w:tr>
      <w:tr w14:paraId="03D80786">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7EDAA1A7">
            <w:pPr>
              <w:spacing w:line="320" w:lineRule="exact"/>
              <w:jc w:val="center"/>
              <w:rPr>
                <w:color w:val="000000"/>
                <w:kern w:val="0"/>
                <w:sz w:val="18"/>
                <w:szCs w:val="18"/>
              </w:rPr>
            </w:pPr>
            <w:r>
              <w:rPr>
                <w:rFonts w:hint="eastAsia"/>
                <w:color w:val="000000"/>
                <w:kern w:val="0"/>
                <w:sz w:val="18"/>
                <w:szCs w:val="18"/>
              </w:rPr>
              <w:t>裁量基准</w:t>
            </w:r>
          </w:p>
        </w:tc>
      </w:tr>
      <w:tr w14:paraId="3AFEA3AC">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7A9EF766">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73789CD8">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605438E9">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20F8AC89">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3452FBC4">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1C9BDCB0">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05F20F3">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2A747986">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F7ECFD7">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200B2ABA">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3AA6E93">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30FF4903">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B35BE3A">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74B61467">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5FC6E7EE">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3257942A">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BFB4F8E">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6E242D96">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0F9496E0">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2B7C8D66">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ADB1DC1">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2114A651">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7334369">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0629EB89"/>
    <w:p w14:paraId="5E77CD72"/>
    <w:p w14:paraId="395F6B93"/>
    <w:p w14:paraId="4F5B146C"/>
    <w:p w14:paraId="27485766"/>
    <w:p w14:paraId="3CBE8492"/>
    <w:p w14:paraId="560D7EDE"/>
    <w:p w14:paraId="518A15F1"/>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2C2F3809">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594EA8FC">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280AEA30">
            <w:pPr>
              <w:spacing w:line="320" w:lineRule="exact"/>
              <w:jc w:val="left"/>
              <w:rPr>
                <w:rFonts w:eastAsia="仿宋_GB2312"/>
                <w:b/>
                <w:bCs/>
                <w:color w:val="000000"/>
                <w:kern w:val="0"/>
                <w:sz w:val="18"/>
                <w:szCs w:val="18"/>
              </w:rPr>
            </w:pPr>
            <w:r>
              <w:rPr>
                <w:rFonts w:eastAsia="仿宋_GB2312"/>
                <w:b/>
                <w:bCs/>
                <w:color w:val="000000"/>
                <w:kern w:val="0"/>
                <w:sz w:val="18"/>
                <w:szCs w:val="18"/>
              </w:rPr>
              <w:t>320217220000</w:t>
            </w:r>
            <w:r>
              <w:rPr>
                <w:rFonts w:hint="eastAsia" w:eastAsia="仿宋_GB2312"/>
                <w:b/>
                <w:bCs/>
                <w:color w:val="000000"/>
                <w:kern w:val="0"/>
                <w:sz w:val="18"/>
                <w:szCs w:val="18"/>
              </w:rPr>
              <w:t xml:space="preserve"> </w:t>
            </w:r>
          </w:p>
        </w:tc>
      </w:tr>
      <w:tr w14:paraId="5A98B966">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53FAD4E9">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531B33F5">
            <w:pPr>
              <w:spacing w:line="320" w:lineRule="exact"/>
              <w:jc w:val="left"/>
              <w:rPr>
                <w:color w:val="000000"/>
                <w:kern w:val="0"/>
                <w:sz w:val="18"/>
                <w:szCs w:val="18"/>
              </w:rPr>
            </w:pPr>
            <w:r>
              <w:rPr>
                <w:rFonts w:hint="eastAsia"/>
                <w:color w:val="000000"/>
                <w:kern w:val="0"/>
                <w:sz w:val="18"/>
                <w:szCs w:val="18"/>
              </w:rPr>
              <w:t>对施工单位施工现场临时搭建的建筑物不符合安全使用要求的处罚</w:t>
            </w:r>
          </w:p>
        </w:tc>
      </w:tr>
      <w:tr w14:paraId="08A2FDB8">
        <w:tblPrEx>
          <w:tblCellMar>
            <w:top w:w="0" w:type="dxa"/>
            <w:left w:w="108" w:type="dxa"/>
            <w:bottom w:w="0" w:type="dxa"/>
            <w:right w:w="108" w:type="dxa"/>
          </w:tblCellMar>
        </w:tblPrEx>
        <w:trPr>
          <w:trHeight w:val="1365" w:hRule="atLeast"/>
        </w:trPr>
        <w:tc>
          <w:tcPr>
            <w:tcW w:w="1026" w:type="dxa"/>
            <w:tcBorders>
              <w:top w:val="nil"/>
              <w:left w:val="single" w:color="auto" w:sz="8" w:space="0"/>
              <w:bottom w:val="single" w:color="auto" w:sz="4" w:space="0"/>
              <w:right w:val="single" w:color="auto" w:sz="4" w:space="0"/>
            </w:tcBorders>
            <w:vAlign w:val="center"/>
          </w:tcPr>
          <w:p w14:paraId="407094A4">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2FD56F8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7976EBEF">
            <w:pPr>
              <w:spacing w:line="320" w:lineRule="exact"/>
              <w:jc w:val="left"/>
              <w:rPr>
                <w:color w:val="000000"/>
                <w:kern w:val="0"/>
                <w:sz w:val="18"/>
                <w:szCs w:val="18"/>
              </w:rPr>
            </w:pPr>
            <w:r>
              <w:rPr>
                <w:rFonts w:hint="eastAsia"/>
                <w:color w:val="000000"/>
                <w:kern w:val="0"/>
                <w:sz w:val="18"/>
                <w:szCs w:val="18"/>
              </w:rPr>
              <w:t>第二十九条第二款</w:t>
            </w:r>
            <w:r>
              <w:rPr>
                <w:color w:val="000000"/>
                <w:kern w:val="0"/>
                <w:sz w:val="18"/>
                <w:szCs w:val="18"/>
              </w:rPr>
              <w:t xml:space="preserve">  </w:t>
            </w:r>
            <w:r>
              <w:rPr>
                <w:rFonts w:hint="eastAsia"/>
                <w:color w:val="000000"/>
                <w:kern w:val="0"/>
                <w:sz w:val="18"/>
                <w:szCs w:val="18"/>
              </w:rPr>
              <w:t>施工现场临时搭建的建筑物应当符合安全使用要求。施工现场使用的装配式活动房屋应当具有产品合格证。</w:t>
            </w:r>
          </w:p>
          <w:p w14:paraId="2A887937">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14:paraId="6DFFE9B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（四）施工现场临时搭建的建筑物不符合安全使用要求的。</w:t>
            </w:r>
          </w:p>
          <w:p w14:paraId="2DBE3863">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31DEBD72">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2F3BCF2C">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102F056D">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4D0DD2E6">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51169ABF">
            <w:pPr>
              <w:spacing w:line="320" w:lineRule="exact"/>
              <w:jc w:val="center"/>
              <w:rPr>
                <w:color w:val="000000"/>
                <w:kern w:val="0"/>
                <w:sz w:val="18"/>
                <w:szCs w:val="18"/>
              </w:rPr>
            </w:pPr>
            <w:r>
              <w:rPr>
                <w:rFonts w:hint="eastAsia"/>
                <w:color w:val="000000"/>
                <w:kern w:val="0"/>
                <w:sz w:val="18"/>
                <w:szCs w:val="18"/>
              </w:rPr>
              <w:t>裁量基准</w:t>
            </w:r>
          </w:p>
        </w:tc>
      </w:tr>
      <w:tr w14:paraId="4484D70E">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bottom w:val="single" w:color="auto" w:sz="4" w:space="0"/>
              <w:right w:val="single" w:color="auto" w:sz="4" w:space="0"/>
            </w:tcBorders>
            <w:vAlign w:val="center"/>
          </w:tcPr>
          <w:p w14:paraId="245A21A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9BD1211">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color="auto" w:sz="4" w:space="0"/>
              <w:bottom w:val="single" w:color="auto" w:sz="4" w:space="0"/>
              <w:right w:val="single" w:color="auto" w:sz="4" w:space="0"/>
            </w:tcBorders>
            <w:vAlign w:val="center"/>
          </w:tcPr>
          <w:p w14:paraId="23D38D58">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1728FE6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37F0942C">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0F49C94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3A89BF1">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val="continue"/>
            <w:tcBorders>
              <w:top w:val="nil"/>
              <w:left w:val="single" w:color="auto" w:sz="4" w:space="0"/>
              <w:bottom w:val="single" w:color="auto" w:sz="4" w:space="0"/>
              <w:right w:val="single" w:color="auto" w:sz="4" w:space="0"/>
            </w:tcBorders>
            <w:vAlign w:val="center"/>
          </w:tcPr>
          <w:p w14:paraId="292FA560">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3DBE4A04">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2C49911C"/>
    <w:p w14:paraId="3E1D36AC"/>
    <w:p w14:paraId="128CCA95"/>
    <w:p w14:paraId="4A007A5E"/>
    <w:p w14:paraId="40F4408A"/>
    <w:p w14:paraId="0AE3BE08"/>
    <w:p w14:paraId="2B0C8F3A"/>
    <w:p w14:paraId="13E6AA4D"/>
    <w:p w14:paraId="7F81E624"/>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0D677B8B">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5158A3E">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5AE2D89E">
            <w:pPr>
              <w:jc w:val="left"/>
              <w:textAlignment w:val="center"/>
              <w:rPr>
                <w:rFonts w:eastAsia="仿宋_GB2312"/>
                <w:b/>
                <w:bCs/>
                <w:color w:val="000000"/>
                <w:kern w:val="0"/>
                <w:sz w:val="18"/>
                <w:szCs w:val="18"/>
              </w:rPr>
            </w:pPr>
            <w:r>
              <w:rPr>
                <w:rFonts w:eastAsia="仿宋_GB2312"/>
                <w:b/>
                <w:color w:val="000000"/>
                <w:kern w:val="0"/>
                <w:sz w:val="20"/>
              </w:rPr>
              <w:t>320217221000</w:t>
            </w:r>
          </w:p>
        </w:tc>
      </w:tr>
      <w:tr w14:paraId="7A7A256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76A7BC7">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08713B50">
            <w:pPr>
              <w:spacing w:line="320" w:lineRule="exact"/>
              <w:jc w:val="left"/>
              <w:rPr>
                <w:color w:val="000000"/>
                <w:kern w:val="0"/>
                <w:sz w:val="18"/>
                <w:szCs w:val="18"/>
              </w:rPr>
            </w:pPr>
            <w:r>
              <w:rPr>
                <w:rFonts w:hint="eastAsia"/>
                <w:color w:val="000000"/>
                <w:kern w:val="0"/>
                <w:sz w:val="18"/>
                <w:szCs w:val="18"/>
              </w:rPr>
              <w:t>对注册建筑师未受聘并注册于中华人民共和国境内一个具有工程设计资质的单位，从事建筑工程设计执业活动的处罚</w:t>
            </w:r>
          </w:p>
        </w:tc>
      </w:tr>
      <w:tr w14:paraId="394DD008">
        <w:tblPrEx>
          <w:tblCellMar>
            <w:top w:w="0" w:type="dxa"/>
            <w:left w:w="108" w:type="dxa"/>
            <w:bottom w:w="0" w:type="dxa"/>
            <w:right w:w="108" w:type="dxa"/>
          </w:tblCellMar>
        </w:tblPrEx>
        <w:trPr>
          <w:trHeight w:val="1530" w:hRule="atLeast"/>
        </w:trPr>
        <w:tc>
          <w:tcPr>
            <w:tcW w:w="1056" w:type="dxa"/>
            <w:tcBorders>
              <w:top w:val="nil"/>
              <w:left w:val="single" w:color="auto" w:sz="8" w:space="0"/>
              <w:bottom w:val="single" w:color="auto" w:sz="4" w:space="0"/>
              <w:right w:val="single" w:color="auto" w:sz="4" w:space="0"/>
            </w:tcBorders>
            <w:vAlign w:val="center"/>
          </w:tcPr>
          <w:p w14:paraId="3515EF00">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774FD9EB">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【规章】《中华人民共和国注册建筑师条例实施细则》（建设部第</w:t>
            </w:r>
            <w:r>
              <w:rPr>
                <w:color w:val="000000"/>
                <w:kern w:val="0"/>
                <w:sz w:val="18"/>
                <w:szCs w:val="18"/>
              </w:rPr>
              <w:t>167</w:t>
            </w:r>
            <w:r>
              <w:rPr>
                <w:rFonts w:hint="eastAsia"/>
                <w:color w:val="000000"/>
                <w:kern w:val="0"/>
                <w:sz w:val="18"/>
                <w:szCs w:val="18"/>
              </w:rPr>
              <w:t>号令）</w:t>
            </w:r>
            <w:r>
              <w:rPr>
                <w:color w:val="000000"/>
                <w:kern w:val="0"/>
                <w:sz w:val="18"/>
                <w:szCs w:val="18"/>
              </w:rPr>
              <w:br w:type="textWrapping"/>
            </w:r>
            <w:r>
              <w:rPr>
                <w:rFonts w:hint="eastAsia"/>
                <w:color w:val="000000"/>
                <w:kern w:val="0"/>
                <w:sz w:val="18"/>
                <w:szCs w:val="18"/>
              </w:rPr>
              <w:t>第十七条　申请注册建筑师初始注册，应当具备以下条件：</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（二）只受聘于中华人民共和国境内的一个建设工程勘察、设计、施工、监理、招标代理、造价咨询、施工图审查、城乡规划编制等单位（以下简称聘用单位）；</w:t>
            </w:r>
            <w:r>
              <w:rPr>
                <w:color w:val="000000"/>
                <w:kern w:val="0"/>
                <w:sz w:val="18"/>
                <w:szCs w:val="18"/>
              </w:rPr>
              <w:br w:type="textWrapping"/>
            </w:r>
            <w:r>
              <w:rPr>
                <w:rFonts w:hint="eastAsia"/>
                <w:color w:val="000000"/>
                <w:kern w:val="0"/>
                <w:sz w:val="18"/>
                <w:szCs w:val="18"/>
              </w:rPr>
              <w:t>第四十二条　违反本细则，未受聘并注册于中华人民共和国境内一个具有工程设计资质的单位，从事建筑工程设计执业活动的，由县级以上人民政府建设主管部门给予警告，责令停止违法活动，并可处以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4AB3BB9F">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A7997CE">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2D059D10">
            <w:pPr>
              <w:spacing w:line="320" w:lineRule="exact"/>
              <w:jc w:val="left"/>
              <w:rPr>
                <w:color w:val="000000"/>
                <w:kern w:val="0"/>
                <w:sz w:val="18"/>
                <w:szCs w:val="18"/>
              </w:rPr>
            </w:pPr>
            <w:r>
              <w:rPr>
                <w:rFonts w:hint="eastAsia"/>
                <w:color w:val="000000"/>
                <w:kern w:val="0"/>
                <w:sz w:val="18"/>
                <w:szCs w:val="18"/>
              </w:rPr>
              <w:t>警告，责令停止违法活动，罚款</w:t>
            </w:r>
            <w:r>
              <w:rPr>
                <w:color w:val="000000"/>
                <w:kern w:val="0"/>
                <w:sz w:val="18"/>
                <w:szCs w:val="18"/>
              </w:rPr>
              <w:t xml:space="preserve">  </w:t>
            </w:r>
          </w:p>
        </w:tc>
      </w:tr>
      <w:tr w14:paraId="1B03F672">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12336447">
            <w:pPr>
              <w:spacing w:line="320" w:lineRule="exact"/>
              <w:jc w:val="center"/>
              <w:rPr>
                <w:color w:val="000000"/>
                <w:kern w:val="0"/>
                <w:sz w:val="18"/>
                <w:szCs w:val="18"/>
              </w:rPr>
            </w:pPr>
            <w:r>
              <w:rPr>
                <w:rFonts w:hint="eastAsia"/>
                <w:color w:val="000000"/>
                <w:kern w:val="0"/>
                <w:sz w:val="18"/>
                <w:szCs w:val="18"/>
              </w:rPr>
              <w:t>裁量基准</w:t>
            </w:r>
          </w:p>
        </w:tc>
      </w:tr>
      <w:tr w14:paraId="3BABBD3A">
        <w:tblPrEx>
          <w:tblCellMar>
            <w:top w:w="0" w:type="dxa"/>
            <w:left w:w="108" w:type="dxa"/>
            <w:bottom w:w="0" w:type="dxa"/>
            <w:right w:w="108" w:type="dxa"/>
          </w:tblCellMar>
        </w:tblPrEx>
        <w:trPr>
          <w:trHeight w:val="540" w:hRule="atLeast"/>
        </w:trPr>
        <w:tc>
          <w:tcPr>
            <w:tcW w:w="1056" w:type="dxa"/>
            <w:vMerge w:val="restart"/>
            <w:tcBorders>
              <w:top w:val="nil"/>
              <w:left w:val="single" w:color="auto" w:sz="8" w:space="0"/>
              <w:bottom w:val="single" w:color="000000" w:sz="4" w:space="0"/>
              <w:right w:val="single" w:color="auto" w:sz="4" w:space="0"/>
            </w:tcBorders>
            <w:vAlign w:val="center"/>
          </w:tcPr>
          <w:p w14:paraId="6A1F6FD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10BB5FE0">
            <w:pPr>
              <w:spacing w:line="320" w:lineRule="exact"/>
              <w:jc w:val="left"/>
              <w:rPr>
                <w:color w:val="000000"/>
                <w:kern w:val="0"/>
                <w:sz w:val="18"/>
                <w:szCs w:val="18"/>
              </w:rPr>
            </w:pPr>
            <w:r>
              <w:rPr>
                <w:rFonts w:hint="eastAsia"/>
                <w:color w:val="000000"/>
                <w:kern w:val="0"/>
                <w:sz w:val="18"/>
                <w:szCs w:val="18"/>
              </w:rPr>
              <w:t>未受聘并注册于中华人民共和国境内一个具有工程设计资质的单位，从事建筑工程设计执业活动，主动停止违法活动的</w:t>
            </w:r>
          </w:p>
        </w:tc>
        <w:tc>
          <w:tcPr>
            <w:tcW w:w="1044" w:type="dxa"/>
            <w:vMerge w:val="restart"/>
            <w:tcBorders>
              <w:top w:val="nil"/>
              <w:left w:val="single" w:color="auto" w:sz="4" w:space="0"/>
              <w:bottom w:val="single" w:color="000000" w:sz="4" w:space="0"/>
              <w:right w:val="single" w:color="auto" w:sz="4" w:space="0"/>
            </w:tcBorders>
            <w:vAlign w:val="center"/>
          </w:tcPr>
          <w:p w14:paraId="27327EC8">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6659F3C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309527D4">
        <w:tblPrEx>
          <w:tblCellMar>
            <w:top w:w="0" w:type="dxa"/>
            <w:left w:w="108" w:type="dxa"/>
            <w:bottom w:w="0" w:type="dxa"/>
            <w:right w:w="108" w:type="dxa"/>
          </w:tblCellMar>
        </w:tblPrEx>
        <w:trPr>
          <w:trHeight w:val="540" w:hRule="atLeast"/>
        </w:trPr>
        <w:tc>
          <w:tcPr>
            <w:tcW w:w="1056" w:type="dxa"/>
            <w:vMerge w:val="continue"/>
            <w:tcBorders>
              <w:top w:val="nil"/>
              <w:left w:val="single" w:color="auto" w:sz="8" w:space="0"/>
              <w:bottom w:val="single" w:color="000000" w:sz="4" w:space="0"/>
              <w:right w:val="single" w:color="auto" w:sz="4" w:space="0"/>
            </w:tcBorders>
            <w:vAlign w:val="center"/>
          </w:tcPr>
          <w:p w14:paraId="31A8978E">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7DE6592F">
            <w:pPr>
              <w:spacing w:line="320" w:lineRule="exact"/>
              <w:jc w:val="left"/>
              <w:rPr>
                <w:color w:val="000000"/>
                <w:kern w:val="0"/>
                <w:sz w:val="18"/>
                <w:szCs w:val="18"/>
              </w:rPr>
            </w:pPr>
            <w:r>
              <w:rPr>
                <w:rFonts w:hint="eastAsia"/>
                <w:color w:val="000000"/>
                <w:kern w:val="0"/>
                <w:sz w:val="18"/>
                <w:szCs w:val="18"/>
              </w:rPr>
              <w:t>未受聘并注册于中华人民共和国境内一个具有工程设计资质的单位，从事建筑工程设计执业活动，拒不停止违法活动的</w:t>
            </w:r>
          </w:p>
        </w:tc>
        <w:tc>
          <w:tcPr>
            <w:tcW w:w="1044" w:type="dxa"/>
            <w:vMerge w:val="continue"/>
            <w:tcBorders>
              <w:top w:val="nil"/>
              <w:left w:val="single" w:color="auto" w:sz="4" w:space="0"/>
              <w:bottom w:val="single" w:color="000000" w:sz="4" w:space="0"/>
              <w:right w:val="single" w:color="auto" w:sz="4" w:space="0"/>
            </w:tcBorders>
            <w:vAlign w:val="center"/>
          </w:tcPr>
          <w:p w14:paraId="41A11BC3">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A58EDB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4C6E797F"/>
    <w:p w14:paraId="1F396C2E"/>
    <w:p w14:paraId="0754B5C6"/>
    <w:p w14:paraId="26611866"/>
    <w:p w14:paraId="6F8910E1"/>
    <w:p w14:paraId="1AA630EF"/>
    <w:p w14:paraId="25526515"/>
    <w:p w14:paraId="7802CB9D"/>
    <w:p w14:paraId="328AAD0C"/>
    <w:tbl>
      <w:tblPr>
        <w:tblStyle w:val="15"/>
        <w:tblpPr w:leftFromText="180" w:rightFromText="180" w:vertAnchor="text" w:horzAnchor="page" w:tblpX="1492" w:tblpY="-36"/>
        <w:tblOverlap w:val="never"/>
        <w:tblW w:w="0" w:type="auto"/>
        <w:tblInd w:w="0" w:type="dxa"/>
        <w:tblLayout w:type="fixed"/>
        <w:tblCellMar>
          <w:top w:w="0" w:type="dxa"/>
          <w:left w:w="108" w:type="dxa"/>
          <w:bottom w:w="0" w:type="dxa"/>
          <w:right w:w="108" w:type="dxa"/>
        </w:tblCellMar>
      </w:tblPr>
      <w:tblGrid>
        <w:gridCol w:w="1050"/>
        <w:gridCol w:w="6140"/>
        <w:gridCol w:w="1100"/>
        <w:gridCol w:w="5760"/>
      </w:tblGrid>
      <w:tr w14:paraId="5948AA50">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35078FD3">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single" w:color="auto" w:sz="4" w:space="0"/>
              <w:bottom w:val="single" w:color="auto" w:sz="4" w:space="0"/>
              <w:right w:val="single" w:color="auto" w:sz="8" w:space="0"/>
            </w:tcBorders>
            <w:vAlign w:val="center"/>
          </w:tcPr>
          <w:p w14:paraId="690AE206">
            <w:pPr>
              <w:spacing w:line="320" w:lineRule="exact"/>
              <w:jc w:val="left"/>
              <w:rPr>
                <w:b/>
                <w:color w:val="000000"/>
                <w:kern w:val="0"/>
                <w:sz w:val="18"/>
                <w:szCs w:val="18"/>
              </w:rPr>
            </w:pPr>
            <w:r>
              <w:rPr>
                <w:b/>
                <w:color w:val="000000"/>
                <w:kern w:val="0"/>
                <w:sz w:val="18"/>
                <w:szCs w:val="18"/>
              </w:rPr>
              <w:t>320217222000</w:t>
            </w:r>
            <w:r>
              <w:rPr>
                <w:rFonts w:hint="eastAsia"/>
                <w:b/>
                <w:color w:val="000000"/>
                <w:kern w:val="0"/>
                <w:sz w:val="18"/>
                <w:szCs w:val="18"/>
              </w:rPr>
              <w:t xml:space="preserve"> </w:t>
            </w:r>
          </w:p>
        </w:tc>
      </w:tr>
      <w:tr w14:paraId="2728F872">
        <w:tblPrEx>
          <w:tblCellMar>
            <w:top w:w="0" w:type="dxa"/>
            <w:left w:w="108" w:type="dxa"/>
            <w:bottom w:w="0" w:type="dxa"/>
            <w:right w:w="108" w:type="dxa"/>
          </w:tblCellMar>
        </w:tblPrEx>
        <w:trPr>
          <w:trHeight w:val="300" w:hRule="atLeast"/>
        </w:trPr>
        <w:tc>
          <w:tcPr>
            <w:tcW w:w="1050" w:type="dxa"/>
            <w:tcBorders>
              <w:top w:val="single" w:color="auto" w:sz="4" w:space="0"/>
              <w:left w:val="single" w:color="auto" w:sz="8" w:space="0"/>
              <w:bottom w:val="single" w:color="auto" w:sz="4" w:space="0"/>
              <w:right w:val="single" w:color="auto" w:sz="4" w:space="0"/>
            </w:tcBorders>
            <w:vAlign w:val="center"/>
          </w:tcPr>
          <w:p w14:paraId="5C7F8018">
            <w:pPr>
              <w:spacing w:line="320" w:lineRule="exact"/>
              <w:jc w:val="left"/>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single" w:color="auto" w:sz="4" w:space="0"/>
              <w:bottom w:val="single" w:color="auto" w:sz="4" w:space="0"/>
              <w:right w:val="single" w:color="auto" w:sz="8" w:space="0"/>
            </w:tcBorders>
            <w:vAlign w:val="center"/>
          </w:tcPr>
          <w:p w14:paraId="4E31E3D3">
            <w:pPr>
              <w:spacing w:line="320" w:lineRule="exact"/>
              <w:jc w:val="left"/>
              <w:rPr>
                <w:color w:val="000000"/>
                <w:kern w:val="0"/>
                <w:sz w:val="18"/>
                <w:szCs w:val="18"/>
              </w:rPr>
            </w:pPr>
            <w:r>
              <w:rPr>
                <w:rFonts w:hint="eastAsia"/>
                <w:color w:val="000000"/>
                <w:kern w:val="0"/>
                <w:sz w:val="18"/>
                <w:szCs w:val="18"/>
              </w:rPr>
              <w:t>对勘察、设计单位未依据项目批准文件，城乡规划及专业规划，国家规定的建设工程勘察、设计深度要求编制建设工程勘察、设计文件的处罚</w:t>
            </w:r>
          </w:p>
        </w:tc>
      </w:tr>
      <w:tr w14:paraId="78D27F03">
        <w:tblPrEx>
          <w:tblCellMar>
            <w:top w:w="0" w:type="dxa"/>
            <w:left w:w="108" w:type="dxa"/>
            <w:bottom w:w="0" w:type="dxa"/>
            <w:right w:w="108" w:type="dxa"/>
          </w:tblCellMar>
        </w:tblPrEx>
        <w:trPr>
          <w:trHeight w:val="1365" w:hRule="atLeast"/>
        </w:trPr>
        <w:tc>
          <w:tcPr>
            <w:tcW w:w="1050" w:type="dxa"/>
            <w:tcBorders>
              <w:top w:val="single" w:color="auto" w:sz="4" w:space="0"/>
              <w:left w:val="single" w:color="auto" w:sz="8" w:space="0"/>
              <w:bottom w:val="single" w:color="auto" w:sz="4" w:space="0"/>
              <w:right w:val="single" w:color="auto" w:sz="4" w:space="0"/>
            </w:tcBorders>
            <w:vAlign w:val="center"/>
          </w:tcPr>
          <w:p w14:paraId="4A76254B">
            <w:pPr>
              <w:spacing w:line="320" w:lineRule="exact"/>
              <w:jc w:val="left"/>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single" w:color="auto" w:sz="4" w:space="0"/>
              <w:bottom w:val="single" w:color="auto" w:sz="4" w:space="0"/>
              <w:right w:val="single" w:color="auto" w:sz="8" w:space="0"/>
            </w:tcBorders>
            <w:vAlign w:val="center"/>
          </w:tcPr>
          <w:p w14:paraId="1630CE08">
            <w:pPr>
              <w:spacing w:line="320" w:lineRule="exact"/>
              <w:ind w:firstLine="360" w:firstLineChars="200"/>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662</w:t>
            </w:r>
            <w:r>
              <w:rPr>
                <w:rFonts w:hint="eastAsia"/>
                <w:color w:val="000000"/>
                <w:kern w:val="0"/>
                <w:sz w:val="18"/>
                <w:szCs w:val="18"/>
              </w:rPr>
              <w:t>号）</w:t>
            </w:r>
          </w:p>
          <w:p w14:paraId="067C22D3">
            <w:pPr>
              <w:spacing w:line="320" w:lineRule="exact"/>
              <w:jc w:val="left"/>
              <w:rPr>
                <w:color w:val="000000"/>
                <w:kern w:val="0"/>
                <w:sz w:val="18"/>
                <w:szCs w:val="18"/>
              </w:rPr>
            </w:pPr>
            <w:r>
              <w:rPr>
                <w:rFonts w:hint="eastAsia"/>
                <w:color w:val="000000"/>
                <w:kern w:val="0"/>
                <w:sz w:val="18"/>
                <w:szCs w:val="18"/>
              </w:rPr>
              <w:t>第二十五条第一款</w:t>
            </w:r>
            <w:r>
              <w:rPr>
                <w:color w:val="000000"/>
                <w:kern w:val="0"/>
                <w:sz w:val="18"/>
                <w:szCs w:val="18"/>
              </w:rPr>
              <w:t xml:space="preserve"> </w:t>
            </w:r>
            <w:r>
              <w:rPr>
                <w:rFonts w:hint="eastAsia"/>
                <w:color w:val="000000"/>
                <w:kern w:val="0"/>
                <w:sz w:val="18"/>
                <w:szCs w:val="18"/>
              </w:rPr>
              <w:t>编制建设工程勘察、设计文件，应当以下列规定为依据：</w:t>
            </w:r>
            <w:r>
              <w:rPr>
                <w:color w:val="000000"/>
                <w:kern w:val="0"/>
                <w:sz w:val="18"/>
                <w:szCs w:val="18"/>
              </w:rPr>
              <w:t xml:space="preserve"> </w:t>
            </w:r>
          </w:p>
          <w:p w14:paraId="319F08CD">
            <w:pPr>
              <w:spacing w:line="320" w:lineRule="exact"/>
              <w:jc w:val="left"/>
              <w:rPr>
                <w:color w:val="000000"/>
                <w:kern w:val="0"/>
                <w:sz w:val="18"/>
                <w:szCs w:val="18"/>
              </w:rPr>
            </w:pPr>
            <w:r>
              <w:rPr>
                <w:rFonts w:hint="eastAsia"/>
                <w:color w:val="000000"/>
                <w:kern w:val="0"/>
                <w:sz w:val="18"/>
                <w:szCs w:val="18"/>
              </w:rPr>
              <w:t>（一）项目批准文件；</w:t>
            </w:r>
            <w:r>
              <w:rPr>
                <w:color w:val="000000"/>
                <w:kern w:val="0"/>
                <w:sz w:val="18"/>
                <w:szCs w:val="18"/>
              </w:rPr>
              <w:t xml:space="preserve"> </w:t>
            </w:r>
          </w:p>
          <w:p w14:paraId="6A2E02CC">
            <w:pPr>
              <w:spacing w:line="320" w:lineRule="exact"/>
              <w:jc w:val="left"/>
              <w:rPr>
                <w:color w:val="000000"/>
                <w:kern w:val="0"/>
                <w:sz w:val="18"/>
                <w:szCs w:val="18"/>
              </w:rPr>
            </w:pPr>
            <w:r>
              <w:rPr>
                <w:rFonts w:hint="eastAsia"/>
                <w:color w:val="000000"/>
                <w:kern w:val="0"/>
                <w:sz w:val="18"/>
                <w:szCs w:val="18"/>
              </w:rPr>
              <w:t>（二）城市规划；</w:t>
            </w:r>
            <w:r>
              <w:rPr>
                <w:color w:val="000000"/>
                <w:kern w:val="0"/>
                <w:sz w:val="18"/>
                <w:szCs w:val="18"/>
              </w:rPr>
              <w:t xml:space="preserve"> </w:t>
            </w:r>
          </w:p>
          <w:p w14:paraId="217A60D5">
            <w:pPr>
              <w:spacing w:line="320" w:lineRule="exact"/>
              <w:jc w:val="left"/>
              <w:rPr>
                <w:color w:val="000000"/>
                <w:kern w:val="0"/>
                <w:sz w:val="18"/>
                <w:szCs w:val="18"/>
              </w:rPr>
            </w:pPr>
            <w:r>
              <w:rPr>
                <w:rFonts w:hint="eastAsia"/>
                <w:color w:val="000000"/>
                <w:kern w:val="0"/>
                <w:sz w:val="18"/>
                <w:szCs w:val="18"/>
              </w:rPr>
              <w:t>（三）工程建设强制性标准；</w:t>
            </w:r>
            <w:r>
              <w:rPr>
                <w:color w:val="000000"/>
                <w:kern w:val="0"/>
                <w:sz w:val="18"/>
                <w:szCs w:val="18"/>
              </w:rPr>
              <w:t xml:space="preserve"> </w:t>
            </w:r>
          </w:p>
          <w:p w14:paraId="2C0E46AD">
            <w:pPr>
              <w:spacing w:line="320" w:lineRule="exact"/>
              <w:jc w:val="left"/>
              <w:rPr>
                <w:color w:val="000000"/>
                <w:kern w:val="0"/>
                <w:sz w:val="18"/>
                <w:szCs w:val="18"/>
              </w:rPr>
            </w:pPr>
            <w:r>
              <w:rPr>
                <w:rFonts w:hint="eastAsia"/>
                <w:color w:val="000000"/>
                <w:kern w:val="0"/>
                <w:sz w:val="18"/>
                <w:szCs w:val="18"/>
              </w:rPr>
              <w:t>（四）国家规定的建设工程勘察、设计深度要求。</w:t>
            </w:r>
          </w:p>
          <w:p w14:paraId="579E9B5C">
            <w:pPr>
              <w:spacing w:line="320" w:lineRule="exact"/>
              <w:jc w:val="left"/>
              <w:rPr>
                <w:color w:val="000000"/>
                <w:kern w:val="0"/>
                <w:sz w:val="18"/>
                <w:szCs w:val="18"/>
              </w:rPr>
            </w:pPr>
            <w:r>
              <w:rPr>
                <w:rFonts w:hint="eastAsia"/>
                <w:color w:val="000000"/>
                <w:kern w:val="0"/>
                <w:sz w:val="18"/>
                <w:szCs w:val="18"/>
              </w:rPr>
              <w:t>第四十条</w:t>
            </w:r>
            <w:r>
              <w:rPr>
                <w:color w:val="000000"/>
                <w:kern w:val="0"/>
                <w:sz w:val="18"/>
                <w:szCs w:val="18"/>
              </w:rPr>
              <w:t xml:space="preserve"> </w:t>
            </w:r>
            <w:r>
              <w:rPr>
                <w:rFonts w:hint="eastAsia"/>
                <w:color w:val="000000"/>
                <w:kern w:val="0"/>
                <w:sz w:val="18"/>
                <w:szCs w:val="18"/>
              </w:rPr>
              <w:t>违反本条例规定，勘察、设计单位未依据项目批准文件，城乡规划及专业规划，国家规定的建设工程勘察、设计深度要求编制建设工程勘察、设计文件的，责令限期改正；</w:t>
            </w:r>
            <w:r>
              <w:rPr>
                <w:rFonts w:hint="eastAsia"/>
                <w:b/>
                <w:bCs/>
                <w:color w:val="000000"/>
                <w:kern w:val="0"/>
                <w:sz w:val="18"/>
                <w:szCs w:val="18"/>
              </w:rPr>
              <w:t>逾期不改正的，处</w:t>
            </w:r>
            <w:r>
              <w:rPr>
                <w:b/>
                <w:bCs/>
                <w:color w:val="000000"/>
                <w:kern w:val="0"/>
                <w:sz w:val="18"/>
                <w:szCs w:val="18"/>
              </w:rPr>
              <w:t>10</w:t>
            </w:r>
            <w:r>
              <w:rPr>
                <w:rFonts w:hint="eastAsia"/>
                <w:b/>
                <w:bCs/>
                <w:color w:val="000000"/>
                <w:kern w:val="0"/>
                <w:sz w:val="18"/>
                <w:szCs w:val="18"/>
              </w:rPr>
              <w:t>万元以上</w:t>
            </w:r>
            <w:r>
              <w:rPr>
                <w:b/>
                <w:bCs/>
                <w:color w:val="000000"/>
                <w:kern w:val="0"/>
                <w:sz w:val="18"/>
                <w:szCs w:val="18"/>
              </w:rPr>
              <w:t>30</w:t>
            </w:r>
            <w:r>
              <w:rPr>
                <w:rFonts w:hint="eastAsia"/>
                <w:b/>
                <w:bCs/>
                <w:color w:val="000000"/>
                <w:kern w:val="0"/>
                <w:sz w:val="18"/>
                <w:szCs w:val="18"/>
              </w:rPr>
              <w:t>万元以下的罚款；造成工程质量事故或者环境污染和生态破坏的，责令停业整顿，降低资质等级；情节严重的，吊销资质证书</w:t>
            </w:r>
            <w:r>
              <w:rPr>
                <w:rFonts w:hint="eastAsia"/>
                <w:color w:val="000000"/>
                <w:kern w:val="0"/>
                <w:sz w:val="18"/>
                <w:szCs w:val="18"/>
              </w:rPr>
              <w:t>；造成损失的，依法承担赔偿责任。</w:t>
            </w:r>
          </w:p>
        </w:tc>
      </w:tr>
      <w:tr w14:paraId="61483C85">
        <w:tblPrEx>
          <w:tblCellMar>
            <w:top w:w="0" w:type="dxa"/>
            <w:left w:w="108" w:type="dxa"/>
            <w:bottom w:w="0" w:type="dxa"/>
            <w:right w:w="108" w:type="dxa"/>
          </w:tblCellMar>
        </w:tblPrEx>
        <w:trPr>
          <w:trHeight w:val="285" w:hRule="atLeast"/>
        </w:trPr>
        <w:tc>
          <w:tcPr>
            <w:tcW w:w="1050" w:type="dxa"/>
            <w:tcBorders>
              <w:top w:val="single" w:color="auto" w:sz="4" w:space="0"/>
              <w:left w:val="single" w:color="auto" w:sz="8" w:space="0"/>
              <w:bottom w:val="single" w:color="auto" w:sz="4" w:space="0"/>
              <w:right w:val="single" w:color="auto" w:sz="4" w:space="0"/>
            </w:tcBorders>
            <w:vAlign w:val="center"/>
          </w:tcPr>
          <w:p w14:paraId="2EC3BDEA">
            <w:pPr>
              <w:spacing w:line="320" w:lineRule="exact"/>
              <w:jc w:val="left"/>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single" w:color="auto" w:sz="4" w:space="0"/>
              <w:bottom w:val="single" w:color="auto" w:sz="4" w:space="0"/>
              <w:right w:val="single" w:color="auto" w:sz="8" w:space="0"/>
            </w:tcBorders>
            <w:vAlign w:val="center"/>
          </w:tcPr>
          <w:p w14:paraId="1DE44364">
            <w:pPr>
              <w:jc w:val="left"/>
              <w:textAlignment w:val="center"/>
              <w:rPr>
                <w:rFonts w:eastAsia="仿宋_GB2312"/>
                <w:color w:val="000000"/>
                <w:sz w:val="20"/>
              </w:rPr>
            </w:pPr>
            <w:r>
              <w:rPr>
                <w:rFonts w:hint="eastAsia" w:eastAsia="仿宋_GB2312"/>
                <w:color w:val="000000"/>
                <w:kern w:val="0"/>
                <w:sz w:val="20"/>
              </w:rPr>
              <w:t>责令限期整改，罚款，责令停业整顿，降低资质等级，吊销资质证书</w:t>
            </w:r>
            <w:r>
              <w:rPr>
                <w:rFonts w:eastAsia="仿宋_GB2312"/>
                <w:color w:val="000000"/>
                <w:kern w:val="0"/>
                <w:sz w:val="20"/>
              </w:rPr>
              <w:t xml:space="preserve"> </w:t>
            </w:r>
            <w:r>
              <w:rPr>
                <w:rFonts w:hint="eastAsia" w:eastAsia="仿宋_GB2312"/>
                <w:color w:val="000000"/>
                <w:kern w:val="0"/>
                <w:sz w:val="20"/>
              </w:rPr>
              <w:t>　</w:t>
            </w:r>
          </w:p>
        </w:tc>
      </w:tr>
      <w:tr w14:paraId="0E95CF00">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auto" w:sz="8" w:space="0"/>
            </w:tcBorders>
            <w:vAlign w:val="center"/>
          </w:tcPr>
          <w:p w14:paraId="316BFDAE">
            <w:pPr>
              <w:spacing w:line="320" w:lineRule="exact"/>
              <w:jc w:val="center"/>
              <w:rPr>
                <w:color w:val="000000"/>
                <w:kern w:val="0"/>
                <w:sz w:val="18"/>
                <w:szCs w:val="18"/>
              </w:rPr>
            </w:pPr>
            <w:r>
              <w:rPr>
                <w:rFonts w:hint="eastAsia"/>
                <w:color w:val="000000"/>
                <w:kern w:val="0"/>
                <w:sz w:val="18"/>
                <w:szCs w:val="18"/>
              </w:rPr>
              <w:t>裁量基准</w:t>
            </w:r>
          </w:p>
        </w:tc>
      </w:tr>
      <w:tr w14:paraId="4AAE0543">
        <w:tblPrEx>
          <w:tblCellMar>
            <w:top w:w="0" w:type="dxa"/>
            <w:left w:w="108" w:type="dxa"/>
            <w:bottom w:w="0" w:type="dxa"/>
            <w:right w:w="108" w:type="dxa"/>
          </w:tblCellMar>
        </w:tblPrEx>
        <w:trPr>
          <w:trHeight w:val="285" w:hRule="atLeast"/>
        </w:trPr>
        <w:tc>
          <w:tcPr>
            <w:tcW w:w="1050" w:type="dxa"/>
            <w:vMerge w:val="restart"/>
            <w:tcBorders>
              <w:top w:val="single" w:color="auto" w:sz="4" w:space="0"/>
              <w:left w:val="single" w:color="auto" w:sz="8" w:space="0"/>
              <w:bottom w:val="single" w:color="auto" w:sz="4" w:space="0"/>
              <w:right w:val="single" w:color="auto" w:sz="4" w:space="0"/>
            </w:tcBorders>
            <w:vAlign w:val="center"/>
          </w:tcPr>
          <w:p w14:paraId="18C80F5B">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7D88B37F">
            <w:pPr>
              <w:spacing w:line="320" w:lineRule="exact"/>
              <w:jc w:val="left"/>
              <w:rPr>
                <w:color w:val="000000"/>
                <w:kern w:val="0"/>
                <w:sz w:val="18"/>
                <w:szCs w:val="18"/>
              </w:rPr>
            </w:pPr>
            <w:r>
              <w:rPr>
                <w:rFonts w:hint="eastAsia"/>
                <w:color w:val="000000"/>
                <w:kern w:val="0"/>
                <w:sz w:val="18"/>
                <w:szCs w:val="18"/>
              </w:rPr>
              <w:t>未按照要求改正，未造成工程质量事故或者环境污染和生态破坏的</w:t>
            </w:r>
          </w:p>
        </w:tc>
        <w:tc>
          <w:tcPr>
            <w:tcW w:w="1100" w:type="dxa"/>
            <w:vMerge w:val="restart"/>
            <w:tcBorders>
              <w:top w:val="single" w:color="auto" w:sz="4" w:space="0"/>
              <w:left w:val="single" w:color="auto" w:sz="4" w:space="0"/>
              <w:right w:val="single" w:color="auto" w:sz="4" w:space="0"/>
            </w:tcBorders>
            <w:vAlign w:val="center"/>
          </w:tcPr>
          <w:p w14:paraId="70D8F458">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color="auto" w:sz="4" w:space="0"/>
              <w:left w:val="single" w:color="auto" w:sz="4" w:space="0"/>
              <w:bottom w:val="single" w:color="auto" w:sz="4" w:space="0"/>
              <w:right w:val="single" w:color="auto" w:sz="8" w:space="0"/>
            </w:tcBorders>
            <w:vAlign w:val="center"/>
          </w:tcPr>
          <w:p w14:paraId="73440EC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19595A9B">
        <w:tblPrEx>
          <w:tblCellMar>
            <w:top w:w="0" w:type="dxa"/>
            <w:left w:w="108" w:type="dxa"/>
            <w:bottom w:w="0" w:type="dxa"/>
            <w:right w:w="108" w:type="dxa"/>
          </w:tblCellMar>
        </w:tblPrEx>
        <w:trPr>
          <w:trHeight w:val="285" w:hRule="atLeast"/>
        </w:trPr>
        <w:tc>
          <w:tcPr>
            <w:tcW w:w="1050" w:type="dxa"/>
            <w:vMerge w:val="continue"/>
            <w:tcBorders>
              <w:left w:val="single" w:color="auto" w:sz="8" w:space="0"/>
              <w:right w:val="single" w:color="auto" w:sz="4" w:space="0"/>
            </w:tcBorders>
            <w:vAlign w:val="center"/>
          </w:tcPr>
          <w:p w14:paraId="10C06557">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6F6FB020">
            <w:pPr>
              <w:spacing w:line="320" w:lineRule="exact"/>
              <w:jc w:val="left"/>
              <w:rPr>
                <w:color w:val="000000"/>
                <w:kern w:val="0"/>
                <w:sz w:val="18"/>
                <w:szCs w:val="18"/>
              </w:rPr>
            </w:pPr>
            <w:r>
              <w:rPr>
                <w:rFonts w:hint="eastAsia"/>
                <w:color w:val="000000"/>
                <w:kern w:val="0"/>
                <w:sz w:val="18"/>
                <w:szCs w:val="18"/>
              </w:rPr>
              <w:t>未按照要求改正，造成工程质量事故或者环境污染和生态破坏的</w:t>
            </w:r>
          </w:p>
        </w:tc>
        <w:tc>
          <w:tcPr>
            <w:tcW w:w="1100" w:type="dxa"/>
            <w:vMerge w:val="continue"/>
            <w:tcBorders>
              <w:left w:val="single" w:color="auto" w:sz="4" w:space="0"/>
              <w:right w:val="single" w:color="auto" w:sz="4" w:space="0"/>
            </w:tcBorders>
            <w:vAlign w:val="center"/>
          </w:tcPr>
          <w:p w14:paraId="3AE8CEE3">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8" w:space="0"/>
            </w:tcBorders>
            <w:vAlign w:val="center"/>
          </w:tcPr>
          <w:p w14:paraId="66CEA43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万元以下罚款，责令停业整顿，降低资质等级</w:t>
            </w:r>
          </w:p>
        </w:tc>
      </w:tr>
      <w:tr w14:paraId="54EB37B7">
        <w:tblPrEx>
          <w:tblCellMar>
            <w:top w:w="0" w:type="dxa"/>
            <w:left w:w="108" w:type="dxa"/>
            <w:bottom w:w="0" w:type="dxa"/>
            <w:right w:w="108" w:type="dxa"/>
          </w:tblCellMar>
        </w:tblPrEx>
        <w:trPr>
          <w:trHeight w:val="285" w:hRule="atLeast"/>
        </w:trPr>
        <w:tc>
          <w:tcPr>
            <w:tcW w:w="1050" w:type="dxa"/>
            <w:vMerge w:val="continue"/>
            <w:tcBorders>
              <w:top w:val="single" w:color="auto" w:sz="4" w:space="0"/>
              <w:left w:val="single" w:color="auto" w:sz="8" w:space="0"/>
              <w:bottom w:val="single" w:color="auto" w:sz="8" w:space="0"/>
              <w:right w:val="single" w:color="auto" w:sz="4" w:space="0"/>
            </w:tcBorders>
            <w:vAlign w:val="center"/>
          </w:tcPr>
          <w:p w14:paraId="038EA0C1">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1430C74F">
            <w:pPr>
              <w:spacing w:line="320" w:lineRule="exact"/>
              <w:jc w:val="left"/>
              <w:rPr>
                <w:color w:val="000000"/>
                <w:kern w:val="0"/>
                <w:sz w:val="18"/>
                <w:szCs w:val="18"/>
              </w:rPr>
            </w:pPr>
            <w:r>
              <w:rPr>
                <w:rFonts w:hint="eastAsia"/>
                <w:color w:val="000000"/>
                <w:kern w:val="0"/>
                <w:sz w:val="18"/>
                <w:szCs w:val="18"/>
              </w:rPr>
              <w:t>造成人员死亡的</w:t>
            </w:r>
          </w:p>
        </w:tc>
        <w:tc>
          <w:tcPr>
            <w:tcW w:w="1100" w:type="dxa"/>
            <w:vMerge w:val="continue"/>
            <w:tcBorders>
              <w:left w:val="single" w:color="auto" w:sz="4" w:space="0"/>
              <w:bottom w:val="single" w:color="auto" w:sz="8" w:space="0"/>
              <w:right w:val="single" w:color="auto" w:sz="4" w:space="0"/>
            </w:tcBorders>
            <w:vAlign w:val="center"/>
          </w:tcPr>
          <w:p w14:paraId="1BDA41C5">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8" w:space="0"/>
              <w:right w:val="single" w:color="auto" w:sz="8" w:space="0"/>
            </w:tcBorders>
            <w:vAlign w:val="center"/>
          </w:tcPr>
          <w:p w14:paraId="7F5D884E">
            <w:pPr>
              <w:spacing w:line="320" w:lineRule="exact"/>
              <w:jc w:val="left"/>
              <w:rPr>
                <w:color w:val="000000"/>
                <w:kern w:val="0"/>
                <w:sz w:val="18"/>
                <w:szCs w:val="18"/>
              </w:rPr>
            </w:pPr>
            <w:r>
              <w:rPr>
                <w:rFonts w:hint="eastAsia"/>
                <w:color w:val="000000"/>
                <w:kern w:val="0"/>
                <w:sz w:val="18"/>
                <w:szCs w:val="18"/>
              </w:rPr>
              <w:t>吊销资质证书</w:t>
            </w:r>
          </w:p>
        </w:tc>
      </w:tr>
    </w:tbl>
    <w:p w14:paraId="1A0D158F"/>
    <w:p w14:paraId="56BFE8B1"/>
    <w:p w14:paraId="5F89D6DE"/>
    <w:p w14:paraId="33125A84"/>
    <w:p w14:paraId="7DC4351F"/>
    <w:tbl>
      <w:tblPr>
        <w:tblStyle w:val="15"/>
        <w:tblW w:w="0" w:type="auto"/>
        <w:tblInd w:w="88" w:type="dxa"/>
        <w:tblLayout w:type="fixed"/>
        <w:tblCellMar>
          <w:top w:w="0" w:type="dxa"/>
          <w:left w:w="108" w:type="dxa"/>
          <w:bottom w:w="0" w:type="dxa"/>
          <w:right w:w="108" w:type="dxa"/>
        </w:tblCellMar>
      </w:tblPr>
      <w:tblGrid>
        <w:gridCol w:w="1056"/>
        <w:gridCol w:w="1799"/>
        <w:gridCol w:w="4341"/>
        <w:gridCol w:w="1060"/>
        <w:gridCol w:w="5760"/>
      </w:tblGrid>
      <w:tr w14:paraId="4E8AB17D">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6D23C63">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color="auto" w:sz="8" w:space="0"/>
              <w:left w:val="nil"/>
              <w:bottom w:val="single" w:color="auto" w:sz="4" w:space="0"/>
              <w:right w:val="single" w:color="000000" w:sz="8" w:space="0"/>
            </w:tcBorders>
            <w:vAlign w:val="center"/>
          </w:tcPr>
          <w:p w14:paraId="198DADCC">
            <w:pPr>
              <w:spacing w:line="320" w:lineRule="exact"/>
              <w:jc w:val="left"/>
              <w:rPr>
                <w:rFonts w:eastAsia="仿宋_GB2312"/>
                <w:b/>
                <w:bCs/>
                <w:color w:val="000000"/>
                <w:kern w:val="0"/>
                <w:sz w:val="18"/>
                <w:szCs w:val="18"/>
              </w:rPr>
            </w:pPr>
            <w:r>
              <w:rPr>
                <w:rFonts w:eastAsia="仿宋_GB2312"/>
                <w:b/>
                <w:bCs/>
                <w:color w:val="000000"/>
                <w:kern w:val="0"/>
                <w:sz w:val="18"/>
                <w:szCs w:val="18"/>
              </w:rPr>
              <w:t>320217223000</w:t>
            </w:r>
            <w:r>
              <w:rPr>
                <w:rFonts w:hint="eastAsia" w:eastAsia="仿宋_GB2312"/>
                <w:b/>
                <w:bCs/>
                <w:color w:val="000000"/>
                <w:kern w:val="0"/>
                <w:sz w:val="18"/>
                <w:szCs w:val="18"/>
              </w:rPr>
              <w:t xml:space="preserve"> </w:t>
            </w:r>
          </w:p>
        </w:tc>
      </w:tr>
      <w:tr w14:paraId="3C2F7BDB">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2EF42F0">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color="auto" w:sz="4" w:space="0"/>
              <w:left w:val="nil"/>
              <w:bottom w:val="single" w:color="auto" w:sz="4" w:space="0"/>
              <w:right w:val="single" w:color="000000" w:sz="8" w:space="0"/>
            </w:tcBorders>
            <w:vAlign w:val="center"/>
          </w:tcPr>
          <w:p w14:paraId="5735AADD">
            <w:pPr>
              <w:spacing w:line="320" w:lineRule="exact"/>
              <w:jc w:val="left"/>
              <w:rPr>
                <w:color w:val="000000"/>
                <w:kern w:val="0"/>
                <w:sz w:val="18"/>
                <w:szCs w:val="18"/>
              </w:rPr>
            </w:pPr>
            <w:r>
              <w:rPr>
                <w:rFonts w:hint="eastAsia"/>
                <w:color w:val="000000"/>
                <w:kern w:val="0"/>
                <w:sz w:val="18"/>
                <w:szCs w:val="18"/>
              </w:rPr>
              <w:t>对房地产开发企业未按照规定的现售条件现售商品房的处罚</w:t>
            </w:r>
          </w:p>
        </w:tc>
      </w:tr>
      <w:tr w14:paraId="0A248886">
        <w:tblPrEx>
          <w:tblCellMar>
            <w:top w:w="0" w:type="dxa"/>
            <w:left w:w="108" w:type="dxa"/>
            <w:bottom w:w="0" w:type="dxa"/>
            <w:right w:w="108" w:type="dxa"/>
          </w:tblCellMar>
        </w:tblPrEx>
        <w:trPr>
          <w:trHeight w:val="3060" w:hRule="atLeast"/>
        </w:trPr>
        <w:tc>
          <w:tcPr>
            <w:tcW w:w="1056" w:type="dxa"/>
            <w:tcBorders>
              <w:top w:val="nil"/>
              <w:left w:val="single" w:color="auto" w:sz="8" w:space="0"/>
              <w:bottom w:val="single" w:color="auto" w:sz="4" w:space="0"/>
              <w:right w:val="single" w:color="auto" w:sz="4" w:space="0"/>
            </w:tcBorders>
            <w:vAlign w:val="center"/>
          </w:tcPr>
          <w:p w14:paraId="79450F49">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color="auto" w:sz="4" w:space="0"/>
              <w:left w:val="nil"/>
              <w:bottom w:val="single" w:color="auto" w:sz="4" w:space="0"/>
              <w:right w:val="single" w:color="000000" w:sz="8" w:space="0"/>
            </w:tcBorders>
            <w:vAlign w:val="center"/>
          </w:tcPr>
          <w:p w14:paraId="5B6C213B">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6E02CD67">
            <w:pPr>
              <w:spacing w:line="320" w:lineRule="exact"/>
              <w:jc w:val="left"/>
              <w:rPr>
                <w:color w:val="000000"/>
                <w:kern w:val="0"/>
                <w:sz w:val="18"/>
                <w:szCs w:val="18"/>
              </w:rPr>
            </w:pPr>
            <w:r>
              <w:rPr>
                <w:rFonts w:hint="eastAsia"/>
                <w:color w:val="000000"/>
                <w:kern w:val="0"/>
                <w:sz w:val="18"/>
                <w:szCs w:val="18"/>
              </w:rPr>
              <w:t>第七条　商品房现售</w:t>
            </w:r>
            <w:r>
              <w:rPr>
                <w:color w:val="000000"/>
                <w:kern w:val="0"/>
                <w:sz w:val="18"/>
                <w:szCs w:val="18"/>
              </w:rPr>
              <w:t>,</w:t>
            </w:r>
            <w:r>
              <w:rPr>
                <w:rFonts w:hint="eastAsia"/>
                <w:color w:val="000000"/>
                <w:kern w:val="0"/>
                <w:sz w:val="18"/>
                <w:szCs w:val="18"/>
              </w:rPr>
              <w:t>应当符合以下条件：</w:t>
            </w:r>
            <w:r>
              <w:rPr>
                <w:color w:val="000000"/>
                <w:kern w:val="0"/>
                <w:sz w:val="18"/>
                <w:szCs w:val="18"/>
              </w:rPr>
              <w:t xml:space="preserve"> </w:t>
            </w:r>
          </w:p>
          <w:p w14:paraId="6DD108B7">
            <w:pPr>
              <w:spacing w:line="320" w:lineRule="exact"/>
              <w:jc w:val="left"/>
              <w:rPr>
                <w:color w:val="000000"/>
                <w:kern w:val="0"/>
                <w:sz w:val="18"/>
                <w:szCs w:val="18"/>
              </w:rPr>
            </w:pPr>
            <w:r>
              <w:rPr>
                <w:rFonts w:hint="eastAsia"/>
                <w:color w:val="000000"/>
                <w:kern w:val="0"/>
                <w:sz w:val="18"/>
                <w:szCs w:val="18"/>
              </w:rPr>
              <w:t>（一）现售商品房的房地产开发企业应当具有企业法人营业执照和房地产开发企业资质证书；</w:t>
            </w:r>
            <w:r>
              <w:rPr>
                <w:color w:val="000000"/>
                <w:kern w:val="0"/>
                <w:sz w:val="18"/>
                <w:szCs w:val="18"/>
              </w:rPr>
              <w:t xml:space="preserve"> </w:t>
            </w:r>
          </w:p>
          <w:p w14:paraId="48A78B16">
            <w:pPr>
              <w:spacing w:line="320" w:lineRule="exact"/>
              <w:jc w:val="left"/>
              <w:rPr>
                <w:color w:val="000000"/>
                <w:kern w:val="0"/>
                <w:sz w:val="18"/>
                <w:szCs w:val="18"/>
              </w:rPr>
            </w:pPr>
            <w:r>
              <w:rPr>
                <w:rFonts w:hint="eastAsia"/>
                <w:color w:val="000000"/>
                <w:kern w:val="0"/>
                <w:sz w:val="18"/>
                <w:szCs w:val="18"/>
              </w:rPr>
              <w:t>（二）取得土地使用权证书或者使用土地的批准文件；</w:t>
            </w:r>
            <w:r>
              <w:rPr>
                <w:color w:val="000000"/>
                <w:kern w:val="0"/>
                <w:sz w:val="18"/>
                <w:szCs w:val="18"/>
              </w:rPr>
              <w:t xml:space="preserve"> </w:t>
            </w:r>
          </w:p>
          <w:p w14:paraId="0B3A1CF1">
            <w:pPr>
              <w:spacing w:line="320" w:lineRule="exact"/>
              <w:jc w:val="left"/>
              <w:rPr>
                <w:color w:val="000000"/>
                <w:kern w:val="0"/>
                <w:sz w:val="18"/>
                <w:szCs w:val="18"/>
              </w:rPr>
            </w:pPr>
            <w:r>
              <w:rPr>
                <w:rFonts w:hint="eastAsia"/>
                <w:color w:val="000000"/>
                <w:kern w:val="0"/>
                <w:sz w:val="18"/>
                <w:szCs w:val="18"/>
              </w:rPr>
              <w:t>（三）持有建设工程规划许可证和施工许可证；</w:t>
            </w:r>
            <w:r>
              <w:rPr>
                <w:color w:val="000000"/>
                <w:kern w:val="0"/>
                <w:sz w:val="18"/>
                <w:szCs w:val="18"/>
              </w:rPr>
              <w:t xml:space="preserve"> </w:t>
            </w:r>
          </w:p>
          <w:p w14:paraId="4FB812D1">
            <w:pPr>
              <w:spacing w:line="320" w:lineRule="exact"/>
              <w:jc w:val="left"/>
              <w:rPr>
                <w:color w:val="000000"/>
                <w:kern w:val="0"/>
                <w:sz w:val="18"/>
                <w:szCs w:val="18"/>
              </w:rPr>
            </w:pPr>
            <w:r>
              <w:rPr>
                <w:rFonts w:hint="eastAsia"/>
                <w:color w:val="000000"/>
                <w:kern w:val="0"/>
                <w:sz w:val="18"/>
                <w:szCs w:val="18"/>
              </w:rPr>
              <w:t>（四）已通过竣工验收；</w:t>
            </w:r>
            <w:r>
              <w:rPr>
                <w:color w:val="000000"/>
                <w:kern w:val="0"/>
                <w:sz w:val="18"/>
                <w:szCs w:val="18"/>
              </w:rPr>
              <w:t xml:space="preserve"> </w:t>
            </w:r>
          </w:p>
          <w:p w14:paraId="17A5181B">
            <w:pPr>
              <w:spacing w:line="320" w:lineRule="exact"/>
              <w:jc w:val="left"/>
              <w:rPr>
                <w:color w:val="000000"/>
                <w:kern w:val="0"/>
                <w:sz w:val="18"/>
                <w:szCs w:val="18"/>
              </w:rPr>
            </w:pPr>
            <w:r>
              <w:rPr>
                <w:rFonts w:hint="eastAsia"/>
                <w:color w:val="000000"/>
                <w:kern w:val="0"/>
                <w:sz w:val="18"/>
                <w:szCs w:val="18"/>
              </w:rPr>
              <w:t>（五）拆迁安置已经落实；</w:t>
            </w:r>
            <w:r>
              <w:rPr>
                <w:color w:val="000000"/>
                <w:kern w:val="0"/>
                <w:sz w:val="18"/>
                <w:szCs w:val="18"/>
              </w:rPr>
              <w:t xml:space="preserve"> </w:t>
            </w:r>
          </w:p>
          <w:p w14:paraId="1FEC2813">
            <w:pPr>
              <w:spacing w:line="320" w:lineRule="exact"/>
              <w:jc w:val="left"/>
              <w:rPr>
                <w:color w:val="000000"/>
                <w:kern w:val="0"/>
                <w:sz w:val="18"/>
                <w:szCs w:val="18"/>
              </w:rPr>
            </w:pPr>
            <w:r>
              <w:rPr>
                <w:rFonts w:hint="eastAsia"/>
                <w:color w:val="000000"/>
                <w:kern w:val="0"/>
                <w:sz w:val="18"/>
                <w:szCs w:val="18"/>
              </w:rPr>
              <w:t>（六）供水、供电、供热、燃气、通讯等配套基础设施具备交付使用条件，其他配套基础设施和公共设施具备交付使用条件或者已确定施工进度和交付日期；</w:t>
            </w:r>
            <w:r>
              <w:rPr>
                <w:color w:val="000000"/>
                <w:kern w:val="0"/>
                <w:sz w:val="18"/>
                <w:szCs w:val="18"/>
              </w:rPr>
              <w:t xml:space="preserve"> </w:t>
            </w:r>
          </w:p>
          <w:p w14:paraId="6B43585B">
            <w:pPr>
              <w:spacing w:line="320" w:lineRule="exact"/>
              <w:jc w:val="left"/>
              <w:rPr>
                <w:color w:val="000000"/>
                <w:kern w:val="0"/>
                <w:sz w:val="18"/>
                <w:szCs w:val="18"/>
              </w:rPr>
            </w:pPr>
            <w:r>
              <w:rPr>
                <w:rFonts w:hint="eastAsia"/>
                <w:color w:val="000000"/>
                <w:kern w:val="0"/>
                <w:sz w:val="18"/>
                <w:szCs w:val="18"/>
              </w:rPr>
              <w:t>（七）物业管理方案已经落实。</w:t>
            </w:r>
          </w:p>
          <w:p w14:paraId="66C9D682">
            <w:pPr>
              <w:spacing w:line="320" w:lineRule="exact"/>
              <w:jc w:val="left"/>
              <w:rPr>
                <w:color w:val="000000"/>
                <w:kern w:val="0"/>
                <w:sz w:val="18"/>
                <w:szCs w:val="18"/>
              </w:rPr>
            </w:pPr>
            <w:r>
              <w:rPr>
                <w:rFonts w:hint="eastAsia"/>
                <w:color w:val="000000"/>
                <w:kern w:val="0"/>
                <w:sz w:val="18"/>
                <w:szCs w:val="18"/>
              </w:rPr>
              <w:t>第四十二条　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14:paraId="15722B58">
            <w:pPr>
              <w:spacing w:line="320" w:lineRule="exact"/>
              <w:jc w:val="left"/>
              <w:rPr>
                <w:color w:val="000000"/>
                <w:kern w:val="0"/>
                <w:sz w:val="18"/>
                <w:szCs w:val="18"/>
              </w:rPr>
            </w:pPr>
            <w:r>
              <w:rPr>
                <w:rFonts w:hint="eastAsia"/>
                <w:color w:val="000000"/>
                <w:kern w:val="0"/>
                <w:sz w:val="18"/>
                <w:szCs w:val="18"/>
              </w:rPr>
              <w:t>（一）未按照规定的现售条件现售商品房的。</w:t>
            </w:r>
          </w:p>
        </w:tc>
      </w:tr>
      <w:tr w14:paraId="37F5B1F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0BB7BD9">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color="auto" w:sz="4" w:space="0"/>
              <w:left w:val="nil"/>
              <w:bottom w:val="single" w:color="auto" w:sz="4" w:space="0"/>
              <w:right w:val="single" w:color="000000" w:sz="8" w:space="0"/>
            </w:tcBorders>
            <w:vAlign w:val="center"/>
          </w:tcPr>
          <w:p w14:paraId="7E144EFF">
            <w:pPr>
              <w:spacing w:line="320" w:lineRule="exact"/>
              <w:jc w:val="left"/>
              <w:rPr>
                <w:color w:val="000000"/>
                <w:kern w:val="0"/>
                <w:sz w:val="18"/>
                <w:szCs w:val="18"/>
              </w:rPr>
            </w:pPr>
            <w:r>
              <w:rPr>
                <w:rFonts w:hint="eastAsia"/>
                <w:color w:val="000000"/>
                <w:kern w:val="0"/>
                <w:sz w:val="18"/>
                <w:szCs w:val="18"/>
              </w:rPr>
              <w:t>警告，罚款</w:t>
            </w:r>
          </w:p>
        </w:tc>
      </w:tr>
      <w:tr w14:paraId="50CE32A2">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36F5A030">
            <w:pPr>
              <w:spacing w:line="320" w:lineRule="exact"/>
              <w:jc w:val="center"/>
              <w:rPr>
                <w:color w:val="000000"/>
                <w:kern w:val="0"/>
                <w:sz w:val="18"/>
                <w:szCs w:val="18"/>
              </w:rPr>
            </w:pPr>
            <w:r>
              <w:rPr>
                <w:rFonts w:hint="eastAsia"/>
                <w:color w:val="000000"/>
                <w:kern w:val="0"/>
                <w:sz w:val="18"/>
                <w:szCs w:val="18"/>
              </w:rPr>
              <w:t>裁量基准</w:t>
            </w:r>
          </w:p>
        </w:tc>
      </w:tr>
      <w:tr w14:paraId="02E2B6FC">
        <w:tblPrEx>
          <w:tblCellMar>
            <w:top w:w="0" w:type="dxa"/>
            <w:left w:w="108" w:type="dxa"/>
            <w:bottom w:w="0" w:type="dxa"/>
            <w:right w:w="108" w:type="dxa"/>
          </w:tblCellMar>
        </w:tblPrEx>
        <w:trPr>
          <w:trHeight w:val="268" w:hRule="atLeast"/>
        </w:trPr>
        <w:tc>
          <w:tcPr>
            <w:tcW w:w="1056" w:type="dxa"/>
            <w:vMerge w:val="restart"/>
            <w:tcBorders>
              <w:top w:val="nil"/>
              <w:left w:val="single" w:color="auto" w:sz="8" w:space="0"/>
              <w:bottom w:val="single" w:color="auto" w:sz="4" w:space="0"/>
              <w:right w:val="single" w:color="auto" w:sz="4" w:space="0"/>
            </w:tcBorders>
            <w:vAlign w:val="center"/>
          </w:tcPr>
          <w:p w14:paraId="3FB4B62D">
            <w:pPr>
              <w:spacing w:line="320" w:lineRule="exact"/>
              <w:jc w:val="center"/>
              <w:rPr>
                <w:color w:val="000000"/>
                <w:kern w:val="0"/>
                <w:sz w:val="18"/>
                <w:szCs w:val="18"/>
              </w:rPr>
            </w:pPr>
            <w:r>
              <w:rPr>
                <w:rFonts w:hint="eastAsia"/>
                <w:color w:val="000000"/>
                <w:kern w:val="0"/>
                <w:sz w:val="18"/>
                <w:szCs w:val="18"/>
              </w:rPr>
              <w:t>情形描述</w:t>
            </w:r>
          </w:p>
        </w:tc>
        <w:tc>
          <w:tcPr>
            <w:tcW w:w="1799" w:type="dxa"/>
            <w:vMerge w:val="restart"/>
            <w:tcBorders>
              <w:top w:val="single" w:color="auto" w:sz="4" w:space="0"/>
              <w:left w:val="nil"/>
              <w:right w:val="single" w:color="auto" w:sz="4" w:space="0"/>
            </w:tcBorders>
            <w:vAlign w:val="center"/>
          </w:tcPr>
          <w:p w14:paraId="7298B960">
            <w:pPr>
              <w:spacing w:line="320" w:lineRule="exact"/>
              <w:jc w:val="left"/>
              <w:rPr>
                <w:color w:val="000000"/>
                <w:kern w:val="0"/>
                <w:sz w:val="18"/>
                <w:szCs w:val="18"/>
              </w:rPr>
            </w:pPr>
            <w:r>
              <w:rPr>
                <w:rFonts w:hint="eastAsia"/>
                <w:color w:val="000000"/>
                <w:kern w:val="0"/>
                <w:sz w:val="18"/>
                <w:szCs w:val="18"/>
              </w:rPr>
              <w:t>按照要求改正</w:t>
            </w:r>
          </w:p>
        </w:tc>
        <w:tc>
          <w:tcPr>
            <w:tcW w:w="4341" w:type="dxa"/>
            <w:tcBorders>
              <w:top w:val="single" w:color="auto" w:sz="4" w:space="0"/>
              <w:left w:val="nil"/>
              <w:bottom w:val="single" w:color="auto" w:sz="4" w:space="0"/>
              <w:right w:val="single" w:color="auto" w:sz="4" w:space="0"/>
            </w:tcBorders>
            <w:vAlign w:val="center"/>
          </w:tcPr>
          <w:p w14:paraId="7B2D38AE">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color="auto" w:sz="4" w:space="0"/>
              <w:bottom w:val="single" w:color="auto" w:sz="4" w:space="0"/>
              <w:right w:val="single" w:color="auto" w:sz="4" w:space="0"/>
            </w:tcBorders>
            <w:vAlign w:val="center"/>
          </w:tcPr>
          <w:p w14:paraId="3D142FD2">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8" w:space="0"/>
            </w:tcBorders>
            <w:vAlign w:val="center"/>
          </w:tcPr>
          <w:p w14:paraId="2589F78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3E0E4311">
        <w:tblPrEx>
          <w:tblCellMar>
            <w:top w:w="0" w:type="dxa"/>
            <w:left w:w="108" w:type="dxa"/>
            <w:bottom w:w="0" w:type="dxa"/>
            <w:right w:w="108" w:type="dxa"/>
          </w:tblCellMar>
        </w:tblPrEx>
        <w:trPr>
          <w:trHeight w:val="268" w:hRule="atLeast"/>
        </w:trPr>
        <w:tc>
          <w:tcPr>
            <w:tcW w:w="1056" w:type="dxa"/>
            <w:vMerge w:val="continue"/>
            <w:tcBorders>
              <w:top w:val="nil"/>
              <w:left w:val="single" w:color="auto" w:sz="8" w:space="0"/>
              <w:bottom w:val="single" w:color="auto" w:sz="4" w:space="0"/>
              <w:right w:val="single" w:color="auto" w:sz="4" w:space="0"/>
            </w:tcBorders>
            <w:vAlign w:val="center"/>
          </w:tcPr>
          <w:p w14:paraId="591B5FBD">
            <w:pPr>
              <w:spacing w:line="320" w:lineRule="exact"/>
              <w:jc w:val="center"/>
              <w:rPr>
                <w:color w:val="000000"/>
                <w:kern w:val="0"/>
                <w:sz w:val="18"/>
                <w:szCs w:val="18"/>
              </w:rPr>
            </w:pPr>
          </w:p>
        </w:tc>
        <w:tc>
          <w:tcPr>
            <w:tcW w:w="1799" w:type="dxa"/>
            <w:vMerge w:val="continue"/>
            <w:tcBorders>
              <w:left w:val="nil"/>
              <w:bottom w:val="single" w:color="auto" w:sz="4" w:space="0"/>
              <w:right w:val="single" w:color="auto" w:sz="4" w:space="0"/>
            </w:tcBorders>
            <w:vAlign w:val="center"/>
          </w:tcPr>
          <w:p w14:paraId="36FCA9C9">
            <w:pPr>
              <w:spacing w:line="320" w:lineRule="exact"/>
              <w:jc w:val="left"/>
              <w:rPr>
                <w:color w:val="000000"/>
                <w:kern w:val="0"/>
                <w:sz w:val="18"/>
                <w:szCs w:val="18"/>
              </w:rPr>
            </w:pPr>
          </w:p>
        </w:tc>
        <w:tc>
          <w:tcPr>
            <w:tcW w:w="4341" w:type="dxa"/>
            <w:tcBorders>
              <w:top w:val="single" w:color="auto" w:sz="4" w:space="0"/>
              <w:left w:val="nil"/>
              <w:bottom w:val="single" w:color="auto" w:sz="4" w:space="0"/>
              <w:right w:val="single" w:color="auto" w:sz="4" w:space="0"/>
            </w:tcBorders>
            <w:vAlign w:val="center"/>
          </w:tcPr>
          <w:p w14:paraId="72F3D86C">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val="continue"/>
            <w:tcBorders>
              <w:top w:val="nil"/>
              <w:left w:val="single" w:color="auto" w:sz="4" w:space="0"/>
              <w:bottom w:val="single" w:color="auto" w:sz="4" w:space="0"/>
              <w:right w:val="single" w:color="auto" w:sz="4" w:space="0"/>
            </w:tcBorders>
            <w:vAlign w:val="center"/>
          </w:tcPr>
          <w:p w14:paraId="2E50D1BB">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0A698BC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70B4AB99">
        <w:tblPrEx>
          <w:tblCellMar>
            <w:top w:w="0" w:type="dxa"/>
            <w:left w:w="108" w:type="dxa"/>
            <w:bottom w:w="0" w:type="dxa"/>
            <w:right w:w="108" w:type="dxa"/>
          </w:tblCellMar>
        </w:tblPrEx>
        <w:trPr>
          <w:trHeight w:val="362" w:hRule="atLeast"/>
        </w:trPr>
        <w:tc>
          <w:tcPr>
            <w:tcW w:w="1056" w:type="dxa"/>
            <w:vMerge w:val="continue"/>
            <w:tcBorders>
              <w:top w:val="nil"/>
              <w:left w:val="single" w:color="auto" w:sz="8" w:space="0"/>
              <w:bottom w:val="single" w:color="auto" w:sz="4" w:space="0"/>
              <w:right w:val="single" w:color="auto" w:sz="4" w:space="0"/>
            </w:tcBorders>
            <w:vAlign w:val="center"/>
          </w:tcPr>
          <w:p w14:paraId="61ABCDA9">
            <w:pPr>
              <w:spacing w:line="320" w:lineRule="exact"/>
              <w:jc w:val="center"/>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695B574C">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val="continue"/>
            <w:tcBorders>
              <w:top w:val="nil"/>
              <w:left w:val="single" w:color="auto" w:sz="4" w:space="0"/>
              <w:bottom w:val="single" w:color="auto" w:sz="4" w:space="0"/>
              <w:right w:val="single" w:color="auto" w:sz="4" w:space="0"/>
            </w:tcBorders>
            <w:vAlign w:val="center"/>
          </w:tcPr>
          <w:p w14:paraId="0C782588">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E42550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5D28CA7F"/>
    <w:p w14:paraId="3C663FD6"/>
    <w:p w14:paraId="54BAC624"/>
    <w:p w14:paraId="16DFB7F1"/>
    <w:p w14:paraId="41776CC5"/>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0E97B0B4">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2595FC3D">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300E375F">
            <w:pPr>
              <w:spacing w:line="320" w:lineRule="exact"/>
              <w:jc w:val="left"/>
              <w:rPr>
                <w:rFonts w:eastAsia="仿宋_GB2312"/>
                <w:b/>
                <w:bCs/>
                <w:color w:val="000000"/>
                <w:kern w:val="0"/>
                <w:sz w:val="18"/>
                <w:szCs w:val="18"/>
              </w:rPr>
            </w:pPr>
            <w:r>
              <w:rPr>
                <w:rFonts w:eastAsia="仿宋_GB2312"/>
                <w:b/>
                <w:bCs/>
                <w:color w:val="000000"/>
                <w:kern w:val="0"/>
                <w:sz w:val="18"/>
                <w:szCs w:val="18"/>
              </w:rPr>
              <w:t>320217227000</w:t>
            </w:r>
          </w:p>
        </w:tc>
      </w:tr>
      <w:tr w14:paraId="4985288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2554F0B">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2FDA4F98">
            <w:pPr>
              <w:spacing w:line="320" w:lineRule="exact"/>
              <w:jc w:val="left"/>
              <w:rPr>
                <w:color w:val="000000"/>
                <w:kern w:val="0"/>
                <w:sz w:val="18"/>
                <w:szCs w:val="18"/>
              </w:rPr>
            </w:pPr>
            <w:r>
              <w:rPr>
                <w:rFonts w:hint="eastAsia"/>
                <w:color w:val="000000"/>
                <w:kern w:val="0"/>
                <w:sz w:val="18"/>
                <w:szCs w:val="18"/>
              </w:rPr>
              <w:t>对工程造价咨询企业跨省、自治区、直辖市承接业务不备案的处罚</w:t>
            </w:r>
          </w:p>
        </w:tc>
      </w:tr>
      <w:tr w14:paraId="7482C6A0">
        <w:tblPrEx>
          <w:tblCellMar>
            <w:top w:w="0" w:type="dxa"/>
            <w:left w:w="108" w:type="dxa"/>
            <w:bottom w:w="0" w:type="dxa"/>
            <w:right w:w="108" w:type="dxa"/>
          </w:tblCellMar>
        </w:tblPrEx>
        <w:trPr>
          <w:trHeight w:val="2145" w:hRule="atLeast"/>
        </w:trPr>
        <w:tc>
          <w:tcPr>
            <w:tcW w:w="1010" w:type="dxa"/>
            <w:tcBorders>
              <w:top w:val="nil"/>
              <w:left w:val="single" w:color="auto" w:sz="8" w:space="0"/>
              <w:bottom w:val="single" w:color="auto" w:sz="4" w:space="0"/>
              <w:right w:val="single" w:color="auto" w:sz="4" w:space="0"/>
            </w:tcBorders>
            <w:vAlign w:val="center"/>
          </w:tcPr>
          <w:p w14:paraId="20B205D6">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0C5BABE2">
            <w:pPr>
              <w:spacing w:line="320" w:lineRule="exact"/>
              <w:jc w:val="left"/>
              <w:rPr>
                <w:color w:val="000000"/>
                <w:kern w:val="0"/>
                <w:sz w:val="18"/>
                <w:szCs w:val="18"/>
              </w:rPr>
            </w:pPr>
            <w:r>
              <w:rPr>
                <w:rFonts w:hint="eastAsia"/>
                <w:color w:val="000000"/>
                <w:kern w:val="0"/>
                <w:sz w:val="18"/>
                <w:szCs w:val="18"/>
              </w:rPr>
              <w:t>【规章】《工程造价咨询企业管理办法》（建设部令第149号发布，根据住房和城乡建设部令第24号，住房和城乡建设部令第32号，住房和城乡建设部令第50号修正） 第二十三条　工程造价咨询企业跨省、自治区、直辖市承接工程造价咨询业务的，应当自承接业务之日起30日内到建设工程所在地省、自治区、直辖市人民政府住房城乡建设主管部门备案。</w:t>
            </w:r>
          </w:p>
          <w:p w14:paraId="6B23FFA0">
            <w:pPr>
              <w:spacing w:line="320" w:lineRule="exact"/>
              <w:jc w:val="left"/>
              <w:rPr>
                <w:color w:val="000000"/>
                <w:kern w:val="0"/>
                <w:sz w:val="18"/>
                <w:szCs w:val="18"/>
              </w:rPr>
            </w:pPr>
            <w:r>
              <w:rPr>
                <w:rFonts w:hint="eastAsia"/>
                <w:color w:val="000000"/>
                <w:kern w:val="0"/>
                <w:sz w:val="18"/>
                <w:szCs w:val="18"/>
              </w:rPr>
              <w:t xml:space="preserve">        第三十八条　违反本办法第二十三条规定，跨省、自治区、直辖市承接业务不备案的，由县级以上地方人民政府住房城乡建设主管部门或者有关专业部门给予警告，责令限期改正；逾期未改正的，可处以5000元以上2万元以下的罚款。</w:t>
            </w:r>
          </w:p>
        </w:tc>
      </w:tr>
      <w:tr w14:paraId="508E497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3CB30D5">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71C5E095">
            <w:pPr>
              <w:spacing w:line="320" w:lineRule="exact"/>
              <w:jc w:val="left"/>
              <w:rPr>
                <w:color w:val="000000"/>
                <w:kern w:val="0"/>
                <w:sz w:val="18"/>
                <w:szCs w:val="18"/>
              </w:rPr>
            </w:pPr>
            <w:r>
              <w:rPr>
                <w:rFonts w:hint="eastAsia"/>
                <w:color w:val="000000"/>
                <w:kern w:val="0"/>
                <w:sz w:val="18"/>
                <w:szCs w:val="18"/>
              </w:rPr>
              <w:t>警告，罚款</w:t>
            </w:r>
          </w:p>
        </w:tc>
      </w:tr>
      <w:tr w14:paraId="7AA641C6">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774739F3">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14:paraId="270250A8">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000000" w:sz="4" w:space="0"/>
              <w:right w:val="single" w:color="auto" w:sz="4" w:space="0"/>
            </w:tcBorders>
            <w:vAlign w:val="center"/>
          </w:tcPr>
          <w:p w14:paraId="7D425A5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4547BC3F">
            <w:pPr>
              <w:spacing w:line="320" w:lineRule="exact"/>
              <w:jc w:val="left"/>
              <w:rPr>
                <w:color w:val="000000"/>
                <w:kern w:val="0"/>
                <w:sz w:val="18"/>
                <w:szCs w:val="18"/>
              </w:rPr>
            </w:pPr>
            <w:r>
              <w:rPr>
                <w:rFonts w:hint="eastAsia"/>
                <w:color w:val="000000"/>
                <w:kern w:val="0"/>
                <w:sz w:val="18"/>
                <w:szCs w:val="18"/>
              </w:rPr>
              <w:t>逾期未改正不超过</w:t>
            </w:r>
            <w:r>
              <w:rPr>
                <w:color w:val="000000"/>
                <w:kern w:val="0"/>
                <w:sz w:val="18"/>
                <w:szCs w:val="18"/>
              </w:rPr>
              <w:t>15</w:t>
            </w:r>
            <w:r>
              <w:rPr>
                <w:rFonts w:hint="eastAsia"/>
                <w:color w:val="000000"/>
                <w:kern w:val="0"/>
                <w:sz w:val="18"/>
                <w:szCs w:val="18"/>
              </w:rPr>
              <w:t>日的</w:t>
            </w:r>
          </w:p>
        </w:tc>
        <w:tc>
          <w:tcPr>
            <w:tcW w:w="1030" w:type="dxa"/>
            <w:vMerge w:val="restart"/>
            <w:tcBorders>
              <w:top w:val="nil"/>
              <w:left w:val="single" w:color="auto" w:sz="4" w:space="0"/>
              <w:bottom w:val="single" w:color="000000" w:sz="4" w:space="0"/>
              <w:right w:val="single" w:color="auto" w:sz="4" w:space="0"/>
            </w:tcBorders>
            <w:vAlign w:val="center"/>
          </w:tcPr>
          <w:p w14:paraId="1DD4826B">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5ECE1BEC">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万以下的罚款</w:t>
            </w:r>
          </w:p>
        </w:tc>
      </w:tr>
      <w:tr w14:paraId="1405C8FC">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2CECEBD2">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4EDB052C">
            <w:pPr>
              <w:spacing w:line="320" w:lineRule="exact"/>
              <w:jc w:val="left"/>
              <w:rPr>
                <w:color w:val="000000"/>
                <w:kern w:val="0"/>
                <w:sz w:val="18"/>
                <w:szCs w:val="18"/>
              </w:rPr>
            </w:pPr>
            <w:r>
              <w:rPr>
                <w:rFonts w:hint="eastAsia"/>
                <w:color w:val="000000"/>
                <w:kern w:val="0"/>
                <w:sz w:val="18"/>
                <w:szCs w:val="18"/>
              </w:rPr>
              <w:t>逾期未改正超过</w:t>
            </w:r>
            <w:r>
              <w:rPr>
                <w:color w:val="000000"/>
                <w:kern w:val="0"/>
                <w:sz w:val="18"/>
                <w:szCs w:val="18"/>
              </w:rPr>
              <w:t>15</w:t>
            </w:r>
            <w:r>
              <w:rPr>
                <w:rFonts w:hint="eastAsia"/>
                <w:color w:val="000000"/>
                <w:kern w:val="0"/>
                <w:sz w:val="18"/>
                <w:szCs w:val="18"/>
              </w:rPr>
              <w:t>日的</w:t>
            </w:r>
          </w:p>
        </w:tc>
        <w:tc>
          <w:tcPr>
            <w:tcW w:w="1030" w:type="dxa"/>
            <w:vMerge w:val="continue"/>
            <w:tcBorders>
              <w:top w:val="nil"/>
              <w:left w:val="single" w:color="auto" w:sz="4" w:space="0"/>
              <w:bottom w:val="single" w:color="auto" w:sz="4" w:space="0"/>
              <w:right w:val="single" w:color="auto" w:sz="4" w:space="0"/>
            </w:tcBorders>
            <w:vAlign w:val="center"/>
          </w:tcPr>
          <w:p w14:paraId="301C7E53">
            <w:pPr>
              <w:spacing w:line="320" w:lineRule="exact"/>
              <w:jc w:val="center"/>
              <w:rPr>
                <w:color w:val="000000"/>
                <w:kern w:val="0"/>
                <w:sz w:val="18"/>
                <w:szCs w:val="18"/>
              </w:rPr>
            </w:pPr>
          </w:p>
        </w:tc>
        <w:tc>
          <w:tcPr>
            <w:tcW w:w="5850" w:type="dxa"/>
            <w:tcBorders>
              <w:top w:val="nil"/>
              <w:left w:val="nil"/>
              <w:bottom w:val="single" w:color="auto" w:sz="4" w:space="0"/>
              <w:right w:val="single" w:color="auto" w:sz="8" w:space="0"/>
            </w:tcBorders>
            <w:vAlign w:val="center"/>
          </w:tcPr>
          <w:p w14:paraId="7CAA439C">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14:paraId="17C2297B"/>
    <w:p w14:paraId="345A9736"/>
    <w:p w14:paraId="4AD1BDCE"/>
    <w:p w14:paraId="6D123B9B"/>
    <w:p w14:paraId="2E0CA8EF"/>
    <w:p w14:paraId="74013F44"/>
    <w:p w14:paraId="66B0E025"/>
    <w:p w14:paraId="733355EA"/>
    <w:p w14:paraId="51D78F6B"/>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5FC7175F">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0EE555C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737A98B4">
            <w:pPr>
              <w:spacing w:line="320" w:lineRule="exact"/>
              <w:jc w:val="left"/>
              <w:rPr>
                <w:rFonts w:eastAsia="仿宋_GB2312"/>
                <w:b/>
                <w:bCs/>
                <w:color w:val="000000"/>
                <w:kern w:val="0"/>
                <w:sz w:val="18"/>
                <w:szCs w:val="18"/>
              </w:rPr>
            </w:pPr>
            <w:r>
              <w:rPr>
                <w:rFonts w:eastAsia="仿宋_GB2312"/>
                <w:b/>
                <w:bCs/>
                <w:color w:val="000000"/>
                <w:kern w:val="0"/>
                <w:sz w:val="18"/>
                <w:szCs w:val="18"/>
              </w:rPr>
              <w:t>320217228000</w:t>
            </w:r>
          </w:p>
        </w:tc>
      </w:tr>
      <w:tr w14:paraId="16BBA011">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9DC0E4D">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4BD90227">
            <w:pPr>
              <w:spacing w:line="320" w:lineRule="exact"/>
              <w:jc w:val="left"/>
              <w:rPr>
                <w:color w:val="000000"/>
                <w:kern w:val="0"/>
                <w:sz w:val="18"/>
                <w:szCs w:val="18"/>
              </w:rPr>
            </w:pPr>
            <w:r>
              <w:rPr>
                <w:rFonts w:hint="eastAsia"/>
                <w:color w:val="000000"/>
                <w:kern w:val="0"/>
                <w:sz w:val="18"/>
                <w:szCs w:val="18"/>
              </w:rPr>
              <w:t>对工程造价咨询企业同时接受招标人和投标人或两个以上投标人对同一工程项目的工程造价咨询业务的处罚</w:t>
            </w:r>
          </w:p>
        </w:tc>
      </w:tr>
      <w:tr w14:paraId="3C77D060">
        <w:tblPrEx>
          <w:tblCellMar>
            <w:top w:w="0" w:type="dxa"/>
            <w:left w:w="108" w:type="dxa"/>
            <w:bottom w:w="0" w:type="dxa"/>
            <w:right w:w="108" w:type="dxa"/>
          </w:tblCellMar>
        </w:tblPrEx>
        <w:trPr>
          <w:trHeight w:val="1395" w:hRule="atLeast"/>
        </w:trPr>
        <w:tc>
          <w:tcPr>
            <w:tcW w:w="1030" w:type="dxa"/>
            <w:tcBorders>
              <w:top w:val="nil"/>
              <w:left w:val="single" w:color="auto" w:sz="8" w:space="0"/>
              <w:bottom w:val="single" w:color="auto" w:sz="4" w:space="0"/>
              <w:right w:val="single" w:color="auto" w:sz="4" w:space="0"/>
            </w:tcBorders>
            <w:vAlign w:val="center"/>
          </w:tcPr>
          <w:p w14:paraId="505A9FB7">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3F7EC72B">
            <w:pPr>
              <w:spacing w:line="320" w:lineRule="exact"/>
              <w:jc w:val="left"/>
              <w:rPr>
                <w:color w:val="000000"/>
                <w:kern w:val="0"/>
                <w:sz w:val="18"/>
                <w:szCs w:val="18"/>
              </w:rPr>
            </w:pPr>
            <w:r>
              <w:rPr>
                <w:rFonts w:hint="eastAsia"/>
                <w:color w:val="000000"/>
                <w:kern w:val="0"/>
                <w:sz w:val="18"/>
                <w:szCs w:val="18"/>
              </w:rPr>
              <w:t>【规章】《工程造价咨询企业管理办法》（建设部令第149号发布，根据住房和城乡建设部令第24号，住房和城乡建设部令第32号，住房和城乡建设部令第50号修正）</w:t>
            </w:r>
          </w:p>
          <w:p w14:paraId="6B52163B">
            <w:pPr>
              <w:spacing w:line="320" w:lineRule="exact"/>
              <w:jc w:val="left"/>
              <w:rPr>
                <w:color w:val="000000"/>
                <w:kern w:val="0"/>
                <w:sz w:val="18"/>
                <w:szCs w:val="18"/>
              </w:rPr>
            </w:pPr>
            <w:r>
              <w:rPr>
                <w:rFonts w:hint="eastAsia"/>
                <w:color w:val="000000"/>
                <w:kern w:val="0"/>
                <w:sz w:val="18"/>
                <w:szCs w:val="18"/>
              </w:rPr>
              <w:t xml:space="preserve">      第二十五条　工程造价咨询企业不得有下列行为：</w:t>
            </w:r>
          </w:p>
          <w:p w14:paraId="5110A68E">
            <w:pPr>
              <w:spacing w:line="320" w:lineRule="exact"/>
              <w:jc w:val="left"/>
              <w:rPr>
                <w:color w:val="000000"/>
                <w:kern w:val="0"/>
                <w:sz w:val="18"/>
                <w:szCs w:val="18"/>
              </w:rPr>
            </w:pPr>
            <w:r>
              <w:rPr>
                <w:rFonts w:hint="eastAsia"/>
                <w:color w:val="000000"/>
                <w:kern w:val="0"/>
                <w:sz w:val="18"/>
                <w:szCs w:val="18"/>
              </w:rPr>
              <w:t>　（三）同时接受招标人和投标人或两个以上投标人对同一工程项目的工程造价咨询业务；</w:t>
            </w:r>
          </w:p>
          <w:p w14:paraId="785AAF5C">
            <w:pPr>
              <w:spacing w:line="320" w:lineRule="exact"/>
              <w:jc w:val="left"/>
              <w:rPr>
                <w:color w:val="000000"/>
                <w:kern w:val="0"/>
                <w:sz w:val="18"/>
                <w:szCs w:val="18"/>
              </w:rPr>
            </w:pPr>
            <w:r>
              <w:rPr>
                <w:rFonts w:hint="eastAsia"/>
                <w:color w:val="000000"/>
                <w:kern w:val="0"/>
                <w:sz w:val="18"/>
                <w:szCs w:val="18"/>
              </w:rPr>
              <w:t xml:space="preserve">       第三十九条　工程造价咨询企业有本办法第二十五条行为之一的，由县级以上地方人民政府住房城乡建设主管部门或者有关专业部门给予警告，责令限期改正，并处以1万元以上3万元以下的罚款。</w:t>
            </w:r>
          </w:p>
        </w:tc>
      </w:tr>
      <w:tr w14:paraId="11039F45">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9A22457">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5162E370">
            <w:pPr>
              <w:spacing w:line="320" w:lineRule="exact"/>
              <w:jc w:val="left"/>
              <w:rPr>
                <w:color w:val="000000"/>
                <w:kern w:val="0"/>
                <w:sz w:val="18"/>
                <w:szCs w:val="18"/>
              </w:rPr>
            </w:pPr>
            <w:r>
              <w:rPr>
                <w:rFonts w:hint="eastAsia"/>
                <w:color w:val="000000"/>
                <w:kern w:val="0"/>
                <w:sz w:val="18"/>
                <w:szCs w:val="18"/>
              </w:rPr>
              <w:t>警告，罚款</w:t>
            </w:r>
          </w:p>
        </w:tc>
      </w:tr>
      <w:tr w14:paraId="16C21343">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73D4CDCA">
            <w:pPr>
              <w:spacing w:line="320" w:lineRule="exact"/>
              <w:jc w:val="center"/>
              <w:rPr>
                <w:color w:val="000000"/>
                <w:kern w:val="0"/>
                <w:sz w:val="18"/>
                <w:szCs w:val="18"/>
              </w:rPr>
            </w:pPr>
            <w:r>
              <w:rPr>
                <w:rFonts w:hint="eastAsia"/>
                <w:color w:val="000000"/>
                <w:kern w:val="0"/>
                <w:sz w:val="18"/>
                <w:szCs w:val="18"/>
              </w:rPr>
              <w:t>裁量基准</w:t>
            </w:r>
          </w:p>
        </w:tc>
      </w:tr>
      <w:tr w14:paraId="3E5BBB34">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bottom w:val="single" w:color="auto" w:sz="4" w:space="0"/>
              <w:right w:val="single" w:color="auto" w:sz="4" w:space="0"/>
            </w:tcBorders>
            <w:vAlign w:val="center"/>
          </w:tcPr>
          <w:p w14:paraId="5D72559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41B7657D">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0AFD7B8B">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1F6856C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2ECA75F">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bottom w:val="single" w:color="auto" w:sz="4" w:space="0"/>
              <w:right w:val="single" w:color="auto" w:sz="4" w:space="0"/>
            </w:tcBorders>
            <w:vAlign w:val="center"/>
          </w:tcPr>
          <w:p w14:paraId="7F95CB3D">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15A59197">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68095C6D">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0F071A5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79E8CA9F"/>
    <w:p w14:paraId="2F3F0DA8"/>
    <w:p w14:paraId="30B41C07"/>
    <w:p w14:paraId="5CDDB7F2"/>
    <w:p w14:paraId="447FE7A3"/>
    <w:p w14:paraId="6EEBDF12"/>
    <w:p w14:paraId="47C0409B"/>
    <w:p w14:paraId="35E7F5D2"/>
    <w:p w14:paraId="76B600CB"/>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06259647">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206515F6">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63480F4A">
            <w:pPr>
              <w:spacing w:line="320" w:lineRule="exact"/>
              <w:jc w:val="left"/>
              <w:rPr>
                <w:rFonts w:eastAsia="仿宋_GB2312"/>
                <w:b/>
                <w:bCs/>
                <w:color w:val="000000"/>
                <w:kern w:val="0"/>
                <w:sz w:val="18"/>
                <w:szCs w:val="18"/>
              </w:rPr>
            </w:pPr>
            <w:r>
              <w:rPr>
                <w:rFonts w:eastAsia="仿宋_GB2312"/>
                <w:b/>
                <w:bCs/>
                <w:color w:val="000000"/>
                <w:kern w:val="0"/>
                <w:sz w:val="18"/>
                <w:szCs w:val="18"/>
              </w:rPr>
              <w:t>320217233000</w:t>
            </w:r>
            <w:r>
              <w:rPr>
                <w:rFonts w:hint="eastAsia" w:eastAsia="仿宋_GB2312"/>
                <w:b/>
                <w:bCs/>
                <w:color w:val="000000"/>
                <w:kern w:val="0"/>
                <w:sz w:val="18"/>
                <w:szCs w:val="18"/>
              </w:rPr>
              <w:t xml:space="preserve"> </w:t>
            </w:r>
          </w:p>
        </w:tc>
      </w:tr>
      <w:tr w14:paraId="34EC754F">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464B2B5A">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79DDD0A8">
            <w:pPr>
              <w:spacing w:line="320" w:lineRule="exact"/>
              <w:jc w:val="left"/>
              <w:rPr>
                <w:color w:val="000000"/>
                <w:kern w:val="0"/>
                <w:sz w:val="18"/>
                <w:szCs w:val="18"/>
              </w:rPr>
            </w:pPr>
            <w:r>
              <w:rPr>
                <w:rFonts w:hint="eastAsia"/>
                <w:color w:val="000000"/>
                <w:kern w:val="0"/>
                <w:sz w:val="18"/>
                <w:szCs w:val="18"/>
              </w:rPr>
              <w:t>对施工单位未向作业人员提供安全防护用具和安全防护服装的处罚</w:t>
            </w:r>
          </w:p>
        </w:tc>
      </w:tr>
      <w:tr w14:paraId="1B7E86FD">
        <w:tblPrEx>
          <w:tblCellMar>
            <w:top w:w="0" w:type="dxa"/>
            <w:left w:w="108" w:type="dxa"/>
            <w:bottom w:w="0" w:type="dxa"/>
            <w:right w:w="108" w:type="dxa"/>
          </w:tblCellMar>
        </w:tblPrEx>
        <w:trPr>
          <w:trHeight w:val="2325" w:hRule="atLeast"/>
        </w:trPr>
        <w:tc>
          <w:tcPr>
            <w:tcW w:w="1026" w:type="dxa"/>
            <w:tcBorders>
              <w:top w:val="nil"/>
              <w:left w:val="single" w:color="auto" w:sz="8" w:space="0"/>
              <w:bottom w:val="single" w:color="auto" w:sz="4" w:space="0"/>
              <w:right w:val="single" w:color="auto" w:sz="4" w:space="0"/>
            </w:tcBorders>
            <w:vAlign w:val="center"/>
          </w:tcPr>
          <w:p w14:paraId="403E4D1F">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268337B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14:paraId="73F8E133">
            <w:pPr>
              <w:spacing w:line="320" w:lineRule="exact"/>
              <w:jc w:val="left"/>
              <w:rPr>
                <w:color w:val="000000"/>
                <w:kern w:val="0"/>
                <w:sz w:val="18"/>
                <w:szCs w:val="18"/>
              </w:rPr>
            </w:pPr>
            <w:r>
              <w:rPr>
                <w:rFonts w:hint="eastAsia"/>
                <w:color w:val="000000"/>
                <w:kern w:val="0"/>
                <w:sz w:val="18"/>
                <w:szCs w:val="18"/>
              </w:rPr>
              <w:t>　    第四十五条　生产经营单位必须为从业人员提供符合国家标准或者行业标准的劳动防护用品，并监督、教育从业人员按照使用规则佩戴、使用。</w:t>
            </w:r>
          </w:p>
          <w:p w14:paraId="03CF09AB">
            <w:pPr>
              <w:spacing w:line="320" w:lineRule="exact"/>
              <w:jc w:val="left"/>
              <w:rPr>
                <w:color w:val="000000"/>
                <w:kern w:val="0"/>
                <w:sz w:val="18"/>
                <w:szCs w:val="18"/>
              </w:rPr>
            </w:pPr>
            <w:r>
              <w:rPr>
                <w:rFonts w:hint="eastAsia"/>
                <w:color w:val="000000"/>
                <w:kern w:val="0"/>
                <w:sz w:val="18"/>
                <w:szCs w:val="18"/>
              </w:rPr>
              <w:t>　    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5960115E">
            <w:pPr>
              <w:spacing w:line="320" w:lineRule="exact"/>
              <w:jc w:val="left"/>
              <w:rPr>
                <w:color w:val="000000"/>
                <w:kern w:val="0"/>
                <w:sz w:val="18"/>
                <w:szCs w:val="18"/>
              </w:rPr>
            </w:pPr>
            <w:r>
              <w:rPr>
                <w:rFonts w:hint="eastAsia"/>
                <w:color w:val="000000"/>
                <w:kern w:val="0"/>
                <w:sz w:val="18"/>
                <w:szCs w:val="18"/>
              </w:rPr>
              <w:t xml:space="preserve">     （五）未为从业人员提供符合国家标准或者行业标准的劳动防护用品的；</w:t>
            </w:r>
          </w:p>
          <w:p w14:paraId="0B1C7AB0">
            <w:pPr>
              <w:spacing w:line="320" w:lineRule="exact"/>
              <w:jc w:val="left"/>
              <w:rPr>
                <w:color w:val="000000"/>
                <w:kern w:val="0"/>
                <w:sz w:val="18"/>
                <w:szCs w:val="18"/>
              </w:rPr>
            </w:pPr>
            <w:r>
              <w:rPr>
                <w:rFonts w:hint="eastAsia"/>
                <w:color w:val="000000"/>
                <w:kern w:val="0"/>
                <w:sz w:val="18"/>
                <w:szCs w:val="18"/>
              </w:rPr>
              <w:t xml:space="preserve">        第一百一十二条  生产经营单位违反本法规定，被责令改正且受到罚款处罚，拒不改正的，负有安全生产监督管理职责的部门可以自作出责令改正之日的次日起，按照原处罚数额按日连续处罚。</w:t>
            </w:r>
          </w:p>
          <w:p w14:paraId="6874206C">
            <w:pPr>
              <w:spacing w:line="32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0DEF277F">
            <w:pPr>
              <w:spacing w:line="320" w:lineRule="exact"/>
              <w:jc w:val="left"/>
              <w:rPr>
                <w:color w:val="000000"/>
                <w:kern w:val="0"/>
                <w:sz w:val="18"/>
                <w:szCs w:val="18"/>
              </w:rPr>
            </w:pPr>
            <w:r>
              <w:rPr>
                <w:rFonts w:hint="eastAsia"/>
                <w:color w:val="000000"/>
                <w:kern w:val="0"/>
                <w:sz w:val="18"/>
                <w:szCs w:val="18"/>
              </w:rPr>
              <w:t xml:space="preserve">        第三十二条第一款　施工单位应当向作业人员提供安全防护用具和安全防护服装，并书面告知危险岗位的操作规程和违章操作的危害。</w:t>
            </w:r>
          </w:p>
          <w:p w14:paraId="0BA0C4BB">
            <w:pPr>
              <w:spacing w:line="320" w:lineRule="exact"/>
              <w:jc w:val="left"/>
              <w:rPr>
                <w:color w:val="000000"/>
                <w:kern w:val="0"/>
                <w:sz w:val="18"/>
                <w:szCs w:val="18"/>
              </w:rPr>
            </w:pPr>
            <w:r>
              <w:rPr>
                <w:rFonts w:hint="eastAsia"/>
                <w:color w:val="000000"/>
                <w:kern w:val="0"/>
                <w:sz w:val="18"/>
                <w:szCs w:val="18"/>
              </w:rPr>
              <w:t xml:space="preserve">        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  </w:t>
            </w:r>
          </w:p>
          <w:p w14:paraId="5490C463">
            <w:pPr>
              <w:spacing w:line="320" w:lineRule="exact"/>
              <w:jc w:val="left"/>
              <w:rPr>
                <w:color w:val="000000"/>
                <w:kern w:val="0"/>
                <w:sz w:val="18"/>
                <w:szCs w:val="18"/>
              </w:rPr>
            </w:pPr>
            <w:r>
              <w:rPr>
                <w:rFonts w:hint="eastAsia"/>
                <w:color w:val="000000"/>
                <w:kern w:val="0"/>
                <w:sz w:val="18"/>
                <w:szCs w:val="18"/>
              </w:rPr>
              <w:t xml:space="preserve">      （四）未向作业人员提供安全防护用具和安全防护服装的。</w:t>
            </w:r>
          </w:p>
          <w:p w14:paraId="1EA89152">
            <w:pPr>
              <w:spacing w:line="32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w:t>
            </w:r>
          </w:p>
          <w:p w14:paraId="0F3D313A">
            <w:pPr>
              <w:spacing w:line="32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p>
          <w:p w14:paraId="21CF379F">
            <w:pPr>
              <w:spacing w:line="320" w:lineRule="exact"/>
              <w:jc w:val="left"/>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tc>
      </w:tr>
      <w:tr w14:paraId="5AD796B4">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4D9C799C">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70EC3476">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5DF65399">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24EA979B">
            <w:pPr>
              <w:spacing w:line="320" w:lineRule="exact"/>
              <w:jc w:val="center"/>
              <w:rPr>
                <w:color w:val="000000"/>
                <w:kern w:val="0"/>
                <w:sz w:val="18"/>
                <w:szCs w:val="18"/>
              </w:rPr>
            </w:pPr>
            <w:r>
              <w:rPr>
                <w:rFonts w:hint="eastAsia"/>
                <w:color w:val="000000"/>
                <w:kern w:val="0"/>
                <w:sz w:val="18"/>
                <w:szCs w:val="18"/>
              </w:rPr>
              <w:t>裁量基准</w:t>
            </w:r>
          </w:p>
        </w:tc>
      </w:tr>
      <w:tr w14:paraId="6D7A0E9E">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right w:val="single" w:color="auto" w:sz="4" w:space="0"/>
            </w:tcBorders>
            <w:vAlign w:val="center"/>
          </w:tcPr>
          <w:p w14:paraId="2C8BA69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C472F4E">
            <w:pPr>
              <w:spacing w:line="320" w:lineRule="exact"/>
              <w:jc w:val="left"/>
              <w:rPr>
                <w:color w:val="000000"/>
                <w:kern w:val="0"/>
                <w:sz w:val="18"/>
                <w:szCs w:val="18"/>
              </w:rPr>
            </w:pPr>
            <w:r>
              <w:rPr>
                <w:rFonts w:hint="eastAsia"/>
                <w:color w:val="000000"/>
                <w:kern w:val="0"/>
                <w:sz w:val="18"/>
                <w:szCs w:val="18"/>
              </w:rPr>
              <w:t>按要求改正的，未发生生产安全事故的</w:t>
            </w:r>
          </w:p>
        </w:tc>
        <w:tc>
          <w:tcPr>
            <w:tcW w:w="1120" w:type="dxa"/>
            <w:vMerge w:val="restart"/>
            <w:tcBorders>
              <w:top w:val="nil"/>
              <w:left w:val="single" w:color="auto" w:sz="4" w:space="0"/>
              <w:right w:val="single" w:color="auto" w:sz="4" w:space="0"/>
            </w:tcBorders>
            <w:vAlign w:val="center"/>
          </w:tcPr>
          <w:p w14:paraId="33509943">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single" w:color="auto" w:sz="4" w:space="0"/>
              <w:left w:val="nil"/>
              <w:bottom w:val="single" w:color="auto" w:sz="4" w:space="0"/>
              <w:right w:val="single" w:color="auto" w:sz="4" w:space="0"/>
            </w:tcBorders>
            <w:vAlign w:val="center"/>
          </w:tcPr>
          <w:p w14:paraId="3E9B79BF">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14:paraId="294E7EE5">
        <w:tblPrEx>
          <w:tblCellMar>
            <w:top w:w="0" w:type="dxa"/>
            <w:left w:w="108" w:type="dxa"/>
            <w:bottom w:w="0" w:type="dxa"/>
            <w:right w:w="108" w:type="dxa"/>
          </w:tblCellMar>
        </w:tblPrEx>
        <w:trPr>
          <w:trHeight w:val="285" w:hRule="atLeast"/>
        </w:trPr>
        <w:tc>
          <w:tcPr>
            <w:tcW w:w="1026" w:type="dxa"/>
            <w:vMerge w:val="continue"/>
            <w:tcBorders>
              <w:left w:val="single" w:color="auto" w:sz="8" w:space="0"/>
              <w:right w:val="single" w:color="auto" w:sz="4" w:space="0"/>
            </w:tcBorders>
            <w:vAlign w:val="center"/>
          </w:tcPr>
          <w:p w14:paraId="776BD19A">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CB597F2">
            <w:pPr>
              <w:spacing w:line="320" w:lineRule="exact"/>
              <w:jc w:val="left"/>
              <w:rPr>
                <w:color w:val="000000"/>
                <w:kern w:val="0"/>
                <w:sz w:val="18"/>
                <w:szCs w:val="18"/>
              </w:rPr>
            </w:pPr>
            <w:r>
              <w:rPr>
                <w:rFonts w:hint="eastAsia"/>
                <w:color w:val="000000"/>
                <w:kern w:val="0"/>
                <w:sz w:val="18"/>
                <w:szCs w:val="18"/>
              </w:rPr>
              <w:t>按要求改正的，发生生产安全事故的</w:t>
            </w:r>
          </w:p>
        </w:tc>
        <w:tc>
          <w:tcPr>
            <w:tcW w:w="1120" w:type="dxa"/>
            <w:vMerge w:val="continue"/>
            <w:tcBorders>
              <w:left w:val="single" w:color="auto" w:sz="4" w:space="0"/>
              <w:right w:val="single" w:color="auto" w:sz="4" w:space="0"/>
            </w:tcBorders>
            <w:vAlign w:val="center"/>
          </w:tcPr>
          <w:p w14:paraId="10E00B4E">
            <w:pPr>
              <w:spacing w:line="320" w:lineRule="exact"/>
              <w:jc w:val="center"/>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14B51063">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14:paraId="1F406249">
        <w:tblPrEx>
          <w:tblCellMar>
            <w:top w:w="0" w:type="dxa"/>
            <w:left w:w="108" w:type="dxa"/>
            <w:bottom w:w="0" w:type="dxa"/>
            <w:right w:w="108" w:type="dxa"/>
          </w:tblCellMar>
        </w:tblPrEx>
        <w:trPr>
          <w:trHeight w:val="285" w:hRule="atLeast"/>
        </w:trPr>
        <w:tc>
          <w:tcPr>
            <w:tcW w:w="1026" w:type="dxa"/>
            <w:vMerge w:val="continue"/>
            <w:tcBorders>
              <w:left w:val="single" w:color="auto" w:sz="8" w:space="0"/>
              <w:right w:val="single" w:color="auto" w:sz="4" w:space="0"/>
            </w:tcBorders>
            <w:vAlign w:val="center"/>
          </w:tcPr>
          <w:p w14:paraId="4ACE704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97DA007">
            <w:pPr>
              <w:spacing w:line="320" w:lineRule="exact"/>
              <w:jc w:val="left"/>
              <w:rPr>
                <w:color w:val="000000"/>
                <w:kern w:val="0"/>
                <w:sz w:val="18"/>
                <w:szCs w:val="18"/>
              </w:rPr>
            </w:pPr>
            <w:r>
              <w:rPr>
                <w:rFonts w:hint="eastAsia"/>
                <w:color w:val="000000"/>
                <w:kern w:val="0"/>
                <w:sz w:val="18"/>
                <w:szCs w:val="18"/>
              </w:rPr>
              <w:t>未按要求改正的，未发生生产安全事故的</w:t>
            </w:r>
          </w:p>
        </w:tc>
        <w:tc>
          <w:tcPr>
            <w:tcW w:w="1120" w:type="dxa"/>
            <w:vMerge w:val="continue"/>
            <w:tcBorders>
              <w:left w:val="single" w:color="auto" w:sz="4" w:space="0"/>
              <w:right w:val="single" w:color="auto" w:sz="4" w:space="0"/>
            </w:tcBorders>
            <w:vAlign w:val="center"/>
          </w:tcPr>
          <w:p w14:paraId="72D73AA1">
            <w:pPr>
              <w:spacing w:line="320" w:lineRule="exact"/>
              <w:jc w:val="left"/>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490B0E2F">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25D2ED1A">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14:paraId="1CE23119">
        <w:tblPrEx>
          <w:tblCellMar>
            <w:top w:w="0" w:type="dxa"/>
            <w:left w:w="108" w:type="dxa"/>
            <w:bottom w:w="0" w:type="dxa"/>
            <w:right w:w="108" w:type="dxa"/>
          </w:tblCellMar>
        </w:tblPrEx>
        <w:trPr>
          <w:trHeight w:val="285" w:hRule="atLeast"/>
        </w:trPr>
        <w:tc>
          <w:tcPr>
            <w:tcW w:w="1026" w:type="dxa"/>
            <w:vMerge w:val="continue"/>
            <w:tcBorders>
              <w:left w:val="single" w:color="auto" w:sz="8" w:space="0"/>
              <w:bottom w:val="single" w:color="auto" w:sz="4" w:space="0"/>
              <w:right w:val="single" w:color="auto" w:sz="4" w:space="0"/>
            </w:tcBorders>
            <w:vAlign w:val="center"/>
          </w:tcPr>
          <w:p w14:paraId="0886522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F8E3666">
            <w:pPr>
              <w:spacing w:line="320" w:lineRule="exact"/>
              <w:jc w:val="left"/>
              <w:rPr>
                <w:color w:val="000000"/>
                <w:kern w:val="0"/>
                <w:sz w:val="18"/>
                <w:szCs w:val="18"/>
              </w:rPr>
            </w:pPr>
            <w:r>
              <w:rPr>
                <w:rFonts w:hint="eastAsia"/>
                <w:color w:val="000000"/>
                <w:kern w:val="0"/>
                <w:sz w:val="18"/>
                <w:szCs w:val="18"/>
              </w:rPr>
              <w:t>未按要求改正的，发生生产安全事故的</w:t>
            </w:r>
          </w:p>
        </w:tc>
        <w:tc>
          <w:tcPr>
            <w:tcW w:w="1120" w:type="dxa"/>
            <w:vMerge w:val="continue"/>
            <w:tcBorders>
              <w:left w:val="single" w:color="auto" w:sz="4" w:space="0"/>
              <w:bottom w:val="single" w:color="auto" w:sz="4" w:space="0"/>
              <w:right w:val="single" w:color="auto" w:sz="4" w:space="0"/>
            </w:tcBorders>
            <w:vAlign w:val="center"/>
          </w:tcPr>
          <w:p w14:paraId="173EBF1A">
            <w:pPr>
              <w:spacing w:line="320" w:lineRule="exact"/>
              <w:jc w:val="left"/>
              <w:rPr>
                <w:color w:val="000000"/>
                <w:kern w:val="0"/>
                <w:sz w:val="18"/>
                <w:szCs w:val="18"/>
              </w:rPr>
            </w:pPr>
          </w:p>
        </w:tc>
        <w:tc>
          <w:tcPr>
            <w:tcW w:w="5774" w:type="dxa"/>
            <w:tcBorders>
              <w:top w:val="single" w:color="auto" w:sz="4" w:space="0"/>
              <w:left w:val="nil"/>
              <w:bottom w:val="single" w:color="auto" w:sz="4" w:space="0"/>
              <w:right w:val="single" w:color="auto" w:sz="4" w:space="0"/>
            </w:tcBorders>
            <w:vAlign w:val="center"/>
          </w:tcPr>
          <w:p w14:paraId="31F52694">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14:paraId="68025A04">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14:paraId="0ADBA0E0"/>
    <w:p w14:paraId="72CD5D91"/>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34F25983">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994B123">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309960DB">
            <w:pPr>
              <w:spacing w:line="320" w:lineRule="exact"/>
              <w:jc w:val="left"/>
              <w:rPr>
                <w:rFonts w:eastAsia="仿宋_GB2312"/>
                <w:b/>
                <w:bCs/>
                <w:color w:val="000000"/>
                <w:kern w:val="0"/>
                <w:sz w:val="18"/>
                <w:szCs w:val="18"/>
              </w:rPr>
            </w:pPr>
            <w:r>
              <w:rPr>
                <w:rFonts w:eastAsia="仿宋_GB2312"/>
                <w:b/>
                <w:bCs/>
                <w:color w:val="000000"/>
                <w:kern w:val="0"/>
                <w:sz w:val="18"/>
                <w:szCs w:val="18"/>
              </w:rPr>
              <w:t>320217234000</w:t>
            </w:r>
          </w:p>
        </w:tc>
      </w:tr>
      <w:tr w14:paraId="233B5B61">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B7E0F6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60407FF2">
            <w:pPr>
              <w:spacing w:line="320" w:lineRule="exact"/>
              <w:jc w:val="left"/>
              <w:rPr>
                <w:color w:val="000000"/>
                <w:kern w:val="0"/>
                <w:sz w:val="18"/>
                <w:szCs w:val="18"/>
              </w:rPr>
            </w:pPr>
            <w:r>
              <w:rPr>
                <w:rFonts w:hint="eastAsia"/>
                <w:color w:val="000000"/>
                <w:kern w:val="0"/>
                <w:sz w:val="18"/>
                <w:szCs w:val="18"/>
              </w:rPr>
              <w:t>对将已购公有住房和经济适用住房上市出售后，该户家庭又以非法手段按照成本价（或者标准价）购买公有住房或者政府提供优惠政策建设的住房的处罚</w:t>
            </w:r>
          </w:p>
        </w:tc>
      </w:tr>
      <w:tr w14:paraId="32D0AA8F">
        <w:tblPrEx>
          <w:tblCellMar>
            <w:top w:w="0" w:type="dxa"/>
            <w:left w:w="108" w:type="dxa"/>
            <w:bottom w:w="0" w:type="dxa"/>
            <w:right w:w="108" w:type="dxa"/>
          </w:tblCellMar>
        </w:tblPrEx>
        <w:trPr>
          <w:trHeight w:val="1620" w:hRule="atLeast"/>
        </w:trPr>
        <w:tc>
          <w:tcPr>
            <w:tcW w:w="1056" w:type="dxa"/>
            <w:tcBorders>
              <w:top w:val="nil"/>
              <w:left w:val="single" w:color="auto" w:sz="8" w:space="0"/>
              <w:bottom w:val="single" w:color="auto" w:sz="4" w:space="0"/>
              <w:right w:val="single" w:color="auto" w:sz="4" w:space="0"/>
            </w:tcBorders>
            <w:vAlign w:val="center"/>
          </w:tcPr>
          <w:p w14:paraId="664654D8">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28EF8274">
            <w:pPr>
              <w:spacing w:line="320" w:lineRule="exact"/>
              <w:jc w:val="left"/>
              <w:rPr>
                <w:color w:val="000000"/>
                <w:kern w:val="0"/>
                <w:sz w:val="18"/>
                <w:szCs w:val="18"/>
              </w:rPr>
            </w:pPr>
            <w:r>
              <w:rPr>
                <w:rFonts w:hint="eastAsia"/>
                <w:color w:val="000000"/>
                <w:kern w:val="0"/>
                <w:sz w:val="18"/>
                <w:szCs w:val="18"/>
              </w:rPr>
              <w:t>【规章】《已购公有住房和经济适用住房上市出售管理暂行办法》（</w:t>
            </w:r>
            <w:r>
              <w:rPr>
                <w:color w:val="000000"/>
                <w:kern w:val="0"/>
                <w:sz w:val="18"/>
                <w:szCs w:val="18"/>
              </w:rPr>
              <w:t>1999</w:t>
            </w:r>
            <w:r>
              <w:rPr>
                <w:rFonts w:hint="eastAsia"/>
                <w:color w:val="000000"/>
                <w:kern w:val="0"/>
                <w:sz w:val="18"/>
                <w:szCs w:val="18"/>
              </w:rPr>
              <w:t>年建设部令第</w:t>
            </w:r>
            <w:r>
              <w:rPr>
                <w:color w:val="000000"/>
                <w:kern w:val="0"/>
                <w:sz w:val="18"/>
                <w:szCs w:val="18"/>
              </w:rPr>
              <w:t>69</w:t>
            </w:r>
            <w:r>
              <w:rPr>
                <w:rFonts w:hint="eastAsia"/>
                <w:color w:val="000000"/>
                <w:kern w:val="0"/>
                <w:sz w:val="18"/>
                <w:szCs w:val="18"/>
              </w:rPr>
              <w:t>号）</w:t>
            </w:r>
          </w:p>
          <w:p w14:paraId="7FAD4064">
            <w:pPr>
              <w:spacing w:line="320" w:lineRule="exact"/>
              <w:jc w:val="left"/>
              <w:rPr>
                <w:color w:val="000000"/>
                <w:kern w:val="0"/>
                <w:sz w:val="18"/>
                <w:szCs w:val="18"/>
              </w:rPr>
            </w:pPr>
            <w:r>
              <w:rPr>
                <w:rFonts w:hint="eastAsia"/>
                <w:color w:val="000000"/>
                <w:kern w:val="0"/>
                <w:sz w:val="18"/>
                <w:szCs w:val="18"/>
              </w:rPr>
              <w:t>第十三条　已购公有住房和经济适用住房上市出售后，该户家庭不得再按照成本价或者标准价购买公有住房，也不得再购买经济适用住房等政府提供优惠政策建设的住房。</w:t>
            </w:r>
          </w:p>
          <w:p w14:paraId="64E20D6F">
            <w:pPr>
              <w:spacing w:line="320" w:lineRule="exact"/>
              <w:jc w:val="left"/>
              <w:rPr>
                <w:color w:val="000000"/>
                <w:kern w:val="0"/>
                <w:sz w:val="18"/>
                <w:szCs w:val="18"/>
              </w:rPr>
            </w:pPr>
            <w:r>
              <w:rPr>
                <w:rFonts w:hint="eastAsia"/>
                <w:color w:val="000000"/>
                <w:kern w:val="0"/>
                <w:sz w:val="18"/>
                <w:szCs w:val="18"/>
              </w:rPr>
              <w:t>第十五条　违反本办法第十三条的规定，将已购公有住房和经济适用住房上市出售后，该户家庭又以非法手段按照成本价（或者标准价）购买公有住房或者政府提供优惠政策建设的住房的，由房地产行政主管部门责令退回所购房屋，不予办理产权登记手续，并处以</w:t>
            </w:r>
            <w:r>
              <w:rPr>
                <w:color w:val="000000"/>
                <w:kern w:val="0"/>
                <w:sz w:val="18"/>
                <w:szCs w:val="18"/>
              </w:rPr>
              <w:t>10000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元以下罚款；或者按照商品房市场价格补齐房价款，并处以</w:t>
            </w:r>
            <w:r>
              <w:rPr>
                <w:color w:val="000000"/>
                <w:kern w:val="0"/>
                <w:sz w:val="18"/>
                <w:szCs w:val="18"/>
              </w:rPr>
              <w:t>10000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p>
        </w:tc>
      </w:tr>
      <w:tr w14:paraId="7A97F58F">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269BCF4">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6B833D65">
            <w:pPr>
              <w:spacing w:line="320" w:lineRule="exact"/>
              <w:jc w:val="left"/>
              <w:rPr>
                <w:color w:val="000000"/>
                <w:kern w:val="0"/>
                <w:sz w:val="18"/>
                <w:szCs w:val="18"/>
              </w:rPr>
            </w:pPr>
            <w:r>
              <w:rPr>
                <w:rFonts w:hint="eastAsia"/>
                <w:color w:val="000000"/>
                <w:kern w:val="0"/>
                <w:sz w:val="18"/>
                <w:szCs w:val="18"/>
              </w:rPr>
              <w:t>责令退回所购房屋，不予办理产权登记手续，罚款</w:t>
            </w:r>
            <w:r>
              <w:rPr>
                <w:color w:val="000000"/>
                <w:kern w:val="0"/>
                <w:sz w:val="18"/>
                <w:szCs w:val="18"/>
              </w:rPr>
              <w:t xml:space="preserve">  </w:t>
            </w:r>
          </w:p>
        </w:tc>
      </w:tr>
      <w:tr w14:paraId="7BCCC0B3">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2767BB8">
            <w:pPr>
              <w:spacing w:line="320" w:lineRule="exact"/>
              <w:jc w:val="center"/>
              <w:rPr>
                <w:color w:val="000000"/>
                <w:kern w:val="0"/>
                <w:sz w:val="18"/>
                <w:szCs w:val="18"/>
              </w:rPr>
            </w:pPr>
            <w:r>
              <w:rPr>
                <w:rFonts w:hint="eastAsia"/>
                <w:color w:val="000000"/>
                <w:kern w:val="0"/>
                <w:sz w:val="18"/>
                <w:szCs w:val="18"/>
              </w:rPr>
              <w:t>裁量基准</w:t>
            </w:r>
          </w:p>
        </w:tc>
      </w:tr>
      <w:tr w14:paraId="417C5FD4">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2349EF8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776B21E">
            <w:pPr>
              <w:spacing w:line="320" w:lineRule="exact"/>
              <w:jc w:val="left"/>
              <w:rPr>
                <w:color w:val="000000"/>
                <w:kern w:val="0"/>
                <w:sz w:val="18"/>
                <w:szCs w:val="18"/>
              </w:rPr>
            </w:pPr>
            <w:r>
              <w:rPr>
                <w:rFonts w:hint="eastAsia"/>
                <w:color w:val="000000"/>
                <w:kern w:val="0"/>
                <w:sz w:val="18"/>
                <w:szCs w:val="18"/>
              </w:rPr>
              <w:t>采用</w:t>
            </w:r>
            <w:r>
              <w:rPr>
                <w:color w:val="000000"/>
                <w:kern w:val="0"/>
                <w:sz w:val="18"/>
                <w:szCs w:val="18"/>
              </w:rPr>
              <w:t>1</w:t>
            </w:r>
            <w:r>
              <w:rPr>
                <w:rFonts w:hint="eastAsia"/>
                <w:color w:val="000000"/>
                <w:kern w:val="0"/>
                <w:sz w:val="18"/>
                <w:szCs w:val="18"/>
              </w:rPr>
              <w:t>种非法手段的</w:t>
            </w:r>
          </w:p>
        </w:tc>
        <w:tc>
          <w:tcPr>
            <w:tcW w:w="1060" w:type="dxa"/>
            <w:vMerge w:val="restart"/>
            <w:tcBorders>
              <w:top w:val="nil"/>
              <w:left w:val="single" w:color="auto" w:sz="4" w:space="0"/>
              <w:bottom w:val="single" w:color="auto" w:sz="4" w:space="0"/>
              <w:right w:val="single" w:color="auto" w:sz="4" w:space="0"/>
            </w:tcBorders>
            <w:vAlign w:val="center"/>
          </w:tcPr>
          <w:p w14:paraId="780E2113">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BBC3D3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7FA0BF5C">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0218225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D1DC262">
            <w:pPr>
              <w:spacing w:line="320" w:lineRule="exact"/>
              <w:jc w:val="left"/>
              <w:rPr>
                <w:color w:val="000000"/>
                <w:kern w:val="0"/>
                <w:sz w:val="18"/>
                <w:szCs w:val="18"/>
              </w:rPr>
            </w:pPr>
            <w:r>
              <w:rPr>
                <w:rFonts w:hint="eastAsia"/>
                <w:color w:val="000000"/>
                <w:kern w:val="0"/>
                <w:sz w:val="18"/>
                <w:szCs w:val="18"/>
              </w:rPr>
              <w:t>采用</w:t>
            </w:r>
            <w:r>
              <w:rPr>
                <w:color w:val="000000"/>
                <w:kern w:val="0"/>
                <w:sz w:val="18"/>
                <w:szCs w:val="18"/>
              </w:rPr>
              <w:t>2</w:t>
            </w:r>
            <w:r>
              <w:rPr>
                <w:rFonts w:hint="eastAsia"/>
                <w:color w:val="000000"/>
                <w:kern w:val="0"/>
                <w:sz w:val="18"/>
                <w:szCs w:val="18"/>
              </w:rPr>
              <w:t>种及以上非法手段的</w:t>
            </w:r>
          </w:p>
        </w:tc>
        <w:tc>
          <w:tcPr>
            <w:tcW w:w="1060" w:type="dxa"/>
            <w:vMerge w:val="continue"/>
            <w:tcBorders>
              <w:top w:val="nil"/>
              <w:left w:val="single" w:color="auto" w:sz="4" w:space="0"/>
              <w:bottom w:val="single" w:color="auto" w:sz="4" w:space="0"/>
              <w:right w:val="single" w:color="auto" w:sz="4" w:space="0"/>
            </w:tcBorders>
            <w:vAlign w:val="center"/>
          </w:tcPr>
          <w:p w14:paraId="56D96A66">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609219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1D454A2"/>
    <w:p w14:paraId="3AA3748F"/>
    <w:p w14:paraId="36CCD2A7"/>
    <w:p w14:paraId="6375D718"/>
    <w:p w14:paraId="1CC35CDE"/>
    <w:p w14:paraId="76781064"/>
    <w:p w14:paraId="0AED4D81"/>
    <w:p w14:paraId="6431E3A6"/>
    <w:p w14:paraId="73CFFDE4"/>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05F0599B">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FDDD87F">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8FC3417">
            <w:pPr>
              <w:spacing w:line="320" w:lineRule="exact"/>
              <w:jc w:val="left"/>
              <w:rPr>
                <w:rFonts w:eastAsia="仿宋_GB2312"/>
                <w:b/>
                <w:bCs/>
                <w:color w:val="000000"/>
                <w:kern w:val="0"/>
                <w:sz w:val="18"/>
                <w:szCs w:val="18"/>
              </w:rPr>
            </w:pPr>
            <w:r>
              <w:rPr>
                <w:rFonts w:eastAsia="仿宋_GB2312"/>
                <w:b/>
                <w:bCs/>
                <w:color w:val="000000"/>
                <w:kern w:val="0"/>
                <w:sz w:val="18"/>
                <w:szCs w:val="18"/>
              </w:rPr>
              <w:t>320217235000</w:t>
            </w:r>
            <w:r>
              <w:rPr>
                <w:rFonts w:hint="eastAsia" w:eastAsia="仿宋_GB2312"/>
                <w:b/>
                <w:bCs/>
                <w:color w:val="000000"/>
                <w:kern w:val="0"/>
                <w:sz w:val="18"/>
                <w:szCs w:val="18"/>
              </w:rPr>
              <w:t xml:space="preserve"> </w:t>
            </w:r>
          </w:p>
        </w:tc>
      </w:tr>
      <w:tr w14:paraId="7180BF9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8932BA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431594EB">
            <w:pPr>
              <w:spacing w:line="320" w:lineRule="exact"/>
              <w:jc w:val="left"/>
              <w:rPr>
                <w:color w:val="000000"/>
                <w:kern w:val="0"/>
                <w:sz w:val="18"/>
                <w:szCs w:val="18"/>
              </w:rPr>
            </w:pPr>
            <w:r>
              <w:rPr>
                <w:rFonts w:hint="eastAsia"/>
                <w:color w:val="000000"/>
                <w:kern w:val="0"/>
                <w:sz w:val="18"/>
                <w:szCs w:val="18"/>
              </w:rPr>
              <w:t>对房地产经纪机构和房地产经纪人员泄露或者不当使用委托人的个人信息或者商业秘密，谋取不正当利益的处罚</w:t>
            </w:r>
          </w:p>
        </w:tc>
      </w:tr>
      <w:tr w14:paraId="4FFEC7F3">
        <w:tblPrEx>
          <w:tblCellMar>
            <w:top w:w="0" w:type="dxa"/>
            <w:left w:w="108" w:type="dxa"/>
            <w:bottom w:w="0" w:type="dxa"/>
            <w:right w:w="108" w:type="dxa"/>
          </w:tblCellMar>
        </w:tblPrEx>
        <w:trPr>
          <w:trHeight w:val="1665" w:hRule="atLeast"/>
        </w:trPr>
        <w:tc>
          <w:tcPr>
            <w:tcW w:w="1010" w:type="dxa"/>
            <w:tcBorders>
              <w:top w:val="nil"/>
              <w:left w:val="single" w:color="auto" w:sz="8" w:space="0"/>
              <w:bottom w:val="single" w:color="auto" w:sz="4" w:space="0"/>
              <w:right w:val="single" w:color="auto" w:sz="4" w:space="0"/>
            </w:tcBorders>
            <w:vAlign w:val="center"/>
          </w:tcPr>
          <w:p w14:paraId="0B34AC7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59B48590">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3C1AF781">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14:paraId="7C2E168F">
            <w:pPr>
              <w:spacing w:line="320" w:lineRule="exact"/>
              <w:jc w:val="left"/>
              <w:rPr>
                <w:color w:val="000000"/>
                <w:kern w:val="0"/>
                <w:sz w:val="18"/>
                <w:szCs w:val="18"/>
              </w:rPr>
            </w:pPr>
            <w:r>
              <w:rPr>
                <w:rFonts w:hint="eastAsia"/>
                <w:color w:val="000000"/>
                <w:kern w:val="0"/>
                <w:sz w:val="18"/>
                <w:szCs w:val="18"/>
              </w:rPr>
              <w:t>（四）泄露或者不当使用委托人的个人信息或者商业秘密，谋取不正当利益。</w:t>
            </w:r>
          </w:p>
          <w:p w14:paraId="59723930">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14:paraId="3F3EB6A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D6834D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30D1128">
            <w:pPr>
              <w:spacing w:line="320" w:lineRule="exact"/>
              <w:jc w:val="left"/>
              <w:rPr>
                <w:color w:val="000000"/>
                <w:kern w:val="0"/>
                <w:sz w:val="18"/>
                <w:szCs w:val="18"/>
              </w:rPr>
            </w:pPr>
            <w:r>
              <w:rPr>
                <w:rFonts w:hint="eastAsia"/>
                <w:color w:val="000000"/>
                <w:kern w:val="0"/>
                <w:sz w:val="18"/>
                <w:szCs w:val="18"/>
              </w:rPr>
              <w:t>罚款</w:t>
            </w:r>
          </w:p>
        </w:tc>
      </w:tr>
      <w:tr w14:paraId="15EAEF80">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FA0CE56">
            <w:pPr>
              <w:spacing w:line="320" w:lineRule="exact"/>
              <w:jc w:val="center"/>
              <w:rPr>
                <w:color w:val="000000"/>
                <w:kern w:val="0"/>
                <w:sz w:val="18"/>
                <w:szCs w:val="18"/>
              </w:rPr>
            </w:pPr>
            <w:r>
              <w:rPr>
                <w:rFonts w:hint="eastAsia"/>
                <w:color w:val="000000"/>
                <w:kern w:val="0"/>
                <w:sz w:val="18"/>
                <w:szCs w:val="18"/>
              </w:rPr>
              <w:t>裁量基准</w:t>
            </w:r>
          </w:p>
        </w:tc>
      </w:tr>
      <w:tr w14:paraId="6FC9E8D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100A1A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AEA5446">
            <w:pPr>
              <w:spacing w:line="320" w:lineRule="exact"/>
              <w:jc w:val="left"/>
              <w:rPr>
                <w:color w:val="000000"/>
                <w:kern w:val="0"/>
                <w:sz w:val="18"/>
                <w:szCs w:val="18"/>
              </w:rPr>
            </w:pPr>
            <w:r>
              <w:rPr>
                <w:rFonts w:hint="eastAsia"/>
                <w:color w:val="000000"/>
                <w:kern w:val="0"/>
                <w:sz w:val="18"/>
                <w:szCs w:val="18"/>
              </w:rPr>
              <w:t>　</w:t>
            </w:r>
          </w:p>
        </w:tc>
        <w:tc>
          <w:tcPr>
            <w:tcW w:w="1000" w:type="dxa"/>
            <w:tcBorders>
              <w:top w:val="nil"/>
              <w:left w:val="nil"/>
              <w:bottom w:val="single" w:color="auto" w:sz="4" w:space="0"/>
              <w:right w:val="single" w:color="auto" w:sz="4" w:space="0"/>
            </w:tcBorders>
            <w:vAlign w:val="center"/>
          </w:tcPr>
          <w:p w14:paraId="4FC7D4C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56E35F69">
            <w:pPr>
              <w:spacing w:line="320" w:lineRule="exact"/>
              <w:jc w:val="left"/>
              <w:rPr>
                <w:color w:val="000000"/>
                <w:kern w:val="0"/>
                <w:sz w:val="18"/>
                <w:szCs w:val="18"/>
              </w:rPr>
            </w:pPr>
          </w:p>
        </w:tc>
      </w:tr>
    </w:tbl>
    <w:p w14:paraId="5070DDFD"/>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3AAEBF26">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5A21DE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2CE04B07">
            <w:pPr>
              <w:spacing w:line="320" w:lineRule="exact"/>
              <w:jc w:val="left"/>
              <w:rPr>
                <w:rFonts w:eastAsia="仿宋_GB2312"/>
                <w:b/>
                <w:bCs/>
                <w:color w:val="000000"/>
                <w:kern w:val="0"/>
                <w:sz w:val="18"/>
                <w:szCs w:val="18"/>
              </w:rPr>
            </w:pPr>
            <w:r>
              <w:rPr>
                <w:rFonts w:eastAsia="仿宋_GB2312"/>
                <w:b/>
                <w:bCs/>
                <w:color w:val="000000"/>
                <w:kern w:val="0"/>
                <w:sz w:val="18"/>
                <w:szCs w:val="18"/>
              </w:rPr>
              <w:t>320217236000</w:t>
            </w:r>
            <w:r>
              <w:rPr>
                <w:rFonts w:hint="eastAsia" w:eastAsia="仿宋_GB2312"/>
                <w:b/>
                <w:bCs/>
                <w:color w:val="000000"/>
                <w:kern w:val="0"/>
                <w:sz w:val="18"/>
                <w:szCs w:val="18"/>
              </w:rPr>
              <w:t xml:space="preserve"> </w:t>
            </w:r>
          </w:p>
        </w:tc>
      </w:tr>
      <w:tr w14:paraId="7D1B9F6B">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015421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443A74D3">
            <w:pPr>
              <w:spacing w:line="320" w:lineRule="exact"/>
              <w:jc w:val="left"/>
              <w:rPr>
                <w:color w:val="000000"/>
                <w:kern w:val="0"/>
                <w:sz w:val="18"/>
                <w:szCs w:val="18"/>
              </w:rPr>
            </w:pPr>
            <w:r>
              <w:rPr>
                <w:rFonts w:hint="eastAsia"/>
                <w:color w:val="000000"/>
                <w:kern w:val="0"/>
                <w:sz w:val="18"/>
                <w:szCs w:val="18"/>
              </w:rPr>
              <w:t>对房地产经纪机构和房地产经纪人员为交易当事人规避房屋交易税费等非法目的，就同一房屋签订不同交易价款的合同提供便利的处罚</w:t>
            </w:r>
          </w:p>
        </w:tc>
      </w:tr>
      <w:tr w14:paraId="3C1281F5">
        <w:tblPrEx>
          <w:tblCellMar>
            <w:top w:w="0" w:type="dxa"/>
            <w:left w:w="108" w:type="dxa"/>
            <w:bottom w:w="0" w:type="dxa"/>
            <w:right w:w="108" w:type="dxa"/>
          </w:tblCellMar>
        </w:tblPrEx>
        <w:trPr>
          <w:trHeight w:val="1560" w:hRule="atLeast"/>
        </w:trPr>
        <w:tc>
          <w:tcPr>
            <w:tcW w:w="1010" w:type="dxa"/>
            <w:tcBorders>
              <w:top w:val="nil"/>
              <w:left w:val="single" w:color="auto" w:sz="8" w:space="0"/>
              <w:bottom w:val="single" w:color="auto" w:sz="4" w:space="0"/>
              <w:right w:val="single" w:color="auto" w:sz="4" w:space="0"/>
            </w:tcBorders>
            <w:vAlign w:val="center"/>
          </w:tcPr>
          <w:p w14:paraId="24BF2AF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601F8CD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215D15B6">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14:paraId="3462A851">
            <w:pPr>
              <w:spacing w:line="320" w:lineRule="exact"/>
              <w:jc w:val="left"/>
              <w:rPr>
                <w:color w:val="000000"/>
                <w:kern w:val="0"/>
                <w:sz w:val="18"/>
                <w:szCs w:val="18"/>
              </w:rPr>
            </w:pPr>
            <w:r>
              <w:rPr>
                <w:rFonts w:hint="eastAsia"/>
                <w:color w:val="000000"/>
                <w:kern w:val="0"/>
                <w:sz w:val="18"/>
                <w:szCs w:val="18"/>
              </w:rPr>
              <w:t>（五）为交易当事人规避房屋交易税费等非法目的，就同一房屋签订不同交易价款的合同提供便利。</w:t>
            </w:r>
          </w:p>
          <w:p w14:paraId="1632DF71">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14:paraId="15DF62D3">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0BA6D87">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5A240AC2">
            <w:pPr>
              <w:spacing w:line="320" w:lineRule="exact"/>
              <w:jc w:val="left"/>
              <w:rPr>
                <w:color w:val="000000"/>
                <w:kern w:val="0"/>
                <w:sz w:val="18"/>
                <w:szCs w:val="18"/>
              </w:rPr>
            </w:pPr>
            <w:r>
              <w:rPr>
                <w:rFonts w:hint="eastAsia"/>
                <w:color w:val="000000"/>
                <w:kern w:val="0"/>
                <w:sz w:val="18"/>
                <w:szCs w:val="18"/>
              </w:rPr>
              <w:t>罚款</w:t>
            </w:r>
          </w:p>
        </w:tc>
      </w:tr>
      <w:tr w14:paraId="7247A074">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2CEA3EB">
            <w:pPr>
              <w:spacing w:line="320" w:lineRule="exact"/>
              <w:jc w:val="center"/>
              <w:rPr>
                <w:color w:val="000000"/>
                <w:kern w:val="0"/>
                <w:sz w:val="18"/>
                <w:szCs w:val="18"/>
              </w:rPr>
            </w:pPr>
            <w:r>
              <w:rPr>
                <w:rFonts w:hint="eastAsia"/>
                <w:color w:val="000000"/>
                <w:kern w:val="0"/>
                <w:sz w:val="18"/>
                <w:szCs w:val="18"/>
              </w:rPr>
              <w:t>裁量基准</w:t>
            </w:r>
          </w:p>
        </w:tc>
      </w:tr>
      <w:tr w14:paraId="3F99E76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1679E6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80C1424">
            <w:pPr>
              <w:spacing w:line="320" w:lineRule="exact"/>
              <w:jc w:val="left"/>
              <w:rPr>
                <w:color w:val="000000"/>
                <w:kern w:val="0"/>
                <w:sz w:val="18"/>
                <w:szCs w:val="18"/>
              </w:rPr>
            </w:pPr>
            <w:r>
              <w:rPr>
                <w:rFonts w:hint="eastAsia"/>
                <w:color w:val="000000"/>
                <w:kern w:val="0"/>
                <w:sz w:val="18"/>
                <w:szCs w:val="18"/>
              </w:rPr>
              <w:t>　</w:t>
            </w:r>
          </w:p>
        </w:tc>
        <w:tc>
          <w:tcPr>
            <w:tcW w:w="1000" w:type="dxa"/>
            <w:tcBorders>
              <w:top w:val="nil"/>
              <w:left w:val="nil"/>
              <w:bottom w:val="single" w:color="auto" w:sz="4" w:space="0"/>
              <w:right w:val="single" w:color="auto" w:sz="4" w:space="0"/>
            </w:tcBorders>
            <w:vAlign w:val="center"/>
          </w:tcPr>
          <w:p w14:paraId="526A9BD4">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344A9226">
            <w:pPr>
              <w:spacing w:line="320" w:lineRule="exact"/>
              <w:jc w:val="left"/>
              <w:rPr>
                <w:color w:val="000000"/>
                <w:kern w:val="0"/>
                <w:sz w:val="18"/>
                <w:szCs w:val="18"/>
              </w:rPr>
            </w:pPr>
          </w:p>
        </w:tc>
      </w:tr>
    </w:tbl>
    <w:p w14:paraId="5730CC67"/>
    <w:p w14:paraId="7B4BDC9C"/>
    <w:p w14:paraId="7E2886C4"/>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4259B7D0">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B0B2C97">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52B10D26">
            <w:pPr>
              <w:spacing w:line="320" w:lineRule="exact"/>
              <w:jc w:val="left"/>
              <w:rPr>
                <w:rFonts w:eastAsia="仿宋_GB2312"/>
                <w:b/>
                <w:bCs/>
                <w:color w:val="000000"/>
                <w:kern w:val="0"/>
                <w:sz w:val="18"/>
                <w:szCs w:val="18"/>
              </w:rPr>
            </w:pPr>
            <w:r>
              <w:rPr>
                <w:rFonts w:eastAsia="仿宋_GB2312"/>
                <w:b/>
                <w:bCs/>
                <w:color w:val="000000"/>
                <w:kern w:val="0"/>
                <w:sz w:val="18"/>
                <w:szCs w:val="18"/>
              </w:rPr>
              <w:t>320217237000</w:t>
            </w:r>
          </w:p>
        </w:tc>
      </w:tr>
      <w:tr w14:paraId="0E234602">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3F8019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440159C2">
            <w:pPr>
              <w:spacing w:line="320" w:lineRule="exact"/>
              <w:jc w:val="left"/>
              <w:rPr>
                <w:color w:val="000000"/>
                <w:kern w:val="0"/>
                <w:sz w:val="18"/>
                <w:szCs w:val="18"/>
              </w:rPr>
            </w:pPr>
            <w:r>
              <w:rPr>
                <w:rFonts w:hint="eastAsia"/>
                <w:color w:val="000000"/>
                <w:kern w:val="0"/>
                <w:sz w:val="18"/>
                <w:szCs w:val="18"/>
              </w:rPr>
              <w:t>对房地产经纪机构和房地产经纪人员改变房屋内部结构分割出租的处罚</w:t>
            </w:r>
          </w:p>
        </w:tc>
      </w:tr>
      <w:tr w14:paraId="6FDB5E77">
        <w:tblPrEx>
          <w:tblCellMar>
            <w:top w:w="0" w:type="dxa"/>
            <w:left w:w="108" w:type="dxa"/>
            <w:bottom w:w="0" w:type="dxa"/>
            <w:right w:w="108" w:type="dxa"/>
          </w:tblCellMar>
        </w:tblPrEx>
        <w:trPr>
          <w:trHeight w:val="1575" w:hRule="atLeast"/>
        </w:trPr>
        <w:tc>
          <w:tcPr>
            <w:tcW w:w="1010" w:type="dxa"/>
            <w:tcBorders>
              <w:top w:val="nil"/>
              <w:left w:val="single" w:color="auto" w:sz="8" w:space="0"/>
              <w:bottom w:val="single" w:color="auto" w:sz="4" w:space="0"/>
              <w:right w:val="single" w:color="auto" w:sz="4" w:space="0"/>
            </w:tcBorders>
            <w:vAlign w:val="center"/>
          </w:tcPr>
          <w:p w14:paraId="29558891">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282778FC">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645CA097">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14:paraId="026F5D8E">
            <w:pPr>
              <w:spacing w:line="320" w:lineRule="exact"/>
              <w:jc w:val="left"/>
              <w:rPr>
                <w:color w:val="000000"/>
                <w:kern w:val="0"/>
                <w:sz w:val="18"/>
                <w:szCs w:val="18"/>
              </w:rPr>
            </w:pPr>
            <w:r>
              <w:rPr>
                <w:rFonts w:hint="eastAsia"/>
                <w:color w:val="000000"/>
                <w:kern w:val="0"/>
                <w:sz w:val="18"/>
                <w:szCs w:val="18"/>
              </w:rPr>
              <w:t>（六）改变房屋内部结构分割出租。</w:t>
            </w:r>
          </w:p>
          <w:p w14:paraId="4D9A1767">
            <w:pPr>
              <w:spacing w:line="320" w:lineRule="exact"/>
              <w:ind w:firstLine="360" w:firstLineChars="200"/>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14:paraId="7650D1F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D832EA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6D843F52">
            <w:pPr>
              <w:spacing w:line="320" w:lineRule="exact"/>
              <w:jc w:val="left"/>
              <w:rPr>
                <w:color w:val="000000"/>
                <w:kern w:val="0"/>
                <w:sz w:val="18"/>
                <w:szCs w:val="18"/>
              </w:rPr>
            </w:pPr>
            <w:r>
              <w:rPr>
                <w:rFonts w:hint="eastAsia"/>
                <w:color w:val="000000"/>
                <w:kern w:val="0"/>
                <w:sz w:val="18"/>
                <w:szCs w:val="18"/>
              </w:rPr>
              <w:t>罚款</w:t>
            </w:r>
          </w:p>
        </w:tc>
      </w:tr>
      <w:tr w14:paraId="27092EEC">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09B154D">
            <w:pPr>
              <w:spacing w:line="320" w:lineRule="exact"/>
              <w:jc w:val="center"/>
              <w:rPr>
                <w:color w:val="000000"/>
                <w:kern w:val="0"/>
                <w:sz w:val="18"/>
                <w:szCs w:val="18"/>
              </w:rPr>
            </w:pPr>
            <w:r>
              <w:rPr>
                <w:rFonts w:hint="eastAsia"/>
                <w:color w:val="000000"/>
                <w:kern w:val="0"/>
                <w:sz w:val="18"/>
                <w:szCs w:val="18"/>
              </w:rPr>
              <w:t>裁量基准</w:t>
            </w:r>
          </w:p>
        </w:tc>
      </w:tr>
      <w:tr w14:paraId="17EEFD7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FA29E2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8DAABA0">
            <w:pPr>
              <w:spacing w:line="320" w:lineRule="exact"/>
              <w:jc w:val="left"/>
              <w:rPr>
                <w:color w:val="000000"/>
                <w:kern w:val="0"/>
                <w:sz w:val="18"/>
                <w:szCs w:val="18"/>
              </w:rPr>
            </w:pPr>
            <w:r>
              <w:rPr>
                <w:rFonts w:hint="eastAsia"/>
                <w:color w:val="000000"/>
                <w:kern w:val="0"/>
                <w:sz w:val="18"/>
                <w:szCs w:val="18"/>
              </w:rPr>
              <w:t>　</w:t>
            </w:r>
          </w:p>
        </w:tc>
        <w:tc>
          <w:tcPr>
            <w:tcW w:w="1000" w:type="dxa"/>
            <w:tcBorders>
              <w:top w:val="nil"/>
              <w:left w:val="nil"/>
              <w:bottom w:val="single" w:color="auto" w:sz="4" w:space="0"/>
              <w:right w:val="single" w:color="auto" w:sz="4" w:space="0"/>
            </w:tcBorders>
            <w:vAlign w:val="center"/>
          </w:tcPr>
          <w:p w14:paraId="140F4C92">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5041DC3F">
            <w:pPr>
              <w:spacing w:line="320" w:lineRule="exact"/>
              <w:jc w:val="left"/>
              <w:rPr>
                <w:color w:val="000000"/>
                <w:kern w:val="0"/>
                <w:sz w:val="18"/>
                <w:szCs w:val="18"/>
              </w:rPr>
            </w:pPr>
          </w:p>
        </w:tc>
      </w:tr>
    </w:tbl>
    <w:p w14:paraId="0A2F93EC"/>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3CA6C380">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271838A">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515949FA">
            <w:pPr>
              <w:spacing w:line="320" w:lineRule="exact"/>
              <w:jc w:val="left"/>
              <w:rPr>
                <w:rFonts w:eastAsia="仿宋_GB2312"/>
                <w:b/>
                <w:bCs/>
                <w:color w:val="000000"/>
                <w:kern w:val="0"/>
                <w:sz w:val="18"/>
                <w:szCs w:val="18"/>
              </w:rPr>
            </w:pPr>
            <w:r>
              <w:rPr>
                <w:rFonts w:eastAsia="仿宋_GB2312"/>
                <w:b/>
                <w:bCs/>
                <w:color w:val="000000"/>
                <w:kern w:val="0"/>
                <w:sz w:val="18"/>
                <w:szCs w:val="18"/>
              </w:rPr>
              <w:t>320217238000</w:t>
            </w:r>
            <w:r>
              <w:rPr>
                <w:rFonts w:hint="eastAsia" w:eastAsia="仿宋_GB2312"/>
                <w:b/>
                <w:bCs/>
                <w:color w:val="000000"/>
                <w:kern w:val="0"/>
                <w:sz w:val="18"/>
                <w:szCs w:val="18"/>
              </w:rPr>
              <w:t xml:space="preserve"> </w:t>
            </w:r>
          </w:p>
        </w:tc>
      </w:tr>
      <w:tr w14:paraId="721A279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0E5BFBD">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628A4F3F">
            <w:pPr>
              <w:spacing w:line="320" w:lineRule="exact"/>
              <w:jc w:val="left"/>
              <w:rPr>
                <w:color w:val="000000"/>
                <w:kern w:val="0"/>
                <w:sz w:val="18"/>
                <w:szCs w:val="18"/>
              </w:rPr>
            </w:pPr>
            <w:r>
              <w:rPr>
                <w:rFonts w:hint="eastAsia"/>
                <w:color w:val="000000"/>
                <w:kern w:val="0"/>
                <w:sz w:val="18"/>
                <w:szCs w:val="18"/>
              </w:rPr>
              <w:t>对房地产经纪机构和房地产经纪人员侵占、挪用房地产交易资金的处罚</w:t>
            </w:r>
          </w:p>
        </w:tc>
      </w:tr>
      <w:tr w14:paraId="23D3D9B0">
        <w:tblPrEx>
          <w:tblCellMar>
            <w:top w:w="0" w:type="dxa"/>
            <w:left w:w="108" w:type="dxa"/>
            <w:bottom w:w="0" w:type="dxa"/>
            <w:right w:w="108" w:type="dxa"/>
          </w:tblCellMar>
        </w:tblPrEx>
        <w:trPr>
          <w:trHeight w:val="1605" w:hRule="atLeast"/>
        </w:trPr>
        <w:tc>
          <w:tcPr>
            <w:tcW w:w="1010" w:type="dxa"/>
            <w:tcBorders>
              <w:top w:val="nil"/>
              <w:left w:val="single" w:color="auto" w:sz="8" w:space="0"/>
              <w:bottom w:val="single" w:color="auto" w:sz="4" w:space="0"/>
              <w:right w:val="single" w:color="auto" w:sz="4" w:space="0"/>
            </w:tcBorders>
            <w:vAlign w:val="center"/>
          </w:tcPr>
          <w:p w14:paraId="6D311EF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0566B0B6">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637BE5FE">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14:paraId="0692D85B">
            <w:pPr>
              <w:spacing w:line="320" w:lineRule="exact"/>
              <w:jc w:val="left"/>
              <w:rPr>
                <w:color w:val="000000"/>
                <w:kern w:val="0"/>
                <w:sz w:val="18"/>
                <w:szCs w:val="18"/>
              </w:rPr>
            </w:pPr>
            <w:r>
              <w:rPr>
                <w:rFonts w:hint="eastAsia"/>
                <w:color w:val="000000"/>
                <w:kern w:val="0"/>
                <w:sz w:val="18"/>
                <w:szCs w:val="18"/>
              </w:rPr>
              <w:t>（七）侵占、挪用房地产交易资金。</w:t>
            </w:r>
          </w:p>
          <w:p w14:paraId="3EB3C820">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14:paraId="70E98DE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D9A4E5B">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0A4DE7E5">
            <w:pPr>
              <w:spacing w:line="320" w:lineRule="exact"/>
              <w:jc w:val="left"/>
              <w:rPr>
                <w:color w:val="000000"/>
                <w:kern w:val="0"/>
                <w:sz w:val="18"/>
                <w:szCs w:val="18"/>
              </w:rPr>
            </w:pPr>
            <w:r>
              <w:rPr>
                <w:rFonts w:hint="eastAsia"/>
                <w:color w:val="000000"/>
                <w:kern w:val="0"/>
                <w:sz w:val="18"/>
                <w:szCs w:val="18"/>
              </w:rPr>
              <w:t>罚款</w:t>
            </w:r>
          </w:p>
        </w:tc>
      </w:tr>
      <w:tr w14:paraId="002A19F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553C346">
            <w:pPr>
              <w:spacing w:line="320" w:lineRule="exact"/>
              <w:jc w:val="center"/>
              <w:rPr>
                <w:color w:val="000000"/>
                <w:kern w:val="0"/>
                <w:sz w:val="18"/>
                <w:szCs w:val="18"/>
              </w:rPr>
            </w:pPr>
            <w:r>
              <w:rPr>
                <w:rFonts w:hint="eastAsia"/>
                <w:color w:val="000000"/>
                <w:kern w:val="0"/>
                <w:sz w:val="18"/>
                <w:szCs w:val="18"/>
              </w:rPr>
              <w:t>裁量基准</w:t>
            </w:r>
          </w:p>
        </w:tc>
      </w:tr>
      <w:tr w14:paraId="2F81236B">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5EBAFD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93AC10D">
            <w:pPr>
              <w:spacing w:line="320" w:lineRule="exact"/>
              <w:jc w:val="left"/>
              <w:rPr>
                <w:color w:val="000000"/>
                <w:kern w:val="0"/>
                <w:sz w:val="18"/>
                <w:szCs w:val="18"/>
              </w:rPr>
            </w:pPr>
            <w:r>
              <w:rPr>
                <w:rFonts w:hint="eastAsia"/>
                <w:color w:val="000000"/>
                <w:kern w:val="0"/>
                <w:sz w:val="18"/>
                <w:szCs w:val="18"/>
              </w:rPr>
              <w:t>　</w:t>
            </w:r>
          </w:p>
        </w:tc>
        <w:tc>
          <w:tcPr>
            <w:tcW w:w="1000" w:type="dxa"/>
            <w:tcBorders>
              <w:top w:val="nil"/>
              <w:left w:val="nil"/>
              <w:bottom w:val="single" w:color="auto" w:sz="4" w:space="0"/>
              <w:right w:val="single" w:color="auto" w:sz="4" w:space="0"/>
            </w:tcBorders>
            <w:vAlign w:val="center"/>
          </w:tcPr>
          <w:p w14:paraId="33611EEF">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2C59ABBC">
            <w:pPr>
              <w:spacing w:line="320" w:lineRule="exact"/>
              <w:jc w:val="left"/>
              <w:rPr>
                <w:color w:val="000000"/>
                <w:kern w:val="0"/>
                <w:sz w:val="18"/>
                <w:szCs w:val="18"/>
              </w:rPr>
            </w:pPr>
          </w:p>
        </w:tc>
      </w:tr>
    </w:tbl>
    <w:p w14:paraId="15A7DF23"/>
    <w:p w14:paraId="38D34B84"/>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6DB17EBA">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E43CF9C">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1649DAA9">
            <w:pPr>
              <w:jc w:val="left"/>
              <w:textAlignment w:val="center"/>
              <w:rPr>
                <w:rFonts w:eastAsia="仿宋_GB2312"/>
                <w:b/>
                <w:bCs/>
                <w:color w:val="000000"/>
                <w:kern w:val="0"/>
                <w:sz w:val="18"/>
                <w:szCs w:val="18"/>
              </w:rPr>
            </w:pPr>
            <w:r>
              <w:rPr>
                <w:rFonts w:eastAsia="仿宋_GB2312"/>
                <w:b/>
                <w:color w:val="000000"/>
                <w:kern w:val="0"/>
                <w:sz w:val="20"/>
              </w:rPr>
              <w:t>320217240000</w:t>
            </w:r>
            <w:r>
              <w:rPr>
                <w:rFonts w:hint="eastAsia" w:eastAsia="仿宋_GB2312"/>
                <w:b/>
                <w:color w:val="000000"/>
                <w:kern w:val="0"/>
                <w:sz w:val="20"/>
              </w:rPr>
              <w:t xml:space="preserve"> </w:t>
            </w:r>
          </w:p>
        </w:tc>
      </w:tr>
      <w:tr w14:paraId="323EC9E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2BF7459">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1ADF2DB2">
            <w:pPr>
              <w:spacing w:line="320" w:lineRule="exact"/>
              <w:jc w:val="left"/>
              <w:rPr>
                <w:color w:val="000000"/>
                <w:kern w:val="0"/>
                <w:sz w:val="18"/>
                <w:szCs w:val="18"/>
              </w:rPr>
            </w:pPr>
            <w:r>
              <w:rPr>
                <w:rFonts w:hint="eastAsia"/>
                <w:color w:val="000000"/>
                <w:kern w:val="0"/>
                <w:sz w:val="18"/>
                <w:szCs w:val="18"/>
              </w:rPr>
              <w:t>对注册监理工程师同时在两个或者两个以上单位执业的处罚</w:t>
            </w:r>
          </w:p>
        </w:tc>
      </w:tr>
      <w:tr w14:paraId="573D55A9">
        <w:tblPrEx>
          <w:tblCellMar>
            <w:top w:w="0" w:type="dxa"/>
            <w:left w:w="108" w:type="dxa"/>
            <w:bottom w:w="0" w:type="dxa"/>
            <w:right w:w="108" w:type="dxa"/>
          </w:tblCellMar>
        </w:tblPrEx>
        <w:trPr>
          <w:trHeight w:val="1590" w:hRule="atLeast"/>
        </w:trPr>
        <w:tc>
          <w:tcPr>
            <w:tcW w:w="1056" w:type="dxa"/>
            <w:tcBorders>
              <w:top w:val="nil"/>
              <w:left w:val="single" w:color="auto" w:sz="8" w:space="0"/>
              <w:bottom w:val="single" w:color="auto" w:sz="4" w:space="0"/>
              <w:right w:val="single" w:color="auto" w:sz="4" w:space="0"/>
            </w:tcBorders>
            <w:vAlign w:val="center"/>
          </w:tcPr>
          <w:p w14:paraId="74E87458">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5DC9C10E">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注册监理工程师应当履行下列义务：</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（八）不得同时在两个或者两个以上单位受聘或者执业。</w:t>
            </w:r>
            <w:r>
              <w:rPr>
                <w:color w:val="000000"/>
                <w:kern w:val="0"/>
                <w:sz w:val="18"/>
                <w:szCs w:val="18"/>
              </w:rPr>
              <w:br w:type="textWrapping"/>
            </w:r>
            <w:r>
              <w:rPr>
                <w:rFonts w:hint="eastAsia"/>
                <w:color w:val="000000"/>
                <w:kern w:val="0"/>
                <w:sz w:val="18"/>
                <w:szCs w:val="18"/>
              </w:rPr>
              <w:t>第三十一条　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（六）同时受聘于两个或者两个以上的单位，从事执业活动的。</w:t>
            </w:r>
          </w:p>
        </w:tc>
      </w:tr>
      <w:tr w14:paraId="4D48748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97F1465">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24441850">
            <w:pPr>
              <w:spacing w:line="320" w:lineRule="exact"/>
              <w:jc w:val="left"/>
              <w:rPr>
                <w:color w:val="000000"/>
                <w:kern w:val="0"/>
                <w:sz w:val="18"/>
                <w:szCs w:val="18"/>
              </w:rPr>
            </w:pPr>
            <w:r>
              <w:rPr>
                <w:rFonts w:hint="eastAsia"/>
                <w:color w:val="000000"/>
                <w:kern w:val="0"/>
                <w:sz w:val="18"/>
                <w:szCs w:val="18"/>
              </w:rPr>
              <w:t>警告，罚款</w:t>
            </w:r>
          </w:p>
        </w:tc>
      </w:tr>
      <w:tr w14:paraId="11022D69">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25FEA70C">
            <w:pPr>
              <w:spacing w:line="320" w:lineRule="exact"/>
              <w:jc w:val="center"/>
              <w:rPr>
                <w:color w:val="000000"/>
                <w:kern w:val="0"/>
                <w:sz w:val="18"/>
                <w:szCs w:val="18"/>
              </w:rPr>
            </w:pPr>
            <w:r>
              <w:rPr>
                <w:rFonts w:hint="eastAsia"/>
                <w:color w:val="000000"/>
                <w:kern w:val="0"/>
                <w:sz w:val="18"/>
                <w:szCs w:val="18"/>
              </w:rPr>
              <w:t>裁量基准</w:t>
            </w:r>
          </w:p>
        </w:tc>
      </w:tr>
      <w:tr w14:paraId="47CC36C5">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5BFEF92D">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1909FB3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40984920">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6BF00274">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0A2B6BBF">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06F803C7">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5E73D05">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37D436C3">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21F895E1">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5A5DF9A6">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DD1ED47">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71B81E60">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444F401">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2DC6BAC1">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52F4FDB9">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2BCF2388">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795FC0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7F5FBFFB">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120EBF8">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24C2A6C3">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3455E1A">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165011FC">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43C5CBA">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142E33EA"/>
    <w:p w14:paraId="7D1BAD2B"/>
    <w:p w14:paraId="3A92C8C4"/>
    <w:p w14:paraId="13A1E192"/>
    <w:p w14:paraId="45A8BF10"/>
    <w:p w14:paraId="2EE512C5"/>
    <w:p w14:paraId="79B89224"/>
    <w:p w14:paraId="50E5E2AA"/>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252B832F">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5D3304CB">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084CBC1F">
            <w:pPr>
              <w:jc w:val="left"/>
              <w:textAlignment w:val="center"/>
              <w:rPr>
                <w:rFonts w:eastAsia="仿宋_GB2312"/>
                <w:b/>
                <w:bCs/>
                <w:color w:val="000000"/>
                <w:kern w:val="0"/>
                <w:sz w:val="18"/>
                <w:szCs w:val="18"/>
              </w:rPr>
            </w:pPr>
            <w:r>
              <w:rPr>
                <w:rFonts w:eastAsia="仿宋_GB2312"/>
                <w:b/>
                <w:color w:val="000000"/>
                <w:kern w:val="0"/>
                <w:sz w:val="20"/>
              </w:rPr>
              <w:t>320217241000</w:t>
            </w:r>
          </w:p>
        </w:tc>
      </w:tr>
      <w:tr w14:paraId="68D4BC9B">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3EF5D3E">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38333D1C">
            <w:pPr>
              <w:spacing w:line="320" w:lineRule="exact"/>
              <w:jc w:val="left"/>
              <w:rPr>
                <w:color w:val="000000"/>
                <w:kern w:val="0"/>
                <w:sz w:val="18"/>
                <w:szCs w:val="18"/>
              </w:rPr>
            </w:pPr>
            <w:r>
              <w:rPr>
                <w:rFonts w:hint="eastAsia"/>
                <w:color w:val="000000"/>
                <w:kern w:val="0"/>
                <w:sz w:val="18"/>
                <w:szCs w:val="18"/>
              </w:rPr>
              <w:t>对聘用单位为申请人提供虚假注册材料的处罚</w:t>
            </w:r>
          </w:p>
        </w:tc>
      </w:tr>
      <w:tr w14:paraId="094EC7EE">
        <w:tblPrEx>
          <w:tblCellMar>
            <w:top w:w="0" w:type="dxa"/>
            <w:left w:w="108" w:type="dxa"/>
            <w:bottom w:w="0" w:type="dxa"/>
            <w:right w:w="108" w:type="dxa"/>
          </w:tblCellMar>
        </w:tblPrEx>
        <w:trPr>
          <w:trHeight w:val="855" w:hRule="atLeast"/>
        </w:trPr>
        <w:tc>
          <w:tcPr>
            <w:tcW w:w="1056" w:type="dxa"/>
            <w:tcBorders>
              <w:top w:val="nil"/>
              <w:left w:val="single" w:color="auto" w:sz="8" w:space="0"/>
              <w:bottom w:val="single" w:color="auto" w:sz="4" w:space="0"/>
              <w:right w:val="single" w:color="auto" w:sz="4" w:space="0"/>
            </w:tcBorders>
            <w:vAlign w:val="center"/>
          </w:tcPr>
          <w:p w14:paraId="29067C50">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379FFC04">
            <w:pPr>
              <w:spacing w:line="320" w:lineRule="exact"/>
              <w:jc w:val="left"/>
              <w:rPr>
                <w:color w:val="000000"/>
                <w:kern w:val="0"/>
                <w:sz w:val="18"/>
                <w:szCs w:val="18"/>
              </w:rPr>
            </w:pPr>
            <w:r>
              <w:rPr>
                <w:rFonts w:hint="eastAsia"/>
                <w:color w:val="000000"/>
                <w:kern w:val="0"/>
                <w:sz w:val="18"/>
                <w:szCs w:val="18"/>
              </w:rPr>
              <w:t>【规章】《注册造价工程师管理办法》（建设部令第150号发布，根据住房和城乡建设部令第32号，住房和城乡建设部令第50号修正）</w:t>
            </w:r>
          </w:p>
          <w:p w14:paraId="111C2A5E">
            <w:pPr>
              <w:spacing w:line="320" w:lineRule="exact"/>
              <w:jc w:val="left"/>
              <w:rPr>
                <w:color w:val="000000"/>
                <w:kern w:val="0"/>
                <w:sz w:val="18"/>
                <w:szCs w:val="18"/>
              </w:rPr>
            </w:pPr>
            <w:r>
              <w:rPr>
                <w:rFonts w:hint="eastAsia"/>
                <w:color w:val="000000"/>
                <w:kern w:val="0"/>
                <w:sz w:val="18"/>
                <w:szCs w:val="18"/>
              </w:rPr>
              <w:t xml:space="preserve">    第三十二条　聘用单位为申请人提供虚假注册材料的，由县级以上地方人民政府住房城乡建设主管部门或者其他有关部门给予警告，并可处以1万元以上3万元以下的罚款。</w:t>
            </w:r>
          </w:p>
        </w:tc>
      </w:tr>
      <w:tr w14:paraId="7A7E70C3">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F9C8716">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4D688B24">
            <w:pPr>
              <w:spacing w:line="320" w:lineRule="exact"/>
              <w:jc w:val="left"/>
              <w:rPr>
                <w:color w:val="000000"/>
                <w:kern w:val="0"/>
                <w:sz w:val="18"/>
                <w:szCs w:val="18"/>
              </w:rPr>
            </w:pPr>
            <w:r>
              <w:rPr>
                <w:rFonts w:hint="eastAsia"/>
                <w:color w:val="000000"/>
                <w:kern w:val="0"/>
                <w:sz w:val="18"/>
                <w:szCs w:val="18"/>
              </w:rPr>
              <w:t>警告、罚款</w:t>
            </w:r>
          </w:p>
        </w:tc>
      </w:tr>
      <w:tr w14:paraId="0302523B">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534CD541">
            <w:pPr>
              <w:spacing w:line="320" w:lineRule="exact"/>
              <w:jc w:val="center"/>
              <w:rPr>
                <w:color w:val="000000"/>
                <w:kern w:val="0"/>
                <w:sz w:val="18"/>
                <w:szCs w:val="18"/>
              </w:rPr>
            </w:pPr>
            <w:r>
              <w:rPr>
                <w:rFonts w:hint="eastAsia"/>
                <w:color w:val="000000"/>
                <w:kern w:val="0"/>
                <w:sz w:val="18"/>
                <w:szCs w:val="18"/>
              </w:rPr>
              <w:t>裁量基准</w:t>
            </w:r>
          </w:p>
        </w:tc>
      </w:tr>
      <w:tr w14:paraId="642DA38A">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2B58F79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48D439D">
            <w:pPr>
              <w:spacing w:line="320" w:lineRule="exact"/>
              <w:jc w:val="left"/>
              <w:rPr>
                <w:color w:val="000000"/>
                <w:kern w:val="0"/>
                <w:sz w:val="18"/>
                <w:szCs w:val="18"/>
              </w:rPr>
            </w:pPr>
            <w:r>
              <w:rPr>
                <w:rFonts w:hint="eastAsia"/>
                <w:color w:val="000000"/>
                <w:kern w:val="0"/>
                <w:sz w:val="18"/>
                <w:szCs w:val="18"/>
              </w:rPr>
              <w:t>提供虚假注册材料，但积极配合调查的</w:t>
            </w:r>
          </w:p>
        </w:tc>
        <w:tc>
          <w:tcPr>
            <w:tcW w:w="1044" w:type="dxa"/>
            <w:vMerge w:val="restart"/>
            <w:tcBorders>
              <w:top w:val="nil"/>
              <w:left w:val="single" w:color="auto" w:sz="4" w:space="0"/>
              <w:bottom w:val="single" w:color="auto" w:sz="4" w:space="0"/>
              <w:right w:val="single" w:color="auto" w:sz="4" w:space="0"/>
            </w:tcBorders>
            <w:vAlign w:val="center"/>
          </w:tcPr>
          <w:p w14:paraId="3372DC60">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2C654CC0">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3A765943">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E68FAF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850AA7F">
            <w:pPr>
              <w:spacing w:line="320" w:lineRule="exact"/>
              <w:jc w:val="left"/>
              <w:rPr>
                <w:color w:val="000000"/>
                <w:kern w:val="0"/>
                <w:sz w:val="18"/>
                <w:szCs w:val="18"/>
              </w:rPr>
            </w:pPr>
            <w:r>
              <w:rPr>
                <w:rFonts w:hint="eastAsia"/>
                <w:color w:val="000000"/>
                <w:kern w:val="0"/>
                <w:sz w:val="18"/>
                <w:szCs w:val="18"/>
              </w:rPr>
              <w:t>提供虚假证明材料且不积极配合调查的</w:t>
            </w:r>
          </w:p>
        </w:tc>
        <w:tc>
          <w:tcPr>
            <w:tcW w:w="1044" w:type="dxa"/>
            <w:vMerge w:val="continue"/>
            <w:tcBorders>
              <w:top w:val="nil"/>
              <w:left w:val="single" w:color="auto" w:sz="4" w:space="0"/>
              <w:bottom w:val="single" w:color="auto" w:sz="4" w:space="0"/>
              <w:right w:val="single" w:color="auto" w:sz="4" w:space="0"/>
            </w:tcBorders>
            <w:vAlign w:val="center"/>
          </w:tcPr>
          <w:p w14:paraId="7D014A42">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057B781">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34A63AFB"/>
    <w:p w14:paraId="2EFDFDE6"/>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29358A24">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95ADF1F">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7E0B79C5">
            <w:pPr>
              <w:spacing w:line="320" w:lineRule="exact"/>
              <w:jc w:val="left"/>
              <w:rPr>
                <w:rFonts w:eastAsia="仿宋_GB2312"/>
                <w:b/>
                <w:bCs/>
                <w:color w:val="000000"/>
                <w:kern w:val="0"/>
                <w:sz w:val="18"/>
                <w:szCs w:val="18"/>
              </w:rPr>
            </w:pPr>
            <w:r>
              <w:rPr>
                <w:rFonts w:eastAsia="仿宋_GB2312"/>
                <w:b/>
                <w:bCs/>
                <w:color w:val="000000"/>
                <w:kern w:val="0"/>
                <w:sz w:val="18"/>
                <w:szCs w:val="18"/>
              </w:rPr>
              <w:t>320217242000</w:t>
            </w:r>
          </w:p>
        </w:tc>
      </w:tr>
      <w:tr w14:paraId="366D5AF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96994AA">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71386242">
            <w:pPr>
              <w:spacing w:line="320" w:lineRule="exact"/>
              <w:jc w:val="left"/>
              <w:rPr>
                <w:color w:val="000000"/>
                <w:kern w:val="0"/>
                <w:sz w:val="18"/>
                <w:szCs w:val="18"/>
              </w:rPr>
            </w:pPr>
            <w:r>
              <w:rPr>
                <w:rFonts w:hint="eastAsia"/>
                <w:color w:val="000000"/>
                <w:kern w:val="0"/>
                <w:sz w:val="18"/>
                <w:szCs w:val="18"/>
              </w:rPr>
              <w:t>对工程造价咨询企业以给予回扣、恶意压低收费等方式进行不正当竞争的处罚</w:t>
            </w:r>
          </w:p>
        </w:tc>
      </w:tr>
      <w:tr w14:paraId="728FC7BC">
        <w:tblPrEx>
          <w:tblCellMar>
            <w:top w:w="0" w:type="dxa"/>
            <w:left w:w="108" w:type="dxa"/>
            <w:bottom w:w="0" w:type="dxa"/>
            <w:right w:w="108" w:type="dxa"/>
          </w:tblCellMar>
        </w:tblPrEx>
        <w:trPr>
          <w:trHeight w:val="1335" w:hRule="atLeast"/>
        </w:trPr>
        <w:tc>
          <w:tcPr>
            <w:tcW w:w="1010" w:type="dxa"/>
            <w:tcBorders>
              <w:top w:val="nil"/>
              <w:left w:val="single" w:color="auto" w:sz="8" w:space="0"/>
              <w:bottom w:val="single" w:color="auto" w:sz="4" w:space="0"/>
              <w:right w:val="single" w:color="auto" w:sz="4" w:space="0"/>
            </w:tcBorders>
            <w:vAlign w:val="center"/>
          </w:tcPr>
          <w:p w14:paraId="7B1EC0F8">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7A1EB8D5">
            <w:pPr>
              <w:spacing w:line="320" w:lineRule="exact"/>
              <w:jc w:val="left"/>
              <w:rPr>
                <w:color w:val="000000"/>
                <w:kern w:val="0"/>
                <w:sz w:val="18"/>
                <w:szCs w:val="18"/>
              </w:rPr>
            </w:pPr>
            <w:r>
              <w:rPr>
                <w:rFonts w:hint="eastAsia"/>
                <w:color w:val="000000"/>
                <w:kern w:val="0"/>
                <w:sz w:val="18"/>
                <w:szCs w:val="18"/>
              </w:rPr>
              <w:t>【规章】《工程造价咨询企业管理办法》（建设部令第149号发布，根据住房和城乡建设部令第24号，住房和城乡建设部令第32号，住房和城乡建设部令第50号修正） 第二十五条　工程造价咨询企业不得有下列行为：</w:t>
            </w:r>
          </w:p>
          <w:p w14:paraId="6244CBB8">
            <w:pPr>
              <w:spacing w:line="320" w:lineRule="exact"/>
              <w:jc w:val="left"/>
              <w:rPr>
                <w:color w:val="000000"/>
                <w:kern w:val="0"/>
                <w:sz w:val="18"/>
                <w:szCs w:val="18"/>
              </w:rPr>
            </w:pPr>
            <w:r>
              <w:rPr>
                <w:rFonts w:hint="eastAsia"/>
                <w:color w:val="000000"/>
                <w:kern w:val="0"/>
                <w:sz w:val="18"/>
                <w:szCs w:val="18"/>
              </w:rPr>
              <w:t>　　（四）以给予回扣、恶意压低收费等方式进行不正当竞争；</w:t>
            </w:r>
          </w:p>
          <w:p w14:paraId="059A9D4C">
            <w:pPr>
              <w:spacing w:line="320" w:lineRule="exact"/>
              <w:jc w:val="left"/>
              <w:rPr>
                <w:color w:val="000000"/>
                <w:kern w:val="0"/>
                <w:sz w:val="18"/>
                <w:szCs w:val="18"/>
              </w:rPr>
            </w:pPr>
            <w:r>
              <w:rPr>
                <w:rFonts w:hint="eastAsia"/>
                <w:color w:val="000000"/>
                <w:kern w:val="0"/>
                <w:sz w:val="18"/>
                <w:szCs w:val="18"/>
              </w:rPr>
              <w:t>第三十九条　工程造价咨询企业有本办法第二十五条行为之一的，由县级以上地方人民政府住房城乡建设主管部门或者有关专业部门给予警告，责令限期改正，并处以1万元以上3万元以下的罚款。</w:t>
            </w:r>
          </w:p>
        </w:tc>
      </w:tr>
      <w:tr w14:paraId="79BE02A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3586C09">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16FCA5E0">
            <w:pPr>
              <w:spacing w:line="320" w:lineRule="exact"/>
              <w:jc w:val="left"/>
              <w:rPr>
                <w:color w:val="000000"/>
                <w:kern w:val="0"/>
                <w:sz w:val="18"/>
                <w:szCs w:val="18"/>
              </w:rPr>
            </w:pPr>
            <w:r>
              <w:rPr>
                <w:rFonts w:hint="eastAsia"/>
                <w:color w:val="000000"/>
                <w:kern w:val="0"/>
                <w:sz w:val="18"/>
                <w:szCs w:val="18"/>
              </w:rPr>
              <w:t>警告，罚款</w:t>
            </w:r>
          </w:p>
        </w:tc>
      </w:tr>
      <w:tr w14:paraId="09652426">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6D13F51F">
            <w:pPr>
              <w:spacing w:line="320" w:lineRule="exact"/>
              <w:jc w:val="center"/>
              <w:rPr>
                <w:color w:val="000000"/>
                <w:kern w:val="0"/>
                <w:sz w:val="18"/>
                <w:szCs w:val="18"/>
              </w:rPr>
            </w:pPr>
            <w:r>
              <w:rPr>
                <w:rFonts w:hint="eastAsia"/>
                <w:color w:val="000000"/>
                <w:kern w:val="0"/>
                <w:sz w:val="18"/>
                <w:szCs w:val="18"/>
              </w:rPr>
              <w:t>裁量基准</w:t>
            </w:r>
          </w:p>
        </w:tc>
      </w:tr>
      <w:tr w14:paraId="214DE214">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000000" w:sz="4" w:space="0"/>
              <w:right w:val="single" w:color="auto" w:sz="4" w:space="0"/>
            </w:tcBorders>
            <w:vAlign w:val="center"/>
          </w:tcPr>
          <w:p w14:paraId="6166D24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7D82EB7A">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color="auto" w:sz="4" w:space="0"/>
              <w:bottom w:val="single" w:color="000000" w:sz="4" w:space="0"/>
              <w:right w:val="single" w:color="auto" w:sz="4" w:space="0"/>
            </w:tcBorders>
            <w:vAlign w:val="center"/>
          </w:tcPr>
          <w:p w14:paraId="46A9B50D">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4E0B0C0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3F0B1A1A">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000000" w:sz="4" w:space="0"/>
              <w:right w:val="single" w:color="auto" w:sz="4" w:space="0"/>
            </w:tcBorders>
            <w:vAlign w:val="center"/>
          </w:tcPr>
          <w:p w14:paraId="4ED96608">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087B5116">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val="continue"/>
            <w:tcBorders>
              <w:top w:val="nil"/>
              <w:left w:val="single" w:color="auto" w:sz="4" w:space="0"/>
              <w:bottom w:val="single" w:color="000000" w:sz="4" w:space="0"/>
              <w:right w:val="single" w:color="auto" w:sz="4" w:space="0"/>
            </w:tcBorders>
            <w:vAlign w:val="center"/>
          </w:tcPr>
          <w:p w14:paraId="7E7E169A">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vAlign w:val="center"/>
          </w:tcPr>
          <w:p w14:paraId="47AFD6A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19B5658C"/>
    <w:p w14:paraId="655CBFF6"/>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55243902">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CF3CA19">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53A64071">
            <w:pPr>
              <w:jc w:val="left"/>
              <w:textAlignment w:val="center"/>
              <w:rPr>
                <w:rFonts w:eastAsia="仿宋_GB2312"/>
                <w:b/>
                <w:bCs/>
                <w:color w:val="000000"/>
                <w:kern w:val="0"/>
                <w:sz w:val="18"/>
                <w:szCs w:val="18"/>
              </w:rPr>
            </w:pPr>
            <w:r>
              <w:rPr>
                <w:rFonts w:eastAsia="仿宋_GB2312"/>
                <w:b/>
                <w:color w:val="000000"/>
                <w:kern w:val="0"/>
                <w:sz w:val="20"/>
              </w:rPr>
              <w:t>320217245000</w:t>
            </w:r>
          </w:p>
        </w:tc>
      </w:tr>
      <w:tr w14:paraId="5B44A4F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D1C24A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297ABF06">
            <w:pPr>
              <w:spacing w:line="320" w:lineRule="exact"/>
              <w:jc w:val="left"/>
              <w:rPr>
                <w:color w:val="000000"/>
                <w:kern w:val="0"/>
                <w:sz w:val="18"/>
                <w:szCs w:val="18"/>
              </w:rPr>
            </w:pPr>
            <w:r>
              <w:rPr>
                <w:rFonts w:hint="eastAsia"/>
                <w:color w:val="000000"/>
                <w:kern w:val="0"/>
                <w:sz w:val="18"/>
                <w:szCs w:val="18"/>
              </w:rPr>
              <w:t>对涂改、倒卖、出租、出借或者以其他形式非法转让注册监理工程师注册证书或者执业印章的处罚</w:t>
            </w:r>
          </w:p>
        </w:tc>
      </w:tr>
      <w:tr w14:paraId="66A73AB3">
        <w:tblPrEx>
          <w:tblCellMar>
            <w:top w:w="0" w:type="dxa"/>
            <w:left w:w="108" w:type="dxa"/>
            <w:bottom w:w="0" w:type="dxa"/>
            <w:right w:w="108" w:type="dxa"/>
          </w:tblCellMar>
        </w:tblPrEx>
        <w:trPr>
          <w:trHeight w:val="1605" w:hRule="atLeast"/>
        </w:trPr>
        <w:tc>
          <w:tcPr>
            <w:tcW w:w="1056" w:type="dxa"/>
            <w:tcBorders>
              <w:top w:val="nil"/>
              <w:left w:val="single" w:color="auto" w:sz="8" w:space="0"/>
              <w:bottom w:val="single" w:color="auto" w:sz="4" w:space="0"/>
              <w:right w:val="single" w:color="auto" w:sz="4" w:space="0"/>
            </w:tcBorders>
            <w:vAlign w:val="center"/>
          </w:tcPr>
          <w:p w14:paraId="40B5AE0F">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6306884E">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注册监理工程师应当履行下列义务：</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（七）不得涂改、倒卖、出租、出借或者以其他形式非法转让注册证书或者执业印章。</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（二）涂改、倒卖、出租、出借或者以其他形式非法转让注册证书或者执业印章的。</w:t>
            </w:r>
          </w:p>
        </w:tc>
      </w:tr>
      <w:tr w14:paraId="717DA98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82AB41B">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470D89BF">
            <w:pPr>
              <w:spacing w:line="320" w:lineRule="exact"/>
              <w:jc w:val="left"/>
              <w:rPr>
                <w:color w:val="000000"/>
                <w:kern w:val="0"/>
                <w:sz w:val="18"/>
                <w:szCs w:val="18"/>
              </w:rPr>
            </w:pPr>
            <w:r>
              <w:rPr>
                <w:rFonts w:hint="eastAsia"/>
                <w:color w:val="000000"/>
                <w:kern w:val="0"/>
                <w:sz w:val="18"/>
                <w:szCs w:val="18"/>
              </w:rPr>
              <w:t>警告，罚款</w:t>
            </w:r>
          </w:p>
        </w:tc>
      </w:tr>
      <w:tr w14:paraId="3FAEBD10">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17F0472D">
            <w:pPr>
              <w:spacing w:line="320" w:lineRule="exact"/>
              <w:jc w:val="center"/>
              <w:rPr>
                <w:color w:val="000000"/>
                <w:kern w:val="0"/>
                <w:sz w:val="18"/>
                <w:szCs w:val="18"/>
              </w:rPr>
            </w:pPr>
            <w:r>
              <w:rPr>
                <w:rFonts w:hint="eastAsia"/>
                <w:color w:val="000000"/>
                <w:kern w:val="0"/>
                <w:sz w:val="18"/>
                <w:szCs w:val="18"/>
              </w:rPr>
              <w:t>裁量基准</w:t>
            </w:r>
          </w:p>
        </w:tc>
      </w:tr>
      <w:tr w14:paraId="07932BBF">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568E9A59">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262D1719">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481D4CF2">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28749BF7">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FE77C1A">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2A868449">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B0013CF">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5437038D">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282212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71716F87">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D79DA93">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4FC0268C">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7DD0D7E">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731001E8">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18C869D4">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1DEC2415">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3A817D7">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05C847DC">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30F8ABD">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6A4B106A">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30935136">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6D991E75">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F164A76">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465D5992"/>
    <w:p w14:paraId="7C83ECF5"/>
    <w:p w14:paraId="2E7BEA10"/>
    <w:p w14:paraId="571A59C3"/>
    <w:p w14:paraId="0300F7F5"/>
    <w:p w14:paraId="45E97383"/>
    <w:p w14:paraId="47AEA189"/>
    <w:tbl>
      <w:tblPr>
        <w:tblStyle w:val="15"/>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6140"/>
        <w:gridCol w:w="1044"/>
        <w:gridCol w:w="5820"/>
      </w:tblGrid>
      <w:tr w14:paraId="293BE1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tcBorders>
              <w:top w:val="single" w:color="auto" w:sz="8" w:space="0"/>
            </w:tcBorders>
            <w:vAlign w:val="center"/>
          </w:tcPr>
          <w:p w14:paraId="7B5AB14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tcBorders>
            <w:vAlign w:val="center"/>
          </w:tcPr>
          <w:p w14:paraId="19C051EF">
            <w:pPr>
              <w:jc w:val="left"/>
              <w:textAlignment w:val="center"/>
              <w:rPr>
                <w:rFonts w:eastAsia="仿宋_GB2312"/>
                <w:b/>
                <w:bCs/>
                <w:color w:val="000000"/>
                <w:kern w:val="0"/>
                <w:sz w:val="18"/>
                <w:szCs w:val="18"/>
              </w:rPr>
            </w:pPr>
            <w:r>
              <w:rPr>
                <w:rFonts w:eastAsia="仿宋_GB2312"/>
                <w:b/>
                <w:color w:val="000000"/>
                <w:kern w:val="0"/>
                <w:sz w:val="20"/>
              </w:rPr>
              <w:t>320217246000</w:t>
            </w:r>
          </w:p>
        </w:tc>
      </w:tr>
      <w:tr w14:paraId="1A3B04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541E1D22">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vAlign w:val="center"/>
          </w:tcPr>
          <w:p w14:paraId="5FD9DA54">
            <w:pPr>
              <w:spacing w:line="320" w:lineRule="exact"/>
              <w:jc w:val="left"/>
              <w:rPr>
                <w:color w:val="000000"/>
                <w:kern w:val="0"/>
                <w:sz w:val="18"/>
                <w:szCs w:val="18"/>
              </w:rPr>
            </w:pPr>
            <w:r>
              <w:rPr>
                <w:rFonts w:hint="eastAsia"/>
                <w:color w:val="000000"/>
                <w:kern w:val="0"/>
                <w:sz w:val="18"/>
                <w:szCs w:val="18"/>
              </w:rPr>
              <w:t>对建筑业企业在接受监督检查时，不如实提供有关材料，或者拒绝、阻碍监督检查的处罚</w:t>
            </w:r>
          </w:p>
        </w:tc>
      </w:tr>
      <w:tr w14:paraId="2739ED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056" w:type="dxa"/>
            <w:vAlign w:val="center"/>
          </w:tcPr>
          <w:p w14:paraId="65BFB453">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vAlign w:val="center"/>
          </w:tcPr>
          <w:p w14:paraId="42565574">
            <w:pPr>
              <w:spacing w:line="320" w:lineRule="exact"/>
              <w:ind w:firstLine="180" w:firstLineChars="10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14:paraId="48A37254">
            <w:pPr>
              <w:spacing w:line="320" w:lineRule="exact"/>
              <w:jc w:val="left"/>
              <w:rPr>
                <w:color w:val="000000"/>
                <w:kern w:val="0"/>
                <w:sz w:val="18"/>
                <w:szCs w:val="18"/>
              </w:rPr>
            </w:pPr>
            <w:r>
              <w:rPr>
                <w:rFonts w:hint="eastAsia"/>
                <w:color w:val="000000"/>
                <w:kern w:val="0"/>
                <w:sz w:val="18"/>
                <w:szCs w:val="18"/>
              </w:rPr>
              <w:t>　　第三十九条　企业在接受监督检查时，不如实提供有关材料，或者拒绝、阻碍监督检查的，由县级以上地方人民政府住房城乡建设主管部门责令限期改正，并可以处</w:t>
            </w:r>
            <w:r>
              <w:rPr>
                <w:color w:val="000000"/>
                <w:kern w:val="0"/>
                <w:sz w:val="18"/>
                <w:szCs w:val="18"/>
              </w:rPr>
              <w:t>3</w:t>
            </w:r>
            <w:r>
              <w:rPr>
                <w:rFonts w:hint="eastAsia"/>
                <w:color w:val="000000"/>
                <w:kern w:val="0"/>
                <w:sz w:val="18"/>
                <w:szCs w:val="18"/>
              </w:rPr>
              <w:t>万元以下罚款。</w:t>
            </w:r>
          </w:p>
        </w:tc>
      </w:tr>
      <w:tr w14:paraId="24C62A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092A29EE">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vAlign w:val="center"/>
          </w:tcPr>
          <w:p w14:paraId="52C6A4EF">
            <w:pPr>
              <w:spacing w:line="320" w:lineRule="exact"/>
              <w:jc w:val="left"/>
              <w:rPr>
                <w:color w:val="000000"/>
                <w:kern w:val="0"/>
                <w:sz w:val="18"/>
                <w:szCs w:val="18"/>
              </w:rPr>
            </w:pPr>
            <w:r>
              <w:rPr>
                <w:rFonts w:hint="eastAsia"/>
                <w:color w:val="000000"/>
                <w:kern w:val="0"/>
                <w:sz w:val="18"/>
                <w:szCs w:val="18"/>
              </w:rPr>
              <w:t>罚款，限期改正，</w:t>
            </w:r>
          </w:p>
        </w:tc>
      </w:tr>
      <w:tr w14:paraId="66507C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60" w:type="dxa"/>
            <w:gridSpan w:val="4"/>
            <w:vAlign w:val="center"/>
          </w:tcPr>
          <w:p w14:paraId="6429FEA0">
            <w:pPr>
              <w:spacing w:line="320" w:lineRule="exact"/>
              <w:jc w:val="center"/>
              <w:rPr>
                <w:color w:val="000000"/>
                <w:kern w:val="0"/>
                <w:sz w:val="18"/>
                <w:szCs w:val="18"/>
              </w:rPr>
            </w:pPr>
            <w:r>
              <w:rPr>
                <w:rFonts w:hint="eastAsia"/>
                <w:color w:val="000000"/>
                <w:kern w:val="0"/>
                <w:sz w:val="18"/>
                <w:szCs w:val="18"/>
              </w:rPr>
              <w:t>裁量基准</w:t>
            </w:r>
          </w:p>
        </w:tc>
      </w:tr>
      <w:tr w14:paraId="617349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restart"/>
            <w:vAlign w:val="center"/>
          </w:tcPr>
          <w:p w14:paraId="0F8C5DA2">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392CFAF3">
            <w:pPr>
              <w:spacing w:line="320" w:lineRule="exact"/>
              <w:jc w:val="left"/>
              <w:rPr>
                <w:color w:val="000000"/>
                <w:kern w:val="0"/>
                <w:sz w:val="18"/>
                <w:szCs w:val="18"/>
              </w:rPr>
            </w:pPr>
            <w:r>
              <w:rPr>
                <w:rFonts w:hint="eastAsia"/>
                <w:color w:val="000000"/>
                <w:kern w:val="0"/>
                <w:sz w:val="18"/>
                <w:szCs w:val="18"/>
              </w:rPr>
              <w:t>不如实提供有关材料的</w:t>
            </w:r>
            <w:r>
              <w:rPr>
                <w:color w:val="000000"/>
                <w:kern w:val="0"/>
                <w:sz w:val="18"/>
                <w:szCs w:val="18"/>
              </w:rPr>
              <w:t xml:space="preserve">  </w:t>
            </w:r>
          </w:p>
        </w:tc>
        <w:tc>
          <w:tcPr>
            <w:tcW w:w="1044" w:type="dxa"/>
            <w:vMerge w:val="restart"/>
            <w:vAlign w:val="center"/>
          </w:tcPr>
          <w:p w14:paraId="67BA3887">
            <w:pPr>
              <w:spacing w:line="320" w:lineRule="exact"/>
              <w:jc w:val="left"/>
              <w:rPr>
                <w:color w:val="000000"/>
                <w:kern w:val="0"/>
                <w:sz w:val="18"/>
                <w:szCs w:val="18"/>
              </w:rPr>
            </w:pPr>
            <w:r>
              <w:rPr>
                <w:rFonts w:hint="eastAsia"/>
                <w:color w:val="000000"/>
                <w:kern w:val="0"/>
                <w:sz w:val="18"/>
                <w:szCs w:val="18"/>
              </w:rPr>
              <w:t>裁量幅度</w:t>
            </w:r>
          </w:p>
        </w:tc>
        <w:tc>
          <w:tcPr>
            <w:tcW w:w="5820" w:type="dxa"/>
            <w:vAlign w:val="center"/>
          </w:tcPr>
          <w:p w14:paraId="700DB14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万元以下罚款</w:t>
            </w:r>
            <w:r>
              <w:rPr>
                <w:color w:val="000000"/>
                <w:kern w:val="0"/>
                <w:sz w:val="18"/>
                <w:szCs w:val="18"/>
              </w:rPr>
              <w:t xml:space="preserve">  </w:t>
            </w:r>
          </w:p>
        </w:tc>
      </w:tr>
      <w:tr w14:paraId="69248F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Merge w:val="continue"/>
            <w:tcBorders>
              <w:bottom w:val="single" w:color="auto" w:sz="8" w:space="0"/>
            </w:tcBorders>
            <w:vAlign w:val="center"/>
          </w:tcPr>
          <w:p w14:paraId="4907563C">
            <w:pPr>
              <w:spacing w:line="320" w:lineRule="exact"/>
              <w:jc w:val="center"/>
              <w:rPr>
                <w:color w:val="000000"/>
                <w:kern w:val="0"/>
                <w:sz w:val="18"/>
                <w:szCs w:val="18"/>
              </w:rPr>
            </w:pPr>
          </w:p>
        </w:tc>
        <w:tc>
          <w:tcPr>
            <w:tcW w:w="6140" w:type="dxa"/>
            <w:tcBorders>
              <w:bottom w:val="single" w:color="auto" w:sz="8" w:space="0"/>
            </w:tcBorders>
            <w:vAlign w:val="center"/>
          </w:tcPr>
          <w:p w14:paraId="419AF7FD">
            <w:pPr>
              <w:spacing w:line="320" w:lineRule="exact"/>
              <w:jc w:val="left"/>
              <w:rPr>
                <w:color w:val="000000"/>
                <w:kern w:val="0"/>
                <w:sz w:val="18"/>
                <w:szCs w:val="18"/>
              </w:rPr>
            </w:pPr>
            <w:r>
              <w:rPr>
                <w:rFonts w:hint="eastAsia"/>
                <w:color w:val="000000"/>
                <w:kern w:val="0"/>
                <w:sz w:val="18"/>
                <w:szCs w:val="18"/>
              </w:rPr>
              <w:t>拒绝、阻碍监督检查的</w:t>
            </w:r>
          </w:p>
        </w:tc>
        <w:tc>
          <w:tcPr>
            <w:tcW w:w="1044" w:type="dxa"/>
            <w:vMerge w:val="continue"/>
            <w:tcBorders>
              <w:bottom w:val="single" w:color="auto" w:sz="8" w:space="0"/>
            </w:tcBorders>
            <w:vAlign w:val="center"/>
          </w:tcPr>
          <w:p w14:paraId="0C9E9978">
            <w:pPr>
              <w:spacing w:line="320" w:lineRule="exact"/>
              <w:jc w:val="left"/>
              <w:rPr>
                <w:color w:val="000000"/>
                <w:kern w:val="0"/>
                <w:sz w:val="18"/>
                <w:szCs w:val="18"/>
              </w:rPr>
            </w:pPr>
          </w:p>
        </w:tc>
        <w:tc>
          <w:tcPr>
            <w:tcW w:w="5820" w:type="dxa"/>
            <w:tcBorders>
              <w:bottom w:val="single" w:color="auto" w:sz="8" w:space="0"/>
            </w:tcBorders>
            <w:vAlign w:val="center"/>
          </w:tcPr>
          <w:p w14:paraId="024057F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03368F71"/>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464F28EA">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E2840BA">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1854A83D">
            <w:pPr>
              <w:jc w:val="left"/>
              <w:textAlignment w:val="center"/>
              <w:rPr>
                <w:rFonts w:eastAsia="仿宋_GB2312"/>
                <w:b/>
                <w:bCs/>
                <w:color w:val="000000"/>
                <w:kern w:val="0"/>
                <w:sz w:val="18"/>
                <w:szCs w:val="18"/>
              </w:rPr>
            </w:pPr>
            <w:r>
              <w:rPr>
                <w:rFonts w:eastAsia="仿宋_GB2312"/>
                <w:b/>
                <w:color w:val="000000"/>
                <w:kern w:val="0"/>
                <w:sz w:val="20"/>
              </w:rPr>
              <w:t>320217247000</w:t>
            </w:r>
            <w:r>
              <w:rPr>
                <w:rFonts w:hint="eastAsia" w:eastAsia="仿宋_GB2312"/>
                <w:b/>
                <w:color w:val="000000"/>
                <w:kern w:val="0"/>
                <w:sz w:val="20"/>
              </w:rPr>
              <w:t xml:space="preserve"> </w:t>
            </w:r>
          </w:p>
        </w:tc>
      </w:tr>
      <w:tr w14:paraId="0572B767">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2D959B80">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168D9C4A">
            <w:pPr>
              <w:spacing w:line="320" w:lineRule="exact"/>
              <w:jc w:val="left"/>
              <w:rPr>
                <w:color w:val="000000"/>
                <w:kern w:val="0"/>
                <w:sz w:val="18"/>
                <w:szCs w:val="18"/>
              </w:rPr>
            </w:pPr>
            <w:r>
              <w:rPr>
                <w:rFonts w:hint="eastAsia"/>
                <w:color w:val="000000"/>
                <w:kern w:val="0"/>
                <w:sz w:val="18"/>
                <w:szCs w:val="18"/>
              </w:rPr>
              <w:t>对建筑业企业未按照规定要求提供信用档案信息的处罚</w:t>
            </w:r>
          </w:p>
        </w:tc>
      </w:tr>
      <w:tr w14:paraId="75B639D3">
        <w:tblPrEx>
          <w:tblCellMar>
            <w:top w:w="0" w:type="dxa"/>
            <w:left w:w="108" w:type="dxa"/>
            <w:bottom w:w="0" w:type="dxa"/>
            <w:right w:w="108" w:type="dxa"/>
          </w:tblCellMar>
        </w:tblPrEx>
        <w:trPr>
          <w:trHeight w:val="1140" w:hRule="atLeast"/>
        </w:trPr>
        <w:tc>
          <w:tcPr>
            <w:tcW w:w="1056" w:type="dxa"/>
            <w:tcBorders>
              <w:top w:val="single" w:color="auto" w:sz="4" w:space="0"/>
              <w:left w:val="single" w:color="auto" w:sz="8" w:space="0"/>
              <w:bottom w:val="single" w:color="auto" w:sz="4" w:space="0"/>
              <w:right w:val="single" w:color="auto" w:sz="4" w:space="0"/>
            </w:tcBorders>
            <w:vAlign w:val="center"/>
          </w:tcPr>
          <w:p w14:paraId="36CFF2E1">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7F469559">
            <w:pPr>
              <w:spacing w:line="320" w:lineRule="exact"/>
              <w:ind w:firstLine="180" w:firstLineChars="100"/>
              <w:jc w:val="left"/>
              <w:rPr>
                <w:color w:val="000000"/>
                <w:kern w:val="0"/>
                <w:sz w:val="18"/>
                <w:szCs w:val="18"/>
              </w:rPr>
            </w:pPr>
            <w:r>
              <w:rPr>
                <w:rFonts w:hint="eastAsia"/>
                <w:color w:val="000000"/>
                <w:kern w:val="0"/>
                <w:sz w:val="18"/>
                <w:szCs w:val="18"/>
              </w:rPr>
              <w:t>【规章】《建筑业企业资质管理规定》</w:t>
            </w:r>
            <w:r>
              <w:rPr>
                <w:color w:val="000000"/>
                <w:kern w:val="0"/>
                <w:sz w:val="18"/>
                <w:szCs w:val="18"/>
              </w:rPr>
              <w:t>（</w:t>
            </w:r>
            <w:r>
              <w:rPr>
                <w:rFonts w:hint="eastAsia"/>
                <w:color w:val="000000"/>
                <w:kern w:val="0"/>
                <w:sz w:val="18"/>
                <w:szCs w:val="18"/>
              </w:rPr>
              <w:t>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w:t>
            </w:r>
          </w:p>
          <w:p w14:paraId="54A677A9">
            <w:pPr>
              <w:spacing w:line="320" w:lineRule="exact"/>
              <w:jc w:val="left"/>
              <w:rPr>
                <w:color w:val="000000"/>
                <w:kern w:val="0"/>
                <w:sz w:val="18"/>
                <w:szCs w:val="18"/>
              </w:rPr>
            </w:pPr>
            <w:r>
              <w:rPr>
                <w:rFonts w:hint="eastAsia"/>
                <w:color w:val="000000"/>
                <w:kern w:val="0"/>
                <w:sz w:val="18"/>
                <w:szCs w:val="18"/>
              </w:rPr>
              <w:t>第三十二条第三款</w:t>
            </w:r>
            <w:r>
              <w:rPr>
                <w:color w:val="000000"/>
                <w:kern w:val="0"/>
                <w:sz w:val="18"/>
                <w:szCs w:val="18"/>
              </w:rPr>
              <w:t xml:space="preserve">  </w:t>
            </w:r>
            <w:r>
              <w:rPr>
                <w:rFonts w:hint="eastAsia"/>
                <w:color w:val="000000"/>
                <w:kern w:val="0"/>
                <w:sz w:val="18"/>
                <w:szCs w:val="18"/>
              </w:rPr>
              <w:t>取得建筑业企业资质的企业应当按照有关规定，向资质许可机关提供真实、准确、完整的企业信用档案信息。</w:t>
            </w:r>
          </w:p>
          <w:p w14:paraId="0BDEE4C1">
            <w:pPr>
              <w:spacing w:line="320" w:lineRule="exact"/>
              <w:jc w:val="left"/>
              <w:rPr>
                <w:color w:val="000000"/>
                <w:kern w:val="0"/>
                <w:sz w:val="18"/>
                <w:szCs w:val="18"/>
              </w:rPr>
            </w:pPr>
            <w:r>
              <w:rPr>
                <w:rFonts w:hint="eastAsia"/>
                <w:color w:val="000000"/>
                <w:kern w:val="0"/>
                <w:sz w:val="18"/>
                <w:szCs w:val="18"/>
              </w:rPr>
              <w:t>第四十条　企业未按照本规定要求提供企业信用档案信息的，由县级以上地方人民政府住房城乡建设主管部门或者其他有关部门给予警告，责令限期改正；逾期未改正的，可处以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3D5BC7BD">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3F2F8AA5">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3BAFD14C">
            <w:pPr>
              <w:spacing w:line="320" w:lineRule="exact"/>
              <w:jc w:val="left"/>
              <w:rPr>
                <w:color w:val="000000"/>
                <w:kern w:val="0"/>
                <w:sz w:val="18"/>
                <w:szCs w:val="18"/>
              </w:rPr>
            </w:pPr>
            <w:r>
              <w:rPr>
                <w:rFonts w:hint="eastAsia"/>
                <w:color w:val="000000"/>
                <w:kern w:val="0"/>
                <w:sz w:val="18"/>
                <w:szCs w:val="18"/>
              </w:rPr>
              <w:t>警告，罚款，限期改正，</w:t>
            </w:r>
          </w:p>
        </w:tc>
      </w:tr>
      <w:tr w14:paraId="28C67374">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65E8A5A6">
            <w:pPr>
              <w:spacing w:line="320" w:lineRule="exact"/>
              <w:jc w:val="center"/>
              <w:rPr>
                <w:color w:val="000000"/>
                <w:kern w:val="0"/>
                <w:sz w:val="18"/>
                <w:szCs w:val="18"/>
              </w:rPr>
            </w:pPr>
            <w:r>
              <w:rPr>
                <w:rFonts w:hint="eastAsia"/>
                <w:color w:val="000000"/>
                <w:kern w:val="0"/>
                <w:sz w:val="18"/>
                <w:szCs w:val="18"/>
              </w:rPr>
              <w:t>裁量基准</w:t>
            </w:r>
          </w:p>
        </w:tc>
      </w:tr>
      <w:tr w14:paraId="7E0F36F8">
        <w:tblPrEx>
          <w:tblCellMar>
            <w:top w:w="0" w:type="dxa"/>
            <w:left w:w="108" w:type="dxa"/>
            <w:bottom w:w="0" w:type="dxa"/>
            <w:right w:w="108" w:type="dxa"/>
          </w:tblCellMar>
        </w:tblPrEx>
        <w:trPr>
          <w:trHeight w:val="285" w:hRule="atLeast"/>
        </w:trPr>
        <w:tc>
          <w:tcPr>
            <w:tcW w:w="1056" w:type="dxa"/>
            <w:vMerge w:val="restart"/>
            <w:tcBorders>
              <w:top w:val="single" w:color="auto" w:sz="4" w:space="0"/>
              <w:left w:val="single" w:color="auto" w:sz="8" w:space="0"/>
              <w:bottom w:val="single" w:color="auto" w:sz="4" w:space="0"/>
              <w:right w:val="single" w:color="auto" w:sz="4" w:space="0"/>
            </w:tcBorders>
            <w:vAlign w:val="center"/>
          </w:tcPr>
          <w:p w14:paraId="67B45C7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31384D14">
            <w:pPr>
              <w:spacing w:line="320" w:lineRule="exact"/>
              <w:jc w:val="left"/>
              <w:rPr>
                <w:color w:val="000000"/>
                <w:kern w:val="0"/>
                <w:sz w:val="18"/>
                <w:szCs w:val="18"/>
              </w:rPr>
            </w:pPr>
            <w:r>
              <w:rPr>
                <w:rFonts w:hint="eastAsia"/>
                <w:color w:val="000000"/>
                <w:kern w:val="0"/>
                <w:sz w:val="18"/>
                <w:szCs w:val="18"/>
              </w:rPr>
              <w:t>逾期不改正且提供的企业信用档案信息不准确、不完整的</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5FA588A0">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4A031510">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2ACD1EAB">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4" w:space="0"/>
              <w:right w:val="single" w:color="auto" w:sz="4" w:space="0"/>
            </w:tcBorders>
            <w:vAlign w:val="center"/>
          </w:tcPr>
          <w:p w14:paraId="3D972544">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39857D71">
            <w:pPr>
              <w:spacing w:line="320" w:lineRule="exact"/>
              <w:jc w:val="left"/>
              <w:rPr>
                <w:color w:val="000000"/>
                <w:kern w:val="0"/>
                <w:sz w:val="18"/>
                <w:szCs w:val="18"/>
              </w:rPr>
            </w:pPr>
            <w:r>
              <w:rPr>
                <w:rFonts w:hint="eastAsia"/>
                <w:color w:val="000000"/>
                <w:kern w:val="0"/>
                <w:sz w:val="18"/>
                <w:szCs w:val="18"/>
              </w:rPr>
              <w:t>逾期不改正且提供的企业信用档案信息不真实的</w:t>
            </w:r>
          </w:p>
        </w:tc>
        <w:tc>
          <w:tcPr>
            <w:tcW w:w="1044" w:type="dxa"/>
            <w:vMerge w:val="continue"/>
            <w:tcBorders>
              <w:top w:val="single" w:color="auto" w:sz="4" w:space="0"/>
              <w:left w:val="single" w:color="auto" w:sz="4" w:space="0"/>
              <w:bottom w:val="single" w:color="auto" w:sz="4" w:space="0"/>
              <w:right w:val="single" w:color="auto" w:sz="4" w:space="0"/>
            </w:tcBorders>
            <w:vAlign w:val="center"/>
          </w:tcPr>
          <w:p w14:paraId="32567A4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8" w:space="0"/>
            </w:tcBorders>
            <w:vAlign w:val="center"/>
          </w:tcPr>
          <w:p w14:paraId="2F0DBB68">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72357035">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8" w:space="0"/>
              <w:right w:val="single" w:color="auto" w:sz="4" w:space="0"/>
            </w:tcBorders>
            <w:vAlign w:val="center"/>
          </w:tcPr>
          <w:p w14:paraId="1C8798F7">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6382093F">
            <w:pPr>
              <w:spacing w:line="320" w:lineRule="exact"/>
              <w:jc w:val="left"/>
              <w:rPr>
                <w:color w:val="000000"/>
                <w:kern w:val="0"/>
                <w:sz w:val="18"/>
                <w:szCs w:val="18"/>
              </w:rPr>
            </w:pPr>
            <w:r>
              <w:rPr>
                <w:rFonts w:hint="eastAsia"/>
                <w:color w:val="000000"/>
                <w:kern w:val="0"/>
                <w:sz w:val="18"/>
                <w:szCs w:val="18"/>
              </w:rPr>
              <w:t>逾期不改正且未提供企业信用档案信息的</w:t>
            </w:r>
          </w:p>
        </w:tc>
        <w:tc>
          <w:tcPr>
            <w:tcW w:w="1044" w:type="dxa"/>
            <w:vMerge w:val="continue"/>
            <w:tcBorders>
              <w:top w:val="single" w:color="auto" w:sz="4" w:space="0"/>
              <w:left w:val="single" w:color="auto" w:sz="4" w:space="0"/>
              <w:bottom w:val="single" w:color="auto" w:sz="8" w:space="0"/>
              <w:right w:val="single" w:color="auto" w:sz="4" w:space="0"/>
            </w:tcBorders>
            <w:vAlign w:val="center"/>
          </w:tcPr>
          <w:p w14:paraId="3BBBD90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3150CC0C">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14:paraId="100488FA"/>
    <w:p w14:paraId="2D2D725C"/>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45B7FB26">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29A270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2BB272D1">
            <w:pPr>
              <w:jc w:val="left"/>
              <w:textAlignment w:val="center"/>
              <w:rPr>
                <w:rFonts w:eastAsia="仿宋_GB2312"/>
                <w:b/>
                <w:bCs/>
                <w:color w:val="000000"/>
                <w:kern w:val="0"/>
                <w:sz w:val="18"/>
                <w:szCs w:val="18"/>
              </w:rPr>
            </w:pPr>
            <w:r>
              <w:rPr>
                <w:rFonts w:eastAsia="仿宋_GB2312"/>
                <w:b/>
                <w:color w:val="000000"/>
                <w:kern w:val="0"/>
                <w:sz w:val="20"/>
              </w:rPr>
              <w:t>320217248000</w:t>
            </w:r>
          </w:p>
        </w:tc>
      </w:tr>
      <w:tr w14:paraId="2F59EDC5">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1CD6EED4">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6C9190A1">
            <w:pPr>
              <w:spacing w:line="320" w:lineRule="exact"/>
              <w:jc w:val="left"/>
              <w:rPr>
                <w:color w:val="000000"/>
                <w:kern w:val="0"/>
                <w:sz w:val="18"/>
                <w:szCs w:val="18"/>
              </w:rPr>
            </w:pPr>
            <w:r>
              <w:rPr>
                <w:rFonts w:hint="eastAsia"/>
                <w:color w:val="000000"/>
                <w:kern w:val="0"/>
                <w:sz w:val="18"/>
                <w:szCs w:val="18"/>
              </w:rPr>
              <w:t>对隐瞒有关情况或者提供虚假材料申请工程监理资质的处罚</w:t>
            </w:r>
          </w:p>
        </w:tc>
      </w:tr>
      <w:tr w14:paraId="1E246424">
        <w:tblPrEx>
          <w:tblCellMar>
            <w:top w:w="0" w:type="dxa"/>
            <w:left w:w="108" w:type="dxa"/>
            <w:bottom w:w="0" w:type="dxa"/>
            <w:right w:w="108" w:type="dxa"/>
          </w:tblCellMar>
        </w:tblPrEx>
        <w:trPr>
          <w:trHeight w:val="1530" w:hRule="atLeast"/>
        </w:trPr>
        <w:tc>
          <w:tcPr>
            <w:tcW w:w="1056" w:type="dxa"/>
            <w:tcBorders>
              <w:top w:val="single" w:color="auto" w:sz="4" w:space="0"/>
              <w:left w:val="single" w:color="auto" w:sz="8" w:space="0"/>
              <w:bottom w:val="single" w:color="auto" w:sz="4" w:space="0"/>
              <w:right w:val="single" w:color="auto" w:sz="4" w:space="0"/>
            </w:tcBorders>
            <w:vAlign w:val="center"/>
          </w:tcPr>
          <w:p w14:paraId="382B6ED9">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5AA411CB">
            <w:pPr>
              <w:spacing w:line="320" w:lineRule="exact"/>
              <w:ind w:firstLine="180" w:firstLineChars="100"/>
              <w:jc w:val="left"/>
              <w:rPr>
                <w:color w:val="000000"/>
                <w:kern w:val="0"/>
                <w:sz w:val="18"/>
                <w:szCs w:val="18"/>
              </w:rPr>
            </w:pPr>
            <w:r>
              <w:rPr>
                <w:rFonts w:hint="eastAsia"/>
                <w:color w:val="000000"/>
                <w:kern w:val="0"/>
                <w:sz w:val="18"/>
                <w:szCs w:val="18"/>
              </w:rPr>
              <w:t>【法律】《中华人民共和国行政许可法》</w:t>
            </w:r>
          </w:p>
          <w:p w14:paraId="76BC8F70">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14:paraId="14A2BF5F">
            <w:pPr>
              <w:spacing w:line="32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14:paraId="1B15557C">
            <w:pPr>
              <w:spacing w:line="320" w:lineRule="exact"/>
              <w:jc w:val="left"/>
              <w:rPr>
                <w:color w:val="000000"/>
                <w:kern w:val="0"/>
                <w:sz w:val="18"/>
                <w:szCs w:val="18"/>
              </w:rPr>
            </w:pPr>
            <w:r>
              <w:rPr>
                <w:rFonts w:hint="eastAsia"/>
                <w:color w:val="000000"/>
                <w:kern w:val="0"/>
                <w:sz w:val="18"/>
                <w:szCs w:val="18"/>
              </w:rPr>
              <w:t>第二十七条</w:t>
            </w:r>
            <w:r>
              <w:rPr>
                <w:color w:val="000000"/>
                <w:kern w:val="0"/>
                <w:sz w:val="18"/>
                <w:szCs w:val="18"/>
              </w:rPr>
              <w:t xml:space="preserve"> </w:t>
            </w:r>
            <w:r>
              <w:rPr>
                <w:rFonts w:hint="eastAsia"/>
                <w:color w:val="000000"/>
                <w:kern w:val="0"/>
                <w:sz w:val="18"/>
                <w:szCs w:val="18"/>
              </w:rPr>
              <w:t>申请人隐瞒有关情况或者提供虚假材料申请工程监理企业资质的，资质许可机关不予受理或者不予行政许可，并给予警告，申请人在</w:t>
            </w:r>
            <w:r>
              <w:rPr>
                <w:color w:val="000000"/>
                <w:kern w:val="0"/>
                <w:sz w:val="18"/>
                <w:szCs w:val="18"/>
              </w:rPr>
              <w:t>1</w:t>
            </w:r>
            <w:r>
              <w:rPr>
                <w:rFonts w:hint="eastAsia"/>
                <w:color w:val="000000"/>
                <w:kern w:val="0"/>
                <w:sz w:val="18"/>
                <w:szCs w:val="18"/>
              </w:rPr>
              <w:t>年内不得再次申请工程监理企业资质。</w:t>
            </w:r>
          </w:p>
        </w:tc>
      </w:tr>
      <w:tr w14:paraId="4974594F">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21E4CC3B">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5AE14F30">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w:t>
            </w:r>
          </w:p>
        </w:tc>
      </w:tr>
      <w:tr w14:paraId="358F85C9">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3CC813CF">
            <w:pPr>
              <w:spacing w:line="320" w:lineRule="exact"/>
              <w:jc w:val="center"/>
              <w:rPr>
                <w:color w:val="000000"/>
                <w:kern w:val="0"/>
                <w:sz w:val="18"/>
                <w:szCs w:val="18"/>
              </w:rPr>
            </w:pPr>
            <w:r>
              <w:rPr>
                <w:rFonts w:hint="eastAsia"/>
                <w:color w:val="000000"/>
                <w:kern w:val="0"/>
                <w:sz w:val="18"/>
                <w:szCs w:val="18"/>
              </w:rPr>
              <w:t>裁量基准</w:t>
            </w:r>
          </w:p>
        </w:tc>
      </w:tr>
      <w:tr w14:paraId="7A46C159">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8" w:space="0"/>
              <w:right w:val="single" w:color="auto" w:sz="4" w:space="0"/>
            </w:tcBorders>
            <w:vAlign w:val="center"/>
          </w:tcPr>
          <w:p w14:paraId="54FBE82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8" w:space="0"/>
              <w:right w:val="single" w:color="auto" w:sz="4" w:space="0"/>
            </w:tcBorders>
            <w:vAlign w:val="center"/>
          </w:tcPr>
          <w:p w14:paraId="426A1910">
            <w:pPr>
              <w:spacing w:line="320" w:lineRule="exact"/>
              <w:jc w:val="left"/>
              <w:rPr>
                <w:color w:val="000000"/>
                <w:kern w:val="0"/>
                <w:sz w:val="18"/>
                <w:szCs w:val="18"/>
              </w:rPr>
            </w:pPr>
            <w:r>
              <w:rPr>
                <w:rFonts w:hint="eastAsia"/>
                <w:color w:val="000000"/>
                <w:kern w:val="0"/>
                <w:sz w:val="18"/>
                <w:szCs w:val="18"/>
              </w:rPr>
              <w:t>　</w:t>
            </w:r>
          </w:p>
        </w:tc>
        <w:tc>
          <w:tcPr>
            <w:tcW w:w="1044" w:type="dxa"/>
            <w:tcBorders>
              <w:top w:val="single" w:color="auto" w:sz="4" w:space="0"/>
              <w:left w:val="single" w:color="auto" w:sz="4" w:space="0"/>
              <w:bottom w:val="single" w:color="auto" w:sz="8" w:space="0"/>
              <w:right w:val="single" w:color="auto" w:sz="4" w:space="0"/>
            </w:tcBorders>
            <w:vAlign w:val="center"/>
          </w:tcPr>
          <w:p w14:paraId="4767B8A7">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8" w:space="0"/>
              <w:right w:val="single" w:color="auto" w:sz="8" w:space="0"/>
            </w:tcBorders>
            <w:vAlign w:val="center"/>
          </w:tcPr>
          <w:p w14:paraId="5981B687">
            <w:pPr>
              <w:spacing w:line="320" w:lineRule="exact"/>
              <w:jc w:val="left"/>
              <w:rPr>
                <w:color w:val="000000"/>
                <w:kern w:val="0"/>
                <w:sz w:val="18"/>
                <w:szCs w:val="18"/>
              </w:rPr>
            </w:pPr>
            <w:r>
              <w:rPr>
                <w:rFonts w:hint="eastAsia"/>
                <w:color w:val="000000"/>
                <w:kern w:val="0"/>
                <w:sz w:val="18"/>
                <w:szCs w:val="18"/>
              </w:rPr>
              <w:t>　</w:t>
            </w:r>
          </w:p>
        </w:tc>
      </w:tr>
    </w:tbl>
    <w:p w14:paraId="494FE934"/>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253CBB0D">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3DCB078">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12C6158D">
            <w:pPr>
              <w:jc w:val="left"/>
              <w:textAlignment w:val="center"/>
              <w:rPr>
                <w:rFonts w:eastAsia="仿宋_GB2312"/>
                <w:b/>
                <w:bCs/>
                <w:color w:val="000000"/>
                <w:kern w:val="0"/>
                <w:sz w:val="18"/>
                <w:szCs w:val="18"/>
              </w:rPr>
            </w:pPr>
            <w:r>
              <w:rPr>
                <w:rFonts w:eastAsia="仿宋_GB2312"/>
                <w:b/>
                <w:color w:val="000000"/>
                <w:kern w:val="0"/>
                <w:sz w:val="20"/>
              </w:rPr>
              <w:t>320217249000</w:t>
            </w:r>
          </w:p>
        </w:tc>
      </w:tr>
      <w:tr w14:paraId="58DF07A0">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518852DA">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369FFBC9">
            <w:pPr>
              <w:spacing w:line="320" w:lineRule="exact"/>
              <w:jc w:val="left"/>
              <w:rPr>
                <w:color w:val="000000"/>
                <w:kern w:val="0"/>
                <w:sz w:val="18"/>
                <w:szCs w:val="18"/>
              </w:rPr>
            </w:pPr>
            <w:r>
              <w:rPr>
                <w:rFonts w:hint="eastAsia"/>
                <w:color w:val="000000"/>
                <w:kern w:val="0"/>
                <w:sz w:val="18"/>
                <w:szCs w:val="18"/>
              </w:rPr>
              <w:t>对工程监理企业不及时办理资质证书变更手续的处罚</w:t>
            </w:r>
          </w:p>
        </w:tc>
      </w:tr>
      <w:tr w14:paraId="311EAEE2">
        <w:tblPrEx>
          <w:tblCellMar>
            <w:top w:w="0" w:type="dxa"/>
            <w:left w:w="108" w:type="dxa"/>
            <w:bottom w:w="0" w:type="dxa"/>
            <w:right w:w="108" w:type="dxa"/>
          </w:tblCellMar>
        </w:tblPrEx>
        <w:trPr>
          <w:trHeight w:val="1305" w:hRule="atLeast"/>
        </w:trPr>
        <w:tc>
          <w:tcPr>
            <w:tcW w:w="1056" w:type="dxa"/>
            <w:tcBorders>
              <w:top w:val="single" w:color="auto" w:sz="4" w:space="0"/>
              <w:left w:val="single" w:color="auto" w:sz="8" w:space="0"/>
              <w:bottom w:val="single" w:color="auto" w:sz="4" w:space="0"/>
              <w:right w:val="single" w:color="auto" w:sz="4" w:space="0"/>
            </w:tcBorders>
            <w:vAlign w:val="center"/>
          </w:tcPr>
          <w:p w14:paraId="6D556D8B">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0C6A3356">
            <w:pPr>
              <w:spacing w:line="320" w:lineRule="exact"/>
              <w:ind w:firstLine="180" w:firstLineChars="100"/>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14:paraId="31E71CA6">
            <w:pPr>
              <w:spacing w:line="320" w:lineRule="exact"/>
              <w:jc w:val="left"/>
              <w:rPr>
                <w:color w:val="000000"/>
                <w:kern w:val="0"/>
                <w:sz w:val="18"/>
                <w:szCs w:val="18"/>
              </w:rPr>
            </w:pPr>
            <w:r>
              <w:rPr>
                <w:rFonts w:hint="eastAsia"/>
                <w:color w:val="000000"/>
                <w:kern w:val="0"/>
                <w:sz w:val="18"/>
                <w:szCs w:val="18"/>
              </w:rPr>
              <w:t>第十四条第一款</w:t>
            </w:r>
            <w:r>
              <w:rPr>
                <w:color w:val="000000"/>
                <w:kern w:val="0"/>
                <w:sz w:val="18"/>
                <w:szCs w:val="18"/>
              </w:rPr>
              <w:t xml:space="preserve">  </w:t>
            </w:r>
            <w:r>
              <w:rPr>
                <w:rFonts w:hint="eastAsia"/>
                <w:color w:val="000000"/>
                <w:kern w:val="0"/>
                <w:sz w:val="18"/>
                <w:szCs w:val="18"/>
              </w:rPr>
              <w:t>工程监理企业在资质证书有效期内名称、地址、注册资本、法定代表人等发生变更的，应当在工商行政管理部门办理变更手续后</w:t>
            </w:r>
            <w:r>
              <w:rPr>
                <w:color w:val="000000"/>
                <w:kern w:val="0"/>
                <w:sz w:val="18"/>
                <w:szCs w:val="18"/>
              </w:rPr>
              <w:t>30</w:t>
            </w:r>
            <w:r>
              <w:rPr>
                <w:rFonts w:hint="eastAsia"/>
                <w:color w:val="000000"/>
                <w:kern w:val="0"/>
                <w:sz w:val="18"/>
                <w:szCs w:val="18"/>
              </w:rPr>
              <w:t>日内办理资质证书变更手续。</w:t>
            </w:r>
          </w:p>
          <w:p w14:paraId="426B9E6D">
            <w:pPr>
              <w:spacing w:line="320" w:lineRule="exact"/>
              <w:jc w:val="left"/>
              <w:rPr>
                <w:color w:val="000000"/>
                <w:kern w:val="0"/>
                <w:sz w:val="18"/>
                <w:szCs w:val="18"/>
              </w:rPr>
            </w:pP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违反本规定，工程监理企业不及时办理资质证书变更手续的，由资质许可机关责令限期办理；逾期不办理的，可处以</w:t>
            </w:r>
            <w:r>
              <w:rPr>
                <w:color w:val="000000"/>
                <w:kern w:val="0"/>
                <w:sz w:val="18"/>
                <w:szCs w:val="18"/>
              </w:rPr>
              <w:t>1</w:t>
            </w:r>
            <w:r>
              <w:rPr>
                <w:rFonts w:hint="eastAsia"/>
                <w:color w:val="000000"/>
                <w:kern w:val="0"/>
                <w:sz w:val="18"/>
                <w:szCs w:val="18"/>
              </w:rPr>
              <w:t>千元以上</w:t>
            </w:r>
            <w:r>
              <w:rPr>
                <w:color w:val="000000"/>
                <w:kern w:val="0"/>
                <w:sz w:val="18"/>
                <w:szCs w:val="18"/>
              </w:rPr>
              <w:t>1</w:t>
            </w:r>
            <w:r>
              <w:rPr>
                <w:rFonts w:hint="eastAsia"/>
                <w:color w:val="000000"/>
                <w:kern w:val="0"/>
                <w:sz w:val="18"/>
                <w:szCs w:val="18"/>
              </w:rPr>
              <w:t>万元以下的罚款。</w:t>
            </w:r>
          </w:p>
        </w:tc>
      </w:tr>
      <w:tr w14:paraId="303EE38B">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2BA531E9">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24712399">
            <w:pPr>
              <w:spacing w:line="320" w:lineRule="exact"/>
              <w:jc w:val="left"/>
              <w:rPr>
                <w:color w:val="000000"/>
                <w:kern w:val="0"/>
                <w:sz w:val="18"/>
                <w:szCs w:val="18"/>
              </w:rPr>
            </w:pPr>
            <w:r>
              <w:rPr>
                <w:rFonts w:hint="eastAsia"/>
                <w:color w:val="000000"/>
                <w:kern w:val="0"/>
                <w:sz w:val="18"/>
                <w:szCs w:val="18"/>
              </w:rPr>
              <w:t>罚款</w:t>
            </w:r>
          </w:p>
        </w:tc>
      </w:tr>
      <w:tr w14:paraId="36CD947B">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2A3E2D35">
            <w:pPr>
              <w:spacing w:line="320" w:lineRule="exact"/>
              <w:jc w:val="center"/>
              <w:rPr>
                <w:color w:val="000000"/>
                <w:kern w:val="0"/>
                <w:sz w:val="18"/>
                <w:szCs w:val="18"/>
              </w:rPr>
            </w:pPr>
            <w:r>
              <w:rPr>
                <w:rFonts w:hint="eastAsia"/>
                <w:color w:val="000000"/>
                <w:kern w:val="0"/>
                <w:sz w:val="18"/>
                <w:szCs w:val="18"/>
              </w:rPr>
              <w:t>裁量基准</w:t>
            </w:r>
          </w:p>
        </w:tc>
      </w:tr>
      <w:tr w14:paraId="3D46D517">
        <w:tblPrEx>
          <w:tblCellMar>
            <w:top w:w="0" w:type="dxa"/>
            <w:left w:w="108" w:type="dxa"/>
            <w:bottom w:w="0" w:type="dxa"/>
            <w:right w:w="108" w:type="dxa"/>
          </w:tblCellMar>
        </w:tblPrEx>
        <w:trPr>
          <w:trHeight w:val="285" w:hRule="atLeast"/>
        </w:trPr>
        <w:tc>
          <w:tcPr>
            <w:tcW w:w="1056" w:type="dxa"/>
            <w:vMerge w:val="restart"/>
            <w:tcBorders>
              <w:top w:val="single" w:color="auto" w:sz="4" w:space="0"/>
              <w:left w:val="single" w:color="auto" w:sz="8" w:space="0"/>
              <w:bottom w:val="single" w:color="auto" w:sz="4" w:space="0"/>
              <w:right w:val="single" w:color="auto" w:sz="4" w:space="0"/>
            </w:tcBorders>
            <w:vAlign w:val="center"/>
          </w:tcPr>
          <w:p w14:paraId="23468B3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06E84FFC">
            <w:pPr>
              <w:spacing w:line="320" w:lineRule="exact"/>
              <w:jc w:val="left"/>
              <w:rPr>
                <w:color w:val="000000"/>
                <w:kern w:val="0"/>
                <w:sz w:val="18"/>
                <w:szCs w:val="18"/>
              </w:rPr>
            </w:pPr>
            <w:r>
              <w:rPr>
                <w:rFonts w:hint="eastAsia"/>
                <w:color w:val="000000"/>
                <w:kern w:val="0"/>
                <w:sz w:val="18"/>
                <w:szCs w:val="18"/>
              </w:rPr>
              <w:t>逾期不办理，但未承揽业务的</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754B1226">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56D4C92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454D4F0F">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8" w:space="0"/>
              <w:right w:val="single" w:color="auto" w:sz="4" w:space="0"/>
            </w:tcBorders>
            <w:vAlign w:val="center"/>
          </w:tcPr>
          <w:p w14:paraId="34000B52">
            <w:pPr>
              <w:spacing w:line="320" w:lineRule="exact"/>
              <w:jc w:val="center"/>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3BCB9758">
            <w:pPr>
              <w:spacing w:line="320" w:lineRule="exact"/>
              <w:jc w:val="left"/>
              <w:rPr>
                <w:color w:val="000000"/>
                <w:kern w:val="0"/>
                <w:sz w:val="18"/>
                <w:szCs w:val="18"/>
              </w:rPr>
            </w:pPr>
            <w:r>
              <w:rPr>
                <w:rFonts w:hint="eastAsia"/>
                <w:color w:val="000000"/>
                <w:kern w:val="0"/>
                <w:sz w:val="18"/>
                <w:szCs w:val="18"/>
              </w:rPr>
              <w:t>逾期不办理，且继续承揽业务的</w:t>
            </w:r>
          </w:p>
        </w:tc>
        <w:tc>
          <w:tcPr>
            <w:tcW w:w="1044" w:type="dxa"/>
            <w:vMerge w:val="continue"/>
            <w:tcBorders>
              <w:top w:val="single" w:color="auto" w:sz="4" w:space="0"/>
              <w:left w:val="single" w:color="auto" w:sz="4" w:space="0"/>
              <w:bottom w:val="single" w:color="auto" w:sz="8" w:space="0"/>
              <w:right w:val="single" w:color="auto" w:sz="4" w:space="0"/>
            </w:tcBorders>
            <w:vAlign w:val="center"/>
          </w:tcPr>
          <w:p w14:paraId="3D041FDA">
            <w:pPr>
              <w:spacing w:line="320" w:lineRule="exact"/>
              <w:jc w:val="center"/>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6237BA3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14:paraId="6F39C49D"/>
    <w:p w14:paraId="3258CB7E"/>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395838DD">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B0B59D1">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14532A60">
            <w:pPr>
              <w:jc w:val="left"/>
              <w:textAlignment w:val="center"/>
              <w:rPr>
                <w:rFonts w:eastAsia="仿宋_GB2312"/>
                <w:b/>
                <w:bCs/>
                <w:color w:val="000000"/>
                <w:kern w:val="0"/>
                <w:sz w:val="18"/>
                <w:szCs w:val="18"/>
              </w:rPr>
            </w:pPr>
            <w:r>
              <w:rPr>
                <w:rFonts w:eastAsia="仿宋_GB2312"/>
                <w:b/>
                <w:color w:val="000000"/>
                <w:kern w:val="0"/>
                <w:sz w:val="20"/>
              </w:rPr>
              <w:t>320217250000</w:t>
            </w:r>
            <w:r>
              <w:rPr>
                <w:rFonts w:hint="eastAsia" w:eastAsia="仿宋_GB2312"/>
                <w:b/>
                <w:color w:val="000000"/>
                <w:kern w:val="0"/>
                <w:sz w:val="20"/>
              </w:rPr>
              <w:t xml:space="preserve"> </w:t>
            </w:r>
          </w:p>
        </w:tc>
      </w:tr>
      <w:tr w14:paraId="0C445BB1">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3511A530">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3432F5C2">
            <w:pPr>
              <w:spacing w:line="320" w:lineRule="exact"/>
              <w:jc w:val="left"/>
              <w:rPr>
                <w:color w:val="000000"/>
                <w:kern w:val="0"/>
                <w:sz w:val="18"/>
                <w:szCs w:val="18"/>
              </w:rPr>
            </w:pPr>
            <w:r>
              <w:rPr>
                <w:rFonts w:hint="eastAsia"/>
                <w:color w:val="000000"/>
                <w:kern w:val="0"/>
                <w:sz w:val="18"/>
                <w:szCs w:val="18"/>
              </w:rPr>
              <w:t>对工程监理企业未按照规定要求提供信用档案信息的处罚</w:t>
            </w:r>
          </w:p>
        </w:tc>
      </w:tr>
      <w:tr w14:paraId="2DD3FA3C">
        <w:tblPrEx>
          <w:tblCellMar>
            <w:top w:w="0" w:type="dxa"/>
            <w:left w:w="108" w:type="dxa"/>
            <w:bottom w:w="0" w:type="dxa"/>
            <w:right w:w="108" w:type="dxa"/>
          </w:tblCellMar>
        </w:tblPrEx>
        <w:trPr>
          <w:trHeight w:val="1140" w:hRule="atLeast"/>
        </w:trPr>
        <w:tc>
          <w:tcPr>
            <w:tcW w:w="1056" w:type="dxa"/>
            <w:tcBorders>
              <w:top w:val="single" w:color="auto" w:sz="4" w:space="0"/>
              <w:left w:val="single" w:color="auto" w:sz="8" w:space="0"/>
              <w:bottom w:val="single" w:color="auto" w:sz="4" w:space="0"/>
              <w:right w:val="single" w:color="auto" w:sz="4" w:space="0"/>
            </w:tcBorders>
            <w:vAlign w:val="center"/>
          </w:tcPr>
          <w:p w14:paraId="42BAAC09">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662FFC1E">
            <w:pPr>
              <w:spacing w:line="320" w:lineRule="exact"/>
              <w:ind w:firstLine="180" w:firstLineChars="100"/>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14:paraId="5772F6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工程监理企业应当按照有关规定，向资质许可机关提供真实、准确、完整的工程监理企业的信用档案信息。</w:t>
            </w:r>
          </w:p>
          <w:p w14:paraId="7A0C466B">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工程监理企业未按照本规定要求提供工程监理企业信用档案信息的，由县级以上地方人民政府建设主管部门予以警告，责令限期改正；逾期未改正的，可处以</w:t>
            </w:r>
            <w:r>
              <w:rPr>
                <w:color w:val="000000"/>
                <w:kern w:val="0"/>
                <w:sz w:val="18"/>
                <w:szCs w:val="18"/>
              </w:rPr>
              <w:t>1</w:t>
            </w:r>
            <w:r>
              <w:rPr>
                <w:rFonts w:hint="eastAsia"/>
                <w:color w:val="000000"/>
                <w:kern w:val="0"/>
                <w:sz w:val="18"/>
                <w:szCs w:val="18"/>
              </w:rPr>
              <w:t>千元以上</w:t>
            </w:r>
            <w:r>
              <w:rPr>
                <w:color w:val="000000"/>
                <w:kern w:val="0"/>
                <w:sz w:val="18"/>
                <w:szCs w:val="18"/>
              </w:rPr>
              <w:t>1</w:t>
            </w:r>
            <w:r>
              <w:rPr>
                <w:rFonts w:hint="eastAsia"/>
                <w:color w:val="000000"/>
                <w:kern w:val="0"/>
                <w:sz w:val="18"/>
                <w:szCs w:val="18"/>
              </w:rPr>
              <w:t>万元以下的罚款。</w:t>
            </w:r>
          </w:p>
        </w:tc>
      </w:tr>
      <w:tr w14:paraId="330D7F4D">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0AB020B8">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6A9B5920">
            <w:pPr>
              <w:spacing w:line="320" w:lineRule="exact"/>
              <w:jc w:val="left"/>
              <w:rPr>
                <w:color w:val="000000"/>
                <w:kern w:val="0"/>
                <w:sz w:val="18"/>
                <w:szCs w:val="18"/>
              </w:rPr>
            </w:pPr>
            <w:r>
              <w:rPr>
                <w:rFonts w:hint="eastAsia"/>
                <w:color w:val="000000"/>
                <w:kern w:val="0"/>
                <w:sz w:val="18"/>
                <w:szCs w:val="18"/>
              </w:rPr>
              <w:t>警告，罚款，限期改正</w:t>
            </w:r>
          </w:p>
        </w:tc>
      </w:tr>
      <w:tr w14:paraId="4358E40E">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776D2850">
            <w:pPr>
              <w:spacing w:line="320" w:lineRule="exact"/>
              <w:jc w:val="center"/>
              <w:rPr>
                <w:color w:val="000000"/>
                <w:kern w:val="0"/>
                <w:sz w:val="18"/>
                <w:szCs w:val="18"/>
              </w:rPr>
            </w:pPr>
            <w:r>
              <w:rPr>
                <w:rFonts w:hint="eastAsia"/>
                <w:color w:val="000000"/>
                <w:kern w:val="0"/>
                <w:sz w:val="18"/>
                <w:szCs w:val="18"/>
              </w:rPr>
              <w:t>裁量基准</w:t>
            </w:r>
          </w:p>
        </w:tc>
      </w:tr>
      <w:tr w14:paraId="387556C5">
        <w:tblPrEx>
          <w:tblCellMar>
            <w:top w:w="0" w:type="dxa"/>
            <w:left w:w="108" w:type="dxa"/>
            <w:bottom w:w="0" w:type="dxa"/>
            <w:right w:w="108" w:type="dxa"/>
          </w:tblCellMar>
        </w:tblPrEx>
        <w:trPr>
          <w:trHeight w:val="285" w:hRule="atLeast"/>
        </w:trPr>
        <w:tc>
          <w:tcPr>
            <w:tcW w:w="1056" w:type="dxa"/>
            <w:vMerge w:val="restart"/>
            <w:tcBorders>
              <w:top w:val="single" w:color="auto" w:sz="4" w:space="0"/>
              <w:left w:val="single" w:color="auto" w:sz="8" w:space="0"/>
              <w:bottom w:val="single" w:color="auto" w:sz="4" w:space="0"/>
              <w:right w:val="single" w:color="auto" w:sz="4" w:space="0"/>
            </w:tcBorders>
            <w:vAlign w:val="center"/>
          </w:tcPr>
          <w:p w14:paraId="7B45854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34643903">
            <w:pPr>
              <w:spacing w:line="320" w:lineRule="exact"/>
              <w:jc w:val="left"/>
              <w:rPr>
                <w:color w:val="000000"/>
                <w:kern w:val="0"/>
                <w:sz w:val="18"/>
                <w:szCs w:val="18"/>
              </w:rPr>
            </w:pPr>
            <w:r>
              <w:rPr>
                <w:rFonts w:hint="eastAsia"/>
                <w:color w:val="000000"/>
                <w:kern w:val="0"/>
                <w:sz w:val="18"/>
                <w:szCs w:val="18"/>
              </w:rPr>
              <w:t>提供的企业信用档案信息不准确、不完整，逾期不改正的</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1DF07610">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250012E1">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383D71E2">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4" w:space="0"/>
              <w:right w:val="single" w:color="auto" w:sz="4" w:space="0"/>
            </w:tcBorders>
            <w:vAlign w:val="center"/>
          </w:tcPr>
          <w:p w14:paraId="1050B516">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63D86100">
            <w:pPr>
              <w:spacing w:line="320" w:lineRule="exact"/>
              <w:jc w:val="left"/>
              <w:rPr>
                <w:color w:val="000000"/>
                <w:kern w:val="0"/>
                <w:sz w:val="18"/>
                <w:szCs w:val="18"/>
              </w:rPr>
            </w:pPr>
            <w:r>
              <w:rPr>
                <w:rFonts w:hint="eastAsia"/>
                <w:color w:val="000000"/>
                <w:kern w:val="0"/>
                <w:sz w:val="18"/>
                <w:szCs w:val="18"/>
              </w:rPr>
              <w:t>提供的企业信用档案信息不真实，逾期不改正的</w:t>
            </w:r>
          </w:p>
        </w:tc>
        <w:tc>
          <w:tcPr>
            <w:tcW w:w="1044" w:type="dxa"/>
            <w:vMerge w:val="continue"/>
            <w:tcBorders>
              <w:top w:val="single" w:color="auto" w:sz="4" w:space="0"/>
              <w:left w:val="single" w:color="auto" w:sz="4" w:space="0"/>
              <w:bottom w:val="single" w:color="auto" w:sz="4" w:space="0"/>
              <w:right w:val="single" w:color="auto" w:sz="4" w:space="0"/>
            </w:tcBorders>
            <w:vAlign w:val="center"/>
          </w:tcPr>
          <w:p w14:paraId="33E368A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8" w:space="0"/>
            </w:tcBorders>
            <w:vAlign w:val="center"/>
          </w:tcPr>
          <w:p w14:paraId="34F75B94">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34A182D3">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8" w:space="0"/>
              <w:right w:val="single" w:color="auto" w:sz="4" w:space="0"/>
            </w:tcBorders>
            <w:vAlign w:val="center"/>
          </w:tcPr>
          <w:p w14:paraId="67DF438F">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10802FFD">
            <w:pPr>
              <w:spacing w:line="320" w:lineRule="exact"/>
              <w:jc w:val="left"/>
              <w:rPr>
                <w:color w:val="000000"/>
                <w:kern w:val="0"/>
                <w:sz w:val="18"/>
                <w:szCs w:val="18"/>
              </w:rPr>
            </w:pPr>
            <w:r>
              <w:rPr>
                <w:rFonts w:hint="eastAsia"/>
                <w:color w:val="000000"/>
                <w:kern w:val="0"/>
                <w:sz w:val="18"/>
                <w:szCs w:val="18"/>
              </w:rPr>
              <w:t>未提供企业信用档案信息，逾期不改正的</w:t>
            </w:r>
          </w:p>
        </w:tc>
        <w:tc>
          <w:tcPr>
            <w:tcW w:w="1044" w:type="dxa"/>
            <w:vMerge w:val="continue"/>
            <w:tcBorders>
              <w:top w:val="single" w:color="auto" w:sz="4" w:space="0"/>
              <w:left w:val="single" w:color="auto" w:sz="4" w:space="0"/>
              <w:bottom w:val="single" w:color="auto" w:sz="8" w:space="0"/>
              <w:right w:val="single" w:color="auto" w:sz="4" w:space="0"/>
            </w:tcBorders>
            <w:vAlign w:val="center"/>
          </w:tcPr>
          <w:p w14:paraId="6A5B6B66">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3172E537">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14:paraId="21935AB8"/>
    <w:p w14:paraId="75DC0FE5"/>
    <w:p w14:paraId="1784847C"/>
    <w:p w14:paraId="01D9A0C9"/>
    <w:p w14:paraId="521C746F"/>
    <w:p w14:paraId="0B9C55FB"/>
    <w:p w14:paraId="55DF3801"/>
    <w:p w14:paraId="028F83B5"/>
    <w:p w14:paraId="54D6700C"/>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475605E1">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22CA7FE6">
            <w:pPr>
              <w:spacing w:line="2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22716F0E">
            <w:pPr>
              <w:spacing w:line="220" w:lineRule="exact"/>
              <w:jc w:val="left"/>
              <w:rPr>
                <w:rFonts w:eastAsia="仿宋_GB2312"/>
                <w:b/>
                <w:bCs/>
                <w:color w:val="000000"/>
                <w:kern w:val="0"/>
                <w:sz w:val="18"/>
                <w:szCs w:val="18"/>
              </w:rPr>
            </w:pPr>
            <w:r>
              <w:rPr>
                <w:rFonts w:eastAsia="仿宋_GB2312"/>
                <w:b/>
                <w:bCs/>
                <w:color w:val="000000"/>
                <w:kern w:val="0"/>
                <w:sz w:val="18"/>
                <w:szCs w:val="18"/>
              </w:rPr>
              <w:t>320217253000</w:t>
            </w:r>
            <w:r>
              <w:rPr>
                <w:rFonts w:hint="eastAsia" w:eastAsia="仿宋_GB2312"/>
                <w:b/>
                <w:bCs/>
                <w:color w:val="000000"/>
                <w:kern w:val="0"/>
                <w:sz w:val="18"/>
                <w:szCs w:val="18"/>
              </w:rPr>
              <w:t xml:space="preserve"> </w:t>
            </w:r>
          </w:p>
        </w:tc>
      </w:tr>
      <w:tr w14:paraId="48B10E32">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70277342">
            <w:pPr>
              <w:spacing w:line="2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72115FAB">
            <w:pPr>
              <w:spacing w:line="220" w:lineRule="exact"/>
              <w:jc w:val="left"/>
              <w:rPr>
                <w:color w:val="000000"/>
                <w:kern w:val="0"/>
                <w:sz w:val="18"/>
                <w:szCs w:val="18"/>
              </w:rPr>
            </w:pPr>
            <w:r>
              <w:rPr>
                <w:rFonts w:hint="eastAsia"/>
                <w:color w:val="000000"/>
                <w:kern w:val="0"/>
                <w:sz w:val="18"/>
                <w:szCs w:val="18"/>
              </w:rPr>
              <w:t>对施工单位在施工组织设计中未编制安全技术措施、施工现场临时用电方案或者专项施工方案的处罚</w:t>
            </w:r>
          </w:p>
        </w:tc>
      </w:tr>
      <w:tr w14:paraId="2A4E52AB">
        <w:tblPrEx>
          <w:tblCellMar>
            <w:top w:w="0" w:type="dxa"/>
            <w:left w:w="108" w:type="dxa"/>
            <w:bottom w:w="0" w:type="dxa"/>
            <w:right w:w="108" w:type="dxa"/>
          </w:tblCellMar>
        </w:tblPrEx>
        <w:trPr>
          <w:trHeight w:val="3450" w:hRule="atLeast"/>
        </w:trPr>
        <w:tc>
          <w:tcPr>
            <w:tcW w:w="1026" w:type="dxa"/>
            <w:tcBorders>
              <w:top w:val="nil"/>
              <w:left w:val="single" w:color="auto" w:sz="8" w:space="0"/>
              <w:bottom w:val="single" w:color="auto" w:sz="4" w:space="0"/>
              <w:right w:val="single" w:color="auto" w:sz="4" w:space="0"/>
            </w:tcBorders>
            <w:vAlign w:val="center"/>
          </w:tcPr>
          <w:p w14:paraId="16931A0E">
            <w:pPr>
              <w:spacing w:line="2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6DFAC91F">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0F7DD457">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第二十六条第一款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r>
              <w:rPr>
                <w:color w:val="000000"/>
                <w:kern w:val="0"/>
                <w:sz w:val="18"/>
                <w:szCs w:val="18"/>
              </w:rPr>
              <w:t xml:space="preserve"> </w:t>
            </w:r>
          </w:p>
          <w:p w14:paraId="5F1D519C">
            <w:pPr>
              <w:spacing w:line="220" w:lineRule="exact"/>
              <w:jc w:val="left"/>
              <w:rPr>
                <w:color w:val="000000"/>
                <w:kern w:val="0"/>
                <w:sz w:val="18"/>
                <w:szCs w:val="18"/>
              </w:rPr>
            </w:pPr>
            <w:r>
              <w:rPr>
                <w:rFonts w:hint="eastAsia"/>
                <w:color w:val="000000"/>
                <w:kern w:val="0"/>
                <w:sz w:val="18"/>
                <w:szCs w:val="18"/>
              </w:rPr>
              <w:t>（一）基坑支护与降水工程；</w:t>
            </w:r>
            <w:r>
              <w:rPr>
                <w:color w:val="000000"/>
                <w:kern w:val="0"/>
                <w:sz w:val="18"/>
                <w:szCs w:val="18"/>
              </w:rPr>
              <w:t xml:space="preserve"> </w:t>
            </w:r>
          </w:p>
          <w:p w14:paraId="68456260">
            <w:pPr>
              <w:spacing w:line="220" w:lineRule="exact"/>
              <w:jc w:val="left"/>
              <w:rPr>
                <w:color w:val="000000"/>
                <w:kern w:val="0"/>
                <w:sz w:val="18"/>
                <w:szCs w:val="18"/>
              </w:rPr>
            </w:pPr>
            <w:r>
              <w:rPr>
                <w:rFonts w:hint="eastAsia"/>
                <w:color w:val="000000"/>
                <w:kern w:val="0"/>
                <w:sz w:val="18"/>
                <w:szCs w:val="18"/>
              </w:rPr>
              <w:t>（二）土方开挖工程；</w:t>
            </w:r>
            <w:r>
              <w:rPr>
                <w:color w:val="000000"/>
                <w:kern w:val="0"/>
                <w:sz w:val="18"/>
                <w:szCs w:val="18"/>
              </w:rPr>
              <w:t xml:space="preserve"> </w:t>
            </w:r>
          </w:p>
          <w:p w14:paraId="5A0D4AF5">
            <w:pPr>
              <w:spacing w:line="220" w:lineRule="exact"/>
              <w:jc w:val="left"/>
              <w:rPr>
                <w:color w:val="000000"/>
                <w:kern w:val="0"/>
                <w:sz w:val="18"/>
                <w:szCs w:val="18"/>
              </w:rPr>
            </w:pPr>
            <w:r>
              <w:rPr>
                <w:rFonts w:hint="eastAsia"/>
                <w:color w:val="000000"/>
                <w:kern w:val="0"/>
                <w:sz w:val="18"/>
                <w:szCs w:val="18"/>
              </w:rPr>
              <w:t>（三）模板工程；</w:t>
            </w:r>
            <w:r>
              <w:rPr>
                <w:color w:val="000000"/>
                <w:kern w:val="0"/>
                <w:sz w:val="18"/>
                <w:szCs w:val="18"/>
              </w:rPr>
              <w:t xml:space="preserve"> </w:t>
            </w:r>
          </w:p>
          <w:p w14:paraId="63FBEAD1">
            <w:pPr>
              <w:spacing w:line="220" w:lineRule="exact"/>
              <w:jc w:val="left"/>
              <w:rPr>
                <w:color w:val="000000"/>
                <w:kern w:val="0"/>
                <w:sz w:val="18"/>
                <w:szCs w:val="18"/>
              </w:rPr>
            </w:pPr>
            <w:r>
              <w:rPr>
                <w:rFonts w:hint="eastAsia"/>
                <w:color w:val="000000"/>
                <w:kern w:val="0"/>
                <w:sz w:val="18"/>
                <w:szCs w:val="18"/>
              </w:rPr>
              <w:t>（四）起重吊装工程；</w:t>
            </w:r>
            <w:r>
              <w:rPr>
                <w:color w:val="000000"/>
                <w:kern w:val="0"/>
                <w:sz w:val="18"/>
                <w:szCs w:val="18"/>
              </w:rPr>
              <w:t xml:space="preserve"> </w:t>
            </w:r>
          </w:p>
          <w:p w14:paraId="71E31049">
            <w:pPr>
              <w:spacing w:line="220" w:lineRule="exact"/>
              <w:jc w:val="left"/>
              <w:rPr>
                <w:color w:val="000000"/>
                <w:kern w:val="0"/>
                <w:sz w:val="18"/>
                <w:szCs w:val="18"/>
              </w:rPr>
            </w:pPr>
            <w:r>
              <w:rPr>
                <w:rFonts w:hint="eastAsia"/>
                <w:color w:val="000000"/>
                <w:kern w:val="0"/>
                <w:sz w:val="18"/>
                <w:szCs w:val="18"/>
              </w:rPr>
              <w:t>（五）脚手架工程；</w:t>
            </w:r>
            <w:r>
              <w:rPr>
                <w:color w:val="000000"/>
                <w:kern w:val="0"/>
                <w:sz w:val="18"/>
                <w:szCs w:val="18"/>
              </w:rPr>
              <w:t xml:space="preserve"> </w:t>
            </w:r>
          </w:p>
          <w:p w14:paraId="18121208">
            <w:pPr>
              <w:spacing w:line="220" w:lineRule="exact"/>
              <w:jc w:val="left"/>
              <w:rPr>
                <w:color w:val="000000"/>
                <w:kern w:val="0"/>
                <w:sz w:val="18"/>
                <w:szCs w:val="18"/>
              </w:rPr>
            </w:pPr>
            <w:r>
              <w:rPr>
                <w:rFonts w:hint="eastAsia"/>
                <w:color w:val="000000"/>
                <w:kern w:val="0"/>
                <w:sz w:val="18"/>
                <w:szCs w:val="18"/>
              </w:rPr>
              <w:t>（六）拆除、爆破工程；</w:t>
            </w:r>
            <w:r>
              <w:rPr>
                <w:color w:val="000000"/>
                <w:kern w:val="0"/>
                <w:sz w:val="18"/>
                <w:szCs w:val="18"/>
              </w:rPr>
              <w:t xml:space="preserve"> </w:t>
            </w:r>
          </w:p>
          <w:p w14:paraId="3AEF5600">
            <w:pPr>
              <w:spacing w:line="220" w:lineRule="exact"/>
              <w:jc w:val="left"/>
              <w:rPr>
                <w:color w:val="000000"/>
                <w:kern w:val="0"/>
                <w:sz w:val="18"/>
                <w:szCs w:val="18"/>
              </w:rPr>
            </w:pPr>
            <w:r>
              <w:rPr>
                <w:rFonts w:hint="eastAsia"/>
                <w:color w:val="000000"/>
                <w:kern w:val="0"/>
                <w:sz w:val="18"/>
                <w:szCs w:val="18"/>
              </w:rPr>
              <w:t>（七）国务院建设行政主管部门或者其他有关部门规定的其他危险性较大的工程。</w:t>
            </w:r>
          </w:p>
          <w:p w14:paraId="2F2EBD8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14:paraId="68D3A3B3">
            <w:pPr>
              <w:spacing w:line="220" w:lineRule="exact"/>
              <w:jc w:val="left"/>
              <w:rPr>
                <w:color w:val="000000"/>
                <w:kern w:val="0"/>
                <w:sz w:val="18"/>
                <w:szCs w:val="18"/>
              </w:rPr>
            </w:pPr>
            <w:r>
              <w:rPr>
                <w:rFonts w:hint="eastAsia"/>
                <w:color w:val="000000"/>
                <w:kern w:val="0"/>
                <w:sz w:val="18"/>
                <w:szCs w:val="18"/>
              </w:rPr>
              <w:t>（四）在施工组织设计中未编制安全技术措施、施工现场临时用电方案或者专项施工方案的。</w:t>
            </w:r>
          </w:p>
          <w:p w14:paraId="3CCE9051">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14:paraId="2AA630BC">
            <w:pPr>
              <w:spacing w:line="220" w:lineRule="exact"/>
              <w:jc w:val="left"/>
              <w:rPr>
                <w:color w:val="000000"/>
                <w:kern w:val="0"/>
                <w:sz w:val="18"/>
                <w:szCs w:val="18"/>
              </w:rPr>
            </w:pPr>
            <w:r>
              <w:rPr>
                <w:rFonts w:hint="eastAsia"/>
                <w:color w:val="000000"/>
                <w:kern w:val="0"/>
                <w:sz w:val="18"/>
                <w:szCs w:val="18"/>
              </w:rPr>
              <w:t>【规章】《危险性较大的分部分项工程安全管理规定》</w:t>
            </w:r>
          </w:p>
          <w:p w14:paraId="2CBE6A40">
            <w:pPr>
              <w:spacing w:line="220" w:lineRule="exact"/>
              <w:jc w:val="left"/>
              <w:rPr>
                <w:color w:val="000000"/>
                <w:kern w:val="0"/>
                <w:sz w:val="18"/>
                <w:szCs w:val="18"/>
              </w:rPr>
            </w:pPr>
            <w:r>
              <w:rPr>
                <w:rFonts w:hint="eastAsia"/>
                <w:color w:val="000000"/>
                <w:kern w:val="0"/>
                <w:sz w:val="18"/>
                <w:szCs w:val="18"/>
              </w:rPr>
              <w:t>　　第十条　施工单位应当在危大工程施工前组织工程技术人员编制专项施工方案。</w:t>
            </w:r>
          </w:p>
          <w:p w14:paraId="4CBF640A">
            <w:pPr>
              <w:spacing w:line="220" w:lineRule="exact"/>
              <w:jc w:val="left"/>
              <w:rPr>
                <w:color w:val="000000"/>
                <w:kern w:val="0"/>
                <w:sz w:val="18"/>
                <w:szCs w:val="18"/>
              </w:rPr>
            </w:pPr>
            <w:r>
              <w:rPr>
                <w:rFonts w:hint="eastAsia"/>
                <w:color w:val="000000"/>
                <w:kern w:val="0"/>
                <w:sz w:val="18"/>
                <w:szCs w:val="18"/>
              </w:rPr>
              <w:t>　　实行施工总承包的，专项施工方案应当由施工总承包单位组织编制。危大工程实行分包的，专项施工方案可以由相关专业分包单位组织编制。</w:t>
            </w:r>
          </w:p>
          <w:p w14:paraId="72A15209">
            <w:pPr>
              <w:spacing w:line="220" w:lineRule="exact"/>
              <w:jc w:val="left"/>
              <w:rPr>
                <w:color w:val="000000"/>
                <w:kern w:val="0"/>
                <w:sz w:val="18"/>
                <w:szCs w:val="18"/>
              </w:rPr>
            </w:pPr>
            <w:r>
              <w:rPr>
                <w:rFonts w:hint="eastAsia"/>
                <w:color w:val="000000"/>
                <w:kern w:val="0"/>
                <w:sz w:val="18"/>
                <w:szCs w:val="18"/>
              </w:rPr>
              <w:t>　　第十一条　专项施工方案应当由施工单位技术负责人审核签字、加盖单位公章，并由总监理工程师审查签字、加盖执业印章后方可实施。</w:t>
            </w:r>
          </w:p>
          <w:p w14:paraId="6B5F4149">
            <w:pPr>
              <w:spacing w:line="220" w:lineRule="exact"/>
              <w:jc w:val="left"/>
              <w:rPr>
                <w:color w:val="000000"/>
                <w:kern w:val="0"/>
                <w:sz w:val="18"/>
                <w:szCs w:val="18"/>
              </w:rPr>
            </w:pPr>
            <w:r>
              <w:rPr>
                <w:rFonts w:hint="eastAsia"/>
                <w:color w:val="000000"/>
                <w:kern w:val="0"/>
                <w:sz w:val="18"/>
                <w:szCs w:val="18"/>
              </w:rPr>
              <w:t>　　危大工程实行分包并由分包单位编制专项施工方案的，专项施工方案应当由总承包单位技术负责人及分包单位技术负责人共同审核签字并加盖单位公章。</w:t>
            </w:r>
          </w:p>
          <w:p w14:paraId="22F6C338">
            <w:pPr>
              <w:spacing w:line="220" w:lineRule="exact"/>
              <w:jc w:val="left"/>
              <w:rPr>
                <w:color w:val="000000"/>
                <w:kern w:val="0"/>
                <w:sz w:val="18"/>
                <w:szCs w:val="18"/>
              </w:rPr>
            </w:pPr>
            <w:r>
              <w:rPr>
                <w:rFonts w:hint="eastAsia"/>
                <w:color w:val="000000"/>
                <w:kern w:val="0"/>
                <w:sz w:val="18"/>
                <w:szCs w:val="18"/>
              </w:rPr>
              <w:t>　　第三十二条　施工单位未按照本规定编制并审核危大工程专项施工方案的，依照《建设工程安全生产管理条例》对单位进行处罚，并暂扣安全生产许可证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3CA7EA26">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37CA748A">
            <w:pPr>
              <w:spacing w:line="2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552EB8E4">
            <w:pPr>
              <w:spacing w:line="220" w:lineRule="exact"/>
              <w:jc w:val="left"/>
              <w:rPr>
                <w:color w:val="000000"/>
                <w:kern w:val="0"/>
                <w:sz w:val="18"/>
                <w:szCs w:val="18"/>
              </w:rPr>
            </w:pPr>
            <w:r>
              <w:rPr>
                <w:rFonts w:hint="eastAsia"/>
                <w:color w:val="000000"/>
                <w:kern w:val="0"/>
                <w:sz w:val="18"/>
                <w:szCs w:val="18"/>
              </w:rPr>
              <w:t>责令停业整顿，罚款，降低资质等级，吊销资质证书，暂扣安全生产许可证</w:t>
            </w:r>
          </w:p>
        </w:tc>
      </w:tr>
      <w:tr w14:paraId="28713783">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759C9328">
            <w:pPr>
              <w:spacing w:line="220" w:lineRule="exact"/>
              <w:jc w:val="center"/>
              <w:rPr>
                <w:color w:val="000000"/>
                <w:kern w:val="0"/>
                <w:sz w:val="18"/>
                <w:szCs w:val="18"/>
              </w:rPr>
            </w:pPr>
            <w:r>
              <w:rPr>
                <w:rFonts w:hint="eastAsia"/>
                <w:color w:val="000000"/>
                <w:kern w:val="0"/>
                <w:sz w:val="18"/>
                <w:szCs w:val="18"/>
              </w:rPr>
              <w:t>裁量基准</w:t>
            </w:r>
          </w:p>
        </w:tc>
      </w:tr>
      <w:tr w14:paraId="502A1E22">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bottom w:val="single" w:color="auto" w:sz="4" w:space="0"/>
              <w:right w:val="single" w:color="auto" w:sz="4" w:space="0"/>
            </w:tcBorders>
            <w:vAlign w:val="center"/>
          </w:tcPr>
          <w:p w14:paraId="737904B4">
            <w:pPr>
              <w:spacing w:line="2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color="000000" w:sz="4" w:space="0"/>
            </w:tcBorders>
            <w:vAlign w:val="center"/>
          </w:tcPr>
          <w:p w14:paraId="6FB206DF">
            <w:pPr>
              <w:spacing w:line="220" w:lineRule="exact"/>
              <w:jc w:val="left"/>
              <w:rPr>
                <w:color w:val="000000"/>
                <w:kern w:val="0"/>
                <w:sz w:val="18"/>
                <w:szCs w:val="18"/>
              </w:rPr>
            </w:pPr>
            <w:r>
              <w:rPr>
                <w:rFonts w:hint="eastAsia"/>
                <w:color w:val="000000"/>
                <w:kern w:val="0"/>
                <w:sz w:val="18"/>
                <w:szCs w:val="18"/>
              </w:rPr>
              <w:t>未按要求改正的但没有安全隐患的</w:t>
            </w:r>
          </w:p>
        </w:tc>
        <w:tc>
          <w:tcPr>
            <w:tcW w:w="1120" w:type="dxa"/>
            <w:vMerge w:val="restart"/>
            <w:tcBorders>
              <w:top w:val="nil"/>
              <w:left w:val="single" w:color="auto" w:sz="4" w:space="0"/>
              <w:bottom w:val="single" w:color="auto" w:sz="4" w:space="0"/>
              <w:right w:val="single" w:color="auto" w:sz="4" w:space="0"/>
            </w:tcBorders>
            <w:vAlign w:val="center"/>
          </w:tcPr>
          <w:p w14:paraId="64174488">
            <w:pPr>
              <w:spacing w:line="2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2A21BDAC">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14:paraId="08E39DF2">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707A9AAC">
            <w:pPr>
              <w:spacing w:line="2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C252D3E">
            <w:pPr>
              <w:spacing w:line="220" w:lineRule="exact"/>
              <w:jc w:val="left"/>
              <w:rPr>
                <w:color w:val="000000"/>
                <w:kern w:val="0"/>
                <w:sz w:val="18"/>
                <w:szCs w:val="18"/>
              </w:rPr>
            </w:pPr>
            <w:r>
              <w:rPr>
                <w:rFonts w:hint="eastAsia"/>
                <w:color w:val="000000"/>
                <w:kern w:val="0"/>
                <w:sz w:val="18"/>
                <w:szCs w:val="18"/>
              </w:rPr>
              <w:t>未按要求改正的且有重大安全事故隐患的</w:t>
            </w:r>
          </w:p>
        </w:tc>
        <w:tc>
          <w:tcPr>
            <w:tcW w:w="1120" w:type="dxa"/>
            <w:vMerge w:val="continue"/>
            <w:tcBorders>
              <w:top w:val="nil"/>
              <w:left w:val="single" w:color="auto" w:sz="4" w:space="0"/>
              <w:bottom w:val="single" w:color="auto" w:sz="4" w:space="0"/>
              <w:right w:val="single" w:color="auto" w:sz="4" w:space="0"/>
            </w:tcBorders>
            <w:vAlign w:val="center"/>
          </w:tcPr>
          <w:p w14:paraId="2C58D6BE">
            <w:pPr>
              <w:spacing w:line="2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53247DF2">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14:paraId="71396629">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78B7F23B">
            <w:pPr>
              <w:spacing w:line="2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1A55EE83">
            <w:pPr>
              <w:spacing w:line="2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val="continue"/>
            <w:tcBorders>
              <w:top w:val="nil"/>
              <w:left w:val="single" w:color="auto" w:sz="4" w:space="0"/>
              <w:bottom w:val="single" w:color="auto" w:sz="4" w:space="0"/>
              <w:right w:val="single" w:color="auto" w:sz="4" w:space="0"/>
            </w:tcBorders>
            <w:vAlign w:val="center"/>
          </w:tcPr>
          <w:p w14:paraId="0279E49D">
            <w:pPr>
              <w:spacing w:line="2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148DF0D6">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14:paraId="0AB78062">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37933BDF">
            <w:pPr>
              <w:spacing w:line="2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bottom"/>
          </w:tcPr>
          <w:p w14:paraId="3442F466">
            <w:pPr>
              <w:spacing w:line="220" w:lineRule="exact"/>
              <w:jc w:val="left"/>
              <w:rPr>
                <w:color w:val="000000"/>
                <w:kern w:val="0"/>
                <w:sz w:val="18"/>
                <w:szCs w:val="18"/>
              </w:rPr>
            </w:pPr>
            <w:r>
              <w:rPr>
                <w:rFonts w:hint="eastAsia"/>
                <w:color w:val="000000"/>
                <w:kern w:val="0"/>
                <w:sz w:val="18"/>
                <w:szCs w:val="18"/>
              </w:rPr>
              <w:t>发生重大安全事故的</w:t>
            </w:r>
          </w:p>
        </w:tc>
        <w:tc>
          <w:tcPr>
            <w:tcW w:w="1120" w:type="dxa"/>
            <w:vMerge w:val="continue"/>
            <w:tcBorders>
              <w:top w:val="nil"/>
              <w:left w:val="single" w:color="auto" w:sz="4" w:space="0"/>
              <w:bottom w:val="single" w:color="auto" w:sz="4" w:space="0"/>
              <w:right w:val="single" w:color="auto" w:sz="4" w:space="0"/>
            </w:tcBorders>
            <w:vAlign w:val="center"/>
          </w:tcPr>
          <w:p w14:paraId="54E746DC">
            <w:pPr>
              <w:spacing w:line="2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109A5082">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14:paraId="7684EEF2"/>
    <w:p w14:paraId="2BC699E4"/>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2340759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8AEBFC2">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65353D1E">
            <w:pPr>
              <w:jc w:val="left"/>
              <w:textAlignment w:val="center"/>
              <w:rPr>
                <w:rFonts w:eastAsia="仿宋_GB2312"/>
                <w:b/>
                <w:bCs/>
                <w:color w:val="000000"/>
                <w:kern w:val="0"/>
                <w:sz w:val="18"/>
                <w:szCs w:val="18"/>
              </w:rPr>
            </w:pPr>
            <w:r>
              <w:rPr>
                <w:rFonts w:eastAsia="仿宋_GB2312"/>
                <w:b/>
                <w:color w:val="000000"/>
                <w:kern w:val="0"/>
                <w:sz w:val="20"/>
              </w:rPr>
              <w:t>320217254000</w:t>
            </w:r>
            <w:r>
              <w:rPr>
                <w:rFonts w:hint="eastAsia" w:eastAsia="仿宋_GB2312"/>
                <w:b/>
                <w:color w:val="000000"/>
                <w:kern w:val="0"/>
                <w:sz w:val="20"/>
              </w:rPr>
              <w:t xml:space="preserve"> </w:t>
            </w:r>
          </w:p>
        </w:tc>
      </w:tr>
      <w:tr w14:paraId="27F73CB3">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44E54916">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32123DAC">
            <w:pPr>
              <w:spacing w:line="320" w:lineRule="exact"/>
              <w:jc w:val="left"/>
              <w:rPr>
                <w:color w:val="000000"/>
                <w:kern w:val="0"/>
                <w:sz w:val="18"/>
                <w:szCs w:val="18"/>
              </w:rPr>
            </w:pPr>
            <w:r>
              <w:rPr>
                <w:rFonts w:hint="eastAsia"/>
                <w:color w:val="000000"/>
                <w:kern w:val="0"/>
                <w:sz w:val="18"/>
                <w:szCs w:val="18"/>
              </w:rPr>
              <w:t>对建筑业企业恶意拖欠分包企业工程款或者劳务人员工资的处罚</w:t>
            </w:r>
          </w:p>
        </w:tc>
      </w:tr>
      <w:tr w14:paraId="5E509B3B">
        <w:tblPrEx>
          <w:tblCellMar>
            <w:top w:w="0" w:type="dxa"/>
            <w:left w:w="108" w:type="dxa"/>
            <w:bottom w:w="0" w:type="dxa"/>
            <w:right w:w="108" w:type="dxa"/>
          </w:tblCellMar>
        </w:tblPrEx>
        <w:trPr>
          <w:trHeight w:val="1830" w:hRule="atLeast"/>
        </w:trPr>
        <w:tc>
          <w:tcPr>
            <w:tcW w:w="1056" w:type="dxa"/>
            <w:tcBorders>
              <w:top w:val="single" w:color="auto" w:sz="4" w:space="0"/>
              <w:left w:val="single" w:color="auto" w:sz="8" w:space="0"/>
              <w:bottom w:val="single" w:color="auto" w:sz="4" w:space="0"/>
              <w:right w:val="single" w:color="auto" w:sz="4" w:space="0"/>
            </w:tcBorders>
            <w:vAlign w:val="center"/>
          </w:tcPr>
          <w:p w14:paraId="65551824">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75C5205E">
            <w:pPr>
              <w:spacing w:line="320" w:lineRule="exact"/>
              <w:ind w:firstLine="180" w:firstLineChars="10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14:paraId="76D31318">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企业申请建筑业企业资质升级、资质增项，在申请之日起前一年至资质许可决定作出前，有下列情形之一的，资质许可机关不予批准其建筑业企业资质升级申请和增项申请：</w:t>
            </w:r>
          </w:p>
          <w:p w14:paraId="1AE979A6">
            <w:pPr>
              <w:spacing w:line="320" w:lineRule="exact"/>
              <w:jc w:val="left"/>
              <w:rPr>
                <w:color w:val="000000"/>
                <w:kern w:val="0"/>
                <w:sz w:val="18"/>
                <w:szCs w:val="18"/>
              </w:rPr>
            </w:pPr>
            <w:r>
              <w:rPr>
                <w:rFonts w:hint="eastAsia"/>
                <w:color w:val="000000"/>
                <w:kern w:val="0"/>
                <w:sz w:val="18"/>
                <w:szCs w:val="18"/>
              </w:rPr>
              <w:t>　　（六）恶意拖欠分包企业工程款或者劳务人员工资的；</w:t>
            </w:r>
          </w:p>
          <w:p w14:paraId="1A42B06D">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03F55206">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16E0E884">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161DAA04">
            <w:pPr>
              <w:spacing w:line="320" w:lineRule="exact"/>
              <w:jc w:val="left"/>
              <w:rPr>
                <w:color w:val="000000"/>
                <w:kern w:val="0"/>
                <w:sz w:val="18"/>
                <w:szCs w:val="18"/>
              </w:rPr>
            </w:pPr>
            <w:r>
              <w:rPr>
                <w:rFonts w:hint="eastAsia"/>
                <w:color w:val="000000"/>
                <w:kern w:val="0"/>
                <w:sz w:val="18"/>
                <w:szCs w:val="18"/>
              </w:rPr>
              <w:t>警告，罚款，限期改正，</w:t>
            </w:r>
          </w:p>
        </w:tc>
      </w:tr>
      <w:tr w14:paraId="43BBBF3D">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2CCF4B83">
            <w:pPr>
              <w:spacing w:line="320" w:lineRule="exact"/>
              <w:jc w:val="center"/>
              <w:rPr>
                <w:color w:val="000000"/>
                <w:kern w:val="0"/>
                <w:sz w:val="18"/>
                <w:szCs w:val="18"/>
              </w:rPr>
            </w:pPr>
            <w:r>
              <w:rPr>
                <w:rFonts w:hint="eastAsia"/>
                <w:color w:val="000000"/>
                <w:kern w:val="0"/>
                <w:sz w:val="18"/>
                <w:szCs w:val="18"/>
              </w:rPr>
              <w:t>裁量基准</w:t>
            </w:r>
          </w:p>
        </w:tc>
      </w:tr>
      <w:tr w14:paraId="7213BE03">
        <w:tblPrEx>
          <w:tblCellMar>
            <w:top w:w="0" w:type="dxa"/>
            <w:left w:w="108" w:type="dxa"/>
            <w:bottom w:w="0" w:type="dxa"/>
            <w:right w:w="108" w:type="dxa"/>
          </w:tblCellMar>
        </w:tblPrEx>
        <w:trPr>
          <w:trHeight w:val="285" w:hRule="atLeast"/>
        </w:trPr>
        <w:tc>
          <w:tcPr>
            <w:tcW w:w="1056" w:type="dxa"/>
            <w:vMerge w:val="restart"/>
            <w:tcBorders>
              <w:top w:val="single" w:color="auto" w:sz="4" w:space="0"/>
              <w:left w:val="single" w:color="auto" w:sz="8" w:space="0"/>
              <w:bottom w:val="single" w:color="auto" w:sz="4" w:space="0"/>
              <w:right w:val="single" w:color="auto" w:sz="4" w:space="0"/>
            </w:tcBorders>
            <w:vAlign w:val="center"/>
          </w:tcPr>
          <w:p w14:paraId="1086211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68D9CFB6">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1140AB2E">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2E8EDA0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674198E3">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8" w:space="0"/>
              <w:right w:val="single" w:color="auto" w:sz="4" w:space="0"/>
            </w:tcBorders>
            <w:vAlign w:val="center"/>
          </w:tcPr>
          <w:p w14:paraId="713524D0">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3F007F91">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single" w:color="auto" w:sz="4" w:space="0"/>
              <w:left w:val="single" w:color="auto" w:sz="4" w:space="0"/>
              <w:bottom w:val="single" w:color="auto" w:sz="8" w:space="0"/>
              <w:right w:val="single" w:color="auto" w:sz="4" w:space="0"/>
            </w:tcBorders>
            <w:vAlign w:val="center"/>
          </w:tcPr>
          <w:p w14:paraId="27E784A6">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3F338A5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6B29D6C8"/>
    <w:p w14:paraId="28600E98"/>
    <w:p w14:paraId="54B9DFE2"/>
    <w:p w14:paraId="2A87B51D"/>
    <w:p w14:paraId="0DF04826"/>
    <w:p w14:paraId="4B259FE7"/>
    <w:p w14:paraId="438CA7F3"/>
    <w:p w14:paraId="5F0614C0"/>
    <w:p w14:paraId="51AA3A90"/>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6109DA13">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643743E6">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59DC5531">
            <w:pPr>
              <w:spacing w:line="320" w:lineRule="exact"/>
              <w:jc w:val="left"/>
              <w:rPr>
                <w:rFonts w:eastAsia="仿宋_GB2312"/>
                <w:b/>
                <w:bCs/>
                <w:color w:val="000000"/>
                <w:kern w:val="0"/>
                <w:sz w:val="18"/>
                <w:szCs w:val="18"/>
              </w:rPr>
            </w:pPr>
            <w:r>
              <w:rPr>
                <w:rFonts w:eastAsia="仿宋_GB2312"/>
                <w:b/>
                <w:bCs/>
                <w:color w:val="000000"/>
                <w:kern w:val="0"/>
                <w:sz w:val="18"/>
                <w:szCs w:val="18"/>
              </w:rPr>
              <w:t>320217257000</w:t>
            </w:r>
            <w:r>
              <w:rPr>
                <w:rFonts w:hint="eastAsia" w:eastAsia="仿宋_GB2312"/>
                <w:b/>
                <w:bCs/>
                <w:color w:val="000000"/>
                <w:kern w:val="0"/>
                <w:sz w:val="18"/>
                <w:szCs w:val="18"/>
              </w:rPr>
              <w:t xml:space="preserve"> </w:t>
            </w:r>
          </w:p>
        </w:tc>
      </w:tr>
      <w:tr w14:paraId="5CEA5F89">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2302C0AA">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4EB9E362">
            <w:pPr>
              <w:spacing w:line="320" w:lineRule="exact"/>
              <w:jc w:val="left"/>
              <w:rPr>
                <w:color w:val="000000"/>
                <w:kern w:val="0"/>
                <w:sz w:val="18"/>
                <w:szCs w:val="18"/>
              </w:rPr>
            </w:pPr>
            <w:r>
              <w:rPr>
                <w:rFonts w:hint="eastAsia"/>
                <w:color w:val="000000"/>
                <w:kern w:val="0"/>
                <w:sz w:val="18"/>
                <w:szCs w:val="18"/>
              </w:rPr>
              <w:t>对建设单位未组织竣工验收擅自交付使用的处罚</w:t>
            </w:r>
          </w:p>
        </w:tc>
      </w:tr>
      <w:tr w14:paraId="179CFD7D">
        <w:tblPrEx>
          <w:tblCellMar>
            <w:top w:w="0" w:type="dxa"/>
            <w:left w:w="108" w:type="dxa"/>
            <w:bottom w:w="0" w:type="dxa"/>
            <w:right w:w="108" w:type="dxa"/>
          </w:tblCellMar>
        </w:tblPrEx>
        <w:trPr>
          <w:trHeight w:val="1830" w:hRule="atLeast"/>
        </w:trPr>
        <w:tc>
          <w:tcPr>
            <w:tcW w:w="1090" w:type="dxa"/>
            <w:tcBorders>
              <w:top w:val="nil"/>
              <w:left w:val="single" w:color="auto" w:sz="8" w:space="0"/>
              <w:bottom w:val="single" w:color="auto" w:sz="4" w:space="0"/>
              <w:right w:val="single" w:color="auto" w:sz="4" w:space="0"/>
            </w:tcBorders>
            <w:vAlign w:val="center"/>
          </w:tcPr>
          <w:p w14:paraId="4486DB86">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3CF5DC1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402A3A99">
            <w:pPr>
              <w:spacing w:line="320" w:lineRule="exact"/>
              <w:jc w:val="left"/>
              <w:rPr>
                <w:color w:val="000000"/>
                <w:kern w:val="0"/>
                <w:sz w:val="18"/>
                <w:szCs w:val="18"/>
              </w:rPr>
            </w:pPr>
            <w:r>
              <w:rPr>
                <w:rFonts w:hint="eastAsia"/>
                <w:color w:val="000000"/>
                <w:kern w:val="0"/>
                <w:sz w:val="18"/>
                <w:szCs w:val="18"/>
              </w:rPr>
              <w:t>第十六条第三款　建设工程经验收合格的，方可交付使用。</w:t>
            </w:r>
          </w:p>
          <w:p w14:paraId="36BD679D">
            <w:pPr>
              <w:spacing w:line="320" w:lineRule="exact"/>
              <w:jc w:val="left"/>
              <w:rPr>
                <w:color w:val="000000"/>
                <w:kern w:val="0"/>
                <w:sz w:val="18"/>
                <w:szCs w:val="18"/>
              </w:rPr>
            </w:pPr>
            <w:r>
              <w:rPr>
                <w:rFonts w:hint="eastAsia"/>
                <w:color w:val="000000"/>
                <w:kern w:val="0"/>
                <w:sz w:val="18"/>
                <w:szCs w:val="18"/>
              </w:rPr>
              <w:t>第五十八条　违反本条例规定，建设单位有下列行为之一的，责令改正，处工程合同价款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p w14:paraId="7582349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（一）未组织竣工验收，擅自交付使用的。</w:t>
            </w:r>
          </w:p>
          <w:p w14:paraId="31ADDA52">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2E23A60F">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63DC8679">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1FB79154">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1D568231">
            <w:pPr>
              <w:spacing w:line="320" w:lineRule="exact"/>
              <w:jc w:val="left"/>
              <w:rPr>
                <w:color w:val="000000"/>
                <w:kern w:val="0"/>
                <w:sz w:val="18"/>
                <w:szCs w:val="18"/>
              </w:rPr>
            </w:pPr>
            <w:r>
              <w:rPr>
                <w:rFonts w:hint="eastAsia"/>
                <w:color w:val="000000"/>
                <w:kern w:val="0"/>
                <w:sz w:val="18"/>
                <w:szCs w:val="18"/>
              </w:rPr>
              <w:t>罚款</w:t>
            </w:r>
          </w:p>
        </w:tc>
      </w:tr>
      <w:tr w14:paraId="55162EE7">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3A9C4E0D">
            <w:pPr>
              <w:spacing w:line="320" w:lineRule="exact"/>
              <w:jc w:val="center"/>
              <w:rPr>
                <w:color w:val="000000"/>
                <w:kern w:val="0"/>
                <w:sz w:val="18"/>
                <w:szCs w:val="18"/>
              </w:rPr>
            </w:pPr>
            <w:r>
              <w:rPr>
                <w:rFonts w:hint="eastAsia"/>
                <w:color w:val="000000"/>
                <w:kern w:val="0"/>
                <w:sz w:val="18"/>
                <w:szCs w:val="18"/>
              </w:rPr>
              <w:t>裁量基准</w:t>
            </w:r>
          </w:p>
        </w:tc>
      </w:tr>
      <w:tr w14:paraId="53516E23">
        <w:tblPrEx>
          <w:tblCellMar>
            <w:top w:w="0" w:type="dxa"/>
            <w:left w:w="108" w:type="dxa"/>
            <w:bottom w:w="0" w:type="dxa"/>
            <w:right w:w="108" w:type="dxa"/>
          </w:tblCellMar>
        </w:tblPrEx>
        <w:trPr>
          <w:trHeight w:val="480" w:hRule="atLeast"/>
        </w:trPr>
        <w:tc>
          <w:tcPr>
            <w:tcW w:w="1090" w:type="dxa"/>
            <w:vMerge w:val="restart"/>
            <w:tcBorders>
              <w:top w:val="nil"/>
              <w:left w:val="single" w:color="auto" w:sz="8" w:space="0"/>
              <w:right w:val="single" w:color="auto" w:sz="4" w:space="0"/>
            </w:tcBorders>
            <w:vAlign w:val="center"/>
          </w:tcPr>
          <w:p w14:paraId="312DCA5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00AFCA2">
            <w:pPr>
              <w:spacing w:line="320" w:lineRule="exact"/>
              <w:jc w:val="left"/>
              <w:rPr>
                <w:color w:val="000000"/>
                <w:kern w:val="0"/>
                <w:sz w:val="18"/>
                <w:szCs w:val="18"/>
              </w:rPr>
            </w:pPr>
            <w:r>
              <w:rPr>
                <w:rFonts w:hint="eastAsia"/>
                <w:color w:val="000000"/>
                <w:kern w:val="0"/>
                <w:sz w:val="18"/>
                <w:szCs w:val="18"/>
              </w:rPr>
              <w:t>按照要求重新竣工验收且验收合格的</w:t>
            </w:r>
          </w:p>
        </w:tc>
        <w:tc>
          <w:tcPr>
            <w:tcW w:w="1080" w:type="dxa"/>
            <w:vMerge w:val="restart"/>
            <w:tcBorders>
              <w:top w:val="nil"/>
              <w:left w:val="single" w:color="auto" w:sz="4" w:space="0"/>
              <w:right w:val="single" w:color="auto" w:sz="4" w:space="0"/>
            </w:tcBorders>
            <w:vAlign w:val="center"/>
          </w:tcPr>
          <w:p w14:paraId="61862622">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color="auto" w:sz="4" w:space="0"/>
              <w:right w:val="single" w:color="auto" w:sz="8" w:space="0"/>
            </w:tcBorders>
            <w:vAlign w:val="center"/>
          </w:tcPr>
          <w:p w14:paraId="5EF33FE8">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2%-2.5%</w:t>
            </w:r>
            <w:r>
              <w:rPr>
                <w:rFonts w:hint="eastAsia"/>
                <w:color w:val="000000"/>
                <w:kern w:val="0"/>
                <w:sz w:val="18"/>
                <w:szCs w:val="18"/>
              </w:rPr>
              <w:t>罚款</w:t>
            </w:r>
          </w:p>
          <w:p w14:paraId="055ED931">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4C37CEE6">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5B336CC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243F9AA">
            <w:pPr>
              <w:spacing w:line="320" w:lineRule="exact"/>
              <w:jc w:val="left"/>
              <w:rPr>
                <w:color w:val="000000"/>
                <w:kern w:val="0"/>
                <w:sz w:val="18"/>
                <w:szCs w:val="18"/>
              </w:rPr>
            </w:pPr>
            <w:r>
              <w:rPr>
                <w:rFonts w:hint="eastAsia"/>
                <w:color w:val="000000"/>
                <w:kern w:val="0"/>
                <w:sz w:val="18"/>
                <w:szCs w:val="18"/>
              </w:rPr>
              <w:t>按照要求重新竣工验收但验收不合格，或者未按照要求改正的</w:t>
            </w:r>
          </w:p>
        </w:tc>
        <w:tc>
          <w:tcPr>
            <w:tcW w:w="1080" w:type="dxa"/>
            <w:vMerge w:val="continue"/>
            <w:tcBorders>
              <w:left w:val="single" w:color="auto" w:sz="4" w:space="0"/>
              <w:right w:val="single" w:color="auto" w:sz="4" w:space="0"/>
            </w:tcBorders>
            <w:vAlign w:val="center"/>
          </w:tcPr>
          <w:p w14:paraId="02437AB1">
            <w:pPr>
              <w:spacing w:line="320" w:lineRule="exact"/>
              <w:jc w:val="left"/>
              <w:rPr>
                <w:color w:val="000000"/>
                <w:kern w:val="0"/>
                <w:sz w:val="18"/>
                <w:szCs w:val="18"/>
              </w:rPr>
            </w:pPr>
          </w:p>
        </w:tc>
        <w:tc>
          <w:tcPr>
            <w:tcW w:w="5740" w:type="dxa"/>
            <w:tcBorders>
              <w:top w:val="single" w:color="auto" w:sz="4" w:space="0"/>
              <w:left w:val="nil"/>
              <w:bottom w:val="single" w:color="auto" w:sz="8" w:space="0"/>
              <w:right w:val="single" w:color="auto" w:sz="8" w:space="0"/>
            </w:tcBorders>
            <w:vAlign w:val="center"/>
          </w:tcPr>
          <w:p w14:paraId="14881CA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2.5%-3%</w:t>
            </w:r>
            <w:r>
              <w:rPr>
                <w:rFonts w:hint="eastAsia"/>
                <w:color w:val="000000"/>
                <w:kern w:val="0"/>
                <w:sz w:val="18"/>
                <w:szCs w:val="18"/>
              </w:rPr>
              <w:t>罚款</w:t>
            </w:r>
          </w:p>
          <w:p w14:paraId="0245B778">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5500E307">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7297975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5B4CD48">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080" w:type="dxa"/>
            <w:vMerge w:val="continue"/>
            <w:tcBorders>
              <w:left w:val="single" w:color="auto" w:sz="4" w:space="0"/>
              <w:right w:val="single" w:color="auto" w:sz="4" w:space="0"/>
            </w:tcBorders>
            <w:vAlign w:val="center"/>
          </w:tcPr>
          <w:p w14:paraId="5298523E">
            <w:pPr>
              <w:spacing w:line="320" w:lineRule="exact"/>
              <w:jc w:val="left"/>
              <w:rPr>
                <w:color w:val="000000"/>
                <w:kern w:val="0"/>
                <w:sz w:val="18"/>
                <w:szCs w:val="18"/>
              </w:rPr>
            </w:pPr>
          </w:p>
        </w:tc>
        <w:tc>
          <w:tcPr>
            <w:tcW w:w="5740" w:type="dxa"/>
            <w:tcBorders>
              <w:top w:val="single" w:color="auto" w:sz="8" w:space="0"/>
              <w:left w:val="nil"/>
              <w:bottom w:val="single" w:color="auto" w:sz="8" w:space="0"/>
              <w:right w:val="single" w:color="auto" w:sz="8" w:space="0"/>
            </w:tcBorders>
            <w:vAlign w:val="center"/>
          </w:tcPr>
          <w:p w14:paraId="438CF873">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3%-3.5%</w:t>
            </w:r>
            <w:r>
              <w:rPr>
                <w:rFonts w:hint="eastAsia"/>
                <w:color w:val="000000"/>
                <w:kern w:val="0"/>
                <w:sz w:val="18"/>
                <w:szCs w:val="18"/>
              </w:rPr>
              <w:t>罚款</w:t>
            </w:r>
          </w:p>
          <w:p w14:paraId="5825891E">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14:paraId="6DC66D9F">
        <w:tblPrEx>
          <w:tblCellMar>
            <w:top w:w="0" w:type="dxa"/>
            <w:left w:w="108" w:type="dxa"/>
            <w:bottom w:w="0" w:type="dxa"/>
            <w:right w:w="108" w:type="dxa"/>
          </w:tblCellMar>
        </w:tblPrEx>
        <w:trPr>
          <w:trHeight w:val="480" w:hRule="atLeast"/>
        </w:trPr>
        <w:tc>
          <w:tcPr>
            <w:tcW w:w="1090" w:type="dxa"/>
            <w:vMerge w:val="continue"/>
            <w:tcBorders>
              <w:left w:val="single" w:color="auto" w:sz="8" w:space="0"/>
              <w:bottom w:val="single" w:color="auto" w:sz="4" w:space="0"/>
              <w:right w:val="single" w:color="auto" w:sz="4" w:space="0"/>
            </w:tcBorders>
            <w:vAlign w:val="center"/>
          </w:tcPr>
          <w:p w14:paraId="2D3441B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3D21A09">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080" w:type="dxa"/>
            <w:vMerge w:val="continue"/>
            <w:tcBorders>
              <w:left w:val="single" w:color="auto" w:sz="4" w:space="0"/>
              <w:bottom w:val="single" w:color="auto" w:sz="4" w:space="0"/>
              <w:right w:val="single" w:color="auto" w:sz="4" w:space="0"/>
            </w:tcBorders>
            <w:vAlign w:val="center"/>
          </w:tcPr>
          <w:p w14:paraId="5527BA2D">
            <w:pPr>
              <w:spacing w:line="320" w:lineRule="exact"/>
              <w:jc w:val="left"/>
              <w:rPr>
                <w:color w:val="000000"/>
                <w:kern w:val="0"/>
                <w:sz w:val="18"/>
                <w:szCs w:val="18"/>
              </w:rPr>
            </w:pPr>
          </w:p>
        </w:tc>
        <w:tc>
          <w:tcPr>
            <w:tcW w:w="5740" w:type="dxa"/>
            <w:tcBorders>
              <w:top w:val="single" w:color="auto" w:sz="8" w:space="0"/>
              <w:left w:val="nil"/>
              <w:bottom w:val="single" w:color="auto" w:sz="4" w:space="0"/>
              <w:right w:val="single" w:color="auto" w:sz="8" w:space="0"/>
            </w:tcBorders>
            <w:vAlign w:val="center"/>
          </w:tcPr>
          <w:p w14:paraId="1AEA3CF3">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3.5%-4%</w:t>
            </w:r>
            <w:r>
              <w:rPr>
                <w:rFonts w:hint="eastAsia"/>
                <w:color w:val="000000"/>
                <w:kern w:val="0"/>
                <w:sz w:val="18"/>
                <w:szCs w:val="18"/>
              </w:rPr>
              <w:t>罚款</w:t>
            </w:r>
          </w:p>
          <w:p w14:paraId="6E080FA2">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9%</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50B6444E"/>
    <w:p w14:paraId="7F7BA85B"/>
    <w:p w14:paraId="69D03315"/>
    <w:p w14:paraId="12E25391"/>
    <w:p w14:paraId="1C1B7634"/>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557E0763">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D07ABA4">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1AEC273E">
            <w:pPr>
              <w:spacing w:line="320" w:lineRule="exact"/>
              <w:jc w:val="left"/>
              <w:rPr>
                <w:rFonts w:eastAsia="仿宋_GB2312"/>
                <w:b/>
                <w:bCs/>
                <w:color w:val="000000"/>
                <w:kern w:val="0"/>
                <w:sz w:val="18"/>
                <w:szCs w:val="18"/>
              </w:rPr>
            </w:pPr>
            <w:r>
              <w:rPr>
                <w:rFonts w:eastAsia="仿宋_GB2312"/>
                <w:b/>
                <w:bCs/>
                <w:color w:val="000000"/>
                <w:kern w:val="0"/>
                <w:sz w:val="18"/>
                <w:szCs w:val="18"/>
              </w:rPr>
              <w:t>320217258000</w:t>
            </w:r>
          </w:p>
        </w:tc>
      </w:tr>
      <w:tr w14:paraId="67EAF5F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889DCD7">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46796F36">
            <w:pPr>
              <w:spacing w:line="320" w:lineRule="exact"/>
              <w:jc w:val="left"/>
              <w:rPr>
                <w:color w:val="000000"/>
                <w:kern w:val="0"/>
                <w:sz w:val="18"/>
                <w:szCs w:val="18"/>
              </w:rPr>
            </w:pPr>
            <w:r>
              <w:rPr>
                <w:rFonts w:hint="eastAsia"/>
                <w:color w:val="000000"/>
                <w:kern w:val="0"/>
                <w:sz w:val="18"/>
                <w:szCs w:val="18"/>
              </w:rPr>
              <w:t>对工程造价咨询企业转包承接的工程造价咨询业务的处罚</w:t>
            </w:r>
          </w:p>
        </w:tc>
      </w:tr>
      <w:tr w14:paraId="03F28D23">
        <w:tblPrEx>
          <w:tblCellMar>
            <w:top w:w="0" w:type="dxa"/>
            <w:left w:w="108" w:type="dxa"/>
            <w:bottom w:w="0" w:type="dxa"/>
            <w:right w:w="108" w:type="dxa"/>
          </w:tblCellMar>
        </w:tblPrEx>
        <w:trPr>
          <w:trHeight w:val="1380" w:hRule="atLeast"/>
        </w:trPr>
        <w:tc>
          <w:tcPr>
            <w:tcW w:w="1010" w:type="dxa"/>
            <w:tcBorders>
              <w:top w:val="nil"/>
              <w:left w:val="single" w:color="auto" w:sz="8" w:space="0"/>
              <w:bottom w:val="single" w:color="auto" w:sz="4" w:space="0"/>
              <w:right w:val="single" w:color="auto" w:sz="4" w:space="0"/>
            </w:tcBorders>
            <w:vAlign w:val="center"/>
          </w:tcPr>
          <w:p w14:paraId="2B40E23A">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7B761FEA">
            <w:pPr>
              <w:spacing w:line="320" w:lineRule="exact"/>
              <w:jc w:val="left"/>
              <w:rPr>
                <w:color w:val="000000"/>
                <w:kern w:val="0"/>
                <w:sz w:val="18"/>
                <w:szCs w:val="18"/>
              </w:rPr>
            </w:pPr>
            <w:r>
              <w:rPr>
                <w:rFonts w:hint="eastAsia"/>
                <w:color w:val="000000"/>
                <w:kern w:val="0"/>
                <w:sz w:val="18"/>
                <w:szCs w:val="18"/>
              </w:rPr>
              <w:t>【规章】《工程造价咨询企业管理办法》（建设部令第149号发布，根据住房和城乡建设部令第24号，住房和城乡建设部令第32号，住房和城乡建设部令第50号修正）</w:t>
            </w:r>
          </w:p>
          <w:p w14:paraId="4CDB57C1">
            <w:pPr>
              <w:spacing w:line="320" w:lineRule="exact"/>
              <w:jc w:val="left"/>
              <w:rPr>
                <w:color w:val="000000"/>
                <w:kern w:val="0"/>
                <w:sz w:val="18"/>
                <w:szCs w:val="18"/>
              </w:rPr>
            </w:pPr>
            <w:r>
              <w:rPr>
                <w:rFonts w:hint="eastAsia"/>
                <w:color w:val="000000"/>
                <w:kern w:val="0"/>
                <w:sz w:val="18"/>
                <w:szCs w:val="18"/>
              </w:rPr>
              <w:t xml:space="preserve">        第二十五条　工程造价咨询企业不得有下列行为：</w:t>
            </w:r>
          </w:p>
          <w:p w14:paraId="79F52FC2">
            <w:pPr>
              <w:spacing w:line="320" w:lineRule="exact"/>
              <w:jc w:val="left"/>
              <w:rPr>
                <w:color w:val="000000"/>
                <w:kern w:val="0"/>
                <w:sz w:val="18"/>
                <w:szCs w:val="18"/>
              </w:rPr>
            </w:pPr>
            <w:r>
              <w:rPr>
                <w:rFonts w:hint="eastAsia"/>
                <w:color w:val="000000"/>
                <w:kern w:val="0"/>
                <w:sz w:val="18"/>
                <w:szCs w:val="18"/>
              </w:rPr>
              <w:t xml:space="preserve">  　 （五）转包承接的工程造价咨询业务；</w:t>
            </w:r>
          </w:p>
          <w:p w14:paraId="7F533FEE">
            <w:pPr>
              <w:spacing w:line="320" w:lineRule="exact"/>
              <w:jc w:val="left"/>
              <w:rPr>
                <w:color w:val="000000"/>
                <w:kern w:val="0"/>
                <w:sz w:val="18"/>
                <w:szCs w:val="18"/>
              </w:rPr>
            </w:pPr>
            <w:r>
              <w:rPr>
                <w:rFonts w:hint="eastAsia"/>
                <w:color w:val="000000"/>
                <w:kern w:val="0"/>
                <w:sz w:val="18"/>
                <w:szCs w:val="18"/>
              </w:rPr>
              <w:t xml:space="preserve">        第三十九条　工程造价咨询企业有本办法第二十五条行为之一的，由县级以上地方人民政府住房城乡建设主管部门或者有关专业部门给予警告，责令限期改正，并处以1万元以上3万元以下的罚款。</w:t>
            </w:r>
          </w:p>
        </w:tc>
      </w:tr>
      <w:tr w14:paraId="256EFC6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EEF5257">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6BCB0FC2">
            <w:pPr>
              <w:spacing w:line="320" w:lineRule="exact"/>
              <w:jc w:val="left"/>
              <w:rPr>
                <w:color w:val="000000"/>
                <w:kern w:val="0"/>
                <w:sz w:val="18"/>
                <w:szCs w:val="18"/>
              </w:rPr>
            </w:pPr>
            <w:r>
              <w:rPr>
                <w:rFonts w:hint="eastAsia"/>
                <w:color w:val="000000"/>
                <w:kern w:val="0"/>
                <w:sz w:val="18"/>
                <w:szCs w:val="18"/>
              </w:rPr>
              <w:t>警告，罚款</w:t>
            </w:r>
          </w:p>
        </w:tc>
      </w:tr>
      <w:tr w14:paraId="5FDF595C">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1268B597">
            <w:pPr>
              <w:spacing w:line="320" w:lineRule="exact"/>
              <w:jc w:val="center"/>
              <w:rPr>
                <w:color w:val="000000"/>
                <w:kern w:val="0"/>
                <w:sz w:val="18"/>
                <w:szCs w:val="18"/>
              </w:rPr>
            </w:pPr>
            <w:r>
              <w:rPr>
                <w:rFonts w:hint="eastAsia"/>
                <w:color w:val="000000"/>
                <w:kern w:val="0"/>
                <w:sz w:val="18"/>
                <w:szCs w:val="18"/>
              </w:rPr>
              <w:t>裁量基准</w:t>
            </w:r>
          </w:p>
        </w:tc>
      </w:tr>
      <w:tr w14:paraId="7A73CA64">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000000" w:sz="4" w:space="0"/>
              <w:right w:val="single" w:color="auto" w:sz="4" w:space="0"/>
            </w:tcBorders>
            <w:vAlign w:val="center"/>
          </w:tcPr>
          <w:p w14:paraId="352F41D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1D0ECD4E">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color="auto" w:sz="4" w:space="0"/>
              <w:bottom w:val="single" w:color="000000" w:sz="4" w:space="0"/>
              <w:right w:val="single" w:color="auto" w:sz="4" w:space="0"/>
            </w:tcBorders>
            <w:vAlign w:val="center"/>
          </w:tcPr>
          <w:p w14:paraId="6FE392B8">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5F36A03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557A7E84">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000000" w:sz="4" w:space="0"/>
              <w:right w:val="single" w:color="auto" w:sz="4" w:space="0"/>
            </w:tcBorders>
            <w:vAlign w:val="center"/>
          </w:tcPr>
          <w:p w14:paraId="3DF4C8E8">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5184125C">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val="continue"/>
            <w:tcBorders>
              <w:top w:val="nil"/>
              <w:left w:val="single" w:color="auto" w:sz="4" w:space="0"/>
              <w:bottom w:val="single" w:color="000000" w:sz="4" w:space="0"/>
              <w:right w:val="single" w:color="auto" w:sz="4" w:space="0"/>
            </w:tcBorders>
            <w:vAlign w:val="center"/>
          </w:tcPr>
          <w:p w14:paraId="2478D1A9">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vAlign w:val="center"/>
          </w:tcPr>
          <w:p w14:paraId="303A854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C4B9E67"/>
    <w:p w14:paraId="5962E53D"/>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57093CBF">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FCC5958">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6175AE18">
            <w:pPr>
              <w:spacing w:line="320" w:lineRule="exact"/>
              <w:jc w:val="left"/>
              <w:rPr>
                <w:rFonts w:eastAsia="仿宋_GB2312"/>
                <w:b/>
                <w:bCs/>
                <w:color w:val="000000"/>
                <w:kern w:val="0"/>
                <w:sz w:val="18"/>
                <w:szCs w:val="18"/>
              </w:rPr>
            </w:pPr>
            <w:r>
              <w:rPr>
                <w:rFonts w:eastAsia="仿宋_GB2312"/>
                <w:b/>
                <w:bCs/>
                <w:color w:val="000000"/>
                <w:kern w:val="0"/>
                <w:sz w:val="18"/>
                <w:szCs w:val="18"/>
              </w:rPr>
              <w:t>320217259000</w:t>
            </w:r>
          </w:p>
        </w:tc>
      </w:tr>
      <w:tr w14:paraId="2B583D5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22354C8">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3272595B">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隐瞒有关情况或者提供虚假材料申请安全生产考核的处罚</w:t>
            </w:r>
          </w:p>
        </w:tc>
      </w:tr>
      <w:tr w14:paraId="1881899B">
        <w:tblPrEx>
          <w:tblCellMar>
            <w:top w:w="0" w:type="dxa"/>
            <w:left w:w="108" w:type="dxa"/>
            <w:bottom w:w="0" w:type="dxa"/>
            <w:right w:w="108" w:type="dxa"/>
          </w:tblCellMar>
        </w:tblPrEx>
        <w:trPr>
          <w:trHeight w:val="1294" w:hRule="atLeast"/>
        </w:trPr>
        <w:tc>
          <w:tcPr>
            <w:tcW w:w="1010" w:type="dxa"/>
            <w:tcBorders>
              <w:top w:val="nil"/>
              <w:left w:val="single" w:color="auto" w:sz="8" w:space="0"/>
              <w:bottom w:val="single" w:color="auto" w:sz="4" w:space="0"/>
              <w:right w:val="single" w:color="auto" w:sz="4" w:space="0"/>
            </w:tcBorders>
            <w:vAlign w:val="center"/>
          </w:tcPr>
          <w:p w14:paraId="0AAA00D0">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0004DB5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号）　</w:t>
            </w:r>
          </w:p>
          <w:p w14:paraId="5999A82F">
            <w:pPr>
              <w:spacing w:line="320" w:lineRule="exact"/>
              <w:jc w:val="left"/>
              <w:rPr>
                <w:color w:val="000000"/>
                <w:kern w:val="0"/>
                <w:sz w:val="18"/>
                <w:szCs w:val="18"/>
              </w:rPr>
            </w:pPr>
            <w:r>
              <w:rPr>
                <w:rFonts w:hint="eastAsia"/>
                <w:color w:val="000000"/>
                <w:kern w:val="0"/>
                <w:sz w:val="18"/>
                <w:szCs w:val="18"/>
              </w:rPr>
              <w:t>第二十七条第一款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隐瞒有关情况或者提供虚假材料申请安全生产考核的，考核机关不予考核，并给予警告；</w:t>
            </w:r>
            <w:r>
              <w:rPr>
                <w:color w:val="000000"/>
                <w:kern w:val="0"/>
                <w:sz w:val="18"/>
                <w:szCs w:val="18"/>
              </w:rPr>
              <w:t>“</w:t>
            </w:r>
            <w:r>
              <w:rPr>
                <w:rFonts w:hint="eastAsia"/>
                <w:color w:val="000000"/>
                <w:kern w:val="0"/>
                <w:sz w:val="18"/>
                <w:szCs w:val="18"/>
              </w:rPr>
              <w:t>安管人员</w:t>
            </w:r>
            <w:r>
              <w:rPr>
                <w:color w:val="000000"/>
                <w:kern w:val="0"/>
                <w:sz w:val="18"/>
                <w:szCs w:val="18"/>
              </w:rPr>
              <w:t>”1</w:t>
            </w:r>
            <w:r>
              <w:rPr>
                <w:rFonts w:hint="eastAsia"/>
                <w:color w:val="000000"/>
                <w:kern w:val="0"/>
                <w:sz w:val="18"/>
                <w:szCs w:val="18"/>
              </w:rPr>
              <w:t>年内不得再次申请考核。</w:t>
            </w:r>
          </w:p>
        </w:tc>
      </w:tr>
      <w:tr w14:paraId="0D19F24F">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E43E067">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237F3052">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年内不得再次申请考核</w:t>
            </w:r>
          </w:p>
        </w:tc>
      </w:tr>
      <w:tr w14:paraId="21F09E85">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3DD34339">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14:paraId="1B5974C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FD6A7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D2894A6">
            <w:pPr>
              <w:spacing w:line="320" w:lineRule="exact"/>
              <w:jc w:val="left"/>
              <w:rPr>
                <w:color w:val="000000"/>
                <w:kern w:val="0"/>
                <w:sz w:val="18"/>
                <w:szCs w:val="18"/>
              </w:rPr>
            </w:pPr>
            <w:r>
              <w:rPr>
                <w:rFonts w:hint="eastAsia"/>
                <w:color w:val="000000"/>
                <w:kern w:val="0"/>
                <w:sz w:val="18"/>
                <w:szCs w:val="18"/>
              </w:rPr>
              <w:t>　</w:t>
            </w:r>
          </w:p>
        </w:tc>
        <w:tc>
          <w:tcPr>
            <w:tcW w:w="1030" w:type="dxa"/>
            <w:tcBorders>
              <w:top w:val="nil"/>
              <w:left w:val="nil"/>
              <w:bottom w:val="single" w:color="auto" w:sz="4" w:space="0"/>
              <w:right w:val="single" w:color="auto" w:sz="4" w:space="0"/>
            </w:tcBorders>
            <w:vAlign w:val="center"/>
          </w:tcPr>
          <w:p w14:paraId="3C784AA9">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4D131213">
            <w:pPr>
              <w:spacing w:line="320" w:lineRule="exact"/>
              <w:jc w:val="left"/>
              <w:rPr>
                <w:color w:val="000000"/>
                <w:kern w:val="0"/>
                <w:sz w:val="18"/>
                <w:szCs w:val="18"/>
              </w:rPr>
            </w:pPr>
            <w:r>
              <w:rPr>
                <w:rFonts w:hint="eastAsia"/>
                <w:color w:val="000000"/>
                <w:kern w:val="0"/>
                <w:sz w:val="18"/>
                <w:szCs w:val="18"/>
              </w:rPr>
              <w:t>　</w:t>
            </w:r>
          </w:p>
        </w:tc>
      </w:tr>
    </w:tbl>
    <w:p w14:paraId="7361EEA9"/>
    <w:p w14:paraId="3D64D880"/>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13F754E5">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3276CAB">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64390522">
            <w:pPr>
              <w:spacing w:line="320" w:lineRule="exact"/>
              <w:rPr>
                <w:b/>
                <w:color w:val="000000"/>
                <w:kern w:val="0"/>
                <w:sz w:val="18"/>
                <w:szCs w:val="18"/>
              </w:rPr>
            </w:pPr>
            <w:r>
              <w:rPr>
                <w:b/>
                <w:color w:val="000000"/>
                <w:kern w:val="0"/>
                <w:sz w:val="18"/>
                <w:szCs w:val="18"/>
              </w:rPr>
              <w:t>320217260000</w:t>
            </w:r>
          </w:p>
        </w:tc>
      </w:tr>
      <w:tr w14:paraId="5C94789D">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91DD18C">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605F0304">
            <w:pPr>
              <w:spacing w:line="320" w:lineRule="exact"/>
              <w:rPr>
                <w:color w:val="000000"/>
                <w:kern w:val="0"/>
                <w:sz w:val="18"/>
                <w:szCs w:val="18"/>
              </w:rPr>
            </w:pPr>
            <w:r>
              <w:rPr>
                <w:rFonts w:hint="eastAsia"/>
                <w:color w:val="000000"/>
                <w:kern w:val="0"/>
                <w:sz w:val="18"/>
                <w:szCs w:val="18"/>
              </w:rPr>
              <w:t>对注册造价工程师在执业过程中允许他人以自己名义从事工程造价业务的处罚</w:t>
            </w:r>
          </w:p>
        </w:tc>
      </w:tr>
      <w:tr w14:paraId="4CC6D579">
        <w:tblPrEx>
          <w:tblCellMar>
            <w:top w:w="0" w:type="dxa"/>
            <w:left w:w="108" w:type="dxa"/>
            <w:bottom w:w="0" w:type="dxa"/>
            <w:right w:w="108" w:type="dxa"/>
          </w:tblCellMar>
        </w:tblPrEx>
        <w:trPr>
          <w:trHeight w:val="1350" w:hRule="atLeast"/>
        </w:trPr>
        <w:tc>
          <w:tcPr>
            <w:tcW w:w="1056" w:type="dxa"/>
            <w:tcBorders>
              <w:top w:val="nil"/>
              <w:left w:val="single" w:color="auto" w:sz="8" w:space="0"/>
              <w:bottom w:val="single" w:color="auto" w:sz="4" w:space="0"/>
              <w:right w:val="single" w:color="auto" w:sz="4" w:space="0"/>
            </w:tcBorders>
            <w:vAlign w:val="center"/>
          </w:tcPr>
          <w:p w14:paraId="6B10CA71">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0EB2A085">
            <w:pPr>
              <w:spacing w:line="320" w:lineRule="exact"/>
              <w:rPr>
                <w:color w:val="000000"/>
                <w:kern w:val="0"/>
                <w:sz w:val="18"/>
                <w:szCs w:val="18"/>
              </w:rPr>
            </w:pPr>
            <w:r>
              <w:rPr>
                <w:rFonts w:hint="eastAsia"/>
                <w:color w:val="000000"/>
                <w:kern w:val="0"/>
                <w:sz w:val="18"/>
                <w:szCs w:val="18"/>
              </w:rPr>
              <w:t>【规章】《注册造价工程师管理办法》（建设部令第150号发布，根据住房和城乡建设部令第32号，住房和城乡建设部令第50号修正）</w:t>
            </w:r>
          </w:p>
          <w:p w14:paraId="335E5B3A">
            <w:pPr>
              <w:spacing w:line="320" w:lineRule="exact"/>
              <w:rPr>
                <w:color w:val="000000"/>
                <w:kern w:val="0"/>
                <w:sz w:val="18"/>
                <w:szCs w:val="18"/>
              </w:rPr>
            </w:pPr>
            <w:r>
              <w:rPr>
                <w:rFonts w:hint="eastAsia"/>
                <w:color w:val="000000"/>
                <w:kern w:val="0"/>
                <w:sz w:val="18"/>
                <w:szCs w:val="18"/>
              </w:rPr>
              <w:t xml:space="preserve">        第二十条　注册造价工程师不得有下列行为：</w:t>
            </w:r>
          </w:p>
          <w:p w14:paraId="2D594F6C">
            <w:pPr>
              <w:spacing w:line="320" w:lineRule="exact"/>
              <w:rPr>
                <w:color w:val="000000"/>
                <w:kern w:val="0"/>
                <w:sz w:val="18"/>
                <w:szCs w:val="18"/>
              </w:rPr>
            </w:pPr>
            <w:r>
              <w:rPr>
                <w:rFonts w:hint="eastAsia"/>
                <w:color w:val="000000"/>
                <w:kern w:val="0"/>
                <w:sz w:val="18"/>
                <w:szCs w:val="18"/>
              </w:rPr>
              <w:t>　　（六）允许他人以自己名义从事工程造价业务；</w:t>
            </w:r>
          </w:p>
          <w:p w14:paraId="571E6278">
            <w:pPr>
              <w:spacing w:line="320" w:lineRule="exact"/>
              <w:rPr>
                <w:color w:val="000000"/>
                <w:kern w:val="0"/>
                <w:sz w:val="18"/>
                <w:szCs w:val="18"/>
              </w:rPr>
            </w:pPr>
            <w:r>
              <w:rPr>
                <w:rFonts w:hint="eastAsia"/>
                <w:color w:val="000000"/>
                <w:kern w:val="0"/>
                <w:sz w:val="18"/>
                <w:szCs w:val="18"/>
              </w:rPr>
              <w:t>　　第三十六条　注册造价工程师有本办法第二十条规定行为之一的，由县级以上地方人民政府住房城乡建设主管部门或者其他有关部门给予警告，责令改正，没有违法所得的，处以1万元以下罚款，有违法所得的，处以违法所得3倍以下且不超过3万元的罚款。</w:t>
            </w:r>
          </w:p>
        </w:tc>
      </w:tr>
      <w:tr w14:paraId="2D27B57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7AF7E64">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01080DA1">
            <w:pPr>
              <w:spacing w:line="320" w:lineRule="exact"/>
              <w:jc w:val="left"/>
              <w:rPr>
                <w:color w:val="000000"/>
                <w:kern w:val="0"/>
                <w:sz w:val="18"/>
                <w:szCs w:val="18"/>
              </w:rPr>
            </w:pPr>
            <w:r>
              <w:rPr>
                <w:rFonts w:hint="eastAsia"/>
                <w:color w:val="000000"/>
                <w:kern w:val="0"/>
                <w:sz w:val="18"/>
                <w:szCs w:val="18"/>
              </w:rPr>
              <w:t>警告，罚款</w:t>
            </w:r>
          </w:p>
        </w:tc>
      </w:tr>
      <w:tr w14:paraId="79DF7973">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116318CD">
            <w:pPr>
              <w:spacing w:line="320" w:lineRule="exact"/>
              <w:jc w:val="center"/>
              <w:rPr>
                <w:color w:val="000000"/>
                <w:kern w:val="0"/>
                <w:sz w:val="18"/>
                <w:szCs w:val="18"/>
              </w:rPr>
            </w:pPr>
            <w:r>
              <w:rPr>
                <w:rFonts w:hint="eastAsia"/>
                <w:color w:val="000000"/>
                <w:kern w:val="0"/>
                <w:sz w:val="18"/>
                <w:szCs w:val="18"/>
              </w:rPr>
              <w:t>裁量基准</w:t>
            </w:r>
          </w:p>
        </w:tc>
      </w:tr>
      <w:tr w14:paraId="68B52E6B">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02D8B7DB">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743CB7C8">
            <w:pPr>
              <w:spacing w:line="320" w:lineRule="exact"/>
              <w:jc w:val="center"/>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3D79D8BA">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4E22D136">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6EDD031D">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4DE315E5">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2D215E7">
            <w:pPr>
              <w:spacing w:line="320" w:lineRule="exact"/>
              <w:jc w:val="center"/>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22D29635">
            <w:pPr>
              <w:spacing w:line="320" w:lineRule="exact"/>
              <w:jc w:val="center"/>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D567FC3">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13C92BB4">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963B0BE">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528A710C">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A479EE7">
            <w:pPr>
              <w:spacing w:line="320" w:lineRule="exact"/>
              <w:jc w:val="center"/>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1AF5DCD5">
            <w:pPr>
              <w:spacing w:line="320" w:lineRule="exact"/>
              <w:jc w:val="center"/>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41960050">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16A14E01">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35D176F">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77A2B057">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BA06BBA">
            <w:pPr>
              <w:spacing w:line="320" w:lineRule="exact"/>
              <w:jc w:val="center"/>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5F9577C5">
            <w:pPr>
              <w:spacing w:line="320" w:lineRule="exact"/>
              <w:jc w:val="center"/>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6A5D960">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6B4277C6">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E399B88">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71C5A579"/>
    <w:p w14:paraId="55C5CE4D"/>
    <w:p w14:paraId="51494FF7"/>
    <w:p w14:paraId="6F5E4983"/>
    <w:p w14:paraId="6B594A55"/>
    <w:p w14:paraId="423D49C7"/>
    <w:p w14:paraId="09561B48"/>
    <w:p w14:paraId="3D7CF50B"/>
    <w:p w14:paraId="2760E3F9"/>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7D1D3AF0">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28C08A3">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4" w:space="0"/>
              <w:bottom w:val="single" w:color="auto" w:sz="4" w:space="0"/>
              <w:right w:val="single" w:color="auto" w:sz="4" w:space="0"/>
            </w:tcBorders>
          </w:tcPr>
          <w:p w14:paraId="291C6D10">
            <w:pPr>
              <w:spacing w:line="320" w:lineRule="exact"/>
              <w:jc w:val="left"/>
              <w:rPr>
                <w:b/>
                <w:color w:val="000000"/>
                <w:kern w:val="0"/>
                <w:sz w:val="18"/>
                <w:szCs w:val="18"/>
              </w:rPr>
            </w:pPr>
            <w:r>
              <w:rPr>
                <w:b/>
                <w:color w:val="000000"/>
                <w:kern w:val="0"/>
                <w:sz w:val="18"/>
                <w:szCs w:val="18"/>
              </w:rPr>
              <w:t>320217261000</w:t>
            </w:r>
          </w:p>
        </w:tc>
      </w:tr>
      <w:tr w14:paraId="0D250123">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18EE6C9">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1A5BF084">
            <w:pPr>
              <w:spacing w:line="320" w:lineRule="exact"/>
              <w:jc w:val="left"/>
              <w:rPr>
                <w:color w:val="000000"/>
                <w:kern w:val="0"/>
                <w:sz w:val="18"/>
                <w:szCs w:val="18"/>
              </w:rPr>
            </w:pPr>
            <w:r>
              <w:rPr>
                <w:rFonts w:hint="eastAsia"/>
                <w:color w:val="000000"/>
                <w:kern w:val="0"/>
                <w:sz w:val="18"/>
                <w:szCs w:val="18"/>
              </w:rPr>
              <w:t>对注册造价工程师同时在两个或者两个以上单位执业的处罚</w:t>
            </w:r>
          </w:p>
        </w:tc>
      </w:tr>
      <w:tr w14:paraId="45CA1205">
        <w:tblPrEx>
          <w:tblCellMar>
            <w:top w:w="0" w:type="dxa"/>
            <w:left w:w="108" w:type="dxa"/>
            <w:bottom w:w="0" w:type="dxa"/>
            <w:right w:w="108" w:type="dxa"/>
          </w:tblCellMar>
        </w:tblPrEx>
        <w:trPr>
          <w:trHeight w:val="1350" w:hRule="atLeast"/>
        </w:trPr>
        <w:tc>
          <w:tcPr>
            <w:tcW w:w="1056" w:type="dxa"/>
            <w:tcBorders>
              <w:top w:val="nil"/>
              <w:left w:val="single" w:color="auto" w:sz="8" w:space="0"/>
              <w:bottom w:val="single" w:color="auto" w:sz="4" w:space="0"/>
              <w:right w:val="single" w:color="auto" w:sz="4" w:space="0"/>
            </w:tcBorders>
            <w:vAlign w:val="center"/>
          </w:tcPr>
          <w:p w14:paraId="1AF826CF">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0AFF494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【规章】《注册造价工程师管理办法》（建设部令第150号发布，根据住房和城乡建设部令第32号，住房和城乡建设部令第50号修正）</w:t>
            </w:r>
          </w:p>
          <w:p w14:paraId="44643D5C">
            <w:pPr>
              <w:spacing w:line="320" w:lineRule="exact"/>
              <w:jc w:val="left"/>
              <w:rPr>
                <w:color w:val="000000"/>
                <w:kern w:val="0"/>
                <w:sz w:val="18"/>
                <w:szCs w:val="18"/>
              </w:rPr>
            </w:pPr>
            <w:r>
              <w:rPr>
                <w:rFonts w:hint="eastAsia"/>
                <w:color w:val="000000"/>
                <w:kern w:val="0"/>
                <w:sz w:val="18"/>
                <w:szCs w:val="18"/>
              </w:rPr>
              <w:t xml:space="preserve">   第二十条　注册造价工程师不得有下列行为：</w:t>
            </w:r>
          </w:p>
          <w:p w14:paraId="2CA736E9">
            <w:pPr>
              <w:spacing w:line="320" w:lineRule="exact"/>
              <w:jc w:val="left"/>
              <w:rPr>
                <w:color w:val="000000"/>
                <w:kern w:val="0"/>
                <w:sz w:val="18"/>
                <w:szCs w:val="18"/>
              </w:rPr>
            </w:pPr>
            <w:r>
              <w:rPr>
                <w:rFonts w:hint="eastAsia"/>
                <w:color w:val="000000"/>
                <w:kern w:val="0"/>
                <w:sz w:val="18"/>
                <w:szCs w:val="18"/>
              </w:rPr>
              <w:t>　　（七）同时在两个或者两个以上单位执业；</w:t>
            </w:r>
          </w:p>
          <w:p w14:paraId="0EBB3F23">
            <w:pPr>
              <w:spacing w:line="320" w:lineRule="exact"/>
              <w:jc w:val="left"/>
              <w:rPr>
                <w:color w:val="000000"/>
                <w:kern w:val="0"/>
                <w:sz w:val="18"/>
                <w:szCs w:val="18"/>
              </w:rPr>
            </w:pPr>
            <w:r>
              <w:rPr>
                <w:rFonts w:hint="eastAsia"/>
                <w:color w:val="000000"/>
                <w:kern w:val="0"/>
                <w:sz w:val="18"/>
                <w:szCs w:val="18"/>
              </w:rPr>
              <w:t>　   第三十六条　注册造价工程师有本办法第二十条规定行为之一的，由县级以上地方人民政府住房城乡建设主管部门或者其他有关部门给予警告，责令改正，没有违法所得的，处以1万元以下罚款，有违法所得的，处以违法所得3倍以下且不超过3万元的罚款。</w:t>
            </w:r>
          </w:p>
        </w:tc>
      </w:tr>
      <w:tr w14:paraId="11BC85C1">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AB25DE3">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5CD0F407">
            <w:pPr>
              <w:spacing w:line="320" w:lineRule="exact"/>
              <w:jc w:val="left"/>
              <w:rPr>
                <w:color w:val="000000"/>
                <w:kern w:val="0"/>
                <w:sz w:val="18"/>
                <w:szCs w:val="18"/>
              </w:rPr>
            </w:pPr>
            <w:r>
              <w:rPr>
                <w:rFonts w:hint="eastAsia"/>
                <w:color w:val="000000"/>
                <w:kern w:val="0"/>
                <w:sz w:val="18"/>
                <w:szCs w:val="18"/>
              </w:rPr>
              <w:t>警告，罚款</w:t>
            </w:r>
          </w:p>
        </w:tc>
      </w:tr>
      <w:tr w14:paraId="68AFC1DB">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548DEE5D">
            <w:pPr>
              <w:spacing w:line="320" w:lineRule="exact"/>
              <w:jc w:val="center"/>
              <w:rPr>
                <w:color w:val="000000"/>
                <w:kern w:val="0"/>
                <w:sz w:val="18"/>
                <w:szCs w:val="18"/>
              </w:rPr>
            </w:pPr>
            <w:r>
              <w:rPr>
                <w:rFonts w:hint="eastAsia"/>
                <w:color w:val="000000"/>
                <w:kern w:val="0"/>
                <w:sz w:val="18"/>
                <w:szCs w:val="18"/>
              </w:rPr>
              <w:t>裁量基准</w:t>
            </w:r>
          </w:p>
        </w:tc>
      </w:tr>
      <w:tr w14:paraId="2F673C33">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2BF649A2">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7D00A04C">
            <w:pPr>
              <w:spacing w:line="320" w:lineRule="exact"/>
              <w:jc w:val="center"/>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61C9F560">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5AB101C1">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C7F242C">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03D3EBCD">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36E7470">
            <w:pPr>
              <w:spacing w:line="320" w:lineRule="exact"/>
              <w:jc w:val="center"/>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ABD1926">
            <w:pPr>
              <w:spacing w:line="320" w:lineRule="exact"/>
              <w:jc w:val="center"/>
              <w:rPr>
                <w:color w:val="000000"/>
                <w:kern w:val="0"/>
                <w:sz w:val="18"/>
                <w:szCs w:val="18"/>
              </w:rPr>
            </w:pPr>
          </w:p>
        </w:tc>
        <w:tc>
          <w:tcPr>
            <w:tcW w:w="4600" w:type="dxa"/>
            <w:tcBorders>
              <w:top w:val="nil"/>
              <w:left w:val="nil"/>
              <w:bottom w:val="single" w:color="auto" w:sz="4" w:space="0"/>
              <w:right w:val="single" w:color="auto" w:sz="4" w:space="0"/>
            </w:tcBorders>
            <w:vAlign w:val="center"/>
          </w:tcPr>
          <w:p w14:paraId="27316814">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16B76C8D">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B5444A7">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7F22D22C">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B671CFB">
            <w:pPr>
              <w:spacing w:line="320" w:lineRule="exact"/>
              <w:jc w:val="center"/>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1152D08E">
            <w:pPr>
              <w:spacing w:line="320" w:lineRule="exact"/>
              <w:jc w:val="center"/>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5D884121">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0D0BCF07">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CD45ADF">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0426BBBE">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A9C5C26">
            <w:pPr>
              <w:spacing w:line="320" w:lineRule="exact"/>
              <w:jc w:val="center"/>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69E88BA">
            <w:pPr>
              <w:spacing w:line="320" w:lineRule="exact"/>
              <w:jc w:val="center"/>
              <w:rPr>
                <w:color w:val="000000"/>
                <w:kern w:val="0"/>
                <w:sz w:val="18"/>
                <w:szCs w:val="18"/>
              </w:rPr>
            </w:pPr>
          </w:p>
        </w:tc>
        <w:tc>
          <w:tcPr>
            <w:tcW w:w="4600" w:type="dxa"/>
            <w:tcBorders>
              <w:top w:val="nil"/>
              <w:left w:val="nil"/>
              <w:bottom w:val="single" w:color="auto" w:sz="4" w:space="0"/>
              <w:right w:val="single" w:color="auto" w:sz="4" w:space="0"/>
            </w:tcBorders>
            <w:vAlign w:val="center"/>
          </w:tcPr>
          <w:p w14:paraId="4B3122C6">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23462FDD">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962563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26F3F710"/>
    <w:p w14:paraId="5259621C"/>
    <w:p w14:paraId="7E6E917E"/>
    <w:p w14:paraId="494FD401"/>
    <w:p w14:paraId="0183736C"/>
    <w:p w14:paraId="0C28A840"/>
    <w:p w14:paraId="72C0FC05"/>
    <w:p w14:paraId="3D1E1B6E"/>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17C00EE4">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C7F2017">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450AD066">
            <w:pPr>
              <w:spacing w:line="320" w:lineRule="exact"/>
              <w:rPr>
                <w:b/>
                <w:color w:val="000000"/>
                <w:kern w:val="0"/>
                <w:sz w:val="18"/>
                <w:szCs w:val="18"/>
              </w:rPr>
            </w:pPr>
            <w:r>
              <w:rPr>
                <w:b/>
                <w:color w:val="000000"/>
                <w:kern w:val="0"/>
                <w:sz w:val="18"/>
                <w:szCs w:val="18"/>
              </w:rPr>
              <w:t>320217262000</w:t>
            </w:r>
          </w:p>
        </w:tc>
      </w:tr>
      <w:tr w14:paraId="3F586CAB">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EF511D1">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66611AA6">
            <w:pPr>
              <w:spacing w:line="320" w:lineRule="exact"/>
              <w:rPr>
                <w:color w:val="000000"/>
                <w:kern w:val="0"/>
                <w:sz w:val="18"/>
                <w:szCs w:val="18"/>
              </w:rPr>
            </w:pPr>
            <w:r>
              <w:rPr>
                <w:rFonts w:hint="eastAsia"/>
                <w:color w:val="000000"/>
                <w:kern w:val="0"/>
                <w:sz w:val="18"/>
                <w:szCs w:val="18"/>
              </w:rPr>
              <w:t>对涂改、倒卖、出租、出借或者以其他形式非法转让注册造价工程师注册证书或者执业印章的处罚</w:t>
            </w:r>
          </w:p>
        </w:tc>
      </w:tr>
      <w:tr w14:paraId="019C453E">
        <w:tblPrEx>
          <w:tblCellMar>
            <w:top w:w="0" w:type="dxa"/>
            <w:left w:w="108" w:type="dxa"/>
            <w:bottom w:w="0" w:type="dxa"/>
            <w:right w:w="108" w:type="dxa"/>
          </w:tblCellMar>
        </w:tblPrEx>
        <w:trPr>
          <w:trHeight w:val="1365" w:hRule="atLeast"/>
        </w:trPr>
        <w:tc>
          <w:tcPr>
            <w:tcW w:w="1056" w:type="dxa"/>
            <w:tcBorders>
              <w:top w:val="nil"/>
              <w:left w:val="single" w:color="auto" w:sz="8" w:space="0"/>
              <w:bottom w:val="single" w:color="auto" w:sz="4" w:space="0"/>
              <w:right w:val="single" w:color="auto" w:sz="4" w:space="0"/>
            </w:tcBorders>
            <w:vAlign w:val="center"/>
          </w:tcPr>
          <w:p w14:paraId="2BCE224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48708A7F">
            <w:pPr>
              <w:spacing w:line="320" w:lineRule="exact"/>
              <w:rPr>
                <w:color w:val="000000"/>
                <w:kern w:val="0"/>
                <w:sz w:val="18"/>
                <w:szCs w:val="18"/>
              </w:rPr>
            </w:pPr>
            <w:r>
              <w:rPr>
                <w:rFonts w:hint="eastAsia"/>
                <w:color w:val="000000"/>
                <w:kern w:val="0"/>
                <w:sz w:val="18"/>
                <w:szCs w:val="18"/>
              </w:rPr>
              <w:t>【规章】《注册造价工程师管理办法》（建设部令第150号发布，根据住房和城乡建设部令第32号，住房和城乡建设部令第50号修正）</w:t>
            </w:r>
          </w:p>
          <w:p w14:paraId="49BFFE38">
            <w:pPr>
              <w:spacing w:line="320" w:lineRule="exact"/>
              <w:rPr>
                <w:color w:val="000000"/>
                <w:kern w:val="0"/>
                <w:sz w:val="18"/>
                <w:szCs w:val="18"/>
              </w:rPr>
            </w:pPr>
            <w:r>
              <w:rPr>
                <w:rFonts w:hint="eastAsia"/>
                <w:color w:val="000000"/>
                <w:kern w:val="0"/>
                <w:sz w:val="18"/>
                <w:szCs w:val="18"/>
              </w:rPr>
              <w:t xml:space="preserve">   第二十条　注册造价工程师不得有下列行为：</w:t>
            </w:r>
          </w:p>
          <w:p w14:paraId="2B661C5F">
            <w:pPr>
              <w:spacing w:line="320" w:lineRule="exact"/>
              <w:rPr>
                <w:color w:val="000000"/>
                <w:kern w:val="0"/>
                <w:sz w:val="18"/>
                <w:szCs w:val="18"/>
              </w:rPr>
            </w:pPr>
            <w:r>
              <w:rPr>
                <w:rFonts w:hint="eastAsia"/>
                <w:color w:val="000000"/>
                <w:kern w:val="0"/>
                <w:sz w:val="18"/>
                <w:szCs w:val="18"/>
              </w:rPr>
              <w:t>　　（八）涂改、倒卖、出租、出借或者以其他形式非法转让注册证书或者执业印章；</w:t>
            </w:r>
          </w:p>
          <w:p w14:paraId="78EDF96F">
            <w:pPr>
              <w:spacing w:line="320" w:lineRule="exact"/>
              <w:rPr>
                <w:color w:val="000000"/>
                <w:kern w:val="0"/>
                <w:sz w:val="18"/>
                <w:szCs w:val="18"/>
              </w:rPr>
            </w:pPr>
            <w:r>
              <w:rPr>
                <w:rFonts w:hint="eastAsia"/>
                <w:color w:val="000000"/>
                <w:kern w:val="0"/>
                <w:sz w:val="18"/>
                <w:szCs w:val="18"/>
              </w:rPr>
              <w:t>　　   第三十六条　注册造价工程师有本办法第二十条规定行为之一的，由县级以上地方人民政府住房城乡建设主管部门或者其他有关部门给予警告，责令改正，没有违法所得的，处以1万元以下罚款，有违法所得的，处以违法所得3倍以下且不超过3万元的罚款。</w:t>
            </w:r>
          </w:p>
        </w:tc>
      </w:tr>
      <w:tr w14:paraId="1648687F">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066030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7D6951AB">
            <w:pPr>
              <w:spacing w:line="320" w:lineRule="exact"/>
              <w:jc w:val="left"/>
              <w:rPr>
                <w:color w:val="000000"/>
                <w:kern w:val="0"/>
                <w:sz w:val="18"/>
                <w:szCs w:val="18"/>
              </w:rPr>
            </w:pPr>
            <w:r>
              <w:rPr>
                <w:rFonts w:hint="eastAsia"/>
                <w:color w:val="000000"/>
                <w:kern w:val="0"/>
                <w:sz w:val="18"/>
                <w:szCs w:val="18"/>
              </w:rPr>
              <w:t>警告，罚款</w:t>
            </w:r>
          </w:p>
        </w:tc>
      </w:tr>
      <w:tr w14:paraId="7C54F9A2">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7F106A1A">
            <w:pPr>
              <w:spacing w:line="320" w:lineRule="exact"/>
              <w:jc w:val="center"/>
              <w:rPr>
                <w:color w:val="000000"/>
                <w:kern w:val="0"/>
                <w:sz w:val="18"/>
                <w:szCs w:val="18"/>
              </w:rPr>
            </w:pPr>
            <w:r>
              <w:rPr>
                <w:rFonts w:hint="eastAsia"/>
                <w:color w:val="000000"/>
                <w:kern w:val="0"/>
                <w:sz w:val="18"/>
                <w:szCs w:val="18"/>
              </w:rPr>
              <w:t>裁量基准</w:t>
            </w:r>
          </w:p>
        </w:tc>
      </w:tr>
      <w:tr w14:paraId="7E60A14C">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2EE942FD">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422E2D30">
            <w:pPr>
              <w:spacing w:line="320" w:lineRule="exact"/>
              <w:jc w:val="center"/>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3D21E32D">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2A64E389">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8B0B4E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5C413521">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E0E9CC7">
            <w:pPr>
              <w:spacing w:line="320" w:lineRule="exact"/>
              <w:jc w:val="center"/>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0CE4BED">
            <w:pPr>
              <w:spacing w:line="320" w:lineRule="exact"/>
              <w:jc w:val="center"/>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5F870CB">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015557B3">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B069622">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5361EA2C">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0D9F4978">
            <w:pPr>
              <w:spacing w:line="320" w:lineRule="exact"/>
              <w:jc w:val="center"/>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782B2586">
            <w:pPr>
              <w:spacing w:line="320" w:lineRule="exact"/>
              <w:jc w:val="center"/>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30A502E7">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8E9F979">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275B85E">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00EB03F4">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0A93A1C">
            <w:pPr>
              <w:spacing w:line="320" w:lineRule="exact"/>
              <w:jc w:val="center"/>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6C6AE692">
            <w:pPr>
              <w:spacing w:line="320" w:lineRule="exact"/>
              <w:jc w:val="center"/>
              <w:rPr>
                <w:color w:val="000000"/>
                <w:kern w:val="0"/>
                <w:sz w:val="18"/>
                <w:szCs w:val="18"/>
              </w:rPr>
            </w:pPr>
          </w:p>
        </w:tc>
        <w:tc>
          <w:tcPr>
            <w:tcW w:w="4600" w:type="dxa"/>
            <w:tcBorders>
              <w:top w:val="nil"/>
              <w:left w:val="nil"/>
              <w:bottom w:val="single" w:color="auto" w:sz="4" w:space="0"/>
              <w:right w:val="single" w:color="auto" w:sz="4" w:space="0"/>
            </w:tcBorders>
            <w:vAlign w:val="center"/>
          </w:tcPr>
          <w:p w14:paraId="1B80CF28">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505E352E">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D8E0913">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04325B82"/>
    <w:p w14:paraId="5368ACC5"/>
    <w:p w14:paraId="088B5381"/>
    <w:p w14:paraId="2B31D5A1"/>
    <w:p w14:paraId="5C641668"/>
    <w:p w14:paraId="7F70E263"/>
    <w:p w14:paraId="5E5F14C6"/>
    <w:p w14:paraId="43CD693B"/>
    <w:p w14:paraId="59650970"/>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12750047">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4F473CE8">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52B7EA71">
            <w:pPr>
              <w:jc w:val="left"/>
              <w:textAlignment w:val="center"/>
              <w:rPr>
                <w:rFonts w:eastAsia="仿宋_GB2312"/>
                <w:b/>
                <w:bCs/>
                <w:color w:val="000000"/>
                <w:kern w:val="0"/>
                <w:sz w:val="18"/>
                <w:szCs w:val="18"/>
              </w:rPr>
            </w:pPr>
            <w:r>
              <w:rPr>
                <w:rFonts w:eastAsia="仿宋_GB2312"/>
                <w:b/>
                <w:color w:val="000000"/>
                <w:kern w:val="0"/>
                <w:sz w:val="20"/>
              </w:rPr>
              <w:t>320217264000</w:t>
            </w:r>
          </w:p>
        </w:tc>
      </w:tr>
      <w:tr w14:paraId="5B796DAE">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102D4F64">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47C17357">
            <w:pPr>
              <w:spacing w:line="320" w:lineRule="exact"/>
              <w:jc w:val="left"/>
              <w:rPr>
                <w:color w:val="000000"/>
                <w:kern w:val="0"/>
                <w:sz w:val="18"/>
                <w:szCs w:val="18"/>
              </w:rPr>
            </w:pPr>
            <w:r>
              <w:rPr>
                <w:rFonts w:hint="eastAsia"/>
                <w:color w:val="000000"/>
                <w:kern w:val="0"/>
                <w:sz w:val="18"/>
                <w:szCs w:val="18"/>
              </w:rPr>
              <w:t>对设计单位未按照超限高层建筑工程抗震设防审批意见进行施工图设计的处罚</w:t>
            </w:r>
          </w:p>
        </w:tc>
      </w:tr>
      <w:tr w14:paraId="125DCE03">
        <w:tblPrEx>
          <w:tblCellMar>
            <w:top w:w="0" w:type="dxa"/>
            <w:left w:w="108" w:type="dxa"/>
            <w:bottom w:w="0" w:type="dxa"/>
            <w:right w:w="108" w:type="dxa"/>
          </w:tblCellMar>
        </w:tblPrEx>
        <w:trPr>
          <w:trHeight w:val="1005" w:hRule="atLeast"/>
        </w:trPr>
        <w:tc>
          <w:tcPr>
            <w:tcW w:w="1030" w:type="dxa"/>
            <w:tcBorders>
              <w:top w:val="single" w:color="auto" w:sz="4" w:space="0"/>
              <w:left w:val="single" w:color="auto" w:sz="8" w:space="0"/>
              <w:bottom w:val="single" w:color="auto" w:sz="4" w:space="0"/>
              <w:right w:val="single" w:color="auto" w:sz="4" w:space="0"/>
            </w:tcBorders>
            <w:vAlign w:val="center"/>
          </w:tcPr>
          <w:p w14:paraId="203DB17E">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343BF2CA">
            <w:pPr>
              <w:spacing w:line="320" w:lineRule="exact"/>
              <w:ind w:firstLine="180" w:firstLineChars="100"/>
              <w:jc w:val="left"/>
              <w:rPr>
                <w:color w:val="000000"/>
                <w:kern w:val="0"/>
                <w:sz w:val="18"/>
                <w:szCs w:val="18"/>
              </w:rPr>
            </w:pPr>
            <w:r>
              <w:rPr>
                <w:rFonts w:hint="eastAsia"/>
                <w:color w:val="000000"/>
                <w:kern w:val="0"/>
                <w:sz w:val="18"/>
                <w:szCs w:val="18"/>
              </w:rPr>
              <w:t>【行政法规】《建设工程抗震管理条例》(国务院令第744号）</w:t>
            </w:r>
          </w:p>
          <w:p w14:paraId="262B0136">
            <w:pPr>
              <w:spacing w:line="320" w:lineRule="exact"/>
              <w:ind w:firstLine="180" w:firstLineChars="100"/>
              <w:jc w:val="left"/>
              <w:rPr>
                <w:color w:val="000000"/>
                <w:kern w:val="0"/>
                <w:sz w:val="18"/>
                <w:szCs w:val="18"/>
              </w:rPr>
            </w:pPr>
            <w:r>
              <w:rPr>
                <w:rFonts w:hint="eastAsia"/>
                <w:color w:val="000000"/>
                <w:kern w:val="0"/>
                <w:sz w:val="18"/>
                <w:szCs w:val="18"/>
              </w:rPr>
              <w:t xml:space="preserve">        第十三条　对超限高层建筑工程，设计单位应当在设计文件中予以说明，建设单位应当在初步设计阶段将设计文件等材料报送省、自治区、直辖市人民政府住房和城乡建设主管部门进行抗震设防审批。住房和城乡建设主管部门应当组织专家审查，对采取的抗震设防措施合理可行的，予以批准。超限高层建筑工程抗震设防审批意见应当作为施工图设计和审查的依据。</w:t>
            </w:r>
          </w:p>
          <w:p w14:paraId="3340CEDC">
            <w:pPr>
              <w:spacing w:line="320" w:lineRule="exact"/>
              <w:ind w:firstLine="180" w:firstLineChars="100"/>
              <w:jc w:val="left"/>
              <w:rPr>
                <w:color w:val="000000"/>
                <w:kern w:val="0"/>
                <w:sz w:val="18"/>
                <w:szCs w:val="18"/>
              </w:rPr>
            </w:pPr>
            <w:r>
              <w:rPr>
                <w:rFonts w:hint="eastAsia"/>
                <w:color w:val="000000"/>
                <w:kern w:val="0"/>
                <w:sz w:val="18"/>
                <w:szCs w:val="18"/>
              </w:rPr>
              <w:t xml:space="preserve">       前款所称超限高层建筑工程，是指超出国家现行标准所规定的适用高度和适用结构类型的高层建筑工程以及体型特别不规则的高层建筑工程。</w:t>
            </w:r>
          </w:p>
          <w:p w14:paraId="16A0AA2C">
            <w:pPr>
              <w:spacing w:line="320" w:lineRule="exact"/>
              <w:ind w:firstLine="180" w:firstLineChars="100"/>
              <w:jc w:val="left"/>
              <w:rPr>
                <w:color w:val="000000"/>
                <w:kern w:val="0"/>
                <w:sz w:val="18"/>
                <w:szCs w:val="18"/>
              </w:rPr>
            </w:pPr>
            <w:r>
              <w:rPr>
                <w:rFonts w:hint="eastAsia"/>
                <w:color w:val="000000"/>
                <w:kern w:val="0"/>
                <w:sz w:val="18"/>
                <w:szCs w:val="18"/>
              </w:rPr>
              <w:t xml:space="preserve">   第四十一条　违反本条例规定，设计单位有下列行为之一的，责令改正，处10万元以上30万元以下的罚款；情节严重的，责令停业整顿，降低资质等级或者吊销资质证书；造成损失的，依法承担赔偿责任：</w:t>
            </w:r>
          </w:p>
          <w:p w14:paraId="2858E4FE">
            <w:pPr>
              <w:spacing w:line="320" w:lineRule="exact"/>
              <w:ind w:firstLine="180" w:firstLineChars="100"/>
              <w:jc w:val="left"/>
              <w:rPr>
                <w:color w:val="000000"/>
                <w:kern w:val="0"/>
                <w:sz w:val="18"/>
                <w:szCs w:val="18"/>
              </w:rPr>
            </w:pPr>
            <w:r>
              <w:rPr>
                <w:rFonts w:hint="eastAsia"/>
                <w:color w:val="000000"/>
                <w:kern w:val="0"/>
                <w:sz w:val="18"/>
                <w:szCs w:val="18"/>
              </w:rPr>
              <w:t>（一）未按照超限高层建筑工程抗震设防审批意见进行施工图设计；</w:t>
            </w:r>
          </w:p>
          <w:p w14:paraId="6BDDEE10">
            <w:pPr>
              <w:spacing w:line="320" w:lineRule="exact"/>
              <w:ind w:firstLine="180" w:firstLineChars="100"/>
              <w:jc w:val="left"/>
              <w:rPr>
                <w:color w:val="000000"/>
                <w:kern w:val="0"/>
                <w:sz w:val="18"/>
                <w:szCs w:val="18"/>
              </w:rPr>
            </w:pPr>
            <w:r>
              <w:rPr>
                <w:rFonts w:hint="eastAsia"/>
                <w:color w:val="000000"/>
                <w:kern w:val="0"/>
                <w:sz w:val="18"/>
                <w:szCs w:val="18"/>
              </w:rPr>
              <w:t xml:space="preserve">    第四十七条第二款　本条例规定的降低资质等级或者吊销资质证书的行政处罚，由颁发资质证书的机关决定；其他行政处罚，由住房和城乡建设主管部门或者其他有关监督管理部门依照法定职权决定。</w:t>
            </w:r>
          </w:p>
          <w:p w14:paraId="63C9AC8A">
            <w:pPr>
              <w:spacing w:line="320" w:lineRule="exact"/>
              <w:ind w:firstLine="180" w:firstLineChars="100"/>
              <w:jc w:val="left"/>
              <w:rPr>
                <w:color w:val="000000"/>
                <w:kern w:val="0"/>
                <w:sz w:val="18"/>
                <w:szCs w:val="18"/>
              </w:rPr>
            </w:pPr>
            <w:r>
              <w:rPr>
                <w:rFonts w:hint="eastAsia"/>
                <w:color w:val="000000"/>
                <w:kern w:val="0"/>
                <w:sz w:val="18"/>
                <w:szCs w:val="18"/>
              </w:rPr>
              <w:t>【规章】《超限高层建筑工程抗震设防管理规定》（建设部令第111号）</w:t>
            </w:r>
          </w:p>
          <w:p w14:paraId="6F1C238B">
            <w:pPr>
              <w:spacing w:line="320" w:lineRule="exact"/>
              <w:ind w:firstLine="180" w:firstLineChars="100"/>
              <w:jc w:val="left"/>
              <w:rPr>
                <w:color w:val="000000"/>
                <w:kern w:val="0"/>
                <w:sz w:val="18"/>
                <w:szCs w:val="18"/>
              </w:rPr>
            </w:pPr>
            <w:r>
              <w:rPr>
                <w:rFonts w:hint="eastAsia"/>
                <w:color w:val="000000"/>
                <w:kern w:val="0"/>
                <w:sz w:val="18"/>
                <w:szCs w:val="18"/>
              </w:rPr>
              <w:t xml:space="preserve">    第十三条　建设单位、勘察单位、设计单位应当严格按照抗震设防专项审查意见进行超限高层建筑工程的勘察、设计。</w:t>
            </w:r>
          </w:p>
          <w:p w14:paraId="360D0CFD">
            <w:pPr>
              <w:spacing w:line="320" w:lineRule="exact"/>
              <w:jc w:val="left"/>
              <w:rPr>
                <w:color w:val="000000"/>
                <w:kern w:val="0"/>
                <w:sz w:val="18"/>
                <w:szCs w:val="18"/>
              </w:rPr>
            </w:pPr>
            <w:r>
              <w:rPr>
                <w:rFonts w:hint="eastAsia"/>
                <w:color w:val="000000"/>
                <w:kern w:val="0"/>
                <w:sz w:val="18"/>
                <w:szCs w:val="18"/>
              </w:rPr>
              <w:t xml:space="preserve">    第十八条　勘察、设计单位违反本规定，未按照抗震设防专项审查意见进行超限高层建筑工程勘察、设计的，责令改正，处以1万元以上3万元以下的罚款；造成损失的，依法承担赔偿责任。</w:t>
            </w:r>
          </w:p>
        </w:tc>
      </w:tr>
      <w:tr w14:paraId="4C3EF63A">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2EEFDA45">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1896D53F">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14:paraId="2EF12E37">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318A7DAC">
            <w:pPr>
              <w:spacing w:line="320" w:lineRule="exact"/>
              <w:jc w:val="center"/>
              <w:rPr>
                <w:color w:val="000000"/>
                <w:kern w:val="0"/>
                <w:sz w:val="18"/>
                <w:szCs w:val="18"/>
              </w:rPr>
            </w:pPr>
            <w:r>
              <w:rPr>
                <w:rFonts w:hint="eastAsia"/>
                <w:color w:val="000000"/>
                <w:kern w:val="0"/>
                <w:sz w:val="18"/>
                <w:szCs w:val="18"/>
              </w:rPr>
              <w:t>裁量基准</w:t>
            </w:r>
          </w:p>
        </w:tc>
      </w:tr>
      <w:tr w14:paraId="0F6CE0DA">
        <w:tblPrEx>
          <w:tblCellMar>
            <w:top w:w="0" w:type="dxa"/>
            <w:left w:w="108" w:type="dxa"/>
            <w:bottom w:w="0" w:type="dxa"/>
            <w:right w:w="108" w:type="dxa"/>
          </w:tblCellMar>
        </w:tblPrEx>
        <w:trPr>
          <w:trHeight w:val="424" w:hRule="atLeast"/>
        </w:trPr>
        <w:tc>
          <w:tcPr>
            <w:tcW w:w="1030" w:type="dxa"/>
            <w:vMerge w:val="restart"/>
            <w:tcBorders>
              <w:top w:val="single" w:color="auto" w:sz="4" w:space="0"/>
              <w:left w:val="single" w:color="auto" w:sz="8" w:space="0"/>
              <w:right w:val="single" w:color="auto" w:sz="4" w:space="0"/>
            </w:tcBorders>
            <w:vAlign w:val="center"/>
          </w:tcPr>
          <w:p w14:paraId="616B69CB">
            <w:pPr>
              <w:spacing w:line="32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2BB311A6">
            <w:pPr>
              <w:spacing w:line="20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施工单位未开始施工的</w:t>
            </w:r>
          </w:p>
        </w:tc>
        <w:tc>
          <w:tcPr>
            <w:tcW w:w="1080" w:type="dxa"/>
            <w:vMerge w:val="restart"/>
            <w:tcBorders>
              <w:top w:val="single" w:color="auto" w:sz="4" w:space="0"/>
              <w:left w:val="single" w:color="auto" w:sz="4" w:space="0"/>
              <w:right w:val="single" w:color="auto" w:sz="4" w:space="0"/>
            </w:tcBorders>
            <w:vAlign w:val="center"/>
          </w:tcPr>
          <w:p w14:paraId="033A012F">
            <w:pPr>
              <w:spacing w:line="20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1B4A5ED2">
            <w:pPr>
              <w:spacing w:line="200" w:lineRule="exact"/>
              <w:jc w:val="left"/>
              <w:rPr>
                <w:rFonts w:eastAsiaTheme="minorEastAsia"/>
                <w:color w:val="000000" w:themeColor="text1"/>
                <w:kern w:val="0"/>
                <w:sz w:val="18"/>
                <w:szCs w:val="18"/>
                <w14:textFill>
                  <w14:solidFill>
                    <w14:schemeClr w14:val="tx1"/>
                  </w14:solidFill>
                </w14:textFill>
              </w:rPr>
            </w:pPr>
            <w:r>
              <w:rPr>
                <w:rFonts w:hint="eastAsia" w:eastAsiaTheme="minorEastAsia"/>
                <w:color w:val="000000" w:themeColor="text1"/>
                <w:kern w:val="0"/>
                <w:sz w:val="18"/>
                <w:szCs w:val="18"/>
                <w14:textFill>
                  <w14:solidFill>
                    <w14:schemeClr w14:val="tx1"/>
                  </w14:solidFill>
                </w14:textFill>
              </w:rPr>
              <w:t>对单位：</w:t>
            </w:r>
            <w:r>
              <w:rPr>
                <w:rFonts w:eastAsiaTheme="minorEastAsia"/>
                <w:color w:val="000000" w:themeColor="text1"/>
                <w:kern w:val="0"/>
                <w:sz w:val="18"/>
                <w:szCs w:val="18"/>
                <w14:textFill>
                  <w14:solidFill>
                    <w14:schemeClr w14:val="tx1"/>
                  </w14:solidFill>
                </w14:textFill>
              </w:rPr>
              <w:t>处10万以上15万以下的罚款</w:t>
            </w:r>
          </w:p>
          <w:p w14:paraId="084E7952">
            <w:pPr>
              <w:spacing w:line="200" w:lineRule="exact"/>
              <w:jc w:val="left"/>
              <w:rPr>
                <w:rFonts w:eastAsiaTheme="minorEastAsia"/>
                <w:color w:val="000000" w:themeColor="text1"/>
                <w:kern w:val="0"/>
                <w:sz w:val="18"/>
                <w:szCs w:val="18"/>
                <w14:textFill>
                  <w14:solidFill>
                    <w14:schemeClr w14:val="tx1"/>
                  </w14:solidFill>
                </w14:textFill>
              </w:rPr>
            </w:pPr>
            <w:r>
              <w:rPr>
                <w:rFonts w:hint="eastAsia" w:eastAsiaTheme="minorEastAsia"/>
                <w:color w:val="000000" w:themeColor="text1"/>
                <w:kern w:val="0"/>
                <w:sz w:val="18"/>
                <w:szCs w:val="18"/>
                <w14:textFill>
                  <w14:solidFill>
                    <w14:schemeClr w14:val="tx1"/>
                  </w14:solidFill>
                </w14:textFill>
              </w:rPr>
              <w:t>对个人：</w:t>
            </w:r>
            <w:r>
              <w:rPr>
                <w:rFonts w:eastAsiaTheme="minorEastAsia"/>
                <w:color w:val="000000" w:themeColor="text1"/>
                <w:kern w:val="0"/>
                <w:sz w:val="18"/>
                <w:szCs w:val="18"/>
                <w14:textFill>
                  <w14:solidFill>
                    <w14:schemeClr w14:val="tx1"/>
                  </w14:solidFill>
                </w14:textFill>
              </w:rPr>
              <w:t>处单位罚款数额</w:t>
            </w:r>
            <w:r>
              <w:rPr>
                <w:rFonts w:hint="eastAsia" w:eastAsiaTheme="minorEastAsia"/>
                <w:color w:val="000000" w:themeColor="text1"/>
                <w:kern w:val="0"/>
                <w:sz w:val="18"/>
                <w:szCs w:val="18"/>
                <w14:textFill>
                  <w14:solidFill>
                    <w14:schemeClr w14:val="tx1"/>
                  </w14:solidFill>
                </w14:textFill>
              </w:rPr>
              <w:t>5</w:t>
            </w:r>
            <w:r>
              <w:rPr>
                <w:rFonts w:eastAsiaTheme="minorEastAsia"/>
                <w:color w:val="000000" w:themeColor="text1"/>
                <w:kern w:val="0"/>
                <w:sz w:val="18"/>
                <w:szCs w:val="18"/>
                <w14:textFill>
                  <w14:solidFill>
                    <w14:schemeClr w14:val="tx1"/>
                  </w14:solidFill>
                </w14:textFill>
              </w:rPr>
              <w:t>％以上7％以下的罚款</w:t>
            </w:r>
          </w:p>
        </w:tc>
      </w:tr>
      <w:tr w14:paraId="4734FCBF">
        <w:tblPrEx>
          <w:tblCellMar>
            <w:top w:w="0" w:type="dxa"/>
            <w:left w:w="108" w:type="dxa"/>
            <w:bottom w:w="0" w:type="dxa"/>
            <w:right w:w="108" w:type="dxa"/>
          </w:tblCellMar>
        </w:tblPrEx>
        <w:trPr>
          <w:trHeight w:val="416" w:hRule="atLeast"/>
        </w:trPr>
        <w:tc>
          <w:tcPr>
            <w:tcW w:w="1030" w:type="dxa"/>
            <w:vMerge w:val="continue"/>
            <w:tcBorders>
              <w:left w:val="single" w:color="auto" w:sz="8" w:space="0"/>
              <w:right w:val="single" w:color="auto" w:sz="4" w:space="0"/>
            </w:tcBorders>
            <w:vAlign w:val="center"/>
          </w:tcPr>
          <w:p w14:paraId="40CA27A2">
            <w:pPr>
              <w:spacing w:line="320" w:lineRule="exact"/>
              <w:jc w:val="left"/>
              <w:rPr>
                <w:color w:val="000000" w:themeColor="text1"/>
                <w:kern w:val="0"/>
                <w:sz w:val="18"/>
                <w:szCs w:val="18"/>
                <w14:textFill>
                  <w14:solidFill>
                    <w14:schemeClr w14:val="tx1"/>
                  </w14:solidFill>
                </w14:textFill>
              </w:rPr>
            </w:pPr>
          </w:p>
        </w:tc>
        <w:tc>
          <w:tcPr>
            <w:tcW w:w="6140" w:type="dxa"/>
            <w:tcBorders>
              <w:top w:val="single" w:color="auto" w:sz="4" w:space="0"/>
              <w:left w:val="single" w:color="auto" w:sz="4" w:space="0"/>
              <w:bottom w:val="single" w:color="auto" w:sz="4" w:space="0"/>
              <w:right w:val="single" w:color="auto" w:sz="4" w:space="0"/>
            </w:tcBorders>
            <w:vAlign w:val="center"/>
          </w:tcPr>
          <w:p w14:paraId="244D3F65">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施工单位开始施工，未发生安全事故的</w:t>
            </w:r>
          </w:p>
        </w:tc>
        <w:tc>
          <w:tcPr>
            <w:tcW w:w="1080" w:type="dxa"/>
            <w:vMerge w:val="continue"/>
            <w:tcBorders>
              <w:left w:val="single" w:color="auto" w:sz="4" w:space="0"/>
              <w:right w:val="single" w:color="auto" w:sz="4" w:space="0"/>
            </w:tcBorders>
            <w:vAlign w:val="center"/>
          </w:tcPr>
          <w:p w14:paraId="3FA48EB6">
            <w:pPr>
              <w:spacing w:line="320" w:lineRule="exact"/>
              <w:jc w:val="left"/>
              <w:rPr>
                <w:color w:val="000000" w:themeColor="text1"/>
                <w:kern w:val="0"/>
                <w:sz w:val="18"/>
                <w:szCs w:val="18"/>
                <w14:textFill>
                  <w14:solidFill>
                    <w14:schemeClr w14:val="tx1"/>
                  </w14:solidFill>
                </w14:textFill>
              </w:rPr>
            </w:pPr>
          </w:p>
        </w:tc>
        <w:tc>
          <w:tcPr>
            <w:tcW w:w="5820" w:type="dxa"/>
            <w:tcBorders>
              <w:top w:val="single" w:color="auto" w:sz="4" w:space="0"/>
              <w:left w:val="single" w:color="auto" w:sz="4" w:space="0"/>
              <w:bottom w:val="single" w:color="auto" w:sz="4" w:space="0"/>
              <w:right w:val="single" w:color="auto" w:sz="8" w:space="0"/>
            </w:tcBorders>
            <w:vAlign w:val="center"/>
          </w:tcPr>
          <w:p w14:paraId="39F8EF35">
            <w:pPr>
              <w:spacing w:line="200" w:lineRule="exact"/>
              <w:jc w:val="left"/>
              <w:rPr>
                <w:rFonts w:eastAsiaTheme="minorEastAsia"/>
                <w:color w:val="000000" w:themeColor="text1"/>
                <w:kern w:val="0"/>
                <w:sz w:val="18"/>
                <w:szCs w:val="18"/>
                <w14:textFill>
                  <w14:solidFill>
                    <w14:schemeClr w14:val="tx1"/>
                  </w14:solidFill>
                </w14:textFill>
              </w:rPr>
            </w:pPr>
            <w:r>
              <w:rPr>
                <w:rFonts w:hint="eastAsia" w:eastAsiaTheme="minorEastAsia"/>
                <w:color w:val="000000" w:themeColor="text1"/>
                <w:kern w:val="0"/>
                <w:sz w:val="18"/>
                <w:szCs w:val="18"/>
                <w14:textFill>
                  <w14:solidFill>
                    <w14:schemeClr w14:val="tx1"/>
                  </w14:solidFill>
                </w14:textFill>
              </w:rPr>
              <w:t>对单位：</w:t>
            </w:r>
            <w:r>
              <w:rPr>
                <w:rFonts w:eastAsiaTheme="minorEastAsia"/>
                <w:color w:val="000000" w:themeColor="text1"/>
                <w:kern w:val="0"/>
                <w:sz w:val="18"/>
                <w:szCs w:val="18"/>
                <w14:textFill>
                  <w14:solidFill>
                    <w14:schemeClr w14:val="tx1"/>
                  </w14:solidFill>
                </w14:textFill>
              </w:rPr>
              <w:t>处15万以上25万以下的罚款</w:t>
            </w:r>
          </w:p>
          <w:p w14:paraId="29C4AA6B">
            <w:pPr>
              <w:spacing w:line="320" w:lineRule="exact"/>
              <w:jc w:val="left"/>
              <w:rPr>
                <w:color w:val="000000" w:themeColor="text1"/>
                <w:kern w:val="0"/>
                <w:sz w:val="18"/>
                <w:szCs w:val="18"/>
                <w14:textFill>
                  <w14:solidFill>
                    <w14:schemeClr w14:val="tx1"/>
                  </w14:solidFill>
                </w14:textFill>
              </w:rPr>
            </w:pPr>
            <w:r>
              <w:rPr>
                <w:rFonts w:hint="eastAsia" w:eastAsiaTheme="minorEastAsia"/>
                <w:color w:val="000000" w:themeColor="text1"/>
                <w:kern w:val="0"/>
                <w:sz w:val="18"/>
                <w:szCs w:val="18"/>
                <w14:textFill>
                  <w14:solidFill>
                    <w14:schemeClr w14:val="tx1"/>
                  </w14:solidFill>
                </w14:textFill>
              </w:rPr>
              <w:t>对个人：</w:t>
            </w:r>
            <w:r>
              <w:rPr>
                <w:rFonts w:eastAsiaTheme="minorEastAsia"/>
                <w:color w:val="000000" w:themeColor="text1"/>
                <w:kern w:val="0"/>
                <w:sz w:val="18"/>
                <w:szCs w:val="18"/>
                <w14:textFill>
                  <w14:solidFill>
                    <w14:schemeClr w14:val="tx1"/>
                  </w14:solidFill>
                </w14:textFill>
              </w:rPr>
              <w:t>处单位罚款数额7％以上9％以下的罚款</w:t>
            </w:r>
          </w:p>
        </w:tc>
      </w:tr>
      <w:tr w14:paraId="2043FE59">
        <w:tblPrEx>
          <w:tblCellMar>
            <w:top w:w="0" w:type="dxa"/>
            <w:left w:w="108" w:type="dxa"/>
            <w:bottom w:w="0" w:type="dxa"/>
            <w:right w:w="108" w:type="dxa"/>
          </w:tblCellMar>
        </w:tblPrEx>
        <w:trPr>
          <w:trHeight w:val="452" w:hRule="atLeast"/>
        </w:trPr>
        <w:tc>
          <w:tcPr>
            <w:tcW w:w="1030" w:type="dxa"/>
            <w:vMerge w:val="continue"/>
            <w:tcBorders>
              <w:left w:val="single" w:color="auto" w:sz="8" w:space="0"/>
              <w:bottom w:val="single" w:color="auto" w:sz="4" w:space="0"/>
              <w:right w:val="single" w:color="auto" w:sz="4" w:space="0"/>
            </w:tcBorders>
            <w:vAlign w:val="center"/>
          </w:tcPr>
          <w:p w14:paraId="5400E55D">
            <w:pPr>
              <w:spacing w:line="320" w:lineRule="exact"/>
              <w:jc w:val="left"/>
              <w:rPr>
                <w:color w:val="000000" w:themeColor="text1"/>
                <w:kern w:val="0"/>
                <w:sz w:val="18"/>
                <w:szCs w:val="18"/>
                <w14:textFill>
                  <w14:solidFill>
                    <w14:schemeClr w14:val="tx1"/>
                  </w14:solidFill>
                </w14:textFill>
              </w:rPr>
            </w:pPr>
          </w:p>
        </w:tc>
        <w:tc>
          <w:tcPr>
            <w:tcW w:w="6140" w:type="dxa"/>
            <w:tcBorders>
              <w:top w:val="single" w:color="auto" w:sz="4" w:space="0"/>
              <w:left w:val="single" w:color="auto" w:sz="4" w:space="0"/>
              <w:bottom w:val="single" w:color="auto" w:sz="4" w:space="0"/>
              <w:right w:val="single" w:color="auto" w:sz="4" w:space="0"/>
            </w:tcBorders>
            <w:vAlign w:val="center"/>
          </w:tcPr>
          <w:p w14:paraId="7AC4E54E">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施工单位开始施工，发生安全事故的</w:t>
            </w:r>
          </w:p>
        </w:tc>
        <w:tc>
          <w:tcPr>
            <w:tcW w:w="1080" w:type="dxa"/>
            <w:vMerge w:val="continue"/>
            <w:tcBorders>
              <w:left w:val="single" w:color="auto" w:sz="4" w:space="0"/>
              <w:bottom w:val="single" w:color="auto" w:sz="4" w:space="0"/>
              <w:right w:val="single" w:color="auto" w:sz="4" w:space="0"/>
            </w:tcBorders>
            <w:vAlign w:val="center"/>
          </w:tcPr>
          <w:p w14:paraId="773ED6C2">
            <w:pPr>
              <w:spacing w:line="320" w:lineRule="exact"/>
              <w:jc w:val="left"/>
              <w:rPr>
                <w:color w:val="000000" w:themeColor="text1"/>
                <w:kern w:val="0"/>
                <w:sz w:val="18"/>
                <w:szCs w:val="18"/>
                <w14:textFill>
                  <w14:solidFill>
                    <w14:schemeClr w14:val="tx1"/>
                  </w14:solidFill>
                </w14:textFill>
              </w:rPr>
            </w:pPr>
          </w:p>
        </w:tc>
        <w:tc>
          <w:tcPr>
            <w:tcW w:w="5820" w:type="dxa"/>
            <w:tcBorders>
              <w:top w:val="single" w:color="auto" w:sz="4" w:space="0"/>
              <w:left w:val="single" w:color="auto" w:sz="4" w:space="0"/>
              <w:bottom w:val="single" w:color="auto" w:sz="4" w:space="0"/>
              <w:right w:val="single" w:color="auto" w:sz="8" w:space="0"/>
            </w:tcBorders>
            <w:vAlign w:val="center"/>
          </w:tcPr>
          <w:p w14:paraId="2BE09543">
            <w:pPr>
              <w:spacing w:line="200" w:lineRule="exact"/>
              <w:jc w:val="left"/>
              <w:rPr>
                <w:rFonts w:eastAsiaTheme="minorEastAsia"/>
                <w:color w:val="000000" w:themeColor="text1"/>
                <w:kern w:val="0"/>
                <w:sz w:val="18"/>
                <w:szCs w:val="18"/>
                <w14:textFill>
                  <w14:solidFill>
                    <w14:schemeClr w14:val="tx1"/>
                  </w14:solidFill>
                </w14:textFill>
              </w:rPr>
            </w:pPr>
            <w:r>
              <w:rPr>
                <w:rFonts w:hint="eastAsia" w:eastAsiaTheme="minorEastAsia"/>
                <w:color w:val="000000" w:themeColor="text1"/>
                <w:kern w:val="0"/>
                <w:sz w:val="18"/>
                <w:szCs w:val="18"/>
                <w14:textFill>
                  <w14:solidFill>
                    <w14:schemeClr w14:val="tx1"/>
                  </w14:solidFill>
                </w14:textFill>
              </w:rPr>
              <w:t>对单位：</w:t>
            </w:r>
            <w:r>
              <w:rPr>
                <w:rFonts w:eastAsiaTheme="minorEastAsia"/>
                <w:color w:val="000000" w:themeColor="text1"/>
                <w:kern w:val="0"/>
                <w:sz w:val="18"/>
                <w:szCs w:val="18"/>
                <w14:textFill>
                  <w14:solidFill>
                    <w14:schemeClr w14:val="tx1"/>
                  </w14:solidFill>
                </w14:textFill>
              </w:rPr>
              <w:t>处25万以上30万以下的罚款</w:t>
            </w:r>
          </w:p>
          <w:p w14:paraId="17586A6E">
            <w:pPr>
              <w:spacing w:line="320" w:lineRule="exact"/>
              <w:jc w:val="left"/>
              <w:rPr>
                <w:color w:val="000000" w:themeColor="text1"/>
                <w:kern w:val="0"/>
                <w:sz w:val="18"/>
                <w:szCs w:val="18"/>
                <w14:textFill>
                  <w14:solidFill>
                    <w14:schemeClr w14:val="tx1"/>
                  </w14:solidFill>
                </w14:textFill>
              </w:rPr>
            </w:pPr>
            <w:r>
              <w:rPr>
                <w:rFonts w:hint="eastAsia" w:eastAsiaTheme="minorEastAsia"/>
                <w:color w:val="000000" w:themeColor="text1"/>
                <w:kern w:val="0"/>
                <w:sz w:val="18"/>
                <w:szCs w:val="18"/>
                <w14:textFill>
                  <w14:solidFill>
                    <w14:schemeClr w14:val="tx1"/>
                  </w14:solidFill>
                </w14:textFill>
              </w:rPr>
              <w:t>对个人：</w:t>
            </w:r>
            <w:r>
              <w:rPr>
                <w:rFonts w:eastAsiaTheme="minorEastAsia"/>
                <w:color w:val="000000" w:themeColor="text1"/>
                <w:kern w:val="0"/>
                <w:sz w:val="18"/>
                <w:szCs w:val="18"/>
                <w14:textFill>
                  <w14:solidFill>
                    <w14:schemeClr w14:val="tx1"/>
                  </w14:solidFill>
                </w14:textFill>
              </w:rPr>
              <w:t>处单位罚款数额9％以上</w:t>
            </w:r>
            <w:r>
              <w:rPr>
                <w:rFonts w:hint="eastAsia" w:eastAsiaTheme="minorEastAsia"/>
                <w:color w:val="000000" w:themeColor="text1"/>
                <w:kern w:val="0"/>
                <w:sz w:val="18"/>
                <w:szCs w:val="18"/>
                <w14:textFill>
                  <w14:solidFill>
                    <w14:schemeClr w14:val="tx1"/>
                  </w14:solidFill>
                </w14:textFill>
              </w:rPr>
              <w:t>10</w:t>
            </w:r>
            <w:r>
              <w:rPr>
                <w:rFonts w:eastAsiaTheme="minorEastAsia"/>
                <w:color w:val="000000" w:themeColor="text1"/>
                <w:kern w:val="0"/>
                <w:sz w:val="18"/>
                <w:szCs w:val="18"/>
                <w14:textFill>
                  <w14:solidFill>
                    <w14:schemeClr w14:val="tx1"/>
                  </w14:solidFill>
                </w14:textFill>
              </w:rPr>
              <w:t>％以下的罚款</w:t>
            </w:r>
          </w:p>
        </w:tc>
      </w:tr>
    </w:tbl>
    <w:p w14:paraId="415D1C45"/>
    <w:p w14:paraId="65A4D915"/>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368F890A">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1CFC691">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1009DC46">
            <w:pPr>
              <w:spacing w:line="320" w:lineRule="exact"/>
              <w:jc w:val="left"/>
              <w:rPr>
                <w:rFonts w:eastAsia="仿宋_GB2312"/>
                <w:b/>
                <w:bCs/>
                <w:color w:val="000000"/>
                <w:kern w:val="0"/>
                <w:sz w:val="18"/>
                <w:szCs w:val="18"/>
              </w:rPr>
            </w:pPr>
            <w:r>
              <w:rPr>
                <w:rFonts w:eastAsia="仿宋_GB2312"/>
                <w:b/>
                <w:bCs/>
                <w:color w:val="000000"/>
                <w:kern w:val="0"/>
                <w:sz w:val="18"/>
                <w:szCs w:val="18"/>
              </w:rPr>
              <w:t>320217265000</w:t>
            </w:r>
          </w:p>
        </w:tc>
      </w:tr>
      <w:tr w14:paraId="6850D78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6B3B08C">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6ADF5958">
            <w:pPr>
              <w:spacing w:line="320" w:lineRule="exact"/>
              <w:jc w:val="left"/>
              <w:rPr>
                <w:color w:val="000000"/>
                <w:kern w:val="0"/>
                <w:sz w:val="18"/>
                <w:szCs w:val="18"/>
              </w:rPr>
            </w:pPr>
            <w:r>
              <w:rPr>
                <w:rFonts w:hint="eastAsia"/>
                <w:color w:val="000000"/>
                <w:kern w:val="0"/>
                <w:sz w:val="18"/>
                <w:szCs w:val="18"/>
              </w:rPr>
              <w:t>对建设单位对业主要求承租的车位、车库只售不租的处罚</w:t>
            </w:r>
          </w:p>
        </w:tc>
      </w:tr>
      <w:tr w14:paraId="2824F2C5">
        <w:tblPrEx>
          <w:tblCellMar>
            <w:top w:w="0" w:type="dxa"/>
            <w:left w:w="108" w:type="dxa"/>
            <w:bottom w:w="0" w:type="dxa"/>
            <w:right w:w="108" w:type="dxa"/>
          </w:tblCellMar>
        </w:tblPrEx>
        <w:trPr>
          <w:trHeight w:val="1335" w:hRule="atLeast"/>
        </w:trPr>
        <w:tc>
          <w:tcPr>
            <w:tcW w:w="1056" w:type="dxa"/>
            <w:tcBorders>
              <w:top w:val="nil"/>
              <w:left w:val="single" w:color="auto" w:sz="8" w:space="0"/>
              <w:bottom w:val="single" w:color="auto" w:sz="4" w:space="0"/>
              <w:right w:val="single" w:color="auto" w:sz="4" w:space="0"/>
            </w:tcBorders>
            <w:vAlign w:val="center"/>
          </w:tcPr>
          <w:p w14:paraId="5CE2DA5A">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33A5EBCE">
            <w:pPr>
              <w:spacing w:line="320" w:lineRule="exact"/>
              <w:jc w:val="left"/>
              <w:rPr>
                <w:color w:val="000000"/>
                <w:kern w:val="0"/>
                <w:sz w:val="18"/>
                <w:szCs w:val="18"/>
              </w:rPr>
            </w:pPr>
            <w:r>
              <w:rPr>
                <w:rFonts w:hint="eastAsia"/>
                <w:color w:val="000000"/>
                <w:kern w:val="0"/>
                <w:sz w:val="18"/>
                <w:szCs w:val="18"/>
              </w:rPr>
              <w:t>【地方性法规】《江苏省物业管理条例》</w:t>
            </w:r>
          </w:p>
          <w:p w14:paraId="294CD079">
            <w:pPr>
              <w:spacing w:line="320" w:lineRule="exact"/>
              <w:jc w:val="left"/>
              <w:rPr>
                <w:color w:val="000000"/>
                <w:kern w:val="0"/>
                <w:sz w:val="18"/>
                <w:szCs w:val="18"/>
              </w:rPr>
            </w:pPr>
            <w:r>
              <w:rPr>
                <w:rFonts w:hint="eastAsia"/>
                <w:color w:val="000000"/>
                <w:kern w:val="0"/>
                <w:sz w:val="18"/>
                <w:szCs w:val="18"/>
              </w:rPr>
              <w:t xml:space="preserve">        第六十三条  物业管理区域内规划用于停放汽车的车位、车库，建设单位应当首先满足本区域内业主的停车需要，其归属由当事人通过出售、附赠或者出租等方式约定。</w:t>
            </w:r>
          </w:p>
          <w:p w14:paraId="27C8866C">
            <w:pPr>
              <w:spacing w:line="320" w:lineRule="exact"/>
              <w:jc w:val="left"/>
              <w:rPr>
                <w:color w:val="000000"/>
                <w:kern w:val="0"/>
                <w:sz w:val="18"/>
                <w:szCs w:val="18"/>
              </w:rPr>
            </w:pPr>
            <w:r>
              <w:rPr>
                <w:rFonts w:hint="eastAsia"/>
                <w:color w:val="000000"/>
                <w:kern w:val="0"/>
                <w:sz w:val="18"/>
                <w:szCs w:val="18"/>
              </w:rPr>
              <w:t xml:space="preserve">        建设单位办理商品房房屋预销售登记后出售或者附赠的车位、车库，应当明示并在物业管理区域内显著位置公示拟出售车位、车库的产权证明文件和出售价格。拟出售车位、车库数量少于本区域要求购买车位、车库业主的房屋套数时，应当通过抽签等公平方式确定，每户业主只能购买一个车位或者车库。</w:t>
            </w:r>
          </w:p>
          <w:p w14:paraId="2AB04F50">
            <w:pPr>
              <w:spacing w:line="320" w:lineRule="exact"/>
              <w:jc w:val="left"/>
              <w:rPr>
                <w:color w:val="000000"/>
                <w:kern w:val="0"/>
                <w:sz w:val="18"/>
                <w:szCs w:val="18"/>
              </w:rPr>
            </w:pPr>
            <w:r>
              <w:rPr>
                <w:rFonts w:hint="eastAsia"/>
                <w:color w:val="000000"/>
                <w:kern w:val="0"/>
                <w:sz w:val="18"/>
                <w:szCs w:val="18"/>
              </w:rPr>
              <w:t xml:space="preserve">        建设单位未出售或者未附赠的车位、车库，应当优先出租给本区域内业主，租金按照价格行政主管部门核定的标准执行；业主要求承租车位、车库的，建设单位不得只售不租。拟出租车位、车库数量少于本区域要求承租车位、车库业主的房屋套数时，应当通过抽签等公平方式确定给未购买或者未受赠车位、车库的业主，每户业主只能承租一个车位或者车库。</w:t>
            </w:r>
          </w:p>
          <w:p w14:paraId="30E763E1">
            <w:pPr>
              <w:spacing w:line="320" w:lineRule="exact"/>
              <w:jc w:val="left"/>
              <w:rPr>
                <w:color w:val="000000"/>
                <w:kern w:val="0"/>
                <w:sz w:val="18"/>
                <w:szCs w:val="18"/>
              </w:rPr>
            </w:pPr>
            <w:r>
              <w:rPr>
                <w:rFonts w:hint="eastAsia"/>
                <w:color w:val="000000"/>
                <w:kern w:val="0"/>
                <w:sz w:val="18"/>
                <w:szCs w:val="18"/>
              </w:rPr>
              <w:t xml:space="preserve">        在首先满足本物业管理区域内业主的购买和承租需要后还有多余车位、车库的，可以出租给本物业管理区域外的使用人，但租赁期限不得超过六个月。</w:t>
            </w:r>
          </w:p>
          <w:p w14:paraId="3AA78709">
            <w:pPr>
              <w:spacing w:line="320" w:lineRule="exact"/>
              <w:jc w:val="left"/>
              <w:rPr>
                <w:color w:val="000000"/>
                <w:kern w:val="0"/>
                <w:sz w:val="18"/>
                <w:szCs w:val="18"/>
              </w:rPr>
            </w:pPr>
            <w:r>
              <w:rPr>
                <w:rFonts w:hint="eastAsia"/>
                <w:color w:val="000000"/>
                <w:kern w:val="0"/>
                <w:sz w:val="18"/>
                <w:szCs w:val="18"/>
              </w:rPr>
              <w:t xml:space="preserve">        第八十九条第二款 违反本条例第六十三条第三款规定，建设单位对业主要求承租的车位、车库只售不租的，由县（市、区）物业管理行政主管部门责令限期改正；逾期不改正的，处十万元以上五十万元以下罚款。</w:t>
            </w:r>
          </w:p>
        </w:tc>
      </w:tr>
      <w:tr w14:paraId="28ECFF7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40C6362">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78D410FE">
            <w:pPr>
              <w:spacing w:line="320" w:lineRule="exact"/>
              <w:jc w:val="left"/>
              <w:rPr>
                <w:color w:val="000000"/>
                <w:kern w:val="0"/>
                <w:sz w:val="18"/>
                <w:szCs w:val="18"/>
              </w:rPr>
            </w:pPr>
            <w:r>
              <w:rPr>
                <w:rFonts w:hint="eastAsia"/>
                <w:color w:val="000000"/>
                <w:kern w:val="0"/>
                <w:sz w:val="18"/>
                <w:szCs w:val="18"/>
              </w:rPr>
              <w:t>罚款</w:t>
            </w:r>
          </w:p>
        </w:tc>
      </w:tr>
      <w:tr w14:paraId="5F434265">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E34831B">
            <w:pPr>
              <w:spacing w:line="320" w:lineRule="exact"/>
              <w:jc w:val="center"/>
              <w:rPr>
                <w:color w:val="000000"/>
                <w:kern w:val="0"/>
                <w:sz w:val="18"/>
                <w:szCs w:val="18"/>
              </w:rPr>
            </w:pPr>
            <w:r>
              <w:rPr>
                <w:rFonts w:hint="eastAsia"/>
                <w:color w:val="000000"/>
                <w:kern w:val="0"/>
                <w:sz w:val="18"/>
                <w:szCs w:val="18"/>
              </w:rPr>
              <w:t>裁量基准</w:t>
            </w:r>
          </w:p>
        </w:tc>
      </w:tr>
      <w:tr w14:paraId="41A0228E">
        <w:tblPrEx>
          <w:tblCellMar>
            <w:top w:w="0" w:type="dxa"/>
            <w:left w:w="108" w:type="dxa"/>
            <w:bottom w:w="0" w:type="dxa"/>
            <w:right w:w="108" w:type="dxa"/>
          </w:tblCellMar>
        </w:tblPrEx>
        <w:trPr>
          <w:trHeight w:val="280" w:hRule="atLeast"/>
        </w:trPr>
        <w:tc>
          <w:tcPr>
            <w:tcW w:w="1056" w:type="dxa"/>
            <w:vMerge w:val="restart"/>
            <w:tcBorders>
              <w:top w:val="nil"/>
              <w:left w:val="single" w:color="auto" w:sz="8" w:space="0"/>
              <w:right w:val="single" w:color="auto" w:sz="4" w:space="0"/>
            </w:tcBorders>
            <w:vAlign w:val="center"/>
          </w:tcPr>
          <w:p w14:paraId="3427226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BCCA176">
            <w:pPr>
              <w:spacing w:line="320" w:lineRule="exact"/>
              <w:jc w:val="left"/>
              <w:rPr>
                <w:color w:val="000000"/>
                <w:kern w:val="0"/>
                <w:sz w:val="18"/>
                <w:szCs w:val="18"/>
              </w:rPr>
            </w:pPr>
            <w:r>
              <w:rPr>
                <w:rFonts w:hint="eastAsia"/>
                <w:color w:val="000000"/>
                <w:kern w:val="0"/>
                <w:sz w:val="18"/>
                <w:szCs w:val="18"/>
              </w:rPr>
              <w:t>占可出售或者附赠车位车库中尚未出售或者附赠部分</w:t>
            </w:r>
            <w:r>
              <w:rPr>
                <w:color w:val="000000"/>
                <w:kern w:val="0"/>
                <w:sz w:val="18"/>
                <w:szCs w:val="18"/>
              </w:rPr>
              <w:t>1/3</w:t>
            </w:r>
            <w:r>
              <w:rPr>
                <w:rFonts w:hint="eastAsia"/>
                <w:color w:val="000000"/>
                <w:kern w:val="0"/>
                <w:sz w:val="18"/>
                <w:szCs w:val="18"/>
              </w:rPr>
              <w:t>以下的</w:t>
            </w:r>
          </w:p>
        </w:tc>
        <w:tc>
          <w:tcPr>
            <w:tcW w:w="1060" w:type="dxa"/>
            <w:vMerge w:val="restart"/>
            <w:tcBorders>
              <w:top w:val="nil"/>
              <w:left w:val="single" w:color="auto" w:sz="4" w:space="0"/>
              <w:right w:val="single" w:color="auto" w:sz="4" w:space="0"/>
            </w:tcBorders>
            <w:vAlign w:val="center"/>
          </w:tcPr>
          <w:p w14:paraId="6384E567">
            <w:pPr>
              <w:spacing w:line="320" w:lineRule="exact"/>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2DC433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196869A6">
        <w:tblPrEx>
          <w:tblCellMar>
            <w:top w:w="0" w:type="dxa"/>
            <w:left w:w="108" w:type="dxa"/>
            <w:bottom w:w="0" w:type="dxa"/>
            <w:right w:w="108" w:type="dxa"/>
          </w:tblCellMar>
        </w:tblPrEx>
        <w:trPr>
          <w:trHeight w:val="352" w:hRule="atLeast"/>
        </w:trPr>
        <w:tc>
          <w:tcPr>
            <w:tcW w:w="1056" w:type="dxa"/>
            <w:vMerge w:val="continue"/>
            <w:tcBorders>
              <w:top w:val="nil"/>
              <w:left w:val="single" w:color="auto" w:sz="8" w:space="0"/>
              <w:right w:val="single" w:color="auto" w:sz="4" w:space="0"/>
            </w:tcBorders>
            <w:vAlign w:val="center"/>
          </w:tcPr>
          <w:p w14:paraId="41686797">
            <w:pPr>
              <w:spacing w:line="320" w:lineRule="exact"/>
              <w:jc w:val="center"/>
              <w:rPr>
                <w:color w:val="000000"/>
                <w:kern w:val="0"/>
                <w:sz w:val="18"/>
                <w:szCs w:val="18"/>
              </w:rPr>
            </w:pPr>
          </w:p>
        </w:tc>
        <w:tc>
          <w:tcPr>
            <w:tcW w:w="6140" w:type="dxa"/>
            <w:tcBorders>
              <w:top w:val="single" w:color="auto" w:sz="4" w:space="0"/>
              <w:left w:val="nil"/>
              <w:right w:val="single" w:color="auto" w:sz="4" w:space="0"/>
            </w:tcBorders>
            <w:vAlign w:val="center"/>
          </w:tcPr>
          <w:p w14:paraId="52630F10">
            <w:pPr>
              <w:spacing w:line="320" w:lineRule="exact"/>
              <w:jc w:val="left"/>
              <w:rPr>
                <w:color w:val="000000"/>
                <w:kern w:val="0"/>
                <w:sz w:val="18"/>
                <w:szCs w:val="18"/>
              </w:rPr>
            </w:pPr>
            <w:r>
              <w:rPr>
                <w:rFonts w:hint="eastAsia"/>
                <w:color w:val="000000"/>
                <w:kern w:val="0"/>
                <w:sz w:val="18"/>
                <w:szCs w:val="18"/>
              </w:rPr>
              <w:t>占可出售或者附赠车位车库中尚未出售或者附赠部分</w:t>
            </w:r>
            <w:r>
              <w:rPr>
                <w:color w:val="000000"/>
                <w:kern w:val="0"/>
                <w:sz w:val="18"/>
                <w:szCs w:val="18"/>
              </w:rPr>
              <w:t>1/3</w:t>
            </w:r>
            <w:r>
              <w:rPr>
                <w:rFonts w:hint="eastAsia"/>
                <w:color w:val="000000"/>
                <w:kern w:val="0"/>
                <w:sz w:val="18"/>
                <w:szCs w:val="18"/>
              </w:rPr>
              <w:t>以上</w:t>
            </w:r>
            <w:r>
              <w:rPr>
                <w:color w:val="000000"/>
                <w:kern w:val="0"/>
                <w:sz w:val="18"/>
                <w:szCs w:val="18"/>
              </w:rPr>
              <w:t>2/3</w:t>
            </w:r>
            <w:r>
              <w:rPr>
                <w:rFonts w:hint="eastAsia"/>
                <w:color w:val="000000"/>
                <w:kern w:val="0"/>
                <w:sz w:val="18"/>
                <w:szCs w:val="18"/>
              </w:rPr>
              <w:t>以下的</w:t>
            </w:r>
          </w:p>
        </w:tc>
        <w:tc>
          <w:tcPr>
            <w:tcW w:w="1060" w:type="dxa"/>
            <w:vMerge w:val="continue"/>
            <w:tcBorders>
              <w:top w:val="nil"/>
              <w:left w:val="single" w:color="auto" w:sz="4" w:space="0"/>
              <w:right w:val="single" w:color="auto" w:sz="4" w:space="0"/>
            </w:tcBorders>
            <w:vAlign w:val="center"/>
          </w:tcPr>
          <w:p w14:paraId="124125EA">
            <w:pPr>
              <w:spacing w:line="320" w:lineRule="exact"/>
              <w:jc w:val="center"/>
              <w:rPr>
                <w:color w:val="000000"/>
                <w:kern w:val="0"/>
                <w:sz w:val="18"/>
                <w:szCs w:val="18"/>
              </w:rPr>
            </w:pPr>
          </w:p>
        </w:tc>
        <w:tc>
          <w:tcPr>
            <w:tcW w:w="5760" w:type="dxa"/>
            <w:tcBorders>
              <w:top w:val="single" w:color="auto" w:sz="4" w:space="0"/>
              <w:left w:val="nil"/>
              <w:right w:val="single" w:color="auto" w:sz="8" w:space="0"/>
            </w:tcBorders>
            <w:vAlign w:val="center"/>
          </w:tcPr>
          <w:p w14:paraId="25CD91C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14:paraId="456AB8FA">
        <w:tblPrEx>
          <w:tblCellMar>
            <w:top w:w="0" w:type="dxa"/>
            <w:left w:w="108" w:type="dxa"/>
            <w:bottom w:w="0" w:type="dxa"/>
            <w:right w:w="108" w:type="dxa"/>
          </w:tblCellMar>
        </w:tblPrEx>
        <w:trPr>
          <w:trHeight w:val="192" w:hRule="atLeast"/>
        </w:trPr>
        <w:tc>
          <w:tcPr>
            <w:tcW w:w="1056" w:type="dxa"/>
            <w:vMerge w:val="continue"/>
            <w:tcBorders>
              <w:left w:val="single" w:color="auto" w:sz="8" w:space="0"/>
              <w:bottom w:val="single" w:color="auto" w:sz="4" w:space="0"/>
              <w:right w:val="single" w:color="auto" w:sz="4" w:space="0"/>
            </w:tcBorders>
            <w:vAlign w:val="center"/>
          </w:tcPr>
          <w:p w14:paraId="7ABA2124">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9190AD6">
            <w:pPr>
              <w:spacing w:line="320" w:lineRule="exact"/>
              <w:jc w:val="left"/>
              <w:rPr>
                <w:color w:val="000000"/>
                <w:kern w:val="0"/>
                <w:sz w:val="18"/>
                <w:szCs w:val="18"/>
              </w:rPr>
            </w:pPr>
            <w:r>
              <w:rPr>
                <w:rFonts w:hint="eastAsia"/>
                <w:color w:val="000000"/>
                <w:kern w:val="0"/>
                <w:sz w:val="18"/>
                <w:szCs w:val="18"/>
              </w:rPr>
              <w:t>占可出售或者附赠车位车库中尚未出售或者附赠部分</w:t>
            </w:r>
            <w:r>
              <w:rPr>
                <w:color w:val="000000"/>
                <w:kern w:val="0"/>
                <w:sz w:val="18"/>
                <w:szCs w:val="18"/>
              </w:rPr>
              <w:t>2/3</w:t>
            </w:r>
            <w:r>
              <w:rPr>
                <w:rFonts w:hint="eastAsia"/>
                <w:color w:val="000000"/>
                <w:kern w:val="0"/>
                <w:sz w:val="18"/>
                <w:szCs w:val="18"/>
              </w:rPr>
              <w:t>以上的</w:t>
            </w:r>
          </w:p>
        </w:tc>
        <w:tc>
          <w:tcPr>
            <w:tcW w:w="1060" w:type="dxa"/>
            <w:vMerge w:val="continue"/>
            <w:tcBorders>
              <w:left w:val="single" w:color="auto" w:sz="4" w:space="0"/>
              <w:bottom w:val="single" w:color="auto" w:sz="4" w:space="0"/>
              <w:right w:val="single" w:color="auto" w:sz="4" w:space="0"/>
            </w:tcBorders>
            <w:vAlign w:val="center"/>
          </w:tcPr>
          <w:p w14:paraId="1D669A10">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7D39BBA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7614ABEF"/>
    <w:p w14:paraId="261A7FC5"/>
    <w:p w14:paraId="65EE13CF"/>
    <w:p w14:paraId="6E4D21AB"/>
    <w:p w14:paraId="2BDB7088"/>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7FF080FD">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shd w:val="clear" w:color="auto" w:fill="FFFFFF"/>
            <w:vAlign w:val="center"/>
          </w:tcPr>
          <w:p w14:paraId="4A463CC1">
            <w:pPr>
              <w:spacing w:line="320" w:lineRule="exact"/>
              <w:jc w:val="center"/>
              <w:rPr>
                <w:color w:val="000000"/>
                <w:kern w:val="0"/>
                <w:sz w:val="18"/>
                <w:szCs w:val="18"/>
              </w:rPr>
            </w:pPr>
            <w:r>
              <w:rPr>
                <w:color w:val="000000"/>
              </w:rPr>
              <w:br w:type="page"/>
            </w: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auto" w:sz="8" w:space="0"/>
            </w:tcBorders>
            <w:shd w:val="clear" w:color="auto" w:fill="FFFFFF"/>
            <w:vAlign w:val="center"/>
          </w:tcPr>
          <w:p w14:paraId="3B696810">
            <w:pPr>
              <w:spacing w:line="320" w:lineRule="exact"/>
              <w:jc w:val="left"/>
              <w:rPr>
                <w:rFonts w:eastAsia="仿宋_GB2312"/>
                <w:b/>
                <w:bCs/>
                <w:color w:val="000000"/>
                <w:kern w:val="0"/>
                <w:sz w:val="18"/>
                <w:szCs w:val="18"/>
              </w:rPr>
            </w:pPr>
            <w:r>
              <w:rPr>
                <w:rFonts w:eastAsia="仿宋_GB2312"/>
                <w:b/>
                <w:bCs/>
                <w:color w:val="000000"/>
                <w:kern w:val="0"/>
                <w:sz w:val="18"/>
                <w:szCs w:val="18"/>
              </w:rPr>
              <w:t>320217266000</w:t>
            </w:r>
            <w:r>
              <w:rPr>
                <w:rFonts w:hint="eastAsia" w:eastAsia="仿宋_GB2312"/>
                <w:b/>
                <w:bCs/>
                <w:color w:val="000000"/>
                <w:kern w:val="0"/>
                <w:sz w:val="18"/>
                <w:szCs w:val="18"/>
              </w:rPr>
              <w:t xml:space="preserve"> </w:t>
            </w:r>
          </w:p>
        </w:tc>
      </w:tr>
      <w:tr w14:paraId="35D6509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shd w:val="clear" w:color="auto" w:fill="FFFFFF"/>
            <w:vAlign w:val="center"/>
          </w:tcPr>
          <w:p w14:paraId="4AC1EF3D">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auto" w:sz="8" w:space="0"/>
            </w:tcBorders>
            <w:shd w:val="clear" w:color="auto" w:fill="FFFFFF"/>
            <w:vAlign w:val="center"/>
          </w:tcPr>
          <w:p w14:paraId="495AB9E5">
            <w:pPr>
              <w:spacing w:line="320" w:lineRule="exact"/>
              <w:jc w:val="left"/>
              <w:rPr>
                <w:color w:val="000000"/>
                <w:kern w:val="0"/>
                <w:sz w:val="18"/>
                <w:szCs w:val="18"/>
              </w:rPr>
            </w:pPr>
            <w:r>
              <w:rPr>
                <w:rFonts w:hint="eastAsia"/>
                <w:color w:val="000000"/>
                <w:kern w:val="0"/>
                <w:sz w:val="18"/>
                <w:szCs w:val="18"/>
              </w:rPr>
              <w:t>对建筑施工企业伪造、变造、倒卖、出租、出借或者以其他形式非法转让建筑业企业资质证书的处罚</w:t>
            </w:r>
          </w:p>
        </w:tc>
      </w:tr>
      <w:tr w14:paraId="43DB48FD">
        <w:tblPrEx>
          <w:tblCellMar>
            <w:top w:w="0" w:type="dxa"/>
            <w:left w:w="108" w:type="dxa"/>
            <w:bottom w:w="0" w:type="dxa"/>
            <w:right w:w="108" w:type="dxa"/>
          </w:tblCellMar>
        </w:tblPrEx>
        <w:trPr>
          <w:trHeight w:val="2730" w:hRule="atLeast"/>
        </w:trPr>
        <w:tc>
          <w:tcPr>
            <w:tcW w:w="1010" w:type="dxa"/>
            <w:tcBorders>
              <w:top w:val="nil"/>
              <w:left w:val="single" w:color="auto" w:sz="8" w:space="0"/>
              <w:bottom w:val="single" w:color="auto" w:sz="4" w:space="0"/>
              <w:right w:val="single" w:color="auto" w:sz="4" w:space="0"/>
            </w:tcBorders>
            <w:shd w:val="clear" w:color="auto" w:fill="FFFFFF"/>
            <w:vAlign w:val="center"/>
          </w:tcPr>
          <w:p w14:paraId="2D79DFA1">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auto" w:sz="8" w:space="0"/>
            </w:tcBorders>
            <w:shd w:val="clear" w:color="auto" w:fill="FFFFFF"/>
            <w:vAlign w:val="center"/>
          </w:tcPr>
          <w:p w14:paraId="1BB03F2F">
            <w:pPr>
              <w:spacing w:line="320" w:lineRule="exact"/>
              <w:jc w:val="left"/>
              <w:rPr>
                <w:color w:val="000000"/>
                <w:kern w:val="0"/>
                <w:sz w:val="18"/>
                <w:szCs w:val="18"/>
              </w:rPr>
            </w:pPr>
            <w:r>
              <w:rPr>
                <w:rFonts w:hint="eastAsia"/>
                <w:color w:val="000000"/>
                <w:kern w:val="0"/>
                <w:sz w:val="18"/>
                <w:szCs w:val="18"/>
              </w:rPr>
              <w:t>【法律】《</w:t>
            </w:r>
            <w:r>
              <w:rPr>
                <w:rFonts w:hint="eastAsia"/>
                <w:color w:val="000000"/>
                <w:kern w:val="0"/>
                <w:sz w:val="18"/>
                <w:szCs w:val="18"/>
                <w:lang w:eastAsia="zh-CN"/>
              </w:rPr>
              <w:t>中华</w:t>
            </w:r>
            <w:r>
              <w:rPr>
                <w:rFonts w:hint="eastAsia"/>
                <w:color w:val="000000"/>
                <w:kern w:val="0"/>
                <w:sz w:val="18"/>
                <w:szCs w:val="18"/>
              </w:rPr>
              <w:t>人民共和国建筑法》</w:t>
            </w:r>
          </w:p>
          <w:p w14:paraId="4EE46A77">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第六十六条　建筑施工企业转让、出借资质证书或者以其他方式允许他人以本企业的名义承揽工程的，责令改正，没收违法所得，并处罚款，可以责令停业整顿，降低资质等级；情节严重的，吊销资质证书。对因该项承揽工程不符合规定的质量标准造成的损失，建筑施工企与使用本企业名义的单位或者个人承担连带赔偿责任。</w:t>
            </w:r>
          </w:p>
          <w:p w14:paraId="2E4A40AE">
            <w:pPr>
              <w:spacing w:line="320" w:lineRule="exact"/>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14:paraId="6A28CD25">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第二十三条　企业申请建筑业企业资质升级、资质增项，在申请之日起前一年至资质许可决定作出前，有下列情形之一的，资质许可机关不予批准其建筑业企业资质升级申请和增项申请：</w:t>
            </w:r>
          </w:p>
          <w:p w14:paraId="78931885">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（十）伪造、变造、倒卖、出租、出借或者以其他形式非法转让建筑业企业资质证书的；</w:t>
            </w:r>
          </w:p>
          <w:p w14:paraId="520FD5CB">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67363CB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shd w:val="clear" w:color="auto" w:fill="FFFFFF"/>
            <w:vAlign w:val="center"/>
          </w:tcPr>
          <w:p w14:paraId="113AF6D1">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auto" w:sz="8" w:space="0"/>
            </w:tcBorders>
            <w:shd w:val="clear" w:color="auto" w:fill="FFFFFF"/>
            <w:vAlign w:val="center"/>
          </w:tcPr>
          <w:p w14:paraId="50A514A2">
            <w:pPr>
              <w:spacing w:line="320" w:lineRule="exact"/>
              <w:jc w:val="left"/>
              <w:rPr>
                <w:color w:val="000000"/>
                <w:kern w:val="0"/>
                <w:sz w:val="18"/>
                <w:szCs w:val="18"/>
              </w:rPr>
            </w:pPr>
            <w:r>
              <w:rPr>
                <w:rFonts w:hint="eastAsia"/>
                <w:color w:val="000000"/>
                <w:kern w:val="0"/>
                <w:sz w:val="18"/>
                <w:szCs w:val="18"/>
              </w:rPr>
              <w:t>警告，罚款</w:t>
            </w:r>
          </w:p>
        </w:tc>
      </w:tr>
      <w:tr w14:paraId="07D71290">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auto" w:sz="8" w:space="0"/>
            </w:tcBorders>
            <w:shd w:val="clear" w:color="auto" w:fill="FFFFFF"/>
            <w:vAlign w:val="center"/>
          </w:tcPr>
          <w:p w14:paraId="3E067AFD">
            <w:pPr>
              <w:spacing w:line="320" w:lineRule="exact"/>
              <w:jc w:val="center"/>
              <w:rPr>
                <w:color w:val="000000"/>
                <w:kern w:val="0"/>
                <w:sz w:val="18"/>
                <w:szCs w:val="18"/>
              </w:rPr>
            </w:pPr>
            <w:r>
              <w:rPr>
                <w:rFonts w:hint="eastAsia"/>
                <w:color w:val="000000"/>
                <w:kern w:val="0"/>
                <w:sz w:val="18"/>
                <w:szCs w:val="18"/>
              </w:rPr>
              <w:t>裁量基准</w:t>
            </w:r>
          </w:p>
        </w:tc>
      </w:tr>
      <w:tr w14:paraId="1547F4F6">
        <w:tblPrEx>
          <w:tblCellMar>
            <w:top w:w="0" w:type="dxa"/>
            <w:left w:w="108" w:type="dxa"/>
            <w:bottom w:w="0" w:type="dxa"/>
            <w:right w:w="108" w:type="dxa"/>
          </w:tblCellMar>
        </w:tblPrEx>
        <w:trPr>
          <w:trHeight w:val="540" w:hRule="atLeast"/>
        </w:trPr>
        <w:tc>
          <w:tcPr>
            <w:tcW w:w="1010" w:type="dxa"/>
            <w:vMerge w:val="restart"/>
            <w:tcBorders>
              <w:top w:val="nil"/>
              <w:left w:val="single" w:color="auto" w:sz="8" w:space="0"/>
              <w:bottom w:val="single" w:color="000000" w:sz="4" w:space="0"/>
              <w:right w:val="single" w:color="auto" w:sz="4" w:space="0"/>
            </w:tcBorders>
            <w:shd w:val="clear" w:color="auto" w:fill="FFFFFF"/>
            <w:vAlign w:val="center"/>
          </w:tcPr>
          <w:p w14:paraId="05661DF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shd w:val="clear" w:color="auto" w:fill="FFFFFF"/>
            <w:vAlign w:val="center"/>
          </w:tcPr>
          <w:p w14:paraId="786F7DB2">
            <w:pPr>
              <w:spacing w:line="320" w:lineRule="exact"/>
              <w:jc w:val="left"/>
              <w:rPr>
                <w:color w:val="000000"/>
                <w:kern w:val="0"/>
                <w:sz w:val="18"/>
                <w:szCs w:val="18"/>
              </w:rPr>
            </w:pPr>
            <w:r>
              <w:rPr>
                <w:rFonts w:hint="eastAsia"/>
                <w:color w:val="000000"/>
                <w:kern w:val="0"/>
                <w:sz w:val="18"/>
                <w:szCs w:val="18"/>
              </w:rPr>
              <w:t>未造成该项承揽工程不符合规定的质量标准</w:t>
            </w:r>
          </w:p>
        </w:tc>
        <w:tc>
          <w:tcPr>
            <w:tcW w:w="1030" w:type="dxa"/>
            <w:vMerge w:val="restart"/>
            <w:tcBorders>
              <w:top w:val="nil"/>
              <w:left w:val="single" w:color="auto" w:sz="4" w:space="0"/>
              <w:bottom w:val="single" w:color="000000" w:sz="4" w:space="0"/>
              <w:right w:val="single" w:color="auto" w:sz="4" w:space="0"/>
            </w:tcBorders>
            <w:shd w:val="clear" w:color="auto" w:fill="FFFFFF"/>
            <w:vAlign w:val="center"/>
          </w:tcPr>
          <w:p w14:paraId="505E351E">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shd w:val="clear" w:color="auto" w:fill="FFFFFF"/>
            <w:vAlign w:val="center"/>
          </w:tcPr>
          <w:p w14:paraId="7AF03E9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0BBA7590">
        <w:tblPrEx>
          <w:tblCellMar>
            <w:top w:w="0" w:type="dxa"/>
            <w:left w:w="108" w:type="dxa"/>
            <w:bottom w:w="0" w:type="dxa"/>
            <w:right w:w="108" w:type="dxa"/>
          </w:tblCellMar>
        </w:tblPrEx>
        <w:trPr>
          <w:trHeight w:val="480" w:hRule="atLeast"/>
        </w:trPr>
        <w:tc>
          <w:tcPr>
            <w:tcW w:w="1010" w:type="dxa"/>
            <w:vMerge w:val="continue"/>
            <w:tcBorders>
              <w:top w:val="nil"/>
              <w:left w:val="single" w:color="auto" w:sz="8" w:space="0"/>
              <w:bottom w:val="single" w:color="000000" w:sz="4" w:space="0"/>
              <w:right w:val="single" w:color="auto" w:sz="4" w:space="0"/>
            </w:tcBorders>
            <w:shd w:val="clear" w:color="auto" w:fill="auto"/>
            <w:vAlign w:val="center"/>
          </w:tcPr>
          <w:p w14:paraId="28CD542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shd w:val="clear" w:color="auto" w:fill="FFFFFF"/>
            <w:vAlign w:val="center"/>
          </w:tcPr>
          <w:p w14:paraId="1FECCB58">
            <w:pPr>
              <w:spacing w:line="320" w:lineRule="exact"/>
              <w:jc w:val="left"/>
              <w:rPr>
                <w:color w:val="000000"/>
                <w:kern w:val="0"/>
                <w:sz w:val="18"/>
                <w:szCs w:val="18"/>
              </w:rPr>
            </w:pPr>
            <w:r>
              <w:rPr>
                <w:rFonts w:hint="eastAsia"/>
                <w:color w:val="000000"/>
                <w:kern w:val="0"/>
                <w:sz w:val="18"/>
                <w:szCs w:val="18"/>
              </w:rPr>
              <w:t>造成该项承揽工程不符合规定的质量标准，且造成一般和较大质量事故的</w:t>
            </w:r>
          </w:p>
        </w:tc>
        <w:tc>
          <w:tcPr>
            <w:tcW w:w="1030" w:type="dxa"/>
            <w:vMerge w:val="continue"/>
            <w:tcBorders>
              <w:top w:val="nil"/>
              <w:left w:val="single" w:color="auto" w:sz="4" w:space="0"/>
              <w:bottom w:val="single" w:color="000000" w:sz="4" w:space="0"/>
              <w:right w:val="single" w:color="auto" w:sz="4" w:space="0"/>
            </w:tcBorders>
            <w:shd w:val="clear" w:color="auto" w:fill="auto"/>
            <w:vAlign w:val="center"/>
          </w:tcPr>
          <w:p w14:paraId="6AA05725">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shd w:val="clear" w:color="auto" w:fill="FFFFFF"/>
            <w:vAlign w:val="center"/>
          </w:tcPr>
          <w:p w14:paraId="1ED20C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万元以下的罚款，责令停业整顿，降低资质等级</w:t>
            </w:r>
          </w:p>
        </w:tc>
      </w:tr>
      <w:tr w14:paraId="226EC647">
        <w:tblPrEx>
          <w:tblCellMar>
            <w:top w:w="0" w:type="dxa"/>
            <w:left w:w="108" w:type="dxa"/>
            <w:bottom w:w="0" w:type="dxa"/>
            <w:right w:w="108" w:type="dxa"/>
          </w:tblCellMar>
        </w:tblPrEx>
        <w:trPr>
          <w:trHeight w:val="480" w:hRule="atLeast"/>
        </w:trPr>
        <w:tc>
          <w:tcPr>
            <w:tcW w:w="1010" w:type="dxa"/>
            <w:vMerge w:val="continue"/>
            <w:tcBorders>
              <w:top w:val="nil"/>
              <w:left w:val="single" w:color="auto" w:sz="8" w:space="0"/>
              <w:bottom w:val="single" w:color="000000" w:sz="4" w:space="0"/>
              <w:right w:val="single" w:color="auto" w:sz="4" w:space="0"/>
            </w:tcBorders>
            <w:shd w:val="clear" w:color="auto" w:fill="auto"/>
            <w:vAlign w:val="center"/>
          </w:tcPr>
          <w:p w14:paraId="7B140434">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shd w:val="clear" w:color="auto" w:fill="FFFFFF"/>
            <w:vAlign w:val="center"/>
          </w:tcPr>
          <w:p w14:paraId="51473FC0">
            <w:pPr>
              <w:spacing w:line="320" w:lineRule="exact"/>
              <w:jc w:val="left"/>
              <w:rPr>
                <w:color w:val="000000"/>
                <w:kern w:val="0"/>
                <w:sz w:val="18"/>
                <w:szCs w:val="18"/>
              </w:rPr>
            </w:pPr>
            <w:r>
              <w:rPr>
                <w:rFonts w:hint="eastAsia"/>
                <w:color w:val="000000"/>
                <w:kern w:val="0"/>
                <w:sz w:val="18"/>
                <w:szCs w:val="18"/>
              </w:rPr>
              <w:t>造成该项承揽工程不符合规定的质量标准，且造成重大及以上质量事故的</w:t>
            </w:r>
          </w:p>
        </w:tc>
        <w:tc>
          <w:tcPr>
            <w:tcW w:w="1030" w:type="dxa"/>
            <w:vMerge w:val="continue"/>
            <w:tcBorders>
              <w:top w:val="nil"/>
              <w:left w:val="single" w:color="auto" w:sz="4" w:space="0"/>
              <w:bottom w:val="single" w:color="000000" w:sz="4" w:space="0"/>
              <w:right w:val="single" w:color="auto" w:sz="4" w:space="0"/>
            </w:tcBorders>
            <w:shd w:val="clear" w:color="auto" w:fill="auto"/>
            <w:vAlign w:val="center"/>
          </w:tcPr>
          <w:p w14:paraId="4C9CA2C5">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shd w:val="clear" w:color="auto" w:fill="FFFFFF"/>
            <w:vAlign w:val="center"/>
          </w:tcPr>
          <w:p w14:paraId="5CA18A8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万元以下的罚款，吊销资质证书</w:t>
            </w:r>
          </w:p>
        </w:tc>
      </w:tr>
    </w:tbl>
    <w:p w14:paraId="7E81ECB6"/>
    <w:p w14:paraId="53730AAC"/>
    <w:p w14:paraId="16AC1394"/>
    <w:p w14:paraId="66A23A91"/>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468EC36D">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FA9EF37">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62FAF9F6">
            <w:pPr>
              <w:spacing w:line="320" w:lineRule="exact"/>
              <w:jc w:val="left"/>
              <w:rPr>
                <w:rFonts w:eastAsia="仿宋_GB2312"/>
                <w:b/>
                <w:bCs/>
                <w:color w:val="000000"/>
                <w:kern w:val="0"/>
                <w:sz w:val="18"/>
                <w:szCs w:val="18"/>
              </w:rPr>
            </w:pPr>
            <w:r>
              <w:rPr>
                <w:rFonts w:eastAsia="仿宋_GB2312"/>
                <w:b/>
                <w:bCs/>
                <w:color w:val="000000"/>
                <w:kern w:val="0"/>
                <w:sz w:val="18"/>
                <w:szCs w:val="18"/>
              </w:rPr>
              <w:t>320217267000</w:t>
            </w:r>
          </w:p>
        </w:tc>
      </w:tr>
      <w:tr w14:paraId="6D86B7A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F918992">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5A20D543">
            <w:pPr>
              <w:spacing w:line="320" w:lineRule="exact"/>
              <w:jc w:val="left"/>
              <w:rPr>
                <w:color w:val="000000"/>
                <w:kern w:val="0"/>
                <w:sz w:val="18"/>
                <w:szCs w:val="18"/>
              </w:rPr>
            </w:pPr>
            <w:r>
              <w:rPr>
                <w:rFonts w:hint="eastAsia"/>
                <w:color w:val="000000"/>
                <w:kern w:val="0"/>
                <w:sz w:val="18"/>
                <w:szCs w:val="18"/>
              </w:rPr>
              <w:t>对工程监理企业在监理过程中实施商业贿赂的处罚</w:t>
            </w:r>
          </w:p>
        </w:tc>
      </w:tr>
      <w:tr w14:paraId="10D5A5A8">
        <w:tblPrEx>
          <w:tblCellMar>
            <w:top w:w="0" w:type="dxa"/>
            <w:left w:w="108" w:type="dxa"/>
            <w:bottom w:w="0" w:type="dxa"/>
            <w:right w:w="108" w:type="dxa"/>
          </w:tblCellMar>
        </w:tblPrEx>
        <w:trPr>
          <w:trHeight w:val="1395" w:hRule="atLeast"/>
        </w:trPr>
        <w:tc>
          <w:tcPr>
            <w:tcW w:w="1010" w:type="dxa"/>
            <w:tcBorders>
              <w:top w:val="nil"/>
              <w:left w:val="single" w:color="auto" w:sz="8" w:space="0"/>
              <w:bottom w:val="single" w:color="auto" w:sz="4" w:space="0"/>
              <w:right w:val="single" w:color="auto" w:sz="4" w:space="0"/>
            </w:tcBorders>
            <w:vAlign w:val="center"/>
          </w:tcPr>
          <w:p w14:paraId="2251E303">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704386E2">
            <w:pPr>
              <w:spacing w:line="32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14:paraId="5ACCADB5">
            <w:pPr>
              <w:spacing w:line="320" w:lineRule="exact"/>
              <w:jc w:val="left"/>
              <w:rPr>
                <w:color w:val="000000"/>
                <w:kern w:val="0"/>
                <w:sz w:val="18"/>
                <w:szCs w:val="18"/>
              </w:rPr>
            </w:pPr>
            <w:r>
              <w:rPr>
                <w:rFonts w:hint="eastAsia"/>
                <w:color w:val="000000"/>
                <w:kern w:val="0"/>
                <w:sz w:val="18"/>
                <w:szCs w:val="18"/>
              </w:rPr>
              <w:t>第十六条　工程监理企业不得有下列行为：</w:t>
            </w:r>
          </w:p>
          <w:p w14:paraId="794CD359">
            <w:pPr>
              <w:spacing w:line="320" w:lineRule="exact"/>
              <w:jc w:val="left"/>
              <w:rPr>
                <w:color w:val="000000"/>
                <w:kern w:val="0"/>
                <w:sz w:val="18"/>
                <w:szCs w:val="18"/>
              </w:rPr>
            </w:pPr>
            <w:r>
              <w:rPr>
                <w:rFonts w:hint="eastAsia"/>
                <w:color w:val="000000"/>
                <w:kern w:val="0"/>
                <w:sz w:val="18"/>
                <w:szCs w:val="18"/>
              </w:rPr>
              <w:t>　　（七）在监理过程中实施商业贿赂；</w:t>
            </w:r>
          </w:p>
          <w:p w14:paraId="2BF04CAA">
            <w:pPr>
              <w:spacing w:line="320" w:lineRule="exact"/>
              <w:jc w:val="left"/>
              <w:rPr>
                <w:color w:val="000000"/>
                <w:kern w:val="0"/>
                <w:sz w:val="18"/>
                <w:szCs w:val="18"/>
              </w:rPr>
            </w:pPr>
            <w:r>
              <w:rPr>
                <w:rFonts w:hint="eastAsia"/>
                <w:color w:val="000000"/>
                <w:kern w:val="0"/>
                <w:sz w:val="18"/>
                <w:szCs w:val="18"/>
              </w:rPr>
              <w:t>第二十九条　工程监理企业有本规定第十六条第七项、第八项行为之一的，由县级以上地方人民政府建设主管部门或者有关部门予以警告，责令其改正，并处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万元以下的罚款；造成损失的，依法承担赔偿责任；构成犯罪的，依法追究刑事责任。</w:t>
            </w:r>
          </w:p>
        </w:tc>
      </w:tr>
      <w:tr w14:paraId="5EA4C19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83A775E">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485601F2">
            <w:pPr>
              <w:spacing w:line="320" w:lineRule="exact"/>
              <w:jc w:val="left"/>
              <w:rPr>
                <w:color w:val="000000"/>
                <w:kern w:val="0"/>
                <w:sz w:val="18"/>
                <w:szCs w:val="18"/>
              </w:rPr>
            </w:pPr>
            <w:r>
              <w:rPr>
                <w:rFonts w:hint="eastAsia"/>
                <w:color w:val="000000"/>
                <w:kern w:val="0"/>
                <w:sz w:val="18"/>
                <w:szCs w:val="18"/>
              </w:rPr>
              <w:t>警告，罚款</w:t>
            </w:r>
          </w:p>
        </w:tc>
      </w:tr>
      <w:tr w14:paraId="4D1FD254">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5105F7E9">
            <w:pPr>
              <w:spacing w:line="320" w:lineRule="exact"/>
              <w:jc w:val="center"/>
              <w:rPr>
                <w:color w:val="000000"/>
                <w:kern w:val="0"/>
                <w:sz w:val="18"/>
                <w:szCs w:val="18"/>
              </w:rPr>
            </w:pPr>
            <w:r>
              <w:rPr>
                <w:rFonts w:hint="eastAsia"/>
                <w:color w:val="000000"/>
                <w:kern w:val="0"/>
                <w:sz w:val="18"/>
                <w:szCs w:val="18"/>
              </w:rPr>
              <w:t>裁量基准</w:t>
            </w:r>
          </w:p>
        </w:tc>
      </w:tr>
      <w:tr w14:paraId="1637722C">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000000" w:sz="4" w:space="0"/>
              <w:right w:val="single" w:color="auto" w:sz="4" w:space="0"/>
            </w:tcBorders>
            <w:vAlign w:val="center"/>
          </w:tcPr>
          <w:p w14:paraId="00B4686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5507AE37">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color="auto" w:sz="4" w:space="0"/>
              <w:bottom w:val="single" w:color="000000" w:sz="4" w:space="0"/>
              <w:right w:val="single" w:color="auto" w:sz="4" w:space="0"/>
            </w:tcBorders>
            <w:vAlign w:val="center"/>
          </w:tcPr>
          <w:p w14:paraId="19A87AE2">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7BBEE7F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79661188">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000000" w:sz="4" w:space="0"/>
              <w:right w:val="single" w:color="auto" w:sz="4" w:space="0"/>
            </w:tcBorders>
            <w:vAlign w:val="center"/>
          </w:tcPr>
          <w:p w14:paraId="3D312454">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393CB1EF">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val="continue"/>
            <w:tcBorders>
              <w:top w:val="nil"/>
              <w:left w:val="single" w:color="auto" w:sz="4" w:space="0"/>
              <w:bottom w:val="single" w:color="000000" w:sz="4" w:space="0"/>
              <w:right w:val="single" w:color="auto" w:sz="4" w:space="0"/>
            </w:tcBorders>
            <w:vAlign w:val="center"/>
          </w:tcPr>
          <w:p w14:paraId="45D802C9">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vAlign w:val="center"/>
          </w:tcPr>
          <w:p w14:paraId="5B5B819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7BFCB8C3"/>
    <w:p w14:paraId="740687DC"/>
    <w:p w14:paraId="3BEAC587"/>
    <w:p w14:paraId="6BD26421"/>
    <w:p w14:paraId="6CC9EF53"/>
    <w:p w14:paraId="4D4CFB42"/>
    <w:p w14:paraId="4ACC7FAA"/>
    <w:p w14:paraId="35D0CFA3"/>
    <w:p w14:paraId="38B9BF45"/>
    <w:p w14:paraId="7A15CD2C"/>
    <w:p w14:paraId="0C197984"/>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10D4AF2D">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5BE99C42">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auto" w:sz="4" w:space="0"/>
            </w:tcBorders>
            <w:vAlign w:val="center"/>
          </w:tcPr>
          <w:p w14:paraId="3274B393">
            <w:pPr>
              <w:jc w:val="left"/>
              <w:textAlignment w:val="center"/>
              <w:rPr>
                <w:rFonts w:eastAsia="仿宋_GB2312"/>
                <w:b/>
                <w:bCs/>
                <w:color w:val="000000"/>
                <w:kern w:val="0"/>
                <w:sz w:val="18"/>
                <w:szCs w:val="18"/>
              </w:rPr>
            </w:pPr>
            <w:r>
              <w:rPr>
                <w:rFonts w:eastAsia="仿宋_GB2312"/>
                <w:b/>
                <w:color w:val="000000"/>
                <w:kern w:val="0"/>
                <w:sz w:val="20"/>
              </w:rPr>
              <w:t>320217268000</w:t>
            </w:r>
            <w:r>
              <w:rPr>
                <w:rFonts w:hint="eastAsia" w:eastAsia="仿宋_GB2312"/>
                <w:b/>
                <w:color w:val="000000"/>
                <w:kern w:val="0"/>
                <w:sz w:val="20"/>
              </w:rPr>
              <w:t xml:space="preserve"> </w:t>
            </w:r>
          </w:p>
        </w:tc>
      </w:tr>
      <w:tr w14:paraId="049F60AF">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D744330">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auto" w:sz="4" w:space="0"/>
            </w:tcBorders>
            <w:vAlign w:val="center"/>
          </w:tcPr>
          <w:p w14:paraId="3B4C9FE9">
            <w:pPr>
              <w:spacing w:line="320" w:lineRule="exact"/>
              <w:jc w:val="left"/>
              <w:rPr>
                <w:color w:val="000000"/>
                <w:kern w:val="0"/>
                <w:sz w:val="18"/>
                <w:szCs w:val="18"/>
              </w:rPr>
            </w:pPr>
            <w:r>
              <w:rPr>
                <w:rFonts w:hint="eastAsia"/>
                <w:color w:val="000000"/>
                <w:kern w:val="0"/>
                <w:sz w:val="18"/>
                <w:szCs w:val="18"/>
              </w:rPr>
              <w:t>对注册建造师超出执业范围或者聘用单位业务范围从事执业活动的处罚</w:t>
            </w:r>
          </w:p>
        </w:tc>
      </w:tr>
      <w:tr w14:paraId="11D2C1C2">
        <w:tblPrEx>
          <w:tblCellMar>
            <w:top w:w="0" w:type="dxa"/>
            <w:left w:w="108" w:type="dxa"/>
            <w:bottom w:w="0" w:type="dxa"/>
            <w:right w:w="108" w:type="dxa"/>
          </w:tblCellMar>
        </w:tblPrEx>
        <w:trPr>
          <w:trHeight w:val="1380" w:hRule="atLeast"/>
        </w:trPr>
        <w:tc>
          <w:tcPr>
            <w:tcW w:w="1056" w:type="dxa"/>
            <w:tcBorders>
              <w:top w:val="nil"/>
              <w:left w:val="single" w:color="auto" w:sz="8" w:space="0"/>
              <w:bottom w:val="single" w:color="auto" w:sz="4" w:space="0"/>
              <w:right w:val="single" w:color="auto" w:sz="4" w:space="0"/>
            </w:tcBorders>
            <w:vAlign w:val="center"/>
          </w:tcPr>
          <w:p w14:paraId="5BC2DD77">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auto" w:sz="4" w:space="0"/>
            </w:tcBorders>
            <w:vAlign w:val="center"/>
          </w:tcPr>
          <w:p w14:paraId="359856A3">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　注册建造师不得有下列行为：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（八）超出执业范围和聘用单位业务范围从事执业活动。</w:t>
            </w:r>
            <w:r>
              <w:rPr>
                <w:color w:val="000000"/>
                <w:kern w:val="0"/>
                <w:sz w:val="18"/>
                <w:szCs w:val="18"/>
              </w:rPr>
              <w:br w:type="textWrapping"/>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违反本规定，注册建造师在执业活动中有第二十六条所列行为之一的，由县级以上地方人民政府建设主管部门或者其他有关部门给予警告，责令改正，没有违法所得的，处以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1A36846D">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AF7F803">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auto" w:sz="4" w:space="0"/>
            </w:tcBorders>
            <w:vAlign w:val="center"/>
          </w:tcPr>
          <w:p w14:paraId="2513E567">
            <w:pPr>
              <w:spacing w:line="320" w:lineRule="exact"/>
              <w:jc w:val="left"/>
              <w:rPr>
                <w:color w:val="000000"/>
                <w:kern w:val="0"/>
                <w:sz w:val="18"/>
                <w:szCs w:val="18"/>
              </w:rPr>
            </w:pPr>
            <w:r>
              <w:rPr>
                <w:rFonts w:hint="eastAsia"/>
                <w:color w:val="000000"/>
                <w:kern w:val="0"/>
                <w:sz w:val="18"/>
                <w:szCs w:val="18"/>
              </w:rPr>
              <w:t>警告、罚款</w:t>
            </w:r>
          </w:p>
        </w:tc>
      </w:tr>
      <w:tr w14:paraId="66F204CB">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auto" w:sz="4" w:space="0"/>
            </w:tcBorders>
            <w:vAlign w:val="center"/>
          </w:tcPr>
          <w:p w14:paraId="6D98D98E">
            <w:pPr>
              <w:spacing w:line="320" w:lineRule="exact"/>
              <w:jc w:val="center"/>
              <w:rPr>
                <w:color w:val="000000"/>
                <w:kern w:val="0"/>
                <w:sz w:val="18"/>
                <w:szCs w:val="18"/>
              </w:rPr>
            </w:pPr>
            <w:r>
              <w:rPr>
                <w:rFonts w:hint="eastAsia"/>
                <w:color w:val="000000"/>
                <w:kern w:val="0"/>
                <w:sz w:val="18"/>
                <w:szCs w:val="18"/>
              </w:rPr>
              <w:t>裁量基准</w:t>
            </w:r>
          </w:p>
        </w:tc>
      </w:tr>
      <w:tr w14:paraId="7AA2EB13">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6DE9E3CA">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4ECACF00">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2B75257C">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01E62EEC">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4" w:space="0"/>
            </w:tcBorders>
            <w:vAlign w:val="center"/>
          </w:tcPr>
          <w:p w14:paraId="46FF20FC">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6F9A0149">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CE87192">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28E1BE77">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16B89A41">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5AAEB721">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30753C74">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6E7CF332">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6B40CC7">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75380EF8">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6B2C318B">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6220DF3">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2ABAEDFB">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041DA2D2">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DF2F9BA">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370FDF0">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0CDA8F27">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6BC2A94B">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1976FB89">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69919E3C"/>
    <w:p w14:paraId="7B48B3E8"/>
    <w:p w14:paraId="42E19D19"/>
    <w:p w14:paraId="1873B0E9"/>
    <w:p w14:paraId="0E43FF54"/>
    <w:p w14:paraId="351733B5"/>
    <w:p w14:paraId="12013D75"/>
    <w:p w14:paraId="26BC0A22"/>
    <w:p w14:paraId="41FDCDCA"/>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270469F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8F75FDB">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1A6C3E57">
            <w:pPr>
              <w:jc w:val="left"/>
              <w:textAlignment w:val="center"/>
              <w:rPr>
                <w:rFonts w:eastAsia="仿宋_GB2312"/>
                <w:b/>
                <w:bCs/>
                <w:color w:val="000000"/>
                <w:kern w:val="0"/>
                <w:sz w:val="18"/>
                <w:szCs w:val="18"/>
              </w:rPr>
            </w:pPr>
            <w:r>
              <w:rPr>
                <w:rFonts w:eastAsia="仿宋_GB2312"/>
                <w:b/>
                <w:color w:val="000000"/>
                <w:kern w:val="0"/>
                <w:sz w:val="20"/>
              </w:rPr>
              <w:t>320217269000</w:t>
            </w:r>
          </w:p>
        </w:tc>
      </w:tr>
      <w:tr w14:paraId="04536A0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41DA5D3">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46D55E6B">
            <w:pPr>
              <w:spacing w:line="320" w:lineRule="exact"/>
              <w:jc w:val="left"/>
              <w:rPr>
                <w:color w:val="000000"/>
                <w:kern w:val="0"/>
                <w:sz w:val="18"/>
                <w:szCs w:val="18"/>
              </w:rPr>
            </w:pPr>
            <w:r>
              <w:rPr>
                <w:rFonts w:hint="eastAsia"/>
                <w:color w:val="000000"/>
                <w:kern w:val="0"/>
                <w:sz w:val="18"/>
                <w:szCs w:val="18"/>
              </w:rPr>
              <w:t>对注册建造师或者其聘用单位未按照要求提供注册建造师信用档案信息的处罚</w:t>
            </w:r>
          </w:p>
        </w:tc>
      </w:tr>
      <w:tr w14:paraId="261C252E">
        <w:tblPrEx>
          <w:tblCellMar>
            <w:top w:w="0" w:type="dxa"/>
            <w:left w:w="108" w:type="dxa"/>
            <w:bottom w:w="0" w:type="dxa"/>
            <w:right w:w="108" w:type="dxa"/>
          </w:tblCellMar>
        </w:tblPrEx>
        <w:trPr>
          <w:trHeight w:val="1200" w:hRule="atLeast"/>
        </w:trPr>
        <w:tc>
          <w:tcPr>
            <w:tcW w:w="1056" w:type="dxa"/>
            <w:tcBorders>
              <w:top w:val="nil"/>
              <w:left w:val="single" w:color="auto" w:sz="8" w:space="0"/>
              <w:bottom w:val="single" w:color="auto" w:sz="4" w:space="0"/>
              <w:right w:val="single" w:color="auto" w:sz="4" w:space="0"/>
            </w:tcBorders>
            <w:vAlign w:val="center"/>
          </w:tcPr>
          <w:p w14:paraId="7B80BE90">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13087B21">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注册建造师及其聘用单位应当按照要求，向注册机关提供真实、准确、完整的注册建造师信用档案信息。</w:t>
            </w:r>
            <w:r>
              <w:rPr>
                <w:color w:val="000000"/>
                <w:kern w:val="0"/>
                <w:sz w:val="18"/>
                <w:szCs w:val="18"/>
              </w:rPr>
              <w:br w:type="textWrapping"/>
            </w: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违反本规定，注册建造师或者其聘用单位未按照要求提供注册建造师信用档案信息的，由县级以上地方人民政府建设主管部门或者其他有关部门责令限期改正；逾期未改正的，可处以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3FC7206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521A653">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2F057816">
            <w:pPr>
              <w:spacing w:line="320" w:lineRule="exact"/>
              <w:jc w:val="left"/>
              <w:rPr>
                <w:color w:val="000000"/>
                <w:kern w:val="0"/>
                <w:sz w:val="18"/>
                <w:szCs w:val="18"/>
              </w:rPr>
            </w:pPr>
            <w:r>
              <w:rPr>
                <w:rFonts w:hint="eastAsia"/>
                <w:color w:val="000000"/>
                <w:kern w:val="0"/>
                <w:sz w:val="18"/>
                <w:szCs w:val="18"/>
              </w:rPr>
              <w:t>罚款</w:t>
            </w:r>
          </w:p>
        </w:tc>
      </w:tr>
      <w:tr w14:paraId="302D0175">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7DB4B546">
            <w:pPr>
              <w:spacing w:line="320" w:lineRule="exact"/>
              <w:jc w:val="left"/>
              <w:rPr>
                <w:color w:val="000000"/>
                <w:kern w:val="0"/>
                <w:sz w:val="18"/>
                <w:szCs w:val="18"/>
              </w:rPr>
            </w:pPr>
            <w:r>
              <w:rPr>
                <w:rFonts w:hint="eastAsia"/>
                <w:color w:val="000000"/>
                <w:kern w:val="0"/>
                <w:sz w:val="18"/>
                <w:szCs w:val="18"/>
              </w:rPr>
              <w:t>裁量基准</w:t>
            </w:r>
          </w:p>
        </w:tc>
      </w:tr>
      <w:tr w14:paraId="06AD5BC2">
        <w:tblPrEx>
          <w:tblCellMar>
            <w:top w:w="0" w:type="dxa"/>
            <w:left w:w="108" w:type="dxa"/>
            <w:bottom w:w="0" w:type="dxa"/>
            <w:right w:w="108" w:type="dxa"/>
          </w:tblCellMar>
        </w:tblPrEx>
        <w:trPr>
          <w:trHeight w:val="480" w:hRule="atLeast"/>
        </w:trPr>
        <w:tc>
          <w:tcPr>
            <w:tcW w:w="1056" w:type="dxa"/>
            <w:vMerge w:val="restart"/>
            <w:tcBorders>
              <w:top w:val="nil"/>
              <w:left w:val="single" w:color="auto" w:sz="8" w:space="0"/>
              <w:bottom w:val="single" w:color="auto" w:sz="4" w:space="0"/>
              <w:right w:val="single" w:color="auto" w:sz="4" w:space="0"/>
            </w:tcBorders>
            <w:vAlign w:val="center"/>
          </w:tcPr>
          <w:p w14:paraId="4A62E51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2E2688A">
            <w:pPr>
              <w:spacing w:line="320" w:lineRule="exact"/>
              <w:jc w:val="left"/>
              <w:rPr>
                <w:color w:val="000000"/>
                <w:kern w:val="0"/>
                <w:sz w:val="18"/>
                <w:szCs w:val="18"/>
              </w:rPr>
            </w:pPr>
            <w:r>
              <w:rPr>
                <w:rFonts w:hint="eastAsia"/>
                <w:color w:val="000000"/>
                <w:kern w:val="0"/>
                <w:sz w:val="18"/>
                <w:szCs w:val="18"/>
              </w:rPr>
              <w:t>提供的注册建筑师信用档案信息不准确、不完整，逾期不改正的</w:t>
            </w:r>
          </w:p>
        </w:tc>
        <w:tc>
          <w:tcPr>
            <w:tcW w:w="1044" w:type="dxa"/>
            <w:vMerge w:val="restart"/>
            <w:tcBorders>
              <w:top w:val="nil"/>
              <w:left w:val="single" w:color="auto" w:sz="4" w:space="0"/>
              <w:bottom w:val="single" w:color="auto" w:sz="4" w:space="0"/>
              <w:right w:val="single" w:color="auto" w:sz="4" w:space="0"/>
            </w:tcBorders>
            <w:vAlign w:val="center"/>
          </w:tcPr>
          <w:p w14:paraId="45698DB2">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6519FC19">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3CA1C0EF">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3FF30CF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48BC723">
            <w:pPr>
              <w:spacing w:line="320" w:lineRule="exact"/>
              <w:jc w:val="left"/>
              <w:rPr>
                <w:color w:val="000000"/>
                <w:kern w:val="0"/>
                <w:sz w:val="18"/>
                <w:szCs w:val="18"/>
              </w:rPr>
            </w:pPr>
            <w:r>
              <w:rPr>
                <w:rFonts w:hint="eastAsia"/>
                <w:color w:val="000000"/>
                <w:kern w:val="0"/>
                <w:sz w:val="18"/>
                <w:szCs w:val="18"/>
              </w:rPr>
              <w:t>提供的注册建筑师信用档案信息不真实，逾期不改正的</w:t>
            </w:r>
          </w:p>
        </w:tc>
        <w:tc>
          <w:tcPr>
            <w:tcW w:w="1044" w:type="dxa"/>
            <w:vMerge w:val="continue"/>
            <w:tcBorders>
              <w:top w:val="nil"/>
              <w:left w:val="single" w:color="auto" w:sz="4" w:space="0"/>
              <w:bottom w:val="single" w:color="auto" w:sz="4" w:space="0"/>
              <w:right w:val="single" w:color="auto" w:sz="4" w:space="0"/>
            </w:tcBorders>
            <w:vAlign w:val="center"/>
          </w:tcPr>
          <w:p w14:paraId="43CF5E85">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1F6F7A3">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5E0D295D">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725AE10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6EA9978">
            <w:pPr>
              <w:spacing w:line="320" w:lineRule="exact"/>
              <w:jc w:val="left"/>
              <w:rPr>
                <w:color w:val="000000"/>
                <w:kern w:val="0"/>
                <w:sz w:val="18"/>
                <w:szCs w:val="18"/>
              </w:rPr>
            </w:pPr>
            <w:r>
              <w:rPr>
                <w:rFonts w:hint="eastAsia"/>
                <w:color w:val="000000"/>
                <w:kern w:val="0"/>
                <w:sz w:val="18"/>
                <w:szCs w:val="18"/>
              </w:rPr>
              <w:t>未提供注册建筑师信用档案信息，逾期不改正的</w:t>
            </w:r>
          </w:p>
        </w:tc>
        <w:tc>
          <w:tcPr>
            <w:tcW w:w="1044" w:type="dxa"/>
            <w:vMerge w:val="continue"/>
            <w:tcBorders>
              <w:top w:val="nil"/>
              <w:left w:val="single" w:color="auto" w:sz="4" w:space="0"/>
              <w:bottom w:val="single" w:color="auto" w:sz="4" w:space="0"/>
              <w:right w:val="single" w:color="auto" w:sz="4" w:space="0"/>
            </w:tcBorders>
            <w:vAlign w:val="center"/>
          </w:tcPr>
          <w:p w14:paraId="1E8AA185">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11CED23">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14:paraId="7E7A151E"/>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63D87F56">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380A9EA">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auto" w:sz="4" w:space="0"/>
            </w:tcBorders>
            <w:vAlign w:val="center"/>
          </w:tcPr>
          <w:p w14:paraId="11DE1D56">
            <w:pPr>
              <w:jc w:val="left"/>
              <w:textAlignment w:val="center"/>
              <w:rPr>
                <w:rFonts w:eastAsia="仿宋_GB2312"/>
                <w:b/>
                <w:bCs/>
                <w:color w:val="000000"/>
                <w:kern w:val="0"/>
                <w:sz w:val="18"/>
                <w:szCs w:val="18"/>
              </w:rPr>
            </w:pPr>
            <w:r>
              <w:rPr>
                <w:rFonts w:eastAsia="仿宋_GB2312"/>
                <w:b/>
                <w:color w:val="000000"/>
                <w:kern w:val="0"/>
                <w:sz w:val="20"/>
              </w:rPr>
              <w:t>320217270000</w:t>
            </w:r>
          </w:p>
        </w:tc>
      </w:tr>
      <w:tr w14:paraId="724F9CF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0D89488">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auto" w:sz="4" w:space="0"/>
            </w:tcBorders>
            <w:vAlign w:val="center"/>
          </w:tcPr>
          <w:p w14:paraId="4A2BA5D0">
            <w:pPr>
              <w:spacing w:line="320" w:lineRule="exact"/>
              <w:jc w:val="left"/>
              <w:rPr>
                <w:color w:val="000000"/>
                <w:kern w:val="0"/>
                <w:sz w:val="18"/>
                <w:szCs w:val="18"/>
              </w:rPr>
            </w:pPr>
            <w:r>
              <w:rPr>
                <w:rFonts w:hint="eastAsia"/>
                <w:color w:val="000000"/>
                <w:kern w:val="0"/>
                <w:sz w:val="18"/>
                <w:szCs w:val="18"/>
              </w:rPr>
              <w:t>对聘用单位为注册建造师申请人提供虚假注册材料的处罚</w:t>
            </w:r>
          </w:p>
        </w:tc>
      </w:tr>
      <w:tr w14:paraId="24F5A240">
        <w:tblPrEx>
          <w:tblCellMar>
            <w:top w:w="0" w:type="dxa"/>
            <w:left w:w="108" w:type="dxa"/>
            <w:bottom w:w="0" w:type="dxa"/>
            <w:right w:w="108" w:type="dxa"/>
          </w:tblCellMar>
        </w:tblPrEx>
        <w:trPr>
          <w:trHeight w:val="810" w:hRule="atLeast"/>
        </w:trPr>
        <w:tc>
          <w:tcPr>
            <w:tcW w:w="1056" w:type="dxa"/>
            <w:tcBorders>
              <w:top w:val="nil"/>
              <w:left w:val="single" w:color="auto" w:sz="8" w:space="0"/>
              <w:bottom w:val="single" w:color="auto" w:sz="4" w:space="0"/>
              <w:right w:val="single" w:color="auto" w:sz="4" w:space="0"/>
            </w:tcBorders>
            <w:vAlign w:val="center"/>
          </w:tcPr>
          <w:p w14:paraId="78A8A1CE">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auto" w:sz="4" w:space="0"/>
            </w:tcBorders>
            <w:vAlign w:val="center"/>
          </w:tcPr>
          <w:p w14:paraId="619DBA4E">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聘用单位为申请人提供虚假注册材料的，由县级以上地方人民政府建设主管部门或者其他有关部门给予警告，责令限期改正；逾期未改正的，可处以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5C3E55A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9389F2C">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auto" w:sz="4" w:space="0"/>
            </w:tcBorders>
            <w:vAlign w:val="center"/>
          </w:tcPr>
          <w:p w14:paraId="79B1B82F">
            <w:pPr>
              <w:spacing w:line="320" w:lineRule="exact"/>
              <w:jc w:val="left"/>
              <w:rPr>
                <w:color w:val="000000"/>
                <w:kern w:val="0"/>
                <w:sz w:val="18"/>
                <w:szCs w:val="18"/>
              </w:rPr>
            </w:pPr>
            <w:r>
              <w:rPr>
                <w:rFonts w:hint="eastAsia"/>
                <w:color w:val="000000"/>
                <w:kern w:val="0"/>
                <w:sz w:val="18"/>
                <w:szCs w:val="18"/>
              </w:rPr>
              <w:t>警告、罚款</w:t>
            </w:r>
          </w:p>
        </w:tc>
      </w:tr>
      <w:tr w14:paraId="45D30140">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4" w:space="0"/>
            </w:tcBorders>
            <w:vAlign w:val="center"/>
          </w:tcPr>
          <w:p w14:paraId="7C109CB8">
            <w:pPr>
              <w:spacing w:line="320" w:lineRule="exact"/>
              <w:jc w:val="center"/>
              <w:rPr>
                <w:color w:val="000000"/>
                <w:kern w:val="0"/>
                <w:sz w:val="18"/>
                <w:szCs w:val="18"/>
              </w:rPr>
            </w:pPr>
            <w:r>
              <w:rPr>
                <w:rFonts w:hint="eastAsia"/>
                <w:color w:val="000000"/>
                <w:kern w:val="0"/>
                <w:sz w:val="18"/>
                <w:szCs w:val="18"/>
              </w:rPr>
              <w:t>裁量基准</w:t>
            </w:r>
          </w:p>
        </w:tc>
      </w:tr>
      <w:tr w14:paraId="549C97DC">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0718DDF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452D60C">
            <w:pPr>
              <w:spacing w:line="320" w:lineRule="exact"/>
              <w:jc w:val="left"/>
              <w:rPr>
                <w:color w:val="000000"/>
                <w:kern w:val="0"/>
                <w:sz w:val="18"/>
                <w:szCs w:val="18"/>
              </w:rPr>
            </w:pPr>
            <w:r>
              <w:rPr>
                <w:rFonts w:hint="eastAsia"/>
                <w:color w:val="000000"/>
                <w:kern w:val="0"/>
                <w:sz w:val="18"/>
                <w:szCs w:val="18"/>
              </w:rPr>
              <w:t>提供虚假注册材料，逾期未改正，但积极配合调查的</w:t>
            </w:r>
          </w:p>
        </w:tc>
        <w:tc>
          <w:tcPr>
            <w:tcW w:w="1044" w:type="dxa"/>
            <w:vMerge w:val="restart"/>
            <w:tcBorders>
              <w:top w:val="nil"/>
              <w:left w:val="single" w:color="auto" w:sz="4" w:space="0"/>
              <w:bottom w:val="single" w:color="auto" w:sz="4" w:space="0"/>
              <w:right w:val="single" w:color="auto" w:sz="4" w:space="0"/>
            </w:tcBorders>
            <w:vAlign w:val="center"/>
          </w:tcPr>
          <w:p w14:paraId="14A4FBA6">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4" w:space="0"/>
            </w:tcBorders>
            <w:vAlign w:val="center"/>
          </w:tcPr>
          <w:p w14:paraId="34935868">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2F1FA014">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E619F5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3792413">
            <w:pPr>
              <w:spacing w:line="320" w:lineRule="exact"/>
              <w:jc w:val="left"/>
              <w:rPr>
                <w:color w:val="000000"/>
                <w:kern w:val="0"/>
                <w:sz w:val="18"/>
                <w:szCs w:val="18"/>
              </w:rPr>
            </w:pPr>
            <w:r>
              <w:rPr>
                <w:rFonts w:hint="eastAsia"/>
                <w:color w:val="000000"/>
                <w:kern w:val="0"/>
                <w:sz w:val="18"/>
                <w:szCs w:val="18"/>
              </w:rPr>
              <w:t>提供虚假证明材料，逾期未改正，不积极配合调查的</w:t>
            </w:r>
          </w:p>
        </w:tc>
        <w:tc>
          <w:tcPr>
            <w:tcW w:w="1044" w:type="dxa"/>
            <w:vMerge w:val="continue"/>
            <w:tcBorders>
              <w:top w:val="nil"/>
              <w:left w:val="single" w:color="auto" w:sz="4" w:space="0"/>
              <w:bottom w:val="single" w:color="auto" w:sz="4" w:space="0"/>
              <w:right w:val="single" w:color="auto" w:sz="4" w:space="0"/>
            </w:tcBorders>
            <w:vAlign w:val="center"/>
          </w:tcPr>
          <w:p w14:paraId="40CED9CA">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66D3788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5FF1EDB6"/>
    <w:p w14:paraId="69DCFEC6"/>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75346DB9">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5781FFF">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0A5CB0A3">
            <w:pPr>
              <w:spacing w:line="320" w:lineRule="exact"/>
              <w:jc w:val="left"/>
              <w:rPr>
                <w:rFonts w:eastAsia="仿宋_GB2312"/>
                <w:b/>
                <w:bCs/>
                <w:color w:val="000000"/>
                <w:kern w:val="0"/>
                <w:sz w:val="18"/>
                <w:szCs w:val="18"/>
              </w:rPr>
            </w:pPr>
            <w:r>
              <w:rPr>
                <w:rFonts w:eastAsia="仿宋_GB2312"/>
                <w:b/>
                <w:bCs/>
                <w:color w:val="000000"/>
                <w:kern w:val="0"/>
                <w:sz w:val="18"/>
                <w:szCs w:val="18"/>
              </w:rPr>
              <w:t>320217271000</w:t>
            </w:r>
            <w:r>
              <w:rPr>
                <w:rFonts w:hint="eastAsia" w:eastAsia="仿宋_GB2312"/>
                <w:b/>
                <w:bCs/>
                <w:color w:val="000000"/>
                <w:kern w:val="0"/>
                <w:sz w:val="18"/>
                <w:szCs w:val="18"/>
              </w:rPr>
              <w:t xml:space="preserve"> </w:t>
            </w:r>
          </w:p>
        </w:tc>
      </w:tr>
      <w:tr w14:paraId="3D975E9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AE4983B">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2E46E39C">
            <w:pPr>
              <w:spacing w:line="320" w:lineRule="exact"/>
              <w:jc w:val="left"/>
              <w:rPr>
                <w:color w:val="000000"/>
                <w:kern w:val="0"/>
                <w:sz w:val="18"/>
                <w:szCs w:val="18"/>
              </w:rPr>
            </w:pPr>
            <w:r>
              <w:rPr>
                <w:rFonts w:hint="eastAsia"/>
                <w:color w:val="000000"/>
                <w:kern w:val="0"/>
                <w:sz w:val="18"/>
                <w:szCs w:val="18"/>
              </w:rPr>
              <w:t>对物业服务企业未将物业承接查验情况在物业管理区域内显著位置公告的处罚</w:t>
            </w:r>
          </w:p>
        </w:tc>
      </w:tr>
      <w:tr w14:paraId="3580E6F0">
        <w:tblPrEx>
          <w:tblCellMar>
            <w:top w:w="0" w:type="dxa"/>
            <w:left w:w="108" w:type="dxa"/>
            <w:bottom w:w="0" w:type="dxa"/>
            <w:right w:w="108" w:type="dxa"/>
          </w:tblCellMar>
        </w:tblPrEx>
        <w:trPr>
          <w:trHeight w:val="1335" w:hRule="atLeast"/>
        </w:trPr>
        <w:tc>
          <w:tcPr>
            <w:tcW w:w="1056" w:type="dxa"/>
            <w:tcBorders>
              <w:top w:val="nil"/>
              <w:left w:val="single" w:color="auto" w:sz="8" w:space="0"/>
              <w:bottom w:val="single" w:color="auto" w:sz="4" w:space="0"/>
              <w:right w:val="single" w:color="auto" w:sz="4" w:space="0"/>
            </w:tcBorders>
            <w:vAlign w:val="center"/>
          </w:tcPr>
          <w:p w14:paraId="11D96F6B">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749619B5">
            <w:pPr>
              <w:spacing w:line="320" w:lineRule="exact"/>
              <w:jc w:val="left"/>
              <w:rPr>
                <w:color w:val="000000"/>
                <w:kern w:val="0"/>
                <w:sz w:val="18"/>
                <w:szCs w:val="18"/>
              </w:rPr>
            </w:pPr>
            <w:r>
              <w:rPr>
                <w:rFonts w:hint="eastAsia"/>
                <w:color w:val="000000"/>
                <w:kern w:val="0"/>
                <w:sz w:val="18"/>
                <w:szCs w:val="18"/>
              </w:rPr>
              <w:t>【地方性法规】《江苏省物业管理条例》</w:t>
            </w:r>
          </w:p>
          <w:p w14:paraId="130542EA">
            <w:pPr>
              <w:spacing w:line="320" w:lineRule="exact"/>
              <w:jc w:val="left"/>
              <w:rPr>
                <w:color w:val="000000"/>
                <w:kern w:val="0"/>
                <w:sz w:val="18"/>
                <w:szCs w:val="18"/>
              </w:rPr>
            </w:pPr>
            <w:r>
              <w:rPr>
                <w:rFonts w:hint="eastAsia"/>
                <w:color w:val="000000"/>
                <w:kern w:val="0"/>
                <w:sz w:val="18"/>
                <w:szCs w:val="18"/>
              </w:rPr>
              <w:t xml:space="preserve">       第四十一条第二款 物业服务企业应当在备案后将物业承接查验情况，在物业管理区域内显著位置公告。</w:t>
            </w:r>
          </w:p>
          <w:p w14:paraId="1279B4C3">
            <w:pPr>
              <w:spacing w:line="320" w:lineRule="exact"/>
              <w:jc w:val="left"/>
              <w:rPr>
                <w:color w:val="000000"/>
                <w:kern w:val="0"/>
                <w:sz w:val="18"/>
                <w:szCs w:val="18"/>
              </w:rPr>
            </w:pPr>
            <w:r>
              <w:rPr>
                <w:rFonts w:hint="eastAsia"/>
                <w:color w:val="000000"/>
                <w:kern w:val="0"/>
                <w:sz w:val="18"/>
                <w:szCs w:val="18"/>
              </w:rPr>
              <w:t xml:space="preserve">        第八十四条 违反本条例第四十一条第二款规定，物业服务企业未将物业承接查验情况在物业管理区域内显著位置公告的，由县（市、区）物业管理行政主管部门责令限期改正；逾期不改正的，处一万元以上十万元以下罚款。</w:t>
            </w:r>
          </w:p>
        </w:tc>
      </w:tr>
      <w:tr w14:paraId="11DF60F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88104BE">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0CB987A3">
            <w:pPr>
              <w:spacing w:line="320" w:lineRule="exact"/>
              <w:jc w:val="left"/>
              <w:rPr>
                <w:color w:val="000000"/>
                <w:kern w:val="0"/>
                <w:sz w:val="18"/>
                <w:szCs w:val="18"/>
              </w:rPr>
            </w:pPr>
            <w:r>
              <w:rPr>
                <w:rFonts w:hint="eastAsia"/>
                <w:color w:val="000000"/>
                <w:kern w:val="0"/>
                <w:sz w:val="18"/>
                <w:szCs w:val="18"/>
              </w:rPr>
              <w:t>罚款</w:t>
            </w:r>
          </w:p>
        </w:tc>
      </w:tr>
      <w:tr w14:paraId="37915C6C">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4C85B62F">
            <w:pPr>
              <w:spacing w:line="320" w:lineRule="exact"/>
              <w:jc w:val="center"/>
              <w:rPr>
                <w:color w:val="000000"/>
                <w:kern w:val="0"/>
                <w:sz w:val="18"/>
                <w:szCs w:val="18"/>
              </w:rPr>
            </w:pPr>
            <w:r>
              <w:rPr>
                <w:rFonts w:hint="eastAsia"/>
                <w:color w:val="000000"/>
                <w:kern w:val="0"/>
                <w:sz w:val="18"/>
                <w:szCs w:val="18"/>
              </w:rPr>
              <w:t>裁量基准</w:t>
            </w:r>
          </w:p>
        </w:tc>
      </w:tr>
      <w:tr w14:paraId="37F7E410">
        <w:tblPrEx>
          <w:tblCellMar>
            <w:top w:w="0" w:type="dxa"/>
            <w:left w:w="108" w:type="dxa"/>
            <w:bottom w:w="0" w:type="dxa"/>
            <w:right w:w="108" w:type="dxa"/>
          </w:tblCellMar>
        </w:tblPrEx>
        <w:trPr>
          <w:trHeight w:val="192" w:hRule="atLeast"/>
        </w:trPr>
        <w:tc>
          <w:tcPr>
            <w:tcW w:w="1056" w:type="dxa"/>
            <w:vMerge w:val="restart"/>
            <w:tcBorders>
              <w:left w:val="single" w:color="auto" w:sz="8" w:space="0"/>
              <w:bottom w:val="single" w:color="auto" w:sz="4" w:space="0"/>
              <w:right w:val="single" w:color="auto" w:sz="4" w:space="0"/>
            </w:tcBorders>
            <w:vAlign w:val="center"/>
          </w:tcPr>
          <w:p w14:paraId="2BB3369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943E4F4">
            <w:pPr>
              <w:spacing w:line="320" w:lineRule="exact"/>
              <w:jc w:val="left"/>
              <w:rPr>
                <w:color w:val="000000"/>
                <w:kern w:val="0"/>
                <w:sz w:val="18"/>
                <w:szCs w:val="18"/>
              </w:rPr>
            </w:pPr>
            <w:r>
              <w:rPr>
                <w:rFonts w:hint="eastAsia"/>
                <w:color w:val="000000"/>
                <w:kern w:val="0"/>
                <w:sz w:val="18"/>
                <w:szCs w:val="18"/>
              </w:rPr>
              <w:t>公告位置不显著的</w:t>
            </w:r>
          </w:p>
        </w:tc>
        <w:tc>
          <w:tcPr>
            <w:tcW w:w="1060" w:type="dxa"/>
            <w:vMerge w:val="restart"/>
            <w:tcBorders>
              <w:left w:val="single" w:color="auto" w:sz="4" w:space="0"/>
              <w:bottom w:val="single" w:color="auto" w:sz="4" w:space="0"/>
              <w:right w:val="single" w:color="auto" w:sz="4" w:space="0"/>
            </w:tcBorders>
            <w:vAlign w:val="center"/>
          </w:tcPr>
          <w:p w14:paraId="0BEE9976">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8" w:space="0"/>
            </w:tcBorders>
            <w:vAlign w:val="center"/>
          </w:tcPr>
          <w:p w14:paraId="4D069D2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3111B272">
        <w:tblPrEx>
          <w:tblCellMar>
            <w:top w:w="0" w:type="dxa"/>
            <w:left w:w="108" w:type="dxa"/>
            <w:bottom w:w="0" w:type="dxa"/>
            <w:right w:w="108" w:type="dxa"/>
          </w:tblCellMar>
        </w:tblPrEx>
        <w:trPr>
          <w:trHeight w:val="192" w:hRule="atLeast"/>
        </w:trPr>
        <w:tc>
          <w:tcPr>
            <w:tcW w:w="1056" w:type="dxa"/>
            <w:vMerge w:val="continue"/>
            <w:tcBorders>
              <w:left w:val="single" w:color="auto" w:sz="8" w:space="0"/>
              <w:bottom w:val="single" w:color="auto" w:sz="4" w:space="0"/>
              <w:right w:val="single" w:color="auto" w:sz="4" w:space="0"/>
            </w:tcBorders>
            <w:vAlign w:val="center"/>
          </w:tcPr>
          <w:p w14:paraId="3DC9F68F">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004772C">
            <w:pPr>
              <w:spacing w:line="320" w:lineRule="exact"/>
              <w:jc w:val="left"/>
              <w:rPr>
                <w:color w:val="000000"/>
                <w:kern w:val="0"/>
                <w:sz w:val="18"/>
                <w:szCs w:val="18"/>
              </w:rPr>
            </w:pPr>
            <w:r>
              <w:rPr>
                <w:rFonts w:hint="eastAsia"/>
                <w:color w:val="000000"/>
                <w:kern w:val="0"/>
                <w:sz w:val="18"/>
                <w:szCs w:val="18"/>
              </w:rPr>
              <w:t>未将物业承接查验情况全部予以公告的</w:t>
            </w:r>
          </w:p>
        </w:tc>
        <w:tc>
          <w:tcPr>
            <w:tcW w:w="1060" w:type="dxa"/>
            <w:vMerge w:val="continue"/>
            <w:tcBorders>
              <w:left w:val="single" w:color="auto" w:sz="4" w:space="0"/>
              <w:bottom w:val="single" w:color="auto" w:sz="4" w:space="0"/>
              <w:right w:val="single" w:color="auto" w:sz="4" w:space="0"/>
            </w:tcBorders>
            <w:vAlign w:val="center"/>
          </w:tcPr>
          <w:p w14:paraId="01EFD310">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266D21B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14:paraId="1C33E650">
        <w:tblPrEx>
          <w:tblCellMar>
            <w:top w:w="0" w:type="dxa"/>
            <w:left w:w="108" w:type="dxa"/>
            <w:bottom w:w="0" w:type="dxa"/>
            <w:right w:w="108" w:type="dxa"/>
          </w:tblCellMar>
        </w:tblPrEx>
        <w:trPr>
          <w:trHeight w:val="192" w:hRule="atLeast"/>
        </w:trPr>
        <w:tc>
          <w:tcPr>
            <w:tcW w:w="1056" w:type="dxa"/>
            <w:vMerge w:val="continue"/>
            <w:tcBorders>
              <w:left w:val="single" w:color="auto" w:sz="8" w:space="0"/>
              <w:bottom w:val="single" w:color="auto" w:sz="4" w:space="0"/>
              <w:right w:val="single" w:color="auto" w:sz="4" w:space="0"/>
            </w:tcBorders>
            <w:vAlign w:val="center"/>
          </w:tcPr>
          <w:p w14:paraId="679241AC">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81C8DB4">
            <w:pPr>
              <w:spacing w:line="320" w:lineRule="exact"/>
              <w:jc w:val="left"/>
              <w:rPr>
                <w:color w:val="000000"/>
                <w:kern w:val="0"/>
                <w:sz w:val="18"/>
                <w:szCs w:val="18"/>
              </w:rPr>
            </w:pPr>
            <w:r>
              <w:rPr>
                <w:rFonts w:hint="eastAsia"/>
                <w:color w:val="000000"/>
                <w:kern w:val="0"/>
                <w:sz w:val="18"/>
                <w:szCs w:val="18"/>
              </w:rPr>
              <w:t>未公告物业承接查验情况的</w:t>
            </w:r>
          </w:p>
        </w:tc>
        <w:tc>
          <w:tcPr>
            <w:tcW w:w="1060" w:type="dxa"/>
            <w:vMerge w:val="continue"/>
            <w:tcBorders>
              <w:left w:val="single" w:color="auto" w:sz="4" w:space="0"/>
              <w:bottom w:val="single" w:color="auto" w:sz="4" w:space="0"/>
              <w:right w:val="single" w:color="auto" w:sz="4" w:space="0"/>
            </w:tcBorders>
            <w:vAlign w:val="center"/>
          </w:tcPr>
          <w:p w14:paraId="38EA391E">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4F333F9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52C51393"/>
    <w:p w14:paraId="5FB1C4BD"/>
    <w:p w14:paraId="14F0641A"/>
    <w:p w14:paraId="16311773"/>
    <w:p w14:paraId="5C3325E4"/>
    <w:p w14:paraId="2AA454F0"/>
    <w:p w14:paraId="36DF8319"/>
    <w:p w14:paraId="030BC8BC"/>
    <w:p w14:paraId="73C6EBF1"/>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35E6B984">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45748484">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387A89C1">
            <w:pPr>
              <w:spacing w:line="320" w:lineRule="exact"/>
              <w:jc w:val="left"/>
              <w:rPr>
                <w:rFonts w:eastAsia="仿宋_GB2312"/>
                <w:b/>
                <w:bCs/>
                <w:color w:val="000000"/>
                <w:kern w:val="0"/>
                <w:sz w:val="18"/>
                <w:szCs w:val="18"/>
              </w:rPr>
            </w:pPr>
            <w:r>
              <w:rPr>
                <w:rFonts w:eastAsia="仿宋_GB2312"/>
                <w:b/>
                <w:bCs/>
                <w:color w:val="000000"/>
                <w:kern w:val="0"/>
                <w:sz w:val="18"/>
                <w:szCs w:val="18"/>
              </w:rPr>
              <w:t>320217272000</w:t>
            </w:r>
            <w:r>
              <w:rPr>
                <w:rFonts w:hint="eastAsia" w:eastAsia="仿宋_GB2312"/>
                <w:b/>
                <w:bCs/>
                <w:color w:val="000000"/>
                <w:kern w:val="0"/>
                <w:sz w:val="18"/>
                <w:szCs w:val="18"/>
              </w:rPr>
              <w:t xml:space="preserve"> </w:t>
            </w:r>
          </w:p>
        </w:tc>
      </w:tr>
      <w:tr w14:paraId="0BFCDD8E">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04A2B49E">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259A5797">
            <w:pPr>
              <w:spacing w:line="320" w:lineRule="exact"/>
              <w:jc w:val="left"/>
              <w:rPr>
                <w:color w:val="000000"/>
                <w:kern w:val="0"/>
                <w:sz w:val="18"/>
                <w:szCs w:val="18"/>
              </w:rPr>
            </w:pPr>
            <w:r>
              <w:rPr>
                <w:rFonts w:hint="eastAsia"/>
                <w:color w:val="000000"/>
                <w:kern w:val="0"/>
                <w:sz w:val="18"/>
                <w:szCs w:val="18"/>
              </w:rPr>
              <w:t>对生产经营单位的决策机构、主要负责人或者个人经营的投资人未保证安全生产所必需的资金投入，致使生产经营单位不具备安全生产条件的处罚</w:t>
            </w:r>
          </w:p>
        </w:tc>
      </w:tr>
      <w:tr w14:paraId="10D10057">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0B427A4E">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20AEE533">
            <w:pPr>
              <w:spacing w:line="320" w:lineRule="exact"/>
              <w:jc w:val="left"/>
              <w:rPr>
                <w:color w:val="000000"/>
                <w:kern w:val="0"/>
                <w:sz w:val="18"/>
                <w:szCs w:val="18"/>
              </w:rPr>
            </w:pPr>
            <w:r>
              <w:rPr>
                <w:rFonts w:hint="eastAsia"/>
                <w:color w:val="000000"/>
                <w:kern w:val="0"/>
                <w:sz w:val="18"/>
                <w:szCs w:val="18"/>
              </w:rPr>
              <w:t>【法律】《中华人民共和国安全生产法》</w:t>
            </w:r>
          </w:p>
          <w:p w14:paraId="5BB296ED">
            <w:pPr>
              <w:spacing w:line="320" w:lineRule="exact"/>
              <w:jc w:val="left"/>
              <w:rPr>
                <w:color w:val="000000"/>
                <w:kern w:val="0"/>
                <w:sz w:val="18"/>
                <w:szCs w:val="18"/>
              </w:rPr>
            </w:pPr>
            <w:r>
              <w:rPr>
                <w:rFonts w:hint="eastAsia"/>
                <w:color w:val="000000"/>
                <w:kern w:val="0"/>
                <w:sz w:val="18"/>
                <w:szCs w:val="18"/>
              </w:rPr>
              <w:t>　     第二十三条第一款　生产经营单位应当具备的安全生产条件所必需的资金投入，由生产经营单位的决策机构、主要负责人或者个人经营的投资人予以保证，并对由于安全生产所必需的资金投入不足导致的后果承担责任。</w:t>
            </w:r>
          </w:p>
          <w:p w14:paraId="51260D86">
            <w:pPr>
              <w:spacing w:line="320" w:lineRule="exact"/>
              <w:jc w:val="left"/>
              <w:rPr>
                <w:color w:val="000000"/>
                <w:kern w:val="0"/>
                <w:sz w:val="18"/>
                <w:szCs w:val="18"/>
              </w:rPr>
            </w:pPr>
            <w:r>
              <w:rPr>
                <w:rFonts w:hint="eastAsia"/>
                <w:color w:val="000000"/>
                <w:kern w:val="0"/>
                <w:sz w:val="18"/>
                <w:szCs w:val="18"/>
              </w:rPr>
              <w:t xml:space="preserve">    　第九十三条　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p>
          <w:p w14:paraId="3C43AE79">
            <w:pPr>
              <w:spacing w:line="320" w:lineRule="exact"/>
              <w:jc w:val="left"/>
              <w:rPr>
                <w:color w:val="000000"/>
                <w:kern w:val="0"/>
                <w:sz w:val="18"/>
                <w:szCs w:val="18"/>
              </w:rPr>
            </w:pPr>
            <w:r>
              <w:rPr>
                <w:rFonts w:hint="eastAsia"/>
                <w:color w:val="000000"/>
                <w:kern w:val="0"/>
                <w:sz w:val="18"/>
                <w:szCs w:val="18"/>
              </w:rPr>
              <w:t>　　有前款违法行为，导致发生生产安全事故的，对生产经营单位的主要负责人给予撤职处分，对个人经营的投资人处二万元以上二十万元以下的罚款；构成犯罪的，依照刑法有关规定追究刑事责任。</w:t>
            </w:r>
          </w:p>
        </w:tc>
      </w:tr>
      <w:tr w14:paraId="2C37EA49">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49B1013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1C3352C3">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w:t>
            </w:r>
          </w:p>
        </w:tc>
      </w:tr>
      <w:tr w14:paraId="6BB1A9C6">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627EEC56">
            <w:pPr>
              <w:spacing w:line="320" w:lineRule="exact"/>
              <w:jc w:val="center"/>
              <w:rPr>
                <w:color w:val="000000"/>
                <w:kern w:val="0"/>
                <w:sz w:val="18"/>
                <w:szCs w:val="18"/>
              </w:rPr>
            </w:pPr>
            <w:r>
              <w:rPr>
                <w:rFonts w:hint="eastAsia"/>
                <w:color w:val="000000"/>
                <w:kern w:val="0"/>
                <w:sz w:val="18"/>
                <w:szCs w:val="18"/>
              </w:rPr>
              <w:t>裁量基准</w:t>
            </w:r>
          </w:p>
        </w:tc>
      </w:tr>
      <w:tr w14:paraId="032D29CC">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bottom w:val="single" w:color="auto" w:sz="4" w:space="0"/>
              <w:right w:val="single" w:color="auto" w:sz="4" w:space="0"/>
            </w:tcBorders>
            <w:vAlign w:val="center"/>
          </w:tcPr>
          <w:p w14:paraId="4034893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02E278AA">
            <w:pPr>
              <w:spacing w:line="320" w:lineRule="exact"/>
              <w:jc w:val="left"/>
              <w:rPr>
                <w:color w:val="000000"/>
                <w:kern w:val="0"/>
                <w:sz w:val="18"/>
                <w:szCs w:val="18"/>
              </w:rPr>
            </w:pPr>
            <w:r>
              <w:rPr>
                <w:rFonts w:hint="eastAsia"/>
                <w:color w:val="000000"/>
                <w:kern w:val="0"/>
                <w:sz w:val="18"/>
                <w:szCs w:val="18"/>
              </w:rPr>
              <w:t>发生一般生产安全事故的</w:t>
            </w:r>
          </w:p>
        </w:tc>
        <w:tc>
          <w:tcPr>
            <w:tcW w:w="1076" w:type="dxa"/>
            <w:vMerge w:val="restart"/>
            <w:tcBorders>
              <w:top w:val="nil"/>
              <w:left w:val="single" w:color="auto" w:sz="4" w:space="0"/>
              <w:bottom w:val="single" w:color="auto" w:sz="4" w:space="0"/>
              <w:right w:val="single" w:color="auto" w:sz="4" w:space="0"/>
            </w:tcBorders>
            <w:vAlign w:val="center"/>
          </w:tcPr>
          <w:p w14:paraId="08D2B93F">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3E53CFA">
            <w:pPr>
              <w:spacing w:line="320" w:lineRule="exact"/>
              <w:jc w:val="left"/>
              <w:rPr>
                <w:color w:val="000000"/>
                <w:kern w:val="0"/>
                <w:sz w:val="18"/>
                <w:szCs w:val="18"/>
              </w:rPr>
            </w:pPr>
            <w:r>
              <w:rPr>
                <w:rFonts w:hint="eastAsia"/>
                <w:color w:val="000000"/>
                <w:kern w:val="0"/>
                <w:sz w:val="18"/>
                <w:szCs w:val="18"/>
              </w:rPr>
              <w:t>对个人经营的投资人处</w:t>
            </w:r>
            <w:r>
              <w:rPr>
                <w:color w:val="000000"/>
                <w:kern w:val="0"/>
                <w:sz w:val="18"/>
                <w:szCs w:val="18"/>
              </w:rPr>
              <w:t>2</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14:paraId="7C75E527">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5EBE96C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78CA549F">
            <w:pPr>
              <w:spacing w:line="320" w:lineRule="exact"/>
              <w:jc w:val="left"/>
              <w:rPr>
                <w:color w:val="000000"/>
                <w:kern w:val="0"/>
                <w:sz w:val="18"/>
                <w:szCs w:val="18"/>
              </w:rPr>
            </w:pPr>
            <w:r>
              <w:rPr>
                <w:rFonts w:hint="eastAsia"/>
                <w:color w:val="000000"/>
                <w:kern w:val="0"/>
                <w:sz w:val="18"/>
                <w:szCs w:val="18"/>
              </w:rPr>
              <w:t>发生较大生产安全事故的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0BD6C49A">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60036D7">
            <w:pPr>
              <w:spacing w:line="320" w:lineRule="exact"/>
              <w:jc w:val="left"/>
              <w:rPr>
                <w:color w:val="000000"/>
                <w:kern w:val="0"/>
                <w:sz w:val="18"/>
                <w:szCs w:val="18"/>
              </w:rPr>
            </w:pPr>
            <w:r>
              <w:rPr>
                <w:rFonts w:hint="eastAsia"/>
                <w:color w:val="000000"/>
                <w:kern w:val="0"/>
                <w:sz w:val="18"/>
                <w:szCs w:val="18"/>
              </w:rPr>
              <w:t>对个人经营的投资人处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14:paraId="0580A8EB">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4C6F122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00AFA0EA">
            <w:pPr>
              <w:spacing w:line="320" w:lineRule="exact"/>
              <w:jc w:val="left"/>
              <w:rPr>
                <w:color w:val="000000"/>
                <w:kern w:val="0"/>
                <w:sz w:val="18"/>
                <w:szCs w:val="18"/>
              </w:rPr>
            </w:pPr>
            <w:r>
              <w:rPr>
                <w:rFonts w:hint="eastAsia"/>
                <w:color w:val="000000"/>
                <w:kern w:val="0"/>
                <w:sz w:val="18"/>
                <w:szCs w:val="18"/>
              </w:rPr>
              <w:t>发生重大以上等级生产安全事故的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0FDEE5FB">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A7B5D07">
            <w:pPr>
              <w:spacing w:line="320" w:lineRule="exact"/>
              <w:jc w:val="left"/>
              <w:rPr>
                <w:color w:val="000000"/>
                <w:kern w:val="0"/>
                <w:sz w:val="18"/>
                <w:szCs w:val="18"/>
              </w:rPr>
            </w:pPr>
            <w:r>
              <w:rPr>
                <w:rFonts w:hint="eastAsia"/>
                <w:color w:val="000000"/>
                <w:kern w:val="0"/>
                <w:sz w:val="18"/>
                <w:szCs w:val="18"/>
              </w:rPr>
              <w:t>对个人经营的投资人处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bl>
    <w:p w14:paraId="22287879"/>
    <w:p w14:paraId="118312F5"/>
    <w:p w14:paraId="31F49441"/>
    <w:p w14:paraId="04785770"/>
    <w:p w14:paraId="179A471A"/>
    <w:p w14:paraId="645D5D5F"/>
    <w:p w14:paraId="3DF9490C"/>
    <w:p w14:paraId="192898F7"/>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61526142">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4CDE16CB">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0A478EF0">
            <w:pPr>
              <w:spacing w:line="320" w:lineRule="exact"/>
              <w:jc w:val="left"/>
              <w:rPr>
                <w:rFonts w:eastAsia="仿宋_GB2312"/>
                <w:b/>
                <w:bCs/>
                <w:color w:val="000000"/>
                <w:kern w:val="0"/>
                <w:sz w:val="18"/>
                <w:szCs w:val="18"/>
              </w:rPr>
            </w:pPr>
            <w:r>
              <w:rPr>
                <w:rFonts w:eastAsia="仿宋_GB2312"/>
                <w:b/>
                <w:bCs/>
                <w:color w:val="000000"/>
                <w:kern w:val="0"/>
                <w:sz w:val="18"/>
                <w:szCs w:val="18"/>
              </w:rPr>
              <w:t>320217273000</w:t>
            </w:r>
            <w:r>
              <w:rPr>
                <w:rFonts w:hint="eastAsia" w:eastAsia="仿宋_GB2312"/>
                <w:b/>
                <w:bCs/>
                <w:color w:val="000000"/>
                <w:kern w:val="0"/>
                <w:sz w:val="18"/>
                <w:szCs w:val="18"/>
              </w:rPr>
              <w:t xml:space="preserve"> </w:t>
            </w:r>
          </w:p>
        </w:tc>
      </w:tr>
      <w:tr w14:paraId="2FCBCA47">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657295C8">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3AE0FB5A">
            <w:pPr>
              <w:spacing w:line="320" w:lineRule="exact"/>
              <w:jc w:val="left"/>
              <w:rPr>
                <w:color w:val="000000"/>
                <w:kern w:val="0"/>
                <w:sz w:val="18"/>
                <w:szCs w:val="18"/>
              </w:rPr>
            </w:pPr>
            <w:r>
              <w:rPr>
                <w:rFonts w:hint="eastAsia"/>
                <w:color w:val="000000"/>
                <w:kern w:val="0"/>
                <w:sz w:val="18"/>
                <w:szCs w:val="18"/>
              </w:rPr>
              <w:t>对生产经营单位未如实记录安全生产教育和培训情况的处罚</w:t>
            </w:r>
          </w:p>
        </w:tc>
      </w:tr>
      <w:tr w14:paraId="48205850">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0958D526">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5D46FA56">
            <w:pPr>
              <w:ind w:firstLine="360" w:firstLineChars="200"/>
              <w:jc w:val="left"/>
              <w:textAlignment w:val="center"/>
              <w:rPr>
                <w:color w:val="000000"/>
                <w:kern w:val="0"/>
                <w:sz w:val="18"/>
                <w:szCs w:val="18"/>
              </w:rPr>
            </w:pPr>
            <w:r>
              <w:rPr>
                <w:rFonts w:hint="eastAsia"/>
                <w:color w:val="000000"/>
                <w:kern w:val="0"/>
                <w:sz w:val="18"/>
                <w:szCs w:val="18"/>
              </w:rPr>
              <w:t>【法律】《中华人民共和国安全生产法》</w:t>
            </w:r>
          </w:p>
          <w:p w14:paraId="4D076CB5">
            <w:pPr>
              <w:ind w:firstLine="360" w:firstLineChars="200"/>
              <w:jc w:val="left"/>
              <w:textAlignment w:val="center"/>
              <w:rPr>
                <w:color w:val="000000"/>
                <w:kern w:val="0"/>
                <w:sz w:val="18"/>
                <w:szCs w:val="18"/>
              </w:rPr>
            </w:pPr>
            <w:r>
              <w:rPr>
                <w:rFonts w:hint="eastAsia"/>
                <w:color w:val="000000"/>
                <w:kern w:val="0"/>
                <w:sz w:val="18"/>
                <w:szCs w:val="18"/>
              </w:rPr>
              <w:t>第二十五条　生产经营单位的安全生产管理机构以及安全生产管理人员履行下列职责:</w:t>
            </w:r>
          </w:p>
          <w:p w14:paraId="41A403E8">
            <w:pPr>
              <w:ind w:firstLine="360" w:firstLineChars="200"/>
              <w:jc w:val="left"/>
              <w:textAlignment w:val="center"/>
              <w:rPr>
                <w:color w:val="000000"/>
                <w:kern w:val="0"/>
                <w:sz w:val="18"/>
                <w:szCs w:val="18"/>
              </w:rPr>
            </w:pPr>
            <w:r>
              <w:rPr>
                <w:rFonts w:hint="eastAsia"/>
                <w:color w:val="000000"/>
                <w:kern w:val="0"/>
                <w:sz w:val="18"/>
                <w:szCs w:val="18"/>
              </w:rPr>
              <w:t>　（二）组织或者参与本单位安全生产教育和培训，如实记录安全生产教育和培训情况；</w:t>
            </w:r>
          </w:p>
          <w:p w14:paraId="2AA4189F">
            <w:pPr>
              <w:ind w:firstLine="360" w:firstLineChars="200"/>
              <w:jc w:val="left"/>
              <w:textAlignment w:val="center"/>
              <w:rPr>
                <w:color w:val="000000"/>
                <w:kern w:val="0"/>
                <w:sz w:val="18"/>
                <w:szCs w:val="18"/>
              </w:rPr>
            </w:pP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2AE71BB7">
            <w:pPr>
              <w:ind w:firstLine="360" w:firstLineChars="200"/>
              <w:jc w:val="left"/>
              <w:textAlignment w:val="center"/>
              <w:rPr>
                <w:color w:val="000000"/>
                <w:kern w:val="0"/>
                <w:sz w:val="18"/>
                <w:szCs w:val="18"/>
              </w:rPr>
            </w:pPr>
            <w:r>
              <w:rPr>
                <w:rFonts w:hint="eastAsia"/>
                <w:color w:val="000000"/>
                <w:kern w:val="0"/>
                <w:sz w:val="18"/>
                <w:szCs w:val="18"/>
              </w:rPr>
              <w:t>（四）未如实记录安全生产教育和培训情况的；</w:t>
            </w:r>
          </w:p>
          <w:p w14:paraId="6DBE1921">
            <w:pPr>
              <w:ind w:firstLine="360" w:firstLineChars="200"/>
              <w:jc w:val="left"/>
              <w:textAlignment w:val="center"/>
              <w:rPr>
                <w:rFonts w:eastAsia="仿宋_GB2312"/>
                <w:color w:val="000000"/>
                <w:sz w:val="20"/>
              </w:rPr>
            </w:pPr>
            <w:r>
              <w:rPr>
                <w:color w:val="000000"/>
                <w:kern w:val="0"/>
                <w:sz w:val="18"/>
                <w:szCs w:val="18"/>
              </w:rPr>
              <w:t xml:space="preserve">       </w:t>
            </w:r>
          </w:p>
        </w:tc>
      </w:tr>
      <w:tr w14:paraId="6DBE5AC9">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58EC485C">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5129CF7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w:t>
            </w:r>
          </w:p>
        </w:tc>
      </w:tr>
      <w:tr w14:paraId="21E76441">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67B7D1A3">
            <w:pPr>
              <w:spacing w:line="320" w:lineRule="exact"/>
              <w:jc w:val="center"/>
              <w:rPr>
                <w:color w:val="000000"/>
                <w:kern w:val="0"/>
                <w:sz w:val="18"/>
                <w:szCs w:val="18"/>
              </w:rPr>
            </w:pPr>
            <w:r>
              <w:rPr>
                <w:rFonts w:hint="eastAsia"/>
                <w:color w:val="000000"/>
                <w:kern w:val="0"/>
                <w:sz w:val="18"/>
                <w:szCs w:val="18"/>
              </w:rPr>
              <w:t>裁量基准</w:t>
            </w:r>
          </w:p>
        </w:tc>
      </w:tr>
      <w:tr w14:paraId="5B20722A">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bottom w:val="single" w:color="auto" w:sz="4" w:space="0"/>
              <w:right w:val="single" w:color="auto" w:sz="4" w:space="0"/>
            </w:tcBorders>
            <w:vAlign w:val="center"/>
          </w:tcPr>
          <w:p w14:paraId="34532D1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6F645337">
            <w:pPr>
              <w:spacing w:line="320" w:lineRule="exact"/>
              <w:jc w:val="left"/>
              <w:rPr>
                <w:color w:val="000000"/>
                <w:kern w:val="0"/>
                <w:sz w:val="18"/>
                <w:szCs w:val="18"/>
              </w:rPr>
            </w:pPr>
            <w:r>
              <w:rPr>
                <w:rFonts w:hint="eastAsia"/>
                <w:color w:val="000000"/>
                <w:kern w:val="0"/>
                <w:sz w:val="18"/>
                <w:szCs w:val="18"/>
              </w:rPr>
              <w:t>记录不真实且按照要求改正的</w:t>
            </w:r>
          </w:p>
        </w:tc>
        <w:tc>
          <w:tcPr>
            <w:tcW w:w="1076" w:type="dxa"/>
            <w:vMerge w:val="restart"/>
            <w:tcBorders>
              <w:top w:val="nil"/>
              <w:left w:val="single" w:color="auto" w:sz="4" w:space="0"/>
              <w:bottom w:val="single" w:color="auto" w:sz="4" w:space="0"/>
              <w:right w:val="single" w:color="auto" w:sz="4" w:space="0"/>
            </w:tcBorders>
            <w:vAlign w:val="center"/>
          </w:tcPr>
          <w:p w14:paraId="74882CAE">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2FA60B28">
            <w:pPr>
              <w:spacing w:line="320" w:lineRule="exact"/>
              <w:jc w:val="left"/>
              <w:rPr>
                <w:color w:val="000000"/>
                <w:kern w:val="0"/>
                <w:sz w:val="18"/>
                <w:szCs w:val="18"/>
              </w:rPr>
            </w:pPr>
            <w:r>
              <w:rPr>
                <w:rFonts w:hint="eastAsia"/>
                <w:color w:val="000000"/>
                <w:kern w:val="0"/>
                <w:sz w:val="18"/>
                <w:szCs w:val="18"/>
              </w:rPr>
              <w:t>5万元以下罚款</w:t>
            </w:r>
          </w:p>
        </w:tc>
      </w:tr>
      <w:tr w14:paraId="1290E6CA">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098AC2D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07125DE5">
            <w:pPr>
              <w:spacing w:line="320" w:lineRule="exact"/>
              <w:jc w:val="left"/>
              <w:rPr>
                <w:color w:val="000000"/>
                <w:kern w:val="0"/>
                <w:sz w:val="18"/>
                <w:szCs w:val="18"/>
              </w:rPr>
            </w:pPr>
            <w:r>
              <w:rPr>
                <w:rFonts w:hint="eastAsia"/>
                <w:color w:val="000000"/>
                <w:kern w:val="0"/>
                <w:sz w:val="18"/>
                <w:szCs w:val="18"/>
              </w:rPr>
              <w:t>未记录且按照要求改正的</w:t>
            </w:r>
          </w:p>
        </w:tc>
        <w:tc>
          <w:tcPr>
            <w:tcW w:w="1076" w:type="dxa"/>
            <w:vMerge w:val="continue"/>
            <w:tcBorders>
              <w:top w:val="nil"/>
              <w:left w:val="single" w:color="auto" w:sz="4" w:space="0"/>
              <w:bottom w:val="single" w:color="auto" w:sz="4" w:space="0"/>
              <w:right w:val="single" w:color="auto" w:sz="4" w:space="0"/>
            </w:tcBorders>
            <w:vAlign w:val="center"/>
          </w:tcPr>
          <w:p w14:paraId="46A22030">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100B489">
            <w:pPr>
              <w:spacing w:line="320" w:lineRule="exact"/>
              <w:jc w:val="left"/>
              <w:rPr>
                <w:color w:val="000000"/>
                <w:kern w:val="0"/>
                <w:sz w:val="18"/>
                <w:szCs w:val="18"/>
              </w:rPr>
            </w:pPr>
            <w:r>
              <w:rPr>
                <w:rFonts w:hint="eastAsia"/>
                <w:color w:val="000000"/>
                <w:kern w:val="0"/>
                <w:sz w:val="18"/>
                <w:szCs w:val="18"/>
              </w:rPr>
              <w:t>5万元以上10万元以下罚款</w:t>
            </w:r>
          </w:p>
        </w:tc>
      </w:tr>
      <w:tr w14:paraId="6F782BB7">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09BD844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3FBC1D9B">
            <w:pPr>
              <w:spacing w:line="320" w:lineRule="exact"/>
              <w:jc w:val="left"/>
              <w:rPr>
                <w:color w:val="000000"/>
                <w:kern w:val="0"/>
                <w:sz w:val="18"/>
                <w:szCs w:val="18"/>
              </w:rPr>
            </w:pPr>
            <w:r>
              <w:rPr>
                <w:rFonts w:hint="eastAsia"/>
                <w:color w:val="000000"/>
                <w:kern w:val="0"/>
                <w:sz w:val="18"/>
                <w:szCs w:val="18"/>
              </w:rPr>
              <w:t>记录不真实且未按照要求改正的</w:t>
            </w:r>
          </w:p>
        </w:tc>
        <w:tc>
          <w:tcPr>
            <w:tcW w:w="1076" w:type="dxa"/>
            <w:vMerge w:val="continue"/>
            <w:tcBorders>
              <w:top w:val="nil"/>
              <w:left w:val="single" w:color="auto" w:sz="4" w:space="0"/>
              <w:bottom w:val="single" w:color="auto" w:sz="4" w:space="0"/>
              <w:right w:val="single" w:color="auto" w:sz="4" w:space="0"/>
            </w:tcBorders>
            <w:vAlign w:val="center"/>
          </w:tcPr>
          <w:p w14:paraId="619DA96E">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DD83D00">
            <w:pPr>
              <w:spacing w:line="320" w:lineRule="exact"/>
              <w:jc w:val="left"/>
              <w:rPr>
                <w:color w:val="000000"/>
                <w:kern w:val="0"/>
                <w:sz w:val="18"/>
                <w:szCs w:val="18"/>
              </w:rPr>
            </w:pPr>
            <w:r>
              <w:rPr>
                <w:rFonts w:hint="eastAsia"/>
                <w:color w:val="000000"/>
                <w:kern w:val="0"/>
                <w:sz w:val="18"/>
                <w:szCs w:val="18"/>
              </w:rPr>
              <w:t>对单位：10万元以上15万元以下罚款，责令停产停业整顿</w:t>
            </w:r>
          </w:p>
          <w:p w14:paraId="54A24457">
            <w:pPr>
              <w:spacing w:line="320" w:lineRule="exact"/>
              <w:jc w:val="left"/>
              <w:rPr>
                <w:color w:val="000000"/>
                <w:kern w:val="0"/>
                <w:sz w:val="18"/>
                <w:szCs w:val="18"/>
              </w:rPr>
            </w:pPr>
            <w:r>
              <w:rPr>
                <w:rFonts w:hint="eastAsia"/>
                <w:color w:val="000000"/>
                <w:kern w:val="0"/>
                <w:sz w:val="18"/>
                <w:szCs w:val="18"/>
              </w:rPr>
              <w:t>对个人：2万元以上4万元以下罚款</w:t>
            </w:r>
          </w:p>
        </w:tc>
      </w:tr>
      <w:tr w14:paraId="2E17A2F0">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39559A2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69D06F38">
            <w:pPr>
              <w:spacing w:line="320" w:lineRule="exact"/>
              <w:jc w:val="left"/>
              <w:rPr>
                <w:color w:val="000000"/>
                <w:kern w:val="0"/>
                <w:sz w:val="18"/>
                <w:szCs w:val="18"/>
              </w:rPr>
            </w:pPr>
            <w:r>
              <w:rPr>
                <w:rFonts w:hint="eastAsia"/>
                <w:color w:val="000000"/>
                <w:kern w:val="0"/>
                <w:sz w:val="18"/>
                <w:szCs w:val="18"/>
              </w:rPr>
              <w:t>未记录且未按照要求改正的</w:t>
            </w:r>
          </w:p>
        </w:tc>
        <w:tc>
          <w:tcPr>
            <w:tcW w:w="1076" w:type="dxa"/>
            <w:vMerge w:val="continue"/>
            <w:tcBorders>
              <w:top w:val="nil"/>
              <w:left w:val="single" w:color="auto" w:sz="4" w:space="0"/>
              <w:bottom w:val="single" w:color="auto" w:sz="4" w:space="0"/>
              <w:right w:val="single" w:color="auto" w:sz="4" w:space="0"/>
            </w:tcBorders>
            <w:vAlign w:val="center"/>
          </w:tcPr>
          <w:p w14:paraId="5B73BE8D">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17F908E">
            <w:pPr>
              <w:spacing w:line="320" w:lineRule="exact"/>
              <w:jc w:val="left"/>
              <w:rPr>
                <w:color w:val="000000"/>
                <w:kern w:val="0"/>
                <w:sz w:val="18"/>
                <w:szCs w:val="18"/>
              </w:rPr>
            </w:pPr>
            <w:r>
              <w:rPr>
                <w:rFonts w:hint="eastAsia"/>
                <w:color w:val="000000"/>
                <w:kern w:val="0"/>
                <w:sz w:val="18"/>
                <w:szCs w:val="18"/>
              </w:rPr>
              <w:t>对单位：15万元以上20万元以下罚款，责令停产停业整顿</w:t>
            </w:r>
          </w:p>
          <w:p w14:paraId="07001F26">
            <w:pPr>
              <w:spacing w:line="320" w:lineRule="exact"/>
              <w:jc w:val="left"/>
              <w:rPr>
                <w:color w:val="000000"/>
                <w:kern w:val="0"/>
                <w:sz w:val="18"/>
                <w:szCs w:val="18"/>
              </w:rPr>
            </w:pPr>
            <w:r>
              <w:rPr>
                <w:rFonts w:hint="eastAsia"/>
                <w:color w:val="000000"/>
                <w:kern w:val="0"/>
                <w:sz w:val="18"/>
                <w:szCs w:val="18"/>
              </w:rPr>
              <w:t>对个人：4万元以5万元以下罚款</w:t>
            </w:r>
          </w:p>
        </w:tc>
      </w:tr>
    </w:tbl>
    <w:p w14:paraId="09C1E688"/>
    <w:p w14:paraId="1380E462"/>
    <w:p w14:paraId="2E20D63F"/>
    <w:p w14:paraId="2A3B4CF2"/>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7676FFDF">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35556D66">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auto" w:sz="8" w:space="0"/>
            </w:tcBorders>
            <w:vAlign w:val="center"/>
          </w:tcPr>
          <w:p w14:paraId="0944B6B7">
            <w:pPr>
              <w:spacing w:line="320" w:lineRule="exact"/>
              <w:jc w:val="left"/>
              <w:rPr>
                <w:rFonts w:eastAsia="仿宋_GB2312"/>
                <w:b/>
                <w:bCs/>
                <w:color w:val="000000"/>
                <w:kern w:val="0"/>
                <w:sz w:val="18"/>
                <w:szCs w:val="18"/>
              </w:rPr>
            </w:pPr>
            <w:r>
              <w:rPr>
                <w:rFonts w:eastAsia="仿宋_GB2312"/>
                <w:b/>
                <w:bCs/>
                <w:color w:val="000000"/>
                <w:kern w:val="0"/>
                <w:sz w:val="18"/>
                <w:szCs w:val="18"/>
              </w:rPr>
              <w:t>320217274000</w:t>
            </w:r>
            <w:r>
              <w:rPr>
                <w:rFonts w:hint="eastAsia" w:eastAsia="仿宋_GB2312"/>
                <w:b/>
                <w:bCs/>
                <w:color w:val="000000"/>
                <w:kern w:val="0"/>
                <w:sz w:val="18"/>
                <w:szCs w:val="18"/>
              </w:rPr>
              <w:t xml:space="preserve"> </w:t>
            </w:r>
          </w:p>
        </w:tc>
      </w:tr>
      <w:tr w14:paraId="432D3D13">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7C6F51DE">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auto" w:sz="8" w:space="0"/>
            </w:tcBorders>
            <w:vAlign w:val="center"/>
          </w:tcPr>
          <w:p w14:paraId="67B18E81">
            <w:pPr>
              <w:spacing w:line="320" w:lineRule="exact"/>
              <w:jc w:val="left"/>
              <w:rPr>
                <w:color w:val="000000"/>
                <w:kern w:val="0"/>
                <w:sz w:val="18"/>
                <w:szCs w:val="18"/>
              </w:rPr>
            </w:pPr>
            <w:r>
              <w:rPr>
                <w:rFonts w:hint="eastAsia"/>
                <w:color w:val="000000"/>
                <w:kern w:val="0"/>
                <w:sz w:val="18"/>
                <w:szCs w:val="18"/>
              </w:rPr>
              <w:t>对生产经营单位未将事故隐患排查治理情况如实记录或者未向从业人员通报的处罚</w:t>
            </w:r>
          </w:p>
        </w:tc>
      </w:tr>
      <w:tr w14:paraId="6902F403">
        <w:tblPrEx>
          <w:tblCellMar>
            <w:top w:w="0" w:type="dxa"/>
            <w:left w:w="108" w:type="dxa"/>
            <w:bottom w:w="0" w:type="dxa"/>
            <w:right w:w="108" w:type="dxa"/>
          </w:tblCellMar>
        </w:tblPrEx>
        <w:trPr>
          <w:trHeight w:val="2760" w:hRule="atLeast"/>
        </w:trPr>
        <w:tc>
          <w:tcPr>
            <w:tcW w:w="1040" w:type="dxa"/>
            <w:tcBorders>
              <w:top w:val="nil"/>
              <w:left w:val="single" w:color="auto" w:sz="8" w:space="0"/>
              <w:bottom w:val="single" w:color="auto" w:sz="4" w:space="0"/>
              <w:right w:val="single" w:color="auto" w:sz="4" w:space="0"/>
            </w:tcBorders>
            <w:vAlign w:val="center"/>
          </w:tcPr>
          <w:p w14:paraId="6048D198">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auto" w:sz="8" w:space="0"/>
            </w:tcBorders>
            <w:vAlign w:val="center"/>
          </w:tcPr>
          <w:p w14:paraId="13D08A91">
            <w:pPr>
              <w:spacing w:line="320" w:lineRule="exact"/>
              <w:jc w:val="left"/>
              <w:rPr>
                <w:color w:val="000000"/>
                <w:kern w:val="0"/>
                <w:sz w:val="18"/>
                <w:szCs w:val="18"/>
              </w:rPr>
            </w:pPr>
            <w:r>
              <w:rPr>
                <w:rFonts w:hint="eastAsia"/>
                <w:color w:val="000000"/>
                <w:kern w:val="0"/>
                <w:sz w:val="18"/>
                <w:szCs w:val="18"/>
              </w:rPr>
              <w:t>【法律】《中华人民共和国安全生产法》</w:t>
            </w:r>
          </w:p>
          <w:p w14:paraId="71CC0663">
            <w:pPr>
              <w:spacing w:line="320" w:lineRule="exact"/>
              <w:jc w:val="left"/>
              <w:rPr>
                <w:color w:val="000000"/>
                <w:kern w:val="0"/>
                <w:sz w:val="18"/>
                <w:szCs w:val="18"/>
              </w:rPr>
            </w:pPr>
            <w:r>
              <w:rPr>
                <w:rFonts w:hint="eastAsia"/>
                <w:color w:val="000000"/>
                <w:kern w:val="0"/>
                <w:sz w:val="18"/>
                <w:szCs w:val="18"/>
              </w:rPr>
              <w:t xml:space="preserve">        第四十一条第一款　生产经营单位应当建立安全风险分级管控制度，按照安全风险分级采取相应的管控措施。</w:t>
            </w:r>
          </w:p>
          <w:p w14:paraId="5154E009">
            <w:pPr>
              <w:spacing w:line="320" w:lineRule="exact"/>
              <w:jc w:val="left"/>
              <w:rPr>
                <w:color w:val="000000"/>
                <w:kern w:val="0"/>
                <w:sz w:val="18"/>
                <w:szCs w:val="18"/>
              </w:rPr>
            </w:pPr>
            <w:r>
              <w:rPr>
                <w:rFonts w:hint="eastAsia"/>
                <w:color w:val="000000"/>
                <w:kern w:val="0"/>
                <w:sz w:val="18"/>
                <w:szCs w:val="18"/>
              </w:rPr>
              <w:t xml:space="preserve">        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4EB0A62D">
            <w:pPr>
              <w:spacing w:line="320" w:lineRule="exact"/>
              <w:jc w:val="left"/>
              <w:rPr>
                <w:color w:val="000000"/>
                <w:kern w:val="0"/>
                <w:sz w:val="18"/>
                <w:szCs w:val="18"/>
              </w:rPr>
            </w:pPr>
            <w:r>
              <w:rPr>
                <w:rFonts w:hint="eastAsia"/>
                <w:color w:val="000000"/>
                <w:kern w:val="0"/>
                <w:sz w:val="18"/>
                <w:szCs w:val="18"/>
              </w:rPr>
              <w:t xml:space="preserve">        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36C0BEB9">
            <w:pPr>
              <w:spacing w:line="320" w:lineRule="exact"/>
              <w:jc w:val="left"/>
              <w:rPr>
                <w:color w:val="000000"/>
                <w:kern w:val="0"/>
                <w:sz w:val="18"/>
                <w:szCs w:val="18"/>
              </w:rPr>
            </w:pPr>
            <w:r>
              <w:rPr>
                <w:rFonts w:hint="eastAsia"/>
                <w:color w:val="000000"/>
                <w:kern w:val="0"/>
                <w:sz w:val="18"/>
                <w:szCs w:val="18"/>
              </w:rPr>
              <w:t xml:space="preserve">     （五）未将事故隐患排查治理情况如实记录或者未向从业人员通报的；</w:t>
            </w:r>
          </w:p>
          <w:p w14:paraId="20D3CCF4">
            <w:pPr>
              <w:spacing w:line="320" w:lineRule="exact"/>
              <w:jc w:val="left"/>
              <w:rPr>
                <w:color w:val="000000"/>
                <w:kern w:val="0"/>
                <w:sz w:val="18"/>
                <w:szCs w:val="18"/>
              </w:rPr>
            </w:pPr>
            <w:r>
              <w:rPr>
                <w:color w:val="000000"/>
                <w:kern w:val="0"/>
                <w:sz w:val="18"/>
                <w:szCs w:val="18"/>
              </w:rPr>
              <w:t xml:space="preserve">      </w:t>
            </w:r>
          </w:p>
        </w:tc>
      </w:tr>
      <w:tr w14:paraId="526BA643">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39B2698B">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auto" w:sz="8" w:space="0"/>
            </w:tcBorders>
            <w:vAlign w:val="center"/>
          </w:tcPr>
          <w:p w14:paraId="4CD99864">
            <w:pPr>
              <w:spacing w:line="320" w:lineRule="exact"/>
              <w:jc w:val="left"/>
              <w:rPr>
                <w:color w:val="000000"/>
                <w:kern w:val="0"/>
                <w:sz w:val="18"/>
                <w:szCs w:val="18"/>
              </w:rPr>
            </w:pPr>
            <w:r>
              <w:rPr>
                <w:rFonts w:hint="eastAsia"/>
                <w:color w:val="000000"/>
                <w:kern w:val="0"/>
                <w:sz w:val="18"/>
                <w:szCs w:val="18"/>
              </w:rPr>
              <w:t>责令限期改正，罚款、责令停业整顿</w:t>
            </w:r>
          </w:p>
        </w:tc>
      </w:tr>
      <w:tr w14:paraId="35307E90">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782E26D9">
            <w:pPr>
              <w:spacing w:line="320" w:lineRule="exact"/>
              <w:jc w:val="center"/>
              <w:rPr>
                <w:color w:val="000000"/>
                <w:kern w:val="0"/>
                <w:sz w:val="18"/>
                <w:szCs w:val="18"/>
              </w:rPr>
            </w:pPr>
            <w:r>
              <w:rPr>
                <w:rFonts w:hint="eastAsia"/>
                <w:color w:val="000000"/>
                <w:kern w:val="0"/>
                <w:sz w:val="18"/>
                <w:szCs w:val="18"/>
              </w:rPr>
              <w:t>裁量基准</w:t>
            </w:r>
          </w:p>
        </w:tc>
      </w:tr>
      <w:tr w14:paraId="3759698D">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right w:val="single" w:color="auto" w:sz="4" w:space="0"/>
            </w:tcBorders>
            <w:vAlign w:val="center"/>
          </w:tcPr>
          <w:p w14:paraId="29661B97">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5B390922">
            <w:pPr>
              <w:spacing w:line="320" w:lineRule="exact"/>
              <w:jc w:val="left"/>
              <w:rPr>
                <w:color w:val="000000"/>
                <w:kern w:val="0"/>
                <w:sz w:val="18"/>
                <w:szCs w:val="18"/>
              </w:rPr>
            </w:pPr>
            <w:r>
              <w:rPr>
                <w:rFonts w:hint="eastAsia"/>
                <w:color w:val="000000"/>
                <w:kern w:val="0"/>
                <w:sz w:val="18"/>
                <w:szCs w:val="18"/>
              </w:rPr>
              <w:t>如实记录，未向从业人员通报且按照要求改正的</w:t>
            </w:r>
          </w:p>
        </w:tc>
        <w:tc>
          <w:tcPr>
            <w:tcW w:w="1076" w:type="dxa"/>
            <w:vMerge w:val="restart"/>
            <w:tcBorders>
              <w:top w:val="nil"/>
              <w:left w:val="single" w:color="auto" w:sz="4" w:space="0"/>
              <w:right w:val="single" w:color="auto" w:sz="4" w:space="0"/>
            </w:tcBorders>
            <w:vAlign w:val="center"/>
          </w:tcPr>
          <w:p w14:paraId="773BC8E4">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2B342C3F">
            <w:pPr>
              <w:spacing w:line="320" w:lineRule="exact"/>
              <w:jc w:val="left"/>
              <w:rPr>
                <w:color w:val="000000"/>
                <w:kern w:val="0"/>
                <w:sz w:val="18"/>
                <w:szCs w:val="18"/>
              </w:rPr>
            </w:pPr>
            <w:r>
              <w:rPr>
                <w:rFonts w:hint="eastAsia"/>
                <w:color w:val="000000"/>
                <w:kern w:val="0"/>
                <w:sz w:val="18"/>
                <w:szCs w:val="18"/>
              </w:rPr>
              <w:t>5万元以下罚款</w:t>
            </w:r>
          </w:p>
        </w:tc>
      </w:tr>
      <w:tr w14:paraId="7BE4E47C">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1C7304E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45015AC8">
            <w:pPr>
              <w:spacing w:line="320" w:lineRule="exact"/>
              <w:jc w:val="left"/>
              <w:rPr>
                <w:color w:val="000000"/>
                <w:kern w:val="0"/>
                <w:sz w:val="18"/>
                <w:szCs w:val="18"/>
              </w:rPr>
            </w:pPr>
            <w:r>
              <w:rPr>
                <w:rFonts w:hint="eastAsia"/>
                <w:color w:val="000000"/>
                <w:kern w:val="0"/>
                <w:sz w:val="18"/>
                <w:szCs w:val="18"/>
              </w:rPr>
              <w:t>未如实记录，未向从业人员通报且按照要求改正的</w:t>
            </w:r>
          </w:p>
        </w:tc>
        <w:tc>
          <w:tcPr>
            <w:tcW w:w="1076" w:type="dxa"/>
            <w:vMerge w:val="continue"/>
            <w:tcBorders>
              <w:top w:val="nil"/>
              <w:left w:val="single" w:color="auto" w:sz="4" w:space="0"/>
              <w:bottom w:val="single" w:color="auto" w:sz="4" w:space="0"/>
              <w:right w:val="single" w:color="auto" w:sz="4" w:space="0"/>
            </w:tcBorders>
            <w:vAlign w:val="center"/>
          </w:tcPr>
          <w:p w14:paraId="676822B8">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5A353C0">
            <w:pPr>
              <w:spacing w:line="320" w:lineRule="exact"/>
              <w:jc w:val="left"/>
              <w:rPr>
                <w:color w:val="000000"/>
                <w:kern w:val="0"/>
                <w:sz w:val="18"/>
                <w:szCs w:val="18"/>
              </w:rPr>
            </w:pPr>
            <w:r>
              <w:rPr>
                <w:rFonts w:hint="eastAsia"/>
                <w:color w:val="000000"/>
                <w:kern w:val="0"/>
                <w:sz w:val="18"/>
                <w:szCs w:val="18"/>
              </w:rPr>
              <w:t>5万元以上10万元以下罚款</w:t>
            </w:r>
          </w:p>
        </w:tc>
      </w:tr>
      <w:tr w14:paraId="340BF1A8">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320575F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6813428E">
            <w:pPr>
              <w:spacing w:line="320" w:lineRule="exact"/>
              <w:jc w:val="left"/>
              <w:rPr>
                <w:color w:val="000000"/>
                <w:kern w:val="0"/>
                <w:sz w:val="18"/>
                <w:szCs w:val="18"/>
              </w:rPr>
            </w:pPr>
            <w:r>
              <w:rPr>
                <w:rFonts w:hint="eastAsia"/>
                <w:color w:val="000000"/>
                <w:kern w:val="0"/>
                <w:sz w:val="18"/>
                <w:szCs w:val="18"/>
              </w:rPr>
              <w:t>如实记录，未向从业人员通报且未按照要求改正的</w:t>
            </w:r>
          </w:p>
        </w:tc>
        <w:tc>
          <w:tcPr>
            <w:tcW w:w="1076" w:type="dxa"/>
            <w:vMerge w:val="continue"/>
            <w:tcBorders>
              <w:top w:val="nil"/>
              <w:left w:val="single" w:color="auto" w:sz="4" w:space="0"/>
              <w:bottom w:val="single" w:color="auto" w:sz="4" w:space="0"/>
              <w:right w:val="single" w:color="auto" w:sz="4" w:space="0"/>
            </w:tcBorders>
            <w:vAlign w:val="center"/>
          </w:tcPr>
          <w:p w14:paraId="10B1810A">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F05E272">
            <w:pPr>
              <w:spacing w:line="320" w:lineRule="exact"/>
              <w:jc w:val="left"/>
              <w:rPr>
                <w:color w:val="000000"/>
                <w:kern w:val="0"/>
                <w:sz w:val="18"/>
                <w:szCs w:val="18"/>
              </w:rPr>
            </w:pPr>
            <w:r>
              <w:rPr>
                <w:rFonts w:hint="eastAsia"/>
                <w:color w:val="000000"/>
                <w:kern w:val="0"/>
                <w:sz w:val="18"/>
                <w:szCs w:val="18"/>
              </w:rPr>
              <w:t>对单位：10万元以上15万元以下罚款，责令停产停业整顿</w:t>
            </w:r>
          </w:p>
          <w:p w14:paraId="3B69495F">
            <w:pPr>
              <w:spacing w:line="320" w:lineRule="exact"/>
              <w:jc w:val="left"/>
              <w:rPr>
                <w:color w:val="000000"/>
                <w:kern w:val="0"/>
                <w:sz w:val="18"/>
                <w:szCs w:val="18"/>
              </w:rPr>
            </w:pPr>
            <w:r>
              <w:rPr>
                <w:rFonts w:hint="eastAsia"/>
                <w:color w:val="000000"/>
                <w:kern w:val="0"/>
                <w:sz w:val="18"/>
                <w:szCs w:val="18"/>
              </w:rPr>
              <w:t>对个人：2万元以上4万元以下罚款</w:t>
            </w:r>
          </w:p>
        </w:tc>
      </w:tr>
      <w:tr w14:paraId="030D337A">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5E85831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0D1AE802">
            <w:pPr>
              <w:spacing w:line="320" w:lineRule="exact"/>
              <w:jc w:val="left"/>
              <w:rPr>
                <w:color w:val="000000"/>
                <w:kern w:val="0"/>
                <w:sz w:val="18"/>
                <w:szCs w:val="18"/>
              </w:rPr>
            </w:pPr>
            <w:r>
              <w:rPr>
                <w:rFonts w:hint="eastAsia"/>
                <w:color w:val="000000"/>
                <w:kern w:val="0"/>
                <w:sz w:val="18"/>
                <w:szCs w:val="18"/>
              </w:rPr>
              <w:t>未如实记录，未向从业人员通报且未按照要求改正的</w:t>
            </w:r>
          </w:p>
        </w:tc>
        <w:tc>
          <w:tcPr>
            <w:tcW w:w="1076" w:type="dxa"/>
            <w:vMerge w:val="continue"/>
            <w:tcBorders>
              <w:top w:val="nil"/>
              <w:left w:val="single" w:color="auto" w:sz="4" w:space="0"/>
              <w:bottom w:val="single" w:color="auto" w:sz="4" w:space="0"/>
              <w:right w:val="single" w:color="auto" w:sz="4" w:space="0"/>
            </w:tcBorders>
            <w:vAlign w:val="center"/>
          </w:tcPr>
          <w:p w14:paraId="5EA19E7A">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03CFA53">
            <w:pPr>
              <w:spacing w:line="320" w:lineRule="exact"/>
              <w:jc w:val="left"/>
              <w:rPr>
                <w:color w:val="000000"/>
                <w:kern w:val="0"/>
                <w:sz w:val="18"/>
                <w:szCs w:val="18"/>
              </w:rPr>
            </w:pPr>
            <w:r>
              <w:rPr>
                <w:rFonts w:hint="eastAsia"/>
                <w:color w:val="000000"/>
                <w:kern w:val="0"/>
                <w:sz w:val="18"/>
                <w:szCs w:val="18"/>
              </w:rPr>
              <w:t>对单位：15万元以上20万元以下罚款，责令停产停业整顿</w:t>
            </w:r>
          </w:p>
          <w:p w14:paraId="52CE848F">
            <w:pPr>
              <w:spacing w:line="320" w:lineRule="exact"/>
              <w:jc w:val="left"/>
              <w:rPr>
                <w:color w:val="000000"/>
                <w:kern w:val="0"/>
                <w:sz w:val="18"/>
                <w:szCs w:val="18"/>
              </w:rPr>
            </w:pPr>
            <w:r>
              <w:rPr>
                <w:rFonts w:hint="eastAsia"/>
                <w:color w:val="000000"/>
                <w:kern w:val="0"/>
                <w:sz w:val="18"/>
                <w:szCs w:val="18"/>
              </w:rPr>
              <w:t>对个人：4万元以上5万元以下罚款</w:t>
            </w:r>
          </w:p>
        </w:tc>
      </w:tr>
    </w:tbl>
    <w:p w14:paraId="3AEA321B"/>
    <w:p w14:paraId="65CBD658"/>
    <w:p w14:paraId="11C124BC"/>
    <w:p w14:paraId="57DF3B6B"/>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4E43C7AF">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3E4FFF9">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vAlign w:val="center"/>
          </w:tcPr>
          <w:p w14:paraId="1AC35BF3">
            <w:pPr>
              <w:spacing w:line="320" w:lineRule="exact"/>
              <w:jc w:val="left"/>
              <w:rPr>
                <w:b/>
                <w:color w:val="000000"/>
                <w:kern w:val="0"/>
                <w:sz w:val="18"/>
                <w:szCs w:val="18"/>
              </w:rPr>
            </w:pPr>
            <w:r>
              <w:rPr>
                <w:b/>
                <w:color w:val="000000"/>
                <w:kern w:val="0"/>
                <w:sz w:val="18"/>
                <w:szCs w:val="18"/>
              </w:rPr>
              <w:t>320217275000</w:t>
            </w:r>
          </w:p>
        </w:tc>
      </w:tr>
      <w:tr w14:paraId="53611C3F">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772ADCDC">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314846C2">
            <w:pPr>
              <w:spacing w:line="320" w:lineRule="exact"/>
              <w:jc w:val="left"/>
              <w:rPr>
                <w:color w:val="000000"/>
                <w:kern w:val="0"/>
                <w:sz w:val="18"/>
                <w:szCs w:val="18"/>
              </w:rPr>
            </w:pPr>
            <w:r>
              <w:rPr>
                <w:rFonts w:hint="eastAsia"/>
                <w:color w:val="000000"/>
                <w:kern w:val="0"/>
                <w:sz w:val="18"/>
                <w:szCs w:val="18"/>
              </w:rPr>
              <w:t>对未经注册擅自以注册建筑师名义从事注册建筑师业务的处罚</w:t>
            </w:r>
          </w:p>
        </w:tc>
      </w:tr>
      <w:tr w14:paraId="3DF1D344">
        <w:tblPrEx>
          <w:tblCellMar>
            <w:top w:w="0" w:type="dxa"/>
            <w:left w:w="108" w:type="dxa"/>
            <w:bottom w:w="0" w:type="dxa"/>
            <w:right w:w="108" w:type="dxa"/>
          </w:tblCellMar>
        </w:tblPrEx>
        <w:trPr>
          <w:trHeight w:val="1560" w:hRule="atLeast"/>
        </w:trPr>
        <w:tc>
          <w:tcPr>
            <w:tcW w:w="1056" w:type="dxa"/>
            <w:tcBorders>
              <w:top w:val="single" w:color="auto" w:sz="4" w:space="0"/>
              <w:left w:val="single" w:color="auto" w:sz="8" w:space="0"/>
              <w:bottom w:val="single" w:color="auto" w:sz="4" w:space="0"/>
              <w:right w:val="single" w:color="auto" w:sz="4" w:space="0"/>
            </w:tcBorders>
            <w:vAlign w:val="center"/>
          </w:tcPr>
          <w:p w14:paraId="17DD01B0">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7FB95EE2">
            <w:pPr>
              <w:spacing w:line="320" w:lineRule="exact"/>
              <w:ind w:firstLine="360" w:firstLineChars="20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14:paraId="4084B850">
            <w:pPr>
              <w:spacing w:line="320" w:lineRule="exact"/>
              <w:jc w:val="left"/>
              <w:rPr>
                <w:color w:val="000000"/>
                <w:kern w:val="0"/>
                <w:sz w:val="18"/>
                <w:szCs w:val="18"/>
              </w:rPr>
            </w:pPr>
            <w:r>
              <w:rPr>
                <w:rFonts w:hint="eastAsia"/>
                <w:color w:val="000000"/>
                <w:kern w:val="0"/>
                <w:sz w:val="18"/>
                <w:szCs w:val="18"/>
              </w:rPr>
              <w:t>第二十五条　注册建筑师有权以注册建筑师的名义执行注册建筑师业务。</w:t>
            </w:r>
            <w:r>
              <w:rPr>
                <w:color w:val="000000"/>
                <w:kern w:val="0"/>
                <w:sz w:val="18"/>
                <w:szCs w:val="18"/>
              </w:rPr>
              <w:t xml:space="preserve"> </w:t>
            </w:r>
          </w:p>
          <w:p w14:paraId="55E7DF3C">
            <w:pPr>
              <w:spacing w:line="320" w:lineRule="exact"/>
              <w:jc w:val="left"/>
              <w:rPr>
                <w:color w:val="000000"/>
                <w:kern w:val="0"/>
                <w:sz w:val="18"/>
                <w:szCs w:val="18"/>
              </w:rPr>
            </w:pPr>
            <w:r>
              <w:rPr>
                <w:rFonts w:hint="eastAsia"/>
                <w:color w:val="000000"/>
                <w:kern w:val="0"/>
                <w:sz w:val="18"/>
                <w:szCs w:val="18"/>
              </w:rPr>
              <w:t>非注册建筑师不得以注册建筑师的名义执行注册建筑师业务。二级注册建筑师不得以一级注册建筑师的名义执行业务，也不得超越国家规定的二级注册建筑师的执业范围执行业务。</w:t>
            </w:r>
          </w:p>
          <w:p w14:paraId="7AAF251F">
            <w:pPr>
              <w:spacing w:line="320" w:lineRule="exact"/>
              <w:jc w:val="left"/>
              <w:rPr>
                <w:color w:val="000000"/>
                <w:kern w:val="0"/>
                <w:sz w:val="18"/>
                <w:szCs w:val="18"/>
              </w:rPr>
            </w:pP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未经注册擅自以注册建筑师名义从事注册建筑师业务的，由县级以上人民政府建设行政主管部门责令停止违法活动，没收违法所得，并可以处以违法所得５倍以下的罚款；造成损失的，应当承担赔偿责任。</w:t>
            </w:r>
          </w:p>
        </w:tc>
      </w:tr>
      <w:tr w14:paraId="2F9747DF">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vAlign w:val="center"/>
          </w:tcPr>
          <w:p w14:paraId="6AA7B042">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vAlign w:val="center"/>
          </w:tcPr>
          <w:p w14:paraId="39B45745">
            <w:pPr>
              <w:spacing w:line="320" w:lineRule="exact"/>
              <w:jc w:val="left"/>
              <w:rPr>
                <w:color w:val="000000"/>
                <w:kern w:val="0"/>
                <w:sz w:val="18"/>
                <w:szCs w:val="18"/>
              </w:rPr>
            </w:pPr>
            <w:r>
              <w:rPr>
                <w:rFonts w:hint="eastAsia"/>
                <w:color w:val="000000"/>
                <w:kern w:val="0"/>
                <w:sz w:val="18"/>
                <w:szCs w:val="18"/>
              </w:rPr>
              <w:t>罚款，没收违法所得</w:t>
            </w:r>
          </w:p>
        </w:tc>
      </w:tr>
      <w:tr w14:paraId="3C59E2CF">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vAlign w:val="center"/>
          </w:tcPr>
          <w:p w14:paraId="0EEA6704">
            <w:pPr>
              <w:spacing w:line="320" w:lineRule="exact"/>
              <w:jc w:val="center"/>
              <w:rPr>
                <w:color w:val="000000"/>
                <w:kern w:val="0"/>
                <w:sz w:val="18"/>
                <w:szCs w:val="18"/>
              </w:rPr>
            </w:pPr>
            <w:r>
              <w:rPr>
                <w:rFonts w:hint="eastAsia"/>
                <w:color w:val="000000"/>
                <w:kern w:val="0"/>
                <w:sz w:val="18"/>
                <w:szCs w:val="18"/>
              </w:rPr>
              <w:t>裁量基准</w:t>
            </w:r>
          </w:p>
        </w:tc>
      </w:tr>
      <w:tr w14:paraId="081E4C1C">
        <w:tblPrEx>
          <w:tblCellMar>
            <w:top w:w="0" w:type="dxa"/>
            <w:left w:w="108" w:type="dxa"/>
            <w:bottom w:w="0" w:type="dxa"/>
            <w:right w:w="108" w:type="dxa"/>
          </w:tblCellMar>
        </w:tblPrEx>
        <w:trPr>
          <w:trHeight w:val="285" w:hRule="atLeast"/>
        </w:trPr>
        <w:tc>
          <w:tcPr>
            <w:tcW w:w="1056" w:type="dxa"/>
            <w:vMerge w:val="restart"/>
            <w:tcBorders>
              <w:top w:val="single" w:color="auto" w:sz="4" w:space="0"/>
              <w:left w:val="single" w:color="auto" w:sz="8" w:space="0"/>
              <w:bottom w:val="single" w:color="auto" w:sz="4" w:space="0"/>
              <w:right w:val="single" w:color="auto" w:sz="4" w:space="0"/>
            </w:tcBorders>
            <w:vAlign w:val="center"/>
          </w:tcPr>
          <w:p w14:paraId="649AC08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1D7D8735">
            <w:pPr>
              <w:spacing w:line="320" w:lineRule="exact"/>
              <w:jc w:val="left"/>
              <w:rPr>
                <w:color w:val="000000"/>
                <w:kern w:val="0"/>
                <w:sz w:val="18"/>
                <w:szCs w:val="18"/>
              </w:rPr>
            </w:pPr>
            <w:r>
              <w:rPr>
                <w:rFonts w:hint="eastAsia"/>
                <w:color w:val="000000"/>
                <w:kern w:val="0"/>
                <w:sz w:val="18"/>
                <w:szCs w:val="18"/>
              </w:rPr>
              <w:t>设计成果未交付的</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609DEDE3">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3B9ADB70">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14:paraId="773A0AE1">
        <w:tblPrEx>
          <w:tblCellMar>
            <w:top w:w="0" w:type="dxa"/>
            <w:left w:w="108" w:type="dxa"/>
            <w:bottom w:w="0" w:type="dxa"/>
            <w:right w:w="108" w:type="dxa"/>
          </w:tblCellMar>
        </w:tblPrEx>
        <w:trPr>
          <w:trHeight w:val="285" w:hRule="atLeast"/>
        </w:trPr>
        <w:tc>
          <w:tcPr>
            <w:tcW w:w="1056" w:type="dxa"/>
            <w:vMerge w:val="continue"/>
            <w:tcBorders>
              <w:top w:val="single" w:color="auto" w:sz="4" w:space="0"/>
              <w:left w:val="single" w:color="auto" w:sz="8" w:space="0"/>
              <w:bottom w:val="single" w:color="auto" w:sz="8" w:space="0"/>
              <w:right w:val="single" w:color="auto" w:sz="4" w:space="0"/>
            </w:tcBorders>
            <w:vAlign w:val="center"/>
          </w:tcPr>
          <w:p w14:paraId="188BFE05">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3B2661E9">
            <w:pPr>
              <w:spacing w:line="320" w:lineRule="exact"/>
              <w:jc w:val="left"/>
              <w:rPr>
                <w:color w:val="000000"/>
                <w:kern w:val="0"/>
                <w:sz w:val="18"/>
                <w:szCs w:val="18"/>
              </w:rPr>
            </w:pPr>
            <w:r>
              <w:rPr>
                <w:rFonts w:hint="eastAsia"/>
                <w:color w:val="000000"/>
                <w:kern w:val="0"/>
                <w:sz w:val="18"/>
                <w:szCs w:val="18"/>
              </w:rPr>
              <w:t>设计成果已交付的</w:t>
            </w:r>
          </w:p>
        </w:tc>
        <w:tc>
          <w:tcPr>
            <w:tcW w:w="1044" w:type="dxa"/>
            <w:vMerge w:val="continue"/>
            <w:tcBorders>
              <w:top w:val="single" w:color="auto" w:sz="4" w:space="0"/>
              <w:left w:val="single" w:color="auto" w:sz="4" w:space="0"/>
              <w:bottom w:val="single" w:color="auto" w:sz="8" w:space="0"/>
              <w:right w:val="single" w:color="auto" w:sz="4" w:space="0"/>
            </w:tcBorders>
            <w:vAlign w:val="center"/>
          </w:tcPr>
          <w:p w14:paraId="50E766C2">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41EFB0EA">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46E6039E"/>
    <w:p w14:paraId="1405DA24"/>
    <w:p w14:paraId="6B74C7FE"/>
    <w:p w14:paraId="64F4A1BE"/>
    <w:p w14:paraId="1F41C43A"/>
    <w:p w14:paraId="51933768"/>
    <w:p w14:paraId="20067CFB"/>
    <w:p w14:paraId="32A44EE1"/>
    <w:p w14:paraId="4C9E6B7F"/>
    <w:p w14:paraId="25642682"/>
    <w:p w14:paraId="024FB8D5"/>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43B23A5E">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0E7A575A">
            <w:pPr>
              <w:spacing w:line="320" w:lineRule="exact"/>
              <w:jc w:val="left"/>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1492E520">
            <w:pPr>
              <w:spacing w:line="320" w:lineRule="exact"/>
              <w:jc w:val="left"/>
              <w:rPr>
                <w:b/>
                <w:color w:val="000000"/>
                <w:kern w:val="0"/>
                <w:sz w:val="18"/>
                <w:szCs w:val="18"/>
              </w:rPr>
            </w:pPr>
            <w:r>
              <w:rPr>
                <w:b/>
                <w:color w:val="000000"/>
                <w:kern w:val="0"/>
                <w:sz w:val="18"/>
                <w:szCs w:val="18"/>
              </w:rPr>
              <w:t>320217276000</w:t>
            </w:r>
          </w:p>
        </w:tc>
      </w:tr>
      <w:tr w14:paraId="65FF5729">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031EAF44">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47A9E235">
            <w:pPr>
              <w:spacing w:line="320" w:lineRule="exact"/>
              <w:jc w:val="left"/>
              <w:rPr>
                <w:color w:val="000000"/>
                <w:kern w:val="0"/>
                <w:sz w:val="18"/>
                <w:szCs w:val="18"/>
              </w:rPr>
            </w:pPr>
            <w:r>
              <w:rPr>
                <w:rFonts w:hint="eastAsia"/>
                <w:color w:val="000000"/>
                <w:kern w:val="0"/>
                <w:sz w:val="18"/>
                <w:szCs w:val="18"/>
              </w:rPr>
              <w:t>对注册建筑师以个人名义承接注册建筑师业务、收取费用的处罚</w:t>
            </w:r>
          </w:p>
        </w:tc>
      </w:tr>
      <w:tr w14:paraId="5FD46534">
        <w:tblPrEx>
          <w:tblCellMar>
            <w:top w:w="0" w:type="dxa"/>
            <w:left w:w="108" w:type="dxa"/>
            <w:bottom w:w="0" w:type="dxa"/>
            <w:right w:w="108" w:type="dxa"/>
          </w:tblCellMar>
        </w:tblPrEx>
        <w:trPr>
          <w:trHeight w:val="1800" w:hRule="atLeast"/>
        </w:trPr>
        <w:tc>
          <w:tcPr>
            <w:tcW w:w="1030" w:type="dxa"/>
            <w:tcBorders>
              <w:top w:val="single" w:color="auto" w:sz="4" w:space="0"/>
              <w:left w:val="single" w:color="auto" w:sz="8" w:space="0"/>
              <w:bottom w:val="single" w:color="auto" w:sz="4" w:space="0"/>
              <w:right w:val="single" w:color="auto" w:sz="4" w:space="0"/>
            </w:tcBorders>
            <w:vAlign w:val="center"/>
          </w:tcPr>
          <w:p w14:paraId="65EB3FC7">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72024D3B">
            <w:pPr>
              <w:spacing w:line="320" w:lineRule="exact"/>
              <w:ind w:firstLine="360" w:firstLineChars="20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14:paraId="0613857A">
            <w:pPr>
              <w:spacing w:line="320" w:lineRule="exact"/>
              <w:jc w:val="left"/>
              <w:rPr>
                <w:color w:val="000000"/>
                <w:kern w:val="0"/>
                <w:sz w:val="18"/>
                <w:szCs w:val="18"/>
              </w:rPr>
            </w:pPr>
            <w:r>
              <w:rPr>
                <w:rFonts w:hint="eastAsia"/>
                <w:color w:val="000000"/>
                <w:kern w:val="0"/>
                <w:sz w:val="18"/>
                <w:szCs w:val="18"/>
              </w:rPr>
              <w:t>第二十一条第一款　注册建筑师执行业务，应当加入建筑设计单位。</w:t>
            </w:r>
          </w:p>
          <w:p w14:paraId="6FCC8BEA">
            <w:pPr>
              <w:spacing w:line="320" w:lineRule="exact"/>
              <w:jc w:val="left"/>
              <w:rPr>
                <w:color w:val="000000"/>
                <w:kern w:val="0"/>
                <w:sz w:val="18"/>
                <w:szCs w:val="18"/>
              </w:rPr>
            </w:pPr>
            <w:r>
              <w:rPr>
                <w:rFonts w:hint="eastAsia"/>
                <w:color w:val="000000"/>
                <w:kern w:val="0"/>
                <w:sz w:val="18"/>
                <w:szCs w:val="18"/>
              </w:rPr>
              <w:t>第二十三条　注册建筑师执行业务，由建筑设计单位统一接受委托并统一收费。</w:t>
            </w:r>
          </w:p>
          <w:p w14:paraId="4314E8EA">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14:paraId="2624577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（一）以个人名义承接注册建筑师业务、收取费用的；</w:t>
            </w:r>
          </w:p>
        </w:tc>
      </w:tr>
      <w:tr w14:paraId="59384278">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6A571047">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4549A4E3">
            <w:pPr>
              <w:spacing w:line="320" w:lineRule="exact"/>
              <w:jc w:val="left"/>
              <w:rPr>
                <w:color w:val="000000"/>
                <w:kern w:val="0"/>
                <w:sz w:val="18"/>
                <w:szCs w:val="18"/>
              </w:rPr>
            </w:pPr>
            <w:r>
              <w:rPr>
                <w:rFonts w:hint="eastAsia"/>
                <w:color w:val="000000"/>
                <w:kern w:val="0"/>
                <w:sz w:val="18"/>
                <w:szCs w:val="18"/>
              </w:rPr>
              <w:t>没收违法所得，罚款</w:t>
            </w:r>
          </w:p>
        </w:tc>
      </w:tr>
      <w:tr w14:paraId="034F6CD6">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4FE140F8">
            <w:pPr>
              <w:spacing w:line="320" w:lineRule="exact"/>
              <w:jc w:val="center"/>
              <w:rPr>
                <w:color w:val="000000"/>
                <w:kern w:val="0"/>
                <w:sz w:val="18"/>
                <w:szCs w:val="18"/>
              </w:rPr>
            </w:pPr>
            <w:r>
              <w:rPr>
                <w:rFonts w:hint="eastAsia"/>
                <w:color w:val="000000"/>
                <w:kern w:val="0"/>
                <w:sz w:val="18"/>
                <w:szCs w:val="18"/>
              </w:rPr>
              <w:t>裁量基准</w:t>
            </w:r>
          </w:p>
        </w:tc>
      </w:tr>
      <w:tr w14:paraId="2259EC75">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8" w:space="0"/>
              <w:bottom w:val="single" w:color="auto" w:sz="4" w:space="0"/>
              <w:right w:val="single" w:color="auto" w:sz="4" w:space="0"/>
            </w:tcBorders>
            <w:vAlign w:val="center"/>
          </w:tcPr>
          <w:p w14:paraId="2C7ACE5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5B83FD22">
            <w:pPr>
              <w:spacing w:line="320" w:lineRule="exact"/>
              <w:jc w:val="left"/>
              <w:rPr>
                <w:color w:val="000000"/>
                <w:kern w:val="0"/>
                <w:sz w:val="18"/>
                <w:szCs w:val="18"/>
              </w:rPr>
            </w:pPr>
            <w:r>
              <w:rPr>
                <w:rFonts w:hint="eastAsia"/>
                <w:color w:val="000000"/>
                <w:kern w:val="0"/>
                <w:sz w:val="18"/>
                <w:szCs w:val="18"/>
              </w:rPr>
              <w:t>设计成果未交付的</w:t>
            </w:r>
          </w:p>
        </w:tc>
        <w:tc>
          <w:tcPr>
            <w:tcW w:w="1080" w:type="dxa"/>
            <w:vMerge w:val="restart"/>
            <w:tcBorders>
              <w:top w:val="single" w:color="auto" w:sz="4" w:space="0"/>
              <w:left w:val="single" w:color="auto" w:sz="4" w:space="0"/>
              <w:right w:val="single" w:color="auto" w:sz="4" w:space="0"/>
            </w:tcBorders>
            <w:vAlign w:val="center"/>
          </w:tcPr>
          <w:p w14:paraId="1640A8B4">
            <w:pPr>
              <w:spacing w:line="320" w:lineRule="exact"/>
              <w:jc w:val="center"/>
              <w:rPr>
                <w:color w:val="000000"/>
                <w:kern w:val="0"/>
                <w:sz w:val="18"/>
                <w:szCs w:val="18"/>
              </w:rPr>
            </w:pPr>
            <w:r>
              <w:rPr>
                <w:rFonts w:hint="eastAsia"/>
                <w:color w:val="000000"/>
                <w:kern w:val="0"/>
                <w:sz w:val="18"/>
                <w:szCs w:val="18"/>
              </w:rPr>
              <w:t>裁量幅度　</w:t>
            </w:r>
          </w:p>
        </w:tc>
        <w:tc>
          <w:tcPr>
            <w:tcW w:w="5820" w:type="dxa"/>
            <w:tcBorders>
              <w:top w:val="single" w:color="auto" w:sz="4" w:space="0"/>
              <w:left w:val="single" w:color="auto" w:sz="4" w:space="0"/>
              <w:bottom w:val="single" w:color="auto" w:sz="4" w:space="0"/>
              <w:right w:val="single" w:color="auto" w:sz="8" w:space="0"/>
            </w:tcBorders>
            <w:vAlign w:val="center"/>
          </w:tcPr>
          <w:p w14:paraId="6AB550EC">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14:paraId="3340B6A8">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8" w:space="0"/>
              <w:bottom w:val="single" w:color="auto" w:sz="4" w:space="0"/>
              <w:right w:val="single" w:color="auto" w:sz="4" w:space="0"/>
            </w:tcBorders>
            <w:vAlign w:val="center"/>
          </w:tcPr>
          <w:p w14:paraId="0DD00281">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52A97A77">
            <w:pPr>
              <w:spacing w:line="320" w:lineRule="exact"/>
              <w:jc w:val="left"/>
              <w:rPr>
                <w:color w:val="000000"/>
                <w:kern w:val="0"/>
                <w:sz w:val="18"/>
                <w:szCs w:val="18"/>
              </w:rPr>
            </w:pPr>
            <w:r>
              <w:rPr>
                <w:rFonts w:hint="eastAsia"/>
                <w:color w:val="000000"/>
                <w:kern w:val="0"/>
                <w:sz w:val="18"/>
                <w:szCs w:val="18"/>
              </w:rPr>
              <w:t>设计成果已交付但未违反设计标准的</w:t>
            </w:r>
          </w:p>
        </w:tc>
        <w:tc>
          <w:tcPr>
            <w:tcW w:w="1080" w:type="dxa"/>
            <w:vMerge w:val="continue"/>
            <w:tcBorders>
              <w:left w:val="single" w:color="auto" w:sz="4" w:space="0"/>
              <w:right w:val="single" w:color="auto" w:sz="4" w:space="0"/>
            </w:tcBorders>
            <w:vAlign w:val="center"/>
          </w:tcPr>
          <w:p w14:paraId="0D110C25">
            <w:pPr>
              <w:spacing w:line="320" w:lineRule="exact"/>
              <w:jc w:val="center"/>
              <w:rPr>
                <w:color w:val="000000"/>
                <w:kern w:val="0"/>
                <w:sz w:val="18"/>
                <w:szCs w:val="18"/>
              </w:rPr>
            </w:pPr>
          </w:p>
        </w:tc>
        <w:tc>
          <w:tcPr>
            <w:tcW w:w="5820" w:type="dxa"/>
            <w:tcBorders>
              <w:top w:val="single" w:color="auto" w:sz="4" w:space="0"/>
              <w:left w:val="single" w:color="auto" w:sz="4" w:space="0"/>
              <w:bottom w:val="single" w:color="auto" w:sz="4" w:space="0"/>
              <w:right w:val="single" w:color="auto" w:sz="8" w:space="0"/>
            </w:tcBorders>
            <w:vAlign w:val="center"/>
          </w:tcPr>
          <w:p w14:paraId="4FBF078F">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14:paraId="74D79AA3">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8" w:space="0"/>
              <w:bottom w:val="single" w:color="auto" w:sz="8" w:space="0"/>
              <w:right w:val="single" w:color="auto" w:sz="4" w:space="0"/>
            </w:tcBorders>
            <w:vAlign w:val="center"/>
          </w:tcPr>
          <w:p w14:paraId="3EC2F922">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0AE20C9F">
            <w:pPr>
              <w:spacing w:line="320" w:lineRule="exact"/>
              <w:jc w:val="left"/>
              <w:rPr>
                <w:color w:val="000000"/>
                <w:kern w:val="0"/>
                <w:sz w:val="18"/>
                <w:szCs w:val="18"/>
              </w:rPr>
            </w:pPr>
            <w:r>
              <w:rPr>
                <w:rFonts w:hint="eastAsia"/>
                <w:color w:val="000000"/>
                <w:kern w:val="0"/>
                <w:sz w:val="18"/>
                <w:szCs w:val="18"/>
              </w:rPr>
              <w:t>设计成果已交付且违反设计标准的</w:t>
            </w:r>
          </w:p>
        </w:tc>
        <w:tc>
          <w:tcPr>
            <w:tcW w:w="1080" w:type="dxa"/>
            <w:vMerge w:val="continue"/>
            <w:tcBorders>
              <w:left w:val="single" w:color="auto" w:sz="4" w:space="0"/>
              <w:bottom w:val="single" w:color="auto" w:sz="8" w:space="0"/>
              <w:right w:val="single" w:color="auto" w:sz="4" w:space="0"/>
            </w:tcBorders>
            <w:vAlign w:val="center"/>
          </w:tcPr>
          <w:p w14:paraId="672A8F3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23C7F07C">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2C6F0F25"/>
    <w:p w14:paraId="647802BB"/>
    <w:p w14:paraId="4533924D"/>
    <w:p w14:paraId="1BEE813B"/>
    <w:p w14:paraId="08BB3380"/>
    <w:p w14:paraId="0856887B"/>
    <w:p w14:paraId="2C2388DA"/>
    <w:p w14:paraId="0EC0F35E"/>
    <w:p w14:paraId="3571D5A2"/>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DD34FE7">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21D61CA4">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0F49C384">
            <w:pPr>
              <w:jc w:val="left"/>
              <w:textAlignment w:val="center"/>
              <w:rPr>
                <w:rFonts w:eastAsia="仿宋_GB2312"/>
                <w:b/>
                <w:bCs/>
                <w:color w:val="000000"/>
                <w:kern w:val="0"/>
                <w:sz w:val="18"/>
                <w:szCs w:val="18"/>
              </w:rPr>
            </w:pPr>
            <w:r>
              <w:rPr>
                <w:rFonts w:eastAsia="仿宋_GB2312"/>
                <w:b/>
                <w:color w:val="000000"/>
                <w:kern w:val="0"/>
                <w:sz w:val="20"/>
              </w:rPr>
              <w:t>320217277000</w:t>
            </w:r>
          </w:p>
        </w:tc>
      </w:tr>
      <w:tr w14:paraId="30BA89FA">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1FEB2A99">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5E83ACD5">
            <w:pPr>
              <w:spacing w:line="320" w:lineRule="exact"/>
              <w:jc w:val="left"/>
              <w:rPr>
                <w:color w:val="000000"/>
                <w:spacing w:val="-6"/>
                <w:kern w:val="0"/>
                <w:sz w:val="18"/>
                <w:szCs w:val="18"/>
              </w:rPr>
            </w:pPr>
            <w:r>
              <w:rPr>
                <w:rFonts w:hint="eastAsia"/>
                <w:color w:val="000000"/>
                <w:spacing w:val="-6"/>
                <w:kern w:val="0"/>
                <w:sz w:val="18"/>
                <w:szCs w:val="18"/>
              </w:rPr>
              <w:t>对注册建筑师同时受聘于二个以上建筑设计单位执行业务的处罚</w:t>
            </w:r>
          </w:p>
        </w:tc>
      </w:tr>
      <w:tr w14:paraId="454C567D">
        <w:tblPrEx>
          <w:tblCellMar>
            <w:top w:w="0" w:type="dxa"/>
            <w:left w:w="108" w:type="dxa"/>
            <w:bottom w:w="0" w:type="dxa"/>
            <w:right w:w="108" w:type="dxa"/>
          </w:tblCellMar>
        </w:tblPrEx>
        <w:trPr>
          <w:trHeight w:val="1800" w:hRule="atLeast"/>
        </w:trPr>
        <w:tc>
          <w:tcPr>
            <w:tcW w:w="1030" w:type="dxa"/>
            <w:tcBorders>
              <w:top w:val="single" w:color="auto" w:sz="4" w:space="0"/>
              <w:left w:val="single" w:color="auto" w:sz="8" w:space="0"/>
              <w:bottom w:val="single" w:color="auto" w:sz="4" w:space="0"/>
              <w:right w:val="single" w:color="auto" w:sz="4" w:space="0"/>
            </w:tcBorders>
            <w:vAlign w:val="center"/>
          </w:tcPr>
          <w:p w14:paraId="091AA20C">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209A205F">
            <w:pPr>
              <w:spacing w:line="320" w:lineRule="exact"/>
              <w:jc w:val="left"/>
              <w:rPr>
                <w:color w:val="000000"/>
                <w:spacing w:val="-6"/>
                <w:kern w:val="0"/>
                <w:sz w:val="18"/>
                <w:szCs w:val="18"/>
              </w:rPr>
            </w:pPr>
            <w:r>
              <w:rPr>
                <w:rFonts w:hint="eastAsia"/>
                <w:color w:val="000000"/>
                <w:spacing w:val="-6"/>
                <w:kern w:val="0"/>
                <w:sz w:val="18"/>
                <w:szCs w:val="18"/>
              </w:rPr>
              <w:t>【行政法规】《中华人民共和国注册建筑师条例》（国务院令</w:t>
            </w:r>
            <w:r>
              <w:rPr>
                <w:color w:val="000000"/>
                <w:spacing w:val="-6"/>
                <w:kern w:val="0"/>
                <w:sz w:val="18"/>
                <w:szCs w:val="18"/>
              </w:rPr>
              <w:t>1995</w:t>
            </w:r>
            <w:r>
              <w:rPr>
                <w:rFonts w:hint="eastAsia"/>
                <w:color w:val="000000"/>
                <w:spacing w:val="-6"/>
                <w:kern w:val="0"/>
                <w:sz w:val="18"/>
                <w:szCs w:val="18"/>
              </w:rPr>
              <w:t>年第</w:t>
            </w:r>
            <w:r>
              <w:rPr>
                <w:color w:val="000000"/>
                <w:spacing w:val="-6"/>
                <w:kern w:val="0"/>
                <w:sz w:val="18"/>
                <w:szCs w:val="18"/>
              </w:rPr>
              <w:t>184</w:t>
            </w:r>
            <w:r>
              <w:rPr>
                <w:rFonts w:hint="eastAsia"/>
                <w:color w:val="000000"/>
                <w:spacing w:val="-6"/>
                <w:kern w:val="0"/>
                <w:sz w:val="18"/>
                <w:szCs w:val="18"/>
              </w:rPr>
              <w:t>号）</w:t>
            </w:r>
          </w:p>
          <w:p w14:paraId="756534BB">
            <w:pPr>
              <w:spacing w:line="320" w:lineRule="exact"/>
              <w:jc w:val="left"/>
              <w:rPr>
                <w:color w:val="000000"/>
                <w:spacing w:val="-6"/>
                <w:kern w:val="0"/>
                <w:sz w:val="18"/>
                <w:szCs w:val="18"/>
              </w:rPr>
            </w:pPr>
            <w:r>
              <w:rPr>
                <w:rFonts w:hint="eastAsia"/>
                <w:color w:val="000000"/>
                <w:spacing w:val="-6"/>
                <w:kern w:val="0"/>
                <w:sz w:val="18"/>
                <w:szCs w:val="18"/>
              </w:rPr>
              <w:t>第二十八条　注册建筑师应当履行下列义务：（四）不得同时受聘于二个以上建筑设计单位执行业务；</w:t>
            </w:r>
          </w:p>
          <w:p w14:paraId="76C2DCB0">
            <w:pPr>
              <w:spacing w:line="320" w:lineRule="exact"/>
              <w:jc w:val="left"/>
              <w:rPr>
                <w:color w:val="000000"/>
                <w:spacing w:val="-6"/>
                <w:kern w:val="0"/>
                <w:sz w:val="18"/>
                <w:szCs w:val="18"/>
              </w:rPr>
            </w:pPr>
            <w:r>
              <w:rPr>
                <w:rFonts w:hint="eastAsia"/>
                <w:color w:val="000000"/>
                <w:spacing w:val="-6"/>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14:paraId="05C7EBF0">
            <w:pPr>
              <w:spacing w:line="320" w:lineRule="exact"/>
              <w:jc w:val="left"/>
              <w:rPr>
                <w:color w:val="000000"/>
                <w:spacing w:val="-6"/>
                <w:kern w:val="0"/>
                <w:sz w:val="18"/>
                <w:szCs w:val="18"/>
              </w:rPr>
            </w:pPr>
            <w:r>
              <w:rPr>
                <w:color w:val="000000"/>
                <w:spacing w:val="-6"/>
                <w:kern w:val="0"/>
                <w:sz w:val="18"/>
                <w:szCs w:val="18"/>
              </w:rPr>
              <w:t xml:space="preserve">   </w:t>
            </w:r>
            <w:r>
              <w:rPr>
                <w:rFonts w:hint="eastAsia"/>
                <w:color w:val="000000"/>
                <w:spacing w:val="-6"/>
                <w:kern w:val="0"/>
                <w:sz w:val="18"/>
                <w:szCs w:val="18"/>
              </w:rPr>
              <w:t>（二）同时受聘于二个以上建筑设计单位执行业务的；</w:t>
            </w:r>
          </w:p>
        </w:tc>
      </w:tr>
      <w:tr w14:paraId="1903FEF0">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1EE0832F">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5C5F3F06">
            <w:pPr>
              <w:spacing w:line="320" w:lineRule="exact"/>
              <w:jc w:val="left"/>
              <w:rPr>
                <w:color w:val="000000"/>
                <w:kern w:val="0"/>
                <w:sz w:val="18"/>
                <w:szCs w:val="18"/>
              </w:rPr>
            </w:pPr>
            <w:r>
              <w:rPr>
                <w:rFonts w:hint="eastAsia"/>
                <w:color w:val="000000"/>
                <w:kern w:val="0"/>
                <w:sz w:val="18"/>
                <w:szCs w:val="18"/>
              </w:rPr>
              <w:t>没收违法所得，罚款</w:t>
            </w:r>
          </w:p>
        </w:tc>
      </w:tr>
      <w:tr w14:paraId="5679A001">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2648E1EF">
            <w:pPr>
              <w:spacing w:line="320" w:lineRule="exact"/>
              <w:jc w:val="center"/>
              <w:rPr>
                <w:color w:val="000000"/>
                <w:kern w:val="0"/>
                <w:sz w:val="18"/>
                <w:szCs w:val="18"/>
              </w:rPr>
            </w:pPr>
            <w:r>
              <w:rPr>
                <w:rFonts w:hint="eastAsia"/>
                <w:color w:val="000000"/>
                <w:kern w:val="0"/>
                <w:sz w:val="18"/>
                <w:szCs w:val="18"/>
              </w:rPr>
              <w:t>裁量基准</w:t>
            </w:r>
          </w:p>
        </w:tc>
      </w:tr>
      <w:tr w14:paraId="6D17402E">
        <w:tblPrEx>
          <w:tblCellMar>
            <w:top w:w="0" w:type="dxa"/>
            <w:left w:w="108" w:type="dxa"/>
            <w:bottom w:w="0" w:type="dxa"/>
            <w:right w:w="108" w:type="dxa"/>
          </w:tblCellMar>
        </w:tblPrEx>
        <w:trPr>
          <w:trHeight w:val="340" w:hRule="exact"/>
        </w:trPr>
        <w:tc>
          <w:tcPr>
            <w:tcW w:w="1030" w:type="dxa"/>
            <w:vMerge w:val="restart"/>
            <w:tcBorders>
              <w:top w:val="single" w:color="auto" w:sz="4" w:space="0"/>
              <w:left w:val="single" w:color="auto" w:sz="8" w:space="0"/>
              <w:right w:val="single" w:color="auto" w:sz="4" w:space="0"/>
            </w:tcBorders>
            <w:vAlign w:val="center"/>
          </w:tcPr>
          <w:p w14:paraId="6884476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1A671165">
            <w:pPr>
              <w:spacing w:line="320" w:lineRule="exact"/>
              <w:jc w:val="left"/>
              <w:rPr>
                <w:color w:val="000000"/>
                <w:spacing w:val="-6"/>
                <w:kern w:val="0"/>
                <w:sz w:val="18"/>
                <w:szCs w:val="18"/>
              </w:rPr>
            </w:pPr>
            <w:r>
              <w:rPr>
                <w:rFonts w:hint="eastAsia"/>
                <w:color w:val="000000"/>
                <w:spacing w:val="-6"/>
                <w:kern w:val="0"/>
                <w:sz w:val="18"/>
                <w:szCs w:val="18"/>
              </w:rPr>
              <w:t>受聘于二个建筑设计单位执行业务的</w:t>
            </w:r>
          </w:p>
        </w:tc>
        <w:tc>
          <w:tcPr>
            <w:tcW w:w="1080" w:type="dxa"/>
            <w:vMerge w:val="restart"/>
            <w:tcBorders>
              <w:top w:val="single" w:color="auto" w:sz="4" w:space="0"/>
              <w:left w:val="single" w:color="auto" w:sz="4" w:space="0"/>
              <w:right w:val="single" w:color="auto" w:sz="4" w:space="0"/>
            </w:tcBorders>
            <w:vAlign w:val="center"/>
          </w:tcPr>
          <w:p w14:paraId="3FC8F632">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8" w:space="0"/>
            </w:tcBorders>
            <w:vAlign w:val="center"/>
          </w:tcPr>
          <w:p w14:paraId="65C50993">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14:paraId="6CB1B0DC">
        <w:tblPrEx>
          <w:tblCellMar>
            <w:top w:w="0" w:type="dxa"/>
            <w:left w:w="108" w:type="dxa"/>
            <w:bottom w:w="0" w:type="dxa"/>
            <w:right w:w="108" w:type="dxa"/>
          </w:tblCellMar>
        </w:tblPrEx>
        <w:trPr>
          <w:trHeight w:val="540" w:hRule="atLeast"/>
        </w:trPr>
        <w:tc>
          <w:tcPr>
            <w:tcW w:w="1030" w:type="dxa"/>
            <w:vMerge w:val="continue"/>
            <w:tcBorders>
              <w:left w:val="single" w:color="auto" w:sz="8" w:space="0"/>
              <w:right w:val="single" w:color="auto" w:sz="4" w:space="0"/>
            </w:tcBorders>
            <w:vAlign w:val="center"/>
          </w:tcPr>
          <w:p w14:paraId="6BF55D53">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7042FB47">
            <w:pPr>
              <w:spacing w:line="320" w:lineRule="exact"/>
              <w:jc w:val="left"/>
              <w:rPr>
                <w:color w:val="000000"/>
                <w:kern w:val="0"/>
                <w:sz w:val="18"/>
                <w:szCs w:val="18"/>
              </w:rPr>
            </w:pPr>
            <w:r>
              <w:rPr>
                <w:rFonts w:hint="eastAsia"/>
                <w:color w:val="000000"/>
                <w:kern w:val="0"/>
                <w:sz w:val="18"/>
                <w:szCs w:val="18"/>
              </w:rPr>
              <w:t>受聘于三个建筑设计单位执行业务的</w:t>
            </w:r>
          </w:p>
        </w:tc>
        <w:tc>
          <w:tcPr>
            <w:tcW w:w="1080" w:type="dxa"/>
            <w:vMerge w:val="continue"/>
            <w:tcBorders>
              <w:left w:val="single" w:color="auto" w:sz="4" w:space="0"/>
              <w:right w:val="single" w:color="auto" w:sz="4" w:space="0"/>
            </w:tcBorders>
            <w:vAlign w:val="center"/>
          </w:tcPr>
          <w:p w14:paraId="1752C4FF">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8" w:space="0"/>
            </w:tcBorders>
            <w:vAlign w:val="center"/>
          </w:tcPr>
          <w:p w14:paraId="747C946C">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14:paraId="1003DBC7">
        <w:tblPrEx>
          <w:tblCellMar>
            <w:top w:w="0" w:type="dxa"/>
            <w:left w:w="108" w:type="dxa"/>
            <w:bottom w:w="0" w:type="dxa"/>
            <w:right w:w="108" w:type="dxa"/>
          </w:tblCellMar>
        </w:tblPrEx>
        <w:trPr>
          <w:trHeight w:val="285" w:hRule="atLeast"/>
        </w:trPr>
        <w:tc>
          <w:tcPr>
            <w:tcW w:w="1030" w:type="dxa"/>
            <w:vMerge w:val="continue"/>
            <w:tcBorders>
              <w:left w:val="single" w:color="auto" w:sz="8" w:space="0"/>
              <w:bottom w:val="single" w:color="auto" w:sz="8" w:space="0"/>
              <w:right w:val="single" w:color="auto" w:sz="4" w:space="0"/>
            </w:tcBorders>
            <w:vAlign w:val="center"/>
          </w:tcPr>
          <w:p w14:paraId="2A092EE4">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8" w:space="0"/>
              <w:right w:val="single" w:color="auto" w:sz="4" w:space="0"/>
            </w:tcBorders>
            <w:vAlign w:val="center"/>
          </w:tcPr>
          <w:p w14:paraId="5EB65DE2">
            <w:pPr>
              <w:spacing w:line="320" w:lineRule="exact"/>
              <w:jc w:val="left"/>
              <w:rPr>
                <w:color w:val="000000"/>
                <w:kern w:val="0"/>
                <w:sz w:val="18"/>
                <w:szCs w:val="18"/>
              </w:rPr>
            </w:pPr>
            <w:r>
              <w:rPr>
                <w:rFonts w:hint="eastAsia"/>
                <w:color w:val="000000"/>
                <w:kern w:val="0"/>
                <w:sz w:val="18"/>
                <w:szCs w:val="18"/>
              </w:rPr>
              <w:t>受聘于四个及以上建筑设计单位执行业务的</w:t>
            </w:r>
          </w:p>
        </w:tc>
        <w:tc>
          <w:tcPr>
            <w:tcW w:w="1080" w:type="dxa"/>
            <w:vMerge w:val="continue"/>
            <w:tcBorders>
              <w:left w:val="single" w:color="auto" w:sz="4" w:space="0"/>
              <w:bottom w:val="single" w:color="auto" w:sz="8" w:space="0"/>
              <w:right w:val="single" w:color="auto" w:sz="4" w:space="0"/>
            </w:tcBorders>
            <w:vAlign w:val="center"/>
          </w:tcPr>
          <w:p w14:paraId="749D63B5">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8" w:space="0"/>
              <w:right w:val="single" w:color="auto" w:sz="8" w:space="0"/>
            </w:tcBorders>
            <w:vAlign w:val="center"/>
          </w:tcPr>
          <w:p w14:paraId="73C87737">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202B0596"/>
    <w:p w14:paraId="58994E47"/>
    <w:p w14:paraId="1B3891D1"/>
    <w:p w14:paraId="6F9DAE0F"/>
    <w:p w14:paraId="22965CB5"/>
    <w:p w14:paraId="3345E541"/>
    <w:p w14:paraId="7B62A0D1"/>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117180EA">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5EAC94E8">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2C9B04F6">
            <w:pPr>
              <w:spacing w:line="320" w:lineRule="exact"/>
              <w:jc w:val="left"/>
              <w:rPr>
                <w:rFonts w:eastAsia="仿宋_GB2312"/>
                <w:b/>
                <w:bCs/>
                <w:color w:val="000000"/>
                <w:kern w:val="0"/>
                <w:sz w:val="18"/>
                <w:szCs w:val="18"/>
              </w:rPr>
            </w:pPr>
            <w:r>
              <w:rPr>
                <w:rFonts w:eastAsia="仿宋_GB2312"/>
                <w:b/>
                <w:bCs/>
                <w:color w:val="000000"/>
                <w:kern w:val="0"/>
                <w:sz w:val="18"/>
                <w:szCs w:val="18"/>
              </w:rPr>
              <w:t>320217278000</w:t>
            </w:r>
          </w:p>
        </w:tc>
      </w:tr>
      <w:tr w14:paraId="1EFC8B7F">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50A2584E">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571B51D5">
            <w:pPr>
              <w:spacing w:line="320" w:lineRule="exact"/>
              <w:jc w:val="left"/>
              <w:rPr>
                <w:color w:val="000000"/>
                <w:kern w:val="0"/>
                <w:sz w:val="18"/>
                <w:szCs w:val="18"/>
              </w:rPr>
            </w:pPr>
            <w:r>
              <w:rPr>
                <w:rFonts w:hint="eastAsia"/>
                <w:color w:val="000000"/>
                <w:kern w:val="0"/>
                <w:sz w:val="18"/>
                <w:szCs w:val="18"/>
              </w:rPr>
              <w:t>对建设单位将拆除工程发包给不具有相应资质等级的施工单位的处罚</w:t>
            </w:r>
          </w:p>
        </w:tc>
      </w:tr>
      <w:tr w14:paraId="5548301A">
        <w:tblPrEx>
          <w:tblCellMar>
            <w:top w:w="0" w:type="dxa"/>
            <w:left w:w="108" w:type="dxa"/>
            <w:bottom w:w="0" w:type="dxa"/>
            <w:right w:w="108" w:type="dxa"/>
          </w:tblCellMar>
        </w:tblPrEx>
        <w:trPr>
          <w:trHeight w:val="2085" w:hRule="atLeast"/>
        </w:trPr>
        <w:tc>
          <w:tcPr>
            <w:tcW w:w="1050" w:type="dxa"/>
            <w:tcBorders>
              <w:top w:val="nil"/>
              <w:left w:val="single" w:color="auto" w:sz="8" w:space="0"/>
              <w:bottom w:val="single" w:color="auto" w:sz="4" w:space="0"/>
              <w:right w:val="single" w:color="auto" w:sz="4" w:space="0"/>
            </w:tcBorders>
            <w:vAlign w:val="center"/>
          </w:tcPr>
          <w:p w14:paraId="4285D6FA">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35E4334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14:paraId="29CF4142">
            <w:pPr>
              <w:spacing w:line="320" w:lineRule="exact"/>
              <w:jc w:val="left"/>
              <w:rPr>
                <w:color w:val="000000"/>
                <w:kern w:val="0"/>
                <w:sz w:val="18"/>
                <w:szCs w:val="18"/>
              </w:rPr>
            </w:pPr>
            <w:r>
              <w:rPr>
                <w:rFonts w:hint="eastAsia"/>
                <w:color w:val="000000"/>
                <w:kern w:val="0"/>
                <w:sz w:val="18"/>
                <w:szCs w:val="18"/>
              </w:rPr>
              <w:t>第十一条第一款　建设单位应当将拆除工程发包给具有相应资质等级的施工单位。</w:t>
            </w:r>
          </w:p>
          <w:p w14:paraId="307D392B">
            <w:pPr>
              <w:spacing w:line="320" w:lineRule="exact"/>
              <w:jc w:val="left"/>
              <w:rPr>
                <w:color w:val="000000"/>
                <w:kern w:val="0"/>
                <w:sz w:val="18"/>
                <w:szCs w:val="18"/>
              </w:rPr>
            </w:pPr>
            <w:r>
              <w:rPr>
                <w:rFonts w:hint="eastAsia"/>
                <w:color w:val="000000"/>
                <w:kern w:val="0"/>
                <w:sz w:val="18"/>
                <w:szCs w:val="18"/>
              </w:rPr>
              <w:t>第五十五条　违反本条例的规定，建设单位有下列行为之一的，责令限期改正，处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万元以下的罚款；造成重大安全事故，构成犯罪的，对直接责任人员，依照刑法有关规定追究刑事责任；造成损失的，依法承担赔偿责任：</w:t>
            </w:r>
          </w:p>
          <w:p w14:paraId="4BE8C11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（三）将拆除工程发包给不具有相应资质等级的施工单位的。</w:t>
            </w:r>
          </w:p>
          <w:p w14:paraId="779DD173">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5EBBF3C5">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5061A7C4">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26B7A399">
            <w:pPr>
              <w:spacing w:line="320" w:lineRule="exact"/>
              <w:jc w:val="left"/>
              <w:rPr>
                <w:color w:val="000000"/>
                <w:kern w:val="0"/>
                <w:sz w:val="18"/>
                <w:szCs w:val="18"/>
              </w:rPr>
            </w:pPr>
            <w:r>
              <w:rPr>
                <w:rFonts w:hint="eastAsia"/>
                <w:color w:val="000000"/>
                <w:kern w:val="0"/>
                <w:sz w:val="18"/>
                <w:szCs w:val="18"/>
              </w:rPr>
              <w:t>罚款</w:t>
            </w:r>
          </w:p>
        </w:tc>
      </w:tr>
      <w:tr w14:paraId="3E31935E">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361E6C5E">
            <w:pPr>
              <w:spacing w:line="320" w:lineRule="exact"/>
              <w:jc w:val="center"/>
              <w:rPr>
                <w:color w:val="000000"/>
                <w:kern w:val="0"/>
                <w:sz w:val="18"/>
                <w:szCs w:val="18"/>
              </w:rPr>
            </w:pPr>
            <w:r>
              <w:rPr>
                <w:rFonts w:hint="eastAsia"/>
                <w:color w:val="000000"/>
                <w:kern w:val="0"/>
                <w:sz w:val="18"/>
                <w:szCs w:val="18"/>
              </w:rPr>
              <w:t>裁量基准</w:t>
            </w:r>
          </w:p>
        </w:tc>
      </w:tr>
      <w:tr w14:paraId="1F3E6DAE">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single" w:color="000000" w:sz="4" w:space="0"/>
              <w:right w:val="single" w:color="auto" w:sz="4" w:space="0"/>
            </w:tcBorders>
            <w:vAlign w:val="center"/>
          </w:tcPr>
          <w:p w14:paraId="5AE93CA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13F91B3D">
            <w:pPr>
              <w:spacing w:line="32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nil"/>
              <w:left w:val="single" w:color="auto" w:sz="4" w:space="0"/>
              <w:bottom w:val="single" w:color="000000" w:sz="4" w:space="0"/>
              <w:right w:val="single" w:color="auto" w:sz="4" w:space="0"/>
            </w:tcBorders>
            <w:vAlign w:val="center"/>
          </w:tcPr>
          <w:p w14:paraId="3CA7109A">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42C30C7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w:t>
            </w:r>
          </w:p>
        </w:tc>
      </w:tr>
      <w:tr w14:paraId="5EF9FA22">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000000" w:sz="4" w:space="0"/>
              <w:right w:val="single" w:color="auto" w:sz="4" w:space="0"/>
            </w:tcBorders>
            <w:vAlign w:val="center"/>
          </w:tcPr>
          <w:p w14:paraId="0C10457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02F10A76">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100" w:type="dxa"/>
            <w:vMerge w:val="continue"/>
            <w:tcBorders>
              <w:top w:val="nil"/>
              <w:left w:val="single" w:color="auto" w:sz="4" w:space="0"/>
              <w:bottom w:val="single" w:color="auto" w:sz="4" w:space="0"/>
              <w:right w:val="single" w:color="auto" w:sz="4" w:space="0"/>
            </w:tcBorders>
            <w:vAlign w:val="center"/>
          </w:tcPr>
          <w:p w14:paraId="17203C3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85D7E8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万以上</w:t>
            </w:r>
            <w:r>
              <w:rPr>
                <w:color w:val="000000"/>
                <w:kern w:val="0"/>
                <w:sz w:val="18"/>
                <w:szCs w:val="18"/>
              </w:rPr>
              <w:t>40</w:t>
            </w:r>
            <w:r>
              <w:rPr>
                <w:rFonts w:hint="eastAsia"/>
                <w:color w:val="000000"/>
                <w:kern w:val="0"/>
                <w:sz w:val="18"/>
                <w:szCs w:val="18"/>
              </w:rPr>
              <w:t>万以下的罚款</w:t>
            </w:r>
          </w:p>
        </w:tc>
      </w:tr>
      <w:tr w14:paraId="4B9C5BB5">
        <w:tblPrEx>
          <w:tblCellMar>
            <w:top w:w="0" w:type="dxa"/>
            <w:left w:w="108" w:type="dxa"/>
            <w:bottom w:w="0" w:type="dxa"/>
            <w:right w:w="108" w:type="dxa"/>
          </w:tblCellMar>
        </w:tblPrEx>
        <w:trPr>
          <w:trHeight w:val="468" w:hRule="atLeast"/>
        </w:trPr>
        <w:tc>
          <w:tcPr>
            <w:tcW w:w="1050" w:type="dxa"/>
            <w:vMerge w:val="continue"/>
            <w:tcBorders>
              <w:top w:val="nil"/>
              <w:left w:val="single" w:color="auto" w:sz="8" w:space="0"/>
              <w:bottom w:val="single" w:color="000000" w:sz="4" w:space="0"/>
              <w:right w:val="single" w:color="auto" w:sz="4" w:space="0"/>
            </w:tcBorders>
            <w:vAlign w:val="center"/>
          </w:tcPr>
          <w:p w14:paraId="3F492EE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1E02628">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100" w:type="dxa"/>
            <w:vMerge w:val="continue"/>
            <w:tcBorders>
              <w:top w:val="single" w:color="auto" w:sz="4" w:space="0"/>
              <w:left w:val="single" w:color="auto" w:sz="4" w:space="0"/>
              <w:bottom w:val="single" w:color="auto" w:sz="4" w:space="0"/>
              <w:right w:val="single" w:color="auto" w:sz="4" w:space="0"/>
            </w:tcBorders>
            <w:vAlign w:val="center"/>
          </w:tcPr>
          <w:p w14:paraId="20F11287">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192F0C7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万以上</w:t>
            </w:r>
            <w:r>
              <w:rPr>
                <w:color w:val="000000"/>
                <w:kern w:val="0"/>
                <w:sz w:val="18"/>
                <w:szCs w:val="18"/>
              </w:rPr>
              <w:t>50</w:t>
            </w:r>
            <w:r>
              <w:rPr>
                <w:rFonts w:hint="eastAsia"/>
                <w:color w:val="000000"/>
                <w:kern w:val="0"/>
                <w:sz w:val="18"/>
                <w:szCs w:val="18"/>
              </w:rPr>
              <w:t>万以下的罚款</w:t>
            </w:r>
          </w:p>
        </w:tc>
      </w:tr>
    </w:tbl>
    <w:p w14:paraId="1FF7D8A2"/>
    <w:p w14:paraId="731DE360"/>
    <w:p w14:paraId="6C465773"/>
    <w:p w14:paraId="315260B7"/>
    <w:p w14:paraId="140710DA"/>
    <w:p w14:paraId="754755FC"/>
    <w:p w14:paraId="35C399A1"/>
    <w:p w14:paraId="43198DEB"/>
    <w:p w14:paraId="6C37BA13"/>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3DE93581">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14DD93E">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161D0857">
            <w:pPr>
              <w:jc w:val="left"/>
              <w:textAlignment w:val="center"/>
              <w:rPr>
                <w:rFonts w:eastAsia="仿宋_GB2312"/>
                <w:b/>
                <w:bCs/>
                <w:color w:val="000000"/>
                <w:kern w:val="0"/>
                <w:sz w:val="18"/>
                <w:szCs w:val="18"/>
              </w:rPr>
            </w:pPr>
            <w:r>
              <w:rPr>
                <w:rFonts w:eastAsia="仿宋_GB2312"/>
                <w:b/>
                <w:color w:val="000000"/>
                <w:kern w:val="0"/>
                <w:sz w:val="20"/>
              </w:rPr>
              <w:t>320217279000</w:t>
            </w:r>
          </w:p>
        </w:tc>
      </w:tr>
      <w:tr w14:paraId="610129B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E5FB7BE">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3A8BDDBB">
            <w:pPr>
              <w:spacing w:line="320" w:lineRule="exact"/>
              <w:jc w:val="left"/>
              <w:rPr>
                <w:color w:val="000000"/>
                <w:kern w:val="0"/>
                <w:sz w:val="18"/>
                <w:szCs w:val="18"/>
              </w:rPr>
            </w:pPr>
            <w:r>
              <w:rPr>
                <w:rFonts w:hint="eastAsia"/>
                <w:color w:val="000000"/>
                <w:kern w:val="0"/>
                <w:sz w:val="18"/>
                <w:szCs w:val="18"/>
              </w:rPr>
              <w:t>对未经注册而以注册造价工程师的名义从事工程造价活动的处罚</w:t>
            </w:r>
          </w:p>
        </w:tc>
      </w:tr>
      <w:tr w14:paraId="4C2B28FB">
        <w:tblPrEx>
          <w:tblCellMar>
            <w:top w:w="0" w:type="dxa"/>
            <w:left w:w="108" w:type="dxa"/>
            <w:bottom w:w="0" w:type="dxa"/>
            <w:right w:w="108" w:type="dxa"/>
          </w:tblCellMar>
        </w:tblPrEx>
        <w:trPr>
          <w:trHeight w:val="1050" w:hRule="atLeast"/>
        </w:trPr>
        <w:tc>
          <w:tcPr>
            <w:tcW w:w="1056" w:type="dxa"/>
            <w:tcBorders>
              <w:top w:val="nil"/>
              <w:left w:val="single" w:color="auto" w:sz="8" w:space="0"/>
              <w:bottom w:val="single" w:color="auto" w:sz="4" w:space="0"/>
              <w:right w:val="single" w:color="auto" w:sz="4" w:space="0"/>
            </w:tcBorders>
            <w:vAlign w:val="center"/>
          </w:tcPr>
          <w:p w14:paraId="70F73013">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1B6FB263">
            <w:pPr>
              <w:spacing w:line="320" w:lineRule="exact"/>
              <w:jc w:val="left"/>
              <w:rPr>
                <w:color w:val="000000"/>
                <w:kern w:val="0"/>
                <w:sz w:val="18"/>
                <w:szCs w:val="18"/>
              </w:rPr>
            </w:pPr>
            <w:r>
              <w:rPr>
                <w:rFonts w:hint="eastAsia"/>
                <w:color w:val="000000"/>
                <w:kern w:val="0"/>
                <w:sz w:val="18"/>
                <w:szCs w:val="18"/>
              </w:rPr>
              <w:t>【规章】《注册造价工程师管理办法》（建设部令第150号发布，根据住房和城乡建设部令第32号，住房和城乡建设部令第50号修正）</w:t>
            </w:r>
          </w:p>
          <w:p w14:paraId="5592680B">
            <w:pPr>
              <w:spacing w:line="320" w:lineRule="exact"/>
              <w:jc w:val="left"/>
              <w:rPr>
                <w:color w:val="000000"/>
                <w:kern w:val="0"/>
                <w:sz w:val="18"/>
                <w:szCs w:val="18"/>
              </w:rPr>
            </w:pPr>
            <w:r>
              <w:rPr>
                <w:rFonts w:hint="eastAsia"/>
                <w:color w:val="000000"/>
                <w:kern w:val="0"/>
                <w:sz w:val="18"/>
                <w:szCs w:val="18"/>
              </w:rPr>
              <w:t>　    第六条　注册造价工程师实行注册执业管理制度。</w:t>
            </w:r>
          </w:p>
          <w:p w14:paraId="53570C39">
            <w:pPr>
              <w:spacing w:line="320" w:lineRule="exact"/>
              <w:jc w:val="left"/>
              <w:rPr>
                <w:color w:val="000000"/>
                <w:kern w:val="0"/>
                <w:sz w:val="18"/>
                <w:szCs w:val="18"/>
              </w:rPr>
            </w:pPr>
            <w:r>
              <w:rPr>
                <w:rFonts w:hint="eastAsia"/>
                <w:color w:val="000000"/>
                <w:kern w:val="0"/>
                <w:sz w:val="18"/>
                <w:szCs w:val="18"/>
              </w:rPr>
              <w:t>　　取得职业资格的人员，经过注册方能以注册造价工程师的名义执业。</w:t>
            </w:r>
          </w:p>
          <w:p w14:paraId="07076A2F">
            <w:pPr>
              <w:spacing w:line="320" w:lineRule="exact"/>
              <w:jc w:val="left"/>
              <w:rPr>
                <w:color w:val="000000"/>
                <w:kern w:val="0"/>
                <w:sz w:val="18"/>
                <w:szCs w:val="18"/>
              </w:rPr>
            </w:pPr>
            <w:r>
              <w:rPr>
                <w:rFonts w:hint="eastAsia"/>
                <w:color w:val="000000"/>
                <w:kern w:val="0"/>
                <w:sz w:val="18"/>
                <w:szCs w:val="18"/>
              </w:rPr>
              <w:t xml:space="preserve">        第三十四条　违反本办法规定，未经注册而以注册造价工程师的名义从事工程造价活动的，所签署的工程造价成果文件无效，由县级以上地方人民政府住房城乡建设主管部门或者其他有关部门给予警告，责令停止违法活动，并可处以1万元以上3万元以下的罚款。</w:t>
            </w:r>
          </w:p>
        </w:tc>
      </w:tr>
      <w:tr w14:paraId="3BF0C653">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36FFE2B">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596B0110">
            <w:pPr>
              <w:spacing w:line="320" w:lineRule="exact"/>
              <w:jc w:val="left"/>
              <w:rPr>
                <w:color w:val="000000"/>
                <w:kern w:val="0"/>
                <w:sz w:val="18"/>
                <w:szCs w:val="18"/>
              </w:rPr>
            </w:pPr>
            <w:r>
              <w:rPr>
                <w:rFonts w:hint="eastAsia"/>
                <w:color w:val="000000"/>
                <w:kern w:val="0"/>
                <w:sz w:val="18"/>
                <w:szCs w:val="18"/>
              </w:rPr>
              <w:t>警告，罚款</w:t>
            </w:r>
          </w:p>
        </w:tc>
      </w:tr>
      <w:tr w14:paraId="70A92466">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570F9CD8">
            <w:pPr>
              <w:spacing w:line="320" w:lineRule="exact"/>
              <w:jc w:val="center"/>
              <w:rPr>
                <w:color w:val="000000"/>
                <w:kern w:val="0"/>
                <w:sz w:val="18"/>
                <w:szCs w:val="18"/>
              </w:rPr>
            </w:pPr>
            <w:r>
              <w:rPr>
                <w:rFonts w:hint="eastAsia"/>
                <w:color w:val="000000"/>
                <w:kern w:val="0"/>
                <w:sz w:val="18"/>
                <w:szCs w:val="18"/>
              </w:rPr>
              <w:t>裁量基准</w:t>
            </w:r>
          </w:p>
        </w:tc>
      </w:tr>
      <w:tr w14:paraId="4BE0F090">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28FBDD30">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60335BC0">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178CF987">
            <w:pPr>
              <w:spacing w:line="320" w:lineRule="exact"/>
              <w:jc w:val="left"/>
              <w:rPr>
                <w:color w:val="000000"/>
                <w:kern w:val="0"/>
                <w:sz w:val="18"/>
                <w:szCs w:val="18"/>
              </w:rPr>
            </w:pPr>
            <w:r>
              <w:rPr>
                <w:rFonts w:hint="eastAsia"/>
                <w:color w:val="000000"/>
                <w:kern w:val="0"/>
                <w:sz w:val="18"/>
                <w:szCs w:val="18"/>
              </w:rPr>
              <w:t>工程造价成果未交付</w:t>
            </w:r>
          </w:p>
        </w:tc>
        <w:tc>
          <w:tcPr>
            <w:tcW w:w="1044" w:type="dxa"/>
            <w:vMerge w:val="restart"/>
            <w:tcBorders>
              <w:top w:val="nil"/>
              <w:left w:val="single" w:color="auto" w:sz="4" w:space="0"/>
              <w:bottom w:val="single" w:color="auto" w:sz="4" w:space="0"/>
              <w:right w:val="single" w:color="auto" w:sz="4" w:space="0"/>
            </w:tcBorders>
            <w:vAlign w:val="center"/>
          </w:tcPr>
          <w:p w14:paraId="19DF422D">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B42B95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14:paraId="36633FDB">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F4CB605">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0CACC98">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050656A">
            <w:pPr>
              <w:spacing w:line="320" w:lineRule="exact"/>
              <w:jc w:val="left"/>
              <w:rPr>
                <w:color w:val="000000"/>
                <w:kern w:val="0"/>
                <w:sz w:val="18"/>
                <w:szCs w:val="18"/>
              </w:rPr>
            </w:pPr>
            <w:r>
              <w:rPr>
                <w:rFonts w:hint="eastAsia"/>
                <w:color w:val="000000"/>
                <w:kern w:val="0"/>
                <w:sz w:val="18"/>
                <w:szCs w:val="18"/>
              </w:rPr>
              <w:t>工程造价成果已交付</w:t>
            </w:r>
          </w:p>
        </w:tc>
        <w:tc>
          <w:tcPr>
            <w:tcW w:w="1044" w:type="dxa"/>
            <w:vMerge w:val="continue"/>
            <w:tcBorders>
              <w:top w:val="nil"/>
              <w:left w:val="single" w:color="auto" w:sz="4" w:space="0"/>
              <w:bottom w:val="single" w:color="auto" w:sz="4" w:space="0"/>
              <w:right w:val="single" w:color="auto" w:sz="4" w:space="0"/>
            </w:tcBorders>
            <w:vAlign w:val="center"/>
          </w:tcPr>
          <w:p w14:paraId="0EBC75BB">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ECCB681">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582DDFF1">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AC3EF08">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3D417BD7">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5CD94079">
            <w:pPr>
              <w:spacing w:line="320" w:lineRule="exact"/>
              <w:jc w:val="left"/>
              <w:rPr>
                <w:color w:val="000000"/>
                <w:kern w:val="0"/>
                <w:sz w:val="18"/>
                <w:szCs w:val="18"/>
              </w:rPr>
            </w:pPr>
            <w:r>
              <w:rPr>
                <w:rFonts w:hint="eastAsia"/>
                <w:color w:val="000000"/>
                <w:kern w:val="0"/>
                <w:sz w:val="18"/>
                <w:szCs w:val="18"/>
              </w:rPr>
              <w:t>工程造价成果未交付</w:t>
            </w:r>
          </w:p>
        </w:tc>
        <w:tc>
          <w:tcPr>
            <w:tcW w:w="1044" w:type="dxa"/>
            <w:vMerge w:val="continue"/>
            <w:tcBorders>
              <w:top w:val="nil"/>
              <w:left w:val="single" w:color="auto" w:sz="4" w:space="0"/>
              <w:bottom w:val="single" w:color="auto" w:sz="4" w:space="0"/>
              <w:right w:val="single" w:color="auto" w:sz="4" w:space="0"/>
            </w:tcBorders>
            <w:vAlign w:val="center"/>
          </w:tcPr>
          <w:p w14:paraId="535D3E77">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9A21606">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w:t>
            </w:r>
          </w:p>
        </w:tc>
      </w:tr>
      <w:tr w14:paraId="46E7CB78">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90BDDB8">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256B17EC">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D535871">
            <w:pPr>
              <w:spacing w:line="320" w:lineRule="exact"/>
              <w:jc w:val="left"/>
              <w:rPr>
                <w:color w:val="000000"/>
                <w:kern w:val="0"/>
                <w:sz w:val="18"/>
                <w:szCs w:val="18"/>
              </w:rPr>
            </w:pPr>
            <w:r>
              <w:rPr>
                <w:rFonts w:hint="eastAsia"/>
                <w:color w:val="000000"/>
                <w:kern w:val="0"/>
                <w:sz w:val="18"/>
                <w:szCs w:val="18"/>
              </w:rPr>
              <w:t>工程造价成果已交付</w:t>
            </w:r>
          </w:p>
        </w:tc>
        <w:tc>
          <w:tcPr>
            <w:tcW w:w="1044" w:type="dxa"/>
            <w:vMerge w:val="continue"/>
            <w:tcBorders>
              <w:top w:val="nil"/>
              <w:left w:val="single" w:color="auto" w:sz="4" w:space="0"/>
              <w:bottom w:val="single" w:color="auto" w:sz="4" w:space="0"/>
              <w:right w:val="single" w:color="auto" w:sz="4" w:space="0"/>
            </w:tcBorders>
            <w:vAlign w:val="center"/>
          </w:tcPr>
          <w:p w14:paraId="79083A7C">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52DA830">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1BB78127"/>
    <w:p w14:paraId="3C958008"/>
    <w:p w14:paraId="3364C64E"/>
    <w:p w14:paraId="7C65EB20"/>
    <w:p w14:paraId="11846E71"/>
    <w:p w14:paraId="4F6ECF17"/>
    <w:p w14:paraId="78770380"/>
    <w:p w14:paraId="0AF9380F"/>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46983B7B">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DF250CB">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64BD8E5C">
            <w:pPr>
              <w:jc w:val="left"/>
              <w:textAlignment w:val="center"/>
              <w:rPr>
                <w:rFonts w:eastAsia="仿宋_GB2312"/>
                <w:b/>
                <w:bCs/>
                <w:color w:val="000000"/>
                <w:kern w:val="0"/>
                <w:sz w:val="18"/>
                <w:szCs w:val="18"/>
              </w:rPr>
            </w:pPr>
            <w:r>
              <w:rPr>
                <w:rFonts w:eastAsia="仿宋_GB2312"/>
                <w:color w:val="000000"/>
                <w:kern w:val="0"/>
                <w:sz w:val="20"/>
              </w:rPr>
              <w:t>320217280000</w:t>
            </w:r>
          </w:p>
        </w:tc>
      </w:tr>
      <w:tr w14:paraId="37532671">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4051A5C">
            <w:pPr>
              <w:jc w:val="left"/>
              <w:textAlignment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23939A33">
            <w:pPr>
              <w:jc w:val="left"/>
              <w:textAlignment w:val="center"/>
              <w:rPr>
                <w:color w:val="000000"/>
                <w:kern w:val="0"/>
                <w:sz w:val="18"/>
                <w:szCs w:val="18"/>
              </w:rPr>
            </w:pPr>
            <w:r>
              <w:rPr>
                <w:rFonts w:hint="eastAsia"/>
                <w:color w:val="000000"/>
                <w:kern w:val="0"/>
                <w:sz w:val="18"/>
                <w:szCs w:val="18"/>
              </w:rPr>
              <w:t>对注册造价工程师未办理变更注册而继续执业的处罚</w:t>
            </w:r>
          </w:p>
        </w:tc>
      </w:tr>
      <w:tr w14:paraId="5CAE6723">
        <w:tblPrEx>
          <w:tblCellMar>
            <w:top w:w="0" w:type="dxa"/>
            <w:left w:w="108" w:type="dxa"/>
            <w:bottom w:w="0" w:type="dxa"/>
            <w:right w:w="108" w:type="dxa"/>
          </w:tblCellMar>
        </w:tblPrEx>
        <w:trPr>
          <w:trHeight w:val="1365" w:hRule="atLeast"/>
        </w:trPr>
        <w:tc>
          <w:tcPr>
            <w:tcW w:w="1056" w:type="dxa"/>
            <w:tcBorders>
              <w:top w:val="nil"/>
              <w:left w:val="single" w:color="auto" w:sz="8" w:space="0"/>
              <w:bottom w:val="single" w:color="auto" w:sz="4" w:space="0"/>
              <w:right w:val="single" w:color="auto" w:sz="4" w:space="0"/>
            </w:tcBorders>
            <w:vAlign w:val="center"/>
          </w:tcPr>
          <w:p w14:paraId="0E1CEC0F">
            <w:pPr>
              <w:jc w:val="left"/>
              <w:textAlignment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7E16EF34">
            <w:pPr>
              <w:jc w:val="left"/>
              <w:textAlignment w:val="center"/>
              <w:rPr>
                <w:color w:val="000000"/>
                <w:kern w:val="0"/>
                <w:sz w:val="18"/>
                <w:szCs w:val="18"/>
              </w:rPr>
            </w:pPr>
            <w:r>
              <w:rPr>
                <w:rFonts w:hint="eastAsia"/>
                <w:color w:val="000000"/>
                <w:kern w:val="0"/>
                <w:sz w:val="18"/>
                <w:szCs w:val="18"/>
              </w:rPr>
              <w:t>【规章】《注册造价工程师管理办法》（建设部令第150号发布，根据住房和城乡建设部令第32号，住房和城乡建设部令第50号修正）</w:t>
            </w:r>
          </w:p>
          <w:p w14:paraId="46E43A49">
            <w:pPr>
              <w:jc w:val="left"/>
              <w:textAlignment w:val="center"/>
              <w:rPr>
                <w:color w:val="000000"/>
                <w:kern w:val="0"/>
                <w:sz w:val="18"/>
                <w:szCs w:val="18"/>
              </w:rPr>
            </w:pPr>
            <w:r>
              <w:rPr>
                <w:rFonts w:hint="eastAsia"/>
                <w:color w:val="000000"/>
                <w:kern w:val="0"/>
                <w:sz w:val="18"/>
                <w:szCs w:val="18"/>
              </w:rPr>
              <w:t xml:space="preserve">        第八条第四款 　申请一级注册造价工程师变更注册、延续注册，省、自治区、直辖市人民政府住房城乡建设主管部门或者国务院有关专业部门收到申请材料后，应当在5日内将申请材料报国务院住房城乡建设主管部门，国务院住房城乡建设主管部门应当自受理之日起10日内作出决定。</w:t>
            </w:r>
          </w:p>
          <w:p w14:paraId="2B6CCE84">
            <w:pPr>
              <w:jc w:val="left"/>
              <w:textAlignment w:val="center"/>
              <w:rPr>
                <w:color w:val="000000"/>
                <w:kern w:val="0"/>
                <w:sz w:val="18"/>
                <w:szCs w:val="18"/>
              </w:rPr>
            </w:pPr>
            <w:r>
              <w:rPr>
                <w:rFonts w:hint="eastAsia"/>
                <w:color w:val="000000"/>
                <w:kern w:val="0"/>
                <w:sz w:val="18"/>
                <w:szCs w:val="18"/>
              </w:rPr>
              <w:t>　    第五款　申请二级注册造价工程师变更注册、延续注册，省、自治区、直辖市人民政府住房城乡建设主管部门收到申请材料后，应当自受理之日起10日内作出决定。</w:t>
            </w:r>
          </w:p>
          <w:p w14:paraId="266A7EA5">
            <w:pPr>
              <w:jc w:val="left"/>
              <w:textAlignment w:val="center"/>
              <w:rPr>
                <w:color w:val="000000"/>
                <w:kern w:val="0"/>
                <w:sz w:val="18"/>
                <w:szCs w:val="18"/>
              </w:rPr>
            </w:pPr>
            <w:r>
              <w:rPr>
                <w:rFonts w:hint="eastAsia"/>
                <w:color w:val="000000"/>
                <w:kern w:val="0"/>
                <w:sz w:val="18"/>
                <w:szCs w:val="18"/>
              </w:rPr>
              <w:t xml:space="preserve"> 　   第十二条第一款　在注册有效期内，注册造价工程师变更执业单位的，应当与原聘用单位解除劳动合同，并按照本办法第八条规定的程序，到新聘用单位工商注册所在地的省、自治区、直辖市人民政府住房城乡建设主管部门或者国务院有关专业部门办理变更注册手续。变更注册后延续原注册有效期。</w:t>
            </w:r>
          </w:p>
          <w:p w14:paraId="29163657">
            <w:pPr>
              <w:jc w:val="left"/>
              <w:textAlignment w:val="center"/>
              <w:rPr>
                <w:color w:val="000000"/>
                <w:kern w:val="0"/>
                <w:sz w:val="18"/>
                <w:szCs w:val="18"/>
              </w:rPr>
            </w:pPr>
            <w:r>
              <w:rPr>
                <w:rFonts w:hint="eastAsia"/>
                <w:color w:val="000000"/>
                <w:kern w:val="0"/>
                <w:sz w:val="18"/>
                <w:szCs w:val="18"/>
              </w:rPr>
              <w:t xml:space="preserve">        第三十五条　违反本办法规定，未办理变更注册而继续执业的，由县级以上人民政府住房城乡建设主管部门或者其他有关部门责令限期改正；逾期不改的，可处以5000元以下的罚款。</w:t>
            </w:r>
          </w:p>
        </w:tc>
      </w:tr>
      <w:tr w14:paraId="55E8C34F">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32B1EDB">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1656FE9E">
            <w:pPr>
              <w:spacing w:line="320" w:lineRule="exact"/>
              <w:jc w:val="left"/>
              <w:rPr>
                <w:color w:val="000000"/>
                <w:kern w:val="0"/>
                <w:sz w:val="18"/>
                <w:szCs w:val="18"/>
              </w:rPr>
            </w:pPr>
            <w:r>
              <w:rPr>
                <w:rFonts w:hint="eastAsia"/>
                <w:color w:val="000000"/>
                <w:kern w:val="0"/>
                <w:sz w:val="18"/>
                <w:szCs w:val="18"/>
              </w:rPr>
              <w:t>罚款</w:t>
            </w:r>
          </w:p>
        </w:tc>
      </w:tr>
      <w:tr w14:paraId="550A0487">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73F380F2">
            <w:pPr>
              <w:spacing w:line="320" w:lineRule="exact"/>
              <w:jc w:val="center"/>
              <w:rPr>
                <w:color w:val="000000"/>
                <w:kern w:val="0"/>
                <w:sz w:val="18"/>
                <w:szCs w:val="18"/>
              </w:rPr>
            </w:pPr>
            <w:r>
              <w:rPr>
                <w:rFonts w:hint="eastAsia"/>
                <w:color w:val="000000"/>
                <w:kern w:val="0"/>
                <w:sz w:val="18"/>
                <w:szCs w:val="18"/>
              </w:rPr>
              <w:t>裁量基准</w:t>
            </w:r>
          </w:p>
        </w:tc>
      </w:tr>
      <w:tr w14:paraId="40AFEDFB">
        <w:tblPrEx>
          <w:tblCellMar>
            <w:top w:w="0" w:type="dxa"/>
            <w:left w:w="108" w:type="dxa"/>
            <w:bottom w:w="0" w:type="dxa"/>
            <w:right w:w="108" w:type="dxa"/>
          </w:tblCellMar>
        </w:tblPrEx>
        <w:trPr>
          <w:trHeight w:val="680" w:hRule="atLeast"/>
        </w:trPr>
        <w:tc>
          <w:tcPr>
            <w:tcW w:w="1056" w:type="dxa"/>
            <w:vMerge w:val="restart"/>
            <w:tcBorders>
              <w:top w:val="nil"/>
              <w:left w:val="single" w:color="auto" w:sz="8" w:space="0"/>
              <w:right w:val="single" w:color="auto" w:sz="4" w:space="0"/>
            </w:tcBorders>
            <w:vAlign w:val="center"/>
          </w:tcPr>
          <w:p w14:paraId="450B7F5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D613AA0">
            <w:pPr>
              <w:spacing w:line="320" w:lineRule="exact"/>
              <w:jc w:val="left"/>
              <w:rPr>
                <w:color w:val="000000"/>
                <w:kern w:val="0"/>
                <w:sz w:val="18"/>
                <w:szCs w:val="18"/>
              </w:rPr>
            </w:pPr>
            <w:r>
              <w:rPr>
                <w:rFonts w:hint="eastAsia"/>
                <w:color w:val="000000"/>
                <w:kern w:val="0"/>
                <w:sz w:val="18"/>
                <w:szCs w:val="18"/>
              </w:rPr>
              <w:t>逾期不改正，有正当理由的</w:t>
            </w:r>
          </w:p>
        </w:tc>
        <w:tc>
          <w:tcPr>
            <w:tcW w:w="1044" w:type="dxa"/>
            <w:vMerge w:val="restart"/>
            <w:tcBorders>
              <w:top w:val="nil"/>
              <w:left w:val="nil"/>
              <w:right w:val="single" w:color="auto" w:sz="4" w:space="0"/>
            </w:tcBorders>
            <w:vAlign w:val="center"/>
          </w:tcPr>
          <w:p w14:paraId="09F6ED58">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D39F8F8">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元以下罚款</w:t>
            </w:r>
          </w:p>
        </w:tc>
      </w:tr>
      <w:tr w14:paraId="29D904FA">
        <w:tblPrEx>
          <w:tblCellMar>
            <w:top w:w="0" w:type="dxa"/>
            <w:left w:w="108" w:type="dxa"/>
            <w:bottom w:w="0" w:type="dxa"/>
            <w:right w:w="108" w:type="dxa"/>
          </w:tblCellMar>
        </w:tblPrEx>
        <w:trPr>
          <w:trHeight w:val="475" w:hRule="atLeast"/>
        </w:trPr>
        <w:tc>
          <w:tcPr>
            <w:tcW w:w="1056" w:type="dxa"/>
            <w:vMerge w:val="continue"/>
            <w:tcBorders>
              <w:left w:val="single" w:color="auto" w:sz="8" w:space="0"/>
              <w:bottom w:val="single" w:color="auto" w:sz="4" w:space="0"/>
              <w:right w:val="single" w:color="auto" w:sz="4" w:space="0"/>
            </w:tcBorders>
            <w:vAlign w:val="center"/>
          </w:tcPr>
          <w:p w14:paraId="54102971">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8E42168">
            <w:pPr>
              <w:spacing w:line="320" w:lineRule="exact"/>
              <w:jc w:val="left"/>
              <w:rPr>
                <w:color w:val="000000"/>
                <w:kern w:val="0"/>
                <w:sz w:val="18"/>
                <w:szCs w:val="18"/>
              </w:rPr>
            </w:pPr>
            <w:r>
              <w:rPr>
                <w:rFonts w:hint="eastAsia"/>
                <w:color w:val="000000"/>
                <w:kern w:val="0"/>
                <w:sz w:val="18"/>
                <w:szCs w:val="18"/>
              </w:rPr>
              <w:t>逾期不改正，无正当理由的</w:t>
            </w:r>
          </w:p>
        </w:tc>
        <w:tc>
          <w:tcPr>
            <w:tcW w:w="1044" w:type="dxa"/>
            <w:vMerge w:val="continue"/>
            <w:tcBorders>
              <w:left w:val="nil"/>
              <w:bottom w:val="single" w:color="auto" w:sz="4" w:space="0"/>
              <w:right w:val="single" w:color="auto" w:sz="4" w:space="0"/>
            </w:tcBorders>
            <w:vAlign w:val="center"/>
          </w:tcPr>
          <w:p w14:paraId="3D13086D">
            <w:pPr>
              <w:spacing w:line="320" w:lineRule="exact"/>
              <w:jc w:val="center"/>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609F95E">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47592948"/>
    <w:p w14:paraId="62CD2071"/>
    <w:p w14:paraId="7B8AEA2D"/>
    <w:p w14:paraId="5BF9CB76"/>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22CED21C">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09CED059">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0DE33706">
            <w:pPr>
              <w:spacing w:line="320" w:lineRule="exact"/>
              <w:jc w:val="left"/>
              <w:rPr>
                <w:rFonts w:eastAsia="仿宋_GB2312"/>
                <w:b/>
                <w:bCs/>
                <w:color w:val="000000"/>
                <w:kern w:val="0"/>
                <w:sz w:val="18"/>
                <w:szCs w:val="18"/>
              </w:rPr>
            </w:pPr>
            <w:r>
              <w:rPr>
                <w:rFonts w:eastAsia="仿宋_GB2312"/>
                <w:b/>
                <w:bCs/>
                <w:color w:val="000000"/>
                <w:kern w:val="0"/>
                <w:sz w:val="18"/>
                <w:szCs w:val="18"/>
              </w:rPr>
              <w:t>320217281000</w:t>
            </w:r>
            <w:r>
              <w:rPr>
                <w:rFonts w:hint="eastAsia" w:eastAsia="仿宋_GB2312"/>
                <w:b/>
                <w:bCs/>
                <w:color w:val="000000"/>
                <w:kern w:val="0"/>
                <w:sz w:val="18"/>
                <w:szCs w:val="18"/>
              </w:rPr>
              <w:t xml:space="preserve"> </w:t>
            </w:r>
          </w:p>
        </w:tc>
      </w:tr>
      <w:tr w14:paraId="4ADF05DF">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039DAE52">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1E71B5AC">
            <w:pPr>
              <w:spacing w:line="320" w:lineRule="exact"/>
              <w:jc w:val="left"/>
              <w:rPr>
                <w:color w:val="000000"/>
                <w:kern w:val="0"/>
                <w:sz w:val="18"/>
                <w:szCs w:val="18"/>
              </w:rPr>
            </w:pPr>
            <w:r>
              <w:rPr>
                <w:rFonts w:hint="eastAsia"/>
                <w:color w:val="000000"/>
                <w:kern w:val="0"/>
                <w:sz w:val="18"/>
                <w:szCs w:val="18"/>
              </w:rPr>
              <w:t>对建设单位擅自将验收不合格的工程交付使用的处罚</w:t>
            </w:r>
          </w:p>
        </w:tc>
      </w:tr>
      <w:tr w14:paraId="54E82D66">
        <w:tblPrEx>
          <w:tblCellMar>
            <w:top w:w="0" w:type="dxa"/>
            <w:left w:w="108" w:type="dxa"/>
            <w:bottom w:w="0" w:type="dxa"/>
            <w:right w:w="108" w:type="dxa"/>
          </w:tblCellMar>
        </w:tblPrEx>
        <w:trPr>
          <w:trHeight w:val="1860" w:hRule="atLeast"/>
        </w:trPr>
        <w:tc>
          <w:tcPr>
            <w:tcW w:w="1090" w:type="dxa"/>
            <w:tcBorders>
              <w:top w:val="nil"/>
              <w:left w:val="single" w:color="auto" w:sz="8" w:space="0"/>
              <w:bottom w:val="single" w:color="auto" w:sz="4" w:space="0"/>
              <w:right w:val="single" w:color="auto" w:sz="4" w:space="0"/>
            </w:tcBorders>
            <w:vAlign w:val="center"/>
          </w:tcPr>
          <w:p w14:paraId="3DBF6DC6">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4A704717">
            <w:pPr>
              <w:spacing w:line="320" w:lineRule="exact"/>
              <w:jc w:val="left"/>
              <w:rPr>
                <w:color w:val="000000"/>
                <w:kern w:val="0"/>
                <w:sz w:val="18"/>
                <w:szCs w:val="18"/>
              </w:rPr>
            </w:pPr>
            <w:r>
              <w:rPr>
                <w:rFonts w:hint="eastAsia"/>
                <w:color w:val="000000"/>
                <w:kern w:val="0"/>
                <w:sz w:val="18"/>
                <w:szCs w:val="18"/>
              </w:rPr>
              <w:t>行政法规《建设工程质量管理条例》（</w:t>
            </w:r>
            <w:r>
              <w:rPr>
                <w:color w:val="000000"/>
                <w:kern w:val="0"/>
                <w:sz w:val="18"/>
                <w:szCs w:val="18"/>
              </w:rPr>
              <w:t>2000</w:t>
            </w:r>
            <w:r>
              <w:rPr>
                <w:rFonts w:hint="eastAsia"/>
                <w:color w:val="000000"/>
                <w:kern w:val="0"/>
                <w:sz w:val="18"/>
                <w:szCs w:val="18"/>
              </w:rPr>
              <w:t>年国务院令第</w:t>
            </w:r>
            <w:r>
              <w:rPr>
                <w:color w:val="000000"/>
                <w:kern w:val="0"/>
                <w:sz w:val="18"/>
                <w:szCs w:val="18"/>
              </w:rPr>
              <w:t>279</w:t>
            </w:r>
            <w:r>
              <w:rPr>
                <w:rFonts w:hint="eastAsia"/>
                <w:color w:val="000000"/>
                <w:kern w:val="0"/>
                <w:sz w:val="18"/>
                <w:szCs w:val="18"/>
              </w:rPr>
              <w:t>号）</w:t>
            </w:r>
          </w:p>
          <w:p w14:paraId="34225CD3">
            <w:pPr>
              <w:spacing w:line="320" w:lineRule="exact"/>
              <w:jc w:val="left"/>
              <w:rPr>
                <w:color w:val="000000"/>
                <w:kern w:val="0"/>
                <w:sz w:val="18"/>
                <w:szCs w:val="18"/>
              </w:rPr>
            </w:pPr>
            <w:r>
              <w:rPr>
                <w:rFonts w:hint="eastAsia"/>
                <w:color w:val="000000"/>
                <w:kern w:val="0"/>
                <w:sz w:val="18"/>
                <w:szCs w:val="18"/>
              </w:rPr>
              <w:t>第十六条第三款　建设工程经验收合格的，方可交付使用。</w:t>
            </w:r>
          </w:p>
          <w:p w14:paraId="22AF9A7D">
            <w:pPr>
              <w:spacing w:line="320" w:lineRule="exact"/>
              <w:jc w:val="left"/>
              <w:rPr>
                <w:color w:val="000000"/>
                <w:kern w:val="0"/>
                <w:sz w:val="18"/>
                <w:szCs w:val="18"/>
              </w:rPr>
            </w:pPr>
            <w:r>
              <w:rPr>
                <w:rFonts w:hint="eastAsia"/>
                <w:color w:val="000000"/>
                <w:kern w:val="0"/>
                <w:sz w:val="18"/>
                <w:szCs w:val="18"/>
              </w:rPr>
              <w:t>第五十八条　违反本条例规定，建设单位有下列行为之一的，责令改正，处工程合同价款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p w14:paraId="675D97C2">
            <w:pPr>
              <w:spacing w:line="320" w:lineRule="exact"/>
              <w:jc w:val="left"/>
              <w:rPr>
                <w:color w:val="000000"/>
                <w:kern w:val="0"/>
                <w:sz w:val="18"/>
                <w:szCs w:val="18"/>
              </w:rPr>
            </w:pPr>
            <w:r>
              <w:rPr>
                <w:rFonts w:hint="eastAsia"/>
                <w:color w:val="000000"/>
                <w:kern w:val="0"/>
                <w:sz w:val="18"/>
                <w:szCs w:val="18"/>
              </w:rPr>
              <w:t>（二）验收不合格，擅自交付使用的。</w:t>
            </w:r>
          </w:p>
          <w:p w14:paraId="6732DE28">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41B04959">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38EEEE77">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799A6433">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0E4E88F6">
            <w:pPr>
              <w:spacing w:line="320" w:lineRule="exact"/>
              <w:jc w:val="left"/>
              <w:rPr>
                <w:color w:val="000000"/>
                <w:kern w:val="0"/>
                <w:sz w:val="18"/>
                <w:szCs w:val="18"/>
              </w:rPr>
            </w:pPr>
            <w:r>
              <w:rPr>
                <w:rFonts w:hint="eastAsia"/>
                <w:color w:val="000000"/>
                <w:kern w:val="0"/>
                <w:sz w:val="18"/>
                <w:szCs w:val="18"/>
              </w:rPr>
              <w:t>罚款</w:t>
            </w:r>
          </w:p>
        </w:tc>
      </w:tr>
      <w:tr w14:paraId="4DBE3E0C">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6808EC1A">
            <w:pPr>
              <w:spacing w:line="320" w:lineRule="exact"/>
              <w:jc w:val="center"/>
              <w:rPr>
                <w:color w:val="000000"/>
                <w:kern w:val="0"/>
                <w:sz w:val="18"/>
                <w:szCs w:val="18"/>
              </w:rPr>
            </w:pPr>
            <w:r>
              <w:rPr>
                <w:rFonts w:hint="eastAsia"/>
                <w:color w:val="000000"/>
                <w:kern w:val="0"/>
                <w:sz w:val="18"/>
                <w:szCs w:val="18"/>
              </w:rPr>
              <w:t>裁量基准</w:t>
            </w:r>
          </w:p>
        </w:tc>
      </w:tr>
      <w:tr w14:paraId="48FD2E91">
        <w:tblPrEx>
          <w:tblCellMar>
            <w:top w:w="0" w:type="dxa"/>
            <w:left w:w="108" w:type="dxa"/>
            <w:bottom w:w="0" w:type="dxa"/>
            <w:right w:w="108" w:type="dxa"/>
          </w:tblCellMar>
        </w:tblPrEx>
        <w:trPr>
          <w:trHeight w:val="480" w:hRule="atLeast"/>
        </w:trPr>
        <w:tc>
          <w:tcPr>
            <w:tcW w:w="1090" w:type="dxa"/>
            <w:vMerge w:val="restart"/>
            <w:tcBorders>
              <w:top w:val="nil"/>
              <w:left w:val="single" w:color="auto" w:sz="8" w:space="0"/>
              <w:right w:val="single" w:color="auto" w:sz="4" w:space="0"/>
            </w:tcBorders>
            <w:vAlign w:val="center"/>
          </w:tcPr>
          <w:p w14:paraId="5A676EC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CF8D77F">
            <w:pPr>
              <w:spacing w:line="320" w:lineRule="exact"/>
              <w:jc w:val="left"/>
              <w:rPr>
                <w:color w:val="000000"/>
                <w:kern w:val="0"/>
                <w:sz w:val="18"/>
                <w:szCs w:val="18"/>
              </w:rPr>
            </w:pPr>
            <w:r>
              <w:rPr>
                <w:rFonts w:hint="eastAsia"/>
                <w:color w:val="000000"/>
                <w:kern w:val="0"/>
                <w:sz w:val="18"/>
                <w:szCs w:val="18"/>
              </w:rPr>
              <w:t>仅非主体、非关键部分不合格且按照要求改正的</w:t>
            </w:r>
          </w:p>
        </w:tc>
        <w:tc>
          <w:tcPr>
            <w:tcW w:w="1080" w:type="dxa"/>
            <w:vMerge w:val="restart"/>
            <w:tcBorders>
              <w:top w:val="nil"/>
              <w:left w:val="single" w:color="auto" w:sz="4" w:space="0"/>
              <w:right w:val="single" w:color="auto" w:sz="4" w:space="0"/>
            </w:tcBorders>
            <w:vAlign w:val="center"/>
          </w:tcPr>
          <w:p w14:paraId="10A7FE7F">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color="auto" w:sz="4" w:space="0"/>
              <w:right w:val="single" w:color="auto" w:sz="8" w:space="0"/>
            </w:tcBorders>
            <w:vAlign w:val="center"/>
          </w:tcPr>
          <w:p w14:paraId="696BF90F">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2%-2.5%</w:t>
            </w:r>
            <w:r>
              <w:rPr>
                <w:rFonts w:hint="eastAsia"/>
                <w:color w:val="000000"/>
                <w:kern w:val="0"/>
                <w:sz w:val="18"/>
                <w:szCs w:val="18"/>
              </w:rPr>
              <w:t>罚款</w:t>
            </w:r>
          </w:p>
          <w:p w14:paraId="538BD324">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00BABE30">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065C706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D01EB31">
            <w:pPr>
              <w:spacing w:line="320" w:lineRule="exact"/>
              <w:jc w:val="left"/>
              <w:rPr>
                <w:color w:val="000000"/>
                <w:kern w:val="0"/>
                <w:sz w:val="18"/>
                <w:szCs w:val="18"/>
              </w:rPr>
            </w:pPr>
            <w:r>
              <w:rPr>
                <w:rFonts w:hint="eastAsia"/>
                <w:color w:val="000000"/>
                <w:kern w:val="0"/>
                <w:sz w:val="18"/>
                <w:szCs w:val="18"/>
              </w:rPr>
              <w:t>主体或关键部分不合格，或者未按照要求改正的</w:t>
            </w:r>
          </w:p>
        </w:tc>
        <w:tc>
          <w:tcPr>
            <w:tcW w:w="1080" w:type="dxa"/>
            <w:vMerge w:val="continue"/>
            <w:tcBorders>
              <w:left w:val="single" w:color="auto" w:sz="4" w:space="0"/>
              <w:right w:val="single" w:color="auto" w:sz="4" w:space="0"/>
            </w:tcBorders>
            <w:vAlign w:val="center"/>
          </w:tcPr>
          <w:p w14:paraId="348ED6FC">
            <w:pPr>
              <w:spacing w:line="320" w:lineRule="exact"/>
              <w:jc w:val="left"/>
              <w:rPr>
                <w:color w:val="000000"/>
                <w:kern w:val="0"/>
                <w:sz w:val="18"/>
                <w:szCs w:val="18"/>
              </w:rPr>
            </w:pPr>
          </w:p>
        </w:tc>
        <w:tc>
          <w:tcPr>
            <w:tcW w:w="5740" w:type="dxa"/>
            <w:tcBorders>
              <w:top w:val="single" w:color="auto" w:sz="4" w:space="0"/>
              <w:left w:val="nil"/>
              <w:bottom w:val="single" w:color="auto" w:sz="8" w:space="0"/>
              <w:right w:val="single" w:color="auto" w:sz="8" w:space="0"/>
            </w:tcBorders>
            <w:vAlign w:val="center"/>
          </w:tcPr>
          <w:p w14:paraId="2C6A30DE">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2.5%-3%</w:t>
            </w:r>
            <w:r>
              <w:rPr>
                <w:rFonts w:hint="eastAsia"/>
                <w:color w:val="000000"/>
                <w:kern w:val="0"/>
                <w:sz w:val="18"/>
                <w:szCs w:val="18"/>
              </w:rPr>
              <w:t>罚款</w:t>
            </w:r>
          </w:p>
          <w:p w14:paraId="475ADB70">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27130DB8">
        <w:tblPrEx>
          <w:tblCellMar>
            <w:top w:w="0" w:type="dxa"/>
            <w:left w:w="108" w:type="dxa"/>
            <w:bottom w:w="0" w:type="dxa"/>
            <w:right w:w="108" w:type="dxa"/>
          </w:tblCellMar>
        </w:tblPrEx>
        <w:trPr>
          <w:trHeight w:val="480" w:hRule="atLeast"/>
        </w:trPr>
        <w:tc>
          <w:tcPr>
            <w:tcW w:w="1090" w:type="dxa"/>
            <w:vMerge w:val="continue"/>
            <w:tcBorders>
              <w:left w:val="single" w:color="auto" w:sz="8" w:space="0"/>
              <w:right w:val="single" w:color="auto" w:sz="4" w:space="0"/>
            </w:tcBorders>
            <w:vAlign w:val="center"/>
          </w:tcPr>
          <w:p w14:paraId="2F9A7DE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A6E3D94">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080" w:type="dxa"/>
            <w:vMerge w:val="continue"/>
            <w:tcBorders>
              <w:left w:val="single" w:color="auto" w:sz="4" w:space="0"/>
              <w:right w:val="single" w:color="auto" w:sz="4" w:space="0"/>
            </w:tcBorders>
            <w:vAlign w:val="center"/>
          </w:tcPr>
          <w:p w14:paraId="1A46BAAC">
            <w:pPr>
              <w:spacing w:line="320" w:lineRule="exact"/>
              <w:jc w:val="left"/>
              <w:rPr>
                <w:color w:val="000000"/>
                <w:kern w:val="0"/>
                <w:sz w:val="18"/>
                <w:szCs w:val="18"/>
              </w:rPr>
            </w:pPr>
          </w:p>
        </w:tc>
        <w:tc>
          <w:tcPr>
            <w:tcW w:w="5740" w:type="dxa"/>
            <w:tcBorders>
              <w:top w:val="single" w:color="auto" w:sz="8" w:space="0"/>
              <w:left w:val="nil"/>
              <w:bottom w:val="single" w:color="auto" w:sz="8" w:space="0"/>
              <w:right w:val="single" w:color="auto" w:sz="8" w:space="0"/>
            </w:tcBorders>
            <w:vAlign w:val="center"/>
          </w:tcPr>
          <w:p w14:paraId="54CF3B80">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3%-3.5%</w:t>
            </w:r>
            <w:r>
              <w:rPr>
                <w:rFonts w:hint="eastAsia"/>
                <w:color w:val="000000"/>
                <w:kern w:val="0"/>
                <w:sz w:val="18"/>
                <w:szCs w:val="18"/>
              </w:rPr>
              <w:t>罚款</w:t>
            </w:r>
          </w:p>
          <w:p w14:paraId="50A16010">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14:paraId="1A7C7924">
        <w:tblPrEx>
          <w:tblCellMar>
            <w:top w:w="0" w:type="dxa"/>
            <w:left w:w="108" w:type="dxa"/>
            <w:bottom w:w="0" w:type="dxa"/>
            <w:right w:w="108" w:type="dxa"/>
          </w:tblCellMar>
        </w:tblPrEx>
        <w:trPr>
          <w:trHeight w:val="480" w:hRule="atLeast"/>
        </w:trPr>
        <w:tc>
          <w:tcPr>
            <w:tcW w:w="1090" w:type="dxa"/>
            <w:vMerge w:val="continue"/>
            <w:tcBorders>
              <w:left w:val="single" w:color="auto" w:sz="8" w:space="0"/>
              <w:bottom w:val="single" w:color="auto" w:sz="4" w:space="0"/>
              <w:right w:val="single" w:color="auto" w:sz="4" w:space="0"/>
            </w:tcBorders>
            <w:vAlign w:val="center"/>
          </w:tcPr>
          <w:p w14:paraId="694FA13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095DC60">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080" w:type="dxa"/>
            <w:vMerge w:val="continue"/>
            <w:tcBorders>
              <w:left w:val="single" w:color="auto" w:sz="4" w:space="0"/>
              <w:bottom w:val="single" w:color="auto" w:sz="4" w:space="0"/>
              <w:right w:val="single" w:color="auto" w:sz="4" w:space="0"/>
            </w:tcBorders>
            <w:vAlign w:val="center"/>
          </w:tcPr>
          <w:p w14:paraId="0D823637">
            <w:pPr>
              <w:spacing w:line="320" w:lineRule="exact"/>
              <w:jc w:val="left"/>
              <w:rPr>
                <w:color w:val="000000"/>
                <w:kern w:val="0"/>
                <w:sz w:val="18"/>
                <w:szCs w:val="18"/>
              </w:rPr>
            </w:pPr>
          </w:p>
        </w:tc>
        <w:tc>
          <w:tcPr>
            <w:tcW w:w="5740" w:type="dxa"/>
            <w:tcBorders>
              <w:top w:val="single" w:color="auto" w:sz="8" w:space="0"/>
              <w:left w:val="nil"/>
              <w:bottom w:val="single" w:color="auto" w:sz="4" w:space="0"/>
              <w:right w:val="single" w:color="auto" w:sz="8" w:space="0"/>
            </w:tcBorders>
            <w:vAlign w:val="center"/>
          </w:tcPr>
          <w:p w14:paraId="1F361C28">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3.5%-4%</w:t>
            </w:r>
            <w:r>
              <w:rPr>
                <w:rFonts w:hint="eastAsia"/>
                <w:color w:val="000000"/>
                <w:kern w:val="0"/>
                <w:sz w:val="18"/>
                <w:szCs w:val="18"/>
              </w:rPr>
              <w:t>罚款</w:t>
            </w:r>
          </w:p>
          <w:p w14:paraId="4D6D46E3">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9%</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2318C4F6"/>
    <w:p w14:paraId="43743558"/>
    <w:p w14:paraId="62BE2968"/>
    <w:p w14:paraId="00B7E843"/>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194C4598">
        <w:tblPrEx>
          <w:tblCellMar>
            <w:top w:w="0" w:type="dxa"/>
            <w:left w:w="108" w:type="dxa"/>
            <w:bottom w:w="0" w:type="dxa"/>
            <w:right w:w="108" w:type="dxa"/>
          </w:tblCellMar>
        </w:tblPrEx>
        <w:trPr>
          <w:trHeight w:val="284" w:hRule="exact"/>
        </w:trPr>
        <w:tc>
          <w:tcPr>
            <w:tcW w:w="1056" w:type="dxa"/>
            <w:tcBorders>
              <w:top w:val="single" w:color="auto" w:sz="8" w:space="0"/>
              <w:left w:val="single" w:color="auto" w:sz="8" w:space="0"/>
              <w:bottom w:val="single" w:color="auto" w:sz="4" w:space="0"/>
              <w:right w:val="single" w:color="auto" w:sz="4" w:space="0"/>
            </w:tcBorders>
            <w:vAlign w:val="center"/>
          </w:tcPr>
          <w:p w14:paraId="15F0379D">
            <w:pPr>
              <w:spacing w:line="24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36F2FEB8">
            <w:pPr>
              <w:spacing w:line="240" w:lineRule="exact"/>
              <w:jc w:val="left"/>
              <w:rPr>
                <w:rFonts w:eastAsia="仿宋_GB2312"/>
                <w:b/>
                <w:bCs/>
                <w:color w:val="000000"/>
                <w:kern w:val="0"/>
                <w:sz w:val="18"/>
                <w:szCs w:val="18"/>
              </w:rPr>
            </w:pPr>
            <w:r>
              <w:rPr>
                <w:rFonts w:eastAsia="仿宋_GB2312"/>
                <w:b/>
                <w:bCs/>
                <w:color w:val="000000"/>
                <w:kern w:val="0"/>
                <w:sz w:val="18"/>
                <w:szCs w:val="18"/>
              </w:rPr>
              <w:t>320217284000</w:t>
            </w:r>
          </w:p>
        </w:tc>
      </w:tr>
      <w:tr w14:paraId="7AF71B5D">
        <w:tblPrEx>
          <w:tblCellMar>
            <w:top w:w="0" w:type="dxa"/>
            <w:left w:w="108" w:type="dxa"/>
            <w:bottom w:w="0" w:type="dxa"/>
            <w:right w:w="108" w:type="dxa"/>
          </w:tblCellMar>
        </w:tblPrEx>
        <w:trPr>
          <w:trHeight w:val="284" w:hRule="exact"/>
        </w:trPr>
        <w:tc>
          <w:tcPr>
            <w:tcW w:w="1056" w:type="dxa"/>
            <w:tcBorders>
              <w:top w:val="nil"/>
              <w:left w:val="single" w:color="auto" w:sz="8" w:space="0"/>
              <w:bottom w:val="single" w:color="auto" w:sz="4" w:space="0"/>
              <w:right w:val="single" w:color="auto" w:sz="4" w:space="0"/>
            </w:tcBorders>
            <w:vAlign w:val="center"/>
          </w:tcPr>
          <w:p w14:paraId="03B112E2">
            <w:pPr>
              <w:spacing w:line="24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6A82A95F">
            <w:pPr>
              <w:spacing w:line="240" w:lineRule="exact"/>
              <w:jc w:val="left"/>
              <w:rPr>
                <w:color w:val="000000"/>
                <w:kern w:val="0"/>
                <w:sz w:val="18"/>
                <w:szCs w:val="18"/>
              </w:rPr>
            </w:pPr>
            <w:r>
              <w:rPr>
                <w:rFonts w:hint="eastAsia"/>
                <w:color w:val="000000"/>
                <w:kern w:val="0"/>
                <w:sz w:val="18"/>
                <w:szCs w:val="18"/>
              </w:rPr>
              <w:t>对施工单位在施工中偷工减料，使用不合格的建筑材料、建筑构配件和设备，或者有不按照工程设计图纸或者施工技术标准施工的其他行为的处罚</w:t>
            </w:r>
          </w:p>
        </w:tc>
      </w:tr>
      <w:tr w14:paraId="482A7227">
        <w:tblPrEx>
          <w:tblCellMar>
            <w:top w:w="0" w:type="dxa"/>
            <w:left w:w="108" w:type="dxa"/>
            <w:bottom w:w="0" w:type="dxa"/>
            <w:right w:w="108" w:type="dxa"/>
          </w:tblCellMar>
        </w:tblPrEx>
        <w:trPr>
          <w:trHeight w:val="2415" w:hRule="atLeast"/>
        </w:trPr>
        <w:tc>
          <w:tcPr>
            <w:tcW w:w="1056" w:type="dxa"/>
            <w:tcBorders>
              <w:top w:val="nil"/>
              <w:left w:val="single" w:color="auto" w:sz="8" w:space="0"/>
              <w:bottom w:val="single" w:color="auto" w:sz="4" w:space="0"/>
              <w:right w:val="single" w:color="auto" w:sz="4" w:space="0"/>
            </w:tcBorders>
            <w:vAlign w:val="center"/>
          </w:tcPr>
          <w:p w14:paraId="25D4B897">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2986B683">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【行政法规】《建设工程质量管理条例》（国务院令第279号）</w:t>
            </w:r>
          </w:p>
          <w:p w14:paraId="71ED07A2">
            <w:pPr>
              <w:spacing w:line="260" w:lineRule="exact"/>
              <w:jc w:val="left"/>
              <w:rPr>
                <w:color w:val="000000"/>
                <w:kern w:val="0"/>
                <w:sz w:val="18"/>
                <w:szCs w:val="18"/>
              </w:rPr>
            </w:pPr>
            <w:r>
              <w:rPr>
                <w:rFonts w:hint="eastAsia"/>
                <w:color w:val="000000"/>
                <w:kern w:val="0"/>
                <w:sz w:val="18"/>
                <w:szCs w:val="18"/>
              </w:rPr>
              <w:t xml:space="preserve">         第二十八条第一款  施工单位必须按照工程设计图纸和施工技术标准施工，不得擅自修改工程设计，不得偷工减料。</w:t>
            </w:r>
          </w:p>
          <w:p w14:paraId="16FCEDCB">
            <w:pPr>
              <w:spacing w:line="260" w:lineRule="exact"/>
              <w:jc w:val="left"/>
              <w:rPr>
                <w:color w:val="000000"/>
                <w:kern w:val="0"/>
                <w:sz w:val="18"/>
                <w:szCs w:val="18"/>
              </w:rPr>
            </w:pPr>
            <w:r>
              <w:rPr>
                <w:rFonts w:hint="eastAsia"/>
                <w:color w:val="000000"/>
                <w:kern w:val="0"/>
                <w:sz w:val="18"/>
                <w:szCs w:val="18"/>
              </w:rPr>
              <w:t xml:space="preserve">        第二十九条　施工单位必须按照工程设计要求、施工技术标准和合同约定，对建筑材料、建筑构配件、设备和商品混凝土进行检验，检验应当有书面记录和专人签字；未经检验或者检验不合格的，不得使用。</w:t>
            </w:r>
          </w:p>
          <w:p w14:paraId="427C1749">
            <w:pPr>
              <w:spacing w:line="260" w:lineRule="exact"/>
              <w:jc w:val="left"/>
              <w:rPr>
                <w:color w:val="000000"/>
                <w:kern w:val="0"/>
                <w:sz w:val="18"/>
                <w:szCs w:val="18"/>
              </w:rPr>
            </w:pPr>
            <w:r>
              <w:rPr>
                <w:rFonts w:hint="eastAsia"/>
                <w:color w:val="000000"/>
                <w:kern w:val="0"/>
                <w:sz w:val="18"/>
                <w:szCs w:val="18"/>
              </w:rPr>
              <w:t xml:space="preserve">        第六十四条 违反本条例规定，施工单位在施工中偷工减料的，使用不合格的建筑材料、建筑构配件和设备的，或者有不按照工程设计图纸或者施工技术标准施工的其他行为的，责令改正，处工程合同价款2％以上4％以下的罚款；造成建设工程质量不符合规定的质量标准的，负责返工、修理，并赔偿因此造成的损失；情节严重的，责令停业整顿，降低资质等级或者吊销资质证书。</w:t>
            </w:r>
          </w:p>
          <w:p w14:paraId="19F51FCB">
            <w:pPr>
              <w:spacing w:line="260" w:lineRule="exact"/>
              <w:jc w:val="left"/>
              <w:rPr>
                <w:color w:val="000000"/>
                <w:kern w:val="0"/>
                <w:sz w:val="18"/>
                <w:szCs w:val="18"/>
              </w:rPr>
            </w:pPr>
            <w:r>
              <w:rPr>
                <w:rFonts w:hint="eastAsia"/>
                <w:color w:val="000000"/>
                <w:kern w:val="0"/>
                <w:sz w:val="18"/>
                <w:szCs w:val="18"/>
              </w:rPr>
              <w:t xml:space="preserve">        第七十三条 依照本条例规定，给予单位罚款处罚的，对单位直接负责的主管人员和其他直接责任人员处单位罚款数额５％以上１０％以下的罚款。</w:t>
            </w:r>
          </w:p>
          <w:p w14:paraId="1F6D25B7">
            <w:pPr>
              <w:spacing w:line="260" w:lineRule="exact"/>
              <w:jc w:val="left"/>
              <w:rPr>
                <w:color w:val="000000"/>
                <w:kern w:val="0"/>
                <w:sz w:val="18"/>
                <w:szCs w:val="18"/>
              </w:rPr>
            </w:pPr>
            <w:r>
              <w:rPr>
                <w:rFonts w:hint="eastAsia"/>
                <w:color w:val="000000"/>
                <w:kern w:val="0"/>
                <w:sz w:val="18"/>
                <w:szCs w:val="18"/>
              </w:rPr>
              <w:t xml:space="preserve">        第七十五条第一款  本条例规定的责令停业整顿、降低资质等级和吊销资质证书的行政处罚，由颁发资质证书的机关决定；其他行政处罚，由建设行政主管部门或者其他有关部门依照法定职权决定。</w:t>
            </w:r>
          </w:p>
          <w:p w14:paraId="3FFF24BF">
            <w:pPr>
              <w:spacing w:line="260" w:lineRule="exact"/>
              <w:jc w:val="left"/>
              <w:rPr>
                <w:color w:val="000000"/>
                <w:kern w:val="0"/>
                <w:sz w:val="18"/>
                <w:szCs w:val="18"/>
              </w:rPr>
            </w:pPr>
            <w:r>
              <w:rPr>
                <w:rFonts w:hint="eastAsia"/>
                <w:color w:val="000000"/>
                <w:kern w:val="0"/>
                <w:sz w:val="18"/>
                <w:szCs w:val="18"/>
              </w:rPr>
              <w:t>【行政法规】《民用建筑节能条例》（国务院令第530号）</w:t>
            </w:r>
          </w:p>
          <w:p w14:paraId="217462FD">
            <w:pPr>
              <w:spacing w:line="260" w:lineRule="exact"/>
              <w:jc w:val="left"/>
              <w:rPr>
                <w:color w:val="000000"/>
                <w:kern w:val="0"/>
                <w:sz w:val="18"/>
                <w:szCs w:val="18"/>
              </w:rPr>
            </w:pPr>
            <w:r>
              <w:rPr>
                <w:rFonts w:hint="eastAsia"/>
                <w:color w:val="000000"/>
                <w:kern w:val="0"/>
                <w:sz w:val="18"/>
                <w:szCs w:val="18"/>
              </w:rPr>
              <w:t xml:space="preserve">　　第十五条　设计单位、施工单位、工程监理单位及其注册执业人员，应当按照民用建筑节能强制性标准进行设计、施工、监理。 </w:t>
            </w:r>
          </w:p>
          <w:p w14:paraId="698F673F">
            <w:pPr>
              <w:spacing w:line="260" w:lineRule="exact"/>
              <w:jc w:val="left"/>
              <w:rPr>
                <w:color w:val="000000"/>
                <w:kern w:val="0"/>
                <w:sz w:val="18"/>
                <w:szCs w:val="18"/>
              </w:rPr>
            </w:pPr>
            <w:r>
              <w:rPr>
                <w:rFonts w:hint="eastAsia"/>
                <w:color w:val="000000"/>
                <w:kern w:val="0"/>
                <w:sz w:val="18"/>
                <w:szCs w:val="18"/>
              </w:rPr>
              <w:t>　　第四十条　违反本条例规定，施工单位未按照民用建筑节能强制性标准进行施工的，由县级以上地方人民政府建设主管部门责令改正，处民用建筑项目合同价款2%以上4%以下的罚款；情节严重的，由颁发资质证书的部门责令停业整顿，降低资质等级或者吊销资质证书；造成损失的，依法承担赔偿责任。</w:t>
            </w:r>
          </w:p>
          <w:p w14:paraId="606BCCBC">
            <w:pPr>
              <w:spacing w:line="260" w:lineRule="exact"/>
              <w:jc w:val="left"/>
              <w:rPr>
                <w:color w:val="000000"/>
                <w:kern w:val="0"/>
                <w:sz w:val="18"/>
                <w:szCs w:val="18"/>
              </w:rPr>
            </w:pPr>
            <w:r>
              <w:rPr>
                <w:rFonts w:hint="eastAsia"/>
                <w:color w:val="000000"/>
                <w:kern w:val="0"/>
                <w:sz w:val="18"/>
                <w:szCs w:val="18"/>
              </w:rPr>
              <w:t>【行政法规】《建设工程抗震管理条例》(国务院令第744号）</w:t>
            </w:r>
          </w:p>
          <w:p w14:paraId="245BE0D5">
            <w:pPr>
              <w:spacing w:line="260" w:lineRule="exact"/>
              <w:jc w:val="left"/>
              <w:rPr>
                <w:color w:val="000000"/>
                <w:kern w:val="0"/>
                <w:sz w:val="18"/>
                <w:szCs w:val="18"/>
              </w:rPr>
            </w:pPr>
            <w:r>
              <w:rPr>
                <w:rFonts w:hint="eastAsia"/>
                <w:color w:val="000000"/>
                <w:kern w:val="0"/>
                <w:sz w:val="18"/>
                <w:szCs w:val="18"/>
              </w:rPr>
              <w:t xml:space="preserve">       第十四条第三款 施工单位应当按照抗震设防强制性标准进行施工。</w:t>
            </w:r>
          </w:p>
          <w:p w14:paraId="5F50D728">
            <w:pPr>
              <w:spacing w:line="260" w:lineRule="exact"/>
              <w:jc w:val="left"/>
              <w:rPr>
                <w:color w:val="000000"/>
                <w:kern w:val="0"/>
                <w:sz w:val="18"/>
                <w:szCs w:val="18"/>
              </w:rPr>
            </w:pPr>
            <w:r>
              <w:rPr>
                <w:rFonts w:hint="eastAsia"/>
                <w:color w:val="000000"/>
                <w:kern w:val="0"/>
                <w:sz w:val="18"/>
                <w:szCs w:val="18"/>
              </w:rPr>
              <w:t xml:space="preserve">       第四十二条　违反本条例规定，施工单位在施工中未按照抗震设防强制性标准进行施工的，责令改正，处工程合同价款2%以上4%以下的罚款；造成建设工程不符合抗震设防强制性标准的，负责返工、加固，并赔偿因此造成的损失；情节严重的，责令停业整顿，降低资质等级或者吊销资质证书。</w:t>
            </w:r>
          </w:p>
          <w:p w14:paraId="140387C5">
            <w:pPr>
              <w:spacing w:line="26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192DCF24">
            <w:pPr>
              <w:spacing w:line="26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p w14:paraId="45F367A8">
            <w:pPr>
              <w:spacing w:line="260" w:lineRule="exact"/>
              <w:jc w:val="left"/>
              <w:rPr>
                <w:color w:val="000000"/>
                <w:kern w:val="0"/>
                <w:sz w:val="18"/>
                <w:szCs w:val="18"/>
              </w:rPr>
            </w:pPr>
            <w:r>
              <w:rPr>
                <w:rFonts w:hint="eastAsia"/>
                <w:color w:val="000000"/>
                <w:kern w:val="0"/>
                <w:sz w:val="18"/>
                <w:szCs w:val="18"/>
              </w:rPr>
              <w:t>【规章】《建筑业企业资质管理规定》（住房和城乡建设部令第22号）</w:t>
            </w:r>
          </w:p>
          <w:p w14:paraId="25F4606E">
            <w:pPr>
              <w:spacing w:line="260" w:lineRule="exact"/>
              <w:jc w:val="left"/>
              <w:rPr>
                <w:color w:val="000000"/>
                <w:kern w:val="0"/>
                <w:sz w:val="18"/>
                <w:szCs w:val="18"/>
              </w:rPr>
            </w:pPr>
            <w:r>
              <w:rPr>
                <w:rFonts w:hint="eastAsia"/>
                <w:color w:val="000000"/>
                <w:kern w:val="0"/>
                <w:sz w:val="18"/>
                <w:szCs w:val="18"/>
              </w:rPr>
              <w:t xml:space="preserve">         第二十三条　企业申请建筑业企业资质升级、资质增项，在申请之日起前一年至资质许可决定作出前，有下列情形之一的，资质许可机关不予批准其建筑业企业资质升级申请和增项申请：</w:t>
            </w:r>
          </w:p>
          <w:p w14:paraId="799C5D3D">
            <w:pPr>
              <w:spacing w:line="260" w:lineRule="exact"/>
              <w:jc w:val="left"/>
              <w:rPr>
                <w:color w:val="000000"/>
                <w:kern w:val="0"/>
                <w:sz w:val="18"/>
                <w:szCs w:val="18"/>
              </w:rPr>
            </w:pPr>
            <w:r>
              <w:rPr>
                <w:rFonts w:hint="eastAsia"/>
                <w:color w:val="000000"/>
                <w:kern w:val="0"/>
                <w:sz w:val="18"/>
                <w:szCs w:val="18"/>
              </w:rPr>
              <w:t>　   （五）违反国家工程建设强制性标准施工的；</w:t>
            </w:r>
          </w:p>
          <w:p w14:paraId="1FD7A299">
            <w:pPr>
              <w:spacing w:line="260" w:lineRule="exact"/>
              <w:ind w:firstLine="360" w:firstLineChars="200"/>
              <w:jc w:val="left"/>
              <w:rPr>
                <w:color w:val="000000"/>
                <w:kern w:val="0"/>
                <w:sz w:val="18"/>
                <w:szCs w:val="18"/>
              </w:rPr>
            </w:pPr>
            <w:r>
              <w:rPr>
                <w:rFonts w:hint="eastAsia"/>
                <w:color w:val="000000"/>
                <w:kern w:val="0"/>
                <w:sz w:val="18"/>
                <w:szCs w:val="18"/>
              </w:rPr>
              <w:t xml:space="preserve">  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r>
      <w:tr w14:paraId="58FB0F4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46FBB49">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5B0E6EE1">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14:paraId="40859888">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1961FE3D">
            <w:pPr>
              <w:spacing w:line="320" w:lineRule="exact"/>
              <w:jc w:val="center"/>
              <w:rPr>
                <w:color w:val="000000"/>
                <w:kern w:val="0"/>
                <w:sz w:val="18"/>
                <w:szCs w:val="18"/>
              </w:rPr>
            </w:pPr>
            <w:r>
              <w:rPr>
                <w:rFonts w:hint="eastAsia"/>
                <w:color w:val="000000"/>
                <w:kern w:val="0"/>
                <w:sz w:val="18"/>
                <w:szCs w:val="18"/>
              </w:rPr>
              <w:t>裁量基准</w:t>
            </w:r>
          </w:p>
        </w:tc>
      </w:tr>
      <w:tr w14:paraId="775E0FFA">
        <w:tblPrEx>
          <w:tblCellMar>
            <w:top w:w="0" w:type="dxa"/>
            <w:left w:w="108" w:type="dxa"/>
            <w:bottom w:w="0" w:type="dxa"/>
            <w:right w:w="108" w:type="dxa"/>
          </w:tblCellMar>
        </w:tblPrEx>
        <w:trPr>
          <w:trHeight w:val="480" w:hRule="atLeast"/>
        </w:trPr>
        <w:tc>
          <w:tcPr>
            <w:tcW w:w="1056" w:type="dxa"/>
            <w:vMerge w:val="restart"/>
            <w:tcBorders>
              <w:top w:val="nil"/>
              <w:left w:val="single" w:color="auto" w:sz="8" w:space="0"/>
              <w:bottom w:val="single" w:color="auto" w:sz="4" w:space="0"/>
              <w:right w:val="single" w:color="auto" w:sz="4" w:space="0"/>
            </w:tcBorders>
            <w:vAlign w:val="center"/>
          </w:tcPr>
          <w:p w14:paraId="42782AB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1893F3C">
            <w:pPr>
              <w:spacing w:line="320" w:lineRule="exact"/>
              <w:jc w:val="left"/>
              <w:rPr>
                <w:color w:val="000000"/>
                <w:kern w:val="0"/>
                <w:sz w:val="18"/>
                <w:szCs w:val="18"/>
              </w:rPr>
            </w:pPr>
            <w:r>
              <w:rPr>
                <w:rFonts w:hint="eastAsia"/>
                <w:color w:val="000000"/>
                <w:kern w:val="0"/>
                <w:sz w:val="18"/>
                <w:szCs w:val="18"/>
              </w:rPr>
              <w:t>在非主体、非关键部分的</w:t>
            </w:r>
          </w:p>
        </w:tc>
        <w:tc>
          <w:tcPr>
            <w:tcW w:w="1044" w:type="dxa"/>
            <w:vMerge w:val="restart"/>
            <w:tcBorders>
              <w:top w:val="nil"/>
              <w:left w:val="single" w:color="auto" w:sz="4" w:space="0"/>
              <w:bottom w:val="single" w:color="auto" w:sz="4" w:space="0"/>
              <w:right w:val="single" w:color="auto" w:sz="4" w:space="0"/>
            </w:tcBorders>
            <w:vAlign w:val="center"/>
          </w:tcPr>
          <w:p w14:paraId="7793E817">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13D6346E">
            <w:pPr>
              <w:spacing w:line="240" w:lineRule="exact"/>
              <w:jc w:val="left"/>
              <w:rPr>
                <w:color w:val="000000"/>
                <w:kern w:val="0"/>
                <w:sz w:val="18"/>
                <w:szCs w:val="18"/>
              </w:rPr>
            </w:pPr>
            <w:r>
              <w:rPr>
                <w:rFonts w:hint="eastAsia"/>
                <w:color w:val="000000"/>
                <w:kern w:val="0"/>
                <w:sz w:val="18"/>
                <w:szCs w:val="18"/>
              </w:rPr>
              <w:t>对单位：工程合同价款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14:paraId="7609C09E">
            <w:pPr>
              <w:spacing w:line="24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26F094CA">
        <w:tblPrEx>
          <w:tblCellMar>
            <w:top w:w="0" w:type="dxa"/>
            <w:left w:w="108" w:type="dxa"/>
            <w:bottom w:w="0" w:type="dxa"/>
            <w:right w:w="108" w:type="dxa"/>
          </w:tblCellMar>
        </w:tblPrEx>
        <w:trPr>
          <w:trHeight w:val="480" w:hRule="atLeast"/>
        </w:trPr>
        <w:tc>
          <w:tcPr>
            <w:tcW w:w="1056" w:type="dxa"/>
            <w:vMerge w:val="continue"/>
            <w:tcBorders>
              <w:top w:val="nil"/>
              <w:left w:val="single" w:color="auto" w:sz="8" w:space="0"/>
              <w:bottom w:val="single" w:color="auto" w:sz="4" w:space="0"/>
              <w:right w:val="single" w:color="auto" w:sz="4" w:space="0"/>
            </w:tcBorders>
            <w:vAlign w:val="center"/>
          </w:tcPr>
          <w:p w14:paraId="701F62E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1C33F91">
            <w:pPr>
              <w:spacing w:line="320" w:lineRule="exact"/>
              <w:jc w:val="left"/>
              <w:rPr>
                <w:color w:val="000000"/>
                <w:kern w:val="0"/>
                <w:sz w:val="18"/>
                <w:szCs w:val="18"/>
              </w:rPr>
            </w:pPr>
            <w:r>
              <w:rPr>
                <w:rFonts w:hint="eastAsia"/>
                <w:color w:val="000000"/>
                <w:kern w:val="0"/>
                <w:sz w:val="18"/>
                <w:szCs w:val="18"/>
              </w:rPr>
              <w:t>在主体或关键部分的</w:t>
            </w:r>
          </w:p>
        </w:tc>
        <w:tc>
          <w:tcPr>
            <w:tcW w:w="1044" w:type="dxa"/>
            <w:vMerge w:val="continue"/>
            <w:tcBorders>
              <w:top w:val="nil"/>
              <w:left w:val="single" w:color="auto" w:sz="4" w:space="0"/>
              <w:bottom w:val="single" w:color="auto" w:sz="4" w:space="0"/>
              <w:right w:val="single" w:color="auto" w:sz="4" w:space="0"/>
            </w:tcBorders>
            <w:vAlign w:val="center"/>
          </w:tcPr>
          <w:p w14:paraId="2A2A9AB4">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319EC98">
            <w:pPr>
              <w:spacing w:line="240" w:lineRule="exact"/>
              <w:jc w:val="left"/>
              <w:rPr>
                <w:color w:val="000000"/>
                <w:kern w:val="0"/>
                <w:sz w:val="18"/>
                <w:szCs w:val="18"/>
              </w:rPr>
            </w:pPr>
            <w:r>
              <w:rPr>
                <w:rFonts w:hint="eastAsia"/>
                <w:color w:val="000000"/>
                <w:kern w:val="0"/>
                <w:sz w:val="18"/>
                <w:szCs w:val="18"/>
              </w:rPr>
              <w:t>对单位：工程合同价款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以下罚款，责令停业整顿，降低资质等级</w:t>
            </w:r>
          </w:p>
          <w:p w14:paraId="1C331A68">
            <w:pPr>
              <w:spacing w:line="24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1131FD6F">
        <w:tblPrEx>
          <w:tblCellMar>
            <w:top w:w="0" w:type="dxa"/>
            <w:left w:w="108" w:type="dxa"/>
            <w:bottom w:w="0" w:type="dxa"/>
            <w:right w:w="108" w:type="dxa"/>
          </w:tblCellMar>
        </w:tblPrEx>
        <w:trPr>
          <w:trHeight w:val="720" w:hRule="atLeast"/>
        </w:trPr>
        <w:tc>
          <w:tcPr>
            <w:tcW w:w="1056" w:type="dxa"/>
            <w:vMerge w:val="continue"/>
            <w:tcBorders>
              <w:top w:val="nil"/>
              <w:left w:val="single" w:color="auto" w:sz="8" w:space="0"/>
              <w:bottom w:val="single" w:color="auto" w:sz="4" w:space="0"/>
              <w:right w:val="single" w:color="auto" w:sz="4" w:space="0"/>
            </w:tcBorders>
            <w:vAlign w:val="center"/>
          </w:tcPr>
          <w:p w14:paraId="20ABCD5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805F6AD">
            <w:pPr>
              <w:spacing w:line="320" w:lineRule="exact"/>
              <w:jc w:val="left"/>
              <w:rPr>
                <w:color w:val="000000"/>
                <w:kern w:val="0"/>
                <w:sz w:val="18"/>
                <w:szCs w:val="18"/>
              </w:rPr>
            </w:pPr>
            <w:r>
              <w:rPr>
                <w:rFonts w:hint="eastAsia"/>
                <w:color w:val="000000"/>
                <w:kern w:val="0"/>
                <w:sz w:val="18"/>
                <w:szCs w:val="18"/>
              </w:rPr>
              <w:t>在主体和关键部分或造成质量事故的</w:t>
            </w:r>
          </w:p>
        </w:tc>
        <w:tc>
          <w:tcPr>
            <w:tcW w:w="1044" w:type="dxa"/>
            <w:vMerge w:val="continue"/>
            <w:tcBorders>
              <w:top w:val="nil"/>
              <w:left w:val="single" w:color="auto" w:sz="4" w:space="0"/>
              <w:bottom w:val="single" w:color="auto" w:sz="4" w:space="0"/>
              <w:right w:val="single" w:color="auto" w:sz="4" w:space="0"/>
            </w:tcBorders>
            <w:vAlign w:val="center"/>
          </w:tcPr>
          <w:p w14:paraId="38E779D3">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4A49B01">
            <w:pPr>
              <w:spacing w:line="240" w:lineRule="exact"/>
              <w:jc w:val="left"/>
              <w:rPr>
                <w:color w:val="000000"/>
                <w:kern w:val="0"/>
                <w:sz w:val="18"/>
                <w:szCs w:val="18"/>
              </w:rPr>
            </w:pPr>
            <w:r>
              <w:rPr>
                <w:rFonts w:hint="eastAsia"/>
                <w:color w:val="000000"/>
                <w:kern w:val="0"/>
                <w:sz w:val="18"/>
                <w:szCs w:val="18"/>
              </w:rPr>
              <w:t>对单位：工程合同价款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以下罚款，责令停业整顿，降低资质等级或者吊销资质证书</w:t>
            </w:r>
          </w:p>
          <w:p w14:paraId="481F7247">
            <w:pPr>
              <w:spacing w:line="24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6244C13C"/>
    <w:p w14:paraId="2DC3ACD4"/>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482FD0F3">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4085FC4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2AE8018D">
            <w:pPr>
              <w:spacing w:line="320" w:lineRule="exact"/>
              <w:jc w:val="left"/>
              <w:rPr>
                <w:rFonts w:eastAsia="仿宋_GB2312"/>
                <w:b/>
                <w:color w:val="000000"/>
                <w:sz w:val="20"/>
              </w:rPr>
            </w:pPr>
            <w:r>
              <w:rPr>
                <w:rFonts w:eastAsia="仿宋_GB2312"/>
                <w:b/>
                <w:color w:val="000000"/>
                <w:sz w:val="20"/>
              </w:rPr>
              <w:t>320217285000</w:t>
            </w:r>
          </w:p>
        </w:tc>
      </w:tr>
      <w:tr w14:paraId="712BD420">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7DD4CC13">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27F53EBC">
            <w:pPr>
              <w:jc w:val="left"/>
              <w:rPr>
                <w:color w:val="000000"/>
                <w:sz w:val="20"/>
              </w:rPr>
            </w:pPr>
            <w:r>
              <w:rPr>
                <w:rFonts w:hint="eastAsia"/>
                <w:color w:val="000000"/>
                <w:sz w:val="20"/>
              </w:rPr>
              <w:t>对未按照规定委托具有相应资格的机构对城市桥梁进行检测评估的处罚</w:t>
            </w:r>
          </w:p>
        </w:tc>
      </w:tr>
      <w:tr w14:paraId="6E2094E5">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41DADE7E">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781DC35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【规章】《城市桥梁检测和养护维修管理办法》（建设部令第118号）</w:t>
            </w:r>
          </w:p>
          <w:p w14:paraId="0CD23690">
            <w:pPr>
              <w:spacing w:line="320" w:lineRule="exact"/>
              <w:jc w:val="left"/>
              <w:rPr>
                <w:color w:val="000000"/>
                <w:kern w:val="0"/>
                <w:sz w:val="18"/>
                <w:szCs w:val="18"/>
              </w:rPr>
            </w:pPr>
            <w:r>
              <w:rPr>
                <w:rFonts w:hint="eastAsia"/>
                <w:color w:val="000000"/>
                <w:kern w:val="0"/>
                <w:sz w:val="18"/>
                <w:szCs w:val="18"/>
              </w:rPr>
              <w:t xml:space="preserve">        第二十一条 城市桥梁产权人或者委托管理人应当委托具有相应资格的城市桥梁检测评估机构进行城市桥梁的检测评估。  </w:t>
            </w:r>
          </w:p>
          <w:p w14:paraId="7A50F9B0">
            <w:pPr>
              <w:spacing w:line="320" w:lineRule="exact"/>
              <w:jc w:val="left"/>
              <w:rPr>
                <w:color w:val="000000"/>
                <w:kern w:val="0"/>
                <w:sz w:val="18"/>
                <w:szCs w:val="18"/>
              </w:rPr>
            </w:pPr>
            <w:r>
              <w:rPr>
                <w:rFonts w:hint="eastAsia"/>
                <w:color w:val="000000"/>
                <w:kern w:val="0"/>
                <w:sz w:val="18"/>
                <w:szCs w:val="18"/>
              </w:rPr>
              <w:t xml:space="preserve">        第二十五条    城市桥梁产权人或者委托管理人有下列行为之一的，由城市人民政府市政工程设施行政主管部门责令限期改正，并可处1000元以上5000元以下的罚款：</w:t>
            </w:r>
          </w:p>
          <w:p w14:paraId="6502E04F">
            <w:pPr>
              <w:spacing w:line="320" w:lineRule="exact"/>
              <w:jc w:val="left"/>
              <w:rPr>
                <w:color w:val="000000"/>
                <w:sz w:val="20"/>
              </w:rPr>
            </w:pPr>
            <w:r>
              <w:rPr>
                <w:rFonts w:hint="eastAsia"/>
                <w:color w:val="000000"/>
                <w:kern w:val="0"/>
                <w:sz w:val="18"/>
                <w:szCs w:val="18"/>
              </w:rPr>
              <w:t xml:space="preserve">      （三）未按照规定委托具有相应资格的机构对城市桥梁进行检测评估的；</w:t>
            </w:r>
          </w:p>
        </w:tc>
      </w:tr>
      <w:tr w14:paraId="4219EB52">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AF7F7E7">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6ABBDF4F">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1F1312CD">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381C24F2">
            <w:pPr>
              <w:spacing w:line="320" w:lineRule="exact"/>
              <w:jc w:val="center"/>
              <w:rPr>
                <w:color w:val="000000"/>
                <w:kern w:val="0"/>
                <w:sz w:val="18"/>
                <w:szCs w:val="18"/>
              </w:rPr>
            </w:pPr>
            <w:r>
              <w:rPr>
                <w:rFonts w:hint="eastAsia"/>
                <w:color w:val="000000"/>
                <w:kern w:val="0"/>
                <w:sz w:val="18"/>
                <w:szCs w:val="18"/>
              </w:rPr>
              <w:t>裁量基准</w:t>
            </w:r>
          </w:p>
        </w:tc>
      </w:tr>
      <w:tr w14:paraId="4AE50655">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15881E0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6663A88">
            <w:pPr>
              <w:spacing w:line="320" w:lineRule="exact"/>
              <w:jc w:val="left"/>
              <w:rPr>
                <w:color w:val="000000"/>
                <w:kern w:val="0"/>
                <w:sz w:val="18"/>
                <w:szCs w:val="18"/>
              </w:rPr>
            </w:pPr>
            <w:r>
              <w:rPr>
                <w:rFonts w:hint="eastAsia"/>
                <w:color w:val="000000"/>
                <w:kern w:val="0"/>
                <w:sz w:val="18"/>
                <w:szCs w:val="18"/>
              </w:rPr>
              <w:t>委托不具备相应资格的机构进行检测评估的</w:t>
            </w:r>
          </w:p>
        </w:tc>
        <w:tc>
          <w:tcPr>
            <w:tcW w:w="1080" w:type="dxa"/>
            <w:vMerge w:val="restart"/>
            <w:tcBorders>
              <w:top w:val="nil"/>
              <w:left w:val="single" w:color="auto" w:sz="4" w:space="0"/>
              <w:right w:val="single" w:color="auto" w:sz="4" w:space="0"/>
            </w:tcBorders>
            <w:vAlign w:val="center"/>
          </w:tcPr>
          <w:p w14:paraId="0A0BF04B">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FE0782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6A8D1F58">
        <w:tblPrEx>
          <w:tblCellMar>
            <w:top w:w="0" w:type="dxa"/>
            <w:left w:w="108" w:type="dxa"/>
            <w:bottom w:w="0" w:type="dxa"/>
            <w:right w:w="108" w:type="dxa"/>
          </w:tblCellMar>
        </w:tblPrEx>
        <w:trPr>
          <w:trHeight w:val="165" w:hRule="atLeast"/>
        </w:trPr>
        <w:tc>
          <w:tcPr>
            <w:tcW w:w="1070" w:type="dxa"/>
            <w:vMerge w:val="continue"/>
            <w:tcBorders>
              <w:left w:val="single" w:color="auto" w:sz="8" w:space="0"/>
              <w:bottom w:val="single" w:color="auto" w:sz="4" w:space="0"/>
              <w:right w:val="single" w:color="auto" w:sz="4" w:space="0"/>
            </w:tcBorders>
            <w:vAlign w:val="center"/>
          </w:tcPr>
          <w:p w14:paraId="10DA8B6A">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53B2117">
            <w:pPr>
              <w:spacing w:line="320" w:lineRule="exact"/>
              <w:jc w:val="left"/>
              <w:rPr>
                <w:color w:val="000000"/>
                <w:kern w:val="0"/>
                <w:sz w:val="18"/>
                <w:szCs w:val="18"/>
              </w:rPr>
            </w:pPr>
            <w:r>
              <w:rPr>
                <w:rFonts w:hint="eastAsia"/>
                <w:color w:val="000000"/>
                <w:kern w:val="0"/>
                <w:sz w:val="18"/>
                <w:szCs w:val="18"/>
              </w:rPr>
              <w:t>未进行检测评估的</w:t>
            </w:r>
          </w:p>
        </w:tc>
        <w:tc>
          <w:tcPr>
            <w:tcW w:w="1080" w:type="dxa"/>
            <w:vMerge w:val="continue"/>
            <w:tcBorders>
              <w:left w:val="single" w:color="auto" w:sz="4" w:space="0"/>
              <w:bottom w:val="single" w:color="auto" w:sz="4" w:space="0"/>
              <w:right w:val="single" w:color="auto" w:sz="4" w:space="0"/>
            </w:tcBorders>
            <w:vAlign w:val="center"/>
          </w:tcPr>
          <w:p w14:paraId="32A50E83">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7472159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万元以上</w:t>
            </w:r>
            <w:r>
              <w:rPr>
                <w:color w:val="000000"/>
                <w:kern w:val="0"/>
                <w:sz w:val="18"/>
                <w:szCs w:val="18"/>
              </w:rPr>
              <w:t>5000</w:t>
            </w:r>
            <w:r>
              <w:rPr>
                <w:rFonts w:hint="eastAsia"/>
                <w:color w:val="000000"/>
                <w:kern w:val="0"/>
                <w:sz w:val="18"/>
                <w:szCs w:val="18"/>
              </w:rPr>
              <w:t>元以下罚款</w:t>
            </w:r>
          </w:p>
        </w:tc>
      </w:tr>
    </w:tbl>
    <w:p w14:paraId="53C68CB1"/>
    <w:p w14:paraId="0604BCE3"/>
    <w:p w14:paraId="0EFED6E8"/>
    <w:p w14:paraId="3CACC673"/>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7D3A6115">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704C9F0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0B81FA97">
            <w:pPr>
              <w:spacing w:line="320" w:lineRule="exact"/>
              <w:jc w:val="left"/>
              <w:rPr>
                <w:rFonts w:eastAsia="仿宋_GB2312"/>
                <w:b/>
                <w:color w:val="000000"/>
                <w:sz w:val="20"/>
              </w:rPr>
            </w:pPr>
            <w:r>
              <w:rPr>
                <w:rFonts w:eastAsia="仿宋_GB2312"/>
                <w:b/>
                <w:color w:val="000000"/>
                <w:sz w:val="20"/>
              </w:rPr>
              <w:t>320217286000</w:t>
            </w:r>
          </w:p>
        </w:tc>
      </w:tr>
      <w:tr w14:paraId="78F642C8">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79D12C7A">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194BDA0B">
            <w:pPr>
              <w:jc w:val="left"/>
              <w:rPr>
                <w:color w:val="000000"/>
                <w:sz w:val="20"/>
              </w:rPr>
            </w:pPr>
            <w:r>
              <w:rPr>
                <w:rFonts w:hint="eastAsia"/>
                <w:color w:val="000000"/>
                <w:sz w:val="20"/>
              </w:rPr>
              <w:t>对未按照规定制定城市桥梁的安全抢险预备方案的处罚</w:t>
            </w:r>
          </w:p>
        </w:tc>
      </w:tr>
      <w:tr w14:paraId="0F9A858E">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34C3E283">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084D902D">
            <w:pPr>
              <w:spacing w:line="320" w:lineRule="exact"/>
              <w:jc w:val="left"/>
              <w:rPr>
                <w:color w:val="000000"/>
                <w:sz w:val="20"/>
              </w:rPr>
            </w:pPr>
            <w:r>
              <w:rPr>
                <w:rFonts w:hint="eastAsia"/>
                <w:color w:val="000000"/>
                <w:sz w:val="20"/>
              </w:rPr>
              <w:t>【规章】《城市桥梁检测和养护维修管理办法》（建设部令第118号）</w:t>
            </w:r>
          </w:p>
          <w:p w14:paraId="5814CCE1">
            <w:pPr>
              <w:spacing w:line="320" w:lineRule="exact"/>
              <w:jc w:val="left"/>
              <w:rPr>
                <w:color w:val="000000"/>
                <w:sz w:val="20"/>
              </w:rPr>
            </w:pPr>
            <w:r>
              <w:rPr>
                <w:rFonts w:hint="eastAsia"/>
                <w:color w:val="000000"/>
                <w:sz w:val="20"/>
              </w:rPr>
              <w:t xml:space="preserve">第十九条 城市桥梁产权人或者委托管理人应当制定所负责管理的城市桥梁的安全抢险预备方案，明确固定的抢险队伍，并签订安全责任书，确定安全责任人。  </w:t>
            </w:r>
          </w:p>
          <w:p w14:paraId="5DDF6DEC">
            <w:pPr>
              <w:spacing w:line="320" w:lineRule="exact"/>
              <w:jc w:val="left"/>
              <w:rPr>
                <w:color w:val="000000"/>
                <w:sz w:val="20"/>
              </w:rPr>
            </w:pPr>
            <w:r>
              <w:rPr>
                <w:rFonts w:hint="eastAsia"/>
                <w:color w:val="000000"/>
                <w:sz w:val="20"/>
              </w:rPr>
              <w:t>第二十五条  城市桥梁产权人或者委托管理人有下列行为之一的，由城市人民政府市政工程设施行政主管部门责令限期改正，并可处1000元以上5000元以下的罚款：（四）未按照规定制定城市桥梁的安全抢险预备方案的；</w:t>
            </w:r>
          </w:p>
        </w:tc>
      </w:tr>
      <w:tr w14:paraId="30277EC8">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713D6DF">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463D9CF6">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14EF9979">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0353CBD1">
            <w:pPr>
              <w:spacing w:line="320" w:lineRule="exact"/>
              <w:jc w:val="center"/>
              <w:rPr>
                <w:color w:val="000000"/>
                <w:kern w:val="0"/>
                <w:sz w:val="18"/>
                <w:szCs w:val="18"/>
              </w:rPr>
            </w:pPr>
            <w:r>
              <w:rPr>
                <w:rFonts w:hint="eastAsia"/>
                <w:color w:val="000000"/>
                <w:kern w:val="0"/>
                <w:sz w:val="18"/>
                <w:szCs w:val="18"/>
              </w:rPr>
              <w:t>裁量基准</w:t>
            </w:r>
          </w:p>
        </w:tc>
      </w:tr>
      <w:tr w14:paraId="42542039">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3A37958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392E660">
            <w:pPr>
              <w:spacing w:line="320" w:lineRule="exact"/>
              <w:jc w:val="left"/>
              <w:rPr>
                <w:color w:val="000000"/>
                <w:kern w:val="0"/>
                <w:sz w:val="18"/>
                <w:szCs w:val="18"/>
              </w:rPr>
            </w:pPr>
            <w:r>
              <w:rPr>
                <w:rFonts w:hint="eastAsia"/>
                <w:color w:val="000000"/>
                <w:kern w:val="0"/>
                <w:sz w:val="18"/>
                <w:szCs w:val="18"/>
              </w:rPr>
              <w:t>未发生城市桥梁事故时未按照要求改正的</w:t>
            </w:r>
          </w:p>
        </w:tc>
        <w:tc>
          <w:tcPr>
            <w:tcW w:w="1080" w:type="dxa"/>
            <w:vMerge w:val="restart"/>
            <w:tcBorders>
              <w:top w:val="nil"/>
              <w:left w:val="single" w:color="auto" w:sz="4" w:space="0"/>
              <w:right w:val="single" w:color="auto" w:sz="4" w:space="0"/>
            </w:tcBorders>
            <w:vAlign w:val="center"/>
          </w:tcPr>
          <w:p w14:paraId="108910CD">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4783237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2500</w:t>
            </w:r>
            <w:r>
              <w:rPr>
                <w:rFonts w:hint="eastAsia"/>
                <w:color w:val="000000"/>
                <w:kern w:val="0"/>
                <w:sz w:val="18"/>
                <w:szCs w:val="18"/>
              </w:rPr>
              <w:t>元以下罚款</w:t>
            </w:r>
          </w:p>
        </w:tc>
      </w:tr>
      <w:tr w14:paraId="3C62D4C3">
        <w:tblPrEx>
          <w:tblCellMar>
            <w:top w:w="0" w:type="dxa"/>
            <w:left w:w="108" w:type="dxa"/>
            <w:bottom w:w="0" w:type="dxa"/>
            <w:right w:w="108" w:type="dxa"/>
          </w:tblCellMar>
        </w:tblPrEx>
        <w:trPr>
          <w:trHeight w:val="210" w:hRule="atLeast"/>
        </w:trPr>
        <w:tc>
          <w:tcPr>
            <w:tcW w:w="1070" w:type="dxa"/>
            <w:vMerge w:val="continue"/>
            <w:tcBorders>
              <w:left w:val="single" w:color="auto" w:sz="8" w:space="0"/>
              <w:bottom w:val="single" w:color="auto" w:sz="4" w:space="0"/>
              <w:right w:val="single" w:color="auto" w:sz="4" w:space="0"/>
            </w:tcBorders>
            <w:vAlign w:val="center"/>
          </w:tcPr>
          <w:p w14:paraId="060B7504">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7E964AD">
            <w:pPr>
              <w:spacing w:line="320" w:lineRule="exact"/>
              <w:jc w:val="left"/>
              <w:rPr>
                <w:color w:val="000000"/>
                <w:kern w:val="0"/>
                <w:sz w:val="18"/>
                <w:szCs w:val="18"/>
              </w:rPr>
            </w:pPr>
            <w:r>
              <w:rPr>
                <w:rFonts w:hint="eastAsia"/>
                <w:color w:val="000000"/>
                <w:kern w:val="0"/>
                <w:sz w:val="18"/>
                <w:szCs w:val="18"/>
              </w:rPr>
              <w:t>发生城市桥梁事故的</w:t>
            </w:r>
          </w:p>
        </w:tc>
        <w:tc>
          <w:tcPr>
            <w:tcW w:w="1080" w:type="dxa"/>
            <w:vMerge w:val="continue"/>
            <w:tcBorders>
              <w:left w:val="single" w:color="auto" w:sz="4" w:space="0"/>
              <w:bottom w:val="single" w:color="auto" w:sz="4" w:space="0"/>
              <w:right w:val="single" w:color="auto" w:sz="4" w:space="0"/>
            </w:tcBorders>
            <w:vAlign w:val="center"/>
          </w:tcPr>
          <w:p w14:paraId="63304D76">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4A80EF4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396B015F"/>
    <w:p w14:paraId="65575CA3"/>
    <w:p w14:paraId="200A2E72"/>
    <w:p w14:paraId="7DC0B896"/>
    <w:p w14:paraId="7A7E9ABD"/>
    <w:p w14:paraId="69C684E3"/>
    <w:p w14:paraId="4D9A106C"/>
    <w:p w14:paraId="62EC850C"/>
    <w:p w14:paraId="4B506857"/>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2D3957B7">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17DCCCF">
            <w:pPr>
              <w:spacing w:line="240" w:lineRule="exact"/>
              <w:rPr>
                <w:color w:val="000000"/>
              </w:rPr>
            </w:pPr>
            <w:r>
              <w:rPr>
                <w:rFonts w:hint="eastAsia"/>
                <w:color w:val="000000"/>
              </w:rPr>
              <w:t>编号</w:t>
            </w:r>
          </w:p>
        </w:tc>
        <w:tc>
          <w:tcPr>
            <w:tcW w:w="12960" w:type="dxa"/>
            <w:gridSpan w:val="3"/>
            <w:tcBorders>
              <w:top w:val="single" w:color="auto" w:sz="8" w:space="0"/>
              <w:left w:val="nil"/>
              <w:bottom w:val="single" w:color="auto" w:sz="4" w:space="0"/>
              <w:right w:val="single" w:color="000000" w:sz="8" w:space="0"/>
            </w:tcBorders>
            <w:vAlign w:val="center"/>
          </w:tcPr>
          <w:p w14:paraId="1509ADD2">
            <w:pPr>
              <w:spacing w:line="240" w:lineRule="exact"/>
              <w:rPr>
                <w:b/>
                <w:bCs/>
                <w:color w:val="000000"/>
              </w:rPr>
            </w:pPr>
            <w:r>
              <w:rPr>
                <w:b/>
                <w:bCs/>
                <w:color w:val="000000"/>
              </w:rPr>
              <w:t>320217293000</w:t>
            </w:r>
            <w:r>
              <w:rPr>
                <w:rFonts w:hint="eastAsia"/>
                <w:b/>
                <w:bCs/>
                <w:color w:val="000000"/>
              </w:rPr>
              <w:t xml:space="preserve"> </w:t>
            </w:r>
          </w:p>
        </w:tc>
      </w:tr>
      <w:tr w14:paraId="11E8800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229758A">
            <w:pPr>
              <w:spacing w:line="240" w:lineRule="exact"/>
              <w:rPr>
                <w:color w:val="000000"/>
              </w:rPr>
            </w:pPr>
            <w:r>
              <w:rPr>
                <w:rFonts w:hint="eastAsia"/>
                <w:color w:val="000000"/>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751EC8A5">
            <w:pPr>
              <w:spacing w:line="240" w:lineRule="exact"/>
              <w:rPr>
                <w:color w:val="000000"/>
              </w:rPr>
            </w:pPr>
            <w:r>
              <w:rPr>
                <w:rFonts w:hint="eastAsia"/>
                <w:color w:val="000000"/>
              </w:rPr>
              <w:t>对依法应当公开招标而采用邀请招标的处罚</w:t>
            </w:r>
          </w:p>
        </w:tc>
      </w:tr>
      <w:tr w14:paraId="4CF854AD">
        <w:tblPrEx>
          <w:tblCellMar>
            <w:top w:w="0" w:type="dxa"/>
            <w:left w:w="108" w:type="dxa"/>
            <w:bottom w:w="0" w:type="dxa"/>
            <w:right w:w="108" w:type="dxa"/>
          </w:tblCellMar>
        </w:tblPrEx>
        <w:trPr>
          <w:trHeight w:val="1290" w:hRule="atLeast"/>
        </w:trPr>
        <w:tc>
          <w:tcPr>
            <w:tcW w:w="1070" w:type="dxa"/>
            <w:tcBorders>
              <w:top w:val="nil"/>
              <w:left w:val="single" w:color="auto" w:sz="8" w:space="0"/>
              <w:bottom w:val="single" w:color="auto" w:sz="4" w:space="0"/>
              <w:right w:val="single" w:color="auto" w:sz="4" w:space="0"/>
            </w:tcBorders>
            <w:vAlign w:val="center"/>
          </w:tcPr>
          <w:p w14:paraId="3B9F9890">
            <w:pPr>
              <w:spacing w:line="240" w:lineRule="exact"/>
              <w:rPr>
                <w:color w:val="000000"/>
              </w:rPr>
            </w:pPr>
            <w:r>
              <w:rPr>
                <w:rFonts w:hint="eastAsia"/>
                <w:color w:val="000000"/>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5F909BA8">
            <w:pPr>
              <w:spacing w:line="240" w:lineRule="exact"/>
              <w:rPr>
                <w:color w:val="000000"/>
              </w:rPr>
            </w:pPr>
            <w:r>
              <w:rPr>
                <w:color w:val="000000"/>
              </w:rPr>
              <w:t xml:space="preserve"> </w:t>
            </w:r>
            <w:r>
              <w:rPr>
                <w:rFonts w:hint="eastAsia"/>
                <w:color w:val="000000"/>
              </w:rPr>
              <w:t>【行政法规】《中华人民共和国招标投标法实施条例》（2011年国务院令第613号，2019年国务院令第709号修改）</w:t>
            </w:r>
          </w:p>
          <w:p w14:paraId="3DF9D367">
            <w:pPr>
              <w:spacing w:line="240" w:lineRule="exact"/>
              <w:rPr>
                <w:color w:val="000000"/>
              </w:rPr>
            </w:pPr>
            <w:r>
              <w:rPr>
                <w:rFonts w:hint="eastAsia"/>
                <w:color w:val="000000"/>
              </w:rPr>
              <w:t xml:space="preserve">    第八条　国有资金占控股或者主导地位的依法必须进行招标的项目，应当公开招标；但有下列情形之一的，可以邀请招标：</w:t>
            </w:r>
          </w:p>
          <w:p w14:paraId="75363DA7">
            <w:pPr>
              <w:spacing w:line="240" w:lineRule="exact"/>
              <w:rPr>
                <w:color w:val="000000"/>
              </w:rPr>
            </w:pPr>
            <w:r>
              <w:rPr>
                <w:rFonts w:hint="eastAsia"/>
                <w:color w:val="000000"/>
              </w:rPr>
              <w:t xml:space="preserve">    （一）技术复杂、有特殊要求或者受自然环境限制，只有少量潜在投标人可供选择；</w:t>
            </w:r>
          </w:p>
          <w:p w14:paraId="170CC330">
            <w:pPr>
              <w:spacing w:line="240" w:lineRule="exact"/>
              <w:rPr>
                <w:color w:val="000000"/>
              </w:rPr>
            </w:pPr>
            <w:r>
              <w:rPr>
                <w:rFonts w:hint="eastAsia"/>
                <w:color w:val="000000"/>
              </w:rPr>
              <w:t xml:space="preserve">    （二）采用公开招标方式的费用占项目合同金额的比例过大。</w:t>
            </w:r>
          </w:p>
          <w:p w14:paraId="432E94A5">
            <w:pPr>
              <w:spacing w:line="240" w:lineRule="exact"/>
              <w:rPr>
                <w:color w:val="000000"/>
              </w:rPr>
            </w:pPr>
            <w:r>
              <w:rPr>
                <w:rFonts w:hint="eastAsia"/>
                <w:color w:val="000000"/>
              </w:rPr>
              <w:t xml:space="preserve">    有前款第二项所列情形，属于本条例第七条规定的项目，由项目审批、核准部门在审批、核准项目时作出认定；其他项目由招标人申请有关行政监督部门作出认定。</w:t>
            </w:r>
          </w:p>
          <w:p w14:paraId="52BCB679">
            <w:pPr>
              <w:spacing w:line="240" w:lineRule="exact"/>
              <w:rPr>
                <w:color w:val="000000"/>
              </w:rPr>
            </w:pPr>
            <w:r>
              <w:rPr>
                <w:rFonts w:hint="eastAsia"/>
                <w:color w:val="000000"/>
              </w:rPr>
              <w:t xml:space="preserve">    第六十四条　招标人有下列情形之一的，由有关行政监督部门责令改正，可以处10万元以下的罚款：</w:t>
            </w:r>
          </w:p>
          <w:p w14:paraId="7B7FBC05">
            <w:pPr>
              <w:spacing w:line="240" w:lineRule="exact"/>
              <w:rPr>
                <w:color w:val="000000"/>
              </w:rPr>
            </w:pPr>
            <w:r>
              <w:rPr>
                <w:rFonts w:hint="eastAsia"/>
                <w:color w:val="000000"/>
              </w:rPr>
              <w:t xml:space="preserve">    （一）依法应当公开招标而采用邀请招标。</w:t>
            </w:r>
          </w:p>
          <w:p w14:paraId="52757DA0">
            <w:pPr>
              <w:spacing w:line="24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民用航空局令第30号，已根据《关于废止和修改部分招标投标规章和规范性文件的决定》修改）</w:t>
            </w:r>
          </w:p>
          <w:p w14:paraId="444C5471">
            <w:pPr>
              <w:spacing w:line="240" w:lineRule="exact"/>
              <w:rPr>
                <w:color w:val="000000"/>
              </w:rPr>
            </w:pPr>
            <w:r>
              <w:rPr>
                <w:rFonts w:hint="eastAsia"/>
                <w:color w:val="000000"/>
              </w:rPr>
              <w:t xml:space="preserve">    第七十三条　招标人有下列情形之一的，由有关行政监督部门责令改正，可以处10万元以下的罚款：</w:t>
            </w:r>
          </w:p>
          <w:p w14:paraId="2640751C">
            <w:pPr>
              <w:spacing w:line="240" w:lineRule="exact"/>
              <w:rPr>
                <w:color w:val="000000"/>
              </w:rPr>
            </w:pPr>
            <w:r>
              <w:rPr>
                <w:rFonts w:hint="eastAsia"/>
                <w:color w:val="000000"/>
              </w:rPr>
              <w:t xml:space="preserve">     （一）依法应当公开招标而采用邀请招标；</w:t>
            </w:r>
          </w:p>
          <w:p w14:paraId="0F92B5C5">
            <w:pPr>
              <w:spacing w:line="240" w:lineRule="exact"/>
              <w:rPr>
                <w:color w:val="000000"/>
              </w:rPr>
            </w:pPr>
            <w:r>
              <w:rPr>
                <w:rFonts w:hint="eastAsia"/>
                <w:color w:val="000000"/>
              </w:rPr>
              <w:t>【规章】《工程建设项目勘察设计招标投标办法》（国家发展和改革委员会、工业和信息化部、财政部、住房和城乡建设部、交通运输部、铁道部、水利部、国家广播电影电视总局、中国民用航空局令第2号，已根据《关于废止和修改部分招标投标规章和规范性文件的决定》修改）</w:t>
            </w:r>
          </w:p>
          <w:p w14:paraId="7893B483">
            <w:pPr>
              <w:spacing w:line="240" w:lineRule="exact"/>
              <w:rPr>
                <w:color w:val="000000"/>
              </w:rPr>
            </w:pPr>
            <w:r>
              <w:rPr>
                <w:rFonts w:hint="eastAsia"/>
                <w:color w:val="000000"/>
              </w:rPr>
              <w:t>　  第五十一条　招标人有下列情形之一的，由有关行政监督部门责令改正，可以处10万元以下的罚款：</w:t>
            </w:r>
          </w:p>
          <w:p w14:paraId="02EE1B30">
            <w:pPr>
              <w:spacing w:line="240" w:lineRule="exact"/>
              <w:rPr>
                <w:color w:val="000000"/>
              </w:rPr>
            </w:pPr>
            <w:r>
              <w:rPr>
                <w:rFonts w:hint="eastAsia"/>
                <w:color w:val="000000"/>
              </w:rPr>
              <w:t xml:space="preserve">      （一）依法应当公开招标而采用邀请招标；</w:t>
            </w:r>
          </w:p>
          <w:p w14:paraId="090433EB">
            <w:pPr>
              <w:spacing w:line="240" w:lineRule="exact"/>
              <w:rPr>
                <w:color w:val="000000"/>
              </w:rPr>
            </w:pPr>
            <w:r>
              <w:rPr>
                <w:rFonts w:hint="eastAsia"/>
                <w:color w:val="000000"/>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27号，根据2013年3月11日《关于废止和修改部分招标投标规章和规范性文件的决定》2013年第23号令修正）</w:t>
            </w:r>
          </w:p>
          <w:p w14:paraId="035A7279">
            <w:pPr>
              <w:spacing w:line="240" w:lineRule="exact"/>
              <w:rPr>
                <w:color w:val="000000"/>
              </w:rPr>
            </w:pPr>
            <w:r>
              <w:rPr>
                <w:rFonts w:hint="eastAsia"/>
                <w:color w:val="000000"/>
              </w:rPr>
              <w:t xml:space="preserve">    第五十六条　招标人有下列情形之一的，由有关行政监督部门责令改正，可以处10万元以下的罚款：</w:t>
            </w:r>
          </w:p>
          <w:p w14:paraId="20DEEAC8">
            <w:pPr>
              <w:spacing w:line="240" w:lineRule="exact"/>
              <w:rPr>
                <w:color w:val="000000"/>
              </w:rPr>
            </w:pPr>
            <w:r>
              <w:rPr>
                <w:rFonts w:hint="eastAsia"/>
                <w:color w:val="000000"/>
              </w:rPr>
              <w:t xml:space="preserve">  （一）依法应当公开招标而采用邀请招标；</w:t>
            </w:r>
          </w:p>
        </w:tc>
      </w:tr>
      <w:tr w14:paraId="47FAA7C0">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743AD5D9">
            <w:pPr>
              <w:spacing w:line="240" w:lineRule="exact"/>
              <w:rPr>
                <w:color w:val="000000"/>
              </w:rPr>
            </w:pPr>
            <w:r>
              <w:rPr>
                <w:rFonts w:hint="eastAsia"/>
                <w:color w:val="000000"/>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70524185">
            <w:pPr>
              <w:spacing w:line="240" w:lineRule="exact"/>
              <w:rPr>
                <w:color w:val="000000"/>
              </w:rPr>
            </w:pPr>
            <w:r>
              <w:rPr>
                <w:rFonts w:hint="eastAsia"/>
                <w:color w:val="000000"/>
              </w:rPr>
              <w:t>罚款</w:t>
            </w:r>
          </w:p>
        </w:tc>
      </w:tr>
      <w:tr w14:paraId="771B7CC4">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437A4C6A">
            <w:pPr>
              <w:spacing w:line="240" w:lineRule="exact"/>
              <w:jc w:val="center"/>
              <w:rPr>
                <w:color w:val="000000"/>
              </w:rPr>
            </w:pPr>
            <w:r>
              <w:rPr>
                <w:rFonts w:hint="eastAsia"/>
                <w:color w:val="000000"/>
              </w:rPr>
              <w:t>裁量基准</w:t>
            </w:r>
          </w:p>
        </w:tc>
      </w:tr>
      <w:tr w14:paraId="222E9943">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1C969B53">
            <w:pPr>
              <w:spacing w:line="240" w:lineRule="exact"/>
              <w:rPr>
                <w:color w:val="000000"/>
              </w:rPr>
            </w:pPr>
            <w:r>
              <w:rPr>
                <w:rFonts w:hint="eastAsia"/>
                <w:color w:val="000000"/>
              </w:rPr>
              <w:t>情形描述</w:t>
            </w:r>
          </w:p>
        </w:tc>
        <w:tc>
          <w:tcPr>
            <w:tcW w:w="6140" w:type="dxa"/>
            <w:tcBorders>
              <w:top w:val="single" w:color="auto" w:sz="4" w:space="0"/>
              <w:left w:val="nil"/>
              <w:bottom w:val="single" w:color="auto" w:sz="4" w:space="0"/>
              <w:right w:val="single" w:color="auto" w:sz="4" w:space="0"/>
            </w:tcBorders>
            <w:vAlign w:val="center"/>
          </w:tcPr>
          <w:p w14:paraId="3CDA5202">
            <w:pPr>
              <w:spacing w:line="240" w:lineRule="exact"/>
              <w:rPr>
                <w:color w:val="000000"/>
              </w:rPr>
            </w:pPr>
            <w:r>
              <w:rPr>
                <w:rFonts w:hint="eastAsia"/>
                <w:color w:val="000000"/>
              </w:rPr>
              <w:t>符合邀请招标情形，没有经过审批认定或监督部门认定的</w:t>
            </w:r>
          </w:p>
        </w:tc>
        <w:tc>
          <w:tcPr>
            <w:tcW w:w="1106" w:type="dxa"/>
            <w:vMerge w:val="restart"/>
            <w:tcBorders>
              <w:top w:val="nil"/>
              <w:left w:val="single" w:color="auto" w:sz="4" w:space="0"/>
              <w:bottom w:val="single" w:color="auto" w:sz="4" w:space="0"/>
              <w:right w:val="single" w:color="auto" w:sz="4" w:space="0"/>
            </w:tcBorders>
            <w:vAlign w:val="center"/>
          </w:tcPr>
          <w:p w14:paraId="33E9EA75">
            <w:pPr>
              <w:spacing w:line="240" w:lineRule="exact"/>
              <w:rPr>
                <w:color w:val="000000"/>
              </w:rPr>
            </w:pPr>
            <w:r>
              <w:rPr>
                <w:rFonts w:hint="eastAsia"/>
                <w:color w:val="000000"/>
              </w:rPr>
              <w:t>裁量幅度</w:t>
            </w:r>
          </w:p>
        </w:tc>
        <w:tc>
          <w:tcPr>
            <w:tcW w:w="5714" w:type="dxa"/>
            <w:tcBorders>
              <w:top w:val="nil"/>
              <w:left w:val="nil"/>
              <w:bottom w:val="single" w:color="auto" w:sz="4" w:space="0"/>
              <w:right w:val="single" w:color="auto" w:sz="8" w:space="0"/>
            </w:tcBorders>
            <w:vAlign w:val="center"/>
          </w:tcPr>
          <w:p w14:paraId="4F5FF9D5">
            <w:pPr>
              <w:spacing w:line="240" w:lineRule="exact"/>
              <w:rPr>
                <w:color w:val="000000"/>
              </w:rPr>
            </w:pPr>
            <w:r>
              <w:rPr>
                <w:rFonts w:hint="eastAsia"/>
                <w:color w:val="000000"/>
              </w:rPr>
              <w:t>处</w:t>
            </w:r>
            <w:r>
              <w:rPr>
                <w:color w:val="000000"/>
              </w:rPr>
              <w:t>5</w:t>
            </w:r>
            <w:r>
              <w:rPr>
                <w:rFonts w:hint="eastAsia"/>
                <w:color w:val="000000"/>
              </w:rPr>
              <w:t>万元以下罚款</w:t>
            </w:r>
          </w:p>
        </w:tc>
      </w:tr>
      <w:tr w14:paraId="762306A5">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5DFB5D52">
            <w:pPr>
              <w:spacing w:line="240" w:lineRule="exact"/>
              <w:rPr>
                <w:color w:val="000000"/>
              </w:rPr>
            </w:pPr>
          </w:p>
        </w:tc>
        <w:tc>
          <w:tcPr>
            <w:tcW w:w="6140" w:type="dxa"/>
            <w:tcBorders>
              <w:top w:val="single" w:color="auto" w:sz="4" w:space="0"/>
              <w:left w:val="nil"/>
              <w:bottom w:val="single" w:color="auto" w:sz="4" w:space="0"/>
              <w:right w:val="single" w:color="auto" w:sz="4" w:space="0"/>
            </w:tcBorders>
            <w:vAlign w:val="center"/>
          </w:tcPr>
          <w:p w14:paraId="6533CEFC">
            <w:pPr>
              <w:spacing w:line="240" w:lineRule="exact"/>
              <w:rPr>
                <w:color w:val="000000"/>
              </w:rPr>
            </w:pPr>
            <w:r>
              <w:rPr>
                <w:rFonts w:hint="eastAsia"/>
                <w:color w:val="000000"/>
              </w:rPr>
              <w:t>不符合邀请招标情形，依法应当公开招标，采用邀请招标方式的</w:t>
            </w:r>
          </w:p>
        </w:tc>
        <w:tc>
          <w:tcPr>
            <w:tcW w:w="1106" w:type="dxa"/>
            <w:vMerge w:val="continue"/>
            <w:tcBorders>
              <w:top w:val="nil"/>
              <w:left w:val="single" w:color="auto" w:sz="4" w:space="0"/>
              <w:bottom w:val="single" w:color="auto" w:sz="4" w:space="0"/>
              <w:right w:val="single" w:color="auto" w:sz="4" w:space="0"/>
            </w:tcBorders>
            <w:vAlign w:val="center"/>
          </w:tcPr>
          <w:p w14:paraId="7C23CCF5">
            <w:pPr>
              <w:spacing w:line="240" w:lineRule="exact"/>
              <w:rPr>
                <w:color w:val="000000"/>
              </w:rPr>
            </w:pPr>
          </w:p>
        </w:tc>
        <w:tc>
          <w:tcPr>
            <w:tcW w:w="5714" w:type="dxa"/>
            <w:tcBorders>
              <w:top w:val="nil"/>
              <w:left w:val="nil"/>
              <w:bottom w:val="single" w:color="auto" w:sz="4" w:space="0"/>
              <w:right w:val="single" w:color="auto" w:sz="8" w:space="0"/>
            </w:tcBorders>
            <w:vAlign w:val="center"/>
          </w:tcPr>
          <w:p w14:paraId="58BAC5AA">
            <w:pPr>
              <w:spacing w:line="240" w:lineRule="exact"/>
              <w:rPr>
                <w:color w:val="000000"/>
              </w:rPr>
            </w:pPr>
            <w:r>
              <w:rPr>
                <w:rFonts w:hint="eastAsia"/>
                <w:color w:val="000000"/>
              </w:rPr>
              <w:t>处</w:t>
            </w:r>
            <w:r>
              <w:rPr>
                <w:color w:val="000000"/>
              </w:rPr>
              <w:t>5</w:t>
            </w:r>
            <w:r>
              <w:rPr>
                <w:rFonts w:hint="eastAsia"/>
                <w:color w:val="000000"/>
              </w:rPr>
              <w:t>万元以上，</w:t>
            </w:r>
            <w:r>
              <w:rPr>
                <w:color w:val="000000"/>
              </w:rPr>
              <w:t>10</w:t>
            </w:r>
            <w:r>
              <w:rPr>
                <w:rFonts w:hint="eastAsia"/>
                <w:color w:val="000000"/>
              </w:rPr>
              <w:t>万元以下罚款</w:t>
            </w:r>
          </w:p>
        </w:tc>
      </w:tr>
    </w:tbl>
    <w:p w14:paraId="503A47E8"/>
    <w:p w14:paraId="251AAB16"/>
    <w:tbl>
      <w:tblPr>
        <w:tblStyle w:val="15"/>
        <w:tblW w:w="0" w:type="auto"/>
        <w:tblInd w:w="88" w:type="dxa"/>
        <w:tblLayout w:type="fixed"/>
        <w:tblCellMar>
          <w:top w:w="0" w:type="dxa"/>
          <w:left w:w="108" w:type="dxa"/>
          <w:bottom w:w="0" w:type="dxa"/>
          <w:right w:w="108" w:type="dxa"/>
        </w:tblCellMar>
      </w:tblPr>
      <w:tblGrid>
        <w:gridCol w:w="980"/>
        <w:gridCol w:w="46"/>
        <w:gridCol w:w="6094"/>
        <w:gridCol w:w="1000"/>
        <w:gridCol w:w="5910"/>
        <w:gridCol w:w="30"/>
      </w:tblGrid>
      <w:tr w14:paraId="362FDCAE">
        <w:tblPrEx>
          <w:tblCellMar>
            <w:top w:w="0" w:type="dxa"/>
            <w:left w:w="108" w:type="dxa"/>
            <w:bottom w:w="0" w:type="dxa"/>
            <w:right w:w="108" w:type="dxa"/>
          </w:tblCellMar>
        </w:tblPrEx>
        <w:trPr>
          <w:gridAfter w:val="1"/>
          <w:wAfter w:w="30" w:type="dxa"/>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28F5B39A">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7E05B2A7">
            <w:pPr>
              <w:spacing w:line="320" w:lineRule="exact"/>
              <w:jc w:val="left"/>
              <w:rPr>
                <w:rFonts w:eastAsia="仿宋_GB2312"/>
                <w:b/>
                <w:bCs/>
                <w:color w:val="000000"/>
                <w:kern w:val="0"/>
                <w:sz w:val="18"/>
                <w:szCs w:val="18"/>
              </w:rPr>
            </w:pPr>
            <w:r>
              <w:rPr>
                <w:rFonts w:eastAsia="仿宋_GB2312"/>
                <w:b/>
                <w:bCs/>
                <w:color w:val="000000"/>
                <w:kern w:val="0"/>
                <w:sz w:val="18"/>
                <w:szCs w:val="18"/>
              </w:rPr>
              <w:t>320217298000</w:t>
            </w:r>
          </w:p>
        </w:tc>
      </w:tr>
      <w:tr w14:paraId="0CABF1F2">
        <w:tblPrEx>
          <w:tblCellMar>
            <w:top w:w="0" w:type="dxa"/>
            <w:left w:w="108" w:type="dxa"/>
            <w:bottom w:w="0" w:type="dxa"/>
            <w:right w:w="108" w:type="dxa"/>
          </w:tblCellMar>
        </w:tblPrEx>
        <w:trPr>
          <w:gridAfter w:val="1"/>
          <w:wAfter w:w="30" w:type="dxa"/>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2A84312D">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color="auto" w:sz="4" w:space="0"/>
              <w:left w:val="nil"/>
              <w:bottom w:val="single" w:color="auto" w:sz="4" w:space="0"/>
              <w:right w:val="single" w:color="000000" w:sz="8" w:space="0"/>
            </w:tcBorders>
            <w:vAlign w:val="center"/>
          </w:tcPr>
          <w:p w14:paraId="2966583B">
            <w:pPr>
              <w:spacing w:line="320" w:lineRule="exact"/>
              <w:jc w:val="left"/>
              <w:rPr>
                <w:color w:val="000000"/>
                <w:kern w:val="0"/>
                <w:sz w:val="18"/>
                <w:szCs w:val="18"/>
              </w:rPr>
            </w:pPr>
            <w:r>
              <w:rPr>
                <w:rFonts w:hint="eastAsia"/>
                <w:color w:val="000000"/>
                <w:kern w:val="0"/>
                <w:sz w:val="18"/>
                <w:szCs w:val="18"/>
              </w:rPr>
              <w:t>对用户擅自转供城乡公共供水或者将居民生活饮用水改作其他用水的处罚</w:t>
            </w:r>
          </w:p>
        </w:tc>
      </w:tr>
      <w:tr w14:paraId="56052166">
        <w:tblPrEx>
          <w:tblCellMar>
            <w:top w:w="0" w:type="dxa"/>
            <w:left w:w="108" w:type="dxa"/>
            <w:bottom w:w="0" w:type="dxa"/>
            <w:right w:w="108" w:type="dxa"/>
          </w:tblCellMar>
        </w:tblPrEx>
        <w:trPr>
          <w:gridAfter w:val="1"/>
          <w:wAfter w:w="30" w:type="dxa"/>
          <w:trHeight w:val="629" w:hRule="atLeast"/>
        </w:trPr>
        <w:tc>
          <w:tcPr>
            <w:tcW w:w="1026" w:type="dxa"/>
            <w:gridSpan w:val="2"/>
            <w:tcBorders>
              <w:top w:val="nil"/>
              <w:left w:val="single" w:color="auto" w:sz="8" w:space="0"/>
              <w:bottom w:val="single" w:color="auto" w:sz="4" w:space="0"/>
              <w:right w:val="single" w:color="auto" w:sz="4" w:space="0"/>
            </w:tcBorders>
            <w:vAlign w:val="center"/>
          </w:tcPr>
          <w:p w14:paraId="696EDDF3">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0575CDB8">
            <w:pPr>
              <w:spacing w:line="320" w:lineRule="exact"/>
              <w:jc w:val="left"/>
              <w:rPr>
                <w:color w:val="000000"/>
                <w:kern w:val="0"/>
                <w:sz w:val="18"/>
                <w:szCs w:val="18"/>
              </w:rPr>
            </w:pPr>
            <w:r>
              <w:rPr>
                <w:rFonts w:hint="eastAsia"/>
                <w:color w:val="000000"/>
                <w:kern w:val="0"/>
                <w:sz w:val="18"/>
                <w:szCs w:val="18"/>
              </w:rPr>
              <w:t>【行政法规】《城市供水条例》（1994年7月19日国务院令第158号发布，根据国务院令第698号、国务院令第726号修订）</w:t>
            </w:r>
          </w:p>
          <w:p w14:paraId="6A5AA57F">
            <w:pPr>
              <w:spacing w:line="320" w:lineRule="exact"/>
              <w:jc w:val="left"/>
              <w:rPr>
                <w:color w:val="000000"/>
                <w:kern w:val="0"/>
                <w:sz w:val="18"/>
                <w:szCs w:val="18"/>
              </w:rPr>
            </w:pPr>
            <w:r>
              <w:rPr>
                <w:rFonts w:hint="eastAsia"/>
                <w:color w:val="000000"/>
                <w:kern w:val="0"/>
                <w:sz w:val="18"/>
                <w:szCs w:val="18"/>
              </w:rPr>
              <w:t xml:space="preserve">       第三十五条 违反本条例规定的，有下列行为之一的，由城市供水行政主管部门或者其授权的单位责令限期改正，可以处以罚款：</w:t>
            </w:r>
          </w:p>
          <w:p w14:paraId="4C6EF4FB">
            <w:pPr>
              <w:spacing w:line="320" w:lineRule="exact"/>
              <w:jc w:val="left"/>
              <w:rPr>
                <w:color w:val="000000"/>
                <w:kern w:val="0"/>
                <w:sz w:val="18"/>
                <w:szCs w:val="18"/>
              </w:rPr>
            </w:pPr>
            <w:r>
              <w:rPr>
                <w:rFonts w:hint="eastAsia"/>
                <w:color w:val="000000"/>
                <w:kern w:val="0"/>
                <w:sz w:val="18"/>
                <w:szCs w:val="18"/>
              </w:rPr>
              <w:t xml:space="preserve">      （一）盗用或者转供城市公共供水的；</w:t>
            </w:r>
          </w:p>
          <w:p w14:paraId="037C5338">
            <w:pPr>
              <w:spacing w:line="320" w:lineRule="exact"/>
              <w:jc w:val="left"/>
              <w:rPr>
                <w:color w:val="000000"/>
                <w:kern w:val="0"/>
                <w:sz w:val="18"/>
                <w:szCs w:val="18"/>
              </w:rPr>
            </w:pPr>
            <w:r>
              <w:rPr>
                <w:rFonts w:hint="eastAsia"/>
                <w:color w:val="000000"/>
                <w:kern w:val="0"/>
                <w:sz w:val="18"/>
                <w:szCs w:val="18"/>
              </w:rPr>
              <w:t xml:space="preserve">       有前款第(一)项、第(三)项、第(四)项、第(五)项、第(六)项所列行为之一，情节严重的，经县级以上人民政府批准，还可以在一定时间内停止供水。</w:t>
            </w:r>
          </w:p>
          <w:p w14:paraId="57B0D362">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1E4F5319">
            <w:pPr>
              <w:spacing w:line="320" w:lineRule="exact"/>
              <w:jc w:val="left"/>
              <w:rPr>
                <w:color w:val="000000"/>
                <w:kern w:val="0"/>
                <w:sz w:val="18"/>
                <w:szCs w:val="18"/>
              </w:rPr>
            </w:pPr>
            <w:r>
              <w:rPr>
                <w:rFonts w:hint="eastAsia"/>
                <w:color w:val="000000"/>
                <w:kern w:val="0"/>
                <w:sz w:val="18"/>
                <w:szCs w:val="18"/>
              </w:rPr>
              <w:t xml:space="preserve">       第四十二条 结算水表需要分设、移表、增容、变更的，用户应当到供水单位办理相关手续，由供水单位负责实施。用户不得擅自转供城乡公共供水或者将居民生活饮用水改作其他用水。</w:t>
            </w:r>
          </w:p>
          <w:p w14:paraId="58E6CEBA">
            <w:pPr>
              <w:spacing w:line="320" w:lineRule="exact"/>
              <w:jc w:val="left"/>
              <w:rPr>
                <w:color w:val="000000"/>
                <w:kern w:val="0"/>
                <w:sz w:val="18"/>
                <w:szCs w:val="18"/>
              </w:rPr>
            </w:pPr>
            <w:r>
              <w:rPr>
                <w:rFonts w:hint="eastAsia"/>
                <w:color w:val="000000"/>
                <w:kern w:val="0"/>
                <w:sz w:val="18"/>
                <w:szCs w:val="18"/>
              </w:rPr>
              <w:t>　　第五十四条 违反本条例规定，有下列行为之一的，由城乡供水主管部门责令改正，有违法所得的没收违法所得，并处以三千元以上三万元以下罚款；造成损失的，赔偿损失；构成犯罪的，依法追究刑事责任：</w:t>
            </w:r>
          </w:p>
          <w:p w14:paraId="450F78BE">
            <w:pPr>
              <w:spacing w:line="320" w:lineRule="exact"/>
              <w:jc w:val="left"/>
              <w:rPr>
                <w:color w:val="000000"/>
                <w:kern w:val="0"/>
                <w:sz w:val="18"/>
                <w:szCs w:val="18"/>
              </w:rPr>
            </w:pPr>
            <w:r>
              <w:rPr>
                <w:rFonts w:hint="eastAsia"/>
                <w:color w:val="000000"/>
                <w:kern w:val="0"/>
                <w:sz w:val="18"/>
                <w:szCs w:val="18"/>
              </w:rPr>
              <w:t>　　（二）用户擅自转供城乡公共供水或者将居民生活饮用水改作其他用水的。</w:t>
            </w:r>
          </w:p>
        </w:tc>
      </w:tr>
      <w:tr w14:paraId="3697F33B">
        <w:tblPrEx>
          <w:tblCellMar>
            <w:top w:w="0" w:type="dxa"/>
            <w:left w:w="108" w:type="dxa"/>
            <w:bottom w:w="0" w:type="dxa"/>
            <w:right w:w="108" w:type="dxa"/>
          </w:tblCellMar>
        </w:tblPrEx>
        <w:trPr>
          <w:gridAfter w:val="1"/>
          <w:wAfter w:w="30" w:type="dxa"/>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6ABDBF1F">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0A3EBAF6">
            <w:pPr>
              <w:spacing w:line="320" w:lineRule="exact"/>
              <w:jc w:val="left"/>
              <w:rPr>
                <w:color w:val="000000"/>
                <w:kern w:val="0"/>
                <w:sz w:val="18"/>
                <w:szCs w:val="18"/>
              </w:rPr>
            </w:pPr>
            <w:r>
              <w:rPr>
                <w:rFonts w:hint="eastAsia"/>
                <w:color w:val="000000"/>
                <w:kern w:val="0"/>
                <w:sz w:val="18"/>
                <w:szCs w:val="18"/>
              </w:rPr>
              <w:t>责令改正，没收违法所得，罚款，停止供水</w:t>
            </w:r>
          </w:p>
        </w:tc>
      </w:tr>
      <w:tr w14:paraId="2BC81AFC">
        <w:tblPrEx>
          <w:tblCellMar>
            <w:top w:w="0" w:type="dxa"/>
            <w:left w:w="108" w:type="dxa"/>
            <w:bottom w:w="0" w:type="dxa"/>
            <w:right w:w="108" w:type="dxa"/>
          </w:tblCellMar>
        </w:tblPrEx>
        <w:trPr>
          <w:gridAfter w:val="1"/>
          <w:wAfter w:w="30" w:type="dxa"/>
          <w:trHeight w:val="285" w:hRule="atLeast"/>
        </w:trPr>
        <w:tc>
          <w:tcPr>
            <w:tcW w:w="14030" w:type="dxa"/>
            <w:gridSpan w:val="5"/>
            <w:tcBorders>
              <w:top w:val="single" w:color="auto" w:sz="4" w:space="0"/>
              <w:left w:val="single" w:color="auto" w:sz="8" w:space="0"/>
              <w:bottom w:val="single" w:color="auto" w:sz="4" w:space="0"/>
              <w:right w:val="single" w:color="000000" w:sz="8" w:space="0"/>
            </w:tcBorders>
            <w:vAlign w:val="center"/>
          </w:tcPr>
          <w:p w14:paraId="7A4C3C4C">
            <w:pPr>
              <w:spacing w:line="320" w:lineRule="exact"/>
              <w:jc w:val="center"/>
              <w:rPr>
                <w:color w:val="000000"/>
                <w:kern w:val="0"/>
                <w:sz w:val="18"/>
                <w:szCs w:val="18"/>
              </w:rPr>
            </w:pPr>
            <w:r>
              <w:rPr>
                <w:rFonts w:hint="eastAsia"/>
                <w:color w:val="000000"/>
                <w:kern w:val="0"/>
                <w:sz w:val="18"/>
                <w:szCs w:val="18"/>
              </w:rPr>
              <w:t>裁量基准</w:t>
            </w:r>
          </w:p>
        </w:tc>
      </w:tr>
      <w:tr w14:paraId="3F3139DA">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325B83EE">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394119E2">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color="auto" w:sz="4" w:space="0"/>
              <w:bottom w:val="single" w:color="auto" w:sz="4" w:space="0"/>
              <w:right w:val="single" w:color="auto" w:sz="4" w:space="0"/>
            </w:tcBorders>
            <w:vAlign w:val="center"/>
          </w:tcPr>
          <w:p w14:paraId="15A4F85E">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color="auto" w:sz="4" w:space="0"/>
              <w:right w:val="single" w:color="auto" w:sz="8" w:space="0"/>
            </w:tcBorders>
            <w:vAlign w:val="center"/>
          </w:tcPr>
          <w:p w14:paraId="600C517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0205A964">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6F83292C">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7EF4BF86">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67098039">
            <w:pPr>
              <w:spacing w:line="320" w:lineRule="exact"/>
              <w:jc w:val="left"/>
              <w:rPr>
                <w:color w:val="000000"/>
                <w:kern w:val="0"/>
                <w:sz w:val="18"/>
                <w:szCs w:val="18"/>
              </w:rPr>
            </w:pPr>
          </w:p>
        </w:tc>
        <w:tc>
          <w:tcPr>
            <w:tcW w:w="5940" w:type="dxa"/>
            <w:gridSpan w:val="2"/>
            <w:tcBorders>
              <w:top w:val="nil"/>
              <w:left w:val="nil"/>
              <w:bottom w:val="single" w:color="auto" w:sz="4" w:space="0"/>
              <w:right w:val="single" w:color="auto" w:sz="8" w:space="0"/>
            </w:tcBorders>
            <w:vAlign w:val="center"/>
          </w:tcPr>
          <w:p w14:paraId="6FEF31C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4466A4CF">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48271604">
            <w:pPr>
              <w:spacing w:line="320" w:lineRule="exact"/>
              <w:jc w:val="left"/>
              <w:rPr>
                <w:color w:val="000000"/>
                <w:kern w:val="0"/>
                <w:sz w:val="18"/>
                <w:szCs w:val="18"/>
              </w:rPr>
            </w:pPr>
          </w:p>
        </w:tc>
        <w:tc>
          <w:tcPr>
            <w:tcW w:w="6140" w:type="dxa"/>
            <w:gridSpan w:val="2"/>
            <w:tcBorders>
              <w:top w:val="single" w:color="auto" w:sz="4" w:space="0"/>
              <w:left w:val="nil"/>
              <w:bottom w:val="single" w:color="auto" w:sz="8" w:space="0"/>
              <w:right w:val="single" w:color="auto" w:sz="4" w:space="0"/>
            </w:tcBorders>
            <w:vAlign w:val="center"/>
          </w:tcPr>
          <w:p w14:paraId="2613CE3F">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177FBA54">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5518FC6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593525E8">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32DA9922">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2AE08D34">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3CFADF17">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678194C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7F3FC97F"/>
    <w:p w14:paraId="2752ADDD"/>
    <w:p w14:paraId="6D21EE02"/>
    <w:p w14:paraId="125D762B"/>
    <w:p w14:paraId="6D109D91"/>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6B3CED73">
        <w:tblPrEx>
          <w:tblCellMar>
            <w:top w:w="0" w:type="dxa"/>
            <w:left w:w="108" w:type="dxa"/>
            <w:bottom w:w="0" w:type="dxa"/>
            <w:right w:w="108" w:type="dxa"/>
          </w:tblCellMar>
        </w:tblPrEx>
        <w:trPr>
          <w:trHeight w:val="360" w:hRule="atLeast"/>
        </w:trPr>
        <w:tc>
          <w:tcPr>
            <w:tcW w:w="1056" w:type="dxa"/>
            <w:tcBorders>
              <w:top w:val="single" w:color="auto" w:sz="8" w:space="0"/>
              <w:left w:val="single" w:color="auto" w:sz="8" w:space="0"/>
              <w:bottom w:val="single" w:color="auto" w:sz="4" w:space="0"/>
              <w:right w:val="single" w:color="auto" w:sz="4" w:space="0"/>
            </w:tcBorders>
            <w:shd w:val="clear" w:color="auto" w:fill="FFFFFF"/>
            <w:vAlign w:val="center"/>
          </w:tcPr>
          <w:p w14:paraId="69AB90C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single" w:color="auto" w:sz="4" w:space="0"/>
              <w:bottom w:val="single" w:color="auto" w:sz="4" w:space="0"/>
              <w:right w:val="single" w:color="auto" w:sz="8" w:space="0"/>
            </w:tcBorders>
            <w:shd w:val="clear" w:color="auto" w:fill="FFFFFF"/>
            <w:vAlign w:val="center"/>
          </w:tcPr>
          <w:p w14:paraId="16400704">
            <w:pPr>
              <w:jc w:val="left"/>
              <w:textAlignment w:val="center"/>
              <w:rPr>
                <w:rFonts w:eastAsia="仿宋_GB2312"/>
                <w:b/>
                <w:bCs/>
                <w:color w:val="000000"/>
                <w:kern w:val="0"/>
                <w:sz w:val="18"/>
                <w:szCs w:val="18"/>
              </w:rPr>
            </w:pPr>
            <w:r>
              <w:rPr>
                <w:rFonts w:eastAsia="仿宋_GB2312"/>
                <w:b/>
                <w:color w:val="000000"/>
                <w:kern w:val="0"/>
                <w:sz w:val="20"/>
              </w:rPr>
              <w:t>320217299000</w:t>
            </w:r>
          </w:p>
        </w:tc>
      </w:tr>
      <w:tr w14:paraId="56377DE9">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shd w:val="clear" w:color="auto" w:fill="FFFFFF"/>
            <w:vAlign w:val="center"/>
          </w:tcPr>
          <w:p w14:paraId="4450F34B">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single" w:color="auto" w:sz="4" w:space="0"/>
              <w:bottom w:val="single" w:color="auto" w:sz="4" w:space="0"/>
              <w:right w:val="single" w:color="auto" w:sz="8" w:space="0"/>
            </w:tcBorders>
            <w:shd w:val="clear" w:color="auto" w:fill="FFFFFF"/>
            <w:vAlign w:val="center"/>
          </w:tcPr>
          <w:p w14:paraId="08D3A627">
            <w:pPr>
              <w:spacing w:line="320" w:lineRule="exact"/>
              <w:jc w:val="left"/>
              <w:rPr>
                <w:color w:val="000000"/>
                <w:kern w:val="0"/>
                <w:sz w:val="18"/>
                <w:szCs w:val="18"/>
              </w:rPr>
            </w:pPr>
            <w:r>
              <w:rPr>
                <w:rFonts w:hint="eastAsia"/>
                <w:color w:val="000000"/>
                <w:kern w:val="0"/>
                <w:sz w:val="18"/>
                <w:szCs w:val="18"/>
              </w:rPr>
              <w:t>对隐瞒有关情况或者提供虚假材料申请注册建筑师注册证书的处罚</w:t>
            </w:r>
          </w:p>
        </w:tc>
      </w:tr>
      <w:tr w14:paraId="6F6EA6A0">
        <w:tblPrEx>
          <w:tblCellMar>
            <w:top w:w="0" w:type="dxa"/>
            <w:left w:w="108" w:type="dxa"/>
            <w:bottom w:w="0" w:type="dxa"/>
            <w:right w:w="108" w:type="dxa"/>
          </w:tblCellMar>
        </w:tblPrEx>
        <w:trPr>
          <w:trHeight w:val="2325" w:hRule="atLeast"/>
        </w:trPr>
        <w:tc>
          <w:tcPr>
            <w:tcW w:w="1056" w:type="dxa"/>
            <w:tcBorders>
              <w:top w:val="single" w:color="auto" w:sz="4" w:space="0"/>
              <w:left w:val="single" w:color="auto" w:sz="8" w:space="0"/>
              <w:bottom w:val="single" w:color="auto" w:sz="4" w:space="0"/>
              <w:right w:val="single" w:color="auto" w:sz="4" w:space="0"/>
            </w:tcBorders>
            <w:shd w:val="clear" w:color="auto" w:fill="FFFFFF"/>
            <w:vAlign w:val="center"/>
          </w:tcPr>
          <w:p w14:paraId="48BDEA6F">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single" w:color="auto" w:sz="4" w:space="0"/>
              <w:bottom w:val="single" w:color="auto" w:sz="4" w:space="0"/>
              <w:right w:val="single" w:color="auto" w:sz="8" w:space="0"/>
            </w:tcBorders>
            <w:shd w:val="clear" w:color="auto" w:fill="FFFFFF"/>
            <w:vAlign w:val="center"/>
          </w:tcPr>
          <w:p w14:paraId="1A64872F">
            <w:pPr>
              <w:spacing w:line="32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type="textWrapping"/>
            </w: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取得一级注册建筑师资格证书并受聘于一个相关单位的人员，应当通过聘用单位向单位工商注册所在地的省、自治区、直辖市注册建筑师管理委员会提出申请；省、自治区、直辖市注册建筑师管理委员会受理后提出初审意见，并将初审意见和申请材料报全国注册建筑师管理委员会审批；符合条件的，由全国注册建筑师管理委员会颁发一级注册建筑师注册证书和执业印章。</w:t>
            </w:r>
            <w:r>
              <w:rPr>
                <w:color w:val="000000"/>
                <w:kern w:val="0"/>
                <w:sz w:val="18"/>
                <w:szCs w:val="18"/>
              </w:rPr>
              <w:br w:type="textWrapping"/>
            </w:r>
            <w:r>
              <w:rPr>
                <w:rFonts w:hint="eastAsia"/>
                <w:color w:val="000000"/>
                <w:kern w:val="0"/>
                <w:sz w:val="18"/>
                <w:szCs w:val="18"/>
              </w:rPr>
              <w:t>第十五条第六款</w:t>
            </w:r>
            <w:r>
              <w:rPr>
                <w:color w:val="000000"/>
                <w:kern w:val="0"/>
                <w:sz w:val="18"/>
                <w:szCs w:val="18"/>
              </w:rPr>
              <w:t xml:space="preserve">  </w:t>
            </w:r>
            <w:r>
              <w:rPr>
                <w:rFonts w:hint="eastAsia"/>
                <w:color w:val="000000"/>
                <w:kern w:val="0"/>
                <w:sz w:val="18"/>
                <w:szCs w:val="18"/>
              </w:rPr>
              <w:t>二级注册建筑师的注册办法由省、自治区、直辖市注册建筑师管理委员会依法制定。</w:t>
            </w:r>
            <w:r>
              <w:rPr>
                <w:color w:val="000000"/>
                <w:kern w:val="0"/>
                <w:sz w:val="18"/>
                <w:szCs w:val="18"/>
              </w:rPr>
              <w:br w:type="textWrapping"/>
            </w:r>
            <w:r>
              <w:rPr>
                <w:rFonts w:hint="eastAsia"/>
                <w:color w:val="000000"/>
                <w:kern w:val="0"/>
                <w:sz w:val="18"/>
                <w:szCs w:val="18"/>
              </w:rPr>
              <w:t>第四十条</w:t>
            </w:r>
            <w:r>
              <w:rPr>
                <w:color w:val="000000"/>
                <w:kern w:val="0"/>
                <w:sz w:val="18"/>
                <w:szCs w:val="18"/>
              </w:rPr>
              <w:t xml:space="preserve"> </w:t>
            </w:r>
            <w:r>
              <w:rPr>
                <w:rFonts w:hint="eastAsia"/>
                <w:color w:val="000000"/>
                <w:kern w:val="0"/>
                <w:sz w:val="18"/>
                <w:szCs w:val="18"/>
              </w:rPr>
              <w:t>隐瞒有关情况或者提供虚假材料申请注册的，注册机关不予受理，并由建设主管部门给予警告，申请人一年之内不得再次申请注册。</w:t>
            </w:r>
          </w:p>
        </w:tc>
      </w:tr>
      <w:tr w14:paraId="24CAB743">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4" w:space="0"/>
              <w:right w:val="single" w:color="auto" w:sz="4" w:space="0"/>
            </w:tcBorders>
            <w:shd w:val="clear" w:color="auto" w:fill="FFFFFF"/>
            <w:vAlign w:val="center"/>
          </w:tcPr>
          <w:p w14:paraId="363CDDC4">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single" w:color="auto" w:sz="4" w:space="0"/>
              <w:bottom w:val="single" w:color="auto" w:sz="4" w:space="0"/>
              <w:right w:val="single" w:color="auto" w:sz="8" w:space="0"/>
            </w:tcBorders>
            <w:shd w:val="clear" w:color="auto" w:fill="FFFFFF"/>
            <w:vAlign w:val="center"/>
          </w:tcPr>
          <w:p w14:paraId="2C3CD02E">
            <w:pPr>
              <w:spacing w:line="320" w:lineRule="exact"/>
              <w:jc w:val="left"/>
              <w:rPr>
                <w:rFonts w:eastAsia="仿宋_GB2312"/>
                <w:color w:val="000000"/>
                <w:sz w:val="20"/>
              </w:rPr>
            </w:pPr>
            <w:r>
              <w:rPr>
                <w:rFonts w:hint="eastAsia"/>
                <w:color w:val="000000"/>
                <w:kern w:val="0"/>
                <w:sz w:val="18"/>
                <w:szCs w:val="18"/>
              </w:rPr>
              <w:t>警告，１年内不得再次申请</w:t>
            </w:r>
          </w:p>
        </w:tc>
      </w:tr>
      <w:tr w14:paraId="36FA6A9C">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auto" w:sz="8" w:space="0"/>
            </w:tcBorders>
            <w:shd w:val="clear" w:color="auto" w:fill="FFFFFF"/>
            <w:vAlign w:val="center"/>
          </w:tcPr>
          <w:p w14:paraId="1CF5A453">
            <w:pPr>
              <w:spacing w:line="320" w:lineRule="exact"/>
              <w:jc w:val="center"/>
              <w:rPr>
                <w:color w:val="000000"/>
                <w:kern w:val="0"/>
                <w:sz w:val="18"/>
                <w:szCs w:val="18"/>
              </w:rPr>
            </w:pPr>
            <w:r>
              <w:rPr>
                <w:rFonts w:hint="eastAsia"/>
                <w:color w:val="000000"/>
                <w:kern w:val="0"/>
                <w:sz w:val="18"/>
                <w:szCs w:val="18"/>
              </w:rPr>
              <w:t>裁量基准</w:t>
            </w:r>
          </w:p>
        </w:tc>
      </w:tr>
      <w:tr w14:paraId="72ACFD9C">
        <w:tblPrEx>
          <w:tblCellMar>
            <w:top w:w="0" w:type="dxa"/>
            <w:left w:w="108" w:type="dxa"/>
            <w:bottom w:w="0" w:type="dxa"/>
            <w:right w:w="108" w:type="dxa"/>
          </w:tblCellMar>
        </w:tblPrEx>
        <w:trPr>
          <w:trHeight w:val="285" w:hRule="atLeast"/>
        </w:trPr>
        <w:tc>
          <w:tcPr>
            <w:tcW w:w="1056" w:type="dxa"/>
            <w:tcBorders>
              <w:top w:val="single" w:color="auto" w:sz="4" w:space="0"/>
              <w:left w:val="single" w:color="auto" w:sz="8" w:space="0"/>
              <w:bottom w:val="single" w:color="auto" w:sz="8" w:space="0"/>
              <w:right w:val="single" w:color="auto" w:sz="4" w:space="0"/>
            </w:tcBorders>
            <w:shd w:val="clear" w:color="auto" w:fill="FFFFFF"/>
            <w:vAlign w:val="center"/>
          </w:tcPr>
          <w:p w14:paraId="7FAE550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8" w:space="0"/>
              <w:right w:val="single" w:color="auto" w:sz="4" w:space="0"/>
            </w:tcBorders>
            <w:shd w:val="clear" w:color="auto" w:fill="FFFFFF"/>
            <w:vAlign w:val="center"/>
          </w:tcPr>
          <w:p w14:paraId="6033FB7A">
            <w:pPr>
              <w:spacing w:line="320" w:lineRule="exact"/>
              <w:jc w:val="left"/>
              <w:rPr>
                <w:color w:val="000000"/>
                <w:kern w:val="0"/>
                <w:sz w:val="18"/>
                <w:szCs w:val="18"/>
              </w:rPr>
            </w:pPr>
            <w:r>
              <w:rPr>
                <w:rFonts w:hint="eastAsia"/>
                <w:color w:val="000000"/>
                <w:kern w:val="0"/>
                <w:sz w:val="18"/>
                <w:szCs w:val="18"/>
              </w:rPr>
              <w:t>　</w:t>
            </w:r>
          </w:p>
        </w:tc>
        <w:tc>
          <w:tcPr>
            <w:tcW w:w="1044" w:type="dxa"/>
            <w:tcBorders>
              <w:top w:val="single" w:color="auto" w:sz="4" w:space="0"/>
              <w:left w:val="single" w:color="auto" w:sz="4" w:space="0"/>
              <w:bottom w:val="single" w:color="auto" w:sz="8" w:space="0"/>
              <w:right w:val="single" w:color="auto" w:sz="4" w:space="0"/>
            </w:tcBorders>
            <w:shd w:val="clear" w:color="auto" w:fill="FFFFFF"/>
            <w:vAlign w:val="center"/>
          </w:tcPr>
          <w:p w14:paraId="1B59C66C">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8" w:space="0"/>
              <w:right w:val="single" w:color="auto" w:sz="8" w:space="0"/>
            </w:tcBorders>
            <w:shd w:val="clear" w:color="auto" w:fill="FFFFFF"/>
            <w:vAlign w:val="center"/>
          </w:tcPr>
          <w:p w14:paraId="5901B709">
            <w:pPr>
              <w:spacing w:line="320" w:lineRule="exact"/>
              <w:jc w:val="left"/>
              <w:rPr>
                <w:color w:val="000000"/>
                <w:kern w:val="0"/>
                <w:sz w:val="18"/>
                <w:szCs w:val="18"/>
              </w:rPr>
            </w:pPr>
            <w:r>
              <w:rPr>
                <w:rFonts w:hint="eastAsia"/>
                <w:color w:val="000000"/>
                <w:kern w:val="0"/>
                <w:sz w:val="18"/>
                <w:szCs w:val="18"/>
              </w:rPr>
              <w:t>　</w:t>
            </w:r>
          </w:p>
        </w:tc>
      </w:tr>
    </w:tbl>
    <w:p w14:paraId="54604C23"/>
    <w:p w14:paraId="71671C3A"/>
    <w:p w14:paraId="351C60AB"/>
    <w:p w14:paraId="0CF3E811"/>
    <w:p w14:paraId="0513A9A7"/>
    <w:p w14:paraId="24D3A097"/>
    <w:p w14:paraId="4339BFD6"/>
    <w:p w14:paraId="30654F58"/>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1552"/>
        <w:gridCol w:w="4588"/>
        <w:gridCol w:w="1080"/>
        <w:gridCol w:w="5820"/>
      </w:tblGrid>
      <w:tr w14:paraId="6048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14E067D8">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14:paraId="0158BEEA">
            <w:pPr>
              <w:spacing w:line="320" w:lineRule="exact"/>
              <w:jc w:val="left"/>
              <w:rPr>
                <w:rFonts w:eastAsia="仿宋_GB2312"/>
                <w:b/>
                <w:bCs/>
                <w:color w:val="000000"/>
                <w:kern w:val="0"/>
                <w:sz w:val="18"/>
                <w:szCs w:val="18"/>
              </w:rPr>
            </w:pPr>
            <w:r>
              <w:rPr>
                <w:rFonts w:eastAsia="仿宋_GB2312"/>
                <w:b/>
                <w:bCs/>
                <w:color w:val="000000"/>
                <w:kern w:val="0"/>
                <w:sz w:val="18"/>
                <w:szCs w:val="18"/>
              </w:rPr>
              <w:t>320217300000</w:t>
            </w:r>
            <w:r>
              <w:rPr>
                <w:rFonts w:hint="eastAsia" w:eastAsia="仿宋_GB2312"/>
                <w:b/>
                <w:bCs/>
                <w:color w:val="000000"/>
                <w:kern w:val="0"/>
                <w:sz w:val="18"/>
                <w:szCs w:val="18"/>
              </w:rPr>
              <w:t xml:space="preserve"> </w:t>
            </w:r>
          </w:p>
        </w:tc>
      </w:tr>
      <w:tr w14:paraId="0F1B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06D33642">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14:paraId="6A333448">
            <w:pPr>
              <w:spacing w:line="320" w:lineRule="exact"/>
              <w:jc w:val="left"/>
              <w:rPr>
                <w:color w:val="000000"/>
                <w:kern w:val="0"/>
                <w:sz w:val="18"/>
                <w:szCs w:val="18"/>
              </w:rPr>
            </w:pPr>
            <w:r>
              <w:rPr>
                <w:rFonts w:hint="eastAsia"/>
                <w:color w:val="000000"/>
                <w:kern w:val="0"/>
                <w:sz w:val="18"/>
                <w:szCs w:val="18"/>
              </w:rPr>
              <w:t>对建筑材料、设备、构配件以及预拌混凝土、砂浆供应单位未及时提供真实的建筑材料、设备、构配件以及预拌混凝土、砂浆的质量合格证明文件和检测报告的处罚</w:t>
            </w:r>
          </w:p>
        </w:tc>
      </w:tr>
      <w:tr w14:paraId="50DF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33B67583">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14:paraId="31D8C640">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6E70A52F">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14:paraId="06C72BF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（四）及时提供真实的建筑材料、设备、构配件以及预拌混凝土、砂浆的质量合格证明文件和检测报告。</w:t>
            </w:r>
          </w:p>
          <w:p w14:paraId="40B3C366">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1486C7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（四）未及时提供真实的建筑材料、设备、构配件以及预拌混凝土、砂浆的质量合格证明文件和检测报告的。</w:t>
            </w:r>
          </w:p>
        </w:tc>
      </w:tr>
      <w:tr w14:paraId="25D6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D8CF0E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14:paraId="663070DF">
            <w:pPr>
              <w:spacing w:line="320" w:lineRule="exact"/>
              <w:jc w:val="left"/>
              <w:rPr>
                <w:color w:val="000000"/>
                <w:kern w:val="0"/>
                <w:sz w:val="18"/>
                <w:szCs w:val="18"/>
              </w:rPr>
            </w:pPr>
            <w:r>
              <w:rPr>
                <w:rFonts w:hint="eastAsia"/>
                <w:color w:val="000000"/>
                <w:kern w:val="0"/>
                <w:sz w:val="18"/>
                <w:szCs w:val="18"/>
              </w:rPr>
              <w:t>罚款</w:t>
            </w:r>
          </w:p>
        </w:tc>
      </w:tr>
      <w:tr w14:paraId="2C5D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5"/>
            <w:vAlign w:val="center"/>
          </w:tcPr>
          <w:p w14:paraId="7DAEC0DD">
            <w:pPr>
              <w:spacing w:line="320" w:lineRule="exact"/>
              <w:jc w:val="center"/>
              <w:rPr>
                <w:color w:val="000000"/>
                <w:kern w:val="0"/>
                <w:sz w:val="18"/>
                <w:szCs w:val="18"/>
              </w:rPr>
            </w:pPr>
            <w:r>
              <w:rPr>
                <w:rFonts w:hint="eastAsia"/>
                <w:color w:val="000000"/>
                <w:kern w:val="0"/>
                <w:sz w:val="18"/>
                <w:szCs w:val="18"/>
              </w:rPr>
              <w:t>裁量基准</w:t>
            </w:r>
          </w:p>
        </w:tc>
      </w:tr>
      <w:tr w14:paraId="390E7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030" w:type="dxa"/>
            <w:vMerge w:val="restart"/>
            <w:vAlign w:val="center"/>
          </w:tcPr>
          <w:p w14:paraId="236FE638">
            <w:pPr>
              <w:spacing w:line="320" w:lineRule="exact"/>
              <w:jc w:val="center"/>
              <w:rPr>
                <w:color w:val="000000"/>
                <w:kern w:val="0"/>
                <w:sz w:val="18"/>
                <w:szCs w:val="18"/>
              </w:rPr>
            </w:pPr>
            <w:r>
              <w:rPr>
                <w:rFonts w:hint="eastAsia"/>
                <w:color w:val="000000"/>
                <w:kern w:val="0"/>
                <w:sz w:val="18"/>
                <w:szCs w:val="18"/>
              </w:rPr>
              <w:t>情形描述</w:t>
            </w:r>
          </w:p>
        </w:tc>
        <w:tc>
          <w:tcPr>
            <w:tcW w:w="1552" w:type="dxa"/>
            <w:vAlign w:val="center"/>
          </w:tcPr>
          <w:p w14:paraId="3CD5C939">
            <w:pPr>
              <w:spacing w:line="320" w:lineRule="exact"/>
              <w:jc w:val="left"/>
              <w:rPr>
                <w:color w:val="000000"/>
                <w:kern w:val="0"/>
                <w:sz w:val="18"/>
                <w:szCs w:val="18"/>
              </w:rPr>
            </w:pPr>
            <w:r>
              <w:rPr>
                <w:rFonts w:hint="eastAsia"/>
                <w:color w:val="000000"/>
                <w:kern w:val="0"/>
                <w:sz w:val="18"/>
                <w:szCs w:val="18"/>
              </w:rPr>
              <w:t>按照要求整改的</w:t>
            </w:r>
          </w:p>
        </w:tc>
        <w:tc>
          <w:tcPr>
            <w:tcW w:w="4588" w:type="dxa"/>
            <w:vAlign w:val="center"/>
          </w:tcPr>
          <w:p w14:paraId="5A463499">
            <w:pPr>
              <w:spacing w:line="320" w:lineRule="exact"/>
              <w:jc w:val="left"/>
              <w:rPr>
                <w:color w:val="000000"/>
                <w:kern w:val="0"/>
                <w:sz w:val="18"/>
                <w:szCs w:val="18"/>
              </w:rPr>
            </w:pPr>
            <w:r>
              <w:rPr>
                <w:rFonts w:hint="eastAsia"/>
                <w:color w:val="000000"/>
                <w:kern w:val="0"/>
                <w:sz w:val="18"/>
                <w:szCs w:val="18"/>
              </w:rPr>
              <w:t>造成危害后果的</w:t>
            </w:r>
          </w:p>
        </w:tc>
        <w:tc>
          <w:tcPr>
            <w:tcW w:w="1080" w:type="dxa"/>
            <w:vMerge w:val="restart"/>
            <w:vAlign w:val="center"/>
          </w:tcPr>
          <w:p w14:paraId="3F156C0A">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FFC48B2">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446F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5FA9E5E9">
            <w:pPr>
              <w:spacing w:line="320" w:lineRule="exact"/>
              <w:jc w:val="center"/>
              <w:rPr>
                <w:color w:val="000000"/>
                <w:kern w:val="0"/>
                <w:sz w:val="18"/>
                <w:szCs w:val="18"/>
              </w:rPr>
            </w:pPr>
          </w:p>
        </w:tc>
        <w:tc>
          <w:tcPr>
            <w:tcW w:w="1552" w:type="dxa"/>
            <w:vMerge w:val="restart"/>
            <w:vAlign w:val="center"/>
          </w:tcPr>
          <w:p w14:paraId="3D2E5FAC">
            <w:pPr>
              <w:spacing w:line="320" w:lineRule="exact"/>
              <w:jc w:val="left"/>
              <w:rPr>
                <w:color w:val="000000"/>
                <w:kern w:val="0"/>
                <w:sz w:val="18"/>
                <w:szCs w:val="18"/>
              </w:rPr>
            </w:pPr>
            <w:r>
              <w:rPr>
                <w:rFonts w:hint="eastAsia"/>
                <w:color w:val="000000"/>
                <w:kern w:val="0"/>
                <w:sz w:val="18"/>
                <w:szCs w:val="18"/>
              </w:rPr>
              <w:t>未按照要求整改</w:t>
            </w:r>
          </w:p>
        </w:tc>
        <w:tc>
          <w:tcPr>
            <w:tcW w:w="4588" w:type="dxa"/>
            <w:vAlign w:val="center"/>
          </w:tcPr>
          <w:p w14:paraId="52C4CDB7">
            <w:pPr>
              <w:spacing w:line="320" w:lineRule="exact"/>
              <w:jc w:val="left"/>
              <w:rPr>
                <w:color w:val="000000"/>
                <w:kern w:val="0"/>
                <w:sz w:val="18"/>
                <w:szCs w:val="18"/>
              </w:rPr>
            </w:pPr>
            <w:r>
              <w:rPr>
                <w:rFonts w:hint="eastAsia"/>
                <w:color w:val="000000"/>
                <w:kern w:val="0"/>
                <w:sz w:val="18"/>
                <w:szCs w:val="18"/>
              </w:rPr>
              <w:t>提供的证明文件或者检测报告不真实的</w:t>
            </w:r>
          </w:p>
        </w:tc>
        <w:tc>
          <w:tcPr>
            <w:tcW w:w="1080" w:type="dxa"/>
            <w:vMerge w:val="continue"/>
            <w:vAlign w:val="center"/>
          </w:tcPr>
          <w:p w14:paraId="5107C1F0">
            <w:pPr>
              <w:spacing w:line="320" w:lineRule="exact"/>
              <w:jc w:val="center"/>
              <w:rPr>
                <w:color w:val="000000"/>
                <w:kern w:val="0"/>
                <w:sz w:val="18"/>
                <w:szCs w:val="18"/>
              </w:rPr>
            </w:pPr>
          </w:p>
        </w:tc>
        <w:tc>
          <w:tcPr>
            <w:tcW w:w="5820" w:type="dxa"/>
            <w:vAlign w:val="center"/>
          </w:tcPr>
          <w:p w14:paraId="36C46ED8">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18FD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1E4E50A">
            <w:pPr>
              <w:spacing w:line="320" w:lineRule="exact"/>
              <w:jc w:val="center"/>
              <w:rPr>
                <w:color w:val="000000"/>
                <w:kern w:val="0"/>
                <w:sz w:val="18"/>
                <w:szCs w:val="18"/>
              </w:rPr>
            </w:pPr>
          </w:p>
        </w:tc>
        <w:tc>
          <w:tcPr>
            <w:tcW w:w="1552" w:type="dxa"/>
            <w:vMerge w:val="continue"/>
            <w:vAlign w:val="center"/>
          </w:tcPr>
          <w:p w14:paraId="64460EA7">
            <w:pPr>
              <w:spacing w:line="320" w:lineRule="exact"/>
              <w:jc w:val="left"/>
              <w:rPr>
                <w:color w:val="000000"/>
                <w:kern w:val="0"/>
                <w:sz w:val="18"/>
                <w:szCs w:val="18"/>
              </w:rPr>
            </w:pPr>
          </w:p>
        </w:tc>
        <w:tc>
          <w:tcPr>
            <w:tcW w:w="4588" w:type="dxa"/>
            <w:vAlign w:val="center"/>
          </w:tcPr>
          <w:p w14:paraId="4ECCA574">
            <w:pPr>
              <w:spacing w:line="320" w:lineRule="exact"/>
              <w:jc w:val="left"/>
              <w:rPr>
                <w:color w:val="000000"/>
                <w:kern w:val="0"/>
                <w:sz w:val="18"/>
                <w:szCs w:val="18"/>
              </w:rPr>
            </w:pPr>
            <w:r>
              <w:rPr>
                <w:rFonts w:hint="eastAsia"/>
                <w:color w:val="000000"/>
                <w:kern w:val="0"/>
                <w:sz w:val="18"/>
                <w:szCs w:val="18"/>
              </w:rPr>
              <w:t>提供的证明文件和检测报告均不真实的</w:t>
            </w:r>
          </w:p>
        </w:tc>
        <w:tc>
          <w:tcPr>
            <w:tcW w:w="1080" w:type="dxa"/>
            <w:vMerge w:val="continue"/>
            <w:vAlign w:val="center"/>
          </w:tcPr>
          <w:p w14:paraId="165999E8">
            <w:pPr>
              <w:spacing w:line="320" w:lineRule="exact"/>
              <w:jc w:val="center"/>
              <w:rPr>
                <w:color w:val="000000"/>
                <w:kern w:val="0"/>
                <w:sz w:val="18"/>
                <w:szCs w:val="18"/>
              </w:rPr>
            </w:pPr>
          </w:p>
        </w:tc>
        <w:tc>
          <w:tcPr>
            <w:tcW w:w="5820" w:type="dxa"/>
            <w:vAlign w:val="center"/>
          </w:tcPr>
          <w:p w14:paraId="4EDD4700">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02E27293"/>
    <w:p w14:paraId="62700170"/>
    <w:p w14:paraId="52FDF0AC"/>
    <w:p w14:paraId="549B13A5"/>
    <w:p w14:paraId="5166F438"/>
    <w:p w14:paraId="118C627D"/>
    <w:p w14:paraId="3E5F3D9A"/>
    <w:p w14:paraId="0DFF2B03"/>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2647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C054E53">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30BA5483">
            <w:pPr>
              <w:spacing w:line="320" w:lineRule="exact"/>
              <w:jc w:val="left"/>
              <w:rPr>
                <w:rFonts w:eastAsia="仿宋_GB2312"/>
                <w:b/>
                <w:bCs/>
                <w:color w:val="000000"/>
                <w:kern w:val="0"/>
                <w:sz w:val="18"/>
                <w:szCs w:val="18"/>
              </w:rPr>
            </w:pPr>
            <w:r>
              <w:rPr>
                <w:rFonts w:eastAsia="仿宋_GB2312"/>
                <w:b/>
                <w:bCs/>
                <w:color w:val="000000"/>
                <w:kern w:val="0"/>
                <w:sz w:val="18"/>
                <w:szCs w:val="18"/>
              </w:rPr>
              <w:t>320217301000</w:t>
            </w:r>
          </w:p>
        </w:tc>
      </w:tr>
      <w:tr w14:paraId="7819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3225FBD">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29497F67">
            <w:pPr>
              <w:spacing w:line="320" w:lineRule="exact"/>
              <w:jc w:val="left"/>
              <w:rPr>
                <w:color w:val="000000"/>
                <w:kern w:val="0"/>
                <w:sz w:val="18"/>
                <w:szCs w:val="18"/>
              </w:rPr>
            </w:pPr>
            <w:r>
              <w:rPr>
                <w:rFonts w:hint="eastAsia"/>
                <w:color w:val="000000"/>
                <w:kern w:val="0"/>
                <w:sz w:val="18"/>
                <w:szCs w:val="18"/>
              </w:rPr>
              <w:t>对监理单位未根据绿色建筑标准和施工图设计文件编制绿色建筑监理方案并实施监理的处罚</w:t>
            </w:r>
          </w:p>
        </w:tc>
      </w:tr>
      <w:tr w14:paraId="12A8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54FF3E30">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5013517D">
            <w:pPr>
              <w:spacing w:line="320" w:lineRule="exact"/>
              <w:jc w:val="left"/>
              <w:rPr>
                <w:color w:val="000000"/>
                <w:kern w:val="0"/>
                <w:sz w:val="18"/>
                <w:szCs w:val="18"/>
              </w:rPr>
            </w:pPr>
            <w:r>
              <w:rPr>
                <w:rFonts w:hint="eastAsia"/>
                <w:color w:val="000000"/>
                <w:kern w:val="0"/>
                <w:sz w:val="18"/>
                <w:szCs w:val="18"/>
              </w:rPr>
              <w:t>【地方性法规】《江苏省绿色建筑发展条例》</w:t>
            </w:r>
          </w:p>
          <w:p w14:paraId="673D8280">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监理单位应当根据施工图设计文件和绿色建筑标准，结合绿色施工方案，编制绿色建筑监理方案并实施监理。</w:t>
            </w:r>
          </w:p>
          <w:p w14:paraId="7691C205">
            <w:pPr>
              <w:spacing w:line="320" w:lineRule="exact"/>
              <w:jc w:val="left"/>
              <w:rPr>
                <w:color w:val="000000"/>
                <w:kern w:val="0"/>
                <w:sz w:val="18"/>
                <w:szCs w:val="18"/>
              </w:rPr>
            </w:pPr>
            <w:r>
              <w:rPr>
                <w:rFonts w:hint="eastAsia"/>
                <w:color w:val="000000"/>
                <w:kern w:val="0"/>
                <w:sz w:val="18"/>
                <w:szCs w:val="18"/>
              </w:rPr>
              <w:t>五十五条</w:t>
            </w:r>
            <w:r>
              <w:rPr>
                <w:color w:val="000000"/>
                <w:kern w:val="0"/>
                <w:sz w:val="18"/>
                <w:szCs w:val="18"/>
              </w:rPr>
              <w:t xml:space="preserve"> </w:t>
            </w:r>
            <w:r>
              <w:rPr>
                <w:rFonts w:hint="eastAsia"/>
                <w:color w:val="000000"/>
                <w:kern w:val="0"/>
                <w:sz w:val="18"/>
                <w:szCs w:val="18"/>
              </w:rPr>
              <w:t>违反本条例规定，监理单位未根据绿色建筑标准和施工图设计文件编制绿色建筑监理方案并实施监理的，由建设主管部门责令限期改正，并处十万元以上三十万元以下罚款。</w:t>
            </w:r>
          </w:p>
        </w:tc>
      </w:tr>
      <w:tr w14:paraId="56A2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7E3985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2A38F62A">
            <w:pPr>
              <w:spacing w:line="320" w:lineRule="exact"/>
              <w:jc w:val="left"/>
              <w:rPr>
                <w:color w:val="000000"/>
                <w:kern w:val="0"/>
                <w:sz w:val="18"/>
                <w:szCs w:val="18"/>
              </w:rPr>
            </w:pPr>
            <w:r>
              <w:rPr>
                <w:rFonts w:hint="eastAsia"/>
                <w:color w:val="000000"/>
                <w:kern w:val="0"/>
                <w:sz w:val="18"/>
                <w:szCs w:val="18"/>
              </w:rPr>
              <w:t>罚款</w:t>
            </w:r>
          </w:p>
        </w:tc>
      </w:tr>
      <w:tr w14:paraId="48AA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176AF4DA">
            <w:pPr>
              <w:spacing w:line="320" w:lineRule="exact"/>
              <w:jc w:val="center"/>
              <w:rPr>
                <w:color w:val="000000"/>
                <w:kern w:val="0"/>
                <w:sz w:val="18"/>
                <w:szCs w:val="18"/>
              </w:rPr>
            </w:pPr>
            <w:r>
              <w:rPr>
                <w:rFonts w:hint="eastAsia"/>
                <w:color w:val="000000"/>
                <w:kern w:val="0"/>
                <w:sz w:val="18"/>
                <w:szCs w:val="18"/>
              </w:rPr>
              <w:t>裁量基准</w:t>
            </w:r>
          </w:p>
        </w:tc>
      </w:tr>
      <w:tr w14:paraId="70FA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604DA4CA">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76B27841">
            <w:pPr>
              <w:spacing w:line="320" w:lineRule="exact"/>
              <w:jc w:val="left"/>
              <w:rPr>
                <w:color w:val="000000"/>
                <w:kern w:val="0"/>
                <w:sz w:val="18"/>
                <w:szCs w:val="18"/>
              </w:rPr>
            </w:pPr>
            <w:r>
              <w:rPr>
                <w:rFonts w:hint="eastAsia"/>
                <w:color w:val="000000"/>
                <w:kern w:val="0"/>
                <w:sz w:val="18"/>
                <w:szCs w:val="18"/>
              </w:rPr>
              <w:t>符合绿色建筑标准，按照要求整改的</w:t>
            </w:r>
          </w:p>
        </w:tc>
        <w:tc>
          <w:tcPr>
            <w:tcW w:w="1080" w:type="dxa"/>
            <w:vMerge w:val="restart"/>
            <w:vAlign w:val="center"/>
          </w:tcPr>
          <w:p w14:paraId="1ECCE7F4">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2841356C">
            <w:pPr>
              <w:spacing w:line="320" w:lineRule="exact"/>
              <w:jc w:val="left"/>
              <w:rPr>
                <w:color w:val="000000"/>
                <w:kern w:val="0"/>
                <w:sz w:val="18"/>
                <w:szCs w:val="18"/>
              </w:rPr>
            </w:pP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5845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52FF8C43">
            <w:pPr>
              <w:spacing w:line="320" w:lineRule="exact"/>
              <w:jc w:val="center"/>
              <w:rPr>
                <w:color w:val="000000"/>
                <w:kern w:val="0"/>
                <w:sz w:val="18"/>
                <w:szCs w:val="18"/>
              </w:rPr>
            </w:pPr>
          </w:p>
        </w:tc>
        <w:tc>
          <w:tcPr>
            <w:tcW w:w="6140" w:type="dxa"/>
            <w:vAlign w:val="center"/>
          </w:tcPr>
          <w:p w14:paraId="71E0AD0E">
            <w:pPr>
              <w:spacing w:line="320" w:lineRule="exact"/>
              <w:jc w:val="left"/>
              <w:rPr>
                <w:color w:val="000000"/>
                <w:kern w:val="0"/>
                <w:sz w:val="18"/>
                <w:szCs w:val="18"/>
              </w:rPr>
            </w:pPr>
            <w:r>
              <w:rPr>
                <w:rFonts w:hint="eastAsia"/>
                <w:color w:val="000000"/>
                <w:kern w:val="0"/>
                <w:sz w:val="18"/>
                <w:szCs w:val="18"/>
              </w:rPr>
              <w:t>符合绿色建筑标准，未按照要求整改的</w:t>
            </w:r>
          </w:p>
        </w:tc>
        <w:tc>
          <w:tcPr>
            <w:tcW w:w="1080" w:type="dxa"/>
            <w:vMerge w:val="continue"/>
            <w:vAlign w:val="center"/>
          </w:tcPr>
          <w:p w14:paraId="1A63C254">
            <w:pPr>
              <w:spacing w:line="320" w:lineRule="exact"/>
              <w:jc w:val="center"/>
              <w:rPr>
                <w:color w:val="000000"/>
                <w:kern w:val="0"/>
                <w:sz w:val="18"/>
                <w:szCs w:val="18"/>
              </w:rPr>
            </w:pPr>
          </w:p>
        </w:tc>
        <w:tc>
          <w:tcPr>
            <w:tcW w:w="5820" w:type="dxa"/>
            <w:vAlign w:val="center"/>
          </w:tcPr>
          <w:p w14:paraId="5B726514">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6CD1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7D85A1A5">
            <w:pPr>
              <w:spacing w:line="320" w:lineRule="exact"/>
              <w:jc w:val="center"/>
              <w:rPr>
                <w:color w:val="000000"/>
                <w:kern w:val="0"/>
                <w:sz w:val="18"/>
                <w:szCs w:val="18"/>
              </w:rPr>
            </w:pPr>
          </w:p>
        </w:tc>
        <w:tc>
          <w:tcPr>
            <w:tcW w:w="6140" w:type="dxa"/>
            <w:vAlign w:val="center"/>
          </w:tcPr>
          <w:p w14:paraId="69D15EA1">
            <w:pPr>
              <w:spacing w:line="320" w:lineRule="exact"/>
              <w:jc w:val="left"/>
              <w:rPr>
                <w:color w:val="000000"/>
                <w:kern w:val="0"/>
                <w:sz w:val="18"/>
                <w:szCs w:val="18"/>
              </w:rPr>
            </w:pPr>
            <w:r>
              <w:rPr>
                <w:rFonts w:hint="eastAsia"/>
                <w:color w:val="000000"/>
                <w:kern w:val="0"/>
                <w:sz w:val="18"/>
                <w:szCs w:val="18"/>
              </w:rPr>
              <w:t>不符合绿色建筑标准，按照要求整改的</w:t>
            </w:r>
          </w:p>
        </w:tc>
        <w:tc>
          <w:tcPr>
            <w:tcW w:w="1080" w:type="dxa"/>
            <w:vMerge w:val="continue"/>
            <w:vAlign w:val="center"/>
          </w:tcPr>
          <w:p w14:paraId="3E0B015C">
            <w:pPr>
              <w:spacing w:line="320" w:lineRule="exact"/>
              <w:jc w:val="center"/>
              <w:rPr>
                <w:color w:val="000000"/>
                <w:kern w:val="0"/>
                <w:sz w:val="18"/>
                <w:szCs w:val="18"/>
              </w:rPr>
            </w:pPr>
          </w:p>
        </w:tc>
        <w:tc>
          <w:tcPr>
            <w:tcW w:w="5820" w:type="dxa"/>
            <w:vAlign w:val="center"/>
          </w:tcPr>
          <w:p w14:paraId="3B88A26B">
            <w:pPr>
              <w:spacing w:line="320" w:lineRule="exact"/>
              <w:jc w:val="left"/>
              <w:rPr>
                <w:color w:val="000000"/>
                <w:kern w:val="0"/>
                <w:sz w:val="18"/>
                <w:szCs w:val="18"/>
              </w:rPr>
            </w:pP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0A20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3B8FCCA8">
            <w:pPr>
              <w:spacing w:line="320" w:lineRule="exact"/>
              <w:jc w:val="center"/>
              <w:rPr>
                <w:color w:val="000000"/>
                <w:kern w:val="0"/>
                <w:sz w:val="18"/>
                <w:szCs w:val="18"/>
              </w:rPr>
            </w:pPr>
          </w:p>
        </w:tc>
        <w:tc>
          <w:tcPr>
            <w:tcW w:w="6140" w:type="dxa"/>
            <w:vAlign w:val="center"/>
          </w:tcPr>
          <w:p w14:paraId="6B6E10AA">
            <w:pPr>
              <w:spacing w:line="320" w:lineRule="exact"/>
              <w:jc w:val="left"/>
              <w:rPr>
                <w:color w:val="000000"/>
                <w:kern w:val="0"/>
                <w:sz w:val="18"/>
                <w:szCs w:val="18"/>
              </w:rPr>
            </w:pPr>
            <w:r>
              <w:rPr>
                <w:rFonts w:hint="eastAsia"/>
                <w:color w:val="000000"/>
                <w:kern w:val="0"/>
                <w:sz w:val="18"/>
                <w:szCs w:val="18"/>
              </w:rPr>
              <w:t>不符合绿色建筑标准，未按照要求整改的</w:t>
            </w:r>
          </w:p>
        </w:tc>
        <w:tc>
          <w:tcPr>
            <w:tcW w:w="1080" w:type="dxa"/>
            <w:vMerge w:val="continue"/>
            <w:vAlign w:val="center"/>
          </w:tcPr>
          <w:p w14:paraId="31B052AF">
            <w:pPr>
              <w:spacing w:line="320" w:lineRule="exact"/>
              <w:jc w:val="center"/>
              <w:rPr>
                <w:color w:val="000000"/>
                <w:kern w:val="0"/>
                <w:sz w:val="18"/>
                <w:szCs w:val="18"/>
              </w:rPr>
            </w:pPr>
          </w:p>
        </w:tc>
        <w:tc>
          <w:tcPr>
            <w:tcW w:w="5820" w:type="dxa"/>
            <w:vAlign w:val="center"/>
          </w:tcPr>
          <w:p w14:paraId="4B4F0251">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bl>
    <w:p w14:paraId="3E359AFD"/>
    <w:p w14:paraId="52DD191D"/>
    <w:p w14:paraId="26FDE020"/>
    <w:p w14:paraId="631873EB"/>
    <w:p w14:paraId="10D63202"/>
    <w:p w14:paraId="749AEC1D"/>
    <w:p w14:paraId="62EDED68"/>
    <w:p w14:paraId="5D00F982"/>
    <w:p w14:paraId="4383CEB9"/>
    <w:p w14:paraId="4A2F6FD7"/>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0BF03728">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5BDA4987">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5F37DBA9">
            <w:pPr>
              <w:spacing w:line="320" w:lineRule="exact"/>
              <w:jc w:val="left"/>
              <w:rPr>
                <w:rFonts w:eastAsia="仿宋_GB2312"/>
                <w:b/>
                <w:bCs/>
                <w:color w:val="000000"/>
                <w:kern w:val="0"/>
                <w:sz w:val="18"/>
                <w:szCs w:val="18"/>
              </w:rPr>
            </w:pPr>
            <w:r>
              <w:rPr>
                <w:rFonts w:eastAsia="仿宋_GB2312"/>
                <w:b/>
                <w:bCs/>
                <w:color w:val="000000"/>
                <w:kern w:val="0"/>
                <w:sz w:val="18"/>
                <w:szCs w:val="18"/>
              </w:rPr>
              <w:t>320217304000</w:t>
            </w:r>
          </w:p>
        </w:tc>
      </w:tr>
      <w:tr w14:paraId="4E8D6CAF">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1102FBB1">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686ED7E9">
            <w:pPr>
              <w:spacing w:line="320" w:lineRule="exact"/>
              <w:jc w:val="left"/>
              <w:rPr>
                <w:color w:val="000000"/>
                <w:kern w:val="0"/>
                <w:sz w:val="18"/>
                <w:szCs w:val="18"/>
              </w:rPr>
            </w:pPr>
            <w:r>
              <w:rPr>
                <w:rFonts w:hint="eastAsia"/>
                <w:color w:val="000000"/>
                <w:kern w:val="0"/>
                <w:sz w:val="18"/>
                <w:szCs w:val="18"/>
              </w:rPr>
              <w:t>对城市供水单位、二次供水管理单位未按规定对非生活饮用水进行水质检测或者委托检测的处罚</w:t>
            </w:r>
          </w:p>
        </w:tc>
      </w:tr>
      <w:tr w14:paraId="02A5780F">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1349B693">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4BDEAA2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14:paraId="3E04093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第十一条　城市供水单位应当履行以下义务：</w:t>
            </w:r>
            <w:r>
              <w:rPr>
                <w:color w:val="000000"/>
                <w:kern w:val="0"/>
                <w:sz w:val="18"/>
                <w:szCs w:val="18"/>
              </w:rPr>
              <w:t xml:space="preserve"> </w:t>
            </w:r>
          </w:p>
          <w:p w14:paraId="105B8279">
            <w:pPr>
              <w:spacing w:line="320" w:lineRule="exact"/>
              <w:jc w:val="left"/>
              <w:rPr>
                <w:color w:val="000000"/>
                <w:kern w:val="0"/>
                <w:sz w:val="18"/>
                <w:szCs w:val="18"/>
              </w:rPr>
            </w:pPr>
            <w:r>
              <w:rPr>
                <w:rFonts w:hint="eastAsia"/>
                <w:color w:val="000000"/>
                <w:kern w:val="0"/>
                <w:sz w:val="18"/>
                <w:szCs w:val="18"/>
              </w:rPr>
              <w:t>（四）按照国家规定的检测项目、检测频率和有关标准、方法，定期检测原水、出厂水、管网水的水质</w:t>
            </w:r>
            <w:r>
              <w:rPr>
                <w:color w:val="000000"/>
                <w:kern w:val="0"/>
                <w:sz w:val="18"/>
                <w:szCs w:val="18"/>
              </w:rPr>
              <w:t>.</w:t>
            </w:r>
          </w:p>
          <w:p w14:paraId="5AFE36F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二次供水管理单位，应当建立水质管理制度，配备专（兼）职人员，加强水质管理，定期进行水质检测并对各类储水设施清洗消毒（每半年不得少于一次）。不具备相应水质检测能力的，应当委托经质量技术监督部门资质认定的水质检测机构进行现场检测。</w:t>
            </w:r>
          </w:p>
          <w:p w14:paraId="3704449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14:paraId="270D8450">
            <w:pPr>
              <w:spacing w:line="320" w:lineRule="exact"/>
              <w:jc w:val="left"/>
              <w:rPr>
                <w:color w:val="000000"/>
                <w:kern w:val="0"/>
                <w:sz w:val="18"/>
                <w:szCs w:val="18"/>
              </w:rPr>
            </w:pPr>
            <w:r>
              <w:rPr>
                <w:rFonts w:hint="eastAsia"/>
                <w:color w:val="000000"/>
                <w:kern w:val="0"/>
                <w:sz w:val="18"/>
                <w:szCs w:val="18"/>
              </w:rPr>
              <w:t>（二）城市供水单位、二次供水管理单位未按规定进行水质检测或者委托检测的。</w:t>
            </w:r>
          </w:p>
        </w:tc>
      </w:tr>
      <w:tr w14:paraId="20AF9B8E">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11497A56">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4CA534D4">
            <w:pPr>
              <w:spacing w:line="320" w:lineRule="exact"/>
              <w:jc w:val="left"/>
              <w:rPr>
                <w:color w:val="000000"/>
                <w:kern w:val="0"/>
                <w:sz w:val="18"/>
                <w:szCs w:val="18"/>
              </w:rPr>
            </w:pPr>
            <w:r>
              <w:rPr>
                <w:rFonts w:hint="eastAsia"/>
                <w:color w:val="000000"/>
                <w:kern w:val="0"/>
                <w:sz w:val="18"/>
                <w:szCs w:val="18"/>
              </w:rPr>
              <w:t>警告；罚款</w:t>
            </w:r>
          </w:p>
        </w:tc>
      </w:tr>
      <w:tr w14:paraId="4631BA8E">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78929525">
            <w:pPr>
              <w:spacing w:line="320" w:lineRule="exact"/>
              <w:jc w:val="center"/>
              <w:rPr>
                <w:color w:val="000000"/>
                <w:kern w:val="0"/>
                <w:sz w:val="18"/>
                <w:szCs w:val="18"/>
              </w:rPr>
            </w:pPr>
            <w:r>
              <w:rPr>
                <w:rFonts w:hint="eastAsia"/>
                <w:color w:val="000000"/>
                <w:kern w:val="0"/>
                <w:sz w:val="18"/>
                <w:szCs w:val="18"/>
              </w:rPr>
              <w:t>裁量基准</w:t>
            </w:r>
          </w:p>
        </w:tc>
      </w:tr>
      <w:tr w14:paraId="3F4BAC0B">
        <w:tblPrEx>
          <w:tblCellMar>
            <w:top w:w="0" w:type="dxa"/>
            <w:left w:w="108" w:type="dxa"/>
            <w:bottom w:w="0" w:type="dxa"/>
            <w:right w:w="108" w:type="dxa"/>
          </w:tblCellMar>
        </w:tblPrEx>
        <w:trPr>
          <w:gridAfter w:val="1"/>
          <w:wAfter w:w="14" w:type="dxa"/>
          <w:trHeight w:val="285" w:hRule="atLeast"/>
        </w:trPr>
        <w:tc>
          <w:tcPr>
            <w:tcW w:w="996" w:type="dxa"/>
            <w:vMerge w:val="restart"/>
            <w:tcBorders>
              <w:top w:val="nil"/>
              <w:left w:val="single" w:color="auto" w:sz="8" w:space="0"/>
              <w:bottom w:val="nil"/>
              <w:right w:val="single" w:color="auto" w:sz="4" w:space="0"/>
            </w:tcBorders>
            <w:vAlign w:val="center"/>
          </w:tcPr>
          <w:p w14:paraId="24541D81">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color="auto" w:sz="4" w:space="0"/>
              <w:left w:val="nil"/>
              <w:right w:val="single" w:color="auto" w:sz="4" w:space="0"/>
            </w:tcBorders>
            <w:vAlign w:val="center"/>
          </w:tcPr>
          <w:p w14:paraId="766DDEFD">
            <w:pPr>
              <w:spacing w:line="320" w:lineRule="exact"/>
              <w:jc w:val="left"/>
              <w:rPr>
                <w:color w:val="000000"/>
                <w:kern w:val="0"/>
                <w:sz w:val="18"/>
                <w:szCs w:val="18"/>
              </w:rPr>
            </w:pPr>
          </w:p>
        </w:tc>
        <w:tc>
          <w:tcPr>
            <w:tcW w:w="1139" w:type="dxa"/>
            <w:tcBorders>
              <w:top w:val="nil"/>
              <w:left w:val="single" w:color="auto" w:sz="4" w:space="0"/>
              <w:bottom w:val="nil"/>
              <w:right w:val="single" w:color="auto" w:sz="4" w:space="0"/>
            </w:tcBorders>
            <w:vAlign w:val="center"/>
          </w:tcPr>
          <w:p w14:paraId="3910FB5F">
            <w:pPr>
              <w:spacing w:line="320" w:lineRule="exact"/>
              <w:jc w:val="left"/>
              <w:rPr>
                <w:color w:val="000000"/>
                <w:kern w:val="0"/>
                <w:sz w:val="18"/>
                <w:szCs w:val="18"/>
              </w:rPr>
            </w:pPr>
          </w:p>
        </w:tc>
        <w:tc>
          <w:tcPr>
            <w:tcW w:w="6180" w:type="dxa"/>
            <w:vMerge w:val="restart"/>
            <w:tcBorders>
              <w:top w:val="nil"/>
              <w:left w:val="nil"/>
              <w:right w:val="single" w:color="auto" w:sz="8" w:space="0"/>
            </w:tcBorders>
            <w:vAlign w:val="center"/>
          </w:tcPr>
          <w:p w14:paraId="1E3E0C65">
            <w:pPr>
              <w:spacing w:line="320" w:lineRule="exact"/>
              <w:jc w:val="left"/>
              <w:rPr>
                <w:color w:val="000000"/>
                <w:kern w:val="0"/>
                <w:sz w:val="18"/>
                <w:szCs w:val="18"/>
              </w:rPr>
            </w:pPr>
          </w:p>
        </w:tc>
      </w:tr>
      <w:tr w14:paraId="3D862F04">
        <w:tblPrEx>
          <w:tblCellMar>
            <w:top w:w="0" w:type="dxa"/>
            <w:left w:w="108" w:type="dxa"/>
            <w:bottom w:w="0" w:type="dxa"/>
            <w:right w:w="108" w:type="dxa"/>
          </w:tblCellMar>
        </w:tblPrEx>
        <w:trPr>
          <w:gridAfter w:val="1"/>
          <w:wAfter w:w="14" w:type="dxa"/>
          <w:trHeight w:val="285" w:hRule="atLeast"/>
        </w:trPr>
        <w:tc>
          <w:tcPr>
            <w:tcW w:w="996" w:type="dxa"/>
            <w:vMerge w:val="continue"/>
            <w:tcBorders>
              <w:top w:val="nil"/>
              <w:left w:val="single" w:color="auto" w:sz="8" w:space="0"/>
              <w:bottom w:val="nil"/>
              <w:right w:val="single" w:color="auto" w:sz="4" w:space="0"/>
            </w:tcBorders>
            <w:vAlign w:val="center"/>
          </w:tcPr>
          <w:p w14:paraId="35D4D532">
            <w:pPr>
              <w:spacing w:line="320" w:lineRule="exact"/>
              <w:jc w:val="left"/>
              <w:rPr>
                <w:color w:val="000000"/>
                <w:kern w:val="0"/>
                <w:sz w:val="18"/>
                <w:szCs w:val="18"/>
              </w:rPr>
            </w:pPr>
          </w:p>
        </w:tc>
        <w:tc>
          <w:tcPr>
            <w:tcW w:w="5701" w:type="dxa"/>
            <w:gridSpan w:val="2"/>
            <w:vMerge w:val="continue"/>
            <w:tcBorders>
              <w:left w:val="nil"/>
              <w:right w:val="single" w:color="auto" w:sz="4" w:space="0"/>
            </w:tcBorders>
            <w:vAlign w:val="center"/>
          </w:tcPr>
          <w:p w14:paraId="1969F11E">
            <w:pPr>
              <w:spacing w:line="320" w:lineRule="exact"/>
              <w:jc w:val="left"/>
              <w:rPr>
                <w:color w:val="000000"/>
                <w:kern w:val="0"/>
                <w:sz w:val="18"/>
                <w:szCs w:val="18"/>
              </w:rPr>
            </w:pPr>
          </w:p>
        </w:tc>
        <w:tc>
          <w:tcPr>
            <w:tcW w:w="1139" w:type="dxa"/>
            <w:tcBorders>
              <w:top w:val="nil"/>
              <w:left w:val="single" w:color="auto" w:sz="4" w:space="0"/>
              <w:bottom w:val="nil"/>
              <w:right w:val="single" w:color="auto" w:sz="4" w:space="0"/>
            </w:tcBorders>
            <w:vAlign w:val="center"/>
          </w:tcPr>
          <w:p w14:paraId="4B3C5ECE">
            <w:pPr>
              <w:spacing w:line="320" w:lineRule="exact"/>
              <w:jc w:val="left"/>
              <w:rPr>
                <w:color w:val="000000"/>
                <w:kern w:val="0"/>
                <w:sz w:val="18"/>
                <w:szCs w:val="18"/>
              </w:rPr>
            </w:pPr>
            <w:r>
              <w:rPr>
                <w:rFonts w:hint="eastAsia"/>
                <w:color w:val="000000"/>
                <w:kern w:val="0"/>
                <w:sz w:val="18"/>
                <w:szCs w:val="18"/>
              </w:rPr>
              <w:t>裁量幅度</w:t>
            </w:r>
          </w:p>
        </w:tc>
        <w:tc>
          <w:tcPr>
            <w:tcW w:w="6180" w:type="dxa"/>
            <w:vMerge w:val="continue"/>
            <w:tcBorders>
              <w:left w:val="nil"/>
              <w:right w:val="single" w:color="auto" w:sz="8" w:space="0"/>
            </w:tcBorders>
            <w:vAlign w:val="center"/>
          </w:tcPr>
          <w:p w14:paraId="69FDE262">
            <w:pPr>
              <w:spacing w:line="320" w:lineRule="exact"/>
              <w:jc w:val="left"/>
              <w:rPr>
                <w:color w:val="000000"/>
                <w:kern w:val="0"/>
                <w:sz w:val="18"/>
                <w:szCs w:val="18"/>
              </w:rPr>
            </w:pPr>
          </w:p>
        </w:tc>
      </w:tr>
      <w:tr w14:paraId="1CF85634">
        <w:tblPrEx>
          <w:tblCellMar>
            <w:top w:w="0" w:type="dxa"/>
            <w:left w:w="108" w:type="dxa"/>
            <w:bottom w:w="0" w:type="dxa"/>
            <w:right w:w="108" w:type="dxa"/>
          </w:tblCellMar>
        </w:tblPrEx>
        <w:trPr>
          <w:gridAfter w:val="1"/>
          <w:wAfter w:w="14" w:type="dxa"/>
          <w:trHeight w:val="285" w:hRule="atLeast"/>
        </w:trPr>
        <w:tc>
          <w:tcPr>
            <w:tcW w:w="996" w:type="dxa"/>
            <w:vMerge w:val="continue"/>
            <w:tcBorders>
              <w:top w:val="nil"/>
              <w:left w:val="single" w:color="auto" w:sz="8" w:space="0"/>
              <w:bottom w:val="single" w:color="auto" w:sz="4" w:space="0"/>
              <w:right w:val="single" w:color="auto" w:sz="4" w:space="0"/>
            </w:tcBorders>
            <w:vAlign w:val="center"/>
          </w:tcPr>
          <w:p w14:paraId="489217A0">
            <w:pPr>
              <w:spacing w:line="320" w:lineRule="exact"/>
              <w:jc w:val="left"/>
              <w:rPr>
                <w:color w:val="000000"/>
                <w:kern w:val="0"/>
                <w:sz w:val="18"/>
                <w:szCs w:val="18"/>
              </w:rPr>
            </w:pPr>
          </w:p>
        </w:tc>
        <w:tc>
          <w:tcPr>
            <w:tcW w:w="5701" w:type="dxa"/>
            <w:gridSpan w:val="2"/>
            <w:vMerge w:val="continue"/>
            <w:tcBorders>
              <w:left w:val="nil"/>
              <w:bottom w:val="single" w:color="auto" w:sz="4" w:space="0"/>
              <w:right w:val="single" w:color="auto" w:sz="4" w:space="0"/>
            </w:tcBorders>
            <w:vAlign w:val="center"/>
          </w:tcPr>
          <w:p w14:paraId="22D7065D">
            <w:pPr>
              <w:spacing w:line="320" w:lineRule="exact"/>
              <w:jc w:val="left"/>
              <w:rPr>
                <w:color w:val="000000"/>
                <w:kern w:val="0"/>
                <w:sz w:val="18"/>
                <w:szCs w:val="18"/>
              </w:rPr>
            </w:pPr>
          </w:p>
        </w:tc>
        <w:tc>
          <w:tcPr>
            <w:tcW w:w="1139" w:type="dxa"/>
            <w:tcBorders>
              <w:top w:val="nil"/>
              <w:left w:val="single" w:color="auto" w:sz="4" w:space="0"/>
              <w:bottom w:val="single" w:color="auto" w:sz="4" w:space="0"/>
              <w:right w:val="single" w:color="auto" w:sz="4" w:space="0"/>
            </w:tcBorders>
            <w:vAlign w:val="center"/>
          </w:tcPr>
          <w:p w14:paraId="4BC5730A">
            <w:pPr>
              <w:spacing w:line="320" w:lineRule="exact"/>
              <w:jc w:val="left"/>
              <w:rPr>
                <w:color w:val="000000"/>
                <w:kern w:val="0"/>
                <w:sz w:val="18"/>
                <w:szCs w:val="18"/>
              </w:rPr>
            </w:pPr>
          </w:p>
        </w:tc>
        <w:tc>
          <w:tcPr>
            <w:tcW w:w="6180" w:type="dxa"/>
            <w:vMerge w:val="continue"/>
            <w:tcBorders>
              <w:left w:val="nil"/>
              <w:bottom w:val="single" w:color="auto" w:sz="4" w:space="0"/>
              <w:right w:val="single" w:color="auto" w:sz="8" w:space="0"/>
            </w:tcBorders>
            <w:vAlign w:val="center"/>
          </w:tcPr>
          <w:p w14:paraId="5DA9DF1A">
            <w:pPr>
              <w:spacing w:line="320" w:lineRule="exact"/>
              <w:jc w:val="left"/>
              <w:rPr>
                <w:color w:val="000000"/>
                <w:kern w:val="0"/>
                <w:sz w:val="18"/>
                <w:szCs w:val="18"/>
              </w:rPr>
            </w:pPr>
          </w:p>
        </w:tc>
      </w:tr>
    </w:tbl>
    <w:p w14:paraId="67A84A64"/>
    <w:p w14:paraId="1F6FE6E4"/>
    <w:p w14:paraId="58910FF8"/>
    <w:p w14:paraId="097F9B0F"/>
    <w:p w14:paraId="69962FE1"/>
    <w:p w14:paraId="3C4B1467"/>
    <w:p w14:paraId="1CE6C402"/>
    <w:p w14:paraId="2EFE2A5A"/>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6140"/>
        <w:gridCol w:w="1150"/>
        <w:gridCol w:w="5700"/>
      </w:tblGrid>
      <w:tr w14:paraId="52F7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7EB2A08C">
            <w:pPr>
              <w:rPr>
                <w:color w:val="000000"/>
              </w:rPr>
            </w:pPr>
            <w:r>
              <w:rPr>
                <w:rFonts w:hint="eastAsia"/>
                <w:color w:val="000000"/>
              </w:rPr>
              <w:t>编号</w:t>
            </w:r>
          </w:p>
        </w:tc>
        <w:tc>
          <w:tcPr>
            <w:tcW w:w="12990" w:type="dxa"/>
            <w:gridSpan w:val="3"/>
            <w:vAlign w:val="center"/>
          </w:tcPr>
          <w:p w14:paraId="4B6C33A4">
            <w:pPr>
              <w:rPr>
                <w:b/>
                <w:bCs/>
                <w:color w:val="000000"/>
              </w:rPr>
            </w:pPr>
            <w:r>
              <w:rPr>
                <w:b/>
                <w:bCs/>
                <w:color w:val="000000"/>
              </w:rPr>
              <w:t>320217305000</w:t>
            </w:r>
          </w:p>
        </w:tc>
      </w:tr>
      <w:tr w14:paraId="7649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70" w:type="dxa"/>
            <w:vAlign w:val="center"/>
          </w:tcPr>
          <w:p w14:paraId="610A0266">
            <w:pPr>
              <w:rPr>
                <w:color w:val="000000"/>
              </w:rPr>
            </w:pPr>
            <w:r>
              <w:rPr>
                <w:rFonts w:hint="eastAsia"/>
                <w:color w:val="000000"/>
              </w:rPr>
              <w:t>行为名称</w:t>
            </w:r>
          </w:p>
        </w:tc>
        <w:tc>
          <w:tcPr>
            <w:tcW w:w="12990" w:type="dxa"/>
            <w:gridSpan w:val="3"/>
            <w:vAlign w:val="center"/>
          </w:tcPr>
          <w:p w14:paraId="5812138D">
            <w:pPr>
              <w:rPr>
                <w:color w:val="000000"/>
              </w:rPr>
            </w:pPr>
            <w:r>
              <w:rPr>
                <w:rFonts w:hint="eastAsia"/>
                <w:color w:val="000000"/>
              </w:rPr>
              <w:t>对招标人或其委托的招标代理机构在招标公告中有关获取招标文件的时间和办法的规定明显不合理的处罚</w:t>
            </w:r>
          </w:p>
        </w:tc>
      </w:tr>
      <w:tr w14:paraId="6DB7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070" w:type="dxa"/>
            <w:vAlign w:val="center"/>
          </w:tcPr>
          <w:p w14:paraId="3B0FC2CE">
            <w:pPr>
              <w:rPr>
                <w:color w:val="000000"/>
              </w:rPr>
            </w:pPr>
            <w:r>
              <w:rPr>
                <w:rFonts w:hint="eastAsia"/>
                <w:color w:val="000000"/>
              </w:rPr>
              <w:t>法律依据</w:t>
            </w:r>
          </w:p>
        </w:tc>
        <w:tc>
          <w:tcPr>
            <w:tcW w:w="12990" w:type="dxa"/>
            <w:gridSpan w:val="3"/>
            <w:vAlign w:val="center"/>
          </w:tcPr>
          <w:p w14:paraId="603C9EE4">
            <w:pPr>
              <w:rPr>
                <w:color w:val="000000"/>
              </w:rPr>
            </w:pPr>
            <w:r>
              <w:rPr>
                <w:color w:val="000000"/>
              </w:rPr>
              <w:t xml:space="preserve">   </w:t>
            </w:r>
            <w:r>
              <w:rPr>
                <w:rFonts w:hint="eastAsia"/>
                <w:color w:val="000000"/>
              </w:rPr>
              <w:t>【法律】《中华人民共和国招标投标法》</w:t>
            </w:r>
            <w:r>
              <w:rPr>
                <w:color w:val="000000"/>
              </w:rPr>
              <w:br w:type="textWrapping"/>
            </w:r>
            <w:r>
              <w:rPr>
                <w:rFonts w:hint="eastAsia"/>
                <w:color w:val="000000"/>
              </w:rPr>
              <w:t>　</w:t>
            </w:r>
            <w:r>
              <w:rPr>
                <w:color w:val="000000"/>
              </w:rPr>
              <w:t xml:space="preserve">   </w:t>
            </w:r>
            <w:r>
              <w:rPr>
                <w:rFonts w:hint="eastAsia"/>
                <w:color w:val="000000"/>
              </w:rPr>
              <w:t>第五十一条</w:t>
            </w:r>
            <w:r>
              <w:rPr>
                <w:color w:val="000000"/>
              </w:rPr>
              <w:t xml:space="preserve"> </w:t>
            </w:r>
            <w:r>
              <w:rPr>
                <w:rFonts w:hint="eastAsia"/>
                <w:color w:val="000000"/>
              </w:rPr>
              <w:t>招标人以不合理的条件限制或者排斥潜在投标人的，对潜在投标人实行歧视待遇的，强制要求投标人组成联合体共同投标的，或者限制投标人之间竞争的，责令改正，可以处一万元以上五万元以下的罚款。</w:t>
            </w:r>
            <w:r>
              <w:rPr>
                <w:color w:val="000000"/>
              </w:rPr>
              <w:br w:type="textWrapping"/>
            </w:r>
            <w:r>
              <w:rPr>
                <w:rFonts w:hint="eastAsia"/>
                <w:color w:val="000000"/>
              </w:rPr>
              <w:t>【规章】《招标公告发布暂行办法》（国家国家发展计划委令第</w:t>
            </w:r>
            <w:r>
              <w:rPr>
                <w:color w:val="000000"/>
              </w:rPr>
              <w:t>4</w:t>
            </w:r>
            <w:r>
              <w:rPr>
                <w:rFonts w:hint="eastAsia"/>
                <w:color w:val="000000"/>
              </w:rPr>
              <w:t>号）</w:t>
            </w:r>
            <w:r>
              <w:rPr>
                <w:color w:val="000000"/>
              </w:rPr>
              <w:br w:type="textWrapping"/>
            </w:r>
            <w:r>
              <w:rPr>
                <w:color w:val="000000"/>
              </w:rPr>
              <w:t xml:space="preserve"> </w:t>
            </w:r>
            <w:r>
              <w:rPr>
                <w:rFonts w:hint="eastAsia"/>
                <w:color w:val="000000"/>
              </w:rPr>
              <w:t>第十六条　招标人或其委托的招标代理机构有下列行为之一的，由国家发展计划委员会和有关行政监督部门视情节依照《中华人民共和国招标投标法》第四十九条、第五十一条的规定处罚：</w:t>
            </w:r>
            <w:r>
              <w:rPr>
                <w:color w:val="000000"/>
              </w:rPr>
              <w:br w:type="textWrapping"/>
            </w:r>
            <w:r>
              <w:rPr>
                <w:color w:val="000000"/>
              </w:rPr>
              <w:t xml:space="preserve"> （</w:t>
            </w:r>
            <w:r>
              <w:rPr>
                <w:rFonts w:hint="eastAsia"/>
                <w:color w:val="000000"/>
              </w:rPr>
              <w:t>三</w:t>
            </w:r>
            <w:r>
              <w:rPr>
                <w:color w:val="000000"/>
              </w:rPr>
              <w:t>）</w:t>
            </w:r>
            <w:r>
              <w:rPr>
                <w:rFonts w:hint="eastAsia"/>
                <w:color w:val="000000"/>
              </w:rPr>
              <w:t>招标公告中有关获取招标文件的时间和办法的规定明显不合理的；</w:t>
            </w:r>
          </w:p>
        </w:tc>
      </w:tr>
      <w:tr w14:paraId="50B4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73868D5B">
            <w:pPr>
              <w:rPr>
                <w:color w:val="000000"/>
              </w:rPr>
            </w:pPr>
            <w:r>
              <w:rPr>
                <w:rFonts w:hint="eastAsia"/>
                <w:color w:val="000000"/>
              </w:rPr>
              <w:t>行使内容</w:t>
            </w:r>
          </w:p>
        </w:tc>
        <w:tc>
          <w:tcPr>
            <w:tcW w:w="12990" w:type="dxa"/>
            <w:gridSpan w:val="3"/>
            <w:vAlign w:val="center"/>
          </w:tcPr>
          <w:p w14:paraId="289D5748">
            <w:pPr>
              <w:rPr>
                <w:color w:val="000000"/>
              </w:rPr>
            </w:pPr>
            <w:r>
              <w:rPr>
                <w:rFonts w:hint="eastAsia"/>
                <w:color w:val="000000"/>
              </w:rPr>
              <w:t>罚款</w:t>
            </w:r>
          </w:p>
        </w:tc>
      </w:tr>
      <w:tr w14:paraId="7601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60" w:type="dxa"/>
            <w:gridSpan w:val="4"/>
            <w:vAlign w:val="center"/>
          </w:tcPr>
          <w:p w14:paraId="198C706E">
            <w:pPr>
              <w:jc w:val="center"/>
              <w:rPr>
                <w:color w:val="000000"/>
              </w:rPr>
            </w:pPr>
            <w:r>
              <w:rPr>
                <w:rFonts w:hint="eastAsia"/>
                <w:color w:val="000000"/>
              </w:rPr>
              <w:t>裁量基准</w:t>
            </w:r>
          </w:p>
        </w:tc>
      </w:tr>
      <w:tr w14:paraId="0E6D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1070" w:type="dxa"/>
            <w:vMerge w:val="restart"/>
            <w:vAlign w:val="center"/>
          </w:tcPr>
          <w:p w14:paraId="3095307F">
            <w:pPr>
              <w:rPr>
                <w:color w:val="000000"/>
              </w:rPr>
            </w:pPr>
            <w:r>
              <w:rPr>
                <w:rFonts w:hint="eastAsia"/>
                <w:color w:val="000000"/>
                <w:kern w:val="0"/>
                <w:sz w:val="18"/>
                <w:szCs w:val="18"/>
              </w:rPr>
              <w:t>情形描述</w:t>
            </w:r>
          </w:p>
        </w:tc>
        <w:tc>
          <w:tcPr>
            <w:tcW w:w="6140" w:type="dxa"/>
            <w:vAlign w:val="center"/>
          </w:tcPr>
          <w:p w14:paraId="53B6D912">
            <w:pPr>
              <w:rPr>
                <w:color w:val="000000"/>
              </w:rPr>
            </w:pPr>
            <w:r>
              <w:rPr>
                <w:rFonts w:hint="eastAsia"/>
                <w:color w:val="000000"/>
                <w:kern w:val="0"/>
                <w:sz w:val="18"/>
                <w:szCs w:val="18"/>
              </w:rPr>
              <w:t>招标公告中有关获取招标文件的时间和办法的规定明显不合理，及时纠正的</w:t>
            </w:r>
          </w:p>
        </w:tc>
        <w:tc>
          <w:tcPr>
            <w:tcW w:w="1150" w:type="dxa"/>
            <w:vMerge w:val="restart"/>
            <w:vAlign w:val="center"/>
          </w:tcPr>
          <w:p w14:paraId="2B192AA5">
            <w:pPr>
              <w:rPr>
                <w:color w:val="000000"/>
              </w:rPr>
            </w:pPr>
            <w:r>
              <w:rPr>
                <w:rFonts w:hint="eastAsia"/>
                <w:color w:val="000000"/>
                <w:kern w:val="0"/>
                <w:sz w:val="18"/>
                <w:szCs w:val="18"/>
              </w:rPr>
              <w:t>裁量幅度</w:t>
            </w:r>
          </w:p>
        </w:tc>
        <w:tc>
          <w:tcPr>
            <w:tcW w:w="5700" w:type="dxa"/>
            <w:vAlign w:val="center"/>
          </w:tcPr>
          <w:p w14:paraId="71871A8C">
            <w:pPr>
              <w:rPr>
                <w:color w:val="000000"/>
              </w:rPr>
            </w:pPr>
            <w:r>
              <w:rPr>
                <w:rFonts w:hint="eastAsia"/>
                <w:color w:val="000000"/>
                <w:kern w:val="0"/>
                <w:sz w:val="18"/>
                <w:szCs w:val="18"/>
              </w:rPr>
              <w:t>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5F61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1070" w:type="dxa"/>
            <w:vMerge w:val="continue"/>
            <w:vAlign w:val="center"/>
          </w:tcPr>
          <w:p w14:paraId="7564BB2B">
            <w:pPr>
              <w:rPr>
                <w:color w:val="000000"/>
              </w:rPr>
            </w:pPr>
          </w:p>
        </w:tc>
        <w:tc>
          <w:tcPr>
            <w:tcW w:w="6140" w:type="dxa"/>
            <w:vAlign w:val="center"/>
          </w:tcPr>
          <w:p w14:paraId="38EED369">
            <w:pPr>
              <w:rPr>
                <w:color w:val="000000"/>
              </w:rPr>
            </w:pPr>
            <w:r>
              <w:rPr>
                <w:rFonts w:hint="eastAsia"/>
                <w:color w:val="000000"/>
                <w:kern w:val="0"/>
                <w:sz w:val="18"/>
                <w:szCs w:val="18"/>
              </w:rPr>
              <w:t>在不同媒介发布的同一招标项目的资格预审公告或者招标公告的内容不一致，拒不纠正的</w:t>
            </w:r>
          </w:p>
        </w:tc>
        <w:tc>
          <w:tcPr>
            <w:tcW w:w="1150" w:type="dxa"/>
            <w:vMerge w:val="continue"/>
            <w:vAlign w:val="center"/>
          </w:tcPr>
          <w:p w14:paraId="7CAB8700">
            <w:pPr>
              <w:rPr>
                <w:color w:val="000000"/>
              </w:rPr>
            </w:pPr>
          </w:p>
        </w:tc>
        <w:tc>
          <w:tcPr>
            <w:tcW w:w="5700" w:type="dxa"/>
            <w:vAlign w:val="center"/>
          </w:tcPr>
          <w:p w14:paraId="627D454B">
            <w:pPr>
              <w:rPr>
                <w:color w:val="000000"/>
              </w:rPr>
            </w:pPr>
            <w:r>
              <w:rPr>
                <w:rFonts w:hint="eastAsia"/>
                <w:color w:val="000000"/>
                <w:kern w:val="0"/>
                <w:sz w:val="18"/>
                <w:szCs w:val="18"/>
              </w:rPr>
              <w:t>责令限期改正，处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bl>
    <w:p w14:paraId="0FAF2EAF"/>
    <w:p w14:paraId="3C7C871E"/>
    <w:p w14:paraId="5A39FA7D"/>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7275804E">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0A288D5E">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66F9A959">
            <w:pPr>
              <w:spacing w:line="320" w:lineRule="exact"/>
              <w:jc w:val="left"/>
              <w:rPr>
                <w:rFonts w:eastAsia="仿宋_GB2312"/>
                <w:b/>
                <w:bCs/>
                <w:color w:val="000000"/>
                <w:kern w:val="0"/>
                <w:sz w:val="18"/>
                <w:szCs w:val="18"/>
              </w:rPr>
            </w:pPr>
            <w:r>
              <w:rPr>
                <w:rFonts w:eastAsia="仿宋_GB2312"/>
                <w:b/>
                <w:bCs/>
                <w:color w:val="000000"/>
                <w:kern w:val="0"/>
                <w:sz w:val="18"/>
                <w:szCs w:val="18"/>
              </w:rPr>
              <w:t>320217308000</w:t>
            </w:r>
            <w:r>
              <w:rPr>
                <w:rFonts w:hint="eastAsia" w:eastAsia="仿宋_GB2312"/>
                <w:b/>
                <w:bCs/>
                <w:color w:val="000000"/>
                <w:kern w:val="0"/>
                <w:sz w:val="18"/>
                <w:szCs w:val="18"/>
              </w:rPr>
              <w:t xml:space="preserve"> </w:t>
            </w:r>
          </w:p>
        </w:tc>
      </w:tr>
      <w:tr w14:paraId="4596D5A5">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54ED56CE">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52EC43E5">
            <w:pPr>
              <w:spacing w:line="320" w:lineRule="exact"/>
              <w:jc w:val="left"/>
              <w:rPr>
                <w:color w:val="000000"/>
                <w:kern w:val="0"/>
                <w:sz w:val="18"/>
                <w:szCs w:val="18"/>
              </w:rPr>
            </w:pPr>
            <w:r>
              <w:rPr>
                <w:rFonts w:hint="eastAsia"/>
                <w:color w:val="000000"/>
                <w:kern w:val="0"/>
                <w:sz w:val="18"/>
                <w:szCs w:val="18"/>
              </w:rPr>
              <w:t>对存放气瓶的场所与公共建筑和居民住宅建筑的距离不符合国家和省规定的安全要求的处罚</w:t>
            </w:r>
          </w:p>
        </w:tc>
      </w:tr>
      <w:tr w14:paraId="5F32FA87">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748304B8">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70324840">
            <w:pPr>
              <w:jc w:val="left"/>
              <w:textAlignment w:val="center"/>
              <w:rPr>
                <w:color w:val="000000"/>
                <w:kern w:val="0"/>
                <w:sz w:val="18"/>
                <w:szCs w:val="18"/>
              </w:rPr>
            </w:pPr>
            <w:r>
              <w:rPr>
                <w:rFonts w:hint="eastAsia"/>
                <w:color w:val="000000"/>
                <w:kern w:val="0"/>
                <w:sz w:val="18"/>
                <w:szCs w:val="18"/>
              </w:rPr>
              <w:t>【地方性法规】《江苏省燃气管理条例》</w:t>
            </w:r>
          </w:p>
          <w:p w14:paraId="123C92EA">
            <w:pPr>
              <w:jc w:val="left"/>
              <w:textAlignment w:val="center"/>
              <w:rPr>
                <w:color w:val="000000"/>
                <w:kern w:val="0"/>
                <w:sz w:val="18"/>
                <w:szCs w:val="18"/>
              </w:rPr>
            </w:pPr>
            <w:r>
              <w:rPr>
                <w:rFonts w:hint="eastAsia"/>
                <w:color w:val="000000"/>
                <w:kern w:val="0"/>
                <w:sz w:val="18"/>
                <w:szCs w:val="18"/>
              </w:rPr>
              <w:t>　第二十三条  瓶装燃气经营者应当遵守下列规定：</w:t>
            </w:r>
          </w:p>
          <w:p w14:paraId="0FB35C80">
            <w:pPr>
              <w:jc w:val="left"/>
              <w:textAlignment w:val="center"/>
              <w:rPr>
                <w:color w:val="000000"/>
                <w:kern w:val="0"/>
                <w:sz w:val="18"/>
                <w:szCs w:val="18"/>
              </w:rPr>
            </w:pPr>
            <w:r>
              <w:rPr>
                <w:rFonts w:hint="eastAsia"/>
                <w:color w:val="000000"/>
                <w:kern w:val="0"/>
                <w:sz w:val="18"/>
                <w:szCs w:val="18"/>
              </w:rPr>
              <w:t xml:space="preserve">   （五）存放气瓶的场所与公共建筑和居民住宅建筑的距离必须符合国家和省规定的安全要求；</w:t>
            </w:r>
          </w:p>
          <w:p w14:paraId="76D2E5D1">
            <w:pPr>
              <w:jc w:val="left"/>
              <w:textAlignment w:val="center"/>
              <w:rPr>
                <w:color w:val="000000"/>
                <w:kern w:val="0"/>
                <w:sz w:val="18"/>
                <w:szCs w:val="18"/>
              </w:rPr>
            </w:pPr>
            <w:r>
              <w:rPr>
                <w:rFonts w:hint="eastAsia"/>
                <w:color w:val="000000"/>
                <w:kern w:val="0"/>
                <w:sz w:val="18"/>
                <w:szCs w:val="18"/>
              </w:rPr>
              <w:t>　第六十一条第二款 违反本条例第二十三条第三项至第六项规定，由燃气主管部门责令限期改正，处一万元以上十万元以下罚款。</w:t>
            </w:r>
          </w:p>
        </w:tc>
      </w:tr>
      <w:tr w14:paraId="3CA4638A">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4F2519BF">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43838D9F">
            <w:pPr>
              <w:spacing w:line="320" w:lineRule="exact"/>
              <w:jc w:val="left"/>
              <w:rPr>
                <w:color w:val="000000"/>
                <w:kern w:val="0"/>
                <w:sz w:val="18"/>
                <w:szCs w:val="18"/>
              </w:rPr>
            </w:pPr>
            <w:r>
              <w:rPr>
                <w:rFonts w:hint="eastAsia"/>
                <w:color w:val="000000"/>
                <w:kern w:val="0"/>
                <w:sz w:val="18"/>
                <w:szCs w:val="18"/>
              </w:rPr>
              <w:t>责令限期改正，罚款</w:t>
            </w:r>
          </w:p>
        </w:tc>
      </w:tr>
      <w:tr w14:paraId="7B87D0DA">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7803B614">
            <w:pPr>
              <w:spacing w:line="320" w:lineRule="exact"/>
              <w:jc w:val="center"/>
              <w:rPr>
                <w:color w:val="000000"/>
                <w:kern w:val="0"/>
                <w:sz w:val="18"/>
                <w:szCs w:val="18"/>
              </w:rPr>
            </w:pPr>
            <w:r>
              <w:rPr>
                <w:rFonts w:hint="eastAsia"/>
                <w:color w:val="000000"/>
                <w:kern w:val="0"/>
                <w:sz w:val="18"/>
                <w:szCs w:val="18"/>
              </w:rPr>
              <w:t>裁量基准</w:t>
            </w:r>
          </w:p>
        </w:tc>
      </w:tr>
      <w:tr w14:paraId="6E400708">
        <w:tblPrEx>
          <w:tblCellMar>
            <w:top w:w="0" w:type="dxa"/>
            <w:left w:w="108" w:type="dxa"/>
            <w:bottom w:w="0" w:type="dxa"/>
            <w:right w:w="108" w:type="dxa"/>
          </w:tblCellMar>
        </w:tblPrEx>
        <w:trPr>
          <w:gridAfter w:val="1"/>
          <w:wAfter w:w="14" w:type="dxa"/>
          <w:trHeight w:val="285"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0C9073D0">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38E50D1F">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single" w:color="auto" w:sz="4" w:space="0"/>
              <w:left w:val="single" w:color="auto" w:sz="4" w:space="0"/>
              <w:bottom w:val="single" w:color="auto" w:sz="4" w:space="0"/>
              <w:right w:val="single" w:color="auto" w:sz="4" w:space="0"/>
            </w:tcBorders>
            <w:vAlign w:val="center"/>
          </w:tcPr>
          <w:p w14:paraId="3ABD928E">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color="auto" w:sz="4" w:space="0"/>
              <w:left w:val="nil"/>
              <w:bottom w:val="single" w:color="auto" w:sz="4" w:space="0"/>
              <w:right w:val="single" w:color="auto" w:sz="4" w:space="0"/>
            </w:tcBorders>
            <w:vAlign w:val="center"/>
          </w:tcPr>
          <w:p w14:paraId="026C42F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万元以上5万元以下罚款</w:t>
            </w:r>
          </w:p>
        </w:tc>
      </w:tr>
      <w:tr w14:paraId="3E162EA3">
        <w:tblPrEx>
          <w:tblCellMar>
            <w:top w:w="0" w:type="dxa"/>
            <w:left w:w="108" w:type="dxa"/>
            <w:bottom w:w="0" w:type="dxa"/>
            <w:right w:w="108" w:type="dxa"/>
          </w:tblCellMar>
        </w:tblPrEx>
        <w:trPr>
          <w:gridAfter w:val="1"/>
          <w:wAfter w:w="14" w:type="dxa"/>
          <w:trHeight w:val="650"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3D68022D">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493ECEDF">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val="continue"/>
            <w:tcBorders>
              <w:top w:val="single" w:color="auto" w:sz="4" w:space="0"/>
              <w:left w:val="single" w:color="auto" w:sz="4" w:space="0"/>
              <w:bottom w:val="single" w:color="auto" w:sz="4" w:space="0"/>
              <w:right w:val="single" w:color="auto" w:sz="4" w:space="0"/>
            </w:tcBorders>
            <w:vAlign w:val="center"/>
          </w:tcPr>
          <w:p w14:paraId="7AB302B3">
            <w:pPr>
              <w:spacing w:line="320" w:lineRule="exact"/>
              <w:jc w:val="left"/>
              <w:rPr>
                <w:color w:val="000000"/>
                <w:kern w:val="0"/>
                <w:sz w:val="18"/>
                <w:szCs w:val="18"/>
              </w:rPr>
            </w:pPr>
          </w:p>
        </w:tc>
        <w:tc>
          <w:tcPr>
            <w:tcW w:w="6180" w:type="dxa"/>
            <w:tcBorders>
              <w:top w:val="single" w:color="auto" w:sz="4" w:space="0"/>
              <w:left w:val="nil"/>
              <w:bottom w:val="single" w:color="auto" w:sz="4" w:space="0"/>
              <w:right w:val="single" w:color="auto" w:sz="4" w:space="0"/>
            </w:tcBorders>
            <w:vAlign w:val="center"/>
          </w:tcPr>
          <w:p w14:paraId="0DF934EF">
            <w:pPr>
              <w:spacing w:line="320" w:lineRule="exact"/>
              <w:jc w:val="left"/>
              <w:rPr>
                <w:color w:val="000000"/>
                <w:kern w:val="0"/>
                <w:sz w:val="18"/>
                <w:szCs w:val="18"/>
              </w:rPr>
            </w:pPr>
            <w:r>
              <w:rPr>
                <w:rFonts w:hint="eastAsia"/>
                <w:color w:val="000000"/>
                <w:kern w:val="0"/>
                <w:sz w:val="18"/>
                <w:szCs w:val="18"/>
              </w:rPr>
              <w:t>处5万元以上10万元以下罚款</w:t>
            </w:r>
          </w:p>
        </w:tc>
      </w:tr>
    </w:tbl>
    <w:p w14:paraId="362DEBDB"/>
    <w:p w14:paraId="0D0EB08F"/>
    <w:p w14:paraId="3E410581"/>
    <w:p w14:paraId="72A018AB"/>
    <w:p w14:paraId="0783B032"/>
    <w:p w14:paraId="00B863E9"/>
    <w:p w14:paraId="52028AD1"/>
    <w:p w14:paraId="6CF23B7E"/>
    <w:p w14:paraId="1B374BF0"/>
    <w:tbl>
      <w:tblPr>
        <w:tblStyle w:val="15"/>
        <w:tblW w:w="0" w:type="auto"/>
        <w:tblInd w:w="88" w:type="dxa"/>
        <w:tblLayout w:type="fixed"/>
        <w:tblCellMar>
          <w:top w:w="0" w:type="dxa"/>
          <w:left w:w="108" w:type="dxa"/>
          <w:bottom w:w="0" w:type="dxa"/>
          <w:right w:w="108" w:type="dxa"/>
        </w:tblCellMar>
      </w:tblPr>
      <w:tblGrid>
        <w:gridCol w:w="1010"/>
        <w:gridCol w:w="6376"/>
        <w:gridCol w:w="1016"/>
        <w:gridCol w:w="5614"/>
      </w:tblGrid>
      <w:tr w14:paraId="38AE1874">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23D80F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71D86395">
            <w:pPr>
              <w:spacing w:line="320" w:lineRule="exact"/>
              <w:jc w:val="left"/>
              <w:rPr>
                <w:rFonts w:eastAsia="仿宋_GB2312"/>
                <w:b/>
                <w:bCs/>
                <w:color w:val="000000"/>
                <w:kern w:val="0"/>
                <w:sz w:val="18"/>
                <w:szCs w:val="18"/>
              </w:rPr>
            </w:pPr>
            <w:r>
              <w:rPr>
                <w:rFonts w:eastAsia="仿宋_GB2312"/>
                <w:b/>
                <w:bCs/>
                <w:color w:val="000000"/>
                <w:kern w:val="0"/>
                <w:sz w:val="18"/>
                <w:szCs w:val="18"/>
              </w:rPr>
              <w:t>320217310000</w:t>
            </w:r>
          </w:p>
        </w:tc>
      </w:tr>
      <w:tr w14:paraId="6E57020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AE1756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13B60A30">
            <w:pPr>
              <w:spacing w:line="320" w:lineRule="exact"/>
              <w:jc w:val="left"/>
              <w:rPr>
                <w:color w:val="000000"/>
                <w:kern w:val="0"/>
                <w:sz w:val="18"/>
                <w:szCs w:val="18"/>
              </w:rPr>
            </w:pPr>
            <w:r>
              <w:rPr>
                <w:rFonts w:hint="eastAsia"/>
                <w:color w:val="000000"/>
                <w:kern w:val="0"/>
                <w:sz w:val="18"/>
                <w:szCs w:val="18"/>
              </w:rPr>
              <w:t>对从事餐厨废弃物收集、运输服务的企业未建立餐厨废弃物收集、运输台账制度，或收集、运输台账未按照规定每月向当地人民政府市容环境卫生主管部门报送的处罚</w:t>
            </w:r>
          </w:p>
        </w:tc>
      </w:tr>
      <w:tr w14:paraId="1192F871">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38DA7A2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4F8FF035">
            <w:pPr>
              <w:spacing w:line="320" w:lineRule="exact"/>
              <w:jc w:val="left"/>
              <w:rPr>
                <w:color w:val="000000"/>
                <w:kern w:val="0"/>
                <w:sz w:val="18"/>
                <w:szCs w:val="18"/>
              </w:rPr>
            </w:pPr>
            <w:r>
              <w:rPr>
                <w:rFonts w:hint="eastAsia"/>
                <w:color w:val="000000"/>
                <w:kern w:val="0"/>
                <w:sz w:val="18"/>
                <w:szCs w:val="18"/>
              </w:rPr>
              <w:t xml:space="preserve">【规章】《江苏省餐厨废弃物管理办法》（省政府令第70号，省政府令第127号、第156号修订）   </w:t>
            </w:r>
          </w:p>
          <w:p w14:paraId="64210D0F">
            <w:pPr>
              <w:spacing w:line="320" w:lineRule="exact"/>
              <w:jc w:val="left"/>
              <w:rPr>
                <w:color w:val="000000"/>
                <w:kern w:val="0"/>
                <w:sz w:val="18"/>
                <w:szCs w:val="18"/>
              </w:rPr>
            </w:pPr>
            <w:r>
              <w:rPr>
                <w:rFonts w:hint="eastAsia"/>
                <w:color w:val="000000"/>
                <w:kern w:val="0"/>
                <w:sz w:val="18"/>
                <w:szCs w:val="18"/>
              </w:rPr>
              <w:t xml:space="preserve">       第二十一条 从事餐厨废弃物收集、运输服务的企业应当遵守下列规定：</w:t>
            </w:r>
          </w:p>
          <w:p w14:paraId="0E98876A">
            <w:pPr>
              <w:spacing w:line="320" w:lineRule="exact"/>
              <w:jc w:val="left"/>
              <w:rPr>
                <w:color w:val="000000"/>
                <w:kern w:val="0"/>
                <w:sz w:val="18"/>
                <w:szCs w:val="18"/>
              </w:rPr>
            </w:pPr>
            <w:r>
              <w:rPr>
                <w:rFonts w:hint="eastAsia"/>
                <w:color w:val="000000"/>
                <w:kern w:val="0"/>
                <w:sz w:val="18"/>
                <w:szCs w:val="18"/>
              </w:rPr>
              <w:t xml:space="preserve">    （五）建立餐厨废弃物收集、运输台账制度，收集、运输台账应当每月向当地人民政府市容环境卫生主管部门报送一次；</w:t>
            </w:r>
          </w:p>
          <w:p w14:paraId="1EB8F62F">
            <w:pPr>
              <w:spacing w:line="320" w:lineRule="exact"/>
              <w:jc w:val="left"/>
              <w:rPr>
                <w:color w:val="000000"/>
                <w:kern w:val="0"/>
                <w:sz w:val="18"/>
                <w:szCs w:val="18"/>
              </w:rPr>
            </w:pPr>
            <w:r>
              <w:rPr>
                <w:rFonts w:hint="eastAsia"/>
                <w:color w:val="000000"/>
                <w:kern w:val="0"/>
                <w:sz w:val="18"/>
                <w:szCs w:val="18"/>
              </w:rPr>
              <w:t xml:space="preserve">      第四十三条第一款　从事餐厨废弃物收集、运输服务的企业有违反本办法第二十一条第（一）项至第（五）项情形之一的，由县级以上地方人民政府市容环境卫生主管部门责令限期改正，并处5000元以上10000元以下罚款。</w:t>
            </w:r>
          </w:p>
        </w:tc>
      </w:tr>
      <w:tr w14:paraId="39464A8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521283D">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058C5FE8">
            <w:pPr>
              <w:spacing w:line="320" w:lineRule="exact"/>
              <w:jc w:val="left"/>
              <w:rPr>
                <w:color w:val="000000"/>
                <w:kern w:val="0"/>
                <w:sz w:val="18"/>
                <w:szCs w:val="18"/>
              </w:rPr>
            </w:pPr>
            <w:r>
              <w:rPr>
                <w:rFonts w:hint="eastAsia"/>
                <w:color w:val="000000"/>
                <w:kern w:val="0"/>
                <w:sz w:val="18"/>
                <w:szCs w:val="18"/>
              </w:rPr>
              <w:t>罚款</w:t>
            </w:r>
          </w:p>
        </w:tc>
      </w:tr>
      <w:tr w14:paraId="45DA9DC6">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E104094">
            <w:pPr>
              <w:spacing w:line="320" w:lineRule="exact"/>
              <w:jc w:val="center"/>
              <w:rPr>
                <w:color w:val="000000"/>
                <w:kern w:val="0"/>
                <w:sz w:val="18"/>
                <w:szCs w:val="18"/>
              </w:rPr>
            </w:pPr>
            <w:r>
              <w:rPr>
                <w:rFonts w:hint="eastAsia"/>
                <w:color w:val="000000"/>
                <w:kern w:val="0"/>
                <w:sz w:val="18"/>
                <w:szCs w:val="18"/>
              </w:rPr>
              <w:t>裁量基准</w:t>
            </w:r>
          </w:p>
        </w:tc>
      </w:tr>
      <w:tr w14:paraId="1CADDF4F">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5DE69A14">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51E824A7">
            <w:pPr>
              <w:spacing w:line="320" w:lineRule="exact"/>
              <w:jc w:val="left"/>
              <w:rPr>
                <w:color w:val="000000"/>
                <w:kern w:val="0"/>
                <w:sz w:val="18"/>
                <w:szCs w:val="18"/>
              </w:rPr>
            </w:pPr>
            <w:r>
              <w:rPr>
                <w:rFonts w:hint="eastAsia"/>
                <w:color w:val="000000"/>
                <w:kern w:val="0"/>
                <w:sz w:val="18"/>
                <w:szCs w:val="18"/>
              </w:rPr>
              <w:t>建立台账但未向当地人民政府市容环境卫生主管部门报送的</w:t>
            </w:r>
          </w:p>
        </w:tc>
        <w:tc>
          <w:tcPr>
            <w:tcW w:w="1016" w:type="dxa"/>
            <w:vMerge w:val="restart"/>
            <w:tcBorders>
              <w:top w:val="nil"/>
              <w:left w:val="single" w:color="auto" w:sz="4" w:space="0"/>
              <w:bottom w:val="single" w:color="auto" w:sz="4" w:space="0"/>
              <w:right w:val="single" w:color="auto" w:sz="4" w:space="0"/>
            </w:tcBorders>
            <w:vAlign w:val="center"/>
          </w:tcPr>
          <w:p w14:paraId="2FB4B2EF">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718E06C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14:paraId="5D3A39C9">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1E29DC82">
            <w:pPr>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0CBDE9DA">
            <w:pPr>
              <w:spacing w:line="320" w:lineRule="exact"/>
              <w:jc w:val="left"/>
              <w:rPr>
                <w:color w:val="000000"/>
                <w:kern w:val="0"/>
                <w:sz w:val="18"/>
                <w:szCs w:val="18"/>
              </w:rPr>
            </w:pPr>
            <w:r>
              <w:rPr>
                <w:rFonts w:hint="eastAsia"/>
                <w:color w:val="000000"/>
                <w:kern w:val="0"/>
                <w:sz w:val="18"/>
                <w:szCs w:val="18"/>
              </w:rPr>
              <w:t>未建立台账制度的</w:t>
            </w:r>
          </w:p>
        </w:tc>
        <w:tc>
          <w:tcPr>
            <w:tcW w:w="1016" w:type="dxa"/>
            <w:vMerge w:val="continue"/>
            <w:tcBorders>
              <w:top w:val="nil"/>
              <w:left w:val="single" w:color="auto" w:sz="4" w:space="0"/>
              <w:bottom w:val="single" w:color="auto" w:sz="4" w:space="0"/>
              <w:right w:val="single" w:color="auto" w:sz="4" w:space="0"/>
            </w:tcBorders>
            <w:vAlign w:val="center"/>
          </w:tcPr>
          <w:p w14:paraId="39251339">
            <w:pPr>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2C228D1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7088FB94"/>
    <w:p w14:paraId="3D6973BD"/>
    <w:p w14:paraId="0AE7B83F"/>
    <w:p w14:paraId="0A3E607E"/>
    <w:p w14:paraId="40D7662E"/>
    <w:p w14:paraId="16F4F321"/>
    <w:p w14:paraId="124F2D08"/>
    <w:p w14:paraId="4C82D7CC"/>
    <w:p w14:paraId="372663B4"/>
    <w:p w14:paraId="1429F921"/>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40514F42">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B4C1E5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12DE1C9F">
            <w:pPr>
              <w:jc w:val="left"/>
              <w:textAlignment w:val="center"/>
              <w:rPr>
                <w:rFonts w:eastAsia="仿宋_GB2312"/>
                <w:b/>
                <w:bCs/>
                <w:color w:val="000000"/>
                <w:kern w:val="0"/>
                <w:sz w:val="18"/>
                <w:szCs w:val="18"/>
              </w:rPr>
            </w:pPr>
            <w:r>
              <w:rPr>
                <w:rFonts w:eastAsia="仿宋_GB2312"/>
                <w:b/>
                <w:color w:val="000000"/>
                <w:kern w:val="0"/>
                <w:sz w:val="20"/>
              </w:rPr>
              <w:t>320217311000</w:t>
            </w:r>
            <w:r>
              <w:rPr>
                <w:rFonts w:hint="eastAsia" w:eastAsia="仿宋_GB2312"/>
                <w:b/>
                <w:color w:val="000000"/>
                <w:kern w:val="0"/>
                <w:sz w:val="20"/>
              </w:rPr>
              <w:t xml:space="preserve"> </w:t>
            </w:r>
          </w:p>
        </w:tc>
      </w:tr>
      <w:tr w14:paraId="61264CA4">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4E2DA3F">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7A7B02C5">
            <w:pPr>
              <w:spacing w:line="320" w:lineRule="exact"/>
              <w:jc w:val="left"/>
              <w:rPr>
                <w:color w:val="000000"/>
                <w:kern w:val="0"/>
                <w:sz w:val="18"/>
                <w:szCs w:val="18"/>
              </w:rPr>
            </w:pPr>
            <w:r>
              <w:rPr>
                <w:rFonts w:hint="eastAsia"/>
                <w:color w:val="000000"/>
                <w:kern w:val="0"/>
                <w:sz w:val="18"/>
                <w:szCs w:val="18"/>
              </w:rPr>
              <w:t>对注册建造师在执业过程中允许他人以自己的名义从事执业活动的处罚</w:t>
            </w:r>
          </w:p>
        </w:tc>
      </w:tr>
      <w:tr w14:paraId="62181D65">
        <w:tblPrEx>
          <w:tblCellMar>
            <w:top w:w="0" w:type="dxa"/>
            <w:left w:w="108" w:type="dxa"/>
            <w:bottom w:w="0" w:type="dxa"/>
            <w:right w:w="108" w:type="dxa"/>
          </w:tblCellMar>
        </w:tblPrEx>
        <w:trPr>
          <w:trHeight w:val="1350" w:hRule="atLeast"/>
        </w:trPr>
        <w:tc>
          <w:tcPr>
            <w:tcW w:w="1056" w:type="dxa"/>
            <w:tcBorders>
              <w:top w:val="nil"/>
              <w:left w:val="single" w:color="auto" w:sz="8" w:space="0"/>
              <w:bottom w:val="single" w:color="auto" w:sz="4" w:space="0"/>
              <w:right w:val="single" w:color="auto" w:sz="4" w:space="0"/>
            </w:tcBorders>
            <w:vAlign w:val="center"/>
          </w:tcPr>
          <w:p w14:paraId="730931DE">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3F4084CE">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注册建造师不得有下列行为：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（五）允许他人以自己的名义从事执业活动。</w:t>
            </w:r>
            <w:r>
              <w:rPr>
                <w:color w:val="000000"/>
                <w:kern w:val="0"/>
                <w:sz w:val="18"/>
                <w:szCs w:val="18"/>
              </w:rPr>
              <w:br w:type="textWrapping"/>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违反本规定，注册建造师在执业活动中有第二十六条所列行为之一的，由县级以上地方人民政府建设主管部门或者其他有关部门给予警告，责令改正，没有违法所得的，处以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1CADEBD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1F2B947">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32FF664F">
            <w:pPr>
              <w:spacing w:line="320" w:lineRule="exact"/>
              <w:jc w:val="left"/>
              <w:rPr>
                <w:color w:val="000000"/>
                <w:kern w:val="0"/>
                <w:sz w:val="18"/>
                <w:szCs w:val="18"/>
              </w:rPr>
            </w:pPr>
            <w:r>
              <w:rPr>
                <w:rFonts w:hint="eastAsia"/>
                <w:color w:val="000000"/>
                <w:kern w:val="0"/>
                <w:sz w:val="18"/>
                <w:szCs w:val="18"/>
              </w:rPr>
              <w:t>警告，罚款</w:t>
            </w:r>
          </w:p>
        </w:tc>
      </w:tr>
      <w:tr w14:paraId="04A6E14D">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2C823320">
            <w:pPr>
              <w:spacing w:line="320" w:lineRule="exact"/>
              <w:jc w:val="center"/>
              <w:rPr>
                <w:color w:val="000000"/>
                <w:kern w:val="0"/>
                <w:sz w:val="18"/>
                <w:szCs w:val="18"/>
              </w:rPr>
            </w:pPr>
            <w:r>
              <w:rPr>
                <w:rFonts w:hint="eastAsia"/>
                <w:color w:val="000000"/>
                <w:kern w:val="0"/>
                <w:sz w:val="18"/>
                <w:szCs w:val="18"/>
              </w:rPr>
              <w:t>裁量基准</w:t>
            </w:r>
          </w:p>
        </w:tc>
      </w:tr>
      <w:tr w14:paraId="505F71E3">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586ADB72">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6BCB93DB">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1C92974B">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06EED414">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2981A0BA">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6CEB42A2">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2F8C809">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33672EAE">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AA1A104">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7EAF3BB8">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FE23378">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58B1ABFE">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0424E640">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59A45B1A">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0AF27E5B">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17159A73">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A23FF99">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3F96EB44">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E663424">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6E5AC9F8">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1AF0F02F">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13E79A64">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368E488">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5788B7AF"/>
    <w:p w14:paraId="0FE41E93"/>
    <w:p w14:paraId="3390AF99"/>
    <w:p w14:paraId="366163E7"/>
    <w:p w14:paraId="38B5C4B8"/>
    <w:p w14:paraId="112CFFBE"/>
    <w:p w14:paraId="6B915040"/>
    <w:p w14:paraId="0E389412"/>
    <w:p w14:paraId="12F9B9AA"/>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018DB6C4">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B785671">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12CB9E35">
            <w:pPr>
              <w:jc w:val="left"/>
              <w:textAlignment w:val="center"/>
              <w:rPr>
                <w:rFonts w:eastAsia="仿宋_GB2312"/>
                <w:b/>
                <w:bCs/>
                <w:color w:val="000000"/>
                <w:kern w:val="0"/>
                <w:sz w:val="18"/>
                <w:szCs w:val="18"/>
              </w:rPr>
            </w:pPr>
            <w:r>
              <w:rPr>
                <w:rFonts w:eastAsia="仿宋_GB2312"/>
                <w:b/>
                <w:color w:val="000000"/>
                <w:kern w:val="0"/>
                <w:sz w:val="20"/>
              </w:rPr>
              <w:t>320217312000</w:t>
            </w:r>
            <w:r>
              <w:rPr>
                <w:rFonts w:hint="eastAsia" w:eastAsia="仿宋_GB2312"/>
                <w:b/>
                <w:color w:val="000000"/>
                <w:kern w:val="0"/>
                <w:sz w:val="20"/>
              </w:rPr>
              <w:t xml:space="preserve"> </w:t>
            </w:r>
          </w:p>
        </w:tc>
      </w:tr>
      <w:tr w14:paraId="7052F86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9CCA4ED">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5DC737FC">
            <w:pPr>
              <w:spacing w:line="320" w:lineRule="exact"/>
              <w:jc w:val="left"/>
              <w:rPr>
                <w:color w:val="000000"/>
                <w:kern w:val="0"/>
                <w:sz w:val="18"/>
                <w:szCs w:val="18"/>
              </w:rPr>
            </w:pPr>
            <w:r>
              <w:rPr>
                <w:rFonts w:hint="eastAsia"/>
                <w:color w:val="000000"/>
                <w:kern w:val="0"/>
                <w:sz w:val="18"/>
                <w:szCs w:val="18"/>
              </w:rPr>
              <w:t>对注册建造师同时在两个或者两个以上单位受聘或者执业的处罚</w:t>
            </w:r>
          </w:p>
        </w:tc>
      </w:tr>
      <w:tr w14:paraId="078F21F6">
        <w:tblPrEx>
          <w:tblCellMar>
            <w:top w:w="0" w:type="dxa"/>
            <w:left w:w="108" w:type="dxa"/>
            <w:bottom w:w="0" w:type="dxa"/>
            <w:right w:w="108" w:type="dxa"/>
          </w:tblCellMar>
        </w:tblPrEx>
        <w:trPr>
          <w:trHeight w:val="1335" w:hRule="atLeast"/>
        </w:trPr>
        <w:tc>
          <w:tcPr>
            <w:tcW w:w="1056" w:type="dxa"/>
            <w:tcBorders>
              <w:top w:val="nil"/>
              <w:left w:val="single" w:color="auto" w:sz="8" w:space="0"/>
              <w:bottom w:val="single" w:color="auto" w:sz="4" w:space="0"/>
              <w:right w:val="single" w:color="auto" w:sz="4" w:space="0"/>
            </w:tcBorders>
            <w:vAlign w:val="center"/>
          </w:tcPr>
          <w:p w14:paraId="77C00849">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7A2C3DB9">
            <w:pPr>
              <w:spacing w:line="320" w:lineRule="exact"/>
              <w:jc w:val="left"/>
              <w:rPr>
                <w:color w:val="000000"/>
                <w:kern w:val="0"/>
                <w:sz w:val="18"/>
                <w:szCs w:val="18"/>
              </w:rPr>
            </w:pPr>
            <w:r>
              <w:rPr>
                <w:rFonts w:hint="eastAsia"/>
                <w:color w:val="000000"/>
                <w:kern w:val="0"/>
                <w:sz w:val="18"/>
                <w:szCs w:val="18"/>
              </w:rPr>
              <w:t>【规章】《注册建造师管理规定》</w:t>
            </w:r>
            <w:r>
              <w:rPr>
                <w:color w:val="000000"/>
                <w:kern w:val="0"/>
                <w:sz w:val="18"/>
                <w:szCs w:val="18"/>
              </w:rPr>
              <w:t>（</w:t>
            </w:r>
            <w:r>
              <w:rPr>
                <w:rFonts w:hint="eastAsia"/>
                <w:color w:val="000000"/>
                <w:kern w:val="0"/>
                <w:sz w:val="18"/>
                <w:szCs w:val="18"/>
              </w:rPr>
              <w:t>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　注册建造师不得有下列行为：</w:t>
            </w:r>
            <w:r>
              <w:rPr>
                <w:color w:val="000000"/>
                <w:kern w:val="0"/>
                <w:sz w:val="18"/>
                <w:szCs w:val="18"/>
              </w:rPr>
              <w:br w:type="textWrapping"/>
            </w:r>
            <w:r>
              <w:rPr>
                <w:rFonts w:hint="eastAsia"/>
                <w:color w:val="000000"/>
                <w:kern w:val="0"/>
                <w:sz w:val="18"/>
                <w:szCs w:val="18"/>
              </w:rPr>
              <w:t>　　（六）同时在两个或者两个以上单位受聘或者执业；</w:t>
            </w:r>
            <w:r>
              <w:rPr>
                <w:color w:val="000000"/>
                <w:kern w:val="0"/>
                <w:sz w:val="18"/>
                <w:szCs w:val="18"/>
              </w:rPr>
              <w:br w:type="textWrapping"/>
            </w:r>
            <w:r>
              <w:rPr>
                <w:rFonts w:hint="eastAsia"/>
                <w:color w:val="000000"/>
                <w:kern w:val="0"/>
                <w:sz w:val="18"/>
                <w:szCs w:val="18"/>
              </w:rPr>
              <w:t>第三十七条　违反本规定，注册建造师在执业活动中有第二十六条所列行为之一的，由县级以上地方人民政府建设主管部门或者其他有关部门给予警告，责令改正，没有违法所得的，处以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6A36090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4A7A7C0">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7725DD2D">
            <w:pPr>
              <w:spacing w:line="320" w:lineRule="exact"/>
              <w:jc w:val="left"/>
              <w:rPr>
                <w:color w:val="000000"/>
                <w:kern w:val="0"/>
                <w:sz w:val="18"/>
                <w:szCs w:val="18"/>
              </w:rPr>
            </w:pPr>
            <w:r>
              <w:rPr>
                <w:rFonts w:hint="eastAsia"/>
                <w:color w:val="000000"/>
                <w:kern w:val="0"/>
                <w:sz w:val="18"/>
                <w:szCs w:val="18"/>
              </w:rPr>
              <w:t>警告，罚款</w:t>
            </w:r>
          </w:p>
        </w:tc>
      </w:tr>
      <w:tr w14:paraId="058AC81C">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6C8B1400">
            <w:pPr>
              <w:spacing w:line="320" w:lineRule="exact"/>
              <w:jc w:val="center"/>
              <w:rPr>
                <w:color w:val="000000"/>
                <w:kern w:val="0"/>
                <w:sz w:val="18"/>
                <w:szCs w:val="18"/>
              </w:rPr>
            </w:pPr>
            <w:r>
              <w:rPr>
                <w:rFonts w:hint="eastAsia"/>
                <w:color w:val="000000"/>
                <w:kern w:val="0"/>
                <w:sz w:val="18"/>
                <w:szCs w:val="18"/>
              </w:rPr>
              <w:t>裁量基准</w:t>
            </w:r>
          </w:p>
        </w:tc>
      </w:tr>
      <w:tr w14:paraId="58FE0085">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72789142">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7401B187">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56BBE99B">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2792A54B">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3064E26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38512E42">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F006343">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2A7C8577">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017C1A0A">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3621AB36">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1989DB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B10125D">
        <w:tblPrEx>
          <w:tblCellMar>
            <w:top w:w="0" w:type="dxa"/>
            <w:left w:w="108" w:type="dxa"/>
            <w:bottom w:w="0" w:type="dxa"/>
            <w:right w:w="108" w:type="dxa"/>
          </w:tblCellMar>
        </w:tblPrEx>
        <w:trPr>
          <w:trHeight w:val="90" w:hRule="atLeast"/>
        </w:trPr>
        <w:tc>
          <w:tcPr>
            <w:tcW w:w="1056" w:type="dxa"/>
            <w:vMerge w:val="continue"/>
            <w:tcBorders>
              <w:top w:val="nil"/>
              <w:left w:val="single" w:color="auto" w:sz="8" w:space="0"/>
              <w:bottom w:val="single" w:color="auto" w:sz="4" w:space="0"/>
              <w:right w:val="single" w:color="auto" w:sz="4" w:space="0"/>
            </w:tcBorders>
            <w:vAlign w:val="center"/>
          </w:tcPr>
          <w:p w14:paraId="36231D9D">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46198AFE">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0A61AE86">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91004E4">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DD4A4A7">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614A3A61">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15F2B87">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6B5A7EC4">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64A108D">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0B4E0C2E">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33B96EFC">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05B5B07E"/>
    <w:p w14:paraId="05ED63B7"/>
    <w:p w14:paraId="3283EB54"/>
    <w:p w14:paraId="01804299"/>
    <w:p w14:paraId="777657D1"/>
    <w:p w14:paraId="1B5A9694"/>
    <w:p w14:paraId="4BF8F004"/>
    <w:p w14:paraId="59088D0E"/>
    <w:p w14:paraId="5F4A5E02"/>
    <w:tbl>
      <w:tblPr>
        <w:tblStyle w:val="15"/>
        <w:tblW w:w="0" w:type="auto"/>
        <w:tblInd w:w="93" w:type="dxa"/>
        <w:tblLayout w:type="fixed"/>
        <w:tblCellMar>
          <w:top w:w="0" w:type="dxa"/>
          <w:left w:w="108" w:type="dxa"/>
          <w:bottom w:w="0" w:type="dxa"/>
          <w:right w:w="108" w:type="dxa"/>
        </w:tblCellMar>
      </w:tblPr>
      <w:tblGrid>
        <w:gridCol w:w="1035"/>
        <w:gridCol w:w="1957"/>
        <w:gridCol w:w="4183"/>
        <w:gridCol w:w="1120"/>
        <w:gridCol w:w="5730"/>
      </w:tblGrid>
      <w:tr w14:paraId="1964D746">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0840173A">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color="auto" w:sz="8" w:space="0"/>
              <w:left w:val="nil"/>
              <w:bottom w:val="single" w:color="auto" w:sz="4" w:space="0"/>
              <w:right w:val="single" w:color="000000" w:sz="8" w:space="0"/>
            </w:tcBorders>
            <w:vAlign w:val="center"/>
          </w:tcPr>
          <w:p w14:paraId="266B2A52">
            <w:pPr>
              <w:spacing w:line="320" w:lineRule="exact"/>
              <w:jc w:val="left"/>
              <w:rPr>
                <w:rFonts w:eastAsia="仿宋_GB2312"/>
                <w:b/>
                <w:bCs/>
                <w:color w:val="000000"/>
                <w:kern w:val="0"/>
                <w:sz w:val="18"/>
                <w:szCs w:val="18"/>
              </w:rPr>
            </w:pPr>
            <w:r>
              <w:rPr>
                <w:rFonts w:eastAsia="仿宋_GB2312"/>
                <w:b/>
                <w:bCs/>
                <w:color w:val="000000"/>
                <w:kern w:val="0"/>
                <w:sz w:val="18"/>
                <w:szCs w:val="18"/>
              </w:rPr>
              <w:t>320217313000</w:t>
            </w:r>
            <w:r>
              <w:rPr>
                <w:rFonts w:hint="eastAsia" w:eastAsia="仿宋_GB2312"/>
                <w:b/>
                <w:bCs/>
                <w:color w:val="000000"/>
                <w:kern w:val="0"/>
                <w:sz w:val="18"/>
                <w:szCs w:val="18"/>
              </w:rPr>
              <w:t xml:space="preserve"> </w:t>
            </w:r>
          </w:p>
        </w:tc>
      </w:tr>
      <w:tr w14:paraId="04F311A7">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3008980D">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color="auto" w:sz="4" w:space="0"/>
              <w:left w:val="nil"/>
              <w:bottom w:val="single" w:color="auto" w:sz="4" w:space="0"/>
              <w:right w:val="single" w:color="000000" w:sz="8" w:space="0"/>
            </w:tcBorders>
            <w:vAlign w:val="center"/>
          </w:tcPr>
          <w:p w14:paraId="30A1D202">
            <w:pPr>
              <w:jc w:val="left"/>
              <w:rPr>
                <w:color w:val="000000"/>
                <w:kern w:val="0"/>
                <w:sz w:val="18"/>
                <w:szCs w:val="18"/>
              </w:rPr>
            </w:pPr>
            <w:r>
              <w:rPr>
                <w:rFonts w:hint="eastAsia"/>
                <w:color w:val="000000"/>
                <w:kern w:val="0"/>
                <w:sz w:val="18"/>
                <w:szCs w:val="18"/>
              </w:rPr>
              <w:t>对违规设立房地产估价分支机构的处罚</w:t>
            </w:r>
          </w:p>
        </w:tc>
      </w:tr>
      <w:tr w14:paraId="0EEAFB5F">
        <w:tblPrEx>
          <w:tblCellMar>
            <w:top w:w="0" w:type="dxa"/>
            <w:left w:w="108" w:type="dxa"/>
            <w:bottom w:w="0" w:type="dxa"/>
            <w:right w:w="108" w:type="dxa"/>
          </w:tblCellMar>
        </w:tblPrEx>
        <w:trPr>
          <w:trHeight w:val="1875" w:hRule="atLeast"/>
        </w:trPr>
        <w:tc>
          <w:tcPr>
            <w:tcW w:w="1035" w:type="dxa"/>
            <w:tcBorders>
              <w:top w:val="nil"/>
              <w:left w:val="single" w:color="auto" w:sz="8" w:space="0"/>
              <w:bottom w:val="single" w:color="auto" w:sz="4" w:space="0"/>
              <w:right w:val="single" w:color="auto" w:sz="4" w:space="0"/>
            </w:tcBorders>
            <w:vAlign w:val="center"/>
          </w:tcPr>
          <w:p w14:paraId="37EE6E5F">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color="auto" w:sz="4" w:space="0"/>
              <w:left w:val="nil"/>
              <w:bottom w:val="single" w:color="auto" w:sz="4" w:space="0"/>
              <w:right w:val="single" w:color="000000" w:sz="8" w:space="0"/>
            </w:tcBorders>
            <w:vAlign w:val="center"/>
          </w:tcPr>
          <w:p w14:paraId="3C9A91E5">
            <w:pPr>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14:paraId="3A9D793C">
            <w:pPr>
              <w:jc w:val="left"/>
              <w:rPr>
                <w:color w:val="000000"/>
                <w:kern w:val="0"/>
                <w:sz w:val="18"/>
                <w:szCs w:val="18"/>
              </w:rPr>
            </w:pPr>
            <w:r>
              <w:rPr>
                <w:rFonts w:hint="eastAsia"/>
                <w:color w:val="000000"/>
                <w:kern w:val="0"/>
                <w:sz w:val="18"/>
                <w:szCs w:val="18"/>
              </w:rPr>
              <w:t>第二十条　一级资质房地产估价机构可以按照本办法第二十条的规定设立分支机构。二、三级资质房地产估价机构不得设立分支机构。</w:t>
            </w:r>
          </w:p>
          <w:p w14:paraId="46B031BA">
            <w:pPr>
              <w:jc w:val="left"/>
              <w:rPr>
                <w:color w:val="000000"/>
                <w:kern w:val="0"/>
                <w:sz w:val="18"/>
                <w:szCs w:val="18"/>
              </w:rPr>
            </w:pPr>
            <w:r>
              <w:rPr>
                <w:rFonts w:hint="eastAsia"/>
                <w:color w:val="000000"/>
                <w:kern w:val="0"/>
                <w:sz w:val="18"/>
                <w:szCs w:val="18"/>
              </w:rPr>
              <w:t>第四十八条：有下列行为之一的，由县级以上人民政府房地产行政主管部门给予警告，责令限期改正，并可处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14:paraId="2B36B8F0">
            <w:pPr>
              <w:jc w:val="left"/>
              <w:rPr>
                <w:color w:val="000000"/>
                <w:kern w:val="0"/>
                <w:sz w:val="18"/>
                <w:szCs w:val="18"/>
              </w:rPr>
            </w:pPr>
            <w:r>
              <w:rPr>
                <w:color w:val="000000"/>
                <w:kern w:val="0"/>
                <w:sz w:val="18"/>
                <w:szCs w:val="18"/>
              </w:rPr>
              <w:t xml:space="preserve">   </w:t>
            </w:r>
            <w:r>
              <w:rPr>
                <w:rFonts w:hint="eastAsia"/>
                <w:color w:val="000000"/>
                <w:kern w:val="0"/>
                <w:sz w:val="18"/>
                <w:szCs w:val="18"/>
              </w:rPr>
              <w:t>（二）违反本办法第二十条规定设立分支机构的；</w:t>
            </w:r>
          </w:p>
          <w:p w14:paraId="2B986981">
            <w:pPr>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分支机构应当具备下列条件：</w:t>
            </w:r>
          </w:p>
          <w:p w14:paraId="6529F4CB">
            <w:pPr>
              <w:jc w:val="left"/>
              <w:rPr>
                <w:color w:val="000000"/>
                <w:kern w:val="0"/>
                <w:sz w:val="18"/>
                <w:szCs w:val="18"/>
              </w:rPr>
            </w:pPr>
            <w:r>
              <w:rPr>
                <w:color w:val="000000"/>
                <w:kern w:val="0"/>
                <w:sz w:val="18"/>
                <w:szCs w:val="18"/>
              </w:rPr>
              <w:t xml:space="preserve">   </w:t>
            </w:r>
            <w:r>
              <w:rPr>
                <w:rFonts w:hint="eastAsia"/>
                <w:color w:val="000000"/>
                <w:kern w:val="0"/>
                <w:sz w:val="18"/>
                <w:szCs w:val="18"/>
              </w:rPr>
              <w:t>（一）名称采用</w:t>
            </w:r>
            <w:r>
              <w:rPr>
                <w:color w:val="000000"/>
                <w:kern w:val="0"/>
                <w:sz w:val="18"/>
                <w:szCs w:val="18"/>
              </w:rPr>
              <w:t>“</w:t>
            </w:r>
            <w:r>
              <w:rPr>
                <w:rFonts w:hint="eastAsia"/>
                <w:color w:val="000000"/>
                <w:kern w:val="0"/>
                <w:sz w:val="18"/>
                <w:szCs w:val="18"/>
              </w:rPr>
              <w:t>房地产估价机构名称＋分支机构所在地行政区划名＋分公司（分所）</w:t>
            </w:r>
            <w:r>
              <w:rPr>
                <w:color w:val="000000"/>
                <w:kern w:val="0"/>
                <w:sz w:val="18"/>
                <w:szCs w:val="18"/>
              </w:rPr>
              <w:t>”</w:t>
            </w:r>
            <w:r>
              <w:rPr>
                <w:rFonts w:hint="eastAsia"/>
                <w:color w:val="000000"/>
                <w:kern w:val="0"/>
                <w:sz w:val="18"/>
                <w:szCs w:val="18"/>
              </w:rPr>
              <w:t>的形式；</w:t>
            </w:r>
          </w:p>
          <w:p w14:paraId="0C73824A">
            <w:pPr>
              <w:jc w:val="left"/>
              <w:rPr>
                <w:color w:val="000000"/>
                <w:kern w:val="0"/>
                <w:sz w:val="18"/>
                <w:szCs w:val="18"/>
              </w:rPr>
            </w:pPr>
            <w:r>
              <w:rPr>
                <w:color w:val="000000"/>
                <w:kern w:val="0"/>
                <w:sz w:val="18"/>
                <w:szCs w:val="18"/>
              </w:rPr>
              <w:t xml:space="preserve">   </w:t>
            </w:r>
            <w:r>
              <w:rPr>
                <w:rFonts w:hint="eastAsia"/>
                <w:color w:val="000000"/>
                <w:kern w:val="0"/>
                <w:sz w:val="18"/>
                <w:szCs w:val="18"/>
              </w:rPr>
              <w:t>（二）分支机构负责人应当是注册后从事房地产估价工作</w:t>
            </w:r>
            <w:r>
              <w:rPr>
                <w:color w:val="000000"/>
                <w:kern w:val="0"/>
                <w:sz w:val="18"/>
                <w:szCs w:val="18"/>
              </w:rPr>
              <w:t>3</w:t>
            </w:r>
            <w:r>
              <w:rPr>
                <w:rFonts w:hint="eastAsia"/>
                <w:color w:val="000000"/>
                <w:kern w:val="0"/>
                <w:sz w:val="18"/>
                <w:szCs w:val="18"/>
              </w:rPr>
              <w:t>年以上并无不良执业记录的专职注册房地产估价师；</w:t>
            </w:r>
          </w:p>
          <w:p w14:paraId="33515267">
            <w:pPr>
              <w:jc w:val="left"/>
              <w:rPr>
                <w:color w:val="000000"/>
                <w:kern w:val="0"/>
                <w:sz w:val="18"/>
                <w:szCs w:val="18"/>
              </w:rPr>
            </w:pPr>
            <w:r>
              <w:rPr>
                <w:color w:val="000000"/>
                <w:kern w:val="0"/>
                <w:sz w:val="18"/>
                <w:szCs w:val="18"/>
              </w:rPr>
              <w:t xml:space="preserve">   </w:t>
            </w:r>
            <w:r>
              <w:rPr>
                <w:rFonts w:hint="eastAsia"/>
                <w:color w:val="000000"/>
                <w:kern w:val="0"/>
                <w:sz w:val="18"/>
                <w:szCs w:val="18"/>
              </w:rPr>
              <w:t>（三）在分支机构所在地有</w:t>
            </w:r>
            <w:r>
              <w:rPr>
                <w:color w:val="000000"/>
                <w:kern w:val="0"/>
                <w:sz w:val="18"/>
                <w:szCs w:val="18"/>
              </w:rPr>
              <w:t>3</w:t>
            </w:r>
            <w:r>
              <w:rPr>
                <w:rFonts w:hint="eastAsia"/>
                <w:color w:val="000000"/>
                <w:kern w:val="0"/>
                <w:sz w:val="18"/>
                <w:szCs w:val="18"/>
              </w:rPr>
              <w:t>名以上专职注册房地产估价师；</w:t>
            </w:r>
          </w:p>
          <w:p w14:paraId="6442957C">
            <w:pPr>
              <w:jc w:val="left"/>
              <w:rPr>
                <w:color w:val="000000"/>
                <w:kern w:val="0"/>
                <w:sz w:val="18"/>
                <w:szCs w:val="18"/>
              </w:rPr>
            </w:pPr>
            <w:r>
              <w:rPr>
                <w:color w:val="000000"/>
                <w:kern w:val="0"/>
                <w:sz w:val="18"/>
                <w:szCs w:val="18"/>
              </w:rPr>
              <w:t xml:space="preserve">   </w:t>
            </w:r>
            <w:r>
              <w:rPr>
                <w:rFonts w:hint="eastAsia"/>
                <w:color w:val="000000"/>
                <w:kern w:val="0"/>
                <w:sz w:val="18"/>
                <w:szCs w:val="18"/>
              </w:rPr>
              <w:t>（四）有固定的经营服务场所；</w:t>
            </w:r>
          </w:p>
          <w:p w14:paraId="2F01AAE5">
            <w:pPr>
              <w:jc w:val="left"/>
              <w:rPr>
                <w:color w:val="000000"/>
                <w:kern w:val="0"/>
                <w:sz w:val="18"/>
                <w:szCs w:val="18"/>
              </w:rPr>
            </w:pPr>
            <w:r>
              <w:rPr>
                <w:color w:val="000000"/>
                <w:kern w:val="0"/>
                <w:sz w:val="18"/>
                <w:szCs w:val="18"/>
              </w:rPr>
              <w:t xml:space="preserve">   </w:t>
            </w:r>
            <w:r>
              <w:rPr>
                <w:rFonts w:hint="eastAsia"/>
                <w:color w:val="000000"/>
                <w:kern w:val="0"/>
                <w:sz w:val="18"/>
                <w:szCs w:val="18"/>
              </w:rPr>
              <w:t>（五）估价质量管理、估价档案管理、财务管理等各项内部管理制度健全。</w:t>
            </w:r>
          </w:p>
          <w:p w14:paraId="72FE6E22">
            <w:pPr>
              <w:jc w:val="left"/>
              <w:rPr>
                <w:color w:val="000000"/>
                <w:kern w:val="0"/>
                <w:sz w:val="18"/>
                <w:szCs w:val="18"/>
              </w:rPr>
            </w:pPr>
            <w:r>
              <w:rPr>
                <w:rFonts w:hint="eastAsia"/>
                <w:color w:val="000000"/>
                <w:kern w:val="0"/>
                <w:sz w:val="18"/>
                <w:szCs w:val="18"/>
              </w:rPr>
              <w:t>注册于分支机构的专职注册房地产估价师，不计入设立分支机构的房地产估价机构的专职注册房地产估价师人数。</w:t>
            </w:r>
          </w:p>
        </w:tc>
      </w:tr>
      <w:tr w14:paraId="06C2019C">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53519A0B">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color="auto" w:sz="4" w:space="0"/>
              <w:left w:val="nil"/>
              <w:bottom w:val="single" w:color="auto" w:sz="4" w:space="0"/>
              <w:right w:val="single" w:color="000000" w:sz="8" w:space="0"/>
            </w:tcBorders>
            <w:vAlign w:val="center"/>
          </w:tcPr>
          <w:p w14:paraId="470EEEC7">
            <w:pPr>
              <w:spacing w:line="320" w:lineRule="exact"/>
              <w:jc w:val="left"/>
              <w:rPr>
                <w:color w:val="000000"/>
                <w:kern w:val="0"/>
                <w:sz w:val="18"/>
                <w:szCs w:val="18"/>
              </w:rPr>
            </w:pPr>
            <w:r>
              <w:rPr>
                <w:rFonts w:hint="eastAsia"/>
                <w:color w:val="000000"/>
                <w:kern w:val="0"/>
                <w:sz w:val="18"/>
                <w:szCs w:val="18"/>
              </w:rPr>
              <w:t>警告、罚款</w:t>
            </w:r>
          </w:p>
        </w:tc>
      </w:tr>
      <w:tr w14:paraId="196798E9">
        <w:tblPrEx>
          <w:tblCellMar>
            <w:top w:w="0" w:type="dxa"/>
            <w:left w:w="108" w:type="dxa"/>
            <w:bottom w:w="0" w:type="dxa"/>
            <w:right w:w="108" w:type="dxa"/>
          </w:tblCellMar>
        </w:tblPrEx>
        <w:trPr>
          <w:trHeight w:val="285" w:hRule="atLeast"/>
        </w:trPr>
        <w:tc>
          <w:tcPr>
            <w:tcW w:w="14025" w:type="dxa"/>
            <w:gridSpan w:val="5"/>
            <w:tcBorders>
              <w:top w:val="single" w:color="auto" w:sz="4" w:space="0"/>
              <w:left w:val="single" w:color="auto" w:sz="8" w:space="0"/>
              <w:bottom w:val="single" w:color="auto" w:sz="4" w:space="0"/>
              <w:right w:val="single" w:color="000000" w:sz="8" w:space="0"/>
            </w:tcBorders>
            <w:vAlign w:val="center"/>
          </w:tcPr>
          <w:p w14:paraId="30A0C3AF">
            <w:pPr>
              <w:spacing w:line="320" w:lineRule="exact"/>
              <w:jc w:val="center"/>
              <w:rPr>
                <w:color w:val="000000"/>
                <w:kern w:val="0"/>
                <w:sz w:val="18"/>
                <w:szCs w:val="18"/>
              </w:rPr>
            </w:pPr>
            <w:r>
              <w:rPr>
                <w:rFonts w:hint="eastAsia"/>
                <w:color w:val="000000"/>
                <w:kern w:val="0"/>
                <w:sz w:val="18"/>
                <w:szCs w:val="18"/>
              </w:rPr>
              <w:t>裁量基准</w:t>
            </w:r>
          </w:p>
        </w:tc>
      </w:tr>
      <w:tr w14:paraId="6B421B9F">
        <w:tblPrEx>
          <w:tblCellMar>
            <w:top w:w="0" w:type="dxa"/>
            <w:left w:w="108" w:type="dxa"/>
            <w:bottom w:w="0" w:type="dxa"/>
            <w:right w:w="108" w:type="dxa"/>
          </w:tblCellMar>
        </w:tblPrEx>
        <w:trPr>
          <w:trHeight w:val="285" w:hRule="atLeast"/>
        </w:trPr>
        <w:tc>
          <w:tcPr>
            <w:tcW w:w="1035" w:type="dxa"/>
            <w:vMerge w:val="restart"/>
            <w:tcBorders>
              <w:top w:val="nil"/>
              <w:left w:val="single" w:color="auto" w:sz="8" w:space="0"/>
              <w:right w:val="single" w:color="auto" w:sz="4" w:space="0"/>
            </w:tcBorders>
            <w:vAlign w:val="center"/>
          </w:tcPr>
          <w:p w14:paraId="1EC6E417">
            <w:pPr>
              <w:spacing w:line="320" w:lineRule="exact"/>
              <w:rPr>
                <w:color w:val="000000"/>
                <w:kern w:val="0"/>
                <w:sz w:val="18"/>
                <w:szCs w:val="18"/>
              </w:rPr>
            </w:pPr>
            <w:r>
              <w:rPr>
                <w:rFonts w:hint="eastAsia"/>
                <w:color w:val="000000"/>
                <w:kern w:val="0"/>
                <w:sz w:val="18"/>
                <w:szCs w:val="18"/>
              </w:rPr>
              <w:t>情形描述</w:t>
            </w:r>
          </w:p>
        </w:tc>
        <w:tc>
          <w:tcPr>
            <w:tcW w:w="1957" w:type="dxa"/>
            <w:vMerge w:val="restart"/>
            <w:tcBorders>
              <w:top w:val="single" w:color="auto" w:sz="4" w:space="0"/>
              <w:left w:val="nil"/>
              <w:right w:val="single" w:color="000000" w:sz="4" w:space="0"/>
            </w:tcBorders>
            <w:vAlign w:val="center"/>
          </w:tcPr>
          <w:p w14:paraId="5635FE3B">
            <w:pPr>
              <w:spacing w:line="320" w:lineRule="exact"/>
              <w:jc w:val="left"/>
              <w:rPr>
                <w:color w:val="000000"/>
                <w:kern w:val="0"/>
                <w:sz w:val="18"/>
                <w:szCs w:val="18"/>
              </w:rPr>
            </w:pPr>
            <w:r>
              <w:rPr>
                <w:rFonts w:hint="eastAsia"/>
                <w:color w:val="000000"/>
                <w:kern w:val="0"/>
                <w:sz w:val="18"/>
                <w:szCs w:val="18"/>
              </w:rPr>
              <w:t>只有</w:t>
            </w:r>
            <w:r>
              <w:rPr>
                <w:color w:val="000000"/>
                <w:kern w:val="0"/>
                <w:sz w:val="18"/>
                <w:szCs w:val="18"/>
              </w:rPr>
              <w:t>1</w:t>
            </w:r>
            <w:r>
              <w:rPr>
                <w:rFonts w:hint="eastAsia"/>
                <w:color w:val="000000"/>
                <w:kern w:val="0"/>
                <w:sz w:val="18"/>
                <w:szCs w:val="18"/>
              </w:rPr>
              <w:t>项条件不满足</w:t>
            </w:r>
          </w:p>
        </w:tc>
        <w:tc>
          <w:tcPr>
            <w:tcW w:w="4183" w:type="dxa"/>
            <w:tcBorders>
              <w:top w:val="single" w:color="auto" w:sz="4" w:space="0"/>
              <w:left w:val="nil"/>
              <w:bottom w:val="single" w:color="auto" w:sz="4" w:space="0"/>
              <w:right w:val="single" w:color="000000" w:sz="4" w:space="0"/>
            </w:tcBorders>
            <w:vAlign w:val="center"/>
          </w:tcPr>
          <w:p w14:paraId="5CDB2E62">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color="auto" w:sz="4" w:space="0"/>
            </w:tcBorders>
            <w:vAlign w:val="center"/>
          </w:tcPr>
          <w:p w14:paraId="72F81822">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color="auto" w:sz="4" w:space="0"/>
              <w:right w:val="single" w:color="auto" w:sz="8" w:space="0"/>
            </w:tcBorders>
            <w:vAlign w:val="center"/>
          </w:tcPr>
          <w:p w14:paraId="2D5BCAC0">
            <w:pPr>
              <w:spacing w:line="320" w:lineRule="exact"/>
              <w:jc w:val="left"/>
              <w:rPr>
                <w:color w:val="000000"/>
                <w:kern w:val="0"/>
                <w:sz w:val="18"/>
                <w:szCs w:val="18"/>
              </w:rPr>
            </w:pPr>
            <w:r>
              <w:rPr>
                <w:rFonts w:hint="eastAsia"/>
                <w:color w:val="000000"/>
                <w:kern w:val="0"/>
                <w:sz w:val="18"/>
                <w:szCs w:val="18"/>
              </w:rPr>
              <w:t>不处罚款</w:t>
            </w:r>
          </w:p>
        </w:tc>
      </w:tr>
      <w:tr w14:paraId="161CD56F">
        <w:tblPrEx>
          <w:tblCellMar>
            <w:top w:w="0" w:type="dxa"/>
            <w:left w:w="108" w:type="dxa"/>
            <w:bottom w:w="0" w:type="dxa"/>
            <w:right w:w="108" w:type="dxa"/>
          </w:tblCellMar>
        </w:tblPrEx>
        <w:trPr>
          <w:trHeight w:val="285" w:hRule="atLeast"/>
        </w:trPr>
        <w:tc>
          <w:tcPr>
            <w:tcW w:w="1035" w:type="dxa"/>
            <w:vMerge w:val="continue"/>
            <w:tcBorders>
              <w:left w:val="single" w:color="auto" w:sz="8" w:space="0"/>
              <w:right w:val="single" w:color="auto" w:sz="4" w:space="0"/>
            </w:tcBorders>
            <w:vAlign w:val="center"/>
          </w:tcPr>
          <w:p w14:paraId="23C740C3">
            <w:pPr>
              <w:spacing w:line="320" w:lineRule="exact"/>
              <w:jc w:val="center"/>
              <w:rPr>
                <w:color w:val="000000"/>
                <w:kern w:val="0"/>
                <w:sz w:val="18"/>
                <w:szCs w:val="18"/>
              </w:rPr>
            </w:pPr>
          </w:p>
        </w:tc>
        <w:tc>
          <w:tcPr>
            <w:tcW w:w="1957" w:type="dxa"/>
            <w:vMerge w:val="continue"/>
            <w:tcBorders>
              <w:left w:val="nil"/>
              <w:bottom w:val="single" w:color="auto" w:sz="4" w:space="0"/>
              <w:right w:val="single" w:color="000000" w:sz="4" w:space="0"/>
            </w:tcBorders>
            <w:vAlign w:val="center"/>
          </w:tcPr>
          <w:p w14:paraId="50CEB279">
            <w:pPr>
              <w:spacing w:line="320" w:lineRule="exact"/>
              <w:jc w:val="left"/>
              <w:rPr>
                <w:color w:val="000000"/>
                <w:kern w:val="0"/>
                <w:sz w:val="18"/>
                <w:szCs w:val="18"/>
              </w:rPr>
            </w:pPr>
          </w:p>
        </w:tc>
        <w:tc>
          <w:tcPr>
            <w:tcW w:w="4183" w:type="dxa"/>
            <w:tcBorders>
              <w:top w:val="single" w:color="auto" w:sz="4" w:space="0"/>
              <w:left w:val="nil"/>
              <w:bottom w:val="single" w:color="auto" w:sz="4" w:space="0"/>
              <w:right w:val="single" w:color="000000" w:sz="4" w:space="0"/>
            </w:tcBorders>
            <w:vAlign w:val="center"/>
          </w:tcPr>
          <w:p w14:paraId="1CA5B8C8">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left w:val="nil"/>
              <w:right w:val="single" w:color="auto" w:sz="4" w:space="0"/>
            </w:tcBorders>
            <w:vAlign w:val="center"/>
          </w:tcPr>
          <w:p w14:paraId="6EED55E6">
            <w:pPr>
              <w:spacing w:line="320" w:lineRule="exact"/>
              <w:jc w:val="center"/>
              <w:rPr>
                <w:color w:val="000000"/>
                <w:kern w:val="0"/>
                <w:sz w:val="18"/>
                <w:szCs w:val="18"/>
              </w:rPr>
            </w:pPr>
          </w:p>
        </w:tc>
        <w:tc>
          <w:tcPr>
            <w:tcW w:w="5730" w:type="dxa"/>
            <w:tcBorders>
              <w:top w:val="nil"/>
              <w:left w:val="nil"/>
              <w:bottom w:val="single" w:color="auto" w:sz="4" w:space="0"/>
              <w:right w:val="single" w:color="auto" w:sz="8" w:space="0"/>
            </w:tcBorders>
            <w:vAlign w:val="center"/>
          </w:tcPr>
          <w:p w14:paraId="2B9E31D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14:paraId="62AC78EF">
        <w:tblPrEx>
          <w:tblCellMar>
            <w:top w:w="0" w:type="dxa"/>
            <w:left w:w="108" w:type="dxa"/>
            <w:bottom w:w="0" w:type="dxa"/>
            <w:right w:w="108" w:type="dxa"/>
          </w:tblCellMar>
        </w:tblPrEx>
        <w:trPr>
          <w:trHeight w:val="285" w:hRule="atLeast"/>
        </w:trPr>
        <w:tc>
          <w:tcPr>
            <w:tcW w:w="1035" w:type="dxa"/>
            <w:vMerge w:val="continue"/>
            <w:tcBorders>
              <w:left w:val="single" w:color="auto" w:sz="8" w:space="0"/>
              <w:right w:val="single" w:color="auto" w:sz="4" w:space="0"/>
            </w:tcBorders>
            <w:vAlign w:val="center"/>
          </w:tcPr>
          <w:p w14:paraId="5B339993">
            <w:pPr>
              <w:spacing w:line="320" w:lineRule="exact"/>
              <w:jc w:val="center"/>
              <w:rPr>
                <w:color w:val="000000"/>
                <w:kern w:val="0"/>
                <w:sz w:val="18"/>
                <w:szCs w:val="18"/>
              </w:rPr>
            </w:pPr>
          </w:p>
        </w:tc>
        <w:tc>
          <w:tcPr>
            <w:tcW w:w="1957" w:type="dxa"/>
            <w:vMerge w:val="restart"/>
            <w:tcBorders>
              <w:top w:val="single" w:color="auto" w:sz="4" w:space="0"/>
              <w:left w:val="nil"/>
              <w:right w:val="single" w:color="000000" w:sz="4" w:space="0"/>
            </w:tcBorders>
            <w:vAlign w:val="center"/>
          </w:tcPr>
          <w:p w14:paraId="2920C654">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项及以上条件不满足</w:t>
            </w:r>
          </w:p>
        </w:tc>
        <w:tc>
          <w:tcPr>
            <w:tcW w:w="4183" w:type="dxa"/>
            <w:tcBorders>
              <w:top w:val="single" w:color="auto" w:sz="4" w:space="0"/>
              <w:left w:val="nil"/>
              <w:bottom w:val="single" w:color="auto" w:sz="4" w:space="0"/>
              <w:right w:val="single" w:color="000000" w:sz="4" w:space="0"/>
            </w:tcBorders>
            <w:vAlign w:val="center"/>
          </w:tcPr>
          <w:p w14:paraId="34E6079A">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continue"/>
            <w:tcBorders>
              <w:left w:val="nil"/>
              <w:right w:val="single" w:color="auto" w:sz="4" w:space="0"/>
            </w:tcBorders>
            <w:vAlign w:val="center"/>
          </w:tcPr>
          <w:p w14:paraId="292EEB97">
            <w:pPr>
              <w:spacing w:line="320" w:lineRule="exact"/>
              <w:jc w:val="center"/>
              <w:rPr>
                <w:color w:val="000000"/>
                <w:kern w:val="0"/>
                <w:sz w:val="18"/>
                <w:szCs w:val="18"/>
              </w:rPr>
            </w:pPr>
          </w:p>
        </w:tc>
        <w:tc>
          <w:tcPr>
            <w:tcW w:w="5730" w:type="dxa"/>
            <w:tcBorders>
              <w:top w:val="single" w:color="auto" w:sz="4" w:space="0"/>
              <w:left w:val="nil"/>
              <w:bottom w:val="single" w:color="auto" w:sz="4" w:space="0"/>
              <w:right w:val="single" w:color="auto" w:sz="8" w:space="0"/>
            </w:tcBorders>
            <w:vAlign w:val="center"/>
          </w:tcPr>
          <w:p w14:paraId="47B7EEF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14:paraId="7F05AFBF">
        <w:tblPrEx>
          <w:tblCellMar>
            <w:top w:w="0" w:type="dxa"/>
            <w:left w:w="108" w:type="dxa"/>
            <w:bottom w:w="0" w:type="dxa"/>
            <w:right w:w="108" w:type="dxa"/>
          </w:tblCellMar>
        </w:tblPrEx>
        <w:trPr>
          <w:trHeight w:val="285" w:hRule="atLeast"/>
        </w:trPr>
        <w:tc>
          <w:tcPr>
            <w:tcW w:w="1035" w:type="dxa"/>
            <w:vMerge w:val="continue"/>
            <w:tcBorders>
              <w:left w:val="single" w:color="auto" w:sz="8" w:space="0"/>
              <w:bottom w:val="single" w:color="auto" w:sz="4" w:space="0"/>
              <w:right w:val="single" w:color="auto" w:sz="4" w:space="0"/>
            </w:tcBorders>
            <w:vAlign w:val="center"/>
          </w:tcPr>
          <w:p w14:paraId="3D9D7E56">
            <w:pPr>
              <w:spacing w:line="320" w:lineRule="exact"/>
              <w:jc w:val="center"/>
              <w:rPr>
                <w:color w:val="000000"/>
                <w:kern w:val="0"/>
                <w:sz w:val="18"/>
                <w:szCs w:val="18"/>
              </w:rPr>
            </w:pPr>
          </w:p>
        </w:tc>
        <w:tc>
          <w:tcPr>
            <w:tcW w:w="1957" w:type="dxa"/>
            <w:vMerge w:val="continue"/>
            <w:tcBorders>
              <w:left w:val="nil"/>
              <w:bottom w:val="single" w:color="auto" w:sz="4" w:space="0"/>
              <w:right w:val="single" w:color="000000" w:sz="4" w:space="0"/>
            </w:tcBorders>
            <w:vAlign w:val="center"/>
          </w:tcPr>
          <w:p w14:paraId="7B6C1E5F">
            <w:pPr>
              <w:spacing w:line="320" w:lineRule="exact"/>
              <w:jc w:val="left"/>
              <w:rPr>
                <w:color w:val="000000"/>
                <w:kern w:val="0"/>
                <w:sz w:val="18"/>
                <w:szCs w:val="18"/>
              </w:rPr>
            </w:pPr>
          </w:p>
        </w:tc>
        <w:tc>
          <w:tcPr>
            <w:tcW w:w="4183" w:type="dxa"/>
            <w:tcBorders>
              <w:top w:val="single" w:color="auto" w:sz="4" w:space="0"/>
              <w:left w:val="nil"/>
              <w:bottom w:val="single" w:color="auto" w:sz="4" w:space="0"/>
              <w:right w:val="single" w:color="000000" w:sz="4" w:space="0"/>
            </w:tcBorders>
            <w:vAlign w:val="center"/>
          </w:tcPr>
          <w:p w14:paraId="48422F4C">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left w:val="nil"/>
              <w:bottom w:val="single" w:color="auto" w:sz="4" w:space="0"/>
              <w:right w:val="single" w:color="auto" w:sz="4" w:space="0"/>
            </w:tcBorders>
            <w:vAlign w:val="center"/>
          </w:tcPr>
          <w:p w14:paraId="3F06F015">
            <w:pPr>
              <w:spacing w:line="320" w:lineRule="exact"/>
              <w:jc w:val="center"/>
              <w:rPr>
                <w:color w:val="000000"/>
                <w:kern w:val="0"/>
                <w:sz w:val="18"/>
                <w:szCs w:val="18"/>
              </w:rPr>
            </w:pPr>
          </w:p>
        </w:tc>
        <w:tc>
          <w:tcPr>
            <w:tcW w:w="5730" w:type="dxa"/>
            <w:tcBorders>
              <w:top w:val="single" w:color="auto" w:sz="4" w:space="0"/>
              <w:left w:val="nil"/>
              <w:bottom w:val="single" w:color="auto" w:sz="4" w:space="0"/>
              <w:right w:val="single" w:color="auto" w:sz="8" w:space="0"/>
            </w:tcBorders>
            <w:vAlign w:val="center"/>
          </w:tcPr>
          <w:p w14:paraId="69014A8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149D1C7E"/>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6E2E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20F958F0">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282A723C">
            <w:pPr>
              <w:spacing w:line="320" w:lineRule="exact"/>
              <w:jc w:val="left"/>
              <w:rPr>
                <w:rFonts w:eastAsia="仿宋_GB2312"/>
                <w:b/>
                <w:bCs/>
                <w:color w:val="000000"/>
                <w:kern w:val="0"/>
                <w:sz w:val="18"/>
                <w:szCs w:val="18"/>
              </w:rPr>
            </w:pPr>
            <w:r>
              <w:rPr>
                <w:rFonts w:eastAsia="仿宋_GB2312"/>
                <w:b/>
                <w:bCs/>
                <w:color w:val="000000"/>
                <w:kern w:val="0"/>
                <w:sz w:val="18"/>
                <w:szCs w:val="18"/>
              </w:rPr>
              <w:t>320217314000</w:t>
            </w:r>
          </w:p>
        </w:tc>
      </w:tr>
      <w:tr w14:paraId="2E9C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16A6F5B">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2EDA4879">
            <w:pPr>
              <w:spacing w:line="320" w:lineRule="exact"/>
              <w:jc w:val="left"/>
              <w:rPr>
                <w:color w:val="000000"/>
                <w:kern w:val="0"/>
                <w:sz w:val="18"/>
                <w:szCs w:val="18"/>
              </w:rPr>
            </w:pPr>
            <w:r>
              <w:rPr>
                <w:rFonts w:hint="eastAsia"/>
                <w:color w:val="000000"/>
                <w:kern w:val="0"/>
                <w:sz w:val="18"/>
                <w:szCs w:val="18"/>
              </w:rPr>
              <w:t>对在禁止使用粘土实心砖或其他禁止使用的墙体材料的建筑中设计、使用粘土实心砖或其他禁止使用的墙体材料的处罚</w:t>
            </w:r>
          </w:p>
        </w:tc>
      </w:tr>
      <w:tr w14:paraId="50DBC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3ABED87C">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068E0AE8">
            <w:pPr>
              <w:spacing w:line="320" w:lineRule="exact"/>
              <w:jc w:val="left"/>
              <w:rPr>
                <w:color w:val="000000"/>
                <w:kern w:val="0"/>
                <w:sz w:val="18"/>
                <w:szCs w:val="18"/>
              </w:rPr>
            </w:pPr>
            <w:r>
              <w:rPr>
                <w:rFonts w:hint="eastAsia"/>
                <w:color w:val="000000"/>
                <w:kern w:val="0"/>
                <w:sz w:val="18"/>
                <w:szCs w:val="18"/>
              </w:rPr>
              <w:t>【规章】《江苏省发展新型墙体材料与推广节能建筑管理规定</w:t>
            </w:r>
            <w:r>
              <w:rPr>
                <w:color w:val="000000"/>
                <w:kern w:val="0"/>
                <w:sz w:val="18"/>
                <w:szCs w:val="18"/>
              </w:rPr>
              <w:t xml:space="preserve"> </w:t>
            </w:r>
            <w:r>
              <w:rPr>
                <w:rFonts w:hint="eastAsia"/>
                <w:color w:val="000000"/>
                <w:kern w:val="0"/>
                <w:sz w:val="18"/>
                <w:szCs w:val="18"/>
              </w:rPr>
              <w:t>》（</w:t>
            </w:r>
            <w:r>
              <w:rPr>
                <w:color w:val="000000"/>
                <w:kern w:val="0"/>
                <w:sz w:val="18"/>
                <w:szCs w:val="18"/>
              </w:rPr>
              <w:t>1997</w:t>
            </w:r>
            <w:r>
              <w:rPr>
                <w:rFonts w:hint="eastAsia"/>
                <w:color w:val="000000"/>
                <w:kern w:val="0"/>
                <w:sz w:val="18"/>
                <w:szCs w:val="18"/>
              </w:rPr>
              <w:t>年</w:t>
            </w:r>
            <w:r>
              <w:rPr>
                <w:color w:val="000000"/>
                <w:kern w:val="0"/>
                <w:sz w:val="18"/>
                <w:szCs w:val="18"/>
              </w:rPr>
              <w:t>11</w:t>
            </w:r>
            <w:r>
              <w:rPr>
                <w:rFonts w:hint="eastAsia"/>
                <w:color w:val="000000"/>
                <w:kern w:val="0"/>
                <w:sz w:val="18"/>
                <w:szCs w:val="18"/>
              </w:rPr>
              <w:t>月</w:t>
            </w:r>
            <w:r>
              <w:rPr>
                <w:color w:val="000000"/>
                <w:kern w:val="0"/>
                <w:sz w:val="18"/>
                <w:szCs w:val="18"/>
              </w:rPr>
              <w:t>27</w:t>
            </w:r>
            <w:r>
              <w:rPr>
                <w:rFonts w:hint="eastAsia"/>
                <w:color w:val="000000"/>
                <w:kern w:val="0"/>
                <w:sz w:val="18"/>
                <w:szCs w:val="18"/>
              </w:rPr>
              <w:t>日经江苏省人民政府第</w:t>
            </w:r>
            <w:r>
              <w:rPr>
                <w:color w:val="000000"/>
                <w:kern w:val="0"/>
                <w:sz w:val="18"/>
                <w:szCs w:val="18"/>
              </w:rPr>
              <w:t>107</w:t>
            </w:r>
            <w:r>
              <w:rPr>
                <w:rFonts w:hint="eastAsia"/>
                <w:color w:val="000000"/>
                <w:kern w:val="0"/>
                <w:sz w:val="18"/>
                <w:szCs w:val="18"/>
              </w:rPr>
              <w:t>次常务会议审议通过，省政府令第</w:t>
            </w:r>
            <w:r>
              <w:rPr>
                <w:color w:val="000000"/>
                <w:kern w:val="0"/>
                <w:sz w:val="18"/>
                <w:szCs w:val="18"/>
              </w:rPr>
              <w:t>81</w:t>
            </w:r>
            <w:r>
              <w:rPr>
                <w:rFonts w:hint="eastAsia"/>
                <w:color w:val="000000"/>
                <w:kern w:val="0"/>
                <w:sz w:val="18"/>
                <w:szCs w:val="18"/>
              </w:rPr>
              <w:t>号修改）</w:t>
            </w:r>
          </w:p>
          <w:p w14:paraId="743DB9A9">
            <w:pPr>
              <w:spacing w:line="320" w:lineRule="exact"/>
              <w:jc w:val="left"/>
              <w:rPr>
                <w:color w:val="000000"/>
                <w:kern w:val="0"/>
                <w:sz w:val="18"/>
                <w:szCs w:val="18"/>
              </w:rPr>
            </w:pPr>
            <w:r>
              <w:rPr>
                <w:rFonts w:hint="eastAsia"/>
                <w:color w:val="000000"/>
                <w:kern w:val="0"/>
                <w:sz w:val="18"/>
                <w:szCs w:val="18"/>
              </w:rPr>
              <w:t>第十二条　在城镇建设中，禁止强度等级</w:t>
            </w:r>
            <w:r>
              <w:rPr>
                <w:color w:val="000000"/>
                <w:kern w:val="0"/>
                <w:sz w:val="18"/>
                <w:szCs w:val="18"/>
              </w:rPr>
              <w:t>MU10</w:t>
            </w:r>
            <w:r>
              <w:rPr>
                <w:rFonts w:hint="eastAsia"/>
                <w:color w:val="000000"/>
                <w:kern w:val="0"/>
                <w:sz w:val="18"/>
                <w:szCs w:val="18"/>
              </w:rPr>
              <w:t>以下的粘土实心砖在</w:t>
            </w:r>
            <w:r>
              <w:rPr>
                <w:color w:val="000000"/>
                <w:kern w:val="0"/>
                <w:sz w:val="18"/>
                <w:szCs w:val="18"/>
              </w:rPr>
              <w:t>5</w:t>
            </w:r>
            <w:r>
              <w:rPr>
                <w:rFonts w:hint="eastAsia"/>
                <w:color w:val="000000"/>
                <w:kern w:val="0"/>
                <w:sz w:val="18"/>
                <w:szCs w:val="18"/>
              </w:rPr>
              <w:t>层以上建筑中使用；禁止框架结构及高层建筑的填充墙采用粘土实心砖，鼓励采用非粘土制品；围墙不得使用粘土实心砖；限制粘土实心砖在各种建筑零零线以上的墙体中使用。设计单位不得在上述禁止使用粘土实心砖的建设项目中设计采用粘土实心砖。各级墙改管理机构应当配合建设行政主管部门，推行按使用面积计算工程经济指标的方法。</w:t>
            </w:r>
          </w:p>
          <w:p w14:paraId="2F964A90">
            <w:pPr>
              <w:spacing w:line="320" w:lineRule="exact"/>
              <w:jc w:val="left"/>
              <w:rPr>
                <w:color w:val="000000"/>
                <w:kern w:val="0"/>
                <w:sz w:val="18"/>
                <w:szCs w:val="18"/>
              </w:rPr>
            </w:pPr>
            <w:r>
              <w:rPr>
                <w:rFonts w:hint="eastAsia"/>
                <w:color w:val="000000"/>
                <w:kern w:val="0"/>
                <w:sz w:val="18"/>
                <w:szCs w:val="18"/>
              </w:rPr>
              <w:t>第三十条　违反本规定第十二条第一款规定，建设工程不得被评为优秀设计、优质工程；由县级以上人民政府建设行政主管部门责令改正，根据情节轻重给予警告，可以并处</w:t>
            </w:r>
            <w:r>
              <w:rPr>
                <w:color w:val="000000"/>
                <w:kern w:val="0"/>
                <w:sz w:val="18"/>
                <w:szCs w:val="18"/>
              </w:rPr>
              <w:t>3000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w:t>
            </w:r>
          </w:p>
        </w:tc>
      </w:tr>
      <w:tr w14:paraId="1FC1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4E6D908">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3290B2E6">
            <w:pPr>
              <w:spacing w:line="320" w:lineRule="exact"/>
              <w:jc w:val="left"/>
              <w:rPr>
                <w:color w:val="000000"/>
                <w:kern w:val="0"/>
                <w:sz w:val="18"/>
                <w:szCs w:val="18"/>
              </w:rPr>
            </w:pPr>
            <w:r>
              <w:rPr>
                <w:rFonts w:hint="eastAsia"/>
                <w:color w:val="000000"/>
                <w:kern w:val="0"/>
                <w:sz w:val="18"/>
                <w:szCs w:val="18"/>
              </w:rPr>
              <w:t>警告，罚款</w:t>
            </w:r>
          </w:p>
        </w:tc>
      </w:tr>
      <w:tr w14:paraId="7256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1BF5EA84">
            <w:pPr>
              <w:spacing w:line="320" w:lineRule="exact"/>
              <w:jc w:val="center"/>
              <w:rPr>
                <w:color w:val="000000"/>
                <w:kern w:val="0"/>
                <w:sz w:val="18"/>
                <w:szCs w:val="18"/>
              </w:rPr>
            </w:pPr>
            <w:r>
              <w:rPr>
                <w:rFonts w:hint="eastAsia"/>
                <w:color w:val="000000"/>
                <w:kern w:val="0"/>
                <w:sz w:val="18"/>
                <w:szCs w:val="18"/>
              </w:rPr>
              <w:t>裁量基准</w:t>
            </w:r>
          </w:p>
        </w:tc>
      </w:tr>
      <w:tr w14:paraId="67E4B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030" w:type="dxa"/>
            <w:vMerge w:val="restart"/>
            <w:vAlign w:val="center"/>
          </w:tcPr>
          <w:p w14:paraId="475BB228">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6F5A1206">
            <w:pPr>
              <w:spacing w:line="320" w:lineRule="exact"/>
              <w:jc w:val="left"/>
              <w:rPr>
                <w:color w:val="000000"/>
                <w:kern w:val="0"/>
                <w:sz w:val="18"/>
                <w:szCs w:val="18"/>
              </w:rPr>
            </w:pPr>
            <w:r>
              <w:rPr>
                <w:rFonts w:hint="eastAsia"/>
                <w:color w:val="000000"/>
                <w:kern w:val="0"/>
                <w:sz w:val="18"/>
                <w:szCs w:val="18"/>
              </w:rPr>
              <w:t>按照要求整改，造成危害后果的</w:t>
            </w:r>
          </w:p>
        </w:tc>
        <w:tc>
          <w:tcPr>
            <w:tcW w:w="1080" w:type="dxa"/>
            <w:vMerge w:val="restart"/>
            <w:vAlign w:val="center"/>
          </w:tcPr>
          <w:p w14:paraId="04746834">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D5C560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万元以下的罚款</w:t>
            </w:r>
          </w:p>
        </w:tc>
      </w:tr>
      <w:tr w14:paraId="3539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A54965A">
            <w:pPr>
              <w:spacing w:line="320" w:lineRule="exact"/>
              <w:jc w:val="center"/>
              <w:rPr>
                <w:color w:val="000000"/>
                <w:kern w:val="0"/>
                <w:sz w:val="18"/>
                <w:szCs w:val="18"/>
              </w:rPr>
            </w:pPr>
          </w:p>
        </w:tc>
        <w:tc>
          <w:tcPr>
            <w:tcW w:w="6140" w:type="dxa"/>
            <w:vAlign w:val="center"/>
          </w:tcPr>
          <w:p w14:paraId="73EFB2C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4988FE6F">
            <w:pPr>
              <w:spacing w:line="320" w:lineRule="exact"/>
              <w:jc w:val="center"/>
              <w:rPr>
                <w:color w:val="000000"/>
                <w:kern w:val="0"/>
                <w:sz w:val="18"/>
                <w:szCs w:val="18"/>
              </w:rPr>
            </w:pPr>
          </w:p>
        </w:tc>
        <w:tc>
          <w:tcPr>
            <w:tcW w:w="5820" w:type="dxa"/>
            <w:vAlign w:val="center"/>
          </w:tcPr>
          <w:p w14:paraId="09E0AD5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w:t>
            </w:r>
          </w:p>
        </w:tc>
      </w:tr>
    </w:tbl>
    <w:p w14:paraId="24A9A35B"/>
    <w:p w14:paraId="178173EA"/>
    <w:p w14:paraId="7E3B6FFD"/>
    <w:p w14:paraId="1A7A8F2A"/>
    <w:p w14:paraId="00D29B96"/>
    <w:p w14:paraId="0CF7A41D"/>
    <w:p w14:paraId="1ECE3F88"/>
    <w:p w14:paraId="40606741"/>
    <w:p w14:paraId="4C218AC9"/>
    <w:p w14:paraId="17D2B806"/>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3070"/>
        <w:gridCol w:w="3070"/>
        <w:gridCol w:w="1080"/>
        <w:gridCol w:w="5820"/>
      </w:tblGrid>
      <w:tr w14:paraId="5C74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CBA8C27">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14:paraId="6721F193">
            <w:pPr>
              <w:spacing w:line="320" w:lineRule="exact"/>
              <w:jc w:val="left"/>
              <w:rPr>
                <w:rFonts w:eastAsia="仿宋_GB2312"/>
                <w:b/>
                <w:bCs/>
                <w:color w:val="000000"/>
                <w:kern w:val="0"/>
                <w:sz w:val="18"/>
                <w:szCs w:val="18"/>
              </w:rPr>
            </w:pPr>
            <w:r>
              <w:rPr>
                <w:rFonts w:eastAsia="仿宋_GB2312"/>
                <w:b/>
                <w:bCs/>
                <w:color w:val="000000"/>
                <w:kern w:val="0"/>
                <w:sz w:val="18"/>
                <w:szCs w:val="18"/>
              </w:rPr>
              <w:t>320217315000</w:t>
            </w:r>
            <w:r>
              <w:rPr>
                <w:rFonts w:hint="eastAsia" w:eastAsia="仿宋_GB2312"/>
                <w:b/>
                <w:bCs/>
                <w:color w:val="000000"/>
                <w:kern w:val="0"/>
                <w:sz w:val="18"/>
                <w:szCs w:val="18"/>
              </w:rPr>
              <w:t xml:space="preserve"> </w:t>
            </w:r>
          </w:p>
        </w:tc>
      </w:tr>
      <w:tr w14:paraId="40E1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21A0699">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14:paraId="2B88D057">
            <w:pPr>
              <w:spacing w:line="320" w:lineRule="exact"/>
              <w:jc w:val="left"/>
              <w:rPr>
                <w:color w:val="000000"/>
                <w:kern w:val="0"/>
                <w:sz w:val="18"/>
                <w:szCs w:val="18"/>
              </w:rPr>
            </w:pPr>
            <w:r>
              <w:rPr>
                <w:rFonts w:hint="eastAsia"/>
                <w:color w:val="000000"/>
                <w:kern w:val="0"/>
                <w:sz w:val="18"/>
                <w:szCs w:val="18"/>
              </w:rPr>
              <w:t>对建设单位采用虚假证明文件办理工程竣工验收备案的处罚</w:t>
            </w:r>
          </w:p>
        </w:tc>
      </w:tr>
      <w:tr w14:paraId="12E9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11652FE0">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14:paraId="6D188BE9">
            <w:pPr>
              <w:spacing w:line="320" w:lineRule="exact"/>
              <w:jc w:val="left"/>
              <w:rPr>
                <w:color w:val="000000"/>
                <w:kern w:val="0"/>
                <w:sz w:val="18"/>
                <w:szCs w:val="18"/>
              </w:rPr>
            </w:pPr>
            <w:r>
              <w:rPr>
                <w:rFonts w:hint="eastAsia"/>
                <w:color w:val="000000"/>
                <w:kern w:val="0"/>
                <w:sz w:val="18"/>
                <w:szCs w:val="18"/>
              </w:rPr>
              <w:t>【规章】《房屋建筑和市政基础设施工程竣工验收备案管理办法》（住房和城乡建设部令第</w:t>
            </w:r>
            <w:r>
              <w:rPr>
                <w:color w:val="000000"/>
                <w:kern w:val="0"/>
                <w:sz w:val="18"/>
                <w:szCs w:val="18"/>
              </w:rPr>
              <w:t>2</w:t>
            </w:r>
            <w:r>
              <w:rPr>
                <w:rFonts w:hint="eastAsia"/>
                <w:color w:val="000000"/>
                <w:kern w:val="0"/>
                <w:sz w:val="18"/>
                <w:szCs w:val="18"/>
              </w:rPr>
              <w:t>号）</w:t>
            </w:r>
            <w:r>
              <w:rPr>
                <w:color w:val="000000"/>
                <w:kern w:val="0"/>
                <w:sz w:val="18"/>
                <w:szCs w:val="18"/>
              </w:rPr>
              <w:t xml:space="preserve"> </w:t>
            </w:r>
          </w:p>
          <w:p w14:paraId="05D31179">
            <w:pPr>
              <w:spacing w:line="320" w:lineRule="exact"/>
              <w:jc w:val="left"/>
              <w:rPr>
                <w:color w:val="000000"/>
                <w:kern w:val="0"/>
                <w:sz w:val="18"/>
                <w:szCs w:val="18"/>
              </w:rPr>
            </w:pPr>
            <w:r>
              <w:rPr>
                <w:rFonts w:hint="eastAsia"/>
                <w:color w:val="000000"/>
                <w:kern w:val="0"/>
                <w:sz w:val="18"/>
                <w:szCs w:val="18"/>
              </w:rPr>
              <w:t>第十一条　建设单位采用虚假证明文件办理工程竣工验收备案的，工程竣工验收无效，备案机关责令停止使用，重新组织竣工验收，处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万元以下罚款；构成犯罪的，依法追究刑事责任。</w:t>
            </w:r>
          </w:p>
        </w:tc>
      </w:tr>
      <w:tr w14:paraId="33CB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0F150E56">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14:paraId="28B8465A">
            <w:pPr>
              <w:spacing w:line="320" w:lineRule="exact"/>
              <w:jc w:val="left"/>
              <w:rPr>
                <w:color w:val="000000"/>
                <w:kern w:val="0"/>
                <w:sz w:val="18"/>
                <w:szCs w:val="18"/>
              </w:rPr>
            </w:pPr>
            <w:r>
              <w:rPr>
                <w:rFonts w:hint="eastAsia"/>
                <w:color w:val="000000"/>
                <w:kern w:val="0"/>
                <w:sz w:val="18"/>
                <w:szCs w:val="18"/>
              </w:rPr>
              <w:t>罚款</w:t>
            </w:r>
          </w:p>
        </w:tc>
      </w:tr>
      <w:tr w14:paraId="4206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5"/>
            <w:vAlign w:val="center"/>
          </w:tcPr>
          <w:p w14:paraId="67B4C684">
            <w:pPr>
              <w:spacing w:line="320" w:lineRule="exact"/>
              <w:jc w:val="center"/>
              <w:rPr>
                <w:color w:val="000000"/>
                <w:kern w:val="0"/>
                <w:sz w:val="18"/>
                <w:szCs w:val="18"/>
              </w:rPr>
            </w:pPr>
            <w:r>
              <w:rPr>
                <w:rFonts w:hint="eastAsia"/>
                <w:color w:val="000000"/>
                <w:kern w:val="0"/>
                <w:sz w:val="18"/>
                <w:szCs w:val="18"/>
              </w:rPr>
              <w:t>裁量基准</w:t>
            </w:r>
          </w:p>
        </w:tc>
      </w:tr>
      <w:tr w14:paraId="48B8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1030" w:type="dxa"/>
            <w:vMerge w:val="restart"/>
            <w:vAlign w:val="center"/>
          </w:tcPr>
          <w:p w14:paraId="08A92F36">
            <w:pPr>
              <w:spacing w:line="320" w:lineRule="exact"/>
              <w:jc w:val="center"/>
              <w:rPr>
                <w:color w:val="000000"/>
                <w:kern w:val="0"/>
                <w:sz w:val="18"/>
                <w:szCs w:val="18"/>
              </w:rPr>
            </w:pPr>
            <w:r>
              <w:rPr>
                <w:rFonts w:hint="eastAsia"/>
                <w:color w:val="000000"/>
                <w:kern w:val="0"/>
                <w:sz w:val="18"/>
                <w:szCs w:val="18"/>
              </w:rPr>
              <w:t>情形描述</w:t>
            </w:r>
          </w:p>
        </w:tc>
        <w:tc>
          <w:tcPr>
            <w:tcW w:w="3070" w:type="dxa"/>
            <w:vAlign w:val="center"/>
          </w:tcPr>
          <w:p w14:paraId="205C7F05">
            <w:pPr>
              <w:spacing w:line="320" w:lineRule="exact"/>
              <w:jc w:val="left"/>
              <w:rPr>
                <w:color w:val="000000"/>
                <w:kern w:val="0"/>
                <w:sz w:val="18"/>
                <w:szCs w:val="18"/>
              </w:rPr>
            </w:pPr>
            <w:r>
              <w:rPr>
                <w:rFonts w:hint="eastAsia"/>
                <w:color w:val="000000"/>
                <w:kern w:val="0"/>
                <w:sz w:val="18"/>
                <w:szCs w:val="18"/>
              </w:rPr>
              <w:t>停止使用</w:t>
            </w:r>
          </w:p>
        </w:tc>
        <w:tc>
          <w:tcPr>
            <w:tcW w:w="3070" w:type="dxa"/>
            <w:vAlign w:val="center"/>
          </w:tcPr>
          <w:p w14:paraId="11D32547">
            <w:pPr>
              <w:spacing w:line="320" w:lineRule="exact"/>
              <w:jc w:val="left"/>
              <w:rPr>
                <w:color w:val="000000"/>
                <w:kern w:val="0"/>
                <w:sz w:val="18"/>
                <w:szCs w:val="18"/>
              </w:rPr>
            </w:pPr>
            <w:r>
              <w:rPr>
                <w:rFonts w:hint="eastAsia"/>
                <w:color w:val="000000"/>
                <w:kern w:val="0"/>
                <w:sz w:val="18"/>
                <w:szCs w:val="18"/>
              </w:rPr>
              <w:t>重新组织竣工验收</w:t>
            </w:r>
          </w:p>
        </w:tc>
        <w:tc>
          <w:tcPr>
            <w:tcW w:w="1080" w:type="dxa"/>
            <w:vMerge w:val="restart"/>
            <w:vAlign w:val="center"/>
          </w:tcPr>
          <w:p w14:paraId="08C37394">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743E122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r w14:paraId="609EF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BE6A5D3">
            <w:pPr>
              <w:spacing w:line="320" w:lineRule="exact"/>
              <w:jc w:val="center"/>
              <w:rPr>
                <w:color w:val="000000"/>
                <w:kern w:val="0"/>
                <w:sz w:val="18"/>
                <w:szCs w:val="18"/>
              </w:rPr>
            </w:pPr>
          </w:p>
        </w:tc>
        <w:tc>
          <w:tcPr>
            <w:tcW w:w="3070" w:type="dxa"/>
            <w:vAlign w:val="center"/>
          </w:tcPr>
          <w:p w14:paraId="5CB2103D">
            <w:pPr>
              <w:spacing w:line="320" w:lineRule="exact"/>
              <w:jc w:val="left"/>
              <w:rPr>
                <w:color w:val="000000"/>
                <w:kern w:val="0"/>
                <w:sz w:val="18"/>
                <w:szCs w:val="18"/>
              </w:rPr>
            </w:pPr>
            <w:r>
              <w:rPr>
                <w:rFonts w:hint="eastAsia"/>
                <w:color w:val="000000"/>
                <w:kern w:val="0"/>
                <w:sz w:val="18"/>
                <w:szCs w:val="18"/>
              </w:rPr>
              <w:t>停止使用</w:t>
            </w:r>
          </w:p>
        </w:tc>
        <w:tc>
          <w:tcPr>
            <w:tcW w:w="3070" w:type="dxa"/>
            <w:vAlign w:val="center"/>
          </w:tcPr>
          <w:p w14:paraId="55C1C685">
            <w:pPr>
              <w:spacing w:line="320" w:lineRule="exact"/>
              <w:jc w:val="left"/>
              <w:rPr>
                <w:color w:val="000000"/>
                <w:kern w:val="0"/>
                <w:sz w:val="18"/>
                <w:szCs w:val="18"/>
              </w:rPr>
            </w:pPr>
            <w:r>
              <w:rPr>
                <w:rFonts w:hint="eastAsia"/>
                <w:color w:val="000000"/>
                <w:kern w:val="0"/>
                <w:sz w:val="18"/>
                <w:szCs w:val="18"/>
              </w:rPr>
              <w:t>不重新组织竣工验收</w:t>
            </w:r>
          </w:p>
        </w:tc>
        <w:tc>
          <w:tcPr>
            <w:tcW w:w="1080" w:type="dxa"/>
            <w:vMerge w:val="continue"/>
            <w:vAlign w:val="center"/>
          </w:tcPr>
          <w:p w14:paraId="1B2BF0B9">
            <w:pPr>
              <w:spacing w:line="320" w:lineRule="exact"/>
              <w:jc w:val="center"/>
              <w:rPr>
                <w:color w:val="000000"/>
                <w:kern w:val="0"/>
                <w:sz w:val="18"/>
                <w:szCs w:val="18"/>
              </w:rPr>
            </w:pPr>
          </w:p>
        </w:tc>
        <w:tc>
          <w:tcPr>
            <w:tcW w:w="5820" w:type="dxa"/>
            <w:vAlign w:val="center"/>
          </w:tcPr>
          <w:p w14:paraId="4685E34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14:paraId="0972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581DB3C">
            <w:pPr>
              <w:spacing w:line="320" w:lineRule="exact"/>
              <w:jc w:val="center"/>
              <w:rPr>
                <w:color w:val="000000"/>
                <w:kern w:val="0"/>
                <w:sz w:val="18"/>
                <w:szCs w:val="18"/>
              </w:rPr>
            </w:pPr>
          </w:p>
        </w:tc>
        <w:tc>
          <w:tcPr>
            <w:tcW w:w="6140" w:type="dxa"/>
            <w:gridSpan w:val="2"/>
            <w:vAlign w:val="center"/>
          </w:tcPr>
          <w:p w14:paraId="574446FF">
            <w:pPr>
              <w:spacing w:line="320" w:lineRule="exact"/>
              <w:jc w:val="left"/>
              <w:rPr>
                <w:color w:val="000000"/>
                <w:kern w:val="0"/>
                <w:sz w:val="18"/>
                <w:szCs w:val="18"/>
              </w:rPr>
            </w:pPr>
            <w:r>
              <w:rPr>
                <w:rFonts w:hint="eastAsia"/>
                <w:color w:val="000000"/>
                <w:kern w:val="0"/>
                <w:sz w:val="18"/>
                <w:szCs w:val="18"/>
              </w:rPr>
              <w:t>未停止使用且不重新组织竣工验收</w:t>
            </w:r>
          </w:p>
        </w:tc>
        <w:tc>
          <w:tcPr>
            <w:tcW w:w="1080" w:type="dxa"/>
            <w:vMerge w:val="continue"/>
            <w:vAlign w:val="center"/>
          </w:tcPr>
          <w:p w14:paraId="47D11D67">
            <w:pPr>
              <w:spacing w:line="320" w:lineRule="exact"/>
              <w:jc w:val="center"/>
              <w:rPr>
                <w:color w:val="000000"/>
                <w:kern w:val="0"/>
                <w:sz w:val="18"/>
                <w:szCs w:val="18"/>
              </w:rPr>
            </w:pPr>
          </w:p>
        </w:tc>
        <w:tc>
          <w:tcPr>
            <w:tcW w:w="5820" w:type="dxa"/>
            <w:vAlign w:val="center"/>
          </w:tcPr>
          <w:p w14:paraId="2B52BEE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5BDC60D8"/>
    <w:p w14:paraId="7362DE51"/>
    <w:p w14:paraId="0B8E094C"/>
    <w:p w14:paraId="174BDDD5"/>
    <w:p w14:paraId="716A086E"/>
    <w:p w14:paraId="1811D9BB"/>
    <w:p w14:paraId="56BCD579"/>
    <w:p w14:paraId="11BD64B1"/>
    <w:p w14:paraId="254D27E7"/>
    <w:p w14:paraId="5D29F1AB"/>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2D50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FE32BF7">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60D62957">
            <w:pPr>
              <w:spacing w:line="320" w:lineRule="exact"/>
              <w:jc w:val="left"/>
              <w:rPr>
                <w:rFonts w:eastAsia="仿宋_GB2312"/>
                <w:b/>
                <w:bCs/>
                <w:color w:val="000000"/>
                <w:kern w:val="0"/>
                <w:sz w:val="18"/>
                <w:szCs w:val="18"/>
              </w:rPr>
            </w:pPr>
            <w:r>
              <w:rPr>
                <w:rFonts w:eastAsia="仿宋_GB2312"/>
                <w:b/>
                <w:bCs/>
                <w:color w:val="000000"/>
                <w:kern w:val="0"/>
                <w:sz w:val="18"/>
                <w:szCs w:val="18"/>
              </w:rPr>
              <w:t>320217316000</w:t>
            </w:r>
            <w:r>
              <w:rPr>
                <w:rFonts w:hint="eastAsia" w:eastAsia="仿宋_GB2312"/>
                <w:b/>
                <w:bCs/>
                <w:color w:val="000000"/>
                <w:kern w:val="0"/>
                <w:sz w:val="18"/>
                <w:szCs w:val="18"/>
              </w:rPr>
              <w:t xml:space="preserve"> </w:t>
            </w:r>
          </w:p>
        </w:tc>
      </w:tr>
      <w:tr w14:paraId="03CD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002C1B10">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768AB5AE">
            <w:pPr>
              <w:spacing w:line="320" w:lineRule="exact"/>
              <w:jc w:val="left"/>
              <w:rPr>
                <w:color w:val="000000"/>
                <w:kern w:val="0"/>
                <w:sz w:val="18"/>
                <w:szCs w:val="18"/>
              </w:rPr>
            </w:pPr>
            <w:r>
              <w:rPr>
                <w:rFonts w:hint="eastAsia"/>
                <w:color w:val="000000"/>
                <w:kern w:val="0"/>
                <w:sz w:val="18"/>
                <w:szCs w:val="18"/>
              </w:rPr>
              <w:t>对施工单位违反工程建设强制性标准的处罚</w:t>
            </w:r>
          </w:p>
        </w:tc>
      </w:tr>
      <w:tr w14:paraId="7A07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10AFD308">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083D733C">
            <w:pPr>
              <w:spacing w:line="320" w:lineRule="exact"/>
              <w:jc w:val="left"/>
              <w:rPr>
                <w:color w:val="000000"/>
                <w:kern w:val="0"/>
                <w:sz w:val="18"/>
                <w:szCs w:val="18"/>
              </w:rPr>
            </w:pPr>
            <w:r>
              <w:rPr>
                <w:rFonts w:hint="eastAsia"/>
                <w:color w:val="000000"/>
                <w:kern w:val="0"/>
                <w:sz w:val="18"/>
                <w:szCs w:val="18"/>
              </w:rPr>
              <w:t>【规章】《实施工程建设强制性标准监督规定》</w:t>
            </w:r>
            <w:r>
              <w:rPr>
                <w:color w:val="000000"/>
                <w:kern w:val="0"/>
                <w:sz w:val="18"/>
                <w:szCs w:val="18"/>
              </w:rPr>
              <w:t>（</w:t>
            </w:r>
            <w:r>
              <w:rPr>
                <w:rFonts w:hint="eastAsia"/>
                <w:color w:val="000000"/>
                <w:kern w:val="0"/>
                <w:sz w:val="18"/>
                <w:szCs w:val="18"/>
              </w:rPr>
              <w:t>建设部令第</w:t>
            </w:r>
            <w:r>
              <w:rPr>
                <w:color w:val="000000"/>
                <w:kern w:val="0"/>
                <w:sz w:val="18"/>
                <w:szCs w:val="18"/>
              </w:rPr>
              <w:t>81</w:t>
            </w:r>
            <w:r>
              <w:rPr>
                <w:rFonts w:hint="eastAsia"/>
                <w:color w:val="000000"/>
                <w:kern w:val="0"/>
                <w:sz w:val="18"/>
                <w:szCs w:val="18"/>
              </w:rPr>
              <w:t>号</w:t>
            </w:r>
            <w:r>
              <w:rPr>
                <w:color w:val="000000"/>
                <w:kern w:val="0"/>
                <w:sz w:val="18"/>
                <w:szCs w:val="18"/>
              </w:rPr>
              <w:t xml:space="preserve">） </w:t>
            </w:r>
          </w:p>
          <w:p w14:paraId="3E3B7D3D">
            <w:pPr>
              <w:spacing w:line="320" w:lineRule="exact"/>
              <w:jc w:val="left"/>
              <w:rPr>
                <w:color w:val="000000"/>
                <w:kern w:val="0"/>
                <w:sz w:val="18"/>
                <w:szCs w:val="18"/>
              </w:rPr>
            </w:pPr>
            <w:r>
              <w:rPr>
                <w:rFonts w:hint="eastAsia"/>
                <w:color w:val="000000"/>
                <w:kern w:val="0"/>
                <w:sz w:val="18"/>
                <w:szCs w:val="18"/>
              </w:rPr>
              <w:t>第十八条：施工单位违反工程建设强制性标准的，责令改正，处工程合同价款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％以下的罚款；造成建设工程质量不符合规定的质量标准的，负责返工、修理，并赔偿因此造成的损失；情节严重的，责令停业整顿，降低资质等级或者吊销资质证书。</w:t>
            </w:r>
          </w:p>
        </w:tc>
      </w:tr>
      <w:tr w14:paraId="3C21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F1A9F83">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45381FDC">
            <w:pPr>
              <w:spacing w:line="320" w:lineRule="exact"/>
              <w:jc w:val="left"/>
              <w:rPr>
                <w:color w:val="000000"/>
                <w:kern w:val="0"/>
                <w:sz w:val="18"/>
                <w:szCs w:val="18"/>
              </w:rPr>
            </w:pPr>
            <w:r>
              <w:rPr>
                <w:rFonts w:hint="eastAsia"/>
                <w:color w:val="000000"/>
                <w:kern w:val="0"/>
                <w:sz w:val="18"/>
                <w:szCs w:val="18"/>
              </w:rPr>
              <w:t>罚款，停业整顿，降低资质等级或者吊销资质证书</w:t>
            </w:r>
          </w:p>
        </w:tc>
      </w:tr>
      <w:tr w14:paraId="371E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2CBD4F27">
            <w:pPr>
              <w:spacing w:line="320" w:lineRule="exact"/>
              <w:jc w:val="center"/>
              <w:rPr>
                <w:color w:val="000000"/>
                <w:kern w:val="0"/>
                <w:sz w:val="18"/>
                <w:szCs w:val="18"/>
              </w:rPr>
            </w:pPr>
            <w:r>
              <w:rPr>
                <w:rFonts w:hint="eastAsia"/>
                <w:color w:val="000000"/>
                <w:kern w:val="0"/>
                <w:sz w:val="18"/>
                <w:szCs w:val="18"/>
              </w:rPr>
              <w:t>裁量基准</w:t>
            </w:r>
          </w:p>
        </w:tc>
      </w:tr>
      <w:tr w14:paraId="0558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7035DE7A">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012E37DA">
            <w:pPr>
              <w:spacing w:line="320" w:lineRule="exact"/>
              <w:jc w:val="left"/>
              <w:rPr>
                <w:color w:val="000000"/>
                <w:kern w:val="0"/>
                <w:sz w:val="18"/>
                <w:szCs w:val="18"/>
              </w:rPr>
            </w:pPr>
            <w:r>
              <w:rPr>
                <w:rFonts w:hint="eastAsia"/>
                <w:color w:val="000000"/>
                <w:kern w:val="0"/>
                <w:sz w:val="18"/>
                <w:szCs w:val="18"/>
              </w:rPr>
              <w:t>未发生质量事故，按照要求整改的</w:t>
            </w:r>
          </w:p>
        </w:tc>
        <w:tc>
          <w:tcPr>
            <w:tcW w:w="1080" w:type="dxa"/>
            <w:vMerge w:val="restart"/>
            <w:vAlign w:val="center"/>
          </w:tcPr>
          <w:p w14:paraId="1A7D8F8A">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698447B">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tc>
      </w:tr>
      <w:tr w14:paraId="2AB5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C475349">
            <w:pPr>
              <w:spacing w:line="320" w:lineRule="exact"/>
              <w:jc w:val="center"/>
              <w:rPr>
                <w:color w:val="000000"/>
                <w:kern w:val="0"/>
                <w:sz w:val="18"/>
                <w:szCs w:val="18"/>
              </w:rPr>
            </w:pPr>
          </w:p>
        </w:tc>
        <w:tc>
          <w:tcPr>
            <w:tcW w:w="6140" w:type="dxa"/>
            <w:vAlign w:val="center"/>
          </w:tcPr>
          <w:p w14:paraId="3B73BDA0">
            <w:pPr>
              <w:spacing w:line="320" w:lineRule="exact"/>
              <w:jc w:val="left"/>
              <w:rPr>
                <w:color w:val="000000"/>
                <w:kern w:val="0"/>
                <w:sz w:val="18"/>
                <w:szCs w:val="18"/>
              </w:rPr>
            </w:pPr>
            <w:r>
              <w:rPr>
                <w:rFonts w:hint="eastAsia"/>
                <w:color w:val="000000"/>
                <w:kern w:val="0"/>
                <w:sz w:val="18"/>
                <w:szCs w:val="18"/>
              </w:rPr>
              <w:t>未发生质量事故，未按照要求整改的</w:t>
            </w:r>
          </w:p>
        </w:tc>
        <w:tc>
          <w:tcPr>
            <w:tcW w:w="1080" w:type="dxa"/>
            <w:vMerge w:val="continue"/>
            <w:vAlign w:val="center"/>
          </w:tcPr>
          <w:p w14:paraId="7DEEF1B3">
            <w:pPr>
              <w:spacing w:line="320" w:lineRule="exact"/>
              <w:jc w:val="center"/>
              <w:rPr>
                <w:color w:val="000000"/>
                <w:kern w:val="0"/>
                <w:sz w:val="18"/>
                <w:szCs w:val="18"/>
              </w:rPr>
            </w:pPr>
          </w:p>
        </w:tc>
        <w:tc>
          <w:tcPr>
            <w:tcW w:w="5820" w:type="dxa"/>
            <w:vAlign w:val="center"/>
          </w:tcPr>
          <w:p w14:paraId="3E42DAC4">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w:t>
            </w:r>
          </w:p>
        </w:tc>
      </w:tr>
      <w:tr w14:paraId="7633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78CA2429">
            <w:pPr>
              <w:spacing w:line="320" w:lineRule="exact"/>
              <w:jc w:val="center"/>
              <w:rPr>
                <w:color w:val="000000"/>
                <w:kern w:val="0"/>
                <w:sz w:val="18"/>
                <w:szCs w:val="18"/>
              </w:rPr>
            </w:pPr>
          </w:p>
        </w:tc>
        <w:tc>
          <w:tcPr>
            <w:tcW w:w="6140" w:type="dxa"/>
            <w:vAlign w:val="center"/>
          </w:tcPr>
          <w:p w14:paraId="5013107F">
            <w:pPr>
              <w:spacing w:line="320" w:lineRule="exact"/>
              <w:jc w:val="left"/>
              <w:rPr>
                <w:color w:val="000000"/>
                <w:kern w:val="0"/>
                <w:sz w:val="18"/>
                <w:szCs w:val="18"/>
              </w:rPr>
            </w:pPr>
            <w:r>
              <w:rPr>
                <w:rFonts w:hint="eastAsia"/>
                <w:color w:val="000000"/>
                <w:kern w:val="0"/>
                <w:sz w:val="18"/>
                <w:szCs w:val="18"/>
              </w:rPr>
              <w:t>造成一般质量事故的</w:t>
            </w:r>
          </w:p>
        </w:tc>
        <w:tc>
          <w:tcPr>
            <w:tcW w:w="1080" w:type="dxa"/>
            <w:vMerge w:val="continue"/>
            <w:vAlign w:val="center"/>
          </w:tcPr>
          <w:p w14:paraId="4976EC7E">
            <w:pPr>
              <w:spacing w:line="320" w:lineRule="exact"/>
              <w:jc w:val="center"/>
              <w:rPr>
                <w:color w:val="000000"/>
                <w:kern w:val="0"/>
                <w:sz w:val="18"/>
                <w:szCs w:val="18"/>
              </w:rPr>
            </w:pPr>
          </w:p>
        </w:tc>
        <w:tc>
          <w:tcPr>
            <w:tcW w:w="5820" w:type="dxa"/>
            <w:vAlign w:val="center"/>
          </w:tcPr>
          <w:p w14:paraId="0A70AFDE">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w:t>
            </w:r>
          </w:p>
        </w:tc>
      </w:tr>
      <w:tr w14:paraId="5C9D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0DF09D5C">
            <w:pPr>
              <w:spacing w:line="320" w:lineRule="exact"/>
              <w:jc w:val="center"/>
              <w:rPr>
                <w:color w:val="000000"/>
                <w:kern w:val="0"/>
                <w:sz w:val="18"/>
                <w:szCs w:val="18"/>
              </w:rPr>
            </w:pPr>
          </w:p>
        </w:tc>
        <w:tc>
          <w:tcPr>
            <w:tcW w:w="6140" w:type="dxa"/>
            <w:vAlign w:val="center"/>
          </w:tcPr>
          <w:p w14:paraId="32D1A7DE">
            <w:pPr>
              <w:spacing w:line="320" w:lineRule="exact"/>
              <w:jc w:val="left"/>
              <w:rPr>
                <w:color w:val="000000"/>
                <w:kern w:val="0"/>
                <w:sz w:val="18"/>
                <w:szCs w:val="18"/>
              </w:rPr>
            </w:pPr>
            <w:r>
              <w:rPr>
                <w:rFonts w:hint="eastAsia"/>
                <w:color w:val="000000"/>
                <w:kern w:val="0"/>
                <w:sz w:val="18"/>
                <w:szCs w:val="18"/>
              </w:rPr>
              <w:t>造成较大质量事故的</w:t>
            </w:r>
          </w:p>
        </w:tc>
        <w:tc>
          <w:tcPr>
            <w:tcW w:w="1080" w:type="dxa"/>
            <w:vMerge w:val="continue"/>
            <w:vAlign w:val="center"/>
          </w:tcPr>
          <w:p w14:paraId="233E3C3C">
            <w:pPr>
              <w:spacing w:line="320" w:lineRule="exact"/>
              <w:jc w:val="center"/>
              <w:rPr>
                <w:color w:val="000000"/>
                <w:kern w:val="0"/>
                <w:sz w:val="18"/>
                <w:szCs w:val="18"/>
              </w:rPr>
            </w:pPr>
          </w:p>
        </w:tc>
        <w:tc>
          <w:tcPr>
            <w:tcW w:w="5820" w:type="dxa"/>
            <w:vAlign w:val="center"/>
          </w:tcPr>
          <w:p w14:paraId="139E1DBE">
            <w:pPr>
              <w:spacing w:line="320" w:lineRule="exact"/>
              <w:jc w:val="left"/>
              <w:rPr>
                <w:color w:val="000000"/>
                <w:kern w:val="0"/>
                <w:sz w:val="18"/>
                <w:szCs w:val="18"/>
              </w:rPr>
            </w:pPr>
            <w:r>
              <w:rPr>
                <w:rFonts w:hint="eastAsia"/>
                <w:color w:val="000000"/>
                <w:kern w:val="0"/>
                <w:sz w:val="18"/>
                <w:szCs w:val="18"/>
              </w:rPr>
              <w:t>停业整顿，并处工程合同价款</w:t>
            </w:r>
            <w:r>
              <w:rPr>
                <w:color w:val="000000"/>
                <w:kern w:val="0"/>
                <w:sz w:val="18"/>
                <w:szCs w:val="18"/>
              </w:rPr>
              <w:t>4%</w:t>
            </w:r>
            <w:r>
              <w:rPr>
                <w:rFonts w:hint="eastAsia"/>
                <w:color w:val="000000"/>
                <w:kern w:val="0"/>
                <w:sz w:val="18"/>
                <w:szCs w:val="18"/>
              </w:rPr>
              <w:t>的罚款</w:t>
            </w:r>
          </w:p>
        </w:tc>
      </w:tr>
      <w:tr w14:paraId="7EF3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030" w:type="dxa"/>
            <w:vMerge w:val="continue"/>
            <w:vAlign w:val="center"/>
          </w:tcPr>
          <w:p w14:paraId="5EE5EF1F">
            <w:pPr>
              <w:spacing w:line="320" w:lineRule="exact"/>
              <w:jc w:val="center"/>
              <w:rPr>
                <w:color w:val="000000"/>
                <w:kern w:val="0"/>
                <w:sz w:val="18"/>
                <w:szCs w:val="18"/>
              </w:rPr>
            </w:pPr>
          </w:p>
        </w:tc>
        <w:tc>
          <w:tcPr>
            <w:tcW w:w="6140" w:type="dxa"/>
            <w:vAlign w:val="center"/>
          </w:tcPr>
          <w:p w14:paraId="79E3BE1A">
            <w:pPr>
              <w:spacing w:line="320" w:lineRule="exact"/>
              <w:jc w:val="left"/>
              <w:rPr>
                <w:color w:val="000000"/>
                <w:kern w:val="0"/>
                <w:sz w:val="18"/>
                <w:szCs w:val="18"/>
              </w:rPr>
            </w:pPr>
            <w:r>
              <w:rPr>
                <w:rFonts w:hint="eastAsia"/>
                <w:color w:val="000000"/>
                <w:kern w:val="0"/>
                <w:sz w:val="18"/>
                <w:szCs w:val="18"/>
              </w:rPr>
              <w:t>造成重大质量事故的</w:t>
            </w:r>
          </w:p>
        </w:tc>
        <w:tc>
          <w:tcPr>
            <w:tcW w:w="1080" w:type="dxa"/>
            <w:vMerge w:val="continue"/>
            <w:vAlign w:val="center"/>
          </w:tcPr>
          <w:p w14:paraId="10F7E872">
            <w:pPr>
              <w:spacing w:line="320" w:lineRule="exact"/>
              <w:jc w:val="center"/>
              <w:rPr>
                <w:color w:val="000000"/>
                <w:kern w:val="0"/>
                <w:sz w:val="18"/>
                <w:szCs w:val="18"/>
              </w:rPr>
            </w:pPr>
          </w:p>
        </w:tc>
        <w:tc>
          <w:tcPr>
            <w:tcW w:w="5820" w:type="dxa"/>
            <w:vAlign w:val="center"/>
          </w:tcPr>
          <w:p w14:paraId="07DF6921">
            <w:pPr>
              <w:spacing w:line="320" w:lineRule="exact"/>
              <w:jc w:val="left"/>
              <w:rPr>
                <w:color w:val="000000"/>
                <w:kern w:val="0"/>
                <w:sz w:val="18"/>
                <w:szCs w:val="18"/>
              </w:rPr>
            </w:pPr>
            <w:r>
              <w:rPr>
                <w:rFonts w:hint="eastAsia"/>
                <w:color w:val="000000"/>
                <w:kern w:val="0"/>
                <w:sz w:val="18"/>
                <w:szCs w:val="18"/>
              </w:rPr>
              <w:t>降低资质等级，并处工程合同价款</w:t>
            </w:r>
            <w:r>
              <w:rPr>
                <w:color w:val="000000"/>
                <w:kern w:val="0"/>
                <w:sz w:val="18"/>
                <w:szCs w:val="18"/>
              </w:rPr>
              <w:t>4%</w:t>
            </w:r>
            <w:r>
              <w:rPr>
                <w:rFonts w:hint="eastAsia"/>
                <w:color w:val="000000"/>
                <w:kern w:val="0"/>
                <w:sz w:val="18"/>
                <w:szCs w:val="18"/>
              </w:rPr>
              <w:t>的罚款</w:t>
            </w:r>
          </w:p>
        </w:tc>
      </w:tr>
      <w:tr w14:paraId="7431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9DC0E58">
            <w:pPr>
              <w:spacing w:line="320" w:lineRule="exact"/>
              <w:jc w:val="center"/>
              <w:rPr>
                <w:color w:val="000000"/>
                <w:kern w:val="0"/>
                <w:sz w:val="18"/>
                <w:szCs w:val="18"/>
              </w:rPr>
            </w:pPr>
          </w:p>
        </w:tc>
        <w:tc>
          <w:tcPr>
            <w:tcW w:w="6140" w:type="dxa"/>
            <w:vAlign w:val="center"/>
          </w:tcPr>
          <w:p w14:paraId="1203130F">
            <w:pPr>
              <w:spacing w:line="320" w:lineRule="exact"/>
              <w:jc w:val="left"/>
              <w:rPr>
                <w:color w:val="000000"/>
                <w:kern w:val="0"/>
                <w:sz w:val="18"/>
                <w:szCs w:val="18"/>
              </w:rPr>
            </w:pPr>
            <w:r>
              <w:rPr>
                <w:rFonts w:hint="eastAsia"/>
                <w:color w:val="000000"/>
                <w:kern w:val="0"/>
                <w:sz w:val="18"/>
                <w:szCs w:val="18"/>
              </w:rPr>
              <w:t>造成特别重大质量事故的</w:t>
            </w:r>
          </w:p>
        </w:tc>
        <w:tc>
          <w:tcPr>
            <w:tcW w:w="1080" w:type="dxa"/>
            <w:vMerge w:val="continue"/>
            <w:vAlign w:val="center"/>
          </w:tcPr>
          <w:p w14:paraId="34E63CFD">
            <w:pPr>
              <w:spacing w:line="320" w:lineRule="exact"/>
              <w:jc w:val="center"/>
              <w:rPr>
                <w:color w:val="000000"/>
                <w:kern w:val="0"/>
                <w:sz w:val="18"/>
                <w:szCs w:val="18"/>
              </w:rPr>
            </w:pPr>
          </w:p>
        </w:tc>
        <w:tc>
          <w:tcPr>
            <w:tcW w:w="5820" w:type="dxa"/>
            <w:vAlign w:val="center"/>
          </w:tcPr>
          <w:p w14:paraId="3461EC99">
            <w:pPr>
              <w:spacing w:line="320" w:lineRule="exact"/>
              <w:jc w:val="left"/>
              <w:rPr>
                <w:color w:val="000000"/>
                <w:kern w:val="0"/>
                <w:sz w:val="18"/>
                <w:szCs w:val="18"/>
              </w:rPr>
            </w:pPr>
            <w:r>
              <w:rPr>
                <w:rFonts w:hint="eastAsia"/>
                <w:color w:val="000000"/>
                <w:kern w:val="0"/>
                <w:sz w:val="18"/>
                <w:szCs w:val="18"/>
              </w:rPr>
              <w:t>吊销资质证书，并处工程合同价款</w:t>
            </w:r>
            <w:r>
              <w:rPr>
                <w:color w:val="000000"/>
                <w:kern w:val="0"/>
                <w:sz w:val="18"/>
                <w:szCs w:val="18"/>
              </w:rPr>
              <w:t>4%</w:t>
            </w:r>
            <w:r>
              <w:rPr>
                <w:rFonts w:hint="eastAsia"/>
                <w:color w:val="000000"/>
                <w:kern w:val="0"/>
                <w:sz w:val="18"/>
                <w:szCs w:val="18"/>
              </w:rPr>
              <w:t>的罚款</w:t>
            </w:r>
          </w:p>
        </w:tc>
      </w:tr>
    </w:tbl>
    <w:p w14:paraId="249B2607"/>
    <w:p w14:paraId="7F66F956"/>
    <w:p w14:paraId="40CD6EE1"/>
    <w:p w14:paraId="33813FD5"/>
    <w:p w14:paraId="4DDAADF6"/>
    <w:p w14:paraId="60BAFB44"/>
    <w:p w14:paraId="3925066E"/>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6C425015">
        <w:tblPrEx>
          <w:tblCellMar>
            <w:top w:w="0" w:type="dxa"/>
            <w:left w:w="108" w:type="dxa"/>
            <w:bottom w:w="0" w:type="dxa"/>
            <w:right w:w="108" w:type="dxa"/>
          </w:tblCellMar>
        </w:tblPrEx>
        <w:trPr>
          <w:trHeight w:val="385" w:hRule="atLeast"/>
        </w:trPr>
        <w:tc>
          <w:tcPr>
            <w:tcW w:w="1296" w:type="dxa"/>
            <w:tcBorders>
              <w:top w:val="single" w:color="auto" w:sz="8" w:space="0"/>
              <w:left w:val="single" w:color="auto" w:sz="8" w:space="0"/>
              <w:bottom w:val="single" w:color="auto" w:sz="4" w:space="0"/>
              <w:right w:val="single" w:color="auto" w:sz="4" w:space="0"/>
            </w:tcBorders>
            <w:vAlign w:val="center"/>
          </w:tcPr>
          <w:p w14:paraId="4140E56B">
            <w:pP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3D17B533">
            <w:pPr>
              <w:rPr>
                <w:b/>
                <w:bCs/>
                <w:color w:val="000000"/>
              </w:rPr>
            </w:pPr>
            <w:r>
              <w:rPr>
                <w:b/>
                <w:color w:val="000000"/>
              </w:rPr>
              <w:t>320217317000</w:t>
            </w:r>
            <w:r>
              <w:rPr>
                <w:rFonts w:hint="eastAsia"/>
                <w:b/>
                <w:color w:val="000000"/>
              </w:rPr>
              <w:t xml:space="preserve"> </w:t>
            </w:r>
          </w:p>
        </w:tc>
      </w:tr>
      <w:tr w14:paraId="4C138D65">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29614551">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tcPr>
          <w:p w14:paraId="04944EBB">
            <w:pPr>
              <w:rPr>
                <w:color w:val="000000"/>
              </w:rPr>
            </w:pPr>
            <w:r>
              <w:rPr>
                <w:rFonts w:hint="eastAsia"/>
                <w:color w:val="000000"/>
              </w:rPr>
              <w:t>对建筑起重机械使用单位擅自在建筑起重机械上安装非原制造厂制造的标准节和附着装置的处罚</w:t>
            </w:r>
          </w:p>
        </w:tc>
      </w:tr>
      <w:tr w14:paraId="215A9611">
        <w:tblPrEx>
          <w:tblCellMar>
            <w:top w:w="0" w:type="dxa"/>
            <w:left w:w="108" w:type="dxa"/>
            <w:bottom w:w="0" w:type="dxa"/>
            <w:right w:w="108" w:type="dxa"/>
          </w:tblCellMar>
        </w:tblPrEx>
        <w:trPr>
          <w:trHeight w:val="1395" w:hRule="atLeast"/>
        </w:trPr>
        <w:tc>
          <w:tcPr>
            <w:tcW w:w="1296" w:type="dxa"/>
            <w:tcBorders>
              <w:top w:val="nil"/>
              <w:left w:val="single" w:color="auto" w:sz="8" w:space="0"/>
              <w:bottom w:val="single" w:color="auto" w:sz="4" w:space="0"/>
              <w:right w:val="single" w:color="auto" w:sz="4" w:space="0"/>
            </w:tcBorders>
            <w:vAlign w:val="center"/>
          </w:tcPr>
          <w:p w14:paraId="2F4C5E7D">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vAlign w:val="center"/>
          </w:tcPr>
          <w:p w14:paraId="1C00F0A6">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第二十条第三款　禁止擅自在建筑起重机械上安装非原制造厂制造的标准节和附着装置。</w:t>
            </w:r>
            <w:r>
              <w:rPr>
                <w:color w:val="000000"/>
              </w:rPr>
              <w:br w:type="textWrapping"/>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ype="textWrapping"/>
            </w:r>
            <w:r>
              <w:rPr>
                <w:color w:val="000000"/>
              </w:rPr>
              <w:t xml:space="preserve">   </w:t>
            </w:r>
            <w:r>
              <w:rPr>
                <w:rFonts w:hint="eastAsia"/>
                <w:color w:val="000000"/>
              </w:rPr>
              <w:t>（三）擅自在建筑起重机械上安装非原制造厂制造的标准节和附着装置的。</w:t>
            </w:r>
          </w:p>
        </w:tc>
      </w:tr>
      <w:tr w14:paraId="07A1855F">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5790040A">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78583DD4">
            <w:pPr>
              <w:rPr>
                <w:color w:val="000000"/>
              </w:rPr>
            </w:pPr>
            <w:r>
              <w:rPr>
                <w:rFonts w:hint="eastAsia"/>
                <w:color w:val="000000"/>
              </w:rPr>
              <w:t>警告，罚款</w:t>
            </w:r>
          </w:p>
        </w:tc>
      </w:tr>
      <w:tr w14:paraId="3CD6A11D">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76D6B1B">
            <w:pPr>
              <w:jc w:val="center"/>
              <w:rPr>
                <w:color w:val="000000"/>
              </w:rPr>
            </w:pPr>
            <w:r>
              <w:rPr>
                <w:rFonts w:hint="eastAsia"/>
                <w:color w:val="000000"/>
              </w:rPr>
              <w:t>裁量基准</w:t>
            </w:r>
          </w:p>
        </w:tc>
      </w:tr>
      <w:tr w14:paraId="001BCDE1">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2E1F7330">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3A2AED0B">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68B67F1E">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1C929F9D">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2EBDC9BC">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64E9F8DA">
            <w:pPr>
              <w:rPr>
                <w:color w:val="000000"/>
              </w:rPr>
            </w:pPr>
          </w:p>
        </w:tc>
        <w:tc>
          <w:tcPr>
            <w:tcW w:w="5884" w:type="dxa"/>
            <w:tcBorders>
              <w:top w:val="single" w:color="auto" w:sz="4" w:space="0"/>
              <w:left w:val="nil"/>
              <w:bottom w:val="single" w:color="auto" w:sz="4" w:space="0"/>
              <w:right w:val="single" w:color="auto" w:sz="4" w:space="0"/>
            </w:tcBorders>
            <w:vAlign w:val="center"/>
          </w:tcPr>
          <w:p w14:paraId="01A0D121">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4545319C">
            <w:pPr>
              <w:rPr>
                <w:color w:val="000000"/>
              </w:rPr>
            </w:pPr>
          </w:p>
        </w:tc>
        <w:tc>
          <w:tcPr>
            <w:tcW w:w="5760" w:type="dxa"/>
            <w:tcBorders>
              <w:top w:val="nil"/>
              <w:left w:val="nil"/>
              <w:bottom w:val="single" w:color="auto" w:sz="4" w:space="0"/>
              <w:right w:val="single" w:color="auto" w:sz="8" w:space="0"/>
            </w:tcBorders>
            <w:vAlign w:val="center"/>
          </w:tcPr>
          <w:p w14:paraId="40FD58D8">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6EBD8E9C">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669EC99A">
            <w:pPr>
              <w:rPr>
                <w:color w:val="000000"/>
              </w:rPr>
            </w:pPr>
          </w:p>
        </w:tc>
        <w:tc>
          <w:tcPr>
            <w:tcW w:w="5884" w:type="dxa"/>
            <w:tcBorders>
              <w:top w:val="single" w:color="auto" w:sz="4" w:space="0"/>
              <w:left w:val="nil"/>
              <w:bottom w:val="single" w:color="auto" w:sz="4" w:space="0"/>
              <w:right w:val="single" w:color="auto" w:sz="4" w:space="0"/>
            </w:tcBorders>
            <w:vAlign w:val="center"/>
          </w:tcPr>
          <w:p w14:paraId="03015609">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47D4BA80">
            <w:pPr>
              <w:rPr>
                <w:color w:val="000000"/>
              </w:rPr>
            </w:pPr>
          </w:p>
        </w:tc>
        <w:tc>
          <w:tcPr>
            <w:tcW w:w="5760" w:type="dxa"/>
            <w:tcBorders>
              <w:top w:val="nil"/>
              <w:left w:val="nil"/>
              <w:bottom w:val="single" w:color="auto" w:sz="4" w:space="0"/>
              <w:right w:val="single" w:color="auto" w:sz="8" w:space="0"/>
            </w:tcBorders>
            <w:vAlign w:val="center"/>
          </w:tcPr>
          <w:p w14:paraId="7D6ABC96">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2C708616">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60FECEE3">
            <w:pPr>
              <w:rPr>
                <w:color w:val="000000"/>
              </w:rPr>
            </w:pPr>
          </w:p>
        </w:tc>
        <w:tc>
          <w:tcPr>
            <w:tcW w:w="5884" w:type="dxa"/>
            <w:tcBorders>
              <w:top w:val="single" w:color="auto" w:sz="4" w:space="0"/>
              <w:left w:val="nil"/>
              <w:bottom w:val="single" w:color="auto" w:sz="4" w:space="0"/>
              <w:right w:val="single" w:color="auto" w:sz="4" w:space="0"/>
            </w:tcBorders>
            <w:vAlign w:val="center"/>
          </w:tcPr>
          <w:p w14:paraId="2A4BCE8C">
            <w:pPr>
              <w:rPr>
                <w:color w:val="000000"/>
              </w:rPr>
            </w:pPr>
            <w:r>
              <w:rPr>
                <w:rFonts w:hint="eastAsia"/>
                <w:color w:val="000000"/>
              </w:rPr>
              <w:t>未按要求改正的，造成安全事故的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4B4ABC23">
            <w:pPr>
              <w:rPr>
                <w:color w:val="000000"/>
              </w:rPr>
            </w:pPr>
          </w:p>
        </w:tc>
        <w:tc>
          <w:tcPr>
            <w:tcW w:w="5760" w:type="dxa"/>
            <w:tcBorders>
              <w:top w:val="nil"/>
              <w:left w:val="nil"/>
              <w:bottom w:val="single" w:color="auto" w:sz="4" w:space="0"/>
              <w:right w:val="single" w:color="auto" w:sz="8" w:space="0"/>
            </w:tcBorders>
            <w:vAlign w:val="center"/>
          </w:tcPr>
          <w:p w14:paraId="37701BDB">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4A9F8A5C"/>
    <w:p w14:paraId="245F63E8"/>
    <w:p w14:paraId="45B3C28E"/>
    <w:p w14:paraId="162AC10E"/>
    <w:p w14:paraId="64019DE4"/>
    <w:p w14:paraId="6A042805"/>
    <w:p w14:paraId="4572B3BF"/>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3144474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5E5C6BB">
            <w:pPr>
              <w:spacing w:line="320" w:lineRule="exact"/>
              <w:jc w:val="left"/>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4E030FBF">
            <w:pPr>
              <w:spacing w:line="320" w:lineRule="exact"/>
              <w:jc w:val="left"/>
              <w:rPr>
                <w:b/>
                <w:color w:val="000000"/>
                <w:kern w:val="0"/>
                <w:sz w:val="18"/>
                <w:szCs w:val="18"/>
              </w:rPr>
            </w:pPr>
            <w:r>
              <w:rPr>
                <w:b/>
                <w:color w:val="000000"/>
                <w:kern w:val="0"/>
                <w:sz w:val="18"/>
                <w:szCs w:val="18"/>
              </w:rPr>
              <w:t>320217321000</w:t>
            </w:r>
          </w:p>
        </w:tc>
      </w:tr>
      <w:tr w14:paraId="7209EA0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F022298">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6FB2366A">
            <w:pPr>
              <w:spacing w:line="320" w:lineRule="exact"/>
              <w:jc w:val="left"/>
              <w:rPr>
                <w:color w:val="000000"/>
                <w:kern w:val="0"/>
                <w:sz w:val="18"/>
                <w:szCs w:val="18"/>
              </w:rPr>
            </w:pPr>
            <w:r>
              <w:rPr>
                <w:rFonts w:hint="eastAsia"/>
                <w:color w:val="000000"/>
                <w:kern w:val="0"/>
                <w:sz w:val="18"/>
                <w:szCs w:val="18"/>
              </w:rPr>
              <w:t>对注册造价工程师以个人名义承接工程造价业务的处罚</w:t>
            </w:r>
          </w:p>
        </w:tc>
      </w:tr>
      <w:tr w14:paraId="07097B14">
        <w:tblPrEx>
          <w:tblCellMar>
            <w:top w:w="0" w:type="dxa"/>
            <w:left w:w="108" w:type="dxa"/>
            <w:bottom w:w="0" w:type="dxa"/>
            <w:right w:w="108" w:type="dxa"/>
          </w:tblCellMar>
        </w:tblPrEx>
        <w:trPr>
          <w:trHeight w:val="1365" w:hRule="atLeast"/>
        </w:trPr>
        <w:tc>
          <w:tcPr>
            <w:tcW w:w="1056" w:type="dxa"/>
            <w:tcBorders>
              <w:top w:val="nil"/>
              <w:left w:val="single" w:color="auto" w:sz="8" w:space="0"/>
              <w:bottom w:val="single" w:color="auto" w:sz="4" w:space="0"/>
              <w:right w:val="single" w:color="auto" w:sz="4" w:space="0"/>
            </w:tcBorders>
            <w:vAlign w:val="center"/>
          </w:tcPr>
          <w:p w14:paraId="526C33B3">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2FE7248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【规章】《注册造价工程师管理办法》（建设部令第150号发布，根据住房和城乡建设部令第32号，住房和城乡建设部令第50号修正）</w:t>
            </w:r>
          </w:p>
          <w:p w14:paraId="17803BC4">
            <w:pPr>
              <w:spacing w:line="320" w:lineRule="exact"/>
              <w:jc w:val="left"/>
              <w:rPr>
                <w:color w:val="000000"/>
                <w:kern w:val="0"/>
                <w:sz w:val="18"/>
                <w:szCs w:val="18"/>
              </w:rPr>
            </w:pPr>
            <w:r>
              <w:rPr>
                <w:rFonts w:hint="eastAsia"/>
                <w:color w:val="000000"/>
                <w:kern w:val="0"/>
                <w:sz w:val="18"/>
                <w:szCs w:val="18"/>
              </w:rPr>
              <w:t xml:space="preserve">      第二十条　注册造价工程师不得有下列行为：</w:t>
            </w:r>
          </w:p>
          <w:p w14:paraId="58C1F339">
            <w:pPr>
              <w:spacing w:line="320" w:lineRule="exact"/>
              <w:jc w:val="left"/>
              <w:rPr>
                <w:color w:val="000000"/>
                <w:kern w:val="0"/>
                <w:sz w:val="18"/>
                <w:szCs w:val="18"/>
              </w:rPr>
            </w:pPr>
            <w:r>
              <w:rPr>
                <w:rFonts w:hint="eastAsia"/>
                <w:color w:val="000000"/>
                <w:kern w:val="0"/>
                <w:sz w:val="18"/>
                <w:szCs w:val="18"/>
              </w:rPr>
              <w:t xml:space="preserve">  　（五）以个人名义承接工程造价业务；</w:t>
            </w:r>
          </w:p>
          <w:p w14:paraId="53F68D7C">
            <w:pPr>
              <w:spacing w:line="320" w:lineRule="exact"/>
              <w:jc w:val="left"/>
              <w:rPr>
                <w:color w:val="000000"/>
                <w:kern w:val="0"/>
                <w:sz w:val="18"/>
                <w:szCs w:val="18"/>
              </w:rPr>
            </w:pPr>
            <w:r>
              <w:rPr>
                <w:rFonts w:hint="eastAsia"/>
                <w:color w:val="000000"/>
                <w:kern w:val="0"/>
                <w:sz w:val="18"/>
                <w:szCs w:val="18"/>
              </w:rPr>
              <w:t>　　第三十六条　注册造价工程师有本办法第二十条规定行为之一的，由县级以上地方人民政府住房城乡建设主管部门或者其他有关部门给予警告，责令改正，没有违法所得的，处以1万元以下罚款，有违法所得的，处以违法所得3倍以下且不超过3万元的罚款。</w:t>
            </w:r>
          </w:p>
        </w:tc>
      </w:tr>
      <w:tr w14:paraId="77538C7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91658D0">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2EDC4C4B">
            <w:pPr>
              <w:spacing w:line="320" w:lineRule="exact"/>
              <w:jc w:val="left"/>
              <w:rPr>
                <w:color w:val="000000"/>
                <w:kern w:val="0"/>
                <w:sz w:val="18"/>
                <w:szCs w:val="18"/>
              </w:rPr>
            </w:pPr>
            <w:r>
              <w:rPr>
                <w:rFonts w:hint="eastAsia"/>
                <w:color w:val="000000"/>
                <w:kern w:val="0"/>
                <w:sz w:val="18"/>
                <w:szCs w:val="18"/>
              </w:rPr>
              <w:t>警告，罚款</w:t>
            </w:r>
          </w:p>
        </w:tc>
      </w:tr>
      <w:tr w14:paraId="07040292">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1C89D84C">
            <w:pPr>
              <w:spacing w:line="320" w:lineRule="exact"/>
              <w:jc w:val="center"/>
              <w:rPr>
                <w:color w:val="000000"/>
                <w:kern w:val="0"/>
                <w:sz w:val="18"/>
                <w:szCs w:val="18"/>
              </w:rPr>
            </w:pPr>
            <w:r>
              <w:rPr>
                <w:rFonts w:hint="eastAsia"/>
                <w:color w:val="000000"/>
                <w:kern w:val="0"/>
                <w:sz w:val="18"/>
                <w:szCs w:val="18"/>
              </w:rPr>
              <w:t>裁量基准</w:t>
            </w:r>
          </w:p>
        </w:tc>
      </w:tr>
      <w:tr w14:paraId="7A82CE5E">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57333402">
            <w:pPr>
              <w:spacing w:line="32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62C3746B">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49FCEA13">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33D6ABED">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1509556C">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29DFD9E1">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B6150D7">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3E7907D0">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50222334">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6436DE89">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D2C1FFB">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6D70E19">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F2319F2">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145BBA2B">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1DAE7B62">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7C670784">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BD17A4B">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77E4D2AA">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9D4C694">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3789499D">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3FB12A9B">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5321D96C">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655CEFF">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04B82420"/>
    <w:p w14:paraId="06FE2514"/>
    <w:p w14:paraId="16D50FBD"/>
    <w:p w14:paraId="1706695F"/>
    <w:p w14:paraId="08C061E8"/>
    <w:p w14:paraId="30F582B1"/>
    <w:p w14:paraId="790AF204"/>
    <w:p w14:paraId="21B930BE"/>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0ACEEA3A">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552888BA">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7AF0A057">
            <w:pPr>
              <w:spacing w:line="320" w:lineRule="exact"/>
              <w:jc w:val="left"/>
              <w:rPr>
                <w:rFonts w:eastAsia="仿宋_GB2312"/>
                <w:b/>
                <w:bCs/>
                <w:color w:val="000000"/>
                <w:kern w:val="0"/>
                <w:sz w:val="18"/>
                <w:szCs w:val="18"/>
              </w:rPr>
            </w:pPr>
            <w:r>
              <w:rPr>
                <w:rFonts w:eastAsia="仿宋_GB2312"/>
                <w:b/>
                <w:bCs/>
                <w:color w:val="000000"/>
                <w:kern w:val="0"/>
                <w:sz w:val="18"/>
                <w:szCs w:val="18"/>
              </w:rPr>
              <w:t>320217322000</w:t>
            </w:r>
          </w:p>
        </w:tc>
      </w:tr>
      <w:tr w14:paraId="475D3DFF">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166D0F8A">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6CE25994">
            <w:pPr>
              <w:spacing w:line="320" w:lineRule="exact"/>
              <w:jc w:val="left"/>
              <w:rPr>
                <w:color w:val="000000"/>
                <w:kern w:val="0"/>
                <w:sz w:val="18"/>
                <w:szCs w:val="18"/>
              </w:rPr>
            </w:pPr>
            <w:r>
              <w:rPr>
                <w:rFonts w:hint="eastAsia"/>
                <w:color w:val="000000"/>
                <w:kern w:val="0"/>
                <w:sz w:val="18"/>
                <w:szCs w:val="18"/>
              </w:rPr>
              <w:t>对从事工程建设中介服务的执业人员同时在两个以上的中介服务机构执业的处罚</w:t>
            </w:r>
          </w:p>
        </w:tc>
      </w:tr>
      <w:tr w14:paraId="0F8DF9C5">
        <w:tblPrEx>
          <w:tblCellMar>
            <w:top w:w="0" w:type="dxa"/>
            <w:left w:w="108" w:type="dxa"/>
            <w:bottom w:w="0" w:type="dxa"/>
            <w:right w:w="108" w:type="dxa"/>
          </w:tblCellMar>
        </w:tblPrEx>
        <w:trPr>
          <w:trHeight w:val="1530" w:hRule="atLeast"/>
        </w:trPr>
        <w:tc>
          <w:tcPr>
            <w:tcW w:w="1030" w:type="dxa"/>
            <w:tcBorders>
              <w:top w:val="nil"/>
              <w:left w:val="single" w:color="auto" w:sz="8" w:space="0"/>
              <w:bottom w:val="single" w:color="auto" w:sz="4" w:space="0"/>
              <w:right w:val="single" w:color="auto" w:sz="4" w:space="0"/>
            </w:tcBorders>
            <w:vAlign w:val="center"/>
          </w:tcPr>
          <w:p w14:paraId="307EF589">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62CFE13A">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第二十二条第三款</w:t>
            </w:r>
            <w:r>
              <w:rPr>
                <w:color w:val="000000"/>
                <w:kern w:val="0"/>
                <w:sz w:val="18"/>
                <w:szCs w:val="18"/>
              </w:rPr>
              <w:t xml:space="preserve">  </w:t>
            </w:r>
            <w:r>
              <w:rPr>
                <w:rFonts w:hint="eastAsia"/>
                <w:color w:val="000000"/>
                <w:kern w:val="0"/>
                <w:sz w:val="18"/>
                <w:szCs w:val="18"/>
              </w:rPr>
              <w:t>从事中介服务活动的专业技术人员，应当具有与所承担的工程业务相适应的执业资格，并不得同时在两个以上的中介服务机构执业。中介服务人员承办业务，由中介服务机构统一承接。</w:t>
            </w:r>
            <w:r>
              <w:rPr>
                <w:color w:val="000000"/>
                <w:kern w:val="0"/>
                <w:sz w:val="18"/>
                <w:szCs w:val="18"/>
              </w:rPr>
              <w:br w:type="textWrapping"/>
            </w:r>
            <w:r>
              <w:rPr>
                <w:rFonts w:hint="eastAsia"/>
                <w:color w:val="000000"/>
                <w:kern w:val="0"/>
                <w:sz w:val="18"/>
                <w:szCs w:val="18"/>
              </w:rPr>
              <w:t>第四十九条　违反本条例第十七条和第二十二条第三款的规定，一个项目经理部及其项目经理同时承担两个以上大中型工程主体部分的施工业务，或者从事工程建设中介服务业务的执业人员同时在两个以上中介服务机构执业的，由建设行政主管部门责令改正，处以警告；拒不改正的，降低资质等级或者注销执业资格。</w:t>
            </w:r>
          </w:p>
        </w:tc>
      </w:tr>
      <w:tr w14:paraId="545C3D6B">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6C8F0E0B">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49976483">
            <w:pPr>
              <w:spacing w:line="320" w:lineRule="exact"/>
              <w:jc w:val="left"/>
              <w:rPr>
                <w:color w:val="000000"/>
                <w:kern w:val="0"/>
                <w:sz w:val="18"/>
                <w:szCs w:val="18"/>
              </w:rPr>
            </w:pPr>
            <w:r>
              <w:rPr>
                <w:rFonts w:hint="eastAsia"/>
                <w:color w:val="000000"/>
                <w:kern w:val="0"/>
                <w:sz w:val="18"/>
                <w:szCs w:val="18"/>
              </w:rPr>
              <w:t>警告，降低资质等级或者注销执业资格</w:t>
            </w:r>
          </w:p>
        </w:tc>
      </w:tr>
      <w:tr w14:paraId="4DA8BE58">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4D2E9FFD">
            <w:pPr>
              <w:spacing w:line="320" w:lineRule="exact"/>
              <w:jc w:val="center"/>
              <w:rPr>
                <w:color w:val="000000"/>
                <w:kern w:val="0"/>
                <w:sz w:val="18"/>
                <w:szCs w:val="18"/>
              </w:rPr>
            </w:pPr>
            <w:r>
              <w:rPr>
                <w:rFonts w:hint="eastAsia"/>
                <w:color w:val="000000"/>
                <w:kern w:val="0"/>
                <w:sz w:val="18"/>
                <w:szCs w:val="18"/>
              </w:rPr>
              <w:t>裁量基准</w:t>
            </w:r>
          </w:p>
        </w:tc>
      </w:tr>
      <w:tr w14:paraId="6D3B9F99">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4A49E8CB">
            <w:pPr>
              <w:spacing w:line="320" w:lineRule="exact"/>
              <w:jc w:val="center"/>
              <w:rPr>
                <w:color w:val="000000"/>
                <w:kern w:val="0"/>
                <w:sz w:val="18"/>
                <w:szCs w:val="18"/>
              </w:rPr>
            </w:pPr>
            <w:r>
              <w:rPr>
                <w:rFonts w:hint="eastAsia"/>
                <w:color w:val="000000"/>
                <w:kern w:val="0"/>
                <w:sz w:val="18"/>
                <w:szCs w:val="18"/>
              </w:rPr>
              <w:t>情景描述</w:t>
            </w:r>
          </w:p>
        </w:tc>
        <w:tc>
          <w:tcPr>
            <w:tcW w:w="6140" w:type="dxa"/>
            <w:tcBorders>
              <w:top w:val="single" w:color="auto" w:sz="4" w:space="0"/>
              <w:left w:val="single" w:color="auto" w:sz="4" w:space="0"/>
              <w:bottom w:val="single" w:color="auto" w:sz="4" w:space="0"/>
              <w:right w:val="single" w:color="auto" w:sz="4" w:space="0"/>
            </w:tcBorders>
            <w:vAlign w:val="center"/>
          </w:tcPr>
          <w:p w14:paraId="3ADC7EED">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single" w:color="auto" w:sz="4" w:space="0"/>
              <w:left w:val="single" w:color="auto" w:sz="4" w:space="0"/>
              <w:right w:val="single" w:color="auto" w:sz="4" w:space="0"/>
            </w:tcBorders>
            <w:vAlign w:val="center"/>
          </w:tcPr>
          <w:p w14:paraId="66739D30">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043119B1">
            <w:pPr>
              <w:spacing w:line="320" w:lineRule="exact"/>
              <w:jc w:val="left"/>
              <w:rPr>
                <w:color w:val="000000"/>
                <w:kern w:val="0"/>
                <w:sz w:val="18"/>
                <w:szCs w:val="18"/>
              </w:rPr>
            </w:pPr>
            <w:r>
              <w:rPr>
                <w:rFonts w:hint="eastAsia"/>
                <w:color w:val="000000"/>
                <w:kern w:val="0"/>
                <w:sz w:val="18"/>
                <w:szCs w:val="18"/>
              </w:rPr>
              <w:t>警告</w:t>
            </w:r>
          </w:p>
        </w:tc>
      </w:tr>
      <w:tr w14:paraId="49A24777">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7EF08B10">
            <w:pPr>
              <w:spacing w:line="320" w:lineRule="exact"/>
              <w:jc w:val="center"/>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1D80AB81">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tcBorders>
              <w:left w:val="single" w:color="auto" w:sz="4" w:space="0"/>
              <w:bottom w:val="single" w:color="auto" w:sz="4" w:space="0"/>
              <w:right w:val="single" w:color="auto" w:sz="4" w:space="0"/>
            </w:tcBorders>
            <w:vAlign w:val="center"/>
          </w:tcPr>
          <w:p w14:paraId="54B39680">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61A0EED9">
            <w:pPr>
              <w:spacing w:line="320" w:lineRule="exact"/>
              <w:jc w:val="left"/>
              <w:rPr>
                <w:color w:val="000000"/>
                <w:kern w:val="0"/>
                <w:sz w:val="18"/>
                <w:szCs w:val="18"/>
              </w:rPr>
            </w:pPr>
            <w:r>
              <w:rPr>
                <w:rFonts w:hint="eastAsia"/>
                <w:color w:val="000000"/>
                <w:kern w:val="0"/>
                <w:sz w:val="18"/>
                <w:szCs w:val="18"/>
              </w:rPr>
              <w:t>降低资质等级或者注销执业资格</w:t>
            </w:r>
          </w:p>
        </w:tc>
      </w:tr>
    </w:tbl>
    <w:p w14:paraId="23EF1CAE"/>
    <w:p w14:paraId="331F6B5F"/>
    <w:p w14:paraId="0425E20C"/>
    <w:p w14:paraId="6037F54C"/>
    <w:p w14:paraId="5E953C17"/>
    <w:p w14:paraId="08E2AE57"/>
    <w:p w14:paraId="47F62797"/>
    <w:p w14:paraId="70C580C7"/>
    <w:p w14:paraId="5732BA95"/>
    <w:p w14:paraId="1459727F"/>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06B9F6E1">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D238327">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36CB9273">
            <w:pPr>
              <w:spacing w:line="320" w:lineRule="exact"/>
              <w:jc w:val="left"/>
              <w:rPr>
                <w:rFonts w:eastAsia="仿宋_GB2312"/>
                <w:b/>
                <w:bCs/>
                <w:color w:val="000000"/>
                <w:kern w:val="0"/>
                <w:sz w:val="18"/>
                <w:szCs w:val="18"/>
              </w:rPr>
            </w:pPr>
            <w:r>
              <w:rPr>
                <w:rFonts w:eastAsia="仿宋_GB2312"/>
                <w:b/>
                <w:bCs/>
                <w:color w:val="000000"/>
                <w:kern w:val="0"/>
                <w:sz w:val="18"/>
                <w:szCs w:val="18"/>
              </w:rPr>
              <w:t>320217323000</w:t>
            </w:r>
            <w:r>
              <w:rPr>
                <w:rFonts w:hint="eastAsia" w:eastAsia="仿宋_GB2312"/>
                <w:b/>
                <w:bCs/>
                <w:color w:val="000000"/>
                <w:kern w:val="0"/>
                <w:sz w:val="18"/>
                <w:szCs w:val="18"/>
              </w:rPr>
              <w:t xml:space="preserve"> </w:t>
            </w:r>
          </w:p>
        </w:tc>
      </w:tr>
      <w:tr w14:paraId="4F1FF074">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4517D38">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8" w:space="0"/>
              <w:left w:val="nil"/>
              <w:bottom w:val="single" w:color="auto" w:sz="4" w:space="0"/>
              <w:right w:val="single" w:color="000000" w:sz="8" w:space="0"/>
            </w:tcBorders>
            <w:vAlign w:val="center"/>
          </w:tcPr>
          <w:p w14:paraId="70BC8FD3">
            <w:pPr>
              <w:spacing w:line="320" w:lineRule="exact"/>
              <w:jc w:val="left"/>
              <w:rPr>
                <w:color w:val="000000"/>
                <w:kern w:val="0"/>
                <w:sz w:val="18"/>
                <w:szCs w:val="18"/>
              </w:rPr>
            </w:pPr>
            <w:r>
              <w:rPr>
                <w:rFonts w:hint="eastAsia"/>
                <w:color w:val="000000"/>
                <w:kern w:val="0"/>
                <w:sz w:val="18"/>
                <w:szCs w:val="18"/>
              </w:rPr>
              <w:t>对房地产开发企业未按照规定向买受人明示《商品房销售管理办法》、《商品房买卖合同示范文本》、《城市商品房预售管理办法》的处罚</w:t>
            </w:r>
          </w:p>
        </w:tc>
      </w:tr>
      <w:tr w14:paraId="2F298F0A">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EC068CB">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8" w:space="0"/>
              <w:left w:val="nil"/>
              <w:bottom w:val="single" w:color="auto" w:sz="4" w:space="0"/>
              <w:right w:val="single" w:color="000000" w:sz="8" w:space="0"/>
            </w:tcBorders>
            <w:vAlign w:val="center"/>
          </w:tcPr>
          <w:p w14:paraId="39025086">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0A3C448B">
            <w:pPr>
              <w:spacing w:line="320" w:lineRule="exact"/>
              <w:jc w:val="left"/>
              <w:rPr>
                <w:color w:val="000000"/>
                <w:kern w:val="0"/>
                <w:sz w:val="18"/>
                <w:szCs w:val="18"/>
              </w:rPr>
            </w:pPr>
            <w:r>
              <w:rPr>
                <w:rFonts w:hint="eastAsia"/>
                <w:color w:val="000000"/>
                <w:kern w:val="0"/>
                <w:sz w:val="18"/>
                <w:szCs w:val="18"/>
              </w:rPr>
              <w:t>第二十三条　房地产开发企业应当在订立商品房买卖合同之前向买受人明示《商品房销售管理办法》和《商品房买卖合同示范文本》；预售商品房的，还必须明示《城市商品房预售管理办法》。</w:t>
            </w:r>
          </w:p>
          <w:p w14:paraId="283CC298">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14:paraId="42BB261B">
            <w:pPr>
              <w:spacing w:line="320" w:lineRule="exact"/>
              <w:jc w:val="left"/>
              <w:rPr>
                <w:color w:val="000000"/>
                <w:kern w:val="0"/>
                <w:sz w:val="18"/>
                <w:szCs w:val="18"/>
              </w:rPr>
            </w:pPr>
            <w:r>
              <w:rPr>
                <w:rFonts w:hint="eastAsia"/>
                <w:color w:val="000000"/>
                <w:kern w:val="0"/>
                <w:sz w:val="18"/>
                <w:szCs w:val="18"/>
              </w:rPr>
              <w:t>（七）未按照规定向买受人明示《商品房销售管理办法》、《商品房买卖合同示范文本》、《城市商品房预售管理办法》的。</w:t>
            </w:r>
          </w:p>
        </w:tc>
      </w:tr>
      <w:tr w14:paraId="27C84689">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ABB7B28">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8" w:space="0"/>
              <w:left w:val="nil"/>
              <w:bottom w:val="single" w:color="auto" w:sz="4" w:space="0"/>
              <w:right w:val="single" w:color="000000" w:sz="8" w:space="0"/>
            </w:tcBorders>
            <w:vAlign w:val="center"/>
          </w:tcPr>
          <w:p w14:paraId="1B2D63E1">
            <w:pPr>
              <w:spacing w:line="320" w:lineRule="exact"/>
              <w:jc w:val="left"/>
              <w:rPr>
                <w:rFonts w:eastAsia="仿宋_GB2312"/>
                <w:bCs/>
                <w:color w:val="000000"/>
                <w:kern w:val="0"/>
                <w:sz w:val="18"/>
                <w:szCs w:val="18"/>
              </w:rPr>
            </w:pPr>
            <w:r>
              <w:rPr>
                <w:rFonts w:hint="eastAsia"/>
                <w:color w:val="000000"/>
                <w:kern w:val="0"/>
                <w:sz w:val="18"/>
                <w:szCs w:val="18"/>
              </w:rPr>
              <w:t>警告，罚款</w:t>
            </w:r>
          </w:p>
        </w:tc>
      </w:tr>
      <w:tr w14:paraId="654DBBC8">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74ED465">
            <w:pPr>
              <w:spacing w:line="320" w:lineRule="exact"/>
              <w:jc w:val="center"/>
              <w:rPr>
                <w:color w:val="000000"/>
                <w:kern w:val="0"/>
                <w:sz w:val="18"/>
                <w:szCs w:val="18"/>
              </w:rPr>
            </w:pPr>
            <w:r>
              <w:rPr>
                <w:rFonts w:hint="eastAsia"/>
                <w:color w:val="000000"/>
                <w:kern w:val="0"/>
                <w:sz w:val="18"/>
                <w:szCs w:val="18"/>
              </w:rPr>
              <w:t>裁量基准</w:t>
            </w:r>
          </w:p>
        </w:tc>
      </w:tr>
      <w:tr w14:paraId="3A01AC2C">
        <w:tblPrEx>
          <w:tblCellMar>
            <w:top w:w="0" w:type="dxa"/>
            <w:left w:w="108" w:type="dxa"/>
            <w:bottom w:w="0" w:type="dxa"/>
            <w:right w:w="108" w:type="dxa"/>
          </w:tblCellMar>
        </w:tblPrEx>
        <w:trPr>
          <w:trHeight w:val="650" w:hRule="atLeast"/>
        </w:trPr>
        <w:tc>
          <w:tcPr>
            <w:tcW w:w="1056" w:type="dxa"/>
            <w:vMerge w:val="restart"/>
            <w:tcBorders>
              <w:top w:val="nil"/>
              <w:left w:val="single" w:color="auto" w:sz="8" w:space="0"/>
              <w:bottom w:val="single" w:color="auto" w:sz="4" w:space="0"/>
              <w:right w:val="single" w:color="auto" w:sz="4" w:space="0"/>
            </w:tcBorders>
            <w:vAlign w:val="center"/>
          </w:tcPr>
          <w:p w14:paraId="4B40B7F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C4A130A">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color="auto" w:sz="4" w:space="0"/>
              <w:left w:val="single" w:color="auto" w:sz="4" w:space="0"/>
              <w:bottom w:val="single" w:color="auto" w:sz="4" w:space="0"/>
              <w:right w:val="single" w:color="auto" w:sz="4" w:space="0"/>
            </w:tcBorders>
            <w:vAlign w:val="center"/>
          </w:tcPr>
          <w:p w14:paraId="1B4D6567">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0DD03D9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5B6A9C2D">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B83202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08066A0">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4E01ECFE">
            <w:pPr>
              <w:spacing w:line="320" w:lineRule="exact"/>
              <w:jc w:val="left"/>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2845369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54B7E1CE"/>
    <w:tbl>
      <w:tblPr>
        <w:tblStyle w:val="15"/>
        <w:tblW w:w="0" w:type="auto"/>
        <w:tblInd w:w="88" w:type="dxa"/>
        <w:tblLayout w:type="fixed"/>
        <w:tblCellMar>
          <w:top w:w="0" w:type="dxa"/>
          <w:left w:w="108" w:type="dxa"/>
          <w:bottom w:w="0" w:type="dxa"/>
          <w:right w:w="108" w:type="dxa"/>
        </w:tblCellMar>
      </w:tblPr>
      <w:tblGrid>
        <w:gridCol w:w="1056"/>
        <w:gridCol w:w="1658"/>
        <w:gridCol w:w="4482"/>
        <w:gridCol w:w="1060"/>
        <w:gridCol w:w="5760"/>
      </w:tblGrid>
      <w:tr w14:paraId="1447D8D9">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54AC2D8">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color="auto" w:sz="8" w:space="0"/>
              <w:left w:val="nil"/>
              <w:bottom w:val="single" w:color="auto" w:sz="4" w:space="0"/>
              <w:right w:val="single" w:color="000000" w:sz="8" w:space="0"/>
            </w:tcBorders>
            <w:vAlign w:val="center"/>
          </w:tcPr>
          <w:p w14:paraId="22DCF03F">
            <w:pPr>
              <w:spacing w:line="320" w:lineRule="exact"/>
              <w:jc w:val="left"/>
              <w:rPr>
                <w:rFonts w:eastAsia="仿宋_GB2312"/>
                <w:b/>
                <w:bCs/>
                <w:color w:val="000000"/>
                <w:kern w:val="0"/>
                <w:sz w:val="18"/>
                <w:szCs w:val="18"/>
              </w:rPr>
            </w:pPr>
            <w:r>
              <w:rPr>
                <w:rFonts w:eastAsia="仿宋_GB2312"/>
                <w:b/>
                <w:bCs/>
                <w:color w:val="000000"/>
                <w:kern w:val="0"/>
                <w:sz w:val="18"/>
                <w:szCs w:val="18"/>
              </w:rPr>
              <w:t>320217324000</w:t>
            </w:r>
          </w:p>
        </w:tc>
      </w:tr>
      <w:tr w14:paraId="60E9FCBE">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273D6A6">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color="auto" w:sz="4" w:space="0"/>
              <w:left w:val="nil"/>
              <w:bottom w:val="single" w:color="auto" w:sz="4" w:space="0"/>
              <w:right w:val="single" w:color="000000" w:sz="8" w:space="0"/>
            </w:tcBorders>
            <w:vAlign w:val="center"/>
          </w:tcPr>
          <w:p w14:paraId="3FCF31EB">
            <w:pPr>
              <w:spacing w:line="320" w:lineRule="exact"/>
              <w:jc w:val="left"/>
              <w:rPr>
                <w:color w:val="000000"/>
                <w:kern w:val="0"/>
                <w:sz w:val="18"/>
                <w:szCs w:val="18"/>
              </w:rPr>
            </w:pPr>
            <w:r>
              <w:rPr>
                <w:rFonts w:hint="eastAsia"/>
                <w:color w:val="000000"/>
                <w:kern w:val="0"/>
                <w:sz w:val="18"/>
                <w:szCs w:val="18"/>
              </w:rPr>
              <w:t>对房地产开发企业委托没有资格的机构代理销售商品房的处罚</w:t>
            </w:r>
          </w:p>
        </w:tc>
      </w:tr>
      <w:tr w14:paraId="5A0497AC">
        <w:tblPrEx>
          <w:tblCellMar>
            <w:top w:w="0" w:type="dxa"/>
            <w:left w:w="108" w:type="dxa"/>
            <w:bottom w:w="0" w:type="dxa"/>
            <w:right w:w="108" w:type="dxa"/>
          </w:tblCellMar>
        </w:tblPrEx>
        <w:trPr>
          <w:trHeight w:val="1110" w:hRule="atLeast"/>
        </w:trPr>
        <w:tc>
          <w:tcPr>
            <w:tcW w:w="1056" w:type="dxa"/>
            <w:tcBorders>
              <w:top w:val="nil"/>
              <w:left w:val="single" w:color="auto" w:sz="8" w:space="0"/>
              <w:bottom w:val="single" w:color="auto" w:sz="4" w:space="0"/>
              <w:right w:val="single" w:color="auto" w:sz="4" w:space="0"/>
            </w:tcBorders>
            <w:vAlign w:val="center"/>
          </w:tcPr>
          <w:p w14:paraId="28F0FA5E">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color="auto" w:sz="4" w:space="0"/>
              <w:left w:val="nil"/>
              <w:bottom w:val="single" w:color="auto" w:sz="4" w:space="0"/>
              <w:right w:val="single" w:color="000000" w:sz="8" w:space="0"/>
            </w:tcBorders>
            <w:vAlign w:val="center"/>
          </w:tcPr>
          <w:p w14:paraId="6571DD78">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29EB1697">
            <w:pPr>
              <w:spacing w:line="320" w:lineRule="exact"/>
              <w:jc w:val="left"/>
              <w:rPr>
                <w:color w:val="000000"/>
                <w:kern w:val="0"/>
                <w:sz w:val="18"/>
                <w:szCs w:val="18"/>
              </w:rPr>
            </w:pPr>
            <w:r>
              <w:rPr>
                <w:rFonts w:hint="eastAsia"/>
                <w:color w:val="000000"/>
                <w:kern w:val="0"/>
                <w:sz w:val="18"/>
                <w:szCs w:val="18"/>
              </w:rPr>
              <w:t>第二十五条第一款</w:t>
            </w:r>
            <w:r>
              <w:rPr>
                <w:color w:val="000000"/>
                <w:kern w:val="0"/>
                <w:sz w:val="18"/>
                <w:szCs w:val="18"/>
              </w:rPr>
              <w:t xml:space="preserve">  </w:t>
            </w:r>
            <w:r>
              <w:rPr>
                <w:rFonts w:hint="eastAsia"/>
                <w:color w:val="000000"/>
                <w:kern w:val="0"/>
                <w:sz w:val="18"/>
                <w:szCs w:val="18"/>
              </w:rPr>
              <w:t>房地产开发企业委托中介服务机构销售商品房的，受托机构应当是依法设立并取得工商营业执照的房地产中介服务机构。</w:t>
            </w:r>
          </w:p>
          <w:p w14:paraId="24681C09">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14:paraId="5CC58C2B">
            <w:pPr>
              <w:spacing w:line="320" w:lineRule="exact"/>
              <w:jc w:val="left"/>
              <w:rPr>
                <w:color w:val="000000"/>
                <w:kern w:val="0"/>
                <w:sz w:val="18"/>
                <w:szCs w:val="18"/>
              </w:rPr>
            </w:pPr>
            <w:r>
              <w:rPr>
                <w:rFonts w:hint="eastAsia"/>
                <w:color w:val="000000"/>
                <w:kern w:val="0"/>
                <w:sz w:val="18"/>
                <w:szCs w:val="18"/>
              </w:rPr>
              <w:t>（八）委托没有资格的机构代理销售商品房的。</w:t>
            </w:r>
          </w:p>
        </w:tc>
      </w:tr>
      <w:tr w14:paraId="5753EA8F">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050B217">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color="auto" w:sz="4" w:space="0"/>
              <w:left w:val="nil"/>
              <w:bottom w:val="single" w:color="auto" w:sz="4" w:space="0"/>
              <w:right w:val="single" w:color="000000" w:sz="8" w:space="0"/>
            </w:tcBorders>
            <w:vAlign w:val="center"/>
          </w:tcPr>
          <w:p w14:paraId="1963BC65">
            <w:pPr>
              <w:spacing w:line="320" w:lineRule="exact"/>
              <w:jc w:val="left"/>
              <w:rPr>
                <w:color w:val="000000"/>
                <w:kern w:val="0"/>
                <w:sz w:val="18"/>
                <w:szCs w:val="18"/>
              </w:rPr>
            </w:pPr>
            <w:r>
              <w:rPr>
                <w:rFonts w:hint="eastAsia"/>
                <w:color w:val="000000"/>
                <w:kern w:val="0"/>
                <w:sz w:val="18"/>
                <w:szCs w:val="18"/>
              </w:rPr>
              <w:t>警告，罚款</w:t>
            </w:r>
          </w:p>
        </w:tc>
      </w:tr>
      <w:tr w14:paraId="34C4346D">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1BB281BA">
            <w:pPr>
              <w:spacing w:line="320" w:lineRule="exact"/>
              <w:jc w:val="center"/>
              <w:rPr>
                <w:color w:val="000000"/>
                <w:kern w:val="0"/>
                <w:sz w:val="18"/>
                <w:szCs w:val="18"/>
              </w:rPr>
            </w:pPr>
            <w:r>
              <w:rPr>
                <w:rFonts w:hint="eastAsia"/>
                <w:color w:val="000000"/>
                <w:kern w:val="0"/>
                <w:sz w:val="18"/>
                <w:szCs w:val="18"/>
              </w:rPr>
              <w:t>裁量基准</w:t>
            </w:r>
          </w:p>
        </w:tc>
      </w:tr>
      <w:tr w14:paraId="5761DE3F">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320F7449">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color="auto" w:sz="4" w:space="0"/>
              <w:left w:val="nil"/>
              <w:right w:val="single" w:color="auto" w:sz="4" w:space="0"/>
            </w:tcBorders>
            <w:vAlign w:val="center"/>
          </w:tcPr>
          <w:p w14:paraId="40A6FEA9">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color="auto" w:sz="4" w:space="0"/>
              <w:left w:val="nil"/>
              <w:bottom w:val="single" w:color="auto" w:sz="4" w:space="0"/>
              <w:right w:val="single" w:color="auto" w:sz="4" w:space="0"/>
            </w:tcBorders>
            <w:vAlign w:val="center"/>
          </w:tcPr>
          <w:p w14:paraId="39AD5D07">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color="auto" w:sz="4" w:space="0"/>
              <w:bottom w:val="single" w:color="auto" w:sz="4" w:space="0"/>
              <w:right w:val="single" w:color="auto" w:sz="4" w:space="0"/>
            </w:tcBorders>
            <w:vAlign w:val="center"/>
          </w:tcPr>
          <w:p w14:paraId="228B5358">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213840F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76B1E3FA">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211ABBE">
            <w:pPr>
              <w:spacing w:line="320" w:lineRule="exact"/>
              <w:jc w:val="center"/>
              <w:rPr>
                <w:color w:val="000000"/>
                <w:kern w:val="0"/>
                <w:sz w:val="18"/>
                <w:szCs w:val="18"/>
              </w:rPr>
            </w:pPr>
          </w:p>
        </w:tc>
        <w:tc>
          <w:tcPr>
            <w:tcW w:w="1658" w:type="dxa"/>
            <w:vMerge w:val="continue"/>
            <w:tcBorders>
              <w:left w:val="nil"/>
              <w:bottom w:val="single" w:color="auto" w:sz="4" w:space="0"/>
              <w:right w:val="single" w:color="auto" w:sz="4" w:space="0"/>
            </w:tcBorders>
            <w:vAlign w:val="center"/>
          </w:tcPr>
          <w:p w14:paraId="6804F852">
            <w:pPr>
              <w:spacing w:line="320" w:lineRule="exact"/>
              <w:jc w:val="left"/>
              <w:rPr>
                <w:color w:val="000000"/>
                <w:kern w:val="0"/>
                <w:sz w:val="18"/>
                <w:szCs w:val="18"/>
              </w:rPr>
            </w:pPr>
          </w:p>
        </w:tc>
        <w:tc>
          <w:tcPr>
            <w:tcW w:w="4482" w:type="dxa"/>
            <w:tcBorders>
              <w:top w:val="single" w:color="auto" w:sz="4" w:space="0"/>
              <w:left w:val="nil"/>
              <w:bottom w:val="single" w:color="auto" w:sz="4" w:space="0"/>
              <w:right w:val="single" w:color="auto" w:sz="4" w:space="0"/>
            </w:tcBorders>
            <w:vAlign w:val="center"/>
          </w:tcPr>
          <w:p w14:paraId="75F161C7">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val="continue"/>
            <w:tcBorders>
              <w:top w:val="nil"/>
              <w:left w:val="single" w:color="auto" w:sz="4" w:space="0"/>
              <w:bottom w:val="single" w:color="auto" w:sz="4" w:space="0"/>
              <w:right w:val="single" w:color="auto" w:sz="4" w:space="0"/>
            </w:tcBorders>
            <w:vAlign w:val="center"/>
          </w:tcPr>
          <w:p w14:paraId="52818582">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2FB49A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2376F694">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3E5040F">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676DC2E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val="continue"/>
            <w:tcBorders>
              <w:top w:val="nil"/>
              <w:left w:val="single" w:color="auto" w:sz="4" w:space="0"/>
              <w:bottom w:val="single" w:color="auto" w:sz="4" w:space="0"/>
              <w:right w:val="single" w:color="auto" w:sz="4" w:space="0"/>
            </w:tcBorders>
            <w:vAlign w:val="center"/>
          </w:tcPr>
          <w:p w14:paraId="58A63817">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BD5952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28D33A77"/>
    <w:tbl>
      <w:tblPr>
        <w:tblStyle w:val="15"/>
        <w:tblW w:w="0" w:type="auto"/>
        <w:tblInd w:w="88" w:type="dxa"/>
        <w:tblLayout w:type="fixed"/>
        <w:tblCellMar>
          <w:top w:w="0" w:type="dxa"/>
          <w:left w:w="108" w:type="dxa"/>
          <w:bottom w:w="0" w:type="dxa"/>
          <w:right w:w="108" w:type="dxa"/>
        </w:tblCellMar>
      </w:tblPr>
      <w:tblGrid>
        <w:gridCol w:w="1056"/>
        <w:gridCol w:w="1658"/>
        <w:gridCol w:w="4482"/>
        <w:gridCol w:w="1060"/>
        <w:gridCol w:w="5760"/>
      </w:tblGrid>
      <w:tr w14:paraId="35C569BF">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074A582">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color="auto" w:sz="8" w:space="0"/>
              <w:left w:val="nil"/>
              <w:bottom w:val="single" w:color="auto" w:sz="4" w:space="0"/>
              <w:right w:val="single" w:color="000000" w:sz="8" w:space="0"/>
            </w:tcBorders>
            <w:vAlign w:val="center"/>
          </w:tcPr>
          <w:p w14:paraId="70F8AB9F">
            <w:pPr>
              <w:spacing w:line="320" w:lineRule="exact"/>
              <w:jc w:val="left"/>
              <w:rPr>
                <w:rFonts w:eastAsia="仿宋_GB2312"/>
                <w:b/>
                <w:bCs/>
                <w:color w:val="000000"/>
                <w:kern w:val="0"/>
                <w:sz w:val="18"/>
                <w:szCs w:val="18"/>
              </w:rPr>
            </w:pPr>
            <w:r>
              <w:rPr>
                <w:rFonts w:eastAsia="仿宋_GB2312"/>
                <w:b/>
                <w:bCs/>
                <w:color w:val="000000"/>
                <w:kern w:val="0"/>
                <w:sz w:val="18"/>
                <w:szCs w:val="18"/>
              </w:rPr>
              <w:t>320217325000</w:t>
            </w:r>
          </w:p>
        </w:tc>
      </w:tr>
      <w:tr w14:paraId="2B36AC7D">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730447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color="auto" w:sz="4" w:space="0"/>
              <w:left w:val="nil"/>
              <w:bottom w:val="single" w:color="auto" w:sz="4" w:space="0"/>
              <w:right w:val="single" w:color="000000" w:sz="8" w:space="0"/>
            </w:tcBorders>
            <w:vAlign w:val="center"/>
          </w:tcPr>
          <w:p w14:paraId="7BB369E2">
            <w:pPr>
              <w:spacing w:line="320" w:lineRule="exact"/>
              <w:jc w:val="left"/>
              <w:rPr>
                <w:color w:val="000000"/>
                <w:kern w:val="0"/>
                <w:sz w:val="18"/>
                <w:szCs w:val="18"/>
              </w:rPr>
            </w:pPr>
            <w:r>
              <w:rPr>
                <w:rFonts w:hint="eastAsia"/>
                <w:color w:val="000000"/>
                <w:kern w:val="0"/>
                <w:sz w:val="18"/>
                <w:szCs w:val="18"/>
              </w:rPr>
              <w:t>对房地产中介服务机构代理销售不符合销售条件的商品房的处罚</w:t>
            </w:r>
          </w:p>
        </w:tc>
      </w:tr>
      <w:tr w14:paraId="7E99C244">
        <w:tblPrEx>
          <w:tblCellMar>
            <w:top w:w="0" w:type="dxa"/>
            <w:left w:w="108" w:type="dxa"/>
            <w:bottom w:w="0" w:type="dxa"/>
            <w:right w:w="108" w:type="dxa"/>
          </w:tblCellMar>
        </w:tblPrEx>
        <w:trPr>
          <w:trHeight w:val="840" w:hRule="atLeast"/>
        </w:trPr>
        <w:tc>
          <w:tcPr>
            <w:tcW w:w="1056" w:type="dxa"/>
            <w:tcBorders>
              <w:top w:val="nil"/>
              <w:left w:val="single" w:color="auto" w:sz="8" w:space="0"/>
              <w:bottom w:val="single" w:color="auto" w:sz="4" w:space="0"/>
              <w:right w:val="single" w:color="auto" w:sz="4" w:space="0"/>
            </w:tcBorders>
            <w:vAlign w:val="center"/>
          </w:tcPr>
          <w:p w14:paraId="2137ADAE">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color="auto" w:sz="4" w:space="0"/>
              <w:left w:val="nil"/>
              <w:bottom w:val="single" w:color="auto" w:sz="4" w:space="0"/>
              <w:right w:val="single" w:color="000000" w:sz="8" w:space="0"/>
            </w:tcBorders>
            <w:vAlign w:val="center"/>
          </w:tcPr>
          <w:p w14:paraId="56431A31">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14:paraId="01BB956C">
            <w:pPr>
              <w:spacing w:line="320" w:lineRule="exact"/>
              <w:jc w:val="left"/>
              <w:rPr>
                <w:color w:val="000000"/>
                <w:kern w:val="0"/>
                <w:sz w:val="18"/>
                <w:szCs w:val="18"/>
              </w:rPr>
            </w:pPr>
            <w:r>
              <w:rPr>
                <w:rFonts w:hint="eastAsia"/>
                <w:color w:val="000000"/>
                <w:kern w:val="0"/>
                <w:sz w:val="18"/>
                <w:szCs w:val="18"/>
              </w:rPr>
              <w:t>第二十七条第二款</w:t>
            </w:r>
            <w:r>
              <w:rPr>
                <w:color w:val="000000"/>
                <w:kern w:val="0"/>
                <w:sz w:val="18"/>
                <w:szCs w:val="18"/>
              </w:rPr>
              <w:t xml:space="preserve">  </w:t>
            </w:r>
            <w:r>
              <w:rPr>
                <w:rFonts w:hint="eastAsia"/>
                <w:color w:val="000000"/>
                <w:kern w:val="0"/>
                <w:sz w:val="18"/>
                <w:szCs w:val="18"/>
              </w:rPr>
              <w:t>受托房地产中介服务机构不得代理销售不符合销售条件的商品房。</w:t>
            </w:r>
          </w:p>
          <w:p w14:paraId="79A8BF5A">
            <w:pPr>
              <w:spacing w:line="320" w:lineRule="exact"/>
              <w:jc w:val="left"/>
              <w:rPr>
                <w:color w:val="000000"/>
                <w:kern w:val="0"/>
                <w:sz w:val="18"/>
                <w:szCs w:val="18"/>
              </w:rPr>
            </w:pPr>
            <w:r>
              <w:rPr>
                <w:rFonts w:hint="eastAsia"/>
                <w:color w:val="000000"/>
                <w:kern w:val="0"/>
                <w:sz w:val="18"/>
                <w:szCs w:val="18"/>
              </w:rPr>
              <w:t>第四十三条　房地产中介服务机构代理销售不符合销售条件的商品房的，处以警告，责令停止销售，并可处以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5395436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6780295">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color="auto" w:sz="4" w:space="0"/>
              <w:left w:val="nil"/>
              <w:bottom w:val="single" w:color="auto" w:sz="4" w:space="0"/>
              <w:right w:val="single" w:color="000000" w:sz="8" w:space="0"/>
            </w:tcBorders>
            <w:vAlign w:val="center"/>
          </w:tcPr>
          <w:p w14:paraId="7FF0C854">
            <w:pPr>
              <w:spacing w:line="320" w:lineRule="exact"/>
              <w:jc w:val="left"/>
              <w:rPr>
                <w:color w:val="000000"/>
                <w:kern w:val="0"/>
                <w:sz w:val="18"/>
                <w:szCs w:val="18"/>
              </w:rPr>
            </w:pPr>
            <w:r>
              <w:rPr>
                <w:rFonts w:hint="eastAsia"/>
                <w:color w:val="000000"/>
                <w:kern w:val="0"/>
                <w:sz w:val="18"/>
                <w:szCs w:val="18"/>
              </w:rPr>
              <w:t>警告，罚款</w:t>
            </w:r>
          </w:p>
        </w:tc>
      </w:tr>
      <w:tr w14:paraId="4AEB93F4">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2AC89633">
            <w:pPr>
              <w:spacing w:line="320" w:lineRule="exact"/>
              <w:jc w:val="center"/>
              <w:rPr>
                <w:color w:val="000000"/>
                <w:kern w:val="0"/>
                <w:sz w:val="18"/>
                <w:szCs w:val="18"/>
              </w:rPr>
            </w:pPr>
            <w:r>
              <w:rPr>
                <w:rFonts w:hint="eastAsia"/>
                <w:color w:val="000000"/>
                <w:kern w:val="0"/>
                <w:sz w:val="18"/>
                <w:szCs w:val="18"/>
              </w:rPr>
              <w:t>裁量基准</w:t>
            </w:r>
          </w:p>
        </w:tc>
      </w:tr>
      <w:tr w14:paraId="7572011E">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437E7941">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color="auto" w:sz="4" w:space="0"/>
              <w:left w:val="nil"/>
              <w:right w:val="single" w:color="auto" w:sz="4" w:space="0"/>
            </w:tcBorders>
            <w:vAlign w:val="center"/>
          </w:tcPr>
          <w:p w14:paraId="55697F1F">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color="auto" w:sz="4" w:space="0"/>
              <w:left w:val="nil"/>
              <w:bottom w:val="single" w:color="auto" w:sz="4" w:space="0"/>
              <w:right w:val="single" w:color="auto" w:sz="4" w:space="0"/>
            </w:tcBorders>
            <w:vAlign w:val="center"/>
          </w:tcPr>
          <w:p w14:paraId="500593C7">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color="auto" w:sz="4" w:space="0"/>
              <w:bottom w:val="single" w:color="auto" w:sz="4" w:space="0"/>
              <w:right w:val="single" w:color="auto" w:sz="4" w:space="0"/>
            </w:tcBorders>
            <w:vAlign w:val="center"/>
          </w:tcPr>
          <w:p w14:paraId="0A5F58B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BE37039">
            <w:pPr>
              <w:spacing w:line="320" w:lineRule="exact"/>
              <w:jc w:val="left"/>
              <w:rPr>
                <w:color w:val="000000"/>
                <w:kern w:val="0"/>
                <w:sz w:val="18"/>
                <w:szCs w:val="18"/>
              </w:rPr>
            </w:pPr>
            <w:r>
              <w:rPr>
                <w:rFonts w:hint="eastAsia"/>
                <w:color w:val="000000"/>
                <w:kern w:val="0"/>
                <w:sz w:val="18"/>
                <w:szCs w:val="18"/>
              </w:rPr>
              <w:t>处2万元以上2.2万元以下罚款</w:t>
            </w:r>
          </w:p>
        </w:tc>
      </w:tr>
      <w:tr w14:paraId="3E0FD046">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C5B1F2E">
            <w:pPr>
              <w:spacing w:line="320" w:lineRule="exact"/>
              <w:jc w:val="center"/>
              <w:rPr>
                <w:color w:val="000000"/>
                <w:kern w:val="0"/>
                <w:sz w:val="18"/>
                <w:szCs w:val="18"/>
              </w:rPr>
            </w:pPr>
          </w:p>
        </w:tc>
        <w:tc>
          <w:tcPr>
            <w:tcW w:w="1658" w:type="dxa"/>
            <w:vMerge w:val="continue"/>
            <w:tcBorders>
              <w:left w:val="nil"/>
              <w:bottom w:val="single" w:color="auto" w:sz="4" w:space="0"/>
              <w:right w:val="single" w:color="auto" w:sz="4" w:space="0"/>
            </w:tcBorders>
            <w:vAlign w:val="center"/>
          </w:tcPr>
          <w:p w14:paraId="68DB2379">
            <w:pPr>
              <w:spacing w:line="320" w:lineRule="exact"/>
              <w:jc w:val="left"/>
              <w:rPr>
                <w:color w:val="000000"/>
                <w:kern w:val="0"/>
                <w:sz w:val="18"/>
                <w:szCs w:val="18"/>
              </w:rPr>
            </w:pPr>
          </w:p>
        </w:tc>
        <w:tc>
          <w:tcPr>
            <w:tcW w:w="4482" w:type="dxa"/>
            <w:tcBorders>
              <w:top w:val="single" w:color="auto" w:sz="4" w:space="0"/>
              <w:left w:val="nil"/>
              <w:bottom w:val="single" w:color="auto" w:sz="4" w:space="0"/>
              <w:right w:val="single" w:color="auto" w:sz="4" w:space="0"/>
            </w:tcBorders>
            <w:vAlign w:val="center"/>
          </w:tcPr>
          <w:p w14:paraId="399E8A0B">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val="continue"/>
            <w:tcBorders>
              <w:top w:val="nil"/>
              <w:left w:val="single" w:color="auto" w:sz="4" w:space="0"/>
              <w:bottom w:val="single" w:color="auto" w:sz="4" w:space="0"/>
              <w:right w:val="single" w:color="auto" w:sz="4" w:space="0"/>
            </w:tcBorders>
            <w:vAlign w:val="center"/>
          </w:tcPr>
          <w:p w14:paraId="6A727022">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CDDDA72">
            <w:pPr>
              <w:spacing w:line="320" w:lineRule="exact"/>
              <w:jc w:val="left"/>
              <w:rPr>
                <w:color w:val="000000"/>
                <w:kern w:val="0"/>
                <w:sz w:val="18"/>
                <w:szCs w:val="18"/>
              </w:rPr>
            </w:pPr>
            <w:r>
              <w:rPr>
                <w:rFonts w:hint="eastAsia"/>
                <w:color w:val="000000"/>
                <w:kern w:val="0"/>
                <w:sz w:val="18"/>
                <w:szCs w:val="18"/>
              </w:rPr>
              <w:t>处2.2万元以上</w:t>
            </w:r>
            <w:r>
              <w:rPr>
                <w:color w:val="000000"/>
                <w:kern w:val="0"/>
                <w:sz w:val="18"/>
                <w:szCs w:val="18"/>
              </w:rPr>
              <w:t>2</w:t>
            </w:r>
            <w:r>
              <w:rPr>
                <w:rFonts w:hint="eastAsia"/>
                <w:color w:val="000000"/>
                <w:kern w:val="0"/>
                <w:sz w:val="18"/>
                <w:szCs w:val="18"/>
              </w:rPr>
              <w:t>.5万元以下罚款</w:t>
            </w:r>
          </w:p>
        </w:tc>
      </w:tr>
      <w:tr w14:paraId="73EB9D85">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0CA33731">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68700134">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val="continue"/>
            <w:tcBorders>
              <w:top w:val="nil"/>
              <w:left w:val="single" w:color="auto" w:sz="4" w:space="0"/>
              <w:bottom w:val="single" w:color="auto" w:sz="4" w:space="0"/>
              <w:right w:val="single" w:color="auto" w:sz="4" w:space="0"/>
            </w:tcBorders>
            <w:vAlign w:val="center"/>
          </w:tcPr>
          <w:p w14:paraId="0DDCF8F7">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BC2B3C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4DADA1B3"/>
    <w:p w14:paraId="7DE9B4FF"/>
    <w:p w14:paraId="37B05D4A"/>
    <w:p w14:paraId="2CFC3CF3"/>
    <w:p w14:paraId="3E75B21F"/>
    <w:p w14:paraId="56283057"/>
    <w:p w14:paraId="158C04FE"/>
    <w:p w14:paraId="6CE546C6"/>
    <w:p w14:paraId="5EDA5A20"/>
    <w:p w14:paraId="37CA7FA9"/>
    <w:p w14:paraId="0682F718"/>
    <w:p w14:paraId="2E4210F8"/>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24EE0D8B">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5BDEF33">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1B5C2321">
            <w:pPr>
              <w:spacing w:line="320" w:lineRule="exact"/>
              <w:jc w:val="left"/>
              <w:rPr>
                <w:rFonts w:eastAsia="仿宋_GB2312"/>
                <w:b/>
                <w:bCs/>
                <w:color w:val="000000"/>
                <w:kern w:val="0"/>
                <w:sz w:val="18"/>
                <w:szCs w:val="18"/>
              </w:rPr>
            </w:pPr>
            <w:r>
              <w:rPr>
                <w:rFonts w:eastAsia="仿宋_GB2312"/>
                <w:b/>
                <w:bCs/>
                <w:color w:val="000000"/>
                <w:kern w:val="0"/>
                <w:sz w:val="18"/>
                <w:szCs w:val="18"/>
              </w:rPr>
              <w:t>320217326000</w:t>
            </w:r>
          </w:p>
        </w:tc>
      </w:tr>
      <w:tr w14:paraId="5E90A394">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C0AFA04">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0D1A408C">
            <w:pPr>
              <w:spacing w:line="320" w:lineRule="exact"/>
              <w:jc w:val="left"/>
              <w:rPr>
                <w:color w:val="000000"/>
                <w:kern w:val="0"/>
                <w:sz w:val="18"/>
                <w:szCs w:val="18"/>
              </w:rPr>
            </w:pPr>
            <w:r>
              <w:rPr>
                <w:rFonts w:hint="eastAsia"/>
                <w:color w:val="000000"/>
                <w:kern w:val="0"/>
                <w:sz w:val="18"/>
                <w:szCs w:val="18"/>
              </w:rPr>
              <w:t>对将不准上市出售的已购公有住房和经济适用住房上市出售的处罚</w:t>
            </w:r>
          </w:p>
        </w:tc>
      </w:tr>
      <w:tr w14:paraId="6954A21F">
        <w:tblPrEx>
          <w:tblCellMar>
            <w:top w:w="0" w:type="dxa"/>
            <w:left w:w="108" w:type="dxa"/>
            <w:bottom w:w="0" w:type="dxa"/>
            <w:right w:w="108" w:type="dxa"/>
          </w:tblCellMar>
        </w:tblPrEx>
        <w:trPr>
          <w:trHeight w:val="3240" w:hRule="atLeast"/>
        </w:trPr>
        <w:tc>
          <w:tcPr>
            <w:tcW w:w="1056" w:type="dxa"/>
            <w:tcBorders>
              <w:top w:val="nil"/>
              <w:left w:val="single" w:color="auto" w:sz="8" w:space="0"/>
              <w:bottom w:val="single" w:color="auto" w:sz="4" w:space="0"/>
              <w:right w:val="single" w:color="auto" w:sz="4" w:space="0"/>
            </w:tcBorders>
            <w:vAlign w:val="center"/>
          </w:tcPr>
          <w:p w14:paraId="6AE6BB5A">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2591C88E">
            <w:pPr>
              <w:spacing w:line="320" w:lineRule="exact"/>
              <w:jc w:val="left"/>
              <w:rPr>
                <w:color w:val="000000"/>
                <w:kern w:val="0"/>
                <w:sz w:val="18"/>
                <w:szCs w:val="18"/>
              </w:rPr>
            </w:pPr>
            <w:r>
              <w:rPr>
                <w:rFonts w:hint="eastAsia"/>
                <w:color w:val="000000"/>
                <w:kern w:val="0"/>
                <w:sz w:val="18"/>
                <w:szCs w:val="18"/>
              </w:rPr>
              <w:t>【规章】《已购公有住房和经济适用住房上市出售管理暂行办法》（</w:t>
            </w:r>
            <w:r>
              <w:rPr>
                <w:color w:val="000000"/>
                <w:kern w:val="0"/>
                <w:sz w:val="18"/>
                <w:szCs w:val="18"/>
              </w:rPr>
              <w:t>1999</w:t>
            </w:r>
            <w:r>
              <w:rPr>
                <w:rFonts w:hint="eastAsia"/>
                <w:color w:val="000000"/>
                <w:kern w:val="0"/>
                <w:sz w:val="18"/>
                <w:szCs w:val="18"/>
              </w:rPr>
              <w:t>年建设部令第</w:t>
            </w:r>
            <w:r>
              <w:rPr>
                <w:color w:val="000000"/>
                <w:kern w:val="0"/>
                <w:sz w:val="18"/>
                <w:szCs w:val="18"/>
              </w:rPr>
              <w:t>69</w:t>
            </w:r>
            <w:r>
              <w:rPr>
                <w:rFonts w:hint="eastAsia"/>
                <w:color w:val="000000"/>
                <w:kern w:val="0"/>
                <w:sz w:val="18"/>
                <w:szCs w:val="18"/>
              </w:rPr>
              <w:t>号）</w:t>
            </w:r>
          </w:p>
          <w:p w14:paraId="1EFAD108">
            <w:pPr>
              <w:spacing w:line="320" w:lineRule="exact"/>
              <w:jc w:val="left"/>
              <w:rPr>
                <w:color w:val="000000"/>
                <w:kern w:val="0"/>
                <w:sz w:val="18"/>
                <w:szCs w:val="18"/>
              </w:rPr>
            </w:pPr>
            <w:r>
              <w:rPr>
                <w:rFonts w:hint="eastAsia"/>
                <w:color w:val="000000"/>
                <w:kern w:val="0"/>
                <w:sz w:val="18"/>
                <w:szCs w:val="18"/>
              </w:rPr>
              <w:t>第五条　已取得合法产权证书的已购公有住房和经济适用住房可以上市出售，但有下列情形之一的已购公有住房和经济适用住房不得上市出售：</w:t>
            </w:r>
            <w:r>
              <w:rPr>
                <w:color w:val="000000"/>
                <w:kern w:val="0"/>
                <w:sz w:val="18"/>
                <w:szCs w:val="18"/>
              </w:rPr>
              <w:t xml:space="preserve"> </w:t>
            </w:r>
          </w:p>
          <w:p w14:paraId="1BC0AE3C">
            <w:pPr>
              <w:spacing w:line="320" w:lineRule="exact"/>
              <w:jc w:val="left"/>
              <w:rPr>
                <w:color w:val="000000"/>
                <w:kern w:val="0"/>
                <w:sz w:val="18"/>
                <w:szCs w:val="18"/>
              </w:rPr>
            </w:pPr>
            <w:r>
              <w:rPr>
                <w:rFonts w:hint="eastAsia"/>
                <w:color w:val="000000"/>
                <w:kern w:val="0"/>
                <w:sz w:val="18"/>
                <w:szCs w:val="18"/>
              </w:rPr>
              <w:t>（一）以低于房改政策规定的价格购买且没有按照规定补足房价款的；</w:t>
            </w:r>
            <w:r>
              <w:rPr>
                <w:color w:val="000000"/>
                <w:kern w:val="0"/>
                <w:sz w:val="18"/>
                <w:szCs w:val="18"/>
              </w:rPr>
              <w:t xml:space="preserve"> </w:t>
            </w:r>
          </w:p>
          <w:p w14:paraId="53B72A9C">
            <w:pPr>
              <w:spacing w:line="320" w:lineRule="exact"/>
              <w:jc w:val="left"/>
              <w:rPr>
                <w:color w:val="000000"/>
                <w:kern w:val="0"/>
                <w:sz w:val="18"/>
                <w:szCs w:val="18"/>
              </w:rPr>
            </w:pPr>
            <w:r>
              <w:rPr>
                <w:rFonts w:hint="eastAsia"/>
                <w:color w:val="000000"/>
                <w:kern w:val="0"/>
                <w:sz w:val="18"/>
                <w:szCs w:val="18"/>
              </w:rPr>
              <w:t>（二）住房面积超过省、自治区、直辖市人民政府规定的控制标准，或者违反规定利用公款超标准装修，且超标部分未按照规定退回或者补足房价款及装修费用的；</w:t>
            </w:r>
            <w:r>
              <w:rPr>
                <w:color w:val="000000"/>
                <w:kern w:val="0"/>
                <w:sz w:val="18"/>
                <w:szCs w:val="18"/>
              </w:rPr>
              <w:t xml:space="preserve"> </w:t>
            </w:r>
          </w:p>
          <w:p w14:paraId="65E41387">
            <w:pPr>
              <w:spacing w:line="320" w:lineRule="exact"/>
              <w:jc w:val="left"/>
              <w:rPr>
                <w:color w:val="000000"/>
                <w:kern w:val="0"/>
                <w:sz w:val="18"/>
                <w:szCs w:val="18"/>
              </w:rPr>
            </w:pPr>
            <w:r>
              <w:rPr>
                <w:rFonts w:hint="eastAsia"/>
                <w:color w:val="000000"/>
                <w:kern w:val="0"/>
                <w:sz w:val="18"/>
                <w:szCs w:val="18"/>
              </w:rPr>
              <w:t>（三）处于户籍冻结地区并已列入拆迁公告范围内的；</w:t>
            </w:r>
            <w:r>
              <w:rPr>
                <w:color w:val="000000"/>
                <w:kern w:val="0"/>
                <w:sz w:val="18"/>
                <w:szCs w:val="18"/>
              </w:rPr>
              <w:t xml:space="preserve"> </w:t>
            </w:r>
          </w:p>
          <w:p w14:paraId="3A8873CE">
            <w:pPr>
              <w:spacing w:line="320" w:lineRule="exact"/>
              <w:jc w:val="left"/>
              <w:rPr>
                <w:color w:val="000000"/>
                <w:kern w:val="0"/>
                <w:sz w:val="18"/>
                <w:szCs w:val="18"/>
              </w:rPr>
            </w:pPr>
            <w:r>
              <w:rPr>
                <w:rFonts w:hint="eastAsia"/>
                <w:color w:val="000000"/>
                <w:kern w:val="0"/>
                <w:sz w:val="18"/>
                <w:szCs w:val="18"/>
              </w:rPr>
              <w:t>（四）产权共有的房屋，其他共有人不同意出售的；</w:t>
            </w:r>
            <w:r>
              <w:rPr>
                <w:color w:val="000000"/>
                <w:kern w:val="0"/>
                <w:sz w:val="18"/>
                <w:szCs w:val="18"/>
              </w:rPr>
              <w:t xml:space="preserve"> </w:t>
            </w:r>
          </w:p>
          <w:p w14:paraId="6DD63752">
            <w:pPr>
              <w:spacing w:line="320" w:lineRule="exact"/>
              <w:jc w:val="left"/>
              <w:rPr>
                <w:color w:val="000000"/>
                <w:kern w:val="0"/>
                <w:sz w:val="18"/>
                <w:szCs w:val="18"/>
              </w:rPr>
            </w:pPr>
            <w:r>
              <w:rPr>
                <w:rFonts w:hint="eastAsia"/>
                <w:color w:val="000000"/>
                <w:kern w:val="0"/>
                <w:sz w:val="18"/>
                <w:szCs w:val="18"/>
              </w:rPr>
              <w:t>（五）已抵押且未经抵押权人书面同意转让的；</w:t>
            </w:r>
            <w:r>
              <w:rPr>
                <w:color w:val="000000"/>
                <w:kern w:val="0"/>
                <w:sz w:val="18"/>
                <w:szCs w:val="18"/>
              </w:rPr>
              <w:t xml:space="preserve"> </w:t>
            </w:r>
          </w:p>
          <w:p w14:paraId="098772E4">
            <w:pPr>
              <w:spacing w:line="320" w:lineRule="exact"/>
              <w:jc w:val="left"/>
              <w:rPr>
                <w:color w:val="000000"/>
                <w:kern w:val="0"/>
                <w:sz w:val="18"/>
                <w:szCs w:val="18"/>
              </w:rPr>
            </w:pPr>
            <w:r>
              <w:rPr>
                <w:rFonts w:hint="eastAsia"/>
                <w:color w:val="000000"/>
                <w:kern w:val="0"/>
                <w:sz w:val="18"/>
                <w:szCs w:val="18"/>
              </w:rPr>
              <w:t>（六）上市出售后形成新的住房困难的；</w:t>
            </w:r>
            <w:r>
              <w:rPr>
                <w:color w:val="000000"/>
                <w:kern w:val="0"/>
                <w:sz w:val="18"/>
                <w:szCs w:val="18"/>
              </w:rPr>
              <w:t xml:space="preserve"> </w:t>
            </w:r>
          </w:p>
          <w:p w14:paraId="11E59516">
            <w:pPr>
              <w:spacing w:line="320" w:lineRule="exact"/>
              <w:jc w:val="left"/>
              <w:rPr>
                <w:color w:val="000000"/>
                <w:kern w:val="0"/>
                <w:sz w:val="18"/>
                <w:szCs w:val="18"/>
              </w:rPr>
            </w:pPr>
            <w:r>
              <w:rPr>
                <w:rFonts w:hint="eastAsia"/>
                <w:color w:val="000000"/>
                <w:kern w:val="0"/>
                <w:sz w:val="18"/>
                <w:szCs w:val="18"/>
              </w:rPr>
              <w:t>（七）擅自改变房屋使用性质的；</w:t>
            </w:r>
            <w:r>
              <w:rPr>
                <w:color w:val="000000"/>
                <w:kern w:val="0"/>
                <w:sz w:val="18"/>
                <w:szCs w:val="18"/>
              </w:rPr>
              <w:t xml:space="preserve"> </w:t>
            </w:r>
          </w:p>
          <w:p w14:paraId="72A08894">
            <w:pPr>
              <w:spacing w:line="320" w:lineRule="exact"/>
              <w:jc w:val="left"/>
              <w:rPr>
                <w:color w:val="000000"/>
                <w:kern w:val="0"/>
                <w:sz w:val="18"/>
                <w:szCs w:val="18"/>
              </w:rPr>
            </w:pPr>
            <w:r>
              <w:rPr>
                <w:rFonts w:hint="eastAsia"/>
                <w:color w:val="000000"/>
                <w:kern w:val="0"/>
                <w:sz w:val="18"/>
                <w:szCs w:val="18"/>
              </w:rPr>
              <w:t>（八）法律、法规以及县级以上人民政府规定其他不宜出售的。</w:t>
            </w:r>
          </w:p>
          <w:p w14:paraId="6B3D4646">
            <w:pPr>
              <w:spacing w:line="320" w:lineRule="exact"/>
              <w:jc w:val="left"/>
              <w:rPr>
                <w:color w:val="000000"/>
                <w:kern w:val="0"/>
                <w:sz w:val="18"/>
                <w:szCs w:val="18"/>
              </w:rPr>
            </w:pPr>
            <w:r>
              <w:rPr>
                <w:rFonts w:hint="eastAsia"/>
                <w:color w:val="000000"/>
                <w:kern w:val="0"/>
                <w:sz w:val="18"/>
                <w:szCs w:val="18"/>
              </w:rPr>
              <w:t>第十四条　违反本办法第五条的规定，将不准上市出售的已购公有住房和经济适用住房上市出售的，没收违法所得，并处以</w:t>
            </w:r>
            <w:r>
              <w:rPr>
                <w:color w:val="000000"/>
                <w:kern w:val="0"/>
                <w:sz w:val="18"/>
                <w:szCs w:val="18"/>
              </w:rPr>
              <w:t>10000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r>
              <w:rPr>
                <w:color w:val="000000"/>
                <w:kern w:val="0"/>
                <w:sz w:val="18"/>
                <w:szCs w:val="18"/>
              </w:rPr>
              <w:t xml:space="preserve"> </w:t>
            </w:r>
          </w:p>
        </w:tc>
      </w:tr>
      <w:tr w14:paraId="6E302F6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C58C7FF">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0299047A">
            <w:pPr>
              <w:spacing w:line="320" w:lineRule="exact"/>
              <w:jc w:val="left"/>
              <w:rPr>
                <w:color w:val="000000"/>
                <w:kern w:val="0"/>
                <w:sz w:val="18"/>
                <w:szCs w:val="18"/>
              </w:rPr>
            </w:pPr>
            <w:r>
              <w:rPr>
                <w:rFonts w:hint="eastAsia"/>
                <w:color w:val="000000"/>
                <w:kern w:val="0"/>
                <w:sz w:val="18"/>
                <w:szCs w:val="18"/>
              </w:rPr>
              <w:t>罚款，没收违法所得</w:t>
            </w:r>
          </w:p>
        </w:tc>
      </w:tr>
      <w:tr w14:paraId="3061E4B0">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1ECA371">
            <w:pPr>
              <w:spacing w:line="320" w:lineRule="exact"/>
              <w:jc w:val="center"/>
              <w:rPr>
                <w:color w:val="000000"/>
                <w:kern w:val="0"/>
                <w:sz w:val="18"/>
                <w:szCs w:val="18"/>
              </w:rPr>
            </w:pPr>
            <w:r>
              <w:rPr>
                <w:rFonts w:hint="eastAsia"/>
                <w:color w:val="000000"/>
                <w:kern w:val="0"/>
                <w:sz w:val="18"/>
                <w:szCs w:val="18"/>
              </w:rPr>
              <w:t>裁量基准</w:t>
            </w:r>
          </w:p>
        </w:tc>
      </w:tr>
      <w:tr w14:paraId="5967D712">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226D415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980B039">
            <w:pPr>
              <w:spacing w:line="320" w:lineRule="exact"/>
              <w:jc w:val="left"/>
              <w:rPr>
                <w:color w:val="000000"/>
                <w:kern w:val="0"/>
                <w:sz w:val="18"/>
                <w:szCs w:val="18"/>
              </w:rPr>
            </w:pPr>
            <w:r>
              <w:rPr>
                <w:rFonts w:hint="eastAsia"/>
                <w:color w:val="000000"/>
                <w:kern w:val="0"/>
                <w:sz w:val="18"/>
                <w:szCs w:val="18"/>
              </w:rPr>
              <w:t>未隐瞒真实情况出售的</w:t>
            </w:r>
          </w:p>
        </w:tc>
        <w:tc>
          <w:tcPr>
            <w:tcW w:w="1060" w:type="dxa"/>
            <w:vMerge w:val="restart"/>
            <w:tcBorders>
              <w:top w:val="nil"/>
              <w:left w:val="single" w:color="auto" w:sz="4" w:space="0"/>
              <w:bottom w:val="single" w:color="auto" w:sz="4" w:space="0"/>
              <w:right w:val="single" w:color="auto" w:sz="4" w:space="0"/>
            </w:tcBorders>
            <w:vAlign w:val="center"/>
          </w:tcPr>
          <w:p w14:paraId="5798DAE3">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168BB7B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11FC271C">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D26AFB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853568D">
            <w:pPr>
              <w:spacing w:line="320" w:lineRule="exact"/>
              <w:jc w:val="left"/>
              <w:rPr>
                <w:color w:val="000000"/>
                <w:kern w:val="0"/>
                <w:sz w:val="18"/>
                <w:szCs w:val="18"/>
              </w:rPr>
            </w:pPr>
            <w:r>
              <w:rPr>
                <w:rFonts w:hint="eastAsia"/>
                <w:color w:val="000000"/>
                <w:kern w:val="0"/>
                <w:sz w:val="18"/>
                <w:szCs w:val="18"/>
              </w:rPr>
              <w:t>隐瞒真实情况出售的</w:t>
            </w:r>
          </w:p>
        </w:tc>
        <w:tc>
          <w:tcPr>
            <w:tcW w:w="1060" w:type="dxa"/>
            <w:vMerge w:val="continue"/>
            <w:tcBorders>
              <w:top w:val="nil"/>
              <w:left w:val="single" w:color="auto" w:sz="4" w:space="0"/>
              <w:bottom w:val="single" w:color="auto" w:sz="4" w:space="0"/>
              <w:right w:val="single" w:color="auto" w:sz="4" w:space="0"/>
            </w:tcBorders>
            <w:vAlign w:val="center"/>
          </w:tcPr>
          <w:p w14:paraId="0BFC5F4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37D62F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0B22D12A"/>
    <w:p w14:paraId="321CCC5E"/>
    <w:p w14:paraId="37078386"/>
    <w:p w14:paraId="6F47CAB7"/>
    <w:p w14:paraId="77B48897"/>
    <w:p w14:paraId="21DC11AA"/>
    <w:tbl>
      <w:tblPr>
        <w:tblStyle w:val="15"/>
        <w:tblW w:w="0" w:type="auto"/>
        <w:tblInd w:w="93" w:type="dxa"/>
        <w:tblLayout w:type="fixed"/>
        <w:tblCellMar>
          <w:top w:w="0" w:type="dxa"/>
          <w:left w:w="108" w:type="dxa"/>
          <w:bottom w:w="0" w:type="dxa"/>
          <w:right w:w="108" w:type="dxa"/>
        </w:tblCellMar>
      </w:tblPr>
      <w:tblGrid>
        <w:gridCol w:w="1035"/>
        <w:gridCol w:w="6140"/>
        <w:gridCol w:w="1120"/>
        <w:gridCol w:w="5730"/>
      </w:tblGrid>
      <w:tr w14:paraId="6A260728">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3A60390B">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384ABAE9">
            <w:pPr>
              <w:spacing w:line="320" w:lineRule="exact"/>
              <w:jc w:val="left"/>
              <w:rPr>
                <w:rFonts w:eastAsia="仿宋_GB2312"/>
                <w:b/>
                <w:bCs/>
                <w:color w:val="000000"/>
                <w:kern w:val="0"/>
                <w:sz w:val="18"/>
                <w:szCs w:val="18"/>
              </w:rPr>
            </w:pPr>
            <w:r>
              <w:rPr>
                <w:rFonts w:eastAsia="仿宋_GB2312"/>
                <w:b/>
                <w:bCs/>
                <w:color w:val="000000"/>
                <w:kern w:val="0"/>
                <w:sz w:val="18"/>
                <w:szCs w:val="18"/>
              </w:rPr>
              <w:t>320217327000</w:t>
            </w:r>
          </w:p>
        </w:tc>
      </w:tr>
      <w:tr w14:paraId="66BE1B78">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7019EE68">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4E3D5906">
            <w:pPr>
              <w:jc w:val="left"/>
              <w:rPr>
                <w:rFonts w:eastAsia="仿宋_GB2312"/>
                <w:color w:val="000000"/>
                <w:sz w:val="20"/>
              </w:rPr>
            </w:pPr>
            <w:r>
              <w:rPr>
                <w:rFonts w:hint="eastAsia"/>
                <w:color w:val="000000"/>
                <w:kern w:val="0"/>
                <w:sz w:val="18"/>
                <w:szCs w:val="18"/>
              </w:rPr>
              <w:t>对房地产估价机构未经委托人书面同意擅自转让受托的估价业务的处罚</w:t>
            </w:r>
          </w:p>
        </w:tc>
      </w:tr>
      <w:tr w14:paraId="41227B9A">
        <w:tblPrEx>
          <w:tblCellMar>
            <w:top w:w="0" w:type="dxa"/>
            <w:left w:w="108" w:type="dxa"/>
            <w:bottom w:w="0" w:type="dxa"/>
            <w:right w:w="108" w:type="dxa"/>
          </w:tblCellMar>
        </w:tblPrEx>
        <w:trPr>
          <w:trHeight w:val="2158" w:hRule="atLeast"/>
        </w:trPr>
        <w:tc>
          <w:tcPr>
            <w:tcW w:w="1035" w:type="dxa"/>
            <w:tcBorders>
              <w:top w:val="nil"/>
              <w:left w:val="single" w:color="auto" w:sz="8" w:space="0"/>
              <w:bottom w:val="single" w:color="auto" w:sz="4" w:space="0"/>
              <w:right w:val="single" w:color="auto" w:sz="4" w:space="0"/>
            </w:tcBorders>
            <w:vAlign w:val="center"/>
          </w:tcPr>
          <w:p w14:paraId="44549678">
            <w:pPr>
              <w:jc w:val="left"/>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71A58D05">
            <w:pPr>
              <w:jc w:val="left"/>
              <w:rPr>
                <w:color w:val="000000"/>
                <w:kern w:val="0"/>
                <w:sz w:val="18"/>
                <w:szCs w:val="18"/>
              </w:rPr>
            </w:pPr>
            <w:r>
              <w:rPr>
                <w:rFonts w:hint="eastAsia"/>
                <w:color w:val="000000"/>
                <w:kern w:val="0"/>
                <w:sz w:val="18"/>
                <w:szCs w:val="18"/>
              </w:rPr>
              <w:t>【规章】《房地产估价机构管理办法》（建设部令第142号发布，住房和城乡建设部令第14号、第24号修正）</w:t>
            </w:r>
          </w:p>
          <w:p w14:paraId="410FA2CA">
            <w:pPr>
              <w:jc w:val="left"/>
              <w:rPr>
                <w:color w:val="000000"/>
                <w:kern w:val="0"/>
                <w:sz w:val="18"/>
                <w:szCs w:val="18"/>
              </w:rPr>
            </w:pPr>
            <w:r>
              <w:rPr>
                <w:rFonts w:hint="eastAsia"/>
                <w:color w:val="000000"/>
                <w:kern w:val="0"/>
                <w:sz w:val="18"/>
                <w:szCs w:val="18"/>
              </w:rPr>
              <w:t xml:space="preserve">       第二十九条第一款 房地产估价机构未经委托人书面同意，不得转让受托的估价业务。</w:t>
            </w:r>
          </w:p>
          <w:p w14:paraId="13B37A0C">
            <w:pPr>
              <w:jc w:val="left"/>
              <w:rPr>
                <w:color w:val="000000"/>
                <w:kern w:val="0"/>
                <w:sz w:val="18"/>
                <w:szCs w:val="18"/>
              </w:rPr>
            </w:pPr>
            <w:r>
              <w:rPr>
                <w:rFonts w:hint="eastAsia"/>
                <w:color w:val="000000"/>
                <w:kern w:val="0"/>
                <w:sz w:val="18"/>
                <w:szCs w:val="18"/>
              </w:rPr>
              <w:t xml:space="preserve">       第五十条 有下列行为之一的，由县级以上地方人民政府房地产主管部门给予警告，责令限期改正；逾期未改正的，可处5千元以上2万元以下的罚款；给当事人造成损失的，依法承担赔偿责任：</w:t>
            </w:r>
          </w:p>
          <w:p w14:paraId="45A8E03D">
            <w:pPr>
              <w:jc w:val="left"/>
              <w:rPr>
                <w:color w:val="000000"/>
                <w:kern w:val="0"/>
                <w:sz w:val="18"/>
                <w:szCs w:val="18"/>
              </w:rPr>
            </w:pPr>
            <w:r>
              <w:rPr>
                <w:rFonts w:hint="eastAsia"/>
                <w:color w:val="000000"/>
                <w:kern w:val="0"/>
                <w:sz w:val="18"/>
                <w:szCs w:val="18"/>
              </w:rPr>
              <w:t xml:space="preserve">      （二）违反本办法第二十九条第一款规定，擅自转让受托的估价业务的；</w:t>
            </w:r>
          </w:p>
        </w:tc>
      </w:tr>
      <w:tr w14:paraId="792CA94F">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7D25DCDE">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51F36FF4">
            <w:pPr>
              <w:spacing w:line="320" w:lineRule="exact"/>
              <w:jc w:val="left"/>
              <w:rPr>
                <w:color w:val="000000"/>
                <w:kern w:val="0"/>
                <w:sz w:val="18"/>
                <w:szCs w:val="18"/>
              </w:rPr>
            </w:pPr>
            <w:r>
              <w:rPr>
                <w:rFonts w:hint="eastAsia"/>
                <w:color w:val="000000"/>
                <w:kern w:val="0"/>
                <w:sz w:val="18"/>
                <w:szCs w:val="18"/>
              </w:rPr>
              <w:t>警告，罚款</w:t>
            </w:r>
          </w:p>
        </w:tc>
      </w:tr>
      <w:tr w14:paraId="4BA43B15">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77128F2A">
            <w:pPr>
              <w:spacing w:line="320" w:lineRule="exact"/>
              <w:jc w:val="center"/>
              <w:rPr>
                <w:color w:val="000000"/>
                <w:kern w:val="0"/>
                <w:sz w:val="18"/>
                <w:szCs w:val="18"/>
              </w:rPr>
            </w:pPr>
            <w:r>
              <w:rPr>
                <w:rFonts w:hint="eastAsia"/>
                <w:color w:val="000000"/>
                <w:kern w:val="0"/>
                <w:sz w:val="18"/>
                <w:szCs w:val="18"/>
              </w:rPr>
              <w:t>裁量基准</w:t>
            </w:r>
          </w:p>
        </w:tc>
      </w:tr>
      <w:tr w14:paraId="2EC8241F">
        <w:tblPrEx>
          <w:tblCellMar>
            <w:top w:w="0" w:type="dxa"/>
            <w:left w:w="108" w:type="dxa"/>
            <w:bottom w:w="0" w:type="dxa"/>
            <w:right w:w="108" w:type="dxa"/>
          </w:tblCellMar>
        </w:tblPrEx>
        <w:trPr>
          <w:trHeight w:val="285" w:hRule="atLeast"/>
        </w:trPr>
        <w:tc>
          <w:tcPr>
            <w:tcW w:w="1035" w:type="dxa"/>
            <w:vMerge w:val="restart"/>
            <w:tcBorders>
              <w:top w:val="nil"/>
              <w:left w:val="single" w:color="auto" w:sz="8" w:space="0"/>
              <w:right w:val="single" w:color="auto" w:sz="4" w:space="0"/>
            </w:tcBorders>
            <w:vAlign w:val="center"/>
          </w:tcPr>
          <w:p w14:paraId="3B518E62">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2C6172C1">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color="auto" w:sz="4" w:space="0"/>
            </w:tcBorders>
            <w:vAlign w:val="center"/>
          </w:tcPr>
          <w:p w14:paraId="3F9C67AC">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color="auto" w:sz="4" w:space="0"/>
              <w:right w:val="single" w:color="auto" w:sz="8" w:space="0"/>
            </w:tcBorders>
            <w:vAlign w:val="center"/>
          </w:tcPr>
          <w:p w14:paraId="08CE9F38">
            <w:pPr>
              <w:spacing w:line="320" w:lineRule="exact"/>
              <w:jc w:val="left"/>
              <w:rPr>
                <w:color w:val="000000"/>
                <w:kern w:val="0"/>
                <w:sz w:val="18"/>
                <w:szCs w:val="18"/>
              </w:rPr>
            </w:pPr>
            <w:r>
              <w:rPr>
                <w:rFonts w:hint="eastAsia"/>
                <w:color w:val="000000"/>
                <w:kern w:val="0"/>
                <w:sz w:val="18"/>
                <w:szCs w:val="18"/>
              </w:rPr>
              <w:t>处5000元以上1万元以下罚款</w:t>
            </w:r>
          </w:p>
        </w:tc>
      </w:tr>
      <w:tr w14:paraId="7CD6448B">
        <w:tblPrEx>
          <w:tblCellMar>
            <w:top w:w="0" w:type="dxa"/>
            <w:left w:w="108" w:type="dxa"/>
            <w:bottom w:w="0" w:type="dxa"/>
            <w:right w:w="108" w:type="dxa"/>
          </w:tblCellMar>
        </w:tblPrEx>
        <w:trPr>
          <w:trHeight w:val="285" w:hRule="atLeast"/>
        </w:trPr>
        <w:tc>
          <w:tcPr>
            <w:tcW w:w="1035" w:type="dxa"/>
            <w:vMerge w:val="continue"/>
            <w:tcBorders>
              <w:left w:val="single" w:color="auto" w:sz="8" w:space="0"/>
              <w:bottom w:val="single" w:color="auto" w:sz="4" w:space="0"/>
              <w:right w:val="single" w:color="auto" w:sz="4" w:space="0"/>
            </w:tcBorders>
            <w:vAlign w:val="center"/>
          </w:tcPr>
          <w:p w14:paraId="32FF6021">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2A44819B">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left w:val="nil"/>
              <w:bottom w:val="single" w:color="auto" w:sz="4" w:space="0"/>
              <w:right w:val="single" w:color="auto" w:sz="4" w:space="0"/>
            </w:tcBorders>
            <w:vAlign w:val="center"/>
          </w:tcPr>
          <w:p w14:paraId="799CF03A">
            <w:pPr>
              <w:spacing w:line="320" w:lineRule="exact"/>
              <w:jc w:val="center"/>
              <w:rPr>
                <w:color w:val="000000"/>
                <w:kern w:val="0"/>
                <w:sz w:val="18"/>
                <w:szCs w:val="18"/>
              </w:rPr>
            </w:pPr>
          </w:p>
        </w:tc>
        <w:tc>
          <w:tcPr>
            <w:tcW w:w="5730" w:type="dxa"/>
            <w:tcBorders>
              <w:top w:val="nil"/>
              <w:left w:val="nil"/>
              <w:bottom w:val="single" w:color="auto" w:sz="4" w:space="0"/>
              <w:right w:val="single" w:color="auto" w:sz="8" w:space="0"/>
            </w:tcBorders>
            <w:vAlign w:val="center"/>
          </w:tcPr>
          <w:p w14:paraId="3A4E17AC">
            <w:pPr>
              <w:spacing w:line="320" w:lineRule="exact"/>
              <w:jc w:val="left"/>
              <w:rPr>
                <w:color w:val="000000"/>
                <w:kern w:val="0"/>
                <w:sz w:val="18"/>
                <w:szCs w:val="18"/>
              </w:rPr>
            </w:pPr>
            <w:r>
              <w:rPr>
                <w:rFonts w:hint="eastAsia"/>
                <w:color w:val="000000"/>
                <w:kern w:val="0"/>
                <w:sz w:val="18"/>
                <w:szCs w:val="18"/>
              </w:rPr>
              <w:t>处1万元以上2万元以下罚款</w:t>
            </w:r>
          </w:p>
        </w:tc>
      </w:tr>
    </w:tbl>
    <w:p w14:paraId="18DFE46A"/>
    <w:p w14:paraId="052A4C77"/>
    <w:p w14:paraId="5062D1D8"/>
    <w:p w14:paraId="3E41F47F"/>
    <w:p w14:paraId="19F306E4"/>
    <w:p w14:paraId="46ABD5B3"/>
    <w:p w14:paraId="32AF1809"/>
    <w:p w14:paraId="1550B24C"/>
    <w:tbl>
      <w:tblPr>
        <w:tblStyle w:val="15"/>
        <w:tblW w:w="0" w:type="auto"/>
        <w:tblInd w:w="93" w:type="dxa"/>
        <w:tblLayout w:type="fixed"/>
        <w:tblCellMar>
          <w:top w:w="0" w:type="dxa"/>
          <w:left w:w="108" w:type="dxa"/>
          <w:bottom w:w="0" w:type="dxa"/>
          <w:right w:w="108" w:type="dxa"/>
        </w:tblCellMar>
      </w:tblPr>
      <w:tblGrid>
        <w:gridCol w:w="1035"/>
        <w:gridCol w:w="6140"/>
        <w:gridCol w:w="1120"/>
        <w:gridCol w:w="5730"/>
      </w:tblGrid>
      <w:tr w14:paraId="44E21A73">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7F4AFF9C">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69F35839">
            <w:pPr>
              <w:spacing w:line="320" w:lineRule="exact"/>
              <w:jc w:val="left"/>
              <w:rPr>
                <w:rFonts w:eastAsia="仿宋_GB2312"/>
                <w:b/>
                <w:bCs/>
                <w:color w:val="000000"/>
                <w:kern w:val="0"/>
                <w:sz w:val="18"/>
                <w:szCs w:val="18"/>
              </w:rPr>
            </w:pPr>
            <w:r>
              <w:rPr>
                <w:rFonts w:eastAsia="仿宋_GB2312"/>
                <w:b/>
                <w:bCs/>
                <w:color w:val="000000"/>
                <w:kern w:val="0"/>
                <w:sz w:val="18"/>
                <w:szCs w:val="18"/>
              </w:rPr>
              <w:t>320217328000</w:t>
            </w:r>
            <w:r>
              <w:rPr>
                <w:rFonts w:hint="eastAsia" w:eastAsia="仿宋_GB2312"/>
                <w:b/>
                <w:bCs/>
                <w:color w:val="000000"/>
                <w:kern w:val="0"/>
                <w:sz w:val="18"/>
                <w:szCs w:val="18"/>
              </w:rPr>
              <w:t xml:space="preserve"> </w:t>
            </w:r>
          </w:p>
        </w:tc>
      </w:tr>
      <w:tr w14:paraId="4F460132">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5EC4830D">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6FB7BA21">
            <w:pPr>
              <w:spacing w:line="320" w:lineRule="exact"/>
              <w:jc w:val="left"/>
              <w:rPr>
                <w:color w:val="000000"/>
                <w:kern w:val="0"/>
                <w:sz w:val="18"/>
                <w:szCs w:val="18"/>
              </w:rPr>
            </w:pPr>
            <w:r>
              <w:rPr>
                <w:rFonts w:hint="eastAsia"/>
                <w:color w:val="000000"/>
                <w:kern w:val="0"/>
                <w:sz w:val="18"/>
                <w:szCs w:val="18"/>
              </w:rPr>
              <w:t>对聘用单位为注册房地产估价师申请人提供虚假注册材料的处罚</w:t>
            </w:r>
          </w:p>
        </w:tc>
      </w:tr>
      <w:tr w14:paraId="14ABD9E7">
        <w:tblPrEx>
          <w:tblCellMar>
            <w:top w:w="0" w:type="dxa"/>
            <w:left w:w="108" w:type="dxa"/>
            <w:bottom w:w="0" w:type="dxa"/>
            <w:right w:w="108" w:type="dxa"/>
          </w:tblCellMar>
        </w:tblPrEx>
        <w:trPr>
          <w:trHeight w:val="1650" w:hRule="atLeast"/>
        </w:trPr>
        <w:tc>
          <w:tcPr>
            <w:tcW w:w="1035" w:type="dxa"/>
            <w:tcBorders>
              <w:top w:val="nil"/>
              <w:left w:val="single" w:color="auto" w:sz="8" w:space="0"/>
              <w:bottom w:val="single" w:color="auto" w:sz="4" w:space="0"/>
              <w:right w:val="single" w:color="auto" w:sz="4" w:space="0"/>
            </w:tcBorders>
            <w:vAlign w:val="center"/>
          </w:tcPr>
          <w:p w14:paraId="0786B6D9">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7D96EA4B">
            <w:pPr>
              <w:spacing w:line="320" w:lineRule="exact"/>
              <w:jc w:val="left"/>
              <w:rPr>
                <w:color w:val="000000"/>
                <w:kern w:val="0"/>
                <w:sz w:val="18"/>
                <w:szCs w:val="18"/>
              </w:rPr>
            </w:pPr>
            <w:r>
              <w:rPr>
                <w:color w:val="000000"/>
                <w:kern w:val="0"/>
                <w:sz w:val="18"/>
                <w:szCs w:val="18"/>
              </w:rPr>
              <w:t xml:space="preserve">   </w:t>
            </w:r>
            <w:r>
              <w:rPr>
                <w:rFonts w:hint="eastAsia" w:eastAsia="仿宋_GB2312"/>
                <w:color w:val="000000"/>
                <w:sz w:val="20"/>
              </w:rPr>
              <w:t>【</w:t>
            </w:r>
            <w:r>
              <w:rPr>
                <w:rFonts w:hint="eastAsia"/>
                <w:color w:val="000000"/>
                <w:kern w:val="0"/>
                <w:sz w:val="18"/>
                <w:szCs w:val="18"/>
              </w:rPr>
              <w:t>法律】《中华人民共和国行政许可法》（</w:t>
            </w:r>
            <w:r>
              <w:rPr>
                <w:color w:val="000000"/>
                <w:kern w:val="0"/>
                <w:sz w:val="18"/>
                <w:szCs w:val="18"/>
              </w:rPr>
              <w:t>2003</w:t>
            </w:r>
            <w:r>
              <w:rPr>
                <w:rFonts w:hint="eastAsia"/>
                <w:color w:val="000000"/>
                <w:kern w:val="0"/>
                <w:sz w:val="18"/>
                <w:szCs w:val="18"/>
              </w:rPr>
              <w:t>年国家主席令第七号）</w:t>
            </w:r>
          </w:p>
          <w:p w14:paraId="2878A4B0">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14:paraId="4919C48B">
            <w:pPr>
              <w:spacing w:line="320" w:lineRule="exact"/>
              <w:jc w:val="left"/>
              <w:rPr>
                <w:color w:val="000000"/>
                <w:kern w:val="0"/>
                <w:sz w:val="18"/>
                <w:szCs w:val="18"/>
              </w:rPr>
            </w:pPr>
            <w:r>
              <w:rPr>
                <w:rFonts w:hint="eastAsia" w:eastAsia="仿宋_GB2312"/>
                <w:color w:val="000000"/>
                <w:sz w:val="20"/>
              </w:rPr>
              <w:t>【</w:t>
            </w: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14:paraId="2DE8D293">
            <w:pPr>
              <w:spacing w:line="320" w:lineRule="exact"/>
              <w:ind w:firstLine="360" w:firstLineChars="200"/>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聘用单位为申请人提供虚假注册材料的，由省、自治区、直辖市人民政府建设（房地产）主管部门给予警告，并可处以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60688721">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43923AAE">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3954BDCD">
            <w:pPr>
              <w:spacing w:line="320" w:lineRule="exact"/>
              <w:jc w:val="left"/>
              <w:rPr>
                <w:color w:val="000000"/>
                <w:kern w:val="0"/>
                <w:sz w:val="18"/>
                <w:szCs w:val="18"/>
              </w:rPr>
            </w:pPr>
            <w:r>
              <w:rPr>
                <w:rFonts w:hint="eastAsia"/>
                <w:color w:val="000000"/>
                <w:kern w:val="0"/>
                <w:sz w:val="18"/>
                <w:szCs w:val="18"/>
              </w:rPr>
              <w:t>警告、罚款</w:t>
            </w:r>
          </w:p>
        </w:tc>
      </w:tr>
      <w:tr w14:paraId="4A9608E1">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644CE103">
            <w:pPr>
              <w:spacing w:line="320" w:lineRule="exact"/>
              <w:jc w:val="center"/>
              <w:rPr>
                <w:color w:val="000000"/>
                <w:kern w:val="0"/>
                <w:sz w:val="18"/>
                <w:szCs w:val="18"/>
              </w:rPr>
            </w:pPr>
            <w:r>
              <w:rPr>
                <w:rFonts w:hint="eastAsia"/>
                <w:color w:val="000000"/>
                <w:kern w:val="0"/>
                <w:sz w:val="18"/>
                <w:szCs w:val="18"/>
              </w:rPr>
              <w:t>裁量基准</w:t>
            </w:r>
          </w:p>
        </w:tc>
      </w:tr>
      <w:tr w14:paraId="155310FA">
        <w:tblPrEx>
          <w:tblCellMar>
            <w:top w:w="0" w:type="dxa"/>
            <w:left w:w="108" w:type="dxa"/>
            <w:bottom w:w="0" w:type="dxa"/>
            <w:right w:w="108" w:type="dxa"/>
          </w:tblCellMar>
        </w:tblPrEx>
        <w:trPr>
          <w:trHeight w:val="285" w:hRule="atLeast"/>
        </w:trPr>
        <w:tc>
          <w:tcPr>
            <w:tcW w:w="1035" w:type="dxa"/>
            <w:vMerge w:val="restart"/>
            <w:tcBorders>
              <w:top w:val="nil"/>
              <w:left w:val="single" w:color="auto" w:sz="8" w:space="0"/>
              <w:right w:val="single" w:color="auto" w:sz="4" w:space="0"/>
            </w:tcBorders>
            <w:vAlign w:val="center"/>
          </w:tcPr>
          <w:p w14:paraId="2009E36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CDF28E1">
            <w:pPr>
              <w:spacing w:line="320" w:lineRule="exact"/>
              <w:jc w:val="left"/>
              <w:rPr>
                <w:color w:val="000000"/>
                <w:kern w:val="0"/>
                <w:sz w:val="18"/>
                <w:szCs w:val="18"/>
              </w:rPr>
            </w:pPr>
            <w:r>
              <w:rPr>
                <w:rFonts w:hint="eastAsia"/>
                <w:color w:val="000000"/>
                <w:kern w:val="0"/>
                <w:sz w:val="18"/>
                <w:szCs w:val="18"/>
              </w:rPr>
              <w:t>提供</w:t>
            </w:r>
            <w:r>
              <w:rPr>
                <w:color w:val="000000"/>
                <w:kern w:val="0"/>
                <w:sz w:val="18"/>
                <w:szCs w:val="18"/>
              </w:rPr>
              <w:t>1</w:t>
            </w:r>
            <w:r>
              <w:rPr>
                <w:rFonts w:hint="eastAsia"/>
                <w:color w:val="000000"/>
                <w:kern w:val="0"/>
                <w:sz w:val="18"/>
                <w:szCs w:val="18"/>
              </w:rPr>
              <w:t>项虚假注册材料的</w:t>
            </w:r>
          </w:p>
        </w:tc>
        <w:tc>
          <w:tcPr>
            <w:tcW w:w="1120" w:type="dxa"/>
            <w:vMerge w:val="restart"/>
            <w:tcBorders>
              <w:top w:val="nil"/>
              <w:left w:val="single" w:color="auto" w:sz="4" w:space="0"/>
              <w:right w:val="single" w:color="auto" w:sz="4" w:space="0"/>
            </w:tcBorders>
            <w:vAlign w:val="center"/>
          </w:tcPr>
          <w:p w14:paraId="23AFB794">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color="auto" w:sz="4" w:space="0"/>
              <w:right w:val="single" w:color="auto" w:sz="8" w:space="0"/>
            </w:tcBorders>
            <w:vAlign w:val="center"/>
          </w:tcPr>
          <w:p w14:paraId="27B88FE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10149F76">
        <w:tblPrEx>
          <w:tblCellMar>
            <w:top w:w="0" w:type="dxa"/>
            <w:left w:w="108" w:type="dxa"/>
            <w:bottom w:w="0" w:type="dxa"/>
            <w:right w:w="108" w:type="dxa"/>
          </w:tblCellMar>
        </w:tblPrEx>
        <w:trPr>
          <w:trHeight w:val="285" w:hRule="atLeast"/>
        </w:trPr>
        <w:tc>
          <w:tcPr>
            <w:tcW w:w="1035" w:type="dxa"/>
            <w:vMerge w:val="continue"/>
            <w:tcBorders>
              <w:left w:val="single" w:color="auto" w:sz="8" w:space="0"/>
              <w:right w:val="single" w:color="auto" w:sz="4" w:space="0"/>
            </w:tcBorders>
            <w:vAlign w:val="center"/>
          </w:tcPr>
          <w:p w14:paraId="231D4C9E">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5E714F94">
            <w:pPr>
              <w:rPr>
                <w:color w:val="000000"/>
              </w:rPr>
            </w:pPr>
            <w:r>
              <w:rPr>
                <w:rFonts w:hint="eastAsia"/>
                <w:color w:val="000000"/>
                <w:kern w:val="0"/>
                <w:sz w:val="18"/>
                <w:szCs w:val="18"/>
              </w:rPr>
              <w:t>提供</w:t>
            </w:r>
            <w:r>
              <w:rPr>
                <w:color w:val="000000"/>
                <w:kern w:val="0"/>
                <w:sz w:val="18"/>
                <w:szCs w:val="18"/>
              </w:rPr>
              <w:t>2</w:t>
            </w:r>
            <w:r>
              <w:rPr>
                <w:rFonts w:hint="eastAsia"/>
                <w:color w:val="000000"/>
                <w:kern w:val="0"/>
                <w:sz w:val="18"/>
                <w:szCs w:val="18"/>
              </w:rPr>
              <w:t>项虚假注册材料的</w:t>
            </w:r>
          </w:p>
        </w:tc>
        <w:tc>
          <w:tcPr>
            <w:tcW w:w="1120" w:type="dxa"/>
            <w:vMerge w:val="continue"/>
            <w:tcBorders>
              <w:left w:val="single" w:color="auto" w:sz="4" w:space="0"/>
              <w:right w:val="single" w:color="auto" w:sz="4" w:space="0"/>
            </w:tcBorders>
            <w:vAlign w:val="center"/>
          </w:tcPr>
          <w:p w14:paraId="14B65962">
            <w:pPr>
              <w:spacing w:line="320" w:lineRule="exact"/>
              <w:jc w:val="center"/>
              <w:rPr>
                <w:color w:val="000000"/>
                <w:kern w:val="0"/>
                <w:sz w:val="18"/>
                <w:szCs w:val="18"/>
              </w:rPr>
            </w:pPr>
          </w:p>
        </w:tc>
        <w:tc>
          <w:tcPr>
            <w:tcW w:w="5730" w:type="dxa"/>
            <w:tcBorders>
              <w:top w:val="nil"/>
              <w:left w:val="nil"/>
              <w:bottom w:val="single" w:color="auto" w:sz="4" w:space="0"/>
              <w:right w:val="single" w:color="auto" w:sz="8" w:space="0"/>
            </w:tcBorders>
            <w:vAlign w:val="center"/>
          </w:tcPr>
          <w:p w14:paraId="033E021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59C4E448">
        <w:tblPrEx>
          <w:tblCellMar>
            <w:top w:w="0" w:type="dxa"/>
            <w:left w:w="108" w:type="dxa"/>
            <w:bottom w:w="0" w:type="dxa"/>
            <w:right w:w="108" w:type="dxa"/>
          </w:tblCellMar>
        </w:tblPrEx>
        <w:trPr>
          <w:trHeight w:val="285" w:hRule="atLeast"/>
        </w:trPr>
        <w:tc>
          <w:tcPr>
            <w:tcW w:w="1035" w:type="dxa"/>
            <w:vMerge w:val="continue"/>
            <w:tcBorders>
              <w:left w:val="single" w:color="auto" w:sz="8" w:space="0"/>
              <w:right w:val="single" w:color="auto" w:sz="4" w:space="0"/>
            </w:tcBorders>
            <w:vAlign w:val="center"/>
          </w:tcPr>
          <w:p w14:paraId="4403237D">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2308BA33">
            <w:pPr>
              <w:rPr>
                <w:color w:val="000000"/>
                <w:kern w:val="0"/>
                <w:sz w:val="18"/>
                <w:szCs w:val="18"/>
              </w:rPr>
            </w:pPr>
            <w:r>
              <w:rPr>
                <w:rFonts w:hint="eastAsia"/>
                <w:color w:val="000000"/>
                <w:kern w:val="0"/>
                <w:sz w:val="18"/>
                <w:szCs w:val="18"/>
              </w:rPr>
              <w:t>提供</w:t>
            </w:r>
            <w:r>
              <w:rPr>
                <w:color w:val="000000"/>
                <w:kern w:val="0"/>
                <w:sz w:val="18"/>
                <w:szCs w:val="18"/>
              </w:rPr>
              <w:t>3</w:t>
            </w:r>
            <w:r>
              <w:rPr>
                <w:rFonts w:hint="eastAsia"/>
                <w:color w:val="000000"/>
                <w:kern w:val="0"/>
                <w:sz w:val="18"/>
                <w:szCs w:val="18"/>
              </w:rPr>
              <w:t>项虚假注册材料的</w:t>
            </w:r>
          </w:p>
        </w:tc>
        <w:tc>
          <w:tcPr>
            <w:tcW w:w="1120" w:type="dxa"/>
            <w:vMerge w:val="continue"/>
            <w:tcBorders>
              <w:left w:val="single" w:color="auto" w:sz="4" w:space="0"/>
              <w:right w:val="single" w:color="auto" w:sz="4" w:space="0"/>
            </w:tcBorders>
            <w:vAlign w:val="center"/>
          </w:tcPr>
          <w:p w14:paraId="263B0DBF">
            <w:pPr>
              <w:spacing w:line="320" w:lineRule="exact"/>
              <w:jc w:val="center"/>
              <w:rPr>
                <w:color w:val="000000"/>
                <w:kern w:val="0"/>
                <w:sz w:val="18"/>
                <w:szCs w:val="18"/>
              </w:rPr>
            </w:pPr>
          </w:p>
        </w:tc>
        <w:tc>
          <w:tcPr>
            <w:tcW w:w="5730" w:type="dxa"/>
            <w:tcBorders>
              <w:top w:val="nil"/>
              <w:left w:val="nil"/>
              <w:bottom w:val="single" w:color="auto" w:sz="4" w:space="0"/>
              <w:right w:val="single" w:color="auto" w:sz="8" w:space="0"/>
            </w:tcBorders>
            <w:vAlign w:val="center"/>
          </w:tcPr>
          <w:p w14:paraId="00CC65D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22887FB8">
        <w:tblPrEx>
          <w:tblCellMar>
            <w:top w:w="0" w:type="dxa"/>
            <w:left w:w="108" w:type="dxa"/>
            <w:bottom w:w="0" w:type="dxa"/>
            <w:right w:w="108" w:type="dxa"/>
          </w:tblCellMar>
        </w:tblPrEx>
        <w:trPr>
          <w:trHeight w:val="285" w:hRule="atLeast"/>
        </w:trPr>
        <w:tc>
          <w:tcPr>
            <w:tcW w:w="1035" w:type="dxa"/>
            <w:vMerge w:val="continue"/>
            <w:tcBorders>
              <w:left w:val="single" w:color="auto" w:sz="8" w:space="0"/>
              <w:bottom w:val="single" w:color="auto" w:sz="4" w:space="0"/>
              <w:right w:val="single" w:color="auto" w:sz="4" w:space="0"/>
            </w:tcBorders>
            <w:vAlign w:val="center"/>
          </w:tcPr>
          <w:p w14:paraId="069D4D5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1BCEF7DA">
            <w:pPr>
              <w:rPr>
                <w:color w:val="000000"/>
              </w:rPr>
            </w:pPr>
            <w:r>
              <w:rPr>
                <w:rFonts w:hint="eastAsia"/>
                <w:color w:val="000000"/>
                <w:kern w:val="0"/>
                <w:sz w:val="18"/>
                <w:szCs w:val="18"/>
              </w:rPr>
              <w:t>提供</w:t>
            </w:r>
            <w:r>
              <w:rPr>
                <w:color w:val="000000"/>
                <w:kern w:val="0"/>
                <w:sz w:val="18"/>
                <w:szCs w:val="18"/>
              </w:rPr>
              <w:t>4</w:t>
            </w:r>
            <w:r>
              <w:rPr>
                <w:rFonts w:hint="eastAsia"/>
                <w:color w:val="000000"/>
                <w:kern w:val="0"/>
                <w:sz w:val="18"/>
                <w:szCs w:val="18"/>
              </w:rPr>
              <w:t>项及以上虚假注册材料的</w:t>
            </w:r>
          </w:p>
        </w:tc>
        <w:tc>
          <w:tcPr>
            <w:tcW w:w="1120" w:type="dxa"/>
            <w:vMerge w:val="continue"/>
            <w:tcBorders>
              <w:left w:val="single" w:color="auto" w:sz="4" w:space="0"/>
              <w:bottom w:val="single" w:color="auto" w:sz="4" w:space="0"/>
              <w:right w:val="single" w:color="auto" w:sz="4" w:space="0"/>
            </w:tcBorders>
            <w:vAlign w:val="center"/>
          </w:tcPr>
          <w:p w14:paraId="7B6CD945">
            <w:pPr>
              <w:spacing w:line="320" w:lineRule="exact"/>
              <w:jc w:val="left"/>
              <w:rPr>
                <w:color w:val="000000"/>
                <w:kern w:val="0"/>
                <w:sz w:val="18"/>
                <w:szCs w:val="18"/>
              </w:rPr>
            </w:pPr>
          </w:p>
        </w:tc>
        <w:tc>
          <w:tcPr>
            <w:tcW w:w="5730" w:type="dxa"/>
            <w:tcBorders>
              <w:top w:val="nil"/>
              <w:left w:val="nil"/>
              <w:bottom w:val="single" w:color="auto" w:sz="4" w:space="0"/>
              <w:right w:val="single" w:color="auto" w:sz="8" w:space="0"/>
            </w:tcBorders>
            <w:vAlign w:val="center"/>
          </w:tcPr>
          <w:p w14:paraId="634BC61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4B59B95F"/>
    <w:p w14:paraId="058526A4"/>
    <w:p w14:paraId="3BDDFBDA"/>
    <w:p w14:paraId="69EA27D2"/>
    <w:p w14:paraId="02142B1E"/>
    <w:p w14:paraId="03BD92A8"/>
    <w:p w14:paraId="5B8ABA92"/>
    <w:p w14:paraId="3413506C"/>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6E4250CE">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29AA1BFC">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000000" w:sz="8" w:space="0"/>
            </w:tcBorders>
            <w:vAlign w:val="center"/>
          </w:tcPr>
          <w:p w14:paraId="6B0A0242">
            <w:pPr>
              <w:spacing w:line="320" w:lineRule="exact"/>
              <w:jc w:val="left"/>
              <w:rPr>
                <w:b/>
                <w:color w:val="000000"/>
                <w:kern w:val="0"/>
                <w:sz w:val="18"/>
                <w:szCs w:val="18"/>
              </w:rPr>
            </w:pPr>
            <w:r>
              <w:rPr>
                <w:b/>
                <w:color w:val="000000"/>
                <w:kern w:val="0"/>
                <w:sz w:val="18"/>
                <w:szCs w:val="18"/>
              </w:rPr>
              <w:t>320217329000</w:t>
            </w:r>
          </w:p>
        </w:tc>
      </w:tr>
      <w:tr w14:paraId="7B2BD2EC">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5ED10F17">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000000" w:sz="8" w:space="0"/>
            </w:tcBorders>
            <w:vAlign w:val="center"/>
          </w:tcPr>
          <w:p w14:paraId="36EF6B93">
            <w:pPr>
              <w:spacing w:line="320" w:lineRule="exact"/>
              <w:jc w:val="left"/>
              <w:rPr>
                <w:color w:val="000000"/>
                <w:kern w:val="0"/>
                <w:sz w:val="18"/>
                <w:szCs w:val="18"/>
              </w:rPr>
            </w:pPr>
            <w:r>
              <w:rPr>
                <w:rFonts w:hint="eastAsia"/>
                <w:color w:val="000000"/>
                <w:kern w:val="0"/>
                <w:sz w:val="18"/>
                <w:szCs w:val="18"/>
              </w:rPr>
              <w:t>对建设单位未按照规定对进入施工现场的节能材料和产品开展见证取样检测的处罚</w:t>
            </w:r>
          </w:p>
        </w:tc>
      </w:tr>
      <w:tr w14:paraId="59E26C71">
        <w:tblPrEx>
          <w:tblCellMar>
            <w:top w:w="0" w:type="dxa"/>
            <w:left w:w="108" w:type="dxa"/>
            <w:bottom w:w="0" w:type="dxa"/>
            <w:right w:w="108" w:type="dxa"/>
          </w:tblCellMar>
        </w:tblPrEx>
        <w:trPr>
          <w:trHeight w:val="1365" w:hRule="atLeast"/>
        </w:trPr>
        <w:tc>
          <w:tcPr>
            <w:tcW w:w="1040" w:type="dxa"/>
            <w:tcBorders>
              <w:top w:val="nil"/>
              <w:left w:val="single" w:color="auto" w:sz="8" w:space="0"/>
              <w:bottom w:val="single" w:color="auto" w:sz="4" w:space="0"/>
              <w:right w:val="single" w:color="auto" w:sz="4" w:space="0"/>
            </w:tcBorders>
            <w:vAlign w:val="center"/>
          </w:tcPr>
          <w:p w14:paraId="6DB5F394">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000000" w:sz="8" w:space="0"/>
            </w:tcBorders>
            <w:vAlign w:val="center"/>
          </w:tcPr>
          <w:p w14:paraId="4E2FF7AA">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第十六条第二款　建设工程中使用的建筑材料、产品和设备，应当符合建筑节能标准和施工图设计文件要求。建设单位应当委托工程质量检测机构，对进入施工现场的节能材料和产品，按照有关法律、法规和工程建设强制性标准，开展见证取样检测。</w:t>
            </w:r>
            <w:r>
              <w:rPr>
                <w:color w:val="000000"/>
                <w:kern w:val="0"/>
                <w:sz w:val="18"/>
                <w:szCs w:val="18"/>
              </w:rPr>
              <w:br w:type="textWrapping"/>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（一）建设单位未按照规定对进入施工现场的节能材料和产品开展见证取样检测的，责令改正，拒不改正的，处二千元以上一万元以下罚款。</w:t>
            </w:r>
          </w:p>
        </w:tc>
      </w:tr>
      <w:tr w14:paraId="280585E2">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32288890">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000000" w:sz="8" w:space="0"/>
            </w:tcBorders>
            <w:vAlign w:val="center"/>
          </w:tcPr>
          <w:p w14:paraId="09EB27EB">
            <w:pPr>
              <w:spacing w:line="320" w:lineRule="exact"/>
              <w:jc w:val="left"/>
              <w:rPr>
                <w:color w:val="000000"/>
                <w:kern w:val="0"/>
                <w:sz w:val="18"/>
                <w:szCs w:val="18"/>
              </w:rPr>
            </w:pPr>
            <w:r>
              <w:rPr>
                <w:rFonts w:hint="eastAsia"/>
                <w:color w:val="000000"/>
                <w:kern w:val="0"/>
                <w:sz w:val="18"/>
                <w:szCs w:val="18"/>
              </w:rPr>
              <w:t>罚款</w:t>
            </w:r>
          </w:p>
        </w:tc>
      </w:tr>
      <w:tr w14:paraId="727974B7">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22D4912">
            <w:pPr>
              <w:spacing w:line="320" w:lineRule="exact"/>
              <w:jc w:val="center"/>
              <w:rPr>
                <w:color w:val="000000"/>
                <w:kern w:val="0"/>
                <w:sz w:val="18"/>
                <w:szCs w:val="18"/>
              </w:rPr>
            </w:pPr>
            <w:r>
              <w:rPr>
                <w:rFonts w:hint="eastAsia"/>
                <w:color w:val="000000"/>
                <w:kern w:val="0"/>
                <w:sz w:val="18"/>
                <w:szCs w:val="18"/>
              </w:rPr>
              <w:t>裁量基准</w:t>
            </w:r>
          </w:p>
        </w:tc>
      </w:tr>
      <w:tr w14:paraId="02FF6EA4">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bottom w:val="single" w:color="auto" w:sz="4" w:space="0"/>
              <w:right w:val="single" w:color="auto" w:sz="4" w:space="0"/>
            </w:tcBorders>
            <w:vAlign w:val="center"/>
          </w:tcPr>
          <w:p w14:paraId="7591F80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A7D13FD">
            <w:pPr>
              <w:spacing w:line="320" w:lineRule="exact"/>
              <w:jc w:val="left"/>
              <w:rPr>
                <w:color w:val="000000"/>
                <w:kern w:val="0"/>
                <w:sz w:val="18"/>
                <w:szCs w:val="18"/>
              </w:rPr>
            </w:pPr>
            <w:r>
              <w:rPr>
                <w:rFonts w:hint="eastAsia"/>
                <w:color w:val="000000"/>
                <w:kern w:val="0"/>
                <w:sz w:val="18"/>
                <w:szCs w:val="18"/>
              </w:rPr>
              <w:t>未按照要求整改，尚未使用的</w:t>
            </w:r>
          </w:p>
        </w:tc>
        <w:tc>
          <w:tcPr>
            <w:tcW w:w="1076" w:type="dxa"/>
            <w:vMerge w:val="restart"/>
            <w:tcBorders>
              <w:top w:val="nil"/>
              <w:left w:val="single" w:color="auto" w:sz="4" w:space="0"/>
              <w:bottom w:val="single" w:color="auto" w:sz="4" w:space="0"/>
              <w:right w:val="single" w:color="auto" w:sz="4" w:space="0"/>
            </w:tcBorders>
            <w:vAlign w:val="center"/>
          </w:tcPr>
          <w:p w14:paraId="6FC79E2B">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619370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0864B918">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4D40DF8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44E63C7">
            <w:pPr>
              <w:spacing w:line="320" w:lineRule="exact"/>
              <w:jc w:val="left"/>
              <w:rPr>
                <w:color w:val="000000"/>
                <w:kern w:val="0"/>
                <w:sz w:val="18"/>
                <w:szCs w:val="18"/>
              </w:rPr>
            </w:pPr>
            <w:r>
              <w:rPr>
                <w:rFonts w:hint="eastAsia"/>
                <w:color w:val="000000"/>
                <w:kern w:val="0"/>
                <w:sz w:val="18"/>
                <w:szCs w:val="18"/>
              </w:rPr>
              <w:t>未按照要求整改，已使用，后经检测合格的</w:t>
            </w:r>
          </w:p>
        </w:tc>
        <w:tc>
          <w:tcPr>
            <w:tcW w:w="1076" w:type="dxa"/>
            <w:vMerge w:val="continue"/>
            <w:tcBorders>
              <w:top w:val="nil"/>
              <w:left w:val="single" w:color="auto" w:sz="4" w:space="0"/>
              <w:bottom w:val="single" w:color="auto" w:sz="4" w:space="0"/>
              <w:right w:val="single" w:color="auto" w:sz="4" w:space="0"/>
            </w:tcBorders>
            <w:vAlign w:val="center"/>
          </w:tcPr>
          <w:p w14:paraId="7F190431">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A3E573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元以下的罚款</w:t>
            </w:r>
          </w:p>
        </w:tc>
      </w:tr>
      <w:tr w14:paraId="3B896472">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2C8FFD8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EEA9FEC">
            <w:pPr>
              <w:spacing w:line="320" w:lineRule="exact"/>
              <w:jc w:val="left"/>
              <w:rPr>
                <w:color w:val="000000"/>
                <w:kern w:val="0"/>
                <w:sz w:val="18"/>
                <w:szCs w:val="18"/>
              </w:rPr>
            </w:pPr>
            <w:r>
              <w:rPr>
                <w:rFonts w:hint="eastAsia"/>
                <w:color w:val="000000"/>
                <w:kern w:val="0"/>
                <w:sz w:val="18"/>
                <w:szCs w:val="18"/>
              </w:rPr>
              <w:t>未按照要求整改，已使用，后经检测不合格的</w:t>
            </w:r>
          </w:p>
        </w:tc>
        <w:tc>
          <w:tcPr>
            <w:tcW w:w="1076" w:type="dxa"/>
            <w:vMerge w:val="continue"/>
            <w:tcBorders>
              <w:top w:val="nil"/>
              <w:left w:val="single" w:color="auto" w:sz="4" w:space="0"/>
              <w:bottom w:val="single" w:color="auto" w:sz="4" w:space="0"/>
              <w:right w:val="single" w:color="auto" w:sz="4" w:space="0"/>
            </w:tcBorders>
            <w:vAlign w:val="center"/>
          </w:tcPr>
          <w:p w14:paraId="424F4019">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2C5C08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14:paraId="4A508EEA"/>
    <w:p w14:paraId="5A9C5494"/>
    <w:p w14:paraId="63384ADA"/>
    <w:p w14:paraId="059B065E"/>
    <w:p w14:paraId="11549F9B"/>
    <w:p w14:paraId="031C6E3B"/>
    <w:p w14:paraId="60B328D5"/>
    <w:p w14:paraId="5B890DD3"/>
    <w:p w14:paraId="619F57DF"/>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3B278454">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0741DC16">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000000" w:sz="8" w:space="0"/>
            </w:tcBorders>
            <w:vAlign w:val="center"/>
          </w:tcPr>
          <w:p w14:paraId="50E1A4E6">
            <w:pPr>
              <w:spacing w:line="320" w:lineRule="exact"/>
              <w:jc w:val="left"/>
              <w:rPr>
                <w:b/>
                <w:color w:val="000000"/>
                <w:kern w:val="0"/>
                <w:sz w:val="18"/>
                <w:szCs w:val="18"/>
              </w:rPr>
            </w:pPr>
            <w:r>
              <w:rPr>
                <w:b/>
                <w:color w:val="000000"/>
                <w:kern w:val="0"/>
                <w:sz w:val="18"/>
                <w:szCs w:val="18"/>
              </w:rPr>
              <w:t>320217330000</w:t>
            </w:r>
          </w:p>
        </w:tc>
      </w:tr>
      <w:tr w14:paraId="325E1ADF">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12F9B7CF">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000000" w:sz="8" w:space="0"/>
            </w:tcBorders>
            <w:vAlign w:val="center"/>
          </w:tcPr>
          <w:p w14:paraId="419D7038">
            <w:pPr>
              <w:spacing w:line="320" w:lineRule="exact"/>
              <w:jc w:val="left"/>
              <w:rPr>
                <w:color w:val="000000"/>
                <w:kern w:val="0"/>
                <w:sz w:val="18"/>
                <w:szCs w:val="18"/>
              </w:rPr>
            </w:pPr>
            <w:r>
              <w:rPr>
                <w:rFonts w:hint="eastAsia"/>
                <w:color w:val="000000"/>
                <w:kern w:val="0"/>
                <w:sz w:val="18"/>
                <w:szCs w:val="18"/>
              </w:rPr>
              <w:t>对建设单位未在施工现场公示建筑节能相关信息的处罚</w:t>
            </w:r>
          </w:p>
        </w:tc>
      </w:tr>
      <w:tr w14:paraId="68D71AF1">
        <w:tblPrEx>
          <w:tblCellMar>
            <w:top w:w="0" w:type="dxa"/>
            <w:left w:w="108" w:type="dxa"/>
            <w:bottom w:w="0" w:type="dxa"/>
            <w:right w:w="108" w:type="dxa"/>
          </w:tblCellMar>
        </w:tblPrEx>
        <w:trPr>
          <w:trHeight w:val="1155" w:hRule="atLeast"/>
        </w:trPr>
        <w:tc>
          <w:tcPr>
            <w:tcW w:w="1040" w:type="dxa"/>
            <w:tcBorders>
              <w:top w:val="nil"/>
              <w:left w:val="single" w:color="auto" w:sz="8" w:space="0"/>
              <w:bottom w:val="single" w:color="auto" w:sz="4" w:space="0"/>
              <w:right w:val="single" w:color="auto" w:sz="4" w:space="0"/>
            </w:tcBorders>
            <w:vAlign w:val="center"/>
          </w:tcPr>
          <w:p w14:paraId="3A86ACB9">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000000" w:sz="8" w:space="0"/>
            </w:tcBorders>
            <w:vAlign w:val="center"/>
          </w:tcPr>
          <w:p w14:paraId="09764289">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第十六条第三款　在建工程的建筑节能措施应当作为施工现场公示信息之一，在施工现场出入口等显著位置予以公示。</w:t>
            </w:r>
            <w:r>
              <w:rPr>
                <w:color w:val="000000"/>
                <w:kern w:val="0"/>
                <w:sz w:val="18"/>
                <w:szCs w:val="18"/>
              </w:rPr>
              <w:br w:type="textWrapping"/>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（二）建设单位未在施工现场公示建筑节能相关信息的，责令改正，拒不改正的，处二千元以上一万元以下罚款。</w:t>
            </w:r>
          </w:p>
        </w:tc>
      </w:tr>
      <w:tr w14:paraId="1C181C5E">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5241672E">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000000" w:sz="8" w:space="0"/>
            </w:tcBorders>
            <w:vAlign w:val="center"/>
          </w:tcPr>
          <w:p w14:paraId="1B7B79D6">
            <w:pPr>
              <w:spacing w:line="320" w:lineRule="exact"/>
              <w:jc w:val="left"/>
              <w:rPr>
                <w:color w:val="000000"/>
                <w:kern w:val="0"/>
                <w:sz w:val="18"/>
                <w:szCs w:val="18"/>
              </w:rPr>
            </w:pPr>
            <w:r>
              <w:rPr>
                <w:rFonts w:hint="eastAsia"/>
                <w:color w:val="000000"/>
                <w:kern w:val="0"/>
                <w:sz w:val="18"/>
                <w:szCs w:val="18"/>
              </w:rPr>
              <w:t>罚款</w:t>
            </w:r>
          </w:p>
        </w:tc>
      </w:tr>
      <w:tr w14:paraId="6E4B234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6626B2A">
            <w:pPr>
              <w:spacing w:line="320" w:lineRule="exact"/>
              <w:jc w:val="center"/>
              <w:rPr>
                <w:color w:val="000000"/>
                <w:kern w:val="0"/>
                <w:sz w:val="18"/>
                <w:szCs w:val="18"/>
              </w:rPr>
            </w:pPr>
            <w:r>
              <w:rPr>
                <w:rFonts w:hint="eastAsia"/>
                <w:color w:val="000000"/>
                <w:kern w:val="0"/>
                <w:sz w:val="18"/>
                <w:szCs w:val="18"/>
              </w:rPr>
              <w:t>裁量基准</w:t>
            </w:r>
          </w:p>
        </w:tc>
      </w:tr>
      <w:tr w14:paraId="26191CAD">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bottom w:val="single" w:color="auto" w:sz="4" w:space="0"/>
              <w:right w:val="single" w:color="auto" w:sz="4" w:space="0"/>
            </w:tcBorders>
            <w:vAlign w:val="center"/>
          </w:tcPr>
          <w:p w14:paraId="7DC2354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8536861">
            <w:pPr>
              <w:spacing w:line="320" w:lineRule="exact"/>
              <w:jc w:val="left"/>
              <w:rPr>
                <w:color w:val="000000"/>
                <w:kern w:val="0"/>
                <w:sz w:val="18"/>
                <w:szCs w:val="18"/>
              </w:rPr>
            </w:pPr>
            <w:r>
              <w:rPr>
                <w:rFonts w:hint="eastAsia"/>
                <w:color w:val="000000"/>
                <w:kern w:val="0"/>
                <w:sz w:val="18"/>
                <w:szCs w:val="18"/>
              </w:rPr>
              <w:t>未按照要求整改，公示内容不齐全的</w:t>
            </w:r>
          </w:p>
        </w:tc>
        <w:tc>
          <w:tcPr>
            <w:tcW w:w="1076" w:type="dxa"/>
            <w:vMerge w:val="restart"/>
            <w:tcBorders>
              <w:top w:val="nil"/>
              <w:left w:val="single" w:color="auto" w:sz="4" w:space="0"/>
              <w:bottom w:val="single" w:color="auto" w:sz="4" w:space="0"/>
              <w:right w:val="single" w:color="auto" w:sz="4" w:space="0"/>
            </w:tcBorders>
            <w:vAlign w:val="center"/>
          </w:tcPr>
          <w:p w14:paraId="2AAE9D17">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BC4F47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6876F706">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3EFAA84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96C970F">
            <w:pPr>
              <w:spacing w:line="320" w:lineRule="exact"/>
              <w:jc w:val="left"/>
              <w:rPr>
                <w:color w:val="000000"/>
                <w:kern w:val="0"/>
                <w:sz w:val="18"/>
                <w:szCs w:val="18"/>
              </w:rPr>
            </w:pPr>
            <w:r>
              <w:rPr>
                <w:rFonts w:hint="eastAsia"/>
                <w:color w:val="000000"/>
                <w:kern w:val="0"/>
                <w:sz w:val="18"/>
                <w:szCs w:val="18"/>
              </w:rPr>
              <w:t>未按照要求整改，无公示内容的</w:t>
            </w:r>
          </w:p>
        </w:tc>
        <w:tc>
          <w:tcPr>
            <w:tcW w:w="1076" w:type="dxa"/>
            <w:vMerge w:val="continue"/>
            <w:tcBorders>
              <w:top w:val="nil"/>
              <w:left w:val="single" w:color="auto" w:sz="4" w:space="0"/>
              <w:bottom w:val="single" w:color="auto" w:sz="4" w:space="0"/>
              <w:right w:val="single" w:color="auto" w:sz="4" w:space="0"/>
            </w:tcBorders>
            <w:vAlign w:val="center"/>
          </w:tcPr>
          <w:p w14:paraId="6482A942">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7B2DD5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14:paraId="2103091F"/>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17BDED84">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3260D895">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000000" w:sz="8" w:space="0"/>
            </w:tcBorders>
            <w:vAlign w:val="center"/>
          </w:tcPr>
          <w:p w14:paraId="5723B30A">
            <w:pPr>
              <w:spacing w:line="320" w:lineRule="exact"/>
              <w:jc w:val="left"/>
              <w:rPr>
                <w:b/>
                <w:color w:val="000000"/>
                <w:kern w:val="0"/>
                <w:sz w:val="18"/>
                <w:szCs w:val="18"/>
              </w:rPr>
            </w:pPr>
            <w:r>
              <w:rPr>
                <w:b/>
                <w:color w:val="000000"/>
                <w:kern w:val="0"/>
                <w:sz w:val="18"/>
                <w:szCs w:val="18"/>
              </w:rPr>
              <w:t>320217331000</w:t>
            </w:r>
          </w:p>
        </w:tc>
      </w:tr>
      <w:tr w14:paraId="15D35499">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2C8C0B26">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000000" w:sz="8" w:space="0"/>
            </w:tcBorders>
            <w:vAlign w:val="center"/>
          </w:tcPr>
          <w:p w14:paraId="45211F73">
            <w:pPr>
              <w:spacing w:line="320" w:lineRule="exact"/>
              <w:jc w:val="left"/>
              <w:rPr>
                <w:color w:val="000000"/>
                <w:kern w:val="0"/>
                <w:sz w:val="18"/>
                <w:szCs w:val="18"/>
              </w:rPr>
            </w:pPr>
            <w:r>
              <w:rPr>
                <w:rFonts w:hint="eastAsia"/>
                <w:color w:val="000000"/>
                <w:kern w:val="0"/>
                <w:sz w:val="18"/>
                <w:szCs w:val="18"/>
              </w:rPr>
              <w:t>对设计单位未按照建筑节能编制深度规定要求编制设计文件的处罚</w:t>
            </w:r>
          </w:p>
        </w:tc>
      </w:tr>
      <w:tr w14:paraId="410C876E">
        <w:tblPrEx>
          <w:tblCellMar>
            <w:top w:w="0" w:type="dxa"/>
            <w:left w:w="108" w:type="dxa"/>
            <w:bottom w:w="0" w:type="dxa"/>
            <w:right w:w="108" w:type="dxa"/>
          </w:tblCellMar>
        </w:tblPrEx>
        <w:trPr>
          <w:trHeight w:val="1380" w:hRule="atLeast"/>
        </w:trPr>
        <w:tc>
          <w:tcPr>
            <w:tcW w:w="1040" w:type="dxa"/>
            <w:tcBorders>
              <w:top w:val="nil"/>
              <w:left w:val="single" w:color="auto" w:sz="8" w:space="0"/>
              <w:bottom w:val="single" w:color="auto" w:sz="4" w:space="0"/>
              <w:right w:val="single" w:color="auto" w:sz="4" w:space="0"/>
            </w:tcBorders>
            <w:vAlign w:val="center"/>
          </w:tcPr>
          <w:p w14:paraId="48F704CC">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000000" w:sz="8" w:space="0"/>
            </w:tcBorders>
            <w:vAlign w:val="center"/>
          </w:tcPr>
          <w:p w14:paraId="545A9E07">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第十七条　设计单位编制的设计方案应当有建筑节能设计专项说明，初步设计文件应当包括建筑节能设计专篇，施工图设计文件应当包括符合编制深度规定要求的建筑节能设计专篇和节能计算书。</w:t>
            </w:r>
            <w:r>
              <w:rPr>
                <w:color w:val="000000"/>
                <w:kern w:val="0"/>
                <w:sz w:val="18"/>
                <w:szCs w:val="18"/>
              </w:rPr>
              <w:br w:type="textWrapping"/>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（三）设计单位未按照建筑节能编制深度规定要求编制设计文件的，责令改正，并处二千元以上三万元以下的罚款。</w:t>
            </w:r>
          </w:p>
        </w:tc>
      </w:tr>
      <w:tr w14:paraId="7445F9A1">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37497F7B">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000000" w:sz="8" w:space="0"/>
            </w:tcBorders>
            <w:vAlign w:val="center"/>
          </w:tcPr>
          <w:p w14:paraId="173B2051">
            <w:pPr>
              <w:spacing w:line="320" w:lineRule="exact"/>
              <w:jc w:val="left"/>
              <w:rPr>
                <w:color w:val="000000"/>
                <w:kern w:val="0"/>
                <w:sz w:val="18"/>
                <w:szCs w:val="18"/>
              </w:rPr>
            </w:pPr>
            <w:r>
              <w:rPr>
                <w:rFonts w:hint="eastAsia"/>
                <w:color w:val="000000"/>
                <w:kern w:val="0"/>
                <w:sz w:val="18"/>
                <w:szCs w:val="18"/>
              </w:rPr>
              <w:t>罚款</w:t>
            </w:r>
          </w:p>
        </w:tc>
      </w:tr>
      <w:tr w14:paraId="4081B397">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C0D2D5F">
            <w:pPr>
              <w:spacing w:line="320" w:lineRule="exact"/>
              <w:jc w:val="center"/>
              <w:rPr>
                <w:color w:val="000000"/>
                <w:kern w:val="0"/>
                <w:sz w:val="18"/>
                <w:szCs w:val="18"/>
              </w:rPr>
            </w:pPr>
            <w:r>
              <w:rPr>
                <w:rFonts w:hint="eastAsia"/>
                <w:color w:val="000000"/>
                <w:kern w:val="0"/>
                <w:sz w:val="18"/>
                <w:szCs w:val="18"/>
              </w:rPr>
              <w:t>裁量基准</w:t>
            </w:r>
          </w:p>
        </w:tc>
      </w:tr>
      <w:tr w14:paraId="16BC4D58">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bottom w:val="single" w:color="auto" w:sz="4" w:space="0"/>
              <w:right w:val="single" w:color="auto" w:sz="4" w:space="0"/>
            </w:tcBorders>
            <w:vAlign w:val="center"/>
          </w:tcPr>
          <w:p w14:paraId="4F21268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8C4B95A">
            <w:pPr>
              <w:spacing w:line="320" w:lineRule="exact"/>
              <w:jc w:val="left"/>
              <w:rPr>
                <w:color w:val="000000"/>
                <w:kern w:val="0"/>
                <w:sz w:val="18"/>
                <w:szCs w:val="18"/>
              </w:rPr>
            </w:pPr>
            <w:r>
              <w:rPr>
                <w:rFonts w:hint="eastAsia"/>
                <w:color w:val="000000"/>
                <w:kern w:val="0"/>
                <w:sz w:val="18"/>
                <w:szCs w:val="18"/>
              </w:rPr>
              <w:t>按照要求整改的</w:t>
            </w:r>
          </w:p>
        </w:tc>
        <w:tc>
          <w:tcPr>
            <w:tcW w:w="1076" w:type="dxa"/>
            <w:vMerge w:val="restart"/>
            <w:tcBorders>
              <w:top w:val="nil"/>
              <w:left w:val="single" w:color="auto" w:sz="4" w:space="0"/>
              <w:bottom w:val="single" w:color="auto" w:sz="4" w:space="0"/>
              <w:right w:val="single" w:color="auto" w:sz="4" w:space="0"/>
            </w:tcBorders>
            <w:vAlign w:val="center"/>
          </w:tcPr>
          <w:p w14:paraId="61741EB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2B92CEB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万元以下的罚款</w:t>
            </w:r>
          </w:p>
        </w:tc>
      </w:tr>
      <w:tr w14:paraId="2E588735">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317E372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63FAE53">
            <w:pPr>
              <w:spacing w:line="320" w:lineRule="exact"/>
              <w:jc w:val="left"/>
              <w:rPr>
                <w:color w:val="000000"/>
                <w:kern w:val="0"/>
                <w:sz w:val="18"/>
                <w:szCs w:val="18"/>
              </w:rPr>
            </w:pPr>
            <w:r>
              <w:rPr>
                <w:rFonts w:hint="eastAsia"/>
                <w:color w:val="000000"/>
                <w:kern w:val="0"/>
                <w:sz w:val="18"/>
                <w:szCs w:val="18"/>
              </w:rPr>
              <w:t>未按照要求整改的</w:t>
            </w:r>
          </w:p>
        </w:tc>
        <w:tc>
          <w:tcPr>
            <w:tcW w:w="1076" w:type="dxa"/>
            <w:vMerge w:val="continue"/>
            <w:tcBorders>
              <w:top w:val="nil"/>
              <w:left w:val="single" w:color="auto" w:sz="4" w:space="0"/>
              <w:bottom w:val="single" w:color="auto" w:sz="4" w:space="0"/>
              <w:right w:val="single" w:color="auto" w:sz="4" w:space="0"/>
            </w:tcBorders>
            <w:vAlign w:val="center"/>
          </w:tcPr>
          <w:p w14:paraId="6D327506">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ABFE45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20F0312B"/>
    <w:p w14:paraId="2B3E8CE4"/>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502407A4">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732D8FFA">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76144A60">
            <w:pPr>
              <w:spacing w:line="320" w:lineRule="exact"/>
              <w:jc w:val="left"/>
              <w:rPr>
                <w:rFonts w:eastAsia="仿宋_GB2312"/>
                <w:b/>
                <w:bCs/>
                <w:color w:val="000000"/>
                <w:kern w:val="0"/>
                <w:sz w:val="18"/>
                <w:szCs w:val="18"/>
              </w:rPr>
            </w:pPr>
            <w:r>
              <w:rPr>
                <w:rFonts w:eastAsia="仿宋_GB2312"/>
                <w:b/>
                <w:bCs/>
                <w:color w:val="000000"/>
                <w:kern w:val="0"/>
                <w:sz w:val="18"/>
                <w:szCs w:val="18"/>
              </w:rPr>
              <w:t>320217333000</w:t>
            </w:r>
            <w:r>
              <w:rPr>
                <w:rFonts w:hint="eastAsia" w:eastAsia="仿宋_GB2312"/>
                <w:b/>
                <w:bCs/>
                <w:color w:val="000000"/>
                <w:kern w:val="0"/>
                <w:sz w:val="18"/>
                <w:szCs w:val="18"/>
              </w:rPr>
              <w:t xml:space="preserve"> </w:t>
            </w:r>
          </w:p>
        </w:tc>
      </w:tr>
      <w:tr w14:paraId="77620761">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7E6A7F11">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1BA16443">
            <w:pPr>
              <w:spacing w:line="320" w:lineRule="exact"/>
              <w:jc w:val="left"/>
              <w:rPr>
                <w:color w:val="000000"/>
                <w:kern w:val="0"/>
                <w:sz w:val="18"/>
                <w:szCs w:val="18"/>
              </w:rPr>
            </w:pPr>
            <w:r>
              <w:rPr>
                <w:rFonts w:hint="eastAsia"/>
                <w:color w:val="000000"/>
                <w:kern w:val="0"/>
                <w:sz w:val="18"/>
                <w:szCs w:val="18"/>
              </w:rPr>
              <w:t>对瓶装燃气经营者未在充装后的燃气气瓶上标明充装单位和服务电话的处罚</w:t>
            </w:r>
          </w:p>
        </w:tc>
      </w:tr>
      <w:tr w14:paraId="50C0FDB9">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56FCF31C">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71F05C3A">
            <w:pPr>
              <w:spacing w:line="320" w:lineRule="exact"/>
              <w:jc w:val="left"/>
              <w:rPr>
                <w:rFonts w:eastAsia="仿宋_GB2312"/>
                <w:color w:val="00000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日通过，江苏省人大常委会公告第</w:t>
            </w:r>
            <w:r>
              <w:rPr>
                <w:color w:val="000000"/>
                <w:kern w:val="0"/>
                <w:sz w:val="18"/>
                <w:szCs w:val="18"/>
              </w:rPr>
              <w:t xml:space="preserve"> 28 </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　第二十三条</w:t>
            </w:r>
            <w:r>
              <w:rPr>
                <w:color w:val="000000"/>
                <w:kern w:val="0"/>
                <w:sz w:val="18"/>
                <w:szCs w:val="18"/>
              </w:rPr>
              <w:t xml:space="preserve">  </w:t>
            </w:r>
            <w:r>
              <w:rPr>
                <w:rFonts w:hint="eastAsia"/>
                <w:color w:val="000000"/>
                <w:kern w:val="0"/>
                <w:sz w:val="18"/>
                <w:szCs w:val="18"/>
              </w:rPr>
              <w:t>瓶装燃气经营者应当遵守下列规定：</w:t>
            </w:r>
            <w:r>
              <w:rPr>
                <w:color w:val="000000"/>
                <w:kern w:val="0"/>
                <w:sz w:val="18"/>
                <w:szCs w:val="18"/>
              </w:rPr>
              <w:br w:type="textWrapping"/>
            </w:r>
            <w:r>
              <w:rPr>
                <w:rFonts w:hint="eastAsia"/>
                <w:color w:val="000000"/>
                <w:kern w:val="0"/>
                <w:sz w:val="18"/>
                <w:szCs w:val="18"/>
              </w:rPr>
              <w:t>　（六）在充装后的燃气气瓶上标明充装单位和服务电话；</w:t>
            </w:r>
            <w:r>
              <w:rPr>
                <w:color w:val="000000"/>
                <w:kern w:val="0"/>
                <w:sz w:val="18"/>
                <w:szCs w:val="18"/>
              </w:rPr>
              <w:br w:type="textWrapping"/>
            </w:r>
            <w:r>
              <w:rPr>
                <w:rFonts w:hint="eastAsia"/>
                <w:color w:val="000000"/>
                <w:kern w:val="0"/>
                <w:sz w:val="18"/>
                <w:szCs w:val="18"/>
              </w:rPr>
              <w:t>　第六十一条第二款　违反本条例第二十三条第三项至第六项规定，由燃气主管部门责令限期改正，处一万元以上十万元以下罚款。</w:t>
            </w:r>
          </w:p>
        </w:tc>
      </w:tr>
      <w:tr w14:paraId="4BFAC924">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252EA0D4">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7E79671C">
            <w:pPr>
              <w:spacing w:line="320" w:lineRule="exact"/>
              <w:jc w:val="left"/>
              <w:rPr>
                <w:color w:val="000000"/>
                <w:kern w:val="0"/>
                <w:sz w:val="18"/>
                <w:szCs w:val="18"/>
              </w:rPr>
            </w:pPr>
            <w:r>
              <w:rPr>
                <w:rFonts w:hint="eastAsia"/>
                <w:color w:val="000000"/>
                <w:kern w:val="0"/>
                <w:sz w:val="18"/>
                <w:szCs w:val="18"/>
              </w:rPr>
              <w:t>责令限期改正，罚款</w:t>
            </w:r>
          </w:p>
        </w:tc>
      </w:tr>
      <w:tr w14:paraId="2DB68F78">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177B77DD">
            <w:pPr>
              <w:spacing w:line="320" w:lineRule="exact"/>
              <w:jc w:val="center"/>
              <w:rPr>
                <w:color w:val="000000"/>
                <w:kern w:val="0"/>
                <w:sz w:val="18"/>
                <w:szCs w:val="18"/>
              </w:rPr>
            </w:pPr>
            <w:r>
              <w:rPr>
                <w:rFonts w:hint="eastAsia"/>
                <w:color w:val="000000"/>
                <w:kern w:val="0"/>
                <w:sz w:val="18"/>
                <w:szCs w:val="18"/>
              </w:rPr>
              <w:t>裁量基准</w:t>
            </w:r>
          </w:p>
        </w:tc>
      </w:tr>
      <w:tr w14:paraId="525BBE17">
        <w:tblPrEx>
          <w:tblCellMar>
            <w:top w:w="0" w:type="dxa"/>
            <w:left w:w="108" w:type="dxa"/>
            <w:bottom w:w="0" w:type="dxa"/>
            <w:right w:w="108" w:type="dxa"/>
          </w:tblCellMar>
        </w:tblPrEx>
        <w:trPr>
          <w:gridAfter w:val="1"/>
          <w:wAfter w:w="14" w:type="dxa"/>
          <w:trHeight w:val="285"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5D221853">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3C8B9FC8">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single" w:color="auto" w:sz="4" w:space="0"/>
              <w:left w:val="single" w:color="auto" w:sz="4" w:space="0"/>
              <w:bottom w:val="single" w:color="auto" w:sz="4" w:space="0"/>
              <w:right w:val="single" w:color="auto" w:sz="4" w:space="0"/>
            </w:tcBorders>
            <w:vAlign w:val="center"/>
          </w:tcPr>
          <w:p w14:paraId="46D8256E">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color="auto" w:sz="4" w:space="0"/>
              <w:left w:val="nil"/>
              <w:bottom w:val="single" w:color="auto" w:sz="4" w:space="0"/>
              <w:right w:val="single" w:color="auto" w:sz="4" w:space="0"/>
            </w:tcBorders>
            <w:vAlign w:val="center"/>
          </w:tcPr>
          <w:p w14:paraId="0C91915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万元以上5万元以下罚款</w:t>
            </w:r>
          </w:p>
        </w:tc>
      </w:tr>
      <w:tr w14:paraId="0DA8C213">
        <w:tblPrEx>
          <w:tblCellMar>
            <w:top w:w="0" w:type="dxa"/>
            <w:left w:w="108" w:type="dxa"/>
            <w:bottom w:w="0" w:type="dxa"/>
            <w:right w:w="108" w:type="dxa"/>
          </w:tblCellMar>
        </w:tblPrEx>
        <w:trPr>
          <w:gridAfter w:val="1"/>
          <w:wAfter w:w="14" w:type="dxa"/>
          <w:trHeight w:val="650"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10B6D261">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47D02528">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val="continue"/>
            <w:tcBorders>
              <w:top w:val="single" w:color="auto" w:sz="4" w:space="0"/>
              <w:left w:val="single" w:color="auto" w:sz="4" w:space="0"/>
              <w:bottom w:val="single" w:color="auto" w:sz="4" w:space="0"/>
              <w:right w:val="single" w:color="auto" w:sz="4" w:space="0"/>
            </w:tcBorders>
            <w:vAlign w:val="center"/>
          </w:tcPr>
          <w:p w14:paraId="4D0BA4AE">
            <w:pPr>
              <w:spacing w:line="320" w:lineRule="exact"/>
              <w:jc w:val="left"/>
              <w:rPr>
                <w:color w:val="000000"/>
                <w:kern w:val="0"/>
                <w:sz w:val="18"/>
                <w:szCs w:val="18"/>
              </w:rPr>
            </w:pPr>
          </w:p>
        </w:tc>
        <w:tc>
          <w:tcPr>
            <w:tcW w:w="6180" w:type="dxa"/>
            <w:tcBorders>
              <w:top w:val="single" w:color="auto" w:sz="4" w:space="0"/>
              <w:left w:val="nil"/>
              <w:bottom w:val="single" w:color="auto" w:sz="4" w:space="0"/>
              <w:right w:val="single" w:color="auto" w:sz="4" w:space="0"/>
            </w:tcBorders>
            <w:vAlign w:val="center"/>
          </w:tcPr>
          <w:p w14:paraId="0E7A30CF">
            <w:pPr>
              <w:spacing w:line="320" w:lineRule="exact"/>
              <w:jc w:val="left"/>
              <w:rPr>
                <w:color w:val="000000"/>
                <w:kern w:val="0"/>
                <w:sz w:val="18"/>
                <w:szCs w:val="18"/>
              </w:rPr>
            </w:pPr>
            <w:r>
              <w:rPr>
                <w:rFonts w:hint="eastAsia"/>
                <w:color w:val="000000"/>
                <w:kern w:val="0"/>
                <w:sz w:val="18"/>
                <w:szCs w:val="18"/>
              </w:rPr>
              <w:t>处5万元以上10万元以下罚款</w:t>
            </w:r>
          </w:p>
        </w:tc>
      </w:tr>
    </w:tbl>
    <w:p w14:paraId="363F2834"/>
    <w:p w14:paraId="5CA90D4B"/>
    <w:p w14:paraId="78552427"/>
    <w:p w14:paraId="0978F728"/>
    <w:p w14:paraId="7196256F"/>
    <w:p w14:paraId="23E72487"/>
    <w:p w14:paraId="15293AB1"/>
    <w:p w14:paraId="398BA07E"/>
    <w:p w14:paraId="1BFB9050"/>
    <w:p w14:paraId="06AFE5C2"/>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61FDBCE3">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735C3C5A">
            <w:pPr>
              <w:spacing w:line="24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65CC9B33">
            <w:pPr>
              <w:spacing w:line="240" w:lineRule="exact"/>
              <w:rPr>
                <w:b/>
                <w:color w:val="000000"/>
                <w:kern w:val="0"/>
                <w:sz w:val="18"/>
                <w:szCs w:val="18"/>
              </w:rPr>
            </w:pPr>
            <w:r>
              <w:rPr>
                <w:b/>
                <w:color w:val="000000"/>
                <w:kern w:val="0"/>
                <w:sz w:val="18"/>
                <w:szCs w:val="18"/>
              </w:rPr>
              <w:t>320217334000</w:t>
            </w:r>
            <w:r>
              <w:rPr>
                <w:rFonts w:hint="eastAsia"/>
                <w:b/>
                <w:color w:val="000000"/>
                <w:kern w:val="0"/>
                <w:sz w:val="18"/>
                <w:szCs w:val="18"/>
              </w:rPr>
              <w:t xml:space="preserve"> </w:t>
            </w:r>
          </w:p>
        </w:tc>
      </w:tr>
      <w:tr w14:paraId="28733B8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E5221D4">
            <w:pPr>
              <w:spacing w:line="24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5EBC639A">
            <w:pPr>
              <w:spacing w:line="240" w:lineRule="exact"/>
              <w:rPr>
                <w:color w:val="000000"/>
                <w:kern w:val="0"/>
                <w:sz w:val="18"/>
                <w:szCs w:val="18"/>
              </w:rPr>
            </w:pPr>
            <w:r>
              <w:rPr>
                <w:rFonts w:hint="eastAsia"/>
                <w:color w:val="000000"/>
                <w:kern w:val="0"/>
                <w:sz w:val="18"/>
                <w:szCs w:val="18"/>
              </w:rPr>
              <w:t>对招标代理机构与招标人、投标人串通损害国家利益、社会公共利益或者他人合法权益的处罚</w:t>
            </w:r>
          </w:p>
        </w:tc>
      </w:tr>
      <w:tr w14:paraId="534F3A3E">
        <w:tblPrEx>
          <w:tblCellMar>
            <w:top w:w="0" w:type="dxa"/>
            <w:left w:w="108" w:type="dxa"/>
            <w:bottom w:w="0" w:type="dxa"/>
            <w:right w:w="108" w:type="dxa"/>
          </w:tblCellMar>
        </w:tblPrEx>
        <w:trPr>
          <w:trHeight w:val="1725" w:hRule="atLeast"/>
        </w:trPr>
        <w:tc>
          <w:tcPr>
            <w:tcW w:w="1070" w:type="dxa"/>
            <w:tcBorders>
              <w:top w:val="nil"/>
              <w:left w:val="single" w:color="auto" w:sz="8" w:space="0"/>
              <w:bottom w:val="single" w:color="auto" w:sz="4" w:space="0"/>
              <w:right w:val="single" w:color="auto" w:sz="4" w:space="0"/>
            </w:tcBorders>
            <w:vAlign w:val="center"/>
          </w:tcPr>
          <w:p w14:paraId="237B1FD5">
            <w:pPr>
              <w:spacing w:line="24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20A05F64">
            <w:pPr>
              <w:spacing w:line="240" w:lineRule="exac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【法律】《中华人民共和国招标投标法》</w:t>
            </w:r>
            <w:r>
              <w:rPr>
                <w:color w:val="000000"/>
                <w:kern w:val="0"/>
                <w:sz w:val="18"/>
                <w:szCs w:val="18"/>
              </w:rPr>
              <w:br w:type="textWrapping"/>
            </w:r>
            <w:r>
              <w:rPr>
                <w:rFonts w:hint="eastAsia"/>
                <w:color w:val="000000"/>
                <w:kern w:val="0"/>
                <w:sz w:val="18"/>
                <w:szCs w:val="18"/>
              </w:rPr>
              <w:t>第十五条　招标代理机构应当在招标人委托的范围内办理招标事宜，并遵守本法关于招标人的规定。</w:t>
            </w:r>
            <w:r>
              <w:rPr>
                <w:color w:val="000000"/>
                <w:kern w:val="0"/>
                <w:sz w:val="18"/>
                <w:szCs w:val="18"/>
              </w:rPr>
              <w:br w:type="textWrapping"/>
            </w:r>
            <w:r>
              <w:rPr>
                <w:rFonts w:hint="eastAsia"/>
                <w:color w:val="000000"/>
                <w:kern w:val="0"/>
                <w:sz w:val="18"/>
                <w:szCs w:val="18"/>
              </w:rPr>
              <w:t>第三十二条第二款　投标人不得与招标人串通投标，损害国家利益、社会公共利益或者他人的合法权益。</w:t>
            </w:r>
            <w:r>
              <w:rPr>
                <w:color w:val="000000"/>
                <w:kern w:val="0"/>
                <w:sz w:val="18"/>
                <w:szCs w:val="18"/>
              </w:rPr>
              <w:br w:type="textWrapping"/>
            </w: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招标代理机构违反本法规定，泄露应当保密的与招标投标活动有关的情况和资料的，或者与招标人、投标入串通损害国家利益、社会公共利益或者他人合法权益的，处５万元以上２５万元以下的罚款，对单位直接负责的主管人员和其他直接责任人员处单位罚款数额百分之五以上百分之十以下的罚款；有违法所得的，并处没收违法所得；情节严重的，禁止其一年至二年内代理依法必须进行招标的项目并予以公告，直至由工商行政管理机关吊销营业执照；构成犯罪的，依法追究刑事责任。给他人造成损失的依法承担赔偿责任。前款所列行为影响中标结果的，中标无效。</w:t>
            </w:r>
            <w:r>
              <w:rPr>
                <w:color w:val="000000"/>
                <w:kern w:val="0"/>
                <w:sz w:val="18"/>
                <w:szCs w:val="18"/>
              </w:rPr>
              <w:br w:type="textWrapping"/>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【规章】《工程建设项目施工招标投标办法》（国家发展和改革委员会、工业和信息化部、财政部、住房和城乡建设部、交通运输部、铁道部、水利部、国家广播电影电视总局、中国民用航空局令第</w:t>
            </w:r>
            <w:r>
              <w:rPr>
                <w:color w:val="000000"/>
                <w:kern w:val="0"/>
                <w:sz w:val="18"/>
                <w:szCs w:val="18"/>
              </w:rPr>
              <w:t>30</w:t>
            </w:r>
            <w:r>
              <w:rPr>
                <w:rFonts w:hint="eastAsia"/>
                <w:color w:val="000000"/>
                <w:kern w:val="0"/>
                <w:sz w:val="18"/>
                <w:szCs w:val="18"/>
              </w:rPr>
              <w:t>号，已根据《关于废止和修改部分招标投标规章和规范性文件的决定》修改）</w:t>
            </w:r>
            <w:r>
              <w:rPr>
                <w:color w:val="000000"/>
                <w:kern w:val="0"/>
                <w:sz w:val="18"/>
                <w:szCs w:val="18"/>
              </w:rPr>
              <w:br w:type="textWrapping"/>
            </w: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第六十九条　招标代理机构违法泄露应当保密的与招标投标活动有关的情况和资料的，或者与招标人、投标人串通损害国家利益、社会公共利益或者他人合法权益的，由有关行政监督部门处五万元以上二十五万元以下罚款，对单位直接负责的主管人员和其他直接责任人员处单位罚款数额百分之五以上百分之十以下罚款；有违法所得的，并处没收违法所得；情节严重的，有关行政监督部门可停止其一定时期内参与相关领域的招标代理业务，资格认定部门可暂停直至取消招标代理资格；构成犯罪的，由司法部门依法追究刑事责任。给他人造成损失的，依法承担赔偿责任。</w:t>
            </w:r>
            <w:r>
              <w:rPr>
                <w:color w:val="000000"/>
                <w:kern w:val="0"/>
                <w:sz w:val="18"/>
                <w:szCs w:val="18"/>
              </w:rPr>
              <w:br w:type="textWrapping"/>
            </w:r>
            <w:r>
              <w:rPr>
                <w:rFonts w:hint="eastAsia"/>
                <w:color w:val="000000"/>
                <w:kern w:val="0"/>
                <w:sz w:val="18"/>
                <w:szCs w:val="18"/>
              </w:rPr>
              <w:t>　　前款所列行为影响中标结果，并且中标人为前款所列行为的受益人的，中标无效。</w:t>
            </w:r>
          </w:p>
        </w:tc>
      </w:tr>
      <w:tr w14:paraId="6396F8CA">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F28E1EC">
            <w:pPr>
              <w:spacing w:line="24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0EB89B12">
            <w:pPr>
              <w:spacing w:line="240" w:lineRule="exact"/>
              <w:rPr>
                <w:color w:val="000000"/>
                <w:kern w:val="0"/>
                <w:sz w:val="18"/>
                <w:szCs w:val="18"/>
              </w:rPr>
            </w:pPr>
            <w:r>
              <w:rPr>
                <w:rFonts w:hint="eastAsia"/>
                <w:color w:val="000000"/>
                <w:kern w:val="0"/>
                <w:sz w:val="18"/>
                <w:szCs w:val="18"/>
              </w:rPr>
              <w:t>罚款，没收违法所得，停止其一定时期内参与相关领域的招标代理业务，暂停直至取消招标代理资格</w:t>
            </w:r>
          </w:p>
        </w:tc>
      </w:tr>
      <w:tr w14:paraId="2A2B5BEB">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7226FDC1">
            <w:pPr>
              <w:spacing w:line="240" w:lineRule="exact"/>
              <w:jc w:val="center"/>
              <w:rPr>
                <w:color w:val="000000"/>
                <w:kern w:val="0"/>
                <w:sz w:val="18"/>
                <w:szCs w:val="18"/>
              </w:rPr>
            </w:pPr>
            <w:r>
              <w:rPr>
                <w:rFonts w:hint="eastAsia"/>
                <w:color w:val="000000"/>
                <w:kern w:val="0"/>
                <w:sz w:val="18"/>
                <w:szCs w:val="18"/>
              </w:rPr>
              <w:t>裁量基准</w:t>
            </w:r>
          </w:p>
        </w:tc>
      </w:tr>
      <w:tr w14:paraId="0253A3F0">
        <w:tblPrEx>
          <w:tblCellMar>
            <w:top w:w="0" w:type="dxa"/>
            <w:left w:w="108" w:type="dxa"/>
            <w:bottom w:w="0" w:type="dxa"/>
            <w:right w:w="108" w:type="dxa"/>
          </w:tblCellMar>
        </w:tblPrEx>
        <w:trPr>
          <w:trHeight w:val="480" w:hRule="atLeast"/>
        </w:trPr>
        <w:tc>
          <w:tcPr>
            <w:tcW w:w="1070" w:type="dxa"/>
            <w:vMerge w:val="restart"/>
            <w:tcBorders>
              <w:top w:val="nil"/>
              <w:left w:val="single" w:color="auto" w:sz="8" w:space="0"/>
              <w:right w:val="single" w:color="auto" w:sz="4" w:space="0"/>
            </w:tcBorders>
            <w:vAlign w:val="center"/>
          </w:tcPr>
          <w:p w14:paraId="1B50F914">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1F4C639">
            <w:pPr>
              <w:spacing w:line="240" w:lineRule="exact"/>
              <w:jc w:val="center"/>
              <w:rPr>
                <w:color w:val="000000"/>
                <w:kern w:val="0"/>
                <w:sz w:val="18"/>
                <w:szCs w:val="18"/>
              </w:rPr>
            </w:pPr>
            <w:r>
              <w:rPr>
                <w:rFonts w:hint="eastAsia"/>
                <w:color w:val="000000"/>
                <w:kern w:val="0"/>
                <w:sz w:val="18"/>
                <w:szCs w:val="18"/>
              </w:rPr>
              <w:t>未对中标结果造成实质性影响但未谋取非法利益的</w:t>
            </w:r>
          </w:p>
        </w:tc>
        <w:tc>
          <w:tcPr>
            <w:tcW w:w="1106" w:type="dxa"/>
            <w:vMerge w:val="restart"/>
            <w:tcBorders>
              <w:top w:val="nil"/>
              <w:left w:val="single" w:color="auto" w:sz="4" w:space="0"/>
              <w:bottom w:val="single" w:color="auto" w:sz="4" w:space="0"/>
              <w:right w:val="single" w:color="auto" w:sz="4" w:space="0"/>
            </w:tcBorders>
            <w:vAlign w:val="center"/>
          </w:tcPr>
          <w:p w14:paraId="6CE7705F">
            <w:pPr>
              <w:spacing w:line="240" w:lineRule="exact"/>
              <w:jc w:val="center"/>
              <w:rPr>
                <w:color w:val="000000"/>
                <w:kern w:val="0"/>
                <w:sz w:val="18"/>
                <w:szCs w:val="18"/>
              </w:rPr>
            </w:pPr>
            <w:r>
              <w:rPr>
                <w:rFonts w:hint="eastAsia"/>
                <w:color w:val="000000"/>
                <w:kern w:val="0"/>
                <w:sz w:val="18"/>
                <w:szCs w:val="18"/>
              </w:rPr>
              <w:t>裁量幅度</w:t>
            </w:r>
          </w:p>
        </w:tc>
        <w:tc>
          <w:tcPr>
            <w:tcW w:w="5714" w:type="dxa"/>
            <w:tcBorders>
              <w:top w:val="nil"/>
              <w:left w:val="nil"/>
              <w:bottom w:val="single" w:color="auto" w:sz="4" w:space="0"/>
              <w:right w:val="single" w:color="auto" w:sz="8" w:space="0"/>
            </w:tcBorders>
            <w:vAlign w:val="center"/>
          </w:tcPr>
          <w:p w14:paraId="7A398D30">
            <w:pPr>
              <w:spacing w:line="240" w:lineRule="exac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58A68BDA">
            <w:pPr>
              <w:spacing w:line="240" w:lineRule="exac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6.5%</w:t>
            </w:r>
            <w:r>
              <w:rPr>
                <w:rFonts w:hint="eastAsia"/>
                <w:color w:val="000000"/>
                <w:kern w:val="0"/>
                <w:sz w:val="18"/>
                <w:szCs w:val="18"/>
              </w:rPr>
              <w:t>以下罚款</w:t>
            </w:r>
          </w:p>
        </w:tc>
      </w:tr>
      <w:tr w14:paraId="1E271034">
        <w:tblPrEx>
          <w:tblCellMar>
            <w:top w:w="0" w:type="dxa"/>
            <w:left w:w="108" w:type="dxa"/>
            <w:bottom w:w="0" w:type="dxa"/>
            <w:right w:w="108" w:type="dxa"/>
          </w:tblCellMar>
        </w:tblPrEx>
        <w:trPr>
          <w:trHeight w:val="480" w:hRule="atLeast"/>
        </w:trPr>
        <w:tc>
          <w:tcPr>
            <w:tcW w:w="1070" w:type="dxa"/>
            <w:vMerge w:val="continue"/>
            <w:tcBorders>
              <w:left w:val="single" w:color="auto" w:sz="8" w:space="0"/>
              <w:right w:val="single" w:color="auto" w:sz="4" w:space="0"/>
            </w:tcBorders>
            <w:vAlign w:val="center"/>
          </w:tcPr>
          <w:p w14:paraId="47A8BF18">
            <w:pPr>
              <w:spacing w:line="24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BB01FF9">
            <w:pPr>
              <w:spacing w:line="240" w:lineRule="exact"/>
              <w:jc w:val="center"/>
              <w:rPr>
                <w:color w:val="000000"/>
                <w:kern w:val="0"/>
                <w:sz w:val="18"/>
                <w:szCs w:val="18"/>
              </w:rPr>
            </w:pPr>
            <w:r>
              <w:rPr>
                <w:rFonts w:hint="eastAsia"/>
                <w:color w:val="000000"/>
                <w:kern w:val="0"/>
                <w:sz w:val="18"/>
                <w:szCs w:val="18"/>
              </w:rPr>
              <w:t>对中标结果未造成实质性影响但谋取非法利益的</w:t>
            </w:r>
          </w:p>
        </w:tc>
        <w:tc>
          <w:tcPr>
            <w:tcW w:w="1106" w:type="dxa"/>
            <w:vMerge w:val="continue"/>
            <w:tcBorders>
              <w:top w:val="nil"/>
              <w:left w:val="single" w:color="auto" w:sz="4" w:space="0"/>
              <w:bottom w:val="single" w:color="auto" w:sz="4" w:space="0"/>
              <w:right w:val="single" w:color="auto" w:sz="4" w:space="0"/>
            </w:tcBorders>
            <w:vAlign w:val="center"/>
          </w:tcPr>
          <w:p w14:paraId="315F2BBF">
            <w:pPr>
              <w:spacing w:line="240" w:lineRule="exact"/>
              <w:jc w:val="center"/>
              <w:rPr>
                <w:color w:val="000000"/>
                <w:kern w:val="0"/>
                <w:sz w:val="18"/>
                <w:szCs w:val="18"/>
              </w:rPr>
            </w:pPr>
          </w:p>
        </w:tc>
        <w:tc>
          <w:tcPr>
            <w:tcW w:w="5714" w:type="dxa"/>
            <w:tcBorders>
              <w:top w:val="nil"/>
              <w:left w:val="nil"/>
              <w:bottom w:val="single" w:color="auto" w:sz="4" w:space="0"/>
              <w:right w:val="single" w:color="auto" w:sz="8" w:space="0"/>
            </w:tcBorders>
            <w:vAlign w:val="center"/>
          </w:tcPr>
          <w:p w14:paraId="1E2DC146">
            <w:pPr>
              <w:spacing w:line="240" w:lineRule="exact"/>
              <w:rPr>
                <w:color w:val="000000"/>
                <w:kern w:val="0"/>
                <w:sz w:val="18"/>
                <w:szCs w:val="18"/>
              </w:rPr>
            </w:pPr>
            <w:r>
              <w:rPr>
                <w:rFonts w:hint="eastAsia"/>
                <w:color w:val="000000"/>
                <w:kern w:val="0"/>
                <w:sz w:val="18"/>
                <w:szCs w:val="18"/>
              </w:rPr>
              <w:t>对单位：没收违法所得，处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0E02BBA7">
            <w:pPr>
              <w:spacing w:line="240" w:lineRule="exact"/>
              <w:rPr>
                <w:color w:val="000000"/>
                <w:kern w:val="0"/>
                <w:sz w:val="18"/>
                <w:szCs w:val="18"/>
              </w:rPr>
            </w:pPr>
            <w:r>
              <w:rPr>
                <w:rFonts w:hint="eastAsia"/>
                <w:color w:val="000000"/>
                <w:kern w:val="0"/>
                <w:sz w:val="18"/>
                <w:szCs w:val="18"/>
              </w:rPr>
              <w:t>对个人：没收违法所得，处单位罚款数额</w:t>
            </w:r>
            <w:r>
              <w:rPr>
                <w:color w:val="000000"/>
                <w:kern w:val="0"/>
                <w:sz w:val="18"/>
                <w:szCs w:val="18"/>
              </w:rPr>
              <w:t>6.5%</w:t>
            </w:r>
            <w:r>
              <w:rPr>
                <w:rFonts w:hint="eastAsia"/>
                <w:color w:val="000000"/>
                <w:kern w:val="0"/>
                <w:sz w:val="18"/>
                <w:szCs w:val="18"/>
              </w:rPr>
              <w:t>以上</w:t>
            </w:r>
            <w:r>
              <w:rPr>
                <w:color w:val="000000"/>
                <w:kern w:val="0"/>
                <w:sz w:val="18"/>
                <w:szCs w:val="18"/>
              </w:rPr>
              <w:t>7.5%</w:t>
            </w:r>
            <w:r>
              <w:rPr>
                <w:rFonts w:hint="eastAsia"/>
                <w:color w:val="000000"/>
                <w:kern w:val="0"/>
                <w:sz w:val="18"/>
                <w:szCs w:val="18"/>
              </w:rPr>
              <w:t>以下罚款</w:t>
            </w:r>
          </w:p>
        </w:tc>
      </w:tr>
      <w:tr w14:paraId="7AD130A0">
        <w:tblPrEx>
          <w:tblCellMar>
            <w:top w:w="0" w:type="dxa"/>
            <w:left w:w="108" w:type="dxa"/>
            <w:bottom w:w="0" w:type="dxa"/>
            <w:right w:w="108" w:type="dxa"/>
          </w:tblCellMar>
        </w:tblPrEx>
        <w:trPr>
          <w:trHeight w:val="480" w:hRule="atLeast"/>
        </w:trPr>
        <w:tc>
          <w:tcPr>
            <w:tcW w:w="1070" w:type="dxa"/>
            <w:vMerge w:val="continue"/>
            <w:tcBorders>
              <w:left w:val="single" w:color="auto" w:sz="8" w:space="0"/>
              <w:right w:val="single" w:color="auto" w:sz="4" w:space="0"/>
            </w:tcBorders>
            <w:vAlign w:val="center"/>
          </w:tcPr>
          <w:p w14:paraId="4FB9A293">
            <w:pPr>
              <w:spacing w:line="24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8306B3B">
            <w:pPr>
              <w:spacing w:line="240" w:lineRule="exact"/>
              <w:jc w:val="center"/>
              <w:rPr>
                <w:color w:val="000000"/>
                <w:kern w:val="0"/>
                <w:sz w:val="18"/>
                <w:szCs w:val="18"/>
              </w:rPr>
            </w:pPr>
            <w:r>
              <w:rPr>
                <w:rFonts w:hint="eastAsia"/>
                <w:color w:val="000000"/>
                <w:kern w:val="0"/>
                <w:sz w:val="18"/>
                <w:szCs w:val="18"/>
              </w:rPr>
              <w:t>对中标结果造成实质性影响但未谋取非法利益的的</w:t>
            </w:r>
          </w:p>
        </w:tc>
        <w:tc>
          <w:tcPr>
            <w:tcW w:w="1106" w:type="dxa"/>
            <w:vMerge w:val="continue"/>
            <w:tcBorders>
              <w:top w:val="nil"/>
              <w:left w:val="single" w:color="auto" w:sz="4" w:space="0"/>
              <w:bottom w:val="single" w:color="auto" w:sz="4" w:space="0"/>
              <w:right w:val="single" w:color="auto" w:sz="4" w:space="0"/>
            </w:tcBorders>
            <w:vAlign w:val="center"/>
          </w:tcPr>
          <w:p w14:paraId="4DC11E50">
            <w:pPr>
              <w:spacing w:line="240" w:lineRule="exact"/>
              <w:jc w:val="center"/>
              <w:rPr>
                <w:color w:val="000000"/>
                <w:kern w:val="0"/>
                <w:sz w:val="18"/>
                <w:szCs w:val="18"/>
              </w:rPr>
            </w:pPr>
          </w:p>
        </w:tc>
        <w:tc>
          <w:tcPr>
            <w:tcW w:w="5714" w:type="dxa"/>
            <w:tcBorders>
              <w:top w:val="nil"/>
              <w:left w:val="nil"/>
              <w:bottom w:val="single" w:color="auto" w:sz="4" w:space="0"/>
              <w:right w:val="single" w:color="auto" w:sz="8" w:space="0"/>
            </w:tcBorders>
            <w:vAlign w:val="center"/>
          </w:tcPr>
          <w:p w14:paraId="672559BF">
            <w:pPr>
              <w:spacing w:line="240" w:lineRule="exac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万元以下罚款，禁止其一年内代理依法必须进行招标的项目</w:t>
            </w:r>
          </w:p>
          <w:p w14:paraId="6CA51BDA">
            <w:pPr>
              <w:spacing w:line="240" w:lineRule="exact"/>
              <w:rPr>
                <w:color w:val="000000"/>
                <w:kern w:val="0"/>
                <w:sz w:val="18"/>
                <w:szCs w:val="18"/>
              </w:rPr>
            </w:pPr>
            <w:r>
              <w:rPr>
                <w:rFonts w:hint="eastAsia"/>
                <w:color w:val="000000"/>
                <w:kern w:val="0"/>
                <w:sz w:val="18"/>
                <w:szCs w:val="18"/>
              </w:rPr>
              <w:t>对个人：单位罚款数额</w:t>
            </w:r>
            <w:r>
              <w:rPr>
                <w:color w:val="000000"/>
                <w:kern w:val="0"/>
                <w:sz w:val="18"/>
                <w:szCs w:val="18"/>
              </w:rPr>
              <w:t>7.5%</w:t>
            </w:r>
            <w:r>
              <w:rPr>
                <w:rFonts w:hint="eastAsia"/>
                <w:color w:val="000000"/>
                <w:kern w:val="0"/>
                <w:sz w:val="18"/>
                <w:szCs w:val="18"/>
              </w:rPr>
              <w:t>以上</w:t>
            </w:r>
            <w:r>
              <w:rPr>
                <w:color w:val="000000"/>
                <w:kern w:val="0"/>
                <w:sz w:val="18"/>
                <w:szCs w:val="18"/>
              </w:rPr>
              <w:t>8.5%</w:t>
            </w:r>
            <w:r>
              <w:rPr>
                <w:rFonts w:hint="eastAsia"/>
                <w:color w:val="000000"/>
                <w:kern w:val="0"/>
                <w:sz w:val="18"/>
                <w:szCs w:val="18"/>
              </w:rPr>
              <w:t>以下罚款</w:t>
            </w:r>
          </w:p>
        </w:tc>
      </w:tr>
      <w:tr w14:paraId="7ABF1A7E">
        <w:tblPrEx>
          <w:tblCellMar>
            <w:top w:w="0" w:type="dxa"/>
            <w:left w:w="108" w:type="dxa"/>
            <w:bottom w:w="0" w:type="dxa"/>
            <w:right w:w="108" w:type="dxa"/>
          </w:tblCellMar>
        </w:tblPrEx>
        <w:trPr>
          <w:trHeight w:val="132" w:hRule="atLeast"/>
        </w:trPr>
        <w:tc>
          <w:tcPr>
            <w:tcW w:w="1070" w:type="dxa"/>
            <w:vMerge w:val="continue"/>
            <w:tcBorders>
              <w:left w:val="single" w:color="auto" w:sz="8" w:space="0"/>
              <w:bottom w:val="single" w:color="auto" w:sz="4" w:space="0"/>
              <w:right w:val="single" w:color="auto" w:sz="4" w:space="0"/>
            </w:tcBorders>
            <w:vAlign w:val="center"/>
          </w:tcPr>
          <w:p w14:paraId="189FAAA9">
            <w:pPr>
              <w:spacing w:line="24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4C7AD75">
            <w:pPr>
              <w:spacing w:line="240" w:lineRule="exact"/>
              <w:jc w:val="center"/>
              <w:rPr>
                <w:color w:val="000000"/>
                <w:kern w:val="0"/>
                <w:sz w:val="18"/>
                <w:szCs w:val="18"/>
              </w:rPr>
            </w:pPr>
            <w:r>
              <w:rPr>
                <w:rFonts w:hint="eastAsia"/>
                <w:color w:val="000000"/>
                <w:kern w:val="0"/>
                <w:sz w:val="18"/>
                <w:szCs w:val="18"/>
              </w:rPr>
              <w:t>对中标结果造成实质性影响且谋取非法利益的</w:t>
            </w:r>
          </w:p>
        </w:tc>
        <w:tc>
          <w:tcPr>
            <w:tcW w:w="1106" w:type="dxa"/>
            <w:tcBorders>
              <w:top w:val="nil"/>
              <w:left w:val="single" w:color="auto" w:sz="4" w:space="0"/>
              <w:bottom w:val="single" w:color="auto" w:sz="4" w:space="0"/>
              <w:right w:val="single" w:color="auto" w:sz="4" w:space="0"/>
            </w:tcBorders>
            <w:vAlign w:val="center"/>
          </w:tcPr>
          <w:p w14:paraId="59B253C7">
            <w:pPr>
              <w:spacing w:line="240" w:lineRule="exact"/>
              <w:jc w:val="center"/>
              <w:rPr>
                <w:color w:val="000000"/>
                <w:kern w:val="0"/>
                <w:sz w:val="18"/>
                <w:szCs w:val="18"/>
              </w:rPr>
            </w:pPr>
          </w:p>
        </w:tc>
        <w:tc>
          <w:tcPr>
            <w:tcW w:w="5714" w:type="dxa"/>
            <w:tcBorders>
              <w:top w:val="nil"/>
              <w:left w:val="nil"/>
              <w:bottom w:val="single" w:color="auto" w:sz="4" w:space="0"/>
              <w:right w:val="single" w:color="auto" w:sz="8" w:space="0"/>
            </w:tcBorders>
            <w:vAlign w:val="center"/>
          </w:tcPr>
          <w:p w14:paraId="18EC2DDC">
            <w:pPr>
              <w:spacing w:line="240" w:lineRule="exact"/>
              <w:rPr>
                <w:color w:val="000000"/>
                <w:kern w:val="0"/>
                <w:sz w:val="18"/>
                <w:szCs w:val="18"/>
              </w:rPr>
            </w:pPr>
            <w:r>
              <w:rPr>
                <w:rFonts w:hint="eastAsia"/>
                <w:color w:val="000000"/>
                <w:kern w:val="0"/>
                <w:sz w:val="18"/>
                <w:szCs w:val="18"/>
              </w:rPr>
              <w:t>对单位：没收违法所得，处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万元以下罚款，禁止其二年内代理依法必须进行招标的项目</w:t>
            </w:r>
          </w:p>
          <w:p w14:paraId="52A39642">
            <w:pPr>
              <w:spacing w:line="240" w:lineRule="exact"/>
              <w:rPr>
                <w:color w:val="000000"/>
                <w:kern w:val="0"/>
                <w:sz w:val="18"/>
                <w:szCs w:val="18"/>
              </w:rPr>
            </w:pPr>
            <w:r>
              <w:rPr>
                <w:rFonts w:hint="eastAsia"/>
                <w:color w:val="000000"/>
                <w:kern w:val="0"/>
                <w:sz w:val="18"/>
                <w:szCs w:val="18"/>
              </w:rPr>
              <w:t>对个人：没收违法所得，处单位罚款数额</w:t>
            </w:r>
            <w:r>
              <w:rPr>
                <w:color w:val="000000"/>
                <w:kern w:val="0"/>
                <w:sz w:val="18"/>
                <w:szCs w:val="18"/>
              </w:rPr>
              <w:t>8.5%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39460647"/>
    <w:p w14:paraId="5F316EB8"/>
    <w:p w14:paraId="036B4BE7"/>
    <w:p w14:paraId="13968312"/>
    <w:tbl>
      <w:tblPr>
        <w:tblStyle w:val="15"/>
        <w:tblW w:w="14476" w:type="dxa"/>
        <w:tblInd w:w="88" w:type="dxa"/>
        <w:tblLayout w:type="fixed"/>
        <w:tblCellMar>
          <w:top w:w="0" w:type="dxa"/>
          <w:left w:w="108" w:type="dxa"/>
          <w:bottom w:w="0" w:type="dxa"/>
          <w:right w:w="108" w:type="dxa"/>
        </w:tblCellMar>
      </w:tblPr>
      <w:tblGrid>
        <w:gridCol w:w="1296"/>
        <w:gridCol w:w="5884"/>
        <w:gridCol w:w="1076"/>
        <w:gridCol w:w="5760"/>
        <w:gridCol w:w="460"/>
      </w:tblGrid>
      <w:tr w14:paraId="59B31FDE">
        <w:tblPrEx>
          <w:tblCellMar>
            <w:top w:w="0" w:type="dxa"/>
            <w:left w:w="108" w:type="dxa"/>
            <w:bottom w:w="0" w:type="dxa"/>
            <w:right w:w="108" w:type="dxa"/>
          </w:tblCellMar>
        </w:tblPrEx>
        <w:trPr>
          <w:gridAfter w:val="1"/>
          <w:wAfter w:w="460" w:type="dxa"/>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5BD1EFF1">
            <w:pP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tcPr>
          <w:p w14:paraId="59971225">
            <w:pPr>
              <w:rPr>
                <w:b/>
                <w:color w:val="000000"/>
              </w:rPr>
            </w:pPr>
            <w:r>
              <w:rPr>
                <w:b/>
                <w:color w:val="000000"/>
              </w:rPr>
              <w:t>320217335000</w:t>
            </w:r>
            <w:r>
              <w:rPr>
                <w:rFonts w:hint="eastAsia"/>
                <w:b/>
                <w:color w:val="000000"/>
              </w:rPr>
              <w:t xml:space="preserve"> </w:t>
            </w:r>
          </w:p>
        </w:tc>
      </w:tr>
      <w:tr w14:paraId="4FF8DB0A">
        <w:tblPrEx>
          <w:tblCellMar>
            <w:top w:w="0" w:type="dxa"/>
            <w:left w:w="108" w:type="dxa"/>
            <w:bottom w:w="0" w:type="dxa"/>
            <w:right w:w="108" w:type="dxa"/>
          </w:tblCellMar>
        </w:tblPrEx>
        <w:trPr>
          <w:gridAfter w:val="1"/>
          <w:wAfter w:w="460" w:type="dxa"/>
          <w:trHeight w:val="285" w:hRule="atLeast"/>
        </w:trPr>
        <w:tc>
          <w:tcPr>
            <w:tcW w:w="1296" w:type="dxa"/>
            <w:tcBorders>
              <w:top w:val="nil"/>
              <w:left w:val="single" w:color="auto" w:sz="8" w:space="0"/>
              <w:bottom w:val="single" w:color="auto" w:sz="4" w:space="0"/>
              <w:right w:val="single" w:color="auto" w:sz="4" w:space="0"/>
            </w:tcBorders>
            <w:vAlign w:val="center"/>
          </w:tcPr>
          <w:p w14:paraId="1111BDFB">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tcPr>
          <w:p w14:paraId="43471A75">
            <w:pPr>
              <w:rPr>
                <w:color w:val="000000"/>
              </w:rPr>
            </w:pPr>
            <w:r>
              <w:rPr>
                <w:rFonts w:hint="eastAsia"/>
                <w:color w:val="000000"/>
              </w:rPr>
              <w:t>对建筑起重机械使用单位未制定建筑起重机械生产安全事故应急救援预案的处罚</w:t>
            </w:r>
          </w:p>
        </w:tc>
      </w:tr>
      <w:tr w14:paraId="6DB29937">
        <w:tblPrEx>
          <w:tblCellMar>
            <w:top w:w="0" w:type="dxa"/>
            <w:left w:w="108" w:type="dxa"/>
            <w:bottom w:w="0" w:type="dxa"/>
            <w:right w:w="108" w:type="dxa"/>
          </w:tblCellMar>
        </w:tblPrEx>
        <w:trPr>
          <w:trHeight w:val="1560" w:hRule="atLeast"/>
        </w:trPr>
        <w:tc>
          <w:tcPr>
            <w:tcW w:w="1296" w:type="dxa"/>
            <w:tcBorders>
              <w:top w:val="nil"/>
              <w:left w:val="single" w:color="auto" w:sz="8" w:space="0"/>
              <w:bottom w:val="single" w:color="auto" w:sz="4" w:space="0"/>
              <w:right w:val="single" w:color="auto" w:sz="4" w:space="0"/>
            </w:tcBorders>
            <w:vAlign w:val="center"/>
          </w:tcPr>
          <w:p w14:paraId="09A2EC94">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tcPr>
          <w:p w14:paraId="2481DF82">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第十八条　使用单位应当履行下列安全职责：</w:t>
            </w:r>
            <w:r>
              <w:rPr>
                <w:color w:val="000000"/>
              </w:rPr>
              <w:br w:type="textWrapping"/>
            </w:r>
            <w:r>
              <w:rPr>
                <w:rFonts w:hint="eastAsia"/>
                <w:color w:val="000000"/>
              </w:rPr>
              <w:t>（二）制定建筑起重机械生产安全事故应急救援预案。</w:t>
            </w:r>
            <w:r>
              <w:rPr>
                <w:color w:val="000000"/>
              </w:rPr>
              <w:br w:type="textWrapping"/>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ype="textWrapping"/>
            </w:r>
            <w:r>
              <w:rPr>
                <w:rFonts w:hint="eastAsia"/>
                <w:color w:val="000000"/>
              </w:rPr>
              <w:t>（一）未履行第十八条第（一）、（二）、（四）、（六）项安全职责的。</w:t>
            </w:r>
          </w:p>
        </w:tc>
        <w:tc>
          <w:tcPr>
            <w:tcW w:w="460" w:type="dxa"/>
          </w:tcPr>
          <w:p w14:paraId="093257E2">
            <w:pPr>
              <w:rPr>
                <w:color w:val="000000"/>
              </w:rPr>
            </w:pPr>
            <w:r>
              <w:rPr>
                <w:rFonts w:hint="eastAsia"/>
                <w:color w:val="000000"/>
              </w:rPr>
              <w:t>　</w:t>
            </w:r>
          </w:p>
        </w:tc>
      </w:tr>
      <w:tr w14:paraId="235FA141">
        <w:tblPrEx>
          <w:tblCellMar>
            <w:top w:w="0" w:type="dxa"/>
            <w:left w:w="108" w:type="dxa"/>
            <w:bottom w:w="0" w:type="dxa"/>
            <w:right w:w="108" w:type="dxa"/>
          </w:tblCellMar>
        </w:tblPrEx>
        <w:trPr>
          <w:gridAfter w:val="1"/>
          <w:wAfter w:w="460" w:type="dxa"/>
          <w:trHeight w:val="285" w:hRule="atLeast"/>
        </w:trPr>
        <w:tc>
          <w:tcPr>
            <w:tcW w:w="1296" w:type="dxa"/>
            <w:tcBorders>
              <w:top w:val="nil"/>
              <w:left w:val="single" w:color="auto" w:sz="8" w:space="0"/>
              <w:bottom w:val="single" w:color="auto" w:sz="4" w:space="0"/>
              <w:right w:val="single" w:color="auto" w:sz="4" w:space="0"/>
            </w:tcBorders>
            <w:vAlign w:val="center"/>
          </w:tcPr>
          <w:p w14:paraId="70FE3E68">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2689381F">
            <w:pPr>
              <w:rPr>
                <w:color w:val="000000"/>
              </w:rPr>
            </w:pPr>
            <w:r>
              <w:rPr>
                <w:rFonts w:hint="eastAsia"/>
                <w:color w:val="000000"/>
              </w:rPr>
              <w:t>警告，罚款</w:t>
            </w:r>
          </w:p>
        </w:tc>
      </w:tr>
      <w:tr w14:paraId="5B7FC45E">
        <w:tblPrEx>
          <w:tblCellMar>
            <w:top w:w="0" w:type="dxa"/>
            <w:left w:w="108" w:type="dxa"/>
            <w:bottom w:w="0" w:type="dxa"/>
            <w:right w:w="108" w:type="dxa"/>
          </w:tblCellMar>
        </w:tblPrEx>
        <w:trPr>
          <w:gridAfter w:val="1"/>
          <w:wAfter w:w="460" w:type="dxa"/>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41B13711">
            <w:pPr>
              <w:jc w:val="center"/>
              <w:rPr>
                <w:color w:val="000000"/>
              </w:rPr>
            </w:pPr>
            <w:r>
              <w:rPr>
                <w:rFonts w:hint="eastAsia"/>
                <w:color w:val="000000"/>
              </w:rPr>
              <w:t>裁量基准</w:t>
            </w:r>
          </w:p>
        </w:tc>
      </w:tr>
      <w:tr w14:paraId="60EB2756">
        <w:tblPrEx>
          <w:tblCellMar>
            <w:top w:w="0" w:type="dxa"/>
            <w:left w:w="108" w:type="dxa"/>
            <w:bottom w:w="0" w:type="dxa"/>
            <w:right w:w="108" w:type="dxa"/>
          </w:tblCellMar>
        </w:tblPrEx>
        <w:trPr>
          <w:gridAfter w:val="1"/>
          <w:wAfter w:w="460" w:type="dxa"/>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1A51224F">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34DC36F2">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36ACE14D">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34EA14AD">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60034477">
        <w:tblPrEx>
          <w:tblCellMar>
            <w:top w:w="0" w:type="dxa"/>
            <w:left w:w="108" w:type="dxa"/>
            <w:bottom w:w="0" w:type="dxa"/>
            <w:right w:w="108" w:type="dxa"/>
          </w:tblCellMar>
        </w:tblPrEx>
        <w:trPr>
          <w:gridAfter w:val="1"/>
          <w:wAfter w:w="460" w:type="dxa"/>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6F9F011A">
            <w:pPr>
              <w:rPr>
                <w:color w:val="000000"/>
              </w:rPr>
            </w:pPr>
          </w:p>
        </w:tc>
        <w:tc>
          <w:tcPr>
            <w:tcW w:w="5884" w:type="dxa"/>
            <w:tcBorders>
              <w:top w:val="single" w:color="auto" w:sz="4" w:space="0"/>
              <w:left w:val="nil"/>
              <w:bottom w:val="single" w:color="auto" w:sz="4" w:space="0"/>
              <w:right w:val="single" w:color="auto" w:sz="4" w:space="0"/>
            </w:tcBorders>
            <w:vAlign w:val="center"/>
          </w:tcPr>
          <w:p w14:paraId="29D042D1">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5D03778F">
            <w:pPr>
              <w:rPr>
                <w:color w:val="000000"/>
              </w:rPr>
            </w:pPr>
          </w:p>
        </w:tc>
        <w:tc>
          <w:tcPr>
            <w:tcW w:w="5760" w:type="dxa"/>
            <w:tcBorders>
              <w:top w:val="nil"/>
              <w:left w:val="nil"/>
              <w:bottom w:val="single" w:color="auto" w:sz="4" w:space="0"/>
              <w:right w:val="single" w:color="auto" w:sz="8" w:space="0"/>
            </w:tcBorders>
            <w:vAlign w:val="center"/>
          </w:tcPr>
          <w:p w14:paraId="0FD0EFFB">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04309AD9">
        <w:tblPrEx>
          <w:tblCellMar>
            <w:top w:w="0" w:type="dxa"/>
            <w:left w:w="108" w:type="dxa"/>
            <w:bottom w:w="0" w:type="dxa"/>
            <w:right w:w="108" w:type="dxa"/>
          </w:tblCellMar>
        </w:tblPrEx>
        <w:trPr>
          <w:gridAfter w:val="1"/>
          <w:wAfter w:w="460" w:type="dxa"/>
          <w:trHeight w:val="285" w:hRule="atLeast"/>
        </w:trPr>
        <w:tc>
          <w:tcPr>
            <w:tcW w:w="1296" w:type="dxa"/>
            <w:vMerge w:val="continue"/>
            <w:tcBorders>
              <w:top w:val="nil"/>
              <w:left w:val="single" w:color="auto" w:sz="8" w:space="0"/>
              <w:bottom w:val="nil"/>
              <w:right w:val="single" w:color="auto" w:sz="4" w:space="0"/>
            </w:tcBorders>
            <w:vAlign w:val="center"/>
          </w:tcPr>
          <w:p w14:paraId="36A82CC4">
            <w:pPr>
              <w:rPr>
                <w:color w:val="000000"/>
              </w:rPr>
            </w:pPr>
          </w:p>
        </w:tc>
        <w:tc>
          <w:tcPr>
            <w:tcW w:w="5884" w:type="dxa"/>
            <w:tcBorders>
              <w:top w:val="single" w:color="auto" w:sz="4" w:space="0"/>
              <w:left w:val="nil"/>
              <w:bottom w:val="single" w:color="auto" w:sz="4" w:space="0"/>
              <w:right w:val="single" w:color="auto" w:sz="4" w:space="0"/>
            </w:tcBorders>
            <w:vAlign w:val="center"/>
          </w:tcPr>
          <w:p w14:paraId="57780EF2">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nil"/>
              <w:right w:val="single" w:color="auto" w:sz="4" w:space="0"/>
            </w:tcBorders>
            <w:vAlign w:val="center"/>
          </w:tcPr>
          <w:p w14:paraId="524027E5">
            <w:pPr>
              <w:rPr>
                <w:color w:val="000000"/>
              </w:rPr>
            </w:pPr>
          </w:p>
        </w:tc>
        <w:tc>
          <w:tcPr>
            <w:tcW w:w="5760" w:type="dxa"/>
            <w:tcBorders>
              <w:top w:val="single" w:color="auto" w:sz="4" w:space="0"/>
              <w:left w:val="nil"/>
              <w:bottom w:val="single" w:color="auto" w:sz="4" w:space="0"/>
              <w:right w:val="single" w:color="auto" w:sz="4" w:space="0"/>
            </w:tcBorders>
            <w:vAlign w:val="center"/>
          </w:tcPr>
          <w:p w14:paraId="1D8ED731">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42355E8E">
        <w:tblPrEx>
          <w:tblCellMar>
            <w:top w:w="0" w:type="dxa"/>
            <w:left w:w="108" w:type="dxa"/>
            <w:bottom w:w="0" w:type="dxa"/>
            <w:right w:w="108" w:type="dxa"/>
          </w:tblCellMar>
        </w:tblPrEx>
        <w:trPr>
          <w:gridAfter w:val="1"/>
          <w:wAfter w:w="460" w:type="dxa"/>
          <w:trHeight w:val="285" w:hRule="atLeast"/>
        </w:trPr>
        <w:tc>
          <w:tcPr>
            <w:tcW w:w="1296" w:type="dxa"/>
            <w:tcBorders>
              <w:top w:val="nil"/>
              <w:left w:val="single" w:color="auto" w:sz="8" w:space="0"/>
              <w:bottom w:val="single" w:color="auto" w:sz="4" w:space="0"/>
              <w:right w:val="single" w:color="auto" w:sz="4" w:space="0"/>
            </w:tcBorders>
            <w:vAlign w:val="center"/>
          </w:tcPr>
          <w:p w14:paraId="70052D50">
            <w:pPr>
              <w:rPr>
                <w:color w:val="000000"/>
              </w:rPr>
            </w:pPr>
          </w:p>
        </w:tc>
        <w:tc>
          <w:tcPr>
            <w:tcW w:w="5884" w:type="dxa"/>
            <w:tcBorders>
              <w:top w:val="single" w:color="auto" w:sz="4" w:space="0"/>
              <w:left w:val="nil"/>
              <w:bottom w:val="single" w:color="auto" w:sz="4" w:space="0"/>
              <w:right w:val="single" w:color="auto" w:sz="4" w:space="0"/>
            </w:tcBorders>
            <w:vAlign w:val="center"/>
          </w:tcPr>
          <w:p w14:paraId="74C29A14">
            <w:pPr>
              <w:rPr>
                <w:color w:val="000000"/>
              </w:rPr>
            </w:pPr>
            <w:r>
              <w:rPr>
                <w:rFonts w:hint="eastAsia"/>
                <w:color w:val="000000"/>
              </w:rPr>
              <w:t>未按要求改正的，造成安全事故的</w:t>
            </w:r>
          </w:p>
        </w:tc>
        <w:tc>
          <w:tcPr>
            <w:tcW w:w="1076" w:type="dxa"/>
            <w:tcBorders>
              <w:top w:val="nil"/>
              <w:left w:val="single" w:color="auto" w:sz="4" w:space="0"/>
              <w:bottom w:val="single" w:color="auto" w:sz="4" w:space="0"/>
              <w:right w:val="single" w:color="auto" w:sz="4" w:space="0"/>
            </w:tcBorders>
            <w:vAlign w:val="center"/>
          </w:tcPr>
          <w:p w14:paraId="1AF8DB20">
            <w:pPr>
              <w:rPr>
                <w:color w:val="000000"/>
              </w:rPr>
            </w:pPr>
          </w:p>
        </w:tc>
        <w:tc>
          <w:tcPr>
            <w:tcW w:w="5760" w:type="dxa"/>
            <w:tcBorders>
              <w:top w:val="single" w:color="auto" w:sz="4" w:space="0"/>
              <w:left w:val="nil"/>
              <w:bottom w:val="single" w:color="auto" w:sz="4" w:space="0"/>
              <w:right w:val="single" w:color="auto" w:sz="4" w:space="0"/>
            </w:tcBorders>
            <w:vAlign w:val="center"/>
          </w:tcPr>
          <w:p w14:paraId="1836DD33">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349A8369"/>
    <w:p w14:paraId="794C24A7"/>
    <w:p w14:paraId="40919B9A"/>
    <w:p w14:paraId="11C17C31"/>
    <w:tbl>
      <w:tblPr>
        <w:tblStyle w:val="15"/>
        <w:tblW w:w="14278" w:type="dxa"/>
        <w:tblInd w:w="88" w:type="dxa"/>
        <w:tblLayout w:type="fixed"/>
        <w:tblCellMar>
          <w:top w:w="0" w:type="dxa"/>
          <w:left w:w="108" w:type="dxa"/>
          <w:bottom w:w="0" w:type="dxa"/>
          <w:right w:w="108" w:type="dxa"/>
        </w:tblCellMar>
      </w:tblPr>
      <w:tblGrid>
        <w:gridCol w:w="980"/>
        <w:gridCol w:w="16"/>
        <w:gridCol w:w="6124"/>
        <w:gridCol w:w="1000"/>
        <w:gridCol w:w="6158"/>
      </w:tblGrid>
      <w:tr w14:paraId="3497265A">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13E4412F">
            <w:pPr>
              <w:spacing w:line="320" w:lineRule="exact"/>
              <w:jc w:val="center"/>
              <w:rPr>
                <w:color w:val="000000"/>
                <w:kern w:val="0"/>
                <w:sz w:val="18"/>
                <w:szCs w:val="18"/>
              </w:rPr>
            </w:pPr>
            <w:r>
              <w:rPr>
                <w:rFonts w:hint="eastAsia"/>
                <w:color w:val="000000"/>
                <w:kern w:val="0"/>
                <w:sz w:val="18"/>
                <w:szCs w:val="18"/>
              </w:rPr>
              <w:t>编号</w:t>
            </w:r>
          </w:p>
        </w:tc>
        <w:tc>
          <w:tcPr>
            <w:tcW w:w="13282" w:type="dxa"/>
            <w:gridSpan w:val="3"/>
            <w:tcBorders>
              <w:top w:val="single" w:color="auto" w:sz="8" w:space="0"/>
              <w:left w:val="nil"/>
              <w:bottom w:val="single" w:color="auto" w:sz="4" w:space="0"/>
              <w:right w:val="single" w:color="000000" w:sz="8" w:space="0"/>
            </w:tcBorders>
            <w:vAlign w:val="center"/>
          </w:tcPr>
          <w:p w14:paraId="30C92935">
            <w:pPr>
              <w:spacing w:line="320" w:lineRule="exact"/>
              <w:jc w:val="left"/>
              <w:rPr>
                <w:rFonts w:eastAsia="仿宋_GB2312"/>
                <w:b/>
                <w:bCs/>
                <w:color w:val="000000"/>
                <w:kern w:val="0"/>
                <w:sz w:val="18"/>
                <w:szCs w:val="18"/>
              </w:rPr>
            </w:pPr>
            <w:r>
              <w:rPr>
                <w:rFonts w:eastAsia="仿宋_GB2312"/>
                <w:b/>
                <w:bCs/>
                <w:color w:val="000000"/>
                <w:kern w:val="0"/>
                <w:sz w:val="18"/>
                <w:szCs w:val="18"/>
              </w:rPr>
              <w:t>320217336000</w:t>
            </w:r>
          </w:p>
        </w:tc>
      </w:tr>
      <w:tr w14:paraId="79C65DA4">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32F60D55">
            <w:pPr>
              <w:spacing w:line="320" w:lineRule="exact"/>
              <w:jc w:val="center"/>
              <w:rPr>
                <w:color w:val="000000"/>
                <w:kern w:val="0"/>
                <w:sz w:val="18"/>
                <w:szCs w:val="18"/>
              </w:rPr>
            </w:pPr>
            <w:r>
              <w:rPr>
                <w:rFonts w:hint="eastAsia"/>
                <w:color w:val="000000"/>
                <w:kern w:val="0"/>
                <w:sz w:val="18"/>
                <w:szCs w:val="18"/>
              </w:rPr>
              <w:t>权力名称</w:t>
            </w:r>
          </w:p>
        </w:tc>
        <w:tc>
          <w:tcPr>
            <w:tcW w:w="13282" w:type="dxa"/>
            <w:gridSpan w:val="3"/>
            <w:tcBorders>
              <w:top w:val="single" w:color="auto" w:sz="4" w:space="0"/>
              <w:left w:val="nil"/>
              <w:bottom w:val="single" w:color="auto" w:sz="4" w:space="0"/>
              <w:right w:val="single" w:color="000000" w:sz="8" w:space="0"/>
            </w:tcBorders>
            <w:vAlign w:val="center"/>
          </w:tcPr>
          <w:p w14:paraId="6BEE9B7F">
            <w:pPr>
              <w:spacing w:line="320" w:lineRule="exact"/>
              <w:jc w:val="left"/>
              <w:rPr>
                <w:color w:val="000000"/>
                <w:kern w:val="0"/>
                <w:sz w:val="18"/>
                <w:szCs w:val="18"/>
              </w:rPr>
            </w:pPr>
            <w:r>
              <w:rPr>
                <w:rFonts w:hint="eastAsia"/>
                <w:color w:val="000000"/>
                <w:kern w:val="0"/>
                <w:sz w:val="18"/>
                <w:szCs w:val="18"/>
              </w:rPr>
              <w:t>对在燃气设施保护范围内进行爆破、动用明火等作业以及擅自钻探、开挖、取土的处罚</w:t>
            </w:r>
          </w:p>
        </w:tc>
      </w:tr>
      <w:tr w14:paraId="4E39C482">
        <w:tblPrEx>
          <w:tblCellMar>
            <w:top w:w="0" w:type="dxa"/>
            <w:left w:w="108" w:type="dxa"/>
            <w:bottom w:w="0" w:type="dxa"/>
            <w:right w:w="108" w:type="dxa"/>
          </w:tblCellMar>
        </w:tblPrEx>
        <w:trPr>
          <w:trHeight w:val="1545" w:hRule="atLeast"/>
        </w:trPr>
        <w:tc>
          <w:tcPr>
            <w:tcW w:w="996" w:type="dxa"/>
            <w:gridSpan w:val="2"/>
            <w:tcBorders>
              <w:top w:val="nil"/>
              <w:left w:val="single" w:color="auto" w:sz="8" w:space="0"/>
              <w:bottom w:val="single" w:color="auto" w:sz="4" w:space="0"/>
              <w:right w:val="single" w:color="auto" w:sz="4" w:space="0"/>
            </w:tcBorders>
            <w:vAlign w:val="center"/>
          </w:tcPr>
          <w:p w14:paraId="6E83C411">
            <w:pPr>
              <w:spacing w:line="320" w:lineRule="exact"/>
              <w:jc w:val="center"/>
              <w:rPr>
                <w:color w:val="000000"/>
                <w:kern w:val="0"/>
                <w:sz w:val="18"/>
                <w:szCs w:val="18"/>
              </w:rPr>
            </w:pPr>
            <w:r>
              <w:rPr>
                <w:rFonts w:hint="eastAsia"/>
                <w:color w:val="000000"/>
                <w:kern w:val="0"/>
                <w:sz w:val="18"/>
                <w:szCs w:val="18"/>
              </w:rPr>
              <w:t>法律依据</w:t>
            </w:r>
          </w:p>
        </w:tc>
        <w:tc>
          <w:tcPr>
            <w:tcW w:w="13282" w:type="dxa"/>
            <w:gridSpan w:val="3"/>
            <w:tcBorders>
              <w:top w:val="single" w:color="auto" w:sz="4" w:space="0"/>
              <w:left w:val="nil"/>
              <w:bottom w:val="single" w:color="auto" w:sz="4" w:space="0"/>
              <w:right w:val="single" w:color="000000" w:sz="8" w:space="0"/>
            </w:tcBorders>
            <w:vAlign w:val="center"/>
          </w:tcPr>
          <w:p w14:paraId="24F9367A">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2C237DEE">
            <w:pPr>
              <w:spacing w:line="320" w:lineRule="exact"/>
              <w:jc w:val="left"/>
              <w:rPr>
                <w:color w:val="000000"/>
                <w:kern w:val="0"/>
                <w:sz w:val="18"/>
                <w:szCs w:val="18"/>
              </w:rPr>
            </w:pPr>
            <w:r>
              <w:rPr>
                <w:rFonts w:hint="eastAsia"/>
                <w:color w:val="000000"/>
                <w:kern w:val="0"/>
                <w:sz w:val="18"/>
                <w:szCs w:val="18"/>
              </w:rPr>
              <w:t>第三十三条第二款</w:t>
            </w:r>
            <w:r>
              <w:rPr>
                <w:color w:val="000000"/>
                <w:kern w:val="0"/>
                <w:sz w:val="18"/>
                <w:szCs w:val="18"/>
              </w:rPr>
              <w:t xml:space="preserve">  </w:t>
            </w:r>
            <w:r>
              <w:rPr>
                <w:rFonts w:hint="eastAsia"/>
                <w:color w:val="000000"/>
                <w:kern w:val="0"/>
                <w:sz w:val="18"/>
                <w:szCs w:val="18"/>
              </w:rPr>
              <w:t>在燃气设施保护范围内，禁止从事下列危及燃气设施安全的活动：</w:t>
            </w:r>
            <w:r>
              <w:rPr>
                <w:color w:val="000000"/>
                <w:kern w:val="0"/>
                <w:sz w:val="18"/>
                <w:szCs w:val="18"/>
              </w:rPr>
              <w:t xml:space="preserve"> </w:t>
            </w:r>
          </w:p>
          <w:p w14:paraId="29478C5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（二）进行爆破、取土等作业或者动用明火。</w:t>
            </w:r>
          </w:p>
          <w:p w14:paraId="2B17510D">
            <w:pPr>
              <w:spacing w:line="320" w:lineRule="exact"/>
              <w:jc w:val="left"/>
              <w:rPr>
                <w:color w:val="000000"/>
                <w:kern w:val="0"/>
                <w:sz w:val="18"/>
                <w:szCs w:val="18"/>
              </w:rPr>
            </w:pP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违反本条例规定，在燃气设施保护范围内从事下列活动之一的，由燃气管理部门责令停止违法行为，限期恢复原状或者采取其他补救措施，对单位处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万元以下罚款；造成损失的，依法承担赔偿责任；构成犯罪的，依法追究刑事责任：</w:t>
            </w:r>
            <w:r>
              <w:rPr>
                <w:color w:val="000000"/>
                <w:kern w:val="0"/>
                <w:sz w:val="18"/>
                <w:szCs w:val="18"/>
              </w:rPr>
              <w:t xml:space="preserve"> </w:t>
            </w:r>
          </w:p>
          <w:p w14:paraId="54E8BFB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（一）进行爆破、取土等作业或者动用明火的。</w:t>
            </w:r>
          </w:p>
          <w:p w14:paraId="792E18CA">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日通过，江苏省人大常委会公告第</w:t>
            </w:r>
            <w:r>
              <w:rPr>
                <w:color w:val="000000"/>
                <w:kern w:val="0"/>
                <w:sz w:val="18"/>
                <w:szCs w:val="18"/>
              </w:rPr>
              <w:t xml:space="preserve"> 28 </w:t>
            </w:r>
            <w:r>
              <w:rPr>
                <w:rFonts w:hint="eastAsia"/>
                <w:color w:val="000000"/>
                <w:kern w:val="0"/>
                <w:sz w:val="18"/>
                <w:szCs w:val="18"/>
              </w:rPr>
              <w:t>号）</w:t>
            </w:r>
            <w:r>
              <w:rPr>
                <w:color w:val="000000"/>
                <w:kern w:val="0"/>
                <w:sz w:val="18"/>
                <w:szCs w:val="18"/>
              </w:rPr>
              <w:t xml:space="preserve"> </w:t>
            </w:r>
          </w:p>
          <w:p w14:paraId="3D364B00">
            <w:pPr>
              <w:spacing w:line="320" w:lineRule="exact"/>
              <w:jc w:val="left"/>
              <w:rPr>
                <w:color w:val="000000"/>
                <w:kern w:val="0"/>
                <w:sz w:val="18"/>
                <w:szCs w:val="18"/>
              </w:rPr>
            </w:pPr>
            <w:r>
              <w:rPr>
                <w:rFonts w:hint="eastAsia"/>
                <w:color w:val="000000"/>
                <w:kern w:val="0"/>
                <w:sz w:val="18"/>
                <w:szCs w:val="18"/>
              </w:rPr>
              <w:t>第四十五条第二款</w:t>
            </w:r>
            <w:r>
              <w:rPr>
                <w:color w:val="000000"/>
                <w:kern w:val="0"/>
                <w:sz w:val="18"/>
                <w:szCs w:val="18"/>
              </w:rPr>
              <w:t xml:space="preserve"> </w:t>
            </w:r>
            <w:r>
              <w:rPr>
                <w:rFonts w:hint="eastAsia"/>
                <w:color w:val="000000"/>
                <w:kern w:val="0"/>
                <w:sz w:val="18"/>
                <w:szCs w:val="18"/>
              </w:rPr>
              <w:t>　在燃气设施的安全保护范围内，禁止从事下列危及燃气安全的活动：</w:t>
            </w:r>
          </w:p>
          <w:p w14:paraId="75B11CDA">
            <w:pPr>
              <w:spacing w:line="320" w:lineRule="exact"/>
              <w:jc w:val="left"/>
              <w:rPr>
                <w:color w:val="000000"/>
                <w:kern w:val="0"/>
                <w:sz w:val="18"/>
                <w:szCs w:val="18"/>
              </w:rPr>
            </w:pPr>
            <w:r>
              <w:rPr>
                <w:rFonts w:hint="eastAsia"/>
                <w:color w:val="000000"/>
                <w:kern w:val="0"/>
                <w:sz w:val="18"/>
                <w:szCs w:val="18"/>
              </w:rPr>
              <w:t>（四）爆破、使用明火等作业以及擅自钻探、开挖、取土；</w:t>
            </w:r>
          </w:p>
          <w:p w14:paraId="2E9B0B1D">
            <w:pPr>
              <w:spacing w:line="320" w:lineRule="exact"/>
              <w:jc w:val="left"/>
              <w:rPr>
                <w:color w:val="000000"/>
                <w:kern w:val="0"/>
                <w:sz w:val="18"/>
                <w:szCs w:val="18"/>
              </w:rPr>
            </w:pPr>
            <w:r>
              <w:rPr>
                <w:rFonts w:hint="eastAsia"/>
                <w:color w:val="000000"/>
                <w:kern w:val="0"/>
                <w:sz w:val="18"/>
                <w:szCs w:val="18"/>
              </w:rPr>
              <w:t>第六十四条第二款</w:t>
            </w:r>
            <w:r>
              <w:rPr>
                <w:color w:val="000000"/>
                <w:kern w:val="0"/>
                <w:sz w:val="18"/>
                <w:szCs w:val="18"/>
              </w:rPr>
              <w:t xml:space="preserve">  </w:t>
            </w:r>
            <w:r>
              <w:rPr>
                <w:rFonts w:hint="eastAsia"/>
                <w:color w:val="000000"/>
                <w:kern w:val="0"/>
                <w:sz w:val="18"/>
                <w:szCs w:val="18"/>
              </w:rPr>
              <w:t>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14:paraId="54FA5DDF">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2AD95E43">
            <w:pPr>
              <w:spacing w:line="320" w:lineRule="exact"/>
              <w:jc w:val="center"/>
              <w:rPr>
                <w:color w:val="000000"/>
                <w:kern w:val="0"/>
                <w:sz w:val="18"/>
                <w:szCs w:val="18"/>
              </w:rPr>
            </w:pPr>
            <w:r>
              <w:rPr>
                <w:rFonts w:hint="eastAsia"/>
                <w:color w:val="000000"/>
                <w:kern w:val="0"/>
                <w:sz w:val="18"/>
                <w:szCs w:val="18"/>
              </w:rPr>
              <w:t>行使内容</w:t>
            </w:r>
          </w:p>
        </w:tc>
        <w:tc>
          <w:tcPr>
            <w:tcW w:w="13282" w:type="dxa"/>
            <w:gridSpan w:val="3"/>
            <w:tcBorders>
              <w:top w:val="single" w:color="auto" w:sz="4" w:space="0"/>
              <w:left w:val="nil"/>
              <w:bottom w:val="single" w:color="auto" w:sz="4" w:space="0"/>
              <w:right w:val="single" w:color="000000" w:sz="8" w:space="0"/>
            </w:tcBorders>
            <w:vAlign w:val="center"/>
          </w:tcPr>
          <w:p w14:paraId="165B81E1">
            <w:pPr>
              <w:spacing w:line="320" w:lineRule="exact"/>
              <w:jc w:val="left"/>
              <w:rPr>
                <w:color w:val="000000"/>
                <w:kern w:val="0"/>
                <w:sz w:val="18"/>
                <w:szCs w:val="18"/>
              </w:rPr>
            </w:pPr>
            <w:r>
              <w:rPr>
                <w:rFonts w:hint="eastAsia"/>
                <w:color w:val="000000"/>
                <w:kern w:val="0"/>
                <w:sz w:val="18"/>
                <w:szCs w:val="18"/>
              </w:rPr>
              <w:t>罚款</w:t>
            </w:r>
          </w:p>
        </w:tc>
      </w:tr>
      <w:tr w14:paraId="6820D6DD">
        <w:tblPrEx>
          <w:tblCellMar>
            <w:top w:w="0" w:type="dxa"/>
            <w:left w:w="108" w:type="dxa"/>
            <w:bottom w:w="0" w:type="dxa"/>
            <w:right w:w="108" w:type="dxa"/>
          </w:tblCellMar>
        </w:tblPrEx>
        <w:trPr>
          <w:trHeight w:val="285" w:hRule="atLeast"/>
        </w:trPr>
        <w:tc>
          <w:tcPr>
            <w:tcW w:w="14278" w:type="dxa"/>
            <w:gridSpan w:val="5"/>
            <w:tcBorders>
              <w:top w:val="single" w:color="auto" w:sz="4" w:space="0"/>
              <w:left w:val="single" w:color="auto" w:sz="8" w:space="0"/>
              <w:bottom w:val="single" w:color="auto" w:sz="4" w:space="0"/>
              <w:right w:val="single" w:color="000000" w:sz="8" w:space="0"/>
            </w:tcBorders>
            <w:vAlign w:val="center"/>
          </w:tcPr>
          <w:p w14:paraId="1287AC70">
            <w:pPr>
              <w:spacing w:line="320" w:lineRule="exact"/>
              <w:jc w:val="center"/>
              <w:rPr>
                <w:color w:val="000000"/>
                <w:kern w:val="0"/>
                <w:sz w:val="18"/>
                <w:szCs w:val="18"/>
              </w:rPr>
            </w:pPr>
            <w:r>
              <w:rPr>
                <w:rFonts w:hint="eastAsia"/>
                <w:color w:val="000000"/>
                <w:kern w:val="0"/>
                <w:sz w:val="18"/>
                <w:szCs w:val="18"/>
              </w:rPr>
              <w:t>裁量基准</w:t>
            </w:r>
          </w:p>
        </w:tc>
      </w:tr>
      <w:tr w14:paraId="0B54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980" w:type="dxa"/>
            <w:vMerge w:val="restart"/>
            <w:vAlign w:val="center"/>
          </w:tcPr>
          <w:p w14:paraId="4CEFD489">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4EE0D6F1">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14:paraId="4F1556FF">
            <w:pPr>
              <w:spacing w:line="320" w:lineRule="exact"/>
              <w:jc w:val="center"/>
              <w:rPr>
                <w:color w:val="000000"/>
                <w:kern w:val="0"/>
                <w:sz w:val="18"/>
                <w:szCs w:val="18"/>
              </w:rPr>
            </w:pPr>
            <w:r>
              <w:rPr>
                <w:rFonts w:hint="eastAsia"/>
                <w:color w:val="000000"/>
                <w:kern w:val="0"/>
                <w:sz w:val="18"/>
                <w:szCs w:val="18"/>
              </w:rPr>
              <w:t>裁量幅度</w:t>
            </w:r>
          </w:p>
        </w:tc>
        <w:tc>
          <w:tcPr>
            <w:tcW w:w="6158" w:type="dxa"/>
            <w:vAlign w:val="center"/>
          </w:tcPr>
          <w:p w14:paraId="721698C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14:paraId="4AF95E1A">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14:paraId="775A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80" w:type="dxa"/>
            <w:vMerge w:val="continue"/>
            <w:vAlign w:val="center"/>
          </w:tcPr>
          <w:p w14:paraId="70AA62A6">
            <w:pPr>
              <w:spacing w:line="320" w:lineRule="exact"/>
              <w:jc w:val="center"/>
              <w:rPr>
                <w:color w:val="000000"/>
                <w:kern w:val="0"/>
                <w:sz w:val="18"/>
                <w:szCs w:val="18"/>
              </w:rPr>
            </w:pPr>
          </w:p>
        </w:tc>
        <w:tc>
          <w:tcPr>
            <w:tcW w:w="6140" w:type="dxa"/>
            <w:gridSpan w:val="2"/>
            <w:vAlign w:val="center"/>
          </w:tcPr>
          <w:p w14:paraId="63D6088A">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continue"/>
            <w:vAlign w:val="center"/>
          </w:tcPr>
          <w:p w14:paraId="5C2FE360">
            <w:pPr>
              <w:spacing w:line="320" w:lineRule="exact"/>
              <w:jc w:val="center"/>
              <w:rPr>
                <w:color w:val="000000"/>
                <w:kern w:val="0"/>
                <w:sz w:val="18"/>
                <w:szCs w:val="18"/>
              </w:rPr>
            </w:pPr>
          </w:p>
        </w:tc>
        <w:tc>
          <w:tcPr>
            <w:tcW w:w="6158" w:type="dxa"/>
            <w:vAlign w:val="center"/>
          </w:tcPr>
          <w:p w14:paraId="38B3F919">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14:paraId="364193FA">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70CD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80" w:type="dxa"/>
            <w:vMerge w:val="continue"/>
            <w:vAlign w:val="center"/>
          </w:tcPr>
          <w:p w14:paraId="06ECE760">
            <w:pPr>
              <w:spacing w:line="320" w:lineRule="exact"/>
              <w:jc w:val="center"/>
              <w:rPr>
                <w:color w:val="000000"/>
                <w:kern w:val="0"/>
                <w:sz w:val="18"/>
                <w:szCs w:val="18"/>
              </w:rPr>
            </w:pPr>
          </w:p>
        </w:tc>
        <w:tc>
          <w:tcPr>
            <w:tcW w:w="6140" w:type="dxa"/>
            <w:gridSpan w:val="2"/>
            <w:vAlign w:val="center"/>
          </w:tcPr>
          <w:p w14:paraId="617B8E3A">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continue"/>
            <w:vAlign w:val="center"/>
          </w:tcPr>
          <w:p w14:paraId="7F385F3A">
            <w:pPr>
              <w:spacing w:line="320" w:lineRule="exact"/>
              <w:jc w:val="center"/>
              <w:rPr>
                <w:color w:val="000000"/>
                <w:kern w:val="0"/>
                <w:sz w:val="18"/>
                <w:szCs w:val="18"/>
              </w:rPr>
            </w:pPr>
          </w:p>
        </w:tc>
        <w:tc>
          <w:tcPr>
            <w:tcW w:w="6158" w:type="dxa"/>
            <w:vAlign w:val="center"/>
          </w:tcPr>
          <w:p w14:paraId="73B10ED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7E6068A9">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01AEC66F"/>
    <w:p w14:paraId="5FA71AD3"/>
    <w:p w14:paraId="0D97D155"/>
    <w:tbl>
      <w:tblPr>
        <w:tblStyle w:val="15"/>
        <w:tblW w:w="0" w:type="auto"/>
        <w:tblInd w:w="78" w:type="dxa"/>
        <w:tblLayout w:type="fixed"/>
        <w:tblCellMar>
          <w:top w:w="0" w:type="dxa"/>
          <w:left w:w="108" w:type="dxa"/>
          <w:bottom w:w="0" w:type="dxa"/>
          <w:right w:w="108" w:type="dxa"/>
        </w:tblCellMar>
      </w:tblPr>
      <w:tblGrid>
        <w:gridCol w:w="1010"/>
        <w:gridCol w:w="60"/>
        <w:gridCol w:w="6140"/>
        <w:gridCol w:w="1080"/>
        <w:gridCol w:w="5726"/>
        <w:gridCol w:w="34"/>
      </w:tblGrid>
      <w:tr w14:paraId="6D3509D5">
        <w:tblPrEx>
          <w:tblCellMar>
            <w:top w:w="0" w:type="dxa"/>
            <w:left w:w="108" w:type="dxa"/>
            <w:bottom w:w="0" w:type="dxa"/>
            <w:right w:w="108" w:type="dxa"/>
          </w:tblCellMar>
        </w:tblPrEx>
        <w:trPr>
          <w:gridAfter w:val="1"/>
          <w:wAfter w:w="24" w:type="dxa"/>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801BF47">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2F8CAD73">
            <w:pPr>
              <w:spacing w:line="320" w:lineRule="exact"/>
              <w:jc w:val="left"/>
              <w:rPr>
                <w:rFonts w:eastAsia="仿宋_GB2312"/>
                <w:b/>
                <w:bCs/>
                <w:color w:val="000000"/>
                <w:kern w:val="0"/>
                <w:sz w:val="18"/>
                <w:szCs w:val="18"/>
              </w:rPr>
            </w:pPr>
            <w:r>
              <w:rPr>
                <w:rFonts w:eastAsia="仿宋_GB2312"/>
                <w:b/>
                <w:bCs/>
                <w:color w:val="000000"/>
                <w:kern w:val="0"/>
                <w:sz w:val="18"/>
                <w:szCs w:val="18"/>
              </w:rPr>
              <w:t>320217337000</w:t>
            </w:r>
          </w:p>
        </w:tc>
      </w:tr>
      <w:tr w14:paraId="350CB34D">
        <w:tblPrEx>
          <w:tblCellMar>
            <w:top w:w="0" w:type="dxa"/>
            <w:left w:w="108" w:type="dxa"/>
            <w:bottom w:w="0" w:type="dxa"/>
            <w:right w:w="108" w:type="dxa"/>
          </w:tblCellMar>
        </w:tblPrEx>
        <w:trPr>
          <w:gridAfter w:val="1"/>
          <w:wAfter w:w="24" w:type="dxa"/>
          <w:trHeight w:val="285" w:hRule="atLeast"/>
        </w:trPr>
        <w:tc>
          <w:tcPr>
            <w:tcW w:w="1010" w:type="dxa"/>
            <w:tcBorders>
              <w:top w:val="nil"/>
              <w:left w:val="single" w:color="auto" w:sz="8" w:space="0"/>
              <w:bottom w:val="single" w:color="auto" w:sz="4" w:space="0"/>
              <w:right w:val="single" w:color="auto" w:sz="4" w:space="0"/>
            </w:tcBorders>
            <w:vAlign w:val="center"/>
          </w:tcPr>
          <w:p w14:paraId="3EBFC9C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3585B67A">
            <w:pPr>
              <w:spacing w:line="320" w:lineRule="exact"/>
              <w:jc w:val="left"/>
              <w:rPr>
                <w:color w:val="000000"/>
                <w:kern w:val="0"/>
                <w:sz w:val="18"/>
                <w:szCs w:val="18"/>
              </w:rPr>
            </w:pPr>
            <w:r>
              <w:rPr>
                <w:rFonts w:hint="eastAsia"/>
                <w:color w:val="000000"/>
                <w:kern w:val="0"/>
                <w:sz w:val="18"/>
                <w:szCs w:val="18"/>
              </w:rPr>
              <w:t>对在城市绿地范围内进行拦河截溪、取土采石、设置垃圾堆场、排放污水以及其他对城市生态环境造成破坏活动的处罚</w:t>
            </w:r>
          </w:p>
        </w:tc>
      </w:tr>
      <w:tr w14:paraId="46A8AAF9">
        <w:tblPrEx>
          <w:tblCellMar>
            <w:top w:w="0" w:type="dxa"/>
            <w:left w:w="108" w:type="dxa"/>
            <w:bottom w:w="0" w:type="dxa"/>
            <w:right w:w="108" w:type="dxa"/>
          </w:tblCellMar>
        </w:tblPrEx>
        <w:trPr>
          <w:gridAfter w:val="1"/>
          <w:wAfter w:w="24" w:type="dxa"/>
          <w:trHeight w:val="1275" w:hRule="atLeast"/>
        </w:trPr>
        <w:tc>
          <w:tcPr>
            <w:tcW w:w="1010" w:type="dxa"/>
            <w:tcBorders>
              <w:top w:val="nil"/>
              <w:left w:val="single" w:color="auto" w:sz="8" w:space="0"/>
              <w:bottom w:val="single" w:color="auto" w:sz="4" w:space="0"/>
              <w:right w:val="single" w:color="auto" w:sz="4" w:space="0"/>
            </w:tcBorders>
            <w:vAlign w:val="center"/>
          </w:tcPr>
          <w:p w14:paraId="4863E60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398E354B">
            <w:pPr>
              <w:spacing w:line="320" w:lineRule="exact"/>
              <w:jc w:val="left"/>
              <w:rPr>
                <w:color w:val="000000"/>
                <w:kern w:val="0"/>
                <w:sz w:val="18"/>
                <w:szCs w:val="18"/>
              </w:rPr>
            </w:pPr>
            <w:r>
              <w:rPr>
                <w:rFonts w:hint="eastAsia"/>
                <w:color w:val="000000"/>
                <w:kern w:val="0"/>
                <w:sz w:val="18"/>
                <w:szCs w:val="18"/>
              </w:rPr>
              <w:t>【规章】《城市绿线管理办法》（建设部令第</w:t>
            </w:r>
            <w:r>
              <w:rPr>
                <w:color w:val="000000"/>
                <w:kern w:val="0"/>
                <w:sz w:val="18"/>
                <w:szCs w:val="18"/>
              </w:rPr>
              <w:t xml:space="preserve"> 112 </w:t>
            </w:r>
            <w:r>
              <w:rPr>
                <w:rFonts w:hint="eastAsia"/>
                <w:color w:val="000000"/>
                <w:kern w:val="0"/>
                <w:sz w:val="18"/>
                <w:szCs w:val="18"/>
              </w:rPr>
              <w:t>号）</w:t>
            </w:r>
          </w:p>
          <w:p w14:paraId="49F83D5E">
            <w:pPr>
              <w:spacing w:line="320" w:lineRule="exact"/>
              <w:jc w:val="left"/>
              <w:rPr>
                <w:color w:val="000000"/>
                <w:kern w:val="0"/>
                <w:sz w:val="18"/>
                <w:szCs w:val="18"/>
              </w:rPr>
            </w:pPr>
            <w:r>
              <w:rPr>
                <w:rFonts w:hint="eastAsia"/>
                <w:color w:val="000000"/>
                <w:kern w:val="0"/>
                <w:sz w:val="18"/>
                <w:szCs w:val="18"/>
              </w:rPr>
              <w:t>第十二条任何单位和个人不得在城市绿地范围内进行拦河截溪、取土采石、设置垃圾堆场、排放污水以及其他对生态环境构成破坏的活动。</w:t>
            </w:r>
          </w:p>
          <w:p w14:paraId="70447F07">
            <w:pPr>
              <w:spacing w:line="320" w:lineRule="exact"/>
              <w:jc w:val="left"/>
              <w:rPr>
                <w:color w:val="000000"/>
                <w:kern w:val="0"/>
                <w:sz w:val="18"/>
                <w:szCs w:val="18"/>
              </w:rPr>
            </w:pPr>
            <w:r>
              <w:rPr>
                <w:rFonts w:hint="eastAsia"/>
                <w:color w:val="000000"/>
                <w:kern w:val="0"/>
                <w:sz w:val="18"/>
                <w:szCs w:val="18"/>
              </w:rPr>
              <w:t>第十七条　违反本办法规定，在城市绿地范围内进行拦河截溪、取土采石、设置垃圾堆场、排放污水以及其他对城市生态环境造成破坏活动的，由城市园林绿化行政主管部门责令改正，并处一万元以上三万元以下的罚款。</w:t>
            </w:r>
          </w:p>
        </w:tc>
      </w:tr>
      <w:tr w14:paraId="57150415">
        <w:tblPrEx>
          <w:tblCellMar>
            <w:top w:w="0" w:type="dxa"/>
            <w:left w:w="108" w:type="dxa"/>
            <w:bottom w:w="0" w:type="dxa"/>
            <w:right w:w="108" w:type="dxa"/>
          </w:tblCellMar>
        </w:tblPrEx>
        <w:trPr>
          <w:gridAfter w:val="1"/>
          <w:wAfter w:w="24" w:type="dxa"/>
          <w:trHeight w:val="285" w:hRule="atLeast"/>
        </w:trPr>
        <w:tc>
          <w:tcPr>
            <w:tcW w:w="1010" w:type="dxa"/>
            <w:tcBorders>
              <w:top w:val="nil"/>
              <w:left w:val="single" w:color="auto" w:sz="8" w:space="0"/>
              <w:bottom w:val="single" w:color="auto" w:sz="4" w:space="0"/>
              <w:right w:val="single" w:color="auto" w:sz="4" w:space="0"/>
            </w:tcBorders>
            <w:vAlign w:val="center"/>
          </w:tcPr>
          <w:p w14:paraId="1B649E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091D2AD5">
            <w:pPr>
              <w:spacing w:line="320" w:lineRule="exact"/>
              <w:jc w:val="left"/>
              <w:rPr>
                <w:color w:val="000000"/>
                <w:kern w:val="0"/>
                <w:sz w:val="18"/>
                <w:szCs w:val="18"/>
              </w:rPr>
            </w:pPr>
            <w:r>
              <w:rPr>
                <w:rFonts w:hint="eastAsia"/>
                <w:color w:val="000000"/>
                <w:kern w:val="0"/>
                <w:sz w:val="18"/>
                <w:szCs w:val="18"/>
              </w:rPr>
              <w:t>罚款</w:t>
            </w:r>
          </w:p>
        </w:tc>
      </w:tr>
      <w:tr w14:paraId="2326048E">
        <w:tblPrEx>
          <w:tblCellMar>
            <w:top w:w="0" w:type="dxa"/>
            <w:left w:w="108" w:type="dxa"/>
            <w:bottom w:w="0" w:type="dxa"/>
            <w:right w:w="108" w:type="dxa"/>
          </w:tblCellMar>
        </w:tblPrEx>
        <w:trPr>
          <w:gridAfter w:val="1"/>
          <w:wAfter w:w="24" w:type="dxa"/>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7516F1CF">
            <w:pPr>
              <w:spacing w:line="320" w:lineRule="exact"/>
              <w:jc w:val="center"/>
              <w:rPr>
                <w:color w:val="000000"/>
                <w:kern w:val="0"/>
                <w:sz w:val="18"/>
                <w:szCs w:val="18"/>
              </w:rPr>
            </w:pPr>
            <w:r>
              <w:rPr>
                <w:rFonts w:hint="eastAsia"/>
                <w:color w:val="000000"/>
                <w:kern w:val="0"/>
                <w:sz w:val="18"/>
                <w:szCs w:val="18"/>
              </w:rPr>
              <w:t>裁量基准</w:t>
            </w:r>
          </w:p>
        </w:tc>
      </w:tr>
      <w:tr w14:paraId="23E4F9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gridSpan w:val="2"/>
            <w:vMerge w:val="restart"/>
            <w:vAlign w:val="center"/>
          </w:tcPr>
          <w:p w14:paraId="7D360E61">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14:paraId="20F0F468">
            <w:pPr>
              <w:spacing w:line="320" w:lineRule="exact"/>
              <w:jc w:val="left"/>
              <w:rPr>
                <w:color w:val="000000"/>
                <w:kern w:val="0"/>
                <w:sz w:val="18"/>
                <w:szCs w:val="18"/>
              </w:rPr>
            </w:pPr>
            <w:r>
              <w:rPr>
                <w:rFonts w:hint="eastAsia"/>
                <w:color w:val="000000"/>
                <w:kern w:val="0"/>
                <w:sz w:val="18"/>
                <w:szCs w:val="18"/>
              </w:rPr>
              <w:t>恢复原状的</w:t>
            </w:r>
          </w:p>
        </w:tc>
        <w:tc>
          <w:tcPr>
            <w:tcW w:w="1080" w:type="dxa"/>
            <w:vMerge w:val="restart"/>
            <w:vAlign w:val="center"/>
          </w:tcPr>
          <w:p w14:paraId="4CC52C22">
            <w:pPr>
              <w:spacing w:line="320" w:lineRule="exact"/>
              <w:jc w:val="left"/>
              <w:rPr>
                <w:color w:val="000000"/>
                <w:kern w:val="0"/>
                <w:sz w:val="18"/>
                <w:szCs w:val="18"/>
              </w:rPr>
            </w:pPr>
            <w:r>
              <w:rPr>
                <w:rFonts w:hint="eastAsia"/>
                <w:color w:val="000000"/>
                <w:kern w:val="0"/>
                <w:sz w:val="18"/>
                <w:szCs w:val="18"/>
              </w:rPr>
              <w:t>裁量幅度</w:t>
            </w:r>
          </w:p>
        </w:tc>
        <w:tc>
          <w:tcPr>
            <w:tcW w:w="5760" w:type="dxa"/>
            <w:gridSpan w:val="2"/>
            <w:vAlign w:val="center"/>
          </w:tcPr>
          <w:p w14:paraId="4A307BE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617CD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gridSpan w:val="2"/>
            <w:vMerge w:val="continue"/>
            <w:vAlign w:val="center"/>
          </w:tcPr>
          <w:p w14:paraId="7185FF06">
            <w:pPr>
              <w:spacing w:line="320" w:lineRule="exact"/>
              <w:jc w:val="left"/>
              <w:rPr>
                <w:color w:val="000000"/>
                <w:kern w:val="0"/>
                <w:sz w:val="18"/>
                <w:szCs w:val="18"/>
              </w:rPr>
            </w:pPr>
          </w:p>
        </w:tc>
        <w:tc>
          <w:tcPr>
            <w:tcW w:w="6140" w:type="dxa"/>
            <w:vAlign w:val="center"/>
          </w:tcPr>
          <w:p w14:paraId="065C858E">
            <w:pPr>
              <w:spacing w:line="320" w:lineRule="exact"/>
              <w:jc w:val="left"/>
              <w:rPr>
                <w:color w:val="000000"/>
                <w:kern w:val="0"/>
                <w:sz w:val="18"/>
                <w:szCs w:val="18"/>
              </w:rPr>
            </w:pPr>
            <w:r>
              <w:rPr>
                <w:rFonts w:hint="eastAsia"/>
                <w:color w:val="000000"/>
                <w:kern w:val="0"/>
                <w:sz w:val="18"/>
                <w:szCs w:val="18"/>
              </w:rPr>
              <w:t>不可恢复原状但采取其他补救措施的</w:t>
            </w:r>
          </w:p>
        </w:tc>
        <w:tc>
          <w:tcPr>
            <w:tcW w:w="1080" w:type="dxa"/>
            <w:vMerge w:val="continue"/>
            <w:vAlign w:val="center"/>
          </w:tcPr>
          <w:p w14:paraId="3D9C7671">
            <w:pPr>
              <w:spacing w:line="320" w:lineRule="exact"/>
              <w:jc w:val="left"/>
              <w:rPr>
                <w:color w:val="000000"/>
                <w:kern w:val="0"/>
                <w:sz w:val="18"/>
                <w:szCs w:val="18"/>
              </w:rPr>
            </w:pPr>
          </w:p>
        </w:tc>
        <w:tc>
          <w:tcPr>
            <w:tcW w:w="5760" w:type="dxa"/>
            <w:gridSpan w:val="2"/>
            <w:vAlign w:val="center"/>
          </w:tcPr>
          <w:p w14:paraId="27FD4D8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253191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gridSpan w:val="2"/>
            <w:vMerge w:val="continue"/>
            <w:tcBorders>
              <w:bottom w:val="single" w:color="auto" w:sz="8" w:space="0"/>
            </w:tcBorders>
            <w:vAlign w:val="center"/>
          </w:tcPr>
          <w:p w14:paraId="5D2838A5">
            <w:pPr>
              <w:spacing w:line="320" w:lineRule="exact"/>
              <w:jc w:val="left"/>
              <w:rPr>
                <w:color w:val="000000"/>
                <w:kern w:val="0"/>
                <w:sz w:val="18"/>
                <w:szCs w:val="18"/>
              </w:rPr>
            </w:pPr>
          </w:p>
        </w:tc>
        <w:tc>
          <w:tcPr>
            <w:tcW w:w="6140" w:type="dxa"/>
            <w:tcBorders>
              <w:bottom w:val="single" w:color="auto" w:sz="8" w:space="0"/>
            </w:tcBorders>
            <w:vAlign w:val="center"/>
          </w:tcPr>
          <w:p w14:paraId="4EFA28B5">
            <w:pPr>
              <w:spacing w:line="320" w:lineRule="exact"/>
              <w:jc w:val="left"/>
              <w:rPr>
                <w:color w:val="000000"/>
                <w:kern w:val="0"/>
                <w:sz w:val="18"/>
                <w:szCs w:val="18"/>
              </w:rPr>
            </w:pPr>
            <w:r>
              <w:rPr>
                <w:rFonts w:hint="eastAsia"/>
                <w:color w:val="000000"/>
                <w:kern w:val="0"/>
                <w:sz w:val="18"/>
                <w:szCs w:val="18"/>
              </w:rPr>
              <w:t>既未恢复原状又未采取其他补救措施的</w:t>
            </w:r>
          </w:p>
        </w:tc>
        <w:tc>
          <w:tcPr>
            <w:tcW w:w="1080" w:type="dxa"/>
            <w:vMerge w:val="continue"/>
            <w:tcBorders>
              <w:bottom w:val="single" w:color="auto" w:sz="8" w:space="0"/>
            </w:tcBorders>
            <w:vAlign w:val="center"/>
          </w:tcPr>
          <w:p w14:paraId="30E2E310">
            <w:pPr>
              <w:spacing w:line="320" w:lineRule="exact"/>
              <w:jc w:val="left"/>
              <w:rPr>
                <w:color w:val="000000"/>
                <w:kern w:val="0"/>
                <w:sz w:val="18"/>
                <w:szCs w:val="18"/>
              </w:rPr>
            </w:pPr>
          </w:p>
        </w:tc>
        <w:tc>
          <w:tcPr>
            <w:tcW w:w="5760" w:type="dxa"/>
            <w:gridSpan w:val="2"/>
            <w:tcBorders>
              <w:bottom w:val="single" w:color="auto" w:sz="8" w:space="0"/>
            </w:tcBorders>
            <w:vAlign w:val="center"/>
          </w:tcPr>
          <w:p w14:paraId="6944F83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A00BEFB"/>
    <w:p w14:paraId="2E506424"/>
    <w:p w14:paraId="6535919C"/>
    <w:p w14:paraId="026C6B7D"/>
    <w:p w14:paraId="48E854DE"/>
    <w:p w14:paraId="7B018693"/>
    <w:p w14:paraId="19F40FF3"/>
    <w:p w14:paraId="00CE9B44"/>
    <w:p w14:paraId="431A3929"/>
    <w:p w14:paraId="32E6E174"/>
    <w:tbl>
      <w:tblPr>
        <w:tblStyle w:val="15"/>
        <w:tblW w:w="0" w:type="auto"/>
        <w:tblInd w:w="93" w:type="dxa"/>
        <w:tblLayout w:type="fixed"/>
        <w:tblCellMar>
          <w:top w:w="0" w:type="dxa"/>
          <w:left w:w="108" w:type="dxa"/>
          <w:bottom w:w="0" w:type="dxa"/>
          <w:right w:w="108" w:type="dxa"/>
        </w:tblCellMar>
      </w:tblPr>
      <w:tblGrid>
        <w:gridCol w:w="1035"/>
        <w:gridCol w:w="6140"/>
        <w:gridCol w:w="1120"/>
        <w:gridCol w:w="5730"/>
      </w:tblGrid>
      <w:tr w14:paraId="3660C23C">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74C8C178">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439926B0">
            <w:pPr>
              <w:spacing w:line="320" w:lineRule="exact"/>
              <w:jc w:val="left"/>
              <w:rPr>
                <w:rFonts w:eastAsia="仿宋_GB2312"/>
                <w:b/>
                <w:bCs/>
                <w:color w:val="000000"/>
                <w:kern w:val="0"/>
                <w:sz w:val="18"/>
                <w:szCs w:val="18"/>
              </w:rPr>
            </w:pPr>
            <w:r>
              <w:rPr>
                <w:rFonts w:eastAsia="仿宋_GB2312"/>
                <w:b/>
                <w:bCs/>
                <w:color w:val="000000"/>
                <w:kern w:val="0"/>
                <w:sz w:val="18"/>
                <w:szCs w:val="18"/>
              </w:rPr>
              <w:t>320217338000</w:t>
            </w:r>
            <w:r>
              <w:rPr>
                <w:rFonts w:hint="eastAsia" w:eastAsia="仿宋_GB2312"/>
                <w:b/>
                <w:bCs/>
                <w:color w:val="000000"/>
                <w:kern w:val="0"/>
                <w:sz w:val="18"/>
                <w:szCs w:val="18"/>
              </w:rPr>
              <w:t xml:space="preserve"> </w:t>
            </w:r>
          </w:p>
        </w:tc>
      </w:tr>
      <w:tr w14:paraId="1DA5A50C">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22AB2D57">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5EB6DFBB">
            <w:pPr>
              <w:jc w:val="left"/>
              <w:rPr>
                <w:rFonts w:eastAsia="仿宋_GB2312"/>
                <w:color w:val="000000"/>
                <w:sz w:val="20"/>
              </w:rPr>
            </w:pPr>
            <w:r>
              <w:rPr>
                <w:rFonts w:hint="eastAsia"/>
                <w:color w:val="000000"/>
                <w:kern w:val="0"/>
                <w:sz w:val="18"/>
                <w:szCs w:val="18"/>
              </w:rPr>
              <w:t>对房地产估价机构违反房地产估价规范和标准的处罚</w:t>
            </w:r>
          </w:p>
        </w:tc>
      </w:tr>
      <w:tr w14:paraId="3B8670D7">
        <w:tblPrEx>
          <w:tblCellMar>
            <w:top w:w="0" w:type="dxa"/>
            <w:left w:w="108" w:type="dxa"/>
            <w:bottom w:w="0" w:type="dxa"/>
            <w:right w:w="108" w:type="dxa"/>
          </w:tblCellMar>
        </w:tblPrEx>
        <w:trPr>
          <w:trHeight w:val="1875" w:hRule="atLeast"/>
        </w:trPr>
        <w:tc>
          <w:tcPr>
            <w:tcW w:w="1035" w:type="dxa"/>
            <w:tcBorders>
              <w:top w:val="nil"/>
              <w:left w:val="single" w:color="auto" w:sz="8" w:space="0"/>
              <w:bottom w:val="single" w:color="auto" w:sz="4" w:space="0"/>
              <w:right w:val="single" w:color="auto" w:sz="4" w:space="0"/>
            </w:tcBorders>
            <w:vAlign w:val="center"/>
          </w:tcPr>
          <w:p w14:paraId="0E92D7C3">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3CA9EE19">
            <w:pPr>
              <w:jc w:val="left"/>
              <w:rPr>
                <w:rFonts w:eastAsia="仿宋_GB2312"/>
                <w:color w:val="000000"/>
                <w:sz w:val="20"/>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r>
              <w:rPr>
                <w:color w:val="000000"/>
                <w:kern w:val="0"/>
                <w:sz w:val="18"/>
                <w:szCs w:val="18"/>
              </w:rPr>
              <w:br w:type="textWrapping"/>
            </w:r>
            <w:r>
              <w:rPr>
                <w:rFonts w:hint="eastAsia"/>
                <w:color w:val="000000"/>
                <w:kern w:val="0"/>
                <w:sz w:val="18"/>
                <w:szCs w:val="18"/>
              </w:rPr>
              <w:t>（四）违反房地产估价规范和标准。</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14:paraId="32E163E1">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7C9E8E99">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21795571">
            <w:pPr>
              <w:spacing w:line="320" w:lineRule="exact"/>
              <w:jc w:val="left"/>
              <w:rPr>
                <w:color w:val="000000"/>
                <w:kern w:val="0"/>
                <w:sz w:val="18"/>
                <w:szCs w:val="18"/>
              </w:rPr>
            </w:pPr>
            <w:r>
              <w:rPr>
                <w:rFonts w:hint="eastAsia"/>
                <w:color w:val="000000"/>
                <w:kern w:val="0"/>
                <w:sz w:val="18"/>
                <w:szCs w:val="18"/>
              </w:rPr>
              <w:t>警告，罚款</w:t>
            </w:r>
          </w:p>
        </w:tc>
      </w:tr>
      <w:tr w14:paraId="09A127FF">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74D28833">
            <w:pPr>
              <w:spacing w:line="320" w:lineRule="exact"/>
              <w:jc w:val="center"/>
              <w:rPr>
                <w:color w:val="000000"/>
                <w:kern w:val="0"/>
                <w:sz w:val="18"/>
                <w:szCs w:val="18"/>
              </w:rPr>
            </w:pPr>
            <w:r>
              <w:rPr>
                <w:rFonts w:hint="eastAsia"/>
                <w:color w:val="000000"/>
                <w:kern w:val="0"/>
                <w:sz w:val="18"/>
                <w:szCs w:val="18"/>
              </w:rPr>
              <w:t>裁量基准</w:t>
            </w:r>
          </w:p>
        </w:tc>
      </w:tr>
      <w:tr w14:paraId="4B7EBDD0">
        <w:tblPrEx>
          <w:tblCellMar>
            <w:top w:w="0" w:type="dxa"/>
            <w:left w:w="108" w:type="dxa"/>
            <w:bottom w:w="0" w:type="dxa"/>
            <w:right w:w="108" w:type="dxa"/>
          </w:tblCellMar>
        </w:tblPrEx>
        <w:trPr>
          <w:trHeight w:val="285" w:hRule="atLeast"/>
        </w:trPr>
        <w:tc>
          <w:tcPr>
            <w:tcW w:w="1035" w:type="dxa"/>
            <w:vMerge w:val="restart"/>
            <w:tcBorders>
              <w:top w:val="nil"/>
              <w:left w:val="single" w:color="auto" w:sz="8" w:space="0"/>
              <w:right w:val="single" w:color="auto" w:sz="4" w:space="0"/>
            </w:tcBorders>
            <w:vAlign w:val="center"/>
          </w:tcPr>
          <w:p w14:paraId="342DB24E">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24009D89">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color="auto" w:sz="4" w:space="0"/>
            </w:tcBorders>
            <w:vAlign w:val="center"/>
          </w:tcPr>
          <w:p w14:paraId="43428E9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color="auto" w:sz="4" w:space="0"/>
              <w:right w:val="single" w:color="auto" w:sz="8" w:space="0"/>
            </w:tcBorders>
            <w:vAlign w:val="center"/>
          </w:tcPr>
          <w:p w14:paraId="355369C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7EBEAB55">
        <w:tblPrEx>
          <w:tblCellMar>
            <w:top w:w="0" w:type="dxa"/>
            <w:left w:w="108" w:type="dxa"/>
            <w:bottom w:w="0" w:type="dxa"/>
            <w:right w:w="108" w:type="dxa"/>
          </w:tblCellMar>
        </w:tblPrEx>
        <w:trPr>
          <w:trHeight w:val="285" w:hRule="atLeast"/>
        </w:trPr>
        <w:tc>
          <w:tcPr>
            <w:tcW w:w="1035" w:type="dxa"/>
            <w:vMerge w:val="continue"/>
            <w:tcBorders>
              <w:left w:val="single" w:color="auto" w:sz="8" w:space="0"/>
              <w:bottom w:val="single" w:color="auto" w:sz="4" w:space="0"/>
              <w:right w:val="single" w:color="auto" w:sz="4" w:space="0"/>
            </w:tcBorders>
            <w:vAlign w:val="center"/>
          </w:tcPr>
          <w:p w14:paraId="14DCBA61">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01A9CB3A">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left w:val="nil"/>
              <w:bottom w:val="single" w:color="auto" w:sz="4" w:space="0"/>
              <w:right w:val="single" w:color="auto" w:sz="4" w:space="0"/>
            </w:tcBorders>
            <w:vAlign w:val="center"/>
          </w:tcPr>
          <w:p w14:paraId="2055FD10">
            <w:pPr>
              <w:spacing w:line="320" w:lineRule="exact"/>
              <w:jc w:val="center"/>
              <w:rPr>
                <w:color w:val="000000"/>
                <w:kern w:val="0"/>
                <w:sz w:val="18"/>
                <w:szCs w:val="18"/>
              </w:rPr>
            </w:pPr>
          </w:p>
        </w:tc>
        <w:tc>
          <w:tcPr>
            <w:tcW w:w="5730" w:type="dxa"/>
            <w:tcBorders>
              <w:top w:val="nil"/>
              <w:left w:val="nil"/>
              <w:bottom w:val="single" w:color="auto" w:sz="4" w:space="0"/>
              <w:right w:val="single" w:color="auto" w:sz="8" w:space="0"/>
            </w:tcBorders>
            <w:vAlign w:val="center"/>
          </w:tcPr>
          <w:p w14:paraId="55AE628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4EE7544B"/>
    <w:p w14:paraId="43295C86"/>
    <w:p w14:paraId="676C6F9A"/>
    <w:p w14:paraId="718BD5B3"/>
    <w:p w14:paraId="09306106"/>
    <w:p w14:paraId="39CC264E"/>
    <w:p w14:paraId="2403A3E2"/>
    <w:p w14:paraId="11A36AB8"/>
    <w:tbl>
      <w:tblPr>
        <w:tblStyle w:val="15"/>
        <w:tblW w:w="0" w:type="auto"/>
        <w:tblInd w:w="88" w:type="dxa"/>
        <w:tblLayout w:type="fixed"/>
        <w:tblCellMar>
          <w:top w:w="0" w:type="dxa"/>
          <w:left w:w="108" w:type="dxa"/>
          <w:bottom w:w="0" w:type="dxa"/>
          <w:right w:w="108" w:type="dxa"/>
        </w:tblCellMar>
      </w:tblPr>
      <w:tblGrid>
        <w:gridCol w:w="1154"/>
        <w:gridCol w:w="5996"/>
        <w:gridCol w:w="1234"/>
        <w:gridCol w:w="5646"/>
      </w:tblGrid>
      <w:tr w14:paraId="173E7ADA">
        <w:tblPrEx>
          <w:tblCellMar>
            <w:top w:w="0" w:type="dxa"/>
            <w:left w:w="108" w:type="dxa"/>
            <w:bottom w:w="0" w:type="dxa"/>
            <w:right w:w="108" w:type="dxa"/>
          </w:tblCellMar>
        </w:tblPrEx>
        <w:trPr>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1D83C8D5">
            <w:pPr>
              <w:rPr>
                <w:color w:val="000000"/>
              </w:rPr>
            </w:pPr>
            <w:r>
              <w:rPr>
                <w:rFonts w:hint="eastAsia"/>
                <w:color w:val="000000"/>
              </w:rPr>
              <w:t>编号</w:t>
            </w:r>
          </w:p>
        </w:tc>
        <w:tc>
          <w:tcPr>
            <w:tcW w:w="12876" w:type="dxa"/>
            <w:gridSpan w:val="3"/>
            <w:tcBorders>
              <w:top w:val="single" w:color="auto" w:sz="8" w:space="0"/>
              <w:left w:val="nil"/>
              <w:bottom w:val="single" w:color="auto" w:sz="4" w:space="0"/>
              <w:right w:val="single" w:color="000000" w:sz="8" w:space="0"/>
            </w:tcBorders>
            <w:vAlign w:val="center"/>
          </w:tcPr>
          <w:p w14:paraId="54194B69">
            <w:pPr>
              <w:rPr>
                <w:b/>
                <w:bCs/>
                <w:color w:val="000000"/>
              </w:rPr>
            </w:pPr>
            <w:r>
              <w:rPr>
                <w:b/>
                <w:bCs/>
                <w:color w:val="000000"/>
              </w:rPr>
              <w:t>320217339000</w:t>
            </w:r>
          </w:p>
        </w:tc>
      </w:tr>
      <w:tr w14:paraId="5EC818DF">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2256A445">
            <w:pPr>
              <w:rPr>
                <w:color w:val="000000"/>
              </w:rPr>
            </w:pPr>
            <w:r>
              <w:rPr>
                <w:rFonts w:hint="eastAsia"/>
                <w:color w:val="000000"/>
              </w:rPr>
              <w:t>行为名称</w:t>
            </w:r>
          </w:p>
        </w:tc>
        <w:tc>
          <w:tcPr>
            <w:tcW w:w="12876" w:type="dxa"/>
            <w:gridSpan w:val="3"/>
            <w:tcBorders>
              <w:top w:val="single" w:color="auto" w:sz="4" w:space="0"/>
              <w:left w:val="nil"/>
              <w:bottom w:val="single" w:color="auto" w:sz="4" w:space="0"/>
              <w:right w:val="single" w:color="000000" w:sz="8" w:space="0"/>
            </w:tcBorders>
            <w:vAlign w:val="center"/>
          </w:tcPr>
          <w:p w14:paraId="549B2390">
            <w:pPr>
              <w:rPr>
                <w:color w:val="000000"/>
              </w:rPr>
            </w:pPr>
            <w:r>
              <w:rPr>
                <w:rFonts w:hint="eastAsia"/>
                <w:color w:val="000000"/>
              </w:rPr>
              <w:t>对监理单位未监督检查建筑起重机械的使用情况的处罚</w:t>
            </w:r>
          </w:p>
        </w:tc>
      </w:tr>
      <w:tr w14:paraId="40662DE8">
        <w:tblPrEx>
          <w:tblCellMar>
            <w:top w:w="0" w:type="dxa"/>
            <w:left w:w="108" w:type="dxa"/>
            <w:bottom w:w="0" w:type="dxa"/>
            <w:right w:w="108" w:type="dxa"/>
          </w:tblCellMar>
        </w:tblPrEx>
        <w:trPr>
          <w:trHeight w:val="1305" w:hRule="atLeast"/>
        </w:trPr>
        <w:tc>
          <w:tcPr>
            <w:tcW w:w="1154" w:type="dxa"/>
            <w:tcBorders>
              <w:top w:val="nil"/>
              <w:left w:val="single" w:color="auto" w:sz="8" w:space="0"/>
              <w:bottom w:val="single" w:color="auto" w:sz="4" w:space="0"/>
              <w:right w:val="single" w:color="auto" w:sz="4" w:space="0"/>
            </w:tcBorders>
            <w:vAlign w:val="center"/>
          </w:tcPr>
          <w:p w14:paraId="70A6C3C1">
            <w:pPr>
              <w:rPr>
                <w:color w:val="000000"/>
              </w:rPr>
            </w:pPr>
            <w:r>
              <w:rPr>
                <w:rFonts w:hint="eastAsia"/>
                <w:color w:val="000000"/>
              </w:rPr>
              <w:t>法律依据</w:t>
            </w:r>
          </w:p>
        </w:tc>
        <w:tc>
          <w:tcPr>
            <w:tcW w:w="12876" w:type="dxa"/>
            <w:gridSpan w:val="3"/>
            <w:tcBorders>
              <w:top w:val="single" w:color="auto" w:sz="4" w:space="0"/>
              <w:left w:val="nil"/>
              <w:bottom w:val="single" w:color="auto" w:sz="4" w:space="0"/>
              <w:right w:val="single" w:color="000000" w:sz="8" w:space="0"/>
            </w:tcBorders>
            <w:vAlign w:val="center"/>
          </w:tcPr>
          <w:p w14:paraId="33DB0DDD">
            <w:pPr>
              <w:rPr>
                <w:color w:val="000000"/>
              </w:rPr>
            </w:pPr>
            <w:r>
              <w:rPr>
                <w:rFonts w:hint="eastAsia"/>
                <w:color w:val="000000"/>
              </w:rPr>
              <w:t>【规章】《建筑起重机械安全监督管理规定》（建设部令第</w:t>
            </w:r>
            <w:r>
              <w:rPr>
                <w:color w:val="000000"/>
              </w:rPr>
              <w:t>166</w:t>
            </w:r>
            <w:r>
              <w:rPr>
                <w:rFonts w:hint="eastAsia"/>
                <w:color w:val="000000"/>
              </w:rPr>
              <w:t>号）</w:t>
            </w:r>
            <w:r>
              <w:rPr>
                <w:color w:val="000000"/>
              </w:rPr>
              <w:br w:type="textWrapping"/>
            </w:r>
            <w:r>
              <w:rPr>
                <w:rFonts w:hint="eastAsia"/>
                <w:color w:val="000000"/>
              </w:rPr>
              <w:t>第二十二条　监理单位应当履行下列安全职责：</w:t>
            </w:r>
            <w:r>
              <w:rPr>
                <w:color w:val="000000"/>
              </w:rPr>
              <w:br w:type="textWrapping"/>
            </w:r>
            <w:r>
              <w:rPr>
                <w:color w:val="000000"/>
              </w:rPr>
              <w:t xml:space="preserve">   </w:t>
            </w:r>
            <w:r>
              <w:rPr>
                <w:rFonts w:hint="eastAsia"/>
                <w:color w:val="000000"/>
              </w:rPr>
              <w:t>（五）监督检查建筑起重机械的使用情况；</w:t>
            </w:r>
            <w:r>
              <w:rPr>
                <w:color w:val="000000"/>
              </w:rPr>
              <w:br w:type="textWrapping"/>
            </w:r>
            <w:r>
              <w:rPr>
                <w:rFonts w:hint="eastAsia"/>
                <w:color w:val="000000"/>
              </w:rPr>
              <w:t>第三十二条</w:t>
            </w:r>
            <w:r>
              <w:rPr>
                <w:color w:val="000000"/>
              </w:rPr>
              <w:t xml:space="preserve"> </w:t>
            </w:r>
            <w:r>
              <w:rPr>
                <w:rFonts w:hint="eastAsia"/>
                <w:color w:val="000000"/>
              </w:rPr>
              <w:t>违反本规定，监理单位未履行第二十二条第（一）、（二）、（四）、（五）项安全职责的，由县级以上地方人民政府建设主管部门责令限期改正，予以警告，并处以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14:paraId="7BD6AC78">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00A1C6C9">
            <w:pPr>
              <w:rPr>
                <w:color w:val="000000"/>
              </w:rPr>
            </w:pPr>
            <w:r>
              <w:rPr>
                <w:rFonts w:hint="eastAsia"/>
                <w:color w:val="000000"/>
              </w:rPr>
              <w:t>行使内容</w:t>
            </w:r>
          </w:p>
        </w:tc>
        <w:tc>
          <w:tcPr>
            <w:tcW w:w="12876" w:type="dxa"/>
            <w:gridSpan w:val="3"/>
            <w:tcBorders>
              <w:top w:val="single" w:color="auto" w:sz="4" w:space="0"/>
              <w:left w:val="nil"/>
              <w:bottom w:val="single" w:color="auto" w:sz="4" w:space="0"/>
              <w:right w:val="single" w:color="000000" w:sz="8" w:space="0"/>
            </w:tcBorders>
            <w:vAlign w:val="center"/>
          </w:tcPr>
          <w:p w14:paraId="029D1F15">
            <w:pPr>
              <w:rPr>
                <w:color w:val="000000"/>
              </w:rPr>
            </w:pPr>
            <w:r>
              <w:rPr>
                <w:rFonts w:hint="eastAsia"/>
                <w:color w:val="000000"/>
              </w:rPr>
              <w:t>警告，罚款</w:t>
            </w:r>
          </w:p>
        </w:tc>
      </w:tr>
      <w:tr w14:paraId="3A5EFFD6">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64BC811B">
            <w:pPr>
              <w:jc w:val="center"/>
              <w:rPr>
                <w:color w:val="000000"/>
              </w:rPr>
            </w:pPr>
            <w:r>
              <w:rPr>
                <w:rFonts w:hint="eastAsia"/>
                <w:color w:val="000000"/>
              </w:rPr>
              <w:t>裁量基准</w:t>
            </w:r>
          </w:p>
        </w:tc>
      </w:tr>
      <w:tr w14:paraId="45C754C3">
        <w:tblPrEx>
          <w:tblCellMar>
            <w:top w:w="0" w:type="dxa"/>
            <w:left w:w="108" w:type="dxa"/>
            <w:bottom w:w="0" w:type="dxa"/>
            <w:right w:w="108" w:type="dxa"/>
          </w:tblCellMar>
        </w:tblPrEx>
        <w:trPr>
          <w:trHeight w:val="285" w:hRule="atLeast"/>
        </w:trPr>
        <w:tc>
          <w:tcPr>
            <w:tcW w:w="1154" w:type="dxa"/>
            <w:vMerge w:val="restart"/>
            <w:tcBorders>
              <w:top w:val="single" w:color="auto" w:sz="4" w:space="0"/>
              <w:left w:val="single" w:color="auto" w:sz="4" w:space="0"/>
              <w:bottom w:val="single" w:color="auto" w:sz="4" w:space="0"/>
              <w:right w:val="single" w:color="auto" w:sz="4" w:space="0"/>
            </w:tcBorders>
            <w:vAlign w:val="center"/>
          </w:tcPr>
          <w:p w14:paraId="510217DD">
            <w:pPr>
              <w:rPr>
                <w:color w:val="000000"/>
              </w:rPr>
            </w:pPr>
            <w:r>
              <w:rPr>
                <w:rFonts w:hint="eastAsia"/>
                <w:color w:val="000000"/>
              </w:rPr>
              <w:t>情形描述</w:t>
            </w:r>
          </w:p>
        </w:tc>
        <w:tc>
          <w:tcPr>
            <w:tcW w:w="5996" w:type="dxa"/>
            <w:tcBorders>
              <w:top w:val="single" w:color="auto" w:sz="4" w:space="0"/>
              <w:left w:val="single" w:color="auto" w:sz="4" w:space="0"/>
              <w:bottom w:val="single" w:color="auto" w:sz="4" w:space="0"/>
              <w:right w:val="single" w:color="auto" w:sz="4" w:space="0"/>
            </w:tcBorders>
            <w:vAlign w:val="center"/>
          </w:tcPr>
          <w:p w14:paraId="5AD9A550">
            <w:pPr>
              <w:rPr>
                <w:color w:val="000000"/>
              </w:rPr>
            </w:pPr>
            <w:r>
              <w:rPr>
                <w:rFonts w:hint="eastAsia"/>
                <w:color w:val="000000"/>
              </w:rPr>
              <w:t>未造成生产安全事故的</w:t>
            </w:r>
          </w:p>
        </w:tc>
        <w:tc>
          <w:tcPr>
            <w:tcW w:w="1234" w:type="dxa"/>
            <w:vMerge w:val="restart"/>
            <w:tcBorders>
              <w:top w:val="single" w:color="auto" w:sz="4" w:space="0"/>
              <w:left w:val="single" w:color="auto" w:sz="4" w:space="0"/>
              <w:bottom w:val="single" w:color="auto" w:sz="4" w:space="0"/>
              <w:right w:val="single" w:color="auto" w:sz="4" w:space="0"/>
            </w:tcBorders>
            <w:vAlign w:val="center"/>
          </w:tcPr>
          <w:p w14:paraId="0763050A">
            <w:pPr>
              <w:rPr>
                <w:color w:val="000000"/>
              </w:rPr>
            </w:pPr>
            <w:r>
              <w:rPr>
                <w:rFonts w:hint="eastAsia"/>
                <w:color w:val="000000"/>
              </w:rPr>
              <w:t>裁量幅度</w:t>
            </w:r>
          </w:p>
        </w:tc>
        <w:tc>
          <w:tcPr>
            <w:tcW w:w="5646" w:type="dxa"/>
            <w:tcBorders>
              <w:top w:val="single" w:color="auto" w:sz="4" w:space="0"/>
              <w:left w:val="single" w:color="auto" w:sz="4" w:space="0"/>
              <w:bottom w:val="single" w:color="auto" w:sz="4" w:space="0"/>
              <w:right w:val="single" w:color="auto" w:sz="4" w:space="0"/>
            </w:tcBorders>
            <w:vAlign w:val="center"/>
          </w:tcPr>
          <w:p w14:paraId="6F04F62E">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14:paraId="2F4C212E">
        <w:tblPrEx>
          <w:tblCellMar>
            <w:top w:w="0" w:type="dxa"/>
            <w:left w:w="108" w:type="dxa"/>
            <w:bottom w:w="0" w:type="dxa"/>
            <w:right w:w="108" w:type="dxa"/>
          </w:tblCellMar>
        </w:tblPrEx>
        <w:trPr>
          <w:trHeight w:val="285" w:hRule="atLeast"/>
        </w:trPr>
        <w:tc>
          <w:tcPr>
            <w:tcW w:w="1154" w:type="dxa"/>
            <w:vMerge w:val="continue"/>
            <w:tcBorders>
              <w:top w:val="single" w:color="auto" w:sz="4" w:space="0"/>
              <w:left w:val="single" w:color="auto" w:sz="4" w:space="0"/>
              <w:bottom w:val="single" w:color="auto" w:sz="4" w:space="0"/>
              <w:right w:val="single" w:color="auto" w:sz="4" w:space="0"/>
            </w:tcBorders>
            <w:vAlign w:val="center"/>
          </w:tcPr>
          <w:p w14:paraId="27DF518E">
            <w:pPr>
              <w:rPr>
                <w:color w:val="000000"/>
              </w:rPr>
            </w:pPr>
          </w:p>
        </w:tc>
        <w:tc>
          <w:tcPr>
            <w:tcW w:w="5996" w:type="dxa"/>
            <w:tcBorders>
              <w:top w:val="single" w:color="auto" w:sz="4" w:space="0"/>
              <w:left w:val="single" w:color="auto" w:sz="4" w:space="0"/>
              <w:bottom w:val="single" w:color="auto" w:sz="4" w:space="0"/>
              <w:right w:val="single" w:color="auto" w:sz="4" w:space="0"/>
            </w:tcBorders>
            <w:vAlign w:val="center"/>
          </w:tcPr>
          <w:p w14:paraId="34DB9221">
            <w:pPr>
              <w:rPr>
                <w:color w:val="000000"/>
              </w:rPr>
            </w:pPr>
            <w:r>
              <w:rPr>
                <w:rFonts w:hint="eastAsia"/>
                <w:color w:val="000000"/>
              </w:rPr>
              <w:t>造成一般及较大生产安全事故的</w:t>
            </w:r>
          </w:p>
        </w:tc>
        <w:tc>
          <w:tcPr>
            <w:tcW w:w="1234" w:type="dxa"/>
            <w:vMerge w:val="continue"/>
            <w:tcBorders>
              <w:top w:val="single" w:color="auto" w:sz="4" w:space="0"/>
              <w:left w:val="single" w:color="auto" w:sz="4" w:space="0"/>
              <w:bottom w:val="single" w:color="auto" w:sz="4" w:space="0"/>
              <w:right w:val="single" w:color="auto" w:sz="4" w:space="0"/>
            </w:tcBorders>
            <w:vAlign w:val="center"/>
          </w:tcPr>
          <w:p w14:paraId="6E52D6EC">
            <w:pPr>
              <w:rPr>
                <w:color w:val="000000"/>
              </w:rPr>
            </w:pPr>
          </w:p>
        </w:tc>
        <w:tc>
          <w:tcPr>
            <w:tcW w:w="5646" w:type="dxa"/>
            <w:tcBorders>
              <w:top w:val="single" w:color="auto" w:sz="4" w:space="0"/>
              <w:left w:val="single" w:color="auto" w:sz="4" w:space="0"/>
              <w:bottom w:val="single" w:color="auto" w:sz="4" w:space="0"/>
              <w:right w:val="single" w:color="auto" w:sz="4" w:space="0"/>
            </w:tcBorders>
            <w:vAlign w:val="center"/>
          </w:tcPr>
          <w:p w14:paraId="0D98CE6A">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14:paraId="0ACD5FFE">
        <w:tblPrEx>
          <w:tblCellMar>
            <w:top w:w="0" w:type="dxa"/>
            <w:left w:w="108" w:type="dxa"/>
            <w:bottom w:w="0" w:type="dxa"/>
            <w:right w:w="108" w:type="dxa"/>
          </w:tblCellMar>
        </w:tblPrEx>
        <w:trPr>
          <w:trHeight w:val="285" w:hRule="atLeast"/>
        </w:trPr>
        <w:tc>
          <w:tcPr>
            <w:tcW w:w="1154" w:type="dxa"/>
            <w:vMerge w:val="continue"/>
            <w:tcBorders>
              <w:top w:val="single" w:color="auto" w:sz="4" w:space="0"/>
              <w:left w:val="single" w:color="auto" w:sz="4" w:space="0"/>
              <w:bottom w:val="single" w:color="auto" w:sz="4" w:space="0"/>
              <w:right w:val="single" w:color="auto" w:sz="4" w:space="0"/>
            </w:tcBorders>
            <w:vAlign w:val="center"/>
          </w:tcPr>
          <w:p w14:paraId="5BB3CC1B">
            <w:pPr>
              <w:rPr>
                <w:color w:val="000000"/>
              </w:rPr>
            </w:pPr>
          </w:p>
        </w:tc>
        <w:tc>
          <w:tcPr>
            <w:tcW w:w="5996" w:type="dxa"/>
            <w:tcBorders>
              <w:top w:val="single" w:color="auto" w:sz="4" w:space="0"/>
              <w:left w:val="single" w:color="auto" w:sz="4" w:space="0"/>
              <w:bottom w:val="single" w:color="auto" w:sz="4" w:space="0"/>
              <w:right w:val="single" w:color="auto" w:sz="4" w:space="0"/>
            </w:tcBorders>
            <w:vAlign w:val="center"/>
          </w:tcPr>
          <w:p w14:paraId="1E3692E4">
            <w:pPr>
              <w:rPr>
                <w:color w:val="000000"/>
              </w:rPr>
            </w:pPr>
            <w:r>
              <w:rPr>
                <w:rFonts w:hint="eastAsia"/>
                <w:color w:val="000000"/>
              </w:rPr>
              <w:t>造成重大以上生产安全事故的</w:t>
            </w:r>
          </w:p>
        </w:tc>
        <w:tc>
          <w:tcPr>
            <w:tcW w:w="1234" w:type="dxa"/>
            <w:vMerge w:val="continue"/>
            <w:tcBorders>
              <w:top w:val="single" w:color="auto" w:sz="4" w:space="0"/>
              <w:left w:val="single" w:color="auto" w:sz="4" w:space="0"/>
              <w:bottom w:val="single" w:color="auto" w:sz="4" w:space="0"/>
              <w:right w:val="single" w:color="auto" w:sz="4" w:space="0"/>
            </w:tcBorders>
            <w:vAlign w:val="center"/>
          </w:tcPr>
          <w:p w14:paraId="02D3127F">
            <w:pPr>
              <w:rPr>
                <w:color w:val="000000"/>
              </w:rPr>
            </w:pPr>
          </w:p>
        </w:tc>
        <w:tc>
          <w:tcPr>
            <w:tcW w:w="5646" w:type="dxa"/>
            <w:tcBorders>
              <w:top w:val="single" w:color="auto" w:sz="4" w:space="0"/>
              <w:left w:val="single" w:color="auto" w:sz="4" w:space="0"/>
              <w:bottom w:val="single" w:color="auto" w:sz="4" w:space="0"/>
              <w:right w:val="single" w:color="auto" w:sz="4" w:space="0"/>
            </w:tcBorders>
            <w:vAlign w:val="center"/>
          </w:tcPr>
          <w:p w14:paraId="4A4EEA0E">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bl>
    <w:p w14:paraId="56DD336C"/>
    <w:p w14:paraId="29EFCFB2"/>
    <w:p w14:paraId="2A0BF2E8"/>
    <w:p w14:paraId="52CB72FB"/>
    <w:p w14:paraId="1BBF0208"/>
    <w:p w14:paraId="40835523"/>
    <w:p w14:paraId="48E5BE13"/>
    <w:p w14:paraId="30E9D59B"/>
    <w:tbl>
      <w:tblPr>
        <w:tblStyle w:val="15"/>
        <w:tblW w:w="0" w:type="auto"/>
        <w:tblInd w:w="79"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21FA01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tcBorders>
              <w:top w:val="single" w:color="auto" w:sz="8" w:space="0"/>
            </w:tcBorders>
            <w:vAlign w:val="center"/>
          </w:tcPr>
          <w:p w14:paraId="1C94D37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tcBorders>
            <w:vAlign w:val="center"/>
          </w:tcPr>
          <w:p w14:paraId="5361CD3E">
            <w:pPr>
              <w:spacing w:line="320" w:lineRule="exact"/>
              <w:jc w:val="left"/>
              <w:rPr>
                <w:rFonts w:eastAsia="仿宋_GB2312"/>
                <w:b/>
                <w:bCs/>
                <w:color w:val="000000"/>
                <w:kern w:val="0"/>
                <w:sz w:val="18"/>
                <w:szCs w:val="18"/>
              </w:rPr>
            </w:pPr>
            <w:r>
              <w:rPr>
                <w:rFonts w:eastAsia="仿宋_GB2312"/>
                <w:b/>
                <w:bCs/>
                <w:color w:val="000000"/>
                <w:kern w:val="0"/>
                <w:sz w:val="18"/>
                <w:szCs w:val="18"/>
              </w:rPr>
              <w:t>320217340000</w:t>
            </w:r>
          </w:p>
        </w:tc>
      </w:tr>
      <w:tr w14:paraId="070FB5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220F9F0">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vAlign w:val="center"/>
          </w:tcPr>
          <w:p w14:paraId="209EDBCE">
            <w:pPr>
              <w:spacing w:line="320" w:lineRule="exact"/>
              <w:jc w:val="left"/>
              <w:rPr>
                <w:color w:val="000000"/>
                <w:kern w:val="0"/>
                <w:sz w:val="18"/>
                <w:szCs w:val="18"/>
              </w:rPr>
            </w:pPr>
            <w:r>
              <w:rPr>
                <w:rFonts w:hint="eastAsia"/>
                <w:color w:val="000000"/>
                <w:kern w:val="0"/>
                <w:sz w:val="18"/>
                <w:szCs w:val="18"/>
              </w:rPr>
              <w:t>对工程建设中介服务机构同时接受发包人和承包人对同一工程项目的有关业务委托的处罚</w:t>
            </w:r>
          </w:p>
        </w:tc>
      </w:tr>
      <w:tr w14:paraId="653119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1030" w:type="dxa"/>
            <w:vAlign w:val="center"/>
          </w:tcPr>
          <w:p w14:paraId="659FDE7D">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vAlign w:val="center"/>
          </w:tcPr>
          <w:p w14:paraId="6EDE29AB">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第二十四条第一款第二项　</w:t>
            </w:r>
            <w:r>
              <w:rPr>
                <w:color w:val="000000"/>
                <w:kern w:val="0"/>
                <w:sz w:val="18"/>
                <w:szCs w:val="18"/>
              </w:rPr>
              <w:t xml:space="preserve"> </w:t>
            </w:r>
            <w:r>
              <w:rPr>
                <w:rFonts w:hint="eastAsia"/>
                <w:color w:val="000000"/>
                <w:kern w:val="0"/>
                <w:sz w:val="18"/>
                <w:szCs w:val="18"/>
              </w:rPr>
              <w:t>工程建设中介服务机构不得实施下列行为：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（二）同时接受发包人和承包人对同一工程项目的有关业务委托；</w:t>
            </w:r>
            <w:r>
              <w:rPr>
                <w:color w:val="000000"/>
                <w:kern w:val="0"/>
                <w:sz w:val="18"/>
                <w:szCs w:val="18"/>
              </w:rPr>
              <w:br w:type="textWrapping"/>
            </w:r>
            <w:r>
              <w:rPr>
                <w:rFonts w:hint="eastAsia"/>
                <w:color w:val="000000"/>
                <w:kern w:val="0"/>
                <w:sz w:val="18"/>
                <w:szCs w:val="18"/>
              </w:rPr>
              <w:t>第五十条　工程造价咨询单位、招标代理机构和工程检测单位有违反本条例第二十四条第一款第（二）项规定行为的，由建设行政主管部门责令改正，没收违法所得，处以一万元以上五万元以下的罚款。</w:t>
            </w:r>
          </w:p>
        </w:tc>
      </w:tr>
      <w:tr w14:paraId="72E357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028E4D1C">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vAlign w:val="center"/>
          </w:tcPr>
          <w:p w14:paraId="0A20540E">
            <w:pPr>
              <w:spacing w:line="320" w:lineRule="exact"/>
              <w:jc w:val="left"/>
              <w:rPr>
                <w:color w:val="000000"/>
                <w:kern w:val="0"/>
                <w:sz w:val="18"/>
                <w:szCs w:val="18"/>
              </w:rPr>
            </w:pPr>
            <w:r>
              <w:rPr>
                <w:rFonts w:hint="eastAsia"/>
                <w:color w:val="000000"/>
                <w:kern w:val="0"/>
                <w:sz w:val="18"/>
                <w:szCs w:val="18"/>
              </w:rPr>
              <w:t>没收违法所得，罚款</w:t>
            </w:r>
          </w:p>
        </w:tc>
      </w:tr>
      <w:tr w14:paraId="40E857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6C0DFDF1">
            <w:pPr>
              <w:spacing w:line="320" w:lineRule="exact"/>
              <w:jc w:val="center"/>
              <w:rPr>
                <w:color w:val="000000"/>
                <w:kern w:val="0"/>
                <w:sz w:val="18"/>
                <w:szCs w:val="18"/>
              </w:rPr>
            </w:pPr>
            <w:r>
              <w:rPr>
                <w:rFonts w:hint="eastAsia"/>
                <w:color w:val="000000"/>
                <w:kern w:val="0"/>
                <w:sz w:val="18"/>
                <w:szCs w:val="18"/>
              </w:rPr>
              <w:t>裁量基准</w:t>
            </w:r>
          </w:p>
        </w:tc>
      </w:tr>
      <w:tr w14:paraId="53A8B5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30" w:type="dxa"/>
            <w:vMerge w:val="restart"/>
            <w:vAlign w:val="center"/>
          </w:tcPr>
          <w:p w14:paraId="43185937">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14:paraId="3C393456">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14:paraId="39E1FF22">
            <w:pPr>
              <w:spacing w:line="320" w:lineRule="exact"/>
              <w:jc w:val="left"/>
              <w:rPr>
                <w:color w:val="000000"/>
                <w:kern w:val="0"/>
                <w:sz w:val="18"/>
                <w:szCs w:val="18"/>
              </w:rPr>
            </w:pPr>
            <w:r>
              <w:rPr>
                <w:rFonts w:hint="eastAsia"/>
                <w:color w:val="000000"/>
                <w:kern w:val="0"/>
                <w:sz w:val="18"/>
                <w:szCs w:val="18"/>
              </w:rPr>
              <w:t>裁量幅度</w:t>
            </w:r>
          </w:p>
        </w:tc>
        <w:tc>
          <w:tcPr>
            <w:tcW w:w="5820" w:type="dxa"/>
            <w:vAlign w:val="center"/>
          </w:tcPr>
          <w:p w14:paraId="36D89C6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59C8E5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tcBorders>
              <w:bottom w:val="single" w:color="auto" w:sz="8" w:space="0"/>
            </w:tcBorders>
            <w:vAlign w:val="center"/>
          </w:tcPr>
          <w:p w14:paraId="34BCD51F">
            <w:pPr>
              <w:spacing w:line="320" w:lineRule="exact"/>
              <w:jc w:val="left"/>
              <w:rPr>
                <w:color w:val="000000"/>
                <w:kern w:val="0"/>
                <w:sz w:val="18"/>
                <w:szCs w:val="18"/>
              </w:rPr>
            </w:pPr>
          </w:p>
        </w:tc>
        <w:tc>
          <w:tcPr>
            <w:tcW w:w="6140" w:type="dxa"/>
            <w:tcBorders>
              <w:bottom w:val="single" w:color="auto" w:sz="8" w:space="0"/>
            </w:tcBorders>
            <w:vAlign w:val="center"/>
          </w:tcPr>
          <w:p w14:paraId="2E680C3E">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tcBorders>
              <w:bottom w:val="single" w:color="auto" w:sz="8" w:space="0"/>
            </w:tcBorders>
            <w:vAlign w:val="center"/>
          </w:tcPr>
          <w:p w14:paraId="0AE8F2FE">
            <w:pPr>
              <w:spacing w:line="320" w:lineRule="exact"/>
              <w:jc w:val="left"/>
              <w:rPr>
                <w:color w:val="000000"/>
                <w:kern w:val="0"/>
                <w:sz w:val="18"/>
                <w:szCs w:val="18"/>
              </w:rPr>
            </w:pPr>
          </w:p>
        </w:tc>
        <w:tc>
          <w:tcPr>
            <w:tcW w:w="5820" w:type="dxa"/>
            <w:tcBorders>
              <w:bottom w:val="single" w:color="auto" w:sz="8" w:space="0"/>
            </w:tcBorders>
            <w:vAlign w:val="center"/>
          </w:tcPr>
          <w:p w14:paraId="1BFAEC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5074A4E1"/>
    <w:p w14:paraId="108BFCCD"/>
    <w:p w14:paraId="29B03EA4"/>
    <w:p w14:paraId="57093B40"/>
    <w:p w14:paraId="4F0CFEBD"/>
    <w:p w14:paraId="11B41ED3"/>
    <w:p w14:paraId="0EBDFC41"/>
    <w:p w14:paraId="7CB158FB"/>
    <w:p w14:paraId="4C944D8D"/>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696F003E">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shd w:val="clear" w:color="auto" w:fill="FFFFFF"/>
            <w:vAlign w:val="center"/>
          </w:tcPr>
          <w:p w14:paraId="6FB6A21B">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auto" w:sz="4" w:space="0"/>
            </w:tcBorders>
            <w:shd w:val="clear" w:color="auto" w:fill="FFFFFF"/>
            <w:vAlign w:val="center"/>
          </w:tcPr>
          <w:p w14:paraId="2470C13F">
            <w:pPr>
              <w:spacing w:line="320" w:lineRule="exact"/>
              <w:jc w:val="left"/>
              <w:rPr>
                <w:rFonts w:eastAsia="仿宋_GB2312"/>
                <w:b/>
                <w:bCs/>
                <w:color w:val="000000"/>
                <w:kern w:val="0"/>
                <w:sz w:val="18"/>
                <w:szCs w:val="18"/>
              </w:rPr>
            </w:pPr>
            <w:r>
              <w:rPr>
                <w:rFonts w:eastAsia="仿宋_GB2312"/>
                <w:b/>
                <w:bCs/>
                <w:color w:val="000000"/>
                <w:kern w:val="0"/>
                <w:sz w:val="18"/>
                <w:szCs w:val="18"/>
              </w:rPr>
              <w:t>320217341000</w:t>
            </w:r>
          </w:p>
        </w:tc>
      </w:tr>
      <w:tr w14:paraId="60F45902">
        <w:tblPrEx>
          <w:tblCellMar>
            <w:top w:w="0" w:type="dxa"/>
            <w:left w:w="108" w:type="dxa"/>
            <w:bottom w:w="0" w:type="dxa"/>
            <w:right w:w="108" w:type="dxa"/>
          </w:tblCellMar>
        </w:tblPrEx>
        <w:trPr>
          <w:trHeight w:val="540" w:hRule="atLeast"/>
        </w:trPr>
        <w:tc>
          <w:tcPr>
            <w:tcW w:w="1030" w:type="dxa"/>
            <w:tcBorders>
              <w:top w:val="nil"/>
              <w:left w:val="single" w:color="auto" w:sz="8" w:space="0"/>
              <w:bottom w:val="single" w:color="auto" w:sz="4" w:space="0"/>
              <w:right w:val="single" w:color="auto" w:sz="4" w:space="0"/>
            </w:tcBorders>
            <w:shd w:val="clear" w:color="auto" w:fill="FFFFFF"/>
            <w:vAlign w:val="center"/>
          </w:tcPr>
          <w:p w14:paraId="77666CD4">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auto" w:sz="4" w:space="0"/>
            </w:tcBorders>
            <w:shd w:val="clear" w:color="auto" w:fill="FFFFFF"/>
            <w:vAlign w:val="center"/>
          </w:tcPr>
          <w:p w14:paraId="77371BD4">
            <w:pPr>
              <w:spacing w:line="320" w:lineRule="exact"/>
              <w:jc w:val="left"/>
              <w:rPr>
                <w:color w:val="000000"/>
                <w:kern w:val="0"/>
                <w:sz w:val="18"/>
                <w:szCs w:val="18"/>
              </w:rPr>
            </w:pPr>
            <w:r>
              <w:rPr>
                <w:rFonts w:hint="eastAsia"/>
                <w:color w:val="000000"/>
                <w:kern w:val="0"/>
                <w:sz w:val="18"/>
                <w:szCs w:val="18"/>
              </w:rPr>
              <w:t>对建设工程交易中心未制定章程和规则，未及时、准确地发布工程信息，采取歧视性的措施限制或者排斥符合条件的单位参加竞争，取代招标投标等管理机构的监督职能，取代招标人依法组织招标的权利，行使工程招标代理机构的职能等行为的处罚</w:t>
            </w:r>
          </w:p>
        </w:tc>
      </w:tr>
      <w:tr w14:paraId="254527C2">
        <w:tblPrEx>
          <w:tblCellMar>
            <w:top w:w="0" w:type="dxa"/>
            <w:left w:w="108" w:type="dxa"/>
            <w:bottom w:w="0" w:type="dxa"/>
            <w:right w:w="108" w:type="dxa"/>
          </w:tblCellMar>
        </w:tblPrEx>
        <w:trPr>
          <w:trHeight w:val="1335" w:hRule="atLeast"/>
        </w:trPr>
        <w:tc>
          <w:tcPr>
            <w:tcW w:w="1030" w:type="dxa"/>
            <w:tcBorders>
              <w:top w:val="nil"/>
              <w:left w:val="single" w:color="auto" w:sz="8" w:space="0"/>
              <w:bottom w:val="single" w:color="auto" w:sz="4" w:space="0"/>
              <w:right w:val="single" w:color="auto" w:sz="4" w:space="0"/>
            </w:tcBorders>
            <w:shd w:val="clear" w:color="auto" w:fill="FFFFFF"/>
            <w:vAlign w:val="center"/>
          </w:tcPr>
          <w:p w14:paraId="200D3A0A">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auto" w:sz="4" w:space="0"/>
            </w:tcBorders>
            <w:shd w:val="clear" w:color="auto" w:fill="FFFFFF"/>
            <w:vAlign w:val="center"/>
          </w:tcPr>
          <w:p w14:paraId="4DBEB3DE">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第四十一条　建设工程交易中心必须制定章程和规则，及时、准确地发布工程信息，不得采取歧视性的措施限制或者排斥符合条件的单位参加竞争，不得取代招标投标等管理机构的监督职能，不得取代招标人依法组织招标的权利，也不得行使工程招标代理机构的职能。</w:t>
            </w:r>
            <w:r>
              <w:rPr>
                <w:color w:val="000000"/>
                <w:kern w:val="0"/>
                <w:sz w:val="18"/>
                <w:szCs w:val="18"/>
              </w:rPr>
              <w:br w:type="textWrapping"/>
            </w:r>
            <w:r>
              <w:rPr>
                <w:rFonts w:hint="eastAsia"/>
                <w:color w:val="000000"/>
                <w:kern w:val="0"/>
                <w:sz w:val="18"/>
                <w:szCs w:val="18"/>
              </w:rPr>
              <w:t>第五十二条　建设工程交易中心有违反本条例第四十一条规定行为的，由建设行政主管部门责令改正，处以警告；拒不改正的，对其主要负责人和直接责任人员处以一千元以上五千元以下的罚款。</w:t>
            </w:r>
          </w:p>
        </w:tc>
      </w:tr>
      <w:tr w14:paraId="15E81AEE">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shd w:val="clear" w:color="auto" w:fill="FFFFFF"/>
            <w:vAlign w:val="center"/>
          </w:tcPr>
          <w:p w14:paraId="3649FF40">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auto" w:sz="4" w:space="0"/>
            </w:tcBorders>
            <w:shd w:val="clear" w:color="auto" w:fill="FFFFFF"/>
            <w:vAlign w:val="center"/>
          </w:tcPr>
          <w:p w14:paraId="59CE637B">
            <w:pPr>
              <w:spacing w:line="320" w:lineRule="exact"/>
              <w:jc w:val="left"/>
              <w:rPr>
                <w:color w:val="000000"/>
                <w:kern w:val="0"/>
                <w:sz w:val="18"/>
                <w:szCs w:val="18"/>
              </w:rPr>
            </w:pPr>
            <w:r>
              <w:rPr>
                <w:rFonts w:hint="eastAsia"/>
                <w:color w:val="000000"/>
                <w:kern w:val="0"/>
                <w:sz w:val="18"/>
                <w:szCs w:val="18"/>
              </w:rPr>
              <w:t>警告，罚款</w:t>
            </w:r>
          </w:p>
        </w:tc>
      </w:tr>
      <w:tr w14:paraId="7C6988D4">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4" w:space="0"/>
            </w:tcBorders>
            <w:shd w:val="clear" w:color="auto" w:fill="FFFFFF"/>
            <w:vAlign w:val="center"/>
          </w:tcPr>
          <w:p w14:paraId="03CC56D8">
            <w:pPr>
              <w:spacing w:line="320" w:lineRule="exact"/>
              <w:jc w:val="center"/>
              <w:rPr>
                <w:color w:val="000000"/>
                <w:kern w:val="0"/>
                <w:sz w:val="18"/>
                <w:szCs w:val="18"/>
              </w:rPr>
            </w:pPr>
            <w:r>
              <w:rPr>
                <w:rFonts w:hint="eastAsia"/>
                <w:color w:val="000000"/>
                <w:kern w:val="0"/>
                <w:sz w:val="18"/>
                <w:szCs w:val="18"/>
              </w:rPr>
              <w:t>裁量基准</w:t>
            </w:r>
          </w:p>
        </w:tc>
      </w:tr>
      <w:tr w14:paraId="36630AB5">
        <w:tblPrEx>
          <w:tblCellMar>
            <w:top w:w="0" w:type="dxa"/>
            <w:left w:w="108" w:type="dxa"/>
            <w:bottom w:w="0" w:type="dxa"/>
            <w:right w:w="108" w:type="dxa"/>
          </w:tblCellMar>
        </w:tblPrEx>
        <w:trPr>
          <w:trHeight w:val="285" w:hRule="atLeast"/>
        </w:trPr>
        <w:tc>
          <w:tcPr>
            <w:tcW w:w="1030" w:type="dxa"/>
            <w:vMerge w:val="restart"/>
            <w:tcBorders>
              <w:top w:val="nil"/>
              <w:left w:val="single" w:color="auto" w:sz="8" w:space="0"/>
              <w:bottom w:val="single" w:color="auto" w:sz="4" w:space="0"/>
              <w:right w:val="single" w:color="auto" w:sz="4" w:space="0"/>
            </w:tcBorders>
            <w:shd w:val="clear" w:color="auto" w:fill="FFFFFF"/>
            <w:vAlign w:val="center"/>
          </w:tcPr>
          <w:p w14:paraId="30D7305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shd w:val="clear" w:color="auto" w:fill="FFFFFF"/>
            <w:vAlign w:val="center"/>
          </w:tcPr>
          <w:p w14:paraId="625B72F8">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color="auto" w:sz="4" w:space="0"/>
              <w:bottom w:val="single" w:color="auto" w:sz="4" w:space="0"/>
              <w:right w:val="single" w:color="auto" w:sz="4" w:space="0"/>
            </w:tcBorders>
            <w:shd w:val="clear" w:color="auto" w:fill="FFFFFF"/>
            <w:vAlign w:val="center"/>
          </w:tcPr>
          <w:p w14:paraId="14AB1D6F">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4" w:space="0"/>
            </w:tcBorders>
            <w:shd w:val="clear" w:color="auto" w:fill="FFFFFF"/>
            <w:vAlign w:val="center"/>
          </w:tcPr>
          <w:p w14:paraId="3CB707A7">
            <w:pPr>
              <w:spacing w:line="320" w:lineRule="exact"/>
              <w:jc w:val="left"/>
              <w:rPr>
                <w:color w:val="000000"/>
                <w:kern w:val="0"/>
                <w:sz w:val="18"/>
                <w:szCs w:val="18"/>
              </w:rPr>
            </w:pPr>
            <w:r>
              <w:rPr>
                <w:rFonts w:hint="eastAsia"/>
                <w:color w:val="000000"/>
                <w:kern w:val="0"/>
                <w:sz w:val="18"/>
                <w:szCs w:val="18"/>
              </w:rPr>
              <w:t>警告</w:t>
            </w:r>
          </w:p>
        </w:tc>
      </w:tr>
      <w:tr w14:paraId="3D2BF913">
        <w:tblPrEx>
          <w:tblCellMar>
            <w:top w:w="0" w:type="dxa"/>
            <w:left w:w="108" w:type="dxa"/>
            <w:bottom w:w="0" w:type="dxa"/>
            <w:right w:w="108" w:type="dxa"/>
          </w:tblCellMar>
        </w:tblPrEx>
        <w:trPr>
          <w:trHeight w:val="285" w:hRule="atLeast"/>
        </w:trPr>
        <w:tc>
          <w:tcPr>
            <w:tcW w:w="1030" w:type="dxa"/>
            <w:vMerge w:val="continue"/>
            <w:tcBorders>
              <w:top w:val="nil"/>
              <w:left w:val="single" w:color="auto" w:sz="8" w:space="0"/>
              <w:bottom w:val="single" w:color="auto" w:sz="4" w:space="0"/>
              <w:right w:val="single" w:color="auto" w:sz="4" w:space="0"/>
            </w:tcBorders>
            <w:shd w:val="clear" w:color="auto" w:fill="FFFFFF"/>
            <w:vAlign w:val="center"/>
          </w:tcPr>
          <w:p w14:paraId="1390F55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shd w:val="clear" w:color="auto" w:fill="FFFFFF"/>
            <w:vAlign w:val="center"/>
          </w:tcPr>
          <w:p w14:paraId="26060D84">
            <w:pPr>
              <w:spacing w:line="320" w:lineRule="exact"/>
              <w:jc w:val="left"/>
              <w:rPr>
                <w:color w:val="000000"/>
                <w:kern w:val="0"/>
                <w:sz w:val="18"/>
                <w:szCs w:val="18"/>
              </w:rPr>
            </w:pPr>
            <w:r>
              <w:rPr>
                <w:rFonts w:hint="eastAsia"/>
                <w:color w:val="000000"/>
                <w:kern w:val="0"/>
                <w:sz w:val="18"/>
                <w:szCs w:val="18"/>
              </w:rPr>
              <w:t>未按照要求整改，仍存在</w:t>
            </w:r>
            <w:r>
              <w:rPr>
                <w:color w:val="000000"/>
                <w:kern w:val="0"/>
                <w:sz w:val="18"/>
                <w:szCs w:val="18"/>
              </w:rPr>
              <w:t>1</w:t>
            </w:r>
            <w:r>
              <w:rPr>
                <w:rFonts w:hint="eastAsia"/>
                <w:color w:val="000000"/>
                <w:kern w:val="0"/>
                <w:sz w:val="18"/>
                <w:szCs w:val="18"/>
              </w:rPr>
              <w:t>种行为的</w:t>
            </w:r>
          </w:p>
        </w:tc>
        <w:tc>
          <w:tcPr>
            <w:tcW w:w="1080" w:type="dxa"/>
            <w:vMerge w:val="continue"/>
            <w:tcBorders>
              <w:top w:val="nil"/>
              <w:left w:val="single" w:color="auto" w:sz="4" w:space="0"/>
              <w:bottom w:val="single" w:color="auto" w:sz="4" w:space="0"/>
              <w:right w:val="single" w:color="auto" w:sz="4" w:space="0"/>
            </w:tcBorders>
            <w:shd w:val="clear" w:color="auto" w:fill="FFFFFF"/>
            <w:vAlign w:val="center"/>
          </w:tcPr>
          <w:p w14:paraId="5E0E41BA">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shd w:val="clear" w:color="auto" w:fill="FFFFFF"/>
            <w:vAlign w:val="center"/>
          </w:tcPr>
          <w:p w14:paraId="66B839B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14:paraId="5177CE9C">
        <w:tblPrEx>
          <w:tblCellMar>
            <w:top w:w="0" w:type="dxa"/>
            <w:left w:w="108" w:type="dxa"/>
            <w:bottom w:w="0" w:type="dxa"/>
            <w:right w:w="108" w:type="dxa"/>
          </w:tblCellMar>
        </w:tblPrEx>
        <w:trPr>
          <w:trHeight w:val="285" w:hRule="atLeast"/>
        </w:trPr>
        <w:tc>
          <w:tcPr>
            <w:tcW w:w="1030" w:type="dxa"/>
            <w:vMerge w:val="continue"/>
            <w:tcBorders>
              <w:top w:val="nil"/>
              <w:left w:val="single" w:color="auto" w:sz="8" w:space="0"/>
              <w:bottom w:val="single" w:color="auto" w:sz="4" w:space="0"/>
              <w:right w:val="single" w:color="auto" w:sz="4" w:space="0"/>
            </w:tcBorders>
            <w:shd w:val="clear" w:color="auto" w:fill="auto"/>
            <w:vAlign w:val="center"/>
          </w:tcPr>
          <w:p w14:paraId="5E9ED0F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shd w:val="clear" w:color="auto" w:fill="FFFFFF"/>
            <w:vAlign w:val="center"/>
          </w:tcPr>
          <w:p w14:paraId="56DE3239">
            <w:pPr>
              <w:spacing w:line="320" w:lineRule="exact"/>
              <w:jc w:val="left"/>
              <w:rPr>
                <w:color w:val="000000"/>
                <w:kern w:val="0"/>
                <w:sz w:val="18"/>
                <w:szCs w:val="18"/>
              </w:rPr>
            </w:pPr>
            <w:r>
              <w:rPr>
                <w:rFonts w:hint="eastAsia"/>
                <w:color w:val="000000"/>
                <w:kern w:val="0"/>
                <w:sz w:val="18"/>
                <w:szCs w:val="18"/>
              </w:rPr>
              <w:t>未按照要求整改，仍存在</w:t>
            </w:r>
            <w:r>
              <w:rPr>
                <w:color w:val="000000"/>
                <w:kern w:val="0"/>
                <w:sz w:val="18"/>
                <w:szCs w:val="18"/>
              </w:rPr>
              <w:t>2</w:t>
            </w:r>
            <w:r>
              <w:rPr>
                <w:rFonts w:hint="eastAsia"/>
                <w:color w:val="000000"/>
                <w:kern w:val="0"/>
                <w:sz w:val="18"/>
                <w:szCs w:val="18"/>
              </w:rPr>
              <w:t>种行为的</w:t>
            </w:r>
          </w:p>
        </w:tc>
        <w:tc>
          <w:tcPr>
            <w:tcW w:w="1080" w:type="dxa"/>
            <w:vMerge w:val="continue"/>
            <w:tcBorders>
              <w:top w:val="nil"/>
              <w:left w:val="single" w:color="auto" w:sz="4" w:space="0"/>
              <w:bottom w:val="single" w:color="auto" w:sz="4" w:space="0"/>
              <w:right w:val="single" w:color="auto" w:sz="4" w:space="0"/>
            </w:tcBorders>
            <w:shd w:val="clear" w:color="auto" w:fill="auto"/>
            <w:vAlign w:val="center"/>
          </w:tcPr>
          <w:p w14:paraId="0225FA61">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shd w:val="clear" w:color="auto" w:fill="FFFFFF"/>
            <w:vAlign w:val="center"/>
          </w:tcPr>
          <w:p w14:paraId="10CE5039">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08556375">
        <w:tblPrEx>
          <w:tblCellMar>
            <w:top w:w="0" w:type="dxa"/>
            <w:left w:w="108" w:type="dxa"/>
            <w:bottom w:w="0" w:type="dxa"/>
            <w:right w:w="108" w:type="dxa"/>
          </w:tblCellMar>
        </w:tblPrEx>
        <w:trPr>
          <w:trHeight w:val="285" w:hRule="atLeast"/>
        </w:trPr>
        <w:tc>
          <w:tcPr>
            <w:tcW w:w="1030" w:type="dxa"/>
            <w:vMerge w:val="continue"/>
            <w:tcBorders>
              <w:top w:val="nil"/>
              <w:left w:val="single" w:color="auto" w:sz="8" w:space="0"/>
              <w:bottom w:val="single" w:color="auto" w:sz="4" w:space="0"/>
              <w:right w:val="single" w:color="auto" w:sz="4" w:space="0"/>
            </w:tcBorders>
            <w:shd w:val="clear" w:color="auto" w:fill="auto"/>
            <w:vAlign w:val="center"/>
          </w:tcPr>
          <w:p w14:paraId="26B91CE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shd w:val="clear" w:color="auto" w:fill="FFFFFF"/>
            <w:vAlign w:val="center"/>
          </w:tcPr>
          <w:p w14:paraId="1E2535F4">
            <w:pPr>
              <w:spacing w:line="320" w:lineRule="exact"/>
              <w:jc w:val="left"/>
              <w:rPr>
                <w:color w:val="000000"/>
                <w:kern w:val="0"/>
                <w:sz w:val="18"/>
                <w:szCs w:val="18"/>
              </w:rPr>
            </w:pPr>
            <w:r>
              <w:rPr>
                <w:rFonts w:hint="eastAsia"/>
                <w:color w:val="000000"/>
                <w:kern w:val="0"/>
                <w:sz w:val="18"/>
                <w:szCs w:val="18"/>
              </w:rPr>
              <w:t>未按照要求整改，仍存在</w:t>
            </w:r>
            <w:r>
              <w:rPr>
                <w:color w:val="000000"/>
                <w:kern w:val="0"/>
                <w:sz w:val="18"/>
                <w:szCs w:val="18"/>
              </w:rPr>
              <w:t>3</w:t>
            </w:r>
            <w:r>
              <w:rPr>
                <w:rFonts w:hint="eastAsia"/>
                <w:color w:val="000000"/>
                <w:kern w:val="0"/>
                <w:sz w:val="18"/>
                <w:szCs w:val="18"/>
              </w:rPr>
              <w:t>种及以上行为的</w:t>
            </w:r>
          </w:p>
        </w:tc>
        <w:tc>
          <w:tcPr>
            <w:tcW w:w="1080" w:type="dxa"/>
            <w:vMerge w:val="continue"/>
            <w:tcBorders>
              <w:top w:val="nil"/>
              <w:left w:val="single" w:color="auto" w:sz="4" w:space="0"/>
              <w:bottom w:val="single" w:color="auto" w:sz="4" w:space="0"/>
              <w:right w:val="single" w:color="auto" w:sz="4" w:space="0"/>
            </w:tcBorders>
            <w:shd w:val="clear" w:color="auto" w:fill="auto"/>
            <w:vAlign w:val="center"/>
          </w:tcPr>
          <w:p w14:paraId="4927349B">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shd w:val="clear" w:color="auto" w:fill="FFFFFF"/>
            <w:vAlign w:val="center"/>
          </w:tcPr>
          <w:p w14:paraId="151A3A70">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2363FC7A"/>
    <w:p w14:paraId="2BD1331D"/>
    <w:p w14:paraId="0B0383E1"/>
    <w:p w14:paraId="35637F36"/>
    <w:p w14:paraId="1954EED8"/>
    <w:p w14:paraId="28133A13"/>
    <w:p w14:paraId="55258E08"/>
    <w:p w14:paraId="5B99CE07"/>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6B2C42C6">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4B87C18C">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7C7DED22">
            <w:pPr>
              <w:spacing w:line="320" w:lineRule="exact"/>
              <w:jc w:val="left"/>
              <w:rPr>
                <w:rFonts w:eastAsia="仿宋_GB2312"/>
                <w:b/>
                <w:color w:val="000000"/>
                <w:sz w:val="20"/>
              </w:rPr>
            </w:pPr>
            <w:r>
              <w:rPr>
                <w:rFonts w:eastAsia="仿宋_GB2312"/>
                <w:b/>
                <w:color w:val="000000"/>
                <w:sz w:val="20"/>
              </w:rPr>
              <w:t>320217342000</w:t>
            </w:r>
          </w:p>
        </w:tc>
      </w:tr>
      <w:tr w14:paraId="2163701B">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B51192E">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1B2D11F6">
            <w:pPr>
              <w:jc w:val="left"/>
              <w:rPr>
                <w:color w:val="000000"/>
                <w:sz w:val="20"/>
              </w:rPr>
            </w:pPr>
            <w:r>
              <w:rPr>
                <w:rFonts w:hint="eastAsia"/>
                <w:color w:val="000000"/>
                <w:sz w:val="20"/>
              </w:rPr>
              <w:t>对未按照规定对城市桥梁进行养护维修的处罚</w:t>
            </w:r>
          </w:p>
        </w:tc>
      </w:tr>
      <w:tr w14:paraId="71436C18">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15A74A1C">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28697D77">
            <w:pPr>
              <w:spacing w:line="320" w:lineRule="exact"/>
              <w:jc w:val="left"/>
              <w:rPr>
                <w:color w:val="000000"/>
                <w:kern w:val="0"/>
                <w:sz w:val="18"/>
                <w:szCs w:val="18"/>
              </w:rPr>
            </w:pPr>
            <w:r>
              <w:rPr>
                <w:rFonts w:hint="eastAsia"/>
                <w:color w:val="000000"/>
                <w:kern w:val="0"/>
                <w:sz w:val="18"/>
                <w:szCs w:val="18"/>
              </w:rPr>
              <w:t>【规章】《城市桥梁检测和养护维修管理办法》（建设部令第118号）</w:t>
            </w:r>
          </w:p>
          <w:p w14:paraId="752619B8">
            <w:pPr>
              <w:spacing w:line="320" w:lineRule="exact"/>
              <w:jc w:val="left"/>
              <w:rPr>
                <w:color w:val="000000"/>
                <w:kern w:val="0"/>
                <w:sz w:val="18"/>
                <w:szCs w:val="18"/>
              </w:rPr>
            </w:pPr>
            <w:r>
              <w:rPr>
                <w:rFonts w:hint="eastAsia"/>
                <w:color w:val="000000"/>
                <w:kern w:val="0"/>
                <w:sz w:val="18"/>
                <w:szCs w:val="18"/>
              </w:rPr>
              <w:t xml:space="preserve"> 第十二条 城市桥梁产权人或者委托管理人应当按照养护维修年度计划和技术规范对城市桥梁进行养护。城市人民政府市政工程设施行政主管部门应当按照计划定期对城市桥梁养护情况进行检查。   </w:t>
            </w:r>
          </w:p>
          <w:p w14:paraId="12EC9785">
            <w:pPr>
              <w:spacing w:line="320" w:lineRule="exact"/>
              <w:jc w:val="left"/>
              <w:rPr>
                <w:color w:val="000000"/>
                <w:kern w:val="0"/>
                <w:sz w:val="18"/>
                <w:szCs w:val="18"/>
              </w:rPr>
            </w:pPr>
            <w:r>
              <w:rPr>
                <w:rFonts w:hint="eastAsia"/>
                <w:color w:val="000000"/>
                <w:kern w:val="0"/>
                <w:sz w:val="18"/>
                <w:szCs w:val="18"/>
              </w:rPr>
              <w:t xml:space="preserve"> 第二十五条    城市桥梁产权人或者委托管理人有下列行为之一的，由城市人民政府市政工程设施行政主管部门责令限期改正，并可处1000元以上5000元以下的罚款:（五）未按照规定对城市桥梁进行养护维修的。</w:t>
            </w:r>
          </w:p>
        </w:tc>
      </w:tr>
      <w:tr w14:paraId="581FECE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E7155F4">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70B1E546">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323D66EF">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5E4C9CC8">
            <w:pPr>
              <w:spacing w:line="320" w:lineRule="exact"/>
              <w:jc w:val="center"/>
              <w:rPr>
                <w:color w:val="000000"/>
                <w:kern w:val="0"/>
                <w:sz w:val="18"/>
                <w:szCs w:val="18"/>
              </w:rPr>
            </w:pPr>
            <w:r>
              <w:rPr>
                <w:rFonts w:hint="eastAsia"/>
                <w:color w:val="000000"/>
                <w:kern w:val="0"/>
                <w:sz w:val="18"/>
                <w:szCs w:val="18"/>
              </w:rPr>
              <w:t>裁量基准</w:t>
            </w:r>
          </w:p>
        </w:tc>
      </w:tr>
      <w:tr w14:paraId="064AC572">
        <w:tblPrEx>
          <w:tblCellMar>
            <w:top w:w="0" w:type="dxa"/>
            <w:left w:w="108" w:type="dxa"/>
            <w:bottom w:w="0" w:type="dxa"/>
            <w:right w:w="108" w:type="dxa"/>
          </w:tblCellMar>
        </w:tblPrEx>
        <w:trPr>
          <w:trHeight w:val="285" w:hRule="atLeast"/>
        </w:trPr>
        <w:tc>
          <w:tcPr>
            <w:tcW w:w="1070" w:type="dxa"/>
            <w:vMerge w:val="restart"/>
            <w:tcBorders>
              <w:left w:val="single" w:color="auto" w:sz="8" w:space="0"/>
              <w:right w:val="single" w:color="auto" w:sz="4" w:space="0"/>
            </w:tcBorders>
            <w:vAlign w:val="center"/>
          </w:tcPr>
          <w:p w14:paraId="5FA1CCF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C4F0B4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restart"/>
            <w:tcBorders>
              <w:left w:val="single" w:color="auto" w:sz="4" w:space="0"/>
              <w:right w:val="single" w:color="auto" w:sz="4" w:space="0"/>
            </w:tcBorders>
            <w:vAlign w:val="center"/>
          </w:tcPr>
          <w:p w14:paraId="0736DEB2">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499C5C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14:paraId="0C6E14BB">
        <w:tblPrEx>
          <w:tblCellMar>
            <w:top w:w="0" w:type="dxa"/>
            <w:left w:w="108" w:type="dxa"/>
            <w:bottom w:w="0" w:type="dxa"/>
            <w:right w:w="108" w:type="dxa"/>
          </w:tblCellMar>
        </w:tblPrEx>
        <w:trPr>
          <w:trHeight w:val="240" w:hRule="atLeast"/>
        </w:trPr>
        <w:tc>
          <w:tcPr>
            <w:tcW w:w="1070" w:type="dxa"/>
            <w:vMerge w:val="continue"/>
            <w:tcBorders>
              <w:left w:val="single" w:color="auto" w:sz="8" w:space="0"/>
              <w:bottom w:val="single" w:color="auto" w:sz="4" w:space="0"/>
              <w:right w:val="single" w:color="auto" w:sz="4" w:space="0"/>
            </w:tcBorders>
            <w:vAlign w:val="center"/>
          </w:tcPr>
          <w:p w14:paraId="27D04863">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94CBAD2">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val="continue"/>
            <w:tcBorders>
              <w:left w:val="single" w:color="auto" w:sz="4" w:space="0"/>
              <w:bottom w:val="single" w:color="auto" w:sz="4" w:space="0"/>
              <w:right w:val="single" w:color="auto" w:sz="4" w:space="0"/>
            </w:tcBorders>
            <w:vAlign w:val="center"/>
          </w:tcPr>
          <w:p w14:paraId="5479BAFE">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06CC595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万元以上</w:t>
            </w:r>
            <w:r>
              <w:rPr>
                <w:color w:val="000000"/>
                <w:kern w:val="0"/>
                <w:sz w:val="18"/>
                <w:szCs w:val="18"/>
              </w:rPr>
              <w:t>5000</w:t>
            </w:r>
            <w:r>
              <w:rPr>
                <w:rFonts w:hint="eastAsia"/>
                <w:color w:val="000000"/>
                <w:kern w:val="0"/>
                <w:sz w:val="18"/>
                <w:szCs w:val="18"/>
              </w:rPr>
              <w:t>元以下罚款</w:t>
            </w:r>
          </w:p>
        </w:tc>
      </w:tr>
    </w:tbl>
    <w:p w14:paraId="6489B28C"/>
    <w:p w14:paraId="70EC22A1"/>
    <w:p w14:paraId="64C4A9B9"/>
    <w:p w14:paraId="2C3D9596"/>
    <w:p w14:paraId="5720AB00"/>
    <w:p w14:paraId="6EDFECBC"/>
    <w:p w14:paraId="33484268"/>
    <w:p w14:paraId="193C06FE"/>
    <w:p w14:paraId="023CE3EB"/>
    <w:p w14:paraId="71E7275A"/>
    <w:p w14:paraId="0EE5BC3D"/>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7405D6D5">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9A73461">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auto" w:sz="4" w:space="0"/>
            </w:tcBorders>
            <w:vAlign w:val="center"/>
          </w:tcPr>
          <w:p w14:paraId="5F1799EB">
            <w:pPr>
              <w:jc w:val="left"/>
              <w:textAlignment w:val="center"/>
              <w:rPr>
                <w:rFonts w:eastAsia="仿宋_GB2312"/>
                <w:b/>
                <w:bCs/>
                <w:color w:val="000000"/>
                <w:kern w:val="0"/>
                <w:sz w:val="18"/>
                <w:szCs w:val="18"/>
              </w:rPr>
            </w:pPr>
            <w:r>
              <w:rPr>
                <w:rFonts w:eastAsia="仿宋_GB2312"/>
                <w:b/>
                <w:color w:val="000000"/>
                <w:kern w:val="0"/>
                <w:sz w:val="20"/>
              </w:rPr>
              <w:t>320217343000</w:t>
            </w:r>
            <w:r>
              <w:rPr>
                <w:rFonts w:hint="eastAsia" w:eastAsia="仿宋_GB2312"/>
                <w:b/>
                <w:color w:val="000000"/>
                <w:kern w:val="0"/>
                <w:sz w:val="20"/>
              </w:rPr>
              <w:t xml:space="preserve"> </w:t>
            </w:r>
          </w:p>
        </w:tc>
      </w:tr>
      <w:tr w14:paraId="19F3B89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BEF03CF">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auto" w:sz="4" w:space="0"/>
            </w:tcBorders>
            <w:vAlign w:val="center"/>
          </w:tcPr>
          <w:p w14:paraId="068D284E">
            <w:pPr>
              <w:spacing w:line="320" w:lineRule="exact"/>
              <w:jc w:val="left"/>
              <w:rPr>
                <w:color w:val="000000"/>
                <w:kern w:val="0"/>
                <w:sz w:val="18"/>
                <w:szCs w:val="18"/>
              </w:rPr>
            </w:pPr>
            <w:r>
              <w:rPr>
                <w:rFonts w:hint="eastAsia"/>
                <w:color w:val="000000"/>
                <w:kern w:val="0"/>
                <w:sz w:val="18"/>
                <w:szCs w:val="18"/>
              </w:rPr>
              <w:t>对涂改、倒卖、出租、出借或者以其他形式非法转让注册建造师资格证书、注册证书和执业印章的处罚</w:t>
            </w:r>
          </w:p>
        </w:tc>
      </w:tr>
      <w:tr w14:paraId="4EA83A1C">
        <w:tblPrEx>
          <w:tblCellMar>
            <w:top w:w="0" w:type="dxa"/>
            <w:left w:w="108" w:type="dxa"/>
            <w:bottom w:w="0" w:type="dxa"/>
            <w:right w:w="108" w:type="dxa"/>
          </w:tblCellMar>
        </w:tblPrEx>
        <w:trPr>
          <w:trHeight w:val="1335" w:hRule="atLeast"/>
        </w:trPr>
        <w:tc>
          <w:tcPr>
            <w:tcW w:w="1056" w:type="dxa"/>
            <w:tcBorders>
              <w:top w:val="nil"/>
              <w:left w:val="single" w:color="auto" w:sz="8" w:space="0"/>
              <w:bottom w:val="single" w:color="auto" w:sz="4" w:space="0"/>
              <w:right w:val="single" w:color="auto" w:sz="4" w:space="0"/>
            </w:tcBorders>
            <w:vAlign w:val="center"/>
          </w:tcPr>
          <w:p w14:paraId="11019178">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auto" w:sz="4" w:space="0"/>
            </w:tcBorders>
            <w:vAlign w:val="center"/>
          </w:tcPr>
          <w:p w14:paraId="08D45EE1">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注册建造师不得有下列行为：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（七）涂改、倒卖、出租、出借或以其他形式非法转让资格证书、注册证书和执业印章。</w:t>
            </w:r>
            <w:r>
              <w:rPr>
                <w:color w:val="000000"/>
                <w:kern w:val="0"/>
                <w:sz w:val="18"/>
                <w:szCs w:val="18"/>
              </w:rPr>
              <w:br w:type="textWrapping"/>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违反本规定，注册建造师在执业活动中有第二十六条所列行为之一的，由县级以上地方人民政府建设主管部门或者其他有关部门给予警告，责令改正，没有违法所得的，处以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223D643C">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D3C119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auto" w:sz="4" w:space="0"/>
            </w:tcBorders>
            <w:vAlign w:val="center"/>
          </w:tcPr>
          <w:p w14:paraId="55A0F95D">
            <w:pPr>
              <w:spacing w:line="320" w:lineRule="exact"/>
              <w:jc w:val="left"/>
              <w:rPr>
                <w:color w:val="000000"/>
                <w:kern w:val="0"/>
                <w:sz w:val="18"/>
                <w:szCs w:val="18"/>
              </w:rPr>
            </w:pPr>
            <w:r>
              <w:rPr>
                <w:rFonts w:hint="eastAsia"/>
                <w:color w:val="000000"/>
                <w:kern w:val="0"/>
                <w:sz w:val="18"/>
                <w:szCs w:val="18"/>
              </w:rPr>
              <w:t>警告，罚款</w:t>
            </w:r>
          </w:p>
        </w:tc>
      </w:tr>
      <w:tr w14:paraId="18618D14">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auto" w:sz="4" w:space="0"/>
            </w:tcBorders>
            <w:vAlign w:val="center"/>
          </w:tcPr>
          <w:p w14:paraId="3C5354C6">
            <w:pPr>
              <w:spacing w:line="320" w:lineRule="exact"/>
              <w:jc w:val="center"/>
              <w:rPr>
                <w:color w:val="000000"/>
                <w:kern w:val="0"/>
                <w:sz w:val="18"/>
                <w:szCs w:val="18"/>
              </w:rPr>
            </w:pPr>
            <w:r>
              <w:rPr>
                <w:rFonts w:hint="eastAsia"/>
                <w:color w:val="000000"/>
                <w:kern w:val="0"/>
                <w:sz w:val="18"/>
                <w:szCs w:val="18"/>
              </w:rPr>
              <w:t>裁量基准</w:t>
            </w:r>
          </w:p>
        </w:tc>
      </w:tr>
      <w:tr w14:paraId="2F0E4ADB">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15286D08">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015A501C">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457BFFD9">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54FAAAC2">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4" w:space="0"/>
            </w:tcBorders>
            <w:vAlign w:val="center"/>
          </w:tcPr>
          <w:p w14:paraId="431835BD">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5305C170">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585EE3F">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10946463">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C00B966">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68D52DC9">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0DAA97CA">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37840A72">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0EBCA565">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3BA4CB3B">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768780A3">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03C6B1B6">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520E1FFA">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044A99A2">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53CEC9E">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13657AD6">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5AFC9907">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25AEEF58">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38179B0A">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5B3AFE01"/>
    <w:p w14:paraId="616AC1C5"/>
    <w:p w14:paraId="68DB76BB"/>
    <w:p w14:paraId="18D3129D"/>
    <w:p w14:paraId="2B958C79"/>
    <w:p w14:paraId="18FF2200"/>
    <w:p w14:paraId="58F53656"/>
    <w:p w14:paraId="00CD1E16"/>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0DCF7A14">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4C818AD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4E537DA6">
            <w:pPr>
              <w:spacing w:line="240" w:lineRule="exact"/>
              <w:jc w:val="left"/>
              <w:rPr>
                <w:rFonts w:eastAsia="仿宋_GB2312"/>
                <w:b/>
                <w:bCs/>
                <w:color w:val="000000"/>
                <w:kern w:val="0"/>
                <w:sz w:val="18"/>
                <w:szCs w:val="18"/>
              </w:rPr>
            </w:pPr>
            <w:r>
              <w:rPr>
                <w:rFonts w:eastAsia="仿宋_GB2312"/>
                <w:b/>
                <w:bCs/>
                <w:color w:val="000000"/>
                <w:kern w:val="0"/>
                <w:sz w:val="18"/>
                <w:szCs w:val="18"/>
              </w:rPr>
              <w:t>320217344000</w:t>
            </w:r>
            <w:r>
              <w:rPr>
                <w:rFonts w:hint="eastAsia" w:eastAsia="仿宋_GB2312"/>
                <w:b/>
                <w:bCs/>
                <w:color w:val="000000"/>
                <w:kern w:val="0"/>
                <w:sz w:val="18"/>
                <w:szCs w:val="18"/>
              </w:rPr>
              <w:t xml:space="preserve"> </w:t>
            </w:r>
          </w:p>
        </w:tc>
      </w:tr>
      <w:tr w14:paraId="52DAE7E7">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CD21D6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70131CAD">
            <w:pPr>
              <w:spacing w:line="240" w:lineRule="exact"/>
              <w:jc w:val="left"/>
              <w:rPr>
                <w:color w:val="000000"/>
                <w:kern w:val="0"/>
                <w:sz w:val="18"/>
                <w:szCs w:val="18"/>
              </w:rPr>
            </w:pPr>
            <w:r>
              <w:rPr>
                <w:rFonts w:hint="eastAsia"/>
                <w:color w:val="000000"/>
                <w:kern w:val="0"/>
                <w:sz w:val="18"/>
                <w:szCs w:val="18"/>
              </w:rPr>
              <w:t>对房地产经纪机构签订房地产经纪服务合同前，不向交易当事人说明和书面告知规定事项的处罚</w:t>
            </w:r>
          </w:p>
        </w:tc>
      </w:tr>
      <w:tr w14:paraId="67D7BFA3">
        <w:tblPrEx>
          <w:tblCellMar>
            <w:top w:w="0" w:type="dxa"/>
            <w:left w:w="108" w:type="dxa"/>
            <w:bottom w:w="0" w:type="dxa"/>
            <w:right w:w="108" w:type="dxa"/>
          </w:tblCellMar>
        </w:tblPrEx>
        <w:trPr>
          <w:trHeight w:val="3900" w:hRule="atLeast"/>
        </w:trPr>
        <w:tc>
          <w:tcPr>
            <w:tcW w:w="1010" w:type="dxa"/>
            <w:tcBorders>
              <w:top w:val="nil"/>
              <w:left w:val="single" w:color="auto" w:sz="8" w:space="0"/>
              <w:bottom w:val="single" w:color="auto" w:sz="4" w:space="0"/>
              <w:right w:val="single" w:color="auto" w:sz="4" w:space="0"/>
            </w:tcBorders>
            <w:vAlign w:val="center"/>
          </w:tcPr>
          <w:p w14:paraId="73621F8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79368DBE">
            <w:pPr>
              <w:spacing w:line="24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45962B02">
            <w:pPr>
              <w:spacing w:line="24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房地产经纪机构签订房地产经纪服务合同前，应当向委托人说明房地产经纪服务合同和房屋买卖合同或者房屋租赁合同的相关内容，并书面告知下列事项：</w:t>
            </w:r>
          </w:p>
          <w:p w14:paraId="0FA01882">
            <w:pPr>
              <w:spacing w:line="240" w:lineRule="exact"/>
              <w:jc w:val="left"/>
              <w:rPr>
                <w:color w:val="000000"/>
                <w:kern w:val="0"/>
                <w:sz w:val="18"/>
                <w:szCs w:val="18"/>
              </w:rPr>
            </w:pPr>
            <w:r>
              <w:rPr>
                <w:rFonts w:hint="eastAsia"/>
                <w:color w:val="000000"/>
                <w:kern w:val="0"/>
                <w:sz w:val="18"/>
                <w:szCs w:val="18"/>
              </w:rPr>
              <w:t>（一）是否与委托房屋有利害关系；</w:t>
            </w:r>
          </w:p>
          <w:p w14:paraId="023C778B">
            <w:pPr>
              <w:spacing w:line="240" w:lineRule="exact"/>
              <w:jc w:val="left"/>
              <w:rPr>
                <w:color w:val="000000"/>
                <w:kern w:val="0"/>
                <w:sz w:val="18"/>
                <w:szCs w:val="18"/>
              </w:rPr>
            </w:pPr>
            <w:r>
              <w:rPr>
                <w:rFonts w:hint="eastAsia"/>
                <w:color w:val="000000"/>
                <w:kern w:val="0"/>
                <w:sz w:val="18"/>
                <w:szCs w:val="18"/>
              </w:rPr>
              <w:t>（二）应当由委托人协助的事宜、提供的资料；</w:t>
            </w:r>
          </w:p>
          <w:p w14:paraId="06081D3C">
            <w:pPr>
              <w:spacing w:line="240" w:lineRule="exact"/>
              <w:jc w:val="left"/>
              <w:rPr>
                <w:color w:val="000000"/>
                <w:kern w:val="0"/>
                <w:sz w:val="18"/>
                <w:szCs w:val="18"/>
              </w:rPr>
            </w:pPr>
            <w:r>
              <w:rPr>
                <w:rFonts w:hint="eastAsia"/>
                <w:color w:val="000000"/>
                <w:kern w:val="0"/>
                <w:sz w:val="18"/>
                <w:szCs w:val="18"/>
              </w:rPr>
              <w:t>（三）委托房屋的市场参考价格；</w:t>
            </w:r>
          </w:p>
          <w:p w14:paraId="15A76126">
            <w:pPr>
              <w:spacing w:line="240" w:lineRule="exact"/>
              <w:jc w:val="left"/>
              <w:rPr>
                <w:color w:val="000000"/>
                <w:kern w:val="0"/>
                <w:sz w:val="18"/>
                <w:szCs w:val="18"/>
              </w:rPr>
            </w:pPr>
            <w:r>
              <w:rPr>
                <w:rFonts w:hint="eastAsia"/>
                <w:color w:val="000000"/>
                <w:kern w:val="0"/>
                <w:sz w:val="18"/>
                <w:szCs w:val="18"/>
              </w:rPr>
              <w:t>（四）房屋交易的一般程序及可能存在的风险；</w:t>
            </w:r>
          </w:p>
          <w:p w14:paraId="2BC573ED">
            <w:pPr>
              <w:spacing w:line="240" w:lineRule="exact"/>
              <w:jc w:val="left"/>
              <w:rPr>
                <w:color w:val="000000"/>
                <w:kern w:val="0"/>
                <w:sz w:val="18"/>
                <w:szCs w:val="18"/>
              </w:rPr>
            </w:pPr>
            <w:r>
              <w:rPr>
                <w:rFonts w:hint="eastAsia"/>
                <w:color w:val="000000"/>
                <w:kern w:val="0"/>
                <w:sz w:val="18"/>
                <w:szCs w:val="18"/>
              </w:rPr>
              <w:t>（五）房屋交易涉及的税费；</w:t>
            </w:r>
          </w:p>
          <w:p w14:paraId="3F6D15B5">
            <w:pPr>
              <w:spacing w:line="240" w:lineRule="exact"/>
              <w:jc w:val="left"/>
              <w:rPr>
                <w:color w:val="000000"/>
                <w:kern w:val="0"/>
                <w:sz w:val="18"/>
                <w:szCs w:val="18"/>
              </w:rPr>
            </w:pPr>
            <w:r>
              <w:rPr>
                <w:rFonts w:hint="eastAsia"/>
                <w:color w:val="000000"/>
                <w:kern w:val="0"/>
                <w:sz w:val="18"/>
                <w:szCs w:val="18"/>
              </w:rPr>
              <w:t>（六）经纪服务的内容及完成标准；</w:t>
            </w:r>
          </w:p>
          <w:p w14:paraId="02068EC5">
            <w:pPr>
              <w:spacing w:line="240" w:lineRule="exact"/>
              <w:jc w:val="left"/>
              <w:rPr>
                <w:color w:val="000000"/>
                <w:kern w:val="0"/>
                <w:sz w:val="18"/>
                <w:szCs w:val="18"/>
              </w:rPr>
            </w:pPr>
            <w:r>
              <w:rPr>
                <w:rFonts w:hint="eastAsia"/>
                <w:color w:val="000000"/>
                <w:kern w:val="0"/>
                <w:sz w:val="18"/>
                <w:szCs w:val="18"/>
              </w:rPr>
              <w:t>（七）经纪服务收费标准和支付时间；</w:t>
            </w:r>
          </w:p>
          <w:p w14:paraId="7C63B668">
            <w:pPr>
              <w:spacing w:line="240" w:lineRule="exact"/>
              <w:jc w:val="left"/>
              <w:rPr>
                <w:color w:val="000000"/>
                <w:kern w:val="0"/>
                <w:sz w:val="18"/>
                <w:szCs w:val="18"/>
              </w:rPr>
            </w:pPr>
            <w:r>
              <w:rPr>
                <w:rFonts w:hint="eastAsia"/>
                <w:color w:val="000000"/>
                <w:kern w:val="0"/>
                <w:sz w:val="18"/>
                <w:szCs w:val="18"/>
              </w:rPr>
              <w:t>（八）其他需要告知的事项。</w:t>
            </w:r>
          </w:p>
          <w:p w14:paraId="675D0AB8">
            <w:pPr>
              <w:spacing w:line="240" w:lineRule="exact"/>
              <w:jc w:val="left"/>
              <w:rPr>
                <w:color w:val="000000"/>
                <w:kern w:val="0"/>
                <w:sz w:val="18"/>
                <w:szCs w:val="18"/>
              </w:rPr>
            </w:pPr>
            <w:r>
              <w:rPr>
                <w:rFonts w:hint="eastAsia"/>
                <w:color w:val="000000"/>
                <w:kern w:val="0"/>
                <w:sz w:val="18"/>
                <w:szCs w:val="18"/>
              </w:rPr>
              <w:t>房地产经纪机构根据交易当事人需要提供房地产经纪服务以外的其他服务的，应当事先经当事人书面同意并告知服务内容及收费标准。书面告知材料应当经委托人签名（盖章）确认。</w:t>
            </w:r>
          </w:p>
          <w:p w14:paraId="05EE1988">
            <w:pPr>
              <w:spacing w:line="24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3028A757">
            <w:pPr>
              <w:spacing w:line="240" w:lineRule="exact"/>
              <w:jc w:val="left"/>
              <w:rPr>
                <w:color w:val="000000"/>
                <w:kern w:val="0"/>
                <w:sz w:val="18"/>
                <w:szCs w:val="18"/>
              </w:rPr>
            </w:pPr>
            <w:r>
              <w:rPr>
                <w:rFonts w:hint="eastAsia"/>
                <w:color w:val="000000"/>
                <w:kern w:val="0"/>
                <w:sz w:val="18"/>
                <w:szCs w:val="18"/>
              </w:rPr>
              <w:t>（四）房地产经纪机构签订房地产经纪服务合同前，不向交易当事人说明和书面告知规定事项的。</w:t>
            </w:r>
          </w:p>
        </w:tc>
      </w:tr>
      <w:tr w14:paraId="3CB7F41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02E44D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3ECC9490">
            <w:pPr>
              <w:spacing w:line="240" w:lineRule="exact"/>
              <w:jc w:val="left"/>
              <w:rPr>
                <w:color w:val="000000"/>
                <w:kern w:val="0"/>
                <w:sz w:val="18"/>
                <w:szCs w:val="18"/>
              </w:rPr>
            </w:pPr>
            <w:r>
              <w:rPr>
                <w:rFonts w:hint="eastAsia"/>
                <w:color w:val="000000"/>
                <w:kern w:val="0"/>
                <w:sz w:val="18"/>
                <w:szCs w:val="18"/>
              </w:rPr>
              <w:t>罚款</w:t>
            </w:r>
          </w:p>
        </w:tc>
      </w:tr>
      <w:tr w14:paraId="1BA50587">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2C26E38">
            <w:pPr>
              <w:spacing w:line="240" w:lineRule="exact"/>
              <w:jc w:val="center"/>
              <w:rPr>
                <w:color w:val="000000"/>
                <w:kern w:val="0"/>
                <w:sz w:val="18"/>
                <w:szCs w:val="18"/>
              </w:rPr>
            </w:pPr>
            <w:r>
              <w:rPr>
                <w:rFonts w:hint="eastAsia"/>
                <w:color w:val="000000"/>
                <w:kern w:val="0"/>
                <w:sz w:val="18"/>
                <w:szCs w:val="18"/>
              </w:rPr>
              <w:t>裁量基准</w:t>
            </w:r>
          </w:p>
        </w:tc>
      </w:tr>
      <w:tr w14:paraId="4AD4082D">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5DD95DB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CDBC6CB">
            <w:pPr>
              <w:spacing w:line="240" w:lineRule="exact"/>
              <w:jc w:val="left"/>
              <w:rPr>
                <w:color w:val="000000"/>
                <w:kern w:val="0"/>
                <w:sz w:val="18"/>
                <w:szCs w:val="18"/>
              </w:rPr>
            </w:pPr>
            <w:r>
              <w:rPr>
                <w:rFonts w:hint="eastAsia"/>
                <w:color w:val="000000"/>
                <w:kern w:val="0"/>
                <w:sz w:val="18"/>
                <w:szCs w:val="18"/>
              </w:rPr>
              <w:t>未向交易当事人说明和书面告知规定事项在</w:t>
            </w:r>
            <w:r>
              <w:rPr>
                <w:color w:val="000000"/>
                <w:kern w:val="0"/>
                <w:sz w:val="18"/>
                <w:szCs w:val="18"/>
              </w:rPr>
              <w:t>4</w:t>
            </w:r>
            <w:r>
              <w:rPr>
                <w:rFonts w:hint="eastAsia"/>
                <w:color w:val="000000"/>
                <w:kern w:val="0"/>
                <w:sz w:val="18"/>
                <w:szCs w:val="18"/>
              </w:rPr>
              <w:t>项以内，按照要求改正的</w:t>
            </w:r>
          </w:p>
        </w:tc>
        <w:tc>
          <w:tcPr>
            <w:tcW w:w="1000" w:type="dxa"/>
            <w:vMerge w:val="restart"/>
            <w:tcBorders>
              <w:top w:val="nil"/>
              <w:left w:val="single" w:color="auto" w:sz="4" w:space="0"/>
              <w:right w:val="single" w:color="auto" w:sz="4" w:space="0"/>
            </w:tcBorders>
            <w:vAlign w:val="center"/>
          </w:tcPr>
          <w:p w14:paraId="0FF74858">
            <w:pPr>
              <w:spacing w:line="24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261910B3">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7FDFB08D">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14:paraId="4DA6D5A3">
        <w:tblPrEx>
          <w:tblCellMar>
            <w:top w:w="0" w:type="dxa"/>
            <w:left w:w="108" w:type="dxa"/>
            <w:bottom w:w="0" w:type="dxa"/>
            <w:right w:w="108" w:type="dxa"/>
          </w:tblCellMar>
        </w:tblPrEx>
        <w:trPr>
          <w:trHeight w:val="364" w:hRule="atLeast"/>
        </w:trPr>
        <w:tc>
          <w:tcPr>
            <w:tcW w:w="1010" w:type="dxa"/>
            <w:vMerge w:val="continue"/>
            <w:tcBorders>
              <w:left w:val="single" w:color="auto" w:sz="8" w:space="0"/>
              <w:right w:val="single" w:color="auto" w:sz="4" w:space="0"/>
            </w:tcBorders>
            <w:vAlign w:val="center"/>
          </w:tcPr>
          <w:p w14:paraId="03F1CB0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B4FD6C4">
            <w:pPr>
              <w:spacing w:line="240" w:lineRule="exact"/>
              <w:jc w:val="left"/>
              <w:rPr>
                <w:color w:val="000000"/>
                <w:kern w:val="0"/>
                <w:sz w:val="18"/>
                <w:szCs w:val="18"/>
              </w:rPr>
            </w:pPr>
            <w:r>
              <w:rPr>
                <w:rFonts w:hint="eastAsia"/>
                <w:color w:val="000000"/>
                <w:kern w:val="0"/>
                <w:sz w:val="18"/>
                <w:szCs w:val="18"/>
              </w:rPr>
              <w:t>未向交易当事人说明和书面告知规定事项超过</w:t>
            </w:r>
            <w:r>
              <w:rPr>
                <w:color w:val="000000"/>
                <w:kern w:val="0"/>
                <w:sz w:val="18"/>
                <w:szCs w:val="18"/>
              </w:rPr>
              <w:t>4</w:t>
            </w:r>
            <w:r>
              <w:rPr>
                <w:rFonts w:hint="eastAsia"/>
                <w:color w:val="000000"/>
                <w:kern w:val="0"/>
                <w:sz w:val="18"/>
                <w:szCs w:val="18"/>
              </w:rPr>
              <w:t>项，按照要求改正的</w:t>
            </w:r>
          </w:p>
        </w:tc>
        <w:tc>
          <w:tcPr>
            <w:tcW w:w="1000" w:type="dxa"/>
            <w:vMerge w:val="continue"/>
            <w:tcBorders>
              <w:left w:val="single" w:color="auto" w:sz="4" w:space="0"/>
              <w:right w:val="single" w:color="auto" w:sz="4" w:space="0"/>
            </w:tcBorders>
            <w:vAlign w:val="center"/>
          </w:tcPr>
          <w:p w14:paraId="5F97CDAE">
            <w:pPr>
              <w:spacing w:line="24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0CC9B817">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53E81FCD">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14:paraId="417188CF">
        <w:tblPrEx>
          <w:tblCellMar>
            <w:top w:w="0" w:type="dxa"/>
            <w:left w:w="108" w:type="dxa"/>
            <w:bottom w:w="0" w:type="dxa"/>
            <w:right w:w="108" w:type="dxa"/>
          </w:tblCellMar>
        </w:tblPrEx>
        <w:trPr>
          <w:trHeight w:val="269" w:hRule="atLeast"/>
        </w:trPr>
        <w:tc>
          <w:tcPr>
            <w:tcW w:w="1010" w:type="dxa"/>
            <w:vMerge w:val="continue"/>
            <w:tcBorders>
              <w:left w:val="single" w:color="auto" w:sz="8" w:space="0"/>
              <w:right w:val="single" w:color="auto" w:sz="4" w:space="0"/>
            </w:tcBorders>
            <w:vAlign w:val="center"/>
          </w:tcPr>
          <w:p w14:paraId="44525AA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243FD88">
            <w:pPr>
              <w:spacing w:line="240" w:lineRule="exact"/>
              <w:jc w:val="left"/>
              <w:rPr>
                <w:color w:val="000000"/>
                <w:kern w:val="0"/>
                <w:sz w:val="18"/>
                <w:szCs w:val="18"/>
              </w:rPr>
            </w:pPr>
            <w:r>
              <w:rPr>
                <w:rFonts w:hint="eastAsia"/>
                <w:color w:val="000000"/>
                <w:kern w:val="0"/>
                <w:sz w:val="18"/>
                <w:szCs w:val="18"/>
              </w:rPr>
              <w:t>未向交易当事人说明和书面告知规定事项在</w:t>
            </w:r>
            <w:r>
              <w:rPr>
                <w:color w:val="000000"/>
                <w:kern w:val="0"/>
                <w:sz w:val="18"/>
                <w:szCs w:val="18"/>
              </w:rPr>
              <w:t>4</w:t>
            </w:r>
            <w:r>
              <w:rPr>
                <w:rFonts w:hint="eastAsia"/>
                <w:color w:val="000000"/>
                <w:kern w:val="0"/>
                <w:sz w:val="18"/>
                <w:szCs w:val="18"/>
              </w:rPr>
              <w:t>项以内，未按照要求改正的</w:t>
            </w:r>
          </w:p>
        </w:tc>
        <w:tc>
          <w:tcPr>
            <w:tcW w:w="1000" w:type="dxa"/>
            <w:vMerge w:val="continue"/>
            <w:tcBorders>
              <w:left w:val="single" w:color="auto" w:sz="4" w:space="0"/>
              <w:right w:val="single" w:color="auto" w:sz="4" w:space="0"/>
            </w:tcBorders>
            <w:vAlign w:val="center"/>
          </w:tcPr>
          <w:p w14:paraId="4D18ABAE">
            <w:pPr>
              <w:spacing w:line="240" w:lineRule="exact"/>
              <w:jc w:val="left"/>
              <w:rPr>
                <w:color w:val="000000"/>
                <w:kern w:val="0"/>
                <w:sz w:val="18"/>
                <w:szCs w:val="18"/>
              </w:rPr>
            </w:pPr>
          </w:p>
        </w:tc>
        <w:tc>
          <w:tcPr>
            <w:tcW w:w="5866" w:type="dxa"/>
            <w:tcBorders>
              <w:top w:val="single" w:color="auto" w:sz="4" w:space="0"/>
              <w:left w:val="nil"/>
              <w:bottom w:val="single" w:color="auto" w:sz="4" w:space="0"/>
              <w:right w:val="single" w:color="auto" w:sz="8" w:space="0"/>
            </w:tcBorders>
            <w:vAlign w:val="center"/>
          </w:tcPr>
          <w:p w14:paraId="59A5E59C">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14:paraId="7012790B">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14:paraId="358D8D1C">
        <w:tblPrEx>
          <w:tblCellMar>
            <w:top w:w="0" w:type="dxa"/>
            <w:left w:w="108" w:type="dxa"/>
            <w:bottom w:w="0" w:type="dxa"/>
            <w:right w:w="108" w:type="dxa"/>
          </w:tblCellMar>
        </w:tblPrEx>
        <w:trPr>
          <w:trHeight w:val="242" w:hRule="atLeast"/>
        </w:trPr>
        <w:tc>
          <w:tcPr>
            <w:tcW w:w="1010" w:type="dxa"/>
            <w:vMerge w:val="continue"/>
            <w:tcBorders>
              <w:left w:val="single" w:color="auto" w:sz="8" w:space="0"/>
              <w:bottom w:val="single" w:color="auto" w:sz="4" w:space="0"/>
              <w:right w:val="single" w:color="auto" w:sz="4" w:space="0"/>
            </w:tcBorders>
            <w:vAlign w:val="center"/>
          </w:tcPr>
          <w:p w14:paraId="0C111AF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A47DAD6">
            <w:pPr>
              <w:spacing w:line="240" w:lineRule="exact"/>
              <w:jc w:val="left"/>
              <w:rPr>
                <w:color w:val="000000"/>
                <w:kern w:val="0"/>
                <w:sz w:val="18"/>
                <w:szCs w:val="18"/>
              </w:rPr>
            </w:pPr>
            <w:r>
              <w:rPr>
                <w:rFonts w:hint="eastAsia"/>
                <w:color w:val="000000"/>
                <w:kern w:val="0"/>
                <w:sz w:val="18"/>
                <w:szCs w:val="18"/>
              </w:rPr>
              <w:t>未向交易当事人说明和书面告知规定事项超过</w:t>
            </w:r>
            <w:r>
              <w:rPr>
                <w:color w:val="000000"/>
                <w:kern w:val="0"/>
                <w:sz w:val="18"/>
                <w:szCs w:val="18"/>
              </w:rPr>
              <w:t>4</w:t>
            </w:r>
            <w:r>
              <w:rPr>
                <w:rFonts w:hint="eastAsia"/>
                <w:color w:val="000000"/>
                <w:kern w:val="0"/>
                <w:sz w:val="18"/>
                <w:szCs w:val="18"/>
              </w:rPr>
              <w:t>项，未按照要求改正的</w:t>
            </w:r>
          </w:p>
        </w:tc>
        <w:tc>
          <w:tcPr>
            <w:tcW w:w="1000" w:type="dxa"/>
            <w:vMerge w:val="continue"/>
            <w:tcBorders>
              <w:left w:val="single" w:color="auto" w:sz="4" w:space="0"/>
              <w:bottom w:val="single" w:color="auto" w:sz="4" w:space="0"/>
              <w:right w:val="single" w:color="auto" w:sz="4" w:space="0"/>
            </w:tcBorders>
            <w:vAlign w:val="center"/>
          </w:tcPr>
          <w:p w14:paraId="7D7BC036">
            <w:pPr>
              <w:spacing w:line="240" w:lineRule="exact"/>
              <w:jc w:val="left"/>
              <w:rPr>
                <w:color w:val="000000"/>
                <w:kern w:val="0"/>
                <w:sz w:val="18"/>
                <w:szCs w:val="18"/>
              </w:rPr>
            </w:pPr>
          </w:p>
        </w:tc>
        <w:tc>
          <w:tcPr>
            <w:tcW w:w="5866" w:type="dxa"/>
            <w:tcBorders>
              <w:top w:val="single" w:color="auto" w:sz="4" w:space="0"/>
              <w:left w:val="nil"/>
              <w:bottom w:val="single" w:color="auto" w:sz="4" w:space="0"/>
              <w:right w:val="single" w:color="auto" w:sz="8" w:space="0"/>
            </w:tcBorders>
            <w:vAlign w:val="center"/>
          </w:tcPr>
          <w:p w14:paraId="64A26CFB">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3EEE1F20">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bl>
    <w:p w14:paraId="3CF02FAA"/>
    <w:p w14:paraId="1857D911"/>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676B1E60">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6BBBAD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1CB8E9AC">
            <w:pPr>
              <w:spacing w:line="320" w:lineRule="exact"/>
              <w:jc w:val="left"/>
              <w:rPr>
                <w:rFonts w:eastAsia="仿宋_GB2312"/>
                <w:b/>
                <w:bCs/>
                <w:color w:val="000000"/>
                <w:kern w:val="0"/>
                <w:sz w:val="18"/>
                <w:szCs w:val="18"/>
              </w:rPr>
            </w:pPr>
            <w:r>
              <w:rPr>
                <w:rFonts w:eastAsia="仿宋_GB2312"/>
                <w:b/>
                <w:bCs/>
                <w:color w:val="000000"/>
                <w:kern w:val="0"/>
                <w:sz w:val="18"/>
                <w:szCs w:val="18"/>
              </w:rPr>
              <w:t>320217345000</w:t>
            </w:r>
            <w:r>
              <w:rPr>
                <w:rFonts w:hint="eastAsia" w:eastAsia="仿宋_GB2312"/>
                <w:b/>
                <w:bCs/>
                <w:color w:val="000000"/>
                <w:kern w:val="0"/>
                <w:sz w:val="18"/>
                <w:szCs w:val="18"/>
              </w:rPr>
              <w:t xml:space="preserve"> </w:t>
            </w:r>
          </w:p>
        </w:tc>
      </w:tr>
      <w:tr w14:paraId="32501FFD">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15DF49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36D41075">
            <w:pPr>
              <w:spacing w:line="320" w:lineRule="exact"/>
              <w:jc w:val="left"/>
              <w:rPr>
                <w:color w:val="000000"/>
                <w:kern w:val="0"/>
                <w:sz w:val="18"/>
                <w:szCs w:val="18"/>
              </w:rPr>
            </w:pPr>
            <w:r>
              <w:rPr>
                <w:rFonts w:hint="eastAsia"/>
                <w:color w:val="000000"/>
                <w:kern w:val="0"/>
                <w:sz w:val="18"/>
                <w:szCs w:val="18"/>
              </w:rPr>
              <w:t>对房地产经纪机构未按照规定如实记录业务情况或者保存房地产经纪服务合同的处罚</w:t>
            </w:r>
          </w:p>
        </w:tc>
      </w:tr>
      <w:tr w14:paraId="6F8FDD2C">
        <w:tblPrEx>
          <w:tblCellMar>
            <w:top w:w="0" w:type="dxa"/>
            <w:left w:w="108" w:type="dxa"/>
            <w:bottom w:w="0" w:type="dxa"/>
            <w:right w:w="108" w:type="dxa"/>
          </w:tblCellMar>
        </w:tblPrEx>
        <w:trPr>
          <w:trHeight w:val="1704" w:hRule="atLeast"/>
        </w:trPr>
        <w:tc>
          <w:tcPr>
            <w:tcW w:w="1010" w:type="dxa"/>
            <w:tcBorders>
              <w:top w:val="nil"/>
              <w:left w:val="single" w:color="auto" w:sz="8" w:space="0"/>
              <w:bottom w:val="single" w:color="auto" w:sz="4" w:space="0"/>
              <w:right w:val="single" w:color="auto" w:sz="4" w:space="0"/>
            </w:tcBorders>
            <w:vAlign w:val="center"/>
          </w:tcPr>
          <w:p w14:paraId="5CB2DB8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tcPr>
          <w:p w14:paraId="488E0DFB">
            <w:pPr>
              <w:spacing w:line="260" w:lineRule="exact"/>
              <w:ind w:firstLine="360" w:firstLineChars="200"/>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6E3292A5">
            <w:pPr>
              <w:spacing w:line="260" w:lineRule="exact"/>
              <w:ind w:firstLine="360" w:firstLineChars="200"/>
              <w:jc w:val="left"/>
              <w:rPr>
                <w:color w:val="000000"/>
                <w:kern w:val="0"/>
                <w:sz w:val="18"/>
                <w:szCs w:val="18"/>
              </w:rPr>
            </w:pPr>
            <w:r>
              <w:rPr>
                <w:rFonts w:hint="eastAsia"/>
                <w:color w:val="000000"/>
                <w:kern w:val="0"/>
                <w:sz w:val="18"/>
                <w:szCs w:val="18"/>
              </w:rPr>
              <w:t>第二十六条　房地产经纪机构应当建立业务记录制度，如实记录业务情况。</w:t>
            </w:r>
          </w:p>
          <w:p w14:paraId="05B711AD">
            <w:pPr>
              <w:spacing w:line="260" w:lineRule="exact"/>
              <w:ind w:firstLine="360" w:firstLineChars="200"/>
              <w:jc w:val="left"/>
              <w:rPr>
                <w:color w:val="000000"/>
                <w:kern w:val="0"/>
                <w:sz w:val="18"/>
                <w:szCs w:val="18"/>
              </w:rPr>
            </w:pPr>
            <w:r>
              <w:rPr>
                <w:rFonts w:hint="eastAsia"/>
                <w:color w:val="000000"/>
                <w:kern w:val="0"/>
                <w:sz w:val="18"/>
                <w:szCs w:val="18"/>
              </w:rPr>
              <w:t>房地产经纪机构应当保存房地产经纪服务合同，保存期不少于</w:t>
            </w:r>
            <w:r>
              <w:rPr>
                <w:color w:val="000000"/>
                <w:kern w:val="0"/>
                <w:sz w:val="18"/>
                <w:szCs w:val="18"/>
              </w:rPr>
              <w:t>5</w:t>
            </w:r>
            <w:r>
              <w:rPr>
                <w:rFonts w:hint="eastAsia"/>
                <w:color w:val="000000"/>
                <w:kern w:val="0"/>
                <w:sz w:val="18"/>
                <w:szCs w:val="18"/>
              </w:rPr>
              <w:t>年。</w:t>
            </w:r>
          </w:p>
          <w:p w14:paraId="4D5AA578">
            <w:pPr>
              <w:spacing w:line="260" w:lineRule="exact"/>
              <w:ind w:firstLine="360" w:firstLineChars="200"/>
              <w:jc w:val="left"/>
              <w:rPr>
                <w:color w:val="000000"/>
                <w:kern w:val="0"/>
                <w:sz w:val="18"/>
                <w:szCs w:val="18"/>
              </w:rPr>
            </w:pPr>
            <w:r>
              <w:rPr>
                <w:rFonts w:hint="eastAsia"/>
                <w:color w:val="000000"/>
                <w:kern w:val="0"/>
                <w:sz w:val="18"/>
                <w:szCs w:val="18"/>
              </w:rPr>
              <w:t>第三十三条　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128D55D4">
            <w:pPr>
              <w:spacing w:line="260" w:lineRule="exact"/>
              <w:ind w:firstLine="360" w:firstLineChars="200"/>
              <w:jc w:val="left"/>
              <w:rPr>
                <w:color w:val="000000"/>
                <w:kern w:val="0"/>
                <w:sz w:val="18"/>
                <w:szCs w:val="18"/>
              </w:rPr>
            </w:pPr>
            <w:r>
              <w:rPr>
                <w:rFonts w:hint="eastAsia"/>
                <w:color w:val="000000"/>
                <w:kern w:val="0"/>
                <w:sz w:val="18"/>
                <w:szCs w:val="18"/>
              </w:rPr>
              <w:t>（五）房地产经纪机构未按照规定如实记录业务情况或者保存房地产经纪服务合同的。</w:t>
            </w:r>
          </w:p>
        </w:tc>
      </w:tr>
      <w:tr w14:paraId="542BF32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1ED397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C15C96F">
            <w:pPr>
              <w:spacing w:line="320" w:lineRule="exact"/>
              <w:jc w:val="left"/>
              <w:rPr>
                <w:color w:val="000000"/>
                <w:kern w:val="0"/>
                <w:sz w:val="18"/>
                <w:szCs w:val="18"/>
              </w:rPr>
            </w:pPr>
            <w:r>
              <w:rPr>
                <w:rFonts w:hint="eastAsia"/>
                <w:color w:val="000000"/>
                <w:kern w:val="0"/>
                <w:sz w:val="18"/>
                <w:szCs w:val="18"/>
              </w:rPr>
              <w:t>责令限期改正，记入信用档案，罚款</w:t>
            </w:r>
          </w:p>
        </w:tc>
      </w:tr>
      <w:tr w14:paraId="1AACE85F">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53EC17F">
            <w:pPr>
              <w:spacing w:line="320" w:lineRule="exact"/>
              <w:jc w:val="center"/>
              <w:rPr>
                <w:color w:val="000000"/>
                <w:kern w:val="0"/>
                <w:sz w:val="18"/>
                <w:szCs w:val="18"/>
              </w:rPr>
            </w:pPr>
            <w:r>
              <w:rPr>
                <w:rFonts w:hint="eastAsia"/>
                <w:color w:val="000000"/>
                <w:kern w:val="0"/>
                <w:sz w:val="18"/>
                <w:szCs w:val="18"/>
              </w:rPr>
              <w:t>裁量基准</w:t>
            </w:r>
          </w:p>
        </w:tc>
      </w:tr>
      <w:tr w14:paraId="032B847F">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3DC9E50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4DC1D88">
            <w:pPr>
              <w:spacing w:line="320" w:lineRule="exact"/>
              <w:jc w:val="left"/>
              <w:rPr>
                <w:color w:val="000000"/>
                <w:kern w:val="0"/>
                <w:sz w:val="18"/>
                <w:szCs w:val="18"/>
              </w:rPr>
            </w:pPr>
            <w:r>
              <w:rPr>
                <w:rFonts w:hint="eastAsia"/>
                <w:color w:val="000000"/>
                <w:kern w:val="0"/>
                <w:sz w:val="18"/>
                <w:szCs w:val="18"/>
              </w:rPr>
              <w:t>未按照规定如实记录业务情况的</w:t>
            </w:r>
          </w:p>
        </w:tc>
        <w:tc>
          <w:tcPr>
            <w:tcW w:w="1000" w:type="dxa"/>
            <w:vMerge w:val="restart"/>
            <w:tcBorders>
              <w:top w:val="nil"/>
              <w:left w:val="single" w:color="auto" w:sz="4" w:space="0"/>
              <w:right w:val="single" w:color="auto" w:sz="4" w:space="0"/>
            </w:tcBorders>
            <w:vAlign w:val="center"/>
          </w:tcPr>
          <w:p w14:paraId="183D568A">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6AFD84B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17DB1AC6">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14:paraId="23DDBCA2">
        <w:tblPrEx>
          <w:tblCellMar>
            <w:top w:w="0" w:type="dxa"/>
            <w:left w:w="108" w:type="dxa"/>
            <w:bottom w:w="0" w:type="dxa"/>
            <w:right w:w="108" w:type="dxa"/>
          </w:tblCellMar>
        </w:tblPrEx>
        <w:trPr>
          <w:trHeight w:val="364" w:hRule="atLeast"/>
        </w:trPr>
        <w:tc>
          <w:tcPr>
            <w:tcW w:w="1010" w:type="dxa"/>
            <w:vMerge w:val="continue"/>
            <w:tcBorders>
              <w:left w:val="single" w:color="auto" w:sz="8" w:space="0"/>
              <w:right w:val="single" w:color="auto" w:sz="4" w:space="0"/>
            </w:tcBorders>
            <w:vAlign w:val="center"/>
          </w:tcPr>
          <w:p w14:paraId="3E382D7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81CFD82">
            <w:pPr>
              <w:spacing w:line="320" w:lineRule="exact"/>
              <w:jc w:val="left"/>
              <w:rPr>
                <w:color w:val="000000"/>
                <w:kern w:val="0"/>
                <w:sz w:val="18"/>
                <w:szCs w:val="18"/>
              </w:rPr>
            </w:pPr>
            <w:r>
              <w:rPr>
                <w:rFonts w:hint="eastAsia"/>
                <w:color w:val="000000"/>
                <w:kern w:val="0"/>
                <w:sz w:val="18"/>
                <w:szCs w:val="18"/>
              </w:rPr>
              <w:t>未按照规定保存房地产经纪服务合同的</w:t>
            </w:r>
          </w:p>
        </w:tc>
        <w:tc>
          <w:tcPr>
            <w:tcW w:w="1000" w:type="dxa"/>
            <w:vMerge w:val="continue"/>
            <w:tcBorders>
              <w:left w:val="single" w:color="auto" w:sz="4" w:space="0"/>
              <w:right w:val="single" w:color="auto" w:sz="4" w:space="0"/>
            </w:tcBorders>
            <w:vAlign w:val="center"/>
          </w:tcPr>
          <w:p w14:paraId="3F188BEC">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061F0F69">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059FF4A9">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14:paraId="071560AB">
        <w:tblPrEx>
          <w:tblCellMar>
            <w:top w:w="0" w:type="dxa"/>
            <w:left w:w="108" w:type="dxa"/>
            <w:bottom w:w="0" w:type="dxa"/>
            <w:right w:w="108" w:type="dxa"/>
          </w:tblCellMar>
        </w:tblPrEx>
        <w:trPr>
          <w:trHeight w:val="248" w:hRule="atLeast"/>
        </w:trPr>
        <w:tc>
          <w:tcPr>
            <w:tcW w:w="1010" w:type="dxa"/>
            <w:vMerge w:val="continue"/>
            <w:tcBorders>
              <w:left w:val="single" w:color="auto" w:sz="8" w:space="0"/>
              <w:bottom w:val="single" w:color="auto" w:sz="4" w:space="0"/>
              <w:right w:val="single" w:color="auto" w:sz="4" w:space="0"/>
            </w:tcBorders>
            <w:vAlign w:val="center"/>
          </w:tcPr>
          <w:p w14:paraId="63D0FA3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D671BF9">
            <w:pPr>
              <w:spacing w:line="320" w:lineRule="exact"/>
              <w:jc w:val="left"/>
              <w:rPr>
                <w:color w:val="000000"/>
                <w:kern w:val="0"/>
                <w:sz w:val="18"/>
                <w:szCs w:val="18"/>
              </w:rPr>
            </w:pPr>
            <w:r>
              <w:rPr>
                <w:rFonts w:hint="eastAsia"/>
                <w:color w:val="000000"/>
                <w:kern w:val="0"/>
                <w:sz w:val="18"/>
                <w:szCs w:val="18"/>
              </w:rPr>
              <w:t>未按照规定如实记录业务情况且未按规定保存房地产经纪服务合同的</w:t>
            </w:r>
          </w:p>
        </w:tc>
        <w:tc>
          <w:tcPr>
            <w:tcW w:w="1000" w:type="dxa"/>
            <w:vMerge w:val="continue"/>
            <w:tcBorders>
              <w:left w:val="single" w:color="auto" w:sz="4" w:space="0"/>
              <w:bottom w:val="single" w:color="auto" w:sz="4" w:space="0"/>
              <w:right w:val="single" w:color="auto" w:sz="4" w:space="0"/>
            </w:tcBorders>
            <w:vAlign w:val="center"/>
          </w:tcPr>
          <w:p w14:paraId="18400FE4">
            <w:pPr>
              <w:spacing w:line="320" w:lineRule="exact"/>
              <w:jc w:val="left"/>
              <w:rPr>
                <w:color w:val="000000"/>
                <w:kern w:val="0"/>
                <w:sz w:val="18"/>
                <w:szCs w:val="18"/>
              </w:rPr>
            </w:pPr>
          </w:p>
        </w:tc>
        <w:tc>
          <w:tcPr>
            <w:tcW w:w="5866" w:type="dxa"/>
            <w:tcBorders>
              <w:top w:val="single" w:color="auto" w:sz="4" w:space="0"/>
              <w:left w:val="nil"/>
              <w:bottom w:val="single" w:color="auto" w:sz="4" w:space="0"/>
              <w:right w:val="single" w:color="auto" w:sz="8" w:space="0"/>
            </w:tcBorders>
            <w:vAlign w:val="center"/>
          </w:tcPr>
          <w:p w14:paraId="366E13F0">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7F6ADDF3">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bl>
    <w:p w14:paraId="10F3AC96"/>
    <w:p w14:paraId="2278DA30"/>
    <w:p w14:paraId="1D793830"/>
    <w:p w14:paraId="5D03D560"/>
    <w:p w14:paraId="6660B6C2"/>
    <w:p w14:paraId="28C7DFEC"/>
    <w:p w14:paraId="7B473D1A"/>
    <w:tbl>
      <w:tblPr>
        <w:tblStyle w:val="15"/>
        <w:tblW w:w="0" w:type="auto"/>
        <w:tblInd w:w="88" w:type="dxa"/>
        <w:tblLayout w:type="fixed"/>
        <w:tblCellMar>
          <w:top w:w="0" w:type="dxa"/>
          <w:left w:w="108" w:type="dxa"/>
          <w:bottom w:w="0" w:type="dxa"/>
          <w:right w:w="108" w:type="dxa"/>
        </w:tblCellMar>
      </w:tblPr>
      <w:tblGrid>
        <w:gridCol w:w="1154"/>
        <w:gridCol w:w="5996"/>
        <w:gridCol w:w="1234"/>
        <w:gridCol w:w="5646"/>
      </w:tblGrid>
      <w:tr w14:paraId="5DFA9867">
        <w:tblPrEx>
          <w:tblCellMar>
            <w:top w:w="0" w:type="dxa"/>
            <w:left w:w="108" w:type="dxa"/>
            <w:bottom w:w="0" w:type="dxa"/>
            <w:right w:w="108" w:type="dxa"/>
          </w:tblCellMar>
        </w:tblPrEx>
        <w:trPr>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7D428AF8">
            <w:pPr>
              <w:rPr>
                <w:color w:val="000000"/>
              </w:rPr>
            </w:pPr>
            <w:r>
              <w:rPr>
                <w:rFonts w:hint="eastAsia"/>
                <w:color w:val="000000"/>
              </w:rPr>
              <w:t>编号</w:t>
            </w:r>
          </w:p>
        </w:tc>
        <w:tc>
          <w:tcPr>
            <w:tcW w:w="12876" w:type="dxa"/>
            <w:gridSpan w:val="3"/>
            <w:tcBorders>
              <w:top w:val="single" w:color="auto" w:sz="8" w:space="0"/>
              <w:left w:val="nil"/>
              <w:bottom w:val="single" w:color="auto" w:sz="4" w:space="0"/>
              <w:right w:val="single" w:color="000000" w:sz="8" w:space="0"/>
            </w:tcBorders>
            <w:vAlign w:val="center"/>
          </w:tcPr>
          <w:p w14:paraId="0A4498D2">
            <w:pPr>
              <w:rPr>
                <w:b/>
                <w:bCs/>
                <w:color w:val="000000"/>
              </w:rPr>
            </w:pPr>
            <w:r>
              <w:rPr>
                <w:b/>
                <w:bCs/>
                <w:color w:val="000000"/>
              </w:rPr>
              <w:t>320217346000</w:t>
            </w:r>
            <w:r>
              <w:rPr>
                <w:rFonts w:hint="eastAsia"/>
                <w:b/>
                <w:bCs/>
                <w:color w:val="000000"/>
              </w:rPr>
              <w:t xml:space="preserve"> </w:t>
            </w:r>
          </w:p>
        </w:tc>
      </w:tr>
      <w:tr w14:paraId="48373657">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2BD7FED6">
            <w:pPr>
              <w:rPr>
                <w:color w:val="000000"/>
              </w:rPr>
            </w:pPr>
            <w:r>
              <w:rPr>
                <w:rFonts w:hint="eastAsia"/>
                <w:color w:val="000000"/>
              </w:rPr>
              <w:t>行为名称</w:t>
            </w:r>
          </w:p>
        </w:tc>
        <w:tc>
          <w:tcPr>
            <w:tcW w:w="12876" w:type="dxa"/>
            <w:gridSpan w:val="3"/>
            <w:tcBorders>
              <w:top w:val="single" w:color="auto" w:sz="4" w:space="0"/>
              <w:left w:val="nil"/>
              <w:bottom w:val="single" w:color="auto" w:sz="4" w:space="0"/>
              <w:right w:val="single" w:color="000000" w:sz="8" w:space="0"/>
            </w:tcBorders>
            <w:vAlign w:val="center"/>
          </w:tcPr>
          <w:p w14:paraId="5B524101">
            <w:pPr>
              <w:rPr>
                <w:color w:val="000000"/>
              </w:rPr>
            </w:pPr>
            <w:r>
              <w:rPr>
                <w:rFonts w:hint="eastAsia"/>
                <w:color w:val="000000"/>
              </w:rPr>
              <w:t>对监理单位未审核建筑起重机械安装单位、使用单位的资质证书、安全生产许可证和特种作业人员的特种作业操作资格证书的处罚</w:t>
            </w:r>
          </w:p>
        </w:tc>
      </w:tr>
      <w:tr w14:paraId="477DFF74">
        <w:tblPrEx>
          <w:tblCellMar>
            <w:top w:w="0" w:type="dxa"/>
            <w:left w:w="108" w:type="dxa"/>
            <w:bottom w:w="0" w:type="dxa"/>
            <w:right w:w="108" w:type="dxa"/>
          </w:tblCellMar>
        </w:tblPrEx>
        <w:trPr>
          <w:trHeight w:val="1335" w:hRule="atLeast"/>
        </w:trPr>
        <w:tc>
          <w:tcPr>
            <w:tcW w:w="1154" w:type="dxa"/>
            <w:tcBorders>
              <w:top w:val="nil"/>
              <w:left w:val="single" w:color="auto" w:sz="8" w:space="0"/>
              <w:bottom w:val="single" w:color="auto" w:sz="4" w:space="0"/>
              <w:right w:val="single" w:color="auto" w:sz="4" w:space="0"/>
            </w:tcBorders>
            <w:vAlign w:val="center"/>
          </w:tcPr>
          <w:p w14:paraId="296540E0">
            <w:pPr>
              <w:rPr>
                <w:color w:val="000000"/>
              </w:rPr>
            </w:pPr>
            <w:r>
              <w:rPr>
                <w:rFonts w:hint="eastAsia"/>
                <w:color w:val="000000"/>
              </w:rPr>
              <w:t>法律依据</w:t>
            </w:r>
          </w:p>
        </w:tc>
        <w:tc>
          <w:tcPr>
            <w:tcW w:w="12876" w:type="dxa"/>
            <w:gridSpan w:val="3"/>
            <w:tcBorders>
              <w:top w:val="single" w:color="auto" w:sz="4" w:space="0"/>
              <w:left w:val="nil"/>
              <w:bottom w:val="single" w:color="auto" w:sz="4" w:space="0"/>
              <w:right w:val="single" w:color="000000" w:sz="8" w:space="0"/>
            </w:tcBorders>
            <w:vAlign w:val="center"/>
          </w:tcPr>
          <w:p w14:paraId="2850347E">
            <w:pPr>
              <w:rPr>
                <w:color w:val="000000"/>
              </w:rPr>
            </w:pPr>
            <w:r>
              <w:rPr>
                <w:color w:val="000000"/>
              </w:rPr>
              <w:t xml:space="preserve"> </w:t>
            </w:r>
            <w:r>
              <w:rPr>
                <w:rFonts w:hint="eastAsia"/>
                <w:color w:val="000000"/>
              </w:rPr>
              <w:t>【规章】《建筑起重机械安全监督管理规定》（建设部令第</w:t>
            </w:r>
            <w:r>
              <w:rPr>
                <w:color w:val="000000"/>
              </w:rPr>
              <w:t>166</w:t>
            </w:r>
            <w:r>
              <w:rPr>
                <w:rFonts w:hint="eastAsia"/>
                <w:color w:val="000000"/>
              </w:rPr>
              <w:t>号）</w:t>
            </w:r>
            <w:r>
              <w:rPr>
                <w:color w:val="000000"/>
              </w:rPr>
              <w:br w:type="textWrapping"/>
            </w:r>
            <w:r>
              <w:rPr>
                <w:rFonts w:hint="eastAsia"/>
                <w:color w:val="000000"/>
              </w:rPr>
              <w:t>第二十二条　监理单位应当履行下列安全职责：</w:t>
            </w:r>
            <w:r>
              <w:rPr>
                <w:color w:val="000000"/>
              </w:rPr>
              <w:br w:type="textWrapping"/>
            </w:r>
            <w:r>
              <w:rPr>
                <w:color w:val="000000"/>
              </w:rPr>
              <w:t xml:space="preserve">   </w:t>
            </w:r>
            <w:r>
              <w:rPr>
                <w:rFonts w:hint="eastAsia"/>
                <w:color w:val="000000"/>
              </w:rPr>
              <w:t>（二）审核建筑起重机械安装单位、使用单位的资质证书、安全生产许可证和特种作业人员的特种作业操作资格证书；</w:t>
            </w:r>
            <w:r>
              <w:rPr>
                <w:color w:val="000000"/>
              </w:rPr>
              <w:t xml:space="preserve"> </w:t>
            </w:r>
            <w:r>
              <w:rPr>
                <w:color w:val="000000"/>
              </w:rPr>
              <w:br w:type="textWrapping"/>
            </w:r>
            <w:r>
              <w:rPr>
                <w:rFonts w:hint="eastAsia"/>
                <w:color w:val="000000"/>
              </w:rPr>
              <w:t>第三十二条</w:t>
            </w:r>
            <w:r>
              <w:rPr>
                <w:color w:val="000000"/>
              </w:rPr>
              <w:t xml:space="preserve"> </w:t>
            </w:r>
            <w:r>
              <w:rPr>
                <w:rFonts w:hint="eastAsia"/>
                <w:color w:val="000000"/>
              </w:rPr>
              <w:t>违反本规定，监理单位未履行第二十二条第（一）、（二）、（四）、（五）项安全职责的，由县级以上地方人民政府建设主管部门责令限期改正，予以警告，并处以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14:paraId="0D04FDA4">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7E6833F4">
            <w:pPr>
              <w:rPr>
                <w:color w:val="000000"/>
              </w:rPr>
            </w:pPr>
            <w:r>
              <w:rPr>
                <w:rFonts w:hint="eastAsia"/>
                <w:color w:val="000000"/>
              </w:rPr>
              <w:t>行使内容</w:t>
            </w:r>
          </w:p>
        </w:tc>
        <w:tc>
          <w:tcPr>
            <w:tcW w:w="12876" w:type="dxa"/>
            <w:gridSpan w:val="3"/>
            <w:tcBorders>
              <w:top w:val="single" w:color="auto" w:sz="4" w:space="0"/>
              <w:left w:val="nil"/>
              <w:bottom w:val="single" w:color="auto" w:sz="4" w:space="0"/>
              <w:right w:val="single" w:color="000000" w:sz="8" w:space="0"/>
            </w:tcBorders>
            <w:vAlign w:val="center"/>
          </w:tcPr>
          <w:p w14:paraId="1673002E">
            <w:pPr>
              <w:rPr>
                <w:color w:val="000000"/>
              </w:rPr>
            </w:pPr>
            <w:r>
              <w:rPr>
                <w:rFonts w:hint="eastAsia"/>
                <w:color w:val="000000"/>
              </w:rPr>
              <w:t>警告，罚款</w:t>
            </w:r>
          </w:p>
        </w:tc>
      </w:tr>
      <w:tr w14:paraId="76990C5F">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09187CF1">
            <w:pPr>
              <w:jc w:val="center"/>
              <w:rPr>
                <w:color w:val="000000"/>
              </w:rPr>
            </w:pPr>
            <w:r>
              <w:rPr>
                <w:rFonts w:hint="eastAsia"/>
                <w:color w:val="000000"/>
              </w:rPr>
              <w:t>裁量基准</w:t>
            </w:r>
          </w:p>
        </w:tc>
      </w:tr>
      <w:tr w14:paraId="1F558626">
        <w:tblPrEx>
          <w:tblCellMar>
            <w:top w:w="0" w:type="dxa"/>
            <w:left w:w="108" w:type="dxa"/>
            <w:bottom w:w="0" w:type="dxa"/>
            <w:right w:w="108" w:type="dxa"/>
          </w:tblCellMar>
        </w:tblPrEx>
        <w:trPr>
          <w:trHeight w:val="285" w:hRule="atLeast"/>
        </w:trPr>
        <w:tc>
          <w:tcPr>
            <w:tcW w:w="1154" w:type="dxa"/>
            <w:vMerge w:val="restart"/>
            <w:tcBorders>
              <w:top w:val="nil"/>
              <w:left w:val="single" w:color="auto" w:sz="8" w:space="0"/>
              <w:bottom w:val="single" w:color="auto" w:sz="4" w:space="0"/>
              <w:right w:val="single" w:color="auto" w:sz="4" w:space="0"/>
            </w:tcBorders>
            <w:vAlign w:val="center"/>
          </w:tcPr>
          <w:p w14:paraId="035DC79B">
            <w:pPr>
              <w:rPr>
                <w:color w:val="000000"/>
              </w:rPr>
            </w:pPr>
            <w:r>
              <w:rPr>
                <w:rFonts w:hint="eastAsia"/>
                <w:color w:val="000000"/>
              </w:rPr>
              <w:t>情形描述</w:t>
            </w:r>
          </w:p>
        </w:tc>
        <w:tc>
          <w:tcPr>
            <w:tcW w:w="5996" w:type="dxa"/>
            <w:tcBorders>
              <w:top w:val="single" w:color="auto" w:sz="4" w:space="0"/>
              <w:left w:val="nil"/>
              <w:bottom w:val="single" w:color="auto" w:sz="4" w:space="0"/>
              <w:right w:val="single" w:color="auto" w:sz="4" w:space="0"/>
            </w:tcBorders>
            <w:vAlign w:val="center"/>
          </w:tcPr>
          <w:p w14:paraId="0DEE9DB7">
            <w:pPr>
              <w:rPr>
                <w:color w:val="000000"/>
              </w:rPr>
            </w:pPr>
            <w:r>
              <w:rPr>
                <w:rFonts w:hint="eastAsia"/>
                <w:color w:val="000000"/>
              </w:rPr>
              <w:t>未造成安全事故的</w:t>
            </w:r>
          </w:p>
        </w:tc>
        <w:tc>
          <w:tcPr>
            <w:tcW w:w="1234" w:type="dxa"/>
            <w:vMerge w:val="restart"/>
            <w:tcBorders>
              <w:top w:val="nil"/>
              <w:left w:val="single" w:color="auto" w:sz="4" w:space="0"/>
              <w:bottom w:val="single" w:color="auto" w:sz="4" w:space="0"/>
              <w:right w:val="single" w:color="auto" w:sz="4" w:space="0"/>
            </w:tcBorders>
            <w:vAlign w:val="center"/>
          </w:tcPr>
          <w:p w14:paraId="7B03A9D9">
            <w:pPr>
              <w:rPr>
                <w:color w:val="000000"/>
              </w:rPr>
            </w:pPr>
            <w:r>
              <w:rPr>
                <w:rFonts w:hint="eastAsia"/>
                <w:color w:val="000000"/>
              </w:rPr>
              <w:t>裁量幅度</w:t>
            </w:r>
          </w:p>
        </w:tc>
        <w:tc>
          <w:tcPr>
            <w:tcW w:w="5646" w:type="dxa"/>
            <w:tcBorders>
              <w:top w:val="nil"/>
              <w:left w:val="nil"/>
              <w:bottom w:val="single" w:color="auto" w:sz="4" w:space="0"/>
              <w:right w:val="single" w:color="auto" w:sz="8" w:space="0"/>
            </w:tcBorders>
            <w:vAlign w:val="center"/>
          </w:tcPr>
          <w:p w14:paraId="5925703A">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14:paraId="7F82CBDF">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0D4F9711">
            <w:pPr>
              <w:rPr>
                <w:color w:val="000000"/>
              </w:rPr>
            </w:pPr>
          </w:p>
        </w:tc>
        <w:tc>
          <w:tcPr>
            <w:tcW w:w="5996" w:type="dxa"/>
            <w:tcBorders>
              <w:top w:val="single" w:color="auto" w:sz="4" w:space="0"/>
              <w:left w:val="nil"/>
              <w:bottom w:val="single" w:color="auto" w:sz="4" w:space="0"/>
              <w:right w:val="single" w:color="auto" w:sz="4" w:space="0"/>
            </w:tcBorders>
            <w:vAlign w:val="center"/>
          </w:tcPr>
          <w:p w14:paraId="6A0C0CF9">
            <w:pPr>
              <w:rPr>
                <w:color w:val="000000"/>
              </w:rPr>
            </w:pPr>
            <w:r>
              <w:rPr>
                <w:rFonts w:hint="eastAsia"/>
                <w:color w:val="000000"/>
              </w:rPr>
              <w:t>造成一般及较大安全事故的</w:t>
            </w:r>
          </w:p>
        </w:tc>
        <w:tc>
          <w:tcPr>
            <w:tcW w:w="1234" w:type="dxa"/>
            <w:vMerge w:val="continue"/>
            <w:tcBorders>
              <w:top w:val="nil"/>
              <w:left w:val="single" w:color="auto" w:sz="4" w:space="0"/>
              <w:bottom w:val="single" w:color="auto" w:sz="4" w:space="0"/>
              <w:right w:val="single" w:color="auto" w:sz="4" w:space="0"/>
            </w:tcBorders>
            <w:vAlign w:val="center"/>
          </w:tcPr>
          <w:p w14:paraId="208D30EE">
            <w:pPr>
              <w:rPr>
                <w:color w:val="000000"/>
              </w:rPr>
            </w:pPr>
          </w:p>
        </w:tc>
        <w:tc>
          <w:tcPr>
            <w:tcW w:w="5646" w:type="dxa"/>
            <w:tcBorders>
              <w:top w:val="nil"/>
              <w:left w:val="nil"/>
              <w:bottom w:val="single" w:color="auto" w:sz="4" w:space="0"/>
              <w:right w:val="single" w:color="auto" w:sz="8" w:space="0"/>
            </w:tcBorders>
            <w:vAlign w:val="center"/>
          </w:tcPr>
          <w:p w14:paraId="35181602">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14:paraId="790CE28B">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19ADE2DC">
            <w:pPr>
              <w:rPr>
                <w:color w:val="000000"/>
              </w:rPr>
            </w:pPr>
          </w:p>
        </w:tc>
        <w:tc>
          <w:tcPr>
            <w:tcW w:w="5996" w:type="dxa"/>
            <w:tcBorders>
              <w:top w:val="single" w:color="auto" w:sz="4" w:space="0"/>
              <w:left w:val="nil"/>
              <w:bottom w:val="single" w:color="auto" w:sz="4" w:space="0"/>
              <w:right w:val="single" w:color="auto" w:sz="4" w:space="0"/>
            </w:tcBorders>
            <w:vAlign w:val="center"/>
          </w:tcPr>
          <w:p w14:paraId="6AB0DFD1">
            <w:pPr>
              <w:rPr>
                <w:color w:val="000000"/>
              </w:rPr>
            </w:pPr>
            <w:r>
              <w:rPr>
                <w:rFonts w:hint="eastAsia"/>
                <w:color w:val="000000"/>
              </w:rPr>
              <w:t>造成重大以上安全事故的</w:t>
            </w:r>
          </w:p>
        </w:tc>
        <w:tc>
          <w:tcPr>
            <w:tcW w:w="1234" w:type="dxa"/>
            <w:vMerge w:val="continue"/>
            <w:tcBorders>
              <w:top w:val="nil"/>
              <w:left w:val="single" w:color="auto" w:sz="4" w:space="0"/>
              <w:bottom w:val="single" w:color="auto" w:sz="4" w:space="0"/>
              <w:right w:val="single" w:color="auto" w:sz="4" w:space="0"/>
            </w:tcBorders>
            <w:vAlign w:val="center"/>
          </w:tcPr>
          <w:p w14:paraId="0F3E674B">
            <w:pPr>
              <w:rPr>
                <w:color w:val="000000"/>
              </w:rPr>
            </w:pPr>
          </w:p>
        </w:tc>
        <w:tc>
          <w:tcPr>
            <w:tcW w:w="5646" w:type="dxa"/>
            <w:tcBorders>
              <w:top w:val="nil"/>
              <w:left w:val="nil"/>
              <w:bottom w:val="single" w:color="auto" w:sz="4" w:space="0"/>
              <w:right w:val="single" w:color="auto" w:sz="8" w:space="0"/>
            </w:tcBorders>
            <w:vAlign w:val="center"/>
          </w:tcPr>
          <w:p w14:paraId="60A8C884">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bl>
    <w:p w14:paraId="08599176"/>
    <w:p w14:paraId="28AC7E19"/>
    <w:p w14:paraId="27AD2CC9"/>
    <w:p w14:paraId="459CBEA1"/>
    <w:p w14:paraId="1D101BBF"/>
    <w:p w14:paraId="2A07D8D1"/>
    <w:p w14:paraId="53C7C971"/>
    <w:p w14:paraId="0521D6C3"/>
    <w:tbl>
      <w:tblPr>
        <w:tblStyle w:val="15"/>
        <w:tblW w:w="0" w:type="auto"/>
        <w:tblInd w:w="93" w:type="dxa"/>
        <w:tblLayout w:type="fixed"/>
        <w:tblCellMar>
          <w:top w:w="0" w:type="dxa"/>
          <w:left w:w="108" w:type="dxa"/>
          <w:bottom w:w="0" w:type="dxa"/>
          <w:right w:w="108" w:type="dxa"/>
        </w:tblCellMar>
      </w:tblPr>
      <w:tblGrid>
        <w:gridCol w:w="1035"/>
        <w:gridCol w:w="1674"/>
        <w:gridCol w:w="4466"/>
        <w:gridCol w:w="1120"/>
        <w:gridCol w:w="5730"/>
      </w:tblGrid>
      <w:tr w14:paraId="59205CB9">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231CB946">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color="auto" w:sz="8" w:space="0"/>
              <w:left w:val="nil"/>
              <w:bottom w:val="single" w:color="auto" w:sz="4" w:space="0"/>
              <w:right w:val="single" w:color="000000" w:sz="8" w:space="0"/>
            </w:tcBorders>
            <w:vAlign w:val="center"/>
          </w:tcPr>
          <w:p w14:paraId="149BAF60">
            <w:pPr>
              <w:spacing w:line="320" w:lineRule="exact"/>
              <w:jc w:val="left"/>
              <w:rPr>
                <w:rFonts w:eastAsia="仿宋_GB2312"/>
                <w:b/>
                <w:bCs/>
                <w:color w:val="000000"/>
                <w:kern w:val="0"/>
                <w:sz w:val="18"/>
                <w:szCs w:val="18"/>
              </w:rPr>
            </w:pPr>
            <w:r>
              <w:rPr>
                <w:rFonts w:eastAsia="仿宋_GB2312"/>
                <w:b/>
                <w:bCs/>
                <w:color w:val="000000"/>
                <w:kern w:val="0"/>
                <w:sz w:val="18"/>
                <w:szCs w:val="18"/>
              </w:rPr>
              <w:t>320217347000</w:t>
            </w:r>
            <w:r>
              <w:rPr>
                <w:rFonts w:hint="eastAsia" w:eastAsia="仿宋_GB2312"/>
                <w:b/>
                <w:bCs/>
                <w:color w:val="000000"/>
                <w:kern w:val="0"/>
                <w:sz w:val="18"/>
                <w:szCs w:val="18"/>
              </w:rPr>
              <w:t xml:space="preserve"> </w:t>
            </w:r>
          </w:p>
        </w:tc>
      </w:tr>
      <w:tr w14:paraId="1A9F502F">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6A34245F">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color="auto" w:sz="4" w:space="0"/>
              <w:left w:val="nil"/>
              <w:bottom w:val="single" w:color="auto" w:sz="4" w:space="0"/>
              <w:right w:val="single" w:color="000000" w:sz="8" w:space="0"/>
            </w:tcBorders>
            <w:vAlign w:val="center"/>
          </w:tcPr>
          <w:p w14:paraId="5AE7076A">
            <w:pPr>
              <w:jc w:val="left"/>
              <w:rPr>
                <w:rFonts w:eastAsia="仿宋_GB2312"/>
                <w:color w:val="000000"/>
                <w:sz w:val="20"/>
              </w:rPr>
            </w:pPr>
            <w:r>
              <w:rPr>
                <w:rFonts w:hint="eastAsia"/>
                <w:color w:val="000000"/>
                <w:kern w:val="0"/>
                <w:sz w:val="18"/>
                <w:szCs w:val="18"/>
              </w:rPr>
              <w:t>对以欺骗、贿赂等不正当手段取得注册房地产估价师注册证书的处罚</w:t>
            </w:r>
          </w:p>
        </w:tc>
      </w:tr>
      <w:tr w14:paraId="33886702">
        <w:tblPrEx>
          <w:tblCellMar>
            <w:top w:w="0" w:type="dxa"/>
            <w:left w:w="108" w:type="dxa"/>
            <w:bottom w:w="0" w:type="dxa"/>
            <w:right w:w="108" w:type="dxa"/>
          </w:tblCellMar>
        </w:tblPrEx>
        <w:trPr>
          <w:trHeight w:val="2584" w:hRule="atLeast"/>
        </w:trPr>
        <w:tc>
          <w:tcPr>
            <w:tcW w:w="1035" w:type="dxa"/>
            <w:tcBorders>
              <w:top w:val="nil"/>
              <w:left w:val="single" w:color="auto" w:sz="8" w:space="0"/>
              <w:bottom w:val="single" w:color="auto" w:sz="4" w:space="0"/>
              <w:right w:val="single" w:color="auto" w:sz="4" w:space="0"/>
            </w:tcBorders>
            <w:vAlign w:val="center"/>
          </w:tcPr>
          <w:p w14:paraId="0BF2653B">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color="auto" w:sz="4" w:space="0"/>
              <w:left w:val="nil"/>
              <w:bottom w:val="single" w:color="auto" w:sz="4" w:space="0"/>
              <w:right w:val="single" w:color="000000" w:sz="8" w:space="0"/>
            </w:tcBorders>
            <w:vAlign w:val="center"/>
          </w:tcPr>
          <w:p w14:paraId="47B3DFC5">
            <w:pPr>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type="textWrapping"/>
            </w: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以欺骗、贿赂等不正当手段取得注册证书的，由国务院建设主管部门撤销其注册，</w:t>
            </w:r>
            <w:r>
              <w:rPr>
                <w:color w:val="000000"/>
                <w:kern w:val="0"/>
                <w:sz w:val="18"/>
                <w:szCs w:val="18"/>
              </w:rPr>
              <w:t>3</w:t>
            </w:r>
            <w:r>
              <w:rPr>
                <w:rFonts w:hint="eastAsia"/>
                <w:color w:val="000000"/>
                <w:kern w:val="0"/>
                <w:sz w:val="18"/>
                <w:szCs w:val="18"/>
              </w:rPr>
              <w:t>年内不得再次申请注册，并由县级以上地方人民政府建设（房地产）主管部门处以罚款，其中没有违法所得的，处以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万元的罚款；构成犯罪的，依法追究刑事责任。</w:t>
            </w:r>
          </w:p>
        </w:tc>
      </w:tr>
      <w:tr w14:paraId="506E0655">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7C625F85">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color="auto" w:sz="4" w:space="0"/>
              <w:left w:val="nil"/>
              <w:bottom w:val="single" w:color="auto" w:sz="4" w:space="0"/>
              <w:right w:val="single" w:color="000000" w:sz="8" w:space="0"/>
            </w:tcBorders>
            <w:vAlign w:val="center"/>
          </w:tcPr>
          <w:p w14:paraId="3CAAD07D">
            <w:pPr>
              <w:spacing w:line="320" w:lineRule="exact"/>
              <w:jc w:val="left"/>
              <w:rPr>
                <w:color w:val="000000"/>
                <w:kern w:val="0"/>
                <w:sz w:val="18"/>
                <w:szCs w:val="18"/>
              </w:rPr>
            </w:pPr>
            <w:r>
              <w:rPr>
                <w:rFonts w:hint="eastAsia"/>
                <w:color w:val="000000"/>
                <w:kern w:val="0"/>
                <w:sz w:val="18"/>
                <w:szCs w:val="18"/>
              </w:rPr>
              <w:t>罚款，没收违法所得</w:t>
            </w:r>
          </w:p>
        </w:tc>
      </w:tr>
      <w:tr w14:paraId="171D1A2B">
        <w:tblPrEx>
          <w:tblCellMar>
            <w:top w:w="0" w:type="dxa"/>
            <w:left w:w="108" w:type="dxa"/>
            <w:bottom w:w="0" w:type="dxa"/>
            <w:right w:w="108" w:type="dxa"/>
          </w:tblCellMar>
        </w:tblPrEx>
        <w:trPr>
          <w:trHeight w:val="285" w:hRule="atLeast"/>
        </w:trPr>
        <w:tc>
          <w:tcPr>
            <w:tcW w:w="14025" w:type="dxa"/>
            <w:gridSpan w:val="5"/>
            <w:tcBorders>
              <w:top w:val="single" w:color="auto" w:sz="4" w:space="0"/>
              <w:left w:val="single" w:color="auto" w:sz="8" w:space="0"/>
              <w:bottom w:val="single" w:color="auto" w:sz="4" w:space="0"/>
              <w:right w:val="single" w:color="000000" w:sz="8" w:space="0"/>
            </w:tcBorders>
            <w:vAlign w:val="center"/>
          </w:tcPr>
          <w:p w14:paraId="4A91C32A">
            <w:pPr>
              <w:spacing w:line="320" w:lineRule="exact"/>
              <w:jc w:val="center"/>
              <w:rPr>
                <w:color w:val="000000"/>
                <w:kern w:val="0"/>
                <w:sz w:val="18"/>
                <w:szCs w:val="18"/>
              </w:rPr>
            </w:pPr>
            <w:r>
              <w:rPr>
                <w:rFonts w:hint="eastAsia"/>
                <w:color w:val="000000"/>
                <w:kern w:val="0"/>
                <w:sz w:val="18"/>
                <w:szCs w:val="18"/>
              </w:rPr>
              <w:t>裁量基准</w:t>
            </w:r>
          </w:p>
        </w:tc>
      </w:tr>
      <w:tr w14:paraId="73DBF020">
        <w:tblPrEx>
          <w:tblCellMar>
            <w:top w:w="0" w:type="dxa"/>
            <w:left w:w="108" w:type="dxa"/>
            <w:bottom w:w="0" w:type="dxa"/>
            <w:right w:w="108" w:type="dxa"/>
          </w:tblCellMar>
        </w:tblPrEx>
        <w:trPr>
          <w:trHeight w:val="285" w:hRule="atLeast"/>
        </w:trPr>
        <w:tc>
          <w:tcPr>
            <w:tcW w:w="1035" w:type="dxa"/>
            <w:vMerge w:val="restart"/>
            <w:tcBorders>
              <w:top w:val="nil"/>
              <w:left w:val="single" w:color="auto" w:sz="8" w:space="0"/>
              <w:right w:val="single" w:color="auto" w:sz="4" w:space="0"/>
            </w:tcBorders>
            <w:vAlign w:val="center"/>
          </w:tcPr>
          <w:p w14:paraId="03D78B46">
            <w:pPr>
              <w:spacing w:line="320" w:lineRule="exact"/>
              <w:rPr>
                <w:color w:val="000000"/>
                <w:kern w:val="0"/>
                <w:sz w:val="18"/>
                <w:szCs w:val="18"/>
              </w:rPr>
            </w:pPr>
            <w:r>
              <w:rPr>
                <w:rFonts w:hint="eastAsia"/>
                <w:color w:val="000000"/>
                <w:kern w:val="0"/>
                <w:sz w:val="18"/>
                <w:szCs w:val="18"/>
              </w:rPr>
              <w:t>情形描述</w:t>
            </w:r>
          </w:p>
        </w:tc>
        <w:tc>
          <w:tcPr>
            <w:tcW w:w="1674" w:type="dxa"/>
            <w:vMerge w:val="restart"/>
            <w:tcBorders>
              <w:top w:val="single" w:color="auto" w:sz="4" w:space="0"/>
              <w:left w:val="nil"/>
              <w:right w:val="single" w:color="000000" w:sz="4" w:space="0"/>
            </w:tcBorders>
            <w:vAlign w:val="center"/>
          </w:tcPr>
          <w:p w14:paraId="72EE80C8">
            <w:pPr>
              <w:spacing w:line="320" w:lineRule="exact"/>
              <w:jc w:val="left"/>
              <w:rPr>
                <w:color w:val="000000"/>
                <w:kern w:val="0"/>
                <w:sz w:val="18"/>
                <w:szCs w:val="18"/>
              </w:rPr>
            </w:pPr>
            <w:r>
              <w:rPr>
                <w:rFonts w:hint="eastAsia"/>
                <w:color w:val="000000"/>
                <w:kern w:val="0"/>
                <w:sz w:val="18"/>
                <w:szCs w:val="18"/>
              </w:rPr>
              <w:t>没有违法所得</w:t>
            </w:r>
          </w:p>
        </w:tc>
        <w:tc>
          <w:tcPr>
            <w:tcW w:w="4466" w:type="dxa"/>
            <w:tcBorders>
              <w:top w:val="single" w:color="auto" w:sz="4" w:space="0"/>
              <w:left w:val="nil"/>
              <w:bottom w:val="single" w:color="auto" w:sz="4" w:space="0"/>
              <w:right w:val="single" w:color="000000" w:sz="4" w:space="0"/>
            </w:tcBorders>
            <w:vAlign w:val="center"/>
          </w:tcPr>
          <w:p w14:paraId="2B9D7068">
            <w:pPr>
              <w:spacing w:line="320" w:lineRule="exact"/>
              <w:jc w:val="left"/>
              <w:rPr>
                <w:color w:val="000000"/>
                <w:kern w:val="0"/>
                <w:sz w:val="18"/>
                <w:szCs w:val="18"/>
              </w:rPr>
            </w:pPr>
            <w:r>
              <w:rPr>
                <w:rFonts w:hint="eastAsia"/>
                <w:color w:val="000000"/>
                <w:kern w:val="0"/>
                <w:sz w:val="18"/>
                <w:szCs w:val="18"/>
              </w:rPr>
              <w:t>采用欺骗或者贿赂等不正当手段的</w:t>
            </w:r>
          </w:p>
        </w:tc>
        <w:tc>
          <w:tcPr>
            <w:tcW w:w="1120" w:type="dxa"/>
            <w:vMerge w:val="restart"/>
            <w:tcBorders>
              <w:top w:val="nil"/>
              <w:left w:val="nil"/>
              <w:right w:val="single" w:color="auto" w:sz="4" w:space="0"/>
            </w:tcBorders>
            <w:vAlign w:val="center"/>
          </w:tcPr>
          <w:p w14:paraId="6C1754FA">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color="auto" w:sz="4" w:space="0"/>
              <w:right w:val="single" w:color="auto" w:sz="8" w:space="0"/>
            </w:tcBorders>
            <w:vAlign w:val="center"/>
          </w:tcPr>
          <w:p w14:paraId="4FAC6E7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0FCD9BCD">
        <w:tblPrEx>
          <w:tblCellMar>
            <w:top w:w="0" w:type="dxa"/>
            <w:left w:w="108" w:type="dxa"/>
            <w:bottom w:w="0" w:type="dxa"/>
            <w:right w:w="108" w:type="dxa"/>
          </w:tblCellMar>
        </w:tblPrEx>
        <w:trPr>
          <w:trHeight w:val="285" w:hRule="atLeast"/>
        </w:trPr>
        <w:tc>
          <w:tcPr>
            <w:tcW w:w="1035" w:type="dxa"/>
            <w:vMerge w:val="continue"/>
            <w:tcBorders>
              <w:left w:val="single" w:color="auto" w:sz="8" w:space="0"/>
              <w:bottom w:val="single" w:color="auto" w:sz="4" w:space="0"/>
              <w:right w:val="single" w:color="auto" w:sz="4" w:space="0"/>
            </w:tcBorders>
            <w:vAlign w:val="center"/>
          </w:tcPr>
          <w:p w14:paraId="27783320">
            <w:pPr>
              <w:spacing w:line="320" w:lineRule="exact"/>
              <w:jc w:val="center"/>
              <w:rPr>
                <w:color w:val="000000"/>
                <w:kern w:val="0"/>
                <w:sz w:val="18"/>
                <w:szCs w:val="18"/>
              </w:rPr>
            </w:pPr>
          </w:p>
        </w:tc>
        <w:tc>
          <w:tcPr>
            <w:tcW w:w="1674" w:type="dxa"/>
            <w:vMerge w:val="continue"/>
            <w:tcBorders>
              <w:left w:val="nil"/>
              <w:bottom w:val="single" w:color="auto" w:sz="4" w:space="0"/>
              <w:right w:val="single" w:color="000000" w:sz="4" w:space="0"/>
            </w:tcBorders>
            <w:vAlign w:val="center"/>
          </w:tcPr>
          <w:p w14:paraId="7956C730">
            <w:pPr>
              <w:spacing w:line="320" w:lineRule="exact"/>
              <w:jc w:val="left"/>
              <w:rPr>
                <w:color w:val="000000"/>
                <w:kern w:val="0"/>
                <w:sz w:val="18"/>
                <w:szCs w:val="18"/>
              </w:rPr>
            </w:pPr>
          </w:p>
        </w:tc>
        <w:tc>
          <w:tcPr>
            <w:tcW w:w="4466" w:type="dxa"/>
            <w:tcBorders>
              <w:top w:val="single" w:color="auto" w:sz="4" w:space="0"/>
              <w:left w:val="nil"/>
              <w:bottom w:val="single" w:color="auto" w:sz="4" w:space="0"/>
              <w:right w:val="single" w:color="000000" w:sz="4" w:space="0"/>
            </w:tcBorders>
            <w:vAlign w:val="center"/>
          </w:tcPr>
          <w:p w14:paraId="39D05DB9">
            <w:pPr>
              <w:spacing w:line="320" w:lineRule="exact"/>
              <w:jc w:val="left"/>
              <w:rPr>
                <w:color w:val="000000"/>
                <w:kern w:val="0"/>
                <w:sz w:val="18"/>
                <w:szCs w:val="18"/>
              </w:rPr>
            </w:pPr>
            <w:r>
              <w:rPr>
                <w:rFonts w:hint="eastAsia"/>
                <w:color w:val="000000"/>
                <w:kern w:val="0"/>
                <w:sz w:val="18"/>
                <w:szCs w:val="18"/>
              </w:rPr>
              <w:t>采用欺骗和贿赂等不正当手段的</w:t>
            </w:r>
          </w:p>
        </w:tc>
        <w:tc>
          <w:tcPr>
            <w:tcW w:w="1120" w:type="dxa"/>
            <w:vMerge w:val="continue"/>
            <w:tcBorders>
              <w:left w:val="nil"/>
              <w:bottom w:val="single" w:color="auto" w:sz="4" w:space="0"/>
              <w:right w:val="single" w:color="auto" w:sz="4" w:space="0"/>
            </w:tcBorders>
            <w:vAlign w:val="center"/>
          </w:tcPr>
          <w:p w14:paraId="7F20CC47">
            <w:pPr>
              <w:spacing w:line="320" w:lineRule="exact"/>
              <w:jc w:val="center"/>
              <w:rPr>
                <w:color w:val="000000"/>
                <w:kern w:val="0"/>
                <w:sz w:val="18"/>
                <w:szCs w:val="18"/>
              </w:rPr>
            </w:pPr>
          </w:p>
        </w:tc>
        <w:tc>
          <w:tcPr>
            <w:tcW w:w="5730" w:type="dxa"/>
            <w:tcBorders>
              <w:top w:val="nil"/>
              <w:left w:val="nil"/>
              <w:bottom w:val="single" w:color="auto" w:sz="4" w:space="0"/>
              <w:right w:val="single" w:color="auto" w:sz="8" w:space="0"/>
            </w:tcBorders>
            <w:vAlign w:val="center"/>
          </w:tcPr>
          <w:p w14:paraId="0CFC354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D0763FE">
        <w:tblPrEx>
          <w:tblCellMar>
            <w:top w:w="0" w:type="dxa"/>
            <w:left w:w="108" w:type="dxa"/>
            <w:bottom w:w="0" w:type="dxa"/>
            <w:right w:w="108" w:type="dxa"/>
          </w:tblCellMar>
        </w:tblPrEx>
        <w:trPr>
          <w:trHeight w:val="285" w:hRule="atLeast"/>
        </w:trPr>
        <w:tc>
          <w:tcPr>
            <w:tcW w:w="1035" w:type="dxa"/>
            <w:vMerge w:val="continue"/>
            <w:tcBorders>
              <w:left w:val="single" w:color="auto" w:sz="8" w:space="0"/>
              <w:bottom w:val="single" w:color="auto" w:sz="4" w:space="0"/>
              <w:right w:val="single" w:color="auto" w:sz="4" w:space="0"/>
            </w:tcBorders>
            <w:vAlign w:val="center"/>
          </w:tcPr>
          <w:p w14:paraId="61E13C7C">
            <w:pPr>
              <w:spacing w:line="320" w:lineRule="exact"/>
              <w:jc w:val="center"/>
              <w:rPr>
                <w:color w:val="000000"/>
                <w:kern w:val="0"/>
                <w:sz w:val="18"/>
                <w:szCs w:val="18"/>
              </w:rPr>
            </w:pPr>
          </w:p>
        </w:tc>
        <w:tc>
          <w:tcPr>
            <w:tcW w:w="1674" w:type="dxa"/>
            <w:vMerge w:val="restart"/>
            <w:tcBorders>
              <w:top w:val="single" w:color="auto" w:sz="4" w:space="0"/>
              <w:left w:val="nil"/>
              <w:right w:val="single" w:color="000000" w:sz="4" w:space="0"/>
            </w:tcBorders>
            <w:vAlign w:val="center"/>
          </w:tcPr>
          <w:p w14:paraId="663A4C6E">
            <w:pPr>
              <w:spacing w:line="320" w:lineRule="exact"/>
              <w:jc w:val="left"/>
              <w:rPr>
                <w:color w:val="000000"/>
                <w:kern w:val="0"/>
                <w:sz w:val="18"/>
                <w:szCs w:val="18"/>
              </w:rPr>
            </w:pPr>
            <w:r>
              <w:rPr>
                <w:rFonts w:hint="eastAsia"/>
                <w:color w:val="000000"/>
                <w:kern w:val="0"/>
                <w:sz w:val="18"/>
                <w:szCs w:val="18"/>
              </w:rPr>
              <w:t>有违法所得</w:t>
            </w:r>
          </w:p>
        </w:tc>
        <w:tc>
          <w:tcPr>
            <w:tcW w:w="4466" w:type="dxa"/>
            <w:tcBorders>
              <w:top w:val="single" w:color="auto" w:sz="4" w:space="0"/>
              <w:left w:val="nil"/>
              <w:bottom w:val="single" w:color="auto" w:sz="4" w:space="0"/>
              <w:right w:val="single" w:color="000000" w:sz="4" w:space="0"/>
            </w:tcBorders>
            <w:vAlign w:val="center"/>
          </w:tcPr>
          <w:p w14:paraId="3B0CC89E">
            <w:pPr>
              <w:spacing w:line="320" w:lineRule="exact"/>
              <w:jc w:val="left"/>
              <w:rPr>
                <w:color w:val="000000"/>
                <w:kern w:val="0"/>
                <w:sz w:val="18"/>
                <w:szCs w:val="18"/>
              </w:rPr>
            </w:pPr>
            <w:r>
              <w:rPr>
                <w:rFonts w:hint="eastAsia"/>
                <w:color w:val="000000"/>
                <w:kern w:val="0"/>
                <w:sz w:val="18"/>
                <w:szCs w:val="18"/>
              </w:rPr>
              <w:t>采用欺骗或者贿赂等不正当手段的</w:t>
            </w:r>
          </w:p>
        </w:tc>
        <w:tc>
          <w:tcPr>
            <w:tcW w:w="1120" w:type="dxa"/>
            <w:vMerge w:val="continue"/>
            <w:tcBorders>
              <w:left w:val="nil"/>
              <w:bottom w:val="single" w:color="auto" w:sz="4" w:space="0"/>
              <w:right w:val="single" w:color="auto" w:sz="4" w:space="0"/>
            </w:tcBorders>
            <w:vAlign w:val="center"/>
          </w:tcPr>
          <w:p w14:paraId="15FA544C">
            <w:pPr>
              <w:spacing w:line="320" w:lineRule="exact"/>
              <w:jc w:val="center"/>
              <w:rPr>
                <w:color w:val="000000"/>
                <w:kern w:val="0"/>
                <w:sz w:val="18"/>
                <w:szCs w:val="18"/>
              </w:rPr>
            </w:pPr>
          </w:p>
        </w:tc>
        <w:tc>
          <w:tcPr>
            <w:tcW w:w="5730" w:type="dxa"/>
            <w:tcBorders>
              <w:top w:val="nil"/>
              <w:left w:val="nil"/>
              <w:bottom w:val="single" w:color="auto" w:sz="4" w:space="0"/>
              <w:right w:val="single" w:color="auto" w:sz="8" w:space="0"/>
            </w:tcBorders>
            <w:vAlign w:val="center"/>
          </w:tcPr>
          <w:p w14:paraId="67BE5314">
            <w:pPr>
              <w:spacing w:line="320" w:lineRule="exact"/>
              <w:jc w:val="left"/>
              <w:rPr>
                <w:color w:val="000000"/>
                <w:kern w:val="0"/>
                <w:sz w:val="18"/>
                <w:szCs w:val="18"/>
              </w:rPr>
            </w:pPr>
            <w:r>
              <w:rPr>
                <w:rFonts w:hint="eastAsia"/>
                <w:color w:val="000000"/>
                <w:kern w:val="0"/>
                <w:sz w:val="18"/>
                <w:szCs w:val="18"/>
              </w:rPr>
              <w:t>处违法所得二倍以下且不超过</w:t>
            </w:r>
            <w:r>
              <w:rPr>
                <w:color w:val="000000"/>
                <w:kern w:val="0"/>
                <w:sz w:val="18"/>
                <w:szCs w:val="18"/>
              </w:rPr>
              <w:t>2</w:t>
            </w:r>
            <w:r>
              <w:rPr>
                <w:rFonts w:hint="eastAsia"/>
                <w:color w:val="000000"/>
                <w:kern w:val="0"/>
                <w:sz w:val="18"/>
                <w:szCs w:val="18"/>
              </w:rPr>
              <w:t>万元的罚款</w:t>
            </w:r>
          </w:p>
        </w:tc>
      </w:tr>
      <w:tr w14:paraId="31F722BA">
        <w:tblPrEx>
          <w:tblCellMar>
            <w:top w:w="0" w:type="dxa"/>
            <w:left w:w="108" w:type="dxa"/>
            <w:bottom w:w="0" w:type="dxa"/>
            <w:right w:w="108" w:type="dxa"/>
          </w:tblCellMar>
        </w:tblPrEx>
        <w:trPr>
          <w:trHeight w:val="285" w:hRule="atLeast"/>
        </w:trPr>
        <w:tc>
          <w:tcPr>
            <w:tcW w:w="1035" w:type="dxa"/>
            <w:vMerge w:val="continue"/>
            <w:tcBorders>
              <w:left w:val="single" w:color="auto" w:sz="8" w:space="0"/>
              <w:bottom w:val="single" w:color="auto" w:sz="4" w:space="0"/>
              <w:right w:val="single" w:color="auto" w:sz="4" w:space="0"/>
            </w:tcBorders>
            <w:vAlign w:val="center"/>
          </w:tcPr>
          <w:p w14:paraId="3F317197">
            <w:pPr>
              <w:spacing w:line="320" w:lineRule="exact"/>
              <w:jc w:val="center"/>
              <w:rPr>
                <w:color w:val="000000"/>
                <w:kern w:val="0"/>
                <w:sz w:val="18"/>
                <w:szCs w:val="18"/>
              </w:rPr>
            </w:pPr>
          </w:p>
        </w:tc>
        <w:tc>
          <w:tcPr>
            <w:tcW w:w="1674" w:type="dxa"/>
            <w:vMerge w:val="continue"/>
            <w:tcBorders>
              <w:left w:val="nil"/>
              <w:bottom w:val="single" w:color="auto" w:sz="4" w:space="0"/>
              <w:right w:val="single" w:color="000000" w:sz="4" w:space="0"/>
            </w:tcBorders>
            <w:vAlign w:val="center"/>
          </w:tcPr>
          <w:p w14:paraId="1F4310B8">
            <w:pPr>
              <w:spacing w:line="320" w:lineRule="exact"/>
              <w:jc w:val="left"/>
              <w:rPr>
                <w:color w:val="000000"/>
                <w:kern w:val="0"/>
                <w:sz w:val="18"/>
                <w:szCs w:val="18"/>
              </w:rPr>
            </w:pPr>
          </w:p>
        </w:tc>
        <w:tc>
          <w:tcPr>
            <w:tcW w:w="4466" w:type="dxa"/>
            <w:tcBorders>
              <w:top w:val="single" w:color="auto" w:sz="4" w:space="0"/>
              <w:left w:val="nil"/>
              <w:bottom w:val="single" w:color="auto" w:sz="4" w:space="0"/>
              <w:right w:val="single" w:color="000000" w:sz="4" w:space="0"/>
            </w:tcBorders>
            <w:vAlign w:val="center"/>
          </w:tcPr>
          <w:p w14:paraId="3EBC1AAA">
            <w:pPr>
              <w:spacing w:line="320" w:lineRule="exact"/>
              <w:jc w:val="left"/>
              <w:rPr>
                <w:color w:val="000000"/>
                <w:kern w:val="0"/>
                <w:sz w:val="18"/>
                <w:szCs w:val="18"/>
              </w:rPr>
            </w:pPr>
            <w:r>
              <w:rPr>
                <w:rFonts w:hint="eastAsia"/>
                <w:color w:val="000000"/>
                <w:kern w:val="0"/>
                <w:sz w:val="18"/>
                <w:szCs w:val="18"/>
              </w:rPr>
              <w:t>采用欺骗和贿赂等不正当手段的</w:t>
            </w:r>
          </w:p>
        </w:tc>
        <w:tc>
          <w:tcPr>
            <w:tcW w:w="1120" w:type="dxa"/>
            <w:vMerge w:val="continue"/>
            <w:tcBorders>
              <w:left w:val="nil"/>
              <w:bottom w:val="single" w:color="auto" w:sz="4" w:space="0"/>
              <w:right w:val="single" w:color="auto" w:sz="4" w:space="0"/>
            </w:tcBorders>
            <w:vAlign w:val="center"/>
          </w:tcPr>
          <w:p w14:paraId="6C967E1A">
            <w:pPr>
              <w:spacing w:line="320" w:lineRule="exact"/>
              <w:jc w:val="center"/>
              <w:rPr>
                <w:color w:val="000000"/>
                <w:kern w:val="0"/>
                <w:sz w:val="18"/>
                <w:szCs w:val="18"/>
              </w:rPr>
            </w:pPr>
          </w:p>
        </w:tc>
        <w:tc>
          <w:tcPr>
            <w:tcW w:w="5730" w:type="dxa"/>
            <w:tcBorders>
              <w:top w:val="nil"/>
              <w:left w:val="nil"/>
              <w:bottom w:val="single" w:color="auto" w:sz="4" w:space="0"/>
              <w:right w:val="single" w:color="auto" w:sz="8" w:space="0"/>
            </w:tcBorders>
            <w:vAlign w:val="center"/>
          </w:tcPr>
          <w:p w14:paraId="01017C59">
            <w:pPr>
              <w:spacing w:line="320" w:lineRule="exact"/>
              <w:jc w:val="left"/>
              <w:rPr>
                <w:color w:val="000000"/>
                <w:kern w:val="0"/>
                <w:sz w:val="18"/>
                <w:szCs w:val="18"/>
              </w:rPr>
            </w:pPr>
            <w:r>
              <w:rPr>
                <w:rFonts w:hint="eastAsia"/>
                <w:color w:val="000000"/>
                <w:kern w:val="0"/>
                <w:sz w:val="18"/>
                <w:szCs w:val="18"/>
              </w:rPr>
              <w:t>处违法所得二倍以上三倍以下且不少于</w:t>
            </w:r>
            <w:r>
              <w:rPr>
                <w:color w:val="000000"/>
                <w:kern w:val="0"/>
                <w:sz w:val="18"/>
                <w:szCs w:val="18"/>
              </w:rPr>
              <w:t>5000</w:t>
            </w:r>
            <w:r>
              <w:rPr>
                <w:rFonts w:hint="eastAsia"/>
                <w:color w:val="000000"/>
                <w:kern w:val="0"/>
                <w:sz w:val="18"/>
                <w:szCs w:val="18"/>
              </w:rPr>
              <w:t>元不超过</w:t>
            </w:r>
            <w:r>
              <w:rPr>
                <w:color w:val="000000"/>
                <w:kern w:val="0"/>
                <w:sz w:val="18"/>
                <w:szCs w:val="18"/>
              </w:rPr>
              <w:t>3</w:t>
            </w:r>
            <w:r>
              <w:rPr>
                <w:rFonts w:hint="eastAsia"/>
                <w:color w:val="000000"/>
                <w:kern w:val="0"/>
                <w:sz w:val="18"/>
                <w:szCs w:val="18"/>
              </w:rPr>
              <w:t>万元的罚款</w:t>
            </w:r>
          </w:p>
        </w:tc>
      </w:tr>
    </w:tbl>
    <w:p w14:paraId="3F343224"/>
    <w:p w14:paraId="45666E47"/>
    <w:p w14:paraId="5C19C1A0"/>
    <w:p w14:paraId="03A2659F"/>
    <w:p w14:paraId="059A405B"/>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84"/>
        <w:gridCol w:w="12"/>
      </w:tblGrid>
      <w:tr w14:paraId="5C5765BA">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064C902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color="auto" w:sz="8" w:space="0"/>
              <w:left w:val="nil"/>
              <w:bottom w:val="single" w:color="auto" w:sz="4" w:space="0"/>
              <w:right w:val="single" w:color="000000" w:sz="8" w:space="0"/>
            </w:tcBorders>
            <w:vAlign w:val="center"/>
          </w:tcPr>
          <w:p w14:paraId="3425ACCD">
            <w:pPr>
              <w:spacing w:line="320" w:lineRule="exact"/>
              <w:jc w:val="left"/>
              <w:rPr>
                <w:rFonts w:eastAsia="仿宋_GB2312"/>
                <w:b/>
                <w:bCs/>
                <w:color w:val="000000"/>
                <w:kern w:val="0"/>
                <w:sz w:val="18"/>
                <w:szCs w:val="18"/>
              </w:rPr>
            </w:pPr>
            <w:r>
              <w:rPr>
                <w:rFonts w:eastAsia="仿宋_GB2312"/>
                <w:b/>
                <w:bCs/>
                <w:color w:val="000000"/>
                <w:kern w:val="0"/>
                <w:sz w:val="18"/>
                <w:szCs w:val="18"/>
              </w:rPr>
              <w:t>320217349000</w:t>
            </w:r>
          </w:p>
        </w:tc>
      </w:tr>
      <w:tr w14:paraId="55A50613">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7C2CAE8A">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color="auto" w:sz="4" w:space="0"/>
              <w:left w:val="nil"/>
              <w:bottom w:val="single" w:color="auto" w:sz="4" w:space="0"/>
              <w:right w:val="single" w:color="000000" w:sz="8" w:space="0"/>
            </w:tcBorders>
            <w:vAlign w:val="center"/>
          </w:tcPr>
          <w:p w14:paraId="39DD16B9">
            <w:pPr>
              <w:spacing w:line="320" w:lineRule="exact"/>
              <w:jc w:val="left"/>
              <w:rPr>
                <w:color w:val="000000"/>
                <w:kern w:val="0"/>
                <w:sz w:val="18"/>
                <w:szCs w:val="18"/>
              </w:rPr>
            </w:pPr>
            <w:r>
              <w:rPr>
                <w:rFonts w:hint="eastAsia"/>
                <w:color w:val="000000"/>
                <w:kern w:val="0"/>
                <w:sz w:val="18"/>
                <w:szCs w:val="18"/>
              </w:rPr>
              <w:t>对侵占、毁损、擅自拆除、移动燃气设施或者擅自改动市政燃气设施的处罚</w:t>
            </w:r>
          </w:p>
        </w:tc>
      </w:tr>
      <w:tr w14:paraId="62422B7C">
        <w:tblPrEx>
          <w:tblCellMar>
            <w:top w:w="0" w:type="dxa"/>
            <w:left w:w="108" w:type="dxa"/>
            <w:bottom w:w="0" w:type="dxa"/>
            <w:right w:w="108" w:type="dxa"/>
          </w:tblCellMar>
        </w:tblPrEx>
        <w:trPr>
          <w:trHeight w:val="1305" w:hRule="atLeast"/>
        </w:trPr>
        <w:tc>
          <w:tcPr>
            <w:tcW w:w="996" w:type="dxa"/>
            <w:gridSpan w:val="2"/>
            <w:tcBorders>
              <w:top w:val="nil"/>
              <w:left w:val="single" w:color="auto" w:sz="8" w:space="0"/>
              <w:bottom w:val="single" w:color="auto" w:sz="4" w:space="0"/>
              <w:right w:val="single" w:color="auto" w:sz="4" w:space="0"/>
            </w:tcBorders>
            <w:vAlign w:val="center"/>
          </w:tcPr>
          <w:p w14:paraId="32914C54">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color="auto" w:sz="4" w:space="0"/>
              <w:left w:val="nil"/>
              <w:bottom w:val="single" w:color="auto" w:sz="4" w:space="0"/>
              <w:right w:val="single" w:color="000000" w:sz="8" w:space="0"/>
            </w:tcBorders>
            <w:vAlign w:val="center"/>
          </w:tcPr>
          <w:p w14:paraId="494C5AB2">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14:paraId="6C131A81">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任何单位和个人不得侵占、毁损、擅自拆除或者移动燃气设施，不得毁损、覆盖、涂改、擅自拆除或者移动燃气设施安全警示标志。</w:t>
            </w:r>
          </w:p>
          <w:p w14:paraId="79E3B0C2">
            <w:pPr>
              <w:spacing w:line="320" w:lineRule="exact"/>
              <w:jc w:val="left"/>
              <w:rPr>
                <w:color w:val="000000"/>
                <w:kern w:val="0"/>
                <w:sz w:val="18"/>
                <w:szCs w:val="18"/>
              </w:rPr>
            </w:pPr>
            <w:r>
              <w:rPr>
                <w:rFonts w:hint="eastAsia"/>
                <w:color w:val="000000"/>
                <w:kern w:val="0"/>
                <w:sz w:val="18"/>
                <w:szCs w:val="18"/>
              </w:rPr>
              <w:t>第五十一条第一款</w:t>
            </w:r>
            <w:r>
              <w:rPr>
                <w:color w:val="000000"/>
                <w:kern w:val="0"/>
                <w:sz w:val="18"/>
                <w:szCs w:val="18"/>
              </w:rPr>
              <w:t xml:space="preserve">  </w:t>
            </w:r>
            <w:r>
              <w:rPr>
                <w:rFonts w:hint="eastAsia"/>
                <w:color w:val="000000"/>
                <w:kern w:val="0"/>
                <w:sz w:val="18"/>
                <w:szCs w:val="18"/>
              </w:rPr>
              <w:t>违反本条例规定，侵占、毁损、擅自拆除、移动燃气设施或者擅自改动市政燃气设施的，由燃气管理部门责令限期改正，恢复原状或者采取其他补救措施，对单位处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万元以下罚款；造成损失的，依法承担赔偿责任；构成犯罪的，依法追究刑事责任。</w:t>
            </w:r>
            <w:r>
              <w:rPr>
                <w:color w:val="000000"/>
                <w:kern w:val="0"/>
                <w:sz w:val="18"/>
                <w:szCs w:val="18"/>
              </w:rPr>
              <w:t xml:space="preserve"> </w:t>
            </w:r>
          </w:p>
        </w:tc>
      </w:tr>
      <w:tr w14:paraId="0FC82ABE">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3D73CA56">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color="auto" w:sz="4" w:space="0"/>
              <w:left w:val="nil"/>
              <w:bottom w:val="single" w:color="auto" w:sz="4" w:space="0"/>
              <w:right w:val="single" w:color="000000" w:sz="8" w:space="0"/>
            </w:tcBorders>
            <w:vAlign w:val="center"/>
          </w:tcPr>
          <w:p w14:paraId="38FC44C6">
            <w:pPr>
              <w:spacing w:line="320" w:lineRule="exact"/>
              <w:jc w:val="left"/>
              <w:rPr>
                <w:color w:val="000000"/>
                <w:kern w:val="0"/>
                <w:sz w:val="18"/>
                <w:szCs w:val="18"/>
              </w:rPr>
            </w:pPr>
            <w:r>
              <w:rPr>
                <w:rFonts w:hint="eastAsia"/>
                <w:color w:val="000000"/>
                <w:kern w:val="0"/>
                <w:sz w:val="18"/>
                <w:szCs w:val="18"/>
              </w:rPr>
              <w:t>罚款</w:t>
            </w:r>
          </w:p>
        </w:tc>
      </w:tr>
      <w:tr w14:paraId="778EA1F8">
        <w:tblPrEx>
          <w:tblCellMar>
            <w:top w:w="0" w:type="dxa"/>
            <w:left w:w="108" w:type="dxa"/>
            <w:bottom w:w="0" w:type="dxa"/>
            <w:right w:w="108" w:type="dxa"/>
          </w:tblCellMar>
        </w:tblPrEx>
        <w:trPr>
          <w:trHeight w:val="285" w:hRule="atLeast"/>
        </w:trPr>
        <w:tc>
          <w:tcPr>
            <w:tcW w:w="14016" w:type="dxa"/>
            <w:gridSpan w:val="6"/>
            <w:tcBorders>
              <w:top w:val="single" w:color="auto" w:sz="4" w:space="0"/>
              <w:left w:val="single" w:color="auto" w:sz="8" w:space="0"/>
              <w:bottom w:val="single" w:color="auto" w:sz="4" w:space="0"/>
              <w:right w:val="single" w:color="000000" w:sz="8" w:space="0"/>
            </w:tcBorders>
            <w:vAlign w:val="center"/>
          </w:tcPr>
          <w:p w14:paraId="7E4776D5">
            <w:pPr>
              <w:spacing w:line="320" w:lineRule="exact"/>
              <w:jc w:val="center"/>
              <w:rPr>
                <w:color w:val="000000"/>
                <w:kern w:val="0"/>
                <w:sz w:val="18"/>
                <w:szCs w:val="18"/>
              </w:rPr>
            </w:pPr>
            <w:r>
              <w:rPr>
                <w:rFonts w:hint="eastAsia"/>
                <w:color w:val="000000"/>
                <w:kern w:val="0"/>
                <w:sz w:val="18"/>
                <w:szCs w:val="18"/>
              </w:rPr>
              <w:t>裁量基准</w:t>
            </w:r>
          </w:p>
        </w:tc>
      </w:tr>
      <w:tr w14:paraId="73A4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5" w:hRule="atLeast"/>
        </w:trPr>
        <w:tc>
          <w:tcPr>
            <w:tcW w:w="980" w:type="dxa"/>
            <w:vMerge w:val="restart"/>
            <w:vAlign w:val="center"/>
          </w:tcPr>
          <w:p w14:paraId="3EA63F1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7AE486CA">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14:paraId="6D69FD13">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14:paraId="1E2B415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14:paraId="1B537BA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14:paraId="4C19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11AB099A">
            <w:pPr>
              <w:spacing w:line="320" w:lineRule="exact"/>
              <w:jc w:val="center"/>
              <w:rPr>
                <w:color w:val="000000"/>
                <w:kern w:val="0"/>
                <w:sz w:val="18"/>
                <w:szCs w:val="18"/>
              </w:rPr>
            </w:pPr>
          </w:p>
        </w:tc>
        <w:tc>
          <w:tcPr>
            <w:tcW w:w="6140" w:type="dxa"/>
            <w:gridSpan w:val="2"/>
            <w:vAlign w:val="center"/>
          </w:tcPr>
          <w:p w14:paraId="46A90C2F">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continue"/>
            <w:vAlign w:val="center"/>
          </w:tcPr>
          <w:p w14:paraId="65988788">
            <w:pPr>
              <w:spacing w:line="320" w:lineRule="exact"/>
              <w:jc w:val="center"/>
              <w:rPr>
                <w:color w:val="000000"/>
                <w:kern w:val="0"/>
                <w:sz w:val="18"/>
                <w:szCs w:val="18"/>
              </w:rPr>
            </w:pPr>
          </w:p>
        </w:tc>
        <w:tc>
          <w:tcPr>
            <w:tcW w:w="5884" w:type="dxa"/>
            <w:vAlign w:val="center"/>
          </w:tcPr>
          <w:p w14:paraId="306DECF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14:paraId="68782DA3">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1242E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17D90FD0">
            <w:pPr>
              <w:spacing w:line="320" w:lineRule="exact"/>
              <w:jc w:val="center"/>
              <w:rPr>
                <w:color w:val="000000"/>
                <w:kern w:val="0"/>
                <w:sz w:val="18"/>
                <w:szCs w:val="18"/>
              </w:rPr>
            </w:pPr>
          </w:p>
        </w:tc>
        <w:tc>
          <w:tcPr>
            <w:tcW w:w="6140" w:type="dxa"/>
            <w:gridSpan w:val="2"/>
            <w:vAlign w:val="center"/>
          </w:tcPr>
          <w:p w14:paraId="1EE628B0">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continue"/>
            <w:vAlign w:val="center"/>
          </w:tcPr>
          <w:p w14:paraId="4B33841A">
            <w:pPr>
              <w:spacing w:line="320" w:lineRule="exact"/>
              <w:jc w:val="center"/>
              <w:rPr>
                <w:color w:val="000000"/>
                <w:kern w:val="0"/>
                <w:sz w:val="18"/>
                <w:szCs w:val="18"/>
              </w:rPr>
            </w:pPr>
          </w:p>
        </w:tc>
        <w:tc>
          <w:tcPr>
            <w:tcW w:w="5884" w:type="dxa"/>
            <w:vAlign w:val="center"/>
          </w:tcPr>
          <w:p w14:paraId="56E5A97A">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083276A1">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7BBD2E51"/>
    <w:p w14:paraId="2438DA9F"/>
    <w:p w14:paraId="783BDD15"/>
    <w:p w14:paraId="0D120D3E"/>
    <w:p w14:paraId="50427C42"/>
    <w:p w14:paraId="7C52CE1A"/>
    <w:p w14:paraId="79135E04"/>
    <w:p w14:paraId="2D68F167"/>
    <w:p w14:paraId="0421C820"/>
    <w:tbl>
      <w:tblPr>
        <w:tblStyle w:val="15"/>
        <w:tblW w:w="0" w:type="auto"/>
        <w:tblInd w:w="78" w:type="dxa"/>
        <w:tblLayout w:type="fixed"/>
        <w:tblCellMar>
          <w:top w:w="0" w:type="dxa"/>
          <w:left w:w="108" w:type="dxa"/>
          <w:bottom w:w="0" w:type="dxa"/>
          <w:right w:w="108" w:type="dxa"/>
        </w:tblCellMar>
      </w:tblPr>
      <w:tblGrid>
        <w:gridCol w:w="1090"/>
        <w:gridCol w:w="2941"/>
        <w:gridCol w:w="1620"/>
        <w:gridCol w:w="8399"/>
      </w:tblGrid>
      <w:tr w14:paraId="3F121F56">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4A2722E0">
            <w:pPr>
              <w:spacing w:line="26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1E45A9E7">
            <w:pPr>
              <w:spacing w:line="260" w:lineRule="exact"/>
              <w:jc w:val="left"/>
              <w:rPr>
                <w:rFonts w:eastAsia="仿宋_GB2312"/>
                <w:b/>
                <w:bCs/>
                <w:color w:val="000000"/>
                <w:kern w:val="0"/>
                <w:sz w:val="18"/>
                <w:szCs w:val="18"/>
              </w:rPr>
            </w:pPr>
            <w:r>
              <w:rPr>
                <w:rFonts w:eastAsia="仿宋_GB2312"/>
                <w:b/>
                <w:bCs/>
                <w:color w:val="000000"/>
                <w:kern w:val="0"/>
                <w:sz w:val="18"/>
                <w:szCs w:val="18"/>
              </w:rPr>
              <w:t>320217350000</w:t>
            </w:r>
            <w:r>
              <w:rPr>
                <w:rFonts w:hint="eastAsia" w:eastAsia="仿宋_GB2312"/>
                <w:b/>
                <w:bCs/>
                <w:color w:val="000000"/>
                <w:kern w:val="0"/>
                <w:sz w:val="18"/>
                <w:szCs w:val="18"/>
              </w:rPr>
              <w:t xml:space="preserve"> </w:t>
            </w:r>
          </w:p>
        </w:tc>
      </w:tr>
      <w:tr w14:paraId="568FCDCF">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1CCBDF58">
            <w:pPr>
              <w:spacing w:line="26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67F6A9D2">
            <w:pPr>
              <w:spacing w:line="260" w:lineRule="exact"/>
              <w:jc w:val="left"/>
              <w:rPr>
                <w:color w:val="000000"/>
                <w:kern w:val="0"/>
                <w:sz w:val="18"/>
                <w:szCs w:val="18"/>
              </w:rPr>
            </w:pPr>
            <w:r>
              <w:rPr>
                <w:rFonts w:hint="eastAsia"/>
                <w:color w:val="000000"/>
                <w:kern w:val="0"/>
                <w:sz w:val="18"/>
                <w:szCs w:val="18"/>
              </w:rPr>
              <w:t>对勘察、设计、施工、工程监理单位未取得资质证书承揽工程的处罚</w:t>
            </w:r>
          </w:p>
        </w:tc>
      </w:tr>
      <w:tr w14:paraId="5F8B8A8A">
        <w:tblPrEx>
          <w:tblCellMar>
            <w:top w:w="0" w:type="dxa"/>
            <w:left w:w="108" w:type="dxa"/>
            <w:bottom w:w="0" w:type="dxa"/>
            <w:right w:w="108" w:type="dxa"/>
          </w:tblCellMar>
        </w:tblPrEx>
        <w:trPr>
          <w:trHeight w:val="2760" w:hRule="atLeast"/>
        </w:trPr>
        <w:tc>
          <w:tcPr>
            <w:tcW w:w="1090" w:type="dxa"/>
            <w:tcBorders>
              <w:top w:val="nil"/>
              <w:left w:val="single" w:color="auto" w:sz="8" w:space="0"/>
              <w:bottom w:val="single" w:color="auto" w:sz="4" w:space="0"/>
              <w:right w:val="single" w:color="auto" w:sz="4" w:space="0"/>
            </w:tcBorders>
            <w:vAlign w:val="center"/>
          </w:tcPr>
          <w:p w14:paraId="75DD07D9">
            <w:pPr>
              <w:spacing w:line="26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0F894F0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45C62A48">
            <w:pPr>
              <w:spacing w:line="260" w:lineRule="exact"/>
              <w:jc w:val="left"/>
              <w:rPr>
                <w:color w:val="000000"/>
                <w:kern w:val="0"/>
                <w:sz w:val="18"/>
                <w:szCs w:val="18"/>
              </w:rPr>
            </w:pPr>
            <w:r>
              <w:rPr>
                <w:rFonts w:hint="eastAsia"/>
                <w:color w:val="000000"/>
                <w:kern w:val="0"/>
                <w:sz w:val="18"/>
                <w:szCs w:val="18"/>
              </w:rPr>
              <w:t>第十八条第一款　从事建设工程勘察、设计的单位应当依法取得相应等级的资质证书，并在其资质等级许可的范围内承揽工程。</w:t>
            </w:r>
            <w:r>
              <w:rPr>
                <w:color w:val="000000"/>
                <w:kern w:val="0"/>
                <w:sz w:val="18"/>
                <w:szCs w:val="18"/>
              </w:rPr>
              <w:t xml:space="preserve"> </w:t>
            </w:r>
          </w:p>
          <w:p w14:paraId="3F34E8EE">
            <w:pPr>
              <w:spacing w:line="260" w:lineRule="exact"/>
              <w:jc w:val="left"/>
              <w:rPr>
                <w:color w:val="000000"/>
                <w:kern w:val="0"/>
                <w:sz w:val="18"/>
                <w:szCs w:val="18"/>
              </w:rPr>
            </w:pPr>
            <w:r>
              <w:rPr>
                <w:rFonts w:hint="eastAsia"/>
                <w:color w:val="000000"/>
                <w:kern w:val="0"/>
                <w:sz w:val="18"/>
                <w:szCs w:val="18"/>
              </w:rPr>
              <w:t>第二十五条第一款　施工单位应当依法取得相应等级的资质证书，并在其资质等级许可的范围内承揽工程。</w:t>
            </w:r>
          </w:p>
          <w:p w14:paraId="2728AC01">
            <w:pPr>
              <w:spacing w:line="260" w:lineRule="exact"/>
              <w:jc w:val="left"/>
              <w:rPr>
                <w:color w:val="000000"/>
                <w:kern w:val="0"/>
                <w:sz w:val="18"/>
                <w:szCs w:val="18"/>
              </w:rPr>
            </w:pPr>
            <w:r>
              <w:rPr>
                <w:rFonts w:hint="eastAsia"/>
                <w:color w:val="000000"/>
                <w:kern w:val="0"/>
                <w:sz w:val="18"/>
                <w:szCs w:val="18"/>
              </w:rPr>
              <w:t>第三十四条第一款　工程监理单位应当依法取得相应等级的资质证书，并在其资质等级许可的范围内承担工程监理业务。</w:t>
            </w:r>
          </w:p>
          <w:p w14:paraId="6032184A">
            <w:pPr>
              <w:spacing w:line="260" w:lineRule="exact"/>
              <w:jc w:val="left"/>
              <w:rPr>
                <w:color w:val="000000"/>
                <w:kern w:val="0"/>
                <w:sz w:val="18"/>
                <w:szCs w:val="18"/>
              </w:rPr>
            </w:pPr>
            <w:r>
              <w:rPr>
                <w:rFonts w:hint="eastAsia"/>
                <w:color w:val="000000"/>
                <w:kern w:val="0"/>
                <w:sz w:val="18"/>
                <w:szCs w:val="18"/>
              </w:rPr>
              <w:t>第六十条第一款　违反本条例规定，勘察、设计、施工、工程监理单位超越本单位资质等级承揽工程的，责令停止违法行为，对勘察、设计单位或者工程监理单位处合同约定的勘察费、设计费或者监理酬金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％以下的罚款，可以责令停业整顿，降低资质等级；情节严重的，吊销资质证书；有违法所得的，予以没收。</w:t>
            </w:r>
          </w:p>
          <w:p w14:paraId="1CF78D62">
            <w:pPr>
              <w:spacing w:line="26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未取得资质证书承揽工程的，予以取缔，依照前款规定处以罚款；有违法所得的，予以没收。</w:t>
            </w:r>
          </w:p>
          <w:p w14:paraId="44FDE1DE">
            <w:pPr>
              <w:spacing w:line="26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4D0C5173">
            <w:pPr>
              <w:spacing w:line="26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287FB0B2">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42EABBB6">
            <w:pPr>
              <w:spacing w:line="26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078DDB65">
            <w:pPr>
              <w:spacing w:line="26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14:paraId="2954310F">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06B7FF68">
            <w:pPr>
              <w:spacing w:line="260" w:lineRule="exact"/>
              <w:jc w:val="center"/>
              <w:rPr>
                <w:color w:val="000000"/>
                <w:kern w:val="0"/>
                <w:sz w:val="18"/>
                <w:szCs w:val="18"/>
              </w:rPr>
            </w:pPr>
            <w:r>
              <w:rPr>
                <w:rFonts w:hint="eastAsia"/>
                <w:color w:val="000000"/>
                <w:kern w:val="0"/>
                <w:sz w:val="18"/>
                <w:szCs w:val="18"/>
              </w:rPr>
              <w:t>裁量基准</w:t>
            </w:r>
          </w:p>
        </w:tc>
      </w:tr>
      <w:tr w14:paraId="11190917">
        <w:tblPrEx>
          <w:tblCellMar>
            <w:top w:w="0" w:type="dxa"/>
            <w:left w:w="108" w:type="dxa"/>
            <w:bottom w:w="0" w:type="dxa"/>
            <w:right w:w="108" w:type="dxa"/>
          </w:tblCellMar>
        </w:tblPrEx>
        <w:trPr>
          <w:trHeight w:val="960" w:hRule="atLeast"/>
        </w:trPr>
        <w:tc>
          <w:tcPr>
            <w:tcW w:w="1090" w:type="dxa"/>
            <w:vMerge w:val="restart"/>
            <w:tcBorders>
              <w:top w:val="nil"/>
              <w:left w:val="single" w:color="auto" w:sz="8" w:space="0"/>
              <w:bottom w:val="single" w:color="auto" w:sz="4" w:space="0"/>
              <w:right w:val="single" w:color="auto" w:sz="4" w:space="0"/>
            </w:tcBorders>
            <w:vAlign w:val="center"/>
          </w:tcPr>
          <w:p w14:paraId="336B59A6">
            <w:pPr>
              <w:spacing w:line="260" w:lineRule="exact"/>
              <w:jc w:val="center"/>
              <w:rPr>
                <w:color w:val="000000"/>
                <w:kern w:val="0"/>
                <w:sz w:val="18"/>
                <w:szCs w:val="18"/>
              </w:rPr>
            </w:pPr>
            <w:r>
              <w:rPr>
                <w:rFonts w:hint="eastAsia"/>
                <w:color w:val="000000"/>
                <w:kern w:val="0"/>
                <w:sz w:val="18"/>
                <w:szCs w:val="18"/>
              </w:rPr>
              <w:t>情形描述</w:t>
            </w:r>
          </w:p>
        </w:tc>
        <w:tc>
          <w:tcPr>
            <w:tcW w:w="2941" w:type="dxa"/>
            <w:tcBorders>
              <w:top w:val="single" w:color="auto" w:sz="4" w:space="0"/>
              <w:left w:val="nil"/>
              <w:bottom w:val="single" w:color="auto" w:sz="4" w:space="0"/>
              <w:right w:val="single" w:color="auto" w:sz="4" w:space="0"/>
            </w:tcBorders>
            <w:vAlign w:val="center"/>
          </w:tcPr>
          <w:p w14:paraId="0C2BBF7C">
            <w:pPr>
              <w:spacing w:line="260" w:lineRule="exact"/>
              <w:jc w:val="left"/>
              <w:rPr>
                <w:color w:val="000000"/>
                <w:kern w:val="0"/>
                <w:sz w:val="18"/>
                <w:szCs w:val="18"/>
              </w:rPr>
            </w:pPr>
            <w:r>
              <w:rPr>
                <w:rFonts w:hint="eastAsia"/>
                <w:color w:val="000000"/>
                <w:kern w:val="0"/>
                <w:sz w:val="18"/>
                <w:szCs w:val="18"/>
              </w:rPr>
              <w:t>项目开展未过半</w:t>
            </w:r>
          </w:p>
        </w:tc>
        <w:tc>
          <w:tcPr>
            <w:tcW w:w="1620" w:type="dxa"/>
            <w:vMerge w:val="restart"/>
            <w:tcBorders>
              <w:top w:val="nil"/>
              <w:left w:val="single" w:color="auto" w:sz="4" w:space="0"/>
              <w:bottom w:val="single" w:color="auto" w:sz="4" w:space="0"/>
              <w:right w:val="single" w:color="auto" w:sz="4" w:space="0"/>
            </w:tcBorders>
            <w:vAlign w:val="center"/>
          </w:tcPr>
          <w:p w14:paraId="475C5780">
            <w:pPr>
              <w:spacing w:line="260" w:lineRule="exact"/>
              <w:jc w:val="center"/>
              <w:rPr>
                <w:color w:val="000000"/>
                <w:kern w:val="0"/>
                <w:sz w:val="18"/>
                <w:szCs w:val="18"/>
              </w:rPr>
            </w:pPr>
            <w:r>
              <w:rPr>
                <w:rFonts w:hint="eastAsia"/>
                <w:color w:val="000000"/>
                <w:kern w:val="0"/>
                <w:sz w:val="18"/>
                <w:szCs w:val="18"/>
              </w:rPr>
              <w:t>裁量幅度</w:t>
            </w:r>
          </w:p>
        </w:tc>
        <w:tc>
          <w:tcPr>
            <w:tcW w:w="8399" w:type="dxa"/>
            <w:tcBorders>
              <w:top w:val="nil"/>
              <w:left w:val="nil"/>
              <w:bottom w:val="single" w:color="auto" w:sz="4" w:space="0"/>
              <w:right w:val="single" w:color="auto" w:sz="8" w:space="0"/>
            </w:tcBorders>
            <w:vAlign w:val="center"/>
          </w:tcPr>
          <w:p w14:paraId="68AA5925">
            <w:pPr>
              <w:spacing w:line="26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14:paraId="68B35A15">
            <w:pPr>
              <w:spacing w:line="26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14:paraId="0FD40E40">
            <w:pPr>
              <w:spacing w:line="26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14:paraId="7EA1B4CD">
            <w:pPr>
              <w:spacing w:line="26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6B299D58">
        <w:tblPrEx>
          <w:tblCellMar>
            <w:top w:w="0" w:type="dxa"/>
            <w:left w:w="108" w:type="dxa"/>
            <w:bottom w:w="0" w:type="dxa"/>
            <w:right w:w="108" w:type="dxa"/>
          </w:tblCellMar>
        </w:tblPrEx>
        <w:trPr>
          <w:trHeight w:val="960" w:hRule="atLeast"/>
        </w:trPr>
        <w:tc>
          <w:tcPr>
            <w:tcW w:w="1090" w:type="dxa"/>
            <w:vMerge w:val="continue"/>
            <w:tcBorders>
              <w:top w:val="nil"/>
              <w:left w:val="single" w:color="auto" w:sz="8" w:space="0"/>
              <w:bottom w:val="single" w:color="auto" w:sz="4" w:space="0"/>
              <w:right w:val="single" w:color="auto" w:sz="4" w:space="0"/>
            </w:tcBorders>
            <w:vAlign w:val="center"/>
          </w:tcPr>
          <w:p w14:paraId="56B7846C">
            <w:pPr>
              <w:spacing w:line="260" w:lineRule="exact"/>
              <w:jc w:val="left"/>
              <w:rPr>
                <w:color w:val="000000"/>
                <w:kern w:val="0"/>
                <w:sz w:val="18"/>
                <w:szCs w:val="18"/>
              </w:rPr>
            </w:pPr>
          </w:p>
        </w:tc>
        <w:tc>
          <w:tcPr>
            <w:tcW w:w="2941" w:type="dxa"/>
            <w:tcBorders>
              <w:top w:val="single" w:color="auto" w:sz="4" w:space="0"/>
              <w:left w:val="nil"/>
              <w:bottom w:val="single" w:color="auto" w:sz="4" w:space="0"/>
              <w:right w:val="single" w:color="auto" w:sz="4" w:space="0"/>
            </w:tcBorders>
            <w:vAlign w:val="center"/>
          </w:tcPr>
          <w:p w14:paraId="7CA8E975">
            <w:pPr>
              <w:spacing w:line="260" w:lineRule="exact"/>
              <w:jc w:val="left"/>
              <w:rPr>
                <w:color w:val="000000"/>
                <w:kern w:val="0"/>
                <w:sz w:val="18"/>
                <w:szCs w:val="18"/>
              </w:rPr>
            </w:pPr>
            <w:r>
              <w:rPr>
                <w:rFonts w:hint="eastAsia"/>
                <w:color w:val="000000"/>
                <w:kern w:val="0"/>
                <w:sz w:val="18"/>
                <w:szCs w:val="18"/>
              </w:rPr>
              <w:t>项目开展过半</w:t>
            </w:r>
          </w:p>
        </w:tc>
        <w:tc>
          <w:tcPr>
            <w:tcW w:w="1620" w:type="dxa"/>
            <w:vMerge w:val="continue"/>
            <w:tcBorders>
              <w:top w:val="nil"/>
              <w:left w:val="single" w:color="auto" w:sz="4" w:space="0"/>
              <w:bottom w:val="single" w:color="auto" w:sz="4" w:space="0"/>
              <w:right w:val="single" w:color="auto" w:sz="4" w:space="0"/>
            </w:tcBorders>
            <w:vAlign w:val="center"/>
          </w:tcPr>
          <w:p w14:paraId="243FE3AA">
            <w:pPr>
              <w:spacing w:line="260" w:lineRule="exact"/>
              <w:jc w:val="left"/>
              <w:rPr>
                <w:color w:val="000000"/>
                <w:kern w:val="0"/>
                <w:sz w:val="18"/>
                <w:szCs w:val="18"/>
              </w:rPr>
            </w:pPr>
          </w:p>
        </w:tc>
        <w:tc>
          <w:tcPr>
            <w:tcW w:w="8399" w:type="dxa"/>
            <w:tcBorders>
              <w:top w:val="nil"/>
              <w:left w:val="nil"/>
              <w:bottom w:val="single" w:color="auto" w:sz="4" w:space="0"/>
              <w:right w:val="single" w:color="auto" w:sz="8" w:space="0"/>
            </w:tcBorders>
            <w:vAlign w:val="center"/>
          </w:tcPr>
          <w:p w14:paraId="3B8FA48A">
            <w:pPr>
              <w:spacing w:line="26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w:t>
            </w:r>
          </w:p>
          <w:p w14:paraId="4BDA9464">
            <w:pPr>
              <w:spacing w:line="26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w:t>
            </w:r>
          </w:p>
          <w:p w14:paraId="7D73E8D7">
            <w:pPr>
              <w:spacing w:line="26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以下罚款，责令停业整顿</w:t>
            </w:r>
          </w:p>
          <w:p w14:paraId="74046F9D">
            <w:pPr>
              <w:spacing w:line="26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7C451390">
        <w:tblPrEx>
          <w:tblCellMar>
            <w:top w:w="0" w:type="dxa"/>
            <w:left w:w="108" w:type="dxa"/>
            <w:bottom w:w="0" w:type="dxa"/>
            <w:right w:w="108" w:type="dxa"/>
          </w:tblCellMar>
        </w:tblPrEx>
        <w:trPr>
          <w:trHeight w:val="960" w:hRule="atLeast"/>
        </w:trPr>
        <w:tc>
          <w:tcPr>
            <w:tcW w:w="1090" w:type="dxa"/>
            <w:vMerge w:val="continue"/>
            <w:tcBorders>
              <w:top w:val="nil"/>
              <w:left w:val="single" w:color="auto" w:sz="8" w:space="0"/>
              <w:bottom w:val="single" w:color="auto" w:sz="4" w:space="0"/>
              <w:right w:val="single" w:color="auto" w:sz="4" w:space="0"/>
            </w:tcBorders>
            <w:vAlign w:val="center"/>
          </w:tcPr>
          <w:p w14:paraId="59A0199B">
            <w:pPr>
              <w:spacing w:line="260" w:lineRule="exact"/>
              <w:jc w:val="left"/>
              <w:rPr>
                <w:color w:val="000000"/>
                <w:kern w:val="0"/>
                <w:sz w:val="18"/>
                <w:szCs w:val="18"/>
              </w:rPr>
            </w:pPr>
          </w:p>
        </w:tc>
        <w:tc>
          <w:tcPr>
            <w:tcW w:w="2941" w:type="dxa"/>
            <w:tcBorders>
              <w:top w:val="single" w:color="auto" w:sz="4" w:space="0"/>
              <w:left w:val="nil"/>
              <w:bottom w:val="single" w:color="auto" w:sz="4" w:space="0"/>
              <w:right w:val="single" w:color="auto" w:sz="4" w:space="0"/>
            </w:tcBorders>
            <w:vAlign w:val="center"/>
          </w:tcPr>
          <w:p w14:paraId="3866A9E6">
            <w:pPr>
              <w:spacing w:line="260" w:lineRule="exact"/>
              <w:jc w:val="left"/>
              <w:rPr>
                <w:color w:val="000000"/>
                <w:kern w:val="0"/>
                <w:sz w:val="18"/>
                <w:szCs w:val="18"/>
              </w:rPr>
            </w:pPr>
            <w:r>
              <w:rPr>
                <w:rFonts w:hint="eastAsia"/>
                <w:color w:val="000000"/>
                <w:kern w:val="0"/>
                <w:sz w:val="18"/>
                <w:szCs w:val="18"/>
              </w:rPr>
              <w:t>项目完成</w:t>
            </w:r>
          </w:p>
        </w:tc>
        <w:tc>
          <w:tcPr>
            <w:tcW w:w="1620" w:type="dxa"/>
            <w:vMerge w:val="continue"/>
            <w:tcBorders>
              <w:top w:val="nil"/>
              <w:left w:val="single" w:color="auto" w:sz="4" w:space="0"/>
              <w:bottom w:val="single" w:color="auto" w:sz="4" w:space="0"/>
              <w:right w:val="single" w:color="auto" w:sz="4" w:space="0"/>
            </w:tcBorders>
            <w:vAlign w:val="center"/>
          </w:tcPr>
          <w:p w14:paraId="5BFF762E">
            <w:pPr>
              <w:spacing w:line="260" w:lineRule="exact"/>
              <w:jc w:val="left"/>
              <w:rPr>
                <w:color w:val="000000"/>
                <w:kern w:val="0"/>
                <w:sz w:val="18"/>
                <w:szCs w:val="18"/>
              </w:rPr>
            </w:pPr>
          </w:p>
        </w:tc>
        <w:tc>
          <w:tcPr>
            <w:tcW w:w="8399" w:type="dxa"/>
            <w:tcBorders>
              <w:top w:val="nil"/>
              <w:left w:val="nil"/>
              <w:bottom w:val="single" w:color="auto" w:sz="4" w:space="0"/>
              <w:right w:val="single" w:color="auto" w:sz="8" w:space="0"/>
            </w:tcBorders>
            <w:vAlign w:val="center"/>
          </w:tcPr>
          <w:p w14:paraId="3A28E256">
            <w:pPr>
              <w:spacing w:line="26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p w14:paraId="671C0CA1">
            <w:pPr>
              <w:spacing w:line="26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p w14:paraId="0958B587">
            <w:pPr>
              <w:spacing w:line="26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3.5%</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以下罚款，责令停业整顿，降低资质等级或者吊销资质证书</w:t>
            </w:r>
          </w:p>
          <w:p w14:paraId="11EAB6AB">
            <w:pPr>
              <w:spacing w:line="26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3148387A"/>
    <w:tbl>
      <w:tblPr>
        <w:tblStyle w:val="15"/>
        <w:tblW w:w="0" w:type="auto"/>
        <w:tblInd w:w="78" w:type="dxa"/>
        <w:tblLayout w:type="fixed"/>
        <w:tblCellMar>
          <w:top w:w="0" w:type="dxa"/>
          <w:left w:w="108" w:type="dxa"/>
          <w:bottom w:w="0" w:type="dxa"/>
          <w:right w:w="108" w:type="dxa"/>
        </w:tblCellMar>
      </w:tblPr>
      <w:tblGrid>
        <w:gridCol w:w="1090"/>
        <w:gridCol w:w="6140"/>
        <w:gridCol w:w="1080"/>
        <w:gridCol w:w="5740"/>
      </w:tblGrid>
      <w:tr w14:paraId="1F4313E5">
        <w:tblPrEx>
          <w:tblCellMar>
            <w:top w:w="0" w:type="dxa"/>
            <w:left w:w="108" w:type="dxa"/>
            <w:bottom w:w="0" w:type="dxa"/>
            <w:right w:w="108" w:type="dxa"/>
          </w:tblCellMar>
        </w:tblPrEx>
        <w:trPr>
          <w:trHeight w:val="285" w:hRule="atLeast"/>
        </w:trPr>
        <w:tc>
          <w:tcPr>
            <w:tcW w:w="1090" w:type="dxa"/>
            <w:tcBorders>
              <w:top w:val="single" w:color="auto" w:sz="8" w:space="0"/>
              <w:left w:val="single" w:color="auto" w:sz="8" w:space="0"/>
              <w:bottom w:val="single" w:color="auto" w:sz="4" w:space="0"/>
              <w:right w:val="single" w:color="auto" w:sz="4" w:space="0"/>
            </w:tcBorders>
            <w:vAlign w:val="center"/>
          </w:tcPr>
          <w:p w14:paraId="47329FCF">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76936EA4">
            <w:pPr>
              <w:spacing w:line="320" w:lineRule="exact"/>
              <w:jc w:val="left"/>
              <w:rPr>
                <w:rFonts w:eastAsia="仿宋_GB2312"/>
                <w:b/>
                <w:bCs/>
                <w:color w:val="000000"/>
                <w:kern w:val="0"/>
                <w:sz w:val="18"/>
                <w:szCs w:val="18"/>
              </w:rPr>
            </w:pPr>
            <w:r>
              <w:rPr>
                <w:rFonts w:eastAsia="仿宋_GB2312"/>
                <w:b/>
                <w:bCs/>
                <w:color w:val="000000"/>
                <w:kern w:val="0"/>
                <w:sz w:val="18"/>
                <w:szCs w:val="18"/>
              </w:rPr>
              <w:t>320217351000</w:t>
            </w:r>
          </w:p>
        </w:tc>
      </w:tr>
      <w:tr w14:paraId="5F14DA5E">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714683F6">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2412DC71">
            <w:pPr>
              <w:spacing w:line="320" w:lineRule="exact"/>
              <w:jc w:val="left"/>
              <w:rPr>
                <w:color w:val="000000"/>
                <w:kern w:val="0"/>
                <w:sz w:val="18"/>
                <w:szCs w:val="18"/>
              </w:rPr>
            </w:pPr>
            <w:r>
              <w:rPr>
                <w:rFonts w:hint="eastAsia"/>
                <w:color w:val="000000"/>
                <w:kern w:val="0"/>
                <w:sz w:val="18"/>
                <w:szCs w:val="18"/>
              </w:rPr>
              <w:t>对在工程发包与承包中索贿、受贿、行贿的处罚</w:t>
            </w:r>
          </w:p>
        </w:tc>
      </w:tr>
      <w:tr w14:paraId="6EA14742">
        <w:tblPrEx>
          <w:tblCellMar>
            <w:top w:w="0" w:type="dxa"/>
            <w:left w:w="108" w:type="dxa"/>
            <w:bottom w:w="0" w:type="dxa"/>
            <w:right w:w="108" w:type="dxa"/>
          </w:tblCellMar>
        </w:tblPrEx>
        <w:trPr>
          <w:trHeight w:val="2760" w:hRule="atLeast"/>
        </w:trPr>
        <w:tc>
          <w:tcPr>
            <w:tcW w:w="1090" w:type="dxa"/>
            <w:tcBorders>
              <w:top w:val="nil"/>
              <w:left w:val="single" w:color="auto" w:sz="8" w:space="0"/>
              <w:bottom w:val="single" w:color="auto" w:sz="4" w:space="0"/>
              <w:right w:val="single" w:color="auto" w:sz="4" w:space="0"/>
            </w:tcBorders>
            <w:vAlign w:val="center"/>
          </w:tcPr>
          <w:p w14:paraId="442EF9FF">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7B69941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【法律】《中华人民共和国建筑法》</w:t>
            </w:r>
          </w:p>
          <w:p w14:paraId="68C2E450">
            <w:pPr>
              <w:spacing w:line="320" w:lineRule="exact"/>
              <w:jc w:val="left"/>
              <w:rPr>
                <w:color w:val="000000"/>
                <w:kern w:val="0"/>
                <w:sz w:val="18"/>
                <w:szCs w:val="18"/>
              </w:rPr>
            </w:pPr>
            <w:r>
              <w:rPr>
                <w:rFonts w:hint="eastAsia"/>
                <w:color w:val="000000"/>
                <w:kern w:val="0"/>
                <w:sz w:val="18"/>
                <w:szCs w:val="18"/>
              </w:rPr>
              <w:t>第六十八条　在工程发包与承包中索贿、受贿、行贿，构成犯罪的，依法追究刑事责任；不构成犯罪的，分别处以罚款，没收贿赂的财物，对直接负责的主管人员和其他直接责任人员给予处分。</w:t>
            </w:r>
          </w:p>
          <w:p w14:paraId="2F444B34">
            <w:pPr>
              <w:spacing w:line="320" w:lineRule="exact"/>
              <w:jc w:val="left"/>
              <w:rPr>
                <w:color w:val="000000"/>
                <w:kern w:val="0"/>
                <w:sz w:val="18"/>
                <w:szCs w:val="18"/>
              </w:rPr>
            </w:pPr>
            <w:r>
              <w:rPr>
                <w:rFonts w:hint="eastAsia"/>
                <w:color w:val="000000"/>
                <w:kern w:val="0"/>
                <w:sz w:val="18"/>
                <w:szCs w:val="18"/>
              </w:rPr>
              <w:t>　　对在工程承包中行贿的承包单位，除依照前款规定处罚外，可以责令停业整顿，降低资质等级或者吊销资质证书。</w:t>
            </w:r>
          </w:p>
          <w:p w14:paraId="5F240846">
            <w:pPr>
              <w:spacing w:line="320" w:lineRule="exact"/>
              <w:jc w:val="left"/>
              <w:rPr>
                <w:color w:val="000000"/>
                <w:kern w:val="0"/>
                <w:sz w:val="18"/>
                <w:szCs w:val="18"/>
              </w:rPr>
            </w:pPr>
            <w:r>
              <w:rPr>
                <w:rFonts w:hint="eastAsia"/>
                <w:color w:val="000000"/>
                <w:kern w:val="0"/>
                <w:sz w:val="18"/>
                <w:szCs w:val="18"/>
              </w:rPr>
              <w:t>第七十六条第一款</w:t>
            </w:r>
            <w:r>
              <w:rPr>
                <w:color w:val="000000"/>
                <w:kern w:val="0"/>
                <w:sz w:val="18"/>
                <w:szCs w:val="18"/>
              </w:rPr>
              <w:t xml:space="preserve">  </w:t>
            </w:r>
            <w:r>
              <w:rPr>
                <w:rFonts w:hint="eastAsia"/>
                <w:color w:val="000000"/>
                <w:kern w:val="0"/>
                <w:sz w:val="18"/>
                <w:szCs w:val="18"/>
              </w:rPr>
              <w:t>本法规定的责令停业整顿、降低资质等级和吊销资质证书的行政处罚，由颁发资质证书的机关决定；其他行政处罚，由建设行政主管部门或者有关部门依照法律和国务院规定的职权范围决定。</w:t>
            </w:r>
          </w:p>
        </w:tc>
      </w:tr>
      <w:tr w14:paraId="6BF466DB">
        <w:tblPrEx>
          <w:tblCellMar>
            <w:top w:w="0" w:type="dxa"/>
            <w:left w:w="108" w:type="dxa"/>
            <w:bottom w:w="0" w:type="dxa"/>
            <w:right w:w="108" w:type="dxa"/>
          </w:tblCellMar>
        </w:tblPrEx>
        <w:trPr>
          <w:trHeight w:val="285" w:hRule="atLeast"/>
        </w:trPr>
        <w:tc>
          <w:tcPr>
            <w:tcW w:w="1090" w:type="dxa"/>
            <w:tcBorders>
              <w:top w:val="nil"/>
              <w:left w:val="single" w:color="auto" w:sz="8" w:space="0"/>
              <w:bottom w:val="single" w:color="auto" w:sz="4" w:space="0"/>
              <w:right w:val="single" w:color="auto" w:sz="4" w:space="0"/>
            </w:tcBorders>
            <w:vAlign w:val="center"/>
          </w:tcPr>
          <w:p w14:paraId="563E0801">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38CF8C29">
            <w:pPr>
              <w:spacing w:line="320" w:lineRule="exact"/>
              <w:jc w:val="left"/>
              <w:rPr>
                <w:color w:val="000000"/>
                <w:kern w:val="0"/>
                <w:sz w:val="18"/>
                <w:szCs w:val="18"/>
              </w:rPr>
            </w:pPr>
            <w:r>
              <w:rPr>
                <w:rFonts w:hint="eastAsia"/>
                <w:color w:val="000000"/>
                <w:kern w:val="0"/>
                <w:sz w:val="18"/>
                <w:szCs w:val="18"/>
              </w:rPr>
              <w:t>罚款，没收贿赂的财物，责令停业整顿，降低资质等级或者吊销资质证书</w:t>
            </w:r>
          </w:p>
        </w:tc>
      </w:tr>
      <w:tr w14:paraId="6983FC99">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0E0604D">
            <w:pPr>
              <w:spacing w:line="320" w:lineRule="exact"/>
              <w:jc w:val="center"/>
              <w:rPr>
                <w:color w:val="000000"/>
                <w:kern w:val="0"/>
                <w:sz w:val="18"/>
                <w:szCs w:val="18"/>
              </w:rPr>
            </w:pPr>
            <w:r>
              <w:rPr>
                <w:rFonts w:hint="eastAsia"/>
                <w:color w:val="000000"/>
                <w:kern w:val="0"/>
                <w:sz w:val="18"/>
                <w:szCs w:val="18"/>
              </w:rPr>
              <w:t>裁量基准</w:t>
            </w:r>
          </w:p>
        </w:tc>
      </w:tr>
      <w:tr w14:paraId="57823640">
        <w:tblPrEx>
          <w:tblCellMar>
            <w:top w:w="0" w:type="dxa"/>
            <w:left w:w="108" w:type="dxa"/>
            <w:bottom w:w="0" w:type="dxa"/>
            <w:right w:w="108" w:type="dxa"/>
          </w:tblCellMar>
        </w:tblPrEx>
        <w:trPr>
          <w:trHeight w:val="721" w:hRule="atLeast"/>
        </w:trPr>
        <w:tc>
          <w:tcPr>
            <w:tcW w:w="1090" w:type="dxa"/>
            <w:tcBorders>
              <w:top w:val="nil"/>
              <w:left w:val="single" w:color="auto" w:sz="8" w:space="0"/>
              <w:bottom w:val="nil"/>
              <w:right w:val="single" w:color="auto" w:sz="4" w:space="0"/>
            </w:tcBorders>
            <w:vAlign w:val="center"/>
          </w:tcPr>
          <w:p w14:paraId="5CC9E72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C5FC8FD">
            <w:pPr>
              <w:spacing w:line="320" w:lineRule="exact"/>
              <w:jc w:val="left"/>
              <w:rPr>
                <w:color w:val="000000"/>
                <w:kern w:val="0"/>
                <w:sz w:val="18"/>
                <w:szCs w:val="18"/>
              </w:rPr>
            </w:pPr>
            <w:r>
              <w:rPr>
                <w:rFonts w:hint="eastAsia"/>
                <w:color w:val="000000"/>
                <w:kern w:val="0"/>
                <w:sz w:val="18"/>
                <w:szCs w:val="18"/>
              </w:rPr>
              <w:t>承包单位在工程承包中行贿，无违法所得的</w:t>
            </w:r>
          </w:p>
        </w:tc>
        <w:tc>
          <w:tcPr>
            <w:tcW w:w="1080" w:type="dxa"/>
            <w:tcBorders>
              <w:top w:val="nil"/>
              <w:left w:val="single" w:color="auto" w:sz="4" w:space="0"/>
              <w:bottom w:val="nil"/>
              <w:right w:val="single" w:color="auto" w:sz="4" w:space="0"/>
            </w:tcBorders>
            <w:vAlign w:val="center"/>
          </w:tcPr>
          <w:p w14:paraId="2D726DD1">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single" w:color="auto" w:sz="4" w:space="0"/>
              <w:left w:val="nil"/>
              <w:bottom w:val="single" w:color="auto" w:sz="4" w:space="0"/>
              <w:right w:val="single" w:color="auto" w:sz="4" w:space="0"/>
            </w:tcBorders>
            <w:vAlign w:val="center"/>
          </w:tcPr>
          <w:p w14:paraId="339E69C0">
            <w:pPr>
              <w:spacing w:line="320" w:lineRule="exact"/>
              <w:jc w:val="left"/>
              <w:rPr>
                <w:color w:val="000000"/>
                <w:kern w:val="0"/>
                <w:sz w:val="18"/>
                <w:szCs w:val="18"/>
              </w:rPr>
            </w:pPr>
            <w:r>
              <w:rPr>
                <w:rFonts w:hint="eastAsia"/>
                <w:color w:val="000000"/>
                <w:kern w:val="0"/>
                <w:sz w:val="18"/>
                <w:szCs w:val="18"/>
              </w:rPr>
              <w:t>责令停业整顿，降低资质等级</w:t>
            </w:r>
          </w:p>
        </w:tc>
      </w:tr>
      <w:tr w14:paraId="0BE831CA">
        <w:tblPrEx>
          <w:tblCellMar>
            <w:top w:w="0" w:type="dxa"/>
            <w:left w:w="108" w:type="dxa"/>
            <w:bottom w:w="0" w:type="dxa"/>
            <w:right w:w="108" w:type="dxa"/>
          </w:tblCellMar>
        </w:tblPrEx>
        <w:trPr>
          <w:trHeight w:val="721" w:hRule="atLeast"/>
        </w:trPr>
        <w:tc>
          <w:tcPr>
            <w:tcW w:w="1090" w:type="dxa"/>
            <w:tcBorders>
              <w:top w:val="nil"/>
              <w:left w:val="single" w:color="auto" w:sz="8" w:space="0"/>
              <w:bottom w:val="single" w:color="auto" w:sz="4" w:space="0"/>
              <w:right w:val="single" w:color="auto" w:sz="4" w:space="0"/>
            </w:tcBorders>
            <w:vAlign w:val="center"/>
          </w:tcPr>
          <w:p w14:paraId="2C4E2BBE">
            <w:pPr>
              <w:spacing w:line="320" w:lineRule="exac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943487B">
            <w:pPr>
              <w:spacing w:line="320" w:lineRule="exact"/>
              <w:jc w:val="left"/>
              <w:rPr>
                <w:color w:val="000000"/>
                <w:kern w:val="0"/>
                <w:sz w:val="18"/>
                <w:szCs w:val="18"/>
              </w:rPr>
            </w:pPr>
            <w:r>
              <w:rPr>
                <w:rFonts w:hint="eastAsia"/>
                <w:color w:val="000000"/>
                <w:kern w:val="0"/>
                <w:sz w:val="18"/>
                <w:szCs w:val="18"/>
              </w:rPr>
              <w:t>承包单位在工程承包中行贿，有违法所得的</w:t>
            </w:r>
          </w:p>
        </w:tc>
        <w:tc>
          <w:tcPr>
            <w:tcW w:w="1080" w:type="dxa"/>
            <w:tcBorders>
              <w:top w:val="nil"/>
              <w:left w:val="single" w:color="auto" w:sz="4" w:space="0"/>
              <w:bottom w:val="single" w:color="auto" w:sz="4" w:space="0"/>
              <w:right w:val="single" w:color="auto" w:sz="4" w:space="0"/>
            </w:tcBorders>
            <w:vAlign w:val="center"/>
          </w:tcPr>
          <w:p w14:paraId="68308B32">
            <w:pPr>
              <w:spacing w:line="320" w:lineRule="exact"/>
              <w:jc w:val="center"/>
              <w:rPr>
                <w:color w:val="000000"/>
                <w:kern w:val="0"/>
                <w:sz w:val="18"/>
                <w:szCs w:val="18"/>
              </w:rPr>
            </w:pPr>
          </w:p>
        </w:tc>
        <w:tc>
          <w:tcPr>
            <w:tcW w:w="5740" w:type="dxa"/>
            <w:tcBorders>
              <w:top w:val="single" w:color="auto" w:sz="4" w:space="0"/>
              <w:left w:val="nil"/>
              <w:bottom w:val="single" w:color="auto" w:sz="4" w:space="0"/>
              <w:right w:val="single" w:color="auto" w:sz="4" w:space="0"/>
            </w:tcBorders>
            <w:vAlign w:val="center"/>
          </w:tcPr>
          <w:p w14:paraId="667E4145">
            <w:pPr>
              <w:spacing w:line="320" w:lineRule="exact"/>
              <w:jc w:val="left"/>
              <w:rPr>
                <w:color w:val="000000"/>
                <w:kern w:val="0"/>
                <w:sz w:val="18"/>
                <w:szCs w:val="18"/>
              </w:rPr>
            </w:pPr>
            <w:r>
              <w:rPr>
                <w:rFonts w:hint="eastAsia"/>
                <w:color w:val="000000"/>
                <w:kern w:val="0"/>
                <w:sz w:val="18"/>
                <w:szCs w:val="18"/>
              </w:rPr>
              <w:t>责令停业整顿，吊销资质证书</w:t>
            </w:r>
          </w:p>
        </w:tc>
      </w:tr>
    </w:tbl>
    <w:p w14:paraId="097F89B1"/>
    <w:p w14:paraId="3DFAB696"/>
    <w:p w14:paraId="7700792F"/>
    <w:p w14:paraId="36F76680"/>
    <w:p w14:paraId="70242286"/>
    <w:p w14:paraId="235A57CC"/>
    <w:p w14:paraId="608DA6A1"/>
    <w:tbl>
      <w:tblPr>
        <w:tblStyle w:val="15"/>
        <w:tblW w:w="0" w:type="auto"/>
        <w:tblInd w:w="7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6140"/>
        <w:gridCol w:w="1080"/>
        <w:gridCol w:w="5740"/>
      </w:tblGrid>
      <w:tr w14:paraId="106F0B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tcBorders>
              <w:top w:val="single" w:color="auto" w:sz="8" w:space="0"/>
            </w:tcBorders>
            <w:vAlign w:val="center"/>
          </w:tcPr>
          <w:p w14:paraId="40DCCC7F">
            <w:pPr>
              <w:spacing w:line="20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tcBorders>
            <w:vAlign w:val="center"/>
          </w:tcPr>
          <w:p w14:paraId="73BE967C">
            <w:pPr>
              <w:spacing w:line="200" w:lineRule="exact"/>
              <w:jc w:val="left"/>
              <w:rPr>
                <w:rFonts w:eastAsia="仿宋_GB2312"/>
                <w:b/>
                <w:bCs/>
                <w:color w:val="000000"/>
                <w:kern w:val="0"/>
                <w:sz w:val="18"/>
                <w:szCs w:val="18"/>
              </w:rPr>
            </w:pPr>
            <w:r>
              <w:rPr>
                <w:rFonts w:eastAsia="仿宋_GB2312"/>
                <w:b/>
                <w:bCs/>
                <w:color w:val="000000"/>
                <w:kern w:val="0"/>
                <w:sz w:val="18"/>
                <w:szCs w:val="18"/>
              </w:rPr>
              <w:t>320217352000</w:t>
            </w:r>
            <w:r>
              <w:rPr>
                <w:rFonts w:hint="eastAsia" w:eastAsia="仿宋_GB2312"/>
                <w:b/>
                <w:bCs/>
                <w:color w:val="000000"/>
                <w:kern w:val="0"/>
                <w:sz w:val="18"/>
                <w:szCs w:val="18"/>
              </w:rPr>
              <w:t xml:space="preserve"> </w:t>
            </w:r>
          </w:p>
        </w:tc>
      </w:tr>
      <w:tr w14:paraId="3602D4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vAlign w:val="center"/>
          </w:tcPr>
          <w:p w14:paraId="50A5C5A2">
            <w:pPr>
              <w:spacing w:line="200" w:lineRule="exact"/>
              <w:jc w:val="center"/>
              <w:rPr>
                <w:color w:val="000000"/>
                <w:kern w:val="0"/>
                <w:sz w:val="18"/>
                <w:szCs w:val="18"/>
              </w:rPr>
            </w:pPr>
            <w:r>
              <w:rPr>
                <w:rFonts w:hint="eastAsia"/>
                <w:color w:val="000000"/>
                <w:kern w:val="0"/>
                <w:sz w:val="18"/>
                <w:szCs w:val="18"/>
              </w:rPr>
              <w:t>行为名称</w:t>
            </w:r>
          </w:p>
        </w:tc>
        <w:tc>
          <w:tcPr>
            <w:tcW w:w="12960" w:type="dxa"/>
            <w:gridSpan w:val="3"/>
            <w:vAlign w:val="center"/>
          </w:tcPr>
          <w:p w14:paraId="2B77D024">
            <w:pPr>
              <w:spacing w:line="200" w:lineRule="exact"/>
              <w:jc w:val="left"/>
              <w:rPr>
                <w:color w:val="000000"/>
                <w:kern w:val="0"/>
                <w:sz w:val="18"/>
                <w:szCs w:val="18"/>
              </w:rPr>
            </w:pPr>
            <w:r>
              <w:rPr>
                <w:rFonts w:hint="eastAsia"/>
                <w:color w:val="000000"/>
                <w:kern w:val="0"/>
                <w:sz w:val="18"/>
                <w:szCs w:val="18"/>
              </w:rPr>
              <w:t>对勘察、设计、施工、工程监理单位允许其他单位或者个人以本单位名义承揽工程的处罚</w:t>
            </w:r>
          </w:p>
        </w:tc>
      </w:tr>
      <w:tr w14:paraId="748BD0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vAlign w:val="center"/>
          </w:tcPr>
          <w:p w14:paraId="19BD3842">
            <w:pPr>
              <w:spacing w:line="200" w:lineRule="exact"/>
              <w:jc w:val="center"/>
              <w:rPr>
                <w:color w:val="000000"/>
                <w:kern w:val="0"/>
                <w:sz w:val="18"/>
                <w:szCs w:val="18"/>
              </w:rPr>
            </w:pPr>
            <w:r>
              <w:rPr>
                <w:rFonts w:hint="eastAsia"/>
                <w:color w:val="000000"/>
                <w:kern w:val="0"/>
                <w:sz w:val="18"/>
                <w:szCs w:val="18"/>
              </w:rPr>
              <w:t>法律依据</w:t>
            </w:r>
          </w:p>
        </w:tc>
        <w:tc>
          <w:tcPr>
            <w:tcW w:w="12960" w:type="dxa"/>
            <w:gridSpan w:val="3"/>
            <w:vAlign w:val="center"/>
          </w:tcPr>
          <w:p w14:paraId="6FAFFFD6">
            <w:pPr>
              <w:spacing w:line="2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188783E8">
            <w:pPr>
              <w:spacing w:line="200" w:lineRule="exact"/>
              <w:jc w:val="left"/>
              <w:rPr>
                <w:color w:val="000000"/>
                <w:kern w:val="0"/>
                <w:sz w:val="18"/>
                <w:szCs w:val="18"/>
              </w:rPr>
            </w:pPr>
            <w:r>
              <w:rPr>
                <w:rFonts w:hint="eastAsia"/>
                <w:color w:val="000000"/>
                <w:kern w:val="0"/>
                <w:sz w:val="18"/>
                <w:szCs w:val="18"/>
              </w:rPr>
              <w:t>第十八条第二款</w:t>
            </w:r>
            <w:r>
              <w:rPr>
                <w:color w:val="000000"/>
                <w:kern w:val="0"/>
                <w:sz w:val="18"/>
                <w:szCs w:val="18"/>
              </w:rPr>
              <w:t xml:space="preserve">  </w:t>
            </w:r>
            <w:r>
              <w:rPr>
                <w:rFonts w:hint="eastAsia"/>
                <w:color w:val="000000"/>
                <w:kern w:val="0"/>
                <w:sz w:val="18"/>
                <w:szCs w:val="18"/>
              </w:rPr>
              <w:t>禁止勘察、设计单位超越其资质等级许可的范围或者以其他勘察、设计单位的名义承揽工程。禁止勘察、设计单位允许其他单位或者个人以本单位的名义承揽工程。</w:t>
            </w:r>
          </w:p>
          <w:p w14:paraId="7AE1FB6E">
            <w:pPr>
              <w:spacing w:line="200" w:lineRule="exact"/>
              <w:jc w:val="left"/>
              <w:rPr>
                <w:color w:val="000000"/>
                <w:kern w:val="0"/>
                <w:sz w:val="18"/>
                <w:szCs w:val="18"/>
              </w:rPr>
            </w:pPr>
            <w:r>
              <w:rPr>
                <w:rFonts w:hint="eastAsia"/>
                <w:color w:val="000000"/>
                <w:kern w:val="0"/>
                <w:sz w:val="18"/>
                <w:szCs w:val="18"/>
              </w:rPr>
              <w:t>第二十五条第二款　禁止施工单位超越本单位资质等级许可的业务范围或者以其他施工单位的名义承揽工程。禁止施工单位允许其他单位或者个人以本单位的名义承揽工程。</w:t>
            </w:r>
          </w:p>
          <w:p w14:paraId="5E090052">
            <w:pPr>
              <w:spacing w:line="200" w:lineRule="exact"/>
              <w:jc w:val="left"/>
              <w:rPr>
                <w:color w:val="000000"/>
                <w:kern w:val="0"/>
                <w:sz w:val="18"/>
                <w:szCs w:val="18"/>
              </w:rPr>
            </w:pPr>
            <w:r>
              <w:rPr>
                <w:rFonts w:hint="eastAsia"/>
                <w:color w:val="000000"/>
                <w:kern w:val="0"/>
                <w:sz w:val="18"/>
                <w:szCs w:val="18"/>
              </w:rPr>
              <w:t>第三十四条第二款　禁止工程监理单位超越本单位资质等级许可的范围或者以其他工程监理单位的名义承担工程监理业务。禁止工程监理单位允许其他单位或者个人以本单位的名义承担工程监理业务。</w:t>
            </w:r>
          </w:p>
          <w:p w14:paraId="70E96395">
            <w:pPr>
              <w:spacing w:line="200" w:lineRule="exact"/>
              <w:jc w:val="left"/>
              <w:rPr>
                <w:color w:val="000000"/>
                <w:kern w:val="0"/>
                <w:sz w:val="18"/>
                <w:szCs w:val="18"/>
              </w:rPr>
            </w:pPr>
            <w:r>
              <w:rPr>
                <w:rFonts w:hint="eastAsia"/>
                <w:color w:val="000000"/>
                <w:kern w:val="0"/>
                <w:sz w:val="18"/>
                <w:szCs w:val="18"/>
              </w:rPr>
              <w:t>第六十一条　违反本条例规定，勘察、设计、施工、工程监理单位允许其他单位或者个人以本单位名义承揽工程的，责令改正，没收违法所得，对勘察、设计单位和工程监理单位处合同约定的勘察费、设计费和监理酬金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w:t>
            </w:r>
          </w:p>
          <w:p w14:paraId="4094FA93">
            <w:pPr>
              <w:spacing w:line="20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34EBB18F">
            <w:pPr>
              <w:spacing w:line="20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14:paraId="010BD4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vAlign w:val="center"/>
          </w:tcPr>
          <w:p w14:paraId="17E0F91D">
            <w:pPr>
              <w:spacing w:line="200" w:lineRule="exact"/>
              <w:jc w:val="center"/>
              <w:rPr>
                <w:color w:val="000000"/>
                <w:kern w:val="0"/>
                <w:sz w:val="18"/>
                <w:szCs w:val="18"/>
              </w:rPr>
            </w:pPr>
            <w:r>
              <w:rPr>
                <w:rFonts w:hint="eastAsia"/>
                <w:color w:val="000000"/>
                <w:kern w:val="0"/>
                <w:sz w:val="18"/>
                <w:szCs w:val="18"/>
              </w:rPr>
              <w:t>行使内容</w:t>
            </w:r>
          </w:p>
        </w:tc>
        <w:tc>
          <w:tcPr>
            <w:tcW w:w="12960" w:type="dxa"/>
            <w:gridSpan w:val="3"/>
            <w:vAlign w:val="center"/>
          </w:tcPr>
          <w:p w14:paraId="1ADBBC5C">
            <w:pPr>
              <w:spacing w:line="200" w:lineRule="exact"/>
              <w:jc w:val="left"/>
              <w:rPr>
                <w:color w:val="000000"/>
                <w:kern w:val="0"/>
                <w:sz w:val="18"/>
                <w:szCs w:val="18"/>
              </w:rPr>
            </w:pPr>
            <w:r>
              <w:rPr>
                <w:rFonts w:hint="eastAsia"/>
                <w:color w:val="000000"/>
                <w:kern w:val="0"/>
                <w:sz w:val="18"/>
                <w:szCs w:val="18"/>
              </w:rPr>
              <w:t>没收违法所得，罚款，责令停业整顿，降低资质等级，吊销资质证书</w:t>
            </w:r>
          </w:p>
        </w:tc>
      </w:tr>
      <w:tr w14:paraId="31CB8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050" w:type="dxa"/>
            <w:gridSpan w:val="4"/>
            <w:vAlign w:val="center"/>
          </w:tcPr>
          <w:p w14:paraId="109B0348">
            <w:pPr>
              <w:spacing w:line="200" w:lineRule="exact"/>
              <w:jc w:val="center"/>
              <w:rPr>
                <w:color w:val="000000"/>
                <w:kern w:val="0"/>
                <w:sz w:val="18"/>
                <w:szCs w:val="18"/>
              </w:rPr>
            </w:pPr>
            <w:r>
              <w:rPr>
                <w:rFonts w:hint="eastAsia"/>
                <w:color w:val="000000"/>
                <w:kern w:val="0"/>
                <w:sz w:val="18"/>
                <w:szCs w:val="18"/>
              </w:rPr>
              <w:t>裁量基准</w:t>
            </w:r>
          </w:p>
        </w:tc>
      </w:tr>
      <w:tr w14:paraId="23837D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vMerge w:val="restart"/>
            <w:vAlign w:val="center"/>
          </w:tcPr>
          <w:p w14:paraId="32A33DC2">
            <w:pPr>
              <w:spacing w:line="20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39CA4C0D">
            <w:pPr>
              <w:spacing w:line="200" w:lineRule="exact"/>
              <w:jc w:val="left"/>
              <w:rPr>
                <w:color w:val="000000"/>
                <w:kern w:val="0"/>
                <w:sz w:val="18"/>
                <w:szCs w:val="18"/>
              </w:rPr>
            </w:pPr>
            <w:r>
              <w:rPr>
                <w:rFonts w:hint="eastAsia"/>
                <w:color w:val="000000"/>
                <w:kern w:val="0"/>
                <w:sz w:val="18"/>
                <w:szCs w:val="18"/>
              </w:rPr>
              <w:t>未获得工程任务的</w:t>
            </w:r>
          </w:p>
        </w:tc>
        <w:tc>
          <w:tcPr>
            <w:tcW w:w="1080" w:type="dxa"/>
            <w:vMerge w:val="restart"/>
            <w:vAlign w:val="center"/>
          </w:tcPr>
          <w:p w14:paraId="7DEBEBE9">
            <w:pPr>
              <w:spacing w:line="200" w:lineRule="exact"/>
              <w:jc w:val="center"/>
              <w:rPr>
                <w:color w:val="000000"/>
                <w:kern w:val="0"/>
                <w:sz w:val="18"/>
                <w:szCs w:val="18"/>
              </w:rPr>
            </w:pPr>
            <w:r>
              <w:rPr>
                <w:rFonts w:hint="eastAsia"/>
                <w:color w:val="000000"/>
                <w:kern w:val="0"/>
                <w:sz w:val="18"/>
                <w:szCs w:val="18"/>
              </w:rPr>
              <w:t>裁量幅度</w:t>
            </w:r>
          </w:p>
        </w:tc>
        <w:tc>
          <w:tcPr>
            <w:tcW w:w="5740" w:type="dxa"/>
            <w:vAlign w:val="center"/>
          </w:tcPr>
          <w:p w14:paraId="2AFF8FA2">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14:paraId="02080994">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14:paraId="5F4E2453">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14:paraId="0F35473D">
            <w:pPr>
              <w:spacing w:line="2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5277AF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vMerge w:val="continue"/>
            <w:vAlign w:val="center"/>
          </w:tcPr>
          <w:p w14:paraId="3CEFE2FA">
            <w:pPr>
              <w:spacing w:line="200" w:lineRule="exact"/>
              <w:jc w:val="left"/>
              <w:rPr>
                <w:color w:val="000000"/>
                <w:kern w:val="0"/>
                <w:sz w:val="18"/>
                <w:szCs w:val="18"/>
              </w:rPr>
            </w:pPr>
          </w:p>
        </w:tc>
        <w:tc>
          <w:tcPr>
            <w:tcW w:w="6140" w:type="dxa"/>
            <w:vAlign w:val="center"/>
          </w:tcPr>
          <w:p w14:paraId="5DCFA5BF">
            <w:pPr>
              <w:spacing w:line="200" w:lineRule="exact"/>
              <w:jc w:val="left"/>
              <w:rPr>
                <w:color w:val="000000"/>
                <w:kern w:val="0"/>
                <w:sz w:val="18"/>
                <w:szCs w:val="18"/>
              </w:rPr>
            </w:pPr>
            <w:r>
              <w:rPr>
                <w:rFonts w:hint="eastAsia"/>
                <w:color w:val="000000"/>
                <w:kern w:val="0"/>
                <w:sz w:val="18"/>
                <w:szCs w:val="18"/>
              </w:rPr>
              <w:t>承揽到工程任务的并且已经开始施工的。</w:t>
            </w:r>
          </w:p>
          <w:p w14:paraId="04F94D5A">
            <w:pPr>
              <w:spacing w:line="200" w:lineRule="exact"/>
              <w:jc w:val="left"/>
              <w:rPr>
                <w:color w:val="000000"/>
                <w:kern w:val="0"/>
                <w:sz w:val="18"/>
                <w:szCs w:val="18"/>
              </w:rPr>
            </w:pPr>
          </w:p>
        </w:tc>
        <w:tc>
          <w:tcPr>
            <w:tcW w:w="1080" w:type="dxa"/>
            <w:vMerge w:val="continue"/>
            <w:vAlign w:val="center"/>
          </w:tcPr>
          <w:p w14:paraId="064DF59A">
            <w:pPr>
              <w:spacing w:line="200" w:lineRule="exact"/>
              <w:jc w:val="left"/>
              <w:rPr>
                <w:color w:val="000000"/>
                <w:kern w:val="0"/>
                <w:sz w:val="18"/>
                <w:szCs w:val="18"/>
              </w:rPr>
            </w:pPr>
          </w:p>
        </w:tc>
        <w:tc>
          <w:tcPr>
            <w:tcW w:w="5740" w:type="dxa"/>
            <w:vAlign w:val="center"/>
          </w:tcPr>
          <w:p w14:paraId="179E1FB1">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1.2</w:t>
            </w:r>
            <w:r>
              <w:rPr>
                <w:rFonts w:hint="eastAsia"/>
                <w:color w:val="000000"/>
                <w:kern w:val="0"/>
                <w:sz w:val="18"/>
                <w:szCs w:val="18"/>
              </w:rPr>
              <w:t>倍以上</w:t>
            </w:r>
            <w:r>
              <w:rPr>
                <w:color w:val="000000"/>
                <w:kern w:val="0"/>
                <w:sz w:val="18"/>
                <w:szCs w:val="18"/>
              </w:rPr>
              <w:t>1.8</w:t>
            </w:r>
            <w:r>
              <w:rPr>
                <w:rFonts w:hint="eastAsia"/>
                <w:color w:val="000000"/>
                <w:kern w:val="0"/>
                <w:sz w:val="18"/>
                <w:szCs w:val="18"/>
              </w:rPr>
              <w:t>倍以下罚款，责令停业整顿，降低资质等级</w:t>
            </w:r>
          </w:p>
          <w:p w14:paraId="2D825896">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2.5%</w:t>
            </w:r>
            <w:r>
              <w:rPr>
                <w:rFonts w:hint="eastAsia"/>
                <w:color w:val="000000"/>
                <w:kern w:val="0"/>
                <w:sz w:val="18"/>
                <w:szCs w:val="18"/>
              </w:rPr>
              <w:t>以上</w:t>
            </w:r>
            <w:r>
              <w:rPr>
                <w:color w:val="000000"/>
                <w:kern w:val="0"/>
                <w:sz w:val="18"/>
                <w:szCs w:val="18"/>
              </w:rPr>
              <w:t>3.5%</w:t>
            </w:r>
            <w:r>
              <w:rPr>
                <w:rFonts w:hint="eastAsia"/>
                <w:color w:val="000000"/>
                <w:kern w:val="0"/>
                <w:sz w:val="18"/>
                <w:szCs w:val="18"/>
              </w:rPr>
              <w:t>以下罚款，责令停业整顿，降低资质等级</w:t>
            </w:r>
          </w:p>
          <w:p w14:paraId="59C1BA0C">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1.2</w:t>
            </w:r>
            <w:r>
              <w:rPr>
                <w:rFonts w:hint="eastAsia"/>
                <w:color w:val="000000"/>
                <w:kern w:val="0"/>
                <w:sz w:val="18"/>
                <w:szCs w:val="18"/>
              </w:rPr>
              <w:t>倍以上</w:t>
            </w:r>
            <w:r>
              <w:rPr>
                <w:color w:val="000000"/>
                <w:kern w:val="0"/>
                <w:sz w:val="18"/>
                <w:szCs w:val="18"/>
              </w:rPr>
              <w:t>1.8</w:t>
            </w:r>
            <w:r>
              <w:rPr>
                <w:rFonts w:hint="eastAsia"/>
                <w:color w:val="000000"/>
                <w:kern w:val="0"/>
                <w:sz w:val="18"/>
                <w:szCs w:val="18"/>
              </w:rPr>
              <w:t>倍以下罚款，责令停业整顿，降低资质等级</w:t>
            </w:r>
          </w:p>
          <w:p w14:paraId="78AE7DB6">
            <w:pPr>
              <w:spacing w:line="2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622B61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vMerge w:val="continue"/>
            <w:tcBorders>
              <w:bottom w:val="single" w:color="auto" w:sz="8" w:space="0"/>
            </w:tcBorders>
            <w:vAlign w:val="center"/>
          </w:tcPr>
          <w:p w14:paraId="0BDF176A">
            <w:pPr>
              <w:spacing w:line="200" w:lineRule="exact"/>
              <w:jc w:val="left"/>
              <w:rPr>
                <w:color w:val="000000"/>
                <w:kern w:val="0"/>
                <w:sz w:val="18"/>
                <w:szCs w:val="18"/>
              </w:rPr>
            </w:pPr>
          </w:p>
        </w:tc>
        <w:tc>
          <w:tcPr>
            <w:tcW w:w="6140" w:type="dxa"/>
            <w:tcBorders>
              <w:bottom w:val="single" w:color="auto" w:sz="8" w:space="0"/>
            </w:tcBorders>
            <w:vAlign w:val="center"/>
          </w:tcPr>
          <w:p w14:paraId="37036F80">
            <w:pPr>
              <w:spacing w:line="200" w:lineRule="exact"/>
              <w:jc w:val="left"/>
              <w:rPr>
                <w:color w:val="000000"/>
                <w:kern w:val="0"/>
                <w:sz w:val="18"/>
                <w:szCs w:val="18"/>
              </w:rPr>
            </w:pPr>
            <w:r>
              <w:rPr>
                <w:rFonts w:hint="eastAsia"/>
                <w:color w:val="000000"/>
                <w:kern w:val="0"/>
                <w:sz w:val="18"/>
                <w:szCs w:val="18"/>
              </w:rPr>
              <w:t>承揽工程任务已经完成或者发生安全事故的</w:t>
            </w:r>
          </w:p>
        </w:tc>
        <w:tc>
          <w:tcPr>
            <w:tcW w:w="1080" w:type="dxa"/>
            <w:vMerge w:val="continue"/>
            <w:tcBorders>
              <w:bottom w:val="single" w:color="auto" w:sz="8" w:space="0"/>
            </w:tcBorders>
            <w:vAlign w:val="center"/>
          </w:tcPr>
          <w:p w14:paraId="51001BCA">
            <w:pPr>
              <w:spacing w:line="200" w:lineRule="exact"/>
              <w:jc w:val="left"/>
              <w:rPr>
                <w:color w:val="000000"/>
                <w:kern w:val="0"/>
                <w:sz w:val="18"/>
                <w:szCs w:val="18"/>
              </w:rPr>
            </w:pPr>
          </w:p>
        </w:tc>
        <w:tc>
          <w:tcPr>
            <w:tcW w:w="5740" w:type="dxa"/>
            <w:tcBorders>
              <w:bottom w:val="single" w:color="auto" w:sz="8" w:space="0"/>
            </w:tcBorders>
            <w:vAlign w:val="center"/>
          </w:tcPr>
          <w:p w14:paraId="238E86AC">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1.8</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倍以下罚款，吊销资质证书</w:t>
            </w:r>
          </w:p>
          <w:p w14:paraId="75EF032B">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3.5%</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以下罚款，吊销资质证书</w:t>
            </w:r>
          </w:p>
          <w:p w14:paraId="43BF3708">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1.8</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倍以下罚款，吊销资质证书</w:t>
            </w:r>
          </w:p>
          <w:p w14:paraId="72CF782D">
            <w:pPr>
              <w:spacing w:line="2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6505777E"/>
    <w:p w14:paraId="7B8D5948"/>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4666429E">
        <w:tblPrEx>
          <w:tblCellMar>
            <w:top w:w="0" w:type="dxa"/>
            <w:left w:w="108" w:type="dxa"/>
            <w:bottom w:w="0" w:type="dxa"/>
            <w:right w:w="108" w:type="dxa"/>
          </w:tblCellMar>
        </w:tblPrEx>
        <w:trPr>
          <w:trHeight w:val="405" w:hRule="atLeast"/>
        </w:trPr>
        <w:tc>
          <w:tcPr>
            <w:tcW w:w="1050" w:type="dxa"/>
            <w:tcBorders>
              <w:top w:val="single" w:color="auto" w:sz="8" w:space="0"/>
              <w:left w:val="single" w:color="auto" w:sz="8" w:space="0"/>
              <w:bottom w:val="single" w:color="auto" w:sz="4" w:space="0"/>
              <w:right w:val="single" w:color="auto" w:sz="4" w:space="0"/>
            </w:tcBorders>
            <w:vAlign w:val="center"/>
          </w:tcPr>
          <w:p w14:paraId="2A9E9EB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40396401">
            <w:pPr>
              <w:spacing w:line="320" w:lineRule="exact"/>
              <w:jc w:val="left"/>
              <w:rPr>
                <w:rFonts w:eastAsia="仿宋_GB2312"/>
                <w:b/>
                <w:bCs/>
                <w:color w:val="000000"/>
                <w:kern w:val="0"/>
                <w:sz w:val="18"/>
                <w:szCs w:val="18"/>
              </w:rPr>
            </w:pPr>
            <w:r>
              <w:rPr>
                <w:rFonts w:eastAsia="仿宋_GB2312"/>
                <w:b/>
                <w:bCs/>
                <w:color w:val="000000"/>
                <w:kern w:val="0"/>
                <w:sz w:val="18"/>
                <w:szCs w:val="18"/>
              </w:rPr>
              <w:t>320217353000</w:t>
            </w:r>
          </w:p>
        </w:tc>
      </w:tr>
      <w:tr w14:paraId="44F66BD6">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2D4B5382">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3DF10158">
            <w:pPr>
              <w:spacing w:line="320" w:lineRule="exact"/>
              <w:jc w:val="left"/>
              <w:rPr>
                <w:color w:val="000000"/>
                <w:kern w:val="0"/>
                <w:sz w:val="18"/>
                <w:szCs w:val="18"/>
              </w:rPr>
            </w:pPr>
            <w:r>
              <w:rPr>
                <w:rFonts w:hint="eastAsia"/>
                <w:color w:val="000000"/>
                <w:kern w:val="0"/>
                <w:sz w:val="18"/>
                <w:szCs w:val="18"/>
              </w:rPr>
              <w:t>对施工单位使用列入禁止使用目录的技术、工艺、材料和设备的处罚</w:t>
            </w:r>
          </w:p>
        </w:tc>
      </w:tr>
      <w:tr w14:paraId="1B6E9EAF">
        <w:tblPrEx>
          <w:tblCellMar>
            <w:top w:w="0" w:type="dxa"/>
            <w:left w:w="108" w:type="dxa"/>
            <w:bottom w:w="0" w:type="dxa"/>
            <w:right w:w="108" w:type="dxa"/>
          </w:tblCellMar>
        </w:tblPrEx>
        <w:trPr>
          <w:trHeight w:val="1560" w:hRule="atLeast"/>
        </w:trPr>
        <w:tc>
          <w:tcPr>
            <w:tcW w:w="1050" w:type="dxa"/>
            <w:tcBorders>
              <w:top w:val="nil"/>
              <w:left w:val="single" w:color="auto" w:sz="8" w:space="0"/>
              <w:bottom w:val="single" w:color="auto" w:sz="4" w:space="0"/>
              <w:right w:val="single" w:color="auto" w:sz="4" w:space="0"/>
            </w:tcBorders>
            <w:vAlign w:val="center"/>
          </w:tcPr>
          <w:p w14:paraId="75C891A7">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430616AA">
            <w:pPr>
              <w:spacing w:line="320" w:lineRule="exact"/>
              <w:jc w:val="left"/>
              <w:rPr>
                <w:color w:val="000000"/>
                <w:kern w:val="0"/>
                <w:sz w:val="18"/>
                <w:szCs w:val="18"/>
              </w:rPr>
            </w:pP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14:paraId="225C584B">
            <w:pPr>
              <w:spacing w:line="320" w:lineRule="exact"/>
              <w:jc w:val="left"/>
              <w:rPr>
                <w:color w:val="000000"/>
                <w:kern w:val="0"/>
                <w:sz w:val="18"/>
                <w:szCs w:val="18"/>
              </w:rPr>
            </w:pPr>
            <w:r>
              <w:rPr>
                <w:rFonts w:hint="eastAsia"/>
                <w:color w:val="000000"/>
                <w:kern w:val="0"/>
                <w:sz w:val="18"/>
                <w:szCs w:val="18"/>
              </w:rPr>
              <w:t>第十一条第三款</w:t>
            </w:r>
            <w:r>
              <w:rPr>
                <w:color w:val="000000"/>
                <w:kern w:val="0"/>
                <w:sz w:val="18"/>
                <w:szCs w:val="18"/>
              </w:rPr>
              <w:t xml:space="preserve">  </w:t>
            </w:r>
            <w:r>
              <w:rPr>
                <w:rFonts w:hint="eastAsia"/>
                <w:color w:val="000000"/>
                <w:kern w:val="0"/>
                <w:sz w:val="18"/>
                <w:szCs w:val="18"/>
              </w:rPr>
              <w:t>建设单位、设计单位、施工单位不得在建筑活动中使用列入禁止使用目录的技术、工艺、材料和设备。第十六条　施工单位应当对进入施工现场的墙体材料、保温材料、门窗、采暖制冷系统和照明设备进行查验；不符合施工图设计文件要求的，不得使用。</w:t>
            </w:r>
          </w:p>
          <w:p w14:paraId="4B840C5A">
            <w:pPr>
              <w:spacing w:line="320" w:lineRule="exact"/>
              <w:jc w:val="left"/>
              <w:rPr>
                <w:color w:val="000000"/>
                <w:kern w:val="0"/>
                <w:sz w:val="18"/>
                <w:szCs w:val="18"/>
              </w:rPr>
            </w:pPr>
            <w:r>
              <w:rPr>
                <w:rFonts w:hint="eastAsia"/>
                <w:color w:val="000000"/>
                <w:kern w:val="0"/>
                <w:sz w:val="18"/>
                <w:szCs w:val="18"/>
              </w:rPr>
              <w:t>第四十一条　违反本条例规定，施工单位有下列行为之一的，由县级以上地方人民政府建设主管部门责令改正，处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万元以下的罚款；情节严重的，由颁发资质证书的部门责令停业整顿，降低资质等级或者吊销资质证书；造成损失的，依法承担赔偿责任：</w:t>
            </w:r>
          </w:p>
          <w:p w14:paraId="4621E34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（三）使用列入禁止使用目录的技术、工艺、材料和设备的。</w:t>
            </w:r>
          </w:p>
        </w:tc>
      </w:tr>
      <w:tr w14:paraId="4889044B">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157EBF6E">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31F93113">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14:paraId="12A0A033">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591BD9CE">
            <w:pPr>
              <w:spacing w:line="320" w:lineRule="exact"/>
              <w:jc w:val="center"/>
              <w:rPr>
                <w:color w:val="000000"/>
                <w:kern w:val="0"/>
                <w:sz w:val="18"/>
                <w:szCs w:val="18"/>
              </w:rPr>
            </w:pPr>
            <w:r>
              <w:rPr>
                <w:rFonts w:hint="eastAsia"/>
                <w:color w:val="000000"/>
                <w:kern w:val="0"/>
                <w:sz w:val="18"/>
                <w:szCs w:val="18"/>
              </w:rPr>
              <w:t>裁量基准</w:t>
            </w:r>
          </w:p>
        </w:tc>
      </w:tr>
      <w:tr w14:paraId="605332AC">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single" w:color="000000" w:sz="4" w:space="0"/>
              <w:right w:val="single" w:color="auto" w:sz="4" w:space="0"/>
            </w:tcBorders>
            <w:vAlign w:val="center"/>
          </w:tcPr>
          <w:p w14:paraId="046D783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2DDBFF4C">
            <w:pPr>
              <w:spacing w:line="320" w:lineRule="exact"/>
              <w:jc w:val="left"/>
              <w:rPr>
                <w:color w:val="000000"/>
                <w:kern w:val="0"/>
                <w:sz w:val="18"/>
                <w:szCs w:val="18"/>
              </w:rPr>
            </w:pPr>
            <w:r>
              <w:rPr>
                <w:rFonts w:hint="eastAsia"/>
                <w:color w:val="000000"/>
                <w:kern w:val="0"/>
                <w:sz w:val="18"/>
                <w:szCs w:val="18"/>
              </w:rPr>
              <w:t>项目已经开始施工后按要求改正的</w:t>
            </w:r>
          </w:p>
        </w:tc>
        <w:tc>
          <w:tcPr>
            <w:tcW w:w="1100" w:type="dxa"/>
            <w:vMerge w:val="restart"/>
            <w:tcBorders>
              <w:top w:val="nil"/>
              <w:left w:val="single" w:color="auto" w:sz="4" w:space="0"/>
              <w:bottom w:val="single" w:color="000000" w:sz="4" w:space="0"/>
              <w:right w:val="single" w:color="auto" w:sz="4" w:space="0"/>
            </w:tcBorders>
            <w:vAlign w:val="center"/>
          </w:tcPr>
          <w:p w14:paraId="5753287D">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2CA892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14:paraId="4AA15287">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000000" w:sz="4" w:space="0"/>
              <w:right w:val="single" w:color="auto" w:sz="4" w:space="0"/>
            </w:tcBorders>
            <w:vAlign w:val="center"/>
          </w:tcPr>
          <w:p w14:paraId="7B01874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41C2E9C8">
            <w:pPr>
              <w:spacing w:line="320" w:lineRule="exact"/>
              <w:jc w:val="left"/>
              <w:rPr>
                <w:color w:val="000000"/>
                <w:kern w:val="0"/>
                <w:sz w:val="18"/>
                <w:szCs w:val="18"/>
              </w:rPr>
            </w:pPr>
            <w:r>
              <w:rPr>
                <w:rFonts w:hint="eastAsia"/>
                <w:color w:val="000000"/>
                <w:kern w:val="0"/>
                <w:sz w:val="18"/>
                <w:szCs w:val="18"/>
              </w:rPr>
              <w:t>项目已经完成施工后按要求改正的</w:t>
            </w:r>
          </w:p>
        </w:tc>
        <w:tc>
          <w:tcPr>
            <w:tcW w:w="1100" w:type="dxa"/>
            <w:vMerge w:val="continue"/>
            <w:tcBorders>
              <w:top w:val="nil"/>
              <w:left w:val="single" w:color="auto" w:sz="4" w:space="0"/>
              <w:bottom w:val="single" w:color="000000" w:sz="4" w:space="0"/>
              <w:right w:val="single" w:color="auto" w:sz="4" w:space="0"/>
            </w:tcBorders>
            <w:vAlign w:val="center"/>
          </w:tcPr>
          <w:p w14:paraId="2E6B85D1">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E134A3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万元以下的罚款，责令停业整顿，降低资质等级</w:t>
            </w:r>
          </w:p>
        </w:tc>
      </w:tr>
      <w:tr w14:paraId="666887D7">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000000" w:sz="4" w:space="0"/>
              <w:right w:val="single" w:color="auto" w:sz="4" w:space="0"/>
            </w:tcBorders>
            <w:vAlign w:val="center"/>
          </w:tcPr>
          <w:p w14:paraId="0CF5E2B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2FE2AFD0">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val="continue"/>
            <w:tcBorders>
              <w:top w:val="nil"/>
              <w:left w:val="single" w:color="auto" w:sz="4" w:space="0"/>
              <w:bottom w:val="single" w:color="000000" w:sz="4" w:space="0"/>
              <w:right w:val="single" w:color="auto" w:sz="4" w:space="0"/>
            </w:tcBorders>
            <w:vAlign w:val="center"/>
          </w:tcPr>
          <w:p w14:paraId="7E4F3265">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CA8EAE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万元以下的罚款，责令停业整顿，降低资质等级或者吊销资质证书</w:t>
            </w:r>
          </w:p>
        </w:tc>
      </w:tr>
    </w:tbl>
    <w:p w14:paraId="4CC6058E"/>
    <w:p w14:paraId="5B3683DE"/>
    <w:p w14:paraId="6C188238"/>
    <w:p w14:paraId="4095C233"/>
    <w:p w14:paraId="5C72C174"/>
    <w:p w14:paraId="176D29CB"/>
    <w:p w14:paraId="4C2FA3EB"/>
    <w:p w14:paraId="2150F14F"/>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5996"/>
        <w:gridCol w:w="1030"/>
        <w:gridCol w:w="5850"/>
      </w:tblGrid>
      <w:tr w14:paraId="549B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77E256DC">
            <w:pPr>
              <w:rPr>
                <w:color w:val="000000"/>
              </w:rPr>
            </w:pPr>
            <w:r>
              <w:rPr>
                <w:rFonts w:hint="eastAsia"/>
                <w:color w:val="000000"/>
              </w:rPr>
              <w:t>编号</w:t>
            </w:r>
          </w:p>
        </w:tc>
        <w:tc>
          <w:tcPr>
            <w:tcW w:w="12876" w:type="dxa"/>
            <w:gridSpan w:val="3"/>
            <w:vAlign w:val="center"/>
          </w:tcPr>
          <w:p w14:paraId="7A7B25E1">
            <w:pPr>
              <w:rPr>
                <w:b/>
                <w:bCs/>
                <w:color w:val="000000"/>
              </w:rPr>
            </w:pPr>
            <w:r>
              <w:rPr>
                <w:b/>
                <w:bCs/>
                <w:color w:val="000000"/>
              </w:rPr>
              <w:t>320217354000</w:t>
            </w:r>
            <w:r>
              <w:rPr>
                <w:rFonts w:hint="eastAsia"/>
                <w:b/>
                <w:bCs/>
                <w:color w:val="000000"/>
              </w:rPr>
              <w:t xml:space="preserve"> </w:t>
            </w:r>
          </w:p>
        </w:tc>
      </w:tr>
      <w:tr w14:paraId="6ECE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23B72FA7">
            <w:pPr>
              <w:rPr>
                <w:color w:val="000000"/>
              </w:rPr>
            </w:pPr>
            <w:r>
              <w:rPr>
                <w:rFonts w:hint="eastAsia"/>
                <w:color w:val="000000"/>
              </w:rPr>
              <w:t>行为名称</w:t>
            </w:r>
          </w:p>
        </w:tc>
        <w:tc>
          <w:tcPr>
            <w:tcW w:w="12876" w:type="dxa"/>
            <w:gridSpan w:val="3"/>
            <w:vAlign w:val="center"/>
          </w:tcPr>
          <w:p w14:paraId="4CBF8840">
            <w:pPr>
              <w:rPr>
                <w:color w:val="000000"/>
              </w:rPr>
            </w:pPr>
            <w:r>
              <w:rPr>
                <w:rFonts w:hint="eastAsia"/>
                <w:color w:val="000000"/>
              </w:rPr>
              <w:t>对监理单位未监督安装单位执行建筑起重机械安装、拆卸工程专项施工方案情况的处罚</w:t>
            </w:r>
          </w:p>
        </w:tc>
      </w:tr>
      <w:tr w14:paraId="469E1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1154" w:type="dxa"/>
            <w:vAlign w:val="center"/>
          </w:tcPr>
          <w:p w14:paraId="3CC40079">
            <w:pPr>
              <w:rPr>
                <w:color w:val="000000"/>
              </w:rPr>
            </w:pPr>
            <w:r>
              <w:rPr>
                <w:rFonts w:hint="eastAsia"/>
                <w:color w:val="000000"/>
              </w:rPr>
              <w:t>法律依据</w:t>
            </w:r>
          </w:p>
        </w:tc>
        <w:tc>
          <w:tcPr>
            <w:tcW w:w="12876" w:type="dxa"/>
            <w:gridSpan w:val="3"/>
          </w:tcPr>
          <w:p w14:paraId="4E5B24B8">
            <w:pPr>
              <w:rPr>
                <w:color w:val="000000"/>
              </w:rPr>
            </w:pPr>
            <w:r>
              <w:rPr>
                <w:rFonts w:hint="eastAsia"/>
                <w:color w:val="000000"/>
              </w:rPr>
              <w:t>【规章】《建筑起重机械安全监督管理规定》（建设部令第</w:t>
            </w:r>
            <w:r>
              <w:rPr>
                <w:color w:val="000000"/>
              </w:rPr>
              <w:t>166</w:t>
            </w:r>
            <w:r>
              <w:rPr>
                <w:rFonts w:hint="eastAsia"/>
                <w:color w:val="000000"/>
              </w:rPr>
              <w:t>号）</w:t>
            </w:r>
            <w:r>
              <w:rPr>
                <w:color w:val="000000"/>
              </w:rPr>
              <w:br w:type="textWrapping"/>
            </w:r>
            <w:r>
              <w:rPr>
                <w:rFonts w:hint="eastAsia"/>
                <w:color w:val="000000"/>
              </w:rPr>
              <w:t>第二十二条　监理单位应当履行下列安全职责：</w:t>
            </w:r>
            <w:r>
              <w:rPr>
                <w:color w:val="000000"/>
              </w:rPr>
              <w:br w:type="textWrapping"/>
            </w:r>
            <w:r>
              <w:rPr>
                <w:color w:val="000000"/>
              </w:rPr>
              <w:t xml:space="preserve">   </w:t>
            </w:r>
            <w:r>
              <w:rPr>
                <w:rFonts w:hint="eastAsia"/>
                <w:color w:val="000000"/>
              </w:rPr>
              <w:t>（四）监督安装单位执行建筑起重机械安装、拆卸工程专项施工方案情况；</w:t>
            </w:r>
            <w:r>
              <w:rPr>
                <w:color w:val="000000"/>
              </w:rPr>
              <w:br w:type="textWrapping"/>
            </w:r>
            <w:r>
              <w:rPr>
                <w:rFonts w:hint="eastAsia"/>
                <w:color w:val="000000"/>
              </w:rPr>
              <w:t>第三十二条</w:t>
            </w:r>
            <w:r>
              <w:rPr>
                <w:color w:val="000000"/>
              </w:rPr>
              <w:t xml:space="preserve"> </w:t>
            </w:r>
            <w:r>
              <w:rPr>
                <w:rFonts w:hint="eastAsia"/>
                <w:color w:val="000000"/>
              </w:rPr>
              <w:t>违反本规定，监理单位未履行第二十二条第（一）、（二）、（四）、（五）项安全职责的，由县级以上地方人民政府建设主管部门责令限期改正，予以警告，并处以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14:paraId="7F2C7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4174E01B">
            <w:pPr>
              <w:rPr>
                <w:color w:val="000000"/>
              </w:rPr>
            </w:pPr>
            <w:r>
              <w:rPr>
                <w:rFonts w:hint="eastAsia"/>
                <w:color w:val="000000"/>
              </w:rPr>
              <w:t>行使内容</w:t>
            </w:r>
          </w:p>
        </w:tc>
        <w:tc>
          <w:tcPr>
            <w:tcW w:w="12876" w:type="dxa"/>
            <w:gridSpan w:val="3"/>
            <w:vAlign w:val="center"/>
          </w:tcPr>
          <w:p w14:paraId="20C8B15E">
            <w:pPr>
              <w:rPr>
                <w:color w:val="000000"/>
              </w:rPr>
            </w:pPr>
            <w:r>
              <w:rPr>
                <w:rFonts w:hint="eastAsia"/>
                <w:color w:val="000000"/>
              </w:rPr>
              <w:t>警告，罚款</w:t>
            </w:r>
          </w:p>
        </w:tc>
      </w:tr>
      <w:tr w14:paraId="202A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vAlign w:val="center"/>
          </w:tcPr>
          <w:p w14:paraId="3C19A18C">
            <w:pPr>
              <w:jc w:val="center"/>
              <w:rPr>
                <w:color w:val="000000"/>
              </w:rPr>
            </w:pPr>
            <w:r>
              <w:rPr>
                <w:rFonts w:hint="eastAsia"/>
                <w:color w:val="000000"/>
              </w:rPr>
              <w:t>裁量基准</w:t>
            </w:r>
          </w:p>
        </w:tc>
      </w:tr>
      <w:tr w14:paraId="55F7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restart"/>
            <w:vAlign w:val="center"/>
          </w:tcPr>
          <w:p w14:paraId="1436B4A9">
            <w:pPr>
              <w:rPr>
                <w:color w:val="000000"/>
              </w:rPr>
            </w:pPr>
            <w:r>
              <w:rPr>
                <w:rFonts w:hint="eastAsia"/>
                <w:color w:val="000000"/>
              </w:rPr>
              <w:t>情形描述</w:t>
            </w:r>
          </w:p>
        </w:tc>
        <w:tc>
          <w:tcPr>
            <w:tcW w:w="5996" w:type="dxa"/>
            <w:vAlign w:val="center"/>
          </w:tcPr>
          <w:p w14:paraId="06938A41">
            <w:pPr>
              <w:rPr>
                <w:color w:val="000000"/>
              </w:rPr>
            </w:pPr>
            <w:r>
              <w:rPr>
                <w:rFonts w:hint="eastAsia"/>
                <w:color w:val="000000"/>
              </w:rPr>
              <w:t>未造成安全事故的</w:t>
            </w:r>
          </w:p>
        </w:tc>
        <w:tc>
          <w:tcPr>
            <w:tcW w:w="1030" w:type="dxa"/>
            <w:vMerge w:val="restart"/>
            <w:vAlign w:val="center"/>
          </w:tcPr>
          <w:p w14:paraId="1070BDDA">
            <w:pPr>
              <w:rPr>
                <w:color w:val="000000"/>
              </w:rPr>
            </w:pPr>
            <w:r>
              <w:rPr>
                <w:rFonts w:hint="eastAsia"/>
                <w:color w:val="000000"/>
              </w:rPr>
              <w:t>裁量幅度</w:t>
            </w:r>
          </w:p>
        </w:tc>
        <w:tc>
          <w:tcPr>
            <w:tcW w:w="5850" w:type="dxa"/>
            <w:vAlign w:val="center"/>
          </w:tcPr>
          <w:p w14:paraId="74BBE84D">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14:paraId="063F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continue"/>
            <w:vAlign w:val="center"/>
          </w:tcPr>
          <w:p w14:paraId="730B9375">
            <w:pPr>
              <w:rPr>
                <w:color w:val="000000"/>
              </w:rPr>
            </w:pPr>
          </w:p>
        </w:tc>
        <w:tc>
          <w:tcPr>
            <w:tcW w:w="5996" w:type="dxa"/>
            <w:vAlign w:val="center"/>
          </w:tcPr>
          <w:p w14:paraId="439A65F3">
            <w:pPr>
              <w:rPr>
                <w:color w:val="000000"/>
              </w:rPr>
            </w:pPr>
            <w:r>
              <w:rPr>
                <w:rFonts w:hint="eastAsia"/>
                <w:color w:val="000000"/>
              </w:rPr>
              <w:t>造成一般及较大安全事故的</w:t>
            </w:r>
          </w:p>
        </w:tc>
        <w:tc>
          <w:tcPr>
            <w:tcW w:w="1030" w:type="dxa"/>
            <w:vMerge w:val="continue"/>
            <w:vAlign w:val="center"/>
          </w:tcPr>
          <w:p w14:paraId="1A84612B">
            <w:pPr>
              <w:rPr>
                <w:color w:val="000000"/>
              </w:rPr>
            </w:pPr>
          </w:p>
        </w:tc>
        <w:tc>
          <w:tcPr>
            <w:tcW w:w="5850" w:type="dxa"/>
            <w:vAlign w:val="center"/>
          </w:tcPr>
          <w:p w14:paraId="3D26ECF2">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14:paraId="6D6F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continue"/>
            <w:vAlign w:val="center"/>
          </w:tcPr>
          <w:p w14:paraId="388EFAE6">
            <w:pPr>
              <w:rPr>
                <w:color w:val="000000"/>
              </w:rPr>
            </w:pPr>
          </w:p>
        </w:tc>
        <w:tc>
          <w:tcPr>
            <w:tcW w:w="5996" w:type="dxa"/>
            <w:vAlign w:val="center"/>
          </w:tcPr>
          <w:p w14:paraId="4C5596E8">
            <w:pPr>
              <w:rPr>
                <w:color w:val="000000"/>
              </w:rPr>
            </w:pPr>
            <w:r>
              <w:rPr>
                <w:rFonts w:hint="eastAsia"/>
                <w:color w:val="000000"/>
              </w:rPr>
              <w:t>造成重大以上安全事故的</w:t>
            </w:r>
          </w:p>
        </w:tc>
        <w:tc>
          <w:tcPr>
            <w:tcW w:w="1030" w:type="dxa"/>
            <w:vMerge w:val="continue"/>
            <w:vAlign w:val="center"/>
          </w:tcPr>
          <w:p w14:paraId="0915A21C">
            <w:pPr>
              <w:rPr>
                <w:color w:val="000000"/>
              </w:rPr>
            </w:pPr>
          </w:p>
        </w:tc>
        <w:tc>
          <w:tcPr>
            <w:tcW w:w="5850" w:type="dxa"/>
            <w:vAlign w:val="center"/>
          </w:tcPr>
          <w:p w14:paraId="423FD882">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bl>
    <w:p w14:paraId="530E9098"/>
    <w:p w14:paraId="3265C483"/>
    <w:p w14:paraId="2E744AD9"/>
    <w:p w14:paraId="6952AD4E"/>
    <w:p w14:paraId="2025D6B9"/>
    <w:p w14:paraId="4134327F"/>
    <w:p w14:paraId="58F8B38C"/>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11C08099">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7F8604F4">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04C75E7B">
            <w:pPr>
              <w:spacing w:line="320" w:lineRule="exact"/>
              <w:jc w:val="left"/>
              <w:rPr>
                <w:rFonts w:eastAsia="仿宋_GB2312"/>
                <w:b/>
                <w:bCs/>
                <w:color w:val="000000"/>
                <w:kern w:val="0"/>
                <w:sz w:val="18"/>
                <w:szCs w:val="18"/>
              </w:rPr>
            </w:pPr>
            <w:r>
              <w:rPr>
                <w:rFonts w:eastAsia="仿宋_GB2312"/>
                <w:b/>
                <w:bCs/>
                <w:color w:val="000000"/>
                <w:kern w:val="0"/>
                <w:sz w:val="18"/>
                <w:szCs w:val="18"/>
              </w:rPr>
              <w:t>320217355000</w:t>
            </w:r>
          </w:p>
        </w:tc>
      </w:tr>
      <w:tr w14:paraId="060D33D2">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5D95E53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44533ADF">
            <w:pPr>
              <w:spacing w:line="320" w:lineRule="exact"/>
              <w:jc w:val="left"/>
              <w:rPr>
                <w:color w:val="000000"/>
                <w:kern w:val="0"/>
                <w:sz w:val="18"/>
                <w:szCs w:val="18"/>
              </w:rPr>
            </w:pPr>
            <w:r>
              <w:rPr>
                <w:rFonts w:hint="eastAsia"/>
                <w:color w:val="000000"/>
                <w:kern w:val="0"/>
                <w:sz w:val="18"/>
                <w:szCs w:val="18"/>
              </w:rPr>
              <w:t>对工程监理单位未按照民用建筑节能强制性标准实施监理的处罚</w:t>
            </w:r>
          </w:p>
        </w:tc>
      </w:tr>
      <w:tr w14:paraId="1A1CF6AB">
        <w:tblPrEx>
          <w:tblCellMar>
            <w:top w:w="0" w:type="dxa"/>
            <w:left w:w="108" w:type="dxa"/>
            <w:bottom w:w="0" w:type="dxa"/>
            <w:right w:w="108" w:type="dxa"/>
          </w:tblCellMar>
        </w:tblPrEx>
        <w:trPr>
          <w:trHeight w:val="1290" w:hRule="atLeast"/>
        </w:trPr>
        <w:tc>
          <w:tcPr>
            <w:tcW w:w="1050" w:type="dxa"/>
            <w:tcBorders>
              <w:top w:val="nil"/>
              <w:left w:val="single" w:color="auto" w:sz="8" w:space="0"/>
              <w:bottom w:val="single" w:color="auto" w:sz="4" w:space="0"/>
              <w:right w:val="single" w:color="auto" w:sz="4" w:space="0"/>
            </w:tcBorders>
            <w:vAlign w:val="center"/>
          </w:tcPr>
          <w:p w14:paraId="74E5C6B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5AAC9226">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14:paraId="1D42668D">
            <w:pPr>
              <w:spacing w:line="320" w:lineRule="exact"/>
              <w:jc w:val="left"/>
              <w:rPr>
                <w:color w:val="000000"/>
                <w:kern w:val="0"/>
                <w:sz w:val="18"/>
                <w:szCs w:val="18"/>
              </w:rPr>
            </w:pPr>
            <w:r>
              <w:rPr>
                <w:rFonts w:hint="eastAsia"/>
                <w:color w:val="000000"/>
                <w:kern w:val="0"/>
                <w:sz w:val="18"/>
                <w:szCs w:val="18"/>
              </w:rPr>
              <w:t>第十五条　设计单位、施工单位、工程监理单位及其注册执业人员，应当按照民用建筑节能强制性标准进行设计、施工、监理。</w:t>
            </w:r>
          </w:p>
          <w:p w14:paraId="08FC4266">
            <w:pPr>
              <w:spacing w:line="320" w:lineRule="exact"/>
              <w:jc w:val="left"/>
              <w:rPr>
                <w:color w:val="000000"/>
                <w:kern w:val="0"/>
                <w:sz w:val="18"/>
                <w:szCs w:val="18"/>
              </w:rPr>
            </w:pPr>
            <w:r>
              <w:rPr>
                <w:rFonts w:hint="eastAsia"/>
                <w:color w:val="000000"/>
                <w:kern w:val="0"/>
                <w:sz w:val="18"/>
                <w:szCs w:val="18"/>
              </w:rPr>
              <w:t>第四十二条　违反本条例规定，工程监理单位有下列行为之一的，由县级以上地方人民政府建设主管部门责令限期改正；逾期未改正的，处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万元以下的罚款；情节严重的，由颁发资质证书的部门责令停业整顿，降低资质等级或者吊销资质证书；造成损失的，依法承担赔偿责任：</w:t>
            </w:r>
          </w:p>
          <w:p w14:paraId="1847BD9E">
            <w:pPr>
              <w:spacing w:line="320" w:lineRule="exact"/>
              <w:jc w:val="left"/>
              <w:rPr>
                <w:color w:val="000000"/>
                <w:kern w:val="0"/>
                <w:sz w:val="18"/>
                <w:szCs w:val="18"/>
              </w:rPr>
            </w:pPr>
            <w:r>
              <w:rPr>
                <w:rFonts w:hint="eastAsia"/>
                <w:color w:val="000000"/>
                <w:kern w:val="0"/>
                <w:sz w:val="18"/>
                <w:szCs w:val="18"/>
              </w:rPr>
              <w:t>（一）未按照民用建筑节能强制性标准实施监理的。</w:t>
            </w:r>
          </w:p>
        </w:tc>
      </w:tr>
      <w:tr w14:paraId="2A0B81A8">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6FBFCD06">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3CDDF2BB">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14:paraId="06501C26">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A41CDC6">
            <w:pPr>
              <w:spacing w:line="320" w:lineRule="exact"/>
              <w:jc w:val="center"/>
              <w:rPr>
                <w:color w:val="000000"/>
                <w:kern w:val="0"/>
                <w:sz w:val="18"/>
                <w:szCs w:val="18"/>
              </w:rPr>
            </w:pPr>
            <w:r>
              <w:rPr>
                <w:rFonts w:hint="eastAsia"/>
                <w:color w:val="000000"/>
                <w:kern w:val="0"/>
                <w:sz w:val="18"/>
                <w:szCs w:val="18"/>
              </w:rPr>
              <w:t>裁量基准</w:t>
            </w:r>
          </w:p>
        </w:tc>
      </w:tr>
      <w:tr w14:paraId="13504F7C">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nil"/>
              <w:right w:val="single" w:color="auto" w:sz="4" w:space="0"/>
            </w:tcBorders>
            <w:vAlign w:val="center"/>
          </w:tcPr>
          <w:p w14:paraId="61E90E7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26794BE9">
            <w:pPr>
              <w:spacing w:line="320" w:lineRule="exact"/>
              <w:jc w:val="left"/>
              <w:rPr>
                <w:color w:val="000000"/>
                <w:kern w:val="0"/>
                <w:sz w:val="18"/>
                <w:szCs w:val="18"/>
              </w:rPr>
            </w:pPr>
            <w:r>
              <w:rPr>
                <w:rFonts w:hint="eastAsia"/>
                <w:color w:val="000000"/>
                <w:kern w:val="0"/>
                <w:sz w:val="18"/>
                <w:szCs w:val="18"/>
              </w:rPr>
              <w:t>项目已经开始施工后按要求改正的</w:t>
            </w:r>
          </w:p>
        </w:tc>
        <w:tc>
          <w:tcPr>
            <w:tcW w:w="1100" w:type="dxa"/>
            <w:vMerge w:val="restart"/>
            <w:tcBorders>
              <w:top w:val="nil"/>
              <w:left w:val="single" w:color="auto" w:sz="4" w:space="0"/>
              <w:bottom w:val="nil"/>
              <w:right w:val="single" w:color="auto" w:sz="4" w:space="0"/>
            </w:tcBorders>
            <w:vAlign w:val="center"/>
          </w:tcPr>
          <w:p w14:paraId="7D7EE42F">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6A6D3E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14:paraId="2A23B648">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nil"/>
              <w:right w:val="single" w:color="auto" w:sz="4" w:space="0"/>
            </w:tcBorders>
            <w:vAlign w:val="center"/>
          </w:tcPr>
          <w:p w14:paraId="381A625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584DD631">
            <w:pPr>
              <w:spacing w:line="320" w:lineRule="exact"/>
              <w:jc w:val="left"/>
              <w:rPr>
                <w:color w:val="000000"/>
                <w:kern w:val="0"/>
                <w:sz w:val="18"/>
                <w:szCs w:val="18"/>
              </w:rPr>
            </w:pPr>
            <w:r>
              <w:rPr>
                <w:rFonts w:hint="eastAsia"/>
                <w:color w:val="000000"/>
                <w:kern w:val="0"/>
                <w:sz w:val="18"/>
                <w:szCs w:val="18"/>
              </w:rPr>
              <w:t>项目已经完成施工后按要求改正的</w:t>
            </w:r>
          </w:p>
        </w:tc>
        <w:tc>
          <w:tcPr>
            <w:tcW w:w="1100" w:type="dxa"/>
            <w:vMerge w:val="continue"/>
            <w:tcBorders>
              <w:top w:val="nil"/>
              <w:left w:val="single" w:color="auto" w:sz="4" w:space="0"/>
              <w:bottom w:val="nil"/>
              <w:right w:val="single" w:color="auto" w:sz="4" w:space="0"/>
            </w:tcBorders>
            <w:vAlign w:val="center"/>
          </w:tcPr>
          <w:p w14:paraId="093B9988">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C79966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万元以下的罚款，责令停业整顿，降低资质等级</w:t>
            </w:r>
          </w:p>
        </w:tc>
      </w:tr>
      <w:tr w14:paraId="7B9B4330">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auto" w:sz="8" w:space="0"/>
              <w:right w:val="single" w:color="auto" w:sz="4" w:space="0"/>
            </w:tcBorders>
            <w:vAlign w:val="center"/>
          </w:tcPr>
          <w:p w14:paraId="28E98841">
            <w:pPr>
              <w:spacing w:line="320" w:lineRule="exact"/>
              <w:jc w:val="left"/>
              <w:rPr>
                <w:color w:val="000000"/>
                <w:kern w:val="0"/>
                <w:sz w:val="18"/>
                <w:szCs w:val="18"/>
              </w:rPr>
            </w:pPr>
          </w:p>
        </w:tc>
        <w:tc>
          <w:tcPr>
            <w:tcW w:w="6140" w:type="dxa"/>
            <w:tcBorders>
              <w:top w:val="single" w:color="auto" w:sz="4" w:space="0"/>
              <w:left w:val="nil"/>
              <w:bottom w:val="single" w:color="auto" w:sz="8" w:space="0"/>
              <w:right w:val="single" w:color="000000" w:sz="4" w:space="0"/>
            </w:tcBorders>
            <w:vAlign w:val="center"/>
          </w:tcPr>
          <w:p w14:paraId="3F704B5D">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val="continue"/>
            <w:tcBorders>
              <w:top w:val="nil"/>
              <w:left w:val="single" w:color="auto" w:sz="4" w:space="0"/>
              <w:bottom w:val="single" w:color="auto" w:sz="8" w:space="0"/>
              <w:right w:val="single" w:color="auto" w:sz="4" w:space="0"/>
            </w:tcBorders>
            <w:vAlign w:val="center"/>
          </w:tcPr>
          <w:p w14:paraId="42D15C43">
            <w:pPr>
              <w:spacing w:line="320" w:lineRule="exact"/>
              <w:jc w:val="left"/>
              <w:rPr>
                <w:color w:val="000000"/>
                <w:kern w:val="0"/>
                <w:sz w:val="18"/>
                <w:szCs w:val="18"/>
              </w:rPr>
            </w:pPr>
          </w:p>
        </w:tc>
        <w:tc>
          <w:tcPr>
            <w:tcW w:w="5760" w:type="dxa"/>
            <w:tcBorders>
              <w:top w:val="nil"/>
              <w:left w:val="nil"/>
              <w:bottom w:val="single" w:color="auto" w:sz="8" w:space="0"/>
              <w:right w:val="single" w:color="auto" w:sz="8" w:space="0"/>
            </w:tcBorders>
            <w:vAlign w:val="center"/>
          </w:tcPr>
          <w:p w14:paraId="3379FED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万元以下的罚款，责令停业整顿，降低资质等级或者吊销资质证书</w:t>
            </w:r>
          </w:p>
        </w:tc>
      </w:tr>
    </w:tbl>
    <w:p w14:paraId="6022465D"/>
    <w:p w14:paraId="10862A98"/>
    <w:p w14:paraId="3DA1FD3F"/>
    <w:p w14:paraId="5992E08D"/>
    <w:p w14:paraId="52B01307"/>
    <w:p w14:paraId="7EE75E63"/>
    <w:p w14:paraId="17B21C2D"/>
    <w:p w14:paraId="1F824A31"/>
    <w:p w14:paraId="3F94BDBA"/>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0FC6E72B">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4F98888F">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3C576504">
            <w:pPr>
              <w:spacing w:line="320" w:lineRule="exact"/>
              <w:jc w:val="left"/>
              <w:rPr>
                <w:rFonts w:eastAsia="仿宋_GB2312"/>
                <w:b/>
                <w:bCs/>
                <w:color w:val="000000"/>
                <w:kern w:val="0"/>
                <w:sz w:val="18"/>
                <w:szCs w:val="18"/>
              </w:rPr>
            </w:pPr>
            <w:r>
              <w:rPr>
                <w:rFonts w:eastAsia="仿宋_GB2312"/>
                <w:b/>
                <w:bCs/>
                <w:color w:val="000000"/>
                <w:kern w:val="0"/>
                <w:sz w:val="18"/>
                <w:szCs w:val="18"/>
              </w:rPr>
              <w:t>320217356000</w:t>
            </w:r>
            <w:r>
              <w:rPr>
                <w:rFonts w:hint="eastAsia" w:eastAsia="仿宋_GB2312"/>
                <w:b/>
                <w:bCs/>
                <w:color w:val="000000"/>
                <w:kern w:val="0"/>
                <w:sz w:val="18"/>
                <w:szCs w:val="18"/>
              </w:rPr>
              <w:t xml:space="preserve"> </w:t>
            </w:r>
          </w:p>
        </w:tc>
      </w:tr>
      <w:tr w14:paraId="4F72EF61">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C1C6838">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225A8583">
            <w:pPr>
              <w:spacing w:line="320" w:lineRule="exact"/>
              <w:jc w:val="left"/>
              <w:rPr>
                <w:color w:val="000000"/>
                <w:kern w:val="0"/>
                <w:sz w:val="18"/>
                <w:szCs w:val="18"/>
              </w:rPr>
            </w:pPr>
            <w:r>
              <w:rPr>
                <w:rFonts w:hint="eastAsia"/>
                <w:color w:val="000000"/>
                <w:kern w:val="0"/>
                <w:sz w:val="18"/>
                <w:szCs w:val="18"/>
              </w:rPr>
              <w:t>对建设单位未移交地下管线工程档案的处罚</w:t>
            </w:r>
          </w:p>
        </w:tc>
      </w:tr>
      <w:tr w14:paraId="6AFB913B">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32EC8D13">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49CB1CF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【规章】《城市地下管线工程档案管理办法》（建设部令第</w:t>
            </w:r>
            <w:r>
              <w:rPr>
                <w:color w:val="000000"/>
                <w:kern w:val="0"/>
                <w:sz w:val="18"/>
                <w:szCs w:val="18"/>
              </w:rPr>
              <w:t>136</w:t>
            </w:r>
            <w:r>
              <w:rPr>
                <w:rFonts w:hint="eastAsia"/>
                <w:color w:val="000000"/>
                <w:kern w:val="0"/>
                <w:sz w:val="18"/>
                <w:szCs w:val="18"/>
              </w:rPr>
              <w:t>号）</w:t>
            </w:r>
          </w:p>
          <w:p w14:paraId="03172877">
            <w:pPr>
              <w:spacing w:line="320" w:lineRule="exact"/>
              <w:ind w:firstLine="360" w:firstLineChars="200"/>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建设单位违反本办法规定，未移交地下管线工程档案的，由建设主管部门责令改正，处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万元以下的罚款；对单位直接负责的主管人员和其他直接责任人员，处单位罚款数额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％以下的罚款；因建设单位未移交地下管线工程档案，造成施工单位在施工中损坏地下管线的，建设单位依法承担相应的责任。</w:t>
            </w:r>
          </w:p>
        </w:tc>
      </w:tr>
      <w:tr w14:paraId="41426777">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A8ADFF3">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4A37C428">
            <w:pPr>
              <w:spacing w:line="320" w:lineRule="exact"/>
              <w:jc w:val="left"/>
              <w:rPr>
                <w:color w:val="000000"/>
                <w:kern w:val="0"/>
                <w:sz w:val="18"/>
                <w:szCs w:val="18"/>
              </w:rPr>
            </w:pPr>
            <w:r>
              <w:rPr>
                <w:rFonts w:hint="eastAsia"/>
                <w:color w:val="000000"/>
                <w:kern w:val="0"/>
                <w:sz w:val="18"/>
                <w:szCs w:val="18"/>
              </w:rPr>
              <w:t>罚款</w:t>
            </w:r>
          </w:p>
        </w:tc>
      </w:tr>
      <w:tr w14:paraId="4BF0CF49">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6DB0801A">
            <w:pPr>
              <w:spacing w:line="320" w:lineRule="exact"/>
              <w:jc w:val="center"/>
              <w:rPr>
                <w:color w:val="000000"/>
                <w:kern w:val="0"/>
                <w:sz w:val="18"/>
                <w:szCs w:val="18"/>
              </w:rPr>
            </w:pPr>
            <w:r>
              <w:rPr>
                <w:rFonts w:hint="eastAsia"/>
                <w:color w:val="000000"/>
                <w:kern w:val="0"/>
                <w:sz w:val="18"/>
                <w:szCs w:val="18"/>
              </w:rPr>
              <w:t>裁量基准</w:t>
            </w:r>
          </w:p>
        </w:tc>
      </w:tr>
      <w:tr w14:paraId="5C0CE0A6">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5577BE0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4436B65">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val="restart"/>
            <w:tcBorders>
              <w:top w:val="nil"/>
              <w:left w:val="single" w:color="auto" w:sz="4" w:space="0"/>
              <w:bottom w:val="single" w:color="auto" w:sz="4" w:space="0"/>
              <w:right w:val="single" w:color="auto" w:sz="4" w:space="0"/>
            </w:tcBorders>
            <w:vAlign w:val="center"/>
          </w:tcPr>
          <w:p w14:paraId="6DADB681">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60BCD7F">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61BB98DA">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3134362D">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2269741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C7180A4">
            <w:pPr>
              <w:spacing w:line="320" w:lineRule="exact"/>
              <w:jc w:val="left"/>
              <w:rPr>
                <w:color w:val="000000"/>
                <w:kern w:val="0"/>
                <w:sz w:val="18"/>
                <w:szCs w:val="18"/>
              </w:rPr>
            </w:pPr>
            <w:r>
              <w:rPr>
                <w:rFonts w:hint="eastAsia"/>
                <w:color w:val="000000"/>
                <w:kern w:val="0"/>
                <w:sz w:val="18"/>
                <w:szCs w:val="18"/>
              </w:rPr>
              <w:t>未按照要求改正且未造成施工单位在施工中损坏地下管线的</w:t>
            </w:r>
          </w:p>
        </w:tc>
        <w:tc>
          <w:tcPr>
            <w:tcW w:w="1080" w:type="dxa"/>
            <w:vMerge w:val="continue"/>
            <w:tcBorders>
              <w:top w:val="nil"/>
              <w:left w:val="single" w:color="auto" w:sz="4" w:space="0"/>
              <w:bottom w:val="single" w:color="auto" w:sz="4" w:space="0"/>
              <w:right w:val="single" w:color="auto" w:sz="4" w:space="0"/>
            </w:tcBorders>
            <w:vAlign w:val="center"/>
          </w:tcPr>
          <w:p w14:paraId="75B52663">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8449CA1">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14:paraId="0EDFF2AC">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14:paraId="20B6E7DB">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6F9E329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B85EB5A">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val="continue"/>
            <w:tcBorders>
              <w:top w:val="nil"/>
              <w:left w:val="single" w:color="auto" w:sz="4" w:space="0"/>
              <w:bottom w:val="single" w:color="auto" w:sz="4" w:space="0"/>
              <w:right w:val="single" w:color="auto" w:sz="4" w:space="0"/>
            </w:tcBorders>
            <w:vAlign w:val="center"/>
          </w:tcPr>
          <w:p w14:paraId="28CEA92D">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A31C30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14:paraId="0C78C843">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57DE8DF6">
        <w:tblPrEx>
          <w:tblCellMar>
            <w:top w:w="0" w:type="dxa"/>
            <w:left w:w="108" w:type="dxa"/>
            <w:bottom w:w="0" w:type="dxa"/>
            <w:right w:w="108" w:type="dxa"/>
          </w:tblCellMar>
        </w:tblPrEx>
        <w:trPr>
          <w:trHeight w:val="401" w:hRule="atLeast"/>
        </w:trPr>
        <w:tc>
          <w:tcPr>
            <w:tcW w:w="1070" w:type="dxa"/>
            <w:vMerge w:val="continue"/>
            <w:tcBorders>
              <w:top w:val="nil"/>
              <w:left w:val="single" w:color="auto" w:sz="8" w:space="0"/>
              <w:bottom w:val="single" w:color="auto" w:sz="4" w:space="0"/>
              <w:right w:val="single" w:color="auto" w:sz="4" w:space="0"/>
            </w:tcBorders>
            <w:vAlign w:val="center"/>
          </w:tcPr>
          <w:p w14:paraId="79BF703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0FF7141">
            <w:pPr>
              <w:spacing w:line="320" w:lineRule="exact"/>
              <w:jc w:val="left"/>
              <w:rPr>
                <w:color w:val="000000"/>
                <w:kern w:val="0"/>
                <w:sz w:val="18"/>
                <w:szCs w:val="18"/>
              </w:rPr>
            </w:pPr>
            <w:r>
              <w:rPr>
                <w:rFonts w:hint="eastAsia"/>
                <w:color w:val="000000"/>
                <w:kern w:val="0"/>
                <w:sz w:val="18"/>
                <w:szCs w:val="18"/>
              </w:rPr>
              <w:t>未按要求改正且造成施工单位在施工中损坏地下管线的</w:t>
            </w:r>
          </w:p>
        </w:tc>
        <w:tc>
          <w:tcPr>
            <w:tcW w:w="1080" w:type="dxa"/>
            <w:vMerge w:val="continue"/>
            <w:tcBorders>
              <w:top w:val="nil"/>
              <w:left w:val="single" w:color="auto" w:sz="4" w:space="0"/>
              <w:bottom w:val="single" w:color="auto" w:sz="4" w:space="0"/>
              <w:right w:val="single" w:color="auto" w:sz="4" w:space="0"/>
            </w:tcBorders>
            <w:vAlign w:val="center"/>
          </w:tcPr>
          <w:p w14:paraId="3959189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929A50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6F41D6D6">
            <w:pPr>
              <w:spacing w:line="32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14:paraId="6C314940"/>
    <w:p w14:paraId="1C918153"/>
    <w:p w14:paraId="59948085"/>
    <w:p w14:paraId="5E80BA14"/>
    <w:p w14:paraId="1CF71452"/>
    <w:p w14:paraId="0805EADC"/>
    <w:p w14:paraId="21D2250D"/>
    <w:tbl>
      <w:tblPr>
        <w:tblStyle w:val="15"/>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6140"/>
        <w:gridCol w:w="1106"/>
        <w:gridCol w:w="5714"/>
      </w:tblGrid>
      <w:tr w14:paraId="28EAE8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tcBorders>
              <w:top w:val="single" w:color="auto" w:sz="8" w:space="0"/>
            </w:tcBorders>
            <w:vAlign w:val="center"/>
          </w:tcPr>
          <w:p w14:paraId="0B1CE76A">
            <w:pPr>
              <w:spacing w:line="240" w:lineRule="exact"/>
              <w:jc w:val="left"/>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tcBorders>
            <w:vAlign w:val="center"/>
          </w:tcPr>
          <w:p w14:paraId="09361F89">
            <w:pPr>
              <w:spacing w:line="240" w:lineRule="exact"/>
              <w:jc w:val="left"/>
              <w:rPr>
                <w:b/>
                <w:color w:val="000000"/>
                <w:kern w:val="0"/>
                <w:sz w:val="18"/>
                <w:szCs w:val="18"/>
              </w:rPr>
            </w:pPr>
            <w:r>
              <w:rPr>
                <w:b/>
                <w:color w:val="000000"/>
                <w:kern w:val="0"/>
                <w:sz w:val="18"/>
                <w:szCs w:val="18"/>
              </w:rPr>
              <w:t>320217357000</w:t>
            </w:r>
            <w:r>
              <w:rPr>
                <w:rFonts w:hint="eastAsia"/>
                <w:b/>
                <w:color w:val="000000"/>
                <w:kern w:val="0"/>
                <w:sz w:val="18"/>
                <w:szCs w:val="18"/>
              </w:rPr>
              <w:t xml:space="preserve"> </w:t>
            </w:r>
          </w:p>
        </w:tc>
      </w:tr>
      <w:tr w14:paraId="7EC062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138AF407">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vAlign w:val="center"/>
          </w:tcPr>
          <w:p w14:paraId="3C6425B1">
            <w:pPr>
              <w:spacing w:line="240" w:lineRule="exact"/>
              <w:jc w:val="left"/>
              <w:rPr>
                <w:color w:val="000000"/>
                <w:kern w:val="0"/>
                <w:sz w:val="18"/>
                <w:szCs w:val="18"/>
              </w:rPr>
            </w:pPr>
            <w:r>
              <w:rPr>
                <w:rFonts w:hint="eastAsia"/>
                <w:color w:val="000000"/>
                <w:kern w:val="0"/>
                <w:sz w:val="18"/>
                <w:szCs w:val="18"/>
              </w:rPr>
              <w:t>对投标人以他人名义投标或者以其他方式弄虚作假，骗取中标的处罚</w:t>
            </w:r>
          </w:p>
        </w:tc>
      </w:tr>
      <w:tr w14:paraId="3B7180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40" w:hRule="atLeast"/>
        </w:trPr>
        <w:tc>
          <w:tcPr>
            <w:tcW w:w="1070" w:type="dxa"/>
            <w:vAlign w:val="center"/>
          </w:tcPr>
          <w:p w14:paraId="2450A7FE">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Pr>
          <w:p w14:paraId="1BBB2FA0">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type="textWrapping"/>
            </w:r>
            <w:r>
              <w:rPr>
                <w:rFonts w:hint="eastAsia"/>
                <w:color w:val="000000"/>
                <w:kern w:val="0"/>
                <w:sz w:val="18"/>
                <w:szCs w:val="18"/>
              </w:rPr>
              <w:t>第三十三条　投标人不得以低于成本的报价竞标，也不得以他人名义投标或者以其他方式弄虚作假，骗取中标。</w:t>
            </w:r>
            <w:r>
              <w:rPr>
                <w:color w:val="000000"/>
                <w:kern w:val="0"/>
                <w:sz w:val="18"/>
                <w:szCs w:val="18"/>
              </w:rPr>
              <w:br w:type="textWrapping"/>
            </w:r>
            <w:r>
              <w:rPr>
                <w:rFonts w:hint="eastAsia"/>
                <w:color w:val="000000"/>
                <w:kern w:val="0"/>
                <w:sz w:val="18"/>
                <w:szCs w:val="18"/>
              </w:rPr>
              <w:t>第五十四条　投标人以他人名义投标或者以其他方式弄虚作假，骗取中标的，中标无效，给招标人造成损失的，依法承担赔偿责任；构成犯罪的，依法追究刑事责任。</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依法必须进行招标的项目的投标人有前款所列行为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r>
              <w:rPr>
                <w:color w:val="000000"/>
                <w:kern w:val="0"/>
                <w:sz w:val="18"/>
                <w:szCs w:val="18"/>
              </w:rPr>
              <w:br w:type="textWrapping"/>
            </w:r>
            <w:r>
              <w:rPr>
                <w:rFonts w:hint="eastAsia"/>
                <w:color w:val="000000"/>
                <w:kern w:val="0"/>
                <w:sz w:val="18"/>
                <w:szCs w:val="18"/>
              </w:rPr>
              <w:t>【行政法规】《中华人民共和国招标投标法实施条例》（国务院令第</w:t>
            </w:r>
            <w:r>
              <w:rPr>
                <w:color w:val="000000"/>
                <w:kern w:val="0"/>
                <w:sz w:val="18"/>
                <w:szCs w:val="18"/>
              </w:rPr>
              <w:t>613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第六十八条第二款　投标人有下列行为之一的，属于招标投标法第五十四条规定的情节严重行为，由有关行政监督部门取消其</w:t>
            </w:r>
            <w:r>
              <w:rPr>
                <w:color w:val="000000"/>
                <w:kern w:val="0"/>
                <w:sz w:val="18"/>
                <w:szCs w:val="18"/>
              </w:rPr>
              <w:t>1</w:t>
            </w:r>
            <w:r>
              <w:rPr>
                <w:rFonts w:hint="eastAsia"/>
                <w:color w:val="000000"/>
                <w:kern w:val="0"/>
                <w:sz w:val="18"/>
                <w:szCs w:val="18"/>
              </w:rPr>
              <w:t>年至</w:t>
            </w:r>
            <w:r>
              <w:rPr>
                <w:color w:val="000000"/>
                <w:kern w:val="0"/>
                <w:sz w:val="18"/>
                <w:szCs w:val="18"/>
              </w:rPr>
              <w:t>3</w:t>
            </w:r>
            <w:r>
              <w:rPr>
                <w:rFonts w:hint="eastAsia"/>
                <w:color w:val="000000"/>
                <w:kern w:val="0"/>
                <w:sz w:val="18"/>
                <w:szCs w:val="18"/>
              </w:rPr>
              <w:t>年内参加依法必须进行招标的项目的投标资格：</w:t>
            </w:r>
            <w:r>
              <w:rPr>
                <w:color w:val="000000"/>
                <w:kern w:val="0"/>
                <w:sz w:val="18"/>
                <w:szCs w:val="18"/>
              </w:rPr>
              <w:br w:type="textWrapping"/>
            </w:r>
            <w:r>
              <w:rPr>
                <w:rFonts w:hint="eastAsia"/>
                <w:color w:val="000000"/>
                <w:kern w:val="0"/>
                <w:sz w:val="18"/>
                <w:szCs w:val="18"/>
              </w:rPr>
              <w:t>（一）伪造、变造资格、资质证书或者其他许可证件骗取中标；</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（二）</w:t>
            </w:r>
            <w:r>
              <w:rPr>
                <w:color w:val="000000"/>
                <w:kern w:val="0"/>
                <w:sz w:val="18"/>
                <w:szCs w:val="18"/>
              </w:rPr>
              <w:t>3</w:t>
            </w:r>
            <w:r>
              <w:rPr>
                <w:rFonts w:hint="eastAsia"/>
                <w:color w:val="000000"/>
                <w:kern w:val="0"/>
                <w:sz w:val="18"/>
                <w:szCs w:val="18"/>
              </w:rPr>
              <w:t>年内</w:t>
            </w:r>
            <w:r>
              <w:rPr>
                <w:color w:val="000000"/>
                <w:kern w:val="0"/>
                <w:sz w:val="18"/>
                <w:szCs w:val="18"/>
              </w:rPr>
              <w:t>2</w:t>
            </w:r>
            <w:r>
              <w:rPr>
                <w:rFonts w:hint="eastAsia"/>
                <w:color w:val="000000"/>
                <w:kern w:val="0"/>
                <w:sz w:val="18"/>
                <w:szCs w:val="18"/>
              </w:rPr>
              <w:t>次以上使用他人名义投标；</w:t>
            </w:r>
            <w:r>
              <w:rPr>
                <w:color w:val="000000"/>
                <w:kern w:val="0"/>
                <w:sz w:val="18"/>
                <w:szCs w:val="18"/>
              </w:rPr>
              <w:br w:type="textWrapping"/>
            </w:r>
            <w:r>
              <w:rPr>
                <w:rFonts w:hint="eastAsia"/>
                <w:color w:val="000000"/>
                <w:kern w:val="0"/>
                <w:sz w:val="18"/>
                <w:szCs w:val="18"/>
              </w:rPr>
              <w:t>（三）弄虚作假骗取中标给招标人造成直接经济损失</w:t>
            </w:r>
            <w:r>
              <w:rPr>
                <w:color w:val="000000"/>
                <w:kern w:val="0"/>
                <w:sz w:val="18"/>
                <w:szCs w:val="18"/>
              </w:rPr>
              <w:t>30</w:t>
            </w:r>
            <w:r>
              <w:rPr>
                <w:rFonts w:hint="eastAsia"/>
                <w:color w:val="000000"/>
                <w:kern w:val="0"/>
                <w:sz w:val="18"/>
                <w:szCs w:val="18"/>
              </w:rPr>
              <w:t>万元以上；</w:t>
            </w:r>
            <w:r>
              <w:rPr>
                <w:color w:val="000000"/>
                <w:kern w:val="0"/>
                <w:sz w:val="18"/>
                <w:szCs w:val="18"/>
              </w:rPr>
              <w:br w:type="textWrapping"/>
            </w:r>
            <w:r>
              <w:rPr>
                <w:rFonts w:hint="eastAsia"/>
                <w:color w:val="000000"/>
                <w:kern w:val="0"/>
                <w:sz w:val="18"/>
                <w:szCs w:val="18"/>
              </w:rPr>
              <w:t>（四）其他弄虚作假骗取中标情节严重的行为。</w:t>
            </w:r>
          </w:p>
        </w:tc>
      </w:tr>
      <w:tr w14:paraId="7D8FFA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0A3600F9">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vAlign w:val="center"/>
          </w:tcPr>
          <w:p w14:paraId="2670B664">
            <w:pPr>
              <w:spacing w:line="240" w:lineRule="exact"/>
              <w:jc w:val="left"/>
              <w:rPr>
                <w:color w:val="000000"/>
                <w:kern w:val="0"/>
                <w:sz w:val="18"/>
                <w:szCs w:val="18"/>
              </w:rPr>
            </w:pPr>
            <w:r>
              <w:rPr>
                <w:rFonts w:hint="eastAsia"/>
                <w:color w:val="000000"/>
                <w:kern w:val="0"/>
                <w:sz w:val="18"/>
                <w:szCs w:val="18"/>
              </w:rPr>
              <w:t>罚款，没收违法所得，取消其一年至三年内参加依法必须进行招标的项目的投标资格</w:t>
            </w:r>
          </w:p>
        </w:tc>
      </w:tr>
      <w:tr w14:paraId="072E0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vAlign w:val="center"/>
          </w:tcPr>
          <w:p w14:paraId="255E68C8">
            <w:pPr>
              <w:spacing w:line="240" w:lineRule="exact"/>
              <w:jc w:val="center"/>
              <w:rPr>
                <w:color w:val="000000"/>
                <w:kern w:val="0"/>
                <w:sz w:val="18"/>
                <w:szCs w:val="18"/>
              </w:rPr>
            </w:pPr>
            <w:r>
              <w:rPr>
                <w:rFonts w:hint="eastAsia"/>
                <w:color w:val="000000"/>
                <w:kern w:val="0"/>
                <w:sz w:val="18"/>
                <w:szCs w:val="18"/>
              </w:rPr>
              <w:t>裁量基准</w:t>
            </w:r>
          </w:p>
        </w:tc>
      </w:tr>
      <w:tr w14:paraId="7AAE94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vMerge w:val="restart"/>
            <w:vAlign w:val="center"/>
          </w:tcPr>
          <w:p w14:paraId="1E5F55E7">
            <w:pPr>
              <w:spacing w:line="240" w:lineRule="exact"/>
              <w:jc w:val="left"/>
              <w:rPr>
                <w:color w:val="000000"/>
                <w:kern w:val="0"/>
                <w:sz w:val="18"/>
                <w:szCs w:val="18"/>
              </w:rPr>
            </w:pPr>
            <w:r>
              <w:rPr>
                <w:rFonts w:hint="eastAsia"/>
                <w:color w:val="000000"/>
                <w:kern w:val="0"/>
                <w:sz w:val="18"/>
                <w:szCs w:val="18"/>
              </w:rPr>
              <w:t>情形描述</w:t>
            </w:r>
          </w:p>
        </w:tc>
        <w:tc>
          <w:tcPr>
            <w:tcW w:w="6140" w:type="dxa"/>
            <w:vAlign w:val="center"/>
          </w:tcPr>
          <w:p w14:paraId="0778FED2">
            <w:pPr>
              <w:spacing w:line="240" w:lineRule="exact"/>
              <w:jc w:val="left"/>
              <w:rPr>
                <w:color w:val="000000"/>
                <w:kern w:val="0"/>
                <w:sz w:val="18"/>
                <w:szCs w:val="18"/>
              </w:rPr>
            </w:pPr>
            <w:r>
              <w:rPr>
                <w:rFonts w:hint="eastAsia"/>
                <w:color w:val="000000"/>
                <w:kern w:val="0"/>
                <w:sz w:val="18"/>
                <w:szCs w:val="18"/>
              </w:rPr>
              <w:t>以他人名义投标或者以其他方式弄虚作假投标，但不构成情节严重的</w:t>
            </w:r>
          </w:p>
        </w:tc>
        <w:tc>
          <w:tcPr>
            <w:tcW w:w="1106" w:type="dxa"/>
            <w:vMerge w:val="restart"/>
            <w:vAlign w:val="center"/>
          </w:tcPr>
          <w:p w14:paraId="083A59EB">
            <w:pPr>
              <w:spacing w:line="240" w:lineRule="exact"/>
              <w:jc w:val="left"/>
              <w:rPr>
                <w:color w:val="000000"/>
                <w:kern w:val="0"/>
                <w:sz w:val="18"/>
                <w:szCs w:val="18"/>
              </w:rPr>
            </w:pPr>
            <w:r>
              <w:rPr>
                <w:rFonts w:hint="eastAsia"/>
                <w:color w:val="000000"/>
                <w:kern w:val="0"/>
                <w:sz w:val="18"/>
                <w:szCs w:val="18"/>
              </w:rPr>
              <w:t>裁量幅度</w:t>
            </w:r>
          </w:p>
        </w:tc>
        <w:tc>
          <w:tcPr>
            <w:tcW w:w="5714" w:type="dxa"/>
            <w:vAlign w:val="center"/>
          </w:tcPr>
          <w:p w14:paraId="578103C6">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5‰~6‰</w:t>
            </w:r>
            <w:r>
              <w:rPr>
                <w:rFonts w:hint="eastAsia"/>
                <w:color w:val="000000"/>
                <w:kern w:val="0"/>
                <w:sz w:val="18"/>
                <w:szCs w:val="18"/>
              </w:rPr>
              <w:t>罚款</w:t>
            </w:r>
          </w:p>
          <w:p w14:paraId="029366AC">
            <w:pPr>
              <w:spacing w:line="24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5%~6%</w:t>
            </w:r>
            <w:r>
              <w:rPr>
                <w:rFonts w:hint="eastAsia"/>
                <w:color w:val="000000"/>
                <w:kern w:val="0"/>
                <w:sz w:val="18"/>
                <w:szCs w:val="18"/>
              </w:rPr>
              <w:t>罚款</w:t>
            </w:r>
          </w:p>
        </w:tc>
      </w:tr>
      <w:tr w14:paraId="12AE8A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vMerge w:val="continue"/>
            <w:vAlign w:val="center"/>
          </w:tcPr>
          <w:p w14:paraId="054602B1">
            <w:pPr>
              <w:spacing w:line="240" w:lineRule="exact"/>
              <w:jc w:val="left"/>
              <w:rPr>
                <w:color w:val="000000"/>
                <w:kern w:val="0"/>
                <w:sz w:val="18"/>
                <w:szCs w:val="18"/>
              </w:rPr>
            </w:pPr>
          </w:p>
        </w:tc>
        <w:tc>
          <w:tcPr>
            <w:tcW w:w="6140" w:type="dxa"/>
            <w:vAlign w:val="center"/>
          </w:tcPr>
          <w:p w14:paraId="47ED61E7">
            <w:pPr>
              <w:spacing w:line="240" w:lineRule="exact"/>
              <w:jc w:val="left"/>
              <w:rPr>
                <w:color w:val="000000"/>
                <w:kern w:val="0"/>
                <w:sz w:val="18"/>
                <w:szCs w:val="18"/>
              </w:rPr>
            </w:pPr>
            <w:r>
              <w:rPr>
                <w:rFonts w:hint="eastAsia"/>
                <w:color w:val="000000"/>
                <w:kern w:val="0"/>
                <w:sz w:val="18"/>
                <w:szCs w:val="18"/>
              </w:rPr>
              <w:t>以他人名义投标，同时有其他方式弄虚作假投标情形，但不构成情节严重的</w:t>
            </w:r>
          </w:p>
        </w:tc>
        <w:tc>
          <w:tcPr>
            <w:tcW w:w="1106" w:type="dxa"/>
            <w:vMerge w:val="continue"/>
            <w:vAlign w:val="center"/>
          </w:tcPr>
          <w:p w14:paraId="05A04CA7">
            <w:pPr>
              <w:spacing w:line="240" w:lineRule="exact"/>
              <w:jc w:val="left"/>
              <w:rPr>
                <w:color w:val="000000"/>
                <w:kern w:val="0"/>
                <w:sz w:val="18"/>
                <w:szCs w:val="18"/>
              </w:rPr>
            </w:pPr>
          </w:p>
        </w:tc>
        <w:tc>
          <w:tcPr>
            <w:tcW w:w="5714" w:type="dxa"/>
            <w:vAlign w:val="center"/>
          </w:tcPr>
          <w:p w14:paraId="79F54F01">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6‰~7‰</w:t>
            </w:r>
            <w:r>
              <w:rPr>
                <w:rFonts w:hint="eastAsia"/>
                <w:color w:val="000000"/>
                <w:kern w:val="0"/>
                <w:sz w:val="18"/>
                <w:szCs w:val="18"/>
              </w:rPr>
              <w:t>罚款</w:t>
            </w:r>
          </w:p>
          <w:p w14:paraId="5669D68F">
            <w:pPr>
              <w:spacing w:line="24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6%~7%</w:t>
            </w:r>
            <w:r>
              <w:rPr>
                <w:rFonts w:hint="eastAsia"/>
                <w:color w:val="000000"/>
                <w:kern w:val="0"/>
                <w:sz w:val="18"/>
                <w:szCs w:val="18"/>
              </w:rPr>
              <w:t>罚款</w:t>
            </w:r>
          </w:p>
        </w:tc>
      </w:tr>
      <w:tr w14:paraId="31D1D3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70" w:type="dxa"/>
            <w:vMerge w:val="continue"/>
            <w:vAlign w:val="center"/>
          </w:tcPr>
          <w:p w14:paraId="6FF1DBF3">
            <w:pPr>
              <w:spacing w:line="240" w:lineRule="exact"/>
              <w:jc w:val="left"/>
              <w:rPr>
                <w:color w:val="000000"/>
                <w:kern w:val="0"/>
                <w:sz w:val="18"/>
                <w:szCs w:val="18"/>
              </w:rPr>
            </w:pPr>
          </w:p>
        </w:tc>
        <w:tc>
          <w:tcPr>
            <w:tcW w:w="6140" w:type="dxa"/>
            <w:vAlign w:val="center"/>
          </w:tcPr>
          <w:p w14:paraId="36607EF6">
            <w:pPr>
              <w:spacing w:line="240" w:lineRule="exact"/>
              <w:jc w:val="left"/>
              <w:rPr>
                <w:color w:val="000000"/>
                <w:kern w:val="0"/>
                <w:sz w:val="18"/>
                <w:szCs w:val="18"/>
              </w:rPr>
            </w:pPr>
            <w:r>
              <w:rPr>
                <w:rFonts w:hint="eastAsia"/>
                <w:color w:val="000000"/>
                <w:kern w:val="0"/>
                <w:sz w:val="18"/>
                <w:szCs w:val="18"/>
              </w:rPr>
              <w:t>以他人名义投标或者其他方式弄虚作假投标，构成情节严重的</w:t>
            </w:r>
          </w:p>
        </w:tc>
        <w:tc>
          <w:tcPr>
            <w:tcW w:w="1106" w:type="dxa"/>
            <w:vMerge w:val="continue"/>
            <w:vAlign w:val="center"/>
          </w:tcPr>
          <w:p w14:paraId="70857FEF">
            <w:pPr>
              <w:spacing w:line="240" w:lineRule="exact"/>
              <w:jc w:val="left"/>
              <w:rPr>
                <w:color w:val="000000"/>
                <w:kern w:val="0"/>
                <w:sz w:val="18"/>
                <w:szCs w:val="18"/>
              </w:rPr>
            </w:pPr>
          </w:p>
        </w:tc>
        <w:tc>
          <w:tcPr>
            <w:tcW w:w="5714" w:type="dxa"/>
            <w:vAlign w:val="center"/>
          </w:tcPr>
          <w:p w14:paraId="11A3E64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7‰~8‰</w:t>
            </w:r>
            <w:r>
              <w:rPr>
                <w:rFonts w:hint="eastAsia"/>
                <w:color w:val="000000"/>
                <w:kern w:val="0"/>
                <w:sz w:val="18"/>
                <w:szCs w:val="18"/>
              </w:rPr>
              <w:t>罚款，取消</w:t>
            </w:r>
            <w:r>
              <w:rPr>
                <w:color w:val="000000"/>
                <w:kern w:val="0"/>
                <w:sz w:val="18"/>
                <w:szCs w:val="18"/>
              </w:rPr>
              <w:t>1</w:t>
            </w:r>
            <w:r>
              <w:rPr>
                <w:rFonts w:hint="eastAsia"/>
                <w:color w:val="000000"/>
                <w:kern w:val="0"/>
                <w:sz w:val="18"/>
                <w:szCs w:val="18"/>
              </w:rPr>
              <w:t>年至</w:t>
            </w:r>
            <w:r>
              <w:rPr>
                <w:color w:val="000000"/>
                <w:kern w:val="0"/>
                <w:sz w:val="18"/>
                <w:szCs w:val="18"/>
              </w:rPr>
              <w:t>2</w:t>
            </w:r>
            <w:r>
              <w:rPr>
                <w:rFonts w:hint="eastAsia"/>
                <w:color w:val="000000"/>
                <w:kern w:val="0"/>
                <w:sz w:val="18"/>
                <w:szCs w:val="18"/>
              </w:rPr>
              <w:t>年内投标资格</w:t>
            </w:r>
          </w:p>
          <w:p w14:paraId="162ACFC5">
            <w:pPr>
              <w:spacing w:line="24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7%~8%</w:t>
            </w:r>
            <w:r>
              <w:rPr>
                <w:rFonts w:hint="eastAsia"/>
                <w:color w:val="000000"/>
                <w:kern w:val="0"/>
                <w:sz w:val="18"/>
                <w:szCs w:val="18"/>
              </w:rPr>
              <w:t>罚款</w:t>
            </w:r>
          </w:p>
        </w:tc>
      </w:tr>
      <w:tr w14:paraId="36B1E8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070" w:type="dxa"/>
            <w:vMerge w:val="continue"/>
            <w:tcBorders>
              <w:bottom w:val="single" w:color="auto" w:sz="8" w:space="0"/>
            </w:tcBorders>
            <w:vAlign w:val="center"/>
          </w:tcPr>
          <w:p w14:paraId="3D8BB71E">
            <w:pPr>
              <w:spacing w:line="240" w:lineRule="exact"/>
              <w:jc w:val="left"/>
              <w:rPr>
                <w:color w:val="000000"/>
                <w:kern w:val="0"/>
                <w:sz w:val="18"/>
                <w:szCs w:val="18"/>
              </w:rPr>
            </w:pPr>
          </w:p>
        </w:tc>
        <w:tc>
          <w:tcPr>
            <w:tcW w:w="6140" w:type="dxa"/>
            <w:tcBorders>
              <w:bottom w:val="single" w:color="auto" w:sz="8" w:space="0"/>
            </w:tcBorders>
            <w:vAlign w:val="center"/>
          </w:tcPr>
          <w:p w14:paraId="495B096A">
            <w:pPr>
              <w:spacing w:line="240" w:lineRule="exact"/>
              <w:jc w:val="left"/>
              <w:rPr>
                <w:color w:val="000000"/>
                <w:kern w:val="0"/>
                <w:sz w:val="18"/>
                <w:szCs w:val="18"/>
              </w:rPr>
            </w:pPr>
            <w:r>
              <w:rPr>
                <w:rFonts w:hint="eastAsia"/>
                <w:color w:val="000000"/>
                <w:kern w:val="0"/>
                <w:sz w:val="18"/>
                <w:szCs w:val="18"/>
              </w:rPr>
              <w:t>以他人名义投标，同时有其他方式弄虚作假投标情形，构成情节严重的</w:t>
            </w:r>
          </w:p>
        </w:tc>
        <w:tc>
          <w:tcPr>
            <w:tcW w:w="1106" w:type="dxa"/>
            <w:vMerge w:val="continue"/>
            <w:tcBorders>
              <w:bottom w:val="single" w:color="auto" w:sz="8" w:space="0"/>
            </w:tcBorders>
            <w:vAlign w:val="center"/>
          </w:tcPr>
          <w:p w14:paraId="50EC3F49">
            <w:pPr>
              <w:spacing w:line="240" w:lineRule="exact"/>
              <w:jc w:val="left"/>
              <w:rPr>
                <w:color w:val="000000"/>
                <w:kern w:val="0"/>
                <w:sz w:val="18"/>
                <w:szCs w:val="18"/>
              </w:rPr>
            </w:pPr>
          </w:p>
        </w:tc>
        <w:tc>
          <w:tcPr>
            <w:tcW w:w="5714" w:type="dxa"/>
            <w:tcBorders>
              <w:bottom w:val="single" w:color="auto" w:sz="8" w:space="0"/>
            </w:tcBorders>
            <w:vAlign w:val="center"/>
          </w:tcPr>
          <w:p w14:paraId="2F7F8D69">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8‰~10‰</w:t>
            </w:r>
            <w:r>
              <w:rPr>
                <w:rFonts w:hint="eastAsia"/>
                <w:color w:val="000000"/>
                <w:kern w:val="0"/>
                <w:sz w:val="18"/>
                <w:szCs w:val="18"/>
              </w:rPr>
              <w:t>罚款，取消</w:t>
            </w:r>
            <w:r>
              <w:rPr>
                <w:color w:val="000000"/>
                <w:kern w:val="0"/>
                <w:sz w:val="18"/>
                <w:szCs w:val="18"/>
              </w:rPr>
              <w:t>2</w:t>
            </w:r>
            <w:r>
              <w:rPr>
                <w:rFonts w:hint="eastAsia"/>
                <w:color w:val="000000"/>
                <w:kern w:val="0"/>
                <w:sz w:val="18"/>
                <w:szCs w:val="18"/>
              </w:rPr>
              <w:t>年至</w:t>
            </w:r>
            <w:r>
              <w:rPr>
                <w:color w:val="000000"/>
                <w:kern w:val="0"/>
                <w:sz w:val="18"/>
                <w:szCs w:val="18"/>
              </w:rPr>
              <w:t>3</w:t>
            </w:r>
            <w:r>
              <w:rPr>
                <w:rFonts w:hint="eastAsia"/>
                <w:color w:val="000000"/>
                <w:kern w:val="0"/>
                <w:sz w:val="18"/>
                <w:szCs w:val="18"/>
              </w:rPr>
              <w:t>年内投标资格</w:t>
            </w:r>
          </w:p>
          <w:p w14:paraId="28E64827">
            <w:pPr>
              <w:spacing w:line="24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8%~10%</w:t>
            </w:r>
            <w:r>
              <w:rPr>
                <w:rFonts w:hint="eastAsia"/>
                <w:color w:val="000000"/>
                <w:kern w:val="0"/>
                <w:sz w:val="18"/>
                <w:szCs w:val="18"/>
              </w:rPr>
              <w:t>罚款</w:t>
            </w:r>
          </w:p>
        </w:tc>
      </w:tr>
    </w:tbl>
    <w:p w14:paraId="54132A6F"/>
    <w:p w14:paraId="4EA0F060"/>
    <w:p w14:paraId="1133FDC5"/>
    <w:p w14:paraId="75ADA7C9"/>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50ED9FD9">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6D2A2043">
            <w:pPr>
              <w:spacing w:line="240" w:lineRule="exact"/>
              <w:jc w:val="left"/>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59F36296">
            <w:pPr>
              <w:spacing w:line="240" w:lineRule="exact"/>
              <w:jc w:val="left"/>
              <w:rPr>
                <w:b/>
                <w:color w:val="000000"/>
                <w:kern w:val="0"/>
                <w:sz w:val="18"/>
                <w:szCs w:val="18"/>
              </w:rPr>
            </w:pPr>
            <w:r>
              <w:rPr>
                <w:b/>
                <w:color w:val="000000"/>
                <w:kern w:val="0"/>
                <w:sz w:val="18"/>
                <w:szCs w:val="18"/>
              </w:rPr>
              <w:t>320217358000</w:t>
            </w:r>
          </w:p>
        </w:tc>
      </w:tr>
      <w:tr w14:paraId="6725FE08">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C7DD412">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Pr>
          <w:p w14:paraId="628B48FD">
            <w:pPr>
              <w:spacing w:line="240" w:lineRule="exact"/>
              <w:jc w:val="left"/>
              <w:rPr>
                <w:color w:val="000000"/>
                <w:kern w:val="0"/>
                <w:sz w:val="18"/>
                <w:szCs w:val="18"/>
              </w:rPr>
            </w:pPr>
            <w:r>
              <w:rPr>
                <w:rFonts w:hint="eastAsia"/>
                <w:color w:val="000000"/>
                <w:kern w:val="0"/>
                <w:sz w:val="18"/>
                <w:szCs w:val="18"/>
              </w:rPr>
              <w:t>对依法必须进行招标的项目，招标人违法与投标人就投标价格、投标方案等实质性内容进行谈判的处罚</w:t>
            </w:r>
          </w:p>
        </w:tc>
      </w:tr>
      <w:tr w14:paraId="49CA1363">
        <w:tblPrEx>
          <w:tblCellMar>
            <w:top w:w="0" w:type="dxa"/>
            <w:left w:w="108" w:type="dxa"/>
            <w:bottom w:w="0" w:type="dxa"/>
            <w:right w:w="108" w:type="dxa"/>
          </w:tblCellMar>
        </w:tblPrEx>
        <w:trPr>
          <w:trHeight w:val="1530" w:hRule="atLeast"/>
        </w:trPr>
        <w:tc>
          <w:tcPr>
            <w:tcW w:w="1070" w:type="dxa"/>
            <w:tcBorders>
              <w:top w:val="nil"/>
              <w:left w:val="single" w:color="auto" w:sz="8" w:space="0"/>
              <w:bottom w:val="single" w:color="auto" w:sz="4" w:space="0"/>
              <w:right w:val="single" w:color="auto" w:sz="4" w:space="0"/>
            </w:tcBorders>
            <w:vAlign w:val="center"/>
          </w:tcPr>
          <w:p w14:paraId="221313BB">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11CF5B44">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type="textWrapping"/>
            </w:r>
            <w:r>
              <w:rPr>
                <w:rFonts w:hint="eastAsia"/>
                <w:color w:val="000000"/>
                <w:kern w:val="0"/>
                <w:sz w:val="18"/>
                <w:szCs w:val="18"/>
              </w:rPr>
              <w:t>第五十五条　依法必须进行招标的项目，招标人违反本法规定，与投标人就投标价格、投标方案等实质性内容进行谈判的，给予警告，对单位直接负责的主管人员和其他直接责任人员依法给予处分。</w:t>
            </w:r>
            <w:r>
              <w:rPr>
                <w:color w:val="000000"/>
                <w:kern w:val="0"/>
                <w:sz w:val="18"/>
                <w:szCs w:val="18"/>
              </w:rPr>
              <w:br w:type="textWrapping"/>
            </w:r>
            <w:r>
              <w:rPr>
                <w:rFonts w:hint="eastAsia"/>
                <w:color w:val="000000"/>
                <w:kern w:val="0"/>
                <w:sz w:val="18"/>
                <w:szCs w:val="18"/>
              </w:rPr>
              <w:t>前款所列行为影响中标结果的，中标无效。</w:t>
            </w:r>
            <w:r>
              <w:rPr>
                <w:color w:val="000000"/>
                <w:kern w:val="0"/>
                <w:sz w:val="18"/>
                <w:szCs w:val="18"/>
              </w:rPr>
              <w:br w:type="textWrapping"/>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【规章】《工程建设项目施工招标投标办法》（国家发展和改革委员会、工业和信息化部、财政部、住房和城乡建设部、交通运输部、铁道部、水利部、国家广播电影电视总局、中国民用航空局令第</w:t>
            </w:r>
            <w:r>
              <w:rPr>
                <w:color w:val="000000"/>
                <w:kern w:val="0"/>
                <w:sz w:val="18"/>
                <w:szCs w:val="18"/>
              </w:rPr>
              <w:t>30</w:t>
            </w:r>
            <w:r>
              <w:rPr>
                <w:rFonts w:hint="eastAsia"/>
                <w:color w:val="000000"/>
                <w:kern w:val="0"/>
                <w:sz w:val="18"/>
                <w:szCs w:val="18"/>
              </w:rPr>
              <w:t>号，已根据《关于废止和修改部分招标投标规章和规范性文件的决定》修改）</w:t>
            </w:r>
            <w:r>
              <w:rPr>
                <w:color w:val="000000"/>
                <w:kern w:val="0"/>
                <w:sz w:val="18"/>
                <w:szCs w:val="18"/>
              </w:rPr>
              <w:br w:type="textWrapping"/>
            </w:r>
            <w:r>
              <w:rPr>
                <w:rFonts w:hint="eastAsia"/>
                <w:color w:val="000000"/>
                <w:kern w:val="0"/>
                <w:sz w:val="18"/>
                <w:szCs w:val="18"/>
              </w:rPr>
              <w:t>第七十六条　依法必须进行招标的项目，招标人违法与投标人就投标价格、投标方案等实质性内容进行谈判的，有关行政监督部门给予警告，对单位直接负责的主管人员和其他直接责任人员依法给予处分。</w:t>
            </w:r>
            <w:r>
              <w:rPr>
                <w:color w:val="000000"/>
                <w:kern w:val="0"/>
                <w:sz w:val="18"/>
                <w:szCs w:val="18"/>
              </w:rPr>
              <w:br w:type="textWrapping"/>
            </w:r>
            <w:r>
              <w:rPr>
                <w:rFonts w:hint="eastAsia"/>
                <w:color w:val="000000"/>
                <w:kern w:val="0"/>
                <w:sz w:val="18"/>
                <w:szCs w:val="18"/>
              </w:rPr>
              <w:t>　　前款所列行为影响中标结果的，中标无效。</w:t>
            </w:r>
          </w:p>
        </w:tc>
      </w:tr>
      <w:tr w14:paraId="6893A4CE">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2AB0F0F">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042926CA">
            <w:pPr>
              <w:spacing w:line="240" w:lineRule="exact"/>
              <w:jc w:val="left"/>
              <w:rPr>
                <w:color w:val="000000"/>
                <w:kern w:val="0"/>
                <w:sz w:val="18"/>
                <w:szCs w:val="18"/>
              </w:rPr>
            </w:pPr>
            <w:r>
              <w:rPr>
                <w:rFonts w:hint="eastAsia"/>
                <w:color w:val="000000"/>
                <w:kern w:val="0"/>
                <w:sz w:val="18"/>
                <w:szCs w:val="18"/>
              </w:rPr>
              <w:t>警告</w:t>
            </w:r>
          </w:p>
        </w:tc>
      </w:tr>
      <w:tr w14:paraId="54AEF569">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4F0A129F">
            <w:pPr>
              <w:spacing w:line="240" w:lineRule="exact"/>
              <w:jc w:val="center"/>
              <w:rPr>
                <w:color w:val="000000"/>
                <w:kern w:val="0"/>
                <w:sz w:val="18"/>
                <w:szCs w:val="18"/>
              </w:rPr>
            </w:pPr>
            <w:r>
              <w:rPr>
                <w:rFonts w:hint="eastAsia"/>
                <w:color w:val="000000"/>
                <w:kern w:val="0"/>
                <w:sz w:val="18"/>
                <w:szCs w:val="18"/>
              </w:rPr>
              <w:t>裁量基准</w:t>
            </w:r>
          </w:p>
        </w:tc>
      </w:tr>
      <w:tr w14:paraId="21831BCA">
        <w:tblPrEx>
          <w:tblCellMar>
            <w:top w:w="0" w:type="dxa"/>
            <w:left w:w="108" w:type="dxa"/>
            <w:bottom w:w="0" w:type="dxa"/>
            <w:right w:w="108" w:type="dxa"/>
          </w:tblCellMar>
        </w:tblPrEx>
        <w:trPr>
          <w:trHeight w:val="634" w:hRule="atLeast"/>
        </w:trPr>
        <w:tc>
          <w:tcPr>
            <w:tcW w:w="1070" w:type="dxa"/>
            <w:tcBorders>
              <w:top w:val="single" w:color="auto" w:sz="4" w:space="0"/>
              <w:left w:val="single" w:color="auto" w:sz="4" w:space="0"/>
              <w:bottom w:val="single" w:color="auto" w:sz="4" w:space="0"/>
              <w:right w:val="single" w:color="auto" w:sz="4" w:space="0"/>
            </w:tcBorders>
            <w:vAlign w:val="center"/>
          </w:tcPr>
          <w:p w14:paraId="0EB35B7E">
            <w:pPr>
              <w:spacing w:line="24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1736124">
            <w:pPr>
              <w:spacing w:line="240" w:lineRule="exact"/>
              <w:jc w:val="left"/>
              <w:rPr>
                <w:color w:val="000000"/>
                <w:kern w:val="0"/>
                <w:sz w:val="18"/>
                <w:szCs w:val="18"/>
              </w:rPr>
            </w:pPr>
            <w:r>
              <w:rPr>
                <w:rFonts w:hint="eastAsia"/>
                <w:color w:val="000000"/>
                <w:kern w:val="0"/>
                <w:sz w:val="18"/>
                <w:szCs w:val="18"/>
              </w:rPr>
              <w:t>依法必须进行招标的项目，招标人违法与投标人就投标价格、投标方案等实质性内容进行谈判的</w:t>
            </w:r>
          </w:p>
        </w:tc>
        <w:tc>
          <w:tcPr>
            <w:tcW w:w="1106" w:type="dxa"/>
            <w:tcBorders>
              <w:top w:val="single" w:color="auto" w:sz="4" w:space="0"/>
              <w:left w:val="single" w:color="auto" w:sz="4" w:space="0"/>
              <w:bottom w:val="single" w:color="auto" w:sz="4" w:space="0"/>
              <w:right w:val="single" w:color="auto" w:sz="4" w:space="0"/>
            </w:tcBorders>
            <w:vAlign w:val="center"/>
          </w:tcPr>
          <w:p w14:paraId="0118059E">
            <w:pPr>
              <w:spacing w:line="240" w:lineRule="exact"/>
              <w:jc w:val="left"/>
              <w:rPr>
                <w:color w:val="000000"/>
                <w:kern w:val="0"/>
                <w:sz w:val="18"/>
                <w:szCs w:val="18"/>
              </w:rPr>
            </w:pPr>
            <w:r>
              <w:rPr>
                <w:rFonts w:hint="eastAsia"/>
                <w:color w:val="000000"/>
                <w:kern w:val="0"/>
                <w:sz w:val="18"/>
                <w:szCs w:val="18"/>
              </w:rPr>
              <w:t>裁量幅度</w:t>
            </w:r>
          </w:p>
        </w:tc>
        <w:tc>
          <w:tcPr>
            <w:tcW w:w="5714" w:type="dxa"/>
            <w:tcBorders>
              <w:top w:val="single" w:color="auto" w:sz="4" w:space="0"/>
              <w:left w:val="nil"/>
              <w:bottom w:val="single" w:color="auto" w:sz="4" w:space="0"/>
              <w:right w:val="single" w:color="auto" w:sz="4" w:space="0"/>
            </w:tcBorders>
            <w:vAlign w:val="center"/>
          </w:tcPr>
          <w:p w14:paraId="757010C1">
            <w:pPr>
              <w:spacing w:line="240" w:lineRule="exact"/>
              <w:jc w:val="left"/>
              <w:rPr>
                <w:color w:val="000000"/>
                <w:kern w:val="0"/>
                <w:sz w:val="18"/>
                <w:szCs w:val="18"/>
              </w:rPr>
            </w:pPr>
            <w:r>
              <w:rPr>
                <w:rFonts w:hint="eastAsia"/>
                <w:color w:val="000000"/>
                <w:kern w:val="0"/>
                <w:sz w:val="18"/>
                <w:szCs w:val="18"/>
              </w:rPr>
              <w:t>警告</w:t>
            </w:r>
          </w:p>
        </w:tc>
      </w:tr>
    </w:tbl>
    <w:p w14:paraId="597B0B9C"/>
    <w:p w14:paraId="636519C4"/>
    <w:p w14:paraId="76E49045"/>
    <w:p w14:paraId="12D1B345"/>
    <w:p w14:paraId="48E2AFF4"/>
    <w:p w14:paraId="6C4AB73E"/>
    <w:p w14:paraId="604230BC"/>
    <w:p w14:paraId="3794153F"/>
    <w:p w14:paraId="07928622"/>
    <w:p w14:paraId="79C41DF6"/>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5C0651DF">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B6DBCA9">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38110045">
            <w:pPr>
              <w:spacing w:line="320" w:lineRule="exact"/>
              <w:jc w:val="left"/>
              <w:rPr>
                <w:rFonts w:eastAsia="仿宋_GB2312"/>
                <w:b/>
                <w:bCs/>
                <w:color w:val="000000"/>
                <w:kern w:val="0"/>
                <w:sz w:val="18"/>
                <w:szCs w:val="18"/>
              </w:rPr>
            </w:pPr>
            <w:r>
              <w:rPr>
                <w:rFonts w:eastAsia="仿宋_GB2312"/>
                <w:b/>
                <w:bCs/>
                <w:color w:val="000000"/>
                <w:kern w:val="0"/>
                <w:sz w:val="18"/>
                <w:szCs w:val="18"/>
              </w:rPr>
              <w:t>320217360000</w:t>
            </w:r>
          </w:p>
        </w:tc>
      </w:tr>
      <w:tr w14:paraId="66BF6F61">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6D5CD29">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6BC6D3E5">
            <w:pPr>
              <w:spacing w:line="320" w:lineRule="exact"/>
              <w:jc w:val="left"/>
              <w:rPr>
                <w:color w:val="000000"/>
                <w:kern w:val="0"/>
                <w:sz w:val="18"/>
                <w:szCs w:val="18"/>
              </w:rPr>
            </w:pPr>
            <w:r>
              <w:rPr>
                <w:rFonts w:hint="eastAsia"/>
                <w:color w:val="000000"/>
                <w:kern w:val="0"/>
                <w:sz w:val="18"/>
                <w:szCs w:val="18"/>
              </w:rPr>
              <w:t>对分支机构不以设立该分支机构的房地产估价机构名义承揽估价业务的处罚</w:t>
            </w:r>
          </w:p>
        </w:tc>
      </w:tr>
      <w:tr w14:paraId="038EFECE">
        <w:tblPrEx>
          <w:tblCellMar>
            <w:top w:w="0" w:type="dxa"/>
            <w:left w:w="108" w:type="dxa"/>
            <w:bottom w:w="0" w:type="dxa"/>
            <w:right w:w="108" w:type="dxa"/>
          </w:tblCellMar>
        </w:tblPrEx>
        <w:trPr>
          <w:trHeight w:val="1620" w:hRule="atLeast"/>
        </w:trPr>
        <w:tc>
          <w:tcPr>
            <w:tcW w:w="1056" w:type="dxa"/>
            <w:tcBorders>
              <w:top w:val="nil"/>
              <w:left w:val="single" w:color="auto" w:sz="8" w:space="0"/>
              <w:bottom w:val="single" w:color="auto" w:sz="4" w:space="0"/>
              <w:right w:val="single" w:color="auto" w:sz="4" w:space="0"/>
            </w:tcBorders>
            <w:vAlign w:val="center"/>
          </w:tcPr>
          <w:p w14:paraId="46E5498C">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3CA6B461">
            <w:pPr>
              <w:spacing w:line="320" w:lineRule="exact"/>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14:paraId="388467F1">
            <w:pPr>
              <w:spacing w:line="320" w:lineRule="exact"/>
              <w:jc w:val="left"/>
              <w:rPr>
                <w:color w:val="000000"/>
                <w:kern w:val="0"/>
                <w:sz w:val="18"/>
                <w:szCs w:val="18"/>
              </w:rPr>
            </w:pPr>
            <w:r>
              <w:rPr>
                <w:rFonts w:hint="eastAsia"/>
                <w:color w:val="000000"/>
                <w:kern w:val="0"/>
                <w:sz w:val="18"/>
                <w:szCs w:val="18"/>
              </w:rPr>
              <w:t>第五十条</w:t>
            </w:r>
            <w:r>
              <w:rPr>
                <w:color w:val="000000"/>
                <w:kern w:val="0"/>
                <w:sz w:val="18"/>
                <w:szCs w:val="18"/>
              </w:rPr>
              <w:t xml:space="preserve"> </w:t>
            </w:r>
            <w:r>
              <w:rPr>
                <w:rFonts w:hint="eastAsia"/>
                <w:color w:val="000000"/>
                <w:kern w:val="0"/>
                <w:sz w:val="18"/>
                <w:szCs w:val="18"/>
              </w:rPr>
              <w:t>有下列行为之一的，由县级以上人民政府房地产行政主管部门给予警告，责令限期改正；逾期未改正的，可处</w:t>
            </w:r>
            <w:r>
              <w:rPr>
                <w:color w:val="000000"/>
                <w:kern w:val="0"/>
                <w:sz w:val="18"/>
                <w:szCs w:val="18"/>
              </w:rPr>
              <w:t>5</w:t>
            </w:r>
            <w:r>
              <w:rPr>
                <w:rFonts w:hint="eastAsia"/>
                <w:color w:val="000000"/>
                <w:kern w:val="0"/>
                <w:sz w:val="18"/>
                <w:szCs w:val="18"/>
              </w:rPr>
              <w:t>千元以上</w:t>
            </w:r>
            <w:r>
              <w:rPr>
                <w:color w:val="000000"/>
                <w:kern w:val="0"/>
                <w:sz w:val="18"/>
                <w:szCs w:val="18"/>
              </w:rPr>
              <w:t>2</w:t>
            </w:r>
            <w:r>
              <w:rPr>
                <w:rFonts w:hint="eastAsia"/>
                <w:color w:val="000000"/>
                <w:kern w:val="0"/>
                <w:sz w:val="18"/>
                <w:szCs w:val="18"/>
              </w:rPr>
              <w:t>万元以下的罚款；给当事人造成损失的，依法承担赔偿责任：</w:t>
            </w:r>
          </w:p>
          <w:p w14:paraId="112F69D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（一）违反本办法第二十五条规定承揽业务的；</w:t>
            </w:r>
          </w:p>
          <w:p w14:paraId="4ADBEE1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第二十六条　房地产估价业务应当由房地产估价机构统一接受委托，统一收取费用。</w:t>
            </w:r>
          </w:p>
          <w:p w14:paraId="3AC32E1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房地产估价师不得以个人名义承揽估价业务，分支机构应当以设立该分支机构的房地产估价机构名义承揽估价业务。</w:t>
            </w:r>
          </w:p>
        </w:tc>
      </w:tr>
      <w:tr w14:paraId="7ABBC6CB">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5FE5AB7">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7F7BE13C">
            <w:pPr>
              <w:spacing w:line="320" w:lineRule="exact"/>
              <w:jc w:val="left"/>
              <w:rPr>
                <w:color w:val="000000"/>
                <w:kern w:val="0"/>
                <w:sz w:val="18"/>
                <w:szCs w:val="18"/>
              </w:rPr>
            </w:pPr>
            <w:r>
              <w:rPr>
                <w:rFonts w:hint="eastAsia"/>
                <w:color w:val="000000"/>
                <w:kern w:val="0"/>
                <w:sz w:val="18"/>
                <w:szCs w:val="18"/>
              </w:rPr>
              <w:t>警告，罚款</w:t>
            </w:r>
          </w:p>
        </w:tc>
      </w:tr>
      <w:tr w14:paraId="1A601740">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B545D82">
            <w:pPr>
              <w:spacing w:line="320" w:lineRule="exact"/>
              <w:jc w:val="center"/>
              <w:rPr>
                <w:color w:val="000000"/>
                <w:kern w:val="0"/>
                <w:sz w:val="18"/>
                <w:szCs w:val="18"/>
              </w:rPr>
            </w:pPr>
            <w:r>
              <w:rPr>
                <w:rFonts w:hint="eastAsia"/>
                <w:color w:val="000000"/>
                <w:kern w:val="0"/>
                <w:sz w:val="18"/>
                <w:szCs w:val="18"/>
              </w:rPr>
              <w:t>裁量基准</w:t>
            </w:r>
          </w:p>
        </w:tc>
      </w:tr>
      <w:tr w14:paraId="218A3927">
        <w:tblPrEx>
          <w:tblCellMar>
            <w:top w:w="0" w:type="dxa"/>
            <w:left w:w="108" w:type="dxa"/>
            <w:bottom w:w="0" w:type="dxa"/>
            <w:right w:w="108" w:type="dxa"/>
          </w:tblCellMar>
        </w:tblPrEx>
        <w:trPr>
          <w:trHeight w:val="650" w:hRule="atLeast"/>
        </w:trPr>
        <w:tc>
          <w:tcPr>
            <w:tcW w:w="1056" w:type="dxa"/>
            <w:vMerge w:val="restart"/>
            <w:tcBorders>
              <w:top w:val="nil"/>
              <w:left w:val="single" w:color="auto" w:sz="8" w:space="0"/>
              <w:right w:val="single" w:color="auto" w:sz="4" w:space="0"/>
            </w:tcBorders>
            <w:vAlign w:val="center"/>
          </w:tcPr>
          <w:p w14:paraId="3761051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297082C0">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周内改正，但给当事人造成损失的</w:t>
            </w:r>
          </w:p>
        </w:tc>
        <w:tc>
          <w:tcPr>
            <w:tcW w:w="1060" w:type="dxa"/>
            <w:vMerge w:val="restart"/>
            <w:tcBorders>
              <w:top w:val="single" w:color="auto" w:sz="4" w:space="0"/>
              <w:left w:val="single" w:color="auto" w:sz="4" w:space="0"/>
              <w:bottom w:val="single" w:color="auto" w:sz="4" w:space="0"/>
              <w:right w:val="single" w:color="auto" w:sz="4" w:space="0"/>
            </w:tcBorders>
            <w:vAlign w:val="center"/>
          </w:tcPr>
          <w:p w14:paraId="2DA16C9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4F5EAE5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6E084EEC">
        <w:tblPrEx>
          <w:tblCellMar>
            <w:top w:w="0" w:type="dxa"/>
            <w:left w:w="108" w:type="dxa"/>
            <w:bottom w:w="0" w:type="dxa"/>
            <w:right w:w="108" w:type="dxa"/>
          </w:tblCellMar>
        </w:tblPrEx>
        <w:trPr>
          <w:trHeight w:val="285" w:hRule="atLeast"/>
        </w:trPr>
        <w:tc>
          <w:tcPr>
            <w:tcW w:w="1056" w:type="dxa"/>
            <w:vMerge w:val="continue"/>
            <w:tcBorders>
              <w:left w:val="single" w:color="auto" w:sz="8" w:space="0"/>
              <w:right w:val="single" w:color="auto" w:sz="4" w:space="0"/>
            </w:tcBorders>
            <w:vAlign w:val="center"/>
          </w:tcPr>
          <w:p w14:paraId="7D5AD1DA">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3F4C6F7">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周以上</w:t>
            </w:r>
            <w:r>
              <w:rPr>
                <w:color w:val="000000"/>
                <w:kern w:val="0"/>
                <w:sz w:val="18"/>
                <w:szCs w:val="18"/>
              </w:rPr>
              <w:t>2</w:t>
            </w:r>
            <w:r>
              <w:rPr>
                <w:rFonts w:hint="eastAsia"/>
                <w:color w:val="000000"/>
                <w:kern w:val="0"/>
                <w:sz w:val="18"/>
                <w:szCs w:val="18"/>
              </w:rPr>
              <w:t>周以内改正的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1AEB3139">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422DE41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003C1571">
        <w:tblPrEx>
          <w:tblCellMar>
            <w:top w:w="0" w:type="dxa"/>
            <w:left w:w="108" w:type="dxa"/>
            <w:bottom w:w="0" w:type="dxa"/>
            <w:right w:w="108" w:type="dxa"/>
          </w:tblCellMar>
        </w:tblPrEx>
        <w:trPr>
          <w:trHeight w:val="285" w:hRule="atLeast"/>
        </w:trPr>
        <w:tc>
          <w:tcPr>
            <w:tcW w:w="1056" w:type="dxa"/>
            <w:vMerge w:val="continue"/>
            <w:tcBorders>
              <w:left w:val="single" w:color="auto" w:sz="8" w:space="0"/>
              <w:right w:val="single" w:color="auto" w:sz="4" w:space="0"/>
            </w:tcBorders>
            <w:vAlign w:val="center"/>
          </w:tcPr>
          <w:p w14:paraId="1AD21322">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91661FB">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2</w:t>
            </w:r>
            <w:r>
              <w:rPr>
                <w:rFonts w:hint="eastAsia"/>
                <w:color w:val="000000"/>
                <w:kern w:val="0"/>
                <w:sz w:val="18"/>
                <w:szCs w:val="18"/>
              </w:rPr>
              <w:t>周以上</w:t>
            </w:r>
            <w:r>
              <w:rPr>
                <w:color w:val="000000"/>
                <w:kern w:val="0"/>
                <w:sz w:val="18"/>
                <w:szCs w:val="18"/>
              </w:rPr>
              <w:t>3</w:t>
            </w:r>
            <w:r>
              <w:rPr>
                <w:rFonts w:hint="eastAsia"/>
                <w:color w:val="000000"/>
                <w:kern w:val="0"/>
                <w:sz w:val="18"/>
                <w:szCs w:val="18"/>
              </w:rPr>
              <w:t>周以内改正的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0A9EBD9C">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04B293E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万元以下的罚款</w:t>
            </w:r>
          </w:p>
        </w:tc>
      </w:tr>
      <w:tr w14:paraId="5C5C9BA1">
        <w:tblPrEx>
          <w:tblCellMar>
            <w:top w:w="0" w:type="dxa"/>
            <w:left w:w="108" w:type="dxa"/>
            <w:bottom w:w="0" w:type="dxa"/>
            <w:right w:w="108" w:type="dxa"/>
          </w:tblCellMar>
        </w:tblPrEx>
        <w:trPr>
          <w:trHeight w:val="285" w:hRule="atLeast"/>
        </w:trPr>
        <w:tc>
          <w:tcPr>
            <w:tcW w:w="1056" w:type="dxa"/>
            <w:vMerge w:val="continue"/>
            <w:tcBorders>
              <w:left w:val="single" w:color="auto" w:sz="8" w:space="0"/>
              <w:bottom w:val="single" w:color="auto" w:sz="4" w:space="0"/>
              <w:right w:val="single" w:color="auto" w:sz="4" w:space="0"/>
            </w:tcBorders>
            <w:vAlign w:val="center"/>
          </w:tcPr>
          <w:p w14:paraId="2A764E3B">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94A684B">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3</w:t>
            </w:r>
            <w:r>
              <w:rPr>
                <w:rFonts w:hint="eastAsia"/>
                <w:color w:val="000000"/>
                <w:kern w:val="0"/>
                <w:sz w:val="18"/>
                <w:szCs w:val="18"/>
              </w:rPr>
              <w:t>周以上的改正或一直未改正的</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170786D7">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4A7BED2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万元罚款</w:t>
            </w:r>
          </w:p>
        </w:tc>
      </w:tr>
    </w:tbl>
    <w:p w14:paraId="2DF3D362"/>
    <w:p w14:paraId="168B026E"/>
    <w:p w14:paraId="493491D4"/>
    <w:p w14:paraId="37ABC860"/>
    <w:p w14:paraId="3BBC2FFB"/>
    <w:p w14:paraId="71346FEC"/>
    <w:p w14:paraId="528655F7"/>
    <w:tbl>
      <w:tblPr>
        <w:tblStyle w:val="15"/>
        <w:tblW w:w="0" w:type="auto"/>
        <w:tblInd w:w="88" w:type="dxa"/>
        <w:tblLayout w:type="fixed"/>
        <w:tblCellMar>
          <w:top w:w="0" w:type="dxa"/>
          <w:left w:w="108" w:type="dxa"/>
          <w:bottom w:w="0" w:type="dxa"/>
          <w:right w:w="108" w:type="dxa"/>
        </w:tblCellMar>
      </w:tblPr>
      <w:tblGrid>
        <w:gridCol w:w="1056"/>
        <w:gridCol w:w="1658"/>
        <w:gridCol w:w="4482"/>
        <w:gridCol w:w="1060"/>
        <w:gridCol w:w="5760"/>
      </w:tblGrid>
      <w:tr w14:paraId="5B51E74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CB99B8E">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color="auto" w:sz="8" w:space="0"/>
              <w:left w:val="nil"/>
              <w:bottom w:val="single" w:color="auto" w:sz="4" w:space="0"/>
              <w:right w:val="single" w:color="000000" w:sz="8" w:space="0"/>
            </w:tcBorders>
            <w:vAlign w:val="center"/>
          </w:tcPr>
          <w:p w14:paraId="23456906">
            <w:pPr>
              <w:spacing w:line="320" w:lineRule="exact"/>
              <w:jc w:val="left"/>
              <w:rPr>
                <w:rFonts w:eastAsia="仿宋_GB2312"/>
                <w:b/>
                <w:bCs/>
                <w:color w:val="000000"/>
                <w:kern w:val="0"/>
                <w:sz w:val="18"/>
                <w:szCs w:val="18"/>
              </w:rPr>
            </w:pPr>
            <w:r>
              <w:rPr>
                <w:rFonts w:eastAsia="仿宋_GB2312"/>
                <w:b/>
                <w:bCs/>
                <w:color w:val="000000"/>
                <w:kern w:val="0"/>
                <w:sz w:val="18"/>
                <w:szCs w:val="18"/>
              </w:rPr>
              <w:t>320217361000</w:t>
            </w:r>
          </w:p>
        </w:tc>
      </w:tr>
      <w:tr w14:paraId="72D9841D">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810A92F">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color="auto" w:sz="4" w:space="0"/>
              <w:left w:val="nil"/>
              <w:bottom w:val="single" w:color="auto" w:sz="4" w:space="0"/>
              <w:right w:val="single" w:color="000000" w:sz="8" w:space="0"/>
            </w:tcBorders>
            <w:vAlign w:val="center"/>
          </w:tcPr>
          <w:p w14:paraId="4906F3DB">
            <w:pPr>
              <w:spacing w:line="320" w:lineRule="exact"/>
              <w:jc w:val="left"/>
              <w:rPr>
                <w:color w:val="000000"/>
                <w:kern w:val="0"/>
                <w:sz w:val="18"/>
                <w:szCs w:val="18"/>
              </w:rPr>
            </w:pPr>
            <w:r>
              <w:rPr>
                <w:rFonts w:hint="eastAsia"/>
                <w:color w:val="000000"/>
                <w:kern w:val="0"/>
                <w:sz w:val="18"/>
                <w:szCs w:val="18"/>
              </w:rPr>
              <w:t>对房地产估价机构及其估价人员应当回避未回避的处罚</w:t>
            </w:r>
          </w:p>
        </w:tc>
      </w:tr>
      <w:tr w14:paraId="4BEC8C1D">
        <w:tblPrEx>
          <w:tblCellMar>
            <w:top w:w="0" w:type="dxa"/>
            <w:left w:w="108" w:type="dxa"/>
            <w:bottom w:w="0" w:type="dxa"/>
            <w:right w:w="108" w:type="dxa"/>
          </w:tblCellMar>
        </w:tblPrEx>
        <w:trPr>
          <w:trHeight w:val="1620" w:hRule="atLeast"/>
        </w:trPr>
        <w:tc>
          <w:tcPr>
            <w:tcW w:w="1056" w:type="dxa"/>
            <w:tcBorders>
              <w:top w:val="nil"/>
              <w:left w:val="single" w:color="auto" w:sz="8" w:space="0"/>
              <w:bottom w:val="single" w:color="auto" w:sz="4" w:space="0"/>
              <w:right w:val="single" w:color="auto" w:sz="4" w:space="0"/>
            </w:tcBorders>
            <w:vAlign w:val="center"/>
          </w:tcPr>
          <w:p w14:paraId="7DBF75FB">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color="auto" w:sz="4" w:space="0"/>
              <w:left w:val="nil"/>
              <w:bottom w:val="single" w:color="auto" w:sz="4" w:space="0"/>
              <w:right w:val="single" w:color="000000" w:sz="8" w:space="0"/>
            </w:tcBorders>
            <w:vAlign w:val="center"/>
          </w:tcPr>
          <w:p w14:paraId="451ED152">
            <w:pPr>
              <w:spacing w:line="320" w:lineRule="exact"/>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14:paraId="62B060B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第五十一条</w:t>
            </w:r>
            <w:r>
              <w:rPr>
                <w:color w:val="000000"/>
                <w:kern w:val="0"/>
                <w:sz w:val="18"/>
                <w:szCs w:val="18"/>
              </w:rPr>
              <w:t xml:space="preserve"> </w:t>
            </w:r>
            <w:r>
              <w:rPr>
                <w:rFonts w:hint="eastAsia"/>
                <w:color w:val="000000"/>
                <w:kern w:val="0"/>
                <w:sz w:val="18"/>
                <w:szCs w:val="18"/>
              </w:rPr>
              <w:t>违反本办法第二十七条规定，房地产估价机构及其估价人员应当回避未回避的，由县级以上人民政府房地产行政主管部门给予警告，责令限期改正，并可处</w:t>
            </w:r>
            <w:r>
              <w:rPr>
                <w:color w:val="000000"/>
                <w:kern w:val="0"/>
                <w:sz w:val="18"/>
                <w:szCs w:val="18"/>
              </w:rPr>
              <w:t>1</w:t>
            </w:r>
            <w:r>
              <w:rPr>
                <w:rFonts w:hint="eastAsia"/>
                <w:color w:val="000000"/>
                <w:kern w:val="0"/>
                <w:sz w:val="18"/>
                <w:szCs w:val="18"/>
              </w:rPr>
              <w:t>万元以下的罚款；给当事人造成损失的，依法承担赔偿责任。</w:t>
            </w:r>
          </w:p>
          <w:p w14:paraId="35D37DD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第二十七条</w:t>
            </w:r>
            <w:r>
              <w:rPr>
                <w:color w:val="000000"/>
                <w:kern w:val="0"/>
                <w:sz w:val="18"/>
                <w:szCs w:val="18"/>
              </w:rPr>
              <w:t xml:space="preserve"> </w:t>
            </w:r>
            <w:r>
              <w:rPr>
                <w:rFonts w:hint="eastAsia"/>
                <w:color w:val="000000"/>
                <w:kern w:val="0"/>
                <w:sz w:val="18"/>
                <w:szCs w:val="18"/>
              </w:rPr>
              <w:t>房地产估价机构及执行房地产估价业务的估价人员与委托人或者估价业务相对人有利害关系的</w:t>
            </w:r>
            <w:r>
              <w:rPr>
                <w:color w:val="000000"/>
                <w:kern w:val="0"/>
                <w:sz w:val="18"/>
                <w:szCs w:val="18"/>
              </w:rPr>
              <w:t>,</w:t>
            </w:r>
            <w:r>
              <w:rPr>
                <w:rFonts w:hint="eastAsia"/>
                <w:color w:val="000000"/>
                <w:kern w:val="0"/>
                <w:sz w:val="18"/>
                <w:szCs w:val="18"/>
              </w:rPr>
              <w:t>应当回避。</w:t>
            </w:r>
          </w:p>
        </w:tc>
      </w:tr>
      <w:tr w14:paraId="3128ECED">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601C163">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color="auto" w:sz="4" w:space="0"/>
              <w:left w:val="nil"/>
              <w:bottom w:val="single" w:color="auto" w:sz="4" w:space="0"/>
              <w:right w:val="single" w:color="000000" w:sz="8" w:space="0"/>
            </w:tcBorders>
            <w:vAlign w:val="center"/>
          </w:tcPr>
          <w:p w14:paraId="068F22AC">
            <w:pPr>
              <w:spacing w:line="320" w:lineRule="exact"/>
              <w:jc w:val="left"/>
              <w:rPr>
                <w:color w:val="000000"/>
                <w:kern w:val="0"/>
                <w:sz w:val="18"/>
                <w:szCs w:val="18"/>
              </w:rPr>
            </w:pPr>
            <w:r>
              <w:rPr>
                <w:rFonts w:hint="eastAsia"/>
                <w:color w:val="000000"/>
                <w:kern w:val="0"/>
                <w:sz w:val="18"/>
                <w:szCs w:val="18"/>
              </w:rPr>
              <w:t>警告，罚款</w:t>
            </w:r>
          </w:p>
        </w:tc>
      </w:tr>
      <w:tr w14:paraId="36D71773">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610A17AE">
            <w:pPr>
              <w:spacing w:line="320" w:lineRule="exact"/>
              <w:jc w:val="center"/>
              <w:rPr>
                <w:color w:val="000000"/>
                <w:kern w:val="0"/>
                <w:sz w:val="18"/>
                <w:szCs w:val="18"/>
              </w:rPr>
            </w:pPr>
            <w:r>
              <w:rPr>
                <w:rFonts w:hint="eastAsia"/>
                <w:color w:val="000000"/>
                <w:kern w:val="0"/>
                <w:sz w:val="18"/>
                <w:szCs w:val="18"/>
              </w:rPr>
              <w:t>裁量基准</w:t>
            </w:r>
          </w:p>
        </w:tc>
      </w:tr>
      <w:tr w14:paraId="708940EA">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6AB73FBA">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color="auto" w:sz="4" w:space="0"/>
              <w:left w:val="nil"/>
              <w:right w:val="single" w:color="auto" w:sz="4" w:space="0"/>
            </w:tcBorders>
            <w:vAlign w:val="center"/>
          </w:tcPr>
          <w:p w14:paraId="0D9B93BD">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color="auto" w:sz="4" w:space="0"/>
              <w:left w:val="nil"/>
              <w:bottom w:val="single" w:color="auto" w:sz="4" w:space="0"/>
              <w:right w:val="single" w:color="auto" w:sz="4" w:space="0"/>
            </w:tcBorders>
            <w:vAlign w:val="center"/>
          </w:tcPr>
          <w:p w14:paraId="59EF0AE4">
            <w:pPr>
              <w:spacing w:line="320" w:lineRule="exact"/>
              <w:jc w:val="left"/>
              <w:rPr>
                <w:color w:val="000000"/>
                <w:kern w:val="0"/>
                <w:sz w:val="18"/>
                <w:szCs w:val="18"/>
              </w:rPr>
            </w:pPr>
            <w:r>
              <w:rPr>
                <w:rFonts w:hint="eastAsia"/>
                <w:color w:val="000000"/>
                <w:kern w:val="0"/>
                <w:sz w:val="18"/>
                <w:szCs w:val="18"/>
              </w:rPr>
              <w:t>执行房地产估价业务公平公正的</w:t>
            </w:r>
          </w:p>
        </w:tc>
        <w:tc>
          <w:tcPr>
            <w:tcW w:w="1060" w:type="dxa"/>
            <w:vMerge w:val="restart"/>
            <w:tcBorders>
              <w:top w:val="nil"/>
              <w:left w:val="single" w:color="auto" w:sz="4" w:space="0"/>
              <w:bottom w:val="single" w:color="auto" w:sz="4" w:space="0"/>
              <w:right w:val="single" w:color="auto" w:sz="4" w:space="0"/>
            </w:tcBorders>
            <w:vAlign w:val="center"/>
          </w:tcPr>
          <w:p w14:paraId="428FB8EA">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37AFB4A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元以下的罚款</w:t>
            </w:r>
          </w:p>
        </w:tc>
      </w:tr>
      <w:tr w14:paraId="10BF92EF">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9DF2F3E">
            <w:pPr>
              <w:spacing w:line="320" w:lineRule="exact"/>
              <w:jc w:val="center"/>
              <w:rPr>
                <w:color w:val="000000"/>
                <w:kern w:val="0"/>
                <w:sz w:val="18"/>
                <w:szCs w:val="18"/>
              </w:rPr>
            </w:pPr>
          </w:p>
        </w:tc>
        <w:tc>
          <w:tcPr>
            <w:tcW w:w="1658" w:type="dxa"/>
            <w:vMerge w:val="continue"/>
            <w:tcBorders>
              <w:left w:val="nil"/>
              <w:bottom w:val="single" w:color="auto" w:sz="4" w:space="0"/>
              <w:right w:val="single" w:color="auto" w:sz="4" w:space="0"/>
            </w:tcBorders>
            <w:vAlign w:val="center"/>
          </w:tcPr>
          <w:p w14:paraId="3160673B">
            <w:pPr>
              <w:spacing w:line="320" w:lineRule="exact"/>
              <w:jc w:val="left"/>
              <w:rPr>
                <w:color w:val="000000"/>
                <w:kern w:val="0"/>
                <w:sz w:val="18"/>
                <w:szCs w:val="18"/>
              </w:rPr>
            </w:pPr>
          </w:p>
        </w:tc>
        <w:tc>
          <w:tcPr>
            <w:tcW w:w="4482" w:type="dxa"/>
            <w:tcBorders>
              <w:top w:val="single" w:color="auto" w:sz="4" w:space="0"/>
              <w:left w:val="nil"/>
              <w:bottom w:val="single" w:color="auto" w:sz="4" w:space="0"/>
              <w:right w:val="single" w:color="auto" w:sz="4" w:space="0"/>
            </w:tcBorders>
            <w:vAlign w:val="center"/>
          </w:tcPr>
          <w:p w14:paraId="52EAEE24">
            <w:pPr>
              <w:spacing w:line="320" w:lineRule="exact"/>
              <w:jc w:val="left"/>
              <w:rPr>
                <w:color w:val="000000"/>
                <w:kern w:val="0"/>
                <w:sz w:val="18"/>
                <w:szCs w:val="18"/>
              </w:rPr>
            </w:pPr>
            <w:r>
              <w:rPr>
                <w:rFonts w:hint="eastAsia"/>
                <w:color w:val="000000"/>
                <w:kern w:val="0"/>
                <w:sz w:val="18"/>
                <w:szCs w:val="18"/>
              </w:rPr>
              <w:t>执行房地产估价业务有欠公平公正的</w:t>
            </w:r>
          </w:p>
        </w:tc>
        <w:tc>
          <w:tcPr>
            <w:tcW w:w="1060" w:type="dxa"/>
            <w:vMerge w:val="continue"/>
            <w:tcBorders>
              <w:top w:val="nil"/>
              <w:left w:val="single" w:color="auto" w:sz="4" w:space="0"/>
              <w:bottom w:val="single" w:color="auto" w:sz="4" w:space="0"/>
              <w:right w:val="single" w:color="auto" w:sz="4" w:space="0"/>
            </w:tcBorders>
            <w:vAlign w:val="center"/>
          </w:tcPr>
          <w:p w14:paraId="48017F57">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A57FB8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32F0E8C7">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E4E4D69">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030EB0B1">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val="continue"/>
            <w:tcBorders>
              <w:top w:val="nil"/>
              <w:left w:val="single" w:color="auto" w:sz="4" w:space="0"/>
              <w:bottom w:val="single" w:color="auto" w:sz="4" w:space="0"/>
              <w:right w:val="single" w:color="auto" w:sz="4" w:space="0"/>
            </w:tcBorders>
            <w:vAlign w:val="center"/>
          </w:tcPr>
          <w:p w14:paraId="384A6AA5">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8E4C4F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14:paraId="243D47E5"/>
    <w:p w14:paraId="16F74776"/>
    <w:p w14:paraId="69AC11C3"/>
    <w:p w14:paraId="4C0AD318"/>
    <w:p w14:paraId="4448FAE7"/>
    <w:p w14:paraId="48D1756C"/>
    <w:p w14:paraId="7ED9288E"/>
    <w:p w14:paraId="7F43E7BD"/>
    <w:p w14:paraId="6FBA2C24"/>
    <w:p w14:paraId="1E62E073"/>
    <w:p w14:paraId="0CA365A0"/>
    <w:tbl>
      <w:tblPr>
        <w:tblStyle w:val="15"/>
        <w:tblW w:w="0" w:type="auto"/>
        <w:tblInd w:w="88" w:type="dxa"/>
        <w:tblLayout w:type="fixed"/>
        <w:tblCellMar>
          <w:top w:w="0" w:type="dxa"/>
          <w:left w:w="108" w:type="dxa"/>
          <w:bottom w:w="0" w:type="dxa"/>
          <w:right w:w="108" w:type="dxa"/>
        </w:tblCellMar>
      </w:tblPr>
      <w:tblGrid>
        <w:gridCol w:w="1056"/>
        <w:gridCol w:w="2792"/>
        <w:gridCol w:w="3348"/>
        <w:gridCol w:w="1060"/>
        <w:gridCol w:w="5760"/>
      </w:tblGrid>
      <w:tr w14:paraId="5DB81799">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04A16430">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color="auto" w:sz="8" w:space="0"/>
              <w:left w:val="nil"/>
              <w:bottom w:val="single" w:color="auto" w:sz="4" w:space="0"/>
              <w:right w:val="single" w:color="000000" w:sz="8" w:space="0"/>
            </w:tcBorders>
            <w:vAlign w:val="center"/>
          </w:tcPr>
          <w:p w14:paraId="58C9BDDB">
            <w:pPr>
              <w:spacing w:line="320" w:lineRule="exact"/>
              <w:jc w:val="left"/>
              <w:rPr>
                <w:rFonts w:eastAsia="仿宋_GB2312"/>
                <w:b/>
                <w:bCs/>
                <w:color w:val="000000"/>
                <w:kern w:val="0"/>
                <w:sz w:val="18"/>
                <w:szCs w:val="18"/>
              </w:rPr>
            </w:pPr>
            <w:r>
              <w:rPr>
                <w:rFonts w:eastAsia="仿宋_GB2312"/>
                <w:b/>
                <w:bCs/>
                <w:color w:val="000000"/>
                <w:kern w:val="0"/>
                <w:sz w:val="18"/>
                <w:szCs w:val="18"/>
              </w:rPr>
              <w:t>320217362000</w:t>
            </w:r>
          </w:p>
        </w:tc>
      </w:tr>
      <w:tr w14:paraId="4B5027BB">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ABFFF2A">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color="auto" w:sz="4" w:space="0"/>
              <w:left w:val="nil"/>
              <w:bottom w:val="single" w:color="auto" w:sz="4" w:space="0"/>
              <w:right w:val="single" w:color="000000" w:sz="8" w:space="0"/>
            </w:tcBorders>
            <w:vAlign w:val="center"/>
          </w:tcPr>
          <w:p w14:paraId="502DDBE0">
            <w:pPr>
              <w:spacing w:line="320" w:lineRule="exact"/>
              <w:jc w:val="left"/>
              <w:rPr>
                <w:color w:val="000000"/>
                <w:kern w:val="0"/>
                <w:sz w:val="18"/>
                <w:szCs w:val="18"/>
              </w:rPr>
            </w:pPr>
            <w:r>
              <w:rPr>
                <w:rFonts w:hint="eastAsia"/>
                <w:color w:val="000000"/>
                <w:kern w:val="0"/>
                <w:sz w:val="18"/>
                <w:szCs w:val="18"/>
              </w:rPr>
              <w:t>对出租住房，没有以原设计的房间为最小出租单位的；人均居住建筑面积低于当地人民政府规定的最低标准的；厨房、卫生间、阳台、地下储藏间出租供人租住的；以上违法行为逾期不改正的处罚</w:t>
            </w:r>
          </w:p>
        </w:tc>
      </w:tr>
      <w:tr w14:paraId="2E811D8A">
        <w:tblPrEx>
          <w:tblCellMar>
            <w:top w:w="0" w:type="dxa"/>
            <w:left w:w="108" w:type="dxa"/>
            <w:bottom w:w="0" w:type="dxa"/>
            <w:right w:w="108" w:type="dxa"/>
          </w:tblCellMar>
        </w:tblPrEx>
        <w:trPr>
          <w:trHeight w:val="1335" w:hRule="atLeast"/>
        </w:trPr>
        <w:tc>
          <w:tcPr>
            <w:tcW w:w="1056" w:type="dxa"/>
            <w:tcBorders>
              <w:top w:val="nil"/>
              <w:left w:val="single" w:color="auto" w:sz="8" w:space="0"/>
              <w:bottom w:val="single" w:color="auto" w:sz="4" w:space="0"/>
              <w:right w:val="single" w:color="auto" w:sz="4" w:space="0"/>
            </w:tcBorders>
            <w:vAlign w:val="center"/>
          </w:tcPr>
          <w:p w14:paraId="380B7E72">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color="auto" w:sz="4" w:space="0"/>
              <w:left w:val="nil"/>
              <w:bottom w:val="single" w:color="auto" w:sz="4" w:space="0"/>
              <w:right w:val="single" w:color="000000" w:sz="8" w:space="0"/>
            </w:tcBorders>
            <w:vAlign w:val="center"/>
          </w:tcPr>
          <w:p w14:paraId="3859C37E">
            <w:pPr>
              <w:spacing w:line="320" w:lineRule="exact"/>
              <w:jc w:val="left"/>
              <w:rPr>
                <w:color w:val="000000"/>
                <w:kern w:val="0"/>
                <w:sz w:val="18"/>
                <w:szCs w:val="18"/>
              </w:rPr>
            </w:pPr>
            <w:r>
              <w:rPr>
                <w:rFonts w:hint="eastAsia"/>
                <w:color w:val="000000"/>
                <w:kern w:val="0"/>
                <w:sz w:val="18"/>
                <w:szCs w:val="18"/>
              </w:rPr>
              <w:t>【规章】《商品房屋租赁管理办法》（</w:t>
            </w:r>
            <w:r>
              <w:rPr>
                <w:color w:val="000000"/>
                <w:kern w:val="0"/>
                <w:sz w:val="18"/>
                <w:szCs w:val="18"/>
              </w:rPr>
              <w:t>2010</w:t>
            </w:r>
            <w:r>
              <w:rPr>
                <w:rFonts w:hint="eastAsia"/>
                <w:color w:val="000000"/>
                <w:kern w:val="0"/>
                <w:sz w:val="18"/>
                <w:szCs w:val="18"/>
              </w:rPr>
              <w:t>年住房和城乡建设部令第</w:t>
            </w:r>
            <w:r>
              <w:rPr>
                <w:color w:val="000000"/>
                <w:kern w:val="0"/>
                <w:sz w:val="18"/>
                <w:szCs w:val="18"/>
              </w:rPr>
              <w:t>6</w:t>
            </w:r>
            <w:r>
              <w:rPr>
                <w:rFonts w:hint="eastAsia"/>
                <w:color w:val="000000"/>
                <w:kern w:val="0"/>
                <w:sz w:val="18"/>
                <w:szCs w:val="18"/>
              </w:rPr>
              <w:t>号）</w:t>
            </w:r>
          </w:p>
          <w:p w14:paraId="62B228E7">
            <w:pPr>
              <w:spacing w:line="320" w:lineRule="exact"/>
              <w:jc w:val="left"/>
              <w:rPr>
                <w:color w:val="000000"/>
                <w:kern w:val="0"/>
                <w:sz w:val="18"/>
                <w:szCs w:val="18"/>
              </w:rPr>
            </w:pPr>
            <w:r>
              <w:rPr>
                <w:rFonts w:hint="eastAsia"/>
                <w:color w:val="000000"/>
                <w:kern w:val="0"/>
                <w:sz w:val="18"/>
                <w:szCs w:val="18"/>
              </w:rPr>
              <w:t>第八条　出租住房的，应当以原设计的房间为最小出租单位，人均租住建筑面积不得低于当地人民政府规定的最低标准。</w:t>
            </w:r>
          </w:p>
          <w:p w14:paraId="1708C3E3">
            <w:pPr>
              <w:spacing w:line="320" w:lineRule="exact"/>
              <w:jc w:val="left"/>
              <w:rPr>
                <w:color w:val="000000"/>
                <w:kern w:val="0"/>
                <w:sz w:val="18"/>
                <w:szCs w:val="18"/>
              </w:rPr>
            </w:pPr>
            <w:r>
              <w:rPr>
                <w:rFonts w:hint="eastAsia"/>
                <w:color w:val="000000"/>
                <w:kern w:val="0"/>
                <w:sz w:val="18"/>
                <w:szCs w:val="18"/>
              </w:rPr>
              <w:t>厨房、卫生间、阳台和地下储藏室不得出租供人员居住。</w:t>
            </w:r>
          </w:p>
          <w:p w14:paraId="52792678">
            <w:pPr>
              <w:spacing w:line="320" w:lineRule="exact"/>
              <w:jc w:val="left"/>
              <w:rPr>
                <w:color w:val="000000"/>
                <w:kern w:val="0"/>
                <w:sz w:val="18"/>
                <w:szCs w:val="18"/>
              </w:rPr>
            </w:pPr>
            <w:r>
              <w:rPr>
                <w:rFonts w:hint="eastAsia"/>
                <w:color w:val="000000"/>
                <w:kern w:val="0"/>
                <w:sz w:val="18"/>
                <w:szCs w:val="18"/>
              </w:rPr>
              <w:t>第二十二条　违反本办法第八条规定的，由直辖市、市、县人民政府建设（房地产）主管部门责令限期改正，逾期不改正的，可处以五千元以上三万元以下罚款。</w:t>
            </w:r>
          </w:p>
        </w:tc>
      </w:tr>
      <w:tr w14:paraId="2CABDF8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C6C49F9">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color="auto" w:sz="4" w:space="0"/>
              <w:left w:val="nil"/>
              <w:bottom w:val="single" w:color="auto" w:sz="4" w:space="0"/>
              <w:right w:val="single" w:color="000000" w:sz="8" w:space="0"/>
            </w:tcBorders>
            <w:vAlign w:val="center"/>
          </w:tcPr>
          <w:p w14:paraId="77175D14">
            <w:pPr>
              <w:spacing w:line="320" w:lineRule="exact"/>
              <w:jc w:val="left"/>
              <w:rPr>
                <w:color w:val="000000"/>
                <w:kern w:val="0"/>
                <w:sz w:val="18"/>
                <w:szCs w:val="18"/>
              </w:rPr>
            </w:pPr>
            <w:r>
              <w:rPr>
                <w:rFonts w:hint="eastAsia"/>
                <w:color w:val="000000"/>
                <w:kern w:val="0"/>
                <w:sz w:val="18"/>
                <w:szCs w:val="18"/>
              </w:rPr>
              <w:t>罚款</w:t>
            </w:r>
          </w:p>
        </w:tc>
      </w:tr>
      <w:tr w14:paraId="205A2CC9">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6B28D9B3">
            <w:pPr>
              <w:spacing w:line="320" w:lineRule="exact"/>
              <w:jc w:val="center"/>
              <w:rPr>
                <w:color w:val="000000"/>
                <w:kern w:val="0"/>
                <w:sz w:val="18"/>
                <w:szCs w:val="18"/>
              </w:rPr>
            </w:pPr>
            <w:r>
              <w:rPr>
                <w:rFonts w:hint="eastAsia"/>
                <w:color w:val="000000"/>
                <w:kern w:val="0"/>
                <w:sz w:val="18"/>
                <w:szCs w:val="18"/>
              </w:rPr>
              <w:t>裁量基准</w:t>
            </w:r>
          </w:p>
        </w:tc>
      </w:tr>
      <w:tr w14:paraId="7D1F6045">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5264A883">
            <w:pPr>
              <w:spacing w:line="320" w:lineRule="exact"/>
              <w:jc w:val="center"/>
              <w:rPr>
                <w:color w:val="000000"/>
                <w:kern w:val="0"/>
                <w:sz w:val="18"/>
                <w:szCs w:val="18"/>
              </w:rPr>
            </w:pPr>
            <w:r>
              <w:rPr>
                <w:rFonts w:hint="eastAsia"/>
                <w:color w:val="000000"/>
                <w:kern w:val="0"/>
                <w:sz w:val="18"/>
                <w:szCs w:val="18"/>
              </w:rPr>
              <w:t>情形描述</w:t>
            </w:r>
          </w:p>
        </w:tc>
        <w:tc>
          <w:tcPr>
            <w:tcW w:w="2792" w:type="dxa"/>
            <w:vMerge w:val="restart"/>
            <w:tcBorders>
              <w:top w:val="single" w:color="auto" w:sz="4" w:space="0"/>
              <w:left w:val="nil"/>
              <w:right w:val="single" w:color="auto" w:sz="4" w:space="0"/>
            </w:tcBorders>
            <w:vAlign w:val="center"/>
          </w:tcPr>
          <w:p w14:paraId="4E03CA22">
            <w:pPr>
              <w:spacing w:line="320" w:lineRule="exact"/>
              <w:jc w:val="left"/>
              <w:rPr>
                <w:color w:val="000000"/>
                <w:kern w:val="0"/>
                <w:sz w:val="18"/>
                <w:szCs w:val="18"/>
              </w:rPr>
            </w:pPr>
            <w:r>
              <w:rPr>
                <w:rFonts w:hint="eastAsia"/>
                <w:color w:val="000000"/>
                <w:kern w:val="0"/>
                <w:sz w:val="18"/>
                <w:szCs w:val="18"/>
              </w:rPr>
              <w:t>以原设计的房间为最小出租单位</w:t>
            </w:r>
          </w:p>
        </w:tc>
        <w:tc>
          <w:tcPr>
            <w:tcW w:w="3348" w:type="dxa"/>
            <w:tcBorders>
              <w:top w:val="single" w:color="auto" w:sz="4" w:space="0"/>
              <w:left w:val="nil"/>
              <w:bottom w:val="single" w:color="auto" w:sz="4" w:space="0"/>
              <w:right w:val="single" w:color="auto" w:sz="4" w:space="0"/>
            </w:tcBorders>
            <w:vAlign w:val="center"/>
          </w:tcPr>
          <w:p w14:paraId="47FED5CD">
            <w:pPr>
              <w:spacing w:line="320" w:lineRule="exact"/>
              <w:jc w:val="left"/>
              <w:rPr>
                <w:color w:val="000000"/>
                <w:kern w:val="0"/>
                <w:sz w:val="18"/>
                <w:szCs w:val="18"/>
              </w:rPr>
            </w:pPr>
            <w:r>
              <w:rPr>
                <w:rFonts w:hint="eastAsia"/>
                <w:color w:val="000000"/>
                <w:kern w:val="0"/>
                <w:sz w:val="18"/>
                <w:szCs w:val="18"/>
              </w:rPr>
              <w:t>人均租住建筑面积低于当地人民政府规定的最低标准但在最低标准</w:t>
            </w:r>
            <w:r>
              <w:rPr>
                <w:color w:val="000000"/>
                <w:kern w:val="0"/>
                <w:sz w:val="18"/>
                <w:szCs w:val="18"/>
              </w:rPr>
              <w:t>90%</w:t>
            </w:r>
            <w:r>
              <w:rPr>
                <w:rFonts w:hint="eastAsia"/>
                <w:color w:val="000000"/>
                <w:kern w:val="0"/>
                <w:sz w:val="18"/>
                <w:szCs w:val="18"/>
              </w:rPr>
              <w:t>以上的</w:t>
            </w:r>
          </w:p>
        </w:tc>
        <w:tc>
          <w:tcPr>
            <w:tcW w:w="1060" w:type="dxa"/>
            <w:vMerge w:val="restart"/>
            <w:tcBorders>
              <w:top w:val="nil"/>
              <w:left w:val="single" w:color="auto" w:sz="4" w:space="0"/>
              <w:bottom w:val="single" w:color="auto" w:sz="4" w:space="0"/>
              <w:right w:val="single" w:color="auto" w:sz="4" w:space="0"/>
            </w:tcBorders>
            <w:vAlign w:val="center"/>
          </w:tcPr>
          <w:p w14:paraId="713E23F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78E89A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14:paraId="5BCF771F">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7861A77">
            <w:pPr>
              <w:spacing w:line="320" w:lineRule="exact"/>
              <w:jc w:val="center"/>
              <w:rPr>
                <w:color w:val="000000"/>
                <w:kern w:val="0"/>
                <w:sz w:val="18"/>
                <w:szCs w:val="18"/>
              </w:rPr>
            </w:pPr>
          </w:p>
        </w:tc>
        <w:tc>
          <w:tcPr>
            <w:tcW w:w="2792" w:type="dxa"/>
            <w:vMerge w:val="continue"/>
            <w:tcBorders>
              <w:left w:val="nil"/>
              <w:bottom w:val="single" w:color="auto" w:sz="4" w:space="0"/>
              <w:right w:val="single" w:color="auto" w:sz="4" w:space="0"/>
            </w:tcBorders>
            <w:vAlign w:val="center"/>
          </w:tcPr>
          <w:p w14:paraId="1E97123F">
            <w:pPr>
              <w:spacing w:line="320" w:lineRule="exact"/>
              <w:jc w:val="left"/>
              <w:rPr>
                <w:color w:val="000000"/>
                <w:kern w:val="0"/>
                <w:sz w:val="18"/>
                <w:szCs w:val="18"/>
              </w:rPr>
            </w:pPr>
          </w:p>
        </w:tc>
        <w:tc>
          <w:tcPr>
            <w:tcW w:w="3348" w:type="dxa"/>
            <w:tcBorders>
              <w:top w:val="single" w:color="auto" w:sz="4" w:space="0"/>
              <w:left w:val="nil"/>
              <w:bottom w:val="single" w:color="auto" w:sz="4" w:space="0"/>
              <w:right w:val="single" w:color="auto" w:sz="4" w:space="0"/>
            </w:tcBorders>
            <w:vAlign w:val="center"/>
          </w:tcPr>
          <w:p w14:paraId="10AF76FD">
            <w:pPr>
              <w:spacing w:line="320" w:lineRule="exact"/>
              <w:jc w:val="left"/>
              <w:rPr>
                <w:color w:val="000000"/>
                <w:kern w:val="0"/>
                <w:sz w:val="18"/>
                <w:szCs w:val="18"/>
              </w:rPr>
            </w:pPr>
            <w:r>
              <w:rPr>
                <w:rFonts w:hint="eastAsia"/>
                <w:color w:val="000000"/>
                <w:kern w:val="0"/>
                <w:sz w:val="18"/>
                <w:szCs w:val="18"/>
              </w:rPr>
              <w:t>人均租住建筑面积低于当地人民政府规定的最低标准</w:t>
            </w:r>
            <w:r>
              <w:rPr>
                <w:color w:val="000000"/>
                <w:kern w:val="0"/>
                <w:sz w:val="18"/>
                <w:szCs w:val="18"/>
              </w:rPr>
              <w:t>90%</w:t>
            </w:r>
            <w:r>
              <w:rPr>
                <w:rFonts w:hint="eastAsia"/>
                <w:color w:val="000000"/>
                <w:kern w:val="0"/>
                <w:sz w:val="18"/>
                <w:szCs w:val="18"/>
              </w:rPr>
              <w:t>以下的</w:t>
            </w:r>
          </w:p>
        </w:tc>
        <w:tc>
          <w:tcPr>
            <w:tcW w:w="1060" w:type="dxa"/>
            <w:vMerge w:val="continue"/>
            <w:tcBorders>
              <w:top w:val="nil"/>
              <w:left w:val="single" w:color="auto" w:sz="4" w:space="0"/>
              <w:bottom w:val="single" w:color="auto" w:sz="4" w:space="0"/>
              <w:right w:val="single" w:color="auto" w:sz="4" w:space="0"/>
            </w:tcBorders>
            <w:vAlign w:val="center"/>
          </w:tcPr>
          <w:p w14:paraId="42EDE94A">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C114E4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785A84F5">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EF7D8AA">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5C3CF41E">
            <w:pPr>
              <w:spacing w:line="320" w:lineRule="exact"/>
              <w:jc w:val="left"/>
              <w:rPr>
                <w:color w:val="000000"/>
                <w:kern w:val="0"/>
                <w:sz w:val="18"/>
                <w:szCs w:val="18"/>
              </w:rPr>
            </w:pPr>
            <w:r>
              <w:rPr>
                <w:rFonts w:hint="eastAsia"/>
                <w:color w:val="000000"/>
                <w:kern w:val="0"/>
                <w:sz w:val="18"/>
                <w:szCs w:val="18"/>
              </w:rPr>
              <w:t>没有以原设计的房间为最小出租单位或者将厨房、卫生间、阳台、地下储藏间出租供人租住的</w:t>
            </w:r>
          </w:p>
        </w:tc>
        <w:tc>
          <w:tcPr>
            <w:tcW w:w="1060" w:type="dxa"/>
            <w:vMerge w:val="continue"/>
            <w:tcBorders>
              <w:top w:val="nil"/>
              <w:left w:val="single" w:color="auto" w:sz="4" w:space="0"/>
              <w:bottom w:val="single" w:color="auto" w:sz="4" w:space="0"/>
              <w:right w:val="single" w:color="auto" w:sz="4" w:space="0"/>
            </w:tcBorders>
            <w:vAlign w:val="center"/>
          </w:tcPr>
          <w:p w14:paraId="460A2EC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2E28B6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3560C9F4">
        <w:tblPrEx>
          <w:tblCellMar>
            <w:top w:w="0" w:type="dxa"/>
            <w:left w:w="108" w:type="dxa"/>
            <w:bottom w:w="0" w:type="dxa"/>
            <w:right w:w="108" w:type="dxa"/>
          </w:tblCellMar>
        </w:tblPrEx>
        <w:trPr>
          <w:trHeight w:val="540" w:hRule="atLeast"/>
        </w:trPr>
        <w:tc>
          <w:tcPr>
            <w:tcW w:w="1056" w:type="dxa"/>
            <w:vMerge w:val="continue"/>
            <w:tcBorders>
              <w:top w:val="nil"/>
              <w:left w:val="single" w:color="auto" w:sz="8" w:space="0"/>
              <w:bottom w:val="single" w:color="auto" w:sz="4" w:space="0"/>
              <w:right w:val="single" w:color="auto" w:sz="4" w:space="0"/>
            </w:tcBorders>
            <w:vAlign w:val="center"/>
          </w:tcPr>
          <w:p w14:paraId="4F30C95D">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3A4B23E2">
            <w:pPr>
              <w:spacing w:line="320" w:lineRule="exact"/>
              <w:jc w:val="left"/>
              <w:rPr>
                <w:color w:val="000000"/>
                <w:kern w:val="0"/>
                <w:sz w:val="18"/>
                <w:szCs w:val="18"/>
              </w:rPr>
            </w:pPr>
            <w:r>
              <w:rPr>
                <w:rFonts w:hint="eastAsia"/>
                <w:color w:val="000000"/>
                <w:kern w:val="0"/>
                <w:sz w:val="18"/>
                <w:szCs w:val="18"/>
              </w:rPr>
              <w:t>没有以原设计的房间为最小出租单位或者将厨房、卫生间、阳台、地下储藏间出租供人租住，且人均租住建筑面积低于当地人民政府规定的最低标准的</w:t>
            </w:r>
          </w:p>
        </w:tc>
        <w:tc>
          <w:tcPr>
            <w:tcW w:w="1060" w:type="dxa"/>
            <w:vMerge w:val="continue"/>
            <w:tcBorders>
              <w:top w:val="nil"/>
              <w:left w:val="single" w:color="auto" w:sz="4" w:space="0"/>
              <w:bottom w:val="single" w:color="auto" w:sz="4" w:space="0"/>
              <w:right w:val="single" w:color="auto" w:sz="4" w:space="0"/>
            </w:tcBorders>
            <w:vAlign w:val="center"/>
          </w:tcPr>
          <w:p w14:paraId="5144AB36">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6DC35A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E4F28DC"/>
    <w:p w14:paraId="5A126E79"/>
    <w:p w14:paraId="19986DE7"/>
    <w:p w14:paraId="4268F3D2"/>
    <w:p w14:paraId="55C74109"/>
    <w:tbl>
      <w:tblPr>
        <w:tblStyle w:val="15"/>
        <w:tblW w:w="0" w:type="auto"/>
        <w:tblInd w:w="88" w:type="dxa"/>
        <w:tblLayout w:type="fixed"/>
        <w:tblCellMar>
          <w:top w:w="0" w:type="dxa"/>
          <w:left w:w="108" w:type="dxa"/>
          <w:bottom w:w="0" w:type="dxa"/>
          <w:right w:w="108" w:type="dxa"/>
        </w:tblCellMar>
      </w:tblPr>
      <w:tblGrid>
        <w:gridCol w:w="1010"/>
        <w:gridCol w:w="6376"/>
        <w:gridCol w:w="1016"/>
        <w:gridCol w:w="5614"/>
      </w:tblGrid>
      <w:tr w14:paraId="63724136">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0701B3D">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5E1BE6E1">
            <w:pPr>
              <w:spacing w:line="320" w:lineRule="exact"/>
              <w:jc w:val="left"/>
              <w:rPr>
                <w:rFonts w:eastAsia="仿宋_GB2312"/>
                <w:b/>
                <w:bCs/>
                <w:color w:val="000000"/>
                <w:kern w:val="0"/>
                <w:sz w:val="18"/>
                <w:szCs w:val="18"/>
              </w:rPr>
            </w:pPr>
            <w:r>
              <w:rPr>
                <w:rFonts w:eastAsia="仿宋_GB2312"/>
                <w:b/>
                <w:bCs/>
                <w:color w:val="000000"/>
                <w:kern w:val="0"/>
                <w:sz w:val="18"/>
                <w:szCs w:val="18"/>
              </w:rPr>
              <w:t>320217364000</w:t>
            </w:r>
            <w:r>
              <w:rPr>
                <w:rFonts w:hint="eastAsia" w:eastAsia="仿宋_GB2312"/>
                <w:b/>
                <w:bCs/>
                <w:color w:val="000000"/>
                <w:kern w:val="0"/>
                <w:sz w:val="18"/>
                <w:szCs w:val="18"/>
              </w:rPr>
              <w:t xml:space="preserve"> </w:t>
            </w:r>
          </w:p>
        </w:tc>
      </w:tr>
      <w:tr w14:paraId="63C6A8A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1CF60D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0A79DAC8">
            <w:pPr>
              <w:spacing w:line="320" w:lineRule="exact"/>
              <w:jc w:val="left"/>
              <w:rPr>
                <w:color w:val="000000"/>
                <w:kern w:val="0"/>
                <w:sz w:val="18"/>
                <w:szCs w:val="18"/>
              </w:rPr>
            </w:pPr>
            <w:r>
              <w:rPr>
                <w:rFonts w:hint="eastAsia"/>
                <w:color w:val="000000"/>
                <w:kern w:val="0"/>
                <w:sz w:val="18"/>
                <w:szCs w:val="18"/>
              </w:rPr>
              <w:t>对停工场地不及时整理并作必要覆盖或者竣工后不及时清理、平整场地的处罚</w:t>
            </w:r>
          </w:p>
        </w:tc>
      </w:tr>
      <w:tr w14:paraId="015FAC32">
        <w:tblPrEx>
          <w:tblCellMar>
            <w:top w:w="0" w:type="dxa"/>
            <w:left w:w="108" w:type="dxa"/>
            <w:bottom w:w="0" w:type="dxa"/>
            <w:right w:w="108" w:type="dxa"/>
          </w:tblCellMar>
        </w:tblPrEx>
        <w:trPr>
          <w:trHeight w:val="1620" w:hRule="atLeast"/>
        </w:trPr>
        <w:tc>
          <w:tcPr>
            <w:tcW w:w="1010" w:type="dxa"/>
            <w:tcBorders>
              <w:top w:val="nil"/>
              <w:left w:val="single" w:color="auto" w:sz="8" w:space="0"/>
              <w:bottom w:val="single" w:color="auto" w:sz="4" w:space="0"/>
              <w:right w:val="single" w:color="auto" w:sz="4" w:space="0"/>
            </w:tcBorders>
            <w:vAlign w:val="center"/>
          </w:tcPr>
          <w:p w14:paraId="20814041">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7B067D89">
            <w:pPr>
              <w:spacing w:line="320" w:lineRule="exact"/>
              <w:jc w:val="left"/>
              <w:rPr>
                <w:color w:val="000000"/>
                <w:kern w:val="0"/>
                <w:sz w:val="18"/>
                <w:szCs w:val="18"/>
              </w:rPr>
            </w:pPr>
            <w:r>
              <w:rPr>
                <w:rFonts w:hint="eastAsia"/>
                <w:color w:val="000000"/>
                <w:kern w:val="0"/>
                <w:sz w:val="18"/>
                <w:szCs w:val="18"/>
              </w:rPr>
              <w:t>【行政法规】《城市市容和环境卫生管理条例》（国务院令1992年第101号）</w:t>
            </w:r>
          </w:p>
          <w:p w14:paraId="2AB8C0EF">
            <w:pPr>
              <w:spacing w:line="320" w:lineRule="exact"/>
              <w:jc w:val="left"/>
              <w:rPr>
                <w:color w:val="000000"/>
                <w:kern w:val="0"/>
                <w:sz w:val="18"/>
                <w:szCs w:val="18"/>
              </w:rPr>
            </w:pPr>
            <w:r>
              <w:rPr>
                <w:rFonts w:hint="eastAsia"/>
                <w:color w:val="000000"/>
                <w:kern w:val="0"/>
                <w:sz w:val="18"/>
                <w:szCs w:val="18"/>
              </w:rPr>
              <w:t xml:space="preserve">    第十六条　城市的工程施工现场的材料、机具应当堆放整齐，渣土应当及时清运；临街工地应当设置护栏或者围布遮挡；停工场地应当及时整理并作必要的覆盖；竣工后，应当及时清理和平整场地。</w:t>
            </w:r>
          </w:p>
          <w:p w14:paraId="1E2E2137">
            <w:pPr>
              <w:spacing w:line="320" w:lineRule="exact"/>
              <w:jc w:val="left"/>
              <w:rPr>
                <w:color w:val="000000"/>
                <w:kern w:val="0"/>
                <w:sz w:val="18"/>
                <w:szCs w:val="18"/>
              </w:rPr>
            </w:pPr>
            <w:r>
              <w:rPr>
                <w:rFonts w:hint="eastAsia"/>
                <w:color w:val="000000"/>
                <w:kern w:val="0"/>
                <w:sz w:val="18"/>
                <w:szCs w:val="18"/>
              </w:rPr>
              <w:t xml:space="preserve">    第三十四条　有下列行为之一者，城市人民政府市容环境卫生行政主管部门或者其委托的单位除责令其纠正违法行为、采取补救措施外，可以并处警告、罚款：</w:t>
            </w:r>
          </w:p>
          <w:p w14:paraId="2650B98C">
            <w:pPr>
              <w:spacing w:line="320" w:lineRule="exact"/>
              <w:jc w:val="left"/>
              <w:rPr>
                <w:color w:val="000000"/>
                <w:kern w:val="0"/>
                <w:sz w:val="18"/>
                <w:szCs w:val="18"/>
              </w:rPr>
            </w:pPr>
            <w:r>
              <w:rPr>
                <w:rFonts w:hint="eastAsia"/>
                <w:color w:val="000000"/>
                <w:kern w:val="0"/>
                <w:sz w:val="18"/>
                <w:szCs w:val="18"/>
              </w:rPr>
              <w:t>　 （七）临街工地不设置护栏或者不作遮挡、停工场地不及时整理并作必要覆盖或者竣工后不及时清理和平整场地，影响市容和环境卫生的。</w:t>
            </w:r>
          </w:p>
          <w:p w14:paraId="6D2ABD17">
            <w:pPr>
              <w:spacing w:line="320" w:lineRule="exact"/>
              <w:jc w:val="left"/>
              <w:rPr>
                <w:color w:val="000000"/>
                <w:kern w:val="0"/>
                <w:sz w:val="18"/>
                <w:szCs w:val="18"/>
              </w:rPr>
            </w:pPr>
            <w:r>
              <w:rPr>
                <w:rFonts w:hint="eastAsia"/>
                <w:color w:val="000000"/>
                <w:kern w:val="0"/>
                <w:sz w:val="18"/>
                <w:szCs w:val="18"/>
              </w:rPr>
              <w:t xml:space="preserve">【地方性法规】《江苏省城市市容和环境卫生管理条例》 </w:t>
            </w:r>
          </w:p>
          <w:p w14:paraId="47588676">
            <w:pPr>
              <w:spacing w:line="320" w:lineRule="exact"/>
              <w:jc w:val="left"/>
              <w:rPr>
                <w:color w:val="000000"/>
                <w:kern w:val="0"/>
                <w:sz w:val="18"/>
                <w:szCs w:val="18"/>
              </w:rPr>
            </w:pPr>
            <w:r>
              <w:rPr>
                <w:rFonts w:hint="eastAsia"/>
                <w:color w:val="000000"/>
                <w:kern w:val="0"/>
                <w:sz w:val="18"/>
                <w:szCs w:val="18"/>
              </w:rPr>
              <w:t xml:space="preserve">      第三十一条 施工现场应当按照规定设置喷淋雾化降尘设施、车辆冲洗设施以及临时厕所、垃圾收集设施设备等临时环境卫生设施。停工场地应当及时整理并作必要的覆盖。</w:t>
            </w:r>
          </w:p>
          <w:p w14:paraId="02504E66">
            <w:pPr>
              <w:spacing w:line="320" w:lineRule="exact"/>
              <w:jc w:val="left"/>
              <w:rPr>
                <w:color w:val="000000"/>
                <w:kern w:val="0"/>
                <w:sz w:val="18"/>
                <w:szCs w:val="18"/>
              </w:rPr>
            </w:pPr>
            <w:r>
              <w:rPr>
                <w:rFonts w:hint="eastAsia"/>
                <w:color w:val="000000"/>
                <w:kern w:val="0"/>
                <w:sz w:val="18"/>
                <w:szCs w:val="18"/>
              </w:rPr>
              <w:t xml:space="preserve">      施工期间应当及时清运建筑垃圾，采取措施防止扬尘和污水污染周围环境。驶出施工场地的车辆应当保持整洁。</w:t>
            </w:r>
          </w:p>
          <w:p w14:paraId="1F6AAF49">
            <w:pPr>
              <w:spacing w:line="320" w:lineRule="exact"/>
              <w:jc w:val="left"/>
              <w:rPr>
                <w:color w:val="000000"/>
                <w:kern w:val="0"/>
                <w:sz w:val="18"/>
                <w:szCs w:val="18"/>
              </w:rPr>
            </w:pPr>
            <w:r>
              <w:rPr>
                <w:rFonts w:hint="eastAsia"/>
                <w:color w:val="000000"/>
                <w:kern w:val="0"/>
                <w:sz w:val="18"/>
                <w:szCs w:val="18"/>
              </w:rPr>
              <w:t xml:space="preserve">       工程竣工后应当及时清理和平整场地，清除废弃物料，拆除临时环境卫生设施。</w:t>
            </w:r>
          </w:p>
          <w:p w14:paraId="44198F8E">
            <w:pPr>
              <w:spacing w:line="320" w:lineRule="exact"/>
              <w:jc w:val="left"/>
              <w:rPr>
                <w:color w:val="000000"/>
                <w:kern w:val="0"/>
                <w:sz w:val="18"/>
                <w:szCs w:val="18"/>
              </w:rPr>
            </w:pPr>
            <w:r>
              <w:rPr>
                <w:rFonts w:hint="eastAsia"/>
                <w:color w:val="000000"/>
                <w:kern w:val="0"/>
                <w:sz w:val="18"/>
                <w:szCs w:val="18"/>
              </w:rPr>
              <w:t xml:space="preserve">       第六十四条 违反本条例规定，有下列行为之一，影响环境卫生的，由设区的市、县（市、区）城市管理主管部门按照以下规定处理：</w:t>
            </w:r>
          </w:p>
          <w:p w14:paraId="664C1786">
            <w:pPr>
              <w:spacing w:line="320" w:lineRule="exact"/>
              <w:jc w:val="left"/>
              <w:rPr>
                <w:color w:val="000000"/>
                <w:kern w:val="0"/>
                <w:sz w:val="18"/>
                <w:szCs w:val="18"/>
              </w:rPr>
            </w:pPr>
            <w:r>
              <w:rPr>
                <w:rFonts w:hint="eastAsia"/>
                <w:color w:val="000000"/>
                <w:kern w:val="0"/>
                <w:sz w:val="18"/>
                <w:szCs w:val="18"/>
              </w:rPr>
              <w:t xml:space="preserve">      （四）停工场地不及时整理并作必要覆盖或者竣工后不及时清理、平整场地的，责令限期改正、采取补救措施；逾期不改正的，给予警告，可以处一千元以上一万元以下罚款。</w:t>
            </w:r>
          </w:p>
        </w:tc>
      </w:tr>
      <w:tr w14:paraId="00E2354B">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9EFF26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25E87263">
            <w:pPr>
              <w:spacing w:line="320" w:lineRule="exact"/>
              <w:jc w:val="left"/>
              <w:rPr>
                <w:color w:val="000000"/>
                <w:kern w:val="0"/>
                <w:sz w:val="18"/>
                <w:szCs w:val="18"/>
              </w:rPr>
            </w:pPr>
            <w:r>
              <w:rPr>
                <w:rFonts w:hint="eastAsia"/>
                <w:color w:val="000000"/>
                <w:kern w:val="0"/>
                <w:sz w:val="18"/>
                <w:szCs w:val="18"/>
              </w:rPr>
              <w:t>责令限期改正，警告，罚款</w:t>
            </w:r>
          </w:p>
        </w:tc>
      </w:tr>
      <w:tr w14:paraId="5415EED7">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2A0D04A">
            <w:pPr>
              <w:spacing w:line="320" w:lineRule="exact"/>
              <w:jc w:val="center"/>
              <w:rPr>
                <w:color w:val="000000"/>
                <w:kern w:val="0"/>
                <w:sz w:val="18"/>
                <w:szCs w:val="18"/>
              </w:rPr>
            </w:pPr>
            <w:r>
              <w:rPr>
                <w:rFonts w:hint="eastAsia"/>
                <w:color w:val="000000"/>
                <w:kern w:val="0"/>
                <w:sz w:val="18"/>
                <w:szCs w:val="18"/>
              </w:rPr>
              <w:t>裁量基准</w:t>
            </w:r>
          </w:p>
        </w:tc>
      </w:tr>
      <w:tr w14:paraId="1B56B377">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01D29A01">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7A4F8A76">
            <w:pPr>
              <w:spacing w:line="320" w:lineRule="exact"/>
              <w:jc w:val="left"/>
              <w:rPr>
                <w:color w:val="000000"/>
                <w:kern w:val="0"/>
                <w:sz w:val="18"/>
                <w:szCs w:val="18"/>
              </w:rPr>
            </w:pPr>
            <w:r>
              <w:rPr>
                <w:rFonts w:hint="eastAsia"/>
                <w:color w:val="000000"/>
                <w:kern w:val="0"/>
                <w:sz w:val="18"/>
                <w:szCs w:val="18"/>
              </w:rPr>
              <w:t>未造成环境污染的</w:t>
            </w:r>
          </w:p>
        </w:tc>
        <w:tc>
          <w:tcPr>
            <w:tcW w:w="1016" w:type="dxa"/>
            <w:vMerge w:val="restart"/>
            <w:tcBorders>
              <w:top w:val="nil"/>
              <w:left w:val="single" w:color="auto" w:sz="4" w:space="0"/>
              <w:bottom w:val="single" w:color="auto" w:sz="4" w:space="0"/>
              <w:right w:val="single" w:color="auto" w:sz="4" w:space="0"/>
            </w:tcBorders>
            <w:vAlign w:val="center"/>
          </w:tcPr>
          <w:p w14:paraId="60CF1C03">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337D510C">
            <w:pPr>
              <w:spacing w:line="320" w:lineRule="exact"/>
              <w:jc w:val="left"/>
              <w:rPr>
                <w:color w:val="000000"/>
                <w:kern w:val="0"/>
                <w:sz w:val="18"/>
                <w:szCs w:val="18"/>
              </w:rPr>
            </w:pPr>
            <w:r>
              <w:rPr>
                <w:color w:val="000000"/>
                <w:sz w:val="18"/>
                <w:szCs w:val="18"/>
              </w:rPr>
              <w:t xml:space="preserve"> </w:t>
            </w:r>
            <w:r>
              <w:rPr>
                <w:rFonts w:hint="eastAsia"/>
                <w:color w:val="000000"/>
                <w:sz w:val="18"/>
                <w:szCs w:val="18"/>
              </w:rPr>
              <w:t>处以1000元以上5000元以下罚款</w:t>
            </w:r>
          </w:p>
        </w:tc>
      </w:tr>
      <w:tr w14:paraId="52F4C7CD">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72C2ADC3">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7853B9D2">
            <w:pPr>
              <w:spacing w:line="320" w:lineRule="exact"/>
              <w:jc w:val="left"/>
              <w:rPr>
                <w:color w:val="000000"/>
                <w:kern w:val="0"/>
                <w:sz w:val="18"/>
                <w:szCs w:val="18"/>
              </w:rPr>
            </w:pPr>
            <w:r>
              <w:rPr>
                <w:rFonts w:hint="eastAsia"/>
                <w:color w:val="000000"/>
                <w:kern w:val="0"/>
                <w:sz w:val="18"/>
                <w:szCs w:val="18"/>
              </w:rPr>
              <w:t>造成环境污染的的</w:t>
            </w:r>
          </w:p>
        </w:tc>
        <w:tc>
          <w:tcPr>
            <w:tcW w:w="1016" w:type="dxa"/>
            <w:vMerge w:val="continue"/>
            <w:tcBorders>
              <w:top w:val="nil"/>
              <w:left w:val="single" w:color="auto" w:sz="4" w:space="0"/>
              <w:bottom w:val="single" w:color="auto" w:sz="4" w:space="0"/>
              <w:right w:val="single" w:color="auto" w:sz="4" w:space="0"/>
            </w:tcBorders>
            <w:vAlign w:val="center"/>
          </w:tcPr>
          <w:p w14:paraId="64AE07EC">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4782E2EC">
            <w:pPr>
              <w:spacing w:line="320" w:lineRule="exact"/>
              <w:jc w:val="left"/>
              <w:rPr>
                <w:color w:val="000000"/>
                <w:kern w:val="0"/>
                <w:sz w:val="18"/>
                <w:szCs w:val="18"/>
              </w:rPr>
            </w:pPr>
            <w:r>
              <w:rPr>
                <w:color w:val="000000"/>
                <w:sz w:val="18"/>
                <w:szCs w:val="18"/>
              </w:rPr>
              <w:t xml:space="preserve"> </w:t>
            </w:r>
            <w:r>
              <w:rPr>
                <w:rFonts w:hint="eastAsia"/>
                <w:color w:val="000000"/>
                <w:sz w:val="18"/>
                <w:szCs w:val="18"/>
              </w:rPr>
              <w:t>处以5000元以上10000元以下罚款</w:t>
            </w:r>
          </w:p>
        </w:tc>
      </w:tr>
    </w:tbl>
    <w:p w14:paraId="64C8E3D3"/>
    <w:p w14:paraId="12470A90"/>
    <w:p w14:paraId="001492A8"/>
    <w:p w14:paraId="3F64CA5A"/>
    <w:p w14:paraId="0CFE52F8"/>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54082FAB">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838177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6D33CD53">
            <w:pPr>
              <w:spacing w:line="320" w:lineRule="exact"/>
              <w:jc w:val="left"/>
              <w:rPr>
                <w:rFonts w:eastAsia="仿宋_GB2312"/>
                <w:b/>
                <w:bCs/>
                <w:color w:val="000000"/>
                <w:kern w:val="0"/>
                <w:sz w:val="18"/>
                <w:szCs w:val="18"/>
              </w:rPr>
            </w:pPr>
            <w:r>
              <w:rPr>
                <w:rFonts w:eastAsia="仿宋_GB2312"/>
                <w:b/>
                <w:bCs/>
                <w:color w:val="000000"/>
                <w:kern w:val="0"/>
                <w:sz w:val="18"/>
                <w:szCs w:val="18"/>
              </w:rPr>
              <w:t>320217365000</w:t>
            </w:r>
          </w:p>
        </w:tc>
      </w:tr>
      <w:tr w14:paraId="09F881E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C50BAC0">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color="auto" w:sz="4" w:space="0"/>
              <w:left w:val="nil"/>
              <w:bottom w:val="single" w:color="auto" w:sz="4" w:space="0"/>
              <w:right w:val="single" w:color="000000" w:sz="8" w:space="0"/>
            </w:tcBorders>
            <w:shd w:val="clear" w:color="auto" w:fill="auto"/>
            <w:vAlign w:val="center"/>
          </w:tcPr>
          <w:p w14:paraId="47122B18">
            <w:pPr>
              <w:spacing w:line="320" w:lineRule="exact"/>
              <w:jc w:val="left"/>
              <w:rPr>
                <w:color w:val="000000"/>
                <w:kern w:val="0"/>
                <w:sz w:val="18"/>
                <w:szCs w:val="18"/>
              </w:rPr>
            </w:pPr>
            <w:r>
              <w:rPr>
                <w:rFonts w:hint="eastAsia"/>
                <w:color w:val="000000"/>
                <w:kern w:val="0"/>
                <w:sz w:val="18"/>
                <w:szCs w:val="18"/>
              </w:rPr>
              <w:t>对新建、改建、扩建的饮用水供水工程项目未经建设行政主管部门设计审查和竣工验收而擅自建设并投入使用的处罚</w:t>
            </w:r>
          </w:p>
        </w:tc>
      </w:tr>
      <w:tr w14:paraId="50F5FAA2">
        <w:tblPrEx>
          <w:tblCellMar>
            <w:top w:w="0" w:type="dxa"/>
            <w:left w:w="108" w:type="dxa"/>
            <w:bottom w:w="0" w:type="dxa"/>
            <w:right w:w="108" w:type="dxa"/>
          </w:tblCellMar>
        </w:tblPrEx>
        <w:trPr>
          <w:trHeight w:val="2325" w:hRule="atLeast"/>
        </w:trPr>
        <w:tc>
          <w:tcPr>
            <w:tcW w:w="1010" w:type="dxa"/>
            <w:tcBorders>
              <w:top w:val="nil"/>
              <w:left w:val="single" w:color="auto" w:sz="8" w:space="0"/>
              <w:bottom w:val="single" w:color="auto" w:sz="4" w:space="0"/>
              <w:right w:val="single" w:color="auto" w:sz="4" w:space="0"/>
            </w:tcBorders>
            <w:vAlign w:val="center"/>
          </w:tcPr>
          <w:p w14:paraId="586D9B1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shd w:val="clear" w:color="auto" w:fill="auto"/>
            <w:vAlign w:val="center"/>
          </w:tcPr>
          <w:p w14:paraId="01576A1F">
            <w:pPr>
              <w:spacing w:line="320" w:lineRule="exact"/>
              <w:jc w:val="left"/>
              <w:rPr>
                <w:color w:val="000000"/>
                <w:kern w:val="0"/>
                <w:sz w:val="18"/>
                <w:szCs w:val="18"/>
              </w:rPr>
            </w:pPr>
            <w:r>
              <w:rPr>
                <w:rFonts w:hint="eastAsia"/>
                <w:color w:val="000000"/>
                <w:kern w:val="0"/>
                <w:sz w:val="18"/>
                <w:szCs w:val="18"/>
              </w:rPr>
              <w:t>【规章】《生活饮用水卫生监督管理办法》（建设部</w:t>
            </w:r>
            <w:r>
              <w:rPr>
                <w:color w:val="000000"/>
                <w:kern w:val="0"/>
                <w:sz w:val="18"/>
                <w:szCs w:val="18"/>
              </w:rPr>
              <w:t xml:space="preserve">  </w:t>
            </w:r>
            <w:r>
              <w:rPr>
                <w:rFonts w:hint="eastAsia"/>
                <w:color w:val="000000"/>
                <w:kern w:val="0"/>
                <w:sz w:val="18"/>
                <w:szCs w:val="18"/>
              </w:rPr>
              <w:t>卫生部令</w:t>
            </w:r>
            <w:r>
              <w:rPr>
                <w:color w:val="000000"/>
                <w:kern w:val="0"/>
                <w:sz w:val="18"/>
                <w:szCs w:val="18"/>
              </w:rPr>
              <w:t>1996</w:t>
            </w:r>
            <w:r>
              <w:rPr>
                <w:rFonts w:hint="eastAsia"/>
                <w:color w:val="000000"/>
                <w:kern w:val="0"/>
                <w:sz w:val="18"/>
                <w:szCs w:val="18"/>
              </w:rPr>
              <w:t>年第</w:t>
            </w:r>
            <w:r>
              <w:rPr>
                <w:color w:val="000000"/>
                <w:kern w:val="0"/>
                <w:sz w:val="18"/>
                <w:szCs w:val="18"/>
              </w:rPr>
              <w:t>53</w:t>
            </w:r>
            <w:r>
              <w:rPr>
                <w:rFonts w:hint="eastAsia"/>
                <w:color w:val="000000"/>
                <w:kern w:val="0"/>
                <w:sz w:val="18"/>
                <w:szCs w:val="18"/>
              </w:rPr>
              <w:t>号；</w:t>
            </w:r>
            <w:r>
              <w:rPr>
                <w:color w:val="000000"/>
                <w:kern w:val="0"/>
                <w:sz w:val="18"/>
                <w:szCs w:val="18"/>
              </w:rPr>
              <w:t>2016</w:t>
            </w:r>
            <w:r>
              <w:rPr>
                <w:rFonts w:hint="eastAsia"/>
                <w:color w:val="000000"/>
                <w:kern w:val="0"/>
                <w:sz w:val="18"/>
                <w:szCs w:val="18"/>
              </w:rPr>
              <w:t>年</w:t>
            </w:r>
            <w:r>
              <w:rPr>
                <w:color w:val="000000"/>
                <w:kern w:val="0"/>
                <w:sz w:val="18"/>
                <w:szCs w:val="18"/>
              </w:rPr>
              <w:t>4</w:t>
            </w:r>
            <w:r>
              <w:rPr>
                <w:rFonts w:hint="eastAsia"/>
                <w:color w:val="000000"/>
                <w:kern w:val="0"/>
                <w:sz w:val="18"/>
                <w:szCs w:val="18"/>
              </w:rPr>
              <w:t>月</w:t>
            </w:r>
            <w:r>
              <w:rPr>
                <w:color w:val="000000"/>
                <w:kern w:val="0"/>
                <w:sz w:val="18"/>
                <w:szCs w:val="18"/>
              </w:rPr>
              <w:t>27</w:t>
            </w:r>
            <w:r>
              <w:rPr>
                <w:rFonts w:hint="eastAsia"/>
                <w:color w:val="000000"/>
                <w:kern w:val="0"/>
                <w:sz w:val="18"/>
                <w:szCs w:val="18"/>
              </w:rPr>
              <w:t>日经《住房城乡建设部</w:t>
            </w:r>
            <w:r>
              <w:rPr>
                <w:color w:val="000000"/>
                <w:kern w:val="0"/>
                <w:sz w:val="18"/>
                <w:szCs w:val="18"/>
              </w:rPr>
              <w:t xml:space="preserve"> </w:t>
            </w:r>
            <w:r>
              <w:rPr>
                <w:rFonts w:hint="eastAsia"/>
                <w:color w:val="000000"/>
                <w:kern w:val="0"/>
                <w:sz w:val="18"/>
                <w:szCs w:val="18"/>
              </w:rPr>
              <w:t>国家卫生计生委关于修改〈生活饮用水卫生监督管理办法〉的决定》修改，自</w:t>
            </w:r>
            <w:r>
              <w:rPr>
                <w:color w:val="000000"/>
                <w:kern w:val="0"/>
                <w:sz w:val="18"/>
                <w:szCs w:val="18"/>
              </w:rPr>
              <w:t>2016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1</w:t>
            </w:r>
            <w:r>
              <w:rPr>
                <w:rFonts w:hint="eastAsia"/>
                <w:color w:val="000000"/>
                <w:kern w:val="0"/>
                <w:sz w:val="18"/>
                <w:szCs w:val="18"/>
              </w:rPr>
              <w:t>日施行）</w:t>
            </w:r>
            <w:r>
              <w:rPr>
                <w:color w:val="000000"/>
                <w:kern w:val="0"/>
                <w:sz w:val="18"/>
                <w:szCs w:val="18"/>
              </w:rPr>
              <w:br w:type="textWrapping"/>
            </w:r>
            <w:r>
              <w:rPr>
                <w:rFonts w:hint="eastAsia"/>
                <w:color w:val="000000"/>
                <w:kern w:val="0"/>
                <w:sz w:val="18"/>
                <w:szCs w:val="18"/>
              </w:rPr>
              <w:t>第八条　供水单位新建、改建、扩建的饮用水供水工程项目，应当符合卫生要求，选址和设计审查、竣工验收必须有住房城乡建设、卫生计生主管部门参加。</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新建、改建、扩建的城市公共饮用水供水工程项目由住房城乡建设主管部门负责组织选址、设计审查和竣工验收，卫生计生主管部门参加。</w:t>
            </w:r>
            <w:r>
              <w:rPr>
                <w:color w:val="000000"/>
                <w:kern w:val="0"/>
                <w:sz w:val="18"/>
                <w:szCs w:val="18"/>
              </w:rPr>
              <w:br w:type="textWrapping"/>
            </w:r>
            <w:r>
              <w:rPr>
                <w:rFonts w:hint="eastAsia"/>
                <w:color w:val="000000"/>
                <w:kern w:val="0"/>
                <w:sz w:val="18"/>
                <w:szCs w:val="18"/>
              </w:rPr>
              <w:t>第二十八条　城市自来水供水企业和自建设施对外供水的企业，有下列行为之一的，由住房城乡建设主管部门责令限期改进，并可处以违法所得</w:t>
            </w:r>
            <w:r>
              <w:rPr>
                <w:color w:val="000000"/>
                <w:kern w:val="0"/>
                <w:sz w:val="18"/>
                <w:szCs w:val="18"/>
              </w:rPr>
              <w:t>3</w:t>
            </w:r>
            <w:r>
              <w:rPr>
                <w:rFonts w:hint="eastAsia"/>
                <w:color w:val="000000"/>
                <w:kern w:val="0"/>
                <w:sz w:val="18"/>
                <w:szCs w:val="18"/>
              </w:rPr>
              <w:t>倍以下的罚款，但最高不超过</w:t>
            </w:r>
            <w:r>
              <w:rPr>
                <w:color w:val="000000"/>
                <w:kern w:val="0"/>
                <w:sz w:val="18"/>
                <w:szCs w:val="18"/>
              </w:rPr>
              <w:t>30000</w:t>
            </w:r>
            <w:r>
              <w:rPr>
                <w:rFonts w:hint="eastAsia"/>
                <w:color w:val="000000"/>
                <w:kern w:val="0"/>
                <w:sz w:val="18"/>
                <w:szCs w:val="18"/>
              </w:rPr>
              <w:t>元，没有违法所得的可处以</w:t>
            </w:r>
            <w:r>
              <w:rPr>
                <w:color w:val="000000"/>
                <w:kern w:val="0"/>
                <w:sz w:val="18"/>
                <w:szCs w:val="18"/>
              </w:rPr>
              <w:t>10000</w:t>
            </w:r>
            <w:r>
              <w:rPr>
                <w:rFonts w:hint="eastAsia"/>
                <w:color w:val="000000"/>
                <w:kern w:val="0"/>
                <w:sz w:val="18"/>
                <w:szCs w:val="18"/>
              </w:rPr>
              <w:t>元以下罚款：</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（一）新建、改建、扩建的饮用水供水工程项目未经住房城乡建设主管部门设计审查和竣工验收而擅自建设并投入使用的。</w:t>
            </w:r>
          </w:p>
        </w:tc>
      </w:tr>
      <w:tr w14:paraId="0DB574C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1A7AD2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18A9A58">
            <w:pPr>
              <w:spacing w:line="320" w:lineRule="exact"/>
              <w:jc w:val="left"/>
              <w:rPr>
                <w:color w:val="000000"/>
                <w:kern w:val="0"/>
                <w:sz w:val="18"/>
                <w:szCs w:val="18"/>
              </w:rPr>
            </w:pPr>
            <w:r>
              <w:rPr>
                <w:rFonts w:hint="eastAsia"/>
                <w:color w:val="000000"/>
                <w:kern w:val="0"/>
                <w:sz w:val="18"/>
                <w:szCs w:val="18"/>
              </w:rPr>
              <w:t>罚款</w:t>
            </w:r>
          </w:p>
        </w:tc>
      </w:tr>
      <w:tr w14:paraId="2CA59050">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9FEC579">
            <w:pPr>
              <w:spacing w:line="320" w:lineRule="exact"/>
              <w:jc w:val="center"/>
              <w:rPr>
                <w:color w:val="000000"/>
                <w:kern w:val="0"/>
                <w:sz w:val="18"/>
                <w:szCs w:val="18"/>
              </w:rPr>
            </w:pPr>
            <w:r>
              <w:rPr>
                <w:rFonts w:hint="eastAsia"/>
                <w:color w:val="000000"/>
                <w:kern w:val="0"/>
                <w:sz w:val="18"/>
                <w:szCs w:val="18"/>
              </w:rPr>
              <w:t>裁量基准</w:t>
            </w:r>
          </w:p>
        </w:tc>
      </w:tr>
      <w:tr w14:paraId="796FB727">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4F2F2FE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1F94BA4">
            <w:pPr>
              <w:spacing w:line="320" w:lineRule="exact"/>
              <w:jc w:val="left"/>
              <w:rPr>
                <w:color w:val="000000"/>
                <w:kern w:val="0"/>
                <w:sz w:val="18"/>
                <w:szCs w:val="18"/>
              </w:rPr>
            </w:pPr>
            <w:r>
              <w:rPr>
                <w:rFonts w:hint="eastAsia"/>
                <w:color w:val="000000"/>
                <w:kern w:val="0"/>
                <w:sz w:val="18"/>
                <w:szCs w:val="18"/>
              </w:rPr>
              <w:t>经过设计审查，但未经竣工验收，且无违法所得的</w:t>
            </w:r>
          </w:p>
        </w:tc>
        <w:tc>
          <w:tcPr>
            <w:tcW w:w="1000" w:type="dxa"/>
            <w:vMerge w:val="restart"/>
            <w:tcBorders>
              <w:top w:val="nil"/>
              <w:left w:val="single" w:color="auto" w:sz="4" w:space="0"/>
              <w:bottom w:val="single" w:color="auto" w:sz="4" w:space="0"/>
              <w:right w:val="single" w:color="auto" w:sz="4" w:space="0"/>
            </w:tcBorders>
            <w:vAlign w:val="center"/>
          </w:tcPr>
          <w:p w14:paraId="74EAF26E">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0841047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577954AC">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1210964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2FF4CDB">
            <w:pPr>
              <w:spacing w:line="320" w:lineRule="exact"/>
              <w:jc w:val="left"/>
              <w:rPr>
                <w:color w:val="000000"/>
                <w:kern w:val="0"/>
                <w:sz w:val="18"/>
                <w:szCs w:val="18"/>
              </w:rPr>
            </w:pPr>
            <w:r>
              <w:rPr>
                <w:rFonts w:hint="eastAsia"/>
                <w:color w:val="000000"/>
                <w:kern w:val="0"/>
                <w:sz w:val="18"/>
                <w:szCs w:val="18"/>
              </w:rPr>
              <w:t>未经设计审查和竣工验收，且无违法所得的</w:t>
            </w:r>
          </w:p>
        </w:tc>
        <w:tc>
          <w:tcPr>
            <w:tcW w:w="1000" w:type="dxa"/>
            <w:vMerge w:val="continue"/>
            <w:tcBorders>
              <w:top w:val="nil"/>
              <w:left w:val="single" w:color="auto" w:sz="4" w:space="0"/>
              <w:bottom w:val="single" w:color="auto" w:sz="4" w:space="0"/>
              <w:right w:val="single" w:color="auto" w:sz="4" w:space="0"/>
            </w:tcBorders>
            <w:vAlign w:val="center"/>
          </w:tcPr>
          <w:p w14:paraId="6F349337">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441A286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50C45654">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764C66F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58DDDCA">
            <w:pPr>
              <w:spacing w:line="320" w:lineRule="exact"/>
              <w:jc w:val="left"/>
              <w:rPr>
                <w:color w:val="000000"/>
                <w:kern w:val="0"/>
                <w:sz w:val="18"/>
                <w:szCs w:val="18"/>
              </w:rPr>
            </w:pPr>
            <w:r>
              <w:rPr>
                <w:rFonts w:hint="eastAsia"/>
                <w:color w:val="000000"/>
                <w:kern w:val="0"/>
                <w:sz w:val="18"/>
                <w:szCs w:val="18"/>
              </w:rPr>
              <w:t>经过设计审查，但未经竣工验收，且有违法所得的</w:t>
            </w:r>
          </w:p>
        </w:tc>
        <w:tc>
          <w:tcPr>
            <w:tcW w:w="1000" w:type="dxa"/>
            <w:vMerge w:val="continue"/>
            <w:tcBorders>
              <w:top w:val="nil"/>
              <w:left w:val="single" w:color="auto" w:sz="4" w:space="0"/>
              <w:bottom w:val="single" w:color="auto" w:sz="4" w:space="0"/>
              <w:right w:val="single" w:color="auto" w:sz="4" w:space="0"/>
            </w:tcBorders>
            <w:vAlign w:val="center"/>
          </w:tcPr>
          <w:p w14:paraId="6969F124">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0544E99">
            <w:pPr>
              <w:spacing w:line="320" w:lineRule="exact"/>
              <w:jc w:val="left"/>
              <w:rPr>
                <w:color w:val="000000"/>
                <w:kern w:val="0"/>
                <w:sz w:val="18"/>
                <w:szCs w:val="18"/>
              </w:rPr>
            </w:pPr>
            <w:r>
              <w:rPr>
                <w:rFonts w:hint="eastAsia"/>
                <w:color w:val="000000"/>
                <w:kern w:val="0"/>
                <w:sz w:val="18"/>
                <w:szCs w:val="18"/>
              </w:rPr>
              <w:t>处违法所得一倍以下且不超过</w:t>
            </w:r>
            <w:r>
              <w:rPr>
                <w:color w:val="000000"/>
                <w:kern w:val="0"/>
                <w:sz w:val="18"/>
                <w:szCs w:val="18"/>
              </w:rPr>
              <w:t>1</w:t>
            </w:r>
            <w:r>
              <w:rPr>
                <w:rFonts w:hint="eastAsia"/>
                <w:color w:val="000000"/>
                <w:kern w:val="0"/>
                <w:sz w:val="18"/>
                <w:szCs w:val="18"/>
              </w:rPr>
              <w:t>万元罚款</w:t>
            </w:r>
          </w:p>
        </w:tc>
      </w:tr>
      <w:tr w14:paraId="0295D688">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25EF76F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58449BF">
            <w:pPr>
              <w:spacing w:line="320" w:lineRule="exact"/>
              <w:jc w:val="left"/>
              <w:rPr>
                <w:color w:val="000000"/>
                <w:kern w:val="0"/>
                <w:sz w:val="18"/>
                <w:szCs w:val="18"/>
              </w:rPr>
            </w:pPr>
            <w:r>
              <w:rPr>
                <w:rFonts w:hint="eastAsia"/>
                <w:color w:val="000000"/>
                <w:kern w:val="0"/>
                <w:sz w:val="18"/>
                <w:szCs w:val="18"/>
              </w:rPr>
              <w:t>未经设计审查和竣工验收，且有违法所得的</w:t>
            </w:r>
          </w:p>
        </w:tc>
        <w:tc>
          <w:tcPr>
            <w:tcW w:w="1000" w:type="dxa"/>
            <w:vMerge w:val="continue"/>
            <w:tcBorders>
              <w:top w:val="nil"/>
              <w:left w:val="single" w:color="auto" w:sz="4" w:space="0"/>
              <w:bottom w:val="single" w:color="auto" w:sz="4" w:space="0"/>
              <w:right w:val="single" w:color="auto" w:sz="4" w:space="0"/>
            </w:tcBorders>
            <w:vAlign w:val="center"/>
          </w:tcPr>
          <w:p w14:paraId="1D3003BA">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4E077FB0">
            <w:pPr>
              <w:spacing w:line="320" w:lineRule="exact"/>
              <w:jc w:val="left"/>
              <w:rPr>
                <w:color w:val="000000"/>
                <w:kern w:val="0"/>
                <w:sz w:val="18"/>
                <w:szCs w:val="18"/>
              </w:rPr>
            </w:pPr>
            <w:r>
              <w:rPr>
                <w:rFonts w:hint="eastAsia"/>
                <w:color w:val="000000"/>
                <w:kern w:val="0"/>
                <w:sz w:val="18"/>
                <w:szCs w:val="18"/>
              </w:rPr>
              <w:t>处违法所得一倍以上三倍以下且不超过</w:t>
            </w:r>
            <w:r>
              <w:rPr>
                <w:color w:val="000000"/>
                <w:kern w:val="0"/>
                <w:sz w:val="18"/>
                <w:szCs w:val="18"/>
              </w:rPr>
              <w:t>3</w:t>
            </w:r>
            <w:r>
              <w:rPr>
                <w:rFonts w:hint="eastAsia"/>
                <w:color w:val="000000"/>
                <w:kern w:val="0"/>
                <w:sz w:val="18"/>
                <w:szCs w:val="18"/>
              </w:rPr>
              <w:t>万元罚款</w:t>
            </w:r>
          </w:p>
        </w:tc>
      </w:tr>
    </w:tbl>
    <w:p w14:paraId="33548FB5"/>
    <w:p w14:paraId="2400C34F"/>
    <w:p w14:paraId="5916962B"/>
    <w:p w14:paraId="67FC3F6C"/>
    <w:p w14:paraId="4D42933F"/>
    <w:p w14:paraId="2E767CB8"/>
    <w:p w14:paraId="10582117"/>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6F2A31A6">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271398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1BAD9DA1">
            <w:pPr>
              <w:jc w:val="left"/>
              <w:textAlignment w:val="center"/>
              <w:rPr>
                <w:rFonts w:eastAsia="仿宋_GB2312"/>
                <w:b/>
                <w:color w:val="000000"/>
                <w:sz w:val="20"/>
              </w:rPr>
            </w:pPr>
            <w:r>
              <w:rPr>
                <w:rFonts w:eastAsia="仿宋_GB2312"/>
                <w:b/>
                <w:color w:val="000000"/>
                <w:kern w:val="0"/>
                <w:sz w:val="20"/>
              </w:rPr>
              <w:t>320217366000</w:t>
            </w:r>
          </w:p>
        </w:tc>
      </w:tr>
      <w:tr w14:paraId="7448DE7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02F4994">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color="auto" w:sz="4" w:space="0"/>
              <w:left w:val="nil"/>
              <w:bottom w:val="single" w:color="auto" w:sz="4" w:space="0"/>
              <w:right w:val="single" w:color="000000" w:sz="8" w:space="0"/>
            </w:tcBorders>
            <w:vAlign w:val="center"/>
          </w:tcPr>
          <w:p w14:paraId="6E5C1E2C">
            <w:pPr>
              <w:spacing w:line="320" w:lineRule="exact"/>
              <w:jc w:val="left"/>
              <w:rPr>
                <w:color w:val="000000"/>
                <w:kern w:val="0"/>
                <w:sz w:val="18"/>
                <w:szCs w:val="18"/>
              </w:rPr>
            </w:pPr>
            <w:r>
              <w:rPr>
                <w:rFonts w:hint="eastAsia"/>
                <w:color w:val="000000"/>
                <w:kern w:val="0"/>
                <w:sz w:val="18"/>
                <w:szCs w:val="18"/>
              </w:rPr>
              <w:t>对供水单位未按照规定对供水设施进行清洗、消毒的处罚</w:t>
            </w:r>
          </w:p>
        </w:tc>
      </w:tr>
      <w:tr w14:paraId="38C4D2B9">
        <w:tblPrEx>
          <w:tblCellMar>
            <w:top w:w="0" w:type="dxa"/>
            <w:left w:w="108" w:type="dxa"/>
            <w:bottom w:w="0" w:type="dxa"/>
            <w:right w:w="108" w:type="dxa"/>
          </w:tblCellMar>
        </w:tblPrEx>
        <w:trPr>
          <w:trHeight w:val="2325" w:hRule="atLeast"/>
        </w:trPr>
        <w:tc>
          <w:tcPr>
            <w:tcW w:w="1010" w:type="dxa"/>
            <w:tcBorders>
              <w:top w:val="nil"/>
              <w:left w:val="single" w:color="auto" w:sz="8" w:space="0"/>
              <w:bottom w:val="single" w:color="auto" w:sz="4" w:space="0"/>
              <w:right w:val="single" w:color="auto" w:sz="4" w:space="0"/>
            </w:tcBorders>
            <w:vAlign w:val="center"/>
          </w:tcPr>
          <w:p w14:paraId="2FF08AA2">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3F30BB5F">
            <w:pPr>
              <w:spacing w:line="320" w:lineRule="exact"/>
              <w:jc w:val="left"/>
              <w:rPr>
                <w:color w:val="000000"/>
                <w:kern w:val="0"/>
                <w:sz w:val="18"/>
                <w:szCs w:val="18"/>
              </w:rPr>
            </w:pPr>
          </w:p>
          <w:p w14:paraId="690434F6">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3AE01DCE">
            <w:pPr>
              <w:spacing w:line="320" w:lineRule="exact"/>
              <w:jc w:val="left"/>
              <w:rPr>
                <w:color w:val="000000"/>
                <w:kern w:val="0"/>
                <w:sz w:val="18"/>
                <w:szCs w:val="18"/>
              </w:rPr>
            </w:pPr>
            <w:r>
              <w:rPr>
                <w:rFonts w:hint="eastAsia"/>
                <w:color w:val="000000"/>
                <w:kern w:val="0"/>
                <w:sz w:val="18"/>
                <w:szCs w:val="18"/>
              </w:rPr>
              <w:t xml:space="preserve">        第二十三条 用于城乡供水的新设备、新管网或者经改造的原有设备、管网，应当进行清洗、消毒，经具备法定资质的水质检测机构检验水质合格后，方可投入使用。</w:t>
            </w:r>
          </w:p>
          <w:p w14:paraId="212EE0BB">
            <w:pPr>
              <w:spacing w:line="320" w:lineRule="exact"/>
              <w:jc w:val="left"/>
              <w:rPr>
                <w:color w:val="000000"/>
                <w:kern w:val="0"/>
                <w:sz w:val="18"/>
                <w:szCs w:val="18"/>
              </w:rPr>
            </w:pPr>
            <w:r>
              <w:rPr>
                <w:rFonts w:hint="eastAsia"/>
                <w:color w:val="000000"/>
                <w:kern w:val="0"/>
                <w:sz w:val="18"/>
                <w:szCs w:val="18"/>
              </w:rPr>
              <w:t xml:space="preserve">        第三十三条 供水单位应当使用符合国家和省有关标准的净水剂、消毒剂等涉及饮用水卫生安全的产品，并按照卫生规范要求定期对供水设施进行清洗、消毒。</w:t>
            </w:r>
          </w:p>
          <w:p w14:paraId="6AB657A4">
            <w:pPr>
              <w:spacing w:line="320" w:lineRule="exact"/>
              <w:jc w:val="left"/>
              <w:rPr>
                <w:color w:val="000000"/>
                <w:kern w:val="0"/>
                <w:sz w:val="18"/>
                <w:szCs w:val="18"/>
              </w:rPr>
            </w:pPr>
            <w:r>
              <w:rPr>
                <w:rFonts w:hint="eastAsia"/>
                <w:color w:val="000000"/>
                <w:kern w:val="0"/>
                <w:sz w:val="18"/>
                <w:szCs w:val="18"/>
              </w:rPr>
              <w:t xml:space="preserve">        第五十条   违反本条例规定，供水单位有下列行为之一的，由城乡供水主管部门责令改正，并可以处以三万元以上十万元以下罚款，对直接负责的主管人员和其他直接责任人员，依法给予处分：</w:t>
            </w:r>
          </w:p>
          <w:p w14:paraId="73003D6C">
            <w:pPr>
              <w:spacing w:line="320" w:lineRule="exact"/>
              <w:jc w:val="left"/>
              <w:rPr>
                <w:color w:val="000000"/>
                <w:kern w:val="0"/>
                <w:sz w:val="18"/>
                <w:szCs w:val="18"/>
              </w:rPr>
            </w:pPr>
            <w:r>
              <w:rPr>
                <w:rFonts w:hint="eastAsia"/>
                <w:color w:val="000000"/>
                <w:kern w:val="0"/>
                <w:sz w:val="18"/>
                <w:szCs w:val="18"/>
              </w:rPr>
              <w:t xml:space="preserve">      （三）未按照规定对供水设施进行清洗、消毒的；</w:t>
            </w:r>
            <w:r>
              <w:rPr>
                <w:color w:val="000000"/>
                <w:kern w:val="0"/>
                <w:sz w:val="18"/>
                <w:szCs w:val="18"/>
              </w:rPr>
              <w:t xml:space="preserve"> </w:t>
            </w:r>
          </w:p>
        </w:tc>
      </w:tr>
      <w:tr w14:paraId="5FD6A86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7C9F17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F1AD1FF">
            <w:pPr>
              <w:spacing w:line="320" w:lineRule="exact"/>
              <w:jc w:val="left"/>
              <w:rPr>
                <w:color w:val="000000"/>
                <w:kern w:val="0"/>
                <w:sz w:val="18"/>
                <w:szCs w:val="18"/>
              </w:rPr>
            </w:pPr>
            <w:r>
              <w:rPr>
                <w:rFonts w:hint="eastAsia"/>
                <w:color w:val="000000"/>
                <w:kern w:val="0"/>
                <w:sz w:val="18"/>
                <w:szCs w:val="18"/>
              </w:rPr>
              <w:t>罚款</w:t>
            </w:r>
          </w:p>
        </w:tc>
      </w:tr>
      <w:tr w14:paraId="7748CA54">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A17C4AB">
            <w:pPr>
              <w:spacing w:line="320" w:lineRule="exact"/>
              <w:jc w:val="center"/>
              <w:rPr>
                <w:color w:val="000000"/>
                <w:kern w:val="0"/>
                <w:sz w:val="18"/>
                <w:szCs w:val="18"/>
              </w:rPr>
            </w:pPr>
            <w:r>
              <w:rPr>
                <w:rFonts w:hint="eastAsia"/>
                <w:color w:val="000000"/>
                <w:kern w:val="0"/>
                <w:sz w:val="18"/>
                <w:szCs w:val="18"/>
              </w:rPr>
              <w:t>裁量基准</w:t>
            </w:r>
          </w:p>
        </w:tc>
      </w:tr>
      <w:tr w14:paraId="3BCB2C2D">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0728305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19EFB97">
            <w:pPr>
              <w:spacing w:line="320" w:lineRule="exact"/>
              <w:jc w:val="left"/>
              <w:rPr>
                <w:color w:val="000000"/>
                <w:kern w:val="0"/>
                <w:sz w:val="18"/>
                <w:szCs w:val="18"/>
              </w:rPr>
            </w:pPr>
            <w:r>
              <w:rPr>
                <w:rFonts w:hint="eastAsia"/>
                <w:color w:val="000000"/>
                <w:kern w:val="0"/>
                <w:sz w:val="18"/>
                <w:szCs w:val="18"/>
              </w:rPr>
              <w:t>按照要求改正，且未造成不良影响的</w:t>
            </w:r>
          </w:p>
        </w:tc>
        <w:tc>
          <w:tcPr>
            <w:tcW w:w="1000" w:type="dxa"/>
            <w:vMerge w:val="restart"/>
            <w:tcBorders>
              <w:top w:val="nil"/>
              <w:left w:val="single" w:color="auto" w:sz="4" w:space="0"/>
              <w:bottom w:val="single" w:color="auto" w:sz="4" w:space="0"/>
              <w:right w:val="single" w:color="auto" w:sz="4" w:space="0"/>
            </w:tcBorders>
            <w:vAlign w:val="center"/>
          </w:tcPr>
          <w:p w14:paraId="28D1AAC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3096C37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4991FEFA">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7463C4D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EB2FF25">
            <w:pPr>
              <w:spacing w:line="320" w:lineRule="exact"/>
              <w:jc w:val="left"/>
              <w:rPr>
                <w:color w:val="000000"/>
                <w:kern w:val="0"/>
                <w:sz w:val="18"/>
                <w:szCs w:val="18"/>
              </w:rPr>
            </w:pPr>
            <w:r>
              <w:rPr>
                <w:rFonts w:hint="eastAsia"/>
                <w:color w:val="000000"/>
                <w:kern w:val="0"/>
                <w:sz w:val="18"/>
                <w:szCs w:val="18"/>
              </w:rPr>
              <w:t>按照要求改正，已造成不良影响的</w:t>
            </w:r>
          </w:p>
        </w:tc>
        <w:tc>
          <w:tcPr>
            <w:tcW w:w="1000" w:type="dxa"/>
            <w:vMerge w:val="continue"/>
            <w:tcBorders>
              <w:top w:val="nil"/>
              <w:left w:val="single" w:color="auto" w:sz="4" w:space="0"/>
              <w:bottom w:val="single" w:color="auto" w:sz="4" w:space="0"/>
              <w:right w:val="single" w:color="auto" w:sz="4" w:space="0"/>
            </w:tcBorders>
            <w:vAlign w:val="center"/>
          </w:tcPr>
          <w:p w14:paraId="32E0945D">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C0006E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0924ED29">
        <w:tblPrEx>
          <w:tblCellMar>
            <w:top w:w="0" w:type="dxa"/>
            <w:left w:w="108" w:type="dxa"/>
            <w:bottom w:w="0" w:type="dxa"/>
            <w:right w:w="108" w:type="dxa"/>
          </w:tblCellMar>
        </w:tblPrEx>
        <w:trPr>
          <w:trHeight w:val="234" w:hRule="atLeast"/>
        </w:trPr>
        <w:tc>
          <w:tcPr>
            <w:tcW w:w="1010" w:type="dxa"/>
            <w:vMerge w:val="continue"/>
            <w:tcBorders>
              <w:top w:val="nil"/>
              <w:left w:val="single" w:color="auto" w:sz="8" w:space="0"/>
              <w:bottom w:val="single" w:color="auto" w:sz="4" w:space="0"/>
              <w:right w:val="single" w:color="auto" w:sz="4" w:space="0"/>
            </w:tcBorders>
            <w:vAlign w:val="center"/>
          </w:tcPr>
          <w:p w14:paraId="7272BD3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7D29BFD">
            <w:pPr>
              <w:spacing w:line="320" w:lineRule="exact"/>
              <w:jc w:val="left"/>
              <w:rPr>
                <w:color w:val="000000"/>
                <w:kern w:val="0"/>
                <w:sz w:val="18"/>
                <w:szCs w:val="18"/>
              </w:rPr>
            </w:pPr>
            <w:r>
              <w:rPr>
                <w:rFonts w:hint="eastAsia"/>
                <w:color w:val="000000"/>
                <w:kern w:val="0"/>
                <w:sz w:val="18"/>
                <w:szCs w:val="18"/>
              </w:rPr>
              <w:t>未按照要求改正，或者造成较大不良影响的</w:t>
            </w:r>
          </w:p>
        </w:tc>
        <w:tc>
          <w:tcPr>
            <w:tcW w:w="1000" w:type="dxa"/>
            <w:vMerge w:val="continue"/>
            <w:tcBorders>
              <w:top w:val="nil"/>
              <w:left w:val="single" w:color="auto" w:sz="4" w:space="0"/>
              <w:bottom w:val="single" w:color="auto" w:sz="4" w:space="0"/>
              <w:right w:val="single" w:color="auto" w:sz="4" w:space="0"/>
            </w:tcBorders>
            <w:vAlign w:val="center"/>
          </w:tcPr>
          <w:p w14:paraId="4914E89B">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0DF97C9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2338A6CD"/>
    <w:p w14:paraId="1FCA9FD6"/>
    <w:p w14:paraId="67E5A373"/>
    <w:p w14:paraId="60CDB6D0"/>
    <w:p w14:paraId="6C37A73E"/>
    <w:p w14:paraId="59AB6DA4"/>
    <w:p w14:paraId="59C895ED"/>
    <w:tbl>
      <w:tblPr>
        <w:tblStyle w:val="15"/>
        <w:tblW w:w="0" w:type="auto"/>
        <w:tblInd w:w="93" w:type="dxa"/>
        <w:tblLayout w:type="fixed"/>
        <w:tblCellMar>
          <w:top w:w="0" w:type="dxa"/>
          <w:left w:w="108" w:type="dxa"/>
          <w:bottom w:w="0" w:type="dxa"/>
          <w:right w:w="108" w:type="dxa"/>
        </w:tblCellMar>
      </w:tblPr>
      <w:tblGrid>
        <w:gridCol w:w="991"/>
        <w:gridCol w:w="6140"/>
        <w:gridCol w:w="1014"/>
        <w:gridCol w:w="5880"/>
      </w:tblGrid>
      <w:tr w14:paraId="7BF6222E">
        <w:tblPrEx>
          <w:tblCellMar>
            <w:top w:w="0" w:type="dxa"/>
            <w:left w:w="108" w:type="dxa"/>
            <w:bottom w:w="0" w:type="dxa"/>
            <w:right w:w="108" w:type="dxa"/>
          </w:tblCellMar>
        </w:tblPrEx>
        <w:trPr>
          <w:trHeight w:val="285" w:hRule="atLeast"/>
        </w:trPr>
        <w:tc>
          <w:tcPr>
            <w:tcW w:w="991" w:type="dxa"/>
            <w:tcBorders>
              <w:top w:val="single" w:color="auto" w:sz="8" w:space="0"/>
              <w:left w:val="single" w:color="auto" w:sz="8" w:space="0"/>
              <w:bottom w:val="single" w:color="auto" w:sz="4" w:space="0"/>
              <w:right w:val="single" w:color="auto" w:sz="4" w:space="0"/>
            </w:tcBorders>
            <w:vAlign w:val="center"/>
          </w:tcPr>
          <w:p w14:paraId="2C08CF31">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0D9120B0">
            <w:pPr>
              <w:spacing w:line="320" w:lineRule="exact"/>
              <w:jc w:val="left"/>
              <w:rPr>
                <w:rFonts w:eastAsia="仿宋_GB2312"/>
                <w:b/>
                <w:bCs/>
                <w:color w:val="000000"/>
                <w:kern w:val="0"/>
                <w:sz w:val="18"/>
                <w:szCs w:val="18"/>
              </w:rPr>
            </w:pPr>
            <w:r>
              <w:rPr>
                <w:rFonts w:eastAsia="仿宋_GB2312"/>
                <w:b/>
                <w:bCs/>
                <w:color w:val="000000"/>
                <w:kern w:val="0"/>
                <w:sz w:val="18"/>
                <w:szCs w:val="18"/>
              </w:rPr>
              <w:t>320217367000</w:t>
            </w:r>
          </w:p>
        </w:tc>
      </w:tr>
      <w:tr w14:paraId="5E187BFF">
        <w:tblPrEx>
          <w:tblCellMar>
            <w:top w:w="0" w:type="dxa"/>
            <w:left w:w="108" w:type="dxa"/>
            <w:bottom w:w="0" w:type="dxa"/>
            <w:right w:w="108" w:type="dxa"/>
          </w:tblCellMar>
        </w:tblPrEx>
        <w:trPr>
          <w:trHeight w:val="285" w:hRule="atLeast"/>
        </w:trPr>
        <w:tc>
          <w:tcPr>
            <w:tcW w:w="991" w:type="dxa"/>
            <w:tcBorders>
              <w:top w:val="nil"/>
              <w:left w:val="single" w:color="auto" w:sz="8" w:space="0"/>
              <w:bottom w:val="single" w:color="auto" w:sz="4" w:space="0"/>
              <w:right w:val="single" w:color="auto" w:sz="4" w:space="0"/>
            </w:tcBorders>
            <w:vAlign w:val="center"/>
          </w:tcPr>
          <w:p w14:paraId="5F35989D">
            <w:pPr>
              <w:spacing w:line="320" w:lineRule="exact"/>
              <w:jc w:val="center"/>
              <w:rPr>
                <w:color w:val="000000"/>
                <w:kern w:val="0"/>
                <w:sz w:val="18"/>
                <w:szCs w:val="18"/>
              </w:rPr>
            </w:pPr>
            <w:r>
              <w:rPr>
                <w:rFonts w:hint="eastAsia"/>
                <w:color w:val="000000"/>
                <w:kern w:val="0"/>
                <w:sz w:val="18"/>
                <w:szCs w:val="18"/>
              </w:rPr>
              <w:t>权力名称</w:t>
            </w:r>
          </w:p>
        </w:tc>
        <w:tc>
          <w:tcPr>
            <w:tcW w:w="13034" w:type="dxa"/>
            <w:gridSpan w:val="3"/>
            <w:tcBorders>
              <w:top w:val="single" w:color="auto" w:sz="4" w:space="0"/>
              <w:left w:val="nil"/>
              <w:bottom w:val="single" w:color="auto" w:sz="4" w:space="0"/>
              <w:right w:val="single" w:color="000000" w:sz="8" w:space="0"/>
            </w:tcBorders>
            <w:vAlign w:val="center"/>
          </w:tcPr>
          <w:p w14:paraId="30EEB7E9">
            <w:pPr>
              <w:spacing w:line="320" w:lineRule="exact"/>
              <w:jc w:val="left"/>
              <w:rPr>
                <w:color w:val="000000"/>
                <w:kern w:val="0"/>
                <w:sz w:val="18"/>
                <w:szCs w:val="18"/>
              </w:rPr>
            </w:pPr>
            <w:r>
              <w:rPr>
                <w:rFonts w:hint="eastAsia"/>
                <w:color w:val="000000"/>
                <w:kern w:val="0"/>
                <w:sz w:val="18"/>
                <w:szCs w:val="18"/>
              </w:rPr>
              <w:t>对在沉淀池、贮水池保护范围内设置排污管道或者有毒有害场所的处罚</w:t>
            </w:r>
          </w:p>
        </w:tc>
      </w:tr>
      <w:tr w14:paraId="4265D3C8">
        <w:tblPrEx>
          <w:tblCellMar>
            <w:top w:w="0" w:type="dxa"/>
            <w:left w:w="108" w:type="dxa"/>
            <w:bottom w:w="0" w:type="dxa"/>
            <w:right w:w="108" w:type="dxa"/>
          </w:tblCellMar>
        </w:tblPrEx>
        <w:trPr>
          <w:trHeight w:val="1635" w:hRule="atLeast"/>
        </w:trPr>
        <w:tc>
          <w:tcPr>
            <w:tcW w:w="991" w:type="dxa"/>
            <w:tcBorders>
              <w:top w:val="nil"/>
              <w:left w:val="single" w:color="auto" w:sz="8" w:space="0"/>
              <w:bottom w:val="single" w:color="auto" w:sz="4" w:space="0"/>
              <w:right w:val="single" w:color="auto" w:sz="4" w:space="0"/>
            </w:tcBorders>
            <w:vAlign w:val="center"/>
          </w:tcPr>
          <w:p w14:paraId="7D87104C">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177A4C83">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42A97AB4">
            <w:pPr>
              <w:spacing w:line="320" w:lineRule="exact"/>
              <w:jc w:val="left"/>
              <w:rPr>
                <w:color w:val="000000"/>
                <w:kern w:val="0"/>
                <w:sz w:val="18"/>
                <w:szCs w:val="18"/>
              </w:rPr>
            </w:pPr>
            <w:r>
              <w:rPr>
                <w:rFonts w:hint="eastAsia"/>
                <w:color w:val="000000"/>
                <w:kern w:val="0"/>
                <w:sz w:val="18"/>
                <w:szCs w:val="18"/>
              </w:rPr>
              <w:t xml:space="preserve">       第二十八条 禁止任何单位或者个人从事下列活动：</w:t>
            </w:r>
          </w:p>
          <w:p w14:paraId="56D2A3DD">
            <w:pPr>
              <w:spacing w:line="320" w:lineRule="exact"/>
              <w:jc w:val="left"/>
              <w:rPr>
                <w:color w:val="000000"/>
                <w:kern w:val="0"/>
                <w:sz w:val="18"/>
                <w:szCs w:val="18"/>
              </w:rPr>
            </w:pPr>
            <w:r>
              <w:rPr>
                <w:rFonts w:hint="eastAsia"/>
                <w:color w:val="000000"/>
                <w:kern w:val="0"/>
                <w:sz w:val="18"/>
                <w:szCs w:val="18"/>
              </w:rPr>
              <w:t xml:space="preserve">      （一）在取水口、沉淀池、贮水池保护范围内设置排污管道和有毒有害场所；</w:t>
            </w:r>
          </w:p>
          <w:p w14:paraId="6EF874B5">
            <w:pPr>
              <w:spacing w:line="320" w:lineRule="exact"/>
              <w:jc w:val="left"/>
              <w:rPr>
                <w:color w:val="000000"/>
                <w:kern w:val="0"/>
                <w:sz w:val="18"/>
                <w:szCs w:val="18"/>
              </w:rPr>
            </w:pPr>
            <w:r>
              <w:rPr>
                <w:rFonts w:hint="eastAsia"/>
                <w:color w:val="000000"/>
                <w:kern w:val="0"/>
                <w:sz w:val="18"/>
                <w:szCs w:val="18"/>
              </w:rPr>
              <w:t xml:space="preserve">       第五十三条 违反本条例规定，有下列行为之一的，由城乡供水主管部门责令改正，并处以五万元以上十万元以下罚款；造成损失的，赔偿损失；构成犯罪的，依法追究刑事责任：</w:t>
            </w:r>
          </w:p>
          <w:p w14:paraId="1C0ABD1D">
            <w:pPr>
              <w:spacing w:line="320" w:lineRule="exact"/>
              <w:jc w:val="left"/>
              <w:rPr>
                <w:color w:val="000000"/>
                <w:kern w:val="0"/>
                <w:sz w:val="18"/>
                <w:szCs w:val="18"/>
              </w:rPr>
            </w:pPr>
            <w:r>
              <w:rPr>
                <w:rFonts w:hint="eastAsia"/>
                <w:color w:val="000000"/>
                <w:kern w:val="0"/>
                <w:sz w:val="18"/>
                <w:szCs w:val="18"/>
              </w:rPr>
              <w:t xml:space="preserve">      （一）在沉淀池、贮水池保护范围内设置排污管道或者有毒有害场所的；</w:t>
            </w:r>
          </w:p>
        </w:tc>
      </w:tr>
      <w:tr w14:paraId="1E8756EF">
        <w:tblPrEx>
          <w:tblCellMar>
            <w:top w:w="0" w:type="dxa"/>
            <w:left w:w="108" w:type="dxa"/>
            <w:bottom w:w="0" w:type="dxa"/>
            <w:right w:w="108" w:type="dxa"/>
          </w:tblCellMar>
        </w:tblPrEx>
        <w:trPr>
          <w:trHeight w:val="285" w:hRule="atLeast"/>
        </w:trPr>
        <w:tc>
          <w:tcPr>
            <w:tcW w:w="991" w:type="dxa"/>
            <w:tcBorders>
              <w:top w:val="nil"/>
              <w:left w:val="single" w:color="auto" w:sz="8" w:space="0"/>
              <w:bottom w:val="single" w:color="auto" w:sz="4" w:space="0"/>
              <w:right w:val="single" w:color="auto" w:sz="4" w:space="0"/>
            </w:tcBorders>
            <w:vAlign w:val="center"/>
          </w:tcPr>
          <w:p w14:paraId="56280999">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30C54AEE">
            <w:pPr>
              <w:spacing w:line="320" w:lineRule="exact"/>
              <w:jc w:val="left"/>
              <w:rPr>
                <w:color w:val="000000"/>
                <w:kern w:val="0"/>
                <w:sz w:val="18"/>
                <w:szCs w:val="18"/>
              </w:rPr>
            </w:pPr>
            <w:r>
              <w:rPr>
                <w:rFonts w:hint="eastAsia"/>
                <w:color w:val="000000"/>
                <w:kern w:val="0"/>
                <w:sz w:val="18"/>
                <w:szCs w:val="18"/>
              </w:rPr>
              <w:t>罚款</w:t>
            </w:r>
          </w:p>
        </w:tc>
      </w:tr>
      <w:tr w14:paraId="10FAE3F5">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7F1E8F1C">
            <w:pPr>
              <w:spacing w:line="320" w:lineRule="exact"/>
              <w:jc w:val="center"/>
              <w:rPr>
                <w:color w:val="000000"/>
                <w:kern w:val="0"/>
                <w:sz w:val="18"/>
                <w:szCs w:val="18"/>
              </w:rPr>
            </w:pPr>
            <w:r>
              <w:rPr>
                <w:rFonts w:hint="eastAsia"/>
                <w:color w:val="000000"/>
                <w:kern w:val="0"/>
                <w:sz w:val="18"/>
                <w:szCs w:val="18"/>
              </w:rPr>
              <w:t>裁量基准</w:t>
            </w:r>
          </w:p>
        </w:tc>
      </w:tr>
      <w:tr w14:paraId="7DCF9C31">
        <w:tblPrEx>
          <w:tblCellMar>
            <w:top w:w="0" w:type="dxa"/>
            <w:left w:w="108" w:type="dxa"/>
            <w:bottom w:w="0" w:type="dxa"/>
            <w:right w:w="108" w:type="dxa"/>
          </w:tblCellMar>
        </w:tblPrEx>
        <w:trPr>
          <w:trHeight w:val="285" w:hRule="atLeast"/>
        </w:trPr>
        <w:tc>
          <w:tcPr>
            <w:tcW w:w="991" w:type="dxa"/>
            <w:vMerge w:val="restart"/>
            <w:tcBorders>
              <w:top w:val="nil"/>
              <w:left w:val="single" w:color="auto" w:sz="8" w:space="0"/>
              <w:bottom w:val="single" w:color="auto" w:sz="4" w:space="0"/>
              <w:right w:val="single" w:color="auto" w:sz="4" w:space="0"/>
            </w:tcBorders>
            <w:vAlign w:val="center"/>
          </w:tcPr>
          <w:p w14:paraId="7EB891A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17615A4">
            <w:pPr>
              <w:spacing w:line="320" w:lineRule="exact"/>
              <w:jc w:val="left"/>
              <w:rPr>
                <w:color w:val="000000"/>
                <w:kern w:val="0"/>
                <w:sz w:val="18"/>
                <w:szCs w:val="18"/>
              </w:rPr>
            </w:pPr>
            <w:r>
              <w:rPr>
                <w:rFonts w:hint="eastAsia"/>
                <w:color w:val="000000"/>
                <w:kern w:val="0"/>
                <w:sz w:val="18"/>
                <w:szCs w:val="18"/>
              </w:rPr>
              <w:t>按照要求改正，且未造成城市供水突发事件的</w:t>
            </w:r>
          </w:p>
        </w:tc>
        <w:tc>
          <w:tcPr>
            <w:tcW w:w="1014" w:type="dxa"/>
            <w:vMerge w:val="restart"/>
            <w:tcBorders>
              <w:top w:val="nil"/>
              <w:left w:val="single" w:color="auto" w:sz="4" w:space="0"/>
              <w:bottom w:val="single" w:color="auto" w:sz="4" w:space="0"/>
              <w:right w:val="single" w:color="auto" w:sz="4" w:space="0"/>
            </w:tcBorders>
            <w:vAlign w:val="center"/>
          </w:tcPr>
          <w:p w14:paraId="7E70737C">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color="auto" w:sz="4" w:space="0"/>
              <w:right w:val="single" w:color="auto" w:sz="8" w:space="0"/>
            </w:tcBorders>
            <w:vAlign w:val="center"/>
          </w:tcPr>
          <w:p w14:paraId="29F2583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7B23DB51">
        <w:tblPrEx>
          <w:tblCellMar>
            <w:top w:w="0" w:type="dxa"/>
            <w:left w:w="108" w:type="dxa"/>
            <w:bottom w:w="0" w:type="dxa"/>
            <w:right w:w="108" w:type="dxa"/>
          </w:tblCellMar>
        </w:tblPrEx>
        <w:trPr>
          <w:trHeight w:val="285" w:hRule="atLeast"/>
        </w:trPr>
        <w:tc>
          <w:tcPr>
            <w:tcW w:w="991" w:type="dxa"/>
            <w:vMerge w:val="continue"/>
            <w:tcBorders>
              <w:top w:val="nil"/>
              <w:left w:val="single" w:color="auto" w:sz="8" w:space="0"/>
              <w:bottom w:val="single" w:color="auto" w:sz="4" w:space="0"/>
              <w:right w:val="single" w:color="auto" w:sz="4" w:space="0"/>
            </w:tcBorders>
            <w:vAlign w:val="center"/>
          </w:tcPr>
          <w:p w14:paraId="2B5545B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432A5DE">
            <w:pPr>
              <w:spacing w:line="320" w:lineRule="exact"/>
              <w:jc w:val="left"/>
              <w:rPr>
                <w:color w:val="000000"/>
                <w:kern w:val="0"/>
                <w:sz w:val="18"/>
                <w:szCs w:val="18"/>
              </w:rPr>
            </w:pPr>
            <w:r>
              <w:rPr>
                <w:rFonts w:hint="eastAsia"/>
                <w:color w:val="000000"/>
                <w:kern w:val="0"/>
                <w:sz w:val="18"/>
                <w:szCs w:val="18"/>
              </w:rPr>
              <w:t>造成城市供水一般或较大突发事件的</w:t>
            </w:r>
          </w:p>
        </w:tc>
        <w:tc>
          <w:tcPr>
            <w:tcW w:w="1014" w:type="dxa"/>
            <w:vMerge w:val="continue"/>
            <w:tcBorders>
              <w:top w:val="nil"/>
              <w:left w:val="single" w:color="auto" w:sz="4" w:space="0"/>
              <w:bottom w:val="single" w:color="auto" w:sz="4" w:space="0"/>
              <w:right w:val="single" w:color="auto" w:sz="4" w:space="0"/>
            </w:tcBorders>
            <w:vAlign w:val="center"/>
          </w:tcPr>
          <w:p w14:paraId="6F6FC4EB">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3037B1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3805C9F3">
        <w:tblPrEx>
          <w:tblCellMar>
            <w:top w:w="0" w:type="dxa"/>
            <w:left w:w="108" w:type="dxa"/>
            <w:bottom w:w="0" w:type="dxa"/>
            <w:right w:w="108" w:type="dxa"/>
          </w:tblCellMar>
        </w:tblPrEx>
        <w:trPr>
          <w:trHeight w:val="285" w:hRule="atLeast"/>
        </w:trPr>
        <w:tc>
          <w:tcPr>
            <w:tcW w:w="991" w:type="dxa"/>
            <w:vMerge w:val="continue"/>
            <w:tcBorders>
              <w:top w:val="nil"/>
              <w:left w:val="single" w:color="auto" w:sz="8" w:space="0"/>
              <w:bottom w:val="single" w:color="auto" w:sz="4" w:space="0"/>
              <w:right w:val="single" w:color="auto" w:sz="4" w:space="0"/>
            </w:tcBorders>
            <w:vAlign w:val="center"/>
          </w:tcPr>
          <w:p w14:paraId="54EDED5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05C26E6">
            <w:pPr>
              <w:spacing w:line="320" w:lineRule="exact"/>
              <w:jc w:val="left"/>
              <w:rPr>
                <w:color w:val="000000"/>
                <w:kern w:val="0"/>
                <w:sz w:val="18"/>
                <w:szCs w:val="18"/>
              </w:rPr>
            </w:pPr>
            <w:r>
              <w:rPr>
                <w:rFonts w:hint="eastAsia"/>
                <w:color w:val="000000"/>
                <w:kern w:val="0"/>
                <w:sz w:val="18"/>
                <w:szCs w:val="18"/>
              </w:rPr>
              <w:t>造成城市供水重大突发事件的</w:t>
            </w:r>
          </w:p>
        </w:tc>
        <w:tc>
          <w:tcPr>
            <w:tcW w:w="1014" w:type="dxa"/>
            <w:vMerge w:val="continue"/>
            <w:tcBorders>
              <w:top w:val="nil"/>
              <w:left w:val="single" w:color="auto" w:sz="4" w:space="0"/>
              <w:bottom w:val="single" w:color="auto" w:sz="4" w:space="0"/>
              <w:right w:val="single" w:color="auto" w:sz="4" w:space="0"/>
            </w:tcBorders>
            <w:vAlign w:val="center"/>
          </w:tcPr>
          <w:p w14:paraId="63A5F9E9">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2F7BEE9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万元以下罚款</w:t>
            </w:r>
          </w:p>
        </w:tc>
      </w:tr>
      <w:tr w14:paraId="53438BE3">
        <w:tblPrEx>
          <w:tblCellMar>
            <w:top w:w="0" w:type="dxa"/>
            <w:left w:w="108" w:type="dxa"/>
            <w:bottom w:w="0" w:type="dxa"/>
            <w:right w:w="108" w:type="dxa"/>
          </w:tblCellMar>
        </w:tblPrEx>
        <w:trPr>
          <w:trHeight w:val="285" w:hRule="atLeast"/>
        </w:trPr>
        <w:tc>
          <w:tcPr>
            <w:tcW w:w="991" w:type="dxa"/>
            <w:vMerge w:val="continue"/>
            <w:tcBorders>
              <w:top w:val="nil"/>
              <w:left w:val="single" w:color="auto" w:sz="8" w:space="0"/>
              <w:bottom w:val="single" w:color="auto" w:sz="4" w:space="0"/>
              <w:right w:val="single" w:color="auto" w:sz="4" w:space="0"/>
            </w:tcBorders>
            <w:vAlign w:val="center"/>
          </w:tcPr>
          <w:p w14:paraId="5F12AEC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4AF995D">
            <w:pPr>
              <w:spacing w:line="320" w:lineRule="exact"/>
              <w:jc w:val="left"/>
              <w:rPr>
                <w:color w:val="000000"/>
                <w:kern w:val="0"/>
                <w:sz w:val="18"/>
                <w:szCs w:val="18"/>
              </w:rPr>
            </w:pPr>
            <w:r>
              <w:rPr>
                <w:rFonts w:hint="eastAsia"/>
                <w:color w:val="000000"/>
                <w:kern w:val="0"/>
                <w:sz w:val="18"/>
                <w:szCs w:val="18"/>
              </w:rPr>
              <w:t>造成城市供水特别重大突发事件的</w:t>
            </w:r>
          </w:p>
        </w:tc>
        <w:tc>
          <w:tcPr>
            <w:tcW w:w="1014" w:type="dxa"/>
            <w:vMerge w:val="continue"/>
            <w:tcBorders>
              <w:top w:val="nil"/>
              <w:left w:val="single" w:color="auto" w:sz="4" w:space="0"/>
              <w:bottom w:val="single" w:color="auto" w:sz="4" w:space="0"/>
              <w:right w:val="single" w:color="auto" w:sz="4" w:space="0"/>
            </w:tcBorders>
            <w:vAlign w:val="center"/>
          </w:tcPr>
          <w:p w14:paraId="720841DB">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06BA1E0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2534B5CD"/>
    <w:p w14:paraId="1D64BC63"/>
    <w:p w14:paraId="30964684"/>
    <w:p w14:paraId="03F4CD9C"/>
    <w:p w14:paraId="2692BA10"/>
    <w:p w14:paraId="502A27B9"/>
    <w:p w14:paraId="5BF8562C"/>
    <w:p w14:paraId="576D3220"/>
    <w:p w14:paraId="32B81B40"/>
    <w:tbl>
      <w:tblPr>
        <w:tblStyle w:val="15"/>
        <w:tblW w:w="0" w:type="auto"/>
        <w:tblInd w:w="88" w:type="dxa"/>
        <w:tblLayout w:type="fixed"/>
        <w:tblCellMar>
          <w:top w:w="0" w:type="dxa"/>
          <w:left w:w="108" w:type="dxa"/>
          <w:bottom w:w="0" w:type="dxa"/>
          <w:right w:w="108" w:type="dxa"/>
        </w:tblCellMar>
      </w:tblPr>
      <w:tblGrid>
        <w:gridCol w:w="1010"/>
        <w:gridCol w:w="6376"/>
        <w:gridCol w:w="1016"/>
        <w:gridCol w:w="5614"/>
      </w:tblGrid>
      <w:tr w14:paraId="08FA96F4">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368AC6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45431B20">
            <w:pPr>
              <w:spacing w:line="320" w:lineRule="exact"/>
              <w:jc w:val="left"/>
              <w:rPr>
                <w:rFonts w:eastAsia="仿宋_GB2312"/>
                <w:b/>
                <w:bCs/>
                <w:color w:val="000000"/>
                <w:kern w:val="0"/>
                <w:sz w:val="18"/>
                <w:szCs w:val="18"/>
              </w:rPr>
            </w:pPr>
            <w:r>
              <w:rPr>
                <w:b/>
                <w:color w:val="000000"/>
              </w:rPr>
              <w:t>320217370000</w:t>
            </w:r>
            <w:r>
              <w:rPr>
                <w:rFonts w:hint="eastAsia"/>
                <w:b/>
                <w:color w:val="000000"/>
              </w:rPr>
              <w:t xml:space="preserve"> </w:t>
            </w:r>
          </w:p>
        </w:tc>
      </w:tr>
      <w:tr w14:paraId="3909487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0F8261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5DAF3073">
            <w:pPr>
              <w:spacing w:line="320" w:lineRule="exact"/>
              <w:jc w:val="left"/>
              <w:rPr>
                <w:color w:val="000000"/>
                <w:kern w:val="0"/>
                <w:sz w:val="18"/>
                <w:szCs w:val="18"/>
              </w:rPr>
            </w:pPr>
            <w:r>
              <w:rPr>
                <w:rFonts w:hint="eastAsia"/>
                <w:color w:val="000000"/>
                <w:kern w:val="0"/>
                <w:sz w:val="18"/>
                <w:szCs w:val="18"/>
              </w:rPr>
              <w:t>对施工单位将建筑垃圾交给个人或者未经核准从事建筑垃圾运输的单位处置的处罚</w:t>
            </w:r>
          </w:p>
        </w:tc>
      </w:tr>
      <w:tr w14:paraId="76B3E173">
        <w:tblPrEx>
          <w:tblCellMar>
            <w:top w:w="0" w:type="dxa"/>
            <w:left w:w="108" w:type="dxa"/>
            <w:bottom w:w="0" w:type="dxa"/>
            <w:right w:w="108" w:type="dxa"/>
          </w:tblCellMar>
        </w:tblPrEx>
        <w:trPr>
          <w:trHeight w:val="90" w:hRule="atLeast"/>
        </w:trPr>
        <w:tc>
          <w:tcPr>
            <w:tcW w:w="1010" w:type="dxa"/>
            <w:tcBorders>
              <w:top w:val="nil"/>
              <w:left w:val="single" w:color="auto" w:sz="8" w:space="0"/>
              <w:bottom w:val="single" w:color="auto" w:sz="4" w:space="0"/>
              <w:right w:val="single" w:color="auto" w:sz="4" w:space="0"/>
            </w:tcBorders>
            <w:vAlign w:val="center"/>
          </w:tcPr>
          <w:p w14:paraId="0930B44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23017564">
            <w:pPr>
              <w:spacing w:line="320" w:lineRule="exact"/>
              <w:jc w:val="left"/>
              <w:rPr>
                <w:color w:val="000000"/>
                <w:kern w:val="0"/>
                <w:sz w:val="18"/>
                <w:szCs w:val="18"/>
              </w:rPr>
            </w:pPr>
            <w:r>
              <w:rPr>
                <w:rFonts w:hint="eastAsia"/>
                <w:color w:val="000000"/>
                <w:kern w:val="0"/>
                <w:sz w:val="18"/>
                <w:szCs w:val="18"/>
              </w:rPr>
              <w:t>【规章】《城市建筑垃圾管理规定》</w:t>
            </w:r>
            <w:r>
              <w:rPr>
                <w:color w:val="000000"/>
                <w:kern w:val="0"/>
                <w:sz w:val="18"/>
                <w:szCs w:val="18"/>
              </w:rPr>
              <w:t>（</w:t>
            </w:r>
            <w:r>
              <w:rPr>
                <w:rFonts w:hint="eastAsia"/>
                <w:color w:val="000000"/>
                <w:kern w:val="0"/>
                <w:sz w:val="18"/>
                <w:szCs w:val="18"/>
              </w:rPr>
              <w:t>建设部令第</w:t>
            </w:r>
            <w:r>
              <w:rPr>
                <w:color w:val="000000"/>
                <w:kern w:val="0"/>
                <w:sz w:val="18"/>
                <w:szCs w:val="18"/>
              </w:rPr>
              <w:t>139</w:t>
            </w:r>
            <w:r>
              <w:rPr>
                <w:rFonts w:hint="eastAsia"/>
                <w:color w:val="000000"/>
                <w:kern w:val="0"/>
                <w:sz w:val="18"/>
                <w:szCs w:val="18"/>
              </w:rPr>
              <w:t>号</w:t>
            </w:r>
            <w:r>
              <w:rPr>
                <w:color w:val="000000"/>
                <w:kern w:val="0"/>
                <w:sz w:val="18"/>
                <w:szCs w:val="18"/>
              </w:rPr>
              <w:t>）</w:t>
            </w:r>
            <w:r>
              <w:rPr>
                <w:rFonts w:hint="eastAsia"/>
                <w:color w:val="000000"/>
                <w:kern w:val="0"/>
                <w:sz w:val="18"/>
                <w:szCs w:val="18"/>
              </w:rPr>
              <w:t>　</w:t>
            </w:r>
          </w:p>
          <w:p w14:paraId="22A24C1A">
            <w:pPr>
              <w:spacing w:line="320" w:lineRule="exact"/>
              <w:jc w:val="left"/>
              <w:rPr>
                <w:color w:val="000000"/>
                <w:kern w:val="0"/>
                <w:sz w:val="18"/>
                <w:szCs w:val="18"/>
              </w:rPr>
            </w:pPr>
            <w:r>
              <w:rPr>
                <w:rFonts w:hint="eastAsia"/>
                <w:color w:val="000000"/>
                <w:kern w:val="0"/>
                <w:sz w:val="18"/>
                <w:szCs w:val="18"/>
              </w:rPr>
              <w:t>第十三条施工单位不得将建筑垃圾交给个人或者未经核准从事建筑垃圾运输的单位运输。</w:t>
            </w:r>
          </w:p>
          <w:p w14:paraId="0B650A62">
            <w:pPr>
              <w:spacing w:line="320" w:lineRule="exact"/>
              <w:jc w:val="left"/>
              <w:rPr>
                <w:color w:val="000000"/>
                <w:kern w:val="0"/>
                <w:sz w:val="18"/>
                <w:szCs w:val="18"/>
              </w:rPr>
            </w:pPr>
            <w:r>
              <w:rPr>
                <w:rFonts w:hint="eastAsia"/>
                <w:color w:val="000000"/>
                <w:kern w:val="0"/>
                <w:sz w:val="18"/>
                <w:szCs w:val="18"/>
              </w:rPr>
              <w:t>第二十二条第二款施工单位将建筑垃圾交给个人工程施工单位不按照环境卫生行政主管部或者未经核准从事建筑垃圾运输的单位处置的，由城市人民政府市容环境卫生主管部门责令限期改正，给予警告，处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14:paraId="591EAF2A">
        <w:tblPrEx>
          <w:tblCellMar>
            <w:top w:w="0" w:type="dxa"/>
            <w:left w:w="108" w:type="dxa"/>
            <w:bottom w:w="0" w:type="dxa"/>
            <w:right w:w="108" w:type="dxa"/>
          </w:tblCellMar>
        </w:tblPrEx>
        <w:trPr>
          <w:trHeight w:val="340" w:hRule="atLeast"/>
        </w:trPr>
        <w:tc>
          <w:tcPr>
            <w:tcW w:w="1010" w:type="dxa"/>
            <w:tcBorders>
              <w:top w:val="nil"/>
              <w:left w:val="single" w:color="auto" w:sz="8" w:space="0"/>
              <w:bottom w:val="single" w:color="auto" w:sz="4" w:space="0"/>
              <w:right w:val="single" w:color="auto" w:sz="4" w:space="0"/>
            </w:tcBorders>
            <w:vAlign w:val="center"/>
          </w:tcPr>
          <w:p w14:paraId="5FA1BEB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337728FD">
            <w:pPr>
              <w:spacing w:line="320" w:lineRule="exact"/>
              <w:jc w:val="left"/>
              <w:rPr>
                <w:color w:val="000000"/>
                <w:kern w:val="0"/>
                <w:sz w:val="18"/>
                <w:szCs w:val="18"/>
              </w:rPr>
            </w:pPr>
            <w:r>
              <w:rPr>
                <w:rFonts w:hint="eastAsia"/>
                <w:color w:val="000000"/>
                <w:kern w:val="0"/>
                <w:sz w:val="18"/>
                <w:szCs w:val="18"/>
              </w:rPr>
              <w:t>警告，罚款</w:t>
            </w:r>
          </w:p>
        </w:tc>
      </w:tr>
      <w:tr w14:paraId="5CBE9207">
        <w:tblPrEx>
          <w:tblCellMar>
            <w:top w:w="0" w:type="dxa"/>
            <w:left w:w="108" w:type="dxa"/>
            <w:bottom w:w="0" w:type="dxa"/>
            <w:right w:w="108" w:type="dxa"/>
          </w:tblCellMar>
        </w:tblPrEx>
        <w:trPr>
          <w:trHeight w:val="340"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14D95E6">
            <w:pPr>
              <w:spacing w:line="320" w:lineRule="exact"/>
              <w:jc w:val="center"/>
              <w:rPr>
                <w:color w:val="000000"/>
                <w:kern w:val="0"/>
                <w:sz w:val="18"/>
                <w:szCs w:val="18"/>
              </w:rPr>
            </w:pPr>
            <w:r>
              <w:rPr>
                <w:rFonts w:hint="eastAsia"/>
                <w:color w:val="000000"/>
                <w:kern w:val="0"/>
                <w:sz w:val="18"/>
                <w:szCs w:val="18"/>
              </w:rPr>
              <w:t>裁量基准</w:t>
            </w:r>
          </w:p>
        </w:tc>
      </w:tr>
      <w:tr w14:paraId="0A604A2E">
        <w:tblPrEx>
          <w:tblCellMar>
            <w:top w:w="0" w:type="dxa"/>
            <w:left w:w="108" w:type="dxa"/>
            <w:bottom w:w="0" w:type="dxa"/>
            <w:right w:w="108" w:type="dxa"/>
          </w:tblCellMar>
        </w:tblPrEx>
        <w:trPr>
          <w:trHeight w:val="340" w:hRule="atLeast"/>
        </w:trPr>
        <w:tc>
          <w:tcPr>
            <w:tcW w:w="1010" w:type="dxa"/>
            <w:vMerge w:val="restart"/>
            <w:tcBorders>
              <w:top w:val="nil"/>
              <w:left w:val="single" w:color="auto" w:sz="8" w:space="0"/>
              <w:bottom w:val="single" w:color="auto" w:sz="4" w:space="0"/>
              <w:right w:val="single" w:color="auto" w:sz="4" w:space="0"/>
            </w:tcBorders>
            <w:vAlign w:val="center"/>
          </w:tcPr>
          <w:p w14:paraId="16F147A3">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7847F71F">
            <w:pPr>
              <w:rPr>
                <w:color w:val="000000"/>
                <w:kern w:val="0"/>
                <w:sz w:val="18"/>
                <w:szCs w:val="18"/>
              </w:rPr>
            </w:pPr>
            <w:r>
              <w:rPr>
                <w:rFonts w:hint="eastAsia"/>
                <w:color w:val="000000"/>
                <w:szCs w:val="21"/>
              </w:rPr>
              <w:t>处置量在</w:t>
            </w:r>
            <w:r>
              <w:rPr>
                <w:color w:val="000000"/>
                <w:szCs w:val="21"/>
              </w:rPr>
              <w:t>10</w:t>
            </w:r>
            <w:r>
              <w:rPr>
                <w:rFonts w:hint="eastAsia"/>
                <w:color w:val="000000"/>
                <w:szCs w:val="21"/>
              </w:rPr>
              <w:t>立方米以下</w:t>
            </w:r>
          </w:p>
        </w:tc>
        <w:tc>
          <w:tcPr>
            <w:tcW w:w="1016" w:type="dxa"/>
            <w:vMerge w:val="restart"/>
            <w:tcBorders>
              <w:top w:val="nil"/>
              <w:left w:val="single" w:color="auto" w:sz="4" w:space="0"/>
              <w:bottom w:val="single" w:color="auto" w:sz="4" w:space="0"/>
              <w:right w:val="single" w:color="auto" w:sz="4" w:space="0"/>
            </w:tcBorders>
            <w:vAlign w:val="center"/>
          </w:tcPr>
          <w:p w14:paraId="1E558724">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35DC3F35">
            <w:pPr>
              <w:rPr>
                <w:color w:val="000000"/>
                <w:kern w:val="0"/>
                <w:sz w:val="18"/>
                <w:szCs w:val="18"/>
              </w:rPr>
            </w:pPr>
            <w:r>
              <w:rPr>
                <w:rFonts w:hint="eastAsia"/>
                <w:color w:val="000000"/>
                <w:szCs w:val="21"/>
              </w:rPr>
              <w:t>处</w:t>
            </w:r>
            <w:r>
              <w:rPr>
                <w:color w:val="000000"/>
                <w:szCs w:val="21"/>
              </w:rPr>
              <w:t>1</w:t>
            </w:r>
            <w:r>
              <w:rPr>
                <w:rFonts w:hint="eastAsia"/>
                <w:color w:val="000000"/>
                <w:szCs w:val="21"/>
              </w:rPr>
              <w:t>万</w:t>
            </w:r>
            <w:r>
              <w:rPr>
                <w:color w:val="000000"/>
                <w:szCs w:val="21"/>
              </w:rPr>
              <w:t>-3</w:t>
            </w:r>
            <w:r>
              <w:rPr>
                <w:rFonts w:hint="eastAsia"/>
                <w:color w:val="000000"/>
                <w:szCs w:val="21"/>
              </w:rPr>
              <w:t>万元以下罚款</w:t>
            </w:r>
          </w:p>
        </w:tc>
      </w:tr>
      <w:tr w14:paraId="45906783">
        <w:tblPrEx>
          <w:tblCellMar>
            <w:top w:w="0" w:type="dxa"/>
            <w:left w:w="108" w:type="dxa"/>
            <w:bottom w:w="0" w:type="dxa"/>
            <w:right w:w="108" w:type="dxa"/>
          </w:tblCellMar>
        </w:tblPrEx>
        <w:trPr>
          <w:trHeight w:val="340" w:hRule="atLeast"/>
        </w:trPr>
        <w:tc>
          <w:tcPr>
            <w:tcW w:w="1010" w:type="dxa"/>
            <w:vMerge w:val="continue"/>
            <w:tcBorders>
              <w:top w:val="nil"/>
              <w:left w:val="single" w:color="auto" w:sz="8" w:space="0"/>
              <w:bottom w:val="single" w:color="auto" w:sz="4" w:space="0"/>
              <w:right w:val="single" w:color="auto" w:sz="4" w:space="0"/>
            </w:tcBorders>
            <w:vAlign w:val="center"/>
          </w:tcPr>
          <w:p w14:paraId="4FCD9817">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02258A8D">
            <w:pPr>
              <w:rPr>
                <w:color w:val="000000"/>
                <w:kern w:val="0"/>
                <w:sz w:val="18"/>
                <w:szCs w:val="18"/>
              </w:rPr>
            </w:pPr>
            <w:r>
              <w:rPr>
                <w:rFonts w:hint="eastAsia"/>
                <w:color w:val="000000"/>
                <w:szCs w:val="21"/>
              </w:rPr>
              <w:t>处置量在</w:t>
            </w:r>
            <w:r>
              <w:rPr>
                <w:color w:val="000000"/>
                <w:szCs w:val="21"/>
              </w:rPr>
              <w:t>10-50</w:t>
            </w:r>
            <w:r>
              <w:rPr>
                <w:rFonts w:hint="eastAsia"/>
                <w:color w:val="000000"/>
                <w:szCs w:val="21"/>
              </w:rPr>
              <w:t>立方米</w:t>
            </w:r>
          </w:p>
        </w:tc>
        <w:tc>
          <w:tcPr>
            <w:tcW w:w="1016" w:type="dxa"/>
            <w:vMerge w:val="continue"/>
            <w:tcBorders>
              <w:top w:val="nil"/>
              <w:left w:val="single" w:color="auto" w:sz="4" w:space="0"/>
              <w:bottom w:val="single" w:color="auto" w:sz="4" w:space="0"/>
              <w:right w:val="single" w:color="auto" w:sz="4" w:space="0"/>
            </w:tcBorders>
            <w:vAlign w:val="center"/>
          </w:tcPr>
          <w:p w14:paraId="659D8E68">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32E18112">
            <w:pPr>
              <w:rPr>
                <w:color w:val="000000"/>
                <w:kern w:val="0"/>
                <w:sz w:val="18"/>
                <w:szCs w:val="18"/>
              </w:rPr>
            </w:pPr>
            <w:r>
              <w:rPr>
                <w:rFonts w:hint="eastAsia"/>
                <w:color w:val="000000"/>
                <w:szCs w:val="21"/>
              </w:rPr>
              <w:t>处</w:t>
            </w:r>
            <w:r>
              <w:rPr>
                <w:color w:val="000000"/>
                <w:szCs w:val="21"/>
              </w:rPr>
              <w:t>3</w:t>
            </w:r>
            <w:r>
              <w:rPr>
                <w:rFonts w:hint="eastAsia"/>
                <w:color w:val="000000"/>
                <w:szCs w:val="21"/>
              </w:rPr>
              <w:t>万</w:t>
            </w:r>
            <w:r>
              <w:rPr>
                <w:color w:val="000000"/>
                <w:szCs w:val="21"/>
              </w:rPr>
              <w:t>-8</w:t>
            </w:r>
            <w:r>
              <w:rPr>
                <w:rFonts w:hint="eastAsia"/>
                <w:color w:val="000000"/>
                <w:szCs w:val="21"/>
              </w:rPr>
              <w:t>万元以下罚款</w:t>
            </w:r>
          </w:p>
        </w:tc>
      </w:tr>
      <w:tr w14:paraId="08D1B822">
        <w:tblPrEx>
          <w:tblCellMar>
            <w:top w:w="0" w:type="dxa"/>
            <w:left w:w="108" w:type="dxa"/>
            <w:bottom w:w="0" w:type="dxa"/>
            <w:right w:w="108" w:type="dxa"/>
          </w:tblCellMar>
        </w:tblPrEx>
        <w:trPr>
          <w:trHeight w:val="340" w:hRule="atLeast"/>
        </w:trPr>
        <w:tc>
          <w:tcPr>
            <w:tcW w:w="1010" w:type="dxa"/>
            <w:vMerge w:val="continue"/>
            <w:tcBorders>
              <w:top w:val="nil"/>
              <w:left w:val="single" w:color="auto" w:sz="8" w:space="0"/>
              <w:bottom w:val="single" w:color="auto" w:sz="4" w:space="0"/>
              <w:right w:val="single" w:color="auto" w:sz="4" w:space="0"/>
            </w:tcBorders>
            <w:vAlign w:val="center"/>
          </w:tcPr>
          <w:p w14:paraId="6FCA1CF7">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11A3A7F4">
            <w:pPr>
              <w:rPr>
                <w:color w:val="000000"/>
                <w:kern w:val="0"/>
                <w:sz w:val="18"/>
                <w:szCs w:val="18"/>
              </w:rPr>
            </w:pPr>
            <w:r>
              <w:rPr>
                <w:rFonts w:hint="eastAsia"/>
                <w:color w:val="000000"/>
                <w:szCs w:val="21"/>
              </w:rPr>
              <w:t>处置量在</w:t>
            </w:r>
            <w:r>
              <w:rPr>
                <w:color w:val="000000"/>
                <w:szCs w:val="21"/>
              </w:rPr>
              <w:t>50</w:t>
            </w:r>
            <w:r>
              <w:rPr>
                <w:rFonts w:hint="eastAsia"/>
                <w:color w:val="000000"/>
                <w:szCs w:val="21"/>
              </w:rPr>
              <w:t>立方米以上</w:t>
            </w:r>
          </w:p>
        </w:tc>
        <w:tc>
          <w:tcPr>
            <w:tcW w:w="1016" w:type="dxa"/>
            <w:vMerge w:val="continue"/>
            <w:tcBorders>
              <w:top w:val="nil"/>
              <w:left w:val="single" w:color="auto" w:sz="4" w:space="0"/>
              <w:bottom w:val="single" w:color="auto" w:sz="4" w:space="0"/>
              <w:right w:val="single" w:color="auto" w:sz="4" w:space="0"/>
            </w:tcBorders>
            <w:vAlign w:val="center"/>
          </w:tcPr>
          <w:p w14:paraId="20B9407A">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20BA01D7">
            <w:pPr>
              <w:rPr>
                <w:color w:val="000000"/>
                <w:kern w:val="0"/>
                <w:sz w:val="18"/>
                <w:szCs w:val="18"/>
              </w:rPr>
            </w:pPr>
            <w:r>
              <w:rPr>
                <w:rFonts w:hint="eastAsia"/>
                <w:color w:val="000000"/>
                <w:szCs w:val="21"/>
              </w:rPr>
              <w:t>处</w:t>
            </w:r>
            <w:r>
              <w:rPr>
                <w:color w:val="000000"/>
                <w:szCs w:val="21"/>
              </w:rPr>
              <w:t>8</w:t>
            </w:r>
            <w:r>
              <w:rPr>
                <w:rFonts w:hint="eastAsia"/>
                <w:color w:val="000000"/>
                <w:szCs w:val="21"/>
              </w:rPr>
              <w:t>万</w:t>
            </w:r>
            <w:r>
              <w:rPr>
                <w:color w:val="000000"/>
                <w:szCs w:val="21"/>
              </w:rPr>
              <w:t>-10</w:t>
            </w:r>
            <w:r>
              <w:rPr>
                <w:rFonts w:hint="eastAsia"/>
                <w:color w:val="000000"/>
                <w:szCs w:val="21"/>
              </w:rPr>
              <w:t>万元以下罚款</w:t>
            </w:r>
          </w:p>
        </w:tc>
      </w:tr>
    </w:tbl>
    <w:p w14:paraId="1FC2A27F"/>
    <w:p w14:paraId="0C2C0A6F"/>
    <w:p w14:paraId="54B36FCA"/>
    <w:p w14:paraId="441E981F"/>
    <w:p w14:paraId="61F775CF"/>
    <w:p w14:paraId="70DDE2B0"/>
    <w:p w14:paraId="69D9E8EB"/>
    <w:p w14:paraId="7174A21D"/>
    <w:tbl>
      <w:tblPr>
        <w:tblStyle w:val="15"/>
        <w:tblW w:w="0" w:type="auto"/>
        <w:tblInd w:w="88" w:type="dxa"/>
        <w:tblLayout w:type="fixed"/>
        <w:tblCellMar>
          <w:top w:w="0" w:type="dxa"/>
          <w:left w:w="108" w:type="dxa"/>
          <w:bottom w:w="0" w:type="dxa"/>
          <w:right w:w="108" w:type="dxa"/>
        </w:tblCellMar>
      </w:tblPr>
      <w:tblGrid>
        <w:gridCol w:w="1010"/>
        <w:gridCol w:w="6376"/>
        <w:gridCol w:w="1016"/>
        <w:gridCol w:w="5614"/>
      </w:tblGrid>
      <w:tr w14:paraId="2E5075B6">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48AA48B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325B0633">
            <w:pPr>
              <w:spacing w:line="320" w:lineRule="exact"/>
              <w:jc w:val="left"/>
              <w:rPr>
                <w:b/>
                <w:bCs/>
                <w:color w:val="000000"/>
                <w:kern w:val="0"/>
                <w:sz w:val="18"/>
                <w:szCs w:val="18"/>
              </w:rPr>
            </w:pPr>
            <w:r>
              <w:rPr>
                <w:b/>
                <w:color w:val="000000"/>
                <w:kern w:val="0"/>
                <w:sz w:val="18"/>
                <w:szCs w:val="18"/>
              </w:rPr>
              <w:t>320217371000</w:t>
            </w:r>
            <w:r>
              <w:rPr>
                <w:rFonts w:hint="eastAsia"/>
                <w:b/>
                <w:color w:val="000000"/>
                <w:kern w:val="0"/>
                <w:sz w:val="18"/>
                <w:szCs w:val="18"/>
              </w:rPr>
              <w:t xml:space="preserve"> </w:t>
            </w:r>
          </w:p>
        </w:tc>
      </w:tr>
      <w:tr w14:paraId="5F9101B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827BC8C">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6130F5EE">
            <w:pPr>
              <w:spacing w:line="320" w:lineRule="exact"/>
              <w:jc w:val="left"/>
              <w:rPr>
                <w:color w:val="000000"/>
                <w:kern w:val="0"/>
                <w:sz w:val="18"/>
                <w:szCs w:val="18"/>
              </w:rPr>
            </w:pPr>
            <w:r>
              <w:rPr>
                <w:rFonts w:hint="eastAsia"/>
                <w:color w:val="000000"/>
                <w:kern w:val="0"/>
                <w:sz w:val="18"/>
                <w:szCs w:val="18"/>
              </w:rPr>
              <w:t>对工程施工单位未按照规定对施工过程中产生的固体废物进行利用或者处置的处罚</w:t>
            </w:r>
          </w:p>
        </w:tc>
      </w:tr>
      <w:tr w14:paraId="7878F51F">
        <w:tblPrEx>
          <w:tblCellMar>
            <w:top w:w="0" w:type="dxa"/>
            <w:left w:w="108" w:type="dxa"/>
            <w:bottom w:w="0" w:type="dxa"/>
            <w:right w:w="108" w:type="dxa"/>
          </w:tblCellMar>
        </w:tblPrEx>
        <w:trPr>
          <w:trHeight w:val="2264" w:hRule="atLeast"/>
        </w:trPr>
        <w:tc>
          <w:tcPr>
            <w:tcW w:w="1010" w:type="dxa"/>
            <w:tcBorders>
              <w:top w:val="nil"/>
              <w:left w:val="single" w:color="auto" w:sz="8" w:space="0"/>
              <w:bottom w:val="single" w:color="auto" w:sz="4" w:space="0"/>
              <w:right w:val="single" w:color="auto" w:sz="4" w:space="0"/>
            </w:tcBorders>
            <w:vAlign w:val="center"/>
          </w:tcPr>
          <w:p w14:paraId="78C0584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0B963AB9">
            <w:pPr>
              <w:spacing w:line="320" w:lineRule="exact"/>
              <w:jc w:val="left"/>
              <w:rPr>
                <w:color w:val="000000"/>
                <w:kern w:val="0"/>
                <w:sz w:val="18"/>
                <w:szCs w:val="18"/>
              </w:rPr>
            </w:pPr>
            <w:r>
              <w:rPr>
                <w:rFonts w:hint="eastAsia"/>
                <w:color w:val="000000"/>
                <w:kern w:val="0"/>
                <w:sz w:val="18"/>
                <w:szCs w:val="18"/>
              </w:rPr>
              <w:t xml:space="preserve">【法律】《中华人民共和国固体废物污染环境防治法》 </w:t>
            </w:r>
          </w:p>
          <w:p w14:paraId="5A1B7F84">
            <w:pPr>
              <w:spacing w:line="320" w:lineRule="exact"/>
              <w:jc w:val="left"/>
              <w:rPr>
                <w:color w:val="000000"/>
                <w:kern w:val="0"/>
                <w:sz w:val="18"/>
                <w:szCs w:val="18"/>
              </w:rPr>
            </w:pPr>
            <w:r>
              <w:rPr>
                <w:rFonts w:hint="eastAsia"/>
                <w:color w:val="000000"/>
                <w:kern w:val="0"/>
                <w:sz w:val="18"/>
                <w:szCs w:val="18"/>
              </w:rPr>
              <w:t xml:space="preserve">    第六十三条第二款  工程施工单位应当及时清运工程施工过程中产生的建筑垃圾等固体废物，并按照环境卫生主管部门的规定进行利用或者处置。</w:t>
            </w:r>
          </w:p>
          <w:p w14:paraId="78C32B7F">
            <w:pPr>
              <w:spacing w:line="320" w:lineRule="exact"/>
              <w:jc w:val="left"/>
              <w:rPr>
                <w:color w:val="000000"/>
                <w:kern w:val="0"/>
                <w:sz w:val="18"/>
                <w:szCs w:val="18"/>
              </w:rPr>
            </w:pPr>
            <w:r>
              <w:rPr>
                <w:rFonts w:hint="eastAsia"/>
                <w:color w:val="000000"/>
                <w:kern w:val="0"/>
                <w:sz w:val="18"/>
                <w:szCs w:val="18"/>
              </w:rPr>
              <w:t xml:space="preserve">    第三款 工程施工单位不得擅自倾倒、抛撒或者堆放工程施工过程中产生的建筑垃圾。</w:t>
            </w:r>
          </w:p>
          <w:p w14:paraId="4BC7B63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14:paraId="5BA4085C">
            <w:pPr>
              <w:spacing w:line="320" w:lineRule="exact"/>
              <w:jc w:val="left"/>
              <w:rPr>
                <w:color w:val="000000"/>
                <w:kern w:val="0"/>
                <w:sz w:val="18"/>
                <w:szCs w:val="18"/>
              </w:rPr>
            </w:pPr>
            <w:r>
              <w:rPr>
                <w:rFonts w:hint="eastAsia"/>
                <w:color w:val="000000"/>
                <w:kern w:val="0"/>
                <w:sz w:val="18"/>
                <w:szCs w:val="18"/>
              </w:rPr>
              <w:t xml:space="preserve">   （四）工程施工单位擅自倾倒、抛撒或者堆放工程施工过程中产生的建筑垃圾，或者未按照规定对施工过程中产生的固体废物进行利用或者处置的；</w:t>
            </w:r>
          </w:p>
          <w:p w14:paraId="3AAC4EEC">
            <w:pPr>
              <w:spacing w:line="320" w:lineRule="exact"/>
              <w:jc w:val="left"/>
              <w:rPr>
                <w:color w:val="000000"/>
                <w:kern w:val="0"/>
                <w:sz w:val="18"/>
                <w:szCs w:val="18"/>
              </w:rPr>
            </w:pPr>
            <w:r>
              <w:rPr>
                <w:rFonts w:hint="eastAsia"/>
                <w:color w:val="000000"/>
                <w:kern w:val="0"/>
                <w:sz w:val="18"/>
                <w:szCs w:val="18"/>
              </w:rPr>
              <w:t xml:space="preserve">     第二款  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r>
      <w:tr w14:paraId="4CECAD7F">
        <w:tblPrEx>
          <w:tblCellMar>
            <w:top w:w="0" w:type="dxa"/>
            <w:left w:w="108" w:type="dxa"/>
            <w:bottom w:w="0" w:type="dxa"/>
            <w:right w:w="108" w:type="dxa"/>
          </w:tblCellMar>
        </w:tblPrEx>
        <w:trPr>
          <w:trHeight w:val="340" w:hRule="atLeast"/>
        </w:trPr>
        <w:tc>
          <w:tcPr>
            <w:tcW w:w="1010" w:type="dxa"/>
            <w:tcBorders>
              <w:top w:val="nil"/>
              <w:left w:val="single" w:color="auto" w:sz="8" w:space="0"/>
              <w:bottom w:val="single" w:color="auto" w:sz="4" w:space="0"/>
              <w:right w:val="single" w:color="auto" w:sz="4" w:space="0"/>
            </w:tcBorders>
            <w:vAlign w:val="center"/>
          </w:tcPr>
          <w:p w14:paraId="587680D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5616972F">
            <w:pPr>
              <w:spacing w:line="320" w:lineRule="exact"/>
              <w:jc w:val="left"/>
              <w:rPr>
                <w:color w:val="000000"/>
                <w:kern w:val="0"/>
                <w:sz w:val="18"/>
                <w:szCs w:val="18"/>
              </w:rPr>
            </w:pPr>
            <w:r>
              <w:rPr>
                <w:rFonts w:hint="eastAsia"/>
                <w:color w:val="000000"/>
                <w:kern w:val="0"/>
                <w:sz w:val="18"/>
                <w:szCs w:val="18"/>
              </w:rPr>
              <w:t>责令改正，罚款，没收违法所得</w:t>
            </w:r>
          </w:p>
        </w:tc>
      </w:tr>
      <w:tr w14:paraId="46D7CCE7">
        <w:tblPrEx>
          <w:tblCellMar>
            <w:top w:w="0" w:type="dxa"/>
            <w:left w:w="108" w:type="dxa"/>
            <w:bottom w:w="0" w:type="dxa"/>
            <w:right w:w="108" w:type="dxa"/>
          </w:tblCellMar>
        </w:tblPrEx>
        <w:trPr>
          <w:trHeight w:val="340"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BD516AE">
            <w:pPr>
              <w:spacing w:line="320" w:lineRule="exact"/>
              <w:jc w:val="center"/>
              <w:rPr>
                <w:color w:val="000000"/>
                <w:kern w:val="0"/>
                <w:sz w:val="18"/>
                <w:szCs w:val="18"/>
              </w:rPr>
            </w:pPr>
            <w:r>
              <w:rPr>
                <w:rFonts w:hint="eastAsia"/>
                <w:color w:val="000000"/>
                <w:kern w:val="0"/>
                <w:sz w:val="18"/>
                <w:szCs w:val="18"/>
              </w:rPr>
              <w:t>裁量基准</w:t>
            </w:r>
          </w:p>
        </w:tc>
      </w:tr>
      <w:tr w14:paraId="2D063A59">
        <w:tblPrEx>
          <w:tblCellMar>
            <w:top w:w="0" w:type="dxa"/>
            <w:left w:w="108" w:type="dxa"/>
            <w:bottom w:w="0" w:type="dxa"/>
            <w:right w:w="108" w:type="dxa"/>
          </w:tblCellMar>
        </w:tblPrEx>
        <w:trPr>
          <w:trHeight w:val="340" w:hRule="atLeast"/>
        </w:trPr>
        <w:tc>
          <w:tcPr>
            <w:tcW w:w="1010" w:type="dxa"/>
            <w:vMerge w:val="restart"/>
            <w:tcBorders>
              <w:top w:val="nil"/>
              <w:left w:val="single" w:color="auto" w:sz="8" w:space="0"/>
              <w:bottom w:val="single" w:color="auto" w:sz="4" w:space="0"/>
              <w:right w:val="single" w:color="auto" w:sz="4" w:space="0"/>
            </w:tcBorders>
            <w:vAlign w:val="center"/>
          </w:tcPr>
          <w:p w14:paraId="68E9134C">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78F8D0E2">
            <w:pPr>
              <w:rPr>
                <w:color w:val="000000"/>
                <w:kern w:val="0"/>
                <w:sz w:val="18"/>
                <w:szCs w:val="18"/>
              </w:rPr>
            </w:pPr>
            <w:r>
              <w:rPr>
                <w:rFonts w:hint="eastAsia"/>
                <w:color w:val="000000"/>
                <w:szCs w:val="21"/>
              </w:rPr>
              <w:t>建筑垃圾或者固体废物在</w:t>
            </w:r>
            <w:r>
              <w:rPr>
                <w:color w:val="000000"/>
                <w:szCs w:val="21"/>
              </w:rPr>
              <w:t>10</w:t>
            </w:r>
            <w:r>
              <w:rPr>
                <w:rFonts w:hint="eastAsia"/>
                <w:color w:val="000000"/>
                <w:szCs w:val="21"/>
              </w:rPr>
              <w:t>立方米以下</w:t>
            </w:r>
          </w:p>
        </w:tc>
        <w:tc>
          <w:tcPr>
            <w:tcW w:w="1016" w:type="dxa"/>
            <w:vMerge w:val="restart"/>
            <w:tcBorders>
              <w:top w:val="nil"/>
              <w:left w:val="single" w:color="auto" w:sz="4" w:space="0"/>
              <w:bottom w:val="single" w:color="auto" w:sz="4" w:space="0"/>
              <w:right w:val="single" w:color="auto" w:sz="4" w:space="0"/>
            </w:tcBorders>
            <w:vAlign w:val="center"/>
          </w:tcPr>
          <w:p w14:paraId="48FB880C">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20B51717">
            <w:pPr>
              <w:rPr>
                <w:color w:val="000000"/>
                <w:szCs w:val="21"/>
              </w:rPr>
            </w:pPr>
            <w:r>
              <w:rPr>
                <w:rFonts w:hint="eastAsia"/>
                <w:color w:val="000000"/>
                <w:szCs w:val="21"/>
              </w:rPr>
              <w:t>处</w:t>
            </w:r>
            <w:r>
              <w:rPr>
                <w:color w:val="000000"/>
                <w:szCs w:val="21"/>
              </w:rPr>
              <w:t>10</w:t>
            </w:r>
            <w:r>
              <w:rPr>
                <w:rFonts w:hint="eastAsia"/>
                <w:color w:val="000000"/>
                <w:szCs w:val="21"/>
              </w:rPr>
              <w:t>万元以上</w:t>
            </w:r>
            <w:r>
              <w:rPr>
                <w:color w:val="000000"/>
                <w:szCs w:val="21"/>
              </w:rPr>
              <w:t>40</w:t>
            </w:r>
            <w:r>
              <w:rPr>
                <w:rFonts w:hint="eastAsia"/>
                <w:color w:val="000000"/>
                <w:szCs w:val="21"/>
              </w:rPr>
              <w:t>万元以下罚款</w:t>
            </w:r>
          </w:p>
        </w:tc>
      </w:tr>
      <w:tr w14:paraId="600CE091">
        <w:tblPrEx>
          <w:tblCellMar>
            <w:top w:w="0" w:type="dxa"/>
            <w:left w:w="108" w:type="dxa"/>
            <w:bottom w:w="0" w:type="dxa"/>
            <w:right w:w="108" w:type="dxa"/>
          </w:tblCellMar>
        </w:tblPrEx>
        <w:trPr>
          <w:trHeight w:val="340" w:hRule="atLeast"/>
        </w:trPr>
        <w:tc>
          <w:tcPr>
            <w:tcW w:w="1010" w:type="dxa"/>
            <w:vMerge w:val="continue"/>
            <w:tcBorders>
              <w:top w:val="nil"/>
              <w:left w:val="single" w:color="auto" w:sz="8" w:space="0"/>
              <w:bottom w:val="single" w:color="auto" w:sz="4" w:space="0"/>
              <w:right w:val="single" w:color="auto" w:sz="4" w:space="0"/>
            </w:tcBorders>
            <w:vAlign w:val="center"/>
          </w:tcPr>
          <w:p w14:paraId="46829E32">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5FC2B89D">
            <w:pPr>
              <w:rPr>
                <w:color w:val="000000"/>
                <w:kern w:val="0"/>
                <w:sz w:val="18"/>
                <w:szCs w:val="18"/>
              </w:rPr>
            </w:pPr>
            <w:r>
              <w:rPr>
                <w:rFonts w:hint="eastAsia"/>
                <w:color w:val="000000"/>
                <w:szCs w:val="21"/>
              </w:rPr>
              <w:t>建筑垃圾或者固体废物在</w:t>
            </w:r>
            <w:r>
              <w:rPr>
                <w:color w:val="000000"/>
                <w:szCs w:val="21"/>
              </w:rPr>
              <w:t>10-50</w:t>
            </w:r>
            <w:r>
              <w:rPr>
                <w:rFonts w:hint="eastAsia"/>
                <w:color w:val="000000"/>
                <w:szCs w:val="21"/>
              </w:rPr>
              <w:t>立方米</w:t>
            </w:r>
          </w:p>
        </w:tc>
        <w:tc>
          <w:tcPr>
            <w:tcW w:w="1016" w:type="dxa"/>
            <w:vMerge w:val="continue"/>
            <w:tcBorders>
              <w:top w:val="nil"/>
              <w:left w:val="single" w:color="auto" w:sz="4" w:space="0"/>
              <w:bottom w:val="single" w:color="auto" w:sz="4" w:space="0"/>
              <w:right w:val="single" w:color="auto" w:sz="4" w:space="0"/>
            </w:tcBorders>
            <w:vAlign w:val="center"/>
          </w:tcPr>
          <w:p w14:paraId="3B571158">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23C88578">
            <w:pPr>
              <w:rPr>
                <w:color w:val="000000"/>
                <w:szCs w:val="21"/>
              </w:rPr>
            </w:pPr>
            <w:r>
              <w:rPr>
                <w:rFonts w:hint="eastAsia"/>
                <w:color w:val="000000"/>
                <w:szCs w:val="21"/>
              </w:rPr>
              <w:t>处</w:t>
            </w:r>
            <w:r>
              <w:rPr>
                <w:color w:val="000000"/>
                <w:szCs w:val="21"/>
              </w:rPr>
              <w:t>40</w:t>
            </w:r>
            <w:r>
              <w:rPr>
                <w:rFonts w:hint="eastAsia"/>
                <w:color w:val="000000"/>
                <w:szCs w:val="21"/>
              </w:rPr>
              <w:t>万元以上</w:t>
            </w:r>
            <w:r>
              <w:rPr>
                <w:color w:val="000000"/>
                <w:szCs w:val="21"/>
              </w:rPr>
              <w:t>70</w:t>
            </w:r>
            <w:r>
              <w:rPr>
                <w:rFonts w:hint="eastAsia"/>
                <w:color w:val="000000"/>
                <w:szCs w:val="21"/>
              </w:rPr>
              <w:t>万元以下罚款</w:t>
            </w:r>
          </w:p>
        </w:tc>
      </w:tr>
      <w:tr w14:paraId="0B5E5A56">
        <w:tblPrEx>
          <w:tblCellMar>
            <w:top w:w="0" w:type="dxa"/>
            <w:left w:w="108" w:type="dxa"/>
            <w:bottom w:w="0" w:type="dxa"/>
            <w:right w:w="108" w:type="dxa"/>
          </w:tblCellMar>
        </w:tblPrEx>
        <w:trPr>
          <w:trHeight w:val="340" w:hRule="atLeast"/>
        </w:trPr>
        <w:tc>
          <w:tcPr>
            <w:tcW w:w="1010" w:type="dxa"/>
            <w:vMerge w:val="continue"/>
            <w:tcBorders>
              <w:top w:val="nil"/>
              <w:left w:val="single" w:color="auto" w:sz="8" w:space="0"/>
              <w:bottom w:val="single" w:color="auto" w:sz="4" w:space="0"/>
              <w:right w:val="single" w:color="auto" w:sz="4" w:space="0"/>
            </w:tcBorders>
            <w:vAlign w:val="center"/>
          </w:tcPr>
          <w:p w14:paraId="54467CA9">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2D06437B">
            <w:pPr>
              <w:rPr>
                <w:color w:val="000000"/>
                <w:kern w:val="0"/>
                <w:sz w:val="18"/>
                <w:szCs w:val="18"/>
              </w:rPr>
            </w:pPr>
            <w:r>
              <w:rPr>
                <w:rFonts w:hint="eastAsia"/>
                <w:color w:val="000000"/>
                <w:szCs w:val="21"/>
              </w:rPr>
              <w:t>建筑垃圾或者固体废物在</w:t>
            </w:r>
            <w:r>
              <w:rPr>
                <w:color w:val="000000"/>
                <w:szCs w:val="21"/>
              </w:rPr>
              <w:t>50</w:t>
            </w:r>
            <w:r>
              <w:rPr>
                <w:rFonts w:hint="eastAsia"/>
                <w:color w:val="000000"/>
                <w:szCs w:val="21"/>
              </w:rPr>
              <w:t>立方米以上</w:t>
            </w:r>
          </w:p>
        </w:tc>
        <w:tc>
          <w:tcPr>
            <w:tcW w:w="1016" w:type="dxa"/>
            <w:vMerge w:val="continue"/>
            <w:tcBorders>
              <w:top w:val="nil"/>
              <w:left w:val="single" w:color="auto" w:sz="4" w:space="0"/>
              <w:bottom w:val="single" w:color="auto" w:sz="4" w:space="0"/>
              <w:right w:val="single" w:color="auto" w:sz="4" w:space="0"/>
            </w:tcBorders>
            <w:vAlign w:val="center"/>
          </w:tcPr>
          <w:p w14:paraId="21853216">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1709AE54">
            <w:pPr>
              <w:rPr>
                <w:color w:val="000000"/>
                <w:szCs w:val="21"/>
              </w:rPr>
            </w:pPr>
            <w:r>
              <w:rPr>
                <w:rFonts w:hint="eastAsia"/>
                <w:color w:val="000000"/>
                <w:szCs w:val="21"/>
              </w:rPr>
              <w:t>处</w:t>
            </w:r>
            <w:r>
              <w:rPr>
                <w:color w:val="000000"/>
                <w:szCs w:val="21"/>
              </w:rPr>
              <w:t>70</w:t>
            </w:r>
            <w:r>
              <w:rPr>
                <w:rFonts w:hint="eastAsia"/>
                <w:color w:val="000000"/>
                <w:szCs w:val="21"/>
              </w:rPr>
              <w:t>万元以上</w:t>
            </w:r>
            <w:r>
              <w:rPr>
                <w:color w:val="000000"/>
                <w:szCs w:val="21"/>
              </w:rPr>
              <w:t>100</w:t>
            </w:r>
            <w:r>
              <w:rPr>
                <w:rFonts w:hint="eastAsia"/>
                <w:color w:val="000000"/>
                <w:szCs w:val="21"/>
              </w:rPr>
              <w:t>万元以下罚款</w:t>
            </w:r>
          </w:p>
        </w:tc>
      </w:tr>
    </w:tbl>
    <w:p w14:paraId="54F3D41F"/>
    <w:p w14:paraId="4C942429"/>
    <w:p w14:paraId="2AB154B9"/>
    <w:p w14:paraId="0C3ADB75"/>
    <w:p w14:paraId="2BB4AF16"/>
    <w:p w14:paraId="541EBEF5"/>
    <w:p w14:paraId="26036E9C"/>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1BDF3615">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56E0E549">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4B5704A7">
            <w:pPr>
              <w:spacing w:line="320" w:lineRule="exact"/>
              <w:jc w:val="left"/>
              <w:rPr>
                <w:rFonts w:eastAsia="仿宋_GB2312"/>
                <w:b/>
                <w:bCs/>
                <w:color w:val="000000"/>
                <w:kern w:val="0"/>
                <w:sz w:val="18"/>
                <w:szCs w:val="18"/>
              </w:rPr>
            </w:pPr>
            <w:r>
              <w:rPr>
                <w:rFonts w:eastAsia="仿宋_GB2312"/>
                <w:b/>
                <w:bCs/>
                <w:color w:val="000000"/>
                <w:kern w:val="0"/>
                <w:sz w:val="18"/>
                <w:szCs w:val="18"/>
              </w:rPr>
              <w:t>320217373000</w:t>
            </w:r>
          </w:p>
        </w:tc>
      </w:tr>
      <w:tr w14:paraId="773557CF">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1466B3E1">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2A5BF4FC">
            <w:pPr>
              <w:spacing w:line="320" w:lineRule="exact"/>
              <w:jc w:val="left"/>
              <w:rPr>
                <w:rFonts w:eastAsia="仿宋_GB2312"/>
                <w:color w:val="000000"/>
                <w:sz w:val="20"/>
              </w:rPr>
            </w:pPr>
            <w:r>
              <w:rPr>
                <w:rFonts w:hint="eastAsia"/>
                <w:color w:val="000000"/>
                <w:kern w:val="0"/>
                <w:sz w:val="18"/>
                <w:szCs w:val="18"/>
              </w:rPr>
              <w:t>对城镇污水处理设施维护运营单位未按照国家有关规定检测进出水水质的，或者未报送污水处理水质和水量、主要污染物削减量等信息和生产运营成本等信息的处罚</w:t>
            </w:r>
          </w:p>
        </w:tc>
      </w:tr>
      <w:tr w14:paraId="1E5C4E20">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2EC3D704">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7BED258B">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14:paraId="587AA6C0">
            <w:pPr>
              <w:spacing w:line="320" w:lineRule="exact"/>
              <w:jc w:val="left"/>
              <w:rPr>
                <w:color w:val="000000"/>
                <w:kern w:val="0"/>
                <w:sz w:val="18"/>
                <w:szCs w:val="18"/>
              </w:rPr>
            </w:pPr>
            <w:r>
              <w:rPr>
                <w:rFonts w:hint="eastAsia"/>
                <w:color w:val="000000"/>
                <w:kern w:val="0"/>
                <w:sz w:val="18"/>
                <w:szCs w:val="18"/>
              </w:rPr>
              <w:t>第二十九条第二款　城镇污水处理设施维护运营单位应当按照国家有关规定检测进出水水质，向城镇排水主管部门、环境保护主管部门报送污水处理水质和水量、主要污染物削减量等信息，并按照有关规定和维护运营合同，向城镇排水主管部门报送生产运营成本等信息。</w:t>
            </w:r>
          </w:p>
          <w:p w14:paraId="77517680">
            <w:pPr>
              <w:spacing w:line="320" w:lineRule="exact"/>
              <w:jc w:val="left"/>
              <w:rPr>
                <w:color w:val="000000"/>
                <w:kern w:val="0"/>
                <w:sz w:val="18"/>
                <w:szCs w:val="18"/>
              </w:rPr>
            </w:pPr>
            <w:r>
              <w:rPr>
                <w:rFonts w:hint="eastAsia"/>
                <w:color w:val="000000"/>
                <w:kern w:val="0"/>
                <w:sz w:val="18"/>
                <w:szCs w:val="18"/>
              </w:rPr>
              <w:t>第五十二条第一款　违反本条例规定，城镇污水处理设施维护运营单位未按照国家有关规定检测进出水水质的，或者未报送污水处理水质和水量、主要污染物削减量等信息和生产运营成本等信息的，由城镇排水主管部门责令改正，可以处</w:t>
            </w:r>
            <w:r>
              <w:rPr>
                <w:color w:val="000000"/>
                <w:kern w:val="0"/>
                <w:sz w:val="18"/>
                <w:szCs w:val="18"/>
              </w:rPr>
              <w:t>5</w:t>
            </w:r>
            <w:r>
              <w:rPr>
                <w:rFonts w:hint="eastAsia"/>
                <w:color w:val="000000"/>
                <w:kern w:val="0"/>
                <w:sz w:val="18"/>
                <w:szCs w:val="18"/>
              </w:rPr>
              <w:t>万元以下罚款；造成损失的，依法承担赔偿责任。</w:t>
            </w:r>
          </w:p>
        </w:tc>
      </w:tr>
      <w:tr w14:paraId="3C5F069D">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42EFCA6B">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68859927">
            <w:pPr>
              <w:spacing w:line="320" w:lineRule="exact"/>
              <w:jc w:val="left"/>
              <w:rPr>
                <w:color w:val="000000"/>
                <w:kern w:val="0"/>
                <w:sz w:val="18"/>
                <w:szCs w:val="18"/>
              </w:rPr>
            </w:pPr>
            <w:r>
              <w:rPr>
                <w:rFonts w:hint="eastAsia"/>
                <w:color w:val="000000"/>
                <w:kern w:val="0"/>
                <w:sz w:val="18"/>
                <w:szCs w:val="18"/>
              </w:rPr>
              <w:t>罚款</w:t>
            </w:r>
          </w:p>
        </w:tc>
      </w:tr>
      <w:tr w14:paraId="3D27F88B">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4F66A18E">
            <w:pPr>
              <w:spacing w:line="320" w:lineRule="exact"/>
              <w:jc w:val="center"/>
              <w:rPr>
                <w:color w:val="000000"/>
                <w:kern w:val="0"/>
                <w:sz w:val="18"/>
                <w:szCs w:val="18"/>
              </w:rPr>
            </w:pPr>
            <w:r>
              <w:rPr>
                <w:rFonts w:hint="eastAsia"/>
                <w:color w:val="000000"/>
                <w:kern w:val="0"/>
                <w:sz w:val="18"/>
                <w:szCs w:val="18"/>
              </w:rPr>
              <w:t>裁量基准</w:t>
            </w:r>
          </w:p>
        </w:tc>
      </w:tr>
      <w:tr w14:paraId="2C143DEC">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63F0EC2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FC4C8E9">
            <w:pPr>
              <w:spacing w:line="320" w:lineRule="exact"/>
              <w:jc w:val="left"/>
              <w:rPr>
                <w:color w:val="000000"/>
                <w:kern w:val="0"/>
                <w:sz w:val="18"/>
                <w:szCs w:val="18"/>
              </w:rPr>
            </w:pPr>
            <w:r>
              <w:rPr>
                <w:rFonts w:hint="eastAsia"/>
                <w:color w:val="000000"/>
                <w:kern w:val="0"/>
                <w:sz w:val="18"/>
                <w:szCs w:val="18"/>
              </w:rPr>
              <w:t>未报送污水处理水质和水量、主要污染物削减量等信息和生产运营成本等信息，且未按照要求改正的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6D337D28">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172B57E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14:paraId="52348695">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45FC237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126E146">
            <w:pPr>
              <w:spacing w:line="320" w:lineRule="exact"/>
              <w:jc w:val="left"/>
              <w:rPr>
                <w:color w:val="000000"/>
                <w:kern w:val="0"/>
                <w:sz w:val="18"/>
                <w:szCs w:val="18"/>
              </w:rPr>
            </w:pPr>
            <w:r>
              <w:rPr>
                <w:rFonts w:hint="eastAsia"/>
                <w:color w:val="000000"/>
                <w:kern w:val="0"/>
                <w:sz w:val="18"/>
                <w:szCs w:val="18"/>
              </w:rPr>
              <w:t>未按照国家有关规定检测进出水水质，且未按照要求改正的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14CFA628">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5264A93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0FC971E6">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55D5400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1A2AC5B">
            <w:pPr>
              <w:spacing w:line="320" w:lineRule="exact"/>
              <w:jc w:val="left"/>
              <w:rPr>
                <w:color w:val="000000"/>
                <w:kern w:val="0"/>
                <w:sz w:val="18"/>
                <w:szCs w:val="18"/>
              </w:rPr>
            </w:pPr>
            <w:r>
              <w:rPr>
                <w:rFonts w:hint="eastAsia"/>
                <w:color w:val="000000"/>
                <w:kern w:val="0"/>
                <w:sz w:val="18"/>
                <w:szCs w:val="18"/>
              </w:rPr>
              <w:t>既未按照国家有关规定检测进出水水质，又未报送污水处理水质和水量、主要污染物削减量等信息和生产运营成本等信息，且未按照要求改正的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5678CA22">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0DD07A9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23F0AA8A">
      <w:r>
        <w:rPr>
          <w:rFonts w:hint="eastAsia"/>
        </w:rPr>
        <w:br w:type="textWrapping"/>
      </w:r>
    </w:p>
    <w:p w14:paraId="6CC49B36"/>
    <w:p w14:paraId="2A9E0B84"/>
    <w:p w14:paraId="6F0F3B41"/>
    <w:p w14:paraId="23147461"/>
    <w:p w14:paraId="5D178A5D"/>
    <w:p w14:paraId="320CECC0"/>
    <w:p w14:paraId="5FF57CAD"/>
    <w:tbl>
      <w:tblPr>
        <w:tblStyle w:val="15"/>
        <w:tblW w:w="0" w:type="auto"/>
        <w:tblInd w:w="88" w:type="dxa"/>
        <w:tblLayout w:type="fixed"/>
        <w:tblCellMar>
          <w:top w:w="0" w:type="dxa"/>
          <w:left w:w="108" w:type="dxa"/>
          <w:bottom w:w="0" w:type="dxa"/>
          <w:right w:w="108" w:type="dxa"/>
        </w:tblCellMar>
      </w:tblPr>
      <w:tblGrid>
        <w:gridCol w:w="1056"/>
        <w:gridCol w:w="6140"/>
        <w:gridCol w:w="1060"/>
        <w:gridCol w:w="5760"/>
      </w:tblGrid>
      <w:tr w14:paraId="1F25DAC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B51A948">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63F3C816">
            <w:pPr>
              <w:spacing w:line="320" w:lineRule="exact"/>
              <w:jc w:val="left"/>
              <w:rPr>
                <w:rFonts w:eastAsia="仿宋_GB2312"/>
                <w:b/>
                <w:bCs/>
                <w:color w:val="000000"/>
                <w:kern w:val="0"/>
                <w:sz w:val="18"/>
                <w:szCs w:val="18"/>
              </w:rPr>
            </w:pPr>
            <w:r>
              <w:rPr>
                <w:rFonts w:eastAsia="仿宋_GB2312"/>
                <w:b/>
                <w:bCs/>
                <w:color w:val="000000"/>
                <w:kern w:val="0"/>
                <w:sz w:val="18"/>
                <w:szCs w:val="18"/>
              </w:rPr>
              <w:t>320217376000</w:t>
            </w:r>
          </w:p>
        </w:tc>
      </w:tr>
      <w:tr w14:paraId="67D5843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1004867">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2F7C12C1">
            <w:pPr>
              <w:spacing w:line="320" w:lineRule="exact"/>
              <w:jc w:val="left"/>
              <w:rPr>
                <w:color w:val="000000"/>
                <w:kern w:val="0"/>
                <w:sz w:val="18"/>
                <w:szCs w:val="18"/>
              </w:rPr>
            </w:pPr>
            <w:r>
              <w:rPr>
                <w:rFonts w:hint="eastAsia"/>
                <w:color w:val="000000"/>
                <w:kern w:val="0"/>
                <w:sz w:val="18"/>
                <w:szCs w:val="18"/>
              </w:rPr>
              <w:t>对承租人在公共租赁住房内从事违法活动的处罚</w:t>
            </w:r>
          </w:p>
        </w:tc>
      </w:tr>
      <w:tr w14:paraId="106C88C6">
        <w:tblPrEx>
          <w:tblCellMar>
            <w:top w:w="0" w:type="dxa"/>
            <w:left w:w="108" w:type="dxa"/>
            <w:bottom w:w="0" w:type="dxa"/>
            <w:right w:w="108" w:type="dxa"/>
          </w:tblCellMar>
        </w:tblPrEx>
        <w:trPr>
          <w:trHeight w:val="1704" w:hRule="atLeast"/>
        </w:trPr>
        <w:tc>
          <w:tcPr>
            <w:tcW w:w="1056" w:type="dxa"/>
            <w:tcBorders>
              <w:top w:val="nil"/>
              <w:left w:val="single" w:color="auto" w:sz="8" w:space="0"/>
              <w:bottom w:val="single" w:color="auto" w:sz="4" w:space="0"/>
              <w:right w:val="single" w:color="auto" w:sz="4" w:space="0"/>
            </w:tcBorders>
            <w:vAlign w:val="center"/>
          </w:tcPr>
          <w:p w14:paraId="34F2855A">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085AEDCA">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14:paraId="3C5980C6">
            <w:pPr>
              <w:spacing w:line="320" w:lineRule="exact"/>
              <w:jc w:val="left"/>
              <w:rPr>
                <w:color w:val="000000"/>
                <w:kern w:val="0"/>
                <w:sz w:val="18"/>
                <w:szCs w:val="18"/>
              </w:rPr>
            </w:pP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倍以下但不超过</w:t>
            </w:r>
            <w:r>
              <w:rPr>
                <w:color w:val="000000"/>
                <w:kern w:val="0"/>
                <w:sz w:val="18"/>
                <w:szCs w:val="18"/>
              </w:rPr>
              <w:t>3</w:t>
            </w:r>
            <w:r>
              <w:rPr>
                <w:rFonts w:hint="eastAsia"/>
                <w:color w:val="000000"/>
                <w:kern w:val="0"/>
                <w:sz w:val="18"/>
                <w:szCs w:val="18"/>
              </w:rPr>
              <w:t>万元的罚款</w:t>
            </w:r>
          </w:p>
          <w:p w14:paraId="4CAE7DE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（四）在公共租赁住房内从事违法活动的；</w:t>
            </w:r>
          </w:p>
          <w:p w14:paraId="66EF2896">
            <w:pPr>
              <w:spacing w:line="320" w:lineRule="exact"/>
              <w:ind w:firstLine="360" w:firstLineChars="200"/>
              <w:jc w:val="left"/>
              <w:rPr>
                <w:color w:val="000000"/>
                <w:kern w:val="0"/>
                <w:sz w:val="18"/>
                <w:szCs w:val="18"/>
              </w:rPr>
            </w:pPr>
            <w:r>
              <w:rPr>
                <w:rFonts w:hint="eastAsia"/>
                <w:color w:val="000000"/>
                <w:kern w:val="0"/>
                <w:sz w:val="18"/>
                <w:szCs w:val="18"/>
              </w:rPr>
              <w:t>有前款所列行为，承租人自退回公共租赁住房之日起五年内不得再次申请公共租赁住房；造成损失的，依法承担赔偿责任。</w:t>
            </w:r>
          </w:p>
        </w:tc>
      </w:tr>
      <w:tr w14:paraId="1C47676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95504B5">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5F66A8A5">
            <w:pPr>
              <w:spacing w:line="320" w:lineRule="exact"/>
              <w:jc w:val="left"/>
              <w:rPr>
                <w:color w:val="000000"/>
                <w:kern w:val="0"/>
                <w:sz w:val="18"/>
                <w:szCs w:val="18"/>
              </w:rPr>
            </w:pPr>
            <w:r>
              <w:rPr>
                <w:rFonts w:hint="eastAsia"/>
                <w:color w:val="000000"/>
                <w:kern w:val="0"/>
                <w:sz w:val="18"/>
                <w:szCs w:val="18"/>
              </w:rPr>
              <w:t>罚款</w:t>
            </w:r>
          </w:p>
        </w:tc>
      </w:tr>
      <w:tr w14:paraId="10BE7F0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C99875C">
            <w:pPr>
              <w:spacing w:line="320" w:lineRule="exact"/>
              <w:jc w:val="center"/>
              <w:rPr>
                <w:color w:val="000000"/>
                <w:kern w:val="0"/>
                <w:sz w:val="18"/>
                <w:szCs w:val="18"/>
              </w:rPr>
            </w:pPr>
            <w:r>
              <w:rPr>
                <w:rFonts w:hint="eastAsia"/>
                <w:color w:val="000000"/>
                <w:kern w:val="0"/>
                <w:sz w:val="18"/>
                <w:szCs w:val="18"/>
              </w:rPr>
              <w:t>裁量基准</w:t>
            </w:r>
          </w:p>
        </w:tc>
      </w:tr>
      <w:tr w14:paraId="23D8B465">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09E5652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A525863">
            <w:pPr>
              <w:spacing w:line="320" w:lineRule="exact"/>
              <w:jc w:val="left"/>
              <w:rPr>
                <w:color w:val="000000"/>
                <w:kern w:val="0"/>
                <w:sz w:val="18"/>
                <w:szCs w:val="18"/>
              </w:rPr>
            </w:pPr>
            <w:r>
              <w:rPr>
                <w:rFonts w:hint="eastAsia"/>
                <w:color w:val="000000"/>
                <w:kern w:val="0"/>
                <w:sz w:val="18"/>
                <w:szCs w:val="18"/>
              </w:rPr>
              <w:t>没有违法所得且按照要求退回公共租赁住房的</w:t>
            </w:r>
          </w:p>
        </w:tc>
        <w:tc>
          <w:tcPr>
            <w:tcW w:w="1060" w:type="dxa"/>
            <w:vMerge w:val="restart"/>
            <w:tcBorders>
              <w:top w:val="nil"/>
              <w:left w:val="single" w:color="auto" w:sz="4" w:space="0"/>
              <w:bottom w:val="single" w:color="auto" w:sz="4" w:space="0"/>
              <w:right w:val="single" w:color="auto" w:sz="4" w:space="0"/>
            </w:tcBorders>
            <w:vAlign w:val="center"/>
          </w:tcPr>
          <w:p w14:paraId="51E1EF53">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5A3F6E1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14:paraId="72EA9E53">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47F839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A307E8D">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60" w:type="dxa"/>
            <w:vMerge w:val="continue"/>
            <w:tcBorders>
              <w:top w:val="nil"/>
              <w:left w:val="single" w:color="auto" w:sz="4" w:space="0"/>
              <w:bottom w:val="single" w:color="auto" w:sz="4" w:space="0"/>
              <w:right w:val="single" w:color="auto" w:sz="4" w:space="0"/>
            </w:tcBorders>
            <w:vAlign w:val="center"/>
          </w:tcPr>
          <w:p w14:paraId="724B62E5">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202756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14:paraId="3F099FE7">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66D619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AEC27F0">
            <w:pPr>
              <w:spacing w:line="320" w:lineRule="exact"/>
              <w:jc w:val="left"/>
              <w:rPr>
                <w:color w:val="000000"/>
                <w:kern w:val="0"/>
                <w:sz w:val="18"/>
                <w:szCs w:val="18"/>
              </w:rPr>
            </w:pPr>
            <w:r>
              <w:rPr>
                <w:rFonts w:hint="eastAsia"/>
                <w:color w:val="000000"/>
                <w:kern w:val="0"/>
                <w:sz w:val="18"/>
                <w:szCs w:val="18"/>
              </w:rPr>
              <w:t>有违法所得且按照要求退回公共租赁住房的</w:t>
            </w:r>
          </w:p>
        </w:tc>
        <w:tc>
          <w:tcPr>
            <w:tcW w:w="1060" w:type="dxa"/>
            <w:vMerge w:val="continue"/>
            <w:tcBorders>
              <w:top w:val="nil"/>
              <w:left w:val="single" w:color="auto" w:sz="4" w:space="0"/>
              <w:bottom w:val="single" w:color="auto" w:sz="4" w:space="0"/>
              <w:right w:val="single" w:color="auto" w:sz="4" w:space="0"/>
            </w:tcBorders>
            <w:vAlign w:val="center"/>
          </w:tcPr>
          <w:p w14:paraId="2344A70F">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E930C3D">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3B30471E">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67C157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A9D61C7">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60" w:type="dxa"/>
            <w:vMerge w:val="continue"/>
            <w:tcBorders>
              <w:top w:val="nil"/>
              <w:left w:val="single" w:color="auto" w:sz="4" w:space="0"/>
              <w:bottom w:val="single" w:color="auto" w:sz="4" w:space="0"/>
              <w:right w:val="single" w:color="auto" w:sz="4" w:space="0"/>
            </w:tcBorders>
            <w:vAlign w:val="center"/>
          </w:tcPr>
          <w:p w14:paraId="3B1AE269">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F777937">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0A4FA4E7"/>
    <w:p w14:paraId="5DF505C0"/>
    <w:p w14:paraId="1715B6F4"/>
    <w:p w14:paraId="42889B03"/>
    <w:p w14:paraId="1BDA7D12"/>
    <w:p w14:paraId="01CCAE2D"/>
    <w:p w14:paraId="1B6891E7"/>
    <w:p w14:paraId="7A0DE41C"/>
    <w:tbl>
      <w:tblPr>
        <w:tblStyle w:val="15"/>
        <w:tblW w:w="0" w:type="auto"/>
        <w:tblInd w:w="93" w:type="dxa"/>
        <w:tblLayout w:type="fixed"/>
        <w:tblCellMar>
          <w:top w:w="0" w:type="dxa"/>
          <w:left w:w="108" w:type="dxa"/>
          <w:bottom w:w="0" w:type="dxa"/>
          <w:right w:w="108" w:type="dxa"/>
        </w:tblCellMar>
      </w:tblPr>
      <w:tblGrid>
        <w:gridCol w:w="975"/>
        <w:gridCol w:w="30"/>
        <w:gridCol w:w="6110"/>
        <w:gridCol w:w="1000"/>
        <w:gridCol w:w="5910"/>
      </w:tblGrid>
      <w:tr w14:paraId="4A4A606F">
        <w:tblPrEx>
          <w:tblCellMar>
            <w:top w:w="0" w:type="dxa"/>
            <w:left w:w="108" w:type="dxa"/>
            <w:bottom w:w="0" w:type="dxa"/>
            <w:right w:w="108" w:type="dxa"/>
          </w:tblCellMar>
        </w:tblPrEx>
        <w:trPr>
          <w:trHeight w:val="285" w:hRule="atLeast"/>
        </w:trPr>
        <w:tc>
          <w:tcPr>
            <w:tcW w:w="1005" w:type="dxa"/>
            <w:gridSpan w:val="2"/>
            <w:tcBorders>
              <w:top w:val="single" w:color="auto" w:sz="8" w:space="0"/>
              <w:left w:val="single" w:color="auto" w:sz="8" w:space="0"/>
              <w:bottom w:val="single" w:color="auto" w:sz="4" w:space="0"/>
              <w:right w:val="single" w:color="auto" w:sz="4" w:space="0"/>
            </w:tcBorders>
            <w:vAlign w:val="center"/>
          </w:tcPr>
          <w:p w14:paraId="2F0A5061">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528D68D7">
            <w:pPr>
              <w:spacing w:line="320" w:lineRule="exact"/>
              <w:jc w:val="left"/>
              <w:rPr>
                <w:rFonts w:eastAsia="仿宋_GB2312"/>
                <w:b/>
                <w:bCs/>
                <w:color w:val="000000"/>
                <w:kern w:val="0"/>
                <w:sz w:val="18"/>
                <w:szCs w:val="18"/>
              </w:rPr>
            </w:pPr>
            <w:r>
              <w:rPr>
                <w:rFonts w:eastAsia="仿宋_GB2312"/>
                <w:b/>
                <w:bCs/>
                <w:color w:val="000000"/>
                <w:kern w:val="0"/>
                <w:sz w:val="18"/>
                <w:szCs w:val="18"/>
              </w:rPr>
              <w:t>320217377000</w:t>
            </w:r>
          </w:p>
        </w:tc>
      </w:tr>
      <w:tr w14:paraId="27D349E1">
        <w:tblPrEx>
          <w:tblCellMar>
            <w:top w:w="0" w:type="dxa"/>
            <w:left w:w="108" w:type="dxa"/>
            <w:bottom w:w="0" w:type="dxa"/>
            <w:right w:w="108" w:type="dxa"/>
          </w:tblCellMar>
        </w:tblPrEx>
        <w:trPr>
          <w:trHeight w:val="285" w:hRule="atLeast"/>
        </w:trPr>
        <w:tc>
          <w:tcPr>
            <w:tcW w:w="1005" w:type="dxa"/>
            <w:gridSpan w:val="2"/>
            <w:tcBorders>
              <w:top w:val="nil"/>
              <w:left w:val="single" w:color="auto" w:sz="8" w:space="0"/>
              <w:bottom w:val="single" w:color="auto" w:sz="4" w:space="0"/>
              <w:right w:val="single" w:color="auto" w:sz="4" w:space="0"/>
            </w:tcBorders>
            <w:vAlign w:val="center"/>
          </w:tcPr>
          <w:p w14:paraId="655BCD0A">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color="auto" w:sz="4" w:space="0"/>
              <w:left w:val="nil"/>
              <w:bottom w:val="single" w:color="auto" w:sz="4" w:space="0"/>
              <w:right w:val="single" w:color="000000" w:sz="8" w:space="0"/>
            </w:tcBorders>
            <w:vAlign w:val="center"/>
          </w:tcPr>
          <w:p w14:paraId="4D66447D">
            <w:pPr>
              <w:spacing w:line="320" w:lineRule="exact"/>
              <w:jc w:val="left"/>
              <w:rPr>
                <w:color w:val="000000"/>
                <w:kern w:val="0"/>
                <w:sz w:val="18"/>
                <w:szCs w:val="18"/>
              </w:rPr>
            </w:pPr>
            <w:r>
              <w:rPr>
                <w:rFonts w:hint="eastAsia"/>
                <w:color w:val="000000"/>
                <w:kern w:val="0"/>
                <w:sz w:val="18"/>
                <w:szCs w:val="18"/>
              </w:rPr>
              <w:t>对燃气经营者未履行必要告知义务擅自停止供气、调整供气量，或者未经审批擅自停业或者歇业的处罚</w:t>
            </w:r>
          </w:p>
        </w:tc>
      </w:tr>
      <w:tr w14:paraId="139E0734">
        <w:tblPrEx>
          <w:tblCellMar>
            <w:top w:w="0" w:type="dxa"/>
            <w:left w:w="108" w:type="dxa"/>
            <w:bottom w:w="0" w:type="dxa"/>
            <w:right w:w="108" w:type="dxa"/>
          </w:tblCellMar>
        </w:tblPrEx>
        <w:trPr>
          <w:trHeight w:val="1560" w:hRule="atLeast"/>
        </w:trPr>
        <w:tc>
          <w:tcPr>
            <w:tcW w:w="1005" w:type="dxa"/>
            <w:gridSpan w:val="2"/>
            <w:tcBorders>
              <w:top w:val="nil"/>
              <w:left w:val="single" w:color="auto" w:sz="8" w:space="0"/>
              <w:bottom w:val="single" w:color="auto" w:sz="4" w:space="0"/>
              <w:right w:val="single" w:color="auto" w:sz="4" w:space="0"/>
            </w:tcBorders>
            <w:vAlign w:val="center"/>
          </w:tcPr>
          <w:p w14:paraId="2FEC70C2">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1A0F1AF6">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（三）未履行必要告知义务擅自停止供气、调整供气量，或者未经审批擅自停业或者歇业。</w:t>
            </w:r>
            <w:r>
              <w:rPr>
                <w:color w:val="000000"/>
                <w:kern w:val="0"/>
                <w:sz w:val="18"/>
                <w:szCs w:val="18"/>
              </w:rPr>
              <w:br w:type="textWrapping"/>
            </w: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（三）未履行必要告知义务擅自停止供气、调整供气量，或者未经审批擅自停业或者歇业的。</w:t>
            </w:r>
          </w:p>
        </w:tc>
      </w:tr>
      <w:tr w14:paraId="72F22014">
        <w:tblPrEx>
          <w:tblCellMar>
            <w:top w:w="0" w:type="dxa"/>
            <w:left w:w="108" w:type="dxa"/>
            <w:bottom w:w="0" w:type="dxa"/>
            <w:right w:w="108" w:type="dxa"/>
          </w:tblCellMar>
        </w:tblPrEx>
        <w:trPr>
          <w:trHeight w:val="285" w:hRule="atLeast"/>
        </w:trPr>
        <w:tc>
          <w:tcPr>
            <w:tcW w:w="1005" w:type="dxa"/>
            <w:gridSpan w:val="2"/>
            <w:tcBorders>
              <w:top w:val="nil"/>
              <w:left w:val="single" w:color="auto" w:sz="8" w:space="0"/>
              <w:bottom w:val="single" w:color="auto" w:sz="4" w:space="0"/>
              <w:right w:val="single" w:color="auto" w:sz="4" w:space="0"/>
            </w:tcBorders>
            <w:vAlign w:val="center"/>
          </w:tcPr>
          <w:p w14:paraId="5CE60F94">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5CBA0B60">
            <w:pPr>
              <w:spacing w:line="320" w:lineRule="exact"/>
              <w:jc w:val="left"/>
              <w:rPr>
                <w:color w:val="000000"/>
                <w:kern w:val="0"/>
                <w:sz w:val="18"/>
                <w:szCs w:val="18"/>
              </w:rPr>
            </w:pPr>
            <w:r>
              <w:rPr>
                <w:rFonts w:hint="eastAsia"/>
                <w:color w:val="000000"/>
                <w:kern w:val="0"/>
                <w:sz w:val="18"/>
                <w:szCs w:val="18"/>
              </w:rPr>
              <w:t>罚款，没收违法所得，吊销许可证</w:t>
            </w:r>
          </w:p>
        </w:tc>
      </w:tr>
      <w:tr w14:paraId="0284D5C9">
        <w:tblPrEx>
          <w:tblCellMar>
            <w:top w:w="0" w:type="dxa"/>
            <w:left w:w="108" w:type="dxa"/>
            <w:bottom w:w="0" w:type="dxa"/>
            <w:right w:w="108" w:type="dxa"/>
          </w:tblCellMar>
        </w:tblPrEx>
        <w:trPr>
          <w:trHeight w:val="285" w:hRule="atLeast"/>
        </w:trPr>
        <w:tc>
          <w:tcPr>
            <w:tcW w:w="14025" w:type="dxa"/>
            <w:gridSpan w:val="5"/>
            <w:tcBorders>
              <w:top w:val="single" w:color="auto" w:sz="4" w:space="0"/>
              <w:left w:val="single" w:color="auto" w:sz="8" w:space="0"/>
              <w:bottom w:val="single" w:color="auto" w:sz="4" w:space="0"/>
              <w:right w:val="single" w:color="000000" w:sz="8" w:space="0"/>
            </w:tcBorders>
            <w:vAlign w:val="center"/>
          </w:tcPr>
          <w:p w14:paraId="7837AACA">
            <w:pPr>
              <w:spacing w:line="320" w:lineRule="exact"/>
              <w:jc w:val="center"/>
              <w:rPr>
                <w:color w:val="000000"/>
                <w:kern w:val="0"/>
                <w:sz w:val="18"/>
                <w:szCs w:val="18"/>
              </w:rPr>
            </w:pPr>
            <w:r>
              <w:rPr>
                <w:rFonts w:hint="eastAsia"/>
                <w:color w:val="000000"/>
                <w:kern w:val="0"/>
                <w:sz w:val="18"/>
                <w:szCs w:val="18"/>
              </w:rPr>
              <w:t>裁量基准</w:t>
            </w:r>
          </w:p>
        </w:tc>
      </w:tr>
      <w:tr w14:paraId="05370619">
        <w:tblPrEx>
          <w:tblCellMar>
            <w:top w:w="0" w:type="dxa"/>
            <w:left w:w="108" w:type="dxa"/>
            <w:bottom w:w="0" w:type="dxa"/>
            <w:right w:w="108" w:type="dxa"/>
          </w:tblCellMar>
        </w:tblPrEx>
        <w:trPr>
          <w:trHeight w:val="285" w:hRule="atLeast"/>
        </w:trPr>
        <w:tc>
          <w:tcPr>
            <w:tcW w:w="975" w:type="dxa"/>
            <w:vMerge w:val="restart"/>
            <w:tcBorders>
              <w:top w:val="nil"/>
              <w:left w:val="single" w:color="auto" w:sz="8" w:space="0"/>
              <w:bottom w:val="single" w:color="auto" w:sz="4" w:space="0"/>
              <w:right w:val="single" w:color="auto" w:sz="4" w:space="0"/>
            </w:tcBorders>
            <w:vAlign w:val="center"/>
          </w:tcPr>
          <w:p w14:paraId="3267405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14C07E03">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66F920BB">
            <w:pPr>
              <w:spacing w:line="320" w:lineRule="exact"/>
              <w:jc w:val="center"/>
              <w:rPr>
                <w:color w:val="000000"/>
                <w:kern w:val="0"/>
                <w:sz w:val="18"/>
                <w:szCs w:val="18"/>
              </w:rPr>
            </w:pPr>
            <w:r>
              <w:rPr>
                <w:rFonts w:hint="eastAsia"/>
                <w:color w:val="000000"/>
                <w:kern w:val="0"/>
                <w:sz w:val="18"/>
                <w:szCs w:val="18"/>
              </w:rPr>
              <w:t>裁量幅度</w:t>
            </w:r>
          </w:p>
        </w:tc>
        <w:tc>
          <w:tcPr>
            <w:tcW w:w="5910" w:type="dxa"/>
            <w:tcBorders>
              <w:top w:val="nil"/>
              <w:left w:val="nil"/>
              <w:bottom w:val="single" w:color="auto" w:sz="4" w:space="0"/>
              <w:right w:val="single" w:color="auto" w:sz="8" w:space="0"/>
            </w:tcBorders>
            <w:vAlign w:val="center"/>
          </w:tcPr>
          <w:p w14:paraId="0EB079A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4F1F46F4">
        <w:tblPrEx>
          <w:tblCellMar>
            <w:top w:w="0" w:type="dxa"/>
            <w:left w:w="108" w:type="dxa"/>
            <w:bottom w:w="0" w:type="dxa"/>
            <w:right w:w="108" w:type="dxa"/>
          </w:tblCellMar>
        </w:tblPrEx>
        <w:trPr>
          <w:trHeight w:val="285" w:hRule="atLeast"/>
        </w:trPr>
        <w:tc>
          <w:tcPr>
            <w:tcW w:w="975" w:type="dxa"/>
            <w:vMerge w:val="continue"/>
            <w:tcBorders>
              <w:top w:val="nil"/>
              <w:left w:val="single" w:color="auto" w:sz="8" w:space="0"/>
              <w:bottom w:val="single" w:color="auto" w:sz="4" w:space="0"/>
              <w:right w:val="single" w:color="auto" w:sz="4" w:space="0"/>
            </w:tcBorders>
            <w:vAlign w:val="center"/>
          </w:tcPr>
          <w:p w14:paraId="0F609931">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6658E6D0">
            <w:pPr>
              <w:spacing w:line="320" w:lineRule="exact"/>
              <w:jc w:val="left"/>
              <w:rPr>
                <w:color w:val="000000"/>
                <w:kern w:val="0"/>
                <w:sz w:val="18"/>
                <w:szCs w:val="18"/>
              </w:rPr>
            </w:pPr>
            <w:r>
              <w:rPr>
                <w:rFonts w:hint="eastAsia"/>
                <w:color w:val="000000"/>
                <w:kern w:val="0"/>
                <w:sz w:val="18"/>
                <w:szCs w:val="18"/>
              </w:rPr>
              <w:t>未按照要求改正，擅自停止供气或调整供气量对</w:t>
            </w:r>
            <w:r>
              <w:rPr>
                <w:color w:val="000000"/>
                <w:kern w:val="0"/>
                <w:sz w:val="18"/>
                <w:szCs w:val="18"/>
              </w:rPr>
              <w:t>100</w:t>
            </w:r>
            <w:r>
              <w:rPr>
                <w:rFonts w:hint="eastAsia"/>
                <w:color w:val="000000"/>
                <w:kern w:val="0"/>
                <w:sz w:val="18"/>
                <w:szCs w:val="18"/>
              </w:rPr>
              <w:t>家以下用户造成影响的</w:t>
            </w:r>
          </w:p>
        </w:tc>
        <w:tc>
          <w:tcPr>
            <w:tcW w:w="1000" w:type="dxa"/>
            <w:vMerge w:val="continue"/>
            <w:tcBorders>
              <w:top w:val="nil"/>
              <w:left w:val="single" w:color="auto" w:sz="4" w:space="0"/>
              <w:bottom w:val="single" w:color="auto" w:sz="4" w:space="0"/>
              <w:right w:val="single" w:color="auto" w:sz="4" w:space="0"/>
            </w:tcBorders>
            <w:vAlign w:val="center"/>
          </w:tcPr>
          <w:p w14:paraId="6A325436">
            <w:pPr>
              <w:spacing w:line="320" w:lineRule="exact"/>
              <w:jc w:val="left"/>
              <w:rPr>
                <w:color w:val="000000"/>
                <w:kern w:val="0"/>
                <w:sz w:val="18"/>
                <w:szCs w:val="18"/>
              </w:rPr>
            </w:pPr>
          </w:p>
        </w:tc>
        <w:tc>
          <w:tcPr>
            <w:tcW w:w="5910" w:type="dxa"/>
            <w:tcBorders>
              <w:top w:val="nil"/>
              <w:left w:val="nil"/>
              <w:bottom w:val="single" w:color="auto" w:sz="4" w:space="0"/>
              <w:right w:val="single" w:color="auto" w:sz="8" w:space="0"/>
            </w:tcBorders>
            <w:vAlign w:val="center"/>
          </w:tcPr>
          <w:p w14:paraId="7B1C2C1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66A19082">
        <w:tblPrEx>
          <w:tblCellMar>
            <w:top w:w="0" w:type="dxa"/>
            <w:left w:w="108" w:type="dxa"/>
            <w:bottom w:w="0" w:type="dxa"/>
            <w:right w:w="108" w:type="dxa"/>
          </w:tblCellMar>
        </w:tblPrEx>
        <w:trPr>
          <w:trHeight w:val="285" w:hRule="atLeast"/>
        </w:trPr>
        <w:tc>
          <w:tcPr>
            <w:tcW w:w="975" w:type="dxa"/>
            <w:vMerge w:val="continue"/>
            <w:tcBorders>
              <w:top w:val="nil"/>
              <w:left w:val="single" w:color="auto" w:sz="8" w:space="0"/>
              <w:bottom w:val="single" w:color="auto" w:sz="4" w:space="0"/>
              <w:right w:val="single" w:color="auto" w:sz="4" w:space="0"/>
            </w:tcBorders>
            <w:vAlign w:val="center"/>
          </w:tcPr>
          <w:p w14:paraId="6B70C168">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50C4F439">
            <w:pPr>
              <w:spacing w:line="320" w:lineRule="exact"/>
              <w:jc w:val="left"/>
              <w:rPr>
                <w:color w:val="000000"/>
                <w:kern w:val="0"/>
                <w:sz w:val="18"/>
                <w:szCs w:val="18"/>
              </w:rPr>
            </w:pPr>
            <w:r>
              <w:rPr>
                <w:rFonts w:hint="eastAsia"/>
                <w:color w:val="000000"/>
                <w:kern w:val="0"/>
                <w:sz w:val="18"/>
                <w:szCs w:val="18"/>
              </w:rPr>
              <w:t>未按照要求改正，擅自停止供气或调整供气量对</w:t>
            </w:r>
            <w:r>
              <w:rPr>
                <w:color w:val="000000"/>
                <w:kern w:val="0"/>
                <w:sz w:val="18"/>
                <w:szCs w:val="18"/>
              </w:rPr>
              <w:t>100</w:t>
            </w:r>
            <w:r>
              <w:rPr>
                <w:rFonts w:hint="eastAsia"/>
                <w:color w:val="000000"/>
                <w:kern w:val="0"/>
                <w:sz w:val="18"/>
                <w:szCs w:val="18"/>
              </w:rPr>
              <w:t>家以上用户造成影响的</w:t>
            </w:r>
          </w:p>
        </w:tc>
        <w:tc>
          <w:tcPr>
            <w:tcW w:w="1000" w:type="dxa"/>
            <w:vMerge w:val="continue"/>
            <w:tcBorders>
              <w:top w:val="nil"/>
              <w:left w:val="single" w:color="auto" w:sz="4" w:space="0"/>
              <w:bottom w:val="single" w:color="auto" w:sz="4" w:space="0"/>
              <w:right w:val="single" w:color="auto" w:sz="4" w:space="0"/>
            </w:tcBorders>
            <w:vAlign w:val="center"/>
          </w:tcPr>
          <w:p w14:paraId="657F7485">
            <w:pPr>
              <w:spacing w:line="320" w:lineRule="exact"/>
              <w:jc w:val="left"/>
              <w:rPr>
                <w:color w:val="000000"/>
                <w:kern w:val="0"/>
                <w:sz w:val="18"/>
                <w:szCs w:val="18"/>
              </w:rPr>
            </w:pPr>
          </w:p>
        </w:tc>
        <w:tc>
          <w:tcPr>
            <w:tcW w:w="5910" w:type="dxa"/>
            <w:tcBorders>
              <w:top w:val="nil"/>
              <w:left w:val="nil"/>
              <w:bottom w:val="single" w:color="auto" w:sz="4" w:space="0"/>
              <w:right w:val="single" w:color="auto" w:sz="8" w:space="0"/>
            </w:tcBorders>
            <w:vAlign w:val="center"/>
          </w:tcPr>
          <w:p w14:paraId="4C2262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万元以下罚款，吊销燃气经营许可证</w:t>
            </w:r>
          </w:p>
        </w:tc>
      </w:tr>
      <w:tr w14:paraId="1EA540A4">
        <w:tblPrEx>
          <w:tblCellMar>
            <w:top w:w="0" w:type="dxa"/>
            <w:left w:w="108" w:type="dxa"/>
            <w:bottom w:w="0" w:type="dxa"/>
            <w:right w:w="108" w:type="dxa"/>
          </w:tblCellMar>
        </w:tblPrEx>
        <w:trPr>
          <w:trHeight w:val="390" w:hRule="atLeast"/>
        </w:trPr>
        <w:tc>
          <w:tcPr>
            <w:tcW w:w="975" w:type="dxa"/>
            <w:vMerge w:val="continue"/>
            <w:tcBorders>
              <w:top w:val="nil"/>
              <w:left w:val="single" w:color="auto" w:sz="8" w:space="0"/>
              <w:bottom w:val="single" w:color="auto" w:sz="4" w:space="0"/>
              <w:right w:val="single" w:color="auto" w:sz="4" w:space="0"/>
            </w:tcBorders>
            <w:vAlign w:val="center"/>
          </w:tcPr>
          <w:p w14:paraId="602E05AC">
            <w:pPr>
              <w:spacing w:line="320" w:lineRule="exact"/>
              <w:jc w:val="left"/>
              <w:rPr>
                <w:color w:val="000000"/>
                <w:kern w:val="0"/>
                <w:sz w:val="18"/>
                <w:szCs w:val="18"/>
              </w:rPr>
            </w:pPr>
          </w:p>
        </w:tc>
        <w:tc>
          <w:tcPr>
            <w:tcW w:w="6140" w:type="dxa"/>
            <w:gridSpan w:val="2"/>
            <w:tcBorders>
              <w:top w:val="single" w:color="auto" w:sz="4" w:space="0"/>
              <w:left w:val="nil"/>
              <w:bottom w:val="single" w:color="auto" w:sz="8" w:space="0"/>
              <w:right w:val="single" w:color="auto" w:sz="4" w:space="0"/>
            </w:tcBorders>
            <w:vAlign w:val="center"/>
          </w:tcPr>
          <w:p w14:paraId="0A792548">
            <w:pPr>
              <w:spacing w:line="320" w:lineRule="exact"/>
              <w:jc w:val="left"/>
              <w:rPr>
                <w:color w:val="000000"/>
                <w:kern w:val="0"/>
                <w:sz w:val="18"/>
                <w:szCs w:val="18"/>
              </w:rPr>
            </w:pPr>
            <w:r>
              <w:rPr>
                <w:rFonts w:hint="eastAsia"/>
                <w:color w:val="000000"/>
                <w:kern w:val="0"/>
                <w:sz w:val="18"/>
                <w:szCs w:val="18"/>
              </w:rPr>
              <w:t>未经审批擅自停业或者歇业且未按照要求改正的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19DAA0D9">
            <w:pPr>
              <w:spacing w:line="320" w:lineRule="exact"/>
              <w:jc w:val="left"/>
              <w:rPr>
                <w:color w:val="000000"/>
                <w:kern w:val="0"/>
                <w:sz w:val="18"/>
                <w:szCs w:val="18"/>
              </w:rPr>
            </w:pPr>
          </w:p>
        </w:tc>
        <w:tc>
          <w:tcPr>
            <w:tcW w:w="5910" w:type="dxa"/>
            <w:tcBorders>
              <w:top w:val="single" w:color="auto" w:sz="4" w:space="0"/>
              <w:left w:val="nil"/>
              <w:bottom w:val="single" w:color="auto" w:sz="4" w:space="0"/>
              <w:right w:val="single" w:color="auto" w:sz="8" w:space="0"/>
            </w:tcBorders>
            <w:vAlign w:val="center"/>
          </w:tcPr>
          <w:p w14:paraId="1FCF415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14:paraId="199FA472"/>
    <w:p w14:paraId="7F5FB0CA"/>
    <w:p w14:paraId="3A212C54"/>
    <w:p w14:paraId="57946C15"/>
    <w:p w14:paraId="4822DEE6"/>
    <w:p w14:paraId="7A8E2BA6"/>
    <w:p w14:paraId="68303DC0"/>
    <w:p w14:paraId="4A533BCC"/>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70676943">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3791571B">
            <w:pPr>
              <w:spacing w:line="20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2FD9B19A">
            <w:pPr>
              <w:spacing w:line="200" w:lineRule="exact"/>
              <w:jc w:val="left"/>
              <w:rPr>
                <w:rFonts w:eastAsia="仿宋_GB2312"/>
                <w:b/>
                <w:bCs/>
                <w:color w:val="000000"/>
                <w:kern w:val="0"/>
                <w:sz w:val="18"/>
                <w:szCs w:val="18"/>
              </w:rPr>
            </w:pPr>
            <w:r>
              <w:rPr>
                <w:rFonts w:eastAsia="仿宋_GB2312"/>
                <w:b/>
                <w:bCs/>
                <w:color w:val="000000"/>
                <w:kern w:val="0"/>
                <w:sz w:val="18"/>
                <w:szCs w:val="18"/>
              </w:rPr>
              <w:t>320217378000</w:t>
            </w:r>
            <w:r>
              <w:rPr>
                <w:rFonts w:hint="eastAsia" w:eastAsia="仿宋_GB2312"/>
                <w:b/>
                <w:bCs/>
                <w:color w:val="000000"/>
                <w:kern w:val="0"/>
                <w:sz w:val="18"/>
                <w:szCs w:val="18"/>
              </w:rPr>
              <w:t xml:space="preserve"> </w:t>
            </w:r>
          </w:p>
        </w:tc>
      </w:tr>
      <w:tr w14:paraId="53092C6D">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578DDD93">
            <w:pPr>
              <w:spacing w:line="20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6C746B58">
            <w:pPr>
              <w:spacing w:line="200" w:lineRule="exact"/>
              <w:jc w:val="left"/>
              <w:rPr>
                <w:color w:val="000000"/>
                <w:kern w:val="0"/>
                <w:sz w:val="18"/>
                <w:szCs w:val="18"/>
              </w:rPr>
            </w:pPr>
            <w:r>
              <w:rPr>
                <w:rFonts w:hint="eastAsia"/>
                <w:color w:val="000000"/>
                <w:kern w:val="0"/>
                <w:sz w:val="18"/>
                <w:szCs w:val="18"/>
              </w:rPr>
              <w:t>对从事危及城镇排水与污水处理设施安全的活动的处罚</w:t>
            </w:r>
          </w:p>
        </w:tc>
      </w:tr>
      <w:tr w14:paraId="6881DEEF">
        <w:tblPrEx>
          <w:tblCellMar>
            <w:top w:w="0" w:type="dxa"/>
            <w:left w:w="108" w:type="dxa"/>
            <w:bottom w:w="0" w:type="dxa"/>
            <w:right w:w="108" w:type="dxa"/>
          </w:tblCellMar>
        </w:tblPrEx>
        <w:trPr>
          <w:trHeight w:val="4536" w:hRule="atLeast"/>
        </w:trPr>
        <w:tc>
          <w:tcPr>
            <w:tcW w:w="980" w:type="dxa"/>
            <w:tcBorders>
              <w:top w:val="nil"/>
              <w:left w:val="single" w:color="auto" w:sz="8" w:space="0"/>
              <w:bottom w:val="single" w:color="auto" w:sz="4" w:space="0"/>
              <w:right w:val="single" w:color="auto" w:sz="4" w:space="0"/>
            </w:tcBorders>
            <w:vAlign w:val="center"/>
          </w:tcPr>
          <w:p w14:paraId="4F47E63B">
            <w:pPr>
              <w:spacing w:line="20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35B04D55">
            <w:pPr>
              <w:spacing w:line="200" w:lineRule="exact"/>
              <w:jc w:val="left"/>
              <w:rPr>
                <w:color w:val="000000"/>
                <w:kern w:val="0"/>
                <w:sz w:val="18"/>
                <w:szCs w:val="18"/>
              </w:rPr>
            </w:pPr>
            <w:r>
              <w:rPr>
                <w:rFonts w:hint="eastAsia" w:eastAsia="仿宋_GB2312"/>
                <w:color w:val="000000"/>
                <w:kern w:val="0"/>
                <w:sz w:val="20"/>
              </w:rPr>
              <w:t>【</w:t>
            </w:r>
            <w:r>
              <w:rPr>
                <w:rFonts w:hint="eastAsia"/>
                <w:color w:val="000000"/>
                <w:kern w:val="0"/>
                <w:sz w:val="18"/>
                <w:szCs w:val="18"/>
              </w:rPr>
              <w:t>行政法规】《城镇排水与污水处理条例》（国务院令第641号）</w:t>
            </w:r>
          </w:p>
          <w:p w14:paraId="7C3BFB2B">
            <w:pPr>
              <w:spacing w:line="200" w:lineRule="exact"/>
              <w:jc w:val="left"/>
              <w:rPr>
                <w:color w:val="000000"/>
                <w:kern w:val="0"/>
                <w:sz w:val="18"/>
                <w:szCs w:val="18"/>
              </w:rPr>
            </w:pPr>
            <w:r>
              <w:rPr>
                <w:rFonts w:hint="eastAsia"/>
                <w:color w:val="000000"/>
                <w:kern w:val="0"/>
                <w:sz w:val="18"/>
                <w:szCs w:val="18"/>
              </w:rPr>
              <w:t xml:space="preserve">    第四十条　排水户因发生事故或者其他突发事件，排放的污水可能危及城镇排水与污水处理设施安全运行的，应当立即采取措施消除危害，并及时向城镇排水主管部门和环境保护主管部门等有关部门报告。</w:t>
            </w:r>
          </w:p>
          <w:p w14:paraId="18A103FF">
            <w:pPr>
              <w:spacing w:line="200" w:lineRule="exact"/>
              <w:jc w:val="left"/>
              <w:rPr>
                <w:color w:val="000000"/>
                <w:kern w:val="0"/>
                <w:sz w:val="18"/>
                <w:szCs w:val="18"/>
              </w:rPr>
            </w:pPr>
            <w:r>
              <w:rPr>
                <w:rFonts w:hint="eastAsia"/>
                <w:color w:val="000000"/>
                <w:kern w:val="0"/>
                <w:sz w:val="18"/>
                <w:szCs w:val="18"/>
              </w:rPr>
              <w:t xml:space="preserve">    城镇排水与污水处理安全事故或者突发事件发生后，设施维护运营单位应当立即启动本单位应急预案，采取防护措施、组织抢修，并及时向城镇排水主管部门和有关部门报告。</w:t>
            </w:r>
          </w:p>
          <w:p w14:paraId="322408F4">
            <w:pPr>
              <w:spacing w:line="200" w:lineRule="exact"/>
              <w:jc w:val="left"/>
              <w:rPr>
                <w:color w:val="000000"/>
                <w:kern w:val="0"/>
                <w:sz w:val="18"/>
                <w:szCs w:val="18"/>
              </w:rPr>
            </w:pPr>
            <w:r>
              <w:rPr>
                <w:rFonts w:hint="eastAsia"/>
                <w:color w:val="000000"/>
                <w:kern w:val="0"/>
                <w:sz w:val="18"/>
                <w:szCs w:val="18"/>
              </w:rPr>
              <w:t xml:space="preserve">    第四十二条　禁止从事下列危及城镇排水与污水处理设施安全的活动：</w:t>
            </w:r>
          </w:p>
          <w:p w14:paraId="2DA2C5FA">
            <w:pPr>
              <w:spacing w:line="200" w:lineRule="exact"/>
              <w:jc w:val="left"/>
              <w:rPr>
                <w:color w:val="000000"/>
                <w:kern w:val="0"/>
                <w:sz w:val="18"/>
                <w:szCs w:val="18"/>
              </w:rPr>
            </w:pPr>
            <w:r>
              <w:rPr>
                <w:rFonts w:hint="eastAsia"/>
                <w:color w:val="000000"/>
                <w:kern w:val="0"/>
                <w:sz w:val="18"/>
                <w:szCs w:val="18"/>
              </w:rPr>
              <w:t xml:space="preserve">   （一）损毁、盗窃城镇排水与污水处理设施；</w:t>
            </w:r>
          </w:p>
          <w:p w14:paraId="4CEEFF9E">
            <w:pPr>
              <w:spacing w:line="200" w:lineRule="exact"/>
              <w:jc w:val="left"/>
              <w:rPr>
                <w:color w:val="000000"/>
                <w:kern w:val="0"/>
                <w:sz w:val="18"/>
                <w:szCs w:val="18"/>
              </w:rPr>
            </w:pPr>
            <w:r>
              <w:rPr>
                <w:rFonts w:hint="eastAsia"/>
                <w:color w:val="000000"/>
                <w:kern w:val="0"/>
                <w:sz w:val="18"/>
                <w:szCs w:val="18"/>
              </w:rPr>
              <w:t xml:space="preserve">   （二）穿凿、堵塞城镇排水与污水处理设施；</w:t>
            </w:r>
          </w:p>
          <w:p w14:paraId="086CC28B">
            <w:pPr>
              <w:spacing w:line="200" w:lineRule="exact"/>
              <w:jc w:val="left"/>
              <w:rPr>
                <w:color w:val="000000"/>
                <w:kern w:val="0"/>
                <w:sz w:val="18"/>
                <w:szCs w:val="18"/>
              </w:rPr>
            </w:pPr>
            <w:r>
              <w:rPr>
                <w:rFonts w:hint="eastAsia"/>
                <w:color w:val="000000"/>
                <w:kern w:val="0"/>
                <w:sz w:val="18"/>
                <w:szCs w:val="18"/>
              </w:rPr>
              <w:t xml:space="preserve">   （三）向城镇排水与污水处理设施排放、倾倒剧毒、易燃易爆、腐蚀性废液和废渣；</w:t>
            </w:r>
          </w:p>
          <w:p w14:paraId="23AF8186">
            <w:pPr>
              <w:spacing w:line="200" w:lineRule="exact"/>
              <w:jc w:val="left"/>
              <w:rPr>
                <w:color w:val="000000"/>
                <w:kern w:val="0"/>
                <w:sz w:val="18"/>
                <w:szCs w:val="18"/>
              </w:rPr>
            </w:pPr>
            <w:r>
              <w:rPr>
                <w:rFonts w:hint="eastAsia"/>
                <w:color w:val="000000"/>
                <w:kern w:val="0"/>
                <w:sz w:val="18"/>
                <w:szCs w:val="18"/>
              </w:rPr>
              <w:t xml:space="preserve">   （四）向城镇排水与污水处理设施倾倒垃圾、渣土、施工泥浆等废弃物；</w:t>
            </w:r>
          </w:p>
          <w:p w14:paraId="5C4BE3AB">
            <w:pPr>
              <w:spacing w:line="200" w:lineRule="exact"/>
              <w:jc w:val="left"/>
              <w:rPr>
                <w:color w:val="000000"/>
                <w:kern w:val="0"/>
                <w:sz w:val="18"/>
                <w:szCs w:val="18"/>
              </w:rPr>
            </w:pPr>
            <w:r>
              <w:rPr>
                <w:rFonts w:hint="eastAsia"/>
                <w:color w:val="000000"/>
                <w:kern w:val="0"/>
                <w:sz w:val="18"/>
                <w:szCs w:val="18"/>
              </w:rPr>
              <w:t xml:space="preserve">   （五）建设占压城镇排水与污水处理设施的建筑物、构筑物或者其他设施；</w:t>
            </w:r>
          </w:p>
          <w:p w14:paraId="2E8761B8">
            <w:pPr>
              <w:spacing w:line="200" w:lineRule="exact"/>
              <w:jc w:val="left"/>
              <w:rPr>
                <w:color w:val="000000"/>
                <w:kern w:val="0"/>
                <w:sz w:val="18"/>
                <w:szCs w:val="18"/>
              </w:rPr>
            </w:pPr>
            <w:r>
              <w:rPr>
                <w:rFonts w:hint="eastAsia"/>
                <w:color w:val="000000"/>
                <w:kern w:val="0"/>
                <w:sz w:val="18"/>
                <w:szCs w:val="18"/>
              </w:rPr>
              <w:t xml:space="preserve">   （六）其他危及城镇排水与污水处理设施安全的活动。</w:t>
            </w:r>
          </w:p>
          <w:p w14:paraId="4BE15767">
            <w:pPr>
              <w:spacing w:line="200" w:lineRule="exact"/>
              <w:jc w:val="left"/>
              <w:rPr>
                <w:color w:val="000000"/>
                <w:kern w:val="0"/>
                <w:sz w:val="18"/>
                <w:szCs w:val="18"/>
              </w:rPr>
            </w:pPr>
            <w:r>
              <w:rPr>
                <w:rFonts w:hint="eastAsia"/>
                <w:color w:val="000000"/>
                <w:kern w:val="0"/>
                <w:sz w:val="18"/>
                <w:szCs w:val="18"/>
              </w:rPr>
              <w:t xml:space="preserve">    第五十六条　违反本条例规定，从事危及城镇排水与污水处理设施安全的活动的，由城镇排水主管部门责令停止违法行为，限期恢复原状或者采取其他补救措施，给予警告；逾期不采取补救措施或者造成严重后果的，对单位处10万元以上30万元以下罚款，对个人处2万元以上10万元以下罚款；造成损失的，依法承担赔偿责任；构成犯罪的，依法追究刑事责任。</w:t>
            </w:r>
          </w:p>
          <w:p w14:paraId="1B077D30">
            <w:pPr>
              <w:spacing w:line="200" w:lineRule="exact"/>
              <w:jc w:val="left"/>
              <w:rPr>
                <w:color w:val="000000"/>
                <w:kern w:val="0"/>
                <w:sz w:val="18"/>
                <w:szCs w:val="18"/>
              </w:rPr>
            </w:pPr>
            <w:r>
              <w:rPr>
                <w:rFonts w:hint="eastAsia"/>
                <w:color w:val="000000"/>
                <w:kern w:val="0"/>
                <w:sz w:val="18"/>
                <w:szCs w:val="18"/>
              </w:rPr>
              <w:t xml:space="preserve">【规章】《城镇污水排入排水管网许可管理办法》（住房和城乡建设部令第56号）  </w:t>
            </w:r>
          </w:p>
          <w:p w14:paraId="22BC1FF0">
            <w:pPr>
              <w:spacing w:line="200" w:lineRule="exact"/>
              <w:jc w:val="left"/>
              <w:rPr>
                <w:color w:val="000000"/>
                <w:kern w:val="0"/>
                <w:sz w:val="18"/>
                <w:szCs w:val="18"/>
              </w:rPr>
            </w:pPr>
            <w:r>
              <w:rPr>
                <w:rFonts w:hint="eastAsia"/>
                <w:color w:val="000000"/>
                <w:kern w:val="0"/>
                <w:sz w:val="18"/>
                <w:szCs w:val="18"/>
              </w:rPr>
              <w:t xml:space="preserve">   第十四条  排水户不得有下列危及城镇排水设施安全的活动：</w:t>
            </w:r>
          </w:p>
          <w:p w14:paraId="20FF9F2F">
            <w:pPr>
              <w:spacing w:line="200" w:lineRule="exact"/>
              <w:jc w:val="left"/>
              <w:rPr>
                <w:color w:val="000000"/>
                <w:kern w:val="0"/>
                <w:sz w:val="18"/>
                <w:szCs w:val="18"/>
              </w:rPr>
            </w:pPr>
            <w:r>
              <w:rPr>
                <w:rFonts w:hint="eastAsia"/>
                <w:color w:val="000000"/>
                <w:kern w:val="0"/>
                <w:sz w:val="18"/>
                <w:szCs w:val="18"/>
              </w:rPr>
              <w:t>　　（一）向城镇排水设施排放、倾倒剧毒、易燃易爆、腐蚀性废液和废渣；</w:t>
            </w:r>
          </w:p>
          <w:p w14:paraId="1B1FC75B">
            <w:pPr>
              <w:spacing w:line="200" w:lineRule="exact"/>
              <w:jc w:val="left"/>
              <w:rPr>
                <w:color w:val="000000"/>
                <w:kern w:val="0"/>
                <w:sz w:val="18"/>
                <w:szCs w:val="18"/>
              </w:rPr>
            </w:pPr>
            <w:r>
              <w:rPr>
                <w:rFonts w:hint="eastAsia"/>
                <w:color w:val="000000"/>
                <w:kern w:val="0"/>
                <w:sz w:val="18"/>
                <w:szCs w:val="18"/>
              </w:rPr>
              <w:t>　　（二）向城镇排水设施排放有害气体和烹饪油烟；</w:t>
            </w:r>
          </w:p>
          <w:p w14:paraId="36684D47">
            <w:pPr>
              <w:spacing w:line="200" w:lineRule="exact"/>
              <w:jc w:val="left"/>
              <w:rPr>
                <w:color w:val="000000"/>
                <w:kern w:val="0"/>
                <w:sz w:val="18"/>
                <w:szCs w:val="18"/>
              </w:rPr>
            </w:pPr>
            <w:r>
              <w:rPr>
                <w:rFonts w:hint="eastAsia"/>
                <w:color w:val="000000"/>
                <w:kern w:val="0"/>
                <w:sz w:val="18"/>
                <w:szCs w:val="18"/>
              </w:rPr>
              <w:t>　　（三）堵塞城镇排水设施或者向城镇排水设施内排放、倾倒垃圾、渣土、施工泥浆、油脂、污泥等易堵塞物；</w:t>
            </w:r>
          </w:p>
          <w:p w14:paraId="5B406502">
            <w:pPr>
              <w:spacing w:line="200" w:lineRule="exact"/>
              <w:jc w:val="left"/>
              <w:rPr>
                <w:color w:val="000000"/>
                <w:kern w:val="0"/>
                <w:sz w:val="18"/>
                <w:szCs w:val="18"/>
              </w:rPr>
            </w:pPr>
            <w:r>
              <w:rPr>
                <w:rFonts w:hint="eastAsia"/>
                <w:color w:val="000000"/>
                <w:kern w:val="0"/>
                <w:sz w:val="18"/>
                <w:szCs w:val="18"/>
              </w:rPr>
              <w:t>　　（四）擅自拆卸、移动、穿凿和接入城镇排水设施；</w:t>
            </w:r>
          </w:p>
          <w:p w14:paraId="7F8C21BD">
            <w:pPr>
              <w:spacing w:line="200" w:lineRule="exact"/>
              <w:jc w:val="left"/>
              <w:rPr>
                <w:color w:val="000000"/>
                <w:kern w:val="0"/>
                <w:sz w:val="18"/>
                <w:szCs w:val="18"/>
              </w:rPr>
            </w:pPr>
            <w:r>
              <w:rPr>
                <w:rFonts w:hint="eastAsia"/>
                <w:color w:val="000000"/>
                <w:kern w:val="0"/>
                <w:sz w:val="18"/>
                <w:szCs w:val="18"/>
              </w:rPr>
              <w:t>　　（五）擅自向城镇排水设施加压排放污水；</w:t>
            </w:r>
          </w:p>
          <w:p w14:paraId="481D3C39">
            <w:pPr>
              <w:spacing w:line="200" w:lineRule="exact"/>
              <w:jc w:val="left"/>
              <w:rPr>
                <w:color w:val="000000"/>
                <w:kern w:val="0"/>
                <w:sz w:val="18"/>
                <w:szCs w:val="18"/>
              </w:rPr>
            </w:pPr>
            <w:r>
              <w:rPr>
                <w:rFonts w:hint="eastAsia"/>
                <w:color w:val="000000"/>
                <w:kern w:val="0"/>
                <w:sz w:val="18"/>
                <w:szCs w:val="18"/>
              </w:rPr>
              <w:t>　　（六）其他危及城镇排水与污水处理设施安全的活动。</w:t>
            </w:r>
          </w:p>
          <w:p w14:paraId="565E778F">
            <w:pPr>
              <w:spacing w:line="200" w:lineRule="exact"/>
              <w:jc w:val="left"/>
              <w:rPr>
                <w:rFonts w:eastAsia="仿宋_GB2312"/>
                <w:color w:val="000000"/>
                <w:sz w:val="20"/>
              </w:rPr>
            </w:pPr>
            <w:r>
              <w:rPr>
                <w:rFonts w:hint="eastAsia"/>
                <w:color w:val="000000"/>
                <w:kern w:val="0"/>
                <w:sz w:val="18"/>
                <w:szCs w:val="18"/>
              </w:rPr>
              <w:t>　  第三十二条　违反本办法规定，从事危及城镇排水设施安全的活动的，由城镇排水主管部门责令停止违法行为，限期恢复原状或者采取其他补救措施，并给予警告；逾期不采取补救措施或者造成严重后果的，对单位处10万元以上30万元以下罚款，对个人处2万元以上10万元以下罚款；造成损失的，依法承担赔偿责任；构成犯罪的，依法追究刑事责任。</w:t>
            </w:r>
          </w:p>
        </w:tc>
      </w:tr>
      <w:tr w14:paraId="4F18AF4F">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36CBB8A2">
            <w:pPr>
              <w:spacing w:line="20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435F4A74">
            <w:pPr>
              <w:spacing w:line="200" w:lineRule="exact"/>
              <w:jc w:val="left"/>
              <w:rPr>
                <w:color w:val="000000"/>
                <w:kern w:val="0"/>
                <w:sz w:val="18"/>
                <w:szCs w:val="18"/>
              </w:rPr>
            </w:pPr>
            <w:r>
              <w:rPr>
                <w:rFonts w:hint="eastAsia"/>
                <w:color w:val="000000"/>
                <w:kern w:val="0"/>
                <w:sz w:val="18"/>
                <w:szCs w:val="18"/>
              </w:rPr>
              <w:t>警告；罚款</w:t>
            </w:r>
          </w:p>
        </w:tc>
      </w:tr>
      <w:tr w14:paraId="32CD77CF">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2E5E3F6B">
            <w:pPr>
              <w:spacing w:line="200" w:lineRule="exact"/>
              <w:jc w:val="center"/>
              <w:rPr>
                <w:color w:val="000000"/>
                <w:kern w:val="0"/>
                <w:sz w:val="18"/>
                <w:szCs w:val="18"/>
              </w:rPr>
            </w:pPr>
            <w:r>
              <w:rPr>
                <w:rFonts w:hint="eastAsia"/>
                <w:color w:val="000000"/>
                <w:kern w:val="0"/>
                <w:sz w:val="18"/>
                <w:szCs w:val="18"/>
              </w:rPr>
              <w:t>裁量基准</w:t>
            </w:r>
          </w:p>
        </w:tc>
      </w:tr>
      <w:tr w14:paraId="2B58CEB4">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45767164">
            <w:pPr>
              <w:spacing w:line="20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455F4D6">
            <w:pPr>
              <w:spacing w:line="20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color="auto" w:sz="4" w:space="0"/>
              <w:bottom w:val="single" w:color="auto" w:sz="4" w:space="0"/>
              <w:right w:val="single" w:color="auto" w:sz="4" w:space="0"/>
            </w:tcBorders>
            <w:vAlign w:val="center"/>
          </w:tcPr>
          <w:p w14:paraId="1B90F3CC">
            <w:pPr>
              <w:spacing w:line="20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6D06CB7C">
            <w:pPr>
              <w:spacing w:line="200" w:lineRule="exact"/>
              <w:jc w:val="left"/>
              <w:rPr>
                <w:color w:val="000000"/>
                <w:kern w:val="0"/>
                <w:sz w:val="18"/>
                <w:szCs w:val="18"/>
              </w:rPr>
            </w:pPr>
            <w:r>
              <w:rPr>
                <w:rFonts w:hint="eastAsia"/>
                <w:color w:val="000000"/>
                <w:sz w:val="18"/>
                <w:szCs w:val="18"/>
              </w:rPr>
              <w:t>对单位：处</w:t>
            </w:r>
            <w:r>
              <w:rPr>
                <w:color w:val="000000"/>
                <w:sz w:val="18"/>
                <w:szCs w:val="18"/>
              </w:rPr>
              <w:t>10</w:t>
            </w:r>
            <w:r>
              <w:rPr>
                <w:rFonts w:hint="eastAsia"/>
                <w:color w:val="000000"/>
                <w:sz w:val="18"/>
                <w:szCs w:val="18"/>
              </w:rPr>
              <w:t>万元以上</w:t>
            </w:r>
            <w:r>
              <w:rPr>
                <w:color w:val="000000"/>
                <w:sz w:val="18"/>
                <w:szCs w:val="18"/>
              </w:rPr>
              <w:t>15</w:t>
            </w:r>
            <w:r>
              <w:rPr>
                <w:rFonts w:hint="eastAsia"/>
                <w:color w:val="000000"/>
                <w:sz w:val="18"/>
                <w:szCs w:val="18"/>
              </w:rPr>
              <w:t>万元以下罚款；对个人：处</w:t>
            </w:r>
            <w:r>
              <w:rPr>
                <w:color w:val="000000"/>
                <w:sz w:val="18"/>
                <w:szCs w:val="18"/>
              </w:rPr>
              <w:t>2</w:t>
            </w:r>
            <w:r>
              <w:rPr>
                <w:rFonts w:hint="eastAsia"/>
                <w:color w:val="000000"/>
                <w:sz w:val="18"/>
                <w:szCs w:val="18"/>
              </w:rPr>
              <w:t>万元以上</w:t>
            </w:r>
            <w:r>
              <w:rPr>
                <w:color w:val="000000"/>
                <w:sz w:val="18"/>
                <w:szCs w:val="18"/>
              </w:rPr>
              <w:t>5</w:t>
            </w:r>
            <w:r>
              <w:rPr>
                <w:rFonts w:hint="eastAsia"/>
                <w:color w:val="000000"/>
                <w:sz w:val="18"/>
                <w:szCs w:val="18"/>
              </w:rPr>
              <w:t>万元以下罚款</w:t>
            </w:r>
          </w:p>
        </w:tc>
      </w:tr>
      <w:tr w14:paraId="3B8F46CE">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4BF0461C">
            <w:pPr>
              <w:spacing w:line="20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7B776D1">
            <w:pPr>
              <w:spacing w:line="20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val="continue"/>
            <w:tcBorders>
              <w:top w:val="nil"/>
              <w:left w:val="single" w:color="auto" w:sz="4" w:space="0"/>
              <w:bottom w:val="single" w:color="auto" w:sz="4" w:space="0"/>
              <w:right w:val="single" w:color="auto" w:sz="4" w:space="0"/>
            </w:tcBorders>
            <w:vAlign w:val="center"/>
          </w:tcPr>
          <w:p w14:paraId="05AF115B">
            <w:pPr>
              <w:spacing w:line="20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1C55FD62">
            <w:pPr>
              <w:spacing w:line="200" w:lineRule="exact"/>
              <w:rPr>
                <w:color w:val="000000"/>
                <w:sz w:val="18"/>
                <w:szCs w:val="18"/>
              </w:rPr>
            </w:pPr>
            <w:r>
              <w:rPr>
                <w:rFonts w:hint="eastAsia"/>
                <w:color w:val="000000"/>
                <w:sz w:val="18"/>
                <w:szCs w:val="18"/>
              </w:rPr>
              <w:t>对单位：处</w:t>
            </w:r>
            <w:r>
              <w:rPr>
                <w:color w:val="000000"/>
                <w:sz w:val="18"/>
                <w:szCs w:val="18"/>
              </w:rPr>
              <w:t>15</w:t>
            </w:r>
            <w:r>
              <w:rPr>
                <w:rFonts w:hint="eastAsia"/>
                <w:color w:val="000000"/>
                <w:sz w:val="18"/>
                <w:szCs w:val="18"/>
              </w:rPr>
              <w:t>万元以上</w:t>
            </w:r>
            <w:r>
              <w:rPr>
                <w:color w:val="000000"/>
                <w:sz w:val="18"/>
                <w:szCs w:val="18"/>
              </w:rPr>
              <w:t>25</w:t>
            </w:r>
            <w:r>
              <w:rPr>
                <w:rFonts w:hint="eastAsia"/>
                <w:color w:val="000000"/>
                <w:sz w:val="18"/>
                <w:szCs w:val="18"/>
              </w:rPr>
              <w:t>万元以下罚款；对个人：处</w:t>
            </w:r>
            <w:r>
              <w:rPr>
                <w:color w:val="000000"/>
                <w:sz w:val="18"/>
                <w:szCs w:val="18"/>
              </w:rPr>
              <w:t>5</w:t>
            </w:r>
            <w:r>
              <w:rPr>
                <w:rFonts w:hint="eastAsia"/>
                <w:color w:val="000000"/>
                <w:sz w:val="18"/>
                <w:szCs w:val="18"/>
              </w:rPr>
              <w:t>万元以上</w:t>
            </w:r>
            <w:r>
              <w:rPr>
                <w:color w:val="000000"/>
                <w:sz w:val="18"/>
                <w:szCs w:val="18"/>
              </w:rPr>
              <w:t>8</w:t>
            </w:r>
            <w:r>
              <w:rPr>
                <w:rFonts w:hint="eastAsia"/>
                <w:color w:val="000000"/>
                <w:sz w:val="18"/>
                <w:szCs w:val="18"/>
              </w:rPr>
              <w:t>万元以下罚款</w:t>
            </w:r>
          </w:p>
        </w:tc>
      </w:tr>
      <w:tr w14:paraId="221CFD49">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42D348E0">
            <w:pPr>
              <w:spacing w:line="20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A9CB666">
            <w:pPr>
              <w:spacing w:line="20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val="continue"/>
            <w:tcBorders>
              <w:top w:val="nil"/>
              <w:left w:val="single" w:color="auto" w:sz="4" w:space="0"/>
              <w:bottom w:val="single" w:color="auto" w:sz="4" w:space="0"/>
              <w:right w:val="single" w:color="auto" w:sz="4" w:space="0"/>
            </w:tcBorders>
            <w:vAlign w:val="center"/>
          </w:tcPr>
          <w:p w14:paraId="034BD721">
            <w:pPr>
              <w:spacing w:line="20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656DF9BE">
            <w:pPr>
              <w:spacing w:line="200" w:lineRule="exact"/>
              <w:jc w:val="left"/>
              <w:rPr>
                <w:color w:val="000000"/>
                <w:kern w:val="0"/>
                <w:sz w:val="18"/>
                <w:szCs w:val="18"/>
              </w:rPr>
            </w:pPr>
            <w:r>
              <w:rPr>
                <w:rFonts w:hint="eastAsia"/>
                <w:color w:val="000000"/>
                <w:sz w:val="18"/>
                <w:szCs w:val="18"/>
              </w:rPr>
              <w:t>对单位：处</w:t>
            </w:r>
            <w:r>
              <w:rPr>
                <w:color w:val="000000"/>
                <w:sz w:val="18"/>
                <w:szCs w:val="18"/>
              </w:rPr>
              <w:t>25</w:t>
            </w:r>
            <w:r>
              <w:rPr>
                <w:rFonts w:hint="eastAsia"/>
                <w:color w:val="000000"/>
                <w:sz w:val="18"/>
                <w:szCs w:val="18"/>
              </w:rPr>
              <w:t>万元以上</w:t>
            </w:r>
            <w:r>
              <w:rPr>
                <w:color w:val="000000"/>
                <w:sz w:val="18"/>
                <w:szCs w:val="18"/>
              </w:rPr>
              <w:t>30</w:t>
            </w:r>
            <w:r>
              <w:rPr>
                <w:rFonts w:hint="eastAsia"/>
                <w:color w:val="000000"/>
                <w:sz w:val="18"/>
                <w:szCs w:val="18"/>
              </w:rPr>
              <w:t>万元以下罚款；对个人：处</w:t>
            </w:r>
            <w:r>
              <w:rPr>
                <w:color w:val="000000"/>
                <w:sz w:val="18"/>
                <w:szCs w:val="18"/>
              </w:rPr>
              <w:t>8</w:t>
            </w:r>
            <w:r>
              <w:rPr>
                <w:rFonts w:hint="eastAsia"/>
                <w:color w:val="000000"/>
                <w:sz w:val="18"/>
                <w:szCs w:val="18"/>
              </w:rPr>
              <w:t>万元以上</w:t>
            </w:r>
            <w:r>
              <w:rPr>
                <w:color w:val="000000"/>
                <w:sz w:val="18"/>
                <w:szCs w:val="18"/>
              </w:rPr>
              <w:t>10</w:t>
            </w:r>
            <w:r>
              <w:rPr>
                <w:rFonts w:hint="eastAsia"/>
                <w:color w:val="000000"/>
                <w:sz w:val="18"/>
                <w:szCs w:val="18"/>
              </w:rPr>
              <w:t>万元以下罚款</w:t>
            </w:r>
          </w:p>
        </w:tc>
      </w:tr>
    </w:tbl>
    <w:p w14:paraId="3893BB0E"/>
    <w:p w14:paraId="3F8DCA29"/>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5449AA6E">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4B38C30E">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000000" w:sz="8" w:space="0"/>
            </w:tcBorders>
            <w:vAlign w:val="center"/>
          </w:tcPr>
          <w:p w14:paraId="0F9E7F1E">
            <w:pPr>
              <w:spacing w:line="320" w:lineRule="exact"/>
              <w:jc w:val="left"/>
              <w:rPr>
                <w:b/>
                <w:color w:val="000000"/>
                <w:kern w:val="0"/>
                <w:sz w:val="18"/>
                <w:szCs w:val="18"/>
              </w:rPr>
            </w:pPr>
            <w:r>
              <w:rPr>
                <w:b/>
                <w:color w:val="000000"/>
                <w:kern w:val="0"/>
                <w:sz w:val="18"/>
                <w:szCs w:val="18"/>
              </w:rPr>
              <w:t>320217379000</w:t>
            </w:r>
          </w:p>
        </w:tc>
      </w:tr>
      <w:tr w14:paraId="747A6C09">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13047F9C">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000000" w:sz="8" w:space="0"/>
            </w:tcBorders>
            <w:vAlign w:val="center"/>
          </w:tcPr>
          <w:p w14:paraId="45B18F72">
            <w:pPr>
              <w:spacing w:line="320" w:lineRule="exact"/>
              <w:jc w:val="left"/>
              <w:rPr>
                <w:color w:val="000000"/>
                <w:kern w:val="0"/>
                <w:sz w:val="18"/>
                <w:szCs w:val="18"/>
              </w:rPr>
            </w:pPr>
            <w:r>
              <w:rPr>
                <w:rFonts w:hint="eastAsia"/>
                <w:color w:val="000000"/>
                <w:kern w:val="0"/>
                <w:sz w:val="18"/>
                <w:szCs w:val="18"/>
              </w:rPr>
              <w:t>对违背客观、公正和诚实信用原则出具工程造价咨询成果文件的处罚</w:t>
            </w:r>
          </w:p>
        </w:tc>
      </w:tr>
      <w:tr w14:paraId="65A959CA">
        <w:tblPrEx>
          <w:tblCellMar>
            <w:top w:w="0" w:type="dxa"/>
            <w:left w:w="108" w:type="dxa"/>
            <w:bottom w:w="0" w:type="dxa"/>
            <w:right w:w="108" w:type="dxa"/>
          </w:tblCellMar>
        </w:tblPrEx>
        <w:trPr>
          <w:trHeight w:val="1620" w:hRule="atLeast"/>
        </w:trPr>
        <w:tc>
          <w:tcPr>
            <w:tcW w:w="1040" w:type="dxa"/>
            <w:tcBorders>
              <w:top w:val="nil"/>
              <w:left w:val="single" w:color="auto" w:sz="8" w:space="0"/>
              <w:bottom w:val="single" w:color="auto" w:sz="4" w:space="0"/>
              <w:right w:val="single" w:color="auto" w:sz="4" w:space="0"/>
            </w:tcBorders>
            <w:vAlign w:val="center"/>
          </w:tcPr>
          <w:p w14:paraId="1BBF9023">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000000" w:sz="8" w:space="0"/>
            </w:tcBorders>
            <w:vAlign w:val="center"/>
          </w:tcPr>
          <w:p w14:paraId="679E32DD">
            <w:pPr>
              <w:spacing w:line="320" w:lineRule="exact"/>
              <w:jc w:val="left"/>
              <w:rPr>
                <w:color w:val="000000"/>
                <w:kern w:val="0"/>
                <w:sz w:val="18"/>
                <w:szCs w:val="18"/>
              </w:rPr>
            </w:pPr>
            <w:r>
              <w:rPr>
                <w:rFonts w:hint="eastAsia"/>
                <w:color w:val="000000"/>
                <w:kern w:val="0"/>
                <w:sz w:val="18"/>
                <w:szCs w:val="18"/>
              </w:rPr>
              <w:t>【规章】《江苏省建设工程造价管理办法》（省政府令第163号）</w:t>
            </w:r>
          </w:p>
          <w:p w14:paraId="72CBCC84">
            <w:pPr>
              <w:spacing w:line="320" w:lineRule="exact"/>
              <w:jc w:val="left"/>
              <w:rPr>
                <w:color w:val="000000"/>
                <w:kern w:val="0"/>
                <w:sz w:val="18"/>
                <w:szCs w:val="18"/>
              </w:rPr>
            </w:pPr>
            <w:r>
              <w:rPr>
                <w:rFonts w:hint="eastAsia"/>
                <w:color w:val="000000"/>
                <w:kern w:val="0"/>
                <w:sz w:val="18"/>
                <w:szCs w:val="18"/>
              </w:rPr>
              <w:t xml:space="preserve">       第二十二条  工程造价咨询企业在建设工程造价咨询活动中不得有下列行为：</w:t>
            </w:r>
          </w:p>
          <w:p w14:paraId="684ED2FA">
            <w:pPr>
              <w:spacing w:line="320" w:lineRule="exact"/>
              <w:jc w:val="left"/>
              <w:rPr>
                <w:color w:val="000000"/>
                <w:kern w:val="0"/>
                <w:sz w:val="18"/>
                <w:szCs w:val="18"/>
              </w:rPr>
            </w:pPr>
            <w:r>
              <w:rPr>
                <w:rFonts w:hint="eastAsia"/>
                <w:color w:val="000000"/>
                <w:kern w:val="0"/>
                <w:sz w:val="18"/>
                <w:szCs w:val="18"/>
              </w:rPr>
              <w:t xml:space="preserve">         （五）违背客观、公正和诚实信用原则出具建设工程造价咨询成果文件；</w:t>
            </w:r>
          </w:p>
          <w:p w14:paraId="144B3D96">
            <w:pPr>
              <w:spacing w:line="320" w:lineRule="exact"/>
              <w:jc w:val="left"/>
              <w:rPr>
                <w:color w:val="000000"/>
                <w:kern w:val="0"/>
                <w:sz w:val="18"/>
                <w:szCs w:val="18"/>
              </w:rPr>
            </w:pPr>
            <w:r>
              <w:rPr>
                <w:rFonts w:hint="eastAsia"/>
                <w:color w:val="000000"/>
                <w:kern w:val="0"/>
                <w:sz w:val="18"/>
                <w:szCs w:val="18"/>
              </w:rPr>
              <w:t xml:space="preserve">       第三十一条  违反本办法规定，有下列行为之一的，由县级以上地方人民政府住房城乡建设主管部门给予警告，责令改正，并处以五千元以上三万元以下的罚款：</w:t>
            </w:r>
          </w:p>
          <w:p w14:paraId="4FE33C46">
            <w:pPr>
              <w:spacing w:line="320" w:lineRule="exact"/>
              <w:jc w:val="left"/>
              <w:rPr>
                <w:color w:val="000000"/>
                <w:kern w:val="0"/>
                <w:sz w:val="18"/>
                <w:szCs w:val="18"/>
              </w:rPr>
            </w:pPr>
            <w:r>
              <w:rPr>
                <w:rFonts w:hint="eastAsia"/>
                <w:color w:val="000000"/>
                <w:kern w:val="0"/>
                <w:sz w:val="18"/>
                <w:szCs w:val="18"/>
              </w:rPr>
              <w:t xml:space="preserve">      （三）违背客观、公正和诚实信用原则出具工程造价咨询成果文件的。</w:t>
            </w:r>
          </w:p>
          <w:p w14:paraId="6847A673">
            <w:pPr>
              <w:spacing w:line="320" w:lineRule="exact"/>
              <w:jc w:val="left"/>
              <w:rPr>
                <w:color w:val="000000"/>
                <w:kern w:val="0"/>
                <w:sz w:val="18"/>
                <w:szCs w:val="18"/>
              </w:rPr>
            </w:pPr>
            <w:r>
              <w:rPr>
                <w:rFonts w:hint="eastAsia"/>
                <w:color w:val="000000"/>
                <w:kern w:val="0"/>
                <w:sz w:val="18"/>
                <w:szCs w:val="18"/>
              </w:rPr>
              <w:t xml:space="preserve">     依照前款规定给予单位处罚的，可以同时对单位直接负责的主管人员和其他直接责任人员给予警告，并处以三百元以上一千元以下的罚款。</w:t>
            </w:r>
          </w:p>
        </w:tc>
      </w:tr>
      <w:tr w14:paraId="0F785F18">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2AA46527">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000000" w:sz="8" w:space="0"/>
            </w:tcBorders>
            <w:vAlign w:val="center"/>
          </w:tcPr>
          <w:p w14:paraId="67B99B51">
            <w:pPr>
              <w:spacing w:line="320" w:lineRule="exact"/>
              <w:jc w:val="left"/>
              <w:rPr>
                <w:color w:val="000000"/>
                <w:kern w:val="0"/>
                <w:sz w:val="18"/>
                <w:szCs w:val="18"/>
              </w:rPr>
            </w:pPr>
            <w:r>
              <w:rPr>
                <w:rFonts w:hint="eastAsia"/>
                <w:color w:val="000000"/>
                <w:kern w:val="0"/>
                <w:sz w:val="18"/>
                <w:szCs w:val="18"/>
              </w:rPr>
              <w:t>警告，罚款</w:t>
            </w:r>
          </w:p>
        </w:tc>
      </w:tr>
      <w:tr w14:paraId="258303A6">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2D87B47">
            <w:pPr>
              <w:spacing w:line="320" w:lineRule="exact"/>
              <w:jc w:val="center"/>
              <w:rPr>
                <w:color w:val="000000"/>
                <w:kern w:val="0"/>
                <w:sz w:val="18"/>
                <w:szCs w:val="18"/>
              </w:rPr>
            </w:pPr>
            <w:r>
              <w:rPr>
                <w:rFonts w:hint="eastAsia"/>
                <w:color w:val="000000"/>
                <w:kern w:val="0"/>
                <w:sz w:val="18"/>
                <w:szCs w:val="18"/>
              </w:rPr>
              <w:t>裁量基准</w:t>
            </w:r>
          </w:p>
        </w:tc>
      </w:tr>
      <w:tr w14:paraId="6072C26E">
        <w:tblPrEx>
          <w:tblCellMar>
            <w:top w:w="0" w:type="dxa"/>
            <w:left w:w="108" w:type="dxa"/>
            <w:bottom w:w="0" w:type="dxa"/>
            <w:right w:w="108" w:type="dxa"/>
          </w:tblCellMar>
        </w:tblPrEx>
        <w:trPr>
          <w:trHeight w:val="485" w:hRule="atLeast"/>
        </w:trPr>
        <w:tc>
          <w:tcPr>
            <w:tcW w:w="1040" w:type="dxa"/>
            <w:vMerge w:val="restart"/>
            <w:tcBorders>
              <w:top w:val="nil"/>
              <w:left w:val="single" w:color="auto" w:sz="8" w:space="0"/>
              <w:right w:val="single" w:color="auto" w:sz="4" w:space="0"/>
            </w:tcBorders>
            <w:vAlign w:val="center"/>
          </w:tcPr>
          <w:p w14:paraId="7375655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465009CB">
            <w:pPr>
              <w:spacing w:line="320" w:lineRule="exact"/>
              <w:jc w:val="left"/>
              <w:rPr>
                <w:color w:val="000000"/>
                <w:kern w:val="0"/>
                <w:sz w:val="18"/>
                <w:szCs w:val="18"/>
              </w:rPr>
            </w:pPr>
            <w:r>
              <w:rPr>
                <w:rFonts w:hint="eastAsia"/>
                <w:color w:val="000000"/>
                <w:kern w:val="0"/>
                <w:sz w:val="18"/>
                <w:szCs w:val="18"/>
              </w:rPr>
              <w:t>按照要求整改，未造成经济损失的</w:t>
            </w:r>
          </w:p>
        </w:tc>
        <w:tc>
          <w:tcPr>
            <w:tcW w:w="1076" w:type="dxa"/>
            <w:vMerge w:val="restart"/>
            <w:tcBorders>
              <w:top w:val="nil"/>
              <w:left w:val="single" w:color="auto" w:sz="4" w:space="0"/>
              <w:right w:val="single" w:color="auto" w:sz="4" w:space="0"/>
            </w:tcBorders>
            <w:vAlign w:val="center"/>
          </w:tcPr>
          <w:p w14:paraId="5B9FE9F3">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nil"/>
              <w:right w:val="single" w:color="auto" w:sz="8" w:space="0"/>
            </w:tcBorders>
            <w:vAlign w:val="bottom"/>
          </w:tcPr>
          <w:p w14:paraId="05DFA779">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元以下的罚款</w:t>
            </w:r>
          </w:p>
          <w:p w14:paraId="368258DD">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300</w:t>
            </w:r>
            <w:r>
              <w:rPr>
                <w:rFonts w:hint="eastAsia"/>
                <w:color w:val="000000"/>
                <w:kern w:val="0"/>
                <w:sz w:val="18"/>
                <w:szCs w:val="18"/>
              </w:rPr>
              <w:t>元以上</w:t>
            </w:r>
            <w:r>
              <w:rPr>
                <w:color w:val="000000"/>
                <w:kern w:val="0"/>
                <w:sz w:val="18"/>
                <w:szCs w:val="18"/>
              </w:rPr>
              <w:t>400</w:t>
            </w:r>
            <w:r>
              <w:rPr>
                <w:rFonts w:hint="eastAsia"/>
                <w:color w:val="000000"/>
                <w:kern w:val="0"/>
                <w:sz w:val="18"/>
                <w:szCs w:val="18"/>
              </w:rPr>
              <w:t>以下的罚款</w:t>
            </w:r>
          </w:p>
        </w:tc>
      </w:tr>
      <w:tr w14:paraId="69A8D968">
        <w:tblPrEx>
          <w:tblCellMar>
            <w:top w:w="0" w:type="dxa"/>
            <w:left w:w="108" w:type="dxa"/>
            <w:bottom w:w="0" w:type="dxa"/>
            <w:right w:w="108" w:type="dxa"/>
          </w:tblCellMar>
        </w:tblPrEx>
        <w:trPr>
          <w:trHeight w:val="480" w:hRule="atLeast"/>
        </w:trPr>
        <w:tc>
          <w:tcPr>
            <w:tcW w:w="1040" w:type="dxa"/>
            <w:vMerge w:val="continue"/>
            <w:tcBorders>
              <w:left w:val="single" w:color="auto" w:sz="8" w:space="0"/>
              <w:right w:val="single" w:color="auto" w:sz="4" w:space="0"/>
            </w:tcBorders>
            <w:vAlign w:val="center"/>
          </w:tcPr>
          <w:p w14:paraId="1EA776F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1C32E220">
            <w:pPr>
              <w:spacing w:line="320" w:lineRule="exact"/>
              <w:jc w:val="left"/>
              <w:rPr>
                <w:color w:val="000000"/>
                <w:kern w:val="0"/>
                <w:sz w:val="18"/>
                <w:szCs w:val="18"/>
              </w:rPr>
            </w:pPr>
            <w:r>
              <w:rPr>
                <w:rFonts w:hint="eastAsia"/>
                <w:color w:val="000000"/>
                <w:kern w:val="0"/>
                <w:sz w:val="18"/>
                <w:szCs w:val="18"/>
              </w:rPr>
              <w:t>未按照要求整改，未造成经济损失的</w:t>
            </w:r>
          </w:p>
        </w:tc>
        <w:tc>
          <w:tcPr>
            <w:tcW w:w="1076" w:type="dxa"/>
            <w:vMerge w:val="continue"/>
            <w:tcBorders>
              <w:left w:val="single" w:color="auto" w:sz="4" w:space="0"/>
              <w:right w:val="single" w:color="auto" w:sz="4" w:space="0"/>
            </w:tcBorders>
            <w:vAlign w:val="center"/>
          </w:tcPr>
          <w:p w14:paraId="4968A834">
            <w:pPr>
              <w:spacing w:line="320" w:lineRule="exact"/>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200B57C2">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p w14:paraId="75206D20">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400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以下的罚款</w:t>
            </w:r>
          </w:p>
        </w:tc>
      </w:tr>
      <w:tr w14:paraId="3EF2D4C9">
        <w:tblPrEx>
          <w:tblCellMar>
            <w:top w:w="0" w:type="dxa"/>
            <w:left w:w="108" w:type="dxa"/>
            <w:bottom w:w="0" w:type="dxa"/>
            <w:right w:w="108" w:type="dxa"/>
          </w:tblCellMar>
        </w:tblPrEx>
        <w:trPr>
          <w:trHeight w:val="480" w:hRule="atLeast"/>
        </w:trPr>
        <w:tc>
          <w:tcPr>
            <w:tcW w:w="1040" w:type="dxa"/>
            <w:vMerge w:val="continue"/>
            <w:tcBorders>
              <w:left w:val="single" w:color="auto" w:sz="8" w:space="0"/>
              <w:right w:val="single" w:color="auto" w:sz="4" w:space="0"/>
            </w:tcBorders>
            <w:vAlign w:val="center"/>
          </w:tcPr>
          <w:p w14:paraId="6D07B50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72BD938C">
            <w:pPr>
              <w:spacing w:line="320" w:lineRule="exact"/>
              <w:jc w:val="left"/>
              <w:rPr>
                <w:color w:val="000000"/>
                <w:kern w:val="0"/>
                <w:sz w:val="18"/>
                <w:szCs w:val="18"/>
              </w:rPr>
            </w:pPr>
            <w:r>
              <w:rPr>
                <w:rFonts w:hint="eastAsia"/>
                <w:color w:val="000000"/>
                <w:kern w:val="0"/>
                <w:sz w:val="18"/>
                <w:szCs w:val="18"/>
              </w:rPr>
              <w:t>按照要求整改，造成经济损失的</w:t>
            </w:r>
          </w:p>
        </w:tc>
        <w:tc>
          <w:tcPr>
            <w:tcW w:w="1076" w:type="dxa"/>
            <w:vMerge w:val="continue"/>
            <w:tcBorders>
              <w:left w:val="single" w:color="auto" w:sz="4" w:space="0"/>
              <w:right w:val="single" w:color="auto" w:sz="4" w:space="0"/>
            </w:tcBorders>
            <w:vAlign w:val="center"/>
          </w:tcPr>
          <w:p w14:paraId="1896650B">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B1B7956">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14:paraId="72786381">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600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以下的罚款</w:t>
            </w:r>
          </w:p>
        </w:tc>
      </w:tr>
      <w:tr w14:paraId="36729414">
        <w:tblPrEx>
          <w:tblCellMar>
            <w:top w:w="0" w:type="dxa"/>
            <w:left w:w="108" w:type="dxa"/>
            <w:bottom w:w="0" w:type="dxa"/>
            <w:right w:w="108" w:type="dxa"/>
          </w:tblCellMar>
        </w:tblPrEx>
        <w:trPr>
          <w:trHeight w:val="480" w:hRule="atLeast"/>
        </w:trPr>
        <w:tc>
          <w:tcPr>
            <w:tcW w:w="1040" w:type="dxa"/>
            <w:vMerge w:val="continue"/>
            <w:tcBorders>
              <w:left w:val="single" w:color="auto" w:sz="8" w:space="0"/>
              <w:bottom w:val="single" w:color="auto" w:sz="4" w:space="0"/>
              <w:right w:val="single" w:color="auto" w:sz="4" w:space="0"/>
            </w:tcBorders>
            <w:vAlign w:val="center"/>
          </w:tcPr>
          <w:p w14:paraId="7BE7F18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3A1EC47F">
            <w:pPr>
              <w:spacing w:line="320" w:lineRule="exact"/>
              <w:jc w:val="left"/>
              <w:rPr>
                <w:color w:val="000000"/>
                <w:kern w:val="0"/>
                <w:sz w:val="18"/>
                <w:szCs w:val="18"/>
              </w:rPr>
            </w:pPr>
            <w:r>
              <w:rPr>
                <w:rFonts w:hint="eastAsia"/>
                <w:color w:val="000000"/>
                <w:kern w:val="0"/>
                <w:sz w:val="18"/>
                <w:szCs w:val="18"/>
              </w:rPr>
              <w:t>未按照要求整改，造成经济损失的</w:t>
            </w:r>
          </w:p>
        </w:tc>
        <w:tc>
          <w:tcPr>
            <w:tcW w:w="1076" w:type="dxa"/>
            <w:vMerge w:val="continue"/>
            <w:tcBorders>
              <w:left w:val="single" w:color="auto" w:sz="4" w:space="0"/>
              <w:bottom w:val="single" w:color="auto" w:sz="4" w:space="0"/>
              <w:right w:val="single" w:color="auto" w:sz="4" w:space="0"/>
            </w:tcBorders>
            <w:vAlign w:val="center"/>
          </w:tcPr>
          <w:p w14:paraId="7AA84FA0">
            <w:pPr>
              <w:spacing w:line="320" w:lineRule="exact"/>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1DA5C0D1">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14:paraId="15F1C1BC">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以下的罚款</w:t>
            </w:r>
          </w:p>
        </w:tc>
      </w:tr>
    </w:tbl>
    <w:p w14:paraId="36E59313"/>
    <w:p w14:paraId="5C421C2F"/>
    <w:p w14:paraId="79E8752D"/>
    <w:p w14:paraId="0D223E7A"/>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1835"/>
        <w:gridCol w:w="4305"/>
        <w:gridCol w:w="1080"/>
        <w:gridCol w:w="5820"/>
      </w:tblGrid>
      <w:tr w14:paraId="7FCF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01D6154">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14:paraId="456E13A0">
            <w:pPr>
              <w:spacing w:line="320" w:lineRule="exact"/>
              <w:jc w:val="left"/>
              <w:rPr>
                <w:rFonts w:eastAsia="仿宋_GB2312"/>
                <w:b/>
                <w:bCs/>
                <w:color w:val="000000"/>
                <w:kern w:val="0"/>
                <w:sz w:val="18"/>
                <w:szCs w:val="18"/>
              </w:rPr>
            </w:pPr>
            <w:r>
              <w:rPr>
                <w:rFonts w:eastAsia="仿宋_GB2312"/>
                <w:b/>
                <w:bCs/>
                <w:color w:val="000000"/>
                <w:kern w:val="0"/>
                <w:sz w:val="18"/>
                <w:szCs w:val="18"/>
              </w:rPr>
              <w:t>320217380000</w:t>
            </w:r>
            <w:r>
              <w:rPr>
                <w:rFonts w:hint="eastAsia" w:eastAsia="仿宋_GB2312"/>
                <w:b/>
                <w:bCs/>
                <w:color w:val="000000"/>
                <w:kern w:val="0"/>
                <w:sz w:val="18"/>
                <w:szCs w:val="18"/>
              </w:rPr>
              <w:t xml:space="preserve"> </w:t>
            </w:r>
          </w:p>
        </w:tc>
      </w:tr>
      <w:tr w14:paraId="73FD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27150CB7">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14:paraId="51619D6A">
            <w:pPr>
              <w:spacing w:line="320" w:lineRule="exact"/>
              <w:jc w:val="left"/>
              <w:rPr>
                <w:color w:val="000000"/>
                <w:kern w:val="0"/>
                <w:sz w:val="18"/>
                <w:szCs w:val="18"/>
              </w:rPr>
            </w:pPr>
            <w:r>
              <w:rPr>
                <w:rFonts w:hint="eastAsia"/>
                <w:color w:val="000000"/>
                <w:kern w:val="0"/>
                <w:sz w:val="18"/>
                <w:szCs w:val="18"/>
              </w:rPr>
              <w:t>对施工单位在关键部位、关键工序隐蔽验收合格后未及时填写验收记录并由专人签字的处罚</w:t>
            </w:r>
          </w:p>
        </w:tc>
      </w:tr>
      <w:tr w14:paraId="02AA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768C3377">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14:paraId="4809DCDC">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34E7BF2E">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14:paraId="3A542C6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（三）关键部位、关键工序隐蔽验收合格后，未及时填写验收记录并由专人签字的。</w:t>
            </w:r>
          </w:p>
        </w:tc>
      </w:tr>
      <w:tr w14:paraId="39AF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32A591D">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14:paraId="72A2529C">
            <w:pPr>
              <w:spacing w:line="320" w:lineRule="exact"/>
              <w:jc w:val="left"/>
              <w:rPr>
                <w:color w:val="000000"/>
                <w:kern w:val="0"/>
                <w:sz w:val="18"/>
                <w:szCs w:val="18"/>
              </w:rPr>
            </w:pPr>
            <w:r>
              <w:rPr>
                <w:rFonts w:hint="eastAsia"/>
                <w:color w:val="000000"/>
                <w:kern w:val="0"/>
                <w:sz w:val="18"/>
                <w:szCs w:val="18"/>
              </w:rPr>
              <w:t>罚款</w:t>
            </w:r>
          </w:p>
        </w:tc>
      </w:tr>
      <w:tr w14:paraId="78A5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5"/>
            <w:vAlign w:val="center"/>
          </w:tcPr>
          <w:p w14:paraId="74A2BAE5">
            <w:pPr>
              <w:spacing w:line="320" w:lineRule="exact"/>
              <w:jc w:val="center"/>
              <w:rPr>
                <w:color w:val="000000"/>
                <w:kern w:val="0"/>
                <w:sz w:val="18"/>
                <w:szCs w:val="18"/>
              </w:rPr>
            </w:pPr>
            <w:r>
              <w:rPr>
                <w:rFonts w:hint="eastAsia"/>
                <w:color w:val="000000"/>
                <w:kern w:val="0"/>
                <w:sz w:val="18"/>
                <w:szCs w:val="18"/>
              </w:rPr>
              <w:t>裁量基准</w:t>
            </w:r>
          </w:p>
        </w:tc>
      </w:tr>
      <w:tr w14:paraId="69E5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2AA8BA49">
            <w:pPr>
              <w:spacing w:line="320" w:lineRule="exact"/>
              <w:jc w:val="center"/>
              <w:rPr>
                <w:color w:val="000000"/>
                <w:kern w:val="0"/>
                <w:sz w:val="18"/>
                <w:szCs w:val="18"/>
              </w:rPr>
            </w:pPr>
            <w:r>
              <w:rPr>
                <w:rFonts w:hint="eastAsia"/>
                <w:color w:val="000000"/>
                <w:kern w:val="0"/>
                <w:sz w:val="18"/>
                <w:szCs w:val="18"/>
              </w:rPr>
              <w:t>情形描述</w:t>
            </w:r>
          </w:p>
        </w:tc>
        <w:tc>
          <w:tcPr>
            <w:tcW w:w="1835" w:type="dxa"/>
            <w:vMerge w:val="restart"/>
            <w:vAlign w:val="center"/>
          </w:tcPr>
          <w:p w14:paraId="7A8329ED">
            <w:pPr>
              <w:spacing w:line="320" w:lineRule="exact"/>
              <w:jc w:val="left"/>
              <w:rPr>
                <w:color w:val="000000"/>
                <w:kern w:val="0"/>
                <w:sz w:val="18"/>
                <w:szCs w:val="18"/>
              </w:rPr>
            </w:pPr>
            <w:r>
              <w:rPr>
                <w:rFonts w:hint="eastAsia"/>
                <w:color w:val="000000"/>
                <w:kern w:val="0"/>
                <w:sz w:val="18"/>
                <w:szCs w:val="18"/>
              </w:rPr>
              <w:t>按照要求整改</w:t>
            </w:r>
          </w:p>
        </w:tc>
        <w:tc>
          <w:tcPr>
            <w:tcW w:w="4305" w:type="dxa"/>
            <w:vAlign w:val="center"/>
          </w:tcPr>
          <w:p w14:paraId="4E1B0D1B">
            <w:pPr>
              <w:spacing w:line="320" w:lineRule="exact"/>
              <w:jc w:val="left"/>
              <w:rPr>
                <w:color w:val="000000"/>
                <w:kern w:val="0"/>
                <w:sz w:val="18"/>
                <w:szCs w:val="18"/>
              </w:rPr>
            </w:pPr>
            <w:r>
              <w:rPr>
                <w:rFonts w:hint="eastAsia"/>
                <w:color w:val="000000"/>
                <w:kern w:val="0"/>
                <w:sz w:val="18"/>
                <w:szCs w:val="18"/>
              </w:rPr>
              <w:t>填写记录不及时，但有专人签字的</w:t>
            </w:r>
          </w:p>
        </w:tc>
        <w:tc>
          <w:tcPr>
            <w:tcW w:w="1080" w:type="dxa"/>
            <w:vMerge w:val="restart"/>
            <w:vAlign w:val="center"/>
          </w:tcPr>
          <w:p w14:paraId="24F7B71D">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2A6AF66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286D9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2B2D0DE0">
            <w:pPr>
              <w:spacing w:line="320" w:lineRule="exact"/>
              <w:jc w:val="center"/>
              <w:rPr>
                <w:color w:val="000000"/>
                <w:kern w:val="0"/>
                <w:sz w:val="18"/>
                <w:szCs w:val="18"/>
              </w:rPr>
            </w:pPr>
          </w:p>
        </w:tc>
        <w:tc>
          <w:tcPr>
            <w:tcW w:w="1835" w:type="dxa"/>
            <w:vMerge w:val="continue"/>
            <w:vAlign w:val="center"/>
          </w:tcPr>
          <w:p w14:paraId="60BB0832">
            <w:pPr>
              <w:spacing w:line="320" w:lineRule="exact"/>
              <w:jc w:val="left"/>
              <w:rPr>
                <w:color w:val="000000"/>
                <w:kern w:val="0"/>
                <w:sz w:val="18"/>
                <w:szCs w:val="18"/>
              </w:rPr>
            </w:pPr>
          </w:p>
        </w:tc>
        <w:tc>
          <w:tcPr>
            <w:tcW w:w="4305" w:type="dxa"/>
            <w:vAlign w:val="center"/>
          </w:tcPr>
          <w:p w14:paraId="38EB7447">
            <w:pPr>
              <w:spacing w:line="320" w:lineRule="exact"/>
              <w:jc w:val="left"/>
              <w:rPr>
                <w:color w:val="000000"/>
                <w:kern w:val="0"/>
                <w:sz w:val="18"/>
                <w:szCs w:val="18"/>
              </w:rPr>
            </w:pPr>
            <w:r>
              <w:rPr>
                <w:rFonts w:hint="eastAsia"/>
                <w:color w:val="000000"/>
                <w:kern w:val="0"/>
                <w:sz w:val="18"/>
                <w:szCs w:val="18"/>
              </w:rPr>
              <w:t>填写记录不及时，且无专人签字的</w:t>
            </w:r>
          </w:p>
        </w:tc>
        <w:tc>
          <w:tcPr>
            <w:tcW w:w="1080" w:type="dxa"/>
            <w:vMerge w:val="continue"/>
            <w:vAlign w:val="center"/>
          </w:tcPr>
          <w:p w14:paraId="7241FED6">
            <w:pPr>
              <w:spacing w:line="320" w:lineRule="exact"/>
              <w:jc w:val="center"/>
              <w:rPr>
                <w:color w:val="000000"/>
                <w:kern w:val="0"/>
                <w:sz w:val="18"/>
                <w:szCs w:val="18"/>
              </w:rPr>
            </w:pPr>
          </w:p>
        </w:tc>
        <w:tc>
          <w:tcPr>
            <w:tcW w:w="5820" w:type="dxa"/>
            <w:vAlign w:val="center"/>
          </w:tcPr>
          <w:p w14:paraId="3713EE29">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227F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5A657AA3">
            <w:pPr>
              <w:spacing w:line="320" w:lineRule="exact"/>
              <w:jc w:val="center"/>
              <w:rPr>
                <w:color w:val="000000"/>
                <w:kern w:val="0"/>
                <w:sz w:val="18"/>
                <w:szCs w:val="18"/>
              </w:rPr>
            </w:pPr>
          </w:p>
        </w:tc>
        <w:tc>
          <w:tcPr>
            <w:tcW w:w="6140" w:type="dxa"/>
            <w:gridSpan w:val="2"/>
            <w:vAlign w:val="center"/>
          </w:tcPr>
          <w:p w14:paraId="0F4AE5ED">
            <w:pPr>
              <w:spacing w:line="320" w:lineRule="exact"/>
              <w:jc w:val="left"/>
              <w:rPr>
                <w:color w:val="000000"/>
                <w:kern w:val="0"/>
                <w:sz w:val="18"/>
                <w:szCs w:val="18"/>
              </w:rPr>
            </w:pPr>
            <w:r>
              <w:rPr>
                <w:rFonts w:hint="eastAsia"/>
                <w:color w:val="000000"/>
                <w:kern w:val="0"/>
                <w:sz w:val="18"/>
                <w:szCs w:val="18"/>
              </w:rPr>
              <w:t>未按要求整改的</w:t>
            </w:r>
          </w:p>
        </w:tc>
        <w:tc>
          <w:tcPr>
            <w:tcW w:w="1080" w:type="dxa"/>
            <w:vMerge w:val="continue"/>
            <w:vAlign w:val="center"/>
          </w:tcPr>
          <w:p w14:paraId="4E36BA23">
            <w:pPr>
              <w:spacing w:line="320" w:lineRule="exact"/>
              <w:jc w:val="center"/>
              <w:rPr>
                <w:color w:val="000000"/>
                <w:kern w:val="0"/>
                <w:sz w:val="18"/>
                <w:szCs w:val="18"/>
              </w:rPr>
            </w:pPr>
          </w:p>
        </w:tc>
        <w:tc>
          <w:tcPr>
            <w:tcW w:w="5820" w:type="dxa"/>
            <w:vAlign w:val="center"/>
          </w:tcPr>
          <w:p w14:paraId="05EF4F5B">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74ADA901"/>
    <w:p w14:paraId="2EC7FD4B"/>
    <w:p w14:paraId="34298F19"/>
    <w:p w14:paraId="48647203"/>
    <w:p w14:paraId="1D557E72"/>
    <w:p w14:paraId="395050F5"/>
    <w:p w14:paraId="2D54994A"/>
    <w:p w14:paraId="5CD4D77C"/>
    <w:p w14:paraId="1764FB77"/>
    <w:p w14:paraId="0EC414D5"/>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6EC69E4B">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9A8114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2C1F79DE">
            <w:pPr>
              <w:spacing w:line="320" w:lineRule="exact"/>
              <w:jc w:val="left"/>
              <w:rPr>
                <w:rFonts w:eastAsia="仿宋_GB2312"/>
                <w:b/>
                <w:bCs/>
                <w:color w:val="000000"/>
                <w:kern w:val="0"/>
                <w:sz w:val="18"/>
                <w:szCs w:val="18"/>
              </w:rPr>
            </w:pPr>
            <w:r>
              <w:rPr>
                <w:rFonts w:eastAsia="仿宋_GB2312"/>
                <w:b/>
                <w:bCs/>
                <w:color w:val="000000"/>
                <w:kern w:val="0"/>
                <w:sz w:val="18"/>
                <w:szCs w:val="18"/>
              </w:rPr>
              <w:t>320217381000</w:t>
            </w:r>
          </w:p>
        </w:tc>
      </w:tr>
      <w:tr w14:paraId="03A8C69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4AC57B4">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color="auto" w:sz="4" w:space="0"/>
              <w:left w:val="nil"/>
              <w:bottom w:val="single" w:color="auto" w:sz="4" w:space="0"/>
              <w:right w:val="single" w:color="000000" w:sz="8" w:space="0"/>
            </w:tcBorders>
            <w:vAlign w:val="center"/>
          </w:tcPr>
          <w:p w14:paraId="19FDE9E9">
            <w:pPr>
              <w:spacing w:line="320" w:lineRule="exact"/>
              <w:jc w:val="left"/>
              <w:rPr>
                <w:color w:val="000000"/>
                <w:kern w:val="0"/>
                <w:sz w:val="18"/>
                <w:szCs w:val="18"/>
              </w:rPr>
            </w:pPr>
            <w:r>
              <w:rPr>
                <w:rFonts w:hint="eastAsia"/>
                <w:color w:val="000000"/>
                <w:kern w:val="0"/>
                <w:sz w:val="18"/>
                <w:szCs w:val="18"/>
              </w:rPr>
              <w:t>对供水单位违反规定擅自停止供水或者未履行停止供水通知义务的处罚</w:t>
            </w:r>
          </w:p>
        </w:tc>
      </w:tr>
      <w:tr w14:paraId="01DDD770">
        <w:tblPrEx>
          <w:tblCellMar>
            <w:top w:w="0" w:type="dxa"/>
            <w:left w:w="108" w:type="dxa"/>
            <w:bottom w:w="0" w:type="dxa"/>
            <w:right w:w="108" w:type="dxa"/>
          </w:tblCellMar>
        </w:tblPrEx>
        <w:trPr>
          <w:trHeight w:val="2325" w:hRule="atLeast"/>
        </w:trPr>
        <w:tc>
          <w:tcPr>
            <w:tcW w:w="1010" w:type="dxa"/>
            <w:tcBorders>
              <w:top w:val="nil"/>
              <w:left w:val="single" w:color="auto" w:sz="8" w:space="0"/>
              <w:bottom w:val="single" w:color="auto" w:sz="4" w:space="0"/>
              <w:right w:val="single" w:color="auto" w:sz="4" w:space="0"/>
            </w:tcBorders>
            <w:vAlign w:val="center"/>
          </w:tcPr>
          <w:p w14:paraId="0D92920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7CCE11B5">
            <w:pPr>
              <w:spacing w:line="320" w:lineRule="exact"/>
              <w:jc w:val="left"/>
              <w:rPr>
                <w:color w:val="000000"/>
                <w:kern w:val="0"/>
                <w:sz w:val="18"/>
                <w:szCs w:val="18"/>
              </w:rPr>
            </w:pPr>
          </w:p>
          <w:p w14:paraId="161EDA52">
            <w:pPr>
              <w:spacing w:line="320" w:lineRule="exact"/>
              <w:jc w:val="left"/>
              <w:rPr>
                <w:color w:val="000000"/>
                <w:kern w:val="0"/>
                <w:sz w:val="18"/>
                <w:szCs w:val="18"/>
              </w:rPr>
            </w:pPr>
            <w:r>
              <w:rPr>
                <w:rFonts w:hint="eastAsia"/>
                <w:color w:val="000000"/>
                <w:kern w:val="0"/>
                <w:sz w:val="18"/>
                <w:szCs w:val="18"/>
              </w:rPr>
              <w:t>【行政法规】《城市供水条例》（1994年7月19日国务院令第158号发布，根据国务院令第698号、国务院令第726号修订）</w:t>
            </w:r>
          </w:p>
          <w:p w14:paraId="3166A36B">
            <w:pPr>
              <w:spacing w:line="320" w:lineRule="exact"/>
              <w:jc w:val="left"/>
              <w:rPr>
                <w:color w:val="000000"/>
                <w:kern w:val="0"/>
                <w:sz w:val="18"/>
                <w:szCs w:val="18"/>
              </w:rPr>
            </w:pPr>
            <w:r>
              <w:rPr>
                <w:rFonts w:hint="eastAsia"/>
                <w:color w:val="000000"/>
                <w:kern w:val="0"/>
                <w:sz w:val="18"/>
                <w:szCs w:val="18"/>
              </w:rPr>
              <w:t xml:space="preserve">        第三十三条　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14:paraId="4577B3ED">
            <w:pPr>
              <w:spacing w:line="320" w:lineRule="exact"/>
              <w:jc w:val="left"/>
              <w:rPr>
                <w:color w:val="000000"/>
                <w:kern w:val="0"/>
                <w:sz w:val="18"/>
                <w:szCs w:val="18"/>
              </w:rPr>
            </w:pPr>
            <w:r>
              <w:rPr>
                <w:rFonts w:hint="eastAsia"/>
                <w:color w:val="000000"/>
                <w:kern w:val="0"/>
                <w:sz w:val="18"/>
                <w:szCs w:val="18"/>
              </w:rPr>
              <w:t xml:space="preserve">       (二)擅自停止供水或者未履行停水通知义务的；</w:t>
            </w:r>
          </w:p>
          <w:p w14:paraId="3E1523E1">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3883039D">
            <w:pPr>
              <w:spacing w:line="320" w:lineRule="exact"/>
              <w:jc w:val="left"/>
              <w:rPr>
                <w:color w:val="000000"/>
                <w:kern w:val="0"/>
                <w:sz w:val="18"/>
                <w:szCs w:val="18"/>
              </w:rPr>
            </w:pPr>
            <w:r>
              <w:rPr>
                <w:rFonts w:hint="eastAsia"/>
                <w:color w:val="000000"/>
                <w:kern w:val="0"/>
                <w:sz w:val="18"/>
                <w:szCs w:val="18"/>
              </w:rPr>
              <w:t xml:space="preserve">        第三十五条第一款  供水单位应当按照规定的供水水压标准，保持不间断供水或者按照供水合同分时段供水。</w:t>
            </w:r>
          </w:p>
          <w:p w14:paraId="506D349D">
            <w:pPr>
              <w:spacing w:line="320" w:lineRule="exact"/>
              <w:jc w:val="left"/>
              <w:rPr>
                <w:color w:val="000000"/>
                <w:kern w:val="0"/>
                <w:sz w:val="18"/>
                <w:szCs w:val="18"/>
              </w:rPr>
            </w:pPr>
            <w:r>
              <w:rPr>
                <w:rFonts w:hint="eastAsia"/>
                <w:color w:val="000000"/>
                <w:kern w:val="0"/>
                <w:sz w:val="18"/>
                <w:szCs w:val="18"/>
              </w:rPr>
              <w:t xml:space="preserve">        第二款   因工程施工、设备维修等确需停止供水或者降压供水的，经城乡供水主管部门批准后，供水单位应当提前二十四小时通知用户；因发生灾害或者紧急事故不能提前通知的，供水单位应当在抢修的同时通知用户，尽快恢复正常供水，并向城乡供水主管部门报告。影响消防灭火的，应当告知消防救援机构。</w:t>
            </w:r>
          </w:p>
          <w:p w14:paraId="1CAF3F3E">
            <w:pPr>
              <w:spacing w:line="320" w:lineRule="exact"/>
              <w:jc w:val="left"/>
              <w:rPr>
                <w:color w:val="000000"/>
                <w:kern w:val="0"/>
                <w:sz w:val="18"/>
                <w:szCs w:val="18"/>
              </w:rPr>
            </w:pPr>
            <w:r>
              <w:rPr>
                <w:rFonts w:hint="eastAsia"/>
                <w:color w:val="000000"/>
                <w:kern w:val="0"/>
                <w:sz w:val="18"/>
                <w:szCs w:val="18"/>
              </w:rPr>
              <w:t xml:space="preserve">       第五十条 违反本条例规定，供水单位有下列行为之一的，由城乡供水主管部门责令改正，并可以处以三万元以上十万元以下罚款，对直接负责的主管人员和其他直接责任人员，依法给予处分：</w:t>
            </w:r>
          </w:p>
          <w:p w14:paraId="51E7D1AD">
            <w:pPr>
              <w:spacing w:line="320" w:lineRule="exact"/>
              <w:jc w:val="left"/>
              <w:rPr>
                <w:color w:val="000000"/>
                <w:kern w:val="0"/>
                <w:sz w:val="18"/>
                <w:szCs w:val="18"/>
              </w:rPr>
            </w:pPr>
            <w:r>
              <w:rPr>
                <w:rFonts w:hint="eastAsia"/>
                <w:color w:val="000000"/>
                <w:kern w:val="0"/>
                <w:sz w:val="18"/>
                <w:szCs w:val="18"/>
              </w:rPr>
              <w:t xml:space="preserve">     （四）违反规定擅自停止供水或者未履行停止供水通知义务的；</w:t>
            </w:r>
          </w:p>
        </w:tc>
      </w:tr>
      <w:tr w14:paraId="271191C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E5524F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0286339A">
            <w:pPr>
              <w:spacing w:line="240" w:lineRule="exact"/>
              <w:jc w:val="left"/>
              <w:rPr>
                <w:color w:val="000000"/>
                <w:kern w:val="0"/>
                <w:sz w:val="18"/>
                <w:szCs w:val="18"/>
              </w:rPr>
            </w:pPr>
            <w:r>
              <w:rPr>
                <w:rFonts w:hint="eastAsia"/>
                <w:color w:val="000000"/>
                <w:kern w:val="0"/>
                <w:sz w:val="18"/>
                <w:szCs w:val="18"/>
              </w:rPr>
              <w:t>责令改正，罚款，责令停业整顿</w:t>
            </w:r>
          </w:p>
        </w:tc>
      </w:tr>
      <w:tr w14:paraId="587F24FA">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DDF5855">
            <w:pPr>
              <w:spacing w:line="320" w:lineRule="exact"/>
              <w:jc w:val="center"/>
              <w:rPr>
                <w:color w:val="000000"/>
                <w:kern w:val="0"/>
                <w:sz w:val="18"/>
                <w:szCs w:val="18"/>
              </w:rPr>
            </w:pPr>
            <w:r>
              <w:rPr>
                <w:rFonts w:hint="eastAsia"/>
                <w:color w:val="000000"/>
                <w:kern w:val="0"/>
                <w:sz w:val="18"/>
                <w:szCs w:val="18"/>
              </w:rPr>
              <w:t>裁量基准</w:t>
            </w:r>
          </w:p>
        </w:tc>
      </w:tr>
      <w:tr w14:paraId="7E9F0B01">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48F6370E">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351A552">
            <w:pPr>
              <w:spacing w:line="320" w:lineRule="exact"/>
              <w:jc w:val="left"/>
              <w:rPr>
                <w:color w:val="000000"/>
                <w:kern w:val="0"/>
                <w:sz w:val="18"/>
                <w:szCs w:val="18"/>
              </w:rPr>
            </w:pPr>
            <w:r>
              <w:rPr>
                <w:rFonts w:hint="eastAsia"/>
                <w:color w:val="000000"/>
                <w:kern w:val="0"/>
                <w:sz w:val="18"/>
                <w:szCs w:val="18"/>
              </w:rPr>
              <w:t>因工程施工、设备维修等确需停止供水或者降压供水的，经城乡供水主管部门批准但未提前二十四小时通知用户的</w:t>
            </w:r>
          </w:p>
        </w:tc>
        <w:tc>
          <w:tcPr>
            <w:tcW w:w="1000" w:type="dxa"/>
            <w:vMerge w:val="restart"/>
            <w:tcBorders>
              <w:top w:val="nil"/>
              <w:left w:val="single" w:color="auto" w:sz="4" w:space="0"/>
              <w:bottom w:val="single" w:color="auto" w:sz="4" w:space="0"/>
              <w:right w:val="single" w:color="auto" w:sz="4" w:space="0"/>
            </w:tcBorders>
            <w:vAlign w:val="center"/>
          </w:tcPr>
          <w:p w14:paraId="11D16F6F">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25C34F7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4A56F7B5">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68322EE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E314301">
            <w:pPr>
              <w:spacing w:line="320" w:lineRule="exact"/>
              <w:jc w:val="left"/>
              <w:rPr>
                <w:color w:val="000000"/>
                <w:kern w:val="0"/>
                <w:sz w:val="18"/>
                <w:szCs w:val="18"/>
              </w:rPr>
            </w:pPr>
            <w:r>
              <w:rPr>
                <w:rFonts w:hint="eastAsia"/>
                <w:color w:val="000000"/>
                <w:kern w:val="0"/>
                <w:sz w:val="18"/>
                <w:szCs w:val="18"/>
              </w:rPr>
              <w:t>因工程施工、设备维修等确需停止供水或者降压供水的，未经城乡供水主管部门批准的</w:t>
            </w:r>
          </w:p>
        </w:tc>
        <w:tc>
          <w:tcPr>
            <w:tcW w:w="1000" w:type="dxa"/>
            <w:vMerge w:val="continue"/>
            <w:tcBorders>
              <w:top w:val="nil"/>
              <w:left w:val="single" w:color="auto" w:sz="4" w:space="0"/>
              <w:bottom w:val="single" w:color="auto" w:sz="4" w:space="0"/>
              <w:right w:val="single" w:color="auto" w:sz="4" w:space="0"/>
            </w:tcBorders>
            <w:vAlign w:val="center"/>
          </w:tcPr>
          <w:p w14:paraId="65D09508">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23481A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14:paraId="4EEE273B">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4F84ABE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A2E99E0">
            <w:pPr>
              <w:spacing w:line="320" w:lineRule="exact"/>
              <w:jc w:val="left"/>
              <w:rPr>
                <w:color w:val="000000"/>
                <w:kern w:val="0"/>
                <w:sz w:val="18"/>
                <w:szCs w:val="18"/>
              </w:rPr>
            </w:pPr>
            <w:r>
              <w:rPr>
                <w:rFonts w:hint="eastAsia"/>
                <w:color w:val="000000"/>
                <w:kern w:val="0"/>
                <w:sz w:val="18"/>
                <w:szCs w:val="18"/>
              </w:rPr>
              <w:t>发生灾害或者紧急事故时在抢修的未同时通知用户的</w:t>
            </w:r>
          </w:p>
        </w:tc>
        <w:tc>
          <w:tcPr>
            <w:tcW w:w="1000" w:type="dxa"/>
            <w:vMerge w:val="continue"/>
            <w:tcBorders>
              <w:top w:val="nil"/>
              <w:left w:val="single" w:color="auto" w:sz="4" w:space="0"/>
              <w:bottom w:val="single" w:color="auto" w:sz="4" w:space="0"/>
              <w:right w:val="single" w:color="auto" w:sz="4" w:space="0"/>
            </w:tcBorders>
            <w:vAlign w:val="center"/>
          </w:tcPr>
          <w:p w14:paraId="29A7AE08">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48F3CB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317954BD">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0254DE0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C45136A">
            <w:pPr>
              <w:spacing w:line="320" w:lineRule="exact"/>
              <w:jc w:val="left"/>
              <w:rPr>
                <w:color w:val="000000"/>
                <w:kern w:val="0"/>
                <w:sz w:val="18"/>
                <w:szCs w:val="18"/>
              </w:rPr>
            </w:pPr>
            <w:r>
              <w:rPr>
                <w:rFonts w:hint="eastAsia"/>
                <w:color w:val="000000"/>
                <w:kern w:val="0"/>
                <w:sz w:val="18"/>
                <w:szCs w:val="18"/>
              </w:rPr>
              <w:t>发生灾害或者紧急事故在抢修的同时通知用户但未向城乡供水主管部门报告</w:t>
            </w:r>
          </w:p>
        </w:tc>
        <w:tc>
          <w:tcPr>
            <w:tcW w:w="1000" w:type="dxa"/>
            <w:vMerge w:val="continue"/>
            <w:tcBorders>
              <w:top w:val="nil"/>
              <w:left w:val="single" w:color="auto" w:sz="4" w:space="0"/>
              <w:bottom w:val="single" w:color="auto" w:sz="4" w:space="0"/>
              <w:right w:val="single" w:color="auto" w:sz="4" w:space="0"/>
            </w:tcBorders>
            <w:vAlign w:val="center"/>
          </w:tcPr>
          <w:p w14:paraId="031B6BD8">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CD957F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40C69F21"/>
    <w:p w14:paraId="1A8B48D8"/>
    <w:tbl>
      <w:tblPr>
        <w:tblStyle w:val="15"/>
        <w:tblW w:w="0" w:type="auto"/>
        <w:tblInd w:w="93" w:type="dxa"/>
        <w:tblLayout w:type="fixed"/>
        <w:tblCellMar>
          <w:top w:w="0" w:type="dxa"/>
          <w:left w:w="108" w:type="dxa"/>
          <w:bottom w:w="0" w:type="dxa"/>
          <w:right w:w="108" w:type="dxa"/>
        </w:tblCellMar>
      </w:tblPr>
      <w:tblGrid>
        <w:gridCol w:w="991"/>
        <w:gridCol w:w="6140"/>
        <w:gridCol w:w="1014"/>
        <w:gridCol w:w="5880"/>
      </w:tblGrid>
      <w:tr w14:paraId="6EA6EC26">
        <w:tblPrEx>
          <w:tblCellMar>
            <w:top w:w="0" w:type="dxa"/>
            <w:left w:w="108" w:type="dxa"/>
            <w:bottom w:w="0" w:type="dxa"/>
            <w:right w:w="108" w:type="dxa"/>
          </w:tblCellMar>
        </w:tblPrEx>
        <w:trPr>
          <w:trHeight w:val="285" w:hRule="atLeast"/>
        </w:trPr>
        <w:tc>
          <w:tcPr>
            <w:tcW w:w="991" w:type="dxa"/>
            <w:tcBorders>
              <w:top w:val="single" w:color="auto" w:sz="8" w:space="0"/>
              <w:left w:val="single" w:color="auto" w:sz="8" w:space="0"/>
              <w:bottom w:val="single" w:color="auto" w:sz="4" w:space="0"/>
              <w:right w:val="single" w:color="auto" w:sz="4" w:space="0"/>
            </w:tcBorders>
            <w:vAlign w:val="center"/>
          </w:tcPr>
          <w:p w14:paraId="5BE6CC81">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0D855FF8">
            <w:pPr>
              <w:spacing w:line="320" w:lineRule="exact"/>
              <w:jc w:val="left"/>
              <w:rPr>
                <w:rFonts w:eastAsia="仿宋_GB2312"/>
                <w:b/>
                <w:bCs/>
                <w:color w:val="000000"/>
                <w:kern w:val="0"/>
                <w:sz w:val="18"/>
                <w:szCs w:val="18"/>
              </w:rPr>
            </w:pPr>
            <w:r>
              <w:rPr>
                <w:rFonts w:eastAsia="仿宋_GB2312"/>
                <w:b/>
                <w:bCs/>
                <w:color w:val="000000"/>
                <w:kern w:val="0"/>
                <w:sz w:val="18"/>
                <w:szCs w:val="18"/>
              </w:rPr>
              <w:t>320217382000</w:t>
            </w:r>
          </w:p>
        </w:tc>
      </w:tr>
      <w:tr w14:paraId="6B5537C0">
        <w:tblPrEx>
          <w:tblCellMar>
            <w:top w:w="0" w:type="dxa"/>
            <w:left w:w="108" w:type="dxa"/>
            <w:bottom w:w="0" w:type="dxa"/>
            <w:right w:w="108" w:type="dxa"/>
          </w:tblCellMar>
        </w:tblPrEx>
        <w:trPr>
          <w:trHeight w:val="285" w:hRule="atLeast"/>
        </w:trPr>
        <w:tc>
          <w:tcPr>
            <w:tcW w:w="991" w:type="dxa"/>
            <w:tcBorders>
              <w:top w:val="nil"/>
              <w:left w:val="single" w:color="auto" w:sz="8" w:space="0"/>
              <w:bottom w:val="single" w:color="auto" w:sz="4" w:space="0"/>
              <w:right w:val="single" w:color="auto" w:sz="4" w:space="0"/>
            </w:tcBorders>
            <w:vAlign w:val="center"/>
          </w:tcPr>
          <w:p w14:paraId="0819C2E1">
            <w:pPr>
              <w:spacing w:line="320" w:lineRule="exact"/>
              <w:jc w:val="center"/>
              <w:rPr>
                <w:color w:val="000000"/>
                <w:kern w:val="0"/>
                <w:sz w:val="18"/>
                <w:szCs w:val="18"/>
              </w:rPr>
            </w:pPr>
            <w:r>
              <w:rPr>
                <w:rFonts w:hint="eastAsia"/>
                <w:color w:val="000000"/>
                <w:kern w:val="0"/>
                <w:sz w:val="18"/>
                <w:szCs w:val="18"/>
              </w:rPr>
              <w:t>权力名称</w:t>
            </w:r>
          </w:p>
        </w:tc>
        <w:tc>
          <w:tcPr>
            <w:tcW w:w="13034" w:type="dxa"/>
            <w:gridSpan w:val="3"/>
            <w:tcBorders>
              <w:top w:val="single" w:color="auto" w:sz="4" w:space="0"/>
              <w:left w:val="nil"/>
              <w:bottom w:val="single" w:color="auto" w:sz="4" w:space="0"/>
              <w:right w:val="single" w:color="000000" w:sz="8" w:space="0"/>
            </w:tcBorders>
            <w:vAlign w:val="center"/>
          </w:tcPr>
          <w:p w14:paraId="4B26BCED">
            <w:pPr>
              <w:spacing w:line="320" w:lineRule="exact"/>
              <w:jc w:val="left"/>
              <w:rPr>
                <w:color w:val="000000"/>
                <w:kern w:val="0"/>
                <w:sz w:val="18"/>
                <w:szCs w:val="18"/>
              </w:rPr>
            </w:pPr>
            <w:r>
              <w:rPr>
                <w:rFonts w:hint="eastAsia"/>
                <w:color w:val="000000"/>
                <w:kern w:val="0"/>
                <w:sz w:val="18"/>
                <w:szCs w:val="18"/>
              </w:rPr>
              <w:t>对供水单位未按照规定开展水质检测工作的处罚</w:t>
            </w:r>
          </w:p>
        </w:tc>
      </w:tr>
      <w:tr w14:paraId="6D7CB0C7">
        <w:tblPrEx>
          <w:tblCellMar>
            <w:top w:w="0" w:type="dxa"/>
            <w:left w:w="108" w:type="dxa"/>
            <w:bottom w:w="0" w:type="dxa"/>
            <w:right w:w="108" w:type="dxa"/>
          </w:tblCellMar>
        </w:tblPrEx>
        <w:trPr>
          <w:trHeight w:val="1695" w:hRule="atLeast"/>
        </w:trPr>
        <w:tc>
          <w:tcPr>
            <w:tcW w:w="991" w:type="dxa"/>
            <w:tcBorders>
              <w:top w:val="nil"/>
              <w:left w:val="single" w:color="auto" w:sz="8" w:space="0"/>
              <w:bottom w:val="single" w:color="auto" w:sz="4" w:space="0"/>
              <w:right w:val="single" w:color="auto" w:sz="4" w:space="0"/>
            </w:tcBorders>
            <w:vAlign w:val="center"/>
          </w:tcPr>
          <w:p w14:paraId="01E39359">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0A6CF34C">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0323260E">
            <w:pPr>
              <w:spacing w:line="320" w:lineRule="exact"/>
              <w:jc w:val="left"/>
              <w:rPr>
                <w:color w:val="000000"/>
                <w:kern w:val="0"/>
                <w:sz w:val="18"/>
                <w:szCs w:val="18"/>
              </w:rPr>
            </w:pPr>
            <w:r>
              <w:rPr>
                <w:rFonts w:hint="eastAsia"/>
                <w:color w:val="000000"/>
                <w:kern w:val="0"/>
                <w:sz w:val="18"/>
                <w:szCs w:val="18"/>
              </w:rPr>
              <w:t xml:space="preserve">         第二十二条 供水单位应当建立、健全水质检测制度，按照国家生活饮用水卫生标准和省有关规定确定的水质检测项目、频次、方法，开展水质自检工作。</w:t>
            </w:r>
          </w:p>
          <w:p w14:paraId="5E441643">
            <w:pPr>
              <w:spacing w:line="320" w:lineRule="exact"/>
              <w:jc w:val="left"/>
              <w:rPr>
                <w:color w:val="000000"/>
                <w:kern w:val="0"/>
                <w:sz w:val="18"/>
                <w:szCs w:val="18"/>
              </w:rPr>
            </w:pPr>
            <w:r>
              <w:rPr>
                <w:rFonts w:hint="eastAsia"/>
                <w:color w:val="000000"/>
                <w:kern w:val="0"/>
                <w:sz w:val="18"/>
                <w:szCs w:val="18"/>
              </w:rPr>
              <w:t xml:space="preserve">        供水单位应当具备微生物检测自检能力，其他自检项目达不到国家和省有关规定的，应当委托具备法定资质的水质检测机构进行检测。</w:t>
            </w:r>
          </w:p>
          <w:p w14:paraId="75A112B6">
            <w:pPr>
              <w:spacing w:line="320" w:lineRule="exact"/>
              <w:jc w:val="left"/>
              <w:rPr>
                <w:color w:val="000000"/>
                <w:kern w:val="0"/>
                <w:sz w:val="18"/>
                <w:szCs w:val="18"/>
              </w:rPr>
            </w:pPr>
            <w:r>
              <w:rPr>
                <w:rFonts w:hint="eastAsia"/>
                <w:color w:val="000000"/>
                <w:kern w:val="0"/>
                <w:sz w:val="18"/>
                <w:szCs w:val="18"/>
              </w:rPr>
              <w:t xml:space="preserve">        第五十条 违反本条例规定，供水单位有下列行为之一的，由城乡供水主管部门责令改正，并可以处以三万元以上十万元以下罚款，对直接负责的主管人员和其他直接责任人员，依法给予处分：</w:t>
            </w:r>
          </w:p>
          <w:p w14:paraId="3922B7F1">
            <w:pPr>
              <w:spacing w:line="320" w:lineRule="exact"/>
              <w:jc w:val="left"/>
              <w:rPr>
                <w:color w:val="000000"/>
                <w:kern w:val="0"/>
                <w:sz w:val="18"/>
                <w:szCs w:val="18"/>
              </w:rPr>
            </w:pPr>
            <w:r>
              <w:rPr>
                <w:rFonts w:hint="eastAsia"/>
                <w:color w:val="000000"/>
                <w:kern w:val="0"/>
                <w:sz w:val="18"/>
                <w:szCs w:val="18"/>
              </w:rPr>
              <w:t xml:space="preserve">       （五）未按照规定开展水质检测工作的。</w:t>
            </w:r>
          </w:p>
          <w:p w14:paraId="7C22714B">
            <w:pPr>
              <w:spacing w:line="320" w:lineRule="exact"/>
              <w:jc w:val="left"/>
              <w:rPr>
                <w:color w:val="000000"/>
                <w:kern w:val="0"/>
                <w:sz w:val="18"/>
                <w:szCs w:val="18"/>
              </w:rPr>
            </w:pPr>
            <w:r>
              <w:rPr>
                <w:rFonts w:hint="eastAsia"/>
                <w:color w:val="000000"/>
                <w:kern w:val="0"/>
                <w:sz w:val="18"/>
                <w:szCs w:val="18"/>
              </w:rPr>
              <w:t>【规章】《生活饮用水卫生监督管理办法》（建设部  卫生部令1996年第53号，《住房城乡建设部 国家卫生计生委关于修改〈生活饮用水卫生监督管理办法〉的决定》修改）</w:t>
            </w:r>
          </w:p>
          <w:p w14:paraId="570C7233">
            <w:pPr>
              <w:spacing w:line="320" w:lineRule="exact"/>
              <w:jc w:val="left"/>
              <w:rPr>
                <w:color w:val="000000"/>
                <w:kern w:val="0"/>
                <w:sz w:val="18"/>
                <w:szCs w:val="18"/>
              </w:rPr>
            </w:pPr>
            <w:r>
              <w:rPr>
                <w:rFonts w:hint="eastAsia"/>
                <w:color w:val="000000"/>
                <w:kern w:val="0"/>
                <w:sz w:val="18"/>
                <w:szCs w:val="18"/>
              </w:rPr>
              <w:t xml:space="preserve">        第十条　集中式供水单位必须有水质净化消毒设施及必要的水质检验仪器、设备和人员，对水质进行日常性检验，并向当地人民政府卫生计生主管部门和住房城乡建设主管部门报送检测资料。 </w:t>
            </w:r>
          </w:p>
          <w:p w14:paraId="41505112">
            <w:pPr>
              <w:spacing w:line="320" w:lineRule="exact"/>
              <w:jc w:val="left"/>
              <w:rPr>
                <w:color w:val="000000"/>
                <w:kern w:val="0"/>
                <w:sz w:val="18"/>
                <w:szCs w:val="18"/>
              </w:rPr>
            </w:pPr>
            <w:r>
              <w:rPr>
                <w:rFonts w:hint="eastAsia"/>
                <w:color w:val="000000"/>
                <w:kern w:val="0"/>
                <w:sz w:val="18"/>
                <w:szCs w:val="18"/>
              </w:rPr>
              <w:t xml:space="preserve">         城市自来水供水企业和自建设施对外供水的企业，其生产管理制度的建立和执行、人员上岗的资格和水质日常检测工作由城市住房城乡建设主管部门负责管理。</w:t>
            </w:r>
          </w:p>
          <w:p w14:paraId="70873249">
            <w:pPr>
              <w:spacing w:line="320" w:lineRule="exact"/>
              <w:jc w:val="left"/>
              <w:rPr>
                <w:color w:val="000000"/>
                <w:kern w:val="0"/>
                <w:sz w:val="18"/>
                <w:szCs w:val="18"/>
              </w:rPr>
            </w:pPr>
            <w:r>
              <w:rPr>
                <w:rFonts w:hint="eastAsia"/>
                <w:color w:val="000000"/>
                <w:kern w:val="0"/>
                <w:sz w:val="18"/>
                <w:szCs w:val="18"/>
              </w:rPr>
              <w:t xml:space="preserve">        第二十八条　城市自来水供水企业和自建设施对外供水的企业，有下列行为之一的，由住房城乡建设主管部门责令限期改进，并可处以违法所得3倍以下的罚款，但最高不超过30000元，没有违法所得的可处以10000元以下罚款： </w:t>
            </w:r>
          </w:p>
          <w:p w14:paraId="7B3BF954">
            <w:pPr>
              <w:spacing w:line="320" w:lineRule="exact"/>
              <w:jc w:val="left"/>
              <w:rPr>
                <w:color w:val="000000"/>
                <w:kern w:val="0"/>
                <w:sz w:val="18"/>
                <w:szCs w:val="18"/>
              </w:rPr>
            </w:pPr>
            <w:r>
              <w:rPr>
                <w:rFonts w:hint="eastAsia"/>
                <w:color w:val="000000"/>
                <w:kern w:val="0"/>
                <w:sz w:val="18"/>
                <w:szCs w:val="18"/>
              </w:rPr>
              <w:t xml:space="preserve">      （二）未按规定进行日常性水质检验工作的。</w:t>
            </w:r>
          </w:p>
        </w:tc>
      </w:tr>
      <w:tr w14:paraId="604F450F">
        <w:tblPrEx>
          <w:tblCellMar>
            <w:top w:w="0" w:type="dxa"/>
            <w:left w:w="108" w:type="dxa"/>
            <w:bottom w:w="0" w:type="dxa"/>
            <w:right w:w="108" w:type="dxa"/>
          </w:tblCellMar>
        </w:tblPrEx>
        <w:trPr>
          <w:trHeight w:val="285" w:hRule="atLeast"/>
        </w:trPr>
        <w:tc>
          <w:tcPr>
            <w:tcW w:w="991" w:type="dxa"/>
            <w:tcBorders>
              <w:top w:val="nil"/>
              <w:left w:val="single" w:color="auto" w:sz="8" w:space="0"/>
              <w:bottom w:val="single" w:color="auto" w:sz="4" w:space="0"/>
              <w:right w:val="single" w:color="auto" w:sz="4" w:space="0"/>
            </w:tcBorders>
            <w:vAlign w:val="center"/>
          </w:tcPr>
          <w:p w14:paraId="713740E5">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1E08FC7B">
            <w:pPr>
              <w:spacing w:line="320" w:lineRule="exact"/>
              <w:jc w:val="left"/>
              <w:rPr>
                <w:color w:val="000000"/>
                <w:kern w:val="0"/>
                <w:sz w:val="18"/>
                <w:szCs w:val="18"/>
              </w:rPr>
            </w:pPr>
            <w:r>
              <w:rPr>
                <w:rFonts w:hint="eastAsia"/>
                <w:color w:val="000000"/>
                <w:kern w:val="0"/>
                <w:sz w:val="18"/>
                <w:szCs w:val="18"/>
              </w:rPr>
              <w:t>罚款</w:t>
            </w:r>
          </w:p>
        </w:tc>
      </w:tr>
      <w:tr w14:paraId="1455264E">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7D4AD8B5">
            <w:pPr>
              <w:spacing w:line="320" w:lineRule="exact"/>
              <w:jc w:val="center"/>
              <w:rPr>
                <w:color w:val="000000"/>
                <w:kern w:val="0"/>
                <w:sz w:val="18"/>
                <w:szCs w:val="18"/>
              </w:rPr>
            </w:pPr>
            <w:r>
              <w:rPr>
                <w:rFonts w:hint="eastAsia"/>
                <w:color w:val="000000"/>
                <w:kern w:val="0"/>
                <w:sz w:val="18"/>
                <w:szCs w:val="18"/>
              </w:rPr>
              <w:t>裁量基准</w:t>
            </w:r>
          </w:p>
        </w:tc>
      </w:tr>
      <w:tr w14:paraId="19A8FB75">
        <w:tblPrEx>
          <w:tblCellMar>
            <w:top w:w="0" w:type="dxa"/>
            <w:left w:w="108" w:type="dxa"/>
            <w:bottom w:w="0" w:type="dxa"/>
            <w:right w:w="108" w:type="dxa"/>
          </w:tblCellMar>
        </w:tblPrEx>
        <w:trPr>
          <w:trHeight w:val="285" w:hRule="atLeast"/>
        </w:trPr>
        <w:tc>
          <w:tcPr>
            <w:tcW w:w="991" w:type="dxa"/>
            <w:vMerge w:val="restart"/>
            <w:tcBorders>
              <w:top w:val="nil"/>
              <w:left w:val="single" w:color="auto" w:sz="8" w:space="0"/>
              <w:bottom w:val="single" w:color="auto" w:sz="4" w:space="0"/>
              <w:right w:val="single" w:color="auto" w:sz="4" w:space="0"/>
            </w:tcBorders>
            <w:vAlign w:val="center"/>
          </w:tcPr>
          <w:p w14:paraId="2AC13FA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9BE2B4F">
            <w:pPr>
              <w:spacing w:line="320" w:lineRule="exact"/>
              <w:jc w:val="left"/>
              <w:rPr>
                <w:color w:val="000000"/>
                <w:kern w:val="0"/>
                <w:sz w:val="18"/>
                <w:szCs w:val="18"/>
              </w:rPr>
            </w:pPr>
            <w:r>
              <w:rPr>
                <w:rFonts w:hint="eastAsia"/>
                <w:color w:val="000000"/>
                <w:kern w:val="0"/>
                <w:sz w:val="18"/>
                <w:szCs w:val="18"/>
              </w:rPr>
              <w:t>未按照要求改正且水质符合标准的</w:t>
            </w:r>
          </w:p>
        </w:tc>
        <w:tc>
          <w:tcPr>
            <w:tcW w:w="1014" w:type="dxa"/>
            <w:vMerge w:val="restart"/>
            <w:tcBorders>
              <w:top w:val="nil"/>
              <w:left w:val="single" w:color="auto" w:sz="4" w:space="0"/>
              <w:bottom w:val="single" w:color="auto" w:sz="4" w:space="0"/>
              <w:right w:val="single" w:color="auto" w:sz="4" w:space="0"/>
            </w:tcBorders>
            <w:vAlign w:val="center"/>
          </w:tcPr>
          <w:p w14:paraId="75949D8A">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color="auto" w:sz="4" w:space="0"/>
              <w:right w:val="single" w:color="auto" w:sz="8" w:space="0"/>
            </w:tcBorders>
            <w:vAlign w:val="center"/>
          </w:tcPr>
          <w:p w14:paraId="19A7889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00181C3D">
        <w:tblPrEx>
          <w:tblCellMar>
            <w:top w:w="0" w:type="dxa"/>
            <w:left w:w="108" w:type="dxa"/>
            <w:bottom w:w="0" w:type="dxa"/>
            <w:right w:w="108" w:type="dxa"/>
          </w:tblCellMar>
        </w:tblPrEx>
        <w:trPr>
          <w:trHeight w:val="285" w:hRule="atLeast"/>
        </w:trPr>
        <w:tc>
          <w:tcPr>
            <w:tcW w:w="991" w:type="dxa"/>
            <w:vMerge w:val="continue"/>
            <w:tcBorders>
              <w:top w:val="nil"/>
              <w:left w:val="single" w:color="auto" w:sz="8" w:space="0"/>
              <w:bottom w:val="single" w:color="auto" w:sz="4" w:space="0"/>
              <w:right w:val="single" w:color="auto" w:sz="4" w:space="0"/>
            </w:tcBorders>
            <w:vAlign w:val="center"/>
          </w:tcPr>
          <w:p w14:paraId="21FEA79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954EF6F">
            <w:pPr>
              <w:spacing w:line="320" w:lineRule="exact"/>
              <w:jc w:val="left"/>
              <w:rPr>
                <w:color w:val="000000"/>
                <w:kern w:val="0"/>
                <w:sz w:val="18"/>
                <w:szCs w:val="18"/>
              </w:rPr>
            </w:pPr>
            <w:r>
              <w:rPr>
                <w:rFonts w:hint="eastAsia"/>
                <w:color w:val="000000"/>
                <w:kern w:val="0"/>
                <w:sz w:val="18"/>
                <w:szCs w:val="18"/>
              </w:rPr>
              <w:t>按照要求改正且水质不符合标准的</w:t>
            </w:r>
          </w:p>
        </w:tc>
        <w:tc>
          <w:tcPr>
            <w:tcW w:w="1014" w:type="dxa"/>
            <w:vMerge w:val="continue"/>
            <w:tcBorders>
              <w:top w:val="nil"/>
              <w:left w:val="single" w:color="auto" w:sz="4" w:space="0"/>
              <w:bottom w:val="single" w:color="auto" w:sz="4" w:space="0"/>
              <w:right w:val="single" w:color="auto" w:sz="4" w:space="0"/>
            </w:tcBorders>
            <w:vAlign w:val="center"/>
          </w:tcPr>
          <w:p w14:paraId="467621A4">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019FDD5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60076A61">
        <w:tblPrEx>
          <w:tblCellMar>
            <w:top w:w="0" w:type="dxa"/>
            <w:left w:w="108" w:type="dxa"/>
            <w:bottom w:w="0" w:type="dxa"/>
            <w:right w:w="108" w:type="dxa"/>
          </w:tblCellMar>
        </w:tblPrEx>
        <w:trPr>
          <w:trHeight w:val="285" w:hRule="atLeast"/>
        </w:trPr>
        <w:tc>
          <w:tcPr>
            <w:tcW w:w="991" w:type="dxa"/>
            <w:vMerge w:val="continue"/>
            <w:tcBorders>
              <w:top w:val="nil"/>
              <w:left w:val="single" w:color="auto" w:sz="8" w:space="0"/>
              <w:bottom w:val="single" w:color="auto" w:sz="4" w:space="0"/>
              <w:right w:val="single" w:color="auto" w:sz="4" w:space="0"/>
            </w:tcBorders>
            <w:vAlign w:val="center"/>
          </w:tcPr>
          <w:p w14:paraId="3D856C2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8356669">
            <w:pPr>
              <w:spacing w:line="320" w:lineRule="exact"/>
              <w:jc w:val="left"/>
              <w:rPr>
                <w:color w:val="000000"/>
                <w:kern w:val="0"/>
                <w:sz w:val="18"/>
                <w:szCs w:val="18"/>
              </w:rPr>
            </w:pPr>
            <w:r>
              <w:rPr>
                <w:rFonts w:hint="eastAsia"/>
                <w:color w:val="000000"/>
                <w:kern w:val="0"/>
                <w:sz w:val="18"/>
                <w:szCs w:val="18"/>
              </w:rPr>
              <w:t>未按照要求改正且水质不符合标准的</w:t>
            </w:r>
          </w:p>
        </w:tc>
        <w:tc>
          <w:tcPr>
            <w:tcW w:w="1014" w:type="dxa"/>
            <w:vMerge w:val="continue"/>
            <w:tcBorders>
              <w:top w:val="nil"/>
              <w:left w:val="single" w:color="auto" w:sz="4" w:space="0"/>
              <w:bottom w:val="single" w:color="auto" w:sz="4" w:space="0"/>
              <w:right w:val="single" w:color="auto" w:sz="4" w:space="0"/>
            </w:tcBorders>
            <w:vAlign w:val="center"/>
          </w:tcPr>
          <w:p w14:paraId="49E8056E">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294682C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31E0E893"/>
    <w:p w14:paraId="36EA1E51"/>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2305D256">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061D8E3D">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2BD38565">
            <w:pPr>
              <w:spacing w:line="320" w:lineRule="exact"/>
              <w:jc w:val="left"/>
              <w:rPr>
                <w:rFonts w:eastAsia="仿宋_GB2312"/>
                <w:b/>
                <w:bCs/>
                <w:color w:val="000000"/>
                <w:kern w:val="0"/>
                <w:sz w:val="18"/>
                <w:szCs w:val="18"/>
              </w:rPr>
            </w:pPr>
            <w:r>
              <w:rPr>
                <w:rFonts w:eastAsia="仿宋_GB2312"/>
                <w:b/>
                <w:bCs/>
                <w:color w:val="000000"/>
                <w:kern w:val="0"/>
                <w:sz w:val="18"/>
                <w:szCs w:val="18"/>
              </w:rPr>
              <w:t>320217383000</w:t>
            </w:r>
            <w:r>
              <w:rPr>
                <w:rFonts w:hint="eastAsia" w:eastAsia="仿宋_GB2312"/>
                <w:b/>
                <w:bCs/>
                <w:color w:val="000000"/>
                <w:kern w:val="0"/>
                <w:sz w:val="18"/>
                <w:szCs w:val="18"/>
              </w:rPr>
              <w:t xml:space="preserve"> </w:t>
            </w:r>
          </w:p>
        </w:tc>
      </w:tr>
      <w:tr w14:paraId="15DF50E6">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17727DE">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5DCA7C99">
            <w:pPr>
              <w:spacing w:line="320" w:lineRule="exact"/>
              <w:jc w:val="left"/>
              <w:rPr>
                <w:color w:val="000000"/>
                <w:kern w:val="0"/>
                <w:sz w:val="18"/>
                <w:szCs w:val="18"/>
              </w:rPr>
            </w:pPr>
            <w:r>
              <w:rPr>
                <w:rFonts w:hint="eastAsia"/>
                <w:color w:val="000000"/>
                <w:kern w:val="0"/>
                <w:sz w:val="18"/>
                <w:szCs w:val="18"/>
              </w:rPr>
              <w:t>对有关单位未与施工单位、设施维护运营单位等共同制定设施保护方案，并采取相应的安全防护措施的处罚</w:t>
            </w:r>
          </w:p>
        </w:tc>
      </w:tr>
      <w:tr w14:paraId="3C2FE8C5">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4FEF37F2">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65BE202C">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第四十一条第二款</w:t>
            </w:r>
            <w:r>
              <w:rPr>
                <w:color w:val="000000"/>
                <w:kern w:val="0"/>
                <w:sz w:val="18"/>
                <w:szCs w:val="18"/>
              </w:rPr>
              <w:t xml:space="preserve">  </w:t>
            </w:r>
            <w:r>
              <w:rPr>
                <w:rFonts w:hint="eastAsia"/>
                <w:color w:val="000000"/>
                <w:kern w:val="0"/>
                <w:sz w:val="18"/>
                <w:szCs w:val="18"/>
              </w:rPr>
              <w:t>在保护范围内，有关单位从事爆破、钻探、打桩、顶进、挖掘、取土等可能影响城镇排水与污水处理设施安全的活动的，应当与设施维护运营单位等共同制定设施保护方案，并采取相应的安全防护措施。</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第四十三条第三款建设工程施工范围内有排水管网等城镇排水与污水处理设施的，建设单位应当与施工单位、设施维护运营单位共同制定设施保护方案，并采取相应的安全保护措施。</w:t>
            </w:r>
            <w:r>
              <w:rPr>
                <w:color w:val="000000"/>
                <w:kern w:val="0"/>
                <w:sz w:val="18"/>
                <w:szCs w:val="18"/>
              </w:rPr>
              <w:br w:type="textWrapping"/>
            </w:r>
            <w:r>
              <w:rPr>
                <w:rFonts w:hint="eastAsia"/>
                <w:color w:val="000000"/>
                <w:kern w:val="0"/>
                <w:sz w:val="18"/>
                <w:szCs w:val="18"/>
              </w:rPr>
              <w:t>第五十七条第一款　违反本条例规定，有关单位未与施工单位、设施维护运营单位等共同制定设施保护方案，并采取相应的安全防护措施的，由城镇排水主管部门责令改正，处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万元以下罚款；造成严重后果的，处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万元以下罚款；造成损失的，依法承担赔偿责任；构成犯罪的，依法追究刑事责任。</w:t>
            </w:r>
          </w:p>
        </w:tc>
      </w:tr>
      <w:tr w14:paraId="7CF48419">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0A4A16A3">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3C12E303">
            <w:pPr>
              <w:spacing w:line="320" w:lineRule="exact"/>
              <w:jc w:val="left"/>
              <w:rPr>
                <w:color w:val="000000"/>
                <w:kern w:val="0"/>
                <w:sz w:val="18"/>
                <w:szCs w:val="18"/>
              </w:rPr>
            </w:pPr>
            <w:r>
              <w:rPr>
                <w:rFonts w:hint="eastAsia"/>
                <w:color w:val="000000"/>
                <w:kern w:val="0"/>
                <w:sz w:val="18"/>
                <w:szCs w:val="18"/>
              </w:rPr>
              <w:t>罚款</w:t>
            </w:r>
          </w:p>
        </w:tc>
      </w:tr>
      <w:tr w14:paraId="61E5B88A">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2EA01588">
            <w:pPr>
              <w:spacing w:line="320" w:lineRule="exact"/>
              <w:jc w:val="center"/>
              <w:rPr>
                <w:color w:val="000000"/>
                <w:kern w:val="0"/>
                <w:sz w:val="18"/>
                <w:szCs w:val="18"/>
              </w:rPr>
            </w:pPr>
            <w:r>
              <w:rPr>
                <w:rFonts w:hint="eastAsia"/>
                <w:color w:val="000000"/>
                <w:kern w:val="0"/>
                <w:sz w:val="18"/>
                <w:szCs w:val="18"/>
              </w:rPr>
              <w:t>裁量基准</w:t>
            </w:r>
          </w:p>
        </w:tc>
      </w:tr>
      <w:tr w14:paraId="66BA76D8">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right w:val="single" w:color="auto" w:sz="4" w:space="0"/>
            </w:tcBorders>
            <w:vAlign w:val="center"/>
          </w:tcPr>
          <w:p w14:paraId="7B8ECEE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AD567D6">
            <w:pPr>
              <w:spacing w:line="320" w:lineRule="exact"/>
              <w:jc w:val="left"/>
              <w:rPr>
                <w:color w:val="000000"/>
                <w:kern w:val="0"/>
                <w:sz w:val="18"/>
                <w:szCs w:val="18"/>
              </w:rPr>
            </w:pPr>
            <w:r>
              <w:rPr>
                <w:rFonts w:hint="eastAsia"/>
                <w:color w:val="000000"/>
                <w:kern w:val="0"/>
                <w:sz w:val="18"/>
                <w:szCs w:val="18"/>
              </w:rPr>
              <w:t>按照要求改正，但未造成严重后果的</w:t>
            </w:r>
          </w:p>
        </w:tc>
        <w:tc>
          <w:tcPr>
            <w:tcW w:w="1000" w:type="dxa"/>
            <w:vMerge w:val="restart"/>
            <w:tcBorders>
              <w:top w:val="nil"/>
              <w:left w:val="single" w:color="auto" w:sz="4" w:space="0"/>
              <w:right w:val="single" w:color="auto" w:sz="4" w:space="0"/>
            </w:tcBorders>
            <w:vAlign w:val="center"/>
          </w:tcPr>
          <w:p w14:paraId="7282A029">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4B82B1C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097E5115">
        <w:tblPrEx>
          <w:tblCellMar>
            <w:top w:w="0" w:type="dxa"/>
            <w:left w:w="108" w:type="dxa"/>
            <w:bottom w:w="0" w:type="dxa"/>
            <w:right w:w="108" w:type="dxa"/>
          </w:tblCellMar>
        </w:tblPrEx>
        <w:trPr>
          <w:trHeight w:val="285" w:hRule="atLeast"/>
        </w:trPr>
        <w:tc>
          <w:tcPr>
            <w:tcW w:w="980" w:type="dxa"/>
            <w:vMerge w:val="continue"/>
            <w:tcBorders>
              <w:left w:val="single" w:color="auto" w:sz="8" w:space="0"/>
              <w:right w:val="single" w:color="auto" w:sz="4" w:space="0"/>
            </w:tcBorders>
            <w:vAlign w:val="center"/>
          </w:tcPr>
          <w:p w14:paraId="4410028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CB354B0">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continue"/>
            <w:tcBorders>
              <w:left w:val="single" w:color="auto" w:sz="4" w:space="0"/>
              <w:right w:val="single" w:color="auto" w:sz="4" w:space="0"/>
            </w:tcBorders>
            <w:vAlign w:val="center"/>
          </w:tcPr>
          <w:p w14:paraId="3C6031B9">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5EA7F07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14:paraId="4FAC677E">
        <w:tblPrEx>
          <w:tblCellMar>
            <w:top w:w="0" w:type="dxa"/>
            <w:left w:w="108" w:type="dxa"/>
            <w:bottom w:w="0" w:type="dxa"/>
            <w:right w:w="108" w:type="dxa"/>
          </w:tblCellMar>
        </w:tblPrEx>
        <w:trPr>
          <w:trHeight w:val="285" w:hRule="atLeast"/>
        </w:trPr>
        <w:tc>
          <w:tcPr>
            <w:tcW w:w="980" w:type="dxa"/>
            <w:vMerge w:val="continue"/>
            <w:tcBorders>
              <w:left w:val="single" w:color="auto" w:sz="8" w:space="0"/>
              <w:right w:val="single" w:color="auto" w:sz="4" w:space="0"/>
            </w:tcBorders>
            <w:vAlign w:val="center"/>
          </w:tcPr>
          <w:p w14:paraId="5F6C221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86FA9AF">
            <w:pPr>
              <w:spacing w:line="320" w:lineRule="exact"/>
              <w:jc w:val="left"/>
              <w:rPr>
                <w:color w:val="000000"/>
                <w:kern w:val="0"/>
                <w:sz w:val="18"/>
                <w:szCs w:val="18"/>
              </w:rPr>
            </w:pPr>
            <w:r>
              <w:rPr>
                <w:rFonts w:hint="eastAsia"/>
                <w:color w:val="000000"/>
                <w:kern w:val="0"/>
                <w:sz w:val="18"/>
                <w:szCs w:val="18"/>
              </w:rPr>
              <w:t>按照要求改正，但造成严重后果的</w:t>
            </w:r>
          </w:p>
        </w:tc>
        <w:tc>
          <w:tcPr>
            <w:tcW w:w="1000" w:type="dxa"/>
            <w:vMerge w:val="continue"/>
            <w:tcBorders>
              <w:left w:val="single" w:color="auto" w:sz="4" w:space="0"/>
              <w:right w:val="single" w:color="auto" w:sz="4" w:space="0"/>
            </w:tcBorders>
            <w:vAlign w:val="center"/>
          </w:tcPr>
          <w:p w14:paraId="4435BAFC">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013E3C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637057A7">
        <w:tblPrEx>
          <w:tblCellMar>
            <w:top w:w="0" w:type="dxa"/>
            <w:left w:w="108" w:type="dxa"/>
            <w:bottom w:w="0" w:type="dxa"/>
            <w:right w:w="108" w:type="dxa"/>
          </w:tblCellMar>
        </w:tblPrEx>
        <w:trPr>
          <w:trHeight w:val="285" w:hRule="atLeast"/>
        </w:trPr>
        <w:tc>
          <w:tcPr>
            <w:tcW w:w="980" w:type="dxa"/>
            <w:vMerge w:val="continue"/>
            <w:tcBorders>
              <w:left w:val="single" w:color="auto" w:sz="8" w:space="0"/>
              <w:bottom w:val="single" w:color="auto" w:sz="4" w:space="0"/>
              <w:right w:val="single" w:color="auto" w:sz="4" w:space="0"/>
            </w:tcBorders>
            <w:vAlign w:val="center"/>
          </w:tcPr>
          <w:p w14:paraId="53B80C5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D045DE0">
            <w:pPr>
              <w:spacing w:line="320" w:lineRule="exact"/>
              <w:jc w:val="left"/>
              <w:rPr>
                <w:color w:val="000000"/>
                <w:kern w:val="0"/>
                <w:sz w:val="18"/>
                <w:szCs w:val="18"/>
              </w:rPr>
            </w:pPr>
            <w:r>
              <w:rPr>
                <w:rFonts w:hint="eastAsia"/>
                <w:color w:val="000000"/>
                <w:kern w:val="0"/>
                <w:sz w:val="18"/>
                <w:szCs w:val="18"/>
              </w:rPr>
              <w:t>未按照要求改正，且造成严重后果的</w:t>
            </w:r>
          </w:p>
        </w:tc>
        <w:tc>
          <w:tcPr>
            <w:tcW w:w="1000" w:type="dxa"/>
            <w:vMerge w:val="continue"/>
            <w:tcBorders>
              <w:left w:val="single" w:color="auto" w:sz="4" w:space="0"/>
              <w:bottom w:val="single" w:color="auto" w:sz="4" w:space="0"/>
              <w:right w:val="single" w:color="auto" w:sz="4" w:space="0"/>
            </w:tcBorders>
            <w:vAlign w:val="center"/>
          </w:tcPr>
          <w:p w14:paraId="6E3C6769">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166FDE6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39DF9F49"/>
    <w:p w14:paraId="2250A642"/>
    <w:p w14:paraId="13EBFE22"/>
    <w:p w14:paraId="1AB34CF0"/>
    <w:p w14:paraId="461550DF"/>
    <w:p w14:paraId="259AD485"/>
    <w:p w14:paraId="4F1C489F"/>
    <w:p w14:paraId="4DEFC084"/>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67AF29D3">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FB257B0">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2564F63">
            <w:pPr>
              <w:spacing w:line="320" w:lineRule="exact"/>
              <w:jc w:val="left"/>
              <w:rPr>
                <w:rFonts w:eastAsia="仿宋_GB2312"/>
                <w:b/>
                <w:bCs/>
                <w:color w:val="000000"/>
                <w:kern w:val="0"/>
                <w:sz w:val="18"/>
                <w:szCs w:val="18"/>
              </w:rPr>
            </w:pPr>
            <w:r>
              <w:rPr>
                <w:rFonts w:eastAsia="仿宋_GB2312"/>
                <w:b/>
                <w:bCs/>
                <w:color w:val="000000"/>
                <w:kern w:val="0"/>
                <w:sz w:val="18"/>
                <w:szCs w:val="18"/>
              </w:rPr>
              <w:t>320217385000</w:t>
            </w:r>
          </w:p>
        </w:tc>
      </w:tr>
      <w:tr w14:paraId="228FA79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889C90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3CD96400">
            <w:pPr>
              <w:spacing w:line="320" w:lineRule="exact"/>
              <w:jc w:val="left"/>
              <w:rPr>
                <w:color w:val="000000"/>
                <w:kern w:val="0"/>
                <w:sz w:val="18"/>
                <w:szCs w:val="18"/>
              </w:rPr>
            </w:pPr>
            <w:r>
              <w:rPr>
                <w:rFonts w:hint="eastAsia"/>
                <w:color w:val="000000"/>
                <w:kern w:val="0"/>
                <w:sz w:val="18"/>
                <w:szCs w:val="18"/>
              </w:rPr>
              <w:t>对公共租赁住房的所有权人及其委托的运营单位改变公共租赁住房的保障性住房性质、用途，以及配套设施的规划用途的处罚</w:t>
            </w:r>
          </w:p>
        </w:tc>
      </w:tr>
      <w:tr w14:paraId="47BE481E">
        <w:tblPrEx>
          <w:tblCellMar>
            <w:top w:w="0" w:type="dxa"/>
            <w:left w:w="108" w:type="dxa"/>
            <w:bottom w:w="0" w:type="dxa"/>
            <w:right w:w="108" w:type="dxa"/>
          </w:tblCellMar>
        </w:tblPrEx>
        <w:trPr>
          <w:trHeight w:val="1530" w:hRule="atLeast"/>
        </w:trPr>
        <w:tc>
          <w:tcPr>
            <w:tcW w:w="1010" w:type="dxa"/>
            <w:tcBorders>
              <w:top w:val="nil"/>
              <w:left w:val="single" w:color="auto" w:sz="8" w:space="0"/>
              <w:bottom w:val="single" w:color="auto" w:sz="4" w:space="0"/>
              <w:right w:val="single" w:color="auto" w:sz="4" w:space="0"/>
            </w:tcBorders>
            <w:vAlign w:val="center"/>
          </w:tcPr>
          <w:p w14:paraId="3A5378F0">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73B0FCD9">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14:paraId="13612DC8">
            <w:pPr>
              <w:spacing w:line="320" w:lineRule="exact"/>
              <w:jc w:val="left"/>
              <w:rPr>
                <w:color w:val="000000"/>
                <w:kern w:val="0"/>
                <w:sz w:val="18"/>
                <w:szCs w:val="18"/>
              </w:rPr>
            </w:pPr>
            <w:r>
              <w:rPr>
                <w:rFonts w:hint="eastAsia"/>
                <w:color w:val="000000"/>
                <w:kern w:val="0"/>
                <w:sz w:val="18"/>
                <w:szCs w:val="18"/>
              </w:rPr>
              <w:t>第三十四条公共租赁住房的所有权人及其委托的运营单位违反本办法，有下列行为之一的，由市、县级人民政府住房保障主管部门责令限期改正，并处以</w:t>
            </w:r>
            <w:r>
              <w:rPr>
                <w:color w:val="000000"/>
                <w:kern w:val="0"/>
                <w:sz w:val="18"/>
                <w:szCs w:val="18"/>
              </w:rPr>
              <w:t>3</w:t>
            </w:r>
            <w:r>
              <w:rPr>
                <w:rFonts w:hint="eastAsia"/>
                <w:color w:val="000000"/>
                <w:kern w:val="0"/>
                <w:sz w:val="18"/>
                <w:szCs w:val="18"/>
              </w:rPr>
              <w:t>万元以下罚款</w:t>
            </w:r>
          </w:p>
          <w:p w14:paraId="459A13E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（三）改变公共租赁住房的保障性住房性质、用途，以及配套设施的规划用途的。</w:t>
            </w:r>
          </w:p>
        </w:tc>
      </w:tr>
      <w:tr w14:paraId="4A03EA4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524390F">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02800708">
            <w:pPr>
              <w:spacing w:line="320" w:lineRule="exact"/>
              <w:jc w:val="left"/>
              <w:rPr>
                <w:color w:val="000000"/>
                <w:kern w:val="0"/>
                <w:sz w:val="18"/>
                <w:szCs w:val="18"/>
              </w:rPr>
            </w:pPr>
            <w:r>
              <w:rPr>
                <w:rFonts w:hint="eastAsia"/>
                <w:color w:val="000000"/>
                <w:kern w:val="0"/>
                <w:sz w:val="18"/>
                <w:szCs w:val="18"/>
              </w:rPr>
              <w:t>罚款</w:t>
            </w:r>
          </w:p>
        </w:tc>
      </w:tr>
      <w:tr w14:paraId="7A748D48">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64D6DC1">
            <w:pPr>
              <w:spacing w:line="320" w:lineRule="exact"/>
              <w:jc w:val="center"/>
              <w:rPr>
                <w:color w:val="000000"/>
                <w:kern w:val="0"/>
                <w:sz w:val="18"/>
                <w:szCs w:val="18"/>
              </w:rPr>
            </w:pPr>
            <w:r>
              <w:rPr>
                <w:rFonts w:hint="eastAsia"/>
                <w:color w:val="000000"/>
                <w:kern w:val="0"/>
                <w:sz w:val="18"/>
                <w:szCs w:val="18"/>
              </w:rPr>
              <w:t>裁量基准</w:t>
            </w:r>
          </w:p>
        </w:tc>
      </w:tr>
      <w:tr w14:paraId="3CBAA54C">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26ADCDC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D63B68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5958986B">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6BB6B5C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万元以下罚款</w:t>
            </w:r>
          </w:p>
        </w:tc>
      </w:tr>
      <w:tr w14:paraId="1F3224B3">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6492697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80EE131">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6347FCEF">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D820A4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4D15DB3E"/>
    <w:p w14:paraId="1BAE7841"/>
    <w:p w14:paraId="3E53E890"/>
    <w:p w14:paraId="5EEA9F73"/>
    <w:p w14:paraId="630BD26A"/>
    <w:p w14:paraId="70AE8562"/>
    <w:p w14:paraId="78041693"/>
    <w:p w14:paraId="3A6F3A56"/>
    <w:p w14:paraId="0CA06887"/>
    <w:p w14:paraId="784A77F3"/>
    <w:p w14:paraId="5CE6D28E"/>
    <w:p w14:paraId="1050445A"/>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3C7A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013F9BD">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5E80C2B3">
            <w:pPr>
              <w:spacing w:line="320" w:lineRule="exact"/>
              <w:jc w:val="left"/>
              <w:rPr>
                <w:rFonts w:eastAsia="仿宋_GB2312"/>
                <w:b/>
                <w:bCs/>
                <w:color w:val="000000"/>
                <w:kern w:val="0"/>
                <w:sz w:val="18"/>
                <w:szCs w:val="18"/>
              </w:rPr>
            </w:pPr>
            <w:r>
              <w:rPr>
                <w:rFonts w:eastAsia="仿宋_GB2312"/>
                <w:b/>
                <w:bCs/>
                <w:color w:val="000000"/>
                <w:kern w:val="0"/>
                <w:sz w:val="18"/>
                <w:szCs w:val="18"/>
              </w:rPr>
              <w:t>320217386000</w:t>
            </w:r>
          </w:p>
        </w:tc>
      </w:tr>
      <w:tr w14:paraId="669A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A3D9DF0">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05601946">
            <w:pPr>
              <w:spacing w:line="320" w:lineRule="exact"/>
              <w:jc w:val="left"/>
              <w:rPr>
                <w:color w:val="000000"/>
                <w:kern w:val="0"/>
                <w:sz w:val="18"/>
                <w:szCs w:val="18"/>
              </w:rPr>
            </w:pPr>
            <w:r>
              <w:rPr>
                <w:rFonts w:hint="eastAsia"/>
                <w:color w:val="000000"/>
                <w:kern w:val="0"/>
                <w:sz w:val="18"/>
                <w:szCs w:val="18"/>
              </w:rPr>
              <w:t>对特种设备生产、经营、使用单位未配备具有相应资格的特种设备安全管理人员、检测人员和作业人员的；使用未取得相应资格的人员从事特种设备安全管理、检测和作业的；未对特种设备安全管理人员、检测人员和作业人员进行安全教育和技能培训的处罚</w:t>
            </w:r>
          </w:p>
        </w:tc>
      </w:tr>
      <w:tr w14:paraId="15FF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753E728F">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76F9FBAC">
            <w:pPr>
              <w:spacing w:line="320" w:lineRule="exact"/>
              <w:jc w:val="left"/>
              <w:rPr>
                <w:color w:val="000000"/>
                <w:kern w:val="0"/>
                <w:sz w:val="18"/>
                <w:szCs w:val="18"/>
              </w:rPr>
            </w:pPr>
            <w:r>
              <w:rPr>
                <w:rFonts w:hint="eastAsia"/>
                <w:color w:val="000000"/>
                <w:kern w:val="0"/>
                <w:sz w:val="18"/>
                <w:szCs w:val="18"/>
              </w:rPr>
              <w:t>【法律】《中华人民共和国特种设备安全法》</w:t>
            </w:r>
          </w:p>
          <w:p w14:paraId="6BD1D656">
            <w:pPr>
              <w:spacing w:line="320" w:lineRule="exact"/>
              <w:jc w:val="left"/>
              <w:rPr>
                <w:color w:val="000000"/>
                <w:kern w:val="0"/>
                <w:sz w:val="18"/>
                <w:szCs w:val="18"/>
              </w:rPr>
            </w:pPr>
            <w:r>
              <w:rPr>
                <w:rFonts w:hint="eastAsia"/>
                <w:color w:val="000000"/>
                <w:kern w:val="0"/>
                <w:sz w:val="18"/>
                <w:szCs w:val="18"/>
              </w:rPr>
              <w:t>第十三条</w:t>
            </w:r>
            <w:r>
              <w:rPr>
                <w:color w:val="000000"/>
                <w:kern w:val="0"/>
                <w:sz w:val="18"/>
                <w:szCs w:val="18"/>
              </w:rPr>
              <w:t xml:space="preserve"> </w:t>
            </w:r>
            <w:r>
              <w:rPr>
                <w:rFonts w:hint="eastAsia"/>
                <w:color w:val="000000"/>
                <w:kern w:val="0"/>
                <w:sz w:val="18"/>
                <w:szCs w:val="18"/>
              </w:rPr>
              <w:t>特种设备生产、经营、使用单位及其主要负责人对其生产、经营、使用的特种设备安全负责。</w:t>
            </w:r>
          </w:p>
          <w:p w14:paraId="0818D13F">
            <w:pPr>
              <w:spacing w:line="320" w:lineRule="exact"/>
              <w:jc w:val="left"/>
              <w:rPr>
                <w:color w:val="000000"/>
                <w:kern w:val="0"/>
                <w:sz w:val="18"/>
                <w:szCs w:val="18"/>
              </w:rPr>
            </w:pPr>
            <w:r>
              <w:rPr>
                <w:rFonts w:hint="eastAsia"/>
                <w:color w:val="000000"/>
                <w:kern w:val="0"/>
                <w:sz w:val="18"/>
                <w:szCs w:val="18"/>
              </w:rPr>
              <w:t>特种设备生产、经营、使用单位应当按照国家有关规定配备特种设备安全管理人员、检测人员和作业人员，并对其进行必要的安全教育和技能培训。</w:t>
            </w:r>
          </w:p>
          <w:p w14:paraId="594AEEFD">
            <w:pPr>
              <w:spacing w:line="320" w:lineRule="exact"/>
              <w:jc w:val="left"/>
              <w:rPr>
                <w:color w:val="000000"/>
                <w:kern w:val="0"/>
                <w:sz w:val="18"/>
                <w:szCs w:val="18"/>
              </w:rPr>
            </w:pP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特种设备安全管理人员、检测人员和作业人员应当按照国家有关规定取得相应资格，方可从事相关工作。特种设备安全管理人员、检测人员和作业人员应当严格执行安全技术规范和管理制度，保证特种设备安全。</w:t>
            </w:r>
          </w:p>
          <w:p w14:paraId="2F61DE39">
            <w:pPr>
              <w:spacing w:line="320" w:lineRule="exact"/>
              <w:jc w:val="left"/>
              <w:rPr>
                <w:color w:val="000000"/>
                <w:kern w:val="0"/>
                <w:sz w:val="18"/>
                <w:szCs w:val="18"/>
              </w:rPr>
            </w:pPr>
            <w:r>
              <w:rPr>
                <w:rFonts w:hint="eastAsia"/>
                <w:color w:val="000000"/>
                <w:kern w:val="0"/>
                <w:sz w:val="18"/>
                <w:szCs w:val="18"/>
              </w:rPr>
              <w:t>第十五条</w:t>
            </w:r>
            <w:r>
              <w:rPr>
                <w:color w:val="000000"/>
                <w:kern w:val="0"/>
                <w:sz w:val="18"/>
                <w:szCs w:val="18"/>
              </w:rPr>
              <w:t xml:space="preserve"> </w:t>
            </w:r>
            <w:r>
              <w:rPr>
                <w:rFonts w:hint="eastAsia"/>
                <w:color w:val="000000"/>
                <w:kern w:val="0"/>
                <w:sz w:val="18"/>
                <w:szCs w:val="18"/>
              </w:rPr>
              <w:t>特种设备生产、经营、使用单位对其生产、经营、使用的特种设备应当进行自行检测和维护保养，对国家规定实行检验的特种设备应当及时申报并接受检验。</w:t>
            </w:r>
          </w:p>
          <w:p w14:paraId="25B40909">
            <w:pPr>
              <w:spacing w:line="320" w:lineRule="exact"/>
              <w:jc w:val="left"/>
              <w:rPr>
                <w:color w:val="000000"/>
                <w:kern w:val="0"/>
                <w:sz w:val="18"/>
                <w:szCs w:val="18"/>
              </w:rPr>
            </w:pPr>
            <w:r>
              <w:rPr>
                <w:rFonts w:hint="eastAsia"/>
                <w:color w:val="000000"/>
                <w:kern w:val="0"/>
                <w:sz w:val="18"/>
                <w:szCs w:val="18"/>
              </w:rPr>
              <w:t>第八十六条</w:t>
            </w:r>
            <w:r>
              <w:rPr>
                <w:color w:val="000000"/>
                <w:kern w:val="0"/>
                <w:sz w:val="18"/>
                <w:szCs w:val="18"/>
              </w:rPr>
              <w:t xml:space="preserve"> </w:t>
            </w:r>
            <w:r>
              <w:rPr>
                <w:rFonts w:hint="eastAsia"/>
                <w:color w:val="000000"/>
                <w:kern w:val="0"/>
                <w:sz w:val="18"/>
                <w:szCs w:val="18"/>
              </w:rPr>
              <w:t>违反本法规定，特种设备生产、经营、使用单位有下列情形之一的，</w:t>
            </w:r>
            <w:r>
              <w:rPr>
                <w:color w:val="000000"/>
                <w:kern w:val="0"/>
                <w:sz w:val="18"/>
                <w:szCs w:val="18"/>
              </w:rPr>
              <w:t>-</w:t>
            </w:r>
            <w:r>
              <w:rPr>
                <w:rFonts w:hint="eastAsia"/>
                <w:color w:val="000000"/>
                <w:kern w:val="0"/>
                <w:sz w:val="18"/>
                <w:szCs w:val="18"/>
              </w:rPr>
              <w:t>责令限期改正；</w:t>
            </w:r>
            <w:r>
              <w:rPr>
                <w:color w:val="000000"/>
                <w:kern w:val="0"/>
                <w:sz w:val="18"/>
                <w:szCs w:val="18"/>
              </w:rPr>
              <w:t>-</w:t>
            </w:r>
            <w:r>
              <w:rPr>
                <w:rFonts w:hint="eastAsia"/>
                <w:color w:val="000000"/>
                <w:kern w:val="0"/>
                <w:sz w:val="18"/>
                <w:szCs w:val="18"/>
              </w:rPr>
              <w:t>逾期未改正的，</w:t>
            </w:r>
            <w:r>
              <w:rPr>
                <w:color w:val="000000"/>
                <w:kern w:val="0"/>
                <w:sz w:val="18"/>
                <w:szCs w:val="18"/>
              </w:rPr>
              <w:t>-</w:t>
            </w:r>
            <w:r>
              <w:rPr>
                <w:rFonts w:hint="eastAsia"/>
                <w:color w:val="000000"/>
                <w:kern w:val="0"/>
                <w:sz w:val="18"/>
                <w:szCs w:val="18"/>
              </w:rPr>
              <w:t>责令停止使用有关特种设备或者停产停业整顿，处一万元以上五万元以下罚款：</w:t>
            </w:r>
          </w:p>
          <w:p w14:paraId="43983B1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（一）未配备具有相应资格的特种设备安全管理人员、检测人员和作业人员的；</w:t>
            </w:r>
          </w:p>
          <w:p w14:paraId="2C03CAE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（二）使用未取得相应资格的人员从事特种设备安全管理、检测和作业的；</w:t>
            </w:r>
          </w:p>
          <w:p w14:paraId="2184F2C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（三）未对特种设备安全管理人员、检测人员和作业人员进行安全教育和技能培训的。</w:t>
            </w:r>
          </w:p>
        </w:tc>
      </w:tr>
      <w:tr w14:paraId="79D9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3631E627">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07A62702">
            <w:pPr>
              <w:spacing w:line="320" w:lineRule="exact"/>
              <w:jc w:val="left"/>
              <w:rPr>
                <w:color w:val="000000"/>
                <w:kern w:val="0"/>
                <w:sz w:val="18"/>
                <w:szCs w:val="18"/>
              </w:rPr>
            </w:pPr>
            <w:r>
              <w:rPr>
                <w:rFonts w:hint="eastAsia"/>
                <w:color w:val="000000"/>
                <w:kern w:val="0"/>
                <w:sz w:val="18"/>
                <w:szCs w:val="18"/>
              </w:rPr>
              <w:t>停止使用有关特种设备或者停产停业整顿</w:t>
            </w:r>
            <w:r>
              <w:rPr>
                <w:color w:val="000000"/>
                <w:kern w:val="0"/>
                <w:sz w:val="18"/>
                <w:szCs w:val="18"/>
              </w:rPr>
              <w:t xml:space="preserve">, </w:t>
            </w:r>
            <w:r>
              <w:rPr>
                <w:rFonts w:hint="eastAsia"/>
                <w:color w:val="000000"/>
                <w:kern w:val="0"/>
                <w:sz w:val="18"/>
                <w:szCs w:val="18"/>
              </w:rPr>
              <w:t>罚款</w:t>
            </w:r>
          </w:p>
        </w:tc>
      </w:tr>
      <w:tr w14:paraId="5632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166C189F">
            <w:pPr>
              <w:spacing w:line="320" w:lineRule="exact"/>
              <w:jc w:val="center"/>
              <w:rPr>
                <w:color w:val="000000"/>
                <w:kern w:val="0"/>
                <w:sz w:val="18"/>
                <w:szCs w:val="18"/>
              </w:rPr>
            </w:pPr>
            <w:r>
              <w:rPr>
                <w:rFonts w:hint="eastAsia"/>
                <w:color w:val="000000"/>
                <w:kern w:val="0"/>
                <w:sz w:val="18"/>
                <w:szCs w:val="18"/>
              </w:rPr>
              <w:t>裁量基准</w:t>
            </w:r>
          </w:p>
        </w:tc>
      </w:tr>
      <w:tr w14:paraId="6C60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19289DF9">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24334904">
            <w:pPr>
              <w:spacing w:line="320" w:lineRule="exact"/>
              <w:jc w:val="left"/>
              <w:rPr>
                <w:color w:val="000000"/>
                <w:kern w:val="0"/>
                <w:sz w:val="18"/>
                <w:szCs w:val="18"/>
              </w:rPr>
            </w:pPr>
            <w:r>
              <w:rPr>
                <w:rFonts w:hint="eastAsia"/>
                <w:color w:val="000000"/>
                <w:kern w:val="0"/>
                <w:sz w:val="18"/>
                <w:szCs w:val="18"/>
              </w:rPr>
              <w:t>未发生安全事故的</w:t>
            </w:r>
          </w:p>
        </w:tc>
        <w:tc>
          <w:tcPr>
            <w:tcW w:w="1080" w:type="dxa"/>
            <w:vMerge w:val="restart"/>
            <w:vAlign w:val="center"/>
          </w:tcPr>
          <w:p w14:paraId="3D749773">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7C6A693">
            <w:pPr>
              <w:spacing w:line="320" w:lineRule="exact"/>
              <w:jc w:val="left"/>
              <w:rPr>
                <w:color w:val="000000"/>
                <w:kern w:val="0"/>
                <w:sz w:val="18"/>
                <w:szCs w:val="18"/>
              </w:rPr>
            </w:pPr>
            <w:r>
              <w:rPr>
                <w:rFonts w:hint="eastAsia"/>
                <w:color w:val="000000"/>
                <w:kern w:val="0"/>
                <w:sz w:val="18"/>
                <w:szCs w:val="18"/>
              </w:rPr>
              <w:t>停止使用有关特种设备，处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3794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1C96E62">
            <w:pPr>
              <w:spacing w:line="320" w:lineRule="exact"/>
              <w:jc w:val="center"/>
              <w:rPr>
                <w:color w:val="000000"/>
                <w:kern w:val="0"/>
                <w:sz w:val="18"/>
                <w:szCs w:val="18"/>
              </w:rPr>
            </w:pPr>
          </w:p>
        </w:tc>
        <w:tc>
          <w:tcPr>
            <w:tcW w:w="6140" w:type="dxa"/>
            <w:vAlign w:val="center"/>
          </w:tcPr>
          <w:p w14:paraId="06E5E1C8">
            <w:pPr>
              <w:spacing w:line="320" w:lineRule="exact"/>
              <w:jc w:val="left"/>
              <w:rPr>
                <w:color w:val="000000"/>
                <w:kern w:val="0"/>
                <w:sz w:val="18"/>
                <w:szCs w:val="18"/>
              </w:rPr>
            </w:pPr>
            <w:r>
              <w:rPr>
                <w:rFonts w:hint="eastAsia"/>
                <w:color w:val="000000"/>
                <w:kern w:val="0"/>
                <w:sz w:val="18"/>
                <w:szCs w:val="18"/>
              </w:rPr>
              <w:t>发生一般安全事故的</w:t>
            </w:r>
          </w:p>
        </w:tc>
        <w:tc>
          <w:tcPr>
            <w:tcW w:w="1080" w:type="dxa"/>
            <w:vMerge w:val="continue"/>
            <w:vAlign w:val="center"/>
          </w:tcPr>
          <w:p w14:paraId="25919576">
            <w:pPr>
              <w:spacing w:line="320" w:lineRule="exact"/>
              <w:jc w:val="center"/>
              <w:rPr>
                <w:color w:val="000000"/>
                <w:kern w:val="0"/>
                <w:sz w:val="18"/>
                <w:szCs w:val="18"/>
              </w:rPr>
            </w:pPr>
          </w:p>
        </w:tc>
        <w:tc>
          <w:tcPr>
            <w:tcW w:w="5820" w:type="dxa"/>
            <w:vAlign w:val="center"/>
          </w:tcPr>
          <w:p w14:paraId="6DDABDBB">
            <w:pPr>
              <w:spacing w:line="320" w:lineRule="exact"/>
              <w:jc w:val="left"/>
              <w:rPr>
                <w:color w:val="000000"/>
                <w:kern w:val="0"/>
                <w:sz w:val="18"/>
                <w:szCs w:val="18"/>
              </w:rPr>
            </w:pPr>
            <w:r>
              <w:rPr>
                <w:rFonts w:hint="eastAsia"/>
                <w:color w:val="000000"/>
                <w:kern w:val="0"/>
                <w:sz w:val="18"/>
                <w:szCs w:val="18"/>
              </w:rPr>
              <w:t>停止使用有关特种设备，处</w:t>
            </w:r>
            <w:r>
              <w:rPr>
                <w:color w:val="000000"/>
                <w:kern w:val="0"/>
                <w:sz w:val="18"/>
                <w:szCs w:val="18"/>
              </w:rPr>
              <w:t>2</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14:paraId="5074D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4238C509">
            <w:pPr>
              <w:spacing w:line="320" w:lineRule="exact"/>
              <w:jc w:val="center"/>
              <w:rPr>
                <w:color w:val="000000"/>
                <w:kern w:val="0"/>
                <w:sz w:val="18"/>
                <w:szCs w:val="18"/>
              </w:rPr>
            </w:pPr>
          </w:p>
        </w:tc>
        <w:tc>
          <w:tcPr>
            <w:tcW w:w="6140" w:type="dxa"/>
            <w:vAlign w:val="center"/>
          </w:tcPr>
          <w:p w14:paraId="709FC7C0">
            <w:pPr>
              <w:spacing w:line="320" w:lineRule="exact"/>
              <w:jc w:val="left"/>
              <w:rPr>
                <w:color w:val="000000"/>
                <w:kern w:val="0"/>
                <w:sz w:val="18"/>
                <w:szCs w:val="18"/>
              </w:rPr>
            </w:pPr>
            <w:r>
              <w:rPr>
                <w:rFonts w:hint="eastAsia"/>
                <w:color w:val="000000"/>
                <w:kern w:val="0"/>
                <w:sz w:val="18"/>
                <w:szCs w:val="18"/>
              </w:rPr>
              <w:t>发生较大及以上安全事故的</w:t>
            </w:r>
          </w:p>
        </w:tc>
        <w:tc>
          <w:tcPr>
            <w:tcW w:w="1080" w:type="dxa"/>
            <w:vMerge w:val="continue"/>
            <w:vAlign w:val="center"/>
          </w:tcPr>
          <w:p w14:paraId="0AE946B4">
            <w:pPr>
              <w:spacing w:line="320" w:lineRule="exact"/>
              <w:jc w:val="center"/>
              <w:rPr>
                <w:color w:val="000000"/>
                <w:kern w:val="0"/>
                <w:sz w:val="18"/>
                <w:szCs w:val="18"/>
              </w:rPr>
            </w:pPr>
          </w:p>
        </w:tc>
        <w:tc>
          <w:tcPr>
            <w:tcW w:w="5820" w:type="dxa"/>
            <w:vAlign w:val="center"/>
          </w:tcPr>
          <w:p w14:paraId="4969E4E2">
            <w:pPr>
              <w:spacing w:line="320" w:lineRule="exact"/>
              <w:jc w:val="left"/>
              <w:rPr>
                <w:color w:val="000000"/>
                <w:kern w:val="0"/>
                <w:sz w:val="18"/>
                <w:szCs w:val="18"/>
              </w:rPr>
            </w:pPr>
            <w:r>
              <w:rPr>
                <w:rFonts w:hint="eastAsia"/>
                <w:color w:val="000000"/>
                <w:kern w:val="0"/>
                <w:sz w:val="18"/>
                <w:szCs w:val="18"/>
              </w:rPr>
              <w:t>停产停业整顿，处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701126EF"/>
    <w:p w14:paraId="49EDD2B8"/>
    <w:p w14:paraId="09747C5A"/>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3784D60B">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69573A57">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44A8D214">
            <w:pPr>
              <w:spacing w:line="320" w:lineRule="exact"/>
              <w:jc w:val="left"/>
              <w:rPr>
                <w:rFonts w:eastAsia="仿宋_GB2312"/>
                <w:b/>
                <w:bCs/>
                <w:color w:val="000000"/>
                <w:kern w:val="0"/>
                <w:sz w:val="18"/>
                <w:szCs w:val="18"/>
              </w:rPr>
            </w:pPr>
            <w:r>
              <w:rPr>
                <w:rFonts w:eastAsia="仿宋_GB2312"/>
                <w:b/>
                <w:bCs/>
                <w:color w:val="000000"/>
                <w:kern w:val="0"/>
                <w:sz w:val="18"/>
                <w:szCs w:val="18"/>
              </w:rPr>
              <w:t>320217387000</w:t>
            </w:r>
            <w:r>
              <w:rPr>
                <w:rFonts w:hint="eastAsia" w:eastAsia="仿宋_GB2312"/>
                <w:b/>
                <w:bCs/>
                <w:color w:val="000000"/>
                <w:kern w:val="0"/>
                <w:sz w:val="18"/>
                <w:szCs w:val="18"/>
              </w:rPr>
              <w:t xml:space="preserve"> </w:t>
            </w:r>
          </w:p>
        </w:tc>
      </w:tr>
      <w:tr w14:paraId="266B3270">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230FBD5">
            <w:pPr>
              <w:spacing w:line="320" w:lineRule="exact"/>
              <w:jc w:val="left"/>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57FD291D">
            <w:pPr>
              <w:jc w:val="left"/>
              <w:textAlignment w:val="center"/>
              <w:rPr>
                <w:color w:val="000000"/>
                <w:kern w:val="0"/>
                <w:sz w:val="18"/>
                <w:szCs w:val="18"/>
              </w:rPr>
            </w:pPr>
            <w:r>
              <w:rPr>
                <w:rFonts w:hint="eastAsia"/>
                <w:color w:val="000000"/>
                <w:kern w:val="0"/>
                <w:sz w:val="18"/>
                <w:szCs w:val="18"/>
              </w:rPr>
              <w:t>对排水户因发生事故或者其他突发事件，排放的污水可能危及城镇排水与污水处理设施安全运行，没有立即暂停排放，未采取措施消除危害，或者并未按规定及时向城镇排水主管部门等有关部门报告的处罚</w:t>
            </w:r>
          </w:p>
        </w:tc>
      </w:tr>
      <w:tr w14:paraId="762EBFEB">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28B938F2">
            <w:pPr>
              <w:spacing w:line="320" w:lineRule="exact"/>
              <w:jc w:val="left"/>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27883A2D">
            <w:pPr>
              <w:jc w:val="left"/>
              <w:textAlignment w:val="center"/>
              <w:rPr>
                <w:color w:val="000000"/>
                <w:kern w:val="0"/>
                <w:sz w:val="18"/>
                <w:szCs w:val="18"/>
              </w:rPr>
            </w:pPr>
            <w:r>
              <w:rPr>
                <w:rFonts w:hint="eastAsia"/>
                <w:color w:val="000000"/>
                <w:kern w:val="0"/>
                <w:sz w:val="18"/>
                <w:szCs w:val="18"/>
              </w:rPr>
              <w:t xml:space="preserve">【规章】《城镇污水排入排水管网许可管理办法》（住房和城乡建设部令第56号）  </w:t>
            </w:r>
          </w:p>
          <w:p w14:paraId="0068DB12">
            <w:pPr>
              <w:jc w:val="left"/>
              <w:textAlignment w:val="center"/>
              <w:rPr>
                <w:color w:val="000000"/>
                <w:kern w:val="0"/>
                <w:sz w:val="18"/>
                <w:szCs w:val="18"/>
              </w:rPr>
            </w:pPr>
            <w:r>
              <w:rPr>
                <w:rFonts w:hint="eastAsia"/>
                <w:color w:val="000000"/>
                <w:kern w:val="0"/>
                <w:sz w:val="18"/>
                <w:szCs w:val="18"/>
              </w:rPr>
              <w:t xml:space="preserve">   　第十五条　排水户因发生事故或者其他突发事件，排放的污水可能危及城镇排水与污水处理设施安全运行的，应当立即暂停排放，采取措施消除危害，并按规定及时向城镇排水主管部门等有关部门报告。</w:t>
            </w:r>
          </w:p>
          <w:p w14:paraId="546F2AD9">
            <w:pPr>
              <w:jc w:val="left"/>
              <w:textAlignment w:val="center"/>
              <w:rPr>
                <w:color w:val="000000"/>
                <w:kern w:val="0"/>
                <w:sz w:val="18"/>
                <w:szCs w:val="18"/>
              </w:rPr>
            </w:pPr>
            <w:r>
              <w:rPr>
                <w:rFonts w:hint="eastAsia"/>
                <w:color w:val="000000"/>
                <w:kern w:val="0"/>
                <w:sz w:val="18"/>
                <w:szCs w:val="18"/>
              </w:rPr>
              <w:t>　　第三十一条　违反本办法规定，排水户因发生事故或者其他突发事件，排放的污水可能危及城镇排水与污水处理设施安全运行，没有立即暂停排放，未采取措施消除危害，或者并未按规定及时向城镇排水主管部门等有关部门报告的，城镇排水主管部门可以处3万元以下罚款。</w:t>
            </w:r>
          </w:p>
        </w:tc>
      </w:tr>
      <w:tr w14:paraId="3A0EB8AA">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169799AC">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1C17FC68">
            <w:pPr>
              <w:spacing w:line="320" w:lineRule="exact"/>
              <w:jc w:val="left"/>
              <w:rPr>
                <w:color w:val="000000"/>
                <w:kern w:val="0"/>
                <w:sz w:val="18"/>
                <w:szCs w:val="18"/>
              </w:rPr>
            </w:pPr>
            <w:r>
              <w:rPr>
                <w:rFonts w:hint="eastAsia"/>
                <w:color w:val="000000"/>
                <w:kern w:val="0"/>
                <w:sz w:val="18"/>
                <w:szCs w:val="18"/>
              </w:rPr>
              <w:t>罚款</w:t>
            </w:r>
          </w:p>
        </w:tc>
      </w:tr>
      <w:tr w14:paraId="52F3DE17">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641DE2FC">
            <w:pPr>
              <w:spacing w:line="320" w:lineRule="exact"/>
              <w:jc w:val="center"/>
              <w:rPr>
                <w:color w:val="000000"/>
                <w:kern w:val="0"/>
                <w:sz w:val="18"/>
                <w:szCs w:val="18"/>
              </w:rPr>
            </w:pPr>
            <w:r>
              <w:rPr>
                <w:rFonts w:hint="eastAsia"/>
                <w:color w:val="000000"/>
                <w:kern w:val="0"/>
                <w:sz w:val="18"/>
                <w:szCs w:val="18"/>
              </w:rPr>
              <w:t>裁量基准</w:t>
            </w:r>
          </w:p>
        </w:tc>
      </w:tr>
      <w:tr w14:paraId="41BC0751">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right w:val="single" w:color="auto" w:sz="4" w:space="0"/>
            </w:tcBorders>
            <w:vAlign w:val="center"/>
          </w:tcPr>
          <w:p w14:paraId="5D784C8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9F1BD49">
            <w:pPr>
              <w:spacing w:line="320" w:lineRule="exact"/>
              <w:jc w:val="left"/>
              <w:rPr>
                <w:color w:val="000000"/>
                <w:kern w:val="0"/>
                <w:sz w:val="18"/>
                <w:szCs w:val="18"/>
              </w:rPr>
            </w:pPr>
            <w:r>
              <w:rPr>
                <w:rFonts w:hint="eastAsia"/>
                <w:color w:val="000000"/>
                <w:kern w:val="0"/>
                <w:sz w:val="18"/>
                <w:szCs w:val="18"/>
              </w:rPr>
              <w:t>属于排放生活污水的排水户，个体工商户或者排放水量较小、水质污染物种类、浓度超标较小的企业等一般排水户</w:t>
            </w:r>
          </w:p>
        </w:tc>
        <w:tc>
          <w:tcPr>
            <w:tcW w:w="1000" w:type="dxa"/>
            <w:vMerge w:val="restart"/>
            <w:tcBorders>
              <w:top w:val="nil"/>
              <w:left w:val="single" w:color="auto" w:sz="4" w:space="0"/>
              <w:right w:val="single" w:color="auto" w:sz="4" w:space="0"/>
            </w:tcBorders>
            <w:vAlign w:val="center"/>
          </w:tcPr>
          <w:p w14:paraId="1663726C">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257FE28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万元以下的罚款</w:t>
            </w:r>
          </w:p>
        </w:tc>
      </w:tr>
      <w:tr w14:paraId="717EB161">
        <w:tblPrEx>
          <w:tblCellMar>
            <w:top w:w="0" w:type="dxa"/>
            <w:left w:w="108" w:type="dxa"/>
            <w:bottom w:w="0" w:type="dxa"/>
            <w:right w:w="108" w:type="dxa"/>
          </w:tblCellMar>
        </w:tblPrEx>
        <w:trPr>
          <w:trHeight w:val="285" w:hRule="atLeast"/>
        </w:trPr>
        <w:tc>
          <w:tcPr>
            <w:tcW w:w="980" w:type="dxa"/>
            <w:vMerge w:val="continue"/>
            <w:tcBorders>
              <w:left w:val="single" w:color="auto" w:sz="8" w:space="0"/>
              <w:right w:val="single" w:color="auto" w:sz="4" w:space="0"/>
            </w:tcBorders>
            <w:vAlign w:val="center"/>
          </w:tcPr>
          <w:p w14:paraId="572C354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E1AD8FD">
            <w:pPr>
              <w:spacing w:line="320" w:lineRule="exact"/>
              <w:jc w:val="left"/>
              <w:rPr>
                <w:color w:val="000000"/>
                <w:kern w:val="0"/>
                <w:sz w:val="18"/>
                <w:szCs w:val="18"/>
              </w:rPr>
            </w:pPr>
            <w:r>
              <w:rPr>
                <w:rFonts w:hint="eastAsia"/>
                <w:color w:val="000000"/>
                <w:kern w:val="0"/>
                <w:sz w:val="18"/>
                <w:szCs w:val="18"/>
              </w:rPr>
              <w:t>属于排放工业废水、医疗废水等可能对排水设施造成较大影响污染物的重点排水户</w:t>
            </w:r>
          </w:p>
        </w:tc>
        <w:tc>
          <w:tcPr>
            <w:tcW w:w="1000" w:type="dxa"/>
            <w:vMerge w:val="continue"/>
            <w:tcBorders>
              <w:left w:val="single" w:color="auto" w:sz="4" w:space="0"/>
              <w:right w:val="single" w:color="auto" w:sz="4" w:space="0"/>
            </w:tcBorders>
            <w:vAlign w:val="center"/>
          </w:tcPr>
          <w:p w14:paraId="00738228">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6FB8EFB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119CBE7C">
        <w:tblPrEx>
          <w:tblCellMar>
            <w:top w:w="0" w:type="dxa"/>
            <w:left w:w="108" w:type="dxa"/>
            <w:bottom w:w="0" w:type="dxa"/>
            <w:right w:w="108" w:type="dxa"/>
          </w:tblCellMar>
        </w:tblPrEx>
        <w:trPr>
          <w:trHeight w:val="285" w:hRule="atLeast"/>
        </w:trPr>
        <w:tc>
          <w:tcPr>
            <w:tcW w:w="980" w:type="dxa"/>
            <w:vMerge w:val="continue"/>
            <w:tcBorders>
              <w:left w:val="single" w:color="auto" w:sz="8" w:space="0"/>
              <w:bottom w:val="single" w:color="auto" w:sz="4" w:space="0"/>
              <w:right w:val="single" w:color="auto" w:sz="4" w:space="0"/>
            </w:tcBorders>
            <w:vAlign w:val="center"/>
          </w:tcPr>
          <w:p w14:paraId="531DB36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5D05C74">
            <w:pPr>
              <w:spacing w:line="320" w:lineRule="exact"/>
              <w:jc w:val="left"/>
              <w:rPr>
                <w:color w:val="000000"/>
                <w:kern w:val="0"/>
                <w:sz w:val="18"/>
                <w:szCs w:val="18"/>
              </w:rPr>
            </w:pPr>
            <w:r>
              <w:rPr>
                <w:rFonts w:hint="eastAsia"/>
                <w:color w:val="000000"/>
                <w:kern w:val="0"/>
                <w:sz w:val="18"/>
                <w:szCs w:val="18"/>
              </w:rPr>
              <w:t>属于列入重点排污单位名录的排水户</w:t>
            </w:r>
          </w:p>
        </w:tc>
        <w:tc>
          <w:tcPr>
            <w:tcW w:w="1000" w:type="dxa"/>
            <w:vMerge w:val="continue"/>
            <w:tcBorders>
              <w:left w:val="single" w:color="auto" w:sz="4" w:space="0"/>
              <w:bottom w:val="single" w:color="auto" w:sz="4" w:space="0"/>
              <w:right w:val="single" w:color="auto" w:sz="4" w:space="0"/>
            </w:tcBorders>
            <w:vAlign w:val="center"/>
          </w:tcPr>
          <w:p w14:paraId="05D28241">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6E23564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716422E7"/>
    <w:p w14:paraId="3CA0EA97"/>
    <w:p w14:paraId="7BB01B04"/>
    <w:p w14:paraId="7E986F38"/>
    <w:p w14:paraId="107612FC"/>
    <w:p w14:paraId="53303135"/>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48E37102">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4F53BCCB">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0A406B34">
            <w:pPr>
              <w:spacing w:line="320" w:lineRule="exact"/>
              <w:jc w:val="left"/>
              <w:rPr>
                <w:rFonts w:eastAsia="仿宋_GB2312"/>
                <w:b/>
                <w:bCs/>
                <w:color w:val="000000"/>
                <w:kern w:val="0"/>
                <w:sz w:val="18"/>
                <w:szCs w:val="18"/>
              </w:rPr>
            </w:pPr>
            <w:r>
              <w:rPr>
                <w:rFonts w:eastAsia="仿宋_GB2312"/>
                <w:b/>
                <w:bCs/>
                <w:color w:val="000000"/>
                <w:kern w:val="0"/>
                <w:sz w:val="18"/>
                <w:szCs w:val="18"/>
              </w:rPr>
              <w:t>320217388000</w:t>
            </w:r>
          </w:p>
        </w:tc>
      </w:tr>
      <w:tr w14:paraId="52980634">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5AB9D84A">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075A95E6">
            <w:pPr>
              <w:spacing w:line="320" w:lineRule="exact"/>
              <w:jc w:val="left"/>
              <w:rPr>
                <w:color w:val="000000"/>
                <w:kern w:val="0"/>
                <w:sz w:val="18"/>
                <w:szCs w:val="18"/>
              </w:rPr>
            </w:pPr>
            <w:r>
              <w:rPr>
                <w:rFonts w:hint="eastAsia"/>
                <w:color w:val="000000"/>
                <w:kern w:val="0"/>
                <w:sz w:val="18"/>
                <w:szCs w:val="18"/>
              </w:rPr>
              <w:t>对排水户拒不接受水质、水量监测或者妨碍、阻挠城镇排水主管部门依法监督检查的处罚</w:t>
            </w:r>
          </w:p>
        </w:tc>
      </w:tr>
      <w:tr w14:paraId="017735FA">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3B25414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22E73EE6">
            <w:pPr>
              <w:spacing w:line="320" w:lineRule="exact"/>
              <w:jc w:val="left"/>
              <w:rPr>
                <w:color w:val="000000"/>
                <w:kern w:val="0"/>
                <w:sz w:val="18"/>
                <w:szCs w:val="18"/>
              </w:rPr>
            </w:pPr>
            <w:r>
              <w:rPr>
                <w:rFonts w:hint="eastAsia"/>
                <w:color w:val="000000"/>
                <w:kern w:val="0"/>
                <w:sz w:val="18"/>
                <w:szCs w:val="18"/>
              </w:rPr>
              <w:t xml:space="preserve">【规章】《城镇污水排入排水管网许可管理办法》（住房和城乡建设部令第56号）  </w:t>
            </w:r>
          </w:p>
          <w:p w14:paraId="45137245">
            <w:pPr>
              <w:spacing w:line="320" w:lineRule="exact"/>
              <w:jc w:val="left"/>
              <w:rPr>
                <w:color w:val="000000"/>
                <w:kern w:val="0"/>
                <w:sz w:val="18"/>
                <w:szCs w:val="18"/>
              </w:rPr>
            </w:pPr>
            <w:r>
              <w:rPr>
                <w:rFonts w:hint="eastAsia"/>
                <w:color w:val="000000"/>
                <w:kern w:val="0"/>
                <w:sz w:val="18"/>
                <w:szCs w:val="18"/>
              </w:rPr>
              <w:t xml:space="preserve">  　第十六条　城镇排水主管部门应当加强对排水户的排放口设置、连接管网、预处理设施和水质、水量监测设施建设和运行的指导和监督。   </w:t>
            </w:r>
          </w:p>
          <w:p w14:paraId="76ACE910">
            <w:pPr>
              <w:spacing w:line="320" w:lineRule="exact"/>
              <w:jc w:val="left"/>
              <w:rPr>
                <w:color w:val="000000"/>
                <w:kern w:val="0"/>
                <w:sz w:val="18"/>
                <w:szCs w:val="18"/>
              </w:rPr>
            </w:pPr>
            <w:r>
              <w:rPr>
                <w:rFonts w:hint="eastAsia"/>
                <w:color w:val="000000"/>
                <w:kern w:val="0"/>
                <w:sz w:val="18"/>
                <w:szCs w:val="18"/>
              </w:rPr>
              <w:t xml:space="preserve">    第十八条第二款  被监督检查的单位和个人应当予以配合，不得妨碍和阻挠依法进行的监督检查活动。</w:t>
            </w:r>
          </w:p>
          <w:p w14:paraId="7A6EE9D3">
            <w:pPr>
              <w:spacing w:line="320" w:lineRule="exact"/>
              <w:jc w:val="left"/>
              <w:rPr>
                <w:color w:val="000000"/>
                <w:kern w:val="0"/>
                <w:sz w:val="18"/>
                <w:szCs w:val="18"/>
              </w:rPr>
            </w:pPr>
            <w:r>
              <w:rPr>
                <w:rFonts w:hint="eastAsia"/>
                <w:color w:val="000000"/>
                <w:kern w:val="0"/>
                <w:sz w:val="18"/>
                <w:szCs w:val="18"/>
              </w:rPr>
              <w:t xml:space="preserve">    第十八条第三款  城镇排水主管部门可以通过政府购买服务等方式，组织或者委托排水监测机构等技术服务单位为排水许可监督检查工作提供技术服务。受委托的具有计量认证资质的排水监测机构应当对排水户排放污水的水质、水量进行监测，建立排水监测档案。</w:t>
            </w:r>
          </w:p>
          <w:p w14:paraId="383D1867">
            <w:pPr>
              <w:spacing w:line="320" w:lineRule="exact"/>
              <w:jc w:val="left"/>
              <w:rPr>
                <w:color w:val="000000"/>
                <w:kern w:val="0"/>
                <w:sz w:val="18"/>
                <w:szCs w:val="18"/>
              </w:rPr>
            </w:pPr>
            <w:r>
              <w:rPr>
                <w:rFonts w:hint="eastAsia"/>
                <w:color w:val="000000"/>
                <w:kern w:val="0"/>
                <w:sz w:val="18"/>
                <w:szCs w:val="18"/>
              </w:rPr>
              <w:t xml:space="preserve">  　第三十四条　排水户违反本办法规定，拒不接受水质、水量监测或者妨碍、阻挠城镇排水主管部门依法监督检查的，由城镇排水主管部门给予警告；情节严重的，处3万元以下罚款。</w:t>
            </w:r>
          </w:p>
        </w:tc>
      </w:tr>
      <w:tr w14:paraId="58D5E0C8">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770989D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43AF0DF1">
            <w:pPr>
              <w:spacing w:line="320" w:lineRule="exact"/>
              <w:jc w:val="left"/>
              <w:rPr>
                <w:color w:val="000000"/>
                <w:kern w:val="0"/>
                <w:sz w:val="18"/>
                <w:szCs w:val="18"/>
              </w:rPr>
            </w:pPr>
            <w:r>
              <w:rPr>
                <w:rFonts w:hint="eastAsia"/>
                <w:color w:val="000000"/>
                <w:kern w:val="0"/>
                <w:sz w:val="18"/>
                <w:szCs w:val="18"/>
              </w:rPr>
              <w:t>警告；罚款</w:t>
            </w:r>
          </w:p>
        </w:tc>
      </w:tr>
      <w:tr w14:paraId="0B87892C">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6D301612">
            <w:pPr>
              <w:spacing w:line="320" w:lineRule="exact"/>
              <w:jc w:val="center"/>
              <w:rPr>
                <w:color w:val="000000"/>
                <w:kern w:val="0"/>
                <w:sz w:val="18"/>
                <w:szCs w:val="18"/>
              </w:rPr>
            </w:pPr>
            <w:r>
              <w:rPr>
                <w:rFonts w:hint="eastAsia"/>
                <w:color w:val="000000"/>
                <w:kern w:val="0"/>
                <w:sz w:val="18"/>
                <w:szCs w:val="18"/>
              </w:rPr>
              <w:t>裁量基准</w:t>
            </w:r>
          </w:p>
        </w:tc>
      </w:tr>
      <w:tr w14:paraId="119F01C3">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right w:val="single" w:color="auto" w:sz="4" w:space="0"/>
            </w:tcBorders>
            <w:vAlign w:val="center"/>
          </w:tcPr>
          <w:p w14:paraId="73B4572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6FD6546">
            <w:pPr>
              <w:spacing w:line="320" w:lineRule="exact"/>
              <w:jc w:val="left"/>
              <w:rPr>
                <w:color w:val="000000"/>
                <w:kern w:val="0"/>
                <w:sz w:val="18"/>
                <w:szCs w:val="18"/>
              </w:rPr>
            </w:pPr>
            <w:r>
              <w:rPr>
                <w:rFonts w:hint="eastAsia"/>
                <w:color w:val="000000"/>
                <w:kern w:val="0"/>
                <w:sz w:val="18"/>
                <w:szCs w:val="18"/>
              </w:rPr>
              <w:t>采取非暴力手段的</w:t>
            </w:r>
          </w:p>
        </w:tc>
        <w:tc>
          <w:tcPr>
            <w:tcW w:w="1000" w:type="dxa"/>
            <w:vMerge w:val="restart"/>
            <w:tcBorders>
              <w:top w:val="nil"/>
              <w:left w:val="single" w:color="auto" w:sz="4" w:space="0"/>
              <w:right w:val="single" w:color="auto" w:sz="4" w:space="0"/>
            </w:tcBorders>
            <w:vAlign w:val="center"/>
          </w:tcPr>
          <w:p w14:paraId="466D3F56">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66DFB73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万元以下罚款</w:t>
            </w:r>
          </w:p>
        </w:tc>
      </w:tr>
      <w:tr w14:paraId="64118F22">
        <w:tblPrEx>
          <w:tblCellMar>
            <w:top w:w="0" w:type="dxa"/>
            <w:left w:w="108" w:type="dxa"/>
            <w:bottom w:w="0" w:type="dxa"/>
            <w:right w:w="108" w:type="dxa"/>
          </w:tblCellMar>
        </w:tblPrEx>
        <w:trPr>
          <w:trHeight w:val="285" w:hRule="atLeast"/>
        </w:trPr>
        <w:tc>
          <w:tcPr>
            <w:tcW w:w="980" w:type="dxa"/>
            <w:vMerge w:val="continue"/>
            <w:tcBorders>
              <w:left w:val="single" w:color="auto" w:sz="8" w:space="0"/>
              <w:bottom w:val="single" w:color="auto" w:sz="4" w:space="0"/>
              <w:right w:val="single" w:color="auto" w:sz="4" w:space="0"/>
            </w:tcBorders>
            <w:vAlign w:val="center"/>
          </w:tcPr>
          <w:p w14:paraId="00FD919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9758933">
            <w:pPr>
              <w:spacing w:line="320" w:lineRule="exact"/>
              <w:jc w:val="left"/>
              <w:rPr>
                <w:color w:val="000000"/>
                <w:kern w:val="0"/>
                <w:sz w:val="18"/>
                <w:szCs w:val="18"/>
              </w:rPr>
            </w:pPr>
            <w:r>
              <w:rPr>
                <w:rFonts w:hint="eastAsia"/>
                <w:color w:val="000000"/>
                <w:kern w:val="0"/>
                <w:sz w:val="18"/>
                <w:szCs w:val="18"/>
              </w:rPr>
              <w:t>采取暴力手段或者造成污染后果的</w:t>
            </w:r>
          </w:p>
        </w:tc>
        <w:tc>
          <w:tcPr>
            <w:tcW w:w="1000" w:type="dxa"/>
            <w:vMerge w:val="continue"/>
            <w:tcBorders>
              <w:left w:val="single" w:color="auto" w:sz="4" w:space="0"/>
              <w:bottom w:val="single" w:color="auto" w:sz="4" w:space="0"/>
              <w:right w:val="single" w:color="auto" w:sz="4" w:space="0"/>
            </w:tcBorders>
            <w:vAlign w:val="center"/>
          </w:tcPr>
          <w:p w14:paraId="22DB5615">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4980CDB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万元以上到</w:t>
            </w:r>
            <w:r>
              <w:rPr>
                <w:color w:val="000000"/>
                <w:kern w:val="0"/>
                <w:sz w:val="18"/>
                <w:szCs w:val="18"/>
              </w:rPr>
              <w:t>3</w:t>
            </w:r>
            <w:r>
              <w:rPr>
                <w:rFonts w:hint="eastAsia"/>
                <w:color w:val="000000"/>
                <w:kern w:val="0"/>
                <w:sz w:val="18"/>
                <w:szCs w:val="18"/>
              </w:rPr>
              <w:t>万元以下的罚款</w:t>
            </w:r>
          </w:p>
        </w:tc>
      </w:tr>
    </w:tbl>
    <w:p w14:paraId="75340D0B"/>
    <w:p w14:paraId="7417A91A"/>
    <w:p w14:paraId="4C2C7D0E"/>
    <w:p w14:paraId="38C90CFD"/>
    <w:p w14:paraId="4CE60E10"/>
    <w:p w14:paraId="5CF059E6"/>
    <w:p w14:paraId="22366D41"/>
    <w:p w14:paraId="4A709E26"/>
    <w:p w14:paraId="356CB296"/>
    <w:p w14:paraId="0DD9EE50"/>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247D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020DF89">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22BC3E3F">
            <w:pPr>
              <w:spacing w:line="320" w:lineRule="exact"/>
              <w:jc w:val="left"/>
              <w:rPr>
                <w:rFonts w:eastAsia="仿宋_GB2312"/>
                <w:b/>
                <w:bCs/>
                <w:color w:val="000000"/>
                <w:kern w:val="0"/>
                <w:sz w:val="18"/>
                <w:szCs w:val="18"/>
              </w:rPr>
            </w:pPr>
            <w:r>
              <w:rPr>
                <w:rFonts w:eastAsia="仿宋_GB2312"/>
                <w:b/>
                <w:bCs/>
                <w:color w:val="000000"/>
                <w:kern w:val="0"/>
                <w:sz w:val="18"/>
                <w:szCs w:val="18"/>
              </w:rPr>
              <w:t>320217390000</w:t>
            </w:r>
            <w:r>
              <w:rPr>
                <w:rFonts w:hint="eastAsia" w:eastAsia="仿宋_GB2312"/>
                <w:b/>
                <w:bCs/>
                <w:color w:val="000000"/>
                <w:kern w:val="0"/>
                <w:sz w:val="18"/>
                <w:szCs w:val="18"/>
              </w:rPr>
              <w:t xml:space="preserve"> </w:t>
            </w:r>
          </w:p>
        </w:tc>
      </w:tr>
      <w:tr w14:paraId="0EA0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C917598">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5B322BFE">
            <w:pPr>
              <w:spacing w:line="320" w:lineRule="exact"/>
              <w:jc w:val="left"/>
              <w:rPr>
                <w:color w:val="000000"/>
                <w:kern w:val="0"/>
                <w:sz w:val="18"/>
                <w:szCs w:val="18"/>
              </w:rPr>
            </w:pPr>
            <w:r>
              <w:rPr>
                <w:rFonts w:hint="eastAsia"/>
                <w:color w:val="000000"/>
                <w:kern w:val="0"/>
                <w:sz w:val="18"/>
                <w:szCs w:val="18"/>
              </w:rPr>
              <w:t>对施工单位配备的项目经理擅自变更或者离岗的处罚</w:t>
            </w:r>
          </w:p>
        </w:tc>
      </w:tr>
      <w:tr w14:paraId="1454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2B918D72">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0B233E73">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6D75E86C">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施工单位应当履行下列工程质量义务：</w:t>
            </w:r>
          </w:p>
          <w:p w14:paraId="696D97C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（一）按照规定配备相应的工程项目管理人员、检测仪器并规范标准，项目经理不得擅自变更和离岗，现场质量检查员应当由施工单位直接派驻，并对施工单位负责。</w:t>
            </w:r>
          </w:p>
          <w:p w14:paraId="68CD4409">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14:paraId="59B1527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（二）项目经理擅自变更或者离岗的。</w:t>
            </w:r>
          </w:p>
        </w:tc>
      </w:tr>
      <w:tr w14:paraId="1396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2AF6F159">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7C39B273">
            <w:pPr>
              <w:spacing w:line="320" w:lineRule="exact"/>
              <w:jc w:val="left"/>
              <w:rPr>
                <w:color w:val="000000"/>
                <w:kern w:val="0"/>
                <w:sz w:val="18"/>
                <w:szCs w:val="18"/>
              </w:rPr>
            </w:pPr>
            <w:r>
              <w:rPr>
                <w:rFonts w:hint="eastAsia"/>
                <w:color w:val="000000"/>
                <w:kern w:val="0"/>
                <w:sz w:val="18"/>
                <w:szCs w:val="18"/>
              </w:rPr>
              <w:t>罚款</w:t>
            </w:r>
          </w:p>
        </w:tc>
      </w:tr>
      <w:tr w14:paraId="38F1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07BF2934">
            <w:pPr>
              <w:spacing w:line="320" w:lineRule="exact"/>
              <w:jc w:val="center"/>
              <w:rPr>
                <w:color w:val="000000"/>
                <w:kern w:val="0"/>
                <w:sz w:val="18"/>
                <w:szCs w:val="18"/>
              </w:rPr>
            </w:pPr>
            <w:r>
              <w:rPr>
                <w:rFonts w:hint="eastAsia"/>
                <w:color w:val="000000"/>
                <w:kern w:val="0"/>
                <w:sz w:val="18"/>
                <w:szCs w:val="18"/>
              </w:rPr>
              <w:t>裁量基准</w:t>
            </w:r>
          </w:p>
        </w:tc>
      </w:tr>
      <w:tr w14:paraId="5839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586222E6">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1B47F914">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14:paraId="714615A3">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1DB5D899">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万元以下罚款</w:t>
            </w:r>
          </w:p>
        </w:tc>
      </w:tr>
      <w:tr w14:paraId="1BF4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DD67791">
            <w:pPr>
              <w:spacing w:line="320" w:lineRule="exact"/>
              <w:jc w:val="center"/>
              <w:rPr>
                <w:color w:val="000000"/>
                <w:kern w:val="0"/>
                <w:sz w:val="18"/>
                <w:szCs w:val="18"/>
              </w:rPr>
            </w:pPr>
          </w:p>
        </w:tc>
        <w:tc>
          <w:tcPr>
            <w:tcW w:w="6140" w:type="dxa"/>
            <w:vAlign w:val="center"/>
          </w:tcPr>
          <w:p w14:paraId="1B6BC12E">
            <w:pPr>
              <w:spacing w:line="320" w:lineRule="exact"/>
              <w:jc w:val="left"/>
              <w:rPr>
                <w:color w:val="000000"/>
                <w:kern w:val="0"/>
                <w:sz w:val="18"/>
                <w:szCs w:val="18"/>
              </w:rPr>
            </w:pPr>
            <w:r>
              <w:rPr>
                <w:rFonts w:hint="eastAsia"/>
                <w:color w:val="000000"/>
                <w:kern w:val="0"/>
                <w:sz w:val="18"/>
                <w:szCs w:val="18"/>
              </w:rPr>
              <w:t>未按要求整改的</w:t>
            </w:r>
          </w:p>
        </w:tc>
        <w:tc>
          <w:tcPr>
            <w:tcW w:w="1080" w:type="dxa"/>
            <w:vMerge w:val="continue"/>
            <w:vAlign w:val="center"/>
          </w:tcPr>
          <w:p w14:paraId="76463C0D">
            <w:pPr>
              <w:spacing w:line="320" w:lineRule="exact"/>
              <w:jc w:val="center"/>
              <w:rPr>
                <w:color w:val="000000"/>
                <w:kern w:val="0"/>
                <w:sz w:val="18"/>
                <w:szCs w:val="18"/>
              </w:rPr>
            </w:pPr>
          </w:p>
        </w:tc>
        <w:tc>
          <w:tcPr>
            <w:tcW w:w="5820" w:type="dxa"/>
            <w:vAlign w:val="center"/>
          </w:tcPr>
          <w:p w14:paraId="07F77E68">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30CD31A8"/>
    <w:p w14:paraId="60B0A03C"/>
    <w:p w14:paraId="2AD16E08"/>
    <w:p w14:paraId="205A8339"/>
    <w:p w14:paraId="1803C403"/>
    <w:p w14:paraId="30657959"/>
    <w:p w14:paraId="6738D83B"/>
    <w:p w14:paraId="1384C793"/>
    <w:p w14:paraId="2D8471B1"/>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1694"/>
        <w:gridCol w:w="4446"/>
        <w:gridCol w:w="1080"/>
        <w:gridCol w:w="5820"/>
      </w:tblGrid>
      <w:tr w14:paraId="11EB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70198E8">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14:paraId="69EB500F">
            <w:pPr>
              <w:spacing w:line="320" w:lineRule="exact"/>
              <w:jc w:val="left"/>
              <w:rPr>
                <w:rFonts w:eastAsia="仿宋_GB2312"/>
                <w:b/>
                <w:bCs/>
                <w:color w:val="000000"/>
                <w:kern w:val="0"/>
                <w:sz w:val="18"/>
                <w:szCs w:val="18"/>
              </w:rPr>
            </w:pPr>
            <w:r>
              <w:rPr>
                <w:rFonts w:eastAsia="仿宋_GB2312"/>
                <w:b/>
                <w:bCs/>
                <w:color w:val="000000"/>
                <w:kern w:val="0"/>
                <w:sz w:val="18"/>
                <w:szCs w:val="18"/>
              </w:rPr>
              <w:t>320217391000</w:t>
            </w:r>
            <w:r>
              <w:rPr>
                <w:rFonts w:hint="eastAsia" w:eastAsia="仿宋_GB2312"/>
                <w:b/>
                <w:bCs/>
                <w:color w:val="000000"/>
                <w:kern w:val="0"/>
                <w:sz w:val="18"/>
                <w:szCs w:val="18"/>
              </w:rPr>
              <w:t xml:space="preserve"> </w:t>
            </w:r>
          </w:p>
        </w:tc>
      </w:tr>
      <w:tr w14:paraId="6089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161747A0">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14:paraId="61969D42">
            <w:pPr>
              <w:spacing w:line="320" w:lineRule="exact"/>
              <w:jc w:val="left"/>
              <w:rPr>
                <w:color w:val="000000"/>
                <w:kern w:val="0"/>
                <w:sz w:val="18"/>
                <w:szCs w:val="18"/>
              </w:rPr>
            </w:pPr>
            <w:r>
              <w:rPr>
                <w:rFonts w:hint="eastAsia"/>
                <w:color w:val="000000"/>
                <w:kern w:val="0"/>
                <w:sz w:val="18"/>
                <w:szCs w:val="18"/>
              </w:rPr>
              <w:t>对建筑材料、设备、构配件以及预拌混凝土、砂浆供应单位未按照规定到所在地住房和城乡建设行政主管部门办理影响建筑主体结构质量安全和使用功能的主要建筑材料的登记手续的处罚</w:t>
            </w:r>
          </w:p>
        </w:tc>
      </w:tr>
      <w:tr w14:paraId="3245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030" w:type="dxa"/>
            <w:vAlign w:val="center"/>
          </w:tcPr>
          <w:p w14:paraId="4B9C394B">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14:paraId="5EF41DDB">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43368E84">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14:paraId="7A47AB1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（二）对影响建筑主体结构质量安全和使用功能的主要建筑材料，供应单位应当按照规定到所在地住房和城乡建设行政主管部门办理登记手续。</w:t>
            </w:r>
          </w:p>
          <w:p w14:paraId="30B50FE7">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669E17B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（二）对影响建筑主体结构质量安全和使用功能的主要建筑材料，未按照规定到所在地住房和城乡建设行政主管部门办理登记手续的。</w:t>
            </w:r>
          </w:p>
        </w:tc>
      </w:tr>
      <w:tr w14:paraId="0EA7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B037CAF">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14:paraId="2119CEDB">
            <w:pPr>
              <w:spacing w:line="320" w:lineRule="exact"/>
              <w:jc w:val="left"/>
              <w:rPr>
                <w:color w:val="000000"/>
                <w:kern w:val="0"/>
                <w:sz w:val="18"/>
                <w:szCs w:val="18"/>
              </w:rPr>
            </w:pPr>
            <w:r>
              <w:rPr>
                <w:rFonts w:hint="eastAsia"/>
                <w:color w:val="000000"/>
                <w:kern w:val="0"/>
                <w:sz w:val="18"/>
                <w:szCs w:val="18"/>
              </w:rPr>
              <w:t>罚款</w:t>
            </w:r>
          </w:p>
        </w:tc>
      </w:tr>
      <w:tr w14:paraId="6132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5"/>
            <w:vAlign w:val="center"/>
          </w:tcPr>
          <w:p w14:paraId="2FB42890">
            <w:pPr>
              <w:spacing w:line="320" w:lineRule="exact"/>
              <w:jc w:val="center"/>
              <w:rPr>
                <w:color w:val="000000"/>
                <w:kern w:val="0"/>
                <w:sz w:val="18"/>
                <w:szCs w:val="18"/>
              </w:rPr>
            </w:pPr>
            <w:r>
              <w:rPr>
                <w:rFonts w:hint="eastAsia"/>
                <w:color w:val="000000"/>
                <w:kern w:val="0"/>
                <w:sz w:val="18"/>
                <w:szCs w:val="18"/>
              </w:rPr>
              <w:t>裁量基准</w:t>
            </w:r>
          </w:p>
        </w:tc>
      </w:tr>
      <w:tr w14:paraId="6F91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1C7A6E01">
            <w:pPr>
              <w:spacing w:line="320" w:lineRule="exact"/>
              <w:jc w:val="center"/>
              <w:rPr>
                <w:color w:val="000000"/>
                <w:kern w:val="0"/>
                <w:sz w:val="18"/>
                <w:szCs w:val="18"/>
              </w:rPr>
            </w:pPr>
            <w:r>
              <w:rPr>
                <w:rFonts w:hint="eastAsia"/>
                <w:color w:val="000000"/>
                <w:kern w:val="0"/>
                <w:sz w:val="18"/>
                <w:szCs w:val="18"/>
              </w:rPr>
              <w:t>情形描述</w:t>
            </w:r>
          </w:p>
        </w:tc>
        <w:tc>
          <w:tcPr>
            <w:tcW w:w="1694" w:type="dxa"/>
            <w:vMerge w:val="restart"/>
            <w:vAlign w:val="center"/>
          </w:tcPr>
          <w:p w14:paraId="7B172F08">
            <w:pPr>
              <w:spacing w:line="320" w:lineRule="exact"/>
              <w:jc w:val="left"/>
              <w:rPr>
                <w:color w:val="000000"/>
                <w:kern w:val="0"/>
                <w:sz w:val="18"/>
                <w:szCs w:val="18"/>
              </w:rPr>
            </w:pPr>
            <w:r>
              <w:rPr>
                <w:rFonts w:hint="eastAsia"/>
                <w:color w:val="000000"/>
                <w:kern w:val="0"/>
                <w:sz w:val="18"/>
                <w:szCs w:val="18"/>
              </w:rPr>
              <w:t>按照要求整改的</w:t>
            </w:r>
          </w:p>
        </w:tc>
        <w:tc>
          <w:tcPr>
            <w:tcW w:w="4446" w:type="dxa"/>
            <w:vAlign w:val="center"/>
          </w:tcPr>
          <w:p w14:paraId="6E3FD3D0">
            <w:pPr>
              <w:spacing w:line="320" w:lineRule="exact"/>
              <w:jc w:val="left"/>
              <w:rPr>
                <w:color w:val="000000"/>
                <w:kern w:val="0"/>
                <w:sz w:val="18"/>
                <w:szCs w:val="18"/>
              </w:rPr>
            </w:pPr>
            <w:r>
              <w:rPr>
                <w:rFonts w:hint="eastAsia"/>
                <w:color w:val="000000"/>
                <w:kern w:val="0"/>
                <w:sz w:val="18"/>
                <w:szCs w:val="18"/>
              </w:rPr>
              <w:t>材料符合要求的</w:t>
            </w:r>
          </w:p>
        </w:tc>
        <w:tc>
          <w:tcPr>
            <w:tcW w:w="1080" w:type="dxa"/>
            <w:vMerge w:val="restart"/>
            <w:vAlign w:val="center"/>
          </w:tcPr>
          <w:p w14:paraId="6097E934">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1DD17B09">
            <w:pPr>
              <w:spacing w:line="320" w:lineRule="exact"/>
              <w:jc w:val="left"/>
              <w:rPr>
                <w:color w:val="000000"/>
                <w:kern w:val="0"/>
                <w:sz w:val="18"/>
                <w:szCs w:val="18"/>
              </w:rPr>
            </w:pPr>
            <w:r>
              <w:rPr>
                <w:rFonts w:hint="eastAsia"/>
                <w:color w:val="000000"/>
                <w:kern w:val="0"/>
                <w:sz w:val="18"/>
                <w:szCs w:val="18"/>
              </w:rPr>
              <w:t>不处罚款</w:t>
            </w:r>
          </w:p>
        </w:tc>
      </w:tr>
      <w:tr w14:paraId="5A1F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1BAA475">
            <w:pPr>
              <w:spacing w:line="320" w:lineRule="exact"/>
              <w:jc w:val="center"/>
              <w:rPr>
                <w:color w:val="000000"/>
                <w:kern w:val="0"/>
                <w:sz w:val="18"/>
                <w:szCs w:val="18"/>
              </w:rPr>
            </w:pPr>
          </w:p>
        </w:tc>
        <w:tc>
          <w:tcPr>
            <w:tcW w:w="1694" w:type="dxa"/>
            <w:vMerge w:val="continue"/>
            <w:vAlign w:val="center"/>
          </w:tcPr>
          <w:p w14:paraId="0CD3F320">
            <w:pPr>
              <w:spacing w:line="320" w:lineRule="exact"/>
              <w:jc w:val="left"/>
              <w:rPr>
                <w:color w:val="000000"/>
                <w:kern w:val="0"/>
                <w:sz w:val="18"/>
                <w:szCs w:val="18"/>
              </w:rPr>
            </w:pPr>
          </w:p>
        </w:tc>
        <w:tc>
          <w:tcPr>
            <w:tcW w:w="4446" w:type="dxa"/>
            <w:vAlign w:val="center"/>
          </w:tcPr>
          <w:p w14:paraId="63E69042">
            <w:pPr>
              <w:spacing w:line="320" w:lineRule="exact"/>
              <w:jc w:val="left"/>
              <w:rPr>
                <w:color w:val="000000"/>
                <w:kern w:val="0"/>
                <w:sz w:val="18"/>
                <w:szCs w:val="18"/>
              </w:rPr>
            </w:pPr>
            <w:r>
              <w:rPr>
                <w:rFonts w:hint="eastAsia"/>
                <w:color w:val="000000"/>
                <w:kern w:val="0"/>
                <w:sz w:val="18"/>
                <w:szCs w:val="18"/>
              </w:rPr>
              <w:t>材料不符合要求的</w:t>
            </w:r>
          </w:p>
        </w:tc>
        <w:tc>
          <w:tcPr>
            <w:tcW w:w="1080" w:type="dxa"/>
            <w:vMerge w:val="continue"/>
            <w:vAlign w:val="center"/>
          </w:tcPr>
          <w:p w14:paraId="3FF10B00">
            <w:pPr>
              <w:spacing w:line="320" w:lineRule="exact"/>
              <w:jc w:val="center"/>
              <w:rPr>
                <w:color w:val="000000"/>
                <w:kern w:val="0"/>
                <w:sz w:val="18"/>
                <w:szCs w:val="18"/>
              </w:rPr>
            </w:pPr>
          </w:p>
        </w:tc>
        <w:tc>
          <w:tcPr>
            <w:tcW w:w="5820" w:type="dxa"/>
            <w:vAlign w:val="center"/>
          </w:tcPr>
          <w:p w14:paraId="640FE047">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3E85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438BA0F4">
            <w:pPr>
              <w:spacing w:line="320" w:lineRule="exact"/>
              <w:jc w:val="center"/>
              <w:rPr>
                <w:color w:val="000000"/>
                <w:kern w:val="0"/>
                <w:sz w:val="18"/>
                <w:szCs w:val="18"/>
              </w:rPr>
            </w:pPr>
          </w:p>
        </w:tc>
        <w:tc>
          <w:tcPr>
            <w:tcW w:w="6140" w:type="dxa"/>
            <w:gridSpan w:val="2"/>
            <w:vAlign w:val="center"/>
          </w:tcPr>
          <w:p w14:paraId="2C7F5F34">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4840C54A">
            <w:pPr>
              <w:spacing w:line="320" w:lineRule="exact"/>
              <w:jc w:val="center"/>
              <w:rPr>
                <w:color w:val="000000"/>
                <w:kern w:val="0"/>
                <w:sz w:val="18"/>
                <w:szCs w:val="18"/>
              </w:rPr>
            </w:pPr>
          </w:p>
        </w:tc>
        <w:tc>
          <w:tcPr>
            <w:tcW w:w="5820" w:type="dxa"/>
            <w:vAlign w:val="center"/>
          </w:tcPr>
          <w:p w14:paraId="1EAE887D">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0C4DCAD5"/>
    <w:p w14:paraId="7AECDAAE"/>
    <w:p w14:paraId="2EEFEBD7"/>
    <w:p w14:paraId="0E172E8E"/>
    <w:p w14:paraId="440C0F50"/>
    <w:p w14:paraId="0F86BEC0"/>
    <w:p w14:paraId="176AF350"/>
    <w:p w14:paraId="2AC47236"/>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761E1E71">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729AD426">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397DA3EC">
            <w:pPr>
              <w:spacing w:line="320" w:lineRule="exact"/>
              <w:jc w:val="left"/>
              <w:rPr>
                <w:rFonts w:eastAsia="仿宋_GB2312"/>
                <w:b/>
                <w:bCs/>
                <w:color w:val="000000"/>
                <w:kern w:val="0"/>
                <w:sz w:val="18"/>
                <w:szCs w:val="18"/>
              </w:rPr>
            </w:pPr>
            <w:r>
              <w:rPr>
                <w:rFonts w:eastAsia="仿宋_GB2312"/>
                <w:b/>
                <w:bCs/>
                <w:color w:val="000000"/>
                <w:kern w:val="0"/>
                <w:sz w:val="18"/>
                <w:szCs w:val="18"/>
              </w:rPr>
              <w:t>320217392000</w:t>
            </w:r>
            <w:r>
              <w:rPr>
                <w:rFonts w:hint="eastAsia" w:eastAsia="仿宋_GB2312"/>
                <w:b/>
                <w:bCs/>
                <w:color w:val="000000"/>
                <w:kern w:val="0"/>
                <w:sz w:val="18"/>
                <w:szCs w:val="18"/>
              </w:rPr>
              <w:t xml:space="preserve"> </w:t>
            </w:r>
          </w:p>
        </w:tc>
      </w:tr>
      <w:tr w14:paraId="3E01835B">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6982F4C">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052816E8">
            <w:pPr>
              <w:spacing w:line="320" w:lineRule="exact"/>
              <w:jc w:val="left"/>
              <w:rPr>
                <w:color w:val="000000"/>
                <w:kern w:val="0"/>
                <w:sz w:val="18"/>
                <w:szCs w:val="18"/>
              </w:rPr>
            </w:pPr>
            <w:r>
              <w:rPr>
                <w:rFonts w:hint="eastAsia"/>
                <w:color w:val="000000"/>
                <w:kern w:val="0"/>
                <w:sz w:val="18"/>
                <w:szCs w:val="18"/>
              </w:rPr>
              <w:t>对城镇排水与污水处理设施覆盖范围内的排水单位和个人，未按照国家有关规定将污水排入城镇排水设施，或者在雨水、污水分流地区将污水排入雨水管网的处罚</w:t>
            </w:r>
          </w:p>
        </w:tc>
      </w:tr>
      <w:tr w14:paraId="68471500">
        <w:tblPrEx>
          <w:tblCellMar>
            <w:top w:w="0" w:type="dxa"/>
            <w:left w:w="108" w:type="dxa"/>
            <w:bottom w:w="0" w:type="dxa"/>
            <w:right w:w="108" w:type="dxa"/>
          </w:tblCellMar>
        </w:tblPrEx>
        <w:trPr>
          <w:trHeight w:val="419" w:hRule="atLeast"/>
        </w:trPr>
        <w:tc>
          <w:tcPr>
            <w:tcW w:w="980" w:type="dxa"/>
            <w:tcBorders>
              <w:top w:val="nil"/>
              <w:left w:val="single" w:color="auto" w:sz="8" w:space="0"/>
              <w:bottom w:val="single" w:color="auto" w:sz="4" w:space="0"/>
              <w:right w:val="single" w:color="auto" w:sz="4" w:space="0"/>
            </w:tcBorders>
            <w:vAlign w:val="center"/>
          </w:tcPr>
          <w:p w14:paraId="075B953C">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4709CFE7">
            <w:pPr>
              <w:spacing w:line="320" w:lineRule="exact"/>
              <w:jc w:val="left"/>
              <w:rPr>
                <w:color w:val="000000"/>
                <w:kern w:val="0"/>
                <w:sz w:val="18"/>
                <w:szCs w:val="18"/>
              </w:rPr>
            </w:pPr>
            <w:r>
              <w:rPr>
                <w:rFonts w:hint="eastAsia"/>
                <w:color w:val="000000"/>
                <w:kern w:val="0"/>
                <w:sz w:val="18"/>
                <w:szCs w:val="18"/>
              </w:rPr>
              <w:t>【行政法规】《城镇排水与污水处理条例》（国务院令第641号）</w:t>
            </w:r>
          </w:p>
          <w:p w14:paraId="2E7B5CA0">
            <w:pPr>
              <w:spacing w:line="320" w:lineRule="exact"/>
              <w:jc w:val="left"/>
              <w:rPr>
                <w:color w:val="000000"/>
                <w:kern w:val="0"/>
                <w:sz w:val="18"/>
                <w:szCs w:val="18"/>
              </w:rPr>
            </w:pPr>
            <w:r>
              <w:rPr>
                <w:rFonts w:hint="eastAsia"/>
                <w:color w:val="000000"/>
                <w:kern w:val="0"/>
                <w:sz w:val="18"/>
                <w:szCs w:val="18"/>
              </w:rPr>
              <w:t xml:space="preserve">    第二十条　城镇排水设施覆盖范围内的排水单位和个人，应当按照国家有关规定将污水排入城镇排水设施。</w:t>
            </w:r>
          </w:p>
          <w:p w14:paraId="54E379CF">
            <w:pPr>
              <w:spacing w:line="320" w:lineRule="exact"/>
              <w:jc w:val="left"/>
              <w:rPr>
                <w:color w:val="000000"/>
                <w:kern w:val="0"/>
                <w:sz w:val="18"/>
                <w:szCs w:val="18"/>
              </w:rPr>
            </w:pPr>
            <w:r>
              <w:rPr>
                <w:rFonts w:hint="eastAsia"/>
                <w:color w:val="000000"/>
                <w:kern w:val="0"/>
                <w:sz w:val="18"/>
                <w:szCs w:val="18"/>
              </w:rPr>
              <w:t xml:space="preserve">    在雨水、污水分流地区，不得将污水排入雨水管网。  </w:t>
            </w:r>
          </w:p>
          <w:p w14:paraId="5187084B">
            <w:pPr>
              <w:spacing w:line="320" w:lineRule="exact"/>
              <w:jc w:val="left"/>
              <w:rPr>
                <w:color w:val="000000"/>
                <w:kern w:val="0"/>
                <w:sz w:val="18"/>
                <w:szCs w:val="18"/>
              </w:rPr>
            </w:pPr>
            <w:r>
              <w:rPr>
                <w:rFonts w:hint="eastAsia"/>
                <w:color w:val="000000"/>
                <w:kern w:val="0"/>
                <w:sz w:val="18"/>
                <w:szCs w:val="18"/>
              </w:rPr>
              <w:t xml:space="preserve">    第四十九条　违反本条例规定，城镇排水与污水处理设施覆盖范围内的排水单位和个人，未按照国家有关规定将污水排入城镇排水设施，或者在雨水、污水分流地区将污水排入雨水管网的，由城镇排水主管部门责令改正，给予警告；逾期不改正或者造成严重后果的，对单位处10万元以上20万元以下罚款，对个人处2万元以上10万元以下罚款；造成损失的，依法承担赔偿责任。</w:t>
            </w:r>
          </w:p>
          <w:p w14:paraId="6B4D1278">
            <w:pPr>
              <w:spacing w:line="320" w:lineRule="exact"/>
              <w:jc w:val="left"/>
              <w:rPr>
                <w:color w:val="000000"/>
                <w:kern w:val="0"/>
                <w:sz w:val="18"/>
                <w:szCs w:val="18"/>
              </w:rPr>
            </w:pPr>
            <w:r>
              <w:rPr>
                <w:rFonts w:hint="eastAsia"/>
                <w:color w:val="000000"/>
                <w:kern w:val="0"/>
                <w:sz w:val="18"/>
                <w:szCs w:val="18"/>
              </w:rPr>
              <w:t xml:space="preserve">【规章】《城镇污水排入排水管网许可管理办法》（住房和城乡建设部令第56号）    </w:t>
            </w:r>
          </w:p>
          <w:p w14:paraId="3DD1F600">
            <w:pPr>
              <w:spacing w:line="320" w:lineRule="exact"/>
              <w:jc w:val="left"/>
              <w:rPr>
                <w:color w:val="000000"/>
                <w:kern w:val="0"/>
                <w:sz w:val="18"/>
                <w:szCs w:val="18"/>
              </w:rPr>
            </w:pPr>
            <w:r>
              <w:rPr>
                <w:rFonts w:hint="eastAsia"/>
                <w:color w:val="000000"/>
                <w:kern w:val="0"/>
                <w:sz w:val="18"/>
                <w:szCs w:val="18"/>
              </w:rPr>
              <w:t xml:space="preserve">    　第四条第一款  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w:t>
            </w:r>
          </w:p>
          <w:p w14:paraId="1579B8F2">
            <w:pPr>
              <w:spacing w:line="320" w:lineRule="exact"/>
              <w:jc w:val="left"/>
              <w:rPr>
                <w:color w:val="000000"/>
                <w:kern w:val="0"/>
                <w:sz w:val="18"/>
                <w:szCs w:val="18"/>
              </w:rPr>
            </w:pPr>
            <w:r>
              <w:rPr>
                <w:rFonts w:hint="eastAsia"/>
                <w:color w:val="000000"/>
                <w:kern w:val="0"/>
                <w:sz w:val="18"/>
                <w:szCs w:val="18"/>
              </w:rPr>
              <w:t>　　第二款 在雨水、污水分流排放的地区，不得将污水排入雨水管网。</w:t>
            </w:r>
          </w:p>
          <w:p w14:paraId="5AFBD68C">
            <w:pPr>
              <w:spacing w:line="320" w:lineRule="exact"/>
              <w:jc w:val="left"/>
              <w:rPr>
                <w:color w:val="000000"/>
                <w:kern w:val="0"/>
                <w:sz w:val="18"/>
                <w:szCs w:val="18"/>
              </w:rPr>
            </w:pPr>
            <w:r>
              <w:rPr>
                <w:rFonts w:hint="eastAsia"/>
                <w:color w:val="000000"/>
                <w:kern w:val="0"/>
                <w:sz w:val="18"/>
                <w:szCs w:val="18"/>
              </w:rPr>
              <w:t>　　第二十六条　违反本办法规定，在城镇排水与污水处理设施覆盖范围内，未按照国家有关规定将污水排入城镇排水设施，或者在雨水、污水分流地区将污水排入雨水管网的，由城镇排水主管部门责令改正，给予警告；逾期不改正或者造成严重后果的，对单位处10万元以上20万元以下罚款；对个人处2万元以上10万元以下罚款，造成损失的，依法承担赔偿责任。</w:t>
            </w:r>
          </w:p>
        </w:tc>
      </w:tr>
      <w:tr w14:paraId="58CDD20B">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01CEF14">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159540CE">
            <w:pPr>
              <w:spacing w:line="320" w:lineRule="exact"/>
              <w:jc w:val="left"/>
              <w:rPr>
                <w:color w:val="000000"/>
                <w:kern w:val="0"/>
                <w:sz w:val="18"/>
                <w:szCs w:val="18"/>
              </w:rPr>
            </w:pPr>
            <w:r>
              <w:rPr>
                <w:rFonts w:hint="eastAsia"/>
                <w:color w:val="000000"/>
                <w:kern w:val="0"/>
                <w:sz w:val="18"/>
                <w:szCs w:val="18"/>
              </w:rPr>
              <w:t>责令改正，警告，罚款</w:t>
            </w:r>
          </w:p>
        </w:tc>
      </w:tr>
      <w:tr w14:paraId="10922894">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47524B33">
            <w:pPr>
              <w:spacing w:line="320" w:lineRule="exact"/>
              <w:jc w:val="center"/>
              <w:rPr>
                <w:color w:val="000000"/>
                <w:kern w:val="0"/>
                <w:sz w:val="18"/>
                <w:szCs w:val="18"/>
              </w:rPr>
            </w:pPr>
            <w:r>
              <w:rPr>
                <w:rFonts w:hint="eastAsia"/>
                <w:color w:val="000000"/>
                <w:kern w:val="0"/>
                <w:sz w:val="18"/>
                <w:szCs w:val="18"/>
              </w:rPr>
              <w:t>裁量基准</w:t>
            </w:r>
          </w:p>
        </w:tc>
      </w:tr>
      <w:tr w14:paraId="4BF4F0F0">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right w:val="single" w:color="auto" w:sz="4" w:space="0"/>
            </w:tcBorders>
            <w:vAlign w:val="center"/>
          </w:tcPr>
          <w:p w14:paraId="77D5554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63D8F73">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color="auto" w:sz="4" w:space="0"/>
              <w:right w:val="single" w:color="auto" w:sz="4" w:space="0"/>
            </w:tcBorders>
            <w:vAlign w:val="center"/>
          </w:tcPr>
          <w:p w14:paraId="00B9160D">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06ABEF9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14:paraId="2BFEAB8B">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79A09F53">
        <w:tblPrEx>
          <w:tblCellMar>
            <w:top w:w="0" w:type="dxa"/>
            <w:left w:w="108" w:type="dxa"/>
            <w:bottom w:w="0" w:type="dxa"/>
            <w:right w:w="108" w:type="dxa"/>
          </w:tblCellMar>
        </w:tblPrEx>
        <w:trPr>
          <w:trHeight w:val="285" w:hRule="atLeast"/>
        </w:trPr>
        <w:tc>
          <w:tcPr>
            <w:tcW w:w="980" w:type="dxa"/>
            <w:vMerge w:val="continue"/>
            <w:tcBorders>
              <w:left w:val="single" w:color="auto" w:sz="8" w:space="0"/>
              <w:right w:val="single" w:color="auto" w:sz="4" w:space="0"/>
            </w:tcBorders>
            <w:vAlign w:val="center"/>
          </w:tcPr>
          <w:p w14:paraId="00BB0B2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8AA6A43">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val="continue"/>
            <w:tcBorders>
              <w:left w:val="single" w:color="auto" w:sz="4" w:space="0"/>
              <w:right w:val="single" w:color="auto" w:sz="4" w:space="0"/>
            </w:tcBorders>
            <w:vAlign w:val="center"/>
          </w:tcPr>
          <w:p w14:paraId="5199B60D">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7BEFA6D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3530469B">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0B446459">
        <w:tblPrEx>
          <w:tblCellMar>
            <w:top w:w="0" w:type="dxa"/>
            <w:left w:w="108" w:type="dxa"/>
            <w:bottom w:w="0" w:type="dxa"/>
            <w:right w:w="108" w:type="dxa"/>
          </w:tblCellMar>
        </w:tblPrEx>
        <w:trPr>
          <w:trHeight w:val="285" w:hRule="atLeast"/>
        </w:trPr>
        <w:tc>
          <w:tcPr>
            <w:tcW w:w="980" w:type="dxa"/>
            <w:vMerge w:val="continue"/>
            <w:tcBorders>
              <w:left w:val="single" w:color="auto" w:sz="8" w:space="0"/>
              <w:bottom w:val="single" w:color="auto" w:sz="4" w:space="0"/>
              <w:right w:val="single" w:color="auto" w:sz="4" w:space="0"/>
            </w:tcBorders>
            <w:vAlign w:val="center"/>
          </w:tcPr>
          <w:p w14:paraId="774CCFD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911CB65">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val="continue"/>
            <w:tcBorders>
              <w:left w:val="single" w:color="auto" w:sz="4" w:space="0"/>
              <w:bottom w:val="single" w:color="auto" w:sz="4" w:space="0"/>
              <w:right w:val="single" w:color="auto" w:sz="4" w:space="0"/>
            </w:tcBorders>
            <w:vAlign w:val="center"/>
          </w:tcPr>
          <w:p w14:paraId="5DB847E1">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04271D62">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14:paraId="79864029">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3190C7A1"/>
    <w:p w14:paraId="48AF13D1"/>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48AD9101">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541FF628">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584ACF86">
            <w:pPr>
              <w:spacing w:line="320" w:lineRule="exact"/>
              <w:jc w:val="left"/>
              <w:rPr>
                <w:rFonts w:eastAsia="仿宋_GB2312"/>
                <w:b/>
                <w:bCs/>
                <w:color w:val="000000"/>
                <w:kern w:val="0"/>
                <w:sz w:val="18"/>
                <w:szCs w:val="18"/>
              </w:rPr>
            </w:pPr>
            <w:r>
              <w:rPr>
                <w:rFonts w:eastAsia="仿宋_GB2312"/>
                <w:b/>
                <w:bCs/>
                <w:color w:val="000000"/>
                <w:kern w:val="0"/>
                <w:sz w:val="18"/>
                <w:szCs w:val="18"/>
              </w:rPr>
              <w:t>320217393000</w:t>
            </w:r>
            <w:r>
              <w:rPr>
                <w:rFonts w:hint="eastAsia" w:eastAsia="仿宋_GB2312"/>
                <w:b/>
                <w:bCs/>
                <w:color w:val="000000"/>
                <w:kern w:val="0"/>
                <w:sz w:val="18"/>
                <w:szCs w:val="18"/>
              </w:rPr>
              <w:t xml:space="preserve"> </w:t>
            </w:r>
          </w:p>
        </w:tc>
      </w:tr>
      <w:tr w14:paraId="5E233467">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6AA7A8E2">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5E854CB0">
            <w:pPr>
              <w:jc w:val="left"/>
              <w:textAlignment w:val="center"/>
              <w:rPr>
                <w:rFonts w:eastAsia="仿宋_GB2312"/>
                <w:color w:val="000000"/>
                <w:sz w:val="20"/>
              </w:rPr>
            </w:pPr>
            <w:r>
              <w:rPr>
                <w:rFonts w:hint="eastAsia" w:eastAsia="仿宋_GB2312"/>
                <w:color w:val="000000"/>
                <w:kern w:val="0"/>
                <w:sz w:val="20"/>
              </w:rPr>
              <w:t>对排水户未取得污水排入排水管网许可证向城镇排水设施排放污水的处罚</w:t>
            </w:r>
          </w:p>
        </w:tc>
      </w:tr>
      <w:tr w14:paraId="546F99AA">
        <w:tblPrEx>
          <w:tblCellMar>
            <w:top w:w="0" w:type="dxa"/>
            <w:left w:w="108" w:type="dxa"/>
            <w:bottom w:w="0" w:type="dxa"/>
            <w:right w:w="108" w:type="dxa"/>
          </w:tblCellMar>
        </w:tblPrEx>
        <w:trPr>
          <w:trHeight w:val="2385" w:hRule="atLeast"/>
        </w:trPr>
        <w:tc>
          <w:tcPr>
            <w:tcW w:w="980" w:type="dxa"/>
            <w:tcBorders>
              <w:top w:val="nil"/>
              <w:left w:val="single" w:color="auto" w:sz="8" w:space="0"/>
              <w:bottom w:val="single" w:color="auto" w:sz="4" w:space="0"/>
              <w:right w:val="single" w:color="auto" w:sz="4" w:space="0"/>
            </w:tcBorders>
            <w:vAlign w:val="center"/>
          </w:tcPr>
          <w:p w14:paraId="2604A26D">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1DB0A8C8">
            <w:pPr>
              <w:spacing w:line="300" w:lineRule="exact"/>
              <w:jc w:val="left"/>
              <w:textAlignment w:val="center"/>
              <w:rPr>
                <w:color w:val="000000"/>
                <w:kern w:val="0"/>
                <w:sz w:val="20"/>
              </w:rPr>
            </w:pPr>
            <w:r>
              <w:rPr>
                <w:rFonts w:hint="eastAsia"/>
                <w:color w:val="000000"/>
                <w:kern w:val="0"/>
                <w:sz w:val="20"/>
              </w:rPr>
              <w:t>【行政法规】《城镇排水与污水处理条例》（国务院令第641号）</w:t>
            </w:r>
          </w:p>
          <w:p w14:paraId="0831BA8A">
            <w:pPr>
              <w:spacing w:line="300" w:lineRule="exact"/>
              <w:jc w:val="left"/>
              <w:textAlignment w:val="center"/>
              <w:rPr>
                <w:color w:val="000000"/>
                <w:kern w:val="0"/>
                <w:sz w:val="20"/>
              </w:rPr>
            </w:pPr>
            <w:r>
              <w:rPr>
                <w:rFonts w:hint="eastAsia"/>
                <w:color w:val="000000"/>
                <w:kern w:val="0"/>
                <w:sz w:val="20"/>
              </w:rPr>
              <w:t xml:space="preserve">    第二十一条第一款　从事工业、建筑、餐饮、医疗等活动的企业事业单位、个体工商户（以下称排水户）向城镇排水设施排放污水的，应当向城镇排水主管部门申请领取污水排入排水管网许可证。城镇排水主管部门应当按照国家有关标准，重点对影响城镇排水与污水处理设施安全运行的事项进行审查。</w:t>
            </w:r>
          </w:p>
          <w:p w14:paraId="1B00D520">
            <w:pPr>
              <w:spacing w:line="300" w:lineRule="exact"/>
              <w:jc w:val="left"/>
              <w:textAlignment w:val="center"/>
              <w:rPr>
                <w:color w:val="000000"/>
                <w:kern w:val="0"/>
                <w:sz w:val="20"/>
              </w:rPr>
            </w:pPr>
            <w:r>
              <w:rPr>
                <w:rFonts w:hint="eastAsia"/>
                <w:color w:val="000000"/>
                <w:kern w:val="0"/>
                <w:sz w:val="20"/>
              </w:rPr>
              <w:t xml:space="preserve">    第五十条第一款　违反本条例规定，排水户未取得污水排入排水管网许可证向城镇排水设施排放污水的，由城镇排水主管部门责令停止违法行为，限期采取治理措施，补办污水排入排水管网许可证，可以处50万元以下罚款；造成损失的，依法承担赔偿责任；构成犯罪的，依法追究刑事责任。</w:t>
            </w:r>
          </w:p>
          <w:p w14:paraId="58F775A6">
            <w:pPr>
              <w:spacing w:line="300" w:lineRule="exact"/>
              <w:jc w:val="left"/>
              <w:textAlignment w:val="center"/>
              <w:rPr>
                <w:color w:val="000000"/>
                <w:kern w:val="0"/>
                <w:sz w:val="20"/>
              </w:rPr>
            </w:pPr>
            <w:r>
              <w:rPr>
                <w:rFonts w:hint="eastAsia"/>
                <w:color w:val="000000"/>
                <w:kern w:val="0"/>
                <w:sz w:val="20"/>
              </w:rPr>
              <w:t xml:space="preserve">【规章】《城镇污水排入排水管网许可管理办法》（住房和城乡建设部令第56号）    </w:t>
            </w:r>
          </w:p>
          <w:p w14:paraId="6F4DA0B1">
            <w:pPr>
              <w:spacing w:line="300" w:lineRule="exact"/>
              <w:jc w:val="left"/>
              <w:textAlignment w:val="center"/>
              <w:rPr>
                <w:color w:val="000000"/>
                <w:kern w:val="0"/>
                <w:sz w:val="20"/>
              </w:rPr>
            </w:pPr>
            <w:r>
              <w:rPr>
                <w:rFonts w:hint="eastAsia"/>
                <w:color w:val="000000"/>
                <w:kern w:val="0"/>
                <w:sz w:val="20"/>
              </w:rPr>
              <w:t xml:space="preserve">    　第四条第一款  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w:t>
            </w:r>
          </w:p>
          <w:p w14:paraId="4CC74002">
            <w:pPr>
              <w:spacing w:line="300" w:lineRule="exact"/>
              <w:jc w:val="left"/>
              <w:textAlignment w:val="center"/>
              <w:rPr>
                <w:color w:val="000000"/>
                <w:sz w:val="20"/>
              </w:rPr>
            </w:pPr>
            <w:r>
              <w:rPr>
                <w:rFonts w:hint="eastAsia"/>
                <w:color w:val="000000"/>
                <w:kern w:val="0"/>
                <w:sz w:val="20"/>
              </w:rPr>
              <w:t xml:space="preserve">    　　第二十七条　违反本办法规定，排水户未取得排水许可，向城镇排水设施排放污水的，由城镇排水主管部门责令停止违法行为，限期采取治理措施，补办排水许可证，可以处50万元以下罚款；对列入重点排污单位名录的排水户，可以处30万元以上50万元以下罚款；造成损失的，依法承担赔偿责任；构成犯罪的，依法追究刑事责任。</w:t>
            </w:r>
          </w:p>
        </w:tc>
      </w:tr>
      <w:tr w14:paraId="30D172F4">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36DF4897">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5242A2C4">
            <w:pPr>
              <w:spacing w:line="320" w:lineRule="exact"/>
              <w:jc w:val="left"/>
              <w:rPr>
                <w:color w:val="000000"/>
                <w:kern w:val="0"/>
                <w:sz w:val="18"/>
                <w:szCs w:val="18"/>
              </w:rPr>
            </w:pPr>
            <w:r>
              <w:rPr>
                <w:rFonts w:hint="eastAsia"/>
                <w:color w:val="000000"/>
                <w:kern w:val="0"/>
                <w:sz w:val="18"/>
                <w:szCs w:val="18"/>
              </w:rPr>
              <w:t>罚款</w:t>
            </w:r>
          </w:p>
        </w:tc>
      </w:tr>
      <w:tr w14:paraId="3494622D">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119DA6D9">
            <w:pPr>
              <w:spacing w:line="320" w:lineRule="exact"/>
              <w:jc w:val="center"/>
              <w:rPr>
                <w:color w:val="000000"/>
                <w:kern w:val="0"/>
                <w:sz w:val="18"/>
                <w:szCs w:val="18"/>
              </w:rPr>
            </w:pPr>
            <w:r>
              <w:rPr>
                <w:rFonts w:hint="eastAsia"/>
                <w:color w:val="000000"/>
                <w:kern w:val="0"/>
                <w:sz w:val="18"/>
                <w:szCs w:val="18"/>
              </w:rPr>
              <w:t>裁量基准</w:t>
            </w:r>
          </w:p>
        </w:tc>
      </w:tr>
      <w:tr w14:paraId="6611EDFC">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right w:val="single" w:color="auto" w:sz="4" w:space="0"/>
            </w:tcBorders>
            <w:vAlign w:val="center"/>
          </w:tcPr>
          <w:p w14:paraId="09D89C5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C7A1938">
            <w:pPr>
              <w:spacing w:line="320" w:lineRule="exact"/>
              <w:jc w:val="left"/>
              <w:rPr>
                <w:color w:val="000000"/>
                <w:kern w:val="0"/>
                <w:sz w:val="18"/>
                <w:szCs w:val="18"/>
              </w:rPr>
            </w:pPr>
            <w:r>
              <w:rPr>
                <w:rFonts w:hint="eastAsia"/>
                <w:color w:val="000000"/>
                <w:kern w:val="0"/>
                <w:sz w:val="18"/>
                <w:szCs w:val="18"/>
              </w:rPr>
              <w:t>按照要求改正，但未造成严重后果的</w:t>
            </w:r>
          </w:p>
        </w:tc>
        <w:tc>
          <w:tcPr>
            <w:tcW w:w="1000" w:type="dxa"/>
            <w:vMerge w:val="restart"/>
            <w:tcBorders>
              <w:top w:val="nil"/>
              <w:left w:val="single" w:color="auto" w:sz="4" w:space="0"/>
              <w:right w:val="single" w:color="auto" w:sz="4" w:space="0"/>
            </w:tcBorders>
            <w:vAlign w:val="center"/>
          </w:tcPr>
          <w:p w14:paraId="043686A0">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29F32D0B">
            <w:pPr>
              <w:spacing w:line="320" w:lineRule="exact"/>
              <w:jc w:val="left"/>
              <w:rPr>
                <w:color w:val="000000"/>
                <w:kern w:val="0"/>
                <w:sz w:val="18"/>
                <w:szCs w:val="18"/>
              </w:rPr>
            </w:pPr>
            <w:r>
              <w:rPr>
                <w:rFonts w:hint="eastAsia"/>
                <w:color w:val="000000"/>
                <w:kern w:val="0"/>
                <w:sz w:val="18"/>
                <w:szCs w:val="18"/>
              </w:rPr>
              <w:t>对一般单位：</w:t>
            </w:r>
            <w:r>
              <w:rPr>
                <w:color w:val="000000"/>
                <w:kern w:val="0"/>
                <w:sz w:val="18"/>
                <w:szCs w:val="18"/>
              </w:rPr>
              <w:t>10</w:t>
            </w:r>
            <w:r>
              <w:rPr>
                <w:rFonts w:hint="eastAsia"/>
                <w:color w:val="000000"/>
                <w:kern w:val="0"/>
                <w:sz w:val="18"/>
                <w:szCs w:val="18"/>
              </w:rPr>
              <w:t>万元以下罚款</w:t>
            </w:r>
          </w:p>
          <w:p w14:paraId="3F68EEA8">
            <w:pPr>
              <w:spacing w:line="320" w:lineRule="exact"/>
              <w:jc w:val="left"/>
              <w:rPr>
                <w:color w:val="000000"/>
                <w:kern w:val="0"/>
                <w:sz w:val="18"/>
                <w:szCs w:val="18"/>
              </w:rPr>
            </w:pPr>
            <w:r>
              <w:rPr>
                <w:rFonts w:hint="eastAsia"/>
                <w:color w:val="000000"/>
                <w:kern w:val="0"/>
                <w:sz w:val="18"/>
                <w:szCs w:val="18"/>
              </w:rPr>
              <w:t>对重点单位：处</w:t>
            </w:r>
            <w:r>
              <w:rPr>
                <w:color w:val="000000"/>
                <w:kern w:val="0"/>
                <w:sz w:val="18"/>
                <w:szCs w:val="18"/>
              </w:rPr>
              <w:t>30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14:paraId="3C013780">
        <w:tblPrEx>
          <w:tblCellMar>
            <w:top w:w="0" w:type="dxa"/>
            <w:left w:w="108" w:type="dxa"/>
            <w:bottom w:w="0" w:type="dxa"/>
            <w:right w:w="108" w:type="dxa"/>
          </w:tblCellMar>
        </w:tblPrEx>
        <w:trPr>
          <w:trHeight w:val="285" w:hRule="atLeast"/>
        </w:trPr>
        <w:tc>
          <w:tcPr>
            <w:tcW w:w="980" w:type="dxa"/>
            <w:vMerge w:val="continue"/>
            <w:tcBorders>
              <w:left w:val="single" w:color="auto" w:sz="8" w:space="0"/>
              <w:right w:val="single" w:color="auto" w:sz="4" w:space="0"/>
            </w:tcBorders>
            <w:vAlign w:val="center"/>
          </w:tcPr>
          <w:p w14:paraId="09E635D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9D9EB43">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val="continue"/>
            <w:tcBorders>
              <w:left w:val="single" w:color="auto" w:sz="4" w:space="0"/>
              <w:right w:val="single" w:color="auto" w:sz="4" w:space="0"/>
            </w:tcBorders>
            <w:vAlign w:val="center"/>
          </w:tcPr>
          <w:p w14:paraId="23D38B11">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7311D58F">
            <w:pPr>
              <w:spacing w:line="320" w:lineRule="exact"/>
              <w:jc w:val="left"/>
              <w:rPr>
                <w:color w:val="000000"/>
                <w:kern w:val="0"/>
                <w:sz w:val="18"/>
                <w:szCs w:val="18"/>
              </w:rPr>
            </w:pPr>
            <w:r>
              <w:rPr>
                <w:rFonts w:hint="eastAsia"/>
                <w:color w:val="000000"/>
                <w:kern w:val="0"/>
                <w:sz w:val="18"/>
                <w:szCs w:val="18"/>
              </w:rPr>
              <w:t>对一般单位：处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14:paraId="6F8FFB82">
            <w:pPr>
              <w:spacing w:line="320" w:lineRule="exact"/>
              <w:jc w:val="left"/>
              <w:rPr>
                <w:color w:val="000000"/>
                <w:kern w:val="0"/>
                <w:sz w:val="18"/>
                <w:szCs w:val="18"/>
              </w:rPr>
            </w:pPr>
            <w:r>
              <w:rPr>
                <w:rFonts w:hint="eastAsia"/>
                <w:color w:val="000000"/>
                <w:kern w:val="0"/>
                <w:sz w:val="18"/>
                <w:szCs w:val="18"/>
              </w:rPr>
              <w:t>对重点单位：处</w:t>
            </w:r>
            <w:r>
              <w:rPr>
                <w:color w:val="000000"/>
                <w:kern w:val="0"/>
                <w:sz w:val="18"/>
                <w:szCs w:val="18"/>
              </w:rPr>
              <w:t>35</w:t>
            </w:r>
            <w:r>
              <w:rPr>
                <w:rFonts w:hint="eastAsia"/>
                <w:color w:val="000000"/>
                <w:kern w:val="0"/>
                <w:sz w:val="18"/>
                <w:szCs w:val="18"/>
              </w:rPr>
              <w:t>万元以上</w:t>
            </w:r>
            <w:r>
              <w:rPr>
                <w:color w:val="000000"/>
                <w:kern w:val="0"/>
                <w:sz w:val="18"/>
                <w:szCs w:val="18"/>
              </w:rPr>
              <w:t>45</w:t>
            </w:r>
            <w:r>
              <w:rPr>
                <w:rFonts w:hint="eastAsia"/>
                <w:color w:val="000000"/>
                <w:kern w:val="0"/>
                <w:sz w:val="18"/>
                <w:szCs w:val="18"/>
              </w:rPr>
              <w:t>万元以下罚款</w:t>
            </w:r>
          </w:p>
        </w:tc>
      </w:tr>
      <w:tr w14:paraId="5ECD58E5">
        <w:tblPrEx>
          <w:tblCellMar>
            <w:top w:w="0" w:type="dxa"/>
            <w:left w:w="108" w:type="dxa"/>
            <w:bottom w:w="0" w:type="dxa"/>
            <w:right w:w="108" w:type="dxa"/>
          </w:tblCellMar>
        </w:tblPrEx>
        <w:trPr>
          <w:trHeight w:val="285" w:hRule="atLeast"/>
        </w:trPr>
        <w:tc>
          <w:tcPr>
            <w:tcW w:w="980" w:type="dxa"/>
            <w:vMerge w:val="continue"/>
            <w:tcBorders>
              <w:left w:val="single" w:color="auto" w:sz="8" w:space="0"/>
              <w:bottom w:val="single" w:color="auto" w:sz="4" w:space="0"/>
              <w:right w:val="single" w:color="auto" w:sz="4" w:space="0"/>
            </w:tcBorders>
            <w:vAlign w:val="center"/>
          </w:tcPr>
          <w:p w14:paraId="389C374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338FF72">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left w:val="single" w:color="auto" w:sz="4" w:space="0"/>
              <w:bottom w:val="single" w:color="auto" w:sz="4" w:space="0"/>
              <w:right w:val="single" w:color="auto" w:sz="4" w:space="0"/>
            </w:tcBorders>
            <w:vAlign w:val="center"/>
          </w:tcPr>
          <w:p w14:paraId="5100C3EB">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2B8571E9">
            <w:pPr>
              <w:spacing w:line="320" w:lineRule="exact"/>
              <w:jc w:val="left"/>
              <w:rPr>
                <w:color w:val="000000"/>
                <w:kern w:val="0"/>
                <w:sz w:val="18"/>
                <w:szCs w:val="18"/>
              </w:rPr>
            </w:pPr>
            <w:r>
              <w:rPr>
                <w:rFonts w:hint="eastAsia"/>
                <w:color w:val="000000"/>
                <w:kern w:val="0"/>
                <w:sz w:val="18"/>
                <w:szCs w:val="18"/>
              </w:rPr>
              <w:t>对一般单位：处</w:t>
            </w:r>
            <w:r>
              <w:rPr>
                <w:color w:val="000000"/>
                <w:kern w:val="0"/>
                <w:sz w:val="18"/>
                <w:szCs w:val="18"/>
              </w:rPr>
              <w:t>30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14:paraId="185FE7E0">
            <w:pPr>
              <w:spacing w:line="320" w:lineRule="exact"/>
              <w:jc w:val="left"/>
              <w:rPr>
                <w:color w:val="000000"/>
                <w:kern w:val="0"/>
                <w:sz w:val="18"/>
                <w:szCs w:val="18"/>
              </w:rPr>
            </w:pPr>
            <w:r>
              <w:rPr>
                <w:rFonts w:hint="eastAsia"/>
                <w:color w:val="000000"/>
                <w:kern w:val="0"/>
                <w:sz w:val="18"/>
                <w:szCs w:val="18"/>
              </w:rPr>
              <w:t>对重点单位：处</w:t>
            </w:r>
            <w:r>
              <w:rPr>
                <w:color w:val="000000"/>
                <w:kern w:val="0"/>
                <w:sz w:val="18"/>
                <w:szCs w:val="18"/>
              </w:rPr>
              <w:t>45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532AD039"/>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0DC4F24F">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0C1CC2A7">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64A2B79C">
            <w:pPr>
              <w:spacing w:line="320" w:lineRule="exact"/>
              <w:jc w:val="left"/>
              <w:rPr>
                <w:rFonts w:eastAsia="仿宋_GB2312"/>
                <w:b/>
                <w:bCs/>
                <w:color w:val="000000"/>
                <w:kern w:val="0"/>
                <w:sz w:val="18"/>
                <w:szCs w:val="18"/>
              </w:rPr>
            </w:pPr>
            <w:r>
              <w:rPr>
                <w:rFonts w:eastAsia="仿宋_GB2312"/>
                <w:b/>
                <w:bCs/>
                <w:color w:val="000000"/>
                <w:kern w:val="0"/>
                <w:sz w:val="18"/>
                <w:szCs w:val="18"/>
              </w:rPr>
              <w:t>320217394000</w:t>
            </w:r>
            <w:r>
              <w:rPr>
                <w:rFonts w:hint="eastAsia" w:eastAsia="仿宋_GB2312"/>
                <w:b/>
                <w:bCs/>
                <w:color w:val="000000"/>
                <w:kern w:val="0"/>
                <w:sz w:val="18"/>
                <w:szCs w:val="18"/>
              </w:rPr>
              <w:t xml:space="preserve"> </w:t>
            </w:r>
          </w:p>
        </w:tc>
      </w:tr>
      <w:tr w14:paraId="021375E8">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68CDFC56">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548D2E35">
            <w:pPr>
              <w:jc w:val="left"/>
              <w:textAlignment w:val="center"/>
              <w:rPr>
                <w:rFonts w:eastAsia="仿宋_GB2312"/>
                <w:color w:val="000000"/>
                <w:sz w:val="20"/>
              </w:rPr>
            </w:pPr>
            <w:r>
              <w:rPr>
                <w:rFonts w:hint="eastAsia"/>
                <w:color w:val="000000"/>
                <w:kern w:val="0"/>
                <w:sz w:val="20"/>
              </w:rPr>
              <w:t>对排水户不按照污水排入排水管网许可证的要求排放污水的处罚</w:t>
            </w:r>
          </w:p>
        </w:tc>
      </w:tr>
      <w:tr w14:paraId="20E97089">
        <w:tblPrEx>
          <w:tblCellMar>
            <w:top w:w="0" w:type="dxa"/>
            <w:left w:w="108" w:type="dxa"/>
            <w:bottom w:w="0" w:type="dxa"/>
            <w:right w:w="108" w:type="dxa"/>
          </w:tblCellMar>
        </w:tblPrEx>
        <w:trPr>
          <w:trHeight w:val="2385" w:hRule="atLeast"/>
        </w:trPr>
        <w:tc>
          <w:tcPr>
            <w:tcW w:w="980" w:type="dxa"/>
            <w:tcBorders>
              <w:top w:val="nil"/>
              <w:left w:val="single" w:color="auto" w:sz="8" w:space="0"/>
              <w:bottom w:val="single" w:color="auto" w:sz="4" w:space="0"/>
              <w:right w:val="single" w:color="auto" w:sz="4" w:space="0"/>
            </w:tcBorders>
            <w:vAlign w:val="center"/>
          </w:tcPr>
          <w:p w14:paraId="149713E8">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2DD76A33">
            <w:pPr>
              <w:spacing w:line="300" w:lineRule="exact"/>
              <w:jc w:val="left"/>
              <w:textAlignment w:val="center"/>
              <w:rPr>
                <w:color w:val="000000"/>
                <w:kern w:val="0"/>
                <w:sz w:val="20"/>
              </w:rPr>
            </w:pPr>
            <w:r>
              <w:rPr>
                <w:rFonts w:hint="eastAsia"/>
                <w:color w:val="000000"/>
                <w:kern w:val="0"/>
                <w:sz w:val="20"/>
              </w:rPr>
              <w:t>【行政法规】《城镇排水与污水处理条例》（国务院令第641号）</w:t>
            </w:r>
          </w:p>
          <w:p w14:paraId="2C8B702D">
            <w:pPr>
              <w:spacing w:line="300" w:lineRule="exact"/>
              <w:jc w:val="left"/>
              <w:textAlignment w:val="center"/>
              <w:rPr>
                <w:color w:val="000000"/>
                <w:kern w:val="0"/>
                <w:sz w:val="20"/>
              </w:rPr>
            </w:pPr>
            <w:r>
              <w:rPr>
                <w:rFonts w:hint="eastAsia"/>
                <w:color w:val="000000"/>
                <w:kern w:val="0"/>
                <w:sz w:val="20"/>
              </w:rPr>
              <w:t xml:space="preserve">    第二十一条第二款　排水户应当按照污水排入排水管网许可证的要求排放污水。</w:t>
            </w:r>
          </w:p>
          <w:p w14:paraId="622176FC">
            <w:pPr>
              <w:spacing w:line="300" w:lineRule="exact"/>
              <w:jc w:val="left"/>
              <w:textAlignment w:val="center"/>
              <w:rPr>
                <w:color w:val="000000"/>
                <w:kern w:val="0"/>
                <w:sz w:val="20"/>
              </w:rPr>
            </w:pPr>
            <w:r>
              <w:rPr>
                <w:rFonts w:hint="eastAsia"/>
                <w:color w:val="000000"/>
                <w:kern w:val="0"/>
                <w:sz w:val="20"/>
              </w:rPr>
              <w:t xml:space="preserve">    第五十条第二款　违反本条例规定，排水户不按照污水排入排水管网许可证的要求排放污水的，由城镇排水主管部门责令停止违法行为，限期改正，可以处5万元以下罚款；造成严重后果的，吊销污水排入排水管网许可证，并处5万元以上50万元以下罚款，可以向社会予以通报；造成损失的，依法承担赔偿责任；构成犯罪的，依法追究刑事责任。</w:t>
            </w:r>
          </w:p>
          <w:p w14:paraId="4BA4A8D3">
            <w:pPr>
              <w:spacing w:line="300" w:lineRule="exact"/>
              <w:jc w:val="left"/>
              <w:textAlignment w:val="center"/>
              <w:rPr>
                <w:color w:val="000000"/>
                <w:kern w:val="0"/>
                <w:sz w:val="20"/>
              </w:rPr>
            </w:pPr>
            <w:r>
              <w:rPr>
                <w:rFonts w:hint="eastAsia"/>
                <w:color w:val="000000"/>
                <w:kern w:val="0"/>
                <w:sz w:val="20"/>
              </w:rPr>
              <w:t xml:space="preserve">【规章】《城镇污水排入排水管网许可管理办法》（住房和城乡建设部令第56号）   </w:t>
            </w:r>
          </w:p>
          <w:p w14:paraId="65B046FB">
            <w:pPr>
              <w:spacing w:line="300" w:lineRule="exact"/>
              <w:jc w:val="left"/>
              <w:textAlignment w:val="center"/>
              <w:rPr>
                <w:color w:val="000000"/>
                <w:kern w:val="0"/>
                <w:sz w:val="20"/>
              </w:rPr>
            </w:pPr>
            <w:r>
              <w:rPr>
                <w:rFonts w:hint="eastAsia"/>
                <w:color w:val="000000"/>
                <w:kern w:val="0"/>
                <w:sz w:val="20"/>
              </w:rPr>
              <w:t xml:space="preserve">   　第十三条　排水户应当按照排水许可证确定的排水类别、总量、时限、排放口位置和数量、排放的主要污染物项目和浓度等要求排放污水。</w:t>
            </w:r>
          </w:p>
          <w:p w14:paraId="33185C22">
            <w:pPr>
              <w:spacing w:line="300" w:lineRule="exact"/>
              <w:jc w:val="left"/>
              <w:textAlignment w:val="center"/>
              <w:rPr>
                <w:color w:val="000000"/>
                <w:sz w:val="20"/>
              </w:rPr>
            </w:pPr>
            <w:r>
              <w:rPr>
                <w:rFonts w:hint="eastAsia"/>
                <w:color w:val="000000"/>
                <w:kern w:val="0"/>
                <w:sz w:val="20"/>
              </w:rPr>
              <w:t xml:space="preserve">   第二十八条 排水户未按照排水许可证的要求，向城镇排水设施排放污水的，由城镇排水主管部门责令停止违法行为，限期改正，可以处5万元以下罚款；造成严重后果的，吊销排水许可证，并处5万元以上50万元以下罚款，对列入重点排污单位名录的排水户，处30万元以上50万元以下罚款，并将有关情况通知同级环境保护主管部门，可以向社会予以通报；造成损失的，依法承担赔偿责任；构成犯罪的，依法追究刑事责任。</w:t>
            </w:r>
          </w:p>
        </w:tc>
      </w:tr>
      <w:tr w14:paraId="270D8680">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8A31132">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7126F622">
            <w:pPr>
              <w:spacing w:line="320" w:lineRule="exact"/>
              <w:jc w:val="left"/>
              <w:rPr>
                <w:color w:val="000000"/>
                <w:kern w:val="0"/>
                <w:sz w:val="18"/>
                <w:szCs w:val="18"/>
              </w:rPr>
            </w:pPr>
            <w:r>
              <w:rPr>
                <w:rFonts w:hint="eastAsia"/>
                <w:color w:val="000000"/>
                <w:kern w:val="0"/>
                <w:sz w:val="18"/>
                <w:szCs w:val="18"/>
              </w:rPr>
              <w:t>责令限期改正，罚款，吊销许可，通报</w:t>
            </w:r>
          </w:p>
        </w:tc>
      </w:tr>
      <w:tr w14:paraId="3D8BA70E">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2DF0025D">
            <w:pPr>
              <w:spacing w:line="320" w:lineRule="exact"/>
              <w:jc w:val="center"/>
              <w:rPr>
                <w:color w:val="000000"/>
                <w:kern w:val="0"/>
                <w:sz w:val="18"/>
                <w:szCs w:val="18"/>
              </w:rPr>
            </w:pPr>
            <w:r>
              <w:rPr>
                <w:rFonts w:hint="eastAsia"/>
                <w:color w:val="000000"/>
                <w:kern w:val="0"/>
                <w:sz w:val="18"/>
                <w:szCs w:val="18"/>
              </w:rPr>
              <w:t>裁量基准</w:t>
            </w:r>
          </w:p>
        </w:tc>
      </w:tr>
      <w:tr w14:paraId="67193160">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right w:val="single" w:color="auto" w:sz="4" w:space="0"/>
            </w:tcBorders>
            <w:vAlign w:val="center"/>
          </w:tcPr>
          <w:p w14:paraId="220731C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F093D54">
            <w:pPr>
              <w:spacing w:line="320" w:lineRule="exact"/>
              <w:jc w:val="left"/>
              <w:rPr>
                <w:color w:val="000000"/>
                <w:kern w:val="0"/>
                <w:sz w:val="18"/>
                <w:szCs w:val="18"/>
              </w:rPr>
            </w:pPr>
            <w:r>
              <w:rPr>
                <w:rFonts w:hint="eastAsia"/>
                <w:color w:val="000000"/>
                <w:kern w:val="0"/>
                <w:sz w:val="18"/>
                <w:szCs w:val="18"/>
              </w:rPr>
              <w:t>按照要求改正</w:t>
            </w:r>
          </w:p>
        </w:tc>
        <w:tc>
          <w:tcPr>
            <w:tcW w:w="1000" w:type="dxa"/>
            <w:vMerge w:val="restart"/>
            <w:tcBorders>
              <w:top w:val="nil"/>
              <w:left w:val="single" w:color="auto" w:sz="4" w:space="0"/>
              <w:right w:val="single" w:color="auto" w:sz="4" w:space="0"/>
            </w:tcBorders>
            <w:vAlign w:val="center"/>
          </w:tcPr>
          <w:p w14:paraId="64E18613">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4F2D9D7C">
            <w:pPr>
              <w:spacing w:line="320" w:lineRule="exact"/>
              <w:jc w:val="left"/>
              <w:rPr>
                <w:color w:val="000000"/>
                <w:kern w:val="0"/>
                <w:sz w:val="18"/>
                <w:szCs w:val="18"/>
              </w:rPr>
            </w:pPr>
            <w:r>
              <w:rPr>
                <w:rFonts w:hint="eastAsia"/>
                <w:color w:val="000000"/>
                <w:kern w:val="0"/>
                <w:sz w:val="18"/>
                <w:szCs w:val="18"/>
              </w:rPr>
              <w:t>处3万元以下罚款</w:t>
            </w:r>
          </w:p>
        </w:tc>
      </w:tr>
      <w:tr w14:paraId="57062040">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right w:val="single" w:color="auto" w:sz="4" w:space="0"/>
            </w:tcBorders>
            <w:vAlign w:val="center"/>
          </w:tcPr>
          <w:p w14:paraId="00D02319">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9A307BE">
            <w:pPr>
              <w:spacing w:line="320" w:lineRule="exact"/>
              <w:jc w:val="left"/>
              <w:rPr>
                <w:color w:val="000000"/>
                <w:kern w:val="0"/>
                <w:sz w:val="18"/>
                <w:szCs w:val="18"/>
              </w:rPr>
            </w:pPr>
            <w:r>
              <w:rPr>
                <w:rFonts w:hint="eastAsia"/>
                <w:color w:val="000000"/>
                <w:kern w:val="0"/>
                <w:sz w:val="18"/>
                <w:szCs w:val="18"/>
              </w:rPr>
              <w:t>未按照要求改正</w:t>
            </w:r>
          </w:p>
        </w:tc>
        <w:tc>
          <w:tcPr>
            <w:tcW w:w="1000" w:type="dxa"/>
            <w:vMerge w:val="continue"/>
            <w:tcBorders>
              <w:top w:val="nil"/>
              <w:left w:val="single" w:color="auto" w:sz="4" w:space="0"/>
              <w:right w:val="single" w:color="auto" w:sz="4" w:space="0"/>
            </w:tcBorders>
            <w:vAlign w:val="center"/>
          </w:tcPr>
          <w:p w14:paraId="595E8443">
            <w:pPr>
              <w:spacing w:line="320" w:lineRule="exact"/>
              <w:jc w:val="center"/>
              <w:rPr>
                <w:color w:val="000000"/>
                <w:kern w:val="0"/>
                <w:sz w:val="18"/>
                <w:szCs w:val="18"/>
              </w:rPr>
            </w:pPr>
          </w:p>
        </w:tc>
        <w:tc>
          <w:tcPr>
            <w:tcW w:w="5956" w:type="dxa"/>
            <w:tcBorders>
              <w:top w:val="nil"/>
              <w:left w:val="nil"/>
              <w:bottom w:val="single" w:color="auto" w:sz="4" w:space="0"/>
              <w:right w:val="single" w:color="auto" w:sz="8" w:space="0"/>
            </w:tcBorders>
            <w:vAlign w:val="center"/>
          </w:tcPr>
          <w:p w14:paraId="350789AB">
            <w:pPr>
              <w:spacing w:line="320" w:lineRule="exact"/>
              <w:jc w:val="left"/>
              <w:rPr>
                <w:color w:val="000000"/>
                <w:kern w:val="0"/>
                <w:sz w:val="18"/>
                <w:szCs w:val="18"/>
              </w:rPr>
            </w:pPr>
            <w:r>
              <w:rPr>
                <w:rFonts w:hint="eastAsia"/>
                <w:color w:val="000000"/>
                <w:kern w:val="0"/>
                <w:sz w:val="18"/>
                <w:szCs w:val="18"/>
              </w:rPr>
              <w:t>处3万元以上</w:t>
            </w:r>
            <w:r>
              <w:rPr>
                <w:color w:val="000000"/>
                <w:kern w:val="0"/>
                <w:sz w:val="18"/>
                <w:szCs w:val="18"/>
              </w:rPr>
              <w:t>5</w:t>
            </w:r>
            <w:r>
              <w:rPr>
                <w:rFonts w:hint="eastAsia"/>
                <w:color w:val="000000"/>
                <w:kern w:val="0"/>
                <w:sz w:val="18"/>
                <w:szCs w:val="18"/>
              </w:rPr>
              <w:t>万元以下罚款</w:t>
            </w:r>
          </w:p>
        </w:tc>
      </w:tr>
      <w:tr w14:paraId="47C81D65">
        <w:tblPrEx>
          <w:tblCellMar>
            <w:top w:w="0" w:type="dxa"/>
            <w:left w:w="108" w:type="dxa"/>
            <w:bottom w:w="0" w:type="dxa"/>
            <w:right w:w="108" w:type="dxa"/>
          </w:tblCellMar>
        </w:tblPrEx>
        <w:trPr>
          <w:trHeight w:val="285" w:hRule="atLeast"/>
        </w:trPr>
        <w:tc>
          <w:tcPr>
            <w:tcW w:w="980" w:type="dxa"/>
            <w:vMerge w:val="continue"/>
            <w:tcBorders>
              <w:left w:val="single" w:color="auto" w:sz="8" w:space="0"/>
              <w:right w:val="single" w:color="auto" w:sz="4" w:space="0"/>
            </w:tcBorders>
            <w:vAlign w:val="center"/>
          </w:tcPr>
          <w:p w14:paraId="3142DAE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ECCA7DB">
            <w:pPr>
              <w:spacing w:line="320" w:lineRule="exact"/>
              <w:jc w:val="left"/>
              <w:rPr>
                <w:color w:val="000000"/>
                <w:kern w:val="0"/>
                <w:sz w:val="18"/>
                <w:szCs w:val="18"/>
              </w:rPr>
            </w:pPr>
            <w:r>
              <w:rPr>
                <w:rFonts w:hint="eastAsia"/>
                <w:color w:val="000000"/>
                <w:kern w:val="0"/>
                <w:sz w:val="18"/>
                <w:szCs w:val="18"/>
              </w:rPr>
              <w:t>按照要求改正，但</w:t>
            </w:r>
            <w:r>
              <w:rPr>
                <w:rFonts w:hint="eastAsia"/>
                <w:color w:val="000000"/>
                <w:kern w:val="0"/>
                <w:sz w:val="20"/>
              </w:rPr>
              <w:t>造成严重后果的</w:t>
            </w:r>
          </w:p>
        </w:tc>
        <w:tc>
          <w:tcPr>
            <w:tcW w:w="1000" w:type="dxa"/>
            <w:vMerge w:val="continue"/>
            <w:tcBorders>
              <w:left w:val="single" w:color="auto" w:sz="4" w:space="0"/>
              <w:right w:val="single" w:color="auto" w:sz="4" w:space="0"/>
            </w:tcBorders>
            <w:vAlign w:val="center"/>
          </w:tcPr>
          <w:p w14:paraId="56AD4FF5">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6DA32CA7">
            <w:pPr>
              <w:spacing w:line="320" w:lineRule="exact"/>
              <w:jc w:val="left"/>
              <w:rPr>
                <w:color w:val="000000"/>
                <w:kern w:val="0"/>
                <w:sz w:val="18"/>
                <w:szCs w:val="18"/>
              </w:rPr>
            </w:pPr>
            <w:r>
              <w:rPr>
                <w:rFonts w:hint="eastAsia"/>
                <w:color w:val="000000"/>
                <w:kern w:val="0"/>
                <w:sz w:val="18"/>
                <w:szCs w:val="18"/>
              </w:rPr>
              <w:t>对一般单位：吊销污水排入排水管网许可证，并处5万元以上30万元以下罚款</w:t>
            </w:r>
          </w:p>
          <w:p w14:paraId="3CAA6E71">
            <w:pPr>
              <w:spacing w:line="320" w:lineRule="exact"/>
              <w:jc w:val="left"/>
              <w:rPr>
                <w:color w:val="000000"/>
                <w:kern w:val="0"/>
                <w:sz w:val="18"/>
                <w:szCs w:val="18"/>
              </w:rPr>
            </w:pPr>
            <w:r>
              <w:rPr>
                <w:rFonts w:hint="eastAsia"/>
                <w:color w:val="000000"/>
                <w:kern w:val="0"/>
                <w:sz w:val="18"/>
                <w:szCs w:val="18"/>
              </w:rPr>
              <w:t>重点排污单位名录的排水户：吊销污水排入排水管网许可证，并处30万元以上40万元以下罚款</w:t>
            </w:r>
          </w:p>
        </w:tc>
      </w:tr>
      <w:tr w14:paraId="62B87244">
        <w:tblPrEx>
          <w:tblCellMar>
            <w:top w:w="0" w:type="dxa"/>
            <w:left w:w="108" w:type="dxa"/>
            <w:bottom w:w="0" w:type="dxa"/>
            <w:right w:w="108" w:type="dxa"/>
          </w:tblCellMar>
        </w:tblPrEx>
        <w:trPr>
          <w:trHeight w:val="123" w:hRule="atLeast"/>
        </w:trPr>
        <w:tc>
          <w:tcPr>
            <w:tcW w:w="980" w:type="dxa"/>
            <w:vMerge w:val="continue"/>
            <w:tcBorders>
              <w:left w:val="single" w:color="auto" w:sz="8" w:space="0"/>
              <w:bottom w:val="single" w:color="auto" w:sz="4" w:space="0"/>
              <w:right w:val="single" w:color="auto" w:sz="4" w:space="0"/>
            </w:tcBorders>
            <w:vAlign w:val="center"/>
          </w:tcPr>
          <w:p w14:paraId="693290A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58302E4">
            <w:pPr>
              <w:spacing w:line="320" w:lineRule="exact"/>
              <w:jc w:val="left"/>
              <w:rPr>
                <w:color w:val="000000"/>
                <w:kern w:val="0"/>
                <w:sz w:val="18"/>
                <w:szCs w:val="18"/>
              </w:rPr>
            </w:pPr>
            <w:r>
              <w:rPr>
                <w:rFonts w:hint="eastAsia"/>
                <w:color w:val="000000"/>
                <w:kern w:val="0"/>
                <w:sz w:val="18"/>
                <w:szCs w:val="18"/>
              </w:rPr>
              <w:t>未按照要求改正，</w:t>
            </w:r>
            <w:r>
              <w:rPr>
                <w:rFonts w:hint="eastAsia"/>
                <w:color w:val="000000"/>
                <w:kern w:val="0"/>
                <w:sz w:val="20"/>
              </w:rPr>
              <w:t>造成严重后果的</w:t>
            </w:r>
          </w:p>
        </w:tc>
        <w:tc>
          <w:tcPr>
            <w:tcW w:w="1000" w:type="dxa"/>
            <w:vMerge w:val="continue"/>
            <w:tcBorders>
              <w:left w:val="single" w:color="auto" w:sz="4" w:space="0"/>
              <w:bottom w:val="single" w:color="auto" w:sz="4" w:space="0"/>
              <w:right w:val="single" w:color="auto" w:sz="4" w:space="0"/>
            </w:tcBorders>
            <w:vAlign w:val="center"/>
          </w:tcPr>
          <w:p w14:paraId="72B4CA58">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117A9BDF">
            <w:pPr>
              <w:spacing w:line="320" w:lineRule="exact"/>
              <w:jc w:val="left"/>
              <w:rPr>
                <w:color w:val="000000"/>
                <w:kern w:val="0"/>
                <w:sz w:val="18"/>
                <w:szCs w:val="18"/>
              </w:rPr>
            </w:pPr>
            <w:r>
              <w:rPr>
                <w:rFonts w:hint="eastAsia"/>
                <w:color w:val="000000"/>
                <w:kern w:val="0"/>
                <w:sz w:val="18"/>
                <w:szCs w:val="18"/>
              </w:rPr>
              <w:t>对一般单位：吊销污水排入排水管网许可证，并处30万元以上50万元以下罚款</w:t>
            </w:r>
          </w:p>
          <w:p w14:paraId="62325115">
            <w:pPr>
              <w:spacing w:line="320" w:lineRule="exact"/>
              <w:jc w:val="left"/>
              <w:rPr>
                <w:color w:val="000000"/>
                <w:kern w:val="0"/>
                <w:sz w:val="18"/>
                <w:szCs w:val="18"/>
              </w:rPr>
            </w:pPr>
            <w:r>
              <w:rPr>
                <w:rFonts w:hint="eastAsia"/>
                <w:color w:val="000000"/>
                <w:kern w:val="0"/>
                <w:sz w:val="18"/>
                <w:szCs w:val="18"/>
              </w:rPr>
              <w:t>重点排污单位名录的排水户：吊销污水排入排水管网许可证，并处40万元以上50万元以下罚款</w:t>
            </w:r>
          </w:p>
        </w:tc>
      </w:tr>
    </w:tbl>
    <w:p w14:paraId="44DBDAFA"/>
    <w:p w14:paraId="67380F28"/>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2464C981">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4357F873">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51F6990F">
            <w:pPr>
              <w:spacing w:line="320" w:lineRule="exact"/>
              <w:jc w:val="left"/>
              <w:rPr>
                <w:rFonts w:eastAsia="仿宋_GB2312"/>
                <w:b/>
                <w:bCs/>
                <w:color w:val="000000"/>
                <w:kern w:val="0"/>
                <w:sz w:val="18"/>
                <w:szCs w:val="18"/>
              </w:rPr>
            </w:pPr>
            <w:r>
              <w:rPr>
                <w:rFonts w:eastAsia="仿宋_GB2312"/>
                <w:b/>
                <w:bCs/>
                <w:color w:val="000000"/>
                <w:kern w:val="0"/>
                <w:sz w:val="18"/>
                <w:szCs w:val="18"/>
              </w:rPr>
              <w:t>320217395000</w:t>
            </w:r>
          </w:p>
        </w:tc>
      </w:tr>
      <w:tr w14:paraId="0E277D76">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6EA558AA">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5077D3B2">
            <w:pPr>
              <w:jc w:val="left"/>
              <w:textAlignment w:val="center"/>
              <w:rPr>
                <w:color w:val="000000"/>
                <w:kern w:val="0"/>
                <w:sz w:val="20"/>
              </w:rPr>
            </w:pPr>
            <w:r>
              <w:rPr>
                <w:rFonts w:hint="eastAsia"/>
                <w:color w:val="000000"/>
                <w:kern w:val="0"/>
                <w:sz w:val="20"/>
              </w:rPr>
              <w:t>对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处罚</w:t>
            </w:r>
          </w:p>
        </w:tc>
      </w:tr>
      <w:tr w14:paraId="20545A51">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14E1B686">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78970141">
            <w:pPr>
              <w:jc w:val="left"/>
              <w:textAlignment w:val="center"/>
              <w:rPr>
                <w:color w:val="000000"/>
                <w:kern w:val="0"/>
                <w:sz w:val="20"/>
              </w:rPr>
            </w:pPr>
            <w:r>
              <w:rPr>
                <w:rFonts w:hint="eastAsia"/>
                <w:color w:val="000000"/>
                <w:kern w:val="0"/>
                <w:sz w:val="20"/>
              </w:rPr>
              <w:t>【行政法规】《城镇排水与污水处理条例》（国务院令第</w:t>
            </w:r>
            <w:r>
              <w:rPr>
                <w:color w:val="000000"/>
                <w:kern w:val="0"/>
                <w:sz w:val="20"/>
              </w:rPr>
              <w:t>641</w:t>
            </w:r>
            <w:r>
              <w:rPr>
                <w:rFonts w:hint="eastAsia"/>
                <w:color w:val="000000"/>
                <w:kern w:val="0"/>
                <w:sz w:val="20"/>
              </w:rPr>
              <w:t>号）</w:t>
            </w:r>
            <w:r>
              <w:rPr>
                <w:color w:val="000000"/>
                <w:kern w:val="0"/>
                <w:sz w:val="20"/>
              </w:rPr>
              <w:br w:type="textWrapping"/>
            </w:r>
            <w:r>
              <w:rPr>
                <w:rFonts w:hint="eastAsia"/>
                <w:color w:val="000000"/>
                <w:kern w:val="0"/>
                <w:sz w:val="20"/>
              </w:rPr>
              <w:t>第二十五条　因城镇排水设施维护或者检修可能对排水造成影响的，城镇排水设施维护运营单位应当提前</w:t>
            </w:r>
            <w:r>
              <w:rPr>
                <w:color w:val="000000"/>
                <w:kern w:val="0"/>
                <w:sz w:val="20"/>
              </w:rPr>
              <w:t>24</w:t>
            </w:r>
            <w:r>
              <w:rPr>
                <w:rFonts w:hint="eastAsia"/>
                <w:color w:val="000000"/>
                <w:kern w:val="0"/>
                <w:sz w:val="20"/>
              </w:rPr>
              <w:t>小时通知相关排水户；可能对排水造成严重影响的，应当事先向城镇排水主管部门报告，采取应急处理措施，并向社会公告。</w:t>
            </w:r>
            <w:r>
              <w:rPr>
                <w:color w:val="000000"/>
                <w:kern w:val="0"/>
                <w:sz w:val="20"/>
              </w:rPr>
              <w:br w:type="textWrapping"/>
            </w:r>
            <w:r>
              <w:rPr>
                <w:rFonts w:hint="eastAsia"/>
                <w:color w:val="000000"/>
                <w:kern w:val="0"/>
                <w:sz w:val="20"/>
              </w:rPr>
              <w:t>第二十七条第二款</w:t>
            </w:r>
            <w:r>
              <w:rPr>
                <w:color w:val="000000"/>
                <w:kern w:val="0"/>
                <w:sz w:val="20"/>
              </w:rPr>
              <w:t xml:space="preserve">  </w:t>
            </w:r>
            <w:r>
              <w:rPr>
                <w:rFonts w:hint="eastAsia"/>
                <w:color w:val="000000"/>
                <w:kern w:val="0"/>
                <w:sz w:val="20"/>
              </w:rPr>
              <w:t>城镇排水设施维护运营单位应当按照防汛要求，对城镇排水设施进行全面检查、维护、清疏，确保设施安全运行。</w:t>
            </w:r>
            <w:r>
              <w:rPr>
                <w:color w:val="000000"/>
                <w:kern w:val="0"/>
                <w:sz w:val="20"/>
              </w:rPr>
              <w:br w:type="textWrapping"/>
            </w:r>
            <w:r>
              <w:rPr>
                <w:rFonts w:hint="eastAsia"/>
                <w:color w:val="000000"/>
                <w:kern w:val="0"/>
                <w:sz w:val="20"/>
              </w:rPr>
              <w:t>第五十一条　违反本条例规定，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由城镇排水主管部门责令改正，给予警告；逾期不改正或者造成严重后果的，处</w:t>
            </w:r>
            <w:r>
              <w:rPr>
                <w:color w:val="000000"/>
                <w:kern w:val="0"/>
                <w:sz w:val="20"/>
              </w:rPr>
              <w:t>10</w:t>
            </w:r>
            <w:r>
              <w:rPr>
                <w:rFonts w:hint="eastAsia"/>
                <w:color w:val="000000"/>
                <w:kern w:val="0"/>
                <w:sz w:val="20"/>
              </w:rPr>
              <w:t>万元以上</w:t>
            </w:r>
            <w:r>
              <w:rPr>
                <w:color w:val="000000"/>
                <w:kern w:val="0"/>
                <w:sz w:val="20"/>
              </w:rPr>
              <w:t>20</w:t>
            </w:r>
            <w:r>
              <w:rPr>
                <w:rFonts w:hint="eastAsia"/>
                <w:color w:val="000000"/>
                <w:kern w:val="0"/>
                <w:sz w:val="20"/>
              </w:rPr>
              <w:t>万元以下罚款；造成损失的，依法承担赔偿责任。</w:t>
            </w:r>
          </w:p>
        </w:tc>
      </w:tr>
      <w:tr w14:paraId="2D38AF0B">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0096B32B">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7E331075">
            <w:pPr>
              <w:spacing w:line="320" w:lineRule="exact"/>
              <w:jc w:val="left"/>
              <w:rPr>
                <w:color w:val="000000"/>
                <w:kern w:val="0"/>
                <w:sz w:val="18"/>
                <w:szCs w:val="18"/>
              </w:rPr>
            </w:pPr>
            <w:r>
              <w:rPr>
                <w:rFonts w:hint="eastAsia"/>
                <w:color w:val="000000"/>
                <w:kern w:val="0"/>
                <w:sz w:val="18"/>
                <w:szCs w:val="18"/>
              </w:rPr>
              <w:t>警告；罚款</w:t>
            </w:r>
          </w:p>
        </w:tc>
      </w:tr>
      <w:tr w14:paraId="4D2DCA57">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4511CD0B">
            <w:pPr>
              <w:spacing w:line="320" w:lineRule="exact"/>
              <w:jc w:val="center"/>
              <w:rPr>
                <w:color w:val="000000"/>
                <w:kern w:val="0"/>
                <w:sz w:val="18"/>
                <w:szCs w:val="18"/>
              </w:rPr>
            </w:pPr>
            <w:r>
              <w:rPr>
                <w:rFonts w:hint="eastAsia"/>
                <w:color w:val="000000"/>
                <w:kern w:val="0"/>
                <w:sz w:val="18"/>
                <w:szCs w:val="18"/>
              </w:rPr>
              <w:t>裁量基准</w:t>
            </w:r>
          </w:p>
        </w:tc>
      </w:tr>
      <w:tr w14:paraId="61CB8179">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21CE78F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5B0C0C3">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color="auto" w:sz="4" w:space="0"/>
              <w:bottom w:val="single" w:color="auto" w:sz="4" w:space="0"/>
              <w:right w:val="single" w:color="auto" w:sz="4" w:space="0"/>
            </w:tcBorders>
            <w:vAlign w:val="center"/>
          </w:tcPr>
          <w:p w14:paraId="274489CE">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10DBD92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5FE8683A">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3077324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B8442DB">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val="continue"/>
            <w:tcBorders>
              <w:top w:val="nil"/>
              <w:left w:val="single" w:color="auto" w:sz="4" w:space="0"/>
              <w:bottom w:val="single" w:color="auto" w:sz="4" w:space="0"/>
              <w:right w:val="single" w:color="auto" w:sz="4" w:space="0"/>
            </w:tcBorders>
            <w:vAlign w:val="center"/>
          </w:tcPr>
          <w:p w14:paraId="6FBC6294">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614B887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3E4BA9E5">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447B7A7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CE762E7">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val="continue"/>
            <w:tcBorders>
              <w:top w:val="nil"/>
              <w:left w:val="single" w:color="auto" w:sz="4" w:space="0"/>
              <w:bottom w:val="single" w:color="auto" w:sz="4" w:space="0"/>
              <w:right w:val="single" w:color="auto" w:sz="4" w:space="0"/>
            </w:tcBorders>
            <w:vAlign w:val="center"/>
          </w:tcPr>
          <w:p w14:paraId="4B300686">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6F3D2E5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14:paraId="31C1FB21"/>
    <w:p w14:paraId="13C11853"/>
    <w:p w14:paraId="0547D737"/>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26905CDC">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476E6862">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427556AD">
            <w:pPr>
              <w:spacing w:line="320" w:lineRule="exact"/>
              <w:jc w:val="left"/>
              <w:rPr>
                <w:rFonts w:eastAsia="仿宋_GB2312"/>
                <w:b/>
                <w:bCs/>
                <w:color w:val="000000"/>
                <w:kern w:val="0"/>
                <w:sz w:val="18"/>
                <w:szCs w:val="18"/>
              </w:rPr>
            </w:pPr>
            <w:r>
              <w:rPr>
                <w:rFonts w:eastAsia="仿宋_GB2312"/>
                <w:b/>
                <w:bCs/>
                <w:color w:val="000000"/>
                <w:kern w:val="0"/>
                <w:sz w:val="18"/>
                <w:szCs w:val="18"/>
              </w:rPr>
              <w:t>320217397000</w:t>
            </w:r>
          </w:p>
        </w:tc>
      </w:tr>
      <w:tr w14:paraId="07445C35">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7C142C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7A780288">
            <w:pPr>
              <w:spacing w:line="320" w:lineRule="exact"/>
              <w:jc w:val="left"/>
              <w:rPr>
                <w:color w:val="000000"/>
                <w:kern w:val="0"/>
                <w:sz w:val="18"/>
                <w:szCs w:val="18"/>
              </w:rPr>
            </w:pPr>
            <w:r>
              <w:rPr>
                <w:rFonts w:hint="eastAsia"/>
                <w:color w:val="000000"/>
                <w:kern w:val="0"/>
                <w:sz w:val="18"/>
                <w:szCs w:val="18"/>
              </w:rPr>
              <w:t>对专业管理单位未移交地下管线工程档案的处罚</w:t>
            </w:r>
          </w:p>
        </w:tc>
      </w:tr>
      <w:tr w14:paraId="1D721AF1">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13F0746C">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22BD3F94">
            <w:pPr>
              <w:rPr>
                <w:color w:val="000000"/>
                <w:sz w:val="18"/>
                <w:szCs w:val="18"/>
              </w:rPr>
            </w:pPr>
            <w:r>
              <w:rPr>
                <w:color w:val="000000"/>
              </w:rPr>
              <w:t xml:space="preserve">   </w:t>
            </w:r>
            <w:r>
              <w:rPr>
                <w:rFonts w:hint="eastAsia"/>
                <w:color w:val="000000"/>
                <w:sz w:val="18"/>
                <w:szCs w:val="18"/>
              </w:rPr>
              <w:t>【规章】《城市地下管线工程档案管理办法》（建设部令第</w:t>
            </w:r>
            <w:r>
              <w:rPr>
                <w:color w:val="000000"/>
                <w:sz w:val="18"/>
                <w:szCs w:val="18"/>
              </w:rPr>
              <w:t>136</w:t>
            </w:r>
            <w:r>
              <w:rPr>
                <w:rFonts w:hint="eastAsia"/>
                <w:color w:val="000000"/>
                <w:sz w:val="18"/>
                <w:szCs w:val="18"/>
              </w:rPr>
              <w:t>号）</w:t>
            </w:r>
          </w:p>
          <w:p w14:paraId="20FB8B9D">
            <w:pPr>
              <w:ind w:firstLine="360" w:firstLineChars="200"/>
              <w:rPr>
                <w:color w:val="000000"/>
              </w:rPr>
            </w:pPr>
            <w:r>
              <w:rPr>
                <w:rFonts w:hint="eastAsia"/>
                <w:color w:val="000000"/>
                <w:sz w:val="18"/>
                <w:szCs w:val="18"/>
              </w:rPr>
              <w:t>第十八条</w:t>
            </w:r>
            <w:r>
              <w:rPr>
                <w:color w:val="000000"/>
                <w:sz w:val="18"/>
                <w:szCs w:val="18"/>
              </w:rPr>
              <w:t xml:space="preserve"> </w:t>
            </w:r>
            <w:r>
              <w:rPr>
                <w:rFonts w:hint="eastAsia"/>
                <w:color w:val="000000"/>
                <w:sz w:val="18"/>
                <w:szCs w:val="18"/>
              </w:rPr>
              <w:t>地下管线专业管理单位违反本办法规定，未移交地下管线工程档案的，由建设主管部门责令改正，处</w:t>
            </w:r>
            <w:r>
              <w:rPr>
                <w:color w:val="000000"/>
                <w:sz w:val="18"/>
                <w:szCs w:val="18"/>
              </w:rPr>
              <w:t>1</w:t>
            </w:r>
            <w:r>
              <w:rPr>
                <w:rFonts w:hint="eastAsia"/>
                <w:color w:val="000000"/>
                <w:sz w:val="18"/>
                <w:szCs w:val="18"/>
              </w:rPr>
              <w:t>万元以下的罚款；因地下管线专业管理单位未移交地下管线工程档案，造成施工单位在施工中损坏地下管线的，地下管线专业管理单位依法承担相应的责任。</w:t>
            </w:r>
          </w:p>
        </w:tc>
      </w:tr>
      <w:tr w14:paraId="55FAAB98">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5F6E411">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21EEE8A4">
            <w:pPr>
              <w:spacing w:line="320" w:lineRule="exact"/>
              <w:jc w:val="left"/>
              <w:rPr>
                <w:color w:val="000000"/>
                <w:kern w:val="0"/>
                <w:sz w:val="18"/>
                <w:szCs w:val="18"/>
              </w:rPr>
            </w:pPr>
            <w:r>
              <w:rPr>
                <w:rFonts w:hint="eastAsia"/>
                <w:color w:val="000000"/>
                <w:kern w:val="0"/>
                <w:sz w:val="18"/>
                <w:szCs w:val="18"/>
              </w:rPr>
              <w:t>罚款</w:t>
            </w:r>
          </w:p>
        </w:tc>
      </w:tr>
      <w:tr w14:paraId="48122194">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4E9ADC2">
            <w:pPr>
              <w:spacing w:line="320" w:lineRule="exact"/>
              <w:jc w:val="center"/>
              <w:rPr>
                <w:color w:val="000000"/>
                <w:kern w:val="0"/>
                <w:sz w:val="18"/>
                <w:szCs w:val="18"/>
              </w:rPr>
            </w:pPr>
            <w:r>
              <w:rPr>
                <w:rFonts w:hint="eastAsia"/>
                <w:color w:val="000000"/>
                <w:kern w:val="0"/>
                <w:sz w:val="18"/>
                <w:szCs w:val="18"/>
              </w:rPr>
              <w:t>裁量基准</w:t>
            </w:r>
          </w:p>
        </w:tc>
      </w:tr>
      <w:tr w14:paraId="098919F1">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58C2222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6DF23F7">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val="restart"/>
            <w:tcBorders>
              <w:top w:val="nil"/>
              <w:left w:val="single" w:color="auto" w:sz="4" w:space="0"/>
              <w:bottom w:val="single" w:color="auto" w:sz="4" w:space="0"/>
              <w:right w:val="single" w:color="auto" w:sz="4" w:space="0"/>
            </w:tcBorders>
            <w:vAlign w:val="center"/>
          </w:tcPr>
          <w:p w14:paraId="6101FBDD">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5BEF1FB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元以下罚款</w:t>
            </w:r>
          </w:p>
        </w:tc>
      </w:tr>
      <w:tr w14:paraId="47473A62">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4D6D6AF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40CCD85">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val="continue"/>
            <w:tcBorders>
              <w:top w:val="nil"/>
              <w:left w:val="single" w:color="auto" w:sz="4" w:space="0"/>
              <w:bottom w:val="single" w:color="auto" w:sz="4" w:space="0"/>
              <w:right w:val="single" w:color="auto" w:sz="4" w:space="0"/>
            </w:tcBorders>
            <w:vAlign w:val="center"/>
          </w:tcPr>
          <w:p w14:paraId="136AFA38">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D19856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41F972E5">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4F5D772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C5701F7">
            <w:pPr>
              <w:spacing w:line="320" w:lineRule="exact"/>
              <w:jc w:val="left"/>
              <w:rPr>
                <w:color w:val="000000"/>
                <w:kern w:val="0"/>
                <w:sz w:val="18"/>
                <w:szCs w:val="18"/>
              </w:rPr>
            </w:pPr>
            <w:r>
              <w:rPr>
                <w:rFonts w:hint="eastAsia"/>
                <w:color w:val="000000"/>
                <w:kern w:val="0"/>
                <w:sz w:val="18"/>
                <w:szCs w:val="18"/>
              </w:rPr>
              <w:t>未按照要求改正且未造成施工单位在施工中损坏地下管线的</w:t>
            </w:r>
          </w:p>
        </w:tc>
        <w:tc>
          <w:tcPr>
            <w:tcW w:w="1080" w:type="dxa"/>
            <w:vMerge w:val="continue"/>
            <w:tcBorders>
              <w:top w:val="nil"/>
              <w:left w:val="single" w:color="auto" w:sz="4" w:space="0"/>
              <w:bottom w:val="single" w:color="auto" w:sz="4" w:space="0"/>
              <w:right w:val="single" w:color="auto" w:sz="4" w:space="0"/>
            </w:tcBorders>
            <w:vAlign w:val="center"/>
          </w:tcPr>
          <w:p w14:paraId="4231A832">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8896FC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14:paraId="15EB9360">
        <w:tblPrEx>
          <w:tblCellMar>
            <w:top w:w="0" w:type="dxa"/>
            <w:left w:w="108" w:type="dxa"/>
            <w:bottom w:w="0" w:type="dxa"/>
            <w:right w:w="108" w:type="dxa"/>
          </w:tblCellMar>
        </w:tblPrEx>
        <w:trPr>
          <w:trHeight w:val="401" w:hRule="atLeast"/>
        </w:trPr>
        <w:tc>
          <w:tcPr>
            <w:tcW w:w="1070" w:type="dxa"/>
            <w:vMerge w:val="continue"/>
            <w:tcBorders>
              <w:top w:val="nil"/>
              <w:left w:val="single" w:color="auto" w:sz="8" w:space="0"/>
              <w:bottom w:val="single" w:color="auto" w:sz="4" w:space="0"/>
              <w:right w:val="single" w:color="auto" w:sz="4" w:space="0"/>
            </w:tcBorders>
            <w:vAlign w:val="center"/>
          </w:tcPr>
          <w:p w14:paraId="1724EF2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8964D97">
            <w:pPr>
              <w:spacing w:line="320" w:lineRule="exact"/>
              <w:jc w:val="left"/>
              <w:rPr>
                <w:color w:val="000000"/>
                <w:kern w:val="0"/>
                <w:sz w:val="18"/>
                <w:szCs w:val="18"/>
              </w:rPr>
            </w:pPr>
            <w:r>
              <w:rPr>
                <w:rFonts w:hint="eastAsia"/>
                <w:color w:val="000000"/>
                <w:kern w:val="0"/>
                <w:sz w:val="18"/>
                <w:szCs w:val="18"/>
              </w:rPr>
              <w:t>未按要求改正且造成施工单位在施工中损坏地下管线的</w:t>
            </w:r>
          </w:p>
        </w:tc>
        <w:tc>
          <w:tcPr>
            <w:tcW w:w="1080" w:type="dxa"/>
            <w:vMerge w:val="continue"/>
            <w:tcBorders>
              <w:top w:val="nil"/>
              <w:left w:val="single" w:color="auto" w:sz="4" w:space="0"/>
              <w:bottom w:val="single" w:color="auto" w:sz="4" w:space="0"/>
              <w:right w:val="single" w:color="auto" w:sz="4" w:space="0"/>
            </w:tcBorders>
            <w:vAlign w:val="center"/>
          </w:tcPr>
          <w:p w14:paraId="49B2F26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D77D48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63D72339"/>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707FB528">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F55811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10510B0">
            <w:pPr>
              <w:spacing w:line="320" w:lineRule="exact"/>
              <w:jc w:val="left"/>
              <w:rPr>
                <w:rFonts w:eastAsia="仿宋_GB2312"/>
                <w:b/>
                <w:bCs/>
                <w:color w:val="000000"/>
                <w:kern w:val="0"/>
                <w:sz w:val="18"/>
                <w:szCs w:val="18"/>
              </w:rPr>
            </w:pPr>
            <w:r>
              <w:rPr>
                <w:rFonts w:eastAsia="仿宋_GB2312"/>
                <w:b/>
                <w:bCs/>
                <w:color w:val="000000"/>
                <w:kern w:val="0"/>
                <w:sz w:val="18"/>
                <w:szCs w:val="18"/>
              </w:rPr>
              <w:t>320217398000</w:t>
            </w:r>
            <w:r>
              <w:rPr>
                <w:rFonts w:hint="eastAsia" w:eastAsia="仿宋_GB2312"/>
                <w:b/>
                <w:bCs/>
                <w:color w:val="000000"/>
                <w:kern w:val="0"/>
                <w:sz w:val="18"/>
                <w:szCs w:val="18"/>
              </w:rPr>
              <w:t xml:space="preserve"> </w:t>
            </w:r>
          </w:p>
        </w:tc>
      </w:tr>
      <w:tr w14:paraId="11D09222">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996678D">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1EF7C815">
            <w:pPr>
              <w:spacing w:line="320" w:lineRule="exact"/>
              <w:jc w:val="left"/>
              <w:rPr>
                <w:color w:val="000000"/>
                <w:kern w:val="0"/>
                <w:sz w:val="18"/>
                <w:szCs w:val="18"/>
              </w:rPr>
            </w:pPr>
            <w:r>
              <w:rPr>
                <w:rFonts w:hint="eastAsia"/>
                <w:color w:val="000000"/>
                <w:kern w:val="0"/>
                <w:sz w:val="18"/>
                <w:szCs w:val="18"/>
              </w:rPr>
              <w:t>对房地产经纪机构和房地产经纪人员为不符合交易条件的保障性住房和禁止交易的房屋提供经纪服务的处罚</w:t>
            </w:r>
          </w:p>
        </w:tc>
      </w:tr>
      <w:tr w14:paraId="3D20F36F">
        <w:tblPrEx>
          <w:tblCellMar>
            <w:top w:w="0" w:type="dxa"/>
            <w:left w:w="108" w:type="dxa"/>
            <w:bottom w:w="0" w:type="dxa"/>
            <w:right w:w="108" w:type="dxa"/>
          </w:tblCellMar>
        </w:tblPrEx>
        <w:trPr>
          <w:trHeight w:val="1635" w:hRule="atLeast"/>
        </w:trPr>
        <w:tc>
          <w:tcPr>
            <w:tcW w:w="1010" w:type="dxa"/>
            <w:tcBorders>
              <w:top w:val="nil"/>
              <w:left w:val="single" w:color="auto" w:sz="8" w:space="0"/>
              <w:bottom w:val="single" w:color="auto" w:sz="4" w:space="0"/>
              <w:right w:val="single" w:color="auto" w:sz="4" w:space="0"/>
            </w:tcBorders>
            <w:vAlign w:val="center"/>
          </w:tcPr>
          <w:p w14:paraId="0B8DE97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1A7CB3A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488262EC">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14:paraId="7AAEB7CF">
            <w:pPr>
              <w:spacing w:line="320" w:lineRule="exact"/>
              <w:jc w:val="left"/>
              <w:rPr>
                <w:color w:val="000000"/>
                <w:kern w:val="0"/>
                <w:sz w:val="18"/>
                <w:szCs w:val="18"/>
              </w:rPr>
            </w:pPr>
            <w:r>
              <w:rPr>
                <w:rFonts w:hint="eastAsia"/>
                <w:color w:val="000000"/>
                <w:kern w:val="0"/>
                <w:sz w:val="18"/>
                <w:szCs w:val="18"/>
              </w:rPr>
              <w:t>（九）为不符合交易条件的保障性住房和禁止交易的房屋提供经纪服务。</w:t>
            </w:r>
          </w:p>
          <w:p w14:paraId="1A83E536">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14:paraId="494645CF">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3B62A67">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482024B">
            <w:pPr>
              <w:spacing w:line="320" w:lineRule="exact"/>
              <w:jc w:val="left"/>
              <w:rPr>
                <w:color w:val="000000"/>
                <w:kern w:val="0"/>
                <w:sz w:val="18"/>
                <w:szCs w:val="18"/>
              </w:rPr>
            </w:pPr>
            <w:r>
              <w:rPr>
                <w:rFonts w:hint="eastAsia"/>
                <w:color w:val="000000"/>
                <w:kern w:val="0"/>
                <w:sz w:val="18"/>
                <w:szCs w:val="18"/>
              </w:rPr>
              <w:t>罚款</w:t>
            </w:r>
          </w:p>
        </w:tc>
      </w:tr>
      <w:tr w14:paraId="40DCAE90">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574FAAC">
            <w:pPr>
              <w:spacing w:line="320" w:lineRule="exact"/>
              <w:jc w:val="center"/>
              <w:rPr>
                <w:color w:val="000000"/>
                <w:kern w:val="0"/>
                <w:sz w:val="18"/>
                <w:szCs w:val="18"/>
              </w:rPr>
            </w:pPr>
            <w:r>
              <w:rPr>
                <w:rFonts w:hint="eastAsia"/>
                <w:color w:val="000000"/>
                <w:kern w:val="0"/>
                <w:sz w:val="18"/>
                <w:szCs w:val="18"/>
              </w:rPr>
              <w:t>裁量基准</w:t>
            </w:r>
          </w:p>
        </w:tc>
      </w:tr>
      <w:tr w14:paraId="0D2C194C">
        <w:tblPrEx>
          <w:tblCellMar>
            <w:top w:w="0" w:type="dxa"/>
            <w:left w:w="108" w:type="dxa"/>
            <w:bottom w:w="0" w:type="dxa"/>
            <w:right w:w="108" w:type="dxa"/>
          </w:tblCellMar>
        </w:tblPrEx>
        <w:trPr>
          <w:trHeight w:val="347" w:hRule="atLeast"/>
        </w:trPr>
        <w:tc>
          <w:tcPr>
            <w:tcW w:w="1010" w:type="dxa"/>
            <w:tcBorders>
              <w:top w:val="nil"/>
              <w:left w:val="single" w:color="auto" w:sz="8" w:space="0"/>
              <w:bottom w:val="single" w:color="auto" w:sz="4" w:space="0"/>
              <w:right w:val="single" w:color="auto" w:sz="4" w:space="0"/>
            </w:tcBorders>
            <w:vAlign w:val="center"/>
          </w:tcPr>
          <w:p w14:paraId="716AE35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C4FD820">
            <w:pPr>
              <w:spacing w:line="320" w:lineRule="exact"/>
              <w:jc w:val="left"/>
              <w:rPr>
                <w:color w:val="000000"/>
                <w:kern w:val="0"/>
                <w:sz w:val="18"/>
                <w:szCs w:val="18"/>
              </w:rPr>
            </w:pPr>
          </w:p>
        </w:tc>
        <w:tc>
          <w:tcPr>
            <w:tcW w:w="1000" w:type="dxa"/>
            <w:tcBorders>
              <w:top w:val="nil"/>
              <w:left w:val="single" w:color="auto" w:sz="4" w:space="0"/>
              <w:bottom w:val="single" w:color="auto" w:sz="4" w:space="0"/>
              <w:right w:val="single" w:color="auto" w:sz="4" w:space="0"/>
            </w:tcBorders>
            <w:vAlign w:val="center"/>
          </w:tcPr>
          <w:p w14:paraId="3CDC3450">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155D91E9">
            <w:pPr>
              <w:spacing w:line="320" w:lineRule="exact"/>
              <w:jc w:val="left"/>
              <w:rPr>
                <w:color w:val="000000"/>
                <w:kern w:val="0"/>
                <w:sz w:val="18"/>
                <w:szCs w:val="18"/>
              </w:rPr>
            </w:pPr>
          </w:p>
        </w:tc>
      </w:tr>
    </w:tbl>
    <w:p w14:paraId="24A1D137"/>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113392A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D6DC779">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4" w:space="0"/>
              <w:bottom w:val="single" w:color="auto" w:sz="4" w:space="0"/>
              <w:right w:val="single" w:color="auto" w:sz="4" w:space="0"/>
            </w:tcBorders>
          </w:tcPr>
          <w:p w14:paraId="403798A3">
            <w:pPr>
              <w:spacing w:line="320" w:lineRule="exact"/>
              <w:rPr>
                <w:b/>
                <w:color w:val="000000"/>
                <w:kern w:val="0"/>
                <w:sz w:val="18"/>
                <w:szCs w:val="18"/>
              </w:rPr>
            </w:pPr>
            <w:r>
              <w:rPr>
                <w:b/>
                <w:color w:val="000000"/>
                <w:kern w:val="0"/>
                <w:sz w:val="18"/>
                <w:szCs w:val="18"/>
              </w:rPr>
              <w:t>320217399000</w:t>
            </w:r>
          </w:p>
        </w:tc>
      </w:tr>
      <w:tr w14:paraId="136A7DDB">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475BE50">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auto" w:sz="4" w:space="0"/>
            </w:tcBorders>
            <w:vAlign w:val="center"/>
          </w:tcPr>
          <w:p w14:paraId="4FADD8F3">
            <w:pPr>
              <w:spacing w:line="320" w:lineRule="exact"/>
              <w:rPr>
                <w:color w:val="000000"/>
                <w:kern w:val="0"/>
                <w:sz w:val="18"/>
                <w:szCs w:val="18"/>
              </w:rPr>
            </w:pPr>
            <w:r>
              <w:rPr>
                <w:rFonts w:hint="eastAsia"/>
                <w:color w:val="000000"/>
                <w:kern w:val="0"/>
                <w:sz w:val="18"/>
                <w:szCs w:val="18"/>
              </w:rPr>
              <w:t>对注册造价工程师或者其聘用单位未按照要求提供注册造价工程师信用档案信息的处罚</w:t>
            </w:r>
          </w:p>
        </w:tc>
      </w:tr>
      <w:tr w14:paraId="0AB429B4">
        <w:tblPrEx>
          <w:tblCellMar>
            <w:top w:w="0" w:type="dxa"/>
            <w:left w:w="108" w:type="dxa"/>
            <w:bottom w:w="0" w:type="dxa"/>
            <w:right w:w="108" w:type="dxa"/>
          </w:tblCellMar>
        </w:tblPrEx>
        <w:trPr>
          <w:trHeight w:val="1140" w:hRule="atLeast"/>
        </w:trPr>
        <w:tc>
          <w:tcPr>
            <w:tcW w:w="1056" w:type="dxa"/>
            <w:tcBorders>
              <w:top w:val="nil"/>
              <w:left w:val="single" w:color="auto" w:sz="8" w:space="0"/>
              <w:bottom w:val="single" w:color="auto" w:sz="4" w:space="0"/>
              <w:right w:val="single" w:color="auto" w:sz="4" w:space="0"/>
            </w:tcBorders>
            <w:vAlign w:val="center"/>
          </w:tcPr>
          <w:p w14:paraId="06A232EA">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auto" w:sz="4" w:space="0"/>
            </w:tcBorders>
            <w:vAlign w:val="center"/>
          </w:tcPr>
          <w:p w14:paraId="7B2B4FC8">
            <w:pPr>
              <w:spacing w:line="320" w:lineRule="exact"/>
              <w:rPr>
                <w:color w:val="000000"/>
                <w:kern w:val="0"/>
                <w:sz w:val="18"/>
                <w:szCs w:val="18"/>
              </w:rPr>
            </w:pPr>
            <w:r>
              <w:rPr>
                <w:rFonts w:hint="eastAsia"/>
                <w:color w:val="000000"/>
                <w:kern w:val="0"/>
                <w:sz w:val="18"/>
                <w:szCs w:val="18"/>
              </w:rPr>
              <w:t>【规章】《注册造价工程师管理办法》（建设部令第150号发布，根据住房和城乡建设部令第32号，住房和城乡建设部令第50号修正）</w:t>
            </w:r>
          </w:p>
          <w:p w14:paraId="03F40E1B">
            <w:pPr>
              <w:spacing w:line="320" w:lineRule="exact"/>
              <w:rPr>
                <w:color w:val="000000"/>
                <w:kern w:val="0"/>
                <w:sz w:val="18"/>
                <w:szCs w:val="18"/>
              </w:rPr>
            </w:pPr>
            <w:r>
              <w:rPr>
                <w:rFonts w:hint="eastAsia"/>
                <w:color w:val="000000"/>
                <w:kern w:val="0"/>
                <w:sz w:val="18"/>
                <w:szCs w:val="18"/>
              </w:rPr>
              <w:t xml:space="preserve">      第三十条第一款　注册造价工程师及其聘用单位应当按照有关规定，向注册机关提供真实、准确、完整的注册造价工程师信用档案信息。</w:t>
            </w:r>
          </w:p>
          <w:p w14:paraId="491E157B">
            <w:pPr>
              <w:spacing w:line="320" w:lineRule="exact"/>
              <w:rPr>
                <w:color w:val="000000"/>
                <w:kern w:val="0"/>
                <w:sz w:val="18"/>
                <w:szCs w:val="18"/>
              </w:rPr>
            </w:pPr>
            <w:r>
              <w:rPr>
                <w:rFonts w:hint="eastAsia"/>
                <w:color w:val="000000"/>
                <w:kern w:val="0"/>
                <w:sz w:val="18"/>
                <w:szCs w:val="18"/>
              </w:rPr>
              <w:t>　　第二款  注册造价工程师信用档案应当包括造价工程师的基本情况、业绩、良好行为、不良行为等内容。违法违规行为、被投诉举报处理、行政处罚等情况应当作为造价工程师的不良行为记入其信用档案。</w:t>
            </w:r>
          </w:p>
          <w:p w14:paraId="12FBAAFE">
            <w:pPr>
              <w:spacing w:line="320" w:lineRule="exact"/>
              <w:rPr>
                <w:color w:val="000000"/>
                <w:kern w:val="0"/>
                <w:sz w:val="18"/>
                <w:szCs w:val="18"/>
              </w:rPr>
            </w:pPr>
            <w:r>
              <w:rPr>
                <w:rFonts w:hint="eastAsia"/>
                <w:color w:val="000000"/>
                <w:kern w:val="0"/>
                <w:sz w:val="18"/>
                <w:szCs w:val="18"/>
              </w:rPr>
              <w:t>　   第三十七条　违反本办法规定，注册造价工程师或者其聘用单位未按照要求提供造价工程师信用档案信息的，由县级以上地方人民政府住房城乡建设主管部门或者其他有关部门责令限期改正；逾期未改正的，可处以1000元以上1万元以下的罚款。</w:t>
            </w:r>
          </w:p>
        </w:tc>
      </w:tr>
      <w:tr w14:paraId="0C31BC9D">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1A3EA98">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auto" w:sz="4" w:space="0"/>
            </w:tcBorders>
            <w:vAlign w:val="center"/>
          </w:tcPr>
          <w:p w14:paraId="3D55408F">
            <w:pPr>
              <w:spacing w:line="320" w:lineRule="exact"/>
              <w:jc w:val="left"/>
              <w:rPr>
                <w:color w:val="000000"/>
                <w:kern w:val="0"/>
                <w:sz w:val="18"/>
                <w:szCs w:val="18"/>
              </w:rPr>
            </w:pPr>
            <w:r>
              <w:rPr>
                <w:rFonts w:hint="eastAsia"/>
                <w:color w:val="000000"/>
                <w:kern w:val="0"/>
                <w:sz w:val="18"/>
                <w:szCs w:val="18"/>
              </w:rPr>
              <w:t>责令限期改正，罚款</w:t>
            </w:r>
          </w:p>
        </w:tc>
      </w:tr>
      <w:tr w14:paraId="3C02C067">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4" w:space="0"/>
              <w:bottom w:val="single" w:color="auto" w:sz="4" w:space="0"/>
              <w:right w:val="single" w:color="auto" w:sz="4" w:space="0"/>
            </w:tcBorders>
            <w:vAlign w:val="center"/>
          </w:tcPr>
          <w:p w14:paraId="1F35A0BA">
            <w:pPr>
              <w:spacing w:line="320" w:lineRule="exact"/>
              <w:jc w:val="center"/>
              <w:rPr>
                <w:color w:val="000000"/>
                <w:kern w:val="0"/>
                <w:sz w:val="18"/>
                <w:szCs w:val="18"/>
              </w:rPr>
            </w:pPr>
            <w:r>
              <w:rPr>
                <w:rFonts w:hint="eastAsia"/>
                <w:color w:val="000000"/>
                <w:kern w:val="0"/>
                <w:sz w:val="18"/>
                <w:szCs w:val="18"/>
              </w:rPr>
              <w:t>裁量基准</w:t>
            </w:r>
          </w:p>
        </w:tc>
      </w:tr>
      <w:tr w14:paraId="42178F25">
        <w:tblPrEx>
          <w:tblCellMar>
            <w:top w:w="0" w:type="dxa"/>
            <w:left w:w="108" w:type="dxa"/>
            <w:bottom w:w="0" w:type="dxa"/>
            <w:right w:w="108" w:type="dxa"/>
          </w:tblCellMar>
        </w:tblPrEx>
        <w:trPr>
          <w:trHeight w:val="480" w:hRule="atLeast"/>
        </w:trPr>
        <w:tc>
          <w:tcPr>
            <w:tcW w:w="1056" w:type="dxa"/>
            <w:vMerge w:val="restart"/>
            <w:tcBorders>
              <w:top w:val="single" w:color="auto" w:sz="4" w:space="0"/>
              <w:left w:val="single" w:color="auto" w:sz="4" w:space="0"/>
              <w:bottom w:val="single" w:color="auto" w:sz="4" w:space="0"/>
              <w:right w:val="single" w:color="auto" w:sz="4" w:space="0"/>
            </w:tcBorders>
            <w:vAlign w:val="center"/>
          </w:tcPr>
          <w:p w14:paraId="1FF37EC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7B1B651">
            <w:pPr>
              <w:spacing w:line="320" w:lineRule="exact"/>
              <w:jc w:val="center"/>
              <w:rPr>
                <w:color w:val="000000"/>
                <w:kern w:val="0"/>
                <w:sz w:val="18"/>
                <w:szCs w:val="18"/>
              </w:rPr>
            </w:pPr>
            <w:r>
              <w:rPr>
                <w:rFonts w:hint="eastAsia"/>
                <w:color w:val="000000"/>
                <w:kern w:val="0"/>
                <w:sz w:val="18"/>
                <w:szCs w:val="18"/>
              </w:rPr>
              <w:t>提供的信息不准确、不完整，逾期未改正的</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0220028E">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nil"/>
              <w:bottom w:val="single" w:color="auto" w:sz="4" w:space="0"/>
              <w:right w:val="single" w:color="auto" w:sz="4" w:space="0"/>
            </w:tcBorders>
            <w:vAlign w:val="center"/>
          </w:tcPr>
          <w:p w14:paraId="7A1538F7">
            <w:pPr>
              <w:spacing w:line="320" w:lineRule="exact"/>
              <w:jc w:val="center"/>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p w14:paraId="4C6D7126">
            <w:pPr>
              <w:spacing w:line="320" w:lineRule="exact"/>
              <w:jc w:val="center"/>
              <w:rPr>
                <w:color w:val="000000"/>
                <w:kern w:val="0"/>
                <w:sz w:val="18"/>
                <w:szCs w:val="18"/>
              </w:rPr>
            </w:pPr>
            <w:r>
              <w:rPr>
                <w:rFonts w:hint="eastAsia"/>
                <w:color w:val="000000"/>
                <w:kern w:val="0"/>
                <w:sz w:val="18"/>
                <w:szCs w:val="18"/>
              </w:rPr>
              <w:t>对单位：</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69225C60">
        <w:tblPrEx>
          <w:tblCellMar>
            <w:top w:w="0" w:type="dxa"/>
            <w:left w:w="108" w:type="dxa"/>
            <w:bottom w:w="0" w:type="dxa"/>
            <w:right w:w="108" w:type="dxa"/>
          </w:tblCellMar>
        </w:tblPrEx>
        <w:trPr>
          <w:trHeight w:val="480" w:hRule="atLeast"/>
        </w:trPr>
        <w:tc>
          <w:tcPr>
            <w:tcW w:w="1056" w:type="dxa"/>
            <w:vMerge w:val="continue"/>
            <w:tcBorders>
              <w:top w:val="single" w:color="auto" w:sz="4" w:space="0"/>
              <w:left w:val="single" w:color="auto" w:sz="4" w:space="0"/>
              <w:bottom w:val="single" w:color="auto" w:sz="4" w:space="0"/>
              <w:right w:val="single" w:color="auto" w:sz="4" w:space="0"/>
            </w:tcBorders>
            <w:vAlign w:val="center"/>
          </w:tcPr>
          <w:p w14:paraId="5A1BABB8">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AF243F5">
            <w:pPr>
              <w:spacing w:line="320" w:lineRule="exact"/>
              <w:jc w:val="center"/>
              <w:rPr>
                <w:color w:val="000000"/>
                <w:kern w:val="0"/>
                <w:sz w:val="18"/>
                <w:szCs w:val="18"/>
              </w:rPr>
            </w:pPr>
            <w:r>
              <w:rPr>
                <w:rFonts w:hint="eastAsia"/>
                <w:color w:val="000000"/>
                <w:kern w:val="0"/>
                <w:sz w:val="18"/>
                <w:szCs w:val="18"/>
              </w:rPr>
              <w:t>提供的信息不真实的，逾期未改正的</w:t>
            </w:r>
          </w:p>
        </w:tc>
        <w:tc>
          <w:tcPr>
            <w:tcW w:w="1044" w:type="dxa"/>
            <w:vMerge w:val="continue"/>
            <w:tcBorders>
              <w:top w:val="single" w:color="auto" w:sz="4" w:space="0"/>
              <w:left w:val="single" w:color="auto" w:sz="4" w:space="0"/>
              <w:bottom w:val="single" w:color="auto" w:sz="4" w:space="0"/>
              <w:right w:val="single" w:color="auto" w:sz="4" w:space="0"/>
            </w:tcBorders>
            <w:vAlign w:val="center"/>
          </w:tcPr>
          <w:p w14:paraId="090A5D8C">
            <w:pPr>
              <w:spacing w:line="320" w:lineRule="exact"/>
              <w:jc w:val="center"/>
              <w:rPr>
                <w:color w:val="000000"/>
                <w:kern w:val="0"/>
                <w:sz w:val="18"/>
                <w:szCs w:val="18"/>
              </w:rPr>
            </w:pPr>
          </w:p>
        </w:tc>
        <w:tc>
          <w:tcPr>
            <w:tcW w:w="5820" w:type="dxa"/>
            <w:tcBorders>
              <w:top w:val="single" w:color="auto" w:sz="4" w:space="0"/>
              <w:left w:val="nil"/>
              <w:bottom w:val="single" w:color="auto" w:sz="4" w:space="0"/>
              <w:right w:val="single" w:color="auto" w:sz="4" w:space="0"/>
            </w:tcBorders>
            <w:vAlign w:val="center"/>
          </w:tcPr>
          <w:p w14:paraId="207C5912">
            <w:pPr>
              <w:spacing w:line="320" w:lineRule="exact"/>
              <w:jc w:val="center"/>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p w14:paraId="2EFF4D54">
            <w:pPr>
              <w:spacing w:line="320" w:lineRule="exact"/>
              <w:jc w:val="center"/>
              <w:rPr>
                <w:color w:val="000000"/>
                <w:kern w:val="0"/>
                <w:sz w:val="18"/>
                <w:szCs w:val="18"/>
              </w:rPr>
            </w:pPr>
            <w:r>
              <w:rPr>
                <w:rFonts w:hint="eastAsia"/>
                <w:color w:val="000000"/>
                <w:kern w:val="0"/>
                <w:sz w:val="18"/>
                <w:szCs w:val="18"/>
              </w:rPr>
              <w:t>对单位：</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27E6D15B">
        <w:tblPrEx>
          <w:tblCellMar>
            <w:top w:w="0" w:type="dxa"/>
            <w:left w:w="108" w:type="dxa"/>
            <w:bottom w:w="0" w:type="dxa"/>
            <w:right w:w="108" w:type="dxa"/>
          </w:tblCellMar>
        </w:tblPrEx>
        <w:trPr>
          <w:trHeight w:val="480" w:hRule="atLeast"/>
        </w:trPr>
        <w:tc>
          <w:tcPr>
            <w:tcW w:w="1056" w:type="dxa"/>
            <w:vMerge w:val="continue"/>
            <w:tcBorders>
              <w:top w:val="single" w:color="auto" w:sz="4" w:space="0"/>
              <w:left w:val="single" w:color="auto" w:sz="4" w:space="0"/>
              <w:bottom w:val="single" w:color="auto" w:sz="4" w:space="0"/>
              <w:right w:val="single" w:color="auto" w:sz="4" w:space="0"/>
            </w:tcBorders>
            <w:vAlign w:val="center"/>
          </w:tcPr>
          <w:p w14:paraId="1E0121A9">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1F42C65">
            <w:pPr>
              <w:spacing w:line="320" w:lineRule="exact"/>
              <w:jc w:val="center"/>
              <w:rPr>
                <w:color w:val="000000"/>
                <w:kern w:val="0"/>
                <w:sz w:val="18"/>
                <w:szCs w:val="18"/>
              </w:rPr>
            </w:pPr>
            <w:r>
              <w:rPr>
                <w:rFonts w:hint="eastAsia"/>
                <w:color w:val="000000"/>
                <w:kern w:val="0"/>
                <w:sz w:val="18"/>
                <w:szCs w:val="18"/>
              </w:rPr>
              <w:t>提供的信息不真实、不准确、不完整，逾期未改正的</w:t>
            </w:r>
          </w:p>
        </w:tc>
        <w:tc>
          <w:tcPr>
            <w:tcW w:w="1044" w:type="dxa"/>
            <w:vMerge w:val="continue"/>
            <w:tcBorders>
              <w:top w:val="single" w:color="auto" w:sz="4" w:space="0"/>
              <w:left w:val="single" w:color="auto" w:sz="4" w:space="0"/>
              <w:bottom w:val="single" w:color="auto" w:sz="4" w:space="0"/>
              <w:right w:val="single" w:color="auto" w:sz="4" w:space="0"/>
            </w:tcBorders>
            <w:vAlign w:val="center"/>
          </w:tcPr>
          <w:p w14:paraId="5728BD99">
            <w:pPr>
              <w:spacing w:line="320" w:lineRule="exact"/>
              <w:jc w:val="center"/>
              <w:rPr>
                <w:color w:val="000000"/>
                <w:kern w:val="0"/>
                <w:sz w:val="18"/>
                <w:szCs w:val="18"/>
              </w:rPr>
            </w:pPr>
          </w:p>
        </w:tc>
        <w:tc>
          <w:tcPr>
            <w:tcW w:w="5820" w:type="dxa"/>
            <w:tcBorders>
              <w:top w:val="single" w:color="auto" w:sz="4" w:space="0"/>
              <w:left w:val="nil"/>
              <w:bottom w:val="single" w:color="auto" w:sz="4" w:space="0"/>
              <w:right w:val="single" w:color="auto" w:sz="4" w:space="0"/>
            </w:tcBorders>
            <w:vAlign w:val="center"/>
          </w:tcPr>
          <w:p w14:paraId="1E80DE9D">
            <w:pPr>
              <w:spacing w:line="320" w:lineRule="exact"/>
              <w:jc w:val="center"/>
              <w:rPr>
                <w:color w:val="000000"/>
                <w:kern w:val="0"/>
                <w:sz w:val="18"/>
                <w:szCs w:val="18"/>
              </w:rPr>
            </w:pPr>
            <w:r>
              <w:rPr>
                <w:rFonts w:hint="eastAsia"/>
                <w:color w:val="000000"/>
                <w:kern w:val="0"/>
                <w:sz w:val="18"/>
                <w:szCs w:val="18"/>
              </w:rPr>
              <w:t>对个人：</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p w14:paraId="007FA31C">
            <w:pPr>
              <w:spacing w:line="320" w:lineRule="exact"/>
              <w:jc w:val="center"/>
              <w:rPr>
                <w:color w:val="000000"/>
                <w:kern w:val="0"/>
                <w:sz w:val="18"/>
                <w:szCs w:val="18"/>
              </w:rPr>
            </w:pPr>
            <w:r>
              <w:rPr>
                <w:rFonts w:hint="eastAsia"/>
                <w:color w:val="000000"/>
                <w:kern w:val="0"/>
                <w:sz w:val="18"/>
                <w:szCs w:val="18"/>
              </w:rPr>
              <w:t>对单位：</w:t>
            </w: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14:paraId="7BA0A57D"/>
    <w:p w14:paraId="582F6A21"/>
    <w:p w14:paraId="4217375A"/>
    <w:p w14:paraId="3D1C6393"/>
    <w:p w14:paraId="74FC16DB"/>
    <w:p w14:paraId="5C3471DF"/>
    <w:p w14:paraId="2A45EA7B"/>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2824F64F">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12C00B5F">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35F66276">
            <w:pPr>
              <w:spacing w:line="320" w:lineRule="exact"/>
              <w:rPr>
                <w:b/>
                <w:color w:val="000000"/>
                <w:kern w:val="0"/>
                <w:sz w:val="18"/>
                <w:szCs w:val="18"/>
              </w:rPr>
            </w:pPr>
            <w:r>
              <w:rPr>
                <w:b/>
                <w:color w:val="000000"/>
                <w:kern w:val="0"/>
                <w:sz w:val="18"/>
                <w:szCs w:val="18"/>
              </w:rPr>
              <w:t>320217400000</w:t>
            </w:r>
            <w:r>
              <w:rPr>
                <w:rFonts w:hint="eastAsia"/>
                <w:b/>
                <w:color w:val="000000"/>
                <w:kern w:val="0"/>
                <w:sz w:val="18"/>
                <w:szCs w:val="18"/>
              </w:rPr>
              <w:t xml:space="preserve"> </w:t>
            </w:r>
          </w:p>
        </w:tc>
      </w:tr>
      <w:tr w14:paraId="03289722">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1FDE9EC">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33E6A0F9">
            <w:pPr>
              <w:spacing w:line="320" w:lineRule="exact"/>
              <w:rPr>
                <w:color w:val="000000"/>
                <w:kern w:val="0"/>
                <w:sz w:val="18"/>
                <w:szCs w:val="18"/>
              </w:rPr>
            </w:pPr>
            <w:r>
              <w:rPr>
                <w:rFonts w:hint="eastAsia"/>
                <w:color w:val="000000"/>
                <w:kern w:val="0"/>
                <w:sz w:val="18"/>
                <w:szCs w:val="18"/>
              </w:rPr>
              <w:t>对招标人将必须进行招标的项目不招标的、将必须进行招标的项目化整为零或者以其他方式规避招标的处罚</w:t>
            </w:r>
          </w:p>
        </w:tc>
      </w:tr>
      <w:tr w14:paraId="7B12D339">
        <w:tblPrEx>
          <w:tblCellMar>
            <w:top w:w="0" w:type="dxa"/>
            <w:left w:w="108" w:type="dxa"/>
            <w:bottom w:w="0" w:type="dxa"/>
            <w:right w:w="108" w:type="dxa"/>
          </w:tblCellMar>
        </w:tblPrEx>
        <w:trPr>
          <w:trHeight w:val="1740" w:hRule="atLeast"/>
        </w:trPr>
        <w:tc>
          <w:tcPr>
            <w:tcW w:w="1070" w:type="dxa"/>
            <w:tcBorders>
              <w:top w:val="nil"/>
              <w:left w:val="single" w:color="auto" w:sz="8" w:space="0"/>
              <w:bottom w:val="single" w:color="auto" w:sz="4" w:space="0"/>
              <w:right w:val="single" w:color="auto" w:sz="4" w:space="0"/>
            </w:tcBorders>
            <w:vAlign w:val="center"/>
          </w:tcPr>
          <w:p w14:paraId="53C2843F">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Pr>
          <w:p w14:paraId="1251FA35">
            <w:pPr>
              <w:spacing w:line="320" w:lineRule="exac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type="textWrapping"/>
            </w:r>
            <w:r>
              <w:rPr>
                <w:rFonts w:hint="eastAsia"/>
                <w:color w:val="000000"/>
                <w:kern w:val="0"/>
                <w:sz w:val="18"/>
                <w:szCs w:val="18"/>
              </w:rPr>
              <w:t>第四条　任何单位和个人不得将依法必须进行招标的项目化整为零或者以其他任何方式规避招标。</w:t>
            </w:r>
            <w:r>
              <w:rPr>
                <w:color w:val="000000"/>
                <w:kern w:val="0"/>
                <w:sz w:val="18"/>
                <w:szCs w:val="18"/>
              </w:rPr>
              <w:br w:type="textWrapping"/>
            </w:r>
            <w:r>
              <w:rPr>
                <w:rFonts w:hint="eastAsia"/>
                <w:color w:val="000000"/>
                <w:kern w:val="0"/>
                <w:sz w:val="18"/>
                <w:szCs w:val="18"/>
              </w:rPr>
              <w:t>第四十九条　违反本法规定，必须进行招标的项目而不招标的，将必须进行招标的项目化整为零或者以其他任何方式规避招标的，责令限期改正，可以处项目合同金额千分之五以上千分之十以下的罚款</w:t>
            </w:r>
            <w:r>
              <w:rPr>
                <w:color w:val="000000"/>
                <w:kern w:val="0"/>
                <w:sz w:val="18"/>
                <w:szCs w:val="18"/>
              </w:rPr>
              <w:t>;</w:t>
            </w:r>
            <w:r>
              <w:rPr>
                <w:rFonts w:hint="eastAsia"/>
                <w:color w:val="000000"/>
                <w:kern w:val="0"/>
                <w:sz w:val="18"/>
                <w:szCs w:val="18"/>
              </w:rPr>
              <w:t>对全部或者部分使用国有资金的项目，可以暂停项目执行或者暂停资金拨付</w:t>
            </w:r>
            <w:r>
              <w:rPr>
                <w:color w:val="000000"/>
                <w:kern w:val="0"/>
                <w:sz w:val="18"/>
                <w:szCs w:val="18"/>
              </w:rPr>
              <w:t>;</w:t>
            </w:r>
            <w:r>
              <w:rPr>
                <w:rFonts w:hint="eastAsia"/>
                <w:color w:val="000000"/>
                <w:kern w:val="0"/>
                <w:sz w:val="18"/>
                <w:szCs w:val="18"/>
              </w:rPr>
              <w:t>对单位直接负责的主管人员和其他直接责任人员依法给予处分。</w:t>
            </w:r>
            <w:r>
              <w:rPr>
                <w:color w:val="000000"/>
                <w:kern w:val="0"/>
                <w:sz w:val="18"/>
                <w:szCs w:val="18"/>
              </w:rPr>
              <w:br w:type="textWrapping"/>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【规章】《工程建设项目施工招标投标办法》（国家发展和改革委员会、工业和信息化部、财政部、住房和城乡建设部、交通运输部、铁道部、水利部、国家广播电影电视总局、中国民用航空局令第</w:t>
            </w:r>
            <w:r>
              <w:rPr>
                <w:color w:val="000000"/>
                <w:kern w:val="0"/>
                <w:sz w:val="18"/>
                <w:szCs w:val="18"/>
              </w:rPr>
              <w:t>30</w:t>
            </w:r>
            <w:r>
              <w:rPr>
                <w:rFonts w:hint="eastAsia"/>
                <w:color w:val="000000"/>
                <w:kern w:val="0"/>
                <w:sz w:val="18"/>
                <w:szCs w:val="18"/>
              </w:rPr>
              <w:t>号，已根据《关于废止和修改部分招标投标规章和规范性文件的决定》修改）</w:t>
            </w:r>
            <w:r>
              <w:rPr>
                <w:color w:val="000000"/>
                <w:kern w:val="0"/>
                <w:sz w:val="18"/>
                <w:szCs w:val="18"/>
              </w:rPr>
              <w:br w:type="textWrapping"/>
            </w:r>
            <w:r>
              <w:rPr>
                <w:rFonts w:hint="eastAsia"/>
                <w:color w:val="000000"/>
                <w:kern w:val="0"/>
                <w:sz w:val="18"/>
                <w:szCs w:val="18"/>
              </w:rPr>
              <w:t>第三条</w:t>
            </w:r>
            <w:r>
              <w:rPr>
                <w:color w:val="000000"/>
                <w:kern w:val="0"/>
                <w:sz w:val="18"/>
                <w:szCs w:val="18"/>
              </w:rPr>
              <w:t xml:space="preserve"> </w:t>
            </w:r>
            <w:r>
              <w:rPr>
                <w:rFonts w:hint="eastAsia"/>
                <w:color w:val="000000"/>
                <w:kern w:val="0"/>
                <w:sz w:val="18"/>
                <w:szCs w:val="18"/>
              </w:rPr>
              <w:t>工程建设项目符合《工程建设项目招标范围和规模标准规定》（国家计委令第</w:t>
            </w:r>
            <w:r>
              <w:rPr>
                <w:color w:val="000000"/>
                <w:kern w:val="0"/>
                <w:sz w:val="18"/>
                <w:szCs w:val="18"/>
              </w:rPr>
              <w:t>3</w:t>
            </w:r>
            <w:r>
              <w:rPr>
                <w:rFonts w:hint="eastAsia"/>
                <w:color w:val="000000"/>
                <w:kern w:val="0"/>
                <w:sz w:val="18"/>
                <w:szCs w:val="18"/>
              </w:rPr>
              <w:t>号）规定的范围和标准的，必须通过招标选择施工单位。任何单位和个人不得将依法必须进行招标的项目化整为零或者以其他任何方式规避招标。</w:t>
            </w:r>
            <w:r>
              <w:rPr>
                <w:color w:val="000000"/>
                <w:kern w:val="0"/>
                <w:sz w:val="18"/>
                <w:szCs w:val="18"/>
              </w:rPr>
              <w:br w:type="textWrapping"/>
            </w:r>
            <w:r>
              <w:rPr>
                <w:rFonts w:hint="eastAsia"/>
                <w:color w:val="000000"/>
                <w:kern w:val="0"/>
                <w:sz w:val="18"/>
                <w:szCs w:val="18"/>
              </w:rPr>
              <w:t>第六十八条</w:t>
            </w:r>
            <w:r>
              <w:rPr>
                <w:color w:val="000000"/>
                <w:kern w:val="0"/>
                <w:sz w:val="18"/>
                <w:szCs w:val="18"/>
              </w:rPr>
              <w:t xml:space="preserve"> </w:t>
            </w:r>
            <w:r>
              <w:rPr>
                <w:rFonts w:hint="eastAsia"/>
                <w:color w:val="000000"/>
                <w:kern w:val="0"/>
                <w:sz w:val="18"/>
                <w:szCs w:val="18"/>
              </w:rPr>
              <w:t>依法必须进行招标的项目而不招标的，将必须进行招标的项目化整为零或者以其他任何方式规避招标的，有关行政监督部门责令限期改正，可以处项目合同金额千分之五以上千分之十以下的罚款；对全部或者部分使用国有资金的项目，项目审批部门可以暂停项目执行或者暂停资金拨付；对单位直接负责的主管人员和其他直接责任人员依法给予处分。</w:t>
            </w:r>
          </w:p>
        </w:tc>
      </w:tr>
      <w:tr w14:paraId="4FA7968A">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F600681">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1AC2BC77">
            <w:pPr>
              <w:spacing w:line="320" w:lineRule="exact"/>
              <w:jc w:val="left"/>
              <w:rPr>
                <w:color w:val="000000"/>
                <w:kern w:val="0"/>
                <w:sz w:val="18"/>
                <w:szCs w:val="18"/>
              </w:rPr>
            </w:pPr>
            <w:r>
              <w:rPr>
                <w:rFonts w:hint="eastAsia"/>
                <w:color w:val="000000"/>
                <w:kern w:val="0"/>
                <w:sz w:val="18"/>
                <w:szCs w:val="18"/>
              </w:rPr>
              <w:t>罚款</w:t>
            </w:r>
          </w:p>
        </w:tc>
      </w:tr>
      <w:tr w14:paraId="7F6177C4">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6FA5D1AD">
            <w:pPr>
              <w:spacing w:line="320" w:lineRule="exact"/>
              <w:jc w:val="center"/>
              <w:rPr>
                <w:color w:val="000000"/>
                <w:kern w:val="0"/>
                <w:sz w:val="18"/>
                <w:szCs w:val="18"/>
              </w:rPr>
            </w:pPr>
            <w:r>
              <w:rPr>
                <w:rFonts w:hint="eastAsia"/>
                <w:color w:val="000000"/>
                <w:kern w:val="0"/>
                <w:sz w:val="18"/>
                <w:szCs w:val="18"/>
              </w:rPr>
              <w:t>裁量基准</w:t>
            </w:r>
          </w:p>
        </w:tc>
      </w:tr>
      <w:tr w14:paraId="0F9A92F9">
        <w:tblPrEx>
          <w:tblCellMar>
            <w:top w:w="0" w:type="dxa"/>
            <w:left w:w="108" w:type="dxa"/>
            <w:bottom w:w="0" w:type="dxa"/>
            <w:right w:w="108" w:type="dxa"/>
          </w:tblCellMar>
        </w:tblPrEx>
        <w:trPr>
          <w:trHeight w:val="1090" w:hRule="atLeast"/>
        </w:trPr>
        <w:tc>
          <w:tcPr>
            <w:tcW w:w="1070" w:type="dxa"/>
            <w:vMerge w:val="restart"/>
            <w:tcBorders>
              <w:top w:val="single" w:color="auto" w:sz="4" w:space="0"/>
              <w:left w:val="single" w:color="auto" w:sz="4" w:space="0"/>
              <w:bottom w:val="single" w:color="auto" w:sz="4" w:space="0"/>
              <w:right w:val="single" w:color="auto" w:sz="4" w:space="0"/>
            </w:tcBorders>
            <w:vAlign w:val="center"/>
          </w:tcPr>
          <w:p w14:paraId="55E7FB0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2EE9066">
            <w:pPr>
              <w:spacing w:line="320" w:lineRule="exact"/>
              <w:jc w:val="left"/>
              <w:rPr>
                <w:color w:val="000000"/>
                <w:kern w:val="0"/>
                <w:sz w:val="18"/>
                <w:szCs w:val="18"/>
              </w:rPr>
            </w:pPr>
            <w:r>
              <w:rPr>
                <w:rFonts w:hint="eastAsia"/>
                <w:color w:val="000000"/>
                <w:kern w:val="0"/>
                <w:sz w:val="18"/>
                <w:szCs w:val="18"/>
              </w:rPr>
              <w:t>按照要求改正的</w:t>
            </w:r>
          </w:p>
        </w:tc>
        <w:tc>
          <w:tcPr>
            <w:tcW w:w="1106" w:type="dxa"/>
            <w:vMerge w:val="restart"/>
            <w:tcBorders>
              <w:top w:val="single" w:color="auto" w:sz="4" w:space="0"/>
              <w:left w:val="single" w:color="auto" w:sz="4" w:space="0"/>
              <w:bottom w:val="single" w:color="auto" w:sz="4" w:space="0"/>
              <w:right w:val="single" w:color="auto" w:sz="4" w:space="0"/>
            </w:tcBorders>
            <w:vAlign w:val="center"/>
          </w:tcPr>
          <w:p w14:paraId="19A95854">
            <w:pPr>
              <w:spacing w:line="320" w:lineRule="exact"/>
              <w:jc w:val="center"/>
              <w:rPr>
                <w:color w:val="000000"/>
                <w:kern w:val="0"/>
                <w:sz w:val="18"/>
                <w:szCs w:val="18"/>
              </w:rPr>
            </w:pPr>
            <w:r>
              <w:rPr>
                <w:rFonts w:hint="eastAsia"/>
                <w:color w:val="000000"/>
                <w:kern w:val="0"/>
                <w:sz w:val="18"/>
                <w:szCs w:val="18"/>
              </w:rPr>
              <w:t>裁量幅度</w:t>
            </w:r>
          </w:p>
        </w:tc>
        <w:tc>
          <w:tcPr>
            <w:tcW w:w="5714" w:type="dxa"/>
            <w:tcBorders>
              <w:top w:val="single" w:color="auto" w:sz="4" w:space="0"/>
              <w:left w:val="nil"/>
              <w:bottom w:val="single" w:color="auto" w:sz="4" w:space="0"/>
              <w:right w:val="single" w:color="auto" w:sz="4" w:space="0"/>
            </w:tcBorders>
            <w:vAlign w:val="center"/>
          </w:tcPr>
          <w:p w14:paraId="321263E3">
            <w:pPr>
              <w:spacing w:line="320" w:lineRule="exact"/>
              <w:jc w:val="left"/>
              <w:rPr>
                <w:color w:val="000000"/>
                <w:kern w:val="0"/>
                <w:sz w:val="18"/>
                <w:szCs w:val="18"/>
              </w:rPr>
            </w:pPr>
            <w:r>
              <w:rPr>
                <w:rFonts w:hint="eastAsia"/>
                <w:color w:val="000000"/>
                <w:kern w:val="0"/>
                <w:sz w:val="18"/>
                <w:szCs w:val="18"/>
              </w:rPr>
              <w:t>项目合同金额</w:t>
            </w:r>
            <w:r>
              <w:rPr>
                <w:color w:val="000000"/>
                <w:kern w:val="0"/>
                <w:sz w:val="18"/>
                <w:szCs w:val="18"/>
              </w:rPr>
              <w:t>5‰~8‰</w:t>
            </w:r>
            <w:r>
              <w:rPr>
                <w:rFonts w:hint="eastAsia"/>
                <w:color w:val="000000"/>
                <w:kern w:val="0"/>
                <w:sz w:val="18"/>
                <w:szCs w:val="18"/>
              </w:rPr>
              <w:t>罚款</w:t>
            </w:r>
          </w:p>
        </w:tc>
      </w:tr>
      <w:tr w14:paraId="63DF089B">
        <w:tblPrEx>
          <w:tblCellMar>
            <w:top w:w="0" w:type="dxa"/>
            <w:left w:w="108" w:type="dxa"/>
            <w:bottom w:w="0" w:type="dxa"/>
            <w:right w:w="108" w:type="dxa"/>
          </w:tblCellMar>
        </w:tblPrEx>
        <w:trPr>
          <w:trHeight w:val="1090" w:hRule="atLeast"/>
        </w:trPr>
        <w:tc>
          <w:tcPr>
            <w:tcW w:w="1070" w:type="dxa"/>
            <w:vMerge w:val="continue"/>
            <w:tcBorders>
              <w:top w:val="single" w:color="auto" w:sz="4" w:space="0"/>
              <w:left w:val="single" w:color="auto" w:sz="4" w:space="0"/>
              <w:bottom w:val="single" w:color="auto" w:sz="4" w:space="0"/>
              <w:right w:val="single" w:color="auto" w:sz="4" w:space="0"/>
            </w:tcBorders>
            <w:vAlign w:val="center"/>
          </w:tcPr>
          <w:p w14:paraId="1DD72D9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1CB9D05">
            <w:pPr>
              <w:spacing w:line="320" w:lineRule="exact"/>
              <w:jc w:val="left"/>
              <w:rPr>
                <w:color w:val="000000"/>
                <w:kern w:val="0"/>
                <w:sz w:val="18"/>
                <w:szCs w:val="18"/>
              </w:rPr>
            </w:pPr>
            <w:r>
              <w:rPr>
                <w:rFonts w:hint="eastAsia"/>
                <w:color w:val="000000"/>
                <w:kern w:val="0"/>
                <w:sz w:val="18"/>
                <w:szCs w:val="18"/>
              </w:rPr>
              <w:t>未按照要求改正的</w:t>
            </w:r>
          </w:p>
        </w:tc>
        <w:tc>
          <w:tcPr>
            <w:tcW w:w="1106" w:type="dxa"/>
            <w:vMerge w:val="continue"/>
            <w:tcBorders>
              <w:top w:val="single" w:color="auto" w:sz="4" w:space="0"/>
              <w:left w:val="single" w:color="auto" w:sz="4" w:space="0"/>
              <w:bottom w:val="single" w:color="auto" w:sz="4" w:space="0"/>
              <w:right w:val="single" w:color="auto" w:sz="4" w:space="0"/>
            </w:tcBorders>
            <w:vAlign w:val="center"/>
          </w:tcPr>
          <w:p w14:paraId="148820F7">
            <w:pPr>
              <w:spacing w:line="320" w:lineRule="exact"/>
              <w:jc w:val="left"/>
              <w:rPr>
                <w:color w:val="000000"/>
                <w:kern w:val="0"/>
                <w:sz w:val="18"/>
                <w:szCs w:val="18"/>
              </w:rPr>
            </w:pPr>
          </w:p>
        </w:tc>
        <w:tc>
          <w:tcPr>
            <w:tcW w:w="5714" w:type="dxa"/>
            <w:tcBorders>
              <w:top w:val="single" w:color="auto" w:sz="4" w:space="0"/>
              <w:left w:val="nil"/>
              <w:bottom w:val="single" w:color="auto" w:sz="4" w:space="0"/>
              <w:right w:val="single" w:color="auto" w:sz="4" w:space="0"/>
            </w:tcBorders>
            <w:vAlign w:val="center"/>
          </w:tcPr>
          <w:p w14:paraId="50EE019C">
            <w:pPr>
              <w:spacing w:line="320" w:lineRule="exact"/>
              <w:jc w:val="left"/>
              <w:rPr>
                <w:color w:val="000000"/>
                <w:kern w:val="0"/>
                <w:sz w:val="18"/>
                <w:szCs w:val="18"/>
              </w:rPr>
            </w:pPr>
            <w:r>
              <w:rPr>
                <w:rFonts w:hint="eastAsia"/>
                <w:color w:val="000000"/>
                <w:kern w:val="0"/>
                <w:sz w:val="18"/>
                <w:szCs w:val="18"/>
              </w:rPr>
              <w:t>项目合同金额</w:t>
            </w:r>
            <w:r>
              <w:rPr>
                <w:color w:val="000000"/>
                <w:kern w:val="0"/>
                <w:sz w:val="18"/>
                <w:szCs w:val="18"/>
              </w:rPr>
              <w:t>8‰~10‰</w:t>
            </w:r>
            <w:r>
              <w:rPr>
                <w:rFonts w:hint="eastAsia"/>
                <w:color w:val="000000"/>
                <w:kern w:val="0"/>
                <w:sz w:val="18"/>
                <w:szCs w:val="18"/>
              </w:rPr>
              <w:t>罚款</w:t>
            </w:r>
          </w:p>
        </w:tc>
      </w:tr>
    </w:tbl>
    <w:p w14:paraId="4BA04CC4"/>
    <w:p w14:paraId="62F518BC"/>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0737905C">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1EDAB0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4B869070">
            <w:pPr>
              <w:spacing w:line="320" w:lineRule="exact"/>
              <w:jc w:val="left"/>
              <w:rPr>
                <w:rFonts w:eastAsia="仿宋_GB2312"/>
                <w:b/>
                <w:bCs/>
                <w:color w:val="000000"/>
                <w:kern w:val="0"/>
                <w:sz w:val="18"/>
                <w:szCs w:val="18"/>
              </w:rPr>
            </w:pPr>
            <w:r>
              <w:rPr>
                <w:rFonts w:eastAsia="仿宋_GB2312"/>
                <w:b/>
                <w:bCs/>
                <w:color w:val="000000"/>
                <w:kern w:val="0"/>
                <w:sz w:val="18"/>
                <w:szCs w:val="18"/>
              </w:rPr>
              <w:t>320217402000</w:t>
            </w:r>
          </w:p>
        </w:tc>
      </w:tr>
      <w:tr w14:paraId="1E26C50D">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479A71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131D66D5">
            <w:pPr>
              <w:spacing w:line="320" w:lineRule="exact"/>
              <w:jc w:val="left"/>
              <w:rPr>
                <w:color w:val="000000"/>
                <w:kern w:val="0"/>
                <w:sz w:val="18"/>
                <w:szCs w:val="18"/>
              </w:rPr>
            </w:pPr>
            <w:r>
              <w:rPr>
                <w:rFonts w:hint="eastAsia"/>
                <w:color w:val="000000"/>
                <w:kern w:val="0"/>
                <w:sz w:val="18"/>
                <w:szCs w:val="18"/>
              </w:rPr>
              <w:t>对承租人改变所承租公共租赁住房用途的处罚</w:t>
            </w:r>
          </w:p>
        </w:tc>
      </w:tr>
      <w:tr w14:paraId="150B09E0">
        <w:tblPrEx>
          <w:tblCellMar>
            <w:top w:w="0" w:type="dxa"/>
            <w:left w:w="108" w:type="dxa"/>
            <w:bottom w:w="0" w:type="dxa"/>
            <w:right w:w="108" w:type="dxa"/>
          </w:tblCellMar>
        </w:tblPrEx>
        <w:trPr>
          <w:trHeight w:val="1704" w:hRule="atLeast"/>
        </w:trPr>
        <w:tc>
          <w:tcPr>
            <w:tcW w:w="1010" w:type="dxa"/>
            <w:tcBorders>
              <w:top w:val="nil"/>
              <w:left w:val="single" w:color="auto" w:sz="8" w:space="0"/>
              <w:bottom w:val="single" w:color="auto" w:sz="4" w:space="0"/>
              <w:right w:val="single" w:color="auto" w:sz="4" w:space="0"/>
            </w:tcBorders>
            <w:vAlign w:val="center"/>
          </w:tcPr>
          <w:p w14:paraId="7E2EE9B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2E430CA0">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14:paraId="19424E34">
            <w:pPr>
              <w:spacing w:line="320" w:lineRule="exact"/>
              <w:jc w:val="left"/>
              <w:rPr>
                <w:color w:val="000000"/>
                <w:kern w:val="0"/>
                <w:sz w:val="18"/>
                <w:szCs w:val="18"/>
              </w:rPr>
            </w:pP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倍以下但不超过</w:t>
            </w:r>
            <w:r>
              <w:rPr>
                <w:color w:val="000000"/>
                <w:kern w:val="0"/>
                <w:sz w:val="18"/>
                <w:szCs w:val="18"/>
              </w:rPr>
              <w:t>3</w:t>
            </w:r>
            <w:r>
              <w:rPr>
                <w:rFonts w:hint="eastAsia"/>
                <w:color w:val="000000"/>
                <w:kern w:val="0"/>
                <w:sz w:val="18"/>
                <w:szCs w:val="18"/>
              </w:rPr>
              <w:t>万元的罚款</w:t>
            </w:r>
          </w:p>
          <w:p w14:paraId="4F6DA48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（二）改变所承租公共租赁住房用途的；</w:t>
            </w:r>
          </w:p>
          <w:p w14:paraId="70DB3024">
            <w:pPr>
              <w:spacing w:line="320" w:lineRule="exact"/>
              <w:ind w:firstLine="360" w:firstLineChars="200"/>
              <w:jc w:val="left"/>
              <w:rPr>
                <w:color w:val="000000"/>
                <w:kern w:val="0"/>
                <w:sz w:val="18"/>
                <w:szCs w:val="18"/>
              </w:rPr>
            </w:pPr>
            <w:r>
              <w:rPr>
                <w:rFonts w:hint="eastAsia"/>
                <w:color w:val="000000"/>
                <w:kern w:val="0"/>
                <w:sz w:val="18"/>
                <w:szCs w:val="18"/>
              </w:rPr>
              <w:t>有前款所列行为，承租人自退回公共租赁住房之日起五年内不得再次申请公共租赁住房；造成损失的，依法承担赔偿责任。</w:t>
            </w:r>
          </w:p>
        </w:tc>
      </w:tr>
      <w:tr w14:paraId="4D7F0A0D">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20BE44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017ADC86">
            <w:pPr>
              <w:spacing w:line="320" w:lineRule="exact"/>
              <w:jc w:val="left"/>
              <w:rPr>
                <w:color w:val="000000"/>
                <w:kern w:val="0"/>
                <w:sz w:val="18"/>
                <w:szCs w:val="18"/>
              </w:rPr>
            </w:pPr>
            <w:r>
              <w:rPr>
                <w:rFonts w:hint="eastAsia"/>
                <w:color w:val="000000"/>
                <w:kern w:val="0"/>
                <w:sz w:val="18"/>
                <w:szCs w:val="18"/>
              </w:rPr>
              <w:t>罚款</w:t>
            </w:r>
          </w:p>
        </w:tc>
      </w:tr>
      <w:tr w14:paraId="34DA76D1">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654E31B">
            <w:pPr>
              <w:spacing w:line="320" w:lineRule="exact"/>
              <w:jc w:val="center"/>
              <w:rPr>
                <w:color w:val="000000"/>
                <w:kern w:val="0"/>
                <w:sz w:val="18"/>
                <w:szCs w:val="18"/>
              </w:rPr>
            </w:pPr>
            <w:r>
              <w:rPr>
                <w:rFonts w:hint="eastAsia"/>
                <w:color w:val="000000"/>
                <w:kern w:val="0"/>
                <w:sz w:val="18"/>
                <w:szCs w:val="18"/>
              </w:rPr>
              <w:t>裁量基准</w:t>
            </w:r>
          </w:p>
        </w:tc>
      </w:tr>
      <w:tr w14:paraId="38BCE9FE">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68366DE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26E6AC8">
            <w:pPr>
              <w:spacing w:line="320" w:lineRule="exact"/>
              <w:jc w:val="left"/>
              <w:rPr>
                <w:color w:val="000000"/>
                <w:kern w:val="0"/>
                <w:sz w:val="18"/>
                <w:szCs w:val="18"/>
              </w:rPr>
            </w:pPr>
            <w:r>
              <w:rPr>
                <w:rFonts w:hint="eastAsia"/>
                <w:color w:val="000000"/>
                <w:kern w:val="0"/>
                <w:sz w:val="18"/>
                <w:szCs w:val="18"/>
              </w:rPr>
              <w:t>没有违法所得且按照要求退回公共租赁住房的</w:t>
            </w:r>
          </w:p>
        </w:tc>
        <w:tc>
          <w:tcPr>
            <w:tcW w:w="1000" w:type="dxa"/>
            <w:vMerge w:val="restart"/>
            <w:tcBorders>
              <w:top w:val="nil"/>
              <w:left w:val="single" w:color="auto" w:sz="4" w:space="0"/>
              <w:bottom w:val="single" w:color="auto" w:sz="4" w:space="0"/>
              <w:right w:val="single" w:color="auto" w:sz="4" w:space="0"/>
            </w:tcBorders>
            <w:vAlign w:val="center"/>
          </w:tcPr>
          <w:p w14:paraId="0B3FB75D">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10B226A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14:paraId="6A04747A">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5CCC929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337EEA9">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val="continue"/>
            <w:tcBorders>
              <w:top w:val="nil"/>
              <w:left w:val="single" w:color="auto" w:sz="4" w:space="0"/>
              <w:bottom w:val="single" w:color="auto" w:sz="4" w:space="0"/>
              <w:right w:val="single" w:color="auto" w:sz="4" w:space="0"/>
            </w:tcBorders>
            <w:vAlign w:val="center"/>
          </w:tcPr>
          <w:p w14:paraId="27CB8FDD">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4E21C22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14:paraId="1BAA3940">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0F30CF0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F8987BC">
            <w:pPr>
              <w:spacing w:line="320" w:lineRule="exact"/>
              <w:jc w:val="left"/>
              <w:rPr>
                <w:color w:val="000000"/>
                <w:kern w:val="0"/>
                <w:sz w:val="18"/>
                <w:szCs w:val="18"/>
              </w:rPr>
            </w:pPr>
            <w:r>
              <w:rPr>
                <w:rFonts w:hint="eastAsia"/>
                <w:color w:val="000000"/>
                <w:kern w:val="0"/>
                <w:sz w:val="18"/>
                <w:szCs w:val="18"/>
              </w:rPr>
              <w:t>有违法所得且按照要求退回公共租赁住房的</w:t>
            </w:r>
          </w:p>
        </w:tc>
        <w:tc>
          <w:tcPr>
            <w:tcW w:w="1000" w:type="dxa"/>
            <w:vMerge w:val="continue"/>
            <w:tcBorders>
              <w:top w:val="nil"/>
              <w:left w:val="single" w:color="auto" w:sz="4" w:space="0"/>
              <w:bottom w:val="single" w:color="auto" w:sz="4" w:space="0"/>
              <w:right w:val="single" w:color="auto" w:sz="4" w:space="0"/>
            </w:tcBorders>
            <w:vAlign w:val="center"/>
          </w:tcPr>
          <w:p w14:paraId="034D7C6D">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0592043E">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1B3D0C43">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5BAAA8D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A212998">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val="continue"/>
            <w:tcBorders>
              <w:top w:val="nil"/>
              <w:left w:val="single" w:color="auto" w:sz="4" w:space="0"/>
              <w:bottom w:val="single" w:color="auto" w:sz="4" w:space="0"/>
              <w:right w:val="single" w:color="auto" w:sz="4" w:space="0"/>
            </w:tcBorders>
            <w:vAlign w:val="center"/>
          </w:tcPr>
          <w:p w14:paraId="51039E09">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514DA67">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14596F3E"/>
    <w:p w14:paraId="605B3FE8"/>
    <w:p w14:paraId="55A00C9D"/>
    <w:p w14:paraId="11E6F883"/>
    <w:p w14:paraId="2CAF33A2"/>
    <w:p w14:paraId="40393689"/>
    <w:p w14:paraId="09B1D6E5"/>
    <w:p w14:paraId="5CCCBC7E"/>
    <w:p w14:paraId="3105FCA5"/>
    <w:p w14:paraId="3353119D"/>
    <w:tbl>
      <w:tblPr>
        <w:tblStyle w:val="15"/>
        <w:tblW w:w="0" w:type="auto"/>
        <w:tblInd w:w="88" w:type="dxa"/>
        <w:tblLayout w:type="fixed"/>
        <w:tblCellMar>
          <w:top w:w="0" w:type="dxa"/>
          <w:left w:w="108" w:type="dxa"/>
          <w:bottom w:w="0" w:type="dxa"/>
          <w:right w:w="108" w:type="dxa"/>
        </w:tblCellMar>
      </w:tblPr>
      <w:tblGrid>
        <w:gridCol w:w="1010"/>
        <w:gridCol w:w="46"/>
        <w:gridCol w:w="6094"/>
        <w:gridCol w:w="1000"/>
        <w:gridCol w:w="5866"/>
      </w:tblGrid>
      <w:tr w14:paraId="424B9B5A">
        <w:tblPrEx>
          <w:tblCellMar>
            <w:top w:w="0" w:type="dxa"/>
            <w:left w:w="108" w:type="dxa"/>
            <w:bottom w:w="0" w:type="dxa"/>
            <w:right w:w="108" w:type="dxa"/>
          </w:tblCellMar>
        </w:tblPrEx>
        <w:trPr>
          <w:trHeight w:val="285" w:hRule="atLeast"/>
        </w:trPr>
        <w:tc>
          <w:tcPr>
            <w:tcW w:w="1056" w:type="dxa"/>
            <w:gridSpan w:val="2"/>
            <w:tcBorders>
              <w:top w:val="single" w:color="auto" w:sz="8" w:space="0"/>
              <w:left w:val="single" w:color="auto" w:sz="8" w:space="0"/>
              <w:bottom w:val="single" w:color="auto" w:sz="4" w:space="0"/>
              <w:right w:val="single" w:color="auto" w:sz="4" w:space="0"/>
            </w:tcBorders>
            <w:vAlign w:val="center"/>
          </w:tcPr>
          <w:p w14:paraId="6C62B629">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3A08CE91">
            <w:pPr>
              <w:spacing w:line="320" w:lineRule="exact"/>
              <w:jc w:val="left"/>
              <w:rPr>
                <w:b/>
                <w:color w:val="000000"/>
                <w:kern w:val="0"/>
                <w:sz w:val="18"/>
                <w:szCs w:val="18"/>
              </w:rPr>
            </w:pPr>
            <w:r>
              <w:rPr>
                <w:b/>
                <w:color w:val="000000"/>
                <w:kern w:val="0"/>
                <w:sz w:val="18"/>
                <w:szCs w:val="18"/>
              </w:rPr>
              <w:t>320217403000</w:t>
            </w:r>
          </w:p>
        </w:tc>
      </w:tr>
      <w:tr w14:paraId="6B7F8321">
        <w:tblPrEx>
          <w:tblCellMar>
            <w:top w:w="0" w:type="dxa"/>
            <w:left w:w="108" w:type="dxa"/>
            <w:bottom w:w="0" w:type="dxa"/>
            <w:right w:w="108" w:type="dxa"/>
          </w:tblCellMar>
        </w:tblPrEx>
        <w:trPr>
          <w:trHeight w:val="285" w:hRule="atLeast"/>
        </w:trPr>
        <w:tc>
          <w:tcPr>
            <w:tcW w:w="1056" w:type="dxa"/>
            <w:gridSpan w:val="2"/>
            <w:tcBorders>
              <w:top w:val="nil"/>
              <w:left w:val="single" w:color="auto" w:sz="8" w:space="0"/>
              <w:bottom w:val="single" w:color="auto" w:sz="4" w:space="0"/>
              <w:right w:val="single" w:color="auto" w:sz="4" w:space="0"/>
            </w:tcBorders>
            <w:vAlign w:val="center"/>
          </w:tcPr>
          <w:p w14:paraId="043E25ED">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035BA3FF">
            <w:pPr>
              <w:spacing w:line="320" w:lineRule="exact"/>
              <w:jc w:val="left"/>
              <w:rPr>
                <w:color w:val="000000"/>
                <w:kern w:val="0"/>
                <w:sz w:val="18"/>
                <w:szCs w:val="18"/>
              </w:rPr>
            </w:pPr>
            <w:r>
              <w:rPr>
                <w:rFonts w:hint="eastAsia"/>
                <w:color w:val="000000"/>
                <w:kern w:val="0"/>
                <w:sz w:val="18"/>
                <w:szCs w:val="18"/>
              </w:rPr>
              <w:t>对承租人破坏或者擅自装修所承租公共租赁住房，拒不恢复原状的处罚</w:t>
            </w:r>
          </w:p>
        </w:tc>
      </w:tr>
      <w:tr w14:paraId="62709D59">
        <w:tblPrEx>
          <w:tblCellMar>
            <w:top w:w="0" w:type="dxa"/>
            <w:left w:w="108" w:type="dxa"/>
            <w:bottom w:w="0" w:type="dxa"/>
            <w:right w:w="108" w:type="dxa"/>
          </w:tblCellMar>
        </w:tblPrEx>
        <w:trPr>
          <w:trHeight w:val="1123" w:hRule="atLeast"/>
        </w:trPr>
        <w:tc>
          <w:tcPr>
            <w:tcW w:w="1056" w:type="dxa"/>
            <w:gridSpan w:val="2"/>
            <w:tcBorders>
              <w:top w:val="nil"/>
              <w:left w:val="single" w:color="auto" w:sz="8" w:space="0"/>
              <w:bottom w:val="single" w:color="auto" w:sz="4" w:space="0"/>
              <w:right w:val="single" w:color="auto" w:sz="4" w:space="0"/>
            </w:tcBorders>
            <w:vAlign w:val="center"/>
          </w:tcPr>
          <w:p w14:paraId="44CC626A">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239E03D3">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14:paraId="0EC8DE57">
            <w:pPr>
              <w:spacing w:line="320" w:lineRule="exact"/>
              <w:ind w:firstLine="360" w:firstLineChars="200"/>
              <w:jc w:val="left"/>
              <w:rPr>
                <w:color w:val="000000"/>
                <w:kern w:val="0"/>
                <w:sz w:val="18"/>
                <w:szCs w:val="18"/>
              </w:rPr>
            </w:pP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倍以下但不超过</w:t>
            </w:r>
            <w:r>
              <w:rPr>
                <w:color w:val="000000"/>
                <w:kern w:val="0"/>
                <w:sz w:val="18"/>
                <w:szCs w:val="18"/>
              </w:rPr>
              <w:t>3</w:t>
            </w:r>
            <w:r>
              <w:rPr>
                <w:rFonts w:hint="eastAsia"/>
                <w:color w:val="000000"/>
                <w:kern w:val="0"/>
                <w:sz w:val="18"/>
                <w:szCs w:val="18"/>
              </w:rPr>
              <w:t>万元的罚款</w:t>
            </w:r>
          </w:p>
          <w:p w14:paraId="151E54B5">
            <w:pPr>
              <w:spacing w:line="320" w:lineRule="exact"/>
              <w:ind w:firstLine="360" w:firstLineChars="200"/>
              <w:jc w:val="left"/>
              <w:rPr>
                <w:color w:val="000000"/>
                <w:kern w:val="0"/>
                <w:sz w:val="18"/>
                <w:szCs w:val="18"/>
              </w:rPr>
            </w:pPr>
            <w:r>
              <w:rPr>
                <w:rFonts w:hint="eastAsia"/>
                <w:color w:val="000000"/>
                <w:kern w:val="0"/>
                <w:sz w:val="18"/>
                <w:szCs w:val="18"/>
              </w:rPr>
              <w:t>（三）破坏或者擅自装修所承租公共租赁住房，拒不恢复原状的；</w:t>
            </w:r>
          </w:p>
          <w:p w14:paraId="14F72D21">
            <w:pPr>
              <w:spacing w:line="320" w:lineRule="exact"/>
              <w:ind w:firstLine="360" w:firstLineChars="200"/>
              <w:jc w:val="left"/>
              <w:rPr>
                <w:color w:val="000000"/>
                <w:kern w:val="0"/>
                <w:sz w:val="18"/>
                <w:szCs w:val="18"/>
              </w:rPr>
            </w:pPr>
            <w:r>
              <w:rPr>
                <w:rFonts w:hint="eastAsia"/>
                <w:color w:val="000000"/>
                <w:kern w:val="0"/>
                <w:sz w:val="18"/>
                <w:szCs w:val="18"/>
              </w:rPr>
              <w:t>有前款所列行为，承租人自退回公共租赁住房之日起五年内不得再次申请公共租赁住房；造成损失的，依法承担赔偿责任。</w:t>
            </w:r>
          </w:p>
        </w:tc>
      </w:tr>
      <w:tr w14:paraId="64935BD1">
        <w:tblPrEx>
          <w:tblCellMar>
            <w:top w:w="0" w:type="dxa"/>
            <w:left w:w="108" w:type="dxa"/>
            <w:bottom w:w="0" w:type="dxa"/>
            <w:right w:w="108" w:type="dxa"/>
          </w:tblCellMar>
        </w:tblPrEx>
        <w:trPr>
          <w:trHeight w:val="285" w:hRule="atLeast"/>
        </w:trPr>
        <w:tc>
          <w:tcPr>
            <w:tcW w:w="1056" w:type="dxa"/>
            <w:gridSpan w:val="2"/>
            <w:tcBorders>
              <w:top w:val="nil"/>
              <w:left w:val="single" w:color="auto" w:sz="8" w:space="0"/>
              <w:bottom w:val="single" w:color="auto" w:sz="4" w:space="0"/>
              <w:right w:val="single" w:color="auto" w:sz="4" w:space="0"/>
            </w:tcBorders>
            <w:vAlign w:val="center"/>
          </w:tcPr>
          <w:p w14:paraId="327D8B46">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2EDFE75F">
            <w:pPr>
              <w:spacing w:line="320" w:lineRule="exact"/>
              <w:jc w:val="left"/>
              <w:rPr>
                <w:color w:val="000000"/>
                <w:kern w:val="0"/>
                <w:sz w:val="18"/>
                <w:szCs w:val="18"/>
              </w:rPr>
            </w:pPr>
            <w:r>
              <w:rPr>
                <w:rFonts w:hint="eastAsia"/>
                <w:color w:val="000000"/>
                <w:kern w:val="0"/>
                <w:sz w:val="18"/>
                <w:szCs w:val="18"/>
              </w:rPr>
              <w:t>罚款</w:t>
            </w:r>
          </w:p>
        </w:tc>
      </w:tr>
      <w:tr w14:paraId="5FAE4565">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15FD7F94">
            <w:pPr>
              <w:spacing w:line="320" w:lineRule="exact"/>
              <w:jc w:val="center"/>
              <w:rPr>
                <w:color w:val="000000"/>
                <w:kern w:val="0"/>
                <w:sz w:val="18"/>
                <w:szCs w:val="18"/>
              </w:rPr>
            </w:pPr>
            <w:r>
              <w:rPr>
                <w:rFonts w:hint="eastAsia"/>
                <w:color w:val="000000"/>
                <w:kern w:val="0"/>
                <w:sz w:val="18"/>
                <w:szCs w:val="18"/>
              </w:rPr>
              <w:t>裁量基准</w:t>
            </w:r>
          </w:p>
        </w:tc>
      </w:tr>
      <w:tr w14:paraId="598014DE">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16171F86">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3F495C85">
            <w:pPr>
              <w:spacing w:line="320" w:lineRule="exact"/>
              <w:jc w:val="left"/>
              <w:rPr>
                <w:color w:val="000000"/>
                <w:kern w:val="0"/>
                <w:sz w:val="18"/>
                <w:szCs w:val="18"/>
              </w:rPr>
            </w:pPr>
            <w:r>
              <w:rPr>
                <w:rFonts w:hint="eastAsia"/>
                <w:color w:val="000000"/>
                <w:kern w:val="0"/>
                <w:sz w:val="18"/>
                <w:szCs w:val="18"/>
              </w:rPr>
              <w:t>没有违法所得且按照要求退回公共租赁住房的</w:t>
            </w:r>
          </w:p>
        </w:tc>
        <w:tc>
          <w:tcPr>
            <w:tcW w:w="1000" w:type="dxa"/>
            <w:vMerge w:val="restart"/>
            <w:tcBorders>
              <w:top w:val="nil"/>
              <w:left w:val="single" w:color="auto" w:sz="4" w:space="0"/>
              <w:bottom w:val="single" w:color="auto" w:sz="4" w:space="0"/>
              <w:right w:val="single" w:color="auto" w:sz="4" w:space="0"/>
            </w:tcBorders>
            <w:vAlign w:val="center"/>
          </w:tcPr>
          <w:p w14:paraId="0CEC2472">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66FEEDA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14:paraId="1CD88327">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125EC6A7">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32C46E40">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val="continue"/>
            <w:tcBorders>
              <w:top w:val="nil"/>
              <w:left w:val="single" w:color="auto" w:sz="4" w:space="0"/>
              <w:bottom w:val="single" w:color="auto" w:sz="4" w:space="0"/>
              <w:right w:val="single" w:color="auto" w:sz="4" w:space="0"/>
            </w:tcBorders>
            <w:vAlign w:val="center"/>
          </w:tcPr>
          <w:p w14:paraId="0D12DBD8">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7CB4C3F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14:paraId="65512BAA">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55CA2841">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6C8B45ED">
            <w:pPr>
              <w:spacing w:line="320" w:lineRule="exact"/>
              <w:jc w:val="left"/>
              <w:rPr>
                <w:color w:val="000000"/>
                <w:kern w:val="0"/>
                <w:sz w:val="18"/>
                <w:szCs w:val="18"/>
              </w:rPr>
            </w:pPr>
            <w:r>
              <w:rPr>
                <w:rFonts w:hint="eastAsia"/>
                <w:color w:val="000000"/>
                <w:kern w:val="0"/>
                <w:sz w:val="18"/>
                <w:szCs w:val="18"/>
              </w:rPr>
              <w:t>有违法所得且按照要求退回公共租赁住房的</w:t>
            </w:r>
          </w:p>
        </w:tc>
        <w:tc>
          <w:tcPr>
            <w:tcW w:w="1000" w:type="dxa"/>
            <w:vMerge w:val="continue"/>
            <w:tcBorders>
              <w:top w:val="nil"/>
              <w:left w:val="single" w:color="auto" w:sz="4" w:space="0"/>
              <w:bottom w:val="single" w:color="auto" w:sz="4" w:space="0"/>
              <w:right w:val="single" w:color="auto" w:sz="4" w:space="0"/>
            </w:tcBorders>
            <w:vAlign w:val="center"/>
          </w:tcPr>
          <w:p w14:paraId="63A890D8">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58732090">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3D665C15">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2D19415A">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33852C49">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val="continue"/>
            <w:tcBorders>
              <w:top w:val="nil"/>
              <w:left w:val="single" w:color="auto" w:sz="4" w:space="0"/>
              <w:bottom w:val="single" w:color="auto" w:sz="4" w:space="0"/>
              <w:right w:val="single" w:color="auto" w:sz="4" w:space="0"/>
            </w:tcBorders>
            <w:vAlign w:val="center"/>
          </w:tcPr>
          <w:p w14:paraId="4419562F">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ACA129B">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5DE30890"/>
    <w:p w14:paraId="4CD24D2F"/>
    <w:p w14:paraId="1BC79CA8"/>
    <w:p w14:paraId="76CD7125"/>
    <w:p w14:paraId="6BC3D9C9"/>
    <w:p w14:paraId="10E1AF87"/>
    <w:p w14:paraId="5DD4915B"/>
    <w:p w14:paraId="677E074F"/>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5E4D28A9">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15611769">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27B377A0">
            <w:pPr>
              <w:spacing w:line="320" w:lineRule="exact"/>
              <w:jc w:val="left"/>
              <w:rPr>
                <w:rFonts w:eastAsia="仿宋_GB2312"/>
                <w:b/>
                <w:bCs/>
                <w:color w:val="000000"/>
                <w:kern w:val="0"/>
                <w:sz w:val="18"/>
                <w:szCs w:val="18"/>
              </w:rPr>
            </w:pPr>
            <w:r>
              <w:rPr>
                <w:rFonts w:eastAsia="仿宋_GB2312"/>
                <w:b/>
                <w:bCs/>
                <w:color w:val="000000"/>
                <w:kern w:val="0"/>
                <w:sz w:val="18"/>
                <w:szCs w:val="18"/>
              </w:rPr>
              <w:t>320217404000</w:t>
            </w:r>
          </w:p>
        </w:tc>
      </w:tr>
      <w:tr w14:paraId="4B684041">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471EACF7">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7B729AF5">
            <w:pPr>
              <w:spacing w:line="320" w:lineRule="exact"/>
              <w:jc w:val="left"/>
              <w:rPr>
                <w:color w:val="000000"/>
                <w:kern w:val="0"/>
                <w:sz w:val="18"/>
                <w:szCs w:val="18"/>
              </w:rPr>
            </w:pPr>
            <w:r>
              <w:rPr>
                <w:rFonts w:hint="eastAsia"/>
                <w:color w:val="000000"/>
                <w:kern w:val="0"/>
                <w:sz w:val="18"/>
                <w:szCs w:val="18"/>
              </w:rPr>
              <w:t>对工程监理单位在墙体、屋面的保温工程施工时，未采取旁站、巡视和平行检验等形式实施监理的处罚</w:t>
            </w:r>
          </w:p>
        </w:tc>
      </w:tr>
      <w:tr w14:paraId="573203A1">
        <w:tblPrEx>
          <w:tblCellMar>
            <w:top w:w="0" w:type="dxa"/>
            <w:left w:w="108" w:type="dxa"/>
            <w:bottom w:w="0" w:type="dxa"/>
            <w:right w:w="108" w:type="dxa"/>
          </w:tblCellMar>
        </w:tblPrEx>
        <w:trPr>
          <w:trHeight w:val="1305" w:hRule="atLeast"/>
        </w:trPr>
        <w:tc>
          <w:tcPr>
            <w:tcW w:w="1050" w:type="dxa"/>
            <w:tcBorders>
              <w:top w:val="nil"/>
              <w:left w:val="single" w:color="auto" w:sz="8" w:space="0"/>
              <w:bottom w:val="single" w:color="auto" w:sz="4" w:space="0"/>
              <w:right w:val="single" w:color="auto" w:sz="4" w:space="0"/>
            </w:tcBorders>
            <w:vAlign w:val="center"/>
          </w:tcPr>
          <w:p w14:paraId="1CF56A62">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1C81E102">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14:paraId="40A0C8E8">
            <w:pPr>
              <w:spacing w:line="320" w:lineRule="exact"/>
              <w:jc w:val="left"/>
              <w:rPr>
                <w:color w:val="000000"/>
                <w:kern w:val="0"/>
                <w:sz w:val="18"/>
                <w:szCs w:val="18"/>
              </w:rPr>
            </w:pPr>
            <w:r>
              <w:rPr>
                <w:rFonts w:hint="eastAsia"/>
                <w:color w:val="000000"/>
                <w:kern w:val="0"/>
                <w:sz w:val="18"/>
                <w:szCs w:val="18"/>
              </w:rPr>
              <w:t>第十六条第三款　墙体、屋面的保温工程施工时，监理工程师应当按照工程监理规范的要求，采取旁站、巡视和平行检验等形式实施监理。</w:t>
            </w:r>
          </w:p>
          <w:p w14:paraId="113AEE48">
            <w:pPr>
              <w:spacing w:line="320" w:lineRule="exact"/>
              <w:jc w:val="left"/>
              <w:rPr>
                <w:color w:val="000000"/>
                <w:kern w:val="0"/>
                <w:sz w:val="18"/>
                <w:szCs w:val="18"/>
              </w:rPr>
            </w:pPr>
            <w:r>
              <w:rPr>
                <w:rFonts w:hint="eastAsia"/>
                <w:color w:val="000000"/>
                <w:kern w:val="0"/>
                <w:sz w:val="18"/>
                <w:szCs w:val="18"/>
              </w:rPr>
              <w:t>第四十二条　违反本条例规定，工程监理单位有下列行为之一的，由县级以上地方人民政府建设主管部门责令限期改正；逾期未改正的，处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万元以下的罚款；情节严重的，由颁发资质证书的部门责令停业整顿，降低资质等级或者吊销资质证书；造成损失的，依法承担赔偿责任：</w:t>
            </w:r>
          </w:p>
          <w:p w14:paraId="49A7D013">
            <w:pPr>
              <w:spacing w:line="320" w:lineRule="exact"/>
              <w:jc w:val="left"/>
              <w:rPr>
                <w:color w:val="000000"/>
                <w:kern w:val="0"/>
                <w:sz w:val="18"/>
                <w:szCs w:val="18"/>
              </w:rPr>
            </w:pPr>
            <w:r>
              <w:rPr>
                <w:rFonts w:hint="eastAsia"/>
                <w:color w:val="000000"/>
                <w:kern w:val="0"/>
                <w:sz w:val="18"/>
                <w:szCs w:val="18"/>
              </w:rPr>
              <w:t>（二）墙体、屋面的保温工程施工时，未采取旁站、巡视和平行检验等形式实施监理的。</w:t>
            </w:r>
          </w:p>
        </w:tc>
      </w:tr>
      <w:tr w14:paraId="61754963">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3379B5A6">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016C4B8C">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14:paraId="59567BFA">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562710B5">
            <w:pPr>
              <w:spacing w:line="320" w:lineRule="exact"/>
              <w:jc w:val="center"/>
              <w:rPr>
                <w:color w:val="000000"/>
                <w:kern w:val="0"/>
                <w:sz w:val="18"/>
                <w:szCs w:val="18"/>
              </w:rPr>
            </w:pPr>
            <w:r>
              <w:rPr>
                <w:rFonts w:hint="eastAsia"/>
                <w:color w:val="000000"/>
                <w:kern w:val="0"/>
                <w:sz w:val="18"/>
                <w:szCs w:val="18"/>
              </w:rPr>
              <w:t>裁量基准</w:t>
            </w:r>
          </w:p>
        </w:tc>
      </w:tr>
      <w:tr w14:paraId="400AE287">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nil"/>
              <w:right w:val="single" w:color="auto" w:sz="4" w:space="0"/>
            </w:tcBorders>
            <w:vAlign w:val="center"/>
          </w:tcPr>
          <w:p w14:paraId="2DE662A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0B2D11A9">
            <w:pPr>
              <w:spacing w:line="320" w:lineRule="exact"/>
              <w:jc w:val="left"/>
              <w:rPr>
                <w:color w:val="000000"/>
                <w:kern w:val="0"/>
                <w:sz w:val="18"/>
                <w:szCs w:val="18"/>
              </w:rPr>
            </w:pPr>
            <w:r>
              <w:rPr>
                <w:rFonts w:hint="eastAsia"/>
                <w:color w:val="000000"/>
                <w:kern w:val="0"/>
                <w:sz w:val="18"/>
                <w:szCs w:val="18"/>
              </w:rPr>
              <w:t>未按要求改正的，不存在质量问题的</w:t>
            </w:r>
          </w:p>
        </w:tc>
        <w:tc>
          <w:tcPr>
            <w:tcW w:w="1100" w:type="dxa"/>
            <w:vMerge w:val="restart"/>
            <w:tcBorders>
              <w:top w:val="nil"/>
              <w:left w:val="single" w:color="auto" w:sz="4" w:space="0"/>
              <w:bottom w:val="nil"/>
              <w:right w:val="single" w:color="auto" w:sz="4" w:space="0"/>
            </w:tcBorders>
            <w:vAlign w:val="center"/>
          </w:tcPr>
          <w:p w14:paraId="60B38BB9">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7860A3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14:paraId="6D1CFF98">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nil"/>
              <w:right w:val="single" w:color="auto" w:sz="4" w:space="0"/>
            </w:tcBorders>
            <w:vAlign w:val="center"/>
          </w:tcPr>
          <w:p w14:paraId="31B7D00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1740997D">
            <w:pPr>
              <w:spacing w:line="320" w:lineRule="exact"/>
              <w:jc w:val="left"/>
              <w:rPr>
                <w:color w:val="000000"/>
                <w:kern w:val="0"/>
                <w:sz w:val="18"/>
                <w:szCs w:val="18"/>
              </w:rPr>
            </w:pPr>
            <w:r>
              <w:rPr>
                <w:rFonts w:hint="eastAsia"/>
                <w:color w:val="000000"/>
                <w:kern w:val="0"/>
                <w:sz w:val="18"/>
                <w:szCs w:val="18"/>
              </w:rPr>
              <w:t>未按要求改正的，存在质量问题的</w:t>
            </w:r>
          </w:p>
        </w:tc>
        <w:tc>
          <w:tcPr>
            <w:tcW w:w="1100" w:type="dxa"/>
            <w:vMerge w:val="continue"/>
            <w:tcBorders>
              <w:top w:val="nil"/>
              <w:left w:val="single" w:color="auto" w:sz="4" w:space="0"/>
              <w:bottom w:val="nil"/>
              <w:right w:val="single" w:color="auto" w:sz="4" w:space="0"/>
            </w:tcBorders>
            <w:vAlign w:val="center"/>
          </w:tcPr>
          <w:p w14:paraId="713C52B5">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723AD0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w:t>
            </w:r>
          </w:p>
        </w:tc>
      </w:tr>
      <w:tr w14:paraId="62A008CE">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auto" w:sz="8" w:space="0"/>
              <w:right w:val="single" w:color="auto" w:sz="4" w:space="0"/>
            </w:tcBorders>
            <w:vAlign w:val="center"/>
          </w:tcPr>
          <w:p w14:paraId="0BCE04A5">
            <w:pPr>
              <w:spacing w:line="320" w:lineRule="exact"/>
              <w:jc w:val="left"/>
              <w:rPr>
                <w:color w:val="000000"/>
                <w:kern w:val="0"/>
                <w:sz w:val="18"/>
                <w:szCs w:val="18"/>
              </w:rPr>
            </w:pPr>
          </w:p>
        </w:tc>
        <w:tc>
          <w:tcPr>
            <w:tcW w:w="6140" w:type="dxa"/>
            <w:tcBorders>
              <w:top w:val="single" w:color="auto" w:sz="4" w:space="0"/>
              <w:left w:val="nil"/>
              <w:bottom w:val="single" w:color="auto" w:sz="8" w:space="0"/>
              <w:right w:val="single" w:color="000000" w:sz="4" w:space="0"/>
            </w:tcBorders>
            <w:vAlign w:val="center"/>
          </w:tcPr>
          <w:p w14:paraId="32AB4684">
            <w:pPr>
              <w:spacing w:line="320" w:lineRule="exact"/>
              <w:jc w:val="left"/>
              <w:rPr>
                <w:color w:val="000000"/>
                <w:kern w:val="0"/>
                <w:sz w:val="18"/>
                <w:szCs w:val="18"/>
              </w:rPr>
            </w:pPr>
            <w:r>
              <w:rPr>
                <w:rFonts w:hint="eastAsia"/>
                <w:color w:val="000000"/>
                <w:kern w:val="0"/>
                <w:sz w:val="18"/>
                <w:szCs w:val="18"/>
              </w:rPr>
              <w:t>未按要求改正的，造成质量事故的</w:t>
            </w:r>
          </w:p>
        </w:tc>
        <w:tc>
          <w:tcPr>
            <w:tcW w:w="1100" w:type="dxa"/>
            <w:vMerge w:val="continue"/>
            <w:tcBorders>
              <w:top w:val="nil"/>
              <w:left w:val="single" w:color="auto" w:sz="4" w:space="0"/>
              <w:bottom w:val="single" w:color="auto" w:sz="8" w:space="0"/>
              <w:right w:val="single" w:color="auto" w:sz="4" w:space="0"/>
            </w:tcBorders>
            <w:vAlign w:val="center"/>
          </w:tcPr>
          <w:p w14:paraId="4C2D1C71">
            <w:pPr>
              <w:spacing w:line="320" w:lineRule="exact"/>
              <w:jc w:val="left"/>
              <w:rPr>
                <w:color w:val="000000"/>
                <w:kern w:val="0"/>
                <w:sz w:val="18"/>
                <w:szCs w:val="18"/>
              </w:rPr>
            </w:pPr>
          </w:p>
        </w:tc>
        <w:tc>
          <w:tcPr>
            <w:tcW w:w="5760" w:type="dxa"/>
            <w:tcBorders>
              <w:top w:val="nil"/>
              <w:left w:val="nil"/>
              <w:bottom w:val="single" w:color="auto" w:sz="8" w:space="0"/>
              <w:right w:val="single" w:color="auto" w:sz="8" w:space="0"/>
            </w:tcBorders>
            <w:vAlign w:val="center"/>
          </w:tcPr>
          <w:p w14:paraId="2A425D2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万元以下的罚款，责令停业整顿，降低资质等级或者吊销资质证书</w:t>
            </w:r>
          </w:p>
        </w:tc>
      </w:tr>
    </w:tbl>
    <w:p w14:paraId="6729389E"/>
    <w:p w14:paraId="07D9BAC9"/>
    <w:p w14:paraId="08F42606"/>
    <w:p w14:paraId="627B28D3"/>
    <w:p w14:paraId="657349F0"/>
    <w:p w14:paraId="4D333423"/>
    <w:p w14:paraId="48AED63E"/>
    <w:p w14:paraId="7C43AEBB"/>
    <w:p w14:paraId="74FF96AB"/>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16453562">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shd w:val="clear" w:color="auto" w:fill="FFFFFF"/>
            <w:vAlign w:val="center"/>
          </w:tcPr>
          <w:p w14:paraId="293CC4B3">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shd w:val="clear" w:color="auto" w:fill="FFFFFF"/>
            <w:vAlign w:val="center"/>
          </w:tcPr>
          <w:p w14:paraId="03CE9418">
            <w:pPr>
              <w:spacing w:line="320" w:lineRule="exact"/>
              <w:jc w:val="left"/>
              <w:rPr>
                <w:rFonts w:eastAsia="仿宋_GB2312"/>
                <w:b/>
                <w:bCs/>
                <w:color w:val="000000"/>
                <w:kern w:val="0"/>
                <w:sz w:val="18"/>
                <w:szCs w:val="18"/>
              </w:rPr>
            </w:pPr>
            <w:r>
              <w:rPr>
                <w:rFonts w:eastAsia="仿宋_GB2312"/>
                <w:b/>
                <w:bCs/>
                <w:color w:val="000000"/>
                <w:kern w:val="0"/>
                <w:sz w:val="18"/>
                <w:szCs w:val="18"/>
              </w:rPr>
              <w:t>320217406000</w:t>
            </w:r>
            <w:r>
              <w:rPr>
                <w:rFonts w:hint="eastAsia" w:eastAsia="仿宋_GB2312"/>
                <w:b/>
                <w:bCs/>
                <w:color w:val="000000"/>
                <w:kern w:val="0"/>
                <w:sz w:val="18"/>
                <w:szCs w:val="18"/>
              </w:rPr>
              <w:t xml:space="preserve"> </w:t>
            </w:r>
          </w:p>
        </w:tc>
      </w:tr>
      <w:tr w14:paraId="0B1FBBBC">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62D4E343">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42A8917E">
            <w:pPr>
              <w:spacing w:line="320" w:lineRule="exact"/>
              <w:jc w:val="left"/>
              <w:rPr>
                <w:color w:val="000000"/>
                <w:kern w:val="0"/>
                <w:sz w:val="18"/>
                <w:szCs w:val="18"/>
              </w:rPr>
            </w:pPr>
            <w:r>
              <w:rPr>
                <w:rFonts w:hint="eastAsia"/>
                <w:color w:val="000000"/>
              </w:rPr>
              <w:t>对燃气经营者不按照燃气经营许可证的规定从事燃气经营活动的处罚</w:t>
            </w:r>
          </w:p>
        </w:tc>
      </w:tr>
      <w:tr w14:paraId="63CD62FC">
        <w:tblPrEx>
          <w:tblCellMar>
            <w:top w:w="0" w:type="dxa"/>
            <w:left w:w="108" w:type="dxa"/>
            <w:bottom w:w="0" w:type="dxa"/>
            <w:right w:w="108" w:type="dxa"/>
          </w:tblCellMar>
        </w:tblPrEx>
        <w:trPr>
          <w:trHeight w:val="870" w:hRule="atLeast"/>
        </w:trPr>
        <w:tc>
          <w:tcPr>
            <w:tcW w:w="980" w:type="dxa"/>
            <w:tcBorders>
              <w:top w:val="nil"/>
              <w:left w:val="single" w:color="auto" w:sz="8" w:space="0"/>
              <w:bottom w:val="single" w:color="auto" w:sz="4" w:space="0"/>
              <w:right w:val="single" w:color="auto" w:sz="4" w:space="0"/>
            </w:tcBorders>
            <w:vAlign w:val="center"/>
          </w:tcPr>
          <w:p w14:paraId="48C85DDA">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1E27E304">
            <w:pPr>
              <w:spacing w:line="320" w:lineRule="exact"/>
              <w:jc w:val="left"/>
              <w:rPr>
                <w:color w:val="000000"/>
              </w:rPr>
            </w:pPr>
            <w:r>
              <w:rPr>
                <w:rFonts w:hint="eastAsia"/>
                <w:color w:val="000000"/>
              </w:rPr>
              <w:t>【行政法规】《城镇燃气管理条例》（国务院令第</w:t>
            </w:r>
            <w:r>
              <w:rPr>
                <w:color w:val="000000"/>
              </w:rPr>
              <w:t>583</w:t>
            </w:r>
            <w:r>
              <w:rPr>
                <w:rFonts w:hint="eastAsia"/>
                <w:color w:val="000000"/>
              </w:rPr>
              <w:t>号）</w:t>
            </w:r>
          </w:p>
          <w:p w14:paraId="233D18ED">
            <w:pPr>
              <w:spacing w:line="320" w:lineRule="exact"/>
              <w:jc w:val="left"/>
              <w:rPr>
                <w:color w:val="000000"/>
                <w:kern w:val="0"/>
                <w:sz w:val="18"/>
                <w:szCs w:val="18"/>
              </w:rPr>
            </w:pPr>
            <w:r>
              <w:rPr>
                <w:rFonts w:hint="eastAsia"/>
                <w:color w:val="000000"/>
              </w:rPr>
              <w:t>第四十五条第二款</w:t>
            </w:r>
            <w:r>
              <w:rPr>
                <w:color w:val="000000"/>
              </w:rPr>
              <w:t xml:space="preserve">  </w:t>
            </w:r>
            <w:r>
              <w:rPr>
                <w:rFonts w:hint="eastAsia"/>
                <w:color w:val="000000"/>
              </w:rPr>
              <w:t>违反本条例规定，燃气经营者不按照燃气经营许可证的规定从事燃气经营活动的，由燃气管理部门责令限期改正，处</w:t>
            </w:r>
            <w:r>
              <w:rPr>
                <w:color w:val="000000"/>
              </w:rPr>
              <w:t>3</w:t>
            </w:r>
            <w:r>
              <w:rPr>
                <w:rFonts w:hint="eastAsia"/>
                <w:color w:val="000000"/>
              </w:rPr>
              <w:t>万元以上</w:t>
            </w:r>
            <w:r>
              <w:rPr>
                <w:color w:val="000000"/>
              </w:rPr>
              <w:t>20</w:t>
            </w:r>
            <w:r>
              <w:rPr>
                <w:rFonts w:hint="eastAsia"/>
                <w:color w:val="000000"/>
              </w:rPr>
              <w:t>万元以下罚款；有违法所得的，没收违法所得；情节严重的，吊销燃气经营许可证；构成犯罪的，依法追究刑事责任。</w:t>
            </w:r>
          </w:p>
        </w:tc>
      </w:tr>
      <w:tr w14:paraId="40876F32">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5BF868F0">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79F18A7C">
            <w:pPr>
              <w:spacing w:line="320" w:lineRule="exact"/>
              <w:jc w:val="left"/>
              <w:rPr>
                <w:color w:val="000000"/>
                <w:kern w:val="0"/>
                <w:sz w:val="18"/>
                <w:szCs w:val="18"/>
              </w:rPr>
            </w:pPr>
            <w:r>
              <w:rPr>
                <w:rFonts w:hint="eastAsia"/>
                <w:color w:val="000000"/>
                <w:kern w:val="0"/>
                <w:sz w:val="18"/>
                <w:szCs w:val="18"/>
              </w:rPr>
              <w:t>罚款，没收违法所得，吊销许可证</w:t>
            </w:r>
          </w:p>
        </w:tc>
      </w:tr>
      <w:tr w14:paraId="2A98116D">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5C08D578">
            <w:pPr>
              <w:spacing w:line="320" w:lineRule="exact"/>
              <w:jc w:val="center"/>
              <w:rPr>
                <w:color w:val="000000"/>
                <w:kern w:val="0"/>
                <w:sz w:val="18"/>
                <w:szCs w:val="18"/>
              </w:rPr>
            </w:pPr>
            <w:r>
              <w:rPr>
                <w:rFonts w:hint="eastAsia"/>
                <w:color w:val="000000"/>
                <w:kern w:val="0"/>
                <w:sz w:val="18"/>
                <w:szCs w:val="18"/>
              </w:rPr>
              <w:t>裁量基准</w:t>
            </w:r>
          </w:p>
        </w:tc>
      </w:tr>
      <w:tr w14:paraId="2B9E5D7F">
        <w:tblPrEx>
          <w:tblCellMar>
            <w:top w:w="0" w:type="dxa"/>
            <w:left w:w="108" w:type="dxa"/>
            <w:bottom w:w="0" w:type="dxa"/>
            <w:right w:w="108" w:type="dxa"/>
          </w:tblCellMar>
        </w:tblPrEx>
        <w:trPr>
          <w:trHeight w:val="650" w:hRule="atLeast"/>
        </w:trPr>
        <w:tc>
          <w:tcPr>
            <w:tcW w:w="980" w:type="dxa"/>
            <w:vMerge w:val="restart"/>
            <w:tcBorders>
              <w:top w:val="nil"/>
              <w:left w:val="single" w:color="auto" w:sz="8" w:space="0"/>
              <w:bottom w:val="single" w:color="auto" w:sz="4" w:space="0"/>
              <w:right w:val="single" w:color="auto" w:sz="4" w:space="0"/>
            </w:tcBorders>
            <w:vAlign w:val="center"/>
          </w:tcPr>
          <w:p w14:paraId="61C527F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7624CFE6">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color="auto" w:sz="4" w:space="0"/>
              <w:bottom w:val="single" w:color="auto" w:sz="4" w:space="0"/>
              <w:right w:val="single" w:color="auto" w:sz="4" w:space="0"/>
            </w:tcBorders>
            <w:vAlign w:val="center"/>
          </w:tcPr>
          <w:p w14:paraId="2910A452">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right w:val="single" w:color="auto" w:sz="8" w:space="0"/>
            </w:tcBorders>
            <w:vAlign w:val="center"/>
          </w:tcPr>
          <w:p w14:paraId="51DB0D33">
            <w:pPr>
              <w:spacing w:line="320" w:lineRule="exact"/>
              <w:jc w:val="left"/>
              <w:rPr>
                <w:color w:val="000000"/>
                <w:kern w:val="0"/>
                <w:sz w:val="18"/>
                <w:szCs w:val="18"/>
              </w:rPr>
            </w:pPr>
            <w:r>
              <w:rPr>
                <w:rFonts w:hint="eastAsia"/>
                <w:color w:val="000000"/>
                <w:kern w:val="0"/>
                <w:sz w:val="18"/>
                <w:szCs w:val="18"/>
              </w:rPr>
              <w:t>处3万元以上</w:t>
            </w:r>
            <w:r>
              <w:rPr>
                <w:color w:val="000000"/>
                <w:kern w:val="0"/>
                <w:sz w:val="18"/>
                <w:szCs w:val="18"/>
              </w:rPr>
              <w:t>10</w:t>
            </w:r>
            <w:r>
              <w:rPr>
                <w:rFonts w:hint="eastAsia"/>
                <w:color w:val="000000"/>
                <w:kern w:val="0"/>
                <w:sz w:val="18"/>
                <w:szCs w:val="18"/>
              </w:rPr>
              <w:t>万元以下罚款</w:t>
            </w:r>
          </w:p>
        </w:tc>
      </w:tr>
      <w:tr w14:paraId="2C306D89">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67871BC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B2F789B">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14A6599D">
            <w:pPr>
              <w:spacing w:line="320" w:lineRule="exact"/>
              <w:jc w:val="left"/>
              <w:rPr>
                <w:color w:val="000000"/>
                <w:kern w:val="0"/>
                <w:sz w:val="18"/>
                <w:szCs w:val="18"/>
              </w:rPr>
            </w:pPr>
          </w:p>
        </w:tc>
        <w:tc>
          <w:tcPr>
            <w:tcW w:w="5956" w:type="dxa"/>
            <w:tcBorders>
              <w:top w:val="single" w:color="auto" w:sz="4" w:space="0"/>
              <w:left w:val="nil"/>
              <w:bottom w:val="single" w:color="auto" w:sz="4" w:space="0"/>
              <w:right w:val="single" w:color="auto" w:sz="8" w:space="0"/>
            </w:tcBorders>
            <w:vAlign w:val="center"/>
          </w:tcPr>
          <w:p w14:paraId="36E2C45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14887E4B">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0224053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0EE5EB3">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5BF356C1">
            <w:pPr>
              <w:spacing w:line="320" w:lineRule="exact"/>
              <w:jc w:val="left"/>
              <w:rPr>
                <w:color w:val="000000"/>
                <w:kern w:val="0"/>
                <w:sz w:val="18"/>
                <w:szCs w:val="18"/>
              </w:rPr>
            </w:pPr>
          </w:p>
        </w:tc>
        <w:tc>
          <w:tcPr>
            <w:tcW w:w="5956" w:type="dxa"/>
            <w:tcBorders>
              <w:top w:val="single" w:color="auto" w:sz="4" w:space="0"/>
              <w:left w:val="nil"/>
              <w:bottom w:val="single" w:color="auto" w:sz="4" w:space="0"/>
              <w:right w:val="single" w:color="auto" w:sz="8" w:space="0"/>
            </w:tcBorders>
            <w:vAlign w:val="center"/>
          </w:tcPr>
          <w:p w14:paraId="7EEAC65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r>
              <w:rPr>
                <w:rFonts w:hint="eastAsia"/>
                <w:color w:val="000000"/>
              </w:rPr>
              <w:t>，吊销燃气经营许可证</w:t>
            </w:r>
          </w:p>
        </w:tc>
      </w:tr>
    </w:tbl>
    <w:p w14:paraId="704A287D"/>
    <w:p w14:paraId="14DAF493"/>
    <w:p w14:paraId="38A97165"/>
    <w:p w14:paraId="6A8F3864"/>
    <w:p w14:paraId="363AFFD7"/>
    <w:p w14:paraId="12344246"/>
    <w:p w14:paraId="3FA3207B"/>
    <w:p w14:paraId="4B774557"/>
    <w:p w14:paraId="0A04D53B"/>
    <w:p w14:paraId="30AE27D9"/>
    <w:p w14:paraId="63A07A2F"/>
    <w:p w14:paraId="2CD9331B"/>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0579D8F3">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1E38356C">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71873957">
            <w:pPr>
              <w:spacing w:line="320" w:lineRule="exact"/>
              <w:jc w:val="left"/>
              <w:rPr>
                <w:rFonts w:eastAsia="仿宋_GB2312"/>
                <w:b/>
                <w:bCs/>
                <w:color w:val="000000"/>
                <w:kern w:val="0"/>
                <w:sz w:val="18"/>
                <w:szCs w:val="18"/>
              </w:rPr>
            </w:pPr>
            <w:r>
              <w:rPr>
                <w:rFonts w:eastAsia="仿宋_GB2312"/>
                <w:b/>
                <w:bCs/>
                <w:color w:val="000000"/>
                <w:kern w:val="0"/>
                <w:sz w:val="18"/>
                <w:szCs w:val="18"/>
              </w:rPr>
              <w:t>320217407000</w:t>
            </w:r>
          </w:p>
        </w:tc>
      </w:tr>
      <w:tr w14:paraId="78042AED">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61456754">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1AB91C23">
            <w:pPr>
              <w:spacing w:line="320" w:lineRule="exact"/>
              <w:jc w:val="left"/>
              <w:rPr>
                <w:color w:val="000000"/>
                <w:kern w:val="0"/>
                <w:sz w:val="18"/>
                <w:szCs w:val="18"/>
              </w:rPr>
            </w:pPr>
            <w:r>
              <w:rPr>
                <w:rFonts w:hint="eastAsia"/>
                <w:color w:val="000000"/>
                <w:kern w:val="0"/>
                <w:sz w:val="18"/>
                <w:szCs w:val="18"/>
              </w:rPr>
              <w:t>对城镇排水与污水处理设施维护运营单位未按照国家有关规定履行日常巡查、维修和养护责任，保障设施安全运行的处罚</w:t>
            </w:r>
          </w:p>
        </w:tc>
      </w:tr>
      <w:tr w14:paraId="4F108857">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4BC52B8B">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18E8B7AB">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14:paraId="1F4AE612">
            <w:pPr>
              <w:spacing w:line="320" w:lineRule="exact"/>
              <w:jc w:val="left"/>
              <w:rPr>
                <w:color w:val="000000"/>
                <w:kern w:val="0"/>
                <w:sz w:val="18"/>
                <w:szCs w:val="18"/>
              </w:rPr>
            </w:pPr>
            <w:r>
              <w:rPr>
                <w:rFonts w:hint="eastAsia"/>
                <w:color w:val="000000"/>
                <w:kern w:val="0"/>
                <w:sz w:val="18"/>
                <w:szCs w:val="18"/>
              </w:rPr>
              <w:t>　　第二十六条　设置于机动车道路上的窨井，应当按照国家有关规定进行建设，保证其承载力和稳定性等符合相关要求。</w:t>
            </w:r>
          </w:p>
          <w:p w14:paraId="50F38B0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排水管网窨井盖应当具备防坠落和防盗窃功能，满足结构强度要求。</w:t>
            </w:r>
          </w:p>
          <w:p w14:paraId="78F2FA84">
            <w:pPr>
              <w:spacing w:line="320" w:lineRule="exact"/>
              <w:jc w:val="left"/>
              <w:rPr>
                <w:color w:val="000000"/>
                <w:kern w:val="0"/>
                <w:sz w:val="18"/>
                <w:szCs w:val="18"/>
              </w:rPr>
            </w:pPr>
            <w:r>
              <w:rPr>
                <w:rFonts w:hint="eastAsia"/>
                <w:color w:val="000000"/>
                <w:kern w:val="0"/>
                <w:sz w:val="18"/>
                <w:szCs w:val="18"/>
              </w:rPr>
              <w:t>第三十八条　城镇排水与污水处理设施维护运营单位应当建立健全安全生产管理制度，加强对窨井盖等城镇排水与污水处理设施的日常巡查、维修和养护，保障设施安全运行。</w:t>
            </w:r>
          </w:p>
          <w:p w14:paraId="2CE0FE12">
            <w:pPr>
              <w:spacing w:line="320" w:lineRule="exact"/>
              <w:jc w:val="left"/>
              <w:rPr>
                <w:color w:val="000000"/>
                <w:kern w:val="0"/>
                <w:sz w:val="18"/>
                <w:szCs w:val="18"/>
              </w:rPr>
            </w:pPr>
            <w:r>
              <w:rPr>
                <w:rFonts w:hint="eastAsia"/>
                <w:color w:val="000000"/>
                <w:kern w:val="0"/>
                <w:sz w:val="18"/>
                <w:szCs w:val="18"/>
              </w:rPr>
              <w:t>　　从事管网维护、应急排水、井下及有限空间作业的，设施维护运营单位应当安排专门人员进行现场安全管理，设置醒目警示标志，采取有效措施避免人员坠落、车辆陷落，并及时复原窨井盖，确保操作规程的遵守和安全措施的落实。相关特种作业人员，应当按照国家有关规定取得相应的资格证书。</w:t>
            </w:r>
          </w:p>
          <w:p w14:paraId="515A055C">
            <w:pPr>
              <w:spacing w:line="320" w:lineRule="exact"/>
              <w:jc w:val="left"/>
              <w:rPr>
                <w:color w:val="000000"/>
                <w:kern w:val="0"/>
                <w:sz w:val="18"/>
                <w:szCs w:val="18"/>
              </w:rPr>
            </w:pPr>
            <w:r>
              <w:rPr>
                <w:rFonts w:hint="eastAsia"/>
                <w:color w:val="000000"/>
                <w:kern w:val="0"/>
                <w:sz w:val="18"/>
                <w:szCs w:val="18"/>
              </w:rPr>
              <w:t>　　第四十条第二款　城镇排水与污水处理安全事故或者突发事件发生后，设施维护运营单位应当立即启动本单位应急预案，采取防护措施、组织抢修，并及时向城镇排水主管部门和有关部门报告。</w:t>
            </w:r>
          </w:p>
          <w:p w14:paraId="04FE61FF">
            <w:pPr>
              <w:spacing w:line="320" w:lineRule="exact"/>
              <w:jc w:val="left"/>
              <w:rPr>
                <w:color w:val="000000"/>
                <w:kern w:val="0"/>
                <w:sz w:val="18"/>
                <w:szCs w:val="18"/>
              </w:rPr>
            </w:pPr>
            <w:r>
              <w:rPr>
                <w:rFonts w:hint="eastAsia"/>
                <w:color w:val="000000"/>
                <w:kern w:val="0"/>
                <w:sz w:val="18"/>
                <w:szCs w:val="18"/>
              </w:rPr>
              <w:t>第五十五条　违反本条例规定，城镇排水与污水处理设施维护运营单位有下列情形之一的，由城镇排水主管部门责令改正，给予警告；逾期不改正或者造成严重后果的，处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万元以下罚款；造成损失的，依法承担赔偿责任；构成犯罪的，依法追究刑事责任：</w:t>
            </w:r>
          </w:p>
          <w:p w14:paraId="4D5423E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（一）未按照国家有关规定履行日常巡查、维修和养护责任，保障设施安全运行的；</w:t>
            </w:r>
          </w:p>
        </w:tc>
      </w:tr>
      <w:tr w14:paraId="435A48CF">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D4C9FF0">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3A26F62D">
            <w:pPr>
              <w:spacing w:line="320" w:lineRule="exact"/>
              <w:jc w:val="left"/>
              <w:rPr>
                <w:color w:val="000000"/>
                <w:kern w:val="0"/>
                <w:sz w:val="18"/>
                <w:szCs w:val="18"/>
              </w:rPr>
            </w:pPr>
            <w:r>
              <w:rPr>
                <w:rFonts w:hint="eastAsia"/>
                <w:color w:val="000000"/>
                <w:kern w:val="0"/>
                <w:sz w:val="18"/>
                <w:szCs w:val="18"/>
              </w:rPr>
              <w:t>警告；罚款</w:t>
            </w:r>
          </w:p>
        </w:tc>
      </w:tr>
      <w:tr w14:paraId="7B078F59">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080010F5">
            <w:pPr>
              <w:spacing w:line="320" w:lineRule="exact"/>
              <w:jc w:val="center"/>
              <w:rPr>
                <w:color w:val="000000"/>
                <w:kern w:val="0"/>
                <w:sz w:val="18"/>
                <w:szCs w:val="18"/>
              </w:rPr>
            </w:pPr>
            <w:r>
              <w:rPr>
                <w:rFonts w:hint="eastAsia"/>
                <w:color w:val="000000"/>
                <w:kern w:val="0"/>
                <w:sz w:val="18"/>
                <w:szCs w:val="18"/>
              </w:rPr>
              <w:t>裁量基准</w:t>
            </w:r>
          </w:p>
        </w:tc>
      </w:tr>
      <w:tr w14:paraId="3609AC15">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5BBC7CD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AADA693">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color="auto" w:sz="4" w:space="0"/>
              <w:bottom w:val="single" w:color="auto" w:sz="4" w:space="0"/>
              <w:right w:val="single" w:color="auto" w:sz="4" w:space="0"/>
            </w:tcBorders>
            <w:vAlign w:val="center"/>
          </w:tcPr>
          <w:p w14:paraId="7F139D64">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7459E92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0D5BAA88">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247D286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84AD97F">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val="continue"/>
            <w:tcBorders>
              <w:top w:val="nil"/>
              <w:left w:val="single" w:color="auto" w:sz="4" w:space="0"/>
              <w:bottom w:val="single" w:color="auto" w:sz="4" w:space="0"/>
              <w:right w:val="single" w:color="auto" w:sz="4" w:space="0"/>
            </w:tcBorders>
            <w:vAlign w:val="center"/>
          </w:tcPr>
          <w:p w14:paraId="73B8690A">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65F13E6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14:paraId="22732C75">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0A36ADE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28FB923">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val="continue"/>
            <w:tcBorders>
              <w:top w:val="nil"/>
              <w:left w:val="single" w:color="auto" w:sz="4" w:space="0"/>
              <w:bottom w:val="single" w:color="auto" w:sz="4" w:space="0"/>
              <w:right w:val="single" w:color="auto" w:sz="4" w:space="0"/>
            </w:tcBorders>
            <w:vAlign w:val="center"/>
          </w:tcPr>
          <w:p w14:paraId="4AC75F24">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3C438D1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3C8301F9"/>
    <w:p w14:paraId="12102471"/>
    <w:p w14:paraId="63756E2B"/>
    <w:p w14:paraId="110F9E8F"/>
    <w:p w14:paraId="460F5FBC"/>
    <w:tbl>
      <w:tblPr>
        <w:tblStyle w:val="15"/>
        <w:tblW w:w="0" w:type="auto"/>
        <w:tblInd w:w="88" w:type="dxa"/>
        <w:tblLayout w:type="fixed"/>
        <w:tblCellMar>
          <w:top w:w="0" w:type="dxa"/>
          <w:left w:w="108" w:type="dxa"/>
          <w:bottom w:w="0" w:type="dxa"/>
          <w:right w:w="108" w:type="dxa"/>
        </w:tblCellMar>
      </w:tblPr>
      <w:tblGrid>
        <w:gridCol w:w="1010"/>
        <w:gridCol w:w="3188"/>
        <w:gridCol w:w="3188"/>
        <w:gridCol w:w="1016"/>
        <w:gridCol w:w="5614"/>
      </w:tblGrid>
      <w:tr w14:paraId="187654B5">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A5AF05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3C514115">
            <w:pPr>
              <w:spacing w:line="320" w:lineRule="exact"/>
              <w:jc w:val="left"/>
              <w:rPr>
                <w:rFonts w:eastAsia="仿宋_GB2312"/>
                <w:b/>
                <w:bCs/>
                <w:color w:val="000000"/>
                <w:kern w:val="0"/>
                <w:sz w:val="18"/>
                <w:szCs w:val="18"/>
              </w:rPr>
            </w:pPr>
            <w:r>
              <w:rPr>
                <w:rFonts w:eastAsia="仿宋_GB2312"/>
                <w:b/>
                <w:bCs/>
                <w:color w:val="000000"/>
                <w:kern w:val="0"/>
                <w:sz w:val="18"/>
                <w:szCs w:val="18"/>
              </w:rPr>
              <w:t>320217409000</w:t>
            </w:r>
          </w:p>
        </w:tc>
      </w:tr>
      <w:tr w14:paraId="2B75849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225C62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13525E59">
            <w:pPr>
              <w:spacing w:line="320" w:lineRule="exact"/>
              <w:jc w:val="left"/>
              <w:rPr>
                <w:color w:val="000000"/>
                <w:kern w:val="0"/>
                <w:sz w:val="18"/>
                <w:szCs w:val="18"/>
              </w:rPr>
            </w:pPr>
            <w:r>
              <w:rPr>
                <w:rFonts w:hint="eastAsia"/>
                <w:color w:val="000000"/>
                <w:kern w:val="0"/>
                <w:sz w:val="18"/>
                <w:szCs w:val="18"/>
              </w:rPr>
              <w:t>对随意倾倒、抛撒、堆放或者焚烧生活垃圾的处罚</w:t>
            </w:r>
          </w:p>
        </w:tc>
      </w:tr>
      <w:tr w14:paraId="0CC58DD1">
        <w:tblPrEx>
          <w:tblCellMar>
            <w:top w:w="0" w:type="dxa"/>
            <w:left w:w="108" w:type="dxa"/>
            <w:bottom w:w="0" w:type="dxa"/>
            <w:right w:w="108" w:type="dxa"/>
          </w:tblCellMar>
        </w:tblPrEx>
        <w:trPr>
          <w:trHeight w:val="1380" w:hRule="atLeast"/>
        </w:trPr>
        <w:tc>
          <w:tcPr>
            <w:tcW w:w="1010" w:type="dxa"/>
            <w:tcBorders>
              <w:top w:val="nil"/>
              <w:left w:val="single" w:color="auto" w:sz="8" w:space="0"/>
              <w:bottom w:val="single" w:color="auto" w:sz="4" w:space="0"/>
              <w:right w:val="single" w:color="auto" w:sz="4" w:space="0"/>
            </w:tcBorders>
            <w:vAlign w:val="center"/>
          </w:tcPr>
          <w:p w14:paraId="4CB0597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11B05EE0">
            <w:pPr>
              <w:spacing w:line="320" w:lineRule="exact"/>
              <w:jc w:val="left"/>
              <w:rPr>
                <w:color w:val="000000"/>
                <w:kern w:val="0"/>
                <w:sz w:val="18"/>
                <w:szCs w:val="18"/>
              </w:rPr>
            </w:pPr>
            <w:r>
              <w:rPr>
                <w:rFonts w:hint="eastAsia"/>
                <w:color w:val="000000"/>
                <w:kern w:val="0"/>
                <w:sz w:val="18"/>
                <w:szCs w:val="18"/>
              </w:rPr>
              <w:t xml:space="preserve">【法律】《中华人民共和国固体废物污染环境防治法》 </w:t>
            </w:r>
          </w:p>
          <w:p w14:paraId="568B9B0B">
            <w:pPr>
              <w:spacing w:line="320" w:lineRule="exact"/>
              <w:jc w:val="left"/>
              <w:rPr>
                <w:color w:val="000000"/>
                <w:kern w:val="0"/>
                <w:sz w:val="18"/>
                <w:szCs w:val="18"/>
              </w:rPr>
            </w:pPr>
            <w:r>
              <w:rPr>
                <w:rFonts w:hint="eastAsia"/>
                <w:color w:val="000000"/>
                <w:kern w:val="0"/>
                <w:sz w:val="18"/>
                <w:szCs w:val="18"/>
              </w:rPr>
              <w:t xml:space="preserve">       第四十九条第二款  任何单位和个人都应当依法在指定的地点分类投放生活垃圾。禁止随意倾倒、抛撒、堆放或者焚烧生活垃圾。</w:t>
            </w:r>
          </w:p>
          <w:p w14:paraId="4B634D0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14:paraId="02AE304C">
            <w:pPr>
              <w:spacing w:line="320" w:lineRule="exact"/>
              <w:jc w:val="left"/>
              <w:rPr>
                <w:color w:val="000000"/>
                <w:kern w:val="0"/>
                <w:sz w:val="18"/>
                <w:szCs w:val="18"/>
              </w:rPr>
            </w:pPr>
            <w:r>
              <w:rPr>
                <w:rFonts w:hint="eastAsia"/>
                <w:color w:val="000000"/>
                <w:kern w:val="0"/>
                <w:sz w:val="18"/>
                <w:szCs w:val="18"/>
              </w:rPr>
              <w:t xml:space="preserve">      （一）随意倾倒、抛撒、堆放或者焚烧生活垃圾的；</w:t>
            </w:r>
          </w:p>
          <w:p w14:paraId="0470111E">
            <w:pPr>
              <w:spacing w:line="320" w:lineRule="exact"/>
              <w:jc w:val="left"/>
              <w:rPr>
                <w:color w:val="000000"/>
                <w:kern w:val="0"/>
                <w:sz w:val="18"/>
                <w:szCs w:val="18"/>
              </w:rPr>
            </w:pPr>
            <w:r>
              <w:rPr>
                <w:rFonts w:hint="eastAsia"/>
                <w:color w:val="000000"/>
                <w:kern w:val="0"/>
                <w:sz w:val="18"/>
                <w:szCs w:val="18"/>
              </w:rPr>
              <w:t xml:space="preserve">        第二款  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14:paraId="56043D74">
            <w:pPr>
              <w:spacing w:line="320" w:lineRule="exact"/>
              <w:jc w:val="left"/>
              <w:rPr>
                <w:color w:val="000000"/>
                <w:kern w:val="0"/>
                <w:sz w:val="18"/>
                <w:szCs w:val="18"/>
              </w:rPr>
            </w:pPr>
            <w:r>
              <w:rPr>
                <w:rFonts w:hint="eastAsia"/>
                <w:color w:val="000000"/>
                <w:kern w:val="0"/>
                <w:sz w:val="18"/>
                <w:szCs w:val="18"/>
              </w:rPr>
              <w:t xml:space="preserve">        【规章】《城市生活垃圾管理办法》（建设部令第157号，住房和城乡建设部令第24号修订）</w:t>
            </w:r>
          </w:p>
          <w:p w14:paraId="0BFA3CD2">
            <w:pPr>
              <w:spacing w:line="320" w:lineRule="exact"/>
              <w:jc w:val="left"/>
              <w:rPr>
                <w:color w:val="000000"/>
                <w:kern w:val="0"/>
                <w:sz w:val="18"/>
                <w:szCs w:val="18"/>
              </w:rPr>
            </w:pPr>
            <w:r>
              <w:rPr>
                <w:rFonts w:hint="eastAsia"/>
                <w:color w:val="000000"/>
                <w:kern w:val="0"/>
                <w:sz w:val="18"/>
                <w:szCs w:val="18"/>
              </w:rPr>
              <w:t xml:space="preserve">    第十六条 禁止随意倾倒、抛洒或者堆放城市生活垃圾。  </w:t>
            </w:r>
          </w:p>
          <w:p w14:paraId="688D4FB2">
            <w:pPr>
              <w:spacing w:line="320" w:lineRule="exact"/>
              <w:jc w:val="left"/>
              <w:rPr>
                <w:color w:val="000000"/>
                <w:kern w:val="0"/>
                <w:sz w:val="18"/>
                <w:szCs w:val="18"/>
              </w:rPr>
            </w:pPr>
            <w:r>
              <w:rPr>
                <w:rFonts w:hint="eastAsia"/>
                <w:color w:val="000000"/>
                <w:kern w:val="0"/>
                <w:sz w:val="18"/>
                <w:szCs w:val="18"/>
              </w:rPr>
              <w:t xml:space="preserve">    第四十二条 违反本办法第十六条规定，随意倾倒、抛洒、堆放城市生活垃圾的，由直辖市、市、县人民政府建设（环境卫生）主管部门责令停止违法行为，限期改正，对单位处以5000元以上5万元以下的罚款。个人有以上行为的，处以200元以下的罚款。</w:t>
            </w:r>
          </w:p>
        </w:tc>
      </w:tr>
      <w:tr w14:paraId="2493FE8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3B83A6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4B3B1B6D">
            <w:pPr>
              <w:spacing w:line="320" w:lineRule="exact"/>
              <w:jc w:val="left"/>
              <w:rPr>
                <w:color w:val="000000"/>
                <w:kern w:val="0"/>
                <w:sz w:val="18"/>
                <w:szCs w:val="18"/>
              </w:rPr>
            </w:pPr>
            <w:r>
              <w:rPr>
                <w:rFonts w:hint="eastAsia"/>
                <w:color w:val="000000"/>
                <w:kern w:val="0"/>
                <w:sz w:val="18"/>
                <w:szCs w:val="18"/>
              </w:rPr>
              <w:t>责令改正，罚款，没收违法所得</w:t>
            </w:r>
          </w:p>
        </w:tc>
      </w:tr>
      <w:tr w14:paraId="36C0D7EE">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1298589C">
            <w:pPr>
              <w:spacing w:line="320" w:lineRule="exact"/>
              <w:jc w:val="center"/>
              <w:rPr>
                <w:color w:val="000000"/>
                <w:kern w:val="0"/>
                <w:sz w:val="18"/>
                <w:szCs w:val="18"/>
              </w:rPr>
            </w:pPr>
            <w:r>
              <w:rPr>
                <w:rFonts w:hint="eastAsia"/>
                <w:color w:val="000000"/>
                <w:kern w:val="0"/>
                <w:sz w:val="18"/>
                <w:szCs w:val="18"/>
              </w:rPr>
              <w:t>裁量基准</w:t>
            </w:r>
          </w:p>
        </w:tc>
      </w:tr>
      <w:tr w14:paraId="66600B2C">
        <w:tblPrEx>
          <w:tblCellMar>
            <w:top w:w="0" w:type="dxa"/>
            <w:left w:w="108" w:type="dxa"/>
            <w:bottom w:w="0" w:type="dxa"/>
            <w:right w:w="108" w:type="dxa"/>
          </w:tblCellMar>
        </w:tblPrEx>
        <w:trPr>
          <w:trHeight w:val="203" w:hRule="atLeast"/>
        </w:trPr>
        <w:tc>
          <w:tcPr>
            <w:tcW w:w="1010" w:type="dxa"/>
            <w:vMerge w:val="restart"/>
            <w:tcBorders>
              <w:top w:val="nil"/>
              <w:left w:val="single" w:color="auto" w:sz="8" w:space="0"/>
              <w:right w:val="single" w:color="auto" w:sz="4" w:space="0"/>
            </w:tcBorders>
            <w:vAlign w:val="center"/>
          </w:tcPr>
          <w:p w14:paraId="5C8CCD9D">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color="auto" w:sz="4" w:space="0"/>
              <w:left w:val="nil"/>
              <w:right w:val="single" w:color="auto" w:sz="4" w:space="0"/>
            </w:tcBorders>
            <w:vAlign w:val="center"/>
          </w:tcPr>
          <w:p w14:paraId="00EEB245">
            <w:pPr>
              <w:spacing w:line="320" w:lineRule="exact"/>
              <w:jc w:val="left"/>
              <w:rPr>
                <w:color w:val="000000"/>
                <w:kern w:val="0"/>
                <w:sz w:val="18"/>
                <w:szCs w:val="18"/>
              </w:rPr>
            </w:pPr>
            <w:r>
              <w:rPr>
                <w:rFonts w:hint="eastAsia"/>
                <w:color w:val="000000"/>
                <w:kern w:val="0"/>
                <w:sz w:val="18"/>
                <w:szCs w:val="18"/>
              </w:rPr>
              <w:t>个人倾倒、抛撒、堆放或者焚烧生活垃圾</w:t>
            </w:r>
          </w:p>
        </w:tc>
        <w:tc>
          <w:tcPr>
            <w:tcW w:w="3188" w:type="dxa"/>
            <w:tcBorders>
              <w:top w:val="single" w:color="auto" w:sz="4" w:space="0"/>
              <w:left w:val="nil"/>
              <w:bottom w:val="single" w:color="auto" w:sz="4" w:space="0"/>
              <w:right w:val="single" w:color="auto" w:sz="4" w:space="0"/>
            </w:tcBorders>
            <w:vAlign w:val="center"/>
          </w:tcPr>
          <w:p w14:paraId="43AE333A">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0.5</w:t>
            </w:r>
            <w:r>
              <w:rPr>
                <w:rFonts w:hint="eastAsia"/>
                <w:color w:val="000000"/>
                <w:kern w:val="0"/>
                <w:sz w:val="18"/>
                <w:szCs w:val="18"/>
              </w:rPr>
              <w:t>立方米以下的</w:t>
            </w:r>
          </w:p>
        </w:tc>
        <w:tc>
          <w:tcPr>
            <w:tcW w:w="1016" w:type="dxa"/>
            <w:vMerge w:val="restart"/>
            <w:tcBorders>
              <w:top w:val="nil"/>
              <w:left w:val="single" w:color="auto" w:sz="4" w:space="0"/>
              <w:right w:val="single" w:color="auto" w:sz="4" w:space="0"/>
            </w:tcBorders>
            <w:vAlign w:val="center"/>
          </w:tcPr>
          <w:p w14:paraId="581BF760">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44131403">
            <w:pPr>
              <w:spacing w:line="320" w:lineRule="exact"/>
              <w:jc w:val="left"/>
              <w:rPr>
                <w:color w:val="000000"/>
                <w:kern w:val="0"/>
                <w:sz w:val="18"/>
                <w:szCs w:val="18"/>
              </w:rPr>
            </w:pPr>
            <w:r>
              <w:rPr>
                <w:rFonts w:hint="eastAsia"/>
                <w:color w:val="000000"/>
                <w:sz w:val="18"/>
                <w:szCs w:val="18"/>
              </w:rPr>
              <w:t>处</w:t>
            </w:r>
            <w:r>
              <w:rPr>
                <w:color w:val="000000"/>
                <w:sz w:val="18"/>
                <w:szCs w:val="18"/>
              </w:rPr>
              <w:t>100</w:t>
            </w:r>
            <w:r>
              <w:rPr>
                <w:rFonts w:hint="eastAsia"/>
                <w:color w:val="000000"/>
                <w:sz w:val="18"/>
                <w:szCs w:val="18"/>
              </w:rPr>
              <w:t>元以上</w:t>
            </w:r>
            <w:r>
              <w:rPr>
                <w:color w:val="000000"/>
                <w:sz w:val="18"/>
                <w:szCs w:val="18"/>
              </w:rPr>
              <w:t>300</w:t>
            </w:r>
            <w:r>
              <w:rPr>
                <w:rFonts w:hint="eastAsia"/>
                <w:color w:val="000000"/>
                <w:sz w:val="18"/>
                <w:szCs w:val="18"/>
              </w:rPr>
              <w:t>元以下罚款</w:t>
            </w:r>
          </w:p>
        </w:tc>
      </w:tr>
      <w:tr w14:paraId="5A67AE9D">
        <w:tblPrEx>
          <w:tblCellMar>
            <w:top w:w="0" w:type="dxa"/>
            <w:left w:w="108" w:type="dxa"/>
            <w:bottom w:w="0" w:type="dxa"/>
            <w:right w:w="108" w:type="dxa"/>
          </w:tblCellMar>
        </w:tblPrEx>
        <w:trPr>
          <w:trHeight w:val="202" w:hRule="atLeast"/>
        </w:trPr>
        <w:tc>
          <w:tcPr>
            <w:tcW w:w="1010" w:type="dxa"/>
            <w:vMerge w:val="continue"/>
            <w:tcBorders>
              <w:left w:val="single" w:color="auto" w:sz="8" w:space="0"/>
              <w:right w:val="single" w:color="auto" w:sz="4" w:space="0"/>
            </w:tcBorders>
            <w:vAlign w:val="center"/>
          </w:tcPr>
          <w:p w14:paraId="39E72FBC">
            <w:pPr>
              <w:spacing w:line="320" w:lineRule="exact"/>
              <w:jc w:val="center"/>
              <w:rPr>
                <w:color w:val="000000"/>
                <w:kern w:val="0"/>
                <w:sz w:val="18"/>
                <w:szCs w:val="18"/>
              </w:rPr>
            </w:pPr>
          </w:p>
        </w:tc>
        <w:tc>
          <w:tcPr>
            <w:tcW w:w="3188" w:type="dxa"/>
            <w:vMerge w:val="continue"/>
            <w:tcBorders>
              <w:left w:val="nil"/>
              <w:bottom w:val="single" w:color="auto" w:sz="4" w:space="0"/>
              <w:right w:val="single" w:color="auto" w:sz="4" w:space="0"/>
            </w:tcBorders>
            <w:vAlign w:val="center"/>
          </w:tcPr>
          <w:p w14:paraId="781A4014">
            <w:pPr>
              <w:spacing w:line="320" w:lineRule="exact"/>
              <w:jc w:val="left"/>
              <w:rPr>
                <w:color w:val="000000"/>
                <w:kern w:val="0"/>
                <w:sz w:val="18"/>
                <w:szCs w:val="18"/>
              </w:rPr>
            </w:pPr>
          </w:p>
        </w:tc>
        <w:tc>
          <w:tcPr>
            <w:tcW w:w="3188" w:type="dxa"/>
            <w:tcBorders>
              <w:top w:val="single" w:color="auto" w:sz="4" w:space="0"/>
              <w:left w:val="nil"/>
              <w:bottom w:val="single" w:color="auto" w:sz="4" w:space="0"/>
              <w:right w:val="single" w:color="auto" w:sz="4" w:space="0"/>
            </w:tcBorders>
            <w:vAlign w:val="center"/>
          </w:tcPr>
          <w:p w14:paraId="3B696268">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0.5</w:t>
            </w:r>
            <w:r>
              <w:rPr>
                <w:rFonts w:hint="eastAsia"/>
                <w:color w:val="000000"/>
                <w:kern w:val="0"/>
                <w:sz w:val="18"/>
                <w:szCs w:val="18"/>
              </w:rPr>
              <w:t>立方米以上的</w:t>
            </w:r>
          </w:p>
        </w:tc>
        <w:tc>
          <w:tcPr>
            <w:tcW w:w="1016" w:type="dxa"/>
            <w:vMerge w:val="continue"/>
            <w:tcBorders>
              <w:left w:val="single" w:color="auto" w:sz="4" w:space="0"/>
              <w:right w:val="single" w:color="auto" w:sz="4" w:space="0"/>
            </w:tcBorders>
            <w:vAlign w:val="center"/>
          </w:tcPr>
          <w:p w14:paraId="506E2BA2">
            <w:pPr>
              <w:spacing w:line="320" w:lineRule="exact"/>
              <w:jc w:val="center"/>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5B00F73B">
            <w:pPr>
              <w:spacing w:line="320" w:lineRule="exact"/>
              <w:jc w:val="left"/>
              <w:rPr>
                <w:color w:val="000000"/>
                <w:kern w:val="0"/>
                <w:sz w:val="18"/>
                <w:szCs w:val="18"/>
              </w:rPr>
            </w:pPr>
            <w:r>
              <w:rPr>
                <w:rFonts w:hint="eastAsia"/>
                <w:color w:val="000000"/>
                <w:sz w:val="18"/>
                <w:szCs w:val="18"/>
              </w:rPr>
              <w:t>处</w:t>
            </w:r>
            <w:r>
              <w:rPr>
                <w:color w:val="000000"/>
                <w:sz w:val="18"/>
                <w:szCs w:val="18"/>
              </w:rPr>
              <w:t>300</w:t>
            </w:r>
            <w:r>
              <w:rPr>
                <w:rFonts w:hint="eastAsia"/>
                <w:color w:val="000000"/>
                <w:sz w:val="18"/>
                <w:szCs w:val="18"/>
              </w:rPr>
              <w:t>元以上</w:t>
            </w:r>
            <w:r>
              <w:rPr>
                <w:color w:val="000000"/>
                <w:sz w:val="18"/>
                <w:szCs w:val="18"/>
              </w:rPr>
              <w:t>500</w:t>
            </w:r>
            <w:r>
              <w:rPr>
                <w:rFonts w:hint="eastAsia"/>
                <w:color w:val="000000"/>
                <w:sz w:val="18"/>
                <w:szCs w:val="18"/>
              </w:rPr>
              <w:t>元以下罚款</w:t>
            </w:r>
          </w:p>
        </w:tc>
      </w:tr>
      <w:tr w14:paraId="573C1AB9">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52263BC9">
            <w:pPr>
              <w:spacing w:line="320" w:lineRule="exact"/>
              <w:jc w:val="left"/>
              <w:rPr>
                <w:color w:val="000000"/>
                <w:kern w:val="0"/>
                <w:sz w:val="18"/>
                <w:szCs w:val="18"/>
              </w:rPr>
            </w:pPr>
          </w:p>
        </w:tc>
        <w:tc>
          <w:tcPr>
            <w:tcW w:w="3188" w:type="dxa"/>
            <w:vMerge w:val="restart"/>
            <w:tcBorders>
              <w:top w:val="single" w:color="auto" w:sz="4" w:space="0"/>
              <w:left w:val="nil"/>
              <w:right w:val="single" w:color="auto" w:sz="4" w:space="0"/>
            </w:tcBorders>
            <w:vAlign w:val="center"/>
          </w:tcPr>
          <w:p w14:paraId="4EC41B03">
            <w:pPr>
              <w:spacing w:line="320" w:lineRule="exact"/>
              <w:jc w:val="left"/>
              <w:rPr>
                <w:color w:val="000000"/>
                <w:kern w:val="0"/>
                <w:sz w:val="18"/>
                <w:szCs w:val="18"/>
              </w:rPr>
            </w:pPr>
            <w:r>
              <w:rPr>
                <w:rFonts w:hint="eastAsia"/>
                <w:color w:val="000000"/>
                <w:kern w:val="0"/>
                <w:sz w:val="18"/>
                <w:szCs w:val="18"/>
              </w:rPr>
              <w:t>单位倾倒、抛撒、堆放或者焚烧生活垃圾</w:t>
            </w:r>
          </w:p>
        </w:tc>
        <w:tc>
          <w:tcPr>
            <w:tcW w:w="3188" w:type="dxa"/>
            <w:tcBorders>
              <w:top w:val="single" w:color="auto" w:sz="4" w:space="0"/>
              <w:left w:val="nil"/>
              <w:bottom w:val="single" w:color="auto" w:sz="4" w:space="0"/>
              <w:right w:val="single" w:color="auto" w:sz="4" w:space="0"/>
            </w:tcBorders>
            <w:vAlign w:val="center"/>
          </w:tcPr>
          <w:p w14:paraId="65CF0089">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立方米以下的</w:t>
            </w:r>
          </w:p>
        </w:tc>
        <w:tc>
          <w:tcPr>
            <w:tcW w:w="1016" w:type="dxa"/>
            <w:vMerge w:val="continue"/>
            <w:tcBorders>
              <w:left w:val="single" w:color="auto" w:sz="4" w:space="0"/>
              <w:right w:val="single" w:color="auto" w:sz="4" w:space="0"/>
            </w:tcBorders>
            <w:vAlign w:val="center"/>
          </w:tcPr>
          <w:p w14:paraId="16A4186B">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2A3596E1">
            <w:pPr>
              <w:spacing w:line="320" w:lineRule="exact"/>
              <w:jc w:val="left"/>
              <w:rPr>
                <w:color w:val="000000"/>
                <w:kern w:val="0"/>
                <w:sz w:val="18"/>
                <w:szCs w:val="18"/>
              </w:rPr>
            </w:pPr>
            <w:r>
              <w:rPr>
                <w:rFonts w:hint="eastAsia"/>
                <w:color w:val="000000"/>
                <w:sz w:val="18"/>
                <w:szCs w:val="18"/>
              </w:rPr>
              <w:t>处</w:t>
            </w:r>
            <w:r>
              <w:rPr>
                <w:color w:val="000000"/>
                <w:sz w:val="18"/>
                <w:szCs w:val="18"/>
              </w:rPr>
              <w:t>5</w:t>
            </w:r>
            <w:r>
              <w:rPr>
                <w:rFonts w:hint="eastAsia"/>
                <w:color w:val="000000"/>
                <w:sz w:val="18"/>
                <w:szCs w:val="18"/>
              </w:rPr>
              <w:t>万元到</w:t>
            </w:r>
            <w:r>
              <w:rPr>
                <w:color w:val="000000"/>
                <w:sz w:val="18"/>
                <w:szCs w:val="18"/>
              </w:rPr>
              <w:t>20</w:t>
            </w:r>
            <w:r>
              <w:rPr>
                <w:rFonts w:hint="eastAsia"/>
                <w:color w:val="000000"/>
                <w:sz w:val="18"/>
                <w:szCs w:val="18"/>
              </w:rPr>
              <w:t>万元罚款</w:t>
            </w:r>
          </w:p>
        </w:tc>
      </w:tr>
      <w:tr w14:paraId="7DE36E77">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1F3B5923">
            <w:pPr>
              <w:spacing w:line="320" w:lineRule="exact"/>
              <w:jc w:val="left"/>
              <w:rPr>
                <w:color w:val="000000"/>
                <w:kern w:val="0"/>
                <w:sz w:val="18"/>
                <w:szCs w:val="18"/>
              </w:rPr>
            </w:pPr>
          </w:p>
        </w:tc>
        <w:tc>
          <w:tcPr>
            <w:tcW w:w="3188" w:type="dxa"/>
            <w:vMerge w:val="continue"/>
            <w:tcBorders>
              <w:left w:val="nil"/>
              <w:bottom w:val="single" w:color="auto" w:sz="4" w:space="0"/>
              <w:right w:val="single" w:color="auto" w:sz="4" w:space="0"/>
            </w:tcBorders>
            <w:vAlign w:val="center"/>
          </w:tcPr>
          <w:p w14:paraId="6BB350FB">
            <w:pPr>
              <w:spacing w:line="320" w:lineRule="exact"/>
              <w:jc w:val="left"/>
              <w:rPr>
                <w:color w:val="000000"/>
                <w:kern w:val="0"/>
                <w:sz w:val="18"/>
                <w:szCs w:val="18"/>
              </w:rPr>
            </w:pPr>
          </w:p>
        </w:tc>
        <w:tc>
          <w:tcPr>
            <w:tcW w:w="3188" w:type="dxa"/>
            <w:tcBorders>
              <w:top w:val="single" w:color="auto" w:sz="4" w:space="0"/>
              <w:left w:val="nil"/>
              <w:bottom w:val="single" w:color="auto" w:sz="4" w:space="0"/>
              <w:right w:val="single" w:color="auto" w:sz="4" w:space="0"/>
            </w:tcBorders>
            <w:vAlign w:val="center"/>
          </w:tcPr>
          <w:p w14:paraId="12303EF8">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立方米以上</w:t>
            </w:r>
            <w:r>
              <w:rPr>
                <w:color w:val="000000"/>
                <w:kern w:val="0"/>
                <w:sz w:val="18"/>
                <w:szCs w:val="18"/>
              </w:rPr>
              <w:t>100</w:t>
            </w:r>
            <w:r>
              <w:rPr>
                <w:rFonts w:hint="eastAsia"/>
                <w:color w:val="000000"/>
                <w:kern w:val="0"/>
                <w:sz w:val="18"/>
                <w:szCs w:val="18"/>
              </w:rPr>
              <w:t>立方米以下的</w:t>
            </w:r>
          </w:p>
        </w:tc>
        <w:tc>
          <w:tcPr>
            <w:tcW w:w="1016" w:type="dxa"/>
            <w:vMerge w:val="continue"/>
            <w:tcBorders>
              <w:left w:val="single" w:color="auto" w:sz="4" w:space="0"/>
              <w:right w:val="single" w:color="auto" w:sz="4" w:space="0"/>
            </w:tcBorders>
            <w:vAlign w:val="center"/>
          </w:tcPr>
          <w:p w14:paraId="1D273CCE">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7E3BC1A3">
            <w:pPr>
              <w:spacing w:line="320" w:lineRule="exact"/>
              <w:jc w:val="left"/>
              <w:rPr>
                <w:color w:val="000000"/>
                <w:sz w:val="18"/>
                <w:szCs w:val="18"/>
              </w:rPr>
            </w:pPr>
            <w:r>
              <w:rPr>
                <w:rFonts w:hint="eastAsia"/>
                <w:color w:val="000000"/>
                <w:sz w:val="18"/>
                <w:szCs w:val="18"/>
              </w:rPr>
              <w:t>处</w:t>
            </w:r>
            <w:r>
              <w:rPr>
                <w:color w:val="000000"/>
                <w:sz w:val="18"/>
                <w:szCs w:val="18"/>
              </w:rPr>
              <w:t>20</w:t>
            </w:r>
            <w:r>
              <w:rPr>
                <w:rFonts w:hint="eastAsia"/>
                <w:color w:val="000000"/>
                <w:sz w:val="18"/>
                <w:szCs w:val="18"/>
              </w:rPr>
              <w:t>万元以上</w:t>
            </w:r>
            <w:r>
              <w:rPr>
                <w:color w:val="000000"/>
                <w:sz w:val="18"/>
                <w:szCs w:val="18"/>
              </w:rPr>
              <w:t>35</w:t>
            </w:r>
            <w:r>
              <w:rPr>
                <w:rFonts w:hint="eastAsia"/>
                <w:color w:val="000000"/>
                <w:sz w:val="18"/>
                <w:szCs w:val="18"/>
              </w:rPr>
              <w:t>万元以下罚款</w:t>
            </w:r>
          </w:p>
        </w:tc>
      </w:tr>
      <w:tr w14:paraId="1C883EAA">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22DD659C">
            <w:pPr>
              <w:spacing w:line="320" w:lineRule="exact"/>
              <w:jc w:val="left"/>
              <w:rPr>
                <w:color w:val="000000"/>
                <w:kern w:val="0"/>
                <w:sz w:val="18"/>
                <w:szCs w:val="18"/>
              </w:rPr>
            </w:pPr>
          </w:p>
        </w:tc>
        <w:tc>
          <w:tcPr>
            <w:tcW w:w="3188" w:type="dxa"/>
            <w:vMerge w:val="continue"/>
            <w:tcBorders>
              <w:left w:val="nil"/>
              <w:bottom w:val="single" w:color="auto" w:sz="4" w:space="0"/>
              <w:right w:val="single" w:color="auto" w:sz="4" w:space="0"/>
            </w:tcBorders>
            <w:vAlign w:val="center"/>
          </w:tcPr>
          <w:p w14:paraId="596567CA">
            <w:pPr>
              <w:spacing w:line="320" w:lineRule="exact"/>
              <w:jc w:val="left"/>
              <w:rPr>
                <w:color w:val="000000"/>
                <w:kern w:val="0"/>
                <w:sz w:val="18"/>
                <w:szCs w:val="18"/>
              </w:rPr>
            </w:pPr>
          </w:p>
        </w:tc>
        <w:tc>
          <w:tcPr>
            <w:tcW w:w="3188" w:type="dxa"/>
            <w:tcBorders>
              <w:top w:val="single" w:color="auto" w:sz="4" w:space="0"/>
              <w:left w:val="nil"/>
              <w:bottom w:val="single" w:color="auto" w:sz="4" w:space="0"/>
              <w:right w:val="single" w:color="auto" w:sz="4" w:space="0"/>
            </w:tcBorders>
            <w:vAlign w:val="center"/>
          </w:tcPr>
          <w:p w14:paraId="51ABF983">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w:t>
            </w:r>
            <w:r>
              <w:rPr>
                <w:rFonts w:hint="eastAsia"/>
                <w:color w:val="000000"/>
                <w:kern w:val="0"/>
                <w:sz w:val="18"/>
                <w:szCs w:val="18"/>
              </w:rPr>
              <w:t>立方米以上的</w:t>
            </w:r>
          </w:p>
        </w:tc>
        <w:tc>
          <w:tcPr>
            <w:tcW w:w="1016" w:type="dxa"/>
            <w:vMerge w:val="continue"/>
            <w:tcBorders>
              <w:left w:val="single" w:color="auto" w:sz="4" w:space="0"/>
              <w:bottom w:val="single" w:color="auto" w:sz="4" w:space="0"/>
              <w:right w:val="single" w:color="auto" w:sz="4" w:space="0"/>
            </w:tcBorders>
            <w:vAlign w:val="center"/>
          </w:tcPr>
          <w:p w14:paraId="2D1E32A4">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42F6A7E2">
            <w:pPr>
              <w:spacing w:line="320" w:lineRule="exact"/>
              <w:jc w:val="left"/>
              <w:rPr>
                <w:color w:val="000000"/>
                <w:kern w:val="0"/>
                <w:sz w:val="18"/>
                <w:szCs w:val="18"/>
              </w:rPr>
            </w:pPr>
            <w:r>
              <w:rPr>
                <w:rFonts w:hint="eastAsia"/>
                <w:color w:val="000000"/>
                <w:sz w:val="18"/>
                <w:szCs w:val="18"/>
              </w:rPr>
              <w:t>处</w:t>
            </w:r>
            <w:r>
              <w:rPr>
                <w:color w:val="000000"/>
                <w:sz w:val="18"/>
                <w:szCs w:val="18"/>
              </w:rPr>
              <w:t>35</w:t>
            </w:r>
            <w:r>
              <w:rPr>
                <w:rFonts w:hint="eastAsia"/>
                <w:color w:val="000000"/>
                <w:sz w:val="18"/>
                <w:szCs w:val="18"/>
              </w:rPr>
              <w:t>万元以上</w:t>
            </w:r>
            <w:r>
              <w:rPr>
                <w:color w:val="000000"/>
                <w:sz w:val="18"/>
                <w:szCs w:val="18"/>
              </w:rPr>
              <w:t>50</w:t>
            </w:r>
            <w:r>
              <w:rPr>
                <w:rFonts w:hint="eastAsia"/>
                <w:color w:val="000000"/>
                <w:sz w:val="18"/>
                <w:szCs w:val="18"/>
              </w:rPr>
              <w:t>万元以下罚款</w:t>
            </w:r>
          </w:p>
        </w:tc>
      </w:tr>
    </w:tbl>
    <w:p w14:paraId="1463C76D"/>
    <w:p w14:paraId="1E7F8F45"/>
    <w:p w14:paraId="505F9F13"/>
    <w:p w14:paraId="4D117DB8"/>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345B072F">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1CF87B81">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0F011005">
            <w:pPr>
              <w:spacing w:line="320" w:lineRule="exact"/>
              <w:jc w:val="left"/>
              <w:rPr>
                <w:rFonts w:eastAsia="仿宋_GB2312"/>
                <w:b/>
                <w:bCs/>
                <w:color w:val="000000"/>
                <w:kern w:val="0"/>
                <w:sz w:val="18"/>
                <w:szCs w:val="18"/>
              </w:rPr>
            </w:pPr>
            <w:r>
              <w:rPr>
                <w:rFonts w:eastAsia="仿宋_GB2312"/>
                <w:b/>
                <w:bCs/>
                <w:color w:val="000000"/>
                <w:kern w:val="0"/>
                <w:sz w:val="18"/>
                <w:szCs w:val="18"/>
              </w:rPr>
              <w:t>320217410000</w:t>
            </w:r>
            <w:r>
              <w:rPr>
                <w:rFonts w:hint="eastAsia" w:eastAsia="仿宋_GB2312"/>
                <w:b/>
                <w:bCs/>
                <w:color w:val="000000"/>
                <w:kern w:val="0"/>
                <w:sz w:val="18"/>
                <w:szCs w:val="18"/>
              </w:rPr>
              <w:t xml:space="preserve"> </w:t>
            </w:r>
          </w:p>
        </w:tc>
      </w:tr>
      <w:tr w14:paraId="2354A060">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608C1420">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695F62F5">
            <w:pPr>
              <w:spacing w:line="320" w:lineRule="exact"/>
              <w:jc w:val="left"/>
              <w:rPr>
                <w:color w:val="000000"/>
                <w:kern w:val="0"/>
                <w:sz w:val="18"/>
                <w:szCs w:val="18"/>
              </w:rPr>
            </w:pPr>
            <w:r>
              <w:rPr>
                <w:rFonts w:hint="eastAsia"/>
                <w:color w:val="000000"/>
                <w:kern w:val="0"/>
                <w:sz w:val="18"/>
                <w:szCs w:val="18"/>
              </w:rPr>
              <w:t>对擅自拆除、改动城镇排水与污水处理设施的处罚</w:t>
            </w:r>
          </w:p>
        </w:tc>
      </w:tr>
      <w:tr w14:paraId="19E9FEE5">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3443A75A">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3AA9CF92">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14:paraId="1A49D61D">
            <w:pPr>
              <w:spacing w:line="320" w:lineRule="exact"/>
              <w:jc w:val="left"/>
              <w:rPr>
                <w:color w:val="000000"/>
                <w:kern w:val="0"/>
                <w:sz w:val="18"/>
                <w:szCs w:val="18"/>
              </w:rPr>
            </w:pPr>
            <w:r>
              <w:rPr>
                <w:rFonts w:hint="eastAsia"/>
                <w:color w:val="000000"/>
                <w:kern w:val="0"/>
                <w:sz w:val="18"/>
                <w:szCs w:val="18"/>
              </w:rPr>
              <w:t>第四十三条第四款</w:t>
            </w:r>
            <w:r>
              <w:rPr>
                <w:color w:val="000000"/>
                <w:kern w:val="0"/>
                <w:sz w:val="18"/>
                <w:szCs w:val="18"/>
              </w:rPr>
              <w:t xml:space="preserve">   </w:t>
            </w:r>
            <w:r>
              <w:rPr>
                <w:rFonts w:hint="eastAsia"/>
                <w:color w:val="000000"/>
                <w:kern w:val="0"/>
                <w:sz w:val="18"/>
                <w:szCs w:val="18"/>
              </w:rPr>
              <w:t>因工程建设需要拆除、改动城镇排水与污水处理设施的，建设单位应当制定拆除、改动方案，报城镇排水主管部门审核，并承担重建、改建和采取临时措施的费用。</w:t>
            </w:r>
          </w:p>
          <w:p w14:paraId="34565436">
            <w:pPr>
              <w:spacing w:line="320" w:lineRule="exact"/>
              <w:jc w:val="left"/>
              <w:rPr>
                <w:color w:val="000000"/>
                <w:kern w:val="0"/>
                <w:sz w:val="18"/>
                <w:szCs w:val="18"/>
              </w:rPr>
            </w:pPr>
            <w:r>
              <w:rPr>
                <w:rFonts w:hint="eastAsia"/>
                <w:color w:val="000000"/>
                <w:kern w:val="0"/>
                <w:sz w:val="18"/>
                <w:szCs w:val="18"/>
              </w:rPr>
              <w:t>第五十七条第二款　违反本条例规定，擅自拆除、改动城镇排水与污水处理设施的，由城镇排水主管部门责令改正，恢复原状或者采取其他补救措施，处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万元以下罚款；造成损失的，依法承担赔偿责任；构成犯罪的，依法追究刑事责任。</w:t>
            </w:r>
          </w:p>
        </w:tc>
      </w:tr>
      <w:tr w14:paraId="1FD784CB">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0A4E23DD">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712DC4AC">
            <w:pPr>
              <w:spacing w:line="320" w:lineRule="exact"/>
              <w:jc w:val="left"/>
              <w:rPr>
                <w:color w:val="000000"/>
                <w:kern w:val="0"/>
                <w:sz w:val="18"/>
                <w:szCs w:val="18"/>
              </w:rPr>
            </w:pPr>
            <w:r>
              <w:rPr>
                <w:rFonts w:hint="eastAsia"/>
                <w:color w:val="000000"/>
                <w:kern w:val="0"/>
                <w:sz w:val="18"/>
                <w:szCs w:val="18"/>
              </w:rPr>
              <w:t>罚款</w:t>
            </w:r>
          </w:p>
        </w:tc>
      </w:tr>
      <w:tr w14:paraId="7FA76901">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1FA3B41B">
            <w:pPr>
              <w:spacing w:line="320" w:lineRule="exact"/>
              <w:jc w:val="center"/>
              <w:rPr>
                <w:color w:val="000000"/>
                <w:kern w:val="0"/>
                <w:sz w:val="18"/>
                <w:szCs w:val="18"/>
              </w:rPr>
            </w:pPr>
            <w:r>
              <w:rPr>
                <w:rFonts w:hint="eastAsia"/>
                <w:color w:val="000000"/>
                <w:kern w:val="0"/>
                <w:sz w:val="18"/>
                <w:szCs w:val="18"/>
              </w:rPr>
              <w:t>裁量基准</w:t>
            </w:r>
          </w:p>
        </w:tc>
      </w:tr>
      <w:tr w14:paraId="42C119E2">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right w:val="single" w:color="auto" w:sz="4" w:space="0"/>
            </w:tcBorders>
            <w:vAlign w:val="center"/>
          </w:tcPr>
          <w:p w14:paraId="170658A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ACBAECB">
            <w:pPr>
              <w:spacing w:line="320" w:lineRule="exact"/>
              <w:jc w:val="left"/>
              <w:rPr>
                <w:color w:val="000000"/>
                <w:kern w:val="0"/>
                <w:sz w:val="18"/>
                <w:szCs w:val="18"/>
              </w:rPr>
            </w:pPr>
            <w:r>
              <w:rPr>
                <w:rFonts w:hint="eastAsia"/>
                <w:color w:val="000000"/>
                <w:kern w:val="0"/>
                <w:sz w:val="18"/>
                <w:szCs w:val="18"/>
              </w:rPr>
              <w:t>按照要求改正，但未造成严重后果的</w:t>
            </w:r>
          </w:p>
        </w:tc>
        <w:tc>
          <w:tcPr>
            <w:tcW w:w="1000" w:type="dxa"/>
            <w:vMerge w:val="restart"/>
            <w:tcBorders>
              <w:top w:val="nil"/>
              <w:left w:val="single" w:color="auto" w:sz="4" w:space="0"/>
              <w:right w:val="single" w:color="auto" w:sz="4" w:space="0"/>
            </w:tcBorders>
            <w:vAlign w:val="center"/>
          </w:tcPr>
          <w:p w14:paraId="42734AAA">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2E5CDAB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238C44B7">
        <w:tblPrEx>
          <w:tblCellMar>
            <w:top w:w="0" w:type="dxa"/>
            <w:left w:w="108" w:type="dxa"/>
            <w:bottom w:w="0" w:type="dxa"/>
            <w:right w:w="108" w:type="dxa"/>
          </w:tblCellMar>
        </w:tblPrEx>
        <w:trPr>
          <w:trHeight w:val="285" w:hRule="atLeast"/>
        </w:trPr>
        <w:tc>
          <w:tcPr>
            <w:tcW w:w="980" w:type="dxa"/>
            <w:vMerge w:val="continue"/>
            <w:tcBorders>
              <w:left w:val="single" w:color="auto" w:sz="8" w:space="0"/>
              <w:right w:val="single" w:color="auto" w:sz="4" w:space="0"/>
            </w:tcBorders>
            <w:vAlign w:val="center"/>
          </w:tcPr>
          <w:p w14:paraId="2C5A40F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C2BB05C">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continue"/>
            <w:tcBorders>
              <w:left w:val="single" w:color="auto" w:sz="4" w:space="0"/>
              <w:right w:val="single" w:color="auto" w:sz="4" w:space="0"/>
            </w:tcBorders>
            <w:vAlign w:val="center"/>
          </w:tcPr>
          <w:p w14:paraId="0E07B8D7">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7E8361F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14:paraId="4582242D">
        <w:tblPrEx>
          <w:tblCellMar>
            <w:top w:w="0" w:type="dxa"/>
            <w:left w:w="108" w:type="dxa"/>
            <w:bottom w:w="0" w:type="dxa"/>
            <w:right w:w="108" w:type="dxa"/>
          </w:tblCellMar>
        </w:tblPrEx>
        <w:trPr>
          <w:trHeight w:val="285" w:hRule="atLeast"/>
        </w:trPr>
        <w:tc>
          <w:tcPr>
            <w:tcW w:w="980" w:type="dxa"/>
            <w:vMerge w:val="continue"/>
            <w:tcBorders>
              <w:left w:val="single" w:color="auto" w:sz="8" w:space="0"/>
              <w:right w:val="single" w:color="auto" w:sz="4" w:space="0"/>
            </w:tcBorders>
            <w:vAlign w:val="center"/>
          </w:tcPr>
          <w:p w14:paraId="2D368D7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51766F6">
            <w:pPr>
              <w:spacing w:line="320" w:lineRule="exact"/>
              <w:jc w:val="left"/>
              <w:rPr>
                <w:color w:val="000000"/>
                <w:kern w:val="0"/>
                <w:sz w:val="18"/>
                <w:szCs w:val="18"/>
              </w:rPr>
            </w:pPr>
            <w:r>
              <w:rPr>
                <w:rFonts w:hint="eastAsia"/>
                <w:color w:val="000000"/>
                <w:kern w:val="0"/>
                <w:sz w:val="18"/>
                <w:szCs w:val="18"/>
              </w:rPr>
              <w:t>按照要求改正，但造成严重后果的</w:t>
            </w:r>
          </w:p>
        </w:tc>
        <w:tc>
          <w:tcPr>
            <w:tcW w:w="1000" w:type="dxa"/>
            <w:vMerge w:val="continue"/>
            <w:tcBorders>
              <w:left w:val="single" w:color="auto" w:sz="4" w:space="0"/>
              <w:right w:val="single" w:color="auto" w:sz="4" w:space="0"/>
            </w:tcBorders>
            <w:vAlign w:val="center"/>
          </w:tcPr>
          <w:p w14:paraId="2D9BA0D3">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6D73683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14:paraId="03013658">
        <w:tblPrEx>
          <w:tblCellMar>
            <w:top w:w="0" w:type="dxa"/>
            <w:left w:w="108" w:type="dxa"/>
            <w:bottom w:w="0" w:type="dxa"/>
            <w:right w:w="108" w:type="dxa"/>
          </w:tblCellMar>
        </w:tblPrEx>
        <w:trPr>
          <w:trHeight w:val="285" w:hRule="atLeast"/>
        </w:trPr>
        <w:tc>
          <w:tcPr>
            <w:tcW w:w="980" w:type="dxa"/>
            <w:vMerge w:val="continue"/>
            <w:tcBorders>
              <w:left w:val="single" w:color="auto" w:sz="8" w:space="0"/>
              <w:bottom w:val="single" w:color="auto" w:sz="4" w:space="0"/>
              <w:right w:val="single" w:color="auto" w:sz="4" w:space="0"/>
            </w:tcBorders>
            <w:vAlign w:val="center"/>
          </w:tcPr>
          <w:p w14:paraId="0066E1B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A069EFA">
            <w:pPr>
              <w:spacing w:line="320" w:lineRule="exact"/>
              <w:jc w:val="left"/>
              <w:rPr>
                <w:color w:val="000000"/>
                <w:kern w:val="0"/>
                <w:sz w:val="18"/>
                <w:szCs w:val="18"/>
              </w:rPr>
            </w:pPr>
            <w:r>
              <w:rPr>
                <w:rFonts w:hint="eastAsia"/>
                <w:color w:val="000000"/>
                <w:kern w:val="0"/>
                <w:sz w:val="18"/>
                <w:szCs w:val="18"/>
              </w:rPr>
              <w:t>未按照要求改正，且造成严重后果的</w:t>
            </w:r>
          </w:p>
        </w:tc>
        <w:tc>
          <w:tcPr>
            <w:tcW w:w="1000" w:type="dxa"/>
            <w:vMerge w:val="continue"/>
            <w:tcBorders>
              <w:left w:val="single" w:color="auto" w:sz="4" w:space="0"/>
              <w:bottom w:val="single" w:color="auto" w:sz="4" w:space="0"/>
              <w:right w:val="single" w:color="auto" w:sz="4" w:space="0"/>
            </w:tcBorders>
            <w:vAlign w:val="center"/>
          </w:tcPr>
          <w:p w14:paraId="72AF2E4E">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4C783A3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bl>
    <w:p w14:paraId="58EF87B6"/>
    <w:p w14:paraId="52C3811A"/>
    <w:p w14:paraId="27E332B5"/>
    <w:p w14:paraId="14B7126E"/>
    <w:p w14:paraId="7214A22A"/>
    <w:p w14:paraId="54AB2EBE"/>
    <w:p w14:paraId="5D7B5F15"/>
    <w:p w14:paraId="42945411"/>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72FD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30" w:type="dxa"/>
            <w:vAlign w:val="center"/>
          </w:tcPr>
          <w:p w14:paraId="78770A84">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37906043">
            <w:pPr>
              <w:spacing w:line="320" w:lineRule="exact"/>
              <w:jc w:val="left"/>
              <w:rPr>
                <w:rFonts w:eastAsia="仿宋_GB2312"/>
                <w:b/>
                <w:bCs/>
                <w:color w:val="000000"/>
                <w:kern w:val="0"/>
                <w:sz w:val="18"/>
                <w:szCs w:val="18"/>
              </w:rPr>
            </w:pPr>
            <w:r>
              <w:rPr>
                <w:b/>
                <w:color w:val="000000"/>
                <w:kern w:val="0"/>
                <w:sz w:val="18"/>
                <w:szCs w:val="18"/>
              </w:rPr>
              <w:t>320217411000</w:t>
            </w:r>
          </w:p>
        </w:tc>
      </w:tr>
      <w:tr w14:paraId="10446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30" w:type="dxa"/>
            <w:vAlign w:val="center"/>
          </w:tcPr>
          <w:p w14:paraId="5F008A7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7D54D308">
            <w:pPr>
              <w:spacing w:line="320" w:lineRule="exact"/>
              <w:jc w:val="left"/>
              <w:rPr>
                <w:color w:val="000000"/>
                <w:kern w:val="0"/>
                <w:sz w:val="18"/>
                <w:szCs w:val="18"/>
              </w:rPr>
            </w:pPr>
            <w:r>
              <w:rPr>
                <w:rFonts w:hint="eastAsia"/>
                <w:color w:val="000000"/>
                <w:kern w:val="0"/>
                <w:sz w:val="18"/>
                <w:szCs w:val="18"/>
              </w:rPr>
              <w:t>对建设单位未在建筑物明显部位设置永久性标牌，并载明建设、勘察、设计、施工、监理等单位名称和项目负责人姓名的处罚</w:t>
            </w:r>
          </w:p>
        </w:tc>
      </w:tr>
      <w:tr w14:paraId="7DB5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30" w:type="dxa"/>
            <w:vAlign w:val="center"/>
          </w:tcPr>
          <w:p w14:paraId="1602DE84">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4092220D">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1E22B71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第十七条第一款</w:t>
            </w:r>
            <w:r>
              <w:rPr>
                <w:color w:val="000000"/>
                <w:kern w:val="0"/>
                <w:sz w:val="18"/>
                <w:szCs w:val="18"/>
              </w:rPr>
              <w:t xml:space="preserve">  </w:t>
            </w:r>
            <w:r>
              <w:rPr>
                <w:rFonts w:hint="eastAsia"/>
                <w:color w:val="000000"/>
                <w:kern w:val="0"/>
                <w:sz w:val="18"/>
                <w:szCs w:val="18"/>
              </w:rPr>
              <w:t>建设单位是工程质量的第一责任人，应当执行法定基本建设程序，履行下列工程质量义务：</w:t>
            </w:r>
          </w:p>
          <w:p w14:paraId="7D3FD342">
            <w:pPr>
              <w:spacing w:line="320" w:lineRule="exact"/>
              <w:jc w:val="left"/>
              <w:rPr>
                <w:color w:val="000000"/>
                <w:kern w:val="0"/>
                <w:sz w:val="18"/>
                <w:szCs w:val="18"/>
              </w:rPr>
            </w:pPr>
            <w:r>
              <w:rPr>
                <w:rFonts w:hint="eastAsia"/>
                <w:color w:val="000000"/>
                <w:kern w:val="0"/>
                <w:sz w:val="18"/>
                <w:szCs w:val="18"/>
              </w:rPr>
              <w:t>（三）工程竣工验收合格后，建设单位应当在建筑物明显部位设置永久性标牌，标牌上应当载明建设、勘察、设计、施工、监理等单位名称和项目负责人姓名。</w:t>
            </w:r>
          </w:p>
          <w:p w14:paraId="1897DC7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第二十三条第二款</w:t>
            </w:r>
            <w:r>
              <w:rPr>
                <w:color w:val="000000"/>
                <w:kern w:val="0"/>
                <w:sz w:val="18"/>
                <w:szCs w:val="18"/>
              </w:rPr>
              <w:t xml:space="preserve">  </w:t>
            </w:r>
            <w:r>
              <w:rPr>
                <w:rFonts w:hint="eastAsia"/>
                <w:color w:val="000000"/>
                <w:kern w:val="0"/>
                <w:sz w:val="18"/>
                <w:szCs w:val="18"/>
              </w:rPr>
              <w:t>违反本办法第十七条第（三）项规定，工程竣工验收合格后，建设单位未在建筑物明显部位设置永久性标牌，并载明建设、勘察、设计、施工、监理等单位名称和项目负责人姓名的，由住房和城乡建设行政主管部门责令改正，并可处</w:t>
            </w:r>
            <w:r>
              <w:rPr>
                <w:color w:val="000000"/>
                <w:kern w:val="0"/>
                <w:sz w:val="18"/>
                <w:szCs w:val="18"/>
              </w:rPr>
              <w:t>1</w:t>
            </w:r>
            <w:r>
              <w:rPr>
                <w:rFonts w:hint="eastAsia"/>
                <w:color w:val="000000"/>
                <w:kern w:val="0"/>
                <w:sz w:val="18"/>
                <w:szCs w:val="18"/>
              </w:rPr>
              <w:t>万元罚款。</w:t>
            </w:r>
          </w:p>
        </w:tc>
      </w:tr>
      <w:tr w14:paraId="7298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30" w:type="dxa"/>
            <w:vAlign w:val="center"/>
          </w:tcPr>
          <w:p w14:paraId="45E5D840">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4876BA84">
            <w:pPr>
              <w:spacing w:line="320" w:lineRule="exact"/>
              <w:jc w:val="left"/>
              <w:rPr>
                <w:color w:val="000000"/>
                <w:kern w:val="0"/>
                <w:sz w:val="18"/>
                <w:szCs w:val="18"/>
              </w:rPr>
            </w:pPr>
            <w:r>
              <w:rPr>
                <w:rFonts w:hint="eastAsia"/>
                <w:color w:val="000000"/>
                <w:kern w:val="0"/>
                <w:sz w:val="18"/>
                <w:szCs w:val="18"/>
              </w:rPr>
              <w:t>罚款</w:t>
            </w:r>
          </w:p>
        </w:tc>
      </w:tr>
      <w:tr w14:paraId="6768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070" w:type="dxa"/>
            <w:gridSpan w:val="4"/>
            <w:vAlign w:val="center"/>
          </w:tcPr>
          <w:p w14:paraId="52CA5F29">
            <w:pPr>
              <w:spacing w:line="320" w:lineRule="exact"/>
              <w:jc w:val="center"/>
              <w:rPr>
                <w:color w:val="000000"/>
                <w:kern w:val="0"/>
                <w:sz w:val="18"/>
                <w:szCs w:val="18"/>
              </w:rPr>
            </w:pPr>
            <w:r>
              <w:rPr>
                <w:rFonts w:hint="eastAsia"/>
                <w:color w:val="000000"/>
                <w:kern w:val="0"/>
                <w:sz w:val="18"/>
                <w:szCs w:val="18"/>
              </w:rPr>
              <w:t>裁量基准</w:t>
            </w:r>
          </w:p>
        </w:tc>
      </w:tr>
      <w:tr w14:paraId="58A3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30" w:type="dxa"/>
            <w:vMerge w:val="restart"/>
            <w:vAlign w:val="center"/>
          </w:tcPr>
          <w:p w14:paraId="4ABE296A">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050E6BE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14:paraId="39E2593D">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301AEB5A">
            <w:pPr>
              <w:spacing w:line="320" w:lineRule="exact"/>
              <w:jc w:val="left"/>
              <w:rPr>
                <w:color w:val="000000"/>
                <w:kern w:val="0"/>
                <w:sz w:val="18"/>
                <w:szCs w:val="18"/>
              </w:rPr>
            </w:pPr>
            <w:r>
              <w:rPr>
                <w:rFonts w:hint="eastAsia"/>
                <w:color w:val="000000"/>
                <w:kern w:val="0"/>
                <w:sz w:val="18"/>
                <w:szCs w:val="18"/>
              </w:rPr>
              <w:t>不处罚款</w:t>
            </w:r>
          </w:p>
        </w:tc>
      </w:tr>
      <w:tr w14:paraId="5768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30" w:type="dxa"/>
            <w:vMerge w:val="continue"/>
            <w:vAlign w:val="center"/>
          </w:tcPr>
          <w:p w14:paraId="5E3FD10D">
            <w:pPr>
              <w:spacing w:line="320" w:lineRule="exact"/>
              <w:jc w:val="center"/>
              <w:rPr>
                <w:color w:val="000000"/>
                <w:kern w:val="0"/>
                <w:sz w:val="18"/>
                <w:szCs w:val="18"/>
              </w:rPr>
            </w:pPr>
          </w:p>
        </w:tc>
        <w:tc>
          <w:tcPr>
            <w:tcW w:w="6140" w:type="dxa"/>
            <w:vAlign w:val="center"/>
          </w:tcPr>
          <w:p w14:paraId="488107C9">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530B5116">
            <w:pPr>
              <w:spacing w:line="320" w:lineRule="exact"/>
              <w:jc w:val="center"/>
              <w:rPr>
                <w:color w:val="000000"/>
                <w:kern w:val="0"/>
                <w:sz w:val="18"/>
                <w:szCs w:val="18"/>
              </w:rPr>
            </w:pPr>
          </w:p>
        </w:tc>
        <w:tc>
          <w:tcPr>
            <w:tcW w:w="5820" w:type="dxa"/>
            <w:vAlign w:val="center"/>
          </w:tcPr>
          <w:p w14:paraId="7364783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万元罚款</w:t>
            </w:r>
          </w:p>
        </w:tc>
      </w:tr>
    </w:tbl>
    <w:p w14:paraId="06E44C27"/>
    <w:p w14:paraId="7E77BA81"/>
    <w:p w14:paraId="374A4B36"/>
    <w:p w14:paraId="0AFC2695"/>
    <w:p w14:paraId="4ABFED60"/>
    <w:p w14:paraId="6F54582F"/>
    <w:p w14:paraId="1922301E"/>
    <w:p w14:paraId="170E8489"/>
    <w:p w14:paraId="01B4D03F"/>
    <w:p w14:paraId="1E3C1265"/>
    <w:p w14:paraId="384CC1D3"/>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46EBBD16">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3BA29629">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6AD699CA">
            <w:pPr>
              <w:spacing w:line="320" w:lineRule="exact"/>
              <w:jc w:val="left"/>
              <w:rPr>
                <w:rFonts w:eastAsia="仿宋_GB2312"/>
                <w:b/>
                <w:bCs/>
                <w:color w:val="000000"/>
                <w:kern w:val="0"/>
                <w:sz w:val="18"/>
                <w:szCs w:val="18"/>
              </w:rPr>
            </w:pPr>
            <w:r>
              <w:rPr>
                <w:rFonts w:eastAsia="仿宋_GB2312"/>
                <w:b/>
                <w:bCs/>
                <w:color w:val="000000"/>
                <w:kern w:val="0"/>
                <w:sz w:val="18"/>
                <w:szCs w:val="18"/>
              </w:rPr>
              <w:t>320217412000</w:t>
            </w:r>
            <w:r>
              <w:rPr>
                <w:rFonts w:hint="eastAsia" w:eastAsia="仿宋_GB2312"/>
                <w:b/>
                <w:bCs/>
                <w:color w:val="000000"/>
                <w:kern w:val="0"/>
                <w:sz w:val="18"/>
                <w:szCs w:val="18"/>
              </w:rPr>
              <w:t xml:space="preserve"> </w:t>
            </w:r>
          </w:p>
        </w:tc>
      </w:tr>
      <w:tr w14:paraId="21EE3BD6">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79B0875B">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55D096D6">
            <w:pPr>
              <w:spacing w:line="320" w:lineRule="exact"/>
              <w:jc w:val="left"/>
              <w:rPr>
                <w:color w:val="000000"/>
                <w:kern w:val="0"/>
                <w:sz w:val="18"/>
                <w:szCs w:val="18"/>
              </w:rPr>
            </w:pPr>
            <w:r>
              <w:rPr>
                <w:rFonts w:hint="eastAsia"/>
                <w:color w:val="000000"/>
                <w:kern w:val="0"/>
                <w:sz w:val="18"/>
                <w:szCs w:val="18"/>
              </w:rPr>
              <w:t>对未取得燃气经营许可证从事燃气经营活动的处罚</w:t>
            </w:r>
          </w:p>
        </w:tc>
      </w:tr>
      <w:tr w14:paraId="2BC95DD8">
        <w:tblPrEx>
          <w:tblCellMar>
            <w:top w:w="0" w:type="dxa"/>
            <w:left w:w="108" w:type="dxa"/>
            <w:bottom w:w="0" w:type="dxa"/>
            <w:right w:w="108" w:type="dxa"/>
          </w:tblCellMar>
        </w:tblPrEx>
        <w:trPr>
          <w:trHeight w:val="1020" w:hRule="atLeast"/>
        </w:trPr>
        <w:tc>
          <w:tcPr>
            <w:tcW w:w="980" w:type="dxa"/>
            <w:tcBorders>
              <w:top w:val="nil"/>
              <w:left w:val="single" w:color="auto" w:sz="8" w:space="0"/>
              <w:bottom w:val="single" w:color="auto" w:sz="4" w:space="0"/>
              <w:right w:val="single" w:color="auto" w:sz="4" w:space="0"/>
            </w:tcBorders>
            <w:vAlign w:val="center"/>
          </w:tcPr>
          <w:p w14:paraId="4A229DD7">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48D64E06">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23411338">
            <w:pPr>
              <w:spacing w:line="320" w:lineRule="exact"/>
              <w:jc w:val="left"/>
              <w:rPr>
                <w:color w:val="000000"/>
                <w:kern w:val="0"/>
                <w:sz w:val="18"/>
                <w:szCs w:val="18"/>
              </w:rPr>
            </w:pPr>
            <w:r>
              <w:rPr>
                <w:rFonts w:hint="eastAsia"/>
                <w:color w:val="000000"/>
                <w:kern w:val="0"/>
                <w:sz w:val="18"/>
                <w:szCs w:val="18"/>
              </w:rPr>
              <w:t>第十五条第一款</w:t>
            </w:r>
            <w:r>
              <w:rPr>
                <w:color w:val="000000"/>
                <w:kern w:val="0"/>
                <w:sz w:val="18"/>
                <w:szCs w:val="18"/>
              </w:rPr>
              <w:t xml:space="preserve">  </w:t>
            </w:r>
            <w:r>
              <w:rPr>
                <w:rFonts w:hint="eastAsia"/>
                <w:color w:val="000000"/>
                <w:kern w:val="0"/>
                <w:sz w:val="18"/>
                <w:szCs w:val="18"/>
              </w:rPr>
              <w:t>国家对燃气经营实行许可证制度。从事燃气经营活动的企业，应当具备下列条件。</w:t>
            </w:r>
          </w:p>
          <w:p w14:paraId="2CB08FBD">
            <w:pPr>
              <w:spacing w:line="320" w:lineRule="exact"/>
              <w:jc w:val="left"/>
              <w:rPr>
                <w:color w:val="000000"/>
                <w:kern w:val="0"/>
                <w:sz w:val="18"/>
                <w:szCs w:val="18"/>
              </w:rPr>
            </w:pPr>
            <w:r>
              <w:rPr>
                <w:rFonts w:hint="eastAsia"/>
                <w:color w:val="000000"/>
                <w:kern w:val="0"/>
                <w:sz w:val="18"/>
                <w:szCs w:val="18"/>
              </w:rPr>
              <w:t>第四十五条第一款</w:t>
            </w:r>
            <w:r>
              <w:rPr>
                <w:color w:val="000000"/>
                <w:kern w:val="0"/>
                <w:sz w:val="18"/>
                <w:szCs w:val="18"/>
              </w:rPr>
              <w:t xml:space="preserve">  </w:t>
            </w:r>
            <w:r>
              <w:rPr>
                <w:rFonts w:hint="eastAsia"/>
                <w:color w:val="000000"/>
                <w:kern w:val="0"/>
                <w:sz w:val="18"/>
                <w:szCs w:val="18"/>
              </w:rPr>
              <w:t>违反本条例规定，未取得燃气经营许可证从事燃气经营活动的，由燃气管理部门责令停止违法行为，处</w:t>
            </w:r>
            <w:r>
              <w:rPr>
                <w:color w:val="000000"/>
                <w:kern w:val="0"/>
                <w:sz w:val="18"/>
                <w:szCs w:val="18"/>
              </w:rPr>
              <w:t>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万元以下罚款；有违法所得的，没收违法所得；构成犯罪的，依法追究刑事责任。</w:t>
            </w:r>
          </w:p>
        </w:tc>
      </w:tr>
      <w:tr w14:paraId="1F71A348">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5AC18C1C">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56FC1C5B">
            <w:pPr>
              <w:spacing w:line="320" w:lineRule="exact"/>
              <w:jc w:val="left"/>
              <w:rPr>
                <w:color w:val="000000"/>
                <w:kern w:val="0"/>
                <w:sz w:val="18"/>
                <w:szCs w:val="18"/>
              </w:rPr>
            </w:pPr>
            <w:r>
              <w:rPr>
                <w:rFonts w:hint="eastAsia"/>
                <w:color w:val="000000"/>
                <w:kern w:val="0"/>
                <w:sz w:val="18"/>
                <w:szCs w:val="18"/>
              </w:rPr>
              <w:t>罚款，没收违法所得</w:t>
            </w:r>
          </w:p>
        </w:tc>
      </w:tr>
      <w:tr w14:paraId="4C7AF5E3">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5B985837">
            <w:pPr>
              <w:spacing w:line="320" w:lineRule="exact"/>
              <w:jc w:val="center"/>
              <w:rPr>
                <w:color w:val="000000"/>
                <w:kern w:val="0"/>
                <w:sz w:val="18"/>
                <w:szCs w:val="18"/>
              </w:rPr>
            </w:pPr>
            <w:r>
              <w:rPr>
                <w:rFonts w:hint="eastAsia"/>
                <w:color w:val="000000"/>
                <w:kern w:val="0"/>
                <w:sz w:val="18"/>
                <w:szCs w:val="18"/>
              </w:rPr>
              <w:t>裁量基准</w:t>
            </w:r>
          </w:p>
        </w:tc>
      </w:tr>
      <w:tr w14:paraId="52DB11E2">
        <w:tblPrEx>
          <w:tblCellMar>
            <w:top w:w="0" w:type="dxa"/>
            <w:left w:w="108" w:type="dxa"/>
            <w:bottom w:w="0" w:type="dxa"/>
            <w:right w:w="108" w:type="dxa"/>
          </w:tblCellMar>
        </w:tblPrEx>
        <w:trPr>
          <w:trHeight w:val="650" w:hRule="atLeast"/>
        </w:trPr>
        <w:tc>
          <w:tcPr>
            <w:tcW w:w="980" w:type="dxa"/>
            <w:vMerge w:val="restart"/>
            <w:tcBorders>
              <w:top w:val="nil"/>
              <w:left w:val="single" w:color="auto" w:sz="8" w:space="0"/>
              <w:bottom w:val="single" w:color="auto" w:sz="4" w:space="0"/>
              <w:right w:val="single" w:color="auto" w:sz="4" w:space="0"/>
            </w:tcBorders>
            <w:vAlign w:val="center"/>
          </w:tcPr>
          <w:p w14:paraId="465214B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AF804BB">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single" w:color="auto" w:sz="4" w:space="0"/>
              <w:left w:val="single" w:color="auto" w:sz="4" w:space="0"/>
              <w:bottom w:val="single" w:color="auto" w:sz="4" w:space="0"/>
              <w:right w:val="single" w:color="auto" w:sz="4" w:space="0"/>
            </w:tcBorders>
            <w:vAlign w:val="center"/>
          </w:tcPr>
          <w:p w14:paraId="767DE020">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single" w:color="auto" w:sz="4" w:space="0"/>
              <w:left w:val="nil"/>
              <w:bottom w:val="single" w:color="auto" w:sz="4" w:space="0"/>
              <w:right w:val="single" w:color="auto" w:sz="4" w:space="0"/>
            </w:tcBorders>
            <w:vAlign w:val="center"/>
          </w:tcPr>
          <w:p w14:paraId="5C55A7EC">
            <w:pPr>
              <w:spacing w:line="320" w:lineRule="exact"/>
              <w:jc w:val="left"/>
              <w:rPr>
                <w:color w:val="000000"/>
                <w:kern w:val="0"/>
                <w:sz w:val="18"/>
                <w:szCs w:val="18"/>
              </w:rPr>
            </w:pPr>
            <w:r>
              <w:rPr>
                <w:rFonts w:hint="eastAsia"/>
                <w:color w:val="000000"/>
                <w:kern w:val="0"/>
                <w:sz w:val="18"/>
                <w:szCs w:val="18"/>
              </w:rPr>
              <w:t>处5万元以上</w:t>
            </w:r>
            <w:r>
              <w:rPr>
                <w:color w:val="000000"/>
                <w:kern w:val="0"/>
                <w:sz w:val="18"/>
                <w:szCs w:val="18"/>
              </w:rPr>
              <w:t>30</w:t>
            </w:r>
            <w:r>
              <w:rPr>
                <w:rFonts w:hint="eastAsia"/>
                <w:color w:val="000000"/>
                <w:kern w:val="0"/>
                <w:sz w:val="18"/>
                <w:szCs w:val="18"/>
              </w:rPr>
              <w:t>万元以下罚款</w:t>
            </w:r>
          </w:p>
        </w:tc>
      </w:tr>
      <w:tr w14:paraId="0F59A406">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24ADF53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4534624">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2AC871AB">
            <w:pPr>
              <w:spacing w:line="320" w:lineRule="exact"/>
              <w:jc w:val="left"/>
              <w:rPr>
                <w:color w:val="000000"/>
                <w:kern w:val="0"/>
                <w:sz w:val="18"/>
                <w:szCs w:val="18"/>
              </w:rPr>
            </w:pPr>
          </w:p>
        </w:tc>
        <w:tc>
          <w:tcPr>
            <w:tcW w:w="5956" w:type="dxa"/>
            <w:tcBorders>
              <w:top w:val="single" w:color="auto" w:sz="4" w:space="0"/>
              <w:left w:val="nil"/>
              <w:bottom w:val="single" w:color="auto" w:sz="4" w:space="0"/>
              <w:right w:val="single" w:color="auto" w:sz="4" w:space="0"/>
            </w:tcBorders>
            <w:vAlign w:val="center"/>
          </w:tcPr>
          <w:p w14:paraId="48D3044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14:paraId="73211037">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66359B5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A1B021C">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69001898">
            <w:pPr>
              <w:spacing w:line="320" w:lineRule="exact"/>
              <w:jc w:val="left"/>
              <w:rPr>
                <w:color w:val="000000"/>
                <w:kern w:val="0"/>
                <w:sz w:val="18"/>
                <w:szCs w:val="18"/>
              </w:rPr>
            </w:pPr>
          </w:p>
        </w:tc>
        <w:tc>
          <w:tcPr>
            <w:tcW w:w="5956" w:type="dxa"/>
            <w:tcBorders>
              <w:top w:val="single" w:color="auto" w:sz="4" w:space="0"/>
              <w:left w:val="nil"/>
              <w:bottom w:val="single" w:color="auto" w:sz="4" w:space="0"/>
              <w:right w:val="single" w:color="auto" w:sz="4" w:space="0"/>
            </w:tcBorders>
            <w:vAlign w:val="center"/>
          </w:tcPr>
          <w:p w14:paraId="4424FBB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3EDD8E11"/>
    <w:p w14:paraId="4C0FB73A"/>
    <w:p w14:paraId="10B212A0"/>
    <w:p w14:paraId="0EA39787"/>
    <w:p w14:paraId="46D25FB4"/>
    <w:p w14:paraId="43210B2E"/>
    <w:p w14:paraId="56377D4F"/>
    <w:p w14:paraId="0A3E6916"/>
    <w:p w14:paraId="5D0EF617"/>
    <w:p w14:paraId="252F8969"/>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58663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49991AE">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382C8C72">
            <w:pPr>
              <w:spacing w:line="320" w:lineRule="exact"/>
              <w:jc w:val="left"/>
              <w:rPr>
                <w:rFonts w:eastAsia="仿宋_GB2312"/>
                <w:b/>
                <w:bCs/>
                <w:color w:val="000000"/>
                <w:kern w:val="0"/>
                <w:sz w:val="18"/>
                <w:szCs w:val="18"/>
              </w:rPr>
            </w:pPr>
            <w:r>
              <w:rPr>
                <w:rFonts w:eastAsia="仿宋_GB2312"/>
                <w:b/>
                <w:bCs/>
                <w:color w:val="000000"/>
                <w:kern w:val="0"/>
                <w:sz w:val="18"/>
                <w:szCs w:val="18"/>
              </w:rPr>
              <w:t>320217413000</w:t>
            </w:r>
          </w:p>
        </w:tc>
      </w:tr>
      <w:tr w14:paraId="3580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9D517C8">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4BFEE531">
            <w:pPr>
              <w:spacing w:line="320" w:lineRule="exact"/>
              <w:jc w:val="left"/>
              <w:rPr>
                <w:color w:val="000000"/>
                <w:kern w:val="0"/>
                <w:sz w:val="18"/>
                <w:szCs w:val="18"/>
              </w:rPr>
            </w:pPr>
            <w:r>
              <w:rPr>
                <w:rFonts w:hint="eastAsia"/>
                <w:color w:val="000000"/>
                <w:kern w:val="0"/>
                <w:sz w:val="18"/>
                <w:szCs w:val="18"/>
              </w:rPr>
              <w:t>对施工单位在施工前未书面告知负责特种设备安全监督管理的部门即行施工的，或者在验收后三十日内未将相关技术资料和文件移交特种设备使用单位的处罚</w:t>
            </w:r>
          </w:p>
        </w:tc>
      </w:tr>
      <w:tr w14:paraId="71B9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7C49D624">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735E0E0B">
            <w:pPr>
              <w:spacing w:line="320" w:lineRule="exact"/>
              <w:jc w:val="left"/>
              <w:rPr>
                <w:color w:val="000000"/>
                <w:kern w:val="0"/>
                <w:sz w:val="18"/>
                <w:szCs w:val="18"/>
              </w:rPr>
            </w:pPr>
            <w:r>
              <w:rPr>
                <w:rFonts w:hint="eastAsia"/>
                <w:color w:val="000000"/>
                <w:kern w:val="0"/>
                <w:sz w:val="18"/>
                <w:szCs w:val="18"/>
              </w:rPr>
              <w:t>【法律】《中华人民共和国特种设备安全法》</w:t>
            </w:r>
          </w:p>
          <w:p w14:paraId="47CF9314">
            <w:pPr>
              <w:spacing w:line="32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特种设备安装、改造、修理的施工单位应当在施工前将拟进行的特种设备安装、改造、修理情况书面告知直辖市或者设区的市级人民政府负责特种设备安全监督管理的部门。</w:t>
            </w:r>
          </w:p>
          <w:p w14:paraId="71FCBAE6">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特种设备安装、改造、修理竣工后，安装、改造、修理的施工单位应当在验收后三十日内将相关技术资料和文件移交特种设备使用单位。特种设备使用单位应当将其存入该特种设备的安全技术档案。</w:t>
            </w:r>
          </w:p>
          <w:p w14:paraId="44D18626">
            <w:pPr>
              <w:spacing w:line="320" w:lineRule="exact"/>
              <w:jc w:val="left"/>
              <w:rPr>
                <w:color w:val="000000"/>
                <w:kern w:val="0"/>
                <w:sz w:val="18"/>
                <w:szCs w:val="18"/>
              </w:rPr>
            </w:pPr>
            <w:r>
              <w:rPr>
                <w:rFonts w:hint="eastAsia"/>
                <w:color w:val="000000"/>
                <w:kern w:val="0"/>
                <w:sz w:val="18"/>
                <w:szCs w:val="18"/>
              </w:rPr>
              <w:t>第七十八条违反本法规定，特种设备安装、改造、修理的施工单位在施工前未书面告知负责特种设备安全监督管理的部门即行施工的，或者在验收后三十日内未将相关技术资料和文件移交特种设备使用单位的，责令限期改正；逾期未改正的，处一万元以上十万元以下罚款。</w:t>
            </w:r>
          </w:p>
        </w:tc>
      </w:tr>
      <w:tr w14:paraId="5B38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374C6E9">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20F4E726">
            <w:pPr>
              <w:spacing w:line="320" w:lineRule="exact"/>
              <w:jc w:val="left"/>
              <w:rPr>
                <w:color w:val="000000"/>
                <w:kern w:val="0"/>
                <w:sz w:val="18"/>
                <w:szCs w:val="18"/>
              </w:rPr>
            </w:pPr>
            <w:r>
              <w:rPr>
                <w:rFonts w:hint="eastAsia"/>
                <w:color w:val="000000"/>
                <w:kern w:val="0"/>
                <w:sz w:val="18"/>
                <w:szCs w:val="18"/>
              </w:rPr>
              <w:t>罚款</w:t>
            </w:r>
          </w:p>
        </w:tc>
      </w:tr>
      <w:tr w14:paraId="7C7C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367A475B">
            <w:pPr>
              <w:spacing w:line="320" w:lineRule="exact"/>
              <w:jc w:val="center"/>
              <w:rPr>
                <w:color w:val="000000"/>
                <w:kern w:val="0"/>
                <w:sz w:val="18"/>
                <w:szCs w:val="18"/>
              </w:rPr>
            </w:pPr>
            <w:r>
              <w:rPr>
                <w:rFonts w:hint="eastAsia"/>
                <w:color w:val="000000"/>
                <w:kern w:val="0"/>
                <w:sz w:val="18"/>
                <w:szCs w:val="18"/>
              </w:rPr>
              <w:t>裁量基准</w:t>
            </w:r>
          </w:p>
        </w:tc>
      </w:tr>
      <w:tr w14:paraId="4709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442E9924">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3966A290">
            <w:pPr>
              <w:spacing w:line="320" w:lineRule="exact"/>
              <w:jc w:val="left"/>
              <w:rPr>
                <w:color w:val="000000"/>
                <w:kern w:val="0"/>
                <w:sz w:val="18"/>
                <w:szCs w:val="18"/>
              </w:rPr>
            </w:pPr>
            <w:r>
              <w:rPr>
                <w:rFonts w:hint="eastAsia"/>
                <w:color w:val="000000"/>
                <w:kern w:val="0"/>
                <w:sz w:val="18"/>
                <w:szCs w:val="18"/>
              </w:rPr>
              <w:t>未按照要求整改，未发生安全事故的</w:t>
            </w:r>
          </w:p>
        </w:tc>
        <w:tc>
          <w:tcPr>
            <w:tcW w:w="1080" w:type="dxa"/>
            <w:vMerge w:val="restart"/>
            <w:vAlign w:val="center"/>
          </w:tcPr>
          <w:p w14:paraId="7A8C2A3D">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771BBCA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18B1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2E3CE9E2">
            <w:pPr>
              <w:spacing w:line="320" w:lineRule="exact"/>
              <w:jc w:val="center"/>
              <w:rPr>
                <w:color w:val="000000"/>
                <w:kern w:val="0"/>
                <w:sz w:val="18"/>
                <w:szCs w:val="18"/>
              </w:rPr>
            </w:pPr>
          </w:p>
        </w:tc>
        <w:tc>
          <w:tcPr>
            <w:tcW w:w="6140" w:type="dxa"/>
            <w:vAlign w:val="center"/>
          </w:tcPr>
          <w:p w14:paraId="2597EDF0">
            <w:pPr>
              <w:spacing w:line="320" w:lineRule="exact"/>
              <w:jc w:val="left"/>
              <w:rPr>
                <w:color w:val="000000"/>
                <w:kern w:val="0"/>
                <w:sz w:val="18"/>
                <w:szCs w:val="18"/>
              </w:rPr>
            </w:pPr>
            <w:r>
              <w:rPr>
                <w:rFonts w:hint="eastAsia"/>
                <w:color w:val="000000"/>
                <w:kern w:val="0"/>
                <w:sz w:val="18"/>
                <w:szCs w:val="18"/>
              </w:rPr>
              <w:t>未按照要求整改，发生一般安全事故的</w:t>
            </w:r>
          </w:p>
        </w:tc>
        <w:tc>
          <w:tcPr>
            <w:tcW w:w="1080" w:type="dxa"/>
            <w:vMerge w:val="continue"/>
            <w:vAlign w:val="center"/>
          </w:tcPr>
          <w:p w14:paraId="55DDEE8E">
            <w:pPr>
              <w:spacing w:line="320" w:lineRule="exact"/>
              <w:jc w:val="center"/>
              <w:rPr>
                <w:color w:val="000000"/>
                <w:kern w:val="0"/>
                <w:sz w:val="18"/>
                <w:szCs w:val="18"/>
              </w:rPr>
            </w:pPr>
          </w:p>
        </w:tc>
        <w:tc>
          <w:tcPr>
            <w:tcW w:w="5820" w:type="dxa"/>
            <w:vAlign w:val="center"/>
          </w:tcPr>
          <w:p w14:paraId="4FAFB94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117D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2077594A">
            <w:pPr>
              <w:spacing w:line="320" w:lineRule="exact"/>
              <w:jc w:val="center"/>
              <w:rPr>
                <w:color w:val="000000"/>
                <w:kern w:val="0"/>
                <w:sz w:val="18"/>
                <w:szCs w:val="18"/>
              </w:rPr>
            </w:pPr>
          </w:p>
        </w:tc>
        <w:tc>
          <w:tcPr>
            <w:tcW w:w="6140" w:type="dxa"/>
            <w:vAlign w:val="center"/>
          </w:tcPr>
          <w:p w14:paraId="7CC96748">
            <w:pPr>
              <w:spacing w:line="320" w:lineRule="exact"/>
              <w:jc w:val="left"/>
              <w:rPr>
                <w:color w:val="000000"/>
                <w:kern w:val="0"/>
                <w:sz w:val="18"/>
                <w:szCs w:val="18"/>
              </w:rPr>
            </w:pPr>
            <w:r>
              <w:rPr>
                <w:rFonts w:hint="eastAsia"/>
                <w:color w:val="000000"/>
                <w:kern w:val="0"/>
                <w:sz w:val="18"/>
                <w:szCs w:val="18"/>
              </w:rPr>
              <w:t>未按照要求整改，发生较大及以上安全事故的</w:t>
            </w:r>
          </w:p>
        </w:tc>
        <w:tc>
          <w:tcPr>
            <w:tcW w:w="1080" w:type="dxa"/>
            <w:vMerge w:val="continue"/>
            <w:vAlign w:val="center"/>
          </w:tcPr>
          <w:p w14:paraId="1000C1A2">
            <w:pPr>
              <w:spacing w:line="320" w:lineRule="exact"/>
              <w:jc w:val="center"/>
              <w:rPr>
                <w:color w:val="000000"/>
                <w:kern w:val="0"/>
                <w:sz w:val="18"/>
                <w:szCs w:val="18"/>
              </w:rPr>
            </w:pPr>
          </w:p>
        </w:tc>
        <w:tc>
          <w:tcPr>
            <w:tcW w:w="5820" w:type="dxa"/>
            <w:vAlign w:val="center"/>
          </w:tcPr>
          <w:p w14:paraId="10C4F6E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0CDC27CD"/>
    <w:p w14:paraId="57409B05"/>
    <w:p w14:paraId="4DB366F1"/>
    <w:p w14:paraId="7CFC2C20"/>
    <w:p w14:paraId="67343CED"/>
    <w:p w14:paraId="5C0CEFD1"/>
    <w:p w14:paraId="1E92BFE7"/>
    <w:p w14:paraId="06853859"/>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5E6B0635">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76E25F7E">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268E202C">
            <w:pPr>
              <w:spacing w:line="320" w:lineRule="exact"/>
              <w:jc w:val="left"/>
              <w:rPr>
                <w:rFonts w:eastAsia="仿宋_GB2312"/>
                <w:b/>
                <w:bCs/>
                <w:color w:val="000000"/>
                <w:kern w:val="0"/>
                <w:sz w:val="18"/>
                <w:szCs w:val="18"/>
              </w:rPr>
            </w:pPr>
            <w:r>
              <w:rPr>
                <w:rFonts w:eastAsia="仿宋_GB2312"/>
                <w:b/>
                <w:bCs/>
                <w:color w:val="000000"/>
                <w:kern w:val="0"/>
                <w:sz w:val="18"/>
                <w:szCs w:val="18"/>
              </w:rPr>
              <w:t>320217414000</w:t>
            </w:r>
            <w:r>
              <w:rPr>
                <w:rFonts w:hint="eastAsia" w:eastAsia="仿宋_GB2312"/>
                <w:b/>
                <w:bCs/>
                <w:color w:val="000000"/>
                <w:kern w:val="0"/>
                <w:sz w:val="18"/>
                <w:szCs w:val="18"/>
              </w:rPr>
              <w:t xml:space="preserve"> </w:t>
            </w:r>
          </w:p>
        </w:tc>
      </w:tr>
      <w:tr w14:paraId="2176476D">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D84FAF1">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1B8FB250">
            <w:pPr>
              <w:spacing w:line="320" w:lineRule="exact"/>
              <w:jc w:val="left"/>
              <w:rPr>
                <w:color w:val="000000"/>
                <w:kern w:val="0"/>
                <w:sz w:val="18"/>
                <w:szCs w:val="18"/>
              </w:rPr>
            </w:pPr>
            <w:r>
              <w:rPr>
                <w:rFonts w:hint="eastAsia"/>
                <w:color w:val="000000"/>
                <w:kern w:val="0"/>
                <w:sz w:val="18"/>
                <w:szCs w:val="18"/>
              </w:rPr>
              <w:t>对擅自倾倒、堆放、丢弃、遗撒污泥的处罚</w:t>
            </w:r>
          </w:p>
        </w:tc>
      </w:tr>
      <w:tr w14:paraId="06467F4B">
        <w:tblPrEx>
          <w:tblCellMar>
            <w:top w:w="0" w:type="dxa"/>
            <w:left w:w="108" w:type="dxa"/>
            <w:bottom w:w="0" w:type="dxa"/>
            <w:right w:w="108" w:type="dxa"/>
          </w:tblCellMar>
        </w:tblPrEx>
        <w:trPr>
          <w:trHeight w:val="986" w:hRule="atLeast"/>
        </w:trPr>
        <w:tc>
          <w:tcPr>
            <w:tcW w:w="980" w:type="dxa"/>
            <w:tcBorders>
              <w:top w:val="nil"/>
              <w:left w:val="single" w:color="auto" w:sz="8" w:space="0"/>
              <w:bottom w:val="single" w:color="auto" w:sz="4" w:space="0"/>
              <w:right w:val="single" w:color="auto" w:sz="4" w:space="0"/>
            </w:tcBorders>
            <w:vAlign w:val="center"/>
          </w:tcPr>
          <w:p w14:paraId="74511F42">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2BBB3FE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p>
          <w:p w14:paraId="0FD3D2A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第七十二条第一款</w:t>
            </w:r>
            <w:r>
              <w:rPr>
                <w:color w:val="000000"/>
                <w:kern w:val="0"/>
                <w:sz w:val="18"/>
                <w:szCs w:val="18"/>
              </w:rPr>
              <w:t>  </w:t>
            </w:r>
            <w:r>
              <w:rPr>
                <w:rFonts w:hint="eastAsia"/>
                <w:color w:val="000000"/>
                <w:kern w:val="0"/>
                <w:sz w:val="18"/>
                <w:szCs w:val="18"/>
              </w:rPr>
              <w:t>禁止擅自倾倒、堆放、丢弃、遗撒城镇污水处理设施产生的污泥和处理后的污泥。</w:t>
            </w:r>
          </w:p>
          <w:p w14:paraId="221869F4">
            <w:pPr>
              <w:spacing w:line="320" w:lineRule="exact"/>
              <w:jc w:val="left"/>
              <w:rPr>
                <w:color w:val="000000"/>
                <w:kern w:val="0"/>
                <w:sz w:val="18"/>
                <w:szCs w:val="18"/>
              </w:rPr>
            </w:pPr>
            <w:r>
              <w:rPr>
                <w:rFonts w:hint="eastAsia"/>
                <w:color w:val="000000"/>
                <w:kern w:val="0"/>
                <w:sz w:val="18"/>
                <w:szCs w:val="18"/>
              </w:rPr>
              <w:t xml:space="preserve">        第一百零八条第二款   违反本法规定，擅自倾倒、堆放、丢弃、遗撒城镇污水处理设施产生的污泥和处理后的污泥的，由城镇排水主管部门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拒不改正的，城镇排水主管部门可以指定有治理能力的单位代为治理，所需费用由违法者承担。</w:t>
            </w:r>
          </w:p>
          <w:p w14:paraId="5E59D081">
            <w:pPr>
              <w:spacing w:line="320" w:lineRule="exact"/>
              <w:jc w:val="left"/>
              <w:rPr>
                <w:color w:val="000000"/>
                <w:kern w:val="0"/>
                <w:sz w:val="18"/>
                <w:szCs w:val="18"/>
              </w:rPr>
            </w:pPr>
            <w:r>
              <w:rPr>
                <w:rFonts w:hint="eastAsia"/>
                <w:color w:val="000000"/>
                <w:kern w:val="0"/>
                <w:sz w:val="18"/>
                <w:szCs w:val="18"/>
              </w:rPr>
              <w:t>【行政法规】《城镇排水与污水处理条例》（国务院令第641号）</w:t>
            </w:r>
          </w:p>
          <w:p w14:paraId="00893CC0">
            <w:pPr>
              <w:spacing w:line="320" w:lineRule="exact"/>
              <w:jc w:val="left"/>
              <w:rPr>
                <w:color w:val="000000"/>
                <w:kern w:val="0"/>
                <w:sz w:val="18"/>
                <w:szCs w:val="18"/>
              </w:rPr>
            </w:pPr>
            <w:r>
              <w:rPr>
                <w:rFonts w:hint="eastAsia"/>
                <w:color w:val="000000"/>
                <w:kern w:val="0"/>
                <w:sz w:val="18"/>
                <w:szCs w:val="18"/>
              </w:rPr>
              <w:t xml:space="preserve">        第三十条　城镇污水处理设施维护运营单位或者污泥处理处置单位应当安全处理处置污泥，保证处理处置后的污泥符合国家有关标准，对产生的污泥以及处理处置后的污泥去向、用途、用量等进行跟踪、记录，并向城镇排水主管部门、环境保护主管部门报告。任何单位和个人不得擅自倾倒、堆放、丢弃、遗撒污泥。</w:t>
            </w:r>
          </w:p>
          <w:p w14:paraId="69566544">
            <w:pPr>
              <w:spacing w:line="320" w:lineRule="exact"/>
              <w:jc w:val="left"/>
              <w:rPr>
                <w:color w:val="000000"/>
                <w:kern w:val="0"/>
                <w:sz w:val="18"/>
                <w:szCs w:val="18"/>
              </w:rPr>
            </w:pPr>
            <w:r>
              <w:rPr>
                <w:rFonts w:hint="eastAsia"/>
                <w:color w:val="000000"/>
                <w:kern w:val="0"/>
                <w:sz w:val="18"/>
                <w:szCs w:val="18"/>
              </w:rPr>
              <w:t xml:space="preserve">        第五十三条第二款　违反本条例规定，擅自倾倒、堆放、丢弃、遗撒污泥的，由城镇排水主管部门责令停止违法行为，限期采取治理措施，给予警告；造成严重后果的，对单位处10万元以上50万元以下罚款，对个人处2万元以上10万元以下罚款；逾期不采取治理措施的，城镇排水主管部门可以指定有治理能力的单位代为治理，所需费用由当事人承担；造成损失的，依法承担赔偿责任。</w:t>
            </w:r>
          </w:p>
        </w:tc>
      </w:tr>
      <w:tr w14:paraId="09D02EBD">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9C63D17">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332E8674">
            <w:pPr>
              <w:spacing w:line="320" w:lineRule="exact"/>
              <w:jc w:val="left"/>
              <w:rPr>
                <w:color w:val="000000"/>
                <w:kern w:val="0"/>
                <w:sz w:val="18"/>
                <w:szCs w:val="18"/>
              </w:rPr>
            </w:pPr>
            <w:r>
              <w:rPr>
                <w:rFonts w:hint="eastAsia"/>
                <w:color w:val="000000"/>
                <w:kern w:val="0"/>
                <w:sz w:val="18"/>
                <w:szCs w:val="18"/>
              </w:rPr>
              <w:t>警告；罚款</w:t>
            </w:r>
          </w:p>
        </w:tc>
      </w:tr>
      <w:tr w14:paraId="3BD0642C">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706A7115">
            <w:pPr>
              <w:spacing w:line="320" w:lineRule="exact"/>
              <w:jc w:val="center"/>
              <w:rPr>
                <w:color w:val="000000"/>
                <w:kern w:val="0"/>
                <w:sz w:val="18"/>
                <w:szCs w:val="18"/>
              </w:rPr>
            </w:pPr>
            <w:r>
              <w:rPr>
                <w:rFonts w:hint="eastAsia"/>
                <w:color w:val="000000"/>
                <w:kern w:val="0"/>
                <w:sz w:val="18"/>
                <w:szCs w:val="18"/>
              </w:rPr>
              <w:t>裁量基准</w:t>
            </w:r>
          </w:p>
        </w:tc>
      </w:tr>
      <w:tr w14:paraId="47E807D6">
        <w:tblPrEx>
          <w:tblCellMar>
            <w:top w:w="0" w:type="dxa"/>
            <w:left w:w="108" w:type="dxa"/>
            <w:bottom w:w="0" w:type="dxa"/>
            <w:right w:w="108" w:type="dxa"/>
          </w:tblCellMar>
        </w:tblPrEx>
        <w:trPr>
          <w:trHeight w:val="285" w:hRule="atLeast"/>
        </w:trPr>
        <w:tc>
          <w:tcPr>
            <w:tcW w:w="980" w:type="dxa"/>
            <w:vMerge w:val="restart"/>
            <w:tcBorders>
              <w:top w:val="single" w:color="auto" w:sz="4" w:space="0"/>
              <w:left w:val="single" w:color="auto" w:sz="4" w:space="0"/>
              <w:bottom w:val="single" w:color="auto" w:sz="4" w:space="0"/>
              <w:right w:val="single" w:color="auto" w:sz="4" w:space="0"/>
            </w:tcBorders>
            <w:vAlign w:val="center"/>
          </w:tcPr>
          <w:p w14:paraId="0ACF2091">
            <w:pPr>
              <w:spacing w:line="32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情形描述</w:t>
            </w:r>
          </w:p>
        </w:tc>
        <w:tc>
          <w:tcPr>
            <w:tcW w:w="6140" w:type="dxa"/>
            <w:tcBorders>
              <w:top w:val="single" w:color="auto" w:sz="4" w:space="0"/>
              <w:left w:val="nil"/>
              <w:bottom w:val="single" w:color="auto" w:sz="4" w:space="0"/>
              <w:right w:val="single" w:color="auto" w:sz="4" w:space="0"/>
            </w:tcBorders>
            <w:vAlign w:val="center"/>
          </w:tcPr>
          <w:p w14:paraId="45EADB15">
            <w:pPr>
              <w:spacing w:line="320" w:lineRule="exact"/>
              <w:jc w:val="left"/>
              <w:rPr>
                <w:color w:val="000000" w:themeColor="text1"/>
                <w:kern w:val="0"/>
                <w:sz w:val="18"/>
                <w:szCs w:val="18"/>
                <w:highlight w:val="yellow"/>
                <w14:textFill>
                  <w14:solidFill>
                    <w14:schemeClr w14:val="tx1"/>
                  </w14:solidFill>
                </w14:textFill>
              </w:rPr>
            </w:pPr>
            <w:r>
              <w:rPr>
                <w:color w:val="000000" w:themeColor="text1"/>
                <w:kern w:val="0"/>
                <w:sz w:val="18"/>
                <w:szCs w:val="18"/>
                <w14:textFill>
                  <w14:solidFill>
                    <w14:schemeClr w14:val="tx1"/>
                  </w14:solidFill>
                </w14:textFill>
              </w:rPr>
              <w:t>50</w:t>
            </w:r>
            <w:r>
              <w:rPr>
                <w:rFonts w:hint="eastAsia"/>
                <w:color w:val="000000" w:themeColor="text1"/>
                <w:kern w:val="0"/>
                <w:sz w:val="18"/>
                <w:szCs w:val="18"/>
                <w14:textFill>
                  <w14:solidFill>
                    <w14:schemeClr w14:val="tx1"/>
                  </w14:solidFill>
                </w14:textFill>
              </w:rPr>
              <w:t>立方米以下的</w:t>
            </w:r>
          </w:p>
        </w:tc>
        <w:tc>
          <w:tcPr>
            <w:tcW w:w="1000" w:type="dxa"/>
            <w:vMerge w:val="restart"/>
            <w:tcBorders>
              <w:top w:val="single" w:color="auto" w:sz="4" w:space="0"/>
              <w:left w:val="single" w:color="auto" w:sz="4" w:space="0"/>
              <w:bottom w:val="single" w:color="auto" w:sz="4" w:space="0"/>
              <w:right w:val="single" w:color="auto" w:sz="4" w:space="0"/>
            </w:tcBorders>
            <w:vAlign w:val="center"/>
          </w:tcPr>
          <w:p w14:paraId="1729C72F">
            <w:pPr>
              <w:spacing w:line="32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裁量幅度</w:t>
            </w:r>
          </w:p>
        </w:tc>
        <w:tc>
          <w:tcPr>
            <w:tcW w:w="5956" w:type="dxa"/>
            <w:tcBorders>
              <w:top w:val="single" w:color="auto" w:sz="4" w:space="0"/>
              <w:left w:val="nil"/>
              <w:bottom w:val="single" w:color="auto" w:sz="4" w:space="0"/>
              <w:right w:val="single" w:color="auto" w:sz="4" w:space="0"/>
            </w:tcBorders>
            <w:vAlign w:val="center"/>
          </w:tcPr>
          <w:p w14:paraId="7FC778F3">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对单位：处20万元以上80万元以下罚款</w:t>
            </w:r>
          </w:p>
          <w:p w14:paraId="6BE3F0F3">
            <w:pPr>
              <w:spacing w:line="320" w:lineRule="exact"/>
              <w:jc w:val="left"/>
              <w:rPr>
                <w:color w:val="000000" w:themeColor="text1"/>
                <w:kern w:val="0"/>
                <w:sz w:val="18"/>
                <w:szCs w:val="18"/>
                <w:highlight w:val="yellow"/>
                <w14:textFill>
                  <w14:solidFill>
                    <w14:schemeClr w14:val="tx1"/>
                  </w14:solidFill>
                </w14:textFill>
              </w:rPr>
            </w:pPr>
            <w:r>
              <w:rPr>
                <w:rFonts w:hint="eastAsia"/>
                <w:color w:val="000000" w:themeColor="text1"/>
                <w:kern w:val="0"/>
                <w:sz w:val="18"/>
                <w:szCs w:val="18"/>
                <w14:textFill>
                  <w14:solidFill>
                    <w14:schemeClr w14:val="tx1"/>
                  </w14:solidFill>
                </w14:textFill>
              </w:rPr>
              <w:t>直接负责的主管人员和其他直接责任人员：处</w:t>
            </w:r>
            <w:r>
              <w:rPr>
                <w:color w:val="000000" w:themeColor="text1"/>
                <w:kern w:val="0"/>
                <w:sz w:val="18"/>
                <w:szCs w:val="18"/>
                <w14:textFill>
                  <w14:solidFill>
                    <w14:schemeClr w14:val="tx1"/>
                  </w14:solidFill>
                </w14:textFill>
              </w:rPr>
              <w:t>2</w:t>
            </w:r>
            <w:r>
              <w:rPr>
                <w:rFonts w:hint="eastAsia"/>
                <w:color w:val="000000" w:themeColor="text1"/>
                <w:kern w:val="0"/>
                <w:sz w:val="18"/>
                <w:szCs w:val="18"/>
                <w14:textFill>
                  <w14:solidFill>
                    <w14:schemeClr w14:val="tx1"/>
                  </w14:solidFill>
                </w14:textFill>
              </w:rPr>
              <w:t>万元以上3万元以下罚款</w:t>
            </w:r>
          </w:p>
        </w:tc>
      </w:tr>
      <w:tr w14:paraId="77B1E6AA">
        <w:tblPrEx>
          <w:tblCellMar>
            <w:top w:w="0" w:type="dxa"/>
            <w:left w:w="108" w:type="dxa"/>
            <w:bottom w:w="0" w:type="dxa"/>
            <w:right w:w="108" w:type="dxa"/>
          </w:tblCellMar>
        </w:tblPrEx>
        <w:trPr>
          <w:trHeight w:val="285" w:hRule="atLeast"/>
        </w:trPr>
        <w:tc>
          <w:tcPr>
            <w:tcW w:w="980" w:type="dxa"/>
            <w:vMerge w:val="continue"/>
            <w:tcBorders>
              <w:top w:val="single" w:color="auto" w:sz="4" w:space="0"/>
              <w:left w:val="single" w:color="auto" w:sz="4" w:space="0"/>
              <w:bottom w:val="single" w:color="auto" w:sz="4" w:space="0"/>
              <w:right w:val="single" w:color="auto" w:sz="4" w:space="0"/>
            </w:tcBorders>
            <w:vAlign w:val="center"/>
          </w:tcPr>
          <w:p w14:paraId="59CA4A62">
            <w:pPr>
              <w:spacing w:line="320" w:lineRule="exact"/>
              <w:jc w:val="left"/>
              <w:rPr>
                <w:color w:val="000000" w:themeColor="text1"/>
                <w:kern w:val="0"/>
                <w:sz w:val="18"/>
                <w:szCs w:val="18"/>
                <w14:textFill>
                  <w14:solidFill>
                    <w14:schemeClr w14:val="tx1"/>
                  </w14:solidFill>
                </w14:textFill>
              </w:rPr>
            </w:pPr>
          </w:p>
        </w:tc>
        <w:tc>
          <w:tcPr>
            <w:tcW w:w="6140" w:type="dxa"/>
            <w:tcBorders>
              <w:top w:val="single" w:color="auto" w:sz="4" w:space="0"/>
              <w:left w:val="nil"/>
              <w:bottom w:val="single" w:color="auto" w:sz="4" w:space="0"/>
              <w:right w:val="single" w:color="auto" w:sz="4" w:space="0"/>
            </w:tcBorders>
            <w:vAlign w:val="center"/>
          </w:tcPr>
          <w:p w14:paraId="5E9EF2BD">
            <w:pPr>
              <w:spacing w:line="320" w:lineRule="exact"/>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50</w:t>
            </w:r>
            <w:r>
              <w:rPr>
                <w:rFonts w:hint="eastAsia"/>
                <w:color w:val="000000" w:themeColor="text1"/>
                <w:kern w:val="0"/>
                <w:sz w:val="18"/>
                <w:szCs w:val="18"/>
                <w14:textFill>
                  <w14:solidFill>
                    <w14:schemeClr w14:val="tx1"/>
                  </w14:solidFill>
                </w14:textFill>
              </w:rPr>
              <w:t>立方米以上</w:t>
            </w:r>
            <w:r>
              <w:rPr>
                <w:color w:val="000000" w:themeColor="text1"/>
                <w:kern w:val="0"/>
                <w:sz w:val="18"/>
                <w:szCs w:val="18"/>
                <w14:textFill>
                  <w14:solidFill>
                    <w14:schemeClr w14:val="tx1"/>
                  </w14:solidFill>
                </w14:textFill>
              </w:rPr>
              <w:t>100</w:t>
            </w:r>
            <w:r>
              <w:rPr>
                <w:rFonts w:hint="eastAsia"/>
                <w:color w:val="000000" w:themeColor="text1"/>
                <w:kern w:val="0"/>
                <w:sz w:val="18"/>
                <w:szCs w:val="18"/>
                <w14:textFill>
                  <w14:solidFill>
                    <w14:schemeClr w14:val="tx1"/>
                  </w14:solidFill>
                </w14:textFill>
              </w:rPr>
              <w:t>立方米以下的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22F08B4C">
            <w:pPr>
              <w:spacing w:line="320" w:lineRule="exact"/>
              <w:jc w:val="left"/>
              <w:rPr>
                <w:color w:val="000000" w:themeColor="text1"/>
                <w:kern w:val="0"/>
                <w:sz w:val="18"/>
                <w:szCs w:val="18"/>
                <w14:textFill>
                  <w14:solidFill>
                    <w14:schemeClr w14:val="tx1"/>
                  </w14:solidFill>
                </w14:textFill>
              </w:rPr>
            </w:pPr>
          </w:p>
        </w:tc>
        <w:tc>
          <w:tcPr>
            <w:tcW w:w="5956" w:type="dxa"/>
            <w:tcBorders>
              <w:top w:val="single" w:color="auto" w:sz="4" w:space="0"/>
              <w:left w:val="nil"/>
              <w:bottom w:val="single" w:color="auto" w:sz="4" w:space="0"/>
              <w:right w:val="single" w:color="auto" w:sz="4" w:space="0"/>
            </w:tcBorders>
            <w:vAlign w:val="center"/>
          </w:tcPr>
          <w:p w14:paraId="1A0DCD10">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对单位：处80万元以上140万元以下罚款</w:t>
            </w:r>
          </w:p>
          <w:p w14:paraId="4287FD3A">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直接负责的主管人员和其他直接责任人员：处</w:t>
            </w:r>
            <w:r>
              <w:rPr>
                <w:color w:val="000000" w:themeColor="text1"/>
                <w:kern w:val="0"/>
                <w:sz w:val="18"/>
                <w:szCs w:val="18"/>
                <w14:textFill>
                  <w14:solidFill>
                    <w14:schemeClr w14:val="tx1"/>
                  </w14:solidFill>
                </w14:textFill>
              </w:rPr>
              <w:t>3</w:t>
            </w:r>
            <w:r>
              <w:rPr>
                <w:rFonts w:hint="eastAsia"/>
                <w:color w:val="000000" w:themeColor="text1"/>
                <w:kern w:val="0"/>
                <w:sz w:val="18"/>
                <w:szCs w:val="18"/>
                <w14:textFill>
                  <w14:solidFill>
                    <w14:schemeClr w14:val="tx1"/>
                  </w14:solidFill>
                </w14:textFill>
              </w:rPr>
              <w:t>万元以上</w:t>
            </w:r>
            <w:r>
              <w:rPr>
                <w:color w:val="000000" w:themeColor="text1"/>
                <w:kern w:val="0"/>
                <w:sz w:val="18"/>
                <w:szCs w:val="18"/>
                <w14:textFill>
                  <w14:solidFill>
                    <w14:schemeClr w14:val="tx1"/>
                  </w14:solidFill>
                </w14:textFill>
              </w:rPr>
              <w:t>5</w:t>
            </w:r>
            <w:r>
              <w:rPr>
                <w:rFonts w:hint="eastAsia"/>
                <w:color w:val="000000" w:themeColor="text1"/>
                <w:kern w:val="0"/>
                <w:sz w:val="18"/>
                <w:szCs w:val="18"/>
                <w14:textFill>
                  <w14:solidFill>
                    <w14:schemeClr w14:val="tx1"/>
                  </w14:solidFill>
                </w14:textFill>
              </w:rPr>
              <w:t>万元以下罚款</w:t>
            </w:r>
          </w:p>
        </w:tc>
      </w:tr>
      <w:tr w14:paraId="0B321BD7">
        <w:tblPrEx>
          <w:tblCellMar>
            <w:top w:w="0" w:type="dxa"/>
            <w:left w:w="108" w:type="dxa"/>
            <w:bottom w:w="0" w:type="dxa"/>
            <w:right w:w="108" w:type="dxa"/>
          </w:tblCellMar>
        </w:tblPrEx>
        <w:trPr>
          <w:trHeight w:val="285" w:hRule="atLeast"/>
        </w:trPr>
        <w:tc>
          <w:tcPr>
            <w:tcW w:w="980" w:type="dxa"/>
            <w:vMerge w:val="continue"/>
            <w:tcBorders>
              <w:top w:val="single" w:color="auto" w:sz="4" w:space="0"/>
              <w:left w:val="single" w:color="auto" w:sz="4" w:space="0"/>
              <w:bottom w:val="single" w:color="auto" w:sz="4" w:space="0"/>
              <w:right w:val="single" w:color="auto" w:sz="4" w:space="0"/>
            </w:tcBorders>
            <w:vAlign w:val="center"/>
          </w:tcPr>
          <w:p w14:paraId="154D54BD">
            <w:pPr>
              <w:spacing w:line="320" w:lineRule="exact"/>
              <w:jc w:val="left"/>
              <w:rPr>
                <w:color w:val="000000" w:themeColor="text1"/>
                <w:kern w:val="0"/>
                <w:sz w:val="18"/>
                <w:szCs w:val="18"/>
                <w14:textFill>
                  <w14:solidFill>
                    <w14:schemeClr w14:val="tx1"/>
                  </w14:solidFill>
                </w14:textFill>
              </w:rPr>
            </w:pPr>
          </w:p>
        </w:tc>
        <w:tc>
          <w:tcPr>
            <w:tcW w:w="6140" w:type="dxa"/>
            <w:tcBorders>
              <w:top w:val="single" w:color="auto" w:sz="4" w:space="0"/>
              <w:left w:val="nil"/>
              <w:bottom w:val="single" w:color="auto" w:sz="4" w:space="0"/>
              <w:right w:val="single" w:color="auto" w:sz="4" w:space="0"/>
            </w:tcBorders>
            <w:vAlign w:val="center"/>
          </w:tcPr>
          <w:p w14:paraId="5FBB1E68">
            <w:pPr>
              <w:spacing w:line="320" w:lineRule="exact"/>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100</w:t>
            </w:r>
            <w:r>
              <w:rPr>
                <w:rFonts w:hint="eastAsia"/>
                <w:color w:val="000000" w:themeColor="text1"/>
                <w:kern w:val="0"/>
                <w:sz w:val="18"/>
                <w:szCs w:val="18"/>
                <w14:textFill>
                  <w14:solidFill>
                    <w14:schemeClr w14:val="tx1"/>
                  </w14:solidFill>
                </w14:textFill>
              </w:rPr>
              <w:t>立方米以上的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037AC96D">
            <w:pPr>
              <w:spacing w:line="320" w:lineRule="exact"/>
              <w:jc w:val="left"/>
              <w:rPr>
                <w:color w:val="000000" w:themeColor="text1"/>
                <w:kern w:val="0"/>
                <w:sz w:val="18"/>
                <w:szCs w:val="18"/>
                <w14:textFill>
                  <w14:solidFill>
                    <w14:schemeClr w14:val="tx1"/>
                  </w14:solidFill>
                </w14:textFill>
              </w:rPr>
            </w:pPr>
          </w:p>
        </w:tc>
        <w:tc>
          <w:tcPr>
            <w:tcW w:w="5956" w:type="dxa"/>
            <w:tcBorders>
              <w:top w:val="single" w:color="auto" w:sz="4" w:space="0"/>
              <w:left w:val="nil"/>
              <w:bottom w:val="single" w:color="auto" w:sz="4" w:space="0"/>
              <w:right w:val="single" w:color="auto" w:sz="4" w:space="0"/>
            </w:tcBorders>
            <w:vAlign w:val="center"/>
          </w:tcPr>
          <w:p w14:paraId="47DBA837">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对单位：处140万元以上200万元以下罚款</w:t>
            </w:r>
          </w:p>
          <w:p w14:paraId="1E8CD5B0">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直接负责的主管人员和其他直接责任人员：处</w:t>
            </w:r>
            <w:r>
              <w:rPr>
                <w:color w:val="000000" w:themeColor="text1"/>
                <w:kern w:val="0"/>
                <w:sz w:val="18"/>
                <w:szCs w:val="18"/>
                <w14:textFill>
                  <w14:solidFill>
                    <w14:schemeClr w14:val="tx1"/>
                  </w14:solidFill>
                </w14:textFill>
              </w:rPr>
              <w:t>5</w:t>
            </w:r>
            <w:r>
              <w:rPr>
                <w:rFonts w:hint="eastAsia"/>
                <w:color w:val="000000" w:themeColor="text1"/>
                <w:kern w:val="0"/>
                <w:sz w:val="18"/>
                <w:szCs w:val="18"/>
                <w14:textFill>
                  <w14:solidFill>
                    <w14:schemeClr w14:val="tx1"/>
                  </w14:solidFill>
                </w14:textFill>
              </w:rPr>
              <w:t>万元以上</w:t>
            </w:r>
            <w:r>
              <w:rPr>
                <w:color w:val="000000" w:themeColor="text1"/>
                <w:kern w:val="0"/>
                <w:sz w:val="18"/>
                <w:szCs w:val="18"/>
                <w14:textFill>
                  <w14:solidFill>
                    <w14:schemeClr w14:val="tx1"/>
                  </w14:solidFill>
                </w14:textFill>
              </w:rPr>
              <w:t>10</w:t>
            </w:r>
            <w:r>
              <w:rPr>
                <w:rFonts w:hint="eastAsia"/>
                <w:color w:val="000000" w:themeColor="text1"/>
                <w:kern w:val="0"/>
                <w:sz w:val="18"/>
                <w:szCs w:val="18"/>
                <w14:textFill>
                  <w14:solidFill>
                    <w14:schemeClr w14:val="tx1"/>
                  </w14:solidFill>
                </w14:textFill>
              </w:rPr>
              <w:t>万元以下罚款</w:t>
            </w:r>
          </w:p>
        </w:tc>
      </w:tr>
      <w:tr w14:paraId="18D91C24">
        <w:tblPrEx>
          <w:tblCellMar>
            <w:top w:w="0" w:type="dxa"/>
            <w:left w:w="108" w:type="dxa"/>
            <w:bottom w:w="0" w:type="dxa"/>
            <w:right w:w="108" w:type="dxa"/>
          </w:tblCellMar>
        </w:tblPrEx>
        <w:trPr>
          <w:trHeight w:val="285" w:hRule="atLeast"/>
        </w:trPr>
        <w:tc>
          <w:tcPr>
            <w:tcW w:w="980" w:type="dxa"/>
            <w:vMerge w:val="continue"/>
            <w:tcBorders>
              <w:top w:val="single" w:color="auto" w:sz="4" w:space="0"/>
              <w:left w:val="single" w:color="auto" w:sz="4" w:space="0"/>
              <w:bottom w:val="single" w:color="auto" w:sz="4" w:space="0"/>
              <w:right w:val="single" w:color="auto" w:sz="4" w:space="0"/>
            </w:tcBorders>
            <w:vAlign w:val="center"/>
          </w:tcPr>
          <w:p w14:paraId="7197914D">
            <w:pPr>
              <w:spacing w:line="320" w:lineRule="exact"/>
              <w:jc w:val="left"/>
              <w:rPr>
                <w:color w:val="000000" w:themeColor="text1"/>
                <w:kern w:val="0"/>
                <w:sz w:val="18"/>
                <w:szCs w:val="18"/>
                <w14:textFill>
                  <w14:solidFill>
                    <w14:schemeClr w14:val="tx1"/>
                  </w14:solidFill>
                </w14:textFill>
              </w:rPr>
            </w:pPr>
          </w:p>
        </w:tc>
        <w:tc>
          <w:tcPr>
            <w:tcW w:w="6140" w:type="dxa"/>
            <w:tcBorders>
              <w:top w:val="single" w:color="auto" w:sz="4" w:space="0"/>
              <w:left w:val="nil"/>
              <w:bottom w:val="single" w:color="auto" w:sz="4" w:space="0"/>
              <w:right w:val="single" w:color="auto" w:sz="4" w:space="0"/>
            </w:tcBorders>
            <w:vAlign w:val="center"/>
          </w:tcPr>
          <w:p w14:paraId="6D5420BA">
            <w:pPr>
              <w:spacing w:line="320" w:lineRule="exact"/>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50</w:t>
            </w:r>
            <w:r>
              <w:rPr>
                <w:rFonts w:hint="eastAsia"/>
                <w:color w:val="000000" w:themeColor="text1"/>
                <w:kern w:val="0"/>
                <w:sz w:val="18"/>
                <w:szCs w:val="18"/>
                <w14:textFill>
                  <w14:solidFill>
                    <w14:schemeClr w14:val="tx1"/>
                  </w14:solidFill>
                </w14:textFill>
              </w:rPr>
              <w:t>立方米以下，造成大气污染或水流污染或土壤污染的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72C15740">
            <w:pPr>
              <w:spacing w:line="320" w:lineRule="exact"/>
              <w:jc w:val="left"/>
              <w:rPr>
                <w:color w:val="000000" w:themeColor="text1"/>
                <w:kern w:val="0"/>
                <w:sz w:val="18"/>
                <w:szCs w:val="18"/>
                <w14:textFill>
                  <w14:solidFill>
                    <w14:schemeClr w14:val="tx1"/>
                  </w14:solidFill>
                </w14:textFill>
              </w:rPr>
            </w:pPr>
          </w:p>
        </w:tc>
        <w:tc>
          <w:tcPr>
            <w:tcW w:w="5956" w:type="dxa"/>
            <w:tcBorders>
              <w:top w:val="single" w:color="auto" w:sz="4" w:space="0"/>
              <w:left w:val="nil"/>
              <w:bottom w:val="single" w:color="auto" w:sz="4" w:space="0"/>
              <w:right w:val="single" w:color="auto" w:sz="4" w:space="0"/>
            </w:tcBorders>
            <w:vAlign w:val="center"/>
          </w:tcPr>
          <w:p w14:paraId="5F889484">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对单位：处200万元以上300万元以下罚款</w:t>
            </w:r>
          </w:p>
          <w:p w14:paraId="26885645">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直接负责的主管人员和其他直接责任人员：处5万元以上20万元以下罚款</w:t>
            </w:r>
          </w:p>
        </w:tc>
      </w:tr>
      <w:tr w14:paraId="5B6AE346">
        <w:tblPrEx>
          <w:tblCellMar>
            <w:top w:w="0" w:type="dxa"/>
            <w:left w:w="108" w:type="dxa"/>
            <w:bottom w:w="0" w:type="dxa"/>
            <w:right w:w="108" w:type="dxa"/>
          </w:tblCellMar>
        </w:tblPrEx>
        <w:trPr>
          <w:trHeight w:val="285" w:hRule="atLeast"/>
        </w:trPr>
        <w:tc>
          <w:tcPr>
            <w:tcW w:w="980" w:type="dxa"/>
            <w:vMerge w:val="continue"/>
            <w:tcBorders>
              <w:top w:val="single" w:color="auto" w:sz="4" w:space="0"/>
              <w:left w:val="single" w:color="auto" w:sz="4" w:space="0"/>
              <w:bottom w:val="single" w:color="auto" w:sz="4" w:space="0"/>
              <w:right w:val="single" w:color="auto" w:sz="4" w:space="0"/>
            </w:tcBorders>
            <w:vAlign w:val="center"/>
          </w:tcPr>
          <w:p w14:paraId="18C16F6D">
            <w:pPr>
              <w:spacing w:line="320" w:lineRule="exact"/>
              <w:jc w:val="left"/>
              <w:rPr>
                <w:color w:val="000000" w:themeColor="text1"/>
                <w:kern w:val="0"/>
                <w:sz w:val="18"/>
                <w:szCs w:val="18"/>
                <w14:textFill>
                  <w14:solidFill>
                    <w14:schemeClr w14:val="tx1"/>
                  </w14:solidFill>
                </w14:textFill>
              </w:rPr>
            </w:pPr>
          </w:p>
        </w:tc>
        <w:tc>
          <w:tcPr>
            <w:tcW w:w="6140" w:type="dxa"/>
            <w:tcBorders>
              <w:top w:val="single" w:color="auto" w:sz="4" w:space="0"/>
              <w:left w:val="nil"/>
              <w:bottom w:val="single" w:color="auto" w:sz="4" w:space="0"/>
              <w:right w:val="single" w:color="auto" w:sz="4" w:space="0"/>
            </w:tcBorders>
            <w:vAlign w:val="center"/>
          </w:tcPr>
          <w:p w14:paraId="5E6B85B8">
            <w:pPr>
              <w:spacing w:line="320" w:lineRule="exact"/>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50</w:t>
            </w:r>
            <w:r>
              <w:rPr>
                <w:rFonts w:hint="eastAsia"/>
                <w:color w:val="000000" w:themeColor="text1"/>
                <w:kern w:val="0"/>
                <w:sz w:val="18"/>
                <w:szCs w:val="18"/>
                <w14:textFill>
                  <w14:solidFill>
                    <w14:schemeClr w14:val="tx1"/>
                  </w14:solidFill>
                </w14:textFill>
              </w:rPr>
              <w:t>立方米以上</w:t>
            </w:r>
            <w:r>
              <w:rPr>
                <w:color w:val="000000" w:themeColor="text1"/>
                <w:kern w:val="0"/>
                <w:sz w:val="18"/>
                <w:szCs w:val="18"/>
                <w14:textFill>
                  <w14:solidFill>
                    <w14:schemeClr w14:val="tx1"/>
                  </w14:solidFill>
                </w14:textFill>
              </w:rPr>
              <w:t>100</w:t>
            </w:r>
            <w:r>
              <w:rPr>
                <w:rFonts w:hint="eastAsia"/>
                <w:color w:val="000000" w:themeColor="text1"/>
                <w:kern w:val="0"/>
                <w:sz w:val="18"/>
                <w:szCs w:val="18"/>
                <w14:textFill>
                  <w14:solidFill>
                    <w14:schemeClr w14:val="tx1"/>
                  </w14:solidFill>
                </w14:textFill>
              </w:rPr>
              <w:t>立方米以下，造成大气污染或水流污染或土壤污染的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145036C6">
            <w:pPr>
              <w:spacing w:line="320" w:lineRule="exact"/>
              <w:jc w:val="left"/>
              <w:rPr>
                <w:color w:val="000000" w:themeColor="text1"/>
                <w:kern w:val="0"/>
                <w:sz w:val="18"/>
                <w:szCs w:val="18"/>
                <w14:textFill>
                  <w14:solidFill>
                    <w14:schemeClr w14:val="tx1"/>
                  </w14:solidFill>
                </w14:textFill>
              </w:rPr>
            </w:pPr>
          </w:p>
        </w:tc>
        <w:tc>
          <w:tcPr>
            <w:tcW w:w="5956" w:type="dxa"/>
            <w:tcBorders>
              <w:top w:val="single" w:color="auto" w:sz="4" w:space="0"/>
              <w:left w:val="nil"/>
              <w:bottom w:val="single" w:color="auto" w:sz="4" w:space="0"/>
              <w:right w:val="single" w:color="auto" w:sz="4" w:space="0"/>
            </w:tcBorders>
            <w:vAlign w:val="center"/>
          </w:tcPr>
          <w:p w14:paraId="58D16B25">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对单位：处300万元以上400万元以下罚款</w:t>
            </w:r>
          </w:p>
          <w:p w14:paraId="13408055">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直接负责的主管人员和其他直接责任人员：处20万元以上3</w:t>
            </w:r>
            <w:r>
              <w:rPr>
                <w:color w:val="000000" w:themeColor="text1"/>
                <w:kern w:val="0"/>
                <w:sz w:val="18"/>
                <w:szCs w:val="18"/>
                <w14:textFill>
                  <w14:solidFill>
                    <w14:schemeClr w14:val="tx1"/>
                  </w14:solidFill>
                </w14:textFill>
              </w:rPr>
              <w:t>5</w:t>
            </w:r>
            <w:r>
              <w:rPr>
                <w:rFonts w:hint="eastAsia"/>
                <w:color w:val="000000" w:themeColor="text1"/>
                <w:kern w:val="0"/>
                <w:sz w:val="18"/>
                <w:szCs w:val="18"/>
                <w14:textFill>
                  <w14:solidFill>
                    <w14:schemeClr w14:val="tx1"/>
                  </w14:solidFill>
                </w14:textFill>
              </w:rPr>
              <w:t>万元以下罚款</w:t>
            </w:r>
          </w:p>
        </w:tc>
      </w:tr>
      <w:tr w14:paraId="56C072AF">
        <w:tblPrEx>
          <w:tblCellMar>
            <w:top w:w="0" w:type="dxa"/>
            <w:left w:w="108" w:type="dxa"/>
            <w:bottom w:w="0" w:type="dxa"/>
            <w:right w:w="108" w:type="dxa"/>
          </w:tblCellMar>
        </w:tblPrEx>
        <w:trPr>
          <w:trHeight w:val="285" w:hRule="atLeast"/>
        </w:trPr>
        <w:tc>
          <w:tcPr>
            <w:tcW w:w="980" w:type="dxa"/>
            <w:vMerge w:val="continue"/>
            <w:tcBorders>
              <w:top w:val="single" w:color="auto" w:sz="4" w:space="0"/>
              <w:left w:val="single" w:color="auto" w:sz="4" w:space="0"/>
              <w:bottom w:val="single" w:color="auto" w:sz="4" w:space="0"/>
              <w:right w:val="single" w:color="auto" w:sz="4" w:space="0"/>
            </w:tcBorders>
            <w:vAlign w:val="center"/>
          </w:tcPr>
          <w:p w14:paraId="04A36A9C">
            <w:pPr>
              <w:spacing w:line="320" w:lineRule="exact"/>
              <w:jc w:val="left"/>
              <w:rPr>
                <w:color w:val="000000" w:themeColor="text1"/>
                <w:kern w:val="0"/>
                <w:sz w:val="18"/>
                <w:szCs w:val="18"/>
                <w14:textFill>
                  <w14:solidFill>
                    <w14:schemeClr w14:val="tx1"/>
                  </w14:solidFill>
                </w14:textFill>
              </w:rPr>
            </w:pPr>
          </w:p>
        </w:tc>
        <w:tc>
          <w:tcPr>
            <w:tcW w:w="6140" w:type="dxa"/>
            <w:tcBorders>
              <w:top w:val="single" w:color="auto" w:sz="4" w:space="0"/>
              <w:left w:val="nil"/>
              <w:bottom w:val="single" w:color="auto" w:sz="4" w:space="0"/>
              <w:right w:val="single" w:color="auto" w:sz="4" w:space="0"/>
            </w:tcBorders>
            <w:vAlign w:val="center"/>
          </w:tcPr>
          <w:p w14:paraId="47DC6CF7">
            <w:pPr>
              <w:spacing w:line="320" w:lineRule="exact"/>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100</w:t>
            </w:r>
            <w:r>
              <w:rPr>
                <w:rFonts w:hint="eastAsia"/>
                <w:color w:val="000000" w:themeColor="text1"/>
                <w:kern w:val="0"/>
                <w:sz w:val="18"/>
                <w:szCs w:val="18"/>
                <w14:textFill>
                  <w14:solidFill>
                    <w14:schemeClr w14:val="tx1"/>
                  </w14:solidFill>
                </w14:textFill>
              </w:rPr>
              <w:t>立方米以上，造成大气污染或水流污染或土壤污染的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36D18F93">
            <w:pPr>
              <w:spacing w:line="320" w:lineRule="exact"/>
              <w:jc w:val="left"/>
              <w:rPr>
                <w:color w:val="000000" w:themeColor="text1"/>
                <w:kern w:val="0"/>
                <w:sz w:val="18"/>
                <w:szCs w:val="18"/>
                <w14:textFill>
                  <w14:solidFill>
                    <w14:schemeClr w14:val="tx1"/>
                  </w14:solidFill>
                </w14:textFill>
              </w:rPr>
            </w:pPr>
          </w:p>
        </w:tc>
        <w:tc>
          <w:tcPr>
            <w:tcW w:w="5956" w:type="dxa"/>
            <w:tcBorders>
              <w:top w:val="single" w:color="auto" w:sz="4" w:space="0"/>
              <w:left w:val="nil"/>
              <w:bottom w:val="single" w:color="auto" w:sz="4" w:space="0"/>
              <w:right w:val="single" w:color="auto" w:sz="4" w:space="0"/>
            </w:tcBorders>
            <w:vAlign w:val="center"/>
          </w:tcPr>
          <w:p w14:paraId="600F79FA">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对单位：处400万元以上500万元以下罚款</w:t>
            </w:r>
          </w:p>
          <w:p w14:paraId="29E67C8E">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直接负责的主管人员和其他直接责任人员：处3</w:t>
            </w:r>
            <w:r>
              <w:rPr>
                <w:color w:val="000000" w:themeColor="text1"/>
                <w:kern w:val="0"/>
                <w:sz w:val="18"/>
                <w:szCs w:val="18"/>
                <w14:textFill>
                  <w14:solidFill>
                    <w14:schemeClr w14:val="tx1"/>
                  </w14:solidFill>
                </w14:textFill>
              </w:rPr>
              <w:t>5</w:t>
            </w:r>
            <w:r>
              <w:rPr>
                <w:rFonts w:hint="eastAsia"/>
                <w:color w:val="000000" w:themeColor="text1"/>
                <w:kern w:val="0"/>
                <w:sz w:val="18"/>
                <w:szCs w:val="18"/>
                <w14:textFill>
                  <w14:solidFill>
                    <w14:schemeClr w14:val="tx1"/>
                  </w14:solidFill>
                </w14:textFill>
              </w:rPr>
              <w:t>万元以上50万元以下罚款</w:t>
            </w:r>
          </w:p>
        </w:tc>
      </w:tr>
    </w:tbl>
    <w:p w14:paraId="52FA283A"/>
    <w:p w14:paraId="15A78582"/>
    <w:p w14:paraId="45B4C68B"/>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40E246DB">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6D87594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06941FF3">
            <w:pPr>
              <w:spacing w:line="320" w:lineRule="exact"/>
              <w:jc w:val="left"/>
              <w:rPr>
                <w:rFonts w:eastAsia="仿宋_GB2312"/>
                <w:b/>
                <w:bCs/>
                <w:color w:val="000000"/>
                <w:kern w:val="0"/>
                <w:sz w:val="18"/>
                <w:szCs w:val="18"/>
              </w:rPr>
            </w:pPr>
            <w:r>
              <w:rPr>
                <w:rFonts w:eastAsia="仿宋_GB2312"/>
                <w:b/>
                <w:bCs/>
                <w:color w:val="000000"/>
                <w:kern w:val="0"/>
                <w:sz w:val="18"/>
                <w:szCs w:val="18"/>
              </w:rPr>
              <w:t>320217415000</w:t>
            </w:r>
          </w:p>
        </w:tc>
      </w:tr>
      <w:tr w14:paraId="194DBCBF">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4EB6103A">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15362277">
            <w:pPr>
              <w:spacing w:line="320" w:lineRule="exact"/>
              <w:jc w:val="left"/>
              <w:rPr>
                <w:color w:val="000000"/>
                <w:kern w:val="0"/>
                <w:sz w:val="18"/>
                <w:szCs w:val="18"/>
              </w:rPr>
            </w:pPr>
            <w:r>
              <w:rPr>
                <w:rFonts w:hint="eastAsia"/>
                <w:color w:val="000000"/>
                <w:kern w:val="0"/>
                <w:sz w:val="18"/>
                <w:szCs w:val="18"/>
              </w:rPr>
              <w:t>对排水单位或者个人不缴纳污水处理费的处罚</w:t>
            </w:r>
          </w:p>
        </w:tc>
      </w:tr>
      <w:tr w14:paraId="3A62E84D">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41E8EFA9">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4B7B9ADA">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14:paraId="4E006198">
            <w:pPr>
              <w:spacing w:line="320" w:lineRule="exact"/>
              <w:jc w:val="left"/>
              <w:rPr>
                <w:color w:val="000000"/>
                <w:kern w:val="0"/>
                <w:sz w:val="18"/>
                <w:szCs w:val="18"/>
              </w:rPr>
            </w:pPr>
            <w:r>
              <w:rPr>
                <w:rFonts w:hint="eastAsia"/>
                <w:color w:val="000000"/>
                <w:kern w:val="0"/>
                <w:sz w:val="18"/>
                <w:szCs w:val="18"/>
              </w:rPr>
              <w:t>第三十二条第一款　排水单位和个人应当按照国家有关规定缴纳污水处理费。</w:t>
            </w:r>
          </w:p>
          <w:p w14:paraId="1C591AA0">
            <w:pPr>
              <w:spacing w:line="320" w:lineRule="exact"/>
              <w:jc w:val="left"/>
              <w:rPr>
                <w:color w:val="000000"/>
                <w:kern w:val="0"/>
                <w:sz w:val="18"/>
                <w:szCs w:val="18"/>
              </w:rPr>
            </w:pPr>
            <w:r>
              <w:rPr>
                <w:rFonts w:hint="eastAsia"/>
                <w:color w:val="000000"/>
                <w:kern w:val="0"/>
                <w:sz w:val="18"/>
                <w:szCs w:val="18"/>
              </w:rPr>
              <w:t>第五十四条　违反本条例规定，排水单位或者个人不缴纳污水处理费的，由城镇排水主管部门责令限期缴纳，逾期拒不缴纳的，处应缴纳污水处理费数额</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1D16DF89">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6E99566B">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54A864D0">
            <w:pPr>
              <w:spacing w:line="320" w:lineRule="exact"/>
              <w:jc w:val="left"/>
              <w:rPr>
                <w:color w:val="000000"/>
                <w:kern w:val="0"/>
                <w:sz w:val="18"/>
                <w:szCs w:val="18"/>
              </w:rPr>
            </w:pPr>
            <w:r>
              <w:rPr>
                <w:rFonts w:hint="eastAsia"/>
                <w:color w:val="000000"/>
                <w:kern w:val="0"/>
                <w:sz w:val="18"/>
                <w:szCs w:val="18"/>
              </w:rPr>
              <w:t>罚款</w:t>
            </w:r>
          </w:p>
        </w:tc>
      </w:tr>
      <w:tr w14:paraId="661EE83D">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067C418C">
            <w:pPr>
              <w:spacing w:line="320" w:lineRule="exact"/>
              <w:jc w:val="center"/>
              <w:rPr>
                <w:color w:val="000000"/>
                <w:kern w:val="0"/>
                <w:sz w:val="18"/>
                <w:szCs w:val="18"/>
              </w:rPr>
            </w:pPr>
            <w:r>
              <w:rPr>
                <w:rFonts w:hint="eastAsia"/>
                <w:color w:val="000000"/>
                <w:kern w:val="0"/>
                <w:sz w:val="18"/>
                <w:szCs w:val="18"/>
              </w:rPr>
              <w:t>裁量基准</w:t>
            </w:r>
          </w:p>
        </w:tc>
      </w:tr>
      <w:tr w14:paraId="03B9CA49">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2B75E78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2E38DB0">
            <w:pPr>
              <w:spacing w:line="320" w:lineRule="exact"/>
              <w:jc w:val="left"/>
              <w:rPr>
                <w:color w:val="000000"/>
                <w:kern w:val="0"/>
                <w:sz w:val="18"/>
                <w:szCs w:val="18"/>
              </w:rPr>
            </w:pPr>
            <w:r>
              <w:rPr>
                <w:rFonts w:hint="eastAsia"/>
                <w:color w:val="000000"/>
                <w:kern w:val="0"/>
                <w:sz w:val="18"/>
                <w:szCs w:val="18"/>
              </w:rPr>
              <w:t>对个体工商户</w:t>
            </w:r>
          </w:p>
        </w:tc>
        <w:tc>
          <w:tcPr>
            <w:tcW w:w="1000" w:type="dxa"/>
            <w:vMerge w:val="restart"/>
            <w:tcBorders>
              <w:top w:val="nil"/>
              <w:left w:val="single" w:color="auto" w:sz="4" w:space="0"/>
              <w:bottom w:val="single" w:color="auto" w:sz="4" w:space="0"/>
              <w:right w:val="single" w:color="auto" w:sz="4" w:space="0"/>
            </w:tcBorders>
            <w:vAlign w:val="center"/>
          </w:tcPr>
          <w:p w14:paraId="69F0652F">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480FE292">
            <w:pPr>
              <w:spacing w:line="320" w:lineRule="exact"/>
              <w:jc w:val="left"/>
              <w:rPr>
                <w:color w:val="000000"/>
                <w:kern w:val="0"/>
                <w:sz w:val="18"/>
                <w:szCs w:val="18"/>
              </w:rPr>
            </w:pPr>
            <w:r>
              <w:rPr>
                <w:rFonts w:hint="eastAsia"/>
                <w:color w:val="000000"/>
                <w:kern w:val="0"/>
                <w:sz w:val="18"/>
                <w:szCs w:val="18"/>
              </w:rPr>
              <w:t>处一倍以上</w:t>
            </w:r>
            <w:r>
              <w:rPr>
                <w:color w:val="000000"/>
                <w:kern w:val="0"/>
                <w:sz w:val="18"/>
                <w:szCs w:val="18"/>
              </w:rPr>
              <w:t>1.5</w:t>
            </w:r>
            <w:r>
              <w:rPr>
                <w:rFonts w:hint="eastAsia"/>
                <w:color w:val="000000"/>
                <w:kern w:val="0"/>
                <w:sz w:val="18"/>
                <w:szCs w:val="18"/>
              </w:rPr>
              <w:t>倍以下的罚款</w:t>
            </w:r>
          </w:p>
        </w:tc>
      </w:tr>
      <w:tr w14:paraId="564A5039">
        <w:tblPrEx>
          <w:tblCellMar>
            <w:top w:w="0" w:type="dxa"/>
            <w:left w:w="108" w:type="dxa"/>
            <w:bottom w:w="0" w:type="dxa"/>
            <w:right w:w="108" w:type="dxa"/>
          </w:tblCellMar>
        </w:tblPrEx>
        <w:trPr>
          <w:trHeight w:val="285" w:hRule="atLeast"/>
        </w:trPr>
        <w:tc>
          <w:tcPr>
            <w:tcW w:w="980" w:type="dxa"/>
            <w:vMerge w:val="continue"/>
            <w:tcBorders>
              <w:top w:val="single" w:color="auto" w:sz="4" w:space="0"/>
              <w:left w:val="single" w:color="auto" w:sz="8" w:space="0"/>
              <w:right w:val="single" w:color="auto" w:sz="4" w:space="0"/>
            </w:tcBorders>
            <w:vAlign w:val="center"/>
          </w:tcPr>
          <w:p w14:paraId="698116B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76747C7">
            <w:pPr>
              <w:spacing w:line="320" w:lineRule="exact"/>
              <w:jc w:val="left"/>
              <w:rPr>
                <w:color w:val="000000"/>
                <w:kern w:val="0"/>
                <w:sz w:val="18"/>
                <w:szCs w:val="18"/>
              </w:rPr>
            </w:pPr>
            <w:r>
              <w:rPr>
                <w:rFonts w:hint="eastAsia"/>
                <w:color w:val="000000"/>
                <w:kern w:val="0"/>
                <w:sz w:val="18"/>
                <w:szCs w:val="18"/>
              </w:rPr>
              <w:t>对其他排水户</w:t>
            </w:r>
          </w:p>
        </w:tc>
        <w:tc>
          <w:tcPr>
            <w:tcW w:w="1000" w:type="dxa"/>
            <w:vMerge w:val="continue"/>
            <w:tcBorders>
              <w:top w:val="single" w:color="auto" w:sz="4" w:space="0"/>
              <w:left w:val="single" w:color="auto" w:sz="4" w:space="0"/>
              <w:right w:val="single" w:color="auto" w:sz="4" w:space="0"/>
            </w:tcBorders>
            <w:vAlign w:val="center"/>
          </w:tcPr>
          <w:p w14:paraId="2BA315EA">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65316C6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倍以上二倍以下的罚款</w:t>
            </w:r>
          </w:p>
        </w:tc>
      </w:tr>
      <w:tr w14:paraId="1CFACC61">
        <w:tblPrEx>
          <w:tblCellMar>
            <w:top w:w="0" w:type="dxa"/>
            <w:left w:w="108" w:type="dxa"/>
            <w:bottom w:w="0" w:type="dxa"/>
            <w:right w:w="108" w:type="dxa"/>
          </w:tblCellMar>
        </w:tblPrEx>
        <w:trPr>
          <w:trHeight w:val="285" w:hRule="atLeast"/>
        </w:trPr>
        <w:tc>
          <w:tcPr>
            <w:tcW w:w="980" w:type="dxa"/>
            <w:vMerge w:val="continue"/>
            <w:tcBorders>
              <w:left w:val="single" w:color="auto" w:sz="8" w:space="0"/>
              <w:bottom w:val="single" w:color="auto" w:sz="4" w:space="0"/>
              <w:right w:val="single" w:color="auto" w:sz="4" w:space="0"/>
            </w:tcBorders>
            <w:vAlign w:val="center"/>
          </w:tcPr>
          <w:p w14:paraId="2276AEC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2803188">
            <w:pPr>
              <w:spacing w:line="320" w:lineRule="exact"/>
              <w:jc w:val="left"/>
              <w:rPr>
                <w:color w:val="000000"/>
                <w:kern w:val="0"/>
                <w:sz w:val="18"/>
                <w:szCs w:val="18"/>
              </w:rPr>
            </w:pPr>
            <w:r>
              <w:rPr>
                <w:rFonts w:hint="eastAsia"/>
                <w:color w:val="000000"/>
                <w:kern w:val="0"/>
                <w:sz w:val="18"/>
                <w:szCs w:val="18"/>
              </w:rPr>
              <w:t>对列入重点排污单位名录的排水户</w:t>
            </w:r>
          </w:p>
        </w:tc>
        <w:tc>
          <w:tcPr>
            <w:tcW w:w="1000" w:type="dxa"/>
            <w:vMerge w:val="continue"/>
            <w:tcBorders>
              <w:left w:val="single" w:color="auto" w:sz="4" w:space="0"/>
              <w:bottom w:val="single" w:color="auto" w:sz="4" w:space="0"/>
              <w:right w:val="single" w:color="auto" w:sz="4" w:space="0"/>
            </w:tcBorders>
            <w:vAlign w:val="center"/>
          </w:tcPr>
          <w:p w14:paraId="7E262B2D">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5356018A">
            <w:pPr>
              <w:spacing w:line="320" w:lineRule="exact"/>
              <w:jc w:val="left"/>
              <w:rPr>
                <w:color w:val="000000"/>
                <w:kern w:val="0"/>
                <w:sz w:val="18"/>
                <w:szCs w:val="18"/>
              </w:rPr>
            </w:pPr>
            <w:r>
              <w:rPr>
                <w:rFonts w:hint="eastAsia"/>
                <w:color w:val="000000"/>
                <w:kern w:val="0"/>
                <w:sz w:val="18"/>
                <w:szCs w:val="18"/>
              </w:rPr>
              <w:t>处二倍以上三倍以下的罚款</w:t>
            </w:r>
          </w:p>
        </w:tc>
      </w:tr>
    </w:tbl>
    <w:p w14:paraId="534D048D"/>
    <w:tbl>
      <w:tblPr>
        <w:tblStyle w:val="15"/>
        <w:tblW w:w="0" w:type="auto"/>
        <w:tblInd w:w="88" w:type="dxa"/>
        <w:tblLayout w:type="fixed"/>
        <w:tblCellMar>
          <w:top w:w="0" w:type="dxa"/>
          <w:left w:w="108" w:type="dxa"/>
          <w:bottom w:w="0" w:type="dxa"/>
          <w:right w:w="108" w:type="dxa"/>
        </w:tblCellMar>
      </w:tblPr>
      <w:tblGrid>
        <w:gridCol w:w="1010"/>
        <w:gridCol w:w="46"/>
        <w:gridCol w:w="6094"/>
        <w:gridCol w:w="1000"/>
        <w:gridCol w:w="5866"/>
      </w:tblGrid>
      <w:tr w14:paraId="5A70F462">
        <w:tblPrEx>
          <w:tblCellMar>
            <w:top w:w="0" w:type="dxa"/>
            <w:left w:w="108" w:type="dxa"/>
            <w:bottom w:w="0" w:type="dxa"/>
            <w:right w:w="108" w:type="dxa"/>
          </w:tblCellMar>
        </w:tblPrEx>
        <w:trPr>
          <w:trHeight w:val="285" w:hRule="atLeast"/>
        </w:trPr>
        <w:tc>
          <w:tcPr>
            <w:tcW w:w="1056" w:type="dxa"/>
            <w:gridSpan w:val="2"/>
            <w:tcBorders>
              <w:top w:val="single" w:color="auto" w:sz="8" w:space="0"/>
              <w:left w:val="single" w:color="auto" w:sz="8" w:space="0"/>
              <w:bottom w:val="single" w:color="auto" w:sz="4" w:space="0"/>
              <w:right w:val="single" w:color="auto" w:sz="4" w:space="0"/>
            </w:tcBorders>
            <w:vAlign w:val="center"/>
          </w:tcPr>
          <w:p w14:paraId="5A726DD6">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75BD7F69">
            <w:pPr>
              <w:spacing w:line="320" w:lineRule="exact"/>
              <w:jc w:val="left"/>
              <w:rPr>
                <w:rFonts w:eastAsia="仿宋_GB2312"/>
                <w:b/>
                <w:bCs/>
                <w:color w:val="000000"/>
                <w:kern w:val="0"/>
                <w:sz w:val="18"/>
                <w:szCs w:val="18"/>
              </w:rPr>
            </w:pPr>
            <w:r>
              <w:rPr>
                <w:rFonts w:eastAsia="仿宋_GB2312"/>
                <w:b/>
                <w:bCs/>
                <w:color w:val="000000"/>
                <w:kern w:val="0"/>
                <w:sz w:val="18"/>
                <w:szCs w:val="18"/>
              </w:rPr>
              <w:t>320217416000</w:t>
            </w:r>
          </w:p>
        </w:tc>
      </w:tr>
      <w:tr w14:paraId="7DC54B19">
        <w:tblPrEx>
          <w:tblCellMar>
            <w:top w:w="0" w:type="dxa"/>
            <w:left w:w="108" w:type="dxa"/>
            <w:bottom w:w="0" w:type="dxa"/>
            <w:right w:w="108" w:type="dxa"/>
          </w:tblCellMar>
        </w:tblPrEx>
        <w:trPr>
          <w:trHeight w:val="285" w:hRule="atLeast"/>
        </w:trPr>
        <w:tc>
          <w:tcPr>
            <w:tcW w:w="1056" w:type="dxa"/>
            <w:gridSpan w:val="2"/>
            <w:tcBorders>
              <w:top w:val="nil"/>
              <w:left w:val="single" w:color="auto" w:sz="8" w:space="0"/>
              <w:bottom w:val="single" w:color="auto" w:sz="4" w:space="0"/>
              <w:right w:val="single" w:color="auto" w:sz="4" w:space="0"/>
            </w:tcBorders>
            <w:vAlign w:val="center"/>
          </w:tcPr>
          <w:p w14:paraId="07098EFB">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4B760E53">
            <w:pPr>
              <w:spacing w:line="320" w:lineRule="exact"/>
              <w:jc w:val="left"/>
              <w:rPr>
                <w:color w:val="000000"/>
                <w:kern w:val="0"/>
                <w:sz w:val="18"/>
                <w:szCs w:val="18"/>
              </w:rPr>
            </w:pPr>
            <w:r>
              <w:rPr>
                <w:rFonts w:hint="eastAsia"/>
                <w:color w:val="000000"/>
                <w:kern w:val="0"/>
                <w:sz w:val="18"/>
                <w:szCs w:val="18"/>
              </w:rPr>
              <w:t>对承租人无正当理由连续</w:t>
            </w:r>
            <w:r>
              <w:rPr>
                <w:color w:val="000000"/>
                <w:kern w:val="0"/>
                <w:sz w:val="18"/>
                <w:szCs w:val="18"/>
              </w:rPr>
              <w:t>6</w:t>
            </w:r>
            <w:r>
              <w:rPr>
                <w:rFonts w:hint="eastAsia"/>
                <w:color w:val="000000"/>
                <w:kern w:val="0"/>
                <w:sz w:val="18"/>
                <w:szCs w:val="18"/>
              </w:rPr>
              <w:t>个月以上闲置公共租赁住房的处罚</w:t>
            </w:r>
          </w:p>
        </w:tc>
      </w:tr>
      <w:tr w14:paraId="0439D63C">
        <w:tblPrEx>
          <w:tblCellMar>
            <w:top w:w="0" w:type="dxa"/>
            <w:left w:w="108" w:type="dxa"/>
            <w:bottom w:w="0" w:type="dxa"/>
            <w:right w:w="108" w:type="dxa"/>
          </w:tblCellMar>
        </w:tblPrEx>
        <w:trPr>
          <w:trHeight w:val="2385" w:hRule="atLeast"/>
        </w:trPr>
        <w:tc>
          <w:tcPr>
            <w:tcW w:w="1056" w:type="dxa"/>
            <w:gridSpan w:val="2"/>
            <w:tcBorders>
              <w:top w:val="nil"/>
              <w:left w:val="single" w:color="auto" w:sz="8" w:space="0"/>
              <w:bottom w:val="single" w:color="auto" w:sz="4" w:space="0"/>
              <w:right w:val="single" w:color="auto" w:sz="4" w:space="0"/>
            </w:tcBorders>
            <w:vAlign w:val="center"/>
          </w:tcPr>
          <w:p w14:paraId="33235C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56840F8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倍以下但不超过</w:t>
            </w:r>
            <w:r>
              <w:rPr>
                <w:color w:val="000000"/>
                <w:kern w:val="0"/>
                <w:sz w:val="18"/>
                <w:szCs w:val="18"/>
              </w:rPr>
              <w:t>3</w:t>
            </w:r>
            <w:r>
              <w:rPr>
                <w:rFonts w:hint="eastAsia"/>
                <w:color w:val="000000"/>
                <w:kern w:val="0"/>
                <w:sz w:val="18"/>
                <w:szCs w:val="18"/>
              </w:rPr>
              <w:t>万元的罚款</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（五）无正当理由连续</w:t>
            </w:r>
            <w:r>
              <w:rPr>
                <w:color w:val="000000"/>
                <w:kern w:val="0"/>
                <w:sz w:val="18"/>
                <w:szCs w:val="18"/>
              </w:rPr>
              <w:t>6</w:t>
            </w:r>
            <w:r>
              <w:rPr>
                <w:rFonts w:hint="eastAsia"/>
                <w:color w:val="000000"/>
                <w:kern w:val="0"/>
                <w:sz w:val="18"/>
                <w:szCs w:val="18"/>
              </w:rPr>
              <w:t>个月以上闲置公共租赁住房的。</w:t>
            </w:r>
            <w:r>
              <w:rPr>
                <w:color w:val="000000"/>
                <w:kern w:val="0"/>
                <w:sz w:val="18"/>
                <w:szCs w:val="18"/>
              </w:rPr>
              <w:br w:type="textWrapping"/>
            </w:r>
            <w:r>
              <w:rPr>
                <w:rFonts w:hint="eastAsia"/>
                <w:color w:val="000000"/>
                <w:kern w:val="0"/>
                <w:sz w:val="18"/>
                <w:szCs w:val="18"/>
              </w:rPr>
              <w:t>有前款所列行为，承租人自退回公共租赁住房之日起五年内不得再次申请公共租赁住房；造成损失的，依法承担赔偿责任。</w:t>
            </w:r>
          </w:p>
        </w:tc>
      </w:tr>
      <w:tr w14:paraId="1DBC0588">
        <w:tblPrEx>
          <w:tblCellMar>
            <w:top w:w="0" w:type="dxa"/>
            <w:left w:w="108" w:type="dxa"/>
            <w:bottom w:w="0" w:type="dxa"/>
            <w:right w:w="108" w:type="dxa"/>
          </w:tblCellMar>
        </w:tblPrEx>
        <w:trPr>
          <w:trHeight w:val="285" w:hRule="atLeast"/>
        </w:trPr>
        <w:tc>
          <w:tcPr>
            <w:tcW w:w="1056" w:type="dxa"/>
            <w:gridSpan w:val="2"/>
            <w:tcBorders>
              <w:top w:val="nil"/>
              <w:left w:val="single" w:color="auto" w:sz="8" w:space="0"/>
              <w:bottom w:val="single" w:color="auto" w:sz="4" w:space="0"/>
              <w:right w:val="single" w:color="auto" w:sz="4" w:space="0"/>
            </w:tcBorders>
            <w:vAlign w:val="center"/>
          </w:tcPr>
          <w:p w14:paraId="2B0EC557">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0B55366B">
            <w:pPr>
              <w:spacing w:line="320" w:lineRule="exact"/>
              <w:jc w:val="left"/>
              <w:rPr>
                <w:color w:val="000000"/>
                <w:kern w:val="0"/>
                <w:sz w:val="18"/>
                <w:szCs w:val="18"/>
              </w:rPr>
            </w:pPr>
            <w:r>
              <w:rPr>
                <w:rFonts w:hint="eastAsia"/>
                <w:color w:val="000000"/>
                <w:kern w:val="0"/>
                <w:sz w:val="18"/>
                <w:szCs w:val="18"/>
              </w:rPr>
              <w:t>罚款</w:t>
            </w:r>
          </w:p>
        </w:tc>
      </w:tr>
      <w:tr w14:paraId="45B84D52">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1F3C35CB">
            <w:pPr>
              <w:spacing w:line="320" w:lineRule="exact"/>
              <w:jc w:val="center"/>
              <w:rPr>
                <w:color w:val="000000"/>
                <w:kern w:val="0"/>
                <w:sz w:val="18"/>
                <w:szCs w:val="18"/>
              </w:rPr>
            </w:pPr>
            <w:r>
              <w:rPr>
                <w:rFonts w:hint="eastAsia"/>
                <w:color w:val="000000"/>
                <w:kern w:val="0"/>
                <w:sz w:val="18"/>
                <w:szCs w:val="18"/>
              </w:rPr>
              <w:t>裁量基准</w:t>
            </w:r>
          </w:p>
        </w:tc>
      </w:tr>
      <w:tr w14:paraId="6475A16C">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39641F76">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13D74110">
            <w:pPr>
              <w:spacing w:line="320" w:lineRule="exact"/>
              <w:jc w:val="left"/>
              <w:rPr>
                <w:color w:val="000000"/>
                <w:kern w:val="0"/>
                <w:sz w:val="18"/>
                <w:szCs w:val="18"/>
              </w:rPr>
            </w:pPr>
            <w:r>
              <w:rPr>
                <w:rFonts w:hint="eastAsia"/>
                <w:color w:val="000000"/>
                <w:kern w:val="0"/>
                <w:sz w:val="18"/>
                <w:szCs w:val="18"/>
              </w:rPr>
              <w:t>没有违法所得且按照要求退回公共租赁住房的</w:t>
            </w:r>
          </w:p>
        </w:tc>
        <w:tc>
          <w:tcPr>
            <w:tcW w:w="1000" w:type="dxa"/>
            <w:vMerge w:val="restart"/>
            <w:tcBorders>
              <w:top w:val="nil"/>
              <w:left w:val="single" w:color="auto" w:sz="4" w:space="0"/>
              <w:right w:val="single" w:color="auto" w:sz="4" w:space="0"/>
            </w:tcBorders>
            <w:vAlign w:val="center"/>
          </w:tcPr>
          <w:p w14:paraId="1F618D3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5ACA348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14:paraId="521082A1">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51693B8A">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7D3F1710">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val="continue"/>
            <w:tcBorders>
              <w:left w:val="single" w:color="auto" w:sz="4" w:space="0"/>
              <w:right w:val="single" w:color="auto" w:sz="4" w:space="0"/>
            </w:tcBorders>
            <w:vAlign w:val="center"/>
          </w:tcPr>
          <w:p w14:paraId="2C0C7D03">
            <w:pPr>
              <w:spacing w:line="320" w:lineRule="exact"/>
              <w:jc w:val="left"/>
              <w:rPr>
                <w:color w:val="000000"/>
                <w:kern w:val="0"/>
                <w:sz w:val="18"/>
                <w:szCs w:val="18"/>
              </w:rPr>
            </w:pPr>
          </w:p>
        </w:tc>
        <w:tc>
          <w:tcPr>
            <w:tcW w:w="5866" w:type="dxa"/>
            <w:tcBorders>
              <w:top w:val="single" w:color="auto" w:sz="4" w:space="0"/>
              <w:left w:val="nil"/>
              <w:bottom w:val="single" w:color="auto" w:sz="4" w:space="0"/>
              <w:right w:val="single" w:color="auto" w:sz="4" w:space="0"/>
            </w:tcBorders>
            <w:vAlign w:val="center"/>
          </w:tcPr>
          <w:p w14:paraId="402EBBF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14:paraId="6940DCB0">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0799D1C1">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52606658">
            <w:pPr>
              <w:spacing w:line="320" w:lineRule="exact"/>
              <w:jc w:val="left"/>
              <w:rPr>
                <w:color w:val="000000"/>
                <w:kern w:val="0"/>
                <w:sz w:val="18"/>
                <w:szCs w:val="18"/>
              </w:rPr>
            </w:pPr>
            <w:r>
              <w:rPr>
                <w:rFonts w:hint="eastAsia"/>
                <w:color w:val="000000"/>
                <w:kern w:val="0"/>
                <w:sz w:val="18"/>
                <w:szCs w:val="18"/>
              </w:rPr>
              <w:t>有违法所得且按照要求退回公共租赁住房的</w:t>
            </w:r>
          </w:p>
        </w:tc>
        <w:tc>
          <w:tcPr>
            <w:tcW w:w="1000" w:type="dxa"/>
            <w:vMerge w:val="continue"/>
            <w:tcBorders>
              <w:left w:val="single" w:color="auto" w:sz="4" w:space="0"/>
              <w:right w:val="single" w:color="auto" w:sz="4" w:space="0"/>
            </w:tcBorders>
            <w:vAlign w:val="center"/>
          </w:tcPr>
          <w:p w14:paraId="161285DA">
            <w:pPr>
              <w:spacing w:line="320" w:lineRule="exact"/>
              <w:jc w:val="left"/>
              <w:rPr>
                <w:color w:val="000000"/>
                <w:kern w:val="0"/>
                <w:sz w:val="18"/>
                <w:szCs w:val="18"/>
              </w:rPr>
            </w:pPr>
          </w:p>
        </w:tc>
        <w:tc>
          <w:tcPr>
            <w:tcW w:w="5866" w:type="dxa"/>
            <w:tcBorders>
              <w:top w:val="single" w:color="auto" w:sz="4" w:space="0"/>
              <w:left w:val="nil"/>
              <w:bottom w:val="single" w:color="auto" w:sz="4" w:space="0"/>
              <w:right w:val="single" w:color="auto" w:sz="4" w:space="0"/>
            </w:tcBorders>
            <w:vAlign w:val="center"/>
          </w:tcPr>
          <w:p w14:paraId="2FBE9FF1">
            <w:pPr>
              <w:spacing w:line="320" w:lineRule="exact"/>
              <w:jc w:val="left"/>
              <w:rPr>
                <w:color w:val="000000"/>
                <w:kern w:val="0"/>
                <w:sz w:val="18"/>
                <w:szCs w:val="18"/>
              </w:rPr>
            </w:pPr>
            <w:r>
              <w:rPr>
                <w:rFonts w:hint="eastAsia"/>
                <w:color w:val="000000"/>
                <w:kern w:val="0"/>
                <w:sz w:val="18"/>
                <w:szCs w:val="18"/>
              </w:rPr>
              <w:t>处违法所得一倍以下且不超过</w:t>
            </w:r>
            <w:r>
              <w:rPr>
                <w:color w:val="000000"/>
                <w:kern w:val="0"/>
                <w:sz w:val="18"/>
                <w:szCs w:val="18"/>
              </w:rPr>
              <w:t>1</w:t>
            </w:r>
            <w:r>
              <w:rPr>
                <w:rFonts w:hint="eastAsia"/>
                <w:color w:val="000000"/>
                <w:kern w:val="0"/>
                <w:sz w:val="18"/>
                <w:szCs w:val="18"/>
              </w:rPr>
              <w:t>万元罚款</w:t>
            </w:r>
          </w:p>
        </w:tc>
      </w:tr>
      <w:tr w14:paraId="62B2DE65">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259B18A2">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2A8B2A39">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val="continue"/>
            <w:tcBorders>
              <w:left w:val="single" w:color="auto" w:sz="4" w:space="0"/>
              <w:bottom w:val="single" w:color="auto" w:sz="4" w:space="0"/>
              <w:right w:val="single" w:color="auto" w:sz="4" w:space="0"/>
            </w:tcBorders>
            <w:vAlign w:val="center"/>
          </w:tcPr>
          <w:p w14:paraId="39B875D1">
            <w:pPr>
              <w:spacing w:line="320" w:lineRule="exact"/>
              <w:jc w:val="left"/>
              <w:rPr>
                <w:color w:val="000000"/>
                <w:kern w:val="0"/>
                <w:sz w:val="18"/>
                <w:szCs w:val="18"/>
              </w:rPr>
            </w:pPr>
          </w:p>
        </w:tc>
        <w:tc>
          <w:tcPr>
            <w:tcW w:w="5866" w:type="dxa"/>
            <w:tcBorders>
              <w:top w:val="single" w:color="auto" w:sz="4" w:space="0"/>
              <w:left w:val="nil"/>
              <w:bottom w:val="single" w:color="auto" w:sz="4" w:space="0"/>
              <w:right w:val="single" w:color="auto" w:sz="4" w:space="0"/>
            </w:tcBorders>
            <w:vAlign w:val="center"/>
          </w:tcPr>
          <w:p w14:paraId="53B75E4B">
            <w:pPr>
              <w:spacing w:line="320" w:lineRule="exact"/>
              <w:jc w:val="left"/>
              <w:rPr>
                <w:color w:val="000000"/>
                <w:kern w:val="0"/>
                <w:sz w:val="18"/>
                <w:szCs w:val="18"/>
              </w:rPr>
            </w:pPr>
            <w:r>
              <w:rPr>
                <w:rFonts w:hint="eastAsia"/>
                <w:color w:val="000000"/>
                <w:kern w:val="0"/>
                <w:sz w:val="18"/>
                <w:szCs w:val="18"/>
              </w:rPr>
              <w:t>处违法所得一倍以上三倍以下且不超过</w:t>
            </w:r>
            <w:r>
              <w:rPr>
                <w:color w:val="000000"/>
                <w:kern w:val="0"/>
                <w:sz w:val="18"/>
                <w:szCs w:val="18"/>
              </w:rPr>
              <w:t>3</w:t>
            </w:r>
            <w:r>
              <w:rPr>
                <w:rFonts w:hint="eastAsia"/>
                <w:color w:val="000000"/>
                <w:kern w:val="0"/>
                <w:sz w:val="18"/>
                <w:szCs w:val="18"/>
              </w:rPr>
              <w:t>万元罚款</w:t>
            </w:r>
          </w:p>
        </w:tc>
      </w:tr>
    </w:tbl>
    <w:p w14:paraId="0AC46E48"/>
    <w:p w14:paraId="604FD2D2"/>
    <w:p w14:paraId="0430BE5A"/>
    <w:p w14:paraId="3CD992F0"/>
    <w:p w14:paraId="344FF0E1"/>
    <w:p w14:paraId="6915BCC7"/>
    <w:p w14:paraId="197A5128"/>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7642B010">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506ED93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6F3A10B1">
            <w:pPr>
              <w:spacing w:line="320" w:lineRule="exact"/>
              <w:jc w:val="left"/>
              <w:rPr>
                <w:rFonts w:eastAsia="仿宋_GB2312"/>
                <w:b/>
                <w:bCs/>
                <w:color w:val="000000"/>
                <w:kern w:val="0"/>
                <w:sz w:val="18"/>
                <w:szCs w:val="18"/>
              </w:rPr>
            </w:pPr>
            <w:r>
              <w:rPr>
                <w:rFonts w:eastAsia="仿宋_GB2312"/>
                <w:b/>
                <w:bCs/>
                <w:color w:val="000000"/>
                <w:kern w:val="0"/>
                <w:sz w:val="18"/>
                <w:szCs w:val="18"/>
              </w:rPr>
              <w:t>320217417000</w:t>
            </w:r>
          </w:p>
        </w:tc>
      </w:tr>
      <w:tr w14:paraId="5F3E403D">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63F4E170">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3BD406A9">
            <w:pPr>
              <w:spacing w:line="320" w:lineRule="exact"/>
              <w:jc w:val="left"/>
              <w:rPr>
                <w:color w:val="000000"/>
                <w:kern w:val="0"/>
                <w:sz w:val="18"/>
                <w:szCs w:val="18"/>
              </w:rPr>
            </w:pPr>
            <w:r>
              <w:rPr>
                <w:rFonts w:hint="eastAsia"/>
                <w:color w:val="000000"/>
                <w:kern w:val="0"/>
                <w:sz w:val="18"/>
                <w:szCs w:val="18"/>
              </w:rPr>
              <w:t>对配套建设的节约用水设施，未经验收或者验收不合格仍投入使用的处罚</w:t>
            </w:r>
          </w:p>
        </w:tc>
      </w:tr>
      <w:tr w14:paraId="21FA5DB6">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68B9E42C">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4EF90B89">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4B1E1D4A">
            <w:pPr>
              <w:spacing w:line="320" w:lineRule="exact"/>
              <w:jc w:val="left"/>
              <w:rPr>
                <w:color w:val="000000"/>
                <w:kern w:val="0"/>
                <w:sz w:val="18"/>
                <w:szCs w:val="18"/>
              </w:rPr>
            </w:pPr>
            <w:r>
              <w:rPr>
                <w:rFonts w:hint="eastAsia"/>
                <w:color w:val="000000"/>
                <w:kern w:val="0"/>
                <w:sz w:val="18"/>
                <w:szCs w:val="18"/>
              </w:rPr>
              <w:t xml:space="preserve">       第四十七条 使用城乡供水的新建、改建、扩建工程项目，应当配套建设节约用水设施。节约用水设施应当与主体工程同时设计、同时施工、同时使用。</w:t>
            </w:r>
          </w:p>
          <w:p w14:paraId="6BBCB96E">
            <w:pPr>
              <w:spacing w:line="320" w:lineRule="exact"/>
              <w:jc w:val="left"/>
              <w:rPr>
                <w:color w:val="000000"/>
                <w:kern w:val="0"/>
                <w:sz w:val="18"/>
                <w:szCs w:val="18"/>
              </w:rPr>
            </w:pPr>
            <w:r>
              <w:rPr>
                <w:rFonts w:hint="eastAsia"/>
                <w:color w:val="000000"/>
                <w:kern w:val="0"/>
                <w:sz w:val="18"/>
                <w:szCs w:val="18"/>
              </w:rPr>
              <w:t>配套建设的节约用水设施，应当使用节水型工艺、设备和器具，并经验收合格后投入使用。禁止使用国家明令淘汰的工艺、设备和器具。</w:t>
            </w:r>
          </w:p>
          <w:p w14:paraId="3697E854">
            <w:pPr>
              <w:spacing w:line="320" w:lineRule="exact"/>
              <w:jc w:val="left"/>
              <w:rPr>
                <w:color w:val="000000"/>
                <w:kern w:val="0"/>
                <w:sz w:val="18"/>
                <w:szCs w:val="18"/>
              </w:rPr>
            </w:pPr>
            <w:r>
              <w:rPr>
                <w:rFonts w:hint="eastAsia"/>
                <w:color w:val="000000"/>
                <w:kern w:val="0"/>
                <w:sz w:val="18"/>
                <w:szCs w:val="18"/>
              </w:rPr>
              <w:t xml:space="preserve">       第五十六条 违反本条例第四十七条规定，建设单位有下列行为之一的，由城乡供水主管部门责令停止使用，限期改正，处以五万元以上十万元以下罚款：</w:t>
            </w:r>
          </w:p>
          <w:p w14:paraId="7E4B6C8C">
            <w:pPr>
              <w:spacing w:line="320" w:lineRule="exact"/>
              <w:jc w:val="left"/>
              <w:rPr>
                <w:color w:val="000000"/>
                <w:kern w:val="0"/>
                <w:sz w:val="18"/>
                <w:szCs w:val="18"/>
              </w:rPr>
            </w:pPr>
            <w:r>
              <w:rPr>
                <w:rFonts w:hint="eastAsia"/>
                <w:color w:val="000000"/>
                <w:kern w:val="0"/>
                <w:sz w:val="18"/>
                <w:szCs w:val="18"/>
              </w:rPr>
              <w:t xml:space="preserve">      （二）配套建设的节约用水设施，未经验收或者验收不合格仍投入使用的。</w:t>
            </w:r>
          </w:p>
          <w:p w14:paraId="64DCDFAA">
            <w:pPr>
              <w:spacing w:line="320" w:lineRule="exact"/>
              <w:jc w:val="left"/>
              <w:rPr>
                <w:color w:val="000000"/>
                <w:kern w:val="0"/>
                <w:sz w:val="18"/>
                <w:szCs w:val="18"/>
              </w:rPr>
            </w:pPr>
            <w:r>
              <w:rPr>
                <w:rFonts w:hint="eastAsia"/>
                <w:color w:val="000000"/>
                <w:kern w:val="0"/>
                <w:sz w:val="18"/>
                <w:szCs w:val="18"/>
              </w:rPr>
              <w:t>【规章】《城市节约用水管理规定》（建设部令第1号）</w:t>
            </w:r>
          </w:p>
          <w:p w14:paraId="1575BFE0">
            <w:pPr>
              <w:spacing w:line="320" w:lineRule="exact"/>
              <w:jc w:val="left"/>
              <w:rPr>
                <w:rFonts w:eastAsia="仿宋_GB2312"/>
                <w:color w:val="000000"/>
                <w:sz w:val="20"/>
              </w:rPr>
            </w:pPr>
            <w:r>
              <w:rPr>
                <w:rFonts w:hint="eastAsia"/>
                <w:color w:val="000000"/>
                <w:kern w:val="0"/>
                <w:sz w:val="18"/>
                <w:szCs w:val="18"/>
              </w:rPr>
              <w:t xml:space="preserve">       第十七条 城市的新建、扩建和改建工程项目未按规定配套建设节约用水设施或者节约用水设施经验收不合格的，由城市建设行政主管部门限制其用水量，并责令其限期完善节约用水设施，可以并处罚款。</w:t>
            </w:r>
          </w:p>
        </w:tc>
      </w:tr>
      <w:tr w14:paraId="54CA5D27">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07ABC6B8">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5D1BDCDC">
            <w:pPr>
              <w:spacing w:line="320" w:lineRule="exact"/>
              <w:jc w:val="left"/>
              <w:rPr>
                <w:color w:val="000000"/>
                <w:kern w:val="0"/>
                <w:sz w:val="18"/>
                <w:szCs w:val="18"/>
              </w:rPr>
            </w:pPr>
            <w:r>
              <w:rPr>
                <w:rFonts w:hint="eastAsia"/>
                <w:color w:val="000000"/>
                <w:kern w:val="0"/>
                <w:sz w:val="18"/>
                <w:szCs w:val="18"/>
              </w:rPr>
              <w:t>罚款</w:t>
            </w:r>
          </w:p>
        </w:tc>
      </w:tr>
      <w:tr w14:paraId="62DC89D2">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4CAAAC35">
            <w:pPr>
              <w:spacing w:line="320" w:lineRule="exact"/>
              <w:jc w:val="center"/>
              <w:rPr>
                <w:color w:val="000000"/>
                <w:kern w:val="0"/>
                <w:sz w:val="18"/>
                <w:szCs w:val="18"/>
              </w:rPr>
            </w:pPr>
            <w:r>
              <w:rPr>
                <w:rFonts w:hint="eastAsia"/>
                <w:color w:val="000000"/>
                <w:kern w:val="0"/>
                <w:sz w:val="18"/>
                <w:szCs w:val="18"/>
              </w:rPr>
              <w:t>裁量基准</w:t>
            </w:r>
          </w:p>
        </w:tc>
      </w:tr>
      <w:tr w14:paraId="663346EA">
        <w:tblPrEx>
          <w:tblCellMar>
            <w:top w:w="0" w:type="dxa"/>
            <w:left w:w="108" w:type="dxa"/>
            <w:bottom w:w="0" w:type="dxa"/>
            <w:right w:w="108" w:type="dxa"/>
          </w:tblCellMar>
        </w:tblPrEx>
        <w:trPr>
          <w:gridAfter w:val="1"/>
          <w:wAfter w:w="14" w:type="dxa"/>
          <w:trHeight w:val="322" w:hRule="atLeast"/>
        </w:trPr>
        <w:tc>
          <w:tcPr>
            <w:tcW w:w="996" w:type="dxa"/>
            <w:vMerge w:val="restart"/>
            <w:tcBorders>
              <w:top w:val="single" w:color="auto" w:sz="4" w:space="0"/>
              <w:left w:val="single" w:color="auto" w:sz="4" w:space="0"/>
              <w:right w:val="single" w:color="auto" w:sz="4" w:space="0"/>
            </w:tcBorders>
            <w:vAlign w:val="center"/>
          </w:tcPr>
          <w:p w14:paraId="6FEAB034">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4E714A03">
            <w:pPr>
              <w:spacing w:line="320" w:lineRule="exact"/>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未经验收</w:t>
            </w:r>
            <w:r>
              <w:rPr>
                <w:rFonts w:hint="eastAsia"/>
                <w:color w:val="000000" w:themeColor="text1"/>
                <w:kern w:val="0"/>
                <w:sz w:val="18"/>
                <w:szCs w:val="18"/>
                <w14:textFill>
                  <w14:solidFill>
                    <w14:schemeClr w14:val="tx1"/>
                  </w14:solidFill>
                </w14:textFill>
              </w:rPr>
              <w:t>投入使用</w:t>
            </w:r>
          </w:p>
        </w:tc>
        <w:tc>
          <w:tcPr>
            <w:tcW w:w="1139" w:type="dxa"/>
            <w:vMerge w:val="restart"/>
            <w:tcBorders>
              <w:top w:val="single" w:color="auto" w:sz="4" w:space="0"/>
              <w:left w:val="single" w:color="auto" w:sz="4" w:space="0"/>
              <w:bottom w:val="single" w:color="auto" w:sz="4" w:space="0"/>
              <w:right w:val="single" w:color="auto" w:sz="4" w:space="0"/>
            </w:tcBorders>
            <w:vAlign w:val="center"/>
          </w:tcPr>
          <w:p w14:paraId="1B93F6C8">
            <w:pPr>
              <w:spacing w:line="32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裁量幅度</w:t>
            </w:r>
          </w:p>
        </w:tc>
        <w:tc>
          <w:tcPr>
            <w:tcW w:w="6180" w:type="dxa"/>
            <w:tcBorders>
              <w:top w:val="single" w:color="auto" w:sz="4" w:space="0"/>
              <w:left w:val="nil"/>
              <w:bottom w:val="single" w:color="auto" w:sz="4" w:space="0"/>
              <w:right w:val="single" w:color="auto" w:sz="4" w:space="0"/>
            </w:tcBorders>
            <w:vAlign w:val="center"/>
          </w:tcPr>
          <w:p w14:paraId="3B0E384D">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处</w:t>
            </w:r>
            <w:r>
              <w:rPr>
                <w:rFonts w:hint="eastAsia"/>
                <w:color w:val="000000" w:themeColor="text1"/>
                <w:kern w:val="0"/>
                <w:sz w:val="20"/>
                <w:lang w:bidi="ar"/>
                <w14:textFill>
                  <w14:solidFill>
                    <w14:schemeClr w14:val="tx1"/>
                  </w14:solidFill>
                </w14:textFill>
              </w:rPr>
              <w:t>5</w:t>
            </w:r>
            <w:r>
              <w:rPr>
                <w:rFonts w:eastAsiaTheme="minorEastAsia"/>
                <w:color w:val="000000" w:themeColor="text1"/>
                <w:kern w:val="0"/>
                <w:sz w:val="20"/>
                <w:lang w:bidi="ar"/>
                <w14:textFill>
                  <w14:solidFill>
                    <w14:schemeClr w14:val="tx1"/>
                  </w14:solidFill>
                </w14:textFill>
              </w:rPr>
              <w:t>万元以上</w:t>
            </w:r>
            <w:r>
              <w:rPr>
                <w:rFonts w:hint="eastAsia"/>
                <w:color w:val="000000" w:themeColor="text1"/>
                <w:kern w:val="0"/>
                <w:sz w:val="20"/>
                <w:lang w:bidi="ar"/>
                <w14:textFill>
                  <w14:solidFill>
                    <w14:schemeClr w14:val="tx1"/>
                  </w14:solidFill>
                </w14:textFill>
              </w:rPr>
              <w:t>6</w:t>
            </w:r>
            <w:r>
              <w:rPr>
                <w:rFonts w:eastAsiaTheme="minorEastAsia"/>
                <w:color w:val="000000" w:themeColor="text1"/>
                <w:kern w:val="0"/>
                <w:sz w:val="20"/>
                <w:lang w:bidi="ar"/>
                <w14:textFill>
                  <w14:solidFill>
                    <w14:schemeClr w14:val="tx1"/>
                  </w14:solidFill>
                </w14:textFill>
              </w:rPr>
              <w:t>万元以下罚款</w:t>
            </w:r>
          </w:p>
        </w:tc>
      </w:tr>
      <w:tr w14:paraId="24544225">
        <w:tblPrEx>
          <w:tblCellMar>
            <w:top w:w="0" w:type="dxa"/>
            <w:left w:w="108" w:type="dxa"/>
            <w:bottom w:w="0" w:type="dxa"/>
            <w:right w:w="108" w:type="dxa"/>
          </w:tblCellMar>
        </w:tblPrEx>
        <w:trPr>
          <w:gridAfter w:val="1"/>
          <w:wAfter w:w="14" w:type="dxa"/>
          <w:trHeight w:val="397" w:hRule="atLeast"/>
        </w:trPr>
        <w:tc>
          <w:tcPr>
            <w:tcW w:w="996" w:type="dxa"/>
            <w:vMerge w:val="continue"/>
            <w:tcBorders>
              <w:left w:val="single" w:color="auto" w:sz="4" w:space="0"/>
              <w:right w:val="single" w:color="auto" w:sz="4" w:space="0"/>
            </w:tcBorders>
            <w:vAlign w:val="center"/>
          </w:tcPr>
          <w:p w14:paraId="5F7333BA">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793EAE80">
            <w:pPr>
              <w:spacing w:line="320" w:lineRule="exact"/>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未经验收</w:t>
            </w:r>
            <w:r>
              <w:rPr>
                <w:rFonts w:hint="eastAsia"/>
                <w:color w:val="000000" w:themeColor="text1"/>
                <w:kern w:val="0"/>
                <w:sz w:val="18"/>
                <w:szCs w:val="18"/>
                <w14:textFill>
                  <w14:solidFill>
                    <w14:schemeClr w14:val="tx1"/>
                  </w14:solidFill>
                </w14:textFill>
              </w:rPr>
              <w:t>投入使用并经验收不合格</w:t>
            </w:r>
            <w:r>
              <w:rPr>
                <w:color w:val="000000" w:themeColor="text1"/>
                <w:kern w:val="0"/>
                <w:sz w:val="18"/>
                <w:szCs w:val="18"/>
                <w14:textFill>
                  <w14:solidFill>
                    <w14:schemeClr w14:val="tx1"/>
                  </w14:solidFill>
                </w14:textFill>
              </w:rPr>
              <w:t>的</w:t>
            </w:r>
          </w:p>
        </w:tc>
        <w:tc>
          <w:tcPr>
            <w:tcW w:w="1139" w:type="dxa"/>
            <w:vMerge w:val="continue"/>
            <w:tcBorders>
              <w:top w:val="single" w:color="auto" w:sz="4" w:space="0"/>
              <w:left w:val="single" w:color="auto" w:sz="4" w:space="0"/>
              <w:bottom w:val="single" w:color="auto" w:sz="4" w:space="0"/>
              <w:right w:val="single" w:color="auto" w:sz="4" w:space="0"/>
            </w:tcBorders>
            <w:vAlign w:val="center"/>
          </w:tcPr>
          <w:p w14:paraId="07AB5A2C">
            <w:pPr>
              <w:spacing w:line="320" w:lineRule="exact"/>
              <w:jc w:val="left"/>
              <w:rPr>
                <w:color w:val="000000" w:themeColor="text1"/>
                <w:kern w:val="0"/>
                <w:sz w:val="18"/>
                <w:szCs w:val="18"/>
                <w14:textFill>
                  <w14:solidFill>
                    <w14:schemeClr w14:val="tx1"/>
                  </w14:solidFill>
                </w14:textFill>
              </w:rPr>
            </w:pPr>
          </w:p>
        </w:tc>
        <w:tc>
          <w:tcPr>
            <w:tcW w:w="6180" w:type="dxa"/>
            <w:tcBorders>
              <w:top w:val="single" w:color="auto" w:sz="4" w:space="0"/>
              <w:left w:val="nil"/>
              <w:bottom w:val="single" w:color="auto" w:sz="4" w:space="0"/>
              <w:right w:val="single" w:color="auto" w:sz="4" w:space="0"/>
            </w:tcBorders>
            <w:vAlign w:val="center"/>
          </w:tcPr>
          <w:p w14:paraId="48E69422">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处</w:t>
            </w:r>
            <w:r>
              <w:rPr>
                <w:rFonts w:hint="eastAsia"/>
                <w:color w:val="000000" w:themeColor="text1"/>
                <w:kern w:val="0"/>
                <w:sz w:val="20"/>
                <w:lang w:bidi="ar"/>
                <w14:textFill>
                  <w14:solidFill>
                    <w14:schemeClr w14:val="tx1"/>
                  </w14:solidFill>
                </w14:textFill>
              </w:rPr>
              <w:t>6</w:t>
            </w:r>
            <w:r>
              <w:rPr>
                <w:rFonts w:eastAsiaTheme="minorEastAsia"/>
                <w:color w:val="000000" w:themeColor="text1"/>
                <w:kern w:val="0"/>
                <w:sz w:val="20"/>
                <w:lang w:bidi="ar"/>
                <w14:textFill>
                  <w14:solidFill>
                    <w14:schemeClr w14:val="tx1"/>
                  </w14:solidFill>
                </w14:textFill>
              </w:rPr>
              <w:t>万元以上</w:t>
            </w:r>
            <w:r>
              <w:rPr>
                <w:rFonts w:hint="eastAsia"/>
                <w:color w:val="000000" w:themeColor="text1"/>
                <w:kern w:val="0"/>
                <w:sz w:val="20"/>
                <w:lang w:bidi="ar"/>
                <w14:textFill>
                  <w14:solidFill>
                    <w14:schemeClr w14:val="tx1"/>
                  </w14:solidFill>
                </w14:textFill>
              </w:rPr>
              <w:t>8</w:t>
            </w:r>
            <w:r>
              <w:rPr>
                <w:rFonts w:eastAsiaTheme="minorEastAsia"/>
                <w:color w:val="000000" w:themeColor="text1"/>
                <w:kern w:val="0"/>
                <w:sz w:val="20"/>
                <w:lang w:bidi="ar"/>
                <w14:textFill>
                  <w14:solidFill>
                    <w14:schemeClr w14:val="tx1"/>
                  </w14:solidFill>
                </w14:textFill>
              </w:rPr>
              <w:t>万元以下罚款</w:t>
            </w:r>
          </w:p>
        </w:tc>
      </w:tr>
      <w:tr w14:paraId="084A048D">
        <w:tblPrEx>
          <w:tblCellMar>
            <w:top w:w="0" w:type="dxa"/>
            <w:left w:w="108" w:type="dxa"/>
            <w:bottom w:w="0" w:type="dxa"/>
            <w:right w:w="108" w:type="dxa"/>
          </w:tblCellMar>
        </w:tblPrEx>
        <w:trPr>
          <w:gridAfter w:val="1"/>
          <w:wAfter w:w="14" w:type="dxa"/>
          <w:trHeight w:val="397" w:hRule="atLeast"/>
        </w:trPr>
        <w:tc>
          <w:tcPr>
            <w:tcW w:w="996" w:type="dxa"/>
            <w:vMerge w:val="continue"/>
            <w:tcBorders>
              <w:left w:val="single" w:color="auto" w:sz="4" w:space="0"/>
              <w:bottom w:val="single" w:color="auto" w:sz="4" w:space="0"/>
              <w:right w:val="single" w:color="auto" w:sz="4" w:space="0"/>
            </w:tcBorders>
            <w:vAlign w:val="center"/>
          </w:tcPr>
          <w:p w14:paraId="243F3836">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10DE97F8">
            <w:pPr>
              <w:spacing w:line="320" w:lineRule="exact"/>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经验收不合格</w:t>
            </w:r>
            <w:r>
              <w:rPr>
                <w:rFonts w:hint="eastAsia"/>
                <w:color w:val="000000" w:themeColor="text1"/>
                <w:kern w:val="0"/>
                <w:sz w:val="18"/>
                <w:szCs w:val="18"/>
                <w14:textFill>
                  <w14:solidFill>
                    <w14:schemeClr w14:val="tx1"/>
                  </w14:solidFill>
                </w14:textFill>
              </w:rPr>
              <w:t>限期整改未到位仍在使用</w:t>
            </w:r>
          </w:p>
        </w:tc>
        <w:tc>
          <w:tcPr>
            <w:tcW w:w="1139" w:type="dxa"/>
            <w:vMerge w:val="continue"/>
            <w:tcBorders>
              <w:top w:val="single" w:color="auto" w:sz="4" w:space="0"/>
              <w:left w:val="single" w:color="auto" w:sz="4" w:space="0"/>
              <w:bottom w:val="single" w:color="auto" w:sz="4" w:space="0"/>
              <w:right w:val="single" w:color="auto" w:sz="4" w:space="0"/>
            </w:tcBorders>
            <w:vAlign w:val="center"/>
          </w:tcPr>
          <w:p w14:paraId="384D83CE">
            <w:pPr>
              <w:spacing w:line="320" w:lineRule="exact"/>
              <w:jc w:val="left"/>
              <w:rPr>
                <w:color w:val="000000" w:themeColor="text1"/>
                <w:kern w:val="0"/>
                <w:sz w:val="18"/>
                <w:szCs w:val="18"/>
                <w14:textFill>
                  <w14:solidFill>
                    <w14:schemeClr w14:val="tx1"/>
                  </w14:solidFill>
                </w14:textFill>
              </w:rPr>
            </w:pPr>
          </w:p>
        </w:tc>
        <w:tc>
          <w:tcPr>
            <w:tcW w:w="6180" w:type="dxa"/>
            <w:tcBorders>
              <w:top w:val="single" w:color="auto" w:sz="4" w:space="0"/>
              <w:left w:val="nil"/>
              <w:bottom w:val="single" w:color="auto" w:sz="4" w:space="0"/>
              <w:right w:val="single" w:color="auto" w:sz="4" w:space="0"/>
            </w:tcBorders>
            <w:vAlign w:val="center"/>
          </w:tcPr>
          <w:p w14:paraId="65DAA5C5">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处</w:t>
            </w:r>
            <w:r>
              <w:rPr>
                <w:rFonts w:hint="eastAsia"/>
                <w:color w:val="000000" w:themeColor="text1"/>
                <w:kern w:val="0"/>
                <w:sz w:val="20"/>
                <w:lang w:bidi="ar"/>
                <w14:textFill>
                  <w14:solidFill>
                    <w14:schemeClr w14:val="tx1"/>
                  </w14:solidFill>
                </w14:textFill>
              </w:rPr>
              <w:t>8</w:t>
            </w:r>
            <w:r>
              <w:rPr>
                <w:rFonts w:eastAsiaTheme="minorEastAsia"/>
                <w:color w:val="000000" w:themeColor="text1"/>
                <w:kern w:val="0"/>
                <w:sz w:val="20"/>
                <w:lang w:bidi="ar"/>
                <w14:textFill>
                  <w14:solidFill>
                    <w14:schemeClr w14:val="tx1"/>
                  </w14:solidFill>
                </w14:textFill>
              </w:rPr>
              <w:t>万元以上</w:t>
            </w:r>
            <w:r>
              <w:rPr>
                <w:rFonts w:hint="eastAsia"/>
                <w:color w:val="000000" w:themeColor="text1"/>
                <w:kern w:val="0"/>
                <w:sz w:val="20"/>
                <w:lang w:bidi="ar"/>
                <w14:textFill>
                  <w14:solidFill>
                    <w14:schemeClr w14:val="tx1"/>
                  </w14:solidFill>
                </w14:textFill>
              </w:rPr>
              <w:t>10</w:t>
            </w:r>
            <w:r>
              <w:rPr>
                <w:rFonts w:eastAsiaTheme="minorEastAsia"/>
                <w:color w:val="000000" w:themeColor="text1"/>
                <w:kern w:val="0"/>
                <w:sz w:val="20"/>
                <w:lang w:bidi="ar"/>
                <w14:textFill>
                  <w14:solidFill>
                    <w14:schemeClr w14:val="tx1"/>
                  </w14:solidFill>
                </w14:textFill>
              </w:rPr>
              <w:t>万元以下罚款</w:t>
            </w:r>
          </w:p>
        </w:tc>
      </w:tr>
    </w:tbl>
    <w:p w14:paraId="02C2C0C4"/>
    <w:p w14:paraId="19181EF6"/>
    <w:p w14:paraId="04FE11DE"/>
    <w:p w14:paraId="20F265BC"/>
    <w:p w14:paraId="7EBE945A"/>
    <w:p w14:paraId="2BC7B88F"/>
    <w:p w14:paraId="6D34E17C"/>
    <w:tbl>
      <w:tblPr>
        <w:tblStyle w:val="15"/>
        <w:tblW w:w="0" w:type="auto"/>
        <w:tblInd w:w="93" w:type="dxa"/>
        <w:tblLayout w:type="fixed"/>
        <w:tblCellMar>
          <w:top w:w="0" w:type="dxa"/>
          <w:left w:w="108" w:type="dxa"/>
          <w:bottom w:w="0" w:type="dxa"/>
          <w:right w:w="108" w:type="dxa"/>
        </w:tblCellMar>
      </w:tblPr>
      <w:tblGrid>
        <w:gridCol w:w="1035"/>
        <w:gridCol w:w="6140"/>
        <w:gridCol w:w="1120"/>
        <w:gridCol w:w="5730"/>
      </w:tblGrid>
      <w:tr w14:paraId="68DE9781">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7E3091C7">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27B2D300">
            <w:pPr>
              <w:spacing w:line="320" w:lineRule="exact"/>
              <w:jc w:val="left"/>
              <w:rPr>
                <w:rFonts w:eastAsia="仿宋_GB2312"/>
                <w:b/>
                <w:bCs/>
                <w:color w:val="000000"/>
                <w:kern w:val="0"/>
                <w:sz w:val="18"/>
                <w:szCs w:val="18"/>
              </w:rPr>
            </w:pPr>
            <w:r>
              <w:rPr>
                <w:rFonts w:eastAsia="仿宋_GB2312"/>
                <w:b/>
                <w:bCs/>
                <w:color w:val="000000"/>
                <w:kern w:val="0"/>
                <w:sz w:val="18"/>
                <w:szCs w:val="18"/>
              </w:rPr>
              <w:t>320217418000</w:t>
            </w:r>
            <w:r>
              <w:rPr>
                <w:rFonts w:hint="eastAsia" w:eastAsia="仿宋_GB2312"/>
                <w:b/>
                <w:bCs/>
                <w:color w:val="000000"/>
                <w:kern w:val="0"/>
                <w:sz w:val="18"/>
                <w:szCs w:val="18"/>
              </w:rPr>
              <w:t xml:space="preserve"> </w:t>
            </w:r>
          </w:p>
        </w:tc>
      </w:tr>
      <w:tr w14:paraId="365A63D6">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2298148D">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0AA52058">
            <w:pPr>
              <w:spacing w:line="320" w:lineRule="exact"/>
              <w:jc w:val="left"/>
              <w:rPr>
                <w:color w:val="000000"/>
                <w:kern w:val="0"/>
                <w:sz w:val="18"/>
                <w:szCs w:val="18"/>
              </w:rPr>
            </w:pPr>
            <w:r>
              <w:rPr>
                <w:rFonts w:hint="eastAsia"/>
                <w:color w:val="000000"/>
                <w:kern w:val="0"/>
                <w:sz w:val="18"/>
                <w:szCs w:val="18"/>
              </w:rPr>
              <w:t>对隐瞒真实情况、弄虚作假骗取房地产开发企业资质证书的处罚</w:t>
            </w:r>
          </w:p>
        </w:tc>
      </w:tr>
      <w:tr w14:paraId="76C7B5E1">
        <w:tblPrEx>
          <w:tblCellMar>
            <w:top w:w="0" w:type="dxa"/>
            <w:left w:w="108" w:type="dxa"/>
            <w:bottom w:w="0" w:type="dxa"/>
            <w:right w:w="108" w:type="dxa"/>
          </w:tblCellMar>
        </w:tblPrEx>
        <w:trPr>
          <w:trHeight w:val="2385" w:hRule="atLeast"/>
        </w:trPr>
        <w:tc>
          <w:tcPr>
            <w:tcW w:w="1035" w:type="dxa"/>
            <w:tcBorders>
              <w:top w:val="nil"/>
              <w:left w:val="single" w:color="auto" w:sz="8" w:space="0"/>
              <w:bottom w:val="single" w:color="auto" w:sz="4" w:space="0"/>
              <w:right w:val="single" w:color="auto" w:sz="4" w:space="0"/>
            </w:tcBorders>
            <w:vAlign w:val="center"/>
          </w:tcPr>
          <w:p w14:paraId="54F3D6E0">
            <w:pPr>
              <w:spacing w:line="320" w:lineRule="exact"/>
              <w:jc w:val="left"/>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63246DF3">
            <w:pPr>
              <w:spacing w:line="320" w:lineRule="exact"/>
              <w:jc w:val="left"/>
              <w:rPr>
                <w:color w:val="000000"/>
                <w:kern w:val="0"/>
                <w:sz w:val="18"/>
                <w:szCs w:val="18"/>
              </w:rPr>
            </w:pPr>
            <w:r>
              <w:rPr>
                <w:rFonts w:hint="eastAsia"/>
                <w:color w:val="000000"/>
                <w:kern w:val="0"/>
                <w:sz w:val="18"/>
                <w:szCs w:val="18"/>
              </w:rPr>
              <w:t xml:space="preserve">【法律】《中华人民共和国行政许可法》 </w:t>
            </w:r>
          </w:p>
          <w:p w14:paraId="4FF6EE58">
            <w:pPr>
              <w:spacing w:line="320" w:lineRule="exact"/>
              <w:jc w:val="left"/>
              <w:rPr>
                <w:color w:val="000000"/>
                <w:kern w:val="0"/>
                <w:sz w:val="18"/>
                <w:szCs w:val="18"/>
              </w:rPr>
            </w:pPr>
            <w:r>
              <w:rPr>
                <w:rFonts w:hint="eastAsia"/>
                <w:color w:val="000000"/>
                <w:kern w:val="0"/>
                <w:sz w:val="18"/>
                <w:szCs w:val="18"/>
              </w:rPr>
              <w:t xml:space="preserve">       第三十一条 申请人申请行政许可，应当如实向行政机关提交有关材料和反映真实情况，并对其申请材料实质内容的真实性负责。行政机关不得要求申请人提交与其申请的行政许可事项无关的技术资料和其他材料。</w:t>
            </w:r>
          </w:p>
          <w:p w14:paraId="1A7107C6">
            <w:pPr>
              <w:spacing w:line="320" w:lineRule="exact"/>
              <w:jc w:val="left"/>
              <w:rPr>
                <w:color w:val="000000"/>
                <w:kern w:val="0"/>
                <w:sz w:val="18"/>
                <w:szCs w:val="18"/>
              </w:rPr>
            </w:pPr>
            <w:r>
              <w:rPr>
                <w:rFonts w:hint="eastAsia"/>
                <w:color w:val="000000"/>
                <w:kern w:val="0"/>
                <w:sz w:val="18"/>
                <w:szCs w:val="18"/>
              </w:rPr>
              <w:t xml:space="preserve">       第六十九条第二款  被许可人以欺骗、贿赂等不正当手段取得行政许可的，应当予以撤销。</w:t>
            </w:r>
          </w:p>
          <w:p w14:paraId="6A7BFA7E">
            <w:pPr>
              <w:spacing w:line="320" w:lineRule="exact"/>
              <w:jc w:val="left"/>
              <w:rPr>
                <w:color w:val="000000"/>
                <w:kern w:val="0"/>
                <w:sz w:val="18"/>
                <w:szCs w:val="18"/>
              </w:rPr>
            </w:pPr>
            <w:r>
              <w:rPr>
                <w:rFonts w:hint="eastAsia"/>
                <w:color w:val="000000"/>
                <w:kern w:val="0"/>
                <w:sz w:val="18"/>
                <w:szCs w:val="18"/>
              </w:rPr>
              <w:t xml:space="preserve">       第七十九条 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14:paraId="1046AB8F">
            <w:pPr>
              <w:spacing w:line="320" w:lineRule="exact"/>
              <w:jc w:val="left"/>
              <w:rPr>
                <w:color w:val="000000"/>
                <w:kern w:val="0"/>
                <w:sz w:val="18"/>
                <w:szCs w:val="18"/>
              </w:rPr>
            </w:pPr>
            <w:r>
              <w:rPr>
                <w:rFonts w:hint="eastAsia"/>
                <w:color w:val="000000"/>
                <w:kern w:val="0"/>
                <w:sz w:val="18"/>
                <w:szCs w:val="18"/>
              </w:rPr>
              <w:t>【规章】《房地产开发企业资质管理规定》（建设部令第77号，住房和城乡建设部令第24号、第45号、第54号修正）</w:t>
            </w:r>
          </w:p>
          <w:p w14:paraId="634FB768">
            <w:pPr>
              <w:spacing w:line="320" w:lineRule="exact"/>
              <w:jc w:val="left"/>
              <w:rPr>
                <w:color w:val="000000"/>
                <w:kern w:val="0"/>
                <w:sz w:val="18"/>
                <w:szCs w:val="18"/>
              </w:rPr>
            </w:pPr>
            <w:r>
              <w:rPr>
                <w:rFonts w:hint="eastAsia"/>
                <w:color w:val="000000"/>
                <w:kern w:val="0"/>
                <w:sz w:val="18"/>
                <w:szCs w:val="18"/>
              </w:rPr>
              <w:t xml:space="preserve">    　第十八条 企业有下列行为之一的，由原资质审批部门按照《中华人民共和国行政许可法》等法律法规规定予以处理，并可处以1万元以上3万元以下的罚款：</w:t>
            </w:r>
          </w:p>
          <w:p w14:paraId="65BAF1BE">
            <w:pPr>
              <w:spacing w:line="320" w:lineRule="exact"/>
              <w:jc w:val="left"/>
              <w:rPr>
                <w:color w:val="000000"/>
                <w:kern w:val="0"/>
                <w:sz w:val="18"/>
                <w:szCs w:val="18"/>
              </w:rPr>
            </w:pPr>
            <w:r>
              <w:rPr>
                <w:rFonts w:hint="eastAsia"/>
                <w:color w:val="000000"/>
                <w:kern w:val="0"/>
                <w:sz w:val="18"/>
                <w:szCs w:val="18"/>
              </w:rPr>
              <w:t>　　（一）隐瞒真实情况、弄虚作假骗取资质证书的；</w:t>
            </w:r>
          </w:p>
        </w:tc>
      </w:tr>
      <w:tr w14:paraId="3D7CA6FE">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10998C7B">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33BCC7C7">
            <w:pPr>
              <w:spacing w:line="320" w:lineRule="exact"/>
              <w:jc w:val="left"/>
              <w:rPr>
                <w:color w:val="000000"/>
                <w:kern w:val="0"/>
                <w:sz w:val="18"/>
                <w:szCs w:val="18"/>
              </w:rPr>
            </w:pPr>
            <w:r>
              <w:rPr>
                <w:rFonts w:hint="eastAsia"/>
                <w:color w:val="000000"/>
                <w:kern w:val="0"/>
                <w:sz w:val="18"/>
                <w:szCs w:val="18"/>
              </w:rPr>
              <w:t>罚款</w:t>
            </w:r>
          </w:p>
        </w:tc>
      </w:tr>
      <w:tr w14:paraId="46D971C3">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267B17B0">
            <w:pPr>
              <w:spacing w:line="320" w:lineRule="exact"/>
              <w:jc w:val="center"/>
              <w:rPr>
                <w:color w:val="000000"/>
                <w:kern w:val="0"/>
                <w:sz w:val="18"/>
                <w:szCs w:val="18"/>
              </w:rPr>
            </w:pPr>
            <w:r>
              <w:rPr>
                <w:rFonts w:hint="eastAsia"/>
                <w:color w:val="000000"/>
                <w:kern w:val="0"/>
                <w:sz w:val="18"/>
                <w:szCs w:val="18"/>
              </w:rPr>
              <w:t>裁量基准</w:t>
            </w:r>
          </w:p>
        </w:tc>
      </w:tr>
      <w:tr w14:paraId="7778D7C5">
        <w:tblPrEx>
          <w:tblCellMar>
            <w:top w:w="0" w:type="dxa"/>
            <w:left w:w="108" w:type="dxa"/>
            <w:bottom w:w="0" w:type="dxa"/>
            <w:right w:w="108" w:type="dxa"/>
          </w:tblCellMar>
        </w:tblPrEx>
        <w:trPr>
          <w:trHeight w:val="650" w:hRule="atLeast"/>
        </w:trPr>
        <w:tc>
          <w:tcPr>
            <w:tcW w:w="1035" w:type="dxa"/>
            <w:vMerge w:val="restart"/>
            <w:tcBorders>
              <w:top w:val="nil"/>
              <w:left w:val="single" w:color="auto" w:sz="8" w:space="0"/>
              <w:bottom w:val="single" w:color="auto" w:sz="4" w:space="0"/>
              <w:right w:val="single" w:color="auto" w:sz="4" w:space="0"/>
            </w:tcBorders>
            <w:vAlign w:val="center"/>
          </w:tcPr>
          <w:p w14:paraId="3A9A4F2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FF22FB4">
            <w:pPr>
              <w:spacing w:line="320" w:lineRule="exact"/>
              <w:jc w:val="left"/>
              <w:rPr>
                <w:color w:val="000000"/>
                <w:kern w:val="0"/>
                <w:sz w:val="18"/>
                <w:szCs w:val="18"/>
              </w:rPr>
            </w:pPr>
            <w:r>
              <w:rPr>
                <w:rFonts w:hint="eastAsia"/>
                <w:color w:val="000000"/>
                <w:kern w:val="0"/>
                <w:sz w:val="18"/>
                <w:szCs w:val="18"/>
              </w:rPr>
              <w:t>未实际承揽房地产开发业务的</w:t>
            </w:r>
          </w:p>
        </w:tc>
        <w:tc>
          <w:tcPr>
            <w:tcW w:w="1120" w:type="dxa"/>
            <w:vMerge w:val="restart"/>
            <w:tcBorders>
              <w:top w:val="single" w:color="auto" w:sz="4" w:space="0"/>
              <w:left w:val="single" w:color="auto" w:sz="4" w:space="0"/>
              <w:bottom w:val="single" w:color="auto" w:sz="4" w:space="0"/>
              <w:right w:val="single" w:color="auto" w:sz="4" w:space="0"/>
            </w:tcBorders>
            <w:vAlign w:val="center"/>
          </w:tcPr>
          <w:p w14:paraId="2EB81426">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single" w:color="auto" w:sz="4" w:space="0"/>
              <w:left w:val="nil"/>
              <w:bottom w:val="single" w:color="auto" w:sz="4" w:space="0"/>
              <w:right w:val="single" w:color="auto" w:sz="4" w:space="0"/>
            </w:tcBorders>
            <w:vAlign w:val="center"/>
          </w:tcPr>
          <w:p w14:paraId="259CC80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078F9542">
        <w:tblPrEx>
          <w:tblCellMar>
            <w:top w:w="0" w:type="dxa"/>
            <w:left w:w="108" w:type="dxa"/>
            <w:bottom w:w="0" w:type="dxa"/>
            <w:right w:w="108" w:type="dxa"/>
          </w:tblCellMar>
        </w:tblPrEx>
        <w:trPr>
          <w:trHeight w:val="790" w:hRule="atLeast"/>
        </w:trPr>
        <w:tc>
          <w:tcPr>
            <w:tcW w:w="1035" w:type="dxa"/>
            <w:vMerge w:val="continue"/>
            <w:tcBorders>
              <w:top w:val="nil"/>
              <w:left w:val="single" w:color="auto" w:sz="8" w:space="0"/>
              <w:bottom w:val="single" w:color="auto" w:sz="4" w:space="0"/>
              <w:right w:val="single" w:color="auto" w:sz="4" w:space="0"/>
            </w:tcBorders>
            <w:vAlign w:val="center"/>
          </w:tcPr>
          <w:p w14:paraId="10E2D11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27E46EE">
            <w:pPr>
              <w:spacing w:line="320" w:lineRule="exact"/>
              <w:jc w:val="left"/>
              <w:rPr>
                <w:color w:val="000000"/>
                <w:kern w:val="0"/>
                <w:sz w:val="18"/>
                <w:szCs w:val="18"/>
              </w:rPr>
            </w:pPr>
            <w:r>
              <w:rPr>
                <w:rFonts w:hint="eastAsia"/>
                <w:color w:val="000000"/>
                <w:kern w:val="0"/>
                <w:sz w:val="18"/>
                <w:szCs w:val="18"/>
              </w:rPr>
              <w:t>实际承揽了房地产开发业务的</w:t>
            </w:r>
          </w:p>
        </w:tc>
        <w:tc>
          <w:tcPr>
            <w:tcW w:w="1120" w:type="dxa"/>
            <w:vMerge w:val="continue"/>
            <w:tcBorders>
              <w:top w:val="single" w:color="auto" w:sz="4" w:space="0"/>
              <w:left w:val="single" w:color="auto" w:sz="4" w:space="0"/>
              <w:bottom w:val="single" w:color="auto" w:sz="4" w:space="0"/>
              <w:right w:val="single" w:color="auto" w:sz="4" w:space="0"/>
            </w:tcBorders>
            <w:vAlign w:val="center"/>
          </w:tcPr>
          <w:p w14:paraId="60121D2A">
            <w:pPr>
              <w:spacing w:line="320" w:lineRule="exact"/>
              <w:jc w:val="left"/>
              <w:rPr>
                <w:color w:val="000000"/>
                <w:kern w:val="0"/>
                <w:sz w:val="18"/>
                <w:szCs w:val="18"/>
              </w:rPr>
            </w:pPr>
          </w:p>
        </w:tc>
        <w:tc>
          <w:tcPr>
            <w:tcW w:w="5730" w:type="dxa"/>
            <w:tcBorders>
              <w:top w:val="single" w:color="auto" w:sz="4" w:space="0"/>
              <w:left w:val="nil"/>
              <w:bottom w:val="single" w:color="auto" w:sz="4" w:space="0"/>
              <w:right w:val="single" w:color="auto" w:sz="4" w:space="0"/>
            </w:tcBorders>
            <w:vAlign w:val="center"/>
          </w:tcPr>
          <w:p w14:paraId="63FF44F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18670095"/>
    <w:p w14:paraId="76DBC4F2"/>
    <w:p w14:paraId="5D4A6B85"/>
    <w:p w14:paraId="7189805C"/>
    <w:tbl>
      <w:tblPr>
        <w:tblStyle w:val="15"/>
        <w:tblW w:w="14016" w:type="dxa"/>
        <w:tblInd w:w="88" w:type="dxa"/>
        <w:tblLayout w:type="fixed"/>
        <w:tblCellMar>
          <w:top w:w="0" w:type="dxa"/>
          <w:left w:w="108" w:type="dxa"/>
          <w:bottom w:w="0" w:type="dxa"/>
          <w:right w:w="108" w:type="dxa"/>
        </w:tblCellMar>
      </w:tblPr>
      <w:tblGrid>
        <w:gridCol w:w="1154"/>
        <w:gridCol w:w="6026"/>
        <w:gridCol w:w="1076"/>
        <w:gridCol w:w="5760"/>
      </w:tblGrid>
      <w:tr w14:paraId="64320257">
        <w:tblPrEx>
          <w:tblCellMar>
            <w:top w:w="0" w:type="dxa"/>
            <w:left w:w="108" w:type="dxa"/>
            <w:bottom w:w="0" w:type="dxa"/>
            <w:right w:w="108" w:type="dxa"/>
          </w:tblCellMar>
        </w:tblPrEx>
        <w:trPr>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5A33B486">
            <w:pPr>
              <w:rPr>
                <w:color w:val="000000"/>
              </w:rPr>
            </w:pPr>
            <w:r>
              <w:rPr>
                <w:rFonts w:hint="eastAsia"/>
                <w:color w:val="000000"/>
              </w:rPr>
              <w:t>编号</w:t>
            </w:r>
          </w:p>
        </w:tc>
        <w:tc>
          <w:tcPr>
            <w:tcW w:w="12862" w:type="dxa"/>
            <w:gridSpan w:val="3"/>
            <w:tcBorders>
              <w:top w:val="single" w:color="auto" w:sz="8" w:space="0"/>
              <w:left w:val="nil"/>
              <w:bottom w:val="single" w:color="auto" w:sz="4" w:space="0"/>
              <w:right w:val="single" w:color="000000" w:sz="8" w:space="0"/>
            </w:tcBorders>
            <w:vAlign w:val="center"/>
          </w:tcPr>
          <w:p w14:paraId="7DCB1BA7">
            <w:pPr>
              <w:rPr>
                <w:b/>
                <w:bCs/>
                <w:color w:val="000000"/>
              </w:rPr>
            </w:pPr>
            <w:r>
              <w:rPr>
                <w:b/>
                <w:color w:val="000000"/>
              </w:rPr>
              <w:t>320217422000</w:t>
            </w:r>
          </w:p>
        </w:tc>
      </w:tr>
      <w:tr w14:paraId="1AA030D7">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56AFB8D4">
            <w:pPr>
              <w:rPr>
                <w:color w:val="000000"/>
              </w:rPr>
            </w:pPr>
            <w:r>
              <w:rPr>
                <w:rFonts w:hint="eastAsia"/>
                <w:color w:val="000000"/>
              </w:rPr>
              <w:t>行为名称</w:t>
            </w:r>
          </w:p>
        </w:tc>
        <w:tc>
          <w:tcPr>
            <w:tcW w:w="12862" w:type="dxa"/>
            <w:gridSpan w:val="3"/>
            <w:tcBorders>
              <w:top w:val="single" w:color="auto" w:sz="4" w:space="0"/>
              <w:left w:val="nil"/>
              <w:bottom w:val="single" w:color="auto" w:sz="4" w:space="0"/>
              <w:right w:val="single" w:color="000000" w:sz="8" w:space="0"/>
            </w:tcBorders>
            <w:vAlign w:val="center"/>
          </w:tcPr>
          <w:p w14:paraId="5921E385">
            <w:pPr>
              <w:rPr>
                <w:color w:val="000000"/>
              </w:rPr>
            </w:pPr>
            <w:r>
              <w:rPr>
                <w:rFonts w:hint="eastAsia"/>
                <w:color w:val="000000"/>
              </w:rPr>
              <w:t>对建筑起重机械安装单位未按照规定建立建筑起重机械安装、拆卸工程档案的处罚</w:t>
            </w:r>
          </w:p>
        </w:tc>
      </w:tr>
      <w:tr w14:paraId="35065232">
        <w:tblPrEx>
          <w:tblCellMar>
            <w:top w:w="0" w:type="dxa"/>
            <w:left w:w="108" w:type="dxa"/>
            <w:bottom w:w="0" w:type="dxa"/>
            <w:right w:w="108" w:type="dxa"/>
          </w:tblCellMar>
        </w:tblPrEx>
        <w:trPr>
          <w:trHeight w:val="3696" w:hRule="atLeast"/>
        </w:trPr>
        <w:tc>
          <w:tcPr>
            <w:tcW w:w="1154" w:type="dxa"/>
            <w:tcBorders>
              <w:top w:val="nil"/>
              <w:left w:val="single" w:color="auto" w:sz="8" w:space="0"/>
              <w:bottom w:val="single" w:color="auto" w:sz="4" w:space="0"/>
              <w:right w:val="single" w:color="auto" w:sz="4" w:space="0"/>
            </w:tcBorders>
            <w:vAlign w:val="center"/>
          </w:tcPr>
          <w:p w14:paraId="7F888114">
            <w:pPr>
              <w:rPr>
                <w:color w:val="000000"/>
              </w:rPr>
            </w:pPr>
            <w:r>
              <w:rPr>
                <w:rFonts w:hint="eastAsia"/>
                <w:color w:val="000000"/>
              </w:rPr>
              <w:t>法律依据</w:t>
            </w:r>
          </w:p>
        </w:tc>
        <w:tc>
          <w:tcPr>
            <w:tcW w:w="12862" w:type="dxa"/>
            <w:gridSpan w:val="3"/>
            <w:tcBorders>
              <w:top w:val="single" w:color="auto" w:sz="4" w:space="0"/>
              <w:left w:val="nil"/>
              <w:bottom w:val="single" w:color="auto" w:sz="4" w:space="0"/>
              <w:right w:val="single" w:color="000000" w:sz="8" w:space="0"/>
            </w:tcBorders>
            <w:vAlign w:val="center"/>
          </w:tcPr>
          <w:p w14:paraId="149508AF">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第十五条　安装单位应当建立建筑起重机械安装、拆卸工程档案。</w:t>
            </w:r>
            <w:r>
              <w:rPr>
                <w:color w:val="000000"/>
              </w:rPr>
              <w:br w:type="textWrapping"/>
            </w:r>
            <w:r>
              <w:rPr>
                <w:rFonts w:hint="eastAsia"/>
                <w:color w:val="000000"/>
              </w:rPr>
              <w:t>建筑起重机械安装、拆卸工程档案应当包括以下资料：</w:t>
            </w:r>
            <w:r>
              <w:rPr>
                <w:color w:val="000000"/>
              </w:rPr>
              <w:br w:type="textWrapping"/>
            </w:r>
            <w:r>
              <w:rPr>
                <w:color w:val="000000"/>
              </w:rPr>
              <w:t xml:space="preserve">   </w:t>
            </w:r>
            <w:r>
              <w:rPr>
                <w:rFonts w:hint="eastAsia"/>
                <w:color w:val="000000"/>
              </w:rPr>
              <w:t>（一）安装、拆卸合同及安全协议书；</w:t>
            </w:r>
            <w:r>
              <w:rPr>
                <w:color w:val="000000"/>
              </w:rPr>
              <w:br w:type="textWrapping"/>
            </w:r>
            <w:r>
              <w:rPr>
                <w:color w:val="000000"/>
              </w:rPr>
              <w:t xml:space="preserve">   </w:t>
            </w:r>
            <w:r>
              <w:rPr>
                <w:rFonts w:hint="eastAsia"/>
                <w:color w:val="000000"/>
              </w:rPr>
              <w:t>（二）安装、拆卸工程专项施工方案；</w:t>
            </w:r>
            <w:r>
              <w:rPr>
                <w:color w:val="000000"/>
              </w:rPr>
              <w:br w:type="textWrapping"/>
            </w:r>
            <w:r>
              <w:rPr>
                <w:color w:val="000000"/>
              </w:rPr>
              <w:t xml:space="preserve">   </w:t>
            </w:r>
            <w:r>
              <w:rPr>
                <w:rFonts w:hint="eastAsia"/>
                <w:color w:val="000000"/>
              </w:rPr>
              <w:t>（三）安全施工技术交底的有关资料；</w:t>
            </w:r>
            <w:r>
              <w:rPr>
                <w:color w:val="000000"/>
              </w:rPr>
              <w:br w:type="textWrapping"/>
            </w:r>
            <w:r>
              <w:rPr>
                <w:color w:val="000000"/>
              </w:rPr>
              <w:t xml:space="preserve">   </w:t>
            </w:r>
            <w:r>
              <w:rPr>
                <w:rFonts w:hint="eastAsia"/>
                <w:color w:val="000000"/>
              </w:rPr>
              <w:t>（四）安装工程验收资料；</w:t>
            </w:r>
            <w:r>
              <w:rPr>
                <w:color w:val="000000"/>
              </w:rPr>
              <w:br w:type="textWrapping"/>
            </w:r>
            <w:r>
              <w:rPr>
                <w:color w:val="000000"/>
              </w:rPr>
              <w:t xml:space="preserve">   </w:t>
            </w:r>
            <w:r>
              <w:rPr>
                <w:rFonts w:hint="eastAsia"/>
                <w:color w:val="000000"/>
              </w:rPr>
              <w:t>（五）安装、拆卸工程生产安全事故应急救援预案。</w:t>
            </w:r>
            <w:r>
              <w:rPr>
                <w:color w:val="000000"/>
              </w:rPr>
              <w:br w:type="textWrapping"/>
            </w:r>
            <w:r>
              <w:rPr>
                <w:color w:val="000000"/>
              </w:rPr>
              <w:t xml:space="preserve">   </w:t>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ype="textWrapping"/>
            </w:r>
            <w:r>
              <w:rPr>
                <w:color w:val="000000"/>
              </w:rPr>
              <w:t xml:space="preserve">   </w:t>
            </w:r>
            <w:r>
              <w:rPr>
                <w:rFonts w:hint="eastAsia"/>
                <w:color w:val="000000"/>
              </w:rPr>
              <w:t>（二）未按照规定建立建筑起重机械安装、拆卸工程档案的。</w:t>
            </w:r>
          </w:p>
        </w:tc>
      </w:tr>
      <w:tr w14:paraId="7F554B3B">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28EB868B">
            <w:pPr>
              <w:rPr>
                <w:color w:val="000000"/>
              </w:rPr>
            </w:pPr>
            <w:r>
              <w:rPr>
                <w:rFonts w:hint="eastAsia"/>
                <w:color w:val="000000"/>
              </w:rPr>
              <w:t>行使内容</w:t>
            </w:r>
          </w:p>
        </w:tc>
        <w:tc>
          <w:tcPr>
            <w:tcW w:w="12862" w:type="dxa"/>
            <w:gridSpan w:val="3"/>
            <w:tcBorders>
              <w:top w:val="single" w:color="auto" w:sz="4" w:space="0"/>
              <w:left w:val="nil"/>
              <w:bottom w:val="single" w:color="auto" w:sz="4" w:space="0"/>
              <w:right w:val="single" w:color="000000" w:sz="8" w:space="0"/>
            </w:tcBorders>
            <w:vAlign w:val="center"/>
          </w:tcPr>
          <w:p w14:paraId="401364D2">
            <w:pPr>
              <w:rPr>
                <w:color w:val="000000"/>
              </w:rPr>
            </w:pPr>
            <w:r>
              <w:rPr>
                <w:rFonts w:hint="eastAsia"/>
                <w:color w:val="000000"/>
              </w:rPr>
              <w:t>警告，罚款</w:t>
            </w:r>
          </w:p>
        </w:tc>
      </w:tr>
      <w:tr w14:paraId="6C6127F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C27E555">
            <w:pPr>
              <w:jc w:val="center"/>
              <w:rPr>
                <w:color w:val="000000"/>
              </w:rPr>
            </w:pPr>
            <w:r>
              <w:rPr>
                <w:rFonts w:hint="eastAsia"/>
                <w:color w:val="000000"/>
              </w:rPr>
              <w:t>裁量基准</w:t>
            </w:r>
          </w:p>
        </w:tc>
      </w:tr>
      <w:tr w14:paraId="48DE145A">
        <w:tblPrEx>
          <w:tblCellMar>
            <w:top w:w="0" w:type="dxa"/>
            <w:left w:w="108" w:type="dxa"/>
            <w:bottom w:w="0" w:type="dxa"/>
            <w:right w:w="108" w:type="dxa"/>
          </w:tblCellMar>
        </w:tblPrEx>
        <w:trPr>
          <w:trHeight w:val="285" w:hRule="atLeast"/>
        </w:trPr>
        <w:tc>
          <w:tcPr>
            <w:tcW w:w="1154" w:type="dxa"/>
            <w:vMerge w:val="restart"/>
            <w:tcBorders>
              <w:top w:val="nil"/>
              <w:left w:val="single" w:color="auto" w:sz="8" w:space="0"/>
              <w:bottom w:val="single" w:color="auto" w:sz="4" w:space="0"/>
              <w:right w:val="single" w:color="auto" w:sz="4" w:space="0"/>
            </w:tcBorders>
            <w:vAlign w:val="center"/>
          </w:tcPr>
          <w:p w14:paraId="790F00C1">
            <w:pPr>
              <w:rPr>
                <w:color w:val="000000"/>
              </w:rPr>
            </w:pPr>
            <w:r>
              <w:rPr>
                <w:rFonts w:hint="eastAsia"/>
                <w:color w:val="000000"/>
              </w:rPr>
              <w:t>情形描述</w:t>
            </w:r>
          </w:p>
        </w:tc>
        <w:tc>
          <w:tcPr>
            <w:tcW w:w="6026" w:type="dxa"/>
            <w:tcBorders>
              <w:top w:val="single" w:color="auto" w:sz="4" w:space="0"/>
              <w:left w:val="nil"/>
              <w:bottom w:val="single" w:color="auto" w:sz="4" w:space="0"/>
              <w:right w:val="single" w:color="auto" w:sz="4" w:space="0"/>
            </w:tcBorders>
            <w:vAlign w:val="center"/>
          </w:tcPr>
          <w:p w14:paraId="5DB86479">
            <w:pPr>
              <w:rPr>
                <w:color w:val="000000"/>
              </w:rPr>
            </w:pPr>
            <w:r>
              <w:rPr>
                <w:rFonts w:hint="eastAsia"/>
                <w:color w:val="000000"/>
              </w:rPr>
              <w:t>按要求改正的</w:t>
            </w:r>
          </w:p>
        </w:tc>
        <w:tc>
          <w:tcPr>
            <w:tcW w:w="1076" w:type="dxa"/>
            <w:vMerge w:val="restart"/>
            <w:tcBorders>
              <w:top w:val="nil"/>
              <w:left w:val="single" w:color="auto" w:sz="4" w:space="0"/>
              <w:bottom w:val="single" w:color="auto" w:sz="4" w:space="0"/>
              <w:right w:val="single" w:color="auto" w:sz="4" w:space="0"/>
            </w:tcBorders>
            <w:vAlign w:val="center"/>
          </w:tcPr>
          <w:p w14:paraId="45C87B40">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1F2CEECB">
            <w:pPr>
              <w:rPr>
                <w:color w:val="000000"/>
              </w:rPr>
            </w:pPr>
            <w:r>
              <w:rPr>
                <w:rFonts w:hint="eastAsia"/>
                <w:color w:val="000000"/>
              </w:rPr>
              <w:t>处</w:t>
            </w:r>
            <w:r>
              <w:rPr>
                <w:color w:val="000000"/>
              </w:rPr>
              <w:t>5000</w:t>
            </w:r>
            <w:r>
              <w:rPr>
                <w:rFonts w:hint="eastAsia"/>
                <w:color w:val="000000"/>
              </w:rPr>
              <w:t>元以上</w:t>
            </w:r>
            <w:r>
              <w:rPr>
                <w:color w:val="000000"/>
              </w:rPr>
              <w:t>15000</w:t>
            </w:r>
            <w:r>
              <w:rPr>
                <w:rFonts w:hint="eastAsia"/>
                <w:color w:val="000000"/>
              </w:rPr>
              <w:t>元以下的罚款</w:t>
            </w:r>
          </w:p>
        </w:tc>
      </w:tr>
      <w:tr w14:paraId="03714E60">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22117D8C">
            <w:pPr>
              <w:rPr>
                <w:color w:val="000000"/>
              </w:rPr>
            </w:pPr>
          </w:p>
        </w:tc>
        <w:tc>
          <w:tcPr>
            <w:tcW w:w="6026" w:type="dxa"/>
            <w:tcBorders>
              <w:top w:val="single" w:color="auto" w:sz="4" w:space="0"/>
              <w:left w:val="nil"/>
              <w:bottom w:val="single" w:color="auto" w:sz="4" w:space="0"/>
              <w:right w:val="single" w:color="auto" w:sz="4" w:space="0"/>
            </w:tcBorders>
            <w:vAlign w:val="center"/>
          </w:tcPr>
          <w:p w14:paraId="51EB336A">
            <w:pPr>
              <w:rPr>
                <w:color w:val="000000"/>
              </w:rPr>
            </w:pPr>
            <w:r>
              <w:rPr>
                <w:rFonts w:hint="eastAsia"/>
                <w:color w:val="000000"/>
              </w:rPr>
              <w:t>未按要求改正的</w:t>
            </w:r>
          </w:p>
        </w:tc>
        <w:tc>
          <w:tcPr>
            <w:tcW w:w="1076" w:type="dxa"/>
            <w:vMerge w:val="continue"/>
            <w:tcBorders>
              <w:top w:val="nil"/>
              <w:left w:val="single" w:color="auto" w:sz="4" w:space="0"/>
              <w:bottom w:val="single" w:color="auto" w:sz="4" w:space="0"/>
              <w:right w:val="single" w:color="auto" w:sz="4" w:space="0"/>
            </w:tcBorders>
            <w:vAlign w:val="center"/>
          </w:tcPr>
          <w:p w14:paraId="397E52E4">
            <w:pPr>
              <w:rPr>
                <w:color w:val="000000"/>
              </w:rPr>
            </w:pPr>
          </w:p>
        </w:tc>
        <w:tc>
          <w:tcPr>
            <w:tcW w:w="5760" w:type="dxa"/>
            <w:tcBorders>
              <w:top w:val="nil"/>
              <w:left w:val="nil"/>
              <w:bottom w:val="single" w:color="auto" w:sz="4" w:space="0"/>
              <w:right w:val="single" w:color="auto" w:sz="8" w:space="0"/>
            </w:tcBorders>
            <w:vAlign w:val="center"/>
          </w:tcPr>
          <w:p w14:paraId="67DD5E68">
            <w:pPr>
              <w:rPr>
                <w:color w:val="000000"/>
              </w:rPr>
            </w:pPr>
            <w:r>
              <w:rPr>
                <w:rFonts w:hint="eastAsia"/>
                <w:color w:val="000000"/>
              </w:rPr>
              <w:t>处</w:t>
            </w:r>
            <w:r>
              <w:rPr>
                <w:color w:val="000000"/>
              </w:rPr>
              <w:t>15000</w:t>
            </w:r>
            <w:r>
              <w:rPr>
                <w:rFonts w:hint="eastAsia"/>
                <w:color w:val="000000"/>
              </w:rPr>
              <w:t>元以上</w:t>
            </w:r>
            <w:r>
              <w:rPr>
                <w:color w:val="000000"/>
              </w:rPr>
              <w:t>3</w:t>
            </w:r>
            <w:r>
              <w:rPr>
                <w:rFonts w:hint="eastAsia"/>
                <w:color w:val="000000"/>
              </w:rPr>
              <w:t>万元以下的罚款</w:t>
            </w:r>
          </w:p>
        </w:tc>
      </w:tr>
    </w:tbl>
    <w:p w14:paraId="017D6689"/>
    <w:p w14:paraId="3AC92B6E"/>
    <w:p w14:paraId="42069F32"/>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1B2751C7">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2CEFDD5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78474C36">
            <w:pPr>
              <w:spacing w:line="320" w:lineRule="exact"/>
              <w:jc w:val="left"/>
              <w:rPr>
                <w:rFonts w:eastAsia="仿宋_GB2312"/>
                <w:b/>
                <w:bCs/>
                <w:color w:val="000000"/>
                <w:kern w:val="0"/>
                <w:sz w:val="18"/>
                <w:szCs w:val="18"/>
              </w:rPr>
            </w:pPr>
            <w:r>
              <w:rPr>
                <w:rFonts w:eastAsia="仿宋_GB2312"/>
                <w:b/>
                <w:bCs/>
                <w:color w:val="000000"/>
                <w:kern w:val="0"/>
                <w:sz w:val="18"/>
                <w:szCs w:val="18"/>
              </w:rPr>
              <w:t>320217424000</w:t>
            </w:r>
          </w:p>
        </w:tc>
      </w:tr>
      <w:tr w14:paraId="679B94D0">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49A25D23">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7FAB35B6">
            <w:pPr>
              <w:spacing w:line="320" w:lineRule="exact"/>
              <w:jc w:val="left"/>
              <w:rPr>
                <w:color w:val="000000"/>
                <w:kern w:val="0"/>
                <w:sz w:val="18"/>
                <w:szCs w:val="18"/>
              </w:rPr>
            </w:pPr>
            <w:r>
              <w:rPr>
                <w:rFonts w:hint="eastAsia"/>
                <w:color w:val="000000"/>
                <w:kern w:val="0"/>
                <w:sz w:val="18"/>
                <w:szCs w:val="18"/>
              </w:rPr>
              <w:t>对违反有关规定使用淘汰便器水箱和配件的处罚</w:t>
            </w:r>
          </w:p>
        </w:tc>
      </w:tr>
      <w:tr w14:paraId="0128B524">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2A1594B6">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4C49A77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【规章】《城市房屋便器水箱应用监督管理办法》（建设部令第</w:t>
            </w:r>
            <w:r>
              <w:rPr>
                <w:color w:val="000000"/>
                <w:kern w:val="0"/>
                <w:sz w:val="18"/>
                <w:szCs w:val="18"/>
              </w:rPr>
              <w:t xml:space="preserve">17 </w:t>
            </w:r>
            <w:r>
              <w:rPr>
                <w:rFonts w:hint="eastAsia"/>
                <w:color w:val="000000"/>
                <w:kern w:val="0"/>
                <w:sz w:val="18"/>
                <w:szCs w:val="18"/>
              </w:rPr>
              <w:t>号发布，建设部令第</w:t>
            </w:r>
            <w:r>
              <w:rPr>
                <w:color w:val="000000"/>
                <w:kern w:val="0"/>
                <w:sz w:val="18"/>
                <w:szCs w:val="18"/>
              </w:rPr>
              <w:t>103</w:t>
            </w:r>
            <w:r>
              <w:rPr>
                <w:rFonts w:hint="eastAsia"/>
                <w:color w:val="000000"/>
                <w:kern w:val="0"/>
                <w:sz w:val="18"/>
                <w:szCs w:val="18"/>
              </w:rPr>
              <w:t>号修改）</w:t>
            </w:r>
          </w:p>
          <w:p w14:paraId="70A13E2E">
            <w:pPr>
              <w:spacing w:line="320" w:lineRule="exact"/>
              <w:jc w:val="left"/>
              <w:rPr>
                <w:color w:val="000000"/>
                <w:kern w:val="0"/>
                <w:sz w:val="18"/>
                <w:szCs w:val="18"/>
              </w:rPr>
            </w:pPr>
            <w:r>
              <w:rPr>
                <w:rFonts w:hint="eastAsia"/>
                <w:color w:val="000000"/>
                <w:kern w:val="0"/>
                <w:sz w:val="18"/>
                <w:szCs w:val="18"/>
              </w:rPr>
              <w:t>第九条：违反本办法有下列行为之一的，由城市建设行政主管部门责令限期改正、按测算漏水量月累计征收</w:t>
            </w:r>
            <w:r>
              <w:rPr>
                <w:color w:val="000000"/>
                <w:kern w:val="0"/>
                <w:sz w:val="18"/>
                <w:szCs w:val="18"/>
              </w:rPr>
              <w:t>3—5</w:t>
            </w:r>
            <w:r>
              <w:rPr>
                <w:rFonts w:hint="eastAsia"/>
                <w:color w:val="000000"/>
                <w:kern w:val="0"/>
                <w:sz w:val="18"/>
                <w:szCs w:val="18"/>
              </w:rPr>
              <w:t>倍的加价水费，并可按每套便器水箱配件处以</w:t>
            </w:r>
            <w:r>
              <w:rPr>
                <w:color w:val="000000"/>
                <w:kern w:val="0"/>
                <w:sz w:val="18"/>
                <w:szCs w:val="18"/>
              </w:rPr>
              <w:t>30—100</w:t>
            </w:r>
            <w:r>
              <w:rPr>
                <w:rFonts w:hint="eastAsia"/>
                <w:color w:val="000000"/>
                <w:kern w:val="0"/>
                <w:sz w:val="18"/>
                <w:szCs w:val="18"/>
              </w:rPr>
              <w:t>元的罚款，最高不超过</w:t>
            </w:r>
            <w:r>
              <w:rPr>
                <w:color w:val="000000"/>
                <w:kern w:val="0"/>
                <w:sz w:val="18"/>
                <w:szCs w:val="18"/>
              </w:rPr>
              <w:t>30000</w:t>
            </w:r>
            <w:r>
              <w:rPr>
                <w:rFonts w:hint="eastAsia"/>
                <w:color w:val="000000"/>
                <w:kern w:val="0"/>
                <w:sz w:val="18"/>
                <w:szCs w:val="18"/>
              </w:rPr>
              <w:t>元：</w:t>
            </w:r>
          </w:p>
          <w:p w14:paraId="674927B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（一）将安装有淘汰便器水箱和配件的新建房屋验收交付使用的；</w:t>
            </w:r>
          </w:p>
          <w:p w14:paraId="4F2FDA5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（二）未按更新改造计划更换淘汰便器水箱和配件的；</w:t>
            </w:r>
          </w:p>
          <w:p w14:paraId="3E94F59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（三）在限定的期限内未更换淘汰便器水箱和配件的；</w:t>
            </w:r>
          </w:p>
          <w:p w14:paraId="53FCAC9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（四）对漏水严重的房屋便器水箱和配件未按期进行维修或者更新的。</w:t>
            </w:r>
          </w:p>
        </w:tc>
      </w:tr>
      <w:tr w14:paraId="784868FB">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5FB962D2">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5EBF5433">
            <w:pPr>
              <w:spacing w:line="320" w:lineRule="exact"/>
              <w:jc w:val="left"/>
              <w:rPr>
                <w:color w:val="000000"/>
                <w:kern w:val="0"/>
                <w:sz w:val="18"/>
                <w:szCs w:val="18"/>
              </w:rPr>
            </w:pPr>
            <w:r>
              <w:rPr>
                <w:rFonts w:hint="eastAsia"/>
                <w:color w:val="000000"/>
                <w:kern w:val="0"/>
                <w:sz w:val="18"/>
                <w:szCs w:val="18"/>
              </w:rPr>
              <w:t>罚款</w:t>
            </w:r>
          </w:p>
        </w:tc>
      </w:tr>
      <w:tr w14:paraId="20D70BB3">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6177F380">
            <w:pPr>
              <w:spacing w:line="320" w:lineRule="exact"/>
              <w:jc w:val="center"/>
              <w:rPr>
                <w:color w:val="000000"/>
                <w:kern w:val="0"/>
                <w:sz w:val="18"/>
                <w:szCs w:val="18"/>
              </w:rPr>
            </w:pPr>
            <w:r>
              <w:rPr>
                <w:rFonts w:hint="eastAsia"/>
                <w:color w:val="000000"/>
                <w:kern w:val="0"/>
                <w:sz w:val="18"/>
                <w:szCs w:val="18"/>
              </w:rPr>
              <w:t>裁量基准</w:t>
            </w:r>
          </w:p>
        </w:tc>
      </w:tr>
      <w:tr w14:paraId="2DCB6C0F">
        <w:tblPrEx>
          <w:tblCellMar>
            <w:top w:w="0" w:type="dxa"/>
            <w:left w:w="108" w:type="dxa"/>
            <w:bottom w:w="0" w:type="dxa"/>
            <w:right w:w="108" w:type="dxa"/>
          </w:tblCellMar>
        </w:tblPrEx>
        <w:trPr>
          <w:gridAfter w:val="1"/>
          <w:wAfter w:w="14" w:type="dxa"/>
          <w:trHeight w:val="322" w:hRule="atLeast"/>
        </w:trPr>
        <w:tc>
          <w:tcPr>
            <w:tcW w:w="996" w:type="dxa"/>
            <w:vMerge w:val="restart"/>
            <w:tcBorders>
              <w:top w:val="nil"/>
              <w:left w:val="single" w:color="auto" w:sz="8" w:space="0"/>
              <w:right w:val="single" w:color="auto" w:sz="4" w:space="0"/>
            </w:tcBorders>
            <w:vAlign w:val="center"/>
          </w:tcPr>
          <w:p w14:paraId="181C64F9">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0AB91F4B">
            <w:pPr>
              <w:spacing w:line="320" w:lineRule="exact"/>
              <w:jc w:val="left"/>
              <w:rPr>
                <w:color w:val="000000"/>
                <w:kern w:val="0"/>
                <w:sz w:val="18"/>
                <w:szCs w:val="18"/>
              </w:rPr>
            </w:pPr>
            <w:r>
              <w:rPr>
                <w:rFonts w:hint="eastAsia"/>
                <w:color w:val="000000"/>
                <w:kern w:val="0"/>
                <w:sz w:val="18"/>
                <w:szCs w:val="18"/>
              </w:rPr>
              <w:t>按照要求改正，且小于</w:t>
            </w:r>
            <w:r>
              <w:rPr>
                <w:color w:val="000000"/>
                <w:kern w:val="0"/>
                <w:sz w:val="18"/>
                <w:szCs w:val="18"/>
              </w:rPr>
              <w:t>100</w:t>
            </w:r>
            <w:r>
              <w:rPr>
                <w:rFonts w:hint="eastAsia"/>
                <w:color w:val="000000"/>
                <w:kern w:val="0"/>
                <w:sz w:val="18"/>
                <w:szCs w:val="18"/>
              </w:rPr>
              <w:t>套的</w:t>
            </w:r>
          </w:p>
        </w:tc>
        <w:tc>
          <w:tcPr>
            <w:tcW w:w="1139" w:type="dxa"/>
            <w:vMerge w:val="restart"/>
            <w:tcBorders>
              <w:top w:val="nil"/>
              <w:left w:val="single" w:color="auto" w:sz="4" w:space="0"/>
              <w:right w:val="single" w:color="auto" w:sz="4" w:space="0"/>
            </w:tcBorders>
            <w:vAlign w:val="center"/>
          </w:tcPr>
          <w:p w14:paraId="349FD5A2">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787E4E92">
            <w:pPr>
              <w:spacing w:line="320" w:lineRule="exact"/>
              <w:jc w:val="left"/>
              <w:rPr>
                <w:color w:val="000000"/>
                <w:kern w:val="0"/>
                <w:sz w:val="18"/>
                <w:szCs w:val="18"/>
              </w:rPr>
            </w:pPr>
            <w:r>
              <w:rPr>
                <w:rFonts w:hint="eastAsia"/>
                <w:color w:val="000000"/>
                <w:kern w:val="0"/>
                <w:sz w:val="18"/>
                <w:szCs w:val="18"/>
              </w:rPr>
              <w:t>处每套</w:t>
            </w:r>
            <w:r>
              <w:rPr>
                <w:color w:val="000000"/>
                <w:kern w:val="0"/>
                <w:sz w:val="18"/>
                <w:szCs w:val="18"/>
              </w:rPr>
              <w:t>30</w:t>
            </w:r>
            <w:r>
              <w:rPr>
                <w:rFonts w:hint="eastAsia"/>
                <w:color w:val="000000"/>
                <w:kern w:val="0"/>
                <w:sz w:val="18"/>
                <w:szCs w:val="18"/>
              </w:rPr>
              <w:t>元以上</w:t>
            </w:r>
            <w:r>
              <w:rPr>
                <w:color w:val="000000"/>
                <w:kern w:val="0"/>
                <w:sz w:val="18"/>
                <w:szCs w:val="18"/>
              </w:rPr>
              <w:t>50</w:t>
            </w:r>
            <w:r>
              <w:rPr>
                <w:rFonts w:hint="eastAsia"/>
                <w:color w:val="000000"/>
                <w:kern w:val="0"/>
                <w:sz w:val="18"/>
                <w:szCs w:val="18"/>
              </w:rPr>
              <w:t>元以下罚款</w:t>
            </w:r>
          </w:p>
        </w:tc>
      </w:tr>
      <w:tr w14:paraId="4A93B107">
        <w:tblPrEx>
          <w:tblCellMar>
            <w:top w:w="0" w:type="dxa"/>
            <w:left w:w="108" w:type="dxa"/>
            <w:bottom w:w="0" w:type="dxa"/>
            <w:right w:w="108" w:type="dxa"/>
          </w:tblCellMar>
        </w:tblPrEx>
        <w:trPr>
          <w:gridAfter w:val="1"/>
          <w:wAfter w:w="14" w:type="dxa"/>
          <w:trHeight w:val="397" w:hRule="atLeast"/>
        </w:trPr>
        <w:tc>
          <w:tcPr>
            <w:tcW w:w="996" w:type="dxa"/>
            <w:vMerge w:val="continue"/>
            <w:tcBorders>
              <w:left w:val="single" w:color="auto" w:sz="8" w:space="0"/>
              <w:right w:val="single" w:color="auto" w:sz="4" w:space="0"/>
            </w:tcBorders>
            <w:vAlign w:val="center"/>
          </w:tcPr>
          <w:p w14:paraId="081FE53F">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19A29B2C">
            <w:pPr>
              <w:spacing w:line="320" w:lineRule="exact"/>
              <w:jc w:val="left"/>
              <w:rPr>
                <w:color w:val="000000"/>
                <w:kern w:val="0"/>
                <w:sz w:val="18"/>
                <w:szCs w:val="18"/>
              </w:rPr>
            </w:pPr>
            <w:r>
              <w:rPr>
                <w:rFonts w:hint="eastAsia"/>
                <w:color w:val="000000"/>
                <w:kern w:val="0"/>
                <w:sz w:val="18"/>
                <w:szCs w:val="18"/>
              </w:rPr>
              <w:t>按照要求改正，且不低于</w:t>
            </w:r>
            <w:r>
              <w:rPr>
                <w:color w:val="000000"/>
                <w:kern w:val="0"/>
                <w:sz w:val="18"/>
                <w:szCs w:val="18"/>
              </w:rPr>
              <w:t>100</w:t>
            </w:r>
            <w:r>
              <w:rPr>
                <w:rFonts w:hint="eastAsia"/>
                <w:color w:val="000000"/>
                <w:kern w:val="0"/>
                <w:sz w:val="18"/>
                <w:szCs w:val="18"/>
              </w:rPr>
              <w:t>套不超过</w:t>
            </w:r>
            <w:r>
              <w:rPr>
                <w:color w:val="000000"/>
                <w:kern w:val="0"/>
                <w:sz w:val="18"/>
                <w:szCs w:val="18"/>
              </w:rPr>
              <w:t>200</w:t>
            </w:r>
            <w:r>
              <w:rPr>
                <w:rFonts w:hint="eastAsia"/>
                <w:color w:val="000000"/>
                <w:kern w:val="0"/>
                <w:sz w:val="18"/>
                <w:szCs w:val="18"/>
              </w:rPr>
              <w:t>套的</w:t>
            </w:r>
          </w:p>
        </w:tc>
        <w:tc>
          <w:tcPr>
            <w:tcW w:w="1139" w:type="dxa"/>
            <w:vMerge w:val="continue"/>
            <w:tcBorders>
              <w:left w:val="single" w:color="auto" w:sz="4" w:space="0"/>
              <w:right w:val="single" w:color="auto" w:sz="4" w:space="0"/>
            </w:tcBorders>
            <w:vAlign w:val="center"/>
          </w:tcPr>
          <w:p w14:paraId="7393044E">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38958A63">
            <w:pPr>
              <w:spacing w:line="320" w:lineRule="exact"/>
              <w:jc w:val="left"/>
              <w:rPr>
                <w:color w:val="000000"/>
                <w:kern w:val="0"/>
                <w:sz w:val="18"/>
                <w:szCs w:val="18"/>
              </w:rPr>
            </w:pPr>
            <w:r>
              <w:rPr>
                <w:rFonts w:hint="eastAsia"/>
                <w:color w:val="000000"/>
                <w:kern w:val="0"/>
                <w:sz w:val="18"/>
                <w:szCs w:val="18"/>
              </w:rPr>
              <w:t>处每套</w:t>
            </w:r>
            <w:r>
              <w:rPr>
                <w:color w:val="000000"/>
                <w:kern w:val="0"/>
                <w:sz w:val="18"/>
                <w:szCs w:val="18"/>
              </w:rPr>
              <w:t>50</w:t>
            </w:r>
            <w:r>
              <w:rPr>
                <w:rFonts w:hint="eastAsia"/>
                <w:color w:val="000000"/>
                <w:kern w:val="0"/>
                <w:sz w:val="18"/>
                <w:szCs w:val="18"/>
              </w:rPr>
              <w:t>元以上</w:t>
            </w:r>
            <w:r>
              <w:rPr>
                <w:color w:val="000000"/>
                <w:kern w:val="0"/>
                <w:sz w:val="18"/>
                <w:szCs w:val="18"/>
              </w:rPr>
              <w:t>80</w:t>
            </w:r>
            <w:r>
              <w:rPr>
                <w:rFonts w:hint="eastAsia"/>
                <w:color w:val="000000"/>
                <w:kern w:val="0"/>
                <w:sz w:val="18"/>
                <w:szCs w:val="18"/>
              </w:rPr>
              <w:t>元以下罚款</w:t>
            </w:r>
          </w:p>
        </w:tc>
      </w:tr>
      <w:tr w14:paraId="55225106">
        <w:tblPrEx>
          <w:tblCellMar>
            <w:top w:w="0" w:type="dxa"/>
            <w:left w:w="108" w:type="dxa"/>
            <w:bottom w:w="0" w:type="dxa"/>
            <w:right w:w="108" w:type="dxa"/>
          </w:tblCellMar>
        </w:tblPrEx>
        <w:trPr>
          <w:gridAfter w:val="1"/>
          <w:wAfter w:w="14" w:type="dxa"/>
          <w:trHeight w:val="418" w:hRule="atLeast"/>
        </w:trPr>
        <w:tc>
          <w:tcPr>
            <w:tcW w:w="996" w:type="dxa"/>
            <w:vMerge w:val="continue"/>
            <w:tcBorders>
              <w:left w:val="single" w:color="auto" w:sz="8" w:space="0"/>
              <w:bottom w:val="single" w:color="auto" w:sz="4" w:space="0"/>
              <w:right w:val="single" w:color="auto" w:sz="4" w:space="0"/>
            </w:tcBorders>
            <w:vAlign w:val="center"/>
          </w:tcPr>
          <w:p w14:paraId="7A267990">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5E983D6E">
            <w:pPr>
              <w:spacing w:line="320" w:lineRule="exact"/>
              <w:jc w:val="left"/>
              <w:rPr>
                <w:color w:val="000000"/>
                <w:kern w:val="0"/>
                <w:sz w:val="18"/>
                <w:szCs w:val="18"/>
              </w:rPr>
            </w:pPr>
            <w:r>
              <w:rPr>
                <w:rFonts w:hint="eastAsia"/>
                <w:color w:val="000000"/>
                <w:kern w:val="0"/>
                <w:sz w:val="18"/>
                <w:szCs w:val="18"/>
              </w:rPr>
              <w:t>未按照要求改正的；或者按照要求改正，但超过</w:t>
            </w:r>
            <w:r>
              <w:rPr>
                <w:color w:val="000000"/>
                <w:kern w:val="0"/>
                <w:sz w:val="18"/>
                <w:szCs w:val="18"/>
              </w:rPr>
              <w:t>200</w:t>
            </w:r>
            <w:r>
              <w:rPr>
                <w:rFonts w:hint="eastAsia"/>
                <w:color w:val="000000"/>
                <w:kern w:val="0"/>
                <w:sz w:val="18"/>
                <w:szCs w:val="18"/>
              </w:rPr>
              <w:t>套的</w:t>
            </w:r>
          </w:p>
        </w:tc>
        <w:tc>
          <w:tcPr>
            <w:tcW w:w="1139" w:type="dxa"/>
            <w:vMerge w:val="continue"/>
            <w:tcBorders>
              <w:left w:val="single" w:color="auto" w:sz="4" w:space="0"/>
              <w:bottom w:val="single" w:color="auto" w:sz="4" w:space="0"/>
              <w:right w:val="single" w:color="auto" w:sz="4" w:space="0"/>
            </w:tcBorders>
            <w:vAlign w:val="center"/>
          </w:tcPr>
          <w:p w14:paraId="2D300B88">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1C3EFF2E">
            <w:pPr>
              <w:spacing w:line="320" w:lineRule="exact"/>
              <w:jc w:val="left"/>
              <w:rPr>
                <w:color w:val="000000"/>
                <w:kern w:val="0"/>
                <w:sz w:val="18"/>
                <w:szCs w:val="18"/>
              </w:rPr>
            </w:pPr>
            <w:r>
              <w:rPr>
                <w:rFonts w:hint="eastAsia"/>
                <w:color w:val="000000"/>
                <w:kern w:val="0"/>
                <w:sz w:val="18"/>
                <w:szCs w:val="18"/>
              </w:rPr>
              <w:t>处每套</w:t>
            </w:r>
            <w:r>
              <w:rPr>
                <w:color w:val="000000"/>
                <w:kern w:val="0"/>
                <w:sz w:val="18"/>
                <w:szCs w:val="18"/>
              </w:rPr>
              <w:t>80</w:t>
            </w:r>
            <w:r>
              <w:rPr>
                <w:rFonts w:hint="eastAsia"/>
                <w:color w:val="000000"/>
                <w:kern w:val="0"/>
                <w:sz w:val="18"/>
                <w:szCs w:val="18"/>
              </w:rPr>
              <w:t>元以上</w:t>
            </w:r>
            <w:r>
              <w:rPr>
                <w:color w:val="000000"/>
                <w:kern w:val="0"/>
                <w:sz w:val="18"/>
                <w:szCs w:val="18"/>
              </w:rPr>
              <w:t>100</w:t>
            </w:r>
            <w:r>
              <w:rPr>
                <w:rFonts w:hint="eastAsia"/>
                <w:color w:val="000000"/>
                <w:kern w:val="0"/>
                <w:sz w:val="18"/>
                <w:szCs w:val="18"/>
              </w:rPr>
              <w:t>元以下，最高不超过</w:t>
            </w:r>
            <w:r>
              <w:rPr>
                <w:color w:val="000000"/>
                <w:kern w:val="0"/>
                <w:sz w:val="18"/>
                <w:szCs w:val="18"/>
              </w:rPr>
              <w:t>3</w:t>
            </w:r>
            <w:r>
              <w:rPr>
                <w:rFonts w:hint="eastAsia"/>
                <w:color w:val="000000"/>
                <w:kern w:val="0"/>
                <w:sz w:val="18"/>
                <w:szCs w:val="18"/>
              </w:rPr>
              <w:t>万元罚款</w:t>
            </w:r>
          </w:p>
        </w:tc>
      </w:tr>
    </w:tbl>
    <w:p w14:paraId="58B9100F"/>
    <w:p w14:paraId="3A5BEA19"/>
    <w:p w14:paraId="560ECD5A"/>
    <w:p w14:paraId="06E39B62"/>
    <w:p w14:paraId="65D5ED22"/>
    <w:p w14:paraId="65C06547"/>
    <w:p w14:paraId="1A802854"/>
    <w:p w14:paraId="39F7F8FB"/>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43B6674E">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61FE4E42">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38431579">
            <w:pPr>
              <w:spacing w:line="320" w:lineRule="exact"/>
              <w:jc w:val="left"/>
              <w:rPr>
                <w:rFonts w:eastAsia="仿宋_GB2312"/>
                <w:b/>
                <w:bCs/>
                <w:color w:val="000000"/>
                <w:kern w:val="0"/>
                <w:sz w:val="18"/>
                <w:szCs w:val="18"/>
              </w:rPr>
            </w:pPr>
            <w:r>
              <w:rPr>
                <w:rFonts w:eastAsia="仿宋_GB2312"/>
                <w:b/>
                <w:bCs/>
                <w:color w:val="000000"/>
                <w:kern w:val="0"/>
                <w:sz w:val="18"/>
                <w:szCs w:val="18"/>
              </w:rPr>
              <w:t>320217425000</w:t>
            </w:r>
            <w:r>
              <w:rPr>
                <w:rFonts w:hint="eastAsia" w:eastAsia="仿宋_GB2312"/>
                <w:b/>
                <w:bCs/>
                <w:color w:val="000000"/>
                <w:kern w:val="0"/>
                <w:sz w:val="18"/>
                <w:szCs w:val="18"/>
              </w:rPr>
              <w:t xml:space="preserve"> </w:t>
            </w:r>
          </w:p>
        </w:tc>
      </w:tr>
      <w:tr w14:paraId="1BFE12B0">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2FCF830F">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1646CDD0">
            <w:pPr>
              <w:spacing w:line="320" w:lineRule="exact"/>
              <w:jc w:val="left"/>
              <w:rPr>
                <w:color w:val="000000"/>
                <w:kern w:val="0"/>
                <w:sz w:val="18"/>
                <w:szCs w:val="18"/>
              </w:rPr>
            </w:pPr>
            <w:r>
              <w:rPr>
                <w:rFonts w:hint="eastAsia"/>
                <w:color w:val="000000"/>
                <w:kern w:val="0"/>
                <w:sz w:val="18"/>
                <w:szCs w:val="18"/>
              </w:rPr>
              <w:t>对于擅自开启消火栓和消防防险装置取水的处罚</w:t>
            </w:r>
          </w:p>
        </w:tc>
      </w:tr>
      <w:tr w14:paraId="062921BF">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3CBBB712">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2222B33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【地方性法规】《江苏省城乡供水管理条例》</w:t>
            </w:r>
          </w:p>
          <w:p w14:paraId="3438B2F4">
            <w:pPr>
              <w:spacing w:line="320" w:lineRule="exact"/>
              <w:jc w:val="left"/>
              <w:rPr>
                <w:color w:val="000000"/>
                <w:kern w:val="0"/>
                <w:sz w:val="18"/>
                <w:szCs w:val="18"/>
              </w:rPr>
            </w:pPr>
            <w:r>
              <w:rPr>
                <w:rFonts w:hint="eastAsia"/>
                <w:color w:val="000000"/>
                <w:kern w:val="0"/>
                <w:sz w:val="18"/>
                <w:szCs w:val="18"/>
              </w:rPr>
              <w:t xml:space="preserve">        第五十五条 违反本条例规定，有下列行为之一的，由城乡供水主管部门责令改正，并对单位处以三千元以上二万元以下罚款，对个人处以二百元以上一千元以下罚款；造成损失的，赔偿损失；构成犯罪的，依法追究刑事责任：</w:t>
            </w:r>
          </w:p>
          <w:p w14:paraId="3550267E">
            <w:pPr>
              <w:spacing w:line="320" w:lineRule="exact"/>
              <w:jc w:val="left"/>
              <w:rPr>
                <w:color w:val="000000"/>
                <w:kern w:val="0"/>
                <w:sz w:val="18"/>
                <w:szCs w:val="18"/>
              </w:rPr>
            </w:pPr>
            <w:r>
              <w:rPr>
                <w:rFonts w:hint="eastAsia"/>
                <w:color w:val="000000"/>
                <w:kern w:val="0"/>
                <w:sz w:val="18"/>
                <w:szCs w:val="18"/>
              </w:rPr>
              <w:t xml:space="preserve">       （二）擅自开启消火栓和消防防险装置取水的；</w:t>
            </w:r>
          </w:p>
        </w:tc>
      </w:tr>
      <w:tr w14:paraId="5B76CB31">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46ED056B">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608BEC07">
            <w:pPr>
              <w:spacing w:line="320" w:lineRule="exact"/>
              <w:jc w:val="left"/>
              <w:rPr>
                <w:color w:val="000000"/>
                <w:kern w:val="0"/>
                <w:sz w:val="18"/>
                <w:szCs w:val="18"/>
              </w:rPr>
            </w:pPr>
            <w:r>
              <w:rPr>
                <w:rFonts w:hint="eastAsia"/>
                <w:color w:val="000000"/>
                <w:kern w:val="0"/>
                <w:sz w:val="18"/>
                <w:szCs w:val="18"/>
              </w:rPr>
              <w:t>罚款</w:t>
            </w:r>
          </w:p>
        </w:tc>
      </w:tr>
      <w:tr w14:paraId="08C76379">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2D9F9EB6">
            <w:pPr>
              <w:spacing w:line="320" w:lineRule="exact"/>
              <w:jc w:val="center"/>
              <w:rPr>
                <w:color w:val="000000"/>
                <w:kern w:val="0"/>
                <w:sz w:val="18"/>
                <w:szCs w:val="18"/>
              </w:rPr>
            </w:pPr>
            <w:r>
              <w:rPr>
                <w:rFonts w:hint="eastAsia"/>
                <w:color w:val="000000"/>
                <w:kern w:val="0"/>
                <w:sz w:val="18"/>
                <w:szCs w:val="18"/>
              </w:rPr>
              <w:t>裁量基准</w:t>
            </w:r>
          </w:p>
        </w:tc>
      </w:tr>
      <w:tr w14:paraId="30D6BB88">
        <w:tblPrEx>
          <w:tblCellMar>
            <w:top w:w="0" w:type="dxa"/>
            <w:left w:w="108" w:type="dxa"/>
            <w:bottom w:w="0" w:type="dxa"/>
            <w:right w:w="108" w:type="dxa"/>
          </w:tblCellMar>
        </w:tblPrEx>
        <w:trPr>
          <w:gridAfter w:val="1"/>
          <w:wAfter w:w="14" w:type="dxa"/>
          <w:trHeight w:val="322" w:hRule="atLeast"/>
        </w:trPr>
        <w:tc>
          <w:tcPr>
            <w:tcW w:w="996" w:type="dxa"/>
            <w:vMerge w:val="restart"/>
            <w:tcBorders>
              <w:top w:val="nil"/>
              <w:left w:val="single" w:color="auto" w:sz="8" w:space="0"/>
              <w:right w:val="single" w:color="auto" w:sz="4" w:space="0"/>
            </w:tcBorders>
            <w:vAlign w:val="center"/>
          </w:tcPr>
          <w:p w14:paraId="52CE3C4B">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1F5E70E4">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color="auto" w:sz="4" w:space="0"/>
              <w:right w:val="single" w:color="auto" w:sz="4" w:space="0"/>
            </w:tcBorders>
            <w:vAlign w:val="center"/>
          </w:tcPr>
          <w:p w14:paraId="6F76DBC7">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3E22F7F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14:paraId="3CBBC04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14:paraId="3E7F5068">
        <w:tblPrEx>
          <w:tblCellMar>
            <w:top w:w="0" w:type="dxa"/>
            <w:left w:w="108" w:type="dxa"/>
            <w:bottom w:w="0" w:type="dxa"/>
            <w:right w:w="108" w:type="dxa"/>
          </w:tblCellMar>
        </w:tblPrEx>
        <w:trPr>
          <w:gridAfter w:val="1"/>
          <w:wAfter w:w="14" w:type="dxa"/>
          <w:trHeight w:val="397" w:hRule="atLeast"/>
        </w:trPr>
        <w:tc>
          <w:tcPr>
            <w:tcW w:w="996" w:type="dxa"/>
            <w:vMerge w:val="continue"/>
            <w:tcBorders>
              <w:left w:val="single" w:color="auto" w:sz="8" w:space="0"/>
              <w:bottom w:val="single" w:color="auto" w:sz="4" w:space="0"/>
              <w:right w:val="single" w:color="auto" w:sz="4" w:space="0"/>
            </w:tcBorders>
            <w:vAlign w:val="center"/>
          </w:tcPr>
          <w:p w14:paraId="195356F7">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6844C381">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val="continue"/>
            <w:tcBorders>
              <w:left w:val="single" w:color="auto" w:sz="4" w:space="0"/>
              <w:bottom w:val="single" w:color="auto" w:sz="4" w:space="0"/>
              <w:right w:val="single" w:color="auto" w:sz="4" w:space="0"/>
            </w:tcBorders>
            <w:vAlign w:val="center"/>
          </w:tcPr>
          <w:p w14:paraId="7D74596B">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57333633">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06CB52D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61D7D467"/>
    <w:p w14:paraId="277BAF67"/>
    <w:p w14:paraId="19A4DAAE"/>
    <w:p w14:paraId="424C5ACF"/>
    <w:p w14:paraId="5694ADEC"/>
    <w:p w14:paraId="58E67952"/>
    <w:p w14:paraId="7AF3DB89"/>
    <w:p w14:paraId="69DBA3DD"/>
    <w:p w14:paraId="01CCA9EF"/>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5CB0ABCB">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01355B72">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37FE313A">
            <w:pPr>
              <w:spacing w:line="320" w:lineRule="exact"/>
              <w:jc w:val="left"/>
              <w:rPr>
                <w:rFonts w:eastAsia="仿宋_GB2312"/>
                <w:b/>
                <w:bCs/>
                <w:color w:val="000000"/>
                <w:kern w:val="0"/>
                <w:sz w:val="18"/>
                <w:szCs w:val="18"/>
              </w:rPr>
            </w:pPr>
            <w:r>
              <w:rPr>
                <w:rFonts w:eastAsia="仿宋_GB2312"/>
                <w:b/>
                <w:bCs/>
                <w:color w:val="000000"/>
                <w:kern w:val="0"/>
                <w:sz w:val="18"/>
                <w:szCs w:val="18"/>
              </w:rPr>
              <w:t>320217426000</w:t>
            </w:r>
          </w:p>
        </w:tc>
      </w:tr>
      <w:tr w14:paraId="25B34529">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3C878D39">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344CCBFE">
            <w:pPr>
              <w:spacing w:line="320" w:lineRule="exact"/>
              <w:jc w:val="left"/>
              <w:rPr>
                <w:color w:val="000000"/>
                <w:kern w:val="0"/>
                <w:sz w:val="18"/>
                <w:szCs w:val="18"/>
              </w:rPr>
            </w:pPr>
            <w:r>
              <w:rPr>
                <w:rFonts w:hint="eastAsia"/>
                <w:color w:val="000000"/>
                <w:kern w:val="0"/>
                <w:sz w:val="18"/>
                <w:szCs w:val="18"/>
              </w:rPr>
              <w:t>对绕过结算水表接管取水的处罚</w:t>
            </w:r>
          </w:p>
        </w:tc>
      </w:tr>
      <w:tr w14:paraId="464E4F76">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3A960989">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2772288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【地方性法规】《江苏省城乡供水管理条例》</w:t>
            </w:r>
          </w:p>
          <w:p w14:paraId="20669D3A">
            <w:pPr>
              <w:spacing w:line="320" w:lineRule="exact"/>
              <w:jc w:val="left"/>
              <w:rPr>
                <w:color w:val="000000"/>
                <w:kern w:val="0"/>
                <w:sz w:val="18"/>
                <w:szCs w:val="18"/>
              </w:rPr>
            </w:pPr>
            <w:r>
              <w:rPr>
                <w:rFonts w:hint="eastAsia"/>
                <w:color w:val="000000"/>
                <w:kern w:val="0"/>
                <w:sz w:val="18"/>
                <w:szCs w:val="18"/>
              </w:rPr>
              <w:t xml:space="preserve">        第五十五条 违反本条例规定，有下列行为之一的，由城乡供水主管部门责令改正，并对单位处以三千元以上二万元以下罚款，对个人处以二百元以上一千元以下罚款；造成损失的，赔偿损失；构成犯罪的，依法追究刑事责任：</w:t>
            </w:r>
          </w:p>
          <w:p w14:paraId="22C707B6">
            <w:pPr>
              <w:spacing w:line="320" w:lineRule="exact"/>
              <w:jc w:val="left"/>
              <w:rPr>
                <w:color w:val="000000"/>
                <w:kern w:val="0"/>
                <w:sz w:val="18"/>
                <w:szCs w:val="18"/>
              </w:rPr>
            </w:pPr>
            <w:r>
              <w:rPr>
                <w:rFonts w:hint="eastAsia"/>
                <w:color w:val="000000"/>
                <w:kern w:val="0"/>
                <w:sz w:val="18"/>
                <w:szCs w:val="18"/>
              </w:rPr>
              <w:t xml:space="preserve">       （三）绕过结算水表接管取水的；</w:t>
            </w:r>
          </w:p>
        </w:tc>
      </w:tr>
      <w:tr w14:paraId="60A1FB93">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01890AFD">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73330AD9">
            <w:pPr>
              <w:spacing w:line="320" w:lineRule="exact"/>
              <w:jc w:val="left"/>
              <w:rPr>
                <w:color w:val="000000"/>
                <w:kern w:val="0"/>
                <w:sz w:val="18"/>
                <w:szCs w:val="18"/>
              </w:rPr>
            </w:pPr>
            <w:r>
              <w:rPr>
                <w:rFonts w:hint="eastAsia"/>
                <w:color w:val="000000"/>
                <w:kern w:val="0"/>
                <w:sz w:val="18"/>
                <w:szCs w:val="18"/>
              </w:rPr>
              <w:t>罚款</w:t>
            </w:r>
          </w:p>
        </w:tc>
      </w:tr>
      <w:tr w14:paraId="10CF772D">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107D2139">
            <w:pPr>
              <w:spacing w:line="320" w:lineRule="exact"/>
              <w:jc w:val="center"/>
              <w:rPr>
                <w:color w:val="000000"/>
                <w:kern w:val="0"/>
                <w:sz w:val="18"/>
                <w:szCs w:val="18"/>
              </w:rPr>
            </w:pPr>
            <w:r>
              <w:rPr>
                <w:rFonts w:hint="eastAsia"/>
                <w:color w:val="000000"/>
                <w:kern w:val="0"/>
                <w:sz w:val="18"/>
                <w:szCs w:val="18"/>
              </w:rPr>
              <w:t>裁量基准</w:t>
            </w:r>
          </w:p>
        </w:tc>
      </w:tr>
      <w:tr w14:paraId="08E3591A">
        <w:tblPrEx>
          <w:tblCellMar>
            <w:top w:w="0" w:type="dxa"/>
            <w:left w:w="108" w:type="dxa"/>
            <w:bottom w:w="0" w:type="dxa"/>
            <w:right w:w="108" w:type="dxa"/>
          </w:tblCellMar>
        </w:tblPrEx>
        <w:trPr>
          <w:gridAfter w:val="1"/>
          <w:wAfter w:w="14" w:type="dxa"/>
          <w:trHeight w:val="322" w:hRule="atLeast"/>
        </w:trPr>
        <w:tc>
          <w:tcPr>
            <w:tcW w:w="996" w:type="dxa"/>
            <w:vMerge w:val="restart"/>
            <w:tcBorders>
              <w:top w:val="nil"/>
              <w:left w:val="single" w:color="auto" w:sz="8" w:space="0"/>
              <w:right w:val="single" w:color="auto" w:sz="4" w:space="0"/>
            </w:tcBorders>
            <w:vAlign w:val="center"/>
          </w:tcPr>
          <w:p w14:paraId="311ADB2E">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184AEE79">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color="auto" w:sz="4" w:space="0"/>
              <w:right w:val="single" w:color="auto" w:sz="4" w:space="0"/>
            </w:tcBorders>
            <w:vAlign w:val="center"/>
          </w:tcPr>
          <w:p w14:paraId="02505E5F">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4CC4A38E">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14:paraId="2CE6254A">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14:paraId="311731DF">
        <w:tblPrEx>
          <w:tblCellMar>
            <w:top w:w="0" w:type="dxa"/>
            <w:left w:w="108" w:type="dxa"/>
            <w:bottom w:w="0" w:type="dxa"/>
            <w:right w:w="108" w:type="dxa"/>
          </w:tblCellMar>
        </w:tblPrEx>
        <w:trPr>
          <w:gridAfter w:val="1"/>
          <w:wAfter w:w="14" w:type="dxa"/>
          <w:trHeight w:val="397" w:hRule="atLeast"/>
        </w:trPr>
        <w:tc>
          <w:tcPr>
            <w:tcW w:w="996" w:type="dxa"/>
            <w:vMerge w:val="continue"/>
            <w:tcBorders>
              <w:left w:val="single" w:color="auto" w:sz="8" w:space="0"/>
              <w:bottom w:val="single" w:color="auto" w:sz="4" w:space="0"/>
              <w:right w:val="single" w:color="auto" w:sz="4" w:space="0"/>
            </w:tcBorders>
            <w:vAlign w:val="center"/>
          </w:tcPr>
          <w:p w14:paraId="6CDFA3A4">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26CA71BE">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val="continue"/>
            <w:tcBorders>
              <w:left w:val="single" w:color="auto" w:sz="4" w:space="0"/>
              <w:bottom w:val="single" w:color="auto" w:sz="4" w:space="0"/>
              <w:right w:val="single" w:color="auto" w:sz="4" w:space="0"/>
            </w:tcBorders>
            <w:vAlign w:val="center"/>
          </w:tcPr>
          <w:p w14:paraId="061E45AD">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0E7C555E">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72D52832">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7AE4F49A"/>
    <w:p w14:paraId="0F542AC2"/>
    <w:p w14:paraId="3422A70D"/>
    <w:p w14:paraId="3F4EA874"/>
    <w:p w14:paraId="6128092C"/>
    <w:p w14:paraId="0F678256"/>
    <w:p w14:paraId="46201499"/>
    <w:p w14:paraId="4EA740F5"/>
    <w:p w14:paraId="42B0A348"/>
    <w:p w14:paraId="1D646917"/>
    <w:tbl>
      <w:tblPr>
        <w:tblStyle w:val="15"/>
        <w:tblW w:w="0" w:type="auto"/>
        <w:tblInd w:w="88" w:type="dxa"/>
        <w:tblLayout w:type="fixed"/>
        <w:tblCellMar>
          <w:top w:w="0" w:type="dxa"/>
          <w:left w:w="108" w:type="dxa"/>
          <w:bottom w:w="0" w:type="dxa"/>
          <w:right w:w="108" w:type="dxa"/>
        </w:tblCellMar>
      </w:tblPr>
      <w:tblGrid>
        <w:gridCol w:w="1153"/>
        <w:gridCol w:w="24"/>
        <w:gridCol w:w="5640"/>
        <w:gridCol w:w="1133"/>
        <w:gridCol w:w="6051"/>
        <w:gridCol w:w="38"/>
      </w:tblGrid>
      <w:tr w14:paraId="4BB144DB">
        <w:tblPrEx>
          <w:tblCellMar>
            <w:top w:w="0" w:type="dxa"/>
            <w:left w:w="108" w:type="dxa"/>
            <w:bottom w:w="0" w:type="dxa"/>
            <w:right w:w="108" w:type="dxa"/>
          </w:tblCellMar>
        </w:tblPrEx>
        <w:trPr>
          <w:gridAfter w:val="1"/>
          <w:wAfter w:w="38" w:type="dxa"/>
          <w:trHeight w:val="287" w:hRule="atLeast"/>
        </w:trPr>
        <w:tc>
          <w:tcPr>
            <w:tcW w:w="1153" w:type="dxa"/>
            <w:tcBorders>
              <w:top w:val="single" w:color="auto" w:sz="8" w:space="0"/>
              <w:left w:val="single" w:color="auto" w:sz="8" w:space="0"/>
              <w:bottom w:val="single" w:color="auto" w:sz="4" w:space="0"/>
              <w:right w:val="single" w:color="auto" w:sz="4" w:space="0"/>
            </w:tcBorders>
            <w:vAlign w:val="center"/>
          </w:tcPr>
          <w:p w14:paraId="0AE902E5">
            <w:pPr>
              <w:rPr>
                <w:color w:val="000000"/>
              </w:rPr>
            </w:pPr>
            <w:r>
              <w:rPr>
                <w:rFonts w:hint="eastAsia"/>
                <w:color w:val="000000"/>
              </w:rPr>
              <w:t>编号</w:t>
            </w:r>
          </w:p>
        </w:tc>
        <w:tc>
          <w:tcPr>
            <w:tcW w:w="12848" w:type="dxa"/>
            <w:gridSpan w:val="4"/>
            <w:tcBorders>
              <w:top w:val="single" w:color="auto" w:sz="8" w:space="0"/>
              <w:left w:val="nil"/>
              <w:bottom w:val="single" w:color="auto" w:sz="4" w:space="0"/>
              <w:right w:val="single" w:color="000000" w:sz="8" w:space="0"/>
            </w:tcBorders>
            <w:vAlign w:val="center"/>
          </w:tcPr>
          <w:p w14:paraId="4FC4A1C9">
            <w:pPr>
              <w:rPr>
                <w:b/>
                <w:bCs/>
                <w:color w:val="000000"/>
              </w:rPr>
            </w:pPr>
            <w:r>
              <w:rPr>
                <w:b/>
                <w:color w:val="000000"/>
              </w:rPr>
              <w:t>320217427000</w:t>
            </w:r>
            <w:r>
              <w:rPr>
                <w:rFonts w:hint="eastAsia"/>
                <w:b/>
                <w:color w:val="000000"/>
              </w:rPr>
              <w:t xml:space="preserve"> </w:t>
            </w:r>
          </w:p>
        </w:tc>
      </w:tr>
      <w:tr w14:paraId="4FAF9B09">
        <w:tblPrEx>
          <w:tblCellMar>
            <w:top w:w="0" w:type="dxa"/>
            <w:left w:w="108" w:type="dxa"/>
            <w:bottom w:w="0" w:type="dxa"/>
            <w:right w:w="108" w:type="dxa"/>
          </w:tblCellMar>
        </w:tblPrEx>
        <w:trPr>
          <w:gridAfter w:val="1"/>
          <w:wAfter w:w="38" w:type="dxa"/>
          <w:trHeight w:val="287" w:hRule="atLeast"/>
        </w:trPr>
        <w:tc>
          <w:tcPr>
            <w:tcW w:w="1153" w:type="dxa"/>
            <w:tcBorders>
              <w:top w:val="nil"/>
              <w:left w:val="single" w:color="auto" w:sz="8" w:space="0"/>
              <w:bottom w:val="single" w:color="auto" w:sz="4" w:space="0"/>
              <w:right w:val="single" w:color="auto" w:sz="4" w:space="0"/>
            </w:tcBorders>
            <w:vAlign w:val="center"/>
          </w:tcPr>
          <w:p w14:paraId="50515D5A">
            <w:pPr>
              <w:rPr>
                <w:color w:val="000000"/>
              </w:rPr>
            </w:pPr>
            <w:r>
              <w:rPr>
                <w:rFonts w:hint="eastAsia"/>
                <w:color w:val="000000"/>
              </w:rPr>
              <w:t>行为名称</w:t>
            </w:r>
          </w:p>
        </w:tc>
        <w:tc>
          <w:tcPr>
            <w:tcW w:w="12848" w:type="dxa"/>
            <w:gridSpan w:val="4"/>
            <w:tcBorders>
              <w:top w:val="single" w:color="auto" w:sz="4" w:space="0"/>
              <w:left w:val="nil"/>
              <w:bottom w:val="single" w:color="auto" w:sz="4" w:space="0"/>
              <w:right w:val="single" w:color="000000" w:sz="8" w:space="0"/>
            </w:tcBorders>
            <w:vAlign w:val="center"/>
          </w:tcPr>
          <w:p w14:paraId="7C52710F">
            <w:pPr>
              <w:rPr>
                <w:color w:val="000000"/>
              </w:rPr>
            </w:pPr>
            <w:r>
              <w:rPr>
                <w:rFonts w:hint="eastAsia"/>
                <w:color w:val="000000"/>
              </w:rPr>
              <w:t>对建筑起重机械安装单位未按照建筑起重机械安装、拆卸工程专项施工方案及安全操作规程组织安装、拆卸作业的处罚</w:t>
            </w:r>
          </w:p>
        </w:tc>
      </w:tr>
      <w:tr w14:paraId="64098F2A">
        <w:tblPrEx>
          <w:tblCellMar>
            <w:top w:w="0" w:type="dxa"/>
            <w:left w:w="108" w:type="dxa"/>
            <w:bottom w:w="0" w:type="dxa"/>
            <w:right w:w="108" w:type="dxa"/>
          </w:tblCellMar>
        </w:tblPrEx>
        <w:trPr>
          <w:gridAfter w:val="1"/>
          <w:wAfter w:w="38" w:type="dxa"/>
          <w:trHeight w:val="1376" w:hRule="atLeast"/>
        </w:trPr>
        <w:tc>
          <w:tcPr>
            <w:tcW w:w="1153" w:type="dxa"/>
            <w:tcBorders>
              <w:top w:val="nil"/>
              <w:left w:val="single" w:color="auto" w:sz="8" w:space="0"/>
              <w:bottom w:val="single" w:color="auto" w:sz="4" w:space="0"/>
              <w:right w:val="single" w:color="auto" w:sz="4" w:space="0"/>
            </w:tcBorders>
            <w:vAlign w:val="center"/>
          </w:tcPr>
          <w:p w14:paraId="5E2AA46D">
            <w:pPr>
              <w:rPr>
                <w:color w:val="000000"/>
              </w:rPr>
            </w:pPr>
            <w:r>
              <w:rPr>
                <w:rFonts w:hint="eastAsia"/>
                <w:color w:val="000000"/>
              </w:rPr>
              <w:t>法律依据</w:t>
            </w:r>
          </w:p>
        </w:tc>
        <w:tc>
          <w:tcPr>
            <w:tcW w:w="12848" w:type="dxa"/>
            <w:gridSpan w:val="4"/>
            <w:tcBorders>
              <w:top w:val="single" w:color="auto" w:sz="4" w:space="0"/>
              <w:left w:val="nil"/>
              <w:bottom w:val="single" w:color="auto" w:sz="4" w:space="0"/>
              <w:right w:val="single" w:color="000000" w:sz="8" w:space="0"/>
            </w:tcBorders>
            <w:vAlign w:val="center"/>
          </w:tcPr>
          <w:p w14:paraId="0F2031DB">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第十三条第一款　安装单位应当按照建筑起重机械安装、拆卸工程专项施工方案及安全操作规程组织安装、拆卸作业。</w:t>
            </w:r>
            <w:r>
              <w:rPr>
                <w:color w:val="000000"/>
              </w:rPr>
              <w:br w:type="textWrapping"/>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ype="textWrapping"/>
            </w:r>
            <w:r>
              <w:rPr>
                <w:color w:val="000000"/>
              </w:rPr>
              <w:t xml:space="preserve">   </w:t>
            </w:r>
            <w:r>
              <w:rPr>
                <w:rFonts w:hint="eastAsia"/>
                <w:color w:val="000000"/>
              </w:rPr>
              <w:t>（三）未按照建筑起重机械安装、拆卸工程专项施工方案及安全操作规程组织安装、拆卸作业的。</w:t>
            </w:r>
          </w:p>
        </w:tc>
      </w:tr>
      <w:tr w14:paraId="58AED80F">
        <w:tblPrEx>
          <w:tblCellMar>
            <w:top w:w="0" w:type="dxa"/>
            <w:left w:w="108" w:type="dxa"/>
            <w:bottom w:w="0" w:type="dxa"/>
            <w:right w:w="108" w:type="dxa"/>
          </w:tblCellMar>
        </w:tblPrEx>
        <w:trPr>
          <w:gridAfter w:val="1"/>
          <w:wAfter w:w="38" w:type="dxa"/>
          <w:trHeight w:val="287" w:hRule="atLeast"/>
        </w:trPr>
        <w:tc>
          <w:tcPr>
            <w:tcW w:w="1153" w:type="dxa"/>
            <w:tcBorders>
              <w:top w:val="nil"/>
              <w:left w:val="single" w:color="auto" w:sz="8" w:space="0"/>
              <w:bottom w:val="single" w:color="auto" w:sz="4" w:space="0"/>
              <w:right w:val="single" w:color="auto" w:sz="4" w:space="0"/>
            </w:tcBorders>
            <w:vAlign w:val="center"/>
          </w:tcPr>
          <w:p w14:paraId="066BFF31">
            <w:pPr>
              <w:rPr>
                <w:color w:val="000000"/>
              </w:rPr>
            </w:pPr>
            <w:r>
              <w:rPr>
                <w:rFonts w:hint="eastAsia"/>
                <w:color w:val="000000"/>
              </w:rPr>
              <w:t>行使内容</w:t>
            </w:r>
          </w:p>
        </w:tc>
        <w:tc>
          <w:tcPr>
            <w:tcW w:w="12848" w:type="dxa"/>
            <w:gridSpan w:val="4"/>
            <w:tcBorders>
              <w:top w:val="single" w:color="auto" w:sz="4" w:space="0"/>
              <w:left w:val="nil"/>
              <w:bottom w:val="single" w:color="auto" w:sz="4" w:space="0"/>
              <w:right w:val="single" w:color="000000" w:sz="8" w:space="0"/>
            </w:tcBorders>
            <w:vAlign w:val="center"/>
          </w:tcPr>
          <w:p w14:paraId="02EF060F">
            <w:pPr>
              <w:rPr>
                <w:color w:val="000000"/>
              </w:rPr>
            </w:pPr>
            <w:r>
              <w:rPr>
                <w:rFonts w:hint="eastAsia"/>
                <w:color w:val="000000"/>
              </w:rPr>
              <w:t>警告，罚款</w:t>
            </w:r>
          </w:p>
        </w:tc>
      </w:tr>
      <w:tr w14:paraId="12128913">
        <w:tblPrEx>
          <w:tblCellMar>
            <w:top w:w="0" w:type="dxa"/>
            <w:left w:w="108" w:type="dxa"/>
            <w:bottom w:w="0" w:type="dxa"/>
            <w:right w:w="108" w:type="dxa"/>
          </w:tblCellMar>
        </w:tblPrEx>
        <w:trPr>
          <w:gridAfter w:val="1"/>
          <w:wAfter w:w="38" w:type="dxa"/>
          <w:trHeight w:val="287" w:hRule="atLeast"/>
        </w:trPr>
        <w:tc>
          <w:tcPr>
            <w:tcW w:w="14001" w:type="dxa"/>
            <w:gridSpan w:val="5"/>
            <w:tcBorders>
              <w:top w:val="single" w:color="auto" w:sz="4" w:space="0"/>
              <w:left w:val="single" w:color="auto" w:sz="8" w:space="0"/>
              <w:bottom w:val="single" w:color="auto" w:sz="4" w:space="0"/>
              <w:right w:val="single" w:color="000000" w:sz="8" w:space="0"/>
            </w:tcBorders>
            <w:vAlign w:val="center"/>
          </w:tcPr>
          <w:p w14:paraId="259E322E">
            <w:pPr>
              <w:jc w:val="center"/>
              <w:rPr>
                <w:color w:val="000000"/>
              </w:rPr>
            </w:pPr>
            <w:r>
              <w:rPr>
                <w:rFonts w:hint="eastAsia"/>
                <w:color w:val="000000"/>
              </w:rPr>
              <w:t>裁量基准</w:t>
            </w:r>
          </w:p>
        </w:tc>
      </w:tr>
      <w:tr w14:paraId="3BA282F0">
        <w:tblPrEx>
          <w:tblCellMar>
            <w:top w:w="0" w:type="dxa"/>
            <w:left w:w="108" w:type="dxa"/>
            <w:bottom w:w="0" w:type="dxa"/>
            <w:right w:w="108" w:type="dxa"/>
          </w:tblCellMar>
        </w:tblPrEx>
        <w:trPr>
          <w:trHeight w:val="287" w:hRule="atLeast"/>
        </w:trPr>
        <w:tc>
          <w:tcPr>
            <w:tcW w:w="1177" w:type="dxa"/>
            <w:gridSpan w:val="2"/>
            <w:vMerge w:val="restart"/>
            <w:tcBorders>
              <w:top w:val="nil"/>
              <w:left w:val="single" w:color="auto" w:sz="8" w:space="0"/>
              <w:bottom w:val="single" w:color="auto" w:sz="4" w:space="0"/>
              <w:right w:val="single" w:color="auto" w:sz="4" w:space="0"/>
            </w:tcBorders>
            <w:vAlign w:val="center"/>
          </w:tcPr>
          <w:p w14:paraId="7E15EDA2">
            <w:pPr>
              <w:rPr>
                <w:color w:val="000000"/>
              </w:rPr>
            </w:pPr>
            <w:r>
              <w:rPr>
                <w:rFonts w:hint="eastAsia"/>
                <w:color w:val="000000"/>
              </w:rPr>
              <w:t>情形描述</w:t>
            </w:r>
          </w:p>
        </w:tc>
        <w:tc>
          <w:tcPr>
            <w:tcW w:w="5640" w:type="dxa"/>
            <w:tcBorders>
              <w:top w:val="single" w:color="auto" w:sz="4" w:space="0"/>
              <w:left w:val="nil"/>
              <w:bottom w:val="single" w:color="auto" w:sz="4" w:space="0"/>
              <w:right w:val="single" w:color="auto" w:sz="4" w:space="0"/>
            </w:tcBorders>
            <w:vAlign w:val="center"/>
          </w:tcPr>
          <w:p w14:paraId="569F6804">
            <w:pPr>
              <w:rPr>
                <w:color w:val="000000"/>
              </w:rPr>
            </w:pPr>
            <w:r>
              <w:rPr>
                <w:rFonts w:hint="eastAsia"/>
                <w:color w:val="000000"/>
              </w:rPr>
              <w:t>按要求改正，未造成安全事故的</w:t>
            </w:r>
          </w:p>
        </w:tc>
        <w:tc>
          <w:tcPr>
            <w:tcW w:w="1133" w:type="dxa"/>
            <w:vMerge w:val="restart"/>
            <w:tcBorders>
              <w:top w:val="nil"/>
              <w:left w:val="single" w:color="auto" w:sz="4" w:space="0"/>
              <w:bottom w:val="single" w:color="auto" w:sz="4" w:space="0"/>
              <w:right w:val="single" w:color="auto" w:sz="4" w:space="0"/>
            </w:tcBorders>
            <w:vAlign w:val="center"/>
          </w:tcPr>
          <w:p w14:paraId="0C938AF9">
            <w:pPr>
              <w:rPr>
                <w:color w:val="000000"/>
              </w:rPr>
            </w:pPr>
            <w:r>
              <w:rPr>
                <w:rFonts w:hint="eastAsia"/>
                <w:color w:val="000000"/>
              </w:rPr>
              <w:t>裁量幅度</w:t>
            </w:r>
          </w:p>
        </w:tc>
        <w:tc>
          <w:tcPr>
            <w:tcW w:w="6089" w:type="dxa"/>
            <w:gridSpan w:val="2"/>
            <w:tcBorders>
              <w:top w:val="nil"/>
              <w:left w:val="nil"/>
              <w:bottom w:val="single" w:color="auto" w:sz="4" w:space="0"/>
              <w:right w:val="single" w:color="auto" w:sz="8" w:space="0"/>
            </w:tcBorders>
            <w:vAlign w:val="center"/>
          </w:tcPr>
          <w:p w14:paraId="32D12512">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6D983639">
        <w:tblPrEx>
          <w:tblCellMar>
            <w:top w:w="0" w:type="dxa"/>
            <w:left w:w="108" w:type="dxa"/>
            <w:bottom w:w="0" w:type="dxa"/>
            <w:right w:w="108" w:type="dxa"/>
          </w:tblCellMar>
        </w:tblPrEx>
        <w:trPr>
          <w:trHeight w:val="287" w:hRule="atLeast"/>
        </w:trPr>
        <w:tc>
          <w:tcPr>
            <w:tcW w:w="1177" w:type="dxa"/>
            <w:gridSpan w:val="2"/>
            <w:vMerge w:val="continue"/>
            <w:tcBorders>
              <w:top w:val="nil"/>
              <w:left w:val="single" w:color="auto" w:sz="8" w:space="0"/>
              <w:bottom w:val="single" w:color="auto" w:sz="4" w:space="0"/>
              <w:right w:val="single" w:color="auto" w:sz="4" w:space="0"/>
            </w:tcBorders>
            <w:vAlign w:val="center"/>
          </w:tcPr>
          <w:p w14:paraId="47CEBD7E">
            <w:pPr>
              <w:rPr>
                <w:color w:val="000000"/>
              </w:rPr>
            </w:pPr>
          </w:p>
        </w:tc>
        <w:tc>
          <w:tcPr>
            <w:tcW w:w="5640" w:type="dxa"/>
            <w:tcBorders>
              <w:top w:val="single" w:color="auto" w:sz="4" w:space="0"/>
              <w:left w:val="nil"/>
              <w:bottom w:val="single" w:color="auto" w:sz="4" w:space="0"/>
              <w:right w:val="single" w:color="auto" w:sz="4" w:space="0"/>
            </w:tcBorders>
            <w:vAlign w:val="center"/>
          </w:tcPr>
          <w:p w14:paraId="78912BD2">
            <w:pPr>
              <w:rPr>
                <w:color w:val="000000"/>
              </w:rPr>
            </w:pPr>
            <w:r>
              <w:rPr>
                <w:rFonts w:hint="eastAsia"/>
                <w:color w:val="000000"/>
              </w:rPr>
              <w:t>按要求改正，造成安全事故的</w:t>
            </w:r>
          </w:p>
        </w:tc>
        <w:tc>
          <w:tcPr>
            <w:tcW w:w="1133" w:type="dxa"/>
            <w:vMerge w:val="continue"/>
            <w:tcBorders>
              <w:top w:val="nil"/>
              <w:left w:val="single" w:color="auto" w:sz="4" w:space="0"/>
              <w:bottom w:val="single" w:color="auto" w:sz="4" w:space="0"/>
              <w:right w:val="single" w:color="auto" w:sz="4" w:space="0"/>
            </w:tcBorders>
            <w:vAlign w:val="center"/>
          </w:tcPr>
          <w:p w14:paraId="5AF02B1D">
            <w:pPr>
              <w:rPr>
                <w:color w:val="000000"/>
              </w:rPr>
            </w:pPr>
          </w:p>
        </w:tc>
        <w:tc>
          <w:tcPr>
            <w:tcW w:w="6089" w:type="dxa"/>
            <w:gridSpan w:val="2"/>
            <w:tcBorders>
              <w:top w:val="nil"/>
              <w:left w:val="nil"/>
              <w:bottom w:val="single" w:color="auto" w:sz="4" w:space="0"/>
              <w:right w:val="single" w:color="auto" w:sz="8" w:space="0"/>
            </w:tcBorders>
            <w:vAlign w:val="center"/>
          </w:tcPr>
          <w:p w14:paraId="56C7580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2055BF67">
        <w:tblPrEx>
          <w:tblCellMar>
            <w:top w:w="0" w:type="dxa"/>
            <w:left w:w="108" w:type="dxa"/>
            <w:bottom w:w="0" w:type="dxa"/>
            <w:right w:w="108" w:type="dxa"/>
          </w:tblCellMar>
        </w:tblPrEx>
        <w:trPr>
          <w:trHeight w:val="287" w:hRule="atLeast"/>
        </w:trPr>
        <w:tc>
          <w:tcPr>
            <w:tcW w:w="1177" w:type="dxa"/>
            <w:gridSpan w:val="2"/>
            <w:vMerge w:val="continue"/>
            <w:tcBorders>
              <w:top w:val="nil"/>
              <w:left w:val="single" w:color="auto" w:sz="8" w:space="0"/>
              <w:bottom w:val="single" w:color="auto" w:sz="4" w:space="0"/>
              <w:right w:val="single" w:color="auto" w:sz="4" w:space="0"/>
            </w:tcBorders>
            <w:vAlign w:val="center"/>
          </w:tcPr>
          <w:p w14:paraId="1860BEF2">
            <w:pPr>
              <w:rPr>
                <w:color w:val="000000"/>
              </w:rPr>
            </w:pPr>
          </w:p>
        </w:tc>
        <w:tc>
          <w:tcPr>
            <w:tcW w:w="5640" w:type="dxa"/>
            <w:tcBorders>
              <w:top w:val="single" w:color="auto" w:sz="4" w:space="0"/>
              <w:left w:val="nil"/>
              <w:bottom w:val="single" w:color="auto" w:sz="4" w:space="0"/>
              <w:right w:val="single" w:color="auto" w:sz="4" w:space="0"/>
            </w:tcBorders>
            <w:vAlign w:val="center"/>
          </w:tcPr>
          <w:p w14:paraId="491A13E2">
            <w:pPr>
              <w:rPr>
                <w:color w:val="000000"/>
              </w:rPr>
            </w:pPr>
            <w:r>
              <w:rPr>
                <w:rFonts w:hint="eastAsia"/>
                <w:color w:val="000000"/>
              </w:rPr>
              <w:t>未按要求改正的，未造成安全事故的</w:t>
            </w:r>
          </w:p>
        </w:tc>
        <w:tc>
          <w:tcPr>
            <w:tcW w:w="1133" w:type="dxa"/>
            <w:vMerge w:val="continue"/>
            <w:tcBorders>
              <w:top w:val="nil"/>
              <w:left w:val="single" w:color="auto" w:sz="4" w:space="0"/>
              <w:bottom w:val="single" w:color="auto" w:sz="4" w:space="0"/>
              <w:right w:val="single" w:color="auto" w:sz="4" w:space="0"/>
            </w:tcBorders>
            <w:vAlign w:val="center"/>
          </w:tcPr>
          <w:p w14:paraId="5CF617D4">
            <w:pPr>
              <w:rPr>
                <w:color w:val="000000"/>
              </w:rPr>
            </w:pPr>
          </w:p>
        </w:tc>
        <w:tc>
          <w:tcPr>
            <w:tcW w:w="6089" w:type="dxa"/>
            <w:gridSpan w:val="2"/>
            <w:tcBorders>
              <w:top w:val="nil"/>
              <w:left w:val="nil"/>
              <w:bottom w:val="single" w:color="auto" w:sz="4" w:space="0"/>
              <w:right w:val="single" w:color="auto" w:sz="8" w:space="0"/>
            </w:tcBorders>
            <w:vAlign w:val="center"/>
          </w:tcPr>
          <w:p w14:paraId="49A9A338">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4A7D7F25">
        <w:tblPrEx>
          <w:tblCellMar>
            <w:top w:w="0" w:type="dxa"/>
            <w:left w:w="108" w:type="dxa"/>
            <w:bottom w:w="0" w:type="dxa"/>
            <w:right w:w="108" w:type="dxa"/>
          </w:tblCellMar>
        </w:tblPrEx>
        <w:trPr>
          <w:trHeight w:val="287" w:hRule="atLeast"/>
        </w:trPr>
        <w:tc>
          <w:tcPr>
            <w:tcW w:w="1177" w:type="dxa"/>
            <w:gridSpan w:val="2"/>
            <w:vMerge w:val="continue"/>
            <w:tcBorders>
              <w:top w:val="nil"/>
              <w:left w:val="single" w:color="auto" w:sz="8" w:space="0"/>
              <w:bottom w:val="single" w:color="auto" w:sz="4" w:space="0"/>
              <w:right w:val="single" w:color="auto" w:sz="4" w:space="0"/>
            </w:tcBorders>
            <w:vAlign w:val="center"/>
          </w:tcPr>
          <w:p w14:paraId="3C71452F">
            <w:pPr>
              <w:rPr>
                <w:color w:val="000000"/>
              </w:rPr>
            </w:pPr>
          </w:p>
        </w:tc>
        <w:tc>
          <w:tcPr>
            <w:tcW w:w="5640" w:type="dxa"/>
            <w:tcBorders>
              <w:top w:val="single" w:color="auto" w:sz="4" w:space="0"/>
              <w:left w:val="nil"/>
              <w:bottom w:val="single" w:color="auto" w:sz="4" w:space="0"/>
              <w:right w:val="single" w:color="auto" w:sz="4" w:space="0"/>
            </w:tcBorders>
            <w:vAlign w:val="center"/>
          </w:tcPr>
          <w:p w14:paraId="5B8A9B20">
            <w:pPr>
              <w:rPr>
                <w:color w:val="000000"/>
              </w:rPr>
            </w:pPr>
            <w:r>
              <w:rPr>
                <w:rFonts w:hint="eastAsia"/>
                <w:color w:val="000000"/>
              </w:rPr>
              <w:t>未按要求改正的，造成安全事故的</w:t>
            </w:r>
          </w:p>
        </w:tc>
        <w:tc>
          <w:tcPr>
            <w:tcW w:w="1133" w:type="dxa"/>
            <w:vMerge w:val="continue"/>
            <w:tcBorders>
              <w:top w:val="nil"/>
              <w:left w:val="single" w:color="auto" w:sz="4" w:space="0"/>
              <w:bottom w:val="single" w:color="auto" w:sz="4" w:space="0"/>
              <w:right w:val="single" w:color="auto" w:sz="4" w:space="0"/>
            </w:tcBorders>
            <w:vAlign w:val="center"/>
          </w:tcPr>
          <w:p w14:paraId="50D86B7D">
            <w:pPr>
              <w:rPr>
                <w:color w:val="000000"/>
              </w:rPr>
            </w:pPr>
          </w:p>
        </w:tc>
        <w:tc>
          <w:tcPr>
            <w:tcW w:w="6089" w:type="dxa"/>
            <w:gridSpan w:val="2"/>
            <w:tcBorders>
              <w:top w:val="nil"/>
              <w:left w:val="nil"/>
              <w:bottom w:val="single" w:color="auto" w:sz="4" w:space="0"/>
              <w:right w:val="single" w:color="auto" w:sz="8" w:space="0"/>
            </w:tcBorders>
            <w:vAlign w:val="center"/>
          </w:tcPr>
          <w:p w14:paraId="69180278">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3C7C355B"/>
    <w:p w14:paraId="11F1B4EB"/>
    <w:p w14:paraId="5C0DE7E7"/>
    <w:p w14:paraId="50EDB469"/>
    <w:p w14:paraId="387206C9"/>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00B9CDA1">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332E5360">
            <w:pP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0B03D246">
            <w:pPr>
              <w:rPr>
                <w:b/>
                <w:bCs/>
                <w:color w:val="000000"/>
              </w:rPr>
            </w:pPr>
            <w:r>
              <w:rPr>
                <w:b/>
                <w:color w:val="000000"/>
              </w:rPr>
              <w:t>320217428000</w:t>
            </w:r>
            <w:r>
              <w:rPr>
                <w:rFonts w:hint="eastAsia"/>
                <w:b/>
                <w:color w:val="000000"/>
              </w:rPr>
              <w:t xml:space="preserve"> </w:t>
            </w:r>
          </w:p>
        </w:tc>
      </w:tr>
      <w:tr w14:paraId="12550861">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50BAB917">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vAlign w:val="center"/>
          </w:tcPr>
          <w:p w14:paraId="4F9F08AB">
            <w:pPr>
              <w:rPr>
                <w:color w:val="000000"/>
              </w:rPr>
            </w:pPr>
            <w:r>
              <w:rPr>
                <w:rFonts w:hint="eastAsia"/>
                <w:color w:val="000000"/>
              </w:rPr>
              <w:t>对建筑起重机械使用单位未根据不同施工阶段、周围环境以及季节、气候的变化，对建筑起重机械采取相应的安全防护措施的处罚</w:t>
            </w:r>
          </w:p>
        </w:tc>
      </w:tr>
      <w:tr w14:paraId="45AD449E">
        <w:tblPrEx>
          <w:tblCellMar>
            <w:top w:w="0" w:type="dxa"/>
            <w:left w:w="108" w:type="dxa"/>
            <w:bottom w:w="0" w:type="dxa"/>
            <w:right w:w="108" w:type="dxa"/>
          </w:tblCellMar>
        </w:tblPrEx>
        <w:trPr>
          <w:trHeight w:val="1500" w:hRule="atLeast"/>
        </w:trPr>
        <w:tc>
          <w:tcPr>
            <w:tcW w:w="1296" w:type="dxa"/>
            <w:tcBorders>
              <w:top w:val="nil"/>
              <w:left w:val="single" w:color="auto" w:sz="8" w:space="0"/>
              <w:bottom w:val="single" w:color="auto" w:sz="4" w:space="0"/>
              <w:right w:val="single" w:color="auto" w:sz="4" w:space="0"/>
            </w:tcBorders>
            <w:vAlign w:val="center"/>
          </w:tcPr>
          <w:p w14:paraId="1E7F926B">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vAlign w:val="center"/>
          </w:tcPr>
          <w:p w14:paraId="4249B3DE">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第十八条　使用单位应当履行下列安全职责：</w:t>
            </w:r>
            <w:r>
              <w:rPr>
                <w:color w:val="000000"/>
              </w:rPr>
              <w:br w:type="textWrapping"/>
            </w:r>
            <w:r>
              <w:rPr>
                <w:color w:val="000000"/>
              </w:rPr>
              <w:t xml:space="preserve">   </w:t>
            </w:r>
            <w:r>
              <w:rPr>
                <w:rFonts w:hint="eastAsia"/>
                <w:color w:val="000000"/>
              </w:rPr>
              <w:t>（一）根据不同施工阶段、周围环境以及季节、气候的变化，对建筑起重机械采取相应的安全防护措施；</w:t>
            </w:r>
            <w:r>
              <w:rPr>
                <w:color w:val="000000"/>
              </w:rPr>
              <w:br w:type="textWrapping"/>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ype="textWrapping"/>
            </w:r>
            <w:r>
              <w:rPr>
                <w:color w:val="000000"/>
              </w:rPr>
              <w:t xml:space="preserve">   </w:t>
            </w:r>
            <w:r>
              <w:rPr>
                <w:rFonts w:hint="eastAsia"/>
                <w:color w:val="000000"/>
              </w:rPr>
              <w:t>（一）未履行第十八条第（一）、（二）、（四）、（六）项安全职责的。</w:t>
            </w:r>
          </w:p>
        </w:tc>
      </w:tr>
      <w:tr w14:paraId="41F48008">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28096A02">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3C8777A2">
            <w:pPr>
              <w:rPr>
                <w:color w:val="000000"/>
              </w:rPr>
            </w:pPr>
            <w:r>
              <w:rPr>
                <w:rFonts w:hint="eastAsia"/>
                <w:color w:val="000000"/>
              </w:rPr>
              <w:t>警告，罚款</w:t>
            </w:r>
          </w:p>
        </w:tc>
      </w:tr>
      <w:tr w14:paraId="3056087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1C9570E">
            <w:pPr>
              <w:jc w:val="center"/>
              <w:rPr>
                <w:color w:val="000000"/>
              </w:rPr>
            </w:pPr>
            <w:r>
              <w:rPr>
                <w:rFonts w:hint="eastAsia"/>
                <w:color w:val="000000"/>
              </w:rPr>
              <w:t>裁量基准</w:t>
            </w:r>
          </w:p>
        </w:tc>
      </w:tr>
      <w:tr w14:paraId="5131CBA2">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6C47617A">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2AD0C769">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77794E89">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344FDD73">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5536CFEC">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29B93969">
            <w:pPr>
              <w:rPr>
                <w:color w:val="000000"/>
              </w:rPr>
            </w:pPr>
          </w:p>
        </w:tc>
        <w:tc>
          <w:tcPr>
            <w:tcW w:w="5884" w:type="dxa"/>
            <w:tcBorders>
              <w:top w:val="single" w:color="auto" w:sz="4" w:space="0"/>
              <w:left w:val="nil"/>
              <w:bottom w:val="single" w:color="auto" w:sz="4" w:space="0"/>
              <w:right w:val="single" w:color="auto" w:sz="4" w:space="0"/>
            </w:tcBorders>
            <w:vAlign w:val="center"/>
          </w:tcPr>
          <w:p w14:paraId="3166BE99">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305D829F">
            <w:pPr>
              <w:rPr>
                <w:color w:val="000000"/>
              </w:rPr>
            </w:pPr>
          </w:p>
        </w:tc>
        <w:tc>
          <w:tcPr>
            <w:tcW w:w="5760" w:type="dxa"/>
            <w:tcBorders>
              <w:top w:val="nil"/>
              <w:left w:val="nil"/>
              <w:bottom w:val="single" w:color="auto" w:sz="4" w:space="0"/>
              <w:right w:val="single" w:color="auto" w:sz="8" w:space="0"/>
            </w:tcBorders>
            <w:vAlign w:val="center"/>
          </w:tcPr>
          <w:p w14:paraId="4EB7C79E">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47E98345">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nil"/>
              <w:right w:val="single" w:color="auto" w:sz="4" w:space="0"/>
            </w:tcBorders>
            <w:vAlign w:val="center"/>
          </w:tcPr>
          <w:p w14:paraId="290A05AC">
            <w:pPr>
              <w:rPr>
                <w:color w:val="000000"/>
              </w:rPr>
            </w:pPr>
          </w:p>
        </w:tc>
        <w:tc>
          <w:tcPr>
            <w:tcW w:w="5884" w:type="dxa"/>
            <w:tcBorders>
              <w:top w:val="single" w:color="auto" w:sz="4" w:space="0"/>
              <w:left w:val="nil"/>
              <w:bottom w:val="single" w:color="auto" w:sz="4" w:space="0"/>
              <w:right w:val="single" w:color="auto" w:sz="4" w:space="0"/>
            </w:tcBorders>
            <w:vAlign w:val="center"/>
          </w:tcPr>
          <w:p w14:paraId="74A51C5C">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nil"/>
              <w:right w:val="single" w:color="auto" w:sz="4" w:space="0"/>
            </w:tcBorders>
            <w:vAlign w:val="center"/>
          </w:tcPr>
          <w:p w14:paraId="3474B4EA">
            <w:pPr>
              <w:rPr>
                <w:color w:val="000000"/>
              </w:rPr>
            </w:pPr>
          </w:p>
        </w:tc>
        <w:tc>
          <w:tcPr>
            <w:tcW w:w="5760" w:type="dxa"/>
            <w:tcBorders>
              <w:top w:val="single" w:color="auto" w:sz="4" w:space="0"/>
              <w:left w:val="nil"/>
              <w:bottom w:val="single" w:color="auto" w:sz="4" w:space="0"/>
              <w:right w:val="single" w:color="auto" w:sz="4" w:space="0"/>
            </w:tcBorders>
            <w:vAlign w:val="center"/>
          </w:tcPr>
          <w:p w14:paraId="3F590241">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0D4107EB">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073F0913">
            <w:pPr>
              <w:rPr>
                <w:color w:val="000000"/>
              </w:rPr>
            </w:pPr>
          </w:p>
        </w:tc>
        <w:tc>
          <w:tcPr>
            <w:tcW w:w="5884" w:type="dxa"/>
            <w:tcBorders>
              <w:top w:val="single" w:color="auto" w:sz="4" w:space="0"/>
              <w:left w:val="nil"/>
              <w:bottom w:val="single" w:color="auto" w:sz="4" w:space="0"/>
              <w:right w:val="single" w:color="auto" w:sz="4" w:space="0"/>
            </w:tcBorders>
            <w:vAlign w:val="center"/>
          </w:tcPr>
          <w:p w14:paraId="29248A7A">
            <w:pPr>
              <w:rPr>
                <w:color w:val="000000"/>
              </w:rPr>
            </w:pPr>
            <w:r>
              <w:rPr>
                <w:rFonts w:hint="eastAsia"/>
                <w:color w:val="000000"/>
              </w:rPr>
              <w:t>未按要求改正的，造成安全事故的</w:t>
            </w:r>
          </w:p>
        </w:tc>
        <w:tc>
          <w:tcPr>
            <w:tcW w:w="1076" w:type="dxa"/>
            <w:tcBorders>
              <w:top w:val="nil"/>
              <w:left w:val="single" w:color="auto" w:sz="4" w:space="0"/>
              <w:bottom w:val="single" w:color="auto" w:sz="4" w:space="0"/>
              <w:right w:val="single" w:color="auto" w:sz="4" w:space="0"/>
            </w:tcBorders>
            <w:vAlign w:val="center"/>
          </w:tcPr>
          <w:p w14:paraId="59DAAD92">
            <w:pPr>
              <w:rPr>
                <w:color w:val="000000"/>
              </w:rPr>
            </w:pPr>
          </w:p>
        </w:tc>
        <w:tc>
          <w:tcPr>
            <w:tcW w:w="5760" w:type="dxa"/>
            <w:tcBorders>
              <w:top w:val="single" w:color="auto" w:sz="4" w:space="0"/>
              <w:left w:val="nil"/>
              <w:bottom w:val="single" w:color="auto" w:sz="4" w:space="0"/>
              <w:right w:val="single" w:color="auto" w:sz="4" w:space="0"/>
            </w:tcBorders>
            <w:vAlign w:val="center"/>
          </w:tcPr>
          <w:p w14:paraId="35BD73CE">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5E0AD93D"/>
    <w:p w14:paraId="4E690813"/>
    <w:p w14:paraId="572B71FA"/>
    <w:p w14:paraId="0F5FDCAA"/>
    <w:p w14:paraId="2D5B98A8"/>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56A2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FD10E27">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21C9EE62">
            <w:pPr>
              <w:spacing w:line="320" w:lineRule="exact"/>
              <w:jc w:val="left"/>
              <w:rPr>
                <w:rFonts w:eastAsia="仿宋_GB2312"/>
                <w:b/>
                <w:bCs/>
                <w:color w:val="000000"/>
                <w:kern w:val="0"/>
                <w:sz w:val="18"/>
                <w:szCs w:val="18"/>
              </w:rPr>
            </w:pPr>
            <w:r>
              <w:rPr>
                <w:rFonts w:eastAsia="仿宋_GB2312"/>
                <w:b/>
                <w:bCs/>
                <w:color w:val="000000"/>
                <w:kern w:val="0"/>
                <w:sz w:val="18"/>
                <w:szCs w:val="18"/>
              </w:rPr>
              <w:t>320217429000</w:t>
            </w:r>
            <w:r>
              <w:rPr>
                <w:rFonts w:hint="eastAsia" w:eastAsia="仿宋_GB2312"/>
                <w:b/>
                <w:bCs/>
                <w:color w:val="000000"/>
                <w:kern w:val="0"/>
                <w:sz w:val="18"/>
                <w:szCs w:val="18"/>
              </w:rPr>
              <w:t xml:space="preserve"> </w:t>
            </w:r>
          </w:p>
        </w:tc>
      </w:tr>
      <w:tr w14:paraId="2F6D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B8B4A34">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61DC6DCE">
            <w:pPr>
              <w:spacing w:line="320" w:lineRule="exact"/>
              <w:jc w:val="left"/>
              <w:rPr>
                <w:color w:val="000000"/>
                <w:kern w:val="0"/>
                <w:sz w:val="18"/>
                <w:szCs w:val="18"/>
              </w:rPr>
            </w:pPr>
            <w:r>
              <w:rPr>
                <w:rFonts w:hint="eastAsia"/>
                <w:color w:val="000000"/>
                <w:kern w:val="0"/>
                <w:sz w:val="18"/>
                <w:szCs w:val="18"/>
              </w:rPr>
              <w:t>对质量检测单位未按照有关工程建设标准和规范进行检测，或者检测数据未按照规定实时上传的处罚</w:t>
            </w:r>
          </w:p>
        </w:tc>
      </w:tr>
      <w:tr w14:paraId="1C56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7119D9DF">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0AB7B681">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6F84A8EF">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14:paraId="01E7FFF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（二）按照有关工程建设标准和规范进行检测，检测数据应当按照规定实时上传。</w:t>
            </w:r>
          </w:p>
          <w:p w14:paraId="11946959">
            <w:pPr>
              <w:spacing w:line="320" w:lineRule="exact"/>
              <w:jc w:val="left"/>
              <w:rPr>
                <w:color w:val="000000"/>
                <w:kern w:val="0"/>
                <w:sz w:val="18"/>
                <w:szCs w:val="18"/>
              </w:rPr>
            </w:pP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违反本办法第二十一条规定，质量检测单位有下列行为之一的，由住房和城乡建设行政主管部门责令改正，并可处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1318CF5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w:t>
            </w:r>
            <w:r>
              <w:rPr>
                <w:color w:val="000000"/>
                <w:kern w:val="0"/>
                <w:sz w:val="18"/>
                <w:szCs w:val="18"/>
              </w:rPr>
              <w:t xml:space="preserve"> </w:t>
            </w:r>
            <w:r>
              <w:rPr>
                <w:rFonts w:hint="eastAsia"/>
                <w:color w:val="000000"/>
                <w:kern w:val="0"/>
                <w:sz w:val="18"/>
                <w:szCs w:val="18"/>
              </w:rPr>
              <w:t>未按照有关工程建设标准和规范进行检测，或者检测数据未按照规定实时上传的。</w:t>
            </w:r>
          </w:p>
        </w:tc>
      </w:tr>
      <w:tr w14:paraId="4D0E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331F89C8">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6C126FAC">
            <w:pPr>
              <w:spacing w:line="320" w:lineRule="exact"/>
              <w:jc w:val="left"/>
              <w:rPr>
                <w:color w:val="000000"/>
                <w:kern w:val="0"/>
                <w:sz w:val="18"/>
                <w:szCs w:val="18"/>
              </w:rPr>
            </w:pPr>
            <w:r>
              <w:rPr>
                <w:rFonts w:hint="eastAsia"/>
                <w:color w:val="000000"/>
                <w:kern w:val="0"/>
                <w:sz w:val="18"/>
                <w:szCs w:val="18"/>
              </w:rPr>
              <w:t>罚款</w:t>
            </w:r>
          </w:p>
        </w:tc>
      </w:tr>
      <w:tr w14:paraId="780D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6933A512">
            <w:pPr>
              <w:spacing w:line="320" w:lineRule="exact"/>
              <w:jc w:val="center"/>
              <w:rPr>
                <w:color w:val="000000"/>
                <w:kern w:val="0"/>
                <w:sz w:val="18"/>
                <w:szCs w:val="18"/>
              </w:rPr>
            </w:pPr>
            <w:r>
              <w:rPr>
                <w:rFonts w:hint="eastAsia"/>
                <w:color w:val="000000"/>
                <w:kern w:val="0"/>
                <w:sz w:val="18"/>
                <w:szCs w:val="18"/>
              </w:rPr>
              <w:t>裁量基准</w:t>
            </w:r>
          </w:p>
        </w:tc>
      </w:tr>
      <w:tr w14:paraId="2A888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4B7169F1">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6119902D">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14:paraId="34035ACB">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E26D492">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B63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06FD6ECB">
            <w:pPr>
              <w:spacing w:line="320" w:lineRule="exact"/>
              <w:jc w:val="center"/>
              <w:rPr>
                <w:color w:val="000000"/>
                <w:kern w:val="0"/>
                <w:sz w:val="18"/>
                <w:szCs w:val="18"/>
              </w:rPr>
            </w:pPr>
          </w:p>
        </w:tc>
        <w:tc>
          <w:tcPr>
            <w:tcW w:w="6140" w:type="dxa"/>
            <w:vAlign w:val="center"/>
          </w:tcPr>
          <w:p w14:paraId="12424FC7">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79F6090F">
            <w:pPr>
              <w:spacing w:line="320" w:lineRule="exact"/>
              <w:jc w:val="center"/>
              <w:rPr>
                <w:color w:val="000000"/>
                <w:kern w:val="0"/>
                <w:sz w:val="18"/>
                <w:szCs w:val="18"/>
              </w:rPr>
            </w:pPr>
          </w:p>
        </w:tc>
        <w:tc>
          <w:tcPr>
            <w:tcW w:w="5820" w:type="dxa"/>
            <w:vAlign w:val="center"/>
          </w:tcPr>
          <w:p w14:paraId="05344972">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CAD860B"/>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2E2B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B4E334E">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7DA6FE69">
            <w:pPr>
              <w:spacing w:line="320" w:lineRule="exact"/>
              <w:jc w:val="left"/>
              <w:rPr>
                <w:rFonts w:eastAsia="仿宋_GB2312"/>
                <w:b/>
                <w:bCs/>
                <w:color w:val="000000"/>
                <w:kern w:val="0"/>
                <w:sz w:val="18"/>
                <w:szCs w:val="18"/>
              </w:rPr>
            </w:pPr>
            <w:r>
              <w:rPr>
                <w:rFonts w:eastAsia="仿宋_GB2312"/>
                <w:b/>
                <w:bCs/>
                <w:color w:val="000000"/>
                <w:kern w:val="0"/>
                <w:sz w:val="18"/>
                <w:szCs w:val="18"/>
              </w:rPr>
              <w:t>320217430000</w:t>
            </w:r>
            <w:r>
              <w:rPr>
                <w:rFonts w:hint="eastAsia" w:eastAsia="仿宋_GB2312"/>
                <w:b/>
                <w:bCs/>
                <w:color w:val="000000"/>
                <w:kern w:val="0"/>
                <w:sz w:val="18"/>
                <w:szCs w:val="18"/>
              </w:rPr>
              <w:t xml:space="preserve"> </w:t>
            </w:r>
          </w:p>
        </w:tc>
      </w:tr>
      <w:tr w14:paraId="25EC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8D4365E">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7D2E0EA0">
            <w:pPr>
              <w:spacing w:line="320" w:lineRule="exact"/>
              <w:jc w:val="left"/>
              <w:rPr>
                <w:color w:val="000000"/>
                <w:kern w:val="0"/>
                <w:sz w:val="18"/>
                <w:szCs w:val="18"/>
              </w:rPr>
            </w:pPr>
            <w:r>
              <w:rPr>
                <w:rFonts w:hint="eastAsia"/>
                <w:color w:val="000000"/>
                <w:kern w:val="0"/>
                <w:sz w:val="18"/>
                <w:szCs w:val="18"/>
              </w:rPr>
              <w:t>对质量检测单位未将不合格检测报告在</w:t>
            </w:r>
            <w:r>
              <w:rPr>
                <w:color w:val="000000"/>
                <w:kern w:val="0"/>
                <w:sz w:val="18"/>
                <w:szCs w:val="18"/>
              </w:rPr>
              <w:t>24</w:t>
            </w:r>
            <w:r>
              <w:rPr>
                <w:rFonts w:hint="eastAsia"/>
                <w:color w:val="000000"/>
                <w:kern w:val="0"/>
                <w:sz w:val="18"/>
                <w:szCs w:val="18"/>
              </w:rPr>
              <w:t>小时内报送当地工程质量监督机构的处罚</w:t>
            </w:r>
          </w:p>
        </w:tc>
      </w:tr>
      <w:tr w14:paraId="57DF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520E0F63">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091FBE54">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42E4603A">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14:paraId="7C1C68B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（四）不合格检测报告，应当在</w:t>
            </w:r>
            <w:r>
              <w:rPr>
                <w:color w:val="000000"/>
                <w:kern w:val="0"/>
                <w:sz w:val="18"/>
                <w:szCs w:val="18"/>
              </w:rPr>
              <w:t>24</w:t>
            </w:r>
            <w:r>
              <w:rPr>
                <w:rFonts w:hint="eastAsia"/>
                <w:color w:val="000000"/>
                <w:kern w:val="0"/>
                <w:sz w:val="18"/>
                <w:szCs w:val="18"/>
              </w:rPr>
              <w:t>小时内报送当地工程质量监督机构。</w:t>
            </w:r>
          </w:p>
          <w:p w14:paraId="7E8FDC0F">
            <w:pPr>
              <w:spacing w:line="320" w:lineRule="exact"/>
              <w:jc w:val="left"/>
              <w:rPr>
                <w:color w:val="000000"/>
                <w:kern w:val="0"/>
                <w:sz w:val="18"/>
                <w:szCs w:val="18"/>
              </w:rPr>
            </w:pP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违反本办法第二十一条规定，质量检测单位有下列行为之一的，由住房和城乡建设行政主管部门责令改正，并可处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646A943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（三）不合格检测报告未在</w:t>
            </w:r>
            <w:r>
              <w:rPr>
                <w:color w:val="000000"/>
                <w:kern w:val="0"/>
                <w:sz w:val="18"/>
                <w:szCs w:val="18"/>
              </w:rPr>
              <w:t>24</w:t>
            </w:r>
            <w:r>
              <w:rPr>
                <w:rFonts w:hint="eastAsia"/>
                <w:color w:val="000000"/>
                <w:kern w:val="0"/>
                <w:sz w:val="18"/>
                <w:szCs w:val="18"/>
              </w:rPr>
              <w:t>小时内报送当地工程质量监督机构的。</w:t>
            </w:r>
          </w:p>
        </w:tc>
      </w:tr>
      <w:tr w14:paraId="20F0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8E57CD6">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623C883E">
            <w:pPr>
              <w:spacing w:line="320" w:lineRule="exact"/>
              <w:jc w:val="left"/>
              <w:rPr>
                <w:color w:val="000000"/>
                <w:kern w:val="0"/>
                <w:sz w:val="18"/>
                <w:szCs w:val="18"/>
              </w:rPr>
            </w:pPr>
            <w:r>
              <w:rPr>
                <w:rFonts w:hint="eastAsia"/>
                <w:color w:val="000000"/>
                <w:kern w:val="0"/>
                <w:sz w:val="18"/>
                <w:szCs w:val="18"/>
              </w:rPr>
              <w:t>罚款</w:t>
            </w:r>
          </w:p>
        </w:tc>
      </w:tr>
      <w:tr w14:paraId="4FFC8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4A4FCCB3">
            <w:pPr>
              <w:spacing w:line="320" w:lineRule="exact"/>
              <w:jc w:val="center"/>
              <w:rPr>
                <w:color w:val="000000"/>
                <w:kern w:val="0"/>
                <w:sz w:val="18"/>
                <w:szCs w:val="18"/>
              </w:rPr>
            </w:pPr>
            <w:r>
              <w:rPr>
                <w:rFonts w:hint="eastAsia"/>
                <w:color w:val="000000"/>
                <w:kern w:val="0"/>
                <w:sz w:val="18"/>
                <w:szCs w:val="18"/>
              </w:rPr>
              <w:t>裁量基准</w:t>
            </w:r>
          </w:p>
        </w:tc>
      </w:tr>
      <w:tr w14:paraId="1D0C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758249A8">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29CE65A7">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14:paraId="75F69B86">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4A4CC1C1">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3B6A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9A7A802">
            <w:pPr>
              <w:spacing w:line="320" w:lineRule="exact"/>
              <w:jc w:val="center"/>
              <w:rPr>
                <w:color w:val="000000"/>
                <w:kern w:val="0"/>
                <w:sz w:val="18"/>
                <w:szCs w:val="18"/>
              </w:rPr>
            </w:pPr>
          </w:p>
        </w:tc>
        <w:tc>
          <w:tcPr>
            <w:tcW w:w="6140" w:type="dxa"/>
            <w:vAlign w:val="center"/>
          </w:tcPr>
          <w:p w14:paraId="535A8E29">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624F22D5">
            <w:pPr>
              <w:spacing w:line="320" w:lineRule="exact"/>
              <w:jc w:val="center"/>
              <w:rPr>
                <w:color w:val="000000"/>
                <w:kern w:val="0"/>
                <w:sz w:val="18"/>
                <w:szCs w:val="18"/>
              </w:rPr>
            </w:pPr>
          </w:p>
        </w:tc>
        <w:tc>
          <w:tcPr>
            <w:tcW w:w="5820" w:type="dxa"/>
            <w:vAlign w:val="center"/>
          </w:tcPr>
          <w:p w14:paraId="55CB2760">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5888E26D"/>
    <w:p w14:paraId="672C9D1C"/>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2BDF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ACBE133">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5A4B65F2">
            <w:pPr>
              <w:spacing w:line="320" w:lineRule="exact"/>
              <w:jc w:val="left"/>
              <w:rPr>
                <w:rFonts w:eastAsia="仿宋_GB2312"/>
                <w:b/>
                <w:bCs/>
                <w:color w:val="000000"/>
                <w:kern w:val="0"/>
                <w:sz w:val="18"/>
                <w:szCs w:val="18"/>
              </w:rPr>
            </w:pPr>
            <w:r>
              <w:rPr>
                <w:rFonts w:eastAsia="仿宋_GB2312"/>
                <w:b/>
                <w:bCs/>
                <w:color w:val="000000"/>
                <w:kern w:val="0"/>
                <w:sz w:val="18"/>
                <w:szCs w:val="18"/>
              </w:rPr>
              <w:t>320217431000</w:t>
            </w:r>
            <w:r>
              <w:rPr>
                <w:rFonts w:hint="eastAsia" w:eastAsia="仿宋_GB2312"/>
                <w:b/>
                <w:bCs/>
                <w:color w:val="000000"/>
                <w:kern w:val="0"/>
                <w:sz w:val="18"/>
                <w:szCs w:val="18"/>
              </w:rPr>
              <w:t xml:space="preserve"> </w:t>
            </w:r>
          </w:p>
        </w:tc>
      </w:tr>
      <w:tr w14:paraId="0278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3BFA7986">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241524ED">
            <w:pPr>
              <w:spacing w:line="320" w:lineRule="exact"/>
              <w:jc w:val="left"/>
              <w:rPr>
                <w:color w:val="000000"/>
                <w:kern w:val="0"/>
                <w:sz w:val="18"/>
                <w:szCs w:val="18"/>
              </w:rPr>
            </w:pPr>
            <w:r>
              <w:rPr>
                <w:rFonts w:hint="eastAsia"/>
                <w:color w:val="000000"/>
                <w:kern w:val="0"/>
                <w:sz w:val="18"/>
                <w:szCs w:val="18"/>
              </w:rPr>
              <w:t>对质量检测单位未按照规定出具检测报告，或者检测数据弄虚作假的处罚</w:t>
            </w:r>
          </w:p>
        </w:tc>
      </w:tr>
      <w:tr w14:paraId="5498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3AC44E72">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685765C0">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4F47E88A">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14:paraId="34B7617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（三）按照规定出具检测报告，检测数据必须准确真实，不得弄虚作假。</w:t>
            </w:r>
          </w:p>
          <w:p w14:paraId="7E1C64EB">
            <w:pPr>
              <w:spacing w:line="320" w:lineRule="exact"/>
              <w:jc w:val="left"/>
              <w:rPr>
                <w:color w:val="000000"/>
                <w:kern w:val="0"/>
                <w:sz w:val="18"/>
                <w:szCs w:val="18"/>
              </w:rPr>
            </w:pPr>
            <w:r>
              <w:rPr>
                <w:rFonts w:hint="eastAsia"/>
                <w:color w:val="000000"/>
                <w:kern w:val="0"/>
                <w:sz w:val="18"/>
                <w:szCs w:val="18"/>
              </w:rPr>
              <w:t>第二十七条第二款</w:t>
            </w:r>
            <w:r>
              <w:rPr>
                <w:color w:val="000000"/>
                <w:kern w:val="0"/>
                <w:sz w:val="18"/>
                <w:szCs w:val="18"/>
              </w:rPr>
              <w:t xml:space="preserve">  </w:t>
            </w:r>
            <w:r>
              <w:rPr>
                <w:rFonts w:hint="eastAsia"/>
                <w:color w:val="000000"/>
                <w:kern w:val="0"/>
                <w:sz w:val="18"/>
                <w:szCs w:val="18"/>
              </w:rPr>
              <w:t>违反本办法第二十一条第（三）项规定，质量检测单位未按照规定出具检测报告，或者检测数据弄虚作假的，由住房和城乡建设行政主管部门给予警告，并处</w:t>
            </w:r>
            <w:r>
              <w:rPr>
                <w:color w:val="000000"/>
                <w:kern w:val="0"/>
                <w:sz w:val="18"/>
                <w:szCs w:val="18"/>
              </w:rPr>
              <w:t>3</w:t>
            </w:r>
            <w:r>
              <w:rPr>
                <w:rFonts w:hint="eastAsia"/>
                <w:color w:val="000000"/>
                <w:kern w:val="0"/>
                <w:sz w:val="18"/>
                <w:szCs w:val="18"/>
              </w:rPr>
              <w:t>万元罚款。</w:t>
            </w:r>
          </w:p>
        </w:tc>
      </w:tr>
      <w:tr w14:paraId="6CCE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2C0CAABE">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0A7A4D64">
            <w:pPr>
              <w:spacing w:line="320" w:lineRule="exact"/>
              <w:jc w:val="left"/>
              <w:rPr>
                <w:color w:val="000000"/>
                <w:kern w:val="0"/>
                <w:sz w:val="18"/>
                <w:szCs w:val="18"/>
              </w:rPr>
            </w:pPr>
            <w:r>
              <w:rPr>
                <w:rFonts w:hint="eastAsia"/>
                <w:color w:val="000000"/>
                <w:kern w:val="0"/>
                <w:sz w:val="18"/>
                <w:szCs w:val="18"/>
              </w:rPr>
              <w:t>警告，罚款</w:t>
            </w:r>
          </w:p>
        </w:tc>
      </w:tr>
      <w:tr w14:paraId="1E34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65918D3F">
            <w:pPr>
              <w:spacing w:line="320" w:lineRule="exact"/>
              <w:jc w:val="center"/>
              <w:rPr>
                <w:color w:val="000000"/>
                <w:kern w:val="0"/>
                <w:sz w:val="18"/>
                <w:szCs w:val="18"/>
              </w:rPr>
            </w:pPr>
            <w:r>
              <w:rPr>
                <w:rFonts w:hint="eastAsia"/>
                <w:color w:val="000000"/>
                <w:kern w:val="0"/>
                <w:sz w:val="18"/>
                <w:szCs w:val="18"/>
              </w:rPr>
              <w:t>裁量基准</w:t>
            </w:r>
          </w:p>
        </w:tc>
      </w:tr>
      <w:tr w14:paraId="448C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3CF0632">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56C54A2B">
            <w:pPr>
              <w:spacing w:line="320" w:lineRule="exact"/>
              <w:jc w:val="left"/>
              <w:rPr>
                <w:color w:val="000000"/>
                <w:kern w:val="0"/>
                <w:sz w:val="18"/>
                <w:szCs w:val="18"/>
              </w:rPr>
            </w:pPr>
            <w:r>
              <w:rPr>
                <w:rFonts w:hint="eastAsia"/>
                <w:color w:val="000000"/>
                <w:kern w:val="0"/>
                <w:sz w:val="18"/>
                <w:szCs w:val="18"/>
              </w:rPr>
              <w:t>　</w:t>
            </w:r>
          </w:p>
        </w:tc>
        <w:tc>
          <w:tcPr>
            <w:tcW w:w="1080" w:type="dxa"/>
            <w:vAlign w:val="center"/>
          </w:tcPr>
          <w:p w14:paraId="4C6CECC4">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14C190B">
            <w:pPr>
              <w:spacing w:line="320" w:lineRule="exact"/>
              <w:jc w:val="left"/>
              <w:rPr>
                <w:color w:val="000000"/>
                <w:kern w:val="0"/>
                <w:sz w:val="18"/>
                <w:szCs w:val="18"/>
              </w:rPr>
            </w:pPr>
          </w:p>
        </w:tc>
      </w:tr>
    </w:tbl>
    <w:p w14:paraId="7C2370B0"/>
    <w:p w14:paraId="5D66FBAD"/>
    <w:p w14:paraId="1EC877EC"/>
    <w:p w14:paraId="55BE00A1"/>
    <w:p w14:paraId="488B3463"/>
    <w:p w14:paraId="4C293C7A"/>
    <w:p w14:paraId="6AB97E83"/>
    <w:p w14:paraId="70B903DA"/>
    <w:p w14:paraId="579F2089"/>
    <w:p w14:paraId="1BD190BA"/>
    <w:p w14:paraId="5DA55EBD"/>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038E5EFB">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2484D400">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136AE937">
            <w:pPr>
              <w:spacing w:line="320" w:lineRule="exact"/>
              <w:jc w:val="left"/>
              <w:rPr>
                <w:rFonts w:eastAsia="仿宋_GB2312"/>
                <w:b/>
                <w:color w:val="000000"/>
                <w:sz w:val="20"/>
              </w:rPr>
            </w:pPr>
            <w:r>
              <w:rPr>
                <w:rFonts w:eastAsia="仿宋_GB2312"/>
                <w:b/>
                <w:color w:val="000000"/>
                <w:sz w:val="20"/>
              </w:rPr>
              <w:t>320217434000</w:t>
            </w:r>
          </w:p>
        </w:tc>
      </w:tr>
      <w:tr w14:paraId="3CBCF070">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725BE776">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71132E0A">
            <w:pPr>
              <w:jc w:val="left"/>
              <w:rPr>
                <w:color w:val="000000"/>
                <w:sz w:val="20"/>
              </w:rPr>
            </w:pPr>
            <w:r>
              <w:rPr>
                <w:rFonts w:hint="eastAsia"/>
                <w:color w:val="000000"/>
                <w:sz w:val="20"/>
              </w:rPr>
              <w:t>对擅自使用未经验收或者验收不合格的城市道路的处罚</w:t>
            </w:r>
          </w:p>
        </w:tc>
      </w:tr>
      <w:tr w14:paraId="23E2C611">
        <w:tblPrEx>
          <w:tblCellMar>
            <w:top w:w="0" w:type="dxa"/>
            <w:left w:w="108" w:type="dxa"/>
            <w:bottom w:w="0" w:type="dxa"/>
            <w:right w:w="108" w:type="dxa"/>
          </w:tblCellMar>
        </w:tblPrEx>
        <w:trPr>
          <w:trHeight w:val="2096" w:hRule="atLeast"/>
        </w:trPr>
        <w:tc>
          <w:tcPr>
            <w:tcW w:w="1070" w:type="dxa"/>
            <w:tcBorders>
              <w:top w:val="nil"/>
              <w:left w:val="single" w:color="auto" w:sz="8" w:space="0"/>
              <w:bottom w:val="single" w:color="auto" w:sz="4" w:space="0"/>
              <w:right w:val="single" w:color="auto" w:sz="4" w:space="0"/>
            </w:tcBorders>
            <w:vAlign w:val="center"/>
          </w:tcPr>
          <w:p w14:paraId="10B532A6">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19FF9837">
            <w:pPr>
              <w:jc w:val="left"/>
              <w:textAlignment w:val="center"/>
              <w:rPr>
                <w:rFonts w:eastAsia="仿宋_GB2312"/>
                <w:color w:val="000000"/>
                <w:sz w:val="20"/>
              </w:rPr>
            </w:pPr>
            <w:r>
              <w:rPr>
                <w:rFonts w:hint="eastAsia" w:eastAsia="仿宋_GB2312"/>
                <w:color w:val="000000"/>
                <w:kern w:val="0"/>
                <w:sz w:val="20"/>
              </w:rPr>
              <w:t>【</w:t>
            </w:r>
            <w:r>
              <w:rPr>
                <w:rFonts w:hint="eastAsia"/>
                <w:color w:val="000000"/>
                <w:sz w:val="20"/>
              </w:rPr>
              <w:t>行政法规】《城市道路管理条例》（国务院令第</w:t>
            </w:r>
            <w:r>
              <w:rPr>
                <w:color w:val="000000"/>
                <w:sz w:val="20"/>
              </w:rPr>
              <w:t>198</w:t>
            </w:r>
            <w:r>
              <w:rPr>
                <w:rFonts w:hint="eastAsia"/>
                <w:color w:val="000000"/>
                <w:sz w:val="20"/>
              </w:rPr>
              <w:t>号）</w:t>
            </w:r>
            <w:r>
              <w:rPr>
                <w:color w:val="000000"/>
                <w:sz w:val="20"/>
              </w:rPr>
              <w:br w:type="textWrapping"/>
            </w:r>
            <w:r>
              <w:rPr>
                <w:rFonts w:hint="eastAsia"/>
                <w:color w:val="000000"/>
                <w:sz w:val="20"/>
              </w:rPr>
              <w:t>第十七条　城市道路的设计、施工，应当严格执行国家和地方规定的城市道路设计、施工的技术规范。</w:t>
            </w:r>
            <w:r>
              <w:rPr>
                <w:color w:val="000000"/>
                <w:sz w:val="20"/>
              </w:rPr>
              <w:br w:type="textWrapping"/>
            </w:r>
            <w:r>
              <w:rPr>
                <w:rFonts w:hint="eastAsia"/>
                <w:color w:val="000000"/>
                <w:sz w:val="20"/>
              </w:rPr>
              <w:t>　　城市道路施工，实行工程质量监督制度。</w:t>
            </w:r>
            <w:r>
              <w:rPr>
                <w:color w:val="000000"/>
                <w:sz w:val="20"/>
              </w:rPr>
              <w:br w:type="textWrapping"/>
            </w:r>
            <w:r>
              <w:rPr>
                <w:rFonts w:hint="eastAsia"/>
                <w:color w:val="000000"/>
                <w:sz w:val="20"/>
              </w:rPr>
              <w:t>　　城市道路工程竣工，经验收合格后，方可交付使用；未经验收或者验收不合格的，不得交付使用。</w:t>
            </w:r>
            <w:r>
              <w:rPr>
                <w:color w:val="000000"/>
                <w:sz w:val="20"/>
              </w:rPr>
              <w:t xml:space="preserve"> </w:t>
            </w:r>
            <w:r>
              <w:rPr>
                <w:color w:val="000000"/>
                <w:sz w:val="20"/>
              </w:rPr>
              <w:br w:type="textWrapping"/>
            </w:r>
            <w:r>
              <w:rPr>
                <w:rFonts w:hint="eastAsia"/>
                <w:color w:val="000000"/>
                <w:sz w:val="20"/>
              </w:rPr>
              <w:t>第四十条</w:t>
            </w:r>
            <w:r>
              <w:rPr>
                <w:color w:val="000000"/>
                <w:sz w:val="20"/>
              </w:rPr>
              <w:t xml:space="preserve"> </w:t>
            </w:r>
            <w:r>
              <w:rPr>
                <w:rFonts w:hint="eastAsia"/>
                <w:color w:val="000000"/>
                <w:sz w:val="20"/>
              </w:rPr>
              <w:t>违反本条例第十七条规定，擅自使用未经验收或者验收不合格的城市道路的，由市政工程行政主管部门责令限期改正，给予警告，可以并处工程造价百分之二以下的罚款。</w:t>
            </w:r>
          </w:p>
        </w:tc>
      </w:tr>
      <w:tr w14:paraId="4B8F6B91">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2E15CF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05CA0EF7">
            <w:pPr>
              <w:jc w:val="left"/>
              <w:rPr>
                <w:color w:val="000000"/>
                <w:sz w:val="20"/>
              </w:rPr>
            </w:pPr>
            <w:r>
              <w:rPr>
                <w:rFonts w:hint="eastAsia"/>
                <w:color w:val="000000"/>
                <w:sz w:val="20"/>
              </w:rPr>
              <w:t>警告，罚款</w:t>
            </w:r>
            <w:r>
              <w:rPr>
                <w:color w:val="000000"/>
                <w:sz w:val="20"/>
              </w:rPr>
              <w:t xml:space="preserve">  </w:t>
            </w:r>
          </w:p>
        </w:tc>
      </w:tr>
      <w:tr w14:paraId="07A3C492">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41C64FD">
            <w:pPr>
              <w:spacing w:line="320" w:lineRule="exact"/>
              <w:jc w:val="center"/>
              <w:rPr>
                <w:color w:val="000000"/>
                <w:kern w:val="0"/>
                <w:sz w:val="18"/>
                <w:szCs w:val="18"/>
              </w:rPr>
            </w:pPr>
            <w:r>
              <w:rPr>
                <w:rFonts w:hint="eastAsia"/>
                <w:color w:val="000000"/>
                <w:kern w:val="0"/>
                <w:sz w:val="18"/>
                <w:szCs w:val="18"/>
              </w:rPr>
              <w:t>裁量基准</w:t>
            </w:r>
          </w:p>
        </w:tc>
      </w:tr>
      <w:tr w14:paraId="3342EDFF">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7718A4A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F43E3AB">
            <w:pPr>
              <w:spacing w:line="320" w:lineRule="exact"/>
              <w:jc w:val="left"/>
              <w:rPr>
                <w:color w:val="000000"/>
                <w:kern w:val="0"/>
                <w:sz w:val="18"/>
                <w:szCs w:val="18"/>
              </w:rPr>
            </w:pPr>
            <w:r>
              <w:rPr>
                <w:rFonts w:hint="eastAsia"/>
                <w:color w:val="000000"/>
                <w:kern w:val="0"/>
                <w:sz w:val="18"/>
                <w:szCs w:val="18"/>
              </w:rPr>
              <w:t>按照要求改正，未成损失的</w:t>
            </w:r>
          </w:p>
        </w:tc>
        <w:tc>
          <w:tcPr>
            <w:tcW w:w="1080" w:type="dxa"/>
            <w:vMerge w:val="restart"/>
            <w:tcBorders>
              <w:top w:val="nil"/>
              <w:left w:val="single" w:color="auto" w:sz="4" w:space="0"/>
              <w:right w:val="single" w:color="auto" w:sz="4" w:space="0"/>
            </w:tcBorders>
            <w:vAlign w:val="center"/>
          </w:tcPr>
          <w:p w14:paraId="1DB19D2F">
            <w:pPr>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59D1F121">
            <w:pPr>
              <w:spacing w:line="320" w:lineRule="exact"/>
              <w:jc w:val="left"/>
              <w:rPr>
                <w:color w:val="000000"/>
                <w:kern w:val="0"/>
                <w:sz w:val="18"/>
                <w:szCs w:val="18"/>
              </w:rPr>
            </w:pPr>
            <w:r>
              <w:rPr>
                <w:rFonts w:hint="eastAsia"/>
                <w:color w:val="000000"/>
                <w:sz w:val="20"/>
              </w:rPr>
              <w:t>处工程造价0.5</w:t>
            </w:r>
            <w:r>
              <w:rPr>
                <w:color w:val="000000"/>
                <w:sz w:val="20"/>
              </w:rPr>
              <w:t>%</w:t>
            </w:r>
            <w:r>
              <w:rPr>
                <w:rFonts w:hint="eastAsia"/>
                <w:color w:val="000000"/>
                <w:sz w:val="20"/>
              </w:rPr>
              <w:t>以下罚款</w:t>
            </w:r>
          </w:p>
        </w:tc>
      </w:tr>
      <w:tr w14:paraId="69ABC9C4">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right w:val="single" w:color="auto" w:sz="4" w:space="0"/>
            </w:tcBorders>
            <w:vAlign w:val="center"/>
          </w:tcPr>
          <w:p w14:paraId="7D949183">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76B4C10">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top w:val="nil"/>
              <w:left w:val="single" w:color="auto" w:sz="4" w:space="0"/>
              <w:right w:val="single" w:color="auto" w:sz="4" w:space="0"/>
            </w:tcBorders>
            <w:vAlign w:val="center"/>
          </w:tcPr>
          <w:p w14:paraId="00E61FEE">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959D12F">
            <w:pPr>
              <w:spacing w:line="320" w:lineRule="exact"/>
              <w:jc w:val="left"/>
              <w:rPr>
                <w:color w:val="000000"/>
                <w:sz w:val="20"/>
              </w:rPr>
            </w:pPr>
            <w:r>
              <w:rPr>
                <w:rFonts w:hint="eastAsia"/>
                <w:color w:val="000000"/>
                <w:sz w:val="20"/>
              </w:rPr>
              <w:t>处工程造价0.5</w:t>
            </w:r>
            <w:r>
              <w:rPr>
                <w:color w:val="000000"/>
                <w:sz w:val="20"/>
              </w:rPr>
              <w:t>%</w:t>
            </w:r>
            <w:r>
              <w:rPr>
                <w:rFonts w:hint="eastAsia"/>
                <w:color w:val="000000"/>
                <w:sz w:val="20"/>
              </w:rPr>
              <w:t>到</w:t>
            </w:r>
            <w:r>
              <w:rPr>
                <w:color w:val="000000"/>
                <w:sz w:val="20"/>
              </w:rPr>
              <w:t>1%</w:t>
            </w:r>
            <w:r>
              <w:rPr>
                <w:rFonts w:hint="eastAsia"/>
                <w:color w:val="000000"/>
                <w:sz w:val="20"/>
              </w:rPr>
              <w:t>罚款</w:t>
            </w:r>
          </w:p>
        </w:tc>
      </w:tr>
      <w:tr w14:paraId="19DED935">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11DA989B">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C4FB6FF">
            <w:pPr>
              <w:spacing w:line="320" w:lineRule="exact"/>
              <w:jc w:val="left"/>
              <w:rPr>
                <w:color w:val="000000"/>
                <w:kern w:val="0"/>
                <w:sz w:val="18"/>
                <w:szCs w:val="18"/>
              </w:rPr>
            </w:pPr>
            <w:r>
              <w:rPr>
                <w:rFonts w:hint="eastAsia"/>
                <w:color w:val="000000"/>
                <w:kern w:val="0"/>
                <w:sz w:val="18"/>
                <w:szCs w:val="18"/>
              </w:rPr>
              <w:t>按照要求改正但造成损失的</w:t>
            </w:r>
          </w:p>
        </w:tc>
        <w:tc>
          <w:tcPr>
            <w:tcW w:w="1080" w:type="dxa"/>
            <w:vMerge w:val="continue"/>
            <w:tcBorders>
              <w:left w:val="single" w:color="auto" w:sz="4" w:space="0"/>
              <w:right w:val="single" w:color="auto" w:sz="4" w:space="0"/>
            </w:tcBorders>
            <w:vAlign w:val="center"/>
          </w:tcPr>
          <w:p w14:paraId="72D4C595">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A03BC24">
            <w:pPr>
              <w:spacing w:line="320" w:lineRule="exact"/>
              <w:jc w:val="left"/>
              <w:rPr>
                <w:color w:val="000000"/>
                <w:kern w:val="0"/>
                <w:sz w:val="18"/>
                <w:szCs w:val="18"/>
              </w:rPr>
            </w:pPr>
            <w:r>
              <w:rPr>
                <w:rFonts w:hint="eastAsia"/>
                <w:color w:val="000000"/>
                <w:sz w:val="20"/>
              </w:rPr>
              <w:t>处工程造价</w:t>
            </w:r>
            <w:r>
              <w:rPr>
                <w:color w:val="000000"/>
                <w:sz w:val="20"/>
              </w:rPr>
              <w:t>1%</w:t>
            </w:r>
            <w:r>
              <w:rPr>
                <w:rFonts w:hint="eastAsia"/>
                <w:color w:val="000000"/>
                <w:sz w:val="20"/>
              </w:rPr>
              <w:t>到</w:t>
            </w:r>
            <w:r>
              <w:rPr>
                <w:color w:val="000000"/>
                <w:sz w:val="20"/>
              </w:rPr>
              <w:t>1.5%</w:t>
            </w:r>
            <w:r>
              <w:rPr>
                <w:rFonts w:hint="eastAsia"/>
                <w:color w:val="000000"/>
                <w:sz w:val="20"/>
              </w:rPr>
              <w:t>罚款</w:t>
            </w:r>
          </w:p>
        </w:tc>
      </w:tr>
      <w:tr w14:paraId="2AF6DFE4">
        <w:tblPrEx>
          <w:tblCellMar>
            <w:top w:w="0" w:type="dxa"/>
            <w:left w:w="108" w:type="dxa"/>
            <w:bottom w:w="0" w:type="dxa"/>
            <w:right w:w="108" w:type="dxa"/>
          </w:tblCellMar>
        </w:tblPrEx>
        <w:trPr>
          <w:trHeight w:val="330" w:hRule="atLeast"/>
        </w:trPr>
        <w:tc>
          <w:tcPr>
            <w:tcW w:w="1070" w:type="dxa"/>
            <w:vMerge w:val="continue"/>
            <w:tcBorders>
              <w:left w:val="single" w:color="auto" w:sz="8" w:space="0"/>
              <w:bottom w:val="single" w:color="auto" w:sz="4" w:space="0"/>
              <w:right w:val="single" w:color="auto" w:sz="4" w:space="0"/>
            </w:tcBorders>
            <w:vAlign w:val="center"/>
          </w:tcPr>
          <w:p w14:paraId="2617D720">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3E40153">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1EF0BDE5">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67B81556">
            <w:pPr>
              <w:spacing w:line="320" w:lineRule="exact"/>
              <w:jc w:val="left"/>
              <w:rPr>
                <w:color w:val="000000"/>
                <w:kern w:val="0"/>
                <w:sz w:val="18"/>
                <w:szCs w:val="18"/>
              </w:rPr>
            </w:pPr>
            <w:r>
              <w:rPr>
                <w:rFonts w:hint="eastAsia"/>
                <w:color w:val="000000"/>
                <w:sz w:val="20"/>
              </w:rPr>
              <w:t>处工程造价</w:t>
            </w:r>
            <w:r>
              <w:rPr>
                <w:color w:val="000000"/>
                <w:sz w:val="20"/>
              </w:rPr>
              <w:t>1.5%</w:t>
            </w:r>
            <w:r>
              <w:rPr>
                <w:rFonts w:hint="eastAsia"/>
                <w:color w:val="000000"/>
                <w:sz w:val="20"/>
              </w:rPr>
              <w:t>到</w:t>
            </w:r>
            <w:r>
              <w:rPr>
                <w:color w:val="000000"/>
                <w:sz w:val="20"/>
              </w:rPr>
              <w:t>2%</w:t>
            </w:r>
            <w:r>
              <w:rPr>
                <w:rFonts w:hint="eastAsia"/>
                <w:color w:val="000000"/>
                <w:sz w:val="20"/>
              </w:rPr>
              <w:t>罚款</w:t>
            </w:r>
          </w:p>
        </w:tc>
      </w:tr>
    </w:tbl>
    <w:p w14:paraId="5892CFC1"/>
    <w:p w14:paraId="118B46B5"/>
    <w:p w14:paraId="5C010D03"/>
    <w:p w14:paraId="157C81BB"/>
    <w:p w14:paraId="5BBAD09F"/>
    <w:p w14:paraId="7724CB5D"/>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4CE56D75">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300B8EA4">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40459595">
            <w:pPr>
              <w:spacing w:line="320" w:lineRule="exact"/>
              <w:jc w:val="left"/>
              <w:rPr>
                <w:b/>
                <w:color w:val="000000"/>
                <w:kern w:val="0"/>
                <w:sz w:val="18"/>
                <w:szCs w:val="18"/>
              </w:rPr>
            </w:pPr>
            <w:r>
              <w:rPr>
                <w:b/>
                <w:color w:val="000000"/>
                <w:kern w:val="0"/>
                <w:sz w:val="18"/>
                <w:szCs w:val="18"/>
              </w:rPr>
              <w:t>320217435000</w:t>
            </w:r>
            <w:r>
              <w:rPr>
                <w:rFonts w:hint="eastAsia"/>
                <w:b/>
                <w:color w:val="000000"/>
                <w:kern w:val="0"/>
                <w:sz w:val="18"/>
                <w:szCs w:val="18"/>
              </w:rPr>
              <w:t xml:space="preserve"> </w:t>
            </w:r>
          </w:p>
        </w:tc>
      </w:tr>
      <w:tr w14:paraId="59FE6BBE">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7440CEC">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2E344CE8">
            <w:pPr>
              <w:spacing w:line="320" w:lineRule="exact"/>
              <w:jc w:val="left"/>
              <w:rPr>
                <w:color w:val="000000"/>
                <w:kern w:val="0"/>
                <w:sz w:val="18"/>
                <w:szCs w:val="18"/>
              </w:rPr>
            </w:pPr>
            <w:r>
              <w:rPr>
                <w:rFonts w:hint="eastAsia"/>
                <w:color w:val="000000"/>
                <w:kern w:val="0"/>
                <w:sz w:val="18"/>
                <w:szCs w:val="18"/>
              </w:rPr>
              <w:t>对擅自占用或者挖掘城市道路处罚</w:t>
            </w:r>
          </w:p>
        </w:tc>
      </w:tr>
      <w:tr w14:paraId="281A0F49">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4CE659D2">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08E605CA">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城市道路范围内禁止下列行为：</w:t>
            </w:r>
            <w:r>
              <w:rPr>
                <w:color w:val="000000"/>
                <w:kern w:val="0"/>
                <w:sz w:val="18"/>
                <w:szCs w:val="18"/>
              </w:rPr>
              <w:br w:type="textWrapping"/>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擅自占用或者挖掘城市道路；</w:t>
            </w:r>
            <w:r>
              <w:rPr>
                <w:color w:val="000000"/>
                <w:kern w:val="0"/>
                <w:sz w:val="18"/>
                <w:szCs w:val="18"/>
              </w:rPr>
              <w:br w:type="textWrapping"/>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14:paraId="5E9EA943">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5BAA5E0">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5EE312C0">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2913DB94">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1425B7F3">
            <w:pPr>
              <w:spacing w:line="320" w:lineRule="exact"/>
              <w:jc w:val="center"/>
              <w:rPr>
                <w:color w:val="000000"/>
                <w:kern w:val="0"/>
                <w:sz w:val="18"/>
                <w:szCs w:val="18"/>
              </w:rPr>
            </w:pPr>
            <w:r>
              <w:rPr>
                <w:rFonts w:hint="eastAsia"/>
                <w:color w:val="000000"/>
                <w:kern w:val="0"/>
                <w:sz w:val="18"/>
                <w:szCs w:val="18"/>
              </w:rPr>
              <w:t>裁量基准</w:t>
            </w:r>
          </w:p>
        </w:tc>
      </w:tr>
      <w:tr w14:paraId="6DA98C01">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578FF8B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D7050E2">
            <w:pPr>
              <w:spacing w:line="320" w:lineRule="exact"/>
              <w:jc w:val="left"/>
              <w:rPr>
                <w:color w:val="000000"/>
                <w:kern w:val="0"/>
                <w:sz w:val="18"/>
                <w:szCs w:val="18"/>
              </w:rPr>
            </w:pPr>
            <w:r>
              <w:rPr>
                <w:rFonts w:hint="eastAsia"/>
                <w:color w:val="000000"/>
                <w:kern w:val="0"/>
                <w:sz w:val="18"/>
                <w:szCs w:val="18"/>
              </w:rPr>
              <w:t>按照要求改正但未成损失的</w:t>
            </w:r>
          </w:p>
        </w:tc>
        <w:tc>
          <w:tcPr>
            <w:tcW w:w="1080" w:type="dxa"/>
            <w:vMerge w:val="restart"/>
            <w:tcBorders>
              <w:top w:val="nil"/>
              <w:left w:val="single" w:color="auto" w:sz="4" w:space="0"/>
              <w:right w:val="single" w:color="auto" w:sz="4" w:space="0"/>
            </w:tcBorders>
            <w:vAlign w:val="center"/>
          </w:tcPr>
          <w:p w14:paraId="0AA1F8EE">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106188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1179B2B6">
        <w:tblPrEx>
          <w:tblCellMar>
            <w:top w:w="0" w:type="dxa"/>
            <w:left w:w="108" w:type="dxa"/>
            <w:bottom w:w="0" w:type="dxa"/>
            <w:right w:w="108" w:type="dxa"/>
          </w:tblCellMar>
        </w:tblPrEx>
        <w:trPr>
          <w:trHeight w:val="330" w:hRule="atLeast"/>
        </w:trPr>
        <w:tc>
          <w:tcPr>
            <w:tcW w:w="1070" w:type="dxa"/>
            <w:vMerge w:val="continue"/>
            <w:tcBorders>
              <w:left w:val="single" w:color="auto" w:sz="8" w:space="0"/>
              <w:right w:val="single" w:color="auto" w:sz="4" w:space="0"/>
            </w:tcBorders>
            <w:vAlign w:val="center"/>
          </w:tcPr>
          <w:p w14:paraId="0BEC35A3">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2F120B7">
            <w:pPr>
              <w:spacing w:line="320" w:lineRule="exact"/>
              <w:jc w:val="left"/>
              <w:rPr>
                <w:color w:val="000000"/>
                <w:kern w:val="0"/>
                <w:sz w:val="18"/>
                <w:szCs w:val="18"/>
              </w:rPr>
            </w:pPr>
            <w:r>
              <w:rPr>
                <w:rFonts w:hint="eastAsia"/>
                <w:color w:val="000000"/>
                <w:kern w:val="0"/>
                <w:sz w:val="18"/>
                <w:szCs w:val="18"/>
              </w:rPr>
              <w:t>未按照要求改正但未造成损失的</w:t>
            </w:r>
          </w:p>
        </w:tc>
        <w:tc>
          <w:tcPr>
            <w:tcW w:w="1080" w:type="dxa"/>
            <w:vMerge w:val="continue"/>
            <w:tcBorders>
              <w:left w:val="single" w:color="auto" w:sz="4" w:space="0"/>
              <w:right w:val="single" w:color="auto" w:sz="4" w:space="0"/>
            </w:tcBorders>
            <w:vAlign w:val="center"/>
          </w:tcPr>
          <w:p w14:paraId="301B79B4">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696A49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6BAEA86">
        <w:tblPrEx>
          <w:tblCellMar>
            <w:top w:w="0" w:type="dxa"/>
            <w:left w:w="108" w:type="dxa"/>
            <w:bottom w:w="0" w:type="dxa"/>
            <w:right w:w="108" w:type="dxa"/>
          </w:tblCellMar>
        </w:tblPrEx>
        <w:trPr>
          <w:trHeight w:val="330" w:hRule="atLeast"/>
        </w:trPr>
        <w:tc>
          <w:tcPr>
            <w:tcW w:w="1070" w:type="dxa"/>
            <w:vMerge w:val="continue"/>
            <w:tcBorders>
              <w:left w:val="single" w:color="auto" w:sz="8" w:space="0"/>
              <w:right w:val="single" w:color="auto" w:sz="4" w:space="0"/>
            </w:tcBorders>
            <w:vAlign w:val="center"/>
          </w:tcPr>
          <w:p w14:paraId="4A2C5418">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73C972E">
            <w:pPr>
              <w:spacing w:line="320" w:lineRule="exact"/>
              <w:jc w:val="left"/>
              <w:rPr>
                <w:color w:val="000000"/>
                <w:kern w:val="0"/>
                <w:sz w:val="18"/>
                <w:szCs w:val="18"/>
              </w:rPr>
            </w:pPr>
            <w:r>
              <w:rPr>
                <w:rFonts w:hint="eastAsia"/>
                <w:color w:val="000000"/>
                <w:kern w:val="0"/>
                <w:sz w:val="18"/>
                <w:szCs w:val="18"/>
              </w:rPr>
              <w:t>按照要求改正但造成损失的</w:t>
            </w:r>
          </w:p>
        </w:tc>
        <w:tc>
          <w:tcPr>
            <w:tcW w:w="1080" w:type="dxa"/>
            <w:vMerge w:val="continue"/>
            <w:tcBorders>
              <w:left w:val="single" w:color="auto" w:sz="4" w:space="0"/>
              <w:right w:val="single" w:color="auto" w:sz="4" w:space="0"/>
            </w:tcBorders>
            <w:vAlign w:val="center"/>
          </w:tcPr>
          <w:p w14:paraId="4524FB2B">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224ED3F">
            <w:pPr>
              <w:spacing w:line="320" w:lineRule="exact"/>
              <w:jc w:val="left"/>
              <w:rPr>
                <w:color w:val="000000"/>
                <w:kern w:val="0"/>
                <w:sz w:val="18"/>
                <w:szCs w:val="18"/>
              </w:rPr>
            </w:pPr>
            <w:r>
              <w:rPr>
                <w:rFonts w:hint="eastAsia"/>
                <w:color w:val="000000"/>
                <w:kern w:val="0"/>
                <w:sz w:val="18"/>
                <w:szCs w:val="18"/>
              </w:rPr>
              <w:t>处1万元以上1.5万元以下罚款</w:t>
            </w:r>
          </w:p>
        </w:tc>
      </w:tr>
      <w:tr w14:paraId="4DCE4EA9">
        <w:tblPrEx>
          <w:tblCellMar>
            <w:top w:w="0" w:type="dxa"/>
            <w:left w:w="108" w:type="dxa"/>
            <w:bottom w:w="0" w:type="dxa"/>
            <w:right w:w="108" w:type="dxa"/>
          </w:tblCellMar>
        </w:tblPrEx>
        <w:trPr>
          <w:trHeight w:val="295" w:hRule="atLeast"/>
        </w:trPr>
        <w:tc>
          <w:tcPr>
            <w:tcW w:w="1070" w:type="dxa"/>
            <w:vMerge w:val="continue"/>
            <w:tcBorders>
              <w:left w:val="single" w:color="auto" w:sz="8" w:space="0"/>
              <w:bottom w:val="single" w:color="auto" w:sz="4" w:space="0"/>
              <w:right w:val="single" w:color="auto" w:sz="4" w:space="0"/>
            </w:tcBorders>
            <w:vAlign w:val="center"/>
          </w:tcPr>
          <w:p w14:paraId="53C7E846">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806DA99">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5348C4A5">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66A66B2B">
            <w:pPr>
              <w:spacing w:line="320" w:lineRule="exact"/>
              <w:jc w:val="left"/>
              <w:rPr>
                <w:color w:val="000000"/>
                <w:kern w:val="0"/>
                <w:sz w:val="18"/>
                <w:szCs w:val="18"/>
              </w:rPr>
            </w:pPr>
            <w:r>
              <w:rPr>
                <w:rFonts w:hint="eastAsia"/>
                <w:color w:val="000000"/>
                <w:kern w:val="0"/>
                <w:sz w:val="18"/>
                <w:szCs w:val="18"/>
              </w:rPr>
              <w:t>处1.5万元以上</w:t>
            </w:r>
            <w:r>
              <w:rPr>
                <w:color w:val="000000"/>
                <w:kern w:val="0"/>
                <w:sz w:val="18"/>
                <w:szCs w:val="18"/>
              </w:rPr>
              <w:t>2</w:t>
            </w:r>
            <w:r>
              <w:rPr>
                <w:rFonts w:hint="eastAsia"/>
                <w:color w:val="000000"/>
                <w:kern w:val="0"/>
                <w:sz w:val="18"/>
                <w:szCs w:val="18"/>
              </w:rPr>
              <w:t>万元以下罚款</w:t>
            </w:r>
          </w:p>
        </w:tc>
      </w:tr>
    </w:tbl>
    <w:p w14:paraId="1A03C2AC"/>
    <w:p w14:paraId="7188FE39"/>
    <w:p w14:paraId="6E50A0A1"/>
    <w:p w14:paraId="39ACE124"/>
    <w:p w14:paraId="6EE292B4"/>
    <w:p w14:paraId="3A1CC566"/>
    <w:p w14:paraId="4C39FE94"/>
    <w:p w14:paraId="0CFA399B"/>
    <w:p w14:paraId="4EAA5104"/>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366CB2F9">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7F9827D8">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13CA40C6">
            <w:pPr>
              <w:spacing w:line="320" w:lineRule="exact"/>
              <w:jc w:val="left"/>
              <w:rPr>
                <w:b/>
                <w:color w:val="000000"/>
                <w:kern w:val="0"/>
                <w:sz w:val="18"/>
                <w:szCs w:val="18"/>
              </w:rPr>
            </w:pPr>
            <w:r>
              <w:rPr>
                <w:b/>
                <w:color w:val="000000"/>
                <w:kern w:val="0"/>
                <w:sz w:val="18"/>
                <w:szCs w:val="18"/>
              </w:rPr>
              <w:t>320217436000</w:t>
            </w:r>
            <w:r>
              <w:rPr>
                <w:rFonts w:hint="eastAsia"/>
                <w:b/>
                <w:color w:val="000000"/>
                <w:kern w:val="0"/>
                <w:sz w:val="18"/>
                <w:szCs w:val="18"/>
              </w:rPr>
              <w:t xml:space="preserve"> </w:t>
            </w:r>
          </w:p>
        </w:tc>
      </w:tr>
      <w:tr w14:paraId="47C2DE1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F0E8B9B">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6E373B20">
            <w:pPr>
              <w:spacing w:line="320" w:lineRule="exact"/>
              <w:jc w:val="left"/>
              <w:rPr>
                <w:color w:val="000000"/>
                <w:kern w:val="0"/>
                <w:sz w:val="18"/>
                <w:szCs w:val="18"/>
              </w:rPr>
            </w:pPr>
            <w:r>
              <w:rPr>
                <w:rFonts w:hint="eastAsia"/>
                <w:color w:val="000000"/>
                <w:kern w:val="0"/>
                <w:sz w:val="18"/>
                <w:szCs w:val="18"/>
              </w:rPr>
              <w:t>对擅自在城市道路上建设建筑物、构筑物的处罚</w:t>
            </w:r>
          </w:p>
        </w:tc>
      </w:tr>
      <w:tr w14:paraId="495BE527">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07188BAB">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6724D6C0">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第二十七条　城市道路范围内禁止下列行为：</w:t>
            </w:r>
            <w:r>
              <w:rPr>
                <w:color w:val="000000"/>
                <w:kern w:val="0"/>
                <w:sz w:val="18"/>
                <w:szCs w:val="18"/>
              </w:rPr>
              <w:t xml:space="preserve"> </w:t>
            </w:r>
            <w:r>
              <w:rPr>
                <w:color w:val="000000"/>
                <w:kern w:val="0"/>
                <w:sz w:val="18"/>
                <w:szCs w:val="18"/>
              </w:rPr>
              <w:br w:type="textWrapping"/>
            </w: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擅自在城市道路上建设建筑物、构筑物；</w:t>
            </w:r>
            <w:r>
              <w:rPr>
                <w:color w:val="000000"/>
                <w:kern w:val="0"/>
                <w:sz w:val="18"/>
                <w:szCs w:val="18"/>
              </w:rPr>
              <w:br w:type="textWrapping"/>
            </w:r>
            <w:r>
              <w:rPr>
                <w:rFonts w:hint="eastAsia"/>
                <w:color w:val="000000"/>
                <w:kern w:val="0"/>
                <w:sz w:val="18"/>
                <w:szCs w:val="18"/>
              </w:rPr>
              <w:t>第四十二条　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14:paraId="225081B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EA27442">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264C0678">
            <w:pPr>
              <w:spacing w:line="320" w:lineRule="exact"/>
              <w:jc w:val="left"/>
              <w:rPr>
                <w:color w:val="000000"/>
                <w:kern w:val="0"/>
                <w:sz w:val="18"/>
                <w:szCs w:val="18"/>
              </w:rPr>
            </w:pPr>
            <w:r>
              <w:rPr>
                <w:rFonts w:hint="eastAsia"/>
                <w:color w:val="000000"/>
                <w:kern w:val="0"/>
                <w:sz w:val="18"/>
                <w:szCs w:val="18"/>
              </w:rPr>
              <w:t>罚款</w:t>
            </w:r>
          </w:p>
        </w:tc>
      </w:tr>
      <w:tr w14:paraId="7B2611AE">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52589C0">
            <w:pPr>
              <w:spacing w:line="320" w:lineRule="exact"/>
              <w:jc w:val="center"/>
              <w:rPr>
                <w:color w:val="000000"/>
                <w:kern w:val="0"/>
                <w:sz w:val="18"/>
                <w:szCs w:val="18"/>
              </w:rPr>
            </w:pPr>
            <w:r>
              <w:rPr>
                <w:rFonts w:hint="eastAsia"/>
                <w:color w:val="000000"/>
                <w:kern w:val="0"/>
                <w:sz w:val="18"/>
                <w:szCs w:val="18"/>
              </w:rPr>
              <w:t>裁量基准</w:t>
            </w:r>
          </w:p>
        </w:tc>
      </w:tr>
      <w:tr w14:paraId="13EC01F3">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4266190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31BF965">
            <w:pPr>
              <w:spacing w:line="320" w:lineRule="exact"/>
              <w:jc w:val="left"/>
              <w:rPr>
                <w:color w:val="000000"/>
                <w:kern w:val="0"/>
                <w:sz w:val="18"/>
                <w:szCs w:val="18"/>
              </w:rPr>
            </w:pPr>
            <w:r>
              <w:rPr>
                <w:rFonts w:hint="eastAsia"/>
                <w:color w:val="000000"/>
                <w:kern w:val="0"/>
                <w:sz w:val="18"/>
                <w:szCs w:val="18"/>
              </w:rPr>
              <w:t>按照要求改正但未成损失的</w:t>
            </w:r>
          </w:p>
        </w:tc>
        <w:tc>
          <w:tcPr>
            <w:tcW w:w="1080" w:type="dxa"/>
            <w:vMerge w:val="restart"/>
            <w:tcBorders>
              <w:top w:val="nil"/>
              <w:left w:val="single" w:color="auto" w:sz="4" w:space="0"/>
              <w:right w:val="single" w:color="auto" w:sz="4" w:space="0"/>
            </w:tcBorders>
            <w:vAlign w:val="center"/>
          </w:tcPr>
          <w:p w14:paraId="4F2A79A4">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573573C5">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元以下罚款</w:t>
            </w:r>
          </w:p>
        </w:tc>
      </w:tr>
      <w:tr w14:paraId="0E419867">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right w:val="single" w:color="auto" w:sz="4" w:space="0"/>
            </w:tcBorders>
            <w:vAlign w:val="center"/>
          </w:tcPr>
          <w:p w14:paraId="5BFCDC1D">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2C2725B">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top w:val="nil"/>
              <w:left w:val="single" w:color="auto" w:sz="4" w:space="0"/>
              <w:right w:val="single" w:color="auto" w:sz="4" w:space="0"/>
            </w:tcBorders>
            <w:vAlign w:val="center"/>
          </w:tcPr>
          <w:p w14:paraId="788F3EE7">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5C6F0CD">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元以上5000元以下罚款</w:t>
            </w:r>
          </w:p>
        </w:tc>
      </w:tr>
      <w:tr w14:paraId="57ED5F9C">
        <w:tblPrEx>
          <w:tblCellMar>
            <w:top w:w="0" w:type="dxa"/>
            <w:left w:w="108" w:type="dxa"/>
            <w:bottom w:w="0" w:type="dxa"/>
            <w:right w:w="108" w:type="dxa"/>
          </w:tblCellMar>
        </w:tblPrEx>
        <w:trPr>
          <w:trHeight w:val="330" w:hRule="atLeast"/>
        </w:trPr>
        <w:tc>
          <w:tcPr>
            <w:tcW w:w="1070" w:type="dxa"/>
            <w:vMerge w:val="continue"/>
            <w:tcBorders>
              <w:left w:val="single" w:color="auto" w:sz="8" w:space="0"/>
              <w:right w:val="single" w:color="auto" w:sz="4" w:space="0"/>
            </w:tcBorders>
            <w:vAlign w:val="center"/>
          </w:tcPr>
          <w:p w14:paraId="79605B9B">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B3389D0">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continue"/>
            <w:tcBorders>
              <w:left w:val="single" w:color="auto" w:sz="4" w:space="0"/>
              <w:right w:val="single" w:color="auto" w:sz="4" w:space="0"/>
            </w:tcBorders>
            <w:vAlign w:val="center"/>
          </w:tcPr>
          <w:p w14:paraId="3882CFC6">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402CC8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34C898D8">
        <w:tblPrEx>
          <w:tblCellMar>
            <w:top w:w="0" w:type="dxa"/>
            <w:left w:w="108" w:type="dxa"/>
            <w:bottom w:w="0" w:type="dxa"/>
            <w:right w:w="108" w:type="dxa"/>
          </w:tblCellMar>
        </w:tblPrEx>
        <w:trPr>
          <w:trHeight w:val="295" w:hRule="atLeast"/>
        </w:trPr>
        <w:tc>
          <w:tcPr>
            <w:tcW w:w="1070" w:type="dxa"/>
            <w:vMerge w:val="continue"/>
            <w:tcBorders>
              <w:left w:val="single" w:color="auto" w:sz="8" w:space="0"/>
              <w:bottom w:val="single" w:color="auto" w:sz="4" w:space="0"/>
              <w:right w:val="single" w:color="auto" w:sz="4" w:space="0"/>
            </w:tcBorders>
            <w:vAlign w:val="center"/>
          </w:tcPr>
          <w:p w14:paraId="567D03B0">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69ADD09">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084EB385">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702EA23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3938BBC1"/>
    <w:p w14:paraId="0140B812"/>
    <w:p w14:paraId="6F8F2A0D"/>
    <w:p w14:paraId="644EF01A"/>
    <w:p w14:paraId="58855F48"/>
    <w:p w14:paraId="58B00FB1"/>
    <w:p w14:paraId="7EF10855"/>
    <w:p w14:paraId="29F234C3"/>
    <w:p w14:paraId="6C29AF2D"/>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3070"/>
        <w:gridCol w:w="3070"/>
        <w:gridCol w:w="1080"/>
        <w:gridCol w:w="5820"/>
      </w:tblGrid>
      <w:tr w14:paraId="1F26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4B3045D">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14:paraId="72782964">
            <w:pPr>
              <w:spacing w:line="320" w:lineRule="exact"/>
              <w:jc w:val="left"/>
              <w:rPr>
                <w:rFonts w:eastAsia="仿宋_GB2312"/>
                <w:b/>
                <w:bCs/>
                <w:color w:val="000000"/>
                <w:kern w:val="0"/>
                <w:sz w:val="18"/>
                <w:szCs w:val="18"/>
              </w:rPr>
            </w:pPr>
            <w:r>
              <w:rPr>
                <w:rFonts w:eastAsia="仿宋_GB2312"/>
                <w:b/>
                <w:bCs/>
                <w:color w:val="000000"/>
                <w:kern w:val="0"/>
                <w:sz w:val="18"/>
                <w:szCs w:val="18"/>
              </w:rPr>
              <w:t>320217437000</w:t>
            </w:r>
            <w:r>
              <w:rPr>
                <w:rFonts w:hint="eastAsia" w:eastAsia="仿宋_GB2312"/>
                <w:b/>
                <w:bCs/>
                <w:color w:val="000000"/>
                <w:kern w:val="0"/>
                <w:sz w:val="18"/>
                <w:szCs w:val="18"/>
              </w:rPr>
              <w:t xml:space="preserve"> </w:t>
            </w:r>
          </w:p>
        </w:tc>
      </w:tr>
      <w:tr w14:paraId="623D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2E13025D">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14:paraId="52D73612">
            <w:pPr>
              <w:spacing w:line="320" w:lineRule="exact"/>
              <w:jc w:val="left"/>
              <w:rPr>
                <w:color w:val="000000"/>
                <w:kern w:val="0"/>
                <w:sz w:val="18"/>
                <w:szCs w:val="18"/>
              </w:rPr>
            </w:pPr>
            <w:r>
              <w:rPr>
                <w:rFonts w:hint="eastAsia"/>
                <w:color w:val="000000"/>
                <w:kern w:val="0"/>
                <w:sz w:val="18"/>
                <w:szCs w:val="18"/>
              </w:rPr>
              <w:t>建筑材料、设备、构配件以及预拌混凝土、砂浆供应单位未在资质或者营业执照范围内供应合格的建筑材料、设备、构配件以及预拌混凝土、砂浆的</w:t>
            </w:r>
          </w:p>
        </w:tc>
      </w:tr>
      <w:tr w14:paraId="5F8F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3D2E5586">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14:paraId="5DA8CC46">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6545B2B6">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14:paraId="24AFF8D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（一）在资质或者营业执照范围内供应合格的建筑材料、设备、构配件以及预拌混凝土、砂浆。</w:t>
            </w:r>
          </w:p>
          <w:p w14:paraId="624DF93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3E67169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（一）未在资质或者营业执照范围内供应合格的建筑材料、设备、构配件以及预拌混凝土、砂浆的。</w:t>
            </w:r>
          </w:p>
        </w:tc>
      </w:tr>
      <w:tr w14:paraId="6013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1471C7D5">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14:paraId="1C9B54BD">
            <w:pPr>
              <w:spacing w:line="320" w:lineRule="exact"/>
              <w:jc w:val="left"/>
              <w:rPr>
                <w:color w:val="000000"/>
                <w:kern w:val="0"/>
                <w:sz w:val="18"/>
                <w:szCs w:val="18"/>
              </w:rPr>
            </w:pPr>
            <w:r>
              <w:rPr>
                <w:rFonts w:hint="eastAsia"/>
                <w:color w:val="000000"/>
                <w:kern w:val="0"/>
                <w:sz w:val="18"/>
                <w:szCs w:val="18"/>
              </w:rPr>
              <w:t>罚款</w:t>
            </w:r>
          </w:p>
        </w:tc>
      </w:tr>
      <w:tr w14:paraId="6F31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5"/>
            <w:vAlign w:val="center"/>
          </w:tcPr>
          <w:p w14:paraId="0DBE69A8">
            <w:pPr>
              <w:spacing w:line="320" w:lineRule="exact"/>
              <w:jc w:val="center"/>
              <w:rPr>
                <w:color w:val="000000"/>
                <w:kern w:val="0"/>
                <w:sz w:val="18"/>
                <w:szCs w:val="18"/>
              </w:rPr>
            </w:pPr>
            <w:r>
              <w:rPr>
                <w:rFonts w:hint="eastAsia"/>
                <w:color w:val="000000"/>
                <w:kern w:val="0"/>
                <w:sz w:val="18"/>
                <w:szCs w:val="18"/>
              </w:rPr>
              <w:t>裁量基准</w:t>
            </w:r>
          </w:p>
        </w:tc>
      </w:tr>
      <w:tr w14:paraId="7DE8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7DB636B4">
            <w:pPr>
              <w:spacing w:line="320" w:lineRule="exact"/>
              <w:jc w:val="center"/>
              <w:rPr>
                <w:color w:val="000000"/>
                <w:kern w:val="0"/>
                <w:sz w:val="18"/>
                <w:szCs w:val="18"/>
              </w:rPr>
            </w:pPr>
            <w:r>
              <w:rPr>
                <w:rFonts w:hint="eastAsia"/>
                <w:color w:val="000000"/>
                <w:kern w:val="0"/>
                <w:sz w:val="18"/>
                <w:szCs w:val="18"/>
              </w:rPr>
              <w:t>情形描述</w:t>
            </w:r>
          </w:p>
        </w:tc>
        <w:tc>
          <w:tcPr>
            <w:tcW w:w="3070" w:type="dxa"/>
            <w:vMerge w:val="restart"/>
            <w:vAlign w:val="center"/>
          </w:tcPr>
          <w:p w14:paraId="07A596E7">
            <w:pPr>
              <w:spacing w:line="320" w:lineRule="exact"/>
              <w:jc w:val="left"/>
              <w:rPr>
                <w:color w:val="000000"/>
                <w:kern w:val="0"/>
                <w:sz w:val="18"/>
                <w:szCs w:val="18"/>
              </w:rPr>
            </w:pPr>
            <w:r>
              <w:rPr>
                <w:rFonts w:hint="eastAsia"/>
                <w:color w:val="000000"/>
                <w:kern w:val="0"/>
                <w:sz w:val="18"/>
                <w:szCs w:val="18"/>
              </w:rPr>
              <w:t>超出资质或者营业执照范围供应的建筑材料、设备、构配件以及预拌混凝土、砂浆合格</w:t>
            </w:r>
          </w:p>
        </w:tc>
        <w:tc>
          <w:tcPr>
            <w:tcW w:w="3070" w:type="dxa"/>
            <w:vAlign w:val="center"/>
          </w:tcPr>
          <w:p w14:paraId="5333F740">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14:paraId="374ED05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3ACC80D3">
            <w:pPr>
              <w:spacing w:line="320" w:lineRule="exact"/>
              <w:jc w:val="left"/>
              <w:rPr>
                <w:color w:val="000000"/>
                <w:kern w:val="0"/>
                <w:sz w:val="18"/>
                <w:szCs w:val="18"/>
              </w:rPr>
            </w:pPr>
            <w:r>
              <w:rPr>
                <w:rFonts w:hint="eastAsia"/>
                <w:color w:val="000000"/>
                <w:kern w:val="0"/>
                <w:sz w:val="18"/>
                <w:szCs w:val="18"/>
              </w:rPr>
              <w:t>不处罚款</w:t>
            </w:r>
          </w:p>
        </w:tc>
      </w:tr>
      <w:tr w14:paraId="28CC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046333A8">
            <w:pPr>
              <w:spacing w:line="320" w:lineRule="exact"/>
              <w:jc w:val="center"/>
              <w:rPr>
                <w:color w:val="000000"/>
                <w:kern w:val="0"/>
                <w:sz w:val="18"/>
                <w:szCs w:val="18"/>
              </w:rPr>
            </w:pPr>
          </w:p>
        </w:tc>
        <w:tc>
          <w:tcPr>
            <w:tcW w:w="3070" w:type="dxa"/>
            <w:vMerge w:val="continue"/>
            <w:vAlign w:val="center"/>
          </w:tcPr>
          <w:p w14:paraId="4FC13185">
            <w:pPr>
              <w:spacing w:line="320" w:lineRule="exact"/>
              <w:jc w:val="left"/>
              <w:rPr>
                <w:color w:val="000000"/>
                <w:kern w:val="0"/>
                <w:sz w:val="18"/>
                <w:szCs w:val="18"/>
              </w:rPr>
            </w:pPr>
          </w:p>
        </w:tc>
        <w:tc>
          <w:tcPr>
            <w:tcW w:w="3070" w:type="dxa"/>
            <w:vAlign w:val="center"/>
          </w:tcPr>
          <w:p w14:paraId="441F3590">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3B1251E2">
            <w:pPr>
              <w:spacing w:line="320" w:lineRule="exact"/>
              <w:jc w:val="center"/>
              <w:rPr>
                <w:color w:val="000000"/>
                <w:kern w:val="0"/>
                <w:sz w:val="18"/>
                <w:szCs w:val="18"/>
              </w:rPr>
            </w:pPr>
          </w:p>
        </w:tc>
        <w:tc>
          <w:tcPr>
            <w:tcW w:w="5820" w:type="dxa"/>
            <w:vAlign w:val="center"/>
          </w:tcPr>
          <w:p w14:paraId="076726F9">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2462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A14DAD7">
            <w:pPr>
              <w:spacing w:line="320" w:lineRule="exact"/>
              <w:jc w:val="center"/>
              <w:rPr>
                <w:color w:val="000000"/>
                <w:kern w:val="0"/>
                <w:sz w:val="18"/>
                <w:szCs w:val="18"/>
              </w:rPr>
            </w:pPr>
          </w:p>
        </w:tc>
        <w:tc>
          <w:tcPr>
            <w:tcW w:w="3070" w:type="dxa"/>
            <w:vMerge w:val="restart"/>
            <w:vAlign w:val="center"/>
          </w:tcPr>
          <w:p w14:paraId="148DDF3F">
            <w:pPr>
              <w:spacing w:line="320" w:lineRule="exact"/>
              <w:jc w:val="left"/>
              <w:rPr>
                <w:color w:val="000000"/>
                <w:kern w:val="0"/>
                <w:sz w:val="18"/>
                <w:szCs w:val="18"/>
              </w:rPr>
            </w:pPr>
            <w:r>
              <w:rPr>
                <w:rFonts w:hint="eastAsia"/>
                <w:color w:val="000000"/>
                <w:kern w:val="0"/>
                <w:sz w:val="18"/>
                <w:szCs w:val="18"/>
              </w:rPr>
              <w:t>超出资质或者营业执照范围供应的建筑材料、设备、构配件以及预拌混凝土、砂浆不合格</w:t>
            </w:r>
          </w:p>
        </w:tc>
        <w:tc>
          <w:tcPr>
            <w:tcW w:w="3070" w:type="dxa"/>
            <w:vAlign w:val="center"/>
          </w:tcPr>
          <w:p w14:paraId="6E432594">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continue"/>
            <w:vAlign w:val="center"/>
          </w:tcPr>
          <w:p w14:paraId="155562A1">
            <w:pPr>
              <w:spacing w:line="320" w:lineRule="exact"/>
              <w:jc w:val="center"/>
              <w:rPr>
                <w:color w:val="000000"/>
                <w:kern w:val="0"/>
                <w:sz w:val="18"/>
                <w:szCs w:val="18"/>
              </w:rPr>
            </w:pPr>
          </w:p>
        </w:tc>
        <w:tc>
          <w:tcPr>
            <w:tcW w:w="5820" w:type="dxa"/>
            <w:vAlign w:val="center"/>
          </w:tcPr>
          <w:p w14:paraId="6754002A">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6239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496A38E5">
            <w:pPr>
              <w:spacing w:line="320" w:lineRule="exact"/>
              <w:jc w:val="center"/>
              <w:rPr>
                <w:color w:val="000000"/>
                <w:kern w:val="0"/>
                <w:sz w:val="18"/>
                <w:szCs w:val="18"/>
              </w:rPr>
            </w:pPr>
          </w:p>
        </w:tc>
        <w:tc>
          <w:tcPr>
            <w:tcW w:w="3070" w:type="dxa"/>
            <w:vMerge w:val="continue"/>
            <w:vAlign w:val="center"/>
          </w:tcPr>
          <w:p w14:paraId="6898C183">
            <w:pPr>
              <w:spacing w:line="320" w:lineRule="exact"/>
              <w:jc w:val="left"/>
              <w:rPr>
                <w:color w:val="000000"/>
                <w:kern w:val="0"/>
                <w:sz w:val="18"/>
                <w:szCs w:val="18"/>
              </w:rPr>
            </w:pPr>
          </w:p>
        </w:tc>
        <w:tc>
          <w:tcPr>
            <w:tcW w:w="3070" w:type="dxa"/>
            <w:vAlign w:val="center"/>
          </w:tcPr>
          <w:p w14:paraId="25017DF9">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0BC1C312">
            <w:pPr>
              <w:spacing w:line="320" w:lineRule="exact"/>
              <w:jc w:val="center"/>
              <w:rPr>
                <w:color w:val="000000"/>
                <w:kern w:val="0"/>
                <w:sz w:val="18"/>
                <w:szCs w:val="18"/>
              </w:rPr>
            </w:pPr>
          </w:p>
        </w:tc>
        <w:tc>
          <w:tcPr>
            <w:tcW w:w="5820" w:type="dxa"/>
            <w:vAlign w:val="center"/>
          </w:tcPr>
          <w:p w14:paraId="1A8E9EBA">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75EAF607"/>
    <w:p w14:paraId="45FC0C3B"/>
    <w:p w14:paraId="31A5B45D"/>
    <w:p w14:paraId="716BCEFA"/>
    <w:p w14:paraId="7369B327"/>
    <w:p w14:paraId="17EAD328"/>
    <w:p w14:paraId="1B424BDA"/>
    <w:p w14:paraId="1B99ADCC"/>
    <w:p w14:paraId="1365D463"/>
    <w:p w14:paraId="08F28D32"/>
    <w:tbl>
      <w:tblPr>
        <w:tblStyle w:val="15"/>
        <w:tblW w:w="0" w:type="auto"/>
        <w:tblInd w:w="93" w:type="dxa"/>
        <w:tblLayout w:type="fixed"/>
        <w:tblCellMar>
          <w:top w:w="0" w:type="dxa"/>
          <w:left w:w="108" w:type="dxa"/>
          <w:bottom w:w="0" w:type="dxa"/>
          <w:right w:w="108" w:type="dxa"/>
        </w:tblCellMar>
      </w:tblPr>
      <w:tblGrid>
        <w:gridCol w:w="1035"/>
        <w:gridCol w:w="6140"/>
        <w:gridCol w:w="1120"/>
        <w:gridCol w:w="5730"/>
      </w:tblGrid>
      <w:tr w14:paraId="1B0E9C4C">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74539F0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3659C4B3">
            <w:pPr>
              <w:spacing w:line="320" w:lineRule="exact"/>
              <w:jc w:val="left"/>
              <w:rPr>
                <w:rFonts w:eastAsia="仿宋_GB2312"/>
                <w:b/>
                <w:bCs/>
                <w:color w:val="000000"/>
                <w:kern w:val="0"/>
                <w:sz w:val="18"/>
                <w:szCs w:val="18"/>
              </w:rPr>
            </w:pPr>
            <w:r>
              <w:rPr>
                <w:rFonts w:eastAsia="仿宋_GB2312"/>
                <w:b/>
                <w:bCs/>
                <w:color w:val="000000"/>
                <w:kern w:val="0"/>
                <w:sz w:val="18"/>
                <w:szCs w:val="18"/>
              </w:rPr>
              <w:t>320217441000</w:t>
            </w:r>
            <w:r>
              <w:rPr>
                <w:rFonts w:hint="eastAsia" w:eastAsia="仿宋_GB2312"/>
                <w:b/>
                <w:bCs/>
                <w:color w:val="000000"/>
                <w:kern w:val="0"/>
                <w:sz w:val="18"/>
                <w:szCs w:val="18"/>
              </w:rPr>
              <w:t xml:space="preserve"> </w:t>
            </w:r>
          </w:p>
        </w:tc>
      </w:tr>
      <w:tr w14:paraId="3B5B2B8D">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462AFA56">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3DA093D8">
            <w:pPr>
              <w:spacing w:line="320" w:lineRule="exact"/>
              <w:jc w:val="left"/>
              <w:rPr>
                <w:color w:val="000000"/>
                <w:kern w:val="0"/>
                <w:sz w:val="18"/>
                <w:szCs w:val="18"/>
              </w:rPr>
            </w:pPr>
            <w:r>
              <w:rPr>
                <w:rFonts w:hint="eastAsia"/>
                <w:color w:val="000000"/>
                <w:kern w:val="0"/>
                <w:sz w:val="18"/>
                <w:szCs w:val="18"/>
              </w:rPr>
              <w:t>对涂改、出租、出借、转让、出卖房地产开发企业资质证书的处罚</w:t>
            </w:r>
          </w:p>
        </w:tc>
      </w:tr>
      <w:tr w14:paraId="6AD1530A">
        <w:tblPrEx>
          <w:tblCellMar>
            <w:top w:w="0" w:type="dxa"/>
            <w:left w:w="108" w:type="dxa"/>
            <w:bottom w:w="0" w:type="dxa"/>
            <w:right w:w="108" w:type="dxa"/>
          </w:tblCellMar>
        </w:tblPrEx>
        <w:trPr>
          <w:trHeight w:val="1035" w:hRule="atLeast"/>
        </w:trPr>
        <w:tc>
          <w:tcPr>
            <w:tcW w:w="1035" w:type="dxa"/>
            <w:tcBorders>
              <w:top w:val="nil"/>
              <w:left w:val="single" w:color="auto" w:sz="8" w:space="0"/>
              <w:bottom w:val="single" w:color="auto" w:sz="4" w:space="0"/>
              <w:right w:val="single" w:color="auto" w:sz="4" w:space="0"/>
            </w:tcBorders>
            <w:vAlign w:val="center"/>
          </w:tcPr>
          <w:p w14:paraId="30A99F94">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30DF0ED6">
            <w:pPr>
              <w:spacing w:line="320" w:lineRule="exact"/>
              <w:jc w:val="left"/>
              <w:rPr>
                <w:color w:val="000000"/>
                <w:kern w:val="0"/>
                <w:sz w:val="18"/>
                <w:szCs w:val="18"/>
              </w:rPr>
            </w:pPr>
            <w:r>
              <w:rPr>
                <w:rFonts w:hint="eastAsia"/>
                <w:color w:val="000000"/>
                <w:kern w:val="0"/>
                <w:sz w:val="18"/>
                <w:szCs w:val="18"/>
              </w:rPr>
              <w:t>【规章】《房地产开发企业资质管理规定》（建设部令第77号，住房和城乡建设部令第24号、第45号、第54号修正）</w:t>
            </w:r>
          </w:p>
          <w:p w14:paraId="20F778FB">
            <w:pPr>
              <w:spacing w:line="320" w:lineRule="exact"/>
              <w:jc w:val="left"/>
              <w:rPr>
                <w:color w:val="000000"/>
                <w:kern w:val="0"/>
                <w:sz w:val="18"/>
                <w:szCs w:val="18"/>
              </w:rPr>
            </w:pPr>
            <w:r>
              <w:rPr>
                <w:rFonts w:hint="eastAsia"/>
                <w:color w:val="000000"/>
                <w:kern w:val="0"/>
                <w:sz w:val="18"/>
                <w:szCs w:val="18"/>
              </w:rPr>
              <w:t>　第十条　任何单位和个人不得涂改、出租、出借、转让、出卖资质证书。</w:t>
            </w:r>
          </w:p>
          <w:p w14:paraId="6FE8A704">
            <w:pPr>
              <w:spacing w:line="320" w:lineRule="exact"/>
              <w:jc w:val="left"/>
              <w:rPr>
                <w:color w:val="000000"/>
                <w:kern w:val="0"/>
                <w:sz w:val="18"/>
                <w:szCs w:val="18"/>
              </w:rPr>
            </w:pPr>
            <w:r>
              <w:rPr>
                <w:rFonts w:hint="eastAsia"/>
                <w:color w:val="000000"/>
                <w:kern w:val="0"/>
                <w:sz w:val="18"/>
                <w:szCs w:val="18"/>
              </w:rPr>
              <w:t>　　企业遗失资质证书，必须在新闻媒体上声明作废后，方可补领。</w:t>
            </w:r>
          </w:p>
          <w:p w14:paraId="55A39311">
            <w:pPr>
              <w:spacing w:line="320" w:lineRule="exact"/>
              <w:jc w:val="left"/>
              <w:rPr>
                <w:color w:val="000000"/>
                <w:kern w:val="0"/>
                <w:sz w:val="18"/>
                <w:szCs w:val="18"/>
              </w:rPr>
            </w:pPr>
            <w:r>
              <w:rPr>
                <w:rFonts w:hint="eastAsia"/>
                <w:color w:val="000000"/>
                <w:kern w:val="0"/>
                <w:sz w:val="18"/>
                <w:szCs w:val="18"/>
              </w:rPr>
              <w:t>　第十八条　企业有下列行为之一的，由原资质审批部门按照《中华人民共和国行政许可法》等法律法规规定予以处理，并可处以1万元以上3万元以下的罚款：</w:t>
            </w:r>
          </w:p>
          <w:p w14:paraId="27B7021D">
            <w:pPr>
              <w:spacing w:line="320" w:lineRule="exact"/>
              <w:jc w:val="left"/>
              <w:rPr>
                <w:color w:val="000000"/>
                <w:kern w:val="0"/>
                <w:sz w:val="18"/>
                <w:szCs w:val="18"/>
              </w:rPr>
            </w:pPr>
            <w:r>
              <w:rPr>
                <w:rFonts w:hint="eastAsia"/>
                <w:color w:val="000000"/>
                <w:kern w:val="0"/>
                <w:sz w:val="18"/>
                <w:szCs w:val="18"/>
              </w:rPr>
              <w:t>　　（二）涂改、出租、出借、转让、出卖资质证书的。</w:t>
            </w:r>
          </w:p>
        </w:tc>
      </w:tr>
      <w:tr w14:paraId="565CF5C0">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6A1E24A7">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378179DE">
            <w:pPr>
              <w:spacing w:line="320" w:lineRule="exact"/>
              <w:jc w:val="left"/>
              <w:rPr>
                <w:color w:val="000000"/>
                <w:kern w:val="0"/>
                <w:sz w:val="18"/>
                <w:szCs w:val="18"/>
              </w:rPr>
            </w:pPr>
            <w:r>
              <w:rPr>
                <w:rFonts w:hint="eastAsia"/>
                <w:color w:val="000000"/>
                <w:kern w:val="0"/>
                <w:sz w:val="18"/>
                <w:szCs w:val="18"/>
              </w:rPr>
              <w:t>罚款</w:t>
            </w:r>
          </w:p>
        </w:tc>
      </w:tr>
      <w:tr w14:paraId="32B02819">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1C6A146B">
            <w:pPr>
              <w:spacing w:line="320" w:lineRule="exact"/>
              <w:jc w:val="center"/>
              <w:rPr>
                <w:color w:val="000000"/>
                <w:kern w:val="0"/>
                <w:sz w:val="18"/>
                <w:szCs w:val="18"/>
              </w:rPr>
            </w:pPr>
            <w:r>
              <w:rPr>
                <w:rFonts w:hint="eastAsia"/>
                <w:color w:val="000000"/>
                <w:kern w:val="0"/>
                <w:sz w:val="18"/>
                <w:szCs w:val="18"/>
              </w:rPr>
              <w:t>裁量基准</w:t>
            </w:r>
          </w:p>
        </w:tc>
      </w:tr>
      <w:tr w14:paraId="5B7C1D03">
        <w:tblPrEx>
          <w:tblCellMar>
            <w:top w:w="0" w:type="dxa"/>
            <w:left w:w="108" w:type="dxa"/>
            <w:bottom w:w="0" w:type="dxa"/>
            <w:right w:w="108" w:type="dxa"/>
          </w:tblCellMar>
        </w:tblPrEx>
        <w:trPr>
          <w:trHeight w:val="650" w:hRule="atLeast"/>
        </w:trPr>
        <w:tc>
          <w:tcPr>
            <w:tcW w:w="1035" w:type="dxa"/>
            <w:vMerge w:val="restart"/>
            <w:tcBorders>
              <w:top w:val="nil"/>
              <w:left w:val="single" w:color="auto" w:sz="8" w:space="0"/>
              <w:bottom w:val="single" w:color="auto" w:sz="4" w:space="0"/>
              <w:right w:val="single" w:color="auto" w:sz="4" w:space="0"/>
            </w:tcBorders>
            <w:vAlign w:val="center"/>
          </w:tcPr>
          <w:p w14:paraId="0DDBA83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6B6A1A14">
            <w:pPr>
              <w:spacing w:line="320" w:lineRule="exact"/>
              <w:jc w:val="left"/>
              <w:rPr>
                <w:color w:val="000000"/>
                <w:kern w:val="0"/>
                <w:sz w:val="18"/>
                <w:szCs w:val="18"/>
              </w:rPr>
            </w:pPr>
            <w:r>
              <w:rPr>
                <w:rFonts w:hint="eastAsia"/>
                <w:color w:val="000000"/>
                <w:kern w:val="0"/>
                <w:sz w:val="18"/>
                <w:szCs w:val="18"/>
              </w:rPr>
              <w:t>没有违法所得，有危害后果的</w:t>
            </w:r>
          </w:p>
        </w:tc>
        <w:tc>
          <w:tcPr>
            <w:tcW w:w="1120" w:type="dxa"/>
            <w:vMerge w:val="restart"/>
            <w:tcBorders>
              <w:top w:val="nil"/>
              <w:left w:val="single" w:color="auto" w:sz="4" w:space="0"/>
              <w:bottom w:val="single" w:color="auto" w:sz="4" w:space="0"/>
              <w:right w:val="single" w:color="auto" w:sz="4" w:space="0"/>
            </w:tcBorders>
            <w:vAlign w:val="center"/>
          </w:tcPr>
          <w:p w14:paraId="523D8C6A">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single" w:color="auto" w:sz="4" w:space="0"/>
              <w:left w:val="nil"/>
              <w:bottom w:val="single" w:color="auto" w:sz="4" w:space="0"/>
              <w:right w:val="single" w:color="auto" w:sz="4" w:space="0"/>
            </w:tcBorders>
            <w:vAlign w:val="center"/>
          </w:tcPr>
          <w:p w14:paraId="420A6AA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27F57308">
        <w:tblPrEx>
          <w:tblCellMar>
            <w:top w:w="0" w:type="dxa"/>
            <w:left w:w="108" w:type="dxa"/>
            <w:bottom w:w="0" w:type="dxa"/>
            <w:right w:w="108" w:type="dxa"/>
          </w:tblCellMar>
        </w:tblPrEx>
        <w:trPr>
          <w:trHeight w:val="660" w:hRule="atLeast"/>
        </w:trPr>
        <w:tc>
          <w:tcPr>
            <w:tcW w:w="1035" w:type="dxa"/>
            <w:vMerge w:val="continue"/>
            <w:tcBorders>
              <w:top w:val="nil"/>
              <w:left w:val="single" w:color="auto" w:sz="8" w:space="0"/>
              <w:bottom w:val="single" w:color="auto" w:sz="4" w:space="0"/>
              <w:right w:val="single" w:color="auto" w:sz="4" w:space="0"/>
            </w:tcBorders>
            <w:vAlign w:val="center"/>
          </w:tcPr>
          <w:p w14:paraId="5B3BDD3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7861296">
            <w:pPr>
              <w:spacing w:line="320" w:lineRule="exact"/>
              <w:jc w:val="left"/>
              <w:rPr>
                <w:color w:val="000000"/>
                <w:kern w:val="0"/>
                <w:sz w:val="18"/>
                <w:szCs w:val="18"/>
              </w:rPr>
            </w:pPr>
            <w:r>
              <w:rPr>
                <w:rFonts w:hint="eastAsia"/>
                <w:color w:val="000000"/>
                <w:kern w:val="0"/>
                <w:sz w:val="18"/>
                <w:szCs w:val="18"/>
              </w:rPr>
              <w:t>有违法所得的</w:t>
            </w:r>
          </w:p>
        </w:tc>
        <w:tc>
          <w:tcPr>
            <w:tcW w:w="1120" w:type="dxa"/>
            <w:vMerge w:val="continue"/>
            <w:tcBorders>
              <w:top w:val="nil"/>
              <w:left w:val="single" w:color="auto" w:sz="4" w:space="0"/>
              <w:bottom w:val="single" w:color="auto" w:sz="4" w:space="0"/>
              <w:right w:val="single" w:color="auto" w:sz="4" w:space="0"/>
            </w:tcBorders>
            <w:vAlign w:val="center"/>
          </w:tcPr>
          <w:p w14:paraId="69F190CC">
            <w:pPr>
              <w:spacing w:line="320" w:lineRule="exact"/>
              <w:jc w:val="left"/>
              <w:rPr>
                <w:color w:val="000000"/>
                <w:kern w:val="0"/>
                <w:sz w:val="18"/>
                <w:szCs w:val="18"/>
              </w:rPr>
            </w:pPr>
          </w:p>
        </w:tc>
        <w:tc>
          <w:tcPr>
            <w:tcW w:w="5730" w:type="dxa"/>
            <w:tcBorders>
              <w:top w:val="single" w:color="auto" w:sz="4" w:space="0"/>
              <w:left w:val="nil"/>
              <w:bottom w:val="single" w:color="auto" w:sz="4" w:space="0"/>
              <w:right w:val="single" w:color="auto" w:sz="4" w:space="0"/>
            </w:tcBorders>
            <w:vAlign w:val="center"/>
          </w:tcPr>
          <w:p w14:paraId="6AB9665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18CC6CF8"/>
    <w:p w14:paraId="619F2BE6"/>
    <w:p w14:paraId="4373AC96"/>
    <w:p w14:paraId="03E78D1B"/>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740FCE4A">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77B68AEC">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2C90F1A9">
            <w:pPr>
              <w:spacing w:line="320" w:lineRule="exact"/>
              <w:jc w:val="left"/>
              <w:rPr>
                <w:rFonts w:eastAsia="仿宋_GB2312"/>
                <w:b/>
                <w:bCs/>
                <w:color w:val="000000"/>
                <w:kern w:val="0"/>
                <w:sz w:val="18"/>
                <w:szCs w:val="18"/>
              </w:rPr>
            </w:pPr>
            <w:r>
              <w:rPr>
                <w:rFonts w:eastAsia="仿宋_GB2312"/>
                <w:b/>
                <w:bCs/>
                <w:color w:val="000000"/>
                <w:kern w:val="0"/>
                <w:sz w:val="18"/>
                <w:szCs w:val="18"/>
              </w:rPr>
              <w:t>320217443000</w:t>
            </w:r>
          </w:p>
        </w:tc>
      </w:tr>
      <w:tr w14:paraId="467A736C">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20CD62FC">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358BF43A">
            <w:pPr>
              <w:spacing w:line="320" w:lineRule="exact"/>
              <w:jc w:val="left"/>
              <w:rPr>
                <w:color w:val="000000"/>
                <w:kern w:val="0"/>
                <w:sz w:val="18"/>
                <w:szCs w:val="18"/>
              </w:rPr>
            </w:pPr>
            <w:r>
              <w:rPr>
                <w:rFonts w:hint="eastAsia"/>
                <w:color w:val="000000"/>
                <w:kern w:val="0"/>
                <w:sz w:val="18"/>
                <w:szCs w:val="18"/>
              </w:rPr>
              <w:t>对对于实施生产许可证管理的净水剂及与制水有关的材料等，城市供水单位选用未获证企业产品的处罚</w:t>
            </w:r>
          </w:p>
        </w:tc>
      </w:tr>
      <w:tr w14:paraId="7C0AF07F">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33CEB292">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6A34484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14:paraId="10BD118E">
            <w:pPr>
              <w:spacing w:line="320" w:lineRule="exact"/>
              <w:jc w:val="left"/>
              <w:rPr>
                <w:color w:val="000000"/>
                <w:kern w:val="0"/>
                <w:sz w:val="18"/>
                <w:szCs w:val="18"/>
              </w:rPr>
            </w:pPr>
            <w:r>
              <w:rPr>
                <w:rFonts w:hint="eastAsia"/>
                <w:color w:val="000000"/>
                <w:kern w:val="0"/>
                <w:sz w:val="18"/>
                <w:szCs w:val="18"/>
              </w:rPr>
              <w:t>第九条第二款　净水剂及与制水有关的材料等实施生产许可证管理的，城市供水单位应当选用获证企业的产品。</w:t>
            </w:r>
          </w:p>
          <w:p w14:paraId="05A449D7">
            <w:pPr>
              <w:spacing w:line="320" w:lineRule="exact"/>
              <w:jc w:val="left"/>
              <w:rPr>
                <w:color w:val="000000"/>
                <w:kern w:val="0"/>
                <w:sz w:val="18"/>
                <w:szCs w:val="18"/>
              </w:rPr>
            </w:pP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14:paraId="000B732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（三）对于实施生产许可证管理的净水剂及与制水有关的材料等，选用未获证企业产品的。</w:t>
            </w:r>
          </w:p>
        </w:tc>
      </w:tr>
      <w:tr w14:paraId="38FE62DE">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441ADA11">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33ABC8DC">
            <w:pPr>
              <w:spacing w:line="320" w:lineRule="exact"/>
              <w:jc w:val="left"/>
              <w:rPr>
                <w:color w:val="000000"/>
                <w:kern w:val="0"/>
                <w:sz w:val="18"/>
                <w:szCs w:val="18"/>
              </w:rPr>
            </w:pPr>
            <w:r>
              <w:rPr>
                <w:rFonts w:hint="eastAsia"/>
                <w:color w:val="000000"/>
                <w:kern w:val="0"/>
                <w:sz w:val="18"/>
                <w:szCs w:val="18"/>
              </w:rPr>
              <w:t>警告；罚款</w:t>
            </w:r>
          </w:p>
        </w:tc>
      </w:tr>
      <w:tr w14:paraId="3519DCC2">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5AA77D60">
            <w:pPr>
              <w:spacing w:line="320" w:lineRule="exact"/>
              <w:jc w:val="center"/>
              <w:rPr>
                <w:color w:val="000000"/>
                <w:kern w:val="0"/>
                <w:sz w:val="18"/>
                <w:szCs w:val="18"/>
              </w:rPr>
            </w:pPr>
            <w:r>
              <w:rPr>
                <w:rFonts w:hint="eastAsia"/>
                <w:color w:val="000000"/>
                <w:kern w:val="0"/>
                <w:sz w:val="18"/>
                <w:szCs w:val="18"/>
              </w:rPr>
              <w:t>裁量基准</w:t>
            </w:r>
          </w:p>
        </w:tc>
      </w:tr>
      <w:tr w14:paraId="7175E624">
        <w:tblPrEx>
          <w:tblCellMar>
            <w:top w:w="0" w:type="dxa"/>
            <w:left w:w="108" w:type="dxa"/>
            <w:bottom w:w="0" w:type="dxa"/>
            <w:right w:w="108" w:type="dxa"/>
          </w:tblCellMar>
        </w:tblPrEx>
        <w:trPr>
          <w:gridAfter w:val="1"/>
          <w:wAfter w:w="14" w:type="dxa"/>
          <w:trHeight w:val="285" w:hRule="atLeast"/>
        </w:trPr>
        <w:tc>
          <w:tcPr>
            <w:tcW w:w="996" w:type="dxa"/>
            <w:vMerge w:val="restart"/>
            <w:tcBorders>
              <w:top w:val="nil"/>
              <w:left w:val="single" w:color="auto" w:sz="8" w:space="0"/>
              <w:bottom w:val="nil"/>
              <w:right w:val="single" w:color="auto" w:sz="4" w:space="0"/>
            </w:tcBorders>
            <w:vAlign w:val="center"/>
          </w:tcPr>
          <w:p w14:paraId="1AA68834">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color="auto" w:sz="4" w:space="0"/>
              <w:left w:val="nil"/>
              <w:right w:val="single" w:color="auto" w:sz="4" w:space="0"/>
            </w:tcBorders>
            <w:vAlign w:val="center"/>
          </w:tcPr>
          <w:p w14:paraId="5C339686">
            <w:pPr>
              <w:spacing w:line="320" w:lineRule="exact"/>
              <w:jc w:val="left"/>
              <w:rPr>
                <w:color w:val="000000"/>
                <w:kern w:val="0"/>
                <w:sz w:val="18"/>
                <w:szCs w:val="18"/>
              </w:rPr>
            </w:pPr>
          </w:p>
        </w:tc>
        <w:tc>
          <w:tcPr>
            <w:tcW w:w="1139" w:type="dxa"/>
            <w:tcBorders>
              <w:top w:val="nil"/>
              <w:left w:val="single" w:color="auto" w:sz="4" w:space="0"/>
              <w:bottom w:val="nil"/>
              <w:right w:val="single" w:color="auto" w:sz="4" w:space="0"/>
            </w:tcBorders>
            <w:vAlign w:val="center"/>
          </w:tcPr>
          <w:p w14:paraId="6DB5F657">
            <w:pPr>
              <w:spacing w:line="320" w:lineRule="exact"/>
              <w:jc w:val="left"/>
              <w:rPr>
                <w:color w:val="000000"/>
                <w:kern w:val="0"/>
                <w:sz w:val="18"/>
                <w:szCs w:val="18"/>
              </w:rPr>
            </w:pPr>
          </w:p>
        </w:tc>
        <w:tc>
          <w:tcPr>
            <w:tcW w:w="6180" w:type="dxa"/>
            <w:vMerge w:val="restart"/>
            <w:tcBorders>
              <w:top w:val="nil"/>
              <w:left w:val="nil"/>
              <w:right w:val="single" w:color="auto" w:sz="8" w:space="0"/>
            </w:tcBorders>
            <w:vAlign w:val="center"/>
          </w:tcPr>
          <w:p w14:paraId="566C6978">
            <w:pPr>
              <w:spacing w:line="320" w:lineRule="exact"/>
              <w:jc w:val="left"/>
              <w:rPr>
                <w:color w:val="000000"/>
                <w:kern w:val="0"/>
                <w:sz w:val="18"/>
                <w:szCs w:val="18"/>
              </w:rPr>
            </w:pPr>
          </w:p>
        </w:tc>
      </w:tr>
      <w:tr w14:paraId="683EA522">
        <w:tblPrEx>
          <w:tblCellMar>
            <w:top w:w="0" w:type="dxa"/>
            <w:left w:w="108" w:type="dxa"/>
            <w:bottom w:w="0" w:type="dxa"/>
            <w:right w:w="108" w:type="dxa"/>
          </w:tblCellMar>
        </w:tblPrEx>
        <w:trPr>
          <w:gridAfter w:val="1"/>
          <w:wAfter w:w="14" w:type="dxa"/>
          <w:trHeight w:val="285" w:hRule="atLeast"/>
        </w:trPr>
        <w:tc>
          <w:tcPr>
            <w:tcW w:w="996" w:type="dxa"/>
            <w:vMerge w:val="continue"/>
            <w:tcBorders>
              <w:top w:val="nil"/>
              <w:left w:val="single" w:color="auto" w:sz="8" w:space="0"/>
              <w:bottom w:val="nil"/>
              <w:right w:val="single" w:color="auto" w:sz="4" w:space="0"/>
            </w:tcBorders>
            <w:vAlign w:val="center"/>
          </w:tcPr>
          <w:p w14:paraId="1BDF2F61">
            <w:pPr>
              <w:spacing w:line="320" w:lineRule="exact"/>
              <w:jc w:val="left"/>
              <w:rPr>
                <w:color w:val="000000"/>
                <w:kern w:val="0"/>
                <w:sz w:val="18"/>
                <w:szCs w:val="18"/>
              </w:rPr>
            </w:pPr>
          </w:p>
        </w:tc>
        <w:tc>
          <w:tcPr>
            <w:tcW w:w="5701" w:type="dxa"/>
            <w:gridSpan w:val="2"/>
            <w:vMerge w:val="continue"/>
            <w:tcBorders>
              <w:left w:val="nil"/>
              <w:right w:val="single" w:color="auto" w:sz="4" w:space="0"/>
            </w:tcBorders>
            <w:vAlign w:val="center"/>
          </w:tcPr>
          <w:p w14:paraId="446B45C9">
            <w:pPr>
              <w:spacing w:line="320" w:lineRule="exact"/>
              <w:jc w:val="left"/>
              <w:rPr>
                <w:color w:val="000000"/>
                <w:kern w:val="0"/>
                <w:sz w:val="18"/>
                <w:szCs w:val="18"/>
              </w:rPr>
            </w:pPr>
          </w:p>
        </w:tc>
        <w:tc>
          <w:tcPr>
            <w:tcW w:w="1139" w:type="dxa"/>
            <w:tcBorders>
              <w:top w:val="nil"/>
              <w:left w:val="single" w:color="auto" w:sz="4" w:space="0"/>
              <w:bottom w:val="nil"/>
              <w:right w:val="single" w:color="auto" w:sz="4" w:space="0"/>
            </w:tcBorders>
            <w:vAlign w:val="center"/>
          </w:tcPr>
          <w:p w14:paraId="1DCCD27D">
            <w:pPr>
              <w:spacing w:line="320" w:lineRule="exact"/>
              <w:jc w:val="left"/>
              <w:rPr>
                <w:color w:val="000000"/>
                <w:kern w:val="0"/>
                <w:sz w:val="18"/>
                <w:szCs w:val="18"/>
              </w:rPr>
            </w:pPr>
            <w:r>
              <w:rPr>
                <w:rFonts w:hint="eastAsia"/>
                <w:color w:val="000000"/>
                <w:kern w:val="0"/>
                <w:sz w:val="18"/>
                <w:szCs w:val="18"/>
              </w:rPr>
              <w:t>裁量幅度</w:t>
            </w:r>
          </w:p>
        </w:tc>
        <w:tc>
          <w:tcPr>
            <w:tcW w:w="6180" w:type="dxa"/>
            <w:vMerge w:val="continue"/>
            <w:tcBorders>
              <w:left w:val="nil"/>
              <w:right w:val="single" w:color="auto" w:sz="8" w:space="0"/>
            </w:tcBorders>
            <w:vAlign w:val="center"/>
          </w:tcPr>
          <w:p w14:paraId="559984F5">
            <w:pPr>
              <w:spacing w:line="320" w:lineRule="exact"/>
              <w:jc w:val="left"/>
              <w:rPr>
                <w:color w:val="000000"/>
                <w:kern w:val="0"/>
                <w:sz w:val="18"/>
                <w:szCs w:val="18"/>
              </w:rPr>
            </w:pPr>
          </w:p>
        </w:tc>
      </w:tr>
      <w:tr w14:paraId="62EB89A6">
        <w:tblPrEx>
          <w:tblCellMar>
            <w:top w:w="0" w:type="dxa"/>
            <w:left w:w="108" w:type="dxa"/>
            <w:bottom w:w="0" w:type="dxa"/>
            <w:right w:w="108" w:type="dxa"/>
          </w:tblCellMar>
        </w:tblPrEx>
        <w:trPr>
          <w:gridAfter w:val="1"/>
          <w:wAfter w:w="14" w:type="dxa"/>
          <w:trHeight w:val="285" w:hRule="atLeast"/>
        </w:trPr>
        <w:tc>
          <w:tcPr>
            <w:tcW w:w="996" w:type="dxa"/>
            <w:vMerge w:val="continue"/>
            <w:tcBorders>
              <w:top w:val="nil"/>
              <w:left w:val="single" w:color="auto" w:sz="8" w:space="0"/>
              <w:bottom w:val="single" w:color="auto" w:sz="4" w:space="0"/>
              <w:right w:val="single" w:color="auto" w:sz="4" w:space="0"/>
            </w:tcBorders>
            <w:vAlign w:val="center"/>
          </w:tcPr>
          <w:p w14:paraId="6EABE27E">
            <w:pPr>
              <w:spacing w:line="320" w:lineRule="exact"/>
              <w:jc w:val="left"/>
              <w:rPr>
                <w:color w:val="000000"/>
                <w:kern w:val="0"/>
                <w:sz w:val="18"/>
                <w:szCs w:val="18"/>
              </w:rPr>
            </w:pPr>
          </w:p>
        </w:tc>
        <w:tc>
          <w:tcPr>
            <w:tcW w:w="5701" w:type="dxa"/>
            <w:gridSpan w:val="2"/>
            <w:vMerge w:val="continue"/>
            <w:tcBorders>
              <w:left w:val="nil"/>
              <w:bottom w:val="single" w:color="auto" w:sz="4" w:space="0"/>
              <w:right w:val="single" w:color="auto" w:sz="4" w:space="0"/>
            </w:tcBorders>
            <w:vAlign w:val="center"/>
          </w:tcPr>
          <w:p w14:paraId="5FCE79D1">
            <w:pPr>
              <w:spacing w:line="320" w:lineRule="exact"/>
              <w:jc w:val="left"/>
              <w:rPr>
                <w:color w:val="000000"/>
                <w:kern w:val="0"/>
                <w:sz w:val="18"/>
                <w:szCs w:val="18"/>
              </w:rPr>
            </w:pPr>
          </w:p>
        </w:tc>
        <w:tc>
          <w:tcPr>
            <w:tcW w:w="1139" w:type="dxa"/>
            <w:tcBorders>
              <w:top w:val="nil"/>
              <w:left w:val="single" w:color="auto" w:sz="4" w:space="0"/>
              <w:bottom w:val="single" w:color="auto" w:sz="4" w:space="0"/>
              <w:right w:val="single" w:color="auto" w:sz="4" w:space="0"/>
            </w:tcBorders>
            <w:vAlign w:val="center"/>
          </w:tcPr>
          <w:p w14:paraId="7BBEA928">
            <w:pPr>
              <w:spacing w:line="320" w:lineRule="exact"/>
              <w:jc w:val="left"/>
              <w:rPr>
                <w:color w:val="000000"/>
                <w:kern w:val="0"/>
                <w:sz w:val="18"/>
                <w:szCs w:val="18"/>
              </w:rPr>
            </w:pPr>
          </w:p>
        </w:tc>
        <w:tc>
          <w:tcPr>
            <w:tcW w:w="6180" w:type="dxa"/>
            <w:vMerge w:val="continue"/>
            <w:tcBorders>
              <w:left w:val="nil"/>
              <w:bottom w:val="single" w:color="auto" w:sz="4" w:space="0"/>
              <w:right w:val="single" w:color="auto" w:sz="8" w:space="0"/>
            </w:tcBorders>
            <w:vAlign w:val="center"/>
          </w:tcPr>
          <w:p w14:paraId="2A4DB626">
            <w:pPr>
              <w:spacing w:line="320" w:lineRule="exact"/>
              <w:jc w:val="left"/>
              <w:rPr>
                <w:color w:val="000000"/>
                <w:kern w:val="0"/>
                <w:sz w:val="18"/>
                <w:szCs w:val="18"/>
              </w:rPr>
            </w:pPr>
          </w:p>
        </w:tc>
      </w:tr>
    </w:tbl>
    <w:p w14:paraId="441A7D87"/>
    <w:p w14:paraId="7560CF25"/>
    <w:p w14:paraId="03286BCE"/>
    <w:p w14:paraId="1E886491"/>
    <w:p w14:paraId="6A6E1406"/>
    <w:p w14:paraId="3F637CE3"/>
    <w:p w14:paraId="006F7B12"/>
    <w:p w14:paraId="25B23481"/>
    <w:p w14:paraId="17983912"/>
    <w:p w14:paraId="51B6BF0E"/>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96"/>
        <w:gridCol w:w="60"/>
      </w:tblGrid>
      <w:tr w14:paraId="4614C978">
        <w:tblPrEx>
          <w:tblCellMar>
            <w:top w:w="0" w:type="dxa"/>
            <w:left w:w="108" w:type="dxa"/>
            <w:bottom w:w="0" w:type="dxa"/>
            <w:right w:w="108" w:type="dxa"/>
          </w:tblCellMar>
        </w:tblPrEx>
        <w:trPr>
          <w:gridAfter w:val="1"/>
          <w:wAfter w:w="60" w:type="dxa"/>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0243DE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7FC70AF7">
            <w:pPr>
              <w:spacing w:line="320" w:lineRule="exact"/>
              <w:jc w:val="left"/>
              <w:rPr>
                <w:rFonts w:eastAsia="仿宋_GB2312"/>
                <w:b/>
                <w:bCs/>
                <w:color w:val="000000"/>
                <w:kern w:val="0"/>
                <w:sz w:val="18"/>
                <w:szCs w:val="18"/>
              </w:rPr>
            </w:pPr>
            <w:r>
              <w:rPr>
                <w:rFonts w:eastAsia="仿宋_GB2312"/>
                <w:b/>
                <w:bCs/>
                <w:color w:val="000000"/>
                <w:kern w:val="0"/>
                <w:sz w:val="18"/>
                <w:szCs w:val="18"/>
              </w:rPr>
              <w:t>320217444000</w:t>
            </w:r>
            <w:r>
              <w:rPr>
                <w:rFonts w:hint="eastAsia" w:eastAsia="仿宋_GB2312"/>
                <w:b/>
                <w:bCs/>
                <w:color w:val="000000"/>
                <w:kern w:val="0"/>
                <w:sz w:val="18"/>
                <w:szCs w:val="18"/>
              </w:rPr>
              <w:t xml:space="preserve"> </w:t>
            </w:r>
          </w:p>
        </w:tc>
      </w:tr>
      <w:tr w14:paraId="0128E5E7">
        <w:tblPrEx>
          <w:tblCellMar>
            <w:top w:w="0" w:type="dxa"/>
            <w:left w:w="108" w:type="dxa"/>
            <w:bottom w:w="0" w:type="dxa"/>
            <w:right w:w="108" w:type="dxa"/>
          </w:tblCellMar>
        </w:tblPrEx>
        <w:trPr>
          <w:gridAfter w:val="1"/>
          <w:wAfter w:w="60" w:type="dxa"/>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438C37A1">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color="auto" w:sz="4" w:space="0"/>
              <w:left w:val="nil"/>
              <w:bottom w:val="single" w:color="auto" w:sz="4" w:space="0"/>
              <w:right w:val="single" w:color="000000" w:sz="8" w:space="0"/>
            </w:tcBorders>
            <w:vAlign w:val="center"/>
          </w:tcPr>
          <w:p w14:paraId="0C1B1DB8">
            <w:pPr>
              <w:spacing w:line="320" w:lineRule="exact"/>
              <w:jc w:val="left"/>
              <w:rPr>
                <w:color w:val="000000"/>
                <w:kern w:val="0"/>
                <w:sz w:val="18"/>
                <w:szCs w:val="18"/>
              </w:rPr>
            </w:pPr>
            <w:r>
              <w:rPr>
                <w:rFonts w:hint="eastAsia"/>
                <w:color w:val="000000"/>
                <w:kern w:val="0"/>
                <w:sz w:val="18"/>
                <w:szCs w:val="18"/>
              </w:rPr>
              <w:t>对燃气用户及相关单位和个人将燃气管道作为负重支架或者接地引线的处罚</w:t>
            </w:r>
          </w:p>
        </w:tc>
      </w:tr>
      <w:tr w14:paraId="205187E1">
        <w:tblPrEx>
          <w:tblCellMar>
            <w:top w:w="0" w:type="dxa"/>
            <w:left w:w="108" w:type="dxa"/>
            <w:bottom w:w="0" w:type="dxa"/>
            <w:right w:w="108" w:type="dxa"/>
          </w:tblCellMar>
        </w:tblPrEx>
        <w:trPr>
          <w:gridAfter w:val="1"/>
          <w:wAfter w:w="60" w:type="dxa"/>
          <w:trHeight w:val="1545" w:hRule="atLeast"/>
        </w:trPr>
        <w:tc>
          <w:tcPr>
            <w:tcW w:w="996" w:type="dxa"/>
            <w:gridSpan w:val="2"/>
            <w:tcBorders>
              <w:top w:val="nil"/>
              <w:left w:val="single" w:color="auto" w:sz="8" w:space="0"/>
              <w:bottom w:val="single" w:color="auto" w:sz="4" w:space="0"/>
              <w:right w:val="single" w:color="auto" w:sz="4" w:space="0"/>
            </w:tcBorders>
            <w:vAlign w:val="center"/>
          </w:tcPr>
          <w:p w14:paraId="1FCEBEF9">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6026A805">
            <w:pPr>
              <w:spacing w:line="320" w:lineRule="exact"/>
              <w:jc w:val="left"/>
              <w:rPr>
                <w:color w:val="000000"/>
              </w:rPr>
            </w:pPr>
          </w:p>
          <w:p w14:paraId="6C6F6260">
            <w:pPr>
              <w:spacing w:line="320" w:lineRule="exact"/>
              <w:jc w:val="left"/>
              <w:rPr>
                <w:color w:val="000000"/>
              </w:rPr>
            </w:pPr>
            <w:r>
              <w:rPr>
                <w:rFonts w:hint="eastAsia"/>
                <w:color w:val="000000"/>
              </w:rPr>
              <w:t>【行政法规】《城镇燃气管理条例》（国务院令第</w:t>
            </w:r>
            <w:r>
              <w:rPr>
                <w:color w:val="000000"/>
              </w:rPr>
              <w:t>583</w:t>
            </w:r>
            <w:r>
              <w:rPr>
                <w:rFonts w:hint="eastAsia"/>
                <w:color w:val="000000"/>
              </w:rPr>
              <w:t>号）</w:t>
            </w:r>
          </w:p>
          <w:p w14:paraId="32018323">
            <w:pPr>
              <w:spacing w:line="320" w:lineRule="exact"/>
              <w:jc w:val="left"/>
              <w:rPr>
                <w:color w:val="000000"/>
              </w:rPr>
            </w:pPr>
            <w:r>
              <w:rPr>
                <w:rFonts w:hint="eastAsia"/>
                <w:color w:val="000000"/>
              </w:rPr>
              <w:t>第二十八条</w:t>
            </w:r>
            <w:r>
              <w:rPr>
                <w:color w:val="000000"/>
              </w:rPr>
              <w:t xml:space="preserve"> </w:t>
            </w:r>
            <w:r>
              <w:rPr>
                <w:rFonts w:hint="eastAsia"/>
                <w:color w:val="000000"/>
              </w:rPr>
              <w:t>燃气用户及相关单位和个人不得有下列行为：</w:t>
            </w:r>
            <w:r>
              <w:rPr>
                <w:color w:val="000000"/>
              </w:rPr>
              <w:t xml:space="preserve"> </w:t>
            </w:r>
          </w:p>
          <w:p w14:paraId="11FBE088">
            <w:pPr>
              <w:spacing w:line="320" w:lineRule="exact"/>
              <w:jc w:val="left"/>
              <w:rPr>
                <w:color w:val="000000"/>
              </w:rPr>
            </w:pPr>
            <w:r>
              <w:rPr>
                <w:color w:val="000000"/>
              </w:rPr>
              <w:t xml:space="preserve">   </w:t>
            </w:r>
            <w:r>
              <w:rPr>
                <w:rFonts w:hint="eastAsia"/>
                <w:color w:val="000000"/>
              </w:rPr>
              <w:t>（二）将燃气管道作为负重支架或者接地引线。</w:t>
            </w:r>
          </w:p>
          <w:p w14:paraId="7D7D035F">
            <w:pPr>
              <w:spacing w:line="320" w:lineRule="exact"/>
              <w:jc w:val="left"/>
              <w:rPr>
                <w:color w:val="000000"/>
              </w:rPr>
            </w:pPr>
            <w:r>
              <w:rPr>
                <w:rFonts w:hint="eastAsia"/>
                <w:color w:val="000000"/>
              </w:rPr>
              <w:t>第四十九条第一款</w:t>
            </w:r>
            <w:r>
              <w:rPr>
                <w:color w:val="000000"/>
              </w:rPr>
              <w:t xml:space="preserve">  </w:t>
            </w:r>
            <w:r>
              <w:rPr>
                <w:rFonts w:hint="eastAsia"/>
                <w:color w:val="000000"/>
              </w:rPr>
              <w:t>违反本条例规定，燃气用户及相关单位和个人有下列行为之一的，由燃气管理部门责令限期改正；逾期不改正的，对单位可以处</w:t>
            </w:r>
            <w:r>
              <w:rPr>
                <w:color w:val="000000"/>
              </w:rPr>
              <w:t>10</w:t>
            </w:r>
            <w:r>
              <w:rPr>
                <w:rFonts w:hint="eastAsia"/>
                <w:color w:val="000000"/>
              </w:rPr>
              <w:t>万元以下罚款，对个人可以处</w:t>
            </w:r>
            <w:r>
              <w:rPr>
                <w:color w:val="000000"/>
              </w:rPr>
              <w:t>1000</w:t>
            </w:r>
            <w:r>
              <w:rPr>
                <w:rFonts w:hint="eastAsia"/>
                <w:color w:val="000000"/>
              </w:rPr>
              <w:t>元以下罚款；造成损失的，依法承担赔偿责任；构成犯罪的，依法追究刑事责任：</w:t>
            </w:r>
            <w:r>
              <w:rPr>
                <w:color w:val="000000"/>
              </w:rPr>
              <w:t xml:space="preserve"> </w:t>
            </w:r>
          </w:p>
          <w:p w14:paraId="4AA4FDBE">
            <w:pPr>
              <w:spacing w:line="320" w:lineRule="exact"/>
              <w:jc w:val="left"/>
              <w:rPr>
                <w:color w:val="000000"/>
              </w:rPr>
            </w:pPr>
            <w:r>
              <w:rPr>
                <w:color w:val="000000"/>
              </w:rPr>
              <w:t xml:space="preserve">   </w:t>
            </w:r>
            <w:r>
              <w:rPr>
                <w:rFonts w:hint="eastAsia"/>
                <w:color w:val="000000"/>
              </w:rPr>
              <w:t>（二）将燃气管道作为负重支架或者接地引线的。</w:t>
            </w:r>
          </w:p>
          <w:p w14:paraId="4991D623">
            <w:pPr>
              <w:spacing w:line="320" w:lineRule="exact"/>
              <w:jc w:val="left"/>
              <w:rPr>
                <w:color w:val="000000"/>
              </w:rPr>
            </w:pPr>
            <w:r>
              <w:rPr>
                <w:rFonts w:hint="eastAsia"/>
                <w:color w:val="000000"/>
              </w:rPr>
              <w:t>【地方性法规】《江苏省燃气管理条例》（江苏省第十三届人民代表大会常务委员会第十三次会议于</w:t>
            </w:r>
            <w:r>
              <w:rPr>
                <w:color w:val="000000"/>
              </w:rPr>
              <w:t>2020</w:t>
            </w:r>
            <w:r>
              <w:rPr>
                <w:rFonts w:hint="eastAsia"/>
                <w:color w:val="000000"/>
              </w:rPr>
              <w:t>年</w:t>
            </w:r>
            <w:r>
              <w:rPr>
                <w:color w:val="000000"/>
              </w:rPr>
              <w:t>1</w:t>
            </w:r>
            <w:r>
              <w:rPr>
                <w:rFonts w:hint="eastAsia"/>
                <w:color w:val="000000"/>
              </w:rPr>
              <w:t>月</w:t>
            </w:r>
            <w:r>
              <w:rPr>
                <w:color w:val="000000"/>
              </w:rPr>
              <w:t>9</w:t>
            </w:r>
            <w:r>
              <w:rPr>
                <w:rFonts w:hint="eastAsia"/>
                <w:color w:val="000000"/>
              </w:rPr>
              <w:t>日通过，江苏省人大常委会公告第</w:t>
            </w:r>
            <w:r>
              <w:rPr>
                <w:color w:val="000000"/>
              </w:rPr>
              <w:t xml:space="preserve"> 28 </w:t>
            </w:r>
            <w:r>
              <w:rPr>
                <w:rFonts w:hint="eastAsia"/>
                <w:color w:val="000000"/>
              </w:rPr>
              <w:t>号）</w:t>
            </w:r>
          </w:p>
          <w:p w14:paraId="3ED6CAC0">
            <w:pPr>
              <w:spacing w:line="320" w:lineRule="exact"/>
              <w:jc w:val="left"/>
              <w:rPr>
                <w:color w:val="000000"/>
              </w:rPr>
            </w:pPr>
            <w:r>
              <w:rPr>
                <w:color w:val="000000"/>
              </w:rPr>
              <w:t xml:space="preserve">   </w:t>
            </w:r>
            <w:r>
              <w:rPr>
                <w:rFonts w:hint="eastAsia"/>
                <w:color w:val="000000"/>
              </w:rPr>
              <w:t>第三十七条</w:t>
            </w:r>
            <w:r>
              <w:rPr>
                <w:color w:val="000000"/>
              </w:rPr>
              <w:t xml:space="preserve">  </w:t>
            </w:r>
            <w:r>
              <w:rPr>
                <w:rFonts w:hint="eastAsia"/>
                <w:color w:val="000000"/>
              </w:rPr>
              <w:t>用户及相关单位和个人不得有下列行为：</w:t>
            </w:r>
          </w:p>
          <w:p w14:paraId="6CB8D896">
            <w:pPr>
              <w:spacing w:line="320" w:lineRule="exact"/>
              <w:jc w:val="left"/>
              <w:rPr>
                <w:color w:val="000000"/>
              </w:rPr>
            </w:pPr>
            <w:r>
              <w:rPr>
                <w:rFonts w:hint="eastAsia"/>
                <w:color w:val="000000"/>
              </w:rPr>
              <w:t>　　（二）将燃气管道作为负重支架或者接地引线；</w:t>
            </w:r>
          </w:p>
          <w:p w14:paraId="19FD6477">
            <w:pPr>
              <w:spacing w:line="320" w:lineRule="exact"/>
              <w:jc w:val="left"/>
              <w:rPr>
                <w:color w:val="000000"/>
                <w:kern w:val="0"/>
                <w:sz w:val="18"/>
                <w:szCs w:val="18"/>
              </w:rPr>
            </w:pPr>
            <w:r>
              <w:rPr>
                <w:color w:val="000000"/>
              </w:rPr>
              <w:t xml:space="preserve">   </w:t>
            </w:r>
            <w:r>
              <w:rPr>
                <w:rFonts w:hint="eastAsia"/>
                <w:color w:val="000000"/>
              </w:rPr>
              <w:t>第六十三条</w:t>
            </w:r>
            <w:r>
              <w:rPr>
                <w:color w:val="000000"/>
              </w:rPr>
              <w:t xml:space="preserve">  </w:t>
            </w:r>
            <w:r>
              <w:rPr>
                <w:rFonts w:hint="eastAsia"/>
                <w:color w:val="000000"/>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14:paraId="3CA6F004">
        <w:tblPrEx>
          <w:tblCellMar>
            <w:top w:w="0" w:type="dxa"/>
            <w:left w:w="108" w:type="dxa"/>
            <w:bottom w:w="0" w:type="dxa"/>
            <w:right w:w="108" w:type="dxa"/>
          </w:tblCellMar>
        </w:tblPrEx>
        <w:trPr>
          <w:gridAfter w:val="1"/>
          <w:wAfter w:w="60" w:type="dxa"/>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04FCA92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3BFB1BEB">
            <w:pPr>
              <w:spacing w:line="320" w:lineRule="exact"/>
              <w:jc w:val="left"/>
              <w:rPr>
                <w:color w:val="000000"/>
                <w:kern w:val="0"/>
                <w:sz w:val="18"/>
                <w:szCs w:val="18"/>
              </w:rPr>
            </w:pPr>
            <w:r>
              <w:rPr>
                <w:rFonts w:hint="eastAsia"/>
                <w:color w:val="000000"/>
                <w:kern w:val="0"/>
                <w:sz w:val="18"/>
                <w:szCs w:val="18"/>
              </w:rPr>
              <w:t>罚款</w:t>
            </w:r>
          </w:p>
        </w:tc>
      </w:tr>
      <w:tr w14:paraId="15B0A263">
        <w:tblPrEx>
          <w:tblCellMar>
            <w:top w:w="0" w:type="dxa"/>
            <w:left w:w="108" w:type="dxa"/>
            <w:bottom w:w="0" w:type="dxa"/>
            <w:right w:w="108" w:type="dxa"/>
          </w:tblCellMar>
        </w:tblPrEx>
        <w:trPr>
          <w:gridAfter w:val="1"/>
          <w:wAfter w:w="60" w:type="dxa"/>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4218D89E">
            <w:pPr>
              <w:spacing w:line="320" w:lineRule="exact"/>
              <w:jc w:val="center"/>
              <w:rPr>
                <w:color w:val="000000"/>
                <w:kern w:val="0"/>
                <w:sz w:val="18"/>
                <w:szCs w:val="18"/>
              </w:rPr>
            </w:pPr>
            <w:r>
              <w:rPr>
                <w:rFonts w:hint="eastAsia"/>
                <w:color w:val="000000"/>
                <w:kern w:val="0"/>
                <w:sz w:val="18"/>
                <w:szCs w:val="18"/>
              </w:rPr>
              <w:t>裁量基准</w:t>
            </w:r>
          </w:p>
        </w:tc>
      </w:tr>
      <w:tr w14:paraId="108B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980" w:type="dxa"/>
            <w:vMerge w:val="restart"/>
            <w:vAlign w:val="center"/>
          </w:tcPr>
          <w:p w14:paraId="06E6150A">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6E666C58">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14:paraId="2B9BE5ED">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vAlign w:val="center"/>
          </w:tcPr>
          <w:p w14:paraId="6039729F">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14:paraId="098B0947">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14:paraId="0A68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80" w:type="dxa"/>
            <w:vMerge w:val="continue"/>
            <w:vAlign w:val="center"/>
          </w:tcPr>
          <w:p w14:paraId="0E20D1B5">
            <w:pPr>
              <w:spacing w:line="320" w:lineRule="exact"/>
              <w:jc w:val="center"/>
              <w:rPr>
                <w:color w:val="000000"/>
                <w:kern w:val="0"/>
                <w:sz w:val="18"/>
                <w:szCs w:val="18"/>
              </w:rPr>
            </w:pPr>
          </w:p>
        </w:tc>
        <w:tc>
          <w:tcPr>
            <w:tcW w:w="6140" w:type="dxa"/>
            <w:gridSpan w:val="2"/>
            <w:vAlign w:val="center"/>
          </w:tcPr>
          <w:p w14:paraId="3A8DB502">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continue"/>
            <w:vAlign w:val="center"/>
          </w:tcPr>
          <w:p w14:paraId="4452BD47">
            <w:pPr>
              <w:spacing w:line="320" w:lineRule="exact"/>
              <w:jc w:val="center"/>
              <w:rPr>
                <w:color w:val="000000"/>
                <w:kern w:val="0"/>
                <w:sz w:val="18"/>
                <w:szCs w:val="18"/>
              </w:rPr>
            </w:pPr>
          </w:p>
        </w:tc>
        <w:tc>
          <w:tcPr>
            <w:tcW w:w="5956" w:type="dxa"/>
            <w:gridSpan w:val="2"/>
            <w:vAlign w:val="center"/>
          </w:tcPr>
          <w:p w14:paraId="5F85579E">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14:paraId="0E8F2C19">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4AA7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80" w:type="dxa"/>
            <w:vMerge w:val="continue"/>
            <w:vAlign w:val="center"/>
          </w:tcPr>
          <w:p w14:paraId="66A96988">
            <w:pPr>
              <w:spacing w:line="320" w:lineRule="exact"/>
              <w:jc w:val="center"/>
              <w:rPr>
                <w:color w:val="000000"/>
                <w:kern w:val="0"/>
                <w:sz w:val="18"/>
                <w:szCs w:val="18"/>
              </w:rPr>
            </w:pPr>
          </w:p>
        </w:tc>
        <w:tc>
          <w:tcPr>
            <w:tcW w:w="6140" w:type="dxa"/>
            <w:gridSpan w:val="2"/>
            <w:vAlign w:val="center"/>
          </w:tcPr>
          <w:p w14:paraId="094E80B9">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continue"/>
            <w:vAlign w:val="center"/>
          </w:tcPr>
          <w:p w14:paraId="68D571E1">
            <w:pPr>
              <w:spacing w:line="320" w:lineRule="exact"/>
              <w:jc w:val="center"/>
              <w:rPr>
                <w:color w:val="000000"/>
                <w:kern w:val="0"/>
                <w:sz w:val="18"/>
                <w:szCs w:val="18"/>
              </w:rPr>
            </w:pPr>
          </w:p>
        </w:tc>
        <w:tc>
          <w:tcPr>
            <w:tcW w:w="5956" w:type="dxa"/>
            <w:gridSpan w:val="2"/>
            <w:vAlign w:val="center"/>
          </w:tcPr>
          <w:p w14:paraId="352F1C1F">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14:paraId="41CF7BA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00CEF6D9"/>
    <w:p w14:paraId="77C3C690"/>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84"/>
        <w:gridCol w:w="12"/>
      </w:tblGrid>
      <w:tr w14:paraId="1142E312">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7CB2EC84">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color="auto" w:sz="8" w:space="0"/>
              <w:left w:val="nil"/>
              <w:bottom w:val="single" w:color="auto" w:sz="4" w:space="0"/>
              <w:right w:val="single" w:color="000000" w:sz="8" w:space="0"/>
            </w:tcBorders>
            <w:vAlign w:val="center"/>
          </w:tcPr>
          <w:p w14:paraId="485EE952">
            <w:pPr>
              <w:spacing w:line="320" w:lineRule="exact"/>
              <w:jc w:val="left"/>
              <w:rPr>
                <w:rFonts w:eastAsia="仿宋_GB2312"/>
                <w:b/>
                <w:bCs/>
                <w:color w:val="000000"/>
                <w:kern w:val="0"/>
                <w:sz w:val="18"/>
                <w:szCs w:val="18"/>
              </w:rPr>
            </w:pPr>
            <w:r>
              <w:rPr>
                <w:rFonts w:eastAsia="仿宋_GB2312"/>
                <w:b/>
                <w:bCs/>
                <w:color w:val="000000"/>
                <w:kern w:val="0"/>
                <w:sz w:val="18"/>
                <w:szCs w:val="18"/>
              </w:rPr>
              <w:t>320217445000</w:t>
            </w:r>
          </w:p>
        </w:tc>
      </w:tr>
      <w:tr w14:paraId="0D58D33C">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3D9D6383">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color="auto" w:sz="4" w:space="0"/>
              <w:left w:val="nil"/>
              <w:bottom w:val="single" w:color="auto" w:sz="4" w:space="0"/>
              <w:right w:val="single" w:color="000000" w:sz="8" w:space="0"/>
            </w:tcBorders>
            <w:vAlign w:val="center"/>
          </w:tcPr>
          <w:p w14:paraId="67CE3412">
            <w:pPr>
              <w:spacing w:line="320" w:lineRule="exact"/>
              <w:jc w:val="left"/>
              <w:rPr>
                <w:color w:val="000000"/>
                <w:kern w:val="0"/>
                <w:sz w:val="18"/>
                <w:szCs w:val="18"/>
              </w:rPr>
            </w:pPr>
            <w:r>
              <w:rPr>
                <w:rFonts w:hint="eastAsia"/>
                <w:color w:val="000000"/>
                <w:kern w:val="0"/>
                <w:sz w:val="18"/>
                <w:szCs w:val="18"/>
              </w:rPr>
              <w:t>对燃气用户及相关单位和个人安装、使用不符合气源要求的燃气燃烧器具的处罚</w:t>
            </w:r>
          </w:p>
        </w:tc>
      </w:tr>
      <w:tr w14:paraId="1600A2A4">
        <w:tblPrEx>
          <w:tblCellMar>
            <w:top w:w="0" w:type="dxa"/>
            <w:left w:w="108" w:type="dxa"/>
            <w:bottom w:w="0" w:type="dxa"/>
            <w:right w:w="108" w:type="dxa"/>
          </w:tblCellMar>
        </w:tblPrEx>
        <w:trPr>
          <w:trHeight w:val="1575" w:hRule="atLeast"/>
        </w:trPr>
        <w:tc>
          <w:tcPr>
            <w:tcW w:w="996" w:type="dxa"/>
            <w:gridSpan w:val="2"/>
            <w:tcBorders>
              <w:top w:val="nil"/>
              <w:left w:val="single" w:color="auto" w:sz="8" w:space="0"/>
              <w:bottom w:val="single" w:color="auto" w:sz="4" w:space="0"/>
              <w:right w:val="single" w:color="auto" w:sz="4" w:space="0"/>
            </w:tcBorders>
            <w:vAlign w:val="center"/>
          </w:tcPr>
          <w:p w14:paraId="5A4C0311">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color="auto" w:sz="4" w:space="0"/>
              <w:left w:val="nil"/>
              <w:bottom w:val="single" w:color="auto" w:sz="4" w:space="0"/>
              <w:right w:val="single" w:color="000000" w:sz="8" w:space="0"/>
            </w:tcBorders>
            <w:vAlign w:val="center"/>
          </w:tcPr>
          <w:p w14:paraId="510B1160">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3C59A3A8">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14:paraId="7405A4E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（三）安装、使用不符合气源要求的燃气燃烧器具。</w:t>
            </w:r>
          </w:p>
          <w:p w14:paraId="0C8946E0">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14:paraId="2BB0D0F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（三）安装、使用不符合气源要求的燃气燃烧器具的。</w:t>
            </w:r>
          </w:p>
          <w:p w14:paraId="0F5422EC">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日通过，江苏省人大常委会公告第</w:t>
            </w:r>
            <w:r>
              <w:rPr>
                <w:color w:val="000000"/>
                <w:kern w:val="0"/>
                <w:sz w:val="18"/>
                <w:szCs w:val="18"/>
              </w:rPr>
              <w:t xml:space="preserve"> 28 </w:t>
            </w:r>
            <w:r>
              <w:rPr>
                <w:rFonts w:hint="eastAsia"/>
                <w:color w:val="000000"/>
                <w:kern w:val="0"/>
                <w:sz w:val="18"/>
                <w:szCs w:val="18"/>
              </w:rPr>
              <w:t>号）</w:t>
            </w:r>
          </w:p>
          <w:p w14:paraId="33433AE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14:paraId="40BC806A">
            <w:pPr>
              <w:spacing w:line="320" w:lineRule="exact"/>
              <w:jc w:val="left"/>
              <w:rPr>
                <w:color w:val="000000"/>
                <w:kern w:val="0"/>
                <w:sz w:val="18"/>
                <w:szCs w:val="18"/>
              </w:rPr>
            </w:pPr>
            <w:r>
              <w:rPr>
                <w:rFonts w:hint="eastAsia"/>
                <w:color w:val="000000"/>
                <w:kern w:val="0"/>
                <w:sz w:val="18"/>
                <w:szCs w:val="18"/>
              </w:rPr>
              <w:t>　　（三）安装、使用不符合气源要求的燃气燃烧器具；</w:t>
            </w:r>
          </w:p>
          <w:p w14:paraId="6BD7791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14:paraId="29F97B6E">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3891F43F">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color="auto" w:sz="4" w:space="0"/>
              <w:left w:val="nil"/>
              <w:bottom w:val="single" w:color="auto" w:sz="4" w:space="0"/>
              <w:right w:val="single" w:color="000000" w:sz="8" w:space="0"/>
            </w:tcBorders>
            <w:vAlign w:val="center"/>
          </w:tcPr>
          <w:p w14:paraId="623AE236">
            <w:pPr>
              <w:spacing w:line="320" w:lineRule="exact"/>
              <w:jc w:val="left"/>
              <w:rPr>
                <w:color w:val="000000"/>
                <w:kern w:val="0"/>
                <w:sz w:val="18"/>
                <w:szCs w:val="18"/>
              </w:rPr>
            </w:pPr>
            <w:r>
              <w:rPr>
                <w:rFonts w:hint="eastAsia"/>
                <w:color w:val="000000"/>
                <w:kern w:val="0"/>
                <w:sz w:val="18"/>
                <w:szCs w:val="18"/>
              </w:rPr>
              <w:t>罚款</w:t>
            </w:r>
          </w:p>
        </w:tc>
      </w:tr>
      <w:tr w14:paraId="71A30946">
        <w:tblPrEx>
          <w:tblCellMar>
            <w:top w:w="0" w:type="dxa"/>
            <w:left w:w="108" w:type="dxa"/>
            <w:bottom w:w="0" w:type="dxa"/>
            <w:right w:w="108" w:type="dxa"/>
          </w:tblCellMar>
        </w:tblPrEx>
        <w:trPr>
          <w:trHeight w:val="285" w:hRule="atLeast"/>
        </w:trPr>
        <w:tc>
          <w:tcPr>
            <w:tcW w:w="14016" w:type="dxa"/>
            <w:gridSpan w:val="6"/>
            <w:tcBorders>
              <w:top w:val="single" w:color="auto" w:sz="4" w:space="0"/>
              <w:left w:val="single" w:color="auto" w:sz="8" w:space="0"/>
              <w:bottom w:val="single" w:color="auto" w:sz="4" w:space="0"/>
              <w:right w:val="single" w:color="000000" w:sz="8" w:space="0"/>
            </w:tcBorders>
            <w:vAlign w:val="center"/>
          </w:tcPr>
          <w:p w14:paraId="3AB5D401">
            <w:pPr>
              <w:spacing w:line="320" w:lineRule="exact"/>
              <w:jc w:val="center"/>
              <w:rPr>
                <w:color w:val="000000"/>
                <w:kern w:val="0"/>
                <w:sz w:val="18"/>
                <w:szCs w:val="18"/>
              </w:rPr>
            </w:pPr>
            <w:r>
              <w:rPr>
                <w:rFonts w:hint="eastAsia"/>
                <w:color w:val="000000"/>
                <w:kern w:val="0"/>
                <w:sz w:val="18"/>
                <w:szCs w:val="18"/>
              </w:rPr>
              <w:t>裁量基准</w:t>
            </w:r>
          </w:p>
        </w:tc>
      </w:tr>
      <w:tr w14:paraId="046B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5" w:hRule="atLeast"/>
        </w:trPr>
        <w:tc>
          <w:tcPr>
            <w:tcW w:w="980" w:type="dxa"/>
            <w:vMerge w:val="restart"/>
            <w:vAlign w:val="center"/>
          </w:tcPr>
          <w:p w14:paraId="15075B21">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4D1DA369">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14:paraId="3BD39968">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14:paraId="0BC697A0">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14:paraId="2BE7BE8E">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14:paraId="5F66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5B4C8FE6">
            <w:pPr>
              <w:spacing w:line="320" w:lineRule="exact"/>
              <w:jc w:val="center"/>
              <w:rPr>
                <w:color w:val="000000"/>
                <w:kern w:val="0"/>
                <w:sz w:val="18"/>
                <w:szCs w:val="18"/>
              </w:rPr>
            </w:pPr>
          </w:p>
        </w:tc>
        <w:tc>
          <w:tcPr>
            <w:tcW w:w="6140" w:type="dxa"/>
            <w:gridSpan w:val="2"/>
            <w:vAlign w:val="center"/>
          </w:tcPr>
          <w:p w14:paraId="77BEECEC">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continue"/>
            <w:vAlign w:val="center"/>
          </w:tcPr>
          <w:p w14:paraId="3EE7DD71">
            <w:pPr>
              <w:spacing w:line="320" w:lineRule="exact"/>
              <w:jc w:val="center"/>
              <w:rPr>
                <w:color w:val="000000"/>
                <w:kern w:val="0"/>
                <w:sz w:val="18"/>
                <w:szCs w:val="18"/>
              </w:rPr>
            </w:pPr>
          </w:p>
        </w:tc>
        <w:tc>
          <w:tcPr>
            <w:tcW w:w="5884" w:type="dxa"/>
            <w:vAlign w:val="center"/>
          </w:tcPr>
          <w:p w14:paraId="2274FA7E">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14:paraId="00DA319F">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7C84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1A47AF2C">
            <w:pPr>
              <w:spacing w:line="320" w:lineRule="exact"/>
              <w:jc w:val="center"/>
              <w:rPr>
                <w:color w:val="000000"/>
                <w:kern w:val="0"/>
                <w:sz w:val="18"/>
                <w:szCs w:val="18"/>
              </w:rPr>
            </w:pPr>
          </w:p>
        </w:tc>
        <w:tc>
          <w:tcPr>
            <w:tcW w:w="6140" w:type="dxa"/>
            <w:gridSpan w:val="2"/>
            <w:vAlign w:val="center"/>
          </w:tcPr>
          <w:p w14:paraId="0C063CC9">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continue"/>
            <w:vAlign w:val="center"/>
          </w:tcPr>
          <w:p w14:paraId="2DDC6AB4">
            <w:pPr>
              <w:spacing w:line="320" w:lineRule="exact"/>
              <w:jc w:val="center"/>
              <w:rPr>
                <w:color w:val="000000"/>
                <w:kern w:val="0"/>
                <w:sz w:val="18"/>
                <w:szCs w:val="18"/>
              </w:rPr>
            </w:pPr>
          </w:p>
        </w:tc>
        <w:tc>
          <w:tcPr>
            <w:tcW w:w="5884" w:type="dxa"/>
            <w:vAlign w:val="center"/>
          </w:tcPr>
          <w:p w14:paraId="369A9AB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14:paraId="489BF60B">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45E20472"/>
    <w:p w14:paraId="30D974BC"/>
    <w:tbl>
      <w:tblPr>
        <w:tblStyle w:val="15"/>
        <w:tblW w:w="0" w:type="auto"/>
        <w:tblInd w:w="78" w:type="dxa"/>
        <w:tblLayout w:type="fixed"/>
        <w:tblCellMar>
          <w:top w:w="0" w:type="dxa"/>
          <w:left w:w="108" w:type="dxa"/>
          <w:bottom w:w="0" w:type="dxa"/>
          <w:right w:w="108" w:type="dxa"/>
        </w:tblCellMar>
      </w:tblPr>
      <w:tblGrid>
        <w:gridCol w:w="1070"/>
        <w:gridCol w:w="1370"/>
        <w:gridCol w:w="4770"/>
        <w:gridCol w:w="1080"/>
        <w:gridCol w:w="5760"/>
      </w:tblGrid>
      <w:tr w14:paraId="4D37020A">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2824D9EB">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59D56119">
            <w:pPr>
              <w:spacing w:line="320" w:lineRule="exact"/>
              <w:jc w:val="left"/>
              <w:rPr>
                <w:rFonts w:eastAsia="仿宋_GB2312"/>
                <w:b/>
                <w:bCs/>
                <w:color w:val="000000"/>
                <w:kern w:val="0"/>
                <w:sz w:val="18"/>
                <w:szCs w:val="18"/>
              </w:rPr>
            </w:pPr>
            <w:r>
              <w:rPr>
                <w:rFonts w:eastAsia="仿宋_GB2312"/>
                <w:b/>
                <w:bCs/>
                <w:color w:val="000000"/>
                <w:kern w:val="0"/>
                <w:sz w:val="18"/>
                <w:szCs w:val="18"/>
              </w:rPr>
              <w:t>320217446000</w:t>
            </w:r>
          </w:p>
        </w:tc>
      </w:tr>
      <w:tr w14:paraId="0259E1E5">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EB58CA9">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673F2C3D">
            <w:pPr>
              <w:spacing w:line="320" w:lineRule="exact"/>
              <w:jc w:val="left"/>
              <w:rPr>
                <w:color w:val="000000"/>
                <w:kern w:val="0"/>
                <w:sz w:val="18"/>
                <w:szCs w:val="18"/>
              </w:rPr>
            </w:pPr>
            <w:r>
              <w:rPr>
                <w:rFonts w:hint="eastAsia"/>
                <w:color w:val="000000"/>
                <w:kern w:val="0"/>
                <w:sz w:val="18"/>
                <w:szCs w:val="18"/>
              </w:rPr>
              <w:t>对挪用专项维修资金的处罚</w:t>
            </w:r>
          </w:p>
        </w:tc>
      </w:tr>
      <w:tr w14:paraId="57177A58">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7F4AD684">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3702ABFF">
            <w:pPr>
              <w:spacing w:line="320" w:lineRule="exact"/>
              <w:jc w:val="left"/>
              <w:rPr>
                <w:color w:val="000000"/>
                <w:kern w:val="0"/>
                <w:sz w:val="18"/>
                <w:szCs w:val="18"/>
              </w:rPr>
            </w:pPr>
          </w:p>
          <w:p w14:paraId="14904943">
            <w:pPr>
              <w:spacing w:line="320" w:lineRule="exact"/>
              <w:jc w:val="left"/>
              <w:rPr>
                <w:color w:val="000000"/>
                <w:kern w:val="0"/>
                <w:sz w:val="18"/>
                <w:szCs w:val="18"/>
              </w:rPr>
            </w:pPr>
            <w:r>
              <w:rPr>
                <w:rFonts w:hint="eastAsia"/>
                <w:color w:val="000000"/>
                <w:kern w:val="0"/>
                <w:sz w:val="18"/>
                <w:szCs w:val="18"/>
              </w:rPr>
              <w:t>【行政法规】《物业管理条例》（2003年6月8日国务院令第379号公布，根据国务院令第504号、国务院令第666号、国务院令第698号修订）</w:t>
            </w:r>
          </w:p>
          <w:p w14:paraId="6F4A299C">
            <w:pPr>
              <w:spacing w:line="320" w:lineRule="exact"/>
              <w:jc w:val="left"/>
              <w:rPr>
                <w:color w:val="000000"/>
                <w:kern w:val="0"/>
                <w:sz w:val="18"/>
                <w:szCs w:val="18"/>
              </w:rPr>
            </w:pPr>
            <w:r>
              <w:rPr>
                <w:rFonts w:hint="eastAsia"/>
                <w:color w:val="000000"/>
                <w:kern w:val="0"/>
                <w:sz w:val="18"/>
                <w:szCs w:val="18"/>
              </w:rPr>
              <w:t xml:space="preserve">    第五十三条第二款  专项维修资金属于业主所有，专项用于物业保修期满后物业共用部位、共用设施设备的维修和更新、改造，不得挪作他用。</w:t>
            </w:r>
          </w:p>
          <w:p w14:paraId="2E7911EC">
            <w:pPr>
              <w:spacing w:line="320" w:lineRule="exact"/>
              <w:jc w:val="left"/>
              <w:rPr>
                <w:color w:val="000000"/>
                <w:kern w:val="0"/>
                <w:sz w:val="18"/>
                <w:szCs w:val="18"/>
              </w:rPr>
            </w:pPr>
            <w:r>
              <w:rPr>
                <w:rFonts w:hint="eastAsia"/>
                <w:color w:val="000000"/>
                <w:kern w:val="0"/>
                <w:sz w:val="18"/>
                <w:szCs w:val="18"/>
              </w:rPr>
              <w:t xml:space="preserve">    第六十条 违反本条例的规定，挪用专项维修资金的，由县级以上地方人民政府房地产行政主管部门追回挪用的专项维修资金，给予警告，没收违法所得，可以并处挪用数额2倍以下的罚款；构成犯罪的，依法追究直接负责的主管人员和其他直接责任人员的刑事责任。</w:t>
            </w:r>
          </w:p>
          <w:p w14:paraId="26885C70">
            <w:pPr>
              <w:spacing w:line="320" w:lineRule="exact"/>
              <w:jc w:val="left"/>
              <w:rPr>
                <w:color w:val="000000"/>
                <w:kern w:val="0"/>
                <w:sz w:val="18"/>
                <w:szCs w:val="18"/>
              </w:rPr>
            </w:pPr>
            <w:r>
              <w:rPr>
                <w:rFonts w:hint="eastAsia"/>
                <w:color w:val="000000"/>
                <w:kern w:val="0"/>
                <w:sz w:val="18"/>
                <w:szCs w:val="18"/>
              </w:rPr>
              <w:t>【规章】《住宅专项维修资金管理办法》（建设部 财政部令第165号）</w:t>
            </w:r>
          </w:p>
          <w:p w14:paraId="646C7D4A">
            <w:pPr>
              <w:spacing w:line="320" w:lineRule="exact"/>
              <w:jc w:val="left"/>
              <w:rPr>
                <w:color w:val="000000"/>
                <w:kern w:val="0"/>
                <w:sz w:val="18"/>
                <w:szCs w:val="18"/>
              </w:rPr>
            </w:pPr>
            <w:r>
              <w:rPr>
                <w:rFonts w:hint="eastAsia"/>
                <w:color w:val="000000"/>
                <w:kern w:val="0"/>
                <w:sz w:val="18"/>
                <w:szCs w:val="18"/>
              </w:rPr>
              <w:t xml:space="preserve">    第十八条 住宅专项维修资金应当专项用于住宅共用部位、共用设施设备保修期满后的维修和更新、改造，不得挪作他用。 </w:t>
            </w:r>
          </w:p>
          <w:p w14:paraId="616437FB">
            <w:pPr>
              <w:spacing w:line="320" w:lineRule="exact"/>
              <w:jc w:val="left"/>
              <w:rPr>
                <w:color w:val="000000"/>
                <w:kern w:val="0"/>
                <w:sz w:val="18"/>
                <w:szCs w:val="18"/>
              </w:rPr>
            </w:pPr>
            <w:r>
              <w:rPr>
                <w:rFonts w:hint="eastAsia"/>
                <w:color w:val="000000"/>
                <w:kern w:val="0"/>
                <w:sz w:val="18"/>
                <w:szCs w:val="18"/>
              </w:rPr>
              <w:t xml:space="preserve">    第三十七条第一款  违反本办法规定，挪用住宅专项维修资金的，由县级以上地方人民政府建设(房地产)主管部门追回挪用的住宅专项维修资金，没收违法所得，可以并处挪用金额2倍以下的罚款；构成犯罪的，依法追究直接负责的主管人员和其他直接责任人员的刑事责任。</w:t>
            </w:r>
          </w:p>
        </w:tc>
      </w:tr>
      <w:tr w14:paraId="59E369B8">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0E41B03">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103D8942">
            <w:pPr>
              <w:spacing w:line="320" w:lineRule="exact"/>
              <w:jc w:val="left"/>
              <w:rPr>
                <w:color w:val="000000"/>
                <w:kern w:val="0"/>
                <w:sz w:val="18"/>
                <w:szCs w:val="18"/>
              </w:rPr>
            </w:pPr>
            <w:r>
              <w:rPr>
                <w:rFonts w:hint="eastAsia"/>
                <w:color w:val="000000"/>
                <w:kern w:val="0"/>
                <w:sz w:val="18"/>
                <w:szCs w:val="18"/>
              </w:rPr>
              <w:t>警告，没收违法所得，罚款</w:t>
            </w:r>
          </w:p>
        </w:tc>
      </w:tr>
      <w:tr w14:paraId="2B3D2E43">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33B2050E">
            <w:pPr>
              <w:spacing w:line="320" w:lineRule="exact"/>
              <w:jc w:val="center"/>
              <w:rPr>
                <w:color w:val="000000"/>
                <w:kern w:val="0"/>
                <w:sz w:val="18"/>
                <w:szCs w:val="18"/>
              </w:rPr>
            </w:pPr>
            <w:r>
              <w:rPr>
                <w:rFonts w:hint="eastAsia"/>
                <w:color w:val="000000"/>
                <w:kern w:val="0"/>
                <w:sz w:val="18"/>
                <w:szCs w:val="18"/>
              </w:rPr>
              <w:t>裁量基准</w:t>
            </w:r>
          </w:p>
        </w:tc>
      </w:tr>
      <w:tr w14:paraId="3C106592">
        <w:tblPrEx>
          <w:tblCellMar>
            <w:top w:w="0" w:type="dxa"/>
            <w:left w:w="108" w:type="dxa"/>
            <w:bottom w:w="0" w:type="dxa"/>
            <w:right w:w="108" w:type="dxa"/>
          </w:tblCellMar>
        </w:tblPrEx>
        <w:trPr>
          <w:trHeight w:val="650" w:hRule="atLeast"/>
        </w:trPr>
        <w:tc>
          <w:tcPr>
            <w:tcW w:w="1070" w:type="dxa"/>
            <w:vMerge w:val="restart"/>
            <w:tcBorders>
              <w:top w:val="nil"/>
              <w:left w:val="single" w:color="auto" w:sz="8" w:space="0"/>
              <w:bottom w:val="single" w:color="auto" w:sz="4" w:space="0"/>
              <w:right w:val="single" w:color="auto" w:sz="4" w:space="0"/>
            </w:tcBorders>
            <w:vAlign w:val="center"/>
          </w:tcPr>
          <w:p w14:paraId="3632EF14">
            <w:pPr>
              <w:spacing w:line="320" w:lineRule="exact"/>
              <w:jc w:val="center"/>
              <w:rPr>
                <w:color w:val="000000"/>
                <w:kern w:val="0"/>
                <w:sz w:val="18"/>
                <w:szCs w:val="18"/>
              </w:rPr>
            </w:pPr>
            <w:r>
              <w:rPr>
                <w:rFonts w:hint="eastAsia"/>
                <w:color w:val="000000"/>
                <w:kern w:val="0"/>
                <w:sz w:val="18"/>
                <w:szCs w:val="18"/>
              </w:rPr>
              <w:t>情形描述</w:t>
            </w:r>
          </w:p>
        </w:tc>
        <w:tc>
          <w:tcPr>
            <w:tcW w:w="1370" w:type="dxa"/>
            <w:vMerge w:val="restart"/>
            <w:tcBorders>
              <w:top w:val="single" w:color="auto" w:sz="4" w:space="0"/>
              <w:left w:val="nil"/>
              <w:right w:val="single" w:color="auto" w:sz="4" w:space="0"/>
            </w:tcBorders>
            <w:vAlign w:val="center"/>
          </w:tcPr>
          <w:p w14:paraId="0F571CF0">
            <w:pPr>
              <w:spacing w:line="320" w:lineRule="exact"/>
              <w:jc w:val="left"/>
              <w:rPr>
                <w:color w:val="000000"/>
                <w:kern w:val="0"/>
                <w:sz w:val="18"/>
                <w:szCs w:val="18"/>
              </w:rPr>
            </w:pPr>
            <w:r>
              <w:rPr>
                <w:rFonts w:hint="eastAsia"/>
                <w:color w:val="000000"/>
                <w:kern w:val="0"/>
                <w:sz w:val="18"/>
                <w:szCs w:val="18"/>
              </w:rPr>
              <w:t>全部追回</w:t>
            </w:r>
          </w:p>
        </w:tc>
        <w:tc>
          <w:tcPr>
            <w:tcW w:w="4770" w:type="dxa"/>
            <w:tcBorders>
              <w:top w:val="single" w:color="auto" w:sz="4" w:space="0"/>
              <w:left w:val="nil"/>
              <w:right w:val="single" w:color="auto" w:sz="4" w:space="0"/>
            </w:tcBorders>
            <w:vAlign w:val="center"/>
          </w:tcPr>
          <w:p w14:paraId="1AAE0A7D">
            <w:pPr>
              <w:spacing w:line="320" w:lineRule="exact"/>
              <w:jc w:val="left"/>
              <w:rPr>
                <w:color w:val="000000"/>
                <w:kern w:val="0"/>
                <w:sz w:val="18"/>
                <w:szCs w:val="18"/>
              </w:rPr>
            </w:pPr>
            <w:r>
              <w:rPr>
                <w:rFonts w:hint="eastAsia"/>
                <w:color w:val="000000"/>
                <w:kern w:val="0"/>
                <w:sz w:val="18"/>
                <w:szCs w:val="18"/>
              </w:rPr>
              <w:t>挪用用于非营利目的，数量在</w:t>
            </w:r>
            <w:r>
              <w:rPr>
                <w:color w:val="000000"/>
                <w:kern w:val="0"/>
                <w:sz w:val="18"/>
                <w:szCs w:val="18"/>
              </w:rPr>
              <w:t>100</w:t>
            </w:r>
            <w:r>
              <w:rPr>
                <w:rFonts w:hint="eastAsia"/>
                <w:color w:val="000000"/>
                <w:kern w:val="0"/>
                <w:sz w:val="18"/>
                <w:szCs w:val="18"/>
              </w:rPr>
              <w:t>万元以上的</w:t>
            </w:r>
          </w:p>
        </w:tc>
        <w:tc>
          <w:tcPr>
            <w:tcW w:w="1080" w:type="dxa"/>
            <w:vMerge w:val="restart"/>
            <w:tcBorders>
              <w:top w:val="nil"/>
              <w:left w:val="single" w:color="auto" w:sz="4" w:space="0"/>
              <w:bottom w:val="single" w:color="auto" w:sz="4" w:space="0"/>
              <w:right w:val="single" w:color="auto" w:sz="4" w:space="0"/>
            </w:tcBorders>
            <w:vAlign w:val="center"/>
          </w:tcPr>
          <w:p w14:paraId="51B04EFE">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3BEFA7E8">
            <w:pPr>
              <w:spacing w:line="320" w:lineRule="exact"/>
              <w:jc w:val="left"/>
              <w:rPr>
                <w:color w:val="000000"/>
                <w:kern w:val="0"/>
                <w:sz w:val="18"/>
                <w:szCs w:val="18"/>
              </w:rPr>
            </w:pPr>
            <w:r>
              <w:rPr>
                <w:rFonts w:hint="eastAsia"/>
                <w:color w:val="000000"/>
                <w:kern w:val="0"/>
                <w:sz w:val="18"/>
                <w:szCs w:val="18"/>
              </w:rPr>
              <w:t>处挪用数额</w:t>
            </w:r>
            <w:r>
              <w:rPr>
                <w:color w:val="000000"/>
                <w:kern w:val="0"/>
                <w:sz w:val="18"/>
                <w:szCs w:val="18"/>
              </w:rPr>
              <w:t>0.5</w:t>
            </w:r>
            <w:r>
              <w:rPr>
                <w:rFonts w:hint="eastAsia"/>
                <w:color w:val="000000"/>
                <w:kern w:val="0"/>
                <w:sz w:val="18"/>
                <w:szCs w:val="18"/>
              </w:rPr>
              <w:t>倍以下罚款</w:t>
            </w:r>
          </w:p>
        </w:tc>
      </w:tr>
      <w:tr w14:paraId="78AAD39F">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005F624D">
            <w:pPr>
              <w:spacing w:line="320" w:lineRule="exact"/>
              <w:jc w:val="left"/>
              <w:rPr>
                <w:color w:val="000000"/>
                <w:kern w:val="0"/>
                <w:sz w:val="18"/>
                <w:szCs w:val="18"/>
              </w:rPr>
            </w:pPr>
          </w:p>
        </w:tc>
        <w:tc>
          <w:tcPr>
            <w:tcW w:w="1370" w:type="dxa"/>
            <w:vMerge w:val="continue"/>
            <w:tcBorders>
              <w:left w:val="nil"/>
              <w:bottom w:val="single" w:color="auto" w:sz="4" w:space="0"/>
              <w:right w:val="single" w:color="auto" w:sz="4" w:space="0"/>
            </w:tcBorders>
            <w:vAlign w:val="center"/>
          </w:tcPr>
          <w:p w14:paraId="069BC1D2">
            <w:pPr>
              <w:spacing w:line="320" w:lineRule="exact"/>
              <w:jc w:val="left"/>
              <w:rPr>
                <w:color w:val="000000"/>
                <w:kern w:val="0"/>
                <w:sz w:val="18"/>
                <w:szCs w:val="18"/>
              </w:rPr>
            </w:pPr>
          </w:p>
        </w:tc>
        <w:tc>
          <w:tcPr>
            <w:tcW w:w="4770" w:type="dxa"/>
            <w:tcBorders>
              <w:top w:val="single" w:color="auto" w:sz="4" w:space="0"/>
              <w:left w:val="nil"/>
              <w:bottom w:val="single" w:color="auto" w:sz="4" w:space="0"/>
              <w:right w:val="single" w:color="auto" w:sz="4" w:space="0"/>
            </w:tcBorders>
            <w:vAlign w:val="center"/>
          </w:tcPr>
          <w:p w14:paraId="1DFB27F0">
            <w:pPr>
              <w:spacing w:line="320" w:lineRule="exact"/>
              <w:jc w:val="left"/>
              <w:rPr>
                <w:color w:val="000000"/>
                <w:kern w:val="0"/>
                <w:sz w:val="18"/>
                <w:szCs w:val="18"/>
              </w:rPr>
            </w:pPr>
            <w:r>
              <w:rPr>
                <w:rFonts w:hint="eastAsia"/>
                <w:color w:val="000000"/>
                <w:kern w:val="0"/>
                <w:sz w:val="18"/>
                <w:szCs w:val="18"/>
              </w:rPr>
              <w:t>挪用用于营利目的</w:t>
            </w:r>
          </w:p>
        </w:tc>
        <w:tc>
          <w:tcPr>
            <w:tcW w:w="1080" w:type="dxa"/>
            <w:vMerge w:val="continue"/>
            <w:tcBorders>
              <w:top w:val="nil"/>
              <w:left w:val="single" w:color="auto" w:sz="4" w:space="0"/>
              <w:bottom w:val="single" w:color="auto" w:sz="4" w:space="0"/>
              <w:right w:val="single" w:color="auto" w:sz="4" w:space="0"/>
            </w:tcBorders>
            <w:vAlign w:val="center"/>
          </w:tcPr>
          <w:p w14:paraId="0BB24BDA">
            <w:pPr>
              <w:spacing w:line="320" w:lineRule="exact"/>
              <w:jc w:val="left"/>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4FB912BE">
            <w:pPr>
              <w:spacing w:line="320" w:lineRule="exact"/>
              <w:jc w:val="left"/>
              <w:rPr>
                <w:color w:val="000000"/>
                <w:kern w:val="0"/>
                <w:sz w:val="18"/>
                <w:szCs w:val="18"/>
              </w:rPr>
            </w:pPr>
            <w:r>
              <w:rPr>
                <w:rFonts w:hint="eastAsia"/>
                <w:color w:val="000000"/>
                <w:kern w:val="0"/>
                <w:sz w:val="18"/>
                <w:szCs w:val="18"/>
              </w:rPr>
              <w:t>处挪用数额</w:t>
            </w:r>
            <w:r>
              <w:rPr>
                <w:color w:val="000000"/>
                <w:kern w:val="0"/>
                <w:sz w:val="18"/>
                <w:szCs w:val="18"/>
              </w:rPr>
              <w:t>0.5</w:t>
            </w:r>
            <w:r>
              <w:rPr>
                <w:rFonts w:hint="eastAsia"/>
                <w:color w:val="000000"/>
                <w:kern w:val="0"/>
                <w:sz w:val="18"/>
                <w:szCs w:val="18"/>
              </w:rPr>
              <w:t>倍以上</w:t>
            </w:r>
            <w:r>
              <w:rPr>
                <w:color w:val="000000"/>
                <w:kern w:val="0"/>
                <w:sz w:val="18"/>
                <w:szCs w:val="18"/>
              </w:rPr>
              <w:t>1</w:t>
            </w:r>
            <w:r>
              <w:rPr>
                <w:rFonts w:hint="eastAsia"/>
                <w:color w:val="000000"/>
                <w:kern w:val="0"/>
                <w:sz w:val="18"/>
                <w:szCs w:val="18"/>
              </w:rPr>
              <w:t>倍以下罚款</w:t>
            </w:r>
          </w:p>
        </w:tc>
      </w:tr>
      <w:tr w14:paraId="797345D6">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AA4C567">
            <w:pPr>
              <w:spacing w:line="320" w:lineRule="exact"/>
              <w:jc w:val="left"/>
              <w:rPr>
                <w:color w:val="000000"/>
                <w:kern w:val="0"/>
                <w:sz w:val="18"/>
                <w:szCs w:val="18"/>
              </w:rPr>
            </w:pPr>
          </w:p>
        </w:tc>
        <w:tc>
          <w:tcPr>
            <w:tcW w:w="1370" w:type="dxa"/>
            <w:vMerge w:val="restart"/>
            <w:tcBorders>
              <w:top w:val="single" w:color="auto" w:sz="4" w:space="0"/>
              <w:left w:val="nil"/>
              <w:right w:val="single" w:color="auto" w:sz="4" w:space="0"/>
            </w:tcBorders>
            <w:vAlign w:val="center"/>
          </w:tcPr>
          <w:p w14:paraId="5F40507F">
            <w:pPr>
              <w:spacing w:line="320" w:lineRule="exact"/>
              <w:jc w:val="left"/>
              <w:rPr>
                <w:color w:val="000000"/>
                <w:kern w:val="0"/>
                <w:sz w:val="18"/>
                <w:szCs w:val="18"/>
              </w:rPr>
            </w:pPr>
            <w:r>
              <w:rPr>
                <w:rFonts w:hint="eastAsia"/>
                <w:color w:val="000000"/>
                <w:kern w:val="0"/>
                <w:sz w:val="18"/>
                <w:szCs w:val="18"/>
              </w:rPr>
              <w:t>未能全部追回</w:t>
            </w:r>
          </w:p>
        </w:tc>
        <w:tc>
          <w:tcPr>
            <w:tcW w:w="4770" w:type="dxa"/>
            <w:tcBorders>
              <w:top w:val="single" w:color="auto" w:sz="4" w:space="0"/>
              <w:left w:val="nil"/>
              <w:bottom w:val="single" w:color="auto" w:sz="4" w:space="0"/>
              <w:right w:val="single" w:color="auto" w:sz="4" w:space="0"/>
            </w:tcBorders>
            <w:vAlign w:val="center"/>
          </w:tcPr>
          <w:p w14:paraId="7081BDBB">
            <w:pPr>
              <w:spacing w:line="320" w:lineRule="exact"/>
              <w:jc w:val="left"/>
              <w:rPr>
                <w:color w:val="000000"/>
                <w:kern w:val="0"/>
                <w:sz w:val="18"/>
                <w:szCs w:val="18"/>
              </w:rPr>
            </w:pPr>
            <w:r>
              <w:rPr>
                <w:rFonts w:hint="eastAsia"/>
                <w:color w:val="000000"/>
                <w:kern w:val="0"/>
                <w:sz w:val="18"/>
                <w:szCs w:val="18"/>
              </w:rPr>
              <w:t>挪用用于非营利目的</w:t>
            </w:r>
          </w:p>
        </w:tc>
        <w:tc>
          <w:tcPr>
            <w:tcW w:w="1080" w:type="dxa"/>
            <w:vMerge w:val="continue"/>
            <w:tcBorders>
              <w:top w:val="nil"/>
              <w:left w:val="single" w:color="auto" w:sz="4" w:space="0"/>
              <w:bottom w:val="single" w:color="auto" w:sz="4" w:space="0"/>
              <w:right w:val="single" w:color="auto" w:sz="4" w:space="0"/>
            </w:tcBorders>
            <w:vAlign w:val="center"/>
          </w:tcPr>
          <w:p w14:paraId="0261B323">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71576E2">
            <w:pPr>
              <w:spacing w:line="320" w:lineRule="exact"/>
              <w:jc w:val="left"/>
              <w:rPr>
                <w:color w:val="000000"/>
                <w:kern w:val="0"/>
                <w:sz w:val="18"/>
                <w:szCs w:val="18"/>
              </w:rPr>
            </w:pPr>
            <w:r>
              <w:rPr>
                <w:rFonts w:hint="eastAsia"/>
                <w:color w:val="000000"/>
                <w:kern w:val="0"/>
                <w:sz w:val="18"/>
                <w:szCs w:val="18"/>
              </w:rPr>
              <w:t>处挪用数额一倍以上</w:t>
            </w:r>
            <w:r>
              <w:rPr>
                <w:color w:val="000000"/>
                <w:kern w:val="0"/>
                <w:sz w:val="18"/>
                <w:szCs w:val="18"/>
              </w:rPr>
              <w:t>1.5</w:t>
            </w:r>
            <w:r>
              <w:rPr>
                <w:rFonts w:hint="eastAsia"/>
                <w:color w:val="000000"/>
                <w:kern w:val="0"/>
                <w:sz w:val="18"/>
                <w:szCs w:val="18"/>
              </w:rPr>
              <w:t>倍以下罚款</w:t>
            </w:r>
          </w:p>
        </w:tc>
      </w:tr>
      <w:tr w14:paraId="74CADB3B">
        <w:tblPrEx>
          <w:tblCellMar>
            <w:top w:w="0" w:type="dxa"/>
            <w:left w:w="108" w:type="dxa"/>
            <w:bottom w:w="0" w:type="dxa"/>
            <w:right w:w="108" w:type="dxa"/>
          </w:tblCellMar>
        </w:tblPrEx>
        <w:trPr>
          <w:trHeight w:val="401" w:hRule="atLeast"/>
        </w:trPr>
        <w:tc>
          <w:tcPr>
            <w:tcW w:w="1070" w:type="dxa"/>
            <w:vMerge w:val="continue"/>
            <w:tcBorders>
              <w:top w:val="nil"/>
              <w:left w:val="single" w:color="auto" w:sz="8" w:space="0"/>
              <w:bottom w:val="single" w:color="auto" w:sz="4" w:space="0"/>
              <w:right w:val="single" w:color="auto" w:sz="4" w:space="0"/>
            </w:tcBorders>
            <w:vAlign w:val="center"/>
          </w:tcPr>
          <w:p w14:paraId="2B97E106">
            <w:pPr>
              <w:spacing w:line="320" w:lineRule="exact"/>
              <w:jc w:val="left"/>
              <w:rPr>
                <w:color w:val="000000"/>
                <w:kern w:val="0"/>
                <w:sz w:val="18"/>
                <w:szCs w:val="18"/>
              </w:rPr>
            </w:pPr>
          </w:p>
        </w:tc>
        <w:tc>
          <w:tcPr>
            <w:tcW w:w="1370" w:type="dxa"/>
            <w:vMerge w:val="continue"/>
            <w:tcBorders>
              <w:left w:val="nil"/>
              <w:bottom w:val="single" w:color="auto" w:sz="4" w:space="0"/>
              <w:right w:val="single" w:color="auto" w:sz="4" w:space="0"/>
            </w:tcBorders>
            <w:vAlign w:val="center"/>
          </w:tcPr>
          <w:p w14:paraId="41D9BDF8">
            <w:pPr>
              <w:spacing w:line="320" w:lineRule="exact"/>
              <w:jc w:val="left"/>
              <w:rPr>
                <w:color w:val="000000"/>
                <w:kern w:val="0"/>
                <w:sz w:val="18"/>
                <w:szCs w:val="18"/>
              </w:rPr>
            </w:pPr>
          </w:p>
        </w:tc>
        <w:tc>
          <w:tcPr>
            <w:tcW w:w="4770" w:type="dxa"/>
            <w:tcBorders>
              <w:top w:val="single" w:color="auto" w:sz="4" w:space="0"/>
              <w:left w:val="nil"/>
              <w:bottom w:val="single" w:color="auto" w:sz="4" w:space="0"/>
              <w:right w:val="single" w:color="auto" w:sz="4" w:space="0"/>
            </w:tcBorders>
            <w:vAlign w:val="center"/>
          </w:tcPr>
          <w:p w14:paraId="7C51B84A">
            <w:pPr>
              <w:spacing w:line="320" w:lineRule="exact"/>
              <w:jc w:val="left"/>
              <w:rPr>
                <w:color w:val="000000"/>
                <w:kern w:val="0"/>
                <w:sz w:val="18"/>
                <w:szCs w:val="18"/>
              </w:rPr>
            </w:pPr>
            <w:r>
              <w:rPr>
                <w:rFonts w:hint="eastAsia"/>
                <w:color w:val="000000"/>
                <w:kern w:val="0"/>
                <w:sz w:val="18"/>
                <w:szCs w:val="18"/>
              </w:rPr>
              <w:t>挪用用于营利目的</w:t>
            </w:r>
          </w:p>
        </w:tc>
        <w:tc>
          <w:tcPr>
            <w:tcW w:w="1080" w:type="dxa"/>
            <w:vMerge w:val="continue"/>
            <w:tcBorders>
              <w:top w:val="nil"/>
              <w:left w:val="single" w:color="auto" w:sz="4" w:space="0"/>
              <w:bottom w:val="single" w:color="auto" w:sz="4" w:space="0"/>
              <w:right w:val="single" w:color="auto" w:sz="4" w:space="0"/>
            </w:tcBorders>
            <w:vAlign w:val="center"/>
          </w:tcPr>
          <w:p w14:paraId="023E6919">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DA79878">
            <w:pPr>
              <w:spacing w:line="320" w:lineRule="exact"/>
              <w:jc w:val="left"/>
              <w:rPr>
                <w:color w:val="000000"/>
                <w:kern w:val="0"/>
                <w:sz w:val="18"/>
                <w:szCs w:val="18"/>
              </w:rPr>
            </w:pPr>
            <w:r>
              <w:rPr>
                <w:rFonts w:hint="eastAsia"/>
                <w:color w:val="000000"/>
                <w:kern w:val="0"/>
                <w:sz w:val="18"/>
                <w:szCs w:val="18"/>
              </w:rPr>
              <w:t>处挪用数额一倍以上</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tc>
      </w:tr>
    </w:tbl>
    <w:p w14:paraId="39DBF7D0"/>
    <w:p w14:paraId="52925702"/>
    <w:p w14:paraId="354CEFB7"/>
    <w:p w14:paraId="6F871E0E"/>
    <w:p w14:paraId="194D3FE7"/>
    <w:p w14:paraId="589A8E98"/>
    <w:tbl>
      <w:tblPr>
        <w:tblStyle w:val="15"/>
        <w:tblW w:w="0" w:type="auto"/>
        <w:tblInd w:w="78" w:type="dxa"/>
        <w:tblLayout w:type="fixed"/>
        <w:tblCellMar>
          <w:top w:w="0" w:type="dxa"/>
          <w:left w:w="108" w:type="dxa"/>
          <w:bottom w:w="0" w:type="dxa"/>
          <w:right w:w="108" w:type="dxa"/>
        </w:tblCellMar>
      </w:tblPr>
      <w:tblGrid>
        <w:gridCol w:w="1070"/>
        <w:gridCol w:w="1512"/>
        <w:gridCol w:w="4628"/>
        <w:gridCol w:w="1080"/>
        <w:gridCol w:w="5760"/>
      </w:tblGrid>
      <w:tr w14:paraId="53F00CBF">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1654408">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12D2EF35">
            <w:pPr>
              <w:spacing w:line="320" w:lineRule="exact"/>
              <w:jc w:val="left"/>
              <w:rPr>
                <w:rFonts w:eastAsia="仿宋_GB2312"/>
                <w:b/>
                <w:bCs/>
                <w:color w:val="000000"/>
                <w:kern w:val="0"/>
                <w:sz w:val="18"/>
                <w:szCs w:val="18"/>
              </w:rPr>
            </w:pPr>
            <w:r>
              <w:rPr>
                <w:rFonts w:eastAsia="仿宋_GB2312"/>
                <w:b/>
                <w:bCs/>
                <w:color w:val="000000"/>
                <w:kern w:val="0"/>
                <w:sz w:val="18"/>
                <w:szCs w:val="18"/>
              </w:rPr>
              <w:t>320217447000</w:t>
            </w:r>
          </w:p>
        </w:tc>
      </w:tr>
      <w:tr w14:paraId="5E59ECB4">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D340271">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55157B12">
            <w:pPr>
              <w:spacing w:line="320" w:lineRule="exact"/>
              <w:jc w:val="left"/>
              <w:rPr>
                <w:color w:val="000000"/>
                <w:kern w:val="0"/>
                <w:sz w:val="18"/>
                <w:szCs w:val="18"/>
              </w:rPr>
            </w:pPr>
            <w:r>
              <w:rPr>
                <w:rFonts w:hint="eastAsia"/>
                <w:color w:val="000000"/>
                <w:kern w:val="0"/>
                <w:sz w:val="18"/>
                <w:szCs w:val="18"/>
              </w:rPr>
              <w:t>对建设单位在物业管理区域内不按照规定配置必要的物业管理用房的处罚</w:t>
            </w:r>
          </w:p>
        </w:tc>
      </w:tr>
      <w:tr w14:paraId="041851E0">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71C298FF">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1187063D">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14:paraId="59065F2A">
            <w:pPr>
              <w:spacing w:line="320" w:lineRule="exact"/>
              <w:jc w:val="left"/>
              <w:rPr>
                <w:color w:val="000000"/>
                <w:kern w:val="0"/>
                <w:sz w:val="18"/>
                <w:szCs w:val="18"/>
              </w:rPr>
            </w:pPr>
            <w:r>
              <w:rPr>
                <w:rFonts w:hint="eastAsia"/>
                <w:color w:val="000000"/>
                <w:kern w:val="0"/>
                <w:sz w:val="18"/>
                <w:szCs w:val="18"/>
              </w:rPr>
              <w:t>第三十条　建设单位应当按照规定在物业管理区域内配置必要的物业管理用房。</w:t>
            </w:r>
          </w:p>
          <w:p w14:paraId="5302E5E1">
            <w:pPr>
              <w:spacing w:line="320" w:lineRule="exact"/>
              <w:jc w:val="left"/>
              <w:rPr>
                <w:color w:val="000000"/>
                <w:kern w:val="0"/>
                <w:sz w:val="18"/>
                <w:szCs w:val="18"/>
              </w:rPr>
            </w:pPr>
            <w:r>
              <w:rPr>
                <w:rFonts w:hint="eastAsia"/>
                <w:color w:val="000000"/>
                <w:kern w:val="0"/>
                <w:sz w:val="18"/>
                <w:szCs w:val="18"/>
              </w:rPr>
              <w:t>第六十一条</w:t>
            </w:r>
            <w:r>
              <w:rPr>
                <w:color w:val="000000"/>
                <w:kern w:val="0"/>
                <w:sz w:val="18"/>
                <w:szCs w:val="18"/>
              </w:rPr>
              <w:t xml:space="preserve"> </w:t>
            </w:r>
            <w:r>
              <w:rPr>
                <w:rFonts w:hint="eastAsia"/>
                <w:color w:val="000000"/>
                <w:kern w:val="0"/>
                <w:sz w:val="18"/>
                <w:szCs w:val="18"/>
              </w:rPr>
              <w:t>违反本条例的规定，建设单位在物业管理区域内不按照规定配置必要的物业管理用房的，由县级以上地方人民政府房地产行政主管部门责令限期改正，给予警告，没收违法所得，并处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r w14:paraId="3AFEDB01">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AF3ECA6">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7D91718D">
            <w:pPr>
              <w:spacing w:line="320" w:lineRule="exact"/>
              <w:jc w:val="left"/>
              <w:rPr>
                <w:color w:val="000000"/>
                <w:kern w:val="0"/>
                <w:sz w:val="18"/>
                <w:szCs w:val="18"/>
              </w:rPr>
            </w:pPr>
            <w:r>
              <w:rPr>
                <w:rFonts w:hint="eastAsia"/>
                <w:color w:val="000000"/>
                <w:kern w:val="0"/>
                <w:sz w:val="18"/>
                <w:szCs w:val="18"/>
              </w:rPr>
              <w:t>警告、没收违法所得、罚款</w:t>
            </w:r>
          </w:p>
        </w:tc>
      </w:tr>
      <w:tr w14:paraId="60A44D64">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146B8D95">
            <w:pPr>
              <w:spacing w:line="320" w:lineRule="exact"/>
              <w:jc w:val="center"/>
              <w:rPr>
                <w:color w:val="000000"/>
                <w:kern w:val="0"/>
                <w:sz w:val="18"/>
                <w:szCs w:val="18"/>
              </w:rPr>
            </w:pPr>
            <w:r>
              <w:rPr>
                <w:rFonts w:hint="eastAsia"/>
                <w:color w:val="000000"/>
                <w:kern w:val="0"/>
                <w:sz w:val="18"/>
                <w:szCs w:val="18"/>
              </w:rPr>
              <w:t>裁量基准</w:t>
            </w:r>
          </w:p>
        </w:tc>
      </w:tr>
      <w:tr w14:paraId="3DAD41A0">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5EDC984B">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3959459A">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color="auto" w:sz="4" w:space="0"/>
              <w:bottom w:val="single" w:color="auto" w:sz="4" w:space="0"/>
              <w:right w:val="single" w:color="auto" w:sz="4" w:space="0"/>
            </w:tcBorders>
            <w:vAlign w:val="center"/>
          </w:tcPr>
          <w:p w14:paraId="5F24E72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4069AFB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14:paraId="31AD8B42">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3B9B1BA9">
            <w:pPr>
              <w:spacing w:line="320" w:lineRule="exact"/>
              <w:jc w:val="left"/>
              <w:rPr>
                <w:color w:val="000000"/>
                <w:kern w:val="0"/>
                <w:sz w:val="18"/>
                <w:szCs w:val="18"/>
              </w:rPr>
            </w:pPr>
          </w:p>
        </w:tc>
        <w:tc>
          <w:tcPr>
            <w:tcW w:w="1512" w:type="dxa"/>
            <w:vMerge w:val="restart"/>
            <w:tcBorders>
              <w:top w:val="single" w:color="auto" w:sz="4" w:space="0"/>
              <w:left w:val="nil"/>
              <w:right w:val="single" w:color="auto" w:sz="4" w:space="0"/>
            </w:tcBorders>
            <w:vAlign w:val="center"/>
          </w:tcPr>
          <w:p w14:paraId="653CB044">
            <w:pPr>
              <w:spacing w:line="320" w:lineRule="exact"/>
              <w:jc w:val="left"/>
              <w:rPr>
                <w:color w:val="000000"/>
                <w:kern w:val="0"/>
                <w:sz w:val="18"/>
                <w:szCs w:val="18"/>
              </w:rPr>
            </w:pPr>
            <w:r>
              <w:rPr>
                <w:rFonts w:hint="eastAsia"/>
                <w:color w:val="000000"/>
                <w:kern w:val="0"/>
                <w:sz w:val="18"/>
                <w:szCs w:val="18"/>
              </w:rPr>
              <w:t>未按照要求整改</w:t>
            </w:r>
          </w:p>
        </w:tc>
        <w:tc>
          <w:tcPr>
            <w:tcW w:w="4628" w:type="dxa"/>
            <w:tcBorders>
              <w:top w:val="single" w:color="auto" w:sz="4" w:space="0"/>
              <w:left w:val="nil"/>
              <w:bottom w:val="single" w:color="auto" w:sz="4" w:space="0"/>
              <w:right w:val="single" w:color="auto" w:sz="4" w:space="0"/>
            </w:tcBorders>
            <w:vAlign w:val="center"/>
          </w:tcPr>
          <w:p w14:paraId="06FE2ED5">
            <w:pPr>
              <w:spacing w:line="320" w:lineRule="exact"/>
              <w:jc w:val="left"/>
              <w:rPr>
                <w:color w:val="000000"/>
                <w:kern w:val="0"/>
                <w:sz w:val="18"/>
                <w:szCs w:val="18"/>
              </w:rPr>
            </w:pPr>
            <w:r>
              <w:rPr>
                <w:rFonts w:hint="eastAsia"/>
                <w:color w:val="000000"/>
                <w:kern w:val="0"/>
                <w:sz w:val="18"/>
                <w:szCs w:val="18"/>
              </w:rPr>
              <w:t>配置用房面积在规定标准</w:t>
            </w:r>
            <w:r>
              <w:rPr>
                <w:color w:val="000000"/>
                <w:kern w:val="0"/>
                <w:sz w:val="18"/>
                <w:szCs w:val="18"/>
              </w:rPr>
              <w:t>3/4</w:t>
            </w:r>
            <w:r>
              <w:rPr>
                <w:rFonts w:hint="eastAsia"/>
                <w:color w:val="000000"/>
                <w:kern w:val="0"/>
                <w:sz w:val="18"/>
                <w:szCs w:val="18"/>
              </w:rPr>
              <w:t>以上的</w:t>
            </w:r>
          </w:p>
        </w:tc>
        <w:tc>
          <w:tcPr>
            <w:tcW w:w="1080" w:type="dxa"/>
            <w:vMerge w:val="continue"/>
            <w:tcBorders>
              <w:top w:val="nil"/>
              <w:left w:val="single" w:color="auto" w:sz="4" w:space="0"/>
              <w:bottom w:val="single" w:color="auto" w:sz="4" w:space="0"/>
              <w:right w:val="single" w:color="auto" w:sz="4" w:space="0"/>
            </w:tcBorders>
            <w:vAlign w:val="center"/>
          </w:tcPr>
          <w:p w14:paraId="54F63FDF">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6A4C6A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14:paraId="50327B31">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689BA63B">
            <w:pPr>
              <w:spacing w:line="320" w:lineRule="exact"/>
              <w:jc w:val="left"/>
              <w:rPr>
                <w:color w:val="000000"/>
                <w:kern w:val="0"/>
                <w:sz w:val="18"/>
                <w:szCs w:val="18"/>
              </w:rPr>
            </w:pPr>
          </w:p>
        </w:tc>
        <w:tc>
          <w:tcPr>
            <w:tcW w:w="1512" w:type="dxa"/>
            <w:vMerge w:val="continue"/>
            <w:tcBorders>
              <w:left w:val="nil"/>
              <w:right w:val="single" w:color="auto" w:sz="4" w:space="0"/>
            </w:tcBorders>
            <w:vAlign w:val="center"/>
          </w:tcPr>
          <w:p w14:paraId="5DA8A8C2">
            <w:pPr>
              <w:spacing w:line="320" w:lineRule="exact"/>
              <w:jc w:val="left"/>
              <w:rPr>
                <w:color w:val="000000"/>
                <w:kern w:val="0"/>
                <w:sz w:val="18"/>
                <w:szCs w:val="18"/>
              </w:rPr>
            </w:pPr>
          </w:p>
        </w:tc>
        <w:tc>
          <w:tcPr>
            <w:tcW w:w="4628" w:type="dxa"/>
            <w:tcBorders>
              <w:top w:val="single" w:color="auto" w:sz="4" w:space="0"/>
              <w:left w:val="nil"/>
              <w:bottom w:val="single" w:color="auto" w:sz="4" w:space="0"/>
              <w:right w:val="single" w:color="auto" w:sz="4" w:space="0"/>
            </w:tcBorders>
            <w:vAlign w:val="center"/>
          </w:tcPr>
          <w:p w14:paraId="206FD356">
            <w:pPr>
              <w:spacing w:line="320" w:lineRule="exact"/>
              <w:jc w:val="left"/>
              <w:rPr>
                <w:color w:val="000000"/>
                <w:kern w:val="0"/>
                <w:sz w:val="18"/>
                <w:szCs w:val="18"/>
              </w:rPr>
            </w:pPr>
            <w:r>
              <w:rPr>
                <w:rFonts w:hint="eastAsia"/>
                <w:color w:val="000000"/>
                <w:kern w:val="0"/>
                <w:sz w:val="18"/>
                <w:szCs w:val="18"/>
              </w:rPr>
              <w:t>配置用房面积在规定标准</w:t>
            </w:r>
            <w:r>
              <w:rPr>
                <w:color w:val="000000"/>
                <w:kern w:val="0"/>
                <w:sz w:val="18"/>
                <w:szCs w:val="18"/>
              </w:rPr>
              <w:t>1/2</w:t>
            </w:r>
            <w:r>
              <w:rPr>
                <w:rFonts w:hint="eastAsia"/>
                <w:color w:val="000000"/>
                <w:kern w:val="0"/>
                <w:sz w:val="18"/>
                <w:szCs w:val="18"/>
              </w:rPr>
              <w:t>至</w:t>
            </w:r>
            <w:r>
              <w:rPr>
                <w:color w:val="000000"/>
                <w:kern w:val="0"/>
                <w:sz w:val="18"/>
                <w:szCs w:val="18"/>
              </w:rPr>
              <w:t>3/4</w:t>
            </w:r>
            <w:r>
              <w:rPr>
                <w:rFonts w:hint="eastAsia"/>
                <w:color w:val="000000"/>
                <w:kern w:val="0"/>
                <w:sz w:val="18"/>
                <w:szCs w:val="18"/>
              </w:rPr>
              <w:t>的</w:t>
            </w:r>
          </w:p>
        </w:tc>
        <w:tc>
          <w:tcPr>
            <w:tcW w:w="1080" w:type="dxa"/>
            <w:vMerge w:val="continue"/>
            <w:tcBorders>
              <w:top w:val="nil"/>
              <w:left w:val="single" w:color="auto" w:sz="4" w:space="0"/>
              <w:bottom w:val="single" w:color="auto" w:sz="4" w:space="0"/>
              <w:right w:val="single" w:color="auto" w:sz="4" w:space="0"/>
            </w:tcBorders>
            <w:vAlign w:val="center"/>
          </w:tcPr>
          <w:p w14:paraId="76EE268F">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96DC5A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万元以下的罚款</w:t>
            </w:r>
          </w:p>
        </w:tc>
      </w:tr>
      <w:tr w14:paraId="03AA362D">
        <w:tblPrEx>
          <w:tblCellMar>
            <w:top w:w="0" w:type="dxa"/>
            <w:left w:w="108" w:type="dxa"/>
            <w:bottom w:w="0" w:type="dxa"/>
            <w:right w:w="108" w:type="dxa"/>
          </w:tblCellMar>
        </w:tblPrEx>
        <w:trPr>
          <w:trHeight w:val="401" w:hRule="atLeast"/>
        </w:trPr>
        <w:tc>
          <w:tcPr>
            <w:tcW w:w="1070" w:type="dxa"/>
            <w:vMerge w:val="continue"/>
            <w:tcBorders>
              <w:top w:val="nil"/>
              <w:left w:val="single" w:color="auto" w:sz="8" w:space="0"/>
              <w:bottom w:val="single" w:color="auto" w:sz="4" w:space="0"/>
              <w:right w:val="single" w:color="auto" w:sz="4" w:space="0"/>
            </w:tcBorders>
            <w:vAlign w:val="center"/>
          </w:tcPr>
          <w:p w14:paraId="36116315">
            <w:pPr>
              <w:spacing w:line="320" w:lineRule="exact"/>
              <w:jc w:val="left"/>
              <w:rPr>
                <w:color w:val="000000"/>
                <w:kern w:val="0"/>
                <w:sz w:val="18"/>
                <w:szCs w:val="18"/>
              </w:rPr>
            </w:pPr>
          </w:p>
        </w:tc>
        <w:tc>
          <w:tcPr>
            <w:tcW w:w="1512" w:type="dxa"/>
            <w:vMerge w:val="continue"/>
            <w:tcBorders>
              <w:left w:val="nil"/>
              <w:bottom w:val="single" w:color="auto" w:sz="4" w:space="0"/>
              <w:right w:val="single" w:color="auto" w:sz="4" w:space="0"/>
            </w:tcBorders>
            <w:vAlign w:val="center"/>
          </w:tcPr>
          <w:p w14:paraId="4F391F44">
            <w:pPr>
              <w:spacing w:line="320" w:lineRule="exact"/>
              <w:jc w:val="left"/>
              <w:rPr>
                <w:color w:val="000000"/>
                <w:kern w:val="0"/>
                <w:sz w:val="18"/>
                <w:szCs w:val="18"/>
              </w:rPr>
            </w:pPr>
          </w:p>
        </w:tc>
        <w:tc>
          <w:tcPr>
            <w:tcW w:w="4628" w:type="dxa"/>
            <w:tcBorders>
              <w:top w:val="single" w:color="auto" w:sz="4" w:space="0"/>
              <w:left w:val="nil"/>
              <w:bottom w:val="single" w:color="auto" w:sz="4" w:space="0"/>
              <w:right w:val="single" w:color="auto" w:sz="4" w:space="0"/>
            </w:tcBorders>
            <w:vAlign w:val="center"/>
          </w:tcPr>
          <w:p w14:paraId="3420C8D0">
            <w:pPr>
              <w:spacing w:line="320" w:lineRule="exact"/>
              <w:jc w:val="left"/>
              <w:rPr>
                <w:color w:val="000000"/>
                <w:kern w:val="0"/>
                <w:sz w:val="18"/>
                <w:szCs w:val="18"/>
              </w:rPr>
            </w:pPr>
            <w:r>
              <w:rPr>
                <w:rFonts w:hint="eastAsia"/>
                <w:color w:val="000000"/>
                <w:kern w:val="0"/>
                <w:sz w:val="18"/>
                <w:szCs w:val="18"/>
              </w:rPr>
              <w:t>配置用房面积不足规定标准</w:t>
            </w:r>
            <w:r>
              <w:rPr>
                <w:color w:val="000000"/>
                <w:kern w:val="0"/>
                <w:sz w:val="18"/>
                <w:szCs w:val="18"/>
              </w:rPr>
              <w:t>1/2</w:t>
            </w:r>
            <w:r>
              <w:rPr>
                <w:rFonts w:hint="eastAsia"/>
                <w:color w:val="000000"/>
                <w:kern w:val="0"/>
                <w:sz w:val="18"/>
                <w:szCs w:val="18"/>
              </w:rPr>
              <w:t>的</w:t>
            </w:r>
          </w:p>
        </w:tc>
        <w:tc>
          <w:tcPr>
            <w:tcW w:w="1080" w:type="dxa"/>
            <w:vMerge w:val="continue"/>
            <w:tcBorders>
              <w:top w:val="nil"/>
              <w:left w:val="single" w:color="auto" w:sz="4" w:space="0"/>
              <w:bottom w:val="single" w:color="auto" w:sz="4" w:space="0"/>
              <w:right w:val="single" w:color="auto" w:sz="4" w:space="0"/>
            </w:tcBorders>
            <w:vAlign w:val="center"/>
          </w:tcPr>
          <w:p w14:paraId="19EBB4D2">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16D035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bl>
    <w:p w14:paraId="465243EF"/>
    <w:p w14:paraId="101A82B6"/>
    <w:p w14:paraId="140295DE"/>
    <w:p w14:paraId="2492958D"/>
    <w:p w14:paraId="238CFAAC"/>
    <w:p w14:paraId="2916A9E8"/>
    <w:p w14:paraId="7F3C4D22"/>
    <w:p w14:paraId="15C3B136"/>
    <w:p w14:paraId="31B5E52A"/>
    <w:p w14:paraId="638DE66D"/>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84"/>
        <w:gridCol w:w="12"/>
      </w:tblGrid>
      <w:tr w14:paraId="08666127">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78425CAA">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color="auto" w:sz="8" w:space="0"/>
              <w:left w:val="nil"/>
              <w:bottom w:val="single" w:color="auto" w:sz="4" w:space="0"/>
              <w:right w:val="single" w:color="000000" w:sz="8" w:space="0"/>
            </w:tcBorders>
            <w:vAlign w:val="center"/>
          </w:tcPr>
          <w:p w14:paraId="48C4C53B">
            <w:pPr>
              <w:spacing w:line="320" w:lineRule="exact"/>
              <w:jc w:val="left"/>
              <w:rPr>
                <w:rFonts w:eastAsia="仿宋_GB2312"/>
                <w:b/>
                <w:bCs/>
                <w:color w:val="000000"/>
                <w:kern w:val="0"/>
                <w:sz w:val="18"/>
                <w:szCs w:val="18"/>
              </w:rPr>
            </w:pPr>
            <w:r>
              <w:rPr>
                <w:rFonts w:eastAsia="仿宋_GB2312"/>
                <w:b/>
                <w:bCs/>
                <w:color w:val="000000"/>
                <w:kern w:val="0"/>
                <w:sz w:val="18"/>
                <w:szCs w:val="18"/>
              </w:rPr>
              <w:t>320217448000</w:t>
            </w:r>
            <w:r>
              <w:rPr>
                <w:rFonts w:hint="eastAsia" w:eastAsia="仿宋_GB2312"/>
                <w:b/>
                <w:bCs/>
                <w:color w:val="000000"/>
                <w:kern w:val="0"/>
                <w:sz w:val="18"/>
                <w:szCs w:val="18"/>
              </w:rPr>
              <w:t xml:space="preserve"> </w:t>
            </w:r>
          </w:p>
        </w:tc>
      </w:tr>
      <w:tr w14:paraId="5FD29642">
        <w:tblPrEx>
          <w:tblCellMar>
            <w:top w:w="0" w:type="dxa"/>
            <w:left w:w="108" w:type="dxa"/>
            <w:bottom w:w="0" w:type="dxa"/>
            <w:right w:w="108" w:type="dxa"/>
          </w:tblCellMar>
        </w:tblPrEx>
        <w:trPr>
          <w:trHeight w:val="540" w:hRule="atLeast"/>
        </w:trPr>
        <w:tc>
          <w:tcPr>
            <w:tcW w:w="996" w:type="dxa"/>
            <w:gridSpan w:val="2"/>
            <w:tcBorders>
              <w:top w:val="nil"/>
              <w:left w:val="single" w:color="auto" w:sz="8" w:space="0"/>
              <w:bottom w:val="single" w:color="auto" w:sz="4" w:space="0"/>
              <w:right w:val="single" w:color="auto" w:sz="4" w:space="0"/>
            </w:tcBorders>
            <w:vAlign w:val="center"/>
          </w:tcPr>
          <w:p w14:paraId="258B89F8">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color="auto" w:sz="4" w:space="0"/>
              <w:left w:val="nil"/>
              <w:bottom w:val="single" w:color="auto" w:sz="4" w:space="0"/>
              <w:right w:val="single" w:color="000000" w:sz="8" w:space="0"/>
            </w:tcBorders>
            <w:vAlign w:val="center"/>
          </w:tcPr>
          <w:p w14:paraId="4701C6B7">
            <w:pPr>
              <w:spacing w:line="320" w:lineRule="exact"/>
              <w:jc w:val="left"/>
              <w:rPr>
                <w:color w:val="000000"/>
                <w:kern w:val="0"/>
                <w:sz w:val="18"/>
                <w:szCs w:val="18"/>
              </w:rPr>
            </w:pPr>
            <w:r>
              <w:rPr>
                <w:rFonts w:hint="eastAsia"/>
                <w:color w:val="000000"/>
                <w:kern w:val="0"/>
                <w:sz w:val="18"/>
                <w:szCs w:val="18"/>
              </w:rPr>
              <w:t>对在燃气设施保护范围内未与燃气经营者共同制定燃气设施保护方案，采取相应的安全保护措施，从事敷设管道、打桩、顶进、挖掘、钻探等可能影响燃气设施安全活动的处罚</w:t>
            </w:r>
          </w:p>
        </w:tc>
      </w:tr>
      <w:tr w14:paraId="4347EF67">
        <w:tblPrEx>
          <w:tblCellMar>
            <w:top w:w="0" w:type="dxa"/>
            <w:left w:w="108" w:type="dxa"/>
            <w:bottom w:w="0" w:type="dxa"/>
            <w:right w:w="108" w:type="dxa"/>
          </w:tblCellMar>
        </w:tblPrEx>
        <w:trPr>
          <w:trHeight w:val="1755" w:hRule="atLeast"/>
        </w:trPr>
        <w:tc>
          <w:tcPr>
            <w:tcW w:w="996" w:type="dxa"/>
            <w:gridSpan w:val="2"/>
            <w:tcBorders>
              <w:top w:val="nil"/>
              <w:left w:val="single" w:color="auto" w:sz="8" w:space="0"/>
              <w:bottom w:val="single" w:color="auto" w:sz="4" w:space="0"/>
              <w:right w:val="single" w:color="auto" w:sz="4" w:space="0"/>
            </w:tcBorders>
            <w:vAlign w:val="center"/>
          </w:tcPr>
          <w:p w14:paraId="4EBE0DFD">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color="auto" w:sz="4" w:space="0"/>
              <w:left w:val="nil"/>
              <w:bottom w:val="single" w:color="auto" w:sz="4" w:space="0"/>
              <w:right w:val="single" w:color="000000" w:sz="8" w:space="0"/>
            </w:tcBorders>
            <w:vAlign w:val="center"/>
          </w:tcPr>
          <w:p w14:paraId="08B93FD9">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12EE351F">
            <w:pPr>
              <w:spacing w:line="320" w:lineRule="exact"/>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在燃气设施保护范围内，有关单位从事敷设管道、打桩、顶进、挖掘、钻探等可能影响燃气设施安全活动的，应当与燃气经营者共同制定燃气设施保护方案，并采取相应的安全保护措施。</w:t>
            </w:r>
          </w:p>
          <w:p w14:paraId="070D02D1">
            <w:pPr>
              <w:spacing w:line="320" w:lineRule="exact"/>
              <w:jc w:val="left"/>
              <w:rPr>
                <w:color w:val="000000"/>
                <w:kern w:val="0"/>
                <w:sz w:val="18"/>
                <w:szCs w:val="18"/>
              </w:rPr>
            </w:pP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违反本条例规定，在燃气设施保护范围内从事下列活动之一的，由燃气管理部门责令停止违法行为，限期恢复原状或者采取其他补救措施，对单位处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万元以下罚款；造成损失的，依法承担赔偿责任；构成犯罪的，依法追究刑事责任：</w:t>
            </w:r>
            <w:r>
              <w:rPr>
                <w:color w:val="000000"/>
                <w:kern w:val="0"/>
                <w:sz w:val="18"/>
                <w:szCs w:val="18"/>
              </w:rPr>
              <w:t xml:space="preserve"> </w:t>
            </w:r>
          </w:p>
          <w:p w14:paraId="0EEC96D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（四）未与燃气经营者共同制定燃气设施保护方案，采取相应的安全保护措施，从事敷设管道、打桩、顶进、挖掘、钻探等可能影响燃气设施安全活动的。</w:t>
            </w:r>
          </w:p>
        </w:tc>
      </w:tr>
      <w:tr w14:paraId="75CF1989">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388C1017">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color="auto" w:sz="4" w:space="0"/>
              <w:left w:val="nil"/>
              <w:bottom w:val="single" w:color="auto" w:sz="4" w:space="0"/>
              <w:right w:val="single" w:color="000000" w:sz="8" w:space="0"/>
            </w:tcBorders>
            <w:vAlign w:val="center"/>
          </w:tcPr>
          <w:p w14:paraId="71EFC02D">
            <w:pPr>
              <w:spacing w:line="320" w:lineRule="exact"/>
              <w:jc w:val="left"/>
              <w:rPr>
                <w:color w:val="000000"/>
                <w:kern w:val="0"/>
                <w:sz w:val="18"/>
                <w:szCs w:val="18"/>
              </w:rPr>
            </w:pPr>
            <w:r>
              <w:rPr>
                <w:rFonts w:hint="eastAsia"/>
                <w:color w:val="000000"/>
                <w:kern w:val="0"/>
                <w:sz w:val="18"/>
                <w:szCs w:val="18"/>
              </w:rPr>
              <w:t>罚款</w:t>
            </w:r>
          </w:p>
        </w:tc>
      </w:tr>
      <w:tr w14:paraId="1524D42C">
        <w:tblPrEx>
          <w:tblCellMar>
            <w:top w:w="0" w:type="dxa"/>
            <w:left w:w="108" w:type="dxa"/>
            <w:bottom w:w="0" w:type="dxa"/>
            <w:right w:w="108" w:type="dxa"/>
          </w:tblCellMar>
        </w:tblPrEx>
        <w:trPr>
          <w:trHeight w:val="285" w:hRule="atLeast"/>
        </w:trPr>
        <w:tc>
          <w:tcPr>
            <w:tcW w:w="14016" w:type="dxa"/>
            <w:gridSpan w:val="6"/>
            <w:tcBorders>
              <w:top w:val="single" w:color="auto" w:sz="4" w:space="0"/>
              <w:left w:val="single" w:color="auto" w:sz="8" w:space="0"/>
              <w:bottom w:val="single" w:color="auto" w:sz="4" w:space="0"/>
              <w:right w:val="single" w:color="000000" w:sz="8" w:space="0"/>
            </w:tcBorders>
            <w:vAlign w:val="center"/>
          </w:tcPr>
          <w:p w14:paraId="3B04763E">
            <w:pPr>
              <w:spacing w:line="320" w:lineRule="exact"/>
              <w:jc w:val="center"/>
              <w:rPr>
                <w:color w:val="000000"/>
                <w:kern w:val="0"/>
                <w:sz w:val="18"/>
                <w:szCs w:val="18"/>
              </w:rPr>
            </w:pPr>
            <w:r>
              <w:rPr>
                <w:rFonts w:hint="eastAsia"/>
                <w:color w:val="000000"/>
                <w:kern w:val="0"/>
                <w:sz w:val="18"/>
                <w:szCs w:val="18"/>
              </w:rPr>
              <w:t>裁量基准</w:t>
            </w:r>
          </w:p>
        </w:tc>
      </w:tr>
      <w:tr w14:paraId="3524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5" w:hRule="atLeast"/>
        </w:trPr>
        <w:tc>
          <w:tcPr>
            <w:tcW w:w="980" w:type="dxa"/>
            <w:vMerge w:val="restart"/>
            <w:vAlign w:val="center"/>
          </w:tcPr>
          <w:p w14:paraId="5909BE51">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6A06F2F2">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14:paraId="6FA49181">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14:paraId="7C51F99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14:paraId="0E214EFA">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14:paraId="58D1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36752C02">
            <w:pPr>
              <w:spacing w:line="320" w:lineRule="exact"/>
              <w:jc w:val="center"/>
              <w:rPr>
                <w:color w:val="000000"/>
                <w:kern w:val="0"/>
                <w:sz w:val="18"/>
                <w:szCs w:val="18"/>
              </w:rPr>
            </w:pPr>
          </w:p>
        </w:tc>
        <w:tc>
          <w:tcPr>
            <w:tcW w:w="6140" w:type="dxa"/>
            <w:gridSpan w:val="2"/>
            <w:vAlign w:val="center"/>
          </w:tcPr>
          <w:p w14:paraId="74EBBE7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continue"/>
            <w:vAlign w:val="center"/>
          </w:tcPr>
          <w:p w14:paraId="73065C30">
            <w:pPr>
              <w:spacing w:line="320" w:lineRule="exact"/>
              <w:jc w:val="center"/>
              <w:rPr>
                <w:color w:val="000000"/>
                <w:kern w:val="0"/>
                <w:sz w:val="18"/>
                <w:szCs w:val="18"/>
              </w:rPr>
            </w:pPr>
          </w:p>
        </w:tc>
        <w:tc>
          <w:tcPr>
            <w:tcW w:w="5884" w:type="dxa"/>
            <w:vAlign w:val="center"/>
          </w:tcPr>
          <w:p w14:paraId="3E300A22">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14:paraId="77A65EA3">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7C89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2CB40BBD">
            <w:pPr>
              <w:spacing w:line="320" w:lineRule="exact"/>
              <w:jc w:val="center"/>
              <w:rPr>
                <w:color w:val="000000"/>
                <w:kern w:val="0"/>
                <w:sz w:val="18"/>
                <w:szCs w:val="18"/>
              </w:rPr>
            </w:pPr>
          </w:p>
        </w:tc>
        <w:tc>
          <w:tcPr>
            <w:tcW w:w="6140" w:type="dxa"/>
            <w:gridSpan w:val="2"/>
            <w:vAlign w:val="center"/>
          </w:tcPr>
          <w:p w14:paraId="2B5F27E0">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continue"/>
            <w:vAlign w:val="center"/>
          </w:tcPr>
          <w:p w14:paraId="649A030D">
            <w:pPr>
              <w:spacing w:line="320" w:lineRule="exact"/>
              <w:jc w:val="center"/>
              <w:rPr>
                <w:color w:val="000000"/>
                <w:kern w:val="0"/>
                <w:sz w:val="18"/>
                <w:szCs w:val="18"/>
              </w:rPr>
            </w:pPr>
          </w:p>
        </w:tc>
        <w:tc>
          <w:tcPr>
            <w:tcW w:w="5884" w:type="dxa"/>
            <w:vAlign w:val="center"/>
          </w:tcPr>
          <w:p w14:paraId="24ADBD7E">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5CB5FE1B">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484447E7"/>
    <w:p w14:paraId="31B7848D"/>
    <w:p w14:paraId="2B8EB3F1"/>
    <w:p w14:paraId="12457792"/>
    <w:p w14:paraId="5D193798"/>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6C06194A">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7D607776">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4581BED7">
            <w:pPr>
              <w:spacing w:line="320" w:lineRule="exact"/>
              <w:jc w:val="left"/>
              <w:rPr>
                <w:rFonts w:eastAsia="仿宋_GB2312"/>
                <w:b/>
                <w:bCs/>
                <w:color w:val="000000"/>
                <w:kern w:val="0"/>
                <w:sz w:val="18"/>
                <w:szCs w:val="18"/>
              </w:rPr>
            </w:pPr>
            <w:r>
              <w:rPr>
                <w:rFonts w:eastAsia="仿宋_GB2312"/>
                <w:b/>
                <w:bCs/>
                <w:color w:val="000000"/>
                <w:kern w:val="0"/>
                <w:sz w:val="18"/>
                <w:szCs w:val="18"/>
              </w:rPr>
              <w:t>320217449000</w:t>
            </w:r>
            <w:r>
              <w:rPr>
                <w:rFonts w:hint="eastAsia" w:eastAsia="仿宋_GB2312"/>
                <w:b/>
                <w:bCs/>
                <w:color w:val="000000"/>
                <w:kern w:val="0"/>
                <w:sz w:val="18"/>
                <w:szCs w:val="18"/>
              </w:rPr>
              <w:t xml:space="preserve"> </w:t>
            </w:r>
          </w:p>
        </w:tc>
      </w:tr>
      <w:tr w14:paraId="695026DC">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7F5AFDB8">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2711D268">
            <w:pPr>
              <w:jc w:val="left"/>
              <w:textAlignment w:val="center"/>
              <w:rPr>
                <w:rFonts w:eastAsia="仿宋_GB2312"/>
                <w:color w:val="000000"/>
                <w:sz w:val="20"/>
              </w:rPr>
            </w:pPr>
            <w:r>
              <w:rPr>
                <w:rFonts w:hint="eastAsia" w:eastAsia="仿宋_GB2312"/>
                <w:color w:val="000000"/>
                <w:kern w:val="0"/>
                <w:sz w:val="20"/>
              </w:rPr>
              <w:t>对在雨水、污水分流地区，建设单位、施工单位将雨水管网、污水管网相互混接的处罚</w:t>
            </w:r>
          </w:p>
        </w:tc>
      </w:tr>
      <w:tr w14:paraId="27AC4945">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28E2F433">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22C08E35">
            <w:pPr>
              <w:jc w:val="left"/>
              <w:textAlignment w:val="center"/>
              <w:rPr>
                <w:rFonts w:eastAsia="仿宋_GB2312"/>
                <w:color w:val="000000"/>
                <w:sz w:val="20"/>
              </w:rPr>
            </w:pPr>
            <w:r>
              <w:rPr>
                <w:rFonts w:hint="eastAsia" w:eastAsia="仿宋_GB2312"/>
                <w:color w:val="000000"/>
                <w:kern w:val="0"/>
                <w:sz w:val="20"/>
              </w:rPr>
              <w:t>【行政法规】《城镇排水与污水处理条例》（国务院令第</w:t>
            </w:r>
            <w:r>
              <w:rPr>
                <w:rFonts w:eastAsia="仿宋_GB2312"/>
                <w:color w:val="000000"/>
                <w:kern w:val="0"/>
                <w:sz w:val="20"/>
              </w:rPr>
              <w:t>641</w:t>
            </w:r>
            <w:r>
              <w:rPr>
                <w:rFonts w:hint="eastAsia" w:eastAsia="仿宋_GB2312"/>
                <w:color w:val="000000"/>
                <w:kern w:val="0"/>
                <w:sz w:val="20"/>
              </w:rPr>
              <w:t>号）</w:t>
            </w:r>
            <w:r>
              <w:rPr>
                <w:rFonts w:eastAsia="仿宋_GB2312"/>
                <w:color w:val="000000"/>
                <w:kern w:val="0"/>
                <w:sz w:val="20"/>
              </w:rPr>
              <w:br w:type="textWrapping"/>
            </w:r>
            <w:r>
              <w:rPr>
                <w:rFonts w:hint="eastAsia" w:eastAsia="仿宋_GB2312"/>
                <w:color w:val="000000"/>
                <w:kern w:val="0"/>
                <w:sz w:val="20"/>
              </w:rPr>
              <w:t>第十九条第二款</w:t>
            </w:r>
            <w:r>
              <w:rPr>
                <w:rFonts w:eastAsia="仿宋_GB2312"/>
                <w:color w:val="000000"/>
                <w:kern w:val="0"/>
                <w:sz w:val="20"/>
              </w:rPr>
              <w:t xml:space="preserve">  </w:t>
            </w:r>
            <w:r>
              <w:rPr>
                <w:rFonts w:hint="eastAsia" w:eastAsia="仿宋_GB2312"/>
                <w:color w:val="000000"/>
                <w:kern w:val="0"/>
                <w:sz w:val="20"/>
              </w:rPr>
              <w:t>在雨水、污水分流地区，新区建设和旧城区改建不得将雨水管网、污水管网相互混接。</w:t>
            </w:r>
            <w:r>
              <w:rPr>
                <w:rFonts w:eastAsia="仿宋_GB2312"/>
                <w:color w:val="000000"/>
                <w:kern w:val="0"/>
                <w:sz w:val="20"/>
              </w:rPr>
              <w:br w:type="textWrapping"/>
            </w:r>
            <w:r>
              <w:rPr>
                <w:rFonts w:hint="eastAsia" w:eastAsia="仿宋_GB2312"/>
                <w:color w:val="000000"/>
                <w:kern w:val="0"/>
                <w:sz w:val="20"/>
              </w:rPr>
              <w:t>第四十八条　违反本条例规定，在雨水、污水分流地区，建设单位、施工单位将雨水管网、污水管网相互混接的，由城镇排水主管部门责令改正，处</w:t>
            </w:r>
            <w:r>
              <w:rPr>
                <w:rFonts w:eastAsia="仿宋_GB2312"/>
                <w:color w:val="000000"/>
                <w:kern w:val="0"/>
                <w:sz w:val="20"/>
              </w:rPr>
              <w:t>5</w:t>
            </w:r>
            <w:r>
              <w:rPr>
                <w:rFonts w:hint="eastAsia" w:eastAsia="仿宋_GB2312"/>
                <w:color w:val="000000"/>
                <w:kern w:val="0"/>
                <w:sz w:val="20"/>
              </w:rPr>
              <w:t>万元以上</w:t>
            </w:r>
            <w:r>
              <w:rPr>
                <w:rFonts w:eastAsia="仿宋_GB2312"/>
                <w:color w:val="000000"/>
                <w:kern w:val="0"/>
                <w:sz w:val="20"/>
              </w:rPr>
              <w:t>10</w:t>
            </w:r>
            <w:r>
              <w:rPr>
                <w:rFonts w:hint="eastAsia" w:eastAsia="仿宋_GB2312"/>
                <w:color w:val="000000"/>
                <w:kern w:val="0"/>
                <w:sz w:val="20"/>
              </w:rPr>
              <w:t>万元以下的罚款；造成损失的，依法承担赔偿责任。</w:t>
            </w:r>
          </w:p>
        </w:tc>
      </w:tr>
      <w:tr w14:paraId="76446EDE">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4B54D46E">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3D683B06">
            <w:pPr>
              <w:spacing w:line="320" w:lineRule="exact"/>
              <w:jc w:val="left"/>
              <w:rPr>
                <w:color w:val="000000"/>
                <w:kern w:val="0"/>
                <w:sz w:val="18"/>
                <w:szCs w:val="18"/>
              </w:rPr>
            </w:pPr>
            <w:r>
              <w:rPr>
                <w:rFonts w:hint="eastAsia"/>
                <w:color w:val="000000"/>
                <w:kern w:val="0"/>
                <w:sz w:val="18"/>
                <w:szCs w:val="18"/>
              </w:rPr>
              <w:t>罚款</w:t>
            </w:r>
          </w:p>
        </w:tc>
      </w:tr>
      <w:tr w14:paraId="1E6DAA89">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1C80B54F">
            <w:pPr>
              <w:spacing w:line="320" w:lineRule="exact"/>
              <w:jc w:val="center"/>
              <w:rPr>
                <w:color w:val="000000"/>
                <w:kern w:val="0"/>
                <w:sz w:val="18"/>
                <w:szCs w:val="18"/>
              </w:rPr>
            </w:pPr>
            <w:r>
              <w:rPr>
                <w:rFonts w:hint="eastAsia"/>
                <w:color w:val="000000"/>
                <w:kern w:val="0"/>
                <w:sz w:val="18"/>
                <w:szCs w:val="18"/>
              </w:rPr>
              <w:t>裁量基准</w:t>
            </w:r>
          </w:p>
        </w:tc>
      </w:tr>
      <w:tr w14:paraId="365A180C">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0A24238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24C8916">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tcBorders>
              <w:top w:val="nil"/>
              <w:left w:val="single" w:color="auto" w:sz="4" w:space="0"/>
              <w:bottom w:val="single" w:color="auto" w:sz="4" w:space="0"/>
              <w:right w:val="single" w:color="auto" w:sz="4" w:space="0"/>
            </w:tcBorders>
            <w:vAlign w:val="center"/>
          </w:tcPr>
          <w:p w14:paraId="40E11F86">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025F3F1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228F2961">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17CDF0F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BE8C8CA">
            <w:pPr>
              <w:spacing w:line="320" w:lineRule="exact"/>
              <w:jc w:val="left"/>
              <w:rPr>
                <w:color w:val="000000"/>
                <w:kern w:val="0"/>
                <w:sz w:val="18"/>
                <w:szCs w:val="18"/>
              </w:rPr>
            </w:pPr>
            <w:r>
              <w:rPr>
                <w:rFonts w:hint="eastAsia"/>
                <w:color w:val="000000"/>
                <w:kern w:val="0"/>
                <w:sz w:val="18"/>
                <w:szCs w:val="18"/>
              </w:rPr>
              <w:t>按照要求改正但造成损失的；</w:t>
            </w:r>
          </w:p>
        </w:tc>
        <w:tc>
          <w:tcPr>
            <w:tcW w:w="1000" w:type="dxa"/>
            <w:vMerge w:val="continue"/>
            <w:tcBorders>
              <w:top w:val="nil"/>
              <w:left w:val="single" w:color="auto" w:sz="4" w:space="0"/>
              <w:bottom w:val="single" w:color="auto" w:sz="4" w:space="0"/>
              <w:right w:val="single" w:color="auto" w:sz="4" w:space="0"/>
            </w:tcBorders>
            <w:vAlign w:val="center"/>
          </w:tcPr>
          <w:p w14:paraId="3F5058C5">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50096C4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63EC367F">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0EA7112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5EDB9EE">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38798F3B">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185771E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4B756FB0"/>
    <w:p w14:paraId="51481467"/>
    <w:p w14:paraId="3F2FB656"/>
    <w:p w14:paraId="1F4F9C88"/>
    <w:p w14:paraId="4FEAD622"/>
    <w:p w14:paraId="4E28E5FB"/>
    <w:p w14:paraId="560BF0AB"/>
    <w:p w14:paraId="3CE11DE0"/>
    <w:p w14:paraId="6E6064B7"/>
    <w:p w14:paraId="51EA1874"/>
    <w:tbl>
      <w:tblPr>
        <w:tblStyle w:val="15"/>
        <w:tblW w:w="0" w:type="auto"/>
        <w:tblInd w:w="88" w:type="dxa"/>
        <w:tblLayout w:type="fixed"/>
        <w:tblCellMar>
          <w:top w:w="0" w:type="dxa"/>
          <w:left w:w="108" w:type="dxa"/>
          <w:bottom w:w="0" w:type="dxa"/>
          <w:right w:w="108" w:type="dxa"/>
        </w:tblCellMar>
      </w:tblPr>
      <w:tblGrid>
        <w:gridCol w:w="1154"/>
        <w:gridCol w:w="5996"/>
        <w:gridCol w:w="1092"/>
        <w:gridCol w:w="5788"/>
      </w:tblGrid>
      <w:tr w14:paraId="03A896C1">
        <w:tblPrEx>
          <w:tblCellMar>
            <w:top w:w="0" w:type="dxa"/>
            <w:left w:w="108" w:type="dxa"/>
            <w:bottom w:w="0" w:type="dxa"/>
            <w:right w:w="108" w:type="dxa"/>
          </w:tblCellMar>
        </w:tblPrEx>
        <w:trPr>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1817BF28">
            <w:pPr>
              <w:rPr>
                <w:color w:val="000000"/>
              </w:rPr>
            </w:pPr>
            <w:r>
              <w:rPr>
                <w:rFonts w:hint="eastAsia"/>
                <w:color w:val="000000"/>
              </w:rPr>
              <w:t>编号</w:t>
            </w:r>
          </w:p>
        </w:tc>
        <w:tc>
          <w:tcPr>
            <w:tcW w:w="12876" w:type="dxa"/>
            <w:gridSpan w:val="3"/>
            <w:tcBorders>
              <w:top w:val="single" w:color="auto" w:sz="8" w:space="0"/>
              <w:left w:val="nil"/>
              <w:bottom w:val="single" w:color="auto" w:sz="4" w:space="0"/>
              <w:right w:val="single" w:color="000000" w:sz="8" w:space="0"/>
            </w:tcBorders>
            <w:vAlign w:val="center"/>
          </w:tcPr>
          <w:p w14:paraId="41BDD6BF">
            <w:pPr>
              <w:rPr>
                <w:b/>
                <w:bCs/>
                <w:color w:val="000000"/>
              </w:rPr>
            </w:pPr>
            <w:r>
              <w:rPr>
                <w:b/>
                <w:bCs/>
                <w:color w:val="000000"/>
              </w:rPr>
              <w:t>320217451000</w:t>
            </w:r>
          </w:p>
        </w:tc>
      </w:tr>
      <w:tr w14:paraId="70CB1EAE">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7F252DEE">
            <w:pPr>
              <w:rPr>
                <w:color w:val="000000"/>
              </w:rPr>
            </w:pPr>
            <w:r>
              <w:rPr>
                <w:rFonts w:hint="eastAsia"/>
                <w:color w:val="000000"/>
              </w:rPr>
              <w:t>行为名称</w:t>
            </w:r>
          </w:p>
        </w:tc>
        <w:tc>
          <w:tcPr>
            <w:tcW w:w="12876" w:type="dxa"/>
            <w:gridSpan w:val="3"/>
            <w:tcBorders>
              <w:top w:val="single" w:color="auto" w:sz="4" w:space="0"/>
              <w:left w:val="nil"/>
              <w:bottom w:val="single" w:color="auto" w:sz="4" w:space="0"/>
              <w:right w:val="single" w:color="000000" w:sz="8" w:space="0"/>
            </w:tcBorders>
            <w:vAlign w:val="center"/>
          </w:tcPr>
          <w:p w14:paraId="279E0193">
            <w:pPr>
              <w:rPr>
                <w:color w:val="000000"/>
              </w:rPr>
            </w:pPr>
            <w:r>
              <w:rPr>
                <w:rFonts w:hint="eastAsia"/>
                <w:color w:val="000000"/>
              </w:rPr>
              <w:t>对检测机构使用不能满足所开展建设工程质量检测活动要求的检测人员或者仪器设备的处罚</w:t>
            </w:r>
          </w:p>
        </w:tc>
      </w:tr>
      <w:tr w14:paraId="6A0CD71A">
        <w:tblPrEx>
          <w:tblCellMar>
            <w:top w:w="0" w:type="dxa"/>
            <w:left w:w="108" w:type="dxa"/>
            <w:bottom w:w="0" w:type="dxa"/>
            <w:right w:w="108" w:type="dxa"/>
          </w:tblCellMar>
        </w:tblPrEx>
        <w:trPr>
          <w:trHeight w:val="1305" w:hRule="atLeast"/>
        </w:trPr>
        <w:tc>
          <w:tcPr>
            <w:tcW w:w="1154" w:type="dxa"/>
            <w:tcBorders>
              <w:top w:val="nil"/>
              <w:left w:val="single" w:color="auto" w:sz="8" w:space="0"/>
              <w:bottom w:val="single" w:color="auto" w:sz="4" w:space="0"/>
              <w:right w:val="single" w:color="auto" w:sz="4" w:space="0"/>
            </w:tcBorders>
            <w:vAlign w:val="center"/>
          </w:tcPr>
          <w:p w14:paraId="54D106AB">
            <w:pPr>
              <w:rPr>
                <w:color w:val="000000"/>
              </w:rPr>
            </w:pPr>
            <w:r>
              <w:rPr>
                <w:rFonts w:hint="eastAsia"/>
                <w:color w:val="000000"/>
              </w:rPr>
              <w:t>法律依据</w:t>
            </w:r>
          </w:p>
        </w:tc>
        <w:tc>
          <w:tcPr>
            <w:tcW w:w="12876" w:type="dxa"/>
            <w:gridSpan w:val="3"/>
            <w:tcBorders>
              <w:top w:val="single" w:color="auto" w:sz="4" w:space="0"/>
              <w:left w:val="nil"/>
              <w:bottom w:val="single" w:color="auto" w:sz="4" w:space="0"/>
              <w:right w:val="single" w:color="000000" w:sz="8" w:space="0"/>
            </w:tcBorders>
            <w:vAlign w:val="center"/>
          </w:tcPr>
          <w:p w14:paraId="43A84F53">
            <w:pPr>
              <w:spacing w:line="300" w:lineRule="exact"/>
              <w:rPr>
                <w:color w:val="000000"/>
              </w:rPr>
            </w:pPr>
            <w:r>
              <w:rPr>
                <w:rFonts w:hint="eastAsia"/>
                <w:color w:val="000000"/>
              </w:rPr>
              <w:t>【规章】《建设工程质量检测管理办法》（2022年12月29日中华人民共和国住房和城乡建设部令第57号公布　自2023年3月1日起施行）</w:t>
            </w:r>
          </w:p>
          <w:p w14:paraId="75FE5A64">
            <w:pPr>
              <w:spacing w:line="300" w:lineRule="exact"/>
              <w:rPr>
                <w:color w:val="000000"/>
              </w:rPr>
            </w:pPr>
            <w:r>
              <w:rPr>
                <w:rFonts w:hint="eastAsia"/>
                <w:color w:val="000000"/>
              </w:rPr>
              <w:t xml:space="preserve">   第三十条　检测机构不得有下列行为：</w:t>
            </w:r>
          </w:p>
          <w:p w14:paraId="4D8D5711">
            <w:pPr>
              <w:spacing w:line="300" w:lineRule="exact"/>
              <w:rPr>
                <w:color w:val="000000"/>
              </w:rPr>
            </w:pPr>
            <w:r>
              <w:rPr>
                <w:rFonts w:hint="eastAsia"/>
                <w:color w:val="000000"/>
              </w:rPr>
              <w:t>　（五）使用不能满足所开展建设工程质量检测活动要求的检测人员或者仪器设备；</w:t>
            </w:r>
          </w:p>
          <w:p w14:paraId="0629087D">
            <w:pPr>
              <w:spacing w:line="300" w:lineRule="exact"/>
              <w:rPr>
                <w:color w:val="000000"/>
              </w:rPr>
            </w:pPr>
            <w:r>
              <w:rPr>
                <w:rFonts w:hint="eastAsia"/>
                <w:color w:val="000000"/>
              </w:rPr>
              <w:t xml:space="preserve">    第四十四条第一款　检测机构违反本办法规定，有第三十条第二项至第五项行为之一的，由县级以上地方人民政府住房和城乡建设主管部门责令改正，处5万元以上10万元以下罚款；造成危害后果的，处10万元以上20万元以下罚款；构成犯罪的，依法追究刑事责任。</w:t>
            </w:r>
          </w:p>
          <w:p w14:paraId="3DBB9C47">
            <w:pPr>
              <w:spacing w:line="300" w:lineRule="exact"/>
              <w:rPr>
                <w:color w:val="000000"/>
              </w:rPr>
            </w:pPr>
            <w:r>
              <w:rPr>
                <w:rFonts w:hint="eastAsia"/>
                <w:color w:val="000000"/>
              </w:rPr>
              <w:t xml:space="preserve">  　第四十六条　检测机构违反本办法规定，有违法所得的，由县级以上地方人民政府住房和城乡建设主管部门依法予以没收。</w:t>
            </w:r>
          </w:p>
          <w:p w14:paraId="559B1B9A">
            <w:pPr>
              <w:spacing w:line="300" w:lineRule="exact"/>
              <w:rPr>
                <w:color w:val="000000"/>
              </w:rPr>
            </w:pPr>
            <w:r>
              <w:rPr>
                <w:rFonts w:hint="eastAsia"/>
                <w:color w:val="000000"/>
              </w:rPr>
              <w:t xml:space="preserve">    第四十八条　依照本办法规定，给予单位罚款处罚的，对单位直接负责的主管人员和其他直接责任人员处3万元以下罚款。</w:t>
            </w:r>
          </w:p>
        </w:tc>
      </w:tr>
      <w:tr w14:paraId="31E01C2E">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4E1BFD75">
            <w:pPr>
              <w:rPr>
                <w:color w:val="000000"/>
              </w:rPr>
            </w:pPr>
            <w:r>
              <w:rPr>
                <w:rFonts w:hint="eastAsia"/>
                <w:color w:val="000000"/>
              </w:rPr>
              <w:t>行使内容</w:t>
            </w:r>
          </w:p>
        </w:tc>
        <w:tc>
          <w:tcPr>
            <w:tcW w:w="12876" w:type="dxa"/>
            <w:gridSpan w:val="3"/>
            <w:tcBorders>
              <w:top w:val="single" w:color="auto" w:sz="4" w:space="0"/>
              <w:left w:val="nil"/>
              <w:bottom w:val="single" w:color="auto" w:sz="4" w:space="0"/>
              <w:right w:val="single" w:color="000000" w:sz="8" w:space="0"/>
            </w:tcBorders>
            <w:vAlign w:val="center"/>
          </w:tcPr>
          <w:p w14:paraId="201B67E1">
            <w:pPr>
              <w:rPr>
                <w:color w:val="000000"/>
              </w:rPr>
            </w:pPr>
            <w:r>
              <w:rPr>
                <w:rFonts w:hint="eastAsia"/>
                <w:color w:val="000000"/>
              </w:rPr>
              <w:t>责令改正，罚款，没收违法所得</w:t>
            </w:r>
          </w:p>
        </w:tc>
      </w:tr>
      <w:tr w14:paraId="7588D012">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75C90B5F">
            <w:pPr>
              <w:jc w:val="center"/>
              <w:rPr>
                <w:color w:val="000000"/>
              </w:rPr>
            </w:pPr>
            <w:r>
              <w:rPr>
                <w:rFonts w:hint="eastAsia"/>
                <w:color w:val="000000"/>
              </w:rPr>
              <w:t>裁量基准</w:t>
            </w:r>
          </w:p>
        </w:tc>
      </w:tr>
      <w:tr w14:paraId="55A23ACE">
        <w:tblPrEx>
          <w:tblCellMar>
            <w:top w:w="0" w:type="dxa"/>
            <w:left w:w="108" w:type="dxa"/>
            <w:bottom w:w="0" w:type="dxa"/>
            <w:right w:w="108" w:type="dxa"/>
          </w:tblCellMar>
        </w:tblPrEx>
        <w:trPr>
          <w:trHeight w:val="540" w:hRule="atLeast"/>
        </w:trPr>
        <w:tc>
          <w:tcPr>
            <w:tcW w:w="1154" w:type="dxa"/>
            <w:vMerge w:val="restart"/>
            <w:tcBorders>
              <w:top w:val="single" w:color="auto" w:sz="4" w:space="0"/>
              <w:left w:val="single" w:color="auto" w:sz="4" w:space="0"/>
              <w:right w:val="single" w:color="auto" w:sz="4" w:space="0"/>
            </w:tcBorders>
            <w:vAlign w:val="center"/>
          </w:tcPr>
          <w:p w14:paraId="1EAEF55C">
            <w:pPr>
              <w:rPr>
                <w:color w:val="000000"/>
              </w:rPr>
            </w:pPr>
            <w:r>
              <w:rPr>
                <w:rFonts w:hint="eastAsia"/>
                <w:color w:val="000000"/>
              </w:rPr>
              <w:t>情形描述</w:t>
            </w:r>
          </w:p>
        </w:tc>
        <w:tc>
          <w:tcPr>
            <w:tcW w:w="5996" w:type="dxa"/>
            <w:tcBorders>
              <w:top w:val="single" w:color="auto" w:sz="4" w:space="0"/>
              <w:left w:val="single" w:color="auto" w:sz="4" w:space="0"/>
              <w:bottom w:val="single" w:color="auto" w:sz="4" w:space="0"/>
              <w:right w:val="single" w:color="auto" w:sz="4" w:space="0"/>
            </w:tcBorders>
            <w:vAlign w:val="center"/>
          </w:tcPr>
          <w:p w14:paraId="6D655C13">
            <w:pPr>
              <w:rPr>
                <w:color w:val="000000"/>
              </w:rPr>
            </w:pPr>
            <w:r>
              <w:rPr>
                <w:rFonts w:hint="eastAsia"/>
                <w:color w:val="000000"/>
              </w:rPr>
              <w:t>检测人员或者仪器设备不能满足，未造成危害后果的</w:t>
            </w:r>
          </w:p>
        </w:tc>
        <w:tc>
          <w:tcPr>
            <w:tcW w:w="1092" w:type="dxa"/>
            <w:vMerge w:val="restart"/>
            <w:tcBorders>
              <w:top w:val="single" w:color="auto" w:sz="4" w:space="0"/>
              <w:left w:val="single" w:color="auto" w:sz="4" w:space="0"/>
              <w:bottom w:val="single" w:color="auto" w:sz="4" w:space="0"/>
              <w:right w:val="single" w:color="auto" w:sz="4" w:space="0"/>
            </w:tcBorders>
            <w:vAlign w:val="center"/>
          </w:tcPr>
          <w:p w14:paraId="5191484F">
            <w:pPr>
              <w:rPr>
                <w:color w:val="000000"/>
              </w:rPr>
            </w:pPr>
            <w:r>
              <w:rPr>
                <w:rFonts w:hint="eastAsia"/>
                <w:color w:val="000000"/>
              </w:rPr>
              <w:t>裁量幅度</w:t>
            </w:r>
          </w:p>
        </w:tc>
        <w:tc>
          <w:tcPr>
            <w:tcW w:w="5788" w:type="dxa"/>
            <w:tcBorders>
              <w:top w:val="single" w:color="auto" w:sz="4" w:space="0"/>
              <w:left w:val="single" w:color="auto" w:sz="4" w:space="0"/>
              <w:bottom w:val="single" w:color="auto" w:sz="4" w:space="0"/>
              <w:right w:val="single" w:color="auto" w:sz="4" w:space="0"/>
            </w:tcBorders>
            <w:vAlign w:val="center"/>
          </w:tcPr>
          <w:p w14:paraId="63B737E4">
            <w:pPr>
              <w:rPr>
                <w:color w:val="000000"/>
              </w:rPr>
            </w:pPr>
            <w:r>
              <w:rPr>
                <w:rFonts w:hint="eastAsia"/>
                <w:color w:val="000000"/>
              </w:rPr>
              <w:t>对单位：处5万元以上8万元以下的罚款</w:t>
            </w:r>
          </w:p>
          <w:p w14:paraId="76762624">
            <w:pPr>
              <w:rPr>
                <w:color w:val="000000"/>
              </w:rPr>
            </w:pPr>
            <w:r>
              <w:rPr>
                <w:rFonts w:hint="eastAsia"/>
                <w:color w:val="000000"/>
              </w:rPr>
              <w:t>对个人：处1万元以下的罚款</w:t>
            </w:r>
          </w:p>
        </w:tc>
      </w:tr>
      <w:tr w14:paraId="3F429C98">
        <w:tblPrEx>
          <w:tblCellMar>
            <w:top w:w="0" w:type="dxa"/>
            <w:left w:w="108" w:type="dxa"/>
            <w:bottom w:w="0" w:type="dxa"/>
            <w:right w:w="108" w:type="dxa"/>
          </w:tblCellMar>
        </w:tblPrEx>
        <w:trPr>
          <w:trHeight w:val="540" w:hRule="atLeast"/>
        </w:trPr>
        <w:tc>
          <w:tcPr>
            <w:tcW w:w="1154" w:type="dxa"/>
            <w:vMerge w:val="continue"/>
            <w:tcBorders>
              <w:left w:val="single" w:color="auto" w:sz="4" w:space="0"/>
              <w:right w:val="single" w:color="auto" w:sz="4" w:space="0"/>
            </w:tcBorders>
            <w:vAlign w:val="center"/>
          </w:tcPr>
          <w:p w14:paraId="1BBB85CD">
            <w:pPr>
              <w:rPr>
                <w:color w:val="000000"/>
              </w:rPr>
            </w:pPr>
          </w:p>
        </w:tc>
        <w:tc>
          <w:tcPr>
            <w:tcW w:w="5996" w:type="dxa"/>
            <w:tcBorders>
              <w:top w:val="single" w:color="auto" w:sz="4" w:space="0"/>
              <w:left w:val="single" w:color="auto" w:sz="4" w:space="0"/>
              <w:bottom w:val="single" w:color="auto" w:sz="4" w:space="0"/>
              <w:right w:val="single" w:color="auto" w:sz="4" w:space="0"/>
            </w:tcBorders>
            <w:vAlign w:val="center"/>
          </w:tcPr>
          <w:p w14:paraId="137A9B0C">
            <w:pPr>
              <w:rPr>
                <w:color w:val="000000"/>
              </w:rPr>
            </w:pPr>
            <w:r>
              <w:rPr>
                <w:rFonts w:hint="eastAsia"/>
                <w:color w:val="000000"/>
              </w:rPr>
              <w:t>检测人员或者仪器设备不能满足，造成危害后果的</w:t>
            </w:r>
          </w:p>
        </w:tc>
        <w:tc>
          <w:tcPr>
            <w:tcW w:w="1092" w:type="dxa"/>
            <w:vMerge w:val="continue"/>
            <w:tcBorders>
              <w:top w:val="single" w:color="auto" w:sz="4" w:space="0"/>
              <w:left w:val="single" w:color="auto" w:sz="4" w:space="0"/>
              <w:bottom w:val="single" w:color="auto" w:sz="4" w:space="0"/>
              <w:right w:val="single" w:color="auto" w:sz="4" w:space="0"/>
            </w:tcBorders>
            <w:vAlign w:val="center"/>
          </w:tcPr>
          <w:p w14:paraId="246565FA">
            <w:pPr>
              <w:rPr>
                <w:color w:val="000000"/>
              </w:rPr>
            </w:pPr>
          </w:p>
        </w:tc>
        <w:tc>
          <w:tcPr>
            <w:tcW w:w="5788" w:type="dxa"/>
            <w:tcBorders>
              <w:top w:val="single" w:color="auto" w:sz="4" w:space="0"/>
              <w:left w:val="single" w:color="auto" w:sz="4" w:space="0"/>
              <w:bottom w:val="single" w:color="auto" w:sz="4" w:space="0"/>
              <w:right w:val="single" w:color="auto" w:sz="4" w:space="0"/>
            </w:tcBorders>
            <w:vAlign w:val="center"/>
          </w:tcPr>
          <w:p w14:paraId="6D694A8E">
            <w:pPr>
              <w:rPr>
                <w:color w:val="000000"/>
              </w:rPr>
            </w:pPr>
            <w:r>
              <w:rPr>
                <w:rFonts w:hint="eastAsia"/>
                <w:color w:val="000000"/>
              </w:rPr>
              <w:t>对单位：处10万元以上15万元以下的罚款</w:t>
            </w:r>
          </w:p>
          <w:p w14:paraId="29AA8160">
            <w:pPr>
              <w:rPr>
                <w:color w:val="000000"/>
              </w:rPr>
            </w:pPr>
            <w:r>
              <w:rPr>
                <w:rFonts w:hint="eastAsia"/>
                <w:color w:val="000000"/>
              </w:rPr>
              <w:t>对个人：处1万元以上2万元以下的罚款</w:t>
            </w:r>
          </w:p>
        </w:tc>
      </w:tr>
      <w:tr w14:paraId="11EB333C">
        <w:tblPrEx>
          <w:tblCellMar>
            <w:top w:w="0" w:type="dxa"/>
            <w:left w:w="108" w:type="dxa"/>
            <w:bottom w:w="0" w:type="dxa"/>
            <w:right w:w="108" w:type="dxa"/>
          </w:tblCellMar>
        </w:tblPrEx>
        <w:trPr>
          <w:trHeight w:val="540" w:hRule="atLeast"/>
        </w:trPr>
        <w:tc>
          <w:tcPr>
            <w:tcW w:w="1154" w:type="dxa"/>
            <w:vMerge w:val="continue"/>
            <w:tcBorders>
              <w:left w:val="single" w:color="auto" w:sz="4" w:space="0"/>
              <w:right w:val="single" w:color="auto" w:sz="4" w:space="0"/>
            </w:tcBorders>
            <w:vAlign w:val="center"/>
          </w:tcPr>
          <w:p w14:paraId="000A3369">
            <w:pPr>
              <w:rPr>
                <w:color w:val="000000"/>
              </w:rPr>
            </w:pPr>
          </w:p>
        </w:tc>
        <w:tc>
          <w:tcPr>
            <w:tcW w:w="5996" w:type="dxa"/>
            <w:tcBorders>
              <w:top w:val="single" w:color="auto" w:sz="4" w:space="0"/>
              <w:left w:val="single" w:color="auto" w:sz="4" w:space="0"/>
              <w:bottom w:val="single" w:color="auto" w:sz="4" w:space="0"/>
              <w:right w:val="single" w:color="auto" w:sz="4" w:space="0"/>
            </w:tcBorders>
            <w:vAlign w:val="center"/>
          </w:tcPr>
          <w:p w14:paraId="03CE16C7">
            <w:pPr>
              <w:rPr>
                <w:color w:val="000000"/>
              </w:rPr>
            </w:pPr>
            <w:r>
              <w:rPr>
                <w:rFonts w:hint="eastAsia"/>
                <w:color w:val="000000"/>
              </w:rPr>
              <w:t>检测人员和仪器设备均不能满足，未造成危害后果的</w:t>
            </w:r>
          </w:p>
        </w:tc>
        <w:tc>
          <w:tcPr>
            <w:tcW w:w="1092" w:type="dxa"/>
            <w:vMerge w:val="continue"/>
            <w:tcBorders>
              <w:top w:val="single" w:color="auto" w:sz="4" w:space="0"/>
              <w:left w:val="single" w:color="auto" w:sz="4" w:space="0"/>
              <w:bottom w:val="single" w:color="auto" w:sz="4" w:space="0"/>
              <w:right w:val="single" w:color="auto" w:sz="4" w:space="0"/>
            </w:tcBorders>
            <w:vAlign w:val="center"/>
          </w:tcPr>
          <w:p w14:paraId="09B2B283">
            <w:pPr>
              <w:rPr>
                <w:color w:val="000000"/>
              </w:rPr>
            </w:pPr>
          </w:p>
        </w:tc>
        <w:tc>
          <w:tcPr>
            <w:tcW w:w="5788" w:type="dxa"/>
            <w:tcBorders>
              <w:top w:val="single" w:color="auto" w:sz="4" w:space="0"/>
              <w:left w:val="single" w:color="auto" w:sz="4" w:space="0"/>
              <w:bottom w:val="single" w:color="auto" w:sz="4" w:space="0"/>
              <w:right w:val="single" w:color="auto" w:sz="4" w:space="0"/>
            </w:tcBorders>
            <w:vAlign w:val="center"/>
          </w:tcPr>
          <w:p w14:paraId="3FE75B00">
            <w:pPr>
              <w:rPr>
                <w:color w:val="000000"/>
              </w:rPr>
            </w:pPr>
            <w:r>
              <w:rPr>
                <w:rFonts w:hint="eastAsia"/>
                <w:color w:val="000000"/>
              </w:rPr>
              <w:t>对单位：处8万元以上10万元以下的罚款</w:t>
            </w:r>
          </w:p>
          <w:p w14:paraId="58CC1CEE">
            <w:pPr>
              <w:rPr>
                <w:color w:val="000000"/>
              </w:rPr>
            </w:pPr>
            <w:r>
              <w:rPr>
                <w:rFonts w:hint="eastAsia"/>
                <w:color w:val="000000"/>
              </w:rPr>
              <w:t>对个人：处1万元以上2万元以下的罚款</w:t>
            </w:r>
          </w:p>
        </w:tc>
      </w:tr>
      <w:tr w14:paraId="11EC2BD6">
        <w:tblPrEx>
          <w:tblCellMar>
            <w:top w:w="0" w:type="dxa"/>
            <w:left w:w="108" w:type="dxa"/>
            <w:bottom w:w="0" w:type="dxa"/>
            <w:right w:w="108" w:type="dxa"/>
          </w:tblCellMar>
        </w:tblPrEx>
        <w:trPr>
          <w:trHeight w:val="540" w:hRule="atLeast"/>
        </w:trPr>
        <w:tc>
          <w:tcPr>
            <w:tcW w:w="1154" w:type="dxa"/>
            <w:vMerge w:val="continue"/>
            <w:tcBorders>
              <w:left w:val="single" w:color="auto" w:sz="4" w:space="0"/>
              <w:bottom w:val="single" w:color="auto" w:sz="4" w:space="0"/>
              <w:right w:val="single" w:color="auto" w:sz="4" w:space="0"/>
            </w:tcBorders>
            <w:vAlign w:val="center"/>
          </w:tcPr>
          <w:p w14:paraId="28B71A10">
            <w:pPr>
              <w:rPr>
                <w:color w:val="000000"/>
              </w:rPr>
            </w:pPr>
          </w:p>
        </w:tc>
        <w:tc>
          <w:tcPr>
            <w:tcW w:w="5996" w:type="dxa"/>
            <w:tcBorders>
              <w:top w:val="single" w:color="auto" w:sz="4" w:space="0"/>
              <w:left w:val="single" w:color="auto" w:sz="4" w:space="0"/>
              <w:bottom w:val="single" w:color="auto" w:sz="4" w:space="0"/>
              <w:right w:val="single" w:color="auto" w:sz="4" w:space="0"/>
            </w:tcBorders>
            <w:vAlign w:val="center"/>
          </w:tcPr>
          <w:p w14:paraId="536AD82B">
            <w:pPr>
              <w:rPr>
                <w:color w:val="000000"/>
              </w:rPr>
            </w:pPr>
            <w:r>
              <w:rPr>
                <w:rFonts w:hint="eastAsia"/>
                <w:color w:val="000000"/>
              </w:rPr>
              <w:t>检测人员和仪器设备均不能满足，造成危害后果的</w:t>
            </w:r>
          </w:p>
        </w:tc>
        <w:tc>
          <w:tcPr>
            <w:tcW w:w="1092" w:type="dxa"/>
            <w:tcBorders>
              <w:top w:val="single" w:color="auto" w:sz="4" w:space="0"/>
              <w:left w:val="single" w:color="auto" w:sz="4" w:space="0"/>
              <w:bottom w:val="single" w:color="auto" w:sz="4" w:space="0"/>
              <w:right w:val="single" w:color="auto" w:sz="4" w:space="0"/>
            </w:tcBorders>
            <w:vAlign w:val="center"/>
          </w:tcPr>
          <w:p w14:paraId="04441111">
            <w:pPr>
              <w:rPr>
                <w:color w:val="000000"/>
              </w:rPr>
            </w:pPr>
          </w:p>
        </w:tc>
        <w:tc>
          <w:tcPr>
            <w:tcW w:w="5788" w:type="dxa"/>
            <w:tcBorders>
              <w:top w:val="single" w:color="auto" w:sz="4" w:space="0"/>
              <w:left w:val="single" w:color="auto" w:sz="4" w:space="0"/>
              <w:bottom w:val="single" w:color="auto" w:sz="4" w:space="0"/>
              <w:right w:val="single" w:color="auto" w:sz="4" w:space="0"/>
            </w:tcBorders>
            <w:vAlign w:val="center"/>
          </w:tcPr>
          <w:p w14:paraId="3AAC23B1">
            <w:pPr>
              <w:rPr>
                <w:color w:val="000000"/>
              </w:rPr>
            </w:pPr>
            <w:r>
              <w:rPr>
                <w:rFonts w:hint="eastAsia"/>
                <w:color w:val="000000"/>
              </w:rPr>
              <w:t>对单位：处15万元以上20万元以下的罚款</w:t>
            </w:r>
          </w:p>
          <w:p w14:paraId="73DAED10">
            <w:pPr>
              <w:rPr>
                <w:color w:val="000000"/>
              </w:rPr>
            </w:pPr>
            <w:r>
              <w:rPr>
                <w:rFonts w:hint="eastAsia"/>
                <w:color w:val="000000"/>
              </w:rPr>
              <w:t>对个人：处2以上3万元以下的罚款</w:t>
            </w:r>
          </w:p>
        </w:tc>
      </w:tr>
    </w:tbl>
    <w:p w14:paraId="5472AD6C"/>
    <w:p w14:paraId="49BFA002"/>
    <w:tbl>
      <w:tblPr>
        <w:tblStyle w:val="15"/>
        <w:tblW w:w="0" w:type="auto"/>
        <w:tblInd w:w="88" w:type="dxa"/>
        <w:tblLayout w:type="fixed"/>
        <w:tblCellMar>
          <w:top w:w="0" w:type="dxa"/>
          <w:left w:w="108" w:type="dxa"/>
          <w:bottom w:w="0" w:type="dxa"/>
          <w:right w:w="108" w:type="dxa"/>
        </w:tblCellMar>
      </w:tblPr>
      <w:tblGrid>
        <w:gridCol w:w="996"/>
        <w:gridCol w:w="5701"/>
        <w:gridCol w:w="1139"/>
        <w:gridCol w:w="6180"/>
      </w:tblGrid>
      <w:tr w14:paraId="12F48E1E">
        <w:tblPrEx>
          <w:tblCellMar>
            <w:top w:w="0" w:type="dxa"/>
            <w:left w:w="108" w:type="dxa"/>
            <w:bottom w:w="0" w:type="dxa"/>
            <w:right w:w="108" w:type="dxa"/>
          </w:tblCellMar>
        </w:tblPrEx>
        <w:trPr>
          <w:trHeight w:val="285" w:hRule="atLeast"/>
        </w:trPr>
        <w:tc>
          <w:tcPr>
            <w:tcW w:w="996" w:type="dxa"/>
            <w:tcBorders>
              <w:top w:val="single" w:color="auto" w:sz="8" w:space="0"/>
              <w:left w:val="single" w:color="auto" w:sz="8" w:space="0"/>
              <w:bottom w:val="single" w:color="auto" w:sz="4" w:space="0"/>
              <w:right w:val="single" w:color="auto" w:sz="4" w:space="0"/>
            </w:tcBorders>
            <w:vAlign w:val="center"/>
          </w:tcPr>
          <w:p w14:paraId="58BC446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1167428E">
            <w:pPr>
              <w:spacing w:line="320" w:lineRule="exact"/>
              <w:jc w:val="left"/>
              <w:rPr>
                <w:rFonts w:eastAsia="仿宋_GB2312"/>
                <w:b/>
                <w:bCs/>
                <w:color w:val="000000"/>
                <w:kern w:val="0"/>
                <w:sz w:val="18"/>
                <w:szCs w:val="18"/>
              </w:rPr>
            </w:pPr>
            <w:r>
              <w:rPr>
                <w:rFonts w:eastAsia="仿宋_GB2312"/>
                <w:b/>
                <w:bCs/>
                <w:color w:val="000000"/>
                <w:kern w:val="0"/>
                <w:sz w:val="18"/>
                <w:szCs w:val="18"/>
              </w:rPr>
              <w:t>320217452000</w:t>
            </w:r>
            <w:r>
              <w:rPr>
                <w:rFonts w:hint="eastAsia" w:eastAsia="仿宋_GB2312"/>
                <w:b/>
                <w:bCs/>
                <w:color w:val="000000"/>
                <w:kern w:val="0"/>
                <w:sz w:val="18"/>
                <w:szCs w:val="18"/>
              </w:rPr>
              <w:t xml:space="preserve"> </w:t>
            </w:r>
          </w:p>
        </w:tc>
      </w:tr>
      <w:tr w14:paraId="38DE9241">
        <w:tblPrEx>
          <w:tblCellMar>
            <w:top w:w="0" w:type="dxa"/>
            <w:left w:w="108" w:type="dxa"/>
            <w:bottom w:w="0" w:type="dxa"/>
            <w:right w:w="108" w:type="dxa"/>
          </w:tblCellMar>
        </w:tblPrEx>
        <w:trPr>
          <w:trHeight w:val="285" w:hRule="atLeast"/>
        </w:trPr>
        <w:tc>
          <w:tcPr>
            <w:tcW w:w="996" w:type="dxa"/>
            <w:tcBorders>
              <w:top w:val="nil"/>
              <w:left w:val="single" w:color="auto" w:sz="8" w:space="0"/>
              <w:bottom w:val="single" w:color="auto" w:sz="4" w:space="0"/>
              <w:right w:val="single" w:color="auto" w:sz="4" w:space="0"/>
            </w:tcBorders>
            <w:vAlign w:val="center"/>
          </w:tcPr>
          <w:p w14:paraId="22D1B33A">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color="auto" w:sz="4" w:space="0"/>
              <w:left w:val="nil"/>
              <w:bottom w:val="single" w:color="auto" w:sz="4" w:space="0"/>
              <w:right w:val="single" w:color="000000" w:sz="8" w:space="0"/>
            </w:tcBorders>
            <w:vAlign w:val="center"/>
          </w:tcPr>
          <w:p w14:paraId="3F9FFAB6">
            <w:pPr>
              <w:spacing w:line="320" w:lineRule="exact"/>
              <w:jc w:val="left"/>
              <w:rPr>
                <w:color w:val="000000"/>
                <w:kern w:val="0"/>
                <w:sz w:val="18"/>
                <w:szCs w:val="18"/>
              </w:rPr>
            </w:pPr>
            <w:r>
              <w:rPr>
                <w:rFonts w:hint="eastAsia"/>
                <w:color w:val="000000"/>
              </w:rPr>
              <w:t>对燃气场站工程、市政中高压燃气管道工程的初步设计文件未按照省政府确定的项目管理权限报燃气主管部门审查批准的处罚</w:t>
            </w:r>
          </w:p>
        </w:tc>
      </w:tr>
      <w:tr w14:paraId="23875964">
        <w:tblPrEx>
          <w:tblCellMar>
            <w:top w:w="0" w:type="dxa"/>
            <w:left w:w="108" w:type="dxa"/>
            <w:bottom w:w="0" w:type="dxa"/>
            <w:right w:w="108" w:type="dxa"/>
          </w:tblCellMar>
        </w:tblPrEx>
        <w:trPr>
          <w:trHeight w:val="1290" w:hRule="atLeast"/>
        </w:trPr>
        <w:tc>
          <w:tcPr>
            <w:tcW w:w="996" w:type="dxa"/>
            <w:tcBorders>
              <w:top w:val="nil"/>
              <w:left w:val="single" w:color="auto" w:sz="8" w:space="0"/>
              <w:bottom w:val="single" w:color="auto" w:sz="4" w:space="0"/>
              <w:right w:val="single" w:color="auto" w:sz="4" w:space="0"/>
            </w:tcBorders>
            <w:vAlign w:val="center"/>
          </w:tcPr>
          <w:p w14:paraId="735F473A">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0F9675C3">
            <w:pPr>
              <w:spacing w:line="320" w:lineRule="exact"/>
              <w:jc w:val="left"/>
              <w:rPr>
                <w:color w:val="000000"/>
                <w:kern w:val="0"/>
                <w:sz w:val="18"/>
                <w:szCs w:val="18"/>
              </w:rPr>
            </w:pPr>
            <w:r>
              <w:rPr>
                <w:rFonts w:hint="eastAsia"/>
                <w:color w:val="000000"/>
                <w:kern w:val="0"/>
                <w:sz w:val="18"/>
                <w:szCs w:val="18"/>
              </w:rPr>
              <w:t>【法律】《中华人民共和国安全生产法》</w:t>
            </w:r>
          </w:p>
          <w:p w14:paraId="7DDF895F">
            <w:pPr>
              <w:spacing w:line="320" w:lineRule="exact"/>
              <w:jc w:val="left"/>
              <w:rPr>
                <w:color w:val="000000"/>
                <w:kern w:val="0"/>
                <w:sz w:val="18"/>
                <w:szCs w:val="18"/>
              </w:rPr>
            </w:pPr>
            <w:r>
              <w:rPr>
                <w:rFonts w:hint="eastAsia"/>
                <w:color w:val="000000"/>
                <w:kern w:val="0"/>
                <w:sz w:val="18"/>
                <w:szCs w:val="18"/>
              </w:rPr>
              <w:t xml:space="preserve">    　第九十八条　生产经营单位有下列行为之一的，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p>
          <w:p w14:paraId="2F878685">
            <w:pPr>
              <w:spacing w:line="320" w:lineRule="exact"/>
              <w:jc w:val="left"/>
              <w:rPr>
                <w:color w:val="000000"/>
                <w:kern w:val="0"/>
                <w:sz w:val="18"/>
                <w:szCs w:val="18"/>
              </w:rPr>
            </w:pPr>
            <w:r>
              <w:rPr>
                <w:rFonts w:hint="eastAsia"/>
                <w:color w:val="000000"/>
                <w:kern w:val="0"/>
                <w:sz w:val="18"/>
                <w:szCs w:val="18"/>
              </w:rPr>
              <w:t xml:space="preserve">     （二）矿山、金属冶炼建设项目或者用于生产、储存、装卸危险物品的建设项目没有安全设施设计或者安全设施设计未按照规定报经有关部门审查同意的；</w:t>
            </w:r>
          </w:p>
          <w:p w14:paraId="51684ADB">
            <w:pPr>
              <w:spacing w:line="320" w:lineRule="exact"/>
              <w:jc w:val="left"/>
              <w:rPr>
                <w:color w:val="000000"/>
                <w:kern w:val="0"/>
                <w:sz w:val="18"/>
                <w:szCs w:val="18"/>
              </w:rPr>
            </w:pPr>
            <w:r>
              <w:rPr>
                <w:rFonts w:hint="eastAsia"/>
                <w:color w:val="000000"/>
                <w:kern w:val="0"/>
                <w:sz w:val="18"/>
                <w:szCs w:val="18"/>
              </w:rPr>
              <w:t xml:space="preserve">        第一百一十二条  生产经营单位违反本法规定，被责令改正且受到罚款处罚，拒不改正的，负有安全生产监督管理职责的部门可以自作出责令改正之日的次日起，按照原处罚数额按日连续处罚。</w:t>
            </w:r>
          </w:p>
          <w:p w14:paraId="5FD0DAE0">
            <w:pPr>
              <w:spacing w:line="320" w:lineRule="exact"/>
              <w:jc w:val="left"/>
              <w:rPr>
                <w:color w:val="000000"/>
                <w:kern w:val="0"/>
                <w:sz w:val="18"/>
                <w:szCs w:val="18"/>
              </w:rPr>
            </w:pPr>
            <w:r>
              <w:rPr>
                <w:rFonts w:hint="eastAsia"/>
                <w:color w:val="000000"/>
                <w:kern w:val="0"/>
                <w:sz w:val="18"/>
                <w:szCs w:val="18"/>
              </w:rPr>
              <w:t>【地方性法规】《江苏省燃气管理条例》</w:t>
            </w:r>
          </w:p>
          <w:p w14:paraId="4F53ADD4">
            <w:pPr>
              <w:spacing w:line="320" w:lineRule="exact"/>
              <w:jc w:val="left"/>
              <w:rPr>
                <w:color w:val="000000"/>
                <w:kern w:val="0"/>
                <w:sz w:val="18"/>
                <w:szCs w:val="18"/>
              </w:rPr>
            </w:pPr>
            <w:r>
              <w:rPr>
                <w:rFonts w:hint="eastAsia"/>
                <w:color w:val="000000"/>
                <w:kern w:val="0"/>
                <w:sz w:val="18"/>
                <w:szCs w:val="18"/>
              </w:rPr>
              <w:t xml:space="preserve">        第十四条  燃气场站工程、市政中高压燃气管道工程的初步设计文件应当按照省政府确定的项目管理权限报燃气主管部门审查批准。</w:t>
            </w:r>
          </w:p>
          <w:p w14:paraId="51C517B1">
            <w:pPr>
              <w:spacing w:line="320" w:lineRule="exact"/>
              <w:jc w:val="left"/>
              <w:rPr>
                <w:color w:val="000000"/>
                <w:kern w:val="0"/>
                <w:sz w:val="18"/>
                <w:szCs w:val="18"/>
              </w:rPr>
            </w:pPr>
            <w:r>
              <w:rPr>
                <w:rFonts w:hint="eastAsia"/>
                <w:color w:val="000000"/>
                <w:kern w:val="0"/>
                <w:sz w:val="18"/>
                <w:szCs w:val="18"/>
              </w:rPr>
              <w:t xml:space="preserve">        第六十条  违反本条例第十四条规定，由燃气主管部门责令限期改正，并可以处一万元以上五万元以下罚款；逾期不改正的，由燃气主管部门责令停止建设。</w:t>
            </w:r>
          </w:p>
        </w:tc>
      </w:tr>
      <w:tr w14:paraId="41635243">
        <w:tblPrEx>
          <w:tblCellMar>
            <w:top w:w="0" w:type="dxa"/>
            <w:left w:w="108" w:type="dxa"/>
            <w:bottom w:w="0" w:type="dxa"/>
            <w:right w:w="108" w:type="dxa"/>
          </w:tblCellMar>
        </w:tblPrEx>
        <w:trPr>
          <w:trHeight w:val="285" w:hRule="atLeast"/>
        </w:trPr>
        <w:tc>
          <w:tcPr>
            <w:tcW w:w="996" w:type="dxa"/>
            <w:tcBorders>
              <w:top w:val="nil"/>
              <w:left w:val="single" w:color="auto" w:sz="8" w:space="0"/>
              <w:bottom w:val="single" w:color="auto" w:sz="4" w:space="0"/>
              <w:right w:val="single" w:color="auto" w:sz="4" w:space="0"/>
            </w:tcBorders>
            <w:vAlign w:val="center"/>
          </w:tcPr>
          <w:p w14:paraId="0E6C7C69">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2BFE6419">
            <w:pPr>
              <w:spacing w:line="320" w:lineRule="exact"/>
              <w:jc w:val="left"/>
              <w:rPr>
                <w:color w:val="000000"/>
                <w:kern w:val="0"/>
                <w:sz w:val="18"/>
                <w:szCs w:val="18"/>
              </w:rPr>
            </w:pPr>
            <w:r>
              <w:rPr>
                <w:rFonts w:hint="eastAsia"/>
                <w:color w:val="000000"/>
                <w:kern w:val="0"/>
                <w:sz w:val="18"/>
                <w:szCs w:val="18"/>
              </w:rPr>
              <w:t>责令限期改正，罚款，责令停止建设</w:t>
            </w:r>
          </w:p>
        </w:tc>
      </w:tr>
      <w:tr w14:paraId="39D3D304">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22967A3">
            <w:pPr>
              <w:spacing w:line="320" w:lineRule="exact"/>
              <w:jc w:val="center"/>
              <w:rPr>
                <w:color w:val="000000"/>
                <w:kern w:val="0"/>
                <w:sz w:val="18"/>
                <w:szCs w:val="18"/>
              </w:rPr>
            </w:pPr>
            <w:r>
              <w:rPr>
                <w:rFonts w:hint="eastAsia"/>
                <w:color w:val="000000"/>
                <w:kern w:val="0"/>
                <w:sz w:val="18"/>
                <w:szCs w:val="18"/>
              </w:rPr>
              <w:t>裁量基准</w:t>
            </w:r>
          </w:p>
        </w:tc>
      </w:tr>
      <w:tr w14:paraId="577594A5">
        <w:tblPrEx>
          <w:tblCellMar>
            <w:top w:w="0" w:type="dxa"/>
            <w:left w:w="108" w:type="dxa"/>
            <w:bottom w:w="0" w:type="dxa"/>
            <w:right w:w="108" w:type="dxa"/>
          </w:tblCellMar>
        </w:tblPrEx>
        <w:trPr>
          <w:trHeight w:val="285" w:hRule="atLeast"/>
        </w:trPr>
        <w:tc>
          <w:tcPr>
            <w:tcW w:w="996" w:type="dxa"/>
            <w:vMerge w:val="restart"/>
            <w:tcBorders>
              <w:top w:val="nil"/>
              <w:left w:val="single" w:color="auto" w:sz="8" w:space="0"/>
              <w:bottom w:val="single" w:color="auto" w:sz="4" w:space="0"/>
              <w:right w:val="single" w:color="auto" w:sz="4" w:space="0"/>
            </w:tcBorders>
            <w:vAlign w:val="center"/>
          </w:tcPr>
          <w:p w14:paraId="034E37E2">
            <w:pPr>
              <w:spacing w:line="320" w:lineRule="exact"/>
              <w:jc w:val="center"/>
              <w:rPr>
                <w:color w:val="000000"/>
                <w:kern w:val="0"/>
                <w:sz w:val="18"/>
                <w:szCs w:val="18"/>
              </w:rPr>
            </w:pPr>
            <w:r>
              <w:rPr>
                <w:rFonts w:hint="eastAsia"/>
                <w:color w:val="000000"/>
                <w:kern w:val="0"/>
                <w:sz w:val="18"/>
                <w:szCs w:val="18"/>
              </w:rPr>
              <w:t>情形描述</w:t>
            </w:r>
          </w:p>
        </w:tc>
        <w:tc>
          <w:tcPr>
            <w:tcW w:w="5701" w:type="dxa"/>
            <w:tcBorders>
              <w:top w:val="single" w:color="auto" w:sz="4" w:space="0"/>
              <w:left w:val="nil"/>
              <w:bottom w:val="single" w:color="auto" w:sz="4" w:space="0"/>
              <w:right w:val="single" w:color="auto" w:sz="4" w:space="0"/>
            </w:tcBorders>
            <w:vAlign w:val="center"/>
          </w:tcPr>
          <w:p w14:paraId="43D9C99D">
            <w:pPr>
              <w:spacing w:line="320" w:lineRule="exact"/>
              <w:jc w:val="left"/>
              <w:rPr>
                <w:color w:val="000000"/>
                <w:kern w:val="0"/>
                <w:sz w:val="18"/>
                <w:szCs w:val="18"/>
              </w:rPr>
            </w:pPr>
            <w:r>
              <w:rPr>
                <w:rFonts w:hint="eastAsia"/>
                <w:color w:val="000000"/>
                <w:kern w:val="0"/>
                <w:sz w:val="18"/>
                <w:szCs w:val="18"/>
              </w:rPr>
              <w:t>停止建设的</w:t>
            </w:r>
          </w:p>
        </w:tc>
        <w:tc>
          <w:tcPr>
            <w:tcW w:w="1139" w:type="dxa"/>
            <w:vMerge w:val="restart"/>
            <w:tcBorders>
              <w:top w:val="nil"/>
              <w:left w:val="single" w:color="auto" w:sz="4" w:space="0"/>
              <w:bottom w:val="single" w:color="auto" w:sz="4" w:space="0"/>
              <w:right w:val="single" w:color="auto" w:sz="4" w:space="0"/>
            </w:tcBorders>
            <w:vAlign w:val="center"/>
          </w:tcPr>
          <w:p w14:paraId="5CE284CE">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34AE603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12D4A508">
        <w:tblPrEx>
          <w:tblCellMar>
            <w:top w:w="0" w:type="dxa"/>
            <w:left w:w="108" w:type="dxa"/>
            <w:bottom w:w="0" w:type="dxa"/>
            <w:right w:w="108" w:type="dxa"/>
          </w:tblCellMar>
        </w:tblPrEx>
        <w:trPr>
          <w:trHeight w:val="285" w:hRule="atLeast"/>
        </w:trPr>
        <w:tc>
          <w:tcPr>
            <w:tcW w:w="996" w:type="dxa"/>
            <w:vMerge w:val="continue"/>
            <w:tcBorders>
              <w:top w:val="nil"/>
              <w:left w:val="single" w:color="auto" w:sz="8" w:space="0"/>
              <w:bottom w:val="single" w:color="auto" w:sz="4" w:space="0"/>
              <w:right w:val="single" w:color="auto" w:sz="4" w:space="0"/>
            </w:tcBorders>
            <w:vAlign w:val="center"/>
          </w:tcPr>
          <w:p w14:paraId="3E79E856">
            <w:pPr>
              <w:spacing w:line="320" w:lineRule="exact"/>
              <w:jc w:val="left"/>
              <w:rPr>
                <w:color w:val="000000"/>
                <w:kern w:val="0"/>
                <w:sz w:val="18"/>
                <w:szCs w:val="18"/>
              </w:rPr>
            </w:pPr>
          </w:p>
        </w:tc>
        <w:tc>
          <w:tcPr>
            <w:tcW w:w="5701" w:type="dxa"/>
            <w:tcBorders>
              <w:top w:val="single" w:color="auto" w:sz="4" w:space="0"/>
              <w:left w:val="nil"/>
              <w:bottom w:val="single" w:color="auto" w:sz="4" w:space="0"/>
              <w:right w:val="single" w:color="auto" w:sz="4" w:space="0"/>
            </w:tcBorders>
            <w:vAlign w:val="center"/>
          </w:tcPr>
          <w:p w14:paraId="3DF3E65A">
            <w:pPr>
              <w:spacing w:line="320" w:lineRule="exact"/>
              <w:jc w:val="left"/>
              <w:rPr>
                <w:color w:val="000000"/>
                <w:kern w:val="0"/>
                <w:sz w:val="18"/>
                <w:szCs w:val="18"/>
              </w:rPr>
            </w:pPr>
            <w:r>
              <w:rPr>
                <w:rFonts w:hint="eastAsia"/>
                <w:color w:val="000000"/>
                <w:kern w:val="0"/>
                <w:sz w:val="18"/>
                <w:szCs w:val="18"/>
              </w:rPr>
              <w:t>仍擅自建设的</w:t>
            </w:r>
          </w:p>
        </w:tc>
        <w:tc>
          <w:tcPr>
            <w:tcW w:w="1139" w:type="dxa"/>
            <w:vMerge w:val="continue"/>
            <w:tcBorders>
              <w:top w:val="nil"/>
              <w:left w:val="single" w:color="auto" w:sz="4" w:space="0"/>
              <w:bottom w:val="single" w:color="auto" w:sz="4" w:space="0"/>
              <w:right w:val="single" w:color="auto" w:sz="4" w:space="0"/>
            </w:tcBorders>
            <w:vAlign w:val="center"/>
          </w:tcPr>
          <w:p w14:paraId="77B8CE44">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1516AB7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27B997A1"/>
    <w:p w14:paraId="5EB18E46"/>
    <w:p w14:paraId="16478580"/>
    <w:p w14:paraId="02637625"/>
    <w:p w14:paraId="0C6208FD"/>
    <w:p w14:paraId="275EE510"/>
    <w:p w14:paraId="1F98C8E7"/>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1552"/>
        <w:gridCol w:w="4588"/>
        <w:gridCol w:w="1080"/>
        <w:gridCol w:w="5820"/>
      </w:tblGrid>
      <w:tr w14:paraId="33E1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480CFC9">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14:paraId="5B94DD8D">
            <w:pPr>
              <w:spacing w:line="320" w:lineRule="exact"/>
              <w:jc w:val="left"/>
              <w:rPr>
                <w:rFonts w:eastAsia="仿宋_GB2312"/>
                <w:b/>
                <w:bCs/>
                <w:color w:val="000000"/>
                <w:kern w:val="0"/>
                <w:sz w:val="18"/>
                <w:szCs w:val="18"/>
              </w:rPr>
            </w:pPr>
            <w:r>
              <w:rPr>
                <w:rFonts w:eastAsia="仿宋_GB2312"/>
                <w:b/>
                <w:bCs/>
                <w:color w:val="000000"/>
                <w:kern w:val="0"/>
                <w:sz w:val="18"/>
                <w:szCs w:val="18"/>
              </w:rPr>
              <w:t>320217454000</w:t>
            </w:r>
          </w:p>
        </w:tc>
      </w:tr>
      <w:tr w14:paraId="15DD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733F9F9">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14:paraId="66C6ECDA">
            <w:pPr>
              <w:spacing w:line="320" w:lineRule="exact"/>
              <w:jc w:val="left"/>
              <w:rPr>
                <w:color w:val="000000"/>
                <w:kern w:val="0"/>
                <w:sz w:val="18"/>
                <w:szCs w:val="18"/>
              </w:rPr>
            </w:pPr>
            <w:r>
              <w:rPr>
                <w:rFonts w:hint="eastAsia"/>
                <w:color w:val="000000"/>
                <w:kern w:val="0"/>
                <w:sz w:val="18"/>
                <w:szCs w:val="18"/>
              </w:rPr>
              <w:t>对勘察、设计单位未按照规定参加工程相关验收并出具工程质量验收意见的处罚</w:t>
            </w:r>
          </w:p>
        </w:tc>
      </w:tr>
      <w:tr w14:paraId="0276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1A693476">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14:paraId="40FB3F1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0D6C22E2">
            <w:pPr>
              <w:spacing w:line="320" w:lineRule="exact"/>
              <w:jc w:val="left"/>
              <w:rPr>
                <w:color w:val="000000"/>
                <w:kern w:val="0"/>
                <w:sz w:val="18"/>
                <w:szCs w:val="18"/>
              </w:rPr>
            </w:pP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勘察、设计单位应当履行下列工程质量义务：</w:t>
            </w:r>
          </w:p>
          <w:p w14:paraId="6307328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（三）按照规定参加工程相关验收并出具工程质量验收意见。</w:t>
            </w:r>
          </w:p>
          <w:p w14:paraId="65781BD1">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违反本办法第十八条第（三）项规定，勘察、设计单位未按照规定参加工程相关验收并出具工程质量验收意见的，由住房和城乡建设行政主管部门责令改正，并可处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0EA6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07A9E45">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14:paraId="0658B25A">
            <w:pPr>
              <w:spacing w:line="320" w:lineRule="exact"/>
              <w:jc w:val="left"/>
              <w:rPr>
                <w:color w:val="000000"/>
                <w:kern w:val="0"/>
                <w:sz w:val="18"/>
                <w:szCs w:val="18"/>
              </w:rPr>
            </w:pPr>
            <w:r>
              <w:rPr>
                <w:rFonts w:hint="eastAsia"/>
                <w:color w:val="000000"/>
                <w:kern w:val="0"/>
                <w:sz w:val="18"/>
                <w:szCs w:val="18"/>
              </w:rPr>
              <w:t>罚款</w:t>
            </w:r>
          </w:p>
        </w:tc>
      </w:tr>
      <w:tr w14:paraId="57CE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5"/>
            <w:vAlign w:val="center"/>
          </w:tcPr>
          <w:p w14:paraId="5FD2F13A">
            <w:pPr>
              <w:spacing w:line="320" w:lineRule="exact"/>
              <w:jc w:val="center"/>
              <w:rPr>
                <w:color w:val="000000"/>
                <w:kern w:val="0"/>
                <w:sz w:val="18"/>
                <w:szCs w:val="18"/>
              </w:rPr>
            </w:pPr>
            <w:r>
              <w:rPr>
                <w:rFonts w:hint="eastAsia"/>
                <w:color w:val="000000"/>
                <w:kern w:val="0"/>
                <w:sz w:val="18"/>
                <w:szCs w:val="18"/>
              </w:rPr>
              <w:t>裁量基准</w:t>
            </w:r>
          </w:p>
        </w:tc>
      </w:tr>
      <w:tr w14:paraId="2348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4FD2DF8A">
            <w:pPr>
              <w:spacing w:line="320" w:lineRule="exact"/>
              <w:jc w:val="center"/>
              <w:rPr>
                <w:color w:val="000000"/>
                <w:kern w:val="0"/>
                <w:sz w:val="18"/>
                <w:szCs w:val="18"/>
              </w:rPr>
            </w:pPr>
            <w:r>
              <w:rPr>
                <w:rFonts w:hint="eastAsia"/>
                <w:color w:val="000000"/>
                <w:kern w:val="0"/>
                <w:sz w:val="18"/>
                <w:szCs w:val="18"/>
              </w:rPr>
              <w:t>情形描述</w:t>
            </w:r>
          </w:p>
        </w:tc>
        <w:tc>
          <w:tcPr>
            <w:tcW w:w="1552" w:type="dxa"/>
            <w:vMerge w:val="restart"/>
            <w:vAlign w:val="center"/>
          </w:tcPr>
          <w:p w14:paraId="5E6D18B8">
            <w:pPr>
              <w:spacing w:line="320" w:lineRule="exact"/>
              <w:jc w:val="left"/>
              <w:rPr>
                <w:color w:val="000000"/>
                <w:kern w:val="0"/>
                <w:sz w:val="18"/>
                <w:szCs w:val="18"/>
              </w:rPr>
            </w:pPr>
            <w:r>
              <w:rPr>
                <w:rFonts w:hint="eastAsia"/>
                <w:color w:val="000000"/>
                <w:kern w:val="0"/>
                <w:sz w:val="18"/>
                <w:szCs w:val="18"/>
              </w:rPr>
              <w:t>按照要求整改</w:t>
            </w:r>
          </w:p>
        </w:tc>
        <w:tc>
          <w:tcPr>
            <w:tcW w:w="4588" w:type="dxa"/>
            <w:vAlign w:val="center"/>
          </w:tcPr>
          <w:p w14:paraId="31297895">
            <w:pPr>
              <w:spacing w:line="320" w:lineRule="exact"/>
              <w:jc w:val="left"/>
              <w:rPr>
                <w:color w:val="000000"/>
                <w:kern w:val="0"/>
                <w:sz w:val="18"/>
                <w:szCs w:val="18"/>
              </w:rPr>
            </w:pPr>
            <w:r>
              <w:rPr>
                <w:rFonts w:hint="eastAsia"/>
                <w:color w:val="000000"/>
                <w:kern w:val="0"/>
                <w:sz w:val="18"/>
                <w:szCs w:val="18"/>
              </w:rPr>
              <w:t>参加验收但未出具工程质量验收意见的</w:t>
            </w:r>
          </w:p>
        </w:tc>
        <w:tc>
          <w:tcPr>
            <w:tcW w:w="1080" w:type="dxa"/>
            <w:vMerge w:val="restart"/>
            <w:vAlign w:val="center"/>
          </w:tcPr>
          <w:p w14:paraId="268F007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5C60F173">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14:paraId="71A0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82545F3">
            <w:pPr>
              <w:spacing w:line="320" w:lineRule="exact"/>
              <w:jc w:val="center"/>
              <w:rPr>
                <w:color w:val="000000"/>
                <w:kern w:val="0"/>
                <w:sz w:val="18"/>
                <w:szCs w:val="18"/>
              </w:rPr>
            </w:pPr>
          </w:p>
        </w:tc>
        <w:tc>
          <w:tcPr>
            <w:tcW w:w="1552" w:type="dxa"/>
            <w:vMerge w:val="continue"/>
            <w:vAlign w:val="center"/>
          </w:tcPr>
          <w:p w14:paraId="6D1DC057">
            <w:pPr>
              <w:spacing w:line="320" w:lineRule="exact"/>
              <w:jc w:val="left"/>
              <w:rPr>
                <w:color w:val="000000"/>
                <w:kern w:val="0"/>
                <w:sz w:val="18"/>
                <w:szCs w:val="18"/>
              </w:rPr>
            </w:pPr>
          </w:p>
        </w:tc>
        <w:tc>
          <w:tcPr>
            <w:tcW w:w="4588" w:type="dxa"/>
            <w:vAlign w:val="center"/>
          </w:tcPr>
          <w:p w14:paraId="3585541C">
            <w:pPr>
              <w:spacing w:line="320" w:lineRule="exact"/>
              <w:jc w:val="left"/>
              <w:rPr>
                <w:color w:val="000000"/>
                <w:kern w:val="0"/>
                <w:sz w:val="18"/>
                <w:szCs w:val="18"/>
              </w:rPr>
            </w:pPr>
            <w:r>
              <w:rPr>
                <w:rFonts w:hint="eastAsia"/>
                <w:color w:val="000000"/>
                <w:kern w:val="0"/>
                <w:sz w:val="18"/>
                <w:szCs w:val="18"/>
              </w:rPr>
              <w:t>未参加验收的</w:t>
            </w:r>
          </w:p>
        </w:tc>
        <w:tc>
          <w:tcPr>
            <w:tcW w:w="1080" w:type="dxa"/>
            <w:vMerge w:val="continue"/>
            <w:vAlign w:val="center"/>
          </w:tcPr>
          <w:p w14:paraId="5AFC92C4">
            <w:pPr>
              <w:spacing w:line="320" w:lineRule="exact"/>
              <w:jc w:val="center"/>
              <w:rPr>
                <w:color w:val="000000"/>
                <w:kern w:val="0"/>
                <w:sz w:val="18"/>
                <w:szCs w:val="18"/>
              </w:rPr>
            </w:pPr>
          </w:p>
        </w:tc>
        <w:tc>
          <w:tcPr>
            <w:tcW w:w="5820" w:type="dxa"/>
            <w:vAlign w:val="center"/>
          </w:tcPr>
          <w:p w14:paraId="459A9790">
            <w:pPr>
              <w:spacing w:line="320" w:lineRule="exact"/>
              <w:jc w:val="left"/>
              <w:rPr>
                <w:color w:val="000000"/>
                <w:kern w:val="0"/>
                <w:sz w:val="18"/>
                <w:szCs w:val="18"/>
              </w:rPr>
            </w:pPr>
            <w:r>
              <w:rPr>
                <w:color w:val="000000"/>
                <w:kern w:val="0"/>
                <w:sz w:val="18"/>
                <w:szCs w:val="18"/>
              </w:rPr>
              <w:t>1.3</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499C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02AE8048">
            <w:pPr>
              <w:spacing w:line="320" w:lineRule="exact"/>
              <w:jc w:val="center"/>
              <w:rPr>
                <w:color w:val="000000"/>
                <w:kern w:val="0"/>
                <w:sz w:val="18"/>
                <w:szCs w:val="18"/>
              </w:rPr>
            </w:pPr>
          </w:p>
        </w:tc>
        <w:tc>
          <w:tcPr>
            <w:tcW w:w="1552" w:type="dxa"/>
            <w:vMerge w:val="restart"/>
            <w:vAlign w:val="center"/>
          </w:tcPr>
          <w:p w14:paraId="612F82BE">
            <w:pPr>
              <w:spacing w:line="320" w:lineRule="exact"/>
              <w:jc w:val="left"/>
              <w:rPr>
                <w:color w:val="000000"/>
                <w:kern w:val="0"/>
                <w:sz w:val="18"/>
                <w:szCs w:val="18"/>
              </w:rPr>
            </w:pPr>
            <w:r>
              <w:rPr>
                <w:rFonts w:hint="eastAsia"/>
                <w:color w:val="000000"/>
                <w:kern w:val="0"/>
                <w:sz w:val="18"/>
                <w:szCs w:val="18"/>
              </w:rPr>
              <w:t>未按照要求整改</w:t>
            </w:r>
          </w:p>
        </w:tc>
        <w:tc>
          <w:tcPr>
            <w:tcW w:w="4588" w:type="dxa"/>
            <w:vAlign w:val="center"/>
          </w:tcPr>
          <w:p w14:paraId="5F37EC8B">
            <w:pPr>
              <w:spacing w:line="320" w:lineRule="exact"/>
              <w:jc w:val="left"/>
              <w:rPr>
                <w:color w:val="000000"/>
                <w:kern w:val="0"/>
                <w:sz w:val="18"/>
                <w:szCs w:val="18"/>
              </w:rPr>
            </w:pPr>
            <w:r>
              <w:rPr>
                <w:rFonts w:hint="eastAsia"/>
                <w:color w:val="000000"/>
                <w:kern w:val="0"/>
                <w:sz w:val="18"/>
                <w:szCs w:val="18"/>
              </w:rPr>
              <w:t>参加验收但未出具工程质量验收意见的</w:t>
            </w:r>
          </w:p>
        </w:tc>
        <w:tc>
          <w:tcPr>
            <w:tcW w:w="1080" w:type="dxa"/>
            <w:vMerge w:val="continue"/>
            <w:vAlign w:val="center"/>
          </w:tcPr>
          <w:p w14:paraId="505B2AED">
            <w:pPr>
              <w:spacing w:line="320" w:lineRule="exact"/>
              <w:jc w:val="center"/>
              <w:rPr>
                <w:color w:val="000000"/>
                <w:kern w:val="0"/>
                <w:sz w:val="18"/>
                <w:szCs w:val="18"/>
              </w:rPr>
            </w:pPr>
          </w:p>
        </w:tc>
        <w:tc>
          <w:tcPr>
            <w:tcW w:w="5820" w:type="dxa"/>
            <w:vAlign w:val="center"/>
          </w:tcPr>
          <w:p w14:paraId="0C3EFF48">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1A9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030" w:type="dxa"/>
            <w:vMerge w:val="continue"/>
            <w:vAlign w:val="center"/>
          </w:tcPr>
          <w:p w14:paraId="09A6C97D">
            <w:pPr>
              <w:spacing w:line="320" w:lineRule="exact"/>
              <w:jc w:val="center"/>
              <w:rPr>
                <w:color w:val="000000"/>
                <w:kern w:val="0"/>
                <w:sz w:val="18"/>
                <w:szCs w:val="18"/>
              </w:rPr>
            </w:pPr>
          </w:p>
        </w:tc>
        <w:tc>
          <w:tcPr>
            <w:tcW w:w="1552" w:type="dxa"/>
            <w:vMerge w:val="continue"/>
            <w:vAlign w:val="center"/>
          </w:tcPr>
          <w:p w14:paraId="3BE365FA">
            <w:pPr>
              <w:spacing w:line="320" w:lineRule="exact"/>
              <w:jc w:val="left"/>
              <w:rPr>
                <w:color w:val="000000"/>
                <w:kern w:val="0"/>
                <w:sz w:val="18"/>
                <w:szCs w:val="18"/>
              </w:rPr>
            </w:pPr>
          </w:p>
        </w:tc>
        <w:tc>
          <w:tcPr>
            <w:tcW w:w="4588" w:type="dxa"/>
            <w:vAlign w:val="center"/>
          </w:tcPr>
          <w:p w14:paraId="772D4F5E">
            <w:pPr>
              <w:spacing w:line="320" w:lineRule="exact"/>
              <w:jc w:val="left"/>
              <w:rPr>
                <w:color w:val="000000"/>
                <w:kern w:val="0"/>
                <w:sz w:val="18"/>
                <w:szCs w:val="18"/>
              </w:rPr>
            </w:pPr>
            <w:r>
              <w:rPr>
                <w:rFonts w:hint="eastAsia"/>
                <w:color w:val="000000"/>
                <w:kern w:val="0"/>
                <w:sz w:val="18"/>
                <w:szCs w:val="18"/>
              </w:rPr>
              <w:t>未参加验收的</w:t>
            </w:r>
          </w:p>
        </w:tc>
        <w:tc>
          <w:tcPr>
            <w:tcW w:w="1080" w:type="dxa"/>
            <w:vMerge w:val="continue"/>
            <w:vAlign w:val="center"/>
          </w:tcPr>
          <w:p w14:paraId="3AE6462A">
            <w:pPr>
              <w:spacing w:line="320" w:lineRule="exact"/>
              <w:jc w:val="center"/>
              <w:rPr>
                <w:color w:val="000000"/>
                <w:kern w:val="0"/>
                <w:sz w:val="18"/>
                <w:szCs w:val="18"/>
              </w:rPr>
            </w:pPr>
          </w:p>
        </w:tc>
        <w:tc>
          <w:tcPr>
            <w:tcW w:w="5820" w:type="dxa"/>
            <w:vAlign w:val="center"/>
          </w:tcPr>
          <w:p w14:paraId="00EBB25E">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35D5DEE8"/>
    <w:p w14:paraId="70696BF3"/>
    <w:p w14:paraId="27C6D7EB"/>
    <w:p w14:paraId="28187DBA"/>
    <w:p w14:paraId="2671702D"/>
    <w:p w14:paraId="6A44293B"/>
    <w:p w14:paraId="35CC684F"/>
    <w:p w14:paraId="0C60DBF6"/>
    <w:p w14:paraId="325DE125"/>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3501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3E708726">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2020FFCF">
            <w:pPr>
              <w:spacing w:line="320" w:lineRule="exact"/>
              <w:jc w:val="left"/>
              <w:rPr>
                <w:rFonts w:eastAsia="仿宋_GB2312"/>
                <w:b/>
                <w:bCs/>
                <w:color w:val="000000"/>
                <w:kern w:val="0"/>
                <w:sz w:val="18"/>
                <w:szCs w:val="18"/>
              </w:rPr>
            </w:pPr>
            <w:r>
              <w:rPr>
                <w:rFonts w:eastAsia="仿宋_GB2312"/>
                <w:b/>
                <w:bCs/>
                <w:color w:val="000000"/>
                <w:kern w:val="0"/>
                <w:sz w:val="18"/>
                <w:szCs w:val="18"/>
              </w:rPr>
              <w:t>320217455000</w:t>
            </w:r>
            <w:r>
              <w:rPr>
                <w:rFonts w:hint="eastAsia" w:eastAsia="仿宋_GB2312"/>
                <w:b/>
                <w:bCs/>
                <w:color w:val="000000"/>
                <w:kern w:val="0"/>
                <w:sz w:val="18"/>
                <w:szCs w:val="18"/>
              </w:rPr>
              <w:t xml:space="preserve"> </w:t>
            </w:r>
          </w:p>
        </w:tc>
      </w:tr>
      <w:tr w14:paraId="23E8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7B5AE59">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4302C95C">
            <w:pPr>
              <w:spacing w:line="320" w:lineRule="exact"/>
              <w:jc w:val="left"/>
              <w:rPr>
                <w:color w:val="000000"/>
                <w:kern w:val="0"/>
                <w:sz w:val="18"/>
                <w:szCs w:val="18"/>
              </w:rPr>
            </w:pPr>
            <w:r>
              <w:rPr>
                <w:rFonts w:hint="eastAsia"/>
                <w:color w:val="000000"/>
                <w:kern w:val="0"/>
                <w:sz w:val="18"/>
                <w:szCs w:val="18"/>
              </w:rPr>
              <w:t>对施工单位未按照规定配备相应的工程项目管理人员的处罚</w:t>
            </w:r>
          </w:p>
        </w:tc>
      </w:tr>
      <w:tr w14:paraId="00AE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1CECC624">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21376768">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49840400">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施工单位应当履行下列工程质量义务：</w:t>
            </w:r>
          </w:p>
          <w:p w14:paraId="760DC6B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（一）按照规定配备相应的工程项目管理人员、检测仪器并规范标准，项目经理不得擅自变更和离岗，现场质量检查员应当由施工单位直接派驻，并对施工单位负责。</w:t>
            </w:r>
          </w:p>
          <w:p w14:paraId="09FC91BC">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14:paraId="3C27DC0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（一）未按照规定配备相应的工程项目管理人员的。</w:t>
            </w:r>
          </w:p>
        </w:tc>
      </w:tr>
      <w:tr w14:paraId="1535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1EEBA097">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6BFBF094">
            <w:pPr>
              <w:spacing w:line="320" w:lineRule="exact"/>
              <w:jc w:val="left"/>
              <w:rPr>
                <w:color w:val="000000"/>
                <w:kern w:val="0"/>
                <w:sz w:val="18"/>
                <w:szCs w:val="18"/>
              </w:rPr>
            </w:pPr>
            <w:r>
              <w:rPr>
                <w:rFonts w:hint="eastAsia"/>
                <w:color w:val="000000"/>
                <w:kern w:val="0"/>
                <w:sz w:val="18"/>
                <w:szCs w:val="18"/>
              </w:rPr>
              <w:t>罚款</w:t>
            </w:r>
          </w:p>
        </w:tc>
      </w:tr>
      <w:tr w14:paraId="3EFB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4939E120">
            <w:pPr>
              <w:spacing w:line="320" w:lineRule="exact"/>
              <w:jc w:val="center"/>
              <w:rPr>
                <w:color w:val="000000"/>
                <w:kern w:val="0"/>
                <w:sz w:val="18"/>
                <w:szCs w:val="18"/>
              </w:rPr>
            </w:pPr>
            <w:r>
              <w:rPr>
                <w:rFonts w:hint="eastAsia"/>
                <w:color w:val="000000"/>
                <w:kern w:val="0"/>
                <w:sz w:val="18"/>
                <w:szCs w:val="18"/>
              </w:rPr>
              <w:t>裁量基准</w:t>
            </w:r>
          </w:p>
        </w:tc>
      </w:tr>
      <w:tr w14:paraId="7ABD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30290F18">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3186B93C">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14:paraId="376AC93E">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A4BD861">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万元以下罚款</w:t>
            </w:r>
          </w:p>
        </w:tc>
      </w:tr>
      <w:tr w14:paraId="002F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36EA4BDB">
            <w:pPr>
              <w:spacing w:line="320" w:lineRule="exact"/>
              <w:jc w:val="center"/>
              <w:rPr>
                <w:color w:val="000000"/>
                <w:kern w:val="0"/>
                <w:sz w:val="18"/>
                <w:szCs w:val="18"/>
              </w:rPr>
            </w:pPr>
          </w:p>
        </w:tc>
        <w:tc>
          <w:tcPr>
            <w:tcW w:w="6140" w:type="dxa"/>
            <w:vAlign w:val="center"/>
          </w:tcPr>
          <w:p w14:paraId="729D8C8A">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6C82D2F4">
            <w:pPr>
              <w:spacing w:line="320" w:lineRule="exact"/>
              <w:jc w:val="center"/>
              <w:rPr>
                <w:color w:val="000000"/>
                <w:kern w:val="0"/>
                <w:sz w:val="18"/>
                <w:szCs w:val="18"/>
              </w:rPr>
            </w:pPr>
          </w:p>
        </w:tc>
        <w:tc>
          <w:tcPr>
            <w:tcW w:w="5820" w:type="dxa"/>
            <w:vAlign w:val="center"/>
          </w:tcPr>
          <w:p w14:paraId="1F18AC17">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38803E2"/>
    <w:p w14:paraId="44E1938D"/>
    <w:p w14:paraId="13253DCD"/>
    <w:p w14:paraId="112BB72A"/>
    <w:p w14:paraId="262E1C40"/>
    <w:p w14:paraId="27F5FFCC"/>
    <w:p w14:paraId="18B81A99"/>
    <w:p w14:paraId="2B0C9D1C"/>
    <w:p w14:paraId="16E7675D"/>
    <w:p w14:paraId="1E3F4CA5"/>
    <w:tbl>
      <w:tblPr>
        <w:tblStyle w:val="15"/>
        <w:tblW w:w="0" w:type="auto"/>
        <w:tblInd w:w="88" w:type="dxa"/>
        <w:tblLayout w:type="fixed"/>
        <w:tblCellMar>
          <w:top w:w="0" w:type="dxa"/>
          <w:left w:w="108" w:type="dxa"/>
          <w:bottom w:w="0" w:type="dxa"/>
          <w:right w:w="108" w:type="dxa"/>
        </w:tblCellMar>
      </w:tblPr>
      <w:tblGrid>
        <w:gridCol w:w="980"/>
        <w:gridCol w:w="46"/>
        <w:gridCol w:w="6094"/>
        <w:gridCol w:w="1000"/>
        <w:gridCol w:w="5910"/>
        <w:gridCol w:w="30"/>
      </w:tblGrid>
      <w:tr w14:paraId="23A0776C">
        <w:tblPrEx>
          <w:tblCellMar>
            <w:top w:w="0" w:type="dxa"/>
            <w:left w:w="108" w:type="dxa"/>
            <w:bottom w:w="0" w:type="dxa"/>
            <w:right w:w="108" w:type="dxa"/>
          </w:tblCellMar>
        </w:tblPrEx>
        <w:trPr>
          <w:gridAfter w:val="1"/>
          <w:wAfter w:w="30" w:type="dxa"/>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531CBEE0">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60214259">
            <w:pPr>
              <w:spacing w:line="320" w:lineRule="exact"/>
              <w:jc w:val="left"/>
              <w:rPr>
                <w:rFonts w:eastAsia="仿宋_GB2312"/>
                <w:b/>
                <w:bCs/>
                <w:color w:val="000000"/>
                <w:kern w:val="0"/>
                <w:sz w:val="18"/>
                <w:szCs w:val="18"/>
              </w:rPr>
            </w:pPr>
            <w:r>
              <w:rPr>
                <w:rFonts w:eastAsia="仿宋_GB2312"/>
                <w:b/>
                <w:bCs/>
                <w:color w:val="000000"/>
                <w:kern w:val="0"/>
                <w:sz w:val="18"/>
                <w:szCs w:val="18"/>
              </w:rPr>
              <w:t>320217456000</w:t>
            </w:r>
            <w:r>
              <w:rPr>
                <w:rFonts w:hint="eastAsia" w:eastAsia="仿宋_GB2312"/>
                <w:b/>
                <w:bCs/>
                <w:color w:val="000000"/>
                <w:kern w:val="0"/>
                <w:sz w:val="18"/>
                <w:szCs w:val="18"/>
              </w:rPr>
              <w:t xml:space="preserve"> </w:t>
            </w:r>
          </w:p>
        </w:tc>
      </w:tr>
      <w:tr w14:paraId="11123DF2">
        <w:tblPrEx>
          <w:tblCellMar>
            <w:top w:w="0" w:type="dxa"/>
            <w:left w:w="108" w:type="dxa"/>
            <w:bottom w:w="0" w:type="dxa"/>
            <w:right w:w="108" w:type="dxa"/>
          </w:tblCellMar>
        </w:tblPrEx>
        <w:trPr>
          <w:gridAfter w:val="1"/>
          <w:wAfter w:w="30" w:type="dxa"/>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439B1308">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color="auto" w:sz="4" w:space="0"/>
              <w:left w:val="nil"/>
              <w:bottom w:val="single" w:color="auto" w:sz="4" w:space="0"/>
              <w:right w:val="single" w:color="000000" w:sz="8" w:space="0"/>
            </w:tcBorders>
            <w:vAlign w:val="center"/>
          </w:tcPr>
          <w:p w14:paraId="06A22A65">
            <w:pPr>
              <w:spacing w:line="320" w:lineRule="exact"/>
              <w:jc w:val="left"/>
              <w:rPr>
                <w:color w:val="000000"/>
                <w:kern w:val="0"/>
                <w:sz w:val="18"/>
                <w:szCs w:val="18"/>
              </w:rPr>
            </w:pPr>
            <w:r>
              <w:rPr>
                <w:rFonts w:hint="eastAsia"/>
                <w:color w:val="000000"/>
                <w:kern w:val="0"/>
                <w:sz w:val="18"/>
                <w:szCs w:val="18"/>
              </w:rPr>
              <w:t>对擅自将自建设施供水管网系统与城市公共供水管网系统连接的处罚</w:t>
            </w:r>
          </w:p>
        </w:tc>
      </w:tr>
      <w:tr w14:paraId="24B66ED1">
        <w:tblPrEx>
          <w:tblCellMar>
            <w:top w:w="0" w:type="dxa"/>
            <w:left w:w="108" w:type="dxa"/>
            <w:bottom w:w="0" w:type="dxa"/>
            <w:right w:w="108" w:type="dxa"/>
          </w:tblCellMar>
        </w:tblPrEx>
        <w:trPr>
          <w:gridAfter w:val="1"/>
          <w:wAfter w:w="30" w:type="dxa"/>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2B4BEC11">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2149C4AB">
            <w:pPr>
              <w:spacing w:line="320" w:lineRule="exact"/>
              <w:jc w:val="left"/>
              <w:rPr>
                <w:color w:val="000000"/>
                <w:kern w:val="0"/>
                <w:sz w:val="18"/>
                <w:szCs w:val="18"/>
              </w:rPr>
            </w:pPr>
            <w:r>
              <w:rPr>
                <w:rFonts w:hint="eastAsia"/>
                <w:color w:val="000000"/>
                <w:kern w:val="0"/>
                <w:sz w:val="18"/>
                <w:szCs w:val="18"/>
              </w:rPr>
              <w:t>【行政法规】《城市供水条例》（1994年7月19日国务院令第158号发布，根据国务院令第698号、国务院令第726号修订）</w:t>
            </w:r>
          </w:p>
          <w:p w14:paraId="517F7E9C">
            <w:pPr>
              <w:spacing w:line="320" w:lineRule="exact"/>
              <w:jc w:val="left"/>
              <w:rPr>
                <w:color w:val="000000"/>
                <w:kern w:val="0"/>
                <w:sz w:val="18"/>
                <w:szCs w:val="18"/>
              </w:rPr>
            </w:pPr>
            <w:r>
              <w:rPr>
                <w:rFonts w:hint="eastAsia"/>
                <w:color w:val="000000"/>
                <w:kern w:val="0"/>
                <w:sz w:val="18"/>
                <w:szCs w:val="18"/>
              </w:rPr>
              <w:t xml:space="preserve">        第三十二条第一款　禁止擅自将自建设施供水管网系统与城市公共供水管网系统连接；因特殊情况确需连接的，必须经城市自来水供水企业同意，并在管道连接处采取必要的防护措施。</w:t>
            </w:r>
          </w:p>
          <w:p w14:paraId="4AEF3C33">
            <w:pPr>
              <w:spacing w:line="320" w:lineRule="exact"/>
              <w:jc w:val="left"/>
              <w:rPr>
                <w:color w:val="000000"/>
                <w:kern w:val="0"/>
                <w:sz w:val="18"/>
                <w:szCs w:val="18"/>
              </w:rPr>
            </w:pPr>
            <w:r>
              <w:rPr>
                <w:rFonts w:hint="eastAsia"/>
                <w:color w:val="000000"/>
                <w:kern w:val="0"/>
                <w:sz w:val="18"/>
                <w:szCs w:val="18"/>
              </w:rPr>
              <w:t xml:space="preserve">        第三十五条　违反本条例规定，有下列行为之一的，由城市供水行政主管部门或者其授权的单位责令限期改正，可以处以罚款：</w:t>
            </w:r>
          </w:p>
          <w:p w14:paraId="4D4E3F72">
            <w:pPr>
              <w:spacing w:line="320" w:lineRule="exact"/>
              <w:jc w:val="left"/>
              <w:rPr>
                <w:color w:val="000000"/>
                <w:kern w:val="0"/>
                <w:sz w:val="18"/>
                <w:szCs w:val="18"/>
              </w:rPr>
            </w:pPr>
            <w:r>
              <w:rPr>
                <w:rFonts w:hint="eastAsia"/>
                <w:color w:val="000000"/>
                <w:kern w:val="0"/>
                <w:sz w:val="18"/>
                <w:szCs w:val="18"/>
              </w:rPr>
              <w:t xml:space="preserve">      (三)擅自将自建设施供水管网系统与城市公共供水管网系统连接的；</w:t>
            </w:r>
          </w:p>
          <w:p w14:paraId="40214401">
            <w:pPr>
              <w:spacing w:line="320" w:lineRule="exact"/>
              <w:jc w:val="left"/>
              <w:rPr>
                <w:color w:val="000000"/>
                <w:kern w:val="0"/>
                <w:sz w:val="18"/>
                <w:szCs w:val="18"/>
              </w:rPr>
            </w:pPr>
            <w:r>
              <w:rPr>
                <w:rFonts w:hint="eastAsia"/>
                <w:color w:val="000000"/>
                <w:kern w:val="0"/>
                <w:sz w:val="18"/>
                <w:szCs w:val="18"/>
              </w:rPr>
              <w:t xml:space="preserve">       有前款第(一)项、第(三)项、第(四)项、第(五)项、第(六)项所列行为之一，情节严重的，经县级以上人民政府批准，还可以在一定时间内停止供水。</w:t>
            </w:r>
          </w:p>
          <w:p w14:paraId="6D51371C">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48190D6A">
            <w:pPr>
              <w:spacing w:line="320" w:lineRule="exact"/>
              <w:jc w:val="left"/>
              <w:rPr>
                <w:color w:val="000000"/>
                <w:kern w:val="0"/>
                <w:sz w:val="18"/>
                <w:szCs w:val="18"/>
              </w:rPr>
            </w:pPr>
            <w:r>
              <w:rPr>
                <w:rFonts w:hint="eastAsia"/>
                <w:color w:val="000000"/>
                <w:kern w:val="0"/>
                <w:sz w:val="18"/>
                <w:szCs w:val="18"/>
              </w:rPr>
              <w:t xml:space="preserve">    第五十三条 违反本条例规定，有下列行为之一的，由城乡供水主管部门责令改正，并处以五万元以上十万元以下罚款；造成损失的，赔偿损失；构成犯罪的，依法追究刑事责任：</w:t>
            </w:r>
          </w:p>
          <w:p w14:paraId="3E1A4C6B">
            <w:pPr>
              <w:spacing w:line="320" w:lineRule="exact"/>
              <w:jc w:val="left"/>
              <w:rPr>
                <w:color w:val="000000"/>
                <w:kern w:val="0"/>
                <w:sz w:val="18"/>
                <w:szCs w:val="18"/>
              </w:rPr>
            </w:pPr>
            <w:r>
              <w:rPr>
                <w:rFonts w:hint="eastAsia"/>
                <w:color w:val="000000"/>
                <w:kern w:val="0"/>
                <w:sz w:val="18"/>
                <w:szCs w:val="18"/>
              </w:rPr>
              <w:t xml:space="preserve">   （三）擅自将自建的供水设施与城乡公共供水管道连接的。</w:t>
            </w:r>
          </w:p>
        </w:tc>
      </w:tr>
      <w:tr w14:paraId="0B26989C">
        <w:tblPrEx>
          <w:tblCellMar>
            <w:top w:w="0" w:type="dxa"/>
            <w:left w:w="108" w:type="dxa"/>
            <w:bottom w:w="0" w:type="dxa"/>
            <w:right w:w="108" w:type="dxa"/>
          </w:tblCellMar>
        </w:tblPrEx>
        <w:trPr>
          <w:gridAfter w:val="1"/>
          <w:wAfter w:w="30" w:type="dxa"/>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6190B91F">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3A68659B">
            <w:pPr>
              <w:spacing w:line="320" w:lineRule="exact"/>
              <w:jc w:val="left"/>
              <w:rPr>
                <w:color w:val="000000"/>
                <w:kern w:val="0"/>
                <w:sz w:val="18"/>
                <w:szCs w:val="18"/>
              </w:rPr>
            </w:pPr>
            <w:r>
              <w:rPr>
                <w:rFonts w:hint="eastAsia"/>
                <w:color w:val="000000"/>
                <w:kern w:val="0"/>
                <w:sz w:val="18"/>
                <w:szCs w:val="18"/>
              </w:rPr>
              <w:t>责令改正，罚款，停止供水</w:t>
            </w:r>
          </w:p>
        </w:tc>
      </w:tr>
      <w:tr w14:paraId="6F1568BE">
        <w:tblPrEx>
          <w:tblCellMar>
            <w:top w:w="0" w:type="dxa"/>
            <w:left w:w="108" w:type="dxa"/>
            <w:bottom w:w="0" w:type="dxa"/>
            <w:right w:w="108" w:type="dxa"/>
          </w:tblCellMar>
        </w:tblPrEx>
        <w:trPr>
          <w:gridAfter w:val="1"/>
          <w:wAfter w:w="30" w:type="dxa"/>
          <w:trHeight w:val="285" w:hRule="atLeast"/>
        </w:trPr>
        <w:tc>
          <w:tcPr>
            <w:tcW w:w="14030" w:type="dxa"/>
            <w:gridSpan w:val="5"/>
            <w:tcBorders>
              <w:top w:val="single" w:color="auto" w:sz="4" w:space="0"/>
              <w:left w:val="single" w:color="auto" w:sz="8" w:space="0"/>
              <w:bottom w:val="single" w:color="auto" w:sz="4" w:space="0"/>
              <w:right w:val="single" w:color="000000" w:sz="8" w:space="0"/>
            </w:tcBorders>
            <w:vAlign w:val="center"/>
          </w:tcPr>
          <w:p w14:paraId="326DADA5">
            <w:pPr>
              <w:spacing w:line="320" w:lineRule="exact"/>
              <w:jc w:val="center"/>
              <w:rPr>
                <w:color w:val="000000"/>
                <w:kern w:val="0"/>
                <w:sz w:val="18"/>
                <w:szCs w:val="18"/>
              </w:rPr>
            </w:pPr>
            <w:r>
              <w:rPr>
                <w:rFonts w:hint="eastAsia"/>
                <w:color w:val="000000"/>
                <w:kern w:val="0"/>
                <w:sz w:val="18"/>
                <w:szCs w:val="18"/>
              </w:rPr>
              <w:t>裁量基准</w:t>
            </w:r>
          </w:p>
        </w:tc>
      </w:tr>
      <w:tr w14:paraId="3DC5B00F">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3A28D56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2151904F">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color="auto" w:sz="4" w:space="0"/>
              <w:bottom w:val="single" w:color="auto" w:sz="4" w:space="0"/>
              <w:right w:val="single" w:color="auto" w:sz="4" w:space="0"/>
            </w:tcBorders>
            <w:vAlign w:val="center"/>
          </w:tcPr>
          <w:p w14:paraId="402D4261">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color="auto" w:sz="4" w:space="0"/>
              <w:right w:val="single" w:color="auto" w:sz="8" w:space="0"/>
            </w:tcBorders>
            <w:vAlign w:val="center"/>
          </w:tcPr>
          <w:p w14:paraId="3A6816D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1EBDD6EC">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5BF9402C">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00E67E2E">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5B49E605">
            <w:pPr>
              <w:spacing w:line="320" w:lineRule="exact"/>
              <w:jc w:val="left"/>
              <w:rPr>
                <w:color w:val="000000"/>
                <w:kern w:val="0"/>
                <w:sz w:val="18"/>
                <w:szCs w:val="18"/>
              </w:rPr>
            </w:pPr>
          </w:p>
        </w:tc>
        <w:tc>
          <w:tcPr>
            <w:tcW w:w="5940" w:type="dxa"/>
            <w:gridSpan w:val="2"/>
            <w:tcBorders>
              <w:top w:val="nil"/>
              <w:left w:val="nil"/>
              <w:bottom w:val="single" w:color="auto" w:sz="4" w:space="0"/>
              <w:right w:val="single" w:color="auto" w:sz="8" w:space="0"/>
            </w:tcBorders>
            <w:vAlign w:val="center"/>
          </w:tcPr>
          <w:p w14:paraId="7A145EF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14:paraId="2303D0F9">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249B73AF">
            <w:pPr>
              <w:spacing w:line="320" w:lineRule="exact"/>
              <w:jc w:val="left"/>
              <w:rPr>
                <w:color w:val="000000"/>
                <w:kern w:val="0"/>
                <w:sz w:val="18"/>
                <w:szCs w:val="18"/>
              </w:rPr>
            </w:pPr>
          </w:p>
        </w:tc>
        <w:tc>
          <w:tcPr>
            <w:tcW w:w="6140" w:type="dxa"/>
            <w:gridSpan w:val="2"/>
            <w:tcBorders>
              <w:top w:val="single" w:color="auto" w:sz="4" w:space="0"/>
              <w:left w:val="nil"/>
              <w:bottom w:val="single" w:color="auto" w:sz="8" w:space="0"/>
              <w:right w:val="single" w:color="auto" w:sz="4" w:space="0"/>
            </w:tcBorders>
            <w:vAlign w:val="center"/>
          </w:tcPr>
          <w:p w14:paraId="61E53B29">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627639DC">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5C2289F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6AC19FCC">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7CC21654">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59AB2B72">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0855E500">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7126729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5BB9D08F"/>
    <w:p w14:paraId="45655CE4"/>
    <w:p w14:paraId="312AE62E"/>
    <w:p w14:paraId="5094D700"/>
    <w:p w14:paraId="1F7CBA41"/>
    <w:tbl>
      <w:tblPr>
        <w:tblStyle w:val="15"/>
        <w:tblW w:w="0" w:type="auto"/>
        <w:tblInd w:w="88" w:type="dxa"/>
        <w:tblLayout w:type="fixed"/>
        <w:tblCellMar>
          <w:top w:w="0" w:type="dxa"/>
          <w:left w:w="108" w:type="dxa"/>
          <w:bottom w:w="0" w:type="dxa"/>
          <w:right w:w="108" w:type="dxa"/>
        </w:tblCellMar>
      </w:tblPr>
      <w:tblGrid>
        <w:gridCol w:w="980"/>
        <w:gridCol w:w="46"/>
        <w:gridCol w:w="6094"/>
        <w:gridCol w:w="1000"/>
        <w:gridCol w:w="5910"/>
        <w:gridCol w:w="30"/>
      </w:tblGrid>
      <w:tr w14:paraId="4CCDDDF2">
        <w:tblPrEx>
          <w:tblCellMar>
            <w:top w:w="0" w:type="dxa"/>
            <w:left w:w="108" w:type="dxa"/>
            <w:bottom w:w="0" w:type="dxa"/>
            <w:right w:w="108" w:type="dxa"/>
          </w:tblCellMar>
        </w:tblPrEx>
        <w:trPr>
          <w:gridAfter w:val="1"/>
          <w:wAfter w:w="30" w:type="dxa"/>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0430C05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3B85C00B">
            <w:pPr>
              <w:spacing w:line="320" w:lineRule="exact"/>
              <w:jc w:val="left"/>
              <w:rPr>
                <w:b/>
                <w:color w:val="000000"/>
                <w:kern w:val="0"/>
                <w:sz w:val="18"/>
                <w:szCs w:val="18"/>
              </w:rPr>
            </w:pPr>
            <w:r>
              <w:rPr>
                <w:b/>
                <w:color w:val="000000"/>
                <w:kern w:val="0"/>
                <w:sz w:val="18"/>
                <w:szCs w:val="18"/>
              </w:rPr>
              <w:t>320217457000</w:t>
            </w:r>
            <w:r>
              <w:rPr>
                <w:rFonts w:hint="eastAsia"/>
                <w:b/>
                <w:color w:val="000000"/>
                <w:kern w:val="0"/>
                <w:sz w:val="18"/>
                <w:szCs w:val="18"/>
              </w:rPr>
              <w:t xml:space="preserve"> </w:t>
            </w:r>
          </w:p>
        </w:tc>
      </w:tr>
      <w:tr w14:paraId="5DAFFC69">
        <w:tblPrEx>
          <w:tblCellMar>
            <w:top w:w="0" w:type="dxa"/>
            <w:left w:w="108" w:type="dxa"/>
            <w:bottom w:w="0" w:type="dxa"/>
            <w:right w:w="108" w:type="dxa"/>
          </w:tblCellMar>
        </w:tblPrEx>
        <w:trPr>
          <w:gridAfter w:val="1"/>
          <w:wAfter w:w="30" w:type="dxa"/>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6D8FA77B">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color="auto" w:sz="4" w:space="0"/>
              <w:left w:val="nil"/>
              <w:bottom w:val="single" w:color="auto" w:sz="4" w:space="0"/>
              <w:right w:val="single" w:color="000000" w:sz="8" w:space="0"/>
            </w:tcBorders>
            <w:vAlign w:val="center"/>
          </w:tcPr>
          <w:p w14:paraId="0BA91AA6">
            <w:pPr>
              <w:spacing w:line="320" w:lineRule="exact"/>
              <w:jc w:val="left"/>
              <w:rPr>
                <w:color w:val="000000"/>
                <w:kern w:val="0"/>
                <w:sz w:val="18"/>
                <w:szCs w:val="18"/>
              </w:rPr>
            </w:pPr>
            <w:r>
              <w:rPr>
                <w:rFonts w:hint="eastAsia"/>
                <w:color w:val="000000"/>
                <w:kern w:val="0"/>
                <w:sz w:val="18"/>
                <w:szCs w:val="18"/>
              </w:rPr>
              <w:t>对产生或者使用有毒有害物质的单位将其生产用水管网系统与城市公共供水管网系统直接连接的处罚</w:t>
            </w:r>
          </w:p>
        </w:tc>
      </w:tr>
      <w:tr w14:paraId="178D60CE">
        <w:tblPrEx>
          <w:tblCellMar>
            <w:top w:w="0" w:type="dxa"/>
            <w:left w:w="108" w:type="dxa"/>
            <w:bottom w:w="0" w:type="dxa"/>
            <w:right w:w="108" w:type="dxa"/>
          </w:tblCellMar>
        </w:tblPrEx>
        <w:trPr>
          <w:gridAfter w:val="1"/>
          <w:wAfter w:w="30" w:type="dxa"/>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6C5BF6BF">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49DACBB1">
            <w:pPr>
              <w:spacing w:line="320" w:lineRule="exact"/>
              <w:jc w:val="left"/>
              <w:rPr>
                <w:color w:val="000000"/>
                <w:kern w:val="0"/>
                <w:sz w:val="18"/>
                <w:szCs w:val="18"/>
              </w:rPr>
            </w:pPr>
          </w:p>
          <w:p w14:paraId="70A1E835">
            <w:pPr>
              <w:spacing w:line="320" w:lineRule="exact"/>
              <w:jc w:val="left"/>
              <w:rPr>
                <w:color w:val="000000"/>
                <w:kern w:val="0"/>
                <w:sz w:val="18"/>
                <w:szCs w:val="18"/>
              </w:rPr>
            </w:pPr>
            <w:r>
              <w:rPr>
                <w:rFonts w:hint="eastAsia"/>
                <w:color w:val="000000"/>
                <w:kern w:val="0"/>
                <w:sz w:val="18"/>
                <w:szCs w:val="18"/>
              </w:rPr>
              <w:t>【行政法规】《城市供水条例》（1994年7月19日国务院令第158号发布，根据国务院令第698号、国务院令第726号修订）</w:t>
            </w:r>
          </w:p>
          <w:p w14:paraId="1E1F52F9">
            <w:pPr>
              <w:spacing w:line="320" w:lineRule="exact"/>
              <w:jc w:val="left"/>
              <w:rPr>
                <w:color w:val="000000"/>
                <w:kern w:val="0"/>
                <w:sz w:val="18"/>
                <w:szCs w:val="18"/>
              </w:rPr>
            </w:pPr>
            <w:r>
              <w:rPr>
                <w:rFonts w:hint="eastAsia"/>
                <w:color w:val="000000"/>
                <w:kern w:val="0"/>
                <w:sz w:val="18"/>
                <w:szCs w:val="18"/>
              </w:rPr>
              <w:t xml:space="preserve">        第三十二条第二款   禁止产生或者使用有毒有害物质的单位将其生产用水管网系统与城市公共供水管网系统直接连接。</w:t>
            </w:r>
          </w:p>
          <w:p w14:paraId="5C9BD36E">
            <w:pPr>
              <w:spacing w:line="320" w:lineRule="exact"/>
              <w:jc w:val="left"/>
              <w:rPr>
                <w:color w:val="000000"/>
                <w:kern w:val="0"/>
                <w:sz w:val="18"/>
                <w:szCs w:val="18"/>
              </w:rPr>
            </w:pPr>
            <w:r>
              <w:rPr>
                <w:rFonts w:hint="eastAsia"/>
                <w:color w:val="000000"/>
                <w:kern w:val="0"/>
                <w:sz w:val="18"/>
                <w:szCs w:val="18"/>
              </w:rPr>
              <w:t xml:space="preserve">        第三十五条　违反本条例规定，有下列行为之一的，由城市供水行政主管部门或者其授权的单位责令限期改正，可以处以罚款：</w:t>
            </w:r>
          </w:p>
          <w:p w14:paraId="4A9AD527">
            <w:pPr>
              <w:spacing w:line="320" w:lineRule="exact"/>
              <w:jc w:val="left"/>
              <w:rPr>
                <w:color w:val="000000"/>
                <w:kern w:val="0"/>
                <w:sz w:val="18"/>
                <w:szCs w:val="18"/>
              </w:rPr>
            </w:pPr>
            <w:r>
              <w:rPr>
                <w:rFonts w:hint="eastAsia"/>
                <w:color w:val="000000"/>
                <w:kern w:val="0"/>
                <w:sz w:val="18"/>
                <w:szCs w:val="18"/>
              </w:rPr>
              <w:t xml:space="preserve">        (四)产生或者使用有毒有害物质的单位将其生产用水管网系统与城市公共供水管网系统直接连接的；</w:t>
            </w:r>
          </w:p>
          <w:p w14:paraId="1410085D">
            <w:pPr>
              <w:spacing w:line="320" w:lineRule="exact"/>
              <w:jc w:val="left"/>
              <w:rPr>
                <w:color w:val="000000"/>
                <w:kern w:val="0"/>
                <w:sz w:val="18"/>
                <w:szCs w:val="18"/>
              </w:rPr>
            </w:pPr>
            <w:r>
              <w:rPr>
                <w:rFonts w:hint="eastAsia"/>
                <w:color w:val="000000"/>
                <w:kern w:val="0"/>
                <w:sz w:val="18"/>
                <w:szCs w:val="18"/>
              </w:rPr>
              <w:t xml:space="preserve">        有前款第(一)项、第(三)项、第(四)项、第(五)项、第(六)项所列行为之一，情节严重的，经县级以上人民政府批准，还可以在一定时间内停止供水。</w:t>
            </w:r>
          </w:p>
          <w:p w14:paraId="5CB80982">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0EC19535">
            <w:pPr>
              <w:spacing w:line="320" w:lineRule="exact"/>
              <w:jc w:val="left"/>
              <w:rPr>
                <w:color w:val="000000"/>
                <w:kern w:val="0"/>
                <w:sz w:val="18"/>
                <w:szCs w:val="18"/>
              </w:rPr>
            </w:pPr>
            <w:r>
              <w:rPr>
                <w:rFonts w:hint="eastAsia"/>
                <w:color w:val="000000"/>
                <w:kern w:val="0"/>
                <w:sz w:val="18"/>
                <w:szCs w:val="18"/>
              </w:rPr>
              <w:t xml:space="preserve">        第五十三条 违反本条例规定，有下列行为之一的，由城乡供水主管部门责令改正，并处以五万元以上十万元以下罚款；造成损失的，赔偿损失；构成犯罪的，依法追究刑事责任：</w:t>
            </w:r>
          </w:p>
          <w:p w14:paraId="245AF458">
            <w:pPr>
              <w:spacing w:line="320" w:lineRule="exact"/>
              <w:jc w:val="left"/>
              <w:rPr>
                <w:color w:val="000000"/>
                <w:kern w:val="0"/>
                <w:sz w:val="18"/>
                <w:szCs w:val="18"/>
              </w:rPr>
            </w:pPr>
            <w:r>
              <w:rPr>
                <w:rFonts w:hint="eastAsia"/>
                <w:color w:val="000000"/>
                <w:kern w:val="0"/>
                <w:sz w:val="18"/>
                <w:szCs w:val="18"/>
              </w:rPr>
              <w:t xml:space="preserve">   （二）将产生或者使用有毒有害物质的生产用水管网与城乡公共供水管网直接连接的；</w:t>
            </w:r>
          </w:p>
        </w:tc>
      </w:tr>
      <w:tr w14:paraId="1C43CA2A">
        <w:tblPrEx>
          <w:tblCellMar>
            <w:top w:w="0" w:type="dxa"/>
            <w:left w:w="108" w:type="dxa"/>
            <w:bottom w:w="0" w:type="dxa"/>
            <w:right w:w="108" w:type="dxa"/>
          </w:tblCellMar>
        </w:tblPrEx>
        <w:trPr>
          <w:gridAfter w:val="1"/>
          <w:wAfter w:w="30" w:type="dxa"/>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6E0BCFDF">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099FD831">
            <w:pPr>
              <w:spacing w:line="320" w:lineRule="exact"/>
              <w:jc w:val="left"/>
              <w:rPr>
                <w:color w:val="000000"/>
                <w:kern w:val="0"/>
                <w:sz w:val="18"/>
                <w:szCs w:val="18"/>
              </w:rPr>
            </w:pPr>
            <w:r>
              <w:rPr>
                <w:rFonts w:hint="eastAsia"/>
                <w:color w:val="000000"/>
                <w:kern w:val="0"/>
                <w:sz w:val="18"/>
                <w:szCs w:val="18"/>
              </w:rPr>
              <w:t>责令改正，罚款，停止供水</w:t>
            </w:r>
          </w:p>
        </w:tc>
      </w:tr>
      <w:tr w14:paraId="27F28681">
        <w:tblPrEx>
          <w:tblCellMar>
            <w:top w:w="0" w:type="dxa"/>
            <w:left w:w="108" w:type="dxa"/>
            <w:bottom w:w="0" w:type="dxa"/>
            <w:right w:w="108" w:type="dxa"/>
          </w:tblCellMar>
        </w:tblPrEx>
        <w:trPr>
          <w:gridAfter w:val="1"/>
          <w:wAfter w:w="30" w:type="dxa"/>
          <w:trHeight w:val="285" w:hRule="atLeast"/>
        </w:trPr>
        <w:tc>
          <w:tcPr>
            <w:tcW w:w="14030" w:type="dxa"/>
            <w:gridSpan w:val="5"/>
            <w:tcBorders>
              <w:top w:val="single" w:color="auto" w:sz="4" w:space="0"/>
              <w:left w:val="single" w:color="auto" w:sz="8" w:space="0"/>
              <w:bottom w:val="single" w:color="auto" w:sz="4" w:space="0"/>
              <w:right w:val="single" w:color="000000" w:sz="8" w:space="0"/>
            </w:tcBorders>
            <w:vAlign w:val="center"/>
          </w:tcPr>
          <w:p w14:paraId="7547BD06">
            <w:pPr>
              <w:spacing w:line="320" w:lineRule="exact"/>
              <w:jc w:val="center"/>
              <w:rPr>
                <w:color w:val="000000"/>
                <w:kern w:val="0"/>
                <w:sz w:val="18"/>
                <w:szCs w:val="18"/>
              </w:rPr>
            </w:pPr>
            <w:r>
              <w:rPr>
                <w:rFonts w:hint="eastAsia"/>
                <w:color w:val="000000"/>
                <w:kern w:val="0"/>
                <w:sz w:val="18"/>
                <w:szCs w:val="18"/>
              </w:rPr>
              <w:t>裁量基准</w:t>
            </w:r>
          </w:p>
        </w:tc>
      </w:tr>
      <w:tr w14:paraId="74E3E5E9">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22A2C18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5DDD75BA">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color="auto" w:sz="4" w:space="0"/>
              <w:bottom w:val="single" w:color="auto" w:sz="4" w:space="0"/>
              <w:right w:val="single" w:color="auto" w:sz="4" w:space="0"/>
            </w:tcBorders>
            <w:vAlign w:val="center"/>
          </w:tcPr>
          <w:p w14:paraId="228A0D2A">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color="auto" w:sz="4" w:space="0"/>
              <w:right w:val="single" w:color="auto" w:sz="8" w:space="0"/>
            </w:tcBorders>
            <w:vAlign w:val="center"/>
          </w:tcPr>
          <w:p w14:paraId="039E63B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6DC58AEB">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58DCB80C">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59D46AC8">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58661F8F">
            <w:pPr>
              <w:spacing w:line="320" w:lineRule="exact"/>
              <w:jc w:val="left"/>
              <w:rPr>
                <w:color w:val="000000"/>
                <w:kern w:val="0"/>
                <w:sz w:val="18"/>
                <w:szCs w:val="18"/>
              </w:rPr>
            </w:pPr>
          </w:p>
        </w:tc>
        <w:tc>
          <w:tcPr>
            <w:tcW w:w="5940" w:type="dxa"/>
            <w:gridSpan w:val="2"/>
            <w:tcBorders>
              <w:top w:val="nil"/>
              <w:left w:val="nil"/>
              <w:bottom w:val="single" w:color="auto" w:sz="4" w:space="0"/>
              <w:right w:val="single" w:color="auto" w:sz="8" w:space="0"/>
            </w:tcBorders>
            <w:vAlign w:val="center"/>
          </w:tcPr>
          <w:p w14:paraId="410AF2E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14:paraId="505E5F17">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2F511AAD">
            <w:pPr>
              <w:spacing w:line="320" w:lineRule="exact"/>
              <w:jc w:val="left"/>
              <w:rPr>
                <w:color w:val="000000"/>
                <w:kern w:val="0"/>
                <w:sz w:val="18"/>
                <w:szCs w:val="18"/>
              </w:rPr>
            </w:pPr>
          </w:p>
        </w:tc>
        <w:tc>
          <w:tcPr>
            <w:tcW w:w="6140" w:type="dxa"/>
            <w:gridSpan w:val="2"/>
            <w:tcBorders>
              <w:top w:val="single" w:color="auto" w:sz="4" w:space="0"/>
              <w:left w:val="nil"/>
              <w:bottom w:val="single" w:color="auto" w:sz="8" w:space="0"/>
              <w:right w:val="single" w:color="auto" w:sz="4" w:space="0"/>
            </w:tcBorders>
            <w:vAlign w:val="center"/>
          </w:tcPr>
          <w:p w14:paraId="1C17623A">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38E6A0E8">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1FB41B5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23B50674">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731F6C8F">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25DAF43C">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1E117A63">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4954E0D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36744262"/>
    <w:p w14:paraId="3B734880"/>
    <w:p w14:paraId="58EA999C"/>
    <w:p w14:paraId="726DF6B3"/>
    <w:tbl>
      <w:tblPr>
        <w:tblStyle w:val="15"/>
        <w:tblW w:w="0" w:type="auto"/>
        <w:tblInd w:w="88" w:type="dxa"/>
        <w:tblLayout w:type="fixed"/>
        <w:tblCellMar>
          <w:top w:w="0" w:type="dxa"/>
          <w:left w:w="108" w:type="dxa"/>
          <w:bottom w:w="0" w:type="dxa"/>
          <w:right w:w="108" w:type="dxa"/>
        </w:tblCellMar>
      </w:tblPr>
      <w:tblGrid>
        <w:gridCol w:w="980"/>
        <w:gridCol w:w="46"/>
        <w:gridCol w:w="6094"/>
        <w:gridCol w:w="1000"/>
        <w:gridCol w:w="5910"/>
        <w:gridCol w:w="30"/>
      </w:tblGrid>
      <w:tr w14:paraId="1BA48F0D">
        <w:tblPrEx>
          <w:tblCellMar>
            <w:top w:w="0" w:type="dxa"/>
            <w:left w:w="108" w:type="dxa"/>
            <w:bottom w:w="0" w:type="dxa"/>
            <w:right w:w="108" w:type="dxa"/>
          </w:tblCellMar>
        </w:tblPrEx>
        <w:trPr>
          <w:gridAfter w:val="1"/>
          <w:wAfter w:w="30" w:type="dxa"/>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24B4B407">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674EDA44">
            <w:pPr>
              <w:spacing w:line="320" w:lineRule="exact"/>
              <w:jc w:val="left"/>
              <w:rPr>
                <w:rFonts w:eastAsia="仿宋_GB2312"/>
                <w:b/>
                <w:bCs/>
                <w:color w:val="000000"/>
                <w:kern w:val="0"/>
                <w:sz w:val="18"/>
                <w:szCs w:val="18"/>
              </w:rPr>
            </w:pPr>
            <w:r>
              <w:rPr>
                <w:rFonts w:eastAsia="仿宋_GB2312"/>
                <w:b/>
                <w:bCs/>
                <w:color w:val="000000"/>
                <w:kern w:val="0"/>
                <w:sz w:val="18"/>
                <w:szCs w:val="18"/>
              </w:rPr>
              <w:t>320217458000</w:t>
            </w:r>
            <w:r>
              <w:rPr>
                <w:rFonts w:hint="eastAsia" w:eastAsia="仿宋_GB2312"/>
                <w:b/>
                <w:bCs/>
                <w:color w:val="000000"/>
                <w:kern w:val="0"/>
                <w:sz w:val="18"/>
                <w:szCs w:val="18"/>
              </w:rPr>
              <w:t xml:space="preserve"> </w:t>
            </w:r>
          </w:p>
        </w:tc>
      </w:tr>
      <w:tr w14:paraId="182EEE10">
        <w:tblPrEx>
          <w:tblCellMar>
            <w:top w:w="0" w:type="dxa"/>
            <w:left w:w="108" w:type="dxa"/>
            <w:bottom w:w="0" w:type="dxa"/>
            <w:right w:w="108" w:type="dxa"/>
          </w:tblCellMar>
        </w:tblPrEx>
        <w:trPr>
          <w:gridAfter w:val="1"/>
          <w:wAfter w:w="30" w:type="dxa"/>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2A343C83">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color="auto" w:sz="4" w:space="0"/>
              <w:left w:val="nil"/>
              <w:bottom w:val="single" w:color="auto" w:sz="4" w:space="0"/>
              <w:right w:val="single" w:color="000000" w:sz="8" w:space="0"/>
            </w:tcBorders>
            <w:vAlign w:val="center"/>
          </w:tcPr>
          <w:p w14:paraId="66D1BBC7">
            <w:pPr>
              <w:jc w:val="left"/>
              <w:textAlignment w:val="center"/>
              <w:rPr>
                <w:rFonts w:eastAsia="仿宋_GB2312"/>
                <w:color w:val="000000"/>
                <w:sz w:val="20"/>
              </w:rPr>
            </w:pPr>
            <w:r>
              <w:rPr>
                <w:rFonts w:hint="eastAsia"/>
                <w:color w:val="000000"/>
                <w:kern w:val="0"/>
                <w:sz w:val="18"/>
                <w:szCs w:val="18"/>
              </w:rPr>
              <w:t>对擅自在城乡公共供水管网系统上直接取水的处罚</w:t>
            </w:r>
          </w:p>
        </w:tc>
      </w:tr>
      <w:tr w14:paraId="26209503">
        <w:tblPrEx>
          <w:tblCellMar>
            <w:top w:w="0" w:type="dxa"/>
            <w:left w:w="108" w:type="dxa"/>
            <w:bottom w:w="0" w:type="dxa"/>
            <w:right w:w="108" w:type="dxa"/>
          </w:tblCellMar>
        </w:tblPrEx>
        <w:trPr>
          <w:gridAfter w:val="1"/>
          <w:wAfter w:w="30" w:type="dxa"/>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3AEAF759">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0A5BEE67">
            <w:pPr>
              <w:spacing w:line="320" w:lineRule="exact"/>
              <w:jc w:val="left"/>
              <w:rPr>
                <w:color w:val="000000"/>
                <w:kern w:val="0"/>
                <w:sz w:val="18"/>
                <w:szCs w:val="18"/>
              </w:rPr>
            </w:pPr>
            <w:r>
              <w:rPr>
                <w:rFonts w:hint="eastAsia"/>
                <w:color w:val="000000"/>
                <w:kern w:val="0"/>
                <w:sz w:val="18"/>
                <w:szCs w:val="18"/>
              </w:rPr>
              <w:t>【行政法规】《城市供水条例》（1994年7月19日国务院令第158号发布，根据国务院令第698号、国务院令第726号修订）</w:t>
            </w:r>
          </w:p>
          <w:p w14:paraId="149725FC">
            <w:pPr>
              <w:spacing w:line="320" w:lineRule="exact"/>
              <w:jc w:val="left"/>
              <w:rPr>
                <w:color w:val="000000"/>
                <w:kern w:val="0"/>
                <w:sz w:val="18"/>
                <w:szCs w:val="18"/>
              </w:rPr>
            </w:pPr>
            <w:r>
              <w:rPr>
                <w:rFonts w:hint="eastAsia"/>
                <w:color w:val="000000"/>
                <w:kern w:val="0"/>
                <w:sz w:val="18"/>
                <w:szCs w:val="18"/>
              </w:rPr>
              <w:t xml:space="preserve">        第三十二条　禁止擅自将自建设施供水管网系统与城市公共供水管网系统连接；因特殊情况确需连接的，必须经城市自来水供水企业同意，并在管道连接处采取必要的防护措施。</w:t>
            </w:r>
          </w:p>
          <w:p w14:paraId="53A0B554">
            <w:pPr>
              <w:spacing w:line="320" w:lineRule="exact"/>
              <w:jc w:val="left"/>
              <w:rPr>
                <w:color w:val="000000"/>
                <w:kern w:val="0"/>
                <w:sz w:val="18"/>
                <w:szCs w:val="18"/>
              </w:rPr>
            </w:pPr>
            <w:r>
              <w:rPr>
                <w:rFonts w:hint="eastAsia"/>
                <w:color w:val="000000"/>
                <w:kern w:val="0"/>
                <w:sz w:val="18"/>
                <w:szCs w:val="18"/>
              </w:rPr>
              <w:t xml:space="preserve">        禁止产生或者使用有毒有害物质的单位将其生产用水管网系统与城市公共供水管网系统直接连接。</w:t>
            </w:r>
          </w:p>
          <w:p w14:paraId="567C0206">
            <w:pPr>
              <w:spacing w:line="320" w:lineRule="exact"/>
              <w:jc w:val="left"/>
              <w:rPr>
                <w:color w:val="000000"/>
                <w:kern w:val="0"/>
                <w:sz w:val="18"/>
                <w:szCs w:val="18"/>
              </w:rPr>
            </w:pPr>
            <w:r>
              <w:rPr>
                <w:rFonts w:hint="eastAsia"/>
                <w:color w:val="000000"/>
                <w:kern w:val="0"/>
                <w:sz w:val="18"/>
                <w:szCs w:val="18"/>
              </w:rPr>
              <w:t xml:space="preserve">        第三十五条　违反本条例规定，有下列行为之一的，由城市供水行政主管部门或者其授权的单位责令限期改正，可以处以罚款：</w:t>
            </w:r>
          </w:p>
          <w:p w14:paraId="53D5472F">
            <w:pPr>
              <w:spacing w:line="320" w:lineRule="exact"/>
              <w:jc w:val="left"/>
              <w:rPr>
                <w:color w:val="000000"/>
                <w:kern w:val="0"/>
                <w:sz w:val="18"/>
                <w:szCs w:val="18"/>
              </w:rPr>
            </w:pPr>
            <w:r>
              <w:rPr>
                <w:rFonts w:hint="eastAsia"/>
                <w:color w:val="000000"/>
                <w:kern w:val="0"/>
                <w:sz w:val="18"/>
                <w:szCs w:val="18"/>
              </w:rPr>
              <w:t xml:space="preserve">       (五)在城市公共供水管道上直接装泵抽水的；</w:t>
            </w:r>
          </w:p>
          <w:p w14:paraId="5E1844CE">
            <w:pPr>
              <w:spacing w:line="320" w:lineRule="exact"/>
              <w:jc w:val="left"/>
              <w:rPr>
                <w:color w:val="000000"/>
                <w:kern w:val="0"/>
                <w:sz w:val="18"/>
                <w:szCs w:val="18"/>
              </w:rPr>
            </w:pPr>
            <w:r>
              <w:rPr>
                <w:rFonts w:hint="eastAsia"/>
                <w:color w:val="000000"/>
                <w:kern w:val="0"/>
                <w:sz w:val="18"/>
                <w:szCs w:val="18"/>
              </w:rPr>
              <w:t xml:space="preserve">       有前款第(一)项、第(三)项、第(四)项、第(五)项、第(六)项所列行为之一，情节严重的，经县级以上人民政府批准，还可以在一定时间内停止供水。</w:t>
            </w:r>
          </w:p>
          <w:p w14:paraId="7BC060CD">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783098E9">
            <w:pPr>
              <w:spacing w:line="320" w:lineRule="exact"/>
              <w:jc w:val="left"/>
              <w:rPr>
                <w:color w:val="000000"/>
                <w:kern w:val="0"/>
                <w:sz w:val="18"/>
                <w:szCs w:val="18"/>
              </w:rPr>
            </w:pPr>
            <w:r>
              <w:rPr>
                <w:rFonts w:hint="eastAsia"/>
                <w:color w:val="000000"/>
                <w:kern w:val="0"/>
                <w:sz w:val="18"/>
                <w:szCs w:val="18"/>
              </w:rPr>
              <w:t xml:space="preserve">        第五十五条 违反本条例规定，有下列行为之一的，由城乡供水主管部门责令改正，并对单位处以三千元以上二万元以下罚款，对个人处以二百元以上一千元以下罚款；造成损失的，赔偿损失；构成犯罪的，依法追究刑事责任：</w:t>
            </w:r>
          </w:p>
          <w:p w14:paraId="0F1146BA">
            <w:pPr>
              <w:spacing w:line="320" w:lineRule="exact"/>
              <w:jc w:val="left"/>
              <w:rPr>
                <w:color w:val="000000"/>
                <w:kern w:val="0"/>
                <w:sz w:val="18"/>
                <w:szCs w:val="18"/>
              </w:rPr>
            </w:pPr>
            <w:r>
              <w:rPr>
                <w:rFonts w:hint="eastAsia"/>
                <w:color w:val="000000"/>
                <w:kern w:val="0"/>
                <w:sz w:val="18"/>
                <w:szCs w:val="18"/>
              </w:rPr>
              <w:t xml:space="preserve">       （一）擅自在城乡公共供水管网系统上直接取水的；</w:t>
            </w:r>
          </w:p>
        </w:tc>
      </w:tr>
      <w:tr w14:paraId="495EEE04">
        <w:tblPrEx>
          <w:tblCellMar>
            <w:top w:w="0" w:type="dxa"/>
            <w:left w:w="108" w:type="dxa"/>
            <w:bottom w:w="0" w:type="dxa"/>
            <w:right w:w="108" w:type="dxa"/>
          </w:tblCellMar>
        </w:tblPrEx>
        <w:trPr>
          <w:gridAfter w:val="1"/>
          <w:wAfter w:w="30" w:type="dxa"/>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071478D7">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1791911D">
            <w:pPr>
              <w:spacing w:line="320" w:lineRule="exact"/>
              <w:jc w:val="left"/>
              <w:rPr>
                <w:color w:val="000000"/>
                <w:kern w:val="0"/>
                <w:sz w:val="18"/>
                <w:szCs w:val="18"/>
              </w:rPr>
            </w:pPr>
            <w:r>
              <w:rPr>
                <w:rFonts w:hint="eastAsia"/>
                <w:color w:val="000000"/>
                <w:kern w:val="0"/>
                <w:sz w:val="18"/>
                <w:szCs w:val="18"/>
              </w:rPr>
              <w:t>责令限期改正，罚款，停止供水</w:t>
            </w:r>
          </w:p>
        </w:tc>
      </w:tr>
      <w:tr w14:paraId="12A712B5">
        <w:tblPrEx>
          <w:tblCellMar>
            <w:top w:w="0" w:type="dxa"/>
            <w:left w:w="108" w:type="dxa"/>
            <w:bottom w:w="0" w:type="dxa"/>
            <w:right w:w="108" w:type="dxa"/>
          </w:tblCellMar>
        </w:tblPrEx>
        <w:trPr>
          <w:gridAfter w:val="1"/>
          <w:wAfter w:w="30" w:type="dxa"/>
          <w:trHeight w:val="285" w:hRule="atLeast"/>
        </w:trPr>
        <w:tc>
          <w:tcPr>
            <w:tcW w:w="14030" w:type="dxa"/>
            <w:gridSpan w:val="5"/>
            <w:tcBorders>
              <w:top w:val="single" w:color="auto" w:sz="4" w:space="0"/>
              <w:left w:val="single" w:color="auto" w:sz="8" w:space="0"/>
              <w:bottom w:val="single" w:color="auto" w:sz="4" w:space="0"/>
              <w:right w:val="single" w:color="000000" w:sz="8" w:space="0"/>
            </w:tcBorders>
            <w:vAlign w:val="center"/>
          </w:tcPr>
          <w:p w14:paraId="131DF3D3">
            <w:pPr>
              <w:spacing w:line="320" w:lineRule="exact"/>
              <w:jc w:val="center"/>
              <w:rPr>
                <w:color w:val="000000"/>
                <w:kern w:val="0"/>
                <w:sz w:val="18"/>
                <w:szCs w:val="18"/>
              </w:rPr>
            </w:pPr>
            <w:r>
              <w:rPr>
                <w:rFonts w:hint="eastAsia"/>
                <w:color w:val="000000"/>
                <w:kern w:val="0"/>
                <w:sz w:val="18"/>
                <w:szCs w:val="18"/>
              </w:rPr>
              <w:t>裁量基准</w:t>
            </w:r>
          </w:p>
        </w:tc>
      </w:tr>
      <w:tr w14:paraId="0032791E">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32790A9B">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Merge w:val="restart"/>
            <w:tcBorders>
              <w:top w:val="single" w:color="auto" w:sz="4" w:space="0"/>
              <w:left w:val="nil"/>
              <w:right w:val="single" w:color="auto" w:sz="4" w:space="0"/>
            </w:tcBorders>
            <w:vAlign w:val="center"/>
          </w:tcPr>
          <w:p w14:paraId="50ACFF2D">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color="auto" w:sz="4" w:space="0"/>
              <w:bottom w:val="single" w:color="auto" w:sz="4" w:space="0"/>
              <w:right w:val="single" w:color="auto" w:sz="4" w:space="0"/>
            </w:tcBorders>
            <w:vAlign w:val="center"/>
          </w:tcPr>
          <w:p w14:paraId="34AC991E">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color="auto" w:sz="4" w:space="0"/>
              <w:right w:val="single" w:color="auto" w:sz="8" w:space="0"/>
            </w:tcBorders>
            <w:vAlign w:val="center"/>
          </w:tcPr>
          <w:p w14:paraId="6458710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r w14:paraId="0804BCF0">
        <w:tblPrEx>
          <w:tblCellMar>
            <w:top w:w="0" w:type="dxa"/>
            <w:left w:w="108" w:type="dxa"/>
            <w:bottom w:w="0" w:type="dxa"/>
            <w:right w:w="108" w:type="dxa"/>
          </w:tblCellMar>
        </w:tblPrEx>
        <w:trPr>
          <w:trHeight w:val="285" w:hRule="atLeast"/>
        </w:trPr>
        <w:tc>
          <w:tcPr>
            <w:tcW w:w="980" w:type="dxa"/>
            <w:vMerge w:val="continue"/>
            <w:tcBorders>
              <w:left w:val="single" w:color="auto" w:sz="8" w:space="0"/>
              <w:right w:val="single" w:color="auto" w:sz="4" w:space="0"/>
            </w:tcBorders>
            <w:vAlign w:val="center"/>
          </w:tcPr>
          <w:p w14:paraId="556776DF">
            <w:pPr>
              <w:spacing w:line="320" w:lineRule="exact"/>
              <w:jc w:val="center"/>
              <w:rPr>
                <w:color w:val="000000"/>
                <w:kern w:val="0"/>
                <w:sz w:val="18"/>
                <w:szCs w:val="18"/>
              </w:rPr>
            </w:pPr>
          </w:p>
        </w:tc>
        <w:tc>
          <w:tcPr>
            <w:tcW w:w="6140" w:type="dxa"/>
            <w:gridSpan w:val="2"/>
            <w:vMerge w:val="continue"/>
            <w:tcBorders>
              <w:left w:val="nil"/>
              <w:bottom w:val="single" w:color="auto" w:sz="4" w:space="0"/>
              <w:right w:val="single" w:color="auto" w:sz="4" w:space="0"/>
            </w:tcBorders>
            <w:vAlign w:val="center"/>
          </w:tcPr>
          <w:p w14:paraId="36C72113">
            <w:pPr>
              <w:spacing w:line="320" w:lineRule="exact"/>
              <w:jc w:val="left"/>
              <w:rPr>
                <w:color w:val="000000"/>
                <w:kern w:val="0"/>
                <w:sz w:val="18"/>
                <w:szCs w:val="18"/>
              </w:rPr>
            </w:pPr>
          </w:p>
        </w:tc>
        <w:tc>
          <w:tcPr>
            <w:tcW w:w="1000" w:type="dxa"/>
            <w:vMerge w:val="continue"/>
            <w:tcBorders>
              <w:left w:val="single" w:color="auto" w:sz="4" w:space="0"/>
              <w:right w:val="single" w:color="auto" w:sz="4" w:space="0"/>
            </w:tcBorders>
            <w:vAlign w:val="center"/>
          </w:tcPr>
          <w:p w14:paraId="01B94518">
            <w:pPr>
              <w:spacing w:line="320" w:lineRule="exact"/>
              <w:jc w:val="center"/>
              <w:rPr>
                <w:color w:val="000000"/>
                <w:kern w:val="0"/>
                <w:sz w:val="18"/>
                <w:szCs w:val="18"/>
              </w:rPr>
            </w:pPr>
          </w:p>
        </w:tc>
        <w:tc>
          <w:tcPr>
            <w:tcW w:w="5940" w:type="dxa"/>
            <w:gridSpan w:val="2"/>
            <w:tcBorders>
              <w:top w:val="nil"/>
              <w:left w:val="nil"/>
              <w:bottom w:val="single" w:color="auto" w:sz="4" w:space="0"/>
              <w:right w:val="single" w:color="auto" w:sz="8" w:space="0"/>
            </w:tcBorders>
            <w:vAlign w:val="center"/>
          </w:tcPr>
          <w:p w14:paraId="5CC16480">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14:paraId="0A95C60F">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4309983A">
            <w:pPr>
              <w:spacing w:line="320" w:lineRule="exact"/>
              <w:jc w:val="left"/>
              <w:rPr>
                <w:color w:val="000000"/>
                <w:kern w:val="0"/>
                <w:sz w:val="18"/>
                <w:szCs w:val="18"/>
              </w:rPr>
            </w:pPr>
          </w:p>
        </w:tc>
        <w:tc>
          <w:tcPr>
            <w:tcW w:w="6140" w:type="dxa"/>
            <w:gridSpan w:val="2"/>
            <w:vMerge w:val="restart"/>
            <w:tcBorders>
              <w:top w:val="single" w:color="auto" w:sz="4" w:space="0"/>
              <w:left w:val="nil"/>
              <w:right w:val="single" w:color="auto" w:sz="4" w:space="0"/>
            </w:tcBorders>
            <w:vAlign w:val="center"/>
          </w:tcPr>
          <w:p w14:paraId="7675493D">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2E95517B">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1C99739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10000</w:t>
            </w:r>
            <w:r>
              <w:rPr>
                <w:rFonts w:hint="eastAsia"/>
                <w:color w:val="000000"/>
                <w:kern w:val="0"/>
                <w:sz w:val="18"/>
                <w:szCs w:val="18"/>
              </w:rPr>
              <w:t>元以上</w:t>
            </w:r>
            <w:r>
              <w:rPr>
                <w:color w:val="000000"/>
                <w:kern w:val="0"/>
                <w:sz w:val="18"/>
                <w:szCs w:val="18"/>
              </w:rPr>
              <w:t>15000</w:t>
            </w:r>
            <w:r>
              <w:rPr>
                <w:rFonts w:hint="eastAsia"/>
                <w:color w:val="000000"/>
                <w:kern w:val="0"/>
                <w:sz w:val="18"/>
                <w:szCs w:val="18"/>
              </w:rPr>
              <w:t>元以下罚款</w:t>
            </w:r>
          </w:p>
        </w:tc>
      </w:tr>
      <w:tr w14:paraId="63F50780">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096EF736">
            <w:pPr>
              <w:spacing w:line="320" w:lineRule="exact"/>
              <w:jc w:val="left"/>
              <w:rPr>
                <w:color w:val="000000"/>
                <w:kern w:val="0"/>
                <w:sz w:val="18"/>
                <w:szCs w:val="18"/>
              </w:rPr>
            </w:pPr>
          </w:p>
        </w:tc>
        <w:tc>
          <w:tcPr>
            <w:tcW w:w="6140" w:type="dxa"/>
            <w:gridSpan w:val="2"/>
            <w:vMerge w:val="continue"/>
            <w:tcBorders>
              <w:left w:val="nil"/>
              <w:bottom w:val="single" w:color="auto" w:sz="8" w:space="0"/>
              <w:right w:val="single" w:color="auto" w:sz="4" w:space="0"/>
            </w:tcBorders>
            <w:vAlign w:val="center"/>
          </w:tcPr>
          <w:p w14:paraId="18EDBEFB">
            <w:pPr>
              <w:spacing w:line="320" w:lineRule="exact"/>
              <w:jc w:val="left"/>
              <w:rPr>
                <w:color w:val="000000"/>
                <w:kern w:val="0"/>
                <w:sz w:val="18"/>
                <w:szCs w:val="18"/>
              </w:rPr>
            </w:pPr>
          </w:p>
        </w:tc>
        <w:tc>
          <w:tcPr>
            <w:tcW w:w="1000" w:type="dxa"/>
            <w:vMerge w:val="continue"/>
            <w:tcBorders>
              <w:top w:val="nil"/>
              <w:left w:val="single" w:color="auto" w:sz="4" w:space="0"/>
              <w:bottom w:val="single" w:color="auto" w:sz="4" w:space="0"/>
              <w:right w:val="single" w:color="auto" w:sz="4" w:space="0"/>
            </w:tcBorders>
            <w:vAlign w:val="center"/>
          </w:tcPr>
          <w:p w14:paraId="29D3E49D">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5ECCCBFB">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元以下罚款</w:t>
            </w:r>
          </w:p>
        </w:tc>
      </w:tr>
      <w:tr w14:paraId="4756374F">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nil"/>
              <w:right w:val="single" w:color="auto" w:sz="4" w:space="0"/>
            </w:tcBorders>
            <w:vAlign w:val="center"/>
          </w:tcPr>
          <w:p w14:paraId="33F326D7">
            <w:pPr>
              <w:spacing w:line="320" w:lineRule="exact"/>
              <w:jc w:val="left"/>
              <w:rPr>
                <w:color w:val="000000"/>
                <w:kern w:val="0"/>
                <w:sz w:val="18"/>
                <w:szCs w:val="18"/>
              </w:rPr>
            </w:pPr>
          </w:p>
        </w:tc>
        <w:tc>
          <w:tcPr>
            <w:tcW w:w="6140" w:type="dxa"/>
            <w:gridSpan w:val="2"/>
            <w:vMerge w:val="restart"/>
            <w:tcBorders>
              <w:top w:val="single" w:color="auto" w:sz="4" w:space="0"/>
              <w:left w:val="nil"/>
              <w:right w:val="single" w:color="auto" w:sz="4" w:space="0"/>
            </w:tcBorders>
            <w:vAlign w:val="center"/>
          </w:tcPr>
          <w:p w14:paraId="621558F1">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val="continue"/>
            <w:tcBorders>
              <w:top w:val="nil"/>
              <w:left w:val="single" w:color="auto" w:sz="4" w:space="0"/>
              <w:bottom w:val="nil"/>
              <w:right w:val="single" w:color="auto" w:sz="4" w:space="0"/>
            </w:tcBorders>
            <w:vAlign w:val="center"/>
          </w:tcPr>
          <w:p w14:paraId="0A46F5E6">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138B544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15000</w:t>
            </w:r>
            <w:r>
              <w:rPr>
                <w:rFonts w:hint="eastAsia"/>
                <w:color w:val="000000"/>
                <w:kern w:val="0"/>
                <w:sz w:val="18"/>
                <w:szCs w:val="18"/>
              </w:rPr>
              <w:t>元以上</w:t>
            </w:r>
            <w:r>
              <w:rPr>
                <w:color w:val="000000"/>
                <w:kern w:val="0"/>
                <w:sz w:val="18"/>
                <w:szCs w:val="18"/>
              </w:rPr>
              <w:t>20000</w:t>
            </w:r>
            <w:r>
              <w:rPr>
                <w:rFonts w:hint="eastAsia"/>
                <w:color w:val="000000"/>
                <w:kern w:val="0"/>
                <w:sz w:val="18"/>
                <w:szCs w:val="18"/>
              </w:rPr>
              <w:t>元以下罚款</w:t>
            </w:r>
          </w:p>
        </w:tc>
      </w:tr>
      <w:tr w14:paraId="4D70CC6D">
        <w:tblPrEx>
          <w:tblCellMar>
            <w:top w:w="0" w:type="dxa"/>
            <w:left w:w="108" w:type="dxa"/>
            <w:bottom w:w="0" w:type="dxa"/>
            <w:right w:w="108" w:type="dxa"/>
          </w:tblCellMar>
        </w:tblPrEx>
        <w:trPr>
          <w:trHeight w:val="390" w:hRule="atLeast"/>
        </w:trPr>
        <w:tc>
          <w:tcPr>
            <w:tcW w:w="980" w:type="dxa"/>
            <w:tcBorders>
              <w:top w:val="nil"/>
              <w:left w:val="single" w:color="auto" w:sz="8" w:space="0"/>
              <w:bottom w:val="single" w:color="auto" w:sz="4" w:space="0"/>
              <w:right w:val="single" w:color="auto" w:sz="4" w:space="0"/>
            </w:tcBorders>
            <w:vAlign w:val="center"/>
          </w:tcPr>
          <w:p w14:paraId="4C3518CC">
            <w:pPr>
              <w:spacing w:line="320" w:lineRule="exact"/>
              <w:jc w:val="left"/>
              <w:rPr>
                <w:color w:val="000000"/>
                <w:kern w:val="0"/>
                <w:sz w:val="18"/>
                <w:szCs w:val="18"/>
              </w:rPr>
            </w:pPr>
          </w:p>
        </w:tc>
        <w:tc>
          <w:tcPr>
            <w:tcW w:w="6140" w:type="dxa"/>
            <w:gridSpan w:val="2"/>
            <w:vMerge w:val="continue"/>
            <w:tcBorders>
              <w:left w:val="nil"/>
              <w:bottom w:val="single" w:color="auto" w:sz="4" w:space="0"/>
              <w:right w:val="single" w:color="auto" w:sz="4" w:space="0"/>
            </w:tcBorders>
            <w:vAlign w:val="center"/>
          </w:tcPr>
          <w:p w14:paraId="5D913B46">
            <w:pPr>
              <w:spacing w:line="320" w:lineRule="exact"/>
              <w:jc w:val="left"/>
              <w:rPr>
                <w:color w:val="000000"/>
                <w:kern w:val="0"/>
                <w:sz w:val="18"/>
                <w:szCs w:val="18"/>
              </w:rPr>
            </w:pPr>
          </w:p>
        </w:tc>
        <w:tc>
          <w:tcPr>
            <w:tcW w:w="1000" w:type="dxa"/>
            <w:tcBorders>
              <w:top w:val="nil"/>
              <w:left w:val="single" w:color="auto" w:sz="4" w:space="0"/>
              <w:bottom w:val="single" w:color="auto" w:sz="4" w:space="0"/>
              <w:right w:val="single" w:color="auto" w:sz="4" w:space="0"/>
            </w:tcBorders>
            <w:vAlign w:val="center"/>
          </w:tcPr>
          <w:p w14:paraId="52C7E71B">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5B1B4DF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22E48C6B"/>
    <w:p w14:paraId="53674762"/>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84"/>
        <w:gridCol w:w="12"/>
      </w:tblGrid>
      <w:tr w14:paraId="501C34B4">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573216FD">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color="auto" w:sz="8" w:space="0"/>
              <w:left w:val="nil"/>
              <w:bottom w:val="single" w:color="auto" w:sz="4" w:space="0"/>
              <w:right w:val="single" w:color="000000" w:sz="8" w:space="0"/>
            </w:tcBorders>
            <w:vAlign w:val="center"/>
          </w:tcPr>
          <w:p w14:paraId="4BBF46AF">
            <w:pPr>
              <w:spacing w:line="320" w:lineRule="exact"/>
              <w:jc w:val="left"/>
              <w:rPr>
                <w:rFonts w:eastAsia="仿宋_GB2312"/>
                <w:b/>
                <w:bCs/>
                <w:color w:val="000000"/>
                <w:kern w:val="0"/>
                <w:sz w:val="18"/>
                <w:szCs w:val="18"/>
              </w:rPr>
            </w:pPr>
            <w:r>
              <w:rPr>
                <w:rFonts w:eastAsia="仿宋_GB2312"/>
                <w:b/>
                <w:bCs/>
                <w:color w:val="000000"/>
                <w:kern w:val="0"/>
                <w:sz w:val="18"/>
                <w:szCs w:val="18"/>
              </w:rPr>
              <w:t>320217459000</w:t>
            </w:r>
            <w:r>
              <w:rPr>
                <w:rFonts w:hint="eastAsia" w:eastAsia="仿宋_GB2312"/>
                <w:b/>
                <w:bCs/>
                <w:color w:val="000000"/>
                <w:kern w:val="0"/>
                <w:sz w:val="18"/>
                <w:szCs w:val="18"/>
              </w:rPr>
              <w:t xml:space="preserve"> </w:t>
            </w:r>
          </w:p>
        </w:tc>
      </w:tr>
      <w:tr w14:paraId="1542A3F1">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7E209869">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color="auto" w:sz="4" w:space="0"/>
              <w:left w:val="nil"/>
              <w:bottom w:val="single" w:color="auto" w:sz="4" w:space="0"/>
              <w:right w:val="single" w:color="000000" w:sz="8" w:space="0"/>
            </w:tcBorders>
            <w:vAlign w:val="center"/>
          </w:tcPr>
          <w:p w14:paraId="55652473">
            <w:pPr>
              <w:spacing w:line="320" w:lineRule="exact"/>
              <w:jc w:val="left"/>
              <w:rPr>
                <w:color w:val="000000"/>
                <w:kern w:val="0"/>
                <w:sz w:val="18"/>
                <w:szCs w:val="18"/>
              </w:rPr>
            </w:pPr>
            <w:r>
              <w:rPr>
                <w:rFonts w:hint="eastAsia"/>
                <w:color w:val="000000"/>
                <w:kern w:val="0"/>
                <w:sz w:val="18"/>
                <w:szCs w:val="18"/>
              </w:rPr>
              <w:t>对燃气用户及相关单位和个人擅自安装、改装、拆除户内燃气设施和燃气计量装置的处罚</w:t>
            </w:r>
          </w:p>
        </w:tc>
      </w:tr>
      <w:tr w14:paraId="6C4AE17E">
        <w:tblPrEx>
          <w:tblCellMar>
            <w:top w:w="0" w:type="dxa"/>
            <w:left w:w="108" w:type="dxa"/>
            <w:bottom w:w="0" w:type="dxa"/>
            <w:right w:w="108" w:type="dxa"/>
          </w:tblCellMar>
        </w:tblPrEx>
        <w:trPr>
          <w:trHeight w:val="1545" w:hRule="atLeast"/>
        </w:trPr>
        <w:tc>
          <w:tcPr>
            <w:tcW w:w="996" w:type="dxa"/>
            <w:gridSpan w:val="2"/>
            <w:tcBorders>
              <w:top w:val="nil"/>
              <w:left w:val="single" w:color="auto" w:sz="8" w:space="0"/>
              <w:bottom w:val="single" w:color="auto" w:sz="4" w:space="0"/>
              <w:right w:val="single" w:color="auto" w:sz="4" w:space="0"/>
            </w:tcBorders>
            <w:vAlign w:val="center"/>
          </w:tcPr>
          <w:p w14:paraId="3B6FCD48">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color="auto" w:sz="4" w:space="0"/>
              <w:left w:val="nil"/>
              <w:bottom w:val="single" w:color="auto" w:sz="4" w:space="0"/>
              <w:right w:val="single" w:color="000000" w:sz="8" w:space="0"/>
            </w:tcBorders>
            <w:vAlign w:val="center"/>
          </w:tcPr>
          <w:p w14:paraId="2FCFF1FA">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4E17D7BE">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14:paraId="1CEF232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（四）擅自安装、改装、拆除户内燃气设施和燃气计量装置。</w:t>
            </w:r>
          </w:p>
          <w:p w14:paraId="752B50E3">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14:paraId="6DF21F7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（四）擅自安装、改装、拆除户内燃气设施和燃气计量装置的。</w:t>
            </w:r>
          </w:p>
          <w:p w14:paraId="1B25767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日通过，江苏省人大常委会公告第</w:t>
            </w:r>
            <w:r>
              <w:rPr>
                <w:color w:val="000000"/>
                <w:kern w:val="0"/>
                <w:sz w:val="18"/>
                <w:szCs w:val="18"/>
              </w:rPr>
              <w:t xml:space="preserve"> 28 </w:t>
            </w:r>
            <w:r>
              <w:rPr>
                <w:rFonts w:hint="eastAsia"/>
                <w:color w:val="000000"/>
                <w:kern w:val="0"/>
                <w:sz w:val="18"/>
                <w:szCs w:val="18"/>
              </w:rPr>
              <w:t>号）</w:t>
            </w:r>
          </w:p>
          <w:p w14:paraId="0CE4519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14:paraId="51D8E863">
            <w:pPr>
              <w:spacing w:line="320" w:lineRule="exact"/>
              <w:jc w:val="left"/>
              <w:rPr>
                <w:color w:val="000000"/>
                <w:kern w:val="0"/>
                <w:sz w:val="18"/>
                <w:szCs w:val="18"/>
              </w:rPr>
            </w:pPr>
            <w:r>
              <w:rPr>
                <w:rFonts w:hint="eastAsia"/>
                <w:color w:val="000000"/>
                <w:kern w:val="0"/>
                <w:sz w:val="18"/>
                <w:szCs w:val="18"/>
              </w:rPr>
              <w:t>　　（四）擅自安装、改装、拆除户内燃气设施和燃气计量装置；</w:t>
            </w:r>
          </w:p>
          <w:p w14:paraId="7093111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14:paraId="62BD4BE1">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6785E06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color="auto" w:sz="4" w:space="0"/>
              <w:left w:val="nil"/>
              <w:bottom w:val="single" w:color="auto" w:sz="4" w:space="0"/>
              <w:right w:val="single" w:color="000000" w:sz="8" w:space="0"/>
            </w:tcBorders>
            <w:vAlign w:val="center"/>
          </w:tcPr>
          <w:p w14:paraId="7D9CA2E0">
            <w:pPr>
              <w:spacing w:line="320" w:lineRule="exact"/>
              <w:jc w:val="left"/>
              <w:rPr>
                <w:color w:val="000000"/>
                <w:kern w:val="0"/>
                <w:sz w:val="18"/>
                <w:szCs w:val="18"/>
              </w:rPr>
            </w:pPr>
            <w:r>
              <w:rPr>
                <w:rFonts w:hint="eastAsia"/>
                <w:color w:val="000000"/>
                <w:kern w:val="0"/>
                <w:sz w:val="18"/>
                <w:szCs w:val="18"/>
              </w:rPr>
              <w:t>罚款</w:t>
            </w:r>
          </w:p>
        </w:tc>
      </w:tr>
      <w:tr w14:paraId="75B3ACAC">
        <w:tblPrEx>
          <w:tblCellMar>
            <w:top w:w="0" w:type="dxa"/>
            <w:left w:w="108" w:type="dxa"/>
            <w:bottom w:w="0" w:type="dxa"/>
            <w:right w:w="108" w:type="dxa"/>
          </w:tblCellMar>
        </w:tblPrEx>
        <w:trPr>
          <w:trHeight w:val="285" w:hRule="atLeast"/>
        </w:trPr>
        <w:tc>
          <w:tcPr>
            <w:tcW w:w="14016" w:type="dxa"/>
            <w:gridSpan w:val="6"/>
            <w:tcBorders>
              <w:top w:val="single" w:color="auto" w:sz="4" w:space="0"/>
              <w:left w:val="single" w:color="auto" w:sz="8" w:space="0"/>
              <w:bottom w:val="single" w:color="auto" w:sz="4" w:space="0"/>
              <w:right w:val="single" w:color="000000" w:sz="8" w:space="0"/>
            </w:tcBorders>
            <w:vAlign w:val="center"/>
          </w:tcPr>
          <w:p w14:paraId="07CC3746">
            <w:pPr>
              <w:spacing w:line="320" w:lineRule="exact"/>
              <w:jc w:val="center"/>
              <w:rPr>
                <w:color w:val="000000"/>
                <w:kern w:val="0"/>
                <w:sz w:val="18"/>
                <w:szCs w:val="18"/>
              </w:rPr>
            </w:pPr>
            <w:r>
              <w:rPr>
                <w:rFonts w:hint="eastAsia"/>
                <w:color w:val="000000"/>
                <w:kern w:val="0"/>
                <w:sz w:val="18"/>
                <w:szCs w:val="18"/>
              </w:rPr>
              <w:t>裁量基准</w:t>
            </w:r>
          </w:p>
        </w:tc>
      </w:tr>
      <w:tr w14:paraId="0CE3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5" w:hRule="atLeast"/>
        </w:trPr>
        <w:tc>
          <w:tcPr>
            <w:tcW w:w="980" w:type="dxa"/>
            <w:vMerge w:val="restart"/>
            <w:vAlign w:val="center"/>
          </w:tcPr>
          <w:p w14:paraId="64202420">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418B6597">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14:paraId="36D1BF21">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14:paraId="67FCEEFC">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14:paraId="32DC0839">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14:paraId="5B64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520ED855">
            <w:pPr>
              <w:spacing w:line="320" w:lineRule="exact"/>
              <w:jc w:val="center"/>
              <w:rPr>
                <w:color w:val="000000"/>
                <w:kern w:val="0"/>
                <w:sz w:val="18"/>
                <w:szCs w:val="18"/>
              </w:rPr>
            </w:pPr>
          </w:p>
        </w:tc>
        <w:tc>
          <w:tcPr>
            <w:tcW w:w="6140" w:type="dxa"/>
            <w:gridSpan w:val="2"/>
            <w:vAlign w:val="center"/>
          </w:tcPr>
          <w:p w14:paraId="19F421DC">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continue"/>
            <w:vAlign w:val="center"/>
          </w:tcPr>
          <w:p w14:paraId="71636591">
            <w:pPr>
              <w:spacing w:line="320" w:lineRule="exact"/>
              <w:jc w:val="center"/>
              <w:rPr>
                <w:color w:val="000000"/>
                <w:kern w:val="0"/>
                <w:sz w:val="18"/>
                <w:szCs w:val="18"/>
              </w:rPr>
            </w:pPr>
          </w:p>
        </w:tc>
        <w:tc>
          <w:tcPr>
            <w:tcW w:w="5884" w:type="dxa"/>
            <w:vAlign w:val="center"/>
          </w:tcPr>
          <w:p w14:paraId="1937880E">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14:paraId="6F12C7EC">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64AC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0249DAC8">
            <w:pPr>
              <w:spacing w:line="320" w:lineRule="exact"/>
              <w:jc w:val="center"/>
              <w:rPr>
                <w:color w:val="000000"/>
                <w:kern w:val="0"/>
                <w:sz w:val="18"/>
                <w:szCs w:val="18"/>
              </w:rPr>
            </w:pPr>
          </w:p>
        </w:tc>
        <w:tc>
          <w:tcPr>
            <w:tcW w:w="6140" w:type="dxa"/>
            <w:gridSpan w:val="2"/>
            <w:vAlign w:val="center"/>
          </w:tcPr>
          <w:p w14:paraId="312A03EE">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continue"/>
            <w:vAlign w:val="center"/>
          </w:tcPr>
          <w:p w14:paraId="4AF7E45B">
            <w:pPr>
              <w:spacing w:line="320" w:lineRule="exact"/>
              <w:jc w:val="center"/>
              <w:rPr>
                <w:color w:val="000000"/>
                <w:kern w:val="0"/>
                <w:sz w:val="18"/>
                <w:szCs w:val="18"/>
              </w:rPr>
            </w:pPr>
          </w:p>
        </w:tc>
        <w:tc>
          <w:tcPr>
            <w:tcW w:w="5884" w:type="dxa"/>
            <w:vAlign w:val="center"/>
          </w:tcPr>
          <w:p w14:paraId="6A16B32D">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14:paraId="775E84B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1B0BA35D"/>
    <w:p w14:paraId="6BAFB002"/>
    <w:p w14:paraId="4BCB23B1"/>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84"/>
        <w:gridCol w:w="12"/>
      </w:tblGrid>
      <w:tr w14:paraId="5730443D">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3AB02C82">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color="auto" w:sz="8" w:space="0"/>
              <w:left w:val="nil"/>
              <w:bottom w:val="single" w:color="auto" w:sz="4" w:space="0"/>
              <w:right w:val="single" w:color="000000" w:sz="8" w:space="0"/>
            </w:tcBorders>
            <w:vAlign w:val="center"/>
          </w:tcPr>
          <w:p w14:paraId="5C8E4509">
            <w:pPr>
              <w:spacing w:line="320" w:lineRule="exact"/>
              <w:jc w:val="left"/>
              <w:rPr>
                <w:rFonts w:eastAsia="仿宋_GB2312"/>
                <w:b/>
                <w:bCs/>
                <w:color w:val="000000"/>
                <w:kern w:val="0"/>
                <w:sz w:val="18"/>
                <w:szCs w:val="18"/>
              </w:rPr>
            </w:pPr>
            <w:r>
              <w:rPr>
                <w:rFonts w:eastAsia="仿宋_GB2312"/>
                <w:b/>
                <w:bCs/>
                <w:color w:val="000000"/>
                <w:kern w:val="0"/>
                <w:sz w:val="18"/>
                <w:szCs w:val="18"/>
              </w:rPr>
              <w:t>320217460000</w:t>
            </w:r>
            <w:r>
              <w:rPr>
                <w:rFonts w:hint="eastAsia" w:eastAsia="仿宋_GB2312"/>
                <w:b/>
                <w:bCs/>
                <w:color w:val="000000"/>
                <w:kern w:val="0"/>
                <w:sz w:val="18"/>
                <w:szCs w:val="18"/>
              </w:rPr>
              <w:t xml:space="preserve"> </w:t>
            </w:r>
          </w:p>
        </w:tc>
      </w:tr>
      <w:tr w14:paraId="57EE9E0A">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385C5DE6">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color="auto" w:sz="4" w:space="0"/>
              <w:left w:val="nil"/>
              <w:bottom w:val="single" w:color="auto" w:sz="4" w:space="0"/>
              <w:right w:val="single" w:color="000000" w:sz="8" w:space="0"/>
            </w:tcBorders>
            <w:vAlign w:val="center"/>
          </w:tcPr>
          <w:p w14:paraId="46CA5A09">
            <w:pPr>
              <w:spacing w:line="320" w:lineRule="exact"/>
              <w:jc w:val="left"/>
              <w:rPr>
                <w:color w:val="000000"/>
                <w:kern w:val="0"/>
                <w:sz w:val="18"/>
                <w:szCs w:val="18"/>
              </w:rPr>
            </w:pPr>
            <w:r>
              <w:rPr>
                <w:rFonts w:hint="eastAsia"/>
                <w:color w:val="000000"/>
                <w:kern w:val="0"/>
                <w:sz w:val="18"/>
                <w:szCs w:val="18"/>
              </w:rPr>
              <w:t>对燃气用户及相关单位和个人在不具备安全条件的场所使用、储存燃气的处罚</w:t>
            </w:r>
          </w:p>
        </w:tc>
      </w:tr>
      <w:tr w14:paraId="107957BD">
        <w:tblPrEx>
          <w:tblCellMar>
            <w:top w:w="0" w:type="dxa"/>
            <w:left w:w="108" w:type="dxa"/>
            <w:bottom w:w="0" w:type="dxa"/>
            <w:right w:w="108" w:type="dxa"/>
          </w:tblCellMar>
        </w:tblPrEx>
        <w:trPr>
          <w:trHeight w:val="1590" w:hRule="atLeast"/>
        </w:trPr>
        <w:tc>
          <w:tcPr>
            <w:tcW w:w="996" w:type="dxa"/>
            <w:gridSpan w:val="2"/>
            <w:tcBorders>
              <w:top w:val="nil"/>
              <w:left w:val="single" w:color="auto" w:sz="8" w:space="0"/>
              <w:bottom w:val="single" w:color="auto" w:sz="4" w:space="0"/>
              <w:right w:val="single" w:color="auto" w:sz="4" w:space="0"/>
            </w:tcBorders>
            <w:vAlign w:val="center"/>
          </w:tcPr>
          <w:p w14:paraId="4049C254">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color="auto" w:sz="4" w:space="0"/>
              <w:left w:val="nil"/>
              <w:bottom w:val="single" w:color="auto" w:sz="4" w:space="0"/>
              <w:right w:val="single" w:color="000000" w:sz="8" w:space="0"/>
            </w:tcBorders>
            <w:vAlign w:val="center"/>
          </w:tcPr>
          <w:p w14:paraId="1904AA87">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4389F54F">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14:paraId="25EA8FE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（五）在不具备安全条件的场所使用、储存燃气。</w:t>
            </w:r>
          </w:p>
          <w:p w14:paraId="3D196B04">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14:paraId="4651D1E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（五）在不具备安全条件的场所使用、储存燃气的。</w:t>
            </w:r>
          </w:p>
          <w:p w14:paraId="04FA7CFF">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日通过，江苏省人大常委会公告第</w:t>
            </w:r>
            <w:r>
              <w:rPr>
                <w:color w:val="000000"/>
                <w:kern w:val="0"/>
                <w:sz w:val="18"/>
                <w:szCs w:val="18"/>
              </w:rPr>
              <w:t xml:space="preserve"> 28 </w:t>
            </w:r>
            <w:r>
              <w:rPr>
                <w:rFonts w:hint="eastAsia"/>
                <w:color w:val="000000"/>
                <w:kern w:val="0"/>
                <w:sz w:val="18"/>
                <w:szCs w:val="18"/>
              </w:rPr>
              <w:t>号）</w:t>
            </w:r>
          </w:p>
          <w:p w14:paraId="14B9275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14:paraId="783109D4">
            <w:pPr>
              <w:spacing w:line="320" w:lineRule="exact"/>
              <w:jc w:val="left"/>
              <w:rPr>
                <w:color w:val="000000"/>
                <w:kern w:val="0"/>
                <w:sz w:val="18"/>
                <w:szCs w:val="18"/>
              </w:rPr>
            </w:pPr>
            <w:r>
              <w:rPr>
                <w:rFonts w:hint="eastAsia"/>
                <w:color w:val="000000"/>
                <w:kern w:val="0"/>
                <w:sz w:val="18"/>
                <w:szCs w:val="18"/>
              </w:rPr>
              <w:t>　　（五）在不具备安全条件的场所使用、储存燃气；</w:t>
            </w:r>
          </w:p>
          <w:p w14:paraId="176941E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14:paraId="714343E8">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5861E92B">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color="auto" w:sz="4" w:space="0"/>
              <w:left w:val="nil"/>
              <w:bottom w:val="single" w:color="auto" w:sz="4" w:space="0"/>
              <w:right w:val="single" w:color="000000" w:sz="8" w:space="0"/>
            </w:tcBorders>
            <w:vAlign w:val="center"/>
          </w:tcPr>
          <w:p w14:paraId="02DFC4D0">
            <w:pPr>
              <w:spacing w:line="320" w:lineRule="exact"/>
              <w:jc w:val="left"/>
              <w:rPr>
                <w:color w:val="000000"/>
                <w:kern w:val="0"/>
                <w:sz w:val="18"/>
                <w:szCs w:val="18"/>
              </w:rPr>
            </w:pPr>
            <w:r>
              <w:rPr>
                <w:rFonts w:hint="eastAsia"/>
                <w:color w:val="000000"/>
                <w:kern w:val="0"/>
                <w:sz w:val="18"/>
                <w:szCs w:val="18"/>
              </w:rPr>
              <w:t>罚款</w:t>
            </w:r>
          </w:p>
        </w:tc>
      </w:tr>
      <w:tr w14:paraId="6040BDDE">
        <w:tblPrEx>
          <w:tblCellMar>
            <w:top w:w="0" w:type="dxa"/>
            <w:left w:w="108" w:type="dxa"/>
            <w:bottom w:w="0" w:type="dxa"/>
            <w:right w:w="108" w:type="dxa"/>
          </w:tblCellMar>
        </w:tblPrEx>
        <w:trPr>
          <w:trHeight w:val="285" w:hRule="atLeast"/>
        </w:trPr>
        <w:tc>
          <w:tcPr>
            <w:tcW w:w="14016" w:type="dxa"/>
            <w:gridSpan w:val="6"/>
            <w:tcBorders>
              <w:top w:val="single" w:color="auto" w:sz="4" w:space="0"/>
              <w:left w:val="single" w:color="auto" w:sz="8" w:space="0"/>
              <w:bottom w:val="single" w:color="auto" w:sz="4" w:space="0"/>
              <w:right w:val="single" w:color="000000" w:sz="8" w:space="0"/>
            </w:tcBorders>
            <w:vAlign w:val="center"/>
          </w:tcPr>
          <w:p w14:paraId="1DB43773">
            <w:pPr>
              <w:spacing w:line="320" w:lineRule="exact"/>
              <w:jc w:val="center"/>
              <w:rPr>
                <w:color w:val="000000"/>
                <w:kern w:val="0"/>
                <w:sz w:val="18"/>
                <w:szCs w:val="18"/>
              </w:rPr>
            </w:pPr>
            <w:r>
              <w:rPr>
                <w:rFonts w:hint="eastAsia"/>
                <w:color w:val="000000"/>
                <w:kern w:val="0"/>
                <w:sz w:val="18"/>
                <w:szCs w:val="18"/>
              </w:rPr>
              <w:t>裁量基准</w:t>
            </w:r>
          </w:p>
        </w:tc>
      </w:tr>
      <w:tr w14:paraId="792B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5" w:hRule="atLeast"/>
        </w:trPr>
        <w:tc>
          <w:tcPr>
            <w:tcW w:w="980" w:type="dxa"/>
            <w:vMerge w:val="restart"/>
            <w:vAlign w:val="center"/>
          </w:tcPr>
          <w:p w14:paraId="79C9FE0E">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6BBEAE2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14:paraId="1FA69C6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14:paraId="356BC12C">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14:paraId="33108C71">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14:paraId="2D5C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54943C9B">
            <w:pPr>
              <w:spacing w:line="320" w:lineRule="exact"/>
              <w:jc w:val="center"/>
              <w:rPr>
                <w:color w:val="000000"/>
                <w:kern w:val="0"/>
                <w:sz w:val="18"/>
                <w:szCs w:val="18"/>
              </w:rPr>
            </w:pPr>
          </w:p>
        </w:tc>
        <w:tc>
          <w:tcPr>
            <w:tcW w:w="6140" w:type="dxa"/>
            <w:gridSpan w:val="2"/>
            <w:vAlign w:val="center"/>
          </w:tcPr>
          <w:p w14:paraId="458A4914">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continue"/>
            <w:vAlign w:val="center"/>
          </w:tcPr>
          <w:p w14:paraId="32550948">
            <w:pPr>
              <w:spacing w:line="320" w:lineRule="exact"/>
              <w:jc w:val="center"/>
              <w:rPr>
                <w:color w:val="000000"/>
                <w:kern w:val="0"/>
                <w:sz w:val="18"/>
                <w:szCs w:val="18"/>
              </w:rPr>
            </w:pPr>
          </w:p>
        </w:tc>
        <w:tc>
          <w:tcPr>
            <w:tcW w:w="5884" w:type="dxa"/>
            <w:vAlign w:val="center"/>
          </w:tcPr>
          <w:p w14:paraId="1914144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14:paraId="71CA80B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31A0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3C37426D">
            <w:pPr>
              <w:spacing w:line="320" w:lineRule="exact"/>
              <w:jc w:val="center"/>
              <w:rPr>
                <w:color w:val="000000"/>
                <w:kern w:val="0"/>
                <w:sz w:val="18"/>
                <w:szCs w:val="18"/>
              </w:rPr>
            </w:pPr>
          </w:p>
        </w:tc>
        <w:tc>
          <w:tcPr>
            <w:tcW w:w="6140" w:type="dxa"/>
            <w:gridSpan w:val="2"/>
            <w:vAlign w:val="center"/>
          </w:tcPr>
          <w:p w14:paraId="61B4F7B4">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continue"/>
            <w:vAlign w:val="center"/>
          </w:tcPr>
          <w:p w14:paraId="63CD654C">
            <w:pPr>
              <w:spacing w:line="320" w:lineRule="exact"/>
              <w:jc w:val="center"/>
              <w:rPr>
                <w:color w:val="000000"/>
                <w:kern w:val="0"/>
                <w:sz w:val="18"/>
                <w:szCs w:val="18"/>
              </w:rPr>
            </w:pPr>
          </w:p>
        </w:tc>
        <w:tc>
          <w:tcPr>
            <w:tcW w:w="5884" w:type="dxa"/>
            <w:vAlign w:val="center"/>
          </w:tcPr>
          <w:p w14:paraId="195325E3">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14:paraId="2733B511">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6CF0B916"/>
    <w:p w14:paraId="6786ACA0"/>
    <w:p w14:paraId="5F11647F"/>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84"/>
        <w:gridCol w:w="12"/>
      </w:tblGrid>
      <w:tr w14:paraId="5AE0AC44">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7976D89F">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color="auto" w:sz="8" w:space="0"/>
              <w:left w:val="nil"/>
              <w:bottom w:val="single" w:color="auto" w:sz="4" w:space="0"/>
              <w:right w:val="single" w:color="000000" w:sz="8" w:space="0"/>
            </w:tcBorders>
            <w:vAlign w:val="center"/>
          </w:tcPr>
          <w:p w14:paraId="52CC2B5D">
            <w:pPr>
              <w:spacing w:line="320" w:lineRule="exact"/>
              <w:jc w:val="left"/>
              <w:rPr>
                <w:rFonts w:eastAsia="仿宋_GB2312"/>
                <w:b/>
                <w:bCs/>
                <w:color w:val="000000"/>
                <w:kern w:val="0"/>
                <w:sz w:val="18"/>
                <w:szCs w:val="18"/>
              </w:rPr>
            </w:pPr>
            <w:r>
              <w:rPr>
                <w:rFonts w:eastAsia="仿宋_GB2312"/>
                <w:b/>
                <w:bCs/>
                <w:color w:val="000000"/>
                <w:kern w:val="0"/>
                <w:sz w:val="18"/>
                <w:szCs w:val="18"/>
              </w:rPr>
              <w:t>320217461000</w:t>
            </w:r>
          </w:p>
        </w:tc>
      </w:tr>
      <w:tr w14:paraId="46095DF6">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463F4AD9">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color="auto" w:sz="4" w:space="0"/>
              <w:left w:val="nil"/>
              <w:bottom w:val="single" w:color="auto" w:sz="4" w:space="0"/>
              <w:right w:val="single" w:color="000000" w:sz="8" w:space="0"/>
            </w:tcBorders>
            <w:vAlign w:val="center"/>
          </w:tcPr>
          <w:p w14:paraId="2D73333D">
            <w:pPr>
              <w:spacing w:line="320" w:lineRule="exact"/>
              <w:jc w:val="left"/>
              <w:rPr>
                <w:color w:val="000000"/>
                <w:kern w:val="0"/>
                <w:sz w:val="18"/>
                <w:szCs w:val="18"/>
              </w:rPr>
            </w:pPr>
            <w:r>
              <w:rPr>
                <w:rFonts w:hint="eastAsia"/>
                <w:color w:val="000000"/>
                <w:kern w:val="0"/>
                <w:sz w:val="18"/>
                <w:szCs w:val="18"/>
              </w:rPr>
              <w:t>对燃气用户及相关单位和个人改变燃气用途或者转供燃气的处罚</w:t>
            </w:r>
          </w:p>
        </w:tc>
      </w:tr>
      <w:tr w14:paraId="2E5291E8">
        <w:tblPrEx>
          <w:tblCellMar>
            <w:top w:w="0" w:type="dxa"/>
            <w:left w:w="108" w:type="dxa"/>
            <w:bottom w:w="0" w:type="dxa"/>
            <w:right w:w="108" w:type="dxa"/>
          </w:tblCellMar>
        </w:tblPrEx>
        <w:trPr>
          <w:trHeight w:val="1515" w:hRule="atLeast"/>
        </w:trPr>
        <w:tc>
          <w:tcPr>
            <w:tcW w:w="996" w:type="dxa"/>
            <w:gridSpan w:val="2"/>
            <w:tcBorders>
              <w:top w:val="nil"/>
              <w:left w:val="single" w:color="auto" w:sz="8" w:space="0"/>
              <w:bottom w:val="single" w:color="auto" w:sz="4" w:space="0"/>
              <w:right w:val="single" w:color="auto" w:sz="4" w:space="0"/>
            </w:tcBorders>
            <w:vAlign w:val="center"/>
          </w:tcPr>
          <w:p w14:paraId="46BD9D61">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color="auto" w:sz="4" w:space="0"/>
              <w:left w:val="nil"/>
              <w:bottom w:val="single" w:color="auto" w:sz="4" w:space="0"/>
              <w:right w:val="single" w:color="000000" w:sz="8" w:space="0"/>
            </w:tcBorders>
            <w:vAlign w:val="center"/>
          </w:tcPr>
          <w:p w14:paraId="067938FC">
            <w:pPr>
              <w:spacing w:line="320" w:lineRule="exact"/>
              <w:jc w:val="left"/>
              <w:rPr>
                <w:color w:val="000000"/>
                <w:kern w:val="0"/>
                <w:sz w:val="18"/>
                <w:szCs w:val="18"/>
              </w:rPr>
            </w:pPr>
            <w:r>
              <w:rPr>
                <w:rFonts w:hint="eastAsia"/>
                <w:color w:val="000000"/>
                <w:kern w:val="0"/>
                <w:sz w:val="18"/>
                <w:szCs w:val="18"/>
              </w:rPr>
              <w:t>【行政法规】《城镇燃气管理条例》（国务院令第583号）</w:t>
            </w:r>
          </w:p>
          <w:p w14:paraId="1D5F6103">
            <w:pPr>
              <w:spacing w:line="320" w:lineRule="exact"/>
              <w:jc w:val="left"/>
              <w:rPr>
                <w:color w:val="000000"/>
                <w:kern w:val="0"/>
                <w:sz w:val="18"/>
                <w:szCs w:val="18"/>
              </w:rPr>
            </w:pPr>
            <w:r>
              <w:rPr>
                <w:rFonts w:hint="eastAsia"/>
                <w:color w:val="000000"/>
                <w:kern w:val="0"/>
                <w:sz w:val="18"/>
                <w:szCs w:val="18"/>
              </w:rPr>
              <w:t xml:space="preserve">    第二十八条 燃气用户及相关单位和个人不得有下列行为： </w:t>
            </w:r>
          </w:p>
          <w:p w14:paraId="094D1EB1">
            <w:pPr>
              <w:spacing w:line="320" w:lineRule="exact"/>
              <w:jc w:val="left"/>
              <w:rPr>
                <w:color w:val="000000"/>
                <w:kern w:val="0"/>
                <w:sz w:val="18"/>
                <w:szCs w:val="18"/>
              </w:rPr>
            </w:pPr>
            <w:r>
              <w:rPr>
                <w:rFonts w:hint="eastAsia"/>
                <w:color w:val="000000"/>
                <w:kern w:val="0"/>
                <w:sz w:val="18"/>
                <w:szCs w:val="18"/>
              </w:rPr>
              <w:t xml:space="preserve">   （七）改变燃气用途或者转供燃气。</w:t>
            </w:r>
          </w:p>
          <w:p w14:paraId="3B5CCDCB">
            <w:pPr>
              <w:spacing w:line="320" w:lineRule="exact"/>
              <w:jc w:val="left"/>
              <w:rPr>
                <w:color w:val="000000"/>
                <w:kern w:val="0"/>
                <w:sz w:val="18"/>
                <w:szCs w:val="18"/>
              </w:rPr>
            </w:pPr>
            <w:r>
              <w:rPr>
                <w:rFonts w:hint="eastAsia"/>
                <w:color w:val="000000"/>
                <w:kern w:val="0"/>
                <w:sz w:val="18"/>
                <w:szCs w:val="18"/>
              </w:rPr>
              <w:t xml:space="preserve">    第四十九条第一款  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 </w:t>
            </w:r>
          </w:p>
          <w:p w14:paraId="62C73958">
            <w:pPr>
              <w:spacing w:line="320" w:lineRule="exact"/>
              <w:jc w:val="left"/>
              <w:rPr>
                <w:color w:val="000000"/>
                <w:kern w:val="0"/>
                <w:sz w:val="18"/>
                <w:szCs w:val="18"/>
              </w:rPr>
            </w:pPr>
            <w:r>
              <w:rPr>
                <w:rFonts w:hint="eastAsia"/>
                <w:color w:val="000000"/>
                <w:kern w:val="0"/>
                <w:sz w:val="18"/>
                <w:szCs w:val="18"/>
              </w:rPr>
              <w:t xml:space="preserve">   （六）改变燃气用途或者转供燃气的。</w:t>
            </w:r>
          </w:p>
          <w:p w14:paraId="550C06CC">
            <w:pPr>
              <w:spacing w:line="320" w:lineRule="exact"/>
              <w:jc w:val="left"/>
              <w:rPr>
                <w:color w:val="000000"/>
                <w:kern w:val="0"/>
                <w:sz w:val="18"/>
                <w:szCs w:val="18"/>
              </w:rPr>
            </w:pPr>
            <w:r>
              <w:rPr>
                <w:rFonts w:hint="eastAsia"/>
                <w:color w:val="000000"/>
                <w:kern w:val="0"/>
                <w:sz w:val="18"/>
                <w:szCs w:val="18"/>
              </w:rPr>
              <w:t xml:space="preserve">【地方性法规】《江苏省燃气管理条例》  </w:t>
            </w:r>
          </w:p>
          <w:p w14:paraId="67DD6C16">
            <w:pPr>
              <w:spacing w:line="320" w:lineRule="exact"/>
              <w:jc w:val="left"/>
              <w:rPr>
                <w:color w:val="000000"/>
                <w:kern w:val="0"/>
                <w:sz w:val="18"/>
                <w:szCs w:val="18"/>
              </w:rPr>
            </w:pPr>
            <w:r>
              <w:rPr>
                <w:rFonts w:hint="eastAsia"/>
                <w:color w:val="000000"/>
                <w:kern w:val="0"/>
                <w:sz w:val="18"/>
                <w:szCs w:val="18"/>
              </w:rPr>
              <w:t xml:space="preserve">    第三十七条  用户及相关单位和个人不得有下列行为：</w:t>
            </w:r>
          </w:p>
          <w:p w14:paraId="72500059">
            <w:pPr>
              <w:spacing w:line="320" w:lineRule="exact"/>
              <w:jc w:val="left"/>
              <w:rPr>
                <w:color w:val="000000"/>
                <w:kern w:val="0"/>
                <w:sz w:val="18"/>
                <w:szCs w:val="18"/>
              </w:rPr>
            </w:pPr>
            <w:r>
              <w:rPr>
                <w:rFonts w:hint="eastAsia"/>
                <w:color w:val="000000"/>
                <w:kern w:val="0"/>
                <w:sz w:val="18"/>
                <w:szCs w:val="18"/>
              </w:rPr>
              <w:t>　（六）改变燃气用途或者转供燃气；</w:t>
            </w:r>
          </w:p>
          <w:p w14:paraId="1500F7D5">
            <w:pPr>
              <w:spacing w:line="320" w:lineRule="exact"/>
              <w:jc w:val="left"/>
              <w:rPr>
                <w:color w:val="000000"/>
                <w:kern w:val="0"/>
                <w:sz w:val="18"/>
                <w:szCs w:val="18"/>
              </w:rPr>
            </w:pPr>
            <w:r>
              <w:rPr>
                <w:rFonts w:hint="eastAsia"/>
                <w:color w:val="000000"/>
                <w:kern w:val="0"/>
                <w:sz w:val="18"/>
                <w:szCs w:val="18"/>
              </w:rPr>
              <w:t xml:space="preserve">   第六十三条  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14:paraId="1AC6453B">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6DBD14A8">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color="auto" w:sz="4" w:space="0"/>
              <w:left w:val="nil"/>
              <w:bottom w:val="single" w:color="auto" w:sz="4" w:space="0"/>
              <w:right w:val="single" w:color="000000" w:sz="8" w:space="0"/>
            </w:tcBorders>
            <w:vAlign w:val="center"/>
          </w:tcPr>
          <w:p w14:paraId="3908C391">
            <w:pPr>
              <w:spacing w:line="320" w:lineRule="exact"/>
              <w:jc w:val="left"/>
              <w:rPr>
                <w:color w:val="000000"/>
                <w:kern w:val="0"/>
                <w:sz w:val="18"/>
                <w:szCs w:val="18"/>
              </w:rPr>
            </w:pPr>
            <w:r>
              <w:rPr>
                <w:rFonts w:hint="eastAsia"/>
                <w:color w:val="000000"/>
                <w:kern w:val="0"/>
                <w:sz w:val="18"/>
                <w:szCs w:val="18"/>
              </w:rPr>
              <w:t>责令限期改正，罚款</w:t>
            </w:r>
          </w:p>
        </w:tc>
      </w:tr>
      <w:tr w14:paraId="22638E1F">
        <w:tblPrEx>
          <w:tblCellMar>
            <w:top w:w="0" w:type="dxa"/>
            <w:left w:w="108" w:type="dxa"/>
            <w:bottom w:w="0" w:type="dxa"/>
            <w:right w:w="108" w:type="dxa"/>
          </w:tblCellMar>
        </w:tblPrEx>
        <w:trPr>
          <w:trHeight w:val="285" w:hRule="atLeast"/>
        </w:trPr>
        <w:tc>
          <w:tcPr>
            <w:tcW w:w="14016" w:type="dxa"/>
            <w:gridSpan w:val="6"/>
            <w:tcBorders>
              <w:top w:val="single" w:color="auto" w:sz="4" w:space="0"/>
              <w:left w:val="single" w:color="auto" w:sz="8" w:space="0"/>
              <w:bottom w:val="single" w:color="auto" w:sz="4" w:space="0"/>
              <w:right w:val="single" w:color="000000" w:sz="8" w:space="0"/>
            </w:tcBorders>
            <w:vAlign w:val="center"/>
          </w:tcPr>
          <w:p w14:paraId="5A103B9D">
            <w:pPr>
              <w:spacing w:line="320" w:lineRule="exact"/>
              <w:jc w:val="center"/>
              <w:rPr>
                <w:color w:val="000000"/>
                <w:kern w:val="0"/>
                <w:sz w:val="18"/>
                <w:szCs w:val="18"/>
              </w:rPr>
            </w:pPr>
            <w:r>
              <w:rPr>
                <w:rFonts w:hint="eastAsia"/>
                <w:color w:val="000000"/>
                <w:kern w:val="0"/>
                <w:sz w:val="18"/>
                <w:szCs w:val="18"/>
              </w:rPr>
              <w:t>裁量基准</w:t>
            </w:r>
          </w:p>
        </w:tc>
      </w:tr>
      <w:tr w14:paraId="4F17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5" w:hRule="atLeast"/>
        </w:trPr>
        <w:tc>
          <w:tcPr>
            <w:tcW w:w="980" w:type="dxa"/>
            <w:vMerge w:val="restart"/>
            <w:vAlign w:val="center"/>
          </w:tcPr>
          <w:p w14:paraId="1AC5DBE7">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6E65421F">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14:paraId="30508712">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14:paraId="49CC9C5C">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14:paraId="183A982E">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14:paraId="2136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72E37BBB">
            <w:pPr>
              <w:spacing w:line="320" w:lineRule="exact"/>
              <w:jc w:val="center"/>
              <w:rPr>
                <w:color w:val="000000"/>
                <w:kern w:val="0"/>
                <w:sz w:val="18"/>
                <w:szCs w:val="18"/>
              </w:rPr>
            </w:pPr>
          </w:p>
        </w:tc>
        <w:tc>
          <w:tcPr>
            <w:tcW w:w="6140" w:type="dxa"/>
            <w:gridSpan w:val="2"/>
            <w:vAlign w:val="center"/>
          </w:tcPr>
          <w:p w14:paraId="0A61603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continue"/>
            <w:vAlign w:val="center"/>
          </w:tcPr>
          <w:p w14:paraId="63ED43E2">
            <w:pPr>
              <w:spacing w:line="320" w:lineRule="exact"/>
              <w:jc w:val="center"/>
              <w:rPr>
                <w:color w:val="000000"/>
                <w:kern w:val="0"/>
                <w:sz w:val="18"/>
                <w:szCs w:val="18"/>
              </w:rPr>
            </w:pPr>
          </w:p>
        </w:tc>
        <w:tc>
          <w:tcPr>
            <w:tcW w:w="5884" w:type="dxa"/>
            <w:vAlign w:val="center"/>
          </w:tcPr>
          <w:p w14:paraId="533D89AF">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14:paraId="216614E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3B8B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550A4DDA">
            <w:pPr>
              <w:spacing w:line="320" w:lineRule="exact"/>
              <w:jc w:val="center"/>
              <w:rPr>
                <w:color w:val="000000"/>
                <w:kern w:val="0"/>
                <w:sz w:val="18"/>
                <w:szCs w:val="18"/>
              </w:rPr>
            </w:pPr>
          </w:p>
        </w:tc>
        <w:tc>
          <w:tcPr>
            <w:tcW w:w="6140" w:type="dxa"/>
            <w:gridSpan w:val="2"/>
            <w:vAlign w:val="center"/>
          </w:tcPr>
          <w:p w14:paraId="3C318BAC">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continue"/>
            <w:vAlign w:val="center"/>
          </w:tcPr>
          <w:p w14:paraId="015FB48B">
            <w:pPr>
              <w:spacing w:line="320" w:lineRule="exact"/>
              <w:jc w:val="center"/>
              <w:rPr>
                <w:color w:val="000000"/>
                <w:kern w:val="0"/>
                <w:sz w:val="18"/>
                <w:szCs w:val="18"/>
              </w:rPr>
            </w:pPr>
          </w:p>
        </w:tc>
        <w:tc>
          <w:tcPr>
            <w:tcW w:w="5884" w:type="dxa"/>
            <w:vAlign w:val="center"/>
          </w:tcPr>
          <w:p w14:paraId="2A94FC94">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14:paraId="24A6DA7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4BD61E46"/>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1F9C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A6E2989">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12B17251">
            <w:pPr>
              <w:spacing w:line="320" w:lineRule="exact"/>
              <w:jc w:val="left"/>
              <w:rPr>
                <w:rFonts w:eastAsia="仿宋_GB2312"/>
                <w:b/>
                <w:bCs/>
                <w:color w:val="000000"/>
                <w:kern w:val="0"/>
                <w:sz w:val="18"/>
                <w:szCs w:val="18"/>
              </w:rPr>
            </w:pPr>
            <w:r>
              <w:rPr>
                <w:rFonts w:eastAsia="仿宋_GB2312"/>
                <w:b/>
                <w:bCs/>
                <w:color w:val="000000"/>
                <w:kern w:val="0"/>
                <w:sz w:val="18"/>
                <w:szCs w:val="18"/>
              </w:rPr>
              <w:t>320217467000</w:t>
            </w:r>
          </w:p>
        </w:tc>
      </w:tr>
      <w:tr w14:paraId="2391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054B7FF">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1F4C8971">
            <w:pPr>
              <w:spacing w:line="320" w:lineRule="exact"/>
              <w:jc w:val="left"/>
              <w:rPr>
                <w:color w:val="000000"/>
                <w:kern w:val="0"/>
                <w:sz w:val="18"/>
                <w:szCs w:val="18"/>
              </w:rPr>
            </w:pPr>
            <w:r>
              <w:rPr>
                <w:rFonts w:hint="eastAsia"/>
                <w:color w:val="000000"/>
                <w:kern w:val="0"/>
                <w:sz w:val="18"/>
                <w:szCs w:val="18"/>
              </w:rPr>
              <w:t>对特种设备使用单位使用未取得许可生产，未经检验或者检验不合格的特种设备，或者国家明令淘汰、已经报废的特种设备的；特种设备出现故障或者发生异常情况，未对其进行全面检查、消除事故隐患，继续使用的；特种设备存在严重事故隐患，无改造、修理价值，或者达到安全技术规范规定的其他报废条件，未依法履行报废义务，并办理使用登记证书注销手续的处罚</w:t>
            </w:r>
          </w:p>
        </w:tc>
      </w:tr>
      <w:tr w14:paraId="2A75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6CBAA056">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60450406">
            <w:pPr>
              <w:spacing w:line="260" w:lineRule="exact"/>
              <w:jc w:val="left"/>
              <w:rPr>
                <w:color w:val="000000"/>
                <w:kern w:val="0"/>
                <w:sz w:val="18"/>
                <w:szCs w:val="18"/>
              </w:rPr>
            </w:pPr>
            <w:r>
              <w:rPr>
                <w:rFonts w:hint="eastAsia"/>
                <w:color w:val="000000"/>
                <w:kern w:val="0"/>
                <w:sz w:val="18"/>
                <w:szCs w:val="18"/>
              </w:rPr>
              <w:t>【法律】《中华人民共和国特种设备安全法》</w:t>
            </w:r>
          </w:p>
          <w:p w14:paraId="5EDCDB16">
            <w:pPr>
              <w:spacing w:line="26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特种设备使用单位应当使用取得许可生产并经检验合格的特种设备。</w:t>
            </w:r>
          </w:p>
          <w:p w14:paraId="2D3975A9">
            <w:pPr>
              <w:spacing w:line="260" w:lineRule="exact"/>
              <w:jc w:val="left"/>
              <w:rPr>
                <w:color w:val="000000"/>
                <w:kern w:val="0"/>
                <w:sz w:val="18"/>
                <w:szCs w:val="18"/>
              </w:rPr>
            </w:pPr>
            <w:r>
              <w:rPr>
                <w:rFonts w:hint="eastAsia"/>
                <w:color w:val="000000"/>
                <w:kern w:val="0"/>
                <w:sz w:val="18"/>
                <w:szCs w:val="18"/>
              </w:rPr>
              <w:t>禁止使用国家明令淘汰和已经报废的特种设备。</w:t>
            </w:r>
          </w:p>
          <w:p w14:paraId="65DF90D3">
            <w:pPr>
              <w:spacing w:line="260" w:lineRule="exact"/>
              <w:jc w:val="left"/>
              <w:rPr>
                <w:color w:val="000000"/>
                <w:kern w:val="0"/>
                <w:sz w:val="18"/>
                <w:szCs w:val="18"/>
              </w:rPr>
            </w:pPr>
            <w:r>
              <w:rPr>
                <w:rFonts w:hint="eastAsia"/>
                <w:color w:val="000000"/>
                <w:kern w:val="0"/>
                <w:sz w:val="18"/>
                <w:szCs w:val="18"/>
              </w:rPr>
              <w:t>第四十一条</w:t>
            </w:r>
            <w:r>
              <w:rPr>
                <w:color w:val="000000"/>
                <w:kern w:val="0"/>
                <w:sz w:val="18"/>
                <w:szCs w:val="18"/>
              </w:rPr>
              <w:t xml:space="preserve"> </w:t>
            </w:r>
            <w:r>
              <w:rPr>
                <w:rFonts w:hint="eastAsia"/>
                <w:color w:val="000000"/>
                <w:kern w:val="0"/>
                <w:sz w:val="18"/>
                <w:szCs w:val="18"/>
              </w:rPr>
              <w:t>特种设备安全管理人员应当对特种设备使用状况进行经常性检查，发现问题应当立即处理；情况紧急时，可以决定停止使用特种设备并及时报告本单位有关负责人。</w:t>
            </w:r>
          </w:p>
          <w:p w14:paraId="6B4323A0">
            <w:pPr>
              <w:spacing w:line="260" w:lineRule="exact"/>
              <w:jc w:val="left"/>
              <w:rPr>
                <w:color w:val="000000"/>
                <w:kern w:val="0"/>
                <w:sz w:val="18"/>
                <w:szCs w:val="18"/>
              </w:rPr>
            </w:pPr>
            <w:r>
              <w:rPr>
                <w:rFonts w:hint="eastAsia"/>
                <w:color w:val="000000"/>
                <w:kern w:val="0"/>
                <w:sz w:val="18"/>
                <w:szCs w:val="18"/>
              </w:rPr>
              <w:t>特种设备作业人员在作业过程中发现事故隐患或者其他不安全因素，应当立即向特种设备安全管理人员和单位有关负责人报告；特种设备运行不正常时，特种设备作业人员应当按照操作规程采取有效措施保证安全。</w:t>
            </w:r>
          </w:p>
          <w:p w14:paraId="6CB7C81D">
            <w:pPr>
              <w:spacing w:line="260" w:lineRule="exact"/>
              <w:jc w:val="left"/>
              <w:rPr>
                <w:color w:val="000000"/>
                <w:kern w:val="0"/>
                <w:sz w:val="18"/>
                <w:szCs w:val="18"/>
              </w:rPr>
            </w:pPr>
            <w:r>
              <w:rPr>
                <w:rFonts w:hint="eastAsia"/>
                <w:color w:val="000000"/>
                <w:kern w:val="0"/>
                <w:sz w:val="18"/>
                <w:szCs w:val="18"/>
              </w:rPr>
              <w:t>第四十八条</w:t>
            </w:r>
            <w:r>
              <w:rPr>
                <w:color w:val="000000"/>
                <w:kern w:val="0"/>
                <w:sz w:val="18"/>
                <w:szCs w:val="18"/>
              </w:rPr>
              <w:t xml:space="preserve"> </w:t>
            </w:r>
            <w:r>
              <w:rPr>
                <w:rFonts w:hint="eastAsia"/>
                <w:color w:val="000000"/>
                <w:kern w:val="0"/>
                <w:sz w:val="18"/>
                <w:szCs w:val="18"/>
              </w:rPr>
              <w:t>特种设备存在严重事故隐患，无改造、修理价值，或者达到安全技术规范规定的其他报废条件的，特种设备使用单位应当依法履行报废义务，采取必要措施消除该特种设备的使用功能，并向原登记的负责特种设备安全监督管理的部门办理使用登记证书注销手续。</w:t>
            </w:r>
          </w:p>
          <w:p w14:paraId="0C14B7DD">
            <w:pPr>
              <w:spacing w:line="26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特种设备出现故障或者发生异常情况，特种设备使用单位应当对其进行全面检查，消除事故隐患，方可继续使用。第八十四条</w:t>
            </w:r>
            <w:r>
              <w:rPr>
                <w:color w:val="000000"/>
                <w:kern w:val="0"/>
                <w:sz w:val="18"/>
                <w:szCs w:val="18"/>
              </w:rPr>
              <w:t xml:space="preserve"> </w:t>
            </w:r>
            <w:r>
              <w:rPr>
                <w:rFonts w:hint="eastAsia"/>
                <w:color w:val="000000"/>
                <w:kern w:val="0"/>
                <w:sz w:val="18"/>
                <w:szCs w:val="18"/>
              </w:rPr>
              <w:t>违反本法规定，特种设备使用单位有下列行为之一的，责令停止使用有关特种设备，处三万元以上三十万元以下罚款：</w:t>
            </w:r>
          </w:p>
          <w:p w14:paraId="33E36D94">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（一）使用未取得许可生产，未经检验或者检验不合格的特种设备，或者国家明令淘汰、已经报废的特种设备的；</w:t>
            </w:r>
          </w:p>
          <w:p w14:paraId="4093D8C6">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（二）特种设备出现故障或者发生异常情况，未对其进行全面检查、消除事故隐患，继续使用的；</w:t>
            </w:r>
          </w:p>
          <w:p w14:paraId="43D0095C">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（三）特种设备存在严重事故隐患，无改造、修理价值，或者达到安全技术规范规定的其他报废条件，未依法履行报废义务，并办理使用登记证书注销手续的。</w:t>
            </w:r>
          </w:p>
        </w:tc>
      </w:tr>
      <w:tr w14:paraId="562A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F89AAEE">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70B0F33B">
            <w:pPr>
              <w:spacing w:line="320" w:lineRule="exact"/>
              <w:jc w:val="left"/>
              <w:rPr>
                <w:color w:val="000000"/>
                <w:kern w:val="0"/>
                <w:sz w:val="18"/>
                <w:szCs w:val="18"/>
              </w:rPr>
            </w:pPr>
            <w:r>
              <w:rPr>
                <w:rFonts w:hint="eastAsia"/>
                <w:color w:val="000000"/>
                <w:kern w:val="0"/>
                <w:sz w:val="18"/>
                <w:szCs w:val="18"/>
              </w:rPr>
              <w:t>罚款</w:t>
            </w:r>
          </w:p>
        </w:tc>
      </w:tr>
      <w:tr w14:paraId="3972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055AF51B">
            <w:pPr>
              <w:spacing w:line="320" w:lineRule="exact"/>
              <w:jc w:val="center"/>
              <w:rPr>
                <w:color w:val="000000"/>
                <w:kern w:val="0"/>
                <w:sz w:val="18"/>
                <w:szCs w:val="18"/>
              </w:rPr>
            </w:pPr>
            <w:r>
              <w:rPr>
                <w:rFonts w:hint="eastAsia"/>
                <w:color w:val="000000"/>
                <w:kern w:val="0"/>
                <w:sz w:val="18"/>
                <w:szCs w:val="18"/>
              </w:rPr>
              <w:t>裁量基准</w:t>
            </w:r>
          </w:p>
        </w:tc>
      </w:tr>
      <w:tr w14:paraId="6D98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46C51913">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19FA6B56">
            <w:pPr>
              <w:spacing w:line="320" w:lineRule="exact"/>
              <w:jc w:val="left"/>
              <w:rPr>
                <w:color w:val="000000"/>
                <w:kern w:val="0"/>
                <w:sz w:val="18"/>
                <w:szCs w:val="18"/>
              </w:rPr>
            </w:pPr>
            <w:r>
              <w:rPr>
                <w:rFonts w:hint="eastAsia"/>
                <w:color w:val="000000"/>
                <w:kern w:val="0"/>
                <w:sz w:val="18"/>
                <w:szCs w:val="18"/>
              </w:rPr>
              <w:t>未发生安全事故</w:t>
            </w:r>
          </w:p>
        </w:tc>
        <w:tc>
          <w:tcPr>
            <w:tcW w:w="1080" w:type="dxa"/>
            <w:vMerge w:val="restart"/>
            <w:vAlign w:val="center"/>
          </w:tcPr>
          <w:p w14:paraId="6A35405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A14C4C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5554A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54E8F6B5">
            <w:pPr>
              <w:spacing w:line="320" w:lineRule="exact"/>
              <w:jc w:val="center"/>
              <w:rPr>
                <w:color w:val="000000"/>
                <w:kern w:val="0"/>
                <w:sz w:val="18"/>
                <w:szCs w:val="18"/>
              </w:rPr>
            </w:pPr>
          </w:p>
        </w:tc>
        <w:tc>
          <w:tcPr>
            <w:tcW w:w="6140" w:type="dxa"/>
            <w:vAlign w:val="center"/>
          </w:tcPr>
          <w:p w14:paraId="00AC548F">
            <w:pPr>
              <w:spacing w:line="320" w:lineRule="exact"/>
              <w:jc w:val="left"/>
              <w:rPr>
                <w:color w:val="000000"/>
                <w:kern w:val="0"/>
                <w:sz w:val="18"/>
                <w:szCs w:val="18"/>
              </w:rPr>
            </w:pPr>
            <w:r>
              <w:rPr>
                <w:rFonts w:hint="eastAsia"/>
                <w:color w:val="000000"/>
                <w:kern w:val="0"/>
                <w:sz w:val="18"/>
                <w:szCs w:val="18"/>
              </w:rPr>
              <w:t>发生一般安全事故</w:t>
            </w:r>
          </w:p>
        </w:tc>
        <w:tc>
          <w:tcPr>
            <w:tcW w:w="1080" w:type="dxa"/>
            <w:vMerge w:val="continue"/>
            <w:vAlign w:val="center"/>
          </w:tcPr>
          <w:p w14:paraId="0081B3F5">
            <w:pPr>
              <w:spacing w:line="320" w:lineRule="exact"/>
              <w:jc w:val="center"/>
              <w:rPr>
                <w:color w:val="000000"/>
                <w:kern w:val="0"/>
                <w:sz w:val="18"/>
                <w:szCs w:val="18"/>
              </w:rPr>
            </w:pPr>
          </w:p>
        </w:tc>
        <w:tc>
          <w:tcPr>
            <w:tcW w:w="5820" w:type="dxa"/>
            <w:vAlign w:val="center"/>
          </w:tcPr>
          <w:p w14:paraId="7B37BD9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58433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479898B1">
            <w:pPr>
              <w:spacing w:line="320" w:lineRule="exact"/>
              <w:jc w:val="center"/>
              <w:rPr>
                <w:color w:val="000000"/>
                <w:kern w:val="0"/>
                <w:sz w:val="18"/>
                <w:szCs w:val="18"/>
              </w:rPr>
            </w:pPr>
          </w:p>
        </w:tc>
        <w:tc>
          <w:tcPr>
            <w:tcW w:w="6140" w:type="dxa"/>
            <w:vAlign w:val="center"/>
          </w:tcPr>
          <w:p w14:paraId="06D9FCC2">
            <w:pPr>
              <w:spacing w:line="320" w:lineRule="exact"/>
              <w:jc w:val="left"/>
              <w:rPr>
                <w:color w:val="000000"/>
                <w:kern w:val="0"/>
                <w:sz w:val="18"/>
                <w:szCs w:val="18"/>
              </w:rPr>
            </w:pPr>
            <w:r>
              <w:rPr>
                <w:rFonts w:hint="eastAsia"/>
                <w:color w:val="000000"/>
                <w:kern w:val="0"/>
                <w:sz w:val="18"/>
                <w:szCs w:val="18"/>
              </w:rPr>
              <w:t>发生较大安全事故</w:t>
            </w:r>
          </w:p>
        </w:tc>
        <w:tc>
          <w:tcPr>
            <w:tcW w:w="1080" w:type="dxa"/>
            <w:vMerge w:val="continue"/>
            <w:vAlign w:val="center"/>
          </w:tcPr>
          <w:p w14:paraId="6CFF8E23">
            <w:pPr>
              <w:spacing w:line="320" w:lineRule="exact"/>
              <w:jc w:val="center"/>
              <w:rPr>
                <w:color w:val="000000"/>
                <w:kern w:val="0"/>
                <w:sz w:val="18"/>
                <w:szCs w:val="18"/>
              </w:rPr>
            </w:pPr>
          </w:p>
        </w:tc>
        <w:tc>
          <w:tcPr>
            <w:tcW w:w="5820" w:type="dxa"/>
            <w:vAlign w:val="center"/>
          </w:tcPr>
          <w:p w14:paraId="3E032B0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4D00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EB233BD">
            <w:pPr>
              <w:spacing w:line="320" w:lineRule="exact"/>
              <w:jc w:val="center"/>
              <w:rPr>
                <w:color w:val="000000"/>
                <w:kern w:val="0"/>
                <w:sz w:val="18"/>
                <w:szCs w:val="18"/>
              </w:rPr>
            </w:pPr>
          </w:p>
        </w:tc>
        <w:tc>
          <w:tcPr>
            <w:tcW w:w="6140" w:type="dxa"/>
            <w:vAlign w:val="center"/>
          </w:tcPr>
          <w:p w14:paraId="0B1F9B61">
            <w:pPr>
              <w:spacing w:line="320" w:lineRule="exact"/>
              <w:jc w:val="left"/>
              <w:rPr>
                <w:color w:val="000000"/>
                <w:kern w:val="0"/>
                <w:sz w:val="18"/>
                <w:szCs w:val="18"/>
              </w:rPr>
            </w:pPr>
            <w:r>
              <w:rPr>
                <w:rFonts w:hint="eastAsia"/>
                <w:color w:val="000000"/>
                <w:kern w:val="0"/>
                <w:sz w:val="18"/>
                <w:szCs w:val="18"/>
              </w:rPr>
              <w:t>发生重大安全事故的</w:t>
            </w:r>
          </w:p>
        </w:tc>
        <w:tc>
          <w:tcPr>
            <w:tcW w:w="1080" w:type="dxa"/>
            <w:vMerge w:val="continue"/>
            <w:vAlign w:val="center"/>
          </w:tcPr>
          <w:p w14:paraId="4B7988B6">
            <w:pPr>
              <w:spacing w:line="320" w:lineRule="exact"/>
              <w:jc w:val="center"/>
              <w:rPr>
                <w:color w:val="000000"/>
                <w:kern w:val="0"/>
                <w:sz w:val="18"/>
                <w:szCs w:val="18"/>
              </w:rPr>
            </w:pPr>
          </w:p>
        </w:tc>
        <w:tc>
          <w:tcPr>
            <w:tcW w:w="5820" w:type="dxa"/>
            <w:vAlign w:val="center"/>
          </w:tcPr>
          <w:p w14:paraId="6E561F3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5C5A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0621154">
            <w:pPr>
              <w:spacing w:line="320" w:lineRule="exact"/>
              <w:jc w:val="center"/>
              <w:rPr>
                <w:color w:val="000000"/>
                <w:kern w:val="0"/>
                <w:sz w:val="18"/>
                <w:szCs w:val="18"/>
              </w:rPr>
            </w:pPr>
          </w:p>
        </w:tc>
        <w:tc>
          <w:tcPr>
            <w:tcW w:w="6140" w:type="dxa"/>
            <w:vAlign w:val="center"/>
          </w:tcPr>
          <w:p w14:paraId="06BD8E95">
            <w:pPr>
              <w:spacing w:line="320" w:lineRule="exact"/>
              <w:jc w:val="left"/>
              <w:rPr>
                <w:color w:val="000000"/>
                <w:kern w:val="0"/>
                <w:sz w:val="18"/>
                <w:szCs w:val="18"/>
              </w:rPr>
            </w:pPr>
            <w:r>
              <w:rPr>
                <w:rFonts w:hint="eastAsia"/>
                <w:color w:val="000000"/>
                <w:kern w:val="0"/>
                <w:sz w:val="18"/>
                <w:szCs w:val="18"/>
              </w:rPr>
              <w:t>发生特别重大安全事故的</w:t>
            </w:r>
          </w:p>
        </w:tc>
        <w:tc>
          <w:tcPr>
            <w:tcW w:w="1080" w:type="dxa"/>
            <w:vMerge w:val="continue"/>
            <w:vAlign w:val="center"/>
          </w:tcPr>
          <w:p w14:paraId="083CFDE5">
            <w:pPr>
              <w:spacing w:line="320" w:lineRule="exact"/>
              <w:jc w:val="center"/>
              <w:rPr>
                <w:color w:val="000000"/>
                <w:kern w:val="0"/>
                <w:sz w:val="18"/>
                <w:szCs w:val="18"/>
              </w:rPr>
            </w:pPr>
          </w:p>
        </w:tc>
        <w:tc>
          <w:tcPr>
            <w:tcW w:w="5820" w:type="dxa"/>
            <w:vAlign w:val="center"/>
          </w:tcPr>
          <w:p w14:paraId="043345B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万以下罚款</w:t>
            </w:r>
          </w:p>
        </w:tc>
      </w:tr>
    </w:tbl>
    <w:p w14:paraId="1186466B"/>
    <w:p w14:paraId="2C7A5898"/>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21C9804B">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60EC297D">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6632B30D">
            <w:pPr>
              <w:spacing w:line="320" w:lineRule="exact"/>
              <w:jc w:val="left"/>
              <w:rPr>
                <w:rFonts w:eastAsia="仿宋_GB2312"/>
                <w:b/>
                <w:bCs/>
                <w:color w:val="000000"/>
                <w:kern w:val="0"/>
                <w:sz w:val="18"/>
                <w:szCs w:val="18"/>
              </w:rPr>
            </w:pPr>
            <w:r>
              <w:rPr>
                <w:rFonts w:eastAsia="仿宋_GB2312"/>
                <w:b/>
                <w:bCs/>
                <w:color w:val="000000"/>
                <w:kern w:val="0"/>
                <w:sz w:val="18"/>
                <w:szCs w:val="18"/>
              </w:rPr>
              <w:t>320217469000</w:t>
            </w:r>
          </w:p>
        </w:tc>
      </w:tr>
      <w:tr w14:paraId="7D60E00C">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4D455744">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15D4FCF8">
            <w:pPr>
              <w:jc w:val="left"/>
              <w:textAlignment w:val="center"/>
              <w:rPr>
                <w:rFonts w:eastAsia="仿宋_GB2312"/>
                <w:color w:val="000000"/>
                <w:sz w:val="20"/>
              </w:rPr>
            </w:pPr>
            <w:r>
              <w:rPr>
                <w:rFonts w:hint="eastAsia" w:eastAsia="仿宋_GB2312"/>
                <w:color w:val="000000"/>
                <w:kern w:val="0"/>
                <w:sz w:val="20"/>
              </w:rPr>
              <w:t>对排水户以欺骗、贿赂等不正当手段取得排水许可的处罚</w:t>
            </w:r>
          </w:p>
        </w:tc>
      </w:tr>
      <w:tr w14:paraId="45901E2D">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7C204000">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42B28E02">
            <w:pPr>
              <w:spacing w:line="320" w:lineRule="exact"/>
              <w:jc w:val="left"/>
              <w:rPr>
                <w:color w:val="000000"/>
                <w:kern w:val="0"/>
                <w:sz w:val="18"/>
                <w:szCs w:val="18"/>
              </w:rPr>
            </w:pPr>
            <w:r>
              <w:rPr>
                <w:rFonts w:hint="eastAsia"/>
                <w:color w:val="000000"/>
                <w:kern w:val="0"/>
                <w:sz w:val="18"/>
                <w:szCs w:val="18"/>
              </w:rPr>
              <w:t xml:space="preserve">【法律】《中华人民共和国行政许可法》 </w:t>
            </w:r>
          </w:p>
          <w:p w14:paraId="24F946C7">
            <w:pPr>
              <w:spacing w:line="320" w:lineRule="exact"/>
              <w:jc w:val="left"/>
              <w:rPr>
                <w:color w:val="000000"/>
                <w:kern w:val="0"/>
                <w:sz w:val="18"/>
                <w:szCs w:val="18"/>
              </w:rPr>
            </w:pPr>
            <w:r>
              <w:rPr>
                <w:rFonts w:hint="eastAsia"/>
                <w:color w:val="000000"/>
                <w:kern w:val="0"/>
                <w:sz w:val="18"/>
                <w:szCs w:val="18"/>
              </w:rPr>
              <w:t xml:space="preserve">    第三十一条 申请人申请行政许可，应当如实向行政机关提交有关材料和反映真实情况，并对其申请材料实质内容的真实性负责。行政机关不得要求申请人提交与其申请的行政许可事项无关的技术资料和其他材料。</w:t>
            </w:r>
          </w:p>
          <w:p w14:paraId="52D38D92">
            <w:pPr>
              <w:spacing w:line="320" w:lineRule="exact"/>
              <w:jc w:val="left"/>
              <w:rPr>
                <w:color w:val="000000"/>
                <w:kern w:val="0"/>
                <w:sz w:val="18"/>
                <w:szCs w:val="18"/>
              </w:rPr>
            </w:pPr>
            <w:r>
              <w:rPr>
                <w:rFonts w:hint="eastAsia"/>
                <w:color w:val="000000"/>
                <w:kern w:val="0"/>
                <w:sz w:val="18"/>
                <w:szCs w:val="18"/>
              </w:rPr>
              <w:t xml:space="preserve">    第六十九条第二款  被许可人以欺骗、贿赂等不正当手段取得行政许可的，应当予以撤销。</w:t>
            </w:r>
          </w:p>
          <w:p w14:paraId="6CF1D33C">
            <w:pPr>
              <w:spacing w:line="320" w:lineRule="exact"/>
              <w:jc w:val="left"/>
              <w:rPr>
                <w:color w:val="000000"/>
                <w:kern w:val="0"/>
                <w:sz w:val="18"/>
                <w:szCs w:val="18"/>
              </w:rPr>
            </w:pPr>
            <w:r>
              <w:rPr>
                <w:rFonts w:hint="eastAsia"/>
                <w:color w:val="000000"/>
                <w:kern w:val="0"/>
                <w:sz w:val="18"/>
                <w:szCs w:val="18"/>
              </w:rPr>
              <w:t xml:space="preserve">    第七十九条 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14:paraId="08771C86">
            <w:pPr>
              <w:spacing w:line="320" w:lineRule="exact"/>
              <w:jc w:val="left"/>
              <w:rPr>
                <w:color w:val="000000"/>
                <w:kern w:val="0"/>
                <w:sz w:val="18"/>
                <w:szCs w:val="18"/>
              </w:rPr>
            </w:pPr>
            <w:r>
              <w:rPr>
                <w:rFonts w:hint="eastAsia"/>
                <w:color w:val="000000"/>
                <w:kern w:val="0"/>
                <w:sz w:val="18"/>
                <w:szCs w:val="18"/>
              </w:rPr>
              <w:t xml:space="preserve">【规章】《城镇污水排入排水管网许可管理办法》（住房和城乡建设部令第56号）  </w:t>
            </w:r>
          </w:p>
          <w:p w14:paraId="0A0B0088">
            <w:pPr>
              <w:spacing w:line="320" w:lineRule="exact"/>
              <w:jc w:val="left"/>
              <w:rPr>
                <w:color w:val="000000"/>
                <w:kern w:val="0"/>
                <w:sz w:val="18"/>
                <w:szCs w:val="18"/>
              </w:rPr>
            </w:pPr>
            <w:r>
              <w:rPr>
                <w:rFonts w:hint="eastAsia"/>
                <w:color w:val="000000"/>
                <w:kern w:val="0"/>
                <w:sz w:val="18"/>
                <w:szCs w:val="18"/>
              </w:rPr>
              <w:t xml:space="preserve">    第二十一条第二款  排水户以欺骗、贿赂等不正当手段取得排水许可的，应当予以撤销。</w:t>
            </w:r>
          </w:p>
          <w:p w14:paraId="6F6806B7">
            <w:pPr>
              <w:spacing w:line="320" w:lineRule="exact"/>
              <w:jc w:val="left"/>
              <w:rPr>
                <w:color w:val="000000"/>
                <w:kern w:val="0"/>
                <w:sz w:val="18"/>
                <w:szCs w:val="18"/>
              </w:rPr>
            </w:pPr>
            <w:r>
              <w:rPr>
                <w:rFonts w:hint="eastAsia"/>
                <w:color w:val="000000"/>
                <w:kern w:val="0"/>
                <w:sz w:val="18"/>
                <w:szCs w:val="18"/>
              </w:rPr>
              <w:t xml:space="preserve">    第三十条　排水户以欺骗、贿赂等不正当手段取得排水许可的，可以处3万元以下罚款；造成损失的，依法承担赔偿责任；构成犯罪的，依法追究刑事责任。</w:t>
            </w:r>
          </w:p>
        </w:tc>
      </w:tr>
      <w:tr w14:paraId="4975EC94">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7B9AE6CE">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0F6827B2">
            <w:pPr>
              <w:spacing w:line="320" w:lineRule="exact"/>
              <w:jc w:val="left"/>
              <w:rPr>
                <w:color w:val="000000"/>
                <w:kern w:val="0"/>
                <w:sz w:val="18"/>
                <w:szCs w:val="18"/>
              </w:rPr>
            </w:pPr>
            <w:r>
              <w:rPr>
                <w:rFonts w:hint="eastAsia"/>
                <w:color w:val="000000"/>
                <w:kern w:val="0"/>
                <w:sz w:val="18"/>
                <w:szCs w:val="18"/>
              </w:rPr>
              <w:t>罚款</w:t>
            </w:r>
          </w:p>
        </w:tc>
      </w:tr>
      <w:tr w14:paraId="4A259C23">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60E26FD8">
            <w:pPr>
              <w:spacing w:line="320" w:lineRule="exact"/>
              <w:jc w:val="center"/>
              <w:rPr>
                <w:color w:val="000000"/>
                <w:kern w:val="0"/>
                <w:sz w:val="18"/>
                <w:szCs w:val="18"/>
              </w:rPr>
            </w:pPr>
            <w:r>
              <w:rPr>
                <w:rFonts w:hint="eastAsia"/>
                <w:color w:val="000000"/>
                <w:kern w:val="0"/>
                <w:sz w:val="18"/>
                <w:szCs w:val="18"/>
              </w:rPr>
              <w:t>裁量基准</w:t>
            </w:r>
          </w:p>
        </w:tc>
      </w:tr>
      <w:tr w14:paraId="6D1DFDE6">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right w:val="single" w:color="auto" w:sz="4" w:space="0"/>
            </w:tcBorders>
            <w:vAlign w:val="center"/>
          </w:tcPr>
          <w:p w14:paraId="61AF2ED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F14F20E">
            <w:pPr>
              <w:spacing w:line="320" w:lineRule="exact"/>
              <w:jc w:val="left"/>
              <w:rPr>
                <w:color w:val="000000"/>
                <w:kern w:val="0"/>
                <w:sz w:val="18"/>
                <w:szCs w:val="18"/>
              </w:rPr>
            </w:pPr>
            <w:r>
              <w:rPr>
                <w:rFonts w:hint="eastAsia"/>
                <w:color w:val="000000"/>
                <w:kern w:val="0"/>
                <w:sz w:val="18"/>
                <w:szCs w:val="18"/>
              </w:rPr>
              <w:t>取得排水许可，但未进行排放的</w:t>
            </w:r>
          </w:p>
        </w:tc>
        <w:tc>
          <w:tcPr>
            <w:tcW w:w="1000" w:type="dxa"/>
            <w:vMerge w:val="restart"/>
            <w:tcBorders>
              <w:top w:val="nil"/>
              <w:left w:val="single" w:color="auto" w:sz="4" w:space="0"/>
              <w:right w:val="single" w:color="auto" w:sz="4" w:space="0"/>
            </w:tcBorders>
            <w:vAlign w:val="center"/>
          </w:tcPr>
          <w:p w14:paraId="7529F7F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04F964C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万元以下的罚款</w:t>
            </w:r>
          </w:p>
        </w:tc>
      </w:tr>
      <w:tr w14:paraId="21822711">
        <w:tblPrEx>
          <w:tblCellMar>
            <w:top w:w="0" w:type="dxa"/>
            <w:left w:w="108" w:type="dxa"/>
            <w:bottom w:w="0" w:type="dxa"/>
            <w:right w:w="108" w:type="dxa"/>
          </w:tblCellMar>
        </w:tblPrEx>
        <w:trPr>
          <w:trHeight w:val="285" w:hRule="atLeast"/>
        </w:trPr>
        <w:tc>
          <w:tcPr>
            <w:tcW w:w="980" w:type="dxa"/>
            <w:vMerge w:val="continue"/>
            <w:tcBorders>
              <w:left w:val="single" w:color="auto" w:sz="8" w:space="0"/>
              <w:bottom w:val="single" w:color="auto" w:sz="4" w:space="0"/>
              <w:right w:val="single" w:color="auto" w:sz="4" w:space="0"/>
            </w:tcBorders>
            <w:vAlign w:val="center"/>
          </w:tcPr>
          <w:p w14:paraId="729545A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30FDDF8">
            <w:pPr>
              <w:spacing w:line="320" w:lineRule="exact"/>
              <w:jc w:val="left"/>
              <w:rPr>
                <w:color w:val="000000"/>
                <w:kern w:val="0"/>
                <w:sz w:val="18"/>
                <w:szCs w:val="18"/>
              </w:rPr>
            </w:pPr>
            <w:r>
              <w:rPr>
                <w:rFonts w:hint="eastAsia"/>
                <w:color w:val="000000"/>
                <w:kern w:val="0"/>
                <w:sz w:val="18"/>
                <w:szCs w:val="18"/>
              </w:rPr>
              <w:t>取得排水许可，已进行排放的</w:t>
            </w:r>
          </w:p>
        </w:tc>
        <w:tc>
          <w:tcPr>
            <w:tcW w:w="1000" w:type="dxa"/>
            <w:vMerge w:val="continue"/>
            <w:tcBorders>
              <w:left w:val="single" w:color="auto" w:sz="4" w:space="0"/>
              <w:bottom w:val="single" w:color="auto" w:sz="4" w:space="0"/>
              <w:right w:val="single" w:color="auto" w:sz="4" w:space="0"/>
            </w:tcBorders>
            <w:vAlign w:val="center"/>
          </w:tcPr>
          <w:p w14:paraId="3BB8F53F">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7C5A84B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086069C0"/>
    <w:p w14:paraId="2ACC51F8"/>
    <w:p w14:paraId="77459CF7"/>
    <w:p w14:paraId="7C5184A3"/>
    <w:p w14:paraId="3024C739"/>
    <w:p w14:paraId="60476985"/>
    <w:p w14:paraId="7A58AF61"/>
    <w:p w14:paraId="5D507161"/>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1FE9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EA8643D">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18F961B2">
            <w:pPr>
              <w:spacing w:line="320" w:lineRule="exact"/>
              <w:jc w:val="left"/>
              <w:rPr>
                <w:rFonts w:eastAsia="仿宋_GB2312"/>
                <w:b/>
                <w:bCs/>
                <w:color w:val="000000"/>
                <w:kern w:val="0"/>
                <w:sz w:val="18"/>
                <w:szCs w:val="18"/>
              </w:rPr>
            </w:pPr>
            <w:r>
              <w:rPr>
                <w:rFonts w:eastAsia="仿宋_GB2312"/>
                <w:b/>
                <w:bCs/>
                <w:color w:val="000000"/>
                <w:kern w:val="0"/>
                <w:sz w:val="18"/>
                <w:szCs w:val="18"/>
              </w:rPr>
              <w:t>320217470000</w:t>
            </w:r>
          </w:p>
        </w:tc>
      </w:tr>
      <w:tr w14:paraId="3F1B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114D1B8C">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2E23B70B">
            <w:pPr>
              <w:spacing w:line="320" w:lineRule="exact"/>
              <w:jc w:val="left"/>
              <w:rPr>
                <w:color w:val="000000"/>
                <w:kern w:val="0"/>
                <w:sz w:val="18"/>
                <w:szCs w:val="18"/>
              </w:rPr>
            </w:pPr>
            <w:r>
              <w:rPr>
                <w:rFonts w:hint="eastAsia"/>
                <w:color w:val="000000"/>
                <w:kern w:val="0"/>
                <w:sz w:val="18"/>
                <w:szCs w:val="18"/>
              </w:rPr>
              <w:t>对房地产开发企业在商品房买卖合同、住宅质量保证书、住宅使用说明书中未如实载明所销售房屋的绿色建筑等级及其技术措施的处罚</w:t>
            </w:r>
          </w:p>
        </w:tc>
      </w:tr>
      <w:tr w14:paraId="3524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73EBF14C">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421DCB84">
            <w:pPr>
              <w:spacing w:line="320" w:lineRule="exact"/>
              <w:jc w:val="left"/>
              <w:rPr>
                <w:color w:val="000000"/>
                <w:kern w:val="0"/>
                <w:sz w:val="18"/>
                <w:szCs w:val="18"/>
              </w:rPr>
            </w:pPr>
            <w:r>
              <w:rPr>
                <w:rFonts w:hint="eastAsia"/>
                <w:color w:val="000000"/>
                <w:kern w:val="0"/>
                <w:sz w:val="18"/>
                <w:szCs w:val="18"/>
              </w:rPr>
              <w:t>【地方性法规】《江苏省绿色建筑发展条例》</w:t>
            </w:r>
          </w:p>
          <w:p w14:paraId="0B432476">
            <w:pPr>
              <w:spacing w:line="320" w:lineRule="exact"/>
              <w:jc w:val="left"/>
              <w:rPr>
                <w:color w:val="000000"/>
                <w:kern w:val="0"/>
                <w:sz w:val="18"/>
                <w:szCs w:val="18"/>
              </w:rPr>
            </w:pPr>
            <w:r>
              <w:rPr>
                <w:rFonts w:hint="eastAsia"/>
                <w:color w:val="000000"/>
                <w:kern w:val="0"/>
                <w:sz w:val="18"/>
                <w:szCs w:val="18"/>
              </w:rPr>
              <w:t xml:space="preserve">        第二十四条  房地产开发企业应当在商品房买卖合同和住宅质量保证书、住宅使用说明书中载明所销售房屋的绿色建筑等级及其技术措施。</w:t>
            </w:r>
          </w:p>
          <w:p w14:paraId="286504FE">
            <w:pPr>
              <w:spacing w:line="320" w:lineRule="exact"/>
              <w:jc w:val="left"/>
              <w:rPr>
                <w:color w:val="000000"/>
                <w:kern w:val="0"/>
                <w:sz w:val="18"/>
                <w:szCs w:val="18"/>
              </w:rPr>
            </w:pPr>
            <w:r>
              <w:rPr>
                <w:rFonts w:hint="eastAsia"/>
                <w:color w:val="000000"/>
                <w:kern w:val="0"/>
                <w:sz w:val="18"/>
                <w:szCs w:val="18"/>
              </w:rPr>
              <w:t xml:space="preserve">       第五十七条  违反本条例规定，房地产开发企业在商品房买卖合同、住宅质量保证书、住宅使用说明书中未如实载明所销售房屋的绿色建筑等级及其技术措施的，由建设主管部门责令限期改正；逾期未改正的，处交付使用的房屋销售总额百分之二以下罚款。</w:t>
            </w:r>
          </w:p>
        </w:tc>
      </w:tr>
      <w:tr w14:paraId="4EB6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31C7297">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50ECD20A">
            <w:pPr>
              <w:spacing w:line="320" w:lineRule="exact"/>
              <w:jc w:val="left"/>
              <w:rPr>
                <w:color w:val="000000"/>
                <w:kern w:val="0"/>
                <w:sz w:val="18"/>
                <w:szCs w:val="18"/>
              </w:rPr>
            </w:pPr>
            <w:r>
              <w:rPr>
                <w:rFonts w:hint="eastAsia"/>
                <w:color w:val="000000"/>
                <w:kern w:val="0"/>
                <w:sz w:val="18"/>
                <w:szCs w:val="18"/>
              </w:rPr>
              <w:t>罚款</w:t>
            </w:r>
          </w:p>
        </w:tc>
      </w:tr>
      <w:tr w14:paraId="3BE3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1A5F4221">
            <w:pPr>
              <w:spacing w:line="320" w:lineRule="exact"/>
              <w:jc w:val="center"/>
              <w:rPr>
                <w:color w:val="000000"/>
                <w:kern w:val="0"/>
                <w:sz w:val="18"/>
                <w:szCs w:val="18"/>
              </w:rPr>
            </w:pPr>
            <w:r>
              <w:rPr>
                <w:rFonts w:hint="eastAsia"/>
                <w:color w:val="000000"/>
                <w:kern w:val="0"/>
                <w:sz w:val="18"/>
                <w:szCs w:val="18"/>
              </w:rPr>
              <w:t>裁量基准</w:t>
            </w:r>
          </w:p>
        </w:tc>
      </w:tr>
      <w:tr w14:paraId="7A44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1F0639C4">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332DFA80">
            <w:pPr>
              <w:spacing w:line="320" w:lineRule="exact"/>
              <w:jc w:val="left"/>
              <w:rPr>
                <w:color w:val="000000"/>
                <w:kern w:val="0"/>
                <w:sz w:val="18"/>
                <w:szCs w:val="18"/>
              </w:rPr>
            </w:pPr>
            <w:r>
              <w:rPr>
                <w:rFonts w:hint="eastAsia"/>
                <w:color w:val="000000"/>
                <w:kern w:val="0"/>
                <w:sz w:val="18"/>
                <w:szCs w:val="18"/>
              </w:rPr>
              <w:t>未按照要求整改，未如实载明所销售房屋的绿色建筑等级或技术措施的</w:t>
            </w:r>
          </w:p>
        </w:tc>
        <w:tc>
          <w:tcPr>
            <w:tcW w:w="1080" w:type="dxa"/>
            <w:vMerge w:val="restart"/>
            <w:vAlign w:val="center"/>
          </w:tcPr>
          <w:p w14:paraId="637E66C7">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5CD861E6">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1%</w:t>
            </w:r>
            <w:r>
              <w:rPr>
                <w:rFonts w:hint="eastAsia"/>
                <w:color w:val="000000"/>
                <w:kern w:val="0"/>
                <w:sz w:val="18"/>
                <w:szCs w:val="18"/>
              </w:rPr>
              <w:t>以下罚款</w:t>
            </w:r>
          </w:p>
        </w:tc>
      </w:tr>
      <w:tr w14:paraId="6648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49EB9572">
            <w:pPr>
              <w:spacing w:line="320" w:lineRule="exact"/>
              <w:jc w:val="center"/>
              <w:rPr>
                <w:color w:val="000000"/>
                <w:kern w:val="0"/>
                <w:sz w:val="18"/>
                <w:szCs w:val="18"/>
              </w:rPr>
            </w:pPr>
          </w:p>
        </w:tc>
        <w:tc>
          <w:tcPr>
            <w:tcW w:w="6140" w:type="dxa"/>
            <w:vAlign w:val="center"/>
          </w:tcPr>
          <w:p w14:paraId="523C5BC0">
            <w:pPr>
              <w:spacing w:line="320" w:lineRule="exact"/>
              <w:jc w:val="left"/>
              <w:rPr>
                <w:color w:val="000000"/>
                <w:kern w:val="0"/>
                <w:sz w:val="18"/>
                <w:szCs w:val="18"/>
              </w:rPr>
            </w:pPr>
            <w:r>
              <w:rPr>
                <w:rFonts w:hint="eastAsia"/>
                <w:color w:val="000000"/>
                <w:kern w:val="0"/>
                <w:sz w:val="18"/>
                <w:szCs w:val="18"/>
              </w:rPr>
              <w:t>未按照要求整改，未如实载明所销售房屋的绿色建筑等级和技术措施的</w:t>
            </w:r>
          </w:p>
        </w:tc>
        <w:tc>
          <w:tcPr>
            <w:tcW w:w="1080" w:type="dxa"/>
            <w:vMerge w:val="continue"/>
            <w:vAlign w:val="center"/>
          </w:tcPr>
          <w:p w14:paraId="08C2E92A">
            <w:pPr>
              <w:spacing w:line="320" w:lineRule="exact"/>
              <w:jc w:val="center"/>
              <w:rPr>
                <w:color w:val="000000"/>
                <w:kern w:val="0"/>
                <w:sz w:val="18"/>
                <w:szCs w:val="18"/>
              </w:rPr>
            </w:pPr>
          </w:p>
        </w:tc>
        <w:tc>
          <w:tcPr>
            <w:tcW w:w="5820" w:type="dxa"/>
            <w:vAlign w:val="center"/>
          </w:tcPr>
          <w:p w14:paraId="5D66EECB">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1%</w:t>
            </w:r>
            <w:r>
              <w:rPr>
                <w:rFonts w:hint="eastAsia"/>
                <w:color w:val="000000"/>
                <w:kern w:val="0"/>
                <w:sz w:val="18"/>
                <w:szCs w:val="18"/>
              </w:rPr>
              <w:t>以上</w:t>
            </w:r>
            <w:r>
              <w:rPr>
                <w:color w:val="000000"/>
                <w:kern w:val="0"/>
                <w:sz w:val="18"/>
                <w:szCs w:val="18"/>
              </w:rPr>
              <w:t>2%</w:t>
            </w:r>
            <w:r>
              <w:rPr>
                <w:rFonts w:hint="eastAsia"/>
                <w:color w:val="000000"/>
                <w:kern w:val="0"/>
                <w:sz w:val="18"/>
                <w:szCs w:val="18"/>
              </w:rPr>
              <w:t>以下罚款</w:t>
            </w:r>
          </w:p>
        </w:tc>
      </w:tr>
    </w:tbl>
    <w:p w14:paraId="6AE13774"/>
    <w:p w14:paraId="69C77516"/>
    <w:p w14:paraId="669169A3"/>
    <w:p w14:paraId="53633D23"/>
    <w:p w14:paraId="697634B2"/>
    <w:p w14:paraId="05D70D35"/>
    <w:p w14:paraId="214EEBB0"/>
    <w:p w14:paraId="6C64C90A"/>
    <w:p w14:paraId="720FD3F7"/>
    <w:p w14:paraId="25A6A447"/>
    <w:p w14:paraId="3A9C5874"/>
    <w:tbl>
      <w:tblPr>
        <w:tblStyle w:val="15"/>
        <w:tblW w:w="0" w:type="auto"/>
        <w:tblInd w:w="88" w:type="dxa"/>
        <w:tblLayout w:type="fixed"/>
        <w:tblCellMar>
          <w:top w:w="0" w:type="dxa"/>
          <w:left w:w="108" w:type="dxa"/>
          <w:bottom w:w="0" w:type="dxa"/>
          <w:right w:w="108" w:type="dxa"/>
        </w:tblCellMar>
      </w:tblPr>
      <w:tblGrid>
        <w:gridCol w:w="980"/>
        <w:gridCol w:w="5910"/>
        <w:gridCol w:w="1080"/>
        <w:gridCol w:w="6060"/>
      </w:tblGrid>
      <w:tr w14:paraId="073842BC">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0115EFD3">
            <w:pPr>
              <w:spacing w:line="320" w:lineRule="exact"/>
              <w:jc w:val="center"/>
              <w:rPr>
                <w:color w:val="000000"/>
                <w:kern w:val="0"/>
                <w:sz w:val="18"/>
                <w:szCs w:val="18"/>
              </w:rPr>
            </w:pPr>
            <w:r>
              <w:rPr>
                <w:rFonts w:hint="eastAsia"/>
                <w:color w:val="000000"/>
                <w:kern w:val="0"/>
                <w:sz w:val="18"/>
                <w:szCs w:val="18"/>
              </w:rPr>
              <w:t>编号</w:t>
            </w:r>
          </w:p>
        </w:tc>
        <w:tc>
          <w:tcPr>
            <w:tcW w:w="13050" w:type="dxa"/>
            <w:gridSpan w:val="3"/>
            <w:tcBorders>
              <w:top w:val="single" w:color="auto" w:sz="8" w:space="0"/>
              <w:left w:val="nil"/>
              <w:bottom w:val="single" w:color="auto" w:sz="4" w:space="0"/>
              <w:right w:val="single" w:color="000000" w:sz="8" w:space="0"/>
            </w:tcBorders>
            <w:vAlign w:val="center"/>
          </w:tcPr>
          <w:p w14:paraId="3A95DF07">
            <w:pPr>
              <w:spacing w:line="320" w:lineRule="exact"/>
              <w:jc w:val="left"/>
              <w:rPr>
                <w:rFonts w:eastAsia="仿宋_GB2312"/>
                <w:b/>
                <w:bCs/>
                <w:color w:val="000000"/>
                <w:kern w:val="0"/>
                <w:sz w:val="18"/>
                <w:szCs w:val="18"/>
              </w:rPr>
            </w:pPr>
            <w:r>
              <w:rPr>
                <w:rFonts w:eastAsia="仿宋_GB2312"/>
                <w:b/>
                <w:bCs/>
                <w:color w:val="000000"/>
                <w:kern w:val="0"/>
                <w:sz w:val="18"/>
                <w:szCs w:val="18"/>
              </w:rPr>
              <w:t>320217471000</w:t>
            </w:r>
          </w:p>
        </w:tc>
      </w:tr>
      <w:tr w14:paraId="7587BBFA">
        <w:tblPrEx>
          <w:tblCellMar>
            <w:top w:w="0" w:type="dxa"/>
            <w:left w:w="108" w:type="dxa"/>
            <w:bottom w:w="0" w:type="dxa"/>
            <w:right w:w="108" w:type="dxa"/>
          </w:tblCellMar>
        </w:tblPrEx>
        <w:trPr>
          <w:trHeight w:val="540" w:hRule="atLeast"/>
        </w:trPr>
        <w:tc>
          <w:tcPr>
            <w:tcW w:w="980" w:type="dxa"/>
            <w:tcBorders>
              <w:top w:val="nil"/>
              <w:left w:val="single" w:color="auto" w:sz="8" w:space="0"/>
              <w:bottom w:val="single" w:color="auto" w:sz="4" w:space="0"/>
              <w:right w:val="single" w:color="auto" w:sz="4" w:space="0"/>
            </w:tcBorders>
            <w:vAlign w:val="center"/>
          </w:tcPr>
          <w:p w14:paraId="5C092290">
            <w:pPr>
              <w:spacing w:line="320" w:lineRule="exact"/>
              <w:jc w:val="center"/>
              <w:rPr>
                <w:color w:val="000000"/>
                <w:kern w:val="0"/>
                <w:sz w:val="18"/>
                <w:szCs w:val="18"/>
              </w:rPr>
            </w:pPr>
            <w:r>
              <w:rPr>
                <w:rFonts w:hint="eastAsia"/>
                <w:color w:val="000000"/>
                <w:kern w:val="0"/>
                <w:sz w:val="18"/>
                <w:szCs w:val="18"/>
              </w:rPr>
              <w:t>权力名称</w:t>
            </w:r>
          </w:p>
        </w:tc>
        <w:tc>
          <w:tcPr>
            <w:tcW w:w="13050" w:type="dxa"/>
            <w:gridSpan w:val="3"/>
            <w:tcBorders>
              <w:top w:val="single" w:color="auto" w:sz="4" w:space="0"/>
              <w:left w:val="nil"/>
              <w:bottom w:val="single" w:color="auto" w:sz="4" w:space="0"/>
              <w:right w:val="single" w:color="000000" w:sz="8" w:space="0"/>
            </w:tcBorders>
            <w:vAlign w:val="center"/>
          </w:tcPr>
          <w:p w14:paraId="78109C9F">
            <w:pPr>
              <w:spacing w:line="320" w:lineRule="exact"/>
              <w:jc w:val="left"/>
              <w:rPr>
                <w:color w:val="000000"/>
                <w:kern w:val="0"/>
                <w:sz w:val="18"/>
                <w:szCs w:val="18"/>
              </w:rPr>
            </w:pPr>
            <w:r>
              <w:rPr>
                <w:rFonts w:hint="eastAsia"/>
                <w:color w:val="000000"/>
              </w:rPr>
              <w:t>对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处罚</w:t>
            </w:r>
          </w:p>
        </w:tc>
      </w:tr>
      <w:tr w14:paraId="2E9C11C6">
        <w:tblPrEx>
          <w:tblCellMar>
            <w:top w:w="0" w:type="dxa"/>
            <w:left w:w="108" w:type="dxa"/>
            <w:bottom w:w="0" w:type="dxa"/>
            <w:right w:w="108" w:type="dxa"/>
          </w:tblCellMar>
        </w:tblPrEx>
        <w:trPr>
          <w:trHeight w:val="1815" w:hRule="atLeast"/>
        </w:trPr>
        <w:tc>
          <w:tcPr>
            <w:tcW w:w="980" w:type="dxa"/>
            <w:tcBorders>
              <w:top w:val="nil"/>
              <w:left w:val="single" w:color="auto" w:sz="8" w:space="0"/>
              <w:bottom w:val="single" w:color="auto" w:sz="4" w:space="0"/>
              <w:right w:val="single" w:color="auto" w:sz="4" w:space="0"/>
            </w:tcBorders>
            <w:vAlign w:val="center"/>
          </w:tcPr>
          <w:p w14:paraId="6A7BE159">
            <w:pPr>
              <w:spacing w:line="320" w:lineRule="exact"/>
              <w:jc w:val="center"/>
              <w:rPr>
                <w:color w:val="000000"/>
                <w:kern w:val="0"/>
                <w:sz w:val="18"/>
                <w:szCs w:val="18"/>
              </w:rPr>
            </w:pPr>
            <w:r>
              <w:rPr>
                <w:rFonts w:hint="eastAsia"/>
                <w:color w:val="000000"/>
                <w:kern w:val="0"/>
                <w:sz w:val="18"/>
                <w:szCs w:val="18"/>
              </w:rPr>
              <w:t>法律依据</w:t>
            </w:r>
          </w:p>
        </w:tc>
        <w:tc>
          <w:tcPr>
            <w:tcW w:w="13050" w:type="dxa"/>
            <w:gridSpan w:val="3"/>
            <w:tcBorders>
              <w:top w:val="single" w:color="auto" w:sz="4" w:space="0"/>
              <w:left w:val="nil"/>
              <w:bottom w:val="single" w:color="auto" w:sz="4" w:space="0"/>
              <w:right w:val="single" w:color="000000" w:sz="8" w:space="0"/>
            </w:tcBorders>
            <w:vAlign w:val="center"/>
          </w:tcPr>
          <w:p w14:paraId="5391F33D">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0FFDC0C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燃气经营者应当按照国家有关工程建设标准和安全生产管理的规定，设置燃气设施防腐、绝缘、防雷、降压、隔离等保护装置和安全警示标志，定期进行巡查、检测、维修和维护，确保燃气设施的安全运行。</w:t>
            </w:r>
          </w:p>
          <w:p w14:paraId="3AD11D3C">
            <w:pPr>
              <w:spacing w:line="320" w:lineRule="exact"/>
              <w:jc w:val="left"/>
              <w:rPr>
                <w:color w:val="000000"/>
                <w:kern w:val="0"/>
                <w:sz w:val="18"/>
                <w:szCs w:val="18"/>
              </w:rPr>
            </w:pPr>
            <w:r>
              <w:rPr>
                <w:rFonts w:hint="eastAsia"/>
                <w:color w:val="000000"/>
                <w:kern w:val="0"/>
                <w:sz w:val="18"/>
                <w:szCs w:val="18"/>
              </w:rPr>
              <w:t>第四十一条第一款</w:t>
            </w:r>
            <w:r>
              <w:rPr>
                <w:color w:val="000000"/>
                <w:kern w:val="0"/>
                <w:sz w:val="18"/>
                <w:szCs w:val="18"/>
              </w:rPr>
              <w:t xml:space="preserve">  </w:t>
            </w:r>
            <w:r>
              <w:rPr>
                <w:rFonts w:hint="eastAsia"/>
                <w:color w:val="000000"/>
                <w:kern w:val="0"/>
                <w:sz w:val="18"/>
                <w:szCs w:val="18"/>
              </w:rPr>
              <w:t>燃气经营者应当建立健全燃气安全评估和风险管理体系，发现燃气安全事故隐患的，应当及时采取措施消除隐患。</w:t>
            </w:r>
          </w:p>
          <w:p w14:paraId="10264065">
            <w:pPr>
              <w:spacing w:line="320" w:lineRule="exact"/>
              <w:jc w:val="left"/>
              <w:rPr>
                <w:color w:val="000000"/>
                <w:kern w:val="0"/>
                <w:sz w:val="18"/>
                <w:szCs w:val="18"/>
              </w:rPr>
            </w:pPr>
            <w:r>
              <w:rPr>
                <w:rFonts w:hint="eastAsia"/>
                <w:color w:val="000000"/>
                <w:kern w:val="0"/>
                <w:sz w:val="18"/>
                <w:szCs w:val="18"/>
              </w:rPr>
              <w:t>第四十八条</w:t>
            </w:r>
            <w:r>
              <w:rPr>
                <w:color w:val="000000"/>
                <w:kern w:val="0"/>
                <w:sz w:val="18"/>
                <w:szCs w:val="18"/>
              </w:rPr>
              <w:t xml:space="preserve"> </w:t>
            </w:r>
            <w:r>
              <w:rPr>
                <w:rFonts w:hint="eastAsia"/>
                <w:color w:val="000000"/>
                <w:kern w:val="0"/>
                <w:sz w:val="18"/>
                <w:szCs w:val="18"/>
              </w:rPr>
              <w:t>违反本条例规定，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14:paraId="5BA6CD9F">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0F7E184E">
            <w:pPr>
              <w:spacing w:line="320" w:lineRule="exact"/>
              <w:jc w:val="center"/>
              <w:rPr>
                <w:color w:val="000000"/>
                <w:kern w:val="0"/>
                <w:sz w:val="18"/>
                <w:szCs w:val="18"/>
              </w:rPr>
            </w:pPr>
            <w:r>
              <w:rPr>
                <w:rFonts w:hint="eastAsia"/>
                <w:color w:val="000000"/>
                <w:kern w:val="0"/>
                <w:sz w:val="18"/>
                <w:szCs w:val="18"/>
              </w:rPr>
              <w:t>行使内容</w:t>
            </w:r>
          </w:p>
        </w:tc>
        <w:tc>
          <w:tcPr>
            <w:tcW w:w="13050" w:type="dxa"/>
            <w:gridSpan w:val="3"/>
            <w:tcBorders>
              <w:top w:val="single" w:color="auto" w:sz="4" w:space="0"/>
              <w:left w:val="nil"/>
              <w:bottom w:val="single" w:color="auto" w:sz="4" w:space="0"/>
              <w:right w:val="single" w:color="000000" w:sz="8" w:space="0"/>
            </w:tcBorders>
            <w:vAlign w:val="center"/>
          </w:tcPr>
          <w:p w14:paraId="0A462CC5">
            <w:pPr>
              <w:spacing w:line="320" w:lineRule="exact"/>
              <w:jc w:val="left"/>
              <w:rPr>
                <w:color w:val="000000"/>
                <w:kern w:val="0"/>
                <w:sz w:val="18"/>
                <w:szCs w:val="18"/>
              </w:rPr>
            </w:pPr>
            <w:r>
              <w:rPr>
                <w:rFonts w:hint="eastAsia"/>
                <w:color w:val="000000"/>
                <w:kern w:val="0"/>
                <w:sz w:val="18"/>
                <w:szCs w:val="18"/>
              </w:rPr>
              <w:t>罚款</w:t>
            </w:r>
          </w:p>
        </w:tc>
      </w:tr>
      <w:tr w14:paraId="22819F22">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48FC9B09">
            <w:pPr>
              <w:spacing w:line="320" w:lineRule="exact"/>
              <w:jc w:val="center"/>
              <w:rPr>
                <w:color w:val="000000"/>
                <w:kern w:val="0"/>
                <w:sz w:val="18"/>
                <w:szCs w:val="18"/>
              </w:rPr>
            </w:pPr>
            <w:r>
              <w:rPr>
                <w:rFonts w:hint="eastAsia"/>
                <w:color w:val="000000"/>
                <w:kern w:val="0"/>
                <w:sz w:val="18"/>
                <w:szCs w:val="18"/>
              </w:rPr>
              <w:t>裁量基准</w:t>
            </w:r>
          </w:p>
        </w:tc>
      </w:tr>
      <w:tr w14:paraId="6962B560">
        <w:tblPrEx>
          <w:tblCellMar>
            <w:top w:w="0" w:type="dxa"/>
            <w:left w:w="108" w:type="dxa"/>
            <w:bottom w:w="0" w:type="dxa"/>
            <w:right w:w="108" w:type="dxa"/>
          </w:tblCellMar>
        </w:tblPrEx>
        <w:trPr>
          <w:trHeight w:val="650" w:hRule="atLeast"/>
        </w:trPr>
        <w:tc>
          <w:tcPr>
            <w:tcW w:w="980" w:type="dxa"/>
            <w:vMerge w:val="restart"/>
            <w:tcBorders>
              <w:top w:val="nil"/>
              <w:left w:val="single" w:color="auto" w:sz="8" w:space="0"/>
              <w:bottom w:val="single" w:color="auto" w:sz="4" w:space="0"/>
              <w:right w:val="single" w:color="auto" w:sz="4" w:space="0"/>
            </w:tcBorders>
            <w:vAlign w:val="center"/>
          </w:tcPr>
          <w:p w14:paraId="7C8FEE3B">
            <w:pPr>
              <w:spacing w:line="320" w:lineRule="exact"/>
              <w:jc w:val="center"/>
              <w:rPr>
                <w:color w:val="000000"/>
                <w:kern w:val="0"/>
                <w:sz w:val="18"/>
                <w:szCs w:val="18"/>
              </w:rPr>
            </w:pPr>
            <w:r>
              <w:rPr>
                <w:rFonts w:hint="eastAsia"/>
                <w:color w:val="000000"/>
                <w:kern w:val="0"/>
                <w:sz w:val="18"/>
                <w:szCs w:val="18"/>
              </w:rPr>
              <w:t>情形描述</w:t>
            </w:r>
          </w:p>
        </w:tc>
        <w:tc>
          <w:tcPr>
            <w:tcW w:w="5910" w:type="dxa"/>
            <w:tcBorders>
              <w:top w:val="single" w:color="auto" w:sz="4" w:space="0"/>
              <w:left w:val="nil"/>
              <w:right w:val="single" w:color="auto" w:sz="4" w:space="0"/>
            </w:tcBorders>
            <w:vAlign w:val="center"/>
          </w:tcPr>
          <w:p w14:paraId="2E14E3F0">
            <w:pPr>
              <w:spacing w:line="320" w:lineRule="exact"/>
              <w:jc w:val="left"/>
              <w:rPr>
                <w:color w:val="000000"/>
                <w:kern w:val="0"/>
                <w:sz w:val="18"/>
                <w:szCs w:val="18"/>
              </w:rPr>
            </w:pPr>
            <w:r>
              <w:rPr>
                <w:rFonts w:hint="eastAsia"/>
                <w:color w:val="000000"/>
                <w:kern w:val="0"/>
                <w:sz w:val="18"/>
                <w:szCs w:val="18"/>
              </w:rPr>
              <w:t>未发生安全事故的</w:t>
            </w:r>
          </w:p>
        </w:tc>
        <w:tc>
          <w:tcPr>
            <w:tcW w:w="1080" w:type="dxa"/>
            <w:vMerge w:val="restart"/>
            <w:tcBorders>
              <w:top w:val="nil"/>
              <w:left w:val="single" w:color="auto" w:sz="4" w:space="0"/>
              <w:bottom w:val="single" w:color="auto" w:sz="4" w:space="0"/>
              <w:right w:val="single" w:color="auto" w:sz="4" w:space="0"/>
            </w:tcBorders>
            <w:vAlign w:val="center"/>
          </w:tcPr>
          <w:p w14:paraId="74B91888">
            <w:pPr>
              <w:spacing w:line="320" w:lineRule="exact"/>
              <w:jc w:val="center"/>
              <w:rPr>
                <w:color w:val="000000"/>
                <w:kern w:val="0"/>
                <w:sz w:val="18"/>
                <w:szCs w:val="18"/>
              </w:rPr>
            </w:pPr>
            <w:r>
              <w:rPr>
                <w:rFonts w:hint="eastAsia"/>
                <w:color w:val="000000"/>
                <w:kern w:val="0"/>
                <w:sz w:val="18"/>
                <w:szCs w:val="18"/>
              </w:rPr>
              <w:t>裁量幅度</w:t>
            </w:r>
          </w:p>
        </w:tc>
        <w:tc>
          <w:tcPr>
            <w:tcW w:w="6060" w:type="dxa"/>
            <w:tcBorders>
              <w:top w:val="single" w:color="auto" w:sz="4" w:space="0"/>
              <w:left w:val="nil"/>
              <w:bottom w:val="single" w:color="auto" w:sz="4" w:space="0"/>
              <w:right w:val="single" w:color="auto" w:sz="4" w:space="0"/>
            </w:tcBorders>
            <w:vAlign w:val="center"/>
          </w:tcPr>
          <w:p w14:paraId="585CFC5E">
            <w:pPr>
              <w:spacing w:line="320" w:lineRule="exact"/>
              <w:jc w:val="left"/>
              <w:rPr>
                <w:color w:val="000000"/>
                <w:kern w:val="0"/>
                <w:sz w:val="18"/>
                <w:szCs w:val="18"/>
              </w:rPr>
            </w:pPr>
            <w:r>
              <w:rPr>
                <w:rFonts w:hint="eastAsia"/>
                <w:color w:val="000000"/>
                <w:kern w:val="0"/>
                <w:sz w:val="18"/>
                <w:szCs w:val="18"/>
              </w:rPr>
              <w:t>处1元以上</w:t>
            </w:r>
            <w:r>
              <w:rPr>
                <w:color w:val="000000"/>
                <w:kern w:val="0"/>
                <w:sz w:val="18"/>
                <w:szCs w:val="18"/>
              </w:rPr>
              <w:t>3</w:t>
            </w:r>
            <w:r>
              <w:rPr>
                <w:rFonts w:hint="eastAsia"/>
                <w:color w:val="000000"/>
                <w:kern w:val="0"/>
                <w:sz w:val="18"/>
                <w:szCs w:val="18"/>
              </w:rPr>
              <w:t>万元以下罚款</w:t>
            </w:r>
          </w:p>
        </w:tc>
      </w:tr>
      <w:tr w14:paraId="1417BBF2">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7DCB9C55">
            <w:pPr>
              <w:spacing w:line="320" w:lineRule="exact"/>
              <w:jc w:val="left"/>
              <w:rPr>
                <w:color w:val="000000"/>
                <w:kern w:val="0"/>
                <w:sz w:val="18"/>
                <w:szCs w:val="18"/>
              </w:rPr>
            </w:pPr>
          </w:p>
        </w:tc>
        <w:tc>
          <w:tcPr>
            <w:tcW w:w="5910" w:type="dxa"/>
            <w:tcBorders>
              <w:top w:val="single" w:color="auto" w:sz="4" w:space="0"/>
              <w:left w:val="nil"/>
              <w:bottom w:val="single" w:color="auto" w:sz="4" w:space="0"/>
              <w:right w:val="single" w:color="auto" w:sz="4" w:space="0"/>
            </w:tcBorders>
            <w:vAlign w:val="center"/>
          </w:tcPr>
          <w:p w14:paraId="1786F076">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80" w:type="dxa"/>
            <w:vMerge w:val="continue"/>
            <w:tcBorders>
              <w:top w:val="nil"/>
              <w:left w:val="single" w:color="auto" w:sz="4" w:space="0"/>
              <w:bottom w:val="single" w:color="auto" w:sz="4" w:space="0"/>
              <w:right w:val="single" w:color="auto" w:sz="4" w:space="0"/>
            </w:tcBorders>
            <w:vAlign w:val="center"/>
          </w:tcPr>
          <w:p w14:paraId="3CC0A8E6">
            <w:pPr>
              <w:spacing w:line="320" w:lineRule="exact"/>
              <w:jc w:val="left"/>
              <w:rPr>
                <w:color w:val="000000"/>
                <w:kern w:val="0"/>
                <w:sz w:val="18"/>
                <w:szCs w:val="18"/>
              </w:rPr>
            </w:pPr>
          </w:p>
        </w:tc>
        <w:tc>
          <w:tcPr>
            <w:tcW w:w="6060" w:type="dxa"/>
            <w:tcBorders>
              <w:top w:val="single" w:color="auto" w:sz="4" w:space="0"/>
              <w:left w:val="nil"/>
              <w:bottom w:val="single" w:color="auto" w:sz="4" w:space="0"/>
              <w:right w:val="single" w:color="auto" w:sz="4" w:space="0"/>
            </w:tcBorders>
            <w:vAlign w:val="center"/>
          </w:tcPr>
          <w:p w14:paraId="4372B01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34DD6A19">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66388D48">
            <w:pPr>
              <w:spacing w:line="320" w:lineRule="exact"/>
              <w:jc w:val="left"/>
              <w:rPr>
                <w:color w:val="000000"/>
                <w:kern w:val="0"/>
                <w:sz w:val="18"/>
                <w:szCs w:val="18"/>
              </w:rPr>
            </w:pPr>
          </w:p>
        </w:tc>
        <w:tc>
          <w:tcPr>
            <w:tcW w:w="5910" w:type="dxa"/>
            <w:tcBorders>
              <w:top w:val="single" w:color="auto" w:sz="4" w:space="0"/>
              <w:left w:val="nil"/>
              <w:bottom w:val="single" w:color="auto" w:sz="4" w:space="0"/>
              <w:right w:val="single" w:color="auto" w:sz="4" w:space="0"/>
            </w:tcBorders>
            <w:vAlign w:val="center"/>
          </w:tcPr>
          <w:p w14:paraId="10E56BE0">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80" w:type="dxa"/>
            <w:vMerge w:val="continue"/>
            <w:tcBorders>
              <w:top w:val="nil"/>
              <w:left w:val="single" w:color="auto" w:sz="4" w:space="0"/>
              <w:bottom w:val="single" w:color="auto" w:sz="4" w:space="0"/>
              <w:right w:val="single" w:color="auto" w:sz="4" w:space="0"/>
            </w:tcBorders>
            <w:vAlign w:val="center"/>
          </w:tcPr>
          <w:p w14:paraId="203559B1">
            <w:pPr>
              <w:spacing w:line="320" w:lineRule="exact"/>
              <w:jc w:val="left"/>
              <w:rPr>
                <w:color w:val="000000"/>
                <w:kern w:val="0"/>
                <w:sz w:val="18"/>
                <w:szCs w:val="18"/>
              </w:rPr>
            </w:pPr>
          </w:p>
        </w:tc>
        <w:tc>
          <w:tcPr>
            <w:tcW w:w="6060" w:type="dxa"/>
            <w:tcBorders>
              <w:top w:val="single" w:color="auto" w:sz="4" w:space="0"/>
              <w:left w:val="nil"/>
              <w:bottom w:val="single" w:color="auto" w:sz="4" w:space="0"/>
              <w:right w:val="single" w:color="auto" w:sz="4" w:space="0"/>
            </w:tcBorders>
            <w:vAlign w:val="center"/>
          </w:tcPr>
          <w:p w14:paraId="5E1CC33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00D0F138"/>
    <w:p w14:paraId="388C34AE"/>
    <w:p w14:paraId="70A36B91"/>
    <w:p w14:paraId="6CD627D6"/>
    <w:p w14:paraId="50210CC9"/>
    <w:p w14:paraId="362C570A"/>
    <w:p w14:paraId="6E0B6956"/>
    <w:tbl>
      <w:tblPr>
        <w:tblStyle w:val="15"/>
        <w:tblW w:w="0" w:type="auto"/>
        <w:tblInd w:w="88" w:type="dxa"/>
        <w:tblLayout w:type="fixed"/>
        <w:tblCellMar>
          <w:top w:w="0" w:type="dxa"/>
          <w:left w:w="108" w:type="dxa"/>
          <w:bottom w:w="0" w:type="dxa"/>
          <w:right w:w="108" w:type="dxa"/>
        </w:tblCellMar>
      </w:tblPr>
      <w:tblGrid>
        <w:gridCol w:w="1010"/>
        <w:gridCol w:w="6376"/>
        <w:gridCol w:w="1016"/>
        <w:gridCol w:w="5614"/>
      </w:tblGrid>
      <w:tr w14:paraId="005AD0AB">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A0FCBA4">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6D91EF34">
            <w:pPr>
              <w:spacing w:line="320" w:lineRule="exact"/>
              <w:jc w:val="left"/>
              <w:rPr>
                <w:rFonts w:eastAsia="仿宋_GB2312"/>
                <w:b/>
                <w:bCs/>
                <w:color w:val="000000"/>
                <w:kern w:val="0"/>
                <w:sz w:val="18"/>
                <w:szCs w:val="18"/>
              </w:rPr>
            </w:pPr>
            <w:r>
              <w:rPr>
                <w:rFonts w:eastAsia="仿宋_GB2312"/>
                <w:b/>
                <w:bCs/>
                <w:color w:val="000000"/>
                <w:kern w:val="0"/>
                <w:sz w:val="18"/>
                <w:szCs w:val="18"/>
              </w:rPr>
              <w:t>320217473000</w:t>
            </w:r>
            <w:r>
              <w:rPr>
                <w:rFonts w:hint="eastAsia" w:eastAsia="仿宋_GB2312"/>
                <w:b/>
                <w:bCs/>
                <w:color w:val="000000"/>
                <w:kern w:val="0"/>
                <w:sz w:val="18"/>
                <w:szCs w:val="18"/>
              </w:rPr>
              <w:t xml:space="preserve"> </w:t>
            </w:r>
          </w:p>
        </w:tc>
      </w:tr>
      <w:tr w14:paraId="703397C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FD5089B">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5F0608E8">
            <w:pPr>
              <w:spacing w:line="320" w:lineRule="exact"/>
              <w:jc w:val="left"/>
              <w:rPr>
                <w:color w:val="000000"/>
                <w:kern w:val="0"/>
                <w:sz w:val="18"/>
                <w:szCs w:val="18"/>
              </w:rPr>
            </w:pPr>
            <w:r>
              <w:rPr>
                <w:rFonts w:hint="eastAsia"/>
                <w:color w:val="000000"/>
                <w:kern w:val="0"/>
                <w:sz w:val="18"/>
                <w:szCs w:val="18"/>
              </w:rPr>
              <w:t>对擅自在街道两侧和公共场地搭建临时性建（构）筑物或者其他设施的处罚</w:t>
            </w:r>
          </w:p>
        </w:tc>
      </w:tr>
      <w:tr w14:paraId="560A79E7">
        <w:tblPrEx>
          <w:tblCellMar>
            <w:top w:w="0" w:type="dxa"/>
            <w:left w:w="108" w:type="dxa"/>
            <w:bottom w:w="0" w:type="dxa"/>
            <w:right w:w="108" w:type="dxa"/>
          </w:tblCellMar>
        </w:tblPrEx>
        <w:trPr>
          <w:trHeight w:val="2820" w:hRule="atLeast"/>
        </w:trPr>
        <w:tc>
          <w:tcPr>
            <w:tcW w:w="1010" w:type="dxa"/>
            <w:tcBorders>
              <w:top w:val="nil"/>
              <w:left w:val="single" w:color="auto" w:sz="8" w:space="0"/>
              <w:bottom w:val="single" w:color="auto" w:sz="4" w:space="0"/>
              <w:right w:val="single" w:color="auto" w:sz="4" w:space="0"/>
            </w:tcBorders>
            <w:vAlign w:val="center"/>
          </w:tcPr>
          <w:p w14:paraId="1BDA310E">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65B30808">
            <w:pPr>
              <w:spacing w:line="320" w:lineRule="exact"/>
              <w:jc w:val="left"/>
              <w:rPr>
                <w:color w:val="000000"/>
                <w:kern w:val="0"/>
                <w:sz w:val="18"/>
                <w:szCs w:val="18"/>
              </w:rPr>
            </w:pPr>
            <w:r>
              <w:rPr>
                <w:rFonts w:hint="eastAsia"/>
                <w:color w:val="000000"/>
                <w:kern w:val="0"/>
                <w:sz w:val="18"/>
                <w:szCs w:val="18"/>
              </w:rPr>
              <w:t>【行政法规】《城市市容和环境卫生管理条例》（国务院令1992年第101号）</w:t>
            </w:r>
          </w:p>
          <w:p w14:paraId="324AAC76">
            <w:pPr>
              <w:spacing w:line="320" w:lineRule="exact"/>
              <w:jc w:val="left"/>
              <w:rPr>
                <w:color w:val="000000"/>
                <w:kern w:val="0"/>
                <w:sz w:val="18"/>
                <w:szCs w:val="18"/>
              </w:rPr>
            </w:pPr>
            <w:r>
              <w:rPr>
                <w:rFonts w:hint="eastAsia"/>
                <w:color w:val="000000"/>
                <w:kern w:val="0"/>
                <w:sz w:val="18"/>
                <w:szCs w:val="18"/>
              </w:rPr>
              <w:t xml:space="preserve">    第十四条 任何单位和个人都不得在街道两侧和公共场地堆放物料，搭建建筑物、构筑物或者其他设施。因建设等特殊需要，在街道两侧和公共场地临时堆放物料，搭建非永久性建筑物、构筑物或者其他设施的，必须征得城市人民政府市容环境卫生行政主管部门同意后，按照有关规定办理审批手续。     </w:t>
            </w:r>
          </w:p>
          <w:p w14:paraId="1CC5B851">
            <w:pPr>
              <w:spacing w:line="320" w:lineRule="exact"/>
              <w:jc w:val="left"/>
              <w:rPr>
                <w:color w:val="000000"/>
                <w:kern w:val="0"/>
                <w:sz w:val="18"/>
                <w:szCs w:val="18"/>
              </w:rPr>
            </w:pPr>
            <w:r>
              <w:rPr>
                <w:rFonts w:hint="eastAsia"/>
                <w:color w:val="000000"/>
                <w:kern w:val="0"/>
                <w:sz w:val="18"/>
                <w:szCs w:val="18"/>
              </w:rPr>
              <w:t xml:space="preserve">    第三十六条　有下列行为之一者，由城市人民政府市容环境卫生行政主管部门或者其委托的单位责令其停止违法行为，限期清理、拆除或者采取其他补救措施，并可处以罚款：</w:t>
            </w:r>
          </w:p>
          <w:p w14:paraId="0C4BB21C">
            <w:pPr>
              <w:spacing w:line="320" w:lineRule="exact"/>
              <w:jc w:val="left"/>
              <w:rPr>
                <w:color w:val="000000"/>
                <w:kern w:val="0"/>
                <w:sz w:val="18"/>
                <w:szCs w:val="18"/>
              </w:rPr>
            </w:pPr>
            <w:r>
              <w:rPr>
                <w:rFonts w:hint="eastAsia"/>
                <w:color w:val="000000"/>
                <w:kern w:val="0"/>
                <w:sz w:val="18"/>
                <w:szCs w:val="18"/>
              </w:rPr>
              <w:t>　　（二）未经城市人民政府市容环境卫生行政主管部门批准，擅自在街道两侧和公共场地堆放物料，搭建建筑物、构筑物或者其他设施，影响市容的；</w:t>
            </w:r>
          </w:p>
          <w:p w14:paraId="739A0A92">
            <w:pPr>
              <w:spacing w:line="320" w:lineRule="exact"/>
              <w:jc w:val="left"/>
              <w:rPr>
                <w:color w:val="000000"/>
                <w:kern w:val="0"/>
                <w:sz w:val="18"/>
                <w:szCs w:val="18"/>
              </w:rPr>
            </w:pPr>
            <w:r>
              <w:rPr>
                <w:rFonts w:hint="eastAsia"/>
                <w:color w:val="000000"/>
                <w:kern w:val="0"/>
                <w:sz w:val="18"/>
                <w:szCs w:val="18"/>
              </w:rPr>
              <w:t xml:space="preserve">【地方性法规】《江苏省城市市容和环境卫生管理条例》 </w:t>
            </w:r>
          </w:p>
          <w:p w14:paraId="33805177">
            <w:pPr>
              <w:spacing w:line="320" w:lineRule="exact"/>
              <w:jc w:val="left"/>
              <w:rPr>
                <w:color w:val="000000"/>
                <w:kern w:val="0"/>
                <w:sz w:val="18"/>
                <w:szCs w:val="18"/>
              </w:rPr>
            </w:pPr>
            <w:r>
              <w:rPr>
                <w:rFonts w:hint="eastAsia"/>
                <w:color w:val="000000"/>
                <w:kern w:val="0"/>
                <w:sz w:val="18"/>
                <w:szCs w:val="18"/>
              </w:rPr>
              <w:t xml:space="preserve">         第十八条 任何单位和个人不得擅自在街道两侧和公共场地堆放物料，搭建建（构）筑物或者其他设施。因建设等特殊需要，在街道两侧和公共场地临时堆放物料、搭建临时性建（构）筑物或者其他设施的，应当征得设区的市、县（市、区）城市管理主管部门同意后按照有关规定办理审批手续。</w:t>
            </w:r>
          </w:p>
          <w:p w14:paraId="68196609">
            <w:pPr>
              <w:spacing w:line="320" w:lineRule="exact"/>
              <w:jc w:val="left"/>
              <w:rPr>
                <w:color w:val="000000"/>
                <w:kern w:val="0"/>
                <w:sz w:val="18"/>
                <w:szCs w:val="18"/>
              </w:rPr>
            </w:pPr>
            <w:r>
              <w:rPr>
                <w:rFonts w:hint="eastAsia"/>
                <w:color w:val="000000"/>
                <w:kern w:val="0"/>
                <w:sz w:val="18"/>
                <w:szCs w:val="18"/>
              </w:rPr>
              <w:t xml:space="preserve">      第六十三条 违反本条例规定，有下列行为之一，影响市容的，由设区的市、县（市、区）城市管理主管部门按照以下规定处理：</w:t>
            </w:r>
          </w:p>
          <w:p w14:paraId="5A9F39F3">
            <w:pPr>
              <w:spacing w:line="320" w:lineRule="exact"/>
              <w:jc w:val="left"/>
              <w:rPr>
                <w:color w:val="000000"/>
                <w:kern w:val="0"/>
                <w:sz w:val="18"/>
                <w:szCs w:val="18"/>
              </w:rPr>
            </w:pPr>
            <w:r>
              <w:rPr>
                <w:rFonts w:hint="eastAsia"/>
                <w:color w:val="000000"/>
                <w:kern w:val="0"/>
                <w:sz w:val="18"/>
                <w:szCs w:val="18"/>
              </w:rPr>
              <w:t xml:space="preserve">    （四）擅自在街道两侧和公共场地搭建临时性建（构）筑物或者其他设施的，责令限期改正；逾期不改正的，对单位处五千元以上五万元以下罚款，对个人处五百元以上五千元以下罚款。</w:t>
            </w:r>
          </w:p>
        </w:tc>
      </w:tr>
      <w:tr w14:paraId="5EE2C7DD">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8073C4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67FBC615">
            <w:pPr>
              <w:spacing w:line="320" w:lineRule="exact"/>
              <w:jc w:val="left"/>
              <w:rPr>
                <w:color w:val="000000"/>
                <w:kern w:val="0"/>
                <w:sz w:val="18"/>
                <w:szCs w:val="18"/>
              </w:rPr>
            </w:pPr>
            <w:r>
              <w:rPr>
                <w:rFonts w:hint="eastAsia"/>
                <w:color w:val="000000"/>
                <w:kern w:val="0"/>
                <w:sz w:val="18"/>
                <w:szCs w:val="18"/>
              </w:rPr>
              <w:t>责令限期改正，罚款</w:t>
            </w:r>
          </w:p>
        </w:tc>
      </w:tr>
      <w:tr w14:paraId="28DE6446">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8A45A60">
            <w:pPr>
              <w:spacing w:line="320" w:lineRule="exact"/>
              <w:jc w:val="center"/>
              <w:rPr>
                <w:color w:val="000000"/>
                <w:kern w:val="0"/>
                <w:sz w:val="18"/>
                <w:szCs w:val="18"/>
              </w:rPr>
            </w:pPr>
            <w:r>
              <w:rPr>
                <w:rFonts w:hint="eastAsia"/>
                <w:color w:val="000000"/>
                <w:kern w:val="0"/>
                <w:sz w:val="18"/>
                <w:szCs w:val="18"/>
              </w:rPr>
              <w:t>裁量基准</w:t>
            </w:r>
          </w:p>
        </w:tc>
      </w:tr>
      <w:tr w14:paraId="421AA3D6">
        <w:tblPrEx>
          <w:tblCellMar>
            <w:top w:w="0" w:type="dxa"/>
            <w:left w:w="108" w:type="dxa"/>
            <w:bottom w:w="0" w:type="dxa"/>
            <w:right w:w="108" w:type="dxa"/>
          </w:tblCellMar>
        </w:tblPrEx>
        <w:trPr>
          <w:trHeight w:val="540" w:hRule="atLeast"/>
        </w:trPr>
        <w:tc>
          <w:tcPr>
            <w:tcW w:w="1010" w:type="dxa"/>
            <w:vMerge w:val="restart"/>
            <w:tcBorders>
              <w:top w:val="nil"/>
              <w:left w:val="single" w:color="auto" w:sz="8" w:space="0"/>
              <w:bottom w:val="single" w:color="auto" w:sz="4" w:space="0"/>
              <w:right w:val="single" w:color="auto" w:sz="4" w:space="0"/>
            </w:tcBorders>
            <w:vAlign w:val="center"/>
          </w:tcPr>
          <w:p w14:paraId="672B176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3D27327A">
            <w:pPr>
              <w:rPr>
                <w:color w:val="000000"/>
                <w:sz w:val="18"/>
                <w:szCs w:val="18"/>
              </w:rPr>
            </w:pPr>
            <w:r>
              <w:rPr>
                <w:rFonts w:hint="eastAsia"/>
                <w:color w:val="000000"/>
                <w:sz w:val="18"/>
                <w:szCs w:val="18"/>
              </w:rPr>
              <w:t>面积在</w:t>
            </w:r>
            <w:r>
              <w:rPr>
                <w:color w:val="000000"/>
                <w:sz w:val="18"/>
                <w:szCs w:val="18"/>
              </w:rPr>
              <w:t>2</w:t>
            </w:r>
            <w:r>
              <w:rPr>
                <w:rFonts w:hint="eastAsia"/>
                <w:color w:val="000000"/>
                <w:sz w:val="18"/>
                <w:szCs w:val="18"/>
              </w:rPr>
              <w:t>平方米以下或者长度在</w:t>
            </w:r>
            <w:r>
              <w:rPr>
                <w:color w:val="000000"/>
                <w:sz w:val="18"/>
                <w:szCs w:val="18"/>
              </w:rPr>
              <w:t>2</w:t>
            </w:r>
            <w:r>
              <w:rPr>
                <w:rFonts w:hint="eastAsia"/>
                <w:color w:val="000000"/>
                <w:sz w:val="18"/>
                <w:szCs w:val="18"/>
              </w:rPr>
              <w:t>米以下的</w:t>
            </w:r>
          </w:p>
        </w:tc>
        <w:tc>
          <w:tcPr>
            <w:tcW w:w="1016" w:type="dxa"/>
            <w:vMerge w:val="restart"/>
            <w:tcBorders>
              <w:top w:val="nil"/>
              <w:left w:val="single" w:color="auto" w:sz="4" w:space="0"/>
              <w:bottom w:val="single" w:color="auto" w:sz="4" w:space="0"/>
              <w:right w:val="single" w:color="auto" w:sz="4" w:space="0"/>
            </w:tcBorders>
            <w:vAlign w:val="center"/>
          </w:tcPr>
          <w:p w14:paraId="4F3A457A">
            <w:pPr>
              <w:rPr>
                <w:color w:val="000000"/>
                <w:sz w:val="18"/>
                <w:szCs w:val="18"/>
              </w:rPr>
            </w:pPr>
            <w:r>
              <w:rPr>
                <w:rFonts w:hint="eastAsia"/>
                <w:color w:val="000000"/>
                <w:sz w:val="18"/>
                <w:szCs w:val="18"/>
              </w:rPr>
              <w:t>裁量幅度</w:t>
            </w:r>
          </w:p>
        </w:tc>
        <w:tc>
          <w:tcPr>
            <w:tcW w:w="5614" w:type="dxa"/>
            <w:tcBorders>
              <w:top w:val="nil"/>
              <w:left w:val="nil"/>
              <w:bottom w:val="single" w:color="auto" w:sz="4" w:space="0"/>
              <w:right w:val="single" w:color="auto" w:sz="8" w:space="0"/>
            </w:tcBorders>
            <w:vAlign w:val="center"/>
          </w:tcPr>
          <w:p w14:paraId="05252FC9">
            <w:pPr>
              <w:spacing w:line="320" w:lineRule="exact"/>
              <w:jc w:val="left"/>
              <w:rPr>
                <w:color w:val="000000"/>
                <w:sz w:val="18"/>
                <w:szCs w:val="18"/>
              </w:rPr>
            </w:pPr>
            <w:r>
              <w:rPr>
                <w:rFonts w:hint="eastAsia"/>
                <w:color w:val="000000"/>
                <w:sz w:val="18"/>
                <w:szCs w:val="18"/>
              </w:rPr>
              <w:t>对单位：处50</w:t>
            </w:r>
            <w:r>
              <w:rPr>
                <w:color w:val="000000"/>
                <w:sz w:val="18"/>
                <w:szCs w:val="18"/>
              </w:rPr>
              <w:t>00</w:t>
            </w:r>
            <w:r>
              <w:rPr>
                <w:rFonts w:hint="eastAsia"/>
                <w:color w:val="000000"/>
                <w:sz w:val="18"/>
                <w:szCs w:val="18"/>
              </w:rPr>
              <w:t>元以上20000元以下罚款</w:t>
            </w:r>
          </w:p>
          <w:p w14:paraId="3E8D2BB2">
            <w:pPr>
              <w:spacing w:line="320" w:lineRule="exact"/>
              <w:jc w:val="left"/>
              <w:rPr>
                <w:color w:val="000000"/>
                <w:kern w:val="0"/>
                <w:sz w:val="18"/>
                <w:szCs w:val="18"/>
              </w:rPr>
            </w:pPr>
            <w:r>
              <w:rPr>
                <w:rFonts w:hint="eastAsia"/>
                <w:color w:val="000000"/>
                <w:sz w:val="18"/>
                <w:szCs w:val="18"/>
              </w:rPr>
              <w:t>对个人：处5</w:t>
            </w:r>
            <w:r>
              <w:rPr>
                <w:color w:val="000000"/>
                <w:sz w:val="18"/>
                <w:szCs w:val="18"/>
              </w:rPr>
              <w:t>00</w:t>
            </w:r>
            <w:r>
              <w:rPr>
                <w:rFonts w:hint="eastAsia"/>
                <w:color w:val="000000"/>
                <w:sz w:val="18"/>
                <w:szCs w:val="18"/>
              </w:rPr>
              <w:t>元以上2</w:t>
            </w:r>
            <w:r>
              <w:rPr>
                <w:color w:val="000000"/>
                <w:sz w:val="18"/>
                <w:szCs w:val="18"/>
              </w:rPr>
              <w:t>000</w:t>
            </w:r>
            <w:r>
              <w:rPr>
                <w:rFonts w:hint="eastAsia"/>
                <w:color w:val="000000"/>
                <w:sz w:val="18"/>
                <w:szCs w:val="18"/>
              </w:rPr>
              <w:t>元以下罚款</w:t>
            </w:r>
          </w:p>
        </w:tc>
      </w:tr>
      <w:tr w14:paraId="7102CEF2">
        <w:tblPrEx>
          <w:tblCellMar>
            <w:top w:w="0" w:type="dxa"/>
            <w:left w:w="108" w:type="dxa"/>
            <w:bottom w:w="0" w:type="dxa"/>
            <w:right w:w="108" w:type="dxa"/>
          </w:tblCellMar>
        </w:tblPrEx>
        <w:trPr>
          <w:trHeight w:val="540" w:hRule="atLeast"/>
        </w:trPr>
        <w:tc>
          <w:tcPr>
            <w:tcW w:w="1010" w:type="dxa"/>
            <w:vMerge w:val="continue"/>
            <w:tcBorders>
              <w:top w:val="nil"/>
              <w:left w:val="single" w:color="auto" w:sz="8" w:space="0"/>
              <w:bottom w:val="single" w:color="auto" w:sz="4" w:space="0"/>
              <w:right w:val="single" w:color="auto" w:sz="4" w:space="0"/>
            </w:tcBorders>
            <w:vAlign w:val="center"/>
          </w:tcPr>
          <w:p w14:paraId="6464F4F7">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1D9C487A">
            <w:pPr>
              <w:rPr>
                <w:color w:val="000000"/>
                <w:sz w:val="18"/>
                <w:szCs w:val="18"/>
              </w:rPr>
            </w:pPr>
            <w:r>
              <w:rPr>
                <w:rFonts w:hint="eastAsia"/>
                <w:color w:val="000000"/>
                <w:sz w:val="18"/>
                <w:szCs w:val="18"/>
              </w:rPr>
              <w:t>面积在</w:t>
            </w:r>
            <w:r>
              <w:rPr>
                <w:color w:val="000000"/>
                <w:sz w:val="18"/>
                <w:szCs w:val="18"/>
              </w:rPr>
              <w:t>2</w:t>
            </w:r>
            <w:r>
              <w:rPr>
                <w:rFonts w:hint="eastAsia"/>
                <w:color w:val="000000"/>
                <w:sz w:val="18"/>
                <w:szCs w:val="18"/>
              </w:rPr>
              <w:t>平方米以上</w:t>
            </w:r>
            <w:r>
              <w:rPr>
                <w:color w:val="000000"/>
                <w:sz w:val="18"/>
                <w:szCs w:val="18"/>
              </w:rPr>
              <w:t>15</w:t>
            </w:r>
            <w:r>
              <w:rPr>
                <w:rFonts w:hint="eastAsia"/>
                <w:color w:val="000000"/>
                <w:sz w:val="18"/>
                <w:szCs w:val="18"/>
              </w:rPr>
              <w:t>平方米以下或者长度在</w:t>
            </w:r>
            <w:r>
              <w:rPr>
                <w:color w:val="000000"/>
                <w:sz w:val="18"/>
                <w:szCs w:val="18"/>
              </w:rPr>
              <w:t>2</w:t>
            </w:r>
            <w:r>
              <w:rPr>
                <w:rFonts w:hint="eastAsia"/>
                <w:color w:val="000000"/>
                <w:sz w:val="18"/>
                <w:szCs w:val="18"/>
              </w:rPr>
              <w:t>米以上</w:t>
            </w:r>
            <w:r>
              <w:rPr>
                <w:color w:val="000000"/>
                <w:sz w:val="18"/>
                <w:szCs w:val="18"/>
              </w:rPr>
              <w:t>15</w:t>
            </w:r>
            <w:r>
              <w:rPr>
                <w:rFonts w:hint="eastAsia"/>
                <w:color w:val="000000"/>
                <w:sz w:val="18"/>
                <w:szCs w:val="18"/>
              </w:rPr>
              <w:t>米以下的</w:t>
            </w:r>
          </w:p>
        </w:tc>
        <w:tc>
          <w:tcPr>
            <w:tcW w:w="1016" w:type="dxa"/>
            <w:vMerge w:val="continue"/>
            <w:tcBorders>
              <w:top w:val="nil"/>
              <w:left w:val="single" w:color="auto" w:sz="4" w:space="0"/>
              <w:bottom w:val="single" w:color="auto" w:sz="4" w:space="0"/>
              <w:right w:val="single" w:color="auto" w:sz="4" w:space="0"/>
            </w:tcBorders>
            <w:vAlign w:val="center"/>
          </w:tcPr>
          <w:p w14:paraId="17FFB4F7">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1798FF4C">
            <w:pPr>
              <w:spacing w:line="320" w:lineRule="exact"/>
              <w:jc w:val="left"/>
              <w:rPr>
                <w:color w:val="000000"/>
                <w:sz w:val="18"/>
                <w:szCs w:val="18"/>
              </w:rPr>
            </w:pPr>
            <w:r>
              <w:rPr>
                <w:rFonts w:hint="eastAsia"/>
                <w:color w:val="000000"/>
                <w:sz w:val="18"/>
                <w:szCs w:val="18"/>
              </w:rPr>
              <w:t>对单位：处200</w:t>
            </w:r>
            <w:r>
              <w:rPr>
                <w:color w:val="000000"/>
                <w:sz w:val="18"/>
                <w:szCs w:val="18"/>
              </w:rPr>
              <w:t>00</w:t>
            </w:r>
            <w:r>
              <w:rPr>
                <w:rFonts w:hint="eastAsia"/>
                <w:color w:val="000000"/>
                <w:sz w:val="18"/>
                <w:szCs w:val="18"/>
              </w:rPr>
              <w:t>元以上30000元以下罚款</w:t>
            </w:r>
          </w:p>
          <w:p w14:paraId="35EBAD37">
            <w:pPr>
              <w:spacing w:line="320" w:lineRule="exact"/>
              <w:jc w:val="left"/>
              <w:rPr>
                <w:color w:val="000000"/>
                <w:kern w:val="0"/>
                <w:sz w:val="18"/>
                <w:szCs w:val="18"/>
              </w:rPr>
            </w:pPr>
            <w:r>
              <w:rPr>
                <w:rFonts w:hint="eastAsia"/>
                <w:color w:val="000000"/>
                <w:sz w:val="18"/>
                <w:szCs w:val="18"/>
              </w:rPr>
              <w:t>对个人：处2</w:t>
            </w:r>
            <w:r>
              <w:rPr>
                <w:color w:val="000000"/>
                <w:sz w:val="18"/>
                <w:szCs w:val="18"/>
              </w:rPr>
              <w:t>000</w:t>
            </w:r>
            <w:r>
              <w:rPr>
                <w:rFonts w:hint="eastAsia"/>
                <w:color w:val="000000"/>
                <w:sz w:val="18"/>
                <w:szCs w:val="18"/>
              </w:rPr>
              <w:t>元以上3</w:t>
            </w:r>
            <w:r>
              <w:rPr>
                <w:color w:val="000000"/>
                <w:sz w:val="18"/>
                <w:szCs w:val="18"/>
              </w:rPr>
              <w:t>000</w:t>
            </w:r>
            <w:r>
              <w:rPr>
                <w:rFonts w:hint="eastAsia"/>
                <w:color w:val="000000"/>
                <w:sz w:val="18"/>
                <w:szCs w:val="18"/>
              </w:rPr>
              <w:t>元以下罚款</w:t>
            </w:r>
          </w:p>
        </w:tc>
      </w:tr>
      <w:tr w14:paraId="6C856A43">
        <w:tblPrEx>
          <w:tblCellMar>
            <w:top w:w="0" w:type="dxa"/>
            <w:left w:w="108" w:type="dxa"/>
            <w:bottom w:w="0" w:type="dxa"/>
            <w:right w:w="108" w:type="dxa"/>
          </w:tblCellMar>
        </w:tblPrEx>
        <w:trPr>
          <w:trHeight w:val="540" w:hRule="atLeast"/>
        </w:trPr>
        <w:tc>
          <w:tcPr>
            <w:tcW w:w="1010" w:type="dxa"/>
            <w:vMerge w:val="continue"/>
            <w:tcBorders>
              <w:top w:val="nil"/>
              <w:left w:val="single" w:color="auto" w:sz="8" w:space="0"/>
              <w:bottom w:val="single" w:color="auto" w:sz="4" w:space="0"/>
              <w:right w:val="single" w:color="auto" w:sz="4" w:space="0"/>
            </w:tcBorders>
            <w:vAlign w:val="center"/>
          </w:tcPr>
          <w:p w14:paraId="478E5B7F">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49D5C31E">
            <w:pPr>
              <w:rPr>
                <w:color w:val="000000"/>
                <w:sz w:val="18"/>
                <w:szCs w:val="18"/>
              </w:rPr>
            </w:pPr>
            <w:r>
              <w:rPr>
                <w:rFonts w:hint="eastAsia"/>
                <w:color w:val="000000"/>
                <w:sz w:val="18"/>
                <w:szCs w:val="18"/>
              </w:rPr>
              <w:t>面积在</w:t>
            </w:r>
            <w:r>
              <w:rPr>
                <w:color w:val="000000"/>
                <w:sz w:val="18"/>
                <w:szCs w:val="18"/>
              </w:rPr>
              <w:t>15</w:t>
            </w:r>
            <w:r>
              <w:rPr>
                <w:rFonts w:hint="eastAsia"/>
                <w:color w:val="000000"/>
                <w:sz w:val="18"/>
                <w:szCs w:val="18"/>
              </w:rPr>
              <w:t>平方米以上或者长度在</w:t>
            </w:r>
            <w:r>
              <w:rPr>
                <w:color w:val="000000"/>
                <w:sz w:val="18"/>
                <w:szCs w:val="18"/>
              </w:rPr>
              <w:t>15</w:t>
            </w:r>
            <w:r>
              <w:rPr>
                <w:rFonts w:hint="eastAsia"/>
                <w:color w:val="000000"/>
                <w:sz w:val="18"/>
                <w:szCs w:val="18"/>
              </w:rPr>
              <w:t>米以上的</w:t>
            </w:r>
          </w:p>
        </w:tc>
        <w:tc>
          <w:tcPr>
            <w:tcW w:w="1016" w:type="dxa"/>
            <w:vMerge w:val="continue"/>
            <w:tcBorders>
              <w:top w:val="nil"/>
              <w:left w:val="single" w:color="auto" w:sz="4" w:space="0"/>
              <w:bottom w:val="single" w:color="auto" w:sz="4" w:space="0"/>
              <w:right w:val="single" w:color="auto" w:sz="4" w:space="0"/>
            </w:tcBorders>
            <w:vAlign w:val="center"/>
          </w:tcPr>
          <w:p w14:paraId="37C17892">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208207E0">
            <w:pPr>
              <w:spacing w:line="320" w:lineRule="exact"/>
              <w:jc w:val="left"/>
              <w:rPr>
                <w:color w:val="000000"/>
                <w:sz w:val="18"/>
                <w:szCs w:val="18"/>
              </w:rPr>
            </w:pPr>
            <w:r>
              <w:rPr>
                <w:rFonts w:hint="eastAsia"/>
                <w:color w:val="000000"/>
                <w:sz w:val="18"/>
                <w:szCs w:val="18"/>
              </w:rPr>
              <w:t>对单位：处30000元以上50000元以下罚款</w:t>
            </w:r>
          </w:p>
          <w:p w14:paraId="1DFAE968">
            <w:pPr>
              <w:spacing w:line="320" w:lineRule="exact"/>
              <w:jc w:val="left"/>
              <w:rPr>
                <w:color w:val="000000"/>
                <w:kern w:val="0"/>
                <w:sz w:val="18"/>
                <w:szCs w:val="18"/>
              </w:rPr>
            </w:pPr>
            <w:r>
              <w:rPr>
                <w:rFonts w:hint="eastAsia"/>
                <w:color w:val="000000"/>
                <w:sz w:val="18"/>
                <w:szCs w:val="18"/>
              </w:rPr>
              <w:t>对个人：处3</w:t>
            </w:r>
            <w:r>
              <w:rPr>
                <w:color w:val="000000"/>
                <w:sz w:val="18"/>
                <w:szCs w:val="18"/>
              </w:rPr>
              <w:t>000</w:t>
            </w:r>
            <w:r>
              <w:rPr>
                <w:rFonts w:hint="eastAsia"/>
                <w:color w:val="000000"/>
                <w:sz w:val="18"/>
                <w:szCs w:val="18"/>
              </w:rPr>
              <w:t>元以上5</w:t>
            </w:r>
            <w:r>
              <w:rPr>
                <w:color w:val="000000"/>
                <w:sz w:val="18"/>
                <w:szCs w:val="18"/>
              </w:rPr>
              <w:t>000</w:t>
            </w:r>
            <w:r>
              <w:rPr>
                <w:rFonts w:hint="eastAsia"/>
                <w:color w:val="000000"/>
                <w:sz w:val="18"/>
                <w:szCs w:val="18"/>
              </w:rPr>
              <w:t>元以下罚款</w:t>
            </w:r>
          </w:p>
        </w:tc>
      </w:tr>
    </w:tbl>
    <w:p w14:paraId="0B9BFDFB"/>
    <w:p w14:paraId="5356F4D9"/>
    <w:p w14:paraId="6A45E398"/>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4D46D602">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6ADF0DF9">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404CB581">
            <w:pPr>
              <w:rPr>
                <w:b/>
                <w:bCs/>
                <w:color w:val="000000"/>
              </w:rPr>
            </w:pPr>
            <w:r>
              <w:rPr>
                <w:b/>
                <w:bCs/>
                <w:color w:val="000000"/>
              </w:rPr>
              <w:t>320217474000</w:t>
            </w:r>
            <w:r>
              <w:rPr>
                <w:rFonts w:hint="eastAsia"/>
                <w:b/>
                <w:bCs/>
                <w:color w:val="000000"/>
              </w:rPr>
              <w:t xml:space="preserve"> </w:t>
            </w:r>
          </w:p>
        </w:tc>
      </w:tr>
      <w:tr w14:paraId="679EFC09">
        <w:tblPrEx>
          <w:tblCellMar>
            <w:top w:w="0" w:type="dxa"/>
            <w:left w:w="108" w:type="dxa"/>
            <w:bottom w:w="0" w:type="dxa"/>
            <w:right w:w="108" w:type="dxa"/>
          </w:tblCellMar>
        </w:tblPrEx>
        <w:trPr>
          <w:trHeight w:val="540" w:hRule="atLeast"/>
        </w:trPr>
        <w:tc>
          <w:tcPr>
            <w:tcW w:w="1070" w:type="dxa"/>
            <w:tcBorders>
              <w:top w:val="nil"/>
              <w:left w:val="single" w:color="auto" w:sz="8" w:space="0"/>
              <w:bottom w:val="single" w:color="auto" w:sz="4" w:space="0"/>
              <w:right w:val="single" w:color="auto" w:sz="4" w:space="0"/>
            </w:tcBorders>
            <w:vAlign w:val="center"/>
          </w:tcPr>
          <w:p w14:paraId="0463B62D">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48634B1C">
            <w:pPr>
              <w:spacing w:line="320" w:lineRule="exact"/>
              <w:jc w:val="left"/>
              <w:rPr>
                <w:color w:val="000000"/>
              </w:rPr>
            </w:pPr>
            <w:r>
              <w:rPr>
                <w:rFonts w:hint="eastAsia"/>
                <w:color w:val="000000"/>
                <w:kern w:val="0"/>
                <w:sz w:val="18"/>
                <w:szCs w:val="18"/>
              </w:rPr>
              <w:t>对中标人将中标项目转让给他人的，将中标项目肢解后分别转让给他人的，违反规定将中标项目的部分主体、关键性工作分包给他人的，或者分包人再次分包的处罚</w:t>
            </w:r>
          </w:p>
        </w:tc>
      </w:tr>
      <w:tr w14:paraId="03F64815">
        <w:tblPrEx>
          <w:tblCellMar>
            <w:top w:w="0" w:type="dxa"/>
            <w:left w:w="108" w:type="dxa"/>
            <w:bottom w:w="0" w:type="dxa"/>
            <w:right w:w="108" w:type="dxa"/>
          </w:tblCellMar>
        </w:tblPrEx>
        <w:trPr>
          <w:trHeight w:val="2115" w:hRule="atLeast"/>
        </w:trPr>
        <w:tc>
          <w:tcPr>
            <w:tcW w:w="1070" w:type="dxa"/>
            <w:tcBorders>
              <w:top w:val="nil"/>
              <w:left w:val="single" w:color="auto" w:sz="8" w:space="0"/>
              <w:bottom w:val="single" w:color="auto" w:sz="4" w:space="0"/>
              <w:right w:val="single" w:color="auto" w:sz="4" w:space="0"/>
            </w:tcBorders>
            <w:vAlign w:val="center"/>
          </w:tcPr>
          <w:p w14:paraId="1B8E2638">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75D18834">
            <w:pPr>
              <w:spacing w:line="300" w:lineRule="exact"/>
              <w:rPr>
                <w:color w:val="000000"/>
              </w:rPr>
            </w:pPr>
            <w:r>
              <w:rPr>
                <w:rFonts w:hint="eastAsia"/>
                <w:color w:val="000000"/>
                <w:kern w:val="0"/>
                <w:sz w:val="18"/>
                <w:szCs w:val="18"/>
              </w:rPr>
              <w:t>【法律】《中华人民共和国招标投标法》</w:t>
            </w:r>
            <w:r>
              <w:rPr>
                <w:color w:val="000000"/>
                <w:kern w:val="0"/>
                <w:sz w:val="18"/>
                <w:szCs w:val="18"/>
              </w:rPr>
              <w:br w:type="textWrapping"/>
            </w:r>
            <w:r>
              <w:rPr>
                <w:rFonts w:hint="eastAsia"/>
                <w:color w:val="000000"/>
                <w:kern w:val="0"/>
                <w:sz w:val="18"/>
                <w:szCs w:val="18"/>
              </w:rPr>
              <w:t>第四十八条第一款　中标人应当按照合同约定履行义务，完成中标项目。中标人不得向他人转让中标项目，也不得将中标项目肢解后分别向他人转让。</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中标人按照合同约定或者经招标人同意，可以将中标项目的部分非主体、非关键性工作分包给他人完成。接受分包的人应当具备相应的资格条件，并不得再次分包。</w:t>
            </w:r>
            <w:r>
              <w:rPr>
                <w:color w:val="000000"/>
                <w:kern w:val="0"/>
                <w:sz w:val="18"/>
                <w:szCs w:val="18"/>
              </w:rPr>
              <w:br w:type="textWrapping"/>
            </w:r>
            <w:r>
              <w:rPr>
                <w:rFonts w:hint="eastAsia"/>
                <w:color w:val="000000"/>
                <w:kern w:val="0"/>
                <w:sz w:val="18"/>
                <w:szCs w:val="18"/>
              </w:rPr>
              <w:t>第五十八条　中标人将中标项目转让给他人的，将中标项目肢解后分别转让给他人的，违反本法规定将中标项目的部分主体、关键性工作分包给他人的，或者分包人再次分包的，转让、分包无效，处转让、分包项目金额千分之五以上千分之十以下的罚款；有违法所得的，并处没收违法所得；可以责令停业整顿；情节严重的，由工商行政管理机关吊销营业执照。</w:t>
            </w:r>
          </w:p>
        </w:tc>
      </w:tr>
      <w:tr w14:paraId="76D4EC77">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99DAAEE">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3EADCC84">
            <w:pPr>
              <w:rPr>
                <w:color w:val="000000"/>
              </w:rPr>
            </w:pPr>
            <w:r>
              <w:rPr>
                <w:rFonts w:hint="eastAsia"/>
                <w:color w:val="000000"/>
              </w:rPr>
              <w:t>罚款，没收违法所得，责令停业整顿</w:t>
            </w:r>
          </w:p>
        </w:tc>
      </w:tr>
      <w:tr w14:paraId="7185AC1D">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5F88CBCA">
            <w:pPr>
              <w:jc w:val="center"/>
              <w:rPr>
                <w:color w:val="000000"/>
              </w:rPr>
            </w:pPr>
            <w:r>
              <w:rPr>
                <w:rFonts w:hint="eastAsia"/>
                <w:color w:val="000000"/>
              </w:rPr>
              <w:t>裁量基准</w:t>
            </w:r>
          </w:p>
        </w:tc>
      </w:tr>
      <w:tr w14:paraId="459B3BC7">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0978381C">
            <w:pPr>
              <w:rPr>
                <w:color w:val="000000"/>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704E030">
            <w:pPr>
              <w:spacing w:line="300" w:lineRule="exact"/>
              <w:rPr>
                <w:color w:val="000000"/>
                <w:kern w:val="0"/>
                <w:sz w:val="18"/>
                <w:szCs w:val="18"/>
              </w:rPr>
            </w:pPr>
            <w:r>
              <w:rPr>
                <w:rFonts w:hint="eastAsia"/>
                <w:color w:val="000000"/>
                <w:kern w:val="0"/>
                <w:sz w:val="18"/>
                <w:szCs w:val="18"/>
              </w:rPr>
              <w:t>将中标项目转让给他人，或者肢解后分别转让给他人，或者违反规定将中标项目的部分主体、关键性工作分包给他人，或者分包人再次分包的，接受人具有相应资质的</w:t>
            </w:r>
          </w:p>
        </w:tc>
        <w:tc>
          <w:tcPr>
            <w:tcW w:w="1106" w:type="dxa"/>
            <w:vMerge w:val="restart"/>
            <w:tcBorders>
              <w:top w:val="nil"/>
              <w:left w:val="single" w:color="auto" w:sz="4" w:space="0"/>
              <w:bottom w:val="single" w:color="auto" w:sz="4" w:space="0"/>
              <w:right w:val="single" w:color="auto" w:sz="4" w:space="0"/>
            </w:tcBorders>
            <w:vAlign w:val="center"/>
          </w:tcPr>
          <w:p w14:paraId="390BEEC1">
            <w:pPr>
              <w:rPr>
                <w:color w:val="000000"/>
              </w:rPr>
            </w:pPr>
            <w:r>
              <w:rPr>
                <w:rFonts w:hint="eastAsia"/>
                <w:color w:val="000000"/>
                <w:kern w:val="0"/>
                <w:sz w:val="18"/>
                <w:szCs w:val="18"/>
              </w:rPr>
              <w:t>裁量幅度</w:t>
            </w:r>
          </w:p>
        </w:tc>
        <w:tc>
          <w:tcPr>
            <w:tcW w:w="5714" w:type="dxa"/>
            <w:tcBorders>
              <w:top w:val="nil"/>
              <w:left w:val="nil"/>
              <w:bottom w:val="single" w:color="auto" w:sz="4" w:space="0"/>
              <w:right w:val="single" w:color="auto" w:sz="8" w:space="0"/>
            </w:tcBorders>
            <w:vAlign w:val="center"/>
          </w:tcPr>
          <w:p w14:paraId="1E5BAD2F">
            <w:pPr>
              <w:spacing w:line="300" w:lineRule="exact"/>
              <w:rPr>
                <w:color w:val="000000"/>
                <w:kern w:val="0"/>
                <w:sz w:val="18"/>
                <w:szCs w:val="18"/>
              </w:rPr>
            </w:pPr>
            <w:r>
              <w:rPr>
                <w:rFonts w:hint="eastAsia"/>
                <w:color w:val="000000"/>
                <w:kern w:val="0"/>
                <w:sz w:val="18"/>
                <w:szCs w:val="18"/>
              </w:rPr>
              <w:t>没收违法所得，处转让或分包项目金额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7FFFC0B3">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3D559C45">
            <w:pPr>
              <w:rPr>
                <w:color w:val="000000"/>
              </w:rPr>
            </w:pPr>
          </w:p>
        </w:tc>
        <w:tc>
          <w:tcPr>
            <w:tcW w:w="6140" w:type="dxa"/>
            <w:tcBorders>
              <w:top w:val="single" w:color="auto" w:sz="4" w:space="0"/>
              <w:left w:val="nil"/>
              <w:bottom w:val="single" w:color="auto" w:sz="4" w:space="0"/>
              <w:right w:val="single" w:color="auto" w:sz="4" w:space="0"/>
            </w:tcBorders>
            <w:vAlign w:val="center"/>
          </w:tcPr>
          <w:p w14:paraId="11B0730A">
            <w:pPr>
              <w:spacing w:line="300" w:lineRule="exact"/>
              <w:rPr>
                <w:color w:val="000000"/>
                <w:kern w:val="0"/>
                <w:sz w:val="18"/>
                <w:szCs w:val="18"/>
              </w:rPr>
            </w:pPr>
            <w:r>
              <w:rPr>
                <w:rFonts w:hint="eastAsia"/>
                <w:color w:val="000000"/>
                <w:kern w:val="0"/>
                <w:sz w:val="18"/>
                <w:szCs w:val="18"/>
              </w:rPr>
              <w:t>将中标项目转让给他人，或者肢解后分别转让给他人，或者违反规定将中标项目的部分主体、关键性工作分包给他人，或者分包人再次分包的，接受人没有相应资质的</w:t>
            </w:r>
          </w:p>
        </w:tc>
        <w:tc>
          <w:tcPr>
            <w:tcW w:w="1106" w:type="dxa"/>
            <w:vMerge w:val="continue"/>
            <w:tcBorders>
              <w:top w:val="nil"/>
              <w:left w:val="single" w:color="auto" w:sz="4" w:space="0"/>
              <w:bottom w:val="single" w:color="auto" w:sz="4" w:space="0"/>
              <w:right w:val="single" w:color="auto" w:sz="4" w:space="0"/>
            </w:tcBorders>
            <w:vAlign w:val="center"/>
          </w:tcPr>
          <w:p w14:paraId="031921E1">
            <w:pPr>
              <w:rPr>
                <w:color w:val="000000"/>
              </w:rPr>
            </w:pPr>
          </w:p>
        </w:tc>
        <w:tc>
          <w:tcPr>
            <w:tcW w:w="5714" w:type="dxa"/>
            <w:tcBorders>
              <w:top w:val="nil"/>
              <w:left w:val="nil"/>
              <w:bottom w:val="single" w:color="auto" w:sz="4" w:space="0"/>
              <w:right w:val="single" w:color="auto" w:sz="8" w:space="0"/>
            </w:tcBorders>
            <w:vAlign w:val="center"/>
          </w:tcPr>
          <w:p w14:paraId="79270793">
            <w:pPr>
              <w:spacing w:line="300" w:lineRule="exact"/>
              <w:rPr>
                <w:color w:val="000000"/>
                <w:kern w:val="0"/>
                <w:sz w:val="18"/>
                <w:szCs w:val="18"/>
              </w:rPr>
            </w:pPr>
            <w:r>
              <w:rPr>
                <w:rFonts w:hint="eastAsia"/>
                <w:color w:val="000000"/>
                <w:kern w:val="0"/>
                <w:sz w:val="18"/>
                <w:szCs w:val="18"/>
              </w:rPr>
              <w:t>没收违法所得，处转让或分包项目金额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r>
              <w:rPr>
                <w:color w:val="000000"/>
                <w:kern w:val="0"/>
                <w:sz w:val="18"/>
                <w:szCs w:val="18"/>
              </w:rPr>
              <w:t xml:space="preserve"> </w:t>
            </w:r>
          </w:p>
        </w:tc>
      </w:tr>
      <w:tr w14:paraId="79AAACC0">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149AAB6">
            <w:pPr>
              <w:rPr>
                <w:color w:val="000000"/>
              </w:rPr>
            </w:pPr>
          </w:p>
        </w:tc>
        <w:tc>
          <w:tcPr>
            <w:tcW w:w="6140" w:type="dxa"/>
            <w:tcBorders>
              <w:top w:val="single" w:color="auto" w:sz="4" w:space="0"/>
              <w:left w:val="nil"/>
              <w:bottom w:val="single" w:color="auto" w:sz="4" w:space="0"/>
              <w:right w:val="single" w:color="auto" w:sz="4" w:space="0"/>
            </w:tcBorders>
            <w:vAlign w:val="center"/>
          </w:tcPr>
          <w:p w14:paraId="762A5060">
            <w:pPr>
              <w:spacing w:line="300" w:lineRule="exact"/>
              <w:rPr>
                <w:color w:val="000000"/>
                <w:kern w:val="0"/>
                <w:sz w:val="18"/>
                <w:szCs w:val="18"/>
              </w:rPr>
            </w:pPr>
            <w:r>
              <w:rPr>
                <w:rFonts w:hint="eastAsia"/>
                <w:color w:val="000000"/>
                <w:kern w:val="0"/>
                <w:sz w:val="18"/>
                <w:szCs w:val="18"/>
              </w:rPr>
              <w:t>将中标项目转让给他人，或者肢解后分别转让给他人，或者违反规定将中标项目的部分主体、关键性工作分包给他人，或者分包人再次分包的，</w:t>
            </w:r>
            <w:r>
              <w:rPr>
                <w:color w:val="000000"/>
                <w:kern w:val="0"/>
                <w:sz w:val="18"/>
                <w:szCs w:val="18"/>
              </w:rPr>
              <w:t xml:space="preserve"> </w:t>
            </w:r>
            <w:r>
              <w:rPr>
                <w:rFonts w:hint="eastAsia"/>
                <w:color w:val="000000"/>
                <w:kern w:val="0"/>
                <w:sz w:val="18"/>
                <w:szCs w:val="18"/>
              </w:rPr>
              <w:t>出现质量安全事故、拖欠农民工工资等相关情形的</w:t>
            </w:r>
          </w:p>
        </w:tc>
        <w:tc>
          <w:tcPr>
            <w:tcW w:w="1106" w:type="dxa"/>
            <w:vMerge w:val="continue"/>
            <w:tcBorders>
              <w:top w:val="nil"/>
              <w:left w:val="single" w:color="auto" w:sz="4" w:space="0"/>
              <w:bottom w:val="single" w:color="auto" w:sz="4" w:space="0"/>
              <w:right w:val="single" w:color="auto" w:sz="4" w:space="0"/>
            </w:tcBorders>
            <w:vAlign w:val="center"/>
          </w:tcPr>
          <w:p w14:paraId="45E8DA75">
            <w:pPr>
              <w:rPr>
                <w:color w:val="000000"/>
              </w:rPr>
            </w:pPr>
          </w:p>
        </w:tc>
        <w:tc>
          <w:tcPr>
            <w:tcW w:w="5714" w:type="dxa"/>
            <w:tcBorders>
              <w:top w:val="nil"/>
              <w:left w:val="nil"/>
              <w:bottom w:val="single" w:color="auto" w:sz="4" w:space="0"/>
              <w:right w:val="single" w:color="auto" w:sz="8" w:space="0"/>
            </w:tcBorders>
            <w:vAlign w:val="center"/>
          </w:tcPr>
          <w:p w14:paraId="757E4BA2">
            <w:pPr>
              <w:spacing w:line="300" w:lineRule="exact"/>
              <w:rPr>
                <w:color w:val="000000"/>
                <w:kern w:val="0"/>
                <w:sz w:val="18"/>
                <w:szCs w:val="18"/>
              </w:rPr>
            </w:pPr>
            <w:r>
              <w:rPr>
                <w:rFonts w:hint="eastAsia"/>
                <w:color w:val="000000"/>
                <w:kern w:val="0"/>
                <w:sz w:val="18"/>
                <w:szCs w:val="18"/>
              </w:rPr>
              <w:t>没收违法所得，处转让或分包项目金额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以下罚款，责令停业整顿</w:t>
            </w:r>
          </w:p>
        </w:tc>
      </w:tr>
    </w:tbl>
    <w:p w14:paraId="02C2B253"/>
    <w:p w14:paraId="541A1447"/>
    <w:p w14:paraId="5C13B42B"/>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028D8131">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76093743">
            <w:pPr>
              <w:rPr>
                <w:color w:val="000000"/>
              </w:rPr>
            </w:pPr>
            <w:r>
              <w:rPr>
                <w:rFonts w:hint="eastAsia"/>
                <w:color w:val="000000"/>
              </w:rPr>
              <w:t>编号</w:t>
            </w:r>
          </w:p>
        </w:tc>
        <w:tc>
          <w:tcPr>
            <w:tcW w:w="12960" w:type="dxa"/>
            <w:gridSpan w:val="3"/>
            <w:tcBorders>
              <w:top w:val="single" w:color="auto" w:sz="8" w:space="0"/>
              <w:left w:val="nil"/>
              <w:bottom w:val="single" w:color="auto" w:sz="4" w:space="0"/>
              <w:right w:val="single" w:color="000000" w:sz="8" w:space="0"/>
            </w:tcBorders>
            <w:vAlign w:val="center"/>
          </w:tcPr>
          <w:p w14:paraId="4DB6E8CF">
            <w:pPr>
              <w:rPr>
                <w:b/>
                <w:bCs/>
                <w:color w:val="000000"/>
              </w:rPr>
            </w:pPr>
            <w:r>
              <w:rPr>
                <w:b/>
                <w:bCs/>
                <w:color w:val="000000"/>
              </w:rPr>
              <w:t>320217475000</w:t>
            </w:r>
          </w:p>
        </w:tc>
      </w:tr>
      <w:tr w14:paraId="37F4AD90">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E74F3B9">
            <w:pPr>
              <w:rPr>
                <w:color w:val="000000"/>
              </w:rPr>
            </w:pPr>
            <w:r>
              <w:rPr>
                <w:rFonts w:hint="eastAsia"/>
                <w:color w:val="000000"/>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599BFAF8">
            <w:pPr>
              <w:rPr>
                <w:color w:val="000000"/>
              </w:rPr>
            </w:pPr>
            <w:r>
              <w:rPr>
                <w:rFonts w:hint="eastAsia"/>
                <w:color w:val="000000"/>
              </w:rPr>
              <w:t>对中标人不按照与招标人订立的合同履行义务，情节严重的处罚</w:t>
            </w:r>
          </w:p>
        </w:tc>
      </w:tr>
      <w:tr w14:paraId="2BC63FF8">
        <w:tblPrEx>
          <w:tblCellMar>
            <w:top w:w="0" w:type="dxa"/>
            <w:left w:w="108" w:type="dxa"/>
            <w:bottom w:w="0" w:type="dxa"/>
            <w:right w:w="108" w:type="dxa"/>
          </w:tblCellMar>
        </w:tblPrEx>
        <w:trPr>
          <w:trHeight w:val="1290" w:hRule="atLeast"/>
        </w:trPr>
        <w:tc>
          <w:tcPr>
            <w:tcW w:w="1070" w:type="dxa"/>
            <w:tcBorders>
              <w:top w:val="nil"/>
              <w:left w:val="single" w:color="auto" w:sz="8" w:space="0"/>
              <w:bottom w:val="single" w:color="auto" w:sz="4" w:space="0"/>
              <w:right w:val="single" w:color="auto" w:sz="4" w:space="0"/>
            </w:tcBorders>
            <w:vAlign w:val="center"/>
          </w:tcPr>
          <w:p w14:paraId="3A8A7FD7">
            <w:pPr>
              <w:rPr>
                <w:color w:val="000000"/>
              </w:rPr>
            </w:pPr>
            <w:r>
              <w:rPr>
                <w:rFonts w:hint="eastAsia"/>
                <w:color w:val="000000"/>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45521B53">
            <w:pPr>
              <w:spacing w:line="300" w:lineRule="exact"/>
              <w:rPr>
                <w:color w:val="000000"/>
              </w:rPr>
            </w:pPr>
            <w:r>
              <w:rPr>
                <w:color w:val="000000"/>
              </w:rPr>
              <w:t xml:space="preserve"> </w:t>
            </w:r>
            <w:r>
              <w:rPr>
                <w:color w:val="000000"/>
                <w:kern w:val="0"/>
                <w:sz w:val="18"/>
                <w:szCs w:val="18"/>
              </w:rPr>
              <w:t xml:space="preserve">  </w:t>
            </w:r>
            <w:r>
              <w:rPr>
                <w:rFonts w:hint="eastAsia"/>
                <w:color w:val="000000"/>
                <w:kern w:val="0"/>
                <w:sz w:val="18"/>
                <w:szCs w:val="18"/>
              </w:rPr>
              <w:t>【法律】《中华人民共和国招标投标法》</w:t>
            </w:r>
            <w:r>
              <w:rPr>
                <w:color w:val="000000"/>
                <w:kern w:val="0"/>
                <w:sz w:val="18"/>
                <w:szCs w:val="18"/>
              </w:rPr>
              <w:br w:type="textWrapping"/>
            </w:r>
            <w:r>
              <w:rPr>
                <w:rFonts w:hint="eastAsia"/>
                <w:color w:val="000000"/>
                <w:kern w:val="0"/>
                <w:sz w:val="18"/>
                <w:szCs w:val="18"/>
              </w:rPr>
              <w:t>第四十八条第一款　中标人应当按照合同约定履行义务，完成中标项目。中标人不得向他人转让中标项目，也不得将中标项目肢解后分别向他人转让。</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第六十条第二款　中标人不按照与招标人订立的合同履行义务，情节严重的，取消其二年至五年内参加依法必须进行招标的项目的投标资格并予以公告，直至由工商行政管理机关吊销营业执照。</w:t>
            </w:r>
          </w:p>
        </w:tc>
      </w:tr>
      <w:tr w14:paraId="752F4E2B">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DF20102">
            <w:pPr>
              <w:rPr>
                <w:color w:val="000000"/>
              </w:rPr>
            </w:pPr>
            <w:r>
              <w:rPr>
                <w:rFonts w:hint="eastAsia"/>
                <w:color w:val="000000"/>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66ABE7B5">
            <w:pPr>
              <w:rPr>
                <w:color w:val="000000"/>
              </w:rPr>
            </w:pPr>
            <w:r>
              <w:rPr>
                <w:rFonts w:hint="eastAsia"/>
                <w:color w:val="000000"/>
              </w:rPr>
              <w:t>取消二年至五年内投标资格</w:t>
            </w:r>
          </w:p>
        </w:tc>
      </w:tr>
      <w:tr w14:paraId="7699BB7E">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2E3441AA">
            <w:pPr>
              <w:jc w:val="center"/>
              <w:rPr>
                <w:color w:val="000000"/>
              </w:rPr>
            </w:pPr>
            <w:r>
              <w:rPr>
                <w:rFonts w:hint="eastAsia"/>
                <w:color w:val="000000"/>
              </w:rPr>
              <w:t>裁量基准</w:t>
            </w:r>
          </w:p>
        </w:tc>
      </w:tr>
      <w:tr w14:paraId="35BE7BEC">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323D5648">
            <w:pPr>
              <w:rPr>
                <w:color w:val="000000"/>
              </w:rPr>
            </w:pPr>
            <w:r>
              <w:rPr>
                <w:rFonts w:hint="eastAsia"/>
                <w:color w:val="000000"/>
              </w:rPr>
              <w:t>情形描述</w:t>
            </w:r>
          </w:p>
        </w:tc>
        <w:tc>
          <w:tcPr>
            <w:tcW w:w="6140" w:type="dxa"/>
            <w:tcBorders>
              <w:top w:val="single" w:color="auto" w:sz="4" w:space="0"/>
              <w:left w:val="nil"/>
              <w:bottom w:val="single" w:color="auto" w:sz="4" w:space="0"/>
              <w:right w:val="single" w:color="auto" w:sz="4" w:space="0"/>
            </w:tcBorders>
            <w:vAlign w:val="center"/>
          </w:tcPr>
          <w:p w14:paraId="72773532">
            <w:pPr>
              <w:rPr>
                <w:color w:val="000000"/>
              </w:rPr>
            </w:pPr>
            <w:r>
              <w:rPr>
                <w:rFonts w:hint="eastAsia"/>
                <w:color w:val="000000"/>
              </w:rPr>
              <w:t>经招标人催告仍不履行的</w:t>
            </w:r>
          </w:p>
        </w:tc>
        <w:tc>
          <w:tcPr>
            <w:tcW w:w="1106" w:type="dxa"/>
            <w:vMerge w:val="restart"/>
            <w:tcBorders>
              <w:top w:val="nil"/>
              <w:left w:val="single" w:color="auto" w:sz="4" w:space="0"/>
              <w:bottom w:val="single" w:color="auto" w:sz="4" w:space="0"/>
              <w:right w:val="single" w:color="auto" w:sz="4" w:space="0"/>
            </w:tcBorders>
            <w:vAlign w:val="center"/>
          </w:tcPr>
          <w:p w14:paraId="278FDAF2">
            <w:pPr>
              <w:rPr>
                <w:color w:val="000000"/>
              </w:rPr>
            </w:pPr>
            <w:r>
              <w:rPr>
                <w:rFonts w:hint="eastAsia"/>
                <w:color w:val="000000"/>
              </w:rPr>
              <w:t>裁量幅度</w:t>
            </w:r>
          </w:p>
        </w:tc>
        <w:tc>
          <w:tcPr>
            <w:tcW w:w="5714" w:type="dxa"/>
            <w:tcBorders>
              <w:top w:val="nil"/>
              <w:left w:val="nil"/>
              <w:bottom w:val="single" w:color="auto" w:sz="4" w:space="0"/>
              <w:right w:val="single" w:color="auto" w:sz="8" w:space="0"/>
            </w:tcBorders>
            <w:vAlign w:val="center"/>
          </w:tcPr>
          <w:p w14:paraId="7512C67D">
            <w:pPr>
              <w:rPr>
                <w:color w:val="000000"/>
              </w:rPr>
            </w:pPr>
            <w:r>
              <w:rPr>
                <w:rFonts w:hint="eastAsia"/>
                <w:color w:val="000000"/>
              </w:rPr>
              <w:t>取消二年至三年内投标资格</w:t>
            </w:r>
          </w:p>
        </w:tc>
      </w:tr>
      <w:tr w14:paraId="243F1466">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5568CCC3">
            <w:pPr>
              <w:rPr>
                <w:color w:val="000000"/>
              </w:rPr>
            </w:pPr>
          </w:p>
        </w:tc>
        <w:tc>
          <w:tcPr>
            <w:tcW w:w="6140" w:type="dxa"/>
            <w:tcBorders>
              <w:top w:val="single" w:color="auto" w:sz="4" w:space="0"/>
              <w:left w:val="nil"/>
              <w:bottom w:val="single" w:color="auto" w:sz="4" w:space="0"/>
              <w:right w:val="single" w:color="auto" w:sz="4" w:space="0"/>
            </w:tcBorders>
            <w:vAlign w:val="center"/>
          </w:tcPr>
          <w:p w14:paraId="6C4123A3">
            <w:pPr>
              <w:rPr>
                <w:color w:val="000000"/>
              </w:rPr>
            </w:pPr>
            <w:r>
              <w:rPr>
                <w:rFonts w:hint="eastAsia"/>
                <w:color w:val="000000"/>
              </w:rPr>
              <w:t>经司法机关判决履行仍不履行的</w:t>
            </w:r>
          </w:p>
        </w:tc>
        <w:tc>
          <w:tcPr>
            <w:tcW w:w="1106" w:type="dxa"/>
            <w:vMerge w:val="continue"/>
            <w:tcBorders>
              <w:top w:val="nil"/>
              <w:left w:val="single" w:color="auto" w:sz="4" w:space="0"/>
              <w:bottom w:val="single" w:color="auto" w:sz="4" w:space="0"/>
              <w:right w:val="single" w:color="auto" w:sz="4" w:space="0"/>
            </w:tcBorders>
            <w:vAlign w:val="center"/>
          </w:tcPr>
          <w:p w14:paraId="1F5E35DB">
            <w:pPr>
              <w:rPr>
                <w:color w:val="000000"/>
              </w:rPr>
            </w:pPr>
          </w:p>
        </w:tc>
        <w:tc>
          <w:tcPr>
            <w:tcW w:w="5714" w:type="dxa"/>
            <w:tcBorders>
              <w:top w:val="nil"/>
              <w:left w:val="nil"/>
              <w:bottom w:val="single" w:color="auto" w:sz="4" w:space="0"/>
              <w:right w:val="single" w:color="auto" w:sz="8" w:space="0"/>
            </w:tcBorders>
            <w:vAlign w:val="center"/>
          </w:tcPr>
          <w:p w14:paraId="75E3F67D">
            <w:pPr>
              <w:rPr>
                <w:color w:val="000000"/>
              </w:rPr>
            </w:pPr>
            <w:r>
              <w:rPr>
                <w:rFonts w:hint="eastAsia"/>
                <w:color w:val="000000"/>
              </w:rPr>
              <w:t>取消三年至五年内投标资格</w:t>
            </w:r>
          </w:p>
        </w:tc>
      </w:tr>
    </w:tbl>
    <w:p w14:paraId="7A0563B2"/>
    <w:p w14:paraId="597A6406"/>
    <w:p w14:paraId="53A36DE9"/>
    <w:p w14:paraId="507371B6"/>
    <w:p w14:paraId="3BACDBD1"/>
    <w:p w14:paraId="54A37BB8"/>
    <w:p w14:paraId="4E4A1A0B"/>
    <w:p w14:paraId="7ADD56A7"/>
    <w:tbl>
      <w:tblPr>
        <w:tblStyle w:val="15"/>
        <w:tblW w:w="0" w:type="auto"/>
        <w:tblInd w:w="88" w:type="dxa"/>
        <w:tblLayout w:type="fixed"/>
        <w:tblCellMar>
          <w:top w:w="0" w:type="dxa"/>
          <w:left w:w="108" w:type="dxa"/>
          <w:bottom w:w="0" w:type="dxa"/>
          <w:right w:w="108" w:type="dxa"/>
        </w:tblCellMar>
      </w:tblPr>
      <w:tblGrid>
        <w:gridCol w:w="980"/>
        <w:gridCol w:w="6140"/>
        <w:gridCol w:w="1000"/>
        <w:gridCol w:w="5956"/>
      </w:tblGrid>
      <w:tr w14:paraId="51DD142A">
        <w:tblPrEx>
          <w:tblCellMar>
            <w:top w:w="0" w:type="dxa"/>
            <w:left w:w="108" w:type="dxa"/>
            <w:bottom w:w="0" w:type="dxa"/>
            <w:right w:w="108" w:type="dxa"/>
          </w:tblCellMar>
        </w:tblPrEx>
        <w:trPr>
          <w:trHeight w:val="90" w:hRule="atLeast"/>
        </w:trPr>
        <w:tc>
          <w:tcPr>
            <w:tcW w:w="980" w:type="dxa"/>
            <w:tcBorders>
              <w:top w:val="single" w:color="auto" w:sz="8" w:space="0"/>
              <w:left w:val="single" w:color="auto" w:sz="8" w:space="0"/>
              <w:bottom w:val="single" w:color="auto" w:sz="4" w:space="0"/>
              <w:right w:val="single" w:color="auto" w:sz="4" w:space="0"/>
            </w:tcBorders>
            <w:vAlign w:val="center"/>
          </w:tcPr>
          <w:p w14:paraId="6AF4192A">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color="auto" w:sz="8" w:space="0"/>
              <w:left w:val="nil"/>
              <w:bottom w:val="single" w:color="auto" w:sz="4" w:space="0"/>
              <w:right w:val="single" w:color="000000" w:sz="8" w:space="0"/>
            </w:tcBorders>
            <w:vAlign w:val="center"/>
          </w:tcPr>
          <w:p w14:paraId="539D4365">
            <w:pPr>
              <w:spacing w:line="320" w:lineRule="exact"/>
              <w:jc w:val="left"/>
              <w:rPr>
                <w:rFonts w:eastAsia="仿宋_GB2312"/>
                <w:b/>
                <w:bCs/>
                <w:color w:val="000000"/>
                <w:kern w:val="0"/>
                <w:sz w:val="18"/>
                <w:szCs w:val="18"/>
              </w:rPr>
            </w:pPr>
            <w:r>
              <w:rPr>
                <w:rFonts w:eastAsia="仿宋_GB2312"/>
                <w:b/>
                <w:bCs/>
                <w:color w:val="000000"/>
                <w:kern w:val="0"/>
                <w:sz w:val="18"/>
                <w:szCs w:val="18"/>
              </w:rPr>
              <w:t>320217480000</w:t>
            </w:r>
          </w:p>
        </w:tc>
      </w:tr>
      <w:tr w14:paraId="4986E0F3">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75A26147">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color="auto" w:sz="4" w:space="0"/>
              <w:left w:val="nil"/>
              <w:bottom w:val="single" w:color="auto" w:sz="4" w:space="0"/>
              <w:right w:val="single" w:color="000000" w:sz="8" w:space="0"/>
            </w:tcBorders>
            <w:vAlign w:val="center"/>
          </w:tcPr>
          <w:p w14:paraId="65A1C931">
            <w:pPr>
              <w:spacing w:line="320" w:lineRule="exact"/>
              <w:jc w:val="left"/>
              <w:rPr>
                <w:color w:val="000000"/>
                <w:kern w:val="0"/>
                <w:sz w:val="18"/>
                <w:szCs w:val="18"/>
              </w:rPr>
            </w:pPr>
            <w:r>
              <w:rPr>
                <w:rFonts w:hint="eastAsia"/>
                <w:color w:val="000000"/>
                <w:kern w:val="0"/>
                <w:sz w:val="18"/>
                <w:szCs w:val="18"/>
              </w:rPr>
              <w:t>对城镇污水处理设施维护运营单位擅自停运城镇污水处理设施，未按照规定事先报告或者采取应急处理措施的处罚</w:t>
            </w:r>
          </w:p>
        </w:tc>
      </w:tr>
      <w:tr w14:paraId="7B29EB8B">
        <w:tblPrEx>
          <w:tblCellMar>
            <w:top w:w="0" w:type="dxa"/>
            <w:left w:w="108" w:type="dxa"/>
            <w:bottom w:w="0" w:type="dxa"/>
            <w:right w:w="108" w:type="dxa"/>
          </w:tblCellMar>
        </w:tblPrEx>
        <w:trPr>
          <w:trHeight w:val="1875" w:hRule="atLeast"/>
        </w:trPr>
        <w:tc>
          <w:tcPr>
            <w:tcW w:w="980" w:type="dxa"/>
            <w:tcBorders>
              <w:top w:val="nil"/>
              <w:left w:val="single" w:color="auto" w:sz="8" w:space="0"/>
              <w:bottom w:val="single" w:color="auto" w:sz="4" w:space="0"/>
              <w:right w:val="single" w:color="auto" w:sz="4" w:space="0"/>
            </w:tcBorders>
            <w:vAlign w:val="center"/>
          </w:tcPr>
          <w:p w14:paraId="51F3D47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color="auto" w:sz="4" w:space="0"/>
              <w:left w:val="nil"/>
              <w:bottom w:val="single" w:color="auto" w:sz="4" w:space="0"/>
              <w:right w:val="single" w:color="000000" w:sz="8" w:space="0"/>
            </w:tcBorders>
            <w:vAlign w:val="center"/>
          </w:tcPr>
          <w:p w14:paraId="57154808">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14:paraId="36507BB8">
            <w:pPr>
              <w:spacing w:line="320" w:lineRule="exact"/>
              <w:jc w:val="left"/>
              <w:rPr>
                <w:color w:val="000000"/>
                <w:kern w:val="0"/>
                <w:sz w:val="18"/>
                <w:szCs w:val="18"/>
              </w:rPr>
            </w:pPr>
            <w:r>
              <w:rPr>
                <w:rFonts w:hint="eastAsia"/>
                <w:color w:val="000000"/>
                <w:kern w:val="0"/>
                <w:sz w:val="18"/>
                <w:szCs w:val="18"/>
              </w:rPr>
              <w:t>第三十一条　城镇污水处理设施维护运营单位不得擅自停运城镇污水处理设施，因检修等原因需要停运或者部分停运城镇污水处理设施的，应当在</w:t>
            </w:r>
            <w:r>
              <w:rPr>
                <w:color w:val="000000"/>
                <w:kern w:val="0"/>
                <w:sz w:val="18"/>
                <w:szCs w:val="18"/>
              </w:rPr>
              <w:t>90</w:t>
            </w:r>
            <w:r>
              <w:rPr>
                <w:rFonts w:hint="eastAsia"/>
                <w:color w:val="000000"/>
                <w:kern w:val="0"/>
                <w:sz w:val="18"/>
                <w:szCs w:val="18"/>
              </w:rPr>
              <w:t>个工作日前向城镇排水主管部门、环境保护主管部门报告。</w:t>
            </w:r>
          </w:p>
          <w:p w14:paraId="60DBAC79">
            <w:pPr>
              <w:spacing w:line="320" w:lineRule="exact"/>
              <w:jc w:val="left"/>
              <w:rPr>
                <w:color w:val="000000"/>
                <w:kern w:val="0"/>
                <w:sz w:val="18"/>
                <w:szCs w:val="18"/>
              </w:rPr>
            </w:pPr>
            <w:r>
              <w:rPr>
                <w:rFonts w:hint="eastAsia"/>
                <w:color w:val="000000"/>
                <w:kern w:val="0"/>
                <w:sz w:val="18"/>
                <w:szCs w:val="18"/>
              </w:rPr>
              <w:t>城镇污水处理设施维护运营单位在出现进水水质和水量发生重大变化可能导致出水水质超标，或者发生影响城镇污水处理设施安全运行的突发情况时，应当立即采取应急处理措施，并向城镇排水主管部门、环境保护主管部门报告。</w:t>
            </w:r>
          </w:p>
          <w:p w14:paraId="6921200A">
            <w:pPr>
              <w:spacing w:line="320" w:lineRule="exact"/>
              <w:jc w:val="left"/>
              <w:rPr>
                <w:color w:val="000000"/>
                <w:kern w:val="0"/>
                <w:sz w:val="18"/>
                <w:szCs w:val="18"/>
              </w:rPr>
            </w:pPr>
            <w:r>
              <w:rPr>
                <w:rFonts w:hint="eastAsia"/>
                <w:color w:val="000000"/>
                <w:kern w:val="0"/>
                <w:sz w:val="18"/>
                <w:szCs w:val="18"/>
              </w:rPr>
              <w:t>第五十二条第二款　违反本条例规定，城镇污水处理设施维护运营单位擅自停运城镇污水处理设施，未按照规定事先报告或者采取应急处理措施的，由城镇排水主管部门责令改正，给予警告；逾期不改正或者造成严重后果的，处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w:t>
            </w:r>
          </w:p>
        </w:tc>
      </w:tr>
      <w:tr w14:paraId="10075A82">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36D6ECB">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color="auto" w:sz="4" w:space="0"/>
              <w:left w:val="nil"/>
              <w:bottom w:val="single" w:color="auto" w:sz="4" w:space="0"/>
              <w:right w:val="single" w:color="000000" w:sz="8" w:space="0"/>
            </w:tcBorders>
            <w:vAlign w:val="center"/>
          </w:tcPr>
          <w:p w14:paraId="643BC442">
            <w:pPr>
              <w:spacing w:line="320" w:lineRule="exact"/>
              <w:jc w:val="left"/>
              <w:rPr>
                <w:color w:val="000000"/>
                <w:kern w:val="0"/>
                <w:sz w:val="18"/>
                <w:szCs w:val="18"/>
              </w:rPr>
            </w:pPr>
            <w:r>
              <w:rPr>
                <w:rFonts w:hint="eastAsia"/>
                <w:color w:val="000000"/>
                <w:kern w:val="0"/>
                <w:sz w:val="18"/>
                <w:szCs w:val="18"/>
              </w:rPr>
              <w:t>警告；罚款</w:t>
            </w:r>
          </w:p>
        </w:tc>
      </w:tr>
      <w:tr w14:paraId="72EEB65D">
        <w:tblPrEx>
          <w:tblCellMar>
            <w:top w:w="0" w:type="dxa"/>
            <w:left w:w="108" w:type="dxa"/>
            <w:bottom w:w="0" w:type="dxa"/>
            <w:right w:w="108" w:type="dxa"/>
          </w:tblCellMar>
        </w:tblPrEx>
        <w:trPr>
          <w:trHeight w:val="285" w:hRule="atLeast"/>
        </w:trPr>
        <w:tc>
          <w:tcPr>
            <w:tcW w:w="14076" w:type="dxa"/>
            <w:gridSpan w:val="4"/>
            <w:tcBorders>
              <w:top w:val="single" w:color="auto" w:sz="4" w:space="0"/>
              <w:left w:val="single" w:color="auto" w:sz="8" w:space="0"/>
              <w:bottom w:val="single" w:color="auto" w:sz="4" w:space="0"/>
              <w:right w:val="single" w:color="000000" w:sz="8" w:space="0"/>
            </w:tcBorders>
            <w:vAlign w:val="center"/>
          </w:tcPr>
          <w:p w14:paraId="6F2B37DE">
            <w:pPr>
              <w:spacing w:line="320" w:lineRule="exact"/>
              <w:jc w:val="center"/>
              <w:rPr>
                <w:color w:val="000000"/>
                <w:kern w:val="0"/>
                <w:sz w:val="18"/>
                <w:szCs w:val="18"/>
              </w:rPr>
            </w:pPr>
            <w:r>
              <w:rPr>
                <w:rFonts w:hint="eastAsia"/>
                <w:color w:val="000000"/>
                <w:kern w:val="0"/>
                <w:sz w:val="18"/>
                <w:szCs w:val="18"/>
              </w:rPr>
              <w:t>裁量基准</w:t>
            </w:r>
          </w:p>
        </w:tc>
      </w:tr>
      <w:tr w14:paraId="1A7D44F5">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2B4B9A0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A7155FB">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color="auto" w:sz="4" w:space="0"/>
              <w:bottom w:val="single" w:color="auto" w:sz="4" w:space="0"/>
              <w:right w:val="single" w:color="auto" w:sz="4" w:space="0"/>
            </w:tcBorders>
            <w:vAlign w:val="center"/>
          </w:tcPr>
          <w:p w14:paraId="6C9FC4FD">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color="auto" w:sz="4" w:space="0"/>
              <w:right w:val="single" w:color="auto" w:sz="8" w:space="0"/>
            </w:tcBorders>
            <w:vAlign w:val="center"/>
          </w:tcPr>
          <w:p w14:paraId="2D01B5D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79218BE4">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034B509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2D0CC69">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val="continue"/>
            <w:tcBorders>
              <w:top w:val="nil"/>
              <w:left w:val="single" w:color="auto" w:sz="4" w:space="0"/>
              <w:bottom w:val="single" w:color="auto" w:sz="4" w:space="0"/>
              <w:right w:val="single" w:color="auto" w:sz="4" w:space="0"/>
            </w:tcBorders>
            <w:vAlign w:val="center"/>
          </w:tcPr>
          <w:p w14:paraId="1B0228D5">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52F44D6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14:paraId="2084BBED">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78D7941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028DAB5">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val="continue"/>
            <w:tcBorders>
              <w:top w:val="nil"/>
              <w:left w:val="single" w:color="auto" w:sz="4" w:space="0"/>
              <w:bottom w:val="single" w:color="auto" w:sz="4" w:space="0"/>
              <w:right w:val="single" w:color="auto" w:sz="4" w:space="0"/>
            </w:tcBorders>
            <w:vAlign w:val="center"/>
          </w:tcPr>
          <w:p w14:paraId="73DC0550">
            <w:pPr>
              <w:spacing w:line="320" w:lineRule="exact"/>
              <w:jc w:val="left"/>
              <w:rPr>
                <w:color w:val="000000"/>
                <w:kern w:val="0"/>
                <w:sz w:val="18"/>
                <w:szCs w:val="18"/>
              </w:rPr>
            </w:pPr>
          </w:p>
        </w:tc>
        <w:tc>
          <w:tcPr>
            <w:tcW w:w="5956" w:type="dxa"/>
            <w:tcBorders>
              <w:top w:val="nil"/>
              <w:left w:val="nil"/>
              <w:bottom w:val="single" w:color="auto" w:sz="4" w:space="0"/>
              <w:right w:val="single" w:color="auto" w:sz="8" w:space="0"/>
            </w:tcBorders>
            <w:vAlign w:val="center"/>
          </w:tcPr>
          <w:p w14:paraId="74EAE4F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3EEAB169"/>
    <w:p w14:paraId="099CEF9A"/>
    <w:p w14:paraId="48E825FA"/>
    <w:p w14:paraId="7225E0BF"/>
    <w:p w14:paraId="514EC791"/>
    <w:p w14:paraId="31704C8A"/>
    <w:p w14:paraId="0D634C26"/>
    <w:p w14:paraId="6C8FD626"/>
    <w:tbl>
      <w:tblPr>
        <w:tblStyle w:val="15"/>
        <w:tblW w:w="0" w:type="auto"/>
        <w:tblInd w:w="88" w:type="dxa"/>
        <w:tblLayout w:type="fixed"/>
        <w:tblCellMar>
          <w:top w:w="0" w:type="dxa"/>
          <w:left w:w="108" w:type="dxa"/>
          <w:bottom w:w="0" w:type="dxa"/>
          <w:right w:w="108" w:type="dxa"/>
        </w:tblCellMar>
      </w:tblPr>
      <w:tblGrid>
        <w:gridCol w:w="1116"/>
        <w:gridCol w:w="6140"/>
        <w:gridCol w:w="1104"/>
        <w:gridCol w:w="5670"/>
      </w:tblGrid>
      <w:tr w14:paraId="20355B57">
        <w:tblPrEx>
          <w:tblCellMar>
            <w:top w:w="0" w:type="dxa"/>
            <w:left w:w="108" w:type="dxa"/>
            <w:bottom w:w="0" w:type="dxa"/>
            <w:right w:w="108" w:type="dxa"/>
          </w:tblCellMar>
        </w:tblPrEx>
        <w:trPr>
          <w:trHeight w:val="285" w:hRule="atLeast"/>
        </w:trPr>
        <w:tc>
          <w:tcPr>
            <w:tcW w:w="1116" w:type="dxa"/>
            <w:tcBorders>
              <w:top w:val="single" w:color="auto" w:sz="8" w:space="0"/>
              <w:left w:val="single" w:color="auto" w:sz="8" w:space="0"/>
              <w:bottom w:val="single" w:color="auto" w:sz="4" w:space="0"/>
              <w:right w:val="single" w:color="auto" w:sz="4" w:space="0"/>
            </w:tcBorders>
            <w:vAlign w:val="center"/>
          </w:tcPr>
          <w:p w14:paraId="7B558D01">
            <w:pPr>
              <w:spacing w:line="320" w:lineRule="exact"/>
              <w:jc w:val="center"/>
              <w:rPr>
                <w:color w:val="000000"/>
                <w:kern w:val="0"/>
                <w:sz w:val="18"/>
                <w:szCs w:val="18"/>
              </w:rPr>
            </w:pPr>
            <w:r>
              <w:rPr>
                <w:rFonts w:hint="eastAsia"/>
                <w:color w:val="000000"/>
                <w:kern w:val="0"/>
                <w:sz w:val="18"/>
                <w:szCs w:val="18"/>
              </w:rPr>
              <w:t>编号</w:t>
            </w:r>
          </w:p>
        </w:tc>
        <w:tc>
          <w:tcPr>
            <w:tcW w:w="12914" w:type="dxa"/>
            <w:gridSpan w:val="3"/>
            <w:tcBorders>
              <w:top w:val="single" w:color="auto" w:sz="8" w:space="0"/>
              <w:left w:val="nil"/>
              <w:bottom w:val="single" w:color="auto" w:sz="4" w:space="0"/>
              <w:right w:val="single" w:color="000000" w:sz="8" w:space="0"/>
            </w:tcBorders>
            <w:vAlign w:val="center"/>
          </w:tcPr>
          <w:p w14:paraId="161BFC42">
            <w:pPr>
              <w:spacing w:line="320" w:lineRule="exact"/>
              <w:jc w:val="left"/>
              <w:rPr>
                <w:rFonts w:eastAsia="仿宋_GB2312"/>
                <w:b/>
                <w:bCs/>
                <w:color w:val="000000"/>
                <w:kern w:val="0"/>
                <w:sz w:val="18"/>
                <w:szCs w:val="18"/>
              </w:rPr>
            </w:pPr>
            <w:r>
              <w:rPr>
                <w:rFonts w:eastAsia="仿宋_GB2312"/>
                <w:b/>
                <w:bCs/>
                <w:color w:val="000000"/>
                <w:kern w:val="0"/>
                <w:sz w:val="18"/>
                <w:szCs w:val="18"/>
              </w:rPr>
              <w:t>320217481000</w:t>
            </w:r>
            <w:r>
              <w:rPr>
                <w:rFonts w:hint="eastAsia" w:eastAsia="仿宋_GB2312"/>
                <w:b/>
                <w:bCs/>
                <w:color w:val="000000"/>
                <w:kern w:val="0"/>
                <w:sz w:val="18"/>
                <w:szCs w:val="18"/>
              </w:rPr>
              <w:t xml:space="preserve"> </w:t>
            </w:r>
          </w:p>
        </w:tc>
      </w:tr>
      <w:tr w14:paraId="0727EFE2">
        <w:tblPrEx>
          <w:tblCellMar>
            <w:top w:w="0" w:type="dxa"/>
            <w:left w:w="108" w:type="dxa"/>
            <w:bottom w:w="0" w:type="dxa"/>
            <w:right w:w="108" w:type="dxa"/>
          </w:tblCellMar>
        </w:tblPrEx>
        <w:trPr>
          <w:trHeight w:val="285" w:hRule="atLeast"/>
        </w:trPr>
        <w:tc>
          <w:tcPr>
            <w:tcW w:w="1116" w:type="dxa"/>
            <w:tcBorders>
              <w:top w:val="nil"/>
              <w:left w:val="single" w:color="auto" w:sz="8" w:space="0"/>
              <w:bottom w:val="single" w:color="auto" w:sz="4" w:space="0"/>
              <w:right w:val="single" w:color="auto" w:sz="4" w:space="0"/>
            </w:tcBorders>
            <w:vAlign w:val="center"/>
          </w:tcPr>
          <w:p w14:paraId="63B768C7">
            <w:pPr>
              <w:spacing w:line="320" w:lineRule="exact"/>
              <w:jc w:val="center"/>
              <w:rPr>
                <w:color w:val="000000"/>
                <w:kern w:val="0"/>
                <w:sz w:val="18"/>
                <w:szCs w:val="18"/>
              </w:rPr>
            </w:pPr>
            <w:r>
              <w:rPr>
                <w:rFonts w:hint="eastAsia"/>
                <w:color w:val="000000"/>
                <w:kern w:val="0"/>
                <w:sz w:val="18"/>
                <w:szCs w:val="18"/>
              </w:rPr>
              <w:t>行为名称</w:t>
            </w:r>
          </w:p>
        </w:tc>
        <w:tc>
          <w:tcPr>
            <w:tcW w:w="12914" w:type="dxa"/>
            <w:gridSpan w:val="3"/>
            <w:tcBorders>
              <w:top w:val="single" w:color="auto" w:sz="4" w:space="0"/>
              <w:left w:val="nil"/>
              <w:bottom w:val="single" w:color="auto" w:sz="4" w:space="0"/>
              <w:right w:val="single" w:color="000000" w:sz="8" w:space="0"/>
            </w:tcBorders>
            <w:vAlign w:val="center"/>
          </w:tcPr>
          <w:p w14:paraId="2C88A523">
            <w:pPr>
              <w:spacing w:line="320" w:lineRule="exact"/>
              <w:jc w:val="left"/>
              <w:rPr>
                <w:color w:val="000000"/>
                <w:kern w:val="0"/>
                <w:sz w:val="18"/>
                <w:szCs w:val="18"/>
              </w:rPr>
            </w:pPr>
            <w:r>
              <w:rPr>
                <w:rFonts w:hint="eastAsia"/>
                <w:color w:val="000000"/>
                <w:kern w:val="0"/>
                <w:sz w:val="18"/>
                <w:szCs w:val="18"/>
              </w:rPr>
              <w:t>对房地产开发企业未取得资质等级证书或者超越资质等级从事房地产开发经营的处罚</w:t>
            </w:r>
          </w:p>
        </w:tc>
      </w:tr>
      <w:tr w14:paraId="02BB4240">
        <w:tblPrEx>
          <w:tblCellMar>
            <w:top w:w="0" w:type="dxa"/>
            <w:left w:w="108" w:type="dxa"/>
            <w:bottom w:w="0" w:type="dxa"/>
            <w:right w:w="108" w:type="dxa"/>
          </w:tblCellMar>
        </w:tblPrEx>
        <w:trPr>
          <w:trHeight w:val="1335" w:hRule="atLeast"/>
        </w:trPr>
        <w:tc>
          <w:tcPr>
            <w:tcW w:w="1116" w:type="dxa"/>
            <w:tcBorders>
              <w:top w:val="nil"/>
              <w:left w:val="single" w:color="auto" w:sz="8" w:space="0"/>
              <w:bottom w:val="single" w:color="auto" w:sz="4" w:space="0"/>
              <w:right w:val="single" w:color="auto" w:sz="4" w:space="0"/>
            </w:tcBorders>
            <w:vAlign w:val="center"/>
          </w:tcPr>
          <w:p w14:paraId="3201DC36">
            <w:pPr>
              <w:spacing w:line="320" w:lineRule="exact"/>
              <w:jc w:val="center"/>
              <w:rPr>
                <w:color w:val="000000"/>
                <w:kern w:val="0"/>
                <w:sz w:val="18"/>
                <w:szCs w:val="18"/>
              </w:rPr>
            </w:pPr>
            <w:r>
              <w:rPr>
                <w:rFonts w:hint="eastAsia"/>
                <w:color w:val="000000"/>
                <w:kern w:val="0"/>
                <w:sz w:val="18"/>
                <w:szCs w:val="18"/>
              </w:rPr>
              <w:t>法律依据</w:t>
            </w:r>
          </w:p>
        </w:tc>
        <w:tc>
          <w:tcPr>
            <w:tcW w:w="12914" w:type="dxa"/>
            <w:gridSpan w:val="3"/>
            <w:tcBorders>
              <w:top w:val="single" w:color="auto" w:sz="4" w:space="0"/>
              <w:left w:val="nil"/>
              <w:bottom w:val="single" w:color="auto" w:sz="4" w:space="0"/>
              <w:right w:val="single" w:color="000000" w:sz="8" w:space="0"/>
            </w:tcBorders>
            <w:vAlign w:val="center"/>
          </w:tcPr>
          <w:p w14:paraId="3CDBBA28">
            <w:pPr>
              <w:spacing w:line="320" w:lineRule="exact"/>
              <w:jc w:val="left"/>
              <w:rPr>
                <w:color w:val="000000"/>
                <w:kern w:val="0"/>
                <w:sz w:val="18"/>
                <w:szCs w:val="18"/>
              </w:rPr>
            </w:pPr>
            <w:r>
              <w:rPr>
                <w:rFonts w:hint="eastAsia" w:eastAsia="仿宋_GB2312"/>
                <w:b/>
                <w:bCs/>
                <w:color w:val="000000"/>
                <w:kern w:val="0"/>
                <w:sz w:val="18"/>
                <w:szCs w:val="18"/>
              </w:rPr>
              <w:t>【</w:t>
            </w:r>
            <w:r>
              <w:rPr>
                <w:rFonts w:hint="eastAsia"/>
                <w:color w:val="000000"/>
                <w:kern w:val="0"/>
                <w:sz w:val="18"/>
                <w:szCs w:val="18"/>
              </w:rPr>
              <w:t>行政法规</w:t>
            </w:r>
            <w:r>
              <w:rPr>
                <w:rFonts w:hint="eastAsia" w:eastAsia="仿宋_GB2312"/>
                <w:b/>
                <w:bCs/>
                <w:color w:val="000000"/>
                <w:kern w:val="0"/>
                <w:sz w:val="18"/>
                <w:szCs w:val="18"/>
              </w:rPr>
              <w:t>】</w:t>
            </w:r>
            <w:r>
              <w:rPr>
                <w:rFonts w:hint="eastAsia"/>
                <w:color w:val="000000"/>
                <w:kern w:val="0"/>
                <w:sz w:val="18"/>
                <w:szCs w:val="18"/>
              </w:rPr>
              <w:t>《城市房地产开发经营管理条例》（</w:t>
            </w:r>
            <w:r>
              <w:rPr>
                <w:color w:val="000000"/>
                <w:kern w:val="0"/>
                <w:sz w:val="18"/>
                <w:szCs w:val="18"/>
              </w:rPr>
              <w:t>1998</w:t>
            </w:r>
            <w:r>
              <w:rPr>
                <w:rFonts w:hint="eastAsia"/>
                <w:color w:val="000000"/>
                <w:kern w:val="0"/>
                <w:sz w:val="18"/>
                <w:szCs w:val="18"/>
              </w:rPr>
              <w:t>年国务院令</w:t>
            </w:r>
            <w:r>
              <w:rPr>
                <w:color w:val="000000"/>
                <w:kern w:val="0"/>
                <w:sz w:val="18"/>
                <w:szCs w:val="18"/>
              </w:rPr>
              <w:t>248</w:t>
            </w:r>
            <w:r>
              <w:rPr>
                <w:rFonts w:hint="eastAsia"/>
                <w:color w:val="000000"/>
                <w:kern w:val="0"/>
                <w:sz w:val="18"/>
                <w:szCs w:val="18"/>
              </w:rPr>
              <w:t>号）</w:t>
            </w:r>
          </w:p>
          <w:p w14:paraId="193AB122">
            <w:pPr>
              <w:spacing w:line="320" w:lineRule="exact"/>
              <w:jc w:val="left"/>
              <w:rPr>
                <w:color w:val="000000"/>
                <w:kern w:val="0"/>
                <w:sz w:val="18"/>
                <w:szCs w:val="18"/>
              </w:rPr>
            </w:pPr>
            <w:r>
              <w:rPr>
                <w:rFonts w:hint="eastAsia"/>
                <w:color w:val="000000"/>
                <w:kern w:val="0"/>
                <w:sz w:val="18"/>
                <w:szCs w:val="18"/>
              </w:rPr>
              <w:t>第九条　房地产开发主管部门应当根据房地产开发企业的资产、专业技术人员和开发经营业绩等，对备案的房地产开发企业核定资质等级。房地产开发企业应当按照核定的资质等级，承担相应的房地产开发项目。具体办法由国务院建设行政主管部门制定。</w:t>
            </w:r>
          </w:p>
          <w:p w14:paraId="0792218B">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违反本条例规定，未取得资质等级证书或者超越资质等级从事房地产开发经营的，由县级以上人民政府房地产开发主管部门责令限期改正，处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万元以下的罚款；逾期不改正的，由工商行政管理部门吊销营业执照。</w:t>
            </w:r>
          </w:p>
        </w:tc>
      </w:tr>
      <w:tr w14:paraId="376C644F">
        <w:tblPrEx>
          <w:tblCellMar>
            <w:top w:w="0" w:type="dxa"/>
            <w:left w:w="108" w:type="dxa"/>
            <w:bottom w:w="0" w:type="dxa"/>
            <w:right w:w="108" w:type="dxa"/>
          </w:tblCellMar>
        </w:tblPrEx>
        <w:trPr>
          <w:trHeight w:val="285" w:hRule="atLeast"/>
        </w:trPr>
        <w:tc>
          <w:tcPr>
            <w:tcW w:w="1116" w:type="dxa"/>
            <w:tcBorders>
              <w:top w:val="nil"/>
              <w:left w:val="single" w:color="auto" w:sz="8" w:space="0"/>
              <w:bottom w:val="single" w:color="auto" w:sz="4" w:space="0"/>
              <w:right w:val="single" w:color="auto" w:sz="4" w:space="0"/>
            </w:tcBorders>
            <w:vAlign w:val="center"/>
          </w:tcPr>
          <w:p w14:paraId="7B4A9033">
            <w:pPr>
              <w:spacing w:line="320" w:lineRule="exact"/>
              <w:jc w:val="center"/>
              <w:rPr>
                <w:color w:val="000000"/>
                <w:kern w:val="0"/>
                <w:sz w:val="18"/>
                <w:szCs w:val="18"/>
              </w:rPr>
            </w:pPr>
            <w:r>
              <w:rPr>
                <w:rFonts w:hint="eastAsia"/>
                <w:color w:val="000000"/>
                <w:kern w:val="0"/>
                <w:sz w:val="18"/>
                <w:szCs w:val="18"/>
              </w:rPr>
              <w:t>行使内容</w:t>
            </w:r>
          </w:p>
        </w:tc>
        <w:tc>
          <w:tcPr>
            <w:tcW w:w="12914" w:type="dxa"/>
            <w:gridSpan w:val="3"/>
            <w:tcBorders>
              <w:top w:val="single" w:color="auto" w:sz="4" w:space="0"/>
              <w:left w:val="nil"/>
              <w:bottom w:val="single" w:color="auto" w:sz="4" w:space="0"/>
              <w:right w:val="single" w:color="000000" w:sz="8" w:space="0"/>
            </w:tcBorders>
            <w:vAlign w:val="center"/>
          </w:tcPr>
          <w:p w14:paraId="09F81118">
            <w:pPr>
              <w:spacing w:line="320" w:lineRule="exact"/>
              <w:jc w:val="left"/>
              <w:rPr>
                <w:color w:val="000000"/>
                <w:kern w:val="0"/>
                <w:sz w:val="18"/>
                <w:szCs w:val="18"/>
              </w:rPr>
            </w:pPr>
            <w:r>
              <w:rPr>
                <w:rFonts w:hint="eastAsia"/>
                <w:color w:val="000000"/>
                <w:kern w:val="0"/>
                <w:sz w:val="18"/>
                <w:szCs w:val="18"/>
              </w:rPr>
              <w:t>罚款</w:t>
            </w:r>
          </w:p>
        </w:tc>
      </w:tr>
      <w:tr w14:paraId="03CD78ED">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22351874">
            <w:pPr>
              <w:spacing w:line="320" w:lineRule="exact"/>
              <w:jc w:val="center"/>
              <w:rPr>
                <w:color w:val="000000"/>
                <w:kern w:val="0"/>
                <w:sz w:val="18"/>
                <w:szCs w:val="18"/>
              </w:rPr>
            </w:pPr>
            <w:r>
              <w:rPr>
                <w:rFonts w:hint="eastAsia"/>
                <w:color w:val="000000"/>
                <w:kern w:val="0"/>
                <w:sz w:val="18"/>
                <w:szCs w:val="18"/>
              </w:rPr>
              <w:t>裁量基准</w:t>
            </w:r>
          </w:p>
        </w:tc>
      </w:tr>
      <w:tr w14:paraId="2D3C7B20">
        <w:tblPrEx>
          <w:tblCellMar>
            <w:top w:w="0" w:type="dxa"/>
            <w:left w:w="108" w:type="dxa"/>
            <w:bottom w:w="0" w:type="dxa"/>
            <w:right w:w="108" w:type="dxa"/>
          </w:tblCellMar>
        </w:tblPrEx>
        <w:trPr>
          <w:trHeight w:val="203" w:hRule="atLeast"/>
        </w:trPr>
        <w:tc>
          <w:tcPr>
            <w:tcW w:w="1116" w:type="dxa"/>
            <w:vMerge w:val="restart"/>
            <w:tcBorders>
              <w:top w:val="nil"/>
              <w:left w:val="single" w:color="auto" w:sz="8" w:space="0"/>
              <w:right w:val="single" w:color="auto" w:sz="4" w:space="0"/>
            </w:tcBorders>
            <w:vAlign w:val="center"/>
          </w:tcPr>
          <w:p w14:paraId="177AACB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E22D87F">
            <w:pPr>
              <w:spacing w:line="320" w:lineRule="exact"/>
              <w:jc w:val="left"/>
              <w:rPr>
                <w:color w:val="000000"/>
                <w:kern w:val="0"/>
                <w:sz w:val="18"/>
                <w:szCs w:val="18"/>
              </w:rPr>
            </w:pPr>
            <w:r>
              <w:rPr>
                <w:rFonts w:hint="eastAsia"/>
                <w:color w:val="000000"/>
                <w:kern w:val="0"/>
                <w:sz w:val="18"/>
                <w:szCs w:val="18"/>
              </w:rPr>
              <w:t>超越</w:t>
            </w:r>
            <w:r>
              <w:rPr>
                <w:color w:val="000000"/>
                <w:kern w:val="0"/>
                <w:sz w:val="18"/>
                <w:szCs w:val="18"/>
              </w:rPr>
              <w:t>1</w:t>
            </w:r>
            <w:r>
              <w:rPr>
                <w:rFonts w:hint="eastAsia"/>
                <w:color w:val="000000"/>
                <w:kern w:val="0"/>
                <w:sz w:val="18"/>
                <w:szCs w:val="18"/>
              </w:rPr>
              <w:t>个资质等级的</w:t>
            </w:r>
          </w:p>
        </w:tc>
        <w:tc>
          <w:tcPr>
            <w:tcW w:w="1104" w:type="dxa"/>
            <w:vMerge w:val="restart"/>
            <w:tcBorders>
              <w:top w:val="single" w:color="auto" w:sz="4" w:space="0"/>
              <w:left w:val="single" w:color="auto" w:sz="4" w:space="0"/>
              <w:bottom w:val="single" w:color="auto" w:sz="4" w:space="0"/>
              <w:right w:val="single" w:color="auto" w:sz="4" w:space="0"/>
            </w:tcBorders>
            <w:vAlign w:val="center"/>
          </w:tcPr>
          <w:p w14:paraId="3D686A45">
            <w:pPr>
              <w:spacing w:line="320" w:lineRule="exact"/>
              <w:jc w:val="center"/>
              <w:rPr>
                <w:color w:val="000000"/>
                <w:kern w:val="0"/>
                <w:sz w:val="18"/>
                <w:szCs w:val="18"/>
              </w:rPr>
            </w:pPr>
            <w:r>
              <w:rPr>
                <w:rFonts w:hint="eastAsia"/>
                <w:color w:val="000000"/>
                <w:kern w:val="0"/>
                <w:sz w:val="18"/>
                <w:szCs w:val="18"/>
              </w:rPr>
              <w:t>裁量幅度</w:t>
            </w:r>
          </w:p>
        </w:tc>
        <w:tc>
          <w:tcPr>
            <w:tcW w:w="5670" w:type="dxa"/>
            <w:tcBorders>
              <w:top w:val="single" w:color="auto" w:sz="4" w:space="0"/>
              <w:left w:val="nil"/>
              <w:bottom w:val="single" w:color="auto" w:sz="4" w:space="0"/>
              <w:right w:val="single" w:color="auto" w:sz="4" w:space="0"/>
            </w:tcBorders>
            <w:vAlign w:val="center"/>
          </w:tcPr>
          <w:p w14:paraId="12F1641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357FE294">
        <w:tblPrEx>
          <w:tblCellMar>
            <w:top w:w="0" w:type="dxa"/>
            <w:left w:w="108" w:type="dxa"/>
            <w:bottom w:w="0" w:type="dxa"/>
            <w:right w:w="108" w:type="dxa"/>
          </w:tblCellMar>
        </w:tblPrEx>
        <w:trPr>
          <w:trHeight w:val="202" w:hRule="atLeast"/>
        </w:trPr>
        <w:tc>
          <w:tcPr>
            <w:tcW w:w="1116" w:type="dxa"/>
            <w:vMerge w:val="continue"/>
            <w:tcBorders>
              <w:left w:val="single" w:color="auto" w:sz="8" w:space="0"/>
              <w:right w:val="single" w:color="auto" w:sz="4" w:space="0"/>
            </w:tcBorders>
            <w:vAlign w:val="center"/>
          </w:tcPr>
          <w:p w14:paraId="016C7D2C">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3E32B99">
            <w:pPr>
              <w:spacing w:line="320" w:lineRule="exact"/>
              <w:jc w:val="left"/>
              <w:rPr>
                <w:color w:val="000000"/>
                <w:kern w:val="0"/>
                <w:sz w:val="18"/>
                <w:szCs w:val="18"/>
              </w:rPr>
            </w:pPr>
            <w:r>
              <w:rPr>
                <w:rFonts w:hint="eastAsia"/>
                <w:color w:val="000000"/>
                <w:kern w:val="0"/>
                <w:sz w:val="18"/>
                <w:szCs w:val="18"/>
              </w:rPr>
              <w:t>超越</w:t>
            </w:r>
            <w:r>
              <w:rPr>
                <w:color w:val="000000"/>
                <w:kern w:val="0"/>
                <w:sz w:val="18"/>
                <w:szCs w:val="18"/>
              </w:rPr>
              <w:t>2</w:t>
            </w:r>
            <w:r>
              <w:rPr>
                <w:rFonts w:hint="eastAsia"/>
                <w:color w:val="000000"/>
                <w:kern w:val="0"/>
                <w:sz w:val="18"/>
                <w:szCs w:val="18"/>
              </w:rPr>
              <w:t>个以上资质等级的</w:t>
            </w:r>
          </w:p>
        </w:tc>
        <w:tc>
          <w:tcPr>
            <w:tcW w:w="1104" w:type="dxa"/>
            <w:vMerge w:val="continue"/>
            <w:tcBorders>
              <w:top w:val="single" w:color="auto" w:sz="4" w:space="0"/>
              <w:left w:val="single" w:color="auto" w:sz="4" w:space="0"/>
              <w:bottom w:val="single" w:color="auto" w:sz="4" w:space="0"/>
              <w:right w:val="single" w:color="auto" w:sz="4" w:space="0"/>
            </w:tcBorders>
            <w:vAlign w:val="center"/>
          </w:tcPr>
          <w:p w14:paraId="08FD5D90">
            <w:pPr>
              <w:spacing w:line="320" w:lineRule="exact"/>
              <w:jc w:val="center"/>
              <w:rPr>
                <w:color w:val="000000"/>
                <w:kern w:val="0"/>
                <w:sz w:val="18"/>
                <w:szCs w:val="18"/>
              </w:rPr>
            </w:pPr>
          </w:p>
        </w:tc>
        <w:tc>
          <w:tcPr>
            <w:tcW w:w="5670" w:type="dxa"/>
            <w:tcBorders>
              <w:top w:val="single" w:color="auto" w:sz="4" w:space="0"/>
              <w:left w:val="nil"/>
              <w:bottom w:val="single" w:color="auto" w:sz="4" w:space="0"/>
              <w:right w:val="single" w:color="auto" w:sz="4" w:space="0"/>
            </w:tcBorders>
            <w:vAlign w:val="center"/>
          </w:tcPr>
          <w:p w14:paraId="1A8A253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14:paraId="7A5B3BD8">
        <w:tblPrEx>
          <w:tblCellMar>
            <w:top w:w="0" w:type="dxa"/>
            <w:left w:w="108" w:type="dxa"/>
            <w:bottom w:w="0" w:type="dxa"/>
            <w:right w:w="108" w:type="dxa"/>
          </w:tblCellMar>
        </w:tblPrEx>
        <w:trPr>
          <w:trHeight w:val="285" w:hRule="atLeast"/>
        </w:trPr>
        <w:tc>
          <w:tcPr>
            <w:tcW w:w="1116" w:type="dxa"/>
            <w:vMerge w:val="continue"/>
            <w:tcBorders>
              <w:left w:val="single" w:color="auto" w:sz="8" w:space="0"/>
              <w:bottom w:val="single" w:color="auto" w:sz="4" w:space="0"/>
              <w:right w:val="single" w:color="auto" w:sz="4" w:space="0"/>
            </w:tcBorders>
            <w:vAlign w:val="center"/>
          </w:tcPr>
          <w:p w14:paraId="7F10AFE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8A4EDD8">
            <w:pPr>
              <w:spacing w:line="320" w:lineRule="exact"/>
              <w:jc w:val="left"/>
              <w:rPr>
                <w:color w:val="000000"/>
                <w:kern w:val="0"/>
                <w:sz w:val="18"/>
                <w:szCs w:val="18"/>
              </w:rPr>
            </w:pPr>
            <w:r>
              <w:rPr>
                <w:rFonts w:hint="eastAsia"/>
                <w:color w:val="000000"/>
                <w:kern w:val="0"/>
                <w:sz w:val="18"/>
                <w:szCs w:val="18"/>
              </w:rPr>
              <w:t>未取得资质等级证书从事三级及以下资质经营范围的项目开发经营的</w:t>
            </w:r>
          </w:p>
        </w:tc>
        <w:tc>
          <w:tcPr>
            <w:tcW w:w="1104" w:type="dxa"/>
            <w:vMerge w:val="continue"/>
            <w:tcBorders>
              <w:top w:val="single" w:color="auto" w:sz="4" w:space="0"/>
              <w:left w:val="single" w:color="auto" w:sz="4" w:space="0"/>
              <w:bottom w:val="single" w:color="auto" w:sz="4" w:space="0"/>
              <w:right w:val="single" w:color="auto" w:sz="4" w:space="0"/>
            </w:tcBorders>
            <w:vAlign w:val="center"/>
          </w:tcPr>
          <w:p w14:paraId="5F864176">
            <w:pPr>
              <w:spacing w:line="320" w:lineRule="exact"/>
              <w:jc w:val="left"/>
              <w:rPr>
                <w:color w:val="000000"/>
                <w:kern w:val="0"/>
                <w:sz w:val="18"/>
                <w:szCs w:val="18"/>
              </w:rPr>
            </w:pPr>
          </w:p>
        </w:tc>
        <w:tc>
          <w:tcPr>
            <w:tcW w:w="5670" w:type="dxa"/>
            <w:tcBorders>
              <w:top w:val="single" w:color="auto" w:sz="4" w:space="0"/>
              <w:left w:val="nil"/>
              <w:bottom w:val="single" w:color="auto" w:sz="4" w:space="0"/>
              <w:right w:val="single" w:color="auto" w:sz="8" w:space="0"/>
            </w:tcBorders>
            <w:vAlign w:val="center"/>
          </w:tcPr>
          <w:p w14:paraId="5F37B49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66DC0FEC">
        <w:tblPrEx>
          <w:tblCellMar>
            <w:top w:w="0" w:type="dxa"/>
            <w:left w:w="108" w:type="dxa"/>
            <w:bottom w:w="0" w:type="dxa"/>
            <w:right w:w="108" w:type="dxa"/>
          </w:tblCellMar>
        </w:tblPrEx>
        <w:trPr>
          <w:trHeight w:val="285" w:hRule="atLeast"/>
        </w:trPr>
        <w:tc>
          <w:tcPr>
            <w:tcW w:w="1116" w:type="dxa"/>
            <w:vMerge w:val="continue"/>
            <w:tcBorders>
              <w:left w:val="single" w:color="auto" w:sz="8" w:space="0"/>
              <w:bottom w:val="single" w:color="auto" w:sz="4" w:space="0"/>
              <w:right w:val="single" w:color="auto" w:sz="4" w:space="0"/>
            </w:tcBorders>
            <w:vAlign w:val="center"/>
          </w:tcPr>
          <w:p w14:paraId="67EB7D2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5A9AB08">
            <w:pPr>
              <w:spacing w:line="320" w:lineRule="exact"/>
              <w:jc w:val="left"/>
              <w:rPr>
                <w:color w:val="000000"/>
                <w:kern w:val="0"/>
                <w:sz w:val="18"/>
                <w:szCs w:val="18"/>
              </w:rPr>
            </w:pPr>
            <w:r>
              <w:rPr>
                <w:rFonts w:hint="eastAsia"/>
                <w:color w:val="000000"/>
                <w:kern w:val="0"/>
                <w:sz w:val="18"/>
                <w:szCs w:val="18"/>
              </w:rPr>
              <w:t>未取得资质等级证书从事二级及以上资质经营范围的项目开发经营的</w:t>
            </w:r>
          </w:p>
        </w:tc>
        <w:tc>
          <w:tcPr>
            <w:tcW w:w="1104" w:type="dxa"/>
            <w:vMerge w:val="continue"/>
            <w:tcBorders>
              <w:top w:val="single" w:color="auto" w:sz="4" w:space="0"/>
              <w:left w:val="single" w:color="auto" w:sz="4" w:space="0"/>
              <w:bottom w:val="single" w:color="auto" w:sz="4" w:space="0"/>
              <w:right w:val="single" w:color="auto" w:sz="4" w:space="0"/>
            </w:tcBorders>
            <w:vAlign w:val="center"/>
          </w:tcPr>
          <w:p w14:paraId="6D89B88F">
            <w:pPr>
              <w:spacing w:line="320" w:lineRule="exact"/>
              <w:jc w:val="left"/>
              <w:rPr>
                <w:color w:val="000000"/>
                <w:kern w:val="0"/>
                <w:sz w:val="18"/>
                <w:szCs w:val="18"/>
              </w:rPr>
            </w:pPr>
          </w:p>
        </w:tc>
        <w:tc>
          <w:tcPr>
            <w:tcW w:w="5670" w:type="dxa"/>
            <w:tcBorders>
              <w:top w:val="single" w:color="auto" w:sz="4" w:space="0"/>
              <w:left w:val="nil"/>
              <w:bottom w:val="single" w:color="auto" w:sz="4" w:space="0"/>
              <w:right w:val="single" w:color="auto" w:sz="8" w:space="0"/>
            </w:tcBorders>
            <w:vAlign w:val="center"/>
          </w:tcPr>
          <w:p w14:paraId="781E849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611CB149"/>
    <w:p w14:paraId="321B371A"/>
    <w:p w14:paraId="07B29274"/>
    <w:p w14:paraId="36291292"/>
    <w:p w14:paraId="37BECEB2"/>
    <w:p w14:paraId="3C1DE7B4"/>
    <w:p w14:paraId="4EEC4695"/>
    <w:p w14:paraId="79ABA62F"/>
    <w:p w14:paraId="3B56B95D"/>
    <w:tbl>
      <w:tblPr>
        <w:tblStyle w:val="15"/>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5247"/>
        <w:gridCol w:w="1276"/>
        <w:gridCol w:w="6497"/>
      </w:tblGrid>
      <w:tr w14:paraId="1E3DCD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tcBorders>
              <w:top w:val="single" w:color="auto" w:sz="8" w:space="0"/>
            </w:tcBorders>
            <w:shd w:val="clear" w:color="auto" w:fill="FFFFFF"/>
            <w:vAlign w:val="center"/>
          </w:tcPr>
          <w:p w14:paraId="31C45927">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tcBorders>
            <w:shd w:val="clear" w:color="auto" w:fill="FFFFFF"/>
            <w:vAlign w:val="center"/>
          </w:tcPr>
          <w:p w14:paraId="3CBAC4D4">
            <w:pPr>
              <w:jc w:val="left"/>
              <w:textAlignment w:val="center"/>
              <w:rPr>
                <w:rFonts w:eastAsia="仿宋_GB2312"/>
                <w:b/>
                <w:bCs/>
                <w:color w:val="000000"/>
                <w:kern w:val="0"/>
                <w:sz w:val="18"/>
                <w:szCs w:val="18"/>
              </w:rPr>
            </w:pPr>
            <w:r>
              <w:rPr>
                <w:rFonts w:eastAsia="仿宋_GB2312"/>
                <w:b/>
                <w:color w:val="000000"/>
                <w:kern w:val="0"/>
                <w:sz w:val="20"/>
              </w:rPr>
              <w:t>320217482000</w:t>
            </w:r>
          </w:p>
        </w:tc>
      </w:tr>
      <w:tr w14:paraId="061B62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shd w:val="clear" w:color="auto" w:fill="FFFFFF"/>
            <w:vAlign w:val="center"/>
          </w:tcPr>
          <w:p w14:paraId="6801AD0D">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shd w:val="clear" w:color="auto" w:fill="FFFFFF"/>
            <w:vAlign w:val="center"/>
          </w:tcPr>
          <w:p w14:paraId="6DBDE2DF">
            <w:pPr>
              <w:spacing w:line="260" w:lineRule="exact"/>
              <w:rPr>
                <w:color w:val="000000"/>
                <w:kern w:val="0"/>
                <w:sz w:val="18"/>
                <w:szCs w:val="18"/>
              </w:rPr>
            </w:pPr>
            <w:r>
              <w:rPr>
                <w:rFonts w:hint="eastAsia"/>
                <w:color w:val="000000"/>
                <w:kern w:val="0"/>
                <w:sz w:val="18"/>
                <w:szCs w:val="18"/>
              </w:rPr>
              <w:t>对建设单位隐瞒有关情况或者提供虚假材料申请施工许可证的处罚</w:t>
            </w:r>
          </w:p>
        </w:tc>
      </w:tr>
      <w:tr w14:paraId="6811E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1010" w:type="dxa"/>
            <w:shd w:val="clear" w:color="auto" w:fill="FFFFFF"/>
            <w:vAlign w:val="center"/>
          </w:tcPr>
          <w:p w14:paraId="5471243A">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shd w:val="clear" w:color="auto" w:fill="FFFFFF"/>
            <w:vAlign w:val="center"/>
          </w:tcPr>
          <w:p w14:paraId="57BE5A53">
            <w:pPr>
              <w:spacing w:line="26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type="textWrapping"/>
            </w:r>
            <w:r>
              <w:rPr>
                <w:rFonts w:hint="eastAsia"/>
                <w:color w:val="000000"/>
                <w:kern w:val="0"/>
                <w:sz w:val="18"/>
                <w:szCs w:val="18"/>
              </w:rPr>
              <w:t>【规章】《建筑工程施工许可管理办法》（住房和城乡建设部令第</w:t>
            </w:r>
            <w:r>
              <w:rPr>
                <w:color w:val="000000"/>
                <w:kern w:val="0"/>
                <w:sz w:val="18"/>
                <w:szCs w:val="18"/>
              </w:rPr>
              <w:t>18</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　　第十四条第一款　建设单位隐瞒有关情况或者提供虚假材料申请施工许可证的，发证机关不予受理或者不予许可，并处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r>
              <w:rPr>
                <w:color w:val="000000"/>
                <w:kern w:val="0"/>
                <w:sz w:val="18"/>
                <w:szCs w:val="18"/>
              </w:rPr>
              <w:br w:type="textWrapping"/>
            </w:r>
            <w:r>
              <w:rPr>
                <w:rFonts w:hint="eastAsia"/>
                <w:color w:val="000000"/>
                <w:kern w:val="0"/>
                <w:sz w:val="18"/>
                <w:szCs w:val="18"/>
              </w:rPr>
              <w:t>　　第十五条　依照本办法规定，给予单位罚款处罚的，对单位直接负责的主管人员和其他直接责任人员处单位罚款数额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r>
              <w:rPr>
                <w:color w:val="000000"/>
                <w:kern w:val="0"/>
                <w:sz w:val="18"/>
                <w:szCs w:val="18"/>
              </w:rPr>
              <w:br w:type="textWrapping"/>
            </w:r>
            <w:r>
              <w:rPr>
                <w:rFonts w:hint="eastAsia"/>
                <w:color w:val="000000"/>
                <w:kern w:val="0"/>
                <w:sz w:val="18"/>
                <w:szCs w:val="18"/>
              </w:rPr>
              <w:t>　　单位及相关责任人受到处罚的，作为不良行为记录予以通报。</w:t>
            </w:r>
          </w:p>
        </w:tc>
      </w:tr>
      <w:tr w14:paraId="243750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shd w:val="clear" w:color="auto" w:fill="FFFFFF"/>
            <w:vAlign w:val="center"/>
          </w:tcPr>
          <w:p w14:paraId="75939DE6">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shd w:val="clear" w:color="auto" w:fill="FFFFFF"/>
            <w:vAlign w:val="center"/>
          </w:tcPr>
          <w:p w14:paraId="4A4147CE">
            <w:pPr>
              <w:spacing w:line="260" w:lineRule="exact"/>
              <w:jc w:val="left"/>
              <w:rPr>
                <w:color w:val="000000"/>
                <w:kern w:val="0"/>
                <w:sz w:val="18"/>
                <w:szCs w:val="18"/>
              </w:rPr>
            </w:pPr>
            <w:r>
              <w:rPr>
                <w:rFonts w:hint="eastAsia"/>
                <w:color w:val="000000"/>
                <w:kern w:val="0"/>
                <w:sz w:val="18"/>
                <w:szCs w:val="18"/>
              </w:rPr>
              <w:t>罚款</w:t>
            </w:r>
          </w:p>
        </w:tc>
      </w:tr>
      <w:tr w14:paraId="166D62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shd w:val="clear" w:color="auto" w:fill="FFFFFF"/>
            <w:vAlign w:val="center"/>
          </w:tcPr>
          <w:p w14:paraId="6757D8F4">
            <w:pPr>
              <w:spacing w:line="260" w:lineRule="exact"/>
              <w:jc w:val="center"/>
              <w:rPr>
                <w:color w:val="000000"/>
                <w:kern w:val="0"/>
                <w:sz w:val="18"/>
                <w:szCs w:val="18"/>
              </w:rPr>
            </w:pPr>
            <w:r>
              <w:rPr>
                <w:rFonts w:hint="eastAsia"/>
                <w:color w:val="000000"/>
                <w:kern w:val="0"/>
                <w:sz w:val="18"/>
                <w:szCs w:val="18"/>
              </w:rPr>
              <w:t>裁量基准</w:t>
            </w:r>
          </w:p>
        </w:tc>
      </w:tr>
      <w:tr w14:paraId="0B4416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010" w:type="dxa"/>
            <w:vMerge w:val="restart"/>
            <w:shd w:val="clear" w:color="auto" w:fill="FFFFFF"/>
            <w:vAlign w:val="center"/>
          </w:tcPr>
          <w:p w14:paraId="2EE0A90A">
            <w:pPr>
              <w:spacing w:line="300" w:lineRule="exact"/>
              <w:jc w:val="center"/>
              <w:rPr>
                <w:color w:val="000000"/>
                <w:kern w:val="0"/>
                <w:sz w:val="18"/>
                <w:szCs w:val="18"/>
              </w:rPr>
            </w:pPr>
            <w:r>
              <w:rPr>
                <w:rFonts w:hint="eastAsia"/>
                <w:color w:val="000000"/>
                <w:kern w:val="0"/>
                <w:sz w:val="18"/>
                <w:szCs w:val="18"/>
              </w:rPr>
              <w:t>情形描述</w:t>
            </w:r>
          </w:p>
        </w:tc>
        <w:tc>
          <w:tcPr>
            <w:tcW w:w="5247" w:type="dxa"/>
            <w:shd w:val="clear" w:color="auto" w:fill="FFFFFF"/>
            <w:vAlign w:val="center"/>
          </w:tcPr>
          <w:p w14:paraId="22D20D69">
            <w:pPr>
              <w:spacing w:line="300" w:lineRule="exact"/>
              <w:jc w:val="left"/>
              <w:rPr>
                <w:color w:val="000000"/>
                <w:kern w:val="0"/>
                <w:sz w:val="18"/>
                <w:szCs w:val="18"/>
              </w:rPr>
            </w:pPr>
            <w:r>
              <w:rPr>
                <w:rFonts w:hint="eastAsia"/>
                <w:color w:val="000000"/>
                <w:kern w:val="0"/>
                <w:sz w:val="18"/>
                <w:szCs w:val="18"/>
              </w:rPr>
              <w:t>尚未开工的</w:t>
            </w:r>
          </w:p>
        </w:tc>
        <w:tc>
          <w:tcPr>
            <w:tcW w:w="1276" w:type="dxa"/>
            <w:vMerge w:val="restart"/>
            <w:shd w:val="clear" w:color="auto" w:fill="FFFFFF"/>
            <w:vAlign w:val="center"/>
          </w:tcPr>
          <w:p w14:paraId="358DE5EC">
            <w:pPr>
              <w:spacing w:line="300" w:lineRule="exact"/>
              <w:jc w:val="center"/>
              <w:rPr>
                <w:color w:val="000000"/>
                <w:kern w:val="0"/>
                <w:sz w:val="18"/>
                <w:szCs w:val="18"/>
              </w:rPr>
            </w:pPr>
            <w:r>
              <w:rPr>
                <w:rFonts w:hint="eastAsia"/>
                <w:color w:val="000000"/>
                <w:kern w:val="0"/>
                <w:sz w:val="18"/>
                <w:szCs w:val="18"/>
              </w:rPr>
              <w:t>裁量幅度</w:t>
            </w:r>
          </w:p>
        </w:tc>
        <w:tc>
          <w:tcPr>
            <w:tcW w:w="6497" w:type="dxa"/>
            <w:shd w:val="clear" w:color="auto" w:fill="FFFFFF"/>
            <w:vAlign w:val="center"/>
          </w:tcPr>
          <w:p w14:paraId="1148D69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6D0E42F3">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7F9C17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010" w:type="dxa"/>
            <w:vMerge w:val="continue"/>
            <w:shd w:val="clear" w:color="auto" w:fill="auto"/>
            <w:vAlign w:val="center"/>
          </w:tcPr>
          <w:p w14:paraId="1D6DCF3E">
            <w:pPr>
              <w:spacing w:line="300" w:lineRule="exact"/>
              <w:jc w:val="left"/>
              <w:rPr>
                <w:color w:val="000000"/>
                <w:kern w:val="0"/>
                <w:sz w:val="18"/>
                <w:szCs w:val="18"/>
              </w:rPr>
            </w:pPr>
          </w:p>
        </w:tc>
        <w:tc>
          <w:tcPr>
            <w:tcW w:w="5247" w:type="dxa"/>
            <w:shd w:val="clear" w:color="auto" w:fill="FFFFFF"/>
            <w:vAlign w:val="center"/>
          </w:tcPr>
          <w:p w14:paraId="1F0829A6">
            <w:pPr>
              <w:spacing w:line="300" w:lineRule="exact"/>
              <w:jc w:val="left"/>
              <w:rPr>
                <w:color w:val="000000"/>
                <w:kern w:val="0"/>
                <w:sz w:val="18"/>
                <w:szCs w:val="18"/>
              </w:rPr>
            </w:pPr>
            <w:r>
              <w:rPr>
                <w:rFonts w:hint="eastAsia"/>
                <w:color w:val="000000"/>
                <w:kern w:val="0"/>
                <w:sz w:val="18"/>
                <w:szCs w:val="18"/>
              </w:rPr>
              <w:t>已开工但按要求改正的</w:t>
            </w:r>
          </w:p>
        </w:tc>
        <w:tc>
          <w:tcPr>
            <w:tcW w:w="1276" w:type="dxa"/>
            <w:vMerge w:val="continue"/>
            <w:shd w:val="clear" w:color="auto" w:fill="auto"/>
            <w:vAlign w:val="center"/>
          </w:tcPr>
          <w:p w14:paraId="49F00180">
            <w:pPr>
              <w:spacing w:line="300" w:lineRule="exact"/>
              <w:jc w:val="left"/>
              <w:rPr>
                <w:color w:val="000000"/>
                <w:kern w:val="0"/>
                <w:sz w:val="18"/>
                <w:szCs w:val="18"/>
              </w:rPr>
            </w:pPr>
          </w:p>
        </w:tc>
        <w:tc>
          <w:tcPr>
            <w:tcW w:w="6497" w:type="dxa"/>
            <w:shd w:val="clear" w:color="auto" w:fill="FFFFFF"/>
            <w:vAlign w:val="center"/>
          </w:tcPr>
          <w:p w14:paraId="395446E8">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14:paraId="3CEAC921">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45E661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10" w:type="dxa"/>
            <w:vMerge w:val="continue"/>
            <w:shd w:val="clear" w:color="auto" w:fill="auto"/>
            <w:vAlign w:val="center"/>
          </w:tcPr>
          <w:p w14:paraId="753C96A7">
            <w:pPr>
              <w:spacing w:line="300" w:lineRule="exact"/>
              <w:jc w:val="left"/>
              <w:rPr>
                <w:color w:val="000000"/>
                <w:kern w:val="0"/>
                <w:sz w:val="18"/>
                <w:szCs w:val="18"/>
              </w:rPr>
            </w:pPr>
          </w:p>
        </w:tc>
        <w:tc>
          <w:tcPr>
            <w:tcW w:w="5247" w:type="dxa"/>
            <w:shd w:val="clear" w:color="auto" w:fill="FFFFFF"/>
            <w:vAlign w:val="center"/>
          </w:tcPr>
          <w:p w14:paraId="4C97CDC3">
            <w:pPr>
              <w:spacing w:line="300" w:lineRule="exact"/>
              <w:jc w:val="left"/>
              <w:rPr>
                <w:color w:val="000000"/>
                <w:kern w:val="0"/>
                <w:sz w:val="18"/>
                <w:szCs w:val="18"/>
              </w:rPr>
            </w:pPr>
            <w:r>
              <w:rPr>
                <w:rFonts w:hint="eastAsia"/>
                <w:color w:val="000000"/>
                <w:kern w:val="0"/>
                <w:sz w:val="18"/>
                <w:szCs w:val="18"/>
              </w:rPr>
              <w:t>已开工且未按要求改正的</w:t>
            </w:r>
          </w:p>
        </w:tc>
        <w:tc>
          <w:tcPr>
            <w:tcW w:w="1276" w:type="dxa"/>
            <w:vMerge w:val="continue"/>
            <w:shd w:val="clear" w:color="auto" w:fill="auto"/>
            <w:vAlign w:val="center"/>
          </w:tcPr>
          <w:p w14:paraId="63573CB7">
            <w:pPr>
              <w:spacing w:line="300" w:lineRule="exact"/>
              <w:jc w:val="left"/>
              <w:rPr>
                <w:color w:val="000000"/>
                <w:kern w:val="0"/>
                <w:sz w:val="18"/>
                <w:szCs w:val="18"/>
              </w:rPr>
            </w:pPr>
          </w:p>
        </w:tc>
        <w:tc>
          <w:tcPr>
            <w:tcW w:w="6497" w:type="dxa"/>
            <w:shd w:val="clear" w:color="auto" w:fill="FFFFFF"/>
            <w:vAlign w:val="center"/>
          </w:tcPr>
          <w:p w14:paraId="26D9C36D">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16461FDD">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r w14:paraId="0F579B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10" w:type="dxa"/>
            <w:vMerge w:val="continue"/>
            <w:tcBorders>
              <w:bottom w:val="single" w:color="auto" w:sz="8" w:space="0"/>
            </w:tcBorders>
            <w:shd w:val="clear" w:color="auto" w:fill="auto"/>
            <w:vAlign w:val="center"/>
          </w:tcPr>
          <w:p w14:paraId="0DAA820D">
            <w:pPr>
              <w:spacing w:line="300" w:lineRule="exact"/>
              <w:jc w:val="left"/>
              <w:rPr>
                <w:color w:val="000000"/>
                <w:kern w:val="0"/>
                <w:sz w:val="18"/>
                <w:szCs w:val="18"/>
              </w:rPr>
            </w:pPr>
          </w:p>
        </w:tc>
        <w:tc>
          <w:tcPr>
            <w:tcW w:w="5247" w:type="dxa"/>
            <w:tcBorders>
              <w:bottom w:val="single" w:color="auto" w:sz="8" w:space="0"/>
            </w:tcBorders>
            <w:shd w:val="clear" w:color="auto" w:fill="FFFFFF"/>
            <w:vAlign w:val="center"/>
          </w:tcPr>
          <w:p w14:paraId="779CAB20">
            <w:pPr>
              <w:spacing w:line="300" w:lineRule="exact"/>
              <w:jc w:val="left"/>
              <w:rPr>
                <w:color w:val="000000"/>
                <w:kern w:val="0"/>
                <w:sz w:val="18"/>
                <w:szCs w:val="18"/>
              </w:rPr>
            </w:pPr>
            <w:r>
              <w:rPr>
                <w:rFonts w:hint="eastAsia"/>
                <w:color w:val="000000"/>
                <w:kern w:val="0"/>
                <w:sz w:val="18"/>
                <w:szCs w:val="18"/>
              </w:rPr>
              <w:t>已开工且造成安全事故的</w:t>
            </w:r>
          </w:p>
        </w:tc>
        <w:tc>
          <w:tcPr>
            <w:tcW w:w="1276" w:type="dxa"/>
            <w:vMerge w:val="continue"/>
            <w:tcBorders>
              <w:bottom w:val="single" w:color="auto" w:sz="8" w:space="0"/>
            </w:tcBorders>
            <w:shd w:val="clear" w:color="auto" w:fill="auto"/>
            <w:vAlign w:val="center"/>
          </w:tcPr>
          <w:p w14:paraId="1F935123">
            <w:pPr>
              <w:spacing w:line="300" w:lineRule="exact"/>
              <w:jc w:val="left"/>
              <w:rPr>
                <w:color w:val="000000"/>
                <w:kern w:val="0"/>
                <w:sz w:val="18"/>
                <w:szCs w:val="18"/>
              </w:rPr>
            </w:pPr>
          </w:p>
        </w:tc>
        <w:tc>
          <w:tcPr>
            <w:tcW w:w="6497" w:type="dxa"/>
            <w:tcBorders>
              <w:bottom w:val="single" w:color="auto" w:sz="8" w:space="0"/>
            </w:tcBorders>
            <w:shd w:val="clear" w:color="auto" w:fill="FFFFFF"/>
            <w:vAlign w:val="center"/>
          </w:tcPr>
          <w:p w14:paraId="4A817699">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3</w:t>
            </w:r>
            <w:r>
              <w:rPr>
                <w:rFonts w:hint="eastAsia"/>
                <w:color w:val="000000"/>
                <w:kern w:val="0"/>
                <w:sz w:val="18"/>
                <w:szCs w:val="18"/>
              </w:rPr>
              <w:t>万元罚款</w:t>
            </w:r>
          </w:p>
          <w:p w14:paraId="6CAC6BA8">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10%</w:t>
            </w:r>
            <w:r>
              <w:rPr>
                <w:rFonts w:hint="eastAsia"/>
                <w:color w:val="000000"/>
                <w:kern w:val="0"/>
                <w:sz w:val="18"/>
                <w:szCs w:val="18"/>
              </w:rPr>
              <w:t>罚款</w:t>
            </w:r>
          </w:p>
        </w:tc>
      </w:tr>
    </w:tbl>
    <w:p w14:paraId="13034BEA"/>
    <w:p w14:paraId="405E7B1E"/>
    <w:p w14:paraId="7EFE54CF"/>
    <w:p w14:paraId="14B8FF2B"/>
    <w:p w14:paraId="56518481"/>
    <w:tbl>
      <w:tblPr>
        <w:tblStyle w:val="15"/>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140"/>
        <w:gridCol w:w="1030"/>
        <w:gridCol w:w="5850"/>
      </w:tblGrid>
      <w:tr w14:paraId="1613E5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tcBorders>
              <w:top w:val="single" w:color="auto" w:sz="8" w:space="0"/>
            </w:tcBorders>
            <w:shd w:val="clear" w:color="auto" w:fill="FFFFFF"/>
            <w:vAlign w:val="center"/>
          </w:tcPr>
          <w:p w14:paraId="7B33BFB7">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tcBorders>
            <w:shd w:val="clear" w:color="auto" w:fill="FFFFFF"/>
            <w:vAlign w:val="center"/>
          </w:tcPr>
          <w:p w14:paraId="468BE248">
            <w:pPr>
              <w:jc w:val="left"/>
              <w:textAlignment w:val="center"/>
              <w:rPr>
                <w:rFonts w:eastAsia="仿宋_GB2312"/>
                <w:b/>
                <w:bCs/>
                <w:color w:val="000000"/>
                <w:kern w:val="0"/>
                <w:sz w:val="18"/>
                <w:szCs w:val="18"/>
              </w:rPr>
            </w:pPr>
            <w:r>
              <w:rPr>
                <w:rFonts w:eastAsia="仿宋_GB2312"/>
                <w:b/>
                <w:color w:val="000000"/>
                <w:kern w:val="0"/>
                <w:sz w:val="20"/>
              </w:rPr>
              <w:t>320217483000</w:t>
            </w:r>
          </w:p>
        </w:tc>
      </w:tr>
      <w:tr w14:paraId="0639F9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shd w:val="clear" w:color="auto" w:fill="FFFFFF"/>
            <w:vAlign w:val="center"/>
          </w:tcPr>
          <w:p w14:paraId="768ABA24">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shd w:val="clear" w:color="auto" w:fill="FFFFFF"/>
            <w:vAlign w:val="center"/>
          </w:tcPr>
          <w:p w14:paraId="2B63CE7D">
            <w:pPr>
              <w:spacing w:line="320" w:lineRule="exact"/>
              <w:rPr>
                <w:color w:val="000000"/>
                <w:kern w:val="0"/>
                <w:sz w:val="18"/>
                <w:szCs w:val="18"/>
              </w:rPr>
            </w:pPr>
            <w:r>
              <w:rPr>
                <w:rFonts w:hint="eastAsia"/>
                <w:color w:val="000000"/>
                <w:kern w:val="0"/>
                <w:sz w:val="18"/>
                <w:szCs w:val="18"/>
              </w:rPr>
              <w:t>对建设单位伪造或者涂改施工许可证的处罚</w:t>
            </w:r>
          </w:p>
        </w:tc>
      </w:tr>
      <w:tr w14:paraId="5447D1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1010" w:type="dxa"/>
            <w:shd w:val="clear" w:color="auto" w:fill="FFFFFF"/>
            <w:vAlign w:val="center"/>
          </w:tcPr>
          <w:p w14:paraId="739AB8F9">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shd w:val="clear" w:color="auto" w:fill="FFFFFF"/>
            <w:vAlign w:val="center"/>
          </w:tcPr>
          <w:p w14:paraId="522F2CAC">
            <w:pPr>
              <w:spacing w:line="32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type="textWrapping"/>
            </w:r>
            <w:r>
              <w:rPr>
                <w:rFonts w:hint="eastAsia"/>
                <w:color w:val="000000"/>
                <w:kern w:val="0"/>
                <w:sz w:val="18"/>
                <w:szCs w:val="18"/>
              </w:rPr>
              <w:t>【规章】《建筑工程施工许可管理办法》（住房和城乡建设部令第</w:t>
            </w:r>
            <w:r>
              <w:rPr>
                <w:color w:val="000000"/>
                <w:kern w:val="0"/>
                <w:sz w:val="18"/>
                <w:szCs w:val="18"/>
              </w:rPr>
              <w:t>18</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　　第十四条第二款　建设单位伪造或者涂改施工许可证的，由发证机关责令停止施工，并处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r>
              <w:rPr>
                <w:color w:val="000000"/>
                <w:kern w:val="0"/>
                <w:sz w:val="18"/>
                <w:szCs w:val="18"/>
              </w:rPr>
              <w:br w:type="textWrapping"/>
            </w:r>
            <w:r>
              <w:rPr>
                <w:rFonts w:hint="eastAsia"/>
                <w:color w:val="000000"/>
                <w:kern w:val="0"/>
                <w:sz w:val="18"/>
                <w:szCs w:val="18"/>
              </w:rPr>
              <w:t>　　第十五条　依照本办法规定，给予单位罚款处罚的，对单位直接负责的主管人员和其他直接责任人员处单位罚款数额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r>
              <w:rPr>
                <w:color w:val="000000"/>
                <w:kern w:val="0"/>
                <w:sz w:val="18"/>
                <w:szCs w:val="18"/>
              </w:rPr>
              <w:br w:type="textWrapping"/>
            </w:r>
            <w:r>
              <w:rPr>
                <w:rFonts w:hint="eastAsia"/>
                <w:color w:val="000000"/>
                <w:kern w:val="0"/>
                <w:sz w:val="18"/>
                <w:szCs w:val="18"/>
              </w:rPr>
              <w:t>　　单位及相关责任人受到处罚的，作为不良行为记录予以通报。</w:t>
            </w:r>
          </w:p>
        </w:tc>
      </w:tr>
      <w:tr w14:paraId="277F4F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shd w:val="clear" w:color="auto" w:fill="FFFFFF"/>
            <w:vAlign w:val="center"/>
          </w:tcPr>
          <w:p w14:paraId="2CC8B27D">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shd w:val="clear" w:color="auto" w:fill="FFFFFF"/>
            <w:vAlign w:val="center"/>
          </w:tcPr>
          <w:p w14:paraId="7C9B4926">
            <w:pPr>
              <w:spacing w:line="320" w:lineRule="exact"/>
              <w:jc w:val="left"/>
              <w:rPr>
                <w:color w:val="000000"/>
                <w:kern w:val="0"/>
                <w:sz w:val="18"/>
                <w:szCs w:val="18"/>
              </w:rPr>
            </w:pPr>
            <w:r>
              <w:rPr>
                <w:rFonts w:hint="eastAsia"/>
                <w:color w:val="000000"/>
                <w:kern w:val="0"/>
                <w:sz w:val="18"/>
                <w:szCs w:val="18"/>
              </w:rPr>
              <w:t>责令停止施工，罚款</w:t>
            </w:r>
          </w:p>
        </w:tc>
      </w:tr>
      <w:tr w14:paraId="699B71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shd w:val="clear" w:color="auto" w:fill="FFFFFF"/>
            <w:vAlign w:val="center"/>
          </w:tcPr>
          <w:p w14:paraId="380A2D8F">
            <w:pPr>
              <w:spacing w:line="320" w:lineRule="exact"/>
              <w:jc w:val="center"/>
              <w:rPr>
                <w:color w:val="000000"/>
                <w:kern w:val="0"/>
                <w:sz w:val="18"/>
                <w:szCs w:val="18"/>
              </w:rPr>
            </w:pPr>
            <w:r>
              <w:rPr>
                <w:rFonts w:hint="eastAsia"/>
                <w:color w:val="000000"/>
                <w:kern w:val="0"/>
                <w:sz w:val="18"/>
                <w:szCs w:val="18"/>
              </w:rPr>
              <w:t>裁量基准</w:t>
            </w:r>
          </w:p>
        </w:tc>
      </w:tr>
      <w:tr w14:paraId="6C953F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10" w:type="dxa"/>
            <w:vMerge w:val="restart"/>
            <w:shd w:val="clear" w:color="auto" w:fill="FFFFFF"/>
            <w:vAlign w:val="center"/>
          </w:tcPr>
          <w:p w14:paraId="337B590B">
            <w:pPr>
              <w:spacing w:line="300" w:lineRule="exact"/>
              <w:jc w:val="center"/>
              <w:rPr>
                <w:color w:val="000000"/>
                <w:kern w:val="0"/>
                <w:sz w:val="18"/>
                <w:szCs w:val="18"/>
              </w:rPr>
            </w:pPr>
            <w:r>
              <w:rPr>
                <w:rFonts w:hint="eastAsia"/>
                <w:color w:val="000000"/>
                <w:kern w:val="0"/>
                <w:sz w:val="18"/>
                <w:szCs w:val="18"/>
              </w:rPr>
              <w:t>情形描述</w:t>
            </w:r>
          </w:p>
        </w:tc>
        <w:tc>
          <w:tcPr>
            <w:tcW w:w="6140" w:type="dxa"/>
            <w:shd w:val="clear" w:color="auto" w:fill="FFFFFF"/>
            <w:vAlign w:val="center"/>
          </w:tcPr>
          <w:p w14:paraId="13AAD128">
            <w:pPr>
              <w:spacing w:line="300" w:lineRule="exact"/>
              <w:jc w:val="left"/>
              <w:rPr>
                <w:color w:val="000000"/>
                <w:kern w:val="0"/>
                <w:sz w:val="18"/>
                <w:szCs w:val="18"/>
              </w:rPr>
            </w:pPr>
            <w:r>
              <w:rPr>
                <w:rFonts w:hint="eastAsia"/>
                <w:color w:val="000000"/>
                <w:kern w:val="0"/>
                <w:sz w:val="18"/>
                <w:szCs w:val="18"/>
              </w:rPr>
              <w:t>尚未开工的</w:t>
            </w:r>
          </w:p>
        </w:tc>
        <w:tc>
          <w:tcPr>
            <w:tcW w:w="1030" w:type="dxa"/>
            <w:vMerge w:val="restart"/>
            <w:shd w:val="clear" w:color="auto" w:fill="FFFFFF"/>
            <w:vAlign w:val="center"/>
          </w:tcPr>
          <w:p w14:paraId="75B40CC6">
            <w:pPr>
              <w:spacing w:line="300" w:lineRule="exact"/>
              <w:jc w:val="center"/>
              <w:rPr>
                <w:color w:val="000000"/>
                <w:kern w:val="0"/>
                <w:sz w:val="18"/>
                <w:szCs w:val="18"/>
              </w:rPr>
            </w:pPr>
            <w:r>
              <w:rPr>
                <w:rFonts w:hint="eastAsia"/>
                <w:color w:val="000000"/>
                <w:kern w:val="0"/>
                <w:sz w:val="18"/>
                <w:szCs w:val="18"/>
              </w:rPr>
              <w:t>裁量幅度</w:t>
            </w:r>
          </w:p>
        </w:tc>
        <w:tc>
          <w:tcPr>
            <w:tcW w:w="5850" w:type="dxa"/>
            <w:shd w:val="clear" w:color="auto" w:fill="FFFFFF"/>
            <w:vAlign w:val="center"/>
          </w:tcPr>
          <w:p w14:paraId="33767BC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19A0C060">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197076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10" w:type="dxa"/>
            <w:vMerge w:val="continue"/>
            <w:shd w:val="clear" w:color="auto" w:fill="auto"/>
            <w:vAlign w:val="center"/>
          </w:tcPr>
          <w:p w14:paraId="6ECD9A79">
            <w:pPr>
              <w:spacing w:line="300" w:lineRule="exact"/>
              <w:jc w:val="left"/>
              <w:rPr>
                <w:color w:val="000000"/>
                <w:kern w:val="0"/>
                <w:sz w:val="18"/>
                <w:szCs w:val="18"/>
              </w:rPr>
            </w:pPr>
          </w:p>
        </w:tc>
        <w:tc>
          <w:tcPr>
            <w:tcW w:w="6140" w:type="dxa"/>
            <w:shd w:val="clear" w:color="auto" w:fill="FFFFFF"/>
            <w:vAlign w:val="center"/>
          </w:tcPr>
          <w:p w14:paraId="47B9600A">
            <w:pPr>
              <w:spacing w:line="300" w:lineRule="exact"/>
              <w:jc w:val="left"/>
              <w:rPr>
                <w:color w:val="000000"/>
                <w:kern w:val="0"/>
                <w:sz w:val="18"/>
                <w:szCs w:val="18"/>
              </w:rPr>
            </w:pPr>
            <w:r>
              <w:rPr>
                <w:rFonts w:hint="eastAsia"/>
                <w:color w:val="000000"/>
                <w:kern w:val="0"/>
                <w:sz w:val="18"/>
                <w:szCs w:val="18"/>
              </w:rPr>
              <w:t>已开工但按要求改正的</w:t>
            </w:r>
          </w:p>
        </w:tc>
        <w:tc>
          <w:tcPr>
            <w:tcW w:w="1030" w:type="dxa"/>
            <w:vMerge w:val="continue"/>
            <w:shd w:val="clear" w:color="auto" w:fill="auto"/>
            <w:vAlign w:val="center"/>
          </w:tcPr>
          <w:p w14:paraId="2706D62D">
            <w:pPr>
              <w:spacing w:line="300" w:lineRule="exact"/>
              <w:jc w:val="left"/>
              <w:rPr>
                <w:color w:val="000000"/>
                <w:kern w:val="0"/>
                <w:sz w:val="18"/>
                <w:szCs w:val="18"/>
              </w:rPr>
            </w:pPr>
          </w:p>
        </w:tc>
        <w:tc>
          <w:tcPr>
            <w:tcW w:w="5850" w:type="dxa"/>
            <w:shd w:val="clear" w:color="auto" w:fill="FFFFFF"/>
            <w:vAlign w:val="center"/>
          </w:tcPr>
          <w:p w14:paraId="4B019CDB">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14:paraId="6B0544B7">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540CB2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10" w:type="dxa"/>
            <w:vMerge w:val="continue"/>
            <w:shd w:val="clear" w:color="auto" w:fill="auto"/>
            <w:vAlign w:val="center"/>
          </w:tcPr>
          <w:p w14:paraId="03777B9B">
            <w:pPr>
              <w:spacing w:line="300" w:lineRule="exact"/>
              <w:jc w:val="left"/>
              <w:rPr>
                <w:color w:val="000000"/>
                <w:kern w:val="0"/>
                <w:sz w:val="18"/>
                <w:szCs w:val="18"/>
              </w:rPr>
            </w:pPr>
          </w:p>
        </w:tc>
        <w:tc>
          <w:tcPr>
            <w:tcW w:w="6140" w:type="dxa"/>
            <w:shd w:val="clear" w:color="auto" w:fill="FFFFFF"/>
            <w:vAlign w:val="center"/>
          </w:tcPr>
          <w:p w14:paraId="0E72F232">
            <w:pPr>
              <w:spacing w:line="300" w:lineRule="exact"/>
              <w:jc w:val="left"/>
              <w:rPr>
                <w:color w:val="000000"/>
                <w:kern w:val="0"/>
                <w:sz w:val="18"/>
                <w:szCs w:val="18"/>
              </w:rPr>
            </w:pPr>
            <w:r>
              <w:rPr>
                <w:rFonts w:hint="eastAsia"/>
                <w:color w:val="000000"/>
                <w:kern w:val="0"/>
                <w:sz w:val="18"/>
                <w:szCs w:val="18"/>
              </w:rPr>
              <w:t>已开工且未按要求改正的</w:t>
            </w:r>
          </w:p>
        </w:tc>
        <w:tc>
          <w:tcPr>
            <w:tcW w:w="1030" w:type="dxa"/>
            <w:vMerge w:val="continue"/>
            <w:shd w:val="clear" w:color="auto" w:fill="auto"/>
            <w:vAlign w:val="center"/>
          </w:tcPr>
          <w:p w14:paraId="73A6E29C">
            <w:pPr>
              <w:spacing w:line="300" w:lineRule="exact"/>
              <w:jc w:val="left"/>
              <w:rPr>
                <w:color w:val="000000"/>
                <w:kern w:val="0"/>
                <w:sz w:val="18"/>
                <w:szCs w:val="18"/>
              </w:rPr>
            </w:pPr>
          </w:p>
        </w:tc>
        <w:tc>
          <w:tcPr>
            <w:tcW w:w="5850" w:type="dxa"/>
            <w:shd w:val="clear" w:color="auto" w:fill="FFFFFF"/>
            <w:vAlign w:val="center"/>
          </w:tcPr>
          <w:p w14:paraId="17EFE99C">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152064CF">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r w14:paraId="2CF895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10" w:type="dxa"/>
            <w:vMerge w:val="continue"/>
            <w:tcBorders>
              <w:bottom w:val="single" w:color="auto" w:sz="8" w:space="0"/>
            </w:tcBorders>
            <w:shd w:val="clear" w:color="auto" w:fill="auto"/>
            <w:vAlign w:val="center"/>
          </w:tcPr>
          <w:p w14:paraId="128599F7">
            <w:pPr>
              <w:spacing w:line="300" w:lineRule="exact"/>
              <w:jc w:val="left"/>
              <w:rPr>
                <w:color w:val="000000"/>
                <w:kern w:val="0"/>
                <w:sz w:val="18"/>
                <w:szCs w:val="18"/>
              </w:rPr>
            </w:pPr>
          </w:p>
        </w:tc>
        <w:tc>
          <w:tcPr>
            <w:tcW w:w="6140" w:type="dxa"/>
            <w:tcBorders>
              <w:bottom w:val="single" w:color="auto" w:sz="8" w:space="0"/>
            </w:tcBorders>
            <w:shd w:val="clear" w:color="auto" w:fill="FFFFFF"/>
            <w:vAlign w:val="center"/>
          </w:tcPr>
          <w:p w14:paraId="68884238">
            <w:pPr>
              <w:spacing w:line="300" w:lineRule="exact"/>
              <w:jc w:val="left"/>
              <w:rPr>
                <w:color w:val="000000"/>
                <w:kern w:val="0"/>
                <w:sz w:val="18"/>
                <w:szCs w:val="18"/>
              </w:rPr>
            </w:pPr>
            <w:r>
              <w:rPr>
                <w:rFonts w:hint="eastAsia"/>
                <w:color w:val="000000"/>
                <w:kern w:val="0"/>
                <w:sz w:val="18"/>
                <w:szCs w:val="18"/>
              </w:rPr>
              <w:t>已开工且造成安全事故的</w:t>
            </w:r>
          </w:p>
        </w:tc>
        <w:tc>
          <w:tcPr>
            <w:tcW w:w="1030" w:type="dxa"/>
            <w:vMerge w:val="continue"/>
            <w:tcBorders>
              <w:bottom w:val="single" w:color="auto" w:sz="8" w:space="0"/>
            </w:tcBorders>
            <w:shd w:val="clear" w:color="auto" w:fill="auto"/>
            <w:vAlign w:val="center"/>
          </w:tcPr>
          <w:p w14:paraId="27492971">
            <w:pPr>
              <w:spacing w:line="300" w:lineRule="exact"/>
              <w:jc w:val="left"/>
              <w:rPr>
                <w:color w:val="000000"/>
                <w:kern w:val="0"/>
                <w:sz w:val="18"/>
                <w:szCs w:val="18"/>
              </w:rPr>
            </w:pPr>
          </w:p>
        </w:tc>
        <w:tc>
          <w:tcPr>
            <w:tcW w:w="5850" w:type="dxa"/>
            <w:tcBorders>
              <w:bottom w:val="single" w:color="auto" w:sz="8" w:space="0"/>
            </w:tcBorders>
            <w:shd w:val="clear" w:color="auto" w:fill="FFFFFF"/>
            <w:vAlign w:val="center"/>
          </w:tcPr>
          <w:p w14:paraId="25099914">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3</w:t>
            </w:r>
            <w:r>
              <w:rPr>
                <w:rFonts w:hint="eastAsia"/>
                <w:color w:val="000000"/>
                <w:kern w:val="0"/>
                <w:sz w:val="18"/>
                <w:szCs w:val="18"/>
              </w:rPr>
              <w:t>万元罚款</w:t>
            </w:r>
          </w:p>
          <w:p w14:paraId="170AE893">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10%</w:t>
            </w:r>
            <w:r>
              <w:rPr>
                <w:rFonts w:hint="eastAsia"/>
                <w:color w:val="000000"/>
                <w:kern w:val="0"/>
                <w:sz w:val="18"/>
                <w:szCs w:val="18"/>
              </w:rPr>
              <w:t>罚款</w:t>
            </w:r>
          </w:p>
        </w:tc>
      </w:tr>
    </w:tbl>
    <w:p w14:paraId="5F68491A"/>
    <w:p w14:paraId="5CC0AC70"/>
    <w:p w14:paraId="69911B2B"/>
    <w:p w14:paraId="7C4F5DC5"/>
    <w:p w14:paraId="05045873"/>
    <w:tbl>
      <w:tblPr>
        <w:tblStyle w:val="15"/>
        <w:tblW w:w="0" w:type="auto"/>
        <w:tblInd w:w="88" w:type="dxa"/>
        <w:tblLayout w:type="fixed"/>
        <w:tblCellMar>
          <w:top w:w="0" w:type="dxa"/>
          <w:left w:w="108" w:type="dxa"/>
          <w:bottom w:w="0" w:type="dxa"/>
          <w:right w:w="108" w:type="dxa"/>
        </w:tblCellMar>
      </w:tblPr>
      <w:tblGrid>
        <w:gridCol w:w="1154"/>
        <w:gridCol w:w="5812"/>
        <w:gridCol w:w="1214"/>
        <w:gridCol w:w="5850"/>
      </w:tblGrid>
      <w:tr w14:paraId="6C6E2569">
        <w:tblPrEx>
          <w:tblCellMar>
            <w:top w:w="0" w:type="dxa"/>
            <w:left w:w="108" w:type="dxa"/>
            <w:bottom w:w="0" w:type="dxa"/>
            <w:right w:w="108" w:type="dxa"/>
          </w:tblCellMar>
        </w:tblPrEx>
        <w:trPr>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29316438">
            <w:pPr>
              <w:rPr>
                <w:color w:val="000000"/>
              </w:rPr>
            </w:pPr>
            <w:r>
              <w:rPr>
                <w:rFonts w:hint="eastAsia"/>
                <w:color w:val="000000"/>
              </w:rPr>
              <w:t>编号</w:t>
            </w:r>
          </w:p>
        </w:tc>
        <w:tc>
          <w:tcPr>
            <w:tcW w:w="12876" w:type="dxa"/>
            <w:gridSpan w:val="3"/>
            <w:tcBorders>
              <w:top w:val="single" w:color="auto" w:sz="8" w:space="0"/>
              <w:left w:val="nil"/>
              <w:bottom w:val="single" w:color="auto" w:sz="4" w:space="0"/>
              <w:right w:val="single" w:color="000000" w:sz="8" w:space="0"/>
            </w:tcBorders>
            <w:vAlign w:val="center"/>
          </w:tcPr>
          <w:p w14:paraId="0EEF8F7E">
            <w:pPr>
              <w:rPr>
                <w:b/>
                <w:bCs/>
                <w:color w:val="000000"/>
              </w:rPr>
            </w:pPr>
            <w:r>
              <w:rPr>
                <w:b/>
                <w:bCs/>
                <w:color w:val="000000"/>
              </w:rPr>
              <w:t>320217484000</w:t>
            </w:r>
            <w:r>
              <w:rPr>
                <w:rFonts w:hint="eastAsia"/>
                <w:b/>
                <w:bCs/>
                <w:color w:val="000000"/>
              </w:rPr>
              <w:t xml:space="preserve"> </w:t>
            </w:r>
          </w:p>
        </w:tc>
      </w:tr>
      <w:tr w14:paraId="539280AA">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1CDD9B44">
            <w:pPr>
              <w:rPr>
                <w:color w:val="000000"/>
              </w:rPr>
            </w:pPr>
            <w:r>
              <w:rPr>
                <w:rFonts w:hint="eastAsia"/>
                <w:color w:val="000000"/>
              </w:rPr>
              <w:t>行为名称</w:t>
            </w:r>
          </w:p>
        </w:tc>
        <w:tc>
          <w:tcPr>
            <w:tcW w:w="12876" w:type="dxa"/>
            <w:gridSpan w:val="3"/>
            <w:tcBorders>
              <w:top w:val="single" w:color="auto" w:sz="4" w:space="0"/>
              <w:left w:val="nil"/>
              <w:bottom w:val="single" w:color="auto" w:sz="4" w:space="0"/>
              <w:right w:val="single" w:color="000000" w:sz="8" w:space="0"/>
            </w:tcBorders>
            <w:vAlign w:val="center"/>
          </w:tcPr>
          <w:p w14:paraId="46CDDAD4">
            <w:pPr>
              <w:rPr>
                <w:color w:val="000000"/>
              </w:rPr>
            </w:pPr>
            <w:r>
              <w:rPr>
                <w:rFonts w:hint="eastAsia"/>
                <w:color w:val="000000"/>
              </w:rPr>
              <w:t>对监理单位未审核建筑起重机械特种设备制造许可证、产品合格证、制造监督检验证明、备案证明等文件的处罚</w:t>
            </w:r>
          </w:p>
        </w:tc>
      </w:tr>
      <w:tr w14:paraId="798320EF">
        <w:tblPrEx>
          <w:tblCellMar>
            <w:top w:w="0" w:type="dxa"/>
            <w:left w:w="108" w:type="dxa"/>
            <w:bottom w:w="0" w:type="dxa"/>
            <w:right w:w="108" w:type="dxa"/>
          </w:tblCellMar>
        </w:tblPrEx>
        <w:trPr>
          <w:trHeight w:val="1350" w:hRule="atLeast"/>
        </w:trPr>
        <w:tc>
          <w:tcPr>
            <w:tcW w:w="1154" w:type="dxa"/>
            <w:tcBorders>
              <w:top w:val="nil"/>
              <w:left w:val="single" w:color="auto" w:sz="8" w:space="0"/>
              <w:bottom w:val="single" w:color="auto" w:sz="4" w:space="0"/>
              <w:right w:val="single" w:color="auto" w:sz="4" w:space="0"/>
            </w:tcBorders>
            <w:vAlign w:val="center"/>
          </w:tcPr>
          <w:p w14:paraId="0A935C41">
            <w:pPr>
              <w:rPr>
                <w:color w:val="000000"/>
              </w:rPr>
            </w:pPr>
            <w:r>
              <w:rPr>
                <w:rFonts w:hint="eastAsia"/>
                <w:color w:val="000000"/>
              </w:rPr>
              <w:t>法律依据</w:t>
            </w:r>
          </w:p>
        </w:tc>
        <w:tc>
          <w:tcPr>
            <w:tcW w:w="12876" w:type="dxa"/>
            <w:gridSpan w:val="3"/>
            <w:tcBorders>
              <w:top w:val="single" w:color="auto" w:sz="4" w:space="0"/>
              <w:left w:val="nil"/>
              <w:bottom w:val="single" w:color="auto" w:sz="4" w:space="0"/>
              <w:right w:val="single" w:color="000000" w:sz="8" w:space="0"/>
            </w:tcBorders>
            <w:vAlign w:val="center"/>
          </w:tcPr>
          <w:p w14:paraId="4198E9E2">
            <w:pPr>
              <w:spacing w:line="320" w:lineRule="exact"/>
              <w:rPr>
                <w:color w:val="000000"/>
                <w:kern w:val="0"/>
                <w:sz w:val="18"/>
                <w:szCs w:val="18"/>
              </w:rPr>
            </w:pPr>
            <w:r>
              <w:rPr>
                <w:rFonts w:hint="eastAsia"/>
                <w:color w:val="000000"/>
                <w:kern w:val="0"/>
                <w:sz w:val="18"/>
                <w:szCs w:val="18"/>
              </w:rPr>
              <w:t>【规章】《建筑起重机械安全监督管理规定》（</w:t>
            </w:r>
            <w:r>
              <w:rPr>
                <w:color w:val="000000"/>
                <w:kern w:val="0"/>
                <w:sz w:val="18"/>
                <w:szCs w:val="18"/>
              </w:rPr>
              <w:t>2008</w:t>
            </w:r>
            <w:r>
              <w:rPr>
                <w:rFonts w:hint="eastAsia"/>
                <w:color w:val="000000"/>
                <w:kern w:val="0"/>
                <w:sz w:val="18"/>
                <w:szCs w:val="18"/>
              </w:rPr>
              <w:t>建设部第</w:t>
            </w:r>
            <w:r>
              <w:rPr>
                <w:color w:val="000000"/>
                <w:kern w:val="0"/>
                <w:sz w:val="18"/>
                <w:szCs w:val="18"/>
              </w:rPr>
              <w:t>166</w:t>
            </w:r>
            <w:r>
              <w:rPr>
                <w:rFonts w:hint="eastAsia"/>
                <w:color w:val="000000"/>
                <w:kern w:val="0"/>
                <w:sz w:val="18"/>
                <w:szCs w:val="18"/>
              </w:rPr>
              <w:t>号令）</w:t>
            </w:r>
          </w:p>
          <w:p w14:paraId="0B574CE6">
            <w:pPr>
              <w:spacing w:line="320" w:lineRule="exact"/>
              <w:rPr>
                <w:color w:val="000000"/>
                <w:kern w:val="0"/>
                <w:sz w:val="18"/>
                <w:szCs w:val="18"/>
              </w:rPr>
            </w:pPr>
            <w:r>
              <w:rPr>
                <w:rFonts w:hint="eastAsia"/>
                <w:color w:val="000000"/>
                <w:kern w:val="0"/>
                <w:sz w:val="18"/>
                <w:szCs w:val="18"/>
              </w:rPr>
              <w:t>第二十二条　监理单位应当履行下列安全职责：</w:t>
            </w:r>
          </w:p>
          <w:p w14:paraId="3A9191ED">
            <w:pPr>
              <w:spacing w:line="320" w:lineRule="exact"/>
              <w:rPr>
                <w:color w:val="000000"/>
                <w:kern w:val="0"/>
                <w:sz w:val="18"/>
                <w:szCs w:val="18"/>
              </w:rPr>
            </w:pPr>
            <w:r>
              <w:rPr>
                <w:rFonts w:hint="eastAsia"/>
                <w:color w:val="000000"/>
                <w:kern w:val="0"/>
                <w:sz w:val="18"/>
                <w:szCs w:val="18"/>
              </w:rPr>
              <w:t>（一）审核建筑起重机械特种设备制造许可证、产品合格证、制造监督检验证明、备案证明等文件。</w:t>
            </w:r>
          </w:p>
          <w:p w14:paraId="56D67C74">
            <w:pPr>
              <w:spacing w:line="320" w:lineRule="exac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违反本规定，监理单位未履行第二十二条第（一）、（二）、（四）、（五）项安全职责的，由县级以上地方人民政府建设主管部门责令限期改正，予以警告，并处以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tc>
      </w:tr>
      <w:tr w14:paraId="49715D4F">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5D946576">
            <w:pPr>
              <w:rPr>
                <w:color w:val="000000"/>
              </w:rPr>
            </w:pPr>
            <w:r>
              <w:rPr>
                <w:rFonts w:hint="eastAsia"/>
                <w:color w:val="000000"/>
              </w:rPr>
              <w:t>行使内容</w:t>
            </w:r>
          </w:p>
        </w:tc>
        <w:tc>
          <w:tcPr>
            <w:tcW w:w="12876" w:type="dxa"/>
            <w:gridSpan w:val="3"/>
            <w:tcBorders>
              <w:top w:val="single" w:color="auto" w:sz="4" w:space="0"/>
              <w:left w:val="nil"/>
              <w:bottom w:val="single" w:color="auto" w:sz="4" w:space="0"/>
              <w:right w:val="single" w:color="000000" w:sz="8" w:space="0"/>
            </w:tcBorders>
            <w:vAlign w:val="center"/>
          </w:tcPr>
          <w:p w14:paraId="2C2D929A">
            <w:pPr>
              <w:spacing w:line="320" w:lineRule="exact"/>
              <w:rPr>
                <w:color w:val="000000"/>
                <w:kern w:val="0"/>
                <w:sz w:val="18"/>
                <w:szCs w:val="18"/>
              </w:rPr>
            </w:pPr>
            <w:r>
              <w:rPr>
                <w:rFonts w:hint="eastAsia"/>
                <w:color w:val="000000"/>
                <w:kern w:val="0"/>
                <w:sz w:val="18"/>
                <w:szCs w:val="18"/>
              </w:rPr>
              <w:t>警告，罚款</w:t>
            </w:r>
          </w:p>
        </w:tc>
      </w:tr>
      <w:tr w14:paraId="18E12245">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2612B1BD">
            <w:pPr>
              <w:jc w:val="center"/>
              <w:rPr>
                <w:color w:val="000000"/>
              </w:rPr>
            </w:pPr>
            <w:r>
              <w:rPr>
                <w:rFonts w:hint="eastAsia"/>
                <w:color w:val="000000"/>
              </w:rPr>
              <w:t>裁量基准</w:t>
            </w:r>
          </w:p>
        </w:tc>
      </w:tr>
      <w:tr w14:paraId="57CB6275">
        <w:tblPrEx>
          <w:tblCellMar>
            <w:top w:w="0" w:type="dxa"/>
            <w:left w:w="108" w:type="dxa"/>
            <w:bottom w:w="0" w:type="dxa"/>
            <w:right w:w="108" w:type="dxa"/>
          </w:tblCellMar>
        </w:tblPrEx>
        <w:trPr>
          <w:trHeight w:val="285" w:hRule="atLeast"/>
        </w:trPr>
        <w:tc>
          <w:tcPr>
            <w:tcW w:w="1154" w:type="dxa"/>
            <w:vMerge w:val="restart"/>
            <w:tcBorders>
              <w:top w:val="nil"/>
              <w:left w:val="single" w:color="auto" w:sz="8" w:space="0"/>
              <w:bottom w:val="single" w:color="auto" w:sz="4" w:space="0"/>
              <w:right w:val="single" w:color="auto" w:sz="4" w:space="0"/>
            </w:tcBorders>
            <w:vAlign w:val="center"/>
          </w:tcPr>
          <w:p w14:paraId="47311C25">
            <w:pPr>
              <w:rPr>
                <w:color w:val="000000"/>
              </w:rPr>
            </w:pPr>
            <w:r>
              <w:rPr>
                <w:rFonts w:hint="eastAsia"/>
                <w:color w:val="000000"/>
              </w:rPr>
              <w:t>情形描述</w:t>
            </w:r>
          </w:p>
        </w:tc>
        <w:tc>
          <w:tcPr>
            <w:tcW w:w="5812" w:type="dxa"/>
            <w:tcBorders>
              <w:top w:val="single" w:color="auto" w:sz="4" w:space="0"/>
              <w:left w:val="nil"/>
              <w:bottom w:val="single" w:color="auto" w:sz="4" w:space="0"/>
              <w:right w:val="single" w:color="000000" w:sz="4" w:space="0"/>
            </w:tcBorders>
            <w:vAlign w:val="center"/>
          </w:tcPr>
          <w:p w14:paraId="53354F7A">
            <w:pPr>
              <w:rPr>
                <w:color w:val="000000"/>
              </w:rPr>
            </w:pPr>
            <w:r>
              <w:rPr>
                <w:rFonts w:hint="eastAsia"/>
                <w:color w:val="000000"/>
              </w:rPr>
              <w:t>未造成安全事故的</w:t>
            </w:r>
          </w:p>
        </w:tc>
        <w:tc>
          <w:tcPr>
            <w:tcW w:w="1214" w:type="dxa"/>
            <w:vMerge w:val="restart"/>
            <w:tcBorders>
              <w:top w:val="nil"/>
              <w:left w:val="single" w:color="auto" w:sz="4" w:space="0"/>
              <w:bottom w:val="single" w:color="auto" w:sz="4" w:space="0"/>
              <w:right w:val="single" w:color="auto" w:sz="4" w:space="0"/>
            </w:tcBorders>
            <w:vAlign w:val="center"/>
          </w:tcPr>
          <w:p w14:paraId="39CAE47C">
            <w:pPr>
              <w:rPr>
                <w:color w:val="000000"/>
              </w:rPr>
            </w:pPr>
            <w:r>
              <w:rPr>
                <w:rFonts w:hint="eastAsia"/>
                <w:color w:val="000000"/>
              </w:rPr>
              <w:t>裁量幅度</w:t>
            </w:r>
          </w:p>
        </w:tc>
        <w:tc>
          <w:tcPr>
            <w:tcW w:w="5850" w:type="dxa"/>
            <w:tcBorders>
              <w:top w:val="nil"/>
              <w:left w:val="nil"/>
              <w:bottom w:val="single" w:color="auto" w:sz="4" w:space="0"/>
              <w:right w:val="single" w:color="auto" w:sz="8" w:space="0"/>
            </w:tcBorders>
            <w:vAlign w:val="center"/>
          </w:tcPr>
          <w:p w14:paraId="664F664C">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14:paraId="7A1A3A19">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0D161377">
            <w:pPr>
              <w:rPr>
                <w:color w:val="000000"/>
              </w:rPr>
            </w:pPr>
          </w:p>
        </w:tc>
        <w:tc>
          <w:tcPr>
            <w:tcW w:w="5812" w:type="dxa"/>
            <w:tcBorders>
              <w:top w:val="nil"/>
              <w:left w:val="nil"/>
              <w:bottom w:val="single" w:color="auto" w:sz="4" w:space="0"/>
              <w:right w:val="single" w:color="000000" w:sz="4" w:space="0"/>
            </w:tcBorders>
            <w:vAlign w:val="center"/>
          </w:tcPr>
          <w:p w14:paraId="19BAC0C9">
            <w:pPr>
              <w:rPr>
                <w:color w:val="000000"/>
              </w:rPr>
            </w:pPr>
            <w:r>
              <w:rPr>
                <w:rFonts w:hint="eastAsia"/>
                <w:color w:val="000000"/>
              </w:rPr>
              <w:t>造成一般及较大安全事故的</w:t>
            </w:r>
          </w:p>
        </w:tc>
        <w:tc>
          <w:tcPr>
            <w:tcW w:w="1214" w:type="dxa"/>
            <w:vMerge w:val="continue"/>
            <w:tcBorders>
              <w:top w:val="nil"/>
              <w:left w:val="single" w:color="auto" w:sz="4" w:space="0"/>
              <w:bottom w:val="single" w:color="auto" w:sz="4" w:space="0"/>
              <w:right w:val="single" w:color="auto" w:sz="4" w:space="0"/>
            </w:tcBorders>
            <w:vAlign w:val="center"/>
          </w:tcPr>
          <w:p w14:paraId="62230E5B">
            <w:pPr>
              <w:rPr>
                <w:color w:val="000000"/>
              </w:rPr>
            </w:pPr>
          </w:p>
        </w:tc>
        <w:tc>
          <w:tcPr>
            <w:tcW w:w="5850" w:type="dxa"/>
            <w:tcBorders>
              <w:top w:val="nil"/>
              <w:left w:val="nil"/>
              <w:bottom w:val="single" w:color="auto" w:sz="4" w:space="0"/>
              <w:right w:val="single" w:color="auto" w:sz="8" w:space="0"/>
            </w:tcBorders>
            <w:vAlign w:val="center"/>
          </w:tcPr>
          <w:p w14:paraId="51480FDC">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14:paraId="02A44746">
        <w:tblPrEx>
          <w:tblCellMar>
            <w:top w:w="0" w:type="dxa"/>
            <w:left w:w="108" w:type="dxa"/>
            <w:bottom w:w="0" w:type="dxa"/>
            <w:right w:w="108" w:type="dxa"/>
          </w:tblCellMar>
        </w:tblPrEx>
        <w:trPr>
          <w:trHeight w:val="435" w:hRule="atLeast"/>
        </w:trPr>
        <w:tc>
          <w:tcPr>
            <w:tcW w:w="1154" w:type="dxa"/>
            <w:vMerge w:val="continue"/>
            <w:tcBorders>
              <w:top w:val="nil"/>
              <w:left w:val="single" w:color="auto" w:sz="8" w:space="0"/>
              <w:bottom w:val="single" w:color="auto" w:sz="4" w:space="0"/>
              <w:right w:val="single" w:color="auto" w:sz="4" w:space="0"/>
            </w:tcBorders>
            <w:vAlign w:val="center"/>
          </w:tcPr>
          <w:p w14:paraId="024869F0">
            <w:pPr>
              <w:rPr>
                <w:color w:val="000000"/>
              </w:rPr>
            </w:pPr>
          </w:p>
        </w:tc>
        <w:tc>
          <w:tcPr>
            <w:tcW w:w="5812" w:type="dxa"/>
            <w:vMerge w:val="restart"/>
            <w:tcBorders>
              <w:top w:val="single" w:color="auto" w:sz="4" w:space="0"/>
              <w:left w:val="single" w:color="auto" w:sz="4" w:space="0"/>
              <w:bottom w:val="single" w:color="000000" w:sz="4" w:space="0"/>
              <w:right w:val="single" w:color="000000" w:sz="4" w:space="0"/>
            </w:tcBorders>
            <w:vAlign w:val="center"/>
          </w:tcPr>
          <w:p w14:paraId="1BA1086A">
            <w:pPr>
              <w:rPr>
                <w:color w:val="000000"/>
              </w:rPr>
            </w:pPr>
            <w:r>
              <w:rPr>
                <w:rFonts w:hint="eastAsia"/>
                <w:color w:val="000000"/>
              </w:rPr>
              <w:t>造成重大以上安全事故的</w:t>
            </w:r>
          </w:p>
        </w:tc>
        <w:tc>
          <w:tcPr>
            <w:tcW w:w="1214" w:type="dxa"/>
            <w:vMerge w:val="continue"/>
            <w:tcBorders>
              <w:top w:val="nil"/>
              <w:left w:val="single" w:color="auto" w:sz="4" w:space="0"/>
              <w:bottom w:val="single" w:color="auto" w:sz="4" w:space="0"/>
              <w:right w:val="single" w:color="auto" w:sz="4" w:space="0"/>
            </w:tcBorders>
            <w:vAlign w:val="center"/>
          </w:tcPr>
          <w:p w14:paraId="3DA86D36">
            <w:pPr>
              <w:rPr>
                <w:color w:val="000000"/>
              </w:rPr>
            </w:pPr>
          </w:p>
        </w:tc>
        <w:tc>
          <w:tcPr>
            <w:tcW w:w="5850" w:type="dxa"/>
            <w:vMerge w:val="restart"/>
            <w:tcBorders>
              <w:top w:val="nil"/>
              <w:left w:val="single" w:color="auto" w:sz="4" w:space="0"/>
              <w:bottom w:val="single" w:color="000000" w:sz="4" w:space="0"/>
              <w:right w:val="single" w:color="auto" w:sz="8" w:space="0"/>
            </w:tcBorders>
            <w:vAlign w:val="center"/>
          </w:tcPr>
          <w:p w14:paraId="1457C006">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r w14:paraId="4B5C28AC">
        <w:tblPrEx>
          <w:tblCellMar>
            <w:top w:w="0" w:type="dxa"/>
            <w:left w:w="108" w:type="dxa"/>
            <w:bottom w:w="0" w:type="dxa"/>
            <w:right w:w="108" w:type="dxa"/>
          </w:tblCellMar>
        </w:tblPrEx>
        <w:trPr>
          <w:trHeight w:val="435" w:hRule="atLeast"/>
        </w:trPr>
        <w:tc>
          <w:tcPr>
            <w:tcW w:w="1154" w:type="dxa"/>
            <w:vMerge w:val="continue"/>
            <w:tcBorders>
              <w:top w:val="nil"/>
              <w:left w:val="single" w:color="auto" w:sz="8" w:space="0"/>
              <w:bottom w:val="single" w:color="auto" w:sz="4" w:space="0"/>
              <w:right w:val="single" w:color="auto" w:sz="4" w:space="0"/>
            </w:tcBorders>
            <w:vAlign w:val="center"/>
          </w:tcPr>
          <w:p w14:paraId="4B1BCD0B">
            <w:pPr>
              <w:rPr>
                <w:color w:val="000000"/>
              </w:rPr>
            </w:pPr>
          </w:p>
        </w:tc>
        <w:tc>
          <w:tcPr>
            <w:tcW w:w="5812" w:type="dxa"/>
            <w:vMerge w:val="continue"/>
            <w:tcBorders>
              <w:top w:val="single" w:color="auto" w:sz="4" w:space="0"/>
              <w:left w:val="single" w:color="auto" w:sz="4" w:space="0"/>
              <w:bottom w:val="single" w:color="000000" w:sz="4" w:space="0"/>
              <w:right w:val="single" w:color="000000" w:sz="4" w:space="0"/>
            </w:tcBorders>
            <w:vAlign w:val="center"/>
          </w:tcPr>
          <w:p w14:paraId="62665BBC">
            <w:pPr>
              <w:rPr>
                <w:color w:val="000000"/>
              </w:rPr>
            </w:pPr>
          </w:p>
        </w:tc>
        <w:tc>
          <w:tcPr>
            <w:tcW w:w="1214" w:type="dxa"/>
            <w:vMerge w:val="continue"/>
            <w:tcBorders>
              <w:top w:val="nil"/>
              <w:left w:val="single" w:color="auto" w:sz="4" w:space="0"/>
              <w:bottom w:val="single" w:color="auto" w:sz="4" w:space="0"/>
              <w:right w:val="single" w:color="auto" w:sz="4" w:space="0"/>
            </w:tcBorders>
            <w:vAlign w:val="center"/>
          </w:tcPr>
          <w:p w14:paraId="66ADF3F3">
            <w:pPr>
              <w:rPr>
                <w:color w:val="000000"/>
              </w:rPr>
            </w:pPr>
          </w:p>
        </w:tc>
        <w:tc>
          <w:tcPr>
            <w:tcW w:w="5850" w:type="dxa"/>
            <w:vMerge w:val="continue"/>
            <w:tcBorders>
              <w:top w:val="nil"/>
              <w:left w:val="single" w:color="auto" w:sz="4" w:space="0"/>
              <w:bottom w:val="single" w:color="000000" w:sz="4" w:space="0"/>
              <w:right w:val="single" w:color="auto" w:sz="8" w:space="0"/>
            </w:tcBorders>
            <w:vAlign w:val="center"/>
          </w:tcPr>
          <w:p w14:paraId="4163BE93">
            <w:pPr>
              <w:rPr>
                <w:color w:val="000000"/>
              </w:rPr>
            </w:pPr>
          </w:p>
        </w:tc>
      </w:tr>
    </w:tbl>
    <w:p w14:paraId="6ADCBDC6"/>
    <w:p w14:paraId="02DDDFA2"/>
    <w:p w14:paraId="0834D2ED"/>
    <w:p w14:paraId="6B8704A2"/>
    <w:p w14:paraId="2C6C313F"/>
    <w:p w14:paraId="5DACE21C"/>
    <w:p w14:paraId="7E916EA6"/>
    <w:p w14:paraId="1C62FDF3"/>
    <w:tbl>
      <w:tblPr>
        <w:tblStyle w:val="15"/>
        <w:tblW w:w="0" w:type="auto"/>
        <w:tblInd w:w="88" w:type="dxa"/>
        <w:tblLayout w:type="fixed"/>
        <w:tblCellMar>
          <w:top w:w="0" w:type="dxa"/>
          <w:left w:w="108" w:type="dxa"/>
          <w:bottom w:w="0" w:type="dxa"/>
          <w:right w:w="108" w:type="dxa"/>
        </w:tblCellMar>
      </w:tblPr>
      <w:tblGrid>
        <w:gridCol w:w="1056"/>
        <w:gridCol w:w="1658"/>
        <w:gridCol w:w="4482"/>
        <w:gridCol w:w="1044"/>
        <w:gridCol w:w="5820"/>
      </w:tblGrid>
      <w:tr w14:paraId="331A6E41">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67CA372">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5D034867">
            <w:pPr>
              <w:spacing w:line="320" w:lineRule="exact"/>
              <w:jc w:val="left"/>
              <w:rPr>
                <w:b/>
                <w:color w:val="000000"/>
                <w:kern w:val="0"/>
                <w:sz w:val="18"/>
                <w:szCs w:val="18"/>
              </w:rPr>
            </w:pPr>
            <w:r>
              <w:rPr>
                <w:b/>
                <w:color w:val="000000"/>
                <w:kern w:val="0"/>
                <w:sz w:val="18"/>
                <w:szCs w:val="18"/>
              </w:rPr>
              <w:t>320217487000</w:t>
            </w:r>
            <w:r>
              <w:rPr>
                <w:rFonts w:hint="eastAsia"/>
                <w:b/>
                <w:color w:val="000000"/>
                <w:kern w:val="0"/>
                <w:sz w:val="18"/>
                <w:szCs w:val="18"/>
              </w:rPr>
              <w:t xml:space="preserve"> </w:t>
            </w:r>
          </w:p>
        </w:tc>
      </w:tr>
      <w:tr w14:paraId="7F31232F">
        <w:tblPrEx>
          <w:tblCellMar>
            <w:top w:w="0" w:type="dxa"/>
            <w:left w:w="108" w:type="dxa"/>
            <w:bottom w:w="0" w:type="dxa"/>
            <w:right w:w="108" w:type="dxa"/>
          </w:tblCellMar>
        </w:tblPrEx>
        <w:trPr>
          <w:trHeight w:val="540" w:hRule="atLeast"/>
        </w:trPr>
        <w:tc>
          <w:tcPr>
            <w:tcW w:w="1056" w:type="dxa"/>
            <w:tcBorders>
              <w:top w:val="nil"/>
              <w:left w:val="single" w:color="auto" w:sz="8" w:space="0"/>
              <w:bottom w:val="single" w:color="auto" w:sz="4" w:space="0"/>
              <w:right w:val="single" w:color="auto" w:sz="4" w:space="0"/>
            </w:tcBorders>
            <w:vAlign w:val="center"/>
          </w:tcPr>
          <w:p w14:paraId="15AD8F7A">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2EF371DB">
            <w:pPr>
              <w:spacing w:line="320" w:lineRule="exact"/>
              <w:jc w:val="left"/>
              <w:rPr>
                <w:color w:val="000000"/>
                <w:kern w:val="0"/>
                <w:sz w:val="18"/>
                <w:szCs w:val="18"/>
              </w:rPr>
            </w:pPr>
            <w:r>
              <w:rPr>
                <w:rFonts w:hint="eastAsia"/>
                <w:color w:val="000000"/>
                <w:kern w:val="0"/>
                <w:sz w:val="18"/>
                <w:szCs w:val="18"/>
              </w:rPr>
              <w:t>对房地产开发企业未依法承担所售商品房相应的质量保修责任，或者未按照规定将预留的工程质量保证金交由工程所在地住房和城乡建设行政主管部门管理的处罚</w:t>
            </w:r>
          </w:p>
        </w:tc>
      </w:tr>
      <w:tr w14:paraId="05701D87">
        <w:tblPrEx>
          <w:tblCellMar>
            <w:top w:w="0" w:type="dxa"/>
            <w:left w:w="108" w:type="dxa"/>
            <w:bottom w:w="0" w:type="dxa"/>
            <w:right w:w="108" w:type="dxa"/>
          </w:tblCellMar>
        </w:tblPrEx>
        <w:trPr>
          <w:trHeight w:val="1650" w:hRule="atLeast"/>
        </w:trPr>
        <w:tc>
          <w:tcPr>
            <w:tcW w:w="1056" w:type="dxa"/>
            <w:tcBorders>
              <w:top w:val="nil"/>
              <w:left w:val="single" w:color="auto" w:sz="8" w:space="0"/>
              <w:bottom w:val="single" w:color="auto" w:sz="4" w:space="0"/>
              <w:right w:val="single" w:color="auto" w:sz="4" w:space="0"/>
            </w:tcBorders>
            <w:vAlign w:val="center"/>
          </w:tcPr>
          <w:p w14:paraId="622945B2">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42134193">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第十七条第一款</w:t>
            </w:r>
            <w:r>
              <w:rPr>
                <w:color w:val="000000"/>
                <w:kern w:val="0"/>
                <w:sz w:val="18"/>
                <w:szCs w:val="18"/>
              </w:rPr>
              <w:t xml:space="preserve">  </w:t>
            </w:r>
            <w:r>
              <w:rPr>
                <w:rFonts w:hint="eastAsia"/>
                <w:color w:val="000000"/>
                <w:kern w:val="0"/>
                <w:sz w:val="18"/>
                <w:szCs w:val="18"/>
              </w:rPr>
              <w:t>建设单位是工程质量的第一责任人，应当执行法定基本建设程序，履行下列工程质量义务：</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二）房地产开发企业应当对所售商品房承担质量保修责任，在质量保修期内发生的属于保修范围的质量问题应当履行保修义务，并依法承担相应的赔偿责任；在工程竣工验收前，应当将预留的工程质量保证金交由工程所在地住房和城乡建设行政主管部门管理。</w:t>
            </w:r>
            <w:r>
              <w:rPr>
                <w:color w:val="000000"/>
                <w:kern w:val="0"/>
                <w:sz w:val="18"/>
                <w:szCs w:val="18"/>
              </w:rPr>
              <w:br w:type="textWrapping"/>
            </w:r>
            <w:r>
              <w:rPr>
                <w:rFonts w:hint="eastAsia"/>
                <w:color w:val="000000"/>
                <w:kern w:val="0"/>
                <w:sz w:val="18"/>
                <w:szCs w:val="18"/>
              </w:rPr>
              <w:t>第二十三条第一款</w:t>
            </w:r>
            <w:r>
              <w:rPr>
                <w:color w:val="000000"/>
                <w:kern w:val="0"/>
                <w:sz w:val="18"/>
                <w:szCs w:val="18"/>
              </w:rPr>
              <w:t xml:space="preserve">  </w:t>
            </w:r>
            <w:r>
              <w:rPr>
                <w:rFonts w:hint="eastAsia"/>
                <w:color w:val="000000"/>
                <w:kern w:val="0"/>
                <w:sz w:val="18"/>
                <w:szCs w:val="18"/>
              </w:rPr>
              <w:t>违反本办法第十七条第（二）项规定，房地产开发企业未依法承担所售商品房相应的质量保修责任，或者未按照规定将预留的工程质量保证金交由工程所在地住房和城乡建设行政主管部门管理的，由住房和城乡建设行政主管部门责令改正，并可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0DD983C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B471CAE">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56987662">
            <w:pPr>
              <w:spacing w:line="320" w:lineRule="exact"/>
              <w:jc w:val="left"/>
              <w:rPr>
                <w:color w:val="000000"/>
                <w:kern w:val="0"/>
                <w:sz w:val="18"/>
                <w:szCs w:val="18"/>
              </w:rPr>
            </w:pPr>
            <w:r>
              <w:rPr>
                <w:rFonts w:hint="eastAsia"/>
                <w:color w:val="000000"/>
                <w:kern w:val="0"/>
                <w:sz w:val="18"/>
                <w:szCs w:val="18"/>
              </w:rPr>
              <w:t>罚款</w:t>
            </w:r>
          </w:p>
        </w:tc>
      </w:tr>
      <w:tr w14:paraId="1637C354">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6F83DD01">
            <w:pPr>
              <w:spacing w:line="320" w:lineRule="exact"/>
              <w:jc w:val="center"/>
              <w:rPr>
                <w:color w:val="000000"/>
                <w:kern w:val="0"/>
                <w:sz w:val="18"/>
                <w:szCs w:val="18"/>
              </w:rPr>
            </w:pPr>
            <w:r>
              <w:rPr>
                <w:rFonts w:hint="eastAsia"/>
                <w:color w:val="000000"/>
                <w:kern w:val="0"/>
                <w:sz w:val="18"/>
                <w:szCs w:val="18"/>
              </w:rPr>
              <w:t>裁量基准</w:t>
            </w:r>
          </w:p>
        </w:tc>
      </w:tr>
      <w:tr w14:paraId="0A660247">
        <w:tblPrEx>
          <w:tblCellMar>
            <w:top w:w="0" w:type="dxa"/>
            <w:left w:w="108" w:type="dxa"/>
            <w:bottom w:w="0" w:type="dxa"/>
            <w:right w:w="108" w:type="dxa"/>
          </w:tblCellMar>
        </w:tblPrEx>
        <w:trPr>
          <w:trHeight w:val="540" w:hRule="atLeast"/>
        </w:trPr>
        <w:tc>
          <w:tcPr>
            <w:tcW w:w="1056" w:type="dxa"/>
            <w:vMerge w:val="restart"/>
            <w:tcBorders>
              <w:top w:val="nil"/>
              <w:left w:val="single" w:color="auto" w:sz="8" w:space="0"/>
              <w:bottom w:val="single" w:color="auto" w:sz="4" w:space="0"/>
              <w:right w:val="single" w:color="auto" w:sz="4" w:space="0"/>
            </w:tcBorders>
            <w:vAlign w:val="center"/>
          </w:tcPr>
          <w:p w14:paraId="4C1D306D">
            <w:pPr>
              <w:spacing w:line="320" w:lineRule="exact"/>
              <w:jc w:val="left"/>
              <w:rPr>
                <w:color w:val="000000"/>
                <w:kern w:val="0"/>
                <w:sz w:val="18"/>
                <w:szCs w:val="18"/>
              </w:rPr>
            </w:pPr>
            <w:r>
              <w:rPr>
                <w:rFonts w:hint="eastAsia"/>
                <w:color w:val="000000"/>
                <w:kern w:val="0"/>
                <w:sz w:val="18"/>
                <w:szCs w:val="18"/>
              </w:rPr>
              <w:t>情形描述</w:t>
            </w:r>
          </w:p>
        </w:tc>
        <w:tc>
          <w:tcPr>
            <w:tcW w:w="1658" w:type="dxa"/>
            <w:vMerge w:val="restart"/>
            <w:tcBorders>
              <w:top w:val="single" w:color="auto" w:sz="4" w:space="0"/>
              <w:left w:val="nil"/>
              <w:right w:val="single" w:color="auto" w:sz="4" w:space="0"/>
            </w:tcBorders>
            <w:vAlign w:val="center"/>
          </w:tcPr>
          <w:p w14:paraId="24FBFD66">
            <w:pPr>
              <w:spacing w:line="320" w:lineRule="exact"/>
              <w:jc w:val="left"/>
              <w:rPr>
                <w:color w:val="000000"/>
                <w:kern w:val="0"/>
                <w:sz w:val="18"/>
                <w:szCs w:val="18"/>
              </w:rPr>
            </w:pPr>
            <w:r>
              <w:rPr>
                <w:rFonts w:hint="eastAsia"/>
                <w:color w:val="000000"/>
                <w:kern w:val="0"/>
                <w:sz w:val="18"/>
                <w:szCs w:val="18"/>
              </w:rPr>
              <w:t>按照要求整改</w:t>
            </w:r>
          </w:p>
        </w:tc>
        <w:tc>
          <w:tcPr>
            <w:tcW w:w="4482" w:type="dxa"/>
            <w:tcBorders>
              <w:top w:val="single" w:color="auto" w:sz="4" w:space="0"/>
              <w:left w:val="nil"/>
              <w:bottom w:val="single" w:color="auto" w:sz="4" w:space="0"/>
              <w:right w:val="single" w:color="auto" w:sz="4" w:space="0"/>
            </w:tcBorders>
            <w:vAlign w:val="center"/>
          </w:tcPr>
          <w:p w14:paraId="60345823">
            <w:pPr>
              <w:spacing w:line="320" w:lineRule="exact"/>
              <w:jc w:val="left"/>
              <w:rPr>
                <w:color w:val="000000"/>
                <w:kern w:val="0"/>
                <w:sz w:val="18"/>
                <w:szCs w:val="18"/>
              </w:rPr>
            </w:pPr>
            <w:r>
              <w:rPr>
                <w:rFonts w:hint="eastAsia"/>
                <w:color w:val="000000"/>
                <w:kern w:val="0"/>
                <w:sz w:val="18"/>
                <w:szCs w:val="18"/>
              </w:rPr>
              <w:t>未造成社会影响的</w:t>
            </w:r>
          </w:p>
        </w:tc>
        <w:tc>
          <w:tcPr>
            <w:tcW w:w="1044" w:type="dxa"/>
            <w:vMerge w:val="restart"/>
            <w:tcBorders>
              <w:top w:val="nil"/>
              <w:left w:val="single" w:color="auto" w:sz="4" w:space="0"/>
              <w:bottom w:val="single" w:color="auto" w:sz="4" w:space="0"/>
              <w:right w:val="single" w:color="auto" w:sz="4" w:space="0"/>
            </w:tcBorders>
            <w:vAlign w:val="center"/>
          </w:tcPr>
          <w:p w14:paraId="6097C59F">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421A7981">
            <w:pPr>
              <w:spacing w:line="320" w:lineRule="exact"/>
              <w:jc w:val="left"/>
              <w:rPr>
                <w:color w:val="000000"/>
                <w:kern w:val="0"/>
                <w:sz w:val="18"/>
                <w:szCs w:val="18"/>
              </w:rPr>
            </w:pPr>
            <w:r>
              <w:rPr>
                <w:rFonts w:hint="eastAsia"/>
                <w:color w:val="000000"/>
                <w:kern w:val="0"/>
                <w:sz w:val="18"/>
                <w:szCs w:val="18"/>
              </w:rPr>
              <w:t>不处罚款</w:t>
            </w:r>
          </w:p>
        </w:tc>
      </w:tr>
      <w:tr w14:paraId="76291D07">
        <w:tblPrEx>
          <w:tblCellMar>
            <w:top w:w="0" w:type="dxa"/>
            <w:left w:w="108" w:type="dxa"/>
            <w:bottom w:w="0" w:type="dxa"/>
            <w:right w:w="108" w:type="dxa"/>
          </w:tblCellMar>
        </w:tblPrEx>
        <w:trPr>
          <w:trHeight w:val="540" w:hRule="atLeast"/>
        </w:trPr>
        <w:tc>
          <w:tcPr>
            <w:tcW w:w="1056" w:type="dxa"/>
            <w:vMerge w:val="continue"/>
            <w:tcBorders>
              <w:top w:val="nil"/>
              <w:left w:val="single" w:color="auto" w:sz="8" w:space="0"/>
              <w:bottom w:val="single" w:color="auto" w:sz="4" w:space="0"/>
              <w:right w:val="single" w:color="auto" w:sz="4" w:space="0"/>
            </w:tcBorders>
            <w:vAlign w:val="center"/>
          </w:tcPr>
          <w:p w14:paraId="1F53CB69">
            <w:pPr>
              <w:spacing w:line="320" w:lineRule="exact"/>
              <w:jc w:val="left"/>
              <w:rPr>
                <w:color w:val="000000"/>
                <w:kern w:val="0"/>
                <w:sz w:val="18"/>
                <w:szCs w:val="18"/>
              </w:rPr>
            </w:pPr>
          </w:p>
        </w:tc>
        <w:tc>
          <w:tcPr>
            <w:tcW w:w="1658" w:type="dxa"/>
            <w:vMerge w:val="continue"/>
            <w:tcBorders>
              <w:left w:val="nil"/>
              <w:bottom w:val="single" w:color="auto" w:sz="4" w:space="0"/>
              <w:right w:val="single" w:color="auto" w:sz="4" w:space="0"/>
            </w:tcBorders>
            <w:vAlign w:val="center"/>
          </w:tcPr>
          <w:p w14:paraId="354A0B35">
            <w:pPr>
              <w:spacing w:line="320" w:lineRule="exact"/>
              <w:jc w:val="left"/>
              <w:rPr>
                <w:color w:val="000000"/>
                <w:kern w:val="0"/>
                <w:sz w:val="18"/>
                <w:szCs w:val="18"/>
              </w:rPr>
            </w:pPr>
          </w:p>
        </w:tc>
        <w:tc>
          <w:tcPr>
            <w:tcW w:w="4482" w:type="dxa"/>
            <w:tcBorders>
              <w:top w:val="single" w:color="auto" w:sz="4" w:space="0"/>
              <w:left w:val="nil"/>
              <w:bottom w:val="single" w:color="auto" w:sz="4" w:space="0"/>
              <w:right w:val="single" w:color="auto" w:sz="4" w:space="0"/>
            </w:tcBorders>
            <w:vAlign w:val="center"/>
          </w:tcPr>
          <w:p w14:paraId="568DC9C7">
            <w:pPr>
              <w:spacing w:line="320" w:lineRule="exact"/>
              <w:jc w:val="left"/>
              <w:rPr>
                <w:color w:val="000000"/>
                <w:kern w:val="0"/>
                <w:sz w:val="18"/>
                <w:szCs w:val="18"/>
              </w:rPr>
            </w:pPr>
            <w:r>
              <w:rPr>
                <w:rFonts w:hint="eastAsia"/>
                <w:color w:val="000000"/>
                <w:kern w:val="0"/>
                <w:sz w:val="18"/>
                <w:szCs w:val="18"/>
              </w:rPr>
              <w:t>已造成社会影响的</w:t>
            </w:r>
          </w:p>
        </w:tc>
        <w:tc>
          <w:tcPr>
            <w:tcW w:w="1044" w:type="dxa"/>
            <w:vMerge w:val="continue"/>
            <w:tcBorders>
              <w:top w:val="nil"/>
              <w:left w:val="single" w:color="auto" w:sz="4" w:space="0"/>
              <w:bottom w:val="single" w:color="auto" w:sz="4" w:space="0"/>
              <w:right w:val="single" w:color="auto" w:sz="4" w:space="0"/>
            </w:tcBorders>
            <w:vAlign w:val="center"/>
          </w:tcPr>
          <w:p w14:paraId="6396717A">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4F979BE">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3034F925">
        <w:tblPrEx>
          <w:tblCellMar>
            <w:top w:w="0" w:type="dxa"/>
            <w:left w:w="108" w:type="dxa"/>
            <w:bottom w:w="0" w:type="dxa"/>
            <w:right w:w="108" w:type="dxa"/>
          </w:tblCellMar>
        </w:tblPrEx>
        <w:trPr>
          <w:trHeight w:val="540" w:hRule="atLeast"/>
        </w:trPr>
        <w:tc>
          <w:tcPr>
            <w:tcW w:w="1056" w:type="dxa"/>
            <w:vMerge w:val="continue"/>
            <w:tcBorders>
              <w:top w:val="nil"/>
              <w:left w:val="single" w:color="auto" w:sz="8" w:space="0"/>
              <w:bottom w:val="single" w:color="auto" w:sz="4" w:space="0"/>
              <w:right w:val="single" w:color="auto" w:sz="4" w:space="0"/>
            </w:tcBorders>
            <w:vAlign w:val="center"/>
          </w:tcPr>
          <w:p w14:paraId="26A715E1">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58290D02">
            <w:pPr>
              <w:spacing w:line="320" w:lineRule="exact"/>
              <w:jc w:val="left"/>
              <w:rPr>
                <w:color w:val="000000"/>
                <w:kern w:val="0"/>
                <w:sz w:val="18"/>
                <w:szCs w:val="18"/>
              </w:rPr>
            </w:pPr>
            <w:r>
              <w:rPr>
                <w:rFonts w:hint="eastAsia"/>
                <w:color w:val="000000"/>
                <w:kern w:val="0"/>
                <w:sz w:val="18"/>
                <w:szCs w:val="18"/>
              </w:rPr>
              <w:t>未按照要求整改的</w:t>
            </w:r>
          </w:p>
        </w:tc>
        <w:tc>
          <w:tcPr>
            <w:tcW w:w="1044" w:type="dxa"/>
            <w:vMerge w:val="continue"/>
            <w:tcBorders>
              <w:top w:val="nil"/>
              <w:left w:val="single" w:color="auto" w:sz="4" w:space="0"/>
              <w:bottom w:val="single" w:color="auto" w:sz="4" w:space="0"/>
              <w:right w:val="single" w:color="auto" w:sz="4" w:space="0"/>
            </w:tcBorders>
            <w:vAlign w:val="center"/>
          </w:tcPr>
          <w:p w14:paraId="68CAFE22">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FB3EADB">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17AE9E5"/>
    <w:p w14:paraId="5CE30A06"/>
    <w:p w14:paraId="5CE058B5"/>
    <w:p w14:paraId="4F962F70"/>
    <w:p w14:paraId="7EBCE422"/>
    <w:p w14:paraId="37842F01"/>
    <w:p w14:paraId="737BAAFA"/>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0822B319">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25A2BA0B">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000000" w:sz="8" w:space="0"/>
            </w:tcBorders>
            <w:vAlign w:val="center"/>
          </w:tcPr>
          <w:p w14:paraId="74206F37">
            <w:pPr>
              <w:spacing w:line="320" w:lineRule="exact"/>
              <w:jc w:val="left"/>
              <w:rPr>
                <w:b/>
                <w:color w:val="000000"/>
                <w:kern w:val="0"/>
                <w:sz w:val="18"/>
                <w:szCs w:val="18"/>
              </w:rPr>
            </w:pPr>
            <w:r>
              <w:rPr>
                <w:b/>
                <w:color w:val="000000"/>
                <w:kern w:val="0"/>
                <w:sz w:val="18"/>
                <w:szCs w:val="18"/>
              </w:rPr>
              <w:t>320217488000</w:t>
            </w:r>
          </w:p>
        </w:tc>
      </w:tr>
      <w:tr w14:paraId="0C2FC102">
        <w:tblPrEx>
          <w:tblCellMar>
            <w:top w:w="0" w:type="dxa"/>
            <w:left w:w="108" w:type="dxa"/>
            <w:bottom w:w="0" w:type="dxa"/>
            <w:right w:w="108" w:type="dxa"/>
          </w:tblCellMar>
        </w:tblPrEx>
        <w:trPr>
          <w:trHeight w:val="540" w:hRule="atLeast"/>
        </w:trPr>
        <w:tc>
          <w:tcPr>
            <w:tcW w:w="1040" w:type="dxa"/>
            <w:tcBorders>
              <w:top w:val="nil"/>
              <w:left w:val="single" w:color="auto" w:sz="8" w:space="0"/>
              <w:bottom w:val="single" w:color="auto" w:sz="4" w:space="0"/>
              <w:right w:val="single" w:color="auto" w:sz="4" w:space="0"/>
            </w:tcBorders>
            <w:vAlign w:val="center"/>
          </w:tcPr>
          <w:p w14:paraId="4A81CF99">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000000" w:sz="8" w:space="0"/>
            </w:tcBorders>
            <w:vAlign w:val="center"/>
          </w:tcPr>
          <w:p w14:paraId="22673490">
            <w:pPr>
              <w:spacing w:line="320" w:lineRule="exact"/>
              <w:jc w:val="left"/>
              <w:rPr>
                <w:color w:val="000000"/>
                <w:kern w:val="0"/>
                <w:sz w:val="18"/>
                <w:szCs w:val="18"/>
              </w:rPr>
            </w:pPr>
            <w:r>
              <w:rPr>
                <w:rFonts w:hint="eastAsia"/>
                <w:color w:val="000000"/>
                <w:kern w:val="0"/>
                <w:sz w:val="18"/>
                <w:szCs w:val="18"/>
              </w:rPr>
              <w:t>对施工图审查机构未按照本办法规定开展建筑节能专项审查的、施工单位未按照规定组织编制建筑节能专项施工方案的、监理单位未按照规定编制建筑节能专项监理实施细则的处罚</w:t>
            </w:r>
          </w:p>
        </w:tc>
      </w:tr>
      <w:tr w14:paraId="4F2039BD">
        <w:tblPrEx>
          <w:tblCellMar>
            <w:top w:w="0" w:type="dxa"/>
            <w:left w:w="108" w:type="dxa"/>
            <w:bottom w:w="0" w:type="dxa"/>
            <w:right w:w="108" w:type="dxa"/>
          </w:tblCellMar>
        </w:tblPrEx>
        <w:trPr>
          <w:trHeight w:val="2520" w:hRule="atLeast"/>
        </w:trPr>
        <w:tc>
          <w:tcPr>
            <w:tcW w:w="1040" w:type="dxa"/>
            <w:tcBorders>
              <w:top w:val="nil"/>
              <w:left w:val="single" w:color="auto" w:sz="8" w:space="0"/>
              <w:bottom w:val="single" w:color="auto" w:sz="4" w:space="0"/>
              <w:right w:val="single" w:color="auto" w:sz="4" w:space="0"/>
            </w:tcBorders>
            <w:vAlign w:val="center"/>
          </w:tcPr>
          <w:p w14:paraId="24D5BCEC">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000000" w:sz="8" w:space="0"/>
            </w:tcBorders>
            <w:vAlign w:val="center"/>
          </w:tcPr>
          <w:p w14:paraId="219454F8">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施工图审查机构应当在其出具的审查意见书和审查合格证明中，单列建筑节能审查内容。经审查不符合建筑节能强制性标准的，不得发放施工图审查合格证书。</w:t>
            </w:r>
            <w:r>
              <w:rPr>
                <w:color w:val="000000"/>
                <w:kern w:val="0"/>
                <w:sz w:val="18"/>
                <w:szCs w:val="18"/>
              </w:rPr>
              <w:br w:type="textWrapping"/>
            </w:r>
            <w:r>
              <w:rPr>
                <w:rFonts w:hint="eastAsia"/>
                <w:color w:val="000000"/>
                <w:kern w:val="0"/>
                <w:sz w:val="18"/>
                <w:szCs w:val="18"/>
              </w:rPr>
              <w:t>经审查合格的施工图设计文件所确定的建筑节能设计内容，不得擅自变更；确需变更的，应当报原施工图审查机构重新审查。</w:t>
            </w:r>
            <w:r>
              <w:rPr>
                <w:color w:val="000000"/>
                <w:kern w:val="0"/>
                <w:sz w:val="18"/>
                <w:szCs w:val="18"/>
              </w:rPr>
              <w:br w:type="textWrapping"/>
            </w:r>
            <w:r>
              <w:rPr>
                <w:rFonts w:hint="eastAsia"/>
                <w:color w:val="000000"/>
                <w:kern w:val="0"/>
                <w:sz w:val="18"/>
                <w:szCs w:val="18"/>
              </w:rPr>
              <w:t>第十九条第一款　施工单位应当按照审查合格的施工图设计文件和相关建筑节能施工技术规范，编制建筑节能专项施工方案，报建设单位批准后组织施工。</w:t>
            </w:r>
            <w:r>
              <w:rPr>
                <w:color w:val="000000"/>
                <w:kern w:val="0"/>
                <w:sz w:val="18"/>
                <w:szCs w:val="18"/>
              </w:rPr>
              <w:br w:type="textWrapping"/>
            </w:r>
            <w:r>
              <w:rPr>
                <w:rFonts w:hint="eastAsia"/>
                <w:color w:val="000000"/>
                <w:kern w:val="0"/>
                <w:sz w:val="18"/>
                <w:szCs w:val="18"/>
              </w:rPr>
              <w:t>第二十条第一款</w:t>
            </w:r>
            <w:r>
              <w:rPr>
                <w:color w:val="000000"/>
                <w:kern w:val="0"/>
                <w:sz w:val="18"/>
                <w:szCs w:val="18"/>
              </w:rPr>
              <w:t xml:space="preserve"> </w:t>
            </w:r>
            <w:r>
              <w:rPr>
                <w:rFonts w:hint="eastAsia"/>
                <w:color w:val="000000"/>
                <w:kern w:val="0"/>
                <w:sz w:val="18"/>
                <w:szCs w:val="18"/>
              </w:rPr>
              <w:t>工程监理单位应当按照工程监理规范的要求，编制建筑节能专项监理实施细则并实施监理。</w:t>
            </w:r>
            <w:r>
              <w:rPr>
                <w:color w:val="000000"/>
                <w:kern w:val="0"/>
                <w:sz w:val="18"/>
                <w:szCs w:val="18"/>
              </w:rPr>
              <w:br w:type="textWrapping"/>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四）施工图审查机构未按照本办法规定开展建筑节能专项审查的、施工单位未按照规定组织编制建筑节能专项施工方案的、监理单位未按照规定编制建筑节能专项监理实施细则的，责令改正，并处二千元以上一万元以下罚款。</w:t>
            </w:r>
          </w:p>
        </w:tc>
      </w:tr>
      <w:tr w14:paraId="5C19E56E">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1B38E75D">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000000" w:sz="8" w:space="0"/>
            </w:tcBorders>
            <w:vAlign w:val="center"/>
          </w:tcPr>
          <w:p w14:paraId="4729ACBD">
            <w:pPr>
              <w:spacing w:line="320" w:lineRule="exact"/>
              <w:jc w:val="left"/>
              <w:rPr>
                <w:color w:val="000000"/>
                <w:kern w:val="0"/>
                <w:sz w:val="18"/>
                <w:szCs w:val="18"/>
              </w:rPr>
            </w:pPr>
            <w:r>
              <w:rPr>
                <w:rFonts w:hint="eastAsia"/>
                <w:color w:val="000000"/>
                <w:kern w:val="0"/>
                <w:sz w:val="18"/>
                <w:szCs w:val="18"/>
              </w:rPr>
              <w:t>罚款</w:t>
            </w:r>
          </w:p>
        </w:tc>
      </w:tr>
      <w:tr w14:paraId="534E596D">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C1126B0">
            <w:pPr>
              <w:spacing w:line="320" w:lineRule="exact"/>
              <w:jc w:val="center"/>
              <w:rPr>
                <w:color w:val="000000"/>
                <w:kern w:val="0"/>
                <w:sz w:val="18"/>
                <w:szCs w:val="18"/>
              </w:rPr>
            </w:pPr>
            <w:r>
              <w:rPr>
                <w:rFonts w:hint="eastAsia"/>
                <w:color w:val="000000"/>
                <w:kern w:val="0"/>
                <w:sz w:val="18"/>
                <w:szCs w:val="18"/>
              </w:rPr>
              <w:t>裁量基准</w:t>
            </w:r>
          </w:p>
        </w:tc>
      </w:tr>
      <w:tr w14:paraId="25D16452">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bottom w:val="single" w:color="auto" w:sz="4" w:space="0"/>
              <w:right w:val="single" w:color="auto" w:sz="4" w:space="0"/>
            </w:tcBorders>
            <w:vAlign w:val="center"/>
          </w:tcPr>
          <w:p w14:paraId="7E05EA4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47CA9D1">
            <w:pPr>
              <w:spacing w:line="320" w:lineRule="exact"/>
              <w:jc w:val="left"/>
              <w:rPr>
                <w:color w:val="000000"/>
                <w:kern w:val="0"/>
                <w:sz w:val="18"/>
                <w:szCs w:val="18"/>
              </w:rPr>
            </w:pPr>
            <w:r>
              <w:rPr>
                <w:rFonts w:hint="eastAsia"/>
                <w:color w:val="000000"/>
                <w:kern w:val="0"/>
                <w:sz w:val="18"/>
                <w:szCs w:val="18"/>
              </w:rPr>
              <w:t>按照要求整改的</w:t>
            </w:r>
          </w:p>
        </w:tc>
        <w:tc>
          <w:tcPr>
            <w:tcW w:w="1076" w:type="dxa"/>
            <w:vMerge w:val="restart"/>
            <w:tcBorders>
              <w:top w:val="nil"/>
              <w:left w:val="single" w:color="auto" w:sz="4" w:space="0"/>
              <w:bottom w:val="single" w:color="auto" w:sz="4" w:space="0"/>
              <w:right w:val="single" w:color="auto" w:sz="4" w:space="0"/>
            </w:tcBorders>
            <w:vAlign w:val="center"/>
          </w:tcPr>
          <w:p w14:paraId="583EB5F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B51913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元以下的罚款</w:t>
            </w:r>
          </w:p>
        </w:tc>
      </w:tr>
      <w:tr w14:paraId="08E6E220">
        <w:tblPrEx>
          <w:tblCellMar>
            <w:top w:w="0" w:type="dxa"/>
            <w:left w:w="108" w:type="dxa"/>
            <w:bottom w:w="0" w:type="dxa"/>
            <w:right w:w="108" w:type="dxa"/>
          </w:tblCellMar>
        </w:tblPrEx>
        <w:trPr>
          <w:trHeight w:val="285" w:hRule="atLeast"/>
        </w:trPr>
        <w:tc>
          <w:tcPr>
            <w:tcW w:w="1040" w:type="dxa"/>
            <w:vMerge w:val="continue"/>
            <w:tcBorders>
              <w:top w:val="nil"/>
              <w:left w:val="single" w:color="auto" w:sz="8" w:space="0"/>
              <w:bottom w:val="single" w:color="auto" w:sz="4" w:space="0"/>
              <w:right w:val="single" w:color="auto" w:sz="4" w:space="0"/>
            </w:tcBorders>
            <w:vAlign w:val="center"/>
          </w:tcPr>
          <w:p w14:paraId="329200B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4BE4E6F">
            <w:pPr>
              <w:spacing w:line="320" w:lineRule="exact"/>
              <w:jc w:val="left"/>
              <w:rPr>
                <w:color w:val="000000"/>
                <w:kern w:val="0"/>
                <w:sz w:val="18"/>
                <w:szCs w:val="18"/>
              </w:rPr>
            </w:pPr>
            <w:r>
              <w:rPr>
                <w:rFonts w:hint="eastAsia"/>
                <w:color w:val="000000"/>
                <w:kern w:val="0"/>
                <w:sz w:val="18"/>
                <w:szCs w:val="18"/>
              </w:rPr>
              <w:t>未按照要求整改的</w:t>
            </w:r>
          </w:p>
        </w:tc>
        <w:tc>
          <w:tcPr>
            <w:tcW w:w="1076" w:type="dxa"/>
            <w:vMerge w:val="continue"/>
            <w:tcBorders>
              <w:top w:val="nil"/>
              <w:left w:val="single" w:color="auto" w:sz="4" w:space="0"/>
              <w:bottom w:val="single" w:color="auto" w:sz="4" w:space="0"/>
              <w:right w:val="single" w:color="auto" w:sz="4" w:space="0"/>
            </w:tcBorders>
            <w:vAlign w:val="center"/>
          </w:tcPr>
          <w:p w14:paraId="652555BD">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7ED478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14:paraId="009B5247"/>
    <w:p w14:paraId="586BF111"/>
    <w:p w14:paraId="6949EB44"/>
    <w:p w14:paraId="4EEF48EC"/>
    <w:p w14:paraId="4B790B63"/>
    <w:p w14:paraId="57BB8F31"/>
    <w:p w14:paraId="42D2040E"/>
    <w:tbl>
      <w:tblPr>
        <w:tblStyle w:val="15"/>
        <w:tblW w:w="0" w:type="auto"/>
        <w:tblInd w:w="88" w:type="dxa"/>
        <w:tblLayout w:type="fixed"/>
        <w:tblCellMar>
          <w:top w:w="0" w:type="dxa"/>
          <w:left w:w="108" w:type="dxa"/>
          <w:bottom w:w="0" w:type="dxa"/>
          <w:right w:w="108" w:type="dxa"/>
        </w:tblCellMar>
      </w:tblPr>
      <w:tblGrid>
        <w:gridCol w:w="1040"/>
        <w:gridCol w:w="6140"/>
        <w:gridCol w:w="1076"/>
        <w:gridCol w:w="5760"/>
      </w:tblGrid>
      <w:tr w14:paraId="6B60E7D5">
        <w:tblPrEx>
          <w:tblCellMar>
            <w:top w:w="0" w:type="dxa"/>
            <w:left w:w="108" w:type="dxa"/>
            <w:bottom w:w="0" w:type="dxa"/>
            <w:right w:w="108" w:type="dxa"/>
          </w:tblCellMar>
        </w:tblPrEx>
        <w:trPr>
          <w:trHeight w:val="285" w:hRule="atLeast"/>
        </w:trPr>
        <w:tc>
          <w:tcPr>
            <w:tcW w:w="1040" w:type="dxa"/>
            <w:tcBorders>
              <w:top w:val="single" w:color="auto" w:sz="8" w:space="0"/>
              <w:left w:val="single" w:color="auto" w:sz="8" w:space="0"/>
              <w:bottom w:val="single" w:color="auto" w:sz="4" w:space="0"/>
              <w:right w:val="single" w:color="auto" w:sz="4" w:space="0"/>
            </w:tcBorders>
            <w:vAlign w:val="center"/>
          </w:tcPr>
          <w:p w14:paraId="3A2BF6D1">
            <w:pPr>
              <w:spacing w:line="24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left w:val="nil"/>
              <w:bottom w:val="single" w:color="auto" w:sz="4" w:space="0"/>
              <w:right w:val="single" w:color="000000" w:sz="8" w:space="0"/>
            </w:tcBorders>
            <w:vAlign w:val="center"/>
          </w:tcPr>
          <w:p w14:paraId="72FB99A2">
            <w:pPr>
              <w:spacing w:line="240" w:lineRule="exact"/>
              <w:jc w:val="left"/>
              <w:rPr>
                <w:b/>
                <w:color w:val="000000"/>
                <w:kern w:val="0"/>
                <w:sz w:val="18"/>
                <w:szCs w:val="18"/>
              </w:rPr>
            </w:pPr>
            <w:r>
              <w:rPr>
                <w:b/>
                <w:color w:val="000000"/>
                <w:kern w:val="0"/>
                <w:sz w:val="18"/>
                <w:szCs w:val="18"/>
              </w:rPr>
              <w:t>320217489000</w:t>
            </w:r>
          </w:p>
        </w:tc>
      </w:tr>
      <w:tr w14:paraId="096EA115">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316F2B93">
            <w:pPr>
              <w:spacing w:line="24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color="auto" w:sz="4" w:space="0"/>
              <w:left w:val="nil"/>
              <w:bottom w:val="single" w:color="auto" w:sz="4" w:space="0"/>
              <w:right w:val="single" w:color="000000" w:sz="8" w:space="0"/>
            </w:tcBorders>
            <w:vAlign w:val="center"/>
          </w:tcPr>
          <w:p w14:paraId="46D59F83">
            <w:pPr>
              <w:spacing w:line="240" w:lineRule="exact"/>
              <w:jc w:val="left"/>
              <w:rPr>
                <w:color w:val="000000"/>
                <w:kern w:val="0"/>
                <w:sz w:val="18"/>
                <w:szCs w:val="18"/>
              </w:rPr>
            </w:pPr>
            <w:r>
              <w:rPr>
                <w:rFonts w:hint="eastAsia"/>
                <w:color w:val="000000"/>
                <w:kern w:val="0"/>
                <w:sz w:val="18"/>
                <w:szCs w:val="18"/>
              </w:rPr>
              <w:t>对国有资金投资施工总承包项目未使用工程量清单计价方式的处罚</w:t>
            </w:r>
          </w:p>
        </w:tc>
      </w:tr>
      <w:tr w14:paraId="2D450DE1">
        <w:tblPrEx>
          <w:tblCellMar>
            <w:top w:w="0" w:type="dxa"/>
            <w:left w:w="108" w:type="dxa"/>
            <w:bottom w:w="0" w:type="dxa"/>
            <w:right w:w="108" w:type="dxa"/>
          </w:tblCellMar>
        </w:tblPrEx>
        <w:trPr>
          <w:trHeight w:val="2748" w:hRule="atLeast"/>
        </w:trPr>
        <w:tc>
          <w:tcPr>
            <w:tcW w:w="1040" w:type="dxa"/>
            <w:tcBorders>
              <w:top w:val="nil"/>
              <w:left w:val="single" w:color="auto" w:sz="8" w:space="0"/>
              <w:bottom w:val="single" w:color="auto" w:sz="4" w:space="0"/>
              <w:right w:val="single" w:color="auto" w:sz="4" w:space="0"/>
            </w:tcBorders>
            <w:vAlign w:val="center"/>
          </w:tcPr>
          <w:p w14:paraId="78199062">
            <w:pPr>
              <w:spacing w:line="24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color="auto" w:sz="4" w:space="0"/>
              <w:left w:val="nil"/>
              <w:bottom w:val="single" w:color="auto" w:sz="4" w:space="0"/>
              <w:right w:val="single" w:color="000000" w:sz="8" w:space="0"/>
            </w:tcBorders>
            <w:vAlign w:val="center"/>
          </w:tcPr>
          <w:p w14:paraId="47E737D8">
            <w:pPr>
              <w:spacing w:line="240" w:lineRule="exact"/>
              <w:jc w:val="left"/>
              <w:rPr>
                <w:color w:val="000000"/>
                <w:kern w:val="0"/>
                <w:sz w:val="18"/>
                <w:szCs w:val="18"/>
              </w:rPr>
            </w:pPr>
            <w:r>
              <w:rPr>
                <w:rFonts w:hint="eastAsia"/>
                <w:color w:val="000000"/>
                <w:kern w:val="0"/>
                <w:sz w:val="18"/>
                <w:szCs w:val="18"/>
              </w:rPr>
              <w:t>【规章】《江苏省建设工程造价管理办法》（省政府令第163号）</w:t>
            </w:r>
          </w:p>
          <w:p w14:paraId="72A3350A">
            <w:pPr>
              <w:spacing w:line="240" w:lineRule="exact"/>
              <w:jc w:val="left"/>
              <w:rPr>
                <w:color w:val="000000"/>
                <w:kern w:val="0"/>
                <w:sz w:val="18"/>
                <w:szCs w:val="18"/>
              </w:rPr>
            </w:pPr>
            <w:r>
              <w:rPr>
                <w:rFonts w:hint="eastAsia"/>
                <w:color w:val="000000"/>
                <w:kern w:val="0"/>
                <w:sz w:val="18"/>
                <w:szCs w:val="18"/>
              </w:rPr>
              <w:t xml:space="preserve">       第十二条  国有资金投资项目施工发包与承包，应当采用工程量清单方式计价。</w:t>
            </w:r>
          </w:p>
          <w:p w14:paraId="66ADC73F">
            <w:pPr>
              <w:spacing w:line="240" w:lineRule="exact"/>
              <w:jc w:val="left"/>
              <w:rPr>
                <w:color w:val="000000"/>
                <w:kern w:val="0"/>
                <w:sz w:val="18"/>
                <w:szCs w:val="18"/>
              </w:rPr>
            </w:pPr>
            <w:r>
              <w:rPr>
                <w:rFonts w:hint="eastAsia"/>
                <w:color w:val="000000"/>
                <w:kern w:val="0"/>
                <w:sz w:val="18"/>
                <w:szCs w:val="18"/>
              </w:rPr>
              <w:t>鼓励其他建设工程施工发包与承包采用工程量清单方式计价。</w:t>
            </w:r>
          </w:p>
          <w:p w14:paraId="7240FE1B">
            <w:pPr>
              <w:spacing w:line="240" w:lineRule="exact"/>
              <w:jc w:val="left"/>
              <w:rPr>
                <w:color w:val="000000"/>
                <w:kern w:val="0"/>
                <w:sz w:val="18"/>
                <w:szCs w:val="18"/>
              </w:rPr>
            </w:pPr>
            <w:r>
              <w:rPr>
                <w:rFonts w:hint="eastAsia"/>
                <w:color w:val="000000"/>
                <w:kern w:val="0"/>
                <w:sz w:val="18"/>
                <w:szCs w:val="18"/>
              </w:rPr>
              <w:t xml:space="preserve">        第三十一条  违反本办法规定，有下列行为之一的，由县级以上地方人民政府住房城乡建设主管部门给予警告，责令改正，并处以五千元以上三万元以下的罚款：</w:t>
            </w:r>
          </w:p>
          <w:p w14:paraId="6DCC9797">
            <w:pPr>
              <w:spacing w:line="240" w:lineRule="exact"/>
              <w:jc w:val="left"/>
              <w:rPr>
                <w:color w:val="000000"/>
                <w:kern w:val="0"/>
                <w:sz w:val="18"/>
                <w:szCs w:val="18"/>
              </w:rPr>
            </w:pPr>
            <w:r>
              <w:rPr>
                <w:rFonts w:hint="eastAsia"/>
                <w:color w:val="000000"/>
                <w:kern w:val="0"/>
                <w:sz w:val="18"/>
                <w:szCs w:val="18"/>
              </w:rPr>
              <w:t xml:space="preserve">      （一）国有资金投资施工总承包项目未使用工程量清单计价方式的；</w:t>
            </w:r>
          </w:p>
          <w:p w14:paraId="7CD299A9">
            <w:pPr>
              <w:spacing w:line="240" w:lineRule="exact"/>
              <w:jc w:val="left"/>
              <w:rPr>
                <w:color w:val="000000"/>
                <w:kern w:val="0"/>
                <w:sz w:val="18"/>
                <w:szCs w:val="18"/>
              </w:rPr>
            </w:pPr>
            <w:r>
              <w:rPr>
                <w:rFonts w:hint="eastAsia"/>
                <w:color w:val="000000"/>
                <w:kern w:val="0"/>
                <w:sz w:val="18"/>
                <w:szCs w:val="18"/>
              </w:rPr>
              <w:t xml:space="preserve">       依照前款规定给予单位处罚的，可以同时对单位直接负责的主管人员和其他直接责任人员给予警告，并处以三百元以上一千元以下的罚款。</w:t>
            </w:r>
          </w:p>
        </w:tc>
      </w:tr>
      <w:tr w14:paraId="4487FDF2">
        <w:tblPrEx>
          <w:tblCellMar>
            <w:top w:w="0" w:type="dxa"/>
            <w:left w:w="108" w:type="dxa"/>
            <w:bottom w:w="0" w:type="dxa"/>
            <w:right w:w="108" w:type="dxa"/>
          </w:tblCellMar>
        </w:tblPrEx>
        <w:trPr>
          <w:trHeight w:val="285" w:hRule="atLeast"/>
        </w:trPr>
        <w:tc>
          <w:tcPr>
            <w:tcW w:w="1040" w:type="dxa"/>
            <w:tcBorders>
              <w:top w:val="nil"/>
              <w:left w:val="single" w:color="auto" w:sz="8" w:space="0"/>
              <w:bottom w:val="single" w:color="auto" w:sz="4" w:space="0"/>
              <w:right w:val="single" w:color="auto" w:sz="4" w:space="0"/>
            </w:tcBorders>
            <w:vAlign w:val="center"/>
          </w:tcPr>
          <w:p w14:paraId="39E4D9F9">
            <w:pPr>
              <w:spacing w:line="24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color="auto" w:sz="4" w:space="0"/>
              <w:left w:val="nil"/>
              <w:bottom w:val="single" w:color="auto" w:sz="4" w:space="0"/>
              <w:right w:val="single" w:color="000000" w:sz="8" w:space="0"/>
            </w:tcBorders>
            <w:vAlign w:val="center"/>
          </w:tcPr>
          <w:p w14:paraId="0A6158E5">
            <w:pPr>
              <w:spacing w:line="240" w:lineRule="exact"/>
              <w:jc w:val="left"/>
              <w:rPr>
                <w:color w:val="000000"/>
                <w:kern w:val="0"/>
                <w:sz w:val="18"/>
                <w:szCs w:val="18"/>
              </w:rPr>
            </w:pPr>
            <w:r>
              <w:rPr>
                <w:rFonts w:hint="eastAsia"/>
                <w:color w:val="000000"/>
                <w:kern w:val="0"/>
                <w:sz w:val="18"/>
                <w:szCs w:val="18"/>
              </w:rPr>
              <w:t>责令改正，警告，罚款</w:t>
            </w:r>
          </w:p>
        </w:tc>
      </w:tr>
      <w:tr w14:paraId="3EE17A4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204DF88">
            <w:pPr>
              <w:spacing w:line="240" w:lineRule="exact"/>
              <w:jc w:val="center"/>
              <w:rPr>
                <w:color w:val="000000"/>
                <w:kern w:val="0"/>
                <w:sz w:val="18"/>
                <w:szCs w:val="18"/>
              </w:rPr>
            </w:pPr>
            <w:r>
              <w:rPr>
                <w:rFonts w:hint="eastAsia"/>
                <w:color w:val="000000"/>
                <w:kern w:val="0"/>
                <w:sz w:val="18"/>
                <w:szCs w:val="18"/>
              </w:rPr>
              <w:t>裁量基准</w:t>
            </w:r>
          </w:p>
        </w:tc>
      </w:tr>
      <w:tr w14:paraId="3994FD77">
        <w:tblPrEx>
          <w:tblCellMar>
            <w:top w:w="0" w:type="dxa"/>
            <w:left w:w="108" w:type="dxa"/>
            <w:bottom w:w="0" w:type="dxa"/>
            <w:right w:w="108" w:type="dxa"/>
          </w:tblCellMar>
        </w:tblPrEx>
        <w:trPr>
          <w:trHeight w:val="285" w:hRule="atLeast"/>
        </w:trPr>
        <w:tc>
          <w:tcPr>
            <w:tcW w:w="1040" w:type="dxa"/>
            <w:vMerge w:val="restart"/>
            <w:tcBorders>
              <w:top w:val="nil"/>
              <w:left w:val="single" w:color="auto" w:sz="8" w:space="0"/>
              <w:right w:val="single" w:color="auto" w:sz="4" w:space="0"/>
            </w:tcBorders>
            <w:vAlign w:val="center"/>
          </w:tcPr>
          <w:p w14:paraId="048FA327">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68AD9F66">
            <w:pPr>
              <w:spacing w:line="240" w:lineRule="exact"/>
              <w:jc w:val="left"/>
              <w:rPr>
                <w:color w:val="000000"/>
                <w:kern w:val="0"/>
                <w:sz w:val="18"/>
                <w:szCs w:val="18"/>
              </w:rPr>
            </w:pPr>
            <w:r>
              <w:rPr>
                <w:rFonts w:hint="eastAsia"/>
                <w:color w:val="000000"/>
                <w:kern w:val="0"/>
                <w:sz w:val="18"/>
                <w:szCs w:val="18"/>
              </w:rPr>
              <w:t>按照要求整改的，未开工建设的</w:t>
            </w:r>
          </w:p>
        </w:tc>
        <w:tc>
          <w:tcPr>
            <w:tcW w:w="1076" w:type="dxa"/>
            <w:vMerge w:val="restart"/>
            <w:tcBorders>
              <w:top w:val="nil"/>
              <w:left w:val="single" w:color="auto" w:sz="4" w:space="0"/>
              <w:right w:val="single" w:color="auto" w:sz="4" w:space="0"/>
            </w:tcBorders>
            <w:vAlign w:val="center"/>
          </w:tcPr>
          <w:p w14:paraId="3FE3C02A">
            <w:pPr>
              <w:spacing w:line="24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nil"/>
              <w:right w:val="single" w:color="auto" w:sz="8" w:space="0"/>
            </w:tcBorders>
            <w:vAlign w:val="bottom"/>
          </w:tcPr>
          <w:p w14:paraId="58FA3BEB">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元以下的罚款</w:t>
            </w:r>
          </w:p>
          <w:p w14:paraId="4C1C6D21">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300</w:t>
            </w:r>
            <w:r>
              <w:rPr>
                <w:rFonts w:hint="eastAsia"/>
                <w:color w:val="000000"/>
                <w:kern w:val="0"/>
                <w:sz w:val="18"/>
                <w:szCs w:val="18"/>
              </w:rPr>
              <w:t>元以上</w:t>
            </w:r>
            <w:r>
              <w:rPr>
                <w:color w:val="000000"/>
                <w:kern w:val="0"/>
                <w:sz w:val="18"/>
                <w:szCs w:val="18"/>
              </w:rPr>
              <w:t>400</w:t>
            </w:r>
            <w:r>
              <w:rPr>
                <w:rFonts w:hint="eastAsia"/>
                <w:color w:val="000000"/>
                <w:kern w:val="0"/>
                <w:sz w:val="18"/>
                <w:szCs w:val="18"/>
              </w:rPr>
              <w:t>以下的罚款</w:t>
            </w:r>
          </w:p>
        </w:tc>
      </w:tr>
      <w:tr w14:paraId="4EBC290F">
        <w:tblPrEx>
          <w:tblCellMar>
            <w:top w:w="0" w:type="dxa"/>
            <w:left w:w="108" w:type="dxa"/>
            <w:bottom w:w="0" w:type="dxa"/>
            <w:right w:w="108" w:type="dxa"/>
          </w:tblCellMar>
        </w:tblPrEx>
        <w:trPr>
          <w:trHeight w:val="744" w:hRule="atLeast"/>
        </w:trPr>
        <w:tc>
          <w:tcPr>
            <w:tcW w:w="1040" w:type="dxa"/>
            <w:vMerge w:val="continue"/>
            <w:tcBorders>
              <w:left w:val="single" w:color="auto" w:sz="8" w:space="0"/>
              <w:right w:val="single" w:color="auto" w:sz="4" w:space="0"/>
            </w:tcBorders>
            <w:vAlign w:val="center"/>
          </w:tcPr>
          <w:p w14:paraId="71629552">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269D781A">
            <w:pPr>
              <w:spacing w:line="240" w:lineRule="exact"/>
              <w:jc w:val="left"/>
              <w:rPr>
                <w:color w:val="000000"/>
                <w:kern w:val="0"/>
                <w:sz w:val="18"/>
                <w:szCs w:val="18"/>
              </w:rPr>
            </w:pPr>
            <w:r>
              <w:rPr>
                <w:rFonts w:hint="eastAsia"/>
                <w:color w:val="000000"/>
                <w:kern w:val="0"/>
                <w:sz w:val="18"/>
                <w:szCs w:val="18"/>
              </w:rPr>
              <w:t>未按照要求整改，未开工建设的</w:t>
            </w:r>
          </w:p>
        </w:tc>
        <w:tc>
          <w:tcPr>
            <w:tcW w:w="1076" w:type="dxa"/>
            <w:vMerge w:val="continue"/>
            <w:tcBorders>
              <w:left w:val="single" w:color="auto" w:sz="4" w:space="0"/>
              <w:right w:val="single" w:color="auto" w:sz="4" w:space="0"/>
            </w:tcBorders>
            <w:vAlign w:val="center"/>
          </w:tcPr>
          <w:p w14:paraId="62187651">
            <w:pPr>
              <w:spacing w:line="240" w:lineRule="exact"/>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566281BF">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p w14:paraId="6338FFB9">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400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以下的罚款</w:t>
            </w:r>
          </w:p>
        </w:tc>
      </w:tr>
      <w:tr w14:paraId="441CEDF9">
        <w:tblPrEx>
          <w:tblCellMar>
            <w:top w:w="0" w:type="dxa"/>
            <w:left w:w="108" w:type="dxa"/>
            <w:bottom w:w="0" w:type="dxa"/>
            <w:right w:w="108" w:type="dxa"/>
          </w:tblCellMar>
        </w:tblPrEx>
        <w:trPr>
          <w:trHeight w:val="480" w:hRule="atLeast"/>
        </w:trPr>
        <w:tc>
          <w:tcPr>
            <w:tcW w:w="1040" w:type="dxa"/>
            <w:vMerge w:val="continue"/>
            <w:tcBorders>
              <w:left w:val="single" w:color="auto" w:sz="8" w:space="0"/>
              <w:right w:val="single" w:color="auto" w:sz="4" w:space="0"/>
            </w:tcBorders>
            <w:vAlign w:val="center"/>
          </w:tcPr>
          <w:p w14:paraId="145AB538">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5067E630">
            <w:pPr>
              <w:spacing w:line="240" w:lineRule="exact"/>
              <w:jc w:val="left"/>
              <w:rPr>
                <w:color w:val="000000"/>
                <w:kern w:val="0"/>
                <w:sz w:val="18"/>
                <w:szCs w:val="18"/>
              </w:rPr>
            </w:pPr>
            <w:r>
              <w:rPr>
                <w:rFonts w:hint="eastAsia"/>
                <w:color w:val="000000"/>
                <w:kern w:val="0"/>
                <w:sz w:val="18"/>
                <w:szCs w:val="18"/>
              </w:rPr>
              <w:t>按照要求整改的，已开工建设的</w:t>
            </w:r>
          </w:p>
        </w:tc>
        <w:tc>
          <w:tcPr>
            <w:tcW w:w="1076" w:type="dxa"/>
            <w:vMerge w:val="continue"/>
            <w:tcBorders>
              <w:left w:val="single" w:color="auto" w:sz="4" w:space="0"/>
              <w:right w:val="single" w:color="auto" w:sz="4" w:space="0"/>
            </w:tcBorders>
            <w:vAlign w:val="center"/>
          </w:tcPr>
          <w:p w14:paraId="75A39F09">
            <w:pPr>
              <w:spacing w:line="24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709739A">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14:paraId="5CDCDC67">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600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以下的罚款</w:t>
            </w:r>
          </w:p>
        </w:tc>
      </w:tr>
      <w:tr w14:paraId="229F3713">
        <w:tblPrEx>
          <w:tblCellMar>
            <w:top w:w="0" w:type="dxa"/>
            <w:left w:w="108" w:type="dxa"/>
            <w:bottom w:w="0" w:type="dxa"/>
            <w:right w:w="108" w:type="dxa"/>
          </w:tblCellMar>
        </w:tblPrEx>
        <w:trPr>
          <w:trHeight w:val="480" w:hRule="atLeast"/>
        </w:trPr>
        <w:tc>
          <w:tcPr>
            <w:tcW w:w="1040" w:type="dxa"/>
            <w:vMerge w:val="continue"/>
            <w:tcBorders>
              <w:left w:val="single" w:color="auto" w:sz="8" w:space="0"/>
              <w:bottom w:val="single" w:color="auto" w:sz="4" w:space="0"/>
              <w:right w:val="single" w:color="auto" w:sz="4" w:space="0"/>
            </w:tcBorders>
            <w:vAlign w:val="center"/>
          </w:tcPr>
          <w:p w14:paraId="1FEC3BC8">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5C366A81">
            <w:pPr>
              <w:spacing w:line="240" w:lineRule="exact"/>
              <w:jc w:val="left"/>
              <w:rPr>
                <w:color w:val="000000"/>
                <w:kern w:val="0"/>
                <w:sz w:val="18"/>
                <w:szCs w:val="18"/>
              </w:rPr>
            </w:pPr>
            <w:r>
              <w:rPr>
                <w:rFonts w:hint="eastAsia"/>
                <w:color w:val="000000"/>
                <w:kern w:val="0"/>
                <w:sz w:val="18"/>
                <w:szCs w:val="18"/>
              </w:rPr>
              <w:t>未按照要求整改，已开工建设的</w:t>
            </w:r>
          </w:p>
        </w:tc>
        <w:tc>
          <w:tcPr>
            <w:tcW w:w="1076" w:type="dxa"/>
            <w:vMerge w:val="continue"/>
            <w:tcBorders>
              <w:left w:val="single" w:color="auto" w:sz="4" w:space="0"/>
              <w:bottom w:val="single" w:color="auto" w:sz="4" w:space="0"/>
              <w:right w:val="single" w:color="auto" w:sz="4" w:space="0"/>
            </w:tcBorders>
            <w:vAlign w:val="center"/>
          </w:tcPr>
          <w:p w14:paraId="600ACB73">
            <w:pPr>
              <w:spacing w:line="240" w:lineRule="exact"/>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198E6298">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14:paraId="3BD7114F">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以下的罚款</w:t>
            </w:r>
          </w:p>
        </w:tc>
      </w:tr>
    </w:tbl>
    <w:p w14:paraId="40B91999"/>
    <w:p w14:paraId="10BA11B6"/>
    <w:p w14:paraId="728B4D2A"/>
    <w:p w14:paraId="762CE99C"/>
    <w:p w14:paraId="27AD911D"/>
    <w:tbl>
      <w:tblPr>
        <w:tblStyle w:val="15"/>
        <w:tblW w:w="0" w:type="auto"/>
        <w:tblInd w:w="78" w:type="dxa"/>
        <w:tblLayout w:type="fixed"/>
        <w:tblCellMar>
          <w:top w:w="0" w:type="dxa"/>
          <w:left w:w="108" w:type="dxa"/>
          <w:bottom w:w="0" w:type="dxa"/>
          <w:right w:w="108" w:type="dxa"/>
        </w:tblCellMar>
      </w:tblPr>
      <w:tblGrid>
        <w:gridCol w:w="1070"/>
        <w:gridCol w:w="1795"/>
        <w:gridCol w:w="4345"/>
        <w:gridCol w:w="1080"/>
        <w:gridCol w:w="5760"/>
      </w:tblGrid>
      <w:tr w14:paraId="07011C76">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7FB3ED4E">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38D0C0C5">
            <w:pPr>
              <w:spacing w:line="320" w:lineRule="exact"/>
              <w:jc w:val="left"/>
              <w:rPr>
                <w:rFonts w:eastAsia="仿宋_GB2312"/>
                <w:b/>
                <w:bCs/>
                <w:color w:val="000000"/>
                <w:kern w:val="0"/>
                <w:sz w:val="18"/>
                <w:szCs w:val="18"/>
              </w:rPr>
            </w:pPr>
            <w:r>
              <w:rPr>
                <w:rFonts w:eastAsia="仿宋_GB2312"/>
                <w:b/>
                <w:bCs/>
                <w:color w:val="000000"/>
                <w:kern w:val="0"/>
                <w:sz w:val="18"/>
                <w:szCs w:val="18"/>
              </w:rPr>
              <w:t>320217491000</w:t>
            </w:r>
          </w:p>
        </w:tc>
      </w:tr>
      <w:tr w14:paraId="296C1C7A">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65D2DDD">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59C5EB94">
            <w:pPr>
              <w:spacing w:line="320" w:lineRule="exact"/>
              <w:jc w:val="left"/>
              <w:rPr>
                <w:color w:val="000000"/>
                <w:kern w:val="0"/>
                <w:sz w:val="18"/>
                <w:szCs w:val="18"/>
              </w:rPr>
            </w:pPr>
            <w:r>
              <w:rPr>
                <w:rFonts w:hint="eastAsia"/>
                <w:color w:val="000000"/>
                <w:kern w:val="0"/>
                <w:sz w:val="18"/>
                <w:szCs w:val="18"/>
              </w:rPr>
              <w:t>对住宅物业的建设单位未通过招投标的方式选聘物业服务企业或者未经批准，擅自采用协议方式选聘物业服务企业的处罚</w:t>
            </w:r>
          </w:p>
        </w:tc>
      </w:tr>
      <w:tr w14:paraId="4E28F0FF">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3EBE82FF">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7D9AF88F">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14:paraId="24EC6212">
            <w:pPr>
              <w:spacing w:line="320" w:lineRule="exact"/>
              <w:jc w:val="left"/>
              <w:rPr>
                <w:color w:val="000000"/>
                <w:kern w:val="0"/>
                <w:sz w:val="18"/>
                <w:szCs w:val="18"/>
              </w:rPr>
            </w:pPr>
            <w:r>
              <w:rPr>
                <w:rFonts w:hint="eastAsia"/>
                <w:color w:val="000000"/>
                <w:kern w:val="0"/>
                <w:sz w:val="18"/>
                <w:szCs w:val="18"/>
              </w:rPr>
              <w:t>第二十四条第二款</w:t>
            </w:r>
            <w:r>
              <w:rPr>
                <w:color w:val="000000"/>
                <w:kern w:val="0"/>
                <w:sz w:val="18"/>
                <w:szCs w:val="18"/>
              </w:rPr>
              <w:t xml:space="preserve">  </w:t>
            </w:r>
            <w:r>
              <w:rPr>
                <w:rFonts w:hint="eastAsia"/>
                <w:color w:val="000000"/>
                <w:kern w:val="0"/>
                <w:sz w:val="18"/>
                <w:szCs w:val="18"/>
              </w:rPr>
              <w:t>住宅物业的建设单位，应当通过招投标的方式选聘物业服务企业；投标人少于</w:t>
            </w:r>
            <w:r>
              <w:rPr>
                <w:color w:val="000000"/>
                <w:kern w:val="0"/>
                <w:sz w:val="18"/>
                <w:szCs w:val="18"/>
              </w:rPr>
              <w:t>3</w:t>
            </w:r>
            <w:r>
              <w:rPr>
                <w:rFonts w:hint="eastAsia"/>
                <w:color w:val="000000"/>
                <w:kern w:val="0"/>
                <w:sz w:val="18"/>
                <w:szCs w:val="18"/>
              </w:rPr>
              <w:t>个或者住宅规模较小的，经物业所在地的区、县人民政府房地产行政主管部门批准，可以采用协议方式选聘物业服务企业。</w:t>
            </w:r>
          </w:p>
          <w:p w14:paraId="399F6EB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第五十六条</w:t>
            </w:r>
            <w:r>
              <w:rPr>
                <w:color w:val="000000"/>
                <w:kern w:val="0"/>
                <w:sz w:val="18"/>
                <w:szCs w:val="18"/>
              </w:rPr>
              <w:t xml:space="preserve"> </w:t>
            </w:r>
            <w:r>
              <w:rPr>
                <w:rFonts w:hint="eastAsia"/>
                <w:color w:val="000000"/>
                <w:kern w:val="0"/>
                <w:sz w:val="18"/>
                <w:szCs w:val="18"/>
              </w:rPr>
              <w:t>违反本条例的规定，住宅物业的建设单位未通过招投标的方式选聘物业服务企业或者未经批准，擅自采用协议方式选聘物业服务企业的，由县级以上地方人民政府房地产行政主管部门责令限期改正，给予警告，可以并处</w:t>
            </w:r>
            <w:r>
              <w:rPr>
                <w:color w:val="000000"/>
                <w:kern w:val="0"/>
                <w:sz w:val="18"/>
                <w:szCs w:val="18"/>
              </w:rPr>
              <w:t>10</w:t>
            </w:r>
            <w:r>
              <w:rPr>
                <w:rFonts w:hint="eastAsia"/>
                <w:color w:val="000000"/>
                <w:kern w:val="0"/>
                <w:sz w:val="18"/>
                <w:szCs w:val="18"/>
              </w:rPr>
              <w:t>万元以下的罚款。</w:t>
            </w:r>
          </w:p>
        </w:tc>
      </w:tr>
      <w:tr w14:paraId="69A985A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EB1CF20">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04200504">
            <w:pPr>
              <w:spacing w:line="320" w:lineRule="exact"/>
              <w:jc w:val="left"/>
              <w:rPr>
                <w:color w:val="000000"/>
                <w:kern w:val="0"/>
                <w:sz w:val="18"/>
                <w:szCs w:val="18"/>
              </w:rPr>
            </w:pPr>
            <w:r>
              <w:rPr>
                <w:rFonts w:hint="eastAsia"/>
                <w:color w:val="000000"/>
                <w:kern w:val="0"/>
                <w:sz w:val="18"/>
                <w:szCs w:val="18"/>
              </w:rPr>
              <w:t>警告、罚款</w:t>
            </w:r>
          </w:p>
        </w:tc>
      </w:tr>
      <w:tr w14:paraId="2826E787">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01A75026">
            <w:pPr>
              <w:spacing w:line="320" w:lineRule="exact"/>
              <w:jc w:val="center"/>
              <w:rPr>
                <w:color w:val="000000"/>
                <w:kern w:val="0"/>
                <w:sz w:val="18"/>
                <w:szCs w:val="18"/>
              </w:rPr>
            </w:pPr>
            <w:r>
              <w:rPr>
                <w:rFonts w:hint="eastAsia"/>
                <w:color w:val="000000"/>
                <w:kern w:val="0"/>
                <w:sz w:val="18"/>
                <w:szCs w:val="18"/>
              </w:rPr>
              <w:t>裁量基准</w:t>
            </w:r>
          </w:p>
        </w:tc>
      </w:tr>
      <w:tr w14:paraId="22DC7985">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33B00089">
            <w:pPr>
              <w:spacing w:line="320" w:lineRule="exact"/>
              <w:jc w:val="center"/>
              <w:rPr>
                <w:color w:val="000000"/>
                <w:kern w:val="0"/>
                <w:sz w:val="18"/>
                <w:szCs w:val="18"/>
              </w:rPr>
            </w:pPr>
            <w:r>
              <w:rPr>
                <w:rFonts w:hint="eastAsia"/>
                <w:color w:val="000000"/>
                <w:kern w:val="0"/>
                <w:sz w:val="18"/>
                <w:szCs w:val="18"/>
              </w:rPr>
              <w:t>情形描述</w:t>
            </w:r>
          </w:p>
        </w:tc>
        <w:tc>
          <w:tcPr>
            <w:tcW w:w="1795" w:type="dxa"/>
            <w:vMerge w:val="restart"/>
            <w:tcBorders>
              <w:top w:val="single" w:color="auto" w:sz="4" w:space="0"/>
              <w:left w:val="nil"/>
              <w:right w:val="single" w:color="auto" w:sz="4" w:space="0"/>
            </w:tcBorders>
            <w:vAlign w:val="center"/>
          </w:tcPr>
          <w:p w14:paraId="5BEBDE9D">
            <w:pPr>
              <w:spacing w:line="320" w:lineRule="exact"/>
              <w:jc w:val="left"/>
              <w:rPr>
                <w:color w:val="000000"/>
                <w:kern w:val="0"/>
                <w:sz w:val="18"/>
                <w:szCs w:val="18"/>
              </w:rPr>
            </w:pPr>
            <w:r>
              <w:rPr>
                <w:rFonts w:hint="eastAsia"/>
                <w:color w:val="000000"/>
                <w:kern w:val="0"/>
                <w:sz w:val="18"/>
                <w:szCs w:val="18"/>
              </w:rPr>
              <w:t>按照要求整改的</w:t>
            </w:r>
          </w:p>
        </w:tc>
        <w:tc>
          <w:tcPr>
            <w:tcW w:w="4345" w:type="dxa"/>
            <w:tcBorders>
              <w:top w:val="single" w:color="auto" w:sz="4" w:space="0"/>
              <w:left w:val="nil"/>
              <w:bottom w:val="single" w:color="auto" w:sz="4" w:space="0"/>
              <w:right w:val="single" w:color="auto" w:sz="4" w:space="0"/>
            </w:tcBorders>
            <w:vAlign w:val="center"/>
          </w:tcPr>
          <w:p w14:paraId="42E728E4">
            <w:pPr>
              <w:spacing w:line="320" w:lineRule="exact"/>
              <w:jc w:val="left"/>
              <w:rPr>
                <w:color w:val="000000"/>
                <w:kern w:val="0"/>
                <w:sz w:val="18"/>
                <w:szCs w:val="18"/>
              </w:rPr>
            </w:pPr>
            <w:r>
              <w:rPr>
                <w:rFonts w:hint="eastAsia"/>
                <w:color w:val="000000"/>
                <w:kern w:val="0"/>
                <w:sz w:val="18"/>
                <w:szCs w:val="18"/>
              </w:rPr>
              <w:t>未造成危害后果的</w:t>
            </w:r>
          </w:p>
        </w:tc>
        <w:tc>
          <w:tcPr>
            <w:tcW w:w="1080" w:type="dxa"/>
            <w:vMerge w:val="restart"/>
            <w:tcBorders>
              <w:top w:val="nil"/>
              <w:left w:val="single" w:color="auto" w:sz="4" w:space="0"/>
              <w:bottom w:val="single" w:color="auto" w:sz="4" w:space="0"/>
              <w:right w:val="single" w:color="auto" w:sz="4" w:space="0"/>
            </w:tcBorders>
            <w:vAlign w:val="center"/>
          </w:tcPr>
          <w:p w14:paraId="6DC360F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931EAC7">
            <w:pPr>
              <w:spacing w:line="320" w:lineRule="exact"/>
              <w:jc w:val="left"/>
              <w:rPr>
                <w:color w:val="000000"/>
                <w:kern w:val="0"/>
                <w:sz w:val="18"/>
                <w:szCs w:val="18"/>
              </w:rPr>
            </w:pPr>
            <w:r>
              <w:rPr>
                <w:rFonts w:hint="eastAsia"/>
                <w:color w:val="000000"/>
                <w:kern w:val="0"/>
                <w:sz w:val="18"/>
                <w:szCs w:val="18"/>
              </w:rPr>
              <w:t>不处罚款</w:t>
            </w:r>
          </w:p>
        </w:tc>
      </w:tr>
      <w:tr w14:paraId="73B332D0">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15FA02BB">
            <w:pPr>
              <w:spacing w:line="320" w:lineRule="exact"/>
              <w:jc w:val="center"/>
              <w:rPr>
                <w:color w:val="000000"/>
                <w:kern w:val="0"/>
                <w:sz w:val="18"/>
                <w:szCs w:val="18"/>
              </w:rPr>
            </w:pPr>
          </w:p>
        </w:tc>
        <w:tc>
          <w:tcPr>
            <w:tcW w:w="1795" w:type="dxa"/>
            <w:vMerge w:val="continue"/>
            <w:tcBorders>
              <w:left w:val="nil"/>
              <w:bottom w:val="single" w:color="auto" w:sz="4" w:space="0"/>
              <w:right w:val="single" w:color="auto" w:sz="4" w:space="0"/>
            </w:tcBorders>
            <w:vAlign w:val="center"/>
          </w:tcPr>
          <w:p w14:paraId="72FDCBC7">
            <w:pPr>
              <w:spacing w:line="320" w:lineRule="exact"/>
              <w:jc w:val="left"/>
              <w:rPr>
                <w:color w:val="000000"/>
                <w:kern w:val="0"/>
                <w:sz w:val="18"/>
                <w:szCs w:val="18"/>
              </w:rPr>
            </w:pPr>
          </w:p>
        </w:tc>
        <w:tc>
          <w:tcPr>
            <w:tcW w:w="4345" w:type="dxa"/>
            <w:tcBorders>
              <w:top w:val="single" w:color="auto" w:sz="4" w:space="0"/>
              <w:left w:val="nil"/>
              <w:bottom w:val="single" w:color="auto" w:sz="4" w:space="0"/>
              <w:right w:val="single" w:color="auto" w:sz="4" w:space="0"/>
            </w:tcBorders>
            <w:vAlign w:val="center"/>
          </w:tcPr>
          <w:p w14:paraId="5B9F26A7">
            <w:pPr>
              <w:spacing w:line="320" w:lineRule="exact"/>
              <w:jc w:val="left"/>
              <w:rPr>
                <w:color w:val="000000"/>
                <w:kern w:val="0"/>
                <w:sz w:val="18"/>
                <w:szCs w:val="18"/>
              </w:rPr>
            </w:pPr>
            <w:r>
              <w:rPr>
                <w:rFonts w:hint="eastAsia"/>
                <w:color w:val="000000"/>
                <w:kern w:val="0"/>
                <w:sz w:val="18"/>
                <w:szCs w:val="18"/>
              </w:rPr>
              <w:t>造成危害后果的</w:t>
            </w:r>
          </w:p>
        </w:tc>
        <w:tc>
          <w:tcPr>
            <w:tcW w:w="1080" w:type="dxa"/>
            <w:vMerge w:val="continue"/>
            <w:tcBorders>
              <w:top w:val="nil"/>
              <w:left w:val="single" w:color="auto" w:sz="4" w:space="0"/>
              <w:bottom w:val="single" w:color="auto" w:sz="4" w:space="0"/>
              <w:right w:val="single" w:color="auto" w:sz="4" w:space="0"/>
            </w:tcBorders>
            <w:vAlign w:val="center"/>
          </w:tcPr>
          <w:p w14:paraId="102CC1E6">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626218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万元以下的罚款</w:t>
            </w:r>
          </w:p>
        </w:tc>
      </w:tr>
      <w:tr w14:paraId="30772AB1">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435362A4">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073BF671">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tcBorders>
              <w:top w:val="nil"/>
              <w:left w:val="single" w:color="auto" w:sz="4" w:space="0"/>
              <w:bottom w:val="single" w:color="auto" w:sz="4" w:space="0"/>
              <w:right w:val="single" w:color="auto" w:sz="4" w:space="0"/>
            </w:tcBorders>
            <w:vAlign w:val="center"/>
          </w:tcPr>
          <w:p w14:paraId="27D45143">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C7504B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13CFD662"/>
    <w:p w14:paraId="4EFA44C7"/>
    <w:p w14:paraId="7DDA2CE6"/>
    <w:p w14:paraId="21236E13"/>
    <w:p w14:paraId="7A0CAE44"/>
    <w:p w14:paraId="5F968E89"/>
    <w:p w14:paraId="3907B5A2"/>
    <w:p w14:paraId="736ED3D0"/>
    <w:p w14:paraId="43DD9C2B"/>
    <w:p w14:paraId="46787A76"/>
    <w:tbl>
      <w:tblPr>
        <w:tblStyle w:val="15"/>
        <w:tblW w:w="0" w:type="auto"/>
        <w:tblInd w:w="88" w:type="dxa"/>
        <w:tblLayout w:type="fixed"/>
        <w:tblCellMar>
          <w:top w:w="0" w:type="dxa"/>
          <w:left w:w="108" w:type="dxa"/>
          <w:bottom w:w="0" w:type="dxa"/>
          <w:right w:w="108" w:type="dxa"/>
        </w:tblCellMar>
      </w:tblPr>
      <w:tblGrid>
        <w:gridCol w:w="1116"/>
        <w:gridCol w:w="6140"/>
        <w:gridCol w:w="1104"/>
        <w:gridCol w:w="5670"/>
      </w:tblGrid>
      <w:tr w14:paraId="66FC532C">
        <w:tblPrEx>
          <w:tblCellMar>
            <w:top w:w="0" w:type="dxa"/>
            <w:left w:w="108" w:type="dxa"/>
            <w:bottom w:w="0" w:type="dxa"/>
            <w:right w:w="108" w:type="dxa"/>
          </w:tblCellMar>
        </w:tblPrEx>
        <w:trPr>
          <w:trHeight w:val="285" w:hRule="atLeast"/>
        </w:trPr>
        <w:tc>
          <w:tcPr>
            <w:tcW w:w="1116" w:type="dxa"/>
            <w:tcBorders>
              <w:top w:val="single" w:color="auto" w:sz="8" w:space="0"/>
              <w:left w:val="single" w:color="auto" w:sz="8" w:space="0"/>
              <w:bottom w:val="single" w:color="auto" w:sz="4" w:space="0"/>
              <w:right w:val="single" w:color="auto" w:sz="4" w:space="0"/>
            </w:tcBorders>
            <w:vAlign w:val="center"/>
          </w:tcPr>
          <w:p w14:paraId="51DEFEE5">
            <w:pPr>
              <w:spacing w:line="320" w:lineRule="exact"/>
              <w:jc w:val="center"/>
              <w:rPr>
                <w:color w:val="000000"/>
                <w:kern w:val="0"/>
                <w:sz w:val="18"/>
                <w:szCs w:val="18"/>
              </w:rPr>
            </w:pPr>
            <w:r>
              <w:rPr>
                <w:rFonts w:hint="eastAsia"/>
                <w:color w:val="000000"/>
                <w:kern w:val="0"/>
                <w:sz w:val="18"/>
                <w:szCs w:val="18"/>
              </w:rPr>
              <w:t>编号</w:t>
            </w:r>
          </w:p>
        </w:tc>
        <w:tc>
          <w:tcPr>
            <w:tcW w:w="12914" w:type="dxa"/>
            <w:gridSpan w:val="3"/>
            <w:tcBorders>
              <w:top w:val="single" w:color="auto" w:sz="8" w:space="0"/>
              <w:left w:val="nil"/>
              <w:bottom w:val="single" w:color="auto" w:sz="4" w:space="0"/>
              <w:right w:val="single" w:color="000000" w:sz="8" w:space="0"/>
            </w:tcBorders>
            <w:vAlign w:val="center"/>
          </w:tcPr>
          <w:p w14:paraId="244691A0">
            <w:pPr>
              <w:spacing w:line="320" w:lineRule="exact"/>
              <w:jc w:val="left"/>
              <w:rPr>
                <w:rFonts w:eastAsia="仿宋_GB2312"/>
                <w:b/>
                <w:bCs/>
                <w:color w:val="000000"/>
                <w:kern w:val="0"/>
                <w:sz w:val="18"/>
                <w:szCs w:val="18"/>
              </w:rPr>
            </w:pPr>
            <w:r>
              <w:rPr>
                <w:rFonts w:eastAsia="仿宋_GB2312"/>
                <w:b/>
                <w:bCs/>
                <w:color w:val="000000"/>
                <w:kern w:val="0"/>
                <w:sz w:val="18"/>
                <w:szCs w:val="18"/>
              </w:rPr>
              <w:t>320217492000</w:t>
            </w:r>
            <w:r>
              <w:rPr>
                <w:rFonts w:hint="eastAsia" w:eastAsia="仿宋_GB2312"/>
                <w:b/>
                <w:bCs/>
                <w:color w:val="000000"/>
                <w:kern w:val="0"/>
                <w:sz w:val="18"/>
                <w:szCs w:val="18"/>
              </w:rPr>
              <w:t xml:space="preserve"> </w:t>
            </w:r>
          </w:p>
        </w:tc>
      </w:tr>
      <w:tr w14:paraId="33C407F9">
        <w:tblPrEx>
          <w:tblCellMar>
            <w:top w:w="0" w:type="dxa"/>
            <w:left w:w="108" w:type="dxa"/>
            <w:bottom w:w="0" w:type="dxa"/>
            <w:right w:w="108" w:type="dxa"/>
          </w:tblCellMar>
        </w:tblPrEx>
        <w:trPr>
          <w:trHeight w:val="285" w:hRule="atLeast"/>
        </w:trPr>
        <w:tc>
          <w:tcPr>
            <w:tcW w:w="1116" w:type="dxa"/>
            <w:tcBorders>
              <w:top w:val="nil"/>
              <w:left w:val="single" w:color="auto" w:sz="8" w:space="0"/>
              <w:bottom w:val="single" w:color="auto" w:sz="4" w:space="0"/>
              <w:right w:val="single" w:color="auto" w:sz="4" w:space="0"/>
            </w:tcBorders>
            <w:vAlign w:val="center"/>
          </w:tcPr>
          <w:p w14:paraId="6EA52EDE">
            <w:pPr>
              <w:spacing w:line="320" w:lineRule="exact"/>
              <w:jc w:val="center"/>
              <w:rPr>
                <w:color w:val="000000"/>
                <w:kern w:val="0"/>
                <w:sz w:val="18"/>
                <w:szCs w:val="18"/>
              </w:rPr>
            </w:pPr>
            <w:r>
              <w:rPr>
                <w:rFonts w:hint="eastAsia"/>
                <w:color w:val="000000"/>
                <w:kern w:val="0"/>
                <w:sz w:val="18"/>
                <w:szCs w:val="18"/>
              </w:rPr>
              <w:t>行为名称</w:t>
            </w:r>
          </w:p>
        </w:tc>
        <w:tc>
          <w:tcPr>
            <w:tcW w:w="12914" w:type="dxa"/>
            <w:gridSpan w:val="3"/>
            <w:tcBorders>
              <w:top w:val="single" w:color="auto" w:sz="4" w:space="0"/>
              <w:left w:val="nil"/>
              <w:bottom w:val="single" w:color="auto" w:sz="4" w:space="0"/>
              <w:right w:val="single" w:color="000000" w:sz="8" w:space="0"/>
            </w:tcBorders>
            <w:vAlign w:val="center"/>
          </w:tcPr>
          <w:p w14:paraId="382F7CC4">
            <w:pPr>
              <w:spacing w:line="320" w:lineRule="exact"/>
              <w:jc w:val="left"/>
              <w:rPr>
                <w:color w:val="000000"/>
                <w:kern w:val="0"/>
                <w:sz w:val="18"/>
                <w:szCs w:val="18"/>
              </w:rPr>
            </w:pPr>
            <w:r>
              <w:rPr>
                <w:rFonts w:hint="eastAsia"/>
                <w:color w:val="000000"/>
                <w:kern w:val="0"/>
                <w:sz w:val="18"/>
                <w:szCs w:val="18"/>
              </w:rPr>
              <w:t>对建设单位擅自处分属于业主的物业共用部位、共用设施设备的所有权或者使用权的处罚</w:t>
            </w:r>
          </w:p>
        </w:tc>
      </w:tr>
      <w:tr w14:paraId="2753C362">
        <w:tblPrEx>
          <w:tblCellMar>
            <w:top w:w="0" w:type="dxa"/>
            <w:left w:w="108" w:type="dxa"/>
            <w:bottom w:w="0" w:type="dxa"/>
            <w:right w:w="108" w:type="dxa"/>
          </w:tblCellMar>
        </w:tblPrEx>
        <w:trPr>
          <w:trHeight w:val="1170" w:hRule="atLeast"/>
        </w:trPr>
        <w:tc>
          <w:tcPr>
            <w:tcW w:w="1116" w:type="dxa"/>
            <w:tcBorders>
              <w:top w:val="nil"/>
              <w:left w:val="single" w:color="auto" w:sz="8" w:space="0"/>
              <w:bottom w:val="single" w:color="auto" w:sz="4" w:space="0"/>
              <w:right w:val="single" w:color="auto" w:sz="4" w:space="0"/>
            </w:tcBorders>
            <w:vAlign w:val="center"/>
          </w:tcPr>
          <w:p w14:paraId="51E10C86">
            <w:pPr>
              <w:spacing w:line="320" w:lineRule="exact"/>
              <w:jc w:val="center"/>
              <w:rPr>
                <w:color w:val="000000"/>
                <w:kern w:val="0"/>
                <w:sz w:val="18"/>
                <w:szCs w:val="18"/>
              </w:rPr>
            </w:pPr>
            <w:r>
              <w:rPr>
                <w:rFonts w:hint="eastAsia"/>
                <w:color w:val="000000"/>
                <w:kern w:val="0"/>
                <w:sz w:val="18"/>
                <w:szCs w:val="18"/>
              </w:rPr>
              <w:t>法律依据</w:t>
            </w:r>
          </w:p>
        </w:tc>
        <w:tc>
          <w:tcPr>
            <w:tcW w:w="12914" w:type="dxa"/>
            <w:gridSpan w:val="3"/>
            <w:tcBorders>
              <w:top w:val="single" w:color="auto" w:sz="4" w:space="0"/>
              <w:left w:val="nil"/>
              <w:bottom w:val="single" w:color="auto" w:sz="4" w:space="0"/>
              <w:right w:val="single" w:color="000000" w:sz="8" w:space="0"/>
            </w:tcBorders>
            <w:vAlign w:val="center"/>
          </w:tcPr>
          <w:p w14:paraId="10765FC1">
            <w:pPr>
              <w:spacing w:line="320" w:lineRule="exact"/>
              <w:jc w:val="left"/>
              <w:rPr>
                <w:color w:val="000000"/>
                <w:kern w:val="0"/>
                <w:sz w:val="18"/>
                <w:szCs w:val="18"/>
              </w:rPr>
            </w:pPr>
            <w:r>
              <w:rPr>
                <w:rFonts w:hint="eastAsia"/>
                <w:color w:val="000000"/>
                <w:kern w:val="0"/>
                <w:sz w:val="18"/>
                <w:szCs w:val="18"/>
              </w:rPr>
              <w:t>【行政法规】《物业管理条例》（2003年6月8日国务院令第379号公布，根据国务院令第504号、国务院令第666号、国务院令第698号修订）</w:t>
            </w:r>
          </w:p>
          <w:p w14:paraId="62E1778E">
            <w:pPr>
              <w:spacing w:line="320" w:lineRule="exact"/>
              <w:jc w:val="left"/>
              <w:rPr>
                <w:color w:val="000000"/>
                <w:kern w:val="0"/>
                <w:sz w:val="18"/>
                <w:szCs w:val="18"/>
              </w:rPr>
            </w:pPr>
            <w:r>
              <w:rPr>
                <w:rFonts w:hint="eastAsia"/>
                <w:color w:val="000000"/>
                <w:kern w:val="0"/>
                <w:sz w:val="18"/>
                <w:szCs w:val="18"/>
              </w:rPr>
              <w:t xml:space="preserve">        第二十七条　业主依法享有的物业共用部位、共用设施设备的所有权或者使用权，建设单位不得擅自处分。</w:t>
            </w:r>
          </w:p>
          <w:p w14:paraId="0FDC70C8">
            <w:pPr>
              <w:spacing w:line="320" w:lineRule="exact"/>
              <w:jc w:val="left"/>
              <w:rPr>
                <w:color w:val="000000"/>
                <w:kern w:val="0"/>
                <w:sz w:val="18"/>
                <w:szCs w:val="18"/>
              </w:rPr>
            </w:pPr>
            <w:r>
              <w:rPr>
                <w:rFonts w:hint="eastAsia"/>
                <w:color w:val="000000"/>
                <w:kern w:val="0"/>
                <w:sz w:val="18"/>
                <w:szCs w:val="18"/>
              </w:rPr>
              <w:t xml:space="preserve">        第五十七条　违反本条例的规定，建设单位擅自处分属于业主的物业共用部位、共用设施设备的所有权或者使用权的，由县级以上地方人民政府房地产行政主管部门处5万元以上20万元以下的罚款；给业主造成损失的，依法承担赔偿责任。</w:t>
            </w:r>
          </w:p>
        </w:tc>
      </w:tr>
      <w:tr w14:paraId="513ECEDE">
        <w:tblPrEx>
          <w:tblCellMar>
            <w:top w:w="0" w:type="dxa"/>
            <w:left w:w="108" w:type="dxa"/>
            <w:bottom w:w="0" w:type="dxa"/>
            <w:right w:w="108" w:type="dxa"/>
          </w:tblCellMar>
        </w:tblPrEx>
        <w:trPr>
          <w:trHeight w:val="285" w:hRule="atLeast"/>
        </w:trPr>
        <w:tc>
          <w:tcPr>
            <w:tcW w:w="1116" w:type="dxa"/>
            <w:tcBorders>
              <w:top w:val="nil"/>
              <w:left w:val="single" w:color="auto" w:sz="8" w:space="0"/>
              <w:bottom w:val="single" w:color="auto" w:sz="4" w:space="0"/>
              <w:right w:val="single" w:color="auto" w:sz="4" w:space="0"/>
            </w:tcBorders>
            <w:vAlign w:val="center"/>
          </w:tcPr>
          <w:p w14:paraId="7BC1842A">
            <w:pPr>
              <w:spacing w:line="320" w:lineRule="exact"/>
              <w:jc w:val="center"/>
              <w:rPr>
                <w:color w:val="000000"/>
                <w:kern w:val="0"/>
                <w:sz w:val="18"/>
                <w:szCs w:val="18"/>
              </w:rPr>
            </w:pPr>
            <w:r>
              <w:rPr>
                <w:rFonts w:hint="eastAsia"/>
                <w:color w:val="000000"/>
                <w:kern w:val="0"/>
                <w:sz w:val="18"/>
                <w:szCs w:val="18"/>
              </w:rPr>
              <w:t>行使内容</w:t>
            </w:r>
          </w:p>
        </w:tc>
        <w:tc>
          <w:tcPr>
            <w:tcW w:w="12914" w:type="dxa"/>
            <w:gridSpan w:val="3"/>
            <w:tcBorders>
              <w:top w:val="single" w:color="auto" w:sz="4" w:space="0"/>
              <w:left w:val="nil"/>
              <w:bottom w:val="single" w:color="auto" w:sz="4" w:space="0"/>
              <w:right w:val="single" w:color="000000" w:sz="8" w:space="0"/>
            </w:tcBorders>
            <w:vAlign w:val="center"/>
          </w:tcPr>
          <w:p w14:paraId="7B35D9A7">
            <w:pPr>
              <w:spacing w:line="320" w:lineRule="exact"/>
              <w:jc w:val="left"/>
              <w:rPr>
                <w:color w:val="000000"/>
                <w:kern w:val="0"/>
                <w:sz w:val="18"/>
                <w:szCs w:val="18"/>
              </w:rPr>
            </w:pPr>
            <w:r>
              <w:rPr>
                <w:rFonts w:hint="eastAsia"/>
                <w:color w:val="000000"/>
                <w:kern w:val="0"/>
                <w:sz w:val="18"/>
                <w:szCs w:val="18"/>
              </w:rPr>
              <w:t>罚款</w:t>
            </w:r>
          </w:p>
        </w:tc>
      </w:tr>
      <w:tr w14:paraId="31716F05">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5A38174A">
            <w:pPr>
              <w:spacing w:line="320" w:lineRule="exact"/>
              <w:jc w:val="center"/>
              <w:rPr>
                <w:color w:val="000000"/>
                <w:kern w:val="0"/>
                <w:sz w:val="18"/>
                <w:szCs w:val="18"/>
              </w:rPr>
            </w:pPr>
            <w:r>
              <w:rPr>
                <w:rFonts w:hint="eastAsia"/>
                <w:color w:val="000000"/>
                <w:kern w:val="0"/>
                <w:sz w:val="18"/>
                <w:szCs w:val="18"/>
              </w:rPr>
              <w:t>裁量基准</w:t>
            </w:r>
          </w:p>
        </w:tc>
      </w:tr>
      <w:tr w14:paraId="3A4443AE">
        <w:tblPrEx>
          <w:tblCellMar>
            <w:top w:w="0" w:type="dxa"/>
            <w:left w:w="108" w:type="dxa"/>
            <w:bottom w:w="0" w:type="dxa"/>
            <w:right w:w="108" w:type="dxa"/>
          </w:tblCellMar>
        </w:tblPrEx>
        <w:trPr>
          <w:trHeight w:val="285" w:hRule="atLeast"/>
        </w:trPr>
        <w:tc>
          <w:tcPr>
            <w:tcW w:w="1116" w:type="dxa"/>
            <w:vMerge w:val="restart"/>
            <w:tcBorders>
              <w:top w:val="nil"/>
              <w:left w:val="single" w:color="auto" w:sz="8" w:space="0"/>
              <w:bottom w:val="single" w:color="auto" w:sz="4" w:space="0"/>
              <w:right w:val="single" w:color="auto" w:sz="4" w:space="0"/>
            </w:tcBorders>
            <w:vAlign w:val="center"/>
          </w:tcPr>
          <w:p w14:paraId="24D81B2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7FA82DE">
            <w:pPr>
              <w:spacing w:line="320" w:lineRule="exact"/>
              <w:jc w:val="left"/>
              <w:rPr>
                <w:color w:val="000000"/>
                <w:kern w:val="0"/>
                <w:sz w:val="18"/>
                <w:szCs w:val="18"/>
              </w:rPr>
            </w:pPr>
            <w:r>
              <w:rPr>
                <w:rFonts w:hint="eastAsia"/>
                <w:color w:val="000000"/>
                <w:kern w:val="0"/>
                <w:sz w:val="18"/>
                <w:szCs w:val="18"/>
              </w:rPr>
              <w:t>仅擅自处分共用设施设备使用权的</w:t>
            </w:r>
          </w:p>
        </w:tc>
        <w:tc>
          <w:tcPr>
            <w:tcW w:w="1104" w:type="dxa"/>
            <w:vMerge w:val="restart"/>
            <w:tcBorders>
              <w:top w:val="nil"/>
              <w:left w:val="single" w:color="auto" w:sz="4" w:space="0"/>
              <w:bottom w:val="single" w:color="auto" w:sz="4" w:space="0"/>
              <w:right w:val="single" w:color="auto" w:sz="4" w:space="0"/>
            </w:tcBorders>
            <w:vAlign w:val="center"/>
          </w:tcPr>
          <w:p w14:paraId="32F28EF3">
            <w:pPr>
              <w:spacing w:line="320" w:lineRule="exact"/>
              <w:jc w:val="center"/>
              <w:rPr>
                <w:color w:val="000000"/>
                <w:kern w:val="0"/>
                <w:sz w:val="18"/>
                <w:szCs w:val="18"/>
              </w:rPr>
            </w:pPr>
            <w:r>
              <w:rPr>
                <w:rFonts w:hint="eastAsia"/>
                <w:color w:val="000000"/>
                <w:kern w:val="0"/>
                <w:sz w:val="18"/>
                <w:szCs w:val="18"/>
              </w:rPr>
              <w:t>裁量幅度</w:t>
            </w:r>
          </w:p>
        </w:tc>
        <w:tc>
          <w:tcPr>
            <w:tcW w:w="5670" w:type="dxa"/>
            <w:tcBorders>
              <w:top w:val="nil"/>
              <w:left w:val="nil"/>
              <w:bottom w:val="single" w:color="auto" w:sz="4" w:space="0"/>
              <w:right w:val="single" w:color="auto" w:sz="8" w:space="0"/>
            </w:tcBorders>
            <w:vAlign w:val="center"/>
          </w:tcPr>
          <w:p w14:paraId="500BA8B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6465A9A9">
        <w:tblPrEx>
          <w:tblCellMar>
            <w:top w:w="0" w:type="dxa"/>
            <w:left w:w="108" w:type="dxa"/>
            <w:bottom w:w="0" w:type="dxa"/>
            <w:right w:w="108" w:type="dxa"/>
          </w:tblCellMar>
        </w:tblPrEx>
        <w:trPr>
          <w:trHeight w:val="285" w:hRule="atLeast"/>
        </w:trPr>
        <w:tc>
          <w:tcPr>
            <w:tcW w:w="1116" w:type="dxa"/>
            <w:vMerge w:val="continue"/>
            <w:tcBorders>
              <w:top w:val="nil"/>
              <w:left w:val="single" w:color="auto" w:sz="8" w:space="0"/>
              <w:bottom w:val="single" w:color="auto" w:sz="4" w:space="0"/>
              <w:right w:val="single" w:color="auto" w:sz="4" w:space="0"/>
            </w:tcBorders>
            <w:vAlign w:val="center"/>
          </w:tcPr>
          <w:p w14:paraId="4EAAE543">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11C4EA6">
            <w:pPr>
              <w:spacing w:line="320" w:lineRule="exact"/>
              <w:jc w:val="left"/>
              <w:rPr>
                <w:color w:val="000000"/>
                <w:kern w:val="0"/>
                <w:sz w:val="18"/>
                <w:szCs w:val="18"/>
              </w:rPr>
            </w:pPr>
            <w:r>
              <w:rPr>
                <w:rFonts w:hint="eastAsia"/>
                <w:color w:val="000000"/>
                <w:kern w:val="0"/>
                <w:sz w:val="18"/>
                <w:szCs w:val="18"/>
              </w:rPr>
              <w:t>仅擅自处分共用部位使用权的</w:t>
            </w:r>
          </w:p>
        </w:tc>
        <w:tc>
          <w:tcPr>
            <w:tcW w:w="1104" w:type="dxa"/>
            <w:vMerge w:val="continue"/>
            <w:tcBorders>
              <w:top w:val="nil"/>
              <w:left w:val="single" w:color="auto" w:sz="4" w:space="0"/>
              <w:bottom w:val="single" w:color="auto" w:sz="4" w:space="0"/>
              <w:right w:val="single" w:color="auto" w:sz="4" w:space="0"/>
            </w:tcBorders>
            <w:vAlign w:val="center"/>
          </w:tcPr>
          <w:p w14:paraId="4263AEBD">
            <w:pPr>
              <w:spacing w:line="320" w:lineRule="exact"/>
              <w:jc w:val="center"/>
              <w:rPr>
                <w:color w:val="000000"/>
                <w:kern w:val="0"/>
                <w:sz w:val="18"/>
                <w:szCs w:val="18"/>
              </w:rPr>
            </w:pPr>
          </w:p>
        </w:tc>
        <w:tc>
          <w:tcPr>
            <w:tcW w:w="5670" w:type="dxa"/>
            <w:tcBorders>
              <w:top w:val="nil"/>
              <w:left w:val="nil"/>
              <w:bottom w:val="single" w:color="auto" w:sz="4" w:space="0"/>
              <w:right w:val="single" w:color="auto" w:sz="8" w:space="0"/>
            </w:tcBorders>
            <w:vAlign w:val="center"/>
          </w:tcPr>
          <w:p w14:paraId="693C688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705660F2">
        <w:tblPrEx>
          <w:tblCellMar>
            <w:top w:w="0" w:type="dxa"/>
            <w:left w:w="108" w:type="dxa"/>
            <w:bottom w:w="0" w:type="dxa"/>
            <w:right w:w="108" w:type="dxa"/>
          </w:tblCellMar>
        </w:tblPrEx>
        <w:trPr>
          <w:trHeight w:val="285" w:hRule="atLeast"/>
        </w:trPr>
        <w:tc>
          <w:tcPr>
            <w:tcW w:w="1116" w:type="dxa"/>
            <w:vMerge w:val="continue"/>
            <w:tcBorders>
              <w:top w:val="nil"/>
              <w:left w:val="single" w:color="auto" w:sz="8" w:space="0"/>
              <w:bottom w:val="single" w:color="auto" w:sz="4" w:space="0"/>
              <w:right w:val="single" w:color="auto" w:sz="4" w:space="0"/>
            </w:tcBorders>
            <w:vAlign w:val="center"/>
          </w:tcPr>
          <w:p w14:paraId="4B95123A">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9B8FB45">
            <w:pPr>
              <w:spacing w:line="320" w:lineRule="exact"/>
              <w:jc w:val="left"/>
              <w:rPr>
                <w:color w:val="000000"/>
                <w:kern w:val="0"/>
                <w:sz w:val="18"/>
                <w:szCs w:val="18"/>
              </w:rPr>
            </w:pPr>
            <w:r>
              <w:rPr>
                <w:rFonts w:hint="eastAsia"/>
                <w:color w:val="000000"/>
                <w:kern w:val="0"/>
                <w:sz w:val="18"/>
                <w:szCs w:val="18"/>
              </w:rPr>
              <w:t>擅自处分共用部位和共用设施设备使用权但未涉及所有权的</w:t>
            </w:r>
          </w:p>
        </w:tc>
        <w:tc>
          <w:tcPr>
            <w:tcW w:w="1104" w:type="dxa"/>
            <w:vMerge w:val="continue"/>
            <w:tcBorders>
              <w:top w:val="nil"/>
              <w:left w:val="single" w:color="auto" w:sz="4" w:space="0"/>
              <w:bottom w:val="single" w:color="auto" w:sz="4" w:space="0"/>
              <w:right w:val="single" w:color="auto" w:sz="4" w:space="0"/>
            </w:tcBorders>
            <w:vAlign w:val="center"/>
          </w:tcPr>
          <w:p w14:paraId="77F8B24E">
            <w:pPr>
              <w:spacing w:line="320" w:lineRule="exact"/>
              <w:jc w:val="center"/>
              <w:rPr>
                <w:color w:val="000000"/>
                <w:kern w:val="0"/>
                <w:sz w:val="18"/>
                <w:szCs w:val="18"/>
              </w:rPr>
            </w:pPr>
          </w:p>
        </w:tc>
        <w:tc>
          <w:tcPr>
            <w:tcW w:w="5670" w:type="dxa"/>
            <w:tcBorders>
              <w:top w:val="nil"/>
              <w:left w:val="nil"/>
              <w:bottom w:val="single" w:color="auto" w:sz="4" w:space="0"/>
              <w:right w:val="single" w:color="auto" w:sz="8" w:space="0"/>
            </w:tcBorders>
            <w:vAlign w:val="center"/>
          </w:tcPr>
          <w:p w14:paraId="4BACD6A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14:paraId="07581F08">
        <w:tblPrEx>
          <w:tblCellMar>
            <w:top w:w="0" w:type="dxa"/>
            <w:left w:w="108" w:type="dxa"/>
            <w:bottom w:w="0" w:type="dxa"/>
            <w:right w:w="108" w:type="dxa"/>
          </w:tblCellMar>
        </w:tblPrEx>
        <w:trPr>
          <w:trHeight w:val="285" w:hRule="atLeast"/>
        </w:trPr>
        <w:tc>
          <w:tcPr>
            <w:tcW w:w="1116" w:type="dxa"/>
            <w:vMerge w:val="continue"/>
            <w:tcBorders>
              <w:top w:val="nil"/>
              <w:left w:val="single" w:color="auto" w:sz="8" w:space="0"/>
              <w:bottom w:val="single" w:color="auto" w:sz="4" w:space="0"/>
              <w:right w:val="single" w:color="auto" w:sz="4" w:space="0"/>
            </w:tcBorders>
            <w:vAlign w:val="center"/>
          </w:tcPr>
          <w:p w14:paraId="7EE73CF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561D70A">
            <w:pPr>
              <w:spacing w:line="320" w:lineRule="exact"/>
              <w:jc w:val="left"/>
              <w:rPr>
                <w:color w:val="000000"/>
                <w:kern w:val="0"/>
                <w:sz w:val="18"/>
                <w:szCs w:val="18"/>
              </w:rPr>
            </w:pPr>
            <w:r>
              <w:rPr>
                <w:rFonts w:hint="eastAsia"/>
                <w:color w:val="000000"/>
                <w:kern w:val="0"/>
                <w:sz w:val="18"/>
                <w:szCs w:val="18"/>
              </w:rPr>
              <w:t>擅自处分共用设施设备所有权但未擅自处分共同部位所有权的</w:t>
            </w:r>
          </w:p>
        </w:tc>
        <w:tc>
          <w:tcPr>
            <w:tcW w:w="1104" w:type="dxa"/>
            <w:vMerge w:val="continue"/>
            <w:tcBorders>
              <w:top w:val="nil"/>
              <w:left w:val="single" w:color="auto" w:sz="4" w:space="0"/>
              <w:bottom w:val="single" w:color="auto" w:sz="4" w:space="0"/>
              <w:right w:val="single" w:color="auto" w:sz="4" w:space="0"/>
            </w:tcBorders>
            <w:vAlign w:val="center"/>
          </w:tcPr>
          <w:p w14:paraId="6BE802E3">
            <w:pPr>
              <w:spacing w:line="320" w:lineRule="exact"/>
              <w:jc w:val="left"/>
              <w:rPr>
                <w:color w:val="000000"/>
                <w:kern w:val="0"/>
                <w:sz w:val="18"/>
                <w:szCs w:val="18"/>
              </w:rPr>
            </w:pPr>
          </w:p>
        </w:tc>
        <w:tc>
          <w:tcPr>
            <w:tcW w:w="5670" w:type="dxa"/>
            <w:tcBorders>
              <w:top w:val="nil"/>
              <w:left w:val="nil"/>
              <w:bottom w:val="single" w:color="auto" w:sz="4" w:space="0"/>
              <w:right w:val="single" w:color="auto" w:sz="8" w:space="0"/>
            </w:tcBorders>
            <w:vAlign w:val="center"/>
          </w:tcPr>
          <w:p w14:paraId="32987EF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14:paraId="51CC8AE3">
        <w:tblPrEx>
          <w:tblCellMar>
            <w:top w:w="0" w:type="dxa"/>
            <w:left w:w="108" w:type="dxa"/>
            <w:bottom w:w="0" w:type="dxa"/>
            <w:right w:w="108" w:type="dxa"/>
          </w:tblCellMar>
        </w:tblPrEx>
        <w:trPr>
          <w:trHeight w:val="285" w:hRule="atLeast"/>
        </w:trPr>
        <w:tc>
          <w:tcPr>
            <w:tcW w:w="1116" w:type="dxa"/>
            <w:vMerge w:val="continue"/>
            <w:tcBorders>
              <w:top w:val="nil"/>
              <w:left w:val="single" w:color="auto" w:sz="8" w:space="0"/>
              <w:bottom w:val="single" w:color="auto" w:sz="4" w:space="0"/>
              <w:right w:val="single" w:color="auto" w:sz="4" w:space="0"/>
            </w:tcBorders>
            <w:vAlign w:val="center"/>
          </w:tcPr>
          <w:p w14:paraId="5D43B54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DDD39A1">
            <w:pPr>
              <w:spacing w:line="320" w:lineRule="exact"/>
              <w:jc w:val="left"/>
              <w:rPr>
                <w:color w:val="000000"/>
                <w:kern w:val="0"/>
                <w:sz w:val="18"/>
                <w:szCs w:val="18"/>
              </w:rPr>
            </w:pPr>
            <w:r>
              <w:rPr>
                <w:rFonts w:hint="eastAsia"/>
                <w:color w:val="000000"/>
                <w:kern w:val="0"/>
                <w:sz w:val="18"/>
                <w:szCs w:val="18"/>
              </w:rPr>
              <w:t>擅自处分共用部位所有权但未擅自处分共用设施设备所有权的</w:t>
            </w:r>
          </w:p>
        </w:tc>
        <w:tc>
          <w:tcPr>
            <w:tcW w:w="1104" w:type="dxa"/>
            <w:vMerge w:val="continue"/>
            <w:tcBorders>
              <w:top w:val="nil"/>
              <w:left w:val="single" w:color="auto" w:sz="4" w:space="0"/>
              <w:bottom w:val="single" w:color="auto" w:sz="4" w:space="0"/>
              <w:right w:val="single" w:color="auto" w:sz="4" w:space="0"/>
            </w:tcBorders>
            <w:vAlign w:val="center"/>
          </w:tcPr>
          <w:p w14:paraId="22E154C4">
            <w:pPr>
              <w:spacing w:line="320" w:lineRule="exact"/>
              <w:jc w:val="left"/>
              <w:rPr>
                <w:color w:val="000000"/>
                <w:kern w:val="0"/>
                <w:sz w:val="18"/>
                <w:szCs w:val="18"/>
              </w:rPr>
            </w:pPr>
          </w:p>
        </w:tc>
        <w:tc>
          <w:tcPr>
            <w:tcW w:w="5670" w:type="dxa"/>
            <w:tcBorders>
              <w:top w:val="nil"/>
              <w:left w:val="nil"/>
              <w:bottom w:val="single" w:color="auto" w:sz="4" w:space="0"/>
              <w:right w:val="single" w:color="auto" w:sz="8" w:space="0"/>
            </w:tcBorders>
            <w:vAlign w:val="center"/>
          </w:tcPr>
          <w:p w14:paraId="42342B0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14:paraId="181A432D">
        <w:tblPrEx>
          <w:tblCellMar>
            <w:top w:w="0" w:type="dxa"/>
            <w:left w:w="108" w:type="dxa"/>
            <w:bottom w:w="0" w:type="dxa"/>
            <w:right w:w="108" w:type="dxa"/>
          </w:tblCellMar>
        </w:tblPrEx>
        <w:trPr>
          <w:trHeight w:val="285" w:hRule="atLeast"/>
        </w:trPr>
        <w:tc>
          <w:tcPr>
            <w:tcW w:w="1116" w:type="dxa"/>
            <w:vMerge w:val="continue"/>
            <w:tcBorders>
              <w:top w:val="nil"/>
              <w:left w:val="single" w:color="auto" w:sz="8" w:space="0"/>
              <w:bottom w:val="single" w:color="auto" w:sz="4" w:space="0"/>
              <w:right w:val="single" w:color="auto" w:sz="4" w:space="0"/>
            </w:tcBorders>
            <w:vAlign w:val="center"/>
          </w:tcPr>
          <w:p w14:paraId="21E48B9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54B5C7E">
            <w:pPr>
              <w:spacing w:line="320" w:lineRule="exact"/>
              <w:jc w:val="left"/>
              <w:rPr>
                <w:color w:val="000000"/>
                <w:kern w:val="0"/>
                <w:sz w:val="18"/>
                <w:szCs w:val="18"/>
              </w:rPr>
            </w:pPr>
            <w:r>
              <w:rPr>
                <w:rFonts w:hint="eastAsia"/>
                <w:color w:val="000000"/>
                <w:kern w:val="0"/>
                <w:sz w:val="18"/>
                <w:szCs w:val="18"/>
              </w:rPr>
              <w:t>擅自处分共同部位和共同设施设备所有权的</w:t>
            </w:r>
          </w:p>
        </w:tc>
        <w:tc>
          <w:tcPr>
            <w:tcW w:w="1104" w:type="dxa"/>
            <w:vMerge w:val="continue"/>
            <w:tcBorders>
              <w:top w:val="nil"/>
              <w:left w:val="single" w:color="auto" w:sz="4" w:space="0"/>
              <w:bottom w:val="single" w:color="auto" w:sz="4" w:space="0"/>
              <w:right w:val="single" w:color="auto" w:sz="4" w:space="0"/>
            </w:tcBorders>
            <w:vAlign w:val="center"/>
          </w:tcPr>
          <w:p w14:paraId="64959116">
            <w:pPr>
              <w:spacing w:line="320" w:lineRule="exact"/>
              <w:jc w:val="left"/>
              <w:rPr>
                <w:color w:val="000000"/>
                <w:kern w:val="0"/>
                <w:sz w:val="18"/>
                <w:szCs w:val="18"/>
              </w:rPr>
            </w:pPr>
          </w:p>
        </w:tc>
        <w:tc>
          <w:tcPr>
            <w:tcW w:w="5670" w:type="dxa"/>
            <w:tcBorders>
              <w:top w:val="nil"/>
              <w:left w:val="nil"/>
              <w:bottom w:val="single" w:color="auto" w:sz="4" w:space="0"/>
              <w:right w:val="single" w:color="auto" w:sz="8" w:space="0"/>
            </w:tcBorders>
            <w:vAlign w:val="center"/>
          </w:tcPr>
          <w:p w14:paraId="45AFEE5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14:paraId="51105B97"/>
    <w:p w14:paraId="027F0C1E"/>
    <w:p w14:paraId="3404BD7A"/>
    <w:p w14:paraId="65C52823"/>
    <w:p w14:paraId="5711C88B"/>
    <w:p w14:paraId="6B7C6498"/>
    <w:p w14:paraId="5F9D9CE2"/>
    <w:p w14:paraId="1BCC2103"/>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940"/>
        <w:gridCol w:w="16"/>
      </w:tblGrid>
      <w:tr w14:paraId="42B4C4AA">
        <w:tblPrEx>
          <w:tblCellMar>
            <w:top w:w="0" w:type="dxa"/>
            <w:left w:w="108" w:type="dxa"/>
            <w:bottom w:w="0" w:type="dxa"/>
            <w:right w:w="108" w:type="dxa"/>
          </w:tblCellMar>
        </w:tblPrEx>
        <w:trPr>
          <w:gridAfter w:val="1"/>
          <w:wAfter w:w="16" w:type="dxa"/>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19A14259">
            <w:pPr>
              <w:spacing w:line="320" w:lineRule="exact"/>
              <w:jc w:val="center"/>
              <w:rPr>
                <w:color w:val="000000"/>
                <w:kern w:val="0"/>
                <w:sz w:val="18"/>
                <w:szCs w:val="18"/>
              </w:rPr>
            </w:pPr>
            <w:r>
              <w:rPr>
                <w:rFonts w:hint="eastAsia"/>
                <w:color w:val="000000"/>
                <w:kern w:val="0"/>
                <w:sz w:val="18"/>
                <w:szCs w:val="18"/>
              </w:rPr>
              <w:t>编号</w:t>
            </w:r>
          </w:p>
        </w:tc>
        <w:tc>
          <w:tcPr>
            <w:tcW w:w="13064" w:type="dxa"/>
            <w:gridSpan w:val="3"/>
            <w:tcBorders>
              <w:top w:val="single" w:color="auto" w:sz="8" w:space="0"/>
              <w:left w:val="nil"/>
              <w:bottom w:val="single" w:color="auto" w:sz="4" w:space="0"/>
              <w:right w:val="single" w:color="000000" w:sz="8" w:space="0"/>
            </w:tcBorders>
            <w:vAlign w:val="center"/>
          </w:tcPr>
          <w:p w14:paraId="4E81AFE4">
            <w:pPr>
              <w:spacing w:line="320" w:lineRule="exact"/>
              <w:jc w:val="left"/>
              <w:rPr>
                <w:rFonts w:eastAsia="仿宋_GB2312"/>
                <w:b/>
                <w:bCs/>
                <w:color w:val="000000"/>
                <w:kern w:val="0"/>
                <w:sz w:val="18"/>
                <w:szCs w:val="18"/>
              </w:rPr>
            </w:pPr>
            <w:r>
              <w:rPr>
                <w:rFonts w:eastAsia="仿宋_GB2312"/>
                <w:b/>
                <w:bCs/>
                <w:color w:val="000000"/>
                <w:kern w:val="0"/>
                <w:sz w:val="18"/>
                <w:szCs w:val="18"/>
              </w:rPr>
              <w:t>320217493000</w:t>
            </w:r>
            <w:r>
              <w:rPr>
                <w:rFonts w:hint="eastAsia" w:eastAsia="仿宋_GB2312"/>
                <w:b/>
                <w:bCs/>
                <w:color w:val="000000"/>
                <w:kern w:val="0"/>
                <w:sz w:val="18"/>
                <w:szCs w:val="18"/>
              </w:rPr>
              <w:t xml:space="preserve"> </w:t>
            </w:r>
          </w:p>
        </w:tc>
      </w:tr>
      <w:tr w14:paraId="41361BE3">
        <w:tblPrEx>
          <w:tblCellMar>
            <w:top w:w="0" w:type="dxa"/>
            <w:left w:w="108" w:type="dxa"/>
            <w:bottom w:w="0" w:type="dxa"/>
            <w:right w:w="108" w:type="dxa"/>
          </w:tblCellMar>
        </w:tblPrEx>
        <w:trPr>
          <w:gridAfter w:val="1"/>
          <w:wAfter w:w="16" w:type="dxa"/>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0F638902">
            <w:pPr>
              <w:spacing w:line="320" w:lineRule="exact"/>
              <w:jc w:val="center"/>
              <w:rPr>
                <w:color w:val="000000"/>
                <w:kern w:val="0"/>
                <w:sz w:val="18"/>
                <w:szCs w:val="18"/>
              </w:rPr>
            </w:pPr>
            <w:r>
              <w:rPr>
                <w:rFonts w:hint="eastAsia"/>
                <w:color w:val="000000"/>
                <w:kern w:val="0"/>
                <w:sz w:val="18"/>
                <w:szCs w:val="18"/>
              </w:rPr>
              <w:t>权力名称</w:t>
            </w:r>
          </w:p>
        </w:tc>
        <w:tc>
          <w:tcPr>
            <w:tcW w:w="13064" w:type="dxa"/>
            <w:gridSpan w:val="3"/>
            <w:tcBorders>
              <w:top w:val="single" w:color="auto" w:sz="4" w:space="0"/>
              <w:left w:val="nil"/>
              <w:bottom w:val="single" w:color="auto" w:sz="4" w:space="0"/>
              <w:right w:val="single" w:color="000000" w:sz="8" w:space="0"/>
            </w:tcBorders>
            <w:vAlign w:val="center"/>
          </w:tcPr>
          <w:p w14:paraId="4F0E7984">
            <w:pPr>
              <w:spacing w:line="320" w:lineRule="exact"/>
              <w:jc w:val="left"/>
              <w:rPr>
                <w:color w:val="000000"/>
                <w:kern w:val="0"/>
                <w:sz w:val="18"/>
                <w:szCs w:val="18"/>
              </w:rPr>
            </w:pPr>
            <w:r>
              <w:rPr>
                <w:rFonts w:hint="eastAsia"/>
                <w:color w:val="000000"/>
                <w:kern w:val="0"/>
                <w:sz w:val="18"/>
                <w:szCs w:val="18"/>
              </w:rPr>
              <w:t>对燃气经营者未向燃气用户持续、稳定、安全供应符合国家质量标准的燃气，或者未对燃气用户的燃气设施定期进行安全检查的处罚</w:t>
            </w:r>
          </w:p>
        </w:tc>
      </w:tr>
      <w:tr w14:paraId="76F0EF5E">
        <w:tblPrEx>
          <w:tblCellMar>
            <w:top w:w="0" w:type="dxa"/>
            <w:left w:w="108" w:type="dxa"/>
            <w:bottom w:w="0" w:type="dxa"/>
            <w:right w:w="108" w:type="dxa"/>
          </w:tblCellMar>
        </w:tblPrEx>
        <w:trPr>
          <w:gridAfter w:val="1"/>
          <w:wAfter w:w="16" w:type="dxa"/>
          <w:trHeight w:val="1575" w:hRule="atLeast"/>
        </w:trPr>
        <w:tc>
          <w:tcPr>
            <w:tcW w:w="996" w:type="dxa"/>
            <w:gridSpan w:val="2"/>
            <w:tcBorders>
              <w:top w:val="nil"/>
              <w:left w:val="single" w:color="auto" w:sz="8" w:space="0"/>
              <w:bottom w:val="single" w:color="auto" w:sz="4" w:space="0"/>
              <w:right w:val="single" w:color="auto" w:sz="4" w:space="0"/>
            </w:tcBorders>
            <w:vAlign w:val="center"/>
          </w:tcPr>
          <w:p w14:paraId="0A30FE9D">
            <w:pPr>
              <w:spacing w:line="320" w:lineRule="exact"/>
              <w:jc w:val="center"/>
              <w:rPr>
                <w:color w:val="000000"/>
                <w:kern w:val="0"/>
                <w:sz w:val="18"/>
                <w:szCs w:val="18"/>
              </w:rPr>
            </w:pPr>
            <w:r>
              <w:rPr>
                <w:rFonts w:hint="eastAsia"/>
                <w:color w:val="000000"/>
                <w:kern w:val="0"/>
                <w:sz w:val="18"/>
                <w:szCs w:val="18"/>
              </w:rPr>
              <w:t>法律依据</w:t>
            </w:r>
          </w:p>
        </w:tc>
        <w:tc>
          <w:tcPr>
            <w:tcW w:w="13064" w:type="dxa"/>
            <w:gridSpan w:val="3"/>
            <w:tcBorders>
              <w:top w:val="single" w:color="auto" w:sz="4" w:space="0"/>
              <w:left w:val="nil"/>
              <w:bottom w:val="single" w:color="auto" w:sz="4" w:space="0"/>
              <w:right w:val="single" w:color="000000" w:sz="8" w:space="0"/>
            </w:tcBorders>
            <w:vAlign w:val="center"/>
          </w:tcPr>
          <w:p w14:paraId="6C2112C3">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14:paraId="6FA6E234">
            <w:pPr>
              <w:spacing w:line="320" w:lineRule="exact"/>
              <w:jc w:val="left"/>
              <w:rPr>
                <w:color w:val="000000"/>
                <w:kern w:val="0"/>
                <w:sz w:val="18"/>
                <w:szCs w:val="18"/>
              </w:rPr>
            </w:pPr>
            <w:r>
              <w:rPr>
                <w:rFonts w:hint="eastAsia"/>
                <w:color w:val="000000"/>
                <w:kern w:val="0"/>
                <w:sz w:val="18"/>
                <w:szCs w:val="18"/>
              </w:rPr>
              <w:t>第十七条第一款</w:t>
            </w:r>
            <w:r>
              <w:rPr>
                <w:color w:val="000000"/>
                <w:kern w:val="0"/>
                <w:sz w:val="18"/>
                <w:szCs w:val="18"/>
              </w:rPr>
              <w:t xml:space="preserve">  </w:t>
            </w:r>
            <w:r>
              <w:rPr>
                <w:rFonts w:hint="eastAsia"/>
                <w:color w:val="000000"/>
                <w:kern w:val="0"/>
                <w:sz w:val="18"/>
                <w:szCs w:val="18"/>
              </w:rPr>
              <w:t>燃气经营者应当向燃气用户持续、稳定、安全供应符合国家质量标准的燃气</w:t>
            </w:r>
            <w:r>
              <w:rPr>
                <w:color w:val="000000"/>
                <w:kern w:val="0"/>
                <w:sz w:val="18"/>
                <w:szCs w:val="18"/>
              </w:rPr>
              <w:t>,</w:t>
            </w:r>
            <w:r>
              <w:rPr>
                <w:rFonts w:hint="eastAsia"/>
                <w:color w:val="000000"/>
                <w:kern w:val="0"/>
                <w:sz w:val="18"/>
                <w:szCs w:val="18"/>
              </w:rPr>
              <w:t>指导燃气用户安全用气、节约用气</w:t>
            </w:r>
            <w:r>
              <w:rPr>
                <w:color w:val="000000"/>
                <w:kern w:val="0"/>
                <w:sz w:val="18"/>
                <w:szCs w:val="18"/>
              </w:rPr>
              <w:t>,</w:t>
            </w:r>
            <w:r>
              <w:rPr>
                <w:rFonts w:hint="eastAsia"/>
                <w:color w:val="000000"/>
                <w:kern w:val="0"/>
                <w:sz w:val="18"/>
                <w:szCs w:val="18"/>
              </w:rPr>
              <w:t>并对燃气设施定期进行安全检查。。</w:t>
            </w:r>
          </w:p>
          <w:p w14:paraId="09E14D90">
            <w:pPr>
              <w:spacing w:line="320" w:lineRule="exact"/>
              <w:jc w:val="left"/>
              <w:rPr>
                <w:color w:val="000000"/>
                <w:kern w:val="0"/>
                <w:sz w:val="18"/>
                <w:szCs w:val="18"/>
              </w:rPr>
            </w:pP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p>
          <w:p w14:paraId="52E18CD8">
            <w:pPr>
              <w:spacing w:line="320" w:lineRule="exact"/>
              <w:jc w:val="left"/>
              <w:rPr>
                <w:color w:val="000000"/>
                <w:kern w:val="0"/>
                <w:sz w:val="18"/>
                <w:szCs w:val="18"/>
              </w:rPr>
            </w:pPr>
            <w:r>
              <w:rPr>
                <w:rFonts w:hint="eastAsia"/>
                <w:color w:val="000000"/>
                <w:kern w:val="0"/>
                <w:sz w:val="18"/>
                <w:szCs w:val="18"/>
              </w:rPr>
              <w:t>（七）燃气经营者未向燃气用户持续、稳定、安全供应符合国家质量标准的燃气，或者未对燃气用户的燃气设施定期进行安全检查。</w:t>
            </w:r>
          </w:p>
        </w:tc>
      </w:tr>
      <w:tr w14:paraId="55D40A66">
        <w:tblPrEx>
          <w:tblCellMar>
            <w:top w:w="0" w:type="dxa"/>
            <w:left w:w="108" w:type="dxa"/>
            <w:bottom w:w="0" w:type="dxa"/>
            <w:right w:w="108" w:type="dxa"/>
          </w:tblCellMar>
        </w:tblPrEx>
        <w:trPr>
          <w:gridAfter w:val="1"/>
          <w:wAfter w:w="16" w:type="dxa"/>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10955DA3">
            <w:pPr>
              <w:spacing w:line="320" w:lineRule="exact"/>
              <w:jc w:val="center"/>
              <w:rPr>
                <w:color w:val="000000"/>
                <w:kern w:val="0"/>
                <w:sz w:val="18"/>
                <w:szCs w:val="18"/>
              </w:rPr>
            </w:pPr>
            <w:r>
              <w:rPr>
                <w:rFonts w:hint="eastAsia"/>
                <w:color w:val="000000"/>
                <w:kern w:val="0"/>
                <w:sz w:val="18"/>
                <w:szCs w:val="18"/>
              </w:rPr>
              <w:t>行使内容</w:t>
            </w:r>
          </w:p>
        </w:tc>
        <w:tc>
          <w:tcPr>
            <w:tcW w:w="13064" w:type="dxa"/>
            <w:gridSpan w:val="3"/>
            <w:tcBorders>
              <w:top w:val="single" w:color="auto" w:sz="4" w:space="0"/>
              <w:left w:val="nil"/>
              <w:bottom w:val="single" w:color="auto" w:sz="4" w:space="0"/>
              <w:right w:val="single" w:color="000000" w:sz="8" w:space="0"/>
            </w:tcBorders>
            <w:vAlign w:val="center"/>
          </w:tcPr>
          <w:p w14:paraId="1C094468">
            <w:pPr>
              <w:spacing w:line="320" w:lineRule="exact"/>
              <w:jc w:val="left"/>
              <w:rPr>
                <w:color w:val="000000"/>
                <w:kern w:val="0"/>
                <w:sz w:val="18"/>
                <w:szCs w:val="18"/>
              </w:rPr>
            </w:pPr>
            <w:r>
              <w:rPr>
                <w:rFonts w:hint="eastAsia"/>
                <w:color w:val="000000"/>
                <w:kern w:val="0"/>
                <w:sz w:val="18"/>
                <w:szCs w:val="18"/>
              </w:rPr>
              <w:t>罚款，没收违法所得，吊销许可证</w:t>
            </w:r>
          </w:p>
        </w:tc>
      </w:tr>
      <w:tr w14:paraId="26D150CC">
        <w:tblPrEx>
          <w:tblCellMar>
            <w:top w:w="0" w:type="dxa"/>
            <w:left w:w="108" w:type="dxa"/>
            <w:bottom w:w="0" w:type="dxa"/>
            <w:right w:w="108" w:type="dxa"/>
          </w:tblCellMar>
        </w:tblPrEx>
        <w:trPr>
          <w:gridAfter w:val="1"/>
          <w:wAfter w:w="16" w:type="dxa"/>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1F2D53BE">
            <w:pPr>
              <w:spacing w:line="320" w:lineRule="exact"/>
              <w:jc w:val="center"/>
              <w:rPr>
                <w:color w:val="000000"/>
                <w:kern w:val="0"/>
                <w:sz w:val="18"/>
                <w:szCs w:val="18"/>
              </w:rPr>
            </w:pPr>
            <w:r>
              <w:rPr>
                <w:rFonts w:hint="eastAsia"/>
                <w:color w:val="000000"/>
                <w:kern w:val="0"/>
                <w:sz w:val="18"/>
                <w:szCs w:val="18"/>
              </w:rPr>
              <w:t>裁量基准</w:t>
            </w:r>
          </w:p>
        </w:tc>
      </w:tr>
      <w:tr w14:paraId="2BBE18FF">
        <w:tblPrEx>
          <w:tblCellMar>
            <w:top w:w="0" w:type="dxa"/>
            <w:left w:w="108" w:type="dxa"/>
            <w:bottom w:w="0" w:type="dxa"/>
            <w:right w:w="108" w:type="dxa"/>
          </w:tblCellMar>
        </w:tblPrEx>
        <w:trPr>
          <w:trHeight w:val="650" w:hRule="atLeast"/>
        </w:trPr>
        <w:tc>
          <w:tcPr>
            <w:tcW w:w="980" w:type="dxa"/>
            <w:vMerge w:val="restart"/>
            <w:tcBorders>
              <w:top w:val="nil"/>
              <w:left w:val="single" w:color="auto" w:sz="8" w:space="0"/>
              <w:bottom w:val="single" w:color="auto" w:sz="4" w:space="0"/>
              <w:right w:val="single" w:color="auto" w:sz="4" w:space="0"/>
            </w:tcBorders>
            <w:vAlign w:val="center"/>
          </w:tcPr>
          <w:p w14:paraId="25124474">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right w:val="single" w:color="auto" w:sz="4" w:space="0"/>
            </w:tcBorders>
            <w:vAlign w:val="center"/>
          </w:tcPr>
          <w:p w14:paraId="3A4F04C4">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color="auto" w:sz="4" w:space="0"/>
              <w:bottom w:val="single" w:color="auto" w:sz="4" w:space="0"/>
              <w:right w:val="single" w:color="auto" w:sz="4" w:space="0"/>
            </w:tcBorders>
            <w:vAlign w:val="center"/>
          </w:tcPr>
          <w:p w14:paraId="5B741F56">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color="auto" w:sz="8" w:space="0"/>
            </w:tcBorders>
            <w:vAlign w:val="center"/>
          </w:tcPr>
          <w:p w14:paraId="0CB0D4FB">
            <w:pPr>
              <w:spacing w:line="320" w:lineRule="exact"/>
              <w:jc w:val="left"/>
              <w:rPr>
                <w:color w:val="000000"/>
                <w:kern w:val="0"/>
                <w:sz w:val="18"/>
                <w:szCs w:val="18"/>
              </w:rPr>
            </w:pPr>
            <w:r>
              <w:rPr>
                <w:rFonts w:hint="eastAsia"/>
                <w:color w:val="000000"/>
                <w:kern w:val="0"/>
                <w:sz w:val="18"/>
                <w:szCs w:val="18"/>
              </w:rPr>
              <w:t>处1万元以上</w:t>
            </w:r>
            <w:r>
              <w:rPr>
                <w:color w:val="000000"/>
                <w:kern w:val="0"/>
                <w:sz w:val="18"/>
                <w:szCs w:val="18"/>
              </w:rPr>
              <w:t>3</w:t>
            </w:r>
            <w:r>
              <w:rPr>
                <w:rFonts w:hint="eastAsia"/>
                <w:color w:val="000000"/>
                <w:kern w:val="0"/>
                <w:sz w:val="18"/>
                <w:szCs w:val="18"/>
              </w:rPr>
              <w:t>万元以下罚款</w:t>
            </w:r>
          </w:p>
        </w:tc>
      </w:tr>
      <w:tr w14:paraId="1390AEFF">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23EBEE93">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696C0FC4">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7267CC31">
            <w:pPr>
              <w:spacing w:line="320" w:lineRule="exact"/>
              <w:jc w:val="left"/>
              <w:rPr>
                <w:color w:val="000000"/>
                <w:kern w:val="0"/>
                <w:sz w:val="18"/>
                <w:szCs w:val="18"/>
              </w:rPr>
            </w:pPr>
          </w:p>
        </w:tc>
        <w:tc>
          <w:tcPr>
            <w:tcW w:w="5956" w:type="dxa"/>
            <w:gridSpan w:val="2"/>
            <w:tcBorders>
              <w:top w:val="single" w:color="auto" w:sz="4" w:space="0"/>
              <w:left w:val="nil"/>
              <w:bottom w:val="single" w:color="auto" w:sz="4" w:space="0"/>
              <w:right w:val="single" w:color="auto" w:sz="8" w:space="0"/>
            </w:tcBorders>
            <w:vAlign w:val="center"/>
          </w:tcPr>
          <w:p w14:paraId="7D944E2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52C6F4CC">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0E15FE88">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04F64439">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43928089">
            <w:pPr>
              <w:spacing w:line="320" w:lineRule="exact"/>
              <w:jc w:val="left"/>
              <w:rPr>
                <w:color w:val="000000"/>
                <w:kern w:val="0"/>
                <w:sz w:val="18"/>
                <w:szCs w:val="18"/>
              </w:rPr>
            </w:pPr>
          </w:p>
        </w:tc>
        <w:tc>
          <w:tcPr>
            <w:tcW w:w="5956" w:type="dxa"/>
            <w:gridSpan w:val="2"/>
            <w:tcBorders>
              <w:top w:val="single" w:color="auto" w:sz="4" w:space="0"/>
              <w:left w:val="nil"/>
              <w:bottom w:val="single" w:color="auto" w:sz="4" w:space="0"/>
              <w:right w:val="single" w:color="auto" w:sz="8" w:space="0"/>
            </w:tcBorders>
            <w:vAlign w:val="center"/>
          </w:tcPr>
          <w:p w14:paraId="3028ABF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14:paraId="16F323E9"/>
    <w:p w14:paraId="6B0244F3"/>
    <w:p w14:paraId="40B38F1F"/>
    <w:p w14:paraId="5E948C73"/>
    <w:p w14:paraId="29BB8023"/>
    <w:p w14:paraId="4659B0B3"/>
    <w:p w14:paraId="0A4714DC"/>
    <w:p w14:paraId="6467FDD5"/>
    <w:p w14:paraId="112F6E03"/>
    <w:tbl>
      <w:tblPr>
        <w:tblStyle w:val="15"/>
        <w:tblW w:w="0" w:type="auto"/>
        <w:tblInd w:w="88" w:type="dxa"/>
        <w:tblLayout w:type="fixed"/>
        <w:tblCellMar>
          <w:top w:w="0" w:type="dxa"/>
          <w:left w:w="108" w:type="dxa"/>
          <w:bottom w:w="0" w:type="dxa"/>
          <w:right w:w="108" w:type="dxa"/>
        </w:tblCellMar>
      </w:tblPr>
      <w:tblGrid>
        <w:gridCol w:w="980"/>
        <w:gridCol w:w="5910"/>
        <w:gridCol w:w="1080"/>
        <w:gridCol w:w="6060"/>
      </w:tblGrid>
      <w:tr w14:paraId="605793AA">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1E4A1196">
            <w:pPr>
              <w:spacing w:line="320" w:lineRule="exact"/>
              <w:jc w:val="center"/>
              <w:rPr>
                <w:color w:val="000000"/>
                <w:kern w:val="0"/>
                <w:sz w:val="18"/>
                <w:szCs w:val="18"/>
              </w:rPr>
            </w:pPr>
            <w:r>
              <w:rPr>
                <w:rFonts w:hint="eastAsia"/>
                <w:color w:val="000000"/>
                <w:kern w:val="0"/>
                <w:sz w:val="18"/>
                <w:szCs w:val="18"/>
              </w:rPr>
              <w:t>编号</w:t>
            </w:r>
          </w:p>
        </w:tc>
        <w:tc>
          <w:tcPr>
            <w:tcW w:w="13050" w:type="dxa"/>
            <w:gridSpan w:val="3"/>
            <w:tcBorders>
              <w:top w:val="single" w:color="auto" w:sz="8" w:space="0"/>
              <w:left w:val="nil"/>
              <w:bottom w:val="single" w:color="auto" w:sz="4" w:space="0"/>
              <w:right w:val="single" w:color="000000" w:sz="8" w:space="0"/>
            </w:tcBorders>
            <w:vAlign w:val="center"/>
          </w:tcPr>
          <w:p w14:paraId="3FCB9775">
            <w:pPr>
              <w:spacing w:line="320" w:lineRule="exact"/>
              <w:jc w:val="left"/>
              <w:rPr>
                <w:rFonts w:eastAsia="仿宋_GB2312"/>
                <w:b/>
                <w:bCs/>
                <w:color w:val="000000"/>
                <w:kern w:val="0"/>
                <w:sz w:val="18"/>
                <w:szCs w:val="18"/>
              </w:rPr>
            </w:pPr>
            <w:r>
              <w:rPr>
                <w:rFonts w:eastAsia="仿宋_GB2312"/>
                <w:b/>
                <w:bCs/>
                <w:color w:val="000000"/>
                <w:kern w:val="0"/>
                <w:sz w:val="18"/>
                <w:szCs w:val="18"/>
              </w:rPr>
              <w:t>320217494000</w:t>
            </w:r>
            <w:r>
              <w:rPr>
                <w:rFonts w:hint="eastAsia" w:eastAsia="仿宋_GB2312"/>
                <w:b/>
                <w:bCs/>
                <w:color w:val="000000"/>
                <w:kern w:val="0"/>
                <w:sz w:val="18"/>
                <w:szCs w:val="18"/>
              </w:rPr>
              <w:t xml:space="preserve"> </w:t>
            </w:r>
          </w:p>
        </w:tc>
      </w:tr>
      <w:tr w14:paraId="40E41860">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5CCB0D68">
            <w:pPr>
              <w:spacing w:line="320" w:lineRule="exact"/>
              <w:jc w:val="center"/>
              <w:rPr>
                <w:color w:val="000000"/>
                <w:kern w:val="0"/>
                <w:sz w:val="18"/>
                <w:szCs w:val="18"/>
              </w:rPr>
            </w:pPr>
            <w:r>
              <w:rPr>
                <w:rFonts w:hint="eastAsia"/>
                <w:color w:val="000000"/>
                <w:kern w:val="0"/>
                <w:sz w:val="18"/>
                <w:szCs w:val="18"/>
              </w:rPr>
              <w:t>权力名称</w:t>
            </w:r>
          </w:p>
        </w:tc>
        <w:tc>
          <w:tcPr>
            <w:tcW w:w="13050" w:type="dxa"/>
            <w:gridSpan w:val="3"/>
            <w:tcBorders>
              <w:top w:val="single" w:color="auto" w:sz="4" w:space="0"/>
              <w:left w:val="nil"/>
              <w:bottom w:val="single" w:color="auto" w:sz="4" w:space="0"/>
              <w:right w:val="single" w:color="000000" w:sz="8" w:space="0"/>
            </w:tcBorders>
            <w:vAlign w:val="center"/>
          </w:tcPr>
          <w:p w14:paraId="2694F66C">
            <w:pPr>
              <w:spacing w:line="320" w:lineRule="exact"/>
              <w:jc w:val="left"/>
              <w:rPr>
                <w:color w:val="000000"/>
                <w:kern w:val="0"/>
                <w:sz w:val="18"/>
                <w:szCs w:val="18"/>
              </w:rPr>
            </w:pPr>
            <w:r>
              <w:rPr>
                <w:rFonts w:hint="eastAsia"/>
                <w:color w:val="000000"/>
                <w:kern w:val="0"/>
                <w:sz w:val="18"/>
                <w:szCs w:val="18"/>
              </w:rPr>
              <w:t>对销售充装单位擅自为非自有气瓶充装的瓶装燃气的处罚</w:t>
            </w:r>
          </w:p>
        </w:tc>
      </w:tr>
      <w:tr w14:paraId="1749231B">
        <w:tblPrEx>
          <w:tblCellMar>
            <w:top w:w="0" w:type="dxa"/>
            <w:left w:w="108" w:type="dxa"/>
            <w:bottom w:w="0" w:type="dxa"/>
            <w:right w:w="108" w:type="dxa"/>
          </w:tblCellMar>
        </w:tblPrEx>
        <w:trPr>
          <w:trHeight w:val="1080" w:hRule="atLeast"/>
        </w:trPr>
        <w:tc>
          <w:tcPr>
            <w:tcW w:w="980" w:type="dxa"/>
            <w:tcBorders>
              <w:top w:val="nil"/>
              <w:left w:val="single" w:color="auto" w:sz="8" w:space="0"/>
              <w:bottom w:val="single" w:color="auto" w:sz="4" w:space="0"/>
              <w:right w:val="single" w:color="auto" w:sz="4" w:space="0"/>
            </w:tcBorders>
            <w:vAlign w:val="center"/>
          </w:tcPr>
          <w:p w14:paraId="7CDE0495">
            <w:pPr>
              <w:spacing w:line="320" w:lineRule="exact"/>
              <w:jc w:val="center"/>
              <w:rPr>
                <w:color w:val="000000"/>
                <w:kern w:val="0"/>
                <w:sz w:val="18"/>
                <w:szCs w:val="18"/>
              </w:rPr>
            </w:pPr>
            <w:r>
              <w:rPr>
                <w:rFonts w:hint="eastAsia"/>
                <w:color w:val="000000"/>
                <w:kern w:val="0"/>
                <w:sz w:val="18"/>
                <w:szCs w:val="18"/>
              </w:rPr>
              <w:t>法律依据</w:t>
            </w:r>
          </w:p>
        </w:tc>
        <w:tc>
          <w:tcPr>
            <w:tcW w:w="13050" w:type="dxa"/>
            <w:gridSpan w:val="3"/>
            <w:tcBorders>
              <w:top w:val="single" w:color="auto" w:sz="4" w:space="0"/>
              <w:left w:val="nil"/>
              <w:bottom w:val="single" w:color="auto" w:sz="4" w:space="0"/>
              <w:right w:val="single" w:color="000000" w:sz="8" w:space="0"/>
            </w:tcBorders>
            <w:vAlign w:val="center"/>
          </w:tcPr>
          <w:p w14:paraId="361E11F3">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61E6D7F7">
            <w:pPr>
              <w:spacing w:line="320" w:lineRule="exact"/>
              <w:jc w:val="left"/>
              <w:rPr>
                <w:color w:val="000000"/>
                <w:kern w:val="0"/>
                <w:sz w:val="18"/>
                <w:szCs w:val="18"/>
              </w:rPr>
            </w:pP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p>
          <w:p w14:paraId="1BCBF52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（八）销售未经许可的充装单位充装的瓶装燃气或者销售充装单位擅自为非自有气瓶充装的瓶装燃气。</w:t>
            </w:r>
          </w:p>
          <w:p w14:paraId="442FA2A1">
            <w:pPr>
              <w:spacing w:line="320" w:lineRule="exact"/>
              <w:jc w:val="left"/>
              <w:rPr>
                <w:color w:val="000000"/>
                <w:kern w:val="0"/>
                <w:sz w:val="18"/>
                <w:szCs w:val="18"/>
              </w:rPr>
            </w:pPr>
            <w:r>
              <w:rPr>
                <w:rFonts w:hint="eastAsia"/>
                <w:color w:val="000000"/>
                <w:kern w:val="0"/>
                <w:sz w:val="18"/>
                <w:szCs w:val="18"/>
              </w:rPr>
              <w:t>第四十七条第二款</w:t>
            </w:r>
            <w:r>
              <w:rPr>
                <w:color w:val="000000"/>
                <w:kern w:val="0"/>
                <w:sz w:val="18"/>
                <w:szCs w:val="18"/>
              </w:rPr>
              <w:t xml:space="preserve">  </w:t>
            </w:r>
            <w:r>
              <w:rPr>
                <w:rFonts w:hint="eastAsia"/>
                <w:color w:val="000000"/>
                <w:kern w:val="0"/>
                <w:sz w:val="18"/>
                <w:szCs w:val="18"/>
              </w:rPr>
              <w:t>违反本条例规定，销售充装单位擅自为非自有气瓶充装的瓶装燃气的，由燃气管理部门责令改正，可以处</w:t>
            </w:r>
            <w:r>
              <w:rPr>
                <w:color w:val="000000"/>
                <w:kern w:val="0"/>
                <w:sz w:val="18"/>
                <w:szCs w:val="18"/>
              </w:rPr>
              <w:t>1</w:t>
            </w:r>
            <w:r>
              <w:rPr>
                <w:rFonts w:hint="eastAsia"/>
                <w:color w:val="000000"/>
                <w:kern w:val="0"/>
                <w:sz w:val="18"/>
                <w:szCs w:val="18"/>
              </w:rPr>
              <w:t>万元以下罚款。</w:t>
            </w:r>
          </w:p>
        </w:tc>
      </w:tr>
      <w:tr w14:paraId="047E4586">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1B5EEBFA">
            <w:pPr>
              <w:spacing w:line="320" w:lineRule="exact"/>
              <w:jc w:val="center"/>
              <w:rPr>
                <w:color w:val="000000"/>
                <w:kern w:val="0"/>
                <w:sz w:val="18"/>
                <w:szCs w:val="18"/>
              </w:rPr>
            </w:pPr>
            <w:r>
              <w:rPr>
                <w:rFonts w:hint="eastAsia"/>
                <w:color w:val="000000"/>
                <w:kern w:val="0"/>
                <w:sz w:val="18"/>
                <w:szCs w:val="18"/>
              </w:rPr>
              <w:t>行使内容</w:t>
            </w:r>
          </w:p>
        </w:tc>
        <w:tc>
          <w:tcPr>
            <w:tcW w:w="13050" w:type="dxa"/>
            <w:gridSpan w:val="3"/>
            <w:tcBorders>
              <w:top w:val="single" w:color="auto" w:sz="4" w:space="0"/>
              <w:left w:val="nil"/>
              <w:bottom w:val="single" w:color="auto" w:sz="4" w:space="0"/>
              <w:right w:val="single" w:color="000000" w:sz="8" w:space="0"/>
            </w:tcBorders>
            <w:vAlign w:val="center"/>
          </w:tcPr>
          <w:p w14:paraId="46793A36">
            <w:pPr>
              <w:spacing w:line="320" w:lineRule="exact"/>
              <w:jc w:val="left"/>
              <w:rPr>
                <w:color w:val="000000"/>
                <w:kern w:val="0"/>
                <w:sz w:val="18"/>
                <w:szCs w:val="18"/>
              </w:rPr>
            </w:pPr>
            <w:r>
              <w:rPr>
                <w:rFonts w:hint="eastAsia"/>
                <w:color w:val="000000"/>
                <w:kern w:val="0"/>
                <w:sz w:val="18"/>
                <w:szCs w:val="18"/>
              </w:rPr>
              <w:t>罚款</w:t>
            </w:r>
          </w:p>
        </w:tc>
      </w:tr>
      <w:tr w14:paraId="681A60DC">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68B1B92D">
            <w:pPr>
              <w:spacing w:line="320" w:lineRule="exact"/>
              <w:jc w:val="center"/>
              <w:rPr>
                <w:color w:val="000000"/>
                <w:kern w:val="0"/>
                <w:sz w:val="18"/>
                <w:szCs w:val="18"/>
              </w:rPr>
            </w:pPr>
            <w:r>
              <w:rPr>
                <w:rFonts w:hint="eastAsia"/>
                <w:color w:val="000000"/>
                <w:kern w:val="0"/>
                <w:sz w:val="18"/>
                <w:szCs w:val="18"/>
              </w:rPr>
              <w:t>裁量基准</w:t>
            </w:r>
          </w:p>
        </w:tc>
      </w:tr>
      <w:tr w14:paraId="381049FD">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476B56ED">
            <w:pPr>
              <w:spacing w:line="320" w:lineRule="exact"/>
              <w:jc w:val="center"/>
              <w:rPr>
                <w:color w:val="000000"/>
                <w:kern w:val="0"/>
                <w:sz w:val="18"/>
                <w:szCs w:val="18"/>
              </w:rPr>
            </w:pPr>
            <w:r>
              <w:rPr>
                <w:rFonts w:hint="eastAsia"/>
                <w:color w:val="000000"/>
                <w:kern w:val="0"/>
                <w:sz w:val="18"/>
                <w:szCs w:val="18"/>
              </w:rPr>
              <w:t>情形描述</w:t>
            </w:r>
          </w:p>
        </w:tc>
        <w:tc>
          <w:tcPr>
            <w:tcW w:w="5910" w:type="dxa"/>
            <w:tcBorders>
              <w:top w:val="single" w:color="auto" w:sz="4" w:space="0"/>
              <w:left w:val="nil"/>
              <w:bottom w:val="single" w:color="auto" w:sz="4" w:space="0"/>
              <w:right w:val="single" w:color="auto" w:sz="4" w:space="0"/>
            </w:tcBorders>
            <w:vAlign w:val="center"/>
          </w:tcPr>
          <w:p w14:paraId="6D11174C">
            <w:pPr>
              <w:spacing w:line="320" w:lineRule="exact"/>
              <w:jc w:val="left"/>
              <w:rPr>
                <w:color w:val="000000"/>
                <w:kern w:val="0"/>
                <w:sz w:val="18"/>
                <w:szCs w:val="18"/>
              </w:rPr>
            </w:pPr>
            <w:r>
              <w:rPr>
                <w:rFonts w:hint="eastAsia"/>
                <w:color w:val="000000"/>
                <w:kern w:val="0"/>
                <w:sz w:val="18"/>
                <w:szCs w:val="18"/>
              </w:rPr>
              <w:t>按照要求改正的，但未发生安全事故的</w:t>
            </w:r>
          </w:p>
        </w:tc>
        <w:tc>
          <w:tcPr>
            <w:tcW w:w="1080" w:type="dxa"/>
            <w:vMerge w:val="restart"/>
            <w:tcBorders>
              <w:top w:val="nil"/>
              <w:left w:val="single" w:color="auto" w:sz="4" w:space="0"/>
              <w:bottom w:val="single" w:color="auto" w:sz="4" w:space="0"/>
              <w:right w:val="single" w:color="auto" w:sz="4" w:space="0"/>
            </w:tcBorders>
            <w:vAlign w:val="center"/>
          </w:tcPr>
          <w:p w14:paraId="0243F32A">
            <w:pPr>
              <w:spacing w:line="320" w:lineRule="exact"/>
              <w:jc w:val="center"/>
              <w:rPr>
                <w:color w:val="000000"/>
                <w:kern w:val="0"/>
                <w:sz w:val="18"/>
                <w:szCs w:val="18"/>
              </w:rPr>
            </w:pPr>
            <w:r>
              <w:rPr>
                <w:rFonts w:hint="eastAsia"/>
                <w:color w:val="000000"/>
                <w:kern w:val="0"/>
                <w:sz w:val="18"/>
                <w:szCs w:val="18"/>
              </w:rPr>
              <w:t>裁量幅度</w:t>
            </w:r>
          </w:p>
        </w:tc>
        <w:tc>
          <w:tcPr>
            <w:tcW w:w="6060" w:type="dxa"/>
            <w:tcBorders>
              <w:top w:val="nil"/>
              <w:left w:val="nil"/>
              <w:bottom w:val="single" w:color="auto" w:sz="4" w:space="0"/>
              <w:right w:val="single" w:color="auto" w:sz="8" w:space="0"/>
            </w:tcBorders>
            <w:vAlign w:val="center"/>
          </w:tcPr>
          <w:p w14:paraId="1787828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元以下罚款</w:t>
            </w:r>
          </w:p>
        </w:tc>
      </w:tr>
      <w:tr w14:paraId="08B728D2">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43982074">
            <w:pPr>
              <w:spacing w:line="320" w:lineRule="exact"/>
              <w:jc w:val="left"/>
              <w:rPr>
                <w:color w:val="000000"/>
                <w:kern w:val="0"/>
                <w:sz w:val="18"/>
                <w:szCs w:val="18"/>
              </w:rPr>
            </w:pPr>
          </w:p>
        </w:tc>
        <w:tc>
          <w:tcPr>
            <w:tcW w:w="5910" w:type="dxa"/>
            <w:tcBorders>
              <w:top w:val="single" w:color="auto" w:sz="4" w:space="0"/>
              <w:left w:val="nil"/>
              <w:bottom w:val="single" w:color="auto" w:sz="4" w:space="0"/>
              <w:right w:val="single" w:color="auto" w:sz="4" w:space="0"/>
            </w:tcBorders>
            <w:vAlign w:val="center"/>
          </w:tcPr>
          <w:p w14:paraId="08E5918B">
            <w:pPr>
              <w:spacing w:line="320" w:lineRule="exact"/>
              <w:jc w:val="left"/>
              <w:rPr>
                <w:color w:val="000000"/>
                <w:kern w:val="0"/>
                <w:sz w:val="18"/>
                <w:szCs w:val="18"/>
              </w:rPr>
            </w:pPr>
            <w:r>
              <w:rPr>
                <w:rFonts w:hint="eastAsia"/>
                <w:color w:val="000000"/>
                <w:kern w:val="0"/>
                <w:sz w:val="18"/>
                <w:szCs w:val="18"/>
              </w:rPr>
              <w:t>未按照要求改正，但未发生安全事故的</w:t>
            </w:r>
          </w:p>
        </w:tc>
        <w:tc>
          <w:tcPr>
            <w:tcW w:w="1080" w:type="dxa"/>
            <w:vMerge w:val="continue"/>
            <w:tcBorders>
              <w:top w:val="nil"/>
              <w:left w:val="single" w:color="auto" w:sz="4" w:space="0"/>
              <w:bottom w:val="single" w:color="auto" w:sz="4" w:space="0"/>
              <w:right w:val="single" w:color="auto" w:sz="4" w:space="0"/>
            </w:tcBorders>
            <w:vAlign w:val="center"/>
          </w:tcPr>
          <w:p w14:paraId="3159B90E">
            <w:pPr>
              <w:spacing w:line="320" w:lineRule="exact"/>
              <w:jc w:val="left"/>
              <w:rPr>
                <w:color w:val="000000"/>
                <w:kern w:val="0"/>
                <w:sz w:val="18"/>
                <w:szCs w:val="18"/>
              </w:rPr>
            </w:pPr>
          </w:p>
        </w:tc>
        <w:tc>
          <w:tcPr>
            <w:tcW w:w="6060" w:type="dxa"/>
            <w:tcBorders>
              <w:top w:val="nil"/>
              <w:left w:val="nil"/>
              <w:bottom w:val="single" w:color="auto" w:sz="4" w:space="0"/>
              <w:right w:val="single" w:color="auto" w:sz="8" w:space="0"/>
            </w:tcBorders>
            <w:vAlign w:val="center"/>
          </w:tcPr>
          <w:p w14:paraId="5C0DC94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42D43138">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3A22C261">
            <w:pPr>
              <w:spacing w:line="320" w:lineRule="exact"/>
              <w:jc w:val="left"/>
              <w:rPr>
                <w:color w:val="000000"/>
                <w:kern w:val="0"/>
                <w:sz w:val="18"/>
                <w:szCs w:val="18"/>
              </w:rPr>
            </w:pPr>
          </w:p>
        </w:tc>
        <w:tc>
          <w:tcPr>
            <w:tcW w:w="5910" w:type="dxa"/>
            <w:tcBorders>
              <w:top w:val="single" w:color="auto" w:sz="4" w:space="0"/>
              <w:left w:val="nil"/>
              <w:bottom w:val="single" w:color="auto" w:sz="4" w:space="0"/>
              <w:right w:val="single" w:color="auto" w:sz="4" w:space="0"/>
            </w:tcBorders>
            <w:vAlign w:val="center"/>
          </w:tcPr>
          <w:p w14:paraId="546F3D2F">
            <w:pPr>
              <w:spacing w:line="320" w:lineRule="exact"/>
              <w:jc w:val="left"/>
              <w:rPr>
                <w:color w:val="000000"/>
                <w:kern w:val="0"/>
                <w:sz w:val="18"/>
                <w:szCs w:val="18"/>
              </w:rPr>
            </w:pPr>
            <w:r>
              <w:rPr>
                <w:rFonts w:hint="eastAsia"/>
                <w:color w:val="000000"/>
                <w:kern w:val="0"/>
                <w:sz w:val="18"/>
                <w:szCs w:val="18"/>
              </w:rPr>
              <w:t>造成安全事故的</w:t>
            </w:r>
          </w:p>
        </w:tc>
        <w:tc>
          <w:tcPr>
            <w:tcW w:w="1080" w:type="dxa"/>
            <w:vMerge w:val="continue"/>
            <w:tcBorders>
              <w:top w:val="nil"/>
              <w:left w:val="single" w:color="auto" w:sz="4" w:space="0"/>
              <w:bottom w:val="single" w:color="auto" w:sz="4" w:space="0"/>
              <w:right w:val="single" w:color="auto" w:sz="4" w:space="0"/>
            </w:tcBorders>
            <w:vAlign w:val="center"/>
          </w:tcPr>
          <w:p w14:paraId="0C3F1C6F">
            <w:pPr>
              <w:spacing w:line="320" w:lineRule="exact"/>
              <w:jc w:val="left"/>
              <w:rPr>
                <w:color w:val="000000"/>
                <w:kern w:val="0"/>
                <w:sz w:val="18"/>
                <w:szCs w:val="18"/>
              </w:rPr>
            </w:pPr>
          </w:p>
        </w:tc>
        <w:tc>
          <w:tcPr>
            <w:tcW w:w="6060" w:type="dxa"/>
            <w:tcBorders>
              <w:top w:val="nil"/>
              <w:left w:val="nil"/>
              <w:bottom w:val="single" w:color="auto" w:sz="4" w:space="0"/>
              <w:right w:val="single" w:color="auto" w:sz="8" w:space="0"/>
            </w:tcBorders>
            <w:vAlign w:val="center"/>
          </w:tcPr>
          <w:p w14:paraId="0E2C44F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70C1D887"/>
    <w:p w14:paraId="30944EDE"/>
    <w:p w14:paraId="164EC927"/>
    <w:p w14:paraId="22906F5C"/>
    <w:p w14:paraId="26C60ABB"/>
    <w:p w14:paraId="2CC27906"/>
    <w:p w14:paraId="61782060"/>
    <w:p w14:paraId="2599A4D2"/>
    <w:p w14:paraId="778ECC15"/>
    <w:p w14:paraId="585724B6"/>
    <w:p w14:paraId="6D9E44D9"/>
    <w:tbl>
      <w:tblPr>
        <w:tblStyle w:val="15"/>
        <w:tblW w:w="0" w:type="auto"/>
        <w:tblInd w:w="88" w:type="dxa"/>
        <w:tblLayout w:type="fixed"/>
        <w:tblCellMar>
          <w:top w:w="0" w:type="dxa"/>
          <w:left w:w="108" w:type="dxa"/>
          <w:bottom w:w="0" w:type="dxa"/>
          <w:right w:w="108" w:type="dxa"/>
        </w:tblCellMar>
      </w:tblPr>
      <w:tblGrid>
        <w:gridCol w:w="980"/>
        <w:gridCol w:w="46"/>
        <w:gridCol w:w="6094"/>
        <w:gridCol w:w="1000"/>
        <w:gridCol w:w="5910"/>
        <w:gridCol w:w="30"/>
      </w:tblGrid>
      <w:tr w14:paraId="6E6F5718">
        <w:tblPrEx>
          <w:tblCellMar>
            <w:top w:w="0" w:type="dxa"/>
            <w:left w:w="108" w:type="dxa"/>
            <w:bottom w:w="0" w:type="dxa"/>
            <w:right w:w="108" w:type="dxa"/>
          </w:tblCellMar>
        </w:tblPrEx>
        <w:trPr>
          <w:gridAfter w:val="1"/>
          <w:wAfter w:w="30" w:type="dxa"/>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73050409">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082B079C">
            <w:pPr>
              <w:spacing w:line="320" w:lineRule="exact"/>
              <w:jc w:val="left"/>
              <w:rPr>
                <w:rFonts w:eastAsia="仿宋_GB2312"/>
                <w:b/>
                <w:bCs/>
                <w:color w:val="000000"/>
                <w:kern w:val="0"/>
                <w:sz w:val="18"/>
                <w:szCs w:val="18"/>
              </w:rPr>
            </w:pPr>
            <w:r>
              <w:rPr>
                <w:rFonts w:eastAsia="仿宋_GB2312"/>
                <w:b/>
                <w:bCs/>
                <w:color w:val="000000"/>
                <w:kern w:val="0"/>
                <w:sz w:val="18"/>
                <w:szCs w:val="18"/>
              </w:rPr>
              <w:t>320217495000</w:t>
            </w:r>
            <w:r>
              <w:rPr>
                <w:rFonts w:hint="eastAsia" w:eastAsia="仿宋_GB2312"/>
                <w:b/>
                <w:bCs/>
                <w:color w:val="000000"/>
                <w:kern w:val="0"/>
                <w:sz w:val="18"/>
                <w:szCs w:val="18"/>
              </w:rPr>
              <w:t xml:space="preserve"> </w:t>
            </w:r>
          </w:p>
        </w:tc>
      </w:tr>
      <w:tr w14:paraId="65BC3B47">
        <w:tblPrEx>
          <w:tblCellMar>
            <w:top w:w="0" w:type="dxa"/>
            <w:left w:w="108" w:type="dxa"/>
            <w:bottom w:w="0" w:type="dxa"/>
            <w:right w:w="108" w:type="dxa"/>
          </w:tblCellMar>
        </w:tblPrEx>
        <w:trPr>
          <w:gridAfter w:val="1"/>
          <w:wAfter w:w="30" w:type="dxa"/>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635301AF">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color="auto" w:sz="4" w:space="0"/>
              <w:left w:val="nil"/>
              <w:bottom w:val="single" w:color="auto" w:sz="4" w:space="0"/>
              <w:right w:val="single" w:color="000000" w:sz="8" w:space="0"/>
            </w:tcBorders>
            <w:vAlign w:val="center"/>
          </w:tcPr>
          <w:p w14:paraId="7888E258">
            <w:pPr>
              <w:spacing w:line="320" w:lineRule="exact"/>
              <w:jc w:val="left"/>
              <w:rPr>
                <w:color w:val="000000"/>
                <w:kern w:val="0"/>
                <w:sz w:val="18"/>
                <w:szCs w:val="18"/>
              </w:rPr>
            </w:pPr>
            <w:r>
              <w:rPr>
                <w:rFonts w:hint="eastAsia"/>
                <w:color w:val="000000"/>
                <w:kern w:val="0"/>
                <w:sz w:val="18"/>
                <w:szCs w:val="18"/>
              </w:rPr>
              <w:t>对在城乡供水主干管道及其相关设施的保护范围内，擅自建造建筑物和构筑物、埋设线杆，或者从事挖坑取土、种植树木等危害城乡供水主干管道及其相关设施活动的处罚</w:t>
            </w:r>
          </w:p>
        </w:tc>
      </w:tr>
      <w:tr w14:paraId="65294B8E">
        <w:tblPrEx>
          <w:tblCellMar>
            <w:top w:w="0" w:type="dxa"/>
            <w:left w:w="108" w:type="dxa"/>
            <w:bottom w:w="0" w:type="dxa"/>
            <w:right w:w="108" w:type="dxa"/>
          </w:tblCellMar>
        </w:tblPrEx>
        <w:trPr>
          <w:gridAfter w:val="1"/>
          <w:wAfter w:w="30" w:type="dxa"/>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12E84EDA">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407E5524">
            <w:pPr>
              <w:spacing w:line="320" w:lineRule="exact"/>
              <w:jc w:val="left"/>
              <w:rPr>
                <w:color w:val="000000"/>
                <w:kern w:val="0"/>
                <w:sz w:val="18"/>
                <w:szCs w:val="18"/>
              </w:rPr>
            </w:pPr>
            <w:r>
              <w:rPr>
                <w:rFonts w:hint="eastAsia"/>
                <w:color w:val="000000"/>
                <w:kern w:val="0"/>
                <w:sz w:val="18"/>
                <w:szCs w:val="18"/>
              </w:rPr>
              <w:t>【行政法规】《城市供水条例》（1994年7月19日国务院令第158号发布，根据国务院令第698号、国务院令第726号修订）</w:t>
            </w:r>
          </w:p>
          <w:p w14:paraId="27136CFA">
            <w:pPr>
              <w:spacing w:line="320" w:lineRule="exact"/>
              <w:jc w:val="left"/>
              <w:rPr>
                <w:color w:val="000000"/>
                <w:kern w:val="0"/>
                <w:sz w:val="18"/>
                <w:szCs w:val="18"/>
              </w:rPr>
            </w:pPr>
            <w:r>
              <w:rPr>
                <w:rFonts w:hint="eastAsia"/>
                <w:color w:val="000000"/>
                <w:kern w:val="0"/>
                <w:sz w:val="18"/>
                <w:szCs w:val="18"/>
              </w:rPr>
              <w:t xml:space="preserve">        第二十九条　在规定的城市公共供水管道及其附属设施的地面和地下的安全保护范围内，禁止挖坑取土或者修建建筑物、构筑物等危害供水设施安全的活动。</w:t>
            </w:r>
          </w:p>
          <w:p w14:paraId="24F6A4D5">
            <w:pPr>
              <w:spacing w:line="320" w:lineRule="exact"/>
              <w:jc w:val="left"/>
              <w:rPr>
                <w:color w:val="000000"/>
                <w:kern w:val="0"/>
                <w:sz w:val="18"/>
                <w:szCs w:val="18"/>
              </w:rPr>
            </w:pPr>
            <w:r>
              <w:rPr>
                <w:rFonts w:hint="eastAsia"/>
                <w:color w:val="000000"/>
                <w:kern w:val="0"/>
                <w:sz w:val="18"/>
                <w:szCs w:val="18"/>
              </w:rPr>
              <w:t xml:space="preserve">        第三十五条　违反本条例规定，有下列行为之一的，由城市供水行政主管部门或者其授权的单位责令限期改正，可以处以罚款：</w:t>
            </w:r>
          </w:p>
          <w:p w14:paraId="7613159D">
            <w:pPr>
              <w:spacing w:line="320" w:lineRule="exact"/>
              <w:jc w:val="left"/>
              <w:rPr>
                <w:color w:val="000000"/>
                <w:kern w:val="0"/>
                <w:sz w:val="18"/>
                <w:szCs w:val="18"/>
              </w:rPr>
            </w:pPr>
            <w:r>
              <w:rPr>
                <w:rFonts w:hint="eastAsia"/>
                <w:color w:val="000000"/>
                <w:kern w:val="0"/>
                <w:sz w:val="18"/>
                <w:szCs w:val="18"/>
              </w:rPr>
              <w:t xml:space="preserve">        (二)在规定的城市公共供水管道及其附属设施的安全保护范围内进行危害供水设施安全活动的；</w:t>
            </w:r>
          </w:p>
          <w:p w14:paraId="297E447B">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5C2722FD">
            <w:pPr>
              <w:spacing w:line="320" w:lineRule="exact"/>
              <w:jc w:val="left"/>
              <w:rPr>
                <w:color w:val="000000"/>
                <w:kern w:val="0"/>
                <w:sz w:val="18"/>
                <w:szCs w:val="18"/>
              </w:rPr>
            </w:pPr>
            <w:r>
              <w:rPr>
                <w:rFonts w:hint="eastAsia"/>
                <w:color w:val="000000"/>
                <w:kern w:val="0"/>
                <w:sz w:val="18"/>
                <w:szCs w:val="18"/>
              </w:rPr>
              <w:t xml:space="preserve">        第五十二条 违反本条例规定，在城乡供水主干管道及其相关设施的保护范围内，擅自建造建筑物和构筑物、埋设线杆，或者从事挖坑取土、种植树木等危害城乡供水主干管道及其相关设施活动的，由城乡供水主管部门责令改正，并处以一千元以上五千元以下罚款；造成损失的，赔偿损失。</w:t>
            </w:r>
          </w:p>
        </w:tc>
      </w:tr>
      <w:tr w14:paraId="27393D93">
        <w:tblPrEx>
          <w:tblCellMar>
            <w:top w:w="0" w:type="dxa"/>
            <w:left w:w="108" w:type="dxa"/>
            <w:bottom w:w="0" w:type="dxa"/>
            <w:right w:w="108" w:type="dxa"/>
          </w:tblCellMar>
        </w:tblPrEx>
        <w:trPr>
          <w:gridAfter w:val="1"/>
          <w:wAfter w:w="30" w:type="dxa"/>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12D3AA1F">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7E7B4BE9">
            <w:pPr>
              <w:spacing w:line="320" w:lineRule="exact"/>
              <w:jc w:val="left"/>
              <w:rPr>
                <w:color w:val="000000"/>
                <w:kern w:val="0"/>
                <w:sz w:val="18"/>
                <w:szCs w:val="18"/>
              </w:rPr>
            </w:pPr>
            <w:r>
              <w:rPr>
                <w:rFonts w:hint="eastAsia"/>
                <w:color w:val="000000"/>
                <w:kern w:val="0"/>
                <w:sz w:val="18"/>
                <w:szCs w:val="18"/>
              </w:rPr>
              <w:t>罚款</w:t>
            </w:r>
          </w:p>
        </w:tc>
      </w:tr>
      <w:tr w14:paraId="4D39C937">
        <w:tblPrEx>
          <w:tblCellMar>
            <w:top w:w="0" w:type="dxa"/>
            <w:left w:w="108" w:type="dxa"/>
            <w:bottom w:w="0" w:type="dxa"/>
            <w:right w:w="108" w:type="dxa"/>
          </w:tblCellMar>
        </w:tblPrEx>
        <w:trPr>
          <w:gridAfter w:val="1"/>
          <w:wAfter w:w="30" w:type="dxa"/>
          <w:trHeight w:val="285" w:hRule="atLeast"/>
        </w:trPr>
        <w:tc>
          <w:tcPr>
            <w:tcW w:w="14030" w:type="dxa"/>
            <w:gridSpan w:val="5"/>
            <w:tcBorders>
              <w:top w:val="single" w:color="auto" w:sz="4" w:space="0"/>
              <w:left w:val="single" w:color="auto" w:sz="8" w:space="0"/>
              <w:bottom w:val="single" w:color="auto" w:sz="4" w:space="0"/>
              <w:right w:val="single" w:color="000000" w:sz="8" w:space="0"/>
            </w:tcBorders>
            <w:vAlign w:val="center"/>
          </w:tcPr>
          <w:p w14:paraId="3F2780A8">
            <w:pPr>
              <w:spacing w:line="320" w:lineRule="exact"/>
              <w:jc w:val="center"/>
              <w:rPr>
                <w:color w:val="000000"/>
                <w:kern w:val="0"/>
                <w:sz w:val="18"/>
                <w:szCs w:val="18"/>
              </w:rPr>
            </w:pPr>
            <w:r>
              <w:rPr>
                <w:rFonts w:hint="eastAsia"/>
                <w:color w:val="000000"/>
                <w:kern w:val="0"/>
                <w:sz w:val="18"/>
                <w:szCs w:val="18"/>
              </w:rPr>
              <w:t>裁量基准</w:t>
            </w:r>
          </w:p>
        </w:tc>
      </w:tr>
      <w:tr w14:paraId="1352902E">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2EBF84E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243D01E7">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color="auto" w:sz="4" w:space="0"/>
              <w:bottom w:val="single" w:color="auto" w:sz="4" w:space="0"/>
              <w:right w:val="single" w:color="auto" w:sz="4" w:space="0"/>
            </w:tcBorders>
            <w:vAlign w:val="center"/>
          </w:tcPr>
          <w:p w14:paraId="106F6952">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color="auto" w:sz="4" w:space="0"/>
              <w:right w:val="single" w:color="auto" w:sz="8" w:space="0"/>
            </w:tcBorders>
            <w:vAlign w:val="center"/>
          </w:tcPr>
          <w:p w14:paraId="667E528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14:paraId="532DD0AD">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7368B447">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0508C912">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37C1AD86">
            <w:pPr>
              <w:spacing w:line="320" w:lineRule="exact"/>
              <w:jc w:val="left"/>
              <w:rPr>
                <w:color w:val="000000"/>
                <w:kern w:val="0"/>
                <w:sz w:val="18"/>
                <w:szCs w:val="18"/>
              </w:rPr>
            </w:pPr>
          </w:p>
        </w:tc>
        <w:tc>
          <w:tcPr>
            <w:tcW w:w="5940" w:type="dxa"/>
            <w:gridSpan w:val="2"/>
            <w:tcBorders>
              <w:top w:val="nil"/>
              <w:left w:val="nil"/>
              <w:bottom w:val="single" w:color="auto" w:sz="4" w:space="0"/>
              <w:right w:val="single" w:color="auto" w:sz="8" w:space="0"/>
            </w:tcBorders>
            <w:vAlign w:val="center"/>
          </w:tcPr>
          <w:p w14:paraId="236E346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625F1A05">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2194A51B">
            <w:pPr>
              <w:spacing w:line="320" w:lineRule="exact"/>
              <w:jc w:val="left"/>
              <w:rPr>
                <w:color w:val="000000"/>
                <w:kern w:val="0"/>
                <w:sz w:val="18"/>
                <w:szCs w:val="18"/>
              </w:rPr>
            </w:pPr>
          </w:p>
        </w:tc>
        <w:tc>
          <w:tcPr>
            <w:tcW w:w="6140" w:type="dxa"/>
            <w:gridSpan w:val="2"/>
            <w:tcBorders>
              <w:top w:val="single" w:color="auto" w:sz="4" w:space="0"/>
              <w:left w:val="nil"/>
              <w:bottom w:val="single" w:color="auto" w:sz="8" w:space="0"/>
              <w:right w:val="single" w:color="auto" w:sz="4" w:space="0"/>
            </w:tcBorders>
            <w:vAlign w:val="center"/>
          </w:tcPr>
          <w:p w14:paraId="136F8127">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5DD61B96">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44330E4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14:paraId="5FF7840F">
        <w:tblPrEx>
          <w:tblCellMar>
            <w:top w:w="0" w:type="dxa"/>
            <w:left w:w="108" w:type="dxa"/>
            <w:bottom w:w="0" w:type="dxa"/>
            <w:right w:w="108" w:type="dxa"/>
          </w:tblCellMar>
        </w:tblPrEx>
        <w:trPr>
          <w:trHeight w:val="390" w:hRule="atLeast"/>
        </w:trPr>
        <w:tc>
          <w:tcPr>
            <w:tcW w:w="980" w:type="dxa"/>
            <w:vMerge w:val="continue"/>
            <w:tcBorders>
              <w:top w:val="nil"/>
              <w:left w:val="single" w:color="auto" w:sz="8" w:space="0"/>
              <w:bottom w:val="single" w:color="auto" w:sz="4" w:space="0"/>
              <w:right w:val="single" w:color="auto" w:sz="4" w:space="0"/>
            </w:tcBorders>
            <w:vAlign w:val="center"/>
          </w:tcPr>
          <w:p w14:paraId="21D7D981">
            <w:pPr>
              <w:spacing w:line="320" w:lineRule="exact"/>
              <w:jc w:val="left"/>
              <w:rPr>
                <w:color w:val="000000"/>
                <w:kern w:val="0"/>
                <w:sz w:val="18"/>
                <w:szCs w:val="18"/>
              </w:rPr>
            </w:pPr>
          </w:p>
        </w:tc>
        <w:tc>
          <w:tcPr>
            <w:tcW w:w="6140" w:type="dxa"/>
            <w:gridSpan w:val="2"/>
            <w:tcBorders>
              <w:top w:val="single" w:color="auto" w:sz="4" w:space="0"/>
              <w:left w:val="nil"/>
              <w:bottom w:val="single" w:color="auto" w:sz="4" w:space="0"/>
              <w:right w:val="single" w:color="auto" w:sz="4" w:space="0"/>
            </w:tcBorders>
            <w:vAlign w:val="center"/>
          </w:tcPr>
          <w:p w14:paraId="7467AE13">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val="continue"/>
            <w:tcBorders>
              <w:top w:val="nil"/>
              <w:left w:val="single" w:color="auto" w:sz="4" w:space="0"/>
              <w:bottom w:val="single" w:color="auto" w:sz="4" w:space="0"/>
              <w:right w:val="single" w:color="auto" w:sz="4" w:space="0"/>
            </w:tcBorders>
            <w:vAlign w:val="center"/>
          </w:tcPr>
          <w:p w14:paraId="452C2705">
            <w:pPr>
              <w:spacing w:line="320" w:lineRule="exact"/>
              <w:jc w:val="left"/>
              <w:rPr>
                <w:color w:val="000000"/>
                <w:kern w:val="0"/>
                <w:sz w:val="18"/>
                <w:szCs w:val="18"/>
              </w:rPr>
            </w:pPr>
          </w:p>
        </w:tc>
        <w:tc>
          <w:tcPr>
            <w:tcW w:w="5940" w:type="dxa"/>
            <w:gridSpan w:val="2"/>
            <w:tcBorders>
              <w:top w:val="single" w:color="auto" w:sz="4" w:space="0"/>
              <w:left w:val="nil"/>
              <w:bottom w:val="single" w:color="auto" w:sz="4" w:space="0"/>
              <w:right w:val="single" w:color="auto" w:sz="8" w:space="0"/>
            </w:tcBorders>
            <w:vAlign w:val="center"/>
          </w:tcPr>
          <w:p w14:paraId="75C0567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3E6F4FC2"/>
    <w:p w14:paraId="68BB7AF0"/>
    <w:p w14:paraId="1894F6EF"/>
    <w:p w14:paraId="537AA7B3"/>
    <w:p w14:paraId="3AAA892E"/>
    <w:tbl>
      <w:tblPr>
        <w:tblStyle w:val="15"/>
        <w:tblW w:w="0" w:type="auto"/>
        <w:tblInd w:w="93" w:type="dxa"/>
        <w:tblLayout w:type="fixed"/>
        <w:tblCellMar>
          <w:top w:w="0" w:type="dxa"/>
          <w:left w:w="108" w:type="dxa"/>
          <w:bottom w:w="0" w:type="dxa"/>
          <w:right w:w="108" w:type="dxa"/>
        </w:tblCellMar>
      </w:tblPr>
      <w:tblGrid>
        <w:gridCol w:w="1035"/>
        <w:gridCol w:w="1248"/>
        <w:gridCol w:w="4892"/>
        <w:gridCol w:w="1120"/>
        <w:gridCol w:w="5730"/>
      </w:tblGrid>
      <w:tr w14:paraId="15A713EA">
        <w:tblPrEx>
          <w:tblCellMar>
            <w:top w:w="0" w:type="dxa"/>
            <w:left w:w="108" w:type="dxa"/>
            <w:bottom w:w="0" w:type="dxa"/>
            <w:right w:w="108" w:type="dxa"/>
          </w:tblCellMar>
        </w:tblPrEx>
        <w:trPr>
          <w:trHeight w:val="285" w:hRule="atLeast"/>
        </w:trPr>
        <w:tc>
          <w:tcPr>
            <w:tcW w:w="1035" w:type="dxa"/>
            <w:tcBorders>
              <w:top w:val="single" w:color="auto" w:sz="4" w:space="0"/>
              <w:left w:val="single" w:color="auto" w:sz="8" w:space="0"/>
              <w:bottom w:val="single" w:color="auto" w:sz="4" w:space="0"/>
              <w:right w:val="single" w:color="auto" w:sz="4" w:space="0"/>
            </w:tcBorders>
            <w:shd w:val="clear" w:color="auto" w:fill="FFFFFF"/>
            <w:vAlign w:val="center"/>
          </w:tcPr>
          <w:p w14:paraId="0BD1BC7D">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color="auto" w:sz="4" w:space="0"/>
              <w:left w:val="nil"/>
              <w:bottom w:val="single" w:color="auto" w:sz="4" w:space="0"/>
              <w:right w:val="single" w:color="000000" w:sz="8" w:space="0"/>
            </w:tcBorders>
            <w:shd w:val="clear" w:color="auto" w:fill="FFFFFF"/>
            <w:vAlign w:val="center"/>
          </w:tcPr>
          <w:p w14:paraId="3DAFF59A">
            <w:pPr>
              <w:spacing w:line="320" w:lineRule="exact"/>
              <w:jc w:val="left"/>
              <w:rPr>
                <w:rFonts w:eastAsia="仿宋_GB2312"/>
                <w:b/>
                <w:bCs/>
                <w:color w:val="000000"/>
                <w:kern w:val="0"/>
                <w:sz w:val="18"/>
                <w:szCs w:val="18"/>
              </w:rPr>
            </w:pPr>
            <w:r>
              <w:rPr>
                <w:rFonts w:eastAsia="仿宋_GB2312"/>
                <w:b/>
                <w:bCs/>
                <w:color w:val="000000"/>
                <w:kern w:val="0"/>
                <w:sz w:val="18"/>
                <w:szCs w:val="18"/>
              </w:rPr>
              <w:t>320217497000</w:t>
            </w:r>
          </w:p>
        </w:tc>
      </w:tr>
      <w:tr w14:paraId="4A9D4475">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shd w:val="clear" w:color="auto" w:fill="FFFFFF"/>
            <w:vAlign w:val="center"/>
          </w:tcPr>
          <w:p w14:paraId="50DBE374">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color="auto" w:sz="4" w:space="0"/>
              <w:left w:val="nil"/>
              <w:bottom w:val="single" w:color="auto" w:sz="4" w:space="0"/>
              <w:right w:val="single" w:color="000000" w:sz="8" w:space="0"/>
            </w:tcBorders>
            <w:shd w:val="clear" w:color="auto" w:fill="FFFFFF"/>
            <w:vAlign w:val="center"/>
          </w:tcPr>
          <w:p w14:paraId="7BA11969">
            <w:pPr>
              <w:spacing w:line="320" w:lineRule="exact"/>
              <w:jc w:val="left"/>
              <w:rPr>
                <w:color w:val="000000"/>
                <w:kern w:val="0"/>
                <w:sz w:val="18"/>
                <w:szCs w:val="18"/>
              </w:rPr>
            </w:pPr>
            <w:r>
              <w:rPr>
                <w:rFonts w:hint="eastAsia"/>
                <w:color w:val="000000"/>
                <w:kern w:val="0"/>
                <w:sz w:val="18"/>
                <w:szCs w:val="18"/>
              </w:rPr>
              <w:t>对未经注册擅自以注册房地产估价师的名义从事房地产估价活动的处罚</w:t>
            </w:r>
          </w:p>
        </w:tc>
      </w:tr>
      <w:tr w14:paraId="275AA9F0">
        <w:tblPrEx>
          <w:tblCellMar>
            <w:top w:w="0" w:type="dxa"/>
            <w:left w:w="108" w:type="dxa"/>
            <w:bottom w:w="0" w:type="dxa"/>
            <w:right w:w="108" w:type="dxa"/>
          </w:tblCellMar>
        </w:tblPrEx>
        <w:trPr>
          <w:trHeight w:val="1110" w:hRule="atLeast"/>
        </w:trPr>
        <w:tc>
          <w:tcPr>
            <w:tcW w:w="1035" w:type="dxa"/>
            <w:tcBorders>
              <w:top w:val="nil"/>
              <w:left w:val="single" w:color="auto" w:sz="8" w:space="0"/>
              <w:bottom w:val="single" w:color="auto" w:sz="4" w:space="0"/>
              <w:right w:val="single" w:color="auto" w:sz="4" w:space="0"/>
            </w:tcBorders>
            <w:shd w:val="clear" w:color="auto" w:fill="FFFFFF"/>
            <w:vAlign w:val="center"/>
          </w:tcPr>
          <w:p w14:paraId="51FAA4FE">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color="auto" w:sz="4" w:space="0"/>
              <w:left w:val="nil"/>
              <w:bottom w:val="single" w:color="auto" w:sz="4" w:space="0"/>
              <w:right w:val="single" w:color="000000" w:sz="8" w:space="0"/>
            </w:tcBorders>
            <w:shd w:val="clear" w:color="auto" w:fill="FFFFFF"/>
            <w:vAlign w:val="center"/>
          </w:tcPr>
          <w:p w14:paraId="41831FD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14:paraId="39B125A0">
            <w:pPr>
              <w:spacing w:line="320" w:lineRule="exact"/>
              <w:jc w:val="left"/>
              <w:rPr>
                <w:color w:val="000000"/>
                <w:kern w:val="0"/>
                <w:sz w:val="18"/>
                <w:szCs w:val="18"/>
              </w:rPr>
            </w:pPr>
            <w:r>
              <w:rPr>
                <w:rFonts w:hint="eastAsia"/>
                <w:color w:val="000000"/>
                <w:kern w:val="0"/>
                <w:sz w:val="18"/>
                <w:szCs w:val="18"/>
              </w:rPr>
              <w:t>第十九条　取得执业资格的人员，应当受聘于一个具有房地产估价机构资质的单位，经注册后方可从事房地产估价执业活动。</w:t>
            </w:r>
          </w:p>
          <w:p w14:paraId="318062D7">
            <w:pPr>
              <w:spacing w:line="320" w:lineRule="exact"/>
              <w:jc w:val="left"/>
              <w:rPr>
                <w:color w:val="000000"/>
                <w:kern w:val="0"/>
                <w:sz w:val="18"/>
                <w:szCs w:val="18"/>
              </w:rPr>
            </w:pPr>
            <w:r>
              <w:rPr>
                <w:rFonts w:hint="eastAsia"/>
                <w:color w:val="000000"/>
                <w:kern w:val="0"/>
                <w:sz w:val="18"/>
                <w:szCs w:val="18"/>
              </w:rPr>
              <w:t>第三十六条　违反本办法规定，未经注册，擅自以注册房地产估价师名义从事房地产估价活动的，所签署的估价报告无效，由县级以上地方人民政府建设（房地产）主管部门给予警告，责令停止违法活动，并可处以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w:t>
            </w:r>
          </w:p>
        </w:tc>
      </w:tr>
      <w:tr w14:paraId="3C06A232">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shd w:val="clear" w:color="auto" w:fill="FFFFFF"/>
            <w:vAlign w:val="center"/>
          </w:tcPr>
          <w:p w14:paraId="186FE16C">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color="auto" w:sz="4" w:space="0"/>
              <w:left w:val="nil"/>
              <w:bottom w:val="single" w:color="auto" w:sz="4" w:space="0"/>
              <w:right w:val="single" w:color="000000" w:sz="8" w:space="0"/>
            </w:tcBorders>
            <w:shd w:val="clear" w:color="auto" w:fill="FFFFFF"/>
            <w:vAlign w:val="center"/>
          </w:tcPr>
          <w:p w14:paraId="56FB754D">
            <w:pPr>
              <w:spacing w:line="320" w:lineRule="exact"/>
              <w:jc w:val="left"/>
              <w:rPr>
                <w:color w:val="000000"/>
                <w:kern w:val="0"/>
                <w:sz w:val="18"/>
                <w:szCs w:val="18"/>
              </w:rPr>
            </w:pPr>
            <w:r>
              <w:rPr>
                <w:rFonts w:hint="eastAsia"/>
                <w:color w:val="000000"/>
                <w:kern w:val="0"/>
                <w:sz w:val="18"/>
                <w:szCs w:val="18"/>
              </w:rPr>
              <w:t>警告，罚款</w:t>
            </w:r>
          </w:p>
        </w:tc>
      </w:tr>
      <w:tr w14:paraId="7F287CE9">
        <w:tblPrEx>
          <w:tblCellMar>
            <w:top w:w="0" w:type="dxa"/>
            <w:left w:w="108" w:type="dxa"/>
            <w:bottom w:w="0" w:type="dxa"/>
            <w:right w:w="108" w:type="dxa"/>
          </w:tblCellMar>
        </w:tblPrEx>
        <w:trPr>
          <w:trHeight w:val="285" w:hRule="atLeast"/>
        </w:trPr>
        <w:tc>
          <w:tcPr>
            <w:tcW w:w="14025" w:type="dxa"/>
            <w:gridSpan w:val="5"/>
            <w:tcBorders>
              <w:top w:val="single" w:color="auto" w:sz="4" w:space="0"/>
              <w:left w:val="single" w:color="auto" w:sz="8" w:space="0"/>
              <w:bottom w:val="single" w:color="auto" w:sz="4" w:space="0"/>
              <w:right w:val="single" w:color="000000" w:sz="8" w:space="0"/>
            </w:tcBorders>
            <w:shd w:val="clear" w:color="auto" w:fill="FFFFFF"/>
            <w:vAlign w:val="center"/>
          </w:tcPr>
          <w:p w14:paraId="604F08DB">
            <w:pPr>
              <w:spacing w:line="320" w:lineRule="exact"/>
              <w:jc w:val="center"/>
              <w:rPr>
                <w:color w:val="000000"/>
                <w:kern w:val="0"/>
                <w:sz w:val="18"/>
                <w:szCs w:val="18"/>
              </w:rPr>
            </w:pPr>
            <w:r>
              <w:rPr>
                <w:rFonts w:hint="eastAsia"/>
                <w:color w:val="000000"/>
                <w:kern w:val="0"/>
                <w:sz w:val="18"/>
                <w:szCs w:val="18"/>
              </w:rPr>
              <w:t>裁量基准</w:t>
            </w:r>
          </w:p>
        </w:tc>
      </w:tr>
      <w:tr w14:paraId="09693B94">
        <w:tblPrEx>
          <w:tblCellMar>
            <w:top w:w="0" w:type="dxa"/>
            <w:left w:w="108" w:type="dxa"/>
            <w:bottom w:w="0" w:type="dxa"/>
            <w:right w:w="108" w:type="dxa"/>
          </w:tblCellMar>
        </w:tblPrEx>
        <w:trPr>
          <w:trHeight w:val="285" w:hRule="atLeast"/>
        </w:trPr>
        <w:tc>
          <w:tcPr>
            <w:tcW w:w="1035" w:type="dxa"/>
            <w:vMerge w:val="restart"/>
            <w:tcBorders>
              <w:top w:val="nil"/>
              <w:left w:val="single" w:color="auto" w:sz="8" w:space="0"/>
              <w:bottom w:val="single" w:color="auto" w:sz="4" w:space="0"/>
              <w:right w:val="single" w:color="auto" w:sz="4" w:space="0"/>
            </w:tcBorders>
            <w:shd w:val="clear" w:color="auto" w:fill="FFFFFF"/>
            <w:vAlign w:val="center"/>
          </w:tcPr>
          <w:p w14:paraId="714EBC08">
            <w:pPr>
              <w:spacing w:line="320" w:lineRule="exact"/>
              <w:jc w:val="center"/>
              <w:rPr>
                <w:color w:val="000000"/>
                <w:kern w:val="0"/>
                <w:sz w:val="18"/>
                <w:szCs w:val="18"/>
              </w:rPr>
            </w:pPr>
            <w:r>
              <w:rPr>
                <w:rFonts w:hint="eastAsia"/>
                <w:color w:val="000000"/>
                <w:kern w:val="0"/>
                <w:sz w:val="18"/>
                <w:szCs w:val="18"/>
              </w:rPr>
              <w:t>情形描述</w:t>
            </w:r>
          </w:p>
        </w:tc>
        <w:tc>
          <w:tcPr>
            <w:tcW w:w="1248" w:type="dxa"/>
            <w:vMerge w:val="restart"/>
            <w:tcBorders>
              <w:top w:val="single" w:color="auto" w:sz="4" w:space="0"/>
              <w:left w:val="nil"/>
              <w:right w:val="single" w:color="auto" w:sz="4" w:space="0"/>
            </w:tcBorders>
            <w:shd w:val="clear" w:color="auto" w:fill="FFFFFF"/>
            <w:vAlign w:val="center"/>
          </w:tcPr>
          <w:p w14:paraId="5BCED310">
            <w:pPr>
              <w:spacing w:line="320" w:lineRule="exact"/>
              <w:jc w:val="left"/>
              <w:rPr>
                <w:color w:val="000000"/>
                <w:kern w:val="0"/>
                <w:sz w:val="18"/>
                <w:szCs w:val="18"/>
              </w:rPr>
            </w:pPr>
            <w:r>
              <w:rPr>
                <w:rFonts w:hint="eastAsia"/>
                <w:color w:val="000000"/>
                <w:kern w:val="0"/>
                <w:sz w:val="18"/>
                <w:szCs w:val="18"/>
              </w:rPr>
              <w:t>有违法所得</w:t>
            </w:r>
          </w:p>
        </w:tc>
        <w:tc>
          <w:tcPr>
            <w:tcW w:w="4892" w:type="dxa"/>
            <w:tcBorders>
              <w:top w:val="single" w:color="auto" w:sz="4" w:space="0"/>
              <w:left w:val="nil"/>
              <w:bottom w:val="single" w:color="auto" w:sz="4" w:space="0"/>
              <w:right w:val="single" w:color="auto" w:sz="4" w:space="0"/>
            </w:tcBorders>
            <w:shd w:val="clear" w:color="auto" w:fill="FFFFFF"/>
            <w:vAlign w:val="center"/>
          </w:tcPr>
          <w:p w14:paraId="7AF5CA49">
            <w:pPr>
              <w:spacing w:line="320" w:lineRule="exact"/>
              <w:jc w:val="left"/>
              <w:rPr>
                <w:color w:val="000000"/>
                <w:kern w:val="0"/>
                <w:sz w:val="18"/>
                <w:szCs w:val="18"/>
              </w:rPr>
            </w:pPr>
            <w:r>
              <w:rPr>
                <w:rFonts w:hint="eastAsia"/>
                <w:color w:val="000000"/>
                <w:kern w:val="0"/>
                <w:sz w:val="18"/>
                <w:szCs w:val="18"/>
              </w:rPr>
              <w:t>发现时已停止违法活动的</w:t>
            </w:r>
          </w:p>
        </w:tc>
        <w:tc>
          <w:tcPr>
            <w:tcW w:w="1120" w:type="dxa"/>
            <w:vMerge w:val="restart"/>
            <w:tcBorders>
              <w:top w:val="nil"/>
              <w:left w:val="single" w:color="auto" w:sz="4" w:space="0"/>
              <w:bottom w:val="single" w:color="auto" w:sz="4" w:space="0"/>
              <w:right w:val="single" w:color="auto" w:sz="4" w:space="0"/>
            </w:tcBorders>
            <w:shd w:val="clear" w:color="auto" w:fill="FFFFFF"/>
            <w:vAlign w:val="center"/>
          </w:tcPr>
          <w:p w14:paraId="6DB39119">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color="auto" w:sz="4" w:space="0"/>
              <w:right w:val="single" w:color="auto" w:sz="8" w:space="0"/>
            </w:tcBorders>
            <w:shd w:val="clear" w:color="auto" w:fill="FFFFFF"/>
            <w:vAlign w:val="center"/>
          </w:tcPr>
          <w:p w14:paraId="1730418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751DFE2">
        <w:tblPrEx>
          <w:tblCellMar>
            <w:top w:w="0" w:type="dxa"/>
            <w:left w:w="108" w:type="dxa"/>
            <w:bottom w:w="0" w:type="dxa"/>
            <w:right w:w="108" w:type="dxa"/>
          </w:tblCellMar>
        </w:tblPrEx>
        <w:trPr>
          <w:trHeight w:val="70" w:hRule="atLeast"/>
        </w:trPr>
        <w:tc>
          <w:tcPr>
            <w:tcW w:w="1035" w:type="dxa"/>
            <w:vMerge w:val="continue"/>
            <w:tcBorders>
              <w:top w:val="nil"/>
              <w:left w:val="single" w:color="auto" w:sz="8" w:space="0"/>
              <w:bottom w:val="single" w:color="auto" w:sz="4" w:space="0"/>
              <w:right w:val="single" w:color="auto" w:sz="4" w:space="0"/>
            </w:tcBorders>
            <w:shd w:val="clear" w:color="auto" w:fill="auto"/>
            <w:vAlign w:val="center"/>
          </w:tcPr>
          <w:p w14:paraId="4722BAFA">
            <w:pPr>
              <w:spacing w:line="320" w:lineRule="exact"/>
              <w:jc w:val="left"/>
              <w:rPr>
                <w:color w:val="000000"/>
                <w:kern w:val="0"/>
                <w:sz w:val="18"/>
                <w:szCs w:val="18"/>
              </w:rPr>
            </w:pPr>
          </w:p>
        </w:tc>
        <w:tc>
          <w:tcPr>
            <w:tcW w:w="1248" w:type="dxa"/>
            <w:vMerge w:val="continue"/>
            <w:tcBorders>
              <w:left w:val="nil"/>
              <w:bottom w:val="single" w:color="auto" w:sz="4" w:space="0"/>
              <w:right w:val="single" w:color="auto" w:sz="4" w:space="0"/>
            </w:tcBorders>
            <w:shd w:val="clear" w:color="auto" w:fill="FFFFFF"/>
            <w:vAlign w:val="center"/>
          </w:tcPr>
          <w:p w14:paraId="42142BB7">
            <w:pPr>
              <w:spacing w:line="320" w:lineRule="exact"/>
              <w:jc w:val="left"/>
              <w:rPr>
                <w:color w:val="000000"/>
                <w:kern w:val="0"/>
                <w:sz w:val="18"/>
                <w:szCs w:val="18"/>
              </w:rPr>
            </w:pPr>
          </w:p>
        </w:tc>
        <w:tc>
          <w:tcPr>
            <w:tcW w:w="4892" w:type="dxa"/>
            <w:tcBorders>
              <w:top w:val="single" w:color="auto" w:sz="4" w:space="0"/>
              <w:left w:val="nil"/>
              <w:bottom w:val="single" w:color="auto" w:sz="4" w:space="0"/>
              <w:right w:val="single" w:color="auto" w:sz="4" w:space="0"/>
            </w:tcBorders>
            <w:shd w:val="clear" w:color="auto" w:fill="FFFFFF"/>
            <w:vAlign w:val="center"/>
          </w:tcPr>
          <w:p w14:paraId="2B8A24D8">
            <w:pPr>
              <w:spacing w:line="320" w:lineRule="exact"/>
              <w:jc w:val="left"/>
              <w:rPr>
                <w:color w:val="000000"/>
                <w:kern w:val="0"/>
                <w:sz w:val="18"/>
                <w:szCs w:val="18"/>
              </w:rPr>
            </w:pPr>
            <w:r>
              <w:rPr>
                <w:rFonts w:hint="eastAsia"/>
                <w:color w:val="000000"/>
                <w:kern w:val="0"/>
                <w:sz w:val="18"/>
                <w:szCs w:val="18"/>
              </w:rPr>
              <w:t>发现时未停止违法活动的</w:t>
            </w:r>
          </w:p>
        </w:tc>
        <w:tc>
          <w:tcPr>
            <w:tcW w:w="1120" w:type="dxa"/>
            <w:vMerge w:val="continue"/>
            <w:tcBorders>
              <w:top w:val="nil"/>
              <w:left w:val="single" w:color="auto" w:sz="4" w:space="0"/>
              <w:bottom w:val="single" w:color="auto" w:sz="4" w:space="0"/>
              <w:right w:val="single" w:color="auto" w:sz="4" w:space="0"/>
            </w:tcBorders>
            <w:shd w:val="clear" w:color="auto" w:fill="auto"/>
            <w:vAlign w:val="center"/>
          </w:tcPr>
          <w:p w14:paraId="3CF7D126">
            <w:pPr>
              <w:spacing w:line="320" w:lineRule="exact"/>
              <w:jc w:val="left"/>
              <w:rPr>
                <w:color w:val="000000"/>
                <w:kern w:val="0"/>
                <w:sz w:val="18"/>
                <w:szCs w:val="18"/>
              </w:rPr>
            </w:pPr>
          </w:p>
        </w:tc>
        <w:tc>
          <w:tcPr>
            <w:tcW w:w="5730" w:type="dxa"/>
            <w:tcBorders>
              <w:top w:val="nil"/>
              <w:left w:val="nil"/>
              <w:bottom w:val="single" w:color="auto" w:sz="4" w:space="0"/>
              <w:right w:val="single" w:color="auto" w:sz="8" w:space="0"/>
            </w:tcBorders>
            <w:shd w:val="clear" w:color="auto" w:fill="FFFFFF"/>
            <w:vAlign w:val="center"/>
          </w:tcPr>
          <w:p w14:paraId="0BEA61B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5B508EAA"/>
    <w:p w14:paraId="51AA11CC"/>
    <w:p w14:paraId="1C514415"/>
    <w:p w14:paraId="62EAF94F"/>
    <w:p w14:paraId="5CAF85D5"/>
    <w:p w14:paraId="4589A896"/>
    <w:p w14:paraId="7CB424C4"/>
    <w:p w14:paraId="47F05206"/>
    <w:p w14:paraId="264D10FE"/>
    <w:p w14:paraId="6268CA60"/>
    <w:tbl>
      <w:tblPr>
        <w:tblStyle w:val="15"/>
        <w:tblW w:w="0" w:type="auto"/>
        <w:tblInd w:w="93" w:type="dxa"/>
        <w:tblLayout w:type="fixed"/>
        <w:tblCellMar>
          <w:top w:w="0" w:type="dxa"/>
          <w:left w:w="108" w:type="dxa"/>
          <w:bottom w:w="0" w:type="dxa"/>
          <w:right w:w="108" w:type="dxa"/>
        </w:tblCellMar>
      </w:tblPr>
      <w:tblGrid>
        <w:gridCol w:w="1035"/>
        <w:gridCol w:w="6140"/>
        <w:gridCol w:w="1120"/>
        <w:gridCol w:w="5730"/>
      </w:tblGrid>
      <w:tr w14:paraId="761A4489">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71E2093F">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2377EB6B">
            <w:pPr>
              <w:spacing w:line="320" w:lineRule="exact"/>
              <w:jc w:val="left"/>
              <w:rPr>
                <w:rFonts w:eastAsia="仿宋_GB2312"/>
                <w:b/>
                <w:bCs/>
                <w:color w:val="000000"/>
                <w:kern w:val="0"/>
                <w:sz w:val="18"/>
                <w:szCs w:val="18"/>
              </w:rPr>
            </w:pPr>
            <w:r>
              <w:rPr>
                <w:rFonts w:eastAsia="仿宋_GB2312"/>
                <w:b/>
                <w:bCs/>
                <w:color w:val="000000"/>
                <w:kern w:val="0"/>
                <w:sz w:val="18"/>
                <w:szCs w:val="18"/>
              </w:rPr>
              <w:t>320217498000</w:t>
            </w:r>
          </w:p>
        </w:tc>
      </w:tr>
      <w:tr w14:paraId="72BBE706">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4BBF8C74">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7FBC894D">
            <w:pPr>
              <w:spacing w:line="320" w:lineRule="exact"/>
              <w:jc w:val="left"/>
              <w:rPr>
                <w:color w:val="000000"/>
                <w:kern w:val="0"/>
                <w:sz w:val="18"/>
                <w:szCs w:val="18"/>
              </w:rPr>
            </w:pPr>
            <w:r>
              <w:rPr>
                <w:rFonts w:hint="eastAsia"/>
                <w:color w:val="000000"/>
                <w:kern w:val="0"/>
                <w:sz w:val="18"/>
                <w:szCs w:val="18"/>
              </w:rPr>
              <w:t>对注册房地产估价师未办理变更注册仍执业的处罚</w:t>
            </w:r>
          </w:p>
        </w:tc>
      </w:tr>
      <w:tr w14:paraId="0A5319B0">
        <w:tblPrEx>
          <w:tblCellMar>
            <w:top w:w="0" w:type="dxa"/>
            <w:left w:w="108" w:type="dxa"/>
            <w:bottom w:w="0" w:type="dxa"/>
            <w:right w:w="108" w:type="dxa"/>
          </w:tblCellMar>
        </w:tblPrEx>
        <w:trPr>
          <w:trHeight w:val="1395" w:hRule="atLeast"/>
        </w:trPr>
        <w:tc>
          <w:tcPr>
            <w:tcW w:w="1035" w:type="dxa"/>
            <w:tcBorders>
              <w:top w:val="nil"/>
              <w:left w:val="single" w:color="auto" w:sz="8" w:space="0"/>
              <w:bottom w:val="single" w:color="auto" w:sz="4" w:space="0"/>
              <w:right w:val="single" w:color="auto" w:sz="4" w:space="0"/>
            </w:tcBorders>
            <w:vAlign w:val="center"/>
          </w:tcPr>
          <w:p w14:paraId="1D002F42">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1B235482">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14:paraId="1061E623">
            <w:pPr>
              <w:spacing w:line="320" w:lineRule="exact"/>
              <w:jc w:val="left"/>
              <w:rPr>
                <w:color w:val="000000"/>
                <w:kern w:val="0"/>
                <w:sz w:val="18"/>
                <w:szCs w:val="18"/>
              </w:rPr>
            </w:pPr>
            <w:r>
              <w:rPr>
                <w:rFonts w:hint="eastAsia"/>
                <w:color w:val="000000"/>
                <w:kern w:val="0"/>
                <w:sz w:val="18"/>
                <w:szCs w:val="18"/>
              </w:rPr>
              <w:t>第十二条第一款</w:t>
            </w:r>
            <w:r>
              <w:rPr>
                <w:color w:val="000000"/>
                <w:kern w:val="0"/>
                <w:sz w:val="18"/>
                <w:szCs w:val="18"/>
              </w:rPr>
              <w:t xml:space="preserve">  </w:t>
            </w:r>
            <w:r>
              <w:rPr>
                <w:rFonts w:hint="eastAsia"/>
                <w:color w:val="000000"/>
                <w:kern w:val="0"/>
                <w:sz w:val="18"/>
                <w:szCs w:val="18"/>
              </w:rPr>
              <w:t>注册房地产估价师变更执业单位，应当与原聘用单位解除劳动合同，并按本办法第八条规定的程序办理变更注册手续，变更注册后延续原注册有效期。</w:t>
            </w:r>
          </w:p>
          <w:p w14:paraId="2AB363F6">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违反本办法规定，未办理变更注册仍执业的，由县级以上地方人民政府建设（房地产）主管部门责令限期改正；逾期不改正的，可处以</w:t>
            </w:r>
            <w:r>
              <w:rPr>
                <w:color w:val="000000"/>
                <w:kern w:val="0"/>
                <w:sz w:val="18"/>
                <w:szCs w:val="18"/>
              </w:rPr>
              <w:t>5000</w:t>
            </w:r>
            <w:r>
              <w:rPr>
                <w:rFonts w:hint="eastAsia"/>
                <w:color w:val="000000"/>
                <w:kern w:val="0"/>
                <w:sz w:val="18"/>
                <w:szCs w:val="18"/>
              </w:rPr>
              <w:t>元以下的罚款。</w:t>
            </w:r>
          </w:p>
        </w:tc>
      </w:tr>
      <w:tr w14:paraId="0C7C31A6">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476AF43B">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4A548630">
            <w:pPr>
              <w:spacing w:line="320" w:lineRule="exact"/>
              <w:jc w:val="left"/>
              <w:rPr>
                <w:color w:val="000000"/>
                <w:kern w:val="0"/>
                <w:sz w:val="18"/>
                <w:szCs w:val="18"/>
              </w:rPr>
            </w:pPr>
            <w:r>
              <w:rPr>
                <w:rFonts w:hint="eastAsia"/>
                <w:color w:val="000000"/>
                <w:kern w:val="0"/>
                <w:sz w:val="18"/>
                <w:szCs w:val="18"/>
              </w:rPr>
              <w:t>罚款</w:t>
            </w:r>
          </w:p>
        </w:tc>
      </w:tr>
      <w:tr w14:paraId="0432CAF5">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15897799">
            <w:pPr>
              <w:spacing w:line="320" w:lineRule="exact"/>
              <w:jc w:val="center"/>
              <w:rPr>
                <w:color w:val="000000"/>
                <w:kern w:val="0"/>
                <w:sz w:val="18"/>
                <w:szCs w:val="18"/>
              </w:rPr>
            </w:pPr>
            <w:r>
              <w:rPr>
                <w:rFonts w:hint="eastAsia"/>
                <w:color w:val="000000"/>
                <w:kern w:val="0"/>
                <w:sz w:val="18"/>
                <w:szCs w:val="18"/>
              </w:rPr>
              <w:t>裁量基准</w:t>
            </w:r>
          </w:p>
        </w:tc>
      </w:tr>
      <w:tr w14:paraId="55358570">
        <w:tblPrEx>
          <w:tblCellMar>
            <w:top w:w="0" w:type="dxa"/>
            <w:left w:w="108" w:type="dxa"/>
            <w:bottom w:w="0" w:type="dxa"/>
            <w:right w:w="108" w:type="dxa"/>
          </w:tblCellMar>
        </w:tblPrEx>
        <w:trPr>
          <w:trHeight w:val="650" w:hRule="atLeast"/>
        </w:trPr>
        <w:tc>
          <w:tcPr>
            <w:tcW w:w="1035" w:type="dxa"/>
            <w:vMerge w:val="restart"/>
            <w:tcBorders>
              <w:top w:val="nil"/>
              <w:left w:val="single" w:color="auto" w:sz="8" w:space="0"/>
              <w:right w:val="single" w:color="auto" w:sz="4" w:space="0"/>
            </w:tcBorders>
            <w:vAlign w:val="center"/>
          </w:tcPr>
          <w:p w14:paraId="6942994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6B84CD03">
            <w:pPr>
              <w:spacing w:line="320" w:lineRule="exact"/>
              <w:jc w:val="left"/>
              <w:rPr>
                <w:color w:val="000000"/>
                <w:kern w:val="0"/>
                <w:sz w:val="18"/>
                <w:szCs w:val="18"/>
              </w:rPr>
            </w:pPr>
            <w:r>
              <w:rPr>
                <w:rFonts w:hint="eastAsia"/>
                <w:color w:val="000000"/>
                <w:kern w:val="0"/>
                <w:sz w:val="18"/>
                <w:szCs w:val="18"/>
              </w:rPr>
              <w:t>未签署估价报告，逾期</w:t>
            </w:r>
            <w:r>
              <w:rPr>
                <w:color w:val="000000"/>
                <w:kern w:val="0"/>
                <w:sz w:val="18"/>
                <w:szCs w:val="18"/>
              </w:rPr>
              <w:t>1</w:t>
            </w:r>
            <w:r>
              <w:rPr>
                <w:rFonts w:hint="eastAsia"/>
                <w:color w:val="000000"/>
                <w:kern w:val="0"/>
                <w:sz w:val="18"/>
                <w:szCs w:val="18"/>
              </w:rPr>
              <w:t>周内未改正的</w:t>
            </w:r>
          </w:p>
        </w:tc>
        <w:tc>
          <w:tcPr>
            <w:tcW w:w="1120" w:type="dxa"/>
            <w:vMerge w:val="restart"/>
            <w:tcBorders>
              <w:top w:val="single" w:color="auto" w:sz="4" w:space="0"/>
              <w:left w:val="nil"/>
              <w:bottom w:val="single" w:color="auto" w:sz="4" w:space="0"/>
              <w:right w:val="single" w:color="auto" w:sz="4" w:space="0"/>
            </w:tcBorders>
            <w:vAlign w:val="center"/>
          </w:tcPr>
          <w:p w14:paraId="6585D50B">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single" w:color="auto" w:sz="4" w:space="0"/>
              <w:left w:val="nil"/>
              <w:bottom w:val="single" w:color="auto" w:sz="4" w:space="0"/>
              <w:right w:val="single" w:color="auto" w:sz="4" w:space="0"/>
            </w:tcBorders>
            <w:vAlign w:val="center"/>
          </w:tcPr>
          <w:p w14:paraId="13CCCB2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元以下罚款</w:t>
            </w:r>
          </w:p>
        </w:tc>
      </w:tr>
      <w:tr w14:paraId="5F642AA9">
        <w:tblPrEx>
          <w:tblCellMar>
            <w:top w:w="0" w:type="dxa"/>
            <w:left w:w="108" w:type="dxa"/>
            <w:bottom w:w="0" w:type="dxa"/>
            <w:right w:w="108" w:type="dxa"/>
          </w:tblCellMar>
        </w:tblPrEx>
        <w:trPr>
          <w:trHeight w:val="624" w:hRule="atLeast"/>
        </w:trPr>
        <w:tc>
          <w:tcPr>
            <w:tcW w:w="1035" w:type="dxa"/>
            <w:vMerge w:val="continue"/>
            <w:tcBorders>
              <w:left w:val="single" w:color="auto" w:sz="8" w:space="0"/>
              <w:bottom w:val="single" w:color="auto" w:sz="4" w:space="0"/>
              <w:right w:val="single" w:color="auto" w:sz="4" w:space="0"/>
            </w:tcBorders>
            <w:vAlign w:val="center"/>
          </w:tcPr>
          <w:p w14:paraId="4C2EAAEA">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A9E51B6">
            <w:pPr>
              <w:spacing w:line="320" w:lineRule="exact"/>
              <w:jc w:val="left"/>
              <w:rPr>
                <w:color w:val="000000"/>
                <w:kern w:val="0"/>
                <w:sz w:val="18"/>
                <w:szCs w:val="18"/>
              </w:rPr>
            </w:pPr>
            <w:r>
              <w:rPr>
                <w:rFonts w:hint="eastAsia"/>
                <w:color w:val="000000"/>
                <w:kern w:val="0"/>
                <w:sz w:val="18"/>
                <w:szCs w:val="18"/>
              </w:rPr>
              <w:t>签署估价报告的</w:t>
            </w:r>
          </w:p>
        </w:tc>
        <w:tc>
          <w:tcPr>
            <w:tcW w:w="1120" w:type="dxa"/>
            <w:vMerge w:val="continue"/>
            <w:tcBorders>
              <w:top w:val="single" w:color="auto" w:sz="4" w:space="0"/>
              <w:left w:val="nil"/>
              <w:bottom w:val="single" w:color="auto" w:sz="4" w:space="0"/>
              <w:right w:val="single" w:color="auto" w:sz="4" w:space="0"/>
            </w:tcBorders>
            <w:vAlign w:val="center"/>
          </w:tcPr>
          <w:p w14:paraId="0ABD050C">
            <w:pPr>
              <w:spacing w:line="320" w:lineRule="exact"/>
              <w:jc w:val="left"/>
              <w:rPr>
                <w:color w:val="000000"/>
                <w:kern w:val="0"/>
                <w:sz w:val="18"/>
                <w:szCs w:val="18"/>
              </w:rPr>
            </w:pPr>
          </w:p>
        </w:tc>
        <w:tc>
          <w:tcPr>
            <w:tcW w:w="5730" w:type="dxa"/>
            <w:tcBorders>
              <w:top w:val="single" w:color="auto" w:sz="4" w:space="0"/>
              <w:left w:val="single" w:color="auto" w:sz="4" w:space="0"/>
              <w:bottom w:val="single" w:color="auto" w:sz="4" w:space="0"/>
              <w:right w:val="single" w:color="auto" w:sz="4" w:space="0"/>
            </w:tcBorders>
            <w:vAlign w:val="center"/>
          </w:tcPr>
          <w:p w14:paraId="4F10554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512F8859"/>
    <w:p w14:paraId="2ACC68B7"/>
    <w:p w14:paraId="2FC3999E"/>
    <w:p w14:paraId="42063FE1"/>
    <w:p w14:paraId="6731759B"/>
    <w:p w14:paraId="6214D0A4"/>
    <w:p w14:paraId="263F2415"/>
    <w:p w14:paraId="734DBAD9"/>
    <w:p w14:paraId="3920B918"/>
    <w:tbl>
      <w:tblPr>
        <w:tblStyle w:val="15"/>
        <w:tblW w:w="0" w:type="auto"/>
        <w:tblInd w:w="93" w:type="dxa"/>
        <w:tblLayout w:type="fixed"/>
        <w:tblCellMar>
          <w:top w:w="0" w:type="dxa"/>
          <w:left w:w="108" w:type="dxa"/>
          <w:bottom w:w="0" w:type="dxa"/>
          <w:right w:w="108" w:type="dxa"/>
        </w:tblCellMar>
      </w:tblPr>
      <w:tblGrid>
        <w:gridCol w:w="1035"/>
        <w:gridCol w:w="1540"/>
        <w:gridCol w:w="4600"/>
        <w:gridCol w:w="1120"/>
        <w:gridCol w:w="5730"/>
      </w:tblGrid>
      <w:tr w14:paraId="3AF6526D">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2E36024F">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color="auto" w:sz="8" w:space="0"/>
              <w:left w:val="nil"/>
              <w:bottom w:val="single" w:color="auto" w:sz="4" w:space="0"/>
              <w:right w:val="single" w:color="000000" w:sz="8" w:space="0"/>
            </w:tcBorders>
            <w:vAlign w:val="center"/>
          </w:tcPr>
          <w:p w14:paraId="058526C8">
            <w:pPr>
              <w:spacing w:line="320" w:lineRule="exact"/>
              <w:jc w:val="left"/>
              <w:rPr>
                <w:rFonts w:eastAsia="仿宋_GB2312"/>
                <w:b/>
                <w:bCs/>
                <w:color w:val="000000"/>
                <w:kern w:val="0"/>
                <w:sz w:val="18"/>
                <w:szCs w:val="18"/>
              </w:rPr>
            </w:pPr>
            <w:r>
              <w:rPr>
                <w:rFonts w:eastAsia="仿宋_GB2312"/>
                <w:b/>
                <w:bCs/>
                <w:color w:val="000000"/>
                <w:kern w:val="0"/>
                <w:sz w:val="18"/>
                <w:szCs w:val="18"/>
              </w:rPr>
              <w:t>320217499000</w:t>
            </w:r>
          </w:p>
        </w:tc>
      </w:tr>
      <w:tr w14:paraId="3A202242">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488DB100">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color="auto" w:sz="4" w:space="0"/>
              <w:left w:val="nil"/>
              <w:bottom w:val="single" w:color="auto" w:sz="4" w:space="0"/>
              <w:right w:val="single" w:color="000000" w:sz="8" w:space="0"/>
            </w:tcBorders>
            <w:vAlign w:val="center"/>
          </w:tcPr>
          <w:p w14:paraId="166F8FB1">
            <w:pPr>
              <w:spacing w:line="320" w:lineRule="exact"/>
              <w:jc w:val="left"/>
              <w:rPr>
                <w:color w:val="000000"/>
                <w:kern w:val="0"/>
                <w:sz w:val="18"/>
                <w:szCs w:val="18"/>
              </w:rPr>
            </w:pPr>
            <w:r>
              <w:rPr>
                <w:rFonts w:hint="eastAsia"/>
                <w:color w:val="000000"/>
                <w:kern w:val="0"/>
                <w:sz w:val="18"/>
                <w:szCs w:val="18"/>
              </w:rPr>
              <w:t>对注册房地产估价师不履行义务的处罚</w:t>
            </w:r>
          </w:p>
        </w:tc>
      </w:tr>
      <w:tr w14:paraId="2EFB5286">
        <w:tblPrEx>
          <w:tblCellMar>
            <w:top w:w="0" w:type="dxa"/>
            <w:left w:w="108" w:type="dxa"/>
            <w:bottom w:w="0" w:type="dxa"/>
            <w:right w:w="108" w:type="dxa"/>
          </w:tblCellMar>
        </w:tblPrEx>
        <w:trPr>
          <w:trHeight w:val="1560" w:hRule="atLeast"/>
        </w:trPr>
        <w:tc>
          <w:tcPr>
            <w:tcW w:w="1035" w:type="dxa"/>
            <w:tcBorders>
              <w:top w:val="nil"/>
              <w:left w:val="single" w:color="auto" w:sz="8" w:space="0"/>
              <w:bottom w:val="single" w:color="auto" w:sz="4" w:space="0"/>
              <w:right w:val="single" w:color="auto" w:sz="4" w:space="0"/>
            </w:tcBorders>
            <w:vAlign w:val="center"/>
          </w:tcPr>
          <w:p w14:paraId="2D99FC7A">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color="auto" w:sz="4" w:space="0"/>
              <w:left w:val="nil"/>
              <w:bottom w:val="single" w:color="auto" w:sz="4" w:space="0"/>
              <w:right w:val="single" w:color="000000" w:sz="8" w:space="0"/>
            </w:tcBorders>
            <w:vAlign w:val="center"/>
          </w:tcPr>
          <w:p w14:paraId="7DD2C5A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14:paraId="58E90969">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14:paraId="6EA34B50">
            <w:pPr>
              <w:spacing w:line="320" w:lineRule="exact"/>
              <w:jc w:val="left"/>
              <w:rPr>
                <w:color w:val="000000"/>
                <w:kern w:val="0"/>
                <w:sz w:val="18"/>
                <w:szCs w:val="18"/>
              </w:rPr>
            </w:pPr>
            <w:r>
              <w:rPr>
                <w:rFonts w:hint="eastAsia"/>
                <w:color w:val="000000"/>
                <w:kern w:val="0"/>
                <w:sz w:val="18"/>
                <w:szCs w:val="18"/>
              </w:rPr>
              <w:t>（一）不履行注册房地产估价师义务。</w:t>
            </w:r>
          </w:p>
          <w:p w14:paraId="531EDF2D">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14:paraId="43128401">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6EA459E2">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color="auto" w:sz="4" w:space="0"/>
              <w:left w:val="nil"/>
              <w:bottom w:val="single" w:color="auto" w:sz="4" w:space="0"/>
              <w:right w:val="single" w:color="000000" w:sz="8" w:space="0"/>
            </w:tcBorders>
            <w:vAlign w:val="center"/>
          </w:tcPr>
          <w:p w14:paraId="646F4A0A">
            <w:pPr>
              <w:spacing w:line="320" w:lineRule="exact"/>
              <w:jc w:val="left"/>
              <w:rPr>
                <w:color w:val="000000"/>
                <w:kern w:val="0"/>
                <w:sz w:val="18"/>
                <w:szCs w:val="18"/>
              </w:rPr>
            </w:pPr>
            <w:r>
              <w:rPr>
                <w:rFonts w:hint="eastAsia"/>
                <w:color w:val="000000"/>
                <w:kern w:val="0"/>
                <w:sz w:val="18"/>
                <w:szCs w:val="18"/>
              </w:rPr>
              <w:t>警告，罚款</w:t>
            </w:r>
          </w:p>
        </w:tc>
      </w:tr>
      <w:tr w14:paraId="33271C7B">
        <w:tblPrEx>
          <w:tblCellMar>
            <w:top w:w="0" w:type="dxa"/>
            <w:left w:w="108" w:type="dxa"/>
            <w:bottom w:w="0" w:type="dxa"/>
            <w:right w:w="108" w:type="dxa"/>
          </w:tblCellMar>
        </w:tblPrEx>
        <w:trPr>
          <w:trHeight w:val="285" w:hRule="atLeast"/>
        </w:trPr>
        <w:tc>
          <w:tcPr>
            <w:tcW w:w="14025" w:type="dxa"/>
            <w:gridSpan w:val="5"/>
            <w:tcBorders>
              <w:top w:val="single" w:color="auto" w:sz="4" w:space="0"/>
              <w:left w:val="single" w:color="auto" w:sz="8" w:space="0"/>
              <w:bottom w:val="single" w:color="auto" w:sz="4" w:space="0"/>
              <w:right w:val="single" w:color="000000" w:sz="8" w:space="0"/>
            </w:tcBorders>
            <w:vAlign w:val="center"/>
          </w:tcPr>
          <w:p w14:paraId="378953A1">
            <w:pPr>
              <w:spacing w:line="320" w:lineRule="exact"/>
              <w:jc w:val="center"/>
              <w:rPr>
                <w:color w:val="000000"/>
                <w:kern w:val="0"/>
                <w:sz w:val="18"/>
                <w:szCs w:val="18"/>
              </w:rPr>
            </w:pPr>
            <w:r>
              <w:rPr>
                <w:rFonts w:hint="eastAsia"/>
                <w:color w:val="000000"/>
                <w:kern w:val="0"/>
                <w:sz w:val="18"/>
                <w:szCs w:val="18"/>
              </w:rPr>
              <w:t>裁量基准</w:t>
            </w:r>
          </w:p>
        </w:tc>
      </w:tr>
      <w:tr w14:paraId="74D3FB00">
        <w:tblPrEx>
          <w:tblCellMar>
            <w:top w:w="0" w:type="dxa"/>
            <w:left w:w="108" w:type="dxa"/>
            <w:bottom w:w="0" w:type="dxa"/>
            <w:right w:w="108" w:type="dxa"/>
          </w:tblCellMar>
        </w:tblPrEx>
        <w:trPr>
          <w:trHeight w:val="285" w:hRule="atLeast"/>
        </w:trPr>
        <w:tc>
          <w:tcPr>
            <w:tcW w:w="1035" w:type="dxa"/>
            <w:vMerge w:val="restart"/>
            <w:tcBorders>
              <w:top w:val="nil"/>
              <w:left w:val="single" w:color="auto" w:sz="8" w:space="0"/>
              <w:bottom w:val="single" w:color="auto" w:sz="4" w:space="0"/>
              <w:right w:val="single" w:color="auto" w:sz="4" w:space="0"/>
            </w:tcBorders>
            <w:vAlign w:val="center"/>
          </w:tcPr>
          <w:p w14:paraId="0E5AF0A8">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072EA833">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color="auto" w:sz="4" w:space="0"/>
              <w:right w:val="single" w:color="auto" w:sz="4" w:space="0"/>
            </w:tcBorders>
            <w:vAlign w:val="center"/>
          </w:tcPr>
          <w:p w14:paraId="1F5E68FC">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single" w:color="auto" w:sz="4" w:space="0"/>
              <w:bottom w:val="single" w:color="auto" w:sz="4" w:space="0"/>
              <w:right w:val="single" w:color="auto" w:sz="4" w:space="0"/>
            </w:tcBorders>
            <w:vAlign w:val="center"/>
          </w:tcPr>
          <w:p w14:paraId="629DDEB3">
            <w:pPr>
              <w:spacing w:line="320" w:lineRule="exact"/>
              <w:jc w:val="left"/>
              <w:rPr>
                <w:color w:val="000000"/>
                <w:kern w:val="0"/>
                <w:sz w:val="18"/>
                <w:szCs w:val="18"/>
              </w:rPr>
            </w:pPr>
            <w:r>
              <w:rPr>
                <w:rFonts w:hint="eastAsia"/>
                <w:color w:val="000000"/>
                <w:kern w:val="0"/>
                <w:sz w:val="18"/>
                <w:szCs w:val="18"/>
              </w:rPr>
              <w:t>裁量幅度</w:t>
            </w:r>
          </w:p>
        </w:tc>
        <w:tc>
          <w:tcPr>
            <w:tcW w:w="5730" w:type="dxa"/>
            <w:tcBorders>
              <w:top w:val="nil"/>
              <w:left w:val="nil"/>
              <w:bottom w:val="single" w:color="auto" w:sz="4" w:space="0"/>
              <w:right w:val="single" w:color="auto" w:sz="8" w:space="0"/>
            </w:tcBorders>
            <w:vAlign w:val="center"/>
          </w:tcPr>
          <w:p w14:paraId="522CD90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3B66DC87">
        <w:tblPrEx>
          <w:tblCellMar>
            <w:top w:w="0" w:type="dxa"/>
            <w:left w:w="108" w:type="dxa"/>
            <w:bottom w:w="0" w:type="dxa"/>
            <w:right w:w="108" w:type="dxa"/>
          </w:tblCellMar>
        </w:tblPrEx>
        <w:trPr>
          <w:trHeight w:val="285" w:hRule="atLeast"/>
        </w:trPr>
        <w:tc>
          <w:tcPr>
            <w:tcW w:w="1035" w:type="dxa"/>
            <w:vMerge w:val="continue"/>
            <w:tcBorders>
              <w:top w:val="nil"/>
              <w:left w:val="single" w:color="auto" w:sz="8" w:space="0"/>
              <w:bottom w:val="single" w:color="auto" w:sz="4" w:space="0"/>
              <w:right w:val="single" w:color="auto" w:sz="4" w:space="0"/>
            </w:tcBorders>
            <w:vAlign w:val="center"/>
          </w:tcPr>
          <w:p w14:paraId="57F3EC39">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77BCD74">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20E3E4A">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top w:val="nil"/>
              <w:left w:val="single" w:color="auto" w:sz="4" w:space="0"/>
              <w:bottom w:val="single" w:color="auto" w:sz="4" w:space="0"/>
              <w:right w:val="single" w:color="auto" w:sz="4" w:space="0"/>
            </w:tcBorders>
            <w:vAlign w:val="center"/>
          </w:tcPr>
          <w:p w14:paraId="639F0679">
            <w:pPr>
              <w:spacing w:line="320" w:lineRule="exact"/>
              <w:jc w:val="left"/>
              <w:rPr>
                <w:color w:val="000000"/>
                <w:kern w:val="0"/>
                <w:sz w:val="18"/>
                <w:szCs w:val="18"/>
              </w:rPr>
            </w:pPr>
          </w:p>
        </w:tc>
        <w:tc>
          <w:tcPr>
            <w:tcW w:w="5730" w:type="dxa"/>
            <w:tcBorders>
              <w:top w:val="nil"/>
              <w:left w:val="nil"/>
              <w:bottom w:val="single" w:color="auto" w:sz="4" w:space="0"/>
              <w:right w:val="single" w:color="auto" w:sz="8" w:space="0"/>
            </w:tcBorders>
            <w:vAlign w:val="center"/>
          </w:tcPr>
          <w:p w14:paraId="45F70A2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14:paraId="62A157CA">
        <w:tblPrEx>
          <w:tblCellMar>
            <w:top w:w="0" w:type="dxa"/>
            <w:left w:w="108" w:type="dxa"/>
            <w:bottom w:w="0" w:type="dxa"/>
            <w:right w:w="108" w:type="dxa"/>
          </w:tblCellMar>
        </w:tblPrEx>
        <w:trPr>
          <w:trHeight w:val="285" w:hRule="atLeast"/>
        </w:trPr>
        <w:tc>
          <w:tcPr>
            <w:tcW w:w="1035" w:type="dxa"/>
            <w:vMerge w:val="continue"/>
            <w:tcBorders>
              <w:top w:val="nil"/>
              <w:left w:val="single" w:color="auto" w:sz="8" w:space="0"/>
              <w:bottom w:val="single" w:color="auto" w:sz="4" w:space="0"/>
              <w:right w:val="single" w:color="auto" w:sz="4" w:space="0"/>
            </w:tcBorders>
            <w:vAlign w:val="center"/>
          </w:tcPr>
          <w:p w14:paraId="40036021">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332011C2">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38FE9AA6">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continue"/>
            <w:tcBorders>
              <w:top w:val="nil"/>
              <w:left w:val="single" w:color="auto" w:sz="4" w:space="0"/>
              <w:bottom w:val="single" w:color="auto" w:sz="4" w:space="0"/>
              <w:right w:val="single" w:color="auto" w:sz="4" w:space="0"/>
            </w:tcBorders>
            <w:vAlign w:val="center"/>
          </w:tcPr>
          <w:p w14:paraId="24F0E173">
            <w:pPr>
              <w:spacing w:line="320" w:lineRule="exact"/>
              <w:jc w:val="left"/>
              <w:rPr>
                <w:color w:val="000000"/>
                <w:kern w:val="0"/>
                <w:sz w:val="18"/>
                <w:szCs w:val="18"/>
              </w:rPr>
            </w:pPr>
          </w:p>
        </w:tc>
        <w:tc>
          <w:tcPr>
            <w:tcW w:w="5730" w:type="dxa"/>
            <w:tcBorders>
              <w:top w:val="nil"/>
              <w:left w:val="nil"/>
              <w:bottom w:val="single" w:color="auto" w:sz="4" w:space="0"/>
              <w:right w:val="single" w:color="auto" w:sz="8" w:space="0"/>
            </w:tcBorders>
            <w:vAlign w:val="center"/>
          </w:tcPr>
          <w:p w14:paraId="0D28F402">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14:paraId="2698B5A6">
        <w:tblPrEx>
          <w:tblCellMar>
            <w:top w:w="0" w:type="dxa"/>
            <w:left w:w="108" w:type="dxa"/>
            <w:bottom w:w="0" w:type="dxa"/>
            <w:right w:w="108" w:type="dxa"/>
          </w:tblCellMar>
        </w:tblPrEx>
        <w:trPr>
          <w:trHeight w:val="285" w:hRule="atLeast"/>
        </w:trPr>
        <w:tc>
          <w:tcPr>
            <w:tcW w:w="1035" w:type="dxa"/>
            <w:vMerge w:val="continue"/>
            <w:tcBorders>
              <w:top w:val="nil"/>
              <w:left w:val="single" w:color="auto" w:sz="8" w:space="0"/>
              <w:bottom w:val="single" w:color="auto" w:sz="4" w:space="0"/>
              <w:right w:val="single" w:color="auto" w:sz="4" w:space="0"/>
            </w:tcBorders>
            <w:vAlign w:val="center"/>
          </w:tcPr>
          <w:p w14:paraId="188BAFB8">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0579C5B">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B3E6BBC">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top w:val="nil"/>
              <w:left w:val="single" w:color="auto" w:sz="4" w:space="0"/>
              <w:bottom w:val="single" w:color="auto" w:sz="4" w:space="0"/>
              <w:right w:val="single" w:color="auto" w:sz="4" w:space="0"/>
            </w:tcBorders>
            <w:vAlign w:val="center"/>
          </w:tcPr>
          <w:p w14:paraId="43CE02CE">
            <w:pPr>
              <w:spacing w:line="320" w:lineRule="exact"/>
              <w:jc w:val="left"/>
              <w:rPr>
                <w:color w:val="000000"/>
                <w:kern w:val="0"/>
                <w:sz w:val="18"/>
                <w:szCs w:val="18"/>
              </w:rPr>
            </w:pPr>
          </w:p>
        </w:tc>
        <w:tc>
          <w:tcPr>
            <w:tcW w:w="5730" w:type="dxa"/>
            <w:tcBorders>
              <w:top w:val="nil"/>
              <w:left w:val="nil"/>
              <w:bottom w:val="single" w:color="auto" w:sz="4" w:space="0"/>
              <w:right w:val="single" w:color="auto" w:sz="8" w:space="0"/>
            </w:tcBorders>
            <w:vAlign w:val="center"/>
          </w:tcPr>
          <w:p w14:paraId="614D909D">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bl>
    <w:p w14:paraId="3B61DD15"/>
    <w:p w14:paraId="3A24B235"/>
    <w:p w14:paraId="0D18CBBF"/>
    <w:p w14:paraId="2AC37742"/>
    <w:p w14:paraId="64EDA3B6"/>
    <w:p w14:paraId="4398B397"/>
    <w:p w14:paraId="54D50A72"/>
    <w:p w14:paraId="30D16B04"/>
    <w:p w14:paraId="25AE476F"/>
    <w:tbl>
      <w:tblPr>
        <w:tblStyle w:val="15"/>
        <w:tblW w:w="0" w:type="auto"/>
        <w:tblInd w:w="93" w:type="dxa"/>
        <w:tblLayout w:type="fixed"/>
        <w:tblCellMar>
          <w:top w:w="0" w:type="dxa"/>
          <w:left w:w="108" w:type="dxa"/>
          <w:bottom w:w="0" w:type="dxa"/>
          <w:right w:w="108" w:type="dxa"/>
        </w:tblCellMar>
      </w:tblPr>
      <w:tblGrid>
        <w:gridCol w:w="1035"/>
        <w:gridCol w:w="1540"/>
        <w:gridCol w:w="4600"/>
        <w:gridCol w:w="1120"/>
        <w:gridCol w:w="5730"/>
      </w:tblGrid>
      <w:tr w14:paraId="543C967F">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59E8D9DA">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color="auto" w:sz="8" w:space="0"/>
              <w:left w:val="nil"/>
              <w:bottom w:val="single" w:color="auto" w:sz="4" w:space="0"/>
              <w:right w:val="single" w:color="000000" w:sz="8" w:space="0"/>
            </w:tcBorders>
            <w:vAlign w:val="center"/>
          </w:tcPr>
          <w:p w14:paraId="4450698D">
            <w:pPr>
              <w:spacing w:line="320" w:lineRule="exact"/>
              <w:jc w:val="left"/>
              <w:rPr>
                <w:rFonts w:eastAsia="仿宋_GB2312"/>
                <w:b/>
                <w:bCs/>
                <w:color w:val="000000"/>
                <w:kern w:val="0"/>
                <w:sz w:val="18"/>
                <w:szCs w:val="18"/>
              </w:rPr>
            </w:pPr>
            <w:r>
              <w:rPr>
                <w:rFonts w:eastAsia="仿宋_GB2312"/>
                <w:b/>
                <w:bCs/>
                <w:color w:val="000000"/>
                <w:kern w:val="0"/>
                <w:sz w:val="18"/>
                <w:szCs w:val="18"/>
              </w:rPr>
              <w:t>320217500000</w:t>
            </w:r>
          </w:p>
        </w:tc>
      </w:tr>
      <w:tr w14:paraId="1A37A6CB">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77A10C48">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color="auto" w:sz="4" w:space="0"/>
              <w:left w:val="nil"/>
              <w:bottom w:val="single" w:color="auto" w:sz="4" w:space="0"/>
              <w:right w:val="single" w:color="000000" w:sz="8" w:space="0"/>
            </w:tcBorders>
            <w:vAlign w:val="center"/>
          </w:tcPr>
          <w:p w14:paraId="655D2C35">
            <w:pPr>
              <w:spacing w:line="320" w:lineRule="exact"/>
              <w:jc w:val="left"/>
              <w:rPr>
                <w:color w:val="000000"/>
                <w:kern w:val="0"/>
                <w:sz w:val="18"/>
                <w:szCs w:val="18"/>
              </w:rPr>
            </w:pPr>
            <w:r>
              <w:rPr>
                <w:rFonts w:hint="eastAsia"/>
                <w:color w:val="000000"/>
                <w:kern w:val="0"/>
                <w:sz w:val="18"/>
                <w:szCs w:val="18"/>
              </w:rPr>
              <w:t>对注册房地产估价师在估价报告中隐瞒或者歪曲事实的处罚</w:t>
            </w:r>
          </w:p>
        </w:tc>
      </w:tr>
      <w:tr w14:paraId="71E88133">
        <w:tblPrEx>
          <w:tblCellMar>
            <w:top w:w="0" w:type="dxa"/>
            <w:left w:w="108" w:type="dxa"/>
            <w:bottom w:w="0" w:type="dxa"/>
            <w:right w:w="108" w:type="dxa"/>
          </w:tblCellMar>
        </w:tblPrEx>
        <w:trPr>
          <w:trHeight w:val="1545" w:hRule="atLeast"/>
        </w:trPr>
        <w:tc>
          <w:tcPr>
            <w:tcW w:w="1035" w:type="dxa"/>
            <w:tcBorders>
              <w:top w:val="nil"/>
              <w:left w:val="single" w:color="auto" w:sz="8" w:space="0"/>
              <w:bottom w:val="single" w:color="auto" w:sz="4" w:space="0"/>
              <w:right w:val="single" w:color="auto" w:sz="4" w:space="0"/>
            </w:tcBorders>
            <w:vAlign w:val="center"/>
          </w:tcPr>
          <w:p w14:paraId="46EEE083">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color="auto" w:sz="4" w:space="0"/>
              <w:left w:val="nil"/>
              <w:bottom w:val="single" w:color="auto" w:sz="4" w:space="0"/>
              <w:right w:val="single" w:color="000000" w:sz="8" w:space="0"/>
            </w:tcBorders>
            <w:vAlign w:val="center"/>
          </w:tcPr>
          <w:p w14:paraId="579121F8">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14:paraId="75268BFF">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14:paraId="245E9C9C">
            <w:pPr>
              <w:spacing w:line="320" w:lineRule="exact"/>
              <w:jc w:val="left"/>
              <w:rPr>
                <w:color w:val="000000"/>
                <w:kern w:val="0"/>
                <w:sz w:val="18"/>
                <w:szCs w:val="18"/>
              </w:rPr>
            </w:pPr>
            <w:r>
              <w:rPr>
                <w:rFonts w:hint="eastAsia"/>
                <w:color w:val="000000"/>
                <w:kern w:val="0"/>
                <w:sz w:val="18"/>
                <w:szCs w:val="18"/>
              </w:rPr>
              <w:t>（五）在估价报告中隐瞒或者歪曲事实。</w:t>
            </w:r>
          </w:p>
          <w:p w14:paraId="550BA2CA">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14:paraId="0F9B34AA">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01132740">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color="auto" w:sz="4" w:space="0"/>
              <w:left w:val="nil"/>
              <w:bottom w:val="single" w:color="auto" w:sz="4" w:space="0"/>
              <w:right w:val="single" w:color="000000" w:sz="8" w:space="0"/>
            </w:tcBorders>
            <w:vAlign w:val="center"/>
          </w:tcPr>
          <w:p w14:paraId="606AFEAF">
            <w:pPr>
              <w:spacing w:line="320" w:lineRule="exact"/>
              <w:jc w:val="left"/>
              <w:rPr>
                <w:color w:val="000000"/>
                <w:kern w:val="0"/>
                <w:sz w:val="18"/>
                <w:szCs w:val="18"/>
              </w:rPr>
            </w:pPr>
            <w:r>
              <w:rPr>
                <w:rFonts w:hint="eastAsia"/>
                <w:color w:val="000000"/>
                <w:kern w:val="0"/>
                <w:sz w:val="18"/>
                <w:szCs w:val="18"/>
              </w:rPr>
              <w:t>警告，罚款</w:t>
            </w:r>
          </w:p>
        </w:tc>
      </w:tr>
      <w:tr w14:paraId="2F1B7B9B">
        <w:tblPrEx>
          <w:tblCellMar>
            <w:top w:w="0" w:type="dxa"/>
            <w:left w:w="108" w:type="dxa"/>
            <w:bottom w:w="0" w:type="dxa"/>
            <w:right w:w="108" w:type="dxa"/>
          </w:tblCellMar>
        </w:tblPrEx>
        <w:trPr>
          <w:trHeight w:val="285" w:hRule="atLeast"/>
        </w:trPr>
        <w:tc>
          <w:tcPr>
            <w:tcW w:w="14025" w:type="dxa"/>
            <w:gridSpan w:val="5"/>
            <w:tcBorders>
              <w:top w:val="single" w:color="auto" w:sz="4" w:space="0"/>
              <w:left w:val="single" w:color="auto" w:sz="8" w:space="0"/>
              <w:bottom w:val="single" w:color="auto" w:sz="4" w:space="0"/>
              <w:right w:val="single" w:color="000000" w:sz="8" w:space="0"/>
            </w:tcBorders>
            <w:vAlign w:val="center"/>
          </w:tcPr>
          <w:p w14:paraId="730836C1">
            <w:pPr>
              <w:spacing w:line="320" w:lineRule="exact"/>
              <w:jc w:val="center"/>
              <w:rPr>
                <w:color w:val="000000"/>
                <w:kern w:val="0"/>
                <w:sz w:val="18"/>
                <w:szCs w:val="18"/>
              </w:rPr>
            </w:pPr>
            <w:r>
              <w:rPr>
                <w:rFonts w:hint="eastAsia"/>
                <w:color w:val="000000"/>
                <w:kern w:val="0"/>
                <w:sz w:val="18"/>
                <w:szCs w:val="18"/>
              </w:rPr>
              <w:t>裁量基准</w:t>
            </w:r>
          </w:p>
        </w:tc>
      </w:tr>
      <w:tr w14:paraId="1CA9D378">
        <w:tblPrEx>
          <w:tblCellMar>
            <w:top w:w="0" w:type="dxa"/>
            <w:left w:w="108" w:type="dxa"/>
            <w:bottom w:w="0" w:type="dxa"/>
            <w:right w:w="108" w:type="dxa"/>
          </w:tblCellMar>
        </w:tblPrEx>
        <w:trPr>
          <w:trHeight w:val="285" w:hRule="atLeast"/>
        </w:trPr>
        <w:tc>
          <w:tcPr>
            <w:tcW w:w="1035" w:type="dxa"/>
            <w:vMerge w:val="restart"/>
            <w:tcBorders>
              <w:top w:val="nil"/>
              <w:left w:val="single" w:color="auto" w:sz="8" w:space="0"/>
              <w:bottom w:val="single" w:color="auto" w:sz="4" w:space="0"/>
              <w:right w:val="single" w:color="auto" w:sz="4" w:space="0"/>
            </w:tcBorders>
            <w:vAlign w:val="center"/>
          </w:tcPr>
          <w:p w14:paraId="67281F0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7DF7A0AD">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503E7B34">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single" w:color="auto" w:sz="4" w:space="0"/>
              <w:bottom w:val="single" w:color="auto" w:sz="4" w:space="0"/>
              <w:right w:val="single" w:color="auto" w:sz="4" w:space="0"/>
            </w:tcBorders>
            <w:vAlign w:val="center"/>
          </w:tcPr>
          <w:p w14:paraId="66037CB3">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color="auto" w:sz="4" w:space="0"/>
              <w:right w:val="single" w:color="auto" w:sz="8" w:space="0"/>
            </w:tcBorders>
            <w:vAlign w:val="center"/>
          </w:tcPr>
          <w:p w14:paraId="16BAAC2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145661C5">
        <w:tblPrEx>
          <w:tblCellMar>
            <w:top w:w="0" w:type="dxa"/>
            <w:left w:w="108" w:type="dxa"/>
            <w:bottom w:w="0" w:type="dxa"/>
            <w:right w:w="108" w:type="dxa"/>
          </w:tblCellMar>
        </w:tblPrEx>
        <w:trPr>
          <w:trHeight w:val="285" w:hRule="atLeast"/>
        </w:trPr>
        <w:tc>
          <w:tcPr>
            <w:tcW w:w="1035" w:type="dxa"/>
            <w:vMerge w:val="continue"/>
            <w:tcBorders>
              <w:top w:val="nil"/>
              <w:left w:val="single" w:color="auto" w:sz="8" w:space="0"/>
              <w:bottom w:val="single" w:color="auto" w:sz="4" w:space="0"/>
              <w:right w:val="single" w:color="auto" w:sz="4" w:space="0"/>
            </w:tcBorders>
            <w:vAlign w:val="center"/>
          </w:tcPr>
          <w:p w14:paraId="2C475C61">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18AD88AC">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27DDF980">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top w:val="nil"/>
              <w:left w:val="single" w:color="auto" w:sz="4" w:space="0"/>
              <w:bottom w:val="single" w:color="auto" w:sz="4" w:space="0"/>
              <w:right w:val="single" w:color="auto" w:sz="4" w:space="0"/>
            </w:tcBorders>
            <w:vAlign w:val="center"/>
          </w:tcPr>
          <w:p w14:paraId="70803B76">
            <w:pPr>
              <w:spacing w:line="320" w:lineRule="exact"/>
              <w:jc w:val="left"/>
              <w:rPr>
                <w:color w:val="000000"/>
                <w:kern w:val="0"/>
                <w:sz w:val="18"/>
                <w:szCs w:val="18"/>
              </w:rPr>
            </w:pPr>
          </w:p>
        </w:tc>
        <w:tc>
          <w:tcPr>
            <w:tcW w:w="5730" w:type="dxa"/>
            <w:tcBorders>
              <w:top w:val="nil"/>
              <w:left w:val="nil"/>
              <w:bottom w:val="single" w:color="auto" w:sz="4" w:space="0"/>
              <w:right w:val="single" w:color="auto" w:sz="8" w:space="0"/>
            </w:tcBorders>
            <w:vAlign w:val="center"/>
          </w:tcPr>
          <w:p w14:paraId="722677A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14:paraId="071CCBE9">
        <w:tblPrEx>
          <w:tblCellMar>
            <w:top w:w="0" w:type="dxa"/>
            <w:left w:w="108" w:type="dxa"/>
            <w:bottom w:w="0" w:type="dxa"/>
            <w:right w:w="108" w:type="dxa"/>
          </w:tblCellMar>
        </w:tblPrEx>
        <w:trPr>
          <w:trHeight w:val="285" w:hRule="atLeast"/>
        </w:trPr>
        <w:tc>
          <w:tcPr>
            <w:tcW w:w="1035" w:type="dxa"/>
            <w:vMerge w:val="continue"/>
            <w:tcBorders>
              <w:top w:val="nil"/>
              <w:left w:val="single" w:color="auto" w:sz="8" w:space="0"/>
              <w:bottom w:val="single" w:color="auto" w:sz="4" w:space="0"/>
              <w:right w:val="single" w:color="auto" w:sz="4" w:space="0"/>
            </w:tcBorders>
            <w:vAlign w:val="center"/>
          </w:tcPr>
          <w:p w14:paraId="5FE93A80">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230F4D1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0E5CCAB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continue"/>
            <w:tcBorders>
              <w:top w:val="nil"/>
              <w:left w:val="single" w:color="auto" w:sz="4" w:space="0"/>
              <w:bottom w:val="single" w:color="auto" w:sz="4" w:space="0"/>
              <w:right w:val="single" w:color="auto" w:sz="4" w:space="0"/>
            </w:tcBorders>
            <w:vAlign w:val="center"/>
          </w:tcPr>
          <w:p w14:paraId="70E02DD3">
            <w:pPr>
              <w:spacing w:line="320" w:lineRule="exact"/>
              <w:jc w:val="left"/>
              <w:rPr>
                <w:color w:val="000000"/>
                <w:kern w:val="0"/>
                <w:sz w:val="18"/>
                <w:szCs w:val="18"/>
              </w:rPr>
            </w:pPr>
          </w:p>
        </w:tc>
        <w:tc>
          <w:tcPr>
            <w:tcW w:w="5730" w:type="dxa"/>
            <w:tcBorders>
              <w:top w:val="nil"/>
              <w:left w:val="nil"/>
              <w:bottom w:val="single" w:color="auto" w:sz="4" w:space="0"/>
              <w:right w:val="single" w:color="auto" w:sz="8" w:space="0"/>
            </w:tcBorders>
            <w:vAlign w:val="center"/>
          </w:tcPr>
          <w:p w14:paraId="77FCC58A">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14:paraId="3C2ACEFA">
        <w:tblPrEx>
          <w:tblCellMar>
            <w:top w:w="0" w:type="dxa"/>
            <w:left w:w="108" w:type="dxa"/>
            <w:bottom w:w="0" w:type="dxa"/>
            <w:right w:w="108" w:type="dxa"/>
          </w:tblCellMar>
        </w:tblPrEx>
        <w:trPr>
          <w:trHeight w:val="285" w:hRule="atLeast"/>
        </w:trPr>
        <w:tc>
          <w:tcPr>
            <w:tcW w:w="1035" w:type="dxa"/>
            <w:vMerge w:val="continue"/>
            <w:tcBorders>
              <w:top w:val="nil"/>
              <w:left w:val="single" w:color="auto" w:sz="8" w:space="0"/>
              <w:bottom w:val="single" w:color="auto" w:sz="4" w:space="0"/>
              <w:right w:val="single" w:color="auto" w:sz="4" w:space="0"/>
            </w:tcBorders>
            <w:vAlign w:val="center"/>
          </w:tcPr>
          <w:p w14:paraId="26084492">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1B8EFD2D">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DE7E11E">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top w:val="nil"/>
              <w:left w:val="single" w:color="auto" w:sz="4" w:space="0"/>
              <w:bottom w:val="single" w:color="auto" w:sz="4" w:space="0"/>
              <w:right w:val="single" w:color="auto" w:sz="4" w:space="0"/>
            </w:tcBorders>
            <w:vAlign w:val="center"/>
          </w:tcPr>
          <w:p w14:paraId="76E0AA15">
            <w:pPr>
              <w:spacing w:line="320" w:lineRule="exact"/>
              <w:jc w:val="left"/>
              <w:rPr>
                <w:color w:val="000000"/>
                <w:kern w:val="0"/>
                <w:sz w:val="18"/>
                <w:szCs w:val="18"/>
              </w:rPr>
            </w:pPr>
          </w:p>
        </w:tc>
        <w:tc>
          <w:tcPr>
            <w:tcW w:w="5730" w:type="dxa"/>
            <w:tcBorders>
              <w:top w:val="nil"/>
              <w:left w:val="nil"/>
              <w:bottom w:val="single" w:color="auto" w:sz="4" w:space="0"/>
              <w:right w:val="single" w:color="auto" w:sz="8" w:space="0"/>
            </w:tcBorders>
            <w:vAlign w:val="center"/>
          </w:tcPr>
          <w:p w14:paraId="3CF15259">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bl>
    <w:p w14:paraId="201BB6B8"/>
    <w:p w14:paraId="583F7469"/>
    <w:p w14:paraId="052D217B"/>
    <w:p w14:paraId="68EE5D89"/>
    <w:p w14:paraId="0595F51D"/>
    <w:p w14:paraId="522D9096"/>
    <w:p w14:paraId="040367A9"/>
    <w:p w14:paraId="1DF7B759"/>
    <w:p w14:paraId="5270B46F"/>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4FA7FBAC">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767041D1">
            <w:pPr>
              <w:spacing w:line="240" w:lineRule="exact"/>
              <w:jc w:val="left"/>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3076103B">
            <w:pPr>
              <w:spacing w:line="240" w:lineRule="exact"/>
              <w:jc w:val="left"/>
              <w:rPr>
                <w:b/>
                <w:color w:val="000000"/>
                <w:kern w:val="0"/>
                <w:sz w:val="18"/>
                <w:szCs w:val="18"/>
              </w:rPr>
            </w:pPr>
            <w:r>
              <w:rPr>
                <w:b/>
                <w:color w:val="000000"/>
                <w:kern w:val="0"/>
                <w:sz w:val="18"/>
                <w:szCs w:val="18"/>
              </w:rPr>
              <w:t>320217506000</w:t>
            </w:r>
          </w:p>
        </w:tc>
      </w:tr>
      <w:tr w14:paraId="66A18F11">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8E7A413">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47B2050E">
            <w:pPr>
              <w:spacing w:line="240" w:lineRule="exact"/>
              <w:jc w:val="left"/>
              <w:rPr>
                <w:color w:val="000000"/>
                <w:kern w:val="0"/>
                <w:sz w:val="18"/>
                <w:szCs w:val="18"/>
              </w:rPr>
            </w:pPr>
            <w:r>
              <w:rPr>
                <w:rFonts w:hint="eastAsia"/>
                <w:color w:val="000000"/>
                <w:kern w:val="0"/>
                <w:sz w:val="18"/>
                <w:szCs w:val="18"/>
              </w:rPr>
              <w:t>对招标人向他人透露已获取招标文件的潜在投标人的名称、数量或者可能影响公平竞争的有关招标投标的其他情况的，或者泄露标底的处罚</w:t>
            </w:r>
          </w:p>
        </w:tc>
      </w:tr>
      <w:tr w14:paraId="259BEE28">
        <w:tblPrEx>
          <w:tblCellMar>
            <w:top w:w="0" w:type="dxa"/>
            <w:left w:w="108" w:type="dxa"/>
            <w:bottom w:w="0" w:type="dxa"/>
            <w:right w:w="108" w:type="dxa"/>
          </w:tblCellMar>
        </w:tblPrEx>
        <w:trPr>
          <w:trHeight w:val="1530" w:hRule="atLeast"/>
        </w:trPr>
        <w:tc>
          <w:tcPr>
            <w:tcW w:w="1070" w:type="dxa"/>
            <w:tcBorders>
              <w:top w:val="nil"/>
              <w:left w:val="single" w:color="auto" w:sz="8" w:space="0"/>
              <w:bottom w:val="single" w:color="auto" w:sz="4" w:space="0"/>
              <w:right w:val="single" w:color="auto" w:sz="4" w:space="0"/>
            </w:tcBorders>
            <w:vAlign w:val="center"/>
          </w:tcPr>
          <w:p w14:paraId="02F70609">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51986567">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type="textWrapping"/>
            </w: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招标人不得向他人透露已获取招标文件的潜在投标人的名称、数量以及可能影响公平竞争的有关招标投标的其他情况。</w:t>
            </w:r>
            <w:r>
              <w:rPr>
                <w:color w:val="000000"/>
                <w:kern w:val="0"/>
                <w:sz w:val="18"/>
                <w:szCs w:val="18"/>
              </w:rPr>
              <w:br w:type="textWrapping"/>
            </w:r>
            <w:r>
              <w:rPr>
                <w:rFonts w:hint="eastAsia"/>
                <w:color w:val="000000"/>
                <w:kern w:val="0"/>
                <w:sz w:val="18"/>
                <w:szCs w:val="18"/>
              </w:rPr>
              <w:t>招标人设有标底的，标底必须保密。</w:t>
            </w:r>
            <w:r>
              <w:rPr>
                <w:color w:val="000000"/>
                <w:kern w:val="0"/>
                <w:sz w:val="18"/>
                <w:szCs w:val="18"/>
              </w:rPr>
              <w:br w:type="textWrapping"/>
            </w:r>
            <w:r>
              <w:rPr>
                <w:rFonts w:hint="eastAsia"/>
                <w:color w:val="000000"/>
                <w:kern w:val="0"/>
                <w:sz w:val="18"/>
                <w:szCs w:val="18"/>
              </w:rPr>
              <w:t>第五十二条第一款　依法必须进行招标的项目的招标人向他人透露已获取招标文件的潜在投标人的名称、数量或者可能影响公平竞争的有关招标投标的其他情况的，或者泄露标底的，给予警告，可以并处一万元以上十万元以下的罚款；对单位直接负责的主管人员和其他直接责任人员依法给予处分；构成犯罪的，依法追究刑事责任。</w:t>
            </w:r>
          </w:p>
        </w:tc>
      </w:tr>
      <w:tr w14:paraId="440B1CD0">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1C10512">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71979944">
            <w:pPr>
              <w:spacing w:line="240" w:lineRule="exact"/>
              <w:jc w:val="left"/>
              <w:rPr>
                <w:color w:val="000000"/>
                <w:kern w:val="0"/>
                <w:sz w:val="18"/>
                <w:szCs w:val="18"/>
              </w:rPr>
            </w:pPr>
            <w:r>
              <w:rPr>
                <w:rFonts w:hint="eastAsia"/>
                <w:color w:val="000000"/>
                <w:kern w:val="0"/>
                <w:sz w:val="18"/>
                <w:szCs w:val="18"/>
              </w:rPr>
              <w:t>警告，罚款</w:t>
            </w:r>
          </w:p>
        </w:tc>
      </w:tr>
      <w:tr w14:paraId="51965F27">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6E886AA0">
            <w:pPr>
              <w:jc w:val="center"/>
              <w:rPr>
                <w:color w:val="000000"/>
              </w:rPr>
            </w:pPr>
            <w:r>
              <w:rPr>
                <w:rFonts w:hint="eastAsia"/>
                <w:color w:val="000000"/>
              </w:rPr>
              <w:t>裁量基准</w:t>
            </w:r>
          </w:p>
        </w:tc>
      </w:tr>
      <w:tr w14:paraId="32FA6539">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3C2AB5FC">
            <w:pPr>
              <w:spacing w:line="240" w:lineRule="exact"/>
              <w:jc w:val="left"/>
              <w:rPr>
                <w:color w:val="000000"/>
                <w:kern w:val="0"/>
                <w:sz w:val="18"/>
                <w:szCs w:val="18"/>
              </w:rPr>
            </w:pPr>
          </w:p>
          <w:p w14:paraId="574826FD">
            <w:pPr>
              <w:spacing w:line="24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0D4D85A">
            <w:pPr>
              <w:spacing w:line="240" w:lineRule="exact"/>
              <w:jc w:val="left"/>
              <w:rPr>
                <w:color w:val="000000"/>
                <w:kern w:val="0"/>
                <w:sz w:val="18"/>
                <w:szCs w:val="18"/>
              </w:rPr>
            </w:pPr>
            <w:r>
              <w:rPr>
                <w:rFonts w:hint="eastAsia"/>
                <w:color w:val="000000"/>
                <w:kern w:val="0"/>
                <w:sz w:val="18"/>
                <w:szCs w:val="18"/>
              </w:rPr>
              <w:t>泄露情况或标底，未对中标结果造成实质性影响，积极配合调查的</w:t>
            </w:r>
          </w:p>
        </w:tc>
        <w:tc>
          <w:tcPr>
            <w:tcW w:w="1106" w:type="dxa"/>
            <w:vMerge w:val="restart"/>
            <w:tcBorders>
              <w:top w:val="nil"/>
              <w:left w:val="single" w:color="auto" w:sz="4" w:space="0"/>
              <w:bottom w:val="single" w:color="auto" w:sz="4" w:space="0"/>
              <w:right w:val="single" w:color="auto" w:sz="4" w:space="0"/>
            </w:tcBorders>
            <w:vAlign w:val="center"/>
          </w:tcPr>
          <w:p w14:paraId="23D72772">
            <w:pPr>
              <w:spacing w:line="240" w:lineRule="exact"/>
              <w:jc w:val="left"/>
              <w:rPr>
                <w:color w:val="000000"/>
                <w:kern w:val="0"/>
                <w:sz w:val="18"/>
                <w:szCs w:val="18"/>
              </w:rPr>
            </w:pPr>
            <w:r>
              <w:rPr>
                <w:rFonts w:hint="eastAsia"/>
                <w:color w:val="000000"/>
                <w:kern w:val="0"/>
                <w:sz w:val="18"/>
                <w:szCs w:val="18"/>
              </w:rPr>
              <w:t>裁量幅度</w:t>
            </w:r>
          </w:p>
        </w:tc>
        <w:tc>
          <w:tcPr>
            <w:tcW w:w="5714" w:type="dxa"/>
            <w:tcBorders>
              <w:top w:val="single" w:color="auto" w:sz="4" w:space="0"/>
              <w:left w:val="nil"/>
              <w:bottom w:val="single" w:color="auto" w:sz="4" w:space="0"/>
              <w:right w:val="single" w:color="auto" w:sz="4" w:space="0"/>
            </w:tcBorders>
            <w:vAlign w:val="center"/>
          </w:tcPr>
          <w:p w14:paraId="7C654A9A">
            <w:pPr>
              <w:spacing w:line="24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2274B201">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nil"/>
              <w:right w:val="single" w:color="auto" w:sz="4" w:space="0"/>
            </w:tcBorders>
            <w:vAlign w:val="center"/>
          </w:tcPr>
          <w:p w14:paraId="682CE12F">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BC26361">
            <w:pPr>
              <w:spacing w:line="240" w:lineRule="exact"/>
              <w:jc w:val="left"/>
              <w:rPr>
                <w:color w:val="000000"/>
                <w:kern w:val="0"/>
                <w:sz w:val="18"/>
                <w:szCs w:val="18"/>
              </w:rPr>
            </w:pPr>
            <w:r>
              <w:rPr>
                <w:rFonts w:hint="eastAsia"/>
                <w:color w:val="000000"/>
                <w:kern w:val="0"/>
                <w:sz w:val="18"/>
                <w:szCs w:val="18"/>
              </w:rPr>
              <w:t>泄露情况和标底，未对中标结果造成实质性影响的，拒不配合调查的</w:t>
            </w:r>
          </w:p>
        </w:tc>
        <w:tc>
          <w:tcPr>
            <w:tcW w:w="1106" w:type="dxa"/>
            <w:vMerge w:val="continue"/>
            <w:tcBorders>
              <w:top w:val="nil"/>
              <w:left w:val="single" w:color="auto" w:sz="4" w:space="0"/>
              <w:bottom w:val="nil"/>
              <w:right w:val="single" w:color="auto" w:sz="4" w:space="0"/>
            </w:tcBorders>
            <w:vAlign w:val="center"/>
          </w:tcPr>
          <w:p w14:paraId="2C734F77">
            <w:pPr>
              <w:spacing w:line="240" w:lineRule="exact"/>
              <w:jc w:val="left"/>
              <w:rPr>
                <w:color w:val="000000"/>
                <w:kern w:val="0"/>
                <w:sz w:val="18"/>
                <w:szCs w:val="18"/>
              </w:rPr>
            </w:pPr>
          </w:p>
        </w:tc>
        <w:tc>
          <w:tcPr>
            <w:tcW w:w="5714" w:type="dxa"/>
            <w:tcBorders>
              <w:top w:val="single" w:color="auto" w:sz="4" w:space="0"/>
              <w:left w:val="nil"/>
              <w:bottom w:val="single" w:color="auto" w:sz="4" w:space="0"/>
              <w:right w:val="single" w:color="auto" w:sz="4" w:space="0"/>
            </w:tcBorders>
            <w:vAlign w:val="center"/>
          </w:tcPr>
          <w:p w14:paraId="2D4E3FFD">
            <w:pPr>
              <w:spacing w:line="24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0721088C">
        <w:tblPrEx>
          <w:tblCellMar>
            <w:top w:w="0" w:type="dxa"/>
            <w:left w:w="108" w:type="dxa"/>
            <w:bottom w:w="0" w:type="dxa"/>
            <w:right w:w="108" w:type="dxa"/>
          </w:tblCellMar>
        </w:tblPrEx>
        <w:trPr>
          <w:trHeight w:val="285" w:hRule="atLeast"/>
        </w:trPr>
        <w:tc>
          <w:tcPr>
            <w:tcW w:w="1070" w:type="dxa"/>
            <w:tcBorders>
              <w:top w:val="nil"/>
              <w:left w:val="single" w:color="auto" w:sz="8" w:space="0"/>
              <w:bottom w:val="nil"/>
              <w:right w:val="single" w:color="auto" w:sz="4" w:space="0"/>
            </w:tcBorders>
            <w:vAlign w:val="center"/>
          </w:tcPr>
          <w:p w14:paraId="37E97E33">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5EF08A1">
            <w:pPr>
              <w:spacing w:line="240" w:lineRule="exact"/>
              <w:jc w:val="left"/>
              <w:rPr>
                <w:color w:val="000000"/>
                <w:kern w:val="0"/>
                <w:sz w:val="18"/>
                <w:szCs w:val="18"/>
              </w:rPr>
            </w:pPr>
            <w:r>
              <w:rPr>
                <w:rFonts w:hint="eastAsia"/>
                <w:color w:val="000000"/>
                <w:kern w:val="0"/>
                <w:sz w:val="18"/>
                <w:szCs w:val="18"/>
              </w:rPr>
              <w:t>泄露情况或标底，对中标结果造成实质性影响的，积极配合调查的</w:t>
            </w:r>
          </w:p>
        </w:tc>
        <w:tc>
          <w:tcPr>
            <w:tcW w:w="1106" w:type="dxa"/>
            <w:tcBorders>
              <w:top w:val="nil"/>
              <w:left w:val="single" w:color="auto" w:sz="4" w:space="0"/>
              <w:bottom w:val="nil"/>
              <w:right w:val="single" w:color="auto" w:sz="4" w:space="0"/>
            </w:tcBorders>
            <w:vAlign w:val="center"/>
          </w:tcPr>
          <w:p w14:paraId="21B6B775">
            <w:pPr>
              <w:spacing w:line="240" w:lineRule="exact"/>
              <w:jc w:val="left"/>
              <w:rPr>
                <w:color w:val="000000"/>
                <w:kern w:val="0"/>
                <w:sz w:val="18"/>
                <w:szCs w:val="18"/>
              </w:rPr>
            </w:pPr>
          </w:p>
        </w:tc>
        <w:tc>
          <w:tcPr>
            <w:tcW w:w="5714" w:type="dxa"/>
            <w:tcBorders>
              <w:top w:val="single" w:color="auto" w:sz="4" w:space="0"/>
              <w:left w:val="nil"/>
              <w:bottom w:val="single" w:color="auto" w:sz="4" w:space="0"/>
              <w:right w:val="single" w:color="auto" w:sz="4" w:space="0"/>
            </w:tcBorders>
            <w:vAlign w:val="center"/>
          </w:tcPr>
          <w:p w14:paraId="617EEFF7">
            <w:pPr>
              <w:spacing w:line="24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0A0FE592">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62FA93F">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986F527">
            <w:pPr>
              <w:spacing w:line="240" w:lineRule="exact"/>
              <w:jc w:val="left"/>
              <w:rPr>
                <w:color w:val="000000"/>
                <w:kern w:val="0"/>
                <w:sz w:val="18"/>
                <w:szCs w:val="18"/>
              </w:rPr>
            </w:pPr>
            <w:r>
              <w:rPr>
                <w:rFonts w:hint="eastAsia"/>
                <w:color w:val="000000"/>
                <w:kern w:val="0"/>
                <w:sz w:val="18"/>
                <w:szCs w:val="18"/>
              </w:rPr>
              <w:t>泄露情况和标底，对中标结果造成实质性影响的，拒不配合调查的</w:t>
            </w:r>
          </w:p>
        </w:tc>
        <w:tc>
          <w:tcPr>
            <w:tcW w:w="1106" w:type="dxa"/>
            <w:tcBorders>
              <w:top w:val="nil"/>
              <w:left w:val="single" w:color="auto" w:sz="4" w:space="0"/>
              <w:bottom w:val="single" w:color="auto" w:sz="4" w:space="0"/>
              <w:right w:val="single" w:color="auto" w:sz="4" w:space="0"/>
            </w:tcBorders>
            <w:vAlign w:val="center"/>
          </w:tcPr>
          <w:p w14:paraId="2A36A3AD">
            <w:pPr>
              <w:spacing w:line="240" w:lineRule="exact"/>
              <w:jc w:val="left"/>
              <w:rPr>
                <w:color w:val="000000"/>
                <w:kern w:val="0"/>
                <w:sz w:val="18"/>
                <w:szCs w:val="18"/>
              </w:rPr>
            </w:pPr>
          </w:p>
        </w:tc>
        <w:tc>
          <w:tcPr>
            <w:tcW w:w="5714" w:type="dxa"/>
            <w:tcBorders>
              <w:top w:val="single" w:color="auto" w:sz="4" w:space="0"/>
              <w:left w:val="nil"/>
              <w:bottom w:val="single" w:color="auto" w:sz="4" w:space="0"/>
              <w:right w:val="single" w:color="auto" w:sz="4" w:space="0"/>
            </w:tcBorders>
            <w:vAlign w:val="center"/>
          </w:tcPr>
          <w:p w14:paraId="5BDAB659">
            <w:pPr>
              <w:spacing w:line="24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215E52DF"/>
    <w:p w14:paraId="6E230C89"/>
    <w:p w14:paraId="55FD6F24"/>
    <w:p w14:paraId="71506D62"/>
    <w:p w14:paraId="10F92E48"/>
    <w:p w14:paraId="6A8E0224"/>
    <w:p w14:paraId="2875A815"/>
    <w:p w14:paraId="5476A7AA"/>
    <w:p w14:paraId="34A7CE60"/>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84"/>
        <w:gridCol w:w="12"/>
      </w:tblGrid>
      <w:tr w14:paraId="077BCE3C">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4A33E276">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color="auto" w:sz="8" w:space="0"/>
              <w:left w:val="nil"/>
              <w:bottom w:val="single" w:color="auto" w:sz="4" w:space="0"/>
              <w:right w:val="single" w:color="000000" w:sz="8" w:space="0"/>
            </w:tcBorders>
            <w:vAlign w:val="center"/>
          </w:tcPr>
          <w:p w14:paraId="65C28B8C">
            <w:pPr>
              <w:spacing w:line="320" w:lineRule="exact"/>
              <w:jc w:val="left"/>
              <w:rPr>
                <w:rFonts w:eastAsia="仿宋_GB2312"/>
                <w:b/>
                <w:bCs/>
                <w:color w:val="000000"/>
                <w:kern w:val="0"/>
                <w:sz w:val="18"/>
                <w:szCs w:val="18"/>
              </w:rPr>
            </w:pPr>
            <w:r>
              <w:rPr>
                <w:rFonts w:eastAsia="仿宋_GB2312"/>
                <w:b/>
                <w:bCs/>
                <w:color w:val="000000"/>
                <w:kern w:val="0"/>
                <w:sz w:val="18"/>
                <w:szCs w:val="18"/>
              </w:rPr>
              <w:t>320217507000</w:t>
            </w:r>
          </w:p>
        </w:tc>
      </w:tr>
      <w:tr w14:paraId="61CBE631">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54B670F0">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color="auto" w:sz="4" w:space="0"/>
              <w:left w:val="nil"/>
              <w:bottom w:val="single" w:color="auto" w:sz="4" w:space="0"/>
              <w:right w:val="single" w:color="000000" w:sz="8" w:space="0"/>
            </w:tcBorders>
            <w:vAlign w:val="center"/>
          </w:tcPr>
          <w:p w14:paraId="55647331">
            <w:pPr>
              <w:spacing w:line="320" w:lineRule="exact"/>
              <w:jc w:val="left"/>
              <w:rPr>
                <w:color w:val="000000"/>
                <w:kern w:val="0"/>
                <w:sz w:val="18"/>
                <w:szCs w:val="18"/>
              </w:rPr>
            </w:pPr>
            <w:r>
              <w:rPr>
                <w:rFonts w:hint="eastAsia"/>
                <w:color w:val="000000"/>
                <w:kern w:val="0"/>
                <w:sz w:val="18"/>
                <w:szCs w:val="18"/>
              </w:rPr>
              <w:t>对燃气燃烧器具生产单位、销售单位未设立售后服务站点或者未配备经考核合格的燃气燃烧器具安装、维修人员的处罚</w:t>
            </w:r>
          </w:p>
        </w:tc>
      </w:tr>
      <w:tr w14:paraId="45EC3FED">
        <w:tblPrEx>
          <w:tblCellMar>
            <w:top w:w="0" w:type="dxa"/>
            <w:left w:w="108" w:type="dxa"/>
            <w:bottom w:w="0" w:type="dxa"/>
            <w:right w:w="108" w:type="dxa"/>
          </w:tblCellMar>
        </w:tblPrEx>
        <w:trPr>
          <w:trHeight w:val="1515" w:hRule="atLeast"/>
        </w:trPr>
        <w:tc>
          <w:tcPr>
            <w:tcW w:w="996" w:type="dxa"/>
            <w:gridSpan w:val="2"/>
            <w:tcBorders>
              <w:top w:val="nil"/>
              <w:left w:val="single" w:color="auto" w:sz="8" w:space="0"/>
              <w:bottom w:val="single" w:color="auto" w:sz="4" w:space="0"/>
              <w:right w:val="single" w:color="auto" w:sz="4" w:space="0"/>
            </w:tcBorders>
            <w:vAlign w:val="center"/>
          </w:tcPr>
          <w:p w14:paraId="2495628F">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color="auto" w:sz="4" w:space="0"/>
              <w:left w:val="nil"/>
              <w:bottom w:val="single" w:color="auto" w:sz="4" w:space="0"/>
              <w:right w:val="single" w:color="000000" w:sz="8" w:space="0"/>
            </w:tcBorders>
            <w:vAlign w:val="center"/>
          </w:tcPr>
          <w:p w14:paraId="156D07A4">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454222C8">
            <w:pPr>
              <w:spacing w:line="320" w:lineRule="exact"/>
              <w:jc w:val="left"/>
              <w:rPr>
                <w:color w:val="000000"/>
                <w:kern w:val="0"/>
                <w:sz w:val="18"/>
                <w:szCs w:val="18"/>
              </w:rPr>
            </w:pP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燃气燃烧器具生产单位、销售单位应当设立或者委托设立售后服务站点，配备经考核合格的燃气燃烧器具安装、维修人员，负责售后的安装、维修服务。</w:t>
            </w:r>
          </w:p>
          <w:p w14:paraId="3EF37E41">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14:paraId="5BB0892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（七）未设立售后服务站点或者未配备经考核合格的燃气燃烧器具安装、维修人员的。</w:t>
            </w:r>
          </w:p>
        </w:tc>
      </w:tr>
      <w:tr w14:paraId="3FB4DF6F">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64E140F7">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color="auto" w:sz="4" w:space="0"/>
              <w:left w:val="nil"/>
              <w:bottom w:val="single" w:color="auto" w:sz="4" w:space="0"/>
              <w:right w:val="single" w:color="000000" w:sz="8" w:space="0"/>
            </w:tcBorders>
            <w:vAlign w:val="center"/>
          </w:tcPr>
          <w:p w14:paraId="5046018B">
            <w:pPr>
              <w:spacing w:line="320" w:lineRule="exact"/>
              <w:jc w:val="left"/>
              <w:rPr>
                <w:color w:val="000000"/>
                <w:kern w:val="0"/>
                <w:sz w:val="18"/>
                <w:szCs w:val="18"/>
              </w:rPr>
            </w:pPr>
            <w:r>
              <w:rPr>
                <w:rFonts w:hint="eastAsia"/>
                <w:color w:val="000000"/>
                <w:kern w:val="0"/>
                <w:sz w:val="18"/>
                <w:szCs w:val="18"/>
              </w:rPr>
              <w:t>罚款</w:t>
            </w:r>
          </w:p>
        </w:tc>
      </w:tr>
      <w:tr w14:paraId="322135D3">
        <w:tblPrEx>
          <w:tblCellMar>
            <w:top w:w="0" w:type="dxa"/>
            <w:left w:w="108" w:type="dxa"/>
            <w:bottom w:w="0" w:type="dxa"/>
            <w:right w:w="108" w:type="dxa"/>
          </w:tblCellMar>
        </w:tblPrEx>
        <w:trPr>
          <w:trHeight w:val="285" w:hRule="atLeast"/>
        </w:trPr>
        <w:tc>
          <w:tcPr>
            <w:tcW w:w="14016" w:type="dxa"/>
            <w:gridSpan w:val="6"/>
            <w:tcBorders>
              <w:top w:val="single" w:color="auto" w:sz="4" w:space="0"/>
              <w:left w:val="single" w:color="auto" w:sz="8" w:space="0"/>
              <w:bottom w:val="single" w:color="auto" w:sz="4" w:space="0"/>
              <w:right w:val="single" w:color="000000" w:sz="8" w:space="0"/>
            </w:tcBorders>
            <w:vAlign w:val="center"/>
          </w:tcPr>
          <w:p w14:paraId="08163D2B">
            <w:pPr>
              <w:spacing w:line="320" w:lineRule="exact"/>
              <w:jc w:val="center"/>
              <w:rPr>
                <w:color w:val="000000"/>
                <w:kern w:val="0"/>
                <w:sz w:val="18"/>
                <w:szCs w:val="18"/>
              </w:rPr>
            </w:pPr>
            <w:r>
              <w:rPr>
                <w:rFonts w:hint="eastAsia"/>
                <w:color w:val="000000"/>
                <w:kern w:val="0"/>
                <w:sz w:val="18"/>
                <w:szCs w:val="18"/>
              </w:rPr>
              <w:t>裁量基准</w:t>
            </w:r>
          </w:p>
        </w:tc>
      </w:tr>
      <w:tr w14:paraId="0474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5" w:hRule="atLeast"/>
        </w:trPr>
        <w:tc>
          <w:tcPr>
            <w:tcW w:w="980" w:type="dxa"/>
            <w:vMerge w:val="restart"/>
            <w:vAlign w:val="center"/>
          </w:tcPr>
          <w:p w14:paraId="5B79B87D">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4230049A">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14:paraId="460D0344">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14:paraId="30BA7C91">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14:paraId="3C91415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14:paraId="36E3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7FCF224D">
            <w:pPr>
              <w:spacing w:line="320" w:lineRule="exact"/>
              <w:jc w:val="center"/>
              <w:rPr>
                <w:color w:val="000000"/>
                <w:kern w:val="0"/>
                <w:sz w:val="18"/>
                <w:szCs w:val="18"/>
              </w:rPr>
            </w:pPr>
          </w:p>
        </w:tc>
        <w:tc>
          <w:tcPr>
            <w:tcW w:w="6140" w:type="dxa"/>
            <w:gridSpan w:val="2"/>
            <w:vAlign w:val="center"/>
          </w:tcPr>
          <w:p w14:paraId="515B97FF">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continue"/>
            <w:vAlign w:val="center"/>
          </w:tcPr>
          <w:p w14:paraId="4020EE5C">
            <w:pPr>
              <w:spacing w:line="320" w:lineRule="exact"/>
              <w:jc w:val="center"/>
              <w:rPr>
                <w:color w:val="000000"/>
                <w:kern w:val="0"/>
                <w:sz w:val="18"/>
                <w:szCs w:val="18"/>
              </w:rPr>
            </w:pPr>
          </w:p>
        </w:tc>
        <w:tc>
          <w:tcPr>
            <w:tcW w:w="5884" w:type="dxa"/>
            <w:vAlign w:val="center"/>
          </w:tcPr>
          <w:p w14:paraId="33C3388B">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14:paraId="6032C6D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0597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4D6E05B5">
            <w:pPr>
              <w:spacing w:line="320" w:lineRule="exact"/>
              <w:jc w:val="center"/>
              <w:rPr>
                <w:color w:val="000000"/>
                <w:kern w:val="0"/>
                <w:sz w:val="18"/>
                <w:szCs w:val="18"/>
              </w:rPr>
            </w:pPr>
          </w:p>
        </w:tc>
        <w:tc>
          <w:tcPr>
            <w:tcW w:w="6140" w:type="dxa"/>
            <w:gridSpan w:val="2"/>
            <w:vAlign w:val="center"/>
          </w:tcPr>
          <w:p w14:paraId="25809497">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continue"/>
            <w:vAlign w:val="center"/>
          </w:tcPr>
          <w:p w14:paraId="0BCAD66B">
            <w:pPr>
              <w:spacing w:line="320" w:lineRule="exact"/>
              <w:jc w:val="center"/>
              <w:rPr>
                <w:color w:val="000000"/>
                <w:kern w:val="0"/>
                <w:sz w:val="18"/>
                <w:szCs w:val="18"/>
              </w:rPr>
            </w:pPr>
          </w:p>
        </w:tc>
        <w:tc>
          <w:tcPr>
            <w:tcW w:w="5884" w:type="dxa"/>
            <w:vAlign w:val="center"/>
          </w:tcPr>
          <w:p w14:paraId="38FACDAC">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14:paraId="14DBC22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67978B1C"/>
    <w:p w14:paraId="6045B465"/>
    <w:p w14:paraId="5A6A352B"/>
    <w:p w14:paraId="18247037"/>
    <w:p w14:paraId="32C43E25"/>
    <w:p w14:paraId="407CC043"/>
    <w:p w14:paraId="78AD7624"/>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84"/>
        <w:gridCol w:w="12"/>
      </w:tblGrid>
      <w:tr w14:paraId="7A81E985">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4E1CE03F">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color="auto" w:sz="8" w:space="0"/>
              <w:left w:val="nil"/>
              <w:bottom w:val="single" w:color="auto" w:sz="4" w:space="0"/>
              <w:right w:val="single" w:color="000000" w:sz="8" w:space="0"/>
            </w:tcBorders>
            <w:vAlign w:val="center"/>
          </w:tcPr>
          <w:p w14:paraId="6982B5AF">
            <w:pPr>
              <w:spacing w:line="320" w:lineRule="exact"/>
              <w:jc w:val="left"/>
              <w:rPr>
                <w:rFonts w:eastAsia="仿宋_GB2312"/>
                <w:b/>
                <w:bCs/>
                <w:color w:val="000000"/>
                <w:kern w:val="0"/>
                <w:sz w:val="18"/>
                <w:szCs w:val="18"/>
              </w:rPr>
            </w:pPr>
            <w:r>
              <w:rPr>
                <w:rFonts w:eastAsia="仿宋_GB2312"/>
                <w:b/>
                <w:bCs/>
                <w:color w:val="000000"/>
                <w:kern w:val="0"/>
                <w:sz w:val="18"/>
                <w:szCs w:val="18"/>
              </w:rPr>
              <w:t>320217508000</w:t>
            </w:r>
          </w:p>
        </w:tc>
      </w:tr>
      <w:tr w14:paraId="67B62D67">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3D78C854">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color="auto" w:sz="4" w:space="0"/>
              <w:left w:val="nil"/>
              <w:bottom w:val="single" w:color="auto" w:sz="4" w:space="0"/>
              <w:right w:val="single" w:color="000000" w:sz="8" w:space="0"/>
            </w:tcBorders>
            <w:vAlign w:val="center"/>
          </w:tcPr>
          <w:p w14:paraId="0349C047">
            <w:pPr>
              <w:spacing w:line="320" w:lineRule="exact"/>
              <w:jc w:val="left"/>
              <w:rPr>
                <w:color w:val="000000"/>
                <w:kern w:val="0"/>
                <w:sz w:val="18"/>
                <w:szCs w:val="18"/>
              </w:rPr>
            </w:pPr>
            <w:r>
              <w:rPr>
                <w:rFonts w:hint="eastAsia"/>
                <w:color w:val="000000"/>
                <w:kern w:val="0"/>
                <w:sz w:val="18"/>
                <w:szCs w:val="18"/>
              </w:rPr>
              <w:t>对燃气燃烧器具生产单位、销售单位安装、维修燃气燃烧器具不符合国家有关标准的处罚</w:t>
            </w:r>
          </w:p>
        </w:tc>
      </w:tr>
      <w:tr w14:paraId="627E6482">
        <w:tblPrEx>
          <w:tblCellMar>
            <w:top w:w="0" w:type="dxa"/>
            <w:left w:w="108" w:type="dxa"/>
            <w:bottom w:w="0" w:type="dxa"/>
            <w:right w:w="108" w:type="dxa"/>
          </w:tblCellMar>
        </w:tblPrEx>
        <w:trPr>
          <w:trHeight w:val="1335" w:hRule="atLeast"/>
        </w:trPr>
        <w:tc>
          <w:tcPr>
            <w:tcW w:w="996" w:type="dxa"/>
            <w:gridSpan w:val="2"/>
            <w:tcBorders>
              <w:top w:val="nil"/>
              <w:left w:val="single" w:color="auto" w:sz="8" w:space="0"/>
              <w:bottom w:val="single" w:color="auto" w:sz="4" w:space="0"/>
              <w:right w:val="single" w:color="auto" w:sz="4" w:space="0"/>
            </w:tcBorders>
            <w:vAlign w:val="center"/>
          </w:tcPr>
          <w:p w14:paraId="0C223EB9">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color="auto" w:sz="4" w:space="0"/>
              <w:left w:val="nil"/>
              <w:bottom w:val="single" w:color="auto" w:sz="4" w:space="0"/>
              <w:right w:val="single" w:color="000000" w:sz="8" w:space="0"/>
            </w:tcBorders>
            <w:vAlign w:val="center"/>
          </w:tcPr>
          <w:p w14:paraId="0CC1E6A8">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0B5EA957">
            <w:pPr>
              <w:spacing w:line="320" w:lineRule="exact"/>
              <w:jc w:val="left"/>
              <w:rPr>
                <w:color w:val="000000"/>
                <w:kern w:val="0"/>
                <w:sz w:val="18"/>
                <w:szCs w:val="18"/>
              </w:rPr>
            </w:pPr>
            <w:r>
              <w:rPr>
                <w:rFonts w:hint="eastAsia"/>
                <w:color w:val="000000"/>
                <w:kern w:val="0"/>
                <w:sz w:val="18"/>
                <w:szCs w:val="18"/>
              </w:rPr>
              <w:t>第三十二条第二款</w:t>
            </w:r>
            <w:r>
              <w:rPr>
                <w:color w:val="000000"/>
                <w:kern w:val="0"/>
                <w:sz w:val="18"/>
                <w:szCs w:val="18"/>
              </w:rPr>
              <w:t xml:space="preserve">  </w:t>
            </w:r>
            <w:r>
              <w:rPr>
                <w:rFonts w:hint="eastAsia"/>
                <w:color w:val="000000"/>
                <w:kern w:val="0"/>
                <w:sz w:val="18"/>
                <w:szCs w:val="18"/>
              </w:rPr>
              <w:t>燃气燃烧器具的安装、维修，应当符合国家有关标准。</w:t>
            </w:r>
          </w:p>
          <w:p w14:paraId="4472FBCE">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14:paraId="1CCF617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（八）燃气燃烧器具的安装、维修不符合国家有关标准的。</w:t>
            </w:r>
          </w:p>
        </w:tc>
      </w:tr>
      <w:tr w14:paraId="694E9013">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5D0F4895">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color="auto" w:sz="4" w:space="0"/>
              <w:left w:val="nil"/>
              <w:bottom w:val="single" w:color="auto" w:sz="4" w:space="0"/>
              <w:right w:val="single" w:color="000000" w:sz="8" w:space="0"/>
            </w:tcBorders>
            <w:vAlign w:val="center"/>
          </w:tcPr>
          <w:p w14:paraId="353FE126">
            <w:pPr>
              <w:spacing w:line="320" w:lineRule="exact"/>
              <w:jc w:val="left"/>
              <w:rPr>
                <w:color w:val="000000"/>
                <w:kern w:val="0"/>
                <w:sz w:val="18"/>
                <w:szCs w:val="18"/>
              </w:rPr>
            </w:pPr>
            <w:r>
              <w:rPr>
                <w:rFonts w:hint="eastAsia"/>
                <w:color w:val="000000"/>
                <w:kern w:val="0"/>
                <w:sz w:val="18"/>
                <w:szCs w:val="18"/>
              </w:rPr>
              <w:t>罚款</w:t>
            </w:r>
          </w:p>
        </w:tc>
      </w:tr>
      <w:tr w14:paraId="36CB2B28">
        <w:tblPrEx>
          <w:tblCellMar>
            <w:top w:w="0" w:type="dxa"/>
            <w:left w:w="108" w:type="dxa"/>
            <w:bottom w:w="0" w:type="dxa"/>
            <w:right w:w="108" w:type="dxa"/>
          </w:tblCellMar>
        </w:tblPrEx>
        <w:trPr>
          <w:trHeight w:val="285" w:hRule="atLeast"/>
        </w:trPr>
        <w:tc>
          <w:tcPr>
            <w:tcW w:w="14016" w:type="dxa"/>
            <w:gridSpan w:val="6"/>
            <w:tcBorders>
              <w:top w:val="single" w:color="auto" w:sz="4" w:space="0"/>
              <w:left w:val="single" w:color="auto" w:sz="8" w:space="0"/>
              <w:bottom w:val="single" w:color="auto" w:sz="4" w:space="0"/>
              <w:right w:val="single" w:color="000000" w:sz="8" w:space="0"/>
            </w:tcBorders>
            <w:vAlign w:val="center"/>
          </w:tcPr>
          <w:p w14:paraId="0D2F2762">
            <w:pPr>
              <w:spacing w:line="320" w:lineRule="exact"/>
              <w:jc w:val="center"/>
              <w:rPr>
                <w:color w:val="000000"/>
                <w:kern w:val="0"/>
                <w:sz w:val="18"/>
                <w:szCs w:val="18"/>
              </w:rPr>
            </w:pPr>
            <w:r>
              <w:rPr>
                <w:rFonts w:hint="eastAsia"/>
                <w:color w:val="000000"/>
                <w:kern w:val="0"/>
                <w:sz w:val="18"/>
                <w:szCs w:val="18"/>
              </w:rPr>
              <w:t>裁量基准</w:t>
            </w:r>
          </w:p>
        </w:tc>
      </w:tr>
      <w:tr w14:paraId="2638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5" w:hRule="atLeast"/>
        </w:trPr>
        <w:tc>
          <w:tcPr>
            <w:tcW w:w="980" w:type="dxa"/>
            <w:vMerge w:val="restart"/>
            <w:vAlign w:val="center"/>
          </w:tcPr>
          <w:p w14:paraId="0B8E6F2F">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61C79D72">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14:paraId="2438307E">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14:paraId="1607648E">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14:paraId="07B0DB4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14:paraId="6C3A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5A2F9C6C">
            <w:pPr>
              <w:spacing w:line="320" w:lineRule="exact"/>
              <w:jc w:val="center"/>
              <w:rPr>
                <w:color w:val="000000"/>
                <w:kern w:val="0"/>
                <w:sz w:val="18"/>
                <w:szCs w:val="18"/>
              </w:rPr>
            </w:pPr>
          </w:p>
        </w:tc>
        <w:tc>
          <w:tcPr>
            <w:tcW w:w="6140" w:type="dxa"/>
            <w:gridSpan w:val="2"/>
            <w:vAlign w:val="center"/>
          </w:tcPr>
          <w:p w14:paraId="569690A0">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continue"/>
            <w:vAlign w:val="center"/>
          </w:tcPr>
          <w:p w14:paraId="61FF8974">
            <w:pPr>
              <w:spacing w:line="320" w:lineRule="exact"/>
              <w:jc w:val="center"/>
              <w:rPr>
                <w:color w:val="000000"/>
                <w:kern w:val="0"/>
                <w:sz w:val="18"/>
                <w:szCs w:val="18"/>
              </w:rPr>
            </w:pPr>
          </w:p>
        </w:tc>
        <w:tc>
          <w:tcPr>
            <w:tcW w:w="5884" w:type="dxa"/>
            <w:vAlign w:val="center"/>
          </w:tcPr>
          <w:p w14:paraId="185F0A0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14:paraId="04D75C5C">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3C1C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7A631ABB">
            <w:pPr>
              <w:spacing w:line="320" w:lineRule="exact"/>
              <w:jc w:val="center"/>
              <w:rPr>
                <w:color w:val="000000"/>
                <w:kern w:val="0"/>
                <w:sz w:val="18"/>
                <w:szCs w:val="18"/>
              </w:rPr>
            </w:pPr>
          </w:p>
        </w:tc>
        <w:tc>
          <w:tcPr>
            <w:tcW w:w="6140" w:type="dxa"/>
            <w:gridSpan w:val="2"/>
            <w:vAlign w:val="center"/>
          </w:tcPr>
          <w:p w14:paraId="27AB9B46">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continue"/>
            <w:vAlign w:val="center"/>
          </w:tcPr>
          <w:p w14:paraId="49826B21">
            <w:pPr>
              <w:spacing w:line="320" w:lineRule="exact"/>
              <w:jc w:val="center"/>
              <w:rPr>
                <w:color w:val="000000"/>
                <w:kern w:val="0"/>
                <w:sz w:val="18"/>
                <w:szCs w:val="18"/>
              </w:rPr>
            </w:pPr>
          </w:p>
        </w:tc>
        <w:tc>
          <w:tcPr>
            <w:tcW w:w="5884" w:type="dxa"/>
            <w:vAlign w:val="center"/>
          </w:tcPr>
          <w:p w14:paraId="550DFCB1">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14:paraId="5D806A1C">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7A8C6CA1"/>
    <w:p w14:paraId="1C333339"/>
    <w:p w14:paraId="072693F5"/>
    <w:p w14:paraId="1150949E"/>
    <w:p w14:paraId="59ECD429"/>
    <w:p w14:paraId="5559C2AE"/>
    <w:p w14:paraId="577B18FF"/>
    <w:p w14:paraId="0249C099"/>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6140"/>
        <w:gridCol w:w="1106"/>
        <w:gridCol w:w="5714"/>
      </w:tblGrid>
      <w:tr w14:paraId="1CEA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54DF0942">
            <w:pPr>
              <w:rPr>
                <w:color w:val="000000"/>
              </w:rPr>
            </w:pPr>
            <w:r>
              <w:rPr>
                <w:rFonts w:hint="eastAsia"/>
                <w:color w:val="000000"/>
              </w:rPr>
              <w:t>编号</w:t>
            </w:r>
          </w:p>
        </w:tc>
        <w:tc>
          <w:tcPr>
            <w:tcW w:w="12960" w:type="dxa"/>
            <w:gridSpan w:val="3"/>
            <w:vAlign w:val="center"/>
          </w:tcPr>
          <w:p w14:paraId="411B45DF">
            <w:pPr>
              <w:spacing w:line="240" w:lineRule="exact"/>
              <w:rPr>
                <w:b/>
                <w:bCs/>
                <w:color w:val="000000"/>
              </w:rPr>
            </w:pPr>
            <w:r>
              <w:rPr>
                <w:b/>
                <w:bCs/>
                <w:color w:val="000000"/>
              </w:rPr>
              <w:t>320217509000</w:t>
            </w:r>
            <w:r>
              <w:rPr>
                <w:rFonts w:hint="eastAsia"/>
                <w:b/>
                <w:bCs/>
                <w:color w:val="000000"/>
              </w:rPr>
              <w:t xml:space="preserve"> </w:t>
            </w:r>
          </w:p>
        </w:tc>
      </w:tr>
      <w:tr w14:paraId="3081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083179EB">
            <w:pPr>
              <w:rPr>
                <w:color w:val="000000"/>
              </w:rPr>
            </w:pPr>
            <w:r>
              <w:rPr>
                <w:rFonts w:hint="eastAsia"/>
                <w:color w:val="000000"/>
              </w:rPr>
              <w:t>行为名称</w:t>
            </w:r>
          </w:p>
        </w:tc>
        <w:tc>
          <w:tcPr>
            <w:tcW w:w="12960" w:type="dxa"/>
            <w:gridSpan w:val="3"/>
            <w:vAlign w:val="center"/>
          </w:tcPr>
          <w:p w14:paraId="6A4277A4">
            <w:pPr>
              <w:spacing w:line="240" w:lineRule="exact"/>
              <w:rPr>
                <w:color w:val="000000"/>
              </w:rPr>
            </w:pPr>
            <w:r>
              <w:rPr>
                <w:rFonts w:hint="eastAsia"/>
                <w:color w:val="000000"/>
              </w:rPr>
              <w:t>对依法必须进行招标的项目的招标人不按照规定发布资格预审公告或者招标公告构成规避招标的处罚</w:t>
            </w:r>
          </w:p>
        </w:tc>
      </w:tr>
      <w:tr w14:paraId="34D7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1070" w:type="dxa"/>
            <w:vAlign w:val="center"/>
          </w:tcPr>
          <w:p w14:paraId="0E37658E">
            <w:pPr>
              <w:rPr>
                <w:color w:val="000000"/>
              </w:rPr>
            </w:pPr>
            <w:r>
              <w:rPr>
                <w:rFonts w:hint="eastAsia"/>
                <w:color w:val="000000"/>
              </w:rPr>
              <w:t>法律依据</w:t>
            </w:r>
          </w:p>
        </w:tc>
        <w:tc>
          <w:tcPr>
            <w:tcW w:w="12960" w:type="dxa"/>
            <w:gridSpan w:val="3"/>
            <w:vAlign w:val="center"/>
          </w:tcPr>
          <w:p w14:paraId="306AF814">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【法律】《中华人民共和国招标投标法》</w:t>
            </w:r>
          </w:p>
          <w:p w14:paraId="23DC4C2E">
            <w:pPr>
              <w:spacing w:line="260" w:lineRule="exact"/>
              <w:jc w:val="left"/>
              <w:rPr>
                <w:color w:val="000000"/>
                <w:kern w:val="0"/>
                <w:sz w:val="18"/>
                <w:szCs w:val="18"/>
              </w:rPr>
            </w:pPr>
            <w:r>
              <w:rPr>
                <w:rFonts w:hint="eastAsia"/>
                <w:color w:val="000000"/>
                <w:kern w:val="0"/>
                <w:sz w:val="18"/>
                <w:szCs w:val="18"/>
              </w:rPr>
              <w:t xml:space="preserve">    第四十九条　违反本法规定，必须进行招标的项目而不招标的，将必须进行招标的项目化整为零或者以其他任何方式规避招标的，责令限期改正，可以处项目合同金额千分之五以上千分之十以下的罚款；对全部或者部分使用国有资金的项目，可以暂停项目执行或者暂停资金拨付；对单位直接负责的主管人员和其他直接责任人员依法给予处分。</w:t>
            </w:r>
          </w:p>
          <w:p w14:paraId="08A66DDB">
            <w:pPr>
              <w:spacing w:line="260" w:lineRule="exact"/>
              <w:jc w:val="left"/>
              <w:rPr>
                <w:color w:val="000000"/>
                <w:kern w:val="0"/>
                <w:sz w:val="18"/>
                <w:szCs w:val="18"/>
              </w:rPr>
            </w:pPr>
            <w:r>
              <w:rPr>
                <w:rFonts w:hint="eastAsia"/>
                <w:color w:val="000000"/>
                <w:kern w:val="0"/>
                <w:sz w:val="18"/>
                <w:szCs w:val="18"/>
              </w:rPr>
              <w:t>【行政法规】《中华人民共和国招标投标法实施条例》（国务院令第613号）</w:t>
            </w:r>
          </w:p>
          <w:p w14:paraId="78FC0666">
            <w:pPr>
              <w:spacing w:line="260" w:lineRule="exact"/>
              <w:jc w:val="left"/>
              <w:rPr>
                <w:color w:val="000000"/>
                <w:kern w:val="0"/>
                <w:sz w:val="18"/>
                <w:szCs w:val="18"/>
              </w:rPr>
            </w:pPr>
            <w:r>
              <w:rPr>
                <w:rFonts w:hint="eastAsia"/>
                <w:color w:val="000000"/>
                <w:kern w:val="0"/>
                <w:sz w:val="18"/>
                <w:szCs w:val="18"/>
              </w:rPr>
              <w:t xml:space="preserve">    第十五条　公开招标的项目，应当依照招标投标法和本条例的规定发布招标公告、编制招标文件。</w:t>
            </w:r>
          </w:p>
          <w:p w14:paraId="3F0DE2E2">
            <w:pPr>
              <w:spacing w:line="260" w:lineRule="exact"/>
              <w:jc w:val="left"/>
              <w:rPr>
                <w:color w:val="000000"/>
                <w:kern w:val="0"/>
                <w:sz w:val="18"/>
                <w:szCs w:val="18"/>
              </w:rPr>
            </w:pPr>
            <w:r>
              <w:rPr>
                <w:rFonts w:hint="eastAsia"/>
                <w:color w:val="000000"/>
                <w:kern w:val="0"/>
                <w:sz w:val="18"/>
                <w:szCs w:val="18"/>
              </w:rPr>
              <w:t xml:space="preserve">    招标人采用资格预审办法对潜在投标人进行资格审查的，应当发布资格预审公告、编制资格预审文件。</w:t>
            </w:r>
          </w:p>
          <w:p w14:paraId="70ACD3A3">
            <w:pPr>
              <w:spacing w:line="260" w:lineRule="exact"/>
              <w:jc w:val="left"/>
              <w:rPr>
                <w:color w:val="000000"/>
                <w:kern w:val="0"/>
                <w:sz w:val="18"/>
                <w:szCs w:val="18"/>
              </w:rPr>
            </w:pPr>
            <w:r>
              <w:rPr>
                <w:rFonts w:hint="eastAsia"/>
                <w:color w:val="000000"/>
                <w:kern w:val="0"/>
                <w:sz w:val="18"/>
                <w:szCs w:val="18"/>
              </w:rPr>
              <w:t xml:space="preserve">    依法必须进行招标的项目的资格预审公告和招标公告，应当在国务院发展改革部门依法指定的媒介发布。在不同媒介发布的同一招标项目的资格预审公告或者招标公告的内容应当一致。</w:t>
            </w:r>
          </w:p>
          <w:p w14:paraId="2597B087">
            <w:pPr>
              <w:spacing w:line="260" w:lineRule="exact"/>
              <w:jc w:val="left"/>
              <w:rPr>
                <w:color w:val="000000"/>
                <w:kern w:val="0"/>
                <w:sz w:val="18"/>
                <w:szCs w:val="18"/>
              </w:rPr>
            </w:pPr>
            <w:r>
              <w:rPr>
                <w:rFonts w:hint="eastAsia"/>
                <w:color w:val="000000"/>
                <w:kern w:val="0"/>
                <w:sz w:val="18"/>
                <w:szCs w:val="18"/>
              </w:rPr>
              <w:t xml:space="preserve">    第六十三条第二款　依法必须进行招标的项目的招标人不按照规定发布资格预审公告或者招标公告，构成规避招标的，依照招标投标法第四十九条的规定处罚。</w:t>
            </w:r>
          </w:p>
          <w:p w14:paraId="02F1EF6E">
            <w:pPr>
              <w:spacing w:line="260" w:lineRule="exact"/>
              <w:jc w:val="left"/>
              <w:rPr>
                <w:color w:val="000000"/>
                <w:kern w:val="0"/>
                <w:sz w:val="18"/>
                <w:szCs w:val="18"/>
              </w:rPr>
            </w:pPr>
            <w:r>
              <w:rPr>
                <w:rFonts w:hint="eastAsia"/>
                <w:color w:val="000000"/>
                <w:kern w:val="0"/>
                <w:sz w:val="18"/>
                <w:szCs w:val="18"/>
              </w:rPr>
              <w:t>【规章】《招标公告发布暂行办法》（国家发展计划委令第4号，2013年第23号令修正）</w:t>
            </w:r>
          </w:p>
          <w:p w14:paraId="7799084A">
            <w:pPr>
              <w:spacing w:line="260" w:lineRule="exact"/>
              <w:jc w:val="left"/>
              <w:rPr>
                <w:color w:val="000000"/>
                <w:kern w:val="0"/>
                <w:sz w:val="18"/>
                <w:szCs w:val="18"/>
              </w:rPr>
            </w:pPr>
            <w:r>
              <w:rPr>
                <w:rFonts w:hint="eastAsia"/>
                <w:color w:val="000000"/>
                <w:kern w:val="0"/>
                <w:sz w:val="18"/>
                <w:szCs w:val="18"/>
              </w:rPr>
              <w:t xml:space="preserve">    第十六条　招标人或其委托的招标代理机构有下列行为之一的，由国家改革委和有关行政监督部门视情节依照《中华人民共和国招标投标法》第四十九条、第五十一条的规定处罚：</w:t>
            </w:r>
          </w:p>
          <w:p w14:paraId="5B0AA047">
            <w:pPr>
              <w:spacing w:line="260" w:lineRule="exact"/>
              <w:jc w:val="left"/>
              <w:rPr>
                <w:color w:val="000000"/>
              </w:rPr>
            </w:pPr>
            <w:r>
              <w:rPr>
                <w:rFonts w:hint="eastAsia"/>
                <w:color w:val="000000"/>
                <w:kern w:val="0"/>
                <w:sz w:val="18"/>
                <w:szCs w:val="18"/>
              </w:rPr>
              <w:t xml:space="preserve">    (一)依法必须公开招标的项目不按照规定在指定媒介发布招标公告的；</w:t>
            </w:r>
          </w:p>
        </w:tc>
      </w:tr>
      <w:tr w14:paraId="3A7F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5F680DDB">
            <w:pPr>
              <w:rPr>
                <w:color w:val="000000"/>
              </w:rPr>
            </w:pPr>
            <w:r>
              <w:rPr>
                <w:rFonts w:hint="eastAsia"/>
                <w:color w:val="000000"/>
              </w:rPr>
              <w:t>行使内容</w:t>
            </w:r>
          </w:p>
        </w:tc>
        <w:tc>
          <w:tcPr>
            <w:tcW w:w="12960" w:type="dxa"/>
            <w:gridSpan w:val="3"/>
            <w:vAlign w:val="center"/>
          </w:tcPr>
          <w:p w14:paraId="5D6D34F3">
            <w:pPr>
              <w:spacing w:line="240" w:lineRule="exact"/>
              <w:rPr>
                <w:color w:val="000000"/>
              </w:rPr>
            </w:pPr>
            <w:r>
              <w:rPr>
                <w:rFonts w:hint="eastAsia"/>
                <w:color w:val="000000"/>
              </w:rPr>
              <w:t>罚款</w:t>
            </w:r>
          </w:p>
        </w:tc>
      </w:tr>
      <w:tr w14:paraId="42DE9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vAlign w:val="center"/>
          </w:tcPr>
          <w:p w14:paraId="1824CE73">
            <w:pPr>
              <w:spacing w:line="240" w:lineRule="exact"/>
              <w:jc w:val="center"/>
              <w:rPr>
                <w:color w:val="000000"/>
              </w:rPr>
            </w:pPr>
            <w:r>
              <w:rPr>
                <w:rFonts w:hint="eastAsia"/>
                <w:color w:val="000000"/>
              </w:rPr>
              <w:t>裁量基准</w:t>
            </w:r>
          </w:p>
        </w:tc>
      </w:tr>
      <w:tr w14:paraId="5576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70" w:type="dxa"/>
            <w:vMerge w:val="restart"/>
            <w:vAlign w:val="center"/>
          </w:tcPr>
          <w:p w14:paraId="19898C4D">
            <w:pPr>
              <w:rPr>
                <w:color w:val="000000"/>
              </w:rPr>
            </w:pPr>
            <w:r>
              <w:rPr>
                <w:rFonts w:hint="eastAsia"/>
                <w:color w:val="000000"/>
              </w:rPr>
              <w:t>情形描述</w:t>
            </w:r>
          </w:p>
        </w:tc>
        <w:tc>
          <w:tcPr>
            <w:tcW w:w="6140" w:type="dxa"/>
            <w:vAlign w:val="center"/>
          </w:tcPr>
          <w:p w14:paraId="16EB47DD">
            <w:pPr>
              <w:spacing w:line="240" w:lineRule="exact"/>
              <w:rPr>
                <w:color w:val="000000"/>
              </w:rPr>
            </w:pPr>
            <w:r>
              <w:rPr>
                <w:rFonts w:hint="eastAsia"/>
                <w:color w:val="000000"/>
              </w:rPr>
              <w:t>未按照规定发布资格预审公告或者招标公告，积极改正的</w:t>
            </w:r>
          </w:p>
        </w:tc>
        <w:tc>
          <w:tcPr>
            <w:tcW w:w="1106" w:type="dxa"/>
            <w:vMerge w:val="restart"/>
            <w:vAlign w:val="center"/>
          </w:tcPr>
          <w:p w14:paraId="2DFC66C7">
            <w:pPr>
              <w:spacing w:line="240" w:lineRule="exact"/>
              <w:rPr>
                <w:color w:val="000000"/>
              </w:rPr>
            </w:pPr>
            <w:r>
              <w:rPr>
                <w:rFonts w:hint="eastAsia"/>
                <w:color w:val="000000"/>
              </w:rPr>
              <w:t>裁量幅度</w:t>
            </w:r>
          </w:p>
        </w:tc>
        <w:tc>
          <w:tcPr>
            <w:tcW w:w="5714" w:type="dxa"/>
            <w:vAlign w:val="center"/>
          </w:tcPr>
          <w:p w14:paraId="5C87AB0A">
            <w:pPr>
              <w:spacing w:line="240" w:lineRule="exact"/>
              <w:rPr>
                <w:color w:val="000000"/>
              </w:rPr>
            </w:pPr>
            <w:r>
              <w:rPr>
                <w:rFonts w:hint="eastAsia"/>
                <w:color w:val="000000"/>
              </w:rPr>
              <w:t>合同金额千分之五以上千分之八以下的罚款</w:t>
            </w:r>
          </w:p>
        </w:tc>
      </w:tr>
      <w:tr w14:paraId="2A15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070" w:type="dxa"/>
            <w:vMerge w:val="continue"/>
            <w:vAlign w:val="center"/>
          </w:tcPr>
          <w:p w14:paraId="62441574">
            <w:pPr>
              <w:rPr>
                <w:color w:val="000000"/>
              </w:rPr>
            </w:pPr>
          </w:p>
        </w:tc>
        <w:tc>
          <w:tcPr>
            <w:tcW w:w="6140" w:type="dxa"/>
            <w:vAlign w:val="center"/>
          </w:tcPr>
          <w:p w14:paraId="3387B37F">
            <w:pPr>
              <w:spacing w:line="240" w:lineRule="exact"/>
              <w:rPr>
                <w:color w:val="000000"/>
              </w:rPr>
            </w:pPr>
            <w:r>
              <w:rPr>
                <w:rFonts w:hint="eastAsia"/>
                <w:color w:val="000000"/>
              </w:rPr>
              <w:t>未按照规定发布资格预审公告或者招标公告，拒不改正的</w:t>
            </w:r>
          </w:p>
        </w:tc>
        <w:tc>
          <w:tcPr>
            <w:tcW w:w="1106" w:type="dxa"/>
            <w:vMerge w:val="continue"/>
            <w:vAlign w:val="center"/>
          </w:tcPr>
          <w:p w14:paraId="2E49D3AF">
            <w:pPr>
              <w:spacing w:line="240" w:lineRule="exact"/>
              <w:rPr>
                <w:color w:val="000000"/>
              </w:rPr>
            </w:pPr>
          </w:p>
        </w:tc>
        <w:tc>
          <w:tcPr>
            <w:tcW w:w="5714" w:type="dxa"/>
            <w:vAlign w:val="center"/>
          </w:tcPr>
          <w:p w14:paraId="032C2BE9">
            <w:pPr>
              <w:spacing w:line="240" w:lineRule="exact"/>
              <w:rPr>
                <w:color w:val="000000"/>
              </w:rPr>
            </w:pPr>
            <w:r>
              <w:rPr>
                <w:rFonts w:hint="eastAsia"/>
                <w:color w:val="000000"/>
              </w:rPr>
              <w:t>合同金额千分之八以上千分之十以下的罚款</w:t>
            </w:r>
          </w:p>
        </w:tc>
      </w:tr>
    </w:tbl>
    <w:p w14:paraId="78DEB1A7"/>
    <w:p w14:paraId="28483901"/>
    <w:p w14:paraId="54618B16"/>
    <w:tbl>
      <w:tblPr>
        <w:tblStyle w:val="15"/>
        <w:tblW w:w="0" w:type="auto"/>
        <w:tblInd w:w="88" w:type="dxa"/>
        <w:tblLayout w:type="fixed"/>
        <w:tblCellMar>
          <w:top w:w="0" w:type="dxa"/>
          <w:left w:w="108" w:type="dxa"/>
          <w:bottom w:w="0" w:type="dxa"/>
          <w:right w:w="108" w:type="dxa"/>
        </w:tblCellMar>
      </w:tblPr>
      <w:tblGrid>
        <w:gridCol w:w="1296"/>
        <w:gridCol w:w="5854"/>
        <w:gridCol w:w="1234"/>
        <w:gridCol w:w="5646"/>
      </w:tblGrid>
      <w:tr w14:paraId="001962E0">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76A9005E">
            <w:pPr>
              <w:rPr>
                <w:color w:val="000000"/>
              </w:rPr>
            </w:pPr>
            <w:r>
              <w:rPr>
                <w:rFonts w:hint="eastAsia"/>
                <w:color w:val="000000"/>
              </w:rPr>
              <w:t>编号</w:t>
            </w:r>
          </w:p>
        </w:tc>
        <w:tc>
          <w:tcPr>
            <w:tcW w:w="12734" w:type="dxa"/>
            <w:gridSpan w:val="3"/>
            <w:tcBorders>
              <w:top w:val="single" w:color="auto" w:sz="8" w:space="0"/>
              <w:left w:val="nil"/>
              <w:bottom w:val="single" w:color="auto" w:sz="4" w:space="0"/>
              <w:right w:val="single" w:color="000000" w:sz="8" w:space="0"/>
            </w:tcBorders>
            <w:vAlign w:val="center"/>
          </w:tcPr>
          <w:p w14:paraId="74635045">
            <w:pPr>
              <w:rPr>
                <w:b/>
                <w:bCs/>
                <w:color w:val="000000"/>
              </w:rPr>
            </w:pPr>
            <w:r>
              <w:rPr>
                <w:b/>
                <w:bCs/>
                <w:color w:val="000000"/>
              </w:rPr>
              <w:t>320217511000</w:t>
            </w:r>
          </w:p>
        </w:tc>
      </w:tr>
      <w:tr w14:paraId="23B8F084">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7B9E4CD8">
            <w:pPr>
              <w:rPr>
                <w:color w:val="000000"/>
              </w:rPr>
            </w:pPr>
            <w:r>
              <w:rPr>
                <w:rFonts w:hint="eastAsia"/>
                <w:color w:val="000000"/>
              </w:rPr>
              <w:t>行为名称</w:t>
            </w:r>
          </w:p>
        </w:tc>
        <w:tc>
          <w:tcPr>
            <w:tcW w:w="12734" w:type="dxa"/>
            <w:gridSpan w:val="3"/>
            <w:tcBorders>
              <w:top w:val="single" w:color="auto" w:sz="4" w:space="0"/>
              <w:left w:val="nil"/>
              <w:bottom w:val="single" w:color="auto" w:sz="4" w:space="0"/>
              <w:right w:val="single" w:color="000000" w:sz="8" w:space="0"/>
            </w:tcBorders>
            <w:vAlign w:val="center"/>
          </w:tcPr>
          <w:p w14:paraId="7964D259">
            <w:pPr>
              <w:rPr>
                <w:color w:val="000000"/>
              </w:rPr>
            </w:pPr>
            <w:r>
              <w:rPr>
                <w:rFonts w:hint="eastAsia"/>
                <w:color w:val="000000"/>
              </w:rPr>
              <w:t>对未取得相应资质、资质证书已过有效期或者超出资质许可范围从事建设工程质量检测活动的处罚</w:t>
            </w:r>
          </w:p>
        </w:tc>
      </w:tr>
      <w:tr w14:paraId="2E16EF7B">
        <w:tblPrEx>
          <w:tblCellMar>
            <w:top w:w="0" w:type="dxa"/>
            <w:left w:w="108" w:type="dxa"/>
            <w:bottom w:w="0" w:type="dxa"/>
            <w:right w:w="108" w:type="dxa"/>
          </w:tblCellMar>
        </w:tblPrEx>
        <w:trPr>
          <w:trHeight w:val="1305" w:hRule="atLeast"/>
        </w:trPr>
        <w:tc>
          <w:tcPr>
            <w:tcW w:w="1296" w:type="dxa"/>
            <w:tcBorders>
              <w:top w:val="nil"/>
              <w:left w:val="single" w:color="auto" w:sz="8" w:space="0"/>
              <w:bottom w:val="single" w:color="auto" w:sz="4" w:space="0"/>
              <w:right w:val="single" w:color="auto" w:sz="4" w:space="0"/>
            </w:tcBorders>
            <w:vAlign w:val="center"/>
          </w:tcPr>
          <w:p w14:paraId="62DDF0A1">
            <w:pPr>
              <w:rPr>
                <w:color w:val="000000"/>
              </w:rPr>
            </w:pPr>
            <w:r>
              <w:rPr>
                <w:rFonts w:hint="eastAsia"/>
                <w:color w:val="000000"/>
              </w:rPr>
              <w:t>法律依据</w:t>
            </w:r>
          </w:p>
        </w:tc>
        <w:tc>
          <w:tcPr>
            <w:tcW w:w="12734" w:type="dxa"/>
            <w:gridSpan w:val="3"/>
            <w:tcBorders>
              <w:top w:val="single" w:color="auto" w:sz="4" w:space="0"/>
              <w:left w:val="nil"/>
              <w:bottom w:val="single" w:color="auto" w:sz="4" w:space="0"/>
              <w:right w:val="single" w:color="000000" w:sz="8" w:space="0"/>
            </w:tcBorders>
            <w:vAlign w:val="center"/>
          </w:tcPr>
          <w:p w14:paraId="453F40F6">
            <w:pPr>
              <w:spacing w:line="26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427FCFDF">
            <w:pPr>
              <w:spacing w:line="260" w:lineRule="exact"/>
              <w:jc w:val="left"/>
              <w:rPr>
                <w:color w:val="000000"/>
                <w:kern w:val="0"/>
                <w:sz w:val="18"/>
                <w:szCs w:val="18"/>
              </w:rPr>
            </w:pPr>
            <w:r>
              <w:rPr>
                <w:rFonts w:hint="eastAsia"/>
                <w:color w:val="000000"/>
                <w:kern w:val="0"/>
                <w:sz w:val="18"/>
                <w:szCs w:val="18"/>
              </w:rPr>
              <w:t>　　第三条　检测机构应当按照本办法取得建设工程质量检测机构资质(以下简称检测机构资质)，并在资质许可的范围内从事建设工程质量检测活动。</w:t>
            </w:r>
          </w:p>
          <w:p w14:paraId="7E4C0AB8">
            <w:pPr>
              <w:spacing w:line="260" w:lineRule="exact"/>
              <w:jc w:val="left"/>
              <w:rPr>
                <w:color w:val="000000"/>
                <w:kern w:val="0"/>
                <w:sz w:val="18"/>
                <w:szCs w:val="18"/>
              </w:rPr>
            </w:pPr>
            <w:r>
              <w:rPr>
                <w:rFonts w:hint="eastAsia"/>
                <w:color w:val="000000"/>
                <w:kern w:val="0"/>
                <w:sz w:val="18"/>
                <w:szCs w:val="18"/>
              </w:rPr>
              <w:t>　　未取得相应资质证书的，不得承担本办法规定的建设工程质量检测业务。</w:t>
            </w:r>
          </w:p>
          <w:p w14:paraId="4EF75DC7">
            <w:pPr>
              <w:spacing w:line="260" w:lineRule="exact"/>
              <w:jc w:val="left"/>
              <w:rPr>
                <w:color w:val="000000"/>
                <w:kern w:val="0"/>
                <w:sz w:val="18"/>
                <w:szCs w:val="18"/>
              </w:rPr>
            </w:pPr>
            <w:r>
              <w:rPr>
                <w:rFonts w:hint="eastAsia"/>
                <w:color w:val="000000"/>
                <w:kern w:val="0"/>
                <w:sz w:val="18"/>
                <w:szCs w:val="18"/>
              </w:rPr>
              <w:t xml:space="preserve">        第三十九条　违反本办法规定，未取得相应资质、资质证书已过有效期或者超出资质许可范围从事建设工程质量检测活动的，其检测报告无效，由县级以上地方人民政府住房和城乡建设主管部门处5万元以上10万元以下罚款；造成危害后果的，处10万元以上20万元以下罚款；构成犯罪的，依法追究刑事责任。</w:t>
            </w:r>
          </w:p>
          <w:p w14:paraId="4D6210C7">
            <w:pPr>
              <w:spacing w:line="260" w:lineRule="exact"/>
              <w:jc w:val="left"/>
              <w:rPr>
                <w:color w:val="000000"/>
                <w:kern w:val="0"/>
                <w:sz w:val="18"/>
                <w:szCs w:val="18"/>
              </w:rPr>
            </w:pPr>
            <w:r>
              <w:rPr>
                <w:rFonts w:hint="eastAsia"/>
                <w:color w:val="000000"/>
                <w:kern w:val="0"/>
                <w:sz w:val="18"/>
                <w:szCs w:val="18"/>
              </w:rPr>
              <w:t xml:space="preserve">     第四十六条　检测机构违反本办法规定，有违法所得的，由县级以上地方人民政府住房和城乡建设主管部门依法予以没收。</w:t>
            </w:r>
          </w:p>
          <w:p w14:paraId="5D60F21F">
            <w:pPr>
              <w:spacing w:line="260" w:lineRule="exact"/>
              <w:jc w:val="left"/>
              <w:rPr>
                <w:color w:val="000000"/>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4BD857F9">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5A3A7398">
            <w:pPr>
              <w:jc w:val="center"/>
              <w:rPr>
                <w:color w:val="000000"/>
              </w:rPr>
            </w:pPr>
            <w:r>
              <w:rPr>
                <w:rFonts w:hint="eastAsia"/>
                <w:color w:val="000000"/>
              </w:rPr>
              <w:t>行使内容</w:t>
            </w:r>
          </w:p>
        </w:tc>
        <w:tc>
          <w:tcPr>
            <w:tcW w:w="12734" w:type="dxa"/>
            <w:gridSpan w:val="3"/>
            <w:tcBorders>
              <w:top w:val="single" w:color="auto" w:sz="4" w:space="0"/>
              <w:left w:val="nil"/>
              <w:bottom w:val="single" w:color="auto" w:sz="4" w:space="0"/>
              <w:right w:val="single" w:color="000000" w:sz="8" w:space="0"/>
            </w:tcBorders>
            <w:vAlign w:val="center"/>
          </w:tcPr>
          <w:p w14:paraId="3DB92528">
            <w:pPr>
              <w:jc w:val="left"/>
              <w:rPr>
                <w:color w:val="000000"/>
              </w:rPr>
            </w:pPr>
            <w:r>
              <w:rPr>
                <w:rFonts w:hint="eastAsia"/>
                <w:color w:val="000000"/>
              </w:rPr>
              <w:t>罚款，没收违法所得</w:t>
            </w:r>
          </w:p>
        </w:tc>
      </w:tr>
      <w:tr w14:paraId="11A23147">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7D17E376">
            <w:pPr>
              <w:jc w:val="center"/>
              <w:rPr>
                <w:color w:val="000000"/>
              </w:rPr>
            </w:pPr>
            <w:r>
              <w:rPr>
                <w:rFonts w:hint="eastAsia"/>
                <w:color w:val="000000"/>
              </w:rPr>
              <w:t>裁量基准</w:t>
            </w:r>
          </w:p>
        </w:tc>
      </w:tr>
      <w:tr w14:paraId="7370B468">
        <w:tblPrEx>
          <w:tblCellMar>
            <w:top w:w="0" w:type="dxa"/>
            <w:left w:w="108" w:type="dxa"/>
            <w:bottom w:w="0" w:type="dxa"/>
            <w:right w:w="108" w:type="dxa"/>
          </w:tblCellMar>
        </w:tblPrEx>
        <w:trPr>
          <w:trHeight w:val="751" w:hRule="atLeast"/>
        </w:trPr>
        <w:tc>
          <w:tcPr>
            <w:tcW w:w="1296" w:type="dxa"/>
            <w:vMerge w:val="restart"/>
            <w:tcBorders>
              <w:top w:val="single" w:color="auto" w:sz="4" w:space="0"/>
              <w:left w:val="single" w:color="auto" w:sz="4" w:space="0"/>
              <w:bottom w:val="single" w:color="auto" w:sz="4" w:space="0"/>
              <w:right w:val="single" w:color="auto" w:sz="4" w:space="0"/>
            </w:tcBorders>
            <w:vAlign w:val="center"/>
          </w:tcPr>
          <w:p w14:paraId="6637F49A">
            <w:pPr>
              <w:spacing w:line="320" w:lineRule="exact"/>
              <w:jc w:val="center"/>
              <w:rPr>
                <w:color w:val="000000"/>
                <w:kern w:val="0"/>
                <w:sz w:val="18"/>
                <w:szCs w:val="18"/>
              </w:rPr>
            </w:pPr>
            <w:r>
              <w:rPr>
                <w:rFonts w:hint="eastAsia"/>
                <w:color w:val="000000"/>
                <w:kern w:val="0"/>
                <w:sz w:val="18"/>
                <w:szCs w:val="18"/>
              </w:rPr>
              <w:t>情形描述</w:t>
            </w:r>
          </w:p>
        </w:tc>
        <w:tc>
          <w:tcPr>
            <w:tcW w:w="5854" w:type="dxa"/>
            <w:tcBorders>
              <w:top w:val="single" w:color="auto" w:sz="4" w:space="0"/>
              <w:left w:val="single" w:color="auto" w:sz="4" w:space="0"/>
              <w:bottom w:val="single" w:color="auto" w:sz="4" w:space="0"/>
              <w:right w:val="single" w:color="auto" w:sz="4" w:space="0"/>
            </w:tcBorders>
            <w:vAlign w:val="center"/>
          </w:tcPr>
          <w:p w14:paraId="247CEB8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234" w:type="dxa"/>
            <w:vMerge w:val="restart"/>
            <w:tcBorders>
              <w:top w:val="single" w:color="auto" w:sz="4" w:space="0"/>
              <w:left w:val="single" w:color="auto" w:sz="4" w:space="0"/>
              <w:bottom w:val="single" w:color="auto" w:sz="4" w:space="0"/>
              <w:right w:val="single" w:color="auto" w:sz="4" w:space="0"/>
            </w:tcBorders>
            <w:vAlign w:val="center"/>
          </w:tcPr>
          <w:p w14:paraId="1A27300A">
            <w:pPr>
              <w:spacing w:line="320" w:lineRule="exact"/>
              <w:jc w:val="center"/>
              <w:rPr>
                <w:color w:val="000000"/>
                <w:kern w:val="0"/>
                <w:sz w:val="18"/>
                <w:szCs w:val="18"/>
              </w:rPr>
            </w:pPr>
            <w:r>
              <w:rPr>
                <w:rFonts w:hint="eastAsia"/>
                <w:color w:val="000000"/>
                <w:kern w:val="0"/>
                <w:sz w:val="18"/>
                <w:szCs w:val="18"/>
              </w:rPr>
              <w:t>裁量幅度</w:t>
            </w:r>
          </w:p>
        </w:tc>
        <w:tc>
          <w:tcPr>
            <w:tcW w:w="5646" w:type="dxa"/>
            <w:tcBorders>
              <w:top w:val="single" w:color="auto" w:sz="4" w:space="0"/>
              <w:left w:val="single" w:color="auto" w:sz="4" w:space="0"/>
              <w:bottom w:val="single" w:color="auto" w:sz="4" w:space="0"/>
              <w:right w:val="single" w:color="auto" w:sz="4" w:space="0"/>
            </w:tcBorders>
            <w:vAlign w:val="center"/>
          </w:tcPr>
          <w:p w14:paraId="7EA406DE">
            <w:pPr>
              <w:rPr>
                <w:color w:val="000000"/>
              </w:rPr>
            </w:pPr>
            <w:r>
              <w:rPr>
                <w:rFonts w:hint="eastAsia"/>
                <w:color w:val="000000"/>
              </w:rPr>
              <w:t>对单位：处5万元以上7万元以下的罚款</w:t>
            </w:r>
          </w:p>
          <w:p w14:paraId="161506A9">
            <w:pPr>
              <w:spacing w:line="320" w:lineRule="exact"/>
              <w:jc w:val="left"/>
              <w:rPr>
                <w:color w:val="000000"/>
                <w:kern w:val="0"/>
                <w:sz w:val="18"/>
                <w:szCs w:val="18"/>
              </w:rPr>
            </w:pPr>
            <w:r>
              <w:rPr>
                <w:rFonts w:hint="eastAsia"/>
                <w:color w:val="000000"/>
              </w:rPr>
              <w:t>对个人：处1万元以下的罚款</w:t>
            </w:r>
          </w:p>
        </w:tc>
      </w:tr>
      <w:tr w14:paraId="0D98D72B">
        <w:tblPrEx>
          <w:tblCellMar>
            <w:top w:w="0" w:type="dxa"/>
            <w:left w:w="108" w:type="dxa"/>
            <w:bottom w:w="0" w:type="dxa"/>
            <w:right w:w="108" w:type="dxa"/>
          </w:tblCellMar>
        </w:tblPrEx>
        <w:trPr>
          <w:trHeight w:val="540" w:hRule="atLeast"/>
        </w:trPr>
        <w:tc>
          <w:tcPr>
            <w:tcW w:w="1296" w:type="dxa"/>
            <w:vMerge w:val="continue"/>
            <w:tcBorders>
              <w:top w:val="single" w:color="auto" w:sz="4" w:space="0"/>
              <w:left w:val="single" w:color="auto" w:sz="4" w:space="0"/>
              <w:bottom w:val="single" w:color="auto" w:sz="4" w:space="0"/>
              <w:right w:val="single" w:color="auto" w:sz="4" w:space="0"/>
            </w:tcBorders>
            <w:vAlign w:val="center"/>
          </w:tcPr>
          <w:p w14:paraId="66B14EF2">
            <w:pPr>
              <w:rPr>
                <w:color w:val="000000"/>
              </w:rPr>
            </w:pPr>
          </w:p>
        </w:tc>
        <w:tc>
          <w:tcPr>
            <w:tcW w:w="5854" w:type="dxa"/>
            <w:tcBorders>
              <w:top w:val="single" w:color="auto" w:sz="4" w:space="0"/>
              <w:left w:val="single" w:color="auto" w:sz="4" w:space="0"/>
              <w:bottom w:val="single" w:color="auto" w:sz="4" w:space="0"/>
              <w:right w:val="single" w:color="auto" w:sz="4" w:space="0"/>
            </w:tcBorders>
            <w:vAlign w:val="center"/>
          </w:tcPr>
          <w:p w14:paraId="15B29D00">
            <w:pPr>
              <w:rPr>
                <w:color w:val="000000"/>
              </w:rPr>
            </w:pPr>
            <w:r>
              <w:rPr>
                <w:rFonts w:hint="eastAsia"/>
                <w:color w:val="000000"/>
                <w:kern w:val="0"/>
                <w:sz w:val="18"/>
                <w:szCs w:val="18"/>
              </w:rPr>
              <w:t>未按要求改正的或无法改正的，未造成严重后果的</w:t>
            </w:r>
          </w:p>
        </w:tc>
        <w:tc>
          <w:tcPr>
            <w:tcW w:w="1234" w:type="dxa"/>
            <w:vMerge w:val="continue"/>
            <w:tcBorders>
              <w:top w:val="single" w:color="auto" w:sz="4" w:space="0"/>
              <w:left w:val="single" w:color="auto" w:sz="4" w:space="0"/>
              <w:bottom w:val="single" w:color="auto" w:sz="4" w:space="0"/>
              <w:right w:val="single" w:color="auto" w:sz="4" w:space="0"/>
            </w:tcBorders>
            <w:vAlign w:val="center"/>
          </w:tcPr>
          <w:p w14:paraId="576305D0">
            <w:pPr>
              <w:rPr>
                <w:color w:val="000000"/>
              </w:rPr>
            </w:pPr>
          </w:p>
        </w:tc>
        <w:tc>
          <w:tcPr>
            <w:tcW w:w="5646" w:type="dxa"/>
            <w:tcBorders>
              <w:top w:val="single" w:color="auto" w:sz="4" w:space="0"/>
              <w:left w:val="single" w:color="auto" w:sz="4" w:space="0"/>
              <w:bottom w:val="single" w:color="auto" w:sz="4" w:space="0"/>
              <w:right w:val="single" w:color="auto" w:sz="4" w:space="0"/>
            </w:tcBorders>
            <w:vAlign w:val="center"/>
          </w:tcPr>
          <w:p w14:paraId="6FA72C19">
            <w:pPr>
              <w:rPr>
                <w:color w:val="000000"/>
              </w:rPr>
            </w:pPr>
            <w:r>
              <w:rPr>
                <w:rFonts w:hint="eastAsia"/>
                <w:color w:val="000000"/>
              </w:rPr>
              <w:t>对单位：处7万元以上10万元以下的罚款</w:t>
            </w:r>
          </w:p>
          <w:p w14:paraId="500433CD">
            <w:pPr>
              <w:rPr>
                <w:color w:val="000000"/>
              </w:rPr>
            </w:pPr>
            <w:r>
              <w:rPr>
                <w:rFonts w:hint="eastAsia"/>
                <w:color w:val="000000"/>
              </w:rPr>
              <w:t>对个人：处1万元以上1.5万元以下的罚款</w:t>
            </w:r>
          </w:p>
        </w:tc>
      </w:tr>
      <w:tr w14:paraId="50909DE5">
        <w:tblPrEx>
          <w:tblCellMar>
            <w:top w:w="0" w:type="dxa"/>
            <w:left w:w="108" w:type="dxa"/>
            <w:bottom w:w="0" w:type="dxa"/>
            <w:right w:w="108" w:type="dxa"/>
          </w:tblCellMar>
        </w:tblPrEx>
        <w:trPr>
          <w:trHeight w:val="540" w:hRule="atLeast"/>
        </w:trPr>
        <w:tc>
          <w:tcPr>
            <w:tcW w:w="1296" w:type="dxa"/>
            <w:vMerge w:val="continue"/>
            <w:tcBorders>
              <w:top w:val="single" w:color="auto" w:sz="4" w:space="0"/>
              <w:left w:val="single" w:color="auto" w:sz="4" w:space="0"/>
              <w:bottom w:val="single" w:color="auto" w:sz="4" w:space="0"/>
              <w:right w:val="single" w:color="auto" w:sz="4" w:space="0"/>
            </w:tcBorders>
            <w:vAlign w:val="center"/>
          </w:tcPr>
          <w:p w14:paraId="110E8B2F">
            <w:pPr>
              <w:rPr>
                <w:color w:val="000000"/>
              </w:rPr>
            </w:pPr>
          </w:p>
        </w:tc>
        <w:tc>
          <w:tcPr>
            <w:tcW w:w="5854" w:type="dxa"/>
            <w:tcBorders>
              <w:top w:val="single" w:color="auto" w:sz="4" w:space="0"/>
              <w:left w:val="single" w:color="auto" w:sz="4" w:space="0"/>
              <w:bottom w:val="single" w:color="auto" w:sz="4" w:space="0"/>
              <w:right w:val="single" w:color="auto" w:sz="4" w:space="0"/>
            </w:tcBorders>
            <w:vAlign w:val="center"/>
          </w:tcPr>
          <w:p w14:paraId="002C9A91">
            <w:pPr>
              <w:rPr>
                <w:color w:val="000000"/>
              </w:rPr>
            </w:pPr>
            <w:r>
              <w:rPr>
                <w:rFonts w:hint="eastAsia"/>
                <w:color w:val="000000"/>
                <w:kern w:val="0"/>
                <w:sz w:val="18"/>
                <w:szCs w:val="18"/>
              </w:rPr>
              <w:t>造成一般或较大质量安全事故的</w:t>
            </w:r>
          </w:p>
        </w:tc>
        <w:tc>
          <w:tcPr>
            <w:tcW w:w="1234" w:type="dxa"/>
            <w:vMerge w:val="continue"/>
            <w:tcBorders>
              <w:top w:val="single" w:color="auto" w:sz="4" w:space="0"/>
              <w:left w:val="single" w:color="auto" w:sz="4" w:space="0"/>
              <w:bottom w:val="single" w:color="auto" w:sz="4" w:space="0"/>
              <w:right w:val="single" w:color="auto" w:sz="4" w:space="0"/>
            </w:tcBorders>
            <w:vAlign w:val="center"/>
          </w:tcPr>
          <w:p w14:paraId="420A7CC0">
            <w:pPr>
              <w:rPr>
                <w:color w:val="000000"/>
              </w:rPr>
            </w:pPr>
          </w:p>
        </w:tc>
        <w:tc>
          <w:tcPr>
            <w:tcW w:w="5646" w:type="dxa"/>
            <w:tcBorders>
              <w:top w:val="single" w:color="auto" w:sz="4" w:space="0"/>
              <w:left w:val="single" w:color="auto" w:sz="4" w:space="0"/>
              <w:bottom w:val="single" w:color="auto" w:sz="4" w:space="0"/>
              <w:right w:val="single" w:color="auto" w:sz="4" w:space="0"/>
            </w:tcBorders>
            <w:vAlign w:val="center"/>
          </w:tcPr>
          <w:p w14:paraId="242D4ABC">
            <w:pPr>
              <w:rPr>
                <w:color w:val="000000"/>
              </w:rPr>
            </w:pPr>
            <w:r>
              <w:rPr>
                <w:rFonts w:hint="eastAsia"/>
                <w:color w:val="000000"/>
              </w:rPr>
              <w:t>对单位：处10万元以上15万元以下的罚款</w:t>
            </w:r>
          </w:p>
          <w:p w14:paraId="772FDA94">
            <w:pPr>
              <w:rPr>
                <w:color w:val="000000"/>
              </w:rPr>
            </w:pPr>
            <w:r>
              <w:rPr>
                <w:rFonts w:hint="eastAsia"/>
                <w:color w:val="000000"/>
              </w:rPr>
              <w:t>对个人：处1.5万元以上2万元以下的罚款</w:t>
            </w:r>
          </w:p>
        </w:tc>
      </w:tr>
      <w:tr w14:paraId="031E22F1">
        <w:tblPrEx>
          <w:tblCellMar>
            <w:top w:w="0" w:type="dxa"/>
            <w:left w:w="108" w:type="dxa"/>
            <w:bottom w:w="0" w:type="dxa"/>
            <w:right w:w="108" w:type="dxa"/>
          </w:tblCellMar>
        </w:tblPrEx>
        <w:trPr>
          <w:trHeight w:val="540" w:hRule="atLeast"/>
        </w:trPr>
        <w:tc>
          <w:tcPr>
            <w:tcW w:w="1296" w:type="dxa"/>
            <w:vMerge w:val="continue"/>
            <w:tcBorders>
              <w:top w:val="single" w:color="auto" w:sz="4" w:space="0"/>
              <w:left w:val="single" w:color="auto" w:sz="4" w:space="0"/>
              <w:bottom w:val="single" w:color="auto" w:sz="4" w:space="0"/>
              <w:right w:val="single" w:color="auto" w:sz="4" w:space="0"/>
            </w:tcBorders>
            <w:vAlign w:val="center"/>
          </w:tcPr>
          <w:p w14:paraId="45FC3742">
            <w:pPr>
              <w:rPr>
                <w:color w:val="000000"/>
              </w:rPr>
            </w:pPr>
          </w:p>
        </w:tc>
        <w:tc>
          <w:tcPr>
            <w:tcW w:w="5854" w:type="dxa"/>
            <w:tcBorders>
              <w:top w:val="single" w:color="auto" w:sz="4" w:space="0"/>
              <w:left w:val="single" w:color="auto" w:sz="4" w:space="0"/>
              <w:bottom w:val="single" w:color="auto" w:sz="4" w:space="0"/>
              <w:right w:val="single" w:color="auto" w:sz="4" w:space="0"/>
            </w:tcBorders>
            <w:vAlign w:val="center"/>
          </w:tcPr>
          <w:p w14:paraId="65E71A29">
            <w:pPr>
              <w:rPr>
                <w:color w:val="000000"/>
              </w:rPr>
            </w:pPr>
            <w:r>
              <w:rPr>
                <w:rFonts w:hint="eastAsia"/>
                <w:color w:val="000000"/>
                <w:kern w:val="0"/>
                <w:sz w:val="18"/>
                <w:szCs w:val="18"/>
              </w:rPr>
              <w:t>造成重大以上质量安全事故的</w:t>
            </w:r>
          </w:p>
        </w:tc>
        <w:tc>
          <w:tcPr>
            <w:tcW w:w="1234" w:type="dxa"/>
            <w:vMerge w:val="continue"/>
            <w:tcBorders>
              <w:top w:val="single" w:color="auto" w:sz="4" w:space="0"/>
              <w:left w:val="single" w:color="auto" w:sz="4" w:space="0"/>
              <w:bottom w:val="single" w:color="auto" w:sz="4" w:space="0"/>
              <w:right w:val="single" w:color="auto" w:sz="4" w:space="0"/>
            </w:tcBorders>
            <w:vAlign w:val="center"/>
          </w:tcPr>
          <w:p w14:paraId="4C6B6737">
            <w:pPr>
              <w:rPr>
                <w:color w:val="000000"/>
              </w:rPr>
            </w:pPr>
          </w:p>
        </w:tc>
        <w:tc>
          <w:tcPr>
            <w:tcW w:w="5646" w:type="dxa"/>
            <w:tcBorders>
              <w:top w:val="single" w:color="auto" w:sz="4" w:space="0"/>
              <w:left w:val="single" w:color="auto" w:sz="4" w:space="0"/>
              <w:bottom w:val="single" w:color="auto" w:sz="4" w:space="0"/>
              <w:right w:val="single" w:color="auto" w:sz="4" w:space="0"/>
            </w:tcBorders>
            <w:vAlign w:val="center"/>
          </w:tcPr>
          <w:p w14:paraId="4ABA34EC">
            <w:pPr>
              <w:rPr>
                <w:color w:val="000000"/>
              </w:rPr>
            </w:pPr>
            <w:r>
              <w:rPr>
                <w:rFonts w:hint="eastAsia"/>
                <w:color w:val="000000"/>
              </w:rPr>
              <w:t>对单位：处15万元以上20万元以下的罚款</w:t>
            </w:r>
          </w:p>
          <w:p w14:paraId="68D815A9">
            <w:pPr>
              <w:rPr>
                <w:color w:val="000000"/>
              </w:rPr>
            </w:pPr>
            <w:r>
              <w:rPr>
                <w:rFonts w:hint="eastAsia"/>
                <w:color w:val="000000"/>
              </w:rPr>
              <w:t>对个人：处2万元以上3万元以下的罚款</w:t>
            </w:r>
          </w:p>
        </w:tc>
      </w:tr>
    </w:tbl>
    <w:p w14:paraId="1B68CFAE"/>
    <w:p w14:paraId="1B11AE2E"/>
    <w:tbl>
      <w:tblPr>
        <w:tblStyle w:val="15"/>
        <w:tblW w:w="0" w:type="auto"/>
        <w:tblInd w:w="88" w:type="dxa"/>
        <w:tblLayout w:type="fixed"/>
        <w:tblCellMar>
          <w:top w:w="0" w:type="dxa"/>
          <w:left w:w="108" w:type="dxa"/>
          <w:bottom w:w="0" w:type="dxa"/>
          <w:right w:w="108" w:type="dxa"/>
        </w:tblCellMar>
      </w:tblPr>
      <w:tblGrid>
        <w:gridCol w:w="1154"/>
        <w:gridCol w:w="5812"/>
        <w:gridCol w:w="1214"/>
        <w:gridCol w:w="5850"/>
      </w:tblGrid>
      <w:tr w14:paraId="5B36672A">
        <w:tblPrEx>
          <w:tblCellMar>
            <w:top w:w="0" w:type="dxa"/>
            <w:left w:w="108" w:type="dxa"/>
            <w:bottom w:w="0" w:type="dxa"/>
            <w:right w:w="108" w:type="dxa"/>
          </w:tblCellMar>
        </w:tblPrEx>
        <w:trPr>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5FBB28F5">
            <w:pPr>
              <w:jc w:val="center"/>
              <w:rPr>
                <w:color w:val="000000"/>
              </w:rPr>
            </w:pPr>
            <w:r>
              <w:rPr>
                <w:rFonts w:hint="eastAsia"/>
                <w:color w:val="000000"/>
              </w:rPr>
              <w:t>编号</w:t>
            </w:r>
          </w:p>
        </w:tc>
        <w:tc>
          <w:tcPr>
            <w:tcW w:w="12876" w:type="dxa"/>
            <w:gridSpan w:val="3"/>
            <w:tcBorders>
              <w:top w:val="single" w:color="auto" w:sz="8" w:space="0"/>
              <w:left w:val="nil"/>
              <w:bottom w:val="single" w:color="auto" w:sz="4" w:space="0"/>
              <w:right w:val="single" w:color="000000" w:sz="8" w:space="0"/>
            </w:tcBorders>
            <w:vAlign w:val="center"/>
          </w:tcPr>
          <w:p w14:paraId="7B4332A8">
            <w:pPr>
              <w:rPr>
                <w:b/>
                <w:bCs/>
                <w:color w:val="000000"/>
              </w:rPr>
            </w:pPr>
            <w:r>
              <w:rPr>
                <w:b/>
                <w:bCs/>
                <w:color w:val="000000"/>
              </w:rPr>
              <w:t>320217513000</w:t>
            </w:r>
            <w:r>
              <w:rPr>
                <w:rFonts w:hint="eastAsia"/>
                <w:b/>
                <w:bCs/>
                <w:color w:val="000000"/>
              </w:rPr>
              <w:t xml:space="preserve"> </w:t>
            </w:r>
          </w:p>
        </w:tc>
      </w:tr>
      <w:tr w14:paraId="52AA9BBC">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3F97AAD2">
            <w:pPr>
              <w:rPr>
                <w:color w:val="000000"/>
              </w:rPr>
            </w:pPr>
            <w:r>
              <w:rPr>
                <w:rFonts w:hint="eastAsia"/>
                <w:color w:val="000000"/>
              </w:rPr>
              <w:t>行为名称</w:t>
            </w:r>
          </w:p>
        </w:tc>
        <w:tc>
          <w:tcPr>
            <w:tcW w:w="12876" w:type="dxa"/>
            <w:gridSpan w:val="3"/>
            <w:tcBorders>
              <w:top w:val="single" w:color="auto" w:sz="4" w:space="0"/>
              <w:left w:val="nil"/>
              <w:bottom w:val="single" w:color="auto" w:sz="4" w:space="0"/>
              <w:right w:val="single" w:color="000000" w:sz="8" w:space="0"/>
            </w:tcBorders>
            <w:vAlign w:val="center"/>
          </w:tcPr>
          <w:p w14:paraId="25D2C2D2">
            <w:pPr>
              <w:rPr>
                <w:color w:val="000000"/>
              </w:rPr>
            </w:pPr>
            <w:r>
              <w:rPr>
                <w:rFonts w:hint="eastAsia"/>
                <w:color w:val="000000"/>
              </w:rPr>
              <w:t>对检测机构涂改、倒卖、出租、出借或者以其他形式非法转让资质证书的处罚</w:t>
            </w:r>
          </w:p>
        </w:tc>
      </w:tr>
      <w:tr w14:paraId="5B7FC235">
        <w:tblPrEx>
          <w:tblCellMar>
            <w:top w:w="0" w:type="dxa"/>
            <w:left w:w="108" w:type="dxa"/>
            <w:bottom w:w="0" w:type="dxa"/>
            <w:right w:w="108" w:type="dxa"/>
          </w:tblCellMar>
        </w:tblPrEx>
        <w:trPr>
          <w:trHeight w:val="1305" w:hRule="atLeast"/>
        </w:trPr>
        <w:tc>
          <w:tcPr>
            <w:tcW w:w="1154" w:type="dxa"/>
            <w:tcBorders>
              <w:top w:val="nil"/>
              <w:left w:val="single" w:color="auto" w:sz="8" w:space="0"/>
              <w:bottom w:val="single" w:color="auto" w:sz="4" w:space="0"/>
              <w:right w:val="single" w:color="auto" w:sz="4" w:space="0"/>
            </w:tcBorders>
            <w:vAlign w:val="center"/>
          </w:tcPr>
          <w:p w14:paraId="57C8611F">
            <w:pPr>
              <w:rPr>
                <w:color w:val="000000"/>
              </w:rPr>
            </w:pPr>
            <w:r>
              <w:rPr>
                <w:rFonts w:hint="eastAsia"/>
                <w:color w:val="000000"/>
              </w:rPr>
              <w:t>法律依据</w:t>
            </w:r>
          </w:p>
        </w:tc>
        <w:tc>
          <w:tcPr>
            <w:tcW w:w="12876" w:type="dxa"/>
            <w:gridSpan w:val="3"/>
            <w:tcBorders>
              <w:top w:val="single" w:color="auto" w:sz="4" w:space="0"/>
              <w:left w:val="nil"/>
              <w:bottom w:val="single" w:color="auto" w:sz="4" w:space="0"/>
              <w:right w:val="single" w:color="000000" w:sz="8" w:space="0"/>
            </w:tcBorders>
            <w:vAlign w:val="center"/>
          </w:tcPr>
          <w:p w14:paraId="1571CC58">
            <w:pPr>
              <w:spacing w:line="320" w:lineRule="exact"/>
              <w:jc w:val="left"/>
              <w:rPr>
                <w:color w:val="000000"/>
                <w:kern w:val="0"/>
                <w:sz w:val="18"/>
                <w:szCs w:val="18"/>
              </w:rPr>
            </w:pPr>
            <w:r>
              <w:rPr>
                <w:rFonts w:hint="eastAsia"/>
                <w:color w:val="000000"/>
                <w:kern w:val="0"/>
                <w:sz w:val="18"/>
                <w:szCs w:val="18"/>
              </w:rPr>
              <w:t>【部门规章】《建设工程质量检测管理办法》（2022年12月29日中华人民共和国住房和城乡建设部令第57号公布　自2023年3月1日起施行）第三十条　检测机构不得有下列行为：</w:t>
            </w:r>
          </w:p>
          <w:p w14:paraId="2A16A3D3">
            <w:pPr>
              <w:spacing w:line="320" w:lineRule="exact"/>
              <w:jc w:val="left"/>
              <w:rPr>
                <w:color w:val="000000"/>
                <w:kern w:val="0"/>
                <w:sz w:val="18"/>
                <w:szCs w:val="18"/>
              </w:rPr>
            </w:pPr>
            <w:r>
              <w:rPr>
                <w:rFonts w:hint="eastAsia"/>
                <w:color w:val="000000"/>
                <w:kern w:val="0"/>
                <w:sz w:val="18"/>
                <w:szCs w:val="18"/>
              </w:rPr>
              <w:t xml:space="preserve">    （三）涂改、倒卖、出租、出借或者以其他形式非法转让资质证书；</w:t>
            </w:r>
          </w:p>
          <w:p w14:paraId="521B4FA2">
            <w:pPr>
              <w:spacing w:line="320" w:lineRule="exact"/>
              <w:jc w:val="left"/>
              <w:rPr>
                <w:color w:val="000000"/>
                <w:kern w:val="0"/>
                <w:sz w:val="18"/>
                <w:szCs w:val="18"/>
              </w:rPr>
            </w:pPr>
            <w:r>
              <w:rPr>
                <w:rFonts w:hint="eastAsia"/>
                <w:color w:val="000000"/>
                <w:kern w:val="0"/>
                <w:sz w:val="18"/>
                <w:szCs w:val="18"/>
              </w:rPr>
              <w:t xml:space="preserve">   第四十四条　检测机构违反本办法规定，有第三十条第二项至第五项行为之一的，由县级以上地方人民政府住房和城乡建设主管部门责令改正，处5万元以上10万元以下罚款；造成危害后果的，处10万元以上20万元以下罚款；构成犯罪的，依法追究刑事责任。</w:t>
            </w:r>
          </w:p>
          <w:p w14:paraId="2865B52A">
            <w:pPr>
              <w:spacing w:line="320" w:lineRule="exact"/>
              <w:jc w:val="left"/>
              <w:rPr>
                <w:color w:val="000000"/>
              </w:rPr>
            </w:pPr>
            <w:r>
              <w:rPr>
                <w:rFonts w:hint="eastAsia"/>
                <w:color w:val="000000"/>
                <w:kern w:val="0"/>
                <w:sz w:val="18"/>
                <w:szCs w:val="18"/>
              </w:rPr>
              <w:t xml:space="preserve">     第四十六条　检测机构违反本办法规定，有违法所得的，由县级以上地方人民政府住房和城乡建设主管部门依法予以没收。</w:t>
            </w:r>
          </w:p>
        </w:tc>
      </w:tr>
      <w:tr w14:paraId="7369E2D2">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2FAC4505">
            <w:pPr>
              <w:rPr>
                <w:color w:val="000000"/>
              </w:rPr>
            </w:pPr>
            <w:r>
              <w:rPr>
                <w:rFonts w:hint="eastAsia"/>
                <w:color w:val="000000"/>
              </w:rPr>
              <w:t>行使内容</w:t>
            </w:r>
          </w:p>
        </w:tc>
        <w:tc>
          <w:tcPr>
            <w:tcW w:w="12876" w:type="dxa"/>
            <w:gridSpan w:val="3"/>
            <w:tcBorders>
              <w:top w:val="single" w:color="auto" w:sz="4" w:space="0"/>
              <w:left w:val="nil"/>
              <w:bottom w:val="single" w:color="auto" w:sz="4" w:space="0"/>
              <w:right w:val="single" w:color="000000" w:sz="8" w:space="0"/>
            </w:tcBorders>
            <w:vAlign w:val="center"/>
          </w:tcPr>
          <w:p w14:paraId="3FE4C5F1">
            <w:pPr>
              <w:rPr>
                <w:color w:val="000000"/>
              </w:rPr>
            </w:pPr>
            <w:r>
              <w:rPr>
                <w:rFonts w:hint="eastAsia"/>
                <w:color w:val="000000"/>
              </w:rPr>
              <w:t>责令改正，罚款，没收违法所得</w:t>
            </w:r>
          </w:p>
        </w:tc>
      </w:tr>
      <w:tr w14:paraId="4A783F45">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51AB552B">
            <w:pPr>
              <w:jc w:val="center"/>
              <w:rPr>
                <w:color w:val="000000"/>
              </w:rPr>
            </w:pPr>
            <w:r>
              <w:rPr>
                <w:rFonts w:hint="eastAsia"/>
                <w:color w:val="000000"/>
              </w:rPr>
              <w:t>裁量基准</w:t>
            </w:r>
          </w:p>
        </w:tc>
      </w:tr>
      <w:tr w14:paraId="4A349412">
        <w:tblPrEx>
          <w:tblCellMar>
            <w:top w:w="0" w:type="dxa"/>
            <w:left w:w="108" w:type="dxa"/>
            <w:bottom w:w="0" w:type="dxa"/>
            <w:right w:w="108" w:type="dxa"/>
          </w:tblCellMar>
        </w:tblPrEx>
        <w:trPr>
          <w:trHeight w:val="540" w:hRule="atLeast"/>
        </w:trPr>
        <w:tc>
          <w:tcPr>
            <w:tcW w:w="1154" w:type="dxa"/>
            <w:vMerge w:val="restart"/>
            <w:tcBorders>
              <w:top w:val="nil"/>
              <w:left w:val="single" w:color="auto" w:sz="8" w:space="0"/>
              <w:right w:val="single" w:color="auto" w:sz="4" w:space="0"/>
            </w:tcBorders>
            <w:vAlign w:val="center"/>
          </w:tcPr>
          <w:p w14:paraId="6673CB4D">
            <w:pPr>
              <w:rPr>
                <w:color w:val="000000"/>
              </w:rPr>
            </w:pPr>
            <w:r>
              <w:rPr>
                <w:rFonts w:hint="eastAsia"/>
                <w:color w:val="000000"/>
              </w:rPr>
              <w:t>情形描述</w:t>
            </w:r>
          </w:p>
        </w:tc>
        <w:tc>
          <w:tcPr>
            <w:tcW w:w="5812" w:type="dxa"/>
            <w:tcBorders>
              <w:top w:val="single" w:color="auto" w:sz="4" w:space="0"/>
              <w:left w:val="nil"/>
              <w:bottom w:val="single" w:color="auto" w:sz="4" w:space="0"/>
              <w:right w:val="single" w:color="auto" w:sz="4" w:space="0"/>
            </w:tcBorders>
            <w:vAlign w:val="center"/>
          </w:tcPr>
          <w:p w14:paraId="2FC01CE6">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214" w:type="dxa"/>
            <w:vMerge w:val="restart"/>
            <w:tcBorders>
              <w:top w:val="single" w:color="auto" w:sz="4" w:space="0"/>
              <w:left w:val="single" w:color="auto" w:sz="4" w:space="0"/>
              <w:right w:val="single" w:color="auto" w:sz="4" w:space="0"/>
            </w:tcBorders>
            <w:vAlign w:val="center"/>
          </w:tcPr>
          <w:p w14:paraId="753CEF51">
            <w:pPr>
              <w:rPr>
                <w:color w:val="000000"/>
              </w:rPr>
            </w:pPr>
            <w:r>
              <w:rPr>
                <w:rFonts w:hint="eastAsia"/>
                <w:color w:val="000000"/>
              </w:rPr>
              <w:t>裁量幅度</w:t>
            </w:r>
          </w:p>
        </w:tc>
        <w:tc>
          <w:tcPr>
            <w:tcW w:w="5850" w:type="dxa"/>
            <w:tcBorders>
              <w:top w:val="single" w:color="auto" w:sz="4" w:space="0"/>
              <w:left w:val="single" w:color="auto" w:sz="4" w:space="0"/>
              <w:bottom w:val="single" w:color="auto" w:sz="4" w:space="0"/>
              <w:right w:val="single" w:color="auto" w:sz="4" w:space="0"/>
            </w:tcBorders>
            <w:vAlign w:val="center"/>
          </w:tcPr>
          <w:p w14:paraId="4D828B92">
            <w:pPr>
              <w:rPr>
                <w:color w:val="000000"/>
              </w:rPr>
            </w:pPr>
            <w:r>
              <w:rPr>
                <w:rFonts w:hint="eastAsia"/>
                <w:color w:val="000000"/>
              </w:rPr>
              <w:t>处5万元以上8万元以下的罚款</w:t>
            </w:r>
          </w:p>
        </w:tc>
      </w:tr>
      <w:tr w14:paraId="7C93B418">
        <w:tblPrEx>
          <w:tblCellMar>
            <w:top w:w="0" w:type="dxa"/>
            <w:left w:w="108" w:type="dxa"/>
            <w:bottom w:w="0" w:type="dxa"/>
            <w:right w:w="108" w:type="dxa"/>
          </w:tblCellMar>
        </w:tblPrEx>
        <w:trPr>
          <w:trHeight w:val="540" w:hRule="atLeast"/>
        </w:trPr>
        <w:tc>
          <w:tcPr>
            <w:tcW w:w="1154" w:type="dxa"/>
            <w:vMerge w:val="continue"/>
            <w:tcBorders>
              <w:left w:val="single" w:color="auto" w:sz="8" w:space="0"/>
              <w:right w:val="single" w:color="auto" w:sz="4" w:space="0"/>
            </w:tcBorders>
            <w:vAlign w:val="center"/>
          </w:tcPr>
          <w:p w14:paraId="3CEF9BCE">
            <w:pPr>
              <w:rPr>
                <w:color w:val="000000"/>
              </w:rPr>
            </w:pPr>
          </w:p>
        </w:tc>
        <w:tc>
          <w:tcPr>
            <w:tcW w:w="5812" w:type="dxa"/>
            <w:tcBorders>
              <w:top w:val="single" w:color="auto" w:sz="4" w:space="0"/>
              <w:left w:val="nil"/>
              <w:bottom w:val="single" w:color="auto" w:sz="4" w:space="0"/>
              <w:right w:val="single" w:color="auto" w:sz="4" w:space="0"/>
            </w:tcBorders>
            <w:vAlign w:val="center"/>
          </w:tcPr>
          <w:p w14:paraId="4AE9B13B">
            <w:pPr>
              <w:rPr>
                <w:color w:val="000000"/>
              </w:rPr>
            </w:pPr>
            <w:r>
              <w:rPr>
                <w:rFonts w:hint="eastAsia"/>
                <w:color w:val="000000"/>
                <w:kern w:val="0"/>
                <w:sz w:val="18"/>
                <w:szCs w:val="18"/>
              </w:rPr>
              <w:t>未按要求改正的或无法改正的，未造成严重后果的</w:t>
            </w:r>
          </w:p>
        </w:tc>
        <w:tc>
          <w:tcPr>
            <w:tcW w:w="1214" w:type="dxa"/>
            <w:vMerge w:val="continue"/>
            <w:tcBorders>
              <w:left w:val="single" w:color="auto" w:sz="4" w:space="0"/>
              <w:right w:val="single" w:color="auto" w:sz="4" w:space="0"/>
            </w:tcBorders>
            <w:vAlign w:val="center"/>
          </w:tcPr>
          <w:p w14:paraId="57082C2A">
            <w:pPr>
              <w:rPr>
                <w:color w:val="000000"/>
              </w:rPr>
            </w:pPr>
          </w:p>
        </w:tc>
        <w:tc>
          <w:tcPr>
            <w:tcW w:w="5850" w:type="dxa"/>
            <w:tcBorders>
              <w:top w:val="single" w:color="auto" w:sz="4" w:space="0"/>
              <w:left w:val="single" w:color="auto" w:sz="4" w:space="0"/>
              <w:bottom w:val="single" w:color="auto" w:sz="4" w:space="0"/>
              <w:right w:val="single" w:color="auto" w:sz="4" w:space="0"/>
            </w:tcBorders>
            <w:vAlign w:val="center"/>
          </w:tcPr>
          <w:p w14:paraId="0689D7DD">
            <w:pPr>
              <w:rPr>
                <w:color w:val="000000"/>
              </w:rPr>
            </w:pPr>
            <w:r>
              <w:rPr>
                <w:rFonts w:hint="eastAsia"/>
                <w:color w:val="000000"/>
              </w:rPr>
              <w:t>处8万元以上10万元以下的罚款</w:t>
            </w:r>
          </w:p>
        </w:tc>
      </w:tr>
      <w:tr w14:paraId="2971BF3B">
        <w:tblPrEx>
          <w:tblCellMar>
            <w:top w:w="0" w:type="dxa"/>
            <w:left w:w="108" w:type="dxa"/>
            <w:bottom w:w="0" w:type="dxa"/>
            <w:right w:w="108" w:type="dxa"/>
          </w:tblCellMar>
        </w:tblPrEx>
        <w:trPr>
          <w:trHeight w:val="540" w:hRule="atLeast"/>
        </w:trPr>
        <w:tc>
          <w:tcPr>
            <w:tcW w:w="1154" w:type="dxa"/>
            <w:vMerge w:val="continue"/>
            <w:tcBorders>
              <w:left w:val="single" w:color="auto" w:sz="8" w:space="0"/>
              <w:right w:val="single" w:color="auto" w:sz="4" w:space="0"/>
            </w:tcBorders>
            <w:vAlign w:val="center"/>
          </w:tcPr>
          <w:p w14:paraId="288A57AC">
            <w:pPr>
              <w:rPr>
                <w:color w:val="000000"/>
              </w:rPr>
            </w:pPr>
          </w:p>
        </w:tc>
        <w:tc>
          <w:tcPr>
            <w:tcW w:w="5812" w:type="dxa"/>
            <w:tcBorders>
              <w:top w:val="single" w:color="auto" w:sz="4" w:space="0"/>
              <w:left w:val="nil"/>
              <w:bottom w:val="single" w:color="auto" w:sz="4" w:space="0"/>
              <w:right w:val="single" w:color="auto" w:sz="4" w:space="0"/>
            </w:tcBorders>
            <w:vAlign w:val="center"/>
          </w:tcPr>
          <w:p w14:paraId="31CBB91A">
            <w:pPr>
              <w:rPr>
                <w:color w:val="000000"/>
              </w:rPr>
            </w:pPr>
            <w:r>
              <w:rPr>
                <w:rFonts w:hint="eastAsia"/>
                <w:color w:val="000000"/>
                <w:kern w:val="0"/>
                <w:sz w:val="18"/>
                <w:szCs w:val="18"/>
              </w:rPr>
              <w:t>造成一般或较大质量安全事故的</w:t>
            </w:r>
          </w:p>
        </w:tc>
        <w:tc>
          <w:tcPr>
            <w:tcW w:w="1214" w:type="dxa"/>
            <w:vMerge w:val="continue"/>
            <w:tcBorders>
              <w:left w:val="single" w:color="auto" w:sz="4" w:space="0"/>
              <w:right w:val="single" w:color="auto" w:sz="4" w:space="0"/>
            </w:tcBorders>
            <w:vAlign w:val="center"/>
          </w:tcPr>
          <w:p w14:paraId="350F0567">
            <w:pPr>
              <w:rPr>
                <w:color w:val="000000"/>
              </w:rPr>
            </w:pPr>
          </w:p>
        </w:tc>
        <w:tc>
          <w:tcPr>
            <w:tcW w:w="5850" w:type="dxa"/>
            <w:tcBorders>
              <w:top w:val="single" w:color="auto" w:sz="4" w:space="0"/>
              <w:left w:val="single" w:color="auto" w:sz="4" w:space="0"/>
              <w:bottom w:val="single" w:color="auto" w:sz="4" w:space="0"/>
              <w:right w:val="single" w:color="auto" w:sz="4" w:space="0"/>
            </w:tcBorders>
            <w:vAlign w:val="center"/>
          </w:tcPr>
          <w:p w14:paraId="2D7A325A">
            <w:pPr>
              <w:rPr>
                <w:color w:val="000000"/>
              </w:rPr>
            </w:pPr>
            <w:r>
              <w:rPr>
                <w:rFonts w:hint="eastAsia"/>
                <w:color w:val="000000"/>
              </w:rPr>
              <w:t>处10万元以上15万元以下的罚款</w:t>
            </w:r>
          </w:p>
        </w:tc>
      </w:tr>
      <w:tr w14:paraId="4A0EBC8E">
        <w:tblPrEx>
          <w:tblCellMar>
            <w:top w:w="0" w:type="dxa"/>
            <w:left w:w="108" w:type="dxa"/>
            <w:bottom w:w="0" w:type="dxa"/>
            <w:right w:w="108" w:type="dxa"/>
          </w:tblCellMar>
        </w:tblPrEx>
        <w:trPr>
          <w:trHeight w:val="540" w:hRule="atLeast"/>
        </w:trPr>
        <w:tc>
          <w:tcPr>
            <w:tcW w:w="1154" w:type="dxa"/>
            <w:vMerge w:val="continue"/>
            <w:tcBorders>
              <w:left w:val="single" w:color="auto" w:sz="8" w:space="0"/>
              <w:bottom w:val="single" w:color="000000" w:sz="4" w:space="0"/>
              <w:right w:val="single" w:color="auto" w:sz="4" w:space="0"/>
            </w:tcBorders>
            <w:vAlign w:val="center"/>
          </w:tcPr>
          <w:p w14:paraId="44F22F8D">
            <w:pPr>
              <w:rPr>
                <w:color w:val="000000"/>
              </w:rPr>
            </w:pPr>
          </w:p>
        </w:tc>
        <w:tc>
          <w:tcPr>
            <w:tcW w:w="5812" w:type="dxa"/>
            <w:tcBorders>
              <w:top w:val="single" w:color="auto" w:sz="4" w:space="0"/>
              <w:left w:val="nil"/>
              <w:bottom w:val="single" w:color="auto" w:sz="4" w:space="0"/>
              <w:right w:val="single" w:color="auto" w:sz="4" w:space="0"/>
            </w:tcBorders>
            <w:vAlign w:val="center"/>
          </w:tcPr>
          <w:p w14:paraId="6C00FBFE">
            <w:pPr>
              <w:rPr>
                <w:color w:val="000000"/>
              </w:rPr>
            </w:pPr>
            <w:r>
              <w:rPr>
                <w:rFonts w:hint="eastAsia"/>
                <w:color w:val="000000"/>
                <w:kern w:val="0"/>
                <w:sz w:val="18"/>
                <w:szCs w:val="18"/>
              </w:rPr>
              <w:t>造成重大以上质量安全事故的</w:t>
            </w:r>
          </w:p>
        </w:tc>
        <w:tc>
          <w:tcPr>
            <w:tcW w:w="1214" w:type="dxa"/>
            <w:vMerge w:val="continue"/>
            <w:tcBorders>
              <w:left w:val="single" w:color="auto" w:sz="4" w:space="0"/>
              <w:bottom w:val="single" w:color="auto" w:sz="4" w:space="0"/>
              <w:right w:val="single" w:color="auto" w:sz="4" w:space="0"/>
            </w:tcBorders>
            <w:vAlign w:val="center"/>
          </w:tcPr>
          <w:p w14:paraId="20374A39">
            <w:pPr>
              <w:rPr>
                <w:color w:val="000000"/>
              </w:rPr>
            </w:pPr>
          </w:p>
        </w:tc>
        <w:tc>
          <w:tcPr>
            <w:tcW w:w="5850" w:type="dxa"/>
            <w:tcBorders>
              <w:top w:val="single" w:color="auto" w:sz="4" w:space="0"/>
              <w:left w:val="single" w:color="auto" w:sz="4" w:space="0"/>
              <w:bottom w:val="single" w:color="auto" w:sz="4" w:space="0"/>
              <w:right w:val="single" w:color="auto" w:sz="4" w:space="0"/>
            </w:tcBorders>
            <w:vAlign w:val="center"/>
          </w:tcPr>
          <w:p w14:paraId="7784F83F">
            <w:pPr>
              <w:rPr>
                <w:color w:val="000000"/>
              </w:rPr>
            </w:pPr>
            <w:r>
              <w:rPr>
                <w:rFonts w:hint="eastAsia"/>
                <w:color w:val="000000"/>
              </w:rPr>
              <w:t>处15万元以上20万元以下的罚款</w:t>
            </w:r>
          </w:p>
        </w:tc>
      </w:tr>
    </w:tbl>
    <w:p w14:paraId="1D8B4535"/>
    <w:p w14:paraId="3885180D"/>
    <w:p w14:paraId="6D314409"/>
    <w:p w14:paraId="2884F53E"/>
    <w:p w14:paraId="32D9FC4F"/>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4A665B6A">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031FD4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6061CA49">
            <w:pPr>
              <w:spacing w:line="320" w:lineRule="exact"/>
              <w:jc w:val="left"/>
              <w:rPr>
                <w:rFonts w:eastAsia="仿宋_GB2312"/>
                <w:b/>
                <w:bCs/>
                <w:color w:val="000000"/>
                <w:kern w:val="0"/>
                <w:sz w:val="18"/>
                <w:szCs w:val="18"/>
              </w:rPr>
            </w:pPr>
            <w:r>
              <w:rPr>
                <w:rFonts w:eastAsia="仿宋_GB2312"/>
                <w:b/>
                <w:bCs/>
                <w:color w:val="000000"/>
                <w:kern w:val="0"/>
                <w:sz w:val="18"/>
                <w:szCs w:val="18"/>
              </w:rPr>
              <w:t>320217514000</w:t>
            </w:r>
            <w:r>
              <w:rPr>
                <w:rFonts w:hint="eastAsia" w:eastAsia="仿宋_GB2312"/>
                <w:b/>
                <w:bCs/>
                <w:color w:val="000000"/>
                <w:kern w:val="0"/>
                <w:sz w:val="18"/>
                <w:szCs w:val="18"/>
              </w:rPr>
              <w:t xml:space="preserve"> </w:t>
            </w:r>
          </w:p>
        </w:tc>
      </w:tr>
      <w:tr w14:paraId="740CE36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0A0BC3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7D862769">
            <w:pPr>
              <w:spacing w:line="320" w:lineRule="exact"/>
              <w:jc w:val="left"/>
              <w:rPr>
                <w:color w:val="000000"/>
                <w:kern w:val="0"/>
                <w:sz w:val="18"/>
                <w:szCs w:val="18"/>
              </w:rPr>
            </w:pPr>
            <w:r>
              <w:rPr>
                <w:rFonts w:hint="eastAsia"/>
                <w:color w:val="000000"/>
                <w:kern w:val="0"/>
                <w:sz w:val="18"/>
                <w:szCs w:val="18"/>
              </w:rPr>
              <w:t>对房地产经纪人员以个人名义承接房地产经纪业务和收取费用的处罚</w:t>
            </w:r>
          </w:p>
        </w:tc>
      </w:tr>
      <w:tr w14:paraId="767CD41A">
        <w:tblPrEx>
          <w:tblCellMar>
            <w:top w:w="0" w:type="dxa"/>
            <w:left w:w="108" w:type="dxa"/>
            <w:bottom w:w="0" w:type="dxa"/>
            <w:right w:w="108" w:type="dxa"/>
          </w:tblCellMar>
        </w:tblPrEx>
        <w:trPr>
          <w:trHeight w:val="1815" w:hRule="atLeast"/>
        </w:trPr>
        <w:tc>
          <w:tcPr>
            <w:tcW w:w="1010" w:type="dxa"/>
            <w:tcBorders>
              <w:top w:val="nil"/>
              <w:left w:val="single" w:color="auto" w:sz="8" w:space="0"/>
              <w:bottom w:val="single" w:color="auto" w:sz="4" w:space="0"/>
              <w:right w:val="single" w:color="auto" w:sz="4" w:space="0"/>
            </w:tcBorders>
            <w:vAlign w:val="center"/>
          </w:tcPr>
          <w:p w14:paraId="53469C3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0D7A89BE">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7FD99B1C">
            <w:pPr>
              <w:spacing w:line="320" w:lineRule="exact"/>
              <w:jc w:val="left"/>
              <w:rPr>
                <w:color w:val="000000"/>
                <w:kern w:val="0"/>
                <w:sz w:val="18"/>
                <w:szCs w:val="18"/>
              </w:rPr>
            </w:pP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房地产经纪业务应当由房地产经纪机构统一承接，服务报酬由房地产经纪机构统一收取。分支机构应当以设立该分支机构的房地产经纪机构名义承揽业务。</w:t>
            </w:r>
          </w:p>
          <w:p w14:paraId="4EAC72E9">
            <w:pPr>
              <w:spacing w:line="320" w:lineRule="exact"/>
              <w:jc w:val="left"/>
              <w:rPr>
                <w:color w:val="000000"/>
                <w:kern w:val="0"/>
                <w:sz w:val="18"/>
                <w:szCs w:val="18"/>
              </w:rPr>
            </w:pPr>
            <w:r>
              <w:rPr>
                <w:rFonts w:hint="eastAsia"/>
                <w:color w:val="000000"/>
                <w:kern w:val="0"/>
                <w:sz w:val="18"/>
                <w:szCs w:val="18"/>
              </w:rPr>
              <w:t>房地产经纪人员不得以个人名义承接房地产经纪业务和收取费用。</w:t>
            </w:r>
          </w:p>
          <w:p w14:paraId="699620B1">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64757197">
            <w:pPr>
              <w:spacing w:line="320" w:lineRule="exact"/>
              <w:jc w:val="left"/>
              <w:rPr>
                <w:color w:val="000000"/>
                <w:kern w:val="0"/>
                <w:sz w:val="18"/>
                <w:szCs w:val="18"/>
              </w:rPr>
            </w:pPr>
            <w:r>
              <w:rPr>
                <w:rFonts w:hint="eastAsia"/>
                <w:color w:val="000000"/>
                <w:kern w:val="0"/>
                <w:sz w:val="18"/>
                <w:szCs w:val="18"/>
              </w:rPr>
              <w:t>（一）房地产经纪人员以个人名义承接房地产经纪业务和收取费用的。</w:t>
            </w:r>
          </w:p>
        </w:tc>
      </w:tr>
      <w:tr w14:paraId="0C44136B">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144224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2FF6EE65">
            <w:pPr>
              <w:spacing w:line="320" w:lineRule="exact"/>
              <w:jc w:val="left"/>
              <w:rPr>
                <w:color w:val="000000"/>
                <w:kern w:val="0"/>
                <w:sz w:val="18"/>
                <w:szCs w:val="18"/>
              </w:rPr>
            </w:pPr>
            <w:r>
              <w:rPr>
                <w:rFonts w:hint="eastAsia"/>
                <w:color w:val="000000"/>
                <w:kern w:val="0"/>
                <w:sz w:val="18"/>
                <w:szCs w:val="18"/>
              </w:rPr>
              <w:t>罚款</w:t>
            </w:r>
          </w:p>
        </w:tc>
      </w:tr>
      <w:tr w14:paraId="4334A878">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589E6A5">
            <w:pPr>
              <w:spacing w:line="320" w:lineRule="exact"/>
              <w:jc w:val="center"/>
              <w:rPr>
                <w:color w:val="000000"/>
                <w:kern w:val="0"/>
                <w:sz w:val="18"/>
                <w:szCs w:val="18"/>
              </w:rPr>
            </w:pPr>
            <w:r>
              <w:rPr>
                <w:rFonts w:hint="eastAsia"/>
                <w:color w:val="000000"/>
                <w:kern w:val="0"/>
                <w:sz w:val="18"/>
                <w:szCs w:val="18"/>
              </w:rPr>
              <w:t>裁量基准</w:t>
            </w:r>
          </w:p>
        </w:tc>
      </w:tr>
      <w:tr w14:paraId="660D5860">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4B02503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41FD9C1">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1811342B">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0220E443">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0D5A0A63">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14:paraId="491F04F1">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12E2632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7027F4E">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3DFE5EA6">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5E1C8F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w:t>
            </w:r>
            <w:r>
              <w:rPr>
                <w:color w:val="000000"/>
                <w:kern w:val="0"/>
                <w:sz w:val="18"/>
                <w:szCs w:val="18"/>
              </w:rPr>
              <w:t>3</w:t>
            </w:r>
            <w:r>
              <w:rPr>
                <w:rFonts w:hint="eastAsia"/>
                <w:color w:val="000000"/>
                <w:kern w:val="0"/>
                <w:sz w:val="18"/>
                <w:szCs w:val="18"/>
              </w:rPr>
              <w:t>万元以上罚款</w:t>
            </w:r>
          </w:p>
          <w:p w14:paraId="639FE49C">
            <w:pPr>
              <w:spacing w:line="320" w:lineRule="exact"/>
              <w:jc w:val="left"/>
              <w:rPr>
                <w:color w:val="000000"/>
                <w:kern w:val="0"/>
                <w:sz w:val="18"/>
                <w:szCs w:val="18"/>
              </w:rPr>
            </w:pPr>
            <w:r>
              <w:rPr>
                <w:rFonts w:hint="eastAsia"/>
                <w:color w:val="000000"/>
                <w:kern w:val="0"/>
                <w:sz w:val="18"/>
                <w:szCs w:val="18"/>
              </w:rPr>
              <w:t>对个人：处心</w:t>
            </w:r>
            <w:r>
              <w:rPr>
                <w:color w:val="000000"/>
                <w:kern w:val="0"/>
                <w:sz w:val="18"/>
                <w:szCs w:val="18"/>
              </w:rPr>
              <w:t>1</w:t>
            </w:r>
            <w:r>
              <w:rPr>
                <w:rFonts w:hint="eastAsia"/>
                <w:color w:val="000000"/>
                <w:kern w:val="0"/>
                <w:sz w:val="18"/>
                <w:szCs w:val="18"/>
              </w:rPr>
              <w:t>万元罚款</w:t>
            </w:r>
          </w:p>
        </w:tc>
      </w:tr>
    </w:tbl>
    <w:p w14:paraId="6928F984"/>
    <w:p w14:paraId="7C501F72"/>
    <w:p w14:paraId="073F652F"/>
    <w:p w14:paraId="734E9187"/>
    <w:p w14:paraId="2D0ECF11"/>
    <w:p w14:paraId="1E26CBB7"/>
    <w:p w14:paraId="78CD9783"/>
    <w:p w14:paraId="59813921"/>
    <w:p w14:paraId="5BB171D0"/>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30D4D347">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639074F">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3EF223A4">
            <w:pPr>
              <w:spacing w:line="320" w:lineRule="exact"/>
              <w:jc w:val="left"/>
              <w:rPr>
                <w:rFonts w:eastAsia="仿宋_GB2312"/>
                <w:b/>
                <w:bCs/>
                <w:color w:val="000000"/>
                <w:kern w:val="0"/>
                <w:sz w:val="18"/>
                <w:szCs w:val="18"/>
              </w:rPr>
            </w:pPr>
            <w:r>
              <w:rPr>
                <w:rFonts w:eastAsia="仿宋_GB2312"/>
                <w:b/>
                <w:bCs/>
                <w:color w:val="000000"/>
                <w:kern w:val="0"/>
                <w:sz w:val="18"/>
                <w:szCs w:val="18"/>
              </w:rPr>
              <w:t>320217515000</w:t>
            </w:r>
          </w:p>
        </w:tc>
      </w:tr>
      <w:tr w14:paraId="232B327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1F9549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544637E8">
            <w:pPr>
              <w:spacing w:line="320" w:lineRule="exact"/>
              <w:jc w:val="left"/>
              <w:rPr>
                <w:color w:val="000000"/>
                <w:kern w:val="0"/>
                <w:sz w:val="18"/>
                <w:szCs w:val="18"/>
              </w:rPr>
            </w:pPr>
            <w:r>
              <w:rPr>
                <w:rFonts w:hint="eastAsia"/>
                <w:color w:val="000000"/>
                <w:kern w:val="0"/>
                <w:sz w:val="18"/>
                <w:szCs w:val="18"/>
              </w:rPr>
              <w:t>对注册房地产估价师或者其聘用单位未按照要求提供注册房地产估价师信用档案信息的处罚</w:t>
            </w:r>
          </w:p>
        </w:tc>
      </w:tr>
      <w:tr w14:paraId="5A9744B6">
        <w:tblPrEx>
          <w:tblCellMar>
            <w:top w:w="0" w:type="dxa"/>
            <w:left w:w="108" w:type="dxa"/>
            <w:bottom w:w="0" w:type="dxa"/>
            <w:right w:w="108" w:type="dxa"/>
          </w:tblCellMar>
        </w:tblPrEx>
        <w:trPr>
          <w:trHeight w:val="1080" w:hRule="atLeast"/>
        </w:trPr>
        <w:tc>
          <w:tcPr>
            <w:tcW w:w="1010" w:type="dxa"/>
            <w:tcBorders>
              <w:top w:val="nil"/>
              <w:left w:val="single" w:color="auto" w:sz="8" w:space="0"/>
              <w:bottom w:val="single" w:color="auto" w:sz="4" w:space="0"/>
              <w:right w:val="single" w:color="auto" w:sz="4" w:space="0"/>
            </w:tcBorders>
            <w:vAlign w:val="center"/>
          </w:tcPr>
          <w:p w14:paraId="4287B28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2AC00FF7">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14:paraId="753DB648">
            <w:pPr>
              <w:spacing w:line="320" w:lineRule="exact"/>
              <w:jc w:val="left"/>
              <w:rPr>
                <w:color w:val="000000"/>
                <w:kern w:val="0"/>
                <w:sz w:val="18"/>
                <w:szCs w:val="18"/>
              </w:rPr>
            </w:pP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注册房地产估价师及其聘用单位应当按照要求，向注册机关提供真实、准确、完整的注册房地产估价师信用档案信息。</w:t>
            </w:r>
          </w:p>
          <w:p w14:paraId="25ED9E97">
            <w:pPr>
              <w:spacing w:line="32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违反本办法规定，注册房地产估价师或者其聘用单位未按照要求提供房地产估价师信用档案信息的，由县级以上地方人民政府建设（房地产）主管部门责令限期改正；逾期未改正的，可处以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47D4AF7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99D28C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CAA51BA">
            <w:pPr>
              <w:spacing w:line="320" w:lineRule="exact"/>
              <w:jc w:val="left"/>
              <w:rPr>
                <w:color w:val="000000"/>
                <w:kern w:val="0"/>
                <w:sz w:val="18"/>
                <w:szCs w:val="18"/>
              </w:rPr>
            </w:pPr>
            <w:r>
              <w:rPr>
                <w:rFonts w:hint="eastAsia"/>
                <w:color w:val="000000"/>
                <w:kern w:val="0"/>
                <w:sz w:val="18"/>
                <w:szCs w:val="18"/>
              </w:rPr>
              <w:t>罚款</w:t>
            </w:r>
          </w:p>
        </w:tc>
      </w:tr>
      <w:tr w14:paraId="0FDD20E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8F7DF9F">
            <w:pPr>
              <w:spacing w:line="320" w:lineRule="exact"/>
              <w:jc w:val="center"/>
              <w:rPr>
                <w:color w:val="000000"/>
                <w:kern w:val="0"/>
                <w:sz w:val="18"/>
                <w:szCs w:val="18"/>
              </w:rPr>
            </w:pPr>
            <w:r>
              <w:rPr>
                <w:rFonts w:hint="eastAsia"/>
                <w:color w:val="000000"/>
                <w:kern w:val="0"/>
                <w:sz w:val="18"/>
                <w:szCs w:val="18"/>
              </w:rPr>
              <w:t>裁量基准</w:t>
            </w:r>
          </w:p>
        </w:tc>
      </w:tr>
      <w:tr w14:paraId="3B9A9D67">
        <w:tblPrEx>
          <w:tblCellMar>
            <w:top w:w="0" w:type="dxa"/>
            <w:left w:w="108" w:type="dxa"/>
            <w:bottom w:w="0" w:type="dxa"/>
            <w:right w:w="108" w:type="dxa"/>
          </w:tblCellMar>
        </w:tblPrEx>
        <w:trPr>
          <w:trHeight w:val="480" w:hRule="atLeast"/>
        </w:trPr>
        <w:tc>
          <w:tcPr>
            <w:tcW w:w="1010" w:type="dxa"/>
            <w:vMerge w:val="restart"/>
            <w:tcBorders>
              <w:top w:val="nil"/>
              <w:left w:val="single" w:color="auto" w:sz="8" w:space="0"/>
              <w:bottom w:val="single" w:color="auto" w:sz="4" w:space="0"/>
              <w:right w:val="single" w:color="auto" w:sz="4" w:space="0"/>
            </w:tcBorders>
            <w:vAlign w:val="center"/>
          </w:tcPr>
          <w:p w14:paraId="731B5B7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906641E">
            <w:pPr>
              <w:spacing w:line="320" w:lineRule="exact"/>
              <w:jc w:val="left"/>
              <w:rPr>
                <w:color w:val="000000"/>
                <w:kern w:val="0"/>
                <w:sz w:val="18"/>
                <w:szCs w:val="18"/>
              </w:rPr>
            </w:pPr>
            <w:r>
              <w:rPr>
                <w:rFonts w:hint="eastAsia"/>
                <w:color w:val="000000"/>
                <w:kern w:val="0"/>
                <w:sz w:val="18"/>
                <w:szCs w:val="18"/>
              </w:rPr>
              <w:t>提供的信息不准确、不完整的</w:t>
            </w:r>
          </w:p>
        </w:tc>
        <w:tc>
          <w:tcPr>
            <w:tcW w:w="1000" w:type="dxa"/>
            <w:vMerge w:val="restart"/>
            <w:tcBorders>
              <w:top w:val="nil"/>
              <w:left w:val="single" w:color="auto" w:sz="4" w:space="0"/>
              <w:bottom w:val="single" w:color="auto" w:sz="4" w:space="0"/>
              <w:right w:val="single" w:color="auto" w:sz="4" w:space="0"/>
            </w:tcBorders>
            <w:vAlign w:val="center"/>
          </w:tcPr>
          <w:p w14:paraId="5465396A">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6079A6B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47099B62">
        <w:tblPrEx>
          <w:tblCellMar>
            <w:top w:w="0" w:type="dxa"/>
            <w:left w:w="108" w:type="dxa"/>
            <w:bottom w:w="0" w:type="dxa"/>
            <w:right w:w="108" w:type="dxa"/>
          </w:tblCellMar>
        </w:tblPrEx>
        <w:trPr>
          <w:trHeight w:val="480" w:hRule="atLeast"/>
        </w:trPr>
        <w:tc>
          <w:tcPr>
            <w:tcW w:w="1010" w:type="dxa"/>
            <w:vMerge w:val="continue"/>
            <w:tcBorders>
              <w:top w:val="nil"/>
              <w:left w:val="single" w:color="auto" w:sz="8" w:space="0"/>
              <w:bottom w:val="single" w:color="auto" w:sz="4" w:space="0"/>
              <w:right w:val="single" w:color="auto" w:sz="4" w:space="0"/>
            </w:tcBorders>
            <w:vAlign w:val="center"/>
          </w:tcPr>
          <w:p w14:paraId="274BE01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2AA1CC2">
            <w:pPr>
              <w:spacing w:line="320" w:lineRule="exact"/>
              <w:jc w:val="left"/>
              <w:rPr>
                <w:color w:val="000000"/>
                <w:kern w:val="0"/>
                <w:sz w:val="18"/>
                <w:szCs w:val="18"/>
              </w:rPr>
            </w:pPr>
            <w:r>
              <w:rPr>
                <w:rFonts w:hint="eastAsia"/>
                <w:color w:val="000000"/>
                <w:kern w:val="0"/>
                <w:sz w:val="18"/>
                <w:szCs w:val="18"/>
              </w:rPr>
              <w:t>提供的信息不真实的</w:t>
            </w:r>
          </w:p>
        </w:tc>
        <w:tc>
          <w:tcPr>
            <w:tcW w:w="1000" w:type="dxa"/>
            <w:vMerge w:val="continue"/>
            <w:tcBorders>
              <w:top w:val="nil"/>
              <w:left w:val="single" w:color="auto" w:sz="4" w:space="0"/>
              <w:bottom w:val="single" w:color="auto" w:sz="4" w:space="0"/>
              <w:right w:val="single" w:color="auto" w:sz="4" w:space="0"/>
            </w:tcBorders>
            <w:vAlign w:val="center"/>
          </w:tcPr>
          <w:p w14:paraId="6EF7D328">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77B2567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4D5FA144">
        <w:tblPrEx>
          <w:tblCellMar>
            <w:top w:w="0" w:type="dxa"/>
            <w:left w:w="108" w:type="dxa"/>
            <w:bottom w:w="0" w:type="dxa"/>
            <w:right w:w="108" w:type="dxa"/>
          </w:tblCellMar>
        </w:tblPrEx>
        <w:trPr>
          <w:trHeight w:val="480" w:hRule="atLeast"/>
        </w:trPr>
        <w:tc>
          <w:tcPr>
            <w:tcW w:w="1010" w:type="dxa"/>
            <w:vMerge w:val="continue"/>
            <w:tcBorders>
              <w:top w:val="nil"/>
              <w:left w:val="single" w:color="auto" w:sz="8" w:space="0"/>
              <w:bottom w:val="single" w:color="auto" w:sz="4" w:space="0"/>
              <w:right w:val="single" w:color="auto" w:sz="4" w:space="0"/>
            </w:tcBorders>
            <w:vAlign w:val="center"/>
          </w:tcPr>
          <w:p w14:paraId="6FDA0CD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1523576">
            <w:pPr>
              <w:spacing w:line="320" w:lineRule="exact"/>
              <w:jc w:val="left"/>
              <w:rPr>
                <w:color w:val="000000"/>
                <w:kern w:val="0"/>
                <w:sz w:val="18"/>
                <w:szCs w:val="18"/>
              </w:rPr>
            </w:pPr>
            <w:r>
              <w:rPr>
                <w:rFonts w:hint="eastAsia"/>
                <w:color w:val="000000"/>
                <w:kern w:val="0"/>
                <w:sz w:val="18"/>
                <w:szCs w:val="18"/>
              </w:rPr>
              <w:t>提供的信息不真实、不准确、不完整的</w:t>
            </w:r>
          </w:p>
        </w:tc>
        <w:tc>
          <w:tcPr>
            <w:tcW w:w="1000" w:type="dxa"/>
            <w:vMerge w:val="continue"/>
            <w:tcBorders>
              <w:top w:val="nil"/>
              <w:left w:val="single" w:color="auto" w:sz="4" w:space="0"/>
              <w:bottom w:val="single" w:color="auto" w:sz="4" w:space="0"/>
              <w:right w:val="single" w:color="auto" w:sz="4" w:space="0"/>
            </w:tcBorders>
            <w:vAlign w:val="center"/>
          </w:tcPr>
          <w:p w14:paraId="152DA01F">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4749EF6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73998EB6"/>
    <w:p w14:paraId="00D970AD"/>
    <w:p w14:paraId="6C3C52B4"/>
    <w:p w14:paraId="7AD7B3F0"/>
    <w:p w14:paraId="57684688"/>
    <w:p w14:paraId="53CE67E3"/>
    <w:p w14:paraId="2C2EA253"/>
    <w:p w14:paraId="4CF81395"/>
    <w:tbl>
      <w:tblPr>
        <w:tblStyle w:val="15"/>
        <w:tblW w:w="0" w:type="auto"/>
        <w:tblInd w:w="88" w:type="dxa"/>
        <w:tblLayout w:type="fixed"/>
        <w:tblCellMar>
          <w:top w:w="0" w:type="dxa"/>
          <w:left w:w="108" w:type="dxa"/>
          <w:bottom w:w="0" w:type="dxa"/>
          <w:right w:w="108" w:type="dxa"/>
        </w:tblCellMar>
      </w:tblPr>
      <w:tblGrid>
        <w:gridCol w:w="1010"/>
        <w:gridCol w:w="1704"/>
        <w:gridCol w:w="4436"/>
        <w:gridCol w:w="1000"/>
        <w:gridCol w:w="5866"/>
      </w:tblGrid>
      <w:tr w14:paraId="0A8FBED5">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D2F0A1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6791177D">
            <w:pPr>
              <w:spacing w:line="320" w:lineRule="exact"/>
              <w:jc w:val="left"/>
              <w:rPr>
                <w:rFonts w:eastAsia="仿宋_GB2312"/>
                <w:b/>
                <w:bCs/>
                <w:color w:val="000000"/>
                <w:kern w:val="0"/>
                <w:sz w:val="18"/>
                <w:szCs w:val="18"/>
              </w:rPr>
            </w:pPr>
            <w:r>
              <w:rPr>
                <w:rFonts w:eastAsia="仿宋_GB2312"/>
                <w:b/>
                <w:bCs/>
                <w:color w:val="000000"/>
                <w:kern w:val="0"/>
                <w:sz w:val="18"/>
                <w:szCs w:val="18"/>
              </w:rPr>
              <w:t>320217516000</w:t>
            </w:r>
            <w:r>
              <w:rPr>
                <w:rFonts w:hint="eastAsia" w:eastAsia="仿宋_GB2312"/>
                <w:b/>
                <w:bCs/>
                <w:color w:val="000000"/>
                <w:kern w:val="0"/>
                <w:sz w:val="18"/>
                <w:szCs w:val="18"/>
              </w:rPr>
              <w:t xml:space="preserve"> </w:t>
            </w:r>
          </w:p>
        </w:tc>
      </w:tr>
      <w:tr w14:paraId="41A56FC3">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654391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60872F87">
            <w:pPr>
              <w:spacing w:line="320" w:lineRule="exact"/>
              <w:jc w:val="left"/>
              <w:rPr>
                <w:color w:val="000000"/>
                <w:kern w:val="0"/>
                <w:sz w:val="18"/>
                <w:szCs w:val="18"/>
              </w:rPr>
            </w:pPr>
            <w:r>
              <w:rPr>
                <w:rFonts w:hint="eastAsia"/>
                <w:color w:val="000000"/>
                <w:kern w:val="0"/>
                <w:sz w:val="18"/>
                <w:szCs w:val="18"/>
              </w:rPr>
              <w:t>对不具备规定条件从事白蚁防治业务的处罚</w:t>
            </w:r>
          </w:p>
        </w:tc>
      </w:tr>
      <w:tr w14:paraId="0AA935F3">
        <w:tblPrEx>
          <w:tblCellMar>
            <w:top w:w="0" w:type="dxa"/>
            <w:left w:w="108" w:type="dxa"/>
            <w:bottom w:w="0" w:type="dxa"/>
            <w:right w:w="108" w:type="dxa"/>
          </w:tblCellMar>
        </w:tblPrEx>
        <w:trPr>
          <w:trHeight w:val="2085" w:hRule="atLeast"/>
        </w:trPr>
        <w:tc>
          <w:tcPr>
            <w:tcW w:w="1010" w:type="dxa"/>
            <w:tcBorders>
              <w:top w:val="nil"/>
              <w:left w:val="single" w:color="auto" w:sz="8" w:space="0"/>
              <w:bottom w:val="single" w:color="auto" w:sz="4" w:space="0"/>
              <w:right w:val="single" w:color="auto" w:sz="4" w:space="0"/>
            </w:tcBorders>
            <w:vAlign w:val="center"/>
          </w:tcPr>
          <w:p w14:paraId="62B857F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72D8B7D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14:paraId="516F502D">
            <w:pPr>
              <w:spacing w:line="320" w:lineRule="exact"/>
              <w:jc w:val="left"/>
              <w:rPr>
                <w:color w:val="000000"/>
                <w:kern w:val="0"/>
                <w:sz w:val="18"/>
                <w:szCs w:val="18"/>
              </w:rPr>
            </w:pPr>
            <w:r>
              <w:rPr>
                <w:rFonts w:hint="eastAsia"/>
                <w:color w:val="000000"/>
                <w:kern w:val="0"/>
                <w:sz w:val="18"/>
                <w:szCs w:val="18"/>
              </w:rPr>
              <w:t>第六条　设立白蚁防治单位，应当具备以下条件：</w:t>
            </w:r>
            <w:r>
              <w:rPr>
                <w:color w:val="000000"/>
                <w:kern w:val="0"/>
                <w:sz w:val="18"/>
                <w:szCs w:val="18"/>
              </w:rPr>
              <w:t xml:space="preserve"> </w:t>
            </w:r>
          </w:p>
          <w:p w14:paraId="362A7F49">
            <w:pPr>
              <w:spacing w:line="320" w:lineRule="exact"/>
              <w:jc w:val="left"/>
              <w:rPr>
                <w:color w:val="000000"/>
                <w:kern w:val="0"/>
                <w:sz w:val="18"/>
                <w:szCs w:val="18"/>
              </w:rPr>
            </w:pPr>
            <w:r>
              <w:rPr>
                <w:rFonts w:hint="eastAsia"/>
                <w:color w:val="000000"/>
                <w:kern w:val="0"/>
                <w:sz w:val="18"/>
                <w:szCs w:val="18"/>
              </w:rPr>
              <w:t>（一）有自己的名称和组织机构；</w:t>
            </w:r>
            <w:r>
              <w:rPr>
                <w:color w:val="000000"/>
                <w:kern w:val="0"/>
                <w:sz w:val="18"/>
                <w:szCs w:val="18"/>
              </w:rPr>
              <w:t xml:space="preserve"> </w:t>
            </w:r>
          </w:p>
          <w:p w14:paraId="2470BB7A">
            <w:pPr>
              <w:spacing w:line="320" w:lineRule="exact"/>
              <w:jc w:val="left"/>
              <w:rPr>
                <w:color w:val="000000"/>
                <w:kern w:val="0"/>
                <w:sz w:val="18"/>
                <w:szCs w:val="18"/>
              </w:rPr>
            </w:pPr>
            <w:r>
              <w:rPr>
                <w:rFonts w:hint="eastAsia"/>
                <w:color w:val="000000"/>
                <w:kern w:val="0"/>
                <w:sz w:val="18"/>
                <w:szCs w:val="18"/>
              </w:rPr>
              <w:t>（二）有固定的办公地点及场所；</w:t>
            </w:r>
            <w:r>
              <w:rPr>
                <w:color w:val="000000"/>
                <w:kern w:val="0"/>
                <w:sz w:val="18"/>
                <w:szCs w:val="18"/>
              </w:rPr>
              <w:t xml:space="preserve"> </w:t>
            </w:r>
          </w:p>
          <w:p w14:paraId="485C86FA">
            <w:pPr>
              <w:spacing w:line="320" w:lineRule="exact"/>
              <w:jc w:val="left"/>
              <w:rPr>
                <w:color w:val="000000"/>
                <w:kern w:val="0"/>
                <w:sz w:val="18"/>
                <w:szCs w:val="18"/>
              </w:rPr>
            </w:pPr>
            <w:r>
              <w:rPr>
                <w:rFonts w:hint="eastAsia"/>
                <w:color w:val="000000"/>
                <w:kern w:val="0"/>
                <w:sz w:val="18"/>
                <w:szCs w:val="18"/>
              </w:rPr>
              <w:t>（三）有</w:t>
            </w:r>
            <w:r>
              <w:rPr>
                <w:color w:val="000000"/>
                <w:kern w:val="0"/>
                <w:sz w:val="18"/>
                <w:szCs w:val="18"/>
              </w:rPr>
              <w:t>30</w:t>
            </w:r>
            <w:r>
              <w:rPr>
                <w:rFonts w:hint="eastAsia"/>
                <w:color w:val="000000"/>
                <w:kern w:val="0"/>
                <w:sz w:val="18"/>
                <w:szCs w:val="18"/>
              </w:rPr>
              <w:t>万元以上的注册资本；</w:t>
            </w:r>
            <w:r>
              <w:rPr>
                <w:color w:val="000000"/>
                <w:kern w:val="0"/>
                <w:sz w:val="18"/>
                <w:szCs w:val="18"/>
              </w:rPr>
              <w:t xml:space="preserve"> </w:t>
            </w:r>
          </w:p>
          <w:p w14:paraId="3E2AAAF7">
            <w:pPr>
              <w:spacing w:line="320" w:lineRule="exact"/>
              <w:jc w:val="left"/>
              <w:rPr>
                <w:color w:val="000000"/>
                <w:kern w:val="0"/>
                <w:sz w:val="18"/>
                <w:szCs w:val="18"/>
              </w:rPr>
            </w:pPr>
            <w:r>
              <w:rPr>
                <w:rFonts w:hint="eastAsia"/>
                <w:color w:val="000000"/>
                <w:kern w:val="0"/>
                <w:sz w:val="18"/>
                <w:szCs w:val="18"/>
              </w:rPr>
              <w:t>（四）有生物、药物检测和建筑工程等专业的专职技术人员。</w:t>
            </w:r>
          </w:p>
          <w:p w14:paraId="1BBD1FEC">
            <w:pPr>
              <w:spacing w:line="320" w:lineRule="exact"/>
              <w:jc w:val="left"/>
              <w:rPr>
                <w:color w:val="000000"/>
                <w:kern w:val="0"/>
                <w:sz w:val="18"/>
                <w:szCs w:val="18"/>
              </w:rPr>
            </w:pPr>
            <w:r>
              <w:rPr>
                <w:rFonts w:hint="eastAsia"/>
                <w:color w:val="000000"/>
                <w:kern w:val="0"/>
                <w:sz w:val="18"/>
                <w:szCs w:val="18"/>
              </w:rPr>
              <w:t>第十三条　违反本规定第六条的规定，从事白蚁防治业务的，由房屋所在地的县级以上地方人民政府房地产行政主管部门责令改正，并可处以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631A104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EF1862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5EDC8F23">
            <w:pPr>
              <w:spacing w:line="320" w:lineRule="exact"/>
              <w:jc w:val="left"/>
              <w:rPr>
                <w:color w:val="000000"/>
                <w:kern w:val="0"/>
                <w:sz w:val="18"/>
                <w:szCs w:val="18"/>
              </w:rPr>
            </w:pPr>
            <w:r>
              <w:rPr>
                <w:rFonts w:hint="eastAsia"/>
                <w:color w:val="000000"/>
                <w:kern w:val="0"/>
                <w:sz w:val="18"/>
                <w:szCs w:val="18"/>
              </w:rPr>
              <w:t>罚款</w:t>
            </w:r>
          </w:p>
        </w:tc>
      </w:tr>
      <w:tr w14:paraId="6E686570">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36DDD801">
            <w:pPr>
              <w:spacing w:line="320" w:lineRule="exact"/>
              <w:jc w:val="center"/>
              <w:rPr>
                <w:color w:val="000000"/>
                <w:kern w:val="0"/>
                <w:sz w:val="18"/>
                <w:szCs w:val="18"/>
              </w:rPr>
            </w:pPr>
            <w:r>
              <w:rPr>
                <w:rFonts w:hint="eastAsia"/>
                <w:color w:val="000000"/>
                <w:kern w:val="0"/>
                <w:sz w:val="18"/>
                <w:szCs w:val="18"/>
              </w:rPr>
              <w:t>裁量基准</w:t>
            </w:r>
          </w:p>
        </w:tc>
      </w:tr>
      <w:tr w14:paraId="2E5C62D3">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3846323F">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26538F6C">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227D418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37AB4ADA">
            <w:pPr>
              <w:spacing w:line="320" w:lineRule="exact"/>
              <w:jc w:val="left"/>
              <w:rPr>
                <w:color w:val="000000"/>
                <w:kern w:val="0"/>
                <w:sz w:val="18"/>
                <w:szCs w:val="18"/>
              </w:rPr>
            </w:pPr>
            <w:r>
              <w:rPr>
                <w:rFonts w:hint="eastAsia"/>
                <w:color w:val="000000"/>
                <w:kern w:val="0"/>
                <w:sz w:val="18"/>
                <w:szCs w:val="18"/>
              </w:rPr>
              <w:t>不处罚款</w:t>
            </w:r>
          </w:p>
        </w:tc>
      </w:tr>
      <w:tr w14:paraId="7F568279">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48DBC702">
            <w:pPr>
              <w:spacing w:line="320" w:lineRule="exact"/>
              <w:jc w:val="center"/>
              <w:rPr>
                <w:color w:val="000000"/>
                <w:kern w:val="0"/>
                <w:sz w:val="18"/>
                <w:szCs w:val="18"/>
              </w:rPr>
            </w:pPr>
          </w:p>
        </w:tc>
        <w:tc>
          <w:tcPr>
            <w:tcW w:w="1704" w:type="dxa"/>
            <w:vMerge w:val="restart"/>
            <w:tcBorders>
              <w:top w:val="single" w:color="auto" w:sz="4" w:space="0"/>
              <w:left w:val="nil"/>
              <w:right w:val="single" w:color="auto" w:sz="4" w:space="0"/>
            </w:tcBorders>
            <w:vAlign w:val="center"/>
          </w:tcPr>
          <w:p w14:paraId="289A8B0C">
            <w:pPr>
              <w:spacing w:line="320" w:lineRule="exact"/>
              <w:jc w:val="left"/>
              <w:rPr>
                <w:color w:val="000000"/>
                <w:kern w:val="0"/>
                <w:sz w:val="18"/>
                <w:szCs w:val="18"/>
              </w:rPr>
            </w:pPr>
            <w:r>
              <w:rPr>
                <w:rFonts w:hint="eastAsia"/>
                <w:color w:val="000000"/>
                <w:kern w:val="0"/>
                <w:sz w:val="18"/>
                <w:szCs w:val="18"/>
              </w:rPr>
              <w:t>未按照要求改正</w:t>
            </w:r>
          </w:p>
        </w:tc>
        <w:tc>
          <w:tcPr>
            <w:tcW w:w="4436" w:type="dxa"/>
            <w:tcBorders>
              <w:top w:val="single" w:color="auto" w:sz="4" w:space="0"/>
              <w:left w:val="nil"/>
              <w:bottom w:val="single" w:color="auto" w:sz="4" w:space="0"/>
              <w:right w:val="single" w:color="auto" w:sz="4" w:space="0"/>
            </w:tcBorders>
            <w:vAlign w:val="center"/>
          </w:tcPr>
          <w:p w14:paraId="1728952F">
            <w:pPr>
              <w:spacing w:line="320" w:lineRule="exact"/>
              <w:jc w:val="left"/>
              <w:rPr>
                <w:color w:val="000000"/>
                <w:kern w:val="0"/>
                <w:sz w:val="18"/>
                <w:szCs w:val="18"/>
              </w:rPr>
            </w:pPr>
            <w:r>
              <w:rPr>
                <w:rFonts w:hint="eastAsia"/>
                <w:color w:val="000000"/>
                <w:kern w:val="0"/>
                <w:sz w:val="18"/>
                <w:szCs w:val="18"/>
              </w:rPr>
              <w:t>没有违法所得的</w:t>
            </w:r>
          </w:p>
        </w:tc>
        <w:tc>
          <w:tcPr>
            <w:tcW w:w="1000" w:type="dxa"/>
            <w:vMerge w:val="continue"/>
            <w:tcBorders>
              <w:top w:val="nil"/>
              <w:left w:val="single" w:color="auto" w:sz="4" w:space="0"/>
              <w:bottom w:val="single" w:color="auto" w:sz="4" w:space="0"/>
              <w:right w:val="single" w:color="auto" w:sz="4" w:space="0"/>
            </w:tcBorders>
            <w:vAlign w:val="center"/>
          </w:tcPr>
          <w:p w14:paraId="681E6D87">
            <w:pPr>
              <w:spacing w:line="320" w:lineRule="exact"/>
              <w:jc w:val="center"/>
              <w:rPr>
                <w:color w:val="000000"/>
                <w:kern w:val="0"/>
                <w:sz w:val="18"/>
                <w:szCs w:val="18"/>
              </w:rPr>
            </w:pPr>
          </w:p>
        </w:tc>
        <w:tc>
          <w:tcPr>
            <w:tcW w:w="5866" w:type="dxa"/>
            <w:tcBorders>
              <w:top w:val="nil"/>
              <w:left w:val="nil"/>
              <w:bottom w:val="single" w:color="auto" w:sz="4" w:space="0"/>
              <w:right w:val="single" w:color="auto" w:sz="8" w:space="0"/>
            </w:tcBorders>
            <w:vAlign w:val="center"/>
          </w:tcPr>
          <w:p w14:paraId="03515B5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83FB985">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2ECDACB1">
            <w:pPr>
              <w:spacing w:line="320" w:lineRule="exact"/>
              <w:jc w:val="left"/>
              <w:rPr>
                <w:color w:val="000000"/>
                <w:kern w:val="0"/>
                <w:sz w:val="18"/>
                <w:szCs w:val="18"/>
              </w:rPr>
            </w:pPr>
          </w:p>
        </w:tc>
        <w:tc>
          <w:tcPr>
            <w:tcW w:w="1704" w:type="dxa"/>
            <w:vMerge w:val="continue"/>
            <w:tcBorders>
              <w:left w:val="nil"/>
              <w:bottom w:val="single" w:color="auto" w:sz="4" w:space="0"/>
              <w:right w:val="single" w:color="auto" w:sz="4" w:space="0"/>
            </w:tcBorders>
            <w:vAlign w:val="center"/>
          </w:tcPr>
          <w:p w14:paraId="217083D3">
            <w:pPr>
              <w:spacing w:line="320" w:lineRule="exact"/>
              <w:jc w:val="left"/>
              <w:rPr>
                <w:color w:val="000000"/>
                <w:kern w:val="0"/>
                <w:sz w:val="18"/>
                <w:szCs w:val="18"/>
              </w:rPr>
            </w:pPr>
          </w:p>
        </w:tc>
        <w:tc>
          <w:tcPr>
            <w:tcW w:w="4436" w:type="dxa"/>
            <w:tcBorders>
              <w:top w:val="single" w:color="auto" w:sz="4" w:space="0"/>
              <w:left w:val="nil"/>
              <w:bottom w:val="single" w:color="auto" w:sz="4" w:space="0"/>
              <w:right w:val="single" w:color="auto" w:sz="4" w:space="0"/>
            </w:tcBorders>
            <w:vAlign w:val="center"/>
          </w:tcPr>
          <w:p w14:paraId="5F99E36F">
            <w:pPr>
              <w:spacing w:line="320" w:lineRule="exact"/>
              <w:jc w:val="left"/>
              <w:rPr>
                <w:color w:val="000000"/>
                <w:kern w:val="0"/>
                <w:sz w:val="18"/>
                <w:szCs w:val="18"/>
              </w:rPr>
            </w:pPr>
            <w:r>
              <w:rPr>
                <w:rFonts w:hint="eastAsia"/>
                <w:color w:val="000000"/>
                <w:kern w:val="0"/>
                <w:sz w:val="18"/>
                <w:szCs w:val="18"/>
              </w:rPr>
              <w:t>有违法所得的</w:t>
            </w:r>
          </w:p>
        </w:tc>
        <w:tc>
          <w:tcPr>
            <w:tcW w:w="1000" w:type="dxa"/>
            <w:vMerge w:val="continue"/>
            <w:tcBorders>
              <w:top w:val="nil"/>
              <w:left w:val="single" w:color="auto" w:sz="4" w:space="0"/>
              <w:bottom w:val="single" w:color="auto" w:sz="4" w:space="0"/>
              <w:right w:val="single" w:color="auto" w:sz="4" w:space="0"/>
            </w:tcBorders>
            <w:vAlign w:val="center"/>
          </w:tcPr>
          <w:p w14:paraId="3A144AD2">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1FF892F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43DB177B"/>
    <w:p w14:paraId="27386D6D"/>
    <w:p w14:paraId="19403F31"/>
    <w:p w14:paraId="000AE2CD"/>
    <w:p w14:paraId="6133A495"/>
    <w:p w14:paraId="5B4BB724"/>
    <w:p w14:paraId="57BC36EE"/>
    <w:p w14:paraId="109571A1"/>
    <w:tbl>
      <w:tblPr>
        <w:tblStyle w:val="15"/>
        <w:tblW w:w="0" w:type="auto"/>
        <w:tblInd w:w="88" w:type="dxa"/>
        <w:tblLayout w:type="fixed"/>
        <w:tblCellMar>
          <w:top w:w="0" w:type="dxa"/>
          <w:left w:w="108" w:type="dxa"/>
          <w:bottom w:w="0" w:type="dxa"/>
          <w:right w:w="108" w:type="dxa"/>
        </w:tblCellMar>
      </w:tblPr>
      <w:tblGrid>
        <w:gridCol w:w="1010"/>
        <w:gridCol w:w="1562"/>
        <w:gridCol w:w="4578"/>
        <w:gridCol w:w="1000"/>
        <w:gridCol w:w="5866"/>
      </w:tblGrid>
      <w:tr w14:paraId="4892C500">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A8C3AFD">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50A8134D">
            <w:pPr>
              <w:spacing w:line="320" w:lineRule="exact"/>
              <w:jc w:val="left"/>
              <w:rPr>
                <w:rFonts w:eastAsia="仿宋_GB2312"/>
                <w:b/>
                <w:bCs/>
                <w:color w:val="000000"/>
                <w:kern w:val="0"/>
                <w:sz w:val="18"/>
                <w:szCs w:val="18"/>
              </w:rPr>
            </w:pPr>
            <w:r>
              <w:rPr>
                <w:rFonts w:eastAsia="仿宋_GB2312"/>
                <w:b/>
                <w:bCs/>
                <w:color w:val="000000"/>
                <w:kern w:val="0"/>
                <w:sz w:val="18"/>
                <w:szCs w:val="18"/>
              </w:rPr>
              <w:t>320217517000</w:t>
            </w:r>
            <w:r>
              <w:rPr>
                <w:rFonts w:hint="eastAsia" w:eastAsia="仿宋_GB2312"/>
                <w:b/>
                <w:bCs/>
                <w:color w:val="000000"/>
                <w:kern w:val="0"/>
                <w:sz w:val="18"/>
                <w:szCs w:val="18"/>
              </w:rPr>
              <w:t xml:space="preserve"> </w:t>
            </w:r>
          </w:p>
        </w:tc>
      </w:tr>
      <w:tr w14:paraId="57B46F9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3C191A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0ECDC83A">
            <w:pPr>
              <w:spacing w:line="320" w:lineRule="exact"/>
              <w:jc w:val="left"/>
              <w:rPr>
                <w:color w:val="000000"/>
                <w:kern w:val="0"/>
                <w:sz w:val="18"/>
                <w:szCs w:val="18"/>
              </w:rPr>
            </w:pPr>
            <w:r>
              <w:rPr>
                <w:rFonts w:hint="eastAsia"/>
                <w:color w:val="000000"/>
                <w:kern w:val="0"/>
                <w:sz w:val="18"/>
                <w:szCs w:val="18"/>
              </w:rPr>
              <w:t>对白蚁防治单位未建立健全白蚁防治质量保证体系，按照国家和地方有关城市房屋白蚁防治的施工技术规范和操作程序进行防治的处罚</w:t>
            </w:r>
          </w:p>
        </w:tc>
      </w:tr>
      <w:tr w14:paraId="5B61585A">
        <w:tblPrEx>
          <w:tblCellMar>
            <w:top w:w="0" w:type="dxa"/>
            <w:left w:w="108" w:type="dxa"/>
            <w:bottom w:w="0" w:type="dxa"/>
            <w:right w:w="108" w:type="dxa"/>
          </w:tblCellMar>
        </w:tblPrEx>
        <w:trPr>
          <w:trHeight w:val="1080" w:hRule="atLeast"/>
        </w:trPr>
        <w:tc>
          <w:tcPr>
            <w:tcW w:w="1010" w:type="dxa"/>
            <w:tcBorders>
              <w:top w:val="nil"/>
              <w:left w:val="single" w:color="auto" w:sz="8" w:space="0"/>
              <w:bottom w:val="single" w:color="auto" w:sz="4" w:space="0"/>
              <w:right w:val="single" w:color="auto" w:sz="4" w:space="0"/>
            </w:tcBorders>
            <w:vAlign w:val="center"/>
          </w:tcPr>
          <w:p w14:paraId="4EE2483E">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30E0419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14:paraId="5118959A">
            <w:pPr>
              <w:spacing w:line="320" w:lineRule="exact"/>
              <w:jc w:val="left"/>
              <w:rPr>
                <w:color w:val="000000"/>
                <w:kern w:val="0"/>
                <w:sz w:val="18"/>
                <w:szCs w:val="18"/>
              </w:rPr>
            </w:pPr>
            <w:r>
              <w:rPr>
                <w:rFonts w:hint="eastAsia"/>
                <w:color w:val="000000"/>
                <w:kern w:val="0"/>
                <w:sz w:val="18"/>
                <w:szCs w:val="18"/>
              </w:rPr>
              <w:t>第九条　白蚁防治单位应当建立健全白蚁防治质量保证体系，严格按照国家和地方有关城市房屋白蚁防治的施工技术规范和操作程序进行防治。</w:t>
            </w:r>
          </w:p>
          <w:p w14:paraId="37D1FE66">
            <w:pPr>
              <w:spacing w:line="320" w:lineRule="exact"/>
              <w:jc w:val="left"/>
              <w:rPr>
                <w:color w:val="000000"/>
                <w:kern w:val="0"/>
                <w:sz w:val="18"/>
                <w:szCs w:val="18"/>
              </w:rPr>
            </w:pPr>
            <w:r>
              <w:rPr>
                <w:rFonts w:hint="eastAsia"/>
                <w:color w:val="000000"/>
                <w:kern w:val="0"/>
                <w:sz w:val="18"/>
                <w:szCs w:val="18"/>
              </w:rPr>
              <w:t>第十四条　白蚁防治单位违反本规定第九条规定的，由房屋所在地的县级以上人民政府房地产行政主管部门责令限期改正，并处以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6E4C8D4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559A1B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0B71D1AE">
            <w:pPr>
              <w:spacing w:line="320" w:lineRule="exact"/>
              <w:jc w:val="left"/>
              <w:rPr>
                <w:color w:val="000000"/>
                <w:kern w:val="0"/>
                <w:sz w:val="18"/>
                <w:szCs w:val="18"/>
              </w:rPr>
            </w:pPr>
            <w:r>
              <w:rPr>
                <w:rFonts w:hint="eastAsia"/>
                <w:color w:val="000000"/>
                <w:kern w:val="0"/>
                <w:sz w:val="18"/>
                <w:szCs w:val="18"/>
              </w:rPr>
              <w:t>罚款</w:t>
            </w:r>
          </w:p>
        </w:tc>
      </w:tr>
      <w:tr w14:paraId="6661A34F">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347E46E5">
            <w:pPr>
              <w:spacing w:line="320" w:lineRule="exact"/>
              <w:jc w:val="center"/>
              <w:rPr>
                <w:color w:val="000000"/>
                <w:kern w:val="0"/>
                <w:sz w:val="18"/>
                <w:szCs w:val="18"/>
              </w:rPr>
            </w:pPr>
            <w:r>
              <w:rPr>
                <w:rFonts w:hint="eastAsia"/>
                <w:color w:val="000000"/>
                <w:kern w:val="0"/>
                <w:sz w:val="18"/>
                <w:szCs w:val="18"/>
              </w:rPr>
              <w:t>裁量基准</w:t>
            </w:r>
          </w:p>
        </w:tc>
      </w:tr>
      <w:tr w14:paraId="3E812ACC">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5BB18629">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6902FF07">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2A7871EB">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75882CC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5520B00D">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0DF3BA34">
            <w:pPr>
              <w:spacing w:line="320" w:lineRule="exact"/>
              <w:jc w:val="left"/>
              <w:rPr>
                <w:color w:val="000000"/>
                <w:kern w:val="0"/>
                <w:sz w:val="18"/>
                <w:szCs w:val="18"/>
              </w:rPr>
            </w:pPr>
          </w:p>
        </w:tc>
        <w:tc>
          <w:tcPr>
            <w:tcW w:w="1562" w:type="dxa"/>
            <w:vMerge w:val="restart"/>
            <w:tcBorders>
              <w:top w:val="single" w:color="auto" w:sz="4" w:space="0"/>
              <w:left w:val="nil"/>
              <w:right w:val="single" w:color="auto" w:sz="4" w:space="0"/>
            </w:tcBorders>
            <w:vAlign w:val="center"/>
          </w:tcPr>
          <w:p w14:paraId="068E42CB">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color="auto" w:sz="4" w:space="0"/>
              <w:left w:val="nil"/>
              <w:bottom w:val="single" w:color="auto" w:sz="4" w:space="0"/>
              <w:right w:val="single" w:color="auto" w:sz="4" w:space="0"/>
            </w:tcBorders>
            <w:vAlign w:val="center"/>
          </w:tcPr>
          <w:p w14:paraId="273C2C74">
            <w:pPr>
              <w:spacing w:line="320" w:lineRule="exact"/>
              <w:jc w:val="left"/>
              <w:rPr>
                <w:color w:val="000000"/>
                <w:kern w:val="0"/>
                <w:sz w:val="18"/>
                <w:szCs w:val="18"/>
              </w:rPr>
            </w:pPr>
            <w:r>
              <w:rPr>
                <w:rFonts w:hint="eastAsia"/>
                <w:color w:val="000000"/>
                <w:kern w:val="0"/>
                <w:sz w:val="18"/>
                <w:szCs w:val="18"/>
              </w:rPr>
              <w:t>没有违法所得的</w:t>
            </w:r>
          </w:p>
        </w:tc>
        <w:tc>
          <w:tcPr>
            <w:tcW w:w="1000" w:type="dxa"/>
            <w:vMerge w:val="continue"/>
            <w:tcBorders>
              <w:top w:val="nil"/>
              <w:left w:val="single" w:color="auto" w:sz="4" w:space="0"/>
              <w:bottom w:val="single" w:color="auto" w:sz="4" w:space="0"/>
              <w:right w:val="single" w:color="auto" w:sz="4" w:space="0"/>
            </w:tcBorders>
            <w:vAlign w:val="center"/>
          </w:tcPr>
          <w:p w14:paraId="3CA7A934">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57FAC07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B7E2963">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591D2828">
            <w:pPr>
              <w:spacing w:line="320" w:lineRule="exact"/>
              <w:jc w:val="left"/>
              <w:rPr>
                <w:color w:val="000000"/>
                <w:kern w:val="0"/>
                <w:sz w:val="18"/>
                <w:szCs w:val="18"/>
              </w:rPr>
            </w:pPr>
          </w:p>
        </w:tc>
        <w:tc>
          <w:tcPr>
            <w:tcW w:w="1562" w:type="dxa"/>
            <w:vMerge w:val="continue"/>
            <w:tcBorders>
              <w:left w:val="nil"/>
              <w:bottom w:val="single" w:color="auto" w:sz="4" w:space="0"/>
              <w:right w:val="single" w:color="auto" w:sz="4" w:space="0"/>
            </w:tcBorders>
            <w:vAlign w:val="center"/>
          </w:tcPr>
          <w:p w14:paraId="786F51A6">
            <w:pPr>
              <w:spacing w:line="320" w:lineRule="exact"/>
              <w:jc w:val="left"/>
              <w:rPr>
                <w:color w:val="000000"/>
                <w:kern w:val="0"/>
                <w:sz w:val="18"/>
                <w:szCs w:val="18"/>
              </w:rPr>
            </w:pPr>
          </w:p>
        </w:tc>
        <w:tc>
          <w:tcPr>
            <w:tcW w:w="4578" w:type="dxa"/>
            <w:tcBorders>
              <w:top w:val="single" w:color="auto" w:sz="4" w:space="0"/>
              <w:left w:val="nil"/>
              <w:bottom w:val="single" w:color="auto" w:sz="4" w:space="0"/>
              <w:right w:val="single" w:color="auto" w:sz="4" w:space="0"/>
            </w:tcBorders>
            <w:vAlign w:val="center"/>
          </w:tcPr>
          <w:p w14:paraId="239D02B9">
            <w:pPr>
              <w:spacing w:line="320" w:lineRule="exact"/>
              <w:jc w:val="left"/>
              <w:rPr>
                <w:color w:val="000000"/>
                <w:kern w:val="0"/>
                <w:sz w:val="18"/>
                <w:szCs w:val="18"/>
              </w:rPr>
            </w:pPr>
            <w:r>
              <w:rPr>
                <w:rFonts w:hint="eastAsia"/>
                <w:color w:val="000000"/>
                <w:kern w:val="0"/>
                <w:sz w:val="18"/>
                <w:szCs w:val="18"/>
              </w:rPr>
              <w:t>有违法所得的</w:t>
            </w:r>
          </w:p>
        </w:tc>
        <w:tc>
          <w:tcPr>
            <w:tcW w:w="1000" w:type="dxa"/>
            <w:vMerge w:val="continue"/>
            <w:tcBorders>
              <w:top w:val="nil"/>
              <w:left w:val="single" w:color="auto" w:sz="4" w:space="0"/>
              <w:bottom w:val="single" w:color="auto" w:sz="4" w:space="0"/>
              <w:right w:val="single" w:color="auto" w:sz="4" w:space="0"/>
            </w:tcBorders>
            <w:vAlign w:val="center"/>
          </w:tcPr>
          <w:p w14:paraId="1FC785EF">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936447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566F34B5"/>
    <w:p w14:paraId="0D08A32E"/>
    <w:p w14:paraId="41229CDD"/>
    <w:p w14:paraId="5B5610EB"/>
    <w:p w14:paraId="1C75B0B2"/>
    <w:p w14:paraId="02D80853"/>
    <w:p w14:paraId="0CBBDB90"/>
    <w:p w14:paraId="1DB09868"/>
    <w:p w14:paraId="7E5C97A0"/>
    <w:p w14:paraId="52C8C14A"/>
    <w:p w14:paraId="015BA2F3"/>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142B70AF">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DE3688D">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auto" w:sz="8" w:space="0"/>
            </w:tcBorders>
            <w:vAlign w:val="center"/>
          </w:tcPr>
          <w:p w14:paraId="7EECD337">
            <w:pPr>
              <w:spacing w:line="320" w:lineRule="exact"/>
              <w:jc w:val="left"/>
              <w:rPr>
                <w:rFonts w:eastAsia="仿宋_GB2312"/>
                <w:b/>
                <w:bCs/>
                <w:color w:val="000000"/>
                <w:kern w:val="0"/>
                <w:sz w:val="18"/>
                <w:szCs w:val="18"/>
              </w:rPr>
            </w:pPr>
            <w:r>
              <w:rPr>
                <w:rFonts w:eastAsia="仿宋_GB2312"/>
                <w:b/>
                <w:bCs/>
                <w:color w:val="000000"/>
                <w:kern w:val="0"/>
                <w:sz w:val="18"/>
                <w:szCs w:val="18"/>
              </w:rPr>
              <w:t>320217518000</w:t>
            </w:r>
          </w:p>
        </w:tc>
      </w:tr>
      <w:tr w14:paraId="2B674A3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B399F08">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auto" w:sz="8" w:space="0"/>
            </w:tcBorders>
            <w:vAlign w:val="center"/>
          </w:tcPr>
          <w:p w14:paraId="4C6E0753">
            <w:pPr>
              <w:spacing w:line="320" w:lineRule="exact"/>
              <w:jc w:val="left"/>
              <w:rPr>
                <w:color w:val="000000"/>
                <w:kern w:val="0"/>
                <w:sz w:val="18"/>
                <w:szCs w:val="18"/>
              </w:rPr>
            </w:pPr>
            <w:r>
              <w:rPr>
                <w:rFonts w:hint="eastAsia"/>
                <w:color w:val="000000"/>
                <w:kern w:val="0"/>
                <w:sz w:val="18"/>
                <w:szCs w:val="18"/>
              </w:rPr>
              <w:t>对检测机构未按照规定进行档案和台账管理的处罚</w:t>
            </w:r>
          </w:p>
        </w:tc>
      </w:tr>
      <w:tr w14:paraId="517FBB68">
        <w:tblPrEx>
          <w:tblCellMar>
            <w:top w:w="0" w:type="dxa"/>
            <w:left w:w="108" w:type="dxa"/>
            <w:bottom w:w="0" w:type="dxa"/>
            <w:right w:w="108" w:type="dxa"/>
          </w:tblCellMar>
        </w:tblPrEx>
        <w:trPr>
          <w:trHeight w:val="1260" w:hRule="atLeast"/>
        </w:trPr>
        <w:tc>
          <w:tcPr>
            <w:tcW w:w="1010" w:type="dxa"/>
            <w:tcBorders>
              <w:top w:val="nil"/>
              <w:left w:val="single" w:color="auto" w:sz="8" w:space="0"/>
              <w:bottom w:val="single" w:color="auto" w:sz="4" w:space="0"/>
              <w:right w:val="single" w:color="auto" w:sz="4" w:space="0"/>
            </w:tcBorders>
            <w:vAlign w:val="center"/>
          </w:tcPr>
          <w:p w14:paraId="6BD7105B">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auto" w:sz="8" w:space="0"/>
            </w:tcBorders>
            <w:vAlign w:val="center"/>
          </w:tcPr>
          <w:p w14:paraId="3B49BDF3">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34ED3B34">
            <w:pPr>
              <w:spacing w:line="320" w:lineRule="exact"/>
              <w:jc w:val="left"/>
              <w:rPr>
                <w:color w:val="000000"/>
                <w:kern w:val="0"/>
                <w:sz w:val="18"/>
                <w:szCs w:val="18"/>
              </w:rPr>
            </w:pPr>
            <w:r>
              <w:rPr>
                <w:rFonts w:hint="eastAsia"/>
                <w:color w:val="000000"/>
                <w:kern w:val="0"/>
                <w:sz w:val="18"/>
                <w:szCs w:val="18"/>
              </w:rPr>
              <w:t>　 第二十六条　检测机构应当建立档案管理制度。检测合同、委托单、检测数据原始记录、检测报告按照年度统一编号，编号应当连续，不得随意抽撤、涂改。</w:t>
            </w:r>
          </w:p>
          <w:p w14:paraId="140D19E6">
            <w:pPr>
              <w:spacing w:line="320" w:lineRule="exact"/>
              <w:jc w:val="left"/>
              <w:rPr>
                <w:color w:val="000000"/>
                <w:kern w:val="0"/>
                <w:sz w:val="18"/>
                <w:szCs w:val="18"/>
              </w:rPr>
            </w:pPr>
            <w:r>
              <w:rPr>
                <w:rFonts w:hint="eastAsia"/>
                <w:color w:val="000000"/>
                <w:kern w:val="0"/>
                <w:sz w:val="18"/>
                <w:szCs w:val="18"/>
              </w:rPr>
              <w:t>　　检测机构应当单独建立检测结果不合格项目台账。</w:t>
            </w:r>
          </w:p>
          <w:p w14:paraId="1656A565">
            <w:pPr>
              <w:spacing w:line="320" w:lineRule="exact"/>
              <w:jc w:val="left"/>
              <w:rPr>
                <w:color w:val="000000"/>
                <w:kern w:val="0"/>
                <w:sz w:val="18"/>
                <w:szCs w:val="18"/>
              </w:rPr>
            </w:pPr>
            <w:r>
              <w:rPr>
                <w:rFonts w:hint="eastAsia"/>
                <w:color w:val="000000"/>
                <w:kern w:val="0"/>
                <w:sz w:val="18"/>
                <w:szCs w:val="18"/>
              </w:rPr>
              <w:t xml:space="preserve">  　第四十五条　检测机构违反本办法规定，有下列行为之一的，由县级以上地方人民政府住房和城乡建设主管部门责令改正，处1万元以上5万元以下罚款：</w:t>
            </w:r>
          </w:p>
          <w:p w14:paraId="0D2E8681">
            <w:pPr>
              <w:spacing w:line="320" w:lineRule="exact"/>
              <w:jc w:val="left"/>
              <w:rPr>
                <w:color w:val="000000"/>
                <w:kern w:val="0"/>
                <w:sz w:val="18"/>
                <w:szCs w:val="18"/>
              </w:rPr>
            </w:pPr>
            <w:r>
              <w:rPr>
                <w:rFonts w:hint="eastAsia"/>
                <w:color w:val="000000"/>
                <w:kern w:val="0"/>
                <w:sz w:val="18"/>
                <w:szCs w:val="18"/>
              </w:rPr>
              <w:t>　 （六）未按照规定进行档案和台账管理的；</w:t>
            </w:r>
          </w:p>
          <w:p w14:paraId="49F5C9BE">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3C7828FD">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0FE684D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F57C439">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auto" w:sz="8" w:space="0"/>
            </w:tcBorders>
            <w:vAlign w:val="center"/>
          </w:tcPr>
          <w:p w14:paraId="787F4CFA">
            <w:pPr>
              <w:spacing w:line="320" w:lineRule="exact"/>
              <w:jc w:val="left"/>
              <w:rPr>
                <w:color w:val="000000"/>
                <w:kern w:val="0"/>
                <w:sz w:val="18"/>
                <w:szCs w:val="18"/>
              </w:rPr>
            </w:pPr>
            <w:r>
              <w:rPr>
                <w:rFonts w:hint="eastAsia"/>
                <w:color w:val="000000"/>
                <w:kern w:val="0"/>
                <w:sz w:val="18"/>
                <w:szCs w:val="18"/>
              </w:rPr>
              <w:t>责令改正，罚款，没收违法所得</w:t>
            </w:r>
          </w:p>
        </w:tc>
      </w:tr>
      <w:tr w14:paraId="7740E345">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auto" w:sz="8" w:space="0"/>
            </w:tcBorders>
            <w:vAlign w:val="center"/>
          </w:tcPr>
          <w:p w14:paraId="019E7981">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14:paraId="51157256">
        <w:tblPrEx>
          <w:tblCellMar>
            <w:top w:w="0" w:type="dxa"/>
            <w:left w:w="108" w:type="dxa"/>
            <w:bottom w:w="0" w:type="dxa"/>
            <w:right w:w="108" w:type="dxa"/>
          </w:tblCellMar>
        </w:tblPrEx>
        <w:trPr>
          <w:trHeight w:val="480" w:hRule="atLeast"/>
        </w:trPr>
        <w:tc>
          <w:tcPr>
            <w:tcW w:w="1010" w:type="dxa"/>
            <w:vMerge w:val="restart"/>
            <w:tcBorders>
              <w:top w:val="nil"/>
              <w:left w:val="single" w:color="auto" w:sz="8" w:space="0"/>
              <w:bottom w:val="single" w:color="000000" w:sz="4" w:space="0"/>
              <w:right w:val="single" w:color="auto" w:sz="4" w:space="0"/>
            </w:tcBorders>
            <w:vAlign w:val="center"/>
          </w:tcPr>
          <w:p w14:paraId="7D4396F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44D41FD7">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color="auto" w:sz="4" w:space="0"/>
              <w:bottom w:val="single" w:color="000000" w:sz="4" w:space="0"/>
              <w:right w:val="single" w:color="auto" w:sz="4" w:space="0"/>
            </w:tcBorders>
            <w:vAlign w:val="center"/>
          </w:tcPr>
          <w:p w14:paraId="40F37A13">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46693826">
            <w:pPr>
              <w:rPr>
                <w:color w:val="000000"/>
              </w:rPr>
            </w:pPr>
            <w:r>
              <w:rPr>
                <w:rFonts w:hint="eastAsia"/>
                <w:color w:val="000000"/>
              </w:rPr>
              <w:t>对单位：处1万元以上3万元以下的罚款</w:t>
            </w:r>
          </w:p>
          <w:p w14:paraId="63DB9382">
            <w:pPr>
              <w:spacing w:line="320" w:lineRule="exact"/>
              <w:jc w:val="left"/>
              <w:rPr>
                <w:color w:val="000000"/>
                <w:kern w:val="0"/>
                <w:sz w:val="18"/>
                <w:szCs w:val="18"/>
              </w:rPr>
            </w:pPr>
            <w:r>
              <w:rPr>
                <w:rFonts w:hint="eastAsia"/>
                <w:color w:val="000000"/>
              </w:rPr>
              <w:t>对个人：处2万元以下的罚款</w:t>
            </w:r>
          </w:p>
        </w:tc>
      </w:tr>
      <w:tr w14:paraId="62D8F35C">
        <w:tblPrEx>
          <w:tblCellMar>
            <w:top w:w="0" w:type="dxa"/>
            <w:left w:w="108" w:type="dxa"/>
            <w:bottom w:w="0" w:type="dxa"/>
            <w:right w:w="108" w:type="dxa"/>
          </w:tblCellMar>
        </w:tblPrEx>
        <w:trPr>
          <w:trHeight w:val="480" w:hRule="atLeast"/>
        </w:trPr>
        <w:tc>
          <w:tcPr>
            <w:tcW w:w="1010" w:type="dxa"/>
            <w:vMerge w:val="continue"/>
            <w:tcBorders>
              <w:top w:val="nil"/>
              <w:left w:val="single" w:color="auto" w:sz="8" w:space="0"/>
              <w:bottom w:val="single" w:color="000000" w:sz="4" w:space="0"/>
              <w:right w:val="single" w:color="auto" w:sz="4" w:space="0"/>
            </w:tcBorders>
            <w:vAlign w:val="center"/>
          </w:tcPr>
          <w:p w14:paraId="31F14FBC">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2507D483">
            <w:pPr>
              <w:spacing w:line="320" w:lineRule="exact"/>
              <w:jc w:val="left"/>
              <w:rPr>
                <w:color w:val="000000"/>
                <w:kern w:val="0"/>
                <w:sz w:val="18"/>
                <w:szCs w:val="18"/>
              </w:rPr>
            </w:pPr>
            <w:r>
              <w:rPr>
                <w:rFonts w:hint="eastAsia"/>
                <w:color w:val="000000"/>
                <w:kern w:val="0"/>
                <w:sz w:val="18"/>
                <w:szCs w:val="18"/>
              </w:rPr>
              <w:t>未按要求改正的或无法改正的</w:t>
            </w:r>
          </w:p>
        </w:tc>
        <w:tc>
          <w:tcPr>
            <w:tcW w:w="1030" w:type="dxa"/>
            <w:vMerge w:val="continue"/>
            <w:tcBorders>
              <w:top w:val="nil"/>
              <w:left w:val="single" w:color="auto" w:sz="4" w:space="0"/>
              <w:bottom w:val="single" w:color="000000" w:sz="4" w:space="0"/>
              <w:right w:val="single" w:color="auto" w:sz="4" w:space="0"/>
            </w:tcBorders>
            <w:vAlign w:val="center"/>
          </w:tcPr>
          <w:p w14:paraId="76A40AFA">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vAlign w:val="center"/>
          </w:tcPr>
          <w:p w14:paraId="121F9C8A">
            <w:pPr>
              <w:rPr>
                <w:color w:val="000000"/>
              </w:rPr>
            </w:pPr>
            <w:r>
              <w:rPr>
                <w:rFonts w:hint="eastAsia"/>
                <w:color w:val="000000"/>
              </w:rPr>
              <w:t>对单位：处3万元以上5万元以下的罚款</w:t>
            </w:r>
          </w:p>
          <w:p w14:paraId="23276857">
            <w:pPr>
              <w:rPr>
                <w:color w:val="000000"/>
              </w:rPr>
            </w:pPr>
            <w:r>
              <w:rPr>
                <w:rFonts w:hint="eastAsia"/>
                <w:color w:val="000000"/>
              </w:rPr>
              <w:t>对个人：处2万元以上3万元以下的罚款</w:t>
            </w:r>
          </w:p>
        </w:tc>
      </w:tr>
    </w:tbl>
    <w:p w14:paraId="210D77F6"/>
    <w:p w14:paraId="6A626A2C"/>
    <w:p w14:paraId="72011446"/>
    <w:p w14:paraId="712650DA"/>
    <w:p w14:paraId="13F66974"/>
    <w:p w14:paraId="2326436F"/>
    <w:p w14:paraId="12D79985"/>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171F2AAC">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E083E9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14A31885">
            <w:pPr>
              <w:spacing w:line="320" w:lineRule="exact"/>
              <w:jc w:val="left"/>
              <w:rPr>
                <w:rFonts w:eastAsia="仿宋_GB2312"/>
                <w:b/>
                <w:bCs/>
                <w:color w:val="000000"/>
                <w:kern w:val="0"/>
                <w:sz w:val="18"/>
                <w:szCs w:val="18"/>
              </w:rPr>
            </w:pPr>
            <w:r>
              <w:rPr>
                <w:rFonts w:eastAsia="仿宋_GB2312"/>
                <w:b/>
                <w:bCs/>
                <w:color w:val="000000"/>
                <w:kern w:val="0"/>
                <w:sz w:val="18"/>
                <w:szCs w:val="18"/>
              </w:rPr>
              <w:t>320217521000</w:t>
            </w:r>
            <w:r>
              <w:rPr>
                <w:rFonts w:hint="eastAsia" w:eastAsia="仿宋_GB2312"/>
                <w:b/>
                <w:bCs/>
                <w:color w:val="000000"/>
                <w:kern w:val="0"/>
                <w:sz w:val="18"/>
                <w:szCs w:val="18"/>
              </w:rPr>
              <w:t xml:space="preserve"> </w:t>
            </w:r>
          </w:p>
        </w:tc>
      </w:tr>
      <w:tr w14:paraId="13EC4FD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EFDB2B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22A5D16E">
            <w:pPr>
              <w:spacing w:line="320" w:lineRule="exact"/>
              <w:jc w:val="left"/>
              <w:rPr>
                <w:color w:val="000000"/>
                <w:kern w:val="0"/>
                <w:sz w:val="18"/>
                <w:szCs w:val="18"/>
              </w:rPr>
            </w:pPr>
            <w:r>
              <w:rPr>
                <w:rFonts w:hint="eastAsia"/>
                <w:color w:val="000000"/>
                <w:kern w:val="0"/>
                <w:sz w:val="18"/>
                <w:szCs w:val="18"/>
              </w:rPr>
              <w:t>对开发建设单位未按照规定分摊维修、更新和改造费用的处罚</w:t>
            </w:r>
          </w:p>
        </w:tc>
      </w:tr>
      <w:tr w14:paraId="3FE0C1E8">
        <w:tblPrEx>
          <w:tblCellMar>
            <w:top w:w="0" w:type="dxa"/>
            <w:left w:w="108" w:type="dxa"/>
            <w:bottom w:w="0" w:type="dxa"/>
            <w:right w:w="108" w:type="dxa"/>
          </w:tblCellMar>
        </w:tblPrEx>
        <w:trPr>
          <w:trHeight w:val="1335" w:hRule="atLeast"/>
        </w:trPr>
        <w:tc>
          <w:tcPr>
            <w:tcW w:w="1010" w:type="dxa"/>
            <w:tcBorders>
              <w:top w:val="nil"/>
              <w:left w:val="single" w:color="auto" w:sz="8" w:space="0"/>
              <w:bottom w:val="single" w:color="auto" w:sz="4" w:space="0"/>
              <w:right w:val="single" w:color="auto" w:sz="4" w:space="0"/>
            </w:tcBorders>
            <w:vAlign w:val="center"/>
          </w:tcPr>
          <w:p w14:paraId="1F65773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49996BEE">
            <w:pPr>
              <w:spacing w:line="320" w:lineRule="exact"/>
              <w:jc w:val="left"/>
              <w:rPr>
                <w:color w:val="000000"/>
                <w:kern w:val="0"/>
                <w:sz w:val="18"/>
                <w:szCs w:val="18"/>
              </w:rPr>
            </w:pPr>
            <w:r>
              <w:rPr>
                <w:rFonts w:hint="eastAsia"/>
                <w:color w:val="000000"/>
                <w:kern w:val="0"/>
                <w:sz w:val="18"/>
                <w:szCs w:val="18"/>
              </w:rPr>
              <w:t>【规章】《住宅专项维修资金管理办法》（</w:t>
            </w:r>
            <w:r>
              <w:rPr>
                <w:color w:val="000000"/>
                <w:kern w:val="0"/>
                <w:sz w:val="18"/>
                <w:szCs w:val="18"/>
              </w:rPr>
              <w:t>2007</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财政部令第</w:t>
            </w:r>
            <w:r>
              <w:rPr>
                <w:color w:val="000000"/>
                <w:kern w:val="0"/>
                <w:sz w:val="18"/>
                <w:szCs w:val="18"/>
              </w:rPr>
              <w:t>165</w:t>
            </w:r>
            <w:r>
              <w:rPr>
                <w:rFonts w:hint="eastAsia"/>
                <w:color w:val="000000"/>
                <w:kern w:val="0"/>
                <w:sz w:val="18"/>
                <w:szCs w:val="18"/>
              </w:rPr>
              <w:t>号）</w:t>
            </w:r>
          </w:p>
          <w:p w14:paraId="1D47DEFA">
            <w:pPr>
              <w:spacing w:line="320" w:lineRule="exact"/>
              <w:jc w:val="left"/>
              <w:rPr>
                <w:color w:val="000000"/>
                <w:kern w:val="0"/>
                <w:sz w:val="18"/>
                <w:szCs w:val="18"/>
              </w:rPr>
            </w:pPr>
            <w:r>
              <w:rPr>
                <w:rFonts w:hint="eastAsia"/>
                <w:color w:val="000000"/>
                <w:kern w:val="0"/>
                <w:sz w:val="18"/>
                <w:szCs w:val="18"/>
              </w:rPr>
              <w:t>第二十一条　住宅共用部位、共用设施设备维修和更新、改造，涉及尚未售出的商品住宅、非住宅或者公有住房的，开发建设单位或者公有住房单位应当按照尚未售出商品住宅或者公有住房的建筑面积，分摊维修和更新、改造费用。</w:t>
            </w:r>
            <w:r>
              <w:rPr>
                <w:color w:val="000000"/>
                <w:kern w:val="0"/>
                <w:sz w:val="18"/>
                <w:szCs w:val="18"/>
              </w:rPr>
              <w:t xml:space="preserve"> </w:t>
            </w:r>
          </w:p>
          <w:p w14:paraId="65165FF7">
            <w:pPr>
              <w:spacing w:line="320" w:lineRule="exact"/>
              <w:jc w:val="left"/>
              <w:rPr>
                <w:color w:val="000000"/>
                <w:kern w:val="0"/>
                <w:sz w:val="18"/>
                <w:szCs w:val="18"/>
              </w:rPr>
            </w:pPr>
            <w:r>
              <w:rPr>
                <w:rFonts w:hint="eastAsia"/>
                <w:color w:val="000000"/>
                <w:kern w:val="0"/>
                <w:sz w:val="18"/>
                <w:szCs w:val="18"/>
              </w:rPr>
              <w:t>第三十六条第二款　开发建设单位未按本办法第二十一条规定分摊维修、更新和改造费用的，由县级以上地方人民政府建设（房地产）主管部门责令限期改正；逾期不改正的，处以</w:t>
            </w:r>
            <w:r>
              <w:rPr>
                <w:color w:val="000000"/>
                <w:kern w:val="0"/>
                <w:sz w:val="18"/>
                <w:szCs w:val="18"/>
              </w:rPr>
              <w:t>1</w:t>
            </w:r>
            <w:r>
              <w:rPr>
                <w:rFonts w:hint="eastAsia"/>
                <w:color w:val="000000"/>
                <w:kern w:val="0"/>
                <w:sz w:val="18"/>
                <w:szCs w:val="18"/>
              </w:rPr>
              <w:t>万元以下的罚款。</w:t>
            </w:r>
          </w:p>
        </w:tc>
      </w:tr>
      <w:tr w14:paraId="64D100ED">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CE6112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B15522A">
            <w:pPr>
              <w:spacing w:line="320" w:lineRule="exact"/>
              <w:jc w:val="left"/>
              <w:rPr>
                <w:color w:val="000000"/>
                <w:kern w:val="0"/>
                <w:sz w:val="18"/>
                <w:szCs w:val="18"/>
              </w:rPr>
            </w:pPr>
            <w:r>
              <w:rPr>
                <w:rFonts w:hint="eastAsia"/>
                <w:color w:val="000000"/>
                <w:kern w:val="0"/>
                <w:sz w:val="18"/>
                <w:szCs w:val="18"/>
              </w:rPr>
              <w:t>罚款</w:t>
            </w:r>
          </w:p>
        </w:tc>
      </w:tr>
      <w:tr w14:paraId="0564665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AFCA10F">
            <w:pPr>
              <w:spacing w:line="320" w:lineRule="exact"/>
              <w:jc w:val="center"/>
              <w:rPr>
                <w:color w:val="000000"/>
                <w:kern w:val="0"/>
                <w:sz w:val="18"/>
                <w:szCs w:val="18"/>
              </w:rPr>
            </w:pPr>
            <w:r>
              <w:rPr>
                <w:rFonts w:hint="eastAsia"/>
                <w:color w:val="000000"/>
                <w:kern w:val="0"/>
                <w:sz w:val="18"/>
                <w:szCs w:val="18"/>
              </w:rPr>
              <w:t>裁量基准</w:t>
            </w:r>
          </w:p>
        </w:tc>
      </w:tr>
      <w:tr w14:paraId="639B8EEC">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51502F0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10B3811">
            <w:pPr>
              <w:spacing w:line="320" w:lineRule="exact"/>
              <w:jc w:val="left"/>
              <w:rPr>
                <w:color w:val="000000"/>
                <w:kern w:val="0"/>
                <w:sz w:val="18"/>
                <w:szCs w:val="18"/>
              </w:rPr>
            </w:pPr>
            <w:r>
              <w:rPr>
                <w:rFonts w:hint="eastAsia"/>
                <w:color w:val="000000"/>
                <w:kern w:val="0"/>
                <w:sz w:val="18"/>
                <w:szCs w:val="18"/>
              </w:rPr>
              <w:t>未分摊维修、更新和改造费用未达到应分摊费用</w:t>
            </w:r>
            <w:r>
              <w:rPr>
                <w:color w:val="000000"/>
                <w:kern w:val="0"/>
                <w:sz w:val="18"/>
                <w:szCs w:val="18"/>
              </w:rPr>
              <w:t>50%</w:t>
            </w:r>
            <w:r>
              <w:rPr>
                <w:rFonts w:hint="eastAsia"/>
                <w:color w:val="000000"/>
                <w:kern w:val="0"/>
                <w:sz w:val="18"/>
                <w:szCs w:val="18"/>
              </w:rPr>
              <w:t>的</w:t>
            </w:r>
          </w:p>
        </w:tc>
        <w:tc>
          <w:tcPr>
            <w:tcW w:w="1000" w:type="dxa"/>
            <w:vMerge w:val="restart"/>
            <w:tcBorders>
              <w:top w:val="nil"/>
              <w:left w:val="nil"/>
              <w:right w:val="single" w:color="auto" w:sz="4" w:space="0"/>
            </w:tcBorders>
            <w:vAlign w:val="center"/>
          </w:tcPr>
          <w:p w14:paraId="053E1E30">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6939BAE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3405FD5E">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306CFE16">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CA1D0E9">
            <w:pPr>
              <w:spacing w:line="320" w:lineRule="exact"/>
              <w:jc w:val="left"/>
              <w:rPr>
                <w:color w:val="000000"/>
                <w:kern w:val="0"/>
                <w:sz w:val="18"/>
                <w:szCs w:val="18"/>
              </w:rPr>
            </w:pPr>
            <w:r>
              <w:rPr>
                <w:rFonts w:hint="eastAsia"/>
                <w:color w:val="000000"/>
                <w:kern w:val="0"/>
                <w:sz w:val="18"/>
                <w:szCs w:val="18"/>
              </w:rPr>
              <w:t>未分摊维修、更新和改造费用超过应分摊费用</w:t>
            </w:r>
            <w:r>
              <w:rPr>
                <w:color w:val="000000"/>
                <w:kern w:val="0"/>
                <w:sz w:val="18"/>
                <w:szCs w:val="18"/>
              </w:rPr>
              <w:t>50%</w:t>
            </w:r>
            <w:r>
              <w:rPr>
                <w:rFonts w:hint="eastAsia"/>
                <w:color w:val="000000"/>
                <w:kern w:val="0"/>
                <w:sz w:val="18"/>
                <w:szCs w:val="18"/>
              </w:rPr>
              <w:t>的</w:t>
            </w:r>
          </w:p>
        </w:tc>
        <w:tc>
          <w:tcPr>
            <w:tcW w:w="1000" w:type="dxa"/>
            <w:vMerge w:val="continue"/>
            <w:tcBorders>
              <w:left w:val="nil"/>
              <w:bottom w:val="single" w:color="auto" w:sz="4" w:space="0"/>
              <w:right w:val="single" w:color="auto" w:sz="4" w:space="0"/>
            </w:tcBorders>
            <w:vAlign w:val="center"/>
          </w:tcPr>
          <w:p w14:paraId="067D7EAE">
            <w:pPr>
              <w:spacing w:line="320" w:lineRule="exact"/>
              <w:jc w:val="center"/>
              <w:rPr>
                <w:color w:val="000000"/>
                <w:kern w:val="0"/>
                <w:sz w:val="18"/>
                <w:szCs w:val="18"/>
              </w:rPr>
            </w:pPr>
          </w:p>
        </w:tc>
        <w:tc>
          <w:tcPr>
            <w:tcW w:w="5866" w:type="dxa"/>
            <w:tcBorders>
              <w:top w:val="nil"/>
              <w:left w:val="nil"/>
              <w:bottom w:val="single" w:color="auto" w:sz="4" w:space="0"/>
              <w:right w:val="single" w:color="auto" w:sz="8" w:space="0"/>
            </w:tcBorders>
            <w:vAlign w:val="center"/>
          </w:tcPr>
          <w:p w14:paraId="3823224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5EC72DC3"/>
    <w:p w14:paraId="64F8B37B"/>
    <w:p w14:paraId="70EB99F7"/>
    <w:p w14:paraId="253F9677"/>
    <w:p w14:paraId="1420F4D2"/>
    <w:p w14:paraId="7DF5B1B4"/>
    <w:p w14:paraId="0A8A1C56"/>
    <w:p w14:paraId="21BC58CC"/>
    <w:p w14:paraId="2E83D9C4"/>
    <w:p w14:paraId="2405E1CD"/>
    <w:p w14:paraId="2271F6D9"/>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29EF702F">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4CFA076E">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3311C961">
            <w:pPr>
              <w:spacing w:line="320" w:lineRule="exact"/>
              <w:jc w:val="left"/>
              <w:rPr>
                <w:rFonts w:eastAsia="仿宋_GB2312"/>
                <w:b/>
                <w:bCs/>
                <w:color w:val="000000"/>
                <w:kern w:val="0"/>
                <w:sz w:val="18"/>
                <w:szCs w:val="18"/>
              </w:rPr>
            </w:pPr>
            <w:r>
              <w:rPr>
                <w:rFonts w:eastAsia="仿宋_GB2312"/>
                <w:b/>
                <w:bCs/>
                <w:color w:val="000000"/>
                <w:kern w:val="0"/>
                <w:sz w:val="18"/>
                <w:szCs w:val="18"/>
              </w:rPr>
              <w:t>320217522000</w:t>
            </w:r>
          </w:p>
        </w:tc>
      </w:tr>
      <w:tr w14:paraId="0411CED9">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620BED11">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0416DA21">
            <w:pPr>
              <w:spacing w:line="320" w:lineRule="exact"/>
              <w:jc w:val="left"/>
              <w:rPr>
                <w:color w:val="000000"/>
                <w:kern w:val="0"/>
                <w:sz w:val="18"/>
                <w:szCs w:val="18"/>
              </w:rPr>
            </w:pPr>
            <w:r>
              <w:rPr>
                <w:rFonts w:hint="eastAsia"/>
                <w:color w:val="000000"/>
                <w:kern w:val="0"/>
                <w:sz w:val="18"/>
                <w:szCs w:val="18"/>
              </w:rPr>
              <w:t>对拆除、伪造、开启法定计量检定机构加封的结算水表或者设施封印的处罚</w:t>
            </w:r>
          </w:p>
        </w:tc>
      </w:tr>
      <w:tr w14:paraId="70EAB90D">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1A0DBE56">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49938A2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【地方性法规】《江苏省城乡供水管理条例》</w:t>
            </w:r>
          </w:p>
          <w:p w14:paraId="16A3D959">
            <w:pPr>
              <w:spacing w:line="320" w:lineRule="exact"/>
              <w:jc w:val="left"/>
              <w:rPr>
                <w:color w:val="000000"/>
                <w:kern w:val="0"/>
                <w:sz w:val="18"/>
                <w:szCs w:val="18"/>
              </w:rPr>
            </w:pPr>
            <w:r>
              <w:rPr>
                <w:rFonts w:hint="eastAsia"/>
                <w:color w:val="000000"/>
                <w:kern w:val="0"/>
                <w:sz w:val="18"/>
                <w:szCs w:val="18"/>
              </w:rPr>
              <w:t xml:space="preserve">        第五十五条 违反本条例规定，有下列行为之一的，由城乡供水主管部门责令改正，并对单位处以三千元以上二万元以下罚款，对个人处以二百元以上一千元以下罚款；造成损失的，赔偿损失；构成犯罪的，依法追究刑事责任：</w:t>
            </w:r>
          </w:p>
          <w:p w14:paraId="6A70FA7D">
            <w:pPr>
              <w:spacing w:line="320" w:lineRule="exact"/>
              <w:jc w:val="left"/>
              <w:rPr>
                <w:color w:val="000000"/>
                <w:kern w:val="0"/>
                <w:sz w:val="18"/>
                <w:szCs w:val="18"/>
              </w:rPr>
            </w:pPr>
            <w:r>
              <w:rPr>
                <w:rFonts w:hint="eastAsia"/>
                <w:color w:val="000000"/>
                <w:kern w:val="0"/>
                <w:sz w:val="18"/>
                <w:szCs w:val="18"/>
              </w:rPr>
              <w:t xml:space="preserve">      （四）拆除、伪造、开启法定计量检定机构加封的结算水表或者设施封印的；</w:t>
            </w:r>
          </w:p>
        </w:tc>
      </w:tr>
      <w:tr w14:paraId="210C5440">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11222136">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17B5F2D5">
            <w:pPr>
              <w:spacing w:line="320" w:lineRule="exact"/>
              <w:jc w:val="left"/>
              <w:rPr>
                <w:color w:val="000000"/>
                <w:kern w:val="0"/>
                <w:sz w:val="18"/>
                <w:szCs w:val="18"/>
              </w:rPr>
            </w:pPr>
            <w:r>
              <w:rPr>
                <w:rFonts w:hint="eastAsia"/>
                <w:color w:val="000000"/>
                <w:kern w:val="0"/>
                <w:sz w:val="18"/>
                <w:szCs w:val="18"/>
              </w:rPr>
              <w:t>罚款</w:t>
            </w:r>
          </w:p>
        </w:tc>
      </w:tr>
      <w:tr w14:paraId="21B5819F">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5BF0DA1D">
            <w:pPr>
              <w:spacing w:line="320" w:lineRule="exact"/>
              <w:jc w:val="center"/>
              <w:rPr>
                <w:color w:val="000000"/>
                <w:kern w:val="0"/>
                <w:sz w:val="18"/>
                <w:szCs w:val="18"/>
              </w:rPr>
            </w:pPr>
            <w:r>
              <w:rPr>
                <w:rFonts w:hint="eastAsia"/>
                <w:color w:val="000000"/>
                <w:kern w:val="0"/>
                <w:sz w:val="18"/>
                <w:szCs w:val="18"/>
              </w:rPr>
              <w:t>裁量基准</w:t>
            </w:r>
          </w:p>
        </w:tc>
      </w:tr>
      <w:tr w14:paraId="370D04C7">
        <w:tblPrEx>
          <w:tblCellMar>
            <w:top w:w="0" w:type="dxa"/>
            <w:left w:w="108" w:type="dxa"/>
            <w:bottom w:w="0" w:type="dxa"/>
            <w:right w:w="108" w:type="dxa"/>
          </w:tblCellMar>
        </w:tblPrEx>
        <w:trPr>
          <w:gridAfter w:val="1"/>
          <w:wAfter w:w="14" w:type="dxa"/>
          <w:trHeight w:val="322" w:hRule="atLeast"/>
        </w:trPr>
        <w:tc>
          <w:tcPr>
            <w:tcW w:w="996" w:type="dxa"/>
            <w:vMerge w:val="restart"/>
            <w:tcBorders>
              <w:top w:val="nil"/>
              <w:left w:val="single" w:color="auto" w:sz="8" w:space="0"/>
              <w:right w:val="single" w:color="auto" w:sz="4" w:space="0"/>
            </w:tcBorders>
            <w:vAlign w:val="center"/>
          </w:tcPr>
          <w:p w14:paraId="0E67109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3FA5FF61">
            <w:pPr>
              <w:spacing w:line="320" w:lineRule="exact"/>
              <w:jc w:val="left"/>
              <w:rPr>
                <w:color w:val="000000"/>
                <w:kern w:val="0"/>
                <w:sz w:val="18"/>
                <w:szCs w:val="18"/>
              </w:rPr>
            </w:pPr>
            <w:r>
              <w:rPr>
                <w:rFonts w:hint="eastAsia"/>
                <w:color w:val="000000"/>
                <w:kern w:val="0"/>
                <w:sz w:val="18"/>
                <w:szCs w:val="18"/>
              </w:rPr>
              <w:t>尚可重新加封无需更换水表或者设施的</w:t>
            </w:r>
          </w:p>
        </w:tc>
        <w:tc>
          <w:tcPr>
            <w:tcW w:w="1139" w:type="dxa"/>
            <w:vMerge w:val="restart"/>
            <w:tcBorders>
              <w:top w:val="nil"/>
              <w:left w:val="single" w:color="auto" w:sz="4" w:space="0"/>
              <w:right w:val="single" w:color="auto" w:sz="4" w:space="0"/>
            </w:tcBorders>
            <w:vAlign w:val="center"/>
          </w:tcPr>
          <w:p w14:paraId="08EB2E99">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7E46810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14:paraId="3DDB0100">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14:paraId="3587F858">
        <w:tblPrEx>
          <w:tblCellMar>
            <w:top w:w="0" w:type="dxa"/>
            <w:left w:w="108" w:type="dxa"/>
            <w:bottom w:w="0" w:type="dxa"/>
            <w:right w:w="108" w:type="dxa"/>
          </w:tblCellMar>
        </w:tblPrEx>
        <w:trPr>
          <w:gridAfter w:val="1"/>
          <w:wAfter w:w="14" w:type="dxa"/>
          <w:trHeight w:val="285" w:hRule="atLeast"/>
        </w:trPr>
        <w:tc>
          <w:tcPr>
            <w:tcW w:w="996" w:type="dxa"/>
            <w:vMerge w:val="continue"/>
            <w:tcBorders>
              <w:left w:val="single" w:color="auto" w:sz="8" w:space="0"/>
              <w:bottom w:val="single" w:color="auto" w:sz="4" w:space="0"/>
              <w:right w:val="single" w:color="auto" w:sz="4" w:space="0"/>
            </w:tcBorders>
            <w:vAlign w:val="center"/>
          </w:tcPr>
          <w:p w14:paraId="42CB1A72">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131E74DE">
            <w:pPr>
              <w:spacing w:line="320" w:lineRule="exact"/>
              <w:jc w:val="left"/>
              <w:rPr>
                <w:color w:val="000000"/>
                <w:kern w:val="0"/>
                <w:sz w:val="18"/>
                <w:szCs w:val="18"/>
              </w:rPr>
            </w:pPr>
            <w:r>
              <w:rPr>
                <w:rFonts w:hint="eastAsia"/>
                <w:color w:val="000000"/>
                <w:kern w:val="0"/>
                <w:sz w:val="18"/>
                <w:szCs w:val="18"/>
              </w:rPr>
              <w:t>必须更换水表或者设施的</w:t>
            </w:r>
          </w:p>
        </w:tc>
        <w:tc>
          <w:tcPr>
            <w:tcW w:w="1139" w:type="dxa"/>
            <w:vMerge w:val="continue"/>
            <w:tcBorders>
              <w:left w:val="single" w:color="auto" w:sz="4" w:space="0"/>
              <w:bottom w:val="single" w:color="auto" w:sz="4" w:space="0"/>
              <w:right w:val="single" w:color="auto" w:sz="4" w:space="0"/>
            </w:tcBorders>
            <w:vAlign w:val="center"/>
          </w:tcPr>
          <w:p w14:paraId="4F84F0C8">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167688AF">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5EE708A0">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653E2220"/>
    <w:p w14:paraId="704BB5DF"/>
    <w:p w14:paraId="3E72FC8B"/>
    <w:p w14:paraId="60CA1FC3"/>
    <w:p w14:paraId="1C94EA3F"/>
    <w:p w14:paraId="5A3D0777"/>
    <w:p w14:paraId="3C04EE35"/>
    <w:p w14:paraId="52033168"/>
    <w:p w14:paraId="4A939996"/>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6284CAFD">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23D8CF8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172C40A6">
            <w:pPr>
              <w:spacing w:line="320" w:lineRule="exact"/>
              <w:jc w:val="left"/>
              <w:rPr>
                <w:rFonts w:eastAsia="仿宋_GB2312"/>
                <w:b/>
                <w:bCs/>
                <w:color w:val="000000"/>
                <w:kern w:val="0"/>
                <w:sz w:val="18"/>
                <w:szCs w:val="18"/>
              </w:rPr>
            </w:pPr>
            <w:r>
              <w:rPr>
                <w:rFonts w:eastAsia="仿宋_GB2312"/>
                <w:b/>
                <w:bCs/>
                <w:color w:val="000000"/>
                <w:kern w:val="0"/>
                <w:sz w:val="18"/>
                <w:szCs w:val="18"/>
              </w:rPr>
              <w:t>320217523000</w:t>
            </w:r>
          </w:p>
        </w:tc>
      </w:tr>
      <w:tr w14:paraId="5E727817">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43A9A400">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411EFC37">
            <w:pPr>
              <w:spacing w:line="320" w:lineRule="exact"/>
              <w:jc w:val="left"/>
              <w:rPr>
                <w:color w:val="000000"/>
                <w:kern w:val="0"/>
                <w:sz w:val="18"/>
                <w:szCs w:val="18"/>
              </w:rPr>
            </w:pPr>
            <w:r>
              <w:rPr>
                <w:rFonts w:hint="eastAsia"/>
                <w:color w:val="000000"/>
                <w:kern w:val="0"/>
                <w:sz w:val="18"/>
                <w:szCs w:val="18"/>
              </w:rPr>
              <w:t>对私装、改装、毁坏结算水表或者干扰结算水表正常计量的处罚</w:t>
            </w:r>
          </w:p>
        </w:tc>
      </w:tr>
      <w:tr w14:paraId="75057F27">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293F101E">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297ECBDA">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6D1280D6">
            <w:pPr>
              <w:spacing w:line="320" w:lineRule="exact"/>
              <w:jc w:val="left"/>
              <w:rPr>
                <w:color w:val="000000"/>
                <w:kern w:val="0"/>
                <w:sz w:val="18"/>
                <w:szCs w:val="18"/>
              </w:rPr>
            </w:pPr>
            <w:r>
              <w:rPr>
                <w:rFonts w:hint="eastAsia"/>
                <w:color w:val="000000"/>
                <w:kern w:val="0"/>
                <w:sz w:val="18"/>
                <w:szCs w:val="18"/>
              </w:rPr>
              <w:t xml:space="preserve">        第五十五条 违反本条例规定，有下列行为之一的，由城乡供水主管部门责令改正，并对单位处以三千元以上二万元以下罚款，对个人处以二百元以上一千元以下罚款；造成损失的，赔偿损失；构成犯罪的，依法追究刑事责任：</w:t>
            </w:r>
          </w:p>
          <w:p w14:paraId="235D9240">
            <w:pPr>
              <w:spacing w:line="320" w:lineRule="exact"/>
              <w:jc w:val="left"/>
              <w:rPr>
                <w:color w:val="000000"/>
                <w:kern w:val="0"/>
                <w:sz w:val="18"/>
                <w:szCs w:val="18"/>
              </w:rPr>
            </w:pPr>
            <w:r>
              <w:rPr>
                <w:rFonts w:hint="eastAsia"/>
                <w:color w:val="000000"/>
                <w:kern w:val="0"/>
                <w:sz w:val="18"/>
                <w:szCs w:val="18"/>
              </w:rPr>
              <w:t xml:space="preserve">     （五）私装、改装、毁坏结算水表或者干扰结算水表正常计量的。</w:t>
            </w:r>
          </w:p>
        </w:tc>
      </w:tr>
      <w:tr w14:paraId="355DDE7C">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01139724">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1D88539E">
            <w:pPr>
              <w:spacing w:line="320" w:lineRule="exact"/>
              <w:jc w:val="left"/>
              <w:rPr>
                <w:color w:val="000000"/>
                <w:kern w:val="0"/>
                <w:sz w:val="18"/>
                <w:szCs w:val="18"/>
              </w:rPr>
            </w:pPr>
            <w:r>
              <w:rPr>
                <w:rFonts w:hint="eastAsia"/>
                <w:color w:val="000000"/>
                <w:kern w:val="0"/>
                <w:sz w:val="18"/>
                <w:szCs w:val="18"/>
              </w:rPr>
              <w:t>罚款</w:t>
            </w:r>
          </w:p>
        </w:tc>
      </w:tr>
      <w:tr w14:paraId="343664D7">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5B3E329D">
            <w:pPr>
              <w:spacing w:line="320" w:lineRule="exact"/>
              <w:jc w:val="center"/>
              <w:rPr>
                <w:color w:val="000000"/>
                <w:kern w:val="0"/>
                <w:sz w:val="18"/>
                <w:szCs w:val="18"/>
              </w:rPr>
            </w:pPr>
            <w:r>
              <w:rPr>
                <w:rFonts w:hint="eastAsia"/>
                <w:color w:val="000000"/>
                <w:kern w:val="0"/>
                <w:sz w:val="18"/>
                <w:szCs w:val="18"/>
              </w:rPr>
              <w:t>裁量基准</w:t>
            </w:r>
          </w:p>
        </w:tc>
      </w:tr>
      <w:tr w14:paraId="331525E7">
        <w:tblPrEx>
          <w:tblCellMar>
            <w:top w:w="0" w:type="dxa"/>
            <w:left w:w="108" w:type="dxa"/>
            <w:bottom w:w="0" w:type="dxa"/>
            <w:right w:w="108" w:type="dxa"/>
          </w:tblCellMar>
        </w:tblPrEx>
        <w:trPr>
          <w:gridAfter w:val="1"/>
          <w:wAfter w:w="14" w:type="dxa"/>
          <w:trHeight w:val="322" w:hRule="atLeast"/>
        </w:trPr>
        <w:tc>
          <w:tcPr>
            <w:tcW w:w="996" w:type="dxa"/>
            <w:vMerge w:val="restart"/>
            <w:tcBorders>
              <w:top w:val="nil"/>
              <w:left w:val="single" w:color="auto" w:sz="8" w:space="0"/>
              <w:right w:val="single" w:color="auto" w:sz="4" w:space="0"/>
            </w:tcBorders>
            <w:vAlign w:val="center"/>
          </w:tcPr>
          <w:p w14:paraId="0CC24A2A">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2E520AB6">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color="auto" w:sz="4" w:space="0"/>
              <w:right w:val="single" w:color="auto" w:sz="4" w:space="0"/>
            </w:tcBorders>
            <w:vAlign w:val="center"/>
          </w:tcPr>
          <w:p w14:paraId="1A09801E">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69012D8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14:paraId="64BDED8F">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14:paraId="5C6B35BB">
        <w:tblPrEx>
          <w:tblCellMar>
            <w:top w:w="0" w:type="dxa"/>
            <w:left w:w="108" w:type="dxa"/>
            <w:bottom w:w="0" w:type="dxa"/>
            <w:right w:w="108" w:type="dxa"/>
          </w:tblCellMar>
        </w:tblPrEx>
        <w:trPr>
          <w:gridAfter w:val="1"/>
          <w:wAfter w:w="14" w:type="dxa"/>
          <w:trHeight w:val="397" w:hRule="atLeast"/>
        </w:trPr>
        <w:tc>
          <w:tcPr>
            <w:tcW w:w="996" w:type="dxa"/>
            <w:vMerge w:val="continue"/>
            <w:tcBorders>
              <w:left w:val="single" w:color="auto" w:sz="8" w:space="0"/>
              <w:bottom w:val="single" w:color="auto" w:sz="4" w:space="0"/>
              <w:right w:val="single" w:color="auto" w:sz="4" w:space="0"/>
            </w:tcBorders>
            <w:vAlign w:val="center"/>
          </w:tcPr>
          <w:p w14:paraId="6238EF7F">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7176B7ED">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val="continue"/>
            <w:tcBorders>
              <w:left w:val="single" w:color="auto" w:sz="4" w:space="0"/>
              <w:bottom w:val="single" w:color="auto" w:sz="4" w:space="0"/>
              <w:right w:val="single" w:color="auto" w:sz="4" w:space="0"/>
            </w:tcBorders>
            <w:vAlign w:val="center"/>
          </w:tcPr>
          <w:p w14:paraId="4280FFA6">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33D7AFCF">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4C5D7CBD">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6A6B5BFE"/>
    <w:p w14:paraId="2D9E6825"/>
    <w:p w14:paraId="03451109"/>
    <w:p w14:paraId="67072F6D"/>
    <w:p w14:paraId="5A294FE3"/>
    <w:p w14:paraId="7F296EAE"/>
    <w:p w14:paraId="76D34203"/>
    <w:p w14:paraId="119173BD"/>
    <w:p w14:paraId="4DEB050E"/>
    <w:tbl>
      <w:tblPr>
        <w:tblStyle w:val="15"/>
        <w:tblW w:w="0" w:type="auto"/>
        <w:tblInd w:w="88" w:type="dxa"/>
        <w:tblLayout w:type="fixed"/>
        <w:tblCellMar>
          <w:top w:w="0" w:type="dxa"/>
          <w:left w:w="108" w:type="dxa"/>
          <w:bottom w:w="0" w:type="dxa"/>
          <w:right w:w="108" w:type="dxa"/>
        </w:tblCellMar>
      </w:tblPr>
      <w:tblGrid>
        <w:gridCol w:w="1010"/>
        <w:gridCol w:w="25"/>
        <w:gridCol w:w="6140"/>
        <w:gridCol w:w="1120"/>
        <w:gridCol w:w="5721"/>
        <w:gridCol w:w="14"/>
      </w:tblGrid>
      <w:tr w14:paraId="5238940B">
        <w:tblPrEx>
          <w:tblCellMar>
            <w:top w:w="0" w:type="dxa"/>
            <w:left w:w="108" w:type="dxa"/>
            <w:bottom w:w="0" w:type="dxa"/>
            <w:right w:w="108" w:type="dxa"/>
          </w:tblCellMar>
        </w:tblPrEx>
        <w:trPr>
          <w:gridAfter w:val="1"/>
          <w:wAfter w:w="14" w:type="dxa"/>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83E31A0">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7D6B5EA1">
            <w:pPr>
              <w:spacing w:line="320" w:lineRule="exact"/>
              <w:jc w:val="left"/>
              <w:rPr>
                <w:rFonts w:eastAsia="仿宋_GB2312"/>
                <w:b/>
                <w:bCs/>
                <w:color w:val="000000"/>
                <w:kern w:val="0"/>
                <w:sz w:val="18"/>
                <w:szCs w:val="18"/>
              </w:rPr>
            </w:pPr>
            <w:r>
              <w:rPr>
                <w:rFonts w:eastAsia="仿宋_GB2312"/>
                <w:b/>
                <w:bCs/>
                <w:color w:val="000000"/>
                <w:kern w:val="0"/>
                <w:sz w:val="18"/>
                <w:szCs w:val="18"/>
              </w:rPr>
              <w:t>320217524000</w:t>
            </w:r>
            <w:r>
              <w:rPr>
                <w:rFonts w:hint="eastAsia" w:eastAsia="仿宋_GB2312"/>
                <w:b/>
                <w:bCs/>
                <w:color w:val="000000"/>
                <w:kern w:val="0"/>
                <w:sz w:val="18"/>
                <w:szCs w:val="18"/>
              </w:rPr>
              <w:t xml:space="preserve"> </w:t>
            </w:r>
          </w:p>
        </w:tc>
      </w:tr>
      <w:tr w14:paraId="4BDACA7F">
        <w:tblPrEx>
          <w:tblCellMar>
            <w:top w:w="0" w:type="dxa"/>
            <w:left w:w="108" w:type="dxa"/>
            <w:bottom w:w="0" w:type="dxa"/>
            <w:right w:w="108" w:type="dxa"/>
          </w:tblCellMar>
        </w:tblPrEx>
        <w:trPr>
          <w:gridAfter w:val="1"/>
          <w:wAfter w:w="14" w:type="dxa"/>
          <w:trHeight w:val="285" w:hRule="atLeast"/>
        </w:trPr>
        <w:tc>
          <w:tcPr>
            <w:tcW w:w="1010" w:type="dxa"/>
            <w:tcBorders>
              <w:top w:val="nil"/>
              <w:left w:val="single" w:color="auto" w:sz="8" w:space="0"/>
              <w:bottom w:val="single" w:color="auto" w:sz="4" w:space="0"/>
              <w:right w:val="single" w:color="auto" w:sz="4" w:space="0"/>
            </w:tcBorders>
            <w:vAlign w:val="center"/>
          </w:tcPr>
          <w:p w14:paraId="7FDA5B2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2C2E3E7B">
            <w:pPr>
              <w:spacing w:line="320" w:lineRule="exact"/>
              <w:jc w:val="left"/>
              <w:rPr>
                <w:color w:val="000000"/>
                <w:kern w:val="0"/>
                <w:sz w:val="18"/>
                <w:szCs w:val="18"/>
              </w:rPr>
            </w:pPr>
            <w:r>
              <w:rPr>
                <w:rFonts w:hint="eastAsia"/>
                <w:color w:val="000000"/>
                <w:kern w:val="0"/>
                <w:sz w:val="18"/>
                <w:szCs w:val="18"/>
              </w:rPr>
              <w:t>对房地产开发企业在进行商品房销（预）售时未按照要求出具该项目的白蚁预防合同或者其他实施房屋白蚁预防的证明文件的处罚</w:t>
            </w:r>
          </w:p>
        </w:tc>
      </w:tr>
      <w:tr w14:paraId="242CB8CF">
        <w:tblPrEx>
          <w:tblCellMar>
            <w:top w:w="0" w:type="dxa"/>
            <w:left w:w="108" w:type="dxa"/>
            <w:bottom w:w="0" w:type="dxa"/>
            <w:right w:w="108" w:type="dxa"/>
          </w:tblCellMar>
        </w:tblPrEx>
        <w:trPr>
          <w:gridAfter w:val="1"/>
          <w:wAfter w:w="14" w:type="dxa"/>
          <w:trHeight w:val="1320" w:hRule="atLeast"/>
        </w:trPr>
        <w:tc>
          <w:tcPr>
            <w:tcW w:w="1010" w:type="dxa"/>
            <w:tcBorders>
              <w:top w:val="nil"/>
              <w:left w:val="single" w:color="auto" w:sz="8" w:space="0"/>
              <w:bottom w:val="single" w:color="auto" w:sz="4" w:space="0"/>
              <w:right w:val="single" w:color="auto" w:sz="4" w:space="0"/>
            </w:tcBorders>
            <w:vAlign w:val="center"/>
          </w:tcPr>
          <w:p w14:paraId="2EF5577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7E0018F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14:paraId="0337DAE5">
            <w:pPr>
              <w:spacing w:line="320" w:lineRule="exact"/>
              <w:jc w:val="left"/>
              <w:rPr>
                <w:color w:val="000000"/>
                <w:kern w:val="0"/>
                <w:sz w:val="18"/>
                <w:szCs w:val="18"/>
              </w:rPr>
            </w:pPr>
            <w:r>
              <w:rPr>
                <w:rFonts w:hint="eastAsia"/>
                <w:color w:val="000000"/>
                <w:kern w:val="0"/>
                <w:sz w:val="18"/>
                <w:szCs w:val="18"/>
              </w:rPr>
              <w:t>第十一条第一款</w:t>
            </w:r>
            <w:r>
              <w:rPr>
                <w:color w:val="000000"/>
                <w:kern w:val="0"/>
                <w:sz w:val="18"/>
                <w:szCs w:val="18"/>
              </w:rPr>
              <w:t xml:space="preserve">  </w:t>
            </w:r>
            <w:r>
              <w:rPr>
                <w:rFonts w:hint="eastAsia"/>
                <w:color w:val="000000"/>
                <w:kern w:val="0"/>
                <w:sz w:val="18"/>
                <w:szCs w:val="18"/>
              </w:rPr>
              <w:t>房地产开发企业在进行商品房销（预）售时，应当向购房人出具该项目的《白蚁预防合同》或者其他实施房屋白蚁预防的证明文件，提供的《住宅质量保证书》中必须包括白蚁预防质量保证的内容。</w:t>
            </w:r>
          </w:p>
          <w:p w14:paraId="7AC8D931">
            <w:pPr>
              <w:spacing w:line="320" w:lineRule="exact"/>
              <w:jc w:val="left"/>
              <w:rPr>
                <w:color w:val="000000"/>
                <w:kern w:val="0"/>
                <w:sz w:val="18"/>
                <w:szCs w:val="18"/>
              </w:rPr>
            </w:pPr>
            <w:r>
              <w:rPr>
                <w:rFonts w:hint="eastAsia"/>
                <w:color w:val="000000"/>
                <w:kern w:val="0"/>
                <w:sz w:val="18"/>
                <w:szCs w:val="18"/>
              </w:rPr>
              <w:t>第十六条第一款</w:t>
            </w:r>
            <w:r>
              <w:rPr>
                <w:color w:val="000000"/>
                <w:kern w:val="0"/>
                <w:sz w:val="18"/>
                <w:szCs w:val="18"/>
              </w:rPr>
              <w:t xml:space="preserve">  </w:t>
            </w:r>
            <w:r>
              <w:rPr>
                <w:rFonts w:hint="eastAsia"/>
                <w:color w:val="000000"/>
                <w:kern w:val="0"/>
                <w:sz w:val="18"/>
                <w:szCs w:val="18"/>
              </w:rPr>
              <w:t>房地产开发企业违反本规定第十一条第一款的规定，由房屋所在地的县级以上地方人民政府房地产行政主管部门责令限期改正，并处以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1D02076E">
        <w:tblPrEx>
          <w:tblCellMar>
            <w:top w:w="0" w:type="dxa"/>
            <w:left w:w="108" w:type="dxa"/>
            <w:bottom w:w="0" w:type="dxa"/>
            <w:right w:w="108" w:type="dxa"/>
          </w:tblCellMar>
        </w:tblPrEx>
        <w:trPr>
          <w:gridAfter w:val="1"/>
          <w:wAfter w:w="14" w:type="dxa"/>
          <w:trHeight w:val="285" w:hRule="atLeast"/>
        </w:trPr>
        <w:tc>
          <w:tcPr>
            <w:tcW w:w="1010" w:type="dxa"/>
            <w:tcBorders>
              <w:top w:val="nil"/>
              <w:left w:val="single" w:color="auto" w:sz="8" w:space="0"/>
              <w:bottom w:val="single" w:color="auto" w:sz="4" w:space="0"/>
              <w:right w:val="single" w:color="auto" w:sz="4" w:space="0"/>
            </w:tcBorders>
            <w:vAlign w:val="center"/>
          </w:tcPr>
          <w:p w14:paraId="244911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7D1CDD8D">
            <w:pPr>
              <w:spacing w:line="320" w:lineRule="exact"/>
              <w:jc w:val="left"/>
              <w:rPr>
                <w:color w:val="000000"/>
                <w:kern w:val="0"/>
                <w:sz w:val="18"/>
                <w:szCs w:val="18"/>
              </w:rPr>
            </w:pPr>
            <w:r>
              <w:rPr>
                <w:rFonts w:hint="eastAsia"/>
                <w:color w:val="000000"/>
                <w:kern w:val="0"/>
                <w:sz w:val="18"/>
                <w:szCs w:val="18"/>
              </w:rPr>
              <w:t>罚款</w:t>
            </w:r>
          </w:p>
        </w:tc>
      </w:tr>
      <w:tr w14:paraId="1052DB1C">
        <w:tblPrEx>
          <w:tblCellMar>
            <w:top w:w="0" w:type="dxa"/>
            <w:left w:w="108" w:type="dxa"/>
            <w:bottom w:w="0" w:type="dxa"/>
            <w:right w:w="108" w:type="dxa"/>
          </w:tblCellMar>
        </w:tblPrEx>
        <w:trPr>
          <w:gridAfter w:val="1"/>
          <w:wAfter w:w="14" w:type="dxa"/>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02F52967">
            <w:pPr>
              <w:spacing w:line="320" w:lineRule="exact"/>
              <w:jc w:val="center"/>
              <w:rPr>
                <w:color w:val="000000"/>
                <w:kern w:val="0"/>
                <w:sz w:val="18"/>
                <w:szCs w:val="18"/>
              </w:rPr>
            </w:pPr>
            <w:r>
              <w:rPr>
                <w:rFonts w:hint="eastAsia"/>
                <w:color w:val="000000"/>
                <w:kern w:val="0"/>
                <w:sz w:val="18"/>
                <w:szCs w:val="18"/>
              </w:rPr>
              <w:t>裁量基准</w:t>
            </w:r>
          </w:p>
        </w:tc>
      </w:tr>
      <w:tr w14:paraId="746DACC6">
        <w:tblPrEx>
          <w:tblCellMar>
            <w:top w:w="0" w:type="dxa"/>
            <w:left w:w="108" w:type="dxa"/>
            <w:bottom w:w="0" w:type="dxa"/>
            <w:right w:w="108" w:type="dxa"/>
          </w:tblCellMar>
        </w:tblPrEx>
        <w:trPr>
          <w:trHeight w:val="285" w:hRule="atLeast"/>
        </w:trPr>
        <w:tc>
          <w:tcPr>
            <w:tcW w:w="1035" w:type="dxa"/>
            <w:gridSpan w:val="2"/>
            <w:vMerge w:val="restart"/>
            <w:tcBorders>
              <w:top w:val="nil"/>
              <w:left w:val="single" w:color="auto" w:sz="8" w:space="0"/>
              <w:right w:val="single" w:color="auto" w:sz="4" w:space="0"/>
            </w:tcBorders>
            <w:vAlign w:val="center"/>
          </w:tcPr>
          <w:p w14:paraId="6A365EF2">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2D20E3A0">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color="auto" w:sz="4" w:space="0"/>
            </w:tcBorders>
            <w:vAlign w:val="center"/>
          </w:tcPr>
          <w:p w14:paraId="616B4835">
            <w:pPr>
              <w:spacing w:line="320" w:lineRule="exact"/>
              <w:jc w:val="center"/>
              <w:rPr>
                <w:color w:val="000000"/>
                <w:kern w:val="0"/>
                <w:sz w:val="18"/>
                <w:szCs w:val="18"/>
              </w:rPr>
            </w:pPr>
            <w:r>
              <w:rPr>
                <w:rFonts w:hint="eastAsia"/>
                <w:color w:val="000000"/>
                <w:kern w:val="0"/>
                <w:sz w:val="18"/>
                <w:szCs w:val="18"/>
              </w:rPr>
              <w:t>裁量幅度</w:t>
            </w:r>
          </w:p>
        </w:tc>
        <w:tc>
          <w:tcPr>
            <w:tcW w:w="5735" w:type="dxa"/>
            <w:gridSpan w:val="2"/>
            <w:tcBorders>
              <w:top w:val="nil"/>
              <w:left w:val="nil"/>
              <w:bottom w:val="single" w:color="auto" w:sz="4" w:space="0"/>
              <w:right w:val="single" w:color="auto" w:sz="8" w:space="0"/>
            </w:tcBorders>
            <w:vAlign w:val="center"/>
          </w:tcPr>
          <w:p w14:paraId="7CA85C2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55C6295A">
        <w:tblPrEx>
          <w:tblCellMar>
            <w:top w:w="0" w:type="dxa"/>
            <w:left w:w="108" w:type="dxa"/>
            <w:bottom w:w="0" w:type="dxa"/>
            <w:right w:w="108" w:type="dxa"/>
          </w:tblCellMar>
        </w:tblPrEx>
        <w:trPr>
          <w:trHeight w:val="285" w:hRule="atLeast"/>
        </w:trPr>
        <w:tc>
          <w:tcPr>
            <w:tcW w:w="1035" w:type="dxa"/>
            <w:gridSpan w:val="2"/>
            <w:vMerge w:val="continue"/>
            <w:tcBorders>
              <w:left w:val="single" w:color="auto" w:sz="8" w:space="0"/>
              <w:bottom w:val="single" w:color="auto" w:sz="4" w:space="0"/>
              <w:right w:val="single" w:color="auto" w:sz="4" w:space="0"/>
            </w:tcBorders>
            <w:vAlign w:val="center"/>
          </w:tcPr>
          <w:p w14:paraId="538C9801">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616D4A8F">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left w:val="nil"/>
              <w:bottom w:val="single" w:color="auto" w:sz="4" w:space="0"/>
              <w:right w:val="single" w:color="auto" w:sz="4" w:space="0"/>
            </w:tcBorders>
            <w:vAlign w:val="center"/>
          </w:tcPr>
          <w:p w14:paraId="02AD4991">
            <w:pPr>
              <w:spacing w:line="320" w:lineRule="exact"/>
              <w:jc w:val="center"/>
              <w:rPr>
                <w:color w:val="000000"/>
                <w:kern w:val="0"/>
                <w:sz w:val="18"/>
                <w:szCs w:val="18"/>
              </w:rPr>
            </w:pPr>
          </w:p>
        </w:tc>
        <w:tc>
          <w:tcPr>
            <w:tcW w:w="5735" w:type="dxa"/>
            <w:gridSpan w:val="2"/>
            <w:tcBorders>
              <w:top w:val="nil"/>
              <w:left w:val="nil"/>
              <w:bottom w:val="single" w:color="auto" w:sz="4" w:space="0"/>
              <w:right w:val="single" w:color="auto" w:sz="8" w:space="0"/>
            </w:tcBorders>
            <w:vAlign w:val="center"/>
          </w:tcPr>
          <w:p w14:paraId="117721D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0F39086F"/>
    <w:p w14:paraId="6D7931D3"/>
    <w:p w14:paraId="5D946D65"/>
    <w:p w14:paraId="76F5B731"/>
    <w:p w14:paraId="33B7DE46"/>
    <w:p w14:paraId="3F5FAC1F"/>
    <w:p w14:paraId="37161ECC"/>
    <w:p w14:paraId="5C96C7B1"/>
    <w:p w14:paraId="1A4BB2AE"/>
    <w:p w14:paraId="0C50CA3E"/>
    <w:p w14:paraId="010C71CC"/>
    <w:tbl>
      <w:tblPr>
        <w:tblStyle w:val="15"/>
        <w:tblW w:w="0" w:type="auto"/>
        <w:tblInd w:w="88" w:type="dxa"/>
        <w:tblLayout w:type="fixed"/>
        <w:tblCellMar>
          <w:top w:w="0" w:type="dxa"/>
          <w:left w:w="108" w:type="dxa"/>
          <w:bottom w:w="0" w:type="dxa"/>
          <w:right w:w="108" w:type="dxa"/>
        </w:tblCellMar>
      </w:tblPr>
      <w:tblGrid>
        <w:gridCol w:w="1154"/>
        <w:gridCol w:w="5996"/>
        <w:gridCol w:w="1092"/>
        <w:gridCol w:w="5788"/>
      </w:tblGrid>
      <w:tr w14:paraId="715E6EBB">
        <w:tblPrEx>
          <w:tblCellMar>
            <w:top w:w="0" w:type="dxa"/>
            <w:left w:w="108" w:type="dxa"/>
            <w:bottom w:w="0" w:type="dxa"/>
            <w:right w:w="108" w:type="dxa"/>
          </w:tblCellMar>
        </w:tblPrEx>
        <w:trPr>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1364243F">
            <w:pPr>
              <w:rPr>
                <w:color w:val="000000"/>
              </w:rPr>
            </w:pPr>
            <w:r>
              <w:rPr>
                <w:rFonts w:hint="eastAsia"/>
                <w:color w:val="000000"/>
              </w:rPr>
              <w:t>编号</w:t>
            </w:r>
          </w:p>
        </w:tc>
        <w:tc>
          <w:tcPr>
            <w:tcW w:w="12876" w:type="dxa"/>
            <w:gridSpan w:val="3"/>
            <w:tcBorders>
              <w:top w:val="single" w:color="auto" w:sz="8" w:space="0"/>
              <w:left w:val="nil"/>
              <w:bottom w:val="single" w:color="auto" w:sz="4" w:space="0"/>
              <w:right w:val="single" w:color="000000" w:sz="8" w:space="0"/>
            </w:tcBorders>
            <w:vAlign w:val="center"/>
          </w:tcPr>
          <w:p w14:paraId="0F97A7A4">
            <w:pPr>
              <w:rPr>
                <w:b/>
                <w:bCs/>
                <w:color w:val="000000"/>
              </w:rPr>
            </w:pPr>
            <w:r>
              <w:rPr>
                <w:b/>
                <w:bCs/>
                <w:color w:val="000000"/>
              </w:rPr>
              <w:t>320217525000</w:t>
            </w:r>
            <w:r>
              <w:rPr>
                <w:rFonts w:hint="eastAsia"/>
                <w:b/>
                <w:bCs/>
                <w:color w:val="000000"/>
              </w:rPr>
              <w:t xml:space="preserve"> </w:t>
            </w:r>
          </w:p>
        </w:tc>
      </w:tr>
      <w:tr w14:paraId="4E2DC99C">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095502C4">
            <w:pPr>
              <w:rPr>
                <w:color w:val="000000"/>
              </w:rPr>
            </w:pPr>
            <w:r>
              <w:rPr>
                <w:rFonts w:hint="eastAsia"/>
                <w:color w:val="000000"/>
              </w:rPr>
              <w:t>行为名称</w:t>
            </w:r>
          </w:p>
        </w:tc>
        <w:tc>
          <w:tcPr>
            <w:tcW w:w="12876" w:type="dxa"/>
            <w:gridSpan w:val="3"/>
            <w:tcBorders>
              <w:top w:val="single" w:color="auto" w:sz="4" w:space="0"/>
              <w:left w:val="nil"/>
              <w:bottom w:val="single" w:color="auto" w:sz="4" w:space="0"/>
              <w:right w:val="single" w:color="000000" w:sz="8" w:space="0"/>
            </w:tcBorders>
            <w:vAlign w:val="center"/>
          </w:tcPr>
          <w:p w14:paraId="1D346F5D">
            <w:pPr>
              <w:rPr>
                <w:color w:val="000000"/>
              </w:rPr>
            </w:pPr>
            <w:r>
              <w:rPr>
                <w:rFonts w:hint="eastAsia"/>
                <w:color w:val="000000"/>
              </w:rPr>
              <w:t>对装修人将住宅室内装饰装修工程委托给不具有相应资质等级企业的处罚</w:t>
            </w:r>
          </w:p>
        </w:tc>
      </w:tr>
      <w:tr w14:paraId="187B6A14">
        <w:tblPrEx>
          <w:tblCellMar>
            <w:top w:w="0" w:type="dxa"/>
            <w:left w:w="108" w:type="dxa"/>
            <w:bottom w:w="0" w:type="dxa"/>
            <w:right w:w="108" w:type="dxa"/>
          </w:tblCellMar>
        </w:tblPrEx>
        <w:trPr>
          <w:trHeight w:val="935" w:hRule="atLeast"/>
        </w:trPr>
        <w:tc>
          <w:tcPr>
            <w:tcW w:w="1154" w:type="dxa"/>
            <w:tcBorders>
              <w:top w:val="nil"/>
              <w:left w:val="single" w:color="auto" w:sz="8" w:space="0"/>
              <w:bottom w:val="single" w:color="auto" w:sz="4" w:space="0"/>
              <w:right w:val="single" w:color="auto" w:sz="4" w:space="0"/>
            </w:tcBorders>
            <w:vAlign w:val="center"/>
          </w:tcPr>
          <w:p w14:paraId="4EAF6517">
            <w:pPr>
              <w:rPr>
                <w:color w:val="000000"/>
              </w:rPr>
            </w:pPr>
            <w:r>
              <w:rPr>
                <w:rFonts w:hint="eastAsia"/>
                <w:color w:val="000000"/>
              </w:rPr>
              <w:t>法律依据</w:t>
            </w:r>
          </w:p>
        </w:tc>
        <w:tc>
          <w:tcPr>
            <w:tcW w:w="12876" w:type="dxa"/>
            <w:gridSpan w:val="3"/>
            <w:tcBorders>
              <w:top w:val="single" w:color="auto" w:sz="4" w:space="0"/>
              <w:left w:val="nil"/>
              <w:bottom w:val="single" w:color="auto" w:sz="4" w:space="0"/>
              <w:right w:val="single" w:color="000000" w:sz="8" w:space="0"/>
            </w:tcBorders>
            <w:vAlign w:val="center"/>
          </w:tcPr>
          <w:p w14:paraId="66783CF8">
            <w:pPr>
              <w:spacing w:line="300" w:lineRule="exact"/>
              <w:jc w:val="left"/>
              <w:rPr>
                <w:color w:val="000000"/>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装修人违反本办法规定，将住宅室内装饰装修工程委托给不具有相应资质等级企业的，由城市房地产行政主管部门责令改正，处</w:t>
            </w:r>
            <w:r>
              <w:rPr>
                <w:color w:val="000000"/>
                <w:kern w:val="0"/>
                <w:sz w:val="18"/>
                <w:szCs w:val="18"/>
              </w:rPr>
              <w:t>5</w:t>
            </w:r>
            <w:r>
              <w:rPr>
                <w:rFonts w:hint="eastAsia"/>
                <w:color w:val="000000"/>
                <w:kern w:val="0"/>
                <w:sz w:val="18"/>
                <w:szCs w:val="18"/>
              </w:rPr>
              <w:t>百元以上</w:t>
            </w:r>
            <w:r>
              <w:rPr>
                <w:color w:val="000000"/>
                <w:kern w:val="0"/>
                <w:sz w:val="18"/>
                <w:szCs w:val="18"/>
              </w:rPr>
              <w:t>1</w:t>
            </w:r>
            <w:r>
              <w:rPr>
                <w:rFonts w:hint="eastAsia"/>
                <w:color w:val="000000"/>
                <w:kern w:val="0"/>
                <w:sz w:val="18"/>
                <w:szCs w:val="18"/>
              </w:rPr>
              <w:t>千元以下的罚款。</w:t>
            </w:r>
          </w:p>
        </w:tc>
      </w:tr>
      <w:tr w14:paraId="67A7F0BE">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04ED1CBB">
            <w:pPr>
              <w:rPr>
                <w:color w:val="000000"/>
              </w:rPr>
            </w:pPr>
            <w:r>
              <w:rPr>
                <w:rFonts w:hint="eastAsia"/>
                <w:color w:val="000000"/>
              </w:rPr>
              <w:t>行使内容</w:t>
            </w:r>
          </w:p>
        </w:tc>
        <w:tc>
          <w:tcPr>
            <w:tcW w:w="12876" w:type="dxa"/>
            <w:gridSpan w:val="3"/>
            <w:tcBorders>
              <w:top w:val="single" w:color="auto" w:sz="4" w:space="0"/>
              <w:left w:val="nil"/>
              <w:bottom w:val="single" w:color="auto" w:sz="4" w:space="0"/>
              <w:right w:val="single" w:color="000000" w:sz="8" w:space="0"/>
            </w:tcBorders>
            <w:vAlign w:val="center"/>
          </w:tcPr>
          <w:p w14:paraId="7A3BCD75">
            <w:pPr>
              <w:rPr>
                <w:color w:val="000000"/>
              </w:rPr>
            </w:pPr>
            <w:r>
              <w:rPr>
                <w:rFonts w:hint="eastAsia"/>
                <w:color w:val="000000"/>
              </w:rPr>
              <w:t>责令改正、罚款</w:t>
            </w:r>
          </w:p>
        </w:tc>
      </w:tr>
      <w:tr w14:paraId="25299293">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6F3A7ECB">
            <w:pPr>
              <w:jc w:val="center"/>
              <w:rPr>
                <w:color w:val="000000"/>
              </w:rPr>
            </w:pPr>
            <w:r>
              <w:rPr>
                <w:rFonts w:hint="eastAsia"/>
                <w:color w:val="000000"/>
              </w:rPr>
              <w:t>裁量基准</w:t>
            </w:r>
          </w:p>
        </w:tc>
      </w:tr>
      <w:tr w14:paraId="10A2DB26">
        <w:tblPrEx>
          <w:tblCellMar>
            <w:top w:w="0" w:type="dxa"/>
            <w:left w:w="108" w:type="dxa"/>
            <w:bottom w:w="0" w:type="dxa"/>
            <w:right w:w="108" w:type="dxa"/>
          </w:tblCellMar>
        </w:tblPrEx>
        <w:trPr>
          <w:trHeight w:val="285" w:hRule="atLeast"/>
        </w:trPr>
        <w:tc>
          <w:tcPr>
            <w:tcW w:w="1154" w:type="dxa"/>
            <w:vMerge w:val="restart"/>
            <w:tcBorders>
              <w:top w:val="nil"/>
              <w:left w:val="single" w:color="auto" w:sz="8" w:space="0"/>
              <w:bottom w:val="single" w:color="auto" w:sz="4" w:space="0"/>
              <w:right w:val="single" w:color="auto" w:sz="4" w:space="0"/>
            </w:tcBorders>
            <w:vAlign w:val="center"/>
          </w:tcPr>
          <w:p w14:paraId="153CB6B8">
            <w:pPr>
              <w:rPr>
                <w:color w:val="000000"/>
              </w:rPr>
            </w:pPr>
            <w:r>
              <w:rPr>
                <w:rFonts w:hint="eastAsia"/>
                <w:color w:val="000000"/>
              </w:rPr>
              <w:t>情形描述</w:t>
            </w:r>
          </w:p>
        </w:tc>
        <w:tc>
          <w:tcPr>
            <w:tcW w:w="5996" w:type="dxa"/>
            <w:tcBorders>
              <w:top w:val="single" w:color="auto" w:sz="4" w:space="0"/>
              <w:left w:val="nil"/>
              <w:bottom w:val="single" w:color="auto" w:sz="4" w:space="0"/>
              <w:right w:val="single" w:color="000000" w:sz="4" w:space="0"/>
            </w:tcBorders>
            <w:vAlign w:val="center"/>
          </w:tcPr>
          <w:p w14:paraId="1C1746EA">
            <w:pPr>
              <w:rPr>
                <w:color w:val="000000"/>
              </w:rPr>
            </w:pPr>
            <w:r>
              <w:rPr>
                <w:rFonts w:hint="eastAsia"/>
                <w:color w:val="000000"/>
              </w:rPr>
              <w:t>按要求改正的</w:t>
            </w:r>
          </w:p>
        </w:tc>
        <w:tc>
          <w:tcPr>
            <w:tcW w:w="1092" w:type="dxa"/>
            <w:vMerge w:val="restart"/>
            <w:tcBorders>
              <w:top w:val="nil"/>
              <w:left w:val="single" w:color="auto" w:sz="4" w:space="0"/>
              <w:bottom w:val="single" w:color="auto" w:sz="4" w:space="0"/>
              <w:right w:val="single" w:color="auto" w:sz="4" w:space="0"/>
            </w:tcBorders>
            <w:vAlign w:val="center"/>
          </w:tcPr>
          <w:p w14:paraId="0C6CBD56">
            <w:pPr>
              <w:rPr>
                <w:color w:val="000000"/>
              </w:rPr>
            </w:pPr>
            <w:r>
              <w:rPr>
                <w:rFonts w:hint="eastAsia"/>
                <w:color w:val="000000"/>
              </w:rPr>
              <w:t>裁量幅度</w:t>
            </w:r>
          </w:p>
        </w:tc>
        <w:tc>
          <w:tcPr>
            <w:tcW w:w="5788" w:type="dxa"/>
            <w:tcBorders>
              <w:top w:val="nil"/>
              <w:left w:val="nil"/>
              <w:bottom w:val="single" w:color="auto" w:sz="4" w:space="0"/>
              <w:right w:val="single" w:color="auto" w:sz="8" w:space="0"/>
            </w:tcBorders>
            <w:vAlign w:val="center"/>
          </w:tcPr>
          <w:p w14:paraId="162C5FDA">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14:paraId="6F0CE833">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0D4A4AC6">
            <w:pPr>
              <w:rPr>
                <w:color w:val="000000"/>
              </w:rPr>
            </w:pPr>
          </w:p>
        </w:tc>
        <w:tc>
          <w:tcPr>
            <w:tcW w:w="5996" w:type="dxa"/>
            <w:tcBorders>
              <w:top w:val="nil"/>
              <w:left w:val="nil"/>
              <w:bottom w:val="single" w:color="auto" w:sz="4" w:space="0"/>
              <w:right w:val="single" w:color="000000" w:sz="4" w:space="0"/>
            </w:tcBorders>
            <w:vAlign w:val="center"/>
          </w:tcPr>
          <w:p w14:paraId="0AAF1F37">
            <w:pPr>
              <w:rPr>
                <w:color w:val="000000"/>
              </w:rPr>
            </w:pPr>
            <w:r>
              <w:rPr>
                <w:rFonts w:hint="eastAsia"/>
                <w:color w:val="000000"/>
              </w:rPr>
              <w:t>未按要求改正的</w:t>
            </w:r>
          </w:p>
        </w:tc>
        <w:tc>
          <w:tcPr>
            <w:tcW w:w="1092" w:type="dxa"/>
            <w:vMerge w:val="continue"/>
            <w:tcBorders>
              <w:top w:val="nil"/>
              <w:left w:val="single" w:color="auto" w:sz="4" w:space="0"/>
              <w:bottom w:val="single" w:color="auto" w:sz="4" w:space="0"/>
              <w:right w:val="single" w:color="auto" w:sz="4" w:space="0"/>
            </w:tcBorders>
            <w:vAlign w:val="center"/>
          </w:tcPr>
          <w:p w14:paraId="18A424DB">
            <w:pPr>
              <w:rPr>
                <w:color w:val="000000"/>
              </w:rPr>
            </w:pPr>
          </w:p>
        </w:tc>
        <w:tc>
          <w:tcPr>
            <w:tcW w:w="5788" w:type="dxa"/>
            <w:tcBorders>
              <w:top w:val="nil"/>
              <w:left w:val="nil"/>
              <w:bottom w:val="single" w:color="auto" w:sz="4" w:space="0"/>
              <w:right w:val="single" w:color="auto" w:sz="8" w:space="0"/>
            </w:tcBorders>
            <w:vAlign w:val="center"/>
          </w:tcPr>
          <w:p w14:paraId="2DEAFE01">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14:paraId="55E98315"/>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5996"/>
        <w:gridCol w:w="1092"/>
        <w:gridCol w:w="5788"/>
      </w:tblGrid>
      <w:tr w14:paraId="5DAD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0A0AA77A">
            <w:pPr>
              <w:rPr>
                <w:color w:val="000000"/>
              </w:rPr>
            </w:pPr>
            <w:r>
              <w:rPr>
                <w:rFonts w:hint="eastAsia"/>
                <w:color w:val="000000"/>
              </w:rPr>
              <w:t>编号</w:t>
            </w:r>
          </w:p>
        </w:tc>
        <w:tc>
          <w:tcPr>
            <w:tcW w:w="12876" w:type="dxa"/>
            <w:gridSpan w:val="3"/>
            <w:vAlign w:val="center"/>
          </w:tcPr>
          <w:p w14:paraId="3DD2BA6C">
            <w:pPr>
              <w:rPr>
                <w:b/>
                <w:bCs/>
                <w:color w:val="000000"/>
              </w:rPr>
            </w:pPr>
            <w:r>
              <w:rPr>
                <w:b/>
                <w:bCs/>
                <w:color w:val="000000"/>
              </w:rPr>
              <w:t>320217526000</w:t>
            </w:r>
          </w:p>
        </w:tc>
      </w:tr>
      <w:tr w14:paraId="7DA7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3D5BC915">
            <w:pPr>
              <w:rPr>
                <w:color w:val="000000"/>
              </w:rPr>
            </w:pPr>
            <w:r>
              <w:rPr>
                <w:rFonts w:hint="eastAsia"/>
                <w:color w:val="000000"/>
              </w:rPr>
              <w:t>行为名称</w:t>
            </w:r>
          </w:p>
        </w:tc>
        <w:tc>
          <w:tcPr>
            <w:tcW w:w="12876" w:type="dxa"/>
            <w:gridSpan w:val="3"/>
            <w:vAlign w:val="center"/>
          </w:tcPr>
          <w:p w14:paraId="1A04488D">
            <w:pPr>
              <w:rPr>
                <w:color w:val="000000"/>
              </w:rPr>
            </w:pPr>
            <w:r>
              <w:rPr>
                <w:rFonts w:hint="eastAsia"/>
                <w:color w:val="000000"/>
              </w:rPr>
              <w:t>对装修人擅自拆改供暖、燃气管道和设施的处罚</w:t>
            </w:r>
          </w:p>
        </w:tc>
      </w:tr>
      <w:tr w14:paraId="1179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54" w:type="dxa"/>
            <w:vAlign w:val="center"/>
          </w:tcPr>
          <w:p w14:paraId="7947D8D8">
            <w:pPr>
              <w:rPr>
                <w:color w:val="000000"/>
              </w:rPr>
            </w:pPr>
            <w:r>
              <w:rPr>
                <w:rFonts w:hint="eastAsia"/>
                <w:color w:val="000000"/>
              </w:rPr>
              <w:t>法律依据</w:t>
            </w:r>
          </w:p>
        </w:tc>
        <w:tc>
          <w:tcPr>
            <w:tcW w:w="12876" w:type="dxa"/>
            <w:gridSpan w:val="3"/>
            <w:vAlign w:val="center"/>
          </w:tcPr>
          <w:p w14:paraId="31BCBAEB">
            <w:pPr>
              <w:spacing w:line="320" w:lineRule="exact"/>
              <w:jc w:val="left"/>
              <w:rPr>
                <w:color w:val="000000"/>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第三十八条第（三）项</w:t>
            </w:r>
            <w:r>
              <w:rPr>
                <w:color w:val="000000"/>
                <w:kern w:val="0"/>
                <w:sz w:val="18"/>
                <w:szCs w:val="18"/>
              </w:rPr>
              <w:t xml:space="preserve"> </w:t>
            </w:r>
            <w:r>
              <w:rPr>
                <w:rFonts w:hint="eastAsia"/>
                <w:color w:val="000000"/>
                <w:kern w:val="0"/>
                <w:sz w:val="18"/>
                <w:szCs w:val="18"/>
              </w:rPr>
              <w:t>擅自拆改供暖、燃气管道和设施的，对装修人处</w:t>
            </w:r>
            <w:r>
              <w:rPr>
                <w:color w:val="000000"/>
                <w:kern w:val="0"/>
                <w:sz w:val="18"/>
                <w:szCs w:val="18"/>
              </w:rPr>
              <w:t>5</w:t>
            </w:r>
            <w:r>
              <w:rPr>
                <w:rFonts w:hint="eastAsia"/>
                <w:color w:val="000000"/>
                <w:kern w:val="0"/>
                <w:sz w:val="18"/>
                <w:szCs w:val="18"/>
              </w:rPr>
              <w:t>百元以上</w:t>
            </w:r>
            <w:r>
              <w:rPr>
                <w:color w:val="000000"/>
                <w:kern w:val="0"/>
                <w:sz w:val="18"/>
                <w:szCs w:val="18"/>
              </w:rPr>
              <w:t>1</w:t>
            </w:r>
            <w:r>
              <w:rPr>
                <w:rFonts w:hint="eastAsia"/>
                <w:color w:val="000000"/>
                <w:kern w:val="0"/>
                <w:sz w:val="18"/>
                <w:szCs w:val="18"/>
              </w:rPr>
              <w:t>千元以下的罚款。</w:t>
            </w:r>
          </w:p>
        </w:tc>
      </w:tr>
      <w:tr w14:paraId="5F71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22B77CBB">
            <w:pPr>
              <w:rPr>
                <w:color w:val="000000"/>
              </w:rPr>
            </w:pPr>
            <w:r>
              <w:rPr>
                <w:rFonts w:hint="eastAsia"/>
                <w:color w:val="000000"/>
              </w:rPr>
              <w:t>行使内容</w:t>
            </w:r>
          </w:p>
        </w:tc>
        <w:tc>
          <w:tcPr>
            <w:tcW w:w="12876" w:type="dxa"/>
            <w:gridSpan w:val="3"/>
          </w:tcPr>
          <w:p w14:paraId="224A24FB">
            <w:pPr>
              <w:rPr>
                <w:color w:val="000000"/>
              </w:rPr>
            </w:pPr>
            <w:r>
              <w:rPr>
                <w:rFonts w:hint="eastAsia"/>
                <w:color w:val="000000"/>
              </w:rPr>
              <w:t>罚款</w:t>
            </w:r>
          </w:p>
        </w:tc>
      </w:tr>
      <w:tr w14:paraId="3786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vAlign w:val="center"/>
          </w:tcPr>
          <w:p w14:paraId="23D55768">
            <w:pPr>
              <w:jc w:val="center"/>
              <w:rPr>
                <w:color w:val="000000"/>
              </w:rPr>
            </w:pPr>
            <w:r>
              <w:rPr>
                <w:rFonts w:hint="eastAsia"/>
                <w:color w:val="000000"/>
              </w:rPr>
              <w:t>裁量基准</w:t>
            </w:r>
          </w:p>
        </w:tc>
      </w:tr>
      <w:tr w14:paraId="6ABC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restart"/>
            <w:vAlign w:val="center"/>
          </w:tcPr>
          <w:p w14:paraId="2AC60265">
            <w:pPr>
              <w:rPr>
                <w:color w:val="000000"/>
              </w:rPr>
            </w:pPr>
            <w:r>
              <w:rPr>
                <w:rFonts w:hint="eastAsia"/>
                <w:color w:val="000000"/>
              </w:rPr>
              <w:t>情形描述</w:t>
            </w:r>
          </w:p>
        </w:tc>
        <w:tc>
          <w:tcPr>
            <w:tcW w:w="5996" w:type="dxa"/>
            <w:vAlign w:val="center"/>
          </w:tcPr>
          <w:p w14:paraId="4FD2671A">
            <w:pPr>
              <w:rPr>
                <w:color w:val="000000"/>
              </w:rPr>
            </w:pPr>
            <w:r>
              <w:rPr>
                <w:rFonts w:hint="eastAsia"/>
                <w:color w:val="000000"/>
              </w:rPr>
              <w:t>按要求改正的</w:t>
            </w:r>
          </w:p>
        </w:tc>
        <w:tc>
          <w:tcPr>
            <w:tcW w:w="1092" w:type="dxa"/>
            <w:vMerge w:val="restart"/>
            <w:vAlign w:val="center"/>
          </w:tcPr>
          <w:p w14:paraId="422FC054">
            <w:pPr>
              <w:rPr>
                <w:color w:val="000000"/>
              </w:rPr>
            </w:pPr>
            <w:r>
              <w:rPr>
                <w:rFonts w:hint="eastAsia"/>
                <w:color w:val="000000"/>
              </w:rPr>
              <w:t>裁量幅度</w:t>
            </w:r>
          </w:p>
        </w:tc>
        <w:tc>
          <w:tcPr>
            <w:tcW w:w="5788" w:type="dxa"/>
            <w:vAlign w:val="center"/>
          </w:tcPr>
          <w:p w14:paraId="043CCD56">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14:paraId="7E0C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continue"/>
            <w:vAlign w:val="center"/>
          </w:tcPr>
          <w:p w14:paraId="0B8C55BB">
            <w:pPr>
              <w:rPr>
                <w:color w:val="000000"/>
              </w:rPr>
            </w:pPr>
          </w:p>
        </w:tc>
        <w:tc>
          <w:tcPr>
            <w:tcW w:w="5996" w:type="dxa"/>
            <w:vAlign w:val="center"/>
          </w:tcPr>
          <w:p w14:paraId="39A6B4BE">
            <w:pPr>
              <w:rPr>
                <w:color w:val="000000"/>
              </w:rPr>
            </w:pPr>
            <w:r>
              <w:rPr>
                <w:rFonts w:hint="eastAsia"/>
                <w:color w:val="000000"/>
              </w:rPr>
              <w:t>未按要求改正的</w:t>
            </w:r>
          </w:p>
        </w:tc>
        <w:tc>
          <w:tcPr>
            <w:tcW w:w="1092" w:type="dxa"/>
            <w:vMerge w:val="continue"/>
            <w:vAlign w:val="center"/>
          </w:tcPr>
          <w:p w14:paraId="2E370CCA">
            <w:pPr>
              <w:rPr>
                <w:color w:val="000000"/>
              </w:rPr>
            </w:pPr>
          </w:p>
        </w:tc>
        <w:tc>
          <w:tcPr>
            <w:tcW w:w="5788" w:type="dxa"/>
            <w:vAlign w:val="center"/>
          </w:tcPr>
          <w:p w14:paraId="05BEAFE2">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14:paraId="3F02C830"/>
    <w:p w14:paraId="143ADE5E"/>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1DE3CC30">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4D51E497">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B814DAB">
            <w:pPr>
              <w:spacing w:line="320" w:lineRule="exact"/>
              <w:jc w:val="left"/>
              <w:rPr>
                <w:rFonts w:eastAsia="仿宋_GB2312"/>
                <w:b/>
                <w:bCs/>
                <w:color w:val="000000"/>
                <w:kern w:val="0"/>
                <w:sz w:val="18"/>
                <w:szCs w:val="18"/>
              </w:rPr>
            </w:pPr>
            <w:r>
              <w:rPr>
                <w:rFonts w:eastAsia="仿宋_GB2312"/>
                <w:b/>
                <w:bCs/>
                <w:color w:val="000000"/>
                <w:kern w:val="0"/>
                <w:sz w:val="18"/>
                <w:szCs w:val="18"/>
              </w:rPr>
              <w:t>320217527000</w:t>
            </w:r>
            <w:r>
              <w:rPr>
                <w:rFonts w:hint="eastAsia" w:eastAsia="仿宋_GB2312"/>
                <w:b/>
                <w:bCs/>
                <w:color w:val="000000"/>
                <w:kern w:val="0"/>
                <w:sz w:val="18"/>
                <w:szCs w:val="18"/>
              </w:rPr>
              <w:t xml:space="preserve"> </w:t>
            </w:r>
          </w:p>
        </w:tc>
      </w:tr>
      <w:tr w14:paraId="2A479C7B">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8B4777A">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03367B54">
            <w:pPr>
              <w:spacing w:line="320" w:lineRule="exact"/>
              <w:jc w:val="left"/>
              <w:rPr>
                <w:color w:val="000000"/>
                <w:kern w:val="0"/>
                <w:sz w:val="18"/>
                <w:szCs w:val="18"/>
              </w:rPr>
            </w:pPr>
            <w:r>
              <w:rPr>
                <w:rFonts w:hint="eastAsia"/>
                <w:color w:val="000000"/>
                <w:kern w:val="0"/>
                <w:sz w:val="18"/>
                <w:szCs w:val="18"/>
              </w:rPr>
              <w:t>对建设单位未按照规定进行白蚁预防的处罚</w:t>
            </w:r>
          </w:p>
        </w:tc>
      </w:tr>
      <w:tr w14:paraId="7846756A">
        <w:tblPrEx>
          <w:tblCellMar>
            <w:top w:w="0" w:type="dxa"/>
            <w:left w:w="108" w:type="dxa"/>
            <w:bottom w:w="0" w:type="dxa"/>
            <w:right w:w="108" w:type="dxa"/>
          </w:tblCellMar>
        </w:tblPrEx>
        <w:trPr>
          <w:trHeight w:val="960" w:hRule="atLeast"/>
        </w:trPr>
        <w:tc>
          <w:tcPr>
            <w:tcW w:w="1010" w:type="dxa"/>
            <w:tcBorders>
              <w:top w:val="nil"/>
              <w:left w:val="single" w:color="auto" w:sz="8" w:space="0"/>
              <w:bottom w:val="single" w:color="auto" w:sz="4" w:space="0"/>
              <w:right w:val="single" w:color="auto" w:sz="4" w:space="0"/>
            </w:tcBorders>
            <w:vAlign w:val="center"/>
          </w:tcPr>
          <w:p w14:paraId="7AE540AC">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5B12DA18">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14:paraId="2162DBDF">
            <w:pPr>
              <w:spacing w:line="320" w:lineRule="exact"/>
              <w:jc w:val="left"/>
              <w:rPr>
                <w:color w:val="000000"/>
                <w:kern w:val="0"/>
                <w:sz w:val="18"/>
                <w:szCs w:val="18"/>
              </w:rPr>
            </w:pPr>
            <w:r>
              <w:rPr>
                <w:rFonts w:hint="eastAsia"/>
                <w:color w:val="000000"/>
                <w:kern w:val="0"/>
                <w:sz w:val="18"/>
                <w:szCs w:val="18"/>
              </w:rPr>
              <w:t>第十一条第二款</w:t>
            </w:r>
            <w:r>
              <w:rPr>
                <w:color w:val="000000"/>
                <w:kern w:val="0"/>
                <w:sz w:val="18"/>
                <w:szCs w:val="18"/>
              </w:rPr>
              <w:t xml:space="preserve">  </w:t>
            </w:r>
            <w:r>
              <w:rPr>
                <w:rFonts w:hint="eastAsia"/>
                <w:color w:val="000000"/>
                <w:kern w:val="0"/>
                <w:sz w:val="18"/>
                <w:szCs w:val="18"/>
              </w:rPr>
              <w:t>建设单位在办理房屋产权登记手续时，应当向房地产行政主管部门出具按照本规定实施房屋白蚁预防的证明文件。</w:t>
            </w:r>
          </w:p>
          <w:p w14:paraId="2EC648E3">
            <w:pPr>
              <w:spacing w:line="320" w:lineRule="exact"/>
              <w:jc w:val="left"/>
              <w:rPr>
                <w:color w:val="000000"/>
                <w:kern w:val="0"/>
                <w:sz w:val="18"/>
                <w:szCs w:val="18"/>
              </w:rPr>
            </w:pPr>
            <w:r>
              <w:rPr>
                <w:rFonts w:hint="eastAsia"/>
                <w:color w:val="000000"/>
                <w:kern w:val="0"/>
                <w:sz w:val="18"/>
                <w:szCs w:val="18"/>
              </w:rPr>
              <w:t>第十六条第二款</w:t>
            </w:r>
            <w:r>
              <w:rPr>
                <w:color w:val="000000"/>
                <w:kern w:val="0"/>
                <w:sz w:val="18"/>
                <w:szCs w:val="18"/>
              </w:rPr>
              <w:t xml:space="preserve">  </w:t>
            </w:r>
            <w:r>
              <w:rPr>
                <w:rFonts w:hint="eastAsia"/>
                <w:color w:val="000000"/>
                <w:kern w:val="0"/>
                <w:sz w:val="18"/>
                <w:szCs w:val="18"/>
              </w:rPr>
              <w:t>建设单位未按照本规定进行白蚁预防的，由房屋所在地的县级以上地方人民政府房地产行政主管部门责令限期改正，并处以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6B8FF3E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962B35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106C53D">
            <w:pPr>
              <w:spacing w:line="320" w:lineRule="exact"/>
              <w:jc w:val="left"/>
              <w:rPr>
                <w:color w:val="000000"/>
                <w:kern w:val="0"/>
                <w:sz w:val="18"/>
                <w:szCs w:val="18"/>
              </w:rPr>
            </w:pPr>
            <w:r>
              <w:rPr>
                <w:rFonts w:hint="eastAsia"/>
                <w:color w:val="000000"/>
                <w:kern w:val="0"/>
                <w:sz w:val="18"/>
                <w:szCs w:val="18"/>
              </w:rPr>
              <w:t>罚款</w:t>
            </w:r>
          </w:p>
        </w:tc>
      </w:tr>
      <w:tr w14:paraId="7F81619F">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F4BE7F1">
            <w:pPr>
              <w:spacing w:line="320" w:lineRule="exact"/>
              <w:jc w:val="center"/>
              <w:rPr>
                <w:color w:val="000000"/>
                <w:kern w:val="0"/>
                <w:sz w:val="18"/>
                <w:szCs w:val="18"/>
              </w:rPr>
            </w:pPr>
            <w:r>
              <w:rPr>
                <w:rFonts w:hint="eastAsia"/>
                <w:color w:val="000000"/>
                <w:kern w:val="0"/>
                <w:sz w:val="18"/>
                <w:szCs w:val="18"/>
              </w:rPr>
              <w:t>裁量基准</w:t>
            </w:r>
          </w:p>
        </w:tc>
      </w:tr>
      <w:tr w14:paraId="37890618">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2826527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5E8BC43">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293B6CE9">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3182E2B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225E922">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550F228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5E209DC">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009BD4F5">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2B5BEE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2080107F"/>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5BAEACA4">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2B50AC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6BC814B7">
            <w:pPr>
              <w:spacing w:line="320" w:lineRule="exact"/>
              <w:jc w:val="left"/>
              <w:rPr>
                <w:rFonts w:eastAsia="仿宋_GB2312"/>
                <w:b/>
                <w:bCs/>
                <w:color w:val="000000"/>
                <w:kern w:val="0"/>
                <w:sz w:val="18"/>
                <w:szCs w:val="18"/>
              </w:rPr>
            </w:pPr>
            <w:r>
              <w:rPr>
                <w:rFonts w:eastAsia="仿宋_GB2312"/>
                <w:b/>
                <w:bCs/>
                <w:color w:val="000000"/>
                <w:kern w:val="0"/>
                <w:sz w:val="18"/>
                <w:szCs w:val="18"/>
              </w:rPr>
              <w:t>320217528000</w:t>
            </w:r>
          </w:p>
        </w:tc>
      </w:tr>
      <w:tr w14:paraId="690318E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BF86DA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615D98B8">
            <w:pPr>
              <w:spacing w:line="320" w:lineRule="exact"/>
              <w:jc w:val="left"/>
              <w:rPr>
                <w:color w:val="000000"/>
                <w:kern w:val="0"/>
                <w:sz w:val="18"/>
                <w:szCs w:val="18"/>
              </w:rPr>
            </w:pPr>
            <w:r>
              <w:rPr>
                <w:rFonts w:hint="eastAsia"/>
                <w:color w:val="000000"/>
                <w:kern w:val="0"/>
                <w:sz w:val="18"/>
                <w:szCs w:val="18"/>
              </w:rPr>
              <w:t>对房屋所有人、使用人或者房屋管理单位未按照规定委托白蚁防治单位进行灭治或者配合白蚁防治单位进行白蚁的检查和灭治的处罚</w:t>
            </w:r>
          </w:p>
        </w:tc>
      </w:tr>
      <w:tr w14:paraId="4A09D4B1">
        <w:tblPrEx>
          <w:tblCellMar>
            <w:top w:w="0" w:type="dxa"/>
            <w:left w:w="108" w:type="dxa"/>
            <w:bottom w:w="0" w:type="dxa"/>
            <w:right w:w="108" w:type="dxa"/>
          </w:tblCellMar>
        </w:tblPrEx>
        <w:trPr>
          <w:trHeight w:val="1290" w:hRule="atLeast"/>
        </w:trPr>
        <w:tc>
          <w:tcPr>
            <w:tcW w:w="1010" w:type="dxa"/>
            <w:tcBorders>
              <w:top w:val="nil"/>
              <w:left w:val="single" w:color="auto" w:sz="8" w:space="0"/>
              <w:bottom w:val="single" w:color="auto" w:sz="4" w:space="0"/>
              <w:right w:val="single" w:color="auto" w:sz="4" w:space="0"/>
            </w:tcBorders>
            <w:vAlign w:val="center"/>
          </w:tcPr>
          <w:p w14:paraId="37E3872E">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46701B5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14:paraId="129B6E19">
            <w:pPr>
              <w:spacing w:line="320" w:lineRule="exact"/>
              <w:jc w:val="left"/>
              <w:rPr>
                <w:color w:val="000000"/>
                <w:kern w:val="0"/>
                <w:sz w:val="18"/>
                <w:szCs w:val="18"/>
              </w:rPr>
            </w:pPr>
            <w:r>
              <w:rPr>
                <w:rFonts w:hint="eastAsia"/>
                <w:color w:val="000000"/>
                <w:kern w:val="0"/>
                <w:sz w:val="18"/>
                <w:szCs w:val="18"/>
              </w:rPr>
              <w:t>第十二条　原有房屋和超过白蚁预防包治期限的房屋发生蚁害的，房屋所有人、使用人或者房屋管理单位应当委托白蚁防治单位进行灭治。</w:t>
            </w:r>
            <w:r>
              <w:rPr>
                <w:color w:val="000000"/>
                <w:kern w:val="0"/>
                <w:sz w:val="18"/>
                <w:szCs w:val="18"/>
              </w:rPr>
              <w:t xml:space="preserve"> </w:t>
            </w:r>
          </w:p>
          <w:p w14:paraId="456FB837">
            <w:pPr>
              <w:spacing w:line="320" w:lineRule="exact"/>
              <w:jc w:val="left"/>
              <w:rPr>
                <w:color w:val="000000"/>
                <w:kern w:val="0"/>
                <w:sz w:val="18"/>
                <w:szCs w:val="18"/>
              </w:rPr>
            </w:pPr>
            <w:r>
              <w:rPr>
                <w:rFonts w:hint="eastAsia"/>
                <w:color w:val="000000"/>
                <w:kern w:val="0"/>
                <w:sz w:val="18"/>
                <w:szCs w:val="18"/>
              </w:rPr>
              <w:t>房屋所有人、使用人以及房屋管理单位应当配合白蚁防治单位进行白蚁的检查和灭治工作。</w:t>
            </w:r>
          </w:p>
          <w:p w14:paraId="0A8F3951">
            <w:pPr>
              <w:spacing w:line="320" w:lineRule="exact"/>
              <w:jc w:val="left"/>
              <w:rPr>
                <w:color w:val="000000"/>
                <w:kern w:val="0"/>
                <w:sz w:val="18"/>
                <w:szCs w:val="18"/>
              </w:rPr>
            </w:pPr>
            <w:r>
              <w:rPr>
                <w:rFonts w:hint="eastAsia"/>
                <w:color w:val="000000"/>
                <w:kern w:val="0"/>
                <w:sz w:val="18"/>
                <w:szCs w:val="18"/>
              </w:rPr>
              <w:t>第十七条　房屋所有人、使用人或者房屋管理单位违反本规定第十二条规定的，房屋所在地的县级以上地方人民政府房地产行政主管部门，可以对责任人处以</w:t>
            </w:r>
            <w:r>
              <w:rPr>
                <w:color w:val="000000"/>
                <w:kern w:val="0"/>
                <w:sz w:val="18"/>
                <w:szCs w:val="18"/>
              </w:rPr>
              <w:t>1000</w:t>
            </w:r>
            <w:r>
              <w:rPr>
                <w:rFonts w:hint="eastAsia"/>
                <w:color w:val="000000"/>
                <w:kern w:val="0"/>
                <w:sz w:val="18"/>
                <w:szCs w:val="18"/>
              </w:rPr>
              <w:t>元的罚款。</w:t>
            </w:r>
          </w:p>
        </w:tc>
      </w:tr>
      <w:tr w14:paraId="7D1957A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1F3FD4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3AAF084D">
            <w:pPr>
              <w:spacing w:line="320" w:lineRule="exact"/>
              <w:jc w:val="left"/>
              <w:rPr>
                <w:color w:val="000000"/>
                <w:kern w:val="0"/>
                <w:sz w:val="18"/>
                <w:szCs w:val="18"/>
              </w:rPr>
            </w:pPr>
            <w:r>
              <w:rPr>
                <w:rFonts w:hint="eastAsia"/>
                <w:color w:val="000000"/>
                <w:kern w:val="0"/>
                <w:sz w:val="18"/>
                <w:szCs w:val="18"/>
              </w:rPr>
              <w:t>罚款</w:t>
            </w:r>
          </w:p>
        </w:tc>
      </w:tr>
      <w:tr w14:paraId="4E59D5CC">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0684C70">
            <w:pPr>
              <w:spacing w:line="320" w:lineRule="exact"/>
              <w:jc w:val="center"/>
              <w:rPr>
                <w:color w:val="000000"/>
                <w:kern w:val="0"/>
                <w:sz w:val="18"/>
                <w:szCs w:val="18"/>
              </w:rPr>
            </w:pPr>
            <w:r>
              <w:rPr>
                <w:rFonts w:hint="eastAsia"/>
                <w:color w:val="000000"/>
                <w:kern w:val="0"/>
                <w:sz w:val="18"/>
                <w:szCs w:val="18"/>
              </w:rPr>
              <w:t>裁量基准</w:t>
            </w:r>
          </w:p>
        </w:tc>
      </w:tr>
      <w:tr w14:paraId="4B53DA7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51BFF3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4314FAD">
            <w:pPr>
              <w:spacing w:line="320" w:lineRule="exact"/>
              <w:jc w:val="left"/>
              <w:rPr>
                <w:color w:val="000000"/>
                <w:kern w:val="0"/>
                <w:sz w:val="18"/>
                <w:szCs w:val="18"/>
              </w:rPr>
            </w:pPr>
            <w:r>
              <w:rPr>
                <w:rFonts w:hint="eastAsia"/>
                <w:color w:val="000000"/>
                <w:kern w:val="0"/>
                <w:sz w:val="18"/>
                <w:szCs w:val="18"/>
              </w:rPr>
              <w:t>经主管部门告知后仍不按照规定进行白蚁的检查和灭治的</w:t>
            </w:r>
          </w:p>
        </w:tc>
        <w:tc>
          <w:tcPr>
            <w:tcW w:w="1000" w:type="dxa"/>
            <w:tcBorders>
              <w:top w:val="nil"/>
              <w:left w:val="nil"/>
              <w:bottom w:val="single" w:color="auto" w:sz="4" w:space="0"/>
              <w:right w:val="single" w:color="auto" w:sz="4" w:space="0"/>
            </w:tcBorders>
            <w:vAlign w:val="center"/>
          </w:tcPr>
          <w:p w14:paraId="206742A1">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57E1BEE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元罚款</w:t>
            </w:r>
          </w:p>
        </w:tc>
      </w:tr>
    </w:tbl>
    <w:p w14:paraId="45F9CAF0"/>
    <w:p w14:paraId="70696C3E"/>
    <w:p w14:paraId="3FC3713C"/>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1701"/>
        <w:gridCol w:w="4153"/>
        <w:gridCol w:w="1234"/>
        <w:gridCol w:w="5646"/>
      </w:tblGrid>
      <w:tr w14:paraId="7034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Align w:val="center"/>
          </w:tcPr>
          <w:p w14:paraId="0B8B59EB">
            <w:pPr>
              <w:jc w:val="center"/>
              <w:rPr>
                <w:color w:val="000000"/>
              </w:rPr>
            </w:pPr>
            <w:r>
              <w:rPr>
                <w:rFonts w:hint="eastAsia"/>
                <w:color w:val="000000"/>
              </w:rPr>
              <w:t>编号</w:t>
            </w:r>
          </w:p>
        </w:tc>
        <w:tc>
          <w:tcPr>
            <w:tcW w:w="12734" w:type="dxa"/>
            <w:gridSpan w:val="4"/>
            <w:vAlign w:val="center"/>
          </w:tcPr>
          <w:p w14:paraId="7891D3E0">
            <w:pPr>
              <w:rPr>
                <w:b/>
                <w:bCs/>
                <w:color w:val="000000"/>
              </w:rPr>
            </w:pPr>
            <w:r>
              <w:rPr>
                <w:b/>
                <w:bCs/>
                <w:color w:val="000000"/>
              </w:rPr>
              <w:t>320217529000</w:t>
            </w:r>
            <w:r>
              <w:rPr>
                <w:rFonts w:hint="eastAsia"/>
                <w:b/>
                <w:bCs/>
                <w:color w:val="000000"/>
              </w:rPr>
              <w:t xml:space="preserve"> </w:t>
            </w:r>
          </w:p>
        </w:tc>
      </w:tr>
      <w:tr w14:paraId="4243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Align w:val="center"/>
          </w:tcPr>
          <w:p w14:paraId="533D52E5">
            <w:pPr>
              <w:rPr>
                <w:color w:val="000000"/>
              </w:rPr>
            </w:pPr>
            <w:r>
              <w:rPr>
                <w:rFonts w:hint="eastAsia"/>
                <w:color w:val="000000"/>
              </w:rPr>
              <w:t>行为名称</w:t>
            </w:r>
          </w:p>
        </w:tc>
        <w:tc>
          <w:tcPr>
            <w:tcW w:w="12734" w:type="dxa"/>
            <w:gridSpan w:val="4"/>
            <w:vAlign w:val="center"/>
          </w:tcPr>
          <w:p w14:paraId="6198438F">
            <w:pPr>
              <w:spacing w:line="320" w:lineRule="exact"/>
              <w:jc w:val="left"/>
              <w:rPr>
                <w:color w:val="000000"/>
                <w:kern w:val="0"/>
                <w:sz w:val="18"/>
                <w:szCs w:val="18"/>
              </w:rPr>
            </w:pPr>
            <w:r>
              <w:rPr>
                <w:rFonts w:hint="eastAsia"/>
                <w:color w:val="000000"/>
                <w:kern w:val="0"/>
                <w:sz w:val="18"/>
                <w:szCs w:val="18"/>
              </w:rPr>
              <w:t>对装饰装修企业将没有防水要求的房间或者阳台改为卫生间、厨房间的，或者拆除连接阳台的砖、混凝土墙体的处罚</w:t>
            </w:r>
          </w:p>
        </w:tc>
      </w:tr>
      <w:tr w14:paraId="5E0B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1296" w:type="dxa"/>
            <w:vAlign w:val="center"/>
          </w:tcPr>
          <w:p w14:paraId="48307DA7">
            <w:pPr>
              <w:rPr>
                <w:color w:val="000000"/>
              </w:rPr>
            </w:pPr>
            <w:r>
              <w:rPr>
                <w:rFonts w:hint="eastAsia"/>
                <w:color w:val="000000"/>
              </w:rPr>
              <w:t>法律依据</w:t>
            </w:r>
          </w:p>
        </w:tc>
        <w:tc>
          <w:tcPr>
            <w:tcW w:w="12734" w:type="dxa"/>
            <w:gridSpan w:val="4"/>
            <w:vAlign w:val="center"/>
          </w:tcPr>
          <w:p w14:paraId="17F30283">
            <w:pPr>
              <w:spacing w:line="320" w:lineRule="exact"/>
              <w:jc w:val="left"/>
              <w:rPr>
                <w:color w:val="000000"/>
                <w:kern w:val="0"/>
                <w:sz w:val="18"/>
                <w:szCs w:val="18"/>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第三十八条第</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项</w:t>
            </w:r>
            <w:r>
              <w:rPr>
                <w:color w:val="000000"/>
                <w:kern w:val="0"/>
                <w:sz w:val="18"/>
                <w:szCs w:val="18"/>
              </w:rPr>
              <w:t xml:space="preserve"> </w:t>
            </w:r>
            <w:r>
              <w:rPr>
                <w:rFonts w:hint="eastAsia"/>
                <w:color w:val="000000"/>
                <w:kern w:val="0"/>
                <w:sz w:val="18"/>
                <w:szCs w:val="18"/>
              </w:rPr>
              <w:t>将没有防水要求的房间和或者阳台改为卫生间、厨房间的，或者拆除连接阳台的砖、混凝土墙体的，对装修人处</w:t>
            </w:r>
            <w:r>
              <w:rPr>
                <w:color w:val="000000"/>
                <w:kern w:val="0"/>
                <w:sz w:val="18"/>
                <w:szCs w:val="18"/>
              </w:rPr>
              <w:t>5</w:t>
            </w:r>
            <w:r>
              <w:rPr>
                <w:rFonts w:hint="eastAsia"/>
                <w:color w:val="000000"/>
                <w:kern w:val="0"/>
                <w:sz w:val="18"/>
                <w:szCs w:val="18"/>
              </w:rPr>
              <w:t>百元以上</w:t>
            </w:r>
            <w:r>
              <w:rPr>
                <w:color w:val="000000"/>
                <w:kern w:val="0"/>
                <w:sz w:val="18"/>
                <w:szCs w:val="18"/>
              </w:rPr>
              <w:t>1</w:t>
            </w:r>
            <w:r>
              <w:rPr>
                <w:rFonts w:hint="eastAsia"/>
                <w:color w:val="000000"/>
                <w:kern w:val="0"/>
                <w:sz w:val="18"/>
                <w:szCs w:val="18"/>
              </w:rPr>
              <w:t>千元以下的罚款，对装饰装修企业处</w:t>
            </w:r>
            <w:r>
              <w:rPr>
                <w:color w:val="000000"/>
                <w:kern w:val="0"/>
                <w:sz w:val="18"/>
                <w:szCs w:val="18"/>
              </w:rPr>
              <w:t>1</w:t>
            </w:r>
            <w:r>
              <w:rPr>
                <w:rFonts w:hint="eastAsia"/>
                <w:color w:val="000000"/>
                <w:kern w:val="0"/>
                <w:sz w:val="18"/>
                <w:szCs w:val="18"/>
              </w:rPr>
              <w:t>千元以上</w:t>
            </w:r>
            <w:r>
              <w:rPr>
                <w:color w:val="000000"/>
                <w:kern w:val="0"/>
                <w:sz w:val="18"/>
                <w:szCs w:val="18"/>
              </w:rPr>
              <w:t>1</w:t>
            </w:r>
            <w:r>
              <w:rPr>
                <w:rFonts w:hint="eastAsia"/>
                <w:color w:val="000000"/>
                <w:kern w:val="0"/>
                <w:sz w:val="18"/>
                <w:szCs w:val="18"/>
              </w:rPr>
              <w:t>万元</w:t>
            </w:r>
            <w:r>
              <w:rPr>
                <w:color w:val="000000"/>
                <w:kern w:val="0"/>
                <w:sz w:val="18"/>
                <w:szCs w:val="18"/>
              </w:rPr>
              <w:t xml:space="preserve"> </w:t>
            </w:r>
            <w:r>
              <w:rPr>
                <w:rFonts w:hint="eastAsia"/>
                <w:color w:val="000000"/>
                <w:kern w:val="0"/>
                <w:sz w:val="18"/>
                <w:szCs w:val="18"/>
              </w:rPr>
              <w:t>以下的罚款。</w:t>
            </w:r>
          </w:p>
        </w:tc>
      </w:tr>
      <w:tr w14:paraId="4085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Align w:val="center"/>
          </w:tcPr>
          <w:p w14:paraId="5B5C38E9">
            <w:pPr>
              <w:rPr>
                <w:color w:val="000000"/>
              </w:rPr>
            </w:pPr>
            <w:r>
              <w:rPr>
                <w:rFonts w:hint="eastAsia"/>
                <w:color w:val="000000"/>
              </w:rPr>
              <w:t>行使内容</w:t>
            </w:r>
          </w:p>
        </w:tc>
        <w:tc>
          <w:tcPr>
            <w:tcW w:w="12734" w:type="dxa"/>
            <w:gridSpan w:val="4"/>
          </w:tcPr>
          <w:p w14:paraId="23AD92BA">
            <w:pPr>
              <w:spacing w:line="320" w:lineRule="exact"/>
              <w:jc w:val="left"/>
              <w:rPr>
                <w:color w:val="000000"/>
              </w:rPr>
            </w:pPr>
            <w:r>
              <w:rPr>
                <w:rFonts w:hint="eastAsia"/>
                <w:color w:val="000000"/>
                <w:kern w:val="0"/>
                <w:sz w:val="18"/>
                <w:szCs w:val="18"/>
              </w:rPr>
              <w:t>罚款</w:t>
            </w:r>
          </w:p>
        </w:tc>
      </w:tr>
      <w:tr w14:paraId="5DA4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5"/>
            <w:vAlign w:val="center"/>
          </w:tcPr>
          <w:p w14:paraId="60BD5393">
            <w:pPr>
              <w:jc w:val="center"/>
              <w:rPr>
                <w:color w:val="000000"/>
              </w:rPr>
            </w:pPr>
            <w:r>
              <w:rPr>
                <w:rFonts w:hint="eastAsia"/>
                <w:color w:val="000000"/>
              </w:rPr>
              <w:t>裁量基准</w:t>
            </w:r>
          </w:p>
        </w:tc>
      </w:tr>
      <w:tr w14:paraId="4761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Merge w:val="restart"/>
            <w:vAlign w:val="center"/>
          </w:tcPr>
          <w:p w14:paraId="174C713E">
            <w:pPr>
              <w:rPr>
                <w:color w:val="000000"/>
              </w:rPr>
            </w:pPr>
            <w:r>
              <w:rPr>
                <w:rFonts w:hint="eastAsia"/>
                <w:color w:val="000000"/>
              </w:rPr>
              <w:t>情形描述</w:t>
            </w:r>
          </w:p>
        </w:tc>
        <w:tc>
          <w:tcPr>
            <w:tcW w:w="1701" w:type="dxa"/>
            <w:vMerge w:val="restart"/>
            <w:vAlign w:val="center"/>
          </w:tcPr>
          <w:p w14:paraId="3D64B248">
            <w:pPr>
              <w:rPr>
                <w:color w:val="000000"/>
              </w:rPr>
            </w:pPr>
            <w:r>
              <w:rPr>
                <w:rFonts w:hint="eastAsia"/>
                <w:color w:val="000000"/>
              </w:rPr>
              <w:t>对装修人</w:t>
            </w:r>
          </w:p>
        </w:tc>
        <w:tc>
          <w:tcPr>
            <w:tcW w:w="4153" w:type="dxa"/>
            <w:vAlign w:val="center"/>
          </w:tcPr>
          <w:p w14:paraId="0CC9F3C4">
            <w:pPr>
              <w:rPr>
                <w:color w:val="000000"/>
              </w:rPr>
            </w:pPr>
            <w:r>
              <w:rPr>
                <w:rFonts w:hint="eastAsia"/>
                <w:color w:val="000000"/>
              </w:rPr>
              <w:t>按要求改正的</w:t>
            </w:r>
          </w:p>
        </w:tc>
        <w:tc>
          <w:tcPr>
            <w:tcW w:w="1234" w:type="dxa"/>
            <w:vMerge w:val="restart"/>
            <w:vAlign w:val="center"/>
          </w:tcPr>
          <w:p w14:paraId="06F13326">
            <w:pPr>
              <w:rPr>
                <w:color w:val="000000"/>
              </w:rPr>
            </w:pPr>
            <w:r>
              <w:rPr>
                <w:rFonts w:hint="eastAsia"/>
                <w:color w:val="000000"/>
              </w:rPr>
              <w:t>裁量幅度</w:t>
            </w:r>
          </w:p>
        </w:tc>
        <w:tc>
          <w:tcPr>
            <w:tcW w:w="5646" w:type="dxa"/>
            <w:vAlign w:val="center"/>
          </w:tcPr>
          <w:p w14:paraId="4BE591D4">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14:paraId="5B87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Merge w:val="continue"/>
            <w:vAlign w:val="center"/>
          </w:tcPr>
          <w:p w14:paraId="68B98B6D">
            <w:pPr>
              <w:rPr>
                <w:color w:val="000000"/>
              </w:rPr>
            </w:pPr>
          </w:p>
        </w:tc>
        <w:tc>
          <w:tcPr>
            <w:tcW w:w="1701" w:type="dxa"/>
            <w:vMerge w:val="continue"/>
            <w:vAlign w:val="center"/>
          </w:tcPr>
          <w:p w14:paraId="0A6C03E6">
            <w:pPr>
              <w:rPr>
                <w:color w:val="000000"/>
              </w:rPr>
            </w:pPr>
          </w:p>
        </w:tc>
        <w:tc>
          <w:tcPr>
            <w:tcW w:w="4153" w:type="dxa"/>
            <w:vAlign w:val="center"/>
          </w:tcPr>
          <w:p w14:paraId="00B19413">
            <w:pPr>
              <w:rPr>
                <w:color w:val="000000"/>
              </w:rPr>
            </w:pPr>
            <w:r>
              <w:rPr>
                <w:rFonts w:hint="eastAsia"/>
                <w:color w:val="000000"/>
              </w:rPr>
              <w:t>未按要求改正的</w:t>
            </w:r>
          </w:p>
        </w:tc>
        <w:tc>
          <w:tcPr>
            <w:tcW w:w="1234" w:type="dxa"/>
            <w:vMerge w:val="continue"/>
            <w:vAlign w:val="center"/>
          </w:tcPr>
          <w:p w14:paraId="28946088">
            <w:pPr>
              <w:rPr>
                <w:color w:val="000000"/>
              </w:rPr>
            </w:pPr>
          </w:p>
        </w:tc>
        <w:tc>
          <w:tcPr>
            <w:tcW w:w="5646" w:type="dxa"/>
            <w:vAlign w:val="center"/>
          </w:tcPr>
          <w:p w14:paraId="0B5BF2B3">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r w14:paraId="5407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Merge w:val="continue"/>
            <w:vAlign w:val="center"/>
          </w:tcPr>
          <w:p w14:paraId="299F786D">
            <w:pPr>
              <w:rPr>
                <w:color w:val="000000"/>
              </w:rPr>
            </w:pPr>
          </w:p>
        </w:tc>
        <w:tc>
          <w:tcPr>
            <w:tcW w:w="1701" w:type="dxa"/>
            <w:vMerge w:val="restart"/>
            <w:vAlign w:val="center"/>
          </w:tcPr>
          <w:p w14:paraId="72850558">
            <w:pPr>
              <w:rPr>
                <w:color w:val="000000"/>
              </w:rPr>
            </w:pPr>
            <w:r>
              <w:rPr>
                <w:rFonts w:hint="eastAsia"/>
                <w:color w:val="000000"/>
              </w:rPr>
              <w:t>对装饰装修企业</w:t>
            </w:r>
          </w:p>
        </w:tc>
        <w:tc>
          <w:tcPr>
            <w:tcW w:w="4153" w:type="dxa"/>
            <w:vAlign w:val="center"/>
          </w:tcPr>
          <w:p w14:paraId="597F2207">
            <w:pPr>
              <w:rPr>
                <w:color w:val="000000"/>
              </w:rPr>
            </w:pPr>
            <w:r>
              <w:rPr>
                <w:rFonts w:hint="eastAsia"/>
                <w:color w:val="000000"/>
              </w:rPr>
              <w:t>按要求改正的</w:t>
            </w:r>
          </w:p>
        </w:tc>
        <w:tc>
          <w:tcPr>
            <w:tcW w:w="1234" w:type="dxa"/>
            <w:vMerge w:val="continue"/>
            <w:vAlign w:val="center"/>
          </w:tcPr>
          <w:p w14:paraId="1C8F70B4">
            <w:pPr>
              <w:rPr>
                <w:color w:val="000000"/>
              </w:rPr>
            </w:pPr>
          </w:p>
        </w:tc>
        <w:tc>
          <w:tcPr>
            <w:tcW w:w="5646" w:type="dxa"/>
            <w:vAlign w:val="center"/>
          </w:tcPr>
          <w:p w14:paraId="7458F24E">
            <w:pPr>
              <w:rPr>
                <w:color w:val="000000"/>
              </w:rPr>
            </w:pPr>
            <w:r>
              <w:rPr>
                <w:rFonts w:hint="eastAsia"/>
                <w:color w:val="000000"/>
              </w:rPr>
              <w:t>处</w:t>
            </w:r>
            <w:r>
              <w:rPr>
                <w:color w:val="000000"/>
              </w:rPr>
              <w:t>1000</w:t>
            </w:r>
            <w:r>
              <w:rPr>
                <w:rFonts w:hint="eastAsia"/>
                <w:color w:val="000000"/>
              </w:rPr>
              <w:t>元以上</w:t>
            </w:r>
            <w:r>
              <w:rPr>
                <w:color w:val="000000"/>
              </w:rPr>
              <w:t>5000</w:t>
            </w:r>
            <w:r>
              <w:rPr>
                <w:rFonts w:hint="eastAsia"/>
                <w:color w:val="000000"/>
              </w:rPr>
              <w:t>元以下的罚款</w:t>
            </w:r>
          </w:p>
        </w:tc>
      </w:tr>
      <w:tr w14:paraId="50DC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Merge w:val="continue"/>
            <w:vAlign w:val="center"/>
          </w:tcPr>
          <w:p w14:paraId="4DC3A076">
            <w:pPr>
              <w:rPr>
                <w:color w:val="000000"/>
              </w:rPr>
            </w:pPr>
          </w:p>
        </w:tc>
        <w:tc>
          <w:tcPr>
            <w:tcW w:w="1701" w:type="dxa"/>
            <w:vMerge w:val="continue"/>
            <w:vAlign w:val="center"/>
          </w:tcPr>
          <w:p w14:paraId="779DB6AB">
            <w:pPr>
              <w:rPr>
                <w:color w:val="000000"/>
              </w:rPr>
            </w:pPr>
          </w:p>
        </w:tc>
        <w:tc>
          <w:tcPr>
            <w:tcW w:w="4153" w:type="dxa"/>
            <w:vAlign w:val="center"/>
          </w:tcPr>
          <w:p w14:paraId="75876242">
            <w:pPr>
              <w:rPr>
                <w:color w:val="000000"/>
              </w:rPr>
            </w:pPr>
            <w:r>
              <w:rPr>
                <w:rFonts w:hint="eastAsia"/>
                <w:color w:val="000000"/>
              </w:rPr>
              <w:t>未按要求改正的</w:t>
            </w:r>
          </w:p>
        </w:tc>
        <w:tc>
          <w:tcPr>
            <w:tcW w:w="1234" w:type="dxa"/>
            <w:vMerge w:val="continue"/>
            <w:vAlign w:val="center"/>
          </w:tcPr>
          <w:p w14:paraId="5C6373C3">
            <w:pPr>
              <w:rPr>
                <w:color w:val="000000"/>
              </w:rPr>
            </w:pPr>
          </w:p>
        </w:tc>
        <w:tc>
          <w:tcPr>
            <w:tcW w:w="5646" w:type="dxa"/>
            <w:vAlign w:val="center"/>
          </w:tcPr>
          <w:p w14:paraId="4407A038">
            <w:pPr>
              <w:rPr>
                <w:color w:val="000000"/>
              </w:rPr>
            </w:pPr>
            <w:r>
              <w:rPr>
                <w:rFonts w:hint="eastAsia"/>
                <w:color w:val="000000"/>
              </w:rPr>
              <w:t>处</w:t>
            </w:r>
            <w:r>
              <w:rPr>
                <w:color w:val="000000"/>
              </w:rPr>
              <w:t>5000</w:t>
            </w:r>
            <w:r>
              <w:rPr>
                <w:rFonts w:hint="eastAsia"/>
                <w:color w:val="000000"/>
              </w:rPr>
              <w:t>元以上</w:t>
            </w:r>
            <w:r>
              <w:rPr>
                <w:color w:val="000000"/>
              </w:rPr>
              <w:t>10000</w:t>
            </w:r>
            <w:r>
              <w:rPr>
                <w:rFonts w:hint="eastAsia"/>
                <w:color w:val="000000"/>
              </w:rPr>
              <w:t>元以下的罚款</w:t>
            </w:r>
          </w:p>
        </w:tc>
      </w:tr>
    </w:tbl>
    <w:p w14:paraId="2847E6D0"/>
    <w:p w14:paraId="6A922F30">
      <w:pPr>
        <w:tabs>
          <w:tab w:val="left" w:pos="1240"/>
        </w:tabs>
      </w:pPr>
      <w:r>
        <w:tab/>
      </w:r>
    </w:p>
    <w:p w14:paraId="65F2E9BC">
      <w:pPr>
        <w:tabs>
          <w:tab w:val="left" w:pos="1240"/>
        </w:tabs>
      </w:pPr>
    </w:p>
    <w:p w14:paraId="02C6385D">
      <w:pPr>
        <w:tabs>
          <w:tab w:val="left" w:pos="1240"/>
        </w:tabs>
      </w:pPr>
    </w:p>
    <w:p w14:paraId="4AB82FEF">
      <w:pPr>
        <w:tabs>
          <w:tab w:val="left" w:pos="1240"/>
        </w:tabs>
      </w:pPr>
    </w:p>
    <w:p w14:paraId="0649FF62">
      <w:pPr>
        <w:tabs>
          <w:tab w:val="left" w:pos="1240"/>
        </w:tabs>
      </w:pPr>
    </w:p>
    <w:p w14:paraId="6B0632D2">
      <w:pPr>
        <w:tabs>
          <w:tab w:val="left" w:pos="1240"/>
        </w:tabs>
      </w:pPr>
    </w:p>
    <w:p w14:paraId="4A975341">
      <w:pPr>
        <w:tabs>
          <w:tab w:val="left" w:pos="1240"/>
        </w:tabs>
      </w:pPr>
    </w:p>
    <w:p w14:paraId="2A521B96">
      <w:pPr>
        <w:tabs>
          <w:tab w:val="left" w:pos="1240"/>
        </w:tabs>
      </w:pPr>
    </w:p>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1701"/>
        <w:gridCol w:w="4153"/>
        <w:gridCol w:w="1234"/>
        <w:gridCol w:w="5646"/>
      </w:tblGrid>
      <w:tr w14:paraId="413F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Align w:val="center"/>
          </w:tcPr>
          <w:p w14:paraId="0AA5AC30">
            <w:pPr>
              <w:jc w:val="center"/>
              <w:rPr>
                <w:color w:val="000000"/>
              </w:rPr>
            </w:pPr>
            <w:r>
              <w:rPr>
                <w:rFonts w:hint="eastAsia"/>
                <w:color w:val="000000"/>
              </w:rPr>
              <w:t>编号</w:t>
            </w:r>
          </w:p>
        </w:tc>
        <w:tc>
          <w:tcPr>
            <w:tcW w:w="12734" w:type="dxa"/>
            <w:gridSpan w:val="4"/>
            <w:vAlign w:val="center"/>
          </w:tcPr>
          <w:p w14:paraId="2A1DF4D0">
            <w:pPr>
              <w:rPr>
                <w:b/>
                <w:bCs/>
                <w:color w:val="000000"/>
              </w:rPr>
            </w:pPr>
            <w:r>
              <w:rPr>
                <w:b/>
                <w:bCs/>
                <w:color w:val="000000"/>
              </w:rPr>
              <w:t>320217530000</w:t>
            </w:r>
          </w:p>
        </w:tc>
      </w:tr>
      <w:tr w14:paraId="5137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Align w:val="center"/>
          </w:tcPr>
          <w:p w14:paraId="6F49997F">
            <w:pPr>
              <w:rPr>
                <w:color w:val="000000"/>
              </w:rPr>
            </w:pPr>
            <w:r>
              <w:rPr>
                <w:rFonts w:hint="eastAsia"/>
                <w:color w:val="000000"/>
              </w:rPr>
              <w:t>行为名称</w:t>
            </w:r>
          </w:p>
        </w:tc>
        <w:tc>
          <w:tcPr>
            <w:tcW w:w="12734" w:type="dxa"/>
            <w:gridSpan w:val="4"/>
            <w:vAlign w:val="center"/>
          </w:tcPr>
          <w:p w14:paraId="4CEB4529">
            <w:pPr>
              <w:rPr>
                <w:color w:val="000000"/>
              </w:rPr>
            </w:pPr>
            <w:r>
              <w:rPr>
                <w:rFonts w:hint="eastAsia"/>
                <w:color w:val="000000"/>
              </w:rPr>
              <w:t>对未经原设计单位或者具有相应资质等级的设计单位提出设计方案，擅自超过设计标准或者规范增加楼面荷载的处罚</w:t>
            </w:r>
          </w:p>
        </w:tc>
      </w:tr>
      <w:tr w14:paraId="2D05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296" w:type="dxa"/>
            <w:vAlign w:val="center"/>
          </w:tcPr>
          <w:p w14:paraId="5F520E9D">
            <w:pPr>
              <w:rPr>
                <w:color w:val="000000"/>
              </w:rPr>
            </w:pPr>
            <w:r>
              <w:rPr>
                <w:rFonts w:hint="eastAsia"/>
                <w:color w:val="000000"/>
              </w:rPr>
              <w:t>法律依据</w:t>
            </w:r>
          </w:p>
        </w:tc>
        <w:tc>
          <w:tcPr>
            <w:tcW w:w="12734" w:type="dxa"/>
            <w:gridSpan w:val="4"/>
            <w:vAlign w:val="center"/>
          </w:tcPr>
          <w:p w14:paraId="1E44009F">
            <w:pPr>
              <w:rPr>
                <w:color w:val="000000"/>
              </w:rPr>
            </w:pPr>
            <w:r>
              <w:rPr>
                <w:rFonts w:hint="eastAsia"/>
                <w:color w:val="000000"/>
              </w:rPr>
              <w:t>【规章】《住宅室内装饰装修管理办法》（建设部令第</w:t>
            </w:r>
            <w:r>
              <w:rPr>
                <w:color w:val="000000"/>
              </w:rPr>
              <w:t>110</w:t>
            </w:r>
            <w:r>
              <w:rPr>
                <w:rFonts w:hint="eastAsia"/>
                <w:color w:val="000000"/>
              </w:rPr>
              <w:t>号）</w:t>
            </w:r>
            <w:r>
              <w:rPr>
                <w:color w:val="000000"/>
              </w:rPr>
              <w:br w:type="textWrapping"/>
            </w:r>
            <w:r>
              <w:rPr>
                <w:rFonts w:hint="eastAsia"/>
                <w:color w:val="000000"/>
              </w:rPr>
              <w:t>第三十八条第（四）项</w:t>
            </w:r>
            <w:r>
              <w:rPr>
                <w:color w:val="000000"/>
              </w:rPr>
              <w:t xml:space="preserve"> </w:t>
            </w:r>
            <w:r>
              <w:rPr>
                <w:rFonts w:hint="eastAsia"/>
                <w:color w:val="000000"/>
              </w:rPr>
              <w:t>未经原设计单位或者具有相应资质等级的设计单位提出设计方案，擅自超过设计标准或者规范增加楼面荷载的，对装修人处</w:t>
            </w:r>
            <w:r>
              <w:rPr>
                <w:color w:val="000000"/>
              </w:rPr>
              <w:t>5</w:t>
            </w:r>
            <w:r>
              <w:rPr>
                <w:rFonts w:hint="eastAsia"/>
                <w:color w:val="000000"/>
              </w:rPr>
              <w:t>百元以上</w:t>
            </w:r>
            <w:r>
              <w:rPr>
                <w:color w:val="000000"/>
              </w:rPr>
              <w:t>1</w:t>
            </w:r>
            <w:r>
              <w:rPr>
                <w:rFonts w:hint="eastAsia"/>
                <w:color w:val="000000"/>
              </w:rPr>
              <w:t>千元以下的罚款，对装饰装修企业处</w:t>
            </w:r>
            <w:r>
              <w:rPr>
                <w:color w:val="000000"/>
              </w:rPr>
              <w:t>1</w:t>
            </w:r>
            <w:r>
              <w:rPr>
                <w:rFonts w:hint="eastAsia"/>
                <w:color w:val="000000"/>
              </w:rPr>
              <w:t>千元以上</w:t>
            </w:r>
            <w:r>
              <w:rPr>
                <w:color w:val="000000"/>
              </w:rPr>
              <w:t>1</w:t>
            </w:r>
            <w:r>
              <w:rPr>
                <w:rFonts w:hint="eastAsia"/>
                <w:color w:val="000000"/>
              </w:rPr>
              <w:t>万元以下的罚款。</w:t>
            </w:r>
          </w:p>
        </w:tc>
      </w:tr>
      <w:tr w14:paraId="0DCC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Align w:val="center"/>
          </w:tcPr>
          <w:p w14:paraId="3E26DBCA">
            <w:pPr>
              <w:rPr>
                <w:color w:val="000000"/>
              </w:rPr>
            </w:pPr>
            <w:r>
              <w:rPr>
                <w:rFonts w:hint="eastAsia"/>
                <w:color w:val="000000"/>
              </w:rPr>
              <w:t>行使内容</w:t>
            </w:r>
          </w:p>
        </w:tc>
        <w:tc>
          <w:tcPr>
            <w:tcW w:w="12734" w:type="dxa"/>
            <w:gridSpan w:val="4"/>
          </w:tcPr>
          <w:p w14:paraId="1C412E9B">
            <w:pPr>
              <w:rPr>
                <w:color w:val="000000"/>
              </w:rPr>
            </w:pPr>
            <w:r>
              <w:rPr>
                <w:rFonts w:hint="eastAsia"/>
                <w:color w:val="000000"/>
              </w:rPr>
              <w:t>罚款</w:t>
            </w:r>
          </w:p>
        </w:tc>
      </w:tr>
      <w:tr w14:paraId="3A52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5"/>
            <w:vAlign w:val="center"/>
          </w:tcPr>
          <w:p w14:paraId="24DA59C7">
            <w:pPr>
              <w:jc w:val="center"/>
              <w:rPr>
                <w:color w:val="000000"/>
              </w:rPr>
            </w:pPr>
            <w:r>
              <w:rPr>
                <w:rFonts w:hint="eastAsia"/>
                <w:color w:val="000000"/>
              </w:rPr>
              <w:t>裁量基准</w:t>
            </w:r>
          </w:p>
        </w:tc>
      </w:tr>
      <w:tr w14:paraId="7B37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Merge w:val="restart"/>
            <w:vAlign w:val="center"/>
          </w:tcPr>
          <w:p w14:paraId="46DA84E0">
            <w:pPr>
              <w:rPr>
                <w:color w:val="000000"/>
              </w:rPr>
            </w:pPr>
            <w:r>
              <w:rPr>
                <w:rFonts w:hint="eastAsia"/>
                <w:color w:val="000000"/>
              </w:rPr>
              <w:t>情形描述</w:t>
            </w:r>
          </w:p>
        </w:tc>
        <w:tc>
          <w:tcPr>
            <w:tcW w:w="1701" w:type="dxa"/>
            <w:vMerge w:val="restart"/>
            <w:vAlign w:val="center"/>
          </w:tcPr>
          <w:p w14:paraId="18248215">
            <w:pPr>
              <w:rPr>
                <w:color w:val="000000"/>
              </w:rPr>
            </w:pPr>
            <w:r>
              <w:rPr>
                <w:rFonts w:hint="eastAsia"/>
                <w:color w:val="000000"/>
              </w:rPr>
              <w:t>对装修人</w:t>
            </w:r>
          </w:p>
        </w:tc>
        <w:tc>
          <w:tcPr>
            <w:tcW w:w="4153" w:type="dxa"/>
            <w:vAlign w:val="center"/>
          </w:tcPr>
          <w:p w14:paraId="70C68045">
            <w:pPr>
              <w:rPr>
                <w:color w:val="000000"/>
              </w:rPr>
            </w:pPr>
            <w:r>
              <w:rPr>
                <w:rFonts w:hint="eastAsia"/>
                <w:color w:val="000000"/>
              </w:rPr>
              <w:t>按要求改正的</w:t>
            </w:r>
          </w:p>
        </w:tc>
        <w:tc>
          <w:tcPr>
            <w:tcW w:w="1234" w:type="dxa"/>
            <w:vMerge w:val="restart"/>
            <w:vAlign w:val="center"/>
          </w:tcPr>
          <w:p w14:paraId="485C1AFE">
            <w:pPr>
              <w:rPr>
                <w:color w:val="000000"/>
              </w:rPr>
            </w:pPr>
            <w:r>
              <w:rPr>
                <w:rFonts w:hint="eastAsia"/>
                <w:color w:val="000000"/>
              </w:rPr>
              <w:t>裁量幅度</w:t>
            </w:r>
          </w:p>
        </w:tc>
        <w:tc>
          <w:tcPr>
            <w:tcW w:w="5646" w:type="dxa"/>
            <w:vAlign w:val="center"/>
          </w:tcPr>
          <w:p w14:paraId="17856517">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14:paraId="3D13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Merge w:val="continue"/>
            <w:vAlign w:val="center"/>
          </w:tcPr>
          <w:p w14:paraId="06AC7610">
            <w:pPr>
              <w:rPr>
                <w:color w:val="000000"/>
              </w:rPr>
            </w:pPr>
          </w:p>
        </w:tc>
        <w:tc>
          <w:tcPr>
            <w:tcW w:w="1701" w:type="dxa"/>
            <w:vMerge w:val="continue"/>
            <w:vAlign w:val="center"/>
          </w:tcPr>
          <w:p w14:paraId="407D986C">
            <w:pPr>
              <w:rPr>
                <w:color w:val="000000"/>
              </w:rPr>
            </w:pPr>
          </w:p>
        </w:tc>
        <w:tc>
          <w:tcPr>
            <w:tcW w:w="4153" w:type="dxa"/>
            <w:vAlign w:val="center"/>
          </w:tcPr>
          <w:p w14:paraId="672115C0">
            <w:pPr>
              <w:rPr>
                <w:color w:val="000000"/>
              </w:rPr>
            </w:pPr>
            <w:r>
              <w:rPr>
                <w:rFonts w:hint="eastAsia"/>
                <w:color w:val="000000"/>
              </w:rPr>
              <w:t>未按要求改正的</w:t>
            </w:r>
          </w:p>
        </w:tc>
        <w:tc>
          <w:tcPr>
            <w:tcW w:w="1234" w:type="dxa"/>
            <w:vMerge w:val="continue"/>
            <w:vAlign w:val="center"/>
          </w:tcPr>
          <w:p w14:paraId="20EBF03C">
            <w:pPr>
              <w:rPr>
                <w:color w:val="000000"/>
              </w:rPr>
            </w:pPr>
          </w:p>
        </w:tc>
        <w:tc>
          <w:tcPr>
            <w:tcW w:w="5646" w:type="dxa"/>
            <w:vAlign w:val="center"/>
          </w:tcPr>
          <w:p w14:paraId="5711BB34">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r w14:paraId="2B99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Merge w:val="continue"/>
            <w:vAlign w:val="center"/>
          </w:tcPr>
          <w:p w14:paraId="1E2EADA7">
            <w:pPr>
              <w:rPr>
                <w:color w:val="000000"/>
              </w:rPr>
            </w:pPr>
          </w:p>
        </w:tc>
        <w:tc>
          <w:tcPr>
            <w:tcW w:w="1701" w:type="dxa"/>
            <w:vMerge w:val="restart"/>
            <w:vAlign w:val="center"/>
          </w:tcPr>
          <w:p w14:paraId="500F8FB1">
            <w:pPr>
              <w:rPr>
                <w:color w:val="000000"/>
              </w:rPr>
            </w:pPr>
            <w:r>
              <w:rPr>
                <w:rFonts w:hint="eastAsia"/>
                <w:color w:val="000000"/>
              </w:rPr>
              <w:t>对装饰装修企业</w:t>
            </w:r>
          </w:p>
        </w:tc>
        <w:tc>
          <w:tcPr>
            <w:tcW w:w="4153" w:type="dxa"/>
            <w:vAlign w:val="center"/>
          </w:tcPr>
          <w:p w14:paraId="6CE8C36F">
            <w:pPr>
              <w:rPr>
                <w:color w:val="000000"/>
              </w:rPr>
            </w:pPr>
            <w:r>
              <w:rPr>
                <w:rFonts w:hint="eastAsia"/>
                <w:color w:val="000000"/>
              </w:rPr>
              <w:t>按要求改正的</w:t>
            </w:r>
          </w:p>
        </w:tc>
        <w:tc>
          <w:tcPr>
            <w:tcW w:w="1234" w:type="dxa"/>
            <w:vMerge w:val="continue"/>
            <w:vAlign w:val="center"/>
          </w:tcPr>
          <w:p w14:paraId="1768310A">
            <w:pPr>
              <w:rPr>
                <w:color w:val="000000"/>
              </w:rPr>
            </w:pPr>
          </w:p>
        </w:tc>
        <w:tc>
          <w:tcPr>
            <w:tcW w:w="5646" w:type="dxa"/>
            <w:vAlign w:val="center"/>
          </w:tcPr>
          <w:p w14:paraId="7B320777">
            <w:pPr>
              <w:rPr>
                <w:color w:val="000000"/>
              </w:rPr>
            </w:pPr>
            <w:r>
              <w:rPr>
                <w:rFonts w:hint="eastAsia"/>
                <w:color w:val="000000"/>
              </w:rPr>
              <w:t>处</w:t>
            </w:r>
            <w:r>
              <w:rPr>
                <w:color w:val="000000"/>
              </w:rPr>
              <w:t>1000</w:t>
            </w:r>
            <w:r>
              <w:rPr>
                <w:rFonts w:hint="eastAsia"/>
                <w:color w:val="000000"/>
              </w:rPr>
              <w:t>元以上</w:t>
            </w:r>
            <w:r>
              <w:rPr>
                <w:color w:val="000000"/>
              </w:rPr>
              <w:t>5000</w:t>
            </w:r>
            <w:r>
              <w:rPr>
                <w:rFonts w:hint="eastAsia"/>
                <w:color w:val="000000"/>
              </w:rPr>
              <w:t>元以下的罚款</w:t>
            </w:r>
          </w:p>
        </w:tc>
      </w:tr>
      <w:tr w14:paraId="0A9E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Merge w:val="continue"/>
            <w:vAlign w:val="center"/>
          </w:tcPr>
          <w:p w14:paraId="18DC6C2D">
            <w:pPr>
              <w:rPr>
                <w:color w:val="000000"/>
              </w:rPr>
            </w:pPr>
          </w:p>
        </w:tc>
        <w:tc>
          <w:tcPr>
            <w:tcW w:w="1701" w:type="dxa"/>
            <w:vMerge w:val="continue"/>
            <w:vAlign w:val="center"/>
          </w:tcPr>
          <w:p w14:paraId="1D5BB801">
            <w:pPr>
              <w:rPr>
                <w:color w:val="000000"/>
              </w:rPr>
            </w:pPr>
          </w:p>
        </w:tc>
        <w:tc>
          <w:tcPr>
            <w:tcW w:w="4153" w:type="dxa"/>
            <w:vAlign w:val="center"/>
          </w:tcPr>
          <w:p w14:paraId="76D3CFAD">
            <w:pPr>
              <w:rPr>
                <w:color w:val="000000"/>
              </w:rPr>
            </w:pPr>
            <w:r>
              <w:rPr>
                <w:rFonts w:hint="eastAsia"/>
                <w:color w:val="000000"/>
              </w:rPr>
              <w:t>未按要求改正的</w:t>
            </w:r>
          </w:p>
        </w:tc>
        <w:tc>
          <w:tcPr>
            <w:tcW w:w="1234" w:type="dxa"/>
            <w:vMerge w:val="continue"/>
            <w:vAlign w:val="center"/>
          </w:tcPr>
          <w:p w14:paraId="2E30B68E">
            <w:pPr>
              <w:rPr>
                <w:color w:val="000000"/>
              </w:rPr>
            </w:pPr>
          </w:p>
        </w:tc>
        <w:tc>
          <w:tcPr>
            <w:tcW w:w="5646" w:type="dxa"/>
            <w:vAlign w:val="center"/>
          </w:tcPr>
          <w:p w14:paraId="7C5ACC04">
            <w:pPr>
              <w:rPr>
                <w:color w:val="000000"/>
              </w:rPr>
            </w:pPr>
            <w:r>
              <w:rPr>
                <w:rFonts w:hint="eastAsia"/>
                <w:color w:val="000000"/>
              </w:rPr>
              <w:t>处</w:t>
            </w:r>
            <w:r>
              <w:rPr>
                <w:color w:val="000000"/>
              </w:rPr>
              <w:t>5000</w:t>
            </w:r>
            <w:r>
              <w:rPr>
                <w:rFonts w:hint="eastAsia"/>
                <w:color w:val="000000"/>
              </w:rPr>
              <w:t>元以上</w:t>
            </w:r>
            <w:r>
              <w:rPr>
                <w:color w:val="000000"/>
              </w:rPr>
              <w:t>10000</w:t>
            </w:r>
            <w:r>
              <w:rPr>
                <w:rFonts w:hint="eastAsia"/>
                <w:color w:val="000000"/>
              </w:rPr>
              <w:t>元以下的罚款</w:t>
            </w:r>
          </w:p>
        </w:tc>
      </w:tr>
    </w:tbl>
    <w:p w14:paraId="3BED8DB4"/>
    <w:p w14:paraId="66986B1A"/>
    <w:p w14:paraId="5E7E3B88"/>
    <w:p w14:paraId="38C7E86F"/>
    <w:p w14:paraId="549E75EE"/>
    <w:p w14:paraId="52AF622F"/>
    <w:p w14:paraId="01474227"/>
    <w:p w14:paraId="6503CFF8"/>
    <w:p w14:paraId="713D4376"/>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78713C06">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2F3A142F">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auto" w:sz="8" w:space="0"/>
            </w:tcBorders>
            <w:vAlign w:val="center"/>
          </w:tcPr>
          <w:p w14:paraId="0E163874">
            <w:pPr>
              <w:spacing w:line="320" w:lineRule="exact"/>
              <w:jc w:val="left"/>
              <w:rPr>
                <w:rFonts w:eastAsia="仿宋_GB2312"/>
                <w:b/>
                <w:bCs/>
                <w:color w:val="000000"/>
                <w:kern w:val="0"/>
                <w:sz w:val="18"/>
                <w:szCs w:val="18"/>
              </w:rPr>
            </w:pPr>
            <w:r>
              <w:rPr>
                <w:rFonts w:eastAsia="仿宋_GB2312"/>
                <w:b/>
                <w:bCs/>
                <w:color w:val="000000"/>
                <w:kern w:val="0"/>
                <w:sz w:val="18"/>
                <w:szCs w:val="18"/>
              </w:rPr>
              <w:t>320217531000</w:t>
            </w:r>
          </w:p>
        </w:tc>
      </w:tr>
      <w:tr w14:paraId="4E8DD62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1FD5B8C">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auto" w:sz="8" w:space="0"/>
            </w:tcBorders>
            <w:vAlign w:val="center"/>
          </w:tcPr>
          <w:p w14:paraId="19A6DDFE">
            <w:pPr>
              <w:spacing w:line="320" w:lineRule="exact"/>
              <w:jc w:val="left"/>
              <w:rPr>
                <w:color w:val="000000"/>
                <w:kern w:val="0"/>
                <w:sz w:val="18"/>
                <w:szCs w:val="18"/>
              </w:rPr>
            </w:pPr>
            <w:r>
              <w:rPr>
                <w:rFonts w:hint="eastAsia"/>
                <w:color w:val="000000"/>
                <w:kern w:val="0"/>
                <w:sz w:val="18"/>
                <w:szCs w:val="18"/>
              </w:rPr>
              <w:t>对检测机构未及时报告发现的违反有关法律法规规定和工程建设强制性标准等行为的处罚</w:t>
            </w:r>
          </w:p>
        </w:tc>
      </w:tr>
      <w:tr w14:paraId="2CA57CB4">
        <w:tblPrEx>
          <w:tblCellMar>
            <w:top w:w="0" w:type="dxa"/>
            <w:left w:w="108" w:type="dxa"/>
            <w:bottom w:w="0" w:type="dxa"/>
            <w:right w:w="108" w:type="dxa"/>
          </w:tblCellMar>
        </w:tblPrEx>
        <w:trPr>
          <w:trHeight w:val="1290" w:hRule="atLeast"/>
        </w:trPr>
        <w:tc>
          <w:tcPr>
            <w:tcW w:w="1010" w:type="dxa"/>
            <w:tcBorders>
              <w:top w:val="nil"/>
              <w:left w:val="single" w:color="auto" w:sz="8" w:space="0"/>
              <w:bottom w:val="single" w:color="auto" w:sz="4" w:space="0"/>
              <w:right w:val="single" w:color="auto" w:sz="4" w:space="0"/>
            </w:tcBorders>
            <w:vAlign w:val="center"/>
          </w:tcPr>
          <w:p w14:paraId="659B2134">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auto" w:sz="8" w:space="0"/>
            </w:tcBorders>
            <w:vAlign w:val="center"/>
          </w:tcPr>
          <w:p w14:paraId="1C8427FE">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744FB4CF">
            <w:pPr>
              <w:spacing w:line="320" w:lineRule="exact"/>
              <w:jc w:val="left"/>
              <w:rPr>
                <w:color w:val="000000"/>
                <w:kern w:val="0"/>
                <w:sz w:val="18"/>
                <w:szCs w:val="18"/>
              </w:rPr>
            </w:pPr>
            <w:r>
              <w:rPr>
                <w:rFonts w:hint="eastAsia"/>
                <w:color w:val="000000"/>
                <w:kern w:val="0"/>
                <w:sz w:val="18"/>
                <w:szCs w:val="18"/>
              </w:rPr>
              <w:t xml:space="preserve">    第二十四条　检测机构在检测过程中发现建设、施工、监理单位存在违反有关法律法规规定和工程建设强制性标准等行为，以及检测项目涉及结构安全、主要使用功能检测结果不合格的，应当及时报告建设工程所在地县级以上地方人民政府住房和城乡建设主管部门。</w:t>
            </w:r>
          </w:p>
          <w:p w14:paraId="59EDD228">
            <w:pPr>
              <w:spacing w:line="320" w:lineRule="exact"/>
              <w:jc w:val="left"/>
              <w:rPr>
                <w:color w:val="000000"/>
                <w:kern w:val="0"/>
                <w:sz w:val="18"/>
                <w:szCs w:val="18"/>
              </w:rPr>
            </w:pPr>
            <w:r>
              <w:rPr>
                <w:rFonts w:hint="eastAsia"/>
                <w:color w:val="000000"/>
                <w:kern w:val="0"/>
                <w:sz w:val="18"/>
                <w:szCs w:val="18"/>
              </w:rPr>
              <w:t>　 第四十五条　检测机构违反本办法规定，有下列行为之一的，由县级以上地方人民政府住房和城乡建设主管部门责令改正，处1万元以上5万元以下罚款：</w:t>
            </w:r>
          </w:p>
          <w:p w14:paraId="5B5AB582">
            <w:pPr>
              <w:spacing w:line="320" w:lineRule="exact"/>
              <w:jc w:val="left"/>
              <w:rPr>
                <w:color w:val="000000"/>
                <w:kern w:val="0"/>
                <w:sz w:val="18"/>
                <w:szCs w:val="18"/>
              </w:rPr>
            </w:pPr>
            <w:r>
              <w:rPr>
                <w:rFonts w:hint="eastAsia"/>
                <w:color w:val="000000"/>
                <w:kern w:val="0"/>
                <w:sz w:val="18"/>
                <w:szCs w:val="18"/>
              </w:rPr>
              <w:t>　（四）未及时报告发现的违反有关法律法规规定和工程建设强制性标准等行为的；</w:t>
            </w:r>
          </w:p>
          <w:p w14:paraId="2C7C2A65">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7631184C">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6E0E539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6B8325B">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auto" w:sz="8" w:space="0"/>
            </w:tcBorders>
            <w:vAlign w:val="center"/>
          </w:tcPr>
          <w:p w14:paraId="72BF402C">
            <w:pPr>
              <w:spacing w:line="320" w:lineRule="exact"/>
              <w:jc w:val="left"/>
              <w:rPr>
                <w:color w:val="000000"/>
                <w:kern w:val="0"/>
                <w:sz w:val="18"/>
                <w:szCs w:val="18"/>
              </w:rPr>
            </w:pPr>
            <w:r>
              <w:rPr>
                <w:rFonts w:hint="eastAsia"/>
                <w:color w:val="000000"/>
                <w:kern w:val="0"/>
                <w:sz w:val="18"/>
                <w:szCs w:val="18"/>
              </w:rPr>
              <w:t>责令改正，罚款，没收违法所得</w:t>
            </w:r>
          </w:p>
        </w:tc>
      </w:tr>
      <w:tr w14:paraId="0EF4EC00">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auto" w:sz="8" w:space="0"/>
            </w:tcBorders>
            <w:vAlign w:val="center"/>
          </w:tcPr>
          <w:p w14:paraId="4F29075B">
            <w:pPr>
              <w:spacing w:line="320" w:lineRule="exact"/>
              <w:jc w:val="center"/>
              <w:rPr>
                <w:color w:val="000000"/>
                <w:kern w:val="0"/>
                <w:sz w:val="18"/>
                <w:szCs w:val="18"/>
              </w:rPr>
            </w:pPr>
            <w:r>
              <w:rPr>
                <w:rFonts w:hint="eastAsia"/>
                <w:color w:val="000000"/>
                <w:kern w:val="0"/>
                <w:sz w:val="18"/>
                <w:szCs w:val="18"/>
              </w:rPr>
              <w:t>裁量基准</w:t>
            </w:r>
          </w:p>
        </w:tc>
      </w:tr>
      <w:tr w14:paraId="0F0EC69F">
        <w:tblPrEx>
          <w:tblCellMar>
            <w:top w:w="0" w:type="dxa"/>
            <w:left w:w="108" w:type="dxa"/>
            <w:bottom w:w="0" w:type="dxa"/>
            <w:right w:w="108" w:type="dxa"/>
          </w:tblCellMar>
        </w:tblPrEx>
        <w:trPr>
          <w:trHeight w:val="480" w:hRule="atLeast"/>
        </w:trPr>
        <w:tc>
          <w:tcPr>
            <w:tcW w:w="1010" w:type="dxa"/>
            <w:vMerge w:val="restart"/>
            <w:tcBorders>
              <w:top w:val="nil"/>
              <w:left w:val="single" w:color="auto" w:sz="8" w:space="0"/>
              <w:bottom w:val="single" w:color="000000" w:sz="4" w:space="0"/>
              <w:right w:val="single" w:color="auto" w:sz="4" w:space="0"/>
            </w:tcBorders>
            <w:vAlign w:val="center"/>
          </w:tcPr>
          <w:p w14:paraId="4259FD6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6EB2352A">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color="auto" w:sz="4" w:space="0"/>
              <w:bottom w:val="single" w:color="000000" w:sz="4" w:space="0"/>
              <w:right w:val="single" w:color="auto" w:sz="4" w:space="0"/>
            </w:tcBorders>
            <w:vAlign w:val="center"/>
          </w:tcPr>
          <w:p w14:paraId="259F1447">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47D3F344">
            <w:pPr>
              <w:rPr>
                <w:color w:val="000000"/>
              </w:rPr>
            </w:pPr>
            <w:r>
              <w:rPr>
                <w:rFonts w:hint="eastAsia"/>
                <w:color w:val="000000"/>
              </w:rPr>
              <w:t>对单位：处</w:t>
            </w:r>
            <w:r>
              <w:rPr>
                <w:color w:val="000000"/>
              </w:rPr>
              <w:t>1</w:t>
            </w:r>
            <w:r>
              <w:rPr>
                <w:rFonts w:hint="eastAsia"/>
                <w:color w:val="000000"/>
              </w:rPr>
              <w:t>万元以上3万元以下的罚款</w:t>
            </w:r>
          </w:p>
          <w:p w14:paraId="01999F32">
            <w:pPr>
              <w:spacing w:line="320" w:lineRule="exact"/>
              <w:jc w:val="left"/>
              <w:rPr>
                <w:color w:val="000000"/>
                <w:kern w:val="0"/>
                <w:sz w:val="18"/>
                <w:szCs w:val="18"/>
              </w:rPr>
            </w:pPr>
            <w:r>
              <w:rPr>
                <w:rFonts w:hint="eastAsia"/>
                <w:color w:val="000000"/>
              </w:rPr>
              <w:t>对个人：处2万元以下的罚款</w:t>
            </w:r>
          </w:p>
        </w:tc>
      </w:tr>
      <w:tr w14:paraId="7FA1C61C">
        <w:tblPrEx>
          <w:tblCellMar>
            <w:top w:w="0" w:type="dxa"/>
            <w:left w:w="108" w:type="dxa"/>
            <w:bottom w:w="0" w:type="dxa"/>
            <w:right w:w="108" w:type="dxa"/>
          </w:tblCellMar>
        </w:tblPrEx>
        <w:trPr>
          <w:trHeight w:val="480" w:hRule="atLeast"/>
        </w:trPr>
        <w:tc>
          <w:tcPr>
            <w:tcW w:w="1010" w:type="dxa"/>
            <w:vMerge w:val="continue"/>
            <w:tcBorders>
              <w:top w:val="nil"/>
              <w:left w:val="single" w:color="auto" w:sz="8" w:space="0"/>
              <w:bottom w:val="single" w:color="000000" w:sz="4" w:space="0"/>
              <w:right w:val="single" w:color="auto" w:sz="4" w:space="0"/>
            </w:tcBorders>
            <w:vAlign w:val="center"/>
          </w:tcPr>
          <w:p w14:paraId="260558F5">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5C8DBFA2">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val="continue"/>
            <w:tcBorders>
              <w:top w:val="nil"/>
              <w:left w:val="single" w:color="auto" w:sz="4" w:space="0"/>
              <w:bottom w:val="single" w:color="000000" w:sz="4" w:space="0"/>
              <w:right w:val="single" w:color="auto" w:sz="4" w:space="0"/>
            </w:tcBorders>
            <w:vAlign w:val="center"/>
          </w:tcPr>
          <w:p w14:paraId="54BDE1D7">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vAlign w:val="center"/>
          </w:tcPr>
          <w:p w14:paraId="565F2109">
            <w:pPr>
              <w:rPr>
                <w:color w:val="000000"/>
              </w:rPr>
            </w:pPr>
            <w:r>
              <w:rPr>
                <w:rFonts w:hint="eastAsia"/>
                <w:color w:val="000000"/>
              </w:rPr>
              <w:t>对单位：处3万元以上5万元以下的罚款</w:t>
            </w:r>
          </w:p>
          <w:p w14:paraId="345EECCF">
            <w:pPr>
              <w:rPr>
                <w:color w:val="000000"/>
              </w:rPr>
            </w:pPr>
            <w:r>
              <w:rPr>
                <w:rFonts w:hint="eastAsia"/>
                <w:color w:val="000000"/>
              </w:rPr>
              <w:t>对个人：处2万元以上3万元以下的罚款</w:t>
            </w:r>
          </w:p>
        </w:tc>
      </w:tr>
    </w:tbl>
    <w:p w14:paraId="07DA67E9"/>
    <w:p w14:paraId="211798D3"/>
    <w:p w14:paraId="18F3AB8A"/>
    <w:p w14:paraId="18605BA0"/>
    <w:p w14:paraId="67C7A143"/>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7E96D44C">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998B7EA">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auto" w:sz="8" w:space="0"/>
            </w:tcBorders>
            <w:vAlign w:val="center"/>
          </w:tcPr>
          <w:p w14:paraId="0A5B97D8">
            <w:pPr>
              <w:spacing w:line="320" w:lineRule="exact"/>
              <w:jc w:val="left"/>
              <w:rPr>
                <w:rFonts w:eastAsia="仿宋_GB2312"/>
                <w:b/>
                <w:bCs/>
                <w:color w:val="000000"/>
                <w:kern w:val="0"/>
                <w:sz w:val="18"/>
                <w:szCs w:val="18"/>
              </w:rPr>
            </w:pPr>
            <w:r>
              <w:rPr>
                <w:rFonts w:eastAsia="仿宋_GB2312"/>
                <w:b/>
                <w:bCs/>
                <w:color w:val="000000"/>
                <w:kern w:val="0"/>
                <w:sz w:val="18"/>
                <w:szCs w:val="18"/>
              </w:rPr>
              <w:t>320217532000</w:t>
            </w:r>
          </w:p>
        </w:tc>
      </w:tr>
      <w:tr w14:paraId="518B572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C07F604">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auto" w:sz="8" w:space="0"/>
            </w:tcBorders>
            <w:vAlign w:val="center"/>
          </w:tcPr>
          <w:p w14:paraId="5725C4DF">
            <w:pPr>
              <w:spacing w:line="320" w:lineRule="exact"/>
              <w:jc w:val="left"/>
              <w:rPr>
                <w:color w:val="000000"/>
                <w:kern w:val="0"/>
                <w:sz w:val="18"/>
                <w:szCs w:val="18"/>
              </w:rPr>
            </w:pPr>
            <w:r>
              <w:rPr>
                <w:rFonts w:hint="eastAsia"/>
                <w:color w:val="000000"/>
                <w:kern w:val="0"/>
                <w:sz w:val="18"/>
                <w:szCs w:val="18"/>
              </w:rPr>
              <w:t>对检测机构未按照规定在检测报告上签字盖章的处罚</w:t>
            </w:r>
          </w:p>
        </w:tc>
      </w:tr>
      <w:tr w14:paraId="52DD537B">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63C07831">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auto" w:sz="8" w:space="0"/>
            </w:tcBorders>
            <w:vAlign w:val="center"/>
          </w:tcPr>
          <w:p w14:paraId="64F37B81">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1FEE0C2A">
            <w:pPr>
              <w:spacing w:line="320" w:lineRule="exact"/>
              <w:jc w:val="left"/>
              <w:rPr>
                <w:color w:val="000000"/>
                <w:kern w:val="0"/>
                <w:sz w:val="18"/>
                <w:szCs w:val="18"/>
              </w:rPr>
            </w:pPr>
            <w:r>
              <w:rPr>
                <w:rFonts w:hint="eastAsia"/>
                <w:color w:val="000000"/>
                <w:kern w:val="0"/>
                <w:sz w:val="18"/>
                <w:szCs w:val="18"/>
              </w:rPr>
              <w:t xml:space="preserve">   第二十一条第一款　检测报告经检测人员、审核人员、检测机构法定代表人或者其授权的签字人等签署，并加盖检测专用章后方可生效。</w:t>
            </w:r>
          </w:p>
          <w:p w14:paraId="261312CF">
            <w:pPr>
              <w:spacing w:line="320" w:lineRule="exact"/>
              <w:jc w:val="left"/>
              <w:rPr>
                <w:color w:val="000000"/>
                <w:kern w:val="0"/>
                <w:sz w:val="18"/>
                <w:szCs w:val="18"/>
              </w:rPr>
            </w:pPr>
            <w:r>
              <w:rPr>
                <w:rFonts w:hint="eastAsia"/>
                <w:color w:val="000000"/>
                <w:kern w:val="0"/>
                <w:sz w:val="18"/>
                <w:szCs w:val="18"/>
              </w:rPr>
              <w:t>　 第四十五条　检测机构违反本办法规定，有下列行为之一的，由县级以上地方人民政府住房和城乡建设主管部门责令改正，处1万元以上5万元以下罚款：</w:t>
            </w:r>
          </w:p>
          <w:p w14:paraId="4028B23E">
            <w:pPr>
              <w:spacing w:line="320" w:lineRule="exact"/>
              <w:jc w:val="left"/>
              <w:rPr>
                <w:color w:val="000000"/>
                <w:kern w:val="0"/>
                <w:sz w:val="18"/>
                <w:szCs w:val="18"/>
              </w:rPr>
            </w:pPr>
            <w:r>
              <w:rPr>
                <w:rFonts w:hint="eastAsia"/>
                <w:color w:val="000000"/>
                <w:kern w:val="0"/>
                <w:sz w:val="18"/>
                <w:szCs w:val="18"/>
              </w:rPr>
              <w:t>　（三）未按照规定在检测报告上签字盖章的；</w:t>
            </w:r>
          </w:p>
          <w:p w14:paraId="4A4E5C45">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533604F2">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5FB3826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38451AC">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auto" w:sz="8" w:space="0"/>
            </w:tcBorders>
            <w:vAlign w:val="center"/>
          </w:tcPr>
          <w:p w14:paraId="4EF20A16">
            <w:pPr>
              <w:spacing w:line="320" w:lineRule="exact"/>
              <w:jc w:val="left"/>
              <w:rPr>
                <w:color w:val="000000"/>
                <w:kern w:val="0"/>
                <w:sz w:val="18"/>
                <w:szCs w:val="18"/>
              </w:rPr>
            </w:pPr>
            <w:r>
              <w:rPr>
                <w:rFonts w:hint="eastAsia"/>
                <w:color w:val="000000"/>
                <w:kern w:val="0"/>
                <w:sz w:val="18"/>
                <w:szCs w:val="18"/>
              </w:rPr>
              <w:t>责令改正，罚款，没收违法所得</w:t>
            </w:r>
          </w:p>
        </w:tc>
      </w:tr>
      <w:tr w14:paraId="6719813D">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auto" w:sz="8" w:space="0"/>
            </w:tcBorders>
            <w:vAlign w:val="center"/>
          </w:tcPr>
          <w:p w14:paraId="6B6F7B59">
            <w:pPr>
              <w:spacing w:line="320" w:lineRule="exact"/>
              <w:jc w:val="center"/>
              <w:rPr>
                <w:color w:val="000000"/>
                <w:kern w:val="0"/>
                <w:sz w:val="18"/>
                <w:szCs w:val="18"/>
              </w:rPr>
            </w:pPr>
            <w:r>
              <w:rPr>
                <w:rFonts w:hint="eastAsia"/>
                <w:color w:val="000000"/>
                <w:kern w:val="0"/>
                <w:sz w:val="18"/>
                <w:szCs w:val="18"/>
              </w:rPr>
              <w:t>裁量基准</w:t>
            </w:r>
          </w:p>
        </w:tc>
      </w:tr>
      <w:tr w14:paraId="49D347C3">
        <w:tblPrEx>
          <w:tblCellMar>
            <w:top w:w="0" w:type="dxa"/>
            <w:left w:w="108" w:type="dxa"/>
            <w:bottom w:w="0" w:type="dxa"/>
            <w:right w:w="108" w:type="dxa"/>
          </w:tblCellMar>
        </w:tblPrEx>
        <w:trPr>
          <w:trHeight w:val="480" w:hRule="atLeast"/>
        </w:trPr>
        <w:tc>
          <w:tcPr>
            <w:tcW w:w="1010" w:type="dxa"/>
            <w:vMerge w:val="restart"/>
            <w:tcBorders>
              <w:top w:val="nil"/>
              <w:left w:val="single" w:color="auto" w:sz="8" w:space="0"/>
              <w:bottom w:val="single" w:color="000000" w:sz="4" w:space="0"/>
              <w:right w:val="single" w:color="auto" w:sz="4" w:space="0"/>
            </w:tcBorders>
            <w:vAlign w:val="center"/>
          </w:tcPr>
          <w:p w14:paraId="1DD4FE28">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6503FC22">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color="auto" w:sz="4" w:space="0"/>
              <w:bottom w:val="single" w:color="000000" w:sz="4" w:space="0"/>
              <w:right w:val="single" w:color="auto" w:sz="4" w:space="0"/>
            </w:tcBorders>
            <w:vAlign w:val="center"/>
          </w:tcPr>
          <w:p w14:paraId="7D59A877">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color="auto" w:sz="4" w:space="0"/>
              <w:right w:val="single" w:color="auto" w:sz="8" w:space="0"/>
            </w:tcBorders>
            <w:vAlign w:val="center"/>
          </w:tcPr>
          <w:p w14:paraId="777041A2">
            <w:pPr>
              <w:rPr>
                <w:color w:val="000000"/>
              </w:rPr>
            </w:pPr>
            <w:r>
              <w:rPr>
                <w:rFonts w:hint="eastAsia"/>
                <w:color w:val="000000"/>
              </w:rPr>
              <w:t>对单位：处</w:t>
            </w:r>
            <w:r>
              <w:rPr>
                <w:color w:val="000000"/>
              </w:rPr>
              <w:t>1</w:t>
            </w:r>
            <w:r>
              <w:rPr>
                <w:rFonts w:hint="eastAsia"/>
                <w:color w:val="000000"/>
              </w:rPr>
              <w:t>万元以上3万元以下的罚款</w:t>
            </w:r>
          </w:p>
          <w:p w14:paraId="0721546B">
            <w:pPr>
              <w:spacing w:line="320" w:lineRule="exact"/>
              <w:jc w:val="left"/>
              <w:rPr>
                <w:color w:val="000000"/>
                <w:kern w:val="0"/>
                <w:sz w:val="18"/>
                <w:szCs w:val="18"/>
              </w:rPr>
            </w:pPr>
            <w:r>
              <w:rPr>
                <w:rFonts w:hint="eastAsia"/>
                <w:color w:val="000000"/>
              </w:rPr>
              <w:t>对个人：处2万元以下的罚款</w:t>
            </w:r>
          </w:p>
        </w:tc>
      </w:tr>
      <w:tr w14:paraId="790F3F65">
        <w:tblPrEx>
          <w:tblCellMar>
            <w:top w:w="0" w:type="dxa"/>
            <w:left w:w="108" w:type="dxa"/>
            <w:bottom w:w="0" w:type="dxa"/>
            <w:right w:w="108" w:type="dxa"/>
          </w:tblCellMar>
        </w:tblPrEx>
        <w:trPr>
          <w:trHeight w:val="480" w:hRule="atLeast"/>
        </w:trPr>
        <w:tc>
          <w:tcPr>
            <w:tcW w:w="1010" w:type="dxa"/>
            <w:vMerge w:val="continue"/>
            <w:tcBorders>
              <w:top w:val="nil"/>
              <w:left w:val="single" w:color="auto" w:sz="8" w:space="0"/>
              <w:bottom w:val="single" w:color="000000" w:sz="4" w:space="0"/>
              <w:right w:val="single" w:color="auto" w:sz="4" w:space="0"/>
            </w:tcBorders>
            <w:vAlign w:val="center"/>
          </w:tcPr>
          <w:p w14:paraId="22FFA9E9">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5C6D5505">
            <w:pPr>
              <w:spacing w:line="320" w:lineRule="exact"/>
              <w:jc w:val="left"/>
              <w:rPr>
                <w:color w:val="000000"/>
                <w:kern w:val="0"/>
                <w:sz w:val="18"/>
                <w:szCs w:val="18"/>
              </w:rPr>
            </w:pPr>
            <w:r>
              <w:rPr>
                <w:rFonts w:hint="eastAsia"/>
                <w:color w:val="000000"/>
                <w:kern w:val="0"/>
                <w:sz w:val="18"/>
                <w:szCs w:val="18"/>
              </w:rPr>
              <w:t>未按要求改正或无法改正的</w:t>
            </w:r>
          </w:p>
        </w:tc>
        <w:tc>
          <w:tcPr>
            <w:tcW w:w="1030" w:type="dxa"/>
            <w:vMerge w:val="continue"/>
            <w:tcBorders>
              <w:top w:val="nil"/>
              <w:left w:val="single" w:color="auto" w:sz="4" w:space="0"/>
              <w:bottom w:val="single" w:color="000000" w:sz="4" w:space="0"/>
              <w:right w:val="single" w:color="auto" w:sz="4" w:space="0"/>
            </w:tcBorders>
            <w:vAlign w:val="center"/>
          </w:tcPr>
          <w:p w14:paraId="783F9E77">
            <w:pPr>
              <w:spacing w:line="320" w:lineRule="exact"/>
              <w:jc w:val="left"/>
              <w:rPr>
                <w:color w:val="000000"/>
                <w:kern w:val="0"/>
                <w:sz w:val="18"/>
                <w:szCs w:val="18"/>
              </w:rPr>
            </w:pPr>
          </w:p>
        </w:tc>
        <w:tc>
          <w:tcPr>
            <w:tcW w:w="5850" w:type="dxa"/>
            <w:tcBorders>
              <w:top w:val="nil"/>
              <w:left w:val="nil"/>
              <w:bottom w:val="single" w:color="auto" w:sz="4" w:space="0"/>
              <w:right w:val="single" w:color="auto" w:sz="8" w:space="0"/>
            </w:tcBorders>
            <w:vAlign w:val="center"/>
          </w:tcPr>
          <w:p w14:paraId="748F1601">
            <w:pPr>
              <w:rPr>
                <w:color w:val="000000"/>
              </w:rPr>
            </w:pPr>
            <w:r>
              <w:rPr>
                <w:rFonts w:hint="eastAsia"/>
                <w:color w:val="000000"/>
              </w:rPr>
              <w:t>对单位：处3万元以上5万元以下的罚款</w:t>
            </w:r>
          </w:p>
          <w:p w14:paraId="28661794">
            <w:pPr>
              <w:rPr>
                <w:color w:val="000000"/>
              </w:rPr>
            </w:pPr>
            <w:r>
              <w:rPr>
                <w:rFonts w:hint="eastAsia"/>
                <w:color w:val="000000"/>
              </w:rPr>
              <w:t>对个人：处2万元以上3万元以下的罚款</w:t>
            </w:r>
          </w:p>
        </w:tc>
      </w:tr>
    </w:tbl>
    <w:p w14:paraId="3378C97F"/>
    <w:p w14:paraId="6BF4A6F4"/>
    <w:p w14:paraId="21DD9D53"/>
    <w:p w14:paraId="753525D0"/>
    <w:p w14:paraId="7959F5E0"/>
    <w:p w14:paraId="7E6466AD"/>
    <w:p w14:paraId="29EA1818"/>
    <w:p w14:paraId="3061792A"/>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496E8B97">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CA45E81">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auto" w:sz="8" w:space="0"/>
            </w:tcBorders>
            <w:vAlign w:val="center"/>
          </w:tcPr>
          <w:p w14:paraId="0EFFFD09">
            <w:pPr>
              <w:spacing w:line="320" w:lineRule="exact"/>
              <w:jc w:val="left"/>
              <w:rPr>
                <w:rFonts w:eastAsia="仿宋_GB2312"/>
                <w:b/>
                <w:bCs/>
                <w:color w:val="000000"/>
                <w:kern w:val="0"/>
                <w:sz w:val="18"/>
                <w:szCs w:val="18"/>
              </w:rPr>
            </w:pPr>
            <w:r>
              <w:rPr>
                <w:rFonts w:eastAsia="仿宋_GB2312"/>
                <w:b/>
                <w:bCs/>
                <w:color w:val="000000"/>
                <w:kern w:val="0"/>
                <w:sz w:val="18"/>
                <w:szCs w:val="18"/>
              </w:rPr>
              <w:t>320217533000</w:t>
            </w:r>
          </w:p>
        </w:tc>
      </w:tr>
      <w:tr w14:paraId="1C764C4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87B6D47">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auto" w:sz="8" w:space="0"/>
            </w:tcBorders>
            <w:vAlign w:val="center"/>
          </w:tcPr>
          <w:p w14:paraId="0A8653D9">
            <w:pPr>
              <w:spacing w:line="320" w:lineRule="exact"/>
              <w:jc w:val="left"/>
              <w:rPr>
                <w:color w:val="000000"/>
                <w:kern w:val="0"/>
                <w:sz w:val="18"/>
                <w:szCs w:val="18"/>
              </w:rPr>
            </w:pPr>
            <w:r>
              <w:rPr>
                <w:rFonts w:hint="eastAsia"/>
                <w:color w:val="000000"/>
                <w:kern w:val="0"/>
                <w:sz w:val="18"/>
                <w:szCs w:val="18"/>
              </w:rPr>
              <w:t>对检测机构违反工程建设强制性标准进行检测的处罚</w:t>
            </w:r>
          </w:p>
        </w:tc>
      </w:tr>
      <w:tr w14:paraId="126E5EDA">
        <w:tblPrEx>
          <w:tblCellMar>
            <w:top w:w="0" w:type="dxa"/>
            <w:left w:w="108" w:type="dxa"/>
            <w:bottom w:w="0" w:type="dxa"/>
            <w:right w:w="108" w:type="dxa"/>
          </w:tblCellMar>
        </w:tblPrEx>
        <w:trPr>
          <w:trHeight w:val="1290" w:hRule="atLeast"/>
        </w:trPr>
        <w:tc>
          <w:tcPr>
            <w:tcW w:w="1010" w:type="dxa"/>
            <w:tcBorders>
              <w:top w:val="nil"/>
              <w:left w:val="single" w:color="auto" w:sz="8" w:space="0"/>
              <w:bottom w:val="single" w:color="auto" w:sz="4" w:space="0"/>
              <w:right w:val="single" w:color="auto" w:sz="4" w:space="0"/>
            </w:tcBorders>
            <w:vAlign w:val="center"/>
          </w:tcPr>
          <w:p w14:paraId="22CD54A2">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auto" w:sz="8" w:space="0"/>
            </w:tcBorders>
            <w:vAlign w:val="center"/>
          </w:tcPr>
          <w:p w14:paraId="77FE431E">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75853496">
            <w:pPr>
              <w:spacing w:line="320" w:lineRule="exact"/>
              <w:jc w:val="left"/>
              <w:rPr>
                <w:color w:val="000000"/>
                <w:kern w:val="0"/>
                <w:sz w:val="18"/>
                <w:szCs w:val="18"/>
              </w:rPr>
            </w:pPr>
            <w:r>
              <w:rPr>
                <w:rFonts w:hint="eastAsia"/>
                <w:color w:val="000000"/>
                <w:kern w:val="0"/>
                <w:sz w:val="18"/>
                <w:szCs w:val="18"/>
              </w:rPr>
              <w:t xml:space="preserve">  　第三十条　检测机构不得有下列行为：</w:t>
            </w:r>
          </w:p>
          <w:p w14:paraId="0A7FEAF2">
            <w:pPr>
              <w:spacing w:line="320" w:lineRule="exact"/>
              <w:jc w:val="left"/>
              <w:rPr>
                <w:color w:val="000000"/>
                <w:kern w:val="0"/>
                <w:sz w:val="18"/>
                <w:szCs w:val="18"/>
              </w:rPr>
            </w:pPr>
            <w:r>
              <w:rPr>
                <w:rFonts w:hint="eastAsia"/>
                <w:color w:val="000000"/>
                <w:kern w:val="0"/>
                <w:sz w:val="18"/>
                <w:szCs w:val="18"/>
              </w:rPr>
              <w:t>　  （四）违反工程建设强制性标准进行检测；</w:t>
            </w:r>
          </w:p>
          <w:p w14:paraId="1A06D7A3">
            <w:pPr>
              <w:spacing w:line="320" w:lineRule="exact"/>
              <w:jc w:val="left"/>
              <w:rPr>
                <w:color w:val="000000"/>
                <w:kern w:val="0"/>
                <w:sz w:val="18"/>
                <w:szCs w:val="18"/>
              </w:rPr>
            </w:pPr>
            <w:r>
              <w:rPr>
                <w:rFonts w:hint="eastAsia"/>
                <w:color w:val="000000"/>
                <w:kern w:val="0"/>
                <w:sz w:val="18"/>
                <w:szCs w:val="18"/>
              </w:rPr>
              <w:t xml:space="preserve">    第四十四条第一款　检测机构违反本办法规定，有第三十条第二项至第五项行为之一的，由县级以上地方人民政府住房和城乡建设主管部门责令改正，处5万元以上10万元以下罚款；造成危害后果的，处10万元以上20万元以下罚款；构成犯罪的，依法追究刑事责任。</w:t>
            </w:r>
          </w:p>
          <w:p w14:paraId="412687EC">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0A08F129">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3867969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A597CF5">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auto" w:sz="8" w:space="0"/>
            </w:tcBorders>
            <w:vAlign w:val="center"/>
          </w:tcPr>
          <w:p w14:paraId="0618FD82">
            <w:pPr>
              <w:spacing w:line="320" w:lineRule="exact"/>
              <w:jc w:val="left"/>
              <w:rPr>
                <w:color w:val="000000"/>
                <w:kern w:val="0"/>
                <w:sz w:val="18"/>
                <w:szCs w:val="18"/>
              </w:rPr>
            </w:pPr>
            <w:r>
              <w:rPr>
                <w:rFonts w:hint="eastAsia"/>
                <w:color w:val="000000"/>
                <w:kern w:val="0"/>
                <w:sz w:val="18"/>
                <w:szCs w:val="18"/>
              </w:rPr>
              <w:t>责令改正，罚款，没收违法所得</w:t>
            </w:r>
          </w:p>
        </w:tc>
      </w:tr>
      <w:tr w14:paraId="46FEC26B">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auto" w:sz="8" w:space="0"/>
            </w:tcBorders>
            <w:vAlign w:val="center"/>
          </w:tcPr>
          <w:p w14:paraId="5084B004">
            <w:pPr>
              <w:spacing w:line="320" w:lineRule="exact"/>
              <w:jc w:val="center"/>
              <w:rPr>
                <w:color w:val="000000"/>
                <w:kern w:val="0"/>
                <w:sz w:val="18"/>
                <w:szCs w:val="18"/>
              </w:rPr>
            </w:pPr>
            <w:r>
              <w:rPr>
                <w:rFonts w:hint="eastAsia"/>
                <w:color w:val="000000"/>
                <w:kern w:val="0"/>
                <w:sz w:val="18"/>
                <w:szCs w:val="18"/>
              </w:rPr>
              <w:t>裁量基准</w:t>
            </w:r>
          </w:p>
        </w:tc>
      </w:tr>
      <w:tr w14:paraId="0D185CE5">
        <w:tblPrEx>
          <w:tblCellMar>
            <w:top w:w="0" w:type="dxa"/>
            <w:left w:w="108" w:type="dxa"/>
            <w:bottom w:w="0" w:type="dxa"/>
            <w:right w:w="108" w:type="dxa"/>
          </w:tblCellMar>
        </w:tblPrEx>
        <w:trPr>
          <w:trHeight w:val="480" w:hRule="atLeast"/>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7445748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49E3A84A">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color="auto" w:sz="4" w:space="0"/>
              <w:left w:val="single" w:color="auto" w:sz="4" w:space="0"/>
              <w:bottom w:val="single" w:color="auto" w:sz="4" w:space="0"/>
              <w:right w:val="single" w:color="auto" w:sz="4" w:space="0"/>
            </w:tcBorders>
            <w:vAlign w:val="center"/>
          </w:tcPr>
          <w:p w14:paraId="2C09C17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color="auto" w:sz="4" w:space="0"/>
              <w:left w:val="single" w:color="auto" w:sz="4" w:space="0"/>
              <w:bottom w:val="single" w:color="auto" w:sz="4" w:space="0"/>
              <w:right w:val="single" w:color="auto" w:sz="4" w:space="0"/>
            </w:tcBorders>
            <w:vAlign w:val="center"/>
          </w:tcPr>
          <w:p w14:paraId="1FEEE105">
            <w:pPr>
              <w:rPr>
                <w:color w:val="000000"/>
              </w:rPr>
            </w:pPr>
            <w:r>
              <w:rPr>
                <w:rFonts w:hint="eastAsia"/>
                <w:color w:val="000000"/>
              </w:rPr>
              <w:t>对单位：处5万元以上7万元以下的罚款</w:t>
            </w:r>
          </w:p>
          <w:p w14:paraId="201768CF">
            <w:pPr>
              <w:spacing w:line="320" w:lineRule="exact"/>
              <w:jc w:val="left"/>
              <w:rPr>
                <w:color w:val="000000"/>
                <w:kern w:val="0"/>
                <w:sz w:val="18"/>
                <w:szCs w:val="18"/>
              </w:rPr>
            </w:pPr>
            <w:r>
              <w:rPr>
                <w:rFonts w:hint="eastAsia"/>
                <w:color w:val="000000"/>
              </w:rPr>
              <w:t>对个人：处1万元以下的罚款</w:t>
            </w:r>
          </w:p>
        </w:tc>
      </w:tr>
      <w:tr w14:paraId="11976001">
        <w:tblPrEx>
          <w:tblCellMar>
            <w:top w:w="0" w:type="dxa"/>
            <w:left w:w="108" w:type="dxa"/>
            <w:bottom w:w="0" w:type="dxa"/>
            <w:right w:w="108" w:type="dxa"/>
          </w:tblCellMar>
        </w:tblPrEx>
        <w:trPr>
          <w:trHeight w:val="480"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2B596EE9">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1A3D4DD3">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3359C02F">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2D0EFED1">
            <w:pPr>
              <w:rPr>
                <w:color w:val="000000"/>
              </w:rPr>
            </w:pPr>
            <w:r>
              <w:rPr>
                <w:rFonts w:hint="eastAsia"/>
                <w:color w:val="000000"/>
              </w:rPr>
              <w:t>对单位：处7万元以上10万元以下的罚款</w:t>
            </w:r>
          </w:p>
          <w:p w14:paraId="7A20B888">
            <w:pPr>
              <w:rPr>
                <w:color w:val="000000"/>
              </w:rPr>
            </w:pPr>
            <w:r>
              <w:rPr>
                <w:rFonts w:hint="eastAsia"/>
                <w:color w:val="000000"/>
              </w:rPr>
              <w:t>对个人：处1万元以上1.5万元以下的罚款</w:t>
            </w:r>
          </w:p>
        </w:tc>
      </w:tr>
      <w:tr w14:paraId="47D9068E">
        <w:tblPrEx>
          <w:tblCellMar>
            <w:top w:w="0" w:type="dxa"/>
            <w:left w:w="108" w:type="dxa"/>
            <w:bottom w:w="0" w:type="dxa"/>
            <w:right w:w="108" w:type="dxa"/>
          </w:tblCellMar>
        </w:tblPrEx>
        <w:trPr>
          <w:trHeight w:val="480"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25887149">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7A5B1FA7">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38CB7691">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32A0526C">
            <w:pPr>
              <w:rPr>
                <w:color w:val="000000"/>
              </w:rPr>
            </w:pPr>
            <w:r>
              <w:rPr>
                <w:rFonts w:hint="eastAsia"/>
                <w:color w:val="000000"/>
              </w:rPr>
              <w:t>对单位：处10万元以上15万元以下的罚款</w:t>
            </w:r>
          </w:p>
          <w:p w14:paraId="04FFFC75">
            <w:pPr>
              <w:rPr>
                <w:color w:val="000000"/>
              </w:rPr>
            </w:pPr>
            <w:r>
              <w:rPr>
                <w:rFonts w:hint="eastAsia"/>
                <w:color w:val="000000"/>
              </w:rPr>
              <w:t>对个人：处1.5万元以上2万元以下的罚款</w:t>
            </w:r>
          </w:p>
        </w:tc>
      </w:tr>
      <w:tr w14:paraId="63C10C65">
        <w:tblPrEx>
          <w:tblCellMar>
            <w:top w:w="0" w:type="dxa"/>
            <w:left w:w="108" w:type="dxa"/>
            <w:bottom w:w="0" w:type="dxa"/>
            <w:right w:w="108" w:type="dxa"/>
          </w:tblCellMar>
        </w:tblPrEx>
        <w:trPr>
          <w:trHeight w:val="480"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5B660348">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5F9565D2">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138C9266">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3C4E79BA">
            <w:pPr>
              <w:rPr>
                <w:color w:val="000000"/>
              </w:rPr>
            </w:pPr>
            <w:r>
              <w:rPr>
                <w:rFonts w:hint="eastAsia"/>
                <w:color w:val="000000"/>
              </w:rPr>
              <w:t>对单位：处15万元以上20万元以下的罚款</w:t>
            </w:r>
          </w:p>
          <w:p w14:paraId="365818EA">
            <w:pPr>
              <w:rPr>
                <w:color w:val="000000"/>
              </w:rPr>
            </w:pPr>
            <w:r>
              <w:rPr>
                <w:rFonts w:hint="eastAsia"/>
                <w:color w:val="000000"/>
              </w:rPr>
              <w:t>对个人：处2万元以上3万元以下的罚款</w:t>
            </w:r>
          </w:p>
        </w:tc>
      </w:tr>
    </w:tbl>
    <w:p w14:paraId="2A1A0C38"/>
    <w:p w14:paraId="48CEF565"/>
    <w:p w14:paraId="24A68DD3"/>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4D26DA09">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4ED9FAEF">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177E8FF">
            <w:pPr>
              <w:spacing w:line="320" w:lineRule="exact"/>
              <w:jc w:val="left"/>
              <w:rPr>
                <w:rFonts w:eastAsia="仿宋_GB2312"/>
                <w:b/>
                <w:bCs/>
                <w:color w:val="000000"/>
                <w:kern w:val="0"/>
                <w:sz w:val="18"/>
                <w:szCs w:val="18"/>
              </w:rPr>
            </w:pPr>
            <w:r>
              <w:rPr>
                <w:rFonts w:eastAsia="仿宋_GB2312"/>
                <w:b/>
                <w:bCs/>
                <w:color w:val="000000"/>
                <w:kern w:val="0"/>
                <w:sz w:val="18"/>
                <w:szCs w:val="18"/>
              </w:rPr>
              <w:t>320217534000</w:t>
            </w:r>
          </w:p>
        </w:tc>
      </w:tr>
      <w:tr w14:paraId="4FE4CDCF">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6D47E9C">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2EDAC663">
            <w:pPr>
              <w:spacing w:line="320" w:lineRule="exact"/>
              <w:jc w:val="left"/>
              <w:rPr>
                <w:color w:val="000000"/>
                <w:kern w:val="0"/>
                <w:sz w:val="18"/>
                <w:szCs w:val="18"/>
              </w:rPr>
            </w:pPr>
            <w:r>
              <w:rPr>
                <w:rFonts w:hint="eastAsia"/>
                <w:color w:val="000000"/>
                <w:kern w:val="0"/>
                <w:sz w:val="18"/>
                <w:szCs w:val="18"/>
              </w:rPr>
              <w:t>对白蚁防治单位使用不合格药物的处罚</w:t>
            </w:r>
          </w:p>
        </w:tc>
      </w:tr>
      <w:tr w14:paraId="58EC4485">
        <w:tblPrEx>
          <w:tblCellMar>
            <w:top w:w="0" w:type="dxa"/>
            <w:left w:w="108" w:type="dxa"/>
            <w:bottom w:w="0" w:type="dxa"/>
            <w:right w:w="108" w:type="dxa"/>
          </w:tblCellMar>
        </w:tblPrEx>
        <w:trPr>
          <w:trHeight w:val="1125" w:hRule="atLeast"/>
        </w:trPr>
        <w:tc>
          <w:tcPr>
            <w:tcW w:w="1010" w:type="dxa"/>
            <w:tcBorders>
              <w:top w:val="nil"/>
              <w:left w:val="single" w:color="auto" w:sz="8" w:space="0"/>
              <w:bottom w:val="single" w:color="auto" w:sz="4" w:space="0"/>
              <w:right w:val="single" w:color="auto" w:sz="4" w:space="0"/>
            </w:tcBorders>
            <w:vAlign w:val="center"/>
          </w:tcPr>
          <w:p w14:paraId="7968201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2283ECC4">
            <w:pPr>
              <w:spacing w:line="320" w:lineRule="exact"/>
              <w:jc w:val="left"/>
              <w:rPr>
                <w:color w:val="000000"/>
                <w:kern w:val="0"/>
                <w:sz w:val="18"/>
                <w:szCs w:val="18"/>
              </w:rPr>
            </w:pP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14:paraId="2629774F">
            <w:pPr>
              <w:spacing w:line="320" w:lineRule="exact"/>
              <w:jc w:val="left"/>
              <w:rPr>
                <w:color w:val="000000"/>
                <w:kern w:val="0"/>
                <w:sz w:val="18"/>
                <w:szCs w:val="18"/>
              </w:rPr>
            </w:pPr>
            <w:r>
              <w:rPr>
                <w:rFonts w:hint="eastAsia"/>
                <w:color w:val="000000"/>
                <w:kern w:val="0"/>
                <w:sz w:val="18"/>
                <w:szCs w:val="18"/>
              </w:rPr>
              <w:t>第十条　城市房屋白蚁防治应当使用经国家有关部门批准生产的药剂。白蚁防治单位应当建立药剂进出领料制度。药剂必须专仓储存、专人管理。</w:t>
            </w:r>
          </w:p>
          <w:p w14:paraId="3BF7ED1B">
            <w:pPr>
              <w:spacing w:line="320" w:lineRule="exact"/>
              <w:jc w:val="left"/>
              <w:rPr>
                <w:color w:val="000000"/>
                <w:kern w:val="0"/>
                <w:sz w:val="18"/>
                <w:szCs w:val="18"/>
              </w:rPr>
            </w:pPr>
            <w:r>
              <w:rPr>
                <w:rFonts w:hint="eastAsia"/>
                <w:color w:val="000000"/>
                <w:kern w:val="0"/>
                <w:sz w:val="18"/>
                <w:szCs w:val="18"/>
              </w:rPr>
              <w:t>第十五条　白蚁防治单位违反本规定第十条的规定，使用不合格药物的，由房屋所在地的县级以上人民政府房地产行政主管部门责令限期改正，并处以</w:t>
            </w:r>
            <w:r>
              <w:rPr>
                <w:color w:val="000000"/>
                <w:kern w:val="0"/>
                <w:sz w:val="18"/>
                <w:szCs w:val="18"/>
              </w:rPr>
              <w:t>3</w:t>
            </w:r>
            <w:r>
              <w:rPr>
                <w:rFonts w:hint="eastAsia"/>
                <w:color w:val="000000"/>
                <w:kern w:val="0"/>
                <w:sz w:val="18"/>
                <w:szCs w:val="18"/>
              </w:rPr>
              <w:t>万元的罚款。</w:t>
            </w:r>
          </w:p>
        </w:tc>
      </w:tr>
      <w:tr w14:paraId="4059098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BFC68C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59ABEF15">
            <w:pPr>
              <w:spacing w:line="320" w:lineRule="exact"/>
              <w:jc w:val="left"/>
              <w:rPr>
                <w:color w:val="000000"/>
                <w:kern w:val="0"/>
                <w:sz w:val="18"/>
                <w:szCs w:val="18"/>
              </w:rPr>
            </w:pPr>
            <w:r>
              <w:rPr>
                <w:rFonts w:hint="eastAsia"/>
                <w:color w:val="000000"/>
                <w:kern w:val="0"/>
                <w:sz w:val="18"/>
                <w:szCs w:val="18"/>
              </w:rPr>
              <w:t>罚款</w:t>
            </w:r>
          </w:p>
        </w:tc>
      </w:tr>
      <w:tr w14:paraId="1C383DBF">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124B94C">
            <w:pPr>
              <w:spacing w:line="320" w:lineRule="exact"/>
              <w:jc w:val="center"/>
              <w:rPr>
                <w:color w:val="000000"/>
                <w:kern w:val="0"/>
                <w:sz w:val="18"/>
                <w:szCs w:val="18"/>
              </w:rPr>
            </w:pPr>
            <w:r>
              <w:rPr>
                <w:rFonts w:hint="eastAsia"/>
                <w:color w:val="000000"/>
                <w:kern w:val="0"/>
                <w:sz w:val="18"/>
                <w:szCs w:val="18"/>
              </w:rPr>
              <w:t>裁量基准</w:t>
            </w:r>
          </w:p>
        </w:tc>
      </w:tr>
      <w:tr w14:paraId="741C229F">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7490C5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0D1706F">
            <w:pPr>
              <w:spacing w:line="320" w:lineRule="exact"/>
              <w:jc w:val="left"/>
              <w:rPr>
                <w:color w:val="000000"/>
                <w:kern w:val="0"/>
                <w:sz w:val="18"/>
                <w:szCs w:val="18"/>
              </w:rPr>
            </w:pPr>
          </w:p>
        </w:tc>
        <w:tc>
          <w:tcPr>
            <w:tcW w:w="1000" w:type="dxa"/>
            <w:tcBorders>
              <w:top w:val="nil"/>
              <w:left w:val="single" w:color="auto" w:sz="4" w:space="0"/>
              <w:bottom w:val="single" w:color="auto" w:sz="4" w:space="0"/>
              <w:right w:val="single" w:color="auto" w:sz="4" w:space="0"/>
            </w:tcBorders>
            <w:vAlign w:val="center"/>
          </w:tcPr>
          <w:p w14:paraId="1F95FB2A">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40A701A6">
            <w:pPr>
              <w:spacing w:line="320" w:lineRule="exact"/>
              <w:jc w:val="left"/>
              <w:rPr>
                <w:color w:val="000000"/>
                <w:kern w:val="0"/>
                <w:sz w:val="18"/>
                <w:szCs w:val="18"/>
              </w:rPr>
            </w:pPr>
          </w:p>
        </w:tc>
      </w:tr>
    </w:tbl>
    <w:p w14:paraId="599326E2"/>
    <w:p w14:paraId="618C36D8"/>
    <w:p w14:paraId="4AB873E7"/>
    <w:p w14:paraId="531133BE"/>
    <w:p w14:paraId="08B97E55"/>
    <w:p w14:paraId="4CD5065D"/>
    <w:p w14:paraId="3E923667"/>
    <w:p w14:paraId="1FE260A8"/>
    <w:p w14:paraId="6CB2E7B0"/>
    <w:p w14:paraId="261E6419"/>
    <w:p w14:paraId="09F12B4A"/>
    <w:p w14:paraId="08BCBEDF"/>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084D51A3">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01BC4941">
            <w:pP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59534BAF">
            <w:pPr>
              <w:rPr>
                <w:b/>
                <w:bCs/>
                <w:color w:val="000000"/>
              </w:rPr>
            </w:pPr>
            <w:r>
              <w:rPr>
                <w:b/>
                <w:bCs/>
                <w:color w:val="000000"/>
              </w:rPr>
              <w:t>320217535000</w:t>
            </w:r>
          </w:p>
        </w:tc>
      </w:tr>
      <w:tr w14:paraId="1DC48037">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07008195">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vAlign w:val="center"/>
          </w:tcPr>
          <w:p w14:paraId="42B72B86">
            <w:pPr>
              <w:rPr>
                <w:color w:val="000000"/>
              </w:rPr>
            </w:pPr>
            <w:r>
              <w:rPr>
                <w:rFonts w:hint="eastAsia"/>
                <w:color w:val="000000"/>
              </w:rPr>
              <w:t>对施工总承包单位在施工现场有多台塔式起重机作业时，未组织制定并实施防止塔式起重机相互碰撞的安全措施的处罚</w:t>
            </w:r>
          </w:p>
        </w:tc>
      </w:tr>
      <w:tr w14:paraId="58702D1B">
        <w:tblPrEx>
          <w:tblCellMar>
            <w:top w:w="0" w:type="dxa"/>
            <w:left w:w="108" w:type="dxa"/>
            <w:bottom w:w="0" w:type="dxa"/>
            <w:right w:w="108" w:type="dxa"/>
          </w:tblCellMar>
        </w:tblPrEx>
        <w:trPr>
          <w:trHeight w:val="1365" w:hRule="atLeast"/>
        </w:trPr>
        <w:tc>
          <w:tcPr>
            <w:tcW w:w="1296" w:type="dxa"/>
            <w:tcBorders>
              <w:top w:val="nil"/>
              <w:left w:val="single" w:color="auto" w:sz="8" w:space="0"/>
              <w:bottom w:val="single" w:color="auto" w:sz="4" w:space="0"/>
              <w:right w:val="single" w:color="auto" w:sz="4" w:space="0"/>
            </w:tcBorders>
            <w:vAlign w:val="center"/>
          </w:tcPr>
          <w:p w14:paraId="59FC2B7E">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vAlign w:val="center"/>
          </w:tcPr>
          <w:p w14:paraId="69614DB6">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第二十一条　施工总承包单位应当履行下列安全职责：</w:t>
            </w:r>
            <w:r>
              <w:rPr>
                <w:color w:val="000000"/>
              </w:rPr>
              <w:br w:type="textWrapping"/>
            </w:r>
            <w:r>
              <w:rPr>
                <w:color w:val="000000"/>
              </w:rPr>
              <w:t xml:space="preserve">   </w:t>
            </w:r>
            <w:r>
              <w:rPr>
                <w:rFonts w:hint="eastAsia"/>
                <w:color w:val="000000"/>
              </w:rPr>
              <w:t>（七）施工现场有多台塔式起重机作业时，应当组织制定并实施防止塔式起重机相互碰撞的安全措施。</w:t>
            </w:r>
            <w:r>
              <w:rPr>
                <w:color w:val="000000"/>
              </w:rPr>
              <w:br w:type="textWrapping"/>
            </w:r>
            <w:r>
              <w:rPr>
                <w:rFonts w:hint="eastAsia"/>
                <w:color w:val="000000"/>
              </w:rPr>
              <w:t>第三十一条　违反本规定，施工总承包单位未履行第二十一条第（一）、（三）、（四）、（五）、（七）项安全职责的，由县级以上地方人民政府建设主管部门责令限期改正，予以警告，并处以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14:paraId="14960C99">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6C35A4F5">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0A8983B6">
            <w:pPr>
              <w:rPr>
                <w:color w:val="000000"/>
              </w:rPr>
            </w:pPr>
            <w:r>
              <w:rPr>
                <w:rFonts w:hint="eastAsia"/>
                <w:color w:val="000000"/>
              </w:rPr>
              <w:t>警告，罚款</w:t>
            </w:r>
          </w:p>
        </w:tc>
      </w:tr>
      <w:tr w14:paraId="60AED8E3">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A345749">
            <w:pPr>
              <w:jc w:val="center"/>
              <w:rPr>
                <w:color w:val="000000"/>
              </w:rPr>
            </w:pPr>
            <w:r>
              <w:rPr>
                <w:rFonts w:hint="eastAsia"/>
                <w:color w:val="000000"/>
              </w:rPr>
              <w:t>裁量基准</w:t>
            </w:r>
          </w:p>
        </w:tc>
      </w:tr>
      <w:tr w14:paraId="1779D45D">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65636209">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26DFB640">
            <w:pPr>
              <w:rPr>
                <w:color w:val="000000"/>
              </w:rPr>
            </w:pPr>
            <w:r>
              <w:rPr>
                <w:rFonts w:hint="eastAsia"/>
                <w:color w:val="000000"/>
              </w:rPr>
              <w:t>按要求改正，未造成生产安全事故的</w:t>
            </w:r>
          </w:p>
        </w:tc>
        <w:tc>
          <w:tcPr>
            <w:tcW w:w="1076" w:type="dxa"/>
            <w:vMerge w:val="restart"/>
            <w:tcBorders>
              <w:top w:val="nil"/>
              <w:left w:val="single" w:color="auto" w:sz="4" w:space="0"/>
              <w:bottom w:val="single" w:color="auto" w:sz="4" w:space="0"/>
              <w:right w:val="single" w:color="auto" w:sz="4" w:space="0"/>
            </w:tcBorders>
            <w:vAlign w:val="center"/>
          </w:tcPr>
          <w:p w14:paraId="7E096338">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5F1AC37B">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0C1B2008">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5B1C3B75">
            <w:pPr>
              <w:rPr>
                <w:color w:val="000000"/>
              </w:rPr>
            </w:pPr>
          </w:p>
        </w:tc>
        <w:tc>
          <w:tcPr>
            <w:tcW w:w="5884" w:type="dxa"/>
            <w:tcBorders>
              <w:top w:val="single" w:color="auto" w:sz="4" w:space="0"/>
              <w:left w:val="nil"/>
              <w:bottom w:val="single" w:color="auto" w:sz="4" w:space="0"/>
              <w:right w:val="single" w:color="auto" w:sz="4" w:space="0"/>
            </w:tcBorders>
            <w:vAlign w:val="center"/>
          </w:tcPr>
          <w:p w14:paraId="6419CD78">
            <w:pPr>
              <w:rPr>
                <w:color w:val="000000"/>
              </w:rPr>
            </w:pPr>
            <w:r>
              <w:rPr>
                <w:rFonts w:hint="eastAsia"/>
                <w:color w:val="000000"/>
              </w:rPr>
              <w:t>按要求改正，造成生产安全事故的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09CC6407">
            <w:pPr>
              <w:rPr>
                <w:color w:val="000000"/>
              </w:rPr>
            </w:pPr>
          </w:p>
        </w:tc>
        <w:tc>
          <w:tcPr>
            <w:tcW w:w="5760" w:type="dxa"/>
            <w:tcBorders>
              <w:top w:val="nil"/>
              <w:left w:val="nil"/>
              <w:bottom w:val="single" w:color="auto" w:sz="4" w:space="0"/>
              <w:right w:val="single" w:color="auto" w:sz="8" w:space="0"/>
            </w:tcBorders>
            <w:vAlign w:val="center"/>
          </w:tcPr>
          <w:p w14:paraId="29EF3F5A">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45F58AE2">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67178747">
            <w:pPr>
              <w:rPr>
                <w:color w:val="000000"/>
              </w:rPr>
            </w:pPr>
          </w:p>
        </w:tc>
        <w:tc>
          <w:tcPr>
            <w:tcW w:w="5884" w:type="dxa"/>
            <w:tcBorders>
              <w:top w:val="single" w:color="auto" w:sz="4" w:space="0"/>
              <w:left w:val="nil"/>
              <w:bottom w:val="single" w:color="auto" w:sz="4" w:space="0"/>
              <w:right w:val="single" w:color="auto" w:sz="4" w:space="0"/>
            </w:tcBorders>
            <w:vAlign w:val="center"/>
          </w:tcPr>
          <w:p w14:paraId="310797F8">
            <w:pPr>
              <w:rPr>
                <w:color w:val="000000"/>
              </w:rPr>
            </w:pPr>
            <w:r>
              <w:rPr>
                <w:rFonts w:hint="eastAsia"/>
                <w:color w:val="000000"/>
              </w:rPr>
              <w:t>未按要求改正的，未造成生产安全事故的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2ACD582A">
            <w:pPr>
              <w:rPr>
                <w:color w:val="000000"/>
              </w:rPr>
            </w:pPr>
          </w:p>
        </w:tc>
        <w:tc>
          <w:tcPr>
            <w:tcW w:w="5760" w:type="dxa"/>
            <w:tcBorders>
              <w:top w:val="nil"/>
              <w:left w:val="nil"/>
              <w:bottom w:val="single" w:color="auto" w:sz="4" w:space="0"/>
              <w:right w:val="single" w:color="auto" w:sz="8" w:space="0"/>
            </w:tcBorders>
            <w:vAlign w:val="center"/>
          </w:tcPr>
          <w:p w14:paraId="154F36C2">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1934556F">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1F66833A">
            <w:pPr>
              <w:rPr>
                <w:color w:val="000000"/>
              </w:rPr>
            </w:pPr>
          </w:p>
        </w:tc>
        <w:tc>
          <w:tcPr>
            <w:tcW w:w="5884" w:type="dxa"/>
            <w:tcBorders>
              <w:top w:val="single" w:color="auto" w:sz="4" w:space="0"/>
              <w:left w:val="nil"/>
              <w:bottom w:val="single" w:color="auto" w:sz="4" w:space="0"/>
              <w:right w:val="single" w:color="auto" w:sz="4" w:space="0"/>
            </w:tcBorders>
            <w:vAlign w:val="center"/>
          </w:tcPr>
          <w:p w14:paraId="7CD1740C">
            <w:pPr>
              <w:rPr>
                <w:color w:val="000000"/>
              </w:rPr>
            </w:pPr>
            <w:r>
              <w:rPr>
                <w:rFonts w:hint="eastAsia"/>
                <w:color w:val="000000"/>
              </w:rPr>
              <w:t>未按要求改正的，造成生产安全事故的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2AE05429">
            <w:pPr>
              <w:rPr>
                <w:color w:val="000000"/>
              </w:rPr>
            </w:pPr>
          </w:p>
        </w:tc>
        <w:tc>
          <w:tcPr>
            <w:tcW w:w="5760" w:type="dxa"/>
            <w:tcBorders>
              <w:top w:val="nil"/>
              <w:left w:val="nil"/>
              <w:bottom w:val="single" w:color="auto" w:sz="4" w:space="0"/>
              <w:right w:val="single" w:color="auto" w:sz="8" w:space="0"/>
            </w:tcBorders>
            <w:vAlign w:val="center"/>
          </w:tcPr>
          <w:p w14:paraId="739F8384">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1C8CD2C6"/>
    <w:p w14:paraId="5C7C7FC9"/>
    <w:p w14:paraId="45B26659"/>
    <w:p w14:paraId="7A332124"/>
    <w:p w14:paraId="39F90858"/>
    <w:p w14:paraId="19E211BE"/>
    <w:tbl>
      <w:tblPr>
        <w:tblStyle w:val="1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6140"/>
        <w:gridCol w:w="1076"/>
        <w:gridCol w:w="5760"/>
      </w:tblGrid>
      <w:tr w14:paraId="641C95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0" w:type="dxa"/>
            <w:tcBorders>
              <w:top w:val="single" w:color="auto" w:sz="8" w:space="0"/>
            </w:tcBorders>
            <w:shd w:val="clear" w:color="auto" w:fill="FFFFFF"/>
            <w:vAlign w:val="center"/>
          </w:tcPr>
          <w:p w14:paraId="39E390C1">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color="auto" w:sz="8" w:space="0"/>
            </w:tcBorders>
            <w:shd w:val="clear" w:color="auto" w:fill="FFFFFF"/>
            <w:vAlign w:val="center"/>
          </w:tcPr>
          <w:p w14:paraId="068D92CF">
            <w:pPr>
              <w:jc w:val="left"/>
              <w:textAlignment w:val="center"/>
              <w:rPr>
                <w:rFonts w:eastAsia="仿宋_GB2312"/>
                <w:b/>
                <w:bCs/>
                <w:color w:val="000000"/>
                <w:kern w:val="0"/>
                <w:sz w:val="18"/>
                <w:szCs w:val="18"/>
              </w:rPr>
            </w:pPr>
            <w:r>
              <w:rPr>
                <w:rFonts w:eastAsia="仿宋_GB2312"/>
                <w:b/>
                <w:color w:val="000000"/>
                <w:kern w:val="0"/>
                <w:sz w:val="20"/>
              </w:rPr>
              <w:t>320217536000</w:t>
            </w:r>
          </w:p>
        </w:tc>
      </w:tr>
      <w:tr w14:paraId="0C0F92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0" w:type="dxa"/>
            <w:shd w:val="clear" w:color="auto" w:fill="FFFFFF"/>
            <w:vAlign w:val="center"/>
          </w:tcPr>
          <w:p w14:paraId="519CCB4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shd w:val="clear" w:color="auto" w:fill="FFFFFF"/>
            <w:vAlign w:val="center"/>
          </w:tcPr>
          <w:p w14:paraId="3BF54C0F">
            <w:pPr>
              <w:spacing w:line="320" w:lineRule="exact"/>
              <w:rPr>
                <w:color w:val="000000"/>
                <w:kern w:val="0"/>
                <w:sz w:val="18"/>
                <w:szCs w:val="18"/>
              </w:rPr>
            </w:pPr>
            <w:r>
              <w:rPr>
                <w:rFonts w:hint="eastAsia"/>
                <w:color w:val="000000"/>
                <w:kern w:val="0"/>
                <w:sz w:val="18"/>
                <w:szCs w:val="18"/>
              </w:rPr>
              <w:t>对建设单位采用欺骗、贿赂等不正当手段取得施工许可证的处罚</w:t>
            </w:r>
          </w:p>
        </w:tc>
      </w:tr>
      <w:tr w14:paraId="7F7325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40" w:type="dxa"/>
            <w:shd w:val="clear" w:color="auto" w:fill="FFFFFF"/>
            <w:vAlign w:val="center"/>
          </w:tcPr>
          <w:p w14:paraId="577C56F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shd w:val="clear" w:color="auto" w:fill="FFFFFF"/>
            <w:vAlign w:val="center"/>
          </w:tcPr>
          <w:p w14:paraId="508EF301">
            <w:pPr>
              <w:spacing w:line="32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type="textWrapping"/>
            </w:r>
            <w:r>
              <w:rPr>
                <w:rFonts w:hint="eastAsia"/>
                <w:color w:val="000000"/>
                <w:kern w:val="0"/>
                <w:sz w:val="18"/>
                <w:szCs w:val="18"/>
              </w:rPr>
              <w:t>第六十九条第二款</w:t>
            </w:r>
            <w:r>
              <w:rPr>
                <w:color w:val="000000"/>
                <w:kern w:val="0"/>
                <w:sz w:val="18"/>
                <w:szCs w:val="18"/>
              </w:rPr>
              <w:t xml:space="preserve">  </w:t>
            </w:r>
            <w:r>
              <w:rPr>
                <w:rFonts w:hint="eastAsia"/>
                <w:color w:val="000000"/>
                <w:kern w:val="0"/>
                <w:sz w:val="18"/>
                <w:szCs w:val="18"/>
              </w:rPr>
              <w:t>被许可人以欺骗、贿赂等不正当手段取得行政许可的，应当予以撤销。</w:t>
            </w:r>
            <w:r>
              <w:rPr>
                <w:color w:val="000000"/>
                <w:kern w:val="0"/>
                <w:sz w:val="18"/>
                <w:szCs w:val="18"/>
              </w:rPr>
              <w:br w:type="textWrapping"/>
            </w:r>
            <w:r>
              <w:rPr>
                <w:rFonts w:hint="eastAsia"/>
                <w:color w:val="000000"/>
                <w:kern w:val="0"/>
                <w:sz w:val="18"/>
                <w:szCs w:val="18"/>
              </w:rPr>
              <w:t>第七十九条</w:t>
            </w:r>
            <w:r>
              <w:rPr>
                <w:color w:val="000000"/>
                <w:kern w:val="0"/>
                <w:sz w:val="18"/>
                <w:szCs w:val="18"/>
              </w:rPr>
              <w:t xml:space="preserve"> </w:t>
            </w:r>
            <w:r>
              <w:rPr>
                <w:rFonts w:hint="eastAsia"/>
                <w:color w:val="000000"/>
                <w:kern w:val="0"/>
                <w:sz w:val="18"/>
                <w:szCs w:val="18"/>
              </w:rPr>
              <w:t>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r>
              <w:rPr>
                <w:color w:val="000000"/>
                <w:kern w:val="0"/>
                <w:sz w:val="18"/>
                <w:szCs w:val="18"/>
              </w:rPr>
              <w:br w:type="textWrapping"/>
            </w:r>
            <w:r>
              <w:rPr>
                <w:rFonts w:hint="eastAsia"/>
                <w:color w:val="000000"/>
                <w:kern w:val="0"/>
                <w:sz w:val="18"/>
                <w:szCs w:val="18"/>
              </w:rPr>
              <w:t>【规章】《建筑工程施工许可管理办法》（住房和城乡建设部令第</w:t>
            </w:r>
            <w:r>
              <w:rPr>
                <w:color w:val="000000"/>
                <w:kern w:val="0"/>
                <w:sz w:val="18"/>
                <w:szCs w:val="18"/>
              </w:rPr>
              <w:t>18</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第十三条　建设单位采用欺骗、贿赂等不正当手段取得施工许可证的，由原发证机关撤销施工许可证，责令停止施工，并处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r>
              <w:rPr>
                <w:color w:val="000000"/>
                <w:kern w:val="0"/>
                <w:sz w:val="18"/>
                <w:szCs w:val="18"/>
              </w:rPr>
              <w:br w:type="textWrapping"/>
            </w:r>
            <w:r>
              <w:rPr>
                <w:rFonts w:hint="eastAsia"/>
                <w:color w:val="000000"/>
                <w:kern w:val="0"/>
                <w:sz w:val="18"/>
                <w:szCs w:val="18"/>
              </w:rPr>
              <w:t>　　第十五条　依照本办法规定，给予单位罚款处罚的，对单位直接负责的主管人员和其他直接责任人员处单位罚款数额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r>
              <w:rPr>
                <w:color w:val="000000"/>
                <w:kern w:val="0"/>
                <w:sz w:val="18"/>
                <w:szCs w:val="18"/>
              </w:rPr>
              <w:br w:type="textWrapping"/>
            </w:r>
            <w:r>
              <w:rPr>
                <w:rFonts w:hint="eastAsia"/>
                <w:color w:val="000000"/>
                <w:kern w:val="0"/>
                <w:sz w:val="18"/>
                <w:szCs w:val="18"/>
              </w:rPr>
              <w:t>　　单位及相关责任人受到处罚的，作为不良行为记录予以通报。</w:t>
            </w:r>
          </w:p>
        </w:tc>
      </w:tr>
      <w:tr w14:paraId="6884F4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0" w:type="dxa"/>
            <w:shd w:val="clear" w:color="auto" w:fill="FFFFFF"/>
            <w:vAlign w:val="center"/>
          </w:tcPr>
          <w:p w14:paraId="0F23D3E6">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shd w:val="clear" w:color="auto" w:fill="FFFFFF"/>
            <w:vAlign w:val="center"/>
          </w:tcPr>
          <w:p w14:paraId="5171D2D3">
            <w:pPr>
              <w:spacing w:line="320" w:lineRule="exact"/>
              <w:jc w:val="left"/>
              <w:rPr>
                <w:color w:val="000000"/>
                <w:kern w:val="0"/>
                <w:sz w:val="18"/>
                <w:szCs w:val="18"/>
              </w:rPr>
            </w:pPr>
            <w:r>
              <w:rPr>
                <w:rFonts w:hint="eastAsia"/>
                <w:color w:val="000000"/>
                <w:kern w:val="0"/>
                <w:sz w:val="18"/>
                <w:szCs w:val="18"/>
              </w:rPr>
              <w:t>责令停止施工，罚款</w:t>
            </w:r>
          </w:p>
        </w:tc>
      </w:tr>
      <w:tr w14:paraId="4DC4F7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shd w:val="clear" w:color="auto" w:fill="FFFFFF"/>
            <w:vAlign w:val="center"/>
          </w:tcPr>
          <w:p w14:paraId="2E2E1581">
            <w:pPr>
              <w:spacing w:line="320" w:lineRule="exact"/>
              <w:jc w:val="center"/>
              <w:rPr>
                <w:color w:val="000000"/>
                <w:kern w:val="0"/>
                <w:sz w:val="18"/>
                <w:szCs w:val="18"/>
              </w:rPr>
            </w:pPr>
            <w:r>
              <w:rPr>
                <w:rFonts w:hint="eastAsia"/>
                <w:color w:val="000000"/>
                <w:kern w:val="0"/>
                <w:sz w:val="18"/>
                <w:szCs w:val="18"/>
              </w:rPr>
              <w:t>裁量基准</w:t>
            </w:r>
          </w:p>
        </w:tc>
      </w:tr>
      <w:tr w14:paraId="0D24E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40" w:type="dxa"/>
            <w:vMerge w:val="restart"/>
            <w:shd w:val="clear" w:color="auto" w:fill="FFFFFF"/>
            <w:vAlign w:val="center"/>
          </w:tcPr>
          <w:p w14:paraId="2B40CC8F">
            <w:pPr>
              <w:spacing w:line="300" w:lineRule="exact"/>
              <w:jc w:val="center"/>
              <w:rPr>
                <w:color w:val="000000"/>
                <w:kern w:val="0"/>
                <w:sz w:val="18"/>
                <w:szCs w:val="18"/>
              </w:rPr>
            </w:pPr>
            <w:r>
              <w:rPr>
                <w:rFonts w:hint="eastAsia"/>
                <w:color w:val="000000"/>
                <w:kern w:val="0"/>
                <w:sz w:val="18"/>
                <w:szCs w:val="18"/>
              </w:rPr>
              <w:t>情形描述</w:t>
            </w:r>
          </w:p>
        </w:tc>
        <w:tc>
          <w:tcPr>
            <w:tcW w:w="6140" w:type="dxa"/>
            <w:shd w:val="clear" w:color="auto" w:fill="FFFFFF"/>
            <w:vAlign w:val="center"/>
          </w:tcPr>
          <w:p w14:paraId="241CD88C">
            <w:pPr>
              <w:spacing w:line="300" w:lineRule="exact"/>
              <w:jc w:val="left"/>
              <w:rPr>
                <w:color w:val="000000"/>
                <w:kern w:val="0"/>
                <w:sz w:val="18"/>
                <w:szCs w:val="18"/>
              </w:rPr>
            </w:pPr>
            <w:r>
              <w:rPr>
                <w:rFonts w:hint="eastAsia"/>
                <w:color w:val="000000"/>
                <w:kern w:val="0"/>
                <w:sz w:val="18"/>
                <w:szCs w:val="18"/>
              </w:rPr>
              <w:t>尚未开工的</w:t>
            </w:r>
          </w:p>
        </w:tc>
        <w:tc>
          <w:tcPr>
            <w:tcW w:w="1076" w:type="dxa"/>
            <w:vMerge w:val="restart"/>
            <w:shd w:val="clear" w:color="auto" w:fill="FFFFFF"/>
            <w:vAlign w:val="center"/>
          </w:tcPr>
          <w:p w14:paraId="44D770CA">
            <w:pPr>
              <w:spacing w:line="300" w:lineRule="exact"/>
              <w:jc w:val="center"/>
              <w:rPr>
                <w:color w:val="000000"/>
                <w:kern w:val="0"/>
                <w:sz w:val="18"/>
                <w:szCs w:val="18"/>
              </w:rPr>
            </w:pPr>
            <w:r>
              <w:rPr>
                <w:rFonts w:hint="eastAsia"/>
                <w:color w:val="000000"/>
                <w:kern w:val="0"/>
                <w:sz w:val="18"/>
                <w:szCs w:val="18"/>
              </w:rPr>
              <w:t>裁量幅度</w:t>
            </w:r>
          </w:p>
        </w:tc>
        <w:tc>
          <w:tcPr>
            <w:tcW w:w="5760" w:type="dxa"/>
            <w:shd w:val="clear" w:color="auto" w:fill="FFFFFF"/>
            <w:vAlign w:val="center"/>
          </w:tcPr>
          <w:p w14:paraId="335501C6">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1AA66C14">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14:paraId="41E0D2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40" w:type="dxa"/>
            <w:vMerge w:val="continue"/>
            <w:shd w:val="clear" w:color="auto" w:fill="auto"/>
            <w:vAlign w:val="center"/>
          </w:tcPr>
          <w:p w14:paraId="236B6952">
            <w:pPr>
              <w:spacing w:line="300" w:lineRule="exact"/>
              <w:jc w:val="left"/>
              <w:rPr>
                <w:color w:val="000000"/>
                <w:kern w:val="0"/>
                <w:sz w:val="18"/>
                <w:szCs w:val="18"/>
              </w:rPr>
            </w:pPr>
          </w:p>
        </w:tc>
        <w:tc>
          <w:tcPr>
            <w:tcW w:w="6140" w:type="dxa"/>
            <w:shd w:val="clear" w:color="auto" w:fill="FFFFFF"/>
            <w:vAlign w:val="center"/>
          </w:tcPr>
          <w:p w14:paraId="664475D8">
            <w:pPr>
              <w:spacing w:line="300" w:lineRule="exact"/>
              <w:jc w:val="left"/>
              <w:rPr>
                <w:color w:val="000000"/>
                <w:kern w:val="0"/>
                <w:sz w:val="18"/>
                <w:szCs w:val="18"/>
              </w:rPr>
            </w:pPr>
            <w:r>
              <w:rPr>
                <w:rFonts w:hint="eastAsia"/>
                <w:color w:val="000000"/>
                <w:kern w:val="0"/>
                <w:sz w:val="18"/>
                <w:szCs w:val="18"/>
              </w:rPr>
              <w:t>已开工但按要求改正的</w:t>
            </w:r>
          </w:p>
        </w:tc>
        <w:tc>
          <w:tcPr>
            <w:tcW w:w="1076" w:type="dxa"/>
            <w:vMerge w:val="continue"/>
            <w:shd w:val="clear" w:color="auto" w:fill="auto"/>
            <w:vAlign w:val="center"/>
          </w:tcPr>
          <w:p w14:paraId="2FDEBA7E">
            <w:pPr>
              <w:spacing w:line="300" w:lineRule="exact"/>
              <w:jc w:val="left"/>
              <w:rPr>
                <w:color w:val="000000"/>
                <w:kern w:val="0"/>
                <w:sz w:val="18"/>
                <w:szCs w:val="18"/>
              </w:rPr>
            </w:pPr>
          </w:p>
        </w:tc>
        <w:tc>
          <w:tcPr>
            <w:tcW w:w="5760" w:type="dxa"/>
            <w:shd w:val="clear" w:color="auto" w:fill="FFFFFF"/>
            <w:vAlign w:val="center"/>
          </w:tcPr>
          <w:p w14:paraId="310B2917">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14:paraId="352F8B0B">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14:paraId="132DCB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40" w:type="dxa"/>
            <w:vMerge w:val="continue"/>
            <w:shd w:val="clear" w:color="auto" w:fill="auto"/>
            <w:vAlign w:val="center"/>
          </w:tcPr>
          <w:p w14:paraId="5BB14232">
            <w:pPr>
              <w:spacing w:line="300" w:lineRule="exact"/>
              <w:jc w:val="left"/>
              <w:rPr>
                <w:color w:val="000000"/>
                <w:kern w:val="0"/>
                <w:sz w:val="18"/>
                <w:szCs w:val="18"/>
              </w:rPr>
            </w:pPr>
          </w:p>
        </w:tc>
        <w:tc>
          <w:tcPr>
            <w:tcW w:w="6140" w:type="dxa"/>
            <w:shd w:val="clear" w:color="auto" w:fill="FFFFFF"/>
            <w:vAlign w:val="center"/>
          </w:tcPr>
          <w:p w14:paraId="6187D7AB">
            <w:pPr>
              <w:spacing w:line="300" w:lineRule="exact"/>
              <w:jc w:val="left"/>
              <w:rPr>
                <w:color w:val="000000"/>
                <w:kern w:val="0"/>
                <w:sz w:val="18"/>
                <w:szCs w:val="18"/>
              </w:rPr>
            </w:pPr>
            <w:r>
              <w:rPr>
                <w:rFonts w:hint="eastAsia"/>
                <w:color w:val="000000"/>
                <w:kern w:val="0"/>
                <w:sz w:val="18"/>
                <w:szCs w:val="18"/>
              </w:rPr>
              <w:t>已开工且未按要求改正的</w:t>
            </w:r>
          </w:p>
        </w:tc>
        <w:tc>
          <w:tcPr>
            <w:tcW w:w="1076" w:type="dxa"/>
            <w:vMerge w:val="continue"/>
            <w:shd w:val="clear" w:color="auto" w:fill="auto"/>
            <w:vAlign w:val="center"/>
          </w:tcPr>
          <w:p w14:paraId="69B33D37">
            <w:pPr>
              <w:spacing w:line="300" w:lineRule="exact"/>
              <w:jc w:val="left"/>
              <w:rPr>
                <w:color w:val="000000"/>
                <w:kern w:val="0"/>
                <w:sz w:val="18"/>
                <w:szCs w:val="18"/>
              </w:rPr>
            </w:pPr>
          </w:p>
        </w:tc>
        <w:tc>
          <w:tcPr>
            <w:tcW w:w="5760" w:type="dxa"/>
            <w:shd w:val="clear" w:color="auto" w:fill="FFFFFF"/>
            <w:vAlign w:val="center"/>
          </w:tcPr>
          <w:p w14:paraId="378250A0">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74A3DB34">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r w14:paraId="222E1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40" w:type="dxa"/>
            <w:vMerge w:val="continue"/>
            <w:tcBorders>
              <w:bottom w:val="single" w:color="auto" w:sz="8" w:space="0"/>
            </w:tcBorders>
            <w:shd w:val="clear" w:color="auto" w:fill="auto"/>
            <w:vAlign w:val="center"/>
          </w:tcPr>
          <w:p w14:paraId="7064F63F">
            <w:pPr>
              <w:spacing w:line="300" w:lineRule="exact"/>
              <w:jc w:val="left"/>
              <w:rPr>
                <w:color w:val="000000"/>
                <w:kern w:val="0"/>
                <w:sz w:val="18"/>
                <w:szCs w:val="18"/>
              </w:rPr>
            </w:pPr>
          </w:p>
        </w:tc>
        <w:tc>
          <w:tcPr>
            <w:tcW w:w="6140" w:type="dxa"/>
            <w:tcBorders>
              <w:bottom w:val="single" w:color="auto" w:sz="8" w:space="0"/>
            </w:tcBorders>
            <w:shd w:val="clear" w:color="auto" w:fill="FFFFFF"/>
            <w:vAlign w:val="center"/>
          </w:tcPr>
          <w:p w14:paraId="1672F9AD">
            <w:pPr>
              <w:spacing w:line="300" w:lineRule="exact"/>
              <w:jc w:val="left"/>
              <w:rPr>
                <w:color w:val="000000"/>
                <w:kern w:val="0"/>
                <w:sz w:val="18"/>
                <w:szCs w:val="18"/>
              </w:rPr>
            </w:pPr>
            <w:r>
              <w:rPr>
                <w:rFonts w:hint="eastAsia"/>
                <w:color w:val="000000"/>
                <w:kern w:val="0"/>
                <w:sz w:val="18"/>
                <w:szCs w:val="18"/>
              </w:rPr>
              <w:t>已开工且造成安全事故的</w:t>
            </w:r>
          </w:p>
        </w:tc>
        <w:tc>
          <w:tcPr>
            <w:tcW w:w="1076" w:type="dxa"/>
            <w:vMerge w:val="continue"/>
            <w:tcBorders>
              <w:bottom w:val="single" w:color="auto" w:sz="8" w:space="0"/>
            </w:tcBorders>
            <w:shd w:val="clear" w:color="auto" w:fill="auto"/>
            <w:vAlign w:val="center"/>
          </w:tcPr>
          <w:p w14:paraId="3B30B41D">
            <w:pPr>
              <w:spacing w:line="300" w:lineRule="exact"/>
              <w:jc w:val="left"/>
              <w:rPr>
                <w:color w:val="000000"/>
                <w:kern w:val="0"/>
                <w:sz w:val="18"/>
                <w:szCs w:val="18"/>
              </w:rPr>
            </w:pPr>
          </w:p>
        </w:tc>
        <w:tc>
          <w:tcPr>
            <w:tcW w:w="5760" w:type="dxa"/>
            <w:tcBorders>
              <w:bottom w:val="single" w:color="auto" w:sz="8" w:space="0"/>
            </w:tcBorders>
            <w:shd w:val="clear" w:color="auto" w:fill="FFFFFF"/>
            <w:vAlign w:val="center"/>
          </w:tcPr>
          <w:p w14:paraId="7B4355D6">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3</w:t>
            </w:r>
            <w:r>
              <w:rPr>
                <w:rFonts w:hint="eastAsia"/>
                <w:color w:val="000000"/>
                <w:kern w:val="0"/>
                <w:sz w:val="18"/>
                <w:szCs w:val="18"/>
              </w:rPr>
              <w:t>万元罚款</w:t>
            </w:r>
          </w:p>
          <w:p w14:paraId="2F3B29FD">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10%</w:t>
            </w:r>
            <w:r>
              <w:rPr>
                <w:rFonts w:hint="eastAsia"/>
                <w:color w:val="000000"/>
                <w:kern w:val="0"/>
                <w:sz w:val="18"/>
                <w:szCs w:val="18"/>
              </w:rPr>
              <w:t>罚款</w:t>
            </w:r>
          </w:p>
        </w:tc>
      </w:tr>
    </w:tbl>
    <w:p w14:paraId="0FAF1793"/>
    <w:p w14:paraId="14F8F068"/>
    <w:tbl>
      <w:tblPr>
        <w:tblStyle w:val="15"/>
        <w:tblW w:w="14016" w:type="dxa"/>
        <w:tblInd w:w="88" w:type="dxa"/>
        <w:tblLayout w:type="fixed"/>
        <w:tblCellMar>
          <w:top w:w="0" w:type="dxa"/>
          <w:left w:w="108" w:type="dxa"/>
          <w:bottom w:w="0" w:type="dxa"/>
          <w:right w:w="108" w:type="dxa"/>
        </w:tblCellMar>
      </w:tblPr>
      <w:tblGrid>
        <w:gridCol w:w="1296"/>
        <w:gridCol w:w="5884"/>
        <w:gridCol w:w="1076"/>
        <w:gridCol w:w="5760"/>
      </w:tblGrid>
      <w:tr w14:paraId="3A6DFCC3">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24EEC899">
            <w:pP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0C003AE8">
            <w:pPr>
              <w:rPr>
                <w:b/>
                <w:bCs/>
                <w:color w:val="000000"/>
              </w:rPr>
            </w:pPr>
            <w:r>
              <w:rPr>
                <w:b/>
                <w:color w:val="000000"/>
              </w:rPr>
              <w:t>320217538000</w:t>
            </w:r>
            <w:r>
              <w:rPr>
                <w:rFonts w:hint="eastAsia"/>
                <w:b/>
                <w:color w:val="000000"/>
              </w:rPr>
              <w:t xml:space="preserve"> </w:t>
            </w:r>
          </w:p>
        </w:tc>
      </w:tr>
      <w:tr w14:paraId="4E13159C">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51C7A82E">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vAlign w:val="center"/>
          </w:tcPr>
          <w:p w14:paraId="2977E1CA">
            <w:pPr>
              <w:rPr>
                <w:color w:val="000000"/>
              </w:rPr>
            </w:pPr>
            <w:r>
              <w:rPr>
                <w:rFonts w:hint="eastAsia"/>
                <w:color w:val="000000"/>
              </w:rPr>
              <w:t>对建筑起重机械使用单位未设置相应的设备管理机构或者配备专职的设备管理人员的处罚</w:t>
            </w:r>
          </w:p>
        </w:tc>
      </w:tr>
      <w:tr w14:paraId="16707F02">
        <w:tblPrEx>
          <w:tblCellMar>
            <w:top w:w="0" w:type="dxa"/>
            <w:left w:w="108" w:type="dxa"/>
            <w:bottom w:w="0" w:type="dxa"/>
            <w:right w:w="108" w:type="dxa"/>
          </w:tblCellMar>
        </w:tblPrEx>
        <w:trPr>
          <w:trHeight w:val="1545" w:hRule="atLeast"/>
        </w:trPr>
        <w:tc>
          <w:tcPr>
            <w:tcW w:w="1296" w:type="dxa"/>
            <w:tcBorders>
              <w:top w:val="nil"/>
              <w:left w:val="single" w:color="auto" w:sz="8" w:space="0"/>
              <w:bottom w:val="single" w:color="auto" w:sz="4" w:space="0"/>
              <w:right w:val="single" w:color="auto" w:sz="4" w:space="0"/>
            </w:tcBorders>
            <w:vAlign w:val="center"/>
          </w:tcPr>
          <w:p w14:paraId="572C1F33">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tcPr>
          <w:p w14:paraId="16E0C127">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第十八条　使用单位应当履行下列安全职责：</w:t>
            </w:r>
            <w:r>
              <w:rPr>
                <w:color w:val="000000"/>
              </w:rPr>
              <w:br w:type="textWrapping"/>
            </w:r>
            <w:r>
              <w:rPr>
                <w:color w:val="000000"/>
              </w:rPr>
              <w:t xml:space="preserve">   </w:t>
            </w:r>
            <w:r>
              <w:rPr>
                <w:rFonts w:hint="eastAsia"/>
                <w:color w:val="000000"/>
              </w:rPr>
              <w:t>（四）设置相应的设备管理机构或者配备专职的设备管理人员。</w:t>
            </w:r>
            <w:r>
              <w:rPr>
                <w:color w:val="000000"/>
              </w:rPr>
              <w:br w:type="textWrapping"/>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ype="textWrapping"/>
            </w:r>
            <w:r>
              <w:rPr>
                <w:color w:val="000000"/>
              </w:rPr>
              <w:t xml:space="preserve">   </w:t>
            </w:r>
            <w:r>
              <w:rPr>
                <w:rFonts w:hint="eastAsia"/>
                <w:color w:val="000000"/>
              </w:rPr>
              <w:t>（一）未履行第十八条第（一）、（二）、（四）、（六）项安全职责的。</w:t>
            </w:r>
          </w:p>
        </w:tc>
      </w:tr>
      <w:tr w14:paraId="0B5BB318">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36A9CA35">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51BA14D3">
            <w:pPr>
              <w:rPr>
                <w:color w:val="000000"/>
              </w:rPr>
            </w:pPr>
            <w:r>
              <w:rPr>
                <w:rFonts w:hint="eastAsia"/>
                <w:color w:val="000000"/>
              </w:rPr>
              <w:t>警告，罚款</w:t>
            </w:r>
          </w:p>
        </w:tc>
      </w:tr>
      <w:tr w14:paraId="69782B6A">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51662BB">
            <w:pPr>
              <w:jc w:val="center"/>
              <w:rPr>
                <w:color w:val="000000"/>
              </w:rPr>
            </w:pPr>
            <w:r>
              <w:rPr>
                <w:rFonts w:hint="eastAsia"/>
                <w:color w:val="000000"/>
              </w:rPr>
              <w:t>裁量基准</w:t>
            </w:r>
          </w:p>
        </w:tc>
      </w:tr>
      <w:tr w14:paraId="097CF264">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76C5CAEF">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30A2AC4B">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3B5194D8">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7086BE32">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7ACA32FC">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4213859B">
            <w:pPr>
              <w:rPr>
                <w:color w:val="000000"/>
              </w:rPr>
            </w:pPr>
          </w:p>
        </w:tc>
        <w:tc>
          <w:tcPr>
            <w:tcW w:w="5884" w:type="dxa"/>
            <w:tcBorders>
              <w:top w:val="single" w:color="auto" w:sz="4" w:space="0"/>
              <w:left w:val="nil"/>
              <w:bottom w:val="single" w:color="auto" w:sz="4" w:space="0"/>
              <w:right w:val="single" w:color="auto" w:sz="4" w:space="0"/>
            </w:tcBorders>
            <w:vAlign w:val="center"/>
          </w:tcPr>
          <w:p w14:paraId="2A8A633F">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0C78BBED">
            <w:pPr>
              <w:rPr>
                <w:color w:val="000000"/>
              </w:rPr>
            </w:pPr>
          </w:p>
        </w:tc>
        <w:tc>
          <w:tcPr>
            <w:tcW w:w="5760" w:type="dxa"/>
            <w:tcBorders>
              <w:top w:val="nil"/>
              <w:left w:val="nil"/>
              <w:bottom w:val="single" w:color="auto" w:sz="4" w:space="0"/>
              <w:right w:val="single" w:color="auto" w:sz="8" w:space="0"/>
            </w:tcBorders>
            <w:vAlign w:val="center"/>
          </w:tcPr>
          <w:p w14:paraId="79C9EEF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451D0CAB">
        <w:tblPrEx>
          <w:tblCellMar>
            <w:top w:w="0" w:type="dxa"/>
            <w:left w:w="108" w:type="dxa"/>
            <w:bottom w:w="0" w:type="dxa"/>
            <w:right w:w="108" w:type="dxa"/>
          </w:tblCellMar>
        </w:tblPrEx>
        <w:trPr>
          <w:trHeight w:val="127" w:hRule="atLeast"/>
        </w:trPr>
        <w:tc>
          <w:tcPr>
            <w:tcW w:w="1296" w:type="dxa"/>
            <w:vMerge w:val="continue"/>
            <w:tcBorders>
              <w:top w:val="nil"/>
              <w:left w:val="single" w:color="auto" w:sz="8" w:space="0"/>
              <w:bottom w:val="nil"/>
              <w:right w:val="single" w:color="auto" w:sz="4" w:space="0"/>
            </w:tcBorders>
            <w:vAlign w:val="center"/>
          </w:tcPr>
          <w:p w14:paraId="6116003C">
            <w:pPr>
              <w:rPr>
                <w:color w:val="000000"/>
              </w:rPr>
            </w:pPr>
          </w:p>
        </w:tc>
        <w:tc>
          <w:tcPr>
            <w:tcW w:w="5884" w:type="dxa"/>
            <w:tcBorders>
              <w:top w:val="single" w:color="auto" w:sz="4" w:space="0"/>
              <w:left w:val="nil"/>
              <w:bottom w:val="single" w:color="auto" w:sz="4" w:space="0"/>
              <w:right w:val="single" w:color="auto" w:sz="4" w:space="0"/>
            </w:tcBorders>
            <w:vAlign w:val="center"/>
          </w:tcPr>
          <w:p w14:paraId="08B0BA95">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nil"/>
              <w:right w:val="single" w:color="auto" w:sz="4" w:space="0"/>
            </w:tcBorders>
            <w:vAlign w:val="center"/>
          </w:tcPr>
          <w:p w14:paraId="4D85185C">
            <w:pPr>
              <w:rPr>
                <w:color w:val="000000"/>
              </w:rPr>
            </w:pPr>
          </w:p>
        </w:tc>
        <w:tc>
          <w:tcPr>
            <w:tcW w:w="5760" w:type="dxa"/>
            <w:tcBorders>
              <w:top w:val="single" w:color="auto" w:sz="4" w:space="0"/>
              <w:left w:val="nil"/>
              <w:bottom w:val="single" w:color="auto" w:sz="4" w:space="0"/>
              <w:right w:val="single" w:color="auto" w:sz="4" w:space="0"/>
            </w:tcBorders>
            <w:vAlign w:val="center"/>
          </w:tcPr>
          <w:p w14:paraId="15AADF8D">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6FF99CFB">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3B556116">
            <w:pPr>
              <w:rPr>
                <w:color w:val="000000"/>
              </w:rPr>
            </w:pPr>
          </w:p>
        </w:tc>
        <w:tc>
          <w:tcPr>
            <w:tcW w:w="5884" w:type="dxa"/>
            <w:tcBorders>
              <w:top w:val="single" w:color="auto" w:sz="4" w:space="0"/>
              <w:left w:val="nil"/>
              <w:bottom w:val="single" w:color="auto" w:sz="4" w:space="0"/>
              <w:right w:val="single" w:color="auto" w:sz="4" w:space="0"/>
            </w:tcBorders>
            <w:vAlign w:val="center"/>
          </w:tcPr>
          <w:p w14:paraId="43392119">
            <w:pPr>
              <w:rPr>
                <w:color w:val="000000"/>
              </w:rPr>
            </w:pPr>
            <w:r>
              <w:rPr>
                <w:rFonts w:hint="eastAsia"/>
                <w:color w:val="000000"/>
              </w:rPr>
              <w:t>未按要求改正的，造成安全事故的</w:t>
            </w:r>
          </w:p>
        </w:tc>
        <w:tc>
          <w:tcPr>
            <w:tcW w:w="1076" w:type="dxa"/>
            <w:tcBorders>
              <w:top w:val="nil"/>
              <w:left w:val="single" w:color="auto" w:sz="4" w:space="0"/>
              <w:bottom w:val="single" w:color="auto" w:sz="4" w:space="0"/>
              <w:right w:val="single" w:color="auto" w:sz="4" w:space="0"/>
            </w:tcBorders>
            <w:vAlign w:val="center"/>
          </w:tcPr>
          <w:p w14:paraId="39B55A3C">
            <w:pPr>
              <w:rPr>
                <w:color w:val="000000"/>
              </w:rPr>
            </w:pPr>
          </w:p>
        </w:tc>
        <w:tc>
          <w:tcPr>
            <w:tcW w:w="5760" w:type="dxa"/>
            <w:tcBorders>
              <w:top w:val="single" w:color="auto" w:sz="4" w:space="0"/>
              <w:left w:val="nil"/>
              <w:bottom w:val="single" w:color="auto" w:sz="4" w:space="0"/>
              <w:right w:val="single" w:color="auto" w:sz="4" w:space="0"/>
            </w:tcBorders>
            <w:vAlign w:val="center"/>
          </w:tcPr>
          <w:p w14:paraId="1DD6E383">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32210614"/>
    <w:p w14:paraId="6AF8F826"/>
    <w:p w14:paraId="14D0C530"/>
    <w:p w14:paraId="32249CC8"/>
    <w:p w14:paraId="7360C7A6"/>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476BEFCE">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44DF103F">
            <w:pPr>
              <w:jc w:val="cente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03E77487">
            <w:pPr>
              <w:rPr>
                <w:b/>
                <w:bCs/>
                <w:color w:val="000000"/>
              </w:rPr>
            </w:pPr>
            <w:r>
              <w:rPr>
                <w:b/>
                <w:color w:val="000000"/>
              </w:rPr>
              <w:t>320217539000</w:t>
            </w:r>
            <w:r>
              <w:rPr>
                <w:rFonts w:hint="eastAsia"/>
                <w:b/>
                <w:color w:val="000000"/>
              </w:rPr>
              <w:t xml:space="preserve"> </w:t>
            </w:r>
          </w:p>
        </w:tc>
      </w:tr>
      <w:tr w14:paraId="60DA6419">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5ECEBC0F">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vAlign w:val="center"/>
          </w:tcPr>
          <w:p w14:paraId="680C0D79">
            <w:pPr>
              <w:rPr>
                <w:color w:val="000000"/>
              </w:rPr>
            </w:pPr>
            <w:r>
              <w:rPr>
                <w:rFonts w:hint="eastAsia"/>
                <w:color w:val="000000"/>
              </w:rPr>
              <w:t>对建筑起重机械使用单位未在建筑起重机械出现故障或者发生异常情况的，立即停止使用，消除故障和事故隐患后，方重新投入使用的处罚</w:t>
            </w:r>
          </w:p>
        </w:tc>
      </w:tr>
      <w:tr w14:paraId="385EF967">
        <w:tblPrEx>
          <w:tblCellMar>
            <w:top w:w="0" w:type="dxa"/>
            <w:left w:w="108" w:type="dxa"/>
            <w:bottom w:w="0" w:type="dxa"/>
            <w:right w:w="108" w:type="dxa"/>
          </w:tblCellMar>
        </w:tblPrEx>
        <w:trPr>
          <w:trHeight w:val="1650" w:hRule="atLeast"/>
        </w:trPr>
        <w:tc>
          <w:tcPr>
            <w:tcW w:w="1296" w:type="dxa"/>
            <w:tcBorders>
              <w:top w:val="nil"/>
              <w:left w:val="single" w:color="auto" w:sz="8" w:space="0"/>
              <w:bottom w:val="single" w:color="auto" w:sz="4" w:space="0"/>
              <w:right w:val="single" w:color="auto" w:sz="4" w:space="0"/>
            </w:tcBorders>
            <w:vAlign w:val="center"/>
          </w:tcPr>
          <w:p w14:paraId="1AEA0BD1">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vAlign w:val="center"/>
          </w:tcPr>
          <w:p w14:paraId="034C7793">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第十八条　使用单位应当履行下列安全职责：</w:t>
            </w:r>
            <w:r>
              <w:rPr>
                <w:color w:val="000000"/>
              </w:rPr>
              <w:br w:type="textWrapping"/>
            </w:r>
            <w:r>
              <w:rPr>
                <w:color w:val="000000"/>
              </w:rPr>
              <w:t xml:space="preserve">   </w:t>
            </w:r>
            <w:r>
              <w:rPr>
                <w:rFonts w:hint="eastAsia"/>
                <w:color w:val="000000"/>
              </w:rPr>
              <w:t>（六）建筑起重机械出现故障或者发生异常情况的，立即停止使用，消除故障和事故隐患后，方可重新投入使用。</w:t>
            </w:r>
            <w:r>
              <w:rPr>
                <w:color w:val="000000"/>
              </w:rPr>
              <w:br w:type="textWrapping"/>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ype="textWrapping"/>
            </w:r>
            <w:r>
              <w:rPr>
                <w:color w:val="000000"/>
              </w:rPr>
              <w:t xml:space="preserve">   </w:t>
            </w:r>
            <w:r>
              <w:rPr>
                <w:rFonts w:hint="eastAsia"/>
                <w:color w:val="000000"/>
              </w:rPr>
              <w:t>（一）未履行第十八条第（一）、（二）、（四）、（六）项安全职责的。</w:t>
            </w:r>
          </w:p>
        </w:tc>
      </w:tr>
      <w:tr w14:paraId="0A937554">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726D9182">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6D2F9BBC">
            <w:pPr>
              <w:rPr>
                <w:color w:val="000000"/>
              </w:rPr>
            </w:pPr>
            <w:r>
              <w:rPr>
                <w:rFonts w:hint="eastAsia"/>
                <w:color w:val="000000"/>
              </w:rPr>
              <w:t>警告，罚款</w:t>
            </w:r>
          </w:p>
        </w:tc>
      </w:tr>
      <w:tr w14:paraId="2F4EC0BA">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4216E21">
            <w:pPr>
              <w:jc w:val="center"/>
              <w:rPr>
                <w:color w:val="000000"/>
              </w:rPr>
            </w:pPr>
            <w:r>
              <w:rPr>
                <w:rFonts w:hint="eastAsia"/>
                <w:color w:val="000000"/>
              </w:rPr>
              <w:t>裁量基准</w:t>
            </w:r>
          </w:p>
        </w:tc>
      </w:tr>
      <w:tr w14:paraId="7D0B4D53">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5C491F21">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7DFBB397">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6B0972B2">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34E03BAB">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795BD1FE">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6524B9BA">
            <w:pPr>
              <w:rPr>
                <w:color w:val="000000"/>
              </w:rPr>
            </w:pPr>
          </w:p>
        </w:tc>
        <w:tc>
          <w:tcPr>
            <w:tcW w:w="5884" w:type="dxa"/>
            <w:tcBorders>
              <w:top w:val="single" w:color="auto" w:sz="4" w:space="0"/>
              <w:left w:val="nil"/>
              <w:bottom w:val="single" w:color="auto" w:sz="4" w:space="0"/>
              <w:right w:val="single" w:color="auto" w:sz="4" w:space="0"/>
            </w:tcBorders>
            <w:vAlign w:val="center"/>
          </w:tcPr>
          <w:p w14:paraId="30D50E85">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05A9EFBD">
            <w:pPr>
              <w:rPr>
                <w:color w:val="000000"/>
              </w:rPr>
            </w:pPr>
          </w:p>
        </w:tc>
        <w:tc>
          <w:tcPr>
            <w:tcW w:w="5760" w:type="dxa"/>
            <w:tcBorders>
              <w:top w:val="nil"/>
              <w:left w:val="nil"/>
              <w:bottom w:val="single" w:color="auto" w:sz="4" w:space="0"/>
              <w:right w:val="single" w:color="auto" w:sz="8" w:space="0"/>
            </w:tcBorders>
            <w:vAlign w:val="center"/>
          </w:tcPr>
          <w:p w14:paraId="422F8C76">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73826ECF">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0C9A09BC">
            <w:pPr>
              <w:rPr>
                <w:color w:val="000000"/>
              </w:rPr>
            </w:pPr>
          </w:p>
        </w:tc>
        <w:tc>
          <w:tcPr>
            <w:tcW w:w="5884" w:type="dxa"/>
            <w:tcBorders>
              <w:top w:val="single" w:color="auto" w:sz="4" w:space="0"/>
              <w:left w:val="nil"/>
              <w:bottom w:val="single" w:color="auto" w:sz="4" w:space="0"/>
              <w:right w:val="single" w:color="auto" w:sz="4" w:space="0"/>
            </w:tcBorders>
            <w:vAlign w:val="center"/>
          </w:tcPr>
          <w:p w14:paraId="50250160">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0EB4DCF3">
            <w:pPr>
              <w:rPr>
                <w:color w:val="000000"/>
              </w:rPr>
            </w:pPr>
          </w:p>
        </w:tc>
        <w:tc>
          <w:tcPr>
            <w:tcW w:w="5760" w:type="dxa"/>
            <w:tcBorders>
              <w:top w:val="nil"/>
              <w:left w:val="nil"/>
              <w:bottom w:val="single" w:color="auto" w:sz="4" w:space="0"/>
              <w:right w:val="single" w:color="auto" w:sz="8" w:space="0"/>
            </w:tcBorders>
            <w:vAlign w:val="center"/>
          </w:tcPr>
          <w:p w14:paraId="42EAA143">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5EF3C62F">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6343C1F1">
            <w:pPr>
              <w:rPr>
                <w:color w:val="000000"/>
              </w:rPr>
            </w:pPr>
          </w:p>
        </w:tc>
        <w:tc>
          <w:tcPr>
            <w:tcW w:w="5884" w:type="dxa"/>
            <w:tcBorders>
              <w:top w:val="single" w:color="auto" w:sz="4" w:space="0"/>
              <w:left w:val="nil"/>
              <w:bottom w:val="single" w:color="auto" w:sz="4" w:space="0"/>
              <w:right w:val="single" w:color="auto" w:sz="4" w:space="0"/>
            </w:tcBorders>
            <w:vAlign w:val="center"/>
          </w:tcPr>
          <w:p w14:paraId="207223BB">
            <w:pPr>
              <w:rPr>
                <w:color w:val="000000"/>
              </w:rPr>
            </w:pPr>
            <w:r>
              <w:rPr>
                <w:rFonts w:hint="eastAsia"/>
                <w:color w:val="000000"/>
              </w:rPr>
              <w:t>未按要求改正的，造成安全事故的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52E172AC">
            <w:pPr>
              <w:rPr>
                <w:color w:val="000000"/>
              </w:rPr>
            </w:pPr>
          </w:p>
        </w:tc>
        <w:tc>
          <w:tcPr>
            <w:tcW w:w="5760" w:type="dxa"/>
            <w:tcBorders>
              <w:top w:val="nil"/>
              <w:left w:val="nil"/>
              <w:bottom w:val="single" w:color="auto" w:sz="4" w:space="0"/>
              <w:right w:val="single" w:color="auto" w:sz="8" w:space="0"/>
            </w:tcBorders>
            <w:vAlign w:val="center"/>
          </w:tcPr>
          <w:p w14:paraId="4BB2F880">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2D70AC61"/>
    <w:p w14:paraId="57E24BA6"/>
    <w:p w14:paraId="3E086C54"/>
    <w:p w14:paraId="78195749"/>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0861C96E">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53BEC72E">
            <w:pPr>
              <w:jc w:val="cente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0077FF1D">
            <w:pPr>
              <w:rPr>
                <w:b/>
                <w:bCs/>
                <w:color w:val="000000"/>
              </w:rPr>
            </w:pPr>
            <w:r>
              <w:rPr>
                <w:b/>
                <w:color w:val="000000"/>
              </w:rPr>
              <w:t>320217540000</w:t>
            </w:r>
          </w:p>
        </w:tc>
      </w:tr>
      <w:tr w14:paraId="36483413">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0D5380B2">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tcPr>
          <w:p w14:paraId="7E7DE3BA">
            <w:pPr>
              <w:rPr>
                <w:color w:val="000000"/>
              </w:rPr>
            </w:pPr>
            <w:r>
              <w:rPr>
                <w:rFonts w:hint="eastAsia"/>
                <w:color w:val="000000"/>
              </w:rPr>
              <w:t>对建筑起重机械使用单位未指定专职设备管理人员进行现场监督检查的处罚</w:t>
            </w:r>
          </w:p>
        </w:tc>
      </w:tr>
      <w:tr w14:paraId="7A219EB8">
        <w:tblPrEx>
          <w:tblCellMar>
            <w:top w:w="0" w:type="dxa"/>
            <w:left w:w="108" w:type="dxa"/>
            <w:bottom w:w="0" w:type="dxa"/>
            <w:right w:w="108" w:type="dxa"/>
          </w:tblCellMar>
        </w:tblPrEx>
        <w:trPr>
          <w:trHeight w:val="1590" w:hRule="atLeast"/>
        </w:trPr>
        <w:tc>
          <w:tcPr>
            <w:tcW w:w="1296" w:type="dxa"/>
            <w:tcBorders>
              <w:top w:val="nil"/>
              <w:left w:val="single" w:color="auto" w:sz="8" w:space="0"/>
              <w:bottom w:val="single" w:color="auto" w:sz="4" w:space="0"/>
              <w:right w:val="single" w:color="auto" w:sz="4" w:space="0"/>
            </w:tcBorders>
            <w:vAlign w:val="center"/>
          </w:tcPr>
          <w:p w14:paraId="5EB26952">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vAlign w:val="center"/>
          </w:tcPr>
          <w:p w14:paraId="7BD110F3">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第十八条　使用单位应当履行下列安全职责：</w:t>
            </w:r>
            <w:r>
              <w:rPr>
                <w:color w:val="000000"/>
              </w:rPr>
              <w:br w:type="textWrapping"/>
            </w:r>
            <w:r>
              <w:rPr>
                <w:color w:val="000000"/>
              </w:rPr>
              <w:t xml:space="preserve">   </w:t>
            </w:r>
            <w:r>
              <w:rPr>
                <w:rFonts w:hint="eastAsia"/>
                <w:color w:val="000000"/>
              </w:rPr>
              <w:t>（五）指定专职设备管理人员、专职安全生产管理人员进行现场监督检查。</w:t>
            </w:r>
            <w:r>
              <w:rPr>
                <w:color w:val="000000"/>
              </w:rPr>
              <w:br w:type="textWrapping"/>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ype="textWrapping"/>
            </w:r>
            <w:r>
              <w:rPr>
                <w:color w:val="000000"/>
              </w:rPr>
              <w:t xml:space="preserve">   </w:t>
            </w:r>
            <w:r>
              <w:rPr>
                <w:rFonts w:hint="eastAsia"/>
                <w:color w:val="000000"/>
              </w:rPr>
              <w:t>（二）未指定专职设备管理人员进行现场监督检查的。</w:t>
            </w:r>
          </w:p>
        </w:tc>
      </w:tr>
      <w:tr w14:paraId="1C0DF7FD">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43088E25">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4DC9CCDB">
            <w:pPr>
              <w:rPr>
                <w:color w:val="000000"/>
              </w:rPr>
            </w:pPr>
            <w:r>
              <w:rPr>
                <w:rFonts w:hint="eastAsia"/>
                <w:color w:val="000000"/>
              </w:rPr>
              <w:t>警告，罚款</w:t>
            </w:r>
          </w:p>
        </w:tc>
      </w:tr>
      <w:tr w14:paraId="5347A497">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A16B430">
            <w:pPr>
              <w:jc w:val="center"/>
              <w:rPr>
                <w:color w:val="000000"/>
              </w:rPr>
            </w:pPr>
            <w:r>
              <w:rPr>
                <w:rFonts w:hint="eastAsia"/>
                <w:color w:val="000000"/>
              </w:rPr>
              <w:t>裁量基准</w:t>
            </w:r>
          </w:p>
        </w:tc>
      </w:tr>
      <w:tr w14:paraId="0E765EE4">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0B6A1E66">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17D9F24F">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32E8EC1D">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20F96AFF">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41665397">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79CE47F2">
            <w:pPr>
              <w:rPr>
                <w:color w:val="000000"/>
              </w:rPr>
            </w:pPr>
          </w:p>
        </w:tc>
        <w:tc>
          <w:tcPr>
            <w:tcW w:w="5884" w:type="dxa"/>
            <w:tcBorders>
              <w:top w:val="single" w:color="auto" w:sz="4" w:space="0"/>
              <w:left w:val="nil"/>
              <w:bottom w:val="single" w:color="auto" w:sz="4" w:space="0"/>
              <w:right w:val="single" w:color="auto" w:sz="4" w:space="0"/>
            </w:tcBorders>
            <w:vAlign w:val="center"/>
          </w:tcPr>
          <w:p w14:paraId="5A865D38">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0C3606B0">
            <w:pPr>
              <w:rPr>
                <w:color w:val="000000"/>
              </w:rPr>
            </w:pPr>
          </w:p>
        </w:tc>
        <w:tc>
          <w:tcPr>
            <w:tcW w:w="5760" w:type="dxa"/>
            <w:tcBorders>
              <w:top w:val="nil"/>
              <w:left w:val="nil"/>
              <w:bottom w:val="single" w:color="auto" w:sz="4" w:space="0"/>
              <w:right w:val="single" w:color="auto" w:sz="8" w:space="0"/>
            </w:tcBorders>
            <w:vAlign w:val="center"/>
          </w:tcPr>
          <w:p w14:paraId="35DD4176">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07D1F27C">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5AA63D71">
            <w:pPr>
              <w:rPr>
                <w:color w:val="000000"/>
              </w:rPr>
            </w:pPr>
          </w:p>
        </w:tc>
        <w:tc>
          <w:tcPr>
            <w:tcW w:w="5884" w:type="dxa"/>
            <w:tcBorders>
              <w:top w:val="single" w:color="auto" w:sz="4" w:space="0"/>
              <w:left w:val="nil"/>
              <w:bottom w:val="single" w:color="auto" w:sz="4" w:space="0"/>
              <w:right w:val="single" w:color="auto" w:sz="4" w:space="0"/>
            </w:tcBorders>
            <w:vAlign w:val="center"/>
          </w:tcPr>
          <w:p w14:paraId="0389462E">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714AD24B">
            <w:pPr>
              <w:rPr>
                <w:color w:val="000000"/>
              </w:rPr>
            </w:pPr>
          </w:p>
        </w:tc>
        <w:tc>
          <w:tcPr>
            <w:tcW w:w="5760" w:type="dxa"/>
            <w:tcBorders>
              <w:top w:val="nil"/>
              <w:left w:val="nil"/>
              <w:bottom w:val="single" w:color="auto" w:sz="4" w:space="0"/>
              <w:right w:val="single" w:color="auto" w:sz="8" w:space="0"/>
            </w:tcBorders>
            <w:vAlign w:val="center"/>
          </w:tcPr>
          <w:p w14:paraId="09EBF490">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41942482">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7B6362AD">
            <w:pPr>
              <w:rPr>
                <w:color w:val="000000"/>
              </w:rPr>
            </w:pPr>
          </w:p>
        </w:tc>
        <w:tc>
          <w:tcPr>
            <w:tcW w:w="5884" w:type="dxa"/>
            <w:tcBorders>
              <w:top w:val="single" w:color="auto" w:sz="4" w:space="0"/>
              <w:left w:val="nil"/>
              <w:bottom w:val="single" w:color="auto" w:sz="4" w:space="0"/>
              <w:right w:val="single" w:color="auto" w:sz="4" w:space="0"/>
            </w:tcBorders>
            <w:vAlign w:val="center"/>
          </w:tcPr>
          <w:p w14:paraId="14F216C1">
            <w:pPr>
              <w:rPr>
                <w:color w:val="000000"/>
              </w:rPr>
            </w:pPr>
            <w:r>
              <w:rPr>
                <w:rFonts w:hint="eastAsia"/>
                <w:color w:val="000000"/>
              </w:rPr>
              <w:t>未按要求改正的，造成安全事故的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2282FB63">
            <w:pPr>
              <w:rPr>
                <w:color w:val="000000"/>
              </w:rPr>
            </w:pPr>
          </w:p>
        </w:tc>
        <w:tc>
          <w:tcPr>
            <w:tcW w:w="5760" w:type="dxa"/>
            <w:tcBorders>
              <w:top w:val="nil"/>
              <w:left w:val="nil"/>
              <w:bottom w:val="single" w:color="auto" w:sz="4" w:space="0"/>
              <w:right w:val="single" w:color="auto" w:sz="8" w:space="0"/>
            </w:tcBorders>
            <w:vAlign w:val="center"/>
          </w:tcPr>
          <w:p w14:paraId="72A1CEC9">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5FA57F93"/>
    <w:p w14:paraId="409E6CAC"/>
    <w:p w14:paraId="4CB435D0"/>
    <w:p w14:paraId="2D3E2EB2"/>
    <w:p w14:paraId="74AFEB3F"/>
    <w:p w14:paraId="1E4D28B0"/>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6F4E17DD">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56747F83">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6DA022F4">
            <w:pPr>
              <w:spacing w:line="320" w:lineRule="exact"/>
              <w:jc w:val="left"/>
              <w:rPr>
                <w:rFonts w:eastAsia="仿宋_GB2312"/>
                <w:b/>
                <w:bCs/>
                <w:color w:val="000000"/>
                <w:kern w:val="0"/>
                <w:sz w:val="18"/>
                <w:szCs w:val="18"/>
              </w:rPr>
            </w:pPr>
            <w:r>
              <w:rPr>
                <w:rFonts w:eastAsia="仿宋_GB2312"/>
                <w:b/>
                <w:bCs/>
                <w:color w:val="000000"/>
                <w:kern w:val="0"/>
                <w:sz w:val="18"/>
                <w:szCs w:val="18"/>
              </w:rPr>
              <w:t>320217541000</w:t>
            </w:r>
          </w:p>
        </w:tc>
      </w:tr>
      <w:tr w14:paraId="4127E408">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6F335E07">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76AFADC9">
            <w:pPr>
              <w:spacing w:line="320" w:lineRule="exact"/>
              <w:jc w:val="left"/>
              <w:rPr>
                <w:color w:val="000000"/>
                <w:kern w:val="0"/>
                <w:sz w:val="18"/>
                <w:szCs w:val="18"/>
              </w:rPr>
            </w:pPr>
            <w:r>
              <w:rPr>
                <w:rFonts w:hint="eastAsia"/>
                <w:color w:val="000000"/>
                <w:kern w:val="0"/>
                <w:sz w:val="18"/>
                <w:szCs w:val="18"/>
              </w:rPr>
              <w:t>对城市供水单位使用未经检验或者检验不合格的城市供水设备、管网的处罚</w:t>
            </w:r>
          </w:p>
        </w:tc>
      </w:tr>
      <w:tr w14:paraId="2BBC57C9">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21869496">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19FF176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14:paraId="1AB2C805">
            <w:pPr>
              <w:spacing w:line="320" w:lineRule="exact"/>
              <w:jc w:val="left"/>
              <w:rPr>
                <w:color w:val="000000"/>
                <w:kern w:val="0"/>
                <w:sz w:val="18"/>
                <w:szCs w:val="18"/>
              </w:rPr>
            </w:pPr>
            <w:r>
              <w:rPr>
                <w:rFonts w:hint="eastAsia"/>
                <w:color w:val="000000"/>
                <w:kern w:val="0"/>
                <w:sz w:val="18"/>
                <w:szCs w:val="18"/>
              </w:rPr>
              <w:t>第十条　城市供水设备、管网应当符合保障水质安全的要求。</w:t>
            </w:r>
            <w:r>
              <w:rPr>
                <w:color w:val="000000"/>
                <w:kern w:val="0"/>
                <w:sz w:val="18"/>
                <w:szCs w:val="18"/>
              </w:rPr>
              <w:t xml:space="preserve"> </w:t>
            </w:r>
          </w:p>
          <w:p w14:paraId="3D4BF088">
            <w:pPr>
              <w:spacing w:line="320" w:lineRule="exact"/>
              <w:jc w:val="left"/>
              <w:rPr>
                <w:color w:val="000000"/>
                <w:kern w:val="0"/>
                <w:sz w:val="18"/>
                <w:szCs w:val="18"/>
              </w:rPr>
            </w:pPr>
            <w:r>
              <w:rPr>
                <w:rFonts w:hint="eastAsia"/>
                <w:color w:val="000000"/>
                <w:kern w:val="0"/>
                <w:sz w:val="18"/>
                <w:szCs w:val="18"/>
              </w:rPr>
              <w:t>用于城市供水的新设备、新管网或者经改造的原有设备、管网，应当严格进行清洗消毒，经质量技术监督部门资质认定的水质检测机构检验合格后，方可投入使用。</w:t>
            </w:r>
          </w:p>
          <w:p w14:paraId="6311044E">
            <w:pPr>
              <w:spacing w:line="320" w:lineRule="exact"/>
              <w:jc w:val="left"/>
              <w:rPr>
                <w:color w:val="000000"/>
                <w:kern w:val="0"/>
                <w:sz w:val="18"/>
                <w:szCs w:val="18"/>
              </w:rPr>
            </w:pP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14:paraId="67DB3DD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（五）城市供水单位使用未经检验或者检验不合格的城市供水设备、管网的。</w:t>
            </w:r>
          </w:p>
        </w:tc>
      </w:tr>
      <w:tr w14:paraId="5C5326A2">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0B9FA928">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754F5482">
            <w:pPr>
              <w:spacing w:line="320" w:lineRule="exact"/>
              <w:jc w:val="left"/>
              <w:rPr>
                <w:color w:val="000000"/>
                <w:kern w:val="0"/>
                <w:sz w:val="18"/>
                <w:szCs w:val="18"/>
              </w:rPr>
            </w:pPr>
            <w:r>
              <w:rPr>
                <w:rFonts w:hint="eastAsia"/>
                <w:color w:val="000000"/>
                <w:kern w:val="0"/>
                <w:sz w:val="18"/>
                <w:szCs w:val="18"/>
              </w:rPr>
              <w:t>警告；罚款</w:t>
            </w:r>
          </w:p>
        </w:tc>
      </w:tr>
      <w:tr w14:paraId="2763549C">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7809197C">
            <w:pPr>
              <w:spacing w:line="320" w:lineRule="exact"/>
              <w:jc w:val="center"/>
              <w:rPr>
                <w:color w:val="000000"/>
                <w:kern w:val="0"/>
                <w:sz w:val="18"/>
                <w:szCs w:val="18"/>
              </w:rPr>
            </w:pPr>
            <w:r>
              <w:rPr>
                <w:rFonts w:hint="eastAsia"/>
                <w:color w:val="000000"/>
                <w:kern w:val="0"/>
                <w:sz w:val="18"/>
                <w:szCs w:val="18"/>
              </w:rPr>
              <w:t>裁量基准</w:t>
            </w:r>
          </w:p>
        </w:tc>
      </w:tr>
      <w:tr w14:paraId="7B9795D9">
        <w:tblPrEx>
          <w:tblCellMar>
            <w:top w:w="0" w:type="dxa"/>
            <w:left w:w="108" w:type="dxa"/>
            <w:bottom w:w="0" w:type="dxa"/>
            <w:right w:w="108" w:type="dxa"/>
          </w:tblCellMar>
        </w:tblPrEx>
        <w:trPr>
          <w:gridAfter w:val="1"/>
          <w:wAfter w:w="14" w:type="dxa"/>
          <w:trHeight w:val="285" w:hRule="atLeast"/>
        </w:trPr>
        <w:tc>
          <w:tcPr>
            <w:tcW w:w="996" w:type="dxa"/>
            <w:vMerge w:val="restart"/>
            <w:tcBorders>
              <w:top w:val="nil"/>
              <w:left w:val="single" w:color="auto" w:sz="8" w:space="0"/>
              <w:bottom w:val="nil"/>
              <w:right w:val="single" w:color="auto" w:sz="4" w:space="0"/>
            </w:tcBorders>
            <w:vAlign w:val="center"/>
          </w:tcPr>
          <w:p w14:paraId="5704AFB9">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color="auto" w:sz="4" w:space="0"/>
              <w:left w:val="nil"/>
              <w:right w:val="single" w:color="auto" w:sz="4" w:space="0"/>
            </w:tcBorders>
            <w:vAlign w:val="center"/>
          </w:tcPr>
          <w:p w14:paraId="42D45897">
            <w:pPr>
              <w:spacing w:line="320" w:lineRule="exact"/>
              <w:jc w:val="left"/>
              <w:rPr>
                <w:color w:val="000000"/>
                <w:kern w:val="0"/>
                <w:sz w:val="18"/>
                <w:szCs w:val="18"/>
              </w:rPr>
            </w:pPr>
          </w:p>
        </w:tc>
        <w:tc>
          <w:tcPr>
            <w:tcW w:w="1139" w:type="dxa"/>
            <w:tcBorders>
              <w:top w:val="nil"/>
              <w:left w:val="single" w:color="auto" w:sz="4" w:space="0"/>
              <w:bottom w:val="nil"/>
              <w:right w:val="single" w:color="auto" w:sz="4" w:space="0"/>
            </w:tcBorders>
            <w:vAlign w:val="center"/>
          </w:tcPr>
          <w:p w14:paraId="72A3D7BD">
            <w:pPr>
              <w:spacing w:line="320" w:lineRule="exact"/>
              <w:jc w:val="left"/>
              <w:rPr>
                <w:color w:val="000000"/>
                <w:kern w:val="0"/>
                <w:sz w:val="18"/>
                <w:szCs w:val="18"/>
              </w:rPr>
            </w:pPr>
          </w:p>
        </w:tc>
        <w:tc>
          <w:tcPr>
            <w:tcW w:w="6180" w:type="dxa"/>
            <w:vMerge w:val="restart"/>
            <w:tcBorders>
              <w:top w:val="nil"/>
              <w:left w:val="nil"/>
              <w:right w:val="single" w:color="auto" w:sz="8" w:space="0"/>
            </w:tcBorders>
            <w:vAlign w:val="center"/>
          </w:tcPr>
          <w:p w14:paraId="0A263E38">
            <w:pPr>
              <w:spacing w:line="320" w:lineRule="exact"/>
              <w:jc w:val="left"/>
              <w:rPr>
                <w:color w:val="000000"/>
                <w:kern w:val="0"/>
                <w:sz w:val="18"/>
                <w:szCs w:val="18"/>
              </w:rPr>
            </w:pPr>
          </w:p>
        </w:tc>
      </w:tr>
      <w:tr w14:paraId="3278A984">
        <w:tblPrEx>
          <w:tblCellMar>
            <w:top w:w="0" w:type="dxa"/>
            <w:left w:w="108" w:type="dxa"/>
            <w:bottom w:w="0" w:type="dxa"/>
            <w:right w:w="108" w:type="dxa"/>
          </w:tblCellMar>
        </w:tblPrEx>
        <w:trPr>
          <w:gridAfter w:val="1"/>
          <w:wAfter w:w="14" w:type="dxa"/>
          <w:trHeight w:val="285" w:hRule="atLeast"/>
        </w:trPr>
        <w:tc>
          <w:tcPr>
            <w:tcW w:w="996" w:type="dxa"/>
            <w:vMerge w:val="continue"/>
            <w:tcBorders>
              <w:top w:val="nil"/>
              <w:left w:val="single" w:color="auto" w:sz="8" w:space="0"/>
              <w:bottom w:val="nil"/>
              <w:right w:val="single" w:color="auto" w:sz="4" w:space="0"/>
            </w:tcBorders>
            <w:vAlign w:val="center"/>
          </w:tcPr>
          <w:p w14:paraId="3300E85F">
            <w:pPr>
              <w:spacing w:line="320" w:lineRule="exact"/>
              <w:jc w:val="left"/>
              <w:rPr>
                <w:color w:val="000000"/>
                <w:kern w:val="0"/>
                <w:sz w:val="18"/>
                <w:szCs w:val="18"/>
              </w:rPr>
            </w:pPr>
          </w:p>
        </w:tc>
        <w:tc>
          <w:tcPr>
            <w:tcW w:w="5701" w:type="dxa"/>
            <w:gridSpan w:val="2"/>
            <w:vMerge w:val="continue"/>
            <w:tcBorders>
              <w:left w:val="nil"/>
              <w:right w:val="single" w:color="auto" w:sz="4" w:space="0"/>
            </w:tcBorders>
            <w:vAlign w:val="center"/>
          </w:tcPr>
          <w:p w14:paraId="58504B8C">
            <w:pPr>
              <w:spacing w:line="320" w:lineRule="exact"/>
              <w:jc w:val="left"/>
              <w:rPr>
                <w:color w:val="000000"/>
                <w:kern w:val="0"/>
                <w:sz w:val="18"/>
                <w:szCs w:val="18"/>
              </w:rPr>
            </w:pPr>
          </w:p>
        </w:tc>
        <w:tc>
          <w:tcPr>
            <w:tcW w:w="1139" w:type="dxa"/>
            <w:tcBorders>
              <w:top w:val="nil"/>
              <w:left w:val="single" w:color="auto" w:sz="4" w:space="0"/>
              <w:bottom w:val="nil"/>
              <w:right w:val="single" w:color="auto" w:sz="4" w:space="0"/>
            </w:tcBorders>
            <w:vAlign w:val="center"/>
          </w:tcPr>
          <w:p w14:paraId="2EC8FBD7">
            <w:pPr>
              <w:spacing w:line="320" w:lineRule="exact"/>
              <w:jc w:val="left"/>
              <w:rPr>
                <w:color w:val="000000"/>
                <w:kern w:val="0"/>
                <w:sz w:val="18"/>
                <w:szCs w:val="18"/>
              </w:rPr>
            </w:pPr>
            <w:r>
              <w:rPr>
                <w:rFonts w:hint="eastAsia"/>
                <w:color w:val="000000"/>
                <w:kern w:val="0"/>
                <w:sz w:val="18"/>
                <w:szCs w:val="18"/>
              </w:rPr>
              <w:t>裁量幅度</w:t>
            </w:r>
          </w:p>
        </w:tc>
        <w:tc>
          <w:tcPr>
            <w:tcW w:w="6180" w:type="dxa"/>
            <w:vMerge w:val="continue"/>
            <w:tcBorders>
              <w:left w:val="nil"/>
              <w:right w:val="single" w:color="auto" w:sz="8" w:space="0"/>
            </w:tcBorders>
            <w:vAlign w:val="center"/>
          </w:tcPr>
          <w:p w14:paraId="762FC071">
            <w:pPr>
              <w:spacing w:line="320" w:lineRule="exact"/>
              <w:jc w:val="left"/>
              <w:rPr>
                <w:color w:val="000000"/>
                <w:kern w:val="0"/>
                <w:sz w:val="18"/>
                <w:szCs w:val="18"/>
              </w:rPr>
            </w:pPr>
          </w:p>
        </w:tc>
      </w:tr>
      <w:tr w14:paraId="61424A8A">
        <w:tblPrEx>
          <w:tblCellMar>
            <w:top w:w="0" w:type="dxa"/>
            <w:left w:w="108" w:type="dxa"/>
            <w:bottom w:w="0" w:type="dxa"/>
            <w:right w:w="108" w:type="dxa"/>
          </w:tblCellMar>
        </w:tblPrEx>
        <w:trPr>
          <w:gridAfter w:val="1"/>
          <w:wAfter w:w="14" w:type="dxa"/>
          <w:trHeight w:val="285" w:hRule="atLeast"/>
        </w:trPr>
        <w:tc>
          <w:tcPr>
            <w:tcW w:w="996" w:type="dxa"/>
            <w:vMerge w:val="continue"/>
            <w:tcBorders>
              <w:top w:val="nil"/>
              <w:left w:val="single" w:color="auto" w:sz="8" w:space="0"/>
              <w:bottom w:val="single" w:color="auto" w:sz="4" w:space="0"/>
              <w:right w:val="single" w:color="auto" w:sz="4" w:space="0"/>
            </w:tcBorders>
            <w:vAlign w:val="center"/>
          </w:tcPr>
          <w:p w14:paraId="26BEC2C1">
            <w:pPr>
              <w:spacing w:line="320" w:lineRule="exact"/>
              <w:jc w:val="left"/>
              <w:rPr>
                <w:color w:val="000000"/>
                <w:kern w:val="0"/>
                <w:sz w:val="18"/>
                <w:szCs w:val="18"/>
              </w:rPr>
            </w:pPr>
          </w:p>
        </w:tc>
        <w:tc>
          <w:tcPr>
            <w:tcW w:w="5701" w:type="dxa"/>
            <w:gridSpan w:val="2"/>
            <w:vMerge w:val="continue"/>
            <w:tcBorders>
              <w:left w:val="nil"/>
              <w:bottom w:val="single" w:color="auto" w:sz="4" w:space="0"/>
              <w:right w:val="single" w:color="auto" w:sz="4" w:space="0"/>
            </w:tcBorders>
            <w:vAlign w:val="center"/>
          </w:tcPr>
          <w:p w14:paraId="734F0AC7">
            <w:pPr>
              <w:spacing w:line="320" w:lineRule="exact"/>
              <w:jc w:val="left"/>
              <w:rPr>
                <w:color w:val="000000"/>
                <w:kern w:val="0"/>
                <w:sz w:val="18"/>
                <w:szCs w:val="18"/>
              </w:rPr>
            </w:pPr>
          </w:p>
        </w:tc>
        <w:tc>
          <w:tcPr>
            <w:tcW w:w="1139" w:type="dxa"/>
            <w:tcBorders>
              <w:top w:val="nil"/>
              <w:left w:val="single" w:color="auto" w:sz="4" w:space="0"/>
              <w:bottom w:val="single" w:color="auto" w:sz="4" w:space="0"/>
              <w:right w:val="single" w:color="auto" w:sz="4" w:space="0"/>
            </w:tcBorders>
            <w:vAlign w:val="center"/>
          </w:tcPr>
          <w:p w14:paraId="08582A90">
            <w:pPr>
              <w:spacing w:line="320" w:lineRule="exact"/>
              <w:jc w:val="left"/>
              <w:rPr>
                <w:color w:val="000000"/>
                <w:kern w:val="0"/>
                <w:sz w:val="18"/>
                <w:szCs w:val="18"/>
              </w:rPr>
            </w:pPr>
          </w:p>
        </w:tc>
        <w:tc>
          <w:tcPr>
            <w:tcW w:w="6180" w:type="dxa"/>
            <w:vMerge w:val="continue"/>
            <w:tcBorders>
              <w:left w:val="nil"/>
              <w:bottom w:val="single" w:color="auto" w:sz="4" w:space="0"/>
              <w:right w:val="single" w:color="auto" w:sz="8" w:space="0"/>
            </w:tcBorders>
            <w:vAlign w:val="center"/>
          </w:tcPr>
          <w:p w14:paraId="7298EC6F">
            <w:pPr>
              <w:spacing w:line="320" w:lineRule="exact"/>
              <w:jc w:val="left"/>
              <w:rPr>
                <w:color w:val="000000"/>
                <w:kern w:val="0"/>
                <w:sz w:val="18"/>
                <w:szCs w:val="18"/>
              </w:rPr>
            </w:pPr>
          </w:p>
        </w:tc>
      </w:tr>
    </w:tbl>
    <w:p w14:paraId="634150D4"/>
    <w:p w14:paraId="31169861"/>
    <w:p w14:paraId="0AE6F64C"/>
    <w:p w14:paraId="51ECC326"/>
    <w:p w14:paraId="61483EBE"/>
    <w:p w14:paraId="070D1116"/>
    <w:p w14:paraId="3175A646"/>
    <w:p w14:paraId="1753425B"/>
    <w:p w14:paraId="683CE346"/>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458AC085">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702430F1">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0D173F59">
            <w:pPr>
              <w:spacing w:line="320" w:lineRule="exact"/>
              <w:jc w:val="left"/>
              <w:rPr>
                <w:rFonts w:eastAsia="仿宋_GB2312"/>
                <w:b/>
                <w:bCs/>
                <w:color w:val="000000"/>
                <w:kern w:val="0"/>
                <w:sz w:val="18"/>
                <w:szCs w:val="18"/>
              </w:rPr>
            </w:pPr>
            <w:r>
              <w:rPr>
                <w:rFonts w:eastAsia="仿宋_GB2312"/>
                <w:b/>
                <w:bCs/>
                <w:color w:val="000000"/>
                <w:kern w:val="0"/>
                <w:sz w:val="18"/>
                <w:szCs w:val="18"/>
              </w:rPr>
              <w:t>320217542000</w:t>
            </w:r>
          </w:p>
        </w:tc>
      </w:tr>
      <w:tr w14:paraId="2E30E216">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48315ABF">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676FD85A">
            <w:pPr>
              <w:spacing w:line="320" w:lineRule="exact"/>
              <w:jc w:val="left"/>
              <w:rPr>
                <w:color w:val="000000"/>
                <w:kern w:val="0"/>
                <w:sz w:val="18"/>
                <w:szCs w:val="18"/>
              </w:rPr>
            </w:pPr>
            <w:r>
              <w:rPr>
                <w:rFonts w:hint="eastAsia"/>
                <w:color w:val="000000"/>
                <w:kern w:val="0"/>
                <w:sz w:val="18"/>
                <w:szCs w:val="18"/>
              </w:rPr>
              <w:t>对城市供水单位、二次供水管理单位隐瞒、缓报、谎报水质突发事件或者水质信息的处罚</w:t>
            </w:r>
          </w:p>
        </w:tc>
      </w:tr>
      <w:tr w14:paraId="23476A72">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580BA0BC">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11CA9BB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14:paraId="1929E5E3">
            <w:pPr>
              <w:spacing w:line="320" w:lineRule="exact"/>
              <w:jc w:val="left"/>
              <w:rPr>
                <w:color w:val="000000"/>
                <w:kern w:val="0"/>
                <w:sz w:val="18"/>
                <w:szCs w:val="18"/>
              </w:rPr>
            </w:pPr>
            <w:r>
              <w:rPr>
                <w:rFonts w:hint="eastAsia"/>
                <w:color w:val="000000"/>
                <w:kern w:val="0"/>
                <w:sz w:val="18"/>
                <w:szCs w:val="18"/>
              </w:rPr>
              <w:t>第十一条　城市供水单位应当履行以下义务：</w:t>
            </w:r>
            <w:r>
              <w:rPr>
                <w:color w:val="000000"/>
                <w:kern w:val="0"/>
                <w:sz w:val="18"/>
                <w:szCs w:val="18"/>
              </w:rPr>
              <w:t xml:space="preserve"> </w:t>
            </w:r>
          </w:p>
          <w:p w14:paraId="58A9D28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（六）定期向所在地直辖市、市、县人民政府城市供水主管部门如实报告供水水质检测数据；</w:t>
            </w:r>
            <w:r>
              <w:rPr>
                <w:color w:val="000000"/>
                <w:kern w:val="0"/>
                <w:sz w:val="18"/>
                <w:szCs w:val="18"/>
              </w:rPr>
              <w:t xml:space="preserve"> </w:t>
            </w:r>
          </w:p>
          <w:p w14:paraId="2E62EC4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（七）按照所在地直辖市、市、县人民政府城市供水主管部门的要求公布有关水质信息。</w:t>
            </w:r>
          </w:p>
          <w:p w14:paraId="50EC79CF">
            <w:pPr>
              <w:spacing w:line="320" w:lineRule="exact"/>
              <w:jc w:val="left"/>
              <w:rPr>
                <w:color w:val="000000"/>
                <w:kern w:val="0"/>
                <w:sz w:val="18"/>
                <w:szCs w:val="18"/>
              </w:rPr>
            </w:pPr>
            <w:r>
              <w:rPr>
                <w:rFonts w:hint="eastAsia"/>
                <w:color w:val="000000"/>
                <w:kern w:val="0"/>
                <w:sz w:val="18"/>
                <w:szCs w:val="18"/>
              </w:rPr>
              <w:t>第二十六条第二款　城市供水单位、二次供水管理单位接到安全事故或者安全隐患报告的，应当立即向所在地直辖市、市、县人民政府城市供水主管部门和其他有关部门报告。</w:t>
            </w:r>
          </w:p>
          <w:p w14:paraId="402BD8E9">
            <w:pPr>
              <w:spacing w:line="320" w:lineRule="exact"/>
              <w:jc w:val="left"/>
              <w:rPr>
                <w:color w:val="000000"/>
                <w:kern w:val="0"/>
                <w:sz w:val="18"/>
                <w:szCs w:val="18"/>
              </w:rPr>
            </w:pP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14:paraId="559EC5F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（七）城市供水单位、二次供水管理单位隐瞒、缓报、谎报水质突发事件或者水质信息的。</w:t>
            </w:r>
          </w:p>
        </w:tc>
      </w:tr>
      <w:tr w14:paraId="5080DDC7">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1B63BDB8">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24E4EF4B">
            <w:pPr>
              <w:spacing w:line="320" w:lineRule="exact"/>
              <w:jc w:val="left"/>
              <w:rPr>
                <w:color w:val="000000"/>
                <w:kern w:val="0"/>
                <w:sz w:val="18"/>
                <w:szCs w:val="18"/>
              </w:rPr>
            </w:pPr>
            <w:r>
              <w:rPr>
                <w:rFonts w:hint="eastAsia"/>
                <w:color w:val="000000"/>
                <w:kern w:val="0"/>
                <w:sz w:val="18"/>
                <w:szCs w:val="18"/>
              </w:rPr>
              <w:t>警告；罚款</w:t>
            </w:r>
          </w:p>
        </w:tc>
      </w:tr>
      <w:tr w14:paraId="0677A179">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39A0326F">
            <w:pPr>
              <w:spacing w:line="320" w:lineRule="exact"/>
              <w:jc w:val="center"/>
              <w:rPr>
                <w:color w:val="000000"/>
                <w:kern w:val="0"/>
                <w:sz w:val="18"/>
                <w:szCs w:val="18"/>
              </w:rPr>
            </w:pPr>
            <w:r>
              <w:rPr>
                <w:rFonts w:hint="eastAsia"/>
                <w:color w:val="000000"/>
                <w:kern w:val="0"/>
                <w:sz w:val="18"/>
                <w:szCs w:val="18"/>
              </w:rPr>
              <w:t>裁量基准</w:t>
            </w:r>
          </w:p>
        </w:tc>
      </w:tr>
      <w:tr w14:paraId="5C28CDF6">
        <w:tblPrEx>
          <w:tblCellMar>
            <w:top w:w="0" w:type="dxa"/>
            <w:left w:w="108" w:type="dxa"/>
            <w:bottom w:w="0" w:type="dxa"/>
            <w:right w:w="108" w:type="dxa"/>
          </w:tblCellMar>
        </w:tblPrEx>
        <w:trPr>
          <w:gridAfter w:val="1"/>
          <w:wAfter w:w="14" w:type="dxa"/>
          <w:trHeight w:val="285" w:hRule="atLeast"/>
        </w:trPr>
        <w:tc>
          <w:tcPr>
            <w:tcW w:w="996" w:type="dxa"/>
            <w:vMerge w:val="restart"/>
            <w:tcBorders>
              <w:top w:val="nil"/>
              <w:left w:val="single" w:color="auto" w:sz="8" w:space="0"/>
              <w:bottom w:val="nil"/>
              <w:right w:val="single" w:color="auto" w:sz="4" w:space="0"/>
            </w:tcBorders>
            <w:vAlign w:val="center"/>
          </w:tcPr>
          <w:p w14:paraId="158BCEAF">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color="auto" w:sz="4" w:space="0"/>
              <w:left w:val="nil"/>
              <w:right w:val="single" w:color="auto" w:sz="4" w:space="0"/>
            </w:tcBorders>
            <w:vAlign w:val="center"/>
          </w:tcPr>
          <w:p w14:paraId="498B52F6">
            <w:pPr>
              <w:spacing w:line="320" w:lineRule="exact"/>
              <w:jc w:val="left"/>
              <w:rPr>
                <w:color w:val="000000"/>
                <w:kern w:val="0"/>
                <w:sz w:val="18"/>
                <w:szCs w:val="18"/>
              </w:rPr>
            </w:pPr>
          </w:p>
        </w:tc>
        <w:tc>
          <w:tcPr>
            <w:tcW w:w="1139" w:type="dxa"/>
            <w:tcBorders>
              <w:top w:val="nil"/>
              <w:left w:val="single" w:color="auto" w:sz="4" w:space="0"/>
              <w:bottom w:val="nil"/>
              <w:right w:val="single" w:color="auto" w:sz="4" w:space="0"/>
            </w:tcBorders>
            <w:vAlign w:val="center"/>
          </w:tcPr>
          <w:p w14:paraId="11BBC611">
            <w:pPr>
              <w:spacing w:line="320" w:lineRule="exact"/>
              <w:jc w:val="left"/>
              <w:rPr>
                <w:color w:val="000000"/>
                <w:kern w:val="0"/>
                <w:sz w:val="18"/>
                <w:szCs w:val="18"/>
              </w:rPr>
            </w:pPr>
          </w:p>
        </w:tc>
        <w:tc>
          <w:tcPr>
            <w:tcW w:w="6180" w:type="dxa"/>
            <w:vMerge w:val="restart"/>
            <w:tcBorders>
              <w:top w:val="nil"/>
              <w:left w:val="nil"/>
              <w:right w:val="single" w:color="auto" w:sz="8" w:space="0"/>
            </w:tcBorders>
            <w:vAlign w:val="center"/>
          </w:tcPr>
          <w:p w14:paraId="2E132ABA">
            <w:pPr>
              <w:spacing w:line="320" w:lineRule="exact"/>
              <w:jc w:val="left"/>
              <w:rPr>
                <w:color w:val="000000"/>
                <w:kern w:val="0"/>
                <w:sz w:val="18"/>
                <w:szCs w:val="18"/>
              </w:rPr>
            </w:pPr>
          </w:p>
        </w:tc>
      </w:tr>
      <w:tr w14:paraId="216C88FC">
        <w:tblPrEx>
          <w:tblCellMar>
            <w:top w:w="0" w:type="dxa"/>
            <w:left w:w="108" w:type="dxa"/>
            <w:bottom w:w="0" w:type="dxa"/>
            <w:right w:w="108" w:type="dxa"/>
          </w:tblCellMar>
        </w:tblPrEx>
        <w:trPr>
          <w:gridAfter w:val="1"/>
          <w:wAfter w:w="14" w:type="dxa"/>
          <w:trHeight w:val="285" w:hRule="atLeast"/>
        </w:trPr>
        <w:tc>
          <w:tcPr>
            <w:tcW w:w="996" w:type="dxa"/>
            <w:vMerge w:val="continue"/>
            <w:tcBorders>
              <w:top w:val="nil"/>
              <w:left w:val="single" w:color="auto" w:sz="8" w:space="0"/>
              <w:bottom w:val="nil"/>
              <w:right w:val="single" w:color="auto" w:sz="4" w:space="0"/>
            </w:tcBorders>
            <w:vAlign w:val="center"/>
          </w:tcPr>
          <w:p w14:paraId="585A0954">
            <w:pPr>
              <w:spacing w:line="320" w:lineRule="exact"/>
              <w:jc w:val="left"/>
              <w:rPr>
                <w:color w:val="000000"/>
                <w:kern w:val="0"/>
                <w:sz w:val="18"/>
                <w:szCs w:val="18"/>
              </w:rPr>
            </w:pPr>
          </w:p>
        </w:tc>
        <w:tc>
          <w:tcPr>
            <w:tcW w:w="5701" w:type="dxa"/>
            <w:gridSpan w:val="2"/>
            <w:vMerge w:val="continue"/>
            <w:tcBorders>
              <w:left w:val="nil"/>
              <w:right w:val="single" w:color="auto" w:sz="4" w:space="0"/>
            </w:tcBorders>
            <w:vAlign w:val="center"/>
          </w:tcPr>
          <w:p w14:paraId="57FA61C9">
            <w:pPr>
              <w:spacing w:line="320" w:lineRule="exact"/>
              <w:jc w:val="left"/>
              <w:rPr>
                <w:color w:val="000000"/>
                <w:kern w:val="0"/>
                <w:sz w:val="18"/>
                <w:szCs w:val="18"/>
              </w:rPr>
            </w:pPr>
          </w:p>
        </w:tc>
        <w:tc>
          <w:tcPr>
            <w:tcW w:w="1139" w:type="dxa"/>
            <w:tcBorders>
              <w:top w:val="nil"/>
              <w:left w:val="single" w:color="auto" w:sz="4" w:space="0"/>
              <w:bottom w:val="nil"/>
              <w:right w:val="single" w:color="auto" w:sz="4" w:space="0"/>
            </w:tcBorders>
            <w:vAlign w:val="center"/>
          </w:tcPr>
          <w:p w14:paraId="4CE19F11">
            <w:pPr>
              <w:spacing w:line="320" w:lineRule="exact"/>
              <w:jc w:val="left"/>
              <w:rPr>
                <w:color w:val="000000"/>
                <w:kern w:val="0"/>
                <w:sz w:val="18"/>
                <w:szCs w:val="18"/>
              </w:rPr>
            </w:pPr>
            <w:r>
              <w:rPr>
                <w:rFonts w:hint="eastAsia"/>
                <w:color w:val="000000"/>
                <w:kern w:val="0"/>
                <w:sz w:val="18"/>
                <w:szCs w:val="18"/>
              </w:rPr>
              <w:t>裁量幅度</w:t>
            </w:r>
          </w:p>
        </w:tc>
        <w:tc>
          <w:tcPr>
            <w:tcW w:w="6180" w:type="dxa"/>
            <w:vMerge w:val="continue"/>
            <w:tcBorders>
              <w:left w:val="nil"/>
              <w:right w:val="single" w:color="auto" w:sz="8" w:space="0"/>
            </w:tcBorders>
            <w:vAlign w:val="center"/>
          </w:tcPr>
          <w:p w14:paraId="342C2A90">
            <w:pPr>
              <w:spacing w:line="320" w:lineRule="exact"/>
              <w:jc w:val="left"/>
              <w:rPr>
                <w:color w:val="000000"/>
                <w:kern w:val="0"/>
                <w:sz w:val="18"/>
                <w:szCs w:val="18"/>
              </w:rPr>
            </w:pPr>
          </w:p>
        </w:tc>
      </w:tr>
      <w:tr w14:paraId="5DAD3F2A">
        <w:tblPrEx>
          <w:tblCellMar>
            <w:top w:w="0" w:type="dxa"/>
            <w:left w:w="108" w:type="dxa"/>
            <w:bottom w:w="0" w:type="dxa"/>
            <w:right w:w="108" w:type="dxa"/>
          </w:tblCellMar>
        </w:tblPrEx>
        <w:trPr>
          <w:gridAfter w:val="1"/>
          <w:wAfter w:w="14" w:type="dxa"/>
          <w:trHeight w:val="285" w:hRule="atLeast"/>
        </w:trPr>
        <w:tc>
          <w:tcPr>
            <w:tcW w:w="996" w:type="dxa"/>
            <w:vMerge w:val="continue"/>
            <w:tcBorders>
              <w:top w:val="nil"/>
              <w:left w:val="single" w:color="auto" w:sz="8" w:space="0"/>
              <w:bottom w:val="single" w:color="auto" w:sz="4" w:space="0"/>
              <w:right w:val="single" w:color="auto" w:sz="4" w:space="0"/>
            </w:tcBorders>
            <w:vAlign w:val="center"/>
          </w:tcPr>
          <w:p w14:paraId="726CD85D">
            <w:pPr>
              <w:spacing w:line="320" w:lineRule="exact"/>
              <w:jc w:val="left"/>
              <w:rPr>
                <w:color w:val="000000"/>
                <w:kern w:val="0"/>
                <w:sz w:val="18"/>
                <w:szCs w:val="18"/>
              </w:rPr>
            </w:pPr>
          </w:p>
        </w:tc>
        <w:tc>
          <w:tcPr>
            <w:tcW w:w="5701" w:type="dxa"/>
            <w:gridSpan w:val="2"/>
            <w:vMerge w:val="continue"/>
            <w:tcBorders>
              <w:left w:val="nil"/>
              <w:bottom w:val="single" w:color="auto" w:sz="4" w:space="0"/>
              <w:right w:val="single" w:color="auto" w:sz="4" w:space="0"/>
            </w:tcBorders>
            <w:vAlign w:val="center"/>
          </w:tcPr>
          <w:p w14:paraId="7230BE6D">
            <w:pPr>
              <w:spacing w:line="320" w:lineRule="exact"/>
              <w:jc w:val="left"/>
              <w:rPr>
                <w:color w:val="000000"/>
                <w:kern w:val="0"/>
                <w:sz w:val="18"/>
                <w:szCs w:val="18"/>
              </w:rPr>
            </w:pPr>
          </w:p>
        </w:tc>
        <w:tc>
          <w:tcPr>
            <w:tcW w:w="1139" w:type="dxa"/>
            <w:tcBorders>
              <w:top w:val="nil"/>
              <w:left w:val="single" w:color="auto" w:sz="4" w:space="0"/>
              <w:bottom w:val="single" w:color="auto" w:sz="4" w:space="0"/>
              <w:right w:val="single" w:color="auto" w:sz="4" w:space="0"/>
            </w:tcBorders>
            <w:vAlign w:val="center"/>
          </w:tcPr>
          <w:p w14:paraId="55B2BB3E">
            <w:pPr>
              <w:spacing w:line="320" w:lineRule="exact"/>
              <w:jc w:val="left"/>
              <w:rPr>
                <w:color w:val="000000"/>
                <w:kern w:val="0"/>
                <w:sz w:val="18"/>
                <w:szCs w:val="18"/>
              </w:rPr>
            </w:pPr>
          </w:p>
        </w:tc>
        <w:tc>
          <w:tcPr>
            <w:tcW w:w="6180" w:type="dxa"/>
            <w:vMerge w:val="continue"/>
            <w:tcBorders>
              <w:left w:val="nil"/>
              <w:bottom w:val="single" w:color="auto" w:sz="4" w:space="0"/>
              <w:right w:val="single" w:color="auto" w:sz="8" w:space="0"/>
            </w:tcBorders>
            <w:vAlign w:val="center"/>
          </w:tcPr>
          <w:p w14:paraId="44C6DB3A">
            <w:pPr>
              <w:spacing w:line="320" w:lineRule="exact"/>
              <w:jc w:val="left"/>
              <w:rPr>
                <w:color w:val="000000"/>
                <w:kern w:val="0"/>
                <w:sz w:val="18"/>
                <w:szCs w:val="18"/>
              </w:rPr>
            </w:pPr>
          </w:p>
        </w:tc>
      </w:tr>
    </w:tbl>
    <w:p w14:paraId="25956B77"/>
    <w:p w14:paraId="18B395C5"/>
    <w:p w14:paraId="01834955"/>
    <w:p w14:paraId="4C1162E0"/>
    <w:p w14:paraId="4B88AF77"/>
    <w:p w14:paraId="58A2C1ED"/>
    <w:p w14:paraId="291F94FF"/>
    <w:p w14:paraId="389823A0"/>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55DD7945">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79029E84">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0E01E21B">
            <w:pPr>
              <w:spacing w:line="320" w:lineRule="exact"/>
              <w:jc w:val="left"/>
              <w:rPr>
                <w:rFonts w:eastAsia="仿宋_GB2312"/>
                <w:b/>
                <w:bCs/>
                <w:color w:val="000000"/>
                <w:kern w:val="0"/>
                <w:sz w:val="18"/>
                <w:szCs w:val="18"/>
              </w:rPr>
            </w:pPr>
            <w:r>
              <w:rPr>
                <w:rFonts w:eastAsia="仿宋_GB2312"/>
                <w:b/>
                <w:bCs/>
                <w:color w:val="000000"/>
                <w:kern w:val="0"/>
                <w:sz w:val="18"/>
                <w:szCs w:val="18"/>
              </w:rPr>
              <w:t>320217543000</w:t>
            </w:r>
          </w:p>
        </w:tc>
      </w:tr>
      <w:tr w14:paraId="33D85E93">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0543C5D9">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036CA537">
            <w:pPr>
              <w:spacing w:line="320" w:lineRule="exact"/>
              <w:jc w:val="left"/>
              <w:rPr>
                <w:color w:val="000000"/>
                <w:kern w:val="0"/>
                <w:sz w:val="18"/>
                <w:szCs w:val="18"/>
              </w:rPr>
            </w:pPr>
            <w:r>
              <w:rPr>
                <w:rFonts w:hint="eastAsia"/>
                <w:color w:val="000000"/>
                <w:kern w:val="0"/>
                <w:sz w:val="18"/>
                <w:szCs w:val="18"/>
              </w:rPr>
              <w:t>对城市供水单位未制定城市供水水质突发事件应急预案的处罚</w:t>
            </w:r>
          </w:p>
        </w:tc>
      </w:tr>
      <w:tr w14:paraId="69D8181F">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46918A72">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524EDBB0">
            <w:pPr>
              <w:spacing w:line="320" w:lineRule="exact"/>
              <w:jc w:val="left"/>
              <w:rPr>
                <w:color w:val="000000"/>
                <w:kern w:val="0"/>
                <w:sz w:val="18"/>
                <w:szCs w:val="18"/>
              </w:rPr>
            </w:pP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14:paraId="61172E96">
            <w:pPr>
              <w:spacing w:line="320" w:lineRule="exact"/>
              <w:jc w:val="left"/>
              <w:rPr>
                <w:color w:val="000000"/>
                <w:kern w:val="0"/>
                <w:sz w:val="18"/>
                <w:szCs w:val="18"/>
              </w:rPr>
            </w:pPr>
            <w:r>
              <w:rPr>
                <w:rFonts w:hint="eastAsia"/>
                <w:color w:val="000000"/>
                <w:kern w:val="0"/>
                <w:sz w:val="18"/>
                <w:szCs w:val="18"/>
              </w:rPr>
              <w:t>第二十四条第二款　城市供水单位应当依据所在地城市供水水质突发事件应急预案，制定相应的突发事件应急预案，报所在地直辖市、市、县人民政府城市供水主管部门备案，并定期组织演练。</w:t>
            </w:r>
          </w:p>
          <w:p w14:paraId="422B5A09">
            <w:pPr>
              <w:spacing w:line="320" w:lineRule="exact"/>
              <w:jc w:val="left"/>
              <w:rPr>
                <w:color w:val="000000"/>
                <w:kern w:val="0"/>
                <w:sz w:val="18"/>
                <w:szCs w:val="18"/>
              </w:rPr>
            </w:pPr>
            <w:r>
              <w:rPr>
                <w:rFonts w:hint="eastAsia"/>
                <w:color w:val="000000"/>
                <w:kern w:val="0"/>
                <w:sz w:val="18"/>
                <w:szCs w:val="18"/>
              </w:rPr>
              <w:t>第三十条　违反本规定，有下列行为之一的，由直辖市、市、县人民政府城市供水主管部门给予警告，并处以</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万元以下的罚款：</w:t>
            </w:r>
          </w:p>
          <w:p w14:paraId="038F4AA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（一）城市供水单位未制定城市供水水质突发事件应急预案的。</w:t>
            </w:r>
          </w:p>
        </w:tc>
      </w:tr>
      <w:tr w14:paraId="05EC786A">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384DED91">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5C8B7FB6">
            <w:pPr>
              <w:spacing w:line="320" w:lineRule="exact"/>
              <w:jc w:val="left"/>
              <w:rPr>
                <w:color w:val="000000"/>
                <w:kern w:val="0"/>
                <w:sz w:val="18"/>
                <w:szCs w:val="18"/>
              </w:rPr>
            </w:pPr>
            <w:r>
              <w:rPr>
                <w:rFonts w:hint="eastAsia"/>
                <w:color w:val="000000"/>
                <w:kern w:val="0"/>
                <w:sz w:val="18"/>
                <w:szCs w:val="18"/>
              </w:rPr>
              <w:t>警告；罚款</w:t>
            </w:r>
          </w:p>
        </w:tc>
      </w:tr>
      <w:tr w14:paraId="1F1714B6">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4F35B9D4">
            <w:pPr>
              <w:spacing w:line="320" w:lineRule="exact"/>
              <w:jc w:val="center"/>
              <w:rPr>
                <w:color w:val="000000"/>
                <w:kern w:val="0"/>
                <w:sz w:val="18"/>
                <w:szCs w:val="18"/>
              </w:rPr>
            </w:pPr>
            <w:r>
              <w:rPr>
                <w:rFonts w:hint="eastAsia"/>
                <w:color w:val="000000"/>
                <w:kern w:val="0"/>
                <w:sz w:val="18"/>
                <w:szCs w:val="18"/>
              </w:rPr>
              <w:t>裁量基准</w:t>
            </w:r>
          </w:p>
        </w:tc>
      </w:tr>
      <w:tr w14:paraId="567CAE7E">
        <w:tblPrEx>
          <w:tblCellMar>
            <w:top w:w="0" w:type="dxa"/>
            <w:left w:w="108" w:type="dxa"/>
            <w:bottom w:w="0" w:type="dxa"/>
            <w:right w:w="108" w:type="dxa"/>
          </w:tblCellMar>
        </w:tblPrEx>
        <w:trPr>
          <w:gridAfter w:val="1"/>
          <w:wAfter w:w="14" w:type="dxa"/>
          <w:trHeight w:val="322" w:hRule="atLeast"/>
        </w:trPr>
        <w:tc>
          <w:tcPr>
            <w:tcW w:w="996" w:type="dxa"/>
            <w:vMerge w:val="restart"/>
            <w:tcBorders>
              <w:top w:val="nil"/>
              <w:left w:val="single" w:color="auto" w:sz="8" w:space="0"/>
              <w:right w:val="single" w:color="auto" w:sz="4" w:space="0"/>
            </w:tcBorders>
            <w:vAlign w:val="center"/>
          </w:tcPr>
          <w:p w14:paraId="0DCDCB3C">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499D584A">
            <w:pPr>
              <w:spacing w:line="320" w:lineRule="exact"/>
              <w:jc w:val="left"/>
              <w:rPr>
                <w:color w:val="000000"/>
                <w:kern w:val="0"/>
                <w:sz w:val="18"/>
                <w:szCs w:val="18"/>
              </w:rPr>
            </w:pPr>
            <w:r>
              <w:rPr>
                <w:rFonts w:hint="eastAsia"/>
                <w:color w:val="000000"/>
                <w:kern w:val="0"/>
                <w:sz w:val="18"/>
                <w:szCs w:val="18"/>
              </w:rPr>
              <w:t>未发生城市供水水质突发事件的</w:t>
            </w:r>
          </w:p>
        </w:tc>
        <w:tc>
          <w:tcPr>
            <w:tcW w:w="1139" w:type="dxa"/>
            <w:vMerge w:val="restart"/>
            <w:tcBorders>
              <w:top w:val="nil"/>
              <w:left w:val="single" w:color="auto" w:sz="4" w:space="0"/>
              <w:right w:val="single" w:color="auto" w:sz="4" w:space="0"/>
            </w:tcBorders>
            <w:vAlign w:val="center"/>
          </w:tcPr>
          <w:p w14:paraId="77606AAC">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1AD4812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2A4DC593">
        <w:tblPrEx>
          <w:tblCellMar>
            <w:top w:w="0" w:type="dxa"/>
            <w:left w:w="108" w:type="dxa"/>
            <w:bottom w:w="0" w:type="dxa"/>
            <w:right w:w="108" w:type="dxa"/>
          </w:tblCellMar>
        </w:tblPrEx>
        <w:trPr>
          <w:gridAfter w:val="1"/>
          <w:wAfter w:w="14" w:type="dxa"/>
          <w:trHeight w:val="418" w:hRule="atLeast"/>
        </w:trPr>
        <w:tc>
          <w:tcPr>
            <w:tcW w:w="996" w:type="dxa"/>
            <w:vMerge w:val="continue"/>
            <w:tcBorders>
              <w:left w:val="single" w:color="auto" w:sz="8" w:space="0"/>
              <w:bottom w:val="single" w:color="auto" w:sz="4" w:space="0"/>
              <w:right w:val="single" w:color="auto" w:sz="4" w:space="0"/>
            </w:tcBorders>
            <w:vAlign w:val="center"/>
          </w:tcPr>
          <w:p w14:paraId="3CFB4F25">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6B93442C">
            <w:pPr>
              <w:spacing w:line="320" w:lineRule="exact"/>
              <w:jc w:val="left"/>
              <w:rPr>
                <w:color w:val="000000"/>
                <w:kern w:val="0"/>
                <w:sz w:val="18"/>
                <w:szCs w:val="18"/>
              </w:rPr>
            </w:pPr>
            <w:r>
              <w:rPr>
                <w:rFonts w:hint="eastAsia"/>
                <w:color w:val="000000"/>
                <w:kern w:val="0"/>
                <w:sz w:val="18"/>
                <w:szCs w:val="18"/>
              </w:rPr>
              <w:t>发生城市供水水质突发事件的</w:t>
            </w:r>
          </w:p>
        </w:tc>
        <w:tc>
          <w:tcPr>
            <w:tcW w:w="1139" w:type="dxa"/>
            <w:vMerge w:val="continue"/>
            <w:tcBorders>
              <w:left w:val="single" w:color="auto" w:sz="4" w:space="0"/>
              <w:bottom w:val="single" w:color="auto" w:sz="4" w:space="0"/>
              <w:right w:val="single" w:color="auto" w:sz="4" w:space="0"/>
            </w:tcBorders>
            <w:vAlign w:val="center"/>
          </w:tcPr>
          <w:p w14:paraId="4CDFD707">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348F7F97">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75292BB7"/>
    <w:p w14:paraId="2D5D8964"/>
    <w:p w14:paraId="236D63A2"/>
    <w:p w14:paraId="2EA5F53F"/>
    <w:p w14:paraId="0353319D"/>
    <w:p w14:paraId="1124BED6"/>
    <w:p w14:paraId="75352109"/>
    <w:p w14:paraId="229277C0"/>
    <w:p w14:paraId="1EB23137"/>
    <w:p w14:paraId="1656FE92"/>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65716B86">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624C4F8E">
            <w:pPr>
              <w:spacing w:line="24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70C3661B">
            <w:pPr>
              <w:spacing w:line="240" w:lineRule="exact"/>
              <w:jc w:val="left"/>
              <w:rPr>
                <w:b/>
                <w:color w:val="000000"/>
                <w:kern w:val="0"/>
                <w:sz w:val="18"/>
                <w:szCs w:val="18"/>
              </w:rPr>
            </w:pPr>
            <w:r>
              <w:rPr>
                <w:b/>
                <w:color w:val="000000"/>
                <w:kern w:val="0"/>
                <w:sz w:val="18"/>
                <w:szCs w:val="18"/>
              </w:rPr>
              <w:t>320217545000</w:t>
            </w:r>
            <w:r>
              <w:rPr>
                <w:rFonts w:hint="eastAsia"/>
                <w:b/>
                <w:color w:val="000000"/>
                <w:kern w:val="0"/>
                <w:sz w:val="18"/>
                <w:szCs w:val="18"/>
              </w:rPr>
              <w:t xml:space="preserve"> </w:t>
            </w:r>
          </w:p>
        </w:tc>
      </w:tr>
      <w:tr w14:paraId="69248DF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0F75BAF">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3AAF4913">
            <w:pPr>
              <w:spacing w:line="240" w:lineRule="exact"/>
              <w:jc w:val="left"/>
              <w:rPr>
                <w:color w:val="000000"/>
                <w:kern w:val="0"/>
                <w:sz w:val="18"/>
                <w:szCs w:val="18"/>
              </w:rPr>
            </w:pPr>
            <w:r>
              <w:rPr>
                <w:rFonts w:hint="eastAsia"/>
                <w:color w:val="000000"/>
                <w:kern w:val="0"/>
                <w:sz w:val="18"/>
                <w:szCs w:val="18"/>
              </w:rPr>
              <w:t>对招标人以不合理的条件限制或者排斥潜在投标人的，对潜在投标人实行歧视待遇的，强制要求投标人组成联合体共同投标的，或者限制投标人之间竞争的处罚</w:t>
            </w:r>
          </w:p>
        </w:tc>
      </w:tr>
      <w:tr w14:paraId="2863DFCF">
        <w:tblPrEx>
          <w:tblCellMar>
            <w:top w:w="0" w:type="dxa"/>
            <w:left w:w="108" w:type="dxa"/>
            <w:bottom w:w="0" w:type="dxa"/>
            <w:right w:w="108" w:type="dxa"/>
          </w:tblCellMar>
        </w:tblPrEx>
        <w:trPr>
          <w:trHeight w:val="1380" w:hRule="atLeast"/>
        </w:trPr>
        <w:tc>
          <w:tcPr>
            <w:tcW w:w="1070" w:type="dxa"/>
            <w:tcBorders>
              <w:top w:val="nil"/>
              <w:left w:val="single" w:color="auto" w:sz="8" w:space="0"/>
              <w:bottom w:val="single" w:color="auto" w:sz="4" w:space="0"/>
              <w:right w:val="single" w:color="auto" w:sz="4" w:space="0"/>
            </w:tcBorders>
            <w:vAlign w:val="center"/>
          </w:tcPr>
          <w:p w14:paraId="0FBD99C9">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41502E1A">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【法律】《中华人民共和国招标投标法》</w:t>
            </w:r>
            <w:r>
              <w:rPr>
                <w:color w:val="000000"/>
                <w:kern w:val="0"/>
                <w:sz w:val="18"/>
                <w:szCs w:val="18"/>
              </w:rPr>
              <w:br w:type="textWrapping"/>
            </w:r>
            <w:r>
              <w:rPr>
                <w:rFonts w:hint="eastAsia"/>
                <w:color w:val="000000"/>
                <w:kern w:val="0"/>
                <w:sz w:val="18"/>
                <w:szCs w:val="18"/>
              </w:rPr>
              <w:t>第十八条第二款　招标人不得以不合理的条件限制或者排斥潜在投标人，不得对潜在投标人实行歧视待遇。</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第三十一条第四款　招标人不得强制投标人组成联合体共同投标，不得限制投标人之间的竞争。</w:t>
            </w:r>
            <w:r>
              <w:rPr>
                <w:color w:val="000000"/>
                <w:kern w:val="0"/>
                <w:sz w:val="18"/>
                <w:szCs w:val="18"/>
              </w:rPr>
              <w:br w:type="textWrapping"/>
            </w:r>
            <w:r>
              <w:rPr>
                <w:rFonts w:hint="eastAsia"/>
                <w:color w:val="000000"/>
                <w:kern w:val="0"/>
                <w:sz w:val="18"/>
                <w:szCs w:val="18"/>
              </w:rPr>
              <w:t>第五十一条　招标人以不合理的条件限制或者排斥潜在投标人的，对潜在投标人实行歧视待遇的，强制要求投标人组成联合体共同投标的，或者限制投标人之间竞争的，责令改正，可以处一万元以上五万元以下的罚款。</w:t>
            </w:r>
          </w:p>
        </w:tc>
      </w:tr>
      <w:tr w14:paraId="3A338152">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0BF7D59">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763243C3">
            <w:pPr>
              <w:spacing w:line="240" w:lineRule="exact"/>
              <w:jc w:val="left"/>
              <w:rPr>
                <w:color w:val="000000"/>
                <w:kern w:val="0"/>
                <w:sz w:val="18"/>
                <w:szCs w:val="18"/>
              </w:rPr>
            </w:pPr>
            <w:r>
              <w:rPr>
                <w:rFonts w:hint="eastAsia"/>
                <w:color w:val="000000"/>
                <w:kern w:val="0"/>
                <w:sz w:val="18"/>
                <w:szCs w:val="18"/>
              </w:rPr>
              <w:t>罚款</w:t>
            </w:r>
          </w:p>
        </w:tc>
      </w:tr>
      <w:tr w14:paraId="0E7C42BF">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008E44DD">
            <w:pPr>
              <w:spacing w:line="240" w:lineRule="exact"/>
              <w:jc w:val="center"/>
              <w:rPr>
                <w:color w:val="000000"/>
                <w:kern w:val="0"/>
                <w:sz w:val="18"/>
                <w:szCs w:val="18"/>
              </w:rPr>
            </w:pPr>
            <w:r>
              <w:rPr>
                <w:rFonts w:hint="eastAsia"/>
                <w:color w:val="000000"/>
                <w:kern w:val="0"/>
                <w:sz w:val="18"/>
                <w:szCs w:val="18"/>
              </w:rPr>
              <w:t>裁量基准</w:t>
            </w:r>
          </w:p>
        </w:tc>
      </w:tr>
      <w:tr w14:paraId="1F4FF28A">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03C526B5">
            <w:pPr>
              <w:spacing w:line="240" w:lineRule="exact"/>
              <w:jc w:val="left"/>
              <w:rPr>
                <w:color w:val="000000"/>
                <w:kern w:val="0"/>
                <w:sz w:val="18"/>
                <w:szCs w:val="18"/>
              </w:rPr>
            </w:pPr>
            <w:r>
              <w:rPr>
                <w:rFonts w:hint="eastAsia"/>
                <w:color w:val="000000"/>
                <w:kern w:val="0"/>
                <w:sz w:val="18"/>
                <w:szCs w:val="18"/>
              </w:rPr>
              <w:t>情形描述</w:t>
            </w:r>
          </w:p>
          <w:p w14:paraId="2F09BFE4">
            <w:pPr>
              <w:spacing w:line="240" w:lineRule="exact"/>
              <w:jc w:val="left"/>
              <w:rPr>
                <w:color w:val="000000"/>
                <w:kern w:val="0"/>
                <w:sz w:val="18"/>
                <w:szCs w:val="18"/>
              </w:rPr>
            </w:pPr>
            <w:r>
              <w:rPr>
                <w:rFonts w:hint="eastAsia"/>
                <w:color w:val="000000"/>
                <w:kern w:val="0"/>
                <w:sz w:val="18"/>
                <w:szCs w:val="18"/>
              </w:rPr>
              <w:t>　</w:t>
            </w:r>
          </w:p>
        </w:tc>
        <w:tc>
          <w:tcPr>
            <w:tcW w:w="6140" w:type="dxa"/>
            <w:tcBorders>
              <w:top w:val="single" w:color="auto" w:sz="4" w:space="0"/>
              <w:left w:val="nil"/>
              <w:bottom w:val="single" w:color="auto" w:sz="4" w:space="0"/>
              <w:right w:val="single" w:color="auto" w:sz="4" w:space="0"/>
            </w:tcBorders>
            <w:vAlign w:val="center"/>
          </w:tcPr>
          <w:p w14:paraId="5837DA90">
            <w:pPr>
              <w:spacing w:line="240" w:lineRule="exact"/>
              <w:jc w:val="left"/>
              <w:rPr>
                <w:color w:val="000000"/>
                <w:kern w:val="0"/>
                <w:sz w:val="18"/>
                <w:szCs w:val="18"/>
              </w:rPr>
            </w:pPr>
            <w:r>
              <w:rPr>
                <w:rFonts w:hint="eastAsia"/>
                <w:color w:val="000000"/>
                <w:kern w:val="0"/>
                <w:sz w:val="18"/>
                <w:szCs w:val="18"/>
              </w:rPr>
              <w:t>仅有一种违法行为且按照要求改正的</w:t>
            </w:r>
          </w:p>
        </w:tc>
        <w:tc>
          <w:tcPr>
            <w:tcW w:w="1106" w:type="dxa"/>
            <w:vMerge w:val="restart"/>
            <w:tcBorders>
              <w:top w:val="nil"/>
              <w:left w:val="nil"/>
              <w:right w:val="single" w:color="auto" w:sz="4" w:space="0"/>
            </w:tcBorders>
            <w:vAlign w:val="center"/>
          </w:tcPr>
          <w:p w14:paraId="0093A3BB">
            <w:pPr>
              <w:spacing w:line="240" w:lineRule="exact"/>
              <w:jc w:val="left"/>
              <w:rPr>
                <w:color w:val="000000"/>
                <w:kern w:val="0"/>
                <w:sz w:val="18"/>
                <w:szCs w:val="18"/>
              </w:rPr>
            </w:pPr>
            <w:r>
              <w:rPr>
                <w:rFonts w:hint="eastAsia"/>
                <w:color w:val="000000"/>
                <w:kern w:val="0"/>
                <w:sz w:val="18"/>
                <w:szCs w:val="18"/>
              </w:rPr>
              <w:t>裁量幅度</w:t>
            </w:r>
          </w:p>
          <w:p w14:paraId="53270EAF">
            <w:pPr>
              <w:spacing w:line="240" w:lineRule="exact"/>
              <w:jc w:val="left"/>
              <w:rPr>
                <w:color w:val="000000"/>
                <w:kern w:val="0"/>
                <w:sz w:val="18"/>
                <w:szCs w:val="18"/>
              </w:rPr>
            </w:pPr>
            <w:r>
              <w:rPr>
                <w:rFonts w:hint="eastAsia"/>
                <w:color w:val="000000"/>
                <w:kern w:val="0"/>
                <w:sz w:val="18"/>
                <w:szCs w:val="18"/>
              </w:rPr>
              <w:t>　</w:t>
            </w:r>
          </w:p>
        </w:tc>
        <w:tc>
          <w:tcPr>
            <w:tcW w:w="5714" w:type="dxa"/>
            <w:tcBorders>
              <w:top w:val="single" w:color="auto" w:sz="4" w:space="0"/>
              <w:left w:val="nil"/>
              <w:bottom w:val="single" w:color="auto" w:sz="4" w:space="0"/>
              <w:right w:val="single" w:color="auto" w:sz="4" w:space="0"/>
            </w:tcBorders>
            <w:vAlign w:val="center"/>
          </w:tcPr>
          <w:p w14:paraId="5BC4AFBA">
            <w:pPr>
              <w:spacing w:line="24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669E7A29">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48DD4C3F">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E31E000">
            <w:pPr>
              <w:spacing w:line="240" w:lineRule="exact"/>
              <w:jc w:val="left"/>
              <w:rPr>
                <w:color w:val="000000"/>
                <w:kern w:val="0"/>
                <w:sz w:val="18"/>
                <w:szCs w:val="18"/>
              </w:rPr>
            </w:pPr>
            <w:r>
              <w:rPr>
                <w:rFonts w:hint="eastAsia"/>
                <w:color w:val="000000"/>
                <w:kern w:val="0"/>
                <w:sz w:val="18"/>
                <w:szCs w:val="18"/>
              </w:rPr>
              <w:t>有两种或两种以上违法行为且按照要求改正的</w:t>
            </w:r>
          </w:p>
        </w:tc>
        <w:tc>
          <w:tcPr>
            <w:tcW w:w="1106" w:type="dxa"/>
            <w:vMerge w:val="continue"/>
            <w:tcBorders>
              <w:left w:val="nil"/>
              <w:right w:val="single" w:color="auto" w:sz="4" w:space="0"/>
            </w:tcBorders>
            <w:vAlign w:val="center"/>
          </w:tcPr>
          <w:p w14:paraId="6725F9D8">
            <w:pPr>
              <w:spacing w:line="240" w:lineRule="exact"/>
              <w:jc w:val="left"/>
              <w:rPr>
                <w:color w:val="000000"/>
                <w:kern w:val="0"/>
                <w:sz w:val="18"/>
                <w:szCs w:val="18"/>
              </w:rPr>
            </w:pPr>
          </w:p>
        </w:tc>
        <w:tc>
          <w:tcPr>
            <w:tcW w:w="5714" w:type="dxa"/>
            <w:tcBorders>
              <w:top w:val="single" w:color="auto" w:sz="4" w:space="0"/>
              <w:left w:val="nil"/>
              <w:bottom w:val="single" w:color="auto" w:sz="4" w:space="0"/>
              <w:right w:val="single" w:color="auto" w:sz="4" w:space="0"/>
            </w:tcBorders>
            <w:vAlign w:val="center"/>
          </w:tcPr>
          <w:p w14:paraId="44395650">
            <w:pPr>
              <w:spacing w:line="24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7DE26BBD">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4343BCF1">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7C4587A">
            <w:pPr>
              <w:spacing w:line="240" w:lineRule="exact"/>
              <w:jc w:val="left"/>
              <w:rPr>
                <w:color w:val="000000"/>
                <w:kern w:val="0"/>
                <w:sz w:val="18"/>
                <w:szCs w:val="18"/>
              </w:rPr>
            </w:pPr>
            <w:r>
              <w:rPr>
                <w:rFonts w:hint="eastAsia"/>
                <w:color w:val="000000"/>
                <w:kern w:val="0"/>
                <w:sz w:val="18"/>
                <w:szCs w:val="18"/>
              </w:rPr>
              <w:t>仅有一种违法行为且未按照要求改正的</w:t>
            </w:r>
          </w:p>
        </w:tc>
        <w:tc>
          <w:tcPr>
            <w:tcW w:w="1106" w:type="dxa"/>
            <w:vMerge w:val="continue"/>
            <w:tcBorders>
              <w:left w:val="nil"/>
              <w:right w:val="single" w:color="auto" w:sz="4" w:space="0"/>
            </w:tcBorders>
            <w:vAlign w:val="center"/>
          </w:tcPr>
          <w:p w14:paraId="59EC8AD6">
            <w:pPr>
              <w:spacing w:line="240" w:lineRule="exact"/>
              <w:jc w:val="left"/>
              <w:rPr>
                <w:color w:val="000000"/>
                <w:kern w:val="0"/>
                <w:sz w:val="18"/>
                <w:szCs w:val="18"/>
              </w:rPr>
            </w:pPr>
          </w:p>
        </w:tc>
        <w:tc>
          <w:tcPr>
            <w:tcW w:w="5714" w:type="dxa"/>
            <w:tcBorders>
              <w:top w:val="single" w:color="auto" w:sz="4" w:space="0"/>
              <w:left w:val="nil"/>
              <w:bottom w:val="single" w:color="auto" w:sz="4" w:space="0"/>
              <w:right w:val="single" w:color="auto" w:sz="4" w:space="0"/>
            </w:tcBorders>
            <w:vAlign w:val="center"/>
          </w:tcPr>
          <w:p w14:paraId="6ECDEB8A">
            <w:pPr>
              <w:spacing w:line="24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14:paraId="14B2E8FB">
        <w:tblPrEx>
          <w:tblCellMar>
            <w:top w:w="0" w:type="dxa"/>
            <w:left w:w="108" w:type="dxa"/>
            <w:bottom w:w="0" w:type="dxa"/>
            <w:right w:w="108" w:type="dxa"/>
          </w:tblCellMar>
        </w:tblPrEx>
        <w:trPr>
          <w:trHeight w:val="285" w:hRule="atLeast"/>
        </w:trPr>
        <w:tc>
          <w:tcPr>
            <w:tcW w:w="1070" w:type="dxa"/>
            <w:vMerge w:val="continue"/>
            <w:tcBorders>
              <w:left w:val="single" w:color="auto" w:sz="8" w:space="0"/>
              <w:bottom w:val="single" w:color="auto" w:sz="4" w:space="0"/>
              <w:right w:val="single" w:color="auto" w:sz="4" w:space="0"/>
            </w:tcBorders>
            <w:vAlign w:val="center"/>
          </w:tcPr>
          <w:p w14:paraId="2E8BDF84">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5F712F5">
            <w:pPr>
              <w:spacing w:line="240" w:lineRule="exact"/>
              <w:jc w:val="left"/>
              <w:rPr>
                <w:color w:val="000000"/>
                <w:kern w:val="0"/>
                <w:sz w:val="18"/>
                <w:szCs w:val="18"/>
              </w:rPr>
            </w:pPr>
            <w:r>
              <w:rPr>
                <w:rFonts w:hint="eastAsia"/>
                <w:color w:val="000000"/>
                <w:kern w:val="0"/>
                <w:sz w:val="18"/>
                <w:szCs w:val="18"/>
              </w:rPr>
              <w:t>有两种或两种以上违法行为且未按照要求改正的</w:t>
            </w:r>
          </w:p>
        </w:tc>
        <w:tc>
          <w:tcPr>
            <w:tcW w:w="1106" w:type="dxa"/>
            <w:vMerge w:val="continue"/>
            <w:tcBorders>
              <w:left w:val="nil"/>
              <w:bottom w:val="single" w:color="auto" w:sz="4" w:space="0"/>
              <w:right w:val="single" w:color="auto" w:sz="4" w:space="0"/>
            </w:tcBorders>
            <w:vAlign w:val="center"/>
          </w:tcPr>
          <w:p w14:paraId="442FF03F">
            <w:pPr>
              <w:spacing w:line="240" w:lineRule="exact"/>
              <w:jc w:val="left"/>
              <w:rPr>
                <w:color w:val="000000"/>
                <w:kern w:val="0"/>
                <w:sz w:val="18"/>
                <w:szCs w:val="18"/>
              </w:rPr>
            </w:pPr>
          </w:p>
        </w:tc>
        <w:tc>
          <w:tcPr>
            <w:tcW w:w="5714" w:type="dxa"/>
            <w:tcBorders>
              <w:top w:val="single" w:color="auto" w:sz="4" w:space="0"/>
              <w:left w:val="nil"/>
              <w:bottom w:val="single" w:color="auto" w:sz="4" w:space="0"/>
              <w:right w:val="single" w:color="auto" w:sz="4" w:space="0"/>
            </w:tcBorders>
            <w:vAlign w:val="center"/>
          </w:tcPr>
          <w:p w14:paraId="5760D123">
            <w:pPr>
              <w:spacing w:line="240" w:lineRule="exact"/>
              <w:jc w:val="left"/>
              <w:rPr>
                <w:color w:val="000000"/>
                <w:kern w:val="0"/>
                <w:sz w:val="18"/>
                <w:szCs w:val="18"/>
              </w:rPr>
            </w:pP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7A3B80A5"/>
    <w:p w14:paraId="099AC0AA"/>
    <w:p w14:paraId="425DF232"/>
    <w:p w14:paraId="3C945A98"/>
    <w:p w14:paraId="35B6734F"/>
    <w:p w14:paraId="5656018A"/>
    <w:p w14:paraId="209FF0C3"/>
    <w:p w14:paraId="465E739D"/>
    <w:p w14:paraId="1A428552"/>
    <w:p w14:paraId="4EC2D825"/>
    <w:tbl>
      <w:tblPr>
        <w:tblStyle w:val="15"/>
        <w:tblW w:w="14060" w:type="dxa"/>
        <w:tblInd w:w="88" w:type="dxa"/>
        <w:tblLayout w:type="fixed"/>
        <w:tblCellMar>
          <w:top w:w="0" w:type="dxa"/>
          <w:left w:w="108" w:type="dxa"/>
          <w:bottom w:w="0" w:type="dxa"/>
          <w:right w:w="108" w:type="dxa"/>
        </w:tblCellMar>
      </w:tblPr>
      <w:tblGrid>
        <w:gridCol w:w="1056"/>
        <w:gridCol w:w="6140"/>
        <w:gridCol w:w="1044"/>
        <w:gridCol w:w="5820"/>
      </w:tblGrid>
      <w:tr w14:paraId="30130335">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352DC003">
            <w:pPr>
              <w:jc w:val="center"/>
              <w:rPr>
                <w:color w:val="000000"/>
              </w:rPr>
            </w:pPr>
            <w:r>
              <w:rPr>
                <w:rFonts w:hint="eastAsia"/>
                <w:color w:val="000000"/>
              </w:rPr>
              <w:t>编号</w:t>
            </w:r>
          </w:p>
        </w:tc>
        <w:tc>
          <w:tcPr>
            <w:tcW w:w="13004" w:type="dxa"/>
            <w:gridSpan w:val="3"/>
            <w:tcBorders>
              <w:top w:val="single" w:color="auto" w:sz="8" w:space="0"/>
              <w:left w:val="nil"/>
              <w:bottom w:val="single" w:color="auto" w:sz="4" w:space="0"/>
              <w:right w:val="single" w:color="000000" w:sz="8" w:space="0"/>
            </w:tcBorders>
            <w:vAlign w:val="center"/>
          </w:tcPr>
          <w:p w14:paraId="743EF7B2">
            <w:pPr>
              <w:rPr>
                <w:color w:val="000000"/>
              </w:rPr>
            </w:pPr>
            <w:r>
              <w:rPr>
                <w:b/>
                <w:color w:val="000000"/>
              </w:rPr>
              <w:t>320217548000</w:t>
            </w:r>
          </w:p>
        </w:tc>
      </w:tr>
      <w:tr w14:paraId="65107374">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48E27CC">
            <w:pPr>
              <w:rPr>
                <w:color w:val="000000"/>
              </w:rPr>
            </w:pPr>
            <w:r>
              <w:rPr>
                <w:rFonts w:hint="eastAsia"/>
                <w:color w:val="000000"/>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7BC00374">
            <w:pPr>
              <w:rPr>
                <w:color w:val="000000"/>
              </w:rPr>
            </w:pPr>
            <w:r>
              <w:rPr>
                <w:rFonts w:hint="eastAsia"/>
                <w:color w:val="000000"/>
              </w:rPr>
              <w:t>对邀请招标不依法发出投标邀请书的处罚</w:t>
            </w:r>
          </w:p>
        </w:tc>
      </w:tr>
      <w:tr w14:paraId="562D27C5">
        <w:tblPrEx>
          <w:tblCellMar>
            <w:top w:w="0" w:type="dxa"/>
            <w:left w:w="108" w:type="dxa"/>
            <w:bottom w:w="0" w:type="dxa"/>
            <w:right w:w="108" w:type="dxa"/>
          </w:tblCellMar>
        </w:tblPrEx>
        <w:trPr>
          <w:trHeight w:val="1365" w:hRule="atLeast"/>
        </w:trPr>
        <w:tc>
          <w:tcPr>
            <w:tcW w:w="1056" w:type="dxa"/>
            <w:tcBorders>
              <w:top w:val="nil"/>
              <w:left w:val="single" w:color="auto" w:sz="8" w:space="0"/>
              <w:bottom w:val="single" w:color="auto" w:sz="4" w:space="0"/>
              <w:right w:val="single" w:color="auto" w:sz="4" w:space="0"/>
            </w:tcBorders>
            <w:vAlign w:val="center"/>
          </w:tcPr>
          <w:p w14:paraId="3F02169A">
            <w:pPr>
              <w:rPr>
                <w:color w:val="000000"/>
              </w:rPr>
            </w:pPr>
            <w:r>
              <w:rPr>
                <w:rFonts w:hint="eastAsia"/>
                <w:color w:val="000000"/>
              </w:rPr>
              <w:t>法律依据</w:t>
            </w:r>
          </w:p>
        </w:tc>
        <w:tc>
          <w:tcPr>
            <w:tcW w:w="13004" w:type="dxa"/>
            <w:gridSpan w:val="3"/>
            <w:tcBorders>
              <w:top w:val="single" w:color="auto" w:sz="4" w:space="0"/>
              <w:left w:val="nil"/>
              <w:bottom w:val="single" w:color="auto" w:sz="4" w:space="0"/>
              <w:right w:val="single" w:color="000000" w:sz="8" w:space="0"/>
            </w:tcBorders>
          </w:tcPr>
          <w:p w14:paraId="5560EB6C">
            <w:pPr>
              <w:spacing w:line="240" w:lineRule="exact"/>
              <w:jc w:val="left"/>
              <w:rPr>
                <w:color w:val="000000"/>
              </w:rPr>
            </w:pPr>
            <w:r>
              <w:rPr>
                <w:rFonts w:hint="eastAsia"/>
                <w:color w:val="000000"/>
                <w:kern w:val="0"/>
                <w:sz w:val="18"/>
                <w:szCs w:val="18"/>
              </w:rPr>
              <w:t>【规章】《工程建设项目施工招标投标办法》（中华人民共和国国家发展计划委员会、中华人民共和国建设部、中华人民共和国铁道部、中华人民共和国交通部、中华人民共和国信息产业部、中华人民共和国水利部、中国民用航空总局令第</w:t>
            </w:r>
            <w:r>
              <w:rPr>
                <w:color w:val="000000"/>
                <w:kern w:val="0"/>
                <w:sz w:val="18"/>
                <w:szCs w:val="18"/>
              </w:rPr>
              <w:t>30</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　　第十三条　采用公开招标方式的，招标人应当发布招标公告，邀请不特定的法人或者其他组织投标。依法必须进行施工招标项目的招标公告，应当在国家指定的报刊和信息网络上发布。</w:t>
            </w:r>
            <w:r>
              <w:rPr>
                <w:color w:val="000000"/>
                <w:kern w:val="0"/>
                <w:sz w:val="18"/>
                <w:szCs w:val="18"/>
              </w:rPr>
              <w:br w:type="textWrapping"/>
            </w:r>
            <w:r>
              <w:rPr>
                <w:rFonts w:hint="eastAsia"/>
                <w:color w:val="000000"/>
                <w:kern w:val="0"/>
                <w:sz w:val="18"/>
                <w:szCs w:val="18"/>
              </w:rPr>
              <w:t>　　采用邀请招标方式的，招标人应当向三家以上具备承担施工招标项目的能力、资信良好的特定的法人或者其他组织发出投标邀请书。</w:t>
            </w:r>
            <w:r>
              <w:rPr>
                <w:color w:val="000000"/>
                <w:kern w:val="0"/>
                <w:sz w:val="18"/>
                <w:szCs w:val="18"/>
              </w:rPr>
              <w:br w:type="textWrapping"/>
            </w:r>
            <w:r>
              <w:rPr>
                <w:rFonts w:hint="eastAsia"/>
                <w:color w:val="000000"/>
                <w:kern w:val="0"/>
                <w:sz w:val="18"/>
                <w:szCs w:val="18"/>
              </w:rPr>
              <w:t>　　第十四条　招标公告或者投标邀请书应当至少载明下列内容：</w:t>
            </w:r>
            <w:r>
              <w:rPr>
                <w:color w:val="000000"/>
                <w:kern w:val="0"/>
                <w:sz w:val="18"/>
                <w:szCs w:val="18"/>
              </w:rPr>
              <w:br w:type="textWrapping"/>
            </w:r>
            <w:r>
              <w:rPr>
                <w:rFonts w:hint="eastAsia"/>
                <w:color w:val="000000"/>
                <w:kern w:val="0"/>
                <w:sz w:val="18"/>
                <w:szCs w:val="18"/>
              </w:rPr>
              <w:t>　　（一）招标人的名称和地址；</w:t>
            </w:r>
            <w:r>
              <w:rPr>
                <w:color w:val="000000"/>
                <w:kern w:val="0"/>
                <w:sz w:val="18"/>
                <w:szCs w:val="18"/>
              </w:rPr>
              <w:br w:type="textWrapping"/>
            </w:r>
            <w:r>
              <w:rPr>
                <w:rFonts w:hint="eastAsia"/>
                <w:color w:val="000000"/>
                <w:kern w:val="0"/>
                <w:sz w:val="18"/>
                <w:szCs w:val="18"/>
              </w:rPr>
              <w:t>　　（二）招标项目的内容、规模、资金来源；</w:t>
            </w:r>
            <w:r>
              <w:rPr>
                <w:color w:val="000000"/>
                <w:kern w:val="0"/>
                <w:sz w:val="18"/>
                <w:szCs w:val="18"/>
              </w:rPr>
              <w:br w:type="textWrapping"/>
            </w:r>
            <w:r>
              <w:rPr>
                <w:rFonts w:hint="eastAsia"/>
                <w:color w:val="000000"/>
                <w:kern w:val="0"/>
                <w:sz w:val="18"/>
                <w:szCs w:val="18"/>
              </w:rPr>
              <w:t>　　（三）招标项目的实施地点和工期；</w:t>
            </w:r>
            <w:r>
              <w:rPr>
                <w:color w:val="000000"/>
                <w:kern w:val="0"/>
                <w:sz w:val="18"/>
                <w:szCs w:val="18"/>
              </w:rPr>
              <w:br w:type="textWrapping"/>
            </w:r>
            <w:r>
              <w:rPr>
                <w:rFonts w:hint="eastAsia"/>
                <w:color w:val="000000"/>
                <w:kern w:val="0"/>
                <w:sz w:val="18"/>
                <w:szCs w:val="18"/>
              </w:rPr>
              <w:t>　　（四）获取招标文件或者资格预审文件的地点和时间；</w:t>
            </w:r>
            <w:r>
              <w:rPr>
                <w:color w:val="000000"/>
                <w:kern w:val="0"/>
                <w:sz w:val="18"/>
                <w:szCs w:val="18"/>
              </w:rPr>
              <w:br w:type="textWrapping"/>
            </w:r>
            <w:r>
              <w:rPr>
                <w:rFonts w:hint="eastAsia"/>
                <w:color w:val="000000"/>
                <w:kern w:val="0"/>
                <w:sz w:val="18"/>
                <w:szCs w:val="18"/>
              </w:rPr>
              <w:t>　　（五）对招标文件或者资格预审文件收取的费用；</w:t>
            </w:r>
            <w:r>
              <w:rPr>
                <w:color w:val="000000"/>
                <w:kern w:val="0"/>
                <w:sz w:val="18"/>
                <w:szCs w:val="18"/>
              </w:rPr>
              <w:br w:type="textWrapping"/>
            </w:r>
            <w:r>
              <w:rPr>
                <w:rFonts w:hint="eastAsia"/>
                <w:color w:val="000000"/>
                <w:kern w:val="0"/>
                <w:sz w:val="18"/>
                <w:szCs w:val="18"/>
              </w:rPr>
              <w:t>　　（六）对招标人的资质等级的要求。</w:t>
            </w:r>
            <w:r>
              <w:rPr>
                <w:color w:val="000000"/>
                <w:kern w:val="0"/>
                <w:sz w:val="18"/>
                <w:szCs w:val="18"/>
              </w:rPr>
              <w:br w:type="textWrapping"/>
            </w:r>
            <w:r>
              <w:rPr>
                <w:rFonts w:hint="eastAsia"/>
                <w:color w:val="000000"/>
                <w:kern w:val="0"/>
                <w:sz w:val="18"/>
                <w:szCs w:val="18"/>
              </w:rPr>
              <w:t>第七十三条：招标人或者招标代理机构有下列情形之一的，有关行政监督部门责令其限期改正，根据情节可处三万元以下的罚款；情节严重的，招标无效：</w:t>
            </w:r>
            <w:r>
              <w:rPr>
                <w:color w:val="000000"/>
                <w:kern w:val="0"/>
                <w:sz w:val="18"/>
                <w:szCs w:val="18"/>
              </w:rPr>
              <w:t xml:space="preserve">  ……  </w:t>
            </w:r>
            <w:r>
              <w:rPr>
                <w:rFonts w:hint="eastAsia"/>
                <w:color w:val="000000"/>
                <w:kern w:val="0"/>
                <w:sz w:val="18"/>
                <w:szCs w:val="18"/>
              </w:rPr>
              <w:t>（二）邀请招标不依法发出投标邀请书的；</w:t>
            </w:r>
            <w:r>
              <w:rPr>
                <w:color w:val="000000"/>
                <w:kern w:val="0"/>
                <w:sz w:val="18"/>
                <w:szCs w:val="18"/>
              </w:rPr>
              <w:t xml:space="preserve">  ……</w:t>
            </w:r>
            <w:r>
              <w:rPr>
                <w:rFonts w:hint="eastAsia"/>
                <w:color w:val="000000"/>
                <w:kern w:val="0"/>
                <w:sz w:val="18"/>
                <w:szCs w:val="18"/>
              </w:rPr>
              <w:t>。</w:t>
            </w:r>
          </w:p>
        </w:tc>
      </w:tr>
      <w:tr w14:paraId="423D4E3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B6E55AD">
            <w:pPr>
              <w:rPr>
                <w:color w:val="000000"/>
              </w:rPr>
            </w:pPr>
            <w:r>
              <w:rPr>
                <w:rFonts w:hint="eastAsia"/>
                <w:color w:val="000000"/>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10DF64BF">
            <w:pPr>
              <w:rPr>
                <w:color w:val="000000"/>
              </w:rPr>
            </w:pPr>
            <w:r>
              <w:rPr>
                <w:rFonts w:hint="eastAsia"/>
                <w:color w:val="000000"/>
              </w:rPr>
              <w:t>罚款</w:t>
            </w:r>
          </w:p>
        </w:tc>
      </w:tr>
      <w:tr w14:paraId="671527D9">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4" w:space="0"/>
              <w:bottom w:val="single" w:color="auto" w:sz="4" w:space="0"/>
              <w:right w:val="single" w:color="auto" w:sz="4" w:space="0"/>
            </w:tcBorders>
            <w:vAlign w:val="center"/>
          </w:tcPr>
          <w:p w14:paraId="3A24C05B">
            <w:pPr>
              <w:jc w:val="center"/>
              <w:rPr>
                <w:color w:val="000000"/>
              </w:rPr>
            </w:pPr>
            <w:r>
              <w:rPr>
                <w:rFonts w:hint="eastAsia"/>
                <w:color w:val="000000"/>
              </w:rPr>
              <w:t>裁量基准</w:t>
            </w:r>
          </w:p>
        </w:tc>
      </w:tr>
      <w:tr w14:paraId="4E435537">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right w:val="single" w:color="auto" w:sz="4" w:space="0"/>
            </w:tcBorders>
            <w:vAlign w:val="center"/>
          </w:tcPr>
          <w:p w14:paraId="47CD8C69">
            <w:pPr>
              <w:rPr>
                <w:color w:val="000000"/>
              </w:rPr>
            </w:pPr>
            <w:r>
              <w:rPr>
                <w:rFonts w:hint="eastAsia"/>
                <w:color w:val="000000"/>
              </w:rPr>
              <w:t>情形描述</w:t>
            </w:r>
          </w:p>
        </w:tc>
        <w:tc>
          <w:tcPr>
            <w:tcW w:w="6140" w:type="dxa"/>
            <w:tcBorders>
              <w:top w:val="nil"/>
              <w:left w:val="nil"/>
              <w:bottom w:val="single" w:color="auto" w:sz="4" w:space="0"/>
              <w:right w:val="single" w:color="auto" w:sz="4" w:space="0"/>
            </w:tcBorders>
            <w:vAlign w:val="center"/>
          </w:tcPr>
          <w:p w14:paraId="1321AD55">
            <w:pPr>
              <w:rPr>
                <w:color w:val="000000"/>
              </w:rPr>
            </w:pPr>
            <w:r>
              <w:rPr>
                <w:rFonts w:hint="eastAsia"/>
                <w:color w:val="000000"/>
              </w:rPr>
              <w:t>按要求改正的</w:t>
            </w:r>
          </w:p>
        </w:tc>
        <w:tc>
          <w:tcPr>
            <w:tcW w:w="1044" w:type="dxa"/>
            <w:vMerge w:val="restart"/>
            <w:tcBorders>
              <w:top w:val="nil"/>
              <w:left w:val="single" w:color="auto" w:sz="4" w:space="0"/>
              <w:bottom w:val="single" w:color="auto" w:sz="4" w:space="0"/>
              <w:right w:val="single" w:color="auto" w:sz="4" w:space="0"/>
            </w:tcBorders>
            <w:vAlign w:val="center"/>
          </w:tcPr>
          <w:p w14:paraId="592C410A">
            <w:pPr>
              <w:rPr>
                <w:color w:val="000000"/>
              </w:rPr>
            </w:pPr>
            <w:r>
              <w:rPr>
                <w:rFonts w:hint="eastAsia"/>
                <w:color w:val="000000"/>
              </w:rPr>
              <w:t>裁量幅度</w:t>
            </w:r>
          </w:p>
        </w:tc>
        <w:tc>
          <w:tcPr>
            <w:tcW w:w="5820" w:type="dxa"/>
            <w:tcBorders>
              <w:top w:val="single" w:color="auto" w:sz="4" w:space="0"/>
              <w:left w:val="nil"/>
              <w:bottom w:val="single" w:color="auto" w:sz="4" w:space="0"/>
              <w:right w:val="single" w:color="auto" w:sz="4" w:space="0"/>
            </w:tcBorders>
            <w:vAlign w:val="center"/>
          </w:tcPr>
          <w:p w14:paraId="25FAAB0C">
            <w:pPr>
              <w:rPr>
                <w:color w:val="000000"/>
              </w:rPr>
            </w:pPr>
            <w:r>
              <w:rPr>
                <w:rFonts w:hint="eastAsia"/>
                <w:color w:val="000000"/>
              </w:rPr>
              <w:t>处</w:t>
            </w:r>
            <w:r>
              <w:rPr>
                <w:color w:val="000000"/>
              </w:rPr>
              <w:t>1.5</w:t>
            </w:r>
            <w:r>
              <w:rPr>
                <w:rFonts w:hint="eastAsia"/>
                <w:color w:val="000000"/>
              </w:rPr>
              <w:t>万元以下罚款</w:t>
            </w:r>
          </w:p>
        </w:tc>
      </w:tr>
      <w:tr w14:paraId="2B95C480">
        <w:tblPrEx>
          <w:tblCellMar>
            <w:top w:w="0" w:type="dxa"/>
            <w:left w:w="108" w:type="dxa"/>
            <w:bottom w:w="0" w:type="dxa"/>
            <w:right w:w="108" w:type="dxa"/>
          </w:tblCellMar>
        </w:tblPrEx>
        <w:trPr>
          <w:trHeight w:val="518" w:hRule="atLeast"/>
        </w:trPr>
        <w:tc>
          <w:tcPr>
            <w:tcW w:w="1056" w:type="dxa"/>
            <w:vMerge w:val="continue"/>
            <w:tcBorders>
              <w:left w:val="single" w:color="auto" w:sz="8" w:space="0"/>
              <w:bottom w:val="single" w:color="auto" w:sz="4" w:space="0"/>
              <w:right w:val="single" w:color="auto" w:sz="4" w:space="0"/>
            </w:tcBorders>
            <w:vAlign w:val="center"/>
          </w:tcPr>
          <w:p w14:paraId="74514FFA">
            <w:pPr>
              <w:rPr>
                <w:color w:val="000000"/>
              </w:rPr>
            </w:pPr>
          </w:p>
        </w:tc>
        <w:tc>
          <w:tcPr>
            <w:tcW w:w="6140" w:type="dxa"/>
            <w:tcBorders>
              <w:top w:val="single" w:color="auto" w:sz="4" w:space="0"/>
              <w:left w:val="nil"/>
              <w:bottom w:val="single" w:color="auto" w:sz="4" w:space="0"/>
              <w:right w:val="single" w:color="auto" w:sz="4" w:space="0"/>
            </w:tcBorders>
            <w:vAlign w:val="center"/>
          </w:tcPr>
          <w:p w14:paraId="0CA0C1E1">
            <w:pPr>
              <w:rPr>
                <w:color w:val="000000"/>
              </w:rPr>
            </w:pPr>
            <w:r>
              <w:rPr>
                <w:rFonts w:hint="eastAsia"/>
                <w:color w:val="000000"/>
              </w:rPr>
              <w:t>拒不改正或者招标已经结束的</w:t>
            </w:r>
          </w:p>
        </w:tc>
        <w:tc>
          <w:tcPr>
            <w:tcW w:w="1044" w:type="dxa"/>
            <w:vMerge w:val="continue"/>
            <w:tcBorders>
              <w:top w:val="single" w:color="auto" w:sz="4" w:space="0"/>
              <w:left w:val="single" w:color="auto" w:sz="4" w:space="0"/>
              <w:bottom w:val="single" w:color="auto" w:sz="4" w:space="0"/>
              <w:right w:val="single" w:color="auto" w:sz="4" w:space="0"/>
            </w:tcBorders>
            <w:vAlign w:val="center"/>
          </w:tcPr>
          <w:p w14:paraId="4F18E747">
            <w:pPr>
              <w:rPr>
                <w:color w:val="000000"/>
              </w:rPr>
            </w:pPr>
          </w:p>
        </w:tc>
        <w:tc>
          <w:tcPr>
            <w:tcW w:w="5820" w:type="dxa"/>
            <w:tcBorders>
              <w:top w:val="single" w:color="auto" w:sz="4" w:space="0"/>
              <w:left w:val="nil"/>
              <w:bottom w:val="single" w:color="auto" w:sz="4" w:space="0"/>
              <w:right w:val="single" w:color="auto" w:sz="4" w:space="0"/>
            </w:tcBorders>
            <w:vAlign w:val="center"/>
          </w:tcPr>
          <w:p w14:paraId="12AC5E19">
            <w:pPr>
              <w:rPr>
                <w:color w:val="000000"/>
              </w:rPr>
            </w:pPr>
            <w:r>
              <w:rPr>
                <w:rFonts w:hint="eastAsia"/>
                <w:color w:val="000000"/>
              </w:rPr>
              <w:t>处</w:t>
            </w:r>
            <w:r>
              <w:rPr>
                <w:color w:val="000000"/>
              </w:rPr>
              <w:t>1.5</w:t>
            </w:r>
            <w:r>
              <w:rPr>
                <w:rFonts w:hint="eastAsia"/>
                <w:color w:val="000000"/>
              </w:rPr>
              <w:t>万以上</w:t>
            </w:r>
            <w:r>
              <w:rPr>
                <w:color w:val="000000"/>
              </w:rPr>
              <w:t>3</w:t>
            </w:r>
            <w:r>
              <w:rPr>
                <w:rFonts w:hint="eastAsia"/>
                <w:color w:val="000000"/>
              </w:rPr>
              <w:t>万元以下罚款</w:t>
            </w:r>
          </w:p>
        </w:tc>
      </w:tr>
    </w:tbl>
    <w:p w14:paraId="66223684"/>
    <w:p w14:paraId="56CFBB30"/>
    <w:p w14:paraId="175779F1"/>
    <w:p w14:paraId="5228D98F"/>
    <w:p w14:paraId="12D04024"/>
    <w:tbl>
      <w:tblPr>
        <w:tblStyle w:val="15"/>
        <w:tblW w:w="14520" w:type="dxa"/>
        <w:tblInd w:w="88" w:type="dxa"/>
        <w:tblLayout w:type="fixed"/>
        <w:tblCellMar>
          <w:top w:w="0" w:type="dxa"/>
          <w:left w:w="108" w:type="dxa"/>
          <w:bottom w:w="0" w:type="dxa"/>
          <w:right w:w="108" w:type="dxa"/>
        </w:tblCellMar>
      </w:tblPr>
      <w:tblGrid>
        <w:gridCol w:w="1056"/>
        <w:gridCol w:w="6140"/>
        <w:gridCol w:w="1188"/>
        <w:gridCol w:w="5676"/>
        <w:gridCol w:w="460"/>
      </w:tblGrid>
      <w:tr w14:paraId="5BFDEF4C">
        <w:tblPrEx>
          <w:tblCellMar>
            <w:top w:w="0" w:type="dxa"/>
            <w:left w:w="108" w:type="dxa"/>
            <w:bottom w:w="0" w:type="dxa"/>
            <w:right w:w="108" w:type="dxa"/>
          </w:tblCellMar>
        </w:tblPrEx>
        <w:trPr>
          <w:gridAfter w:val="1"/>
          <w:wAfter w:w="460" w:type="dxa"/>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819BFB6">
            <w:pPr>
              <w:spacing w:line="24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6AFA20F0">
            <w:pPr>
              <w:rPr>
                <w:color w:val="000000"/>
              </w:rPr>
            </w:pPr>
            <w:r>
              <w:rPr>
                <w:b/>
                <w:color w:val="000000"/>
              </w:rPr>
              <w:t>320217549000</w:t>
            </w:r>
          </w:p>
        </w:tc>
      </w:tr>
      <w:tr w14:paraId="343D7248">
        <w:tblPrEx>
          <w:tblCellMar>
            <w:top w:w="0" w:type="dxa"/>
            <w:left w:w="108" w:type="dxa"/>
            <w:bottom w:w="0" w:type="dxa"/>
            <w:right w:w="108" w:type="dxa"/>
          </w:tblCellMar>
        </w:tblPrEx>
        <w:trPr>
          <w:gridAfter w:val="1"/>
          <w:wAfter w:w="460" w:type="dxa"/>
          <w:trHeight w:val="285" w:hRule="atLeast"/>
        </w:trPr>
        <w:tc>
          <w:tcPr>
            <w:tcW w:w="1056" w:type="dxa"/>
            <w:tcBorders>
              <w:top w:val="nil"/>
              <w:left w:val="single" w:color="auto" w:sz="8" w:space="0"/>
              <w:bottom w:val="single" w:color="auto" w:sz="4" w:space="0"/>
              <w:right w:val="single" w:color="auto" w:sz="4" w:space="0"/>
            </w:tcBorders>
            <w:vAlign w:val="center"/>
          </w:tcPr>
          <w:p w14:paraId="703B9037">
            <w:pPr>
              <w:spacing w:line="24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57FDA23E">
            <w:pPr>
              <w:rPr>
                <w:color w:val="000000"/>
              </w:rPr>
            </w:pPr>
            <w:r>
              <w:rPr>
                <w:rFonts w:hint="eastAsia"/>
                <w:color w:val="000000"/>
              </w:rPr>
              <w:t>对政府投资项目的招标人或其委托的招标代理机构不从依法组建的评标专家库中抽取专家的处罚</w:t>
            </w:r>
          </w:p>
        </w:tc>
      </w:tr>
      <w:tr w14:paraId="26CB99B6">
        <w:tblPrEx>
          <w:tblCellMar>
            <w:top w:w="0" w:type="dxa"/>
            <w:left w:w="108" w:type="dxa"/>
            <w:bottom w:w="0" w:type="dxa"/>
            <w:right w:w="108" w:type="dxa"/>
          </w:tblCellMar>
        </w:tblPrEx>
        <w:trPr>
          <w:trHeight w:val="1076" w:hRule="atLeast"/>
        </w:trPr>
        <w:tc>
          <w:tcPr>
            <w:tcW w:w="1056" w:type="dxa"/>
            <w:tcBorders>
              <w:top w:val="nil"/>
              <w:left w:val="single" w:color="auto" w:sz="8" w:space="0"/>
              <w:bottom w:val="single" w:color="auto" w:sz="4" w:space="0"/>
              <w:right w:val="single" w:color="auto" w:sz="4" w:space="0"/>
            </w:tcBorders>
            <w:vAlign w:val="center"/>
          </w:tcPr>
          <w:p w14:paraId="77B7E00A">
            <w:pPr>
              <w:spacing w:line="24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tcPr>
          <w:p w14:paraId="461E6D16">
            <w:pPr>
              <w:spacing w:line="240" w:lineRule="exact"/>
              <w:jc w:val="left"/>
              <w:rPr>
                <w:color w:val="000000"/>
                <w:kern w:val="0"/>
                <w:sz w:val="18"/>
                <w:szCs w:val="18"/>
              </w:rPr>
            </w:pPr>
            <w:r>
              <w:rPr>
                <w:rFonts w:hint="eastAsia"/>
                <w:color w:val="000000"/>
                <w:kern w:val="0"/>
                <w:sz w:val="18"/>
                <w:szCs w:val="18"/>
              </w:rPr>
              <w:t>【规章】《评标专家和评标专家库管理暂行办法》（国家国家发展计划委令第</w:t>
            </w:r>
            <w:r>
              <w:rPr>
                <w:color w:val="000000"/>
                <w:kern w:val="0"/>
                <w:sz w:val="18"/>
                <w:szCs w:val="18"/>
              </w:rPr>
              <w:t>29</w:t>
            </w:r>
            <w:r>
              <w:rPr>
                <w:rFonts w:hint="eastAsia"/>
                <w:color w:val="000000"/>
                <w:kern w:val="0"/>
                <w:sz w:val="18"/>
                <w:szCs w:val="18"/>
              </w:rPr>
              <w:t>号）</w:t>
            </w:r>
          </w:p>
          <w:p w14:paraId="66FE0009">
            <w:pPr>
              <w:spacing w:line="240" w:lineRule="exact"/>
              <w:jc w:val="left"/>
              <w:rPr>
                <w:color w:val="000000"/>
                <w:kern w:val="0"/>
                <w:sz w:val="18"/>
                <w:szCs w:val="18"/>
              </w:rPr>
            </w:pPr>
            <w:r>
              <w:rPr>
                <w:rFonts w:hint="eastAsia"/>
                <w:color w:val="000000"/>
                <w:kern w:val="0"/>
                <w:sz w:val="18"/>
                <w:szCs w:val="18"/>
              </w:rPr>
              <w:t>第五条　政府投资项目的评标专家，必须从政府或者政府有关部门组建的评标专家库中抽取。</w:t>
            </w:r>
          </w:p>
          <w:p w14:paraId="74A545F7">
            <w:pPr>
              <w:spacing w:line="240" w:lineRule="exact"/>
              <w:jc w:val="left"/>
              <w:rPr>
                <w:color w:val="000000"/>
                <w:kern w:val="0"/>
                <w:sz w:val="18"/>
                <w:szCs w:val="18"/>
              </w:rPr>
            </w:pPr>
            <w:r>
              <w:rPr>
                <w:rFonts w:hint="eastAsia"/>
                <w:color w:val="000000"/>
                <w:kern w:val="0"/>
                <w:sz w:val="18"/>
                <w:szCs w:val="18"/>
              </w:rPr>
              <w:t>第十七条第二款</w:t>
            </w:r>
            <w:r>
              <w:rPr>
                <w:color w:val="000000"/>
                <w:kern w:val="0"/>
                <w:sz w:val="18"/>
                <w:szCs w:val="18"/>
              </w:rPr>
              <w:t xml:space="preserve"> </w:t>
            </w:r>
            <w:r>
              <w:rPr>
                <w:rFonts w:hint="eastAsia"/>
                <w:color w:val="000000"/>
                <w:kern w:val="0"/>
                <w:sz w:val="18"/>
                <w:szCs w:val="18"/>
              </w:rPr>
              <w:t>政府投资项目的招标人或其委托的招标代理机构不遵守本办法第五条的规定，不从政府有关部门组建的评标专家库中抽取专家的，评标无效；情节严重的，由政府有关部门依法给予警告。</w:t>
            </w:r>
          </w:p>
        </w:tc>
        <w:tc>
          <w:tcPr>
            <w:tcW w:w="460" w:type="dxa"/>
          </w:tcPr>
          <w:p w14:paraId="3C9603E3">
            <w:pPr>
              <w:rPr>
                <w:color w:val="000000"/>
              </w:rPr>
            </w:pPr>
            <w:r>
              <w:rPr>
                <w:rFonts w:hint="eastAsia"/>
                <w:color w:val="000000"/>
              </w:rPr>
              <w:t>　</w:t>
            </w:r>
          </w:p>
        </w:tc>
      </w:tr>
      <w:tr w14:paraId="40B8346D">
        <w:tblPrEx>
          <w:tblCellMar>
            <w:top w:w="0" w:type="dxa"/>
            <w:left w:w="108" w:type="dxa"/>
            <w:bottom w:w="0" w:type="dxa"/>
            <w:right w:w="108" w:type="dxa"/>
          </w:tblCellMar>
        </w:tblPrEx>
        <w:trPr>
          <w:gridAfter w:val="1"/>
          <w:wAfter w:w="460" w:type="dxa"/>
          <w:trHeight w:val="285" w:hRule="atLeast"/>
        </w:trPr>
        <w:tc>
          <w:tcPr>
            <w:tcW w:w="1056" w:type="dxa"/>
            <w:tcBorders>
              <w:top w:val="nil"/>
              <w:left w:val="single" w:color="auto" w:sz="8" w:space="0"/>
              <w:bottom w:val="single" w:color="auto" w:sz="4" w:space="0"/>
              <w:right w:val="single" w:color="auto" w:sz="4" w:space="0"/>
            </w:tcBorders>
            <w:vAlign w:val="center"/>
          </w:tcPr>
          <w:p w14:paraId="3C85AD00">
            <w:pPr>
              <w:spacing w:line="240" w:lineRule="exact"/>
              <w:jc w:val="left"/>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142EA4E9">
            <w:pPr>
              <w:rPr>
                <w:color w:val="000000"/>
              </w:rPr>
            </w:pPr>
            <w:r>
              <w:rPr>
                <w:rFonts w:hint="eastAsia"/>
                <w:color w:val="000000"/>
              </w:rPr>
              <w:t>警告</w:t>
            </w:r>
          </w:p>
        </w:tc>
      </w:tr>
      <w:tr w14:paraId="08BAC4AF">
        <w:tblPrEx>
          <w:tblCellMar>
            <w:top w:w="0" w:type="dxa"/>
            <w:left w:w="108" w:type="dxa"/>
            <w:bottom w:w="0" w:type="dxa"/>
            <w:right w:w="108" w:type="dxa"/>
          </w:tblCellMar>
        </w:tblPrEx>
        <w:trPr>
          <w:gridAfter w:val="1"/>
          <w:wAfter w:w="460" w:type="dxa"/>
          <w:trHeight w:val="285" w:hRule="atLeast"/>
        </w:trPr>
        <w:tc>
          <w:tcPr>
            <w:tcW w:w="14060" w:type="dxa"/>
            <w:gridSpan w:val="4"/>
            <w:tcBorders>
              <w:top w:val="single" w:color="auto" w:sz="4" w:space="0"/>
              <w:left w:val="single" w:color="auto" w:sz="4" w:space="0"/>
              <w:bottom w:val="single" w:color="auto" w:sz="4" w:space="0"/>
              <w:right w:val="single" w:color="auto" w:sz="4" w:space="0"/>
            </w:tcBorders>
            <w:vAlign w:val="center"/>
          </w:tcPr>
          <w:p w14:paraId="6960A4E8">
            <w:pPr>
              <w:spacing w:line="240" w:lineRule="exact"/>
              <w:jc w:val="center"/>
              <w:rPr>
                <w:color w:val="000000"/>
                <w:kern w:val="0"/>
                <w:sz w:val="18"/>
                <w:szCs w:val="18"/>
              </w:rPr>
            </w:pPr>
            <w:r>
              <w:rPr>
                <w:rFonts w:hint="eastAsia"/>
                <w:color w:val="000000"/>
                <w:kern w:val="0"/>
                <w:sz w:val="18"/>
                <w:szCs w:val="18"/>
              </w:rPr>
              <w:t>裁量基准</w:t>
            </w:r>
          </w:p>
        </w:tc>
      </w:tr>
      <w:tr w14:paraId="0F2AAFD2">
        <w:tblPrEx>
          <w:tblCellMar>
            <w:top w:w="0" w:type="dxa"/>
            <w:left w:w="108" w:type="dxa"/>
            <w:bottom w:w="0" w:type="dxa"/>
            <w:right w:w="108" w:type="dxa"/>
          </w:tblCellMar>
        </w:tblPrEx>
        <w:trPr>
          <w:gridAfter w:val="1"/>
          <w:wAfter w:w="460" w:type="dxa"/>
          <w:trHeight w:val="517" w:hRule="atLeast"/>
        </w:trPr>
        <w:tc>
          <w:tcPr>
            <w:tcW w:w="1056" w:type="dxa"/>
            <w:tcBorders>
              <w:top w:val="single" w:color="auto" w:sz="4" w:space="0"/>
              <w:left w:val="single" w:color="auto" w:sz="4" w:space="0"/>
              <w:bottom w:val="single" w:color="auto" w:sz="4" w:space="0"/>
              <w:right w:val="single" w:color="auto" w:sz="4" w:space="0"/>
            </w:tcBorders>
            <w:vAlign w:val="center"/>
          </w:tcPr>
          <w:p w14:paraId="01AD5822">
            <w:pPr>
              <w:spacing w:line="24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9469B69">
            <w:pPr>
              <w:rPr>
                <w:color w:val="000000"/>
              </w:rPr>
            </w:pPr>
          </w:p>
        </w:tc>
        <w:tc>
          <w:tcPr>
            <w:tcW w:w="1188" w:type="dxa"/>
            <w:tcBorders>
              <w:top w:val="single" w:color="auto" w:sz="4" w:space="0"/>
              <w:left w:val="single" w:color="auto" w:sz="4" w:space="0"/>
              <w:bottom w:val="single" w:color="auto" w:sz="4" w:space="0"/>
              <w:right w:val="single" w:color="auto" w:sz="4" w:space="0"/>
            </w:tcBorders>
            <w:vAlign w:val="center"/>
          </w:tcPr>
          <w:p w14:paraId="07888FFF">
            <w:pPr>
              <w:spacing w:line="240" w:lineRule="exact"/>
              <w:jc w:val="left"/>
              <w:rPr>
                <w:color w:val="000000"/>
              </w:rPr>
            </w:pPr>
            <w:r>
              <w:rPr>
                <w:rFonts w:hint="eastAsia"/>
                <w:color w:val="000000"/>
                <w:kern w:val="0"/>
                <w:sz w:val="18"/>
                <w:szCs w:val="18"/>
              </w:rPr>
              <w:t>裁量幅度</w:t>
            </w:r>
          </w:p>
        </w:tc>
        <w:tc>
          <w:tcPr>
            <w:tcW w:w="5676" w:type="dxa"/>
            <w:tcBorders>
              <w:top w:val="single" w:color="auto" w:sz="4" w:space="0"/>
              <w:left w:val="nil"/>
              <w:bottom w:val="single" w:color="auto" w:sz="4" w:space="0"/>
              <w:right w:val="single" w:color="auto" w:sz="4" w:space="0"/>
            </w:tcBorders>
            <w:vAlign w:val="center"/>
          </w:tcPr>
          <w:p w14:paraId="3FD9CF2B">
            <w:pPr>
              <w:rPr>
                <w:color w:val="000000"/>
              </w:rPr>
            </w:pPr>
          </w:p>
        </w:tc>
      </w:tr>
    </w:tbl>
    <w:p w14:paraId="66756730"/>
    <w:tbl>
      <w:tblPr>
        <w:tblStyle w:val="15"/>
        <w:tblW w:w="14060" w:type="dxa"/>
        <w:tblInd w:w="88" w:type="dxa"/>
        <w:tblLayout w:type="fixed"/>
        <w:tblCellMar>
          <w:top w:w="0" w:type="dxa"/>
          <w:left w:w="108" w:type="dxa"/>
          <w:bottom w:w="0" w:type="dxa"/>
          <w:right w:w="108" w:type="dxa"/>
        </w:tblCellMar>
      </w:tblPr>
      <w:tblGrid>
        <w:gridCol w:w="1056"/>
        <w:gridCol w:w="6140"/>
        <w:gridCol w:w="1188"/>
        <w:gridCol w:w="5676"/>
      </w:tblGrid>
      <w:tr w14:paraId="096E90A3">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5A82DD6">
            <w:pPr>
              <w:jc w:val="center"/>
              <w:rPr>
                <w:color w:val="000000"/>
              </w:rPr>
            </w:pPr>
            <w:r>
              <w:rPr>
                <w:rFonts w:hint="eastAsia"/>
                <w:color w:val="000000"/>
              </w:rPr>
              <w:t>编号</w:t>
            </w:r>
          </w:p>
        </w:tc>
        <w:tc>
          <w:tcPr>
            <w:tcW w:w="13004" w:type="dxa"/>
            <w:gridSpan w:val="3"/>
            <w:tcBorders>
              <w:top w:val="single" w:color="auto" w:sz="8" w:space="0"/>
              <w:left w:val="nil"/>
              <w:bottom w:val="single" w:color="auto" w:sz="4" w:space="0"/>
              <w:right w:val="single" w:color="000000" w:sz="8" w:space="0"/>
            </w:tcBorders>
            <w:vAlign w:val="center"/>
          </w:tcPr>
          <w:p w14:paraId="06405E53">
            <w:pPr>
              <w:rPr>
                <w:b/>
                <w:color w:val="000000"/>
              </w:rPr>
            </w:pPr>
            <w:r>
              <w:rPr>
                <w:b/>
                <w:color w:val="000000"/>
              </w:rPr>
              <w:t>320217550000</w:t>
            </w:r>
          </w:p>
        </w:tc>
      </w:tr>
      <w:tr w14:paraId="54E5E8C3">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FD1C93B">
            <w:pPr>
              <w:rPr>
                <w:color w:val="000000"/>
              </w:rPr>
            </w:pPr>
            <w:r>
              <w:rPr>
                <w:rFonts w:hint="eastAsia"/>
                <w:color w:val="000000"/>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4DA0A30E">
            <w:pPr>
              <w:rPr>
                <w:color w:val="000000"/>
              </w:rPr>
            </w:pPr>
            <w:r>
              <w:rPr>
                <w:rFonts w:hint="eastAsia"/>
                <w:color w:val="000000"/>
              </w:rPr>
              <w:t>招标人超过本条例规定的比例收取投标保证金、履约保证金或者不按照规定退还投标保证金及银行同期存款利息的</w:t>
            </w:r>
          </w:p>
        </w:tc>
      </w:tr>
      <w:tr w14:paraId="791BEFE5">
        <w:tblPrEx>
          <w:tblCellMar>
            <w:top w:w="0" w:type="dxa"/>
            <w:left w:w="108" w:type="dxa"/>
            <w:bottom w:w="0" w:type="dxa"/>
            <w:right w:w="108" w:type="dxa"/>
          </w:tblCellMar>
        </w:tblPrEx>
        <w:trPr>
          <w:trHeight w:val="1365" w:hRule="atLeast"/>
        </w:trPr>
        <w:tc>
          <w:tcPr>
            <w:tcW w:w="1056" w:type="dxa"/>
            <w:tcBorders>
              <w:top w:val="nil"/>
              <w:left w:val="single" w:color="auto" w:sz="8" w:space="0"/>
              <w:bottom w:val="single" w:color="auto" w:sz="4" w:space="0"/>
              <w:right w:val="single" w:color="auto" w:sz="4" w:space="0"/>
            </w:tcBorders>
            <w:vAlign w:val="center"/>
          </w:tcPr>
          <w:p w14:paraId="01CA12CF">
            <w:pPr>
              <w:rPr>
                <w:color w:val="000000"/>
              </w:rPr>
            </w:pPr>
            <w:r>
              <w:rPr>
                <w:rFonts w:hint="eastAsia"/>
                <w:color w:val="000000"/>
              </w:rPr>
              <w:t>法律依据</w:t>
            </w:r>
          </w:p>
        </w:tc>
        <w:tc>
          <w:tcPr>
            <w:tcW w:w="13004" w:type="dxa"/>
            <w:gridSpan w:val="3"/>
            <w:tcBorders>
              <w:top w:val="single" w:color="auto" w:sz="4" w:space="0"/>
              <w:left w:val="nil"/>
              <w:bottom w:val="single" w:color="auto" w:sz="4" w:space="0"/>
              <w:right w:val="single" w:color="000000" w:sz="8" w:space="0"/>
            </w:tcBorders>
          </w:tcPr>
          <w:p w14:paraId="23BC3F11">
            <w:pPr>
              <w:spacing w:line="240" w:lineRule="exact"/>
              <w:jc w:val="left"/>
              <w:rPr>
                <w:color w:val="000000"/>
              </w:rPr>
            </w:pPr>
            <w:r>
              <w:rPr>
                <w:rFonts w:hint="eastAsia"/>
                <w:color w:val="000000"/>
                <w:kern w:val="0"/>
                <w:sz w:val="18"/>
                <w:szCs w:val="18"/>
              </w:rPr>
              <w:t>【行政法规】《招投标法实施条例》（国务院令第</w:t>
            </w:r>
            <w:r>
              <w:rPr>
                <w:color w:val="000000"/>
                <w:kern w:val="0"/>
                <w:sz w:val="18"/>
                <w:szCs w:val="18"/>
              </w:rPr>
              <w:t>613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　招标人在招标文件中要求投标人提交投标保证金的，投标保证金不得超过招标项目估算价的</w:t>
            </w:r>
            <w:r>
              <w:rPr>
                <w:color w:val="000000"/>
                <w:kern w:val="0"/>
                <w:sz w:val="18"/>
                <w:szCs w:val="18"/>
              </w:rPr>
              <w:t>2%</w:t>
            </w:r>
            <w:r>
              <w:rPr>
                <w:rFonts w:hint="eastAsia"/>
                <w:color w:val="000000"/>
                <w:kern w:val="0"/>
                <w:sz w:val="18"/>
                <w:szCs w:val="18"/>
              </w:rPr>
              <w:t>。投标保证金有效期应当与投标有效期一致。</w:t>
            </w:r>
            <w:r>
              <w:rPr>
                <w:color w:val="000000"/>
                <w:kern w:val="0"/>
                <w:sz w:val="18"/>
                <w:szCs w:val="18"/>
              </w:rPr>
              <w:br w:type="textWrapping"/>
            </w:r>
            <w:r>
              <w:rPr>
                <w:rFonts w:hint="eastAsia"/>
                <w:color w:val="000000"/>
                <w:kern w:val="0"/>
                <w:sz w:val="18"/>
                <w:szCs w:val="18"/>
              </w:rPr>
              <w:t>依法必须进行招标的项目的境内投标单位，以现金或者支票形式提交的投标保证金应当从其基本账户转出。</w:t>
            </w:r>
            <w:r>
              <w:rPr>
                <w:color w:val="000000"/>
                <w:kern w:val="0"/>
                <w:sz w:val="18"/>
                <w:szCs w:val="18"/>
              </w:rPr>
              <w:br w:type="textWrapping"/>
            </w:r>
            <w:r>
              <w:rPr>
                <w:rFonts w:hint="eastAsia"/>
                <w:color w:val="000000"/>
                <w:kern w:val="0"/>
                <w:sz w:val="18"/>
                <w:szCs w:val="18"/>
              </w:rPr>
              <w:t>招标人不得挪用投标保证金。</w:t>
            </w:r>
            <w:r>
              <w:rPr>
                <w:color w:val="000000"/>
                <w:kern w:val="0"/>
                <w:sz w:val="18"/>
                <w:szCs w:val="18"/>
              </w:rPr>
              <w:br w:type="textWrapping"/>
            </w:r>
            <w:r>
              <w:rPr>
                <w:rFonts w:hint="eastAsia"/>
                <w:color w:val="000000"/>
                <w:kern w:val="0"/>
                <w:sz w:val="18"/>
                <w:szCs w:val="18"/>
              </w:rPr>
              <w:t>第六十六条：招标人超过本条例规定的比例收取投标保证金、履约保证金或者不按照规定退还投标保证金及银行同期存款利息的，由有关行政监督部门责令改正，可以处</w:t>
            </w:r>
            <w:r>
              <w:rPr>
                <w:color w:val="000000"/>
                <w:kern w:val="0"/>
                <w:sz w:val="18"/>
                <w:szCs w:val="18"/>
              </w:rPr>
              <w:t>5</w:t>
            </w:r>
            <w:r>
              <w:rPr>
                <w:rFonts w:hint="eastAsia"/>
                <w:color w:val="000000"/>
                <w:kern w:val="0"/>
                <w:sz w:val="18"/>
                <w:szCs w:val="18"/>
              </w:rPr>
              <w:t>万元以下的罚款；给他人造成损失的，依法承担赔偿责任。</w:t>
            </w:r>
          </w:p>
        </w:tc>
      </w:tr>
      <w:tr w14:paraId="0E299F1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5F37929">
            <w:pPr>
              <w:rPr>
                <w:color w:val="000000"/>
              </w:rPr>
            </w:pPr>
            <w:r>
              <w:rPr>
                <w:rFonts w:hint="eastAsia"/>
                <w:color w:val="000000"/>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13EF6643">
            <w:pPr>
              <w:rPr>
                <w:color w:val="000000"/>
              </w:rPr>
            </w:pPr>
            <w:r>
              <w:rPr>
                <w:rFonts w:hint="eastAsia"/>
                <w:color w:val="000000"/>
              </w:rPr>
              <w:t>罚款</w:t>
            </w:r>
          </w:p>
        </w:tc>
      </w:tr>
      <w:tr w14:paraId="5069465D">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6A31A7DE">
            <w:pPr>
              <w:jc w:val="center"/>
              <w:rPr>
                <w:color w:val="000000"/>
              </w:rPr>
            </w:pPr>
            <w:r>
              <w:rPr>
                <w:rFonts w:hint="eastAsia"/>
                <w:color w:val="000000"/>
              </w:rPr>
              <w:t>裁量基准</w:t>
            </w:r>
          </w:p>
        </w:tc>
      </w:tr>
      <w:tr w14:paraId="4DED7688">
        <w:tblPrEx>
          <w:tblCellMar>
            <w:top w:w="0" w:type="dxa"/>
            <w:left w:w="108" w:type="dxa"/>
            <w:bottom w:w="0" w:type="dxa"/>
            <w:right w:w="108" w:type="dxa"/>
          </w:tblCellMar>
        </w:tblPrEx>
        <w:trPr>
          <w:trHeight w:val="363" w:hRule="atLeast"/>
        </w:trPr>
        <w:tc>
          <w:tcPr>
            <w:tcW w:w="1056" w:type="dxa"/>
            <w:vMerge w:val="restart"/>
            <w:tcBorders>
              <w:top w:val="single" w:color="auto" w:sz="4" w:space="0"/>
              <w:left w:val="single" w:color="auto" w:sz="4" w:space="0"/>
              <w:bottom w:val="single" w:color="auto" w:sz="4" w:space="0"/>
              <w:right w:val="single" w:color="auto" w:sz="4" w:space="0"/>
            </w:tcBorders>
            <w:vAlign w:val="center"/>
          </w:tcPr>
          <w:p w14:paraId="24E46380">
            <w:pPr>
              <w:rPr>
                <w:color w:val="000000"/>
              </w:rPr>
            </w:pPr>
            <w:r>
              <w:rPr>
                <w:rFonts w:hint="eastAsia"/>
                <w:color w:val="000000"/>
              </w:rPr>
              <w:t>情形描述</w:t>
            </w:r>
          </w:p>
        </w:tc>
        <w:tc>
          <w:tcPr>
            <w:tcW w:w="6140" w:type="dxa"/>
            <w:tcBorders>
              <w:top w:val="single" w:color="auto" w:sz="4" w:space="0"/>
              <w:left w:val="nil"/>
              <w:bottom w:val="single" w:color="auto" w:sz="4" w:space="0"/>
              <w:right w:val="single" w:color="auto" w:sz="4" w:space="0"/>
            </w:tcBorders>
            <w:vAlign w:val="center"/>
          </w:tcPr>
          <w:p w14:paraId="228E1D41">
            <w:pPr>
              <w:rPr>
                <w:color w:val="000000"/>
              </w:rPr>
            </w:pPr>
            <w:r>
              <w:rPr>
                <w:rFonts w:hint="eastAsia"/>
                <w:color w:val="000000"/>
              </w:rPr>
              <w:t>按要求改正的</w:t>
            </w:r>
          </w:p>
        </w:tc>
        <w:tc>
          <w:tcPr>
            <w:tcW w:w="1188" w:type="dxa"/>
            <w:vMerge w:val="restart"/>
            <w:tcBorders>
              <w:top w:val="single" w:color="auto" w:sz="4" w:space="0"/>
              <w:left w:val="single" w:color="auto" w:sz="4" w:space="0"/>
              <w:bottom w:val="single" w:color="auto" w:sz="4" w:space="0"/>
              <w:right w:val="single" w:color="auto" w:sz="4" w:space="0"/>
            </w:tcBorders>
            <w:vAlign w:val="center"/>
          </w:tcPr>
          <w:p w14:paraId="5D74D3D5">
            <w:pPr>
              <w:rPr>
                <w:color w:val="000000"/>
              </w:rPr>
            </w:pPr>
            <w:r>
              <w:rPr>
                <w:rFonts w:hint="eastAsia"/>
                <w:color w:val="000000"/>
              </w:rPr>
              <w:t>裁量幅度</w:t>
            </w:r>
          </w:p>
        </w:tc>
        <w:tc>
          <w:tcPr>
            <w:tcW w:w="5676" w:type="dxa"/>
            <w:tcBorders>
              <w:top w:val="single" w:color="auto" w:sz="4" w:space="0"/>
              <w:left w:val="nil"/>
              <w:bottom w:val="single" w:color="auto" w:sz="4" w:space="0"/>
              <w:right w:val="single" w:color="auto" w:sz="4" w:space="0"/>
            </w:tcBorders>
            <w:vAlign w:val="center"/>
          </w:tcPr>
          <w:p w14:paraId="76D2661A">
            <w:pPr>
              <w:rPr>
                <w:color w:val="000000"/>
              </w:rPr>
            </w:pPr>
            <w:r>
              <w:rPr>
                <w:rFonts w:hint="eastAsia"/>
                <w:color w:val="000000"/>
              </w:rPr>
              <w:t>处</w:t>
            </w:r>
            <w:r>
              <w:rPr>
                <w:color w:val="000000"/>
              </w:rPr>
              <w:t>2.5</w:t>
            </w:r>
            <w:r>
              <w:rPr>
                <w:rFonts w:hint="eastAsia"/>
                <w:color w:val="000000"/>
              </w:rPr>
              <w:t>万元以下罚款</w:t>
            </w:r>
          </w:p>
        </w:tc>
      </w:tr>
      <w:tr w14:paraId="57189C8A">
        <w:tblPrEx>
          <w:tblCellMar>
            <w:top w:w="0" w:type="dxa"/>
            <w:left w:w="108" w:type="dxa"/>
            <w:bottom w:w="0" w:type="dxa"/>
            <w:right w:w="108" w:type="dxa"/>
          </w:tblCellMar>
        </w:tblPrEx>
        <w:trPr>
          <w:trHeight w:val="430" w:hRule="atLeast"/>
        </w:trPr>
        <w:tc>
          <w:tcPr>
            <w:tcW w:w="1056" w:type="dxa"/>
            <w:vMerge w:val="continue"/>
            <w:tcBorders>
              <w:top w:val="single" w:color="auto" w:sz="4" w:space="0"/>
              <w:left w:val="single" w:color="auto" w:sz="4" w:space="0"/>
              <w:bottom w:val="single" w:color="auto" w:sz="4" w:space="0"/>
              <w:right w:val="single" w:color="auto" w:sz="4" w:space="0"/>
            </w:tcBorders>
            <w:vAlign w:val="center"/>
          </w:tcPr>
          <w:p w14:paraId="557F02AD">
            <w:pPr>
              <w:rPr>
                <w:color w:val="000000"/>
              </w:rPr>
            </w:pPr>
          </w:p>
        </w:tc>
        <w:tc>
          <w:tcPr>
            <w:tcW w:w="6140" w:type="dxa"/>
            <w:tcBorders>
              <w:top w:val="single" w:color="auto" w:sz="4" w:space="0"/>
              <w:left w:val="nil"/>
              <w:bottom w:val="single" w:color="auto" w:sz="4" w:space="0"/>
              <w:right w:val="single" w:color="auto" w:sz="4" w:space="0"/>
            </w:tcBorders>
            <w:vAlign w:val="center"/>
          </w:tcPr>
          <w:p w14:paraId="7971CFD7">
            <w:pPr>
              <w:rPr>
                <w:color w:val="000000"/>
              </w:rPr>
            </w:pPr>
            <w:r>
              <w:rPr>
                <w:rFonts w:hint="eastAsia"/>
                <w:color w:val="000000"/>
              </w:rPr>
              <w:t>未按要求改正的</w:t>
            </w:r>
          </w:p>
        </w:tc>
        <w:tc>
          <w:tcPr>
            <w:tcW w:w="1188" w:type="dxa"/>
            <w:vMerge w:val="continue"/>
            <w:tcBorders>
              <w:top w:val="single" w:color="auto" w:sz="4" w:space="0"/>
              <w:left w:val="single" w:color="auto" w:sz="4" w:space="0"/>
              <w:bottom w:val="single" w:color="auto" w:sz="4" w:space="0"/>
              <w:right w:val="single" w:color="auto" w:sz="4" w:space="0"/>
            </w:tcBorders>
            <w:vAlign w:val="center"/>
          </w:tcPr>
          <w:p w14:paraId="6551F4CC">
            <w:pPr>
              <w:rPr>
                <w:color w:val="000000"/>
              </w:rPr>
            </w:pPr>
          </w:p>
        </w:tc>
        <w:tc>
          <w:tcPr>
            <w:tcW w:w="5676" w:type="dxa"/>
            <w:tcBorders>
              <w:top w:val="single" w:color="auto" w:sz="4" w:space="0"/>
              <w:left w:val="nil"/>
              <w:bottom w:val="single" w:color="auto" w:sz="4" w:space="0"/>
              <w:right w:val="single" w:color="auto" w:sz="4" w:space="0"/>
            </w:tcBorders>
            <w:vAlign w:val="center"/>
          </w:tcPr>
          <w:p w14:paraId="3A9000B1">
            <w:pPr>
              <w:rPr>
                <w:color w:val="000000"/>
              </w:rPr>
            </w:pPr>
            <w:r>
              <w:rPr>
                <w:rFonts w:hint="eastAsia"/>
                <w:color w:val="000000"/>
              </w:rPr>
              <w:t>处</w:t>
            </w:r>
            <w:r>
              <w:rPr>
                <w:color w:val="000000"/>
              </w:rPr>
              <w:t>2.5</w:t>
            </w:r>
            <w:r>
              <w:rPr>
                <w:rFonts w:hint="eastAsia"/>
                <w:color w:val="000000"/>
              </w:rPr>
              <w:t>万以上</w:t>
            </w:r>
            <w:r>
              <w:rPr>
                <w:color w:val="000000"/>
              </w:rPr>
              <w:t>5</w:t>
            </w:r>
            <w:r>
              <w:rPr>
                <w:rFonts w:hint="eastAsia"/>
                <w:color w:val="000000"/>
              </w:rPr>
              <w:t>万元以下的罚款</w:t>
            </w:r>
          </w:p>
        </w:tc>
      </w:tr>
    </w:tbl>
    <w:p w14:paraId="1583DAA2"/>
    <w:tbl>
      <w:tblPr>
        <w:tblStyle w:val="15"/>
        <w:tblW w:w="0" w:type="auto"/>
        <w:tblInd w:w="-30" w:type="dxa"/>
        <w:tblLayout w:type="fixed"/>
        <w:tblCellMar>
          <w:top w:w="0" w:type="dxa"/>
          <w:left w:w="108" w:type="dxa"/>
          <w:bottom w:w="0" w:type="dxa"/>
          <w:right w:w="108" w:type="dxa"/>
        </w:tblCellMar>
      </w:tblPr>
      <w:tblGrid>
        <w:gridCol w:w="1079"/>
        <w:gridCol w:w="6192"/>
        <w:gridCol w:w="1115"/>
        <w:gridCol w:w="5762"/>
      </w:tblGrid>
      <w:tr w14:paraId="4C489B12">
        <w:tblPrEx>
          <w:tblCellMar>
            <w:top w:w="0" w:type="dxa"/>
            <w:left w:w="108" w:type="dxa"/>
            <w:bottom w:w="0" w:type="dxa"/>
            <w:right w:w="108" w:type="dxa"/>
          </w:tblCellMar>
        </w:tblPrEx>
        <w:trPr>
          <w:trHeight w:val="285" w:hRule="atLeast"/>
        </w:trPr>
        <w:tc>
          <w:tcPr>
            <w:tcW w:w="1079" w:type="dxa"/>
            <w:tcBorders>
              <w:top w:val="single" w:color="auto" w:sz="4" w:space="0"/>
              <w:left w:val="single" w:color="auto" w:sz="4" w:space="0"/>
              <w:bottom w:val="single" w:color="auto" w:sz="4" w:space="0"/>
              <w:right w:val="single" w:color="auto" w:sz="4" w:space="0"/>
            </w:tcBorders>
            <w:vAlign w:val="center"/>
          </w:tcPr>
          <w:p w14:paraId="74A54C07">
            <w:pPr>
              <w:jc w:val="center"/>
              <w:rPr>
                <w:color w:val="000000"/>
              </w:rPr>
            </w:pPr>
            <w:r>
              <w:rPr>
                <w:rFonts w:hint="eastAsia"/>
                <w:color w:val="000000"/>
              </w:rPr>
              <w:t>编号</w:t>
            </w:r>
          </w:p>
        </w:tc>
        <w:tc>
          <w:tcPr>
            <w:tcW w:w="13069" w:type="dxa"/>
            <w:gridSpan w:val="3"/>
            <w:tcBorders>
              <w:top w:val="single" w:color="auto" w:sz="4" w:space="0"/>
              <w:left w:val="single" w:color="auto" w:sz="4" w:space="0"/>
              <w:bottom w:val="single" w:color="auto" w:sz="4" w:space="0"/>
              <w:right w:val="single" w:color="auto" w:sz="4" w:space="0"/>
            </w:tcBorders>
            <w:vAlign w:val="center"/>
          </w:tcPr>
          <w:p w14:paraId="46899C47">
            <w:pPr>
              <w:rPr>
                <w:b/>
                <w:bCs/>
                <w:color w:val="000000"/>
              </w:rPr>
            </w:pPr>
            <w:r>
              <w:rPr>
                <w:b/>
                <w:bCs/>
                <w:color w:val="000000"/>
              </w:rPr>
              <w:t>320217551000</w:t>
            </w:r>
          </w:p>
        </w:tc>
      </w:tr>
      <w:tr w14:paraId="4CD4F22C">
        <w:tblPrEx>
          <w:tblCellMar>
            <w:top w:w="0" w:type="dxa"/>
            <w:left w:w="108" w:type="dxa"/>
            <w:bottom w:w="0" w:type="dxa"/>
            <w:right w:w="108" w:type="dxa"/>
          </w:tblCellMar>
        </w:tblPrEx>
        <w:trPr>
          <w:trHeight w:val="285" w:hRule="atLeast"/>
        </w:trPr>
        <w:tc>
          <w:tcPr>
            <w:tcW w:w="1079" w:type="dxa"/>
            <w:tcBorders>
              <w:top w:val="single" w:color="auto" w:sz="4" w:space="0"/>
              <w:left w:val="single" w:color="auto" w:sz="4" w:space="0"/>
              <w:bottom w:val="single" w:color="auto" w:sz="4" w:space="0"/>
              <w:right w:val="single" w:color="auto" w:sz="4" w:space="0"/>
            </w:tcBorders>
            <w:vAlign w:val="center"/>
          </w:tcPr>
          <w:p w14:paraId="46E08435">
            <w:pPr>
              <w:rPr>
                <w:color w:val="000000"/>
              </w:rPr>
            </w:pPr>
            <w:r>
              <w:rPr>
                <w:rFonts w:hint="eastAsia"/>
                <w:color w:val="000000"/>
              </w:rPr>
              <w:t>行为名称</w:t>
            </w:r>
          </w:p>
        </w:tc>
        <w:tc>
          <w:tcPr>
            <w:tcW w:w="13069" w:type="dxa"/>
            <w:gridSpan w:val="3"/>
            <w:tcBorders>
              <w:top w:val="single" w:color="auto" w:sz="4" w:space="0"/>
              <w:left w:val="single" w:color="auto" w:sz="4" w:space="0"/>
              <w:bottom w:val="single" w:color="auto" w:sz="4" w:space="0"/>
              <w:right w:val="single" w:color="auto" w:sz="4" w:space="0"/>
            </w:tcBorders>
          </w:tcPr>
          <w:p w14:paraId="7A80E7FC">
            <w:pPr>
              <w:rPr>
                <w:color w:val="000000"/>
              </w:rPr>
            </w:pPr>
            <w:r>
              <w:rPr>
                <w:rFonts w:hint="eastAsia"/>
                <w:color w:val="000000"/>
              </w:rPr>
              <w:t>对招标人在评标委员会依法推荐的中标候选人以外确定中标人的，依法必须进行招标的项目在所有投标被评标委员会否决后自行确定中标人的处罚</w:t>
            </w:r>
          </w:p>
        </w:tc>
      </w:tr>
      <w:tr w14:paraId="643D038E">
        <w:tblPrEx>
          <w:tblCellMar>
            <w:top w:w="0" w:type="dxa"/>
            <w:left w:w="108" w:type="dxa"/>
            <w:bottom w:w="0" w:type="dxa"/>
            <w:right w:w="108" w:type="dxa"/>
          </w:tblCellMar>
        </w:tblPrEx>
        <w:trPr>
          <w:trHeight w:val="1335" w:hRule="atLeast"/>
        </w:trPr>
        <w:tc>
          <w:tcPr>
            <w:tcW w:w="1079" w:type="dxa"/>
            <w:tcBorders>
              <w:top w:val="single" w:color="auto" w:sz="4" w:space="0"/>
              <w:left w:val="single" w:color="auto" w:sz="4" w:space="0"/>
              <w:bottom w:val="single" w:color="auto" w:sz="4" w:space="0"/>
              <w:right w:val="single" w:color="auto" w:sz="4" w:space="0"/>
            </w:tcBorders>
            <w:vAlign w:val="center"/>
          </w:tcPr>
          <w:p w14:paraId="30DA4A11">
            <w:pPr>
              <w:rPr>
                <w:color w:val="000000"/>
              </w:rPr>
            </w:pPr>
            <w:r>
              <w:rPr>
                <w:rFonts w:hint="eastAsia"/>
                <w:color w:val="000000"/>
              </w:rPr>
              <w:t>法律依据</w:t>
            </w:r>
          </w:p>
        </w:tc>
        <w:tc>
          <w:tcPr>
            <w:tcW w:w="13069" w:type="dxa"/>
            <w:gridSpan w:val="3"/>
            <w:tcBorders>
              <w:top w:val="single" w:color="auto" w:sz="4" w:space="0"/>
              <w:left w:val="single" w:color="auto" w:sz="4" w:space="0"/>
              <w:bottom w:val="single" w:color="auto" w:sz="4" w:space="0"/>
              <w:right w:val="single" w:color="auto" w:sz="4" w:space="0"/>
            </w:tcBorders>
            <w:vAlign w:val="center"/>
          </w:tcPr>
          <w:p w14:paraId="0DD45B3A">
            <w:pPr>
              <w:spacing w:line="240" w:lineRule="exact"/>
              <w:jc w:val="left"/>
              <w:rPr>
                <w:color w:val="000000"/>
              </w:rPr>
            </w:pPr>
            <w:r>
              <w:rPr>
                <w:rFonts w:hint="eastAsia"/>
                <w:color w:val="000000"/>
                <w:kern w:val="0"/>
                <w:sz w:val="18"/>
                <w:szCs w:val="18"/>
              </w:rPr>
              <w:t>【法律】《中华人民共和国招标投标法》</w:t>
            </w:r>
            <w:r>
              <w:rPr>
                <w:color w:val="000000"/>
                <w:kern w:val="0"/>
                <w:sz w:val="18"/>
                <w:szCs w:val="18"/>
              </w:rPr>
              <w:br w:type="textWrapping"/>
            </w:r>
            <w:r>
              <w:rPr>
                <w:rFonts w:hint="eastAsia"/>
                <w:color w:val="000000"/>
                <w:kern w:val="0"/>
                <w:sz w:val="18"/>
                <w:szCs w:val="18"/>
              </w:rPr>
              <w:t>第四十条第二款　招标人根据评标委员会提出的书面评标报告和推荐的中标候选人确定中标人。招标人也可以授权评标委员会直接确定中标人。</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第四十二条第二款</w:t>
            </w:r>
            <w:r>
              <w:rPr>
                <w:color w:val="000000"/>
                <w:kern w:val="0"/>
                <w:sz w:val="18"/>
                <w:szCs w:val="18"/>
              </w:rPr>
              <w:t xml:space="preserve">  </w:t>
            </w:r>
            <w:r>
              <w:rPr>
                <w:rFonts w:hint="eastAsia"/>
                <w:color w:val="000000"/>
                <w:kern w:val="0"/>
                <w:sz w:val="18"/>
                <w:szCs w:val="18"/>
              </w:rPr>
              <w:t>依法必须进行招标的项目的所有投标被否决的，招标人应当依照本法重新招标。</w:t>
            </w:r>
            <w:r>
              <w:rPr>
                <w:color w:val="000000"/>
                <w:kern w:val="0"/>
                <w:sz w:val="18"/>
                <w:szCs w:val="18"/>
              </w:rPr>
              <w:br w:type="textWrapping"/>
            </w:r>
            <w:r>
              <w:rPr>
                <w:rFonts w:hint="eastAsia"/>
                <w:color w:val="000000"/>
                <w:kern w:val="0"/>
                <w:sz w:val="18"/>
                <w:szCs w:val="18"/>
              </w:rPr>
              <w:t>第五十七条　招标人在评标委员会依法推荐的中标候选人以外确定中标人的，依法必须进行招标的项目在所有投标被评标委员会否决后自行确定中标人的，中标无效。责令改正，可以处中标项目金额千分之五以上千分之十以下的罚款；对单位直接负责的主管人员和其他直接责任人员依法给予处分。</w:t>
            </w:r>
          </w:p>
        </w:tc>
      </w:tr>
      <w:tr w14:paraId="1E8A5247">
        <w:tblPrEx>
          <w:tblCellMar>
            <w:top w:w="0" w:type="dxa"/>
            <w:left w:w="108" w:type="dxa"/>
            <w:bottom w:w="0" w:type="dxa"/>
            <w:right w:w="108" w:type="dxa"/>
          </w:tblCellMar>
        </w:tblPrEx>
        <w:trPr>
          <w:trHeight w:val="285" w:hRule="atLeast"/>
        </w:trPr>
        <w:tc>
          <w:tcPr>
            <w:tcW w:w="1079" w:type="dxa"/>
            <w:tcBorders>
              <w:top w:val="nil"/>
              <w:left w:val="single" w:color="auto" w:sz="8" w:space="0"/>
              <w:bottom w:val="single" w:color="auto" w:sz="4" w:space="0"/>
              <w:right w:val="single" w:color="auto" w:sz="4" w:space="0"/>
            </w:tcBorders>
            <w:vAlign w:val="center"/>
          </w:tcPr>
          <w:p w14:paraId="238922BC">
            <w:pPr>
              <w:rPr>
                <w:color w:val="000000"/>
              </w:rPr>
            </w:pPr>
            <w:r>
              <w:rPr>
                <w:rFonts w:hint="eastAsia"/>
                <w:color w:val="000000"/>
              </w:rPr>
              <w:t>行使内容</w:t>
            </w:r>
          </w:p>
        </w:tc>
        <w:tc>
          <w:tcPr>
            <w:tcW w:w="13069" w:type="dxa"/>
            <w:gridSpan w:val="3"/>
            <w:tcBorders>
              <w:top w:val="single" w:color="auto" w:sz="4" w:space="0"/>
              <w:left w:val="nil"/>
              <w:bottom w:val="single" w:color="auto" w:sz="4" w:space="0"/>
              <w:right w:val="single" w:color="000000" w:sz="8" w:space="0"/>
            </w:tcBorders>
            <w:vAlign w:val="center"/>
          </w:tcPr>
          <w:p w14:paraId="316C1F82">
            <w:pPr>
              <w:rPr>
                <w:color w:val="000000"/>
              </w:rPr>
            </w:pPr>
            <w:r>
              <w:rPr>
                <w:rFonts w:hint="eastAsia"/>
                <w:color w:val="000000"/>
              </w:rPr>
              <w:t>罚款</w:t>
            </w:r>
          </w:p>
        </w:tc>
      </w:tr>
      <w:tr w14:paraId="665793E7">
        <w:tblPrEx>
          <w:tblCellMar>
            <w:top w:w="0" w:type="dxa"/>
            <w:left w:w="108" w:type="dxa"/>
            <w:bottom w:w="0" w:type="dxa"/>
            <w:right w:w="108" w:type="dxa"/>
          </w:tblCellMar>
        </w:tblPrEx>
        <w:trPr>
          <w:trHeight w:val="285" w:hRule="atLeast"/>
        </w:trPr>
        <w:tc>
          <w:tcPr>
            <w:tcW w:w="14148" w:type="dxa"/>
            <w:gridSpan w:val="4"/>
            <w:tcBorders>
              <w:top w:val="single" w:color="auto" w:sz="4" w:space="0"/>
              <w:left w:val="single" w:color="auto" w:sz="8" w:space="0"/>
              <w:bottom w:val="single" w:color="auto" w:sz="4" w:space="0"/>
              <w:right w:val="single" w:color="000000" w:sz="8" w:space="0"/>
            </w:tcBorders>
            <w:vAlign w:val="center"/>
          </w:tcPr>
          <w:p w14:paraId="73412340">
            <w:pPr>
              <w:jc w:val="center"/>
              <w:rPr>
                <w:color w:val="000000"/>
              </w:rPr>
            </w:pPr>
            <w:r>
              <w:rPr>
                <w:rFonts w:hint="eastAsia"/>
                <w:color w:val="000000"/>
              </w:rPr>
              <w:t>裁量基准</w:t>
            </w:r>
          </w:p>
        </w:tc>
      </w:tr>
      <w:tr w14:paraId="4C5A72EC">
        <w:tblPrEx>
          <w:tblCellMar>
            <w:top w:w="0" w:type="dxa"/>
            <w:left w:w="108" w:type="dxa"/>
            <w:bottom w:w="0" w:type="dxa"/>
            <w:right w:w="108" w:type="dxa"/>
          </w:tblCellMar>
        </w:tblPrEx>
        <w:trPr>
          <w:trHeight w:val="285" w:hRule="atLeast"/>
        </w:trPr>
        <w:tc>
          <w:tcPr>
            <w:tcW w:w="1079" w:type="dxa"/>
            <w:vMerge w:val="restart"/>
            <w:tcBorders>
              <w:top w:val="nil"/>
              <w:left w:val="single" w:color="auto" w:sz="8" w:space="0"/>
              <w:right w:val="single" w:color="auto" w:sz="4" w:space="0"/>
            </w:tcBorders>
            <w:vAlign w:val="center"/>
          </w:tcPr>
          <w:p w14:paraId="2F106B1D">
            <w:pPr>
              <w:rPr>
                <w:color w:val="000000"/>
              </w:rPr>
            </w:pPr>
            <w:r>
              <w:rPr>
                <w:rFonts w:hint="eastAsia"/>
                <w:color w:val="000000"/>
              </w:rPr>
              <w:t>情形描述</w:t>
            </w:r>
          </w:p>
        </w:tc>
        <w:tc>
          <w:tcPr>
            <w:tcW w:w="6192" w:type="dxa"/>
            <w:tcBorders>
              <w:top w:val="single" w:color="auto" w:sz="4" w:space="0"/>
              <w:left w:val="nil"/>
              <w:bottom w:val="single" w:color="auto" w:sz="4" w:space="0"/>
              <w:right w:val="single" w:color="auto" w:sz="4" w:space="0"/>
            </w:tcBorders>
            <w:vAlign w:val="center"/>
          </w:tcPr>
          <w:p w14:paraId="6136DBDD">
            <w:pPr>
              <w:rPr>
                <w:color w:val="000000"/>
                <w:sz w:val="20"/>
              </w:rPr>
            </w:pPr>
            <w:r>
              <w:rPr>
                <w:rFonts w:hint="eastAsia"/>
                <w:color w:val="000000"/>
                <w:sz w:val="20"/>
              </w:rPr>
              <w:t>在评标委员会依法推荐的中标候选人以外确定中标人的，且按要求改正的</w:t>
            </w:r>
          </w:p>
        </w:tc>
        <w:tc>
          <w:tcPr>
            <w:tcW w:w="1115" w:type="dxa"/>
            <w:vMerge w:val="restart"/>
            <w:tcBorders>
              <w:top w:val="nil"/>
              <w:left w:val="single" w:color="auto" w:sz="4" w:space="0"/>
              <w:right w:val="single" w:color="auto" w:sz="4" w:space="0"/>
            </w:tcBorders>
            <w:vAlign w:val="center"/>
          </w:tcPr>
          <w:p w14:paraId="29537300">
            <w:pPr>
              <w:rPr>
                <w:color w:val="000000"/>
              </w:rPr>
            </w:pPr>
            <w:r>
              <w:rPr>
                <w:rFonts w:hint="eastAsia"/>
                <w:color w:val="000000"/>
              </w:rPr>
              <w:t>裁量幅度</w:t>
            </w:r>
          </w:p>
        </w:tc>
        <w:tc>
          <w:tcPr>
            <w:tcW w:w="5762" w:type="dxa"/>
            <w:tcBorders>
              <w:top w:val="single" w:color="auto" w:sz="4" w:space="0"/>
              <w:left w:val="nil"/>
              <w:bottom w:val="single" w:color="auto" w:sz="4" w:space="0"/>
              <w:right w:val="single" w:color="auto" w:sz="4" w:space="0"/>
            </w:tcBorders>
            <w:vAlign w:val="center"/>
          </w:tcPr>
          <w:p w14:paraId="1DC3FC11">
            <w:pPr>
              <w:rPr>
                <w:color w:val="000000"/>
              </w:rPr>
            </w:pPr>
            <w:r>
              <w:rPr>
                <w:rFonts w:hint="eastAsia"/>
                <w:color w:val="000000"/>
              </w:rPr>
              <w:t>中标金额</w:t>
            </w:r>
            <w:r>
              <w:rPr>
                <w:color w:val="000000"/>
              </w:rPr>
              <w:t>5‰</w:t>
            </w:r>
            <w:r>
              <w:rPr>
                <w:rFonts w:hint="eastAsia"/>
                <w:color w:val="000000"/>
              </w:rPr>
              <w:t>以上</w:t>
            </w:r>
            <w:r>
              <w:rPr>
                <w:color w:val="000000"/>
              </w:rPr>
              <w:t>6.25‰</w:t>
            </w:r>
            <w:r>
              <w:rPr>
                <w:rFonts w:hint="eastAsia"/>
                <w:color w:val="000000"/>
              </w:rPr>
              <w:t>以下罚款</w:t>
            </w:r>
          </w:p>
        </w:tc>
      </w:tr>
      <w:tr w14:paraId="5110697A">
        <w:tblPrEx>
          <w:tblCellMar>
            <w:top w:w="0" w:type="dxa"/>
            <w:left w:w="108" w:type="dxa"/>
            <w:bottom w:w="0" w:type="dxa"/>
            <w:right w:w="108" w:type="dxa"/>
          </w:tblCellMar>
        </w:tblPrEx>
        <w:trPr>
          <w:trHeight w:val="60" w:hRule="atLeast"/>
        </w:trPr>
        <w:tc>
          <w:tcPr>
            <w:tcW w:w="1079" w:type="dxa"/>
            <w:vMerge w:val="continue"/>
            <w:tcBorders>
              <w:left w:val="single" w:color="auto" w:sz="8" w:space="0"/>
              <w:right w:val="single" w:color="auto" w:sz="4" w:space="0"/>
            </w:tcBorders>
            <w:vAlign w:val="center"/>
          </w:tcPr>
          <w:p w14:paraId="33ABEE65">
            <w:pPr>
              <w:rPr>
                <w:color w:val="000000"/>
              </w:rPr>
            </w:pPr>
          </w:p>
        </w:tc>
        <w:tc>
          <w:tcPr>
            <w:tcW w:w="6192" w:type="dxa"/>
            <w:tcBorders>
              <w:top w:val="single" w:color="auto" w:sz="4" w:space="0"/>
              <w:left w:val="nil"/>
              <w:bottom w:val="single" w:color="auto" w:sz="4" w:space="0"/>
              <w:right w:val="single" w:color="auto" w:sz="4" w:space="0"/>
            </w:tcBorders>
            <w:vAlign w:val="center"/>
          </w:tcPr>
          <w:p w14:paraId="056480EF">
            <w:pPr>
              <w:rPr>
                <w:color w:val="000000"/>
                <w:sz w:val="20"/>
              </w:rPr>
            </w:pPr>
            <w:r>
              <w:rPr>
                <w:rFonts w:hint="eastAsia"/>
                <w:color w:val="000000"/>
                <w:sz w:val="20"/>
              </w:rPr>
              <w:t>在所有投标被评标委员会否决后自行确定中标人的，且按要求改正的</w:t>
            </w:r>
          </w:p>
        </w:tc>
        <w:tc>
          <w:tcPr>
            <w:tcW w:w="1115" w:type="dxa"/>
            <w:vMerge w:val="continue"/>
            <w:tcBorders>
              <w:left w:val="single" w:color="auto" w:sz="4" w:space="0"/>
              <w:right w:val="single" w:color="auto" w:sz="4" w:space="0"/>
            </w:tcBorders>
            <w:vAlign w:val="center"/>
          </w:tcPr>
          <w:p w14:paraId="6D40ADBD">
            <w:pPr>
              <w:rPr>
                <w:color w:val="000000"/>
              </w:rPr>
            </w:pPr>
          </w:p>
        </w:tc>
        <w:tc>
          <w:tcPr>
            <w:tcW w:w="5762" w:type="dxa"/>
            <w:tcBorders>
              <w:top w:val="single" w:color="auto" w:sz="4" w:space="0"/>
              <w:left w:val="nil"/>
              <w:bottom w:val="single" w:color="auto" w:sz="4" w:space="0"/>
              <w:right w:val="single" w:color="auto" w:sz="4" w:space="0"/>
            </w:tcBorders>
            <w:vAlign w:val="center"/>
          </w:tcPr>
          <w:p w14:paraId="6B2B22A8">
            <w:pPr>
              <w:rPr>
                <w:color w:val="000000"/>
              </w:rPr>
            </w:pPr>
            <w:r>
              <w:rPr>
                <w:rFonts w:hint="eastAsia"/>
                <w:color w:val="000000"/>
              </w:rPr>
              <w:t>中标金额</w:t>
            </w:r>
            <w:r>
              <w:rPr>
                <w:color w:val="000000"/>
              </w:rPr>
              <w:t>6.25‰</w:t>
            </w:r>
            <w:r>
              <w:rPr>
                <w:rFonts w:hint="eastAsia"/>
                <w:color w:val="000000"/>
              </w:rPr>
              <w:t>以上</w:t>
            </w:r>
            <w:r>
              <w:rPr>
                <w:color w:val="000000"/>
              </w:rPr>
              <w:t>7.5‰</w:t>
            </w:r>
            <w:r>
              <w:rPr>
                <w:rFonts w:hint="eastAsia"/>
                <w:color w:val="000000"/>
              </w:rPr>
              <w:t>以下罚款</w:t>
            </w:r>
          </w:p>
        </w:tc>
      </w:tr>
      <w:tr w14:paraId="7C65B604">
        <w:tblPrEx>
          <w:tblCellMar>
            <w:top w:w="0" w:type="dxa"/>
            <w:left w:w="108" w:type="dxa"/>
            <w:bottom w:w="0" w:type="dxa"/>
            <w:right w:w="108" w:type="dxa"/>
          </w:tblCellMar>
        </w:tblPrEx>
        <w:trPr>
          <w:trHeight w:val="285" w:hRule="atLeast"/>
        </w:trPr>
        <w:tc>
          <w:tcPr>
            <w:tcW w:w="1079" w:type="dxa"/>
            <w:vMerge w:val="continue"/>
            <w:tcBorders>
              <w:left w:val="single" w:color="auto" w:sz="8" w:space="0"/>
              <w:right w:val="single" w:color="auto" w:sz="4" w:space="0"/>
            </w:tcBorders>
            <w:vAlign w:val="center"/>
          </w:tcPr>
          <w:p w14:paraId="4361F0D1">
            <w:pPr>
              <w:rPr>
                <w:color w:val="000000"/>
              </w:rPr>
            </w:pPr>
          </w:p>
        </w:tc>
        <w:tc>
          <w:tcPr>
            <w:tcW w:w="6192" w:type="dxa"/>
            <w:tcBorders>
              <w:top w:val="single" w:color="auto" w:sz="4" w:space="0"/>
              <w:left w:val="nil"/>
              <w:bottom w:val="single" w:color="auto" w:sz="4" w:space="0"/>
              <w:right w:val="single" w:color="auto" w:sz="4" w:space="0"/>
            </w:tcBorders>
            <w:vAlign w:val="center"/>
          </w:tcPr>
          <w:p w14:paraId="46C32F65">
            <w:pPr>
              <w:rPr>
                <w:color w:val="000000"/>
                <w:sz w:val="20"/>
              </w:rPr>
            </w:pPr>
            <w:r>
              <w:rPr>
                <w:rFonts w:hint="eastAsia"/>
                <w:color w:val="000000"/>
                <w:sz w:val="20"/>
              </w:rPr>
              <w:t>在评标委员会依法推荐的中标候选人以外确定中标人的，且未按要求改正的</w:t>
            </w:r>
          </w:p>
        </w:tc>
        <w:tc>
          <w:tcPr>
            <w:tcW w:w="1115" w:type="dxa"/>
            <w:vMerge w:val="continue"/>
            <w:tcBorders>
              <w:left w:val="single" w:color="auto" w:sz="4" w:space="0"/>
              <w:right w:val="single" w:color="auto" w:sz="4" w:space="0"/>
            </w:tcBorders>
            <w:vAlign w:val="center"/>
          </w:tcPr>
          <w:p w14:paraId="31B6032B">
            <w:pPr>
              <w:rPr>
                <w:color w:val="000000"/>
              </w:rPr>
            </w:pPr>
          </w:p>
        </w:tc>
        <w:tc>
          <w:tcPr>
            <w:tcW w:w="5762" w:type="dxa"/>
            <w:tcBorders>
              <w:top w:val="single" w:color="auto" w:sz="4" w:space="0"/>
              <w:left w:val="nil"/>
              <w:bottom w:val="single" w:color="auto" w:sz="4" w:space="0"/>
              <w:right w:val="single" w:color="auto" w:sz="4" w:space="0"/>
            </w:tcBorders>
          </w:tcPr>
          <w:p w14:paraId="2D9188E1">
            <w:pPr>
              <w:rPr>
                <w:color w:val="000000"/>
              </w:rPr>
            </w:pPr>
            <w:r>
              <w:rPr>
                <w:rFonts w:hint="eastAsia"/>
                <w:color w:val="000000"/>
              </w:rPr>
              <w:t>中标金额</w:t>
            </w:r>
            <w:r>
              <w:rPr>
                <w:color w:val="000000"/>
              </w:rPr>
              <w:t>7.5‰</w:t>
            </w:r>
            <w:r>
              <w:rPr>
                <w:rFonts w:hint="eastAsia"/>
                <w:color w:val="000000"/>
              </w:rPr>
              <w:t>以上</w:t>
            </w:r>
            <w:r>
              <w:rPr>
                <w:color w:val="000000"/>
              </w:rPr>
              <w:t>8.75‰</w:t>
            </w:r>
            <w:r>
              <w:rPr>
                <w:rFonts w:hint="eastAsia"/>
                <w:color w:val="000000"/>
              </w:rPr>
              <w:t>以下罚款</w:t>
            </w:r>
          </w:p>
        </w:tc>
      </w:tr>
      <w:tr w14:paraId="6367676B">
        <w:tblPrEx>
          <w:tblCellMar>
            <w:top w:w="0" w:type="dxa"/>
            <w:left w:w="108" w:type="dxa"/>
            <w:bottom w:w="0" w:type="dxa"/>
            <w:right w:w="108" w:type="dxa"/>
          </w:tblCellMar>
        </w:tblPrEx>
        <w:trPr>
          <w:trHeight w:val="285" w:hRule="atLeast"/>
        </w:trPr>
        <w:tc>
          <w:tcPr>
            <w:tcW w:w="1079" w:type="dxa"/>
            <w:vMerge w:val="continue"/>
            <w:tcBorders>
              <w:left w:val="single" w:color="auto" w:sz="8" w:space="0"/>
              <w:bottom w:val="single" w:color="auto" w:sz="4" w:space="0"/>
              <w:right w:val="single" w:color="auto" w:sz="4" w:space="0"/>
            </w:tcBorders>
            <w:vAlign w:val="center"/>
          </w:tcPr>
          <w:p w14:paraId="4152AB05">
            <w:pPr>
              <w:rPr>
                <w:color w:val="000000"/>
              </w:rPr>
            </w:pPr>
          </w:p>
        </w:tc>
        <w:tc>
          <w:tcPr>
            <w:tcW w:w="6192" w:type="dxa"/>
            <w:tcBorders>
              <w:top w:val="single" w:color="auto" w:sz="4" w:space="0"/>
              <w:left w:val="nil"/>
              <w:bottom w:val="single" w:color="auto" w:sz="4" w:space="0"/>
              <w:right w:val="single" w:color="auto" w:sz="4" w:space="0"/>
            </w:tcBorders>
            <w:vAlign w:val="center"/>
          </w:tcPr>
          <w:p w14:paraId="172A3664">
            <w:pPr>
              <w:rPr>
                <w:color w:val="000000"/>
                <w:sz w:val="20"/>
              </w:rPr>
            </w:pPr>
            <w:r>
              <w:rPr>
                <w:rFonts w:hint="eastAsia"/>
                <w:color w:val="000000"/>
                <w:sz w:val="20"/>
              </w:rPr>
              <w:t>在所有投标被评标委员会否决后自行确定中标人的，且未按要求改正的</w:t>
            </w:r>
          </w:p>
        </w:tc>
        <w:tc>
          <w:tcPr>
            <w:tcW w:w="1115" w:type="dxa"/>
            <w:vMerge w:val="continue"/>
            <w:tcBorders>
              <w:left w:val="single" w:color="auto" w:sz="4" w:space="0"/>
              <w:bottom w:val="single" w:color="auto" w:sz="4" w:space="0"/>
              <w:right w:val="single" w:color="auto" w:sz="4" w:space="0"/>
            </w:tcBorders>
            <w:vAlign w:val="center"/>
          </w:tcPr>
          <w:p w14:paraId="3314FEA3">
            <w:pPr>
              <w:rPr>
                <w:color w:val="000000"/>
              </w:rPr>
            </w:pPr>
          </w:p>
        </w:tc>
        <w:tc>
          <w:tcPr>
            <w:tcW w:w="5762" w:type="dxa"/>
            <w:tcBorders>
              <w:top w:val="single" w:color="auto" w:sz="4" w:space="0"/>
              <w:left w:val="nil"/>
              <w:bottom w:val="single" w:color="auto" w:sz="4" w:space="0"/>
              <w:right w:val="single" w:color="auto" w:sz="4" w:space="0"/>
            </w:tcBorders>
          </w:tcPr>
          <w:p w14:paraId="68F3559F">
            <w:pPr>
              <w:rPr>
                <w:color w:val="000000"/>
              </w:rPr>
            </w:pPr>
            <w:r>
              <w:rPr>
                <w:rFonts w:hint="eastAsia"/>
                <w:color w:val="000000"/>
              </w:rPr>
              <w:t>中标金额</w:t>
            </w:r>
            <w:r>
              <w:rPr>
                <w:color w:val="000000"/>
              </w:rPr>
              <w:t>8.75‰</w:t>
            </w:r>
            <w:r>
              <w:rPr>
                <w:rFonts w:hint="eastAsia"/>
                <w:color w:val="000000"/>
              </w:rPr>
              <w:t>以上</w:t>
            </w:r>
            <w:r>
              <w:rPr>
                <w:color w:val="000000"/>
              </w:rPr>
              <w:t>10‰</w:t>
            </w:r>
            <w:r>
              <w:rPr>
                <w:rFonts w:hint="eastAsia"/>
                <w:color w:val="000000"/>
              </w:rPr>
              <w:t>以下罚款</w:t>
            </w:r>
          </w:p>
        </w:tc>
      </w:tr>
    </w:tbl>
    <w:p w14:paraId="4E83FCF6"/>
    <w:p w14:paraId="512D91A7"/>
    <w:p w14:paraId="6C553C33"/>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075D9831">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05B9D4FA">
            <w:pPr>
              <w:jc w:val="cente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158A92AA">
            <w:pPr>
              <w:rPr>
                <w:b/>
                <w:bCs/>
                <w:color w:val="000000"/>
              </w:rPr>
            </w:pPr>
            <w:r>
              <w:rPr>
                <w:b/>
                <w:color w:val="000000"/>
              </w:rPr>
              <w:t>320217553000</w:t>
            </w:r>
          </w:p>
        </w:tc>
      </w:tr>
      <w:tr w14:paraId="329DFF3F">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24DB104B">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vAlign w:val="center"/>
          </w:tcPr>
          <w:p w14:paraId="6CB8ACD0">
            <w:pPr>
              <w:rPr>
                <w:color w:val="000000"/>
              </w:rPr>
            </w:pPr>
            <w:r>
              <w:rPr>
                <w:rFonts w:hint="eastAsia"/>
                <w:color w:val="000000"/>
              </w:rPr>
              <w:t>对《安全生产许可证条例》施行前已经进行生产的企业在规定的期限内未取得安全生产许可证继续进行生产的处罚</w:t>
            </w:r>
          </w:p>
        </w:tc>
      </w:tr>
      <w:tr w14:paraId="7112B831">
        <w:tblPrEx>
          <w:tblCellMar>
            <w:top w:w="0" w:type="dxa"/>
            <w:left w:w="108" w:type="dxa"/>
            <w:bottom w:w="0" w:type="dxa"/>
            <w:right w:w="108" w:type="dxa"/>
          </w:tblCellMar>
        </w:tblPrEx>
        <w:trPr>
          <w:trHeight w:val="1620" w:hRule="atLeast"/>
        </w:trPr>
        <w:tc>
          <w:tcPr>
            <w:tcW w:w="1296" w:type="dxa"/>
            <w:tcBorders>
              <w:top w:val="nil"/>
              <w:left w:val="single" w:color="auto" w:sz="8" w:space="0"/>
              <w:bottom w:val="single" w:color="auto" w:sz="4" w:space="0"/>
              <w:right w:val="single" w:color="auto" w:sz="4" w:space="0"/>
            </w:tcBorders>
            <w:vAlign w:val="center"/>
          </w:tcPr>
          <w:p w14:paraId="25001943">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vAlign w:val="center"/>
          </w:tcPr>
          <w:p w14:paraId="3867F6CB">
            <w:pPr>
              <w:spacing w:line="240" w:lineRule="exact"/>
              <w:jc w:val="left"/>
              <w:rPr>
                <w:color w:val="000000"/>
                <w:kern w:val="0"/>
                <w:sz w:val="18"/>
                <w:szCs w:val="18"/>
              </w:rPr>
            </w:pPr>
            <w:r>
              <w:rPr>
                <w:color w:val="000000"/>
              </w:rPr>
              <w:t xml:space="preserve"> </w:t>
            </w:r>
            <w:r>
              <w:rPr>
                <w:rFonts w:hint="eastAsia"/>
                <w:color w:val="000000"/>
                <w:kern w:val="0"/>
                <w:sz w:val="18"/>
                <w:szCs w:val="18"/>
              </w:rPr>
              <w:t>【行政法规】《安全生产许可证条例》</w:t>
            </w:r>
            <w:r>
              <w:rPr>
                <w:color w:val="000000"/>
                <w:kern w:val="0"/>
                <w:sz w:val="18"/>
                <w:szCs w:val="18"/>
              </w:rPr>
              <w:t>（</w:t>
            </w:r>
            <w:r>
              <w:rPr>
                <w:rFonts w:hint="eastAsia"/>
                <w:color w:val="000000"/>
                <w:kern w:val="0"/>
                <w:sz w:val="18"/>
                <w:szCs w:val="18"/>
              </w:rPr>
              <w:t>国务院令第</w:t>
            </w:r>
            <w:r>
              <w:rPr>
                <w:color w:val="000000"/>
                <w:kern w:val="0"/>
                <w:sz w:val="18"/>
                <w:szCs w:val="18"/>
              </w:rPr>
              <w:t>397</w:t>
            </w:r>
            <w:r>
              <w:rPr>
                <w:rFonts w:hint="eastAsia"/>
                <w:color w:val="000000"/>
                <w:kern w:val="0"/>
                <w:sz w:val="18"/>
                <w:szCs w:val="18"/>
              </w:rPr>
              <w:t>号</w:t>
            </w:r>
            <w:r>
              <w:rPr>
                <w:color w:val="000000"/>
                <w:kern w:val="0"/>
                <w:sz w:val="18"/>
                <w:szCs w:val="18"/>
              </w:rPr>
              <w:t>）</w:t>
            </w:r>
          </w:p>
          <w:p w14:paraId="214DADB0">
            <w:pPr>
              <w:spacing w:line="240" w:lineRule="exact"/>
              <w:jc w:val="left"/>
              <w:rPr>
                <w:color w:val="000000"/>
                <w:kern w:val="0"/>
                <w:sz w:val="18"/>
                <w:szCs w:val="18"/>
              </w:rPr>
            </w:pPr>
            <w:r>
              <w:rPr>
                <w:rFonts w:hint="eastAsia"/>
                <w:color w:val="000000"/>
                <w:kern w:val="0"/>
                <w:sz w:val="18"/>
                <w:szCs w:val="18"/>
              </w:rPr>
              <w:t>第十九条　违反本条例规定，未取得安全生产许可证擅自进行生产的，责令停止生产，没收违法所得，并处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万元以下的罚款；造成重大事故或者其他严重后果，构成犯罪的，依法追究刑事责任。</w:t>
            </w:r>
          </w:p>
          <w:p w14:paraId="3769E9D5">
            <w:pPr>
              <w:spacing w:line="240" w:lineRule="exact"/>
              <w:jc w:val="left"/>
              <w:rPr>
                <w:color w:val="000000"/>
              </w:rPr>
            </w:pPr>
            <w:r>
              <w:rPr>
                <w:rFonts w:hint="eastAsia"/>
                <w:color w:val="000000"/>
                <w:kern w:val="0"/>
                <w:sz w:val="18"/>
                <w:szCs w:val="18"/>
              </w:rPr>
              <w:t>第二十二条　本条例施行前已经进行生产的企业，应当自本条例施行之日起</w:t>
            </w:r>
            <w:r>
              <w:rPr>
                <w:color w:val="000000"/>
                <w:kern w:val="0"/>
                <w:sz w:val="18"/>
                <w:szCs w:val="18"/>
              </w:rPr>
              <w:t>1</w:t>
            </w:r>
            <w:r>
              <w:rPr>
                <w:rFonts w:hint="eastAsia"/>
                <w:color w:val="000000"/>
                <w:kern w:val="0"/>
                <w:sz w:val="18"/>
                <w:szCs w:val="18"/>
              </w:rPr>
              <w:t>年内，依照本条例的规定向安全生产许可证颁发管理机关申请办理安全生产许可证；逾期不办理安全生产许可证，或者经审查不符合本条例规定的安全生产条件，未取得安全生产许可证，继续进行生产的，依照本条例第十九条的规定处罚。</w:t>
            </w:r>
          </w:p>
        </w:tc>
      </w:tr>
      <w:tr w14:paraId="723E28E8">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44349D91">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66EAE8E3">
            <w:pPr>
              <w:rPr>
                <w:color w:val="000000"/>
              </w:rPr>
            </w:pPr>
            <w:r>
              <w:rPr>
                <w:rFonts w:hint="eastAsia"/>
                <w:color w:val="000000"/>
              </w:rPr>
              <w:t>没收违法所得，罚款</w:t>
            </w:r>
          </w:p>
        </w:tc>
      </w:tr>
      <w:tr w14:paraId="676AFC5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45CF804">
            <w:pPr>
              <w:jc w:val="center"/>
              <w:rPr>
                <w:color w:val="000000"/>
              </w:rPr>
            </w:pPr>
            <w:r>
              <w:rPr>
                <w:rFonts w:hint="eastAsia"/>
                <w:color w:val="000000"/>
              </w:rPr>
              <w:t>裁量基准</w:t>
            </w:r>
          </w:p>
        </w:tc>
      </w:tr>
      <w:tr w14:paraId="4BD79DCE">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423E76F8">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000000" w:sz="4" w:space="0"/>
            </w:tcBorders>
            <w:vAlign w:val="center"/>
          </w:tcPr>
          <w:p w14:paraId="7A2C54F6">
            <w:pPr>
              <w:rPr>
                <w:color w:val="000000"/>
              </w:rPr>
            </w:pPr>
            <w:r>
              <w:rPr>
                <w:rFonts w:hint="eastAsia"/>
                <w:color w:val="000000"/>
              </w:rPr>
              <w:t>安全许可证正在办理中的</w:t>
            </w:r>
          </w:p>
        </w:tc>
        <w:tc>
          <w:tcPr>
            <w:tcW w:w="1076" w:type="dxa"/>
            <w:vMerge w:val="restart"/>
            <w:tcBorders>
              <w:top w:val="nil"/>
              <w:left w:val="single" w:color="auto" w:sz="4" w:space="0"/>
              <w:bottom w:val="single" w:color="auto" w:sz="4" w:space="0"/>
              <w:right w:val="single" w:color="auto" w:sz="4" w:space="0"/>
            </w:tcBorders>
            <w:vAlign w:val="center"/>
          </w:tcPr>
          <w:p w14:paraId="606769AE">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7CBA8254">
            <w:pPr>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万元以下罚款</w:t>
            </w:r>
          </w:p>
        </w:tc>
      </w:tr>
      <w:tr w14:paraId="1939CC6E">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39B19E68">
            <w:pPr>
              <w:rPr>
                <w:color w:val="000000"/>
              </w:rPr>
            </w:pPr>
          </w:p>
        </w:tc>
        <w:tc>
          <w:tcPr>
            <w:tcW w:w="5884" w:type="dxa"/>
            <w:tcBorders>
              <w:top w:val="single" w:color="auto" w:sz="4" w:space="0"/>
              <w:left w:val="nil"/>
              <w:bottom w:val="single" w:color="auto" w:sz="4" w:space="0"/>
              <w:right w:val="single" w:color="000000" w:sz="4" w:space="0"/>
            </w:tcBorders>
            <w:vAlign w:val="center"/>
          </w:tcPr>
          <w:p w14:paraId="057EB580">
            <w:pPr>
              <w:rPr>
                <w:color w:val="000000"/>
              </w:rPr>
            </w:pPr>
            <w:r>
              <w:rPr>
                <w:rFonts w:hint="eastAsia"/>
                <w:color w:val="000000"/>
              </w:rPr>
              <w:t>拒不办理安全生产许可证，继续施工的</w:t>
            </w:r>
          </w:p>
        </w:tc>
        <w:tc>
          <w:tcPr>
            <w:tcW w:w="1076" w:type="dxa"/>
            <w:vMerge w:val="continue"/>
            <w:tcBorders>
              <w:top w:val="nil"/>
              <w:left w:val="single" w:color="auto" w:sz="4" w:space="0"/>
              <w:bottom w:val="single" w:color="auto" w:sz="4" w:space="0"/>
              <w:right w:val="single" w:color="auto" w:sz="4" w:space="0"/>
            </w:tcBorders>
            <w:vAlign w:val="center"/>
          </w:tcPr>
          <w:p w14:paraId="49120AD5">
            <w:pPr>
              <w:rPr>
                <w:color w:val="000000"/>
              </w:rPr>
            </w:pPr>
          </w:p>
        </w:tc>
        <w:tc>
          <w:tcPr>
            <w:tcW w:w="5760" w:type="dxa"/>
            <w:tcBorders>
              <w:top w:val="nil"/>
              <w:left w:val="nil"/>
              <w:bottom w:val="single" w:color="auto" w:sz="4" w:space="0"/>
              <w:right w:val="single" w:color="auto" w:sz="8" w:space="0"/>
            </w:tcBorders>
            <w:vAlign w:val="center"/>
          </w:tcPr>
          <w:p w14:paraId="1045F27E">
            <w:pPr>
              <w:rPr>
                <w:color w:val="000000"/>
              </w:rPr>
            </w:pPr>
            <w:r>
              <w:rPr>
                <w:rFonts w:hint="eastAsia"/>
                <w:color w:val="000000"/>
              </w:rPr>
              <w:t>处</w:t>
            </w:r>
            <w:r>
              <w:rPr>
                <w:color w:val="000000"/>
              </w:rPr>
              <w:t>20</w:t>
            </w:r>
            <w:r>
              <w:rPr>
                <w:rFonts w:hint="eastAsia"/>
                <w:color w:val="000000"/>
              </w:rPr>
              <w:t>万元以上</w:t>
            </w:r>
            <w:r>
              <w:rPr>
                <w:color w:val="000000"/>
              </w:rPr>
              <w:t>50</w:t>
            </w:r>
            <w:r>
              <w:rPr>
                <w:rFonts w:hint="eastAsia"/>
                <w:color w:val="000000"/>
              </w:rPr>
              <w:t>万元以下罚款</w:t>
            </w:r>
          </w:p>
        </w:tc>
      </w:tr>
    </w:tbl>
    <w:p w14:paraId="525EE786"/>
    <w:p w14:paraId="3245C4E4"/>
    <w:p w14:paraId="59C8A634"/>
    <w:p w14:paraId="5E0D8B32"/>
    <w:p w14:paraId="10697C83"/>
    <w:p w14:paraId="2F1E8317"/>
    <w:p w14:paraId="4F580192"/>
    <w:p w14:paraId="149E6339"/>
    <w:p w14:paraId="3AF3C681"/>
    <w:p w14:paraId="16A16F16"/>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5590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C46B458">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348D0A12">
            <w:pPr>
              <w:spacing w:line="320" w:lineRule="exact"/>
              <w:jc w:val="left"/>
              <w:rPr>
                <w:rFonts w:eastAsia="仿宋_GB2312"/>
                <w:b/>
                <w:bCs/>
                <w:color w:val="000000"/>
                <w:kern w:val="0"/>
                <w:sz w:val="18"/>
                <w:szCs w:val="18"/>
              </w:rPr>
            </w:pPr>
            <w:r>
              <w:rPr>
                <w:rFonts w:eastAsia="仿宋_GB2312"/>
                <w:b/>
                <w:bCs/>
                <w:color w:val="000000"/>
                <w:kern w:val="0"/>
                <w:sz w:val="18"/>
                <w:szCs w:val="18"/>
              </w:rPr>
              <w:t>320217554000</w:t>
            </w:r>
            <w:r>
              <w:rPr>
                <w:rFonts w:hint="eastAsia" w:eastAsia="仿宋_GB2312"/>
                <w:b/>
                <w:bCs/>
                <w:color w:val="000000"/>
                <w:kern w:val="0"/>
                <w:sz w:val="18"/>
                <w:szCs w:val="18"/>
              </w:rPr>
              <w:t xml:space="preserve"> </w:t>
            </w:r>
          </w:p>
        </w:tc>
      </w:tr>
      <w:tr w14:paraId="45FC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1A5D9B14">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5C05A13E">
            <w:pPr>
              <w:spacing w:line="320" w:lineRule="exact"/>
              <w:jc w:val="left"/>
              <w:rPr>
                <w:color w:val="000000"/>
                <w:kern w:val="0"/>
                <w:sz w:val="18"/>
                <w:szCs w:val="18"/>
              </w:rPr>
            </w:pPr>
            <w:r>
              <w:rPr>
                <w:rFonts w:hint="eastAsia"/>
                <w:color w:val="000000"/>
                <w:kern w:val="0"/>
                <w:sz w:val="18"/>
                <w:szCs w:val="18"/>
              </w:rPr>
              <w:t>对监理单位未按照规定签署工程质量验收意见，或者出具虚假验收意见的处罚</w:t>
            </w:r>
          </w:p>
        </w:tc>
      </w:tr>
      <w:tr w14:paraId="1E12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5AA721DC">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5BD6848C">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27824E3E">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监理单位应当履行下列工程质量义务：</w:t>
            </w:r>
          </w:p>
          <w:p w14:paraId="06CCF74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（六）按照规定签署工程质量验收意见，不得降低验收标准、出具虚假验收意见。</w:t>
            </w:r>
          </w:p>
          <w:p w14:paraId="574EF4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违反本办法第二十条规定，监理单位有下列行为之一的，由住房和城乡建设行政主管部门责令改正，并可处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0CD4C3C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（三）未按照规定签署工程质量验收意见，或者出具虚假验收意见的。</w:t>
            </w:r>
          </w:p>
        </w:tc>
      </w:tr>
      <w:tr w14:paraId="2A83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B4B5643">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6AA3B548">
            <w:pPr>
              <w:spacing w:line="320" w:lineRule="exact"/>
              <w:jc w:val="left"/>
              <w:rPr>
                <w:color w:val="000000"/>
                <w:kern w:val="0"/>
                <w:sz w:val="18"/>
                <w:szCs w:val="18"/>
              </w:rPr>
            </w:pPr>
            <w:r>
              <w:rPr>
                <w:rFonts w:hint="eastAsia"/>
                <w:color w:val="000000"/>
                <w:kern w:val="0"/>
                <w:sz w:val="18"/>
                <w:szCs w:val="18"/>
              </w:rPr>
              <w:t>罚款</w:t>
            </w:r>
          </w:p>
        </w:tc>
      </w:tr>
      <w:tr w14:paraId="7A6E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71739DE6">
            <w:pPr>
              <w:spacing w:line="320" w:lineRule="exact"/>
              <w:jc w:val="center"/>
              <w:rPr>
                <w:color w:val="000000"/>
                <w:kern w:val="0"/>
                <w:sz w:val="18"/>
                <w:szCs w:val="18"/>
              </w:rPr>
            </w:pPr>
            <w:r>
              <w:rPr>
                <w:rFonts w:hint="eastAsia"/>
                <w:color w:val="000000"/>
                <w:kern w:val="0"/>
                <w:sz w:val="18"/>
                <w:szCs w:val="18"/>
              </w:rPr>
              <w:t>裁量基准</w:t>
            </w:r>
          </w:p>
        </w:tc>
      </w:tr>
      <w:tr w14:paraId="47D5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6174E7E0">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4B44406E">
            <w:pPr>
              <w:spacing w:line="320" w:lineRule="exact"/>
              <w:jc w:val="left"/>
              <w:rPr>
                <w:color w:val="000000"/>
                <w:kern w:val="0"/>
                <w:sz w:val="18"/>
                <w:szCs w:val="18"/>
              </w:rPr>
            </w:pPr>
            <w:r>
              <w:rPr>
                <w:rFonts w:hint="eastAsia"/>
                <w:color w:val="000000"/>
                <w:kern w:val="0"/>
                <w:sz w:val="18"/>
                <w:szCs w:val="18"/>
              </w:rPr>
              <w:t>工程质量符合图纸设计要求，按照要求整改的</w:t>
            </w:r>
          </w:p>
        </w:tc>
        <w:tc>
          <w:tcPr>
            <w:tcW w:w="1080" w:type="dxa"/>
            <w:vMerge w:val="restart"/>
            <w:vAlign w:val="center"/>
          </w:tcPr>
          <w:p w14:paraId="4F2B7B12">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F990D8C">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3A01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327A0BC0">
            <w:pPr>
              <w:spacing w:line="320" w:lineRule="exact"/>
              <w:jc w:val="center"/>
              <w:rPr>
                <w:color w:val="000000"/>
                <w:kern w:val="0"/>
                <w:sz w:val="18"/>
                <w:szCs w:val="18"/>
              </w:rPr>
            </w:pPr>
          </w:p>
        </w:tc>
        <w:tc>
          <w:tcPr>
            <w:tcW w:w="6140" w:type="dxa"/>
            <w:vAlign w:val="center"/>
          </w:tcPr>
          <w:p w14:paraId="7CA5C24F">
            <w:pPr>
              <w:spacing w:line="320" w:lineRule="exact"/>
              <w:jc w:val="left"/>
              <w:rPr>
                <w:color w:val="000000"/>
                <w:kern w:val="0"/>
                <w:sz w:val="18"/>
                <w:szCs w:val="18"/>
              </w:rPr>
            </w:pPr>
            <w:r>
              <w:rPr>
                <w:rFonts w:hint="eastAsia"/>
                <w:color w:val="000000"/>
                <w:kern w:val="0"/>
                <w:sz w:val="18"/>
                <w:szCs w:val="18"/>
              </w:rPr>
              <w:t>工程质量符合图纸设计要求，未按照要求整改的</w:t>
            </w:r>
          </w:p>
        </w:tc>
        <w:tc>
          <w:tcPr>
            <w:tcW w:w="1080" w:type="dxa"/>
            <w:vMerge w:val="continue"/>
            <w:vAlign w:val="center"/>
          </w:tcPr>
          <w:p w14:paraId="28268AA8">
            <w:pPr>
              <w:spacing w:line="320" w:lineRule="exact"/>
              <w:jc w:val="center"/>
              <w:rPr>
                <w:color w:val="000000"/>
                <w:kern w:val="0"/>
                <w:sz w:val="18"/>
                <w:szCs w:val="18"/>
              </w:rPr>
            </w:pPr>
          </w:p>
        </w:tc>
        <w:tc>
          <w:tcPr>
            <w:tcW w:w="5820" w:type="dxa"/>
            <w:vAlign w:val="center"/>
          </w:tcPr>
          <w:p w14:paraId="49C07471">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1814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6134969">
            <w:pPr>
              <w:spacing w:line="320" w:lineRule="exact"/>
              <w:jc w:val="center"/>
              <w:rPr>
                <w:color w:val="000000"/>
                <w:kern w:val="0"/>
                <w:sz w:val="18"/>
                <w:szCs w:val="18"/>
              </w:rPr>
            </w:pPr>
          </w:p>
        </w:tc>
        <w:tc>
          <w:tcPr>
            <w:tcW w:w="6140" w:type="dxa"/>
            <w:vAlign w:val="center"/>
          </w:tcPr>
          <w:p w14:paraId="0BDE1093">
            <w:pPr>
              <w:spacing w:line="320" w:lineRule="exact"/>
              <w:jc w:val="left"/>
              <w:rPr>
                <w:color w:val="000000"/>
                <w:kern w:val="0"/>
                <w:sz w:val="18"/>
                <w:szCs w:val="18"/>
              </w:rPr>
            </w:pPr>
            <w:r>
              <w:rPr>
                <w:rFonts w:hint="eastAsia"/>
                <w:color w:val="000000"/>
                <w:kern w:val="0"/>
                <w:sz w:val="18"/>
                <w:szCs w:val="18"/>
              </w:rPr>
              <w:t>工程质量不符合图纸设计要求，按照要求整改的</w:t>
            </w:r>
          </w:p>
        </w:tc>
        <w:tc>
          <w:tcPr>
            <w:tcW w:w="1080" w:type="dxa"/>
            <w:vMerge w:val="continue"/>
            <w:vAlign w:val="center"/>
          </w:tcPr>
          <w:p w14:paraId="64D9BFF8">
            <w:pPr>
              <w:spacing w:line="320" w:lineRule="exact"/>
              <w:jc w:val="center"/>
              <w:rPr>
                <w:color w:val="000000"/>
                <w:kern w:val="0"/>
                <w:sz w:val="18"/>
                <w:szCs w:val="18"/>
              </w:rPr>
            </w:pPr>
          </w:p>
        </w:tc>
        <w:tc>
          <w:tcPr>
            <w:tcW w:w="5820" w:type="dxa"/>
            <w:vAlign w:val="center"/>
          </w:tcPr>
          <w:p w14:paraId="2ACEF362">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3D60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3521A69B">
            <w:pPr>
              <w:spacing w:line="320" w:lineRule="exact"/>
              <w:jc w:val="center"/>
              <w:rPr>
                <w:color w:val="000000"/>
                <w:kern w:val="0"/>
                <w:sz w:val="18"/>
                <w:szCs w:val="18"/>
              </w:rPr>
            </w:pPr>
          </w:p>
        </w:tc>
        <w:tc>
          <w:tcPr>
            <w:tcW w:w="6140" w:type="dxa"/>
            <w:vAlign w:val="center"/>
          </w:tcPr>
          <w:p w14:paraId="09185548">
            <w:pPr>
              <w:spacing w:line="320" w:lineRule="exact"/>
              <w:jc w:val="left"/>
              <w:rPr>
                <w:color w:val="000000"/>
                <w:kern w:val="0"/>
                <w:sz w:val="18"/>
                <w:szCs w:val="18"/>
              </w:rPr>
            </w:pPr>
            <w:r>
              <w:rPr>
                <w:rFonts w:hint="eastAsia"/>
                <w:color w:val="000000"/>
                <w:kern w:val="0"/>
                <w:sz w:val="18"/>
                <w:szCs w:val="18"/>
              </w:rPr>
              <w:t>工程质量不符合图纸设计要求，未按照要求整改的</w:t>
            </w:r>
          </w:p>
        </w:tc>
        <w:tc>
          <w:tcPr>
            <w:tcW w:w="1080" w:type="dxa"/>
            <w:vMerge w:val="continue"/>
            <w:vAlign w:val="center"/>
          </w:tcPr>
          <w:p w14:paraId="2EBAFE37">
            <w:pPr>
              <w:spacing w:line="320" w:lineRule="exact"/>
              <w:jc w:val="center"/>
              <w:rPr>
                <w:color w:val="000000"/>
                <w:kern w:val="0"/>
                <w:sz w:val="18"/>
                <w:szCs w:val="18"/>
              </w:rPr>
            </w:pPr>
          </w:p>
        </w:tc>
        <w:tc>
          <w:tcPr>
            <w:tcW w:w="5820" w:type="dxa"/>
            <w:vAlign w:val="center"/>
          </w:tcPr>
          <w:p w14:paraId="6B0AC356">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4AD69A12"/>
    <w:p w14:paraId="4172CA90"/>
    <w:p w14:paraId="3E010FB0"/>
    <w:p w14:paraId="6C8BCA27"/>
    <w:p w14:paraId="238077DA"/>
    <w:p w14:paraId="4C46A760"/>
    <w:p w14:paraId="6B53CE78"/>
    <w:p w14:paraId="5FC10B86"/>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3E6B5E45">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7803759">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auto" w:sz="4" w:space="0"/>
            </w:tcBorders>
            <w:vAlign w:val="center"/>
          </w:tcPr>
          <w:p w14:paraId="1256AB30">
            <w:pPr>
              <w:jc w:val="left"/>
              <w:textAlignment w:val="center"/>
              <w:rPr>
                <w:rFonts w:eastAsia="仿宋_GB2312"/>
                <w:b/>
                <w:bCs/>
                <w:color w:val="000000"/>
                <w:kern w:val="0"/>
                <w:sz w:val="18"/>
                <w:szCs w:val="18"/>
              </w:rPr>
            </w:pPr>
            <w:r>
              <w:rPr>
                <w:rFonts w:eastAsia="仿宋_GB2312"/>
                <w:b/>
                <w:color w:val="000000"/>
                <w:kern w:val="0"/>
                <w:sz w:val="20"/>
              </w:rPr>
              <w:t>320217558000</w:t>
            </w:r>
          </w:p>
        </w:tc>
      </w:tr>
      <w:tr w14:paraId="0FD37BBE">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1A4F016">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auto" w:sz="4" w:space="0"/>
            </w:tcBorders>
            <w:vAlign w:val="center"/>
          </w:tcPr>
          <w:p w14:paraId="44C9A111">
            <w:pPr>
              <w:spacing w:line="320" w:lineRule="exact"/>
              <w:jc w:val="left"/>
              <w:rPr>
                <w:color w:val="000000"/>
                <w:kern w:val="0"/>
                <w:sz w:val="18"/>
                <w:szCs w:val="18"/>
              </w:rPr>
            </w:pPr>
            <w:r>
              <w:rPr>
                <w:rFonts w:hint="eastAsia"/>
                <w:color w:val="000000"/>
                <w:kern w:val="0"/>
                <w:sz w:val="18"/>
                <w:szCs w:val="18"/>
              </w:rPr>
              <w:t>对注册建造师在执业过程中实施商业贿赂的处罚</w:t>
            </w:r>
          </w:p>
        </w:tc>
      </w:tr>
      <w:tr w14:paraId="1F8BC768">
        <w:tblPrEx>
          <w:tblCellMar>
            <w:top w:w="0" w:type="dxa"/>
            <w:left w:w="108" w:type="dxa"/>
            <w:bottom w:w="0" w:type="dxa"/>
            <w:right w:w="108" w:type="dxa"/>
          </w:tblCellMar>
        </w:tblPrEx>
        <w:trPr>
          <w:trHeight w:val="1290" w:hRule="atLeast"/>
        </w:trPr>
        <w:tc>
          <w:tcPr>
            <w:tcW w:w="1056" w:type="dxa"/>
            <w:tcBorders>
              <w:top w:val="nil"/>
              <w:left w:val="single" w:color="auto" w:sz="8" w:space="0"/>
              <w:bottom w:val="single" w:color="auto" w:sz="4" w:space="0"/>
              <w:right w:val="single" w:color="auto" w:sz="4" w:space="0"/>
            </w:tcBorders>
            <w:vAlign w:val="center"/>
          </w:tcPr>
          <w:p w14:paraId="3EE6AF5D">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auto" w:sz="4" w:space="0"/>
            </w:tcBorders>
            <w:vAlign w:val="center"/>
          </w:tcPr>
          <w:p w14:paraId="6D13193B">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注册建造师不得有下列行为：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（三）在执业过程中实施商业贿赂。</w:t>
            </w:r>
            <w:r>
              <w:rPr>
                <w:color w:val="000000"/>
                <w:kern w:val="0"/>
                <w:sz w:val="18"/>
                <w:szCs w:val="18"/>
              </w:rPr>
              <w:br w:type="textWrapping"/>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违反本规定，注册建造师在执业活动中有第二十六条所列行为之一的，由县级以上地方人民政府建设主管部门或者其他有关部门给予警告，责令改正，没有违法所得的，处以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06FEED0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CFDCE9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auto" w:sz="4" w:space="0"/>
            </w:tcBorders>
            <w:vAlign w:val="center"/>
          </w:tcPr>
          <w:p w14:paraId="3ACF6299">
            <w:pPr>
              <w:spacing w:line="320" w:lineRule="exact"/>
              <w:jc w:val="left"/>
              <w:rPr>
                <w:color w:val="000000"/>
                <w:kern w:val="0"/>
                <w:sz w:val="18"/>
                <w:szCs w:val="18"/>
              </w:rPr>
            </w:pPr>
            <w:r>
              <w:rPr>
                <w:rFonts w:hint="eastAsia"/>
                <w:color w:val="000000"/>
                <w:kern w:val="0"/>
                <w:sz w:val="18"/>
                <w:szCs w:val="18"/>
              </w:rPr>
              <w:t>警告，罚款</w:t>
            </w:r>
          </w:p>
        </w:tc>
      </w:tr>
      <w:tr w14:paraId="4E3C7CC7">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auto" w:sz="4" w:space="0"/>
            </w:tcBorders>
            <w:vAlign w:val="center"/>
          </w:tcPr>
          <w:p w14:paraId="0A0C962F">
            <w:pPr>
              <w:spacing w:line="320" w:lineRule="exact"/>
              <w:jc w:val="center"/>
              <w:rPr>
                <w:color w:val="000000"/>
                <w:kern w:val="0"/>
                <w:sz w:val="18"/>
                <w:szCs w:val="18"/>
              </w:rPr>
            </w:pPr>
            <w:r>
              <w:rPr>
                <w:rFonts w:hint="eastAsia"/>
                <w:color w:val="000000"/>
                <w:kern w:val="0"/>
                <w:sz w:val="18"/>
                <w:szCs w:val="18"/>
              </w:rPr>
              <w:t>　</w:t>
            </w:r>
          </w:p>
        </w:tc>
      </w:tr>
      <w:tr w14:paraId="1E6627A0">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55839AFF">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11A62C64">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129B83C6">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475DD4D6">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4" w:space="0"/>
            </w:tcBorders>
            <w:vAlign w:val="center"/>
          </w:tcPr>
          <w:p w14:paraId="5214142E">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3D9FDB4F">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F0468BF">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4D9F4FF3">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34A8CC91">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7B39B321">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15DAD6C4">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3BD4CF1A">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53214A7B">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1223A930">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2D2002F4">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07D5A7C3">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0FAEABC9">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38680CD6">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9CA5BB6">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F0AF2FC">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53EAFFB">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7ED1642D">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732048A7">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1850E523"/>
    <w:p w14:paraId="1AF773D6"/>
    <w:p w14:paraId="6C41106A"/>
    <w:p w14:paraId="20102A6F"/>
    <w:p w14:paraId="4312E2AB"/>
    <w:p w14:paraId="50454D52"/>
    <w:p w14:paraId="07701297"/>
    <w:p w14:paraId="206EAFEB"/>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0ABAB616">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683AE661">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auto" w:sz="4" w:space="0"/>
            </w:tcBorders>
            <w:vAlign w:val="center"/>
          </w:tcPr>
          <w:p w14:paraId="57C91428">
            <w:pPr>
              <w:jc w:val="left"/>
              <w:textAlignment w:val="center"/>
              <w:rPr>
                <w:rFonts w:eastAsia="仿宋_GB2312"/>
                <w:b/>
                <w:bCs/>
                <w:color w:val="000000"/>
                <w:kern w:val="0"/>
                <w:sz w:val="18"/>
                <w:szCs w:val="18"/>
              </w:rPr>
            </w:pPr>
            <w:r>
              <w:rPr>
                <w:rFonts w:eastAsia="仿宋_GB2312"/>
                <w:b/>
                <w:color w:val="000000"/>
                <w:kern w:val="0"/>
                <w:sz w:val="20"/>
              </w:rPr>
              <w:t>320217559000</w:t>
            </w:r>
          </w:p>
        </w:tc>
      </w:tr>
      <w:tr w14:paraId="6A0E3940">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A863D36">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auto" w:sz="4" w:space="0"/>
            </w:tcBorders>
            <w:vAlign w:val="center"/>
          </w:tcPr>
          <w:p w14:paraId="73DAFC62">
            <w:pPr>
              <w:spacing w:line="320" w:lineRule="exact"/>
              <w:jc w:val="left"/>
              <w:rPr>
                <w:color w:val="000000"/>
                <w:kern w:val="0"/>
                <w:sz w:val="18"/>
                <w:szCs w:val="18"/>
              </w:rPr>
            </w:pPr>
            <w:r>
              <w:rPr>
                <w:rFonts w:hint="eastAsia"/>
                <w:color w:val="000000"/>
                <w:kern w:val="0"/>
                <w:sz w:val="18"/>
                <w:szCs w:val="18"/>
              </w:rPr>
              <w:t>对注册建造师在执业过程中签署有虚假记载等不合格的文件的处罚</w:t>
            </w:r>
          </w:p>
        </w:tc>
      </w:tr>
      <w:tr w14:paraId="7359D2F8">
        <w:tblPrEx>
          <w:tblCellMar>
            <w:top w:w="0" w:type="dxa"/>
            <w:left w:w="108" w:type="dxa"/>
            <w:bottom w:w="0" w:type="dxa"/>
            <w:right w:w="108" w:type="dxa"/>
          </w:tblCellMar>
        </w:tblPrEx>
        <w:trPr>
          <w:trHeight w:val="1275" w:hRule="atLeast"/>
        </w:trPr>
        <w:tc>
          <w:tcPr>
            <w:tcW w:w="1056" w:type="dxa"/>
            <w:tcBorders>
              <w:top w:val="nil"/>
              <w:left w:val="single" w:color="auto" w:sz="8" w:space="0"/>
              <w:bottom w:val="single" w:color="auto" w:sz="4" w:space="0"/>
              <w:right w:val="single" w:color="auto" w:sz="4" w:space="0"/>
            </w:tcBorders>
            <w:vAlign w:val="center"/>
          </w:tcPr>
          <w:p w14:paraId="37A90303">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auto" w:sz="4" w:space="0"/>
            </w:tcBorders>
            <w:vAlign w:val="center"/>
          </w:tcPr>
          <w:p w14:paraId="6FC490B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注册建造师不得有下列行为：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（四）签署有虚假记载等不合格的文件。</w:t>
            </w:r>
            <w:r>
              <w:rPr>
                <w:color w:val="000000"/>
                <w:kern w:val="0"/>
                <w:sz w:val="18"/>
                <w:szCs w:val="18"/>
              </w:rPr>
              <w:br w:type="textWrapping"/>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违反本规定，注册建造师在执业活动中有第二十六条所列行为之一的，由县级以上地方人民政府建设主管部门或者其他有关部门给予警告，责令改正，没有违法所得的，处以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19376199">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BD6F949">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auto" w:sz="4" w:space="0"/>
            </w:tcBorders>
            <w:vAlign w:val="center"/>
          </w:tcPr>
          <w:p w14:paraId="514F4776">
            <w:pPr>
              <w:spacing w:line="320" w:lineRule="exact"/>
              <w:jc w:val="left"/>
              <w:rPr>
                <w:color w:val="000000"/>
                <w:kern w:val="0"/>
                <w:sz w:val="18"/>
                <w:szCs w:val="18"/>
              </w:rPr>
            </w:pPr>
            <w:r>
              <w:rPr>
                <w:rFonts w:hint="eastAsia"/>
                <w:color w:val="000000"/>
                <w:kern w:val="0"/>
                <w:sz w:val="18"/>
                <w:szCs w:val="18"/>
              </w:rPr>
              <w:t>警告，罚款</w:t>
            </w:r>
          </w:p>
        </w:tc>
      </w:tr>
      <w:tr w14:paraId="7E3A5D7F">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auto" w:sz="4" w:space="0"/>
            </w:tcBorders>
            <w:vAlign w:val="center"/>
          </w:tcPr>
          <w:p w14:paraId="6F556CED">
            <w:pPr>
              <w:spacing w:line="320" w:lineRule="exact"/>
              <w:jc w:val="center"/>
              <w:rPr>
                <w:color w:val="000000"/>
                <w:kern w:val="0"/>
                <w:sz w:val="18"/>
                <w:szCs w:val="18"/>
              </w:rPr>
            </w:pPr>
            <w:r>
              <w:rPr>
                <w:rFonts w:hint="eastAsia"/>
                <w:color w:val="000000"/>
                <w:kern w:val="0"/>
                <w:sz w:val="18"/>
                <w:szCs w:val="18"/>
              </w:rPr>
              <w:t>裁量基准</w:t>
            </w:r>
          </w:p>
        </w:tc>
      </w:tr>
      <w:tr w14:paraId="49B58BB6">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0775F6E7">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6E18FA47">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1F61FE53">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398B382E">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4" w:space="0"/>
            </w:tcBorders>
            <w:vAlign w:val="center"/>
          </w:tcPr>
          <w:p w14:paraId="018C6B5C">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5069F5B2">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688498D">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5BAC5178">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360476B">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2A601AA0">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35DCE48A">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4D835694">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44E76806">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0BA7E21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34AD6D18">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0CBA5759">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1A50F3A4">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442EBB00">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1F6D20E6">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01EED668">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08683B39">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09C3A1FC">
            <w:pPr>
              <w:spacing w:line="320" w:lineRule="exact"/>
              <w:jc w:val="left"/>
              <w:rPr>
                <w:color w:val="000000"/>
                <w:kern w:val="0"/>
                <w:sz w:val="18"/>
                <w:szCs w:val="18"/>
              </w:rPr>
            </w:pPr>
          </w:p>
        </w:tc>
        <w:tc>
          <w:tcPr>
            <w:tcW w:w="5820" w:type="dxa"/>
            <w:tcBorders>
              <w:top w:val="nil"/>
              <w:left w:val="nil"/>
              <w:bottom w:val="single" w:color="auto" w:sz="4" w:space="0"/>
              <w:right w:val="single" w:color="auto" w:sz="4" w:space="0"/>
            </w:tcBorders>
            <w:vAlign w:val="center"/>
          </w:tcPr>
          <w:p w14:paraId="06FE708F">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37B6FBE4"/>
    <w:p w14:paraId="6A941BCD"/>
    <w:p w14:paraId="56F4967D"/>
    <w:p w14:paraId="3F795D71"/>
    <w:p w14:paraId="1D8B7F27"/>
    <w:p w14:paraId="6177DB9D"/>
    <w:p w14:paraId="56D89FA1"/>
    <w:p w14:paraId="55AD4BBE"/>
    <w:p w14:paraId="3FCE2F48"/>
    <w:p w14:paraId="003A85AA"/>
    <w:tbl>
      <w:tblPr>
        <w:tblStyle w:val="15"/>
        <w:tblW w:w="0" w:type="auto"/>
        <w:tblInd w:w="88" w:type="dxa"/>
        <w:tblLayout w:type="fixed"/>
        <w:tblCellMar>
          <w:top w:w="0" w:type="dxa"/>
          <w:left w:w="108" w:type="dxa"/>
          <w:bottom w:w="0" w:type="dxa"/>
          <w:right w:w="108" w:type="dxa"/>
        </w:tblCellMar>
      </w:tblPr>
      <w:tblGrid>
        <w:gridCol w:w="1116"/>
        <w:gridCol w:w="6140"/>
        <w:gridCol w:w="1104"/>
        <w:gridCol w:w="5670"/>
      </w:tblGrid>
      <w:tr w14:paraId="6E17B3E8">
        <w:tblPrEx>
          <w:tblCellMar>
            <w:top w:w="0" w:type="dxa"/>
            <w:left w:w="108" w:type="dxa"/>
            <w:bottom w:w="0" w:type="dxa"/>
            <w:right w:w="108" w:type="dxa"/>
          </w:tblCellMar>
        </w:tblPrEx>
        <w:trPr>
          <w:trHeight w:val="285" w:hRule="atLeast"/>
        </w:trPr>
        <w:tc>
          <w:tcPr>
            <w:tcW w:w="1116" w:type="dxa"/>
            <w:tcBorders>
              <w:top w:val="single" w:color="auto" w:sz="8" w:space="0"/>
              <w:left w:val="single" w:color="auto" w:sz="8" w:space="0"/>
              <w:bottom w:val="single" w:color="auto" w:sz="4" w:space="0"/>
              <w:right w:val="single" w:color="auto" w:sz="4" w:space="0"/>
            </w:tcBorders>
            <w:vAlign w:val="center"/>
          </w:tcPr>
          <w:p w14:paraId="0A523BD5">
            <w:pPr>
              <w:spacing w:line="280" w:lineRule="exact"/>
              <w:jc w:val="center"/>
              <w:rPr>
                <w:color w:val="000000"/>
                <w:kern w:val="0"/>
                <w:sz w:val="18"/>
                <w:szCs w:val="18"/>
              </w:rPr>
            </w:pPr>
            <w:r>
              <w:rPr>
                <w:rFonts w:hint="eastAsia"/>
                <w:color w:val="000000"/>
                <w:kern w:val="0"/>
                <w:sz w:val="18"/>
                <w:szCs w:val="18"/>
              </w:rPr>
              <w:t>编号</w:t>
            </w:r>
          </w:p>
        </w:tc>
        <w:tc>
          <w:tcPr>
            <w:tcW w:w="12914" w:type="dxa"/>
            <w:gridSpan w:val="3"/>
            <w:tcBorders>
              <w:top w:val="single" w:color="auto" w:sz="8" w:space="0"/>
              <w:left w:val="nil"/>
              <w:bottom w:val="single" w:color="auto" w:sz="4" w:space="0"/>
              <w:right w:val="single" w:color="000000" w:sz="8" w:space="0"/>
            </w:tcBorders>
            <w:vAlign w:val="center"/>
          </w:tcPr>
          <w:p w14:paraId="050A5B53">
            <w:pPr>
              <w:spacing w:line="280" w:lineRule="exact"/>
              <w:jc w:val="left"/>
              <w:rPr>
                <w:rFonts w:eastAsia="仿宋_GB2312"/>
                <w:b/>
                <w:bCs/>
                <w:color w:val="000000"/>
                <w:kern w:val="0"/>
                <w:sz w:val="18"/>
                <w:szCs w:val="18"/>
              </w:rPr>
            </w:pPr>
            <w:r>
              <w:rPr>
                <w:rFonts w:eastAsia="仿宋_GB2312"/>
                <w:b/>
                <w:bCs/>
                <w:color w:val="000000"/>
                <w:kern w:val="0"/>
                <w:sz w:val="18"/>
                <w:szCs w:val="18"/>
              </w:rPr>
              <w:t>320217560000</w:t>
            </w:r>
            <w:r>
              <w:rPr>
                <w:rFonts w:hint="eastAsia" w:eastAsia="仿宋_GB2312"/>
                <w:b/>
                <w:bCs/>
                <w:color w:val="000000"/>
                <w:kern w:val="0"/>
                <w:sz w:val="18"/>
                <w:szCs w:val="18"/>
              </w:rPr>
              <w:t xml:space="preserve"> </w:t>
            </w:r>
          </w:p>
        </w:tc>
      </w:tr>
      <w:tr w14:paraId="231C44B5">
        <w:tblPrEx>
          <w:tblCellMar>
            <w:top w:w="0" w:type="dxa"/>
            <w:left w:w="108" w:type="dxa"/>
            <w:bottom w:w="0" w:type="dxa"/>
            <w:right w:w="108" w:type="dxa"/>
          </w:tblCellMar>
        </w:tblPrEx>
        <w:trPr>
          <w:trHeight w:val="285" w:hRule="atLeast"/>
        </w:trPr>
        <w:tc>
          <w:tcPr>
            <w:tcW w:w="1116" w:type="dxa"/>
            <w:tcBorders>
              <w:top w:val="nil"/>
              <w:left w:val="single" w:color="auto" w:sz="8" w:space="0"/>
              <w:bottom w:val="single" w:color="auto" w:sz="4" w:space="0"/>
              <w:right w:val="single" w:color="auto" w:sz="4" w:space="0"/>
            </w:tcBorders>
            <w:vAlign w:val="center"/>
          </w:tcPr>
          <w:p w14:paraId="607D89EF">
            <w:pPr>
              <w:spacing w:line="280" w:lineRule="exact"/>
              <w:jc w:val="center"/>
              <w:rPr>
                <w:color w:val="000000"/>
                <w:kern w:val="0"/>
                <w:sz w:val="18"/>
                <w:szCs w:val="18"/>
              </w:rPr>
            </w:pPr>
            <w:r>
              <w:rPr>
                <w:rFonts w:hint="eastAsia"/>
                <w:color w:val="000000"/>
                <w:kern w:val="0"/>
                <w:sz w:val="18"/>
                <w:szCs w:val="18"/>
              </w:rPr>
              <w:t>行为名称</w:t>
            </w:r>
          </w:p>
        </w:tc>
        <w:tc>
          <w:tcPr>
            <w:tcW w:w="12914" w:type="dxa"/>
            <w:gridSpan w:val="3"/>
            <w:tcBorders>
              <w:top w:val="single" w:color="auto" w:sz="4" w:space="0"/>
              <w:left w:val="nil"/>
              <w:bottom w:val="single" w:color="auto" w:sz="4" w:space="0"/>
              <w:right w:val="single" w:color="000000" w:sz="8" w:space="0"/>
            </w:tcBorders>
            <w:vAlign w:val="center"/>
          </w:tcPr>
          <w:p w14:paraId="6B7E7BBE">
            <w:pPr>
              <w:spacing w:line="280" w:lineRule="exact"/>
              <w:jc w:val="left"/>
              <w:rPr>
                <w:color w:val="000000"/>
                <w:kern w:val="0"/>
                <w:sz w:val="18"/>
                <w:szCs w:val="18"/>
              </w:rPr>
            </w:pPr>
            <w:r>
              <w:rPr>
                <w:rFonts w:hint="eastAsia"/>
                <w:color w:val="000000"/>
                <w:kern w:val="0"/>
                <w:sz w:val="18"/>
                <w:szCs w:val="18"/>
              </w:rPr>
              <w:t>对房地产开发企业未取得商品房预售许可擅自预售商品房的处罚</w:t>
            </w:r>
            <w:r>
              <w:rPr>
                <w:color w:val="000000"/>
                <w:kern w:val="0"/>
                <w:sz w:val="18"/>
                <w:szCs w:val="18"/>
              </w:rPr>
              <w:t xml:space="preserve">  </w:t>
            </w:r>
          </w:p>
        </w:tc>
      </w:tr>
      <w:tr w14:paraId="1D6294D6">
        <w:tblPrEx>
          <w:tblCellMar>
            <w:top w:w="0" w:type="dxa"/>
            <w:left w:w="108" w:type="dxa"/>
            <w:bottom w:w="0" w:type="dxa"/>
            <w:right w:w="108" w:type="dxa"/>
          </w:tblCellMar>
        </w:tblPrEx>
        <w:trPr>
          <w:trHeight w:val="3975" w:hRule="atLeast"/>
        </w:trPr>
        <w:tc>
          <w:tcPr>
            <w:tcW w:w="1116" w:type="dxa"/>
            <w:tcBorders>
              <w:top w:val="nil"/>
              <w:left w:val="single" w:color="auto" w:sz="8" w:space="0"/>
              <w:bottom w:val="single" w:color="auto" w:sz="4" w:space="0"/>
              <w:right w:val="single" w:color="auto" w:sz="4" w:space="0"/>
            </w:tcBorders>
            <w:vAlign w:val="center"/>
          </w:tcPr>
          <w:p w14:paraId="43BB59A6">
            <w:pPr>
              <w:spacing w:line="280" w:lineRule="exact"/>
              <w:jc w:val="center"/>
              <w:rPr>
                <w:color w:val="000000"/>
                <w:kern w:val="0"/>
                <w:sz w:val="18"/>
                <w:szCs w:val="18"/>
              </w:rPr>
            </w:pPr>
            <w:r>
              <w:rPr>
                <w:rFonts w:hint="eastAsia"/>
                <w:color w:val="000000"/>
                <w:kern w:val="0"/>
                <w:sz w:val="18"/>
                <w:szCs w:val="18"/>
              </w:rPr>
              <w:t>法律依据</w:t>
            </w:r>
          </w:p>
        </w:tc>
        <w:tc>
          <w:tcPr>
            <w:tcW w:w="12914" w:type="dxa"/>
            <w:gridSpan w:val="3"/>
            <w:tcBorders>
              <w:top w:val="single" w:color="auto" w:sz="4" w:space="0"/>
              <w:left w:val="nil"/>
              <w:bottom w:val="single" w:color="auto" w:sz="4" w:space="0"/>
              <w:right w:val="single" w:color="000000" w:sz="8" w:space="0"/>
            </w:tcBorders>
            <w:vAlign w:val="center"/>
          </w:tcPr>
          <w:p w14:paraId="25273AAA">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【法律】《中华人民共和国城市房地产管理法》（</w:t>
            </w:r>
            <w:r>
              <w:rPr>
                <w:color w:val="000000"/>
                <w:kern w:val="0"/>
                <w:sz w:val="18"/>
                <w:szCs w:val="18"/>
              </w:rPr>
              <w:t>2007</w:t>
            </w:r>
            <w:r>
              <w:rPr>
                <w:rFonts w:hint="eastAsia"/>
                <w:color w:val="000000"/>
                <w:kern w:val="0"/>
                <w:sz w:val="18"/>
                <w:szCs w:val="18"/>
              </w:rPr>
              <w:t>年国务院令</w:t>
            </w:r>
            <w:r>
              <w:rPr>
                <w:color w:val="000000"/>
                <w:kern w:val="0"/>
                <w:sz w:val="18"/>
                <w:szCs w:val="18"/>
              </w:rPr>
              <w:t>72</w:t>
            </w:r>
            <w:r>
              <w:rPr>
                <w:rFonts w:hint="eastAsia"/>
                <w:color w:val="000000"/>
                <w:kern w:val="0"/>
                <w:sz w:val="18"/>
                <w:szCs w:val="18"/>
              </w:rPr>
              <w:t>号）</w:t>
            </w:r>
          </w:p>
          <w:p w14:paraId="7665664A">
            <w:pPr>
              <w:spacing w:line="280" w:lineRule="exact"/>
              <w:jc w:val="left"/>
              <w:rPr>
                <w:color w:val="000000"/>
                <w:kern w:val="0"/>
                <w:sz w:val="18"/>
                <w:szCs w:val="18"/>
              </w:rPr>
            </w:pPr>
            <w:r>
              <w:rPr>
                <w:rFonts w:hint="eastAsia"/>
                <w:color w:val="000000"/>
                <w:kern w:val="0"/>
                <w:sz w:val="18"/>
                <w:szCs w:val="18"/>
              </w:rPr>
              <w:t>第四十五条第一款</w:t>
            </w:r>
            <w:r>
              <w:rPr>
                <w:color w:val="000000"/>
                <w:kern w:val="0"/>
                <w:sz w:val="18"/>
                <w:szCs w:val="18"/>
              </w:rPr>
              <w:t xml:space="preserve">  </w:t>
            </w:r>
            <w:r>
              <w:rPr>
                <w:rFonts w:hint="eastAsia"/>
                <w:color w:val="000000"/>
                <w:kern w:val="0"/>
                <w:sz w:val="18"/>
                <w:szCs w:val="18"/>
              </w:rPr>
              <w:t>商品房预售，应当符合下列条件：</w:t>
            </w:r>
            <w:r>
              <w:rPr>
                <w:color w:val="000000"/>
                <w:kern w:val="0"/>
                <w:sz w:val="18"/>
                <w:szCs w:val="18"/>
              </w:rPr>
              <w:t xml:space="preserve"> </w:t>
            </w:r>
          </w:p>
          <w:p w14:paraId="3366272A">
            <w:pPr>
              <w:spacing w:line="280" w:lineRule="exact"/>
              <w:jc w:val="left"/>
              <w:rPr>
                <w:color w:val="000000"/>
                <w:kern w:val="0"/>
                <w:sz w:val="18"/>
                <w:szCs w:val="18"/>
              </w:rPr>
            </w:pPr>
            <w:r>
              <w:rPr>
                <w:rFonts w:hint="eastAsia"/>
                <w:color w:val="000000"/>
                <w:kern w:val="0"/>
                <w:sz w:val="18"/>
                <w:szCs w:val="18"/>
              </w:rPr>
              <w:t>（一）已交付全部土地使用权出让金，取得土地使用权证书；</w:t>
            </w:r>
            <w:r>
              <w:rPr>
                <w:color w:val="000000"/>
                <w:kern w:val="0"/>
                <w:sz w:val="18"/>
                <w:szCs w:val="18"/>
              </w:rPr>
              <w:t xml:space="preserve"> </w:t>
            </w:r>
          </w:p>
          <w:p w14:paraId="553EF81F">
            <w:pPr>
              <w:spacing w:line="280" w:lineRule="exact"/>
              <w:jc w:val="left"/>
              <w:rPr>
                <w:color w:val="000000"/>
                <w:kern w:val="0"/>
                <w:sz w:val="18"/>
                <w:szCs w:val="18"/>
              </w:rPr>
            </w:pPr>
            <w:r>
              <w:rPr>
                <w:rFonts w:hint="eastAsia"/>
                <w:color w:val="000000"/>
                <w:kern w:val="0"/>
                <w:sz w:val="18"/>
                <w:szCs w:val="18"/>
              </w:rPr>
              <w:t>（二）持有建设工程规划许可证；</w:t>
            </w:r>
            <w:r>
              <w:rPr>
                <w:color w:val="000000"/>
                <w:kern w:val="0"/>
                <w:sz w:val="18"/>
                <w:szCs w:val="18"/>
              </w:rPr>
              <w:t xml:space="preserve"> </w:t>
            </w:r>
          </w:p>
          <w:p w14:paraId="0504419C">
            <w:pPr>
              <w:spacing w:line="280" w:lineRule="exact"/>
              <w:jc w:val="left"/>
              <w:rPr>
                <w:color w:val="000000"/>
                <w:kern w:val="0"/>
                <w:sz w:val="18"/>
                <w:szCs w:val="18"/>
              </w:rPr>
            </w:pPr>
            <w:r>
              <w:rPr>
                <w:rFonts w:hint="eastAsia"/>
                <w:color w:val="000000"/>
                <w:kern w:val="0"/>
                <w:sz w:val="18"/>
                <w:szCs w:val="18"/>
              </w:rPr>
              <w:t>（三）按提供预售的商品房计算，投入开发建设的资金达到工程建设总投资的百分之二十五以上，并已经确定施工进度和竣工交付日期；</w:t>
            </w:r>
            <w:r>
              <w:rPr>
                <w:color w:val="000000"/>
                <w:kern w:val="0"/>
                <w:sz w:val="18"/>
                <w:szCs w:val="18"/>
              </w:rPr>
              <w:t xml:space="preserve"> </w:t>
            </w:r>
          </w:p>
          <w:p w14:paraId="2D3600B1">
            <w:pPr>
              <w:spacing w:line="280" w:lineRule="exact"/>
              <w:jc w:val="left"/>
              <w:rPr>
                <w:color w:val="000000"/>
                <w:kern w:val="0"/>
                <w:sz w:val="18"/>
                <w:szCs w:val="18"/>
              </w:rPr>
            </w:pPr>
            <w:r>
              <w:rPr>
                <w:rFonts w:hint="eastAsia"/>
                <w:color w:val="000000"/>
                <w:kern w:val="0"/>
                <w:sz w:val="18"/>
                <w:szCs w:val="18"/>
              </w:rPr>
              <w:t>（四）向县级以上人民政府房产管理部门办理预售登记，取得商品房预售许可证明。</w:t>
            </w:r>
          </w:p>
          <w:p w14:paraId="3636D0AC">
            <w:pPr>
              <w:spacing w:line="280" w:lineRule="exact"/>
              <w:jc w:val="left"/>
              <w:rPr>
                <w:color w:val="000000"/>
                <w:kern w:val="0"/>
                <w:sz w:val="18"/>
                <w:szCs w:val="18"/>
              </w:rPr>
            </w:pPr>
            <w:r>
              <w:rPr>
                <w:rFonts w:hint="eastAsia"/>
                <w:color w:val="000000"/>
                <w:kern w:val="0"/>
                <w:sz w:val="18"/>
                <w:szCs w:val="18"/>
              </w:rPr>
              <w:t>第六十八条</w:t>
            </w:r>
            <w:r>
              <w:rPr>
                <w:color w:val="000000"/>
                <w:kern w:val="0"/>
                <w:sz w:val="18"/>
                <w:szCs w:val="18"/>
              </w:rPr>
              <w:t xml:space="preserve">  </w:t>
            </w:r>
            <w:r>
              <w:rPr>
                <w:rFonts w:hint="eastAsia"/>
                <w:color w:val="000000"/>
                <w:kern w:val="0"/>
                <w:sz w:val="18"/>
                <w:szCs w:val="18"/>
              </w:rPr>
              <w:t>违反本法第四十五条第一款的规定预售商品房的，由县级以上人民政府房产管理部门责令停止预售活动，没收违法所得，可以并处罚款。</w:t>
            </w:r>
          </w:p>
          <w:p w14:paraId="261725F3">
            <w:pPr>
              <w:spacing w:line="280" w:lineRule="exact"/>
              <w:jc w:val="left"/>
              <w:rPr>
                <w:color w:val="000000"/>
                <w:kern w:val="0"/>
                <w:sz w:val="18"/>
                <w:szCs w:val="18"/>
              </w:rPr>
            </w:pPr>
            <w:r>
              <w:rPr>
                <w:rFonts w:hint="eastAsia"/>
                <w:color w:val="000000"/>
                <w:kern w:val="0"/>
                <w:sz w:val="18"/>
                <w:szCs w:val="18"/>
              </w:rPr>
              <w:t>【行政法规】《城市房地产开发经营管理条例》（</w:t>
            </w:r>
            <w:r>
              <w:rPr>
                <w:color w:val="000000"/>
                <w:kern w:val="0"/>
                <w:sz w:val="18"/>
                <w:szCs w:val="18"/>
              </w:rPr>
              <w:t>1998</w:t>
            </w:r>
            <w:r>
              <w:rPr>
                <w:rFonts w:hint="eastAsia"/>
                <w:color w:val="000000"/>
                <w:kern w:val="0"/>
                <w:sz w:val="18"/>
                <w:szCs w:val="18"/>
              </w:rPr>
              <w:t>年国务院令</w:t>
            </w:r>
            <w:r>
              <w:rPr>
                <w:color w:val="000000"/>
                <w:kern w:val="0"/>
                <w:sz w:val="18"/>
                <w:szCs w:val="18"/>
              </w:rPr>
              <w:t>248</w:t>
            </w:r>
            <w:r>
              <w:rPr>
                <w:rFonts w:hint="eastAsia"/>
                <w:color w:val="000000"/>
                <w:kern w:val="0"/>
                <w:sz w:val="18"/>
                <w:szCs w:val="18"/>
              </w:rPr>
              <w:t>号）</w:t>
            </w:r>
          </w:p>
          <w:p w14:paraId="308C0B69">
            <w:pPr>
              <w:spacing w:line="28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房地产开发企业预售商品房，应当符合下列条件：</w:t>
            </w:r>
            <w:r>
              <w:rPr>
                <w:color w:val="000000"/>
                <w:kern w:val="0"/>
                <w:sz w:val="18"/>
                <w:szCs w:val="18"/>
              </w:rPr>
              <w:t xml:space="preserve"> </w:t>
            </w:r>
          </w:p>
          <w:p w14:paraId="17EE8B00">
            <w:pPr>
              <w:spacing w:line="280" w:lineRule="exact"/>
              <w:jc w:val="left"/>
              <w:rPr>
                <w:color w:val="000000"/>
                <w:kern w:val="0"/>
                <w:sz w:val="18"/>
                <w:szCs w:val="18"/>
              </w:rPr>
            </w:pPr>
            <w:r>
              <w:rPr>
                <w:rFonts w:hint="eastAsia"/>
                <w:color w:val="000000"/>
                <w:kern w:val="0"/>
                <w:sz w:val="18"/>
                <w:szCs w:val="18"/>
              </w:rPr>
              <w:t>（一）已交付全部土地使用权出让金，取得土地使用权证书；</w:t>
            </w:r>
            <w:r>
              <w:rPr>
                <w:color w:val="000000"/>
                <w:kern w:val="0"/>
                <w:sz w:val="18"/>
                <w:szCs w:val="18"/>
              </w:rPr>
              <w:t xml:space="preserve"> </w:t>
            </w:r>
          </w:p>
          <w:p w14:paraId="55AA645B">
            <w:pPr>
              <w:spacing w:line="280" w:lineRule="exact"/>
              <w:jc w:val="left"/>
              <w:rPr>
                <w:color w:val="000000"/>
                <w:kern w:val="0"/>
                <w:sz w:val="18"/>
                <w:szCs w:val="18"/>
              </w:rPr>
            </w:pPr>
            <w:r>
              <w:rPr>
                <w:rFonts w:hint="eastAsia"/>
                <w:color w:val="000000"/>
                <w:kern w:val="0"/>
                <w:sz w:val="18"/>
                <w:szCs w:val="18"/>
              </w:rPr>
              <w:t>（二）持有建设工程规划许可证和施工许可证；</w:t>
            </w:r>
            <w:r>
              <w:rPr>
                <w:color w:val="000000"/>
                <w:kern w:val="0"/>
                <w:sz w:val="18"/>
                <w:szCs w:val="18"/>
              </w:rPr>
              <w:t xml:space="preserve"> </w:t>
            </w:r>
          </w:p>
          <w:p w14:paraId="4E1A5223">
            <w:pPr>
              <w:spacing w:line="280" w:lineRule="exact"/>
              <w:jc w:val="left"/>
              <w:rPr>
                <w:color w:val="000000"/>
                <w:kern w:val="0"/>
                <w:sz w:val="18"/>
                <w:szCs w:val="18"/>
              </w:rPr>
            </w:pPr>
            <w:r>
              <w:rPr>
                <w:rFonts w:hint="eastAsia"/>
                <w:color w:val="000000"/>
                <w:kern w:val="0"/>
                <w:sz w:val="18"/>
                <w:szCs w:val="18"/>
              </w:rPr>
              <w:t>（三）按提供的预售商品房计算，投入开发建设的资金达到工程建设总投资的</w:t>
            </w:r>
            <w:r>
              <w:rPr>
                <w:color w:val="000000"/>
                <w:kern w:val="0"/>
                <w:sz w:val="18"/>
                <w:szCs w:val="18"/>
              </w:rPr>
              <w:t>25</w:t>
            </w:r>
            <w:r>
              <w:rPr>
                <w:rFonts w:hint="eastAsia"/>
                <w:color w:val="000000"/>
                <w:kern w:val="0"/>
                <w:sz w:val="18"/>
                <w:szCs w:val="18"/>
              </w:rPr>
              <w:t>％以上，并已确定施工进度和竣工交付日期；</w:t>
            </w:r>
            <w:r>
              <w:rPr>
                <w:color w:val="000000"/>
                <w:kern w:val="0"/>
                <w:sz w:val="18"/>
                <w:szCs w:val="18"/>
              </w:rPr>
              <w:t xml:space="preserve"> </w:t>
            </w:r>
          </w:p>
          <w:p w14:paraId="1442A56E">
            <w:pPr>
              <w:spacing w:line="280" w:lineRule="exact"/>
              <w:jc w:val="left"/>
              <w:rPr>
                <w:color w:val="000000"/>
                <w:kern w:val="0"/>
                <w:sz w:val="18"/>
                <w:szCs w:val="18"/>
              </w:rPr>
            </w:pPr>
            <w:r>
              <w:rPr>
                <w:rFonts w:hint="eastAsia"/>
                <w:color w:val="000000"/>
                <w:kern w:val="0"/>
                <w:sz w:val="18"/>
                <w:szCs w:val="18"/>
              </w:rPr>
              <w:t>（四）已办理预售登记，取得商品房预售许可证明。</w:t>
            </w:r>
          </w:p>
          <w:p w14:paraId="392E6698">
            <w:pPr>
              <w:spacing w:line="28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违反本条例规定，擅自预售商品房的，由县级以上人民政府房地产开发主管部门责令停止违法行为，没收违法所得，可以并处已收取的预付款百分之一以下的罚款。</w:t>
            </w:r>
          </w:p>
        </w:tc>
      </w:tr>
      <w:tr w14:paraId="73DC9E39">
        <w:tblPrEx>
          <w:tblCellMar>
            <w:top w:w="0" w:type="dxa"/>
            <w:left w:w="108" w:type="dxa"/>
            <w:bottom w:w="0" w:type="dxa"/>
            <w:right w:w="108" w:type="dxa"/>
          </w:tblCellMar>
        </w:tblPrEx>
        <w:trPr>
          <w:trHeight w:val="285" w:hRule="atLeast"/>
        </w:trPr>
        <w:tc>
          <w:tcPr>
            <w:tcW w:w="1116" w:type="dxa"/>
            <w:tcBorders>
              <w:top w:val="nil"/>
              <w:left w:val="single" w:color="auto" w:sz="8" w:space="0"/>
              <w:bottom w:val="single" w:color="auto" w:sz="4" w:space="0"/>
              <w:right w:val="single" w:color="auto" w:sz="4" w:space="0"/>
            </w:tcBorders>
            <w:vAlign w:val="center"/>
          </w:tcPr>
          <w:p w14:paraId="3FF6FB0E">
            <w:pPr>
              <w:spacing w:line="280" w:lineRule="exact"/>
              <w:jc w:val="center"/>
              <w:rPr>
                <w:color w:val="000000"/>
                <w:kern w:val="0"/>
                <w:sz w:val="18"/>
                <w:szCs w:val="18"/>
              </w:rPr>
            </w:pPr>
            <w:r>
              <w:rPr>
                <w:rFonts w:hint="eastAsia"/>
                <w:color w:val="000000"/>
                <w:kern w:val="0"/>
                <w:sz w:val="18"/>
                <w:szCs w:val="18"/>
              </w:rPr>
              <w:t>行使内容</w:t>
            </w:r>
          </w:p>
        </w:tc>
        <w:tc>
          <w:tcPr>
            <w:tcW w:w="12914" w:type="dxa"/>
            <w:gridSpan w:val="3"/>
            <w:tcBorders>
              <w:top w:val="single" w:color="auto" w:sz="4" w:space="0"/>
              <w:left w:val="nil"/>
              <w:bottom w:val="single" w:color="auto" w:sz="4" w:space="0"/>
              <w:right w:val="single" w:color="000000" w:sz="8" w:space="0"/>
            </w:tcBorders>
            <w:vAlign w:val="center"/>
          </w:tcPr>
          <w:p w14:paraId="462829B2">
            <w:pPr>
              <w:spacing w:line="280" w:lineRule="exact"/>
              <w:jc w:val="left"/>
              <w:rPr>
                <w:color w:val="000000"/>
                <w:kern w:val="0"/>
                <w:sz w:val="18"/>
                <w:szCs w:val="18"/>
              </w:rPr>
            </w:pPr>
            <w:r>
              <w:rPr>
                <w:rFonts w:hint="eastAsia"/>
                <w:color w:val="000000"/>
                <w:kern w:val="0"/>
                <w:sz w:val="18"/>
                <w:szCs w:val="18"/>
              </w:rPr>
              <w:t>罚款，没收违法所得</w:t>
            </w:r>
          </w:p>
        </w:tc>
      </w:tr>
      <w:tr w14:paraId="44F2A8BC">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4655A663">
            <w:pPr>
              <w:spacing w:line="280" w:lineRule="exact"/>
              <w:jc w:val="center"/>
              <w:rPr>
                <w:color w:val="000000"/>
                <w:kern w:val="0"/>
                <w:sz w:val="18"/>
                <w:szCs w:val="18"/>
              </w:rPr>
            </w:pPr>
            <w:r>
              <w:rPr>
                <w:rFonts w:hint="eastAsia"/>
                <w:color w:val="000000"/>
                <w:kern w:val="0"/>
                <w:sz w:val="18"/>
                <w:szCs w:val="18"/>
              </w:rPr>
              <w:t>裁量基准</w:t>
            </w:r>
          </w:p>
        </w:tc>
      </w:tr>
      <w:tr w14:paraId="55C7AA59">
        <w:tblPrEx>
          <w:tblCellMar>
            <w:top w:w="0" w:type="dxa"/>
            <w:left w:w="108" w:type="dxa"/>
            <w:bottom w:w="0" w:type="dxa"/>
            <w:right w:w="108" w:type="dxa"/>
          </w:tblCellMar>
        </w:tblPrEx>
        <w:trPr>
          <w:trHeight w:val="480" w:hRule="atLeast"/>
        </w:trPr>
        <w:tc>
          <w:tcPr>
            <w:tcW w:w="1116" w:type="dxa"/>
            <w:vMerge w:val="restart"/>
            <w:tcBorders>
              <w:top w:val="nil"/>
              <w:left w:val="single" w:color="auto" w:sz="8" w:space="0"/>
              <w:bottom w:val="single" w:color="auto" w:sz="4" w:space="0"/>
              <w:right w:val="single" w:color="auto" w:sz="4" w:space="0"/>
            </w:tcBorders>
            <w:vAlign w:val="center"/>
          </w:tcPr>
          <w:p w14:paraId="57D98DAB">
            <w:pPr>
              <w:spacing w:line="28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single" w:color="auto" w:sz="4" w:space="0"/>
              <w:right w:val="single" w:color="auto" w:sz="4" w:space="0"/>
            </w:tcBorders>
            <w:vAlign w:val="center"/>
          </w:tcPr>
          <w:p w14:paraId="7332F4C5">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w:t>
            </w:r>
            <w:r>
              <w:rPr>
                <w:rFonts w:hint="eastAsia"/>
                <w:color w:val="000000"/>
                <w:kern w:val="0"/>
                <w:sz w:val="18"/>
                <w:szCs w:val="18"/>
              </w:rPr>
              <w:t>平方米以下，立即停止违法行为的</w:t>
            </w:r>
          </w:p>
        </w:tc>
        <w:tc>
          <w:tcPr>
            <w:tcW w:w="1104" w:type="dxa"/>
            <w:vMerge w:val="restart"/>
            <w:tcBorders>
              <w:top w:val="nil"/>
              <w:left w:val="single" w:color="auto" w:sz="4" w:space="0"/>
              <w:bottom w:val="single" w:color="auto" w:sz="4" w:space="0"/>
              <w:right w:val="single" w:color="auto" w:sz="4" w:space="0"/>
            </w:tcBorders>
            <w:vAlign w:val="center"/>
          </w:tcPr>
          <w:p w14:paraId="0E05762F">
            <w:pPr>
              <w:spacing w:line="280" w:lineRule="exact"/>
              <w:jc w:val="center"/>
              <w:rPr>
                <w:color w:val="000000"/>
                <w:kern w:val="0"/>
                <w:sz w:val="18"/>
                <w:szCs w:val="18"/>
              </w:rPr>
            </w:pPr>
            <w:r>
              <w:rPr>
                <w:rFonts w:hint="eastAsia"/>
                <w:color w:val="000000"/>
                <w:kern w:val="0"/>
                <w:sz w:val="18"/>
                <w:szCs w:val="18"/>
              </w:rPr>
              <w:t>裁量幅度</w:t>
            </w:r>
          </w:p>
        </w:tc>
        <w:tc>
          <w:tcPr>
            <w:tcW w:w="5670" w:type="dxa"/>
            <w:tcBorders>
              <w:top w:val="nil"/>
              <w:left w:val="nil"/>
              <w:bottom w:val="single" w:color="auto" w:sz="4" w:space="0"/>
              <w:right w:val="single" w:color="auto" w:sz="8" w:space="0"/>
            </w:tcBorders>
            <w:vAlign w:val="center"/>
          </w:tcPr>
          <w:p w14:paraId="74C66616">
            <w:pPr>
              <w:spacing w:line="280" w:lineRule="exact"/>
              <w:jc w:val="left"/>
              <w:rPr>
                <w:color w:val="000000"/>
                <w:kern w:val="0"/>
                <w:sz w:val="18"/>
                <w:szCs w:val="18"/>
              </w:rPr>
            </w:pPr>
            <w:r>
              <w:rPr>
                <w:rFonts w:hint="eastAsia"/>
                <w:color w:val="000000"/>
                <w:kern w:val="0"/>
                <w:sz w:val="18"/>
                <w:szCs w:val="18"/>
              </w:rPr>
              <w:t>不处罚款</w:t>
            </w:r>
          </w:p>
        </w:tc>
      </w:tr>
      <w:tr w14:paraId="7C367A87">
        <w:tblPrEx>
          <w:tblCellMar>
            <w:top w:w="0" w:type="dxa"/>
            <w:left w:w="108" w:type="dxa"/>
            <w:bottom w:w="0" w:type="dxa"/>
            <w:right w:w="108" w:type="dxa"/>
          </w:tblCellMar>
        </w:tblPrEx>
        <w:trPr>
          <w:trHeight w:val="480" w:hRule="atLeast"/>
        </w:trPr>
        <w:tc>
          <w:tcPr>
            <w:tcW w:w="1116" w:type="dxa"/>
            <w:vMerge w:val="continue"/>
            <w:tcBorders>
              <w:top w:val="nil"/>
              <w:left w:val="single" w:color="auto" w:sz="8" w:space="0"/>
              <w:bottom w:val="single" w:color="auto" w:sz="4" w:space="0"/>
              <w:right w:val="single" w:color="auto" w:sz="4" w:space="0"/>
            </w:tcBorders>
            <w:vAlign w:val="center"/>
          </w:tcPr>
          <w:p w14:paraId="48491A2F">
            <w:pPr>
              <w:spacing w:line="280" w:lineRule="exact"/>
              <w:jc w:val="center"/>
              <w:rPr>
                <w:color w:val="000000"/>
                <w:kern w:val="0"/>
                <w:sz w:val="18"/>
                <w:szCs w:val="18"/>
              </w:rPr>
            </w:pPr>
          </w:p>
        </w:tc>
        <w:tc>
          <w:tcPr>
            <w:tcW w:w="6140" w:type="dxa"/>
            <w:tcBorders>
              <w:top w:val="nil"/>
              <w:left w:val="nil"/>
              <w:bottom w:val="single" w:color="auto" w:sz="4" w:space="0"/>
              <w:right w:val="single" w:color="auto" w:sz="4" w:space="0"/>
            </w:tcBorders>
            <w:vAlign w:val="center"/>
          </w:tcPr>
          <w:p w14:paraId="6AD05AEC">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w:t>
            </w:r>
            <w:r>
              <w:rPr>
                <w:rFonts w:hint="eastAsia"/>
                <w:color w:val="000000"/>
                <w:kern w:val="0"/>
                <w:sz w:val="18"/>
                <w:szCs w:val="18"/>
              </w:rPr>
              <w:t>平方米以下，未立即停止违法行为的</w:t>
            </w:r>
          </w:p>
        </w:tc>
        <w:tc>
          <w:tcPr>
            <w:tcW w:w="1104" w:type="dxa"/>
            <w:vMerge w:val="continue"/>
            <w:tcBorders>
              <w:top w:val="nil"/>
              <w:left w:val="single" w:color="auto" w:sz="4" w:space="0"/>
              <w:bottom w:val="single" w:color="auto" w:sz="4" w:space="0"/>
              <w:right w:val="single" w:color="auto" w:sz="4" w:space="0"/>
            </w:tcBorders>
            <w:vAlign w:val="center"/>
          </w:tcPr>
          <w:p w14:paraId="4BC08E10">
            <w:pPr>
              <w:spacing w:line="280" w:lineRule="exact"/>
              <w:jc w:val="center"/>
              <w:rPr>
                <w:color w:val="000000"/>
                <w:kern w:val="0"/>
                <w:sz w:val="18"/>
                <w:szCs w:val="18"/>
              </w:rPr>
            </w:pPr>
          </w:p>
        </w:tc>
        <w:tc>
          <w:tcPr>
            <w:tcW w:w="5670" w:type="dxa"/>
            <w:tcBorders>
              <w:top w:val="nil"/>
              <w:left w:val="nil"/>
              <w:bottom w:val="single" w:color="auto" w:sz="4" w:space="0"/>
              <w:right w:val="single" w:color="auto" w:sz="8" w:space="0"/>
            </w:tcBorders>
            <w:vAlign w:val="center"/>
          </w:tcPr>
          <w:p w14:paraId="25E1ADE8">
            <w:pPr>
              <w:spacing w:line="280" w:lineRule="exact"/>
              <w:jc w:val="left"/>
              <w:rPr>
                <w:color w:val="000000"/>
                <w:kern w:val="0"/>
                <w:sz w:val="18"/>
                <w:szCs w:val="18"/>
              </w:rPr>
            </w:pPr>
            <w:r>
              <w:rPr>
                <w:rFonts w:hint="eastAsia"/>
                <w:color w:val="000000"/>
                <w:kern w:val="0"/>
                <w:sz w:val="18"/>
                <w:szCs w:val="18"/>
              </w:rPr>
              <w:t>处已收取的预付款</w:t>
            </w:r>
            <w:r>
              <w:rPr>
                <w:color w:val="000000"/>
                <w:kern w:val="0"/>
                <w:sz w:val="18"/>
                <w:szCs w:val="18"/>
              </w:rPr>
              <w:t>0.3%</w:t>
            </w:r>
            <w:r>
              <w:rPr>
                <w:rFonts w:hint="eastAsia"/>
                <w:color w:val="000000"/>
                <w:kern w:val="0"/>
                <w:sz w:val="18"/>
                <w:szCs w:val="18"/>
              </w:rPr>
              <w:t>以下罚款</w:t>
            </w:r>
          </w:p>
        </w:tc>
      </w:tr>
      <w:tr w14:paraId="4BD8D3A6">
        <w:tblPrEx>
          <w:tblCellMar>
            <w:top w:w="0" w:type="dxa"/>
            <w:left w:w="108" w:type="dxa"/>
            <w:bottom w:w="0" w:type="dxa"/>
            <w:right w:w="108" w:type="dxa"/>
          </w:tblCellMar>
        </w:tblPrEx>
        <w:trPr>
          <w:trHeight w:val="480" w:hRule="atLeast"/>
        </w:trPr>
        <w:tc>
          <w:tcPr>
            <w:tcW w:w="1116" w:type="dxa"/>
            <w:vMerge w:val="continue"/>
            <w:tcBorders>
              <w:top w:val="nil"/>
              <w:left w:val="single" w:color="auto" w:sz="8" w:space="0"/>
              <w:bottom w:val="single" w:color="auto" w:sz="4" w:space="0"/>
              <w:right w:val="single" w:color="auto" w:sz="4" w:space="0"/>
            </w:tcBorders>
            <w:vAlign w:val="center"/>
          </w:tcPr>
          <w:p w14:paraId="07AAF02E">
            <w:pPr>
              <w:spacing w:line="280" w:lineRule="exact"/>
              <w:jc w:val="left"/>
              <w:rPr>
                <w:color w:val="000000"/>
                <w:kern w:val="0"/>
                <w:sz w:val="18"/>
                <w:szCs w:val="18"/>
              </w:rPr>
            </w:pPr>
          </w:p>
        </w:tc>
        <w:tc>
          <w:tcPr>
            <w:tcW w:w="6140" w:type="dxa"/>
            <w:tcBorders>
              <w:top w:val="nil"/>
              <w:left w:val="nil"/>
              <w:bottom w:val="single" w:color="auto" w:sz="4" w:space="0"/>
              <w:right w:val="single" w:color="auto" w:sz="4" w:space="0"/>
            </w:tcBorders>
            <w:vAlign w:val="center"/>
          </w:tcPr>
          <w:p w14:paraId="5B0A25FF">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w:t>
            </w:r>
            <w:r>
              <w:rPr>
                <w:rFonts w:hint="eastAsia"/>
                <w:color w:val="000000"/>
                <w:kern w:val="0"/>
                <w:sz w:val="18"/>
                <w:szCs w:val="18"/>
              </w:rPr>
              <w:t>平方米以上</w:t>
            </w:r>
            <w:r>
              <w:rPr>
                <w:color w:val="000000"/>
                <w:kern w:val="0"/>
                <w:sz w:val="18"/>
                <w:szCs w:val="18"/>
              </w:rPr>
              <w:t>1000</w:t>
            </w:r>
            <w:r>
              <w:rPr>
                <w:rFonts w:hint="eastAsia"/>
                <w:color w:val="000000"/>
                <w:kern w:val="0"/>
                <w:sz w:val="18"/>
                <w:szCs w:val="18"/>
              </w:rPr>
              <w:t>平方米以下的</w:t>
            </w:r>
          </w:p>
        </w:tc>
        <w:tc>
          <w:tcPr>
            <w:tcW w:w="1104" w:type="dxa"/>
            <w:vMerge w:val="continue"/>
            <w:tcBorders>
              <w:top w:val="nil"/>
              <w:left w:val="single" w:color="auto" w:sz="4" w:space="0"/>
              <w:bottom w:val="single" w:color="auto" w:sz="4" w:space="0"/>
              <w:right w:val="single" w:color="auto" w:sz="4" w:space="0"/>
            </w:tcBorders>
            <w:vAlign w:val="center"/>
          </w:tcPr>
          <w:p w14:paraId="7AC6C1C8">
            <w:pPr>
              <w:spacing w:line="280" w:lineRule="exact"/>
              <w:jc w:val="left"/>
              <w:rPr>
                <w:color w:val="000000"/>
                <w:kern w:val="0"/>
                <w:sz w:val="18"/>
                <w:szCs w:val="18"/>
              </w:rPr>
            </w:pPr>
          </w:p>
        </w:tc>
        <w:tc>
          <w:tcPr>
            <w:tcW w:w="5670" w:type="dxa"/>
            <w:tcBorders>
              <w:top w:val="nil"/>
              <w:left w:val="nil"/>
              <w:bottom w:val="single" w:color="auto" w:sz="4" w:space="0"/>
              <w:right w:val="single" w:color="auto" w:sz="8" w:space="0"/>
            </w:tcBorders>
            <w:vAlign w:val="center"/>
          </w:tcPr>
          <w:p w14:paraId="05F6FB38">
            <w:pPr>
              <w:spacing w:line="280" w:lineRule="exact"/>
              <w:jc w:val="left"/>
              <w:rPr>
                <w:color w:val="000000"/>
                <w:kern w:val="0"/>
                <w:sz w:val="18"/>
                <w:szCs w:val="18"/>
              </w:rPr>
            </w:pPr>
            <w:r>
              <w:rPr>
                <w:rFonts w:hint="eastAsia"/>
                <w:color w:val="000000"/>
                <w:kern w:val="0"/>
                <w:sz w:val="18"/>
                <w:szCs w:val="18"/>
              </w:rPr>
              <w:t>处已收取的预付款</w:t>
            </w:r>
            <w:r>
              <w:rPr>
                <w:color w:val="000000"/>
                <w:kern w:val="0"/>
                <w:sz w:val="18"/>
                <w:szCs w:val="18"/>
              </w:rPr>
              <w:t>0.3%</w:t>
            </w:r>
            <w:r>
              <w:rPr>
                <w:rFonts w:hint="eastAsia"/>
                <w:color w:val="000000"/>
                <w:kern w:val="0"/>
                <w:sz w:val="18"/>
                <w:szCs w:val="18"/>
              </w:rPr>
              <w:t>以上</w:t>
            </w:r>
            <w:r>
              <w:rPr>
                <w:color w:val="000000"/>
                <w:kern w:val="0"/>
                <w:sz w:val="18"/>
                <w:szCs w:val="18"/>
              </w:rPr>
              <w:t>0.6%</w:t>
            </w:r>
            <w:r>
              <w:rPr>
                <w:rFonts w:hint="eastAsia"/>
                <w:color w:val="000000"/>
                <w:kern w:val="0"/>
                <w:sz w:val="18"/>
                <w:szCs w:val="18"/>
              </w:rPr>
              <w:t>以下罚款</w:t>
            </w:r>
          </w:p>
        </w:tc>
      </w:tr>
      <w:tr w14:paraId="14F6413D">
        <w:tblPrEx>
          <w:tblCellMar>
            <w:top w:w="0" w:type="dxa"/>
            <w:left w:w="108" w:type="dxa"/>
            <w:bottom w:w="0" w:type="dxa"/>
            <w:right w:w="108" w:type="dxa"/>
          </w:tblCellMar>
        </w:tblPrEx>
        <w:trPr>
          <w:trHeight w:val="285" w:hRule="atLeast"/>
        </w:trPr>
        <w:tc>
          <w:tcPr>
            <w:tcW w:w="1116" w:type="dxa"/>
            <w:vMerge w:val="continue"/>
            <w:tcBorders>
              <w:top w:val="nil"/>
              <w:left w:val="single" w:color="auto" w:sz="8" w:space="0"/>
              <w:bottom w:val="single" w:color="auto" w:sz="4" w:space="0"/>
              <w:right w:val="single" w:color="auto" w:sz="4" w:space="0"/>
            </w:tcBorders>
            <w:vAlign w:val="center"/>
          </w:tcPr>
          <w:p w14:paraId="024DF422">
            <w:pPr>
              <w:spacing w:line="28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E0369AB">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1000</w:t>
            </w:r>
            <w:r>
              <w:rPr>
                <w:rFonts w:hint="eastAsia"/>
                <w:color w:val="000000"/>
                <w:kern w:val="0"/>
                <w:sz w:val="18"/>
                <w:szCs w:val="18"/>
              </w:rPr>
              <w:t>平方米以上的</w:t>
            </w:r>
          </w:p>
        </w:tc>
        <w:tc>
          <w:tcPr>
            <w:tcW w:w="1104" w:type="dxa"/>
            <w:vMerge w:val="continue"/>
            <w:tcBorders>
              <w:top w:val="nil"/>
              <w:left w:val="single" w:color="auto" w:sz="4" w:space="0"/>
              <w:bottom w:val="single" w:color="auto" w:sz="4" w:space="0"/>
              <w:right w:val="single" w:color="auto" w:sz="4" w:space="0"/>
            </w:tcBorders>
            <w:vAlign w:val="center"/>
          </w:tcPr>
          <w:p w14:paraId="24010B61">
            <w:pPr>
              <w:spacing w:line="280" w:lineRule="exact"/>
              <w:jc w:val="left"/>
              <w:rPr>
                <w:color w:val="000000"/>
                <w:kern w:val="0"/>
                <w:sz w:val="18"/>
                <w:szCs w:val="18"/>
              </w:rPr>
            </w:pPr>
          </w:p>
        </w:tc>
        <w:tc>
          <w:tcPr>
            <w:tcW w:w="5670" w:type="dxa"/>
            <w:tcBorders>
              <w:top w:val="nil"/>
              <w:left w:val="nil"/>
              <w:bottom w:val="single" w:color="auto" w:sz="4" w:space="0"/>
              <w:right w:val="single" w:color="auto" w:sz="8" w:space="0"/>
            </w:tcBorders>
            <w:vAlign w:val="center"/>
          </w:tcPr>
          <w:p w14:paraId="68D1E1E3">
            <w:pPr>
              <w:spacing w:line="280" w:lineRule="exact"/>
              <w:jc w:val="left"/>
              <w:rPr>
                <w:color w:val="000000"/>
                <w:kern w:val="0"/>
                <w:sz w:val="18"/>
                <w:szCs w:val="18"/>
              </w:rPr>
            </w:pPr>
            <w:r>
              <w:rPr>
                <w:rFonts w:hint="eastAsia"/>
                <w:color w:val="000000"/>
                <w:kern w:val="0"/>
                <w:sz w:val="18"/>
                <w:szCs w:val="18"/>
              </w:rPr>
              <w:t>处已收取的预付款</w:t>
            </w:r>
            <w:r>
              <w:rPr>
                <w:color w:val="000000"/>
                <w:kern w:val="0"/>
                <w:sz w:val="18"/>
                <w:szCs w:val="18"/>
              </w:rPr>
              <w:t>0.6%</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w:t>
            </w:r>
          </w:p>
        </w:tc>
      </w:tr>
    </w:tbl>
    <w:p w14:paraId="4DFBD581"/>
    <w:p w14:paraId="2AB7F7A9"/>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07E9A209">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4B3D2517">
            <w:pP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0ABFBB32">
            <w:pPr>
              <w:rPr>
                <w:b/>
                <w:bCs/>
                <w:color w:val="000000"/>
              </w:rPr>
            </w:pPr>
            <w:r>
              <w:rPr>
                <w:b/>
                <w:color w:val="000000"/>
              </w:rPr>
              <w:t>320217561000</w:t>
            </w:r>
            <w:r>
              <w:rPr>
                <w:rFonts w:hint="eastAsia"/>
                <w:b/>
                <w:color w:val="000000"/>
              </w:rPr>
              <w:t xml:space="preserve"> </w:t>
            </w:r>
          </w:p>
        </w:tc>
      </w:tr>
      <w:tr w14:paraId="7E73B0D4">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29F3F5C2">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vAlign w:val="center"/>
          </w:tcPr>
          <w:p w14:paraId="49651E3B">
            <w:pPr>
              <w:rPr>
                <w:color w:val="000000"/>
              </w:rPr>
            </w:pPr>
            <w:r>
              <w:rPr>
                <w:rFonts w:hint="eastAsia"/>
                <w:color w:val="000000"/>
              </w:rPr>
              <w:t>对施工总承包单位未向安装单位提供拟安装设备位置的基础施工资料，确保建筑起重机械进场安装、拆卸所需的施工条件的处罚</w:t>
            </w:r>
          </w:p>
        </w:tc>
      </w:tr>
      <w:tr w14:paraId="49694AC8">
        <w:tblPrEx>
          <w:tblCellMar>
            <w:top w:w="0" w:type="dxa"/>
            <w:left w:w="108" w:type="dxa"/>
            <w:bottom w:w="0" w:type="dxa"/>
            <w:right w:w="108" w:type="dxa"/>
          </w:tblCellMar>
        </w:tblPrEx>
        <w:trPr>
          <w:trHeight w:val="1350" w:hRule="atLeast"/>
        </w:trPr>
        <w:tc>
          <w:tcPr>
            <w:tcW w:w="1296" w:type="dxa"/>
            <w:tcBorders>
              <w:top w:val="nil"/>
              <w:left w:val="single" w:color="auto" w:sz="8" w:space="0"/>
              <w:bottom w:val="single" w:color="auto" w:sz="4" w:space="0"/>
              <w:right w:val="single" w:color="auto" w:sz="4" w:space="0"/>
            </w:tcBorders>
            <w:vAlign w:val="center"/>
          </w:tcPr>
          <w:p w14:paraId="117C22BD">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vAlign w:val="center"/>
          </w:tcPr>
          <w:p w14:paraId="599BCDD6">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第二十一条　施工总承包单位应当履行下列安全职责：</w:t>
            </w:r>
            <w:r>
              <w:rPr>
                <w:color w:val="000000"/>
              </w:rPr>
              <w:br w:type="textWrapping"/>
            </w:r>
            <w:r>
              <w:rPr>
                <w:color w:val="000000"/>
              </w:rPr>
              <w:t xml:space="preserve">   </w:t>
            </w:r>
            <w:r>
              <w:rPr>
                <w:rFonts w:hint="eastAsia"/>
                <w:color w:val="000000"/>
              </w:rPr>
              <w:t>（一）向安装单位提供拟安装设备位置的基础施工资料，确保建筑起重机械进场安装、拆卸所需的施工条件。</w:t>
            </w:r>
            <w:r>
              <w:rPr>
                <w:color w:val="000000"/>
              </w:rPr>
              <w:br w:type="textWrapping"/>
            </w:r>
            <w:r>
              <w:rPr>
                <w:rFonts w:hint="eastAsia"/>
                <w:color w:val="000000"/>
              </w:rPr>
              <w:t>第三十一条　违反本规定，施工总承包单位未履行第二十一条第（一）、（三）、（四）、（五）、（七）项安全职责的，由县级以上地方人民政府建设主管部门责令限期改正，予以警告，并处以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14:paraId="3FB167C1">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3D7BB886">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685C51C7">
            <w:pPr>
              <w:rPr>
                <w:color w:val="000000"/>
              </w:rPr>
            </w:pPr>
            <w:r>
              <w:rPr>
                <w:rFonts w:hint="eastAsia"/>
                <w:color w:val="000000"/>
              </w:rPr>
              <w:t>警告，罚款</w:t>
            </w:r>
          </w:p>
        </w:tc>
      </w:tr>
      <w:tr w14:paraId="0AA1E178">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9AA0C18">
            <w:pPr>
              <w:jc w:val="center"/>
              <w:rPr>
                <w:color w:val="000000"/>
              </w:rPr>
            </w:pPr>
            <w:r>
              <w:rPr>
                <w:rFonts w:hint="eastAsia"/>
                <w:color w:val="000000"/>
              </w:rPr>
              <w:t>裁量基准</w:t>
            </w:r>
          </w:p>
        </w:tc>
      </w:tr>
      <w:tr w14:paraId="4DC69BA6">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50333AE2">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7737BB8F">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0C04EC36">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42BB9A49">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0DE9BFAC">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1BC1F9B3">
            <w:pPr>
              <w:rPr>
                <w:color w:val="000000"/>
              </w:rPr>
            </w:pPr>
          </w:p>
        </w:tc>
        <w:tc>
          <w:tcPr>
            <w:tcW w:w="5884" w:type="dxa"/>
            <w:tcBorders>
              <w:top w:val="single" w:color="auto" w:sz="4" w:space="0"/>
              <w:left w:val="nil"/>
              <w:bottom w:val="single" w:color="auto" w:sz="4" w:space="0"/>
              <w:right w:val="single" w:color="auto" w:sz="4" w:space="0"/>
            </w:tcBorders>
            <w:vAlign w:val="center"/>
          </w:tcPr>
          <w:p w14:paraId="6A27F4E2">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45C1FC97">
            <w:pPr>
              <w:rPr>
                <w:color w:val="000000"/>
              </w:rPr>
            </w:pPr>
          </w:p>
        </w:tc>
        <w:tc>
          <w:tcPr>
            <w:tcW w:w="5760" w:type="dxa"/>
            <w:tcBorders>
              <w:top w:val="nil"/>
              <w:left w:val="nil"/>
              <w:bottom w:val="single" w:color="auto" w:sz="4" w:space="0"/>
              <w:right w:val="single" w:color="auto" w:sz="8" w:space="0"/>
            </w:tcBorders>
            <w:vAlign w:val="center"/>
          </w:tcPr>
          <w:p w14:paraId="7DF8F8BE">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3489DD0C">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229AD455">
            <w:pPr>
              <w:rPr>
                <w:color w:val="000000"/>
              </w:rPr>
            </w:pPr>
          </w:p>
        </w:tc>
        <w:tc>
          <w:tcPr>
            <w:tcW w:w="5884" w:type="dxa"/>
            <w:tcBorders>
              <w:top w:val="single" w:color="auto" w:sz="4" w:space="0"/>
              <w:left w:val="nil"/>
              <w:bottom w:val="single" w:color="auto" w:sz="4" w:space="0"/>
              <w:right w:val="single" w:color="auto" w:sz="4" w:space="0"/>
            </w:tcBorders>
            <w:vAlign w:val="center"/>
          </w:tcPr>
          <w:p w14:paraId="37ECE673">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44649996">
            <w:pPr>
              <w:rPr>
                <w:color w:val="000000"/>
              </w:rPr>
            </w:pPr>
          </w:p>
        </w:tc>
        <w:tc>
          <w:tcPr>
            <w:tcW w:w="5760" w:type="dxa"/>
            <w:tcBorders>
              <w:top w:val="nil"/>
              <w:left w:val="nil"/>
              <w:bottom w:val="single" w:color="auto" w:sz="4" w:space="0"/>
              <w:right w:val="single" w:color="auto" w:sz="8" w:space="0"/>
            </w:tcBorders>
            <w:vAlign w:val="center"/>
          </w:tcPr>
          <w:p w14:paraId="42B2A79A">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76132C4F">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16CA91D5">
            <w:pPr>
              <w:rPr>
                <w:color w:val="000000"/>
              </w:rPr>
            </w:pPr>
          </w:p>
        </w:tc>
        <w:tc>
          <w:tcPr>
            <w:tcW w:w="5884" w:type="dxa"/>
            <w:tcBorders>
              <w:top w:val="single" w:color="auto" w:sz="4" w:space="0"/>
              <w:left w:val="nil"/>
              <w:bottom w:val="single" w:color="auto" w:sz="4" w:space="0"/>
              <w:right w:val="single" w:color="auto" w:sz="4" w:space="0"/>
            </w:tcBorders>
            <w:vAlign w:val="center"/>
          </w:tcPr>
          <w:p w14:paraId="12283302">
            <w:pPr>
              <w:rPr>
                <w:color w:val="000000"/>
              </w:rPr>
            </w:pPr>
            <w:r>
              <w:rPr>
                <w:rFonts w:hint="eastAsia"/>
                <w:color w:val="000000"/>
              </w:rPr>
              <w:t>未按要求改正的，造成安全事故的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22F33288">
            <w:pPr>
              <w:rPr>
                <w:color w:val="000000"/>
              </w:rPr>
            </w:pPr>
          </w:p>
        </w:tc>
        <w:tc>
          <w:tcPr>
            <w:tcW w:w="5760" w:type="dxa"/>
            <w:tcBorders>
              <w:top w:val="nil"/>
              <w:left w:val="nil"/>
              <w:bottom w:val="single" w:color="auto" w:sz="4" w:space="0"/>
              <w:right w:val="single" w:color="auto" w:sz="8" w:space="0"/>
            </w:tcBorders>
            <w:vAlign w:val="center"/>
          </w:tcPr>
          <w:p w14:paraId="6D62CFA8">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0933CCCC"/>
    <w:p w14:paraId="7DCDAAE8"/>
    <w:p w14:paraId="418950CA"/>
    <w:p w14:paraId="13FEF141"/>
    <w:p w14:paraId="270F8C38"/>
    <w:p w14:paraId="227F725F"/>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7DF0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0174E9F8">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7F49027F">
            <w:pPr>
              <w:spacing w:line="320" w:lineRule="exact"/>
              <w:jc w:val="left"/>
              <w:rPr>
                <w:rFonts w:eastAsia="仿宋_GB2312"/>
                <w:b/>
                <w:bCs/>
                <w:color w:val="000000"/>
                <w:kern w:val="0"/>
                <w:sz w:val="18"/>
                <w:szCs w:val="18"/>
              </w:rPr>
            </w:pPr>
            <w:r>
              <w:rPr>
                <w:rFonts w:eastAsia="仿宋_GB2312"/>
                <w:b/>
                <w:bCs/>
                <w:color w:val="000000"/>
                <w:kern w:val="0"/>
                <w:sz w:val="18"/>
                <w:szCs w:val="18"/>
              </w:rPr>
              <w:t>320217562000</w:t>
            </w:r>
            <w:r>
              <w:rPr>
                <w:rFonts w:hint="eastAsia" w:eastAsia="仿宋_GB2312"/>
                <w:b/>
                <w:bCs/>
                <w:color w:val="000000"/>
                <w:kern w:val="0"/>
                <w:sz w:val="18"/>
                <w:szCs w:val="18"/>
              </w:rPr>
              <w:t xml:space="preserve"> </w:t>
            </w:r>
          </w:p>
        </w:tc>
      </w:tr>
      <w:tr w14:paraId="40FB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347D1D3">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31698F70">
            <w:pPr>
              <w:spacing w:line="320" w:lineRule="exact"/>
              <w:jc w:val="left"/>
              <w:rPr>
                <w:color w:val="000000"/>
                <w:kern w:val="0"/>
                <w:sz w:val="18"/>
                <w:szCs w:val="18"/>
              </w:rPr>
            </w:pPr>
            <w:r>
              <w:rPr>
                <w:rFonts w:hint="eastAsia"/>
                <w:color w:val="000000"/>
                <w:kern w:val="0"/>
                <w:sz w:val="18"/>
                <w:szCs w:val="18"/>
              </w:rPr>
              <w:t>对质量检测单位未在资质范围内从事检测活动，或者转包检测业务的处罚</w:t>
            </w:r>
          </w:p>
        </w:tc>
      </w:tr>
      <w:tr w14:paraId="4EEE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454FA399">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364385AA">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2B110B33">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14:paraId="3C83571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（一）在资质范围内从事检测活动，不得转包检测业务。</w:t>
            </w:r>
          </w:p>
          <w:p w14:paraId="23E2D206">
            <w:pPr>
              <w:spacing w:line="320" w:lineRule="exact"/>
              <w:jc w:val="left"/>
              <w:rPr>
                <w:color w:val="000000"/>
                <w:kern w:val="0"/>
                <w:sz w:val="18"/>
                <w:szCs w:val="18"/>
              </w:rPr>
            </w:pP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违反本办法第二十一条规定，质量检测单位有下列行为之一的，由住房和城乡建设行政主管部门责令改正，并可处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10AF129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（一）未在资质范围内从事检测活动，或者转包检测业务的。</w:t>
            </w:r>
          </w:p>
        </w:tc>
      </w:tr>
      <w:tr w14:paraId="67CD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45D2650">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45248019">
            <w:pPr>
              <w:spacing w:line="320" w:lineRule="exact"/>
              <w:jc w:val="left"/>
              <w:rPr>
                <w:color w:val="000000"/>
                <w:kern w:val="0"/>
                <w:sz w:val="18"/>
                <w:szCs w:val="18"/>
              </w:rPr>
            </w:pPr>
            <w:r>
              <w:rPr>
                <w:rFonts w:hint="eastAsia"/>
                <w:color w:val="000000"/>
                <w:kern w:val="0"/>
                <w:sz w:val="18"/>
                <w:szCs w:val="18"/>
              </w:rPr>
              <w:t>罚款</w:t>
            </w:r>
          </w:p>
        </w:tc>
      </w:tr>
      <w:tr w14:paraId="7E9C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3983A2BD">
            <w:pPr>
              <w:spacing w:line="320" w:lineRule="exact"/>
              <w:jc w:val="center"/>
              <w:rPr>
                <w:color w:val="000000"/>
                <w:kern w:val="0"/>
                <w:sz w:val="18"/>
                <w:szCs w:val="18"/>
              </w:rPr>
            </w:pPr>
            <w:r>
              <w:rPr>
                <w:rFonts w:hint="eastAsia"/>
                <w:color w:val="000000"/>
                <w:kern w:val="0"/>
                <w:sz w:val="18"/>
                <w:szCs w:val="18"/>
              </w:rPr>
              <w:t>裁量基准</w:t>
            </w:r>
          </w:p>
        </w:tc>
      </w:tr>
      <w:tr w14:paraId="603B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49B979D3">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2449341C">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14:paraId="68A98BD1">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2B60128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5E6E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0C7E550">
            <w:pPr>
              <w:spacing w:line="320" w:lineRule="exact"/>
              <w:jc w:val="center"/>
              <w:rPr>
                <w:color w:val="000000"/>
                <w:kern w:val="0"/>
                <w:sz w:val="18"/>
                <w:szCs w:val="18"/>
              </w:rPr>
            </w:pPr>
          </w:p>
        </w:tc>
        <w:tc>
          <w:tcPr>
            <w:tcW w:w="6140" w:type="dxa"/>
            <w:vAlign w:val="center"/>
          </w:tcPr>
          <w:p w14:paraId="36B9631A">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35A6968A">
            <w:pPr>
              <w:spacing w:line="320" w:lineRule="exact"/>
              <w:jc w:val="center"/>
              <w:rPr>
                <w:color w:val="000000"/>
                <w:kern w:val="0"/>
                <w:sz w:val="18"/>
                <w:szCs w:val="18"/>
              </w:rPr>
            </w:pPr>
          </w:p>
        </w:tc>
        <w:tc>
          <w:tcPr>
            <w:tcW w:w="5820" w:type="dxa"/>
            <w:vAlign w:val="center"/>
          </w:tcPr>
          <w:p w14:paraId="3F0BA8CA">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1B8B7E3C"/>
    <w:p w14:paraId="561B16CF"/>
    <w:p w14:paraId="20BCE8C7"/>
    <w:p w14:paraId="0A462944"/>
    <w:p w14:paraId="2082D274"/>
    <w:p w14:paraId="7EAF21F8"/>
    <w:p w14:paraId="790FD221"/>
    <w:p w14:paraId="194F8953"/>
    <w:p w14:paraId="618254CD"/>
    <w:p w14:paraId="011E0C4D"/>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3B399AD9">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2DE9503F">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5D5D3CBE">
            <w:pPr>
              <w:spacing w:line="320" w:lineRule="exact"/>
              <w:jc w:val="left"/>
              <w:rPr>
                <w:rFonts w:eastAsia="仿宋_GB2312"/>
                <w:b/>
                <w:bCs/>
                <w:color w:val="000000"/>
                <w:kern w:val="0"/>
                <w:sz w:val="18"/>
                <w:szCs w:val="18"/>
              </w:rPr>
            </w:pPr>
            <w:r>
              <w:rPr>
                <w:rFonts w:eastAsia="仿宋_GB2312"/>
                <w:b/>
                <w:color w:val="000000"/>
                <w:kern w:val="0"/>
                <w:sz w:val="20"/>
              </w:rPr>
              <w:t>320217563000</w:t>
            </w:r>
          </w:p>
        </w:tc>
      </w:tr>
      <w:tr w14:paraId="21B89173">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7AACA7E">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1950D3A2">
            <w:pPr>
              <w:spacing w:line="320" w:lineRule="exact"/>
              <w:jc w:val="left"/>
              <w:rPr>
                <w:color w:val="000000"/>
                <w:kern w:val="0"/>
                <w:sz w:val="18"/>
                <w:szCs w:val="18"/>
              </w:rPr>
            </w:pPr>
            <w:r>
              <w:rPr>
                <w:rFonts w:hint="eastAsia"/>
                <w:color w:val="000000"/>
                <w:kern w:val="0"/>
                <w:sz w:val="18"/>
                <w:szCs w:val="18"/>
              </w:rPr>
              <w:t>对建筑施工企业冒用安全生产许可证或者使用伪造的安全生产许可证的处罚</w:t>
            </w:r>
          </w:p>
        </w:tc>
      </w:tr>
      <w:tr w14:paraId="50FB2BCD">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1F0280B2">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3F27DFE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【行政法规】《安全生产许可证条例》</w:t>
            </w:r>
            <w:r>
              <w:rPr>
                <w:color w:val="000000"/>
                <w:kern w:val="0"/>
                <w:sz w:val="18"/>
                <w:szCs w:val="18"/>
              </w:rPr>
              <w:t>（</w:t>
            </w:r>
            <w:r>
              <w:rPr>
                <w:rFonts w:hint="eastAsia"/>
                <w:color w:val="000000"/>
                <w:kern w:val="0"/>
                <w:sz w:val="18"/>
                <w:szCs w:val="18"/>
              </w:rPr>
              <w:t>国务院令第</w:t>
            </w:r>
            <w:r>
              <w:rPr>
                <w:color w:val="000000"/>
                <w:kern w:val="0"/>
                <w:sz w:val="18"/>
                <w:szCs w:val="18"/>
              </w:rPr>
              <w:t>397</w:t>
            </w:r>
            <w:r>
              <w:rPr>
                <w:rFonts w:hint="eastAsia"/>
                <w:color w:val="000000"/>
                <w:kern w:val="0"/>
                <w:sz w:val="18"/>
                <w:szCs w:val="18"/>
              </w:rPr>
              <w:t>号</w:t>
            </w:r>
            <w:r>
              <w:rPr>
                <w:color w:val="000000"/>
                <w:kern w:val="0"/>
                <w:sz w:val="18"/>
                <w:szCs w:val="18"/>
              </w:rPr>
              <w:t>）</w:t>
            </w:r>
            <w:r>
              <w:rPr>
                <w:color w:val="000000"/>
                <w:kern w:val="0"/>
                <w:sz w:val="18"/>
                <w:szCs w:val="18"/>
              </w:rPr>
              <w:br w:type="textWrapping"/>
            </w:r>
            <w:r>
              <w:rPr>
                <w:rFonts w:hint="eastAsia"/>
                <w:color w:val="000000"/>
                <w:kern w:val="0"/>
                <w:sz w:val="18"/>
                <w:szCs w:val="18"/>
              </w:rPr>
              <w:t>第十九条　违反本条例规定，未取得安全生产许可证擅自进行生产的，责令停止生产，没收违法所得，并处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万元以下的罚款；造成重大事故或者其他严重后果，构成犯罪的，依法追究刑事责任。</w:t>
            </w:r>
            <w:r>
              <w:rPr>
                <w:color w:val="000000"/>
                <w:kern w:val="0"/>
                <w:sz w:val="18"/>
                <w:szCs w:val="18"/>
              </w:rPr>
              <w:br w:type="textWrapping"/>
            </w:r>
            <w:r>
              <w:rPr>
                <w:rFonts w:hint="eastAsia"/>
                <w:color w:val="000000"/>
                <w:kern w:val="0"/>
                <w:sz w:val="18"/>
                <w:szCs w:val="18"/>
              </w:rPr>
              <w:t>第二十一条第二款　冒用安全生产许可证或者使用伪造的安全生产许可证的，依照本条例第十九条的规定处罚。</w:t>
            </w:r>
            <w:r>
              <w:rPr>
                <w:color w:val="000000"/>
                <w:kern w:val="0"/>
                <w:sz w:val="18"/>
                <w:szCs w:val="18"/>
              </w:rPr>
              <w:br w:type="textWrapping"/>
            </w:r>
            <w:r>
              <w:rPr>
                <w:rFonts w:hint="eastAsia"/>
                <w:color w:val="000000"/>
                <w:kern w:val="0"/>
                <w:sz w:val="18"/>
                <w:szCs w:val="18"/>
              </w:rPr>
              <w:t>【规章】《建筑施工企业安全生产许可证管理规定》（建设部令第</w:t>
            </w:r>
            <w:r>
              <w:rPr>
                <w:color w:val="000000"/>
                <w:kern w:val="0"/>
                <w:sz w:val="18"/>
                <w:szCs w:val="18"/>
              </w:rPr>
              <w:t>128</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第二十四条　违反本规定，建筑施工企业未取得安全生产许可证擅自从事建筑施工活动的，责令其在建项目停止施工，没收违法所得，并处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万元以下的罚款；造成重大安全事故或者其他严重后果，构成犯罪的，依法追究刑事责任。</w:t>
            </w:r>
            <w:r>
              <w:rPr>
                <w:color w:val="000000"/>
                <w:kern w:val="0"/>
                <w:sz w:val="18"/>
                <w:szCs w:val="18"/>
              </w:rPr>
              <w:br w:type="textWrapping"/>
            </w:r>
            <w:r>
              <w:rPr>
                <w:rFonts w:hint="eastAsia"/>
                <w:color w:val="000000"/>
                <w:kern w:val="0"/>
                <w:sz w:val="18"/>
                <w:szCs w:val="18"/>
              </w:rPr>
              <w:t>第二十六条第二款　冒用安全生产许可证或者使用伪造的安全生产许可证的，依照本规定第二十四条的规定处罚。</w:t>
            </w:r>
            <w:r>
              <w:rPr>
                <w:color w:val="000000"/>
                <w:kern w:val="0"/>
                <w:sz w:val="18"/>
                <w:szCs w:val="18"/>
              </w:rPr>
              <w:br w:type="textWrapping"/>
            </w:r>
            <w:r>
              <w:rPr>
                <w:rFonts w:hint="eastAsia"/>
                <w:color w:val="000000"/>
                <w:kern w:val="0"/>
                <w:sz w:val="18"/>
                <w:szCs w:val="18"/>
              </w:rPr>
              <w:t>第二十八条　本规定的暂扣、吊销安全生产许可证的行政处罚，由安全生产许可证的颁发管理机关决定；其他行政处罚，由县级以上地方人民政府建设主管部门决定。</w:t>
            </w:r>
          </w:p>
        </w:tc>
      </w:tr>
      <w:tr w14:paraId="42DCA028">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CB3B277">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1A1DACCC">
            <w:pPr>
              <w:spacing w:line="320" w:lineRule="exact"/>
              <w:jc w:val="left"/>
              <w:rPr>
                <w:color w:val="000000"/>
                <w:kern w:val="0"/>
                <w:sz w:val="18"/>
                <w:szCs w:val="18"/>
              </w:rPr>
            </w:pPr>
            <w:r>
              <w:rPr>
                <w:rFonts w:hint="eastAsia"/>
                <w:color w:val="000000"/>
                <w:kern w:val="0"/>
                <w:sz w:val="18"/>
                <w:szCs w:val="18"/>
              </w:rPr>
              <w:t>没收违法所得，罚款</w:t>
            </w:r>
          </w:p>
        </w:tc>
      </w:tr>
      <w:tr w14:paraId="0E7574FC">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61E2DB16">
            <w:pPr>
              <w:spacing w:line="320" w:lineRule="exact"/>
              <w:jc w:val="center"/>
              <w:rPr>
                <w:color w:val="000000"/>
                <w:kern w:val="0"/>
                <w:sz w:val="18"/>
                <w:szCs w:val="18"/>
              </w:rPr>
            </w:pPr>
            <w:r>
              <w:rPr>
                <w:rFonts w:hint="eastAsia"/>
                <w:color w:val="000000"/>
                <w:kern w:val="0"/>
                <w:sz w:val="18"/>
                <w:szCs w:val="18"/>
              </w:rPr>
              <w:t>裁量基准</w:t>
            </w:r>
          </w:p>
        </w:tc>
      </w:tr>
      <w:tr w14:paraId="3379FA21">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037F219C">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D5E3F4A">
            <w:pPr>
              <w:spacing w:line="320" w:lineRule="exact"/>
              <w:jc w:val="left"/>
              <w:rPr>
                <w:rFonts w:eastAsia="仿宋_GB2312"/>
                <w:color w:val="000000"/>
                <w:sz w:val="20"/>
              </w:rPr>
            </w:pPr>
            <w:r>
              <w:rPr>
                <w:rFonts w:hint="eastAsia" w:eastAsia="仿宋_GB2312"/>
                <w:color w:val="000000"/>
                <w:sz w:val="20"/>
              </w:rPr>
              <w:t>未造成安全事故的</w:t>
            </w:r>
          </w:p>
        </w:tc>
        <w:tc>
          <w:tcPr>
            <w:tcW w:w="1080" w:type="dxa"/>
            <w:vMerge w:val="restart"/>
            <w:tcBorders>
              <w:top w:val="single" w:color="auto" w:sz="4" w:space="0"/>
              <w:left w:val="single" w:color="auto" w:sz="4" w:space="0"/>
              <w:right w:val="single" w:color="auto" w:sz="4" w:space="0"/>
            </w:tcBorders>
            <w:vAlign w:val="center"/>
          </w:tcPr>
          <w:p w14:paraId="6F72CA9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27F711D0">
            <w:pPr>
              <w:spacing w:line="320" w:lineRule="exact"/>
              <w:jc w:val="left"/>
              <w:rPr>
                <w:rFonts w:eastAsia="仿宋_GB2312"/>
                <w:color w:val="000000"/>
                <w:sz w:val="20"/>
              </w:rPr>
            </w:pPr>
            <w:r>
              <w:rPr>
                <w:rFonts w:hint="eastAsia" w:eastAsia="仿宋_GB2312"/>
                <w:color w:val="000000"/>
                <w:sz w:val="20"/>
              </w:rPr>
              <w:t>处</w:t>
            </w:r>
            <w:r>
              <w:rPr>
                <w:rFonts w:eastAsia="仿宋_GB2312"/>
                <w:color w:val="000000"/>
                <w:sz w:val="20"/>
              </w:rPr>
              <w:t>10</w:t>
            </w:r>
            <w:r>
              <w:rPr>
                <w:rFonts w:hint="eastAsia" w:eastAsia="仿宋_GB2312"/>
                <w:color w:val="000000"/>
                <w:sz w:val="20"/>
              </w:rPr>
              <w:t>万元以上</w:t>
            </w:r>
            <w:r>
              <w:rPr>
                <w:rFonts w:eastAsia="仿宋_GB2312"/>
                <w:color w:val="000000"/>
                <w:sz w:val="20"/>
              </w:rPr>
              <w:t>20</w:t>
            </w:r>
            <w:r>
              <w:rPr>
                <w:rFonts w:hint="eastAsia" w:eastAsia="仿宋_GB2312"/>
                <w:color w:val="000000"/>
                <w:sz w:val="20"/>
              </w:rPr>
              <w:t>万元以下的罚款</w:t>
            </w:r>
          </w:p>
        </w:tc>
      </w:tr>
      <w:tr w14:paraId="7B0C5B40">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right w:val="single" w:color="auto" w:sz="4" w:space="0"/>
            </w:tcBorders>
            <w:vAlign w:val="center"/>
          </w:tcPr>
          <w:p w14:paraId="6A42AF6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542E30F">
            <w:pPr>
              <w:spacing w:line="320" w:lineRule="exact"/>
              <w:jc w:val="left"/>
              <w:rPr>
                <w:rFonts w:eastAsia="仿宋_GB2312"/>
                <w:color w:val="000000"/>
                <w:sz w:val="20"/>
              </w:rPr>
            </w:pPr>
            <w:r>
              <w:rPr>
                <w:rFonts w:hint="eastAsia" w:eastAsia="仿宋_GB2312"/>
                <w:color w:val="000000"/>
                <w:sz w:val="20"/>
              </w:rPr>
              <w:t>造成一般安全事故的</w:t>
            </w:r>
          </w:p>
        </w:tc>
        <w:tc>
          <w:tcPr>
            <w:tcW w:w="1080" w:type="dxa"/>
            <w:vMerge w:val="continue"/>
            <w:tcBorders>
              <w:top w:val="single" w:color="auto" w:sz="4" w:space="0"/>
              <w:left w:val="single" w:color="auto" w:sz="4" w:space="0"/>
              <w:right w:val="single" w:color="auto" w:sz="4" w:space="0"/>
            </w:tcBorders>
            <w:vAlign w:val="center"/>
          </w:tcPr>
          <w:p w14:paraId="4FFD22F4">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5ECAB55">
            <w:pPr>
              <w:spacing w:line="320" w:lineRule="exact"/>
              <w:jc w:val="left"/>
              <w:rPr>
                <w:rFonts w:eastAsia="仿宋_GB2312"/>
                <w:color w:val="000000"/>
                <w:sz w:val="20"/>
              </w:rPr>
            </w:pPr>
            <w:r>
              <w:rPr>
                <w:rFonts w:hint="eastAsia" w:eastAsia="仿宋_GB2312"/>
                <w:color w:val="000000"/>
                <w:sz w:val="20"/>
              </w:rPr>
              <w:t>处</w:t>
            </w:r>
            <w:r>
              <w:rPr>
                <w:rFonts w:eastAsia="仿宋_GB2312"/>
                <w:color w:val="000000"/>
                <w:sz w:val="20"/>
              </w:rPr>
              <w:t>20</w:t>
            </w:r>
            <w:r>
              <w:rPr>
                <w:rFonts w:hint="eastAsia" w:eastAsia="仿宋_GB2312"/>
                <w:color w:val="000000"/>
                <w:sz w:val="20"/>
              </w:rPr>
              <w:t>万元以上</w:t>
            </w:r>
            <w:r>
              <w:rPr>
                <w:rFonts w:eastAsia="仿宋_GB2312"/>
                <w:color w:val="000000"/>
                <w:sz w:val="20"/>
              </w:rPr>
              <w:t>30</w:t>
            </w:r>
            <w:r>
              <w:rPr>
                <w:rFonts w:hint="eastAsia" w:eastAsia="仿宋_GB2312"/>
                <w:color w:val="000000"/>
                <w:sz w:val="20"/>
              </w:rPr>
              <w:t>万元以下的罚款</w:t>
            </w:r>
          </w:p>
        </w:tc>
      </w:tr>
      <w:tr w14:paraId="52E1BD77">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7D6F24C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EEC5C91">
            <w:pPr>
              <w:spacing w:line="320" w:lineRule="exact"/>
              <w:jc w:val="left"/>
              <w:rPr>
                <w:rFonts w:eastAsia="仿宋_GB2312"/>
                <w:color w:val="000000"/>
                <w:sz w:val="20"/>
              </w:rPr>
            </w:pPr>
            <w:r>
              <w:rPr>
                <w:rFonts w:hint="eastAsia" w:eastAsia="仿宋_GB2312"/>
                <w:color w:val="000000"/>
                <w:sz w:val="20"/>
              </w:rPr>
              <w:t>造成较大安全事故的</w:t>
            </w:r>
          </w:p>
        </w:tc>
        <w:tc>
          <w:tcPr>
            <w:tcW w:w="1080" w:type="dxa"/>
            <w:vMerge w:val="continue"/>
            <w:tcBorders>
              <w:left w:val="single" w:color="auto" w:sz="4" w:space="0"/>
              <w:right w:val="single" w:color="auto" w:sz="4" w:space="0"/>
            </w:tcBorders>
            <w:vAlign w:val="center"/>
          </w:tcPr>
          <w:p w14:paraId="2CD34C76">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tcPr>
          <w:p w14:paraId="67EEDFC5">
            <w:pPr>
              <w:spacing w:line="320" w:lineRule="exact"/>
              <w:jc w:val="left"/>
              <w:rPr>
                <w:rFonts w:eastAsia="仿宋_GB2312"/>
                <w:color w:val="000000"/>
                <w:sz w:val="20"/>
              </w:rPr>
            </w:pPr>
            <w:r>
              <w:rPr>
                <w:rFonts w:hint="eastAsia" w:eastAsia="仿宋_GB2312"/>
                <w:color w:val="000000"/>
                <w:sz w:val="20"/>
              </w:rPr>
              <w:t>处</w:t>
            </w:r>
            <w:r>
              <w:rPr>
                <w:rFonts w:eastAsia="仿宋_GB2312"/>
                <w:color w:val="000000"/>
                <w:sz w:val="20"/>
              </w:rPr>
              <w:t>30</w:t>
            </w:r>
            <w:r>
              <w:rPr>
                <w:rFonts w:hint="eastAsia" w:eastAsia="仿宋_GB2312"/>
                <w:color w:val="000000"/>
                <w:sz w:val="20"/>
              </w:rPr>
              <w:t>万元以上</w:t>
            </w:r>
            <w:r>
              <w:rPr>
                <w:rFonts w:eastAsia="仿宋_GB2312"/>
                <w:color w:val="000000"/>
                <w:sz w:val="20"/>
              </w:rPr>
              <w:t>40</w:t>
            </w:r>
            <w:r>
              <w:rPr>
                <w:rFonts w:hint="eastAsia" w:eastAsia="仿宋_GB2312"/>
                <w:color w:val="000000"/>
                <w:sz w:val="20"/>
              </w:rPr>
              <w:t>万元以下的罚款</w:t>
            </w:r>
          </w:p>
        </w:tc>
      </w:tr>
      <w:tr w14:paraId="3D7560A1">
        <w:tblPrEx>
          <w:tblCellMar>
            <w:top w:w="0" w:type="dxa"/>
            <w:left w:w="108" w:type="dxa"/>
            <w:bottom w:w="0" w:type="dxa"/>
            <w:right w:w="108" w:type="dxa"/>
          </w:tblCellMar>
        </w:tblPrEx>
        <w:trPr>
          <w:trHeight w:val="285" w:hRule="atLeast"/>
        </w:trPr>
        <w:tc>
          <w:tcPr>
            <w:tcW w:w="1030" w:type="dxa"/>
            <w:tcBorders>
              <w:left w:val="single" w:color="auto" w:sz="4" w:space="0"/>
              <w:bottom w:val="single" w:color="auto" w:sz="4" w:space="0"/>
              <w:right w:val="single" w:color="auto" w:sz="4" w:space="0"/>
            </w:tcBorders>
            <w:vAlign w:val="center"/>
          </w:tcPr>
          <w:p w14:paraId="0100BB1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079E9B1">
            <w:pPr>
              <w:spacing w:line="320" w:lineRule="exact"/>
              <w:jc w:val="left"/>
              <w:rPr>
                <w:rFonts w:eastAsia="仿宋_GB2312"/>
                <w:color w:val="000000"/>
                <w:sz w:val="20"/>
              </w:rPr>
            </w:pPr>
            <w:r>
              <w:rPr>
                <w:rFonts w:hint="eastAsia" w:eastAsia="仿宋_GB2312"/>
                <w:color w:val="000000"/>
                <w:sz w:val="20"/>
              </w:rPr>
              <w:t>造成重大安全事故或者其他严重后果的</w:t>
            </w:r>
          </w:p>
        </w:tc>
        <w:tc>
          <w:tcPr>
            <w:tcW w:w="1080" w:type="dxa"/>
            <w:tcBorders>
              <w:left w:val="single" w:color="auto" w:sz="4" w:space="0"/>
              <w:bottom w:val="single" w:color="auto" w:sz="4" w:space="0"/>
              <w:right w:val="single" w:color="auto" w:sz="4" w:space="0"/>
            </w:tcBorders>
            <w:vAlign w:val="center"/>
          </w:tcPr>
          <w:p w14:paraId="7548D986">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tcPr>
          <w:p w14:paraId="445589BA">
            <w:pPr>
              <w:spacing w:line="320" w:lineRule="exact"/>
              <w:jc w:val="left"/>
              <w:rPr>
                <w:rFonts w:eastAsia="仿宋_GB2312"/>
                <w:color w:val="000000"/>
                <w:sz w:val="20"/>
              </w:rPr>
            </w:pPr>
            <w:r>
              <w:rPr>
                <w:rFonts w:hint="eastAsia" w:eastAsia="仿宋_GB2312"/>
                <w:color w:val="000000"/>
                <w:sz w:val="20"/>
              </w:rPr>
              <w:t>处</w:t>
            </w:r>
            <w:r>
              <w:rPr>
                <w:rFonts w:eastAsia="仿宋_GB2312"/>
                <w:color w:val="000000"/>
                <w:sz w:val="20"/>
              </w:rPr>
              <w:t>40</w:t>
            </w:r>
            <w:r>
              <w:rPr>
                <w:rFonts w:hint="eastAsia" w:eastAsia="仿宋_GB2312"/>
                <w:color w:val="000000"/>
                <w:sz w:val="20"/>
              </w:rPr>
              <w:t>万元以上</w:t>
            </w:r>
            <w:r>
              <w:rPr>
                <w:rFonts w:eastAsia="仿宋_GB2312"/>
                <w:color w:val="000000"/>
                <w:sz w:val="20"/>
              </w:rPr>
              <w:t>50</w:t>
            </w:r>
            <w:r>
              <w:rPr>
                <w:rFonts w:hint="eastAsia" w:eastAsia="仿宋_GB2312"/>
                <w:color w:val="000000"/>
                <w:sz w:val="20"/>
              </w:rPr>
              <w:t>万元以下的罚款</w:t>
            </w:r>
          </w:p>
        </w:tc>
      </w:tr>
    </w:tbl>
    <w:p w14:paraId="30AEDCA7"/>
    <w:p w14:paraId="07E200C5"/>
    <w:p w14:paraId="669C6B56"/>
    <w:p w14:paraId="5B06A180"/>
    <w:p w14:paraId="0B5B06F9"/>
    <w:p w14:paraId="596661BC"/>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7F43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307F038">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3745F735">
            <w:pPr>
              <w:spacing w:line="320" w:lineRule="exact"/>
              <w:jc w:val="left"/>
              <w:rPr>
                <w:rFonts w:eastAsia="仿宋_GB2312"/>
                <w:b/>
                <w:bCs/>
                <w:color w:val="000000"/>
                <w:kern w:val="0"/>
                <w:sz w:val="18"/>
                <w:szCs w:val="18"/>
              </w:rPr>
            </w:pPr>
            <w:r>
              <w:rPr>
                <w:rFonts w:eastAsia="仿宋_GB2312"/>
                <w:b/>
                <w:bCs/>
                <w:color w:val="000000"/>
                <w:kern w:val="0"/>
                <w:sz w:val="18"/>
                <w:szCs w:val="18"/>
              </w:rPr>
              <w:t>320217564000</w:t>
            </w:r>
            <w:r>
              <w:rPr>
                <w:rFonts w:hint="eastAsia" w:eastAsia="仿宋_GB2312"/>
                <w:b/>
                <w:bCs/>
                <w:color w:val="000000"/>
                <w:kern w:val="0"/>
                <w:sz w:val="18"/>
                <w:szCs w:val="18"/>
              </w:rPr>
              <w:t xml:space="preserve"> </w:t>
            </w:r>
          </w:p>
        </w:tc>
      </w:tr>
      <w:tr w14:paraId="1A2C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1EF3F7DE">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0C25602D">
            <w:pPr>
              <w:spacing w:line="320" w:lineRule="exact"/>
              <w:jc w:val="left"/>
              <w:rPr>
                <w:color w:val="000000"/>
                <w:kern w:val="0"/>
                <w:sz w:val="18"/>
                <w:szCs w:val="18"/>
              </w:rPr>
            </w:pPr>
            <w:r>
              <w:rPr>
                <w:rFonts w:hint="eastAsia"/>
                <w:color w:val="000000"/>
                <w:kern w:val="0"/>
                <w:sz w:val="18"/>
                <w:szCs w:val="18"/>
              </w:rPr>
              <w:t>对预拌混凝土、砂浆供应单位供应的预拌混凝土、砂浆不符合技术标准要求的处罚</w:t>
            </w:r>
          </w:p>
        </w:tc>
      </w:tr>
      <w:tr w14:paraId="41D6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6118F53E">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31C6813E">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273688EC">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14:paraId="2FA664F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（三）供应的预拌混凝土、砂浆应当符合技术标准要求。</w:t>
            </w:r>
          </w:p>
          <w:p w14:paraId="6D38C0C0">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0AF63F7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（三）供应的预拌混凝土、砂浆不符合技术标准要求的。</w:t>
            </w:r>
          </w:p>
        </w:tc>
      </w:tr>
      <w:tr w14:paraId="339F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68343B0">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3F062A30">
            <w:pPr>
              <w:spacing w:line="320" w:lineRule="exact"/>
              <w:jc w:val="left"/>
              <w:rPr>
                <w:color w:val="000000"/>
                <w:kern w:val="0"/>
                <w:sz w:val="18"/>
                <w:szCs w:val="18"/>
              </w:rPr>
            </w:pPr>
            <w:r>
              <w:rPr>
                <w:rFonts w:hint="eastAsia"/>
                <w:color w:val="000000"/>
                <w:kern w:val="0"/>
                <w:sz w:val="18"/>
                <w:szCs w:val="18"/>
              </w:rPr>
              <w:t>罚款</w:t>
            </w:r>
          </w:p>
        </w:tc>
      </w:tr>
      <w:tr w14:paraId="09A2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50CB9730">
            <w:pPr>
              <w:spacing w:line="320" w:lineRule="exact"/>
              <w:jc w:val="center"/>
              <w:rPr>
                <w:color w:val="000000"/>
                <w:kern w:val="0"/>
                <w:sz w:val="18"/>
                <w:szCs w:val="18"/>
              </w:rPr>
            </w:pPr>
            <w:r>
              <w:rPr>
                <w:rFonts w:hint="eastAsia"/>
                <w:color w:val="000000"/>
                <w:kern w:val="0"/>
                <w:sz w:val="18"/>
                <w:szCs w:val="18"/>
              </w:rPr>
              <w:t>裁量基准</w:t>
            </w:r>
          </w:p>
        </w:tc>
      </w:tr>
      <w:tr w14:paraId="4BED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030" w:type="dxa"/>
            <w:vMerge w:val="restart"/>
            <w:vAlign w:val="center"/>
          </w:tcPr>
          <w:p w14:paraId="3A971149">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14D2C2C3">
            <w:pPr>
              <w:spacing w:line="320" w:lineRule="exact"/>
              <w:jc w:val="left"/>
              <w:rPr>
                <w:color w:val="000000"/>
                <w:kern w:val="0"/>
                <w:sz w:val="18"/>
                <w:szCs w:val="18"/>
              </w:rPr>
            </w:pPr>
            <w:r>
              <w:rPr>
                <w:rFonts w:hint="eastAsia"/>
                <w:color w:val="000000"/>
                <w:kern w:val="0"/>
                <w:sz w:val="18"/>
                <w:szCs w:val="18"/>
              </w:rPr>
              <w:t>未按照要求整改，未造成质量事故的</w:t>
            </w:r>
          </w:p>
        </w:tc>
        <w:tc>
          <w:tcPr>
            <w:tcW w:w="1080" w:type="dxa"/>
            <w:vMerge w:val="restart"/>
            <w:vAlign w:val="center"/>
          </w:tcPr>
          <w:p w14:paraId="58C74573">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18786EB3">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1985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3FFFA39F">
            <w:pPr>
              <w:spacing w:line="320" w:lineRule="exact"/>
              <w:jc w:val="center"/>
              <w:rPr>
                <w:color w:val="000000"/>
                <w:kern w:val="0"/>
                <w:sz w:val="18"/>
                <w:szCs w:val="18"/>
              </w:rPr>
            </w:pPr>
          </w:p>
        </w:tc>
        <w:tc>
          <w:tcPr>
            <w:tcW w:w="6140" w:type="dxa"/>
            <w:vAlign w:val="center"/>
          </w:tcPr>
          <w:p w14:paraId="77434BA5">
            <w:pPr>
              <w:spacing w:line="320" w:lineRule="exact"/>
              <w:jc w:val="left"/>
              <w:rPr>
                <w:color w:val="000000"/>
                <w:kern w:val="0"/>
                <w:sz w:val="18"/>
                <w:szCs w:val="18"/>
              </w:rPr>
            </w:pPr>
            <w:r>
              <w:rPr>
                <w:rFonts w:hint="eastAsia"/>
                <w:color w:val="000000"/>
                <w:kern w:val="0"/>
                <w:sz w:val="18"/>
                <w:szCs w:val="18"/>
              </w:rPr>
              <w:t>按照要求整改，造成质量事故的</w:t>
            </w:r>
          </w:p>
        </w:tc>
        <w:tc>
          <w:tcPr>
            <w:tcW w:w="1080" w:type="dxa"/>
            <w:vMerge w:val="continue"/>
            <w:vAlign w:val="center"/>
          </w:tcPr>
          <w:p w14:paraId="5C82912E">
            <w:pPr>
              <w:spacing w:line="320" w:lineRule="exact"/>
              <w:jc w:val="center"/>
              <w:rPr>
                <w:color w:val="000000"/>
                <w:kern w:val="0"/>
                <w:sz w:val="18"/>
                <w:szCs w:val="18"/>
              </w:rPr>
            </w:pPr>
          </w:p>
        </w:tc>
        <w:tc>
          <w:tcPr>
            <w:tcW w:w="5820" w:type="dxa"/>
            <w:vAlign w:val="center"/>
          </w:tcPr>
          <w:p w14:paraId="64591CA4">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5B12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74A394CC">
            <w:pPr>
              <w:spacing w:line="320" w:lineRule="exact"/>
              <w:jc w:val="center"/>
              <w:rPr>
                <w:color w:val="000000"/>
                <w:kern w:val="0"/>
                <w:sz w:val="18"/>
                <w:szCs w:val="18"/>
              </w:rPr>
            </w:pPr>
          </w:p>
        </w:tc>
        <w:tc>
          <w:tcPr>
            <w:tcW w:w="6140" w:type="dxa"/>
            <w:vAlign w:val="center"/>
          </w:tcPr>
          <w:p w14:paraId="0BEB1EDB">
            <w:pPr>
              <w:spacing w:line="320" w:lineRule="exact"/>
              <w:jc w:val="left"/>
              <w:rPr>
                <w:color w:val="000000"/>
                <w:kern w:val="0"/>
                <w:sz w:val="18"/>
                <w:szCs w:val="18"/>
              </w:rPr>
            </w:pPr>
            <w:r>
              <w:rPr>
                <w:rFonts w:hint="eastAsia"/>
                <w:color w:val="000000"/>
                <w:kern w:val="0"/>
                <w:sz w:val="18"/>
                <w:szCs w:val="18"/>
              </w:rPr>
              <w:t>未按照要求整改，造成质量事故的</w:t>
            </w:r>
          </w:p>
        </w:tc>
        <w:tc>
          <w:tcPr>
            <w:tcW w:w="1080" w:type="dxa"/>
            <w:vMerge w:val="continue"/>
            <w:vAlign w:val="center"/>
          </w:tcPr>
          <w:p w14:paraId="0C81D8BF">
            <w:pPr>
              <w:spacing w:line="320" w:lineRule="exact"/>
              <w:jc w:val="center"/>
              <w:rPr>
                <w:color w:val="000000"/>
                <w:kern w:val="0"/>
                <w:sz w:val="18"/>
                <w:szCs w:val="18"/>
              </w:rPr>
            </w:pPr>
          </w:p>
        </w:tc>
        <w:tc>
          <w:tcPr>
            <w:tcW w:w="5820" w:type="dxa"/>
            <w:vAlign w:val="center"/>
          </w:tcPr>
          <w:p w14:paraId="73C5CCBB">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1BD4589D"/>
    <w:p w14:paraId="75A8E4DB"/>
    <w:p w14:paraId="5E2A4E6F"/>
    <w:p w14:paraId="1B247EBB"/>
    <w:p w14:paraId="389D8B6E"/>
    <w:p w14:paraId="369326A5"/>
    <w:p w14:paraId="48161BA4"/>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5981E93E">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399957EE">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4E9D3D21">
            <w:pPr>
              <w:spacing w:line="320" w:lineRule="exact"/>
              <w:jc w:val="left"/>
              <w:rPr>
                <w:rFonts w:eastAsia="仿宋_GB2312"/>
                <w:b/>
                <w:bCs/>
                <w:color w:val="000000"/>
                <w:kern w:val="0"/>
                <w:sz w:val="18"/>
                <w:szCs w:val="18"/>
              </w:rPr>
            </w:pPr>
            <w:r>
              <w:rPr>
                <w:rFonts w:eastAsia="仿宋_GB2312"/>
                <w:b/>
                <w:bCs/>
                <w:color w:val="000000"/>
                <w:kern w:val="0"/>
                <w:sz w:val="18"/>
                <w:szCs w:val="18"/>
              </w:rPr>
              <w:t>320217565000</w:t>
            </w:r>
          </w:p>
        </w:tc>
      </w:tr>
      <w:tr w14:paraId="1C9BC79D">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746773BC">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1F81AB42">
            <w:pPr>
              <w:spacing w:line="320" w:lineRule="exact"/>
              <w:jc w:val="left"/>
              <w:rPr>
                <w:color w:val="000000"/>
                <w:kern w:val="0"/>
                <w:sz w:val="18"/>
                <w:szCs w:val="18"/>
              </w:rPr>
            </w:pPr>
            <w:r>
              <w:rPr>
                <w:rFonts w:hint="eastAsia"/>
                <w:color w:val="000000"/>
                <w:kern w:val="0"/>
                <w:sz w:val="18"/>
                <w:szCs w:val="18"/>
              </w:rPr>
              <w:t>对采用新结构、新材料、新工艺的建设工程和特殊结构的建设工程，设计单位未在设计中提出保障施工作业人员安全和预防生产安全事故的措施建议的处罚</w:t>
            </w:r>
          </w:p>
        </w:tc>
      </w:tr>
      <w:tr w14:paraId="001466F5">
        <w:tblPrEx>
          <w:tblCellMar>
            <w:top w:w="0" w:type="dxa"/>
            <w:left w:w="108" w:type="dxa"/>
            <w:bottom w:w="0" w:type="dxa"/>
            <w:right w:w="108" w:type="dxa"/>
          </w:tblCellMar>
        </w:tblPrEx>
        <w:trPr>
          <w:trHeight w:val="2790" w:hRule="atLeast"/>
        </w:trPr>
        <w:tc>
          <w:tcPr>
            <w:tcW w:w="1050" w:type="dxa"/>
            <w:tcBorders>
              <w:top w:val="nil"/>
              <w:left w:val="single" w:color="auto" w:sz="8" w:space="0"/>
              <w:bottom w:val="single" w:color="auto" w:sz="4" w:space="0"/>
              <w:right w:val="single" w:color="auto" w:sz="4" w:space="0"/>
            </w:tcBorders>
            <w:vAlign w:val="center"/>
          </w:tcPr>
          <w:p w14:paraId="1D8FCC78">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4844577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14:paraId="3D053B16">
            <w:pPr>
              <w:spacing w:line="320" w:lineRule="exact"/>
              <w:jc w:val="left"/>
              <w:rPr>
                <w:color w:val="000000"/>
                <w:kern w:val="0"/>
                <w:sz w:val="18"/>
                <w:szCs w:val="18"/>
              </w:rPr>
            </w:pPr>
            <w:r>
              <w:rPr>
                <w:rFonts w:hint="eastAsia"/>
                <w:color w:val="000000"/>
                <w:kern w:val="0"/>
                <w:sz w:val="18"/>
                <w:szCs w:val="18"/>
              </w:rPr>
              <w:t>第十三条第三款　采用新结构、新材料、新工艺的建设工程和特殊结构的建设工程，设计单位应当在设计中提出保障施工作业人员安全和预防生产安全事故的措施建议。</w:t>
            </w:r>
          </w:p>
          <w:p w14:paraId="6FA818ED">
            <w:pPr>
              <w:spacing w:line="320" w:lineRule="exact"/>
              <w:jc w:val="left"/>
              <w:rPr>
                <w:color w:val="000000"/>
                <w:kern w:val="0"/>
                <w:sz w:val="18"/>
                <w:szCs w:val="18"/>
              </w:rPr>
            </w:pPr>
            <w:r>
              <w:rPr>
                <w:rFonts w:hint="eastAsia"/>
                <w:color w:val="000000"/>
                <w:kern w:val="0"/>
                <w:sz w:val="18"/>
                <w:szCs w:val="18"/>
              </w:rPr>
              <w:t>第五十六条　违反本条例的规定，勘察单位、设计单位有下列行为之一的，责令限期改正，处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责令停业整顿，降低资质等级，直至吊销资质证书；造成重大安全事故，构成犯罪的，对直接责任人员，依照刑法有关规定追究刑事责任；造成损失的，依法承担赔偿责任：（二）采用新结构、新材料、新工艺的建设工程和特殊结构的建设工程，设计单位未在设计中提出保障施工作业人员安全和预防生产安全事故的措施建议的。</w:t>
            </w:r>
            <w:r>
              <w:rPr>
                <w:color w:val="000000"/>
                <w:kern w:val="0"/>
                <w:sz w:val="18"/>
                <w:szCs w:val="18"/>
              </w:rPr>
              <w:t xml:space="preserve"> </w:t>
            </w:r>
          </w:p>
          <w:p w14:paraId="65C901B3">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70B66911">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6B490B4B">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123BEFB8">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14:paraId="4CDD6F9A">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6757136C">
            <w:pPr>
              <w:spacing w:line="320" w:lineRule="exact"/>
              <w:jc w:val="center"/>
              <w:rPr>
                <w:color w:val="000000"/>
                <w:kern w:val="0"/>
                <w:sz w:val="18"/>
                <w:szCs w:val="18"/>
              </w:rPr>
            </w:pPr>
            <w:r>
              <w:rPr>
                <w:rFonts w:hint="eastAsia"/>
                <w:color w:val="000000"/>
                <w:kern w:val="0"/>
                <w:sz w:val="18"/>
                <w:szCs w:val="18"/>
              </w:rPr>
              <w:t>裁量基准</w:t>
            </w:r>
          </w:p>
        </w:tc>
      </w:tr>
      <w:tr w14:paraId="37FE6ADB">
        <w:tblPrEx>
          <w:tblCellMar>
            <w:top w:w="0" w:type="dxa"/>
            <w:left w:w="108" w:type="dxa"/>
            <w:bottom w:w="0" w:type="dxa"/>
            <w:right w:w="108" w:type="dxa"/>
          </w:tblCellMar>
        </w:tblPrEx>
        <w:trPr>
          <w:trHeight w:val="285" w:hRule="atLeast"/>
        </w:trPr>
        <w:tc>
          <w:tcPr>
            <w:tcW w:w="1050" w:type="dxa"/>
            <w:vMerge w:val="restart"/>
            <w:tcBorders>
              <w:top w:val="single" w:color="auto" w:sz="4" w:space="0"/>
              <w:left w:val="single" w:color="auto" w:sz="4" w:space="0"/>
              <w:bottom w:val="single" w:color="auto" w:sz="4" w:space="0"/>
              <w:right w:val="single" w:color="auto" w:sz="4" w:space="0"/>
            </w:tcBorders>
            <w:vAlign w:val="center"/>
          </w:tcPr>
          <w:p w14:paraId="588A3DF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598251B0">
            <w:pPr>
              <w:spacing w:line="32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single" w:color="auto" w:sz="4" w:space="0"/>
              <w:left w:val="single" w:color="auto" w:sz="4" w:space="0"/>
              <w:bottom w:val="single" w:color="auto" w:sz="4" w:space="0"/>
              <w:right w:val="single" w:color="auto" w:sz="4" w:space="0"/>
            </w:tcBorders>
            <w:vAlign w:val="center"/>
          </w:tcPr>
          <w:p w14:paraId="7900C5F2">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single" w:color="auto" w:sz="4" w:space="0"/>
              <w:bottom w:val="single" w:color="auto" w:sz="4" w:space="0"/>
              <w:right w:val="single" w:color="auto" w:sz="4" w:space="0"/>
            </w:tcBorders>
            <w:vAlign w:val="center"/>
          </w:tcPr>
          <w:p w14:paraId="68B6A32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tc>
      </w:tr>
      <w:tr w14:paraId="2FCD0F2A">
        <w:tblPrEx>
          <w:tblCellMar>
            <w:top w:w="0" w:type="dxa"/>
            <w:left w:w="108" w:type="dxa"/>
            <w:bottom w:w="0" w:type="dxa"/>
            <w:right w:w="108" w:type="dxa"/>
          </w:tblCellMar>
        </w:tblPrEx>
        <w:trPr>
          <w:trHeight w:val="285" w:hRule="atLeast"/>
        </w:trPr>
        <w:tc>
          <w:tcPr>
            <w:tcW w:w="1050" w:type="dxa"/>
            <w:vMerge w:val="continue"/>
            <w:tcBorders>
              <w:top w:val="single" w:color="auto" w:sz="4" w:space="0"/>
              <w:left w:val="single" w:color="auto" w:sz="4" w:space="0"/>
              <w:bottom w:val="single" w:color="auto" w:sz="4" w:space="0"/>
              <w:right w:val="single" w:color="auto" w:sz="4" w:space="0"/>
            </w:tcBorders>
            <w:vAlign w:val="center"/>
          </w:tcPr>
          <w:p w14:paraId="2BB3CE97">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1F6DDE81">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100" w:type="dxa"/>
            <w:vMerge w:val="continue"/>
            <w:tcBorders>
              <w:top w:val="single" w:color="auto" w:sz="4" w:space="0"/>
              <w:left w:val="single" w:color="auto" w:sz="4" w:space="0"/>
              <w:bottom w:val="single" w:color="auto" w:sz="4" w:space="0"/>
              <w:right w:val="single" w:color="auto" w:sz="4" w:space="0"/>
            </w:tcBorders>
            <w:vAlign w:val="center"/>
          </w:tcPr>
          <w:p w14:paraId="28CC7AF2">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1C29617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w:t>
            </w:r>
          </w:p>
        </w:tc>
      </w:tr>
      <w:tr w14:paraId="2F07A4CD">
        <w:tblPrEx>
          <w:tblCellMar>
            <w:top w:w="0" w:type="dxa"/>
            <w:left w:w="108" w:type="dxa"/>
            <w:bottom w:w="0" w:type="dxa"/>
            <w:right w:w="108" w:type="dxa"/>
          </w:tblCellMar>
        </w:tblPrEx>
        <w:trPr>
          <w:trHeight w:val="748" w:hRule="atLeast"/>
        </w:trPr>
        <w:tc>
          <w:tcPr>
            <w:tcW w:w="1050" w:type="dxa"/>
            <w:vMerge w:val="continue"/>
            <w:tcBorders>
              <w:top w:val="single" w:color="auto" w:sz="4" w:space="0"/>
              <w:left w:val="single" w:color="auto" w:sz="4" w:space="0"/>
              <w:bottom w:val="single" w:color="auto" w:sz="4" w:space="0"/>
              <w:right w:val="single" w:color="auto" w:sz="4" w:space="0"/>
            </w:tcBorders>
            <w:vAlign w:val="center"/>
          </w:tcPr>
          <w:p w14:paraId="0ABDCFC3">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7FC880D6">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100" w:type="dxa"/>
            <w:vMerge w:val="continue"/>
            <w:tcBorders>
              <w:top w:val="single" w:color="auto" w:sz="4" w:space="0"/>
              <w:left w:val="single" w:color="auto" w:sz="4" w:space="0"/>
              <w:bottom w:val="single" w:color="auto" w:sz="4" w:space="0"/>
              <w:right w:val="single" w:color="auto" w:sz="4" w:space="0"/>
            </w:tcBorders>
            <w:vAlign w:val="center"/>
          </w:tcPr>
          <w:p w14:paraId="57BBDE08">
            <w:pPr>
              <w:spacing w:line="320" w:lineRule="exact"/>
              <w:jc w:val="left"/>
              <w:rPr>
                <w:color w:val="000000"/>
                <w:kern w:val="0"/>
                <w:sz w:val="18"/>
                <w:szCs w:val="18"/>
              </w:rPr>
            </w:pPr>
          </w:p>
        </w:tc>
        <w:tc>
          <w:tcPr>
            <w:tcW w:w="5760" w:type="dxa"/>
            <w:tcBorders>
              <w:top w:val="single" w:color="auto" w:sz="4" w:space="0"/>
              <w:left w:val="single" w:color="auto" w:sz="4" w:space="0"/>
              <w:bottom w:val="single" w:color="auto" w:sz="4" w:space="0"/>
              <w:right w:val="single" w:color="auto" w:sz="4" w:space="0"/>
            </w:tcBorders>
            <w:vAlign w:val="center"/>
          </w:tcPr>
          <w:p w14:paraId="3B17D96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万以下的罚款，责令停业整顿，降低资质等级，直至吊销资质证书</w:t>
            </w:r>
          </w:p>
        </w:tc>
      </w:tr>
    </w:tbl>
    <w:p w14:paraId="37C236FB"/>
    <w:p w14:paraId="4B2E20A3"/>
    <w:p w14:paraId="0CF582BA"/>
    <w:p w14:paraId="647490CC"/>
    <w:p w14:paraId="6AD40769"/>
    <w:p w14:paraId="049BD9AF"/>
    <w:tbl>
      <w:tblPr>
        <w:tblStyle w:val="15"/>
        <w:tblW w:w="14476" w:type="dxa"/>
        <w:tblInd w:w="88" w:type="dxa"/>
        <w:tblLayout w:type="fixed"/>
        <w:tblCellMar>
          <w:top w:w="0" w:type="dxa"/>
          <w:left w:w="108" w:type="dxa"/>
          <w:bottom w:w="0" w:type="dxa"/>
          <w:right w:w="108" w:type="dxa"/>
        </w:tblCellMar>
      </w:tblPr>
      <w:tblGrid>
        <w:gridCol w:w="1154"/>
        <w:gridCol w:w="6026"/>
        <w:gridCol w:w="1076"/>
        <w:gridCol w:w="5760"/>
        <w:gridCol w:w="460"/>
      </w:tblGrid>
      <w:tr w14:paraId="06959EF8">
        <w:tblPrEx>
          <w:tblCellMar>
            <w:top w:w="0" w:type="dxa"/>
            <w:left w:w="108" w:type="dxa"/>
            <w:bottom w:w="0" w:type="dxa"/>
            <w:right w:w="108" w:type="dxa"/>
          </w:tblCellMar>
        </w:tblPrEx>
        <w:trPr>
          <w:gridAfter w:val="1"/>
          <w:wAfter w:w="460" w:type="dxa"/>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28B487C5">
            <w:pPr>
              <w:jc w:val="center"/>
              <w:rPr>
                <w:color w:val="000000"/>
              </w:rPr>
            </w:pPr>
            <w:r>
              <w:rPr>
                <w:rFonts w:hint="eastAsia"/>
                <w:color w:val="000000"/>
              </w:rPr>
              <w:t>编号</w:t>
            </w:r>
          </w:p>
        </w:tc>
        <w:tc>
          <w:tcPr>
            <w:tcW w:w="12862" w:type="dxa"/>
            <w:gridSpan w:val="3"/>
            <w:tcBorders>
              <w:top w:val="single" w:color="auto" w:sz="8" w:space="0"/>
              <w:left w:val="nil"/>
              <w:bottom w:val="single" w:color="auto" w:sz="4" w:space="0"/>
              <w:right w:val="single" w:color="auto" w:sz="8" w:space="0"/>
            </w:tcBorders>
            <w:vAlign w:val="center"/>
          </w:tcPr>
          <w:p w14:paraId="0F4A54FE">
            <w:pPr>
              <w:rPr>
                <w:b/>
                <w:bCs/>
                <w:color w:val="000000"/>
              </w:rPr>
            </w:pPr>
            <w:r>
              <w:rPr>
                <w:b/>
                <w:color w:val="000000"/>
              </w:rPr>
              <w:t>320217566000</w:t>
            </w:r>
            <w:r>
              <w:rPr>
                <w:rFonts w:hint="eastAsia"/>
                <w:b/>
                <w:color w:val="000000"/>
              </w:rPr>
              <w:t xml:space="preserve"> </w:t>
            </w:r>
          </w:p>
        </w:tc>
      </w:tr>
      <w:tr w14:paraId="0DEBD8B8">
        <w:tblPrEx>
          <w:tblCellMar>
            <w:top w:w="0" w:type="dxa"/>
            <w:left w:w="108" w:type="dxa"/>
            <w:bottom w:w="0" w:type="dxa"/>
            <w:right w:w="108" w:type="dxa"/>
          </w:tblCellMar>
        </w:tblPrEx>
        <w:trPr>
          <w:gridAfter w:val="1"/>
          <w:wAfter w:w="460" w:type="dxa"/>
          <w:trHeight w:val="285" w:hRule="atLeast"/>
        </w:trPr>
        <w:tc>
          <w:tcPr>
            <w:tcW w:w="1154" w:type="dxa"/>
            <w:tcBorders>
              <w:top w:val="nil"/>
              <w:left w:val="single" w:color="auto" w:sz="8" w:space="0"/>
              <w:bottom w:val="single" w:color="auto" w:sz="4" w:space="0"/>
              <w:right w:val="single" w:color="auto" w:sz="4" w:space="0"/>
            </w:tcBorders>
            <w:vAlign w:val="center"/>
          </w:tcPr>
          <w:p w14:paraId="08ED1724">
            <w:pPr>
              <w:rPr>
                <w:color w:val="000000"/>
              </w:rPr>
            </w:pPr>
            <w:r>
              <w:rPr>
                <w:rFonts w:hint="eastAsia"/>
                <w:color w:val="000000"/>
              </w:rPr>
              <w:t>行为名称</w:t>
            </w:r>
          </w:p>
        </w:tc>
        <w:tc>
          <w:tcPr>
            <w:tcW w:w="12862" w:type="dxa"/>
            <w:gridSpan w:val="3"/>
            <w:tcBorders>
              <w:top w:val="single" w:color="auto" w:sz="4" w:space="0"/>
              <w:left w:val="nil"/>
              <w:bottom w:val="single" w:color="auto" w:sz="4" w:space="0"/>
              <w:right w:val="single" w:color="auto" w:sz="8" w:space="0"/>
            </w:tcBorders>
            <w:vAlign w:val="center"/>
          </w:tcPr>
          <w:p w14:paraId="7FC49DDB">
            <w:pPr>
              <w:rPr>
                <w:color w:val="000000"/>
              </w:rPr>
            </w:pPr>
            <w:r>
              <w:rPr>
                <w:rFonts w:hint="eastAsia"/>
                <w:color w:val="000000"/>
              </w:rPr>
              <w:t>对建筑施工企业未取得安全生产许可证擅自从事建筑施工活动的处罚</w:t>
            </w:r>
          </w:p>
        </w:tc>
      </w:tr>
      <w:tr w14:paraId="6DBAC570">
        <w:tblPrEx>
          <w:tblCellMar>
            <w:top w:w="0" w:type="dxa"/>
            <w:left w:w="108" w:type="dxa"/>
            <w:bottom w:w="0" w:type="dxa"/>
            <w:right w:w="108" w:type="dxa"/>
          </w:tblCellMar>
        </w:tblPrEx>
        <w:trPr>
          <w:trHeight w:val="419" w:hRule="atLeast"/>
        </w:trPr>
        <w:tc>
          <w:tcPr>
            <w:tcW w:w="1154" w:type="dxa"/>
            <w:tcBorders>
              <w:top w:val="nil"/>
              <w:left w:val="single" w:color="auto" w:sz="8" w:space="0"/>
              <w:bottom w:val="single" w:color="auto" w:sz="4" w:space="0"/>
              <w:right w:val="single" w:color="auto" w:sz="4" w:space="0"/>
            </w:tcBorders>
            <w:vAlign w:val="center"/>
          </w:tcPr>
          <w:p w14:paraId="5A06CE75">
            <w:pPr>
              <w:rPr>
                <w:color w:val="000000"/>
              </w:rPr>
            </w:pPr>
            <w:r>
              <w:rPr>
                <w:rFonts w:hint="eastAsia"/>
                <w:color w:val="000000"/>
              </w:rPr>
              <w:t>法律依据</w:t>
            </w:r>
          </w:p>
        </w:tc>
        <w:tc>
          <w:tcPr>
            <w:tcW w:w="12862" w:type="dxa"/>
            <w:gridSpan w:val="3"/>
            <w:tcBorders>
              <w:top w:val="single" w:color="auto" w:sz="4" w:space="0"/>
              <w:left w:val="nil"/>
              <w:bottom w:val="single" w:color="auto" w:sz="4" w:space="0"/>
              <w:right w:val="single" w:color="auto" w:sz="8" w:space="0"/>
            </w:tcBorders>
          </w:tcPr>
          <w:p w14:paraId="5B5E0863">
            <w:pPr>
              <w:spacing w:line="320" w:lineRule="exact"/>
              <w:jc w:val="left"/>
              <w:rPr>
                <w:color w:val="000000"/>
              </w:rPr>
            </w:pPr>
            <w:r>
              <w:rPr>
                <w:rFonts w:hint="eastAsia"/>
                <w:color w:val="000000"/>
                <w:kern w:val="0"/>
                <w:sz w:val="18"/>
                <w:szCs w:val="18"/>
              </w:rPr>
              <w:t>【行政法规】《安全生产许可证条例》</w:t>
            </w:r>
            <w:r>
              <w:rPr>
                <w:color w:val="000000"/>
                <w:kern w:val="0"/>
                <w:sz w:val="18"/>
                <w:szCs w:val="18"/>
              </w:rPr>
              <w:t>（</w:t>
            </w:r>
            <w:r>
              <w:rPr>
                <w:rFonts w:hint="eastAsia"/>
                <w:color w:val="000000"/>
                <w:kern w:val="0"/>
                <w:sz w:val="18"/>
                <w:szCs w:val="18"/>
              </w:rPr>
              <w:t>国务院令第</w:t>
            </w:r>
            <w:r>
              <w:rPr>
                <w:color w:val="000000"/>
                <w:kern w:val="0"/>
                <w:sz w:val="18"/>
                <w:szCs w:val="18"/>
              </w:rPr>
              <w:t>397</w:t>
            </w:r>
            <w:r>
              <w:rPr>
                <w:rFonts w:hint="eastAsia"/>
                <w:color w:val="000000"/>
                <w:kern w:val="0"/>
                <w:sz w:val="18"/>
                <w:szCs w:val="18"/>
              </w:rPr>
              <w:t>号</w:t>
            </w:r>
            <w:r>
              <w:rPr>
                <w:color w:val="000000"/>
                <w:kern w:val="0"/>
                <w:sz w:val="18"/>
                <w:szCs w:val="18"/>
              </w:rPr>
              <w:t>）</w:t>
            </w:r>
            <w:r>
              <w:rPr>
                <w:color w:val="000000"/>
                <w:kern w:val="0"/>
                <w:sz w:val="18"/>
                <w:szCs w:val="18"/>
              </w:rPr>
              <w:br w:type="textWrapping"/>
            </w:r>
            <w:r>
              <w:rPr>
                <w:rFonts w:hint="eastAsia"/>
                <w:color w:val="000000"/>
                <w:kern w:val="0"/>
                <w:sz w:val="18"/>
                <w:szCs w:val="18"/>
              </w:rPr>
              <w:t>第七条　企业进行生产前，应当依照本条例的规定向安全生产许可证颁发管理机关申请领取安全生产许可证，并提供本条例第六条规定的相关文件、资料。安全生产许可证颁发管理机关应当自收到申请之日起</w:t>
            </w:r>
            <w:r>
              <w:rPr>
                <w:color w:val="000000"/>
                <w:kern w:val="0"/>
                <w:sz w:val="18"/>
                <w:szCs w:val="18"/>
              </w:rPr>
              <w:t>45</w:t>
            </w:r>
            <w:r>
              <w:rPr>
                <w:rFonts w:hint="eastAsia"/>
                <w:color w:val="000000"/>
                <w:kern w:val="0"/>
                <w:sz w:val="18"/>
                <w:szCs w:val="18"/>
              </w:rPr>
              <w:t>日内审查完毕，经审查符合本条例规定的安全生产条件的，颁发安全生产许可证；不符合本条例规定的安全生产条件的，不予颁发安全生产许可证，书面通知企业并说明理由。</w:t>
            </w:r>
            <w:r>
              <w:rPr>
                <w:color w:val="000000"/>
                <w:kern w:val="0"/>
                <w:sz w:val="18"/>
                <w:szCs w:val="18"/>
              </w:rPr>
              <w:br w:type="textWrapping"/>
            </w:r>
            <w:r>
              <w:rPr>
                <w:rFonts w:hint="eastAsia"/>
                <w:color w:val="000000"/>
                <w:kern w:val="0"/>
                <w:sz w:val="18"/>
                <w:szCs w:val="18"/>
              </w:rPr>
              <w:t>第十九条　违反本条例规定，未取得安全生产许可证擅自进行生产的，责令停止生产，没收违法所得，并处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万元以下的罚款；造成重大事故或者其他严重后果，构成犯罪的，依法追究刑事责任。</w:t>
            </w:r>
            <w:r>
              <w:rPr>
                <w:color w:val="000000"/>
                <w:kern w:val="0"/>
                <w:sz w:val="18"/>
                <w:szCs w:val="18"/>
              </w:rPr>
              <w:br w:type="textWrapping"/>
            </w:r>
            <w:r>
              <w:rPr>
                <w:rFonts w:hint="eastAsia"/>
                <w:color w:val="000000"/>
                <w:kern w:val="0"/>
                <w:sz w:val="18"/>
                <w:szCs w:val="18"/>
              </w:rPr>
              <w:t>【规章】《建筑施工企业安全生产许可证管理规定》（建设部令第</w:t>
            </w:r>
            <w:r>
              <w:rPr>
                <w:color w:val="000000"/>
                <w:kern w:val="0"/>
                <w:sz w:val="18"/>
                <w:szCs w:val="18"/>
              </w:rPr>
              <w:t>128</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第二十四条　违反本规定，建筑施工企业未取得安全生产许可证擅自从事建筑施工活动的，责令其在建项目停止施工，没收违法所得，并处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万元以下的罚款；造成重大安全事故或者其他严重后果，构成犯罪的，依法追究刑事责任。</w:t>
            </w:r>
            <w:r>
              <w:rPr>
                <w:color w:val="000000"/>
                <w:kern w:val="0"/>
                <w:sz w:val="18"/>
                <w:szCs w:val="18"/>
              </w:rPr>
              <w:br w:type="textWrapping"/>
            </w:r>
            <w:r>
              <w:rPr>
                <w:rFonts w:hint="eastAsia"/>
                <w:color w:val="000000"/>
                <w:kern w:val="0"/>
                <w:sz w:val="18"/>
                <w:szCs w:val="18"/>
              </w:rPr>
              <w:t>第二十八条　本规定的暂扣、吊销安全生产许可证的行政处罚，由安全生产许可证的颁发管理机关决定；其他行政处罚，由县级以上地方人民政府建设主管部门决定。</w:t>
            </w:r>
          </w:p>
        </w:tc>
        <w:tc>
          <w:tcPr>
            <w:tcW w:w="460" w:type="dxa"/>
          </w:tcPr>
          <w:p w14:paraId="014C6282">
            <w:pPr>
              <w:rPr>
                <w:color w:val="000000"/>
              </w:rPr>
            </w:pPr>
            <w:r>
              <w:rPr>
                <w:rFonts w:hint="eastAsia"/>
                <w:color w:val="000000"/>
              </w:rPr>
              <w:t>　</w:t>
            </w:r>
          </w:p>
        </w:tc>
      </w:tr>
      <w:tr w14:paraId="5A7DD807">
        <w:tblPrEx>
          <w:tblCellMar>
            <w:top w:w="0" w:type="dxa"/>
            <w:left w:w="108" w:type="dxa"/>
            <w:bottom w:w="0" w:type="dxa"/>
            <w:right w:w="108" w:type="dxa"/>
          </w:tblCellMar>
        </w:tblPrEx>
        <w:trPr>
          <w:gridAfter w:val="1"/>
          <w:wAfter w:w="460" w:type="dxa"/>
          <w:trHeight w:val="285" w:hRule="atLeast"/>
        </w:trPr>
        <w:tc>
          <w:tcPr>
            <w:tcW w:w="1154" w:type="dxa"/>
            <w:tcBorders>
              <w:top w:val="nil"/>
              <w:left w:val="single" w:color="auto" w:sz="8" w:space="0"/>
              <w:bottom w:val="single" w:color="auto" w:sz="4" w:space="0"/>
              <w:right w:val="single" w:color="auto" w:sz="4" w:space="0"/>
            </w:tcBorders>
            <w:vAlign w:val="center"/>
          </w:tcPr>
          <w:p w14:paraId="59A6084E">
            <w:pPr>
              <w:rPr>
                <w:color w:val="000000"/>
              </w:rPr>
            </w:pPr>
            <w:r>
              <w:rPr>
                <w:rFonts w:hint="eastAsia"/>
                <w:color w:val="000000"/>
              </w:rPr>
              <w:t>行使内容</w:t>
            </w:r>
          </w:p>
        </w:tc>
        <w:tc>
          <w:tcPr>
            <w:tcW w:w="12862" w:type="dxa"/>
            <w:gridSpan w:val="3"/>
            <w:tcBorders>
              <w:top w:val="single" w:color="auto" w:sz="4" w:space="0"/>
              <w:left w:val="nil"/>
              <w:bottom w:val="single" w:color="auto" w:sz="4" w:space="0"/>
              <w:right w:val="single" w:color="auto" w:sz="8" w:space="0"/>
            </w:tcBorders>
            <w:vAlign w:val="center"/>
          </w:tcPr>
          <w:p w14:paraId="03CEED7A">
            <w:pPr>
              <w:rPr>
                <w:color w:val="000000"/>
              </w:rPr>
            </w:pPr>
            <w:r>
              <w:rPr>
                <w:rFonts w:hint="eastAsia"/>
                <w:color w:val="000000"/>
              </w:rPr>
              <w:t>没收违法所得，罚款</w:t>
            </w:r>
          </w:p>
        </w:tc>
      </w:tr>
      <w:tr w14:paraId="35C07420">
        <w:tblPrEx>
          <w:tblCellMar>
            <w:top w:w="0" w:type="dxa"/>
            <w:left w:w="108" w:type="dxa"/>
            <w:bottom w:w="0" w:type="dxa"/>
            <w:right w:w="108" w:type="dxa"/>
          </w:tblCellMar>
        </w:tblPrEx>
        <w:trPr>
          <w:gridAfter w:val="1"/>
          <w:wAfter w:w="460" w:type="dxa"/>
          <w:trHeight w:val="285" w:hRule="atLeast"/>
        </w:trPr>
        <w:tc>
          <w:tcPr>
            <w:tcW w:w="14016" w:type="dxa"/>
            <w:gridSpan w:val="4"/>
            <w:tcBorders>
              <w:top w:val="single" w:color="auto" w:sz="4" w:space="0"/>
              <w:left w:val="single" w:color="auto" w:sz="8" w:space="0"/>
              <w:bottom w:val="single" w:color="auto" w:sz="4" w:space="0"/>
              <w:right w:val="single" w:color="auto" w:sz="8" w:space="0"/>
            </w:tcBorders>
            <w:vAlign w:val="center"/>
          </w:tcPr>
          <w:p w14:paraId="0EA6ACD8">
            <w:pPr>
              <w:jc w:val="center"/>
              <w:rPr>
                <w:color w:val="000000"/>
              </w:rPr>
            </w:pPr>
            <w:r>
              <w:rPr>
                <w:rFonts w:hint="eastAsia"/>
                <w:color w:val="000000"/>
              </w:rPr>
              <w:t>裁量基准</w:t>
            </w:r>
          </w:p>
        </w:tc>
      </w:tr>
      <w:tr w14:paraId="5C8395F3">
        <w:tblPrEx>
          <w:tblCellMar>
            <w:top w:w="0" w:type="dxa"/>
            <w:left w:w="108" w:type="dxa"/>
            <w:bottom w:w="0" w:type="dxa"/>
            <w:right w:w="108" w:type="dxa"/>
          </w:tblCellMar>
        </w:tblPrEx>
        <w:trPr>
          <w:gridAfter w:val="1"/>
          <w:wAfter w:w="460" w:type="dxa"/>
          <w:trHeight w:val="285" w:hRule="atLeast"/>
        </w:trPr>
        <w:tc>
          <w:tcPr>
            <w:tcW w:w="1154" w:type="dxa"/>
            <w:vMerge w:val="restart"/>
            <w:tcBorders>
              <w:top w:val="nil"/>
              <w:left w:val="single" w:color="auto" w:sz="8" w:space="0"/>
              <w:bottom w:val="single" w:color="auto" w:sz="4" w:space="0"/>
              <w:right w:val="single" w:color="auto" w:sz="4" w:space="0"/>
            </w:tcBorders>
            <w:vAlign w:val="center"/>
          </w:tcPr>
          <w:p w14:paraId="17A676DF">
            <w:pPr>
              <w:rPr>
                <w:color w:val="000000"/>
              </w:rPr>
            </w:pPr>
            <w:r>
              <w:rPr>
                <w:rFonts w:hint="eastAsia"/>
                <w:color w:val="000000"/>
              </w:rPr>
              <w:t>情形描述</w:t>
            </w:r>
          </w:p>
        </w:tc>
        <w:tc>
          <w:tcPr>
            <w:tcW w:w="6026" w:type="dxa"/>
            <w:tcBorders>
              <w:top w:val="single" w:color="auto" w:sz="4" w:space="0"/>
              <w:left w:val="nil"/>
              <w:bottom w:val="single" w:color="auto" w:sz="4" w:space="0"/>
              <w:right w:val="single" w:color="000000" w:sz="4" w:space="0"/>
            </w:tcBorders>
            <w:vAlign w:val="center"/>
          </w:tcPr>
          <w:p w14:paraId="5C576B08">
            <w:pPr>
              <w:rPr>
                <w:color w:val="000000"/>
              </w:rPr>
            </w:pPr>
            <w:r>
              <w:rPr>
                <w:rFonts w:hint="eastAsia"/>
                <w:color w:val="000000"/>
              </w:rPr>
              <w:t>未造成生产安全事故的</w:t>
            </w:r>
          </w:p>
        </w:tc>
        <w:tc>
          <w:tcPr>
            <w:tcW w:w="1076" w:type="dxa"/>
            <w:vMerge w:val="restart"/>
            <w:tcBorders>
              <w:top w:val="nil"/>
              <w:left w:val="single" w:color="auto" w:sz="4" w:space="0"/>
              <w:bottom w:val="single" w:color="auto" w:sz="4" w:space="0"/>
              <w:right w:val="single" w:color="auto" w:sz="4" w:space="0"/>
            </w:tcBorders>
            <w:vAlign w:val="center"/>
          </w:tcPr>
          <w:p w14:paraId="13AC75F5">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3CA716B4">
            <w:pPr>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万元以下罚款</w:t>
            </w:r>
          </w:p>
        </w:tc>
      </w:tr>
      <w:tr w14:paraId="2FC62D9C">
        <w:tblPrEx>
          <w:tblCellMar>
            <w:top w:w="0" w:type="dxa"/>
            <w:left w:w="108" w:type="dxa"/>
            <w:bottom w:w="0" w:type="dxa"/>
            <w:right w:w="108" w:type="dxa"/>
          </w:tblCellMar>
        </w:tblPrEx>
        <w:trPr>
          <w:gridAfter w:val="1"/>
          <w:wAfter w:w="460" w:type="dxa"/>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536256C5">
            <w:pPr>
              <w:rPr>
                <w:color w:val="000000"/>
              </w:rPr>
            </w:pPr>
          </w:p>
        </w:tc>
        <w:tc>
          <w:tcPr>
            <w:tcW w:w="6026" w:type="dxa"/>
            <w:tcBorders>
              <w:top w:val="single" w:color="auto" w:sz="4" w:space="0"/>
              <w:left w:val="nil"/>
              <w:bottom w:val="single" w:color="auto" w:sz="4" w:space="0"/>
              <w:right w:val="single" w:color="000000" w:sz="4" w:space="0"/>
            </w:tcBorders>
            <w:vAlign w:val="center"/>
          </w:tcPr>
          <w:p w14:paraId="1FB4E7EF">
            <w:pPr>
              <w:rPr>
                <w:color w:val="000000"/>
              </w:rPr>
            </w:pPr>
            <w:r>
              <w:rPr>
                <w:rFonts w:hint="eastAsia"/>
                <w:color w:val="000000"/>
              </w:rPr>
              <w:t>造成一般生产安全事故的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4679AE30">
            <w:pPr>
              <w:rPr>
                <w:color w:val="000000"/>
              </w:rPr>
            </w:pPr>
          </w:p>
        </w:tc>
        <w:tc>
          <w:tcPr>
            <w:tcW w:w="5760" w:type="dxa"/>
            <w:tcBorders>
              <w:top w:val="nil"/>
              <w:left w:val="nil"/>
              <w:bottom w:val="single" w:color="auto" w:sz="4" w:space="0"/>
              <w:right w:val="single" w:color="auto" w:sz="8" w:space="0"/>
            </w:tcBorders>
            <w:vAlign w:val="center"/>
          </w:tcPr>
          <w:p w14:paraId="2F5DCB5B">
            <w:pPr>
              <w:rPr>
                <w:color w:val="000000"/>
              </w:rPr>
            </w:pPr>
            <w:r>
              <w:rPr>
                <w:rFonts w:hint="eastAsia"/>
                <w:color w:val="000000"/>
              </w:rPr>
              <w:t>处</w:t>
            </w:r>
            <w:r>
              <w:rPr>
                <w:color w:val="000000"/>
              </w:rPr>
              <w:t>20</w:t>
            </w:r>
            <w:r>
              <w:rPr>
                <w:rFonts w:hint="eastAsia"/>
                <w:color w:val="000000"/>
              </w:rPr>
              <w:t>万元以上</w:t>
            </w:r>
            <w:r>
              <w:rPr>
                <w:color w:val="000000"/>
              </w:rPr>
              <w:t>30</w:t>
            </w:r>
            <w:r>
              <w:rPr>
                <w:rFonts w:hint="eastAsia"/>
                <w:color w:val="000000"/>
              </w:rPr>
              <w:t>万元以下罚款</w:t>
            </w:r>
          </w:p>
        </w:tc>
      </w:tr>
      <w:tr w14:paraId="1D7C6098">
        <w:tblPrEx>
          <w:tblCellMar>
            <w:top w:w="0" w:type="dxa"/>
            <w:left w:w="108" w:type="dxa"/>
            <w:bottom w:w="0" w:type="dxa"/>
            <w:right w:w="108" w:type="dxa"/>
          </w:tblCellMar>
        </w:tblPrEx>
        <w:trPr>
          <w:gridAfter w:val="1"/>
          <w:wAfter w:w="460" w:type="dxa"/>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3901817A">
            <w:pPr>
              <w:rPr>
                <w:color w:val="000000"/>
              </w:rPr>
            </w:pPr>
          </w:p>
        </w:tc>
        <w:tc>
          <w:tcPr>
            <w:tcW w:w="6026" w:type="dxa"/>
            <w:tcBorders>
              <w:top w:val="single" w:color="auto" w:sz="4" w:space="0"/>
              <w:left w:val="nil"/>
              <w:bottom w:val="single" w:color="auto" w:sz="4" w:space="0"/>
              <w:right w:val="single" w:color="000000" w:sz="4" w:space="0"/>
            </w:tcBorders>
            <w:vAlign w:val="center"/>
          </w:tcPr>
          <w:p w14:paraId="6506E969">
            <w:pPr>
              <w:rPr>
                <w:color w:val="000000"/>
              </w:rPr>
            </w:pPr>
            <w:r>
              <w:rPr>
                <w:rFonts w:hint="eastAsia"/>
                <w:color w:val="000000"/>
              </w:rPr>
              <w:t>造成较大生产安全事故的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423DF575">
            <w:pPr>
              <w:rPr>
                <w:color w:val="000000"/>
              </w:rPr>
            </w:pPr>
          </w:p>
        </w:tc>
        <w:tc>
          <w:tcPr>
            <w:tcW w:w="5760" w:type="dxa"/>
            <w:tcBorders>
              <w:top w:val="nil"/>
              <w:left w:val="nil"/>
              <w:bottom w:val="single" w:color="auto" w:sz="4" w:space="0"/>
              <w:right w:val="single" w:color="auto" w:sz="8" w:space="0"/>
            </w:tcBorders>
            <w:vAlign w:val="center"/>
          </w:tcPr>
          <w:p w14:paraId="0C858B67">
            <w:pPr>
              <w:rPr>
                <w:color w:val="000000"/>
              </w:rPr>
            </w:pPr>
            <w:r>
              <w:rPr>
                <w:rFonts w:hint="eastAsia"/>
                <w:color w:val="000000"/>
              </w:rPr>
              <w:t>处</w:t>
            </w:r>
            <w:r>
              <w:rPr>
                <w:color w:val="000000"/>
              </w:rPr>
              <w:t>30</w:t>
            </w:r>
            <w:r>
              <w:rPr>
                <w:rFonts w:hint="eastAsia"/>
                <w:color w:val="000000"/>
              </w:rPr>
              <w:t>万元以上</w:t>
            </w:r>
            <w:r>
              <w:rPr>
                <w:color w:val="000000"/>
              </w:rPr>
              <w:t>40</w:t>
            </w:r>
            <w:r>
              <w:rPr>
                <w:rFonts w:hint="eastAsia"/>
                <w:color w:val="000000"/>
              </w:rPr>
              <w:t>万元以下罚款</w:t>
            </w:r>
          </w:p>
        </w:tc>
      </w:tr>
      <w:tr w14:paraId="79669963">
        <w:tblPrEx>
          <w:tblCellMar>
            <w:top w:w="0" w:type="dxa"/>
            <w:left w:w="108" w:type="dxa"/>
            <w:bottom w:w="0" w:type="dxa"/>
            <w:right w:w="108" w:type="dxa"/>
          </w:tblCellMar>
        </w:tblPrEx>
        <w:trPr>
          <w:gridAfter w:val="1"/>
          <w:wAfter w:w="460" w:type="dxa"/>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05A0661F">
            <w:pPr>
              <w:rPr>
                <w:color w:val="000000"/>
              </w:rPr>
            </w:pPr>
          </w:p>
        </w:tc>
        <w:tc>
          <w:tcPr>
            <w:tcW w:w="6026" w:type="dxa"/>
            <w:tcBorders>
              <w:top w:val="single" w:color="auto" w:sz="4" w:space="0"/>
              <w:left w:val="nil"/>
              <w:bottom w:val="single" w:color="auto" w:sz="4" w:space="0"/>
              <w:right w:val="single" w:color="000000" w:sz="4" w:space="0"/>
            </w:tcBorders>
            <w:vAlign w:val="center"/>
          </w:tcPr>
          <w:p w14:paraId="47ECDB3C">
            <w:pPr>
              <w:rPr>
                <w:color w:val="000000"/>
              </w:rPr>
            </w:pPr>
            <w:r>
              <w:rPr>
                <w:rFonts w:hint="eastAsia"/>
                <w:color w:val="000000"/>
              </w:rPr>
              <w:t>造成重大及以上生产安全事故的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1E4015A5">
            <w:pPr>
              <w:rPr>
                <w:color w:val="000000"/>
              </w:rPr>
            </w:pPr>
          </w:p>
        </w:tc>
        <w:tc>
          <w:tcPr>
            <w:tcW w:w="5760" w:type="dxa"/>
            <w:tcBorders>
              <w:top w:val="nil"/>
              <w:left w:val="nil"/>
              <w:bottom w:val="single" w:color="auto" w:sz="4" w:space="0"/>
              <w:right w:val="single" w:color="auto" w:sz="8" w:space="0"/>
            </w:tcBorders>
            <w:vAlign w:val="center"/>
          </w:tcPr>
          <w:p w14:paraId="5FCA771E">
            <w:pPr>
              <w:rPr>
                <w:color w:val="000000"/>
              </w:rPr>
            </w:pPr>
            <w:r>
              <w:rPr>
                <w:rFonts w:hint="eastAsia"/>
                <w:color w:val="000000"/>
              </w:rPr>
              <w:t>处</w:t>
            </w:r>
            <w:r>
              <w:rPr>
                <w:color w:val="000000"/>
              </w:rPr>
              <w:t>40</w:t>
            </w:r>
            <w:r>
              <w:rPr>
                <w:rFonts w:hint="eastAsia"/>
                <w:color w:val="000000"/>
              </w:rPr>
              <w:t>万元以上</w:t>
            </w:r>
            <w:r>
              <w:rPr>
                <w:color w:val="000000"/>
              </w:rPr>
              <w:t>50</w:t>
            </w:r>
            <w:r>
              <w:rPr>
                <w:rFonts w:hint="eastAsia"/>
                <w:color w:val="000000"/>
              </w:rPr>
              <w:t>万元以下罚款</w:t>
            </w:r>
          </w:p>
        </w:tc>
      </w:tr>
    </w:tbl>
    <w:p w14:paraId="6EEF9DE4"/>
    <w:p w14:paraId="6A4E7EBD"/>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84"/>
        <w:gridCol w:w="12"/>
      </w:tblGrid>
      <w:tr w14:paraId="7310264B">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6A7352E6">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color="auto" w:sz="8" w:space="0"/>
              <w:left w:val="nil"/>
              <w:bottom w:val="single" w:color="auto" w:sz="4" w:space="0"/>
              <w:right w:val="single" w:color="000000" w:sz="8" w:space="0"/>
            </w:tcBorders>
            <w:vAlign w:val="center"/>
          </w:tcPr>
          <w:p w14:paraId="38E6052C">
            <w:pPr>
              <w:spacing w:line="320" w:lineRule="exact"/>
              <w:jc w:val="left"/>
              <w:rPr>
                <w:rFonts w:eastAsia="仿宋_GB2312"/>
                <w:b/>
                <w:bCs/>
                <w:color w:val="000000"/>
                <w:kern w:val="0"/>
                <w:sz w:val="18"/>
                <w:szCs w:val="18"/>
              </w:rPr>
            </w:pPr>
            <w:r>
              <w:rPr>
                <w:rFonts w:eastAsia="仿宋_GB2312"/>
                <w:b/>
                <w:bCs/>
                <w:color w:val="000000"/>
                <w:kern w:val="0"/>
                <w:sz w:val="18"/>
                <w:szCs w:val="18"/>
              </w:rPr>
              <w:t>320217569000</w:t>
            </w:r>
          </w:p>
        </w:tc>
      </w:tr>
      <w:tr w14:paraId="2277F2E4">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6F681311">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color="auto" w:sz="4" w:space="0"/>
              <w:left w:val="nil"/>
              <w:bottom w:val="single" w:color="auto" w:sz="4" w:space="0"/>
              <w:right w:val="single" w:color="000000" w:sz="8" w:space="0"/>
            </w:tcBorders>
            <w:vAlign w:val="center"/>
          </w:tcPr>
          <w:p w14:paraId="348D37FD">
            <w:pPr>
              <w:spacing w:line="320" w:lineRule="exact"/>
              <w:jc w:val="left"/>
              <w:rPr>
                <w:color w:val="000000"/>
                <w:kern w:val="0"/>
                <w:sz w:val="18"/>
                <w:szCs w:val="18"/>
              </w:rPr>
            </w:pPr>
            <w:r>
              <w:rPr>
                <w:rFonts w:hint="eastAsia"/>
                <w:color w:val="000000"/>
                <w:kern w:val="0"/>
                <w:sz w:val="18"/>
                <w:szCs w:val="18"/>
              </w:rPr>
              <w:t>对在燃气设施保护范围内放置易燃易爆物品或者种植深根植物的处罚</w:t>
            </w:r>
          </w:p>
        </w:tc>
      </w:tr>
      <w:tr w14:paraId="1CBCA3A0">
        <w:tblPrEx>
          <w:tblCellMar>
            <w:top w:w="0" w:type="dxa"/>
            <w:left w:w="108" w:type="dxa"/>
            <w:bottom w:w="0" w:type="dxa"/>
            <w:right w:w="108" w:type="dxa"/>
          </w:tblCellMar>
        </w:tblPrEx>
        <w:trPr>
          <w:trHeight w:val="1605" w:hRule="atLeast"/>
        </w:trPr>
        <w:tc>
          <w:tcPr>
            <w:tcW w:w="996" w:type="dxa"/>
            <w:gridSpan w:val="2"/>
            <w:tcBorders>
              <w:top w:val="nil"/>
              <w:left w:val="single" w:color="auto" w:sz="8" w:space="0"/>
              <w:bottom w:val="single" w:color="auto" w:sz="4" w:space="0"/>
              <w:right w:val="single" w:color="auto" w:sz="4" w:space="0"/>
            </w:tcBorders>
            <w:vAlign w:val="center"/>
          </w:tcPr>
          <w:p w14:paraId="50095B8B">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color="auto" w:sz="4" w:space="0"/>
              <w:left w:val="nil"/>
              <w:bottom w:val="single" w:color="auto" w:sz="4" w:space="0"/>
              <w:right w:val="single" w:color="000000" w:sz="8" w:space="0"/>
            </w:tcBorders>
            <w:vAlign w:val="center"/>
          </w:tcPr>
          <w:p w14:paraId="73501AD0">
            <w:pPr>
              <w:spacing w:line="320" w:lineRule="exact"/>
              <w:jc w:val="left"/>
              <w:rPr>
                <w:color w:val="000000"/>
                <w:kern w:val="0"/>
                <w:sz w:val="18"/>
                <w:szCs w:val="18"/>
              </w:rPr>
            </w:pPr>
            <w:r>
              <w:rPr>
                <w:rFonts w:hint="eastAsia"/>
                <w:color w:val="000000"/>
                <w:kern w:val="0"/>
                <w:sz w:val="18"/>
                <w:szCs w:val="18"/>
              </w:rPr>
              <w:t>【行政法规】《城镇燃气管理条例》（国务院令第583号）</w:t>
            </w:r>
          </w:p>
          <w:p w14:paraId="4E8CE76F">
            <w:pPr>
              <w:spacing w:line="320" w:lineRule="exact"/>
              <w:jc w:val="left"/>
              <w:rPr>
                <w:color w:val="000000"/>
                <w:kern w:val="0"/>
                <w:sz w:val="18"/>
                <w:szCs w:val="18"/>
              </w:rPr>
            </w:pPr>
            <w:r>
              <w:rPr>
                <w:rFonts w:hint="eastAsia"/>
                <w:color w:val="000000"/>
                <w:kern w:val="0"/>
                <w:sz w:val="18"/>
                <w:szCs w:val="18"/>
              </w:rPr>
              <w:t xml:space="preserve">        第三十三条第二款  在燃气设施保护范围内，禁止从事下列危及燃气设施安全的活动： </w:t>
            </w:r>
          </w:p>
          <w:p w14:paraId="7A02258C">
            <w:pPr>
              <w:spacing w:line="320" w:lineRule="exact"/>
              <w:jc w:val="left"/>
              <w:rPr>
                <w:color w:val="000000"/>
                <w:kern w:val="0"/>
                <w:sz w:val="18"/>
                <w:szCs w:val="18"/>
              </w:rPr>
            </w:pPr>
            <w:r>
              <w:rPr>
                <w:rFonts w:hint="eastAsia"/>
                <w:color w:val="000000"/>
                <w:kern w:val="0"/>
                <w:sz w:val="18"/>
                <w:szCs w:val="18"/>
              </w:rPr>
              <w:t xml:space="preserve">       （四）放置易燃易爆危险物品或者种植深根植物。</w:t>
            </w:r>
          </w:p>
          <w:p w14:paraId="23E25669">
            <w:pPr>
              <w:spacing w:line="320" w:lineRule="exact"/>
              <w:jc w:val="left"/>
              <w:rPr>
                <w:color w:val="000000"/>
                <w:kern w:val="0"/>
                <w:sz w:val="18"/>
                <w:szCs w:val="18"/>
              </w:rPr>
            </w:pPr>
            <w:r>
              <w:rPr>
                <w:rFonts w:hint="eastAsia"/>
                <w:color w:val="000000"/>
                <w:kern w:val="0"/>
                <w:sz w:val="18"/>
                <w:szCs w:val="18"/>
              </w:rPr>
              <w:t xml:space="preserve">        第五十条第一款  违反本条例规定，在燃气设施保护范围内从事下列活动之一的，由燃气管理部门责令停止违法行为，限期恢复原状或者采取其他补救措施，对单位处5万元以上10万元以下罚款，对个人处5000元以上5万元以下罚款；造成损失的，依法承担赔偿责任；构成犯罪的，依法追究刑事责任： </w:t>
            </w:r>
          </w:p>
          <w:p w14:paraId="209BCB7D">
            <w:pPr>
              <w:spacing w:line="320" w:lineRule="exact"/>
              <w:jc w:val="left"/>
              <w:rPr>
                <w:color w:val="000000"/>
                <w:kern w:val="0"/>
                <w:sz w:val="18"/>
                <w:szCs w:val="18"/>
              </w:rPr>
            </w:pPr>
            <w:r>
              <w:rPr>
                <w:rFonts w:hint="eastAsia"/>
                <w:color w:val="000000"/>
                <w:kern w:val="0"/>
                <w:sz w:val="18"/>
                <w:szCs w:val="18"/>
              </w:rPr>
              <w:t xml:space="preserve">       （三）放置易燃易爆物品或者种植深根植物的。</w:t>
            </w:r>
          </w:p>
          <w:p w14:paraId="00B92F5D">
            <w:pPr>
              <w:spacing w:line="320" w:lineRule="exact"/>
              <w:jc w:val="left"/>
              <w:rPr>
                <w:color w:val="000000"/>
                <w:kern w:val="0"/>
                <w:sz w:val="18"/>
                <w:szCs w:val="18"/>
              </w:rPr>
            </w:pPr>
            <w:r>
              <w:rPr>
                <w:rFonts w:hint="eastAsia"/>
                <w:color w:val="000000"/>
                <w:kern w:val="0"/>
                <w:sz w:val="18"/>
                <w:szCs w:val="18"/>
              </w:rPr>
              <w:t>【地方性法规】《江苏省燃气管理条例》</w:t>
            </w:r>
          </w:p>
          <w:p w14:paraId="6F62EC13">
            <w:pPr>
              <w:spacing w:line="320" w:lineRule="exact"/>
              <w:jc w:val="left"/>
              <w:rPr>
                <w:color w:val="000000"/>
                <w:kern w:val="0"/>
                <w:sz w:val="18"/>
                <w:szCs w:val="18"/>
              </w:rPr>
            </w:pPr>
            <w:r>
              <w:rPr>
                <w:rFonts w:hint="eastAsia"/>
                <w:color w:val="000000"/>
                <w:kern w:val="0"/>
                <w:sz w:val="18"/>
                <w:szCs w:val="18"/>
              </w:rPr>
              <w:t xml:space="preserve">       第四十五条第二款 　在燃气设施的安全保护范围内，禁止从事下列危及燃气安全的活动：</w:t>
            </w:r>
          </w:p>
          <w:p w14:paraId="607F07F0">
            <w:pPr>
              <w:spacing w:line="320" w:lineRule="exact"/>
              <w:jc w:val="left"/>
              <w:rPr>
                <w:color w:val="000000"/>
                <w:kern w:val="0"/>
                <w:sz w:val="18"/>
                <w:szCs w:val="18"/>
              </w:rPr>
            </w:pPr>
            <w:r>
              <w:rPr>
                <w:rFonts w:hint="eastAsia"/>
                <w:color w:val="000000"/>
                <w:kern w:val="0"/>
                <w:sz w:val="18"/>
                <w:szCs w:val="18"/>
              </w:rPr>
              <w:t xml:space="preserve">  　（二）堆放易燃易爆物品或者倾倒、排放腐蚀性物质；</w:t>
            </w:r>
          </w:p>
          <w:p w14:paraId="624A392F">
            <w:pPr>
              <w:spacing w:line="320" w:lineRule="exact"/>
              <w:jc w:val="left"/>
              <w:rPr>
                <w:color w:val="000000"/>
                <w:kern w:val="0"/>
                <w:sz w:val="18"/>
                <w:szCs w:val="18"/>
              </w:rPr>
            </w:pPr>
            <w:r>
              <w:rPr>
                <w:rFonts w:hint="eastAsia"/>
                <w:color w:val="000000"/>
                <w:kern w:val="0"/>
                <w:sz w:val="18"/>
                <w:szCs w:val="18"/>
              </w:rPr>
              <w:t xml:space="preserve">  　（三）种植深根植物； </w:t>
            </w:r>
          </w:p>
          <w:p w14:paraId="0CA6D083">
            <w:pPr>
              <w:spacing w:line="320" w:lineRule="exact"/>
              <w:jc w:val="left"/>
              <w:rPr>
                <w:color w:val="000000"/>
                <w:kern w:val="0"/>
                <w:sz w:val="18"/>
                <w:szCs w:val="18"/>
              </w:rPr>
            </w:pPr>
            <w:r>
              <w:rPr>
                <w:rFonts w:hint="eastAsia"/>
                <w:color w:val="000000"/>
                <w:kern w:val="0"/>
                <w:sz w:val="18"/>
                <w:szCs w:val="18"/>
              </w:rPr>
              <w:t xml:space="preserve">        第六十四条第二款  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14:paraId="0E4F2F9C">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2609F03D">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color="auto" w:sz="4" w:space="0"/>
              <w:left w:val="nil"/>
              <w:bottom w:val="single" w:color="auto" w:sz="4" w:space="0"/>
              <w:right w:val="single" w:color="000000" w:sz="8" w:space="0"/>
            </w:tcBorders>
            <w:vAlign w:val="center"/>
          </w:tcPr>
          <w:p w14:paraId="281F6884">
            <w:pPr>
              <w:spacing w:line="320" w:lineRule="exact"/>
              <w:jc w:val="left"/>
              <w:rPr>
                <w:color w:val="000000"/>
                <w:kern w:val="0"/>
                <w:sz w:val="18"/>
                <w:szCs w:val="18"/>
              </w:rPr>
            </w:pPr>
            <w:r>
              <w:rPr>
                <w:rFonts w:hint="eastAsia"/>
                <w:color w:val="000000"/>
                <w:kern w:val="0"/>
                <w:sz w:val="18"/>
                <w:szCs w:val="18"/>
              </w:rPr>
              <w:t>罚款</w:t>
            </w:r>
          </w:p>
        </w:tc>
      </w:tr>
      <w:tr w14:paraId="4358F23B">
        <w:tblPrEx>
          <w:tblCellMar>
            <w:top w:w="0" w:type="dxa"/>
            <w:left w:w="108" w:type="dxa"/>
            <w:bottom w:w="0" w:type="dxa"/>
            <w:right w:w="108" w:type="dxa"/>
          </w:tblCellMar>
        </w:tblPrEx>
        <w:trPr>
          <w:trHeight w:val="285" w:hRule="atLeast"/>
        </w:trPr>
        <w:tc>
          <w:tcPr>
            <w:tcW w:w="14016" w:type="dxa"/>
            <w:gridSpan w:val="6"/>
            <w:tcBorders>
              <w:top w:val="single" w:color="auto" w:sz="4" w:space="0"/>
              <w:left w:val="single" w:color="auto" w:sz="8" w:space="0"/>
              <w:bottom w:val="single" w:color="auto" w:sz="4" w:space="0"/>
              <w:right w:val="single" w:color="000000" w:sz="8" w:space="0"/>
            </w:tcBorders>
            <w:vAlign w:val="center"/>
          </w:tcPr>
          <w:p w14:paraId="06BACE0E">
            <w:pPr>
              <w:spacing w:line="320" w:lineRule="exact"/>
              <w:jc w:val="center"/>
              <w:rPr>
                <w:color w:val="000000"/>
                <w:kern w:val="0"/>
                <w:sz w:val="18"/>
                <w:szCs w:val="18"/>
              </w:rPr>
            </w:pPr>
            <w:r>
              <w:rPr>
                <w:rFonts w:hint="eastAsia"/>
                <w:color w:val="000000"/>
                <w:kern w:val="0"/>
                <w:sz w:val="18"/>
                <w:szCs w:val="18"/>
              </w:rPr>
              <w:t>裁量基准</w:t>
            </w:r>
          </w:p>
        </w:tc>
      </w:tr>
      <w:tr w14:paraId="138F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5" w:hRule="atLeast"/>
        </w:trPr>
        <w:tc>
          <w:tcPr>
            <w:tcW w:w="980" w:type="dxa"/>
            <w:vMerge w:val="restart"/>
            <w:vAlign w:val="center"/>
          </w:tcPr>
          <w:p w14:paraId="1DE398E4">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1290E569">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14:paraId="523DF46A">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14:paraId="2578437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14:paraId="506748A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14:paraId="27C5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53EC3ADD">
            <w:pPr>
              <w:spacing w:line="320" w:lineRule="exact"/>
              <w:jc w:val="center"/>
              <w:rPr>
                <w:color w:val="000000"/>
                <w:kern w:val="0"/>
                <w:sz w:val="18"/>
                <w:szCs w:val="18"/>
              </w:rPr>
            </w:pPr>
          </w:p>
        </w:tc>
        <w:tc>
          <w:tcPr>
            <w:tcW w:w="6140" w:type="dxa"/>
            <w:gridSpan w:val="2"/>
            <w:vAlign w:val="center"/>
          </w:tcPr>
          <w:p w14:paraId="277FCB43">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continue"/>
            <w:vAlign w:val="center"/>
          </w:tcPr>
          <w:p w14:paraId="3FBA173D">
            <w:pPr>
              <w:spacing w:line="320" w:lineRule="exact"/>
              <w:jc w:val="center"/>
              <w:rPr>
                <w:color w:val="000000"/>
                <w:kern w:val="0"/>
                <w:sz w:val="18"/>
                <w:szCs w:val="18"/>
              </w:rPr>
            </w:pPr>
          </w:p>
        </w:tc>
        <w:tc>
          <w:tcPr>
            <w:tcW w:w="5884" w:type="dxa"/>
            <w:vAlign w:val="center"/>
          </w:tcPr>
          <w:p w14:paraId="4D7725EB">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14:paraId="7DA85DB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44815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65F5A4D3">
            <w:pPr>
              <w:spacing w:line="320" w:lineRule="exact"/>
              <w:jc w:val="center"/>
              <w:rPr>
                <w:color w:val="000000"/>
                <w:kern w:val="0"/>
                <w:sz w:val="18"/>
                <w:szCs w:val="18"/>
              </w:rPr>
            </w:pPr>
          </w:p>
        </w:tc>
        <w:tc>
          <w:tcPr>
            <w:tcW w:w="6140" w:type="dxa"/>
            <w:gridSpan w:val="2"/>
            <w:vAlign w:val="center"/>
          </w:tcPr>
          <w:p w14:paraId="2E83D960">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continue"/>
            <w:vAlign w:val="center"/>
          </w:tcPr>
          <w:p w14:paraId="155AE434">
            <w:pPr>
              <w:spacing w:line="320" w:lineRule="exact"/>
              <w:jc w:val="center"/>
              <w:rPr>
                <w:color w:val="000000"/>
                <w:kern w:val="0"/>
                <w:sz w:val="18"/>
                <w:szCs w:val="18"/>
              </w:rPr>
            </w:pPr>
          </w:p>
        </w:tc>
        <w:tc>
          <w:tcPr>
            <w:tcW w:w="5884" w:type="dxa"/>
            <w:vAlign w:val="center"/>
          </w:tcPr>
          <w:p w14:paraId="22174D9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487E27C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1D5CA3AD"/>
    <w:p w14:paraId="317C5EF3"/>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07387861">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79B5F0A9">
            <w:pPr>
              <w:jc w:val="cente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5BCAB8E9">
            <w:pPr>
              <w:rPr>
                <w:b/>
                <w:bCs/>
                <w:color w:val="000000"/>
              </w:rPr>
            </w:pPr>
            <w:r>
              <w:rPr>
                <w:b/>
                <w:color w:val="000000"/>
              </w:rPr>
              <w:t>320217570000</w:t>
            </w:r>
            <w:r>
              <w:rPr>
                <w:rFonts w:hint="eastAsia"/>
                <w:b/>
                <w:color w:val="000000"/>
              </w:rPr>
              <w:t xml:space="preserve"> </w:t>
            </w:r>
          </w:p>
        </w:tc>
      </w:tr>
      <w:tr w14:paraId="5AE680A9">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2939964A">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tcPr>
          <w:p w14:paraId="33853E71">
            <w:pPr>
              <w:rPr>
                <w:color w:val="000000"/>
              </w:rPr>
            </w:pPr>
            <w:r>
              <w:rPr>
                <w:rFonts w:hint="eastAsia"/>
                <w:color w:val="000000"/>
              </w:rPr>
              <w:t>对施工总承包单位未审核安装单位、使用单位的资质证书、安全生产许可证和特种作业人员的特种作业操作资格证书的处罚</w:t>
            </w:r>
          </w:p>
        </w:tc>
      </w:tr>
      <w:tr w14:paraId="3AD7A61F">
        <w:tblPrEx>
          <w:tblCellMar>
            <w:top w:w="0" w:type="dxa"/>
            <w:left w:w="108" w:type="dxa"/>
            <w:bottom w:w="0" w:type="dxa"/>
            <w:right w:w="108" w:type="dxa"/>
          </w:tblCellMar>
        </w:tblPrEx>
        <w:trPr>
          <w:trHeight w:val="1380" w:hRule="atLeast"/>
        </w:trPr>
        <w:tc>
          <w:tcPr>
            <w:tcW w:w="1296" w:type="dxa"/>
            <w:tcBorders>
              <w:top w:val="nil"/>
              <w:left w:val="single" w:color="auto" w:sz="8" w:space="0"/>
              <w:bottom w:val="single" w:color="auto" w:sz="4" w:space="0"/>
              <w:right w:val="single" w:color="auto" w:sz="4" w:space="0"/>
            </w:tcBorders>
            <w:vAlign w:val="center"/>
          </w:tcPr>
          <w:p w14:paraId="007C4CAE">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vAlign w:val="center"/>
          </w:tcPr>
          <w:p w14:paraId="71030126">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第二十一条　施工总承包单位应当履行下列安全职责：</w:t>
            </w:r>
            <w:r>
              <w:rPr>
                <w:color w:val="000000"/>
              </w:rPr>
              <w:br w:type="textWrapping"/>
            </w:r>
            <w:r>
              <w:rPr>
                <w:color w:val="000000"/>
              </w:rPr>
              <w:t xml:space="preserve">   </w:t>
            </w:r>
            <w:r>
              <w:rPr>
                <w:rFonts w:hint="eastAsia"/>
                <w:color w:val="000000"/>
              </w:rPr>
              <w:t>（三）审核安装单位、使用单位的资质证书、安全生产许可证和特种作业人员的特种作业操作资格证书。</w:t>
            </w:r>
            <w:r>
              <w:rPr>
                <w:color w:val="000000"/>
              </w:rPr>
              <w:br w:type="textWrapping"/>
            </w:r>
            <w:r>
              <w:rPr>
                <w:rFonts w:hint="eastAsia"/>
                <w:color w:val="000000"/>
              </w:rPr>
              <w:t>第三十一条　违反本规定，施工总承包单位未履行第二十一条第（一）、（三）、（四）、（五）、（七）项安全职责的，由县级以上地方人民政府建设主管部门责令限期改正，予以警告，并处以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14:paraId="11C23D74">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7D32D776">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2950462F">
            <w:pPr>
              <w:rPr>
                <w:color w:val="000000"/>
              </w:rPr>
            </w:pPr>
            <w:r>
              <w:rPr>
                <w:rFonts w:hint="eastAsia"/>
                <w:color w:val="000000"/>
              </w:rPr>
              <w:t>警告，罚款</w:t>
            </w:r>
          </w:p>
        </w:tc>
      </w:tr>
      <w:tr w14:paraId="1FA318C6">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42579C9">
            <w:pPr>
              <w:jc w:val="center"/>
              <w:rPr>
                <w:color w:val="000000"/>
              </w:rPr>
            </w:pPr>
            <w:r>
              <w:rPr>
                <w:rFonts w:hint="eastAsia"/>
                <w:color w:val="000000"/>
              </w:rPr>
              <w:t>裁量基准</w:t>
            </w:r>
          </w:p>
        </w:tc>
      </w:tr>
      <w:tr w14:paraId="6C0D4736">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7BF6CF20">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5BCB5A79">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65B6086C">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60C3FCD1">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31725D76">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2398230E">
            <w:pPr>
              <w:rPr>
                <w:color w:val="000000"/>
              </w:rPr>
            </w:pPr>
          </w:p>
        </w:tc>
        <w:tc>
          <w:tcPr>
            <w:tcW w:w="5884" w:type="dxa"/>
            <w:tcBorders>
              <w:top w:val="single" w:color="auto" w:sz="4" w:space="0"/>
              <w:left w:val="nil"/>
              <w:bottom w:val="single" w:color="auto" w:sz="4" w:space="0"/>
              <w:right w:val="single" w:color="auto" w:sz="4" w:space="0"/>
            </w:tcBorders>
            <w:vAlign w:val="center"/>
          </w:tcPr>
          <w:p w14:paraId="5FDCD395">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375D2B54">
            <w:pPr>
              <w:rPr>
                <w:color w:val="000000"/>
              </w:rPr>
            </w:pPr>
          </w:p>
        </w:tc>
        <w:tc>
          <w:tcPr>
            <w:tcW w:w="5760" w:type="dxa"/>
            <w:tcBorders>
              <w:top w:val="nil"/>
              <w:left w:val="nil"/>
              <w:bottom w:val="single" w:color="auto" w:sz="4" w:space="0"/>
              <w:right w:val="single" w:color="auto" w:sz="8" w:space="0"/>
            </w:tcBorders>
            <w:vAlign w:val="center"/>
          </w:tcPr>
          <w:p w14:paraId="346A2A13">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3D310656">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0033E6B4">
            <w:pPr>
              <w:rPr>
                <w:color w:val="000000"/>
              </w:rPr>
            </w:pPr>
          </w:p>
        </w:tc>
        <w:tc>
          <w:tcPr>
            <w:tcW w:w="5884" w:type="dxa"/>
            <w:tcBorders>
              <w:top w:val="single" w:color="auto" w:sz="4" w:space="0"/>
              <w:left w:val="nil"/>
              <w:bottom w:val="single" w:color="auto" w:sz="4" w:space="0"/>
              <w:right w:val="single" w:color="auto" w:sz="4" w:space="0"/>
            </w:tcBorders>
            <w:vAlign w:val="center"/>
          </w:tcPr>
          <w:p w14:paraId="4404E077">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76795468">
            <w:pPr>
              <w:rPr>
                <w:color w:val="000000"/>
              </w:rPr>
            </w:pPr>
          </w:p>
        </w:tc>
        <w:tc>
          <w:tcPr>
            <w:tcW w:w="5760" w:type="dxa"/>
            <w:tcBorders>
              <w:top w:val="nil"/>
              <w:left w:val="nil"/>
              <w:bottom w:val="single" w:color="auto" w:sz="4" w:space="0"/>
              <w:right w:val="single" w:color="auto" w:sz="8" w:space="0"/>
            </w:tcBorders>
            <w:vAlign w:val="center"/>
          </w:tcPr>
          <w:p w14:paraId="061E7A67">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1942B3CF">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7F20195B">
            <w:pPr>
              <w:rPr>
                <w:color w:val="000000"/>
              </w:rPr>
            </w:pPr>
          </w:p>
        </w:tc>
        <w:tc>
          <w:tcPr>
            <w:tcW w:w="5884" w:type="dxa"/>
            <w:tcBorders>
              <w:top w:val="single" w:color="auto" w:sz="4" w:space="0"/>
              <w:left w:val="nil"/>
              <w:bottom w:val="single" w:color="auto" w:sz="4" w:space="0"/>
              <w:right w:val="single" w:color="auto" w:sz="4" w:space="0"/>
            </w:tcBorders>
            <w:vAlign w:val="center"/>
          </w:tcPr>
          <w:p w14:paraId="6119CC63">
            <w:pPr>
              <w:rPr>
                <w:color w:val="000000"/>
              </w:rPr>
            </w:pPr>
            <w:r>
              <w:rPr>
                <w:rFonts w:hint="eastAsia"/>
                <w:color w:val="000000"/>
              </w:rPr>
              <w:t>未按要求改正的，造成安全事故的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77233AB2">
            <w:pPr>
              <w:rPr>
                <w:color w:val="000000"/>
              </w:rPr>
            </w:pPr>
          </w:p>
        </w:tc>
        <w:tc>
          <w:tcPr>
            <w:tcW w:w="5760" w:type="dxa"/>
            <w:tcBorders>
              <w:top w:val="nil"/>
              <w:left w:val="nil"/>
              <w:bottom w:val="single" w:color="auto" w:sz="4" w:space="0"/>
              <w:right w:val="single" w:color="auto" w:sz="8" w:space="0"/>
            </w:tcBorders>
            <w:vAlign w:val="center"/>
          </w:tcPr>
          <w:p w14:paraId="3DF92C78">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2A0CC233"/>
    <w:p w14:paraId="6A46474B"/>
    <w:p w14:paraId="7B5C42F3"/>
    <w:p w14:paraId="129AB7A3"/>
    <w:p w14:paraId="13F337C0"/>
    <w:p w14:paraId="115128B7"/>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05C9B723">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348E26DA">
            <w:pPr>
              <w:jc w:val="cente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530ACEF2">
            <w:pPr>
              <w:rPr>
                <w:b/>
                <w:bCs/>
                <w:color w:val="000000"/>
              </w:rPr>
            </w:pPr>
            <w:r>
              <w:rPr>
                <w:b/>
                <w:color w:val="000000"/>
              </w:rPr>
              <w:t>320217571000</w:t>
            </w:r>
            <w:r>
              <w:rPr>
                <w:rFonts w:hint="eastAsia"/>
                <w:b/>
                <w:color w:val="000000"/>
              </w:rPr>
              <w:t xml:space="preserve"> </w:t>
            </w:r>
          </w:p>
        </w:tc>
      </w:tr>
      <w:tr w14:paraId="30E1E9C4">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05388C13">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vAlign w:val="center"/>
          </w:tcPr>
          <w:p w14:paraId="79F4AE3A">
            <w:pPr>
              <w:rPr>
                <w:color w:val="000000"/>
              </w:rPr>
            </w:pPr>
            <w:r>
              <w:rPr>
                <w:rFonts w:hint="eastAsia"/>
                <w:color w:val="000000"/>
              </w:rPr>
              <w:t>对施工总承包单位未审核安装单位制定的建筑起重机械安装、拆卸工程专项施工方案和生产安全事故应急救援预案的处罚</w:t>
            </w:r>
          </w:p>
        </w:tc>
      </w:tr>
      <w:tr w14:paraId="4D254B6A">
        <w:tblPrEx>
          <w:tblCellMar>
            <w:top w:w="0" w:type="dxa"/>
            <w:left w:w="108" w:type="dxa"/>
            <w:bottom w:w="0" w:type="dxa"/>
            <w:right w:w="108" w:type="dxa"/>
          </w:tblCellMar>
        </w:tblPrEx>
        <w:trPr>
          <w:trHeight w:val="1320" w:hRule="atLeast"/>
        </w:trPr>
        <w:tc>
          <w:tcPr>
            <w:tcW w:w="1296" w:type="dxa"/>
            <w:tcBorders>
              <w:top w:val="nil"/>
              <w:left w:val="single" w:color="auto" w:sz="8" w:space="0"/>
              <w:bottom w:val="single" w:color="auto" w:sz="4" w:space="0"/>
              <w:right w:val="single" w:color="auto" w:sz="4" w:space="0"/>
            </w:tcBorders>
            <w:vAlign w:val="center"/>
          </w:tcPr>
          <w:p w14:paraId="65A7BBE0">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vAlign w:val="center"/>
          </w:tcPr>
          <w:p w14:paraId="474D18A2">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第二十一条　施工总承包单位应当履行下列安全职责：</w:t>
            </w:r>
            <w:r>
              <w:rPr>
                <w:color w:val="000000"/>
              </w:rPr>
              <w:br w:type="textWrapping"/>
            </w:r>
            <w:r>
              <w:rPr>
                <w:color w:val="000000"/>
              </w:rPr>
              <w:t xml:space="preserve">   </w:t>
            </w:r>
            <w:r>
              <w:rPr>
                <w:rFonts w:hint="eastAsia"/>
                <w:color w:val="000000"/>
              </w:rPr>
              <w:t>（四）审核安装单位制定的建筑起重机械安装、拆卸工程专项施工方案和生产安全事故应急救援预案。</w:t>
            </w:r>
            <w:r>
              <w:rPr>
                <w:color w:val="000000"/>
              </w:rPr>
              <w:br w:type="textWrapping"/>
            </w:r>
            <w:r>
              <w:rPr>
                <w:rFonts w:hint="eastAsia"/>
                <w:color w:val="000000"/>
              </w:rPr>
              <w:t>第三十一条　违反本规定，施工总承包单位未履行第二十一条第（一）、（三）、（四）、（五）、（七）项安全职责的，由县级以上地方人民政府建设主管部门责令限期改正，予以警告，并处以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14:paraId="238DBA0C">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4DBE11DE">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7E41B923">
            <w:pPr>
              <w:rPr>
                <w:color w:val="000000"/>
              </w:rPr>
            </w:pPr>
            <w:r>
              <w:rPr>
                <w:rFonts w:hint="eastAsia"/>
                <w:color w:val="000000"/>
              </w:rPr>
              <w:t>警告，罚款</w:t>
            </w:r>
          </w:p>
        </w:tc>
      </w:tr>
      <w:tr w14:paraId="5B9336EB">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46106CD">
            <w:pPr>
              <w:jc w:val="center"/>
              <w:rPr>
                <w:color w:val="000000"/>
              </w:rPr>
            </w:pPr>
            <w:r>
              <w:rPr>
                <w:rFonts w:hint="eastAsia"/>
                <w:color w:val="000000"/>
              </w:rPr>
              <w:t>裁量基准</w:t>
            </w:r>
          </w:p>
        </w:tc>
      </w:tr>
      <w:tr w14:paraId="795E0E30">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27383F05">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7DDF081B">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1A2E32A9">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082FDE67">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38054E60">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62782AD2">
            <w:pPr>
              <w:rPr>
                <w:color w:val="000000"/>
              </w:rPr>
            </w:pPr>
          </w:p>
        </w:tc>
        <w:tc>
          <w:tcPr>
            <w:tcW w:w="5884" w:type="dxa"/>
            <w:tcBorders>
              <w:top w:val="single" w:color="auto" w:sz="4" w:space="0"/>
              <w:left w:val="nil"/>
              <w:bottom w:val="single" w:color="auto" w:sz="4" w:space="0"/>
              <w:right w:val="single" w:color="auto" w:sz="4" w:space="0"/>
            </w:tcBorders>
            <w:vAlign w:val="center"/>
          </w:tcPr>
          <w:p w14:paraId="7513A883">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77D015E7">
            <w:pPr>
              <w:rPr>
                <w:color w:val="000000"/>
              </w:rPr>
            </w:pPr>
          </w:p>
        </w:tc>
        <w:tc>
          <w:tcPr>
            <w:tcW w:w="5760" w:type="dxa"/>
            <w:tcBorders>
              <w:top w:val="nil"/>
              <w:left w:val="nil"/>
              <w:bottom w:val="single" w:color="auto" w:sz="4" w:space="0"/>
              <w:right w:val="single" w:color="auto" w:sz="8" w:space="0"/>
            </w:tcBorders>
            <w:vAlign w:val="center"/>
          </w:tcPr>
          <w:p w14:paraId="4A6D77B2">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136F73F1">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1A653552">
            <w:pPr>
              <w:rPr>
                <w:color w:val="000000"/>
              </w:rPr>
            </w:pPr>
          </w:p>
        </w:tc>
        <w:tc>
          <w:tcPr>
            <w:tcW w:w="5884" w:type="dxa"/>
            <w:tcBorders>
              <w:top w:val="single" w:color="auto" w:sz="4" w:space="0"/>
              <w:left w:val="nil"/>
              <w:bottom w:val="single" w:color="auto" w:sz="4" w:space="0"/>
              <w:right w:val="single" w:color="auto" w:sz="4" w:space="0"/>
            </w:tcBorders>
            <w:vAlign w:val="center"/>
          </w:tcPr>
          <w:p w14:paraId="56D54FD6">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4ACD4714">
            <w:pPr>
              <w:rPr>
                <w:color w:val="000000"/>
              </w:rPr>
            </w:pPr>
          </w:p>
        </w:tc>
        <w:tc>
          <w:tcPr>
            <w:tcW w:w="5760" w:type="dxa"/>
            <w:tcBorders>
              <w:top w:val="nil"/>
              <w:left w:val="nil"/>
              <w:bottom w:val="single" w:color="auto" w:sz="4" w:space="0"/>
              <w:right w:val="single" w:color="auto" w:sz="8" w:space="0"/>
            </w:tcBorders>
            <w:vAlign w:val="center"/>
          </w:tcPr>
          <w:p w14:paraId="79AAB479">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2E64D47A">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5359CC5A">
            <w:pPr>
              <w:rPr>
                <w:color w:val="000000"/>
              </w:rPr>
            </w:pPr>
          </w:p>
        </w:tc>
        <w:tc>
          <w:tcPr>
            <w:tcW w:w="5884" w:type="dxa"/>
            <w:tcBorders>
              <w:top w:val="single" w:color="auto" w:sz="4" w:space="0"/>
              <w:left w:val="nil"/>
              <w:bottom w:val="single" w:color="auto" w:sz="4" w:space="0"/>
              <w:right w:val="single" w:color="auto" w:sz="4" w:space="0"/>
            </w:tcBorders>
            <w:vAlign w:val="center"/>
          </w:tcPr>
          <w:p w14:paraId="307F7016">
            <w:pPr>
              <w:rPr>
                <w:color w:val="000000"/>
              </w:rPr>
            </w:pPr>
            <w:r>
              <w:rPr>
                <w:rFonts w:hint="eastAsia"/>
                <w:color w:val="000000"/>
              </w:rPr>
              <w:t>未按要求改正的，造成安全事故的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654773CB">
            <w:pPr>
              <w:rPr>
                <w:color w:val="000000"/>
              </w:rPr>
            </w:pPr>
          </w:p>
        </w:tc>
        <w:tc>
          <w:tcPr>
            <w:tcW w:w="5760" w:type="dxa"/>
            <w:tcBorders>
              <w:top w:val="nil"/>
              <w:left w:val="nil"/>
              <w:bottom w:val="single" w:color="auto" w:sz="4" w:space="0"/>
              <w:right w:val="single" w:color="auto" w:sz="8" w:space="0"/>
            </w:tcBorders>
            <w:vAlign w:val="center"/>
          </w:tcPr>
          <w:p w14:paraId="5909C22B">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79B0265C"/>
    <w:p w14:paraId="375D4209"/>
    <w:p w14:paraId="1581FF82"/>
    <w:p w14:paraId="05E016D6"/>
    <w:p w14:paraId="5CA78D62"/>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6140"/>
        <w:gridCol w:w="1106"/>
        <w:gridCol w:w="5714"/>
      </w:tblGrid>
      <w:tr w14:paraId="5ADC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742BB048">
            <w:pPr>
              <w:jc w:val="center"/>
              <w:rPr>
                <w:color w:val="000000"/>
              </w:rPr>
            </w:pPr>
            <w:r>
              <w:rPr>
                <w:rFonts w:hint="eastAsia"/>
                <w:color w:val="000000"/>
              </w:rPr>
              <w:t>编号</w:t>
            </w:r>
          </w:p>
        </w:tc>
        <w:tc>
          <w:tcPr>
            <w:tcW w:w="12960" w:type="dxa"/>
            <w:gridSpan w:val="3"/>
            <w:vAlign w:val="center"/>
          </w:tcPr>
          <w:p w14:paraId="277510B6">
            <w:pPr>
              <w:rPr>
                <w:b/>
                <w:bCs/>
                <w:color w:val="000000"/>
              </w:rPr>
            </w:pPr>
            <w:r>
              <w:rPr>
                <w:b/>
                <w:bCs/>
                <w:color w:val="000000"/>
              </w:rPr>
              <w:t>320217572000</w:t>
            </w:r>
          </w:p>
        </w:tc>
      </w:tr>
      <w:tr w14:paraId="2934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1E7DE186">
            <w:pPr>
              <w:rPr>
                <w:color w:val="000000"/>
              </w:rPr>
            </w:pPr>
            <w:r>
              <w:rPr>
                <w:rFonts w:hint="eastAsia"/>
                <w:color w:val="000000"/>
              </w:rPr>
              <w:t>行为名称</w:t>
            </w:r>
          </w:p>
        </w:tc>
        <w:tc>
          <w:tcPr>
            <w:tcW w:w="12960" w:type="dxa"/>
            <w:gridSpan w:val="3"/>
            <w:vAlign w:val="center"/>
          </w:tcPr>
          <w:p w14:paraId="6479D5F3">
            <w:pPr>
              <w:rPr>
                <w:color w:val="000000"/>
              </w:rPr>
            </w:pPr>
            <w:r>
              <w:rPr>
                <w:rFonts w:hint="eastAsia"/>
                <w:color w:val="000000"/>
              </w:rPr>
              <w:t>对在不同媒介发布的同一招标项目的资格预审公告或者招标公告的内容不一致，影响潜在投标人申请资格预审或者投标的处罚</w:t>
            </w:r>
          </w:p>
        </w:tc>
      </w:tr>
      <w:tr w14:paraId="2AFE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1070" w:type="dxa"/>
            <w:vAlign w:val="center"/>
          </w:tcPr>
          <w:p w14:paraId="65DAB4E5">
            <w:pPr>
              <w:rPr>
                <w:color w:val="000000"/>
              </w:rPr>
            </w:pPr>
            <w:r>
              <w:rPr>
                <w:rFonts w:hint="eastAsia"/>
                <w:color w:val="000000"/>
              </w:rPr>
              <w:t>法律依据</w:t>
            </w:r>
          </w:p>
        </w:tc>
        <w:tc>
          <w:tcPr>
            <w:tcW w:w="12960" w:type="dxa"/>
            <w:gridSpan w:val="3"/>
            <w:vAlign w:val="center"/>
          </w:tcPr>
          <w:p w14:paraId="31875EEC">
            <w:pPr>
              <w:spacing w:line="320" w:lineRule="exact"/>
              <w:jc w:val="left"/>
              <w:rPr>
                <w:color w:val="000000"/>
                <w:kern w:val="0"/>
                <w:sz w:val="18"/>
                <w:szCs w:val="18"/>
              </w:rPr>
            </w:pPr>
            <w:r>
              <w:rPr>
                <w:color w:val="000000"/>
              </w:rPr>
              <w:t xml:space="preserve"> </w:t>
            </w:r>
            <w:r>
              <w:rPr>
                <w:rFonts w:hint="eastAsia"/>
                <w:color w:val="000000"/>
                <w:kern w:val="0"/>
                <w:sz w:val="18"/>
                <w:szCs w:val="18"/>
              </w:rPr>
              <w:t>【法律】《中华人民共和国招标投标法》</w:t>
            </w:r>
          </w:p>
          <w:p w14:paraId="11A0FA2F">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第五十一条</w:t>
            </w:r>
            <w:r>
              <w:rPr>
                <w:color w:val="000000"/>
                <w:kern w:val="0"/>
                <w:sz w:val="18"/>
                <w:szCs w:val="18"/>
              </w:rPr>
              <w:t xml:space="preserve"> </w:t>
            </w:r>
            <w:r>
              <w:rPr>
                <w:rFonts w:hint="eastAsia"/>
                <w:color w:val="000000"/>
                <w:kern w:val="0"/>
                <w:sz w:val="18"/>
                <w:szCs w:val="18"/>
              </w:rPr>
              <w:t>招标人以不合理的条件限制或者排斥潜在投标人的，对潜在投标人实行歧视待遇的，强制要求投标人组成联合体共同投标的，或者限制投标人之间竞争的，责令改正，可以处一万元以上五万元以下的罚款。</w:t>
            </w:r>
          </w:p>
          <w:p w14:paraId="70BF61DD">
            <w:pPr>
              <w:spacing w:line="320" w:lineRule="exact"/>
              <w:jc w:val="left"/>
              <w:rPr>
                <w:color w:val="000000"/>
                <w:kern w:val="0"/>
                <w:sz w:val="18"/>
                <w:szCs w:val="18"/>
              </w:rPr>
            </w:pPr>
            <w:r>
              <w:rPr>
                <w:rFonts w:hint="eastAsia"/>
                <w:color w:val="000000"/>
                <w:kern w:val="0"/>
                <w:sz w:val="18"/>
                <w:szCs w:val="18"/>
              </w:rPr>
              <w:t>【行政法规】《中华人民共和国招标投标法实施条例》（国务院令第</w:t>
            </w:r>
            <w:r>
              <w:rPr>
                <w:color w:val="000000"/>
                <w:kern w:val="0"/>
                <w:sz w:val="18"/>
                <w:szCs w:val="18"/>
              </w:rPr>
              <w:t>613</w:t>
            </w:r>
            <w:r>
              <w:rPr>
                <w:rFonts w:hint="eastAsia"/>
                <w:color w:val="000000"/>
                <w:kern w:val="0"/>
                <w:sz w:val="18"/>
                <w:szCs w:val="18"/>
              </w:rPr>
              <w:t>号）</w:t>
            </w:r>
          </w:p>
          <w:p w14:paraId="23C51D74">
            <w:pPr>
              <w:spacing w:line="320" w:lineRule="exact"/>
              <w:jc w:val="left"/>
              <w:rPr>
                <w:color w:val="000000"/>
                <w:kern w:val="0"/>
                <w:sz w:val="18"/>
                <w:szCs w:val="18"/>
              </w:rPr>
            </w:pPr>
            <w:r>
              <w:rPr>
                <w:rFonts w:hint="eastAsia"/>
                <w:color w:val="000000"/>
                <w:kern w:val="0"/>
                <w:sz w:val="18"/>
                <w:szCs w:val="18"/>
              </w:rPr>
              <w:t>第十五条　公开招标的项目，应当依照招标投标法和本条例的规定发布招标公告、编制招标文件。</w:t>
            </w:r>
          </w:p>
          <w:p w14:paraId="394D90C3">
            <w:pPr>
              <w:spacing w:line="320" w:lineRule="exact"/>
              <w:jc w:val="left"/>
              <w:rPr>
                <w:color w:val="000000"/>
                <w:kern w:val="0"/>
                <w:sz w:val="18"/>
                <w:szCs w:val="18"/>
              </w:rPr>
            </w:pPr>
            <w:r>
              <w:rPr>
                <w:rFonts w:hint="eastAsia"/>
                <w:color w:val="000000"/>
                <w:kern w:val="0"/>
                <w:sz w:val="18"/>
                <w:szCs w:val="18"/>
              </w:rPr>
              <w:t>招标人采用资格预审办法对潜在投标人进行资格审查的，应当发布资格预审公告、编制资格预审文件。</w:t>
            </w:r>
          </w:p>
          <w:p w14:paraId="7069B728">
            <w:pPr>
              <w:spacing w:line="320" w:lineRule="exact"/>
              <w:jc w:val="left"/>
              <w:rPr>
                <w:color w:val="000000"/>
                <w:kern w:val="0"/>
                <w:sz w:val="18"/>
                <w:szCs w:val="18"/>
              </w:rPr>
            </w:pPr>
            <w:r>
              <w:rPr>
                <w:rFonts w:hint="eastAsia"/>
                <w:color w:val="000000"/>
                <w:kern w:val="0"/>
                <w:sz w:val="18"/>
                <w:szCs w:val="18"/>
              </w:rPr>
              <w:t>依法必须进行招标的项目的资格预审公告和招标公告，应当在国务院发展改革部门依法指定的媒介发布。在不同媒介发布的同一招标项目的资格预审公告或者招标公告的内容应当一致。</w:t>
            </w:r>
          </w:p>
          <w:p w14:paraId="4A19C015">
            <w:pPr>
              <w:spacing w:line="320" w:lineRule="exact"/>
              <w:jc w:val="left"/>
              <w:rPr>
                <w:color w:val="000000"/>
                <w:kern w:val="0"/>
                <w:sz w:val="18"/>
                <w:szCs w:val="18"/>
              </w:rPr>
            </w:pPr>
            <w:r>
              <w:rPr>
                <w:rFonts w:hint="eastAsia"/>
                <w:color w:val="000000"/>
                <w:kern w:val="0"/>
                <w:sz w:val="18"/>
                <w:szCs w:val="18"/>
              </w:rPr>
              <w:t>第六十三条　招标人有下列限制或者排斥潜在投标人行为之一的，由有关行政监督部门依照招标投标法第五十一条的规定处罚：</w:t>
            </w:r>
          </w:p>
          <w:p w14:paraId="07DA99B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（二）在不同媒介发布的同一招标项目的资格预审公告或者招标公告的内容不一致，影响潜在投标人申请资格预审或者投标。</w:t>
            </w:r>
          </w:p>
          <w:p w14:paraId="08AC6BF3">
            <w:pPr>
              <w:spacing w:line="320" w:lineRule="exact"/>
              <w:jc w:val="left"/>
              <w:rPr>
                <w:color w:val="000000"/>
                <w:kern w:val="0"/>
                <w:sz w:val="18"/>
                <w:szCs w:val="18"/>
              </w:rPr>
            </w:pPr>
            <w:r>
              <w:rPr>
                <w:rFonts w:hint="eastAsia"/>
                <w:color w:val="000000"/>
                <w:kern w:val="0"/>
                <w:sz w:val="18"/>
                <w:szCs w:val="18"/>
              </w:rPr>
              <w:t>【规章】《招标公告发布暂行办法》（国家发展计划委令第</w:t>
            </w:r>
            <w:r>
              <w:rPr>
                <w:color w:val="000000"/>
                <w:kern w:val="0"/>
                <w:sz w:val="18"/>
                <w:szCs w:val="18"/>
              </w:rPr>
              <w:t>4</w:t>
            </w:r>
            <w:r>
              <w:rPr>
                <w:rFonts w:hint="eastAsia"/>
                <w:color w:val="000000"/>
                <w:kern w:val="0"/>
                <w:sz w:val="18"/>
                <w:szCs w:val="18"/>
              </w:rPr>
              <w:t>号，</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p>
          <w:p w14:paraId="7204354F">
            <w:pPr>
              <w:spacing w:line="320" w:lineRule="exact"/>
              <w:jc w:val="left"/>
              <w:rPr>
                <w:color w:val="000000"/>
                <w:kern w:val="0"/>
                <w:sz w:val="18"/>
                <w:szCs w:val="18"/>
              </w:rPr>
            </w:pPr>
            <w:r>
              <w:rPr>
                <w:rFonts w:hint="eastAsia"/>
                <w:color w:val="000000"/>
                <w:kern w:val="0"/>
                <w:sz w:val="18"/>
                <w:szCs w:val="18"/>
              </w:rPr>
              <w:t>第十六条　招标人或其委托的招标代理机构有下列行为之一的，由国家发展计划委员会和有关行政监督部门视情节依照《中华人民共和国招标投标法》第四十九条、第五十一条的规定处罚：</w:t>
            </w:r>
          </w:p>
          <w:p w14:paraId="3D29AC9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w:t>
            </w:r>
            <w:r>
              <w:rPr>
                <w:color w:val="000000"/>
                <w:kern w:val="0"/>
                <w:sz w:val="18"/>
                <w:szCs w:val="18"/>
              </w:rPr>
              <w:t>）</w:t>
            </w:r>
            <w:r>
              <w:rPr>
                <w:rFonts w:hint="eastAsia"/>
                <w:color w:val="000000"/>
                <w:kern w:val="0"/>
                <w:sz w:val="18"/>
                <w:szCs w:val="18"/>
              </w:rPr>
              <w:t>在不同媒介发布的同一招标项目的招标公告的内容不一致，影响潜在投标人投标的；</w:t>
            </w:r>
          </w:p>
          <w:p w14:paraId="09DB0BB0">
            <w:pPr>
              <w:spacing w:line="320" w:lineRule="exact"/>
              <w:jc w:val="left"/>
              <w:rPr>
                <w:color w:val="000000"/>
                <w:kern w:val="0"/>
                <w:sz w:val="18"/>
                <w:szCs w:val="18"/>
              </w:rPr>
            </w:pP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【规章】《工程建设项目施工招标投标办法》（国家发展和改革委员会、工业和信息化部、财政部、住房和城乡建设部、交通运输部、铁道部、水利部、国家广播电影电视总局、中国民用航空局令第</w:t>
            </w:r>
            <w:r>
              <w:rPr>
                <w:color w:val="000000"/>
                <w:kern w:val="0"/>
                <w:sz w:val="18"/>
                <w:szCs w:val="18"/>
              </w:rPr>
              <w:t>30</w:t>
            </w:r>
            <w:r>
              <w:rPr>
                <w:rFonts w:hint="eastAsia"/>
                <w:color w:val="000000"/>
                <w:kern w:val="0"/>
                <w:sz w:val="18"/>
                <w:szCs w:val="18"/>
              </w:rPr>
              <w:t>号，根据</w:t>
            </w:r>
            <w:r>
              <w:rPr>
                <w:color w:val="000000"/>
                <w:kern w:val="0"/>
                <w:sz w:val="18"/>
                <w:szCs w:val="18"/>
              </w:rPr>
              <w:t>2013</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11</w:t>
            </w:r>
            <w:r>
              <w:rPr>
                <w:rFonts w:hint="eastAsia"/>
                <w:color w:val="000000"/>
                <w:kern w:val="0"/>
                <w:sz w:val="18"/>
                <w:szCs w:val="18"/>
              </w:rPr>
              <w:t>日《关于废止和修改部分招标投标规章和规范性文件的决定》</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p>
          <w:p w14:paraId="2429207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p>
          <w:p w14:paraId="34A4A98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（二）在不同媒介发布的同一招标项目的资格预审公告或者招标公告的内容不一致，影响潜在投标人申请资格预审或者投标。</w:t>
            </w:r>
          </w:p>
          <w:p w14:paraId="76B59EF9">
            <w:pPr>
              <w:spacing w:line="320" w:lineRule="exact"/>
              <w:jc w:val="left"/>
              <w:rPr>
                <w:color w:val="000000"/>
                <w:kern w:val="0"/>
                <w:sz w:val="18"/>
                <w:szCs w:val="18"/>
              </w:rPr>
            </w:pPr>
            <w:r>
              <w:rPr>
                <w:rFonts w:hint="eastAsia"/>
                <w:color w:val="000000"/>
                <w:kern w:val="0"/>
                <w:sz w:val="18"/>
                <w:szCs w:val="18"/>
              </w:rPr>
              <w:t>【规章】《工程建设项目勘察设计招标投标办法》（国家发展和改革委员会、工业和信息化部、财政部、住房和城乡建设部、交通运输部、铁道部、水利部、国家广播电影电视总局、中国民用航空局令第</w:t>
            </w:r>
            <w:r>
              <w:rPr>
                <w:color w:val="000000"/>
                <w:kern w:val="0"/>
                <w:sz w:val="18"/>
                <w:szCs w:val="18"/>
              </w:rPr>
              <w:t>2</w:t>
            </w:r>
            <w:r>
              <w:rPr>
                <w:rFonts w:hint="eastAsia"/>
                <w:color w:val="000000"/>
                <w:kern w:val="0"/>
                <w:sz w:val="18"/>
                <w:szCs w:val="18"/>
              </w:rPr>
              <w:t>号，已根据《关于废止和修改部分招标投标规章和规范性文件的决定》修改）</w:t>
            </w:r>
          </w:p>
          <w:p w14:paraId="2A5D0F5B">
            <w:pPr>
              <w:rPr>
                <w:color w:val="000000"/>
              </w:rPr>
            </w:pPr>
          </w:p>
        </w:tc>
      </w:tr>
      <w:tr w14:paraId="6AC6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1070" w:type="dxa"/>
            <w:vAlign w:val="center"/>
          </w:tcPr>
          <w:p w14:paraId="6623518E">
            <w:pPr>
              <w:rPr>
                <w:color w:val="000000"/>
              </w:rPr>
            </w:pPr>
          </w:p>
        </w:tc>
        <w:tc>
          <w:tcPr>
            <w:tcW w:w="12960" w:type="dxa"/>
            <w:gridSpan w:val="3"/>
            <w:vAlign w:val="center"/>
          </w:tcPr>
          <w:p w14:paraId="65F31F1C">
            <w:pPr>
              <w:spacing w:line="320" w:lineRule="exact"/>
              <w:jc w:val="left"/>
              <w:rPr>
                <w:color w:val="000000"/>
                <w:kern w:val="0"/>
                <w:sz w:val="18"/>
                <w:szCs w:val="18"/>
              </w:rPr>
            </w:pPr>
            <w:r>
              <w:rPr>
                <w:rFonts w:hint="eastAsia"/>
                <w:color w:val="000000"/>
                <w:kern w:val="0"/>
                <w:sz w:val="18"/>
                <w:szCs w:val="18"/>
              </w:rPr>
              <w:t>第五十条　招标人有下列限制或者排斥潜在投标人行为之一的，由有关行政监督部门依照招标投标法第五十一条的规定处罚；其中，构成依法必须进行勘察设计招标的项目的招标人规避招标的，依照招标投标法第四十九条的规定处罚：（二）在不同媒介发布的同一招标项目的资格预审公告或者招标公告的内容不一致，影响潜在投标人申请资格预审或者投标。</w:t>
            </w:r>
            <w:r>
              <w:rPr>
                <w:color w:val="000000"/>
                <w:kern w:val="0"/>
                <w:sz w:val="18"/>
                <w:szCs w:val="18"/>
              </w:rPr>
              <w:t xml:space="preserve"> </w:t>
            </w:r>
          </w:p>
          <w:p w14:paraId="70E53F13">
            <w:pPr>
              <w:spacing w:line="320" w:lineRule="exact"/>
              <w:jc w:val="left"/>
              <w:rPr>
                <w:color w:val="000000"/>
                <w:kern w:val="0"/>
                <w:sz w:val="18"/>
                <w:szCs w:val="18"/>
              </w:rPr>
            </w:pPr>
            <w:r>
              <w:rPr>
                <w:rFonts w:hint="eastAsia"/>
                <w:color w:val="000000"/>
                <w:kern w:val="0"/>
                <w:sz w:val="18"/>
                <w:szCs w:val="18"/>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kern w:val="0"/>
                <w:sz w:val="18"/>
                <w:szCs w:val="18"/>
              </w:rPr>
              <w:t>27</w:t>
            </w:r>
            <w:r>
              <w:rPr>
                <w:rFonts w:hint="eastAsia"/>
                <w:color w:val="000000"/>
                <w:kern w:val="0"/>
                <w:sz w:val="18"/>
                <w:szCs w:val="18"/>
              </w:rPr>
              <w:t>号，根据</w:t>
            </w:r>
            <w:r>
              <w:rPr>
                <w:color w:val="000000"/>
                <w:kern w:val="0"/>
                <w:sz w:val="18"/>
                <w:szCs w:val="18"/>
              </w:rPr>
              <w:t>2013</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11</w:t>
            </w:r>
            <w:r>
              <w:rPr>
                <w:rFonts w:hint="eastAsia"/>
                <w:color w:val="000000"/>
                <w:kern w:val="0"/>
                <w:sz w:val="18"/>
                <w:szCs w:val="18"/>
              </w:rPr>
              <w:t>日《关于废止和修改部分招标投标规章和规范性文件的决定》</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p>
          <w:p w14:paraId="5BE8D74F">
            <w:pPr>
              <w:spacing w:line="320" w:lineRule="exact"/>
              <w:jc w:val="left"/>
              <w:rPr>
                <w:color w:val="000000"/>
              </w:rPr>
            </w:pPr>
            <w:r>
              <w:rPr>
                <w:rFonts w:hint="eastAsia"/>
                <w:color w:val="000000"/>
                <w:kern w:val="0"/>
                <w:sz w:val="18"/>
                <w:szCs w:val="18"/>
              </w:rPr>
              <w:t>第五十五条　招标人有下列限制或者排斥潜在投标行为之一的，由有关行政监督部门依照招标投标法第五十一条的规定处罚；其中，构成依法必须进行招标的项目的招标人规避招标的，依照招标投标法第四十九条的规定处罚：（二）在不同媒介发布的同一招标项目的资格预审公告或者招标公告内容不一致，影响潜在投标人申请资格预审或者投标。</w:t>
            </w:r>
          </w:p>
        </w:tc>
      </w:tr>
      <w:tr w14:paraId="33D7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4AAD3D2D">
            <w:pPr>
              <w:rPr>
                <w:color w:val="000000"/>
              </w:rPr>
            </w:pPr>
            <w:r>
              <w:rPr>
                <w:rFonts w:hint="eastAsia"/>
                <w:color w:val="000000"/>
              </w:rPr>
              <w:t>行使内容</w:t>
            </w:r>
          </w:p>
        </w:tc>
        <w:tc>
          <w:tcPr>
            <w:tcW w:w="12960" w:type="dxa"/>
            <w:gridSpan w:val="3"/>
            <w:vAlign w:val="center"/>
          </w:tcPr>
          <w:p w14:paraId="6999C350">
            <w:pPr>
              <w:rPr>
                <w:color w:val="000000"/>
              </w:rPr>
            </w:pPr>
            <w:r>
              <w:rPr>
                <w:rFonts w:hint="eastAsia"/>
                <w:color w:val="000000"/>
              </w:rPr>
              <w:t>罚款</w:t>
            </w:r>
          </w:p>
        </w:tc>
      </w:tr>
      <w:tr w14:paraId="4AEB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vAlign w:val="center"/>
          </w:tcPr>
          <w:p w14:paraId="49171C9B">
            <w:pPr>
              <w:jc w:val="center"/>
              <w:rPr>
                <w:color w:val="000000"/>
              </w:rPr>
            </w:pPr>
            <w:r>
              <w:rPr>
                <w:rFonts w:hint="eastAsia"/>
                <w:color w:val="000000"/>
              </w:rPr>
              <w:t>裁量基准</w:t>
            </w:r>
          </w:p>
        </w:tc>
      </w:tr>
      <w:tr w14:paraId="7986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Merge w:val="restart"/>
            <w:vAlign w:val="center"/>
          </w:tcPr>
          <w:p w14:paraId="0B05EB6F">
            <w:pPr>
              <w:rPr>
                <w:color w:val="000000"/>
              </w:rPr>
            </w:pPr>
            <w:r>
              <w:rPr>
                <w:rFonts w:hint="eastAsia"/>
                <w:color w:val="000000"/>
              </w:rPr>
              <w:t>情形描述</w:t>
            </w:r>
          </w:p>
        </w:tc>
        <w:tc>
          <w:tcPr>
            <w:tcW w:w="6140" w:type="dxa"/>
            <w:vAlign w:val="center"/>
          </w:tcPr>
          <w:p w14:paraId="169CA9C3">
            <w:pPr>
              <w:rPr>
                <w:color w:val="000000"/>
              </w:rPr>
            </w:pPr>
            <w:r>
              <w:rPr>
                <w:rFonts w:hint="eastAsia"/>
                <w:color w:val="000000"/>
              </w:rPr>
              <w:t>内容不一致，影响潜在投标人申请资格预审或者投标，积极改正的</w:t>
            </w:r>
          </w:p>
        </w:tc>
        <w:tc>
          <w:tcPr>
            <w:tcW w:w="1106" w:type="dxa"/>
            <w:vMerge w:val="restart"/>
            <w:vAlign w:val="center"/>
          </w:tcPr>
          <w:p w14:paraId="7EBED3F8">
            <w:pPr>
              <w:rPr>
                <w:color w:val="000000"/>
              </w:rPr>
            </w:pPr>
            <w:r>
              <w:rPr>
                <w:rFonts w:hint="eastAsia"/>
                <w:color w:val="000000"/>
              </w:rPr>
              <w:t>裁量幅度</w:t>
            </w:r>
          </w:p>
        </w:tc>
        <w:tc>
          <w:tcPr>
            <w:tcW w:w="5714" w:type="dxa"/>
            <w:vAlign w:val="center"/>
          </w:tcPr>
          <w:p w14:paraId="6B30C489">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14:paraId="04FD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Merge w:val="continue"/>
            <w:vAlign w:val="center"/>
          </w:tcPr>
          <w:p w14:paraId="0B59632A">
            <w:pPr>
              <w:rPr>
                <w:color w:val="000000"/>
              </w:rPr>
            </w:pPr>
          </w:p>
        </w:tc>
        <w:tc>
          <w:tcPr>
            <w:tcW w:w="6140" w:type="dxa"/>
            <w:vAlign w:val="center"/>
          </w:tcPr>
          <w:p w14:paraId="78DF5AE1">
            <w:pPr>
              <w:rPr>
                <w:color w:val="000000"/>
              </w:rPr>
            </w:pPr>
            <w:r>
              <w:rPr>
                <w:rFonts w:hint="eastAsia"/>
                <w:color w:val="000000"/>
              </w:rPr>
              <w:t>内容不一致，影响潜在投标人申请资格预审或者投标，拒不改正的</w:t>
            </w:r>
          </w:p>
        </w:tc>
        <w:tc>
          <w:tcPr>
            <w:tcW w:w="1106" w:type="dxa"/>
            <w:vMerge w:val="continue"/>
            <w:vAlign w:val="center"/>
          </w:tcPr>
          <w:p w14:paraId="0BBA5C69">
            <w:pPr>
              <w:rPr>
                <w:color w:val="000000"/>
              </w:rPr>
            </w:pPr>
          </w:p>
        </w:tc>
        <w:tc>
          <w:tcPr>
            <w:tcW w:w="5714" w:type="dxa"/>
            <w:vAlign w:val="center"/>
          </w:tcPr>
          <w:p w14:paraId="5CFE9729">
            <w:pPr>
              <w:rPr>
                <w:color w:val="000000"/>
              </w:rPr>
            </w:pPr>
            <w:r>
              <w:rPr>
                <w:rFonts w:hint="eastAsia"/>
                <w:color w:val="000000"/>
              </w:rPr>
              <w:t>处</w:t>
            </w:r>
            <w:r>
              <w:rPr>
                <w:color w:val="000000"/>
              </w:rPr>
              <w:t>2</w:t>
            </w:r>
            <w:r>
              <w:rPr>
                <w:rFonts w:hint="eastAsia"/>
                <w:color w:val="000000"/>
              </w:rPr>
              <w:t>万元以上，</w:t>
            </w:r>
            <w:r>
              <w:rPr>
                <w:color w:val="000000"/>
              </w:rPr>
              <w:t>5</w:t>
            </w:r>
            <w:r>
              <w:rPr>
                <w:rFonts w:hint="eastAsia"/>
                <w:color w:val="000000"/>
              </w:rPr>
              <w:t>万元以下罚款</w:t>
            </w:r>
          </w:p>
        </w:tc>
      </w:tr>
    </w:tbl>
    <w:p w14:paraId="5E2A56AE"/>
    <w:p w14:paraId="768CB3F9"/>
    <w:p w14:paraId="44C31337"/>
    <w:p w14:paraId="0C3A55E1"/>
    <w:p w14:paraId="25E5F7EE"/>
    <w:p w14:paraId="617F569B"/>
    <w:p w14:paraId="4FC39879"/>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33E35DE9">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5E1EDF0B">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72134B48">
            <w:pPr>
              <w:jc w:val="left"/>
              <w:textAlignment w:val="center"/>
              <w:rPr>
                <w:rFonts w:eastAsia="仿宋_GB2312"/>
                <w:b/>
                <w:bCs/>
                <w:color w:val="000000"/>
                <w:kern w:val="0"/>
                <w:sz w:val="18"/>
                <w:szCs w:val="18"/>
              </w:rPr>
            </w:pPr>
            <w:r>
              <w:rPr>
                <w:rFonts w:eastAsia="仿宋_GB2312"/>
                <w:b/>
                <w:color w:val="000000"/>
                <w:kern w:val="0"/>
                <w:sz w:val="20"/>
              </w:rPr>
              <w:t>320217573000</w:t>
            </w:r>
            <w:r>
              <w:rPr>
                <w:rFonts w:hint="eastAsia" w:eastAsia="仿宋_GB2312"/>
                <w:b/>
                <w:color w:val="000000"/>
                <w:kern w:val="0"/>
                <w:sz w:val="20"/>
              </w:rPr>
              <w:t xml:space="preserve"> </w:t>
            </w:r>
          </w:p>
        </w:tc>
      </w:tr>
      <w:tr w14:paraId="71FC963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308F0D08">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47137783">
            <w:pPr>
              <w:spacing w:line="320" w:lineRule="exact"/>
              <w:jc w:val="left"/>
              <w:rPr>
                <w:color w:val="000000"/>
                <w:kern w:val="0"/>
                <w:sz w:val="18"/>
                <w:szCs w:val="18"/>
              </w:rPr>
            </w:pPr>
            <w:r>
              <w:rPr>
                <w:rFonts w:hint="eastAsia"/>
                <w:color w:val="000000"/>
                <w:kern w:val="0"/>
                <w:sz w:val="18"/>
                <w:szCs w:val="18"/>
              </w:rPr>
              <w:t>对未取得注册证书和执业印章，担任大中型建设工程项目施工单位项目负责人，或者以注册建造师的名义从事相关活动等的处罚</w:t>
            </w:r>
          </w:p>
        </w:tc>
      </w:tr>
      <w:tr w14:paraId="69230227">
        <w:tblPrEx>
          <w:tblCellMar>
            <w:top w:w="0" w:type="dxa"/>
            <w:left w:w="108" w:type="dxa"/>
            <w:bottom w:w="0" w:type="dxa"/>
            <w:right w:w="108" w:type="dxa"/>
          </w:tblCellMar>
        </w:tblPrEx>
        <w:trPr>
          <w:trHeight w:val="1380" w:hRule="atLeast"/>
        </w:trPr>
        <w:tc>
          <w:tcPr>
            <w:tcW w:w="1056" w:type="dxa"/>
            <w:tcBorders>
              <w:top w:val="nil"/>
              <w:left w:val="single" w:color="auto" w:sz="8" w:space="0"/>
              <w:bottom w:val="single" w:color="auto" w:sz="4" w:space="0"/>
              <w:right w:val="single" w:color="auto" w:sz="4" w:space="0"/>
            </w:tcBorders>
            <w:vAlign w:val="center"/>
          </w:tcPr>
          <w:p w14:paraId="036C0E89">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5F378C77">
            <w:pPr>
              <w:spacing w:line="320" w:lineRule="exact"/>
              <w:jc w:val="left"/>
              <w:rPr>
                <w:color w:val="000000"/>
                <w:kern w:val="0"/>
                <w:sz w:val="18"/>
                <w:szCs w:val="18"/>
              </w:rPr>
            </w:pPr>
            <w:r>
              <w:rPr>
                <w:rFonts w:hint="eastAsia"/>
                <w:color w:val="000000"/>
                <w:kern w:val="0"/>
                <w:sz w:val="18"/>
                <w:szCs w:val="18"/>
              </w:rPr>
              <w:t>【规章】《注册建造师管理规定》</w:t>
            </w:r>
            <w:r>
              <w:rPr>
                <w:color w:val="000000"/>
                <w:kern w:val="0"/>
                <w:sz w:val="18"/>
                <w:szCs w:val="18"/>
              </w:rPr>
              <w:t>（</w:t>
            </w:r>
            <w:r>
              <w:rPr>
                <w:rFonts w:hint="eastAsia"/>
                <w:color w:val="000000"/>
                <w:kern w:val="0"/>
                <w:sz w:val="18"/>
                <w:szCs w:val="18"/>
              </w:rPr>
              <w:t>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第三条　未取得注册证书和执业印章的，不得担任大中型建设工程项目的施工单位项目负责人，不得以注册建造师的名义从事相关活动。</w:t>
            </w:r>
            <w:r>
              <w:rPr>
                <w:color w:val="000000"/>
                <w:kern w:val="0"/>
                <w:sz w:val="18"/>
                <w:szCs w:val="18"/>
              </w:rPr>
              <w:br w:type="textWrapping"/>
            </w:r>
            <w:r>
              <w:rPr>
                <w:rFonts w:hint="eastAsia"/>
                <w:color w:val="000000"/>
                <w:kern w:val="0"/>
                <w:sz w:val="18"/>
                <w:szCs w:val="18"/>
              </w:rPr>
              <w:t>第三十五条　违反本规定，未取得注册证书和执业印章，担任大中型建设工程项目施工单位项目负责人，或者以注册建造师的名义从事相关活动的，其所签署的工程文件无效，由县级以上地方人民政府建设主管部门或者其他有关部门给予警告，责令停止违法活动，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1C49037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4D4D9E30">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01D28540">
            <w:pPr>
              <w:spacing w:line="320" w:lineRule="exact"/>
              <w:jc w:val="left"/>
              <w:rPr>
                <w:color w:val="000000"/>
                <w:kern w:val="0"/>
                <w:sz w:val="18"/>
                <w:szCs w:val="18"/>
              </w:rPr>
            </w:pPr>
            <w:r>
              <w:rPr>
                <w:rFonts w:hint="eastAsia"/>
                <w:color w:val="000000"/>
                <w:kern w:val="0"/>
                <w:sz w:val="18"/>
                <w:szCs w:val="18"/>
              </w:rPr>
              <w:t>警告，罚款</w:t>
            </w:r>
          </w:p>
        </w:tc>
      </w:tr>
      <w:tr w14:paraId="441FC7B6">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3ACEA102">
            <w:pPr>
              <w:spacing w:line="320" w:lineRule="exact"/>
              <w:jc w:val="center"/>
              <w:rPr>
                <w:color w:val="000000"/>
                <w:kern w:val="0"/>
                <w:sz w:val="18"/>
                <w:szCs w:val="18"/>
              </w:rPr>
            </w:pPr>
            <w:r>
              <w:rPr>
                <w:rFonts w:hint="eastAsia"/>
                <w:color w:val="000000"/>
                <w:kern w:val="0"/>
                <w:sz w:val="18"/>
                <w:szCs w:val="18"/>
              </w:rPr>
              <w:t>裁量基准</w:t>
            </w:r>
          </w:p>
        </w:tc>
      </w:tr>
      <w:tr w14:paraId="6663316B">
        <w:tblPrEx>
          <w:tblCellMar>
            <w:top w:w="0" w:type="dxa"/>
            <w:left w:w="108" w:type="dxa"/>
            <w:bottom w:w="0" w:type="dxa"/>
            <w:right w:w="108" w:type="dxa"/>
          </w:tblCellMar>
        </w:tblPrEx>
        <w:trPr>
          <w:trHeight w:val="585" w:hRule="atLeast"/>
        </w:trPr>
        <w:tc>
          <w:tcPr>
            <w:tcW w:w="1056" w:type="dxa"/>
            <w:vMerge w:val="restart"/>
            <w:tcBorders>
              <w:top w:val="single" w:color="auto" w:sz="4" w:space="0"/>
              <w:left w:val="single" w:color="auto" w:sz="8" w:space="0"/>
              <w:bottom w:val="single" w:color="auto" w:sz="4" w:space="0"/>
              <w:right w:val="single" w:color="auto" w:sz="4" w:space="0"/>
            </w:tcBorders>
            <w:vAlign w:val="center"/>
          </w:tcPr>
          <w:p w14:paraId="42399AC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5D7CB139">
            <w:pPr>
              <w:spacing w:line="320" w:lineRule="exact"/>
              <w:jc w:val="left"/>
              <w:rPr>
                <w:color w:val="000000"/>
                <w:kern w:val="0"/>
                <w:sz w:val="18"/>
                <w:szCs w:val="18"/>
              </w:rPr>
            </w:pPr>
            <w:r>
              <w:rPr>
                <w:rFonts w:hint="eastAsia"/>
                <w:color w:val="000000"/>
                <w:kern w:val="0"/>
                <w:sz w:val="18"/>
                <w:szCs w:val="18"/>
              </w:rPr>
              <w:t>主动停止违法活动的</w:t>
            </w:r>
          </w:p>
        </w:tc>
        <w:tc>
          <w:tcPr>
            <w:tcW w:w="1044" w:type="dxa"/>
            <w:vMerge w:val="restart"/>
            <w:tcBorders>
              <w:top w:val="single" w:color="auto" w:sz="4" w:space="0"/>
              <w:left w:val="single" w:color="auto" w:sz="4" w:space="0"/>
              <w:bottom w:val="single" w:color="auto" w:sz="4" w:space="0"/>
              <w:right w:val="single" w:color="auto" w:sz="4" w:space="0"/>
            </w:tcBorders>
            <w:vAlign w:val="center"/>
          </w:tcPr>
          <w:p w14:paraId="1599DB64">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579CD0C3">
            <w:pPr>
              <w:spacing w:line="320" w:lineRule="exact"/>
              <w:jc w:val="left"/>
              <w:rPr>
                <w:color w:val="000000"/>
                <w:kern w:val="0"/>
                <w:sz w:val="18"/>
                <w:szCs w:val="18"/>
              </w:rPr>
            </w:pPr>
            <w:r>
              <w:rPr>
                <w:rFonts w:hint="eastAsia"/>
                <w:color w:val="000000"/>
                <w:kern w:val="0"/>
                <w:sz w:val="18"/>
                <w:szCs w:val="18"/>
              </w:rPr>
              <w:t>警告，并处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12533451">
        <w:tblPrEx>
          <w:tblCellMar>
            <w:top w:w="0" w:type="dxa"/>
            <w:left w:w="108" w:type="dxa"/>
            <w:bottom w:w="0" w:type="dxa"/>
            <w:right w:w="108" w:type="dxa"/>
          </w:tblCellMar>
        </w:tblPrEx>
        <w:trPr>
          <w:trHeight w:val="585" w:hRule="atLeast"/>
        </w:trPr>
        <w:tc>
          <w:tcPr>
            <w:tcW w:w="1056" w:type="dxa"/>
            <w:vMerge w:val="continue"/>
            <w:tcBorders>
              <w:top w:val="single" w:color="auto" w:sz="4" w:space="0"/>
              <w:left w:val="single" w:color="auto" w:sz="8" w:space="0"/>
              <w:bottom w:val="single" w:color="auto" w:sz="4" w:space="0"/>
              <w:right w:val="single" w:color="auto" w:sz="4" w:space="0"/>
            </w:tcBorders>
            <w:vAlign w:val="center"/>
          </w:tcPr>
          <w:p w14:paraId="337EC9B3">
            <w:pPr>
              <w:spacing w:line="320" w:lineRule="exact"/>
              <w:jc w:val="center"/>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186F1604">
            <w:pPr>
              <w:spacing w:line="320" w:lineRule="exact"/>
              <w:jc w:val="left"/>
              <w:rPr>
                <w:color w:val="000000"/>
                <w:kern w:val="0"/>
                <w:sz w:val="18"/>
                <w:szCs w:val="18"/>
              </w:rPr>
            </w:pPr>
            <w:r>
              <w:rPr>
                <w:rFonts w:hint="eastAsia"/>
                <w:color w:val="000000"/>
                <w:kern w:val="0"/>
                <w:sz w:val="18"/>
                <w:szCs w:val="18"/>
              </w:rPr>
              <w:t>拒不停止违法活动的</w:t>
            </w:r>
          </w:p>
        </w:tc>
        <w:tc>
          <w:tcPr>
            <w:tcW w:w="1044" w:type="dxa"/>
            <w:vMerge w:val="continue"/>
            <w:tcBorders>
              <w:top w:val="single" w:color="auto" w:sz="4" w:space="0"/>
              <w:left w:val="single" w:color="auto" w:sz="4" w:space="0"/>
              <w:bottom w:val="single" w:color="auto" w:sz="4" w:space="0"/>
              <w:right w:val="single" w:color="auto" w:sz="4" w:space="0"/>
            </w:tcBorders>
            <w:vAlign w:val="center"/>
          </w:tcPr>
          <w:p w14:paraId="4CEC02B9">
            <w:pPr>
              <w:spacing w:line="320" w:lineRule="exact"/>
              <w:jc w:val="center"/>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2BD0CA25">
            <w:pPr>
              <w:spacing w:line="320" w:lineRule="exact"/>
              <w:jc w:val="left"/>
              <w:rPr>
                <w:color w:val="000000"/>
                <w:kern w:val="0"/>
                <w:sz w:val="18"/>
                <w:szCs w:val="18"/>
              </w:rPr>
            </w:pPr>
            <w:r>
              <w:rPr>
                <w:rFonts w:hint="eastAsia"/>
                <w:color w:val="000000"/>
                <w:kern w:val="0"/>
                <w:sz w:val="18"/>
                <w:szCs w:val="18"/>
              </w:rPr>
              <w:t>警告，并处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12000BB7"/>
    <w:p w14:paraId="3307FBC7"/>
    <w:p w14:paraId="77A2E2B3"/>
    <w:p w14:paraId="31085507"/>
    <w:p w14:paraId="76EA0E5D"/>
    <w:p w14:paraId="3509BF18"/>
    <w:p w14:paraId="3E3DFDEF"/>
    <w:p w14:paraId="28E8F3D5"/>
    <w:p w14:paraId="18D5093E"/>
    <w:p w14:paraId="32829BB6"/>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014086A1">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CD3B15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37D33FDB">
            <w:pPr>
              <w:spacing w:line="320" w:lineRule="exact"/>
              <w:jc w:val="left"/>
              <w:rPr>
                <w:rFonts w:eastAsia="仿宋_GB2312"/>
                <w:b/>
                <w:bCs/>
                <w:color w:val="000000"/>
                <w:kern w:val="0"/>
                <w:sz w:val="18"/>
                <w:szCs w:val="18"/>
              </w:rPr>
            </w:pPr>
            <w:r>
              <w:rPr>
                <w:rFonts w:eastAsia="仿宋_GB2312"/>
                <w:b/>
                <w:bCs/>
                <w:color w:val="000000"/>
                <w:kern w:val="0"/>
                <w:sz w:val="18"/>
                <w:szCs w:val="18"/>
              </w:rPr>
              <w:t>320217574000</w:t>
            </w:r>
            <w:r>
              <w:rPr>
                <w:rFonts w:hint="eastAsia" w:eastAsia="仿宋_GB2312"/>
                <w:b/>
                <w:bCs/>
                <w:color w:val="000000"/>
                <w:kern w:val="0"/>
                <w:sz w:val="18"/>
                <w:szCs w:val="18"/>
              </w:rPr>
              <w:t xml:space="preserve"> </w:t>
            </w:r>
          </w:p>
        </w:tc>
      </w:tr>
      <w:tr w14:paraId="1E054BB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C3824F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4BC1FE8B">
            <w:pPr>
              <w:spacing w:line="320" w:lineRule="exact"/>
              <w:jc w:val="left"/>
              <w:rPr>
                <w:color w:val="000000"/>
                <w:kern w:val="0"/>
                <w:sz w:val="18"/>
                <w:szCs w:val="18"/>
              </w:rPr>
            </w:pPr>
            <w:r>
              <w:rPr>
                <w:rFonts w:hint="eastAsia"/>
                <w:color w:val="000000"/>
                <w:kern w:val="0"/>
                <w:sz w:val="18"/>
                <w:szCs w:val="18"/>
              </w:rPr>
              <w:t>对房地产经纪机构提供代办贷款、代办房地产登记等其他服务，未向委托人说明服务内容、收费标准等情况，并未经委托人同意的处罚</w:t>
            </w:r>
          </w:p>
        </w:tc>
      </w:tr>
      <w:tr w14:paraId="28B57E2F">
        <w:tblPrEx>
          <w:tblCellMar>
            <w:top w:w="0" w:type="dxa"/>
            <w:left w:w="108" w:type="dxa"/>
            <w:bottom w:w="0" w:type="dxa"/>
            <w:right w:w="108" w:type="dxa"/>
          </w:tblCellMar>
        </w:tblPrEx>
        <w:trPr>
          <w:trHeight w:val="1470" w:hRule="atLeast"/>
        </w:trPr>
        <w:tc>
          <w:tcPr>
            <w:tcW w:w="1010" w:type="dxa"/>
            <w:tcBorders>
              <w:top w:val="nil"/>
              <w:left w:val="single" w:color="auto" w:sz="8" w:space="0"/>
              <w:bottom w:val="single" w:color="auto" w:sz="4" w:space="0"/>
              <w:right w:val="single" w:color="auto" w:sz="4" w:space="0"/>
            </w:tcBorders>
            <w:vAlign w:val="center"/>
          </w:tcPr>
          <w:p w14:paraId="714BA401">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1EE735DA">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658BC8AC">
            <w:pPr>
              <w:spacing w:line="320" w:lineRule="exact"/>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房地产经纪机构提供代办贷款、代办房地产登记等其他服务的，应当向委托人说明服务内容、收费标准等情况，经委托人同意后，另行签订合同。</w:t>
            </w:r>
          </w:p>
          <w:p w14:paraId="7AF19C31">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740407A3">
            <w:pPr>
              <w:spacing w:line="320" w:lineRule="exact"/>
              <w:jc w:val="left"/>
              <w:rPr>
                <w:color w:val="000000"/>
                <w:kern w:val="0"/>
                <w:sz w:val="18"/>
                <w:szCs w:val="18"/>
              </w:rPr>
            </w:pPr>
            <w:r>
              <w:rPr>
                <w:rFonts w:hint="eastAsia"/>
                <w:color w:val="000000"/>
                <w:kern w:val="0"/>
                <w:sz w:val="18"/>
                <w:szCs w:val="18"/>
              </w:rPr>
              <w:t>（二）房地产经纪机构提供代办贷款、代办房地产登记等其他服务，未向委托人说明服务内容、收费标准等情况，并未经委托人同意的。</w:t>
            </w:r>
          </w:p>
        </w:tc>
      </w:tr>
      <w:tr w14:paraId="0F2BBB5F">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B6BC80B">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3E4BD6DD">
            <w:pPr>
              <w:spacing w:line="320" w:lineRule="exact"/>
              <w:jc w:val="left"/>
              <w:rPr>
                <w:color w:val="000000"/>
                <w:kern w:val="0"/>
                <w:sz w:val="18"/>
                <w:szCs w:val="18"/>
              </w:rPr>
            </w:pPr>
            <w:r>
              <w:rPr>
                <w:rFonts w:hint="eastAsia"/>
                <w:color w:val="000000"/>
                <w:kern w:val="0"/>
                <w:sz w:val="18"/>
                <w:szCs w:val="18"/>
              </w:rPr>
              <w:t>罚款</w:t>
            </w:r>
          </w:p>
        </w:tc>
      </w:tr>
      <w:tr w14:paraId="61B740D6">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E7BF88D">
            <w:pPr>
              <w:spacing w:line="320" w:lineRule="exact"/>
              <w:jc w:val="center"/>
              <w:rPr>
                <w:color w:val="000000"/>
                <w:kern w:val="0"/>
                <w:sz w:val="18"/>
                <w:szCs w:val="18"/>
              </w:rPr>
            </w:pPr>
            <w:r>
              <w:rPr>
                <w:rFonts w:hint="eastAsia"/>
                <w:color w:val="000000"/>
                <w:kern w:val="0"/>
                <w:sz w:val="18"/>
                <w:szCs w:val="18"/>
              </w:rPr>
              <w:t>裁量基准</w:t>
            </w:r>
          </w:p>
        </w:tc>
      </w:tr>
      <w:tr w14:paraId="55A93D8A">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7D66B4C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3923168">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1C88AA09">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77CDEE1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2DAA4184">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14:paraId="0C2A1E71">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771F5E6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8C3187F">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45394B6F">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48449A6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52E7B820">
            <w:pPr>
              <w:spacing w:line="320" w:lineRule="exact"/>
              <w:jc w:val="left"/>
              <w:rPr>
                <w:color w:val="000000"/>
                <w:kern w:val="0"/>
                <w:sz w:val="18"/>
                <w:szCs w:val="18"/>
              </w:rPr>
            </w:pPr>
            <w:r>
              <w:rPr>
                <w:rFonts w:hint="eastAsia"/>
                <w:color w:val="000000"/>
                <w:kern w:val="0"/>
                <w:sz w:val="18"/>
                <w:szCs w:val="18"/>
              </w:rPr>
              <w:t>对人个：处以</w:t>
            </w:r>
            <w:r>
              <w:rPr>
                <w:color w:val="000000"/>
                <w:kern w:val="0"/>
                <w:sz w:val="18"/>
                <w:szCs w:val="18"/>
              </w:rPr>
              <w:t>1</w:t>
            </w:r>
            <w:r>
              <w:rPr>
                <w:rFonts w:hint="eastAsia"/>
                <w:color w:val="000000"/>
                <w:kern w:val="0"/>
                <w:sz w:val="18"/>
                <w:szCs w:val="18"/>
              </w:rPr>
              <w:t>万元罚款</w:t>
            </w:r>
          </w:p>
        </w:tc>
      </w:tr>
    </w:tbl>
    <w:p w14:paraId="2F5ADC6D"/>
    <w:p w14:paraId="2ED4ADEA"/>
    <w:p w14:paraId="5C3ED4E7"/>
    <w:p w14:paraId="4FC7B78F"/>
    <w:p w14:paraId="4FB2A6E9"/>
    <w:p w14:paraId="5B2EEC0C"/>
    <w:p w14:paraId="73DB5AF2"/>
    <w:p w14:paraId="68610990"/>
    <w:p w14:paraId="4092746D"/>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3AA50964">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4E5F804">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186FCF6D">
            <w:pPr>
              <w:spacing w:line="320" w:lineRule="exact"/>
              <w:jc w:val="left"/>
              <w:rPr>
                <w:rFonts w:eastAsia="仿宋_GB2312"/>
                <w:b/>
                <w:bCs/>
                <w:color w:val="000000"/>
                <w:kern w:val="0"/>
                <w:sz w:val="18"/>
                <w:szCs w:val="18"/>
              </w:rPr>
            </w:pPr>
            <w:r>
              <w:rPr>
                <w:rFonts w:eastAsia="仿宋_GB2312"/>
                <w:b/>
                <w:bCs/>
                <w:color w:val="000000"/>
                <w:kern w:val="0"/>
                <w:sz w:val="18"/>
                <w:szCs w:val="18"/>
              </w:rPr>
              <w:t>320217575000</w:t>
            </w:r>
            <w:r>
              <w:rPr>
                <w:rFonts w:hint="eastAsia" w:eastAsia="仿宋_GB2312"/>
                <w:b/>
                <w:bCs/>
                <w:color w:val="000000"/>
                <w:kern w:val="0"/>
                <w:sz w:val="18"/>
                <w:szCs w:val="18"/>
              </w:rPr>
              <w:t xml:space="preserve"> </w:t>
            </w:r>
          </w:p>
        </w:tc>
      </w:tr>
      <w:tr w14:paraId="6A050F3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56C4EF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09E9C769">
            <w:pPr>
              <w:spacing w:line="320" w:lineRule="exact"/>
              <w:jc w:val="left"/>
              <w:rPr>
                <w:color w:val="000000"/>
                <w:kern w:val="0"/>
                <w:sz w:val="18"/>
                <w:szCs w:val="18"/>
              </w:rPr>
            </w:pPr>
            <w:r>
              <w:rPr>
                <w:rFonts w:hint="eastAsia"/>
                <w:color w:val="000000"/>
                <w:kern w:val="0"/>
                <w:sz w:val="18"/>
                <w:szCs w:val="18"/>
              </w:rPr>
              <w:t>对房地产经纪服务合同未由从事该业务的一名房地产经纪人或者两名房地产经纪人协理签名的处罚</w:t>
            </w:r>
          </w:p>
        </w:tc>
      </w:tr>
      <w:tr w14:paraId="5E0FE210">
        <w:tblPrEx>
          <w:tblCellMar>
            <w:top w:w="0" w:type="dxa"/>
            <w:left w:w="108" w:type="dxa"/>
            <w:bottom w:w="0" w:type="dxa"/>
            <w:right w:w="108" w:type="dxa"/>
          </w:tblCellMar>
        </w:tblPrEx>
        <w:trPr>
          <w:trHeight w:val="1650" w:hRule="atLeast"/>
        </w:trPr>
        <w:tc>
          <w:tcPr>
            <w:tcW w:w="1010" w:type="dxa"/>
            <w:tcBorders>
              <w:top w:val="nil"/>
              <w:left w:val="single" w:color="auto" w:sz="8" w:space="0"/>
              <w:bottom w:val="single" w:color="auto" w:sz="4" w:space="0"/>
              <w:right w:val="single" w:color="auto" w:sz="4" w:space="0"/>
            </w:tcBorders>
            <w:vAlign w:val="center"/>
          </w:tcPr>
          <w:p w14:paraId="4EC3CBD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79D1C0DB">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3271AED8">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房地产经纪机构签订的房地产经纪服务合同，应当加盖房地产经纪机构印章，并由从事该业务的一名房地产经纪人或者两名房地产经纪人协理签名。</w:t>
            </w:r>
          </w:p>
          <w:p w14:paraId="5BCA8516">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58432B06">
            <w:pPr>
              <w:spacing w:line="320" w:lineRule="exact"/>
              <w:jc w:val="left"/>
              <w:rPr>
                <w:color w:val="000000"/>
                <w:kern w:val="0"/>
                <w:sz w:val="18"/>
                <w:szCs w:val="18"/>
              </w:rPr>
            </w:pPr>
            <w:r>
              <w:rPr>
                <w:rFonts w:hint="eastAsia"/>
                <w:color w:val="000000"/>
                <w:kern w:val="0"/>
                <w:sz w:val="18"/>
                <w:szCs w:val="18"/>
              </w:rPr>
              <w:t>（三）房地产经纪服务合同未由从事该业务的一名房地产经纪人或者两名房地产经纪人协理签名的。</w:t>
            </w:r>
          </w:p>
        </w:tc>
      </w:tr>
      <w:tr w14:paraId="4626AEA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9769E3C">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D5A5792">
            <w:pPr>
              <w:spacing w:line="320" w:lineRule="exact"/>
              <w:jc w:val="left"/>
              <w:rPr>
                <w:color w:val="000000"/>
                <w:kern w:val="0"/>
                <w:sz w:val="18"/>
                <w:szCs w:val="18"/>
              </w:rPr>
            </w:pPr>
            <w:r>
              <w:rPr>
                <w:rFonts w:hint="eastAsia"/>
                <w:color w:val="000000"/>
                <w:kern w:val="0"/>
                <w:sz w:val="18"/>
                <w:szCs w:val="18"/>
              </w:rPr>
              <w:t>罚款</w:t>
            </w:r>
          </w:p>
        </w:tc>
      </w:tr>
      <w:tr w14:paraId="131BFBDD">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81E1090">
            <w:pPr>
              <w:spacing w:line="320" w:lineRule="exact"/>
              <w:jc w:val="center"/>
              <w:rPr>
                <w:color w:val="000000"/>
                <w:kern w:val="0"/>
                <w:sz w:val="18"/>
                <w:szCs w:val="18"/>
              </w:rPr>
            </w:pPr>
            <w:r>
              <w:rPr>
                <w:rFonts w:hint="eastAsia"/>
                <w:color w:val="000000"/>
                <w:kern w:val="0"/>
                <w:sz w:val="18"/>
                <w:szCs w:val="18"/>
              </w:rPr>
              <w:t>裁量基准</w:t>
            </w:r>
          </w:p>
        </w:tc>
      </w:tr>
      <w:tr w14:paraId="26163E0F">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735840A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9E77E10">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6ABFE21F">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5FD2E49E">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351C32B6">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14:paraId="2F24A125">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7454796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9081BD7">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224217FE">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00EFB83A">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2A6D0AEC">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bl>
    <w:p w14:paraId="7909A97A"/>
    <w:p w14:paraId="26D9F090"/>
    <w:p w14:paraId="59A17B06"/>
    <w:p w14:paraId="2BF1A45B"/>
    <w:p w14:paraId="051E4C19"/>
    <w:p w14:paraId="1789CD6A"/>
    <w:p w14:paraId="730BC037"/>
    <w:p w14:paraId="35186E0D"/>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25B1327B">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4CEA09F2">
            <w:pPr>
              <w:jc w:val="cente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6A0FED42">
            <w:pPr>
              <w:rPr>
                <w:b/>
                <w:bCs/>
                <w:color w:val="000000"/>
              </w:rPr>
            </w:pPr>
            <w:r>
              <w:rPr>
                <w:b/>
                <w:color w:val="000000"/>
              </w:rPr>
              <w:t>320217577000</w:t>
            </w:r>
          </w:p>
        </w:tc>
      </w:tr>
      <w:tr w14:paraId="02D4152B">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4E54B3AE">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vAlign w:val="center"/>
          </w:tcPr>
          <w:p w14:paraId="0C67C411">
            <w:pPr>
              <w:rPr>
                <w:color w:val="000000"/>
              </w:rPr>
            </w:pPr>
            <w:r>
              <w:rPr>
                <w:rFonts w:hint="eastAsia"/>
                <w:color w:val="000000"/>
              </w:rPr>
              <w:t>对施工总承包单位未审核使用单位制定的建筑起重机械生产安全事故应急救援预案的处罚</w:t>
            </w:r>
          </w:p>
        </w:tc>
      </w:tr>
      <w:tr w14:paraId="237C75E5">
        <w:tblPrEx>
          <w:tblCellMar>
            <w:top w:w="0" w:type="dxa"/>
            <w:left w:w="108" w:type="dxa"/>
            <w:bottom w:w="0" w:type="dxa"/>
            <w:right w:w="108" w:type="dxa"/>
          </w:tblCellMar>
        </w:tblPrEx>
        <w:trPr>
          <w:trHeight w:val="1290" w:hRule="atLeast"/>
        </w:trPr>
        <w:tc>
          <w:tcPr>
            <w:tcW w:w="1296" w:type="dxa"/>
            <w:tcBorders>
              <w:top w:val="nil"/>
              <w:left w:val="single" w:color="auto" w:sz="8" w:space="0"/>
              <w:bottom w:val="single" w:color="auto" w:sz="4" w:space="0"/>
              <w:right w:val="single" w:color="auto" w:sz="4" w:space="0"/>
            </w:tcBorders>
            <w:vAlign w:val="center"/>
          </w:tcPr>
          <w:p w14:paraId="405418DE">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vAlign w:val="center"/>
          </w:tcPr>
          <w:p w14:paraId="79AC3DDA">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第二十一条　施工总承包单位应当履行下列安全职责：</w:t>
            </w:r>
            <w:r>
              <w:rPr>
                <w:color w:val="000000"/>
              </w:rPr>
              <w:br w:type="textWrapping"/>
            </w:r>
            <w:r>
              <w:rPr>
                <w:color w:val="000000"/>
              </w:rPr>
              <w:t xml:space="preserve">   </w:t>
            </w:r>
            <w:r>
              <w:rPr>
                <w:rFonts w:hint="eastAsia"/>
                <w:color w:val="000000"/>
              </w:rPr>
              <w:t>（五）审核使用单位制定的建筑起重机械生产安全事故应急救援预案。</w:t>
            </w:r>
            <w:r>
              <w:rPr>
                <w:color w:val="000000"/>
              </w:rPr>
              <w:br w:type="textWrapping"/>
            </w:r>
            <w:r>
              <w:rPr>
                <w:rFonts w:hint="eastAsia"/>
                <w:color w:val="000000"/>
              </w:rPr>
              <w:t>第三十一条　违反本规定，施工总承包单位未履行第二十一条第（一）、（三）、（四）、（五）、（七）项安全职责的，由县级以上地方人民政府建设主管部门责令限期改正，予以警告，并处以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14:paraId="0BDD88E9">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0B56D487">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1B16DC61">
            <w:pPr>
              <w:rPr>
                <w:color w:val="000000"/>
              </w:rPr>
            </w:pPr>
            <w:r>
              <w:rPr>
                <w:rFonts w:hint="eastAsia"/>
                <w:color w:val="000000"/>
              </w:rPr>
              <w:t>警告，罚款</w:t>
            </w:r>
          </w:p>
        </w:tc>
      </w:tr>
      <w:tr w14:paraId="34B6CB7C">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D616CFF">
            <w:pPr>
              <w:jc w:val="center"/>
              <w:rPr>
                <w:color w:val="000000"/>
              </w:rPr>
            </w:pPr>
            <w:r>
              <w:rPr>
                <w:rFonts w:hint="eastAsia"/>
                <w:color w:val="000000"/>
              </w:rPr>
              <w:t>裁量基准</w:t>
            </w:r>
          </w:p>
        </w:tc>
      </w:tr>
      <w:tr w14:paraId="18D44016">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1DCA210B">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54F7A7A1">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2CDD7C74">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2D14F527">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21212115">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6BDD4F15">
            <w:pPr>
              <w:rPr>
                <w:color w:val="000000"/>
              </w:rPr>
            </w:pPr>
          </w:p>
        </w:tc>
        <w:tc>
          <w:tcPr>
            <w:tcW w:w="5884" w:type="dxa"/>
            <w:tcBorders>
              <w:top w:val="single" w:color="auto" w:sz="4" w:space="0"/>
              <w:left w:val="nil"/>
              <w:bottom w:val="single" w:color="auto" w:sz="4" w:space="0"/>
              <w:right w:val="single" w:color="auto" w:sz="4" w:space="0"/>
            </w:tcBorders>
            <w:vAlign w:val="center"/>
          </w:tcPr>
          <w:p w14:paraId="6F324402">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44E65C86">
            <w:pPr>
              <w:rPr>
                <w:color w:val="000000"/>
              </w:rPr>
            </w:pPr>
          </w:p>
        </w:tc>
        <w:tc>
          <w:tcPr>
            <w:tcW w:w="5760" w:type="dxa"/>
            <w:tcBorders>
              <w:top w:val="nil"/>
              <w:left w:val="nil"/>
              <w:bottom w:val="single" w:color="auto" w:sz="4" w:space="0"/>
              <w:right w:val="single" w:color="auto" w:sz="8" w:space="0"/>
            </w:tcBorders>
            <w:vAlign w:val="center"/>
          </w:tcPr>
          <w:p w14:paraId="11579CD8">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1F0E86E2">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2C942371">
            <w:pPr>
              <w:rPr>
                <w:color w:val="000000"/>
              </w:rPr>
            </w:pPr>
          </w:p>
        </w:tc>
        <w:tc>
          <w:tcPr>
            <w:tcW w:w="5884" w:type="dxa"/>
            <w:tcBorders>
              <w:top w:val="single" w:color="auto" w:sz="4" w:space="0"/>
              <w:left w:val="nil"/>
              <w:bottom w:val="single" w:color="auto" w:sz="4" w:space="0"/>
              <w:right w:val="single" w:color="auto" w:sz="4" w:space="0"/>
            </w:tcBorders>
            <w:vAlign w:val="center"/>
          </w:tcPr>
          <w:p w14:paraId="637D0C65">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191F05B8">
            <w:pPr>
              <w:rPr>
                <w:color w:val="000000"/>
              </w:rPr>
            </w:pPr>
          </w:p>
        </w:tc>
        <w:tc>
          <w:tcPr>
            <w:tcW w:w="5760" w:type="dxa"/>
            <w:tcBorders>
              <w:top w:val="nil"/>
              <w:left w:val="nil"/>
              <w:bottom w:val="single" w:color="auto" w:sz="4" w:space="0"/>
              <w:right w:val="single" w:color="auto" w:sz="8" w:space="0"/>
            </w:tcBorders>
            <w:vAlign w:val="center"/>
          </w:tcPr>
          <w:p w14:paraId="1F5791DA">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65446B6D">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38F733F8">
            <w:pPr>
              <w:rPr>
                <w:color w:val="000000"/>
              </w:rPr>
            </w:pPr>
          </w:p>
        </w:tc>
        <w:tc>
          <w:tcPr>
            <w:tcW w:w="5884" w:type="dxa"/>
            <w:tcBorders>
              <w:top w:val="single" w:color="auto" w:sz="4" w:space="0"/>
              <w:left w:val="nil"/>
              <w:bottom w:val="single" w:color="auto" w:sz="4" w:space="0"/>
              <w:right w:val="single" w:color="auto" w:sz="4" w:space="0"/>
            </w:tcBorders>
            <w:vAlign w:val="center"/>
          </w:tcPr>
          <w:p w14:paraId="652F597D">
            <w:pPr>
              <w:rPr>
                <w:color w:val="000000"/>
              </w:rPr>
            </w:pPr>
            <w:r>
              <w:rPr>
                <w:rFonts w:hint="eastAsia"/>
                <w:color w:val="000000"/>
              </w:rPr>
              <w:t>未按要求改正的，造成安全事故的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057DA45D">
            <w:pPr>
              <w:rPr>
                <w:color w:val="000000"/>
              </w:rPr>
            </w:pPr>
          </w:p>
        </w:tc>
        <w:tc>
          <w:tcPr>
            <w:tcW w:w="5760" w:type="dxa"/>
            <w:tcBorders>
              <w:top w:val="nil"/>
              <w:left w:val="nil"/>
              <w:bottom w:val="single" w:color="auto" w:sz="4" w:space="0"/>
              <w:right w:val="single" w:color="auto" w:sz="8" w:space="0"/>
            </w:tcBorders>
            <w:vAlign w:val="center"/>
          </w:tcPr>
          <w:p w14:paraId="5E68082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5F5CD418"/>
    <w:p w14:paraId="62A47856"/>
    <w:p w14:paraId="0DF8E946"/>
    <w:p w14:paraId="2473B58D"/>
    <w:p w14:paraId="68AD673E"/>
    <w:p w14:paraId="0D7F5D43"/>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6140"/>
        <w:gridCol w:w="1016"/>
        <w:gridCol w:w="5880"/>
      </w:tblGrid>
      <w:tr w14:paraId="52AA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0" w:type="dxa"/>
            <w:vAlign w:val="center"/>
          </w:tcPr>
          <w:p w14:paraId="20EBB2F9">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vAlign w:val="center"/>
          </w:tcPr>
          <w:p w14:paraId="3374D703">
            <w:pPr>
              <w:spacing w:line="320" w:lineRule="exact"/>
              <w:jc w:val="left"/>
              <w:rPr>
                <w:rFonts w:eastAsia="仿宋_GB2312"/>
                <w:b/>
                <w:bCs/>
                <w:color w:val="000000"/>
                <w:kern w:val="0"/>
                <w:sz w:val="18"/>
                <w:szCs w:val="18"/>
              </w:rPr>
            </w:pPr>
            <w:r>
              <w:rPr>
                <w:rFonts w:eastAsia="仿宋_GB2312"/>
                <w:b/>
                <w:bCs/>
                <w:color w:val="000000"/>
                <w:kern w:val="0"/>
                <w:sz w:val="18"/>
                <w:szCs w:val="18"/>
              </w:rPr>
              <w:t>320217578000</w:t>
            </w:r>
          </w:p>
        </w:tc>
      </w:tr>
      <w:tr w14:paraId="6F48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0" w:type="dxa"/>
            <w:vAlign w:val="center"/>
          </w:tcPr>
          <w:p w14:paraId="2C352B56">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vAlign w:val="center"/>
          </w:tcPr>
          <w:p w14:paraId="67AF43C5">
            <w:pPr>
              <w:spacing w:line="320" w:lineRule="exact"/>
              <w:jc w:val="left"/>
              <w:rPr>
                <w:color w:val="000000"/>
                <w:kern w:val="0"/>
                <w:sz w:val="18"/>
                <w:szCs w:val="18"/>
              </w:rPr>
            </w:pPr>
            <w:r>
              <w:rPr>
                <w:rFonts w:hint="eastAsia" w:eastAsia="仿宋_GB2312"/>
                <w:color w:val="000000"/>
                <w:kern w:val="0"/>
                <w:sz w:val="20"/>
              </w:rPr>
              <w:t>对擅自在动物园内摆摊设点的处罚</w:t>
            </w:r>
          </w:p>
        </w:tc>
      </w:tr>
      <w:tr w14:paraId="14AA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980" w:type="dxa"/>
            <w:vAlign w:val="center"/>
          </w:tcPr>
          <w:p w14:paraId="57989ADB">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vAlign w:val="center"/>
          </w:tcPr>
          <w:p w14:paraId="7E27C479">
            <w:pPr>
              <w:spacing w:line="320" w:lineRule="exact"/>
              <w:jc w:val="left"/>
              <w:rPr>
                <w:color w:val="000000"/>
                <w:kern w:val="0"/>
                <w:sz w:val="18"/>
                <w:szCs w:val="18"/>
              </w:rPr>
            </w:pPr>
            <w:r>
              <w:rPr>
                <w:rFonts w:hint="eastAsia" w:eastAsia="仿宋_GB2312"/>
                <w:color w:val="000000"/>
                <w:kern w:val="0"/>
                <w:sz w:val="20"/>
              </w:rPr>
              <w:t>【规章】《城市动物园管理规定》（建设部令</w:t>
            </w:r>
            <w:r>
              <w:rPr>
                <w:rFonts w:eastAsia="仿宋_GB2312"/>
                <w:color w:val="000000"/>
                <w:kern w:val="0"/>
                <w:sz w:val="20"/>
              </w:rPr>
              <w:t>1994</w:t>
            </w:r>
            <w:r>
              <w:rPr>
                <w:rFonts w:hint="eastAsia" w:eastAsia="仿宋_GB2312"/>
                <w:color w:val="000000"/>
                <w:kern w:val="0"/>
                <w:sz w:val="20"/>
              </w:rPr>
              <w:t>年第</w:t>
            </w:r>
            <w:r>
              <w:rPr>
                <w:rFonts w:eastAsia="仿宋_GB2312"/>
                <w:color w:val="000000"/>
                <w:kern w:val="0"/>
                <w:sz w:val="20"/>
              </w:rPr>
              <w:t>37</w:t>
            </w:r>
            <w:r>
              <w:rPr>
                <w:rFonts w:hint="eastAsia" w:eastAsia="仿宋_GB2312"/>
                <w:color w:val="000000"/>
                <w:kern w:val="0"/>
                <w:sz w:val="20"/>
              </w:rPr>
              <w:t>号发布，</w:t>
            </w:r>
            <w:r>
              <w:rPr>
                <w:rFonts w:eastAsia="仿宋_GB2312"/>
                <w:color w:val="000000"/>
                <w:kern w:val="0"/>
                <w:sz w:val="20"/>
              </w:rPr>
              <w:t>2001</w:t>
            </w:r>
            <w:r>
              <w:rPr>
                <w:rFonts w:hint="eastAsia" w:eastAsia="仿宋_GB2312"/>
                <w:color w:val="000000"/>
                <w:kern w:val="0"/>
                <w:sz w:val="20"/>
              </w:rPr>
              <w:t>年第一次修正、</w:t>
            </w:r>
            <w:r>
              <w:rPr>
                <w:rFonts w:eastAsia="仿宋_GB2312"/>
                <w:color w:val="000000"/>
                <w:kern w:val="0"/>
                <w:sz w:val="20"/>
              </w:rPr>
              <w:t>2004</w:t>
            </w:r>
            <w:r>
              <w:rPr>
                <w:rFonts w:hint="eastAsia" w:eastAsia="仿宋_GB2312"/>
                <w:color w:val="000000"/>
                <w:kern w:val="0"/>
                <w:sz w:val="20"/>
              </w:rPr>
              <w:t>年第二次修正）</w:t>
            </w:r>
            <w:r>
              <w:rPr>
                <w:rFonts w:eastAsia="仿宋_GB2312"/>
                <w:color w:val="000000"/>
                <w:kern w:val="0"/>
                <w:sz w:val="20"/>
              </w:rPr>
              <w:br w:type="textWrapping"/>
            </w:r>
            <w:r>
              <w:rPr>
                <w:rFonts w:hint="eastAsia" w:eastAsia="仿宋_GB2312"/>
                <w:color w:val="000000"/>
                <w:kern w:val="0"/>
                <w:sz w:val="20"/>
              </w:rPr>
              <w:t>第二十四条第二款　任何单位和个人不得擅自在动物园内摆摊设点。</w:t>
            </w:r>
            <w:r>
              <w:rPr>
                <w:rFonts w:eastAsia="仿宋_GB2312"/>
                <w:color w:val="000000"/>
                <w:kern w:val="0"/>
                <w:sz w:val="20"/>
              </w:rPr>
              <w:br w:type="textWrapping"/>
            </w:r>
            <w:r>
              <w:rPr>
                <w:rFonts w:hint="eastAsia" w:eastAsia="仿宋_GB2312"/>
                <w:color w:val="000000"/>
                <w:kern w:val="0"/>
                <w:sz w:val="20"/>
              </w:rPr>
              <w:t>第三十条</w:t>
            </w:r>
            <w:r>
              <w:rPr>
                <w:rFonts w:eastAsia="仿宋_GB2312"/>
                <w:color w:val="000000"/>
                <w:kern w:val="0"/>
                <w:sz w:val="20"/>
              </w:rPr>
              <w:t xml:space="preserve"> </w:t>
            </w:r>
            <w:r>
              <w:rPr>
                <w:rFonts w:hint="eastAsia" w:eastAsia="仿宋_GB2312"/>
                <w:color w:val="000000"/>
                <w:kern w:val="0"/>
                <w:sz w:val="20"/>
              </w:rPr>
              <w:t>擅自在动物园内摆摊设点的，由城市人民政府园林行政主管部门责令限期改正，可以并处</w:t>
            </w:r>
            <w:r>
              <w:rPr>
                <w:rFonts w:eastAsia="仿宋_GB2312"/>
                <w:color w:val="000000"/>
                <w:kern w:val="0"/>
                <w:sz w:val="20"/>
              </w:rPr>
              <w:t>1000</w:t>
            </w:r>
            <w:r>
              <w:rPr>
                <w:rFonts w:hint="eastAsia" w:eastAsia="仿宋_GB2312"/>
                <w:color w:val="000000"/>
                <w:kern w:val="0"/>
                <w:sz w:val="20"/>
              </w:rPr>
              <w:t>元以下的罚款；造成损失的，应当承担赔偿责任。</w:t>
            </w:r>
          </w:p>
        </w:tc>
      </w:tr>
      <w:tr w14:paraId="1792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0" w:type="dxa"/>
            <w:vAlign w:val="center"/>
          </w:tcPr>
          <w:p w14:paraId="7BDCF9B6">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vAlign w:val="center"/>
          </w:tcPr>
          <w:p w14:paraId="5E086F9F">
            <w:pPr>
              <w:spacing w:line="320" w:lineRule="exact"/>
              <w:jc w:val="left"/>
              <w:rPr>
                <w:color w:val="000000"/>
                <w:kern w:val="0"/>
                <w:sz w:val="18"/>
                <w:szCs w:val="18"/>
              </w:rPr>
            </w:pPr>
            <w:r>
              <w:rPr>
                <w:rFonts w:hint="eastAsia"/>
                <w:color w:val="000000"/>
                <w:kern w:val="0"/>
                <w:sz w:val="18"/>
                <w:szCs w:val="18"/>
              </w:rPr>
              <w:t>罚款</w:t>
            </w:r>
          </w:p>
        </w:tc>
      </w:tr>
      <w:tr w14:paraId="7337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C287EC2">
            <w:pPr>
              <w:spacing w:line="320" w:lineRule="exact"/>
              <w:jc w:val="center"/>
              <w:rPr>
                <w:color w:val="000000"/>
                <w:kern w:val="0"/>
                <w:sz w:val="18"/>
                <w:szCs w:val="18"/>
              </w:rPr>
            </w:pPr>
            <w:r>
              <w:rPr>
                <w:rFonts w:hint="eastAsia"/>
                <w:color w:val="000000"/>
                <w:kern w:val="0"/>
                <w:sz w:val="18"/>
                <w:szCs w:val="18"/>
              </w:rPr>
              <w:t>裁量基准</w:t>
            </w:r>
          </w:p>
        </w:tc>
      </w:tr>
      <w:tr w14:paraId="44B3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0" w:type="dxa"/>
            <w:vMerge w:val="restart"/>
            <w:vAlign w:val="center"/>
          </w:tcPr>
          <w:p w14:paraId="68C85C8C">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629C0119">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vAlign w:val="center"/>
          </w:tcPr>
          <w:p w14:paraId="37D5330A">
            <w:pPr>
              <w:spacing w:line="320" w:lineRule="exact"/>
              <w:jc w:val="left"/>
              <w:rPr>
                <w:color w:val="000000"/>
                <w:kern w:val="0"/>
                <w:sz w:val="18"/>
                <w:szCs w:val="18"/>
              </w:rPr>
            </w:pPr>
            <w:r>
              <w:rPr>
                <w:rFonts w:hint="eastAsia"/>
                <w:color w:val="000000"/>
                <w:kern w:val="0"/>
                <w:sz w:val="18"/>
                <w:szCs w:val="18"/>
              </w:rPr>
              <w:t>裁量幅度</w:t>
            </w:r>
          </w:p>
        </w:tc>
        <w:tc>
          <w:tcPr>
            <w:tcW w:w="5880" w:type="dxa"/>
            <w:vAlign w:val="center"/>
          </w:tcPr>
          <w:p w14:paraId="7C1BE8F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14:paraId="79D1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80" w:type="dxa"/>
            <w:vMerge w:val="continue"/>
            <w:vAlign w:val="center"/>
          </w:tcPr>
          <w:p w14:paraId="5C7873D5">
            <w:pPr>
              <w:spacing w:line="320" w:lineRule="exact"/>
              <w:jc w:val="left"/>
              <w:rPr>
                <w:color w:val="000000"/>
                <w:kern w:val="0"/>
                <w:sz w:val="18"/>
                <w:szCs w:val="18"/>
              </w:rPr>
            </w:pPr>
          </w:p>
        </w:tc>
        <w:tc>
          <w:tcPr>
            <w:tcW w:w="6140" w:type="dxa"/>
            <w:vAlign w:val="center"/>
          </w:tcPr>
          <w:p w14:paraId="4351D28D">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continue"/>
            <w:vAlign w:val="center"/>
          </w:tcPr>
          <w:p w14:paraId="42716CF6">
            <w:pPr>
              <w:spacing w:line="320" w:lineRule="exact"/>
              <w:jc w:val="left"/>
              <w:rPr>
                <w:color w:val="000000"/>
                <w:kern w:val="0"/>
                <w:sz w:val="18"/>
                <w:szCs w:val="18"/>
              </w:rPr>
            </w:pPr>
          </w:p>
        </w:tc>
        <w:tc>
          <w:tcPr>
            <w:tcW w:w="5880" w:type="dxa"/>
            <w:vAlign w:val="center"/>
          </w:tcPr>
          <w:p w14:paraId="7F2C4A1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545D6DC4"/>
    <w:p w14:paraId="6516E0CB"/>
    <w:p w14:paraId="521A2217"/>
    <w:p w14:paraId="5D66F88D"/>
    <w:p w14:paraId="6B314BE0"/>
    <w:p w14:paraId="4CFAF33B"/>
    <w:p w14:paraId="62C4BFE6"/>
    <w:p w14:paraId="4760D60D"/>
    <w:p w14:paraId="69D7E094"/>
    <w:p w14:paraId="074DF26E"/>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60CB12F3">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03341DF5">
            <w:pPr>
              <w:spacing w:line="240" w:lineRule="exact"/>
              <w:jc w:val="left"/>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left w:val="nil"/>
              <w:bottom w:val="single" w:color="auto" w:sz="4" w:space="0"/>
              <w:right w:val="single" w:color="000000" w:sz="8" w:space="0"/>
            </w:tcBorders>
            <w:vAlign w:val="center"/>
          </w:tcPr>
          <w:p w14:paraId="475861E7">
            <w:pPr>
              <w:spacing w:line="240" w:lineRule="exact"/>
              <w:jc w:val="left"/>
              <w:rPr>
                <w:b/>
                <w:color w:val="000000"/>
                <w:kern w:val="0"/>
                <w:sz w:val="18"/>
                <w:szCs w:val="18"/>
              </w:rPr>
            </w:pPr>
            <w:r>
              <w:rPr>
                <w:b/>
                <w:color w:val="000000"/>
                <w:kern w:val="0"/>
                <w:sz w:val="18"/>
                <w:szCs w:val="18"/>
              </w:rPr>
              <w:t>320217579000</w:t>
            </w:r>
            <w:r>
              <w:rPr>
                <w:rFonts w:hint="eastAsia"/>
                <w:b/>
                <w:color w:val="000000"/>
                <w:kern w:val="0"/>
                <w:sz w:val="18"/>
                <w:szCs w:val="18"/>
              </w:rPr>
              <w:t xml:space="preserve"> </w:t>
            </w:r>
          </w:p>
        </w:tc>
      </w:tr>
      <w:tr w14:paraId="607885D1">
        <w:tblPrEx>
          <w:tblCellMar>
            <w:top w:w="0" w:type="dxa"/>
            <w:left w:w="108" w:type="dxa"/>
            <w:bottom w:w="0" w:type="dxa"/>
            <w:right w:w="108" w:type="dxa"/>
          </w:tblCellMar>
        </w:tblPrEx>
        <w:trPr>
          <w:trHeight w:val="540" w:hRule="atLeast"/>
        </w:trPr>
        <w:tc>
          <w:tcPr>
            <w:tcW w:w="1070" w:type="dxa"/>
            <w:tcBorders>
              <w:top w:val="nil"/>
              <w:left w:val="single" w:color="auto" w:sz="8" w:space="0"/>
              <w:bottom w:val="single" w:color="auto" w:sz="4" w:space="0"/>
              <w:right w:val="single" w:color="auto" w:sz="4" w:space="0"/>
            </w:tcBorders>
            <w:vAlign w:val="center"/>
          </w:tcPr>
          <w:p w14:paraId="4206CF7D">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2D6904D5">
            <w:pPr>
              <w:spacing w:line="240" w:lineRule="exact"/>
              <w:jc w:val="left"/>
              <w:rPr>
                <w:color w:val="000000"/>
                <w:kern w:val="0"/>
                <w:sz w:val="18"/>
                <w:szCs w:val="18"/>
              </w:rPr>
            </w:pPr>
            <w:r>
              <w:rPr>
                <w:rFonts w:hint="eastAsia"/>
                <w:color w:val="000000"/>
                <w:kern w:val="0"/>
                <w:sz w:val="18"/>
                <w:szCs w:val="18"/>
              </w:rPr>
              <w:t>对评标委员会成员收受投标人的财物或者其他好处的，评标委员会成员或者参加评标的有关工作人员向他人透露对投标文件的评审和比较、中标候选人的推荐以及与评标有关的其他情况的处罚</w:t>
            </w:r>
          </w:p>
        </w:tc>
      </w:tr>
      <w:tr w14:paraId="4049BC67">
        <w:tblPrEx>
          <w:tblCellMar>
            <w:top w:w="0" w:type="dxa"/>
            <w:left w:w="108" w:type="dxa"/>
            <w:bottom w:w="0" w:type="dxa"/>
            <w:right w:w="108" w:type="dxa"/>
          </w:tblCellMar>
        </w:tblPrEx>
        <w:trPr>
          <w:trHeight w:val="1635" w:hRule="atLeast"/>
        </w:trPr>
        <w:tc>
          <w:tcPr>
            <w:tcW w:w="1070" w:type="dxa"/>
            <w:tcBorders>
              <w:top w:val="nil"/>
              <w:left w:val="single" w:color="auto" w:sz="8" w:space="0"/>
              <w:bottom w:val="single" w:color="auto" w:sz="4" w:space="0"/>
              <w:right w:val="single" w:color="auto" w:sz="4" w:space="0"/>
            </w:tcBorders>
            <w:vAlign w:val="center"/>
          </w:tcPr>
          <w:p w14:paraId="2007E9D4">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62B70999">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type="textWrapping"/>
            </w:r>
            <w:r>
              <w:rPr>
                <w:rFonts w:hint="eastAsia"/>
                <w:color w:val="000000"/>
                <w:kern w:val="0"/>
                <w:sz w:val="18"/>
                <w:szCs w:val="18"/>
              </w:rPr>
              <w:t>第四十四条第二款　评标委员会成员不得私下接触投标人，不得收受投标人的财物或者其他好处。</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评标委员会成员和参与评标的有关工作人员不得透露对投标文件的评审和比较、中标侯选人的推荐情况以及与评标有关的其他情况。</w:t>
            </w:r>
            <w:r>
              <w:rPr>
                <w:color w:val="000000"/>
                <w:kern w:val="0"/>
                <w:sz w:val="18"/>
                <w:szCs w:val="18"/>
              </w:rPr>
              <w:br w:type="textWrapping"/>
            </w:r>
            <w:r>
              <w:rPr>
                <w:rFonts w:hint="eastAsia"/>
                <w:color w:val="000000"/>
                <w:kern w:val="0"/>
                <w:sz w:val="18"/>
                <w:szCs w:val="18"/>
              </w:rPr>
              <w:t>第五十六条　评标委员会成员收受投标人的财物或者其他好处的，评标委员会成员或者参加评标的有关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w:t>
            </w:r>
            <w:r>
              <w:rPr>
                <w:color w:val="000000"/>
                <w:kern w:val="0"/>
                <w:sz w:val="18"/>
                <w:szCs w:val="18"/>
              </w:rPr>
              <w:t>;</w:t>
            </w:r>
            <w:r>
              <w:rPr>
                <w:rFonts w:hint="eastAsia"/>
                <w:color w:val="000000"/>
                <w:kern w:val="0"/>
                <w:sz w:val="18"/>
                <w:szCs w:val="18"/>
              </w:rPr>
              <w:t>构成犯罪的，依法追究刑事责任。</w:t>
            </w:r>
            <w:r>
              <w:rPr>
                <w:color w:val="000000"/>
                <w:kern w:val="0"/>
                <w:sz w:val="18"/>
                <w:szCs w:val="18"/>
              </w:rPr>
              <w:br w:type="textWrapping"/>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【规章】《工程建设项目施工招标投标办法》（国家发展和改革委员会、工业和信息化部、财政部、住房和城乡建设部、交通运输部、铁道部、水利部、国家广播电影电视总局、中国民用航空局令第</w:t>
            </w:r>
            <w:r>
              <w:rPr>
                <w:color w:val="000000"/>
                <w:kern w:val="0"/>
                <w:sz w:val="18"/>
                <w:szCs w:val="18"/>
              </w:rPr>
              <w:t>30</w:t>
            </w:r>
            <w:r>
              <w:rPr>
                <w:rFonts w:hint="eastAsia"/>
                <w:color w:val="000000"/>
                <w:kern w:val="0"/>
                <w:sz w:val="18"/>
                <w:szCs w:val="18"/>
              </w:rPr>
              <w:t>号，已根据《关于废止和修改部分招标投标规章和规范性文件的决定》修改）</w:t>
            </w:r>
            <w:r>
              <w:rPr>
                <w:color w:val="000000"/>
                <w:kern w:val="0"/>
                <w:sz w:val="18"/>
                <w:szCs w:val="18"/>
              </w:rPr>
              <w:br w:type="textWrapping"/>
            </w:r>
            <w:r>
              <w:rPr>
                <w:rFonts w:hint="eastAsia"/>
                <w:color w:val="000000"/>
                <w:kern w:val="0"/>
                <w:sz w:val="18"/>
                <w:szCs w:val="18"/>
              </w:rPr>
              <w:t>第七十七条　评标委员会成员收受投标人的财物或者其他好处的，没收收受的财物，可以并处三千元以上五万元以下的罚款，取消担任评标委员会成员的资格并予以公告，不得再参加依法必须进行招标的项目的评标；构成犯罪的，依法追究刑事责任。</w:t>
            </w:r>
            <w:r>
              <w:rPr>
                <w:color w:val="000000"/>
                <w:kern w:val="0"/>
                <w:sz w:val="18"/>
                <w:szCs w:val="18"/>
              </w:rPr>
              <w:br w:type="textWrapping"/>
            </w:r>
            <w:r>
              <w:rPr>
                <w:rFonts w:hint="eastAsia"/>
                <w:color w:val="000000"/>
                <w:kern w:val="0"/>
                <w:sz w:val="18"/>
                <w:szCs w:val="18"/>
              </w:rPr>
              <w:t>【规章】《评标专家和评标专家库管理暂行办法》（国家发展和改革委员会令</w:t>
            </w:r>
            <w:r>
              <w:rPr>
                <w:color w:val="000000"/>
                <w:kern w:val="0"/>
                <w:sz w:val="18"/>
                <w:szCs w:val="18"/>
              </w:rPr>
              <w:t>2003</w:t>
            </w:r>
            <w:r>
              <w:rPr>
                <w:rFonts w:hint="eastAsia"/>
                <w:color w:val="000000"/>
                <w:kern w:val="0"/>
                <w:sz w:val="18"/>
                <w:szCs w:val="18"/>
              </w:rPr>
              <w:t>年第</w:t>
            </w:r>
            <w:r>
              <w:rPr>
                <w:color w:val="000000"/>
                <w:kern w:val="0"/>
                <w:sz w:val="18"/>
                <w:szCs w:val="18"/>
              </w:rPr>
              <w:t>29</w:t>
            </w:r>
            <w:r>
              <w:rPr>
                <w:rFonts w:hint="eastAsia"/>
                <w:color w:val="000000"/>
                <w:kern w:val="0"/>
                <w:sz w:val="18"/>
                <w:szCs w:val="18"/>
              </w:rPr>
              <w:t>号，根据</w:t>
            </w:r>
            <w:r>
              <w:rPr>
                <w:color w:val="000000"/>
                <w:kern w:val="0"/>
                <w:sz w:val="18"/>
                <w:szCs w:val="18"/>
              </w:rPr>
              <w:t>2013</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11</w:t>
            </w:r>
            <w:r>
              <w:rPr>
                <w:rFonts w:hint="eastAsia"/>
                <w:color w:val="000000"/>
                <w:kern w:val="0"/>
                <w:sz w:val="18"/>
                <w:szCs w:val="18"/>
              </w:rPr>
              <w:t>日《关于废止和修改部分招标投标规章和规范性文件的决定》</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r>
              <w:rPr>
                <w:color w:val="000000"/>
                <w:kern w:val="0"/>
                <w:sz w:val="18"/>
                <w:szCs w:val="18"/>
              </w:rPr>
              <w:br w:type="textWrapping"/>
            </w:r>
            <w:r>
              <w:rPr>
                <w:rFonts w:hint="eastAsia"/>
                <w:color w:val="000000"/>
                <w:kern w:val="0"/>
                <w:sz w:val="18"/>
                <w:szCs w:val="18"/>
              </w:rPr>
              <w:t>第十五条　评标委员会成员收受投标人的财物或者其他好处的，评标委员会成员或者与评标活动有关的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项目的评标；构成犯罪的，依法追究刑事责任。　</w:t>
            </w:r>
          </w:p>
        </w:tc>
      </w:tr>
      <w:tr w14:paraId="75D5D56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265786D">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1FBE387C">
            <w:pPr>
              <w:spacing w:line="240" w:lineRule="exact"/>
              <w:jc w:val="left"/>
              <w:rPr>
                <w:color w:val="000000"/>
                <w:kern w:val="0"/>
                <w:sz w:val="18"/>
                <w:szCs w:val="18"/>
              </w:rPr>
            </w:pPr>
            <w:r>
              <w:rPr>
                <w:rFonts w:hint="eastAsia"/>
                <w:color w:val="000000"/>
                <w:kern w:val="0"/>
                <w:sz w:val="18"/>
                <w:szCs w:val="18"/>
              </w:rPr>
              <w:t>警告，没收违法所得，罚款</w:t>
            </w:r>
            <w:r>
              <w:rPr>
                <w:color w:val="000000"/>
                <w:kern w:val="0"/>
                <w:sz w:val="18"/>
                <w:szCs w:val="18"/>
              </w:rPr>
              <w:t xml:space="preserve">  </w:t>
            </w:r>
            <w:r>
              <w:rPr>
                <w:rFonts w:hint="eastAsia"/>
                <w:color w:val="000000"/>
                <w:kern w:val="0"/>
                <w:sz w:val="18"/>
                <w:szCs w:val="18"/>
              </w:rPr>
              <w:t>　</w:t>
            </w:r>
          </w:p>
        </w:tc>
      </w:tr>
      <w:tr w14:paraId="6094C38B">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2D699C50">
            <w:pPr>
              <w:spacing w:line="240" w:lineRule="exact"/>
              <w:jc w:val="center"/>
              <w:rPr>
                <w:color w:val="000000"/>
                <w:kern w:val="0"/>
                <w:sz w:val="18"/>
                <w:szCs w:val="18"/>
              </w:rPr>
            </w:pPr>
            <w:r>
              <w:rPr>
                <w:rFonts w:hint="eastAsia"/>
                <w:color w:val="000000"/>
                <w:kern w:val="0"/>
                <w:sz w:val="18"/>
                <w:szCs w:val="18"/>
              </w:rPr>
              <w:t>裁量基准</w:t>
            </w:r>
          </w:p>
        </w:tc>
      </w:tr>
      <w:tr w14:paraId="1FBAE53F">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0751634E">
            <w:pPr>
              <w:spacing w:line="24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7D6F21C">
            <w:pPr>
              <w:spacing w:line="240" w:lineRule="exact"/>
              <w:jc w:val="left"/>
              <w:rPr>
                <w:color w:val="000000"/>
                <w:kern w:val="0"/>
                <w:sz w:val="18"/>
                <w:szCs w:val="18"/>
              </w:rPr>
            </w:pPr>
            <w:r>
              <w:rPr>
                <w:rFonts w:hint="eastAsia"/>
                <w:color w:val="000000"/>
                <w:kern w:val="0"/>
                <w:sz w:val="18"/>
                <w:szCs w:val="18"/>
              </w:rPr>
              <w:t>收受财物或者其他好处，或者透露与评标有关的情况，但未影响评标的</w:t>
            </w:r>
          </w:p>
        </w:tc>
        <w:tc>
          <w:tcPr>
            <w:tcW w:w="1106" w:type="dxa"/>
            <w:vMerge w:val="restart"/>
            <w:tcBorders>
              <w:top w:val="nil"/>
              <w:left w:val="single" w:color="auto" w:sz="4" w:space="0"/>
              <w:right w:val="single" w:color="auto" w:sz="4" w:space="0"/>
            </w:tcBorders>
            <w:vAlign w:val="center"/>
          </w:tcPr>
          <w:p w14:paraId="0CBA140B">
            <w:pPr>
              <w:spacing w:line="240" w:lineRule="exact"/>
              <w:jc w:val="left"/>
              <w:rPr>
                <w:color w:val="000000"/>
                <w:kern w:val="0"/>
                <w:sz w:val="18"/>
                <w:szCs w:val="18"/>
              </w:rPr>
            </w:pPr>
            <w:r>
              <w:rPr>
                <w:rFonts w:hint="eastAsia"/>
                <w:color w:val="000000"/>
                <w:kern w:val="0"/>
                <w:sz w:val="18"/>
                <w:szCs w:val="18"/>
              </w:rPr>
              <w:t>裁量幅度</w:t>
            </w:r>
          </w:p>
        </w:tc>
        <w:tc>
          <w:tcPr>
            <w:tcW w:w="5714" w:type="dxa"/>
            <w:tcBorders>
              <w:top w:val="nil"/>
              <w:left w:val="nil"/>
              <w:bottom w:val="single" w:color="auto" w:sz="4" w:space="0"/>
              <w:right w:val="single" w:color="auto" w:sz="8" w:space="0"/>
            </w:tcBorders>
            <w:vAlign w:val="center"/>
          </w:tcPr>
          <w:p w14:paraId="45DA3A54">
            <w:pPr>
              <w:spacing w:line="24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44DAA866">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3EB44874">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156500F">
            <w:pPr>
              <w:spacing w:line="240" w:lineRule="exact"/>
              <w:jc w:val="left"/>
              <w:rPr>
                <w:color w:val="000000"/>
                <w:kern w:val="0"/>
                <w:sz w:val="18"/>
                <w:szCs w:val="18"/>
              </w:rPr>
            </w:pPr>
            <w:r>
              <w:rPr>
                <w:rFonts w:hint="eastAsia"/>
                <w:color w:val="000000"/>
                <w:kern w:val="0"/>
                <w:sz w:val="18"/>
                <w:szCs w:val="18"/>
              </w:rPr>
              <w:t>收受财物或者其他好处，且透露与评标有关的情况，但未影响评标的</w:t>
            </w:r>
          </w:p>
        </w:tc>
        <w:tc>
          <w:tcPr>
            <w:tcW w:w="1106" w:type="dxa"/>
            <w:vMerge w:val="continue"/>
            <w:tcBorders>
              <w:left w:val="single" w:color="auto" w:sz="4" w:space="0"/>
              <w:right w:val="single" w:color="auto" w:sz="4" w:space="0"/>
            </w:tcBorders>
            <w:vAlign w:val="center"/>
          </w:tcPr>
          <w:p w14:paraId="73863E12">
            <w:pPr>
              <w:spacing w:line="240" w:lineRule="exact"/>
              <w:jc w:val="left"/>
              <w:rPr>
                <w:color w:val="000000"/>
                <w:kern w:val="0"/>
                <w:sz w:val="18"/>
                <w:szCs w:val="18"/>
              </w:rPr>
            </w:pPr>
          </w:p>
        </w:tc>
        <w:tc>
          <w:tcPr>
            <w:tcW w:w="5714" w:type="dxa"/>
            <w:tcBorders>
              <w:top w:val="nil"/>
              <w:left w:val="nil"/>
              <w:bottom w:val="single" w:color="auto" w:sz="4" w:space="0"/>
              <w:right w:val="single" w:color="auto" w:sz="8" w:space="0"/>
            </w:tcBorders>
            <w:vAlign w:val="center"/>
          </w:tcPr>
          <w:p w14:paraId="30EA1C4F">
            <w:pPr>
              <w:spacing w:line="24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10000</w:t>
            </w:r>
            <w:r>
              <w:rPr>
                <w:rFonts w:hint="eastAsia"/>
                <w:color w:val="000000"/>
                <w:kern w:val="0"/>
                <w:sz w:val="18"/>
                <w:szCs w:val="18"/>
              </w:rPr>
              <w:t>元以上</w:t>
            </w:r>
            <w:r>
              <w:rPr>
                <w:color w:val="000000"/>
                <w:kern w:val="0"/>
                <w:sz w:val="18"/>
                <w:szCs w:val="18"/>
              </w:rPr>
              <w:t>26500</w:t>
            </w:r>
            <w:r>
              <w:rPr>
                <w:rFonts w:hint="eastAsia"/>
                <w:color w:val="000000"/>
                <w:kern w:val="0"/>
                <w:sz w:val="18"/>
                <w:szCs w:val="18"/>
              </w:rPr>
              <w:t>元以下罚款</w:t>
            </w:r>
          </w:p>
        </w:tc>
      </w:tr>
      <w:tr w14:paraId="12A19AE6">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53063589">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7F7CA43">
            <w:pPr>
              <w:spacing w:line="240" w:lineRule="exact"/>
              <w:jc w:val="left"/>
              <w:rPr>
                <w:color w:val="000000"/>
                <w:kern w:val="0"/>
                <w:sz w:val="18"/>
                <w:szCs w:val="18"/>
              </w:rPr>
            </w:pPr>
            <w:r>
              <w:rPr>
                <w:rFonts w:hint="eastAsia"/>
                <w:color w:val="000000"/>
                <w:kern w:val="0"/>
                <w:sz w:val="18"/>
                <w:szCs w:val="18"/>
              </w:rPr>
              <w:t>收受财物或者其他好处，或者透露与评标有关的情况，影响评标的</w:t>
            </w:r>
          </w:p>
        </w:tc>
        <w:tc>
          <w:tcPr>
            <w:tcW w:w="1106" w:type="dxa"/>
            <w:vMerge w:val="continue"/>
            <w:tcBorders>
              <w:left w:val="single" w:color="auto" w:sz="4" w:space="0"/>
              <w:right w:val="single" w:color="auto" w:sz="4" w:space="0"/>
            </w:tcBorders>
            <w:vAlign w:val="center"/>
          </w:tcPr>
          <w:p w14:paraId="74C9642E">
            <w:pPr>
              <w:spacing w:line="240" w:lineRule="exact"/>
              <w:jc w:val="left"/>
              <w:rPr>
                <w:color w:val="000000"/>
                <w:kern w:val="0"/>
                <w:sz w:val="18"/>
                <w:szCs w:val="18"/>
              </w:rPr>
            </w:pPr>
          </w:p>
        </w:tc>
        <w:tc>
          <w:tcPr>
            <w:tcW w:w="5714" w:type="dxa"/>
            <w:tcBorders>
              <w:top w:val="nil"/>
              <w:left w:val="nil"/>
              <w:bottom w:val="single" w:color="auto" w:sz="4" w:space="0"/>
              <w:right w:val="single" w:color="auto" w:sz="8" w:space="0"/>
            </w:tcBorders>
            <w:vAlign w:val="center"/>
          </w:tcPr>
          <w:p w14:paraId="2ED4BA6E">
            <w:pPr>
              <w:spacing w:line="240" w:lineRule="exact"/>
              <w:jc w:val="left"/>
              <w:rPr>
                <w:color w:val="000000"/>
                <w:kern w:val="0"/>
                <w:sz w:val="18"/>
                <w:szCs w:val="18"/>
              </w:rPr>
            </w:pPr>
            <w:r>
              <w:rPr>
                <w:color w:val="000000"/>
                <w:kern w:val="0"/>
                <w:sz w:val="18"/>
                <w:szCs w:val="18"/>
              </w:rPr>
              <w:t>26500</w:t>
            </w:r>
            <w:r>
              <w:rPr>
                <w:rFonts w:hint="eastAsia"/>
                <w:color w:val="000000"/>
                <w:kern w:val="0"/>
                <w:sz w:val="18"/>
                <w:szCs w:val="18"/>
              </w:rPr>
              <w:t>元以上</w:t>
            </w:r>
            <w:r>
              <w:rPr>
                <w:color w:val="000000"/>
                <w:kern w:val="0"/>
                <w:sz w:val="18"/>
                <w:szCs w:val="18"/>
              </w:rPr>
              <w:t>35000</w:t>
            </w:r>
            <w:r>
              <w:rPr>
                <w:rFonts w:hint="eastAsia"/>
                <w:color w:val="000000"/>
                <w:kern w:val="0"/>
                <w:sz w:val="18"/>
                <w:szCs w:val="18"/>
              </w:rPr>
              <w:t>元以下罚款</w:t>
            </w:r>
          </w:p>
        </w:tc>
      </w:tr>
      <w:tr w14:paraId="45A9542A">
        <w:tblPrEx>
          <w:tblCellMar>
            <w:top w:w="0" w:type="dxa"/>
            <w:left w:w="108" w:type="dxa"/>
            <w:bottom w:w="0" w:type="dxa"/>
            <w:right w:w="108" w:type="dxa"/>
          </w:tblCellMar>
        </w:tblPrEx>
        <w:trPr>
          <w:trHeight w:val="285" w:hRule="atLeast"/>
        </w:trPr>
        <w:tc>
          <w:tcPr>
            <w:tcW w:w="1070" w:type="dxa"/>
            <w:vMerge w:val="continue"/>
            <w:tcBorders>
              <w:left w:val="single" w:color="auto" w:sz="8" w:space="0"/>
              <w:bottom w:val="single" w:color="auto" w:sz="4" w:space="0"/>
              <w:right w:val="single" w:color="auto" w:sz="4" w:space="0"/>
            </w:tcBorders>
            <w:vAlign w:val="center"/>
          </w:tcPr>
          <w:p w14:paraId="53969FAC">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01BF86D">
            <w:pPr>
              <w:spacing w:line="240" w:lineRule="exact"/>
              <w:jc w:val="left"/>
              <w:rPr>
                <w:color w:val="000000"/>
                <w:kern w:val="0"/>
                <w:sz w:val="18"/>
                <w:szCs w:val="18"/>
              </w:rPr>
            </w:pPr>
            <w:r>
              <w:rPr>
                <w:rFonts w:hint="eastAsia"/>
                <w:color w:val="000000"/>
                <w:kern w:val="0"/>
                <w:sz w:val="18"/>
                <w:szCs w:val="18"/>
              </w:rPr>
              <w:t>收受财物或者其他好处，且透露与评标有关的情况，影响评标的</w:t>
            </w:r>
          </w:p>
        </w:tc>
        <w:tc>
          <w:tcPr>
            <w:tcW w:w="1106" w:type="dxa"/>
            <w:vMerge w:val="continue"/>
            <w:tcBorders>
              <w:left w:val="single" w:color="auto" w:sz="4" w:space="0"/>
              <w:bottom w:val="single" w:color="auto" w:sz="4" w:space="0"/>
              <w:right w:val="single" w:color="auto" w:sz="4" w:space="0"/>
            </w:tcBorders>
            <w:vAlign w:val="center"/>
          </w:tcPr>
          <w:p w14:paraId="08CE093C">
            <w:pPr>
              <w:spacing w:line="240" w:lineRule="exact"/>
              <w:jc w:val="left"/>
              <w:rPr>
                <w:color w:val="000000"/>
                <w:kern w:val="0"/>
                <w:sz w:val="18"/>
                <w:szCs w:val="18"/>
              </w:rPr>
            </w:pPr>
          </w:p>
        </w:tc>
        <w:tc>
          <w:tcPr>
            <w:tcW w:w="5714" w:type="dxa"/>
            <w:tcBorders>
              <w:top w:val="nil"/>
              <w:left w:val="nil"/>
              <w:bottom w:val="single" w:color="auto" w:sz="4" w:space="0"/>
              <w:right w:val="single" w:color="auto" w:sz="8" w:space="0"/>
            </w:tcBorders>
            <w:vAlign w:val="center"/>
          </w:tcPr>
          <w:p w14:paraId="7A711082">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35000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w:t>
            </w:r>
          </w:p>
        </w:tc>
      </w:tr>
    </w:tbl>
    <w:p w14:paraId="1F0B56DA"/>
    <w:p w14:paraId="10F01C6F"/>
    <w:p w14:paraId="560A9A4F"/>
    <w:p w14:paraId="5C929D8B"/>
    <w:p w14:paraId="4849B307"/>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84"/>
        <w:gridCol w:w="12"/>
      </w:tblGrid>
      <w:tr w14:paraId="2503ECDB">
        <w:tblPrEx>
          <w:tblCellMar>
            <w:top w:w="0" w:type="dxa"/>
            <w:left w:w="108" w:type="dxa"/>
            <w:bottom w:w="0" w:type="dxa"/>
            <w:right w:w="108" w:type="dxa"/>
          </w:tblCellMar>
        </w:tblPrEx>
        <w:trPr>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1B0F5AEC">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color="auto" w:sz="8" w:space="0"/>
              <w:left w:val="nil"/>
              <w:bottom w:val="single" w:color="auto" w:sz="4" w:space="0"/>
              <w:right w:val="single" w:color="000000" w:sz="8" w:space="0"/>
            </w:tcBorders>
            <w:vAlign w:val="center"/>
          </w:tcPr>
          <w:p w14:paraId="633B66AA">
            <w:pPr>
              <w:spacing w:line="320" w:lineRule="exact"/>
              <w:jc w:val="left"/>
              <w:rPr>
                <w:rFonts w:eastAsia="仿宋_GB2312"/>
                <w:b/>
                <w:bCs/>
                <w:color w:val="000000"/>
                <w:kern w:val="0"/>
                <w:sz w:val="18"/>
                <w:szCs w:val="18"/>
              </w:rPr>
            </w:pPr>
            <w:r>
              <w:rPr>
                <w:rFonts w:eastAsia="仿宋_GB2312"/>
                <w:b/>
                <w:bCs/>
                <w:color w:val="000000"/>
                <w:kern w:val="0"/>
                <w:sz w:val="18"/>
                <w:szCs w:val="18"/>
              </w:rPr>
              <w:t>320217580000</w:t>
            </w:r>
          </w:p>
        </w:tc>
      </w:tr>
      <w:tr w14:paraId="17ED57E9">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6C95383F">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4"/>
            <w:tcBorders>
              <w:top w:val="single" w:color="auto" w:sz="4" w:space="0"/>
              <w:left w:val="nil"/>
              <w:bottom w:val="single" w:color="auto" w:sz="4" w:space="0"/>
              <w:right w:val="single" w:color="000000" w:sz="8" w:space="0"/>
            </w:tcBorders>
            <w:vAlign w:val="center"/>
          </w:tcPr>
          <w:p w14:paraId="328EA251">
            <w:pPr>
              <w:spacing w:line="320" w:lineRule="exact"/>
              <w:jc w:val="left"/>
              <w:rPr>
                <w:color w:val="000000"/>
                <w:kern w:val="0"/>
                <w:sz w:val="18"/>
                <w:szCs w:val="18"/>
              </w:rPr>
            </w:pPr>
            <w:r>
              <w:rPr>
                <w:rFonts w:hint="eastAsia"/>
                <w:color w:val="000000"/>
                <w:kern w:val="0"/>
                <w:sz w:val="18"/>
                <w:szCs w:val="18"/>
              </w:rPr>
              <w:t>对在燃气设施保护范围内倾倒、排放腐蚀性物质的处罚</w:t>
            </w:r>
          </w:p>
        </w:tc>
      </w:tr>
      <w:tr w14:paraId="63494966">
        <w:tblPrEx>
          <w:tblCellMar>
            <w:top w:w="0" w:type="dxa"/>
            <w:left w:w="108" w:type="dxa"/>
            <w:bottom w:w="0" w:type="dxa"/>
            <w:right w:w="108" w:type="dxa"/>
          </w:tblCellMar>
        </w:tblPrEx>
        <w:trPr>
          <w:trHeight w:val="1560" w:hRule="atLeast"/>
        </w:trPr>
        <w:tc>
          <w:tcPr>
            <w:tcW w:w="996" w:type="dxa"/>
            <w:gridSpan w:val="2"/>
            <w:tcBorders>
              <w:top w:val="nil"/>
              <w:left w:val="single" w:color="auto" w:sz="8" w:space="0"/>
              <w:bottom w:val="single" w:color="auto" w:sz="4" w:space="0"/>
              <w:right w:val="single" w:color="auto" w:sz="4" w:space="0"/>
            </w:tcBorders>
            <w:vAlign w:val="center"/>
          </w:tcPr>
          <w:p w14:paraId="5C2A12A2">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color="auto" w:sz="4" w:space="0"/>
              <w:left w:val="nil"/>
              <w:bottom w:val="single" w:color="auto" w:sz="4" w:space="0"/>
              <w:right w:val="single" w:color="000000" w:sz="8" w:space="0"/>
            </w:tcBorders>
            <w:vAlign w:val="center"/>
          </w:tcPr>
          <w:p w14:paraId="336E9CA1">
            <w:pPr>
              <w:spacing w:line="320" w:lineRule="exact"/>
              <w:jc w:val="left"/>
              <w:rPr>
                <w:color w:val="000000"/>
                <w:kern w:val="0"/>
                <w:sz w:val="18"/>
                <w:szCs w:val="18"/>
              </w:rPr>
            </w:pPr>
            <w:r>
              <w:rPr>
                <w:rFonts w:hint="eastAsia"/>
                <w:color w:val="000000"/>
                <w:kern w:val="0"/>
                <w:sz w:val="18"/>
                <w:szCs w:val="18"/>
              </w:rPr>
              <w:t>【行政法规】《城镇燃气管理条例》（国务院令第583号）</w:t>
            </w:r>
          </w:p>
          <w:p w14:paraId="7BAB1DFF">
            <w:pPr>
              <w:spacing w:line="320" w:lineRule="exact"/>
              <w:jc w:val="left"/>
              <w:rPr>
                <w:color w:val="000000"/>
                <w:kern w:val="0"/>
                <w:sz w:val="18"/>
                <w:szCs w:val="18"/>
              </w:rPr>
            </w:pPr>
            <w:r>
              <w:rPr>
                <w:rFonts w:hint="eastAsia"/>
                <w:color w:val="000000"/>
                <w:kern w:val="0"/>
                <w:sz w:val="18"/>
                <w:szCs w:val="18"/>
              </w:rPr>
              <w:t xml:space="preserve">    第三十三条第二款  在燃气设施保护范围内，禁止从事下列危及燃气设施安全的活动： </w:t>
            </w:r>
          </w:p>
          <w:p w14:paraId="55758AEE">
            <w:pPr>
              <w:spacing w:line="320" w:lineRule="exact"/>
              <w:jc w:val="left"/>
              <w:rPr>
                <w:color w:val="000000"/>
                <w:kern w:val="0"/>
                <w:sz w:val="18"/>
                <w:szCs w:val="18"/>
              </w:rPr>
            </w:pPr>
            <w:r>
              <w:rPr>
                <w:rFonts w:hint="eastAsia"/>
                <w:color w:val="000000"/>
                <w:kern w:val="0"/>
                <w:sz w:val="18"/>
                <w:szCs w:val="18"/>
              </w:rPr>
              <w:t xml:space="preserve">   （三）倾倒、排放腐蚀性物质。</w:t>
            </w:r>
          </w:p>
          <w:p w14:paraId="08C4FC86">
            <w:pPr>
              <w:spacing w:line="320" w:lineRule="exact"/>
              <w:jc w:val="left"/>
              <w:rPr>
                <w:color w:val="000000"/>
                <w:kern w:val="0"/>
                <w:sz w:val="18"/>
                <w:szCs w:val="18"/>
              </w:rPr>
            </w:pPr>
            <w:r>
              <w:rPr>
                <w:rFonts w:hint="eastAsia"/>
                <w:color w:val="000000"/>
                <w:kern w:val="0"/>
                <w:sz w:val="18"/>
                <w:szCs w:val="18"/>
              </w:rPr>
              <w:t xml:space="preserve">    第五十条第一款  违反本条例规定，在燃气设施保护范围内从事下列活动之一的，由燃气管理部门责令停止违法行为，限期恢复原状或者采取其他补救措施，对单位处5万元以上10万元以下罚款，对个人处5000元以上5万元以下罚款；造成损失的，依法承担赔偿责任；构成犯罪的，依法追究刑事责任： </w:t>
            </w:r>
          </w:p>
          <w:p w14:paraId="3A180296">
            <w:pPr>
              <w:spacing w:line="320" w:lineRule="exact"/>
              <w:jc w:val="left"/>
              <w:rPr>
                <w:color w:val="000000"/>
                <w:kern w:val="0"/>
                <w:sz w:val="18"/>
                <w:szCs w:val="18"/>
              </w:rPr>
            </w:pPr>
            <w:r>
              <w:rPr>
                <w:rFonts w:hint="eastAsia"/>
                <w:color w:val="000000"/>
                <w:kern w:val="0"/>
                <w:sz w:val="18"/>
                <w:szCs w:val="18"/>
              </w:rPr>
              <w:t xml:space="preserve">   （二）倾倒、排放腐蚀性物质的。</w:t>
            </w:r>
          </w:p>
          <w:p w14:paraId="071AB574">
            <w:pPr>
              <w:spacing w:line="320" w:lineRule="exact"/>
              <w:jc w:val="left"/>
              <w:rPr>
                <w:color w:val="000000"/>
                <w:kern w:val="0"/>
                <w:sz w:val="18"/>
                <w:szCs w:val="18"/>
              </w:rPr>
            </w:pPr>
            <w:r>
              <w:rPr>
                <w:rFonts w:hint="eastAsia"/>
                <w:color w:val="000000"/>
                <w:kern w:val="0"/>
                <w:sz w:val="18"/>
                <w:szCs w:val="18"/>
              </w:rPr>
              <w:t xml:space="preserve">    【地方性法规】《江苏省燃气管理条例》 </w:t>
            </w:r>
          </w:p>
          <w:p w14:paraId="37B07F47">
            <w:pPr>
              <w:spacing w:line="320" w:lineRule="exact"/>
              <w:jc w:val="left"/>
              <w:rPr>
                <w:color w:val="000000"/>
                <w:kern w:val="0"/>
                <w:sz w:val="18"/>
                <w:szCs w:val="18"/>
              </w:rPr>
            </w:pPr>
            <w:r>
              <w:rPr>
                <w:rFonts w:hint="eastAsia"/>
                <w:color w:val="000000"/>
                <w:kern w:val="0"/>
                <w:sz w:val="18"/>
                <w:szCs w:val="18"/>
              </w:rPr>
              <w:t xml:space="preserve">   第四十五条第二款 　在燃气设施的安全保护范围内，禁止从事下列危及燃气安全的活动：</w:t>
            </w:r>
          </w:p>
          <w:p w14:paraId="6C573D81">
            <w:pPr>
              <w:spacing w:line="320" w:lineRule="exact"/>
              <w:jc w:val="left"/>
              <w:rPr>
                <w:color w:val="000000"/>
                <w:kern w:val="0"/>
                <w:sz w:val="18"/>
                <w:szCs w:val="18"/>
              </w:rPr>
            </w:pPr>
            <w:r>
              <w:rPr>
                <w:rFonts w:hint="eastAsia"/>
                <w:color w:val="000000"/>
                <w:kern w:val="0"/>
                <w:sz w:val="18"/>
                <w:szCs w:val="18"/>
              </w:rPr>
              <w:t>　（二）堆放易燃易爆物品或者倾倒、排放腐蚀性物质；</w:t>
            </w:r>
          </w:p>
          <w:p w14:paraId="781F12C3">
            <w:pPr>
              <w:spacing w:line="320" w:lineRule="exact"/>
              <w:jc w:val="left"/>
              <w:rPr>
                <w:color w:val="000000"/>
                <w:kern w:val="0"/>
                <w:sz w:val="18"/>
                <w:szCs w:val="18"/>
              </w:rPr>
            </w:pPr>
            <w:r>
              <w:rPr>
                <w:rFonts w:hint="eastAsia"/>
                <w:color w:val="000000"/>
                <w:kern w:val="0"/>
                <w:sz w:val="18"/>
                <w:szCs w:val="18"/>
              </w:rPr>
              <w:t xml:space="preserve">   第六十四条第二款  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14:paraId="595A9FFF">
        <w:tblPrEx>
          <w:tblCellMar>
            <w:top w:w="0" w:type="dxa"/>
            <w:left w:w="108" w:type="dxa"/>
            <w:bottom w:w="0" w:type="dxa"/>
            <w:right w:w="108" w:type="dxa"/>
          </w:tblCellMar>
        </w:tblPrEx>
        <w:trPr>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4556749B">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color="auto" w:sz="4" w:space="0"/>
              <w:left w:val="nil"/>
              <w:bottom w:val="single" w:color="auto" w:sz="4" w:space="0"/>
              <w:right w:val="single" w:color="000000" w:sz="8" w:space="0"/>
            </w:tcBorders>
            <w:vAlign w:val="center"/>
          </w:tcPr>
          <w:p w14:paraId="5845A014">
            <w:pPr>
              <w:spacing w:line="320" w:lineRule="exact"/>
              <w:jc w:val="left"/>
              <w:rPr>
                <w:color w:val="000000"/>
                <w:kern w:val="0"/>
                <w:sz w:val="18"/>
                <w:szCs w:val="18"/>
              </w:rPr>
            </w:pPr>
            <w:r>
              <w:rPr>
                <w:rFonts w:hint="eastAsia"/>
                <w:color w:val="000000"/>
                <w:kern w:val="0"/>
                <w:sz w:val="18"/>
                <w:szCs w:val="18"/>
              </w:rPr>
              <w:t>罚款</w:t>
            </w:r>
          </w:p>
        </w:tc>
      </w:tr>
      <w:tr w14:paraId="60324B4B">
        <w:tblPrEx>
          <w:tblCellMar>
            <w:top w:w="0" w:type="dxa"/>
            <w:left w:w="108" w:type="dxa"/>
            <w:bottom w:w="0" w:type="dxa"/>
            <w:right w:w="108" w:type="dxa"/>
          </w:tblCellMar>
        </w:tblPrEx>
        <w:trPr>
          <w:trHeight w:val="285" w:hRule="atLeast"/>
        </w:trPr>
        <w:tc>
          <w:tcPr>
            <w:tcW w:w="14016" w:type="dxa"/>
            <w:gridSpan w:val="6"/>
            <w:tcBorders>
              <w:top w:val="single" w:color="auto" w:sz="4" w:space="0"/>
              <w:left w:val="single" w:color="auto" w:sz="8" w:space="0"/>
              <w:bottom w:val="single" w:color="auto" w:sz="4" w:space="0"/>
              <w:right w:val="single" w:color="000000" w:sz="8" w:space="0"/>
            </w:tcBorders>
            <w:vAlign w:val="center"/>
          </w:tcPr>
          <w:p w14:paraId="7F927290">
            <w:pPr>
              <w:spacing w:line="320" w:lineRule="exact"/>
              <w:jc w:val="center"/>
              <w:rPr>
                <w:color w:val="000000"/>
                <w:kern w:val="0"/>
                <w:sz w:val="18"/>
                <w:szCs w:val="18"/>
              </w:rPr>
            </w:pPr>
            <w:r>
              <w:rPr>
                <w:rFonts w:hint="eastAsia"/>
                <w:color w:val="000000"/>
                <w:kern w:val="0"/>
                <w:sz w:val="18"/>
                <w:szCs w:val="18"/>
              </w:rPr>
              <w:t>裁量基准</w:t>
            </w:r>
          </w:p>
        </w:tc>
      </w:tr>
      <w:tr w14:paraId="3587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5" w:hRule="atLeast"/>
        </w:trPr>
        <w:tc>
          <w:tcPr>
            <w:tcW w:w="980" w:type="dxa"/>
            <w:vMerge w:val="restart"/>
            <w:vAlign w:val="center"/>
          </w:tcPr>
          <w:p w14:paraId="60A44550">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62E6807A">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14:paraId="480E061C">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14:paraId="6E2B13A7">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14:paraId="1B6A5D7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14:paraId="2DED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0C5D1B19">
            <w:pPr>
              <w:spacing w:line="320" w:lineRule="exact"/>
              <w:jc w:val="center"/>
              <w:rPr>
                <w:color w:val="000000"/>
                <w:kern w:val="0"/>
                <w:sz w:val="18"/>
                <w:szCs w:val="18"/>
              </w:rPr>
            </w:pPr>
          </w:p>
        </w:tc>
        <w:tc>
          <w:tcPr>
            <w:tcW w:w="6140" w:type="dxa"/>
            <w:gridSpan w:val="2"/>
            <w:vAlign w:val="center"/>
          </w:tcPr>
          <w:p w14:paraId="28282FAA">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continue"/>
            <w:vAlign w:val="center"/>
          </w:tcPr>
          <w:p w14:paraId="7CF22F29">
            <w:pPr>
              <w:spacing w:line="320" w:lineRule="exact"/>
              <w:jc w:val="center"/>
              <w:rPr>
                <w:color w:val="000000"/>
                <w:kern w:val="0"/>
                <w:sz w:val="18"/>
                <w:szCs w:val="18"/>
              </w:rPr>
            </w:pPr>
          </w:p>
        </w:tc>
        <w:tc>
          <w:tcPr>
            <w:tcW w:w="5884" w:type="dxa"/>
            <w:vAlign w:val="center"/>
          </w:tcPr>
          <w:p w14:paraId="332C1489">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14:paraId="536DFC98">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05F4D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5" w:hRule="atLeast"/>
        </w:trPr>
        <w:tc>
          <w:tcPr>
            <w:tcW w:w="980" w:type="dxa"/>
            <w:vMerge w:val="continue"/>
            <w:vAlign w:val="center"/>
          </w:tcPr>
          <w:p w14:paraId="75997680">
            <w:pPr>
              <w:spacing w:line="320" w:lineRule="exact"/>
              <w:jc w:val="center"/>
              <w:rPr>
                <w:color w:val="000000"/>
                <w:kern w:val="0"/>
                <w:sz w:val="18"/>
                <w:szCs w:val="18"/>
              </w:rPr>
            </w:pPr>
          </w:p>
        </w:tc>
        <w:tc>
          <w:tcPr>
            <w:tcW w:w="6140" w:type="dxa"/>
            <w:gridSpan w:val="2"/>
            <w:vAlign w:val="center"/>
          </w:tcPr>
          <w:p w14:paraId="2AB9CFC7">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continue"/>
            <w:vAlign w:val="center"/>
          </w:tcPr>
          <w:p w14:paraId="16BC236D">
            <w:pPr>
              <w:spacing w:line="320" w:lineRule="exact"/>
              <w:jc w:val="center"/>
              <w:rPr>
                <w:color w:val="000000"/>
                <w:kern w:val="0"/>
                <w:sz w:val="18"/>
                <w:szCs w:val="18"/>
              </w:rPr>
            </w:pPr>
          </w:p>
        </w:tc>
        <w:tc>
          <w:tcPr>
            <w:tcW w:w="5884" w:type="dxa"/>
            <w:vAlign w:val="center"/>
          </w:tcPr>
          <w:p w14:paraId="7BB0E831">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14:paraId="1126516F">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62F85CB2"/>
    <w:p w14:paraId="18AF30FF"/>
    <w:p w14:paraId="1B09DC32"/>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2969"/>
        <w:gridCol w:w="3171"/>
        <w:gridCol w:w="1080"/>
        <w:gridCol w:w="5820"/>
      </w:tblGrid>
      <w:tr w14:paraId="75E7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A7EC8E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14:paraId="52203080">
            <w:pPr>
              <w:spacing w:line="320" w:lineRule="exact"/>
              <w:jc w:val="left"/>
              <w:rPr>
                <w:rFonts w:eastAsia="仿宋_GB2312"/>
                <w:b/>
                <w:bCs/>
                <w:color w:val="000000"/>
                <w:kern w:val="0"/>
                <w:sz w:val="18"/>
                <w:szCs w:val="18"/>
              </w:rPr>
            </w:pPr>
            <w:r>
              <w:rPr>
                <w:rFonts w:eastAsia="仿宋_GB2312"/>
                <w:b/>
                <w:bCs/>
                <w:color w:val="000000"/>
                <w:kern w:val="0"/>
                <w:sz w:val="18"/>
                <w:szCs w:val="18"/>
              </w:rPr>
              <w:t>320217582000</w:t>
            </w:r>
            <w:r>
              <w:rPr>
                <w:rFonts w:hint="eastAsia" w:eastAsia="仿宋_GB2312"/>
                <w:b/>
                <w:bCs/>
                <w:color w:val="000000"/>
                <w:kern w:val="0"/>
                <w:sz w:val="18"/>
                <w:szCs w:val="18"/>
              </w:rPr>
              <w:t xml:space="preserve"> </w:t>
            </w:r>
          </w:p>
        </w:tc>
      </w:tr>
      <w:tr w14:paraId="09B9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C9AD841">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14:paraId="4306D6B6">
            <w:pPr>
              <w:spacing w:line="320" w:lineRule="exact"/>
              <w:jc w:val="left"/>
              <w:rPr>
                <w:color w:val="000000"/>
                <w:kern w:val="0"/>
                <w:sz w:val="18"/>
                <w:szCs w:val="18"/>
              </w:rPr>
            </w:pPr>
            <w:r>
              <w:rPr>
                <w:rFonts w:hint="eastAsia"/>
                <w:color w:val="000000"/>
                <w:kern w:val="0"/>
                <w:sz w:val="18"/>
                <w:szCs w:val="18"/>
              </w:rPr>
              <w:t>对施工单位未及时、同步按照规定收集整理施工质量控制资料，或者弄虚作假的处罚</w:t>
            </w:r>
          </w:p>
        </w:tc>
      </w:tr>
      <w:tr w14:paraId="6758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65930124">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14:paraId="56CA2B3C">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5C3811BB">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施工单位应当履行下列工程质量义务：</w:t>
            </w:r>
          </w:p>
          <w:p w14:paraId="6263B77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（五）及时、同步收集整理施工质量控制资料，并符合有关规定要求，不得弄虚作假。</w:t>
            </w:r>
          </w:p>
          <w:p w14:paraId="1DC04E66">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14:paraId="3A3B5A2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（四）未及时、同步按照规定收集整理施工质量控制资料，或者弄虚作假的。</w:t>
            </w:r>
          </w:p>
        </w:tc>
      </w:tr>
      <w:tr w14:paraId="2BAD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1FA4D4E4">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14:paraId="109E0553">
            <w:pPr>
              <w:spacing w:line="320" w:lineRule="exact"/>
              <w:jc w:val="left"/>
              <w:rPr>
                <w:color w:val="000000"/>
                <w:kern w:val="0"/>
                <w:sz w:val="18"/>
                <w:szCs w:val="18"/>
              </w:rPr>
            </w:pPr>
            <w:r>
              <w:rPr>
                <w:rFonts w:hint="eastAsia"/>
                <w:color w:val="000000"/>
                <w:kern w:val="0"/>
                <w:sz w:val="18"/>
                <w:szCs w:val="18"/>
              </w:rPr>
              <w:t>罚款</w:t>
            </w:r>
          </w:p>
        </w:tc>
      </w:tr>
      <w:tr w14:paraId="1FC1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5"/>
            <w:vAlign w:val="center"/>
          </w:tcPr>
          <w:p w14:paraId="2750950F">
            <w:pPr>
              <w:spacing w:line="320" w:lineRule="exact"/>
              <w:jc w:val="center"/>
              <w:rPr>
                <w:color w:val="000000"/>
                <w:kern w:val="0"/>
                <w:sz w:val="18"/>
                <w:szCs w:val="18"/>
              </w:rPr>
            </w:pPr>
            <w:r>
              <w:rPr>
                <w:rFonts w:hint="eastAsia"/>
                <w:color w:val="000000"/>
                <w:kern w:val="0"/>
                <w:sz w:val="18"/>
                <w:szCs w:val="18"/>
              </w:rPr>
              <w:t>裁量基准</w:t>
            </w:r>
          </w:p>
        </w:tc>
      </w:tr>
      <w:tr w14:paraId="7A5D8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47628DAE">
            <w:pPr>
              <w:rPr>
                <w:color w:val="000000"/>
                <w:kern w:val="0"/>
                <w:sz w:val="18"/>
                <w:szCs w:val="18"/>
              </w:rPr>
            </w:pPr>
            <w:r>
              <w:rPr>
                <w:rFonts w:hint="eastAsia"/>
                <w:color w:val="000000"/>
                <w:kern w:val="0"/>
                <w:sz w:val="18"/>
                <w:szCs w:val="18"/>
              </w:rPr>
              <w:t>情形描述</w:t>
            </w:r>
          </w:p>
        </w:tc>
        <w:tc>
          <w:tcPr>
            <w:tcW w:w="2969" w:type="dxa"/>
            <w:vMerge w:val="restart"/>
            <w:vAlign w:val="center"/>
          </w:tcPr>
          <w:p w14:paraId="3F3CA54F">
            <w:pPr>
              <w:spacing w:line="320" w:lineRule="exact"/>
              <w:jc w:val="left"/>
              <w:rPr>
                <w:color w:val="000000"/>
                <w:kern w:val="0"/>
                <w:sz w:val="18"/>
                <w:szCs w:val="18"/>
              </w:rPr>
            </w:pPr>
            <w:r>
              <w:rPr>
                <w:rFonts w:hint="eastAsia"/>
                <w:color w:val="000000"/>
                <w:kern w:val="0"/>
                <w:sz w:val="18"/>
                <w:szCs w:val="18"/>
              </w:rPr>
              <w:t>工程质量符合施工图纸设计要求</w:t>
            </w:r>
          </w:p>
        </w:tc>
        <w:tc>
          <w:tcPr>
            <w:tcW w:w="3171" w:type="dxa"/>
            <w:vAlign w:val="center"/>
          </w:tcPr>
          <w:p w14:paraId="1A27BC8B">
            <w:pPr>
              <w:spacing w:line="320" w:lineRule="exact"/>
              <w:jc w:val="left"/>
              <w:rPr>
                <w:color w:val="000000"/>
                <w:kern w:val="0"/>
                <w:sz w:val="18"/>
                <w:szCs w:val="18"/>
              </w:rPr>
            </w:pPr>
            <w:r>
              <w:rPr>
                <w:rFonts w:hint="eastAsia"/>
                <w:color w:val="000000"/>
                <w:kern w:val="0"/>
                <w:sz w:val="18"/>
                <w:szCs w:val="18"/>
              </w:rPr>
              <w:t>无弄虚作假，按照要求整改的</w:t>
            </w:r>
          </w:p>
        </w:tc>
        <w:tc>
          <w:tcPr>
            <w:tcW w:w="1080" w:type="dxa"/>
            <w:vMerge w:val="restart"/>
            <w:vAlign w:val="center"/>
          </w:tcPr>
          <w:p w14:paraId="667106FF">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68E4B087">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元以下罚款</w:t>
            </w:r>
          </w:p>
        </w:tc>
      </w:tr>
      <w:tr w14:paraId="42CD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02281850">
            <w:pPr>
              <w:rPr>
                <w:color w:val="000000"/>
                <w:kern w:val="0"/>
                <w:sz w:val="18"/>
                <w:szCs w:val="18"/>
              </w:rPr>
            </w:pPr>
          </w:p>
        </w:tc>
        <w:tc>
          <w:tcPr>
            <w:tcW w:w="2969" w:type="dxa"/>
            <w:vMerge w:val="continue"/>
            <w:vAlign w:val="center"/>
          </w:tcPr>
          <w:p w14:paraId="150CD1A9">
            <w:pPr>
              <w:spacing w:line="320" w:lineRule="exact"/>
              <w:jc w:val="left"/>
              <w:rPr>
                <w:color w:val="000000"/>
                <w:kern w:val="0"/>
                <w:sz w:val="18"/>
                <w:szCs w:val="18"/>
              </w:rPr>
            </w:pPr>
          </w:p>
        </w:tc>
        <w:tc>
          <w:tcPr>
            <w:tcW w:w="3171" w:type="dxa"/>
            <w:vAlign w:val="center"/>
          </w:tcPr>
          <w:p w14:paraId="53D44280">
            <w:pPr>
              <w:spacing w:line="320" w:lineRule="exact"/>
              <w:jc w:val="left"/>
              <w:rPr>
                <w:color w:val="000000"/>
                <w:kern w:val="0"/>
                <w:sz w:val="18"/>
                <w:szCs w:val="18"/>
              </w:rPr>
            </w:pPr>
            <w:r>
              <w:rPr>
                <w:rFonts w:hint="eastAsia"/>
                <w:color w:val="000000"/>
                <w:kern w:val="0"/>
                <w:sz w:val="18"/>
                <w:szCs w:val="18"/>
              </w:rPr>
              <w:t>有弄虚作假，按照要求整改的</w:t>
            </w:r>
          </w:p>
        </w:tc>
        <w:tc>
          <w:tcPr>
            <w:tcW w:w="1080" w:type="dxa"/>
            <w:vMerge w:val="continue"/>
            <w:vAlign w:val="center"/>
          </w:tcPr>
          <w:p w14:paraId="54E8D629">
            <w:pPr>
              <w:spacing w:line="320" w:lineRule="exact"/>
              <w:jc w:val="center"/>
              <w:rPr>
                <w:color w:val="000000"/>
                <w:kern w:val="0"/>
                <w:sz w:val="18"/>
                <w:szCs w:val="18"/>
              </w:rPr>
            </w:pPr>
          </w:p>
        </w:tc>
        <w:tc>
          <w:tcPr>
            <w:tcW w:w="5820" w:type="dxa"/>
            <w:vAlign w:val="center"/>
          </w:tcPr>
          <w:p w14:paraId="74A45D8F">
            <w:pPr>
              <w:spacing w:line="320" w:lineRule="exact"/>
              <w:jc w:val="left"/>
              <w:rPr>
                <w:color w:val="000000"/>
                <w:kern w:val="0"/>
                <w:sz w:val="18"/>
                <w:szCs w:val="18"/>
              </w:rPr>
            </w:pP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5A36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B19D721">
            <w:pPr>
              <w:spacing w:line="320" w:lineRule="exact"/>
              <w:jc w:val="center"/>
              <w:rPr>
                <w:color w:val="000000"/>
                <w:kern w:val="0"/>
                <w:sz w:val="18"/>
                <w:szCs w:val="18"/>
              </w:rPr>
            </w:pPr>
          </w:p>
        </w:tc>
        <w:tc>
          <w:tcPr>
            <w:tcW w:w="2969" w:type="dxa"/>
            <w:vMerge w:val="continue"/>
            <w:vAlign w:val="center"/>
          </w:tcPr>
          <w:p w14:paraId="28850C0C">
            <w:pPr>
              <w:spacing w:line="320" w:lineRule="exact"/>
              <w:jc w:val="left"/>
              <w:rPr>
                <w:color w:val="000000"/>
                <w:kern w:val="0"/>
                <w:sz w:val="18"/>
                <w:szCs w:val="18"/>
              </w:rPr>
            </w:pPr>
          </w:p>
        </w:tc>
        <w:tc>
          <w:tcPr>
            <w:tcW w:w="3171" w:type="dxa"/>
            <w:vAlign w:val="center"/>
          </w:tcPr>
          <w:p w14:paraId="20AF661F">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0FDCD7E6">
            <w:pPr>
              <w:spacing w:line="320" w:lineRule="exact"/>
              <w:jc w:val="center"/>
              <w:rPr>
                <w:color w:val="000000"/>
                <w:kern w:val="0"/>
                <w:sz w:val="18"/>
                <w:szCs w:val="18"/>
              </w:rPr>
            </w:pPr>
          </w:p>
        </w:tc>
        <w:tc>
          <w:tcPr>
            <w:tcW w:w="5820" w:type="dxa"/>
            <w:vAlign w:val="center"/>
          </w:tcPr>
          <w:p w14:paraId="63E99168">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1316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0710E526">
            <w:pPr>
              <w:spacing w:line="320" w:lineRule="exact"/>
              <w:jc w:val="center"/>
              <w:rPr>
                <w:color w:val="000000"/>
                <w:kern w:val="0"/>
                <w:sz w:val="18"/>
                <w:szCs w:val="18"/>
              </w:rPr>
            </w:pPr>
          </w:p>
        </w:tc>
        <w:tc>
          <w:tcPr>
            <w:tcW w:w="2969" w:type="dxa"/>
            <w:vMerge w:val="restart"/>
            <w:vAlign w:val="center"/>
          </w:tcPr>
          <w:p w14:paraId="5CE6597B">
            <w:pPr>
              <w:spacing w:line="320" w:lineRule="exact"/>
              <w:jc w:val="left"/>
              <w:rPr>
                <w:color w:val="000000"/>
                <w:kern w:val="0"/>
                <w:sz w:val="18"/>
                <w:szCs w:val="18"/>
              </w:rPr>
            </w:pPr>
            <w:r>
              <w:rPr>
                <w:rFonts w:hint="eastAsia"/>
                <w:color w:val="000000"/>
                <w:kern w:val="0"/>
                <w:sz w:val="18"/>
                <w:szCs w:val="18"/>
              </w:rPr>
              <w:t>工程质量不符合施工图纸设计要求</w:t>
            </w:r>
            <w:r>
              <w:rPr>
                <w:color w:val="000000"/>
                <w:kern w:val="0"/>
                <w:sz w:val="18"/>
                <w:szCs w:val="18"/>
              </w:rPr>
              <w:t xml:space="preserve"> </w:t>
            </w:r>
          </w:p>
        </w:tc>
        <w:tc>
          <w:tcPr>
            <w:tcW w:w="3171" w:type="dxa"/>
            <w:vAlign w:val="center"/>
          </w:tcPr>
          <w:p w14:paraId="1FA3B227">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continue"/>
            <w:vAlign w:val="center"/>
          </w:tcPr>
          <w:p w14:paraId="7B3A6F24">
            <w:pPr>
              <w:spacing w:line="320" w:lineRule="exact"/>
              <w:jc w:val="center"/>
              <w:rPr>
                <w:color w:val="000000"/>
                <w:kern w:val="0"/>
                <w:sz w:val="18"/>
                <w:szCs w:val="18"/>
              </w:rPr>
            </w:pPr>
          </w:p>
        </w:tc>
        <w:tc>
          <w:tcPr>
            <w:tcW w:w="5820" w:type="dxa"/>
            <w:vAlign w:val="center"/>
          </w:tcPr>
          <w:p w14:paraId="7467C158">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1013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349890E0">
            <w:pPr>
              <w:spacing w:line="320" w:lineRule="exact"/>
              <w:jc w:val="center"/>
              <w:rPr>
                <w:color w:val="000000"/>
                <w:kern w:val="0"/>
                <w:sz w:val="18"/>
                <w:szCs w:val="18"/>
              </w:rPr>
            </w:pPr>
          </w:p>
        </w:tc>
        <w:tc>
          <w:tcPr>
            <w:tcW w:w="2969" w:type="dxa"/>
            <w:vMerge w:val="continue"/>
            <w:vAlign w:val="center"/>
          </w:tcPr>
          <w:p w14:paraId="2373C999">
            <w:pPr>
              <w:spacing w:line="320" w:lineRule="exact"/>
              <w:jc w:val="left"/>
              <w:rPr>
                <w:color w:val="000000"/>
                <w:kern w:val="0"/>
                <w:sz w:val="18"/>
                <w:szCs w:val="18"/>
              </w:rPr>
            </w:pPr>
          </w:p>
        </w:tc>
        <w:tc>
          <w:tcPr>
            <w:tcW w:w="3171" w:type="dxa"/>
            <w:vAlign w:val="center"/>
          </w:tcPr>
          <w:p w14:paraId="63B3FF36">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44E22568">
            <w:pPr>
              <w:spacing w:line="320" w:lineRule="exact"/>
              <w:jc w:val="center"/>
              <w:rPr>
                <w:color w:val="000000"/>
                <w:kern w:val="0"/>
                <w:sz w:val="18"/>
                <w:szCs w:val="18"/>
              </w:rPr>
            </w:pPr>
          </w:p>
        </w:tc>
        <w:tc>
          <w:tcPr>
            <w:tcW w:w="5820" w:type="dxa"/>
            <w:vAlign w:val="center"/>
          </w:tcPr>
          <w:p w14:paraId="1383DDCF">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34E6442D"/>
    <w:p w14:paraId="49450EAE"/>
    <w:p w14:paraId="7D6D8B29"/>
    <w:p w14:paraId="264A7FE0"/>
    <w:p w14:paraId="43F38AD7"/>
    <w:p w14:paraId="29EC1D37"/>
    <w:p w14:paraId="7DF030D0"/>
    <w:p w14:paraId="49CB7D24"/>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3070"/>
        <w:gridCol w:w="3070"/>
        <w:gridCol w:w="1080"/>
        <w:gridCol w:w="5820"/>
      </w:tblGrid>
      <w:tr w14:paraId="5BE7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07DA41ED">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14:paraId="487B428B">
            <w:pPr>
              <w:spacing w:line="320" w:lineRule="exact"/>
              <w:jc w:val="left"/>
              <w:rPr>
                <w:rFonts w:eastAsia="仿宋_GB2312"/>
                <w:b/>
                <w:bCs/>
                <w:color w:val="000000"/>
                <w:kern w:val="0"/>
                <w:sz w:val="18"/>
                <w:szCs w:val="18"/>
              </w:rPr>
            </w:pPr>
            <w:r>
              <w:rPr>
                <w:rFonts w:eastAsia="仿宋_GB2312"/>
                <w:b/>
                <w:bCs/>
                <w:color w:val="000000"/>
                <w:kern w:val="0"/>
                <w:sz w:val="18"/>
                <w:szCs w:val="18"/>
              </w:rPr>
              <w:t>320217583000</w:t>
            </w:r>
            <w:r>
              <w:rPr>
                <w:rFonts w:hint="eastAsia" w:eastAsia="仿宋_GB2312"/>
                <w:b/>
                <w:bCs/>
                <w:color w:val="000000"/>
                <w:kern w:val="0"/>
                <w:sz w:val="18"/>
                <w:szCs w:val="18"/>
              </w:rPr>
              <w:t xml:space="preserve"> </w:t>
            </w:r>
          </w:p>
        </w:tc>
      </w:tr>
      <w:tr w14:paraId="57AE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6D0BE146">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14:paraId="699DC6D5">
            <w:pPr>
              <w:spacing w:line="320" w:lineRule="exact"/>
              <w:jc w:val="left"/>
              <w:rPr>
                <w:color w:val="000000"/>
                <w:kern w:val="0"/>
                <w:sz w:val="18"/>
                <w:szCs w:val="18"/>
              </w:rPr>
            </w:pPr>
            <w:r>
              <w:rPr>
                <w:rFonts w:hint="eastAsia"/>
                <w:color w:val="000000"/>
                <w:kern w:val="0"/>
                <w:sz w:val="18"/>
                <w:szCs w:val="18"/>
              </w:rPr>
              <w:t>对监理单位未对施工单位的违法违规行为予以书面制止，或者整改验收未闭合以及制止无效时未及时报告建设单位处理的处罚</w:t>
            </w:r>
          </w:p>
        </w:tc>
      </w:tr>
      <w:tr w14:paraId="703F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09520CDE">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14:paraId="36082058">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6DDED2FE">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监理单位应当履行下列工程质量义务：</w:t>
            </w:r>
          </w:p>
          <w:p w14:paraId="44FEF50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（三）对施工单位的违法违规行为，应当予以书面制止并整改验收闭合；制止无效的，应当及时报告建设单位处理。</w:t>
            </w:r>
          </w:p>
          <w:p w14:paraId="0576527A">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违反本办法第二十条规定，监理单位有下列行为之一的，由住房和城乡建设行政主管部门责令改正，并可处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1B89A75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（一）未对施工单位的违法违规行为予以书面制止，或者整改验收未闭合以及制止无效时未及时报告建设单位处理的。</w:t>
            </w:r>
          </w:p>
        </w:tc>
      </w:tr>
      <w:tr w14:paraId="0914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808386D">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14:paraId="37305AD7">
            <w:pPr>
              <w:spacing w:line="320" w:lineRule="exact"/>
              <w:jc w:val="left"/>
              <w:rPr>
                <w:color w:val="000000"/>
                <w:kern w:val="0"/>
                <w:sz w:val="18"/>
                <w:szCs w:val="18"/>
              </w:rPr>
            </w:pPr>
            <w:r>
              <w:rPr>
                <w:rFonts w:hint="eastAsia"/>
                <w:color w:val="000000"/>
                <w:kern w:val="0"/>
                <w:sz w:val="18"/>
                <w:szCs w:val="18"/>
              </w:rPr>
              <w:t>罚款</w:t>
            </w:r>
          </w:p>
        </w:tc>
      </w:tr>
      <w:tr w14:paraId="25CB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5"/>
            <w:vAlign w:val="center"/>
          </w:tcPr>
          <w:p w14:paraId="329921F9">
            <w:pPr>
              <w:spacing w:line="320" w:lineRule="exact"/>
              <w:jc w:val="center"/>
              <w:rPr>
                <w:color w:val="000000"/>
                <w:kern w:val="0"/>
                <w:sz w:val="18"/>
                <w:szCs w:val="18"/>
              </w:rPr>
            </w:pPr>
            <w:r>
              <w:rPr>
                <w:rFonts w:hint="eastAsia"/>
                <w:color w:val="000000"/>
                <w:kern w:val="0"/>
                <w:sz w:val="18"/>
                <w:szCs w:val="18"/>
              </w:rPr>
              <w:t>裁量基准</w:t>
            </w:r>
          </w:p>
        </w:tc>
      </w:tr>
      <w:tr w14:paraId="6FCC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309FA982">
            <w:pPr>
              <w:spacing w:line="320" w:lineRule="exact"/>
              <w:jc w:val="center"/>
              <w:rPr>
                <w:color w:val="000000"/>
                <w:kern w:val="0"/>
                <w:sz w:val="18"/>
                <w:szCs w:val="18"/>
              </w:rPr>
            </w:pPr>
            <w:r>
              <w:rPr>
                <w:rFonts w:hint="eastAsia"/>
                <w:color w:val="000000"/>
                <w:kern w:val="0"/>
                <w:sz w:val="18"/>
                <w:szCs w:val="18"/>
              </w:rPr>
              <w:t>情形描述</w:t>
            </w:r>
          </w:p>
        </w:tc>
        <w:tc>
          <w:tcPr>
            <w:tcW w:w="3070" w:type="dxa"/>
            <w:vMerge w:val="restart"/>
            <w:vAlign w:val="center"/>
          </w:tcPr>
          <w:p w14:paraId="2DA09A8D">
            <w:pPr>
              <w:spacing w:line="320" w:lineRule="exact"/>
              <w:jc w:val="left"/>
              <w:rPr>
                <w:color w:val="000000"/>
                <w:kern w:val="0"/>
                <w:sz w:val="18"/>
                <w:szCs w:val="18"/>
              </w:rPr>
            </w:pPr>
            <w:r>
              <w:rPr>
                <w:rFonts w:hint="eastAsia"/>
                <w:color w:val="000000"/>
                <w:kern w:val="0"/>
                <w:sz w:val="18"/>
                <w:szCs w:val="18"/>
              </w:rPr>
              <w:t>未造成工程质量不符合施工图纸设计要求</w:t>
            </w:r>
          </w:p>
        </w:tc>
        <w:tc>
          <w:tcPr>
            <w:tcW w:w="3070" w:type="dxa"/>
            <w:vAlign w:val="center"/>
          </w:tcPr>
          <w:p w14:paraId="7DD26881">
            <w:pPr>
              <w:spacing w:line="320" w:lineRule="exact"/>
              <w:jc w:val="left"/>
              <w:rPr>
                <w:color w:val="000000"/>
                <w:kern w:val="0"/>
                <w:sz w:val="18"/>
                <w:szCs w:val="18"/>
              </w:rPr>
            </w:pPr>
            <w:r>
              <w:rPr>
                <w:rFonts w:hint="eastAsia"/>
                <w:color w:val="000000"/>
                <w:kern w:val="0"/>
                <w:sz w:val="18"/>
                <w:szCs w:val="18"/>
              </w:rPr>
              <w:t>制止无效未及时报告建设单位处理，已按照要求整改的</w:t>
            </w:r>
          </w:p>
        </w:tc>
        <w:tc>
          <w:tcPr>
            <w:tcW w:w="1080" w:type="dxa"/>
            <w:vMerge w:val="restart"/>
            <w:vAlign w:val="center"/>
          </w:tcPr>
          <w:p w14:paraId="7EA7A397">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593A75BD">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2145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2821663C">
            <w:pPr>
              <w:spacing w:line="320" w:lineRule="exact"/>
              <w:jc w:val="center"/>
              <w:rPr>
                <w:color w:val="000000"/>
                <w:kern w:val="0"/>
                <w:sz w:val="18"/>
                <w:szCs w:val="18"/>
              </w:rPr>
            </w:pPr>
          </w:p>
        </w:tc>
        <w:tc>
          <w:tcPr>
            <w:tcW w:w="3070" w:type="dxa"/>
            <w:vMerge w:val="continue"/>
            <w:vAlign w:val="center"/>
          </w:tcPr>
          <w:p w14:paraId="56F7C0B0">
            <w:pPr>
              <w:spacing w:line="320" w:lineRule="exact"/>
              <w:jc w:val="left"/>
              <w:rPr>
                <w:color w:val="000000"/>
                <w:kern w:val="0"/>
                <w:sz w:val="18"/>
                <w:szCs w:val="18"/>
              </w:rPr>
            </w:pPr>
          </w:p>
        </w:tc>
        <w:tc>
          <w:tcPr>
            <w:tcW w:w="3070" w:type="dxa"/>
            <w:vAlign w:val="center"/>
          </w:tcPr>
          <w:p w14:paraId="0BDA300C">
            <w:pPr>
              <w:spacing w:line="320" w:lineRule="exact"/>
              <w:jc w:val="left"/>
              <w:rPr>
                <w:color w:val="000000"/>
                <w:kern w:val="0"/>
                <w:sz w:val="18"/>
                <w:szCs w:val="18"/>
              </w:rPr>
            </w:pPr>
            <w:r>
              <w:rPr>
                <w:rFonts w:hint="eastAsia"/>
                <w:color w:val="000000"/>
                <w:kern w:val="0"/>
                <w:sz w:val="18"/>
                <w:szCs w:val="18"/>
              </w:rPr>
              <w:t>未予书面制止或者整改验收未闭合，已按照要求整改的</w:t>
            </w:r>
          </w:p>
        </w:tc>
        <w:tc>
          <w:tcPr>
            <w:tcW w:w="1080" w:type="dxa"/>
            <w:vMerge w:val="continue"/>
            <w:vAlign w:val="center"/>
          </w:tcPr>
          <w:p w14:paraId="0E116D3B">
            <w:pPr>
              <w:spacing w:line="320" w:lineRule="exact"/>
              <w:jc w:val="center"/>
              <w:rPr>
                <w:color w:val="000000"/>
                <w:kern w:val="0"/>
                <w:sz w:val="18"/>
                <w:szCs w:val="18"/>
              </w:rPr>
            </w:pPr>
          </w:p>
        </w:tc>
        <w:tc>
          <w:tcPr>
            <w:tcW w:w="5820" w:type="dxa"/>
            <w:vAlign w:val="center"/>
          </w:tcPr>
          <w:p w14:paraId="1B12E867">
            <w:pPr>
              <w:spacing w:line="320" w:lineRule="exact"/>
              <w:jc w:val="left"/>
              <w:rPr>
                <w:color w:val="000000"/>
                <w:kern w:val="0"/>
                <w:sz w:val="18"/>
                <w:szCs w:val="18"/>
              </w:rPr>
            </w:pP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00CE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3A3694D5">
            <w:pPr>
              <w:spacing w:line="320" w:lineRule="exact"/>
              <w:jc w:val="center"/>
              <w:rPr>
                <w:color w:val="000000"/>
                <w:kern w:val="0"/>
                <w:sz w:val="18"/>
                <w:szCs w:val="18"/>
              </w:rPr>
            </w:pPr>
          </w:p>
        </w:tc>
        <w:tc>
          <w:tcPr>
            <w:tcW w:w="3070" w:type="dxa"/>
            <w:vMerge w:val="continue"/>
            <w:vAlign w:val="center"/>
          </w:tcPr>
          <w:p w14:paraId="433FD7EB">
            <w:pPr>
              <w:spacing w:line="320" w:lineRule="exact"/>
              <w:jc w:val="left"/>
              <w:rPr>
                <w:color w:val="000000"/>
                <w:kern w:val="0"/>
                <w:sz w:val="18"/>
                <w:szCs w:val="18"/>
              </w:rPr>
            </w:pPr>
          </w:p>
        </w:tc>
        <w:tc>
          <w:tcPr>
            <w:tcW w:w="3070" w:type="dxa"/>
            <w:vAlign w:val="center"/>
          </w:tcPr>
          <w:p w14:paraId="41E4399E">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05E8F159">
            <w:pPr>
              <w:spacing w:line="320" w:lineRule="exact"/>
              <w:jc w:val="center"/>
              <w:rPr>
                <w:color w:val="000000"/>
                <w:kern w:val="0"/>
                <w:sz w:val="18"/>
                <w:szCs w:val="18"/>
              </w:rPr>
            </w:pPr>
          </w:p>
        </w:tc>
        <w:tc>
          <w:tcPr>
            <w:tcW w:w="5820" w:type="dxa"/>
            <w:vAlign w:val="center"/>
          </w:tcPr>
          <w:p w14:paraId="58AB0EF3">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1472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2474F8DA">
            <w:pPr>
              <w:spacing w:line="320" w:lineRule="exact"/>
              <w:jc w:val="center"/>
              <w:rPr>
                <w:color w:val="000000"/>
                <w:kern w:val="0"/>
                <w:sz w:val="18"/>
                <w:szCs w:val="18"/>
              </w:rPr>
            </w:pPr>
          </w:p>
        </w:tc>
        <w:tc>
          <w:tcPr>
            <w:tcW w:w="3070" w:type="dxa"/>
            <w:vMerge w:val="restart"/>
            <w:vAlign w:val="center"/>
          </w:tcPr>
          <w:p w14:paraId="66FABE5C">
            <w:pPr>
              <w:spacing w:line="320" w:lineRule="exact"/>
              <w:jc w:val="left"/>
              <w:rPr>
                <w:color w:val="000000"/>
                <w:kern w:val="0"/>
                <w:sz w:val="18"/>
                <w:szCs w:val="18"/>
              </w:rPr>
            </w:pPr>
            <w:r>
              <w:rPr>
                <w:rFonts w:hint="eastAsia"/>
                <w:color w:val="000000"/>
                <w:kern w:val="0"/>
                <w:sz w:val="18"/>
                <w:szCs w:val="18"/>
              </w:rPr>
              <w:t>造成工程质量不符合施工图纸设计要求</w:t>
            </w:r>
          </w:p>
        </w:tc>
        <w:tc>
          <w:tcPr>
            <w:tcW w:w="3070" w:type="dxa"/>
            <w:vAlign w:val="center"/>
          </w:tcPr>
          <w:p w14:paraId="68D01D4A">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continue"/>
            <w:vAlign w:val="center"/>
          </w:tcPr>
          <w:p w14:paraId="11CCB1A2">
            <w:pPr>
              <w:spacing w:line="320" w:lineRule="exact"/>
              <w:jc w:val="center"/>
              <w:rPr>
                <w:color w:val="000000"/>
                <w:kern w:val="0"/>
                <w:sz w:val="18"/>
                <w:szCs w:val="18"/>
              </w:rPr>
            </w:pPr>
          </w:p>
        </w:tc>
        <w:tc>
          <w:tcPr>
            <w:tcW w:w="5820" w:type="dxa"/>
            <w:vAlign w:val="center"/>
          </w:tcPr>
          <w:p w14:paraId="385FBE48">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1051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030" w:type="dxa"/>
            <w:vMerge w:val="continue"/>
            <w:vAlign w:val="center"/>
          </w:tcPr>
          <w:p w14:paraId="73614D15">
            <w:pPr>
              <w:spacing w:line="320" w:lineRule="exact"/>
              <w:jc w:val="center"/>
              <w:rPr>
                <w:color w:val="000000"/>
                <w:kern w:val="0"/>
                <w:sz w:val="18"/>
                <w:szCs w:val="18"/>
              </w:rPr>
            </w:pPr>
          </w:p>
        </w:tc>
        <w:tc>
          <w:tcPr>
            <w:tcW w:w="3070" w:type="dxa"/>
            <w:vMerge w:val="continue"/>
            <w:vAlign w:val="center"/>
          </w:tcPr>
          <w:p w14:paraId="0F18D47D">
            <w:pPr>
              <w:spacing w:line="320" w:lineRule="exact"/>
              <w:jc w:val="left"/>
              <w:rPr>
                <w:color w:val="000000"/>
                <w:kern w:val="0"/>
                <w:sz w:val="18"/>
                <w:szCs w:val="18"/>
              </w:rPr>
            </w:pPr>
          </w:p>
        </w:tc>
        <w:tc>
          <w:tcPr>
            <w:tcW w:w="3070" w:type="dxa"/>
            <w:vAlign w:val="center"/>
          </w:tcPr>
          <w:p w14:paraId="40864B8F">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08A27486">
            <w:pPr>
              <w:spacing w:line="320" w:lineRule="exact"/>
              <w:jc w:val="center"/>
              <w:rPr>
                <w:color w:val="000000"/>
                <w:kern w:val="0"/>
                <w:sz w:val="18"/>
                <w:szCs w:val="18"/>
              </w:rPr>
            </w:pPr>
          </w:p>
        </w:tc>
        <w:tc>
          <w:tcPr>
            <w:tcW w:w="5820" w:type="dxa"/>
            <w:vAlign w:val="center"/>
          </w:tcPr>
          <w:p w14:paraId="4ADC414F">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03DAED28"/>
    <w:p w14:paraId="175B4FB9"/>
    <w:p w14:paraId="3EFF07E4"/>
    <w:p w14:paraId="735B74C2"/>
    <w:p w14:paraId="46A0CA4F"/>
    <w:p w14:paraId="4D6453C9"/>
    <w:p w14:paraId="4F2B4F0C"/>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2402"/>
        <w:gridCol w:w="3738"/>
        <w:gridCol w:w="1080"/>
        <w:gridCol w:w="5820"/>
      </w:tblGrid>
      <w:tr w14:paraId="772A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3B8278CA">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14:paraId="3F23B166">
            <w:pPr>
              <w:spacing w:line="320" w:lineRule="exact"/>
              <w:jc w:val="left"/>
              <w:rPr>
                <w:rFonts w:eastAsia="仿宋_GB2312"/>
                <w:b/>
                <w:bCs/>
                <w:color w:val="000000"/>
                <w:kern w:val="0"/>
                <w:sz w:val="18"/>
                <w:szCs w:val="18"/>
              </w:rPr>
            </w:pPr>
            <w:r>
              <w:rPr>
                <w:rFonts w:eastAsia="仿宋_GB2312"/>
                <w:b/>
                <w:bCs/>
                <w:color w:val="000000"/>
                <w:kern w:val="0"/>
                <w:sz w:val="18"/>
                <w:szCs w:val="18"/>
              </w:rPr>
              <w:t>320217584000</w:t>
            </w:r>
            <w:r>
              <w:rPr>
                <w:rFonts w:hint="eastAsia" w:eastAsia="仿宋_GB2312"/>
                <w:b/>
                <w:bCs/>
                <w:color w:val="000000"/>
                <w:kern w:val="0"/>
                <w:sz w:val="18"/>
                <w:szCs w:val="18"/>
              </w:rPr>
              <w:t xml:space="preserve"> </w:t>
            </w:r>
          </w:p>
        </w:tc>
      </w:tr>
      <w:tr w14:paraId="2F04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50E9B648">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14:paraId="4F7B5905">
            <w:pPr>
              <w:spacing w:line="320" w:lineRule="exact"/>
              <w:jc w:val="left"/>
              <w:rPr>
                <w:color w:val="000000"/>
                <w:kern w:val="0"/>
                <w:sz w:val="18"/>
                <w:szCs w:val="18"/>
              </w:rPr>
            </w:pPr>
            <w:r>
              <w:rPr>
                <w:rFonts w:hint="eastAsia"/>
                <w:color w:val="000000"/>
                <w:kern w:val="0"/>
                <w:sz w:val="18"/>
                <w:szCs w:val="18"/>
              </w:rPr>
              <w:t>对监理单位未按照规定对涉及结构安全的试块、试件以及有关材料进行见证取样和送检的处罚</w:t>
            </w:r>
          </w:p>
        </w:tc>
      </w:tr>
      <w:tr w14:paraId="5C6B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435AE24F">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14:paraId="60CFF80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14:paraId="31A43B73">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监理单位应当履行下列工程质量义务：</w:t>
            </w:r>
          </w:p>
          <w:p w14:paraId="2BD6CC1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（五）按照规定对涉及结构安全的试块、试件以及有关材料进行见证取样和送检。</w:t>
            </w:r>
          </w:p>
          <w:p w14:paraId="7770B897">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违反本办法第二十条规定，监理单位有下列行为之一的，由住房和城乡建设行政主管部门责令改正，并可处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1E5B064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（二）未按照规定对涉及结构安全的试块、试件以及有关材料进行见证取样和送检的。</w:t>
            </w:r>
          </w:p>
        </w:tc>
      </w:tr>
      <w:tr w14:paraId="4F62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242FDA1">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14:paraId="24293C02">
            <w:pPr>
              <w:spacing w:line="320" w:lineRule="exact"/>
              <w:jc w:val="left"/>
              <w:rPr>
                <w:color w:val="000000"/>
                <w:kern w:val="0"/>
                <w:sz w:val="18"/>
                <w:szCs w:val="18"/>
              </w:rPr>
            </w:pPr>
            <w:r>
              <w:rPr>
                <w:rFonts w:hint="eastAsia"/>
                <w:color w:val="000000"/>
                <w:kern w:val="0"/>
                <w:sz w:val="18"/>
                <w:szCs w:val="18"/>
              </w:rPr>
              <w:t>罚款</w:t>
            </w:r>
          </w:p>
        </w:tc>
      </w:tr>
      <w:tr w14:paraId="22DD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5"/>
            <w:vAlign w:val="center"/>
          </w:tcPr>
          <w:p w14:paraId="617BBBE4">
            <w:pPr>
              <w:spacing w:line="320" w:lineRule="exact"/>
              <w:jc w:val="center"/>
              <w:rPr>
                <w:color w:val="000000"/>
                <w:kern w:val="0"/>
                <w:sz w:val="18"/>
                <w:szCs w:val="18"/>
              </w:rPr>
            </w:pPr>
            <w:r>
              <w:rPr>
                <w:rFonts w:hint="eastAsia"/>
                <w:color w:val="000000"/>
                <w:kern w:val="0"/>
                <w:sz w:val="18"/>
                <w:szCs w:val="18"/>
              </w:rPr>
              <w:t>裁量基准</w:t>
            </w:r>
          </w:p>
        </w:tc>
      </w:tr>
      <w:tr w14:paraId="38BC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7585D891">
            <w:pPr>
              <w:spacing w:line="320" w:lineRule="exact"/>
              <w:jc w:val="center"/>
              <w:rPr>
                <w:color w:val="000000"/>
                <w:kern w:val="0"/>
                <w:sz w:val="18"/>
                <w:szCs w:val="18"/>
              </w:rPr>
            </w:pPr>
            <w:r>
              <w:rPr>
                <w:rFonts w:hint="eastAsia"/>
                <w:color w:val="000000"/>
                <w:kern w:val="0"/>
                <w:sz w:val="18"/>
                <w:szCs w:val="18"/>
              </w:rPr>
              <w:t>情形描述</w:t>
            </w:r>
          </w:p>
        </w:tc>
        <w:tc>
          <w:tcPr>
            <w:tcW w:w="2402" w:type="dxa"/>
            <w:vMerge w:val="restart"/>
            <w:vAlign w:val="center"/>
          </w:tcPr>
          <w:p w14:paraId="6B6CBD2B">
            <w:pPr>
              <w:spacing w:line="320" w:lineRule="exact"/>
              <w:jc w:val="left"/>
              <w:rPr>
                <w:color w:val="000000"/>
                <w:kern w:val="0"/>
                <w:sz w:val="18"/>
                <w:szCs w:val="18"/>
              </w:rPr>
            </w:pPr>
            <w:r>
              <w:rPr>
                <w:rFonts w:hint="eastAsia"/>
                <w:color w:val="000000"/>
                <w:kern w:val="0"/>
                <w:sz w:val="18"/>
                <w:szCs w:val="18"/>
              </w:rPr>
              <w:t>未造成工程质量不符合图纸设计要求</w:t>
            </w:r>
          </w:p>
        </w:tc>
        <w:tc>
          <w:tcPr>
            <w:tcW w:w="3738" w:type="dxa"/>
            <w:vAlign w:val="center"/>
          </w:tcPr>
          <w:p w14:paraId="7DE8CFC0">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14:paraId="617BD9E8">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50A0EFA9">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64425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29E7365">
            <w:pPr>
              <w:spacing w:line="320" w:lineRule="exact"/>
              <w:jc w:val="center"/>
              <w:rPr>
                <w:color w:val="000000"/>
                <w:kern w:val="0"/>
                <w:sz w:val="18"/>
                <w:szCs w:val="18"/>
              </w:rPr>
            </w:pPr>
          </w:p>
        </w:tc>
        <w:tc>
          <w:tcPr>
            <w:tcW w:w="2402" w:type="dxa"/>
            <w:vMerge w:val="continue"/>
            <w:vAlign w:val="center"/>
          </w:tcPr>
          <w:p w14:paraId="1D3ED840">
            <w:pPr>
              <w:spacing w:line="320" w:lineRule="exact"/>
              <w:jc w:val="left"/>
              <w:rPr>
                <w:color w:val="000000"/>
                <w:kern w:val="0"/>
                <w:sz w:val="18"/>
                <w:szCs w:val="18"/>
              </w:rPr>
            </w:pPr>
          </w:p>
        </w:tc>
        <w:tc>
          <w:tcPr>
            <w:tcW w:w="3738" w:type="dxa"/>
            <w:vAlign w:val="center"/>
          </w:tcPr>
          <w:p w14:paraId="357901F6">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2F6464CE">
            <w:pPr>
              <w:spacing w:line="320" w:lineRule="exact"/>
              <w:jc w:val="center"/>
              <w:rPr>
                <w:color w:val="000000"/>
                <w:kern w:val="0"/>
                <w:sz w:val="18"/>
                <w:szCs w:val="18"/>
              </w:rPr>
            </w:pPr>
          </w:p>
        </w:tc>
        <w:tc>
          <w:tcPr>
            <w:tcW w:w="5820" w:type="dxa"/>
            <w:vAlign w:val="center"/>
          </w:tcPr>
          <w:p w14:paraId="4CDD2749">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996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773F736E">
            <w:pPr>
              <w:spacing w:line="320" w:lineRule="exact"/>
              <w:jc w:val="center"/>
              <w:rPr>
                <w:color w:val="000000"/>
                <w:kern w:val="0"/>
                <w:sz w:val="18"/>
                <w:szCs w:val="18"/>
              </w:rPr>
            </w:pPr>
          </w:p>
        </w:tc>
        <w:tc>
          <w:tcPr>
            <w:tcW w:w="2402" w:type="dxa"/>
            <w:vMerge w:val="restart"/>
            <w:vAlign w:val="center"/>
          </w:tcPr>
          <w:p w14:paraId="2967D31B">
            <w:pPr>
              <w:spacing w:line="320" w:lineRule="exact"/>
              <w:jc w:val="left"/>
              <w:rPr>
                <w:color w:val="000000"/>
                <w:kern w:val="0"/>
                <w:sz w:val="18"/>
                <w:szCs w:val="18"/>
              </w:rPr>
            </w:pPr>
            <w:r>
              <w:rPr>
                <w:rFonts w:hint="eastAsia"/>
                <w:color w:val="000000"/>
                <w:kern w:val="0"/>
                <w:sz w:val="18"/>
                <w:szCs w:val="18"/>
              </w:rPr>
              <w:t>造成工程质量不符合图纸设计要求</w:t>
            </w:r>
            <w:r>
              <w:rPr>
                <w:color w:val="000000"/>
                <w:kern w:val="0"/>
                <w:sz w:val="18"/>
                <w:szCs w:val="18"/>
              </w:rPr>
              <w:t xml:space="preserve"> </w:t>
            </w:r>
          </w:p>
        </w:tc>
        <w:tc>
          <w:tcPr>
            <w:tcW w:w="3738" w:type="dxa"/>
            <w:vAlign w:val="center"/>
          </w:tcPr>
          <w:p w14:paraId="4B95149C">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continue"/>
            <w:vAlign w:val="center"/>
          </w:tcPr>
          <w:p w14:paraId="21864183">
            <w:pPr>
              <w:spacing w:line="320" w:lineRule="exact"/>
              <w:jc w:val="center"/>
              <w:rPr>
                <w:color w:val="000000"/>
                <w:kern w:val="0"/>
                <w:sz w:val="18"/>
                <w:szCs w:val="18"/>
              </w:rPr>
            </w:pPr>
          </w:p>
        </w:tc>
        <w:tc>
          <w:tcPr>
            <w:tcW w:w="5820" w:type="dxa"/>
            <w:vAlign w:val="center"/>
          </w:tcPr>
          <w:p w14:paraId="5576BFE7">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14:paraId="6AB0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E9B3BE4">
            <w:pPr>
              <w:spacing w:line="320" w:lineRule="exact"/>
              <w:jc w:val="center"/>
              <w:rPr>
                <w:color w:val="000000"/>
                <w:kern w:val="0"/>
                <w:sz w:val="18"/>
                <w:szCs w:val="18"/>
              </w:rPr>
            </w:pPr>
          </w:p>
        </w:tc>
        <w:tc>
          <w:tcPr>
            <w:tcW w:w="2402" w:type="dxa"/>
            <w:vMerge w:val="continue"/>
            <w:vAlign w:val="center"/>
          </w:tcPr>
          <w:p w14:paraId="6122968E">
            <w:pPr>
              <w:spacing w:line="320" w:lineRule="exact"/>
              <w:jc w:val="left"/>
              <w:rPr>
                <w:color w:val="000000"/>
                <w:kern w:val="0"/>
                <w:sz w:val="18"/>
                <w:szCs w:val="18"/>
              </w:rPr>
            </w:pPr>
          </w:p>
        </w:tc>
        <w:tc>
          <w:tcPr>
            <w:tcW w:w="3738" w:type="dxa"/>
            <w:vAlign w:val="center"/>
          </w:tcPr>
          <w:p w14:paraId="58466888">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vAlign w:val="center"/>
          </w:tcPr>
          <w:p w14:paraId="4147C53D">
            <w:pPr>
              <w:spacing w:line="320" w:lineRule="exact"/>
              <w:jc w:val="center"/>
              <w:rPr>
                <w:color w:val="000000"/>
                <w:kern w:val="0"/>
                <w:sz w:val="18"/>
                <w:szCs w:val="18"/>
              </w:rPr>
            </w:pPr>
          </w:p>
        </w:tc>
        <w:tc>
          <w:tcPr>
            <w:tcW w:w="5820" w:type="dxa"/>
            <w:vAlign w:val="center"/>
          </w:tcPr>
          <w:p w14:paraId="1283CB36">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8CF14D6"/>
    <w:p w14:paraId="121CE39B"/>
    <w:p w14:paraId="108AE826"/>
    <w:p w14:paraId="49DFEFEE"/>
    <w:p w14:paraId="56CFA9E8"/>
    <w:p w14:paraId="34CE439E"/>
    <w:p w14:paraId="6121CC70"/>
    <w:p w14:paraId="5708E6A5"/>
    <w:tbl>
      <w:tblPr>
        <w:tblStyle w:val="15"/>
        <w:tblW w:w="0" w:type="auto"/>
        <w:tblInd w:w="78" w:type="dxa"/>
        <w:tblLayout w:type="fixed"/>
        <w:tblCellMar>
          <w:top w:w="0" w:type="dxa"/>
          <w:left w:w="108" w:type="dxa"/>
          <w:bottom w:w="0" w:type="dxa"/>
          <w:right w:w="108" w:type="dxa"/>
        </w:tblCellMar>
      </w:tblPr>
      <w:tblGrid>
        <w:gridCol w:w="1070"/>
        <w:gridCol w:w="1654"/>
        <w:gridCol w:w="4486"/>
        <w:gridCol w:w="1080"/>
        <w:gridCol w:w="5760"/>
      </w:tblGrid>
      <w:tr w14:paraId="213DD2EA">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3CB53777">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4C30613A">
            <w:pPr>
              <w:spacing w:line="320" w:lineRule="exact"/>
              <w:jc w:val="left"/>
              <w:rPr>
                <w:rFonts w:eastAsia="仿宋_GB2312"/>
                <w:b/>
                <w:bCs/>
                <w:color w:val="000000"/>
                <w:kern w:val="0"/>
                <w:sz w:val="18"/>
                <w:szCs w:val="18"/>
              </w:rPr>
            </w:pPr>
            <w:r>
              <w:rPr>
                <w:rFonts w:eastAsia="仿宋_GB2312"/>
                <w:b/>
                <w:bCs/>
                <w:color w:val="000000"/>
                <w:kern w:val="0"/>
                <w:sz w:val="18"/>
                <w:szCs w:val="18"/>
              </w:rPr>
              <w:t>320217585000</w:t>
            </w:r>
            <w:r>
              <w:rPr>
                <w:rFonts w:hint="eastAsia" w:eastAsia="仿宋_GB2312"/>
                <w:b/>
                <w:bCs/>
                <w:color w:val="000000"/>
                <w:kern w:val="0"/>
                <w:sz w:val="18"/>
                <w:szCs w:val="18"/>
              </w:rPr>
              <w:t xml:space="preserve"> </w:t>
            </w:r>
          </w:p>
        </w:tc>
      </w:tr>
      <w:tr w14:paraId="5F1C1EAB">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0CCBE36">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2E977E1C">
            <w:pPr>
              <w:spacing w:line="320" w:lineRule="exact"/>
              <w:jc w:val="left"/>
              <w:rPr>
                <w:color w:val="000000"/>
                <w:kern w:val="0"/>
                <w:sz w:val="18"/>
                <w:szCs w:val="18"/>
              </w:rPr>
            </w:pPr>
            <w:r>
              <w:rPr>
                <w:rFonts w:hint="eastAsia"/>
                <w:color w:val="000000"/>
                <w:kern w:val="0"/>
                <w:sz w:val="18"/>
                <w:szCs w:val="18"/>
              </w:rPr>
              <w:t>对擅自占用、挖掘物业管理区域内道路、场地，损害业主共同利益的处罚</w:t>
            </w:r>
          </w:p>
        </w:tc>
      </w:tr>
      <w:tr w14:paraId="5D08D7AD">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3D427143">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04CE00CE">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14:paraId="7013E60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业主、物业服务企业不得擅自占用、挖掘物业管理区域内的道路、场地，损害业主的共同利益。</w:t>
            </w:r>
          </w:p>
          <w:p w14:paraId="7A62AAD0">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14:paraId="30BFA42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（二）擅自占用、挖掘物业管理区域内道路、场地，损害业主共同利益的。</w:t>
            </w:r>
          </w:p>
          <w:p w14:paraId="69EAB27C">
            <w:pPr>
              <w:spacing w:line="320" w:lineRule="exact"/>
              <w:jc w:val="left"/>
              <w:rPr>
                <w:color w:val="000000"/>
                <w:kern w:val="0"/>
                <w:sz w:val="18"/>
                <w:szCs w:val="18"/>
              </w:rPr>
            </w:pPr>
            <w:r>
              <w:rPr>
                <w:rFonts w:hint="eastAsia"/>
                <w:color w:val="000000"/>
                <w:kern w:val="0"/>
                <w:sz w:val="18"/>
                <w:szCs w:val="18"/>
              </w:rPr>
              <w:t>个人有前款规定行为之一的，处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万元以下的罚款；单位有前款规定行为之一的，处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14:paraId="21A3F657">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90417AB">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5E92F1D5">
            <w:pPr>
              <w:spacing w:line="320" w:lineRule="exact"/>
              <w:jc w:val="left"/>
              <w:rPr>
                <w:color w:val="000000"/>
                <w:kern w:val="0"/>
                <w:sz w:val="18"/>
                <w:szCs w:val="18"/>
              </w:rPr>
            </w:pPr>
            <w:r>
              <w:rPr>
                <w:rFonts w:hint="eastAsia"/>
                <w:color w:val="000000"/>
                <w:kern w:val="0"/>
                <w:sz w:val="18"/>
                <w:szCs w:val="18"/>
              </w:rPr>
              <w:t>警告、罚款</w:t>
            </w:r>
          </w:p>
        </w:tc>
      </w:tr>
      <w:tr w14:paraId="43585985">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294AE601">
            <w:pPr>
              <w:spacing w:line="320" w:lineRule="exact"/>
              <w:jc w:val="center"/>
              <w:rPr>
                <w:color w:val="000000"/>
                <w:kern w:val="0"/>
                <w:sz w:val="18"/>
                <w:szCs w:val="18"/>
              </w:rPr>
            </w:pPr>
            <w:r>
              <w:rPr>
                <w:rFonts w:hint="eastAsia"/>
                <w:color w:val="000000"/>
                <w:kern w:val="0"/>
                <w:sz w:val="18"/>
                <w:szCs w:val="18"/>
              </w:rPr>
              <w:t>裁量基准</w:t>
            </w:r>
          </w:p>
        </w:tc>
      </w:tr>
      <w:tr w14:paraId="5CBAEA64">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3B1B06CD">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3856E373">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color="auto" w:sz="4" w:space="0"/>
              <w:bottom w:val="single" w:color="auto" w:sz="4" w:space="0"/>
              <w:right w:val="single" w:color="auto" w:sz="4" w:space="0"/>
            </w:tcBorders>
            <w:vAlign w:val="center"/>
          </w:tcPr>
          <w:p w14:paraId="04A7EA71">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363C5C3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p w14:paraId="5258669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14:paraId="27F5E231">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0D89E87E">
            <w:pPr>
              <w:spacing w:line="320" w:lineRule="exact"/>
              <w:jc w:val="left"/>
              <w:rPr>
                <w:color w:val="000000"/>
                <w:kern w:val="0"/>
                <w:sz w:val="18"/>
                <w:szCs w:val="18"/>
              </w:rPr>
            </w:pPr>
          </w:p>
        </w:tc>
        <w:tc>
          <w:tcPr>
            <w:tcW w:w="1654" w:type="dxa"/>
            <w:vMerge w:val="restart"/>
            <w:tcBorders>
              <w:top w:val="single" w:color="auto" w:sz="4" w:space="0"/>
              <w:left w:val="nil"/>
              <w:right w:val="single" w:color="auto" w:sz="4" w:space="0"/>
            </w:tcBorders>
            <w:vAlign w:val="center"/>
          </w:tcPr>
          <w:p w14:paraId="2C5A94A0">
            <w:pPr>
              <w:spacing w:line="320" w:lineRule="exact"/>
              <w:jc w:val="left"/>
              <w:rPr>
                <w:color w:val="000000"/>
                <w:kern w:val="0"/>
                <w:sz w:val="18"/>
                <w:szCs w:val="18"/>
              </w:rPr>
            </w:pPr>
            <w:r>
              <w:rPr>
                <w:rFonts w:hint="eastAsia"/>
                <w:color w:val="000000"/>
                <w:kern w:val="0"/>
                <w:sz w:val="18"/>
                <w:szCs w:val="18"/>
              </w:rPr>
              <w:t>未按照要改整改</w:t>
            </w:r>
          </w:p>
        </w:tc>
        <w:tc>
          <w:tcPr>
            <w:tcW w:w="4486" w:type="dxa"/>
            <w:tcBorders>
              <w:top w:val="single" w:color="auto" w:sz="4" w:space="0"/>
              <w:left w:val="nil"/>
              <w:bottom w:val="single" w:color="auto" w:sz="4" w:space="0"/>
              <w:right w:val="single" w:color="auto" w:sz="4" w:space="0"/>
            </w:tcBorders>
            <w:vAlign w:val="center"/>
          </w:tcPr>
          <w:p w14:paraId="1B28D685">
            <w:pPr>
              <w:spacing w:line="320" w:lineRule="exact"/>
              <w:jc w:val="left"/>
              <w:rPr>
                <w:color w:val="000000"/>
                <w:kern w:val="0"/>
                <w:sz w:val="18"/>
                <w:szCs w:val="18"/>
              </w:rPr>
            </w:pPr>
            <w:r>
              <w:rPr>
                <w:rFonts w:hint="eastAsia"/>
                <w:color w:val="000000"/>
                <w:kern w:val="0"/>
                <w:sz w:val="18"/>
                <w:szCs w:val="18"/>
              </w:rPr>
              <w:t>只擅自占用物业管理区域内道路、场地</w:t>
            </w:r>
          </w:p>
        </w:tc>
        <w:tc>
          <w:tcPr>
            <w:tcW w:w="1080" w:type="dxa"/>
            <w:vMerge w:val="continue"/>
            <w:tcBorders>
              <w:top w:val="nil"/>
              <w:left w:val="single" w:color="auto" w:sz="4" w:space="0"/>
              <w:bottom w:val="single" w:color="auto" w:sz="4" w:space="0"/>
              <w:right w:val="single" w:color="auto" w:sz="4" w:space="0"/>
            </w:tcBorders>
            <w:vAlign w:val="center"/>
          </w:tcPr>
          <w:p w14:paraId="3D583C21">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0E74727">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p w14:paraId="5B36423A">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7D878E61">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11BB784">
            <w:pPr>
              <w:spacing w:line="320" w:lineRule="exact"/>
              <w:jc w:val="left"/>
              <w:rPr>
                <w:color w:val="000000"/>
                <w:kern w:val="0"/>
                <w:sz w:val="18"/>
                <w:szCs w:val="18"/>
              </w:rPr>
            </w:pPr>
          </w:p>
        </w:tc>
        <w:tc>
          <w:tcPr>
            <w:tcW w:w="1654" w:type="dxa"/>
            <w:vMerge w:val="continue"/>
            <w:tcBorders>
              <w:left w:val="nil"/>
              <w:right w:val="single" w:color="auto" w:sz="4" w:space="0"/>
            </w:tcBorders>
            <w:vAlign w:val="center"/>
          </w:tcPr>
          <w:p w14:paraId="6D7E32FA">
            <w:pPr>
              <w:spacing w:line="320" w:lineRule="exact"/>
              <w:jc w:val="left"/>
              <w:rPr>
                <w:color w:val="000000"/>
                <w:kern w:val="0"/>
                <w:sz w:val="18"/>
                <w:szCs w:val="18"/>
              </w:rPr>
            </w:pPr>
          </w:p>
        </w:tc>
        <w:tc>
          <w:tcPr>
            <w:tcW w:w="4486" w:type="dxa"/>
            <w:tcBorders>
              <w:top w:val="single" w:color="auto" w:sz="4" w:space="0"/>
              <w:left w:val="nil"/>
              <w:bottom w:val="single" w:color="auto" w:sz="4" w:space="0"/>
              <w:right w:val="single" w:color="auto" w:sz="4" w:space="0"/>
            </w:tcBorders>
            <w:vAlign w:val="center"/>
          </w:tcPr>
          <w:p w14:paraId="3F9B4FA4">
            <w:pPr>
              <w:spacing w:line="320" w:lineRule="exact"/>
              <w:jc w:val="left"/>
              <w:rPr>
                <w:color w:val="000000"/>
                <w:kern w:val="0"/>
                <w:sz w:val="18"/>
                <w:szCs w:val="18"/>
              </w:rPr>
            </w:pPr>
            <w:r>
              <w:rPr>
                <w:rFonts w:hint="eastAsia"/>
                <w:color w:val="000000"/>
                <w:kern w:val="0"/>
                <w:sz w:val="18"/>
                <w:szCs w:val="18"/>
              </w:rPr>
              <w:t>只擅自挖掘物业管理区域内道路、场地</w:t>
            </w:r>
          </w:p>
        </w:tc>
        <w:tc>
          <w:tcPr>
            <w:tcW w:w="1080" w:type="dxa"/>
            <w:vMerge w:val="continue"/>
            <w:tcBorders>
              <w:top w:val="nil"/>
              <w:left w:val="single" w:color="auto" w:sz="4" w:space="0"/>
              <w:bottom w:val="single" w:color="auto" w:sz="4" w:space="0"/>
              <w:right w:val="single" w:color="auto" w:sz="4" w:space="0"/>
            </w:tcBorders>
            <w:vAlign w:val="center"/>
          </w:tcPr>
          <w:p w14:paraId="61BC668B">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68AF99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w:t>
            </w:r>
          </w:p>
          <w:p w14:paraId="6A845D4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元以下的罚款</w:t>
            </w:r>
          </w:p>
        </w:tc>
      </w:tr>
      <w:tr w14:paraId="1F8B764D">
        <w:tblPrEx>
          <w:tblCellMar>
            <w:top w:w="0" w:type="dxa"/>
            <w:left w:w="108" w:type="dxa"/>
            <w:bottom w:w="0" w:type="dxa"/>
            <w:right w:w="108" w:type="dxa"/>
          </w:tblCellMar>
        </w:tblPrEx>
        <w:trPr>
          <w:trHeight w:val="401" w:hRule="atLeast"/>
        </w:trPr>
        <w:tc>
          <w:tcPr>
            <w:tcW w:w="1070" w:type="dxa"/>
            <w:vMerge w:val="continue"/>
            <w:tcBorders>
              <w:top w:val="nil"/>
              <w:left w:val="single" w:color="auto" w:sz="8" w:space="0"/>
              <w:bottom w:val="single" w:color="auto" w:sz="4" w:space="0"/>
              <w:right w:val="single" w:color="auto" w:sz="4" w:space="0"/>
            </w:tcBorders>
            <w:vAlign w:val="center"/>
          </w:tcPr>
          <w:p w14:paraId="0D69B01A">
            <w:pPr>
              <w:spacing w:line="320" w:lineRule="exact"/>
              <w:jc w:val="left"/>
              <w:rPr>
                <w:color w:val="000000"/>
                <w:kern w:val="0"/>
                <w:sz w:val="18"/>
                <w:szCs w:val="18"/>
              </w:rPr>
            </w:pPr>
          </w:p>
        </w:tc>
        <w:tc>
          <w:tcPr>
            <w:tcW w:w="1654" w:type="dxa"/>
            <w:vMerge w:val="continue"/>
            <w:tcBorders>
              <w:left w:val="nil"/>
              <w:bottom w:val="single" w:color="auto" w:sz="4" w:space="0"/>
              <w:right w:val="single" w:color="auto" w:sz="4" w:space="0"/>
            </w:tcBorders>
            <w:vAlign w:val="center"/>
          </w:tcPr>
          <w:p w14:paraId="2088BA80">
            <w:pPr>
              <w:spacing w:line="320" w:lineRule="exact"/>
              <w:jc w:val="left"/>
              <w:rPr>
                <w:color w:val="000000"/>
                <w:kern w:val="0"/>
                <w:sz w:val="18"/>
                <w:szCs w:val="18"/>
              </w:rPr>
            </w:pPr>
          </w:p>
        </w:tc>
        <w:tc>
          <w:tcPr>
            <w:tcW w:w="4486" w:type="dxa"/>
            <w:tcBorders>
              <w:top w:val="single" w:color="auto" w:sz="4" w:space="0"/>
              <w:left w:val="nil"/>
              <w:bottom w:val="single" w:color="auto" w:sz="4" w:space="0"/>
              <w:right w:val="single" w:color="auto" w:sz="4" w:space="0"/>
            </w:tcBorders>
            <w:vAlign w:val="center"/>
          </w:tcPr>
          <w:p w14:paraId="0D7B70A9">
            <w:pPr>
              <w:spacing w:line="320" w:lineRule="exact"/>
              <w:jc w:val="left"/>
              <w:rPr>
                <w:color w:val="000000"/>
                <w:kern w:val="0"/>
                <w:sz w:val="18"/>
                <w:szCs w:val="18"/>
              </w:rPr>
            </w:pPr>
            <w:r>
              <w:rPr>
                <w:rFonts w:hint="eastAsia"/>
                <w:color w:val="000000"/>
                <w:kern w:val="0"/>
                <w:sz w:val="18"/>
                <w:szCs w:val="18"/>
              </w:rPr>
              <w:t>擅自占用并挖掘物业管理区域内道路、场地</w:t>
            </w:r>
          </w:p>
        </w:tc>
        <w:tc>
          <w:tcPr>
            <w:tcW w:w="1080" w:type="dxa"/>
            <w:vMerge w:val="continue"/>
            <w:tcBorders>
              <w:top w:val="nil"/>
              <w:left w:val="single" w:color="auto" w:sz="4" w:space="0"/>
              <w:bottom w:val="single" w:color="auto" w:sz="4" w:space="0"/>
              <w:right w:val="single" w:color="auto" w:sz="4" w:space="0"/>
            </w:tcBorders>
            <w:vAlign w:val="center"/>
          </w:tcPr>
          <w:p w14:paraId="2ADE4DB6">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BFB067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14:paraId="43656C1D">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14:paraId="37474CE8"/>
    <w:p w14:paraId="2B6F6ACC"/>
    <w:p w14:paraId="1E48E21E"/>
    <w:p w14:paraId="219E72DA"/>
    <w:p w14:paraId="6E52D386"/>
    <w:tbl>
      <w:tblPr>
        <w:tblStyle w:val="15"/>
        <w:tblW w:w="0" w:type="auto"/>
        <w:tblInd w:w="78" w:type="dxa"/>
        <w:tblLayout w:type="fixed"/>
        <w:tblCellMar>
          <w:top w:w="0" w:type="dxa"/>
          <w:left w:w="108" w:type="dxa"/>
          <w:bottom w:w="0" w:type="dxa"/>
          <w:right w:w="108" w:type="dxa"/>
        </w:tblCellMar>
      </w:tblPr>
      <w:tblGrid>
        <w:gridCol w:w="1070"/>
        <w:gridCol w:w="1654"/>
        <w:gridCol w:w="4486"/>
        <w:gridCol w:w="1080"/>
        <w:gridCol w:w="5760"/>
      </w:tblGrid>
      <w:tr w14:paraId="24A3F5D8">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E97C2B0">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04DC27C5">
            <w:pPr>
              <w:spacing w:line="320" w:lineRule="exact"/>
              <w:jc w:val="left"/>
              <w:rPr>
                <w:rFonts w:eastAsia="仿宋_GB2312"/>
                <w:b/>
                <w:bCs/>
                <w:color w:val="000000"/>
                <w:kern w:val="0"/>
                <w:sz w:val="18"/>
                <w:szCs w:val="18"/>
              </w:rPr>
            </w:pPr>
            <w:r>
              <w:rPr>
                <w:rFonts w:eastAsia="仿宋_GB2312"/>
                <w:b/>
                <w:bCs/>
                <w:color w:val="000000"/>
                <w:kern w:val="0"/>
                <w:sz w:val="18"/>
                <w:szCs w:val="18"/>
              </w:rPr>
              <w:t>320217586000</w:t>
            </w:r>
            <w:r>
              <w:rPr>
                <w:rFonts w:hint="eastAsia" w:eastAsia="仿宋_GB2312"/>
                <w:b/>
                <w:bCs/>
                <w:color w:val="000000"/>
                <w:kern w:val="0"/>
                <w:sz w:val="18"/>
                <w:szCs w:val="18"/>
              </w:rPr>
              <w:t xml:space="preserve"> </w:t>
            </w:r>
          </w:p>
        </w:tc>
      </w:tr>
      <w:tr w14:paraId="70370D91">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9BB276A">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3C09EC8F">
            <w:pPr>
              <w:spacing w:line="320" w:lineRule="exact"/>
              <w:jc w:val="left"/>
              <w:rPr>
                <w:color w:val="000000"/>
                <w:kern w:val="0"/>
                <w:sz w:val="18"/>
                <w:szCs w:val="18"/>
              </w:rPr>
            </w:pPr>
            <w:r>
              <w:rPr>
                <w:rFonts w:hint="eastAsia"/>
                <w:color w:val="000000"/>
                <w:kern w:val="0"/>
                <w:sz w:val="18"/>
                <w:szCs w:val="18"/>
              </w:rPr>
              <w:t>对擅自利用物业共用部位、共用设施设备进行经营的处罚</w:t>
            </w:r>
          </w:p>
        </w:tc>
      </w:tr>
      <w:tr w14:paraId="151A5382">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4A8D4AE7">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140FCD0F">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14:paraId="05DF0645">
            <w:pPr>
              <w:spacing w:line="320" w:lineRule="exact"/>
              <w:jc w:val="left"/>
              <w:rPr>
                <w:color w:val="000000"/>
                <w:kern w:val="0"/>
                <w:sz w:val="18"/>
                <w:szCs w:val="18"/>
              </w:rPr>
            </w:pPr>
            <w:r>
              <w:rPr>
                <w:rFonts w:hint="eastAsia"/>
                <w:color w:val="000000"/>
                <w:kern w:val="0"/>
                <w:sz w:val="18"/>
                <w:szCs w:val="18"/>
              </w:rPr>
              <w:t>第五十五条　利用物业共用部位、共用设施设备进行经营的，应当在征得相关业主、业主大会、物业服务企业的同意后，按照规定办理有关手续。业主所得收益应当主要用于补充专项维修资金，也可以按照业主大会的决定使用。</w:t>
            </w:r>
          </w:p>
          <w:p w14:paraId="0F303B0B">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14:paraId="6D58609E">
            <w:pPr>
              <w:spacing w:line="320" w:lineRule="exact"/>
              <w:jc w:val="left"/>
              <w:rPr>
                <w:color w:val="000000"/>
                <w:kern w:val="0"/>
                <w:sz w:val="18"/>
                <w:szCs w:val="18"/>
              </w:rPr>
            </w:pPr>
            <w:r>
              <w:rPr>
                <w:rFonts w:hint="eastAsia"/>
                <w:color w:val="000000"/>
                <w:kern w:val="0"/>
                <w:sz w:val="18"/>
                <w:szCs w:val="18"/>
              </w:rPr>
              <w:t>（三）擅自利用物业共用部位、共用设施设备进行经营的。</w:t>
            </w:r>
          </w:p>
          <w:p w14:paraId="72E75429">
            <w:pPr>
              <w:spacing w:line="320" w:lineRule="exact"/>
              <w:jc w:val="left"/>
              <w:rPr>
                <w:color w:val="000000"/>
                <w:kern w:val="0"/>
                <w:sz w:val="18"/>
                <w:szCs w:val="18"/>
              </w:rPr>
            </w:pPr>
            <w:r>
              <w:rPr>
                <w:rFonts w:hint="eastAsia"/>
                <w:color w:val="000000"/>
                <w:kern w:val="0"/>
                <w:sz w:val="18"/>
                <w:szCs w:val="18"/>
              </w:rPr>
              <w:t>个人有前款规定行为之一的，处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万元以下的罚款；单位有前款规定行为之一的，处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14:paraId="5F754EF4">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89D30E0">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18AC2CE4">
            <w:pPr>
              <w:spacing w:line="320" w:lineRule="exact"/>
              <w:jc w:val="left"/>
              <w:rPr>
                <w:color w:val="000000"/>
                <w:kern w:val="0"/>
                <w:sz w:val="18"/>
                <w:szCs w:val="18"/>
              </w:rPr>
            </w:pPr>
            <w:r>
              <w:rPr>
                <w:rFonts w:hint="eastAsia"/>
                <w:color w:val="000000"/>
                <w:kern w:val="0"/>
                <w:sz w:val="18"/>
                <w:szCs w:val="18"/>
              </w:rPr>
              <w:t>警告、罚款</w:t>
            </w:r>
          </w:p>
        </w:tc>
      </w:tr>
      <w:tr w14:paraId="58DE9D10">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7CA2F2A1">
            <w:pPr>
              <w:spacing w:line="320" w:lineRule="exact"/>
              <w:jc w:val="center"/>
              <w:rPr>
                <w:color w:val="000000"/>
                <w:kern w:val="0"/>
                <w:sz w:val="18"/>
                <w:szCs w:val="18"/>
              </w:rPr>
            </w:pPr>
            <w:r>
              <w:rPr>
                <w:rFonts w:hint="eastAsia"/>
                <w:color w:val="000000"/>
                <w:kern w:val="0"/>
                <w:sz w:val="18"/>
                <w:szCs w:val="18"/>
              </w:rPr>
              <w:t>裁量基准</w:t>
            </w:r>
          </w:p>
        </w:tc>
      </w:tr>
      <w:tr w14:paraId="6F3DC388">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2BA7A168">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66396DD9">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color="auto" w:sz="4" w:space="0"/>
              <w:bottom w:val="single" w:color="auto" w:sz="4" w:space="0"/>
              <w:right w:val="single" w:color="auto" w:sz="4" w:space="0"/>
            </w:tcBorders>
            <w:vAlign w:val="center"/>
          </w:tcPr>
          <w:p w14:paraId="608AB849">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657F2CE">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p w14:paraId="309B160B">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14:paraId="332AB72F">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1666C326">
            <w:pPr>
              <w:spacing w:line="320" w:lineRule="exact"/>
              <w:jc w:val="left"/>
              <w:rPr>
                <w:color w:val="000000"/>
                <w:kern w:val="0"/>
                <w:sz w:val="18"/>
                <w:szCs w:val="18"/>
              </w:rPr>
            </w:pPr>
          </w:p>
        </w:tc>
        <w:tc>
          <w:tcPr>
            <w:tcW w:w="1654" w:type="dxa"/>
            <w:vMerge w:val="restart"/>
            <w:tcBorders>
              <w:top w:val="single" w:color="auto" w:sz="4" w:space="0"/>
              <w:left w:val="nil"/>
              <w:right w:val="single" w:color="auto" w:sz="4" w:space="0"/>
            </w:tcBorders>
            <w:vAlign w:val="center"/>
          </w:tcPr>
          <w:p w14:paraId="596C03A3">
            <w:pPr>
              <w:spacing w:line="320" w:lineRule="exact"/>
              <w:jc w:val="left"/>
              <w:rPr>
                <w:color w:val="000000"/>
                <w:kern w:val="0"/>
                <w:sz w:val="18"/>
                <w:szCs w:val="18"/>
              </w:rPr>
            </w:pPr>
            <w:r>
              <w:rPr>
                <w:rFonts w:hint="eastAsia"/>
                <w:color w:val="000000"/>
                <w:kern w:val="0"/>
                <w:sz w:val="18"/>
                <w:szCs w:val="18"/>
              </w:rPr>
              <w:t>未按照要改整改</w:t>
            </w:r>
          </w:p>
        </w:tc>
        <w:tc>
          <w:tcPr>
            <w:tcW w:w="4486" w:type="dxa"/>
            <w:tcBorders>
              <w:top w:val="single" w:color="auto" w:sz="4" w:space="0"/>
              <w:left w:val="nil"/>
              <w:bottom w:val="single" w:color="auto" w:sz="4" w:space="0"/>
              <w:right w:val="single" w:color="auto" w:sz="4" w:space="0"/>
            </w:tcBorders>
            <w:vAlign w:val="center"/>
          </w:tcPr>
          <w:p w14:paraId="77EEF805">
            <w:pPr>
              <w:spacing w:line="320" w:lineRule="exact"/>
              <w:jc w:val="left"/>
              <w:rPr>
                <w:color w:val="000000"/>
                <w:kern w:val="0"/>
                <w:sz w:val="18"/>
                <w:szCs w:val="18"/>
              </w:rPr>
            </w:pPr>
            <w:r>
              <w:rPr>
                <w:rFonts w:hint="eastAsia"/>
                <w:color w:val="000000"/>
                <w:kern w:val="0"/>
                <w:sz w:val="18"/>
                <w:szCs w:val="18"/>
              </w:rPr>
              <w:t>只擅自利用物业共用设施设备</w:t>
            </w:r>
          </w:p>
        </w:tc>
        <w:tc>
          <w:tcPr>
            <w:tcW w:w="1080" w:type="dxa"/>
            <w:vMerge w:val="continue"/>
            <w:tcBorders>
              <w:top w:val="nil"/>
              <w:left w:val="single" w:color="auto" w:sz="4" w:space="0"/>
              <w:bottom w:val="single" w:color="auto" w:sz="4" w:space="0"/>
              <w:right w:val="single" w:color="auto" w:sz="4" w:space="0"/>
            </w:tcBorders>
            <w:vAlign w:val="center"/>
          </w:tcPr>
          <w:p w14:paraId="425F1601">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91F57DF">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p w14:paraId="50D45EFB">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78F987A7">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457FC44">
            <w:pPr>
              <w:spacing w:line="320" w:lineRule="exact"/>
              <w:jc w:val="left"/>
              <w:rPr>
                <w:color w:val="000000"/>
                <w:kern w:val="0"/>
                <w:sz w:val="18"/>
                <w:szCs w:val="18"/>
              </w:rPr>
            </w:pPr>
          </w:p>
        </w:tc>
        <w:tc>
          <w:tcPr>
            <w:tcW w:w="1654" w:type="dxa"/>
            <w:vMerge w:val="continue"/>
            <w:tcBorders>
              <w:left w:val="nil"/>
              <w:right w:val="single" w:color="auto" w:sz="4" w:space="0"/>
            </w:tcBorders>
            <w:vAlign w:val="center"/>
          </w:tcPr>
          <w:p w14:paraId="5765AD67">
            <w:pPr>
              <w:spacing w:line="320" w:lineRule="exact"/>
              <w:jc w:val="left"/>
              <w:rPr>
                <w:color w:val="000000"/>
                <w:kern w:val="0"/>
                <w:sz w:val="18"/>
                <w:szCs w:val="18"/>
              </w:rPr>
            </w:pPr>
          </w:p>
        </w:tc>
        <w:tc>
          <w:tcPr>
            <w:tcW w:w="4486" w:type="dxa"/>
            <w:tcBorders>
              <w:top w:val="single" w:color="auto" w:sz="4" w:space="0"/>
              <w:left w:val="nil"/>
              <w:bottom w:val="single" w:color="auto" w:sz="4" w:space="0"/>
              <w:right w:val="single" w:color="auto" w:sz="4" w:space="0"/>
            </w:tcBorders>
            <w:vAlign w:val="center"/>
          </w:tcPr>
          <w:p w14:paraId="065AC92A">
            <w:pPr>
              <w:spacing w:line="320" w:lineRule="exact"/>
              <w:jc w:val="left"/>
              <w:rPr>
                <w:color w:val="000000"/>
                <w:kern w:val="0"/>
                <w:sz w:val="18"/>
                <w:szCs w:val="18"/>
              </w:rPr>
            </w:pPr>
            <w:r>
              <w:rPr>
                <w:rFonts w:hint="eastAsia"/>
                <w:color w:val="000000"/>
                <w:kern w:val="0"/>
                <w:sz w:val="18"/>
                <w:szCs w:val="18"/>
              </w:rPr>
              <w:t>只擅自利用物业共同部位</w:t>
            </w:r>
          </w:p>
        </w:tc>
        <w:tc>
          <w:tcPr>
            <w:tcW w:w="1080" w:type="dxa"/>
            <w:vMerge w:val="continue"/>
            <w:tcBorders>
              <w:top w:val="nil"/>
              <w:left w:val="single" w:color="auto" w:sz="4" w:space="0"/>
              <w:bottom w:val="single" w:color="auto" w:sz="4" w:space="0"/>
              <w:right w:val="single" w:color="auto" w:sz="4" w:space="0"/>
            </w:tcBorders>
            <w:vAlign w:val="center"/>
          </w:tcPr>
          <w:p w14:paraId="192ABFAF">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68366E2">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w:t>
            </w:r>
          </w:p>
          <w:p w14:paraId="6E71BCE8">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元以下的罚款</w:t>
            </w:r>
          </w:p>
        </w:tc>
      </w:tr>
      <w:tr w14:paraId="6DD92C90">
        <w:tblPrEx>
          <w:tblCellMar>
            <w:top w:w="0" w:type="dxa"/>
            <w:left w:w="108" w:type="dxa"/>
            <w:bottom w:w="0" w:type="dxa"/>
            <w:right w:w="108" w:type="dxa"/>
          </w:tblCellMar>
        </w:tblPrEx>
        <w:trPr>
          <w:trHeight w:val="421" w:hRule="atLeast"/>
        </w:trPr>
        <w:tc>
          <w:tcPr>
            <w:tcW w:w="1070" w:type="dxa"/>
            <w:vMerge w:val="continue"/>
            <w:tcBorders>
              <w:top w:val="nil"/>
              <w:left w:val="single" w:color="auto" w:sz="8" w:space="0"/>
              <w:bottom w:val="single" w:color="auto" w:sz="4" w:space="0"/>
              <w:right w:val="single" w:color="auto" w:sz="4" w:space="0"/>
            </w:tcBorders>
            <w:vAlign w:val="center"/>
          </w:tcPr>
          <w:p w14:paraId="233A6B83">
            <w:pPr>
              <w:spacing w:line="320" w:lineRule="exact"/>
              <w:jc w:val="left"/>
              <w:rPr>
                <w:color w:val="000000"/>
                <w:kern w:val="0"/>
                <w:sz w:val="18"/>
                <w:szCs w:val="18"/>
              </w:rPr>
            </w:pPr>
          </w:p>
        </w:tc>
        <w:tc>
          <w:tcPr>
            <w:tcW w:w="1654" w:type="dxa"/>
            <w:vMerge w:val="continue"/>
            <w:tcBorders>
              <w:left w:val="nil"/>
              <w:bottom w:val="single" w:color="auto" w:sz="4" w:space="0"/>
              <w:right w:val="single" w:color="auto" w:sz="4" w:space="0"/>
            </w:tcBorders>
            <w:vAlign w:val="center"/>
          </w:tcPr>
          <w:p w14:paraId="2B80A855">
            <w:pPr>
              <w:spacing w:line="320" w:lineRule="exact"/>
              <w:jc w:val="left"/>
              <w:rPr>
                <w:color w:val="000000"/>
                <w:kern w:val="0"/>
                <w:sz w:val="18"/>
                <w:szCs w:val="18"/>
              </w:rPr>
            </w:pPr>
          </w:p>
        </w:tc>
        <w:tc>
          <w:tcPr>
            <w:tcW w:w="4486" w:type="dxa"/>
            <w:tcBorders>
              <w:top w:val="single" w:color="auto" w:sz="4" w:space="0"/>
              <w:left w:val="nil"/>
              <w:bottom w:val="single" w:color="auto" w:sz="4" w:space="0"/>
              <w:right w:val="single" w:color="auto" w:sz="4" w:space="0"/>
            </w:tcBorders>
            <w:vAlign w:val="center"/>
          </w:tcPr>
          <w:p w14:paraId="21529B31">
            <w:pPr>
              <w:spacing w:line="320" w:lineRule="exact"/>
              <w:jc w:val="left"/>
              <w:rPr>
                <w:color w:val="000000"/>
                <w:kern w:val="0"/>
                <w:sz w:val="18"/>
                <w:szCs w:val="18"/>
              </w:rPr>
            </w:pPr>
            <w:r>
              <w:rPr>
                <w:rFonts w:hint="eastAsia"/>
                <w:color w:val="000000"/>
                <w:kern w:val="0"/>
                <w:sz w:val="18"/>
                <w:szCs w:val="18"/>
              </w:rPr>
              <w:t>同时擅自利用物业共同设施设备和共同部位</w:t>
            </w:r>
          </w:p>
        </w:tc>
        <w:tc>
          <w:tcPr>
            <w:tcW w:w="1080" w:type="dxa"/>
            <w:vMerge w:val="continue"/>
            <w:tcBorders>
              <w:top w:val="nil"/>
              <w:left w:val="single" w:color="auto" w:sz="4" w:space="0"/>
              <w:bottom w:val="single" w:color="auto" w:sz="4" w:space="0"/>
              <w:right w:val="single" w:color="auto" w:sz="4" w:space="0"/>
            </w:tcBorders>
            <w:vAlign w:val="center"/>
          </w:tcPr>
          <w:p w14:paraId="76137978">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B319C0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14:paraId="4DA342C6">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14:paraId="3016FC76"/>
    <w:p w14:paraId="70D2F482"/>
    <w:p w14:paraId="71028DB6"/>
    <w:p w14:paraId="734E3ED1"/>
    <w:p w14:paraId="3CE8C2C8"/>
    <w:p w14:paraId="476971BF"/>
    <w:tbl>
      <w:tblPr>
        <w:tblStyle w:val="15"/>
        <w:tblW w:w="0" w:type="auto"/>
        <w:tblInd w:w="88" w:type="dxa"/>
        <w:tblLayout w:type="fixed"/>
        <w:tblCellMar>
          <w:top w:w="0" w:type="dxa"/>
          <w:left w:w="108" w:type="dxa"/>
          <w:bottom w:w="0" w:type="dxa"/>
          <w:right w:w="108" w:type="dxa"/>
        </w:tblCellMar>
      </w:tblPr>
      <w:tblGrid>
        <w:gridCol w:w="980"/>
        <w:gridCol w:w="16"/>
        <w:gridCol w:w="6124"/>
        <w:gridCol w:w="1000"/>
        <w:gridCol w:w="5896"/>
        <w:gridCol w:w="60"/>
      </w:tblGrid>
      <w:tr w14:paraId="4F79BEF6">
        <w:tblPrEx>
          <w:tblCellMar>
            <w:top w:w="0" w:type="dxa"/>
            <w:left w:w="108" w:type="dxa"/>
            <w:bottom w:w="0" w:type="dxa"/>
            <w:right w:w="108" w:type="dxa"/>
          </w:tblCellMar>
        </w:tblPrEx>
        <w:trPr>
          <w:gridAfter w:val="1"/>
          <w:wAfter w:w="60" w:type="dxa"/>
          <w:trHeight w:val="285" w:hRule="atLeast"/>
        </w:trPr>
        <w:tc>
          <w:tcPr>
            <w:tcW w:w="996" w:type="dxa"/>
            <w:gridSpan w:val="2"/>
            <w:tcBorders>
              <w:top w:val="single" w:color="auto" w:sz="8" w:space="0"/>
              <w:left w:val="single" w:color="auto" w:sz="8" w:space="0"/>
              <w:bottom w:val="single" w:color="auto" w:sz="4" w:space="0"/>
              <w:right w:val="single" w:color="auto" w:sz="4" w:space="0"/>
            </w:tcBorders>
            <w:vAlign w:val="center"/>
          </w:tcPr>
          <w:p w14:paraId="6E7E2C6E">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7A09009E">
            <w:pPr>
              <w:spacing w:line="320" w:lineRule="exact"/>
              <w:jc w:val="left"/>
              <w:rPr>
                <w:rFonts w:eastAsia="仿宋_GB2312"/>
                <w:b/>
                <w:bCs/>
                <w:color w:val="000000"/>
                <w:kern w:val="0"/>
                <w:sz w:val="18"/>
                <w:szCs w:val="18"/>
              </w:rPr>
            </w:pPr>
            <w:r>
              <w:rPr>
                <w:rFonts w:eastAsia="仿宋_GB2312"/>
                <w:b/>
                <w:bCs/>
                <w:color w:val="000000"/>
                <w:kern w:val="0"/>
                <w:sz w:val="18"/>
                <w:szCs w:val="18"/>
              </w:rPr>
              <w:t>320217587000</w:t>
            </w:r>
            <w:r>
              <w:rPr>
                <w:rFonts w:hint="eastAsia" w:eastAsia="仿宋_GB2312"/>
                <w:b/>
                <w:bCs/>
                <w:color w:val="000000"/>
                <w:kern w:val="0"/>
                <w:sz w:val="18"/>
                <w:szCs w:val="18"/>
              </w:rPr>
              <w:t xml:space="preserve"> </w:t>
            </w:r>
          </w:p>
        </w:tc>
      </w:tr>
      <w:tr w14:paraId="16FC30D9">
        <w:tblPrEx>
          <w:tblCellMar>
            <w:top w:w="0" w:type="dxa"/>
            <w:left w:w="108" w:type="dxa"/>
            <w:bottom w:w="0" w:type="dxa"/>
            <w:right w:w="108" w:type="dxa"/>
          </w:tblCellMar>
        </w:tblPrEx>
        <w:trPr>
          <w:gridAfter w:val="1"/>
          <w:wAfter w:w="60" w:type="dxa"/>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19BDE80D">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color="auto" w:sz="4" w:space="0"/>
              <w:left w:val="nil"/>
              <w:bottom w:val="single" w:color="auto" w:sz="4" w:space="0"/>
              <w:right w:val="single" w:color="000000" w:sz="8" w:space="0"/>
            </w:tcBorders>
            <w:vAlign w:val="center"/>
          </w:tcPr>
          <w:p w14:paraId="601FC90B">
            <w:pPr>
              <w:spacing w:line="320" w:lineRule="exact"/>
              <w:jc w:val="left"/>
              <w:rPr>
                <w:color w:val="000000"/>
                <w:kern w:val="0"/>
                <w:sz w:val="18"/>
                <w:szCs w:val="18"/>
              </w:rPr>
            </w:pPr>
            <w:r>
              <w:rPr>
                <w:rFonts w:hint="eastAsia"/>
                <w:color w:val="000000"/>
                <w:kern w:val="0"/>
                <w:sz w:val="18"/>
                <w:szCs w:val="18"/>
              </w:rPr>
              <w:t>对燃气用户及相关单位和个人擅自操作公用燃气阀门的处罚</w:t>
            </w:r>
          </w:p>
        </w:tc>
      </w:tr>
      <w:tr w14:paraId="539B0ACF">
        <w:tblPrEx>
          <w:tblCellMar>
            <w:top w:w="0" w:type="dxa"/>
            <w:left w:w="108" w:type="dxa"/>
            <w:bottom w:w="0" w:type="dxa"/>
            <w:right w:w="108" w:type="dxa"/>
          </w:tblCellMar>
        </w:tblPrEx>
        <w:trPr>
          <w:gridAfter w:val="1"/>
          <w:wAfter w:w="60" w:type="dxa"/>
          <w:trHeight w:val="1545" w:hRule="atLeast"/>
        </w:trPr>
        <w:tc>
          <w:tcPr>
            <w:tcW w:w="996" w:type="dxa"/>
            <w:gridSpan w:val="2"/>
            <w:tcBorders>
              <w:top w:val="nil"/>
              <w:left w:val="single" w:color="auto" w:sz="8" w:space="0"/>
              <w:bottom w:val="single" w:color="auto" w:sz="4" w:space="0"/>
              <w:right w:val="single" w:color="auto" w:sz="4" w:space="0"/>
            </w:tcBorders>
            <w:vAlign w:val="center"/>
          </w:tcPr>
          <w:p w14:paraId="3A1EDABE">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60388CD4">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64ABAA8F">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14:paraId="78E64136">
            <w:pPr>
              <w:spacing w:line="320" w:lineRule="exact"/>
              <w:jc w:val="left"/>
              <w:rPr>
                <w:color w:val="000000"/>
                <w:kern w:val="0"/>
                <w:sz w:val="18"/>
                <w:szCs w:val="18"/>
              </w:rPr>
            </w:pPr>
            <w:r>
              <w:rPr>
                <w:rFonts w:hint="eastAsia"/>
                <w:color w:val="000000"/>
                <w:kern w:val="0"/>
                <w:sz w:val="18"/>
                <w:szCs w:val="18"/>
              </w:rPr>
              <w:t>（一）擅自操作公用燃气阀门。</w:t>
            </w:r>
          </w:p>
          <w:p w14:paraId="626B3828">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14:paraId="1DE1494D">
            <w:pPr>
              <w:spacing w:line="320" w:lineRule="exact"/>
              <w:jc w:val="left"/>
              <w:rPr>
                <w:color w:val="000000"/>
                <w:kern w:val="0"/>
                <w:sz w:val="18"/>
                <w:szCs w:val="18"/>
              </w:rPr>
            </w:pPr>
            <w:r>
              <w:rPr>
                <w:rFonts w:hint="eastAsia"/>
                <w:color w:val="000000"/>
                <w:kern w:val="0"/>
                <w:sz w:val="18"/>
                <w:szCs w:val="18"/>
              </w:rPr>
              <w:t>（一）擅自操作公用燃气阀门的。</w:t>
            </w:r>
          </w:p>
          <w:p w14:paraId="0DE5C517">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日通过，江苏省人大常委会公告第</w:t>
            </w:r>
            <w:r>
              <w:rPr>
                <w:color w:val="000000"/>
                <w:kern w:val="0"/>
                <w:sz w:val="18"/>
                <w:szCs w:val="18"/>
              </w:rPr>
              <w:t xml:space="preserve"> 28 </w:t>
            </w:r>
            <w:r>
              <w:rPr>
                <w:rFonts w:hint="eastAsia"/>
                <w:color w:val="000000"/>
                <w:kern w:val="0"/>
                <w:sz w:val="18"/>
                <w:szCs w:val="18"/>
              </w:rPr>
              <w:t>号）</w:t>
            </w:r>
          </w:p>
          <w:p w14:paraId="1833549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14:paraId="0BFAD75B">
            <w:pPr>
              <w:spacing w:line="320" w:lineRule="exact"/>
              <w:jc w:val="left"/>
              <w:rPr>
                <w:color w:val="000000"/>
                <w:kern w:val="0"/>
                <w:sz w:val="18"/>
                <w:szCs w:val="18"/>
              </w:rPr>
            </w:pPr>
            <w:r>
              <w:rPr>
                <w:rFonts w:hint="eastAsia"/>
                <w:color w:val="000000"/>
                <w:kern w:val="0"/>
                <w:sz w:val="18"/>
                <w:szCs w:val="18"/>
              </w:rPr>
              <w:t>　　（一）擅自操作公用燃气阀门；</w:t>
            </w:r>
          </w:p>
          <w:p w14:paraId="4429CC0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14:paraId="1DEA4624">
        <w:tblPrEx>
          <w:tblCellMar>
            <w:top w:w="0" w:type="dxa"/>
            <w:left w:w="108" w:type="dxa"/>
            <w:bottom w:w="0" w:type="dxa"/>
            <w:right w:w="108" w:type="dxa"/>
          </w:tblCellMar>
        </w:tblPrEx>
        <w:trPr>
          <w:gridAfter w:val="1"/>
          <w:wAfter w:w="60" w:type="dxa"/>
          <w:trHeight w:val="285" w:hRule="atLeast"/>
        </w:trPr>
        <w:tc>
          <w:tcPr>
            <w:tcW w:w="996" w:type="dxa"/>
            <w:gridSpan w:val="2"/>
            <w:tcBorders>
              <w:top w:val="nil"/>
              <w:left w:val="single" w:color="auto" w:sz="8" w:space="0"/>
              <w:bottom w:val="single" w:color="auto" w:sz="4" w:space="0"/>
              <w:right w:val="single" w:color="auto" w:sz="4" w:space="0"/>
            </w:tcBorders>
            <w:vAlign w:val="center"/>
          </w:tcPr>
          <w:p w14:paraId="059F746C">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657DA3CF">
            <w:pPr>
              <w:spacing w:line="320" w:lineRule="exact"/>
              <w:jc w:val="left"/>
              <w:rPr>
                <w:color w:val="000000"/>
                <w:kern w:val="0"/>
                <w:sz w:val="18"/>
                <w:szCs w:val="18"/>
              </w:rPr>
            </w:pPr>
            <w:r>
              <w:rPr>
                <w:rFonts w:hint="eastAsia"/>
                <w:color w:val="000000"/>
                <w:kern w:val="0"/>
                <w:sz w:val="18"/>
                <w:szCs w:val="18"/>
              </w:rPr>
              <w:t>罚款</w:t>
            </w:r>
          </w:p>
        </w:tc>
      </w:tr>
      <w:tr w14:paraId="2410BDA2">
        <w:tblPrEx>
          <w:tblCellMar>
            <w:top w:w="0" w:type="dxa"/>
            <w:left w:w="108" w:type="dxa"/>
            <w:bottom w:w="0" w:type="dxa"/>
            <w:right w:w="108" w:type="dxa"/>
          </w:tblCellMar>
        </w:tblPrEx>
        <w:trPr>
          <w:gridAfter w:val="1"/>
          <w:wAfter w:w="60" w:type="dxa"/>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5E928CF8">
            <w:pPr>
              <w:spacing w:line="320" w:lineRule="exact"/>
              <w:jc w:val="center"/>
              <w:rPr>
                <w:color w:val="000000"/>
                <w:kern w:val="0"/>
                <w:sz w:val="18"/>
                <w:szCs w:val="18"/>
              </w:rPr>
            </w:pPr>
            <w:r>
              <w:rPr>
                <w:rFonts w:hint="eastAsia"/>
                <w:color w:val="000000"/>
                <w:kern w:val="0"/>
                <w:sz w:val="18"/>
                <w:szCs w:val="18"/>
              </w:rPr>
              <w:t>裁量基准</w:t>
            </w:r>
          </w:p>
        </w:tc>
      </w:tr>
      <w:tr w14:paraId="05AD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980" w:type="dxa"/>
            <w:vMerge w:val="restart"/>
            <w:vAlign w:val="center"/>
          </w:tcPr>
          <w:p w14:paraId="3F65BE9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14:paraId="4F0F6EBC">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14:paraId="118D424C">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vAlign w:val="center"/>
          </w:tcPr>
          <w:p w14:paraId="1DD9B6E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14:paraId="7CABCCA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14:paraId="2891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80" w:type="dxa"/>
            <w:vMerge w:val="continue"/>
            <w:vAlign w:val="center"/>
          </w:tcPr>
          <w:p w14:paraId="46196017">
            <w:pPr>
              <w:spacing w:line="320" w:lineRule="exact"/>
              <w:jc w:val="center"/>
              <w:rPr>
                <w:color w:val="000000"/>
                <w:kern w:val="0"/>
                <w:sz w:val="18"/>
                <w:szCs w:val="18"/>
              </w:rPr>
            </w:pPr>
          </w:p>
        </w:tc>
        <w:tc>
          <w:tcPr>
            <w:tcW w:w="6140" w:type="dxa"/>
            <w:gridSpan w:val="2"/>
            <w:vAlign w:val="center"/>
          </w:tcPr>
          <w:p w14:paraId="4D022F57">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continue"/>
            <w:vAlign w:val="center"/>
          </w:tcPr>
          <w:p w14:paraId="7895C39C">
            <w:pPr>
              <w:spacing w:line="320" w:lineRule="exact"/>
              <w:jc w:val="center"/>
              <w:rPr>
                <w:color w:val="000000"/>
                <w:kern w:val="0"/>
                <w:sz w:val="18"/>
                <w:szCs w:val="18"/>
              </w:rPr>
            </w:pPr>
          </w:p>
        </w:tc>
        <w:tc>
          <w:tcPr>
            <w:tcW w:w="5956" w:type="dxa"/>
            <w:gridSpan w:val="2"/>
            <w:vAlign w:val="center"/>
          </w:tcPr>
          <w:p w14:paraId="4FF2277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14:paraId="55AB22F6">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4CF6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80" w:type="dxa"/>
            <w:vMerge w:val="continue"/>
            <w:vAlign w:val="center"/>
          </w:tcPr>
          <w:p w14:paraId="308880D9">
            <w:pPr>
              <w:spacing w:line="320" w:lineRule="exact"/>
              <w:jc w:val="center"/>
              <w:rPr>
                <w:color w:val="000000"/>
                <w:kern w:val="0"/>
                <w:sz w:val="18"/>
                <w:szCs w:val="18"/>
              </w:rPr>
            </w:pPr>
          </w:p>
        </w:tc>
        <w:tc>
          <w:tcPr>
            <w:tcW w:w="6140" w:type="dxa"/>
            <w:gridSpan w:val="2"/>
            <w:vAlign w:val="center"/>
          </w:tcPr>
          <w:p w14:paraId="4126C048">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continue"/>
            <w:vAlign w:val="center"/>
          </w:tcPr>
          <w:p w14:paraId="4F5EF0F1">
            <w:pPr>
              <w:spacing w:line="320" w:lineRule="exact"/>
              <w:jc w:val="center"/>
              <w:rPr>
                <w:color w:val="000000"/>
                <w:kern w:val="0"/>
                <w:sz w:val="18"/>
                <w:szCs w:val="18"/>
              </w:rPr>
            </w:pPr>
          </w:p>
        </w:tc>
        <w:tc>
          <w:tcPr>
            <w:tcW w:w="5956" w:type="dxa"/>
            <w:gridSpan w:val="2"/>
            <w:vAlign w:val="center"/>
          </w:tcPr>
          <w:p w14:paraId="10FC74C6">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14:paraId="4468577F">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151B86AD"/>
    <w:p w14:paraId="445F063F"/>
    <w:p w14:paraId="0B1813D1"/>
    <w:tbl>
      <w:tblPr>
        <w:tblStyle w:val="15"/>
        <w:tblW w:w="14236" w:type="dxa"/>
        <w:tblInd w:w="88" w:type="dxa"/>
        <w:tblLayout w:type="fixed"/>
        <w:tblCellMar>
          <w:top w:w="0" w:type="dxa"/>
          <w:left w:w="108" w:type="dxa"/>
          <w:bottom w:w="0" w:type="dxa"/>
          <w:right w:w="108" w:type="dxa"/>
        </w:tblCellMar>
      </w:tblPr>
      <w:tblGrid>
        <w:gridCol w:w="1296"/>
        <w:gridCol w:w="5854"/>
        <w:gridCol w:w="1236"/>
        <w:gridCol w:w="5850"/>
      </w:tblGrid>
      <w:tr w14:paraId="0152F1D3">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12BD2CB6">
            <w:pPr>
              <w:rPr>
                <w:color w:val="000000"/>
              </w:rPr>
            </w:pPr>
            <w:r>
              <w:rPr>
                <w:rFonts w:hint="eastAsia"/>
                <w:color w:val="000000"/>
              </w:rPr>
              <w:t>编号</w:t>
            </w:r>
          </w:p>
        </w:tc>
        <w:tc>
          <w:tcPr>
            <w:tcW w:w="12940" w:type="dxa"/>
            <w:gridSpan w:val="3"/>
            <w:tcBorders>
              <w:top w:val="single" w:color="auto" w:sz="8" w:space="0"/>
              <w:left w:val="nil"/>
              <w:bottom w:val="single" w:color="auto" w:sz="4" w:space="0"/>
              <w:right w:val="single" w:color="000000" w:sz="8" w:space="0"/>
            </w:tcBorders>
            <w:vAlign w:val="center"/>
          </w:tcPr>
          <w:p w14:paraId="2E47834D">
            <w:pPr>
              <w:rPr>
                <w:b/>
                <w:bCs/>
                <w:color w:val="000000"/>
              </w:rPr>
            </w:pPr>
            <w:r>
              <w:rPr>
                <w:b/>
                <w:bCs/>
                <w:color w:val="000000"/>
              </w:rPr>
              <w:t>320217588000</w:t>
            </w:r>
            <w:r>
              <w:rPr>
                <w:rFonts w:hint="eastAsia"/>
                <w:b/>
                <w:bCs/>
                <w:color w:val="000000"/>
              </w:rPr>
              <w:t xml:space="preserve"> </w:t>
            </w:r>
          </w:p>
        </w:tc>
      </w:tr>
      <w:tr w14:paraId="789A2054">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0B93A3CE">
            <w:pPr>
              <w:rPr>
                <w:color w:val="000000"/>
              </w:rPr>
            </w:pPr>
            <w:r>
              <w:rPr>
                <w:rFonts w:hint="eastAsia"/>
                <w:color w:val="000000"/>
              </w:rPr>
              <w:t>行为名称</w:t>
            </w:r>
          </w:p>
        </w:tc>
        <w:tc>
          <w:tcPr>
            <w:tcW w:w="12940" w:type="dxa"/>
            <w:gridSpan w:val="3"/>
            <w:tcBorders>
              <w:top w:val="single" w:color="auto" w:sz="4" w:space="0"/>
              <w:left w:val="nil"/>
              <w:bottom w:val="single" w:color="auto" w:sz="4" w:space="0"/>
              <w:right w:val="single" w:color="000000" w:sz="8" w:space="0"/>
            </w:tcBorders>
            <w:vAlign w:val="center"/>
          </w:tcPr>
          <w:p w14:paraId="2401DF3D">
            <w:pPr>
              <w:rPr>
                <w:color w:val="000000"/>
              </w:rPr>
            </w:pPr>
            <w:r>
              <w:rPr>
                <w:rFonts w:hint="eastAsia"/>
                <w:color w:val="000000"/>
              </w:rPr>
              <w:t>对装修人未申报登记进行住宅室内装饰装修活动的处罚</w:t>
            </w:r>
          </w:p>
        </w:tc>
      </w:tr>
      <w:tr w14:paraId="1498C7B1">
        <w:tblPrEx>
          <w:tblCellMar>
            <w:top w:w="0" w:type="dxa"/>
            <w:left w:w="108" w:type="dxa"/>
            <w:bottom w:w="0" w:type="dxa"/>
            <w:right w:w="108" w:type="dxa"/>
          </w:tblCellMar>
        </w:tblPrEx>
        <w:trPr>
          <w:trHeight w:val="1063" w:hRule="atLeast"/>
        </w:trPr>
        <w:tc>
          <w:tcPr>
            <w:tcW w:w="1296" w:type="dxa"/>
            <w:tcBorders>
              <w:top w:val="nil"/>
              <w:left w:val="single" w:color="auto" w:sz="8" w:space="0"/>
              <w:bottom w:val="single" w:color="auto" w:sz="4" w:space="0"/>
              <w:right w:val="single" w:color="auto" w:sz="4" w:space="0"/>
            </w:tcBorders>
            <w:vAlign w:val="center"/>
          </w:tcPr>
          <w:p w14:paraId="79329F4E">
            <w:pPr>
              <w:rPr>
                <w:color w:val="000000"/>
              </w:rPr>
            </w:pPr>
            <w:r>
              <w:rPr>
                <w:rFonts w:hint="eastAsia"/>
                <w:color w:val="000000"/>
              </w:rPr>
              <w:t>法律依据</w:t>
            </w:r>
          </w:p>
        </w:tc>
        <w:tc>
          <w:tcPr>
            <w:tcW w:w="12940" w:type="dxa"/>
            <w:gridSpan w:val="3"/>
            <w:tcBorders>
              <w:top w:val="single" w:color="auto" w:sz="4" w:space="0"/>
              <w:left w:val="nil"/>
              <w:bottom w:val="single" w:color="auto" w:sz="4" w:space="0"/>
              <w:right w:val="single" w:color="000000" w:sz="8" w:space="0"/>
            </w:tcBorders>
            <w:vAlign w:val="center"/>
          </w:tcPr>
          <w:p w14:paraId="458123EB">
            <w:pPr>
              <w:rPr>
                <w:color w:val="000000"/>
              </w:rPr>
            </w:pPr>
            <w:r>
              <w:rPr>
                <w:rFonts w:hint="eastAsia"/>
                <w:color w:val="000000"/>
              </w:rPr>
              <w:t>【规章】《住宅室内装饰装修管理办法》（建设部令第</w:t>
            </w:r>
            <w:r>
              <w:rPr>
                <w:color w:val="000000"/>
              </w:rPr>
              <w:t>110</w:t>
            </w:r>
            <w:r>
              <w:rPr>
                <w:rFonts w:hint="eastAsia"/>
                <w:color w:val="000000"/>
              </w:rPr>
              <w:t>号）</w:t>
            </w:r>
            <w:r>
              <w:rPr>
                <w:color w:val="000000"/>
              </w:rPr>
              <w:t xml:space="preserve"> </w:t>
            </w:r>
            <w:r>
              <w:rPr>
                <w:color w:val="000000"/>
              </w:rPr>
              <w:br w:type="textWrapping"/>
            </w:r>
            <w:r>
              <w:rPr>
                <w:rFonts w:hint="eastAsia"/>
                <w:color w:val="000000"/>
              </w:rPr>
              <w:t>第三十五条</w:t>
            </w:r>
            <w:r>
              <w:rPr>
                <w:color w:val="000000"/>
              </w:rPr>
              <w:t xml:space="preserve"> </w:t>
            </w:r>
            <w:r>
              <w:rPr>
                <w:rFonts w:hint="eastAsia"/>
                <w:color w:val="000000"/>
              </w:rPr>
              <w:t>装修人未申报登记进行住宅室内装饰装修活动的，由城市房地产行政主管部门责令改正，处</w:t>
            </w:r>
            <w:r>
              <w:rPr>
                <w:color w:val="000000"/>
              </w:rPr>
              <w:t>5</w:t>
            </w:r>
            <w:r>
              <w:rPr>
                <w:rFonts w:hint="eastAsia"/>
                <w:color w:val="000000"/>
              </w:rPr>
              <w:t>百元以上</w:t>
            </w:r>
            <w:r>
              <w:rPr>
                <w:color w:val="000000"/>
              </w:rPr>
              <w:t>1</w:t>
            </w:r>
            <w:r>
              <w:rPr>
                <w:rFonts w:hint="eastAsia"/>
                <w:color w:val="000000"/>
              </w:rPr>
              <w:t>千元以下的罚款。</w:t>
            </w:r>
          </w:p>
        </w:tc>
      </w:tr>
      <w:tr w14:paraId="00FCEE3D">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32018095">
            <w:pPr>
              <w:rPr>
                <w:color w:val="000000"/>
              </w:rPr>
            </w:pPr>
            <w:r>
              <w:rPr>
                <w:rFonts w:hint="eastAsia"/>
                <w:color w:val="000000"/>
              </w:rPr>
              <w:t>行使内容</w:t>
            </w:r>
          </w:p>
        </w:tc>
        <w:tc>
          <w:tcPr>
            <w:tcW w:w="12940" w:type="dxa"/>
            <w:gridSpan w:val="3"/>
            <w:tcBorders>
              <w:top w:val="single" w:color="auto" w:sz="4" w:space="0"/>
              <w:left w:val="nil"/>
              <w:bottom w:val="single" w:color="auto" w:sz="4" w:space="0"/>
              <w:right w:val="single" w:color="000000" w:sz="8" w:space="0"/>
            </w:tcBorders>
            <w:vAlign w:val="center"/>
          </w:tcPr>
          <w:p w14:paraId="453D7EC2">
            <w:pPr>
              <w:rPr>
                <w:color w:val="000000"/>
              </w:rPr>
            </w:pPr>
            <w:r>
              <w:rPr>
                <w:rFonts w:hint="eastAsia"/>
                <w:color w:val="000000"/>
              </w:rPr>
              <w:t>责令改正、罚款</w:t>
            </w:r>
          </w:p>
        </w:tc>
      </w:tr>
      <w:tr w14:paraId="2C0C6596">
        <w:tblPrEx>
          <w:tblCellMar>
            <w:top w:w="0" w:type="dxa"/>
            <w:left w:w="108" w:type="dxa"/>
            <w:bottom w:w="0" w:type="dxa"/>
            <w:right w:w="108" w:type="dxa"/>
          </w:tblCellMar>
        </w:tblPrEx>
        <w:trPr>
          <w:trHeight w:val="285" w:hRule="atLeast"/>
        </w:trPr>
        <w:tc>
          <w:tcPr>
            <w:tcW w:w="14236" w:type="dxa"/>
            <w:gridSpan w:val="4"/>
            <w:tcBorders>
              <w:top w:val="single" w:color="auto" w:sz="4" w:space="0"/>
              <w:left w:val="single" w:color="auto" w:sz="8" w:space="0"/>
              <w:bottom w:val="single" w:color="auto" w:sz="4" w:space="0"/>
              <w:right w:val="single" w:color="000000" w:sz="8" w:space="0"/>
            </w:tcBorders>
            <w:vAlign w:val="center"/>
          </w:tcPr>
          <w:p w14:paraId="6FBA56F0">
            <w:pPr>
              <w:jc w:val="center"/>
              <w:rPr>
                <w:color w:val="000000"/>
              </w:rPr>
            </w:pPr>
            <w:r>
              <w:rPr>
                <w:rFonts w:hint="eastAsia"/>
                <w:color w:val="000000"/>
              </w:rPr>
              <w:t>裁量基准</w:t>
            </w:r>
          </w:p>
        </w:tc>
      </w:tr>
      <w:tr w14:paraId="6DBFF5A1">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55E5FFAE">
            <w:pPr>
              <w:rPr>
                <w:color w:val="000000"/>
              </w:rPr>
            </w:pPr>
            <w:r>
              <w:rPr>
                <w:rFonts w:hint="eastAsia"/>
                <w:color w:val="000000"/>
              </w:rPr>
              <w:t>情形描述</w:t>
            </w:r>
          </w:p>
        </w:tc>
        <w:tc>
          <w:tcPr>
            <w:tcW w:w="5854" w:type="dxa"/>
            <w:tcBorders>
              <w:top w:val="single" w:color="auto" w:sz="4" w:space="0"/>
              <w:left w:val="nil"/>
              <w:bottom w:val="single" w:color="auto" w:sz="4" w:space="0"/>
              <w:right w:val="single" w:color="000000" w:sz="4" w:space="0"/>
            </w:tcBorders>
            <w:vAlign w:val="center"/>
          </w:tcPr>
          <w:p w14:paraId="75F28BEA">
            <w:pPr>
              <w:rPr>
                <w:color w:val="000000"/>
              </w:rPr>
            </w:pPr>
            <w:r>
              <w:rPr>
                <w:rFonts w:hint="eastAsia"/>
                <w:color w:val="000000"/>
              </w:rPr>
              <w:t>按要求改正的</w:t>
            </w:r>
          </w:p>
        </w:tc>
        <w:tc>
          <w:tcPr>
            <w:tcW w:w="1236" w:type="dxa"/>
            <w:vMerge w:val="restart"/>
            <w:tcBorders>
              <w:top w:val="nil"/>
              <w:left w:val="single" w:color="auto" w:sz="4" w:space="0"/>
              <w:bottom w:val="single" w:color="auto" w:sz="4" w:space="0"/>
              <w:right w:val="single" w:color="auto" w:sz="4" w:space="0"/>
            </w:tcBorders>
            <w:vAlign w:val="center"/>
          </w:tcPr>
          <w:p w14:paraId="75126205">
            <w:pPr>
              <w:rPr>
                <w:color w:val="000000"/>
              </w:rPr>
            </w:pPr>
            <w:r>
              <w:rPr>
                <w:rFonts w:hint="eastAsia"/>
                <w:color w:val="000000"/>
              </w:rPr>
              <w:t>裁量幅度</w:t>
            </w:r>
          </w:p>
        </w:tc>
        <w:tc>
          <w:tcPr>
            <w:tcW w:w="5850" w:type="dxa"/>
            <w:tcBorders>
              <w:top w:val="nil"/>
              <w:left w:val="nil"/>
              <w:bottom w:val="single" w:color="auto" w:sz="4" w:space="0"/>
              <w:right w:val="single" w:color="auto" w:sz="8" w:space="0"/>
            </w:tcBorders>
            <w:vAlign w:val="center"/>
          </w:tcPr>
          <w:p w14:paraId="1EEF4E37">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14:paraId="08A659C5">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79C19993">
            <w:pPr>
              <w:rPr>
                <w:color w:val="000000"/>
              </w:rPr>
            </w:pPr>
          </w:p>
        </w:tc>
        <w:tc>
          <w:tcPr>
            <w:tcW w:w="5854" w:type="dxa"/>
            <w:tcBorders>
              <w:top w:val="nil"/>
              <w:left w:val="nil"/>
              <w:bottom w:val="single" w:color="auto" w:sz="4" w:space="0"/>
              <w:right w:val="single" w:color="000000" w:sz="4" w:space="0"/>
            </w:tcBorders>
            <w:vAlign w:val="center"/>
          </w:tcPr>
          <w:p w14:paraId="237E0B44">
            <w:pPr>
              <w:rPr>
                <w:color w:val="000000"/>
              </w:rPr>
            </w:pPr>
            <w:r>
              <w:rPr>
                <w:rFonts w:hint="eastAsia"/>
                <w:color w:val="000000"/>
              </w:rPr>
              <w:t>未按要求改正的</w:t>
            </w:r>
          </w:p>
        </w:tc>
        <w:tc>
          <w:tcPr>
            <w:tcW w:w="1236" w:type="dxa"/>
            <w:vMerge w:val="continue"/>
            <w:tcBorders>
              <w:top w:val="nil"/>
              <w:left w:val="single" w:color="auto" w:sz="4" w:space="0"/>
              <w:bottom w:val="single" w:color="auto" w:sz="4" w:space="0"/>
              <w:right w:val="single" w:color="auto" w:sz="4" w:space="0"/>
            </w:tcBorders>
            <w:vAlign w:val="center"/>
          </w:tcPr>
          <w:p w14:paraId="3F940CA7">
            <w:pPr>
              <w:rPr>
                <w:color w:val="000000"/>
              </w:rPr>
            </w:pPr>
          </w:p>
        </w:tc>
        <w:tc>
          <w:tcPr>
            <w:tcW w:w="5850" w:type="dxa"/>
            <w:tcBorders>
              <w:top w:val="nil"/>
              <w:left w:val="nil"/>
              <w:bottom w:val="single" w:color="auto" w:sz="4" w:space="0"/>
              <w:right w:val="single" w:color="auto" w:sz="8" w:space="0"/>
            </w:tcBorders>
            <w:vAlign w:val="center"/>
          </w:tcPr>
          <w:p w14:paraId="128F2FE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14:paraId="44DC8415"/>
    <w:p w14:paraId="1285379C"/>
    <w:p w14:paraId="7624E9B3"/>
    <w:p w14:paraId="1D52F9B5"/>
    <w:p w14:paraId="124FB322"/>
    <w:p w14:paraId="70FEF4E3"/>
    <w:p w14:paraId="0888F3A5"/>
    <w:p w14:paraId="6CB92AD5"/>
    <w:p w14:paraId="3C3712F6"/>
    <w:p w14:paraId="1E792299"/>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6F7AF346">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49B572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73FC781B">
            <w:pPr>
              <w:spacing w:line="320" w:lineRule="exact"/>
              <w:jc w:val="left"/>
              <w:rPr>
                <w:rFonts w:eastAsia="仿宋_GB2312"/>
                <w:b/>
                <w:bCs/>
                <w:color w:val="000000"/>
                <w:kern w:val="0"/>
                <w:sz w:val="18"/>
                <w:szCs w:val="18"/>
              </w:rPr>
            </w:pPr>
            <w:r>
              <w:rPr>
                <w:rFonts w:eastAsia="仿宋_GB2312"/>
                <w:b/>
                <w:bCs/>
                <w:color w:val="000000"/>
                <w:kern w:val="0"/>
                <w:sz w:val="18"/>
                <w:szCs w:val="18"/>
              </w:rPr>
              <w:t>320217589000</w:t>
            </w:r>
            <w:r>
              <w:rPr>
                <w:rFonts w:hint="eastAsia" w:eastAsia="仿宋_GB2312"/>
                <w:b/>
                <w:bCs/>
                <w:color w:val="000000"/>
                <w:kern w:val="0"/>
                <w:sz w:val="18"/>
                <w:szCs w:val="18"/>
              </w:rPr>
              <w:t xml:space="preserve"> </w:t>
            </w:r>
          </w:p>
        </w:tc>
      </w:tr>
      <w:tr w14:paraId="57778567">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19D9C98">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68E1368F">
            <w:pPr>
              <w:spacing w:line="320" w:lineRule="exact"/>
              <w:jc w:val="left"/>
              <w:rPr>
                <w:color w:val="000000"/>
                <w:kern w:val="0"/>
                <w:sz w:val="18"/>
                <w:szCs w:val="18"/>
              </w:rPr>
            </w:pPr>
            <w:r>
              <w:rPr>
                <w:rFonts w:hint="eastAsia"/>
                <w:color w:val="000000"/>
                <w:kern w:val="0"/>
                <w:sz w:val="18"/>
                <w:szCs w:val="18"/>
              </w:rPr>
              <w:t>对房地产经纪机构和房地产经纪人员以隐瞒、欺诈、胁迫、贿赂等不正当手段招揽业务，诱骗消费者交易或者强制交易的处罚</w:t>
            </w:r>
          </w:p>
        </w:tc>
      </w:tr>
      <w:tr w14:paraId="5AEE1943">
        <w:tblPrEx>
          <w:tblCellMar>
            <w:top w:w="0" w:type="dxa"/>
            <w:left w:w="108" w:type="dxa"/>
            <w:bottom w:w="0" w:type="dxa"/>
            <w:right w:w="108" w:type="dxa"/>
          </w:tblCellMar>
        </w:tblPrEx>
        <w:trPr>
          <w:trHeight w:val="1515" w:hRule="atLeast"/>
        </w:trPr>
        <w:tc>
          <w:tcPr>
            <w:tcW w:w="1010" w:type="dxa"/>
            <w:tcBorders>
              <w:top w:val="nil"/>
              <w:left w:val="single" w:color="auto" w:sz="8" w:space="0"/>
              <w:bottom w:val="single" w:color="auto" w:sz="4" w:space="0"/>
              <w:right w:val="single" w:color="auto" w:sz="4" w:space="0"/>
            </w:tcBorders>
            <w:vAlign w:val="center"/>
          </w:tcPr>
          <w:p w14:paraId="1133270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1314ED8A">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59BBB3BA">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14:paraId="2D622FEF">
            <w:pPr>
              <w:spacing w:line="320" w:lineRule="exact"/>
              <w:jc w:val="left"/>
              <w:rPr>
                <w:color w:val="000000"/>
                <w:kern w:val="0"/>
                <w:sz w:val="18"/>
                <w:szCs w:val="18"/>
              </w:rPr>
            </w:pPr>
            <w:r>
              <w:rPr>
                <w:rFonts w:hint="eastAsia"/>
                <w:color w:val="000000"/>
                <w:kern w:val="0"/>
                <w:sz w:val="18"/>
                <w:szCs w:val="18"/>
              </w:rPr>
              <w:t>（三）以隐瞒、欺诈、胁迫、贿赂等不正当手段招揽业务，诱骗消费者交易或者强制交易。</w:t>
            </w:r>
          </w:p>
          <w:p w14:paraId="47CF2C34">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14:paraId="68B7309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BCCF78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25F07BC6">
            <w:pPr>
              <w:spacing w:line="320" w:lineRule="exact"/>
              <w:jc w:val="left"/>
              <w:rPr>
                <w:color w:val="000000"/>
                <w:kern w:val="0"/>
                <w:sz w:val="18"/>
                <w:szCs w:val="18"/>
              </w:rPr>
            </w:pPr>
            <w:r>
              <w:rPr>
                <w:rFonts w:hint="eastAsia"/>
                <w:color w:val="000000"/>
                <w:kern w:val="0"/>
                <w:sz w:val="18"/>
                <w:szCs w:val="18"/>
              </w:rPr>
              <w:t>罚款</w:t>
            </w:r>
          </w:p>
        </w:tc>
      </w:tr>
      <w:tr w14:paraId="72FC024B">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6D72A14">
            <w:pPr>
              <w:spacing w:line="320" w:lineRule="exact"/>
              <w:jc w:val="center"/>
              <w:rPr>
                <w:color w:val="000000"/>
                <w:kern w:val="0"/>
                <w:sz w:val="18"/>
                <w:szCs w:val="18"/>
              </w:rPr>
            </w:pPr>
            <w:r>
              <w:rPr>
                <w:rFonts w:hint="eastAsia"/>
                <w:color w:val="000000"/>
                <w:kern w:val="0"/>
                <w:sz w:val="18"/>
                <w:szCs w:val="18"/>
              </w:rPr>
              <w:t>裁量基准</w:t>
            </w:r>
          </w:p>
        </w:tc>
      </w:tr>
      <w:tr w14:paraId="0846ACB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AA7B06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6AC1431">
            <w:pPr>
              <w:spacing w:line="320" w:lineRule="exact"/>
              <w:jc w:val="left"/>
              <w:rPr>
                <w:color w:val="000000"/>
                <w:kern w:val="0"/>
                <w:sz w:val="18"/>
                <w:szCs w:val="18"/>
              </w:rPr>
            </w:pPr>
            <w:r>
              <w:rPr>
                <w:rFonts w:hint="eastAsia"/>
                <w:color w:val="000000"/>
                <w:kern w:val="0"/>
                <w:sz w:val="18"/>
                <w:szCs w:val="18"/>
              </w:rPr>
              <w:t>　</w:t>
            </w:r>
          </w:p>
        </w:tc>
        <w:tc>
          <w:tcPr>
            <w:tcW w:w="1000" w:type="dxa"/>
            <w:tcBorders>
              <w:top w:val="nil"/>
              <w:left w:val="nil"/>
              <w:bottom w:val="single" w:color="auto" w:sz="4" w:space="0"/>
              <w:right w:val="single" w:color="auto" w:sz="4" w:space="0"/>
            </w:tcBorders>
            <w:vAlign w:val="center"/>
          </w:tcPr>
          <w:p w14:paraId="0474CE2A">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319C7EC7">
            <w:pPr>
              <w:spacing w:line="320" w:lineRule="exact"/>
              <w:jc w:val="left"/>
              <w:rPr>
                <w:color w:val="000000"/>
                <w:kern w:val="0"/>
                <w:sz w:val="18"/>
                <w:szCs w:val="18"/>
              </w:rPr>
            </w:pPr>
          </w:p>
        </w:tc>
      </w:tr>
    </w:tbl>
    <w:p w14:paraId="44F794A1"/>
    <w:p w14:paraId="0D78450C"/>
    <w:p w14:paraId="3419D57C"/>
    <w:p w14:paraId="1B9809FA"/>
    <w:p w14:paraId="06990FE3"/>
    <w:p w14:paraId="6D43F9BE"/>
    <w:p w14:paraId="0BDB81D0"/>
    <w:p w14:paraId="4F99593A"/>
    <w:p w14:paraId="3461676C"/>
    <w:p w14:paraId="7F87BA89"/>
    <w:p w14:paraId="7CA0EBA9"/>
    <w:tbl>
      <w:tblPr>
        <w:tblStyle w:val="15"/>
        <w:tblW w:w="0" w:type="auto"/>
        <w:tblInd w:w="88" w:type="dxa"/>
        <w:tblLayout w:type="fixed"/>
        <w:tblCellMar>
          <w:top w:w="0" w:type="dxa"/>
          <w:left w:w="108" w:type="dxa"/>
          <w:bottom w:w="0" w:type="dxa"/>
          <w:right w:w="108" w:type="dxa"/>
        </w:tblCellMar>
      </w:tblPr>
      <w:tblGrid>
        <w:gridCol w:w="1296"/>
        <w:gridCol w:w="5670"/>
        <w:gridCol w:w="1214"/>
        <w:gridCol w:w="5850"/>
      </w:tblGrid>
      <w:tr w14:paraId="5983B457">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0AD64094">
            <w:pPr>
              <w:jc w:val="center"/>
              <w:rPr>
                <w:color w:val="000000"/>
              </w:rPr>
            </w:pPr>
            <w:r>
              <w:rPr>
                <w:rFonts w:hint="eastAsia"/>
                <w:color w:val="000000"/>
              </w:rPr>
              <w:t>编号</w:t>
            </w:r>
          </w:p>
        </w:tc>
        <w:tc>
          <w:tcPr>
            <w:tcW w:w="12734" w:type="dxa"/>
            <w:gridSpan w:val="3"/>
            <w:tcBorders>
              <w:top w:val="single" w:color="auto" w:sz="8" w:space="0"/>
              <w:left w:val="nil"/>
              <w:bottom w:val="single" w:color="auto" w:sz="4" w:space="0"/>
              <w:right w:val="single" w:color="000000" w:sz="8" w:space="0"/>
            </w:tcBorders>
            <w:vAlign w:val="center"/>
          </w:tcPr>
          <w:p w14:paraId="6D2385C5">
            <w:pPr>
              <w:rPr>
                <w:b/>
                <w:bCs/>
                <w:color w:val="000000"/>
              </w:rPr>
            </w:pPr>
            <w:r>
              <w:rPr>
                <w:b/>
                <w:bCs/>
                <w:color w:val="000000"/>
              </w:rPr>
              <w:t>320217590000</w:t>
            </w:r>
          </w:p>
        </w:tc>
      </w:tr>
      <w:tr w14:paraId="151DF771">
        <w:tblPrEx>
          <w:tblCellMar>
            <w:top w:w="0" w:type="dxa"/>
            <w:left w:w="108" w:type="dxa"/>
            <w:bottom w:w="0" w:type="dxa"/>
            <w:right w:w="108" w:type="dxa"/>
          </w:tblCellMar>
        </w:tblPrEx>
        <w:trPr>
          <w:trHeight w:val="540" w:hRule="atLeast"/>
        </w:trPr>
        <w:tc>
          <w:tcPr>
            <w:tcW w:w="1296" w:type="dxa"/>
            <w:tcBorders>
              <w:top w:val="nil"/>
              <w:left w:val="single" w:color="auto" w:sz="8" w:space="0"/>
              <w:bottom w:val="single" w:color="auto" w:sz="4" w:space="0"/>
              <w:right w:val="single" w:color="auto" w:sz="4" w:space="0"/>
            </w:tcBorders>
            <w:vAlign w:val="center"/>
          </w:tcPr>
          <w:p w14:paraId="5E2EAD7E">
            <w:pPr>
              <w:rPr>
                <w:color w:val="000000"/>
              </w:rPr>
            </w:pPr>
            <w:r>
              <w:rPr>
                <w:rFonts w:hint="eastAsia"/>
                <w:color w:val="000000"/>
              </w:rPr>
              <w:t>行为名称</w:t>
            </w:r>
          </w:p>
        </w:tc>
        <w:tc>
          <w:tcPr>
            <w:tcW w:w="12734" w:type="dxa"/>
            <w:gridSpan w:val="3"/>
            <w:tcBorders>
              <w:top w:val="single" w:color="auto" w:sz="4" w:space="0"/>
              <w:left w:val="nil"/>
              <w:bottom w:val="single" w:color="auto" w:sz="4" w:space="0"/>
              <w:right w:val="single" w:color="000000" w:sz="8" w:space="0"/>
            </w:tcBorders>
            <w:vAlign w:val="center"/>
          </w:tcPr>
          <w:p w14:paraId="59897E3D">
            <w:pPr>
              <w:rPr>
                <w:color w:val="000000"/>
              </w:rPr>
            </w:pPr>
            <w:r>
              <w:rPr>
                <w:rFonts w:hint="eastAsia"/>
                <w:color w:val="000000"/>
              </w:rPr>
              <w:t>对装饰装修企业违反国家有关安全生产规定和安全生产技术规程，不按照规定采取必要的安全防护和消防措施，擅自动用明火作业和进行焊接作业的，或者对建筑安全事故隐患不采取措施予以消除的处罚</w:t>
            </w:r>
          </w:p>
        </w:tc>
      </w:tr>
      <w:tr w14:paraId="4B8287E8">
        <w:tblPrEx>
          <w:tblCellMar>
            <w:top w:w="0" w:type="dxa"/>
            <w:left w:w="108" w:type="dxa"/>
            <w:bottom w:w="0" w:type="dxa"/>
            <w:right w:w="108" w:type="dxa"/>
          </w:tblCellMar>
        </w:tblPrEx>
        <w:trPr>
          <w:trHeight w:val="1999" w:hRule="atLeast"/>
        </w:trPr>
        <w:tc>
          <w:tcPr>
            <w:tcW w:w="1296" w:type="dxa"/>
            <w:tcBorders>
              <w:top w:val="nil"/>
              <w:left w:val="single" w:color="auto" w:sz="8" w:space="0"/>
              <w:bottom w:val="single" w:color="auto" w:sz="4" w:space="0"/>
              <w:right w:val="single" w:color="auto" w:sz="4" w:space="0"/>
            </w:tcBorders>
            <w:vAlign w:val="center"/>
          </w:tcPr>
          <w:p w14:paraId="5EB5B932">
            <w:pPr>
              <w:rPr>
                <w:color w:val="000000"/>
              </w:rPr>
            </w:pPr>
            <w:r>
              <w:rPr>
                <w:rFonts w:hint="eastAsia"/>
                <w:color w:val="000000"/>
              </w:rPr>
              <w:t>法律依据</w:t>
            </w:r>
          </w:p>
        </w:tc>
        <w:tc>
          <w:tcPr>
            <w:tcW w:w="12734" w:type="dxa"/>
            <w:gridSpan w:val="3"/>
            <w:tcBorders>
              <w:top w:val="single" w:color="auto" w:sz="4" w:space="0"/>
              <w:left w:val="nil"/>
              <w:bottom w:val="single" w:color="auto" w:sz="4" w:space="0"/>
              <w:right w:val="single" w:color="000000" w:sz="8" w:space="0"/>
            </w:tcBorders>
            <w:vAlign w:val="center"/>
          </w:tcPr>
          <w:p w14:paraId="6DE08C90">
            <w:pPr>
              <w:rPr>
                <w:color w:val="000000"/>
              </w:rPr>
            </w:pPr>
            <w:r>
              <w:rPr>
                <w:rFonts w:hint="eastAsia"/>
                <w:color w:val="000000"/>
              </w:rPr>
              <w:t>【规章】《住宅室内装饰装修管理办法》（建设部令第</w:t>
            </w:r>
            <w:r>
              <w:rPr>
                <w:color w:val="000000"/>
              </w:rPr>
              <w:t>110</w:t>
            </w:r>
            <w:r>
              <w:rPr>
                <w:rFonts w:hint="eastAsia"/>
                <w:color w:val="000000"/>
              </w:rPr>
              <w:t>号）</w:t>
            </w:r>
            <w:r>
              <w:rPr>
                <w:color w:val="000000"/>
              </w:rPr>
              <w:br w:type="textWrapping"/>
            </w:r>
            <w:r>
              <w:rPr>
                <w:color w:val="000000"/>
              </w:rPr>
              <w:t xml:space="preserve">   </w:t>
            </w:r>
            <w:r>
              <w:rPr>
                <w:rFonts w:hint="eastAsia"/>
                <w:color w:val="000000"/>
              </w:rPr>
              <w:t>第十一条</w:t>
            </w:r>
            <w:r>
              <w:rPr>
                <w:color w:val="000000"/>
              </w:rPr>
              <w:t xml:space="preserve"> </w:t>
            </w:r>
            <w:r>
              <w:rPr>
                <w:rFonts w:hint="eastAsia"/>
                <w:color w:val="000000"/>
              </w:rPr>
              <w:t>装饰装修企业从事住宅室内装饰装修活动，应当遵守施工安全操作规程，按照规定采取必要的安全防护和消防措施，不得擅自动用明火和进行焊接作业，保证作业人员和周围住房及财产的安全。</w:t>
            </w:r>
            <w:r>
              <w:rPr>
                <w:color w:val="000000"/>
              </w:rPr>
              <w:t xml:space="preserve"> </w:t>
            </w:r>
            <w:r>
              <w:rPr>
                <w:color w:val="000000"/>
              </w:rPr>
              <w:br w:type="textWrapping"/>
            </w:r>
            <w:r>
              <w:rPr>
                <w:color w:val="000000"/>
              </w:rPr>
              <w:t xml:space="preserve">   </w:t>
            </w:r>
            <w:r>
              <w:rPr>
                <w:rFonts w:hint="eastAsia"/>
                <w:color w:val="000000"/>
              </w:rPr>
              <w:t>第四十一条</w:t>
            </w:r>
            <w:r>
              <w:rPr>
                <w:color w:val="000000"/>
              </w:rPr>
              <w:t xml:space="preserve"> </w:t>
            </w:r>
            <w:r>
              <w:rPr>
                <w:rFonts w:hint="eastAsia"/>
                <w:color w:val="000000"/>
              </w:rPr>
              <w:t>装饰装修企业违反国家有关安全生产规定和安全生产技术规程，不按照规定采取必要的安全防护和消防措施，擅自动用明火作业和进行焊接作业的，或者对建筑安全事故隐患不采取措施予以消除的，由建设行政主管部门责令改正，并处</w:t>
            </w:r>
            <w:r>
              <w:rPr>
                <w:color w:val="000000"/>
              </w:rPr>
              <w:t>1</w:t>
            </w:r>
            <w:r>
              <w:rPr>
                <w:rFonts w:hint="eastAsia"/>
                <w:color w:val="000000"/>
              </w:rPr>
              <w:t>千元以上</w:t>
            </w:r>
            <w:r>
              <w:rPr>
                <w:color w:val="000000"/>
              </w:rPr>
              <w:t>1</w:t>
            </w:r>
            <w:r>
              <w:rPr>
                <w:rFonts w:hint="eastAsia"/>
                <w:color w:val="000000"/>
              </w:rPr>
              <w:t>万元以下的罚款；情节严重的，责令停业整顿，并处</w:t>
            </w:r>
            <w:r>
              <w:rPr>
                <w:color w:val="000000"/>
              </w:rPr>
              <w:t>1</w:t>
            </w:r>
            <w:r>
              <w:rPr>
                <w:rFonts w:hint="eastAsia"/>
                <w:color w:val="000000"/>
              </w:rPr>
              <w:t>万元以上</w:t>
            </w:r>
            <w:r>
              <w:rPr>
                <w:color w:val="000000"/>
              </w:rPr>
              <w:t>3</w:t>
            </w:r>
            <w:r>
              <w:rPr>
                <w:rFonts w:hint="eastAsia"/>
                <w:color w:val="000000"/>
              </w:rPr>
              <w:t>万元以下的罚款；造成重大安全事故的，降低资质等级或者吊销资质证书。</w:t>
            </w:r>
          </w:p>
        </w:tc>
      </w:tr>
      <w:tr w14:paraId="4B89C672">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25C77E1F">
            <w:pPr>
              <w:rPr>
                <w:color w:val="000000"/>
              </w:rPr>
            </w:pPr>
            <w:r>
              <w:rPr>
                <w:rFonts w:hint="eastAsia"/>
                <w:color w:val="000000"/>
              </w:rPr>
              <w:t>行使内容</w:t>
            </w:r>
          </w:p>
        </w:tc>
        <w:tc>
          <w:tcPr>
            <w:tcW w:w="12734" w:type="dxa"/>
            <w:gridSpan w:val="3"/>
            <w:tcBorders>
              <w:top w:val="single" w:color="auto" w:sz="4" w:space="0"/>
              <w:left w:val="nil"/>
              <w:bottom w:val="single" w:color="auto" w:sz="4" w:space="0"/>
              <w:right w:val="single" w:color="000000" w:sz="8" w:space="0"/>
            </w:tcBorders>
            <w:vAlign w:val="center"/>
          </w:tcPr>
          <w:p w14:paraId="608C038B">
            <w:pPr>
              <w:rPr>
                <w:color w:val="000000"/>
              </w:rPr>
            </w:pPr>
            <w:r>
              <w:rPr>
                <w:rFonts w:hint="eastAsia"/>
                <w:color w:val="000000"/>
              </w:rPr>
              <w:t>罚款，责令停业整顿，降低资质等级或者吊销资质证书</w:t>
            </w:r>
          </w:p>
        </w:tc>
      </w:tr>
      <w:tr w14:paraId="1ABF83B8">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15F89F7E">
            <w:pPr>
              <w:jc w:val="center"/>
              <w:rPr>
                <w:color w:val="000000"/>
              </w:rPr>
            </w:pPr>
            <w:r>
              <w:rPr>
                <w:rFonts w:hint="eastAsia"/>
                <w:color w:val="000000"/>
              </w:rPr>
              <w:t>裁量基准</w:t>
            </w:r>
          </w:p>
        </w:tc>
      </w:tr>
      <w:tr w14:paraId="37A079D1">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000000" w:sz="4" w:space="0"/>
              <w:right w:val="single" w:color="auto" w:sz="4" w:space="0"/>
            </w:tcBorders>
            <w:vAlign w:val="center"/>
          </w:tcPr>
          <w:p w14:paraId="4B615773">
            <w:pPr>
              <w:rPr>
                <w:color w:val="000000"/>
              </w:rPr>
            </w:pPr>
            <w:r>
              <w:rPr>
                <w:rFonts w:hint="eastAsia"/>
                <w:color w:val="000000"/>
              </w:rPr>
              <w:t>情形描述</w:t>
            </w:r>
          </w:p>
        </w:tc>
        <w:tc>
          <w:tcPr>
            <w:tcW w:w="5670" w:type="dxa"/>
            <w:tcBorders>
              <w:top w:val="single" w:color="auto" w:sz="4" w:space="0"/>
              <w:left w:val="nil"/>
              <w:bottom w:val="single" w:color="auto" w:sz="4" w:space="0"/>
              <w:right w:val="single" w:color="000000" w:sz="4" w:space="0"/>
            </w:tcBorders>
            <w:vAlign w:val="center"/>
          </w:tcPr>
          <w:p w14:paraId="4B2D20B2">
            <w:pPr>
              <w:rPr>
                <w:color w:val="000000"/>
                <w:highlight w:val="yellow"/>
              </w:rPr>
            </w:pPr>
            <w:r>
              <w:rPr>
                <w:rFonts w:hint="eastAsia"/>
                <w:color w:val="000000"/>
              </w:rPr>
              <w:t>未造成安全事故，按要求改正的</w:t>
            </w:r>
          </w:p>
        </w:tc>
        <w:tc>
          <w:tcPr>
            <w:tcW w:w="1214" w:type="dxa"/>
            <w:vMerge w:val="restart"/>
            <w:tcBorders>
              <w:top w:val="nil"/>
              <w:left w:val="nil"/>
              <w:bottom w:val="single" w:color="000000" w:sz="4" w:space="0"/>
              <w:right w:val="nil"/>
            </w:tcBorders>
            <w:vAlign w:val="center"/>
          </w:tcPr>
          <w:p w14:paraId="4D33A976">
            <w:pPr>
              <w:rPr>
                <w:color w:val="000000"/>
              </w:rPr>
            </w:pPr>
            <w:r>
              <w:rPr>
                <w:rFonts w:hint="eastAsia"/>
                <w:color w:val="000000"/>
              </w:rPr>
              <w:t>裁量幅度</w:t>
            </w:r>
          </w:p>
        </w:tc>
        <w:tc>
          <w:tcPr>
            <w:tcW w:w="5850" w:type="dxa"/>
            <w:tcBorders>
              <w:top w:val="nil"/>
              <w:left w:val="single" w:color="auto" w:sz="4" w:space="0"/>
              <w:bottom w:val="single" w:color="auto" w:sz="4" w:space="0"/>
              <w:right w:val="single" w:color="auto" w:sz="8" w:space="0"/>
            </w:tcBorders>
            <w:vAlign w:val="center"/>
          </w:tcPr>
          <w:p w14:paraId="3B6EBFA7">
            <w:pPr>
              <w:rPr>
                <w:color w:val="000000"/>
              </w:rPr>
            </w:pPr>
            <w:r>
              <w:rPr>
                <w:rFonts w:hint="eastAsia"/>
                <w:color w:val="000000"/>
              </w:rPr>
              <w:t>处</w:t>
            </w:r>
            <w:r>
              <w:rPr>
                <w:color w:val="000000"/>
              </w:rPr>
              <w:t>1</w:t>
            </w:r>
            <w:r>
              <w:rPr>
                <w:rFonts w:hint="eastAsia"/>
                <w:color w:val="000000"/>
              </w:rPr>
              <w:t>千元以上</w:t>
            </w:r>
            <w:r>
              <w:rPr>
                <w:color w:val="000000"/>
              </w:rPr>
              <w:t>5</w:t>
            </w:r>
            <w:r>
              <w:rPr>
                <w:rFonts w:hint="eastAsia"/>
                <w:color w:val="000000"/>
              </w:rPr>
              <w:t>千元以下的罚款</w:t>
            </w:r>
          </w:p>
        </w:tc>
      </w:tr>
      <w:tr w14:paraId="4894E717">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000000" w:sz="4" w:space="0"/>
              <w:right w:val="single" w:color="auto" w:sz="4" w:space="0"/>
            </w:tcBorders>
            <w:vAlign w:val="center"/>
          </w:tcPr>
          <w:p w14:paraId="05E5B881">
            <w:pPr>
              <w:rPr>
                <w:color w:val="000000"/>
              </w:rPr>
            </w:pPr>
          </w:p>
        </w:tc>
        <w:tc>
          <w:tcPr>
            <w:tcW w:w="5670" w:type="dxa"/>
            <w:tcBorders>
              <w:top w:val="nil"/>
              <w:left w:val="nil"/>
              <w:bottom w:val="single" w:color="auto" w:sz="4" w:space="0"/>
              <w:right w:val="single" w:color="000000" w:sz="4" w:space="0"/>
            </w:tcBorders>
            <w:vAlign w:val="center"/>
          </w:tcPr>
          <w:p w14:paraId="241A0132">
            <w:pPr>
              <w:rPr>
                <w:color w:val="000000"/>
              </w:rPr>
            </w:pPr>
            <w:r>
              <w:rPr>
                <w:rFonts w:hint="eastAsia"/>
                <w:color w:val="000000"/>
              </w:rPr>
              <w:t>未造成安全事故，但未要求改正的</w:t>
            </w:r>
          </w:p>
        </w:tc>
        <w:tc>
          <w:tcPr>
            <w:tcW w:w="1214" w:type="dxa"/>
            <w:vMerge w:val="continue"/>
            <w:tcBorders>
              <w:top w:val="nil"/>
              <w:left w:val="nil"/>
              <w:bottom w:val="single" w:color="000000" w:sz="4" w:space="0"/>
              <w:right w:val="nil"/>
            </w:tcBorders>
            <w:vAlign w:val="center"/>
          </w:tcPr>
          <w:p w14:paraId="2A776CF7">
            <w:pPr>
              <w:rPr>
                <w:color w:val="000000"/>
              </w:rPr>
            </w:pPr>
          </w:p>
        </w:tc>
        <w:tc>
          <w:tcPr>
            <w:tcW w:w="5850" w:type="dxa"/>
            <w:tcBorders>
              <w:top w:val="nil"/>
              <w:left w:val="single" w:color="auto" w:sz="4" w:space="0"/>
              <w:bottom w:val="single" w:color="auto" w:sz="4" w:space="0"/>
              <w:right w:val="single" w:color="auto" w:sz="8" w:space="0"/>
            </w:tcBorders>
            <w:vAlign w:val="center"/>
          </w:tcPr>
          <w:p w14:paraId="1A6D5EDD">
            <w:pPr>
              <w:rPr>
                <w:color w:val="000000"/>
              </w:rPr>
            </w:pPr>
            <w:r>
              <w:rPr>
                <w:rFonts w:hint="eastAsia"/>
                <w:color w:val="000000"/>
              </w:rPr>
              <w:t>处</w:t>
            </w:r>
            <w:r>
              <w:rPr>
                <w:color w:val="000000"/>
              </w:rPr>
              <w:t>5</w:t>
            </w:r>
            <w:r>
              <w:rPr>
                <w:rFonts w:hint="eastAsia"/>
                <w:color w:val="000000"/>
              </w:rPr>
              <w:t>千元以上</w:t>
            </w:r>
            <w:r>
              <w:rPr>
                <w:color w:val="000000"/>
              </w:rPr>
              <w:t>1</w:t>
            </w:r>
            <w:r>
              <w:rPr>
                <w:rFonts w:hint="eastAsia"/>
                <w:color w:val="000000"/>
              </w:rPr>
              <w:t>万元以下的罚款，责令停业整顿</w:t>
            </w:r>
          </w:p>
        </w:tc>
      </w:tr>
      <w:tr w14:paraId="5EF28372">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000000" w:sz="4" w:space="0"/>
              <w:right w:val="single" w:color="auto" w:sz="4" w:space="0"/>
            </w:tcBorders>
            <w:vAlign w:val="center"/>
          </w:tcPr>
          <w:p w14:paraId="0439943F">
            <w:pPr>
              <w:rPr>
                <w:color w:val="000000"/>
              </w:rPr>
            </w:pPr>
          </w:p>
        </w:tc>
        <w:tc>
          <w:tcPr>
            <w:tcW w:w="5670" w:type="dxa"/>
            <w:tcBorders>
              <w:top w:val="single" w:color="auto" w:sz="4" w:space="0"/>
              <w:left w:val="nil"/>
              <w:bottom w:val="single" w:color="auto" w:sz="4" w:space="0"/>
              <w:right w:val="single" w:color="000000" w:sz="4" w:space="0"/>
            </w:tcBorders>
            <w:vAlign w:val="center"/>
          </w:tcPr>
          <w:p w14:paraId="2B5D8A0D">
            <w:pPr>
              <w:rPr>
                <w:color w:val="000000"/>
              </w:rPr>
            </w:pPr>
            <w:r>
              <w:rPr>
                <w:rFonts w:hint="eastAsia"/>
                <w:color w:val="000000"/>
              </w:rPr>
              <w:t>造成一般及较大安全事故的</w:t>
            </w:r>
          </w:p>
        </w:tc>
        <w:tc>
          <w:tcPr>
            <w:tcW w:w="1214" w:type="dxa"/>
            <w:vMerge w:val="continue"/>
            <w:tcBorders>
              <w:top w:val="nil"/>
              <w:left w:val="nil"/>
              <w:bottom w:val="single" w:color="000000" w:sz="4" w:space="0"/>
              <w:right w:val="nil"/>
            </w:tcBorders>
            <w:vAlign w:val="center"/>
          </w:tcPr>
          <w:p w14:paraId="637EBFA4">
            <w:pPr>
              <w:rPr>
                <w:color w:val="000000"/>
              </w:rPr>
            </w:pPr>
          </w:p>
        </w:tc>
        <w:tc>
          <w:tcPr>
            <w:tcW w:w="5850" w:type="dxa"/>
            <w:tcBorders>
              <w:top w:val="nil"/>
              <w:left w:val="single" w:color="auto" w:sz="4" w:space="0"/>
              <w:bottom w:val="single" w:color="auto" w:sz="4" w:space="0"/>
              <w:right w:val="single" w:color="auto" w:sz="8" w:space="0"/>
            </w:tcBorders>
            <w:vAlign w:val="center"/>
          </w:tcPr>
          <w:p w14:paraId="1008DB58">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万元以下的罚款，责令停业整顿</w:t>
            </w:r>
          </w:p>
        </w:tc>
      </w:tr>
      <w:tr w14:paraId="78525E4E">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000000" w:sz="4" w:space="0"/>
              <w:right w:val="single" w:color="auto" w:sz="4" w:space="0"/>
            </w:tcBorders>
            <w:vAlign w:val="center"/>
          </w:tcPr>
          <w:p w14:paraId="2275FB50">
            <w:pPr>
              <w:rPr>
                <w:color w:val="000000"/>
              </w:rPr>
            </w:pPr>
          </w:p>
        </w:tc>
        <w:tc>
          <w:tcPr>
            <w:tcW w:w="5670" w:type="dxa"/>
            <w:tcBorders>
              <w:top w:val="single" w:color="auto" w:sz="4" w:space="0"/>
              <w:left w:val="nil"/>
              <w:bottom w:val="single" w:color="auto" w:sz="4" w:space="0"/>
              <w:right w:val="single" w:color="000000" w:sz="4" w:space="0"/>
            </w:tcBorders>
            <w:vAlign w:val="center"/>
          </w:tcPr>
          <w:p w14:paraId="537AA304">
            <w:pPr>
              <w:rPr>
                <w:color w:val="000000"/>
              </w:rPr>
            </w:pPr>
            <w:r>
              <w:rPr>
                <w:rFonts w:hint="eastAsia"/>
                <w:color w:val="000000"/>
              </w:rPr>
              <w:t>造成重大安全事故的</w:t>
            </w:r>
          </w:p>
        </w:tc>
        <w:tc>
          <w:tcPr>
            <w:tcW w:w="1214" w:type="dxa"/>
            <w:vMerge w:val="continue"/>
            <w:tcBorders>
              <w:top w:val="nil"/>
              <w:left w:val="nil"/>
              <w:bottom w:val="single" w:color="000000" w:sz="4" w:space="0"/>
              <w:right w:val="nil"/>
            </w:tcBorders>
            <w:vAlign w:val="center"/>
          </w:tcPr>
          <w:p w14:paraId="77DCD08B">
            <w:pPr>
              <w:rPr>
                <w:color w:val="000000"/>
              </w:rPr>
            </w:pPr>
          </w:p>
        </w:tc>
        <w:tc>
          <w:tcPr>
            <w:tcW w:w="5850" w:type="dxa"/>
            <w:tcBorders>
              <w:top w:val="nil"/>
              <w:left w:val="single" w:color="auto" w:sz="4" w:space="0"/>
              <w:bottom w:val="single" w:color="auto" w:sz="4" w:space="0"/>
              <w:right w:val="single" w:color="auto" w:sz="8" w:space="0"/>
            </w:tcBorders>
            <w:vAlign w:val="center"/>
          </w:tcPr>
          <w:p w14:paraId="2086A004">
            <w:pPr>
              <w:rPr>
                <w:color w:val="000000"/>
              </w:rPr>
            </w:pPr>
            <w:r>
              <w:rPr>
                <w:rFonts w:hint="eastAsia"/>
                <w:color w:val="000000"/>
              </w:rPr>
              <w:t>处</w:t>
            </w:r>
            <w:r>
              <w:rPr>
                <w:color w:val="000000"/>
              </w:rPr>
              <w:t>2</w:t>
            </w:r>
            <w:r>
              <w:rPr>
                <w:rFonts w:hint="eastAsia"/>
                <w:color w:val="000000"/>
              </w:rPr>
              <w:t>万元以上</w:t>
            </w:r>
            <w:r>
              <w:rPr>
                <w:color w:val="000000"/>
              </w:rPr>
              <w:t>2</w:t>
            </w:r>
            <w:r>
              <w:rPr>
                <w:rFonts w:hint="eastAsia"/>
                <w:color w:val="000000"/>
              </w:rPr>
              <w:t>万</w:t>
            </w:r>
            <w:r>
              <w:rPr>
                <w:color w:val="000000"/>
              </w:rPr>
              <w:t>5</w:t>
            </w:r>
            <w:r>
              <w:rPr>
                <w:rFonts w:hint="eastAsia"/>
                <w:color w:val="000000"/>
              </w:rPr>
              <w:t>千元以下的罚款，降低资质等级</w:t>
            </w:r>
          </w:p>
        </w:tc>
      </w:tr>
      <w:tr w14:paraId="0920A3FA">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000000" w:sz="4" w:space="0"/>
              <w:right w:val="single" w:color="auto" w:sz="4" w:space="0"/>
            </w:tcBorders>
            <w:vAlign w:val="center"/>
          </w:tcPr>
          <w:p w14:paraId="73F29A73">
            <w:pPr>
              <w:rPr>
                <w:color w:val="000000"/>
              </w:rPr>
            </w:pPr>
          </w:p>
        </w:tc>
        <w:tc>
          <w:tcPr>
            <w:tcW w:w="5670" w:type="dxa"/>
            <w:tcBorders>
              <w:top w:val="single" w:color="auto" w:sz="4" w:space="0"/>
              <w:left w:val="nil"/>
              <w:bottom w:val="single" w:color="auto" w:sz="4" w:space="0"/>
              <w:right w:val="single" w:color="000000" w:sz="4" w:space="0"/>
            </w:tcBorders>
            <w:vAlign w:val="center"/>
          </w:tcPr>
          <w:p w14:paraId="5013AB80">
            <w:pPr>
              <w:rPr>
                <w:color w:val="000000"/>
              </w:rPr>
            </w:pPr>
            <w:r>
              <w:rPr>
                <w:rFonts w:hint="eastAsia"/>
                <w:color w:val="000000"/>
              </w:rPr>
              <w:t>造成特别重大安全事故的</w:t>
            </w:r>
          </w:p>
        </w:tc>
        <w:tc>
          <w:tcPr>
            <w:tcW w:w="1214" w:type="dxa"/>
            <w:vMerge w:val="continue"/>
            <w:tcBorders>
              <w:top w:val="nil"/>
              <w:left w:val="nil"/>
              <w:bottom w:val="single" w:color="000000" w:sz="4" w:space="0"/>
              <w:right w:val="nil"/>
            </w:tcBorders>
            <w:vAlign w:val="center"/>
          </w:tcPr>
          <w:p w14:paraId="4240E4B1">
            <w:pPr>
              <w:rPr>
                <w:color w:val="000000"/>
              </w:rPr>
            </w:pPr>
          </w:p>
        </w:tc>
        <w:tc>
          <w:tcPr>
            <w:tcW w:w="5850" w:type="dxa"/>
            <w:tcBorders>
              <w:top w:val="nil"/>
              <w:left w:val="single" w:color="auto" w:sz="4" w:space="0"/>
              <w:bottom w:val="single" w:color="auto" w:sz="4" w:space="0"/>
              <w:right w:val="single" w:color="auto" w:sz="8" w:space="0"/>
            </w:tcBorders>
            <w:vAlign w:val="center"/>
          </w:tcPr>
          <w:p w14:paraId="68856257">
            <w:pPr>
              <w:rPr>
                <w:color w:val="000000"/>
              </w:rPr>
            </w:pPr>
            <w:r>
              <w:rPr>
                <w:rFonts w:hint="eastAsia"/>
                <w:color w:val="000000"/>
              </w:rPr>
              <w:t>处</w:t>
            </w:r>
            <w:r>
              <w:rPr>
                <w:color w:val="000000"/>
              </w:rPr>
              <w:t>2</w:t>
            </w:r>
            <w:r>
              <w:rPr>
                <w:rFonts w:hint="eastAsia"/>
                <w:color w:val="000000"/>
              </w:rPr>
              <w:t>万</w:t>
            </w:r>
            <w:r>
              <w:rPr>
                <w:color w:val="000000"/>
              </w:rPr>
              <w:t>5</w:t>
            </w:r>
            <w:r>
              <w:rPr>
                <w:rFonts w:hint="eastAsia"/>
                <w:color w:val="000000"/>
              </w:rPr>
              <w:t>千元以上</w:t>
            </w:r>
            <w:r>
              <w:rPr>
                <w:color w:val="000000"/>
              </w:rPr>
              <w:t>3</w:t>
            </w:r>
            <w:r>
              <w:rPr>
                <w:rFonts w:hint="eastAsia"/>
                <w:color w:val="000000"/>
              </w:rPr>
              <w:t>万元以下的罚款，吊销资质证书</w:t>
            </w:r>
          </w:p>
        </w:tc>
      </w:tr>
    </w:tbl>
    <w:p w14:paraId="10265921"/>
    <w:p w14:paraId="187489FF"/>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367924DC">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E9C246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5F710E89">
            <w:pPr>
              <w:spacing w:line="320" w:lineRule="exact"/>
              <w:jc w:val="left"/>
              <w:rPr>
                <w:rFonts w:eastAsia="仿宋_GB2312"/>
                <w:b/>
                <w:bCs/>
                <w:color w:val="000000"/>
                <w:kern w:val="0"/>
                <w:sz w:val="18"/>
                <w:szCs w:val="18"/>
              </w:rPr>
            </w:pPr>
            <w:r>
              <w:rPr>
                <w:rFonts w:eastAsia="仿宋_GB2312"/>
                <w:b/>
                <w:bCs/>
                <w:color w:val="000000"/>
                <w:kern w:val="0"/>
                <w:sz w:val="18"/>
                <w:szCs w:val="18"/>
              </w:rPr>
              <w:t>320217591000</w:t>
            </w:r>
            <w:r>
              <w:rPr>
                <w:rFonts w:hint="eastAsia" w:eastAsia="仿宋_GB2312"/>
                <w:b/>
                <w:bCs/>
                <w:color w:val="000000"/>
                <w:kern w:val="0"/>
                <w:sz w:val="18"/>
                <w:szCs w:val="18"/>
              </w:rPr>
              <w:t xml:space="preserve"> </w:t>
            </w:r>
          </w:p>
        </w:tc>
      </w:tr>
      <w:tr w14:paraId="6889797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8A8B73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66EA53E0">
            <w:pPr>
              <w:spacing w:line="320" w:lineRule="exact"/>
              <w:jc w:val="left"/>
              <w:rPr>
                <w:color w:val="000000"/>
                <w:kern w:val="0"/>
                <w:sz w:val="18"/>
                <w:szCs w:val="18"/>
              </w:rPr>
            </w:pPr>
            <w:r>
              <w:rPr>
                <w:rFonts w:hint="eastAsia"/>
                <w:color w:val="000000"/>
                <w:kern w:val="0"/>
                <w:sz w:val="18"/>
                <w:szCs w:val="18"/>
              </w:rPr>
              <w:t>对开发建设单位未按照规定交存首期住宅专项维修资金将房屋交付买受人的处罚</w:t>
            </w:r>
          </w:p>
        </w:tc>
      </w:tr>
      <w:tr w14:paraId="0A0F64A5">
        <w:tblPrEx>
          <w:tblCellMar>
            <w:top w:w="0" w:type="dxa"/>
            <w:left w:w="108" w:type="dxa"/>
            <w:bottom w:w="0" w:type="dxa"/>
            <w:right w:w="108" w:type="dxa"/>
          </w:tblCellMar>
        </w:tblPrEx>
        <w:trPr>
          <w:trHeight w:val="1110" w:hRule="atLeast"/>
        </w:trPr>
        <w:tc>
          <w:tcPr>
            <w:tcW w:w="1010" w:type="dxa"/>
            <w:tcBorders>
              <w:top w:val="nil"/>
              <w:left w:val="single" w:color="auto" w:sz="8" w:space="0"/>
              <w:bottom w:val="single" w:color="auto" w:sz="4" w:space="0"/>
              <w:right w:val="single" w:color="auto" w:sz="4" w:space="0"/>
            </w:tcBorders>
            <w:vAlign w:val="center"/>
          </w:tcPr>
          <w:p w14:paraId="46B7FD7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172E211E">
            <w:pPr>
              <w:spacing w:line="320" w:lineRule="exact"/>
              <w:jc w:val="left"/>
              <w:rPr>
                <w:color w:val="000000"/>
                <w:kern w:val="0"/>
                <w:sz w:val="18"/>
                <w:szCs w:val="18"/>
              </w:rPr>
            </w:pPr>
            <w:r>
              <w:rPr>
                <w:rFonts w:hint="eastAsia"/>
                <w:color w:val="000000"/>
                <w:kern w:val="0"/>
                <w:sz w:val="18"/>
                <w:szCs w:val="18"/>
              </w:rPr>
              <w:t>【规章】《住宅专项维修资金管理办法》（</w:t>
            </w:r>
            <w:r>
              <w:rPr>
                <w:color w:val="000000"/>
                <w:kern w:val="0"/>
                <w:sz w:val="18"/>
                <w:szCs w:val="18"/>
              </w:rPr>
              <w:t>2007</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财政部令第</w:t>
            </w:r>
            <w:r>
              <w:rPr>
                <w:color w:val="000000"/>
                <w:kern w:val="0"/>
                <w:sz w:val="18"/>
                <w:szCs w:val="18"/>
              </w:rPr>
              <w:t>165</w:t>
            </w:r>
            <w:r>
              <w:rPr>
                <w:rFonts w:hint="eastAsia"/>
                <w:color w:val="000000"/>
                <w:kern w:val="0"/>
                <w:sz w:val="18"/>
                <w:szCs w:val="18"/>
              </w:rPr>
              <w:t>号）</w:t>
            </w:r>
          </w:p>
          <w:p w14:paraId="07197B11">
            <w:pPr>
              <w:spacing w:line="320" w:lineRule="exact"/>
              <w:jc w:val="left"/>
              <w:rPr>
                <w:color w:val="000000"/>
                <w:kern w:val="0"/>
                <w:sz w:val="18"/>
                <w:szCs w:val="18"/>
              </w:rPr>
            </w:pPr>
            <w:r>
              <w:rPr>
                <w:rFonts w:hint="eastAsia"/>
                <w:color w:val="000000"/>
                <w:kern w:val="0"/>
                <w:sz w:val="18"/>
                <w:szCs w:val="18"/>
              </w:rPr>
              <w:t>第十三条　未按本办法规定交存首期住宅专项维修资金的，开发建设单位或者公有住房售房单位不得将房屋交付购买人。</w:t>
            </w:r>
            <w:r>
              <w:rPr>
                <w:color w:val="000000"/>
                <w:kern w:val="0"/>
                <w:sz w:val="18"/>
                <w:szCs w:val="18"/>
              </w:rPr>
              <w:t xml:space="preserve"> </w:t>
            </w:r>
          </w:p>
          <w:p w14:paraId="6A6397B6">
            <w:pPr>
              <w:spacing w:line="320" w:lineRule="exact"/>
              <w:jc w:val="left"/>
              <w:rPr>
                <w:color w:val="000000"/>
                <w:kern w:val="0"/>
                <w:sz w:val="18"/>
                <w:szCs w:val="18"/>
              </w:rPr>
            </w:pPr>
            <w:r>
              <w:rPr>
                <w:rFonts w:hint="eastAsia"/>
                <w:color w:val="000000"/>
                <w:kern w:val="0"/>
                <w:sz w:val="18"/>
                <w:szCs w:val="18"/>
              </w:rPr>
              <w:t>第三十六条第一款　开发建设单位违反本办法第十三条规定将房屋交付买受人的，由县级以上地方人民政府建设（房地产）主管部门责令限期改正；逾期不改正的，处以</w:t>
            </w:r>
            <w:r>
              <w:rPr>
                <w:color w:val="000000"/>
                <w:kern w:val="0"/>
                <w:sz w:val="18"/>
                <w:szCs w:val="18"/>
              </w:rPr>
              <w:t>3</w:t>
            </w:r>
            <w:r>
              <w:rPr>
                <w:rFonts w:hint="eastAsia"/>
                <w:color w:val="000000"/>
                <w:kern w:val="0"/>
                <w:sz w:val="18"/>
                <w:szCs w:val="18"/>
              </w:rPr>
              <w:t>万元以下的罚款。</w:t>
            </w:r>
          </w:p>
        </w:tc>
      </w:tr>
      <w:tr w14:paraId="4608455F">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7811619">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520744B5">
            <w:pPr>
              <w:spacing w:line="320" w:lineRule="exact"/>
              <w:jc w:val="left"/>
              <w:rPr>
                <w:color w:val="000000"/>
                <w:kern w:val="0"/>
                <w:sz w:val="18"/>
                <w:szCs w:val="18"/>
              </w:rPr>
            </w:pPr>
            <w:r>
              <w:rPr>
                <w:rFonts w:hint="eastAsia"/>
                <w:color w:val="000000"/>
                <w:kern w:val="0"/>
                <w:sz w:val="18"/>
                <w:szCs w:val="18"/>
              </w:rPr>
              <w:t>罚款</w:t>
            </w:r>
          </w:p>
        </w:tc>
      </w:tr>
      <w:tr w14:paraId="2085F971">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8BED007">
            <w:pPr>
              <w:spacing w:line="320" w:lineRule="exact"/>
              <w:jc w:val="center"/>
              <w:rPr>
                <w:color w:val="000000"/>
                <w:kern w:val="0"/>
                <w:sz w:val="18"/>
                <w:szCs w:val="18"/>
              </w:rPr>
            </w:pPr>
            <w:r>
              <w:rPr>
                <w:rFonts w:hint="eastAsia"/>
                <w:color w:val="000000"/>
                <w:kern w:val="0"/>
                <w:sz w:val="18"/>
                <w:szCs w:val="18"/>
              </w:rPr>
              <w:t>裁量基准</w:t>
            </w:r>
          </w:p>
        </w:tc>
      </w:tr>
      <w:tr w14:paraId="3DA0FD51">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62BEF95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413C25D">
            <w:pPr>
              <w:spacing w:line="320" w:lineRule="exact"/>
              <w:jc w:val="left"/>
              <w:rPr>
                <w:color w:val="000000"/>
                <w:kern w:val="0"/>
                <w:sz w:val="18"/>
                <w:szCs w:val="18"/>
              </w:rPr>
            </w:pPr>
            <w:r>
              <w:rPr>
                <w:rFonts w:hint="eastAsia"/>
                <w:color w:val="000000"/>
                <w:kern w:val="0"/>
                <w:sz w:val="18"/>
                <w:szCs w:val="18"/>
              </w:rPr>
              <w:t>未交存资金数额未达到应交存资金数额的</w:t>
            </w:r>
            <w:r>
              <w:rPr>
                <w:color w:val="000000"/>
                <w:kern w:val="0"/>
                <w:sz w:val="18"/>
                <w:szCs w:val="18"/>
              </w:rPr>
              <w:t>50%</w:t>
            </w:r>
          </w:p>
        </w:tc>
        <w:tc>
          <w:tcPr>
            <w:tcW w:w="1000" w:type="dxa"/>
            <w:vMerge w:val="restart"/>
            <w:tcBorders>
              <w:top w:val="nil"/>
              <w:left w:val="nil"/>
              <w:right w:val="single" w:color="auto" w:sz="4" w:space="0"/>
            </w:tcBorders>
            <w:vAlign w:val="center"/>
          </w:tcPr>
          <w:p w14:paraId="6F8DE446">
            <w:pPr>
              <w:spacing w:line="320" w:lineRule="exact"/>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33294BF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06B250EF">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74C3C549">
            <w:pPr>
              <w:spacing w:line="320" w:lineRule="exac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D0ECA65">
            <w:pPr>
              <w:spacing w:line="320" w:lineRule="exact"/>
              <w:jc w:val="left"/>
              <w:rPr>
                <w:color w:val="000000"/>
                <w:kern w:val="0"/>
                <w:sz w:val="18"/>
                <w:szCs w:val="18"/>
              </w:rPr>
            </w:pPr>
            <w:r>
              <w:rPr>
                <w:rFonts w:hint="eastAsia"/>
                <w:color w:val="000000"/>
                <w:kern w:val="0"/>
                <w:sz w:val="18"/>
                <w:szCs w:val="18"/>
              </w:rPr>
              <w:t>未交存资金数额超过应交存资金数额的</w:t>
            </w:r>
            <w:r>
              <w:rPr>
                <w:color w:val="000000"/>
                <w:kern w:val="0"/>
                <w:sz w:val="18"/>
                <w:szCs w:val="18"/>
              </w:rPr>
              <w:t>50%</w:t>
            </w:r>
          </w:p>
        </w:tc>
        <w:tc>
          <w:tcPr>
            <w:tcW w:w="1000" w:type="dxa"/>
            <w:vMerge w:val="continue"/>
            <w:tcBorders>
              <w:left w:val="nil"/>
              <w:bottom w:val="single" w:color="auto" w:sz="4" w:space="0"/>
              <w:right w:val="single" w:color="auto" w:sz="4" w:space="0"/>
            </w:tcBorders>
            <w:vAlign w:val="center"/>
          </w:tcPr>
          <w:p w14:paraId="3F21E0CE">
            <w:pPr>
              <w:spacing w:line="320" w:lineRule="exact"/>
              <w:jc w:val="center"/>
              <w:rPr>
                <w:color w:val="000000"/>
                <w:kern w:val="0"/>
                <w:sz w:val="18"/>
                <w:szCs w:val="18"/>
              </w:rPr>
            </w:pPr>
          </w:p>
        </w:tc>
        <w:tc>
          <w:tcPr>
            <w:tcW w:w="5866" w:type="dxa"/>
            <w:tcBorders>
              <w:top w:val="single" w:color="auto" w:sz="4" w:space="0"/>
              <w:left w:val="nil"/>
              <w:bottom w:val="single" w:color="auto" w:sz="4" w:space="0"/>
              <w:right w:val="single" w:color="auto" w:sz="8" w:space="0"/>
            </w:tcBorders>
            <w:vAlign w:val="center"/>
          </w:tcPr>
          <w:p w14:paraId="01DCC72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 xml:space="preserve"> 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6E9592AA"/>
    <w:tbl>
      <w:tblPr>
        <w:tblStyle w:val="15"/>
        <w:tblW w:w="0" w:type="auto"/>
        <w:tblInd w:w="88" w:type="dxa"/>
        <w:tblLayout w:type="fixed"/>
        <w:tblCellMar>
          <w:top w:w="0" w:type="dxa"/>
          <w:left w:w="108" w:type="dxa"/>
          <w:bottom w:w="0" w:type="dxa"/>
          <w:right w:w="108" w:type="dxa"/>
        </w:tblCellMar>
      </w:tblPr>
      <w:tblGrid>
        <w:gridCol w:w="1010"/>
        <w:gridCol w:w="1540"/>
        <w:gridCol w:w="4600"/>
        <w:gridCol w:w="1000"/>
        <w:gridCol w:w="5866"/>
      </w:tblGrid>
      <w:tr w14:paraId="6588A9A9">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95415FF">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723789B6">
            <w:pPr>
              <w:spacing w:line="320" w:lineRule="exact"/>
              <w:jc w:val="left"/>
              <w:rPr>
                <w:rFonts w:eastAsia="仿宋_GB2312"/>
                <w:b/>
                <w:bCs/>
                <w:color w:val="000000"/>
                <w:kern w:val="0"/>
                <w:sz w:val="18"/>
                <w:szCs w:val="18"/>
              </w:rPr>
            </w:pPr>
            <w:r>
              <w:rPr>
                <w:rFonts w:eastAsia="仿宋_GB2312"/>
                <w:b/>
                <w:bCs/>
                <w:color w:val="000000"/>
                <w:kern w:val="0"/>
                <w:sz w:val="18"/>
                <w:szCs w:val="18"/>
              </w:rPr>
              <w:t>320217592000</w:t>
            </w:r>
          </w:p>
        </w:tc>
      </w:tr>
      <w:tr w14:paraId="507EB3B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B83292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4436594A">
            <w:pPr>
              <w:spacing w:line="320" w:lineRule="exact"/>
              <w:jc w:val="left"/>
              <w:rPr>
                <w:color w:val="000000"/>
                <w:kern w:val="0"/>
                <w:sz w:val="18"/>
                <w:szCs w:val="18"/>
              </w:rPr>
            </w:pPr>
            <w:r>
              <w:rPr>
                <w:rFonts w:hint="eastAsia"/>
                <w:color w:val="000000"/>
                <w:kern w:val="0"/>
                <w:sz w:val="18"/>
                <w:szCs w:val="18"/>
              </w:rPr>
              <w:t>对注册房地产估价师超出聘用单位业务范围从事房地产估价活动的处罚</w:t>
            </w:r>
          </w:p>
        </w:tc>
      </w:tr>
      <w:tr w14:paraId="0692F6A3">
        <w:tblPrEx>
          <w:tblCellMar>
            <w:top w:w="0" w:type="dxa"/>
            <w:left w:w="108" w:type="dxa"/>
            <w:bottom w:w="0" w:type="dxa"/>
            <w:right w:w="108" w:type="dxa"/>
          </w:tblCellMar>
        </w:tblPrEx>
        <w:trPr>
          <w:trHeight w:val="1590" w:hRule="atLeast"/>
        </w:trPr>
        <w:tc>
          <w:tcPr>
            <w:tcW w:w="1010" w:type="dxa"/>
            <w:tcBorders>
              <w:top w:val="nil"/>
              <w:left w:val="single" w:color="auto" w:sz="8" w:space="0"/>
              <w:bottom w:val="single" w:color="auto" w:sz="4" w:space="0"/>
              <w:right w:val="single" w:color="auto" w:sz="4" w:space="0"/>
            </w:tcBorders>
            <w:vAlign w:val="center"/>
          </w:tcPr>
          <w:p w14:paraId="5A6A5281">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6C2DA1AA">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14:paraId="675DD564">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14:paraId="7166C8B3">
            <w:pPr>
              <w:spacing w:line="320" w:lineRule="exact"/>
              <w:jc w:val="left"/>
              <w:rPr>
                <w:color w:val="000000"/>
                <w:kern w:val="0"/>
                <w:sz w:val="18"/>
                <w:szCs w:val="18"/>
              </w:rPr>
            </w:pPr>
            <w:r>
              <w:rPr>
                <w:rFonts w:hint="eastAsia"/>
                <w:color w:val="000000"/>
                <w:kern w:val="0"/>
                <w:sz w:val="18"/>
                <w:szCs w:val="18"/>
              </w:rPr>
              <w:t>（十）超出聘用单位业务范围从事房地产估价活动。</w:t>
            </w:r>
          </w:p>
          <w:p w14:paraId="79605AA9">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14:paraId="14D0331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313270E">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1AA21DED">
            <w:pPr>
              <w:spacing w:line="320" w:lineRule="exact"/>
              <w:jc w:val="left"/>
              <w:rPr>
                <w:color w:val="000000"/>
                <w:kern w:val="0"/>
                <w:sz w:val="18"/>
                <w:szCs w:val="18"/>
              </w:rPr>
            </w:pPr>
            <w:r>
              <w:rPr>
                <w:rFonts w:hint="eastAsia"/>
                <w:color w:val="000000"/>
                <w:kern w:val="0"/>
                <w:sz w:val="18"/>
                <w:szCs w:val="18"/>
              </w:rPr>
              <w:t>警告、罚款</w:t>
            </w:r>
          </w:p>
        </w:tc>
      </w:tr>
      <w:tr w14:paraId="05D2DE20">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61828B04">
            <w:pPr>
              <w:spacing w:line="320" w:lineRule="exact"/>
              <w:jc w:val="center"/>
              <w:rPr>
                <w:color w:val="000000"/>
                <w:kern w:val="0"/>
                <w:sz w:val="18"/>
                <w:szCs w:val="18"/>
              </w:rPr>
            </w:pPr>
            <w:r>
              <w:rPr>
                <w:rFonts w:hint="eastAsia"/>
                <w:color w:val="000000"/>
                <w:kern w:val="0"/>
                <w:sz w:val="18"/>
                <w:szCs w:val="18"/>
              </w:rPr>
              <w:t>裁量基准</w:t>
            </w:r>
          </w:p>
        </w:tc>
      </w:tr>
      <w:tr w14:paraId="23A848B5">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118D3EF1">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6DD533AA">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color="auto" w:sz="4" w:space="0"/>
              <w:right w:val="single" w:color="auto" w:sz="4" w:space="0"/>
            </w:tcBorders>
            <w:vAlign w:val="center"/>
          </w:tcPr>
          <w:p w14:paraId="74A9243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76636D06">
            <w:pPr>
              <w:spacing w:line="320" w:lineRule="exact"/>
              <w:jc w:val="left"/>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637CCE5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4625FD56">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4D2A62F1">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0C08F53B">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58D247A">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3A82B17A">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352CA9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14:paraId="2B1A41DA">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73F17AF1">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5EA234A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5F2B1611">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2C2169D5">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5B5565E1">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14:paraId="72BEE852">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0A4D0E8A">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4161A7C2">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7BE86DCA">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0DDA0702">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093CEEA0">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w:t>
            </w:r>
            <w:r>
              <w:rPr>
                <w:color w:val="000000"/>
                <w:kern w:val="0"/>
                <w:sz w:val="18"/>
                <w:szCs w:val="18"/>
              </w:rPr>
              <w:t>5000</w:t>
            </w:r>
            <w:r>
              <w:rPr>
                <w:rFonts w:hint="eastAsia"/>
                <w:color w:val="000000"/>
                <w:kern w:val="0"/>
                <w:sz w:val="18"/>
                <w:szCs w:val="18"/>
              </w:rPr>
              <w:t>元以上不超过</w:t>
            </w:r>
            <w:r>
              <w:rPr>
                <w:color w:val="000000"/>
                <w:kern w:val="0"/>
                <w:sz w:val="18"/>
                <w:szCs w:val="18"/>
              </w:rPr>
              <w:t>3</w:t>
            </w:r>
            <w:r>
              <w:rPr>
                <w:rFonts w:hint="eastAsia"/>
                <w:color w:val="000000"/>
                <w:kern w:val="0"/>
                <w:sz w:val="18"/>
                <w:szCs w:val="18"/>
              </w:rPr>
              <w:t>万元的罚款</w:t>
            </w:r>
          </w:p>
        </w:tc>
      </w:tr>
    </w:tbl>
    <w:p w14:paraId="4A4916CB"/>
    <w:p w14:paraId="16B73E12"/>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5996"/>
        <w:gridCol w:w="1234"/>
        <w:gridCol w:w="5646"/>
      </w:tblGrid>
      <w:tr w14:paraId="7EA3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7F8EC3E7">
            <w:pPr>
              <w:jc w:val="center"/>
              <w:rPr>
                <w:color w:val="000000"/>
              </w:rPr>
            </w:pPr>
            <w:r>
              <w:rPr>
                <w:rFonts w:hint="eastAsia"/>
                <w:color w:val="000000"/>
              </w:rPr>
              <w:t>编号</w:t>
            </w:r>
          </w:p>
        </w:tc>
        <w:tc>
          <w:tcPr>
            <w:tcW w:w="12876" w:type="dxa"/>
            <w:gridSpan w:val="3"/>
            <w:vAlign w:val="center"/>
          </w:tcPr>
          <w:p w14:paraId="540D91FB">
            <w:pPr>
              <w:rPr>
                <w:b/>
                <w:bCs/>
                <w:color w:val="000000"/>
              </w:rPr>
            </w:pPr>
            <w:r>
              <w:rPr>
                <w:b/>
                <w:bCs/>
                <w:color w:val="000000"/>
              </w:rPr>
              <w:t>320217593000</w:t>
            </w:r>
          </w:p>
        </w:tc>
      </w:tr>
      <w:tr w14:paraId="6F5F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52FB93BC">
            <w:pPr>
              <w:rPr>
                <w:color w:val="000000"/>
              </w:rPr>
            </w:pPr>
            <w:r>
              <w:rPr>
                <w:rFonts w:hint="eastAsia"/>
                <w:color w:val="000000"/>
              </w:rPr>
              <w:t>行为名称</w:t>
            </w:r>
          </w:p>
        </w:tc>
        <w:tc>
          <w:tcPr>
            <w:tcW w:w="12876" w:type="dxa"/>
            <w:gridSpan w:val="3"/>
            <w:vAlign w:val="center"/>
          </w:tcPr>
          <w:p w14:paraId="63800EF4">
            <w:pPr>
              <w:rPr>
                <w:color w:val="000000"/>
              </w:rPr>
            </w:pPr>
            <w:r>
              <w:rPr>
                <w:rFonts w:hint="eastAsia"/>
                <w:color w:val="000000"/>
              </w:rPr>
              <w:t>对建设单位未按照规定协调组织制定防止多台塔式起重机相互碰撞的安全措施的处罚</w:t>
            </w:r>
          </w:p>
        </w:tc>
      </w:tr>
      <w:tr w14:paraId="5252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1154" w:type="dxa"/>
            <w:vAlign w:val="center"/>
          </w:tcPr>
          <w:p w14:paraId="29D52699">
            <w:pPr>
              <w:rPr>
                <w:color w:val="000000"/>
              </w:rPr>
            </w:pPr>
            <w:r>
              <w:rPr>
                <w:rFonts w:hint="eastAsia"/>
                <w:color w:val="000000"/>
              </w:rPr>
              <w:t>法律依据</w:t>
            </w:r>
          </w:p>
        </w:tc>
        <w:tc>
          <w:tcPr>
            <w:tcW w:w="12876" w:type="dxa"/>
            <w:gridSpan w:val="3"/>
          </w:tcPr>
          <w:p w14:paraId="0D0BEC33">
            <w:pPr>
              <w:rPr>
                <w:color w:val="000000"/>
              </w:rPr>
            </w:pPr>
            <w:r>
              <w:rPr>
                <w:rFonts w:hint="eastAsia"/>
                <w:color w:val="000000"/>
                <w:kern w:val="0"/>
                <w:sz w:val="18"/>
                <w:szCs w:val="18"/>
              </w:rPr>
              <w:t>【规章】《建筑起重机械安全监督管理规定》（建设部令第</w:t>
            </w:r>
            <w:r>
              <w:rPr>
                <w:color w:val="000000"/>
                <w:kern w:val="0"/>
                <w:sz w:val="18"/>
                <w:szCs w:val="18"/>
              </w:rPr>
              <w:t>166</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第二十三条第一款　依法发包给两个及两个以上施工单位的工程，不同施工单位在同一施工现场使用多台塔式起重机作业时，建设单位应当协调组织制定防止塔式起重机相互碰撞的安全措施。</w:t>
            </w:r>
            <w:r>
              <w:rPr>
                <w:color w:val="000000"/>
                <w:kern w:val="0"/>
                <w:sz w:val="18"/>
                <w:szCs w:val="18"/>
              </w:rPr>
              <w:br w:type="textWrapping"/>
            </w:r>
            <w:r>
              <w:rPr>
                <w:rFonts w:hint="eastAsia"/>
                <w:color w:val="000000"/>
                <w:kern w:val="0"/>
                <w:sz w:val="18"/>
                <w:szCs w:val="18"/>
              </w:rPr>
              <w:t>第三十三条　违反本规定，建设单位有下列行为之一的，由县级以上地方人民政府建设主管部门责令限期改正，予以警告，并处以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万元以下罚款；逾期未改的，责令停止施工：</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（一）未按照规定协调组织制定防止多台塔式起重机相互碰撞的安全措施的；</w:t>
            </w:r>
          </w:p>
        </w:tc>
      </w:tr>
      <w:tr w14:paraId="3FD8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2498B3D3">
            <w:pPr>
              <w:rPr>
                <w:color w:val="000000"/>
              </w:rPr>
            </w:pPr>
            <w:r>
              <w:rPr>
                <w:rFonts w:hint="eastAsia"/>
                <w:color w:val="000000"/>
              </w:rPr>
              <w:t>行使内容</w:t>
            </w:r>
          </w:p>
        </w:tc>
        <w:tc>
          <w:tcPr>
            <w:tcW w:w="12876" w:type="dxa"/>
            <w:gridSpan w:val="3"/>
            <w:vAlign w:val="center"/>
          </w:tcPr>
          <w:p w14:paraId="3CEE367A">
            <w:pPr>
              <w:rPr>
                <w:color w:val="000000"/>
              </w:rPr>
            </w:pPr>
            <w:r>
              <w:rPr>
                <w:rFonts w:hint="eastAsia"/>
                <w:color w:val="000000"/>
              </w:rPr>
              <w:t>警告，罚款</w:t>
            </w:r>
            <w:r>
              <w:rPr>
                <w:color w:val="000000"/>
              </w:rPr>
              <w:t xml:space="preserve"> </w:t>
            </w:r>
            <w:r>
              <w:rPr>
                <w:rFonts w:hint="eastAsia"/>
                <w:color w:val="000000"/>
              </w:rPr>
              <w:t>，责令停止施工</w:t>
            </w:r>
          </w:p>
        </w:tc>
      </w:tr>
      <w:tr w14:paraId="43DB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vAlign w:val="center"/>
          </w:tcPr>
          <w:p w14:paraId="0830699D">
            <w:pPr>
              <w:jc w:val="center"/>
              <w:rPr>
                <w:color w:val="000000"/>
              </w:rPr>
            </w:pPr>
            <w:r>
              <w:rPr>
                <w:rFonts w:hint="eastAsia"/>
                <w:color w:val="000000"/>
              </w:rPr>
              <w:t>裁量基准</w:t>
            </w:r>
          </w:p>
        </w:tc>
      </w:tr>
      <w:tr w14:paraId="247A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restart"/>
            <w:vAlign w:val="center"/>
          </w:tcPr>
          <w:p w14:paraId="75E4FABC">
            <w:pPr>
              <w:rPr>
                <w:color w:val="000000"/>
              </w:rPr>
            </w:pPr>
            <w:r>
              <w:rPr>
                <w:rFonts w:hint="eastAsia"/>
                <w:color w:val="000000"/>
              </w:rPr>
              <w:t>情形描述</w:t>
            </w:r>
          </w:p>
        </w:tc>
        <w:tc>
          <w:tcPr>
            <w:tcW w:w="5996" w:type="dxa"/>
            <w:vAlign w:val="center"/>
          </w:tcPr>
          <w:p w14:paraId="314E4F8B">
            <w:pPr>
              <w:rPr>
                <w:color w:val="000000"/>
              </w:rPr>
            </w:pPr>
            <w:r>
              <w:rPr>
                <w:rFonts w:hint="eastAsia"/>
                <w:color w:val="000000"/>
              </w:rPr>
              <w:t>未造成安全事故，按要求改正的</w:t>
            </w:r>
          </w:p>
        </w:tc>
        <w:tc>
          <w:tcPr>
            <w:tcW w:w="1234" w:type="dxa"/>
            <w:vMerge w:val="restart"/>
            <w:vAlign w:val="center"/>
          </w:tcPr>
          <w:p w14:paraId="6A46C06C">
            <w:pPr>
              <w:rPr>
                <w:color w:val="000000"/>
              </w:rPr>
            </w:pPr>
            <w:r>
              <w:rPr>
                <w:rFonts w:hint="eastAsia"/>
                <w:color w:val="000000"/>
              </w:rPr>
              <w:t>裁量幅度</w:t>
            </w:r>
          </w:p>
        </w:tc>
        <w:tc>
          <w:tcPr>
            <w:tcW w:w="5646" w:type="dxa"/>
            <w:vAlign w:val="center"/>
          </w:tcPr>
          <w:p w14:paraId="2CAECEC4">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14:paraId="330A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continue"/>
            <w:vAlign w:val="center"/>
          </w:tcPr>
          <w:p w14:paraId="19346AEC">
            <w:pPr>
              <w:rPr>
                <w:color w:val="000000"/>
              </w:rPr>
            </w:pPr>
          </w:p>
        </w:tc>
        <w:tc>
          <w:tcPr>
            <w:tcW w:w="5996" w:type="dxa"/>
            <w:vAlign w:val="center"/>
          </w:tcPr>
          <w:p w14:paraId="31AA89D6">
            <w:pPr>
              <w:rPr>
                <w:color w:val="000000"/>
              </w:rPr>
            </w:pPr>
            <w:r>
              <w:rPr>
                <w:rFonts w:hint="eastAsia"/>
                <w:color w:val="000000"/>
              </w:rPr>
              <w:t>未造成安全事故，但未要求改正的</w:t>
            </w:r>
          </w:p>
        </w:tc>
        <w:tc>
          <w:tcPr>
            <w:tcW w:w="1234" w:type="dxa"/>
            <w:vMerge w:val="continue"/>
            <w:vAlign w:val="center"/>
          </w:tcPr>
          <w:p w14:paraId="5760FD94">
            <w:pPr>
              <w:rPr>
                <w:color w:val="000000"/>
              </w:rPr>
            </w:pPr>
          </w:p>
        </w:tc>
        <w:tc>
          <w:tcPr>
            <w:tcW w:w="5646" w:type="dxa"/>
            <w:vAlign w:val="center"/>
          </w:tcPr>
          <w:p w14:paraId="5ED82088">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万元以下罚款，责令停止施工</w:t>
            </w:r>
          </w:p>
        </w:tc>
      </w:tr>
      <w:tr w14:paraId="5743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continue"/>
            <w:vAlign w:val="center"/>
          </w:tcPr>
          <w:p w14:paraId="0A20FCE9">
            <w:pPr>
              <w:rPr>
                <w:color w:val="000000"/>
              </w:rPr>
            </w:pPr>
          </w:p>
        </w:tc>
        <w:tc>
          <w:tcPr>
            <w:tcW w:w="5996" w:type="dxa"/>
            <w:vAlign w:val="center"/>
          </w:tcPr>
          <w:p w14:paraId="0762A335">
            <w:pPr>
              <w:rPr>
                <w:color w:val="000000"/>
              </w:rPr>
            </w:pPr>
            <w:r>
              <w:rPr>
                <w:rFonts w:hint="eastAsia"/>
                <w:color w:val="000000"/>
              </w:rPr>
              <w:t>造成一般及较大安全事故的</w:t>
            </w:r>
          </w:p>
        </w:tc>
        <w:tc>
          <w:tcPr>
            <w:tcW w:w="1234" w:type="dxa"/>
            <w:vMerge w:val="continue"/>
            <w:vAlign w:val="center"/>
          </w:tcPr>
          <w:p w14:paraId="42A0119D">
            <w:pPr>
              <w:rPr>
                <w:color w:val="000000"/>
              </w:rPr>
            </w:pPr>
          </w:p>
        </w:tc>
        <w:tc>
          <w:tcPr>
            <w:tcW w:w="5646" w:type="dxa"/>
            <w:vAlign w:val="center"/>
          </w:tcPr>
          <w:p w14:paraId="6434418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万元以下罚款，责令停止施工</w:t>
            </w:r>
          </w:p>
        </w:tc>
      </w:tr>
      <w:tr w14:paraId="6648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continue"/>
            <w:vAlign w:val="center"/>
          </w:tcPr>
          <w:p w14:paraId="3B97FE10">
            <w:pPr>
              <w:rPr>
                <w:color w:val="000000"/>
              </w:rPr>
            </w:pPr>
          </w:p>
        </w:tc>
        <w:tc>
          <w:tcPr>
            <w:tcW w:w="5996" w:type="dxa"/>
            <w:vAlign w:val="center"/>
          </w:tcPr>
          <w:p w14:paraId="627262EA">
            <w:pPr>
              <w:rPr>
                <w:color w:val="000000"/>
              </w:rPr>
            </w:pPr>
            <w:r>
              <w:rPr>
                <w:rFonts w:hint="eastAsia"/>
                <w:color w:val="000000"/>
              </w:rPr>
              <w:t>造成重大以上安全事故的</w:t>
            </w:r>
          </w:p>
        </w:tc>
        <w:tc>
          <w:tcPr>
            <w:tcW w:w="1234" w:type="dxa"/>
            <w:vMerge w:val="continue"/>
            <w:vAlign w:val="center"/>
          </w:tcPr>
          <w:p w14:paraId="167F8E0A">
            <w:pPr>
              <w:rPr>
                <w:color w:val="000000"/>
              </w:rPr>
            </w:pPr>
          </w:p>
        </w:tc>
        <w:tc>
          <w:tcPr>
            <w:tcW w:w="5646" w:type="dxa"/>
            <w:vAlign w:val="center"/>
          </w:tcPr>
          <w:p w14:paraId="326765DD">
            <w:pPr>
              <w:rPr>
                <w:color w:val="000000"/>
              </w:rPr>
            </w:pPr>
            <w:r>
              <w:rPr>
                <w:rFonts w:hint="eastAsia"/>
                <w:color w:val="000000"/>
              </w:rPr>
              <w:t>处</w:t>
            </w:r>
            <w:r>
              <w:rPr>
                <w:color w:val="000000"/>
              </w:rPr>
              <w:t>3</w:t>
            </w:r>
            <w:r>
              <w:rPr>
                <w:rFonts w:hint="eastAsia"/>
                <w:color w:val="000000"/>
              </w:rPr>
              <w:t>万元罚款，责令停止施工</w:t>
            </w:r>
          </w:p>
        </w:tc>
      </w:tr>
    </w:tbl>
    <w:p w14:paraId="5611E0E9"/>
    <w:p w14:paraId="753353F6"/>
    <w:p w14:paraId="711AA6DC"/>
    <w:p w14:paraId="2F597C0C"/>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5996"/>
        <w:gridCol w:w="1234"/>
        <w:gridCol w:w="5646"/>
      </w:tblGrid>
      <w:tr w14:paraId="4B14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6BFA76AF">
            <w:pPr>
              <w:jc w:val="center"/>
              <w:rPr>
                <w:color w:val="000000"/>
              </w:rPr>
            </w:pPr>
            <w:r>
              <w:rPr>
                <w:rFonts w:hint="eastAsia"/>
                <w:color w:val="000000"/>
              </w:rPr>
              <w:t>编号</w:t>
            </w:r>
          </w:p>
        </w:tc>
        <w:tc>
          <w:tcPr>
            <w:tcW w:w="12876" w:type="dxa"/>
            <w:gridSpan w:val="3"/>
            <w:vAlign w:val="center"/>
          </w:tcPr>
          <w:p w14:paraId="31CF2D46">
            <w:pPr>
              <w:rPr>
                <w:b/>
                <w:bCs/>
                <w:color w:val="000000"/>
              </w:rPr>
            </w:pPr>
            <w:r>
              <w:rPr>
                <w:b/>
                <w:bCs/>
                <w:color w:val="000000"/>
              </w:rPr>
              <w:t>320217594000</w:t>
            </w:r>
          </w:p>
        </w:tc>
      </w:tr>
      <w:tr w14:paraId="0346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4" w:type="dxa"/>
            <w:vAlign w:val="center"/>
          </w:tcPr>
          <w:p w14:paraId="7F5524E9">
            <w:pPr>
              <w:rPr>
                <w:color w:val="000000"/>
              </w:rPr>
            </w:pPr>
            <w:r>
              <w:rPr>
                <w:rFonts w:hint="eastAsia"/>
                <w:color w:val="000000"/>
              </w:rPr>
              <w:t>行为名称</w:t>
            </w:r>
          </w:p>
        </w:tc>
        <w:tc>
          <w:tcPr>
            <w:tcW w:w="12876" w:type="dxa"/>
            <w:gridSpan w:val="3"/>
          </w:tcPr>
          <w:p w14:paraId="6B6E9DFD">
            <w:pPr>
              <w:rPr>
                <w:color w:val="000000"/>
              </w:rPr>
            </w:pPr>
            <w:r>
              <w:rPr>
                <w:rFonts w:hint="eastAsia"/>
                <w:color w:val="000000"/>
              </w:rPr>
              <w:t>对装饰装修企业损坏房屋原有节能设施或者降低节能效果的处罚</w:t>
            </w:r>
          </w:p>
        </w:tc>
      </w:tr>
      <w:tr w14:paraId="369D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154" w:type="dxa"/>
            <w:vAlign w:val="center"/>
          </w:tcPr>
          <w:p w14:paraId="611535B4">
            <w:pPr>
              <w:rPr>
                <w:color w:val="000000"/>
              </w:rPr>
            </w:pPr>
            <w:r>
              <w:rPr>
                <w:rFonts w:hint="eastAsia"/>
                <w:color w:val="000000"/>
              </w:rPr>
              <w:t>法律依据</w:t>
            </w:r>
          </w:p>
        </w:tc>
        <w:tc>
          <w:tcPr>
            <w:tcW w:w="12876" w:type="dxa"/>
            <w:gridSpan w:val="3"/>
            <w:vAlign w:val="center"/>
          </w:tcPr>
          <w:p w14:paraId="5B9722CF">
            <w:pPr>
              <w:rPr>
                <w:color w:val="000000"/>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第三十八条第</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项</w:t>
            </w:r>
            <w:r>
              <w:rPr>
                <w:color w:val="000000"/>
                <w:kern w:val="0"/>
                <w:sz w:val="18"/>
                <w:szCs w:val="18"/>
              </w:rPr>
              <w:t xml:space="preserve"> </w:t>
            </w:r>
            <w:r>
              <w:rPr>
                <w:rFonts w:hint="eastAsia"/>
                <w:color w:val="000000"/>
                <w:kern w:val="0"/>
                <w:sz w:val="18"/>
                <w:szCs w:val="18"/>
              </w:rPr>
              <w:t>损坏房屋原有节能设施或者降低节能效果的，对装饰装修企业处</w:t>
            </w:r>
            <w:r>
              <w:rPr>
                <w:color w:val="000000"/>
                <w:kern w:val="0"/>
                <w:sz w:val="18"/>
                <w:szCs w:val="18"/>
              </w:rPr>
              <w:t>1</w:t>
            </w:r>
            <w:r>
              <w:rPr>
                <w:rFonts w:hint="eastAsia"/>
                <w:color w:val="000000"/>
                <w:kern w:val="0"/>
                <w:sz w:val="18"/>
                <w:szCs w:val="18"/>
              </w:rPr>
              <w:t>千元以上</w:t>
            </w:r>
            <w:r>
              <w:rPr>
                <w:color w:val="000000"/>
                <w:kern w:val="0"/>
                <w:sz w:val="18"/>
                <w:szCs w:val="18"/>
              </w:rPr>
              <w:t>5</w:t>
            </w:r>
            <w:r>
              <w:rPr>
                <w:rFonts w:hint="eastAsia"/>
                <w:color w:val="000000"/>
                <w:kern w:val="0"/>
                <w:sz w:val="18"/>
                <w:szCs w:val="18"/>
              </w:rPr>
              <w:t>千元以下的罚款。</w:t>
            </w:r>
          </w:p>
        </w:tc>
      </w:tr>
      <w:tr w14:paraId="0E7E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Align w:val="center"/>
          </w:tcPr>
          <w:p w14:paraId="7C706D8C">
            <w:pPr>
              <w:rPr>
                <w:color w:val="000000"/>
              </w:rPr>
            </w:pPr>
            <w:r>
              <w:rPr>
                <w:rFonts w:hint="eastAsia"/>
                <w:color w:val="000000"/>
              </w:rPr>
              <w:t>行使内容</w:t>
            </w:r>
          </w:p>
        </w:tc>
        <w:tc>
          <w:tcPr>
            <w:tcW w:w="12876" w:type="dxa"/>
            <w:gridSpan w:val="3"/>
            <w:vAlign w:val="center"/>
          </w:tcPr>
          <w:p w14:paraId="50CD4E7D">
            <w:pPr>
              <w:rPr>
                <w:color w:val="000000"/>
              </w:rPr>
            </w:pPr>
            <w:r>
              <w:rPr>
                <w:rFonts w:hint="eastAsia"/>
                <w:color w:val="000000"/>
              </w:rPr>
              <w:t>罚款</w:t>
            </w:r>
          </w:p>
        </w:tc>
      </w:tr>
      <w:tr w14:paraId="1D8D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vAlign w:val="center"/>
          </w:tcPr>
          <w:p w14:paraId="3059C90F">
            <w:pPr>
              <w:jc w:val="center"/>
              <w:rPr>
                <w:color w:val="000000"/>
              </w:rPr>
            </w:pPr>
            <w:r>
              <w:rPr>
                <w:rFonts w:hint="eastAsia"/>
                <w:color w:val="000000"/>
              </w:rPr>
              <w:t>裁量基准</w:t>
            </w:r>
          </w:p>
        </w:tc>
      </w:tr>
      <w:tr w14:paraId="2129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restart"/>
            <w:vAlign w:val="center"/>
          </w:tcPr>
          <w:p w14:paraId="7803EE5E">
            <w:pPr>
              <w:rPr>
                <w:color w:val="000000"/>
              </w:rPr>
            </w:pPr>
            <w:r>
              <w:rPr>
                <w:rFonts w:hint="eastAsia"/>
                <w:color w:val="000000"/>
              </w:rPr>
              <w:t>情形描述</w:t>
            </w:r>
          </w:p>
        </w:tc>
        <w:tc>
          <w:tcPr>
            <w:tcW w:w="5996" w:type="dxa"/>
            <w:vAlign w:val="center"/>
          </w:tcPr>
          <w:p w14:paraId="20EAACF9">
            <w:pPr>
              <w:rPr>
                <w:color w:val="000000"/>
              </w:rPr>
            </w:pPr>
            <w:r>
              <w:rPr>
                <w:rFonts w:hint="eastAsia"/>
                <w:color w:val="000000"/>
              </w:rPr>
              <w:t>按要求改正的</w:t>
            </w:r>
          </w:p>
        </w:tc>
        <w:tc>
          <w:tcPr>
            <w:tcW w:w="1234" w:type="dxa"/>
            <w:vMerge w:val="restart"/>
            <w:vAlign w:val="center"/>
          </w:tcPr>
          <w:p w14:paraId="0D574022">
            <w:pPr>
              <w:rPr>
                <w:color w:val="000000"/>
              </w:rPr>
            </w:pPr>
            <w:r>
              <w:rPr>
                <w:rFonts w:hint="eastAsia"/>
                <w:color w:val="000000"/>
              </w:rPr>
              <w:t>裁量幅度</w:t>
            </w:r>
          </w:p>
        </w:tc>
        <w:tc>
          <w:tcPr>
            <w:tcW w:w="5646" w:type="dxa"/>
            <w:vAlign w:val="center"/>
          </w:tcPr>
          <w:p w14:paraId="0C9F857F">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14:paraId="022D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4" w:type="dxa"/>
            <w:vMerge w:val="continue"/>
            <w:vAlign w:val="center"/>
          </w:tcPr>
          <w:p w14:paraId="07F8EF33">
            <w:pPr>
              <w:rPr>
                <w:color w:val="000000"/>
              </w:rPr>
            </w:pPr>
          </w:p>
        </w:tc>
        <w:tc>
          <w:tcPr>
            <w:tcW w:w="5996" w:type="dxa"/>
            <w:vAlign w:val="center"/>
          </w:tcPr>
          <w:p w14:paraId="79E81617">
            <w:pPr>
              <w:rPr>
                <w:color w:val="000000"/>
              </w:rPr>
            </w:pPr>
            <w:r>
              <w:rPr>
                <w:rFonts w:hint="eastAsia"/>
                <w:color w:val="000000"/>
              </w:rPr>
              <w:t>未按要求改正的</w:t>
            </w:r>
          </w:p>
        </w:tc>
        <w:tc>
          <w:tcPr>
            <w:tcW w:w="1234" w:type="dxa"/>
            <w:vMerge w:val="continue"/>
            <w:vAlign w:val="center"/>
          </w:tcPr>
          <w:p w14:paraId="26C3109C">
            <w:pPr>
              <w:rPr>
                <w:color w:val="000000"/>
              </w:rPr>
            </w:pPr>
          </w:p>
        </w:tc>
        <w:tc>
          <w:tcPr>
            <w:tcW w:w="5646" w:type="dxa"/>
            <w:vAlign w:val="center"/>
          </w:tcPr>
          <w:p w14:paraId="58DA70C2">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14:paraId="09B82B02"/>
    <w:p w14:paraId="795A684D"/>
    <w:p w14:paraId="303A69C5"/>
    <w:p w14:paraId="271E6F59"/>
    <w:p w14:paraId="336109D9"/>
    <w:p w14:paraId="74C08C87"/>
    <w:p w14:paraId="18C5576A"/>
    <w:p w14:paraId="6734AC12"/>
    <w:p w14:paraId="063E34AE"/>
    <w:p w14:paraId="703A7453"/>
    <w:p w14:paraId="3DDB795B"/>
    <w:tbl>
      <w:tblPr>
        <w:tblStyle w:val="15"/>
        <w:tblW w:w="0" w:type="auto"/>
        <w:tblInd w:w="88" w:type="dxa"/>
        <w:tblLayout w:type="fixed"/>
        <w:tblCellMar>
          <w:top w:w="0" w:type="dxa"/>
          <w:left w:w="108" w:type="dxa"/>
          <w:bottom w:w="0" w:type="dxa"/>
          <w:right w:w="108" w:type="dxa"/>
        </w:tblCellMar>
      </w:tblPr>
      <w:tblGrid>
        <w:gridCol w:w="1296"/>
        <w:gridCol w:w="5854"/>
        <w:gridCol w:w="1234"/>
        <w:gridCol w:w="5646"/>
      </w:tblGrid>
      <w:tr w14:paraId="3159FD52">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6D6A3712">
            <w:pPr>
              <w:jc w:val="center"/>
              <w:rPr>
                <w:color w:val="000000"/>
              </w:rPr>
            </w:pPr>
            <w:r>
              <w:rPr>
                <w:rFonts w:hint="eastAsia"/>
                <w:color w:val="000000"/>
              </w:rPr>
              <w:t>编号</w:t>
            </w:r>
          </w:p>
        </w:tc>
        <w:tc>
          <w:tcPr>
            <w:tcW w:w="12734" w:type="dxa"/>
            <w:gridSpan w:val="3"/>
            <w:tcBorders>
              <w:top w:val="single" w:color="auto" w:sz="8" w:space="0"/>
              <w:left w:val="nil"/>
              <w:bottom w:val="single" w:color="auto" w:sz="4" w:space="0"/>
              <w:right w:val="single" w:color="auto" w:sz="8" w:space="0"/>
            </w:tcBorders>
            <w:vAlign w:val="center"/>
          </w:tcPr>
          <w:p w14:paraId="12490245">
            <w:pPr>
              <w:rPr>
                <w:b/>
                <w:bCs/>
                <w:color w:val="000000"/>
              </w:rPr>
            </w:pPr>
            <w:r>
              <w:rPr>
                <w:b/>
                <w:bCs/>
                <w:color w:val="000000"/>
              </w:rPr>
              <w:t>320217595000</w:t>
            </w:r>
          </w:p>
        </w:tc>
      </w:tr>
      <w:tr w14:paraId="48D44490">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013B1702">
            <w:pPr>
              <w:rPr>
                <w:color w:val="000000"/>
              </w:rPr>
            </w:pPr>
            <w:r>
              <w:rPr>
                <w:rFonts w:hint="eastAsia"/>
                <w:color w:val="000000"/>
              </w:rPr>
              <w:t>行为名称</w:t>
            </w:r>
          </w:p>
        </w:tc>
        <w:tc>
          <w:tcPr>
            <w:tcW w:w="12734" w:type="dxa"/>
            <w:gridSpan w:val="3"/>
            <w:tcBorders>
              <w:top w:val="single" w:color="auto" w:sz="4" w:space="0"/>
              <w:left w:val="nil"/>
              <w:bottom w:val="single" w:color="auto" w:sz="4" w:space="0"/>
              <w:right w:val="single" w:color="auto" w:sz="8" w:space="0"/>
            </w:tcBorders>
            <w:vAlign w:val="center"/>
          </w:tcPr>
          <w:p w14:paraId="5F5A7C88">
            <w:pPr>
              <w:rPr>
                <w:color w:val="000000"/>
              </w:rPr>
            </w:pPr>
            <w:r>
              <w:rPr>
                <w:rFonts w:hint="eastAsia"/>
                <w:color w:val="000000"/>
              </w:rPr>
              <w:t>对物业管理单位发现装修人或者装饰装修企业有违反本办法规定的行为不及时向有关部门报告的处罚</w:t>
            </w:r>
          </w:p>
        </w:tc>
      </w:tr>
      <w:tr w14:paraId="682E11C5">
        <w:tblPrEx>
          <w:tblCellMar>
            <w:top w:w="0" w:type="dxa"/>
            <w:left w:w="108" w:type="dxa"/>
            <w:bottom w:w="0" w:type="dxa"/>
            <w:right w:w="108" w:type="dxa"/>
          </w:tblCellMar>
        </w:tblPrEx>
        <w:trPr>
          <w:trHeight w:val="1605" w:hRule="atLeast"/>
        </w:trPr>
        <w:tc>
          <w:tcPr>
            <w:tcW w:w="1296" w:type="dxa"/>
            <w:tcBorders>
              <w:top w:val="nil"/>
              <w:left w:val="single" w:color="auto" w:sz="8" w:space="0"/>
              <w:bottom w:val="single" w:color="auto" w:sz="4" w:space="0"/>
              <w:right w:val="single" w:color="auto" w:sz="4" w:space="0"/>
            </w:tcBorders>
            <w:vAlign w:val="center"/>
          </w:tcPr>
          <w:p w14:paraId="5F84F6B5">
            <w:pPr>
              <w:rPr>
                <w:color w:val="000000"/>
              </w:rPr>
            </w:pPr>
            <w:r>
              <w:rPr>
                <w:rFonts w:hint="eastAsia"/>
                <w:color w:val="000000"/>
              </w:rPr>
              <w:t>法律依据</w:t>
            </w:r>
          </w:p>
        </w:tc>
        <w:tc>
          <w:tcPr>
            <w:tcW w:w="12734" w:type="dxa"/>
            <w:gridSpan w:val="3"/>
            <w:tcBorders>
              <w:top w:val="single" w:color="auto" w:sz="4" w:space="0"/>
              <w:left w:val="nil"/>
              <w:bottom w:val="single" w:color="auto" w:sz="4" w:space="0"/>
              <w:right w:val="single" w:color="auto" w:sz="8" w:space="0"/>
            </w:tcBorders>
            <w:vAlign w:val="center"/>
          </w:tcPr>
          <w:p w14:paraId="76DC6C77">
            <w:pPr>
              <w:rPr>
                <w:color w:val="000000"/>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第十七条　物业管理单位应当按照住宅室内装饰装修管理服务协议实施管理，发现装修人或者装饰装修企业有本办法第五条行为的，或者未经有关部门批准实施本办法第六条所列行为的，或者有违反本办法第七条、第八条、第九条规定行为的，应当立即制止；已造成事实后果或者拒不改正的，应当及时报告有关部门依法处理。对装修人或者装饰装修企业违反住宅室内装饰装修管理服务协议的，追究违约责任。</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物业管理单位发现装修人或者装饰装修企业有违反本办法规定的行为不及时向有关部门报告的，由房地产行政主管部门给予警告，可处装饰装修管理服务协议约定的装饰装修管理服务费</w:t>
            </w:r>
            <w:r>
              <w:rPr>
                <w:color w:val="000000"/>
                <w:kern w:val="0"/>
                <w:sz w:val="18"/>
                <w:szCs w:val="18"/>
              </w:rPr>
              <w:t>2</w:t>
            </w:r>
            <w:r>
              <w:rPr>
                <w:rFonts w:hint="eastAsia"/>
                <w:color w:val="000000"/>
                <w:kern w:val="0"/>
                <w:sz w:val="18"/>
                <w:szCs w:val="18"/>
              </w:rPr>
              <w:t>至</w:t>
            </w:r>
            <w:r>
              <w:rPr>
                <w:color w:val="000000"/>
                <w:kern w:val="0"/>
                <w:sz w:val="18"/>
                <w:szCs w:val="18"/>
              </w:rPr>
              <w:t>3</w:t>
            </w:r>
            <w:r>
              <w:rPr>
                <w:rFonts w:hint="eastAsia"/>
                <w:color w:val="000000"/>
                <w:kern w:val="0"/>
                <w:sz w:val="18"/>
                <w:szCs w:val="18"/>
              </w:rPr>
              <w:t>倍的罚款。</w:t>
            </w:r>
          </w:p>
        </w:tc>
      </w:tr>
      <w:tr w14:paraId="41A20F4E">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473FD510">
            <w:pPr>
              <w:rPr>
                <w:color w:val="000000"/>
              </w:rPr>
            </w:pPr>
            <w:r>
              <w:rPr>
                <w:rFonts w:hint="eastAsia"/>
                <w:color w:val="000000"/>
              </w:rPr>
              <w:t>行使内容</w:t>
            </w:r>
          </w:p>
        </w:tc>
        <w:tc>
          <w:tcPr>
            <w:tcW w:w="12734" w:type="dxa"/>
            <w:gridSpan w:val="3"/>
            <w:tcBorders>
              <w:top w:val="single" w:color="auto" w:sz="4" w:space="0"/>
              <w:left w:val="nil"/>
              <w:bottom w:val="single" w:color="auto" w:sz="4" w:space="0"/>
              <w:right w:val="single" w:color="auto" w:sz="8" w:space="0"/>
            </w:tcBorders>
            <w:vAlign w:val="center"/>
          </w:tcPr>
          <w:p w14:paraId="005BBF82">
            <w:pPr>
              <w:rPr>
                <w:color w:val="000000"/>
              </w:rPr>
            </w:pPr>
            <w:r>
              <w:rPr>
                <w:rFonts w:hint="eastAsia"/>
                <w:color w:val="000000"/>
              </w:rPr>
              <w:t>警告，罚款</w:t>
            </w:r>
          </w:p>
        </w:tc>
      </w:tr>
      <w:tr w14:paraId="59F2A39B">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auto" w:sz="8" w:space="0"/>
            </w:tcBorders>
            <w:vAlign w:val="center"/>
          </w:tcPr>
          <w:p w14:paraId="34BEA23F">
            <w:pPr>
              <w:jc w:val="center"/>
              <w:rPr>
                <w:color w:val="000000"/>
              </w:rPr>
            </w:pPr>
            <w:r>
              <w:rPr>
                <w:rFonts w:hint="eastAsia"/>
                <w:color w:val="000000"/>
              </w:rPr>
              <w:t>裁量基准</w:t>
            </w:r>
            <w:r>
              <w:rPr>
                <w:color w:val="000000"/>
              </w:rPr>
              <w:t xml:space="preserve"> </w:t>
            </w:r>
          </w:p>
        </w:tc>
      </w:tr>
      <w:tr w14:paraId="3AFF7629">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000000" w:sz="8" w:space="0"/>
              <w:right w:val="single" w:color="auto" w:sz="4" w:space="0"/>
            </w:tcBorders>
            <w:vAlign w:val="center"/>
          </w:tcPr>
          <w:p w14:paraId="61091403">
            <w:pPr>
              <w:rPr>
                <w:color w:val="000000"/>
              </w:rPr>
            </w:pPr>
            <w:r>
              <w:rPr>
                <w:rFonts w:hint="eastAsia"/>
                <w:color w:val="000000"/>
              </w:rPr>
              <w:t>情形描述</w:t>
            </w:r>
          </w:p>
        </w:tc>
        <w:tc>
          <w:tcPr>
            <w:tcW w:w="5854" w:type="dxa"/>
            <w:tcBorders>
              <w:top w:val="single" w:color="auto" w:sz="4" w:space="0"/>
              <w:left w:val="nil"/>
              <w:bottom w:val="single" w:color="auto" w:sz="4" w:space="0"/>
              <w:right w:val="nil"/>
            </w:tcBorders>
            <w:vAlign w:val="center"/>
          </w:tcPr>
          <w:p w14:paraId="376D380C">
            <w:pPr>
              <w:rPr>
                <w:color w:val="000000"/>
              </w:rPr>
            </w:pPr>
            <w:r>
              <w:rPr>
                <w:rFonts w:hint="eastAsia"/>
                <w:color w:val="000000"/>
              </w:rPr>
              <w:t>造成一般危害后果的</w:t>
            </w:r>
          </w:p>
        </w:tc>
        <w:tc>
          <w:tcPr>
            <w:tcW w:w="1234" w:type="dxa"/>
            <w:vMerge w:val="restart"/>
            <w:tcBorders>
              <w:top w:val="nil"/>
              <w:left w:val="single" w:color="auto" w:sz="4" w:space="0"/>
              <w:bottom w:val="single" w:color="000000" w:sz="4" w:space="0"/>
              <w:right w:val="single" w:color="auto" w:sz="4" w:space="0"/>
            </w:tcBorders>
            <w:vAlign w:val="center"/>
          </w:tcPr>
          <w:p w14:paraId="48BF813B">
            <w:pPr>
              <w:rPr>
                <w:color w:val="000000"/>
              </w:rPr>
            </w:pPr>
            <w:r>
              <w:rPr>
                <w:rFonts w:hint="eastAsia"/>
                <w:color w:val="000000"/>
              </w:rPr>
              <w:t>裁量幅度</w:t>
            </w:r>
          </w:p>
        </w:tc>
        <w:tc>
          <w:tcPr>
            <w:tcW w:w="5646" w:type="dxa"/>
            <w:tcBorders>
              <w:top w:val="nil"/>
              <w:left w:val="nil"/>
              <w:bottom w:val="single" w:color="auto" w:sz="4" w:space="0"/>
              <w:right w:val="single" w:color="auto" w:sz="8" w:space="0"/>
            </w:tcBorders>
            <w:vAlign w:val="center"/>
          </w:tcPr>
          <w:p w14:paraId="12CFA4A4">
            <w:pPr>
              <w:rPr>
                <w:color w:val="000000"/>
              </w:rPr>
            </w:pPr>
            <w:r>
              <w:rPr>
                <w:rFonts w:hint="eastAsia"/>
                <w:color w:val="000000"/>
              </w:rPr>
              <w:t>处装饰装修管理服务费</w:t>
            </w:r>
            <w:r>
              <w:rPr>
                <w:color w:val="000000"/>
              </w:rPr>
              <w:t>2</w:t>
            </w:r>
            <w:r>
              <w:rPr>
                <w:rFonts w:hint="eastAsia"/>
                <w:color w:val="000000"/>
              </w:rPr>
              <w:t>倍以上</w:t>
            </w:r>
            <w:r>
              <w:rPr>
                <w:color w:val="000000"/>
              </w:rPr>
              <w:t>2.5</w:t>
            </w:r>
            <w:r>
              <w:rPr>
                <w:rFonts w:hint="eastAsia"/>
                <w:color w:val="000000"/>
              </w:rPr>
              <w:t>倍以下的罚款</w:t>
            </w:r>
          </w:p>
        </w:tc>
      </w:tr>
      <w:tr w14:paraId="48E5DC6E">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000000" w:sz="8" w:space="0"/>
              <w:right w:val="single" w:color="auto" w:sz="4" w:space="0"/>
            </w:tcBorders>
            <w:vAlign w:val="center"/>
          </w:tcPr>
          <w:p w14:paraId="794A4858">
            <w:pPr>
              <w:rPr>
                <w:color w:val="000000"/>
              </w:rPr>
            </w:pPr>
          </w:p>
        </w:tc>
        <w:tc>
          <w:tcPr>
            <w:tcW w:w="5854" w:type="dxa"/>
            <w:tcBorders>
              <w:top w:val="single" w:color="auto" w:sz="4" w:space="0"/>
              <w:left w:val="nil"/>
              <w:bottom w:val="single" w:color="auto" w:sz="4" w:space="0"/>
              <w:right w:val="single" w:color="000000" w:sz="4" w:space="0"/>
            </w:tcBorders>
            <w:vAlign w:val="center"/>
          </w:tcPr>
          <w:p w14:paraId="70F8473E">
            <w:pPr>
              <w:rPr>
                <w:color w:val="000000"/>
              </w:rPr>
            </w:pPr>
            <w:r>
              <w:rPr>
                <w:rFonts w:hint="eastAsia"/>
                <w:color w:val="000000"/>
              </w:rPr>
              <w:t>造成严重危害后果的</w:t>
            </w:r>
          </w:p>
        </w:tc>
        <w:tc>
          <w:tcPr>
            <w:tcW w:w="1234" w:type="dxa"/>
            <w:vMerge w:val="continue"/>
            <w:tcBorders>
              <w:top w:val="nil"/>
              <w:left w:val="single" w:color="auto" w:sz="4" w:space="0"/>
              <w:bottom w:val="single" w:color="000000" w:sz="4" w:space="0"/>
              <w:right w:val="single" w:color="auto" w:sz="4" w:space="0"/>
            </w:tcBorders>
            <w:vAlign w:val="center"/>
          </w:tcPr>
          <w:p w14:paraId="4AC251A2">
            <w:pPr>
              <w:rPr>
                <w:color w:val="000000"/>
              </w:rPr>
            </w:pPr>
          </w:p>
        </w:tc>
        <w:tc>
          <w:tcPr>
            <w:tcW w:w="5646" w:type="dxa"/>
            <w:tcBorders>
              <w:top w:val="nil"/>
              <w:left w:val="nil"/>
              <w:bottom w:val="single" w:color="auto" w:sz="4" w:space="0"/>
              <w:right w:val="single" w:color="auto" w:sz="8" w:space="0"/>
            </w:tcBorders>
            <w:vAlign w:val="center"/>
          </w:tcPr>
          <w:p w14:paraId="75CD0156">
            <w:pPr>
              <w:rPr>
                <w:color w:val="000000"/>
              </w:rPr>
            </w:pPr>
            <w:r>
              <w:rPr>
                <w:rFonts w:hint="eastAsia"/>
                <w:color w:val="000000"/>
              </w:rPr>
              <w:t>处装饰装修管理服务费</w:t>
            </w:r>
            <w:r>
              <w:rPr>
                <w:color w:val="000000"/>
              </w:rPr>
              <w:t>2.5</w:t>
            </w:r>
            <w:r>
              <w:rPr>
                <w:rFonts w:hint="eastAsia"/>
                <w:color w:val="000000"/>
              </w:rPr>
              <w:t>倍至</w:t>
            </w:r>
            <w:r>
              <w:rPr>
                <w:color w:val="000000"/>
              </w:rPr>
              <w:t>3</w:t>
            </w:r>
            <w:r>
              <w:rPr>
                <w:rFonts w:hint="eastAsia"/>
                <w:color w:val="000000"/>
              </w:rPr>
              <w:t>倍的罚款</w:t>
            </w:r>
          </w:p>
        </w:tc>
      </w:tr>
    </w:tbl>
    <w:p w14:paraId="368574E7"/>
    <w:p w14:paraId="5781F7A8"/>
    <w:p w14:paraId="02DFCCFF"/>
    <w:p w14:paraId="578F81FB"/>
    <w:p w14:paraId="117453B5"/>
    <w:p w14:paraId="0C0F12D8"/>
    <w:tbl>
      <w:tblPr>
        <w:tblStyle w:val="15"/>
        <w:tblW w:w="0" w:type="auto"/>
        <w:tblInd w:w="88" w:type="dxa"/>
        <w:tblLayout w:type="fixed"/>
        <w:tblCellMar>
          <w:top w:w="0" w:type="dxa"/>
          <w:left w:w="108" w:type="dxa"/>
          <w:bottom w:w="0" w:type="dxa"/>
          <w:right w:w="108" w:type="dxa"/>
        </w:tblCellMar>
      </w:tblPr>
      <w:tblGrid>
        <w:gridCol w:w="1154"/>
        <w:gridCol w:w="5996"/>
        <w:gridCol w:w="1234"/>
        <w:gridCol w:w="5646"/>
      </w:tblGrid>
      <w:tr w14:paraId="1366D252">
        <w:tblPrEx>
          <w:tblCellMar>
            <w:top w:w="0" w:type="dxa"/>
            <w:left w:w="108" w:type="dxa"/>
            <w:bottom w:w="0" w:type="dxa"/>
            <w:right w:w="108" w:type="dxa"/>
          </w:tblCellMar>
        </w:tblPrEx>
        <w:trPr>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1487103E">
            <w:pPr>
              <w:jc w:val="center"/>
              <w:rPr>
                <w:color w:val="000000"/>
              </w:rPr>
            </w:pPr>
            <w:bookmarkStart w:id="0" w:name="_Hlk517804190"/>
            <w:r>
              <w:rPr>
                <w:rFonts w:hint="eastAsia"/>
                <w:color w:val="000000"/>
              </w:rPr>
              <w:t>编号</w:t>
            </w:r>
          </w:p>
        </w:tc>
        <w:tc>
          <w:tcPr>
            <w:tcW w:w="12876" w:type="dxa"/>
            <w:gridSpan w:val="3"/>
            <w:tcBorders>
              <w:top w:val="single" w:color="auto" w:sz="8" w:space="0"/>
              <w:left w:val="nil"/>
              <w:bottom w:val="single" w:color="auto" w:sz="4" w:space="0"/>
              <w:right w:val="single" w:color="000000" w:sz="8" w:space="0"/>
            </w:tcBorders>
            <w:vAlign w:val="center"/>
          </w:tcPr>
          <w:p w14:paraId="14510C97">
            <w:pPr>
              <w:rPr>
                <w:b/>
                <w:bCs/>
                <w:color w:val="000000"/>
              </w:rPr>
            </w:pPr>
            <w:r>
              <w:rPr>
                <w:b/>
                <w:bCs/>
                <w:color w:val="000000"/>
              </w:rPr>
              <w:t>320217596000</w:t>
            </w:r>
          </w:p>
        </w:tc>
      </w:tr>
      <w:tr w14:paraId="494899E0">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434B2F77">
            <w:pPr>
              <w:rPr>
                <w:color w:val="000000"/>
              </w:rPr>
            </w:pPr>
            <w:r>
              <w:rPr>
                <w:rFonts w:hint="eastAsia"/>
                <w:color w:val="000000"/>
              </w:rPr>
              <w:t>行为名称</w:t>
            </w:r>
          </w:p>
        </w:tc>
        <w:tc>
          <w:tcPr>
            <w:tcW w:w="12876" w:type="dxa"/>
            <w:gridSpan w:val="3"/>
            <w:tcBorders>
              <w:top w:val="single" w:color="auto" w:sz="4" w:space="0"/>
              <w:left w:val="nil"/>
              <w:bottom w:val="single" w:color="auto" w:sz="4" w:space="0"/>
              <w:right w:val="single" w:color="000000" w:sz="8" w:space="0"/>
            </w:tcBorders>
            <w:vAlign w:val="center"/>
          </w:tcPr>
          <w:p w14:paraId="44D3F8AF">
            <w:pPr>
              <w:rPr>
                <w:color w:val="000000"/>
              </w:rPr>
            </w:pPr>
            <w:r>
              <w:rPr>
                <w:rFonts w:hint="eastAsia"/>
                <w:color w:val="000000"/>
              </w:rPr>
              <w:t>对建设单位接到监理单位报告后，未责令安装单位、使用单位立即停工整改的处罚</w:t>
            </w:r>
          </w:p>
        </w:tc>
      </w:tr>
      <w:tr w14:paraId="4316CD9A">
        <w:tblPrEx>
          <w:tblCellMar>
            <w:top w:w="0" w:type="dxa"/>
            <w:left w:w="108" w:type="dxa"/>
            <w:bottom w:w="0" w:type="dxa"/>
            <w:right w:w="108" w:type="dxa"/>
          </w:tblCellMar>
        </w:tblPrEx>
        <w:trPr>
          <w:trHeight w:val="1590" w:hRule="atLeast"/>
        </w:trPr>
        <w:tc>
          <w:tcPr>
            <w:tcW w:w="1154" w:type="dxa"/>
            <w:tcBorders>
              <w:top w:val="nil"/>
              <w:left w:val="single" w:color="auto" w:sz="8" w:space="0"/>
              <w:bottom w:val="single" w:color="auto" w:sz="4" w:space="0"/>
              <w:right w:val="single" w:color="auto" w:sz="4" w:space="0"/>
            </w:tcBorders>
            <w:vAlign w:val="center"/>
          </w:tcPr>
          <w:p w14:paraId="2FD1BAC2">
            <w:pPr>
              <w:rPr>
                <w:color w:val="000000"/>
              </w:rPr>
            </w:pPr>
            <w:r>
              <w:rPr>
                <w:rFonts w:hint="eastAsia"/>
                <w:color w:val="000000"/>
              </w:rPr>
              <w:t>法律依据</w:t>
            </w:r>
          </w:p>
        </w:tc>
        <w:tc>
          <w:tcPr>
            <w:tcW w:w="12876" w:type="dxa"/>
            <w:gridSpan w:val="3"/>
            <w:tcBorders>
              <w:top w:val="single" w:color="auto" w:sz="4" w:space="0"/>
              <w:left w:val="nil"/>
              <w:bottom w:val="single" w:color="auto" w:sz="4" w:space="0"/>
              <w:right w:val="single" w:color="000000" w:sz="8" w:space="0"/>
            </w:tcBorders>
            <w:vAlign w:val="center"/>
          </w:tcPr>
          <w:p w14:paraId="294A3B5F">
            <w:pPr>
              <w:rPr>
                <w:color w:val="000000"/>
              </w:rPr>
            </w:pPr>
            <w:r>
              <w:rPr>
                <w:rFonts w:hint="eastAsia"/>
                <w:color w:val="000000"/>
                <w:kern w:val="0"/>
                <w:sz w:val="18"/>
                <w:szCs w:val="18"/>
              </w:rPr>
              <w:t>【规章】《建筑起重机械安全监督管理规定》（建设部令第</w:t>
            </w:r>
            <w:r>
              <w:rPr>
                <w:color w:val="000000"/>
                <w:kern w:val="0"/>
                <w:sz w:val="18"/>
                <w:szCs w:val="18"/>
              </w:rPr>
              <w:t>166</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第二十三条第二款　安装单位、使用单位拒不整改生产安全事故隐患的，建设单位接到监理单位报告后，应当责令安装单位、使用单位立即停工整改。</w:t>
            </w:r>
            <w:r>
              <w:rPr>
                <w:color w:val="000000"/>
                <w:kern w:val="0"/>
                <w:sz w:val="18"/>
                <w:szCs w:val="18"/>
              </w:rPr>
              <w:br w:type="textWrapping"/>
            </w:r>
            <w:r>
              <w:rPr>
                <w:rFonts w:hint="eastAsia"/>
                <w:color w:val="000000"/>
                <w:kern w:val="0"/>
                <w:sz w:val="18"/>
                <w:szCs w:val="18"/>
              </w:rPr>
              <w:t>第三十三条　违反本规定，建设单位有下列行为之一的，由县级以上地方人民政府建设主管部门责令限期改正，予以警告，并处以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万元以下罚款；逾期未改的，责令停止施工：</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（二）接到监理单位报告后，未责令安装单位、使用单位立即停工整改的。</w:t>
            </w:r>
          </w:p>
        </w:tc>
      </w:tr>
      <w:tr w14:paraId="7DF73152">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1FC1F178">
            <w:pPr>
              <w:rPr>
                <w:color w:val="000000"/>
              </w:rPr>
            </w:pPr>
            <w:r>
              <w:rPr>
                <w:rFonts w:hint="eastAsia"/>
                <w:color w:val="000000"/>
              </w:rPr>
              <w:t>行使内容</w:t>
            </w:r>
          </w:p>
        </w:tc>
        <w:tc>
          <w:tcPr>
            <w:tcW w:w="12876" w:type="dxa"/>
            <w:gridSpan w:val="3"/>
            <w:tcBorders>
              <w:top w:val="single" w:color="auto" w:sz="4" w:space="0"/>
              <w:left w:val="nil"/>
              <w:bottom w:val="single" w:color="auto" w:sz="4" w:space="0"/>
              <w:right w:val="single" w:color="000000" w:sz="8" w:space="0"/>
            </w:tcBorders>
            <w:vAlign w:val="center"/>
          </w:tcPr>
          <w:p w14:paraId="0E95FEC0">
            <w:pPr>
              <w:rPr>
                <w:color w:val="000000"/>
              </w:rPr>
            </w:pPr>
            <w:r>
              <w:rPr>
                <w:rFonts w:hint="eastAsia"/>
                <w:color w:val="000000"/>
              </w:rPr>
              <w:t>警告，罚款</w:t>
            </w:r>
            <w:r>
              <w:rPr>
                <w:color w:val="000000"/>
              </w:rPr>
              <w:t xml:space="preserve"> </w:t>
            </w:r>
            <w:r>
              <w:rPr>
                <w:rFonts w:hint="eastAsia"/>
                <w:color w:val="000000"/>
              </w:rPr>
              <w:t>，责令停止施工</w:t>
            </w:r>
          </w:p>
        </w:tc>
      </w:tr>
      <w:tr w14:paraId="37CB377C">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7BE95816">
            <w:pPr>
              <w:jc w:val="center"/>
              <w:rPr>
                <w:color w:val="000000"/>
              </w:rPr>
            </w:pPr>
            <w:r>
              <w:rPr>
                <w:rFonts w:hint="eastAsia"/>
                <w:color w:val="000000"/>
              </w:rPr>
              <w:t>裁量基准</w:t>
            </w:r>
          </w:p>
        </w:tc>
      </w:tr>
      <w:tr w14:paraId="5BB4BE1D">
        <w:tblPrEx>
          <w:tblCellMar>
            <w:top w:w="0" w:type="dxa"/>
            <w:left w:w="108" w:type="dxa"/>
            <w:bottom w:w="0" w:type="dxa"/>
            <w:right w:w="108" w:type="dxa"/>
          </w:tblCellMar>
        </w:tblPrEx>
        <w:trPr>
          <w:trHeight w:val="285" w:hRule="atLeast"/>
        </w:trPr>
        <w:tc>
          <w:tcPr>
            <w:tcW w:w="1154" w:type="dxa"/>
            <w:vMerge w:val="restart"/>
            <w:tcBorders>
              <w:top w:val="nil"/>
              <w:left w:val="single" w:color="auto" w:sz="8" w:space="0"/>
              <w:bottom w:val="single" w:color="auto" w:sz="4" w:space="0"/>
              <w:right w:val="single" w:color="auto" w:sz="4" w:space="0"/>
            </w:tcBorders>
            <w:vAlign w:val="center"/>
          </w:tcPr>
          <w:p w14:paraId="5535730F">
            <w:pPr>
              <w:rPr>
                <w:color w:val="000000"/>
              </w:rPr>
            </w:pPr>
            <w:r>
              <w:rPr>
                <w:rFonts w:hint="eastAsia"/>
                <w:color w:val="000000"/>
              </w:rPr>
              <w:t>情形描述</w:t>
            </w:r>
          </w:p>
        </w:tc>
        <w:tc>
          <w:tcPr>
            <w:tcW w:w="5996" w:type="dxa"/>
            <w:tcBorders>
              <w:top w:val="single" w:color="auto" w:sz="4" w:space="0"/>
              <w:left w:val="nil"/>
              <w:bottom w:val="single" w:color="auto" w:sz="4" w:space="0"/>
              <w:right w:val="single" w:color="000000" w:sz="4" w:space="0"/>
            </w:tcBorders>
            <w:vAlign w:val="center"/>
          </w:tcPr>
          <w:p w14:paraId="06A2C336">
            <w:pPr>
              <w:rPr>
                <w:color w:val="000000"/>
              </w:rPr>
            </w:pPr>
            <w:r>
              <w:rPr>
                <w:rFonts w:hint="eastAsia"/>
                <w:color w:val="000000"/>
              </w:rPr>
              <w:t>未造成安全事故，按要求改正的</w:t>
            </w:r>
          </w:p>
        </w:tc>
        <w:tc>
          <w:tcPr>
            <w:tcW w:w="1234" w:type="dxa"/>
            <w:vMerge w:val="restart"/>
            <w:tcBorders>
              <w:top w:val="nil"/>
              <w:left w:val="single" w:color="auto" w:sz="4" w:space="0"/>
              <w:bottom w:val="single" w:color="auto" w:sz="4" w:space="0"/>
              <w:right w:val="single" w:color="auto" w:sz="4" w:space="0"/>
            </w:tcBorders>
            <w:vAlign w:val="center"/>
          </w:tcPr>
          <w:p w14:paraId="44106986">
            <w:pPr>
              <w:rPr>
                <w:color w:val="000000"/>
              </w:rPr>
            </w:pPr>
            <w:r>
              <w:rPr>
                <w:rFonts w:hint="eastAsia"/>
                <w:color w:val="000000"/>
              </w:rPr>
              <w:t>裁量幅度</w:t>
            </w:r>
          </w:p>
        </w:tc>
        <w:tc>
          <w:tcPr>
            <w:tcW w:w="5646" w:type="dxa"/>
            <w:tcBorders>
              <w:top w:val="nil"/>
              <w:left w:val="nil"/>
              <w:bottom w:val="single" w:color="auto" w:sz="4" w:space="0"/>
              <w:right w:val="single" w:color="auto" w:sz="8" w:space="0"/>
            </w:tcBorders>
            <w:vAlign w:val="center"/>
          </w:tcPr>
          <w:p w14:paraId="489440E0">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14:paraId="32F920D5">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4F735053">
            <w:pPr>
              <w:rPr>
                <w:color w:val="000000"/>
              </w:rPr>
            </w:pPr>
          </w:p>
        </w:tc>
        <w:tc>
          <w:tcPr>
            <w:tcW w:w="5996" w:type="dxa"/>
            <w:tcBorders>
              <w:top w:val="nil"/>
              <w:left w:val="nil"/>
              <w:bottom w:val="single" w:color="auto" w:sz="4" w:space="0"/>
              <w:right w:val="single" w:color="000000" w:sz="4" w:space="0"/>
            </w:tcBorders>
            <w:vAlign w:val="center"/>
          </w:tcPr>
          <w:p w14:paraId="32AB9C5A">
            <w:pPr>
              <w:rPr>
                <w:color w:val="000000"/>
              </w:rPr>
            </w:pPr>
            <w:r>
              <w:rPr>
                <w:rFonts w:hint="eastAsia"/>
                <w:color w:val="000000"/>
              </w:rPr>
              <w:t>未造成安全事故，但未要求改正的</w:t>
            </w:r>
          </w:p>
        </w:tc>
        <w:tc>
          <w:tcPr>
            <w:tcW w:w="1234" w:type="dxa"/>
            <w:vMerge w:val="continue"/>
            <w:tcBorders>
              <w:top w:val="nil"/>
              <w:left w:val="single" w:color="auto" w:sz="4" w:space="0"/>
              <w:bottom w:val="single" w:color="auto" w:sz="4" w:space="0"/>
              <w:right w:val="single" w:color="auto" w:sz="4" w:space="0"/>
            </w:tcBorders>
            <w:vAlign w:val="center"/>
          </w:tcPr>
          <w:p w14:paraId="26309A45">
            <w:pPr>
              <w:rPr>
                <w:color w:val="000000"/>
              </w:rPr>
            </w:pPr>
          </w:p>
        </w:tc>
        <w:tc>
          <w:tcPr>
            <w:tcW w:w="5646" w:type="dxa"/>
            <w:tcBorders>
              <w:top w:val="nil"/>
              <w:left w:val="nil"/>
              <w:bottom w:val="single" w:color="auto" w:sz="4" w:space="0"/>
              <w:right w:val="single" w:color="auto" w:sz="8" w:space="0"/>
            </w:tcBorders>
            <w:vAlign w:val="center"/>
          </w:tcPr>
          <w:p w14:paraId="2554A1F1">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万元以下罚款，责令停止施工</w:t>
            </w:r>
          </w:p>
        </w:tc>
      </w:tr>
      <w:tr w14:paraId="75AFA917">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6B40D34D">
            <w:pPr>
              <w:rPr>
                <w:color w:val="000000"/>
              </w:rPr>
            </w:pPr>
          </w:p>
        </w:tc>
        <w:tc>
          <w:tcPr>
            <w:tcW w:w="5996" w:type="dxa"/>
            <w:tcBorders>
              <w:top w:val="single" w:color="auto" w:sz="4" w:space="0"/>
              <w:left w:val="nil"/>
              <w:bottom w:val="single" w:color="auto" w:sz="4" w:space="0"/>
              <w:right w:val="single" w:color="000000" w:sz="4" w:space="0"/>
            </w:tcBorders>
            <w:vAlign w:val="center"/>
          </w:tcPr>
          <w:p w14:paraId="50B10A22">
            <w:pPr>
              <w:rPr>
                <w:color w:val="000000"/>
              </w:rPr>
            </w:pPr>
            <w:r>
              <w:rPr>
                <w:rFonts w:hint="eastAsia"/>
                <w:color w:val="000000"/>
              </w:rPr>
              <w:t>造成一般及较大安全事故的</w:t>
            </w:r>
          </w:p>
        </w:tc>
        <w:tc>
          <w:tcPr>
            <w:tcW w:w="1234" w:type="dxa"/>
            <w:vMerge w:val="continue"/>
            <w:tcBorders>
              <w:top w:val="nil"/>
              <w:left w:val="single" w:color="auto" w:sz="4" w:space="0"/>
              <w:bottom w:val="single" w:color="auto" w:sz="4" w:space="0"/>
              <w:right w:val="single" w:color="auto" w:sz="4" w:space="0"/>
            </w:tcBorders>
            <w:vAlign w:val="center"/>
          </w:tcPr>
          <w:p w14:paraId="2078F076">
            <w:pPr>
              <w:rPr>
                <w:color w:val="000000"/>
              </w:rPr>
            </w:pPr>
          </w:p>
        </w:tc>
        <w:tc>
          <w:tcPr>
            <w:tcW w:w="5646" w:type="dxa"/>
            <w:tcBorders>
              <w:top w:val="nil"/>
              <w:left w:val="nil"/>
              <w:bottom w:val="single" w:color="auto" w:sz="4" w:space="0"/>
              <w:right w:val="single" w:color="auto" w:sz="8" w:space="0"/>
            </w:tcBorders>
            <w:vAlign w:val="center"/>
          </w:tcPr>
          <w:p w14:paraId="237CD7A2">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万元以下罚款，责令停止施工</w:t>
            </w:r>
          </w:p>
        </w:tc>
      </w:tr>
      <w:tr w14:paraId="60F07A72">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auto" w:sz="4" w:space="0"/>
              <w:right w:val="single" w:color="auto" w:sz="4" w:space="0"/>
            </w:tcBorders>
            <w:vAlign w:val="center"/>
          </w:tcPr>
          <w:p w14:paraId="1E6B06CA">
            <w:pPr>
              <w:rPr>
                <w:color w:val="000000"/>
              </w:rPr>
            </w:pPr>
          </w:p>
        </w:tc>
        <w:tc>
          <w:tcPr>
            <w:tcW w:w="5996" w:type="dxa"/>
            <w:tcBorders>
              <w:top w:val="single" w:color="auto" w:sz="4" w:space="0"/>
              <w:left w:val="nil"/>
              <w:bottom w:val="single" w:color="auto" w:sz="4" w:space="0"/>
              <w:right w:val="single" w:color="000000" w:sz="4" w:space="0"/>
            </w:tcBorders>
            <w:vAlign w:val="center"/>
          </w:tcPr>
          <w:p w14:paraId="2DA6E950">
            <w:pPr>
              <w:rPr>
                <w:color w:val="000000"/>
              </w:rPr>
            </w:pPr>
            <w:r>
              <w:rPr>
                <w:rFonts w:hint="eastAsia"/>
                <w:color w:val="000000"/>
              </w:rPr>
              <w:t>造成重大以上安全事故的</w:t>
            </w:r>
          </w:p>
        </w:tc>
        <w:tc>
          <w:tcPr>
            <w:tcW w:w="1234" w:type="dxa"/>
            <w:vMerge w:val="continue"/>
            <w:tcBorders>
              <w:top w:val="nil"/>
              <w:left w:val="single" w:color="auto" w:sz="4" w:space="0"/>
              <w:bottom w:val="single" w:color="auto" w:sz="4" w:space="0"/>
              <w:right w:val="single" w:color="auto" w:sz="4" w:space="0"/>
            </w:tcBorders>
            <w:vAlign w:val="center"/>
          </w:tcPr>
          <w:p w14:paraId="5AE61928">
            <w:pPr>
              <w:rPr>
                <w:color w:val="000000"/>
              </w:rPr>
            </w:pPr>
          </w:p>
        </w:tc>
        <w:tc>
          <w:tcPr>
            <w:tcW w:w="5646" w:type="dxa"/>
            <w:tcBorders>
              <w:top w:val="nil"/>
              <w:left w:val="nil"/>
              <w:bottom w:val="single" w:color="auto" w:sz="4" w:space="0"/>
              <w:right w:val="single" w:color="auto" w:sz="8" w:space="0"/>
            </w:tcBorders>
            <w:vAlign w:val="center"/>
          </w:tcPr>
          <w:p w14:paraId="0DCDDECF">
            <w:pPr>
              <w:rPr>
                <w:color w:val="000000"/>
              </w:rPr>
            </w:pPr>
            <w:r>
              <w:rPr>
                <w:rFonts w:hint="eastAsia"/>
                <w:color w:val="000000"/>
              </w:rPr>
              <w:t>处</w:t>
            </w:r>
            <w:r>
              <w:rPr>
                <w:color w:val="000000"/>
              </w:rPr>
              <w:t>3</w:t>
            </w:r>
            <w:r>
              <w:rPr>
                <w:rFonts w:hint="eastAsia"/>
                <w:color w:val="000000"/>
              </w:rPr>
              <w:t>万元罚款，责令停止施工</w:t>
            </w:r>
          </w:p>
        </w:tc>
      </w:tr>
      <w:bookmarkEnd w:id="0"/>
    </w:tbl>
    <w:p w14:paraId="66B9882C"/>
    <w:p w14:paraId="7EFF4287"/>
    <w:p w14:paraId="1D2A4B70"/>
    <w:p w14:paraId="0E937D05"/>
    <w:p w14:paraId="329C7FF2"/>
    <w:p w14:paraId="6FD83B3F"/>
    <w:tbl>
      <w:tblPr>
        <w:tblStyle w:val="15"/>
        <w:tblW w:w="14476" w:type="dxa"/>
        <w:tblInd w:w="88" w:type="dxa"/>
        <w:tblLayout w:type="fixed"/>
        <w:tblCellMar>
          <w:top w:w="0" w:type="dxa"/>
          <w:left w:w="108" w:type="dxa"/>
          <w:bottom w:w="0" w:type="dxa"/>
          <w:right w:w="108" w:type="dxa"/>
        </w:tblCellMar>
      </w:tblPr>
      <w:tblGrid>
        <w:gridCol w:w="1296"/>
        <w:gridCol w:w="5884"/>
        <w:gridCol w:w="1076"/>
        <w:gridCol w:w="5760"/>
        <w:gridCol w:w="460"/>
      </w:tblGrid>
      <w:tr w14:paraId="621ECA6E">
        <w:tblPrEx>
          <w:tblCellMar>
            <w:top w:w="0" w:type="dxa"/>
            <w:left w:w="108" w:type="dxa"/>
            <w:bottom w:w="0" w:type="dxa"/>
            <w:right w:w="108" w:type="dxa"/>
          </w:tblCellMar>
        </w:tblPrEx>
        <w:trPr>
          <w:gridAfter w:val="1"/>
          <w:wAfter w:w="460" w:type="dxa"/>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114B82FA">
            <w:pPr>
              <w:jc w:val="cente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51AF3CB9">
            <w:pPr>
              <w:rPr>
                <w:b/>
                <w:bCs/>
                <w:color w:val="000000"/>
              </w:rPr>
            </w:pPr>
            <w:r>
              <w:rPr>
                <w:b/>
                <w:color w:val="000000"/>
              </w:rPr>
              <w:t>320217598000</w:t>
            </w:r>
            <w:r>
              <w:rPr>
                <w:rFonts w:hint="eastAsia"/>
                <w:b/>
                <w:color w:val="000000"/>
              </w:rPr>
              <w:t xml:space="preserve"> </w:t>
            </w:r>
          </w:p>
        </w:tc>
      </w:tr>
      <w:tr w14:paraId="6288DB4C">
        <w:tblPrEx>
          <w:tblCellMar>
            <w:top w:w="0" w:type="dxa"/>
            <w:left w:w="108" w:type="dxa"/>
            <w:bottom w:w="0" w:type="dxa"/>
            <w:right w:w="108" w:type="dxa"/>
          </w:tblCellMar>
        </w:tblPrEx>
        <w:trPr>
          <w:gridAfter w:val="1"/>
          <w:wAfter w:w="460" w:type="dxa"/>
          <w:trHeight w:val="285" w:hRule="atLeast"/>
        </w:trPr>
        <w:tc>
          <w:tcPr>
            <w:tcW w:w="1296" w:type="dxa"/>
            <w:tcBorders>
              <w:top w:val="nil"/>
              <w:left w:val="single" w:color="auto" w:sz="8" w:space="0"/>
              <w:bottom w:val="single" w:color="auto" w:sz="4" w:space="0"/>
              <w:right w:val="single" w:color="auto" w:sz="4" w:space="0"/>
            </w:tcBorders>
            <w:vAlign w:val="center"/>
          </w:tcPr>
          <w:p w14:paraId="62AC1503">
            <w:pP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vAlign w:val="center"/>
          </w:tcPr>
          <w:p w14:paraId="7AB35E5F">
            <w:pPr>
              <w:rPr>
                <w:color w:val="000000"/>
              </w:rPr>
            </w:pPr>
            <w:r>
              <w:rPr>
                <w:rFonts w:hint="eastAsia"/>
                <w:color w:val="000000"/>
              </w:rPr>
              <w:t>对建筑起重机械安装单位未按照安全技术标准及安装使用说明书等检查建筑起重机械及现场施工条件的处罚</w:t>
            </w:r>
          </w:p>
        </w:tc>
      </w:tr>
      <w:tr w14:paraId="0C096FD1">
        <w:tblPrEx>
          <w:tblCellMar>
            <w:top w:w="0" w:type="dxa"/>
            <w:left w:w="108" w:type="dxa"/>
            <w:bottom w:w="0" w:type="dxa"/>
            <w:right w:w="108" w:type="dxa"/>
          </w:tblCellMar>
        </w:tblPrEx>
        <w:trPr>
          <w:trHeight w:val="1575" w:hRule="atLeast"/>
        </w:trPr>
        <w:tc>
          <w:tcPr>
            <w:tcW w:w="1296" w:type="dxa"/>
            <w:tcBorders>
              <w:top w:val="nil"/>
              <w:left w:val="single" w:color="auto" w:sz="8" w:space="0"/>
              <w:bottom w:val="single" w:color="auto" w:sz="4" w:space="0"/>
              <w:right w:val="single" w:color="auto" w:sz="4" w:space="0"/>
            </w:tcBorders>
            <w:vAlign w:val="center"/>
          </w:tcPr>
          <w:p w14:paraId="3BB152F3">
            <w:pP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tcPr>
          <w:p w14:paraId="287123CF">
            <w:pPr>
              <w:rPr>
                <w:color w:val="000000"/>
              </w:rPr>
            </w:pPr>
            <w:r>
              <w:rPr>
                <w:rFonts w:hint="eastAsia"/>
                <w:color w:val="000000"/>
                <w:kern w:val="0"/>
                <w:sz w:val="18"/>
                <w:szCs w:val="18"/>
              </w:rPr>
              <w:t>【规章】《建筑起重机械安全监督管理规定》</w:t>
            </w:r>
            <w:r>
              <w:rPr>
                <w:color w:val="000000"/>
                <w:kern w:val="0"/>
                <w:sz w:val="18"/>
                <w:szCs w:val="18"/>
              </w:rPr>
              <w:t>（</w:t>
            </w:r>
            <w:r>
              <w:rPr>
                <w:rFonts w:hint="eastAsia"/>
                <w:color w:val="000000"/>
                <w:kern w:val="0"/>
                <w:sz w:val="18"/>
                <w:szCs w:val="18"/>
              </w:rPr>
              <w:t>建设部令第</w:t>
            </w:r>
            <w:r>
              <w:rPr>
                <w:color w:val="000000"/>
                <w:kern w:val="0"/>
                <w:sz w:val="18"/>
                <w:szCs w:val="18"/>
              </w:rPr>
              <w:t>166</w:t>
            </w:r>
            <w:r>
              <w:rPr>
                <w:rFonts w:hint="eastAsia"/>
                <w:color w:val="000000"/>
                <w:kern w:val="0"/>
                <w:sz w:val="18"/>
                <w:szCs w:val="18"/>
              </w:rPr>
              <w:t>号</w:t>
            </w:r>
            <w:r>
              <w:rPr>
                <w:color w:val="000000"/>
                <w:kern w:val="0"/>
                <w:sz w:val="18"/>
                <w:szCs w:val="18"/>
              </w:rPr>
              <w:t>）</w:t>
            </w:r>
            <w:r>
              <w:rPr>
                <w:color w:val="000000"/>
                <w:kern w:val="0"/>
                <w:sz w:val="18"/>
                <w:szCs w:val="18"/>
              </w:rPr>
              <w:br w:type="textWrapping"/>
            </w:r>
            <w:r>
              <w:rPr>
                <w:rFonts w:hint="eastAsia"/>
                <w:color w:val="000000"/>
                <w:kern w:val="0"/>
                <w:sz w:val="18"/>
                <w:szCs w:val="18"/>
              </w:rPr>
              <w:t>第十二条　安装单位应当履行下列安全职责：</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（二）按照安全技术标准及安装使用说明书等检查建筑起重机械及现场施工条件；</w:t>
            </w:r>
            <w:r>
              <w:rPr>
                <w:color w:val="000000"/>
                <w:kern w:val="0"/>
                <w:sz w:val="18"/>
                <w:szCs w:val="18"/>
              </w:rPr>
              <w:br w:type="textWrapping"/>
            </w:r>
            <w:r>
              <w:rPr>
                <w:rFonts w:hint="eastAsia"/>
                <w:color w:val="000000"/>
                <w:kern w:val="0"/>
                <w:sz w:val="18"/>
                <w:szCs w:val="18"/>
              </w:rPr>
              <w:t>第二十九条　违反本规定，安装单位有下列行为之一的，由县级以上地方人民政府建设主管部门责令限期改正，予以警告，并处以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（一）未履行第十二条第（二）、（四）、（五）项安全职责的；</w:t>
            </w:r>
          </w:p>
        </w:tc>
        <w:tc>
          <w:tcPr>
            <w:tcW w:w="460" w:type="dxa"/>
          </w:tcPr>
          <w:p w14:paraId="093F3454">
            <w:pPr>
              <w:rPr>
                <w:color w:val="000000"/>
              </w:rPr>
            </w:pPr>
            <w:r>
              <w:rPr>
                <w:rFonts w:hint="eastAsia"/>
                <w:color w:val="000000"/>
              </w:rPr>
              <w:t>　</w:t>
            </w:r>
          </w:p>
        </w:tc>
      </w:tr>
      <w:tr w14:paraId="29F1D242">
        <w:tblPrEx>
          <w:tblCellMar>
            <w:top w:w="0" w:type="dxa"/>
            <w:left w:w="108" w:type="dxa"/>
            <w:bottom w:w="0" w:type="dxa"/>
            <w:right w:w="108" w:type="dxa"/>
          </w:tblCellMar>
        </w:tblPrEx>
        <w:trPr>
          <w:gridAfter w:val="1"/>
          <w:wAfter w:w="460" w:type="dxa"/>
          <w:trHeight w:val="285" w:hRule="atLeast"/>
        </w:trPr>
        <w:tc>
          <w:tcPr>
            <w:tcW w:w="1296" w:type="dxa"/>
            <w:tcBorders>
              <w:top w:val="nil"/>
              <w:left w:val="single" w:color="auto" w:sz="8" w:space="0"/>
              <w:bottom w:val="single" w:color="auto" w:sz="4" w:space="0"/>
              <w:right w:val="single" w:color="auto" w:sz="4" w:space="0"/>
            </w:tcBorders>
            <w:vAlign w:val="center"/>
          </w:tcPr>
          <w:p w14:paraId="2E35B527">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7D7F24D0">
            <w:pPr>
              <w:rPr>
                <w:color w:val="000000"/>
              </w:rPr>
            </w:pPr>
            <w:r>
              <w:rPr>
                <w:rFonts w:hint="eastAsia"/>
                <w:color w:val="000000"/>
              </w:rPr>
              <w:t>警告，罚款</w:t>
            </w:r>
          </w:p>
        </w:tc>
      </w:tr>
      <w:tr w14:paraId="68A052F7">
        <w:tblPrEx>
          <w:tblCellMar>
            <w:top w:w="0" w:type="dxa"/>
            <w:left w:w="108" w:type="dxa"/>
            <w:bottom w:w="0" w:type="dxa"/>
            <w:right w:w="108" w:type="dxa"/>
          </w:tblCellMar>
        </w:tblPrEx>
        <w:trPr>
          <w:gridAfter w:val="1"/>
          <w:wAfter w:w="460" w:type="dxa"/>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03532CB">
            <w:pPr>
              <w:jc w:val="center"/>
              <w:rPr>
                <w:color w:val="000000"/>
              </w:rPr>
            </w:pPr>
            <w:r>
              <w:rPr>
                <w:rFonts w:hint="eastAsia"/>
                <w:color w:val="000000"/>
              </w:rPr>
              <w:t>裁量基准</w:t>
            </w:r>
          </w:p>
        </w:tc>
      </w:tr>
      <w:tr w14:paraId="3DC6353F">
        <w:tblPrEx>
          <w:tblCellMar>
            <w:top w:w="0" w:type="dxa"/>
            <w:left w:w="108" w:type="dxa"/>
            <w:bottom w:w="0" w:type="dxa"/>
            <w:right w:w="108" w:type="dxa"/>
          </w:tblCellMar>
        </w:tblPrEx>
        <w:trPr>
          <w:gridAfter w:val="1"/>
          <w:wAfter w:w="460" w:type="dxa"/>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4665A36B">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3F94FE15">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00B4523E">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617E8C2B">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4BB7D2A1">
        <w:tblPrEx>
          <w:tblCellMar>
            <w:top w:w="0" w:type="dxa"/>
            <w:left w:w="108" w:type="dxa"/>
            <w:bottom w:w="0" w:type="dxa"/>
            <w:right w:w="108" w:type="dxa"/>
          </w:tblCellMar>
        </w:tblPrEx>
        <w:trPr>
          <w:gridAfter w:val="1"/>
          <w:wAfter w:w="460" w:type="dxa"/>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16E1D3EC">
            <w:pPr>
              <w:rPr>
                <w:color w:val="000000"/>
              </w:rPr>
            </w:pPr>
          </w:p>
        </w:tc>
        <w:tc>
          <w:tcPr>
            <w:tcW w:w="5884" w:type="dxa"/>
            <w:tcBorders>
              <w:top w:val="single" w:color="auto" w:sz="4" w:space="0"/>
              <w:left w:val="nil"/>
              <w:bottom w:val="single" w:color="auto" w:sz="4" w:space="0"/>
              <w:right w:val="single" w:color="auto" w:sz="4" w:space="0"/>
            </w:tcBorders>
            <w:vAlign w:val="center"/>
          </w:tcPr>
          <w:p w14:paraId="03497751">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174EBCA8">
            <w:pPr>
              <w:rPr>
                <w:color w:val="000000"/>
              </w:rPr>
            </w:pPr>
          </w:p>
        </w:tc>
        <w:tc>
          <w:tcPr>
            <w:tcW w:w="5760" w:type="dxa"/>
            <w:tcBorders>
              <w:top w:val="nil"/>
              <w:left w:val="nil"/>
              <w:bottom w:val="single" w:color="auto" w:sz="4" w:space="0"/>
              <w:right w:val="single" w:color="auto" w:sz="8" w:space="0"/>
            </w:tcBorders>
            <w:vAlign w:val="center"/>
          </w:tcPr>
          <w:p w14:paraId="4E08A1D0">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1CD89B8D">
        <w:tblPrEx>
          <w:tblCellMar>
            <w:top w:w="0" w:type="dxa"/>
            <w:left w:w="108" w:type="dxa"/>
            <w:bottom w:w="0" w:type="dxa"/>
            <w:right w:w="108" w:type="dxa"/>
          </w:tblCellMar>
        </w:tblPrEx>
        <w:trPr>
          <w:gridAfter w:val="1"/>
          <w:wAfter w:w="460" w:type="dxa"/>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74CD3626">
            <w:pPr>
              <w:rPr>
                <w:color w:val="000000"/>
              </w:rPr>
            </w:pPr>
          </w:p>
        </w:tc>
        <w:tc>
          <w:tcPr>
            <w:tcW w:w="5884" w:type="dxa"/>
            <w:tcBorders>
              <w:top w:val="single" w:color="auto" w:sz="4" w:space="0"/>
              <w:left w:val="nil"/>
              <w:bottom w:val="single" w:color="auto" w:sz="4" w:space="0"/>
              <w:right w:val="single" w:color="auto" w:sz="4" w:space="0"/>
            </w:tcBorders>
            <w:vAlign w:val="center"/>
          </w:tcPr>
          <w:p w14:paraId="0C6F20DA">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0D9644D9">
            <w:pPr>
              <w:rPr>
                <w:color w:val="000000"/>
              </w:rPr>
            </w:pPr>
          </w:p>
        </w:tc>
        <w:tc>
          <w:tcPr>
            <w:tcW w:w="5760" w:type="dxa"/>
            <w:tcBorders>
              <w:top w:val="nil"/>
              <w:left w:val="nil"/>
              <w:bottom w:val="single" w:color="auto" w:sz="4" w:space="0"/>
              <w:right w:val="single" w:color="auto" w:sz="8" w:space="0"/>
            </w:tcBorders>
            <w:vAlign w:val="center"/>
          </w:tcPr>
          <w:p w14:paraId="179B2489">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7839C1DE">
        <w:tblPrEx>
          <w:tblCellMar>
            <w:top w:w="0" w:type="dxa"/>
            <w:left w:w="108" w:type="dxa"/>
            <w:bottom w:w="0" w:type="dxa"/>
            <w:right w:w="108" w:type="dxa"/>
          </w:tblCellMar>
        </w:tblPrEx>
        <w:trPr>
          <w:gridAfter w:val="1"/>
          <w:wAfter w:w="460" w:type="dxa"/>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5E5A66C8">
            <w:pPr>
              <w:rPr>
                <w:color w:val="000000"/>
              </w:rPr>
            </w:pPr>
          </w:p>
        </w:tc>
        <w:tc>
          <w:tcPr>
            <w:tcW w:w="5884" w:type="dxa"/>
            <w:tcBorders>
              <w:top w:val="single" w:color="auto" w:sz="4" w:space="0"/>
              <w:left w:val="nil"/>
              <w:bottom w:val="single" w:color="auto" w:sz="4" w:space="0"/>
              <w:right w:val="single" w:color="auto" w:sz="4" w:space="0"/>
            </w:tcBorders>
            <w:vAlign w:val="center"/>
          </w:tcPr>
          <w:p w14:paraId="49B08800">
            <w:pPr>
              <w:rPr>
                <w:color w:val="000000"/>
              </w:rPr>
            </w:pPr>
            <w:r>
              <w:rPr>
                <w:rFonts w:hint="eastAsia"/>
                <w:color w:val="000000"/>
              </w:rPr>
              <w:t>未按要求改正的，造成安全事故的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6CBDC1F0">
            <w:pPr>
              <w:rPr>
                <w:color w:val="000000"/>
              </w:rPr>
            </w:pPr>
          </w:p>
        </w:tc>
        <w:tc>
          <w:tcPr>
            <w:tcW w:w="5760" w:type="dxa"/>
            <w:tcBorders>
              <w:top w:val="nil"/>
              <w:left w:val="nil"/>
              <w:bottom w:val="single" w:color="auto" w:sz="4" w:space="0"/>
              <w:right w:val="single" w:color="auto" w:sz="8" w:space="0"/>
            </w:tcBorders>
            <w:vAlign w:val="center"/>
          </w:tcPr>
          <w:p w14:paraId="28089480">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66335C3C"/>
    <w:p w14:paraId="1801C6CB"/>
    <w:p w14:paraId="6FEA515F"/>
    <w:p w14:paraId="40C5A07E"/>
    <w:p w14:paraId="0F105028"/>
    <w:p w14:paraId="23205079"/>
    <w:tbl>
      <w:tblPr>
        <w:tblStyle w:val="15"/>
        <w:tblW w:w="0" w:type="auto"/>
        <w:tblInd w:w="88" w:type="dxa"/>
        <w:tblLayout w:type="fixed"/>
        <w:tblCellMar>
          <w:top w:w="0" w:type="dxa"/>
          <w:left w:w="108" w:type="dxa"/>
          <w:bottom w:w="0" w:type="dxa"/>
          <w:right w:w="108" w:type="dxa"/>
        </w:tblCellMar>
      </w:tblPr>
      <w:tblGrid>
        <w:gridCol w:w="1070"/>
        <w:gridCol w:w="6140"/>
        <w:gridCol w:w="1106"/>
        <w:gridCol w:w="5714"/>
      </w:tblGrid>
      <w:tr w14:paraId="27770206">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1D825293">
            <w:pPr>
              <w:spacing w:line="300" w:lineRule="exact"/>
              <w:jc w:val="center"/>
              <w:rPr>
                <w:color w:val="000000"/>
              </w:rPr>
            </w:pPr>
            <w:r>
              <w:rPr>
                <w:rFonts w:hint="eastAsia"/>
                <w:color w:val="000000"/>
              </w:rPr>
              <w:t>编号</w:t>
            </w:r>
          </w:p>
        </w:tc>
        <w:tc>
          <w:tcPr>
            <w:tcW w:w="12960" w:type="dxa"/>
            <w:gridSpan w:val="3"/>
            <w:tcBorders>
              <w:top w:val="single" w:color="auto" w:sz="8" w:space="0"/>
              <w:left w:val="nil"/>
              <w:bottom w:val="single" w:color="auto" w:sz="4" w:space="0"/>
              <w:right w:val="single" w:color="000000" w:sz="8" w:space="0"/>
            </w:tcBorders>
            <w:vAlign w:val="center"/>
          </w:tcPr>
          <w:p w14:paraId="5B2E31F0">
            <w:pPr>
              <w:spacing w:line="300" w:lineRule="exact"/>
              <w:rPr>
                <w:b/>
                <w:bCs/>
                <w:color w:val="000000"/>
              </w:rPr>
            </w:pPr>
            <w:r>
              <w:rPr>
                <w:b/>
                <w:bCs/>
                <w:color w:val="000000"/>
              </w:rPr>
              <w:t>320217599000</w:t>
            </w:r>
          </w:p>
        </w:tc>
      </w:tr>
      <w:tr w14:paraId="4643A70E">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3CEA251">
            <w:pPr>
              <w:spacing w:line="300" w:lineRule="exact"/>
              <w:rPr>
                <w:color w:val="000000"/>
              </w:rPr>
            </w:pPr>
            <w:r>
              <w:rPr>
                <w:rFonts w:hint="eastAsia"/>
                <w:color w:val="000000"/>
              </w:rPr>
              <w:t>行为名称</w:t>
            </w:r>
          </w:p>
        </w:tc>
        <w:tc>
          <w:tcPr>
            <w:tcW w:w="12960" w:type="dxa"/>
            <w:gridSpan w:val="3"/>
            <w:tcBorders>
              <w:top w:val="single" w:color="auto" w:sz="4" w:space="0"/>
              <w:left w:val="nil"/>
              <w:bottom w:val="single" w:color="auto" w:sz="4" w:space="0"/>
              <w:right w:val="single" w:color="000000" w:sz="8" w:space="0"/>
            </w:tcBorders>
            <w:vAlign w:val="center"/>
          </w:tcPr>
          <w:p w14:paraId="38995205">
            <w:pPr>
              <w:spacing w:line="300" w:lineRule="exact"/>
              <w:rPr>
                <w:color w:val="000000"/>
              </w:rPr>
            </w:pPr>
            <w:r>
              <w:rPr>
                <w:rFonts w:hint="eastAsia"/>
                <w:color w:val="000000"/>
              </w:rPr>
              <w:t>对招标文件、资格预审文件的发售、澄清、修改的时限，或者确定的提交资格预审申请文件、投标文件的时限不符合规定的处罚</w:t>
            </w:r>
          </w:p>
        </w:tc>
      </w:tr>
      <w:tr w14:paraId="07EDE8AE">
        <w:tblPrEx>
          <w:tblCellMar>
            <w:top w:w="0" w:type="dxa"/>
            <w:left w:w="108" w:type="dxa"/>
            <w:bottom w:w="0" w:type="dxa"/>
            <w:right w:w="108" w:type="dxa"/>
          </w:tblCellMar>
        </w:tblPrEx>
        <w:trPr>
          <w:trHeight w:val="1290" w:hRule="atLeast"/>
        </w:trPr>
        <w:tc>
          <w:tcPr>
            <w:tcW w:w="1070" w:type="dxa"/>
            <w:tcBorders>
              <w:top w:val="nil"/>
              <w:left w:val="single" w:color="auto" w:sz="8" w:space="0"/>
              <w:bottom w:val="single" w:color="auto" w:sz="4" w:space="0"/>
              <w:right w:val="single" w:color="auto" w:sz="4" w:space="0"/>
            </w:tcBorders>
            <w:vAlign w:val="center"/>
          </w:tcPr>
          <w:p w14:paraId="23361EFC">
            <w:pPr>
              <w:spacing w:line="300" w:lineRule="exact"/>
              <w:rPr>
                <w:color w:val="000000"/>
              </w:rPr>
            </w:pPr>
            <w:r>
              <w:rPr>
                <w:rFonts w:hint="eastAsia"/>
                <w:color w:val="000000"/>
              </w:rPr>
              <w:t>法律依据</w:t>
            </w:r>
          </w:p>
        </w:tc>
        <w:tc>
          <w:tcPr>
            <w:tcW w:w="12960" w:type="dxa"/>
            <w:gridSpan w:val="3"/>
            <w:tcBorders>
              <w:top w:val="single" w:color="auto" w:sz="4" w:space="0"/>
              <w:left w:val="nil"/>
              <w:bottom w:val="single" w:color="auto" w:sz="4" w:space="0"/>
              <w:right w:val="single" w:color="000000" w:sz="8" w:space="0"/>
            </w:tcBorders>
            <w:vAlign w:val="center"/>
          </w:tcPr>
          <w:p w14:paraId="15323959">
            <w:pPr>
              <w:spacing w:line="300" w:lineRule="exact"/>
              <w:rPr>
                <w:color w:val="000000"/>
              </w:rPr>
            </w:pPr>
            <w:r>
              <w:rPr>
                <w:color w:val="000000"/>
              </w:rPr>
              <w:t xml:space="preserve">  </w:t>
            </w:r>
            <w:r>
              <w:rPr>
                <w:rFonts w:hint="eastAsia"/>
                <w:color w:val="000000"/>
              </w:rPr>
              <w:t>【行政法规】《中华人民共和国招标投标法实施条例》（</w:t>
            </w:r>
            <w:r>
              <w:rPr>
                <w:color w:val="000000"/>
              </w:rPr>
              <w:t>2011</w:t>
            </w:r>
            <w:r>
              <w:rPr>
                <w:rFonts w:hint="eastAsia"/>
                <w:color w:val="000000"/>
              </w:rPr>
              <w:t>年国务院令第</w:t>
            </w:r>
            <w:r>
              <w:rPr>
                <w:color w:val="000000"/>
              </w:rPr>
              <w:t>613</w:t>
            </w:r>
            <w:r>
              <w:rPr>
                <w:rFonts w:hint="eastAsia"/>
                <w:color w:val="000000"/>
              </w:rPr>
              <w:t>号，</w:t>
            </w:r>
            <w:r>
              <w:rPr>
                <w:color w:val="000000"/>
              </w:rPr>
              <w:t>2019</w:t>
            </w:r>
            <w:r>
              <w:rPr>
                <w:rFonts w:hint="eastAsia"/>
                <w:color w:val="000000"/>
              </w:rPr>
              <w:t>年国务院令第</w:t>
            </w:r>
            <w:r>
              <w:rPr>
                <w:color w:val="000000"/>
              </w:rPr>
              <w:t>709</w:t>
            </w:r>
            <w:r>
              <w:rPr>
                <w:rFonts w:hint="eastAsia"/>
                <w:color w:val="000000"/>
              </w:rPr>
              <w:t>号修改）</w:t>
            </w:r>
          </w:p>
          <w:p w14:paraId="35DC047F">
            <w:pPr>
              <w:spacing w:line="300" w:lineRule="exact"/>
              <w:rPr>
                <w:color w:val="000000"/>
              </w:rPr>
            </w:pPr>
            <w:r>
              <w:rPr>
                <w:rFonts w:hint="eastAsia"/>
                <w:color w:val="000000"/>
              </w:rPr>
              <w:t>第十六条　招标人应当按照资格预审公告、招标公告或者投标邀请书规定的时间、地点发售资格预审文件或者招标文件。资格预审文件或者招标文件的发售期不得少于</w:t>
            </w:r>
            <w:r>
              <w:rPr>
                <w:color w:val="000000"/>
              </w:rPr>
              <w:t>5</w:t>
            </w:r>
            <w:r>
              <w:rPr>
                <w:rFonts w:hint="eastAsia"/>
                <w:color w:val="000000"/>
              </w:rPr>
              <w:t>日。</w:t>
            </w:r>
          </w:p>
          <w:p w14:paraId="1AC976C5">
            <w:pPr>
              <w:spacing w:line="300" w:lineRule="exact"/>
              <w:rPr>
                <w:color w:val="000000"/>
              </w:rPr>
            </w:pPr>
            <w:r>
              <w:rPr>
                <w:rFonts w:hint="eastAsia"/>
                <w:color w:val="000000"/>
              </w:rPr>
              <w:t>招标人发售资格预审文件、招标文件收取的费用应当限于补偿印刷、邮寄的成本支出，不得以营利为目的。</w:t>
            </w:r>
          </w:p>
          <w:p w14:paraId="6B5F0589">
            <w:pPr>
              <w:spacing w:line="300" w:lineRule="exact"/>
              <w:rPr>
                <w:color w:val="000000"/>
              </w:rPr>
            </w:pPr>
            <w:r>
              <w:rPr>
                <w:rFonts w:hint="eastAsia"/>
                <w:color w:val="000000"/>
              </w:rPr>
              <w:t>第十七条　招标人应当合理确定提交资格预审申请文件的时间。依法必须进行招标的项目提交资格预审申请文件的时间，自资格预审文件停止发售之日起不得少于</w:t>
            </w:r>
            <w:r>
              <w:rPr>
                <w:color w:val="000000"/>
              </w:rPr>
              <w:t>5</w:t>
            </w:r>
            <w:r>
              <w:rPr>
                <w:rFonts w:hint="eastAsia"/>
                <w:color w:val="000000"/>
              </w:rPr>
              <w:t>日。</w:t>
            </w:r>
          </w:p>
          <w:p w14:paraId="31A61400">
            <w:pPr>
              <w:spacing w:line="300" w:lineRule="exact"/>
              <w:rPr>
                <w:color w:val="000000"/>
              </w:rPr>
            </w:pPr>
            <w:r>
              <w:rPr>
                <w:rFonts w:hint="eastAsia"/>
                <w:color w:val="000000"/>
              </w:rPr>
              <w:t>第二十一条　招标人可以对已发出的资格预审文件或者招标文件进行必要的澄清或者修改。澄清或者修改的内容可能影响资格预审申请文件或者投标文件编制的，招标人应当在提交资格预审申请文件截止时间至少</w:t>
            </w:r>
            <w:r>
              <w:rPr>
                <w:color w:val="000000"/>
              </w:rPr>
              <w:t>3</w:t>
            </w:r>
            <w:r>
              <w:rPr>
                <w:rFonts w:hint="eastAsia"/>
                <w:color w:val="000000"/>
              </w:rPr>
              <w:t>日前，或者投标截止时间至少</w:t>
            </w:r>
            <w:r>
              <w:rPr>
                <w:color w:val="000000"/>
              </w:rPr>
              <w:t>15</w:t>
            </w:r>
            <w:r>
              <w:rPr>
                <w:rFonts w:hint="eastAsia"/>
                <w:color w:val="000000"/>
              </w:rPr>
              <w:t>日前，以书面形式通知所有获取资格预审文件或者招标文件的潜在投标人；不足</w:t>
            </w:r>
            <w:r>
              <w:rPr>
                <w:color w:val="000000"/>
              </w:rPr>
              <w:t>3</w:t>
            </w:r>
            <w:r>
              <w:rPr>
                <w:rFonts w:hint="eastAsia"/>
                <w:color w:val="000000"/>
              </w:rPr>
              <w:t>日或者</w:t>
            </w:r>
            <w:r>
              <w:rPr>
                <w:color w:val="000000"/>
              </w:rPr>
              <w:t>15</w:t>
            </w:r>
            <w:r>
              <w:rPr>
                <w:rFonts w:hint="eastAsia"/>
                <w:color w:val="000000"/>
              </w:rPr>
              <w:t>日的，招标人应当顺延提交资格预审申请文件或者投标文件的截止时间。</w:t>
            </w:r>
          </w:p>
          <w:p w14:paraId="3DF1458A">
            <w:pPr>
              <w:spacing w:line="300" w:lineRule="exact"/>
              <w:rPr>
                <w:color w:val="000000"/>
              </w:rPr>
            </w:pPr>
            <w:r>
              <w:rPr>
                <w:rFonts w:hint="eastAsia"/>
                <w:color w:val="000000"/>
              </w:rPr>
              <w:t>第二十二条　潜在投标人或者其他利害关系人对资格预审文件有异议的，应当在提交资格预审申请文件截止时间</w:t>
            </w:r>
            <w:r>
              <w:rPr>
                <w:color w:val="000000"/>
              </w:rPr>
              <w:t>2</w:t>
            </w:r>
            <w:r>
              <w:rPr>
                <w:rFonts w:hint="eastAsia"/>
                <w:color w:val="000000"/>
              </w:rPr>
              <w:t>日前提出；对招标文件有异议的，应当在投标截止时间</w:t>
            </w:r>
            <w:r>
              <w:rPr>
                <w:color w:val="000000"/>
              </w:rPr>
              <w:t>10</w:t>
            </w:r>
            <w:r>
              <w:rPr>
                <w:rFonts w:hint="eastAsia"/>
                <w:color w:val="000000"/>
              </w:rPr>
              <w:t>日前提出。招标人应当自收到异议之日起</w:t>
            </w:r>
            <w:r>
              <w:rPr>
                <w:color w:val="000000"/>
              </w:rPr>
              <w:t>3</w:t>
            </w:r>
            <w:r>
              <w:rPr>
                <w:rFonts w:hint="eastAsia"/>
                <w:color w:val="000000"/>
              </w:rPr>
              <w:t>日内作出答复；作出答复前，应当暂停招标投标活动。</w:t>
            </w:r>
          </w:p>
          <w:p w14:paraId="73B8B7AA">
            <w:pPr>
              <w:spacing w:line="300" w:lineRule="exact"/>
              <w:rPr>
                <w:color w:val="000000"/>
              </w:rPr>
            </w:pPr>
            <w:r>
              <w:rPr>
                <w:rFonts w:hint="eastAsia"/>
                <w:color w:val="000000"/>
              </w:rPr>
              <w:t>第六十四条　招标人有下列情形之一的，由有关行政监督部门责令改正，可以处</w:t>
            </w:r>
            <w:r>
              <w:rPr>
                <w:color w:val="000000"/>
              </w:rPr>
              <w:t>10</w:t>
            </w:r>
            <w:r>
              <w:rPr>
                <w:rFonts w:hint="eastAsia"/>
                <w:color w:val="000000"/>
              </w:rPr>
              <w:t>万元以下的罚款：</w:t>
            </w:r>
          </w:p>
          <w:p w14:paraId="2666260C">
            <w:pPr>
              <w:spacing w:line="300" w:lineRule="exact"/>
              <w:rPr>
                <w:color w:val="000000"/>
              </w:rPr>
            </w:pPr>
            <w:r>
              <w:rPr>
                <w:rFonts w:hint="eastAsia"/>
                <w:color w:val="000000"/>
              </w:rPr>
              <w:t>（二）招标文件、资格预审文件的发售、澄清、修改的时限，或者确定的提交资格预审申请文件、投标文件的时限不符合招标投标法和本条例规定。</w:t>
            </w:r>
          </w:p>
          <w:p w14:paraId="42CA5170">
            <w:pPr>
              <w:spacing w:line="30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【规章】《工程建设项目施工招标投标办法》（国家发展和改革委员会、工业和信息化部、财政部、住房和城乡建设部、交通运输部、铁道部、水利部、国家广播电影电视总局、中国民用航空局令第</w:t>
            </w:r>
            <w:r>
              <w:rPr>
                <w:color w:val="000000"/>
              </w:rPr>
              <w:t>30</w:t>
            </w:r>
            <w:r>
              <w:rPr>
                <w:rFonts w:hint="eastAsia"/>
                <w:color w:val="000000"/>
              </w:rPr>
              <w:t>号，已根据《关于废止和修改部分招标投标规章和规范性文件的决定》修改）</w:t>
            </w:r>
          </w:p>
          <w:p w14:paraId="48CE76CC">
            <w:pPr>
              <w:spacing w:line="300" w:lineRule="exact"/>
              <w:rPr>
                <w:color w:val="000000"/>
              </w:rPr>
            </w:pPr>
            <w:r>
              <w:rPr>
                <w:rFonts w:hint="eastAsia"/>
                <w:color w:val="000000"/>
              </w:rPr>
              <w:t>第七十三条　招标人有下列情形之一的，由有关行政监督部门责令改正，可以处</w:t>
            </w:r>
            <w:r>
              <w:rPr>
                <w:color w:val="000000"/>
              </w:rPr>
              <w:t>10</w:t>
            </w:r>
            <w:r>
              <w:rPr>
                <w:rFonts w:hint="eastAsia"/>
                <w:color w:val="000000"/>
              </w:rPr>
              <w:t>万元以下的罚款：</w:t>
            </w:r>
          </w:p>
          <w:p w14:paraId="628FB5C4">
            <w:pPr>
              <w:spacing w:line="300" w:lineRule="exact"/>
              <w:rPr>
                <w:color w:val="000000"/>
              </w:rPr>
            </w:pPr>
            <w:r>
              <w:rPr>
                <w:color w:val="000000"/>
              </w:rPr>
              <w:t xml:space="preserve">   </w:t>
            </w:r>
            <w:r>
              <w:rPr>
                <w:rFonts w:hint="eastAsia"/>
                <w:color w:val="000000"/>
              </w:rPr>
              <w:t>（二）招标文件、资格预审文件的发售、澄清、修改的时限，或者确定的提交资格预审申请文件、投标文件的时限不符合招标投标法和招标投标法实施条例规定；</w:t>
            </w:r>
          </w:p>
          <w:p w14:paraId="12928C08">
            <w:pPr>
              <w:spacing w:line="300" w:lineRule="exact"/>
              <w:rPr>
                <w:color w:val="000000"/>
              </w:rPr>
            </w:pPr>
            <w:r>
              <w:rPr>
                <w:rFonts w:hint="eastAsia"/>
                <w:color w:val="000000"/>
              </w:rPr>
              <w:t>【规章】《工程建设项目勘察设计招标投标办法》（国家发展和改革委员会、工业和信息化部、财政部、住房和城乡建设部、交通运输部、铁道部、水利部、国家广播电影电视总局、中国民用航空局令第</w:t>
            </w:r>
            <w:r>
              <w:rPr>
                <w:color w:val="000000"/>
              </w:rPr>
              <w:t>2</w:t>
            </w:r>
            <w:r>
              <w:rPr>
                <w:rFonts w:hint="eastAsia"/>
                <w:color w:val="000000"/>
              </w:rPr>
              <w:t>号，已根据《关于废止和修改部分招标投标规章和规范性文件的决定》修改）</w:t>
            </w:r>
          </w:p>
          <w:p w14:paraId="24D9CB74">
            <w:pPr>
              <w:spacing w:line="300" w:lineRule="exact"/>
              <w:rPr>
                <w:color w:val="000000"/>
              </w:rPr>
            </w:pPr>
            <w:r>
              <w:rPr>
                <w:rFonts w:hint="eastAsia"/>
                <w:color w:val="000000"/>
              </w:rPr>
              <w:t>　</w:t>
            </w:r>
            <w:r>
              <w:rPr>
                <w:color w:val="000000"/>
              </w:rPr>
              <w:t xml:space="preserve">  </w:t>
            </w:r>
            <w:r>
              <w:rPr>
                <w:rFonts w:hint="eastAsia"/>
                <w:color w:val="000000"/>
              </w:rPr>
              <w:t>第五十一条　招标人有下列情形之一的，由有关行政监督部门责令改正，可以处</w:t>
            </w:r>
            <w:r>
              <w:rPr>
                <w:color w:val="000000"/>
              </w:rPr>
              <w:t>10</w:t>
            </w:r>
            <w:r>
              <w:rPr>
                <w:rFonts w:hint="eastAsia"/>
                <w:color w:val="000000"/>
              </w:rPr>
              <w:t>万元以下的罚款：</w:t>
            </w:r>
          </w:p>
          <w:p w14:paraId="2CF30142">
            <w:pPr>
              <w:spacing w:line="300" w:lineRule="exact"/>
              <w:rPr>
                <w:color w:val="000000"/>
              </w:rPr>
            </w:pPr>
            <w:r>
              <w:rPr>
                <w:color w:val="000000"/>
              </w:rPr>
              <w:t xml:space="preserve">   </w:t>
            </w:r>
            <w:r>
              <w:rPr>
                <w:rFonts w:hint="eastAsia"/>
                <w:color w:val="000000"/>
              </w:rPr>
              <w:t>（二）招标文件、资格预审文件的发售、澄清、修改的时限，或者确定的提交资格预审申请文件、投标文件的时限不符合招标投标法和招标投标法实施条例规定；</w:t>
            </w:r>
          </w:p>
          <w:p w14:paraId="3B886484">
            <w:pPr>
              <w:spacing w:line="300" w:lineRule="exact"/>
              <w:rPr>
                <w:color w:val="000000"/>
              </w:rPr>
            </w:pPr>
            <w:r>
              <w:rPr>
                <w:rFonts w:hint="eastAsia"/>
                <w:color w:val="000000"/>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rPr>
              <w:t>27</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p>
          <w:p w14:paraId="139412D7">
            <w:pPr>
              <w:spacing w:line="300" w:lineRule="exact"/>
              <w:rPr>
                <w:color w:val="000000"/>
              </w:rPr>
            </w:pPr>
            <w:r>
              <w:rPr>
                <w:rFonts w:hint="eastAsia"/>
                <w:color w:val="000000"/>
              </w:rPr>
              <w:t>第五十六条　招标人有下列情形之一的，由有关行政监督部门责令改正，可以处</w:t>
            </w:r>
            <w:r>
              <w:rPr>
                <w:color w:val="000000"/>
              </w:rPr>
              <w:t>10</w:t>
            </w:r>
            <w:r>
              <w:rPr>
                <w:rFonts w:hint="eastAsia"/>
                <w:color w:val="000000"/>
              </w:rPr>
              <w:t>万元以下的罚款：</w:t>
            </w:r>
          </w:p>
          <w:p w14:paraId="5AEC7B7F">
            <w:pPr>
              <w:spacing w:line="300" w:lineRule="exact"/>
              <w:rPr>
                <w:color w:val="000000"/>
              </w:rPr>
            </w:pPr>
            <w:r>
              <w:rPr>
                <w:color w:val="000000"/>
              </w:rPr>
              <w:t xml:space="preserve">   </w:t>
            </w:r>
            <w:r>
              <w:rPr>
                <w:rFonts w:hint="eastAsia"/>
                <w:color w:val="000000"/>
              </w:rPr>
              <w:t>（二）招标文件、资格预审文件的发售、澄清、修改的时限，或者确定的提交资格预审申请文件、投标文件的时限不符合招标投标法和招标投标法实施条例规定；</w:t>
            </w:r>
          </w:p>
        </w:tc>
      </w:tr>
      <w:tr w14:paraId="0C1550D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9CD7F82">
            <w:pPr>
              <w:spacing w:line="300" w:lineRule="exact"/>
              <w:rPr>
                <w:color w:val="000000"/>
              </w:rPr>
            </w:pPr>
            <w:r>
              <w:rPr>
                <w:rFonts w:hint="eastAsia"/>
                <w:color w:val="000000"/>
              </w:rPr>
              <w:t>行使内容</w:t>
            </w:r>
          </w:p>
        </w:tc>
        <w:tc>
          <w:tcPr>
            <w:tcW w:w="12960" w:type="dxa"/>
            <w:gridSpan w:val="3"/>
            <w:tcBorders>
              <w:top w:val="single" w:color="auto" w:sz="4" w:space="0"/>
              <w:left w:val="nil"/>
              <w:bottom w:val="single" w:color="auto" w:sz="4" w:space="0"/>
              <w:right w:val="single" w:color="000000" w:sz="8" w:space="0"/>
            </w:tcBorders>
            <w:vAlign w:val="center"/>
          </w:tcPr>
          <w:p w14:paraId="43576C62">
            <w:pPr>
              <w:spacing w:line="300" w:lineRule="exact"/>
              <w:rPr>
                <w:color w:val="000000"/>
              </w:rPr>
            </w:pPr>
            <w:r>
              <w:rPr>
                <w:rFonts w:hint="eastAsia"/>
                <w:color w:val="000000"/>
              </w:rPr>
              <w:t>罚款</w:t>
            </w:r>
          </w:p>
        </w:tc>
      </w:tr>
      <w:tr w14:paraId="0C6F8A2C">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5105F2B6">
            <w:pPr>
              <w:spacing w:line="300" w:lineRule="exact"/>
              <w:jc w:val="center"/>
              <w:rPr>
                <w:color w:val="000000"/>
              </w:rPr>
            </w:pPr>
            <w:r>
              <w:rPr>
                <w:rFonts w:hint="eastAsia"/>
                <w:color w:val="000000"/>
              </w:rPr>
              <w:t>裁量基准</w:t>
            </w:r>
          </w:p>
        </w:tc>
      </w:tr>
      <w:tr w14:paraId="21F33B52">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54AF5CA1">
            <w:pPr>
              <w:spacing w:line="300" w:lineRule="exact"/>
              <w:rPr>
                <w:color w:val="000000"/>
              </w:rPr>
            </w:pPr>
            <w:r>
              <w:rPr>
                <w:rFonts w:hint="eastAsia"/>
                <w:color w:val="000000"/>
              </w:rPr>
              <w:t>情形描述</w:t>
            </w:r>
          </w:p>
        </w:tc>
        <w:tc>
          <w:tcPr>
            <w:tcW w:w="6140" w:type="dxa"/>
            <w:tcBorders>
              <w:top w:val="single" w:color="auto" w:sz="4" w:space="0"/>
              <w:left w:val="nil"/>
              <w:bottom w:val="single" w:color="auto" w:sz="4" w:space="0"/>
              <w:right w:val="single" w:color="auto" w:sz="4" w:space="0"/>
            </w:tcBorders>
            <w:vAlign w:val="center"/>
          </w:tcPr>
          <w:p w14:paraId="7CC5C8BD">
            <w:pPr>
              <w:spacing w:line="300" w:lineRule="exact"/>
              <w:rPr>
                <w:color w:val="000000"/>
              </w:rPr>
            </w:pPr>
            <w:r>
              <w:rPr>
                <w:rFonts w:hint="eastAsia"/>
                <w:color w:val="000000"/>
              </w:rPr>
              <w:t>及时纠正的</w:t>
            </w:r>
          </w:p>
        </w:tc>
        <w:tc>
          <w:tcPr>
            <w:tcW w:w="1106" w:type="dxa"/>
            <w:vMerge w:val="restart"/>
            <w:tcBorders>
              <w:top w:val="nil"/>
              <w:left w:val="single" w:color="auto" w:sz="4" w:space="0"/>
              <w:bottom w:val="single" w:color="auto" w:sz="4" w:space="0"/>
              <w:right w:val="single" w:color="auto" w:sz="4" w:space="0"/>
            </w:tcBorders>
            <w:vAlign w:val="center"/>
          </w:tcPr>
          <w:p w14:paraId="477BB7C7">
            <w:pPr>
              <w:spacing w:line="300" w:lineRule="exact"/>
              <w:rPr>
                <w:color w:val="000000"/>
              </w:rPr>
            </w:pPr>
            <w:r>
              <w:rPr>
                <w:rFonts w:hint="eastAsia"/>
                <w:color w:val="000000"/>
              </w:rPr>
              <w:t>裁量幅度</w:t>
            </w:r>
          </w:p>
        </w:tc>
        <w:tc>
          <w:tcPr>
            <w:tcW w:w="5714" w:type="dxa"/>
            <w:tcBorders>
              <w:top w:val="nil"/>
              <w:left w:val="nil"/>
              <w:bottom w:val="single" w:color="auto" w:sz="4" w:space="0"/>
              <w:right w:val="single" w:color="auto" w:sz="8" w:space="0"/>
            </w:tcBorders>
            <w:vAlign w:val="center"/>
          </w:tcPr>
          <w:p w14:paraId="06818E09">
            <w:pPr>
              <w:spacing w:line="300" w:lineRule="exact"/>
              <w:rPr>
                <w:color w:val="000000"/>
              </w:rPr>
            </w:pPr>
            <w:r>
              <w:rPr>
                <w:rFonts w:hint="eastAsia"/>
                <w:color w:val="000000"/>
              </w:rPr>
              <w:t>责令改正，处</w:t>
            </w:r>
            <w:r>
              <w:rPr>
                <w:color w:val="000000"/>
              </w:rPr>
              <w:t>5</w:t>
            </w:r>
            <w:r>
              <w:rPr>
                <w:rFonts w:hint="eastAsia"/>
                <w:color w:val="000000"/>
              </w:rPr>
              <w:t>万元以下罚款</w:t>
            </w:r>
          </w:p>
        </w:tc>
      </w:tr>
      <w:tr w14:paraId="1B436D18">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2EA90263">
            <w:pPr>
              <w:spacing w:line="300" w:lineRule="exact"/>
              <w:rPr>
                <w:color w:val="000000"/>
              </w:rPr>
            </w:pPr>
          </w:p>
        </w:tc>
        <w:tc>
          <w:tcPr>
            <w:tcW w:w="6140" w:type="dxa"/>
            <w:tcBorders>
              <w:top w:val="single" w:color="auto" w:sz="4" w:space="0"/>
              <w:left w:val="nil"/>
              <w:bottom w:val="single" w:color="auto" w:sz="4" w:space="0"/>
              <w:right w:val="single" w:color="auto" w:sz="4" w:space="0"/>
            </w:tcBorders>
            <w:vAlign w:val="center"/>
          </w:tcPr>
          <w:p w14:paraId="0C3E6BAB">
            <w:pPr>
              <w:spacing w:line="300" w:lineRule="exact"/>
              <w:rPr>
                <w:color w:val="000000"/>
              </w:rPr>
            </w:pPr>
            <w:r>
              <w:rPr>
                <w:rFonts w:hint="eastAsia"/>
                <w:color w:val="000000"/>
              </w:rPr>
              <w:t>拒不纠正的</w:t>
            </w:r>
          </w:p>
        </w:tc>
        <w:tc>
          <w:tcPr>
            <w:tcW w:w="1106" w:type="dxa"/>
            <w:vMerge w:val="continue"/>
            <w:tcBorders>
              <w:top w:val="nil"/>
              <w:left w:val="single" w:color="auto" w:sz="4" w:space="0"/>
              <w:bottom w:val="single" w:color="auto" w:sz="4" w:space="0"/>
              <w:right w:val="single" w:color="auto" w:sz="4" w:space="0"/>
            </w:tcBorders>
            <w:vAlign w:val="center"/>
          </w:tcPr>
          <w:p w14:paraId="47FC05FD">
            <w:pPr>
              <w:spacing w:line="300" w:lineRule="exact"/>
              <w:rPr>
                <w:color w:val="000000"/>
              </w:rPr>
            </w:pPr>
          </w:p>
        </w:tc>
        <w:tc>
          <w:tcPr>
            <w:tcW w:w="5714" w:type="dxa"/>
            <w:tcBorders>
              <w:top w:val="nil"/>
              <w:left w:val="nil"/>
              <w:bottom w:val="single" w:color="auto" w:sz="4" w:space="0"/>
              <w:right w:val="single" w:color="auto" w:sz="8" w:space="0"/>
            </w:tcBorders>
            <w:vAlign w:val="center"/>
          </w:tcPr>
          <w:p w14:paraId="5B8B9C20">
            <w:pPr>
              <w:spacing w:line="300" w:lineRule="exact"/>
              <w:rPr>
                <w:color w:val="000000"/>
              </w:rPr>
            </w:pPr>
            <w:r>
              <w:rPr>
                <w:rFonts w:hint="eastAsia"/>
                <w:color w:val="000000"/>
              </w:rPr>
              <w:t>责令改正，处</w:t>
            </w:r>
            <w:r>
              <w:rPr>
                <w:color w:val="000000"/>
              </w:rPr>
              <w:t>5</w:t>
            </w:r>
            <w:r>
              <w:rPr>
                <w:rFonts w:hint="eastAsia"/>
                <w:color w:val="000000"/>
              </w:rPr>
              <w:t>万元以上，</w:t>
            </w:r>
            <w:r>
              <w:rPr>
                <w:color w:val="000000"/>
              </w:rPr>
              <w:t>10</w:t>
            </w:r>
            <w:r>
              <w:rPr>
                <w:rFonts w:hint="eastAsia"/>
                <w:color w:val="000000"/>
              </w:rPr>
              <w:t>万元以下罚款</w:t>
            </w:r>
          </w:p>
        </w:tc>
      </w:tr>
    </w:tbl>
    <w:p w14:paraId="7504BA15"/>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620E33C8">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07058018">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70F8B197">
            <w:pPr>
              <w:spacing w:line="320" w:lineRule="exact"/>
              <w:jc w:val="left"/>
              <w:rPr>
                <w:rFonts w:eastAsia="仿宋_GB2312"/>
                <w:b/>
                <w:bCs/>
                <w:color w:val="000000"/>
                <w:kern w:val="0"/>
                <w:sz w:val="18"/>
                <w:szCs w:val="18"/>
              </w:rPr>
            </w:pPr>
            <w:r>
              <w:rPr>
                <w:rFonts w:eastAsia="仿宋_GB2312"/>
                <w:b/>
                <w:bCs/>
                <w:color w:val="000000"/>
                <w:kern w:val="0"/>
                <w:sz w:val="18"/>
                <w:szCs w:val="18"/>
              </w:rPr>
              <w:t>320217600000</w:t>
            </w:r>
          </w:p>
        </w:tc>
      </w:tr>
      <w:tr w14:paraId="03A6873C">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704116C3">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7056C290">
            <w:pPr>
              <w:spacing w:line="320" w:lineRule="exact"/>
              <w:jc w:val="left"/>
              <w:rPr>
                <w:color w:val="000000"/>
                <w:kern w:val="0"/>
                <w:sz w:val="18"/>
                <w:szCs w:val="18"/>
              </w:rPr>
            </w:pPr>
            <w:r>
              <w:rPr>
                <w:rFonts w:hint="eastAsia"/>
                <w:color w:val="000000"/>
                <w:kern w:val="0"/>
                <w:sz w:val="18"/>
                <w:szCs w:val="18"/>
              </w:rPr>
              <w:t>对未按国家规定的技术标准和规范进行城市供水工程的设计或者施工的处罚</w:t>
            </w:r>
          </w:p>
        </w:tc>
      </w:tr>
      <w:tr w14:paraId="6F580954">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57160B86">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2ACDCED7">
            <w:pPr>
              <w:spacing w:line="320" w:lineRule="exact"/>
              <w:jc w:val="left"/>
              <w:rPr>
                <w:color w:val="000000"/>
                <w:kern w:val="0"/>
                <w:sz w:val="18"/>
                <w:szCs w:val="18"/>
              </w:rPr>
            </w:pPr>
            <w:r>
              <w:rPr>
                <w:rFonts w:hint="eastAsia"/>
                <w:color w:val="000000"/>
                <w:kern w:val="0"/>
                <w:sz w:val="18"/>
                <w:szCs w:val="18"/>
              </w:rPr>
              <w:t>【行政法规】《城市供水条例》（国务院令第158号，国务院令第698号、第726号修改）</w:t>
            </w:r>
          </w:p>
          <w:p w14:paraId="0F0CEF4C">
            <w:pPr>
              <w:spacing w:line="320" w:lineRule="exact"/>
              <w:jc w:val="left"/>
              <w:rPr>
                <w:color w:val="000000"/>
                <w:kern w:val="0"/>
                <w:sz w:val="18"/>
                <w:szCs w:val="18"/>
              </w:rPr>
            </w:pPr>
            <w:r>
              <w:rPr>
                <w:rFonts w:hint="eastAsia"/>
                <w:color w:val="000000"/>
                <w:kern w:val="0"/>
                <w:sz w:val="18"/>
                <w:szCs w:val="18"/>
              </w:rPr>
              <w:t xml:space="preserve">        第十六条　城市供水工程的设计、施工，应当委托持有相应资质证书的设计、施工单位承担，并遵守国家有关技术标准和规范。禁止无证或者超越资质证书规定的经营范围承担城市供水工程的设计、施工任务。</w:t>
            </w:r>
          </w:p>
          <w:p w14:paraId="3DF919AD">
            <w:pPr>
              <w:spacing w:line="320" w:lineRule="exact"/>
              <w:jc w:val="left"/>
              <w:rPr>
                <w:color w:val="000000"/>
                <w:kern w:val="0"/>
                <w:sz w:val="18"/>
                <w:szCs w:val="18"/>
              </w:rPr>
            </w:pPr>
            <w:r>
              <w:rPr>
                <w:rFonts w:hint="eastAsia"/>
                <w:color w:val="000000"/>
                <w:kern w:val="0"/>
                <w:sz w:val="18"/>
                <w:szCs w:val="18"/>
              </w:rPr>
              <w:t xml:space="preserve">       第三十四条　违反本条例规定，有下列行为之一的，由城市供水行政主管部门责令停止违法行为，可以处以罚款；对负有直接责任的主管人员和其他直接责任人员，其所在单位或者上级机关可以给予行政处分：</w:t>
            </w:r>
          </w:p>
          <w:p w14:paraId="352CDAA1">
            <w:pPr>
              <w:spacing w:line="320" w:lineRule="exact"/>
              <w:jc w:val="left"/>
              <w:rPr>
                <w:color w:val="000000"/>
                <w:kern w:val="0"/>
                <w:sz w:val="18"/>
                <w:szCs w:val="18"/>
              </w:rPr>
            </w:pPr>
            <w:r>
              <w:rPr>
                <w:rFonts w:hint="eastAsia"/>
                <w:color w:val="000000"/>
                <w:kern w:val="0"/>
                <w:sz w:val="18"/>
                <w:szCs w:val="18"/>
              </w:rPr>
              <w:t xml:space="preserve">       (二)未按国家规定的技术标准和规范进行城市供水工程的设计或者施工的；</w:t>
            </w:r>
          </w:p>
        </w:tc>
      </w:tr>
      <w:tr w14:paraId="7A6157D8">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22E0C7D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5F7A5F97">
            <w:pPr>
              <w:spacing w:line="320" w:lineRule="exact"/>
              <w:jc w:val="left"/>
              <w:rPr>
                <w:color w:val="000000"/>
                <w:kern w:val="0"/>
                <w:sz w:val="18"/>
                <w:szCs w:val="18"/>
              </w:rPr>
            </w:pPr>
            <w:r>
              <w:rPr>
                <w:rFonts w:hint="eastAsia"/>
                <w:color w:val="000000"/>
                <w:kern w:val="0"/>
                <w:sz w:val="18"/>
                <w:szCs w:val="18"/>
              </w:rPr>
              <w:t>罚款</w:t>
            </w:r>
          </w:p>
        </w:tc>
      </w:tr>
      <w:tr w14:paraId="77FF4CA9">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0683D516">
            <w:pPr>
              <w:spacing w:line="320" w:lineRule="exact"/>
              <w:jc w:val="center"/>
              <w:rPr>
                <w:color w:val="000000"/>
                <w:kern w:val="0"/>
                <w:sz w:val="18"/>
                <w:szCs w:val="18"/>
              </w:rPr>
            </w:pPr>
            <w:r>
              <w:rPr>
                <w:rFonts w:hint="eastAsia"/>
                <w:color w:val="000000"/>
                <w:kern w:val="0"/>
                <w:sz w:val="18"/>
                <w:szCs w:val="18"/>
              </w:rPr>
              <w:t>裁量基准</w:t>
            </w:r>
          </w:p>
        </w:tc>
      </w:tr>
      <w:tr w14:paraId="1DE72774">
        <w:tblPrEx>
          <w:tblCellMar>
            <w:top w:w="0" w:type="dxa"/>
            <w:left w:w="108" w:type="dxa"/>
            <w:bottom w:w="0" w:type="dxa"/>
            <w:right w:w="108" w:type="dxa"/>
          </w:tblCellMar>
        </w:tblPrEx>
        <w:trPr>
          <w:gridAfter w:val="1"/>
          <w:wAfter w:w="14" w:type="dxa"/>
          <w:trHeight w:val="322" w:hRule="atLeast"/>
        </w:trPr>
        <w:tc>
          <w:tcPr>
            <w:tcW w:w="996" w:type="dxa"/>
            <w:vMerge w:val="restart"/>
            <w:tcBorders>
              <w:top w:val="nil"/>
              <w:left w:val="single" w:color="auto" w:sz="8" w:space="0"/>
              <w:right w:val="single" w:color="auto" w:sz="4" w:space="0"/>
            </w:tcBorders>
            <w:vAlign w:val="center"/>
          </w:tcPr>
          <w:p w14:paraId="4BDFA650">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02B5A02A">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color="auto" w:sz="4" w:space="0"/>
              <w:right w:val="single" w:color="auto" w:sz="4" w:space="0"/>
            </w:tcBorders>
            <w:vAlign w:val="center"/>
          </w:tcPr>
          <w:p w14:paraId="33EA2039">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1AF6D584">
            <w:pPr>
              <w:spacing w:line="320" w:lineRule="exact"/>
              <w:jc w:val="left"/>
              <w:rPr>
                <w:color w:val="000000"/>
                <w:kern w:val="0"/>
                <w:sz w:val="18"/>
                <w:szCs w:val="18"/>
              </w:rPr>
            </w:pPr>
            <w:r>
              <w:rPr>
                <w:rFonts w:hint="eastAsia"/>
                <w:color w:val="000000"/>
                <w:kern w:val="0"/>
                <w:sz w:val="18"/>
                <w:szCs w:val="18"/>
              </w:rPr>
              <w:t>不予罚款</w:t>
            </w:r>
          </w:p>
        </w:tc>
      </w:tr>
      <w:tr w14:paraId="09D7BFAF">
        <w:tblPrEx>
          <w:tblCellMar>
            <w:top w:w="0" w:type="dxa"/>
            <w:left w:w="108" w:type="dxa"/>
            <w:bottom w:w="0" w:type="dxa"/>
            <w:right w:w="108" w:type="dxa"/>
          </w:tblCellMar>
        </w:tblPrEx>
        <w:trPr>
          <w:gridAfter w:val="1"/>
          <w:wAfter w:w="14" w:type="dxa"/>
          <w:trHeight w:val="397" w:hRule="atLeast"/>
        </w:trPr>
        <w:tc>
          <w:tcPr>
            <w:tcW w:w="996" w:type="dxa"/>
            <w:vMerge w:val="continue"/>
            <w:tcBorders>
              <w:left w:val="single" w:color="auto" w:sz="8" w:space="0"/>
              <w:bottom w:val="single" w:color="auto" w:sz="4" w:space="0"/>
              <w:right w:val="single" w:color="auto" w:sz="4" w:space="0"/>
            </w:tcBorders>
            <w:vAlign w:val="center"/>
          </w:tcPr>
          <w:p w14:paraId="3A514186">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45D54C1C">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val="continue"/>
            <w:tcBorders>
              <w:left w:val="single" w:color="auto" w:sz="4" w:space="0"/>
              <w:bottom w:val="single" w:color="auto" w:sz="4" w:space="0"/>
              <w:right w:val="single" w:color="auto" w:sz="4" w:space="0"/>
            </w:tcBorders>
            <w:vAlign w:val="center"/>
          </w:tcPr>
          <w:p w14:paraId="48333863">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40E3D189">
            <w:pPr>
              <w:spacing w:line="320" w:lineRule="exact"/>
              <w:jc w:val="left"/>
              <w:rPr>
                <w:color w:val="000000"/>
                <w:kern w:val="0"/>
                <w:sz w:val="18"/>
                <w:szCs w:val="18"/>
              </w:rPr>
            </w:pPr>
            <w:r>
              <w:rPr>
                <w:rFonts w:hint="eastAsia"/>
                <w:color w:val="000000"/>
                <w:kern w:val="0"/>
                <w:sz w:val="18"/>
                <w:szCs w:val="18"/>
              </w:rPr>
              <w:t>处以罚款</w:t>
            </w:r>
          </w:p>
        </w:tc>
      </w:tr>
    </w:tbl>
    <w:p w14:paraId="48906875"/>
    <w:p w14:paraId="16211624"/>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657BE2F9">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52384567">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04D80DE8">
            <w:pPr>
              <w:spacing w:line="320" w:lineRule="exact"/>
              <w:jc w:val="left"/>
              <w:rPr>
                <w:rFonts w:eastAsia="仿宋_GB2312"/>
                <w:b/>
                <w:bCs/>
                <w:color w:val="000000"/>
                <w:kern w:val="0"/>
                <w:sz w:val="18"/>
                <w:szCs w:val="18"/>
              </w:rPr>
            </w:pPr>
            <w:r>
              <w:rPr>
                <w:rFonts w:eastAsia="仿宋_GB2312"/>
                <w:b/>
                <w:bCs/>
                <w:color w:val="000000"/>
                <w:kern w:val="0"/>
                <w:sz w:val="18"/>
                <w:szCs w:val="18"/>
              </w:rPr>
              <w:t>320217601000</w:t>
            </w:r>
          </w:p>
        </w:tc>
      </w:tr>
      <w:tr w14:paraId="263F4E08">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4A2F96DE">
            <w:pPr>
              <w:spacing w:line="30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56D6E0AF">
            <w:pPr>
              <w:spacing w:line="300" w:lineRule="exact"/>
              <w:jc w:val="left"/>
              <w:rPr>
                <w:color w:val="000000"/>
                <w:kern w:val="0"/>
                <w:sz w:val="18"/>
                <w:szCs w:val="18"/>
              </w:rPr>
            </w:pPr>
            <w:r>
              <w:rPr>
                <w:rFonts w:hint="eastAsia"/>
                <w:color w:val="000000"/>
                <w:kern w:val="0"/>
                <w:sz w:val="18"/>
                <w:szCs w:val="18"/>
              </w:rPr>
              <w:t>对违反城市供水发展规划及其年度计划兴建城市供水工程的处罚</w:t>
            </w:r>
          </w:p>
        </w:tc>
      </w:tr>
      <w:tr w14:paraId="66C0439D">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46F8B5EC">
            <w:pPr>
              <w:spacing w:line="30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673B6881">
            <w:pPr>
              <w:spacing w:line="300" w:lineRule="exact"/>
              <w:jc w:val="left"/>
              <w:rPr>
                <w:color w:val="000000"/>
                <w:kern w:val="0"/>
                <w:sz w:val="18"/>
                <w:szCs w:val="18"/>
              </w:rPr>
            </w:pPr>
            <w:r>
              <w:rPr>
                <w:rFonts w:hint="eastAsia"/>
                <w:color w:val="000000"/>
                <w:kern w:val="0"/>
                <w:sz w:val="18"/>
                <w:szCs w:val="18"/>
              </w:rPr>
              <w:t>【行政法规】《城市供水条例》（国务院令第</w:t>
            </w:r>
            <w:r>
              <w:rPr>
                <w:color w:val="000000"/>
                <w:kern w:val="0"/>
                <w:sz w:val="18"/>
                <w:szCs w:val="18"/>
              </w:rPr>
              <w:t>158</w:t>
            </w:r>
            <w:r>
              <w:rPr>
                <w:rFonts w:hint="eastAsia"/>
                <w:color w:val="000000"/>
                <w:kern w:val="0"/>
                <w:sz w:val="18"/>
                <w:szCs w:val="18"/>
              </w:rPr>
              <w:t>号，国务院令第</w:t>
            </w:r>
            <w:r>
              <w:rPr>
                <w:color w:val="000000"/>
                <w:kern w:val="0"/>
                <w:sz w:val="18"/>
                <w:szCs w:val="18"/>
              </w:rPr>
              <w:t>726</w:t>
            </w:r>
            <w:r>
              <w:rPr>
                <w:rFonts w:hint="eastAsia"/>
                <w:color w:val="000000"/>
                <w:kern w:val="0"/>
                <w:sz w:val="18"/>
                <w:szCs w:val="18"/>
              </w:rPr>
              <w:t>号修改）</w:t>
            </w:r>
          </w:p>
          <w:p w14:paraId="5888EC74">
            <w:pPr>
              <w:spacing w:line="300" w:lineRule="exact"/>
              <w:jc w:val="left"/>
              <w:rPr>
                <w:color w:val="000000"/>
                <w:kern w:val="0"/>
                <w:sz w:val="18"/>
                <w:szCs w:val="18"/>
              </w:rPr>
            </w:pPr>
            <w:r>
              <w:rPr>
                <w:rFonts w:hint="eastAsia"/>
                <w:color w:val="000000"/>
                <w:kern w:val="0"/>
                <w:sz w:val="18"/>
                <w:szCs w:val="18"/>
              </w:rPr>
              <w:t>第十五条</w:t>
            </w:r>
            <w:r>
              <w:rPr>
                <w:color w:val="000000"/>
                <w:kern w:val="0"/>
                <w:sz w:val="18"/>
                <w:szCs w:val="18"/>
              </w:rPr>
              <w:t xml:space="preserve"> </w:t>
            </w:r>
            <w:r>
              <w:rPr>
                <w:rFonts w:hint="eastAsia"/>
                <w:color w:val="000000"/>
                <w:kern w:val="0"/>
                <w:sz w:val="18"/>
                <w:szCs w:val="18"/>
              </w:rPr>
              <w:t>城市供水工程的建设，应当按照城市供水发展规划及其年度建设计划进行。</w:t>
            </w:r>
          </w:p>
          <w:p w14:paraId="43F2AB0D">
            <w:pPr>
              <w:spacing w:line="300" w:lineRule="exact"/>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违反本条例规定，有下列行为之一的，由城市行政主管部门责令停止违法行为，可以处以罚款；对负有直接责任的主管人员和其他责任人员，其所在单位或者上级机关可以给予行政处分：</w:t>
            </w:r>
            <w:r>
              <w:rPr>
                <w:color w:val="000000"/>
                <w:kern w:val="0"/>
                <w:sz w:val="18"/>
                <w:szCs w:val="18"/>
              </w:rPr>
              <w:t xml:space="preserve"> </w:t>
            </w:r>
          </w:p>
          <w:p w14:paraId="622944B6">
            <w:pPr>
              <w:spacing w:line="3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（三）违反城市供水发展规划及其年度计划兴建城市供水工程的。</w:t>
            </w:r>
          </w:p>
        </w:tc>
      </w:tr>
      <w:tr w14:paraId="6E1F044E">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3163F966">
            <w:pPr>
              <w:spacing w:line="30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22C56799">
            <w:pPr>
              <w:spacing w:line="300" w:lineRule="exact"/>
              <w:jc w:val="left"/>
              <w:rPr>
                <w:color w:val="000000"/>
                <w:kern w:val="0"/>
                <w:sz w:val="18"/>
                <w:szCs w:val="18"/>
              </w:rPr>
            </w:pPr>
            <w:r>
              <w:rPr>
                <w:rFonts w:hint="eastAsia"/>
                <w:color w:val="000000"/>
                <w:kern w:val="0"/>
                <w:sz w:val="18"/>
                <w:szCs w:val="18"/>
              </w:rPr>
              <w:t>罚款</w:t>
            </w:r>
          </w:p>
        </w:tc>
      </w:tr>
      <w:tr w14:paraId="06FAE101">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623B1A9F">
            <w:pPr>
              <w:spacing w:line="300" w:lineRule="exact"/>
              <w:jc w:val="center"/>
              <w:rPr>
                <w:color w:val="000000"/>
                <w:kern w:val="0"/>
                <w:sz w:val="18"/>
                <w:szCs w:val="18"/>
              </w:rPr>
            </w:pPr>
            <w:r>
              <w:rPr>
                <w:rFonts w:hint="eastAsia"/>
                <w:color w:val="000000"/>
                <w:kern w:val="0"/>
                <w:sz w:val="18"/>
                <w:szCs w:val="18"/>
              </w:rPr>
              <w:t>裁量基准</w:t>
            </w:r>
          </w:p>
        </w:tc>
      </w:tr>
      <w:tr w14:paraId="6FEBD4E0">
        <w:tblPrEx>
          <w:tblCellMar>
            <w:top w:w="0" w:type="dxa"/>
            <w:left w:w="108" w:type="dxa"/>
            <w:bottom w:w="0" w:type="dxa"/>
            <w:right w:w="108" w:type="dxa"/>
          </w:tblCellMar>
        </w:tblPrEx>
        <w:trPr>
          <w:gridAfter w:val="1"/>
          <w:wAfter w:w="14" w:type="dxa"/>
          <w:trHeight w:val="322" w:hRule="atLeast"/>
        </w:trPr>
        <w:tc>
          <w:tcPr>
            <w:tcW w:w="996" w:type="dxa"/>
            <w:vMerge w:val="restart"/>
            <w:tcBorders>
              <w:top w:val="nil"/>
              <w:left w:val="single" w:color="auto" w:sz="8" w:space="0"/>
              <w:right w:val="single" w:color="auto" w:sz="4" w:space="0"/>
            </w:tcBorders>
            <w:vAlign w:val="center"/>
          </w:tcPr>
          <w:p w14:paraId="66E15AB5">
            <w:pPr>
              <w:spacing w:line="30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2EAB2B67">
            <w:pPr>
              <w:spacing w:line="30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color="auto" w:sz="4" w:space="0"/>
              <w:right w:val="single" w:color="auto" w:sz="4" w:space="0"/>
            </w:tcBorders>
            <w:vAlign w:val="center"/>
          </w:tcPr>
          <w:p w14:paraId="0CE0127B">
            <w:pPr>
              <w:spacing w:line="30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46629CAE">
            <w:pPr>
              <w:spacing w:line="300" w:lineRule="exact"/>
              <w:jc w:val="left"/>
              <w:rPr>
                <w:color w:val="000000"/>
                <w:kern w:val="0"/>
                <w:sz w:val="18"/>
                <w:szCs w:val="18"/>
              </w:rPr>
            </w:pPr>
            <w:r>
              <w:rPr>
                <w:rFonts w:hint="eastAsia"/>
                <w:color w:val="000000"/>
                <w:kern w:val="0"/>
                <w:sz w:val="18"/>
                <w:szCs w:val="18"/>
              </w:rPr>
              <w:t>不予罚款</w:t>
            </w:r>
          </w:p>
        </w:tc>
      </w:tr>
      <w:tr w14:paraId="71A8F9EE">
        <w:tblPrEx>
          <w:tblCellMar>
            <w:top w:w="0" w:type="dxa"/>
            <w:left w:w="108" w:type="dxa"/>
            <w:bottom w:w="0" w:type="dxa"/>
            <w:right w:w="108" w:type="dxa"/>
          </w:tblCellMar>
        </w:tblPrEx>
        <w:trPr>
          <w:gridAfter w:val="1"/>
          <w:wAfter w:w="14" w:type="dxa"/>
          <w:trHeight w:val="397" w:hRule="atLeast"/>
        </w:trPr>
        <w:tc>
          <w:tcPr>
            <w:tcW w:w="996" w:type="dxa"/>
            <w:vMerge w:val="continue"/>
            <w:tcBorders>
              <w:left w:val="single" w:color="auto" w:sz="8" w:space="0"/>
              <w:bottom w:val="single" w:color="auto" w:sz="4" w:space="0"/>
              <w:right w:val="single" w:color="auto" w:sz="4" w:space="0"/>
            </w:tcBorders>
            <w:vAlign w:val="center"/>
          </w:tcPr>
          <w:p w14:paraId="0DC087BB">
            <w:pPr>
              <w:spacing w:line="30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371F588F">
            <w:pPr>
              <w:spacing w:line="300" w:lineRule="exact"/>
              <w:jc w:val="left"/>
              <w:rPr>
                <w:color w:val="000000"/>
                <w:kern w:val="0"/>
                <w:sz w:val="18"/>
                <w:szCs w:val="18"/>
              </w:rPr>
            </w:pPr>
            <w:r>
              <w:rPr>
                <w:rFonts w:hint="eastAsia"/>
                <w:color w:val="000000"/>
                <w:kern w:val="0"/>
                <w:sz w:val="18"/>
                <w:szCs w:val="18"/>
              </w:rPr>
              <w:t>未按照要求改正的</w:t>
            </w:r>
          </w:p>
        </w:tc>
        <w:tc>
          <w:tcPr>
            <w:tcW w:w="1139" w:type="dxa"/>
            <w:vMerge w:val="continue"/>
            <w:tcBorders>
              <w:left w:val="single" w:color="auto" w:sz="4" w:space="0"/>
              <w:bottom w:val="single" w:color="auto" w:sz="4" w:space="0"/>
              <w:right w:val="single" w:color="auto" w:sz="4" w:space="0"/>
            </w:tcBorders>
            <w:vAlign w:val="center"/>
          </w:tcPr>
          <w:p w14:paraId="155BEBC3">
            <w:pPr>
              <w:spacing w:line="30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059F730F">
            <w:pPr>
              <w:spacing w:line="300" w:lineRule="exact"/>
              <w:jc w:val="left"/>
              <w:rPr>
                <w:color w:val="000000"/>
                <w:kern w:val="0"/>
                <w:sz w:val="18"/>
                <w:szCs w:val="18"/>
              </w:rPr>
            </w:pPr>
            <w:r>
              <w:rPr>
                <w:rFonts w:hint="eastAsia"/>
                <w:color w:val="000000"/>
                <w:kern w:val="0"/>
                <w:sz w:val="18"/>
                <w:szCs w:val="18"/>
              </w:rPr>
              <w:t>处以罚款</w:t>
            </w:r>
          </w:p>
        </w:tc>
      </w:tr>
    </w:tbl>
    <w:p w14:paraId="06DFE2C5">
      <w:pPr>
        <w:spacing w:line="300" w:lineRule="exact"/>
      </w:pPr>
    </w:p>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749F2CE5">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28362ECA">
            <w:pPr>
              <w:spacing w:line="30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0594328F">
            <w:pPr>
              <w:spacing w:line="300" w:lineRule="exact"/>
              <w:jc w:val="left"/>
              <w:rPr>
                <w:b/>
                <w:color w:val="000000"/>
                <w:kern w:val="0"/>
                <w:sz w:val="18"/>
                <w:szCs w:val="18"/>
              </w:rPr>
            </w:pPr>
            <w:r>
              <w:rPr>
                <w:b/>
                <w:color w:val="000000"/>
                <w:kern w:val="0"/>
                <w:sz w:val="18"/>
                <w:szCs w:val="18"/>
              </w:rPr>
              <w:t>320217602000</w:t>
            </w:r>
          </w:p>
        </w:tc>
      </w:tr>
      <w:tr w14:paraId="469C9609">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FD25F48">
            <w:pPr>
              <w:spacing w:line="30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0EE7B1E4">
            <w:pPr>
              <w:spacing w:line="300" w:lineRule="exact"/>
              <w:jc w:val="left"/>
              <w:rPr>
                <w:color w:val="000000"/>
                <w:kern w:val="0"/>
                <w:sz w:val="18"/>
                <w:szCs w:val="18"/>
              </w:rPr>
            </w:pPr>
            <w:r>
              <w:rPr>
                <w:rFonts w:hint="eastAsia"/>
                <w:color w:val="000000"/>
                <w:kern w:val="0"/>
                <w:sz w:val="18"/>
                <w:szCs w:val="18"/>
              </w:rPr>
              <w:t>对履带车、铁轮车或者超重、超高、超长车辆擅自在城市道路上行驶的处罚</w:t>
            </w:r>
          </w:p>
        </w:tc>
      </w:tr>
      <w:tr w14:paraId="0020F2BD">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2D3B9DEC">
            <w:pPr>
              <w:spacing w:line="30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507B810E">
            <w:pPr>
              <w:spacing w:line="30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第二十七条　城市道路范围内禁止下列行为：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（二）履带车、铁轮车或者超重、超高、超长车辆擅自在城市道路上行驶；</w:t>
            </w:r>
            <w:r>
              <w:rPr>
                <w:color w:val="000000"/>
                <w:kern w:val="0"/>
                <w:sz w:val="18"/>
                <w:szCs w:val="18"/>
              </w:rPr>
              <w:br w:type="textWrapping"/>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14:paraId="0715ED8A">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65565B2">
            <w:pPr>
              <w:spacing w:line="30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4CA1E831">
            <w:pPr>
              <w:spacing w:line="300" w:lineRule="exact"/>
              <w:jc w:val="left"/>
              <w:rPr>
                <w:color w:val="000000"/>
                <w:kern w:val="0"/>
                <w:sz w:val="18"/>
                <w:szCs w:val="18"/>
              </w:rPr>
            </w:pPr>
            <w:r>
              <w:rPr>
                <w:rFonts w:hint="eastAsia"/>
                <w:color w:val="000000"/>
                <w:kern w:val="0"/>
                <w:sz w:val="18"/>
                <w:szCs w:val="18"/>
              </w:rPr>
              <w:t>罚款</w:t>
            </w:r>
          </w:p>
        </w:tc>
      </w:tr>
      <w:tr w14:paraId="34F38E9B">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3B101C30">
            <w:pPr>
              <w:spacing w:line="300" w:lineRule="exact"/>
              <w:jc w:val="center"/>
              <w:rPr>
                <w:color w:val="000000"/>
                <w:kern w:val="0"/>
                <w:sz w:val="18"/>
                <w:szCs w:val="18"/>
              </w:rPr>
            </w:pPr>
            <w:r>
              <w:rPr>
                <w:rFonts w:hint="eastAsia"/>
                <w:color w:val="000000"/>
                <w:kern w:val="0"/>
                <w:sz w:val="18"/>
                <w:szCs w:val="18"/>
              </w:rPr>
              <w:t>裁量基准</w:t>
            </w:r>
          </w:p>
        </w:tc>
      </w:tr>
      <w:tr w14:paraId="549F941F">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7E47A69D">
            <w:pPr>
              <w:spacing w:line="30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CC0E12B">
            <w:pPr>
              <w:spacing w:line="30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color="auto" w:sz="4" w:space="0"/>
              <w:right w:val="single" w:color="auto" w:sz="4" w:space="0"/>
            </w:tcBorders>
            <w:vAlign w:val="center"/>
          </w:tcPr>
          <w:p w14:paraId="264BAB9F">
            <w:pPr>
              <w:spacing w:line="30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38D03C8A">
            <w:pPr>
              <w:spacing w:line="30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元以下罚款</w:t>
            </w:r>
          </w:p>
        </w:tc>
      </w:tr>
      <w:tr w14:paraId="0957EAE6">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right w:val="single" w:color="auto" w:sz="4" w:space="0"/>
            </w:tcBorders>
            <w:vAlign w:val="center"/>
          </w:tcPr>
          <w:p w14:paraId="44268475">
            <w:pPr>
              <w:spacing w:line="30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B5644C6">
            <w:pPr>
              <w:spacing w:line="30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top w:val="nil"/>
              <w:left w:val="single" w:color="auto" w:sz="4" w:space="0"/>
              <w:right w:val="single" w:color="auto" w:sz="4" w:space="0"/>
            </w:tcBorders>
            <w:vAlign w:val="center"/>
          </w:tcPr>
          <w:p w14:paraId="236D73C9">
            <w:pPr>
              <w:spacing w:line="30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A4C8C35">
            <w:pPr>
              <w:spacing w:line="30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元以上5000元以下罚款</w:t>
            </w:r>
          </w:p>
        </w:tc>
      </w:tr>
      <w:tr w14:paraId="0CA6D726">
        <w:tblPrEx>
          <w:tblCellMar>
            <w:top w:w="0" w:type="dxa"/>
            <w:left w:w="108" w:type="dxa"/>
            <w:bottom w:w="0" w:type="dxa"/>
            <w:right w:w="108" w:type="dxa"/>
          </w:tblCellMar>
        </w:tblPrEx>
        <w:trPr>
          <w:trHeight w:val="330" w:hRule="atLeast"/>
        </w:trPr>
        <w:tc>
          <w:tcPr>
            <w:tcW w:w="1070" w:type="dxa"/>
            <w:vMerge w:val="continue"/>
            <w:tcBorders>
              <w:left w:val="single" w:color="auto" w:sz="8" w:space="0"/>
              <w:right w:val="single" w:color="auto" w:sz="4" w:space="0"/>
            </w:tcBorders>
            <w:vAlign w:val="center"/>
          </w:tcPr>
          <w:p w14:paraId="349D7C11">
            <w:pPr>
              <w:spacing w:line="30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3B0568E">
            <w:pPr>
              <w:spacing w:line="30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continue"/>
            <w:tcBorders>
              <w:left w:val="single" w:color="auto" w:sz="4" w:space="0"/>
              <w:right w:val="single" w:color="auto" w:sz="4" w:space="0"/>
            </w:tcBorders>
            <w:vAlign w:val="center"/>
          </w:tcPr>
          <w:p w14:paraId="2F894D1F">
            <w:pPr>
              <w:spacing w:line="30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F6C503D">
            <w:pPr>
              <w:spacing w:line="30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65CDE8AD">
        <w:tblPrEx>
          <w:tblCellMar>
            <w:top w:w="0" w:type="dxa"/>
            <w:left w:w="108" w:type="dxa"/>
            <w:bottom w:w="0" w:type="dxa"/>
            <w:right w:w="108" w:type="dxa"/>
          </w:tblCellMar>
        </w:tblPrEx>
        <w:trPr>
          <w:trHeight w:val="295" w:hRule="atLeast"/>
        </w:trPr>
        <w:tc>
          <w:tcPr>
            <w:tcW w:w="1070" w:type="dxa"/>
            <w:vMerge w:val="continue"/>
            <w:tcBorders>
              <w:left w:val="single" w:color="auto" w:sz="8" w:space="0"/>
              <w:bottom w:val="single" w:color="auto" w:sz="4" w:space="0"/>
              <w:right w:val="single" w:color="auto" w:sz="4" w:space="0"/>
            </w:tcBorders>
            <w:vAlign w:val="center"/>
          </w:tcPr>
          <w:p w14:paraId="6060EC07">
            <w:pPr>
              <w:spacing w:line="30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C72ADEB">
            <w:pPr>
              <w:spacing w:line="30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4C42E3B7">
            <w:pPr>
              <w:spacing w:line="300" w:lineRule="exact"/>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168D9F63">
            <w:pPr>
              <w:spacing w:line="30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3FCE3459"/>
    <w:p w14:paraId="5771AFA4"/>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61E04918">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BBA2E00">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47E32094">
            <w:pPr>
              <w:spacing w:line="320" w:lineRule="exact"/>
              <w:jc w:val="left"/>
              <w:rPr>
                <w:b/>
                <w:color w:val="000000"/>
                <w:kern w:val="0"/>
                <w:sz w:val="18"/>
                <w:szCs w:val="18"/>
              </w:rPr>
            </w:pPr>
            <w:r>
              <w:rPr>
                <w:b/>
                <w:color w:val="000000"/>
                <w:kern w:val="0"/>
                <w:sz w:val="18"/>
                <w:szCs w:val="18"/>
              </w:rPr>
              <w:t>320217603000</w:t>
            </w:r>
            <w:r>
              <w:rPr>
                <w:rFonts w:hint="eastAsia"/>
                <w:b/>
                <w:color w:val="000000"/>
                <w:kern w:val="0"/>
                <w:sz w:val="18"/>
                <w:szCs w:val="18"/>
              </w:rPr>
              <w:t xml:space="preserve"> </w:t>
            </w:r>
          </w:p>
        </w:tc>
      </w:tr>
      <w:tr w14:paraId="36225E43">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A507A09">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1268FDF7">
            <w:pPr>
              <w:spacing w:line="320" w:lineRule="exact"/>
              <w:jc w:val="left"/>
              <w:rPr>
                <w:color w:val="000000"/>
                <w:kern w:val="0"/>
                <w:sz w:val="18"/>
                <w:szCs w:val="18"/>
              </w:rPr>
            </w:pPr>
            <w:r>
              <w:rPr>
                <w:rFonts w:hint="eastAsia"/>
                <w:color w:val="000000"/>
                <w:kern w:val="0"/>
                <w:sz w:val="18"/>
                <w:szCs w:val="18"/>
              </w:rPr>
              <w:t>对占用城市道路期满或者挖掘城市道路后，不及时清理现场的处罚</w:t>
            </w:r>
          </w:p>
        </w:tc>
      </w:tr>
      <w:tr w14:paraId="64C4E600">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7FFE6420">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5886BCDC">
            <w:pPr>
              <w:jc w:val="left"/>
              <w:rPr>
                <w:rFonts w:eastAsia="仿宋_GB2312"/>
                <w:color w:val="000000"/>
                <w:sz w:val="20"/>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第三十一条第二款　经批准临时占用城市道路的，不得损坏城市道路；占用期满后，应当及时清理占用现场，恢复城市道路原状；损坏城市道路的，应当修复或者给予赔偿。</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（三）占用城市道路期满或者挖掘城市道路后，不及时清理现场的</w:t>
            </w:r>
            <w:r>
              <w:rPr>
                <w:rFonts w:hint="eastAsia" w:eastAsia="仿宋_GB2312"/>
                <w:color w:val="000000"/>
                <w:sz w:val="20"/>
              </w:rPr>
              <w:t>；</w:t>
            </w:r>
          </w:p>
        </w:tc>
      </w:tr>
      <w:tr w14:paraId="0D44BBD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E6D75F5">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2D83AB15">
            <w:pPr>
              <w:spacing w:line="320" w:lineRule="exact"/>
              <w:jc w:val="left"/>
              <w:rPr>
                <w:color w:val="000000"/>
                <w:kern w:val="0"/>
                <w:sz w:val="18"/>
                <w:szCs w:val="18"/>
              </w:rPr>
            </w:pPr>
            <w:r>
              <w:rPr>
                <w:rFonts w:hint="eastAsia"/>
                <w:color w:val="000000"/>
                <w:kern w:val="0"/>
                <w:sz w:val="18"/>
                <w:szCs w:val="18"/>
              </w:rPr>
              <w:t>罚款</w:t>
            </w:r>
          </w:p>
        </w:tc>
      </w:tr>
      <w:tr w14:paraId="296E30BA">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3766670B">
            <w:pPr>
              <w:spacing w:line="320" w:lineRule="exact"/>
              <w:jc w:val="center"/>
              <w:rPr>
                <w:color w:val="000000"/>
                <w:kern w:val="0"/>
                <w:sz w:val="18"/>
                <w:szCs w:val="18"/>
              </w:rPr>
            </w:pPr>
            <w:r>
              <w:rPr>
                <w:rFonts w:hint="eastAsia"/>
                <w:color w:val="000000"/>
                <w:kern w:val="0"/>
                <w:sz w:val="18"/>
                <w:szCs w:val="18"/>
              </w:rPr>
              <w:t>裁量基准</w:t>
            </w:r>
          </w:p>
        </w:tc>
      </w:tr>
      <w:tr w14:paraId="5CBC9253">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049E7D5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A088CF5">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color="auto" w:sz="4" w:space="0"/>
              <w:right w:val="single" w:color="auto" w:sz="4" w:space="0"/>
            </w:tcBorders>
            <w:vAlign w:val="center"/>
          </w:tcPr>
          <w:p w14:paraId="24381F61">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561A3EED">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元以下罚款</w:t>
            </w:r>
          </w:p>
        </w:tc>
      </w:tr>
      <w:tr w14:paraId="5F4CFEBC">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right w:val="single" w:color="auto" w:sz="4" w:space="0"/>
            </w:tcBorders>
            <w:vAlign w:val="center"/>
          </w:tcPr>
          <w:p w14:paraId="1C55FE00">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F239888">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top w:val="nil"/>
              <w:left w:val="single" w:color="auto" w:sz="4" w:space="0"/>
              <w:right w:val="single" w:color="auto" w:sz="4" w:space="0"/>
            </w:tcBorders>
            <w:vAlign w:val="center"/>
          </w:tcPr>
          <w:p w14:paraId="021D658B">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438ED5D">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元以上5000元以下罚款</w:t>
            </w:r>
          </w:p>
        </w:tc>
      </w:tr>
      <w:tr w14:paraId="4B7DE417">
        <w:tblPrEx>
          <w:tblCellMar>
            <w:top w:w="0" w:type="dxa"/>
            <w:left w:w="108" w:type="dxa"/>
            <w:bottom w:w="0" w:type="dxa"/>
            <w:right w:w="108" w:type="dxa"/>
          </w:tblCellMar>
        </w:tblPrEx>
        <w:trPr>
          <w:trHeight w:val="330" w:hRule="atLeast"/>
        </w:trPr>
        <w:tc>
          <w:tcPr>
            <w:tcW w:w="1070" w:type="dxa"/>
            <w:vMerge w:val="continue"/>
            <w:tcBorders>
              <w:left w:val="single" w:color="auto" w:sz="8" w:space="0"/>
              <w:right w:val="single" w:color="auto" w:sz="4" w:space="0"/>
            </w:tcBorders>
            <w:vAlign w:val="center"/>
          </w:tcPr>
          <w:p w14:paraId="7A7CF6D8">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CCD1082">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continue"/>
            <w:tcBorders>
              <w:left w:val="single" w:color="auto" w:sz="4" w:space="0"/>
              <w:right w:val="single" w:color="auto" w:sz="4" w:space="0"/>
            </w:tcBorders>
            <w:vAlign w:val="center"/>
          </w:tcPr>
          <w:p w14:paraId="58DC3D4B">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187A45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2BF1EAB4">
        <w:tblPrEx>
          <w:tblCellMar>
            <w:top w:w="0" w:type="dxa"/>
            <w:left w:w="108" w:type="dxa"/>
            <w:bottom w:w="0" w:type="dxa"/>
            <w:right w:w="108" w:type="dxa"/>
          </w:tblCellMar>
        </w:tblPrEx>
        <w:trPr>
          <w:trHeight w:val="295" w:hRule="atLeast"/>
        </w:trPr>
        <w:tc>
          <w:tcPr>
            <w:tcW w:w="1070" w:type="dxa"/>
            <w:vMerge w:val="continue"/>
            <w:tcBorders>
              <w:left w:val="single" w:color="auto" w:sz="8" w:space="0"/>
              <w:bottom w:val="single" w:color="auto" w:sz="4" w:space="0"/>
              <w:right w:val="single" w:color="auto" w:sz="4" w:space="0"/>
            </w:tcBorders>
            <w:vAlign w:val="center"/>
          </w:tcPr>
          <w:p w14:paraId="56E21DB9">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3F8C2D2">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559012B8">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45EE611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3D50C00B"/>
    <w:p w14:paraId="41394EB0"/>
    <w:p w14:paraId="3EEF799B"/>
    <w:p w14:paraId="4B371D33"/>
    <w:p w14:paraId="785E21E9"/>
    <w:p w14:paraId="6E83E785"/>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5BB916B0">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30E2F5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1988B08B">
            <w:pPr>
              <w:spacing w:line="320" w:lineRule="exact"/>
              <w:jc w:val="left"/>
              <w:rPr>
                <w:rFonts w:eastAsia="仿宋_GB2312"/>
                <w:b/>
                <w:bCs/>
                <w:color w:val="000000"/>
                <w:kern w:val="0"/>
                <w:sz w:val="18"/>
                <w:szCs w:val="18"/>
              </w:rPr>
            </w:pPr>
            <w:r>
              <w:rPr>
                <w:rFonts w:eastAsia="仿宋_GB2312"/>
                <w:b/>
                <w:bCs/>
                <w:color w:val="000000"/>
                <w:kern w:val="0"/>
                <w:sz w:val="18"/>
                <w:szCs w:val="18"/>
              </w:rPr>
              <w:t>320217604000</w:t>
            </w:r>
            <w:r>
              <w:rPr>
                <w:rFonts w:hint="eastAsia" w:eastAsia="仿宋_GB2312"/>
                <w:b/>
                <w:bCs/>
                <w:color w:val="000000"/>
                <w:kern w:val="0"/>
                <w:sz w:val="18"/>
                <w:szCs w:val="18"/>
              </w:rPr>
              <w:t xml:space="preserve"> </w:t>
            </w:r>
          </w:p>
        </w:tc>
      </w:tr>
      <w:tr w14:paraId="7E15543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C64A63E">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59BE329B">
            <w:pPr>
              <w:spacing w:line="320" w:lineRule="exact"/>
              <w:jc w:val="left"/>
              <w:rPr>
                <w:color w:val="000000"/>
                <w:kern w:val="0"/>
                <w:sz w:val="18"/>
                <w:szCs w:val="18"/>
              </w:rPr>
            </w:pPr>
            <w:r>
              <w:rPr>
                <w:rFonts w:hint="eastAsia"/>
                <w:color w:val="000000"/>
                <w:kern w:val="0"/>
                <w:sz w:val="18"/>
                <w:szCs w:val="18"/>
              </w:rPr>
              <w:t>对房地产经纪机构擅自对外发布房源信息的处罚</w:t>
            </w:r>
          </w:p>
        </w:tc>
      </w:tr>
      <w:tr w14:paraId="21992837">
        <w:tblPrEx>
          <w:tblCellMar>
            <w:top w:w="0" w:type="dxa"/>
            <w:left w:w="108" w:type="dxa"/>
            <w:bottom w:w="0" w:type="dxa"/>
            <w:right w:w="108" w:type="dxa"/>
          </w:tblCellMar>
        </w:tblPrEx>
        <w:trPr>
          <w:trHeight w:val="1365" w:hRule="atLeast"/>
        </w:trPr>
        <w:tc>
          <w:tcPr>
            <w:tcW w:w="1010" w:type="dxa"/>
            <w:tcBorders>
              <w:top w:val="nil"/>
              <w:left w:val="single" w:color="auto" w:sz="8" w:space="0"/>
              <w:bottom w:val="single" w:color="auto" w:sz="4" w:space="0"/>
              <w:right w:val="single" w:color="auto" w:sz="4" w:space="0"/>
            </w:tcBorders>
            <w:vAlign w:val="center"/>
          </w:tcPr>
          <w:p w14:paraId="3F50C34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116A717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61487229">
            <w:pPr>
              <w:spacing w:line="320" w:lineRule="exact"/>
              <w:jc w:val="left"/>
              <w:rPr>
                <w:color w:val="000000"/>
                <w:kern w:val="0"/>
                <w:sz w:val="18"/>
                <w:szCs w:val="18"/>
              </w:rPr>
            </w:pPr>
            <w:r>
              <w:rPr>
                <w:rFonts w:hint="eastAsia"/>
                <w:color w:val="000000"/>
                <w:kern w:val="0"/>
                <w:sz w:val="18"/>
                <w:szCs w:val="18"/>
              </w:rPr>
              <w:t>第二十二条第一款</w:t>
            </w:r>
            <w:r>
              <w:rPr>
                <w:color w:val="000000"/>
                <w:kern w:val="0"/>
                <w:sz w:val="18"/>
                <w:szCs w:val="18"/>
              </w:rPr>
              <w:t xml:space="preserve">  </w:t>
            </w:r>
            <w:r>
              <w:rPr>
                <w:rFonts w:hint="eastAsia"/>
                <w:color w:val="000000"/>
                <w:kern w:val="0"/>
                <w:sz w:val="18"/>
                <w:szCs w:val="18"/>
              </w:rPr>
              <w:t>房地产经纪机构与委托人签订房屋出售、出租经纪服务合同，应当查看委托出售、出租的房屋及房屋权属证书，委托人的身份证明等有关资料，并应当编制房屋状况说明书。经委托人书面同意后，方可以对外发布相应的房源信息。</w:t>
            </w:r>
          </w:p>
          <w:p w14:paraId="5FAC409A">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违反本办法第二十二条，房地产经纪机构擅自对外发布房源信息的，由县级以上地方人民政府建设（房地产）主管部门责令限期改正，记入信用档案，取消网上签约资格，并处以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10300FE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34112B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0BC3361A">
            <w:pPr>
              <w:spacing w:line="320" w:lineRule="exact"/>
              <w:jc w:val="left"/>
              <w:rPr>
                <w:color w:val="000000"/>
                <w:kern w:val="0"/>
                <w:sz w:val="18"/>
                <w:szCs w:val="18"/>
              </w:rPr>
            </w:pPr>
            <w:r>
              <w:rPr>
                <w:rFonts w:hint="eastAsia"/>
                <w:color w:val="000000"/>
                <w:kern w:val="0"/>
                <w:sz w:val="18"/>
                <w:szCs w:val="18"/>
              </w:rPr>
              <w:t>罚款</w:t>
            </w:r>
          </w:p>
        </w:tc>
      </w:tr>
      <w:tr w14:paraId="561D0554">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44AC97E0">
            <w:pPr>
              <w:spacing w:line="320" w:lineRule="exact"/>
              <w:jc w:val="center"/>
              <w:rPr>
                <w:color w:val="000000"/>
                <w:kern w:val="0"/>
                <w:sz w:val="18"/>
                <w:szCs w:val="18"/>
              </w:rPr>
            </w:pPr>
            <w:r>
              <w:rPr>
                <w:rFonts w:hint="eastAsia"/>
                <w:color w:val="000000"/>
                <w:kern w:val="0"/>
                <w:sz w:val="18"/>
                <w:szCs w:val="18"/>
              </w:rPr>
              <w:t>裁量基准</w:t>
            </w:r>
          </w:p>
        </w:tc>
      </w:tr>
      <w:tr w14:paraId="28585664">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6D3223C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C5E1221">
            <w:pPr>
              <w:spacing w:line="320" w:lineRule="exact"/>
              <w:jc w:val="left"/>
              <w:rPr>
                <w:color w:val="000000"/>
                <w:kern w:val="0"/>
                <w:sz w:val="18"/>
                <w:szCs w:val="18"/>
              </w:rPr>
            </w:pPr>
            <w:r>
              <w:rPr>
                <w:rFonts w:hint="eastAsia"/>
                <w:color w:val="000000"/>
                <w:kern w:val="0"/>
                <w:sz w:val="18"/>
                <w:szCs w:val="18"/>
              </w:rPr>
              <w:t>按照要求整改的</w:t>
            </w:r>
          </w:p>
        </w:tc>
        <w:tc>
          <w:tcPr>
            <w:tcW w:w="1000" w:type="dxa"/>
            <w:vMerge w:val="restart"/>
            <w:tcBorders>
              <w:top w:val="nil"/>
              <w:left w:val="single" w:color="auto" w:sz="4" w:space="0"/>
              <w:bottom w:val="single" w:color="auto" w:sz="4" w:space="0"/>
              <w:right w:val="single" w:color="auto" w:sz="4" w:space="0"/>
            </w:tcBorders>
            <w:vAlign w:val="center"/>
          </w:tcPr>
          <w:p w14:paraId="1C0E9AF0">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796F9A2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7D14A2BE">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7D07D05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5DE0BC1">
            <w:pPr>
              <w:spacing w:line="320" w:lineRule="exact"/>
              <w:jc w:val="left"/>
              <w:rPr>
                <w:color w:val="000000"/>
                <w:kern w:val="0"/>
                <w:sz w:val="18"/>
                <w:szCs w:val="18"/>
              </w:rPr>
            </w:pPr>
            <w:r>
              <w:rPr>
                <w:rFonts w:hint="eastAsia"/>
                <w:color w:val="000000"/>
                <w:kern w:val="0"/>
                <w:sz w:val="18"/>
                <w:szCs w:val="18"/>
              </w:rPr>
              <w:t>未按照要求整改的</w:t>
            </w:r>
          </w:p>
        </w:tc>
        <w:tc>
          <w:tcPr>
            <w:tcW w:w="1000" w:type="dxa"/>
            <w:vMerge w:val="continue"/>
            <w:tcBorders>
              <w:top w:val="nil"/>
              <w:left w:val="single" w:color="auto" w:sz="4" w:space="0"/>
              <w:bottom w:val="single" w:color="auto" w:sz="4" w:space="0"/>
              <w:right w:val="single" w:color="auto" w:sz="4" w:space="0"/>
            </w:tcBorders>
            <w:vAlign w:val="center"/>
          </w:tcPr>
          <w:p w14:paraId="4FDC089D">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46FFAA7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172AD6F8"/>
    <w:p w14:paraId="15FC2845"/>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2CE96729">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4BF5C6C8">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5A3F38A0">
            <w:pPr>
              <w:spacing w:line="320" w:lineRule="exact"/>
              <w:jc w:val="left"/>
              <w:rPr>
                <w:rFonts w:eastAsia="仿宋_GB2312"/>
                <w:b/>
                <w:bCs/>
                <w:color w:val="000000"/>
                <w:kern w:val="0"/>
                <w:sz w:val="18"/>
                <w:szCs w:val="18"/>
              </w:rPr>
            </w:pPr>
            <w:r>
              <w:rPr>
                <w:rFonts w:eastAsia="仿宋_GB2312"/>
                <w:b/>
                <w:bCs/>
                <w:color w:val="000000"/>
                <w:kern w:val="0"/>
                <w:sz w:val="18"/>
                <w:szCs w:val="18"/>
              </w:rPr>
              <w:t>320217605000</w:t>
            </w:r>
          </w:p>
        </w:tc>
      </w:tr>
      <w:tr w14:paraId="72433F0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9CFCFA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58C89DAE">
            <w:pPr>
              <w:spacing w:line="320" w:lineRule="exact"/>
              <w:jc w:val="left"/>
              <w:rPr>
                <w:color w:val="000000"/>
                <w:kern w:val="0"/>
                <w:sz w:val="18"/>
                <w:szCs w:val="18"/>
              </w:rPr>
            </w:pPr>
            <w:r>
              <w:rPr>
                <w:rFonts w:hint="eastAsia"/>
                <w:color w:val="000000"/>
                <w:kern w:val="0"/>
                <w:sz w:val="18"/>
                <w:szCs w:val="18"/>
              </w:rPr>
              <w:t>对房地产经纪机构擅自划转客户交易结算资金的处罚</w:t>
            </w:r>
          </w:p>
        </w:tc>
      </w:tr>
      <w:tr w14:paraId="4B29B9DB">
        <w:tblPrEx>
          <w:tblCellMar>
            <w:top w:w="0" w:type="dxa"/>
            <w:left w:w="108" w:type="dxa"/>
            <w:bottom w:w="0" w:type="dxa"/>
            <w:right w:w="108" w:type="dxa"/>
          </w:tblCellMar>
        </w:tblPrEx>
        <w:trPr>
          <w:trHeight w:val="1575" w:hRule="atLeast"/>
        </w:trPr>
        <w:tc>
          <w:tcPr>
            <w:tcW w:w="1010" w:type="dxa"/>
            <w:tcBorders>
              <w:top w:val="nil"/>
              <w:left w:val="single" w:color="auto" w:sz="8" w:space="0"/>
              <w:bottom w:val="single" w:color="auto" w:sz="4" w:space="0"/>
              <w:right w:val="single" w:color="auto" w:sz="4" w:space="0"/>
            </w:tcBorders>
            <w:vAlign w:val="center"/>
          </w:tcPr>
          <w:p w14:paraId="1C011FA9">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6550D0D2">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14:paraId="28CCF100">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房地产交易当事人约定由房地产经纪机构代收代付交易资金的，应当通过房地产经纪机构在银行开设的客户交易结算资金专用存款账户划转交易资金。</w:t>
            </w:r>
          </w:p>
          <w:p w14:paraId="0F7B0545">
            <w:pPr>
              <w:spacing w:line="320" w:lineRule="exact"/>
              <w:jc w:val="left"/>
              <w:rPr>
                <w:color w:val="000000"/>
                <w:kern w:val="0"/>
                <w:sz w:val="18"/>
                <w:szCs w:val="18"/>
              </w:rPr>
            </w:pPr>
            <w:r>
              <w:rPr>
                <w:rFonts w:hint="eastAsia"/>
                <w:color w:val="000000"/>
                <w:kern w:val="0"/>
                <w:sz w:val="18"/>
                <w:szCs w:val="18"/>
              </w:rPr>
              <w:t>交易资金的划转应当经过房地产交易资金支付方和房地产经纪机构的签字和盖章。</w:t>
            </w:r>
          </w:p>
          <w:p w14:paraId="1B4B729C">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违反本办法第二十四条，房地产经纪机构擅自划转客户交易结算资金的，由县级以上地方人民政府建设（房地产）主管部门责令限期改正，取消网上签约资格，处以</w:t>
            </w:r>
            <w:r>
              <w:rPr>
                <w:color w:val="000000"/>
                <w:kern w:val="0"/>
                <w:sz w:val="18"/>
                <w:szCs w:val="18"/>
              </w:rPr>
              <w:t>3</w:t>
            </w:r>
            <w:r>
              <w:rPr>
                <w:rFonts w:hint="eastAsia"/>
                <w:color w:val="000000"/>
                <w:kern w:val="0"/>
                <w:sz w:val="18"/>
                <w:szCs w:val="18"/>
              </w:rPr>
              <w:t>万元罚款。</w:t>
            </w:r>
          </w:p>
        </w:tc>
      </w:tr>
      <w:tr w14:paraId="6F0356F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A3FDAE2">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6467FEF7">
            <w:pPr>
              <w:spacing w:line="320" w:lineRule="exact"/>
              <w:jc w:val="left"/>
              <w:rPr>
                <w:color w:val="000000"/>
                <w:kern w:val="0"/>
                <w:sz w:val="18"/>
                <w:szCs w:val="18"/>
              </w:rPr>
            </w:pPr>
            <w:r>
              <w:rPr>
                <w:rFonts w:hint="eastAsia"/>
                <w:color w:val="000000"/>
                <w:kern w:val="0"/>
                <w:sz w:val="18"/>
                <w:szCs w:val="18"/>
              </w:rPr>
              <w:t>罚款</w:t>
            </w:r>
          </w:p>
        </w:tc>
      </w:tr>
      <w:tr w14:paraId="1EBBCBA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28EF994">
            <w:pPr>
              <w:spacing w:line="320" w:lineRule="exact"/>
              <w:jc w:val="center"/>
              <w:rPr>
                <w:color w:val="000000"/>
                <w:kern w:val="0"/>
                <w:sz w:val="18"/>
                <w:szCs w:val="18"/>
              </w:rPr>
            </w:pPr>
            <w:r>
              <w:rPr>
                <w:rFonts w:hint="eastAsia"/>
                <w:color w:val="000000"/>
                <w:kern w:val="0"/>
                <w:sz w:val="18"/>
                <w:szCs w:val="18"/>
              </w:rPr>
              <w:t>裁量基准</w:t>
            </w:r>
          </w:p>
        </w:tc>
      </w:tr>
      <w:tr w14:paraId="117322B0">
        <w:tblPrEx>
          <w:tblCellMar>
            <w:top w:w="0" w:type="dxa"/>
            <w:left w:w="108" w:type="dxa"/>
            <w:bottom w:w="0" w:type="dxa"/>
            <w:right w:w="108" w:type="dxa"/>
          </w:tblCellMar>
        </w:tblPrEx>
        <w:trPr>
          <w:trHeight w:val="252" w:hRule="atLeast"/>
        </w:trPr>
        <w:tc>
          <w:tcPr>
            <w:tcW w:w="1010" w:type="dxa"/>
            <w:tcBorders>
              <w:top w:val="nil"/>
              <w:left w:val="single" w:color="auto" w:sz="8" w:space="0"/>
              <w:bottom w:val="single" w:color="auto" w:sz="4" w:space="0"/>
              <w:right w:val="single" w:color="auto" w:sz="4" w:space="0"/>
            </w:tcBorders>
            <w:vAlign w:val="center"/>
          </w:tcPr>
          <w:p w14:paraId="082B346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36E6CCD">
            <w:pPr>
              <w:spacing w:line="320" w:lineRule="exact"/>
              <w:jc w:val="left"/>
              <w:rPr>
                <w:color w:val="000000"/>
                <w:kern w:val="0"/>
                <w:sz w:val="18"/>
                <w:szCs w:val="18"/>
              </w:rPr>
            </w:pPr>
          </w:p>
        </w:tc>
        <w:tc>
          <w:tcPr>
            <w:tcW w:w="1000" w:type="dxa"/>
            <w:tcBorders>
              <w:top w:val="nil"/>
              <w:left w:val="single" w:color="auto" w:sz="4" w:space="0"/>
              <w:bottom w:val="single" w:color="auto" w:sz="4" w:space="0"/>
              <w:right w:val="single" w:color="auto" w:sz="4" w:space="0"/>
            </w:tcBorders>
            <w:vAlign w:val="center"/>
          </w:tcPr>
          <w:p w14:paraId="440733CA">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2A8B99A7">
            <w:pPr>
              <w:spacing w:line="320" w:lineRule="exact"/>
              <w:jc w:val="left"/>
              <w:rPr>
                <w:color w:val="000000"/>
                <w:kern w:val="0"/>
                <w:sz w:val="18"/>
                <w:szCs w:val="18"/>
              </w:rPr>
            </w:pPr>
          </w:p>
        </w:tc>
      </w:tr>
    </w:tbl>
    <w:p w14:paraId="65D909C1"/>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6140"/>
        <w:gridCol w:w="1106"/>
        <w:gridCol w:w="5714"/>
      </w:tblGrid>
      <w:tr w14:paraId="0992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69A9EEE2">
            <w:pPr>
              <w:rPr>
                <w:color w:val="000000"/>
              </w:rPr>
            </w:pPr>
            <w:r>
              <w:rPr>
                <w:rFonts w:hint="eastAsia"/>
                <w:color w:val="000000"/>
              </w:rPr>
              <w:t>编号</w:t>
            </w:r>
          </w:p>
        </w:tc>
        <w:tc>
          <w:tcPr>
            <w:tcW w:w="12960" w:type="dxa"/>
            <w:gridSpan w:val="3"/>
            <w:vAlign w:val="center"/>
          </w:tcPr>
          <w:p w14:paraId="64FCBF31">
            <w:pPr>
              <w:rPr>
                <w:b/>
                <w:bCs/>
                <w:color w:val="000000"/>
              </w:rPr>
            </w:pPr>
            <w:r>
              <w:rPr>
                <w:b/>
                <w:bCs/>
                <w:color w:val="000000"/>
              </w:rPr>
              <w:t>320217606000</w:t>
            </w:r>
          </w:p>
        </w:tc>
      </w:tr>
      <w:tr w14:paraId="7C96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1D125789">
            <w:pPr>
              <w:rPr>
                <w:color w:val="000000"/>
              </w:rPr>
            </w:pPr>
            <w:r>
              <w:rPr>
                <w:rFonts w:hint="eastAsia"/>
                <w:color w:val="000000"/>
              </w:rPr>
              <w:t>行为名称</w:t>
            </w:r>
          </w:p>
        </w:tc>
        <w:tc>
          <w:tcPr>
            <w:tcW w:w="12960" w:type="dxa"/>
            <w:gridSpan w:val="3"/>
            <w:vAlign w:val="center"/>
          </w:tcPr>
          <w:p w14:paraId="4CB2C3F4">
            <w:pPr>
              <w:rPr>
                <w:color w:val="000000"/>
              </w:rPr>
            </w:pPr>
            <w:r>
              <w:rPr>
                <w:rFonts w:hint="eastAsia"/>
                <w:color w:val="000000"/>
              </w:rPr>
              <w:t>对依法应当公开招标的项目不按照规定在指定媒介发布资格预审公告或者招标公告的处罚</w:t>
            </w:r>
          </w:p>
        </w:tc>
      </w:tr>
      <w:tr w14:paraId="3280D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70" w:type="dxa"/>
            <w:vAlign w:val="center"/>
          </w:tcPr>
          <w:p w14:paraId="7B0BA5D5">
            <w:pPr>
              <w:rPr>
                <w:color w:val="000000"/>
              </w:rPr>
            </w:pPr>
            <w:r>
              <w:rPr>
                <w:rFonts w:hint="eastAsia"/>
                <w:color w:val="000000"/>
              </w:rPr>
              <w:t>法律依据</w:t>
            </w:r>
          </w:p>
        </w:tc>
        <w:tc>
          <w:tcPr>
            <w:tcW w:w="12960" w:type="dxa"/>
            <w:gridSpan w:val="3"/>
            <w:vAlign w:val="center"/>
          </w:tcPr>
          <w:p w14:paraId="6F1F22C9">
            <w:pPr>
              <w:spacing w:line="320" w:lineRule="exact"/>
              <w:jc w:val="left"/>
              <w:rPr>
                <w:color w:val="000000"/>
                <w:kern w:val="0"/>
                <w:sz w:val="18"/>
                <w:szCs w:val="18"/>
              </w:rPr>
            </w:pPr>
            <w:r>
              <w:rPr>
                <w:color w:val="000000"/>
              </w:rPr>
              <w:t xml:space="preserve">  </w:t>
            </w:r>
            <w:r>
              <w:rPr>
                <w:rFonts w:hint="eastAsia"/>
                <w:color w:val="000000"/>
                <w:kern w:val="0"/>
                <w:sz w:val="18"/>
                <w:szCs w:val="18"/>
              </w:rPr>
              <w:t>【法律】《中华人民共和国招标投标法》</w:t>
            </w:r>
          </w:p>
          <w:p w14:paraId="70B4177A">
            <w:pPr>
              <w:spacing w:line="320" w:lineRule="exact"/>
              <w:jc w:val="left"/>
              <w:rPr>
                <w:color w:val="000000"/>
                <w:kern w:val="0"/>
                <w:sz w:val="18"/>
                <w:szCs w:val="18"/>
              </w:rPr>
            </w:pPr>
            <w:r>
              <w:rPr>
                <w:rFonts w:hint="eastAsia"/>
                <w:color w:val="000000"/>
                <w:kern w:val="0"/>
                <w:sz w:val="18"/>
                <w:szCs w:val="18"/>
              </w:rPr>
              <w:t>第十六条</w:t>
            </w:r>
            <w:r>
              <w:rPr>
                <w:color w:val="000000"/>
                <w:kern w:val="0"/>
                <w:sz w:val="18"/>
                <w:szCs w:val="18"/>
              </w:rPr>
              <w:t xml:space="preserve">  </w:t>
            </w:r>
            <w:r>
              <w:rPr>
                <w:rFonts w:hint="eastAsia"/>
                <w:color w:val="000000"/>
                <w:kern w:val="0"/>
                <w:sz w:val="18"/>
                <w:szCs w:val="18"/>
              </w:rPr>
              <w:t>招标人采用公开招标方式的，应当发布招标公告。依法必须进行招标的项目的招标公告，应当通过国家指定的报刊、信息网络或者其他媒介发布。</w:t>
            </w:r>
          </w:p>
          <w:p w14:paraId="48B81B54">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第五十一条</w:t>
            </w:r>
            <w:r>
              <w:rPr>
                <w:color w:val="000000"/>
                <w:kern w:val="0"/>
                <w:sz w:val="18"/>
                <w:szCs w:val="18"/>
              </w:rPr>
              <w:t xml:space="preserve">  </w:t>
            </w:r>
            <w:r>
              <w:rPr>
                <w:rFonts w:hint="eastAsia"/>
                <w:color w:val="000000"/>
                <w:kern w:val="0"/>
                <w:sz w:val="18"/>
                <w:szCs w:val="18"/>
              </w:rPr>
              <w:t>招标人以不合理的条件限制或者排斥潜在投标人的，对潜在投标人实行歧视待遇的，强制要求投标人组成联合体共同投标的，或者限制投标人之间竞争的，责令改正，可以处一万元以上五万元以下的罚款。</w:t>
            </w:r>
          </w:p>
          <w:p w14:paraId="4BC3C6A7">
            <w:pPr>
              <w:spacing w:line="320" w:lineRule="exact"/>
              <w:jc w:val="left"/>
              <w:rPr>
                <w:color w:val="000000"/>
                <w:kern w:val="0"/>
                <w:sz w:val="18"/>
                <w:szCs w:val="18"/>
              </w:rPr>
            </w:pPr>
            <w:r>
              <w:rPr>
                <w:rFonts w:hint="eastAsia"/>
                <w:color w:val="000000"/>
                <w:kern w:val="0"/>
                <w:sz w:val="18"/>
                <w:szCs w:val="18"/>
              </w:rPr>
              <w:t>【行政法规】《中华人民共和国招标投标法实施条例》（国务院令第</w:t>
            </w:r>
            <w:r>
              <w:rPr>
                <w:color w:val="000000"/>
                <w:kern w:val="0"/>
                <w:sz w:val="18"/>
                <w:szCs w:val="18"/>
              </w:rPr>
              <w:t>613</w:t>
            </w:r>
            <w:r>
              <w:rPr>
                <w:rFonts w:hint="eastAsia"/>
                <w:color w:val="000000"/>
                <w:kern w:val="0"/>
                <w:sz w:val="18"/>
                <w:szCs w:val="18"/>
              </w:rPr>
              <w:t>号）</w:t>
            </w:r>
          </w:p>
          <w:p w14:paraId="5AE290F3">
            <w:pPr>
              <w:spacing w:line="320" w:lineRule="exact"/>
              <w:jc w:val="left"/>
              <w:rPr>
                <w:color w:val="000000"/>
                <w:kern w:val="0"/>
                <w:sz w:val="18"/>
                <w:szCs w:val="18"/>
              </w:rPr>
            </w:pPr>
            <w:r>
              <w:rPr>
                <w:rFonts w:hint="eastAsia"/>
                <w:color w:val="000000"/>
                <w:kern w:val="0"/>
                <w:sz w:val="18"/>
                <w:szCs w:val="18"/>
              </w:rPr>
              <w:t>第十五条　公开招标的项目，应当依照招标投标法和本条例的规定发布招标公告、编制招标文件。</w:t>
            </w:r>
          </w:p>
          <w:p w14:paraId="6594192F">
            <w:pPr>
              <w:spacing w:line="320" w:lineRule="exact"/>
              <w:jc w:val="left"/>
              <w:rPr>
                <w:color w:val="000000"/>
                <w:kern w:val="0"/>
                <w:sz w:val="18"/>
                <w:szCs w:val="18"/>
              </w:rPr>
            </w:pPr>
            <w:r>
              <w:rPr>
                <w:rFonts w:hint="eastAsia"/>
                <w:color w:val="000000"/>
                <w:kern w:val="0"/>
                <w:sz w:val="18"/>
                <w:szCs w:val="18"/>
              </w:rPr>
              <w:t>招标人采用资格预审办法对潜在投标人进行资格审查的，应当发布资格预审公告、编制资格预审文件。</w:t>
            </w:r>
          </w:p>
          <w:p w14:paraId="3565B5FF">
            <w:pPr>
              <w:spacing w:line="320" w:lineRule="exact"/>
              <w:jc w:val="left"/>
              <w:rPr>
                <w:color w:val="000000"/>
                <w:kern w:val="0"/>
                <w:sz w:val="18"/>
                <w:szCs w:val="18"/>
              </w:rPr>
            </w:pPr>
            <w:r>
              <w:rPr>
                <w:rFonts w:hint="eastAsia"/>
                <w:color w:val="000000"/>
                <w:kern w:val="0"/>
                <w:sz w:val="18"/>
                <w:szCs w:val="18"/>
              </w:rPr>
              <w:t>依法必须进行招标的项目的资格预审公告和招标公告，应当在国务院发展改革部门依法指定的媒介发布。在不同媒介发布的同一招标项目的资格预审公告或者招标公告的内容应当一致。</w:t>
            </w:r>
          </w:p>
          <w:p w14:paraId="234AFE83">
            <w:pPr>
              <w:spacing w:line="320" w:lineRule="exact"/>
              <w:jc w:val="left"/>
              <w:rPr>
                <w:color w:val="000000"/>
                <w:kern w:val="0"/>
                <w:sz w:val="18"/>
                <w:szCs w:val="18"/>
              </w:rPr>
            </w:pPr>
            <w:r>
              <w:rPr>
                <w:rFonts w:hint="eastAsia"/>
                <w:color w:val="000000"/>
                <w:kern w:val="0"/>
                <w:sz w:val="18"/>
                <w:szCs w:val="18"/>
              </w:rPr>
              <w:t>第六十三条　招标人有下列限制或者排斥潜在投标人行为之一的，由有关行政监督部门依照招标投标法第五十一条的规定处罚：</w:t>
            </w:r>
          </w:p>
          <w:p w14:paraId="46D52271">
            <w:pPr>
              <w:spacing w:line="320" w:lineRule="exact"/>
              <w:jc w:val="left"/>
              <w:rPr>
                <w:color w:val="000000"/>
                <w:kern w:val="0"/>
                <w:sz w:val="18"/>
                <w:szCs w:val="18"/>
              </w:rPr>
            </w:pPr>
            <w:r>
              <w:rPr>
                <w:rFonts w:hint="eastAsia"/>
                <w:color w:val="000000"/>
                <w:kern w:val="0"/>
                <w:sz w:val="18"/>
                <w:szCs w:val="18"/>
              </w:rPr>
              <w:t>（一）依法应当公开招标的项目不按照规定在指定媒介发布资格预审公告或者招标公告；</w:t>
            </w:r>
          </w:p>
          <w:p w14:paraId="317C14DD">
            <w:pPr>
              <w:spacing w:line="320" w:lineRule="exact"/>
              <w:jc w:val="left"/>
              <w:rPr>
                <w:color w:val="000000"/>
                <w:kern w:val="0"/>
                <w:sz w:val="18"/>
                <w:szCs w:val="18"/>
              </w:rPr>
            </w:pPr>
            <w:r>
              <w:rPr>
                <w:rFonts w:hint="eastAsia"/>
                <w:color w:val="000000"/>
                <w:kern w:val="0"/>
                <w:sz w:val="18"/>
                <w:szCs w:val="18"/>
              </w:rPr>
              <w:t>【规章】《招标公告发布暂行办法》（国家发展计划委令第</w:t>
            </w:r>
            <w:r>
              <w:rPr>
                <w:color w:val="000000"/>
                <w:kern w:val="0"/>
                <w:sz w:val="18"/>
                <w:szCs w:val="18"/>
              </w:rPr>
              <w:t>4</w:t>
            </w:r>
            <w:r>
              <w:rPr>
                <w:rFonts w:hint="eastAsia"/>
                <w:color w:val="000000"/>
                <w:kern w:val="0"/>
                <w:sz w:val="18"/>
                <w:szCs w:val="18"/>
              </w:rPr>
              <w:t>号，</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p>
          <w:p w14:paraId="76F0517B">
            <w:pPr>
              <w:spacing w:line="320" w:lineRule="exact"/>
              <w:jc w:val="left"/>
              <w:rPr>
                <w:color w:val="000000"/>
                <w:kern w:val="0"/>
                <w:sz w:val="18"/>
                <w:szCs w:val="18"/>
              </w:rPr>
            </w:pPr>
            <w:r>
              <w:rPr>
                <w:rFonts w:hint="eastAsia"/>
                <w:color w:val="000000"/>
                <w:kern w:val="0"/>
                <w:sz w:val="18"/>
                <w:szCs w:val="18"/>
              </w:rPr>
              <w:t>第十六条　招标人或其委托的招标代理机构有下列行为之一的，由国家发展改革委和有关行政监督部门视情节依照《中华人民共和国招标投标法》第四十九条、第五十一条的规定处罚：（一）依法必须公开招标的项目不按照规定在指定媒介发布招标公告的；</w:t>
            </w:r>
          </w:p>
          <w:p w14:paraId="3C7A86F0">
            <w:pPr>
              <w:spacing w:line="320" w:lineRule="exact"/>
              <w:jc w:val="left"/>
              <w:rPr>
                <w:color w:val="000000"/>
                <w:kern w:val="0"/>
                <w:sz w:val="18"/>
                <w:szCs w:val="18"/>
              </w:rPr>
            </w:pPr>
            <w:r>
              <w:rPr>
                <w:rFonts w:hint="eastAsia"/>
                <w:color w:val="000000"/>
                <w:kern w:val="0"/>
                <w:sz w:val="18"/>
                <w:szCs w:val="18"/>
              </w:rPr>
              <w:t>【规章】《招标公告和公示信息发布管理办法》（国家发改委令第</w:t>
            </w:r>
            <w:r>
              <w:rPr>
                <w:color w:val="000000"/>
                <w:kern w:val="0"/>
                <w:sz w:val="18"/>
                <w:szCs w:val="18"/>
              </w:rPr>
              <w:t>10</w:t>
            </w:r>
            <w:r>
              <w:rPr>
                <w:rFonts w:hint="eastAsia"/>
                <w:color w:val="000000"/>
                <w:kern w:val="0"/>
                <w:sz w:val="18"/>
                <w:szCs w:val="18"/>
              </w:rPr>
              <w:t>号）</w:t>
            </w:r>
          </w:p>
          <w:p w14:paraId="0F54327D">
            <w:pPr>
              <w:spacing w:line="320" w:lineRule="exact"/>
              <w:jc w:val="left"/>
              <w:rPr>
                <w:color w:val="000000"/>
                <w:kern w:val="0"/>
                <w:sz w:val="18"/>
                <w:szCs w:val="18"/>
              </w:rPr>
            </w:pPr>
            <w:r>
              <w:rPr>
                <w:rFonts w:hint="eastAsia"/>
                <w:color w:val="000000"/>
                <w:kern w:val="0"/>
                <w:sz w:val="18"/>
                <w:szCs w:val="18"/>
              </w:rPr>
              <w:t>第十八条　招标人或其招标代理机构有下列行为之一的，由有关行政监督部门责令改正，并视情节依照《中华人民共和国招标投标法》第四十九条、第五十一条的规定处罚：</w:t>
            </w:r>
          </w:p>
          <w:p w14:paraId="3B619A7E">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依法必须公开招标的项目不按照规定在发布媒介发布招标公告和公示信息；</w:t>
            </w:r>
          </w:p>
          <w:p w14:paraId="09048D9C">
            <w:pPr>
              <w:spacing w:line="320" w:lineRule="exact"/>
              <w:jc w:val="left"/>
              <w:rPr>
                <w:color w:val="000000"/>
                <w:kern w:val="0"/>
                <w:sz w:val="18"/>
                <w:szCs w:val="18"/>
              </w:rPr>
            </w:pP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【规章】《工程建设项目施工招标投标办法》（国家发展和改革委员会、工业和信息化部、财政部、住房和城乡建设部、交通运输部、铁道部、水利部、国家广播电影电视总局、中国民用航空局令第</w:t>
            </w:r>
            <w:r>
              <w:rPr>
                <w:color w:val="000000"/>
                <w:kern w:val="0"/>
                <w:sz w:val="18"/>
                <w:szCs w:val="18"/>
              </w:rPr>
              <w:t>30</w:t>
            </w:r>
            <w:r>
              <w:rPr>
                <w:rFonts w:hint="eastAsia"/>
                <w:color w:val="000000"/>
                <w:kern w:val="0"/>
                <w:sz w:val="18"/>
                <w:szCs w:val="18"/>
              </w:rPr>
              <w:t>号，根据</w:t>
            </w:r>
            <w:r>
              <w:rPr>
                <w:color w:val="000000"/>
                <w:kern w:val="0"/>
                <w:sz w:val="18"/>
                <w:szCs w:val="18"/>
              </w:rPr>
              <w:t>2013</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11</w:t>
            </w:r>
            <w:r>
              <w:rPr>
                <w:rFonts w:hint="eastAsia"/>
                <w:color w:val="000000"/>
                <w:kern w:val="0"/>
                <w:sz w:val="18"/>
                <w:szCs w:val="18"/>
              </w:rPr>
              <w:t>日《关于废止和修改部分招标投标规章和规范性文件的决定》</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p>
          <w:p w14:paraId="30A1DE06">
            <w:pPr>
              <w:spacing w:line="320" w:lineRule="exact"/>
              <w:jc w:val="left"/>
              <w:rPr>
                <w:color w:val="000000"/>
                <w:kern w:val="0"/>
                <w:sz w:val="18"/>
                <w:szCs w:val="18"/>
              </w:rPr>
            </w:pPr>
            <w:r>
              <w:rPr>
                <w:rFonts w:hint="eastAsia"/>
                <w:color w:val="000000"/>
                <w:kern w:val="0"/>
                <w:sz w:val="18"/>
                <w:szCs w:val="18"/>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p>
          <w:p w14:paraId="0E65C01A">
            <w:pPr>
              <w:spacing w:line="320" w:lineRule="exact"/>
              <w:jc w:val="left"/>
              <w:rPr>
                <w:color w:val="000000"/>
              </w:rPr>
            </w:pPr>
            <w:r>
              <w:rPr>
                <w:color w:val="000000"/>
                <w:kern w:val="0"/>
                <w:sz w:val="18"/>
                <w:szCs w:val="18"/>
              </w:rPr>
              <w:t xml:space="preserve">   </w:t>
            </w:r>
            <w:r>
              <w:rPr>
                <w:rFonts w:hint="eastAsia"/>
                <w:color w:val="000000"/>
                <w:kern w:val="0"/>
                <w:sz w:val="18"/>
                <w:szCs w:val="18"/>
              </w:rPr>
              <w:t>（一）依法应当公开招标的项目不按照规定在指定媒介发布资格预审公告或者招标公告；</w:t>
            </w:r>
          </w:p>
        </w:tc>
      </w:tr>
      <w:tr w14:paraId="62B90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1070" w:type="dxa"/>
            <w:vAlign w:val="center"/>
          </w:tcPr>
          <w:p w14:paraId="7E1398D1">
            <w:pPr>
              <w:rPr>
                <w:color w:val="000000"/>
              </w:rPr>
            </w:pPr>
          </w:p>
        </w:tc>
        <w:tc>
          <w:tcPr>
            <w:tcW w:w="12960" w:type="dxa"/>
            <w:gridSpan w:val="3"/>
            <w:vAlign w:val="center"/>
          </w:tcPr>
          <w:p w14:paraId="48981D78">
            <w:pPr>
              <w:spacing w:line="320" w:lineRule="exact"/>
              <w:jc w:val="left"/>
              <w:rPr>
                <w:color w:val="000000"/>
                <w:kern w:val="0"/>
                <w:sz w:val="18"/>
                <w:szCs w:val="18"/>
              </w:rPr>
            </w:pPr>
            <w:r>
              <w:rPr>
                <w:rFonts w:hint="eastAsia"/>
                <w:color w:val="000000"/>
                <w:kern w:val="0"/>
                <w:sz w:val="18"/>
                <w:szCs w:val="18"/>
              </w:rPr>
              <w:t>【规章】《工程建设项目勘察设计招标投标办法》（国家发展和改革委员会、工业和信息化部、财政部、住房和城乡建设部、交通运输部、铁道部、水利部、国家广播电影电视总局、中国民用航空局令第</w:t>
            </w:r>
            <w:r>
              <w:rPr>
                <w:color w:val="000000"/>
                <w:kern w:val="0"/>
                <w:sz w:val="18"/>
                <w:szCs w:val="18"/>
              </w:rPr>
              <w:t>2</w:t>
            </w:r>
            <w:r>
              <w:rPr>
                <w:rFonts w:hint="eastAsia"/>
                <w:color w:val="000000"/>
                <w:kern w:val="0"/>
                <w:sz w:val="18"/>
                <w:szCs w:val="18"/>
              </w:rPr>
              <w:t>号，已根据《关于废止和修改部分招标投标规章和规范性文件的决定》修改）</w:t>
            </w:r>
          </w:p>
          <w:p w14:paraId="30A5152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第五十条　招标人有下列限制或者排斥潜在投标人行为之一的，由有关行政监督部门依照招标投标法第五十一条的规定处罚；其中，构成依法必须进行勘察设计招标的项目的招标人规避招标的，依照招标投标法第四十九条的规定处罚：（一）依法必须公开招标的项目不按照规定在指定媒介发布资格预审公告或者招标公告；</w:t>
            </w:r>
          </w:p>
          <w:p w14:paraId="6AB1FFFC">
            <w:pPr>
              <w:spacing w:line="320" w:lineRule="exact"/>
              <w:jc w:val="left"/>
              <w:rPr>
                <w:color w:val="000000"/>
              </w:rPr>
            </w:pPr>
            <w:r>
              <w:rPr>
                <w:rFonts w:hint="eastAsia"/>
                <w:color w:val="000000"/>
                <w:kern w:val="0"/>
                <w:sz w:val="18"/>
                <w:szCs w:val="18"/>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w:t>
            </w:r>
            <w:r>
              <w:rPr>
                <w:color w:val="000000"/>
                <w:kern w:val="0"/>
                <w:sz w:val="18"/>
                <w:szCs w:val="18"/>
              </w:rPr>
              <w:t>2005</w:t>
            </w:r>
            <w:r>
              <w:rPr>
                <w:rFonts w:hint="eastAsia"/>
                <w:color w:val="000000"/>
                <w:kern w:val="0"/>
                <w:sz w:val="18"/>
                <w:szCs w:val="18"/>
              </w:rPr>
              <w:t>〕第</w:t>
            </w:r>
            <w:r>
              <w:rPr>
                <w:color w:val="000000"/>
                <w:kern w:val="0"/>
                <w:sz w:val="18"/>
                <w:szCs w:val="18"/>
              </w:rPr>
              <w:t>27</w:t>
            </w:r>
            <w:r>
              <w:rPr>
                <w:rFonts w:hint="eastAsia"/>
                <w:color w:val="000000"/>
                <w:kern w:val="0"/>
                <w:sz w:val="18"/>
                <w:szCs w:val="18"/>
              </w:rPr>
              <w:t>号令，根据</w:t>
            </w:r>
            <w:r>
              <w:rPr>
                <w:color w:val="000000"/>
                <w:kern w:val="0"/>
                <w:sz w:val="18"/>
                <w:szCs w:val="18"/>
              </w:rPr>
              <w:t>2013</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11</w:t>
            </w:r>
            <w:r>
              <w:rPr>
                <w:rFonts w:hint="eastAsia"/>
                <w:color w:val="000000"/>
                <w:kern w:val="0"/>
                <w:sz w:val="18"/>
                <w:szCs w:val="18"/>
              </w:rPr>
              <w:t>日《关于废止和修改部分招标投标规章和规范性文件的决定》</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p>
        </w:tc>
      </w:tr>
      <w:tr w14:paraId="362D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Align w:val="center"/>
          </w:tcPr>
          <w:p w14:paraId="292141EA">
            <w:pPr>
              <w:rPr>
                <w:color w:val="000000"/>
              </w:rPr>
            </w:pPr>
            <w:r>
              <w:rPr>
                <w:rFonts w:hint="eastAsia"/>
                <w:color w:val="000000"/>
              </w:rPr>
              <w:t>行使内容</w:t>
            </w:r>
          </w:p>
        </w:tc>
        <w:tc>
          <w:tcPr>
            <w:tcW w:w="12960" w:type="dxa"/>
            <w:gridSpan w:val="3"/>
            <w:vAlign w:val="center"/>
          </w:tcPr>
          <w:p w14:paraId="2A9174DC">
            <w:pPr>
              <w:rPr>
                <w:color w:val="000000"/>
              </w:rPr>
            </w:pPr>
            <w:r>
              <w:rPr>
                <w:rFonts w:hint="eastAsia"/>
                <w:color w:val="000000"/>
              </w:rPr>
              <w:t>罚款</w:t>
            </w:r>
          </w:p>
        </w:tc>
      </w:tr>
      <w:tr w14:paraId="2B86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vAlign w:val="center"/>
          </w:tcPr>
          <w:p w14:paraId="163FB4CC">
            <w:pPr>
              <w:jc w:val="center"/>
              <w:rPr>
                <w:color w:val="000000"/>
              </w:rPr>
            </w:pPr>
            <w:r>
              <w:rPr>
                <w:rFonts w:hint="eastAsia"/>
                <w:color w:val="000000"/>
              </w:rPr>
              <w:t>裁量基准</w:t>
            </w:r>
          </w:p>
        </w:tc>
      </w:tr>
      <w:tr w14:paraId="03FF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Merge w:val="restart"/>
            <w:vAlign w:val="center"/>
          </w:tcPr>
          <w:p w14:paraId="3827D9D6">
            <w:pPr>
              <w:rPr>
                <w:color w:val="000000"/>
              </w:rPr>
            </w:pPr>
            <w:r>
              <w:rPr>
                <w:rFonts w:hint="eastAsia"/>
                <w:color w:val="000000"/>
              </w:rPr>
              <w:t>情形描述</w:t>
            </w:r>
          </w:p>
        </w:tc>
        <w:tc>
          <w:tcPr>
            <w:tcW w:w="6140" w:type="dxa"/>
            <w:vAlign w:val="center"/>
          </w:tcPr>
          <w:p w14:paraId="46AA4CF4">
            <w:pPr>
              <w:rPr>
                <w:color w:val="000000"/>
              </w:rPr>
            </w:pPr>
            <w:r>
              <w:rPr>
                <w:rFonts w:hint="eastAsia"/>
                <w:color w:val="000000"/>
              </w:rPr>
              <w:t>不按照规定在指定媒介发布资格预审公告或者招标公告，积极改正的</w:t>
            </w:r>
          </w:p>
        </w:tc>
        <w:tc>
          <w:tcPr>
            <w:tcW w:w="1106" w:type="dxa"/>
            <w:vMerge w:val="restart"/>
            <w:vAlign w:val="center"/>
          </w:tcPr>
          <w:p w14:paraId="234E5BC9">
            <w:pPr>
              <w:rPr>
                <w:color w:val="000000"/>
              </w:rPr>
            </w:pPr>
            <w:r>
              <w:rPr>
                <w:rFonts w:hint="eastAsia"/>
                <w:color w:val="000000"/>
              </w:rPr>
              <w:t>裁量幅度</w:t>
            </w:r>
          </w:p>
        </w:tc>
        <w:tc>
          <w:tcPr>
            <w:tcW w:w="5714" w:type="dxa"/>
            <w:vAlign w:val="center"/>
          </w:tcPr>
          <w:p w14:paraId="3A5A916D">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14:paraId="32B6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70" w:type="dxa"/>
            <w:vMerge w:val="continue"/>
            <w:vAlign w:val="center"/>
          </w:tcPr>
          <w:p w14:paraId="01E7704A">
            <w:pPr>
              <w:rPr>
                <w:color w:val="000000"/>
              </w:rPr>
            </w:pPr>
          </w:p>
        </w:tc>
        <w:tc>
          <w:tcPr>
            <w:tcW w:w="6140" w:type="dxa"/>
            <w:vAlign w:val="center"/>
          </w:tcPr>
          <w:p w14:paraId="7AE6D948">
            <w:pPr>
              <w:rPr>
                <w:color w:val="000000"/>
              </w:rPr>
            </w:pPr>
            <w:r>
              <w:rPr>
                <w:rFonts w:hint="eastAsia"/>
                <w:color w:val="000000"/>
              </w:rPr>
              <w:t>不按照规定在指定媒介发布资格预审公告或者招标公告，拒不改正的</w:t>
            </w:r>
          </w:p>
        </w:tc>
        <w:tc>
          <w:tcPr>
            <w:tcW w:w="1106" w:type="dxa"/>
            <w:vMerge w:val="continue"/>
            <w:vAlign w:val="center"/>
          </w:tcPr>
          <w:p w14:paraId="5A2E8C27">
            <w:pPr>
              <w:rPr>
                <w:color w:val="000000"/>
              </w:rPr>
            </w:pPr>
          </w:p>
        </w:tc>
        <w:tc>
          <w:tcPr>
            <w:tcW w:w="5714" w:type="dxa"/>
            <w:vAlign w:val="center"/>
          </w:tcPr>
          <w:p w14:paraId="0FA43DD2">
            <w:pPr>
              <w:rPr>
                <w:color w:val="000000"/>
              </w:rPr>
            </w:pPr>
            <w:r>
              <w:rPr>
                <w:rFonts w:hint="eastAsia"/>
                <w:color w:val="000000"/>
              </w:rPr>
              <w:t>处</w:t>
            </w:r>
            <w:r>
              <w:rPr>
                <w:color w:val="000000"/>
              </w:rPr>
              <w:t>2</w:t>
            </w:r>
            <w:r>
              <w:rPr>
                <w:rFonts w:hint="eastAsia"/>
                <w:color w:val="000000"/>
              </w:rPr>
              <w:t>万元以上，</w:t>
            </w:r>
            <w:r>
              <w:rPr>
                <w:color w:val="000000"/>
              </w:rPr>
              <w:t>5</w:t>
            </w:r>
            <w:r>
              <w:rPr>
                <w:rFonts w:hint="eastAsia"/>
                <w:color w:val="000000"/>
              </w:rPr>
              <w:t>万元以下罚款</w:t>
            </w:r>
          </w:p>
        </w:tc>
      </w:tr>
    </w:tbl>
    <w:p w14:paraId="5274C619"/>
    <w:p w14:paraId="7DB52383"/>
    <w:p w14:paraId="2353EF12"/>
    <w:p w14:paraId="38E636AD"/>
    <w:p w14:paraId="5935EB15"/>
    <w:p w14:paraId="2F5BE2FC"/>
    <w:p w14:paraId="09C53212"/>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5854"/>
        <w:gridCol w:w="1234"/>
        <w:gridCol w:w="5646"/>
      </w:tblGrid>
      <w:tr w14:paraId="23DD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Align w:val="center"/>
          </w:tcPr>
          <w:p w14:paraId="158DDDFA">
            <w:pPr>
              <w:rPr>
                <w:color w:val="000000"/>
              </w:rPr>
            </w:pPr>
            <w:r>
              <w:rPr>
                <w:rFonts w:hint="eastAsia"/>
                <w:color w:val="000000"/>
              </w:rPr>
              <w:t>编号</w:t>
            </w:r>
          </w:p>
        </w:tc>
        <w:tc>
          <w:tcPr>
            <w:tcW w:w="12734" w:type="dxa"/>
            <w:gridSpan w:val="3"/>
            <w:vAlign w:val="center"/>
          </w:tcPr>
          <w:p w14:paraId="0EDDB73B">
            <w:pPr>
              <w:rPr>
                <w:b/>
                <w:bCs/>
                <w:color w:val="000000"/>
              </w:rPr>
            </w:pPr>
            <w:r>
              <w:rPr>
                <w:b/>
                <w:bCs/>
                <w:color w:val="000000"/>
              </w:rPr>
              <w:t>320217607000</w:t>
            </w:r>
          </w:p>
        </w:tc>
      </w:tr>
      <w:tr w14:paraId="33E6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Align w:val="center"/>
          </w:tcPr>
          <w:p w14:paraId="301A95C1">
            <w:pPr>
              <w:rPr>
                <w:color w:val="000000"/>
              </w:rPr>
            </w:pPr>
            <w:r>
              <w:rPr>
                <w:rFonts w:hint="eastAsia"/>
                <w:color w:val="000000"/>
              </w:rPr>
              <w:t>行为名称</w:t>
            </w:r>
          </w:p>
        </w:tc>
        <w:tc>
          <w:tcPr>
            <w:tcW w:w="12734" w:type="dxa"/>
            <w:gridSpan w:val="3"/>
          </w:tcPr>
          <w:p w14:paraId="72875EA1">
            <w:pPr>
              <w:rPr>
                <w:color w:val="000000"/>
              </w:rPr>
            </w:pPr>
            <w:r>
              <w:rPr>
                <w:rFonts w:hint="eastAsia"/>
                <w:color w:val="000000"/>
              </w:rPr>
              <w:t>对工程造价咨询企业在建筑工程计价活动中，出具有虚假记载、误导性陈述的工程造价成果文件的处罚</w:t>
            </w:r>
          </w:p>
        </w:tc>
      </w:tr>
      <w:tr w14:paraId="6BBE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1296" w:type="dxa"/>
            <w:vAlign w:val="center"/>
          </w:tcPr>
          <w:p w14:paraId="2238CCC7">
            <w:pPr>
              <w:rPr>
                <w:color w:val="000000"/>
              </w:rPr>
            </w:pPr>
            <w:r>
              <w:rPr>
                <w:rFonts w:hint="eastAsia"/>
                <w:color w:val="000000"/>
              </w:rPr>
              <w:t>法律依据</w:t>
            </w:r>
          </w:p>
        </w:tc>
        <w:tc>
          <w:tcPr>
            <w:tcW w:w="12734" w:type="dxa"/>
            <w:gridSpan w:val="3"/>
            <w:vAlign w:val="center"/>
          </w:tcPr>
          <w:p w14:paraId="1D5C4049">
            <w:pPr>
              <w:rPr>
                <w:color w:val="000000"/>
              </w:rPr>
            </w:pPr>
            <w:r>
              <w:rPr>
                <w:rFonts w:hint="eastAsia"/>
                <w:color w:val="000000"/>
              </w:rPr>
              <w:t>【规章】《建筑工程施工发包与承包计价管理办法》（住房和城乡建设部令第</w:t>
            </w:r>
            <w:r>
              <w:rPr>
                <w:color w:val="000000"/>
              </w:rPr>
              <w:t>16</w:t>
            </w:r>
            <w:r>
              <w:rPr>
                <w:rFonts w:hint="eastAsia"/>
                <w:color w:val="000000"/>
              </w:rPr>
              <w:t>号）</w:t>
            </w:r>
            <w:r>
              <w:rPr>
                <w:color w:val="000000"/>
              </w:rPr>
              <w:br w:type="textWrapping"/>
            </w:r>
            <w:r>
              <w:rPr>
                <w:rFonts w:hint="eastAsia"/>
                <w:color w:val="000000"/>
              </w:rPr>
              <w:t>第二十三条</w:t>
            </w:r>
            <w:r>
              <w:rPr>
                <w:color w:val="000000"/>
              </w:rPr>
              <w:t xml:space="preserve"> </w:t>
            </w:r>
            <w:r>
              <w:rPr>
                <w:rFonts w:hint="eastAsia"/>
                <w:color w:val="000000"/>
              </w:rPr>
              <w:t>工程造价咨询企业在建筑工程计价活动中，出具有虚假记载、误导性陈述的工程造价成果文件的，记入工程造价咨询企业信用档案，由县级以上地方人民政府住房城乡建设主管部门责令改正，处</w:t>
            </w:r>
            <w:r>
              <w:rPr>
                <w:color w:val="000000"/>
              </w:rPr>
              <w:t>1</w:t>
            </w:r>
            <w:r>
              <w:rPr>
                <w:rFonts w:hint="eastAsia"/>
                <w:color w:val="000000"/>
              </w:rPr>
              <w:t>万元以上</w:t>
            </w:r>
            <w:r>
              <w:rPr>
                <w:color w:val="000000"/>
              </w:rPr>
              <w:t>3</w:t>
            </w:r>
            <w:r>
              <w:rPr>
                <w:rFonts w:hint="eastAsia"/>
                <w:color w:val="000000"/>
              </w:rPr>
              <w:t>万元以下的罚款，并予以通报。</w:t>
            </w:r>
          </w:p>
        </w:tc>
      </w:tr>
      <w:tr w14:paraId="62E70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Align w:val="center"/>
          </w:tcPr>
          <w:p w14:paraId="4A39CF3F">
            <w:pPr>
              <w:rPr>
                <w:color w:val="000000"/>
              </w:rPr>
            </w:pPr>
            <w:r>
              <w:rPr>
                <w:rFonts w:hint="eastAsia"/>
                <w:color w:val="000000"/>
              </w:rPr>
              <w:t>行使内容</w:t>
            </w:r>
          </w:p>
        </w:tc>
        <w:tc>
          <w:tcPr>
            <w:tcW w:w="12734" w:type="dxa"/>
            <w:gridSpan w:val="3"/>
            <w:vAlign w:val="center"/>
          </w:tcPr>
          <w:p w14:paraId="2E21E45F">
            <w:pPr>
              <w:rPr>
                <w:color w:val="000000"/>
              </w:rPr>
            </w:pPr>
            <w:r>
              <w:rPr>
                <w:rFonts w:hint="eastAsia"/>
                <w:color w:val="000000"/>
              </w:rPr>
              <w:t>罚款</w:t>
            </w:r>
          </w:p>
        </w:tc>
      </w:tr>
      <w:tr w14:paraId="1DFA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30" w:type="dxa"/>
            <w:gridSpan w:val="4"/>
            <w:vAlign w:val="center"/>
          </w:tcPr>
          <w:p w14:paraId="4E1DA63E">
            <w:pPr>
              <w:jc w:val="center"/>
              <w:rPr>
                <w:color w:val="000000"/>
              </w:rPr>
            </w:pPr>
            <w:r>
              <w:rPr>
                <w:rFonts w:hint="eastAsia"/>
                <w:color w:val="000000"/>
              </w:rPr>
              <w:t>裁量基准</w:t>
            </w:r>
          </w:p>
        </w:tc>
      </w:tr>
      <w:tr w14:paraId="1977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Merge w:val="restart"/>
            <w:vAlign w:val="center"/>
          </w:tcPr>
          <w:p w14:paraId="24571ACB">
            <w:pPr>
              <w:rPr>
                <w:color w:val="000000"/>
              </w:rPr>
            </w:pPr>
            <w:r>
              <w:rPr>
                <w:rFonts w:hint="eastAsia"/>
                <w:color w:val="000000"/>
              </w:rPr>
              <w:t>情形描述</w:t>
            </w:r>
          </w:p>
        </w:tc>
        <w:tc>
          <w:tcPr>
            <w:tcW w:w="5854" w:type="dxa"/>
            <w:vAlign w:val="center"/>
          </w:tcPr>
          <w:p w14:paraId="38F85747">
            <w:pPr>
              <w:rPr>
                <w:color w:val="000000"/>
              </w:rPr>
            </w:pPr>
            <w:r>
              <w:rPr>
                <w:rFonts w:hint="eastAsia"/>
                <w:color w:val="000000"/>
              </w:rPr>
              <w:t>按要求改正的</w:t>
            </w:r>
          </w:p>
        </w:tc>
        <w:tc>
          <w:tcPr>
            <w:tcW w:w="1234" w:type="dxa"/>
            <w:vMerge w:val="restart"/>
            <w:vAlign w:val="center"/>
          </w:tcPr>
          <w:p w14:paraId="1CFEF0CE">
            <w:pPr>
              <w:rPr>
                <w:color w:val="000000"/>
              </w:rPr>
            </w:pPr>
            <w:r>
              <w:rPr>
                <w:rFonts w:hint="eastAsia"/>
                <w:color w:val="000000"/>
              </w:rPr>
              <w:t>裁量幅度</w:t>
            </w:r>
          </w:p>
        </w:tc>
        <w:tc>
          <w:tcPr>
            <w:tcW w:w="5646" w:type="dxa"/>
            <w:vAlign w:val="center"/>
          </w:tcPr>
          <w:p w14:paraId="26B4D08F">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14:paraId="2F7C4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6" w:type="dxa"/>
            <w:vMerge w:val="continue"/>
            <w:vAlign w:val="center"/>
          </w:tcPr>
          <w:p w14:paraId="5AB659E0">
            <w:pPr>
              <w:rPr>
                <w:color w:val="000000"/>
              </w:rPr>
            </w:pPr>
          </w:p>
        </w:tc>
        <w:tc>
          <w:tcPr>
            <w:tcW w:w="5854" w:type="dxa"/>
            <w:vAlign w:val="center"/>
          </w:tcPr>
          <w:p w14:paraId="6428F779">
            <w:pPr>
              <w:rPr>
                <w:color w:val="000000"/>
              </w:rPr>
            </w:pPr>
            <w:r>
              <w:rPr>
                <w:rFonts w:hint="eastAsia"/>
                <w:color w:val="000000"/>
              </w:rPr>
              <w:t>未按要求改正的</w:t>
            </w:r>
          </w:p>
        </w:tc>
        <w:tc>
          <w:tcPr>
            <w:tcW w:w="1234" w:type="dxa"/>
            <w:vMerge w:val="continue"/>
            <w:vAlign w:val="center"/>
          </w:tcPr>
          <w:p w14:paraId="74FD547C">
            <w:pPr>
              <w:rPr>
                <w:color w:val="000000"/>
              </w:rPr>
            </w:pPr>
          </w:p>
        </w:tc>
        <w:tc>
          <w:tcPr>
            <w:tcW w:w="5646" w:type="dxa"/>
            <w:vAlign w:val="center"/>
          </w:tcPr>
          <w:p w14:paraId="3B7D7C21">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万元以下罚款</w:t>
            </w:r>
          </w:p>
        </w:tc>
      </w:tr>
    </w:tbl>
    <w:p w14:paraId="5CE9807E"/>
    <w:p w14:paraId="02FE5A13"/>
    <w:p w14:paraId="03D4663E"/>
    <w:p w14:paraId="2545531D"/>
    <w:p w14:paraId="6ACBEAAE"/>
    <w:p w14:paraId="042E7D7B"/>
    <w:p w14:paraId="22B4B5D8"/>
    <w:p w14:paraId="59024A19"/>
    <w:p w14:paraId="20B31868"/>
    <w:p w14:paraId="463AEDFE"/>
    <w:tbl>
      <w:tblPr>
        <w:tblStyle w:val="15"/>
        <w:tblW w:w="0" w:type="auto"/>
        <w:tblInd w:w="88" w:type="dxa"/>
        <w:tblLayout w:type="fixed"/>
        <w:tblCellMar>
          <w:top w:w="0" w:type="dxa"/>
          <w:left w:w="108" w:type="dxa"/>
          <w:bottom w:w="0" w:type="dxa"/>
          <w:right w:w="108" w:type="dxa"/>
        </w:tblCellMar>
      </w:tblPr>
      <w:tblGrid>
        <w:gridCol w:w="1010"/>
        <w:gridCol w:w="1540"/>
        <w:gridCol w:w="4600"/>
        <w:gridCol w:w="1000"/>
        <w:gridCol w:w="5866"/>
      </w:tblGrid>
      <w:tr w14:paraId="6CD11EE5">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30678B4">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color="auto" w:sz="8" w:space="0"/>
              <w:left w:val="nil"/>
              <w:bottom w:val="single" w:color="auto" w:sz="4" w:space="0"/>
              <w:right w:val="single" w:color="000000" w:sz="8" w:space="0"/>
            </w:tcBorders>
            <w:vAlign w:val="center"/>
          </w:tcPr>
          <w:p w14:paraId="3E91AAE2">
            <w:pPr>
              <w:spacing w:line="320" w:lineRule="exact"/>
              <w:jc w:val="left"/>
              <w:rPr>
                <w:rFonts w:eastAsia="仿宋_GB2312"/>
                <w:b/>
                <w:bCs/>
                <w:color w:val="000000"/>
                <w:kern w:val="0"/>
                <w:sz w:val="18"/>
                <w:szCs w:val="18"/>
              </w:rPr>
            </w:pPr>
            <w:r>
              <w:rPr>
                <w:rFonts w:eastAsia="仿宋_GB2312"/>
                <w:b/>
                <w:bCs/>
                <w:color w:val="000000"/>
                <w:kern w:val="0"/>
                <w:sz w:val="18"/>
                <w:szCs w:val="18"/>
              </w:rPr>
              <w:t>320217608000</w:t>
            </w:r>
          </w:p>
        </w:tc>
      </w:tr>
      <w:tr w14:paraId="7A433EAB">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C06669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color="auto" w:sz="4" w:space="0"/>
              <w:left w:val="nil"/>
              <w:bottom w:val="single" w:color="auto" w:sz="4" w:space="0"/>
              <w:right w:val="single" w:color="000000" w:sz="8" w:space="0"/>
            </w:tcBorders>
            <w:vAlign w:val="center"/>
          </w:tcPr>
          <w:p w14:paraId="1F737EC2">
            <w:pPr>
              <w:spacing w:line="320" w:lineRule="exact"/>
              <w:jc w:val="left"/>
              <w:rPr>
                <w:color w:val="000000"/>
                <w:kern w:val="0"/>
                <w:sz w:val="18"/>
                <w:szCs w:val="18"/>
              </w:rPr>
            </w:pPr>
            <w:r>
              <w:rPr>
                <w:rFonts w:hint="eastAsia"/>
                <w:color w:val="000000"/>
                <w:kern w:val="0"/>
                <w:sz w:val="18"/>
                <w:szCs w:val="18"/>
              </w:rPr>
              <w:t>对涂改、倒卖、出租、出借或者以其他形式非法转让注册房地产估价师注册证书的处罚</w:t>
            </w:r>
          </w:p>
        </w:tc>
      </w:tr>
      <w:tr w14:paraId="645BCF2C">
        <w:tblPrEx>
          <w:tblCellMar>
            <w:top w:w="0" w:type="dxa"/>
            <w:left w:w="108" w:type="dxa"/>
            <w:bottom w:w="0" w:type="dxa"/>
            <w:right w:w="108" w:type="dxa"/>
          </w:tblCellMar>
        </w:tblPrEx>
        <w:trPr>
          <w:trHeight w:val="1575" w:hRule="atLeast"/>
        </w:trPr>
        <w:tc>
          <w:tcPr>
            <w:tcW w:w="1010" w:type="dxa"/>
            <w:tcBorders>
              <w:top w:val="nil"/>
              <w:left w:val="single" w:color="auto" w:sz="8" w:space="0"/>
              <w:bottom w:val="single" w:color="auto" w:sz="4" w:space="0"/>
              <w:right w:val="single" w:color="auto" w:sz="4" w:space="0"/>
            </w:tcBorders>
            <w:vAlign w:val="center"/>
          </w:tcPr>
          <w:p w14:paraId="072E25E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color="auto" w:sz="4" w:space="0"/>
              <w:left w:val="nil"/>
              <w:bottom w:val="single" w:color="auto" w:sz="4" w:space="0"/>
              <w:right w:val="single" w:color="000000" w:sz="8" w:space="0"/>
            </w:tcBorders>
            <w:vAlign w:val="center"/>
          </w:tcPr>
          <w:p w14:paraId="62DF8566">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14:paraId="08BA4A8D">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注册房地产估价师不得有下列行为：</w:t>
            </w:r>
          </w:p>
          <w:p w14:paraId="537CA3BD">
            <w:pPr>
              <w:spacing w:line="320" w:lineRule="exact"/>
              <w:jc w:val="left"/>
              <w:rPr>
                <w:color w:val="000000"/>
                <w:kern w:val="0"/>
                <w:sz w:val="18"/>
                <w:szCs w:val="18"/>
              </w:rPr>
            </w:pPr>
            <w:r>
              <w:rPr>
                <w:rFonts w:hint="eastAsia"/>
                <w:color w:val="000000"/>
                <w:kern w:val="0"/>
                <w:sz w:val="18"/>
                <w:szCs w:val="18"/>
              </w:rPr>
              <w:t>（九）涂改、出租、出借或者以其他形式非法转让注册证书。</w:t>
            </w:r>
          </w:p>
          <w:p w14:paraId="405B434C">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14:paraId="783E9DC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216EC0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color="auto" w:sz="4" w:space="0"/>
              <w:left w:val="nil"/>
              <w:bottom w:val="single" w:color="auto" w:sz="4" w:space="0"/>
              <w:right w:val="single" w:color="000000" w:sz="8" w:space="0"/>
            </w:tcBorders>
            <w:vAlign w:val="center"/>
          </w:tcPr>
          <w:p w14:paraId="6427E66B">
            <w:pPr>
              <w:spacing w:line="320" w:lineRule="exact"/>
              <w:jc w:val="left"/>
              <w:rPr>
                <w:color w:val="000000"/>
                <w:kern w:val="0"/>
                <w:sz w:val="18"/>
                <w:szCs w:val="18"/>
              </w:rPr>
            </w:pPr>
            <w:r>
              <w:rPr>
                <w:rFonts w:hint="eastAsia"/>
                <w:color w:val="000000"/>
                <w:kern w:val="0"/>
                <w:sz w:val="18"/>
                <w:szCs w:val="18"/>
              </w:rPr>
              <w:t>警告，罚款</w:t>
            </w:r>
          </w:p>
        </w:tc>
      </w:tr>
      <w:tr w14:paraId="0F2D3F43">
        <w:tblPrEx>
          <w:tblCellMar>
            <w:top w:w="0" w:type="dxa"/>
            <w:left w:w="108" w:type="dxa"/>
            <w:bottom w:w="0" w:type="dxa"/>
            <w:right w:w="108" w:type="dxa"/>
          </w:tblCellMar>
        </w:tblPrEx>
        <w:trPr>
          <w:trHeight w:val="285" w:hRule="atLeast"/>
        </w:trPr>
        <w:tc>
          <w:tcPr>
            <w:tcW w:w="14016" w:type="dxa"/>
            <w:gridSpan w:val="5"/>
            <w:tcBorders>
              <w:top w:val="single" w:color="auto" w:sz="4" w:space="0"/>
              <w:left w:val="single" w:color="auto" w:sz="8" w:space="0"/>
              <w:bottom w:val="single" w:color="auto" w:sz="4" w:space="0"/>
              <w:right w:val="single" w:color="000000" w:sz="8" w:space="0"/>
            </w:tcBorders>
            <w:vAlign w:val="center"/>
          </w:tcPr>
          <w:p w14:paraId="159BA1D4">
            <w:pPr>
              <w:spacing w:line="320" w:lineRule="exact"/>
              <w:jc w:val="center"/>
              <w:rPr>
                <w:color w:val="000000"/>
                <w:kern w:val="0"/>
                <w:sz w:val="18"/>
                <w:szCs w:val="18"/>
              </w:rPr>
            </w:pPr>
            <w:r>
              <w:rPr>
                <w:rFonts w:hint="eastAsia"/>
                <w:color w:val="000000"/>
                <w:kern w:val="0"/>
                <w:sz w:val="18"/>
                <w:szCs w:val="18"/>
              </w:rPr>
              <w:t>裁量基准</w:t>
            </w:r>
          </w:p>
        </w:tc>
      </w:tr>
      <w:tr w14:paraId="2CD731DF">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69353A58">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397C66AC">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color="auto" w:sz="4" w:space="0"/>
              <w:right w:val="single" w:color="auto" w:sz="4" w:space="0"/>
            </w:tcBorders>
            <w:vAlign w:val="center"/>
          </w:tcPr>
          <w:p w14:paraId="70EEE844">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color="auto" w:sz="4" w:space="0"/>
              <w:bottom w:val="single" w:color="auto" w:sz="4" w:space="0"/>
              <w:right w:val="single" w:color="auto" w:sz="4" w:space="0"/>
            </w:tcBorders>
            <w:vAlign w:val="center"/>
          </w:tcPr>
          <w:p w14:paraId="61E93F34">
            <w:pPr>
              <w:spacing w:line="320" w:lineRule="exact"/>
              <w:jc w:val="left"/>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567F4B1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47AE340C">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5BC85510">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7835725">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259B28EF">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1C560B7C">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5418B05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14:paraId="79F09862">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3C59D0F1">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7FF6E7B9">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0532516B">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241F5596">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4A7EBD2">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14:paraId="69BEAB4D">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74AA8DB7">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5FD2FA3F">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56338721">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val="continue"/>
            <w:tcBorders>
              <w:top w:val="nil"/>
              <w:left w:val="single" w:color="auto" w:sz="4" w:space="0"/>
              <w:bottom w:val="single" w:color="auto" w:sz="4" w:space="0"/>
              <w:right w:val="single" w:color="auto" w:sz="4" w:space="0"/>
            </w:tcBorders>
            <w:vAlign w:val="center"/>
          </w:tcPr>
          <w:p w14:paraId="6529E242">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29A23F8">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w:t>
            </w:r>
            <w:r>
              <w:rPr>
                <w:color w:val="000000"/>
                <w:kern w:val="0"/>
                <w:sz w:val="18"/>
                <w:szCs w:val="18"/>
              </w:rPr>
              <w:t>5000</w:t>
            </w:r>
            <w:r>
              <w:rPr>
                <w:rFonts w:hint="eastAsia"/>
                <w:color w:val="000000"/>
                <w:kern w:val="0"/>
                <w:sz w:val="18"/>
                <w:szCs w:val="18"/>
              </w:rPr>
              <w:t>元以上不超过</w:t>
            </w:r>
            <w:r>
              <w:rPr>
                <w:color w:val="000000"/>
                <w:kern w:val="0"/>
                <w:sz w:val="18"/>
                <w:szCs w:val="18"/>
              </w:rPr>
              <w:t>3</w:t>
            </w:r>
            <w:r>
              <w:rPr>
                <w:rFonts w:hint="eastAsia"/>
                <w:color w:val="000000"/>
                <w:kern w:val="0"/>
                <w:sz w:val="18"/>
                <w:szCs w:val="18"/>
              </w:rPr>
              <w:t>万元的罚款</w:t>
            </w:r>
          </w:p>
        </w:tc>
      </w:tr>
    </w:tbl>
    <w:p w14:paraId="01BAF23D"/>
    <w:p w14:paraId="5893C44A"/>
    <w:p w14:paraId="053FA073"/>
    <w:p w14:paraId="7057E752"/>
    <w:p w14:paraId="70178ED2"/>
    <w:p w14:paraId="2BDA9A1B"/>
    <w:p w14:paraId="0BAF15E3"/>
    <w:p w14:paraId="52CF3107"/>
    <w:p w14:paraId="1B331D5D"/>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18CB2547">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2313F59D">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221F84C1">
            <w:pPr>
              <w:jc w:val="left"/>
              <w:textAlignment w:val="center"/>
              <w:rPr>
                <w:rFonts w:eastAsia="仿宋_GB2312"/>
                <w:b/>
                <w:bCs/>
                <w:color w:val="000000"/>
                <w:kern w:val="0"/>
                <w:sz w:val="18"/>
                <w:szCs w:val="18"/>
              </w:rPr>
            </w:pPr>
            <w:r>
              <w:rPr>
                <w:rFonts w:eastAsia="仿宋_GB2312"/>
                <w:b/>
                <w:color w:val="000000"/>
                <w:kern w:val="0"/>
                <w:sz w:val="20"/>
              </w:rPr>
              <w:t>320217609000</w:t>
            </w:r>
          </w:p>
        </w:tc>
      </w:tr>
      <w:tr w14:paraId="3DFEEDD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0DDA153">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189312C3">
            <w:pPr>
              <w:spacing w:line="320" w:lineRule="exact"/>
              <w:jc w:val="left"/>
              <w:rPr>
                <w:color w:val="000000"/>
                <w:kern w:val="0"/>
                <w:sz w:val="18"/>
                <w:szCs w:val="18"/>
              </w:rPr>
            </w:pPr>
            <w:r>
              <w:rPr>
                <w:rFonts w:hint="eastAsia"/>
                <w:color w:val="000000"/>
                <w:kern w:val="0"/>
                <w:sz w:val="18"/>
                <w:szCs w:val="18"/>
              </w:rPr>
              <w:t>对注册建造师在执业过程中索贿、受贿或者谋取合同约定费用外的其他利益的处罚</w:t>
            </w:r>
          </w:p>
        </w:tc>
      </w:tr>
      <w:tr w14:paraId="4B4D2A06">
        <w:tblPrEx>
          <w:tblCellMar>
            <w:top w:w="0" w:type="dxa"/>
            <w:left w:w="108" w:type="dxa"/>
            <w:bottom w:w="0" w:type="dxa"/>
            <w:right w:w="108" w:type="dxa"/>
          </w:tblCellMar>
        </w:tblPrEx>
        <w:trPr>
          <w:trHeight w:val="1380" w:hRule="atLeast"/>
        </w:trPr>
        <w:tc>
          <w:tcPr>
            <w:tcW w:w="1056" w:type="dxa"/>
            <w:tcBorders>
              <w:top w:val="nil"/>
              <w:left w:val="single" w:color="auto" w:sz="8" w:space="0"/>
              <w:bottom w:val="single" w:color="auto" w:sz="4" w:space="0"/>
              <w:right w:val="single" w:color="auto" w:sz="4" w:space="0"/>
            </w:tcBorders>
            <w:vAlign w:val="center"/>
          </w:tcPr>
          <w:p w14:paraId="7D4567CD">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1308C741">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注册建造师不得有下列行为：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（二）在执业过程中，索贿、受贿或者谋取合同约定费用外的其他利益。</w:t>
            </w:r>
            <w:r>
              <w:rPr>
                <w:color w:val="000000"/>
                <w:kern w:val="0"/>
                <w:sz w:val="18"/>
                <w:szCs w:val="18"/>
              </w:rPr>
              <w:br w:type="textWrapping"/>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违反本规定，注册建造师在执业活动中有第二十六条所列行为之一的，由县级以上地方人民政府建设主管部门或者其他有关部门给予警告，责令改正，没有违法所得的，处以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60BAB58A">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3400A87">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4F393D29">
            <w:pPr>
              <w:spacing w:line="320" w:lineRule="exact"/>
              <w:jc w:val="left"/>
              <w:rPr>
                <w:color w:val="000000"/>
                <w:kern w:val="0"/>
                <w:sz w:val="18"/>
                <w:szCs w:val="18"/>
              </w:rPr>
            </w:pPr>
            <w:r>
              <w:rPr>
                <w:rFonts w:hint="eastAsia"/>
                <w:color w:val="000000"/>
                <w:kern w:val="0"/>
                <w:sz w:val="18"/>
                <w:szCs w:val="18"/>
              </w:rPr>
              <w:t>警告，罚款</w:t>
            </w:r>
          </w:p>
        </w:tc>
      </w:tr>
      <w:tr w14:paraId="74C6987F">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0BDF36DB">
            <w:pPr>
              <w:spacing w:line="320" w:lineRule="exact"/>
              <w:jc w:val="center"/>
              <w:rPr>
                <w:color w:val="000000"/>
                <w:kern w:val="0"/>
                <w:sz w:val="18"/>
                <w:szCs w:val="18"/>
              </w:rPr>
            </w:pPr>
            <w:r>
              <w:rPr>
                <w:rFonts w:hint="eastAsia"/>
                <w:color w:val="000000"/>
                <w:kern w:val="0"/>
                <w:sz w:val="18"/>
                <w:szCs w:val="18"/>
              </w:rPr>
              <w:t>裁量基准</w:t>
            </w:r>
          </w:p>
        </w:tc>
      </w:tr>
      <w:tr w14:paraId="4D053007">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6BD29738">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25571BF8">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5E32C6E3">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6EB24B49">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56DF852B">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220CC902">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8465F59">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69A9091D">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527A1D99">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02826C94">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693648BA">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5EBD69A3">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C52092B">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46A60716">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4F90FFAE">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6DCB0CA5">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35323D1">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2B07B381">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0C57CF9">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5AC37F99">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19D19643">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036AD38C">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5E3B2AFE">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2F30AA66"/>
    <w:p w14:paraId="49BD4677"/>
    <w:p w14:paraId="63928B08"/>
    <w:p w14:paraId="4E086073"/>
    <w:p w14:paraId="0C7E786C"/>
    <w:p w14:paraId="5552FED3"/>
    <w:p w14:paraId="68EE30DB"/>
    <w:tbl>
      <w:tblPr>
        <w:tblStyle w:val="15"/>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5870"/>
        <w:gridCol w:w="1074"/>
        <w:gridCol w:w="5820"/>
      </w:tblGrid>
      <w:tr w14:paraId="2EB6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1" w:type="dxa"/>
            <w:vAlign w:val="center"/>
          </w:tcPr>
          <w:p w14:paraId="5933DCCF">
            <w:pPr>
              <w:rPr>
                <w:color w:val="000000"/>
              </w:rPr>
            </w:pPr>
            <w:r>
              <w:rPr>
                <w:rFonts w:hint="eastAsia"/>
                <w:color w:val="000000"/>
              </w:rPr>
              <w:t>编号</w:t>
            </w:r>
          </w:p>
        </w:tc>
        <w:tc>
          <w:tcPr>
            <w:tcW w:w="12764" w:type="dxa"/>
            <w:gridSpan w:val="3"/>
            <w:vAlign w:val="center"/>
          </w:tcPr>
          <w:p w14:paraId="4E658BEA">
            <w:pPr>
              <w:rPr>
                <w:b/>
                <w:bCs/>
                <w:color w:val="000000"/>
              </w:rPr>
            </w:pPr>
            <w:r>
              <w:rPr>
                <w:b/>
                <w:bCs/>
                <w:color w:val="000000"/>
              </w:rPr>
              <w:t>320217610000</w:t>
            </w:r>
          </w:p>
        </w:tc>
      </w:tr>
      <w:tr w14:paraId="181C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1" w:type="dxa"/>
            <w:vAlign w:val="center"/>
          </w:tcPr>
          <w:p w14:paraId="1FDB1623">
            <w:pPr>
              <w:rPr>
                <w:color w:val="000000"/>
              </w:rPr>
            </w:pPr>
            <w:r>
              <w:rPr>
                <w:rFonts w:hint="eastAsia"/>
                <w:color w:val="000000"/>
              </w:rPr>
              <w:t>行为名称</w:t>
            </w:r>
          </w:p>
        </w:tc>
        <w:tc>
          <w:tcPr>
            <w:tcW w:w="12764" w:type="dxa"/>
            <w:gridSpan w:val="3"/>
            <w:vAlign w:val="center"/>
          </w:tcPr>
          <w:p w14:paraId="36039A6C">
            <w:pPr>
              <w:rPr>
                <w:color w:val="000000"/>
              </w:rPr>
            </w:pPr>
            <w:r>
              <w:rPr>
                <w:rFonts w:hint="eastAsia"/>
                <w:color w:val="000000"/>
              </w:rPr>
              <w:t>对招标人接受未通过资格预审的单位或者个人参加投标的处罚</w:t>
            </w:r>
          </w:p>
        </w:tc>
      </w:tr>
      <w:tr w14:paraId="7700D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91" w:type="dxa"/>
            <w:vAlign w:val="center"/>
          </w:tcPr>
          <w:p w14:paraId="5FD4EABC">
            <w:pPr>
              <w:rPr>
                <w:color w:val="000000"/>
              </w:rPr>
            </w:pPr>
            <w:r>
              <w:rPr>
                <w:rFonts w:hint="eastAsia"/>
                <w:color w:val="000000"/>
              </w:rPr>
              <w:t>法律依据</w:t>
            </w:r>
          </w:p>
        </w:tc>
        <w:tc>
          <w:tcPr>
            <w:tcW w:w="12764" w:type="dxa"/>
            <w:gridSpan w:val="3"/>
            <w:vAlign w:val="center"/>
          </w:tcPr>
          <w:p w14:paraId="06F9D6B7">
            <w:pPr>
              <w:spacing w:line="300" w:lineRule="exact"/>
              <w:rPr>
                <w:color w:val="000000"/>
              </w:rPr>
            </w:pP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【规章】《工程建设项目施工招标投标办法》（国家发展和改革委员会、工业和信息化部、财政部、住房和城乡建设部、交通运输部、铁道部、水利部、国家广播电影电视总局、中国民用航空局令第</w:t>
            </w:r>
            <w:r>
              <w:rPr>
                <w:color w:val="000000"/>
                <w:kern w:val="0"/>
                <w:sz w:val="18"/>
                <w:szCs w:val="18"/>
              </w:rPr>
              <w:t>30</w:t>
            </w:r>
            <w:r>
              <w:rPr>
                <w:rFonts w:hint="eastAsia"/>
                <w:color w:val="000000"/>
                <w:kern w:val="0"/>
                <w:sz w:val="18"/>
                <w:szCs w:val="18"/>
              </w:rPr>
              <w:t>号，已根据《关于废止和修改部分招标投标规章和规范性文件的决定》修改）</w:t>
            </w:r>
            <w:r>
              <w:rPr>
                <w:color w:val="000000"/>
                <w:kern w:val="0"/>
                <w:sz w:val="18"/>
                <w:szCs w:val="18"/>
              </w:rPr>
              <w:br w:type="textWrapping"/>
            </w:r>
            <w:r>
              <w:rPr>
                <w:rFonts w:hint="eastAsia"/>
                <w:color w:val="000000"/>
                <w:kern w:val="0"/>
                <w:sz w:val="18"/>
                <w:szCs w:val="18"/>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r>
              <w:rPr>
                <w:color w:val="000000"/>
                <w:kern w:val="0"/>
                <w:sz w:val="18"/>
                <w:szCs w:val="18"/>
              </w:rPr>
              <w:br w:type="textWrapping"/>
            </w:r>
            <w:r>
              <w:rPr>
                <w:rFonts w:hint="eastAsia"/>
                <w:color w:val="000000"/>
                <w:kern w:val="0"/>
                <w:sz w:val="18"/>
                <w:szCs w:val="18"/>
              </w:rPr>
              <w:t>招标人有下列情形之一的，由有关行政监督部门责令改正，可以处</w:t>
            </w:r>
            <w:r>
              <w:rPr>
                <w:color w:val="000000"/>
                <w:kern w:val="0"/>
                <w:sz w:val="18"/>
                <w:szCs w:val="18"/>
              </w:rPr>
              <w:t>10</w:t>
            </w:r>
            <w:r>
              <w:rPr>
                <w:rFonts w:hint="eastAsia"/>
                <w:color w:val="000000"/>
                <w:kern w:val="0"/>
                <w:sz w:val="18"/>
                <w:szCs w:val="18"/>
              </w:rPr>
              <w:t>万元以下的罚款：</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（三）接受未通过资格预审的单位或者个人参加投标；</w:t>
            </w:r>
            <w:r>
              <w:rPr>
                <w:color w:val="000000"/>
                <w:kern w:val="0"/>
                <w:sz w:val="18"/>
                <w:szCs w:val="18"/>
              </w:rPr>
              <w:br w:type="textWrapping"/>
            </w:r>
            <w:r>
              <w:rPr>
                <w:rFonts w:hint="eastAsia"/>
                <w:color w:val="000000"/>
                <w:kern w:val="0"/>
                <w:sz w:val="18"/>
                <w:szCs w:val="18"/>
              </w:rPr>
              <w:t>【规章】《工程建设项目勘察设计招标投标办法》（国家发展和改革委员会、工业和信息化部、财政部、住房和城乡建设部、交通运输部、铁道部、水利部、国家广播电影电视总局、中国民用航空局令第</w:t>
            </w:r>
            <w:r>
              <w:rPr>
                <w:color w:val="000000"/>
                <w:kern w:val="0"/>
                <w:sz w:val="18"/>
                <w:szCs w:val="18"/>
              </w:rPr>
              <w:t>2</w:t>
            </w:r>
            <w:r>
              <w:rPr>
                <w:rFonts w:hint="eastAsia"/>
                <w:color w:val="000000"/>
                <w:kern w:val="0"/>
                <w:sz w:val="18"/>
                <w:szCs w:val="18"/>
              </w:rPr>
              <w:t>号，已根据《关于废止和修改部分招标投标规章和规范性文件的决定》修改）</w:t>
            </w:r>
            <w:r>
              <w:rPr>
                <w:color w:val="000000"/>
                <w:kern w:val="0"/>
                <w:sz w:val="18"/>
                <w:szCs w:val="18"/>
              </w:rPr>
              <w:br w:type="textWrapping"/>
            </w: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第五十一条　招标人有下列情形之一的，由有关行政监督部门责令改正，可以处</w:t>
            </w:r>
            <w:r>
              <w:rPr>
                <w:color w:val="000000"/>
                <w:kern w:val="0"/>
                <w:sz w:val="18"/>
                <w:szCs w:val="18"/>
              </w:rPr>
              <w:t>10</w:t>
            </w:r>
            <w:r>
              <w:rPr>
                <w:rFonts w:hint="eastAsia"/>
                <w:color w:val="000000"/>
                <w:kern w:val="0"/>
                <w:sz w:val="18"/>
                <w:szCs w:val="18"/>
              </w:rPr>
              <w:t>万元以下的罚款：</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（三）接受未通过资格预审的单位或者个人参加投标；</w:t>
            </w:r>
            <w:r>
              <w:rPr>
                <w:color w:val="000000"/>
                <w:kern w:val="0"/>
                <w:sz w:val="18"/>
                <w:szCs w:val="18"/>
              </w:rPr>
              <w:br w:type="textWrapping"/>
            </w:r>
            <w:r>
              <w:rPr>
                <w:rFonts w:hint="eastAsia"/>
                <w:color w:val="000000"/>
                <w:kern w:val="0"/>
                <w:sz w:val="18"/>
                <w:szCs w:val="18"/>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kern w:val="0"/>
                <w:sz w:val="18"/>
                <w:szCs w:val="18"/>
              </w:rPr>
              <w:t>27</w:t>
            </w:r>
            <w:r>
              <w:rPr>
                <w:rFonts w:hint="eastAsia"/>
                <w:color w:val="000000"/>
                <w:kern w:val="0"/>
                <w:sz w:val="18"/>
                <w:szCs w:val="18"/>
              </w:rPr>
              <w:t>号，根据</w:t>
            </w:r>
            <w:r>
              <w:rPr>
                <w:color w:val="000000"/>
                <w:kern w:val="0"/>
                <w:sz w:val="18"/>
                <w:szCs w:val="18"/>
              </w:rPr>
              <w:t>2013</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11</w:t>
            </w:r>
            <w:r>
              <w:rPr>
                <w:rFonts w:hint="eastAsia"/>
                <w:color w:val="000000"/>
                <w:kern w:val="0"/>
                <w:sz w:val="18"/>
                <w:szCs w:val="18"/>
              </w:rPr>
              <w:t>日《关于废止和修改部分招标投标规章和规范性文件的决定》</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r>
              <w:rPr>
                <w:color w:val="000000"/>
                <w:kern w:val="0"/>
                <w:sz w:val="18"/>
                <w:szCs w:val="18"/>
              </w:rPr>
              <w:br w:type="textWrapping"/>
            </w:r>
            <w:r>
              <w:rPr>
                <w:rFonts w:hint="eastAsia"/>
                <w:color w:val="000000"/>
                <w:kern w:val="0"/>
                <w:sz w:val="18"/>
                <w:szCs w:val="18"/>
              </w:rPr>
              <w:t>第五十六条　招标人有下列情形之一的，由有关行政监督部门责令改正，可以处</w:t>
            </w:r>
            <w:r>
              <w:rPr>
                <w:color w:val="000000"/>
                <w:kern w:val="0"/>
                <w:sz w:val="18"/>
                <w:szCs w:val="18"/>
              </w:rPr>
              <w:t>10</w:t>
            </w:r>
            <w:r>
              <w:rPr>
                <w:rFonts w:hint="eastAsia"/>
                <w:color w:val="000000"/>
                <w:kern w:val="0"/>
                <w:sz w:val="18"/>
                <w:szCs w:val="18"/>
              </w:rPr>
              <w:t>万元以下的罚款：</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（三）接受未通过资格预审的单位或者个人参加投标；</w:t>
            </w:r>
          </w:p>
        </w:tc>
      </w:tr>
      <w:tr w14:paraId="6E5A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1" w:type="dxa"/>
            <w:vAlign w:val="center"/>
          </w:tcPr>
          <w:p w14:paraId="1E61E570">
            <w:pPr>
              <w:rPr>
                <w:color w:val="000000"/>
              </w:rPr>
            </w:pPr>
            <w:r>
              <w:rPr>
                <w:rFonts w:hint="eastAsia"/>
                <w:color w:val="000000"/>
              </w:rPr>
              <w:t>行使内容</w:t>
            </w:r>
          </w:p>
        </w:tc>
        <w:tc>
          <w:tcPr>
            <w:tcW w:w="12764" w:type="dxa"/>
            <w:gridSpan w:val="3"/>
            <w:vAlign w:val="center"/>
          </w:tcPr>
          <w:p w14:paraId="33C7ABD3">
            <w:pPr>
              <w:rPr>
                <w:color w:val="000000"/>
              </w:rPr>
            </w:pPr>
            <w:r>
              <w:rPr>
                <w:rFonts w:hint="eastAsia"/>
                <w:color w:val="000000"/>
              </w:rPr>
              <w:t>罚款</w:t>
            </w:r>
          </w:p>
        </w:tc>
      </w:tr>
      <w:tr w14:paraId="78E1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55" w:type="dxa"/>
            <w:gridSpan w:val="4"/>
            <w:vAlign w:val="center"/>
          </w:tcPr>
          <w:p w14:paraId="5396CEB9">
            <w:pPr>
              <w:jc w:val="center"/>
              <w:rPr>
                <w:color w:val="000000"/>
              </w:rPr>
            </w:pPr>
            <w:r>
              <w:rPr>
                <w:rFonts w:hint="eastAsia"/>
                <w:color w:val="000000"/>
              </w:rPr>
              <w:t>裁量基准</w:t>
            </w:r>
          </w:p>
        </w:tc>
      </w:tr>
      <w:tr w14:paraId="48B3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1" w:type="dxa"/>
            <w:vMerge w:val="restart"/>
            <w:vAlign w:val="center"/>
          </w:tcPr>
          <w:p w14:paraId="649B6D7A">
            <w:pPr>
              <w:rPr>
                <w:color w:val="000000"/>
              </w:rPr>
            </w:pPr>
            <w:r>
              <w:rPr>
                <w:rFonts w:hint="eastAsia"/>
                <w:color w:val="000000"/>
              </w:rPr>
              <w:t>情形描述</w:t>
            </w:r>
          </w:p>
        </w:tc>
        <w:tc>
          <w:tcPr>
            <w:tcW w:w="5870" w:type="dxa"/>
            <w:vAlign w:val="center"/>
          </w:tcPr>
          <w:p w14:paraId="316BBA3C">
            <w:pPr>
              <w:rPr>
                <w:color w:val="000000"/>
              </w:rPr>
            </w:pPr>
            <w:r>
              <w:rPr>
                <w:rFonts w:hint="eastAsia"/>
                <w:color w:val="000000"/>
              </w:rPr>
              <w:t>接受未通过资格预审的单位或者个人参加投标，及时纠正的</w:t>
            </w:r>
          </w:p>
        </w:tc>
        <w:tc>
          <w:tcPr>
            <w:tcW w:w="1074" w:type="dxa"/>
            <w:vMerge w:val="restart"/>
            <w:vAlign w:val="center"/>
          </w:tcPr>
          <w:p w14:paraId="18D3714E">
            <w:pPr>
              <w:rPr>
                <w:color w:val="000000"/>
              </w:rPr>
            </w:pPr>
            <w:r>
              <w:rPr>
                <w:rFonts w:hint="eastAsia"/>
                <w:color w:val="000000"/>
              </w:rPr>
              <w:t>裁量幅度</w:t>
            </w:r>
          </w:p>
        </w:tc>
        <w:tc>
          <w:tcPr>
            <w:tcW w:w="5820" w:type="dxa"/>
            <w:vAlign w:val="center"/>
          </w:tcPr>
          <w:p w14:paraId="65B90AEF">
            <w:pPr>
              <w:rPr>
                <w:color w:val="000000"/>
              </w:rPr>
            </w:pPr>
            <w:r>
              <w:rPr>
                <w:rFonts w:hint="eastAsia"/>
                <w:color w:val="000000"/>
              </w:rPr>
              <w:t>责令限期改正，处</w:t>
            </w:r>
            <w:r>
              <w:rPr>
                <w:color w:val="000000"/>
              </w:rPr>
              <w:t>5</w:t>
            </w:r>
            <w:r>
              <w:rPr>
                <w:rFonts w:hint="eastAsia"/>
                <w:color w:val="000000"/>
              </w:rPr>
              <w:t>万元以下的罚款</w:t>
            </w:r>
          </w:p>
        </w:tc>
      </w:tr>
      <w:tr w14:paraId="47C7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1" w:type="dxa"/>
            <w:vMerge w:val="continue"/>
            <w:vAlign w:val="center"/>
          </w:tcPr>
          <w:p w14:paraId="6FA50CD2">
            <w:pPr>
              <w:rPr>
                <w:color w:val="000000"/>
              </w:rPr>
            </w:pPr>
          </w:p>
        </w:tc>
        <w:tc>
          <w:tcPr>
            <w:tcW w:w="5870" w:type="dxa"/>
            <w:vAlign w:val="center"/>
          </w:tcPr>
          <w:p w14:paraId="2B62D932">
            <w:pPr>
              <w:rPr>
                <w:color w:val="000000"/>
              </w:rPr>
            </w:pPr>
            <w:r>
              <w:rPr>
                <w:rFonts w:hint="eastAsia"/>
                <w:color w:val="000000"/>
              </w:rPr>
              <w:t>接受未通过资格预审的单位或者个人参加投标，拒不纠正的</w:t>
            </w:r>
          </w:p>
        </w:tc>
        <w:tc>
          <w:tcPr>
            <w:tcW w:w="1074" w:type="dxa"/>
            <w:vMerge w:val="continue"/>
            <w:vAlign w:val="center"/>
          </w:tcPr>
          <w:p w14:paraId="5849DF10">
            <w:pPr>
              <w:rPr>
                <w:color w:val="000000"/>
              </w:rPr>
            </w:pPr>
          </w:p>
        </w:tc>
        <w:tc>
          <w:tcPr>
            <w:tcW w:w="5820" w:type="dxa"/>
            <w:vAlign w:val="center"/>
          </w:tcPr>
          <w:p w14:paraId="5CC15984">
            <w:pPr>
              <w:rPr>
                <w:color w:val="000000"/>
              </w:rPr>
            </w:pPr>
            <w:r>
              <w:rPr>
                <w:rFonts w:hint="eastAsia"/>
                <w:color w:val="000000"/>
              </w:rPr>
              <w:t>责令限期改正，处</w:t>
            </w:r>
            <w:r>
              <w:rPr>
                <w:color w:val="000000"/>
              </w:rPr>
              <w:t>5</w:t>
            </w:r>
            <w:r>
              <w:rPr>
                <w:rFonts w:hint="eastAsia"/>
                <w:color w:val="000000"/>
              </w:rPr>
              <w:t>万元以上</w:t>
            </w:r>
            <w:r>
              <w:rPr>
                <w:color w:val="000000"/>
              </w:rPr>
              <w:t>10</w:t>
            </w:r>
            <w:r>
              <w:rPr>
                <w:rFonts w:hint="eastAsia"/>
                <w:color w:val="000000"/>
              </w:rPr>
              <w:t>万元以下的罚款</w:t>
            </w:r>
          </w:p>
        </w:tc>
      </w:tr>
    </w:tbl>
    <w:p w14:paraId="771E0E27"/>
    <w:p w14:paraId="7FD0E355"/>
    <w:p w14:paraId="7B29F07A"/>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79B32281">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716D3068">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01EB6776">
            <w:pPr>
              <w:spacing w:line="320" w:lineRule="exact"/>
              <w:jc w:val="left"/>
              <w:rPr>
                <w:rFonts w:eastAsia="仿宋_GB2312"/>
                <w:b/>
                <w:bCs/>
                <w:color w:val="000000"/>
                <w:kern w:val="0"/>
                <w:sz w:val="18"/>
                <w:szCs w:val="18"/>
              </w:rPr>
            </w:pPr>
            <w:r>
              <w:rPr>
                <w:rFonts w:eastAsia="仿宋_GB2312"/>
                <w:b/>
                <w:bCs/>
                <w:color w:val="000000"/>
                <w:kern w:val="0"/>
                <w:sz w:val="18"/>
                <w:szCs w:val="18"/>
              </w:rPr>
              <w:t>320217612000</w:t>
            </w:r>
          </w:p>
        </w:tc>
      </w:tr>
      <w:tr w14:paraId="3B8AB81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C3FE94C">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72D9325B">
            <w:pPr>
              <w:spacing w:line="320" w:lineRule="exact"/>
              <w:jc w:val="left"/>
              <w:rPr>
                <w:color w:val="000000"/>
                <w:kern w:val="0"/>
                <w:sz w:val="18"/>
                <w:szCs w:val="18"/>
              </w:rPr>
            </w:pPr>
            <w:r>
              <w:rPr>
                <w:rFonts w:hint="eastAsia"/>
                <w:color w:val="000000"/>
                <w:kern w:val="0"/>
                <w:sz w:val="18"/>
                <w:szCs w:val="18"/>
              </w:rPr>
              <w:t>对物业服务企业将一个物业管理区域内的全部物业管理一并委托给他人的处罚</w:t>
            </w:r>
          </w:p>
        </w:tc>
      </w:tr>
      <w:tr w14:paraId="1BC00AE1">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08B11BCA">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703FA5DE">
            <w:pPr>
              <w:spacing w:line="320" w:lineRule="exact"/>
              <w:jc w:val="left"/>
              <w:rPr>
                <w:color w:val="000000"/>
                <w:kern w:val="0"/>
                <w:sz w:val="18"/>
                <w:szCs w:val="18"/>
              </w:rPr>
            </w:pPr>
            <w:r>
              <w:rPr>
                <w:rFonts w:hint="eastAsia"/>
                <w:color w:val="000000"/>
                <w:kern w:val="0"/>
                <w:sz w:val="18"/>
                <w:szCs w:val="18"/>
              </w:rPr>
              <w:t>【行政法规】《物业管理条例》（2003年6月8日国务院令第379号公布，根据国务院令第504号、国务院令第666号、国务院令第698号修订）</w:t>
            </w:r>
          </w:p>
          <w:p w14:paraId="74C73638">
            <w:pPr>
              <w:spacing w:line="320" w:lineRule="exact"/>
              <w:jc w:val="left"/>
              <w:rPr>
                <w:color w:val="000000"/>
                <w:kern w:val="0"/>
                <w:sz w:val="18"/>
                <w:szCs w:val="18"/>
              </w:rPr>
            </w:pPr>
            <w:r>
              <w:rPr>
                <w:rFonts w:hint="eastAsia"/>
                <w:color w:val="000000"/>
                <w:kern w:val="0"/>
                <w:sz w:val="18"/>
                <w:szCs w:val="18"/>
              </w:rPr>
              <w:t xml:space="preserve">    第三十三条　一个物业管理区域由一个物业服务企业实施物业管理。</w:t>
            </w:r>
          </w:p>
          <w:p w14:paraId="2BCFECD4">
            <w:pPr>
              <w:spacing w:line="320" w:lineRule="exact"/>
              <w:jc w:val="left"/>
              <w:rPr>
                <w:color w:val="000000"/>
                <w:kern w:val="0"/>
                <w:sz w:val="18"/>
                <w:szCs w:val="18"/>
              </w:rPr>
            </w:pPr>
            <w:r>
              <w:rPr>
                <w:rFonts w:hint="eastAsia"/>
                <w:color w:val="000000"/>
                <w:kern w:val="0"/>
                <w:sz w:val="18"/>
                <w:szCs w:val="18"/>
              </w:rPr>
              <w:t xml:space="preserve">    第三十九条  物业服务企业可以将物业管理区域内的专项服务业务委托给专业性服务企业，但不得将该区域内的全部物业管理一并委托给他人。</w:t>
            </w:r>
          </w:p>
          <w:p w14:paraId="0C37D85B">
            <w:pPr>
              <w:spacing w:line="320" w:lineRule="exact"/>
              <w:jc w:val="left"/>
              <w:rPr>
                <w:color w:val="000000"/>
                <w:kern w:val="0"/>
                <w:sz w:val="18"/>
                <w:szCs w:val="18"/>
              </w:rPr>
            </w:pPr>
            <w:r>
              <w:rPr>
                <w:rFonts w:hint="eastAsia"/>
                <w:color w:val="000000"/>
                <w:kern w:val="0"/>
                <w:sz w:val="18"/>
                <w:szCs w:val="18"/>
              </w:rPr>
              <w:t xml:space="preserve">    第五十九条  违反本条例的规定，物业服务企业将一个物业管理区域内的全部物业管理一并委托给他人的，由县级以上地方人民政府房地产行政主管部门责令限期改正，处委托合同价款30%以上50%以下的罚款。委托所得收益，用于物业管理区域内物业共用部位、共用设施设备的维修、养护，剩余部分按照业主大会的决定使用；给业主造成损失的，依法承担赔偿责任。</w:t>
            </w:r>
          </w:p>
        </w:tc>
      </w:tr>
      <w:tr w14:paraId="562C0327">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51FAE32">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418938D4">
            <w:pPr>
              <w:spacing w:line="320" w:lineRule="exact"/>
              <w:jc w:val="left"/>
              <w:rPr>
                <w:color w:val="000000"/>
                <w:kern w:val="0"/>
                <w:sz w:val="18"/>
                <w:szCs w:val="18"/>
              </w:rPr>
            </w:pPr>
            <w:r>
              <w:rPr>
                <w:rFonts w:hint="eastAsia"/>
                <w:color w:val="000000"/>
                <w:kern w:val="0"/>
                <w:sz w:val="18"/>
                <w:szCs w:val="18"/>
              </w:rPr>
              <w:t>责令限期改正，罚款</w:t>
            </w:r>
          </w:p>
        </w:tc>
      </w:tr>
      <w:tr w14:paraId="6A8E74AA">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A22C2A7">
            <w:pPr>
              <w:spacing w:line="320" w:lineRule="exact"/>
              <w:jc w:val="center"/>
              <w:rPr>
                <w:color w:val="000000"/>
                <w:kern w:val="0"/>
                <w:sz w:val="18"/>
                <w:szCs w:val="18"/>
              </w:rPr>
            </w:pPr>
            <w:r>
              <w:rPr>
                <w:rFonts w:hint="eastAsia"/>
                <w:color w:val="000000"/>
                <w:kern w:val="0"/>
                <w:sz w:val="18"/>
                <w:szCs w:val="18"/>
              </w:rPr>
              <w:t>裁量基准</w:t>
            </w:r>
          </w:p>
        </w:tc>
      </w:tr>
      <w:tr w14:paraId="62ACD148">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7EEE147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AB9803F">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color="auto" w:sz="4" w:space="0"/>
              <w:bottom w:val="single" w:color="auto" w:sz="4" w:space="0"/>
              <w:right w:val="single" w:color="auto" w:sz="4" w:space="0"/>
            </w:tcBorders>
            <w:vAlign w:val="center"/>
          </w:tcPr>
          <w:p w14:paraId="6A16ED23">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343749AC">
            <w:pPr>
              <w:spacing w:line="320" w:lineRule="exact"/>
              <w:jc w:val="left"/>
              <w:rPr>
                <w:color w:val="000000"/>
                <w:kern w:val="0"/>
                <w:sz w:val="18"/>
                <w:szCs w:val="18"/>
              </w:rPr>
            </w:pPr>
            <w:r>
              <w:rPr>
                <w:rFonts w:hint="eastAsia"/>
                <w:color w:val="000000"/>
                <w:kern w:val="0"/>
                <w:sz w:val="18"/>
                <w:szCs w:val="18"/>
              </w:rPr>
              <w:t>处委托合同价款</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以下的罚款</w:t>
            </w:r>
          </w:p>
        </w:tc>
      </w:tr>
      <w:tr w14:paraId="27EDB950">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B43A8F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466BFFB">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tcBorders>
              <w:top w:val="nil"/>
              <w:left w:val="single" w:color="auto" w:sz="4" w:space="0"/>
              <w:bottom w:val="single" w:color="auto" w:sz="4" w:space="0"/>
              <w:right w:val="single" w:color="auto" w:sz="4" w:space="0"/>
            </w:tcBorders>
            <w:vAlign w:val="center"/>
          </w:tcPr>
          <w:p w14:paraId="3993A923">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9E34102">
            <w:pPr>
              <w:spacing w:line="320" w:lineRule="exact"/>
              <w:jc w:val="left"/>
              <w:rPr>
                <w:color w:val="000000"/>
                <w:kern w:val="0"/>
                <w:sz w:val="18"/>
                <w:szCs w:val="18"/>
              </w:rPr>
            </w:pPr>
            <w:r>
              <w:rPr>
                <w:rFonts w:hint="eastAsia"/>
                <w:color w:val="000000"/>
                <w:kern w:val="0"/>
                <w:sz w:val="18"/>
                <w:szCs w:val="18"/>
              </w:rPr>
              <w:t>处委托合同价款</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w:t>
            </w:r>
          </w:p>
        </w:tc>
      </w:tr>
    </w:tbl>
    <w:p w14:paraId="228BB321"/>
    <w:p w14:paraId="3A93818D"/>
    <w:p w14:paraId="03BDB6E8"/>
    <w:p w14:paraId="6A534453"/>
    <w:p w14:paraId="40A6D2CB"/>
    <w:p w14:paraId="6BC9B00A"/>
    <w:p w14:paraId="0CBCE492"/>
    <w:p w14:paraId="3D0DE0D0"/>
    <w:p w14:paraId="74A76069"/>
    <w:p w14:paraId="5ADBEB59"/>
    <w:tbl>
      <w:tblPr>
        <w:tblStyle w:val="15"/>
        <w:tblW w:w="0" w:type="auto"/>
        <w:tblInd w:w="78" w:type="dxa"/>
        <w:tblLayout w:type="fixed"/>
        <w:tblCellMar>
          <w:top w:w="0" w:type="dxa"/>
          <w:left w:w="108" w:type="dxa"/>
          <w:bottom w:w="0" w:type="dxa"/>
          <w:right w:w="108" w:type="dxa"/>
        </w:tblCellMar>
      </w:tblPr>
      <w:tblGrid>
        <w:gridCol w:w="1070"/>
        <w:gridCol w:w="1512"/>
        <w:gridCol w:w="4628"/>
        <w:gridCol w:w="1080"/>
        <w:gridCol w:w="5760"/>
      </w:tblGrid>
      <w:tr w14:paraId="4A9DA976">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7CBD63AF">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16D25E2E">
            <w:pPr>
              <w:spacing w:line="320" w:lineRule="exact"/>
              <w:jc w:val="left"/>
              <w:rPr>
                <w:rFonts w:eastAsia="仿宋_GB2312"/>
                <w:b/>
                <w:bCs/>
                <w:color w:val="000000"/>
                <w:kern w:val="0"/>
                <w:sz w:val="18"/>
                <w:szCs w:val="18"/>
              </w:rPr>
            </w:pPr>
            <w:r>
              <w:rPr>
                <w:rFonts w:eastAsia="仿宋_GB2312"/>
                <w:b/>
                <w:bCs/>
                <w:color w:val="000000"/>
                <w:kern w:val="0"/>
                <w:sz w:val="18"/>
                <w:szCs w:val="18"/>
              </w:rPr>
              <w:t>320217613000</w:t>
            </w:r>
            <w:r>
              <w:rPr>
                <w:rFonts w:hint="eastAsia" w:eastAsia="仿宋_GB2312"/>
                <w:b/>
                <w:bCs/>
                <w:color w:val="000000"/>
                <w:kern w:val="0"/>
                <w:sz w:val="18"/>
                <w:szCs w:val="18"/>
              </w:rPr>
              <w:t xml:space="preserve"> </w:t>
            </w:r>
          </w:p>
        </w:tc>
      </w:tr>
      <w:tr w14:paraId="58284D07">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7FE3101">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1D629581">
            <w:pPr>
              <w:spacing w:line="320" w:lineRule="exact"/>
              <w:jc w:val="left"/>
              <w:rPr>
                <w:color w:val="000000"/>
                <w:kern w:val="0"/>
                <w:sz w:val="18"/>
                <w:szCs w:val="18"/>
              </w:rPr>
            </w:pPr>
            <w:r>
              <w:rPr>
                <w:rFonts w:hint="eastAsia"/>
                <w:color w:val="000000"/>
                <w:kern w:val="0"/>
                <w:sz w:val="18"/>
                <w:szCs w:val="18"/>
              </w:rPr>
              <w:t>对物业服务企业未经业主大会同意</w:t>
            </w:r>
            <w:r>
              <w:rPr>
                <w:color w:val="000000"/>
                <w:kern w:val="0"/>
                <w:sz w:val="18"/>
                <w:szCs w:val="18"/>
              </w:rPr>
              <w:t xml:space="preserve"> </w:t>
            </w:r>
            <w:r>
              <w:rPr>
                <w:rFonts w:hint="eastAsia"/>
                <w:color w:val="000000"/>
                <w:kern w:val="0"/>
                <w:sz w:val="18"/>
                <w:szCs w:val="18"/>
              </w:rPr>
              <w:t>擅自改变物业管理用房的用途的处罚</w:t>
            </w:r>
          </w:p>
        </w:tc>
      </w:tr>
      <w:tr w14:paraId="050BF433">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20D32712">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041A0B5E">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14:paraId="29FA9A9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物业管理用房的所有权依法属于业主。未经业主大会同意，物业服务企业不得改变物业管理用房的用途。</w:t>
            </w:r>
          </w:p>
          <w:p w14:paraId="04871DFF">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第六十二条</w:t>
            </w:r>
            <w:r>
              <w:rPr>
                <w:color w:val="000000"/>
                <w:kern w:val="0"/>
                <w:sz w:val="18"/>
                <w:szCs w:val="18"/>
              </w:rPr>
              <w:t xml:space="preserve"> </w:t>
            </w:r>
            <w:r>
              <w:rPr>
                <w:rFonts w:hint="eastAsia"/>
                <w:color w:val="000000"/>
                <w:kern w:val="0"/>
                <w:sz w:val="18"/>
                <w:szCs w:val="18"/>
              </w:rPr>
              <w:t>违反本条例的规定，未经业主大会同意，物业服务企业擅自改变物业管理用房的用途的，由县级以上地方人民政府房地产行政主管部门责令限期改正，给予警告，并处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万元以下的罚款；有收益的，所得收益用于物业管理区域内物业共用部位、共用设施设备的维修、养护，剩余部分按照业主大会的决定使用。</w:t>
            </w:r>
          </w:p>
        </w:tc>
      </w:tr>
      <w:tr w14:paraId="4C91177A">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6D6E801">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28048B02">
            <w:pPr>
              <w:spacing w:line="320" w:lineRule="exact"/>
              <w:jc w:val="left"/>
              <w:rPr>
                <w:color w:val="000000"/>
                <w:kern w:val="0"/>
                <w:sz w:val="18"/>
                <w:szCs w:val="18"/>
              </w:rPr>
            </w:pPr>
            <w:r>
              <w:rPr>
                <w:rFonts w:hint="eastAsia"/>
                <w:color w:val="000000"/>
                <w:kern w:val="0"/>
                <w:sz w:val="18"/>
                <w:szCs w:val="18"/>
              </w:rPr>
              <w:t>警告、罚款</w:t>
            </w:r>
          </w:p>
        </w:tc>
      </w:tr>
      <w:tr w14:paraId="1A98DBA3">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645C0703">
            <w:pPr>
              <w:spacing w:line="320" w:lineRule="exact"/>
              <w:jc w:val="center"/>
              <w:rPr>
                <w:color w:val="000000"/>
                <w:kern w:val="0"/>
                <w:sz w:val="18"/>
                <w:szCs w:val="18"/>
              </w:rPr>
            </w:pPr>
            <w:r>
              <w:rPr>
                <w:rFonts w:hint="eastAsia"/>
                <w:color w:val="000000"/>
                <w:kern w:val="0"/>
                <w:sz w:val="18"/>
                <w:szCs w:val="18"/>
              </w:rPr>
              <w:t>裁量基准</w:t>
            </w:r>
          </w:p>
        </w:tc>
      </w:tr>
      <w:tr w14:paraId="29B3E498">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0A185ADD">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0C3406F3">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color="auto" w:sz="4" w:space="0"/>
              <w:bottom w:val="single" w:color="auto" w:sz="4" w:space="0"/>
              <w:right w:val="single" w:color="auto" w:sz="4" w:space="0"/>
            </w:tcBorders>
            <w:vAlign w:val="center"/>
          </w:tcPr>
          <w:p w14:paraId="43C7FDAA">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4471877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6401A19D">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4710B916">
            <w:pPr>
              <w:spacing w:line="320" w:lineRule="exact"/>
              <w:jc w:val="left"/>
              <w:rPr>
                <w:color w:val="000000"/>
                <w:kern w:val="0"/>
                <w:sz w:val="18"/>
                <w:szCs w:val="18"/>
              </w:rPr>
            </w:pPr>
          </w:p>
        </w:tc>
        <w:tc>
          <w:tcPr>
            <w:tcW w:w="1512" w:type="dxa"/>
            <w:vMerge w:val="restart"/>
            <w:tcBorders>
              <w:top w:val="single" w:color="auto" w:sz="4" w:space="0"/>
              <w:left w:val="nil"/>
              <w:right w:val="single" w:color="auto" w:sz="4" w:space="0"/>
            </w:tcBorders>
            <w:vAlign w:val="center"/>
          </w:tcPr>
          <w:p w14:paraId="32C70344">
            <w:pPr>
              <w:spacing w:line="320" w:lineRule="exact"/>
              <w:jc w:val="left"/>
              <w:rPr>
                <w:color w:val="000000"/>
                <w:kern w:val="0"/>
                <w:sz w:val="18"/>
                <w:szCs w:val="18"/>
              </w:rPr>
            </w:pPr>
            <w:r>
              <w:rPr>
                <w:rFonts w:hint="eastAsia"/>
                <w:color w:val="000000"/>
                <w:kern w:val="0"/>
                <w:sz w:val="18"/>
                <w:szCs w:val="18"/>
              </w:rPr>
              <w:t>未按照要求整改</w:t>
            </w:r>
          </w:p>
        </w:tc>
        <w:tc>
          <w:tcPr>
            <w:tcW w:w="4628" w:type="dxa"/>
            <w:tcBorders>
              <w:top w:val="single" w:color="auto" w:sz="4" w:space="0"/>
              <w:left w:val="nil"/>
              <w:bottom w:val="single" w:color="auto" w:sz="4" w:space="0"/>
              <w:right w:val="single" w:color="auto" w:sz="4" w:space="0"/>
            </w:tcBorders>
            <w:vAlign w:val="center"/>
          </w:tcPr>
          <w:p w14:paraId="33E1BCC8">
            <w:pPr>
              <w:spacing w:line="320" w:lineRule="exact"/>
              <w:jc w:val="left"/>
              <w:rPr>
                <w:color w:val="000000"/>
                <w:kern w:val="0"/>
                <w:sz w:val="18"/>
                <w:szCs w:val="18"/>
              </w:rPr>
            </w:pPr>
            <w:r>
              <w:rPr>
                <w:rFonts w:hint="eastAsia"/>
                <w:color w:val="000000"/>
                <w:kern w:val="0"/>
                <w:sz w:val="18"/>
                <w:szCs w:val="18"/>
              </w:rPr>
              <w:t>逾期整改到位的</w:t>
            </w:r>
          </w:p>
        </w:tc>
        <w:tc>
          <w:tcPr>
            <w:tcW w:w="1080" w:type="dxa"/>
            <w:vMerge w:val="continue"/>
            <w:tcBorders>
              <w:top w:val="nil"/>
              <w:left w:val="single" w:color="auto" w:sz="4" w:space="0"/>
              <w:bottom w:val="single" w:color="auto" w:sz="4" w:space="0"/>
              <w:right w:val="single" w:color="auto" w:sz="4" w:space="0"/>
            </w:tcBorders>
            <w:vAlign w:val="center"/>
          </w:tcPr>
          <w:p w14:paraId="75B4FD59">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EDD25F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14:paraId="4C26F7E7">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602831DD">
            <w:pPr>
              <w:spacing w:line="320" w:lineRule="exact"/>
              <w:jc w:val="left"/>
              <w:rPr>
                <w:color w:val="000000"/>
                <w:kern w:val="0"/>
                <w:sz w:val="18"/>
                <w:szCs w:val="18"/>
              </w:rPr>
            </w:pPr>
          </w:p>
        </w:tc>
        <w:tc>
          <w:tcPr>
            <w:tcW w:w="1512" w:type="dxa"/>
            <w:vMerge w:val="continue"/>
            <w:tcBorders>
              <w:left w:val="nil"/>
              <w:right w:val="single" w:color="auto" w:sz="4" w:space="0"/>
            </w:tcBorders>
            <w:vAlign w:val="center"/>
          </w:tcPr>
          <w:p w14:paraId="2283BA8A">
            <w:pPr>
              <w:spacing w:line="320" w:lineRule="exact"/>
              <w:jc w:val="left"/>
              <w:rPr>
                <w:color w:val="000000"/>
                <w:kern w:val="0"/>
                <w:sz w:val="18"/>
                <w:szCs w:val="18"/>
              </w:rPr>
            </w:pPr>
          </w:p>
        </w:tc>
        <w:tc>
          <w:tcPr>
            <w:tcW w:w="4628" w:type="dxa"/>
            <w:tcBorders>
              <w:top w:val="single" w:color="auto" w:sz="4" w:space="0"/>
              <w:left w:val="nil"/>
              <w:bottom w:val="single" w:color="auto" w:sz="4" w:space="0"/>
              <w:right w:val="single" w:color="auto" w:sz="4" w:space="0"/>
            </w:tcBorders>
            <w:vAlign w:val="center"/>
          </w:tcPr>
          <w:p w14:paraId="785AEDFF">
            <w:pPr>
              <w:spacing w:line="320" w:lineRule="exact"/>
              <w:jc w:val="left"/>
              <w:rPr>
                <w:color w:val="000000"/>
                <w:kern w:val="0"/>
                <w:sz w:val="18"/>
                <w:szCs w:val="18"/>
              </w:rPr>
            </w:pPr>
            <w:r>
              <w:rPr>
                <w:rFonts w:hint="eastAsia"/>
                <w:color w:val="000000"/>
                <w:kern w:val="0"/>
                <w:sz w:val="18"/>
                <w:szCs w:val="18"/>
              </w:rPr>
              <w:t>整改不到位的</w:t>
            </w:r>
          </w:p>
        </w:tc>
        <w:tc>
          <w:tcPr>
            <w:tcW w:w="1080" w:type="dxa"/>
            <w:vMerge w:val="continue"/>
            <w:tcBorders>
              <w:top w:val="nil"/>
              <w:left w:val="single" w:color="auto" w:sz="4" w:space="0"/>
              <w:bottom w:val="single" w:color="auto" w:sz="4" w:space="0"/>
              <w:right w:val="single" w:color="auto" w:sz="4" w:space="0"/>
            </w:tcBorders>
            <w:vAlign w:val="center"/>
          </w:tcPr>
          <w:p w14:paraId="161D4F00">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4C0F6EE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14:paraId="10CD4172">
        <w:tblPrEx>
          <w:tblCellMar>
            <w:top w:w="0" w:type="dxa"/>
            <w:left w:w="108" w:type="dxa"/>
            <w:bottom w:w="0" w:type="dxa"/>
            <w:right w:w="108" w:type="dxa"/>
          </w:tblCellMar>
        </w:tblPrEx>
        <w:trPr>
          <w:trHeight w:val="401" w:hRule="atLeast"/>
        </w:trPr>
        <w:tc>
          <w:tcPr>
            <w:tcW w:w="1070" w:type="dxa"/>
            <w:vMerge w:val="continue"/>
            <w:tcBorders>
              <w:top w:val="nil"/>
              <w:left w:val="single" w:color="auto" w:sz="8" w:space="0"/>
              <w:bottom w:val="single" w:color="auto" w:sz="4" w:space="0"/>
              <w:right w:val="single" w:color="auto" w:sz="4" w:space="0"/>
            </w:tcBorders>
            <w:vAlign w:val="center"/>
          </w:tcPr>
          <w:p w14:paraId="5474F422">
            <w:pPr>
              <w:spacing w:line="320" w:lineRule="exact"/>
              <w:jc w:val="left"/>
              <w:rPr>
                <w:color w:val="000000"/>
                <w:kern w:val="0"/>
                <w:sz w:val="18"/>
                <w:szCs w:val="18"/>
              </w:rPr>
            </w:pPr>
          </w:p>
        </w:tc>
        <w:tc>
          <w:tcPr>
            <w:tcW w:w="1512" w:type="dxa"/>
            <w:vMerge w:val="continue"/>
            <w:tcBorders>
              <w:left w:val="nil"/>
              <w:bottom w:val="single" w:color="auto" w:sz="4" w:space="0"/>
              <w:right w:val="single" w:color="auto" w:sz="4" w:space="0"/>
            </w:tcBorders>
            <w:vAlign w:val="center"/>
          </w:tcPr>
          <w:p w14:paraId="393FC504">
            <w:pPr>
              <w:spacing w:line="320" w:lineRule="exact"/>
              <w:jc w:val="left"/>
              <w:rPr>
                <w:color w:val="000000"/>
                <w:kern w:val="0"/>
                <w:sz w:val="18"/>
                <w:szCs w:val="18"/>
              </w:rPr>
            </w:pPr>
          </w:p>
        </w:tc>
        <w:tc>
          <w:tcPr>
            <w:tcW w:w="4628" w:type="dxa"/>
            <w:tcBorders>
              <w:top w:val="single" w:color="auto" w:sz="4" w:space="0"/>
              <w:left w:val="nil"/>
              <w:bottom w:val="single" w:color="auto" w:sz="4" w:space="0"/>
              <w:right w:val="single" w:color="auto" w:sz="4" w:space="0"/>
            </w:tcBorders>
            <w:vAlign w:val="center"/>
          </w:tcPr>
          <w:p w14:paraId="076C5CEA">
            <w:pPr>
              <w:spacing w:line="320" w:lineRule="exact"/>
              <w:jc w:val="left"/>
              <w:rPr>
                <w:color w:val="000000"/>
                <w:kern w:val="0"/>
                <w:sz w:val="18"/>
                <w:szCs w:val="18"/>
              </w:rPr>
            </w:pPr>
            <w:r>
              <w:rPr>
                <w:rFonts w:hint="eastAsia"/>
                <w:color w:val="000000"/>
                <w:kern w:val="0"/>
                <w:sz w:val="18"/>
                <w:szCs w:val="18"/>
              </w:rPr>
              <w:t>未整改的</w:t>
            </w:r>
          </w:p>
        </w:tc>
        <w:tc>
          <w:tcPr>
            <w:tcW w:w="1080" w:type="dxa"/>
            <w:vMerge w:val="continue"/>
            <w:tcBorders>
              <w:top w:val="nil"/>
              <w:left w:val="single" w:color="auto" w:sz="4" w:space="0"/>
              <w:bottom w:val="single" w:color="auto" w:sz="4" w:space="0"/>
              <w:right w:val="single" w:color="auto" w:sz="4" w:space="0"/>
            </w:tcBorders>
            <w:vAlign w:val="center"/>
          </w:tcPr>
          <w:p w14:paraId="49879FE2">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67D8E9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7F5993FE"/>
    <w:p w14:paraId="543A47CC"/>
    <w:p w14:paraId="74B59E00"/>
    <w:p w14:paraId="6967E0FB"/>
    <w:p w14:paraId="227331EA"/>
    <w:p w14:paraId="33C5B426"/>
    <w:p w14:paraId="0E8C660C"/>
    <w:p w14:paraId="1D9111B3"/>
    <w:p w14:paraId="75EF937D"/>
    <w:p w14:paraId="538B16FA"/>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622A4E45">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ADE5B91">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auto" w:sz="8" w:space="0"/>
            </w:tcBorders>
            <w:vAlign w:val="center"/>
          </w:tcPr>
          <w:p w14:paraId="6A6679F1">
            <w:pPr>
              <w:spacing w:line="320" w:lineRule="exact"/>
              <w:jc w:val="left"/>
              <w:rPr>
                <w:rFonts w:eastAsia="仿宋_GB2312"/>
                <w:b/>
                <w:bCs/>
                <w:color w:val="000000"/>
                <w:kern w:val="0"/>
                <w:sz w:val="18"/>
                <w:szCs w:val="18"/>
              </w:rPr>
            </w:pPr>
            <w:r>
              <w:rPr>
                <w:rFonts w:eastAsia="仿宋_GB2312"/>
                <w:b/>
                <w:bCs/>
                <w:color w:val="000000"/>
                <w:kern w:val="0"/>
                <w:sz w:val="18"/>
                <w:szCs w:val="18"/>
              </w:rPr>
              <w:t>320217614000</w:t>
            </w:r>
          </w:p>
        </w:tc>
      </w:tr>
      <w:tr w14:paraId="62229B2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CE0A34D">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auto" w:sz="8" w:space="0"/>
            </w:tcBorders>
            <w:vAlign w:val="center"/>
          </w:tcPr>
          <w:p w14:paraId="08B1A777">
            <w:pPr>
              <w:spacing w:line="320" w:lineRule="exact"/>
              <w:jc w:val="left"/>
              <w:rPr>
                <w:color w:val="000000"/>
                <w:kern w:val="0"/>
                <w:sz w:val="18"/>
                <w:szCs w:val="18"/>
              </w:rPr>
            </w:pPr>
            <w:r>
              <w:rPr>
                <w:rFonts w:hint="eastAsia"/>
                <w:color w:val="000000"/>
                <w:kern w:val="0"/>
                <w:sz w:val="18"/>
                <w:szCs w:val="18"/>
              </w:rPr>
              <w:t>对检测机构转包或者违法分包建设工程质量检测业务的处罚</w:t>
            </w:r>
          </w:p>
        </w:tc>
      </w:tr>
      <w:tr w14:paraId="5D413427">
        <w:tblPrEx>
          <w:tblCellMar>
            <w:top w:w="0" w:type="dxa"/>
            <w:left w:w="108" w:type="dxa"/>
            <w:bottom w:w="0" w:type="dxa"/>
            <w:right w:w="108" w:type="dxa"/>
          </w:tblCellMar>
        </w:tblPrEx>
        <w:trPr>
          <w:trHeight w:val="1335" w:hRule="atLeast"/>
        </w:trPr>
        <w:tc>
          <w:tcPr>
            <w:tcW w:w="1010" w:type="dxa"/>
            <w:tcBorders>
              <w:top w:val="nil"/>
              <w:left w:val="single" w:color="auto" w:sz="8" w:space="0"/>
              <w:bottom w:val="single" w:color="auto" w:sz="4" w:space="0"/>
              <w:right w:val="single" w:color="auto" w:sz="4" w:space="0"/>
            </w:tcBorders>
            <w:vAlign w:val="center"/>
          </w:tcPr>
          <w:p w14:paraId="6C91C688">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auto" w:sz="8" w:space="0"/>
            </w:tcBorders>
            <w:vAlign w:val="center"/>
          </w:tcPr>
          <w:p w14:paraId="71E33832">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594FB9DB">
            <w:pPr>
              <w:spacing w:line="320" w:lineRule="exact"/>
              <w:jc w:val="left"/>
              <w:rPr>
                <w:color w:val="000000"/>
                <w:kern w:val="0"/>
                <w:sz w:val="18"/>
                <w:szCs w:val="18"/>
              </w:rPr>
            </w:pPr>
            <w:r>
              <w:rPr>
                <w:rFonts w:hint="eastAsia"/>
                <w:color w:val="000000"/>
                <w:kern w:val="0"/>
                <w:sz w:val="18"/>
                <w:szCs w:val="18"/>
              </w:rPr>
              <w:t>　 第三十条　检测机构不得有下列行为：</w:t>
            </w:r>
          </w:p>
          <w:p w14:paraId="669B3CAF">
            <w:pPr>
              <w:spacing w:line="320" w:lineRule="exact"/>
              <w:jc w:val="left"/>
              <w:rPr>
                <w:color w:val="000000"/>
                <w:kern w:val="0"/>
                <w:sz w:val="18"/>
                <w:szCs w:val="18"/>
              </w:rPr>
            </w:pPr>
            <w:r>
              <w:rPr>
                <w:rFonts w:hint="eastAsia"/>
                <w:color w:val="000000"/>
                <w:kern w:val="0"/>
                <w:sz w:val="18"/>
                <w:szCs w:val="18"/>
              </w:rPr>
              <w:t xml:space="preserve">   （二）转包或者违法分包建设工程质量检测业务；</w:t>
            </w:r>
          </w:p>
          <w:p w14:paraId="6C2BB064">
            <w:pPr>
              <w:spacing w:line="320" w:lineRule="exact"/>
              <w:jc w:val="left"/>
              <w:rPr>
                <w:color w:val="000000"/>
                <w:kern w:val="0"/>
                <w:sz w:val="18"/>
                <w:szCs w:val="18"/>
              </w:rPr>
            </w:pPr>
            <w:r>
              <w:rPr>
                <w:rFonts w:hint="eastAsia"/>
                <w:color w:val="000000"/>
                <w:kern w:val="0"/>
                <w:sz w:val="18"/>
                <w:szCs w:val="18"/>
              </w:rPr>
              <w:t xml:space="preserve">   第四十四条第一款　检测机构违反本办法规定，有第三十条第二项至第五项行为之一的，由县级以上地方人民政府住房和城乡建设主管部门责令改正，处5万元以上10万元以下罚款；造成危害后果的，处10万元以上20万元以下罚款；构成犯罪的，依法追究刑事责任。</w:t>
            </w:r>
          </w:p>
          <w:p w14:paraId="043FBE69">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413590E2">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35226B9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4516749">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auto" w:sz="8" w:space="0"/>
            </w:tcBorders>
            <w:vAlign w:val="center"/>
          </w:tcPr>
          <w:p w14:paraId="105532F9">
            <w:pPr>
              <w:spacing w:line="320" w:lineRule="exact"/>
              <w:jc w:val="left"/>
              <w:rPr>
                <w:color w:val="000000"/>
                <w:kern w:val="0"/>
                <w:sz w:val="18"/>
                <w:szCs w:val="18"/>
              </w:rPr>
            </w:pPr>
            <w:r>
              <w:rPr>
                <w:rFonts w:hint="eastAsia"/>
                <w:color w:val="000000"/>
                <w:kern w:val="0"/>
                <w:sz w:val="18"/>
                <w:szCs w:val="18"/>
              </w:rPr>
              <w:t>责令改正，罚款，没收违法所得</w:t>
            </w:r>
          </w:p>
        </w:tc>
      </w:tr>
      <w:tr w14:paraId="56FDC563">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auto" w:sz="8" w:space="0"/>
            </w:tcBorders>
            <w:vAlign w:val="center"/>
          </w:tcPr>
          <w:p w14:paraId="343DF768">
            <w:pPr>
              <w:spacing w:line="320" w:lineRule="exact"/>
              <w:jc w:val="center"/>
              <w:rPr>
                <w:color w:val="000000"/>
                <w:kern w:val="0"/>
                <w:sz w:val="18"/>
                <w:szCs w:val="18"/>
              </w:rPr>
            </w:pPr>
            <w:r>
              <w:rPr>
                <w:rFonts w:hint="eastAsia"/>
                <w:color w:val="000000"/>
                <w:kern w:val="0"/>
                <w:sz w:val="18"/>
                <w:szCs w:val="18"/>
              </w:rPr>
              <w:t>裁量基准</w:t>
            </w:r>
          </w:p>
        </w:tc>
      </w:tr>
      <w:tr w14:paraId="304B5678">
        <w:tblPrEx>
          <w:tblCellMar>
            <w:top w:w="0" w:type="dxa"/>
            <w:left w:w="108" w:type="dxa"/>
            <w:bottom w:w="0" w:type="dxa"/>
            <w:right w:w="108" w:type="dxa"/>
          </w:tblCellMar>
        </w:tblPrEx>
        <w:trPr>
          <w:trHeight w:val="480" w:hRule="atLeast"/>
        </w:trPr>
        <w:tc>
          <w:tcPr>
            <w:tcW w:w="1010" w:type="dxa"/>
            <w:vMerge w:val="restart"/>
            <w:tcBorders>
              <w:top w:val="nil"/>
              <w:left w:val="single" w:color="auto" w:sz="8" w:space="0"/>
              <w:right w:val="single" w:color="auto" w:sz="4" w:space="0"/>
            </w:tcBorders>
            <w:vAlign w:val="center"/>
          </w:tcPr>
          <w:p w14:paraId="4153180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92506D4">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color="auto" w:sz="4" w:space="0"/>
              <w:left w:val="single" w:color="auto" w:sz="4" w:space="0"/>
              <w:right w:val="single" w:color="auto" w:sz="4" w:space="0"/>
            </w:tcBorders>
            <w:vAlign w:val="center"/>
          </w:tcPr>
          <w:p w14:paraId="23C6CCBE">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color="auto" w:sz="4" w:space="0"/>
              <w:left w:val="single" w:color="auto" w:sz="4" w:space="0"/>
              <w:bottom w:val="single" w:color="auto" w:sz="4" w:space="0"/>
              <w:right w:val="single" w:color="auto" w:sz="4" w:space="0"/>
            </w:tcBorders>
            <w:vAlign w:val="center"/>
          </w:tcPr>
          <w:p w14:paraId="34960C64">
            <w:pPr>
              <w:rPr>
                <w:color w:val="000000"/>
              </w:rPr>
            </w:pPr>
            <w:r>
              <w:rPr>
                <w:rFonts w:hint="eastAsia"/>
                <w:color w:val="000000"/>
              </w:rPr>
              <w:t>对单位：处5万元以上7万元以下的罚款</w:t>
            </w:r>
          </w:p>
          <w:p w14:paraId="75B73BD2">
            <w:pPr>
              <w:spacing w:line="320" w:lineRule="exact"/>
              <w:jc w:val="left"/>
              <w:rPr>
                <w:color w:val="000000"/>
                <w:kern w:val="0"/>
                <w:sz w:val="18"/>
                <w:szCs w:val="18"/>
              </w:rPr>
            </w:pPr>
            <w:r>
              <w:rPr>
                <w:rFonts w:hint="eastAsia"/>
                <w:color w:val="000000"/>
              </w:rPr>
              <w:t>对个人：处1万元以下的罚款</w:t>
            </w:r>
          </w:p>
        </w:tc>
      </w:tr>
      <w:tr w14:paraId="254C8C89">
        <w:tblPrEx>
          <w:tblCellMar>
            <w:top w:w="0" w:type="dxa"/>
            <w:left w:w="108" w:type="dxa"/>
            <w:bottom w:w="0" w:type="dxa"/>
            <w:right w:w="108" w:type="dxa"/>
          </w:tblCellMar>
        </w:tblPrEx>
        <w:trPr>
          <w:trHeight w:val="480" w:hRule="atLeast"/>
        </w:trPr>
        <w:tc>
          <w:tcPr>
            <w:tcW w:w="1010" w:type="dxa"/>
            <w:vMerge w:val="continue"/>
            <w:tcBorders>
              <w:left w:val="single" w:color="auto" w:sz="8" w:space="0"/>
              <w:right w:val="single" w:color="auto" w:sz="4" w:space="0"/>
            </w:tcBorders>
            <w:vAlign w:val="center"/>
          </w:tcPr>
          <w:p w14:paraId="628055A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CF7B22C">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val="continue"/>
            <w:tcBorders>
              <w:left w:val="single" w:color="auto" w:sz="4" w:space="0"/>
              <w:right w:val="single" w:color="auto" w:sz="4" w:space="0"/>
            </w:tcBorders>
            <w:vAlign w:val="center"/>
          </w:tcPr>
          <w:p w14:paraId="2B417ADC">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69B945EF">
            <w:pPr>
              <w:rPr>
                <w:color w:val="000000"/>
              </w:rPr>
            </w:pPr>
            <w:r>
              <w:rPr>
                <w:rFonts w:hint="eastAsia"/>
                <w:color w:val="000000"/>
              </w:rPr>
              <w:t>对单位：处7万元以上10万元以下的罚款</w:t>
            </w:r>
          </w:p>
          <w:p w14:paraId="54A1AC3E">
            <w:pPr>
              <w:spacing w:line="320" w:lineRule="exact"/>
              <w:jc w:val="left"/>
              <w:rPr>
                <w:color w:val="000000"/>
                <w:kern w:val="0"/>
                <w:sz w:val="18"/>
                <w:szCs w:val="18"/>
              </w:rPr>
            </w:pPr>
            <w:r>
              <w:rPr>
                <w:rFonts w:hint="eastAsia"/>
                <w:color w:val="000000"/>
              </w:rPr>
              <w:t>对个人：处1万元以上1.5万元以下的罚款</w:t>
            </w:r>
          </w:p>
        </w:tc>
      </w:tr>
      <w:tr w14:paraId="2B94962F">
        <w:tblPrEx>
          <w:tblCellMar>
            <w:top w:w="0" w:type="dxa"/>
            <w:left w:w="108" w:type="dxa"/>
            <w:bottom w:w="0" w:type="dxa"/>
            <w:right w:w="108" w:type="dxa"/>
          </w:tblCellMar>
        </w:tblPrEx>
        <w:trPr>
          <w:trHeight w:val="480" w:hRule="atLeast"/>
        </w:trPr>
        <w:tc>
          <w:tcPr>
            <w:tcW w:w="1010" w:type="dxa"/>
            <w:vMerge w:val="continue"/>
            <w:tcBorders>
              <w:left w:val="single" w:color="auto" w:sz="8" w:space="0"/>
              <w:right w:val="single" w:color="auto" w:sz="4" w:space="0"/>
            </w:tcBorders>
            <w:vAlign w:val="center"/>
          </w:tcPr>
          <w:p w14:paraId="7CC346F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A066DD3">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val="continue"/>
            <w:tcBorders>
              <w:left w:val="single" w:color="auto" w:sz="4" w:space="0"/>
              <w:right w:val="single" w:color="auto" w:sz="4" w:space="0"/>
            </w:tcBorders>
            <w:vAlign w:val="center"/>
          </w:tcPr>
          <w:p w14:paraId="5A9CFFEC">
            <w:pPr>
              <w:spacing w:line="320" w:lineRule="exact"/>
              <w:jc w:val="center"/>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1FE8447E">
            <w:pPr>
              <w:rPr>
                <w:color w:val="000000"/>
              </w:rPr>
            </w:pPr>
            <w:r>
              <w:rPr>
                <w:rFonts w:hint="eastAsia"/>
                <w:color w:val="000000"/>
              </w:rPr>
              <w:t>对单位：处10万元以上15万元以下的罚款</w:t>
            </w:r>
          </w:p>
          <w:p w14:paraId="532619B2">
            <w:pPr>
              <w:spacing w:line="320" w:lineRule="exact"/>
              <w:jc w:val="left"/>
              <w:rPr>
                <w:color w:val="000000"/>
                <w:kern w:val="0"/>
                <w:sz w:val="18"/>
                <w:szCs w:val="18"/>
              </w:rPr>
            </w:pPr>
            <w:r>
              <w:rPr>
                <w:rFonts w:hint="eastAsia"/>
                <w:color w:val="000000"/>
              </w:rPr>
              <w:t>对个人：处1.5万元以上2万元以下的罚款</w:t>
            </w:r>
          </w:p>
        </w:tc>
      </w:tr>
      <w:tr w14:paraId="7934DABA">
        <w:tblPrEx>
          <w:tblCellMar>
            <w:top w:w="0" w:type="dxa"/>
            <w:left w:w="108" w:type="dxa"/>
            <w:bottom w:w="0" w:type="dxa"/>
            <w:right w:w="108" w:type="dxa"/>
          </w:tblCellMar>
        </w:tblPrEx>
        <w:trPr>
          <w:trHeight w:val="480" w:hRule="atLeast"/>
        </w:trPr>
        <w:tc>
          <w:tcPr>
            <w:tcW w:w="1010" w:type="dxa"/>
            <w:vMerge w:val="continue"/>
            <w:tcBorders>
              <w:left w:val="single" w:color="auto" w:sz="8" w:space="0"/>
              <w:bottom w:val="single" w:color="000000" w:sz="4" w:space="0"/>
              <w:right w:val="single" w:color="auto" w:sz="4" w:space="0"/>
            </w:tcBorders>
            <w:vAlign w:val="center"/>
          </w:tcPr>
          <w:p w14:paraId="359137B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F8961B0">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val="continue"/>
            <w:tcBorders>
              <w:left w:val="single" w:color="auto" w:sz="4" w:space="0"/>
              <w:bottom w:val="single" w:color="auto" w:sz="4" w:space="0"/>
              <w:right w:val="single" w:color="auto" w:sz="4" w:space="0"/>
            </w:tcBorders>
            <w:vAlign w:val="center"/>
          </w:tcPr>
          <w:p w14:paraId="07A684A0">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6417A365">
            <w:pPr>
              <w:rPr>
                <w:color w:val="000000"/>
              </w:rPr>
            </w:pPr>
            <w:r>
              <w:rPr>
                <w:rFonts w:hint="eastAsia"/>
                <w:color w:val="000000"/>
              </w:rPr>
              <w:t>对单位：处15万元以上20万元以下的罚款</w:t>
            </w:r>
          </w:p>
          <w:p w14:paraId="77ED40A3">
            <w:pPr>
              <w:spacing w:line="320" w:lineRule="exact"/>
              <w:jc w:val="left"/>
              <w:rPr>
                <w:color w:val="000000"/>
                <w:kern w:val="0"/>
                <w:sz w:val="18"/>
                <w:szCs w:val="18"/>
              </w:rPr>
            </w:pPr>
            <w:r>
              <w:rPr>
                <w:rFonts w:hint="eastAsia"/>
                <w:color w:val="000000"/>
              </w:rPr>
              <w:t>对个人：处2万元以上3万元以下的罚款</w:t>
            </w:r>
          </w:p>
        </w:tc>
      </w:tr>
    </w:tbl>
    <w:p w14:paraId="4CDF436D"/>
    <w:p w14:paraId="2376BCDF"/>
    <w:p w14:paraId="648EA6D5"/>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1AA39A15">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AF44BCB">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5A5C6144">
            <w:pPr>
              <w:spacing w:line="320" w:lineRule="exact"/>
              <w:jc w:val="left"/>
              <w:rPr>
                <w:rFonts w:eastAsia="仿宋_GB2312"/>
                <w:b/>
                <w:bCs/>
                <w:color w:val="000000"/>
                <w:kern w:val="0"/>
                <w:sz w:val="18"/>
                <w:szCs w:val="18"/>
              </w:rPr>
            </w:pPr>
            <w:r>
              <w:rPr>
                <w:rFonts w:eastAsia="仿宋_GB2312"/>
                <w:b/>
                <w:bCs/>
                <w:color w:val="000000"/>
                <w:kern w:val="0"/>
                <w:sz w:val="18"/>
                <w:szCs w:val="18"/>
              </w:rPr>
              <w:t>320217615000</w:t>
            </w:r>
          </w:p>
        </w:tc>
      </w:tr>
      <w:tr w14:paraId="72C0C08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C20C092">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0F348D8A">
            <w:pPr>
              <w:spacing w:line="320" w:lineRule="exact"/>
              <w:jc w:val="left"/>
              <w:rPr>
                <w:color w:val="000000"/>
                <w:kern w:val="0"/>
                <w:sz w:val="18"/>
                <w:szCs w:val="18"/>
              </w:rPr>
            </w:pPr>
            <w:r>
              <w:rPr>
                <w:rFonts w:hint="eastAsia"/>
                <w:color w:val="000000"/>
                <w:kern w:val="0"/>
                <w:sz w:val="18"/>
                <w:szCs w:val="18"/>
              </w:rPr>
              <w:t>对检测机构出具虚假的检测数据或者检测报告的处罚</w:t>
            </w:r>
          </w:p>
        </w:tc>
      </w:tr>
      <w:tr w14:paraId="2F2C4672">
        <w:tblPrEx>
          <w:tblCellMar>
            <w:top w:w="0" w:type="dxa"/>
            <w:left w:w="108" w:type="dxa"/>
            <w:bottom w:w="0" w:type="dxa"/>
            <w:right w:w="108" w:type="dxa"/>
          </w:tblCellMar>
        </w:tblPrEx>
        <w:trPr>
          <w:trHeight w:val="1110" w:hRule="atLeast"/>
        </w:trPr>
        <w:tc>
          <w:tcPr>
            <w:tcW w:w="1010" w:type="dxa"/>
            <w:tcBorders>
              <w:top w:val="nil"/>
              <w:left w:val="single" w:color="auto" w:sz="8" w:space="0"/>
              <w:bottom w:val="single" w:color="auto" w:sz="4" w:space="0"/>
              <w:right w:val="single" w:color="auto" w:sz="4" w:space="0"/>
            </w:tcBorders>
            <w:vAlign w:val="center"/>
          </w:tcPr>
          <w:p w14:paraId="44406B63">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04B3AB5F">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5C2A1965">
            <w:pPr>
              <w:spacing w:line="320" w:lineRule="exact"/>
              <w:jc w:val="left"/>
              <w:rPr>
                <w:color w:val="000000"/>
                <w:kern w:val="0"/>
                <w:sz w:val="18"/>
                <w:szCs w:val="18"/>
              </w:rPr>
            </w:pPr>
            <w:r>
              <w:rPr>
                <w:rFonts w:hint="eastAsia"/>
                <w:color w:val="000000"/>
                <w:kern w:val="0"/>
                <w:sz w:val="18"/>
                <w:szCs w:val="18"/>
              </w:rPr>
              <w:t>　　第三十条　检测机构不得有下列行为：</w:t>
            </w:r>
          </w:p>
          <w:p w14:paraId="69F1D5A2">
            <w:pPr>
              <w:spacing w:line="320" w:lineRule="exact"/>
              <w:jc w:val="left"/>
              <w:rPr>
                <w:color w:val="000000"/>
                <w:kern w:val="0"/>
                <w:sz w:val="18"/>
                <w:szCs w:val="18"/>
              </w:rPr>
            </w:pPr>
            <w:r>
              <w:rPr>
                <w:rFonts w:hint="eastAsia"/>
                <w:color w:val="000000"/>
                <w:kern w:val="0"/>
                <w:sz w:val="18"/>
                <w:szCs w:val="18"/>
              </w:rPr>
              <w:t xml:space="preserve">   （六）出具虚假的检测数据或者检测报告。</w:t>
            </w:r>
          </w:p>
          <w:p w14:paraId="060232A3">
            <w:pPr>
              <w:spacing w:line="320" w:lineRule="exact"/>
              <w:jc w:val="left"/>
              <w:rPr>
                <w:color w:val="000000"/>
                <w:kern w:val="0"/>
                <w:sz w:val="18"/>
                <w:szCs w:val="18"/>
              </w:rPr>
            </w:pPr>
            <w:r>
              <w:rPr>
                <w:rFonts w:hint="eastAsia"/>
                <w:color w:val="000000"/>
                <w:kern w:val="0"/>
                <w:sz w:val="18"/>
                <w:szCs w:val="18"/>
              </w:rPr>
              <w:t xml:space="preserve">  　第四十三条　检测机构违反本办法第二十二条、第三十条第六项规定的，由县级以上地方人民政府住房和城乡建设主管部门责令改正，处5万元以上10万元以下罚款；造成危害后果的，处10万元以上20万元以下罚款；构成犯罪的，依法追究刑事责任。</w:t>
            </w:r>
          </w:p>
          <w:p w14:paraId="6E92960E">
            <w:pPr>
              <w:spacing w:line="320" w:lineRule="exact"/>
              <w:jc w:val="left"/>
              <w:rPr>
                <w:color w:val="000000"/>
                <w:kern w:val="0"/>
                <w:sz w:val="18"/>
                <w:szCs w:val="18"/>
              </w:rPr>
            </w:pPr>
            <w:r>
              <w:rPr>
                <w:rFonts w:hint="eastAsia"/>
                <w:color w:val="000000"/>
                <w:kern w:val="0"/>
                <w:sz w:val="18"/>
                <w:szCs w:val="18"/>
              </w:rPr>
              <w:t xml:space="preserve">    检测机构在建设工程抗震活动中有前款行为的，依照《建设工程抗震管理条例》有关规定给予处罚。</w:t>
            </w:r>
          </w:p>
          <w:p w14:paraId="30920E06">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25234C9D">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21EF653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087D318">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54EF38A5">
            <w:pPr>
              <w:spacing w:line="320" w:lineRule="exact"/>
              <w:jc w:val="left"/>
              <w:rPr>
                <w:color w:val="000000"/>
                <w:kern w:val="0"/>
                <w:sz w:val="18"/>
                <w:szCs w:val="18"/>
              </w:rPr>
            </w:pPr>
            <w:r>
              <w:rPr>
                <w:rFonts w:hint="eastAsia"/>
                <w:color w:val="000000"/>
                <w:kern w:val="0"/>
                <w:sz w:val="18"/>
                <w:szCs w:val="18"/>
              </w:rPr>
              <w:t>责令改正，罚款，没收违法所得</w:t>
            </w:r>
          </w:p>
        </w:tc>
      </w:tr>
      <w:tr w14:paraId="7D0329A4">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6F2AB438">
            <w:pPr>
              <w:spacing w:line="320" w:lineRule="exact"/>
              <w:jc w:val="center"/>
              <w:rPr>
                <w:color w:val="000000"/>
                <w:kern w:val="0"/>
                <w:sz w:val="18"/>
                <w:szCs w:val="18"/>
              </w:rPr>
            </w:pPr>
            <w:r>
              <w:rPr>
                <w:rFonts w:hint="eastAsia"/>
                <w:color w:val="000000"/>
                <w:kern w:val="0"/>
                <w:sz w:val="18"/>
                <w:szCs w:val="18"/>
              </w:rPr>
              <w:t>裁量基准</w:t>
            </w:r>
          </w:p>
        </w:tc>
      </w:tr>
      <w:tr w14:paraId="655D9FEC">
        <w:tblPrEx>
          <w:tblCellMar>
            <w:top w:w="0" w:type="dxa"/>
            <w:left w:w="108" w:type="dxa"/>
            <w:bottom w:w="0" w:type="dxa"/>
            <w:right w:w="108" w:type="dxa"/>
          </w:tblCellMar>
        </w:tblPrEx>
        <w:trPr>
          <w:trHeight w:val="480" w:hRule="atLeast"/>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00CFC8C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08572C67">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color="auto" w:sz="4" w:space="0"/>
              <w:left w:val="single" w:color="auto" w:sz="4" w:space="0"/>
              <w:bottom w:val="single" w:color="auto" w:sz="4" w:space="0"/>
              <w:right w:val="single" w:color="auto" w:sz="4" w:space="0"/>
            </w:tcBorders>
            <w:vAlign w:val="center"/>
          </w:tcPr>
          <w:p w14:paraId="0E645CDF">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color="auto" w:sz="4" w:space="0"/>
              <w:left w:val="single" w:color="auto" w:sz="4" w:space="0"/>
              <w:bottom w:val="single" w:color="auto" w:sz="4" w:space="0"/>
              <w:right w:val="single" w:color="auto" w:sz="4" w:space="0"/>
            </w:tcBorders>
            <w:vAlign w:val="center"/>
          </w:tcPr>
          <w:p w14:paraId="783B5CBF">
            <w:pPr>
              <w:rPr>
                <w:color w:val="000000"/>
              </w:rPr>
            </w:pPr>
            <w:r>
              <w:rPr>
                <w:rFonts w:hint="eastAsia"/>
                <w:color w:val="000000"/>
              </w:rPr>
              <w:t>对单位：处5万元以上7万元以下的罚款</w:t>
            </w:r>
          </w:p>
          <w:p w14:paraId="1557C982">
            <w:pPr>
              <w:spacing w:line="320" w:lineRule="exact"/>
              <w:jc w:val="left"/>
              <w:rPr>
                <w:color w:val="000000"/>
                <w:kern w:val="0"/>
                <w:sz w:val="18"/>
                <w:szCs w:val="18"/>
              </w:rPr>
            </w:pPr>
            <w:r>
              <w:rPr>
                <w:rFonts w:hint="eastAsia"/>
                <w:color w:val="000000"/>
              </w:rPr>
              <w:t>对个人：处1万元以下的罚款</w:t>
            </w:r>
          </w:p>
        </w:tc>
      </w:tr>
      <w:tr w14:paraId="14AF503E">
        <w:tblPrEx>
          <w:tblCellMar>
            <w:top w:w="0" w:type="dxa"/>
            <w:left w:w="108" w:type="dxa"/>
            <w:bottom w:w="0" w:type="dxa"/>
            <w:right w:w="108" w:type="dxa"/>
          </w:tblCellMar>
        </w:tblPrEx>
        <w:trPr>
          <w:trHeight w:val="480"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72E84991">
            <w:pPr>
              <w:spacing w:line="320" w:lineRule="exact"/>
              <w:jc w:val="center"/>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5A5CCD7A">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40E7711B">
            <w:pPr>
              <w:spacing w:line="320" w:lineRule="exact"/>
              <w:jc w:val="center"/>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4B484CF4">
            <w:pPr>
              <w:rPr>
                <w:color w:val="000000"/>
              </w:rPr>
            </w:pPr>
            <w:r>
              <w:rPr>
                <w:rFonts w:hint="eastAsia"/>
                <w:color w:val="000000"/>
              </w:rPr>
              <w:t>对单位：处7万元以上10万元以下的罚款</w:t>
            </w:r>
          </w:p>
          <w:p w14:paraId="0A1AB1D7">
            <w:pPr>
              <w:spacing w:line="320" w:lineRule="exact"/>
              <w:jc w:val="left"/>
              <w:rPr>
                <w:color w:val="000000"/>
                <w:kern w:val="0"/>
                <w:sz w:val="18"/>
                <w:szCs w:val="18"/>
              </w:rPr>
            </w:pPr>
            <w:r>
              <w:rPr>
                <w:rFonts w:hint="eastAsia"/>
                <w:color w:val="000000"/>
              </w:rPr>
              <w:t>对个人：处1万元以上1.5万元以下的罚款</w:t>
            </w:r>
          </w:p>
        </w:tc>
      </w:tr>
      <w:tr w14:paraId="69A12F70">
        <w:tblPrEx>
          <w:tblCellMar>
            <w:top w:w="0" w:type="dxa"/>
            <w:left w:w="108" w:type="dxa"/>
            <w:bottom w:w="0" w:type="dxa"/>
            <w:right w:w="108" w:type="dxa"/>
          </w:tblCellMar>
        </w:tblPrEx>
        <w:trPr>
          <w:trHeight w:val="949"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0C3F9220">
            <w:pPr>
              <w:spacing w:line="320" w:lineRule="exact"/>
              <w:jc w:val="center"/>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27322F76">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077D62EB">
            <w:pPr>
              <w:spacing w:line="320" w:lineRule="exact"/>
              <w:jc w:val="center"/>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123472B7">
            <w:pPr>
              <w:rPr>
                <w:color w:val="000000"/>
              </w:rPr>
            </w:pPr>
            <w:r>
              <w:rPr>
                <w:rFonts w:hint="eastAsia"/>
                <w:color w:val="000000"/>
              </w:rPr>
              <w:t>对单位：处10万元以上15万元以下的罚款</w:t>
            </w:r>
          </w:p>
          <w:p w14:paraId="5B9F5E32">
            <w:pPr>
              <w:spacing w:line="320" w:lineRule="exact"/>
              <w:jc w:val="left"/>
              <w:rPr>
                <w:color w:val="000000"/>
                <w:kern w:val="0"/>
                <w:sz w:val="18"/>
                <w:szCs w:val="18"/>
              </w:rPr>
            </w:pPr>
            <w:r>
              <w:rPr>
                <w:rFonts w:hint="eastAsia"/>
                <w:color w:val="000000"/>
              </w:rPr>
              <w:t>对个人：处1.5万元以上2万元以下的罚款</w:t>
            </w:r>
          </w:p>
        </w:tc>
      </w:tr>
      <w:tr w14:paraId="665FD52A">
        <w:tblPrEx>
          <w:tblCellMar>
            <w:top w:w="0" w:type="dxa"/>
            <w:left w:w="108" w:type="dxa"/>
            <w:bottom w:w="0" w:type="dxa"/>
            <w:right w:w="108" w:type="dxa"/>
          </w:tblCellMar>
        </w:tblPrEx>
        <w:trPr>
          <w:trHeight w:val="480"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6E84241E">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333F9DD4">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797442D2">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2AEF6441">
            <w:pPr>
              <w:rPr>
                <w:color w:val="000000"/>
              </w:rPr>
            </w:pPr>
            <w:r>
              <w:rPr>
                <w:rFonts w:hint="eastAsia"/>
                <w:color w:val="000000"/>
              </w:rPr>
              <w:t>对单位：处15万元以上20万元以下的罚款</w:t>
            </w:r>
          </w:p>
          <w:p w14:paraId="021CE2CC">
            <w:pPr>
              <w:spacing w:line="320" w:lineRule="exact"/>
              <w:jc w:val="left"/>
              <w:rPr>
                <w:color w:val="000000"/>
                <w:kern w:val="0"/>
                <w:sz w:val="18"/>
                <w:szCs w:val="18"/>
              </w:rPr>
            </w:pPr>
            <w:r>
              <w:rPr>
                <w:rFonts w:hint="eastAsia"/>
                <w:color w:val="000000"/>
              </w:rPr>
              <w:t>对个人：处2万元以上3万元以下的罚款</w:t>
            </w:r>
          </w:p>
        </w:tc>
      </w:tr>
    </w:tbl>
    <w:p w14:paraId="7864482B"/>
    <w:p w14:paraId="6E784DF9"/>
    <w:p w14:paraId="59178844"/>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65C8BE5A">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860E0EA">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3454FEB0">
            <w:pPr>
              <w:spacing w:line="320" w:lineRule="exact"/>
              <w:jc w:val="left"/>
              <w:rPr>
                <w:rFonts w:eastAsia="仿宋_GB2312"/>
                <w:b/>
                <w:bCs/>
                <w:color w:val="000000"/>
                <w:kern w:val="0"/>
                <w:sz w:val="18"/>
                <w:szCs w:val="18"/>
              </w:rPr>
            </w:pPr>
            <w:r>
              <w:rPr>
                <w:rFonts w:eastAsia="仿宋_GB2312"/>
                <w:b/>
                <w:bCs/>
                <w:color w:val="000000"/>
                <w:kern w:val="0"/>
                <w:sz w:val="18"/>
                <w:szCs w:val="18"/>
              </w:rPr>
              <w:t>320217616000</w:t>
            </w:r>
          </w:p>
        </w:tc>
      </w:tr>
      <w:tr w14:paraId="673D679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3772C46">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514E6FF1">
            <w:pPr>
              <w:spacing w:line="320" w:lineRule="exact"/>
              <w:jc w:val="left"/>
              <w:rPr>
                <w:color w:val="000000"/>
                <w:kern w:val="0"/>
                <w:sz w:val="18"/>
                <w:szCs w:val="18"/>
              </w:rPr>
            </w:pPr>
            <w:r>
              <w:rPr>
                <w:rFonts w:hint="eastAsia"/>
                <w:color w:val="000000"/>
                <w:kern w:val="0"/>
                <w:sz w:val="18"/>
                <w:szCs w:val="18"/>
              </w:rPr>
              <w:t>对建设、施工、监理等单位委托未取得相应资质的检测机构进行检测的处罚</w:t>
            </w:r>
          </w:p>
        </w:tc>
      </w:tr>
      <w:tr w14:paraId="56A78BCE">
        <w:tblPrEx>
          <w:tblCellMar>
            <w:top w:w="0" w:type="dxa"/>
            <w:left w:w="108" w:type="dxa"/>
            <w:bottom w:w="0" w:type="dxa"/>
            <w:right w:w="108" w:type="dxa"/>
          </w:tblCellMar>
        </w:tblPrEx>
        <w:trPr>
          <w:trHeight w:val="945" w:hRule="atLeast"/>
        </w:trPr>
        <w:tc>
          <w:tcPr>
            <w:tcW w:w="1010" w:type="dxa"/>
            <w:tcBorders>
              <w:top w:val="nil"/>
              <w:left w:val="single" w:color="auto" w:sz="8" w:space="0"/>
              <w:bottom w:val="single" w:color="auto" w:sz="4" w:space="0"/>
              <w:right w:val="single" w:color="auto" w:sz="4" w:space="0"/>
            </w:tcBorders>
            <w:vAlign w:val="center"/>
          </w:tcPr>
          <w:p w14:paraId="30AC3876">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4B7E681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【规章】《建设工程质量检测管理办法》（2022年12月29日中华人民共和国住房和城乡建设部令第57号公布　自2023年3月1日起施行）</w:t>
            </w:r>
          </w:p>
          <w:p w14:paraId="5146FF16">
            <w:pPr>
              <w:spacing w:line="320" w:lineRule="exact"/>
              <w:jc w:val="left"/>
              <w:rPr>
                <w:color w:val="000000"/>
                <w:kern w:val="0"/>
                <w:sz w:val="18"/>
                <w:szCs w:val="18"/>
              </w:rPr>
            </w:pPr>
            <w:r>
              <w:rPr>
                <w:rFonts w:hint="eastAsia"/>
                <w:color w:val="000000"/>
                <w:kern w:val="0"/>
                <w:sz w:val="18"/>
                <w:szCs w:val="18"/>
              </w:rPr>
              <w:t>　　第十六条　委托方应当委托具有相应资质的检测机构开展建设工程质量检测业务。检测机构应当按照法律、法规和标准进行建设工程质量检测，并出具检测报告。</w:t>
            </w:r>
          </w:p>
          <w:p w14:paraId="53E3B41E">
            <w:pPr>
              <w:spacing w:line="320" w:lineRule="exact"/>
              <w:jc w:val="left"/>
              <w:rPr>
                <w:color w:val="000000"/>
                <w:kern w:val="0"/>
                <w:sz w:val="18"/>
                <w:szCs w:val="18"/>
              </w:rPr>
            </w:pPr>
            <w:r>
              <w:rPr>
                <w:rFonts w:hint="eastAsia"/>
                <w:color w:val="000000"/>
                <w:kern w:val="0"/>
                <w:sz w:val="18"/>
                <w:szCs w:val="18"/>
              </w:rPr>
              <w:t>　　第四十七条　违反本办法规定，建设、施工、监理等单位有下列行为之一的，由县级以上地方人民政府住房和城乡建设主管部门责令改正，处3万元以上10万元以下罚款；造成危害后果的，处10万元以上20万元以下罚款；构成犯罪的，依法追究刑事责任：</w:t>
            </w:r>
          </w:p>
          <w:p w14:paraId="2B041631">
            <w:pPr>
              <w:spacing w:line="320" w:lineRule="exact"/>
              <w:jc w:val="left"/>
              <w:rPr>
                <w:color w:val="000000"/>
                <w:kern w:val="0"/>
                <w:sz w:val="18"/>
                <w:szCs w:val="18"/>
              </w:rPr>
            </w:pPr>
            <w:r>
              <w:rPr>
                <w:rFonts w:hint="eastAsia"/>
                <w:color w:val="000000"/>
                <w:kern w:val="0"/>
                <w:sz w:val="18"/>
                <w:szCs w:val="18"/>
              </w:rPr>
              <w:t xml:space="preserve">   （一）委托未取得相应资质的检测机构进行检测的；</w:t>
            </w:r>
          </w:p>
          <w:p w14:paraId="06EA997C">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1057D9DF">
        <w:tblPrEx>
          <w:tblCellMar>
            <w:top w:w="0" w:type="dxa"/>
            <w:left w:w="108" w:type="dxa"/>
            <w:bottom w:w="0" w:type="dxa"/>
            <w:right w:w="108" w:type="dxa"/>
          </w:tblCellMar>
        </w:tblPrEx>
        <w:trPr>
          <w:trHeight w:val="708" w:hRule="exact"/>
        </w:trPr>
        <w:tc>
          <w:tcPr>
            <w:tcW w:w="1010" w:type="dxa"/>
            <w:tcBorders>
              <w:top w:val="nil"/>
              <w:left w:val="single" w:color="auto" w:sz="8" w:space="0"/>
              <w:bottom w:val="single" w:color="auto" w:sz="4" w:space="0"/>
              <w:right w:val="single" w:color="auto" w:sz="4" w:space="0"/>
            </w:tcBorders>
            <w:vAlign w:val="center"/>
          </w:tcPr>
          <w:p w14:paraId="0A8D8873">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57B48426">
            <w:pPr>
              <w:spacing w:line="320" w:lineRule="exact"/>
              <w:jc w:val="left"/>
              <w:rPr>
                <w:color w:val="000000"/>
                <w:kern w:val="0"/>
                <w:sz w:val="18"/>
                <w:szCs w:val="18"/>
              </w:rPr>
            </w:pPr>
            <w:r>
              <w:rPr>
                <w:rFonts w:hint="eastAsia"/>
                <w:color w:val="000000"/>
                <w:kern w:val="0"/>
                <w:sz w:val="18"/>
                <w:szCs w:val="18"/>
              </w:rPr>
              <w:t>责令改正，罚款</w:t>
            </w:r>
          </w:p>
        </w:tc>
      </w:tr>
      <w:tr w14:paraId="4EDB28A7">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5A4302AF">
            <w:pPr>
              <w:spacing w:line="320" w:lineRule="exact"/>
              <w:jc w:val="center"/>
              <w:rPr>
                <w:color w:val="000000"/>
                <w:kern w:val="0"/>
                <w:sz w:val="18"/>
                <w:szCs w:val="18"/>
              </w:rPr>
            </w:pPr>
            <w:r>
              <w:rPr>
                <w:rFonts w:hint="eastAsia"/>
                <w:color w:val="000000"/>
                <w:kern w:val="0"/>
                <w:sz w:val="18"/>
                <w:szCs w:val="18"/>
              </w:rPr>
              <w:t>裁量基准</w:t>
            </w:r>
          </w:p>
        </w:tc>
      </w:tr>
      <w:tr w14:paraId="0B270C92">
        <w:tblPrEx>
          <w:tblCellMar>
            <w:top w:w="0" w:type="dxa"/>
            <w:left w:w="108" w:type="dxa"/>
            <w:bottom w:w="0" w:type="dxa"/>
            <w:right w:w="108" w:type="dxa"/>
          </w:tblCellMar>
        </w:tblPrEx>
        <w:trPr>
          <w:trHeight w:val="285" w:hRule="atLeast"/>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32BEE17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1365EA5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color="auto" w:sz="4" w:space="0"/>
              <w:left w:val="single" w:color="auto" w:sz="4" w:space="0"/>
              <w:bottom w:val="single" w:color="auto" w:sz="4" w:space="0"/>
              <w:right w:val="single" w:color="auto" w:sz="4" w:space="0"/>
            </w:tcBorders>
            <w:vAlign w:val="center"/>
          </w:tcPr>
          <w:p w14:paraId="7E458020">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color="auto" w:sz="4" w:space="0"/>
              <w:left w:val="single" w:color="auto" w:sz="4" w:space="0"/>
              <w:bottom w:val="single" w:color="auto" w:sz="4" w:space="0"/>
              <w:right w:val="single" w:color="auto" w:sz="4" w:space="0"/>
            </w:tcBorders>
            <w:vAlign w:val="center"/>
          </w:tcPr>
          <w:p w14:paraId="42F7B223">
            <w:pPr>
              <w:rPr>
                <w:color w:val="000000"/>
              </w:rPr>
            </w:pPr>
            <w:r>
              <w:rPr>
                <w:rFonts w:hint="eastAsia"/>
                <w:color w:val="000000"/>
              </w:rPr>
              <w:t>对单位：处3万元以上5万元以下的罚款</w:t>
            </w:r>
          </w:p>
          <w:p w14:paraId="7D2717EC">
            <w:pPr>
              <w:spacing w:line="320" w:lineRule="exact"/>
              <w:jc w:val="left"/>
              <w:rPr>
                <w:color w:val="000000"/>
                <w:kern w:val="0"/>
                <w:sz w:val="18"/>
                <w:szCs w:val="18"/>
              </w:rPr>
            </w:pPr>
            <w:r>
              <w:rPr>
                <w:rFonts w:hint="eastAsia"/>
                <w:color w:val="000000"/>
              </w:rPr>
              <w:t>对个人：处1万元以下的罚款</w:t>
            </w:r>
          </w:p>
        </w:tc>
      </w:tr>
      <w:tr w14:paraId="68113754">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1205346B">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7E96BC8A">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28AE818D">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7441ED52">
            <w:pPr>
              <w:rPr>
                <w:color w:val="000000"/>
              </w:rPr>
            </w:pPr>
            <w:r>
              <w:rPr>
                <w:rFonts w:hint="eastAsia"/>
                <w:color w:val="000000"/>
              </w:rPr>
              <w:t>对单位：处5万元以上10万元以下的罚款</w:t>
            </w:r>
          </w:p>
          <w:p w14:paraId="0FBD0C26">
            <w:pPr>
              <w:spacing w:line="320" w:lineRule="exact"/>
              <w:jc w:val="left"/>
              <w:rPr>
                <w:color w:val="000000"/>
                <w:kern w:val="0"/>
                <w:sz w:val="18"/>
                <w:szCs w:val="18"/>
              </w:rPr>
            </w:pPr>
            <w:r>
              <w:rPr>
                <w:rFonts w:hint="eastAsia"/>
                <w:color w:val="000000"/>
              </w:rPr>
              <w:t>对个人：处1万元以上1.5万元以下的罚款</w:t>
            </w:r>
          </w:p>
        </w:tc>
      </w:tr>
      <w:tr w14:paraId="4777693E">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5FE17178">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0B775506">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2F40F341">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0542EDD3">
            <w:pPr>
              <w:rPr>
                <w:color w:val="000000"/>
              </w:rPr>
            </w:pPr>
            <w:r>
              <w:rPr>
                <w:rFonts w:hint="eastAsia"/>
                <w:color w:val="000000"/>
              </w:rPr>
              <w:t>对单位：处10万元以上15万元以下的罚款</w:t>
            </w:r>
          </w:p>
          <w:p w14:paraId="2EF59527">
            <w:pPr>
              <w:spacing w:line="320" w:lineRule="exact"/>
              <w:jc w:val="left"/>
              <w:rPr>
                <w:color w:val="000000"/>
                <w:kern w:val="0"/>
                <w:sz w:val="18"/>
                <w:szCs w:val="18"/>
              </w:rPr>
            </w:pPr>
            <w:r>
              <w:rPr>
                <w:rFonts w:hint="eastAsia"/>
                <w:color w:val="000000"/>
              </w:rPr>
              <w:t>对个人：处1.5万元以上2万元以下的罚款</w:t>
            </w:r>
          </w:p>
        </w:tc>
      </w:tr>
      <w:tr w14:paraId="28DDB4DB">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11C3E5F7">
            <w:pPr>
              <w:spacing w:line="320" w:lineRule="exact"/>
              <w:jc w:val="left"/>
              <w:rPr>
                <w:color w:val="000000"/>
                <w:kern w:val="0"/>
                <w:sz w:val="18"/>
                <w:szCs w:val="18"/>
              </w:rPr>
            </w:pPr>
          </w:p>
        </w:tc>
        <w:tc>
          <w:tcPr>
            <w:tcW w:w="6140" w:type="dxa"/>
            <w:tcBorders>
              <w:top w:val="single" w:color="auto" w:sz="4" w:space="0"/>
              <w:left w:val="single" w:color="auto" w:sz="4" w:space="0"/>
              <w:bottom w:val="single" w:color="auto" w:sz="4" w:space="0"/>
              <w:right w:val="single" w:color="auto" w:sz="4" w:space="0"/>
            </w:tcBorders>
            <w:vAlign w:val="center"/>
          </w:tcPr>
          <w:p w14:paraId="4A75AECB">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2E0CD212">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07E8FEEA">
            <w:pPr>
              <w:rPr>
                <w:color w:val="000000"/>
              </w:rPr>
            </w:pPr>
            <w:r>
              <w:rPr>
                <w:rFonts w:hint="eastAsia"/>
                <w:color w:val="000000"/>
              </w:rPr>
              <w:t>对单位：处15万元以上20万元以下的罚款</w:t>
            </w:r>
          </w:p>
          <w:p w14:paraId="39E57EF2">
            <w:pPr>
              <w:spacing w:line="320" w:lineRule="exact"/>
              <w:jc w:val="left"/>
              <w:rPr>
                <w:color w:val="000000"/>
                <w:kern w:val="0"/>
                <w:sz w:val="18"/>
                <w:szCs w:val="18"/>
              </w:rPr>
            </w:pPr>
            <w:r>
              <w:rPr>
                <w:rFonts w:hint="eastAsia"/>
                <w:color w:val="000000"/>
              </w:rPr>
              <w:t>对个人：处2万元以上3万元以下的罚款</w:t>
            </w:r>
          </w:p>
        </w:tc>
      </w:tr>
    </w:tbl>
    <w:p w14:paraId="43C6DDED"/>
    <w:p w14:paraId="1CDD6681"/>
    <w:p w14:paraId="7E63CB51"/>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27725A3B">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68C8ACF">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66789919">
            <w:pPr>
              <w:spacing w:line="320" w:lineRule="exact"/>
              <w:jc w:val="left"/>
              <w:rPr>
                <w:rFonts w:eastAsia="仿宋_GB2312"/>
                <w:b/>
                <w:bCs/>
                <w:color w:val="000000"/>
                <w:kern w:val="0"/>
                <w:sz w:val="18"/>
                <w:szCs w:val="18"/>
              </w:rPr>
            </w:pPr>
            <w:r>
              <w:rPr>
                <w:rFonts w:eastAsia="仿宋_GB2312"/>
                <w:b/>
                <w:bCs/>
                <w:color w:val="000000"/>
                <w:kern w:val="0"/>
                <w:sz w:val="18"/>
                <w:szCs w:val="18"/>
              </w:rPr>
              <w:t>320217617000</w:t>
            </w:r>
          </w:p>
        </w:tc>
      </w:tr>
      <w:tr w14:paraId="120F4D5D">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1EE87E0">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15547179">
            <w:pPr>
              <w:spacing w:line="320" w:lineRule="exact"/>
              <w:jc w:val="left"/>
              <w:rPr>
                <w:color w:val="000000"/>
                <w:kern w:val="0"/>
                <w:sz w:val="18"/>
                <w:szCs w:val="18"/>
              </w:rPr>
            </w:pPr>
            <w:r>
              <w:rPr>
                <w:rFonts w:hint="eastAsia"/>
                <w:color w:val="000000"/>
                <w:kern w:val="0"/>
                <w:sz w:val="18"/>
                <w:szCs w:val="18"/>
              </w:rPr>
              <w:t>对建设、施工、监理等单位明示或者暗示检测机构出具虚假检测报告的处罚</w:t>
            </w:r>
          </w:p>
        </w:tc>
      </w:tr>
      <w:tr w14:paraId="258A2CEB">
        <w:tblPrEx>
          <w:tblCellMar>
            <w:top w:w="0" w:type="dxa"/>
            <w:left w:w="108" w:type="dxa"/>
            <w:bottom w:w="0" w:type="dxa"/>
            <w:right w:w="108" w:type="dxa"/>
          </w:tblCellMar>
        </w:tblPrEx>
        <w:trPr>
          <w:trHeight w:val="416" w:hRule="atLeast"/>
        </w:trPr>
        <w:tc>
          <w:tcPr>
            <w:tcW w:w="1010" w:type="dxa"/>
            <w:tcBorders>
              <w:top w:val="nil"/>
              <w:left w:val="single" w:color="auto" w:sz="8" w:space="0"/>
              <w:bottom w:val="single" w:color="auto" w:sz="4" w:space="0"/>
              <w:right w:val="single" w:color="auto" w:sz="4" w:space="0"/>
            </w:tcBorders>
            <w:vAlign w:val="center"/>
          </w:tcPr>
          <w:p w14:paraId="30624137">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6DB5055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【部门规章】《建设工程质量检测管理办法》（2022年12月29日中华人民共和国住房和城乡建设部令第57号公布　自2023年3月1日起施行）第二十三条　任何单位和个人不得明示或者暗示检测机构出具虚假检测报告，不得篡改或者伪造检测报告。</w:t>
            </w:r>
          </w:p>
          <w:p w14:paraId="5732B4F1">
            <w:pPr>
              <w:spacing w:line="320" w:lineRule="exact"/>
              <w:jc w:val="left"/>
              <w:rPr>
                <w:color w:val="000000"/>
                <w:kern w:val="0"/>
                <w:sz w:val="18"/>
                <w:szCs w:val="18"/>
              </w:rPr>
            </w:pPr>
            <w:r>
              <w:rPr>
                <w:rFonts w:hint="eastAsia"/>
                <w:color w:val="000000"/>
                <w:kern w:val="0"/>
                <w:sz w:val="18"/>
                <w:szCs w:val="18"/>
              </w:rPr>
              <w:t>　　第四十七条　违反本办法规定，建设、施工、监理等单位有下列行为之一的，由县级以上地方人民政府住房和城乡建设主管部门责令改正，处3万元以上10万元以下罚款；造成危害后果的，处10万元以上20万元以下罚款；构成犯罪的，依法追究刑事责任：</w:t>
            </w:r>
          </w:p>
          <w:p w14:paraId="4DD3EA49">
            <w:pPr>
              <w:spacing w:line="320" w:lineRule="exact"/>
              <w:jc w:val="left"/>
              <w:rPr>
                <w:color w:val="000000"/>
                <w:kern w:val="0"/>
                <w:sz w:val="18"/>
                <w:szCs w:val="18"/>
              </w:rPr>
            </w:pPr>
            <w:r>
              <w:rPr>
                <w:rFonts w:hint="eastAsia"/>
                <w:color w:val="000000"/>
                <w:kern w:val="0"/>
                <w:sz w:val="18"/>
                <w:szCs w:val="18"/>
              </w:rPr>
              <w:t xml:space="preserve">   （五）明示或者暗示检测机构出具虚假检测报告的；</w:t>
            </w:r>
          </w:p>
          <w:p w14:paraId="0F1F239B">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6F90F862">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21564FE">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7CE77AAC">
            <w:pPr>
              <w:spacing w:line="320" w:lineRule="exact"/>
              <w:jc w:val="left"/>
              <w:rPr>
                <w:color w:val="000000"/>
                <w:kern w:val="0"/>
                <w:sz w:val="18"/>
                <w:szCs w:val="18"/>
              </w:rPr>
            </w:pPr>
            <w:r>
              <w:rPr>
                <w:rFonts w:hint="eastAsia"/>
                <w:color w:val="000000"/>
                <w:kern w:val="0"/>
                <w:sz w:val="18"/>
                <w:szCs w:val="18"/>
              </w:rPr>
              <w:t>罚款</w:t>
            </w:r>
          </w:p>
        </w:tc>
      </w:tr>
      <w:tr w14:paraId="3BED94A0">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1248E928">
            <w:pPr>
              <w:spacing w:line="320" w:lineRule="exact"/>
              <w:jc w:val="center"/>
              <w:rPr>
                <w:color w:val="000000"/>
                <w:kern w:val="0"/>
                <w:sz w:val="18"/>
                <w:szCs w:val="18"/>
              </w:rPr>
            </w:pPr>
            <w:r>
              <w:rPr>
                <w:rFonts w:hint="eastAsia"/>
                <w:color w:val="000000"/>
                <w:kern w:val="0"/>
                <w:sz w:val="18"/>
                <w:szCs w:val="18"/>
              </w:rPr>
              <w:t>裁量基准</w:t>
            </w:r>
          </w:p>
        </w:tc>
      </w:tr>
      <w:tr w14:paraId="06334D63">
        <w:tblPrEx>
          <w:tblCellMar>
            <w:top w:w="0" w:type="dxa"/>
            <w:left w:w="108" w:type="dxa"/>
            <w:bottom w:w="0" w:type="dxa"/>
            <w:right w:w="108" w:type="dxa"/>
          </w:tblCellMar>
        </w:tblPrEx>
        <w:trPr>
          <w:trHeight w:val="540" w:hRule="atLeast"/>
        </w:trPr>
        <w:tc>
          <w:tcPr>
            <w:tcW w:w="1010" w:type="dxa"/>
            <w:vMerge w:val="restart"/>
            <w:tcBorders>
              <w:top w:val="nil"/>
              <w:left w:val="single" w:color="auto" w:sz="8" w:space="0"/>
              <w:right w:val="single" w:color="auto" w:sz="4" w:space="0"/>
            </w:tcBorders>
            <w:vAlign w:val="center"/>
          </w:tcPr>
          <w:p w14:paraId="23DFEA1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6201916">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color="auto" w:sz="4" w:space="0"/>
              <w:left w:val="single" w:color="auto" w:sz="4" w:space="0"/>
              <w:bottom w:val="single" w:color="auto" w:sz="4" w:space="0"/>
              <w:right w:val="single" w:color="auto" w:sz="4" w:space="0"/>
            </w:tcBorders>
            <w:vAlign w:val="center"/>
          </w:tcPr>
          <w:p w14:paraId="28AB602F">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color="auto" w:sz="4" w:space="0"/>
              <w:left w:val="single" w:color="auto" w:sz="4" w:space="0"/>
              <w:bottom w:val="single" w:color="auto" w:sz="4" w:space="0"/>
              <w:right w:val="single" w:color="auto" w:sz="4" w:space="0"/>
            </w:tcBorders>
            <w:vAlign w:val="center"/>
          </w:tcPr>
          <w:p w14:paraId="182F50F3">
            <w:pPr>
              <w:rPr>
                <w:color w:val="000000"/>
              </w:rPr>
            </w:pPr>
            <w:r>
              <w:rPr>
                <w:rFonts w:hint="eastAsia"/>
                <w:color w:val="000000"/>
              </w:rPr>
              <w:t>对单位：处3万元以上5万元以下的罚款</w:t>
            </w:r>
          </w:p>
          <w:p w14:paraId="02ADB48C">
            <w:pPr>
              <w:spacing w:line="320" w:lineRule="exact"/>
              <w:jc w:val="left"/>
              <w:rPr>
                <w:color w:val="000000"/>
                <w:kern w:val="0"/>
                <w:sz w:val="18"/>
                <w:szCs w:val="18"/>
              </w:rPr>
            </w:pPr>
            <w:r>
              <w:rPr>
                <w:rFonts w:hint="eastAsia"/>
                <w:color w:val="000000"/>
              </w:rPr>
              <w:t>对个人：处1万元以下的罚款</w:t>
            </w:r>
          </w:p>
        </w:tc>
      </w:tr>
      <w:tr w14:paraId="36DDAD53">
        <w:tblPrEx>
          <w:tblCellMar>
            <w:top w:w="0" w:type="dxa"/>
            <w:left w:w="108" w:type="dxa"/>
            <w:bottom w:w="0" w:type="dxa"/>
            <w:right w:w="108" w:type="dxa"/>
          </w:tblCellMar>
        </w:tblPrEx>
        <w:trPr>
          <w:trHeight w:val="540" w:hRule="atLeast"/>
        </w:trPr>
        <w:tc>
          <w:tcPr>
            <w:tcW w:w="1010" w:type="dxa"/>
            <w:vMerge w:val="continue"/>
            <w:tcBorders>
              <w:left w:val="single" w:color="auto" w:sz="8" w:space="0"/>
              <w:right w:val="single" w:color="auto" w:sz="4" w:space="0"/>
            </w:tcBorders>
            <w:vAlign w:val="center"/>
          </w:tcPr>
          <w:p w14:paraId="0A705E0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47A7F37">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6FB39985">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13D6BE25">
            <w:pPr>
              <w:rPr>
                <w:color w:val="000000"/>
              </w:rPr>
            </w:pPr>
            <w:r>
              <w:rPr>
                <w:rFonts w:hint="eastAsia"/>
                <w:color w:val="000000"/>
              </w:rPr>
              <w:t>对单位：处5万元以上10万元以下的罚款</w:t>
            </w:r>
          </w:p>
          <w:p w14:paraId="5E8B91AD">
            <w:pPr>
              <w:spacing w:line="320" w:lineRule="exact"/>
              <w:jc w:val="left"/>
              <w:rPr>
                <w:color w:val="000000"/>
                <w:kern w:val="0"/>
                <w:sz w:val="18"/>
                <w:szCs w:val="18"/>
              </w:rPr>
            </w:pPr>
            <w:r>
              <w:rPr>
                <w:rFonts w:hint="eastAsia"/>
                <w:color w:val="000000"/>
              </w:rPr>
              <w:t>对个人：处1万元以上1.5万元以下的罚款</w:t>
            </w:r>
          </w:p>
        </w:tc>
      </w:tr>
      <w:tr w14:paraId="5F974298">
        <w:tblPrEx>
          <w:tblCellMar>
            <w:top w:w="0" w:type="dxa"/>
            <w:left w:w="108" w:type="dxa"/>
            <w:bottom w:w="0" w:type="dxa"/>
            <w:right w:w="108" w:type="dxa"/>
          </w:tblCellMar>
        </w:tblPrEx>
        <w:trPr>
          <w:trHeight w:val="540" w:hRule="atLeast"/>
        </w:trPr>
        <w:tc>
          <w:tcPr>
            <w:tcW w:w="1010" w:type="dxa"/>
            <w:vMerge w:val="continue"/>
            <w:tcBorders>
              <w:left w:val="single" w:color="auto" w:sz="8" w:space="0"/>
              <w:right w:val="single" w:color="auto" w:sz="4" w:space="0"/>
            </w:tcBorders>
            <w:vAlign w:val="center"/>
          </w:tcPr>
          <w:p w14:paraId="47F32AF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79C6BAB">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491EC70C">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68AC557B">
            <w:pPr>
              <w:rPr>
                <w:color w:val="000000"/>
              </w:rPr>
            </w:pPr>
            <w:r>
              <w:rPr>
                <w:rFonts w:hint="eastAsia"/>
                <w:color w:val="000000"/>
              </w:rPr>
              <w:t>对单位：处10万元以上15万元以下的罚款</w:t>
            </w:r>
          </w:p>
          <w:p w14:paraId="101649A7">
            <w:pPr>
              <w:spacing w:line="320" w:lineRule="exact"/>
              <w:jc w:val="left"/>
              <w:rPr>
                <w:color w:val="000000"/>
                <w:kern w:val="0"/>
                <w:sz w:val="18"/>
                <w:szCs w:val="18"/>
              </w:rPr>
            </w:pPr>
            <w:r>
              <w:rPr>
                <w:rFonts w:hint="eastAsia"/>
                <w:color w:val="000000"/>
              </w:rPr>
              <w:t>对个人：处1.5万元以上2万元以下的罚款</w:t>
            </w:r>
          </w:p>
        </w:tc>
      </w:tr>
      <w:tr w14:paraId="14B42934">
        <w:tblPrEx>
          <w:tblCellMar>
            <w:top w:w="0" w:type="dxa"/>
            <w:left w:w="108" w:type="dxa"/>
            <w:bottom w:w="0" w:type="dxa"/>
            <w:right w:w="108" w:type="dxa"/>
          </w:tblCellMar>
        </w:tblPrEx>
        <w:trPr>
          <w:trHeight w:val="540" w:hRule="atLeast"/>
        </w:trPr>
        <w:tc>
          <w:tcPr>
            <w:tcW w:w="1010" w:type="dxa"/>
            <w:vMerge w:val="continue"/>
            <w:tcBorders>
              <w:left w:val="single" w:color="auto" w:sz="8" w:space="0"/>
              <w:bottom w:val="single" w:color="000000" w:sz="4" w:space="0"/>
              <w:right w:val="single" w:color="auto" w:sz="4" w:space="0"/>
            </w:tcBorders>
            <w:vAlign w:val="center"/>
          </w:tcPr>
          <w:p w14:paraId="40C103B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223B7D9">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7017B1E7">
            <w:pPr>
              <w:spacing w:line="320" w:lineRule="exact"/>
              <w:jc w:val="left"/>
              <w:rPr>
                <w:color w:val="000000"/>
                <w:kern w:val="0"/>
                <w:sz w:val="18"/>
                <w:szCs w:val="18"/>
              </w:rPr>
            </w:pPr>
          </w:p>
        </w:tc>
        <w:tc>
          <w:tcPr>
            <w:tcW w:w="5850" w:type="dxa"/>
            <w:tcBorders>
              <w:top w:val="single" w:color="auto" w:sz="4" w:space="0"/>
              <w:left w:val="single" w:color="auto" w:sz="4" w:space="0"/>
              <w:bottom w:val="single" w:color="auto" w:sz="4" w:space="0"/>
              <w:right w:val="single" w:color="auto" w:sz="4" w:space="0"/>
            </w:tcBorders>
            <w:vAlign w:val="center"/>
          </w:tcPr>
          <w:p w14:paraId="5AA091B9">
            <w:pPr>
              <w:rPr>
                <w:color w:val="000000"/>
              </w:rPr>
            </w:pPr>
            <w:r>
              <w:rPr>
                <w:rFonts w:hint="eastAsia"/>
                <w:color w:val="000000"/>
              </w:rPr>
              <w:t>对单位：处15万元以上20万元以下的罚款</w:t>
            </w:r>
          </w:p>
          <w:p w14:paraId="48ADDD63">
            <w:pPr>
              <w:spacing w:line="320" w:lineRule="exact"/>
              <w:jc w:val="left"/>
              <w:rPr>
                <w:color w:val="000000"/>
                <w:kern w:val="0"/>
                <w:sz w:val="18"/>
                <w:szCs w:val="18"/>
              </w:rPr>
            </w:pPr>
            <w:r>
              <w:rPr>
                <w:rFonts w:hint="eastAsia"/>
                <w:color w:val="000000"/>
              </w:rPr>
              <w:t>对个人：处2万元以上3万元以下的罚款</w:t>
            </w:r>
          </w:p>
        </w:tc>
      </w:tr>
    </w:tbl>
    <w:p w14:paraId="35629713"/>
    <w:p w14:paraId="0BD191AC"/>
    <w:p w14:paraId="514946DA"/>
    <w:tbl>
      <w:tblPr>
        <w:tblStyle w:val="15"/>
        <w:tblW w:w="0" w:type="auto"/>
        <w:tblInd w:w="88" w:type="dxa"/>
        <w:tblLayout w:type="fixed"/>
        <w:tblCellMar>
          <w:top w:w="0" w:type="dxa"/>
          <w:left w:w="108" w:type="dxa"/>
          <w:bottom w:w="0" w:type="dxa"/>
          <w:right w:w="108" w:type="dxa"/>
        </w:tblCellMar>
      </w:tblPr>
      <w:tblGrid>
        <w:gridCol w:w="1010"/>
        <w:gridCol w:w="6140"/>
        <w:gridCol w:w="1030"/>
        <w:gridCol w:w="5850"/>
      </w:tblGrid>
      <w:tr w14:paraId="4A4D3008">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9E9FDC2">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7C0F1AA8">
            <w:pPr>
              <w:spacing w:line="320" w:lineRule="exact"/>
              <w:jc w:val="left"/>
              <w:rPr>
                <w:rFonts w:eastAsia="仿宋_GB2312"/>
                <w:b/>
                <w:bCs/>
                <w:color w:val="000000"/>
                <w:kern w:val="0"/>
                <w:sz w:val="18"/>
                <w:szCs w:val="18"/>
              </w:rPr>
            </w:pPr>
            <w:r>
              <w:rPr>
                <w:rFonts w:eastAsia="仿宋_GB2312"/>
                <w:b/>
                <w:bCs/>
                <w:color w:val="000000"/>
                <w:kern w:val="0"/>
                <w:sz w:val="18"/>
                <w:szCs w:val="18"/>
              </w:rPr>
              <w:t>320217618000</w:t>
            </w:r>
          </w:p>
        </w:tc>
      </w:tr>
      <w:tr w14:paraId="67C1173D">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D7ED237">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color="auto" w:sz="4" w:space="0"/>
              <w:left w:val="nil"/>
              <w:bottom w:val="single" w:color="auto" w:sz="4" w:space="0"/>
              <w:right w:val="single" w:color="000000" w:sz="8" w:space="0"/>
            </w:tcBorders>
            <w:vAlign w:val="center"/>
          </w:tcPr>
          <w:p w14:paraId="05BD7513">
            <w:pPr>
              <w:spacing w:line="320" w:lineRule="exact"/>
              <w:jc w:val="left"/>
              <w:rPr>
                <w:color w:val="000000"/>
                <w:kern w:val="0"/>
                <w:sz w:val="18"/>
                <w:szCs w:val="18"/>
              </w:rPr>
            </w:pPr>
            <w:r>
              <w:rPr>
                <w:rFonts w:hint="eastAsia"/>
                <w:color w:val="000000"/>
                <w:kern w:val="0"/>
                <w:sz w:val="18"/>
                <w:szCs w:val="18"/>
              </w:rPr>
              <w:t>对建设、施工、监理等单位提供的检测试样不满足符合性、真实性、代表性要求的处罚</w:t>
            </w:r>
          </w:p>
        </w:tc>
      </w:tr>
      <w:tr w14:paraId="2BF190CC">
        <w:tblPrEx>
          <w:tblCellMar>
            <w:top w:w="0" w:type="dxa"/>
            <w:left w:w="108" w:type="dxa"/>
            <w:bottom w:w="0" w:type="dxa"/>
            <w:right w:w="108" w:type="dxa"/>
          </w:tblCellMar>
        </w:tblPrEx>
        <w:trPr>
          <w:trHeight w:val="780" w:hRule="atLeast"/>
        </w:trPr>
        <w:tc>
          <w:tcPr>
            <w:tcW w:w="1010" w:type="dxa"/>
            <w:tcBorders>
              <w:top w:val="nil"/>
              <w:left w:val="single" w:color="auto" w:sz="8" w:space="0"/>
              <w:bottom w:val="single" w:color="auto" w:sz="4" w:space="0"/>
              <w:right w:val="single" w:color="auto" w:sz="4" w:space="0"/>
            </w:tcBorders>
            <w:vAlign w:val="center"/>
          </w:tcPr>
          <w:p w14:paraId="76B4A811">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7229D57C">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70947119">
            <w:pPr>
              <w:spacing w:line="320" w:lineRule="exact"/>
              <w:jc w:val="left"/>
              <w:rPr>
                <w:color w:val="000000"/>
                <w:kern w:val="0"/>
                <w:sz w:val="18"/>
                <w:szCs w:val="18"/>
              </w:rPr>
            </w:pPr>
            <w:r>
              <w:rPr>
                <w:rFonts w:hint="eastAsia"/>
                <w:color w:val="000000"/>
                <w:kern w:val="0"/>
                <w:sz w:val="18"/>
                <w:szCs w:val="18"/>
              </w:rPr>
              <w:t>　 第十九条第一款　提供检测试样的单位和个人，应当对检测试样的符合性、真实性及代表性负责。检测试样应当具有清晰的、不易脱落的唯一性标识、封志。</w:t>
            </w:r>
          </w:p>
          <w:p w14:paraId="346D9F21">
            <w:pPr>
              <w:spacing w:line="320" w:lineRule="exact"/>
              <w:jc w:val="left"/>
              <w:rPr>
                <w:color w:val="000000"/>
                <w:kern w:val="0"/>
                <w:sz w:val="18"/>
                <w:szCs w:val="18"/>
              </w:rPr>
            </w:pPr>
            <w:r>
              <w:rPr>
                <w:rFonts w:hint="eastAsia"/>
                <w:color w:val="000000"/>
                <w:kern w:val="0"/>
                <w:sz w:val="18"/>
                <w:szCs w:val="18"/>
              </w:rPr>
              <w:t>　　第四十七条　违反本办法规定，建设、施工、监理等单位有下列行为之一的，由县级以上地方人民政府住房和城乡建设主管部门责令改正，处3万元以上10万元以下罚款；造成危害后果的，处10万元以上20万元以下罚款；构成犯罪的，依法追究刑事责任：</w:t>
            </w:r>
          </w:p>
          <w:p w14:paraId="643DD5E8">
            <w:pPr>
              <w:spacing w:line="320" w:lineRule="exact"/>
              <w:jc w:val="left"/>
              <w:rPr>
                <w:color w:val="000000"/>
                <w:kern w:val="0"/>
                <w:sz w:val="18"/>
                <w:szCs w:val="18"/>
              </w:rPr>
            </w:pPr>
            <w:r>
              <w:rPr>
                <w:rFonts w:hint="eastAsia"/>
                <w:color w:val="000000"/>
                <w:kern w:val="0"/>
                <w:sz w:val="18"/>
                <w:szCs w:val="18"/>
              </w:rPr>
              <w:t xml:space="preserve">   （四）提供的检测试样不满足符合性、真实性、代表性要求的；</w:t>
            </w:r>
          </w:p>
          <w:p w14:paraId="63CA6083">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00DE30E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A9013E2">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724A5EA9">
            <w:pPr>
              <w:spacing w:line="320" w:lineRule="exact"/>
              <w:jc w:val="left"/>
              <w:rPr>
                <w:color w:val="000000"/>
                <w:kern w:val="0"/>
                <w:sz w:val="18"/>
                <w:szCs w:val="18"/>
              </w:rPr>
            </w:pPr>
            <w:r>
              <w:rPr>
                <w:rFonts w:hint="eastAsia"/>
                <w:color w:val="000000"/>
                <w:kern w:val="0"/>
                <w:sz w:val="18"/>
                <w:szCs w:val="18"/>
              </w:rPr>
              <w:t>责令改正，罚款</w:t>
            </w:r>
          </w:p>
        </w:tc>
      </w:tr>
      <w:tr w14:paraId="1662ADA5">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6AD78E1C">
            <w:pPr>
              <w:spacing w:line="320" w:lineRule="exact"/>
              <w:jc w:val="center"/>
              <w:rPr>
                <w:color w:val="000000"/>
                <w:kern w:val="0"/>
                <w:sz w:val="18"/>
                <w:szCs w:val="18"/>
              </w:rPr>
            </w:pPr>
            <w:r>
              <w:rPr>
                <w:rFonts w:hint="eastAsia"/>
                <w:color w:val="000000"/>
                <w:kern w:val="0"/>
                <w:sz w:val="18"/>
                <w:szCs w:val="18"/>
              </w:rPr>
              <w:t>裁量基准</w:t>
            </w:r>
          </w:p>
        </w:tc>
      </w:tr>
      <w:tr w14:paraId="11ED7748">
        <w:tblPrEx>
          <w:tblCellMar>
            <w:top w:w="0" w:type="dxa"/>
            <w:left w:w="108" w:type="dxa"/>
            <w:bottom w:w="0" w:type="dxa"/>
            <w:right w:w="108" w:type="dxa"/>
          </w:tblCellMar>
        </w:tblPrEx>
        <w:trPr>
          <w:trHeight w:val="285" w:hRule="atLeast"/>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6ED1420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C9971E0">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color="auto" w:sz="4" w:space="0"/>
              <w:left w:val="single" w:color="auto" w:sz="4" w:space="0"/>
              <w:bottom w:val="single" w:color="auto" w:sz="4" w:space="0"/>
              <w:right w:val="single" w:color="auto" w:sz="4" w:space="0"/>
            </w:tcBorders>
            <w:vAlign w:val="center"/>
          </w:tcPr>
          <w:p w14:paraId="0C574A54">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color="auto" w:sz="4" w:space="0"/>
              <w:left w:val="nil"/>
              <w:bottom w:val="single" w:color="auto" w:sz="4" w:space="0"/>
              <w:right w:val="single" w:color="auto" w:sz="4" w:space="0"/>
            </w:tcBorders>
            <w:vAlign w:val="center"/>
          </w:tcPr>
          <w:p w14:paraId="060503C3">
            <w:pPr>
              <w:rPr>
                <w:color w:val="000000"/>
              </w:rPr>
            </w:pPr>
            <w:r>
              <w:rPr>
                <w:rFonts w:hint="eastAsia"/>
                <w:color w:val="000000"/>
              </w:rPr>
              <w:t>对单位：处3万元以上5万元以下的罚款</w:t>
            </w:r>
          </w:p>
          <w:p w14:paraId="7641B9F4">
            <w:pPr>
              <w:spacing w:line="320" w:lineRule="exact"/>
              <w:jc w:val="left"/>
              <w:rPr>
                <w:color w:val="000000"/>
                <w:kern w:val="0"/>
                <w:sz w:val="18"/>
                <w:szCs w:val="18"/>
              </w:rPr>
            </w:pPr>
            <w:r>
              <w:rPr>
                <w:rFonts w:hint="eastAsia"/>
                <w:color w:val="000000"/>
              </w:rPr>
              <w:t>对个人：处1万元以下的罚款</w:t>
            </w:r>
          </w:p>
        </w:tc>
      </w:tr>
      <w:tr w14:paraId="0F6DE958">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3D4C9D6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67EA32D">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361F7415">
            <w:pPr>
              <w:spacing w:line="320" w:lineRule="exact"/>
              <w:jc w:val="left"/>
              <w:rPr>
                <w:color w:val="000000"/>
                <w:kern w:val="0"/>
                <w:sz w:val="18"/>
                <w:szCs w:val="18"/>
              </w:rPr>
            </w:pPr>
          </w:p>
        </w:tc>
        <w:tc>
          <w:tcPr>
            <w:tcW w:w="5850" w:type="dxa"/>
            <w:tcBorders>
              <w:top w:val="single" w:color="auto" w:sz="4" w:space="0"/>
              <w:left w:val="nil"/>
              <w:bottom w:val="single" w:color="auto" w:sz="4" w:space="0"/>
              <w:right w:val="single" w:color="auto" w:sz="4" w:space="0"/>
            </w:tcBorders>
            <w:vAlign w:val="center"/>
          </w:tcPr>
          <w:p w14:paraId="78A02F9D">
            <w:pPr>
              <w:rPr>
                <w:color w:val="000000"/>
              </w:rPr>
            </w:pPr>
            <w:r>
              <w:rPr>
                <w:rFonts w:hint="eastAsia"/>
                <w:color w:val="000000"/>
              </w:rPr>
              <w:t>对单位：处5万元以上10万元以下的罚款</w:t>
            </w:r>
          </w:p>
          <w:p w14:paraId="4B0797CD">
            <w:pPr>
              <w:spacing w:line="320" w:lineRule="exact"/>
              <w:jc w:val="left"/>
              <w:rPr>
                <w:color w:val="000000"/>
                <w:kern w:val="0"/>
                <w:sz w:val="18"/>
                <w:szCs w:val="18"/>
              </w:rPr>
            </w:pPr>
            <w:r>
              <w:rPr>
                <w:rFonts w:hint="eastAsia"/>
                <w:color w:val="000000"/>
              </w:rPr>
              <w:t>对个人：处1万元以上1.5万元以下的罚款</w:t>
            </w:r>
          </w:p>
        </w:tc>
      </w:tr>
      <w:tr w14:paraId="645889ED">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474EF2C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04B3EED">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65CA8982">
            <w:pPr>
              <w:spacing w:line="320" w:lineRule="exact"/>
              <w:jc w:val="left"/>
              <w:rPr>
                <w:color w:val="000000"/>
                <w:kern w:val="0"/>
                <w:sz w:val="18"/>
                <w:szCs w:val="18"/>
              </w:rPr>
            </w:pPr>
          </w:p>
        </w:tc>
        <w:tc>
          <w:tcPr>
            <w:tcW w:w="5850" w:type="dxa"/>
            <w:tcBorders>
              <w:top w:val="single" w:color="auto" w:sz="4" w:space="0"/>
              <w:left w:val="nil"/>
              <w:bottom w:val="single" w:color="auto" w:sz="4" w:space="0"/>
              <w:right w:val="single" w:color="auto" w:sz="4" w:space="0"/>
            </w:tcBorders>
            <w:vAlign w:val="center"/>
          </w:tcPr>
          <w:p w14:paraId="4F592F09">
            <w:pPr>
              <w:rPr>
                <w:color w:val="000000"/>
              </w:rPr>
            </w:pPr>
            <w:r>
              <w:rPr>
                <w:rFonts w:hint="eastAsia"/>
                <w:color w:val="000000"/>
              </w:rPr>
              <w:t>对单位：处10万元以上15万元以下的罚款</w:t>
            </w:r>
          </w:p>
          <w:p w14:paraId="751CCCDC">
            <w:pPr>
              <w:spacing w:line="320" w:lineRule="exact"/>
              <w:jc w:val="left"/>
              <w:rPr>
                <w:color w:val="000000"/>
                <w:kern w:val="0"/>
                <w:sz w:val="18"/>
                <w:szCs w:val="18"/>
              </w:rPr>
            </w:pPr>
            <w:r>
              <w:rPr>
                <w:rFonts w:hint="eastAsia"/>
                <w:color w:val="000000"/>
              </w:rPr>
              <w:t>对个人：处1.5万元以上2万元以下的罚款</w:t>
            </w:r>
          </w:p>
        </w:tc>
      </w:tr>
      <w:tr w14:paraId="7054D009">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269372C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4A68074">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2FADF5DD">
            <w:pPr>
              <w:spacing w:line="320" w:lineRule="exact"/>
              <w:jc w:val="left"/>
              <w:rPr>
                <w:color w:val="000000"/>
                <w:kern w:val="0"/>
                <w:sz w:val="18"/>
                <w:szCs w:val="18"/>
              </w:rPr>
            </w:pPr>
          </w:p>
        </w:tc>
        <w:tc>
          <w:tcPr>
            <w:tcW w:w="5850" w:type="dxa"/>
            <w:tcBorders>
              <w:top w:val="single" w:color="auto" w:sz="4" w:space="0"/>
              <w:left w:val="nil"/>
              <w:bottom w:val="single" w:color="auto" w:sz="4" w:space="0"/>
              <w:right w:val="single" w:color="auto" w:sz="4" w:space="0"/>
            </w:tcBorders>
            <w:vAlign w:val="center"/>
          </w:tcPr>
          <w:p w14:paraId="61ACC33A">
            <w:pPr>
              <w:rPr>
                <w:color w:val="000000"/>
              </w:rPr>
            </w:pPr>
            <w:r>
              <w:rPr>
                <w:rFonts w:hint="eastAsia"/>
                <w:color w:val="000000"/>
              </w:rPr>
              <w:t>对单位：处15万元以上20万元以下的罚款</w:t>
            </w:r>
          </w:p>
          <w:p w14:paraId="4246BA55">
            <w:pPr>
              <w:spacing w:line="320" w:lineRule="exact"/>
              <w:jc w:val="left"/>
              <w:rPr>
                <w:color w:val="000000"/>
                <w:kern w:val="0"/>
                <w:sz w:val="18"/>
                <w:szCs w:val="18"/>
              </w:rPr>
            </w:pPr>
            <w:r>
              <w:rPr>
                <w:rFonts w:hint="eastAsia"/>
                <w:color w:val="000000"/>
              </w:rPr>
              <w:t>对个人：处2万元以上3万元以下的罚款</w:t>
            </w:r>
          </w:p>
        </w:tc>
      </w:tr>
    </w:tbl>
    <w:p w14:paraId="60193935"/>
    <w:p w14:paraId="61F598C2"/>
    <w:p w14:paraId="18BFB526"/>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6140"/>
        <w:gridCol w:w="1060"/>
        <w:gridCol w:w="5790"/>
      </w:tblGrid>
      <w:tr w14:paraId="7DFA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63D5EF30">
            <w:pPr>
              <w:spacing w:line="240" w:lineRule="exact"/>
              <w:rPr>
                <w:color w:val="000000"/>
              </w:rPr>
            </w:pPr>
            <w:r>
              <w:rPr>
                <w:rFonts w:hint="eastAsia"/>
                <w:color w:val="000000"/>
              </w:rPr>
              <w:t>编号</w:t>
            </w:r>
          </w:p>
        </w:tc>
        <w:tc>
          <w:tcPr>
            <w:tcW w:w="12990" w:type="dxa"/>
            <w:gridSpan w:val="3"/>
            <w:vAlign w:val="center"/>
          </w:tcPr>
          <w:p w14:paraId="54B50D85">
            <w:pPr>
              <w:spacing w:line="240" w:lineRule="exact"/>
              <w:rPr>
                <w:b/>
                <w:bCs/>
                <w:color w:val="000000"/>
              </w:rPr>
            </w:pPr>
            <w:r>
              <w:rPr>
                <w:b/>
                <w:bCs/>
                <w:color w:val="000000"/>
              </w:rPr>
              <w:t>320217620000</w:t>
            </w:r>
          </w:p>
        </w:tc>
      </w:tr>
      <w:tr w14:paraId="3F53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0AC0421A">
            <w:pPr>
              <w:spacing w:line="240" w:lineRule="exact"/>
              <w:rPr>
                <w:color w:val="000000"/>
              </w:rPr>
            </w:pPr>
            <w:r>
              <w:rPr>
                <w:rFonts w:hint="eastAsia"/>
                <w:color w:val="000000"/>
              </w:rPr>
              <w:t>行为名称</w:t>
            </w:r>
          </w:p>
        </w:tc>
        <w:tc>
          <w:tcPr>
            <w:tcW w:w="12990" w:type="dxa"/>
            <w:gridSpan w:val="3"/>
            <w:vAlign w:val="center"/>
          </w:tcPr>
          <w:p w14:paraId="715EB6D0">
            <w:pPr>
              <w:spacing w:line="240" w:lineRule="exact"/>
              <w:rPr>
                <w:color w:val="000000"/>
              </w:rPr>
            </w:pPr>
            <w:r>
              <w:rPr>
                <w:rFonts w:hint="eastAsia"/>
                <w:color w:val="000000"/>
              </w:rPr>
              <w:t>对招标人无正当理由不发出中标通知书，不按规定期限确定中标人，或者中标通知书发出后改变中标结果，不与中标人签订合同，或者在签订合同时向中标人提出附加条件的处罚</w:t>
            </w:r>
          </w:p>
        </w:tc>
      </w:tr>
      <w:tr w14:paraId="3B11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056" w:type="dxa"/>
            <w:vAlign w:val="center"/>
          </w:tcPr>
          <w:p w14:paraId="596F7BB5">
            <w:pPr>
              <w:spacing w:line="240" w:lineRule="exact"/>
              <w:rPr>
                <w:color w:val="000000"/>
              </w:rPr>
            </w:pPr>
            <w:r>
              <w:rPr>
                <w:rFonts w:hint="eastAsia"/>
                <w:color w:val="000000"/>
              </w:rPr>
              <w:t>法律依据</w:t>
            </w:r>
          </w:p>
        </w:tc>
        <w:tc>
          <w:tcPr>
            <w:tcW w:w="12990" w:type="dxa"/>
            <w:gridSpan w:val="3"/>
          </w:tcPr>
          <w:p w14:paraId="7A3FC705">
            <w:pPr>
              <w:spacing w:line="240" w:lineRule="exact"/>
              <w:rPr>
                <w:color w:val="000000"/>
              </w:rPr>
            </w:pPr>
          </w:p>
          <w:p w14:paraId="0CA484B9">
            <w:pPr>
              <w:spacing w:line="240" w:lineRule="exact"/>
              <w:rPr>
                <w:color w:val="000000"/>
              </w:rPr>
            </w:pPr>
            <w:r>
              <w:rPr>
                <w:rFonts w:hint="eastAsia"/>
                <w:color w:val="000000"/>
              </w:rPr>
              <w:t>【法律】《中华人民共和国招标投标法》</w:t>
            </w:r>
            <w:r>
              <w:rPr>
                <w:color w:val="000000"/>
              </w:rPr>
              <w:br w:type="textWrapping"/>
            </w:r>
            <w:r>
              <w:rPr>
                <w:rFonts w:hint="eastAsia"/>
                <w:color w:val="000000"/>
              </w:rPr>
              <w:t>第四十五条　中标人确定后，招标人应当向中标人发出中标通知书，并同时将中标结果通知所有未中标的投标人。</w:t>
            </w:r>
            <w:r>
              <w:rPr>
                <w:color w:val="000000"/>
              </w:rPr>
              <w:br w:type="textWrapping"/>
            </w:r>
            <w:r>
              <w:rPr>
                <w:rFonts w:hint="eastAsia"/>
                <w:color w:val="000000"/>
              </w:rPr>
              <w:t>中标通知书对招标人和中标人具有法律效力。中标通知书发出后，招标人改变中标结果的，或者中标人放弃中标项目的，应当依法承担法律责任。</w:t>
            </w:r>
            <w:r>
              <w:rPr>
                <w:color w:val="000000"/>
              </w:rPr>
              <w:br w:type="textWrapping"/>
            </w:r>
            <w:r>
              <w:rPr>
                <w:rFonts w:hint="eastAsia"/>
                <w:color w:val="000000"/>
              </w:rPr>
              <w:t>第四十六条　招标人和中标人应当自中标通知书发出之日起三十日内，按照招标文件和中标人的投标文件订立书面合同。招标人和中标人不得再行订立背离合同实质性内容的其他协议。</w:t>
            </w:r>
            <w:r>
              <w:rPr>
                <w:color w:val="000000"/>
              </w:rPr>
              <w:br w:type="textWrapping"/>
            </w:r>
            <w:r>
              <w:rPr>
                <w:rFonts w:hint="eastAsia"/>
                <w:color w:val="000000"/>
              </w:rPr>
              <w:t>招标文件要求中标人提交履约保证金的，中标人应当提交。</w:t>
            </w:r>
          </w:p>
          <w:p w14:paraId="043ABEBA">
            <w:pPr>
              <w:spacing w:line="24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【规章】《工程建设项目施工招标投标办法》（国家发展和改革委员会、工业和信息化部、财政部、住房和城乡建设部、交通运输部、铁道部、水利部、国家广播电影电视总局、中国民用航空局令第</w:t>
            </w:r>
            <w:r>
              <w:rPr>
                <w:color w:val="000000"/>
              </w:rPr>
              <w:t>30</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r>
              <w:rPr>
                <w:color w:val="000000"/>
              </w:rPr>
              <w:br w:type="textWrapping"/>
            </w:r>
            <w:r>
              <w:rPr>
                <w:rFonts w:hint="eastAsia"/>
                <w:color w:val="000000"/>
              </w:rPr>
              <w:t>第六十条　中标通知书对招标人和中标人具有法律效力。中标通知书发出后，招标人改变中标结果的，或者中标人放弃中标项目的，应当依法承担法律责任。</w:t>
            </w:r>
            <w:r>
              <w:rPr>
                <w:color w:val="000000"/>
              </w:rPr>
              <w:br w:type="textWrapping"/>
            </w:r>
            <w:r>
              <w:rPr>
                <w:rFonts w:hint="eastAsia"/>
                <w:color w:val="000000"/>
              </w:rPr>
              <w:t>第八十条</w:t>
            </w:r>
            <w:r>
              <w:rPr>
                <w:color w:val="000000"/>
              </w:rPr>
              <w:t xml:space="preserve"> </w:t>
            </w:r>
            <w:r>
              <w:rPr>
                <w:rFonts w:hint="eastAsia"/>
                <w:color w:val="000000"/>
              </w:rPr>
              <w:t>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w:t>
            </w:r>
            <w:r>
              <w:rPr>
                <w:color w:val="000000"/>
              </w:rPr>
              <w:br w:type="textWrapping"/>
            </w:r>
            <w:r>
              <w:rPr>
                <w:color w:val="000000"/>
              </w:rPr>
              <w:t xml:space="preserve">  </w:t>
            </w:r>
            <w:r>
              <w:rPr>
                <w:rFonts w:hint="eastAsia"/>
                <w:color w:val="000000"/>
              </w:rPr>
              <w:t>（一）无正当理由不发出中标通知书；</w:t>
            </w:r>
            <w:r>
              <w:rPr>
                <w:color w:val="000000"/>
              </w:rPr>
              <w:br w:type="textWrapping"/>
            </w:r>
            <w:r>
              <w:rPr>
                <w:color w:val="000000"/>
              </w:rPr>
              <w:t xml:space="preserve">  </w:t>
            </w:r>
            <w:r>
              <w:rPr>
                <w:rFonts w:hint="eastAsia"/>
                <w:color w:val="000000"/>
              </w:rPr>
              <w:t>（二）不按照规定确定中标人；</w:t>
            </w:r>
            <w:r>
              <w:rPr>
                <w:color w:val="000000"/>
              </w:rPr>
              <w:br w:type="textWrapping"/>
            </w:r>
            <w:r>
              <w:rPr>
                <w:color w:val="000000"/>
              </w:rPr>
              <w:t xml:space="preserve">  </w:t>
            </w:r>
            <w:r>
              <w:rPr>
                <w:rFonts w:hint="eastAsia"/>
                <w:color w:val="000000"/>
              </w:rPr>
              <w:t>（三）中标通知书发出后无正当理由改变中标结果；</w:t>
            </w:r>
            <w:r>
              <w:rPr>
                <w:color w:val="000000"/>
              </w:rPr>
              <w:br w:type="textWrapping"/>
            </w:r>
            <w:r>
              <w:rPr>
                <w:color w:val="000000"/>
              </w:rPr>
              <w:t xml:space="preserve">  </w:t>
            </w:r>
            <w:r>
              <w:rPr>
                <w:rFonts w:hint="eastAsia"/>
                <w:color w:val="000000"/>
              </w:rPr>
              <w:t>（四）无正当理由不与中标人订立合同；</w:t>
            </w:r>
            <w:r>
              <w:rPr>
                <w:color w:val="000000"/>
              </w:rPr>
              <w:br w:type="textWrapping"/>
            </w:r>
            <w:r>
              <w:rPr>
                <w:color w:val="000000"/>
              </w:rPr>
              <w:t xml:space="preserve">  </w:t>
            </w:r>
            <w:r>
              <w:rPr>
                <w:rFonts w:hint="eastAsia"/>
                <w:color w:val="000000"/>
              </w:rPr>
              <w:t>（五）在订立合同时向中标人提出附加条件。</w:t>
            </w:r>
            <w:r>
              <w:rPr>
                <w:color w:val="000000"/>
              </w:rPr>
              <w:br w:type="textWrapping"/>
            </w:r>
            <w:r>
              <w:rPr>
                <w:rFonts w:hint="eastAsia"/>
                <w:color w:val="000000"/>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rPr>
              <w:t>27</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p>
        </w:tc>
      </w:tr>
      <w:tr w14:paraId="23C8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056" w:type="dxa"/>
            <w:vAlign w:val="center"/>
          </w:tcPr>
          <w:p w14:paraId="506F5BCA">
            <w:pPr>
              <w:spacing w:line="240" w:lineRule="exact"/>
              <w:rPr>
                <w:color w:val="000000"/>
              </w:rPr>
            </w:pPr>
          </w:p>
        </w:tc>
        <w:tc>
          <w:tcPr>
            <w:tcW w:w="12990" w:type="dxa"/>
            <w:gridSpan w:val="3"/>
          </w:tcPr>
          <w:p w14:paraId="0078D99C">
            <w:pPr>
              <w:spacing w:line="240" w:lineRule="exact"/>
              <w:ind w:firstLine="420" w:firstLineChars="200"/>
              <w:rPr>
                <w:color w:val="000000"/>
              </w:rPr>
            </w:pPr>
            <w:r>
              <w:rPr>
                <w:rFonts w:hint="eastAsia"/>
                <w:color w:val="000000"/>
              </w:rPr>
              <w:t>第五十八条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一）无正当理由不发出中标通知书；（二）不按照规定确定中标人；（三）中标通知书发出后无正当理由改变中标结果；（四）无正当理由不与中标人订立合同；（五）在订立合同时向中标人提出附加条件。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招标的项目的中标人，由有关行政监督部门责令改正，可以处中标金额千分之十以下罚款。</w:t>
            </w:r>
          </w:p>
        </w:tc>
      </w:tr>
      <w:tr w14:paraId="597A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6" w:type="dxa"/>
            <w:vAlign w:val="center"/>
          </w:tcPr>
          <w:p w14:paraId="779C66E4">
            <w:pPr>
              <w:spacing w:line="240" w:lineRule="exact"/>
              <w:rPr>
                <w:color w:val="000000"/>
              </w:rPr>
            </w:pPr>
            <w:r>
              <w:rPr>
                <w:rFonts w:hint="eastAsia"/>
                <w:color w:val="000000"/>
              </w:rPr>
              <w:t>行使内容</w:t>
            </w:r>
          </w:p>
        </w:tc>
        <w:tc>
          <w:tcPr>
            <w:tcW w:w="12990" w:type="dxa"/>
            <w:gridSpan w:val="3"/>
            <w:vAlign w:val="center"/>
          </w:tcPr>
          <w:p w14:paraId="3DA9CA01">
            <w:pPr>
              <w:spacing w:line="240" w:lineRule="exact"/>
              <w:rPr>
                <w:color w:val="000000"/>
              </w:rPr>
            </w:pPr>
            <w:r>
              <w:rPr>
                <w:rFonts w:hint="eastAsia"/>
                <w:color w:val="000000"/>
              </w:rPr>
              <w:t>罚款</w:t>
            </w:r>
          </w:p>
        </w:tc>
      </w:tr>
      <w:tr w14:paraId="2448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46" w:type="dxa"/>
            <w:gridSpan w:val="4"/>
            <w:vAlign w:val="center"/>
          </w:tcPr>
          <w:p w14:paraId="6AB5A3EB">
            <w:pPr>
              <w:spacing w:line="240" w:lineRule="exact"/>
              <w:jc w:val="center"/>
              <w:rPr>
                <w:color w:val="000000"/>
              </w:rPr>
            </w:pPr>
            <w:r>
              <w:rPr>
                <w:rFonts w:hint="eastAsia"/>
                <w:color w:val="000000"/>
              </w:rPr>
              <w:t>裁量基准</w:t>
            </w:r>
          </w:p>
        </w:tc>
      </w:tr>
      <w:tr w14:paraId="562A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056" w:type="dxa"/>
            <w:vMerge w:val="restart"/>
            <w:vAlign w:val="center"/>
          </w:tcPr>
          <w:p w14:paraId="65A86369">
            <w:pPr>
              <w:spacing w:line="240" w:lineRule="exact"/>
              <w:rPr>
                <w:color w:val="000000"/>
              </w:rPr>
            </w:pPr>
            <w:r>
              <w:rPr>
                <w:rFonts w:hint="eastAsia"/>
                <w:color w:val="000000"/>
              </w:rPr>
              <w:t>情形描述</w:t>
            </w:r>
          </w:p>
        </w:tc>
        <w:tc>
          <w:tcPr>
            <w:tcW w:w="6140" w:type="dxa"/>
            <w:vAlign w:val="center"/>
          </w:tcPr>
          <w:p w14:paraId="1AF59509">
            <w:pPr>
              <w:spacing w:line="240" w:lineRule="exact"/>
              <w:rPr>
                <w:color w:val="000000"/>
              </w:rPr>
            </w:pPr>
            <w:r>
              <w:rPr>
                <w:rFonts w:hint="eastAsia"/>
                <w:color w:val="000000"/>
              </w:rPr>
              <w:t>及时纠正且未对中标人或者项目建设造成损失</w:t>
            </w:r>
          </w:p>
        </w:tc>
        <w:tc>
          <w:tcPr>
            <w:tcW w:w="1060" w:type="dxa"/>
            <w:vMerge w:val="restart"/>
            <w:vAlign w:val="center"/>
          </w:tcPr>
          <w:p w14:paraId="078B5214">
            <w:pPr>
              <w:spacing w:line="240" w:lineRule="exact"/>
              <w:rPr>
                <w:color w:val="000000"/>
              </w:rPr>
            </w:pPr>
            <w:r>
              <w:rPr>
                <w:rFonts w:hint="eastAsia"/>
                <w:color w:val="000000"/>
              </w:rPr>
              <w:t>裁量幅度</w:t>
            </w:r>
          </w:p>
        </w:tc>
        <w:tc>
          <w:tcPr>
            <w:tcW w:w="5790" w:type="dxa"/>
            <w:vAlign w:val="center"/>
          </w:tcPr>
          <w:p w14:paraId="64F71AAE">
            <w:pPr>
              <w:spacing w:line="240" w:lineRule="exact"/>
              <w:rPr>
                <w:color w:val="000000"/>
              </w:rPr>
            </w:pPr>
            <w:r>
              <w:rPr>
                <w:rFonts w:hint="eastAsia"/>
                <w:color w:val="000000"/>
              </w:rPr>
              <w:t>处中标项目金额</w:t>
            </w:r>
            <w:r>
              <w:rPr>
                <w:color w:val="000000"/>
              </w:rPr>
              <w:t>3‰</w:t>
            </w:r>
            <w:r>
              <w:rPr>
                <w:rFonts w:hint="eastAsia"/>
                <w:color w:val="000000"/>
              </w:rPr>
              <w:t>以下的罚款</w:t>
            </w:r>
          </w:p>
        </w:tc>
      </w:tr>
      <w:tr w14:paraId="7FF3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056" w:type="dxa"/>
            <w:vMerge w:val="continue"/>
            <w:vAlign w:val="center"/>
          </w:tcPr>
          <w:p w14:paraId="56FF8580">
            <w:pPr>
              <w:spacing w:line="240" w:lineRule="exact"/>
              <w:rPr>
                <w:color w:val="000000"/>
              </w:rPr>
            </w:pPr>
          </w:p>
        </w:tc>
        <w:tc>
          <w:tcPr>
            <w:tcW w:w="6140" w:type="dxa"/>
            <w:vAlign w:val="center"/>
          </w:tcPr>
          <w:p w14:paraId="0FB2C196">
            <w:pPr>
              <w:spacing w:line="240" w:lineRule="exact"/>
              <w:rPr>
                <w:color w:val="000000"/>
              </w:rPr>
            </w:pPr>
            <w:r>
              <w:rPr>
                <w:rFonts w:hint="eastAsia"/>
                <w:color w:val="000000"/>
              </w:rPr>
              <w:t>及时纠正且已对中标人或者项目建设造成损失</w:t>
            </w:r>
          </w:p>
        </w:tc>
        <w:tc>
          <w:tcPr>
            <w:tcW w:w="1060" w:type="dxa"/>
            <w:vMerge w:val="continue"/>
            <w:vAlign w:val="center"/>
          </w:tcPr>
          <w:p w14:paraId="74570AC6">
            <w:pPr>
              <w:spacing w:line="240" w:lineRule="exact"/>
              <w:rPr>
                <w:color w:val="000000"/>
              </w:rPr>
            </w:pPr>
          </w:p>
        </w:tc>
        <w:tc>
          <w:tcPr>
            <w:tcW w:w="5790" w:type="dxa"/>
            <w:vAlign w:val="center"/>
          </w:tcPr>
          <w:p w14:paraId="5028A245">
            <w:pPr>
              <w:spacing w:line="240" w:lineRule="exact"/>
              <w:rPr>
                <w:color w:val="000000"/>
              </w:rPr>
            </w:pPr>
            <w:r>
              <w:rPr>
                <w:rFonts w:hint="eastAsia"/>
                <w:color w:val="000000"/>
              </w:rPr>
              <w:t>处中标项目金额</w:t>
            </w:r>
            <w:r>
              <w:rPr>
                <w:color w:val="000000"/>
              </w:rPr>
              <w:t>3‰</w:t>
            </w:r>
            <w:r>
              <w:rPr>
                <w:rFonts w:hint="eastAsia"/>
                <w:color w:val="000000"/>
              </w:rPr>
              <w:t>以上</w:t>
            </w:r>
            <w:r>
              <w:rPr>
                <w:color w:val="000000"/>
              </w:rPr>
              <w:t>6‰</w:t>
            </w:r>
            <w:r>
              <w:rPr>
                <w:rFonts w:hint="eastAsia"/>
                <w:color w:val="000000"/>
              </w:rPr>
              <w:t>以下的罚款</w:t>
            </w:r>
          </w:p>
        </w:tc>
      </w:tr>
      <w:tr w14:paraId="20CD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056" w:type="dxa"/>
            <w:vMerge w:val="continue"/>
            <w:vAlign w:val="center"/>
          </w:tcPr>
          <w:p w14:paraId="1F48A749">
            <w:pPr>
              <w:spacing w:line="240" w:lineRule="exact"/>
              <w:rPr>
                <w:color w:val="000000"/>
              </w:rPr>
            </w:pPr>
          </w:p>
        </w:tc>
        <w:tc>
          <w:tcPr>
            <w:tcW w:w="6140" w:type="dxa"/>
            <w:vAlign w:val="center"/>
          </w:tcPr>
          <w:p w14:paraId="54512AE9">
            <w:pPr>
              <w:spacing w:line="240" w:lineRule="exact"/>
              <w:rPr>
                <w:color w:val="000000"/>
              </w:rPr>
            </w:pPr>
            <w:r>
              <w:rPr>
                <w:rFonts w:hint="eastAsia"/>
                <w:color w:val="000000"/>
              </w:rPr>
              <w:t>拒不纠正的</w:t>
            </w:r>
          </w:p>
        </w:tc>
        <w:tc>
          <w:tcPr>
            <w:tcW w:w="1060" w:type="dxa"/>
            <w:vMerge w:val="continue"/>
            <w:vAlign w:val="center"/>
          </w:tcPr>
          <w:p w14:paraId="57E176BE">
            <w:pPr>
              <w:spacing w:line="240" w:lineRule="exact"/>
              <w:rPr>
                <w:color w:val="000000"/>
              </w:rPr>
            </w:pPr>
          </w:p>
        </w:tc>
        <w:tc>
          <w:tcPr>
            <w:tcW w:w="5790" w:type="dxa"/>
            <w:vAlign w:val="center"/>
          </w:tcPr>
          <w:p w14:paraId="75E5157F">
            <w:pPr>
              <w:spacing w:line="240" w:lineRule="exact"/>
              <w:rPr>
                <w:color w:val="000000"/>
              </w:rPr>
            </w:pPr>
            <w:r>
              <w:rPr>
                <w:rFonts w:hint="eastAsia"/>
                <w:color w:val="000000"/>
              </w:rPr>
              <w:t>处中标项目金额</w:t>
            </w:r>
            <w:r>
              <w:rPr>
                <w:color w:val="000000"/>
              </w:rPr>
              <w:t>6‰</w:t>
            </w:r>
            <w:r>
              <w:rPr>
                <w:rFonts w:hint="eastAsia"/>
                <w:color w:val="000000"/>
              </w:rPr>
              <w:t>以上</w:t>
            </w:r>
            <w:r>
              <w:rPr>
                <w:color w:val="000000"/>
              </w:rPr>
              <w:t>10‰</w:t>
            </w:r>
            <w:r>
              <w:rPr>
                <w:rFonts w:hint="eastAsia"/>
                <w:color w:val="000000"/>
              </w:rPr>
              <w:t>以下的罚款</w:t>
            </w:r>
          </w:p>
        </w:tc>
      </w:tr>
    </w:tbl>
    <w:p w14:paraId="6C4EBEED"/>
    <w:p w14:paraId="20D761BC"/>
    <w:p w14:paraId="5F7FE40E"/>
    <w:p w14:paraId="34434F92"/>
    <w:p w14:paraId="0998FB87"/>
    <w:p w14:paraId="11CE3AF6"/>
    <w:p w14:paraId="591CCB66"/>
    <w:p w14:paraId="0A0D6DD0"/>
    <w:p w14:paraId="399CCEAF"/>
    <w:p w14:paraId="34873CD8"/>
    <w:p w14:paraId="367364F3"/>
    <w:p w14:paraId="3130E76C"/>
    <w:p w14:paraId="26AABBB3"/>
    <w:p w14:paraId="5210A624"/>
    <w:p w14:paraId="5845942D"/>
    <w:tbl>
      <w:tblPr>
        <w:tblStyle w:val="15"/>
        <w:tblW w:w="0" w:type="auto"/>
        <w:tblInd w:w="7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4600"/>
        <w:gridCol w:w="1080"/>
        <w:gridCol w:w="7280"/>
      </w:tblGrid>
      <w:tr w14:paraId="45ACC6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tcBorders>
              <w:top w:val="single" w:color="auto" w:sz="8" w:space="0"/>
            </w:tcBorders>
            <w:vAlign w:val="center"/>
          </w:tcPr>
          <w:p w14:paraId="47E5957F">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color="auto" w:sz="8" w:space="0"/>
            </w:tcBorders>
            <w:vAlign w:val="center"/>
          </w:tcPr>
          <w:p w14:paraId="365DA0C5">
            <w:pPr>
              <w:spacing w:line="320" w:lineRule="exact"/>
              <w:jc w:val="left"/>
              <w:rPr>
                <w:rFonts w:eastAsia="仿宋_GB2312"/>
                <w:b/>
                <w:bCs/>
                <w:color w:val="000000"/>
                <w:kern w:val="0"/>
                <w:sz w:val="18"/>
                <w:szCs w:val="18"/>
              </w:rPr>
            </w:pPr>
            <w:r>
              <w:rPr>
                <w:rFonts w:eastAsia="仿宋_GB2312"/>
                <w:b/>
                <w:bCs/>
                <w:color w:val="000000"/>
                <w:kern w:val="0"/>
                <w:sz w:val="18"/>
                <w:szCs w:val="18"/>
              </w:rPr>
              <w:t>320217623000</w:t>
            </w:r>
            <w:r>
              <w:rPr>
                <w:rFonts w:hint="eastAsia" w:eastAsia="仿宋_GB2312"/>
                <w:b/>
                <w:bCs/>
                <w:color w:val="000000"/>
                <w:kern w:val="0"/>
                <w:sz w:val="18"/>
                <w:szCs w:val="18"/>
              </w:rPr>
              <w:t xml:space="preserve"> </w:t>
            </w:r>
          </w:p>
        </w:tc>
      </w:tr>
      <w:tr w14:paraId="52233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vAlign w:val="center"/>
          </w:tcPr>
          <w:p w14:paraId="4F2BA489">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vAlign w:val="center"/>
          </w:tcPr>
          <w:p w14:paraId="3EE678DD">
            <w:pPr>
              <w:spacing w:line="320" w:lineRule="exact"/>
              <w:jc w:val="left"/>
              <w:rPr>
                <w:color w:val="000000"/>
                <w:kern w:val="0"/>
                <w:sz w:val="18"/>
                <w:szCs w:val="18"/>
              </w:rPr>
            </w:pPr>
            <w:r>
              <w:rPr>
                <w:rFonts w:hint="eastAsia"/>
                <w:color w:val="000000"/>
                <w:kern w:val="0"/>
                <w:sz w:val="18"/>
                <w:szCs w:val="18"/>
              </w:rPr>
              <w:t>对勘察、设计、施工、工程监理单位以欺骗、贿赂等不正当手段取得资质证书的处罚</w:t>
            </w:r>
          </w:p>
        </w:tc>
      </w:tr>
      <w:tr w14:paraId="1FB310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vAlign w:val="center"/>
          </w:tcPr>
          <w:p w14:paraId="2E25209A">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vAlign w:val="center"/>
          </w:tcPr>
          <w:p w14:paraId="17D65CE5">
            <w:pPr>
              <w:spacing w:line="240" w:lineRule="exact"/>
              <w:jc w:val="left"/>
              <w:rPr>
                <w:color w:val="000000"/>
                <w:kern w:val="0"/>
                <w:sz w:val="18"/>
                <w:szCs w:val="18"/>
              </w:rPr>
            </w:pPr>
            <w:r>
              <w:rPr>
                <w:rFonts w:hint="eastAsia"/>
                <w:color w:val="000000"/>
                <w:kern w:val="0"/>
                <w:sz w:val="18"/>
                <w:szCs w:val="18"/>
              </w:rPr>
              <w:t>【法律】《中华人民共和国行政许可法》</w:t>
            </w:r>
          </w:p>
          <w:p w14:paraId="06182577">
            <w:pPr>
              <w:spacing w:line="24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14:paraId="14069991">
            <w:pPr>
              <w:spacing w:line="240" w:lineRule="exact"/>
              <w:jc w:val="left"/>
              <w:rPr>
                <w:color w:val="000000"/>
                <w:kern w:val="0"/>
                <w:sz w:val="18"/>
                <w:szCs w:val="18"/>
              </w:rPr>
            </w:pPr>
            <w:r>
              <w:rPr>
                <w:rFonts w:hint="eastAsia"/>
                <w:color w:val="000000"/>
                <w:kern w:val="0"/>
                <w:sz w:val="18"/>
                <w:szCs w:val="18"/>
              </w:rPr>
              <w:t>第六十九条第二款</w:t>
            </w:r>
            <w:r>
              <w:rPr>
                <w:color w:val="000000"/>
                <w:kern w:val="0"/>
                <w:sz w:val="18"/>
                <w:szCs w:val="18"/>
              </w:rPr>
              <w:t xml:space="preserve">  </w:t>
            </w:r>
            <w:r>
              <w:rPr>
                <w:rFonts w:hint="eastAsia"/>
                <w:color w:val="000000"/>
                <w:kern w:val="0"/>
                <w:sz w:val="18"/>
                <w:szCs w:val="18"/>
              </w:rPr>
              <w:t>被许可人以欺骗、贿赂等不正当手段取得行政许可的，应当予以撤销。</w:t>
            </w:r>
          </w:p>
          <w:p w14:paraId="73426209">
            <w:pPr>
              <w:spacing w:line="240" w:lineRule="exact"/>
              <w:jc w:val="left"/>
              <w:rPr>
                <w:color w:val="000000"/>
                <w:kern w:val="0"/>
                <w:sz w:val="18"/>
                <w:szCs w:val="18"/>
              </w:rPr>
            </w:pPr>
            <w:r>
              <w:rPr>
                <w:rFonts w:hint="eastAsia"/>
                <w:color w:val="000000"/>
                <w:kern w:val="0"/>
                <w:sz w:val="18"/>
                <w:szCs w:val="18"/>
              </w:rPr>
              <w:t>第七十九条</w:t>
            </w:r>
            <w:r>
              <w:rPr>
                <w:color w:val="000000"/>
                <w:kern w:val="0"/>
                <w:sz w:val="18"/>
                <w:szCs w:val="18"/>
              </w:rPr>
              <w:t xml:space="preserve">  </w:t>
            </w:r>
            <w:r>
              <w:rPr>
                <w:rFonts w:hint="eastAsia"/>
                <w:color w:val="000000"/>
                <w:kern w:val="0"/>
                <w:sz w:val="18"/>
                <w:szCs w:val="18"/>
              </w:rPr>
              <w:t>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14:paraId="2EDC56AA">
            <w:pPr>
              <w:spacing w:line="240" w:lineRule="exact"/>
              <w:jc w:val="left"/>
              <w:rPr>
                <w:color w:val="000000"/>
                <w:kern w:val="0"/>
                <w:sz w:val="18"/>
                <w:szCs w:val="18"/>
              </w:rPr>
            </w:pPr>
            <w:r>
              <w:rPr>
                <w:rFonts w:hint="eastAsia"/>
                <w:color w:val="000000"/>
                <w:kern w:val="0"/>
                <w:sz w:val="18"/>
                <w:szCs w:val="18"/>
              </w:rPr>
              <w:t>【法律】《中华人民共和国建筑法》</w:t>
            </w:r>
          </w:p>
          <w:p w14:paraId="7FB8C6DD">
            <w:pPr>
              <w:spacing w:line="240" w:lineRule="exact"/>
              <w:jc w:val="left"/>
              <w:rPr>
                <w:color w:val="000000"/>
                <w:kern w:val="0"/>
                <w:sz w:val="18"/>
                <w:szCs w:val="18"/>
              </w:rPr>
            </w:pPr>
            <w:r>
              <w:rPr>
                <w:rFonts w:hint="eastAsia"/>
                <w:color w:val="000000"/>
                <w:kern w:val="0"/>
                <w:sz w:val="18"/>
                <w:szCs w:val="18"/>
              </w:rPr>
              <w:t>第六十五条第四款</w:t>
            </w:r>
            <w:r>
              <w:rPr>
                <w:color w:val="000000"/>
                <w:kern w:val="0"/>
                <w:sz w:val="18"/>
                <w:szCs w:val="18"/>
              </w:rPr>
              <w:t xml:space="preserve">  </w:t>
            </w:r>
            <w:r>
              <w:rPr>
                <w:rFonts w:hint="eastAsia"/>
                <w:color w:val="000000"/>
                <w:kern w:val="0"/>
                <w:sz w:val="18"/>
                <w:szCs w:val="18"/>
              </w:rPr>
              <w:t>以欺骗手段取得资质证书的，吊销资质证书，处以罚款；构成犯罪的，依法追究刑事责任。</w:t>
            </w:r>
          </w:p>
          <w:p w14:paraId="2BDB7325">
            <w:pPr>
              <w:spacing w:line="240" w:lineRule="exact"/>
              <w:jc w:val="left"/>
              <w:rPr>
                <w:color w:val="000000"/>
                <w:kern w:val="0"/>
                <w:sz w:val="18"/>
                <w:szCs w:val="18"/>
              </w:rPr>
            </w:pPr>
            <w:r>
              <w:rPr>
                <w:rFonts w:hint="eastAsia"/>
                <w:color w:val="000000"/>
                <w:kern w:val="0"/>
                <w:sz w:val="18"/>
                <w:szCs w:val="18"/>
              </w:rPr>
              <w:t>第七十六条第一款</w:t>
            </w:r>
            <w:r>
              <w:rPr>
                <w:color w:val="000000"/>
                <w:kern w:val="0"/>
                <w:sz w:val="18"/>
                <w:szCs w:val="18"/>
              </w:rPr>
              <w:t xml:space="preserve">  </w:t>
            </w:r>
            <w:r>
              <w:rPr>
                <w:rFonts w:hint="eastAsia"/>
                <w:color w:val="000000"/>
                <w:kern w:val="0"/>
                <w:sz w:val="18"/>
                <w:szCs w:val="18"/>
              </w:rPr>
              <w:t>本法规定的责令停业整顿、降低资质等级和吊销资质证书的行政处罚，由颁发资质证书的机关决定；其他行政处罚，由建设行政主管部门或者有关部门依照法律和国务院规定的职权范围决定。</w:t>
            </w:r>
          </w:p>
          <w:p w14:paraId="3411A446">
            <w:pPr>
              <w:spacing w:line="240" w:lineRule="exact"/>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14:paraId="548CBABA">
            <w:pPr>
              <w:spacing w:line="240" w:lineRule="exact"/>
              <w:jc w:val="left"/>
              <w:rPr>
                <w:color w:val="000000"/>
                <w:kern w:val="0"/>
                <w:sz w:val="18"/>
                <w:szCs w:val="18"/>
              </w:rPr>
            </w:pPr>
            <w:r>
              <w:rPr>
                <w:rFonts w:hint="eastAsia"/>
                <w:color w:val="000000"/>
                <w:kern w:val="0"/>
                <w:sz w:val="18"/>
                <w:szCs w:val="18"/>
              </w:rPr>
              <w:t>第三十五条第一款</w:t>
            </w:r>
            <w:r>
              <w:rPr>
                <w:color w:val="000000"/>
                <w:kern w:val="0"/>
                <w:sz w:val="18"/>
                <w:szCs w:val="18"/>
              </w:rPr>
              <w:t xml:space="preserve">  </w:t>
            </w:r>
            <w:r>
              <w:rPr>
                <w:rFonts w:hint="eastAsia"/>
                <w:color w:val="000000"/>
                <w:kern w:val="0"/>
                <w:sz w:val="18"/>
                <w:szCs w:val="18"/>
              </w:rPr>
              <w:t>违反本条例第八条规定的，责令停止违法行为，处合同约定的勘察费、设计费１倍以上２倍以下的罚款，有违法所得的，予以没收；可以责令停业整顿，降低资质等级；情节严重的，吊销资质证书。</w:t>
            </w:r>
          </w:p>
          <w:p w14:paraId="4D37E860">
            <w:pPr>
              <w:spacing w:line="240" w:lineRule="exact"/>
              <w:jc w:val="left"/>
              <w:rPr>
                <w:color w:val="000000"/>
                <w:kern w:val="0"/>
                <w:sz w:val="18"/>
                <w:szCs w:val="18"/>
              </w:rPr>
            </w:pP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以欺骗手段取得资质证书承揽工程的，吊销资质证书，依照本条第一款规定处以罚款；有违法所得的，予以没收。</w:t>
            </w:r>
          </w:p>
          <w:p w14:paraId="69844276">
            <w:pPr>
              <w:spacing w:line="24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14:paraId="4FA6A857">
            <w:pPr>
              <w:spacing w:line="240" w:lineRule="exact"/>
              <w:jc w:val="left"/>
              <w:rPr>
                <w:color w:val="000000"/>
                <w:kern w:val="0"/>
                <w:sz w:val="18"/>
                <w:szCs w:val="18"/>
              </w:rPr>
            </w:pPr>
            <w:r>
              <w:rPr>
                <w:rFonts w:hint="eastAsia"/>
                <w:color w:val="000000"/>
                <w:kern w:val="0"/>
                <w:sz w:val="18"/>
                <w:szCs w:val="18"/>
              </w:rPr>
              <w:t>第十八条第一款　从事建设工程勘察、设计的单位应当依法取得相应等级的资质证书，并在其资质等级许可的范围</w:t>
            </w:r>
          </w:p>
          <w:p w14:paraId="20F20644">
            <w:pPr>
              <w:spacing w:line="240" w:lineRule="exact"/>
              <w:jc w:val="left"/>
              <w:rPr>
                <w:color w:val="000000"/>
                <w:kern w:val="0"/>
                <w:sz w:val="18"/>
                <w:szCs w:val="18"/>
              </w:rPr>
            </w:pPr>
            <w:r>
              <w:rPr>
                <w:rFonts w:hint="eastAsia"/>
                <w:color w:val="000000"/>
                <w:kern w:val="0"/>
                <w:sz w:val="18"/>
                <w:szCs w:val="18"/>
              </w:rPr>
              <w:t>第二十五条第一款　施工单位应当依法取得相应等级的资质证书，并在其资质等级许可的范围内承揽工程。</w:t>
            </w:r>
          </w:p>
          <w:p w14:paraId="1AEBF86E">
            <w:pPr>
              <w:spacing w:line="240" w:lineRule="exact"/>
              <w:jc w:val="left"/>
              <w:rPr>
                <w:color w:val="000000"/>
                <w:kern w:val="0"/>
                <w:sz w:val="18"/>
                <w:szCs w:val="18"/>
              </w:rPr>
            </w:pPr>
            <w:r>
              <w:rPr>
                <w:rFonts w:hint="eastAsia"/>
                <w:color w:val="000000"/>
                <w:kern w:val="0"/>
                <w:sz w:val="18"/>
                <w:szCs w:val="18"/>
              </w:rPr>
              <w:t>第三十四条第一款　工程监理单位应当依法取得相应等级的资质证书，并在其资质等级许可的范围内承担工程监理业务。</w:t>
            </w:r>
          </w:p>
          <w:p w14:paraId="6749DCD2">
            <w:pPr>
              <w:spacing w:line="240" w:lineRule="exact"/>
              <w:jc w:val="left"/>
              <w:rPr>
                <w:color w:val="000000"/>
                <w:kern w:val="0"/>
                <w:sz w:val="18"/>
                <w:szCs w:val="18"/>
              </w:rPr>
            </w:pPr>
            <w:r>
              <w:rPr>
                <w:rFonts w:hint="eastAsia"/>
                <w:color w:val="000000"/>
                <w:kern w:val="0"/>
                <w:sz w:val="18"/>
                <w:szCs w:val="18"/>
              </w:rPr>
              <w:t>第六十条第一款　违反本条例规定，勘察、设计、施工、工程监理单位超越本单位资质等级承揽工程的，责令停止违法行为，对勘察、设计单位或者工程监理单位处合同约定的勘察费、设计费或者监理酬金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％以下的罚款，可以责令停业整顿，降低资质等级；情节严重的，吊销资质证书；有违法所得的，予以没收。</w:t>
            </w:r>
          </w:p>
          <w:p w14:paraId="5514467C">
            <w:pPr>
              <w:spacing w:line="240" w:lineRule="exact"/>
              <w:jc w:val="left"/>
              <w:rPr>
                <w:color w:val="000000"/>
                <w:kern w:val="0"/>
                <w:sz w:val="18"/>
                <w:szCs w:val="18"/>
              </w:rPr>
            </w:pP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以欺骗手段取得资质证书承揽工程的，吊销资质证书，依照本条第一款规定处以罚款；有违法所得的，予以没收。</w:t>
            </w:r>
          </w:p>
          <w:p w14:paraId="58E89E75">
            <w:pPr>
              <w:spacing w:line="24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依照本条例规定，给予单位罚款处罚的，对单位直接负责的主管人员和其他直接责任人员处单位罚款数额５％以上１０％以下的罚款。</w:t>
            </w:r>
          </w:p>
          <w:p w14:paraId="64352EF2">
            <w:pPr>
              <w:spacing w:line="24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14:paraId="1C9D8D28">
            <w:pPr>
              <w:spacing w:line="240" w:lineRule="exact"/>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14:paraId="41CA7AB2">
            <w:pPr>
              <w:spacing w:line="24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企业以欺骗、贿赂等不正当手段取得资质证书的，由县级以上地方人民政府建设主管部门或者有关部门给予警告，并依法处以罚款；该企业在</w:t>
            </w:r>
            <w:r>
              <w:rPr>
                <w:color w:val="000000"/>
                <w:kern w:val="0"/>
                <w:sz w:val="18"/>
                <w:szCs w:val="18"/>
              </w:rPr>
              <w:t>3</w:t>
            </w:r>
            <w:r>
              <w:rPr>
                <w:rFonts w:hint="eastAsia"/>
                <w:color w:val="000000"/>
                <w:kern w:val="0"/>
                <w:sz w:val="18"/>
                <w:szCs w:val="18"/>
              </w:rPr>
              <w:t>年内不得再次申请该资质。</w:t>
            </w:r>
          </w:p>
          <w:p w14:paraId="4C8903F4">
            <w:pPr>
              <w:spacing w:line="240" w:lineRule="exact"/>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14:paraId="78B40268">
            <w:pPr>
              <w:spacing w:line="240" w:lineRule="exact"/>
              <w:jc w:val="left"/>
              <w:rPr>
                <w:color w:val="000000"/>
                <w:kern w:val="0"/>
                <w:sz w:val="18"/>
                <w:szCs w:val="18"/>
              </w:rPr>
            </w:pPr>
            <w:r>
              <w:rPr>
                <w:rFonts w:hint="eastAsia"/>
                <w:color w:val="000000"/>
                <w:kern w:val="0"/>
                <w:sz w:val="18"/>
                <w:szCs w:val="18"/>
              </w:rPr>
              <w:t>第三十六条　企业以欺骗、贿赂等不正当手段取得建筑业企业资质的，由原资质许可机关予以撤销；由县级以上地方人民政府住房城乡建设主管部门或者其他有关部门给予警告，并处</w:t>
            </w:r>
            <w:r>
              <w:rPr>
                <w:color w:val="000000"/>
                <w:kern w:val="0"/>
                <w:sz w:val="18"/>
                <w:szCs w:val="18"/>
              </w:rPr>
              <w:t>3</w:t>
            </w:r>
            <w:r>
              <w:rPr>
                <w:rFonts w:hint="eastAsia"/>
                <w:color w:val="000000"/>
                <w:kern w:val="0"/>
                <w:sz w:val="18"/>
                <w:szCs w:val="18"/>
              </w:rPr>
              <w:t>万元的罚款；申请企业</w:t>
            </w:r>
            <w:r>
              <w:rPr>
                <w:color w:val="000000"/>
                <w:kern w:val="0"/>
                <w:sz w:val="18"/>
                <w:szCs w:val="18"/>
              </w:rPr>
              <w:t>3</w:t>
            </w:r>
            <w:r>
              <w:rPr>
                <w:rFonts w:hint="eastAsia"/>
                <w:color w:val="000000"/>
                <w:kern w:val="0"/>
                <w:sz w:val="18"/>
                <w:szCs w:val="18"/>
              </w:rPr>
              <w:t>年内不得再次申请建筑业企业资质。</w:t>
            </w:r>
          </w:p>
          <w:p w14:paraId="37FD85A3">
            <w:pPr>
              <w:spacing w:line="24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14:paraId="11232169">
            <w:pPr>
              <w:spacing w:line="220" w:lineRule="exact"/>
              <w:ind w:firstLine="360"/>
              <w:jc w:val="left"/>
              <w:rPr>
                <w:color w:val="000000"/>
                <w:kern w:val="0"/>
                <w:sz w:val="18"/>
                <w:szCs w:val="18"/>
              </w:rPr>
            </w:pPr>
            <w:r>
              <w:rPr>
                <w:rFonts w:hint="eastAsia"/>
                <w:color w:val="000000"/>
                <w:kern w:val="0"/>
                <w:sz w:val="18"/>
                <w:szCs w:val="18"/>
              </w:rPr>
              <w:t>第二十八条　以欺骗、贿赂等不正当手段取得工程监理企业资质证书的，由县级以上地方人民政府建设主管部门或者有关部门给予警告，并处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万元以下的罚款，申请人</w:t>
            </w:r>
            <w:r>
              <w:rPr>
                <w:color w:val="000000"/>
                <w:kern w:val="0"/>
                <w:sz w:val="18"/>
                <w:szCs w:val="18"/>
              </w:rPr>
              <w:t>3</w:t>
            </w:r>
            <w:r>
              <w:rPr>
                <w:rFonts w:hint="eastAsia"/>
                <w:color w:val="000000"/>
                <w:kern w:val="0"/>
                <w:sz w:val="18"/>
                <w:szCs w:val="18"/>
              </w:rPr>
              <w:t>年内不得再次申请工程监理企业资质。</w:t>
            </w:r>
          </w:p>
          <w:p w14:paraId="6E423A88">
            <w:pPr>
              <w:spacing w:line="220" w:lineRule="exact"/>
              <w:ind w:firstLine="360"/>
              <w:jc w:val="left"/>
              <w:rPr>
                <w:color w:val="000000"/>
                <w:kern w:val="0"/>
                <w:sz w:val="18"/>
                <w:szCs w:val="18"/>
              </w:rPr>
            </w:pPr>
          </w:p>
        </w:tc>
      </w:tr>
      <w:tr w14:paraId="484E31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90" w:type="dxa"/>
            <w:vAlign w:val="center"/>
          </w:tcPr>
          <w:p w14:paraId="390F14BF">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vAlign w:val="center"/>
          </w:tcPr>
          <w:p w14:paraId="734413B2">
            <w:pPr>
              <w:spacing w:line="32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14:paraId="6F8DB2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050" w:type="dxa"/>
            <w:gridSpan w:val="4"/>
            <w:vAlign w:val="center"/>
          </w:tcPr>
          <w:p w14:paraId="29880855">
            <w:pPr>
              <w:spacing w:line="320" w:lineRule="exact"/>
              <w:jc w:val="center"/>
              <w:rPr>
                <w:color w:val="000000"/>
                <w:kern w:val="0"/>
                <w:sz w:val="18"/>
                <w:szCs w:val="18"/>
              </w:rPr>
            </w:pPr>
            <w:r>
              <w:rPr>
                <w:rFonts w:hint="eastAsia"/>
                <w:color w:val="000000"/>
                <w:kern w:val="0"/>
                <w:sz w:val="18"/>
                <w:szCs w:val="18"/>
              </w:rPr>
              <w:t>裁量基准</w:t>
            </w:r>
          </w:p>
        </w:tc>
      </w:tr>
      <w:tr w14:paraId="50D142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090" w:type="dxa"/>
            <w:vMerge w:val="restart"/>
            <w:vAlign w:val="center"/>
          </w:tcPr>
          <w:p w14:paraId="591303E6">
            <w:pPr>
              <w:spacing w:line="320" w:lineRule="exact"/>
              <w:jc w:val="left"/>
              <w:rPr>
                <w:color w:val="000000"/>
                <w:kern w:val="0"/>
                <w:sz w:val="18"/>
                <w:szCs w:val="18"/>
              </w:rPr>
            </w:pPr>
            <w:r>
              <w:rPr>
                <w:rFonts w:hint="eastAsia"/>
                <w:color w:val="000000"/>
                <w:kern w:val="0"/>
                <w:sz w:val="18"/>
                <w:szCs w:val="18"/>
              </w:rPr>
              <w:t>情形描述</w:t>
            </w:r>
          </w:p>
        </w:tc>
        <w:tc>
          <w:tcPr>
            <w:tcW w:w="4600" w:type="dxa"/>
            <w:vAlign w:val="center"/>
          </w:tcPr>
          <w:p w14:paraId="0902BE13">
            <w:pPr>
              <w:spacing w:line="320" w:lineRule="exact"/>
              <w:jc w:val="left"/>
              <w:rPr>
                <w:color w:val="000000"/>
                <w:kern w:val="0"/>
                <w:sz w:val="18"/>
                <w:szCs w:val="18"/>
              </w:rPr>
            </w:pPr>
            <w:r>
              <w:rPr>
                <w:rFonts w:hint="eastAsia"/>
                <w:color w:val="000000"/>
                <w:kern w:val="0"/>
                <w:sz w:val="18"/>
                <w:szCs w:val="18"/>
              </w:rPr>
              <w:t>未承揽工程的</w:t>
            </w:r>
          </w:p>
        </w:tc>
        <w:tc>
          <w:tcPr>
            <w:tcW w:w="1080" w:type="dxa"/>
            <w:vMerge w:val="restart"/>
            <w:vAlign w:val="center"/>
          </w:tcPr>
          <w:p w14:paraId="755F1F37">
            <w:pPr>
              <w:spacing w:line="320" w:lineRule="exact"/>
              <w:jc w:val="left"/>
              <w:rPr>
                <w:color w:val="000000"/>
                <w:kern w:val="0"/>
                <w:sz w:val="18"/>
                <w:szCs w:val="18"/>
              </w:rPr>
            </w:pPr>
            <w:r>
              <w:rPr>
                <w:rFonts w:hint="eastAsia"/>
                <w:color w:val="000000"/>
                <w:kern w:val="0"/>
                <w:sz w:val="18"/>
                <w:szCs w:val="18"/>
              </w:rPr>
              <w:t>裁量幅度</w:t>
            </w:r>
          </w:p>
        </w:tc>
        <w:tc>
          <w:tcPr>
            <w:tcW w:w="7280" w:type="dxa"/>
            <w:vAlign w:val="center"/>
          </w:tcPr>
          <w:p w14:paraId="5A8903D6">
            <w:pPr>
              <w:spacing w:line="320" w:lineRule="exact"/>
              <w:jc w:val="left"/>
              <w:rPr>
                <w:color w:val="000000"/>
                <w:kern w:val="0"/>
                <w:sz w:val="18"/>
                <w:szCs w:val="18"/>
              </w:rPr>
            </w:pPr>
            <w:r>
              <w:rPr>
                <w:rFonts w:hint="eastAsia"/>
                <w:color w:val="000000"/>
                <w:kern w:val="0"/>
                <w:sz w:val="18"/>
                <w:szCs w:val="18"/>
              </w:rPr>
              <w:t>对工程监理企业：处</w:t>
            </w:r>
            <w:r>
              <w:rPr>
                <w:color w:val="000000"/>
                <w:kern w:val="0"/>
                <w:sz w:val="18"/>
                <w:szCs w:val="18"/>
              </w:rPr>
              <w:t>1</w:t>
            </w:r>
            <w:r>
              <w:rPr>
                <w:rFonts w:hint="eastAsia"/>
                <w:color w:val="000000"/>
                <w:kern w:val="0"/>
                <w:sz w:val="18"/>
                <w:szCs w:val="18"/>
              </w:rPr>
              <w:t>万元以上1.5万元以下的罚款</w:t>
            </w:r>
          </w:p>
        </w:tc>
      </w:tr>
      <w:tr w14:paraId="0EC5AD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090" w:type="dxa"/>
            <w:vMerge w:val="continue"/>
            <w:vAlign w:val="center"/>
          </w:tcPr>
          <w:p w14:paraId="68E7A846">
            <w:pPr>
              <w:spacing w:line="320" w:lineRule="exact"/>
              <w:jc w:val="left"/>
              <w:rPr>
                <w:color w:val="000000"/>
                <w:kern w:val="0"/>
                <w:sz w:val="18"/>
                <w:szCs w:val="18"/>
              </w:rPr>
            </w:pPr>
          </w:p>
        </w:tc>
        <w:tc>
          <w:tcPr>
            <w:tcW w:w="4600" w:type="dxa"/>
            <w:vAlign w:val="center"/>
          </w:tcPr>
          <w:p w14:paraId="40B52557">
            <w:pPr>
              <w:spacing w:line="320" w:lineRule="exact"/>
              <w:jc w:val="left"/>
              <w:rPr>
                <w:color w:val="000000"/>
                <w:kern w:val="0"/>
                <w:sz w:val="18"/>
                <w:szCs w:val="18"/>
              </w:rPr>
            </w:pPr>
            <w:r>
              <w:rPr>
                <w:rFonts w:hint="eastAsia"/>
                <w:color w:val="000000"/>
                <w:kern w:val="0"/>
                <w:sz w:val="18"/>
                <w:szCs w:val="18"/>
              </w:rPr>
              <w:t>已承揽工程的</w:t>
            </w:r>
          </w:p>
        </w:tc>
        <w:tc>
          <w:tcPr>
            <w:tcW w:w="1080" w:type="dxa"/>
            <w:vMerge w:val="continue"/>
            <w:vAlign w:val="center"/>
          </w:tcPr>
          <w:p w14:paraId="0F554FAD">
            <w:pPr>
              <w:spacing w:line="320" w:lineRule="exact"/>
              <w:jc w:val="left"/>
              <w:rPr>
                <w:color w:val="000000"/>
                <w:kern w:val="0"/>
                <w:sz w:val="18"/>
                <w:szCs w:val="18"/>
              </w:rPr>
            </w:pPr>
          </w:p>
        </w:tc>
        <w:tc>
          <w:tcPr>
            <w:tcW w:w="7280" w:type="dxa"/>
            <w:vAlign w:val="center"/>
          </w:tcPr>
          <w:p w14:paraId="481820E0">
            <w:pPr>
              <w:spacing w:line="320" w:lineRule="exact"/>
              <w:jc w:val="left"/>
              <w:rPr>
                <w:color w:val="000000"/>
                <w:kern w:val="0"/>
                <w:sz w:val="18"/>
                <w:szCs w:val="18"/>
              </w:rPr>
            </w:pPr>
            <w:r>
              <w:rPr>
                <w:rFonts w:hint="eastAsia"/>
                <w:color w:val="000000"/>
                <w:kern w:val="0"/>
                <w:sz w:val="18"/>
                <w:szCs w:val="18"/>
              </w:rPr>
              <w:t>对工程监理企业：处1.5万元以上</w:t>
            </w:r>
            <w:r>
              <w:rPr>
                <w:color w:val="000000"/>
                <w:kern w:val="0"/>
                <w:sz w:val="18"/>
                <w:szCs w:val="18"/>
              </w:rPr>
              <w:t>2</w:t>
            </w:r>
            <w:r>
              <w:rPr>
                <w:rFonts w:hint="eastAsia"/>
                <w:color w:val="000000"/>
                <w:kern w:val="0"/>
                <w:sz w:val="18"/>
                <w:szCs w:val="18"/>
              </w:rPr>
              <w:t>万元以下的罚款</w:t>
            </w:r>
          </w:p>
        </w:tc>
      </w:tr>
    </w:tbl>
    <w:p w14:paraId="6D39B65E"/>
    <w:p w14:paraId="45BF382A"/>
    <w:p w14:paraId="1B632680"/>
    <w:p w14:paraId="3146B50B"/>
    <w:p w14:paraId="556CD116"/>
    <w:p w14:paraId="082EDD7B"/>
    <w:p w14:paraId="4DAC04B1"/>
    <w:p w14:paraId="660181F5"/>
    <w:p w14:paraId="13210F6F"/>
    <w:p w14:paraId="6F208F70"/>
    <w:p w14:paraId="764FD13E"/>
    <w:p w14:paraId="2FF3C435"/>
    <w:p w14:paraId="5D8F0D34"/>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140"/>
        <w:gridCol w:w="1100"/>
        <w:gridCol w:w="5760"/>
      </w:tblGrid>
      <w:tr w14:paraId="2365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0" w:type="dxa"/>
            <w:vAlign w:val="center"/>
          </w:tcPr>
          <w:p w14:paraId="04D41715">
            <w:pPr>
              <w:spacing w:line="200" w:lineRule="exact"/>
              <w:jc w:val="center"/>
              <w:rPr>
                <w:color w:val="000000"/>
                <w:kern w:val="0"/>
                <w:sz w:val="18"/>
                <w:szCs w:val="18"/>
              </w:rPr>
            </w:pPr>
            <w:r>
              <w:rPr>
                <w:rFonts w:hint="eastAsia"/>
                <w:color w:val="000000"/>
                <w:kern w:val="0"/>
                <w:sz w:val="18"/>
                <w:szCs w:val="18"/>
              </w:rPr>
              <w:t>编号</w:t>
            </w:r>
          </w:p>
        </w:tc>
        <w:tc>
          <w:tcPr>
            <w:tcW w:w="13000" w:type="dxa"/>
            <w:gridSpan w:val="3"/>
            <w:vAlign w:val="center"/>
          </w:tcPr>
          <w:p w14:paraId="5200BE70">
            <w:pPr>
              <w:spacing w:line="200" w:lineRule="exact"/>
              <w:jc w:val="left"/>
              <w:rPr>
                <w:rFonts w:eastAsia="仿宋_GB2312"/>
                <w:b/>
                <w:bCs/>
                <w:color w:val="000000"/>
                <w:kern w:val="0"/>
                <w:sz w:val="18"/>
                <w:szCs w:val="18"/>
              </w:rPr>
            </w:pPr>
            <w:r>
              <w:rPr>
                <w:rFonts w:eastAsia="仿宋_GB2312"/>
                <w:b/>
                <w:bCs/>
                <w:color w:val="000000"/>
                <w:kern w:val="0"/>
                <w:sz w:val="18"/>
                <w:szCs w:val="18"/>
              </w:rPr>
              <w:t>320217624000</w:t>
            </w:r>
            <w:r>
              <w:rPr>
                <w:rFonts w:hint="eastAsia" w:eastAsia="仿宋_GB2312"/>
                <w:b/>
                <w:bCs/>
                <w:color w:val="000000"/>
                <w:kern w:val="0"/>
                <w:sz w:val="18"/>
                <w:szCs w:val="18"/>
              </w:rPr>
              <w:t xml:space="preserve"> </w:t>
            </w:r>
          </w:p>
        </w:tc>
      </w:tr>
      <w:tr w14:paraId="15E0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0" w:type="dxa"/>
            <w:vAlign w:val="center"/>
          </w:tcPr>
          <w:p w14:paraId="37E0C07C">
            <w:pPr>
              <w:spacing w:line="200" w:lineRule="exact"/>
              <w:jc w:val="center"/>
              <w:rPr>
                <w:color w:val="000000"/>
                <w:kern w:val="0"/>
                <w:sz w:val="18"/>
                <w:szCs w:val="18"/>
              </w:rPr>
            </w:pPr>
            <w:r>
              <w:rPr>
                <w:rFonts w:hint="eastAsia"/>
                <w:color w:val="000000"/>
                <w:kern w:val="0"/>
                <w:sz w:val="18"/>
                <w:szCs w:val="18"/>
              </w:rPr>
              <w:t>行为名称</w:t>
            </w:r>
          </w:p>
        </w:tc>
        <w:tc>
          <w:tcPr>
            <w:tcW w:w="13000" w:type="dxa"/>
            <w:gridSpan w:val="3"/>
            <w:vAlign w:val="center"/>
          </w:tcPr>
          <w:p w14:paraId="44159931">
            <w:pPr>
              <w:spacing w:line="200" w:lineRule="exact"/>
              <w:jc w:val="left"/>
              <w:rPr>
                <w:color w:val="000000"/>
                <w:kern w:val="0"/>
                <w:sz w:val="18"/>
                <w:szCs w:val="18"/>
              </w:rPr>
            </w:pPr>
            <w:r>
              <w:rPr>
                <w:rFonts w:hint="eastAsia"/>
                <w:color w:val="000000"/>
                <w:kern w:val="0"/>
                <w:sz w:val="18"/>
                <w:szCs w:val="18"/>
              </w:rPr>
              <w:t>对勘察、设计单位未按照法律、法规和工程建设强制性标准进行勘察、设计的处罚</w:t>
            </w:r>
          </w:p>
        </w:tc>
      </w:tr>
      <w:tr w14:paraId="288E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50" w:type="dxa"/>
            <w:vAlign w:val="center"/>
          </w:tcPr>
          <w:p w14:paraId="3E6A4AF4">
            <w:pPr>
              <w:spacing w:line="200" w:lineRule="exact"/>
              <w:jc w:val="center"/>
              <w:rPr>
                <w:color w:val="000000"/>
                <w:kern w:val="0"/>
                <w:sz w:val="18"/>
                <w:szCs w:val="18"/>
              </w:rPr>
            </w:pPr>
            <w:r>
              <w:rPr>
                <w:rFonts w:hint="eastAsia"/>
                <w:color w:val="000000"/>
                <w:kern w:val="0"/>
                <w:sz w:val="18"/>
                <w:szCs w:val="18"/>
              </w:rPr>
              <w:t>法律依据</w:t>
            </w:r>
          </w:p>
        </w:tc>
        <w:tc>
          <w:tcPr>
            <w:tcW w:w="13000" w:type="dxa"/>
            <w:gridSpan w:val="3"/>
            <w:vAlign w:val="center"/>
          </w:tcPr>
          <w:p w14:paraId="57936E72">
            <w:pPr>
              <w:spacing w:line="2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【法律】《中华人民共和国建筑法》</w:t>
            </w:r>
          </w:p>
          <w:p w14:paraId="2235773A">
            <w:pPr>
              <w:spacing w:line="200" w:lineRule="exact"/>
              <w:jc w:val="left"/>
              <w:rPr>
                <w:color w:val="000000"/>
                <w:kern w:val="0"/>
                <w:sz w:val="18"/>
                <w:szCs w:val="18"/>
              </w:rPr>
            </w:pPr>
            <w:r>
              <w:rPr>
                <w:rFonts w:hint="eastAsia"/>
                <w:color w:val="000000"/>
                <w:kern w:val="0"/>
                <w:sz w:val="18"/>
                <w:szCs w:val="18"/>
              </w:rPr>
              <w:t xml:space="preserve">       第五十六条 建筑工程的勘察、设计单位必须对其勘察、设计的质量负责。勘察设计文件应当符合有关法律、行政法规的规定和建筑工程质量、安全标准、建筑工程勘察、设计技术规范以及合同的约定。设计文件选用的建筑材料、建筑构配件和设备，应当注明其规格、型号、性能等技术指标，其质量要求必须符合国家规定的标准。</w:t>
            </w:r>
          </w:p>
          <w:p w14:paraId="23945EA4">
            <w:pPr>
              <w:spacing w:line="200" w:lineRule="exact"/>
              <w:jc w:val="left"/>
              <w:rPr>
                <w:color w:val="000000"/>
                <w:kern w:val="0"/>
                <w:sz w:val="18"/>
                <w:szCs w:val="18"/>
              </w:rPr>
            </w:pPr>
            <w:r>
              <w:rPr>
                <w:rFonts w:hint="eastAsia"/>
                <w:color w:val="000000"/>
                <w:kern w:val="0"/>
                <w:sz w:val="18"/>
                <w:szCs w:val="18"/>
              </w:rPr>
              <w:t xml:space="preserve">        第七十三条  建筑设计单位不按照建筑工程质量、安全标准进行设计的，责令改正，处以罚款；造成工程质量事故的，责令停业整顿，降低资质等级或者吊销资质证书，没收违法所得，并处罚款；造成损失的，承担赔偿责任；构成犯罪的，依法追究刑事责任。</w:t>
            </w:r>
          </w:p>
          <w:p w14:paraId="611199A4">
            <w:pPr>
              <w:spacing w:line="20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4E38DDE4">
            <w:pPr>
              <w:spacing w:line="200" w:lineRule="exact"/>
              <w:jc w:val="left"/>
              <w:rPr>
                <w:color w:val="000000"/>
                <w:kern w:val="0"/>
                <w:sz w:val="18"/>
                <w:szCs w:val="18"/>
              </w:rPr>
            </w:pPr>
            <w:r>
              <w:rPr>
                <w:rFonts w:hint="eastAsia"/>
                <w:color w:val="000000"/>
                <w:kern w:val="0"/>
                <w:sz w:val="18"/>
                <w:szCs w:val="18"/>
              </w:rPr>
              <w:t xml:space="preserve">         第十二条第一款　勘察单位应当按照法律、法规和工程建设强制性标准进行勘察，提供的勘察文件应当真实、准确，满足建设工程安全生产的需要。</w:t>
            </w:r>
          </w:p>
          <w:p w14:paraId="554FFD51">
            <w:pPr>
              <w:spacing w:line="200" w:lineRule="exact"/>
              <w:jc w:val="left"/>
              <w:rPr>
                <w:color w:val="000000"/>
                <w:kern w:val="0"/>
                <w:sz w:val="18"/>
                <w:szCs w:val="18"/>
              </w:rPr>
            </w:pPr>
            <w:r>
              <w:rPr>
                <w:rFonts w:hint="eastAsia"/>
                <w:color w:val="000000"/>
                <w:kern w:val="0"/>
                <w:sz w:val="18"/>
                <w:szCs w:val="18"/>
              </w:rPr>
              <w:t xml:space="preserve">        第十三条第一款　设计单位应当按照法律、法规和工程建设强制性标准进行设计，防止因设计不合理导致生产安全事故的发生。</w:t>
            </w:r>
          </w:p>
          <w:p w14:paraId="66CA193B">
            <w:pPr>
              <w:spacing w:line="200" w:lineRule="exact"/>
              <w:jc w:val="left"/>
              <w:rPr>
                <w:color w:val="000000"/>
                <w:kern w:val="0"/>
                <w:sz w:val="18"/>
                <w:szCs w:val="18"/>
              </w:rPr>
            </w:pPr>
            <w:r>
              <w:rPr>
                <w:rFonts w:hint="eastAsia"/>
                <w:color w:val="000000"/>
                <w:kern w:val="0"/>
                <w:sz w:val="18"/>
                <w:szCs w:val="18"/>
              </w:rPr>
              <w:t xml:space="preserve">       第五十六条　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w:t>
            </w:r>
          </w:p>
          <w:p w14:paraId="795F916E">
            <w:pPr>
              <w:spacing w:line="200" w:lineRule="exact"/>
              <w:jc w:val="left"/>
              <w:rPr>
                <w:color w:val="000000"/>
                <w:kern w:val="0"/>
                <w:sz w:val="18"/>
                <w:szCs w:val="18"/>
              </w:rPr>
            </w:pPr>
            <w:r>
              <w:rPr>
                <w:rFonts w:hint="eastAsia"/>
                <w:color w:val="000000"/>
                <w:kern w:val="0"/>
                <w:sz w:val="18"/>
                <w:szCs w:val="18"/>
              </w:rPr>
              <w:t xml:space="preserve">       （一）未按照法律、法规和工程建设强制性标准进行勘察、设计的；</w:t>
            </w:r>
          </w:p>
          <w:p w14:paraId="385A01CA">
            <w:pPr>
              <w:spacing w:line="200" w:lineRule="exact"/>
              <w:jc w:val="left"/>
              <w:rPr>
                <w:color w:val="000000"/>
                <w:kern w:val="0"/>
                <w:sz w:val="18"/>
                <w:szCs w:val="18"/>
              </w:rPr>
            </w:pPr>
            <w:r>
              <w:rPr>
                <w:rFonts w:hint="eastAsia"/>
                <w:color w:val="000000"/>
                <w:kern w:val="0"/>
                <w:sz w:val="18"/>
                <w:szCs w:val="18"/>
              </w:rPr>
              <w:t xml:space="preserve">        第六十八条　本条例规定的行政处罚，由建设行政主管部门或者其他有关部门依照法定职权决定。</w:t>
            </w:r>
          </w:p>
          <w:p w14:paraId="495DFFE8">
            <w:pPr>
              <w:spacing w:line="20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p>
          <w:p w14:paraId="198F71D6">
            <w:pPr>
              <w:spacing w:line="200" w:lineRule="exact"/>
              <w:jc w:val="left"/>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p w14:paraId="3FDE37F5">
            <w:pPr>
              <w:spacing w:line="200" w:lineRule="exact"/>
              <w:jc w:val="left"/>
              <w:rPr>
                <w:color w:val="000000"/>
                <w:kern w:val="0"/>
                <w:sz w:val="18"/>
                <w:szCs w:val="18"/>
              </w:rPr>
            </w:pPr>
            <w:r>
              <w:rPr>
                <w:rFonts w:hint="eastAsia"/>
                <w:color w:val="000000"/>
                <w:kern w:val="0"/>
                <w:sz w:val="18"/>
                <w:szCs w:val="18"/>
              </w:rPr>
              <w:t>【行政法规】《建设工程质量管理条例》（国务院令第279号）</w:t>
            </w:r>
          </w:p>
          <w:p w14:paraId="330CCBDE">
            <w:pPr>
              <w:spacing w:line="200" w:lineRule="exact"/>
              <w:jc w:val="left"/>
              <w:rPr>
                <w:color w:val="000000"/>
                <w:kern w:val="0"/>
                <w:sz w:val="18"/>
                <w:szCs w:val="18"/>
              </w:rPr>
            </w:pPr>
            <w:r>
              <w:rPr>
                <w:rFonts w:hint="eastAsia"/>
                <w:color w:val="000000"/>
                <w:kern w:val="0"/>
                <w:sz w:val="18"/>
                <w:szCs w:val="18"/>
              </w:rPr>
              <w:t xml:space="preserve">        第十九条第一款  勘察、设计单位必须按照工程建设强制性标准进行勘察、设计，并对其勘察、设计的质量负责。</w:t>
            </w:r>
          </w:p>
          <w:p w14:paraId="31A50721">
            <w:pPr>
              <w:spacing w:line="200" w:lineRule="exact"/>
              <w:jc w:val="left"/>
              <w:rPr>
                <w:color w:val="000000"/>
                <w:kern w:val="0"/>
                <w:sz w:val="18"/>
                <w:szCs w:val="18"/>
              </w:rPr>
            </w:pPr>
            <w:r>
              <w:rPr>
                <w:rFonts w:hint="eastAsia"/>
                <w:color w:val="000000"/>
                <w:kern w:val="0"/>
                <w:sz w:val="18"/>
                <w:szCs w:val="18"/>
              </w:rPr>
              <w:t xml:space="preserve">        第六十三条  违反本条例规定，有下列行为之一的，责令改正，处10万元以上30万元以下的罚款：</w:t>
            </w:r>
          </w:p>
          <w:p w14:paraId="1B201305">
            <w:pPr>
              <w:spacing w:line="200" w:lineRule="exact"/>
              <w:jc w:val="left"/>
              <w:rPr>
                <w:color w:val="000000"/>
                <w:kern w:val="0"/>
                <w:sz w:val="18"/>
                <w:szCs w:val="18"/>
              </w:rPr>
            </w:pPr>
            <w:r>
              <w:rPr>
                <w:rFonts w:hint="eastAsia"/>
                <w:color w:val="000000"/>
                <w:kern w:val="0"/>
                <w:sz w:val="18"/>
                <w:szCs w:val="18"/>
              </w:rPr>
              <w:t xml:space="preserve">       （一）勘察单位未按照工程建设强制性标准进行勘察的。</w:t>
            </w:r>
          </w:p>
          <w:p w14:paraId="2473552D">
            <w:pPr>
              <w:spacing w:line="200" w:lineRule="exact"/>
              <w:jc w:val="left"/>
              <w:rPr>
                <w:color w:val="000000"/>
                <w:kern w:val="0"/>
                <w:sz w:val="18"/>
                <w:szCs w:val="18"/>
              </w:rPr>
            </w:pPr>
            <w:r>
              <w:rPr>
                <w:rFonts w:hint="eastAsia"/>
                <w:color w:val="000000"/>
                <w:kern w:val="0"/>
                <w:sz w:val="18"/>
                <w:szCs w:val="18"/>
              </w:rPr>
              <w:t xml:space="preserve">       （四）设计单位未按照工程建设强制性标准进行设计的。</w:t>
            </w:r>
          </w:p>
          <w:p w14:paraId="2F480E65">
            <w:pPr>
              <w:spacing w:line="200" w:lineRule="exact"/>
              <w:jc w:val="left"/>
              <w:rPr>
                <w:color w:val="000000"/>
                <w:kern w:val="0"/>
                <w:sz w:val="18"/>
                <w:szCs w:val="18"/>
              </w:rPr>
            </w:pPr>
            <w:r>
              <w:rPr>
                <w:rFonts w:hint="eastAsia"/>
                <w:color w:val="000000"/>
                <w:kern w:val="0"/>
                <w:sz w:val="18"/>
                <w:szCs w:val="18"/>
              </w:rPr>
              <w:t xml:space="preserve">       第七十三条  依照本条例规定，给予单位罚款处罚的，对单位直接负责的主管人员和其他直接责任人员处单位罚款数额５％以上１０％以下的罚款。</w:t>
            </w:r>
          </w:p>
          <w:p w14:paraId="1581EFD5">
            <w:pPr>
              <w:spacing w:line="200" w:lineRule="exact"/>
              <w:jc w:val="left"/>
              <w:rPr>
                <w:color w:val="000000"/>
                <w:kern w:val="0"/>
                <w:sz w:val="18"/>
                <w:szCs w:val="18"/>
              </w:rPr>
            </w:pPr>
            <w:r>
              <w:rPr>
                <w:rFonts w:hint="eastAsia"/>
                <w:color w:val="000000"/>
                <w:kern w:val="0"/>
                <w:sz w:val="18"/>
                <w:szCs w:val="18"/>
              </w:rPr>
              <w:t xml:space="preserve">       第七十五条第一款  本条例规定的责令停业整顿、降低资质等级和吊销资质证书的行政处罚，由颁发资质证书的机关决定；其他行政处罚，由建设行政主管部门或者其他有关部门依照法定职权决定。</w:t>
            </w:r>
          </w:p>
          <w:p w14:paraId="0226896B">
            <w:pPr>
              <w:spacing w:line="200" w:lineRule="exact"/>
              <w:jc w:val="left"/>
              <w:rPr>
                <w:color w:val="000000"/>
                <w:kern w:val="0"/>
                <w:sz w:val="18"/>
                <w:szCs w:val="18"/>
              </w:rPr>
            </w:pPr>
            <w:r>
              <w:rPr>
                <w:rFonts w:hint="eastAsia"/>
                <w:color w:val="000000"/>
                <w:kern w:val="0"/>
                <w:sz w:val="18"/>
                <w:szCs w:val="18"/>
              </w:rPr>
              <w:t>【行政法规】《建设工程抗震管理条例》(国务院令第744号）</w:t>
            </w:r>
          </w:p>
          <w:p w14:paraId="3332EAE9">
            <w:pPr>
              <w:spacing w:line="200" w:lineRule="exact"/>
              <w:jc w:val="left"/>
              <w:rPr>
                <w:color w:val="000000"/>
                <w:kern w:val="0"/>
                <w:sz w:val="18"/>
                <w:szCs w:val="18"/>
              </w:rPr>
            </w:pPr>
            <w:r>
              <w:rPr>
                <w:rFonts w:hint="eastAsia"/>
                <w:color w:val="000000"/>
                <w:kern w:val="0"/>
                <w:sz w:val="18"/>
                <w:szCs w:val="18"/>
              </w:rPr>
              <w:t xml:space="preserve">        第四十一条　违反本条例规定，设计单位有下列行为之一的，责令改正，处10万元以上30万元以下的罚款；情节严重的，责令停业整顿，降低资质等级或者吊销资质证书；造成损失的，依法承担赔偿责任：</w:t>
            </w:r>
          </w:p>
          <w:p w14:paraId="542397B4">
            <w:pPr>
              <w:spacing w:line="200" w:lineRule="exact"/>
              <w:jc w:val="left"/>
              <w:rPr>
                <w:color w:val="000000"/>
                <w:kern w:val="0"/>
                <w:sz w:val="18"/>
                <w:szCs w:val="18"/>
              </w:rPr>
            </w:pPr>
            <w:r>
              <w:rPr>
                <w:rFonts w:hint="eastAsia"/>
                <w:color w:val="000000"/>
                <w:kern w:val="0"/>
                <w:sz w:val="18"/>
                <w:szCs w:val="18"/>
              </w:rPr>
              <w:t xml:space="preserve">     （三）未按照抗震设防强制性标准进行设计。</w:t>
            </w:r>
          </w:p>
          <w:p w14:paraId="0EF4353D">
            <w:pPr>
              <w:spacing w:line="20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2483BF92">
            <w:pPr>
              <w:spacing w:line="20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647C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0" w:type="dxa"/>
            <w:vAlign w:val="center"/>
          </w:tcPr>
          <w:p w14:paraId="615AA840">
            <w:pPr>
              <w:spacing w:line="200" w:lineRule="exact"/>
              <w:jc w:val="center"/>
              <w:rPr>
                <w:color w:val="000000"/>
                <w:kern w:val="0"/>
                <w:sz w:val="18"/>
                <w:szCs w:val="18"/>
              </w:rPr>
            </w:pPr>
            <w:r>
              <w:rPr>
                <w:rFonts w:hint="eastAsia"/>
                <w:color w:val="000000"/>
                <w:kern w:val="0"/>
                <w:sz w:val="18"/>
                <w:szCs w:val="18"/>
              </w:rPr>
              <w:t>行使内容</w:t>
            </w:r>
          </w:p>
        </w:tc>
        <w:tc>
          <w:tcPr>
            <w:tcW w:w="13000" w:type="dxa"/>
            <w:gridSpan w:val="3"/>
            <w:vAlign w:val="center"/>
          </w:tcPr>
          <w:p w14:paraId="1850F2E9">
            <w:pPr>
              <w:spacing w:line="200" w:lineRule="exact"/>
              <w:jc w:val="left"/>
              <w:rPr>
                <w:color w:val="000000"/>
                <w:kern w:val="0"/>
                <w:sz w:val="18"/>
                <w:szCs w:val="18"/>
              </w:rPr>
            </w:pPr>
            <w:r>
              <w:rPr>
                <w:rFonts w:hint="eastAsia"/>
                <w:color w:val="000000"/>
                <w:kern w:val="0"/>
                <w:sz w:val="18"/>
                <w:szCs w:val="18"/>
              </w:rPr>
              <w:t>罚款，责令停业整顿，降低资质等级，吊销资质证书</w:t>
            </w:r>
          </w:p>
        </w:tc>
      </w:tr>
      <w:tr w14:paraId="4D52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50" w:type="dxa"/>
            <w:gridSpan w:val="4"/>
            <w:vAlign w:val="center"/>
          </w:tcPr>
          <w:p w14:paraId="673E5BE7">
            <w:pPr>
              <w:spacing w:line="200" w:lineRule="exact"/>
              <w:jc w:val="center"/>
              <w:rPr>
                <w:color w:val="000000"/>
                <w:kern w:val="0"/>
                <w:sz w:val="18"/>
                <w:szCs w:val="18"/>
              </w:rPr>
            </w:pPr>
            <w:r>
              <w:rPr>
                <w:rFonts w:hint="eastAsia"/>
                <w:color w:val="000000"/>
                <w:kern w:val="0"/>
                <w:sz w:val="18"/>
                <w:szCs w:val="18"/>
              </w:rPr>
              <w:t>裁量基准</w:t>
            </w:r>
          </w:p>
        </w:tc>
      </w:tr>
      <w:tr w14:paraId="3A56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0" w:type="dxa"/>
            <w:vMerge w:val="restart"/>
            <w:vAlign w:val="center"/>
          </w:tcPr>
          <w:p w14:paraId="227DAF21">
            <w:pPr>
              <w:spacing w:line="20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10A0F7F9">
            <w:pPr>
              <w:spacing w:line="20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vAlign w:val="center"/>
          </w:tcPr>
          <w:p w14:paraId="29E35FC8">
            <w:pPr>
              <w:spacing w:line="200" w:lineRule="exact"/>
              <w:jc w:val="center"/>
              <w:rPr>
                <w:color w:val="000000"/>
                <w:kern w:val="0"/>
                <w:sz w:val="18"/>
                <w:szCs w:val="18"/>
              </w:rPr>
            </w:pPr>
            <w:r>
              <w:rPr>
                <w:rFonts w:hint="eastAsia"/>
                <w:color w:val="000000"/>
                <w:kern w:val="0"/>
                <w:sz w:val="18"/>
                <w:szCs w:val="18"/>
              </w:rPr>
              <w:t>裁量幅度</w:t>
            </w:r>
          </w:p>
        </w:tc>
        <w:tc>
          <w:tcPr>
            <w:tcW w:w="5760" w:type="dxa"/>
            <w:vAlign w:val="center"/>
          </w:tcPr>
          <w:p w14:paraId="1D002B3E">
            <w:pPr>
              <w:spacing w:line="20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14:paraId="5F3460D4">
            <w:pPr>
              <w:spacing w:line="200" w:lineRule="exact"/>
              <w:jc w:val="left"/>
              <w:rPr>
                <w:color w:val="000000"/>
                <w:kern w:val="0"/>
                <w:sz w:val="18"/>
                <w:szCs w:val="18"/>
              </w:rPr>
            </w:pPr>
            <w:r>
              <w:rPr>
                <w:rFonts w:hint="eastAsia"/>
                <w:color w:val="000000"/>
                <w:kern w:val="0"/>
                <w:sz w:val="18"/>
                <w:szCs w:val="18"/>
              </w:rPr>
              <w:t>单位直接负责的主管人员和其他直接责任人员处单位罚款数额５％以上</w:t>
            </w:r>
            <w:r>
              <w:rPr>
                <w:color w:val="000000"/>
                <w:kern w:val="0"/>
                <w:sz w:val="18"/>
                <w:szCs w:val="18"/>
              </w:rPr>
              <w:t>7</w:t>
            </w:r>
            <w:r>
              <w:rPr>
                <w:rFonts w:hint="eastAsia"/>
                <w:color w:val="000000"/>
                <w:kern w:val="0"/>
                <w:sz w:val="18"/>
                <w:szCs w:val="18"/>
              </w:rPr>
              <w:t>％以下的罚款</w:t>
            </w:r>
          </w:p>
        </w:tc>
      </w:tr>
      <w:tr w14:paraId="52C3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0" w:type="dxa"/>
            <w:vMerge w:val="continue"/>
            <w:vAlign w:val="center"/>
          </w:tcPr>
          <w:p w14:paraId="63C62FD0">
            <w:pPr>
              <w:spacing w:line="200" w:lineRule="exact"/>
              <w:jc w:val="left"/>
              <w:rPr>
                <w:color w:val="000000"/>
                <w:kern w:val="0"/>
                <w:sz w:val="18"/>
                <w:szCs w:val="18"/>
              </w:rPr>
            </w:pPr>
          </w:p>
        </w:tc>
        <w:tc>
          <w:tcPr>
            <w:tcW w:w="6140" w:type="dxa"/>
            <w:vAlign w:val="center"/>
          </w:tcPr>
          <w:p w14:paraId="179D9051">
            <w:pPr>
              <w:spacing w:line="200" w:lineRule="exact"/>
              <w:jc w:val="left"/>
              <w:rPr>
                <w:color w:val="000000"/>
                <w:kern w:val="0"/>
                <w:sz w:val="18"/>
                <w:szCs w:val="18"/>
              </w:rPr>
            </w:pPr>
            <w:r>
              <w:rPr>
                <w:rFonts w:hint="eastAsia"/>
                <w:color w:val="000000"/>
                <w:kern w:val="0"/>
                <w:sz w:val="18"/>
                <w:szCs w:val="18"/>
              </w:rPr>
              <w:t>施工单位开始施工，未发生安全事故的</w:t>
            </w:r>
          </w:p>
        </w:tc>
        <w:tc>
          <w:tcPr>
            <w:tcW w:w="1100" w:type="dxa"/>
            <w:vMerge w:val="continue"/>
            <w:vAlign w:val="center"/>
          </w:tcPr>
          <w:p w14:paraId="38FE1B05">
            <w:pPr>
              <w:spacing w:line="200" w:lineRule="exact"/>
              <w:jc w:val="left"/>
              <w:rPr>
                <w:color w:val="000000"/>
                <w:kern w:val="0"/>
                <w:sz w:val="18"/>
                <w:szCs w:val="18"/>
              </w:rPr>
            </w:pPr>
          </w:p>
        </w:tc>
        <w:tc>
          <w:tcPr>
            <w:tcW w:w="5760" w:type="dxa"/>
            <w:vAlign w:val="center"/>
          </w:tcPr>
          <w:p w14:paraId="6D4AFBD1">
            <w:pPr>
              <w:spacing w:line="20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w:t>
            </w:r>
          </w:p>
          <w:p w14:paraId="30A771B9">
            <w:pPr>
              <w:spacing w:line="200" w:lineRule="exact"/>
              <w:jc w:val="left"/>
              <w:rPr>
                <w:color w:val="000000"/>
                <w:kern w:val="0"/>
                <w:sz w:val="18"/>
                <w:szCs w:val="18"/>
              </w:rPr>
            </w:pPr>
            <w:r>
              <w:rPr>
                <w:rFonts w:hint="eastAsia"/>
                <w:color w:val="000000"/>
                <w:kern w:val="0"/>
                <w:sz w:val="18"/>
                <w:szCs w:val="18"/>
              </w:rPr>
              <w:t>单位直接负责的主管人员和其他直接责任人员处单位罚款数额</w:t>
            </w:r>
            <w:r>
              <w:rPr>
                <w:color w:val="000000"/>
                <w:kern w:val="0"/>
                <w:sz w:val="18"/>
                <w:szCs w:val="18"/>
              </w:rPr>
              <w:t>7</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％以下的罚款</w:t>
            </w:r>
          </w:p>
        </w:tc>
      </w:tr>
      <w:tr w14:paraId="31DC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050" w:type="dxa"/>
            <w:vMerge w:val="continue"/>
            <w:vAlign w:val="center"/>
          </w:tcPr>
          <w:p w14:paraId="3412CDFD">
            <w:pPr>
              <w:spacing w:line="200" w:lineRule="exact"/>
              <w:jc w:val="left"/>
              <w:rPr>
                <w:color w:val="000000"/>
                <w:kern w:val="0"/>
                <w:sz w:val="18"/>
                <w:szCs w:val="18"/>
              </w:rPr>
            </w:pPr>
          </w:p>
        </w:tc>
        <w:tc>
          <w:tcPr>
            <w:tcW w:w="6140" w:type="dxa"/>
            <w:vAlign w:val="center"/>
          </w:tcPr>
          <w:p w14:paraId="42C54F84">
            <w:pPr>
              <w:spacing w:line="200" w:lineRule="exact"/>
              <w:jc w:val="left"/>
              <w:rPr>
                <w:color w:val="000000"/>
                <w:kern w:val="0"/>
                <w:sz w:val="18"/>
                <w:szCs w:val="18"/>
              </w:rPr>
            </w:pPr>
            <w:r>
              <w:rPr>
                <w:rFonts w:hint="eastAsia"/>
                <w:color w:val="000000"/>
                <w:kern w:val="0"/>
                <w:sz w:val="18"/>
                <w:szCs w:val="18"/>
              </w:rPr>
              <w:t>施工单位开始施工，发生安全事故的</w:t>
            </w:r>
          </w:p>
        </w:tc>
        <w:tc>
          <w:tcPr>
            <w:tcW w:w="1100" w:type="dxa"/>
            <w:vMerge w:val="continue"/>
            <w:vAlign w:val="center"/>
          </w:tcPr>
          <w:p w14:paraId="0185CA50">
            <w:pPr>
              <w:spacing w:line="200" w:lineRule="exact"/>
              <w:jc w:val="left"/>
              <w:rPr>
                <w:color w:val="000000"/>
                <w:kern w:val="0"/>
                <w:sz w:val="18"/>
                <w:szCs w:val="18"/>
              </w:rPr>
            </w:pPr>
          </w:p>
        </w:tc>
        <w:tc>
          <w:tcPr>
            <w:tcW w:w="5760" w:type="dxa"/>
            <w:vAlign w:val="center"/>
          </w:tcPr>
          <w:p w14:paraId="6C512488">
            <w:pPr>
              <w:spacing w:line="20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w:t>
            </w:r>
          </w:p>
          <w:p w14:paraId="4020A98B">
            <w:pPr>
              <w:spacing w:line="200" w:lineRule="exact"/>
              <w:jc w:val="left"/>
              <w:rPr>
                <w:color w:val="000000"/>
                <w:kern w:val="0"/>
                <w:sz w:val="18"/>
                <w:szCs w:val="18"/>
              </w:rPr>
            </w:pPr>
            <w:r>
              <w:rPr>
                <w:rFonts w:hint="eastAsia"/>
                <w:color w:val="000000"/>
                <w:kern w:val="0"/>
                <w:sz w:val="18"/>
                <w:szCs w:val="18"/>
              </w:rPr>
              <w:t>单位直接负责的主管人员和其他直接责任人员处单位罚款数额</w:t>
            </w:r>
            <w:r>
              <w:rPr>
                <w:color w:val="000000"/>
                <w:kern w:val="0"/>
                <w:sz w:val="18"/>
                <w:szCs w:val="18"/>
              </w:rPr>
              <w:t>9</w:t>
            </w:r>
            <w:r>
              <w:rPr>
                <w:rFonts w:hint="eastAsia"/>
                <w:color w:val="000000"/>
                <w:kern w:val="0"/>
                <w:sz w:val="18"/>
                <w:szCs w:val="18"/>
              </w:rPr>
              <w:t>％以上</w:t>
            </w:r>
            <w:r>
              <w:rPr>
                <w:color w:val="000000"/>
                <w:kern w:val="0"/>
                <w:sz w:val="18"/>
                <w:szCs w:val="18"/>
              </w:rPr>
              <w:t>１０％</w:t>
            </w:r>
            <w:r>
              <w:rPr>
                <w:rFonts w:hint="eastAsia"/>
                <w:color w:val="000000"/>
                <w:kern w:val="0"/>
                <w:sz w:val="18"/>
                <w:szCs w:val="18"/>
              </w:rPr>
              <w:t>以下的罚款</w:t>
            </w:r>
          </w:p>
        </w:tc>
      </w:tr>
    </w:tbl>
    <w:p w14:paraId="7B43B9FE"/>
    <w:p w14:paraId="1D56CF1C"/>
    <w:tbl>
      <w:tblPr>
        <w:tblStyle w:val="15"/>
        <w:tblW w:w="0" w:type="auto"/>
        <w:tblInd w:w="78" w:type="dxa"/>
        <w:tblLayout w:type="fixed"/>
        <w:tblCellMar>
          <w:top w:w="0" w:type="dxa"/>
          <w:left w:w="108" w:type="dxa"/>
          <w:bottom w:w="0" w:type="dxa"/>
          <w:right w:w="108" w:type="dxa"/>
        </w:tblCellMar>
      </w:tblPr>
      <w:tblGrid>
        <w:gridCol w:w="1070"/>
        <w:gridCol w:w="1654"/>
        <w:gridCol w:w="4486"/>
        <w:gridCol w:w="1080"/>
        <w:gridCol w:w="5760"/>
      </w:tblGrid>
      <w:tr w14:paraId="2E6BD6FD">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12619E2C">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39107E51">
            <w:pPr>
              <w:spacing w:line="320" w:lineRule="exact"/>
              <w:jc w:val="left"/>
              <w:rPr>
                <w:rFonts w:eastAsia="仿宋_GB2312"/>
                <w:b/>
                <w:bCs/>
                <w:color w:val="000000"/>
                <w:kern w:val="0"/>
                <w:sz w:val="18"/>
                <w:szCs w:val="18"/>
              </w:rPr>
            </w:pPr>
            <w:r>
              <w:rPr>
                <w:rFonts w:eastAsia="仿宋_GB2312"/>
                <w:b/>
                <w:bCs/>
                <w:color w:val="000000"/>
                <w:kern w:val="0"/>
                <w:sz w:val="18"/>
                <w:szCs w:val="18"/>
              </w:rPr>
              <w:t>320217625000</w:t>
            </w:r>
          </w:p>
        </w:tc>
      </w:tr>
      <w:tr w14:paraId="6736A23A">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6CC5FC4">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761BC9C4">
            <w:pPr>
              <w:spacing w:line="320" w:lineRule="exact"/>
              <w:jc w:val="left"/>
              <w:rPr>
                <w:color w:val="000000"/>
                <w:kern w:val="0"/>
                <w:sz w:val="18"/>
                <w:szCs w:val="18"/>
              </w:rPr>
            </w:pPr>
            <w:r>
              <w:rPr>
                <w:rFonts w:hint="eastAsia"/>
                <w:color w:val="000000"/>
                <w:kern w:val="0"/>
                <w:sz w:val="18"/>
                <w:szCs w:val="18"/>
              </w:rPr>
              <w:t>对擅自改变物业管理区域内按照规划建设的公共建筑和共用设施用途的处罚</w:t>
            </w:r>
          </w:p>
        </w:tc>
      </w:tr>
      <w:tr w14:paraId="1A3EEC86">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7B17CDF0">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464137C1">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14:paraId="55A9DC7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物业管理区域内按照规划建设的公共建筑和共用设施，不得改变用途。</w:t>
            </w:r>
          </w:p>
          <w:p w14:paraId="408DB0F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14:paraId="400C873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（一）擅自改变物业管理区域内按照规划建设的公共建筑和共用设施用途的。</w:t>
            </w:r>
          </w:p>
          <w:p w14:paraId="350FAF7E">
            <w:pPr>
              <w:spacing w:line="320" w:lineRule="exact"/>
              <w:jc w:val="left"/>
              <w:rPr>
                <w:color w:val="000000"/>
                <w:kern w:val="0"/>
                <w:sz w:val="18"/>
                <w:szCs w:val="18"/>
              </w:rPr>
            </w:pPr>
            <w:r>
              <w:rPr>
                <w:rFonts w:hint="eastAsia"/>
                <w:color w:val="000000"/>
                <w:kern w:val="0"/>
                <w:sz w:val="18"/>
                <w:szCs w:val="18"/>
              </w:rPr>
              <w:t>个人有前款规定行为之一的，处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万元以下的罚款；单位有前款规定行为之一的，处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14:paraId="491D015E">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79A4190D">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17B6F282">
            <w:pPr>
              <w:spacing w:line="320" w:lineRule="exact"/>
              <w:jc w:val="left"/>
              <w:rPr>
                <w:color w:val="000000"/>
                <w:kern w:val="0"/>
                <w:sz w:val="18"/>
                <w:szCs w:val="18"/>
              </w:rPr>
            </w:pPr>
            <w:r>
              <w:rPr>
                <w:rFonts w:hint="eastAsia"/>
                <w:color w:val="000000"/>
                <w:kern w:val="0"/>
                <w:sz w:val="18"/>
                <w:szCs w:val="18"/>
              </w:rPr>
              <w:t>警告、罚款</w:t>
            </w:r>
          </w:p>
        </w:tc>
      </w:tr>
      <w:tr w14:paraId="08D5151A">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457C27F0">
            <w:pPr>
              <w:spacing w:line="320" w:lineRule="exact"/>
              <w:jc w:val="center"/>
              <w:rPr>
                <w:color w:val="000000"/>
                <w:kern w:val="0"/>
                <w:sz w:val="18"/>
                <w:szCs w:val="18"/>
              </w:rPr>
            </w:pPr>
            <w:r>
              <w:rPr>
                <w:rFonts w:hint="eastAsia"/>
                <w:color w:val="000000"/>
                <w:kern w:val="0"/>
                <w:sz w:val="18"/>
                <w:szCs w:val="18"/>
              </w:rPr>
              <w:t>裁量基准</w:t>
            </w:r>
          </w:p>
        </w:tc>
      </w:tr>
      <w:tr w14:paraId="0B3E8D60">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4DA5A2E6">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color="auto" w:sz="4" w:space="0"/>
              <w:left w:val="nil"/>
              <w:bottom w:val="single" w:color="auto" w:sz="4" w:space="0"/>
              <w:right w:val="single" w:color="auto" w:sz="4" w:space="0"/>
            </w:tcBorders>
            <w:vAlign w:val="center"/>
          </w:tcPr>
          <w:p w14:paraId="3B1C0FD8">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color="auto" w:sz="4" w:space="0"/>
              <w:bottom w:val="single" w:color="auto" w:sz="4" w:space="0"/>
              <w:right w:val="single" w:color="auto" w:sz="4" w:space="0"/>
            </w:tcBorders>
            <w:vAlign w:val="center"/>
          </w:tcPr>
          <w:p w14:paraId="5D6AFF3B">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256218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p w14:paraId="0D75C65E">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14:paraId="3E44AD59">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3E4CF496">
            <w:pPr>
              <w:spacing w:line="320" w:lineRule="exact"/>
              <w:jc w:val="left"/>
              <w:rPr>
                <w:color w:val="000000"/>
                <w:kern w:val="0"/>
                <w:sz w:val="18"/>
                <w:szCs w:val="18"/>
              </w:rPr>
            </w:pPr>
          </w:p>
        </w:tc>
        <w:tc>
          <w:tcPr>
            <w:tcW w:w="1654" w:type="dxa"/>
            <w:vMerge w:val="restart"/>
            <w:tcBorders>
              <w:top w:val="single" w:color="auto" w:sz="4" w:space="0"/>
              <w:left w:val="nil"/>
              <w:right w:val="single" w:color="auto" w:sz="4" w:space="0"/>
            </w:tcBorders>
            <w:vAlign w:val="center"/>
          </w:tcPr>
          <w:p w14:paraId="02C525E7">
            <w:pPr>
              <w:spacing w:line="320" w:lineRule="exact"/>
              <w:jc w:val="left"/>
              <w:rPr>
                <w:color w:val="000000"/>
                <w:kern w:val="0"/>
                <w:sz w:val="18"/>
                <w:szCs w:val="18"/>
              </w:rPr>
            </w:pPr>
            <w:r>
              <w:rPr>
                <w:rFonts w:hint="eastAsia"/>
                <w:color w:val="000000"/>
                <w:kern w:val="0"/>
                <w:sz w:val="18"/>
                <w:szCs w:val="18"/>
              </w:rPr>
              <w:t>未按照要改整改</w:t>
            </w:r>
          </w:p>
        </w:tc>
        <w:tc>
          <w:tcPr>
            <w:tcW w:w="4486" w:type="dxa"/>
            <w:tcBorders>
              <w:top w:val="single" w:color="auto" w:sz="4" w:space="0"/>
              <w:left w:val="nil"/>
              <w:bottom w:val="single" w:color="auto" w:sz="4" w:space="0"/>
              <w:right w:val="single" w:color="auto" w:sz="4" w:space="0"/>
            </w:tcBorders>
            <w:vAlign w:val="center"/>
          </w:tcPr>
          <w:p w14:paraId="6209A771">
            <w:pPr>
              <w:spacing w:line="320" w:lineRule="exact"/>
              <w:jc w:val="left"/>
              <w:rPr>
                <w:color w:val="000000"/>
                <w:kern w:val="0"/>
                <w:sz w:val="18"/>
                <w:szCs w:val="18"/>
              </w:rPr>
            </w:pPr>
            <w:r>
              <w:rPr>
                <w:rFonts w:hint="eastAsia"/>
                <w:color w:val="000000"/>
                <w:kern w:val="0"/>
                <w:sz w:val="18"/>
                <w:szCs w:val="18"/>
              </w:rPr>
              <w:t>只擅自改变物业管理区域内按照规划建设的共用设施用途</w:t>
            </w:r>
          </w:p>
        </w:tc>
        <w:tc>
          <w:tcPr>
            <w:tcW w:w="1080" w:type="dxa"/>
            <w:vMerge w:val="continue"/>
            <w:tcBorders>
              <w:top w:val="nil"/>
              <w:left w:val="single" w:color="auto" w:sz="4" w:space="0"/>
              <w:bottom w:val="single" w:color="auto" w:sz="4" w:space="0"/>
              <w:right w:val="single" w:color="auto" w:sz="4" w:space="0"/>
            </w:tcBorders>
            <w:vAlign w:val="center"/>
          </w:tcPr>
          <w:p w14:paraId="195387C1">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AD12B4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p w14:paraId="7274FEAF">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3E9CB102">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6784756">
            <w:pPr>
              <w:spacing w:line="320" w:lineRule="exact"/>
              <w:jc w:val="left"/>
              <w:rPr>
                <w:color w:val="000000"/>
                <w:kern w:val="0"/>
                <w:sz w:val="18"/>
                <w:szCs w:val="18"/>
              </w:rPr>
            </w:pPr>
          </w:p>
        </w:tc>
        <w:tc>
          <w:tcPr>
            <w:tcW w:w="1654" w:type="dxa"/>
            <w:vMerge w:val="continue"/>
            <w:tcBorders>
              <w:left w:val="nil"/>
              <w:right w:val="single" w:color="auto" w:sz="4" w:space="0"/>
            </w:tcBorders>
            <w:vAlign w:val="center"/>
          </w:tcPr>
          <w:p w14:paraId="44A14B4B">
            <w:pPr>
              <w:spacing w:line="320" w:lineRule="exact"/>
              <w:jc w:val="left"/>
              <w:rPr>
                <w:color w:val="000000"/>
                <w:kern w:val="0"/>
                <w:sz w:val="18"/>
                <w:szCs w:val="18"/>
              </w:rPr>
            </w:pPr>
          </w:p>
        </w:tc>
        <w:tc>
          <w:tcPr>
            <w:tcW w:w="4486" w:type="dxa"/>
            <w:tcBorders>
              <w:top w:val="single" w:color="auto" w:sz="4" w:space="0"/>
              <w:left w:val="nil"/>
              <w:bottom w:val="single" w:color="auto" w:sz="4" w:space="0"/>
              <w:right w:val="single" w:color="auto" w:sz="4" w:space="0"/>
            </w:tcBorders>
            <w:vAlign w:val="center"/>
          </w:tcPr>
          <w:p w14:paraId="0874E095">
            <w:pPr>
              <w:spacing w:line="320" w:lineRule="exact"/>
              <w:jc w:val="left"/>
              <w:rPr>
                <w:color w:val="000000"/>
                <w:kern w:val="0"/>
                <w:sz w:val="18"/>
                <w:szCs w:val="18"/>
              </w:rPr>
            </w:pPr>
            <w:r>
              <w:rPr>
                <w:rFonts w:hint="eastAsia"/>
                <w:color w:val="000000"/>
                <w:kern w:val="0"/>
                <w:sz w:val="18"/>
                <w:szCs w:val="18"/>
              </w:rPr>
              <w:t>只擅自改变物业管理区域内按照规划建设的公共建筑用途</w:t>
            </w:r>
          </w:p>
        </w:tc>
        <w:tc>
          <w:tcPr>
            <w:tcW w:w="1080" w:type="dxa"/>
            <w:vMerge w:val="continue"/>
            <w:tcBorders>
              <w:top w:val="nil"/>
              <w:left w:val="single" w:color="auto" w:sz="4" w:space="0"/>
              <w:bottom w:val="single" w:color="auto" w:sz="4" w:space="0"/>
              <w:right w:val="single" w:color="auto" w:sz="4" w:space="0"/>
            </w:tcBorders>
            <w:vAlign w:val="center"/>
          </w:tcPr>
          <w:p w14:paraId="741045A1">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3465425A">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w:t>
            </w:r>
          </w:p>
          <w:p w14:paraId="3B46F839">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元以下的罚款</w:t>
            </w:r>
          </w:p>
        </w:tc>
      </w:tr>
      <w:tr w14:paraId="70E3BF31">
        <w:tblPrEx>
          <w:tblCellMar>
            <w:top w:w="0" w:type="dxa"/>
            <w:left w:w="108" w:type="dxa"/>
            <w:bottom w:w="0" w:type="dxa"/>
            <w:right w:w="108" w:type="dxa"/>
          </w:tblCellMar>
        </w:tblPrEx>
        <w:trPr>
          <w:trHeight w:val="401" w:hRule="atLeast"/>
        </w:trPr>
        <w:tc>
          <w:tcPr>
            <w:tcW w:w="1070" w:type="dxa"/>
            <w:vMerge w:val="continue"/>
            <w:tcBorders>
              <w:top w:val="nil"/>
              <w:left w:val="single" w:color="auto" w:sz="8" w:space="0"/>
              <w:bottom w:val="single" w:color="auto" w:sz="4" w:space="0"/>
              <w:right w:val="single" w:color="auto" w:sz="4" w:space="0"/>
            </w:tcBorders>
            <w:vAlign w:val="center"/>
          </w:tcPr>
          <w:p w14:paraId="69DFC677">
            <w:pPr>
              <w:spacing w:line="320" w:lineRule="exact"/>
              <w:jc w:val="left"/>
              <w:rPr>
                <w:color w:val="000000"/>
                <w:kern w:val="0"/>
                <w:sz w:val="18"/>
                <w:szCs w:val="18"/>
              </w:rPr>
            </w:pPr>
          </w:p>
        </w:tc>
        <w:tc>
          <w:tcPr>
            <w:tcW w:w="1654" w:type="dxa"/>
            <w:vMerge w:val="continue"/>
            <w:tcBorders>
              <w:left w:val="nil"/>
              <w:bottom w:val="single" w:color="auto" w:sz="4" w:space="0"/>
              <w:right w:val="single" w:color="auto" w:sz="4" w:space="0"/>
            </w:tcBorders>
            <w:vAlign w:val="center"/>
          </w:tcPr>
          <w:p w14:paraId="10E286A7">
            <w:pPr>
              <w:spacing w:line="320" w:lineRule="exact"/>
              <w:jc w:val="left"/>
              <w:rPr>
                <w:color w:val="000000"/>
                <w:kern w:val="0"/>
                <w:sz w:val="18"/>
                <w:szCs w:val="18"/>
              </w:rPr>
            </w:pPr>
          </w:p>
        </w:tc>
        <w:tc>
          <w:tcPr>
            <w:tcW w:w="4486" w:type="dxa"/>
            <w:tcBorders>
              <w:top w:val="single" w:color="auto" w:sz="4" w:space="0"/>
              <w:left w:val="nil"/>
              <w:bottom w:val="single" w:color="auto" w:sz="4" w:space="0"/>
              <w:right w:val="single" w:color="auto" w:sz="4" w:space="0"/>
            </w:tcBorders>
            <w:vAlign w:val="center"/>
          </w:tcPr>
          <w:p w14:paraId="1A014036">
            <w:pPr>
              <w:spacing w:line="320" w:lineRule="exact"/>
              <w:jc w:val="left"/>
              <w:rPr>
                <w:color w:val="000000"/>
                <w:kern w:val="0"/>
                <w:sz w:val="18"/>
                <w:szCs w:val="18"/>
              </w:rPr>
            </w:pPr>
            <w:r>
              <w:rPr>
                <w:rFonts w:hint="eastAsia"/>
                <w:color w:val="000000"/>
                <w:kern w:val="0"/>
                <w:sz w:val="18"/>
                <w:szCs w:val="18"/>
              </w:rPr>
              <w:t>擅自改变物业管理区域内按照规划建设的公共建筑和共用设施用途</w:t>
            </w:r>
          </w:p>
        </w:tc>
        <w:tc>
          <w:tcPr>
            <w:tcW w:w="1080" w:type="dxa"/>
            <w:vMerge w:val="continue"/>
            <w:tcBorders>
              <w:top w:val="nil"/>
              <w:left w:val="single" w:color="auto" w:sz="4" w:space="0"/>
              <w:bottom w:val="single" w:color="auto" w:sz="4" w:space="0"/>
              <w:right w:val="single" w:color="auto" w:sz="4" w:space="0"/>
            </w:tcBorders>
            <w:vAlign w:val="center"/>
          </w:tcPr>
          <w:p w14:paraId="4CDFA6B2">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3638B4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14:paraId="4174902A">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14:paraId="174FBF29"/>
    <w:tbl>
      <w:tblPr>
        <w:tblStyle w:val="15"/>
        <w:tblW w:w="0" w:type="auto"/>
        <w:tblInd w:w="88" w:type="dxa"/>
        <w:tblLayout w:type="fixed"/>
        <w:tblCellMar>
          <w:top w:w="0" w:type="dxa"/>
          <w:left w:w="108" w:type="dxa"/>
          <w:bottom w:w="0" w:type="dxa"/>
          <w:right w:w="108" w:type="dxa"/>
        </w:tblCellMar>
      </w:tblPr>
      <w:tblGrid>
        <w:gridCol w:w="1296"/>
        <w:gridCol w:w="5884"/>
        <w:gridCol w:w="1076"/>
        <w:gridCol w:w="5760"/>
      </w:tblGrid>
      <w:tr w14:paraId="3E310D15">
        <w:tblPrEx>
          <w:tblCellMar>
            <w:top w:w="0" w:type="dxa"/>
            <w:left w:w="108" w:type="dxa"/>
            <w:bottom w:w="0" w:type="dxa"/>
            <w:right w:w="108" w:type="dxa"/>
          </w:tblCellMar>
        </w:tblPrEx>
        <w:trPr>
          <w:trHeight w:val="285" w:hRule="atLeast"/>
        </w:trPr>
        <w:tc>
          <w:tcPr>
            <w:tcW w:w="1296" w:type="dxa"/>
            <w:tcBorders>
              <w:top w:val="single" w:color="auto" w:sz="4" w:space="0"/>
              <w:left w:val="single" w:color="auto" w:sz="4" w:space="0"/>
              <w:bottom w:val="single" w:color="auto" w:sz="4" w:space="0"/>
              <w:right w:val="single" w:color="auto" w:sz="4" w:space="0"/>
            </w:tcBorders>
            <w:vAlign w:val="center"/>
          </w:tcPr>
          <w:p w14:paraId="6FD010DB">
            <w:pPr>
              <w:jc w:val="center"/>
              <w:rPr>
                <w:color w:val="000000"/>
              </w:rPr>
            </w:pPr>
            <w:r>
              <w:rPr>
                <w:rFonts w:hint="eastAsia"/>
                <w:color w:val="000000"/>
              </w:rPr>
              <w:t>编号</w:t>
            </w:r>
          </w:p>
        </w:tc>
        <w:tc>
          <w:tcPr>
            <w:tcW w:w="12720" w:type="dxa"/>
            <w:gridSpan w:val="3"/>
            <w:tcBorders>
              <w:top w:val="single" w:color="auto" w:sz="4" w:space="0"/>
              <w:left w:val="single" w:color="auto" w:sz="4" w:space="0"/>
              <w:bottom w:val="single" w:color="auto" w:sz="4" w:space="0"/>
              <w:right w:val="single" w:color="auto" w:sz="4" w:space="0"/>
            </w:tcBorders>
            <w:vAlign w:val="center"/>
          </w:tcPr>
          <w:p w14:paraId="70574BF2">
            <w:pPr>
              <w:rPr>
                <w:b/>
                <w:bCs/>
                <w:color w:val="000000"/>
              </w:rPr>
            </w:pPr>
            <w:r>
              <w:rPr>
                <w:b/>
                <w:color w:val="000000"/>
              </w:rPr>
              <w:t>320217627000</w:t>
            </w:r>
          </w:p>
        </w:tc>
      </w:tr>
      <w:tr w14:paraId="7656DED7">
        <w:tblPrEx>
          <w:tblCellMar>
            <w:top w:w="0" w:type="dxa"/>
            <w:left w:w="108" w:type="dxa"/>
            <w:bottom w:w="0" w:type="dxa"/>
            <w:right w:w="108" w:type="dxa"/>
          </w:tblCellMar>
        </w:tblPrEx>
        <w:trPr>
          <w:trHeight w:val="285" w:hRule="atLeast"/>
        </w:trPr>
        <w:tc>
          <w:tcPr>
            <w:tcW w:w="1296" w:type="dxa"/>
            <w:tcBorders>
              <w:top w:val="single" w:color="auto" w:sz="4" w:space="0"/>
              <w:left w:val="single" w:color="auto" w:sz="4" w:space="0"/>
              <w:bottom w:val="single" w:color="auto" w:sz="4" w:space="0"/>
              <w:right w:val="single" w:color="auto" w:sz="4" w:space="0"/>
            </w:tcBorders>
            <w:vAlign w:val="center"/>
          </w:tcPr>
          <w:p w14:paraId="2030AE5F">
            <w:pPr>
              <w:rPr>
                <w:color w:val="000000"/>
              </w:rPr>
            </w:pPr>
            <w:r>
              <w:rPr>
                <w:rFonts w:hint="eastAsia"/>
                <w:color w:val="000000"/>
              </w:rPr>
              <w:t>行为名称</w:t>
            </w:r>
          </w:p>
        </w:tc>
        <w:tc>
          <w:tcPr>
            <w:tcW w:w="12720" w:type="dxa"/>
            <w:gridSpan w:val="3"/>
            <w:tcBorders>
              <w:top w:val="single" w:color="auto" w:sz="4" w:space="0"/>
              <w:left w:val="single" w:color="auto" w:sz="4" w:space="0"/>
              <w:bottom w:val="single" w:color="auto" w:sz="4" w:space="0"/>
              <w:right w:val="single" w:color="auto" w:sz="4" w:space="0"/>
            </w:tcBorders>
            <w:vAlign w:val="center"/>
          </w:tcPr>
          <w:p w14:paraId="35E3CCB2">
            <w:pPr>
              <w:rPr>
                <w:color w:val="000000"/>
              </w:rPr>
            </w:pPr>
            <w:r>
              <w:rPr>
                <w:rFonts w:hint="eastAsia"/>
                <w:color w:val="000000"/>
              </w:rPr>
              <w:t>对建筑起重机械安装单位未制定建筑起重机械安装、拆卸工程生产安全事故应急救援预案的处罚</w:t>
            </w:r>
          </w:p>
        </w:tc>
      </w:tr>
      <w:tr w14:paraId="2F89396D">
        <w:tblPrEx>
          <w:tblCellMar>
            <w:top w:w="0" w:type="dxa"/>
            <w:left w:w="108" w:type="dxa"/>
            <w:bottom w:w="0" w:type="dxa"/>
            <w:right w:w="108" w:type="dxa"/>
          </w:tblCellMar>
        </w:tblPrEx>
        <w:trPr>
          <w:trHeight w:val="1515" w:hRule="atLeast"/>
        </w:trPr>
        <w:tc>
          <w:tcPr>
            <w:tcW w:w="1296" w:type="dxa"/>
            <w:tcBorders>
              <w:top w:val="single" w:color="auto" w:sz="4" w:space="0"/>
              <w:left w:val="single" w:color="auto" w:sz="4" w:space="0"/>
              <w:bottom w:val="single" w:color="auto" w:sz="4" w:space="0"/>
              <w:right w:val="single" w:color="auto" w:sz="4" w:space="0"/>
            </w:tcBorders>
            <w:vAlign w:val="center"/>
          </w:tcPr>
          <w:p w14:paraId="1F9D8A4B">
            <w:pPr>
              <w:rPr>
                <w:color w:val="000000"/>
              </w:rPr>
            </w:pPr>
            <w:r>
              <w:rPr>
                <w:rFonts w:hint="eastAsia"/>
                <w:color w:val="000000"/>
              </w:rPr>
              <w:t>法律依据</w:t>
            </w:r>
          </w:p>
        </w:tc>
        <w:tc>
          <w:tcPr>
            <w:tcW w:w="12720" w:type="dxa"/>
            <w:gridSpan w:val="3"/>
            <w:tcBorders>
              <w:top w:val="single" w:color="auto" w:sz="4" w:space="0"/>
              <w:left w:val="single" w:color="auto" w:sz="4" w:space="0"/>
              <w:bottom w:val="single" w:color="auto" w:sz="4" w:space="0"/>
              <w:right w:val="single" w:color="auto" w:sz="4" w:space="0"/>
            </w:tcBorders>
            <w:vAlign w:val="center"/>
          </w:tcPr>
          <w:p w14:paraId="0098B646">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第十二条　安装单位应当履行下列安全职责：</w:t>
            </w:r>
            <w:r>
              <w:rPr>
                <w:color w:val="000000"/>
              </w:rPr>
              <w:br w:type="textWrapping"/>
            </w:r>
            <w:r>
              <w:rPr>
                <w:color w:val="000000"/>
              </w:rPr>
              <w:t xml:space="preserve">   </w:t>
            </w:r>
            <w:r>
              <w:rPr>
                <w:rFonts w:hint="eastAsia"/>
                <w:color w:val="000000"/>
              </w:rPr>
              <w:t>（四）制定建筑起重机械安装、拆卸工程生产安全事故应急救援预案；</w:t>
            </w:r>
            <w:r>
              <w:rPr>
                <w:color w:val="000000"/>
              </w:rPr>
              <w:br w:type="textWrapping"/>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ype="textWrapping"/>
            </w:r>
            <w:r>
              <w:rPr>
                <w:color w:val="000000"/>
              </w:rPr>
              <w:t xml:space="preserve">   </w:t>
            </w:r>
            <w:r>
              <w:rPr>
                <w:rFonts w:hint="eastAsia"/>
                <w:color w:val="000000"/>
              </w:rPr>
              <w:t>（一）未履行第十二条第（二）、（四）、（五）项安全职责的；</w:t>
            </w:r>
          </w:p>
        </w:tc>
      </w:tr>
      <w:tr w14:paraId="4D665332">
        <w:tblPrEx>
          <w:tblCellMar>
            <w:top w:w="0" w:type="dxa"/>
            <w:left w:w="108" w:type="dxa"/>
            <w:bottom w:w="0" w:type="dxa"/>
            <w:right w:w="108" w:type="dxa"/>
          </w:tblCellMar>
        </w:tblPrEx>
        <w:trPr>
          <w:trHeight w:val="285" w:hRule="atLeast"/>
        </w:trPr>
        <w:tc>
          <w:tcPr>
            <w:tcW w:w="1296" w:type="dxa"/>
            <w:tcBorders>
              <w:top w:val="single" w:color="auto" w:sz="4" w:space="0"/>
              <w:left w:val="single" w:color="auto" w:sz="4" w:space="0"/>
              <w:bottom w:val="single" w:color="auto" w:sz="4" w:space="0"/>
              <w:right w:val="single" w:color="auto" w:sz="4" w:space="0"/>
            </w:tcBorders>
            <w:vAlign w:val="center"/>
          </w:tcPr>
          <w:p w14:paraId="5F6EF3CE">
            <w:pPr>
              <w:rPr>
                <w:color w:val="000000"/>
              </w:rPr>
            </w:pPr>
            <w:r>
              <w:rPr>
                <w:rFonts w:hint="eastAsia"/>
                <w:color w:val="000000"/>
              </w:rPr>
              <w:t>行使内容</w:t>
            </w:r>
          </w:p>
        </w:tc>
        <w:tc>
          <w:tcPr>
            <w:tcW w:w="12720" w:type="dxa"/>
            <w:gridSpan w:val="3"/>
            <w:tcBorders>
              <w:top w:val="single" w:color="auto" w:sz="4" w:space="0"/>
              <w:left w:val="single" w:color="auto" w:sz="4" w:space="0"/>
              <w:bottom w:val="single" w:color="auto" w:sz="4" w:space="0"/>
              <w:right w:val="single" w:color="auto" w:sz="4" w:space="0"/>
            </w:tcBorders>
            <w:vAlign w:val="center"/>
          </w:tcPr>
          <w:p w14:paraId="2C4DFDD3">
            <w:pPr>
              <w:rPr>
                <w:color w:val="000000"/>
              </w:rPr>
            </w:pPr>
            <w:r>
              <w:rPr>
                <w:rFonts w:hint="eastAsia"/>
                <w:color w:val="000000"/>
              </w:rPr>
              <w:t>警告，罚款</w:t>
            </w:r>
          </w:p>
        </w:tc>
      </w:tr>
      <w:tr w14:paraId="10CC4A42">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4" w:space="0"/>
              <w:bottom w:val="single" w:color="auto" w:sz="4" w:space="0"/>
              <w:right w:val="single" w:color="auto" w:sz="4" w:space="0"/>
            </w:tcBorders>
            <w:vAlign w:val="center"/>
          </w:tcPr>
          <w:p w14:paraId="26D70346">
            <w:pPr>
              <w:jc w:val="center"/>
              <w:rPr>
                <w:color w:val="000000"/>
              </w:rPr>
            </w:pPr>
            <w:r>
              <w:rPr>
                <w:rFonts w:hint="eastAsia"/>
                <w:color w:val="000000"/>
              </w:rPr>
              <w:t>裁量基准</w:t>
            </w:r>
          </w:p>
        </w:tc>
      </w:tr>
      <w:tr w14:paraId="4B751058">
        <w:tblPrEx>
          <w:tblCellMar>
            <w:top w:w="0" w:type="dxa"/>
            <w:left w:w="108" w:type="dxa"/>
            <w:bottom w:w="0" w:type="dxa"/>
            <w:right w:w="108" w:type="dxa"/>
          </w:tblCellMar>
        </w:tblPrEx>
        <w:trPr>
          <w:trHeight w:val="285" w:hRule="atLeast"/>
        </w:trPr>
        <w:tc>
          <w:tcPr>
            <w:tcW w:w="1296" w:type="dxa"/>
            <w:vMerge w:val="restart"/>
            <w:tcBorders>
              <w:top w:val="single" w:color="auto" w:sz="4" w:space="0"/>
              <w:left w:val="single" w:color="auto" w:sz="4" w:space="0"/>
              <w:bottom w:val="single" w:color="auto" w:sz="4" w:space="0"/>
              <w:right w:val="single" w:color="auto" w:sz="4" w:space="0"/>
            </w:tcBorders>
            <w:vAlign w:val="center"/>
          </w:tcPr>
          <w:p w14:paraId="108011F6">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41AF271C">
            <w:pPr>
              <w:rPr>
                <w:color w:val="000000"/>
              </w:rPr>
            </w:pPr>
            <w:r>
              <w:rPr>
                <w:rFonts w:hint="eastAsia"/>
                <w:color w:val="000000"/>
              </w:rPr>
              <w:t>按要求改正，未造成安全事故的</w:t>
            </w:r>
          </w:p>
        </w:tc>
        <w:tc>
          <w:tcPr>
            <w:tcW w:w="1076" w:type="dxa"/>
            <w:vMerge w:val="restart"/>
            <w:tcBorders>
              <w:top w:val="single" w:color="auto" w:sz="4" w:space="0"/>
              <w:left w:val="single" w:color="auto" w:sz="4" w:space="0"/>
              <w:bottom w:val="single" w:color="auto" w:sz="4" w:space="0"/>
              <w:right w:val="single" w:color="auto" w:sz="4" w:space="0"/>
            </w:tcBorders>
            <w:vAlign w:val="center"/>
          </w:tcPr>
          <w:p w14:paraId="5AE6605E">
            <w:pPr>
              <w:rPr>
                <w:color w:val="000000"/>
              </w:rPr>
            </w:pPr>
            <w:r>
              <w:rPr>
                <w:rFonts w:hint="eastAsia"/>
                <w:color w:val="000000"/>
              </w:rPr>
              <w:t>裁量幅度</w:t>
            </w:r>
          </w:p>
        </w:tc>
        <w:tc>
          <w:tcPr>
            <w:tcW w:w="5760" w:type="dxa"/>
            <w:tcBorders>
              <w:top w:val="single" w:color="auto" w:sz="4" w:space="0"/>
              <w:left w:val="nil"/>
              <w:bottom w:val="single" w:color="auto" w:sz="4" w:space="0"/>
              <w:right w:val="single" w:color="auto" w:sz="4" w:space="0"/>
            </w:tcBorders>
            <w:vAlign w:val="center"/>
          </w:tcPr>
          <w:p w14:paraId="64C460AD">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0B5D88EE">
        <w:tblPrEx>
          <w:tblCellMar>
            <w:top w:w="0" w:type="dxa"/>
            <w:left w:w="108" w:type="dxa"/>
            <w:bottom w:w="0" w:type="dxa"/>
            <w:right w:w="108" w:type="dxa"/>
          </w:tblCellMar>
        </w:tblPrEx>
        <w:trPr>
          <w:trHeight w:val="285" w:hRule="atLeast"/>
        </w:trPr>
        <w:tc>
          <w:tcPr>
            <w:tcW w:w="1296" w:type="dxa"/>
            <w:vMerge w:val="continue"/>
            <w:tcBorders>
              <w:top w:val="single" w:color="auto" w:sz="4" w:space="0"/>
              <w:left w:val="single" w:color="auto" w:sz="4" w:space="0"/>
              <w:bottom w:val="single" w:color="auto" w:sz="4" w:space="0"/>
              <w:right w:val="single" w:color="auto" w:sz="4" w:space="0"/>
            </w:tcBorders>
            <w:vAlign w:val="center"/>
          </w:tcPr>
          <w:p w14:paraId="44A0322E">
            <w:pPr>
              <w:rPr>
                <w:color w:val="000000"/>
              </w:rPr>
            </w:pPr>
          </w:p>
        </w:tc>
        <w:tc>
          <w:tcPr>
            <w:tcW w:w="5884" w:type="dxa"/>
            <w:tcBorders>
              <w:top w:val="single" w:color="auto" w:sz="4" w:space="0"/>
              <w:left w:val="nil"/>
              <w:bottom w:val="single" w:color="auto" w:sz="4" w:space="0"/>
              <w:right w:val="single" w:color="auto" w:sz="4" w:space="0"/>
            </w:tcBorders>
            <w:vAlign w:val="center"/>
          </w:tcPr>
          <w:p w14:paraId="77F8E625">
            <w:pPr>
              <w:rPr>
                <w:color w:val="000000"/>
              </w:rPr>
            </w:pPr>
            <w:r>
              <w:rPr>
                <w:rFonts w:hint="eastAsia"/>
                <w:color w:val="000000"/>
              </w:rPr>
              <w:t>按要求改正，造成安全事故的</w:t>
            </w: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6C8B3E24">
            <w:pPr>
              <w:rPr>
                <w:color w:val="000000"/>
              </w:rPr>
            </w:pPr>
          </w:p>
        </w:tc>
        <w:tc>
          <w:tcPr>
            <w:tcW w:w="5760" w:type="dxa"/>
            <w:tcBorders>
              <w:top w:val="single" w:color="auto" w:sz="4" w:space="0"/>
              <w:left w:val="nil"/>
              <w:bottom w:val="single" w:color="auto" w:sz="4" w:space="0"/>
              <w:right w:val="single" w:color="auto" w:sz="4" w:space="0"/>
            </w:tcBorders>
            <w:vAlign w:val="center"/>
          </w:tcPr>
          <w:p w14:paraId="196EF106">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023EEDBE">
        <w:tblPrEx>
          <w:tblCellMar>
            <w:top w:w="0" w:type="dxa"/>
            <w:left w:w="108" w:type="dxa"/>
            <w:bottom w:w="0" w:type="dxa"/>
            <w:right w:w="108" w:type="dxa"/>
          </w:tblCellMar>
        </w:tblPrEx>
        <w:trPr>
          <w:trHeight w:val="285" w:hRule="atLeast"/>
        </w:trPr>
        <w:tc>
          <w:tcPr>
            <w:tcW w:w="1296" w:type="dxa"/>
            <w:vMerge w:val="continue"/>
            <w:tcBorders>
              <w:top w:val="single" w:color="auto" w:sz="4" w:space="0"/>
              <w:left w:val="single" w:color="auto" w:sz="4" w:space="0"/>
              <w:bottom w:val="single" w:color="auto" w:sz="4" w:space="0"/>
              <w:right w:val="single" w:color="auto" w:sz="4" w:space="0"/>
            </w:tcBorders>
            <w:vAlign w:val="center"/>
          </w:tcPr>
          <w:p w14:paraId="6F41971D">
            <w:pPr>
              <w:rPr>
                <w:color w:val="000000"/>
              </w:rPr>
            </w:pPr>
          </w:p>
        </w:tc>
        <w:tc>
          <w:tcPr>
            <w:tcW w:w="5884" w:type="dxa"/>
            <w:tcBorders>
              <w:top w:val="single" w:color="auto" w:sz="4" w:space="0"/>
              <w:left w:val="nil"/>
              <w:bottom w:val="single" w:color="auto" w:sz="4" w:space="0"/>
              <w:right w:val="single" w:color="auto" w:sz="4" w:space="0"/>
            </w:tcBorders>
            <w:vAlign w:val="center"/>
          </w:tcPr>
          <w:p w14:paraId="12E64FFD">
            <w:pPr>
              <w:rPr>
                <w:color w:val="000000"/>
              </w:rPr>
            </w:pPr>
            <w:r>
              <w:rPr>
                <w:rFonts w:hint="eastAsia"/>
                <w:color w:val="000000"/>
              </w:rPr>
              <w:t>未按要求改正的，未造成安全事故的</w:t>
            </w: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0A43B2B8">
            <w:pPr>
              <w:rPr>
                <w:color w:val="000000"/>
              </w:rPr>
            </w:pPr>
          </w:p>
        </w:tc>
        <w:tc>
          <w:tcPr>
            <w:tcW w:w="5760" w:type="dxa"/>
            <w:tcBorders>
              <w:top w:val="single" w:color="auto" w:sz="4" w:space="0"/>
              <w:left w:val="nil"/>
              <w:bottom w:val="single" w:color="auto" w:sz="4" w:space="0"/>
              <w:right w:val="single" w:color="auto" w:sz="4" w:space="0"/>
            </w:tcBorders>
            <w:vAlign w:val="center"/>
          </w:tcPr>
          <w:p w14:paraId="08BE6FAD">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1DB2C857">
        <w:tblPrEx>
          <w:tblCellMar>
            <w:top w:w="0" w:type="dxa"/>
            <w:left w:w="108" w:type="dxa"/>
            <w:bottom w:w="0" w:type="dxa"/>
            <w:right w:w="108" w:type="dxa"/>
          </w:tblCellMar>
        </w:tblPrEx>
        <w:trPr>
          <w:trHeight w:val="285" w:hRule="atLeast"/>
        </w:trPr>
        <w:tc>
          <w:tcPr>
            <w:tcW w:w="1296" w:type="dxa"/>
            <w:vMerge w:val="continue"/>
            <w:tcBorders>
              <w:top w:val="single" w:color="auto" w:sz="4" w:space="0"/>
              <w:left w:val="single" w:color="auto" w:sz="4" w:space="0"/>
              <w:bottom w:val="single" w:color="auto" w:sz="4" w:space="0"/>
              <w:right w:val="single" w:color="auto" w:sz="4" w:space="0"/>
            </w:tcBorders>
            <w:vAlign w:val="center"/>
          </w:tcPr>
          <w:p w14:paraId="1E3E14B8">
            <w:pPr>
              <w:rPr>
                <w:color w:val="000000"/>
              </w:rPr>
            </w:pPr>
          </w:p>
        </w:tc>
        <w:tc>
          <w:tcPr>
            <w:tcW w:w="5884" w:type="dxa"/>
            <w:tcBorders>
              <w:top w:val="single" w:color="auto" w:sz="4" w:space="0"/>
              <w:left w:val="nil"/>
              <w:bottom w:val="single" w:color="auto" w:sz="4" w:space="0"/>
              <w:right w:val="single" w:color="auto" w:sz="4" w:space="0"/>
            </w:tcBorders>
            <w:vAlign w:val="center"/>
          </w:tcPr>
          <w:p w14:paraId="228A7FEF">
            <w:pPr>
              <w:rPr>
                <w:color w:val="000000"/>
              </w:rPr>
            </w:pPr>
            <w:r>
              <w:rPr>
                <w:rFonts w:hint="eastAsia"/>
                <w:color w:val="000000"/>
              </w:rPr>
              <w:t>未按要求改正的，造成安全事故的</w:t>
            </w: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178C1DE5">
            <w:pPr>
              <w:rPr>
                <w:color w:val="000000"/>
              </w:rPr>
            </w:pPr>
          </w:p>
        </w:tc>
        <w:tc>
          <w:tcPr>
            <w:tcW w:w="5760" w:type="dxa"/>
            <w:tcBorders>
              <w:top w:val="single" w:color="auto" w:sz="4" w:space="0"/>
              <w:left w:val="nil"/>
              <w:bottom w:val="single" w:color="auto" w:sz="4" w:space="0"/>
              <w:right w:val="single" w:color="auto" w:sz="4" w:space="0"/>
            </w:tcBorders>
            <w:vAlign w:val="center"/>
          </w:tcPr>
          <w:p w14:paraId="61AC342A">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2A4F5B05"/>
    <w:p w14:paraId="5D5A78E5"/>
    <w:p w14:paraId="7D979774"/>
    <w:p w14:paraId="69761937"/>
    <w:tbl>
      <w:tblPr>
        <w:tblStyle w:val="15"/>
        <w:tblW w:w="14476" w:type="dxa"/>
        <w:tblInd w:w="88" w:type="dxa"/>
        <w:tblLayout w:type="fixed"/>
        <w:tblCellMar>
          <w:top w:w="0" w:type="dxa"/>
          <w:left w:w="108" w:type="dxa"/>
          <w:bottom w:w="0" w:type="dxa"/>
          <w:right w:w="108" w:type="dxa"/>
        </w:tblCellMar>
      </w:tblPr>
      <w:tblGrid>
        <w:gridCol w:w="1580"/>
        <w:gridCol w:w="5600"/>
        <w:gridCol w:w="1076"/>
        <w:gridCol w:w="5760"/>
        <w:gridCol w:w="460"/>
      </w:tblGrid>
      <w:tr w14:paraId="5BE30706">
        <w:tblPrEx>
          <w:tblCellMar>
            <w:top w:w="0" w:type="dxa"/>
            <w:left w:w="108" w:type="dxa"/>
            <w:bottom w:w="0" w:type="dxa"/>
            <w:right w:w="108" w:type="dxa"/>
          </w:tblCellMar>
        </w:tblPrEx>
        <w:trPr>
          <w:gridAfter w:val="1"/>
          <w:wAfter w:w="460" w:type="dxa"/>
          <w:trHeight w:val="285" w:hRule="atLeast"/>
        </w:trPr>
        <w:tc>
          <w:tcPr>
            <w:tcW w:w="1580" w:type="dxa"/>
            <w:tcBorders>
              <w:top w:val="single" w:color="auto" w:sz="8" w:space="0"/>
              <w:left w:val="single" w:color="auto" w:sz="8" w:space="0"/>
              <w:bottom w:val="single" w:color="auto" w:sz="4" w:space="0"/>
              <w:right w:val="single" w:color="auto" w:sz="4" w:space="0"/>
            </w:tcBorders>
            <w:vAlign w:val="center"/>
          </w:tcPr>
          <w:p w14:paraId="64E5AEF6">
            <w:pPr>
              <w:jc w:val="center"/>
              <w:rPr>
                <w:color w:val="000000"/>
              </w:rPr>
            </w:pPr>
            <w:r>
              <w:rPr>
                <w:rFonts w:hint="eastAsia"/>
                <w:color w:val="000000"/>
              </w:rPr>
              <w:t>编号</w:t>
            </w:r>
          </w:p>
        </w:tc>
        <w:tc>
          <w:tcPr>
            <w:tcW w:w="12436" w:type="dxa"/>
            <w:gridSpan w:val="3"/>
            <w:tcBorders>
              <w:top w:val="single" w:color="auto" w:sz="8" w:space="0"/>
              <w:left w:val="nil"/>
              <w:bottom w:val="single" w:color="auto" w:sz="4" w:space="0"/>
              <w:right w:val="single" w:color="000000" w:sz="8" w:space="0"/>
            </w:tcBorders>
            <w:vAlign w:val="center"/>
          </w:tcPr>
          <w:p w14:paraId="61F1B74B">
            <w:pPr>
              <w:rPr>
                <w:b/>
                <w:bCs/>
                <w:color w:val="000000"/>
              </w:rPr>
            </w:pPr>
            <w:r>
              <w:rPr>
                <w:b/>
                <w:color w:val="000000"/>
              </w:rPr>
              <w:t>320217628000</w:t>
            </w:r>
            <w:r>
              <w:rPr>
                <w:rFonts w:hint="eastAsia"/>
                <w:b/>
                <w:color w:val="000000"/>
              </w:rPr>
              <w:t xml:space="preserve"> </w:t>
            </w:r>
          </w:p>
        </w:tc>
      </w:tr>
      <w:tr w14:paraId="4895EE4A">
        <w:tblPrEx>
          <w:tblCellMar>
            <w:top w:w="0" w:type="dxa"/>
            <w:left w:w="108" w:type="dxa"/>
            <w:bottom w:w="0" w:type="dxa"/>
            <w:right w:w="108" w:type="dxa"/>
          </w:tblCellMar>
        </w:tblPrEx>
        <w:trPr>
          <w:gridAfter w:val="1"/>
          <w:wAfter w:w="460" w:type="dxa"/>
          <w:trHeight w:val="540" w:hRule="atLeast"/>
        </w:trPr>
        <w:tc>
          <w:tcPr>
            <w:tcW w:w="1580" w:type="dxa"/>
            <w:tcBorders>
              <w:top w:val="nil"/>
              <w:left w:val="single" w:color="auto" w:sz="8" w:space="0"/>
              <w:bottom w:val="single" w:color="auto" w:sz="4" w:space="0"/>
              <w:right w:val="single" w:color="auto" w:sz="4" w:space="0"/>
            </w:tcBorders>
            <w:vAlign w:val="center"/>
          </w:tcPr>
          <w:p w14:paraId="6950854B">
            <w:pPr>
              <w:rPr>
                <w:color w:val="000000"/>
              </w:rPr>
            </w:pPr>
            <w:r>
              <w:rPr>
                <w:rFonts w:hint="eastAsia"/>
                <w:color w:val="000000"/>
              </w:rPr>
              <w:t>行为名称</w:t>
            </w:r>
          </w:p>
        </w:tc>
        <w:tc>
          <w:tcPr>
            <w:tcW w:w="12436" w:type="dxa"/>
            <w:gridSpan w:val="3"/>
            <w:tcBorders>
              <w:top w:val="single" w:color="auto" w:sz="4" w:space="0"/>
              <w:left w:val="nil"/>
              <w:bottom w:val="single" w:color="auto" w:sz="4" w:space="0"/>
              <w:right w:val="single" w:color="000000" w:sz="8" w:space="0"/>
            </w:tcBorders>
            <w:vAlign w:val="center"/>
          </w:tcPr>
          <w:p w14:paraId="4C013253">
            <w:pPr>
              <w:rPr>
                <w:color w:val="000000"/>
              </w:rPr>
            </w:pPr>
            <w:r>
              <w:rPr>
                <w:rFonts w:hint="eastAsia"/>
                <w:color w:val="000000"/>
              </w:rPr>
              <w:t>对建筑起重机械安装单位未将建筑起重机械安装、拆卸工程专项施工方案，安装、拆卸人员名单，安装、拆卸时间等材料报施工总承包单位和监理单位审核后，告知工程所在地县级以上地方人民政府建设主管部门的处罚</w:t>
            </w:r>
          </w:p>
        </w:tc>
      </w:tr>
      <w:tr w14:paraId="5292945E">
        <w:tblPrEx>
          <w:tblCellMar>
            <w:top w:w="0" w:type="dxa"/>
            <w:left w:w="108" w:type="dxa"/>
            <w:bottom w:w="0" w:type="dxa"/>
            <w:right w:w="108" w:type="dxa"/>
          </w:tblCellMar>
        </w:tblPrEx>
        <w:trPr>
          <w:trHeight w:val="1785" w:hRule="atLeast"/>
        </w:trPr>
        <w:tc>
          <w:tcPr>
            <w:tcW w:w="1580" w:type="dxa"/>
            <w:tcBorders>
              <w:top w:val="nil"/>
              <w:left w:val="single" w:color="auto" w:sz="8" w:space="0"/>
              <w:bottom w:val="single" w:color="auto" w:sz="4" w:space="0"/>
              <w:right w:val="single" w:color="auto" w:sz="4" w:space="0"/>
            </w:tcBorders>
            <w:vAlign w:val="center"/>
          </w:tcPr>
          <w:p w14:paraId="2871155C">
            <w:pPr>
              <w:jc w:val="center"/>
              <w:rPr>
                <w:color w:val="000000"/>
              </w:rPr>
            </w:pPr>
            <w:r>
              <w:rPr>
                <w:rFonts w:hint="eastAsia"/>
                <w:color w:val="000000"/>
              </w:rPr>
              <w:t>法律依据</w:t>
            </w:r>
          </w:p>
        </w:tc>
        <w:tc>
          <w:tcPr>
            <w:tcW w:w="12436" w:type="dxa"/>
            <w:gridSpan w:val="3"/>
            <w:tcBorders>
              <w:top w:val="single" w:color="auto" w:sz="4" w:space="0"/>
              <w:left w:val="nil"/>
              <w:bottom w:val="single" w:color="auto" w:sz="4" w:space="0"/>
              <w:right w:val="single" w:color="000000" w:sz="8" w:space="0"/>
            </w:tcBorders>
          </w:tcPr>
          <w:p w14:paraId="770B4A2E">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第十二条　安装单位应当履行下列安全职责：</w:t>
            </w:r>
            <w:r>
              <w:rPr>
                <w:color w:val="000000"/>
              </w:rPr>
              <w:br w:type="textWrapping"/>
            </w:r>
            <w:r>
              <w:rPr>
                <w:color w:val="000000"/>
              </w:rPr>
              <w:t xml:space="preserve">   </w:t>
            </w:r>
            <w:r>
              <w:rPr>
                <w:rFonts w:hint="eastAsia"/>
                <w:color w:val="000000"/>
              </w:rPr>
              <w:t>（五）将建筑起重机械安装、拆卸工程专项施工方案，安装、拆卸人员名单，安装、拆卸时间等材料报施工总承包单位和监理单位审核后，告知工程所在地县级以上地方人民政府建设主管部门。</w:t>
            </w:r>
            <w:r>
              <w:rPr>
                <w:color w:val="000000"/>
              </w:rPr>
              <w:br w:type="textWrapping"/>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ype="textWrapping"/>
            </w:r>
            <w:r>
              <w:rPr>
                <w:color w:val="000000"/>
              </w:rPr>
              <w:t xml:space="preserve">   </w:t>
            </w:r>
            <w:r>
              <w:rPr>
                <w:rFonts w:hint="eastAsia"/>
                <w:color w:val="000000"/>
              </w:rPr>
              <w:t>（一）未履行第十二条第（二）、（四）、（五）项安全职责的。</w:t>
            </w:r>
          </w:p>
          <w:p w14:paraId="5FAE5D96">
            <w:pPr>
              <w:rPr>
                <w:color w:val="000000"/>
              </w:rPr>
            </w:pPr>
          </w:p>
        </w:tc>
        <w:tc>
          <w:tcPr>
            <w:tcW w:w="460" w:type="dxa"/>
          </w:tcPr>
          <w:p w14:paraId="69C1EAC3">
            <w:pPr>
              <w:rPr>
                <w:color w:val="000000"/>
              </w:rPr>
            </w:pPr>
            <w:r>
              <w:rPr>
                <w:rFonts w:hint="eastAsia"/>
                <w:color w:val="000000"/>
              </w:rPr>
              <w:t>　</w:t>
            </w:r>
          </w:p>
        </w:tc>
      </w:tr>
      <w:tr w14:paraId="147C96D4">
        <w:tblPrEx>
          <w:tblCellMar>
            <w:top w:w="0" w:type="dxa"/>
            <w:left w:w="108" w:type="dxa"/>
            <w:bottom w:w="0" w:type="dxa"/>
            <w:right w:w="108" w:type="dxa"/>
          </w:tblCellMar>
        </w:tblPrEx>
        <w:trPr>
          <w:gridAfter w:val="1"/>
          <w:wAfter w:w="460" w:type="dxa"/>
          <w:trHeight w:val="285" w:hRule="atLeast"/>
        </w:trPr>
        <w:tc>
          <w:tcPr>
            <w:tcW w:w="1580" w:type="dxa"/>
            <w:tcBorders>
              <w:top w:val="nil"/>
              <w:left w:val="single" w:color="auto" w:sz="8" w:space="0"/>
              <w:bottom w:val="single" w:color="auto" w:sz="4" w:space="0"/>
              <w:right w:val="single" w:color="auto" w:sz="4" w:space="0"/>
            </w:tcBorders>
            <w:vAlign w:val="center"/>
          </w:tcPr>
          <w:p w14:paraId="724B4CF6">
            <w:pPr>
              <w:jc w:val="center"/>
              <w:rPr>
                <w:color w:val="000000"/>
              </w:rPr>
            </w:pPr>
            <w:r>
              <w:rPr>
                <w:rFonts w:hint="eastAsia"/>
                <w:color w:val="000000"/>
              </w:rPr>
              <w:t>行使内容</w:t>
            </w:r>
          </w:p>
        </w:tc>
        <w:tc>
          <w:tcPr>
            <w:tcW w:w="12436" w:type="dxa"/>
            <w:gridSpan w:val="3"/>
            <w:tcBorders>
              <w:top w:val="single" w:color="auto" w:sz="4" w:space="0"/>
              <w:left w:val="nil"/>
              <w:bottom w:val="single" w:color="auto" w:sz="4" w:space="0"/>
              <w:right w:val="single" w:color="000000" w:sz="8" w:space="0"/>
            </w:tcBorders>
            <w:vAlign w:val="center"/>
          </w:tcPr>
          <w:p w14:paraId="1630A593">
            <w:pPr>
              <w:rPr>
                <w:color w:val="000000"/>
              </w:rPr>
            </w:pPr>
            <w:r>
              <w:rPr>
                <w:rFonts w:hint="eastAsia"/>
                <w:color w:val="000000"/>
              </w:rPr>
              <w:t>警告，罚款</w:t>
            </w:r>
          </w:p>
        </w:tc>
      </w:tr>
      <w:tr w14:paraId="230C397B">
        <w:tblPrEx>
          <w:tblCellMar>
            <w:top w:w="0" w:type="dxa"/>
            <w:left w:w="108" w:type="dxa"/>
            <w:bottom w:w="0" w:type="dxa"/>
            <w:right w:w="108" w:type="dxa"/>
          </w:tblCellMar>
        </w:tblPrEx>
        <w:trPr>
          <w:gridAfter w:val="1"/>
          <w:wAfter w:w="460" w:type="dxa"/>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CD4EA51">
            <w:pPr>
              <w:jc w:val="center"/>
              <w:rPr>
                <w:color w:val="000000"/>
              </w:rPr>
            </w:pPr>
            <w:r>
              <w:rPr>
                <w:rFonts w:hint="eastAsia"/>
                <w:color w:val="000000"/>
              </w:rPr>
              <w:t>裁量基准</w:t>
            </w:r>
          </w:p>
        </w:tc>
      </w:tr>
      <w:tr w14:paraId="3E2158A5">
        <w:tblPrEx>
          <w:tblCellMar>
            <w:top w:w="0" w:type="dxa"/>
            <w:left w:w="108" w:type="dxa"/>
            <w:bottom w:w="0" w:type="dxa"/>
            <w:right w:w="108" w:type="dxa"/>
          </w:tblCellMar>
        </w:tblPrEx>
        <w:trPr>
          <w:gridAfter w:val="1"/>
          <w:wAfter w:w="460" w:type="dxa"/>
          <w:trHeight w:val="285" w:hRule="atLeast"/>
        </w:trPr>
        <w:tc>
          <w:tcPr>
            <w:tcW w:w="1580" w:type="dxa"/>
            <w:vMerge w:val="restart"/>
            <w:tcBorders>
              <w:top w:val="nil"/>
              <w:left w:val="single" w:color="auto" w:sz="8" w:space="0"/>
              <w:bottom w:val="single" w:color="auto" w:sz="4" w:space="0"/>
              <w:right w:val="single" w:color="auto" w:sz="4" w:space="0"/>
            </w:tcBorders>
            <w:vAlign w:val="center"/>
          </w:tcPr>
          <w:p w14:paraId="003F031E">
            <w:pPr>
              <w:jc w:val="center"/>
              <w:rPr>
                <w:color w:val="000000"/>
              </w:rPr>
            </w:pPr>
            <w:r>
              <w:rPr>
                <w:rFonts w:hint="eastAsia"/>
                <w:color w:val="000000"/>
              </w:rPr>
              <w:t>情形描述</w:t>
            </w:r>
          </w:p>
        </w:tc>
        <w:tc>
          <w:tcPr>
            <w:tcW w:w="5600" w:type="dxa"/>
            <w:tcBorders>
              <w:top w:val="single" w:color="auto" w:sz="4" w:space="0"/>
              <w:left w:val="nil"/>
              <w:bottom w:val="single" w:color="auto" w:sz="4" w:space="0"/>
              <w:right w:val="single" w:color="auto" w:sz="4" w:space="0"/>
            </w:tcBorders>
            <w:vAlign w:val="center"/>
          </w:tcPr>
          <w:p w14:paraId="6E5720D2">
            <w:pPr>
              <w:rPr>
                <w:color w:val="000000"/>
              </w:rPr>
            </w:pPr>
            <w:r>
              <w:rPr>
                <w:rFonts w:hint="eastAsia"/>
                <w:color w:val="000000"/>
              </w:rPr>
              <w:t>按要求改正，未造成安全事故的</w:t>
            </w:r>
          </w:p>
        </w:tc>
        <w:tc>
          <w:tcPr>
            <w:tcW w:w="1076" w:type="dxa"/>
            <w:vMerge w:val="restart"/>
            <w:tcBorders>
              <w:top w:val="nil"/>
              <w:left w:val="single" w:color="auto" w:sz="4" w:space="0"/>
              <w:bottom w:val="single" w:color="auto" w:sz="4" w:space="0"/>
              <w:right w:val="single" w:color="auto" w:sz="4" w:space="0"/>
            </w:tcBorders>
            <w:vAlign w:val="center"/>
          </w:tcPr>
          <w:p w14:paraId="248A9E5E">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2B7908CC">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14:paraId="4BE32EE2">
        <w:tblPrEx>
          <w:tblCellMar>
            <w:top w:w="0" w:type="dxa"/>
            <w:left w:w="108" w:type="dxa"/>
            <w:bottom w:w="0" w:type="dxa"/>
            <w:right w:w="108" w:type="dxa"/>
          </w:tblCellMar>
        </w:tblPrEx>
        <w:trPr>
          <w:gridAfter w:val="1"/>
          <w:wAfter w:w="460" w:type="dxa"/>
          <w:trHeight w:val="285" w:hRule="atLeast"/>
        </w:trPr>
        <w:tc>
          <w:tcPr>
            <w:tcW w:w="1580" w:type="dxa"/>
            <w:vMerge w:val="continue"/>
            <w:tcBorders>
              <w:top w:val="nil"/>
              <w:left w:val="single" w:color="auto" w:sz="8" w:space="0"/>
              <w:bottom w:val="single" w:color="auto" w:sz="4" w:space="0"/>
              <w:right w:val="single" w:color="auto" w:sz="4" w:space="0"/>
            </w:tcBorders>
            <w:vAlign w:val="center"/>
          </w:tcPr>
          <w:p w14:paraId="5E1AFE10">
            <w:pPr>
              <w:rPr>
                <w:color w:val="000000"/>
              </w:rPr>
            </w:pPr>
          </w:p>
        </w:tc>
        <w:tc>
          <w:tcPr>
            <w:tcW w:w="5600" w:type="dxa"/>
            <w:tcBorders>
              <w:top w:val="single" w:color="auto" w:sz="4" w:space="0"/>
              <w:left w:val="nil"/>
              <w:bottom w:val="single" w:color="auto" w:sz="4" w:space="0"/>
              <w:right w:val="single" w:color="auto" w:sz="4" w:space="0"/>
            </w:tcBorders>
            <w:vAlign w:val="center"/>
          </w:tcPr>
          <w:p w14:paraId="4EFCB40C">
            <w:pPr>
              <w:rPr>
                <w:color w:val="000000"/>
              </w:rPr>
            </w:pPr>
            <w:r>
              <w:rPr>
                <w:rFonts w:hint="eastAsia"/>
                <w:color w:val="000000"/>
              </w:rPr>
              <w:t>按要求改正，造成安全事故的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7D8AC4B3">
            <w:pPr>
              <w:rPr>
                <w:color w:val="000000"/>
              </w:rPr>
            </w:pPr>
          </w:p>
        </w:tc>
        <w:tc>
          <w:tcPr>
            <w:tcW w:w="5760" w:type="dxa"/>
            <w:tcBorders>
              <w:top w:val="nil"/>
              <w:left w:val="nil"/>
              <w:bottom w:val="single" w:color="auto" w:sz="4" w:space="0"/>
              <w:right w:val="single" w:color="auto" w:sz="8" w:space="0"/>
            </w:tcBorders>
            <w:vAlign w:val="center"/>
          </w:tcPr>
          <w:p w14:paraId="45B5C98D">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037C79C8">
        <w:tblPrEx>
          <w:tblCellMar>
            <w:top w:w="0" w:type="dxa"/>
            <w:left w:w="108" w:type="dxa"/>
            <w:bottom w:w="0" w:type="dxa"/>
            <w:right w:w="108" w:type="dxa"/>
          </w:tblCellMar>
        </w:tblPrEx>
        <w:trPr>
          <w:gridAfter w:val="1"/>
          <w:wAfter w:w="460" w:type="dxa"/>
          <w:trHeight w:val="285" w:hRule="atLeast"/>
        </w:trPr>
        <w:tc>
          <w:tcPr>
            <w:tcW w:w="1580" w:type="dxa"/>
            <w:vMerge w:val="continue"/>
            <w:tcBorders>
              <w:top w:val="nil"/>
              <w:left w:val="single" w:color="auto" w:sz="8" w:space="0"/>
              <w:bottom w:val="single" w:color="auto" w:sz="4" w:space="0"/>
              <w:right w:val="single" w:color="auto" w:sz="4" w:space="0"/>
            </w:tcBorders>
            <w:vAlign w:val="center"/>
          </w:tcPr>
          <w:p w14:paraId="7DEA7B20">
            <w:pPr>
              <w:rPr>
                <w:color w:val="000000"/>
              </w:rPr>
            </w:pPr>
          </w:p>
        </w:tc>
        <w:tc>
          <w:tcPr>
            <w:tcW w:w="5600" w:type="dxa"/>
            <w:tcBorders>
              <w:top w:val="single" w:color="auto" w:sz="4" w:space="0"/>
              <w:left w:val="nil"/>
              <w:bottom w:val="single" w:color="auto" w:sz="4" w:space="0"/>
              <w:right w:val="single" w:color="auto" w:sz="4" w:space="0"/>
            </w:tcBorders>
            <w:vAlign w:val="center"/>
          </w:tcPr>
          <w:p w14:paraId="18EC884C">
            <w:pPr>
              <w:rPr>
                <w:color w:val="000000"/>
              </w:rPr>
            </w:pPr>
            <w:r>
              <w:rPr>
                <w:rFonts w:hint="eastAsia"/>
                <w:color w:val="000000"/>
              </w:rPr>
              <w:t>未按要求改正的，未造成安全事故的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66EC0938">
            <w:pPr>
              <w:rPr>
                <w:color w:val="000000"/>
              </w:rPr>
            </w:pPr>
          </w:p>
        </w:tc>
        <w:tc>
          <w:tcPr>
            <w:tcW w:w="5760" w:type="dxa"/>
            <w:tcBorders>
              <w:top w:val="nil"/>
              <w:left w:val="nil"/>
              <w:bottom w:val="single" w:color="auto" w:sz="4" w:space="0"/>
              <w:right w:val="single" w:color="auto" w:sz="8" w:space="0"/>
            </w:tcBorders>
            <w:vAlign w:val="center"/>
          </w:tcPr>
          <w:p w14:paraId="489CD78F">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14:paraId="64C7920D">
        <w:tblPrEx>
          <w:tblCellMar>
            <w:top w:w="0" w:type="dxa"/>
            <w:left w:w="108" w:type="dxa"/>
            <w:bottom w:w="0" w:type="dxa"/>
            <w:right w:w="108" w:type="dxa"/>
          </w:tblCellMar>
        </w:tblPrEx>
        <w:trPr>
          <w:gridAfter w:val="1"/>
          <w:wAfter w:w="460" w:type="dxa"/>
          <w:trHeight w:val="285" w:hRule="atLeast"/>
        </w:trPr>
        <w:tc>
          <w:tcPr>
            <w:tcW w:w="1580" w:type="dxa"/>
            <w:vMerge w:val="continue"/>
            <w:tcBorders>
              <w:top w:val="nil"/>
              <w:left w:val="single" w:color="auto" w:sz="8" w:space="0"/>
              <w:bottom w:val="single" w:color="auto" w:sz="4" w:space="0"/>
              <w:right w:val="single" w:color="auto" w:sz="4" w:space="0"/>
            </w:tcBorders>
            <w:vAlign w:val="center"/>
          </w:tcPr>
          <w:p w14:paraId="36C8A683">
            <w:pPr>
              <w:rPr>
                <w:color w:val="000000"/>
              </w:rPr>
            </w:pPr>
          </w:p>
        </w:tc>
        <w:tc>
          <w:tcPr>
            <w:tcW w:w="5600" w:type="dxa"/>
            <w:tcBorders>
              <w:top w:val="single" w:color="auto" w:sz="4" w:space="0"/>
              <w:left w:val="nil"/>
              <w:bottom w:val="single" w:color="auto" w:sz="4" w:space="0"/>
              <w:right w:val="single" w:color="auto" w:sz="4" w:space="0"/>
            </w:tcBorders>
            <w:vAlign w:val="center"/>
          </w:tcPr>
          <w:p w14:paraId="2B691AF4">
            <w:pPr>
              <w:rPr>
                <w:color w:val="000000"/>
              </w:rPr>
            </w:pPr>
            <w:r>
              <w:rPr>
                <w:rFonts w:hint="eastAsia"/>
                <w:color w:val="000000"/>
              </w:rPr>
              <w:t>未按要求改正的，造成安全事故的</w:t>
            </w:r>
          </w:p>
        </w:tc>
        <w:tc>
          <w:tcPr>
            <w:tcW w:w="1076" w:type="dxa"/>
            <w:vMerge w:val="continue"/>
            <w:tcBorders>
              <w:top w:val="nil"/>
              <w:left w:val="single" w:color="auto" w:sz="4" w:space="0"/>
              <w:bottom w:val="single" w:color="auto" w:sz="4" w:space="0"/>
              <w:right w:val="single" w:color="auto" w:sz="4" w:space="0"/>
            </w:tcBorders>
            <w:vAlign w:val="center"/>
          </w:tcPr>
          <w:p w14:paraId="39CA3AC4">
            <w:pPr>
              <w:rPr>
                <w:color w:val="000000"/>
              </w:rPr>
            </w:pPr>
          </w:p>
        </w:tc>
        <w:tc>
          <w:tcPr>
            <w:tcW w:w="5760" w:type="dxa"/>
            <w:tcBorders>
              <w:top w:val="nil"/>
              <w:left w:val="nil"/>
              <w:bottom w:val="single" w:color="auto" w:sz="4" w:space="0"/>
              <w:right w:val="single" w:color="auto" w:sz="8" w:space="0"/>
            </w:tcBorders>
            <w:vAlign w:val="center"/>
          </w:tcPr>
          <w:p w14:paraId="16EEF90A">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14:paraId="24B20D39"/>
    <w:p w14:paraId="639092B4"/>
    <w:p w14:paraId="2A2DD584"/>
    <w:p w14:paraId="2FE5B479"/>
    <w:p w14:paraId="7A9E5CFD"/>
    <w:tbl>
      <w:tblPr>
        <w:tblStyle w:val="15"/>
        <w:tblW w:w="0" w:type="auto"/>
        <w:tblInd w:w="88" w:type="dxa"/>
        <w:tblLayout w:type="fixed"/>
        <w:tblCellMar>
          <w:top w:w="0" w:type="dxa"/>
          <w:left w:w="108" w:type="dxa"/>
          <w:bottom w:w="0" w:type="dxa"/>
          <w:right w:w="108" w:type="dxa"/>
        </w:tblCellMar>
      </w:tblPr>
      <w:tblGrid>
        <w:gridCol w:w="1296"/>
        <w:gridCol w:w="5870"/>
        <w:gridCol w:w="1120"/>
        <w:gridCol w:w="5774"/>
      </w:tblGrid>
      <w:tr w14:paraId="3058DF4D">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0F3920DD">
            <w:pPr>
              <w:jc w:val="center"/>
              <w:rPr>
                <w:color w:val="000000"/>
              </w:rPr>
            </w:pPr>
            <w:r>
              <w:rPr>
                <w:rFonts w:hint="eastAsia"/>
                <w:color w:val="000000"/>
              </w:rPr>
              <w:t>编号</w:t>
            </w:r>
          </w:p>
        </w:tc>
        <w:tc>
          <w:tcPr>
            <w:tcW w:w="12764" w:type="dxa"/>
            <w:gridSpan w:val="3"/>
            <w:tcBorders>
              <w:top w:val="single" w:color="auto" w:sz="8" w:space="0"/>
              <w:left w:val="nil"/>
              <w:bottom w:val="single" w:color="auto" w:sz="4" w:space="0"/>
              <w:right w:val="single" w:color="000000" w:sz="8" w:space="0"/>
            </w:tcBorders>
            <w:vAlign w:val="center"/>
          </w:tcPr>
          <w:p w14:paraId="4F9BF90F">
            <w:pPr>
              <w:rPr>
                <w:b/>
                <w:bCs/>
                <w:color w:val="000000"/>
              </w:rPr>
            </w:pPr>
            <w:r>
              <w:rPr>
                <w:b/>
                <w:color w:val="000000"/>
              </w:rPr>
              <w:t>320217629000</w:t>
            </w:r>
            <w:r>
              <w:rPr>
                <w:rFonts w:hint="eastAsia"/>
                <w:b/>
                <w:color w:val="000000"/>
              </w:rPr>
              <w:t xml:space="preserve"> </w:t>
            </w:r>
          </w:p>
        </w:tc>
      </w:tr>
      <w:tr w14:paraId="7D7EF28C">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020CEBA2">
            <w:pPr>
              <w:jc w:val="center"/>
              <w:rPr>
                <w:color w:val="000000"/>
              </w:rPr>
            </w:pPr>
            <w:r>
              <w:rPr>
                <w:rFonts w:hint="eastAsia"/>
                <w:color w:val="000000"/>
              </w:rPr>
              <w:t>行为名称</w:t>
            </w:r>
          </w:p>
        </w:tc>
        <w:tc>
          <w:tcPr>
            <w:tcW w:w="12764" w:type="dxa"/>
            <w:gridSpan w:val="3"/>
            <w:tcBorders>
              <w:top w:val="single" w:color="auto" w:sz="4" w:space="0"/>
              <w:left w:val="nil"/>
              <w:bottom w:val="single" w:color="auto" w:sz="4" w:space="0"/>
              <w:right w:val="single" w:color="000000" w:sz="8" w:space="0"/>
            </w:tcBorders>
            <w:vAlign w:val="center"/>
          </w:tcPr>
          <w:p w14:paraId="1254DD0B">
            <w:pPr>
              <w:rPr>
                <w:color w:val="000000"/>
              </w:rPr>
            </w:pPr>
            <w:r>
              <w:rPr>
                <w:rFonts w:hint="eastAsia"/>
                <w:color w:val="000000"/>
              </w:rPr>
              <w:t>对建筑施工企业隐瞒有关情况或者提供虚假材料申请安全生产许可证的处罚</w:t>
            </w:r>
          </w:p>
        </w:tc>
      </w:tr>
      <w:tr w14:paraId="4D30073C">
        <w:tblPrEx>
          <w:tblCellMar>
            <w:top w:w="0" w:type="dxa"/>
            <w:left w:w="108" w:type="dxa"/>
            <w:bottom w:w="0" w:type="dxa"/>
            <w:right w:w="108" w:type="dxa"/>
          </w:tblCellMar>
        </w:tblPrEx>
        <w:trPr>
          <w:trHeight w:val="561" w:hRule="atLeast"/>
        </w:trPr>
        <w:tc>
          <w:tcPr>
            <w:tcW w:w="1296" w:type="dxa"/>
            <w:tcBorders>
              <w:top w:val="nil"/>
              <w:left w:val="single" w:color="auto" w:sz="8" w:space="0"/>
              <w:bottom w:val="single" w:color="auto" w:sz="4" w:space="0"/>
              <w:right w:val="single" w:color="auto" w:sz="4" w:space="0"/>
            </w:tcBorders>
            <w:vAlign w:val="center"/>
          </w:tcPr>
          <w:p w14:paraId="1FEEFFC7">
            <w:pPr>
              <w:jc w:val="center"/>
              <w:rPr>
                <w:color w:val="000000"/>
              </w:rPr>
            </w:pPr>
            <w:r>
              <w:rPr>
                <w:rFonts w:hint="eastAsia"/>
                <w:color w:val="000000"/>
              </w:rPr>
              <w:t>法律依据</w:t>
            </w:r>
          </w:p>
        </w:tc>
        <w:tc>
          <w:tcPr>
            <w:tcW w:w="12764" w:type="dxa"/>
            <w:gridSpan w:val="3"/>
            <w:tcBorders>
              <w:top w:val="single" w:color="auto" w:sz="4" w:space="0"/>
              <w:left w:val="nil"/>
              <w:bottom w:val="single" w:color="auto" w:sz="4" w:space="0"/>
              <w:right w:val="single" w:color="000000" w:sz="8" w:space="0"/>
            </w:tcBorders>
            <w:vAlign w:val="center"/>
          </w:tcPr>
          <w:p w14:paraId="2ABB93A0">
            <w:pPr>
              <w:rPr>
                <w:color w:val="000000"/>
              </w:rPr>
            </w:pPr>
            <w:r>
              <w:rPr>
                <w:rFonts w:hint="eastAsia"/>
                <w:color w:val="000000"/>
              </w:rPr>
              <w:t>规章】《建筑施工企业安全生产许可证管理规定》（建设部令第</w:t>
            </w:r>
            <w:r>
              <w:rPr>
                <w:color w:val="000000"/>
              </w:rPr>
              <w:t>128</w:t>
            </w:r>
            <w:r>
              <w:rPr>
                <w:rFonts w:hint="eastAsia"/>
                <w:color w:val="000000"/>
              </w:rPr>
              <w:t>号）</w:t>
            </w:r>
            <w:r>
              <w:rPr>
                <w:color w:val="000000"/>
              </w:rPr>
              <w:br w:type="textWrapping"/>
            </w:r>
            <w:r>
              <w:rPr>
                <w:rFonts w:hint="eastAsia"/>
                <w:color w:val="000000"/>
              </w:rPr>
              <w:t>第六条</w:t>
            </w:r>
            <w:r>
              <w:rPr>
                <w:color w:val="000000"/>
              </w:rPr>
              <w:t xml:space="preserve"> </w:t>
            </w:r>
            <w:r>
              <w:rPr>
                <w:rFonts w:hint="eastAsia"/>
                <w:color w:val="000000"/>
              </w:rPr>
              <w:t>建筑施工企业申请安全生产许可证，应当对申请材料实质内容的真实性负责，不得隐瞒有关情况或者提供虚假材料。</w:t>
            </w:r>
            <w:r>
              <w:rPr>
                <w:color w:val="000000"/>
              </w:rPr>
              <w:br w:type="textWrapping"/>
            </w:r>
            <w:r>
              <w:rPr>
                <w:rFonts w:hint="eastAsia"/>
                <w:color w:val="000000"/>
              </w:rPr>
              <w:t>第二十七条第一款</w:t>
            </w:r>
            <w:r>
              <w:rPr>
                <w:color w:val="000000"/>
              </w:rPr>
              <w:t xml:space="preserve">  </w:t>
            </w:r>
            <w:r>
              <w:rPr>
                <w:rFonts w:hint="eastAsia"/>
                <w:color w:val="000000"/>
              </w:rPr>
              <w:t>违反本规定，建筑施工企业隐瞒有关情况或者提供虚假材料申请安全生产许可证的，不予受理或者不予颁发安全生产许可证，并给予警告，</w:t>
            </w:r>
            <w:r>
              <w:rPr>
                <w:color w:val="000000"/>
              </w:rPr>
              <w:t>1</w:t>
            </w:r>
            <w:r>
              <w:rPr>
                <w:rFonts w:hint="eastAsia"/>
                <w:color w:val="000000"/>
              </w:rPr>
              <w:t>年内不得申请安全生产许可证。</w:t>
            </w:r>
            <w:r>
              <w:rPr>
                <w:color w:val="000000"/>
              </w:rPr>
              <w:br w:type="textWrapping"/>
            </w:r>
            <w:r>
              <w:rPr>
                <w:rFonts w:hint="eastAsia"/>
                <w:color w:val="000000"/>
              </w:rPr>
              <w:t>第二十八条　本规定的暂扣、吊销安全生产许可证的行政处罚，由安全生产许可证的颁发管理机关决定；其他行政处罚，由县级以上地方人民政府建设主管部门决定。</w:t>
            </w:r>
          </w:p>
        </w:tc>
      </w:tr>
      <w:tr w14:paraId="419F7968">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293673E0">
            <w:pPr>
              <w:jc w:val="center"/>
              <w:rPr>
                <w:color w:val="000000"/>
              </w:rPr>
            </w:pPr>
            <w:r>
              <w:rPr>
                <w:rFonts w:hint="eastAsia"/>
                <w:color w:val="000000"/>
              </w:rPr>
              <w:t>行使内容</w:t>
            </w:r>
          </w:p>
        </w:tc>
        <w:tc>
          <w:tcPr>
            <w:tcW w:w="12764" w:type="dxa"/>
            <w:gridSpan w:val="3"/>
            <w:tcBorders>
              <w:top w:val="single" w:color="auto" w:sz="4" w:space="0"/>
              <w:left w:val="nil"/>
              <w:bottom w:val="single" w:color="auto" w:sz="4" w:space="0"/>
              <w:right w:val="single" w:color="000000" w:sz="8" w:space="0"/>
            </w:tcBorders>
            <w:vAlign w:val="center"/>
          </w:tcPr>
          <w:p w14:paraId="3342A0B5">
            <w:pPr>
              <w:rPr>
                <w:color w:val="000000"/>
              </w:rPr>
            </w:pPr>
            <w:r>
              <w:rPr>
                <w:rFonts w:hint="eastAsia"/>
                <w:color w:val="000000"/>
              </w:rPr>
              <w:t>警告，</w:t>
            </w:r>
            <w:r>
              <w:rPr>
                <w:color w:val="000000"/>
              </w:rPr>
              <w:t>1</w:t>
            </w:r>
            <w:r>
              <w:rPr>
                <w:rFonts w:hint="eastAsia"/>
                <w:color w:val="000000"/>
              </w:rPr>
              <w:t>年内不得申请</w:t>
            </w:r>
          </w:p>
        </w:tc>
      </w:tr>
      <w:tr w14:paraId="5E2A09DE">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52F0C883">
            <w:pPr>
              <w:jc w:val="center"/>
              <w:rPr>
                <w:color w:val="000000"/>
              </w:rPr>
            </w:pPr>
            <w:r>
              <w:rPr>
                <w:rFonts w:hint="eastAsia"/>
                <w:color w:val="000000"/>
              </w:rPr>
              <w:t>裁量基准</w:t>
            </w:r>
          </w:p>
        </w:tc>
      </w:tr>
      <w:tr w14:paraId="4A995523">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207CD52E">
            <w:pPr>
              <w:jc w:val="center"/>
              <w:rPr>
                <w:color w:val="000000"/>
              </w:rPr>
            </w:pPr>
            <w:r>
              <w:rPr>
                <w:rFonts w:hint="eastAsia"/>
                <w:color w:val="000000"/>
              </w:rPr>
              <w:t>情形描述</w:t>
            </w:r>
          </w:p>
        </w:tc>
        <w:tc>
          <w:tcPr>
            <w:tcW w:w="5870" w:type="dxa"/>
            <w:tcBorders>
              <w:top w:val="single" w:color="auto" w:sz="4" w:space="0"/>
              <w:left w:val="nil"/>
              <w:bottom w:val="single" w:color="auto" w:sz="4" w:space="0"/>
              <w:right w:val="single" w:color="auto" w:sz="4" w:space="0"/>
            </w:tcBorders>
            <w:vAlign w:val="center"/>
          </w:tcPr>
          <w:p w14:paraId="1928B353">
            <w:pPr>
              <w:rPr>
                <w:color w:val="000000"/>
              </w:rPr>
            </w:pPr>
            <w:r>
              <w:rPr>
                <w:rFonts w:hint="eastAsia"/>
                <w:color w:val="000000"/>
              </w:rPr>
              <w:t>　</w:t>
            </w:r>
          </w:p>
        </w:tc>
        <w:tc>
          <w:tcPr>
            <w:tcW w:w="1120" w:type="dxa"/>
            <w:tcBorders>
              <w:top w:val="nil"/>
              <w:left w:val="nil"/>
              <w:bottom w:val="single" w:color="auto" w:sz="4" w:space="0"/>
              <w:right w:val="single" w:color="auto" w:sz="4" w:space="0"/>
            </w:tcBorders>
            <w:vAlign w:val="center"/>
          </w:tcPr>
          <w:p w14:paraId="51FDD95A">
            <w:pPr>
              <w:rPr>
                <w:color w:val="000000"/>
              </w:rPr>
            </w:pPr>
            <w:r>
              <w:rPr>
                <w:rFonts w:hint="eastAsia"/>
                <w:color w:val="000000"/>
              </w:rPr>
              <w:t>裁量幅度</w:t>
            </w:r>
          </w:p>
        </w:tc>
        <w:tc>
          <w:tcPr>
            <w:tcW w:w="5774" w:type="dxa"/>
            <w:tcBorders>
              <w:top w:val="nil"/>
              <w:left w:val="nil"/>
              <w:bottom w:val="single" w:color="auto" w:sz="4" w:space="0"/>
              <w:right w:val="single" w:color="auto" w:sz="8" w:space="0"/>
            </w:tcBorders>
            <w:vAlign w:val="center"/>
          </w:tcPr>
          <w:p w14:paraId="30C5101C">
            <w:pPr>
              <w:rPr>
                <w:color w:val="000000"/>
              </w:rPr>
            </w:pPr>
            <w:r>
              <w:rPr>
                <w:rFonts w:hint="eastAsia"/>
                <w:color w:val="000000"/>
              </w:rPr>
              <w:t>　</w:t>
            </w:r>
          </w:p>
        </w:tc>
      </w:tr>
    </w:tbl>
    <w:p w14:paraId="7AE7F0BB"/>
    <w:p w14:paraId="12F485F2"/>
    <w:p w14:paraId="53A72434"/>
    <w:p w14:paraId="4803C120"/>
    <w:p w14:paraId="4515CAAB"/>
    <w:p w14:paraId="0436B6F3"/>
    <w:tbl>
      <w:tblPr>
        <w:tblStyle w:val="15"/>
        <w:tblW w:w="0" w:type="auto"/>
        <w:tblInd w:w="88" w:type="dxa"/>
        <w:tblLayout w:type="fixed"/>
        <w:tblCellMar>
          <w:top w:w="0" w:type="dxa"/>
          <w:left w:w="108" w:type="dxa"/>
          <w:bottom w:w="0" w:type="dxa"/>
          <w:right w:w="108" w:type="dxa"/>
        </w:tblCellMar>
      </w:tblPr>
      <w:tblGrid>
        <w:gridCol w:w="1154"/>
        <w:gridCol w:w="6026"/>
        <w:gridCol w:w="1076"/>
        <w:gridCol w:w="5760"/>
      </w:tblGrid>
      <w:tr w14:paraId="7AF4DFBB">
        <w:tblPrEx>
          <w:tblCellMar>
            <w:top w:w="0" w:type="dxa"/>
            <w:left w:w="108" w:type="dxa"/>
            <w:bottom w:w="0" w:type="dxa"/>
            <w:right w:w="108" w:type="dxa"/>
          </w:tblCellMar>
        </w:tblPrEx>
        <w:trPr>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6FABC39A">
            <w:pPr>
              <w:spacing w:line="240" w:lineRule="exact"/>
              <w:jc w:val="center"/>
              <w:rPr>
                <w:color w:val="000000"/>
              </w:rPr>
            </w:pPr>
            <w:r>
              <w:rPr>
                <w:rFonts w:hint="eastAsia"/>
                <w:color w:val="000000"/>
              </w:rPr>
              <w:t>编号</w:t>
            </w:r>
          </w:p>
        </w:tc>
        <w:tc>
          <w:tcPr>
            <w:tcW w:w="12862" w:type="dxa"/>
            <w:gridSpan w:val="3"/>
            <w:tcBorders>
              <w:top w:val="single" w:color="auto" w:sz="8" w:space="0"/>
              <w:left w:val="nil"/>
              <w:bottom w:val="single" w:color="auto" w:sz="4" w:space="0"/>
              <w:right w:val="single" w:color="000000" w:sz="8" w:space="0"/>
            </w:tcBorders>
            <w:vAlign w:val="center"/>
          </w:tcPr>
          <w:p w14:paraId="5CDCB223">
            <w:pPr>
              <w:spacing w:line="240" w:lineRule="exact"/>
              <w:rPr>
                <w:b/>
                <w:bCs/>
                <w:color w:val="000000"/>
              </w:rPr>
            </w:pPr>
            <w:r>
              <w:rPr>
                <w:b/>
                <w:color w:val="000000"/>
              </w:rPr>
              <w:t>320217630000</w:t>
            </w:r>
          </w:p>
        </w:tc>
      </w:tr>
      <w:tr w14:paraId="07EFE7B8">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5A713ED0">
            <w:pPr>
              <w:spacing w:line="240" w:lineRule="exact"/>
              <w:jc w:val="center"/>
              <w:rPr>
                <w:color w:val="000000"/>
              </w:rPr>
            </w:pPr>
            <w:r>
              <w:rPr>
                <w:rFonts w:hint="eastAsia"/>
                <w:color w:val="000000"/>
              </w:rPr>
              <w:t>行为名称</w:t>
            </w:r>
          </w:p>
        </w:tc>
        <w:tc>
          <w:tcPr>
            <w:tcW w:w="12862" w:type="dxa"/>
            <w:gridSpan w:val="3"/>
            <w:tcBorders>
              <w:top w:val="single" w:color="auto" w:sz="4" w:space="0"/>
              <w:left w:val="nil"/>
              <w:bottom w:val="single" w:color="auto" w:sz="4" w:space="0"/>
              <w:right w:val="single" w:color="000000" w:sz="8" w:space="0"/>
            </w:tcBorders>
            <w:vAlign w:val="center"/>
          </w:tcPr>
          <w:p w14:paraId="292BAF40">
            <w:pPr>
              <w:spacing w:line="240" w:lineRule="exact"/>
              <w:rPr>
                <w:rFonts w:eastAsia="仿宋_GB2312"/>
                <w:color w:val="000000"/>
                <w:sz w:val="20"/>
              </w:rPr>
            </w:pPr>
            <w:r>
              <w:rPr>
                <w:rFonts w:hint="eastAsia"/>
                <w:color w:val="000000"/>
              </w:rPr>
              <w:t>对建筑施工企业在安全生产许可证有效期满未办理延期手续，继续从事建筑施工活动的处罚</w:t>
            </w:r>
          </w:p>
        </w:tc>
      </w:tr>
      <w:tr w14:paraId="71D856CB">
        <w:tblPrEx>
          <w:tblCellMar>
            <w:top w:w="0" w:type="dxa"/>
            <w:left w:w="108" w:type="dxa"/>
            <w:bottom w:w="0" w:type="dxa"/>
            <w:right w:w="108" w:type="dxa"/>
          </w:tblCellMar>
        </w:tblPrEx>
        <w:trPr>
          <w:trHeight w:val="3555" w:hRule="atLeast"/>
        </w:trPr>
        <w:tc>
          <w:tcPr>
            <w:tcW w:w="1154" w:type="dxa"/>
            <w:tcBorders>
              <w:top w:val="nil"/>
              <w:left w:val="single" w:color="auto" w:sz="8" w:space="0"/>
              <w:bottom w:val="single" w:color="auto" w:sz="4" w:space="0"/>
              <w:right w:val="single" w:color="auto" w:sz="4" w:space="0"/>
            </w:tcBorders>
            <w:vAlign w:val="center"/>
          </w:tcPr>
          <w:p w14:paraId="199FA8B3">
            <w:pPr>
              <w:spacing w:line="240" w:lineRule="exact"/>
              <w:jc w:val="center"/>
              <w:rPr>
                <w:color w:val="000000"/>
              </w:rPr>
            </w:pPr>
            <w:r>
              <w:rPr>
                <w:rFonts w:hint="eastAsia"/>
                <w:color w:val="000000"/>
              </w:rPr>
              <w:t>法律依据</w:t>
            </w:r>
          </w:p>
        </w:tc>
        <w:tc>
          <w:tcPr>
            <w:tcW w:w="12862" w:type="dxa"/>
            <w:gridSpan w:val="3"/>
            <w:tcBorders>
              <w:top w:val="single" w:color="auto" w:sz="4" w:space="0"/>
              <w:left w:val="nil"/>
              <w:bottom w:val="single" w:color="auto" w:sz="4" w:space="0"/>
              <w:right w:val="single" w:color="000000" w:sz="8" w:space="0"/>
            </w:tcBorders>
            <w:vAlign w:val="center"/>
          </w:tcPr>
          <w:p w14:paraId="682CFEF6">
            <w:pPr>
              <w:spacing w:line="240" w:lineRule="exact"/>
              <w:rPr>
                <w:color w:val="000000"/>
              </w:rPr>
            </w:pPr>
            <w:r>
              <w:rPr>
                <w:color w:val="000000"/>
              </w:rPr>
              <w:t xml:space="preserve"> </w:t>
            </w:r>
            <w:r>
              <w:rPr>
                <w:rFonts w:hint="eastAsia"/>
                <w:color w:val="000000"/>
              </w:rPr>
              <w:t>【行政法规】《安全生产许可证条例》(国务院令第397号)</w:t>
            </w:r>
          </w:p>
          <w:p w14:paraId="56EF49C5">
            <w:pPr>
              <w:spacing w:line="240" w:lineRule="exact"/>
              <w:rPr>
                <w:color w:val="000000"/>
              </w:rPr>
            </w:pPr>
            <w:r>
              <w:rPr>
                <w:rFonts w:hint="eastAsia"/>
                <w:color w:val="000000"/>
              </w:rPr>
              <w:t xml:space="preserve">        第九条第一款　安全生产许可证的有效期为3年。安全生产许可证有效期满需要延期的，企业应当于期满前3个月向原安全生产许可证颁发管理机关办理延期手续。</w:t>
            </w:r>
          </w:p>
          <w:p w14:paraId="10FD378F">
            <w:pPr>
              <w:spacing w:line="240" w:lineRule="exact"/>
              <w:rPr>
                <w:color w:val="000000"/>
              </w:rPr>
            </w:pPr>
            <w:r>
              <w:rPr>
                <w:rFonts w:hint="eastAsia"/>
                <w:color w:val="000000"/>
              </w:rPr>
              <w:t xml:space="preserve">      第十九条　违反本条例规定，未取得安全生产许可证擅自进行生产的，责令停止生产，没收违法所得，并处10万元以上50万元以下的罚款；造成重大事故或者其他严重后果，构成犯罪的，依法追究刑事责任。</w:t>
            </w:r>
          </w:p>
          <w:p w14:paraId="39077DC9">
            <w:pPr>
              <w:spacing w:line="240" w:lineRule="exact"/>
              <w:rPr>
                <w:color w:val="000000"/>
              </w:rPr>
            </w:pPr>
            <w:r>
              <w:rPr>
                <w:rFonts w:hint="eastAsia"/>
                <w:color w:val="000000"/>
              </w:rPr>
              <w:t xml:space="preserve">      第二十条　违反本条例规定，安全生产许可证有效期满未办理延期手续，继续进行生产的，责令停止生产，限期补办延期手续，没收违法所得，并处5万元以上10万元以下的罚款；逾期仍不办理延期手续，继续进行生产的，依照本条例第十九条的规定处罚。</w:t>
            </w:r>
          </w:p>
          <w:p w14:paraId="2426B46D">
            <w:pPr>
              <w:spacing w:line="240" w:lineRule="exact"/>
              <w:rPr>
                <w:color w:val="000000"/>
              </w:rPr>
            </w:pPr>
            <w:r>
              <w:rPr>
                <w:rFonts w:hint="eastAsia"/>
                <w:color w:val="000000"/>
              </w:rPr>
              <w:t>【规章】《建筑施工企业安全生产许可证管理规定》（建设部令第128号）</w:t>
            </w:r>
          </w:p>
          <w:p w14:paraId="1DD82F9C">
            <w:pPr>
              <w:spacing w:line="240" w:lineRule="exact"/>
              <w:rPr>
                <w:color w:val="000000"/>
              </w:rPr>
            </w:pPr>
            <w:r>
              <w:rPr>
                <w:rFonts w:hint="eastAsia"/>
                <w:color w:val="000000"/>
              </w:rPr>
              <w:t xml:space="preserve">       第二十四条　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p w14:paraId="6F95B88F">
            <w:pPr>
              <w:spacing w:line="240" w:lineRule="exact"/>
              <w:rPr>
                <w:color w:val="000000"/>
              </w:rPr>
            </w:pPr>
            <w:r>
              <w:rPr>
                <w:rFonts w:hint="eastAsia"/>
                <w:color w:val="000000"/>
              </w:rPr>
              <w:t xml:space="preserve">       第二十五条　违反本规定，安全生产许可证有效期满未办理延期手续，继续从事建筑施工活动的，责令其在建项目停止施工，限期补办延期手续，没收违法所得，并处5万元以上10万元以下的罚款；逾期仍不办理延期手续，继续从事建筑施工活动的，依照本规定第二十四条的规定处罚。</w:t>
            </w:r>
          </w:p>
          <w:p w14:paraId="424BCA02">
            <w:pPr>
              <w:spacing w:line="240" w:lineRule="exact"/>
              <w:rPr>
                <w:color w:val="000000"/>
              </w:rPr>
            </w:pPr>
            <w:r>
              <w:rPr>
                <w:rFonts w:hint="eastAsia"/>
                <w:color w:val="000000"/>
              </w:rPr>
              <w:t xml:space="preserve">    第二十八条　本规定的暂扣、吊销安全生产许可证的行政处罚，由安全生产许可证的颁发管理机关决定；其他行政处罚，由县级以上地方人民政府建设主管部门决定。 </w:t>
            </w:r>
          </w:p>
        </w:tc>
      </w:tr>
      <w:tr w14:paraId="771E88E1">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1641488D">
            <w:pPr>
              <w:spacing w:line="240" w:lineRule="exact"/>
              <w:jc w:val="center"/>
              <w:rPr>
                <w:color w:val="000000"/>
              </w:rPr>
            </w:pPr>
            <w:r>
              <w:rPr>
                <w:rFonts w:hint="eastAsia"/>
                <w:color w:val="000000"/>
              </w:rPr>
              <w:t>行使内容</w:t>
            </w:r>
          </w:p>
        </w:tc>
        <w:tc>
          <w:tcPr>
            <w:tcW w:w="12862" w:type="dxa"/>
            <w:gridSpan w:val="3"/>
            <w:tcBorders>
              <w:top w:val="single" w:color="auto" w:sz="4" w:space="0"/>
              <w:left w:val="nil"/>
              <w:bottom w:val="single" w:color="auto" w:sz="4" w:space="0"/>
              <w:right w:val="single" w:color="000000" w:sz="8" w:space="0"/>
            </w:tcBorders>
            <w:vAlign w:val="center"/>
          </w:tcPr>
          <w:p w14:paraId="6FBB821B">
            <w:pPr>
              <w:spacing w:line="240" w:lineRule="exact"/>
              <w:rPr>
                <w:color w:val="000000"/>
              </w:rPr>
            </w:pPr>
            <w:r>
              <w:rPr>
                <w:rFonts w:hint="eastAsia"/>
                <w:color w:val="000000"/>
              </w:rPr>
              <w:t>没收违法所得，罚款</w:t>
            </w:r>
          </w:p>
        </w:tc>
      </w:tr>
      <w:tr w14:paraId="61DB57C6">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9F8332E">
            <w:pPr>
              <w:spacing w:line="240" w:lineRule="exact"/>
              <w:jc w:val="center"/>
              <w:rPr>
                <w:color w:val="000000"/>
              </w:rPr>
            </w:pPr>
            <w:r>
              <w:rPr>
                <w:rFonts w:hint="eastAsia"/>
                <w:color w:val="000000"/>
              </w:rPr>
              <w:t>裁量基准</w:t>
            </w:r>
          </w:p>
        </w:tc>
      </w:tr>
      <w:tr w14:paraId="174053C7">
        <w:tblPrEx>
          <w:tblCellMar>
            <w:top w:w="0" w:type="dxa"/>
            <w:left w:w="108" w:type="dxa"/>
            <w:bottom w:w="0" w:type="dxa"/>
            <w:right w:w="108" w:type="dxa"/>
          </w:tblCellMar>
        </w:tblPrEx>
        <w:trPr>
          <w:trHeight w:val="285" w:hRule="atLeast"/>
        </w:trPr>
        <w:tc>
          <w:tcPr>
            <w:tcW w:w="1154" w:type="dxa"/>
            <w:vMerge w:val="restart"/>
            <w:tcBorders>
              <w:top w:val="nil"/>
              <w:left w:val="single" w:color="auto" w:sz="8" w:space="0"/>
              <w:bottom w:val="single" w:color="000000" w:sz="4" w:space="0"/>
              <w:right w:val="single" w:color="auto" w:sz="4" w:space="0"/>
            </w:tcBorders>
            <w:vAlign w:val="center"/>
          </w:tcPr>
          <w:p w14:paraId="4F78E055">
            <w:pPr>
              <w:spacing w:line="240" w:lineRule="exact"/>
              <w:jc w:val="center"/>
              <w:rPr>
                <w:color w:val="000000"/>
              </w:rPr>
            </w:pPr>
            <w:r>
              <w:rPr>
                <w:rFonts w:hint="eastAsia"/>
                <w:color w:val="000000"/>
              </w:rPr>
              <w:t>情形描述</w:t>
            </w:r>
          </w:p>
        </w:tc>
        <w:tc>
          <w:tcPr>
            <w:tcW w:w="6026" w:type="dxa"/>
            <w:tcBorders>
              <w:top w:val="single" w:color="auto" w:sz="4" w:space="0"/>
              <w:left w:val="nil"/>
              <w:bottom w:val="nil"/>
              <w:right w:val="single" w:color="000000" w:sz="4" w:space="0"/>
            </w:tcBorders>
            <w:vAlign w:val="center"/>
          </w:tcPr>
          <w:p w14:paraId="62E856B7">
            <w:pPr>
              <w:spacing w:line="240" w:lineRule="exact"/>
              <w:rPr>
                <w:color w:val="000000"/>
              </w:rPr>
            </w:pPr>
            <w:r>
              <w:rPr>
                <w:rFonts w:hint="eastAsia"/>
                <w:color w:val="000000"/>
              </w:rPr>
              <w:t>未办理延期手续进行生产的</w:t>
            </w:r>
          </w:p>
        </w:tc>
        <w:tc>
          <w:tcPr>
            <w:tcW w:w="1076" w:type="dxa"/>
            <w:vMerge w:val="restart"/>
            <w:tcBorders>
              <w:top w:val="nil"/>
              <w:left w:val="single" w:color="auto" w:sz="4" w:space="0"/>
              <w:bottom w:val="single" w:color="auto" w:sz="4" w:space="0"/>
              <w:right w:val="single" w:color="auto" w:sz="4" w:space="0"/>
            </w:tcBorders>
            <w:vAlign w:val="center"/>
          </w:tcPr>
          <w:p w14:paraId="6A83F3D3">
            <w:pPr>
              <w:spacing w:line="240" w:lineRule="exact"/>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005320B2">
            <w:pPr>
              <w:spacing w:line="240" w:lineRule="exact"/>
              <w:rPr>
                <w:color w:val="000000"/>
              </w:rPr>
            </w:pPr>
            <w:r>
              <w:rPr>
                <w:rFonts w:hint="eastAsia"/>
                <w:color w:val="000000"/>
              </w:rPr>
              <w:t>处</w:t>
            </w:r>
            <w:r>
              <w:rPr>
                <w:color w:val="000000"/>
              </w:rPr>
              <w:t>5</w:t>
            </w:r>
            <w:r>
              <w:rPr>
                <w:rFonts w:hint="eastAsia"/>
                <w:color w:val="000000"/>
              </w:rPr>
              <w:t>万元以上</w:t>
            </w:r>
            <w:r>
              <w:rPr>
                <w:color w:val="000000"/>
              </w:rPr>
              <w:t>10</w:t>
            </w:r>
            <w:r>
              <w:rPr>
                <w:rFonts w:hint="eastAsia"/>
                <w:color w:val="000000"/>
              </w:rPr>
              <w:t>万元以上罚款</w:t>
            </w:r>
          </w:p>
        </w:tc>
      </w:tr>
      <w:tr w14:paraId="7B927875">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000000" w:sz="4" w:space="0"/>
              <w:right w:val="single" w:color="auto" w:sz="4" w:space="0"/>
            </w:tcBorders>
            <w:vAlign w:val="center"/>
          </w:tcPr>
          <w:p w14:paraId="7F1865F3">
            <w:pPr>
              <w:spacing w:line="240" w:lineRule="exact"/>
              <w:rPr>
                <w:color w:val="000000"/>
              </w:rPr>
            </w:pPr>
          </w:p>
        </w:tc>
        <w:tc>
          <w:tcPr>
            <w:tcW w:w="6026" w:type="dxa"/>
            <w:tcBorders>
              <w:top w:val="single" w:color="auto" w:sz="4" w:space="0"/>
              <w:left w:val="nil"/>
              <w:bottom w:val="nil"/>
              <w:right w:val="single" w:color="000000" w:sz="4" w:space="0"/>
            </w:tcBorders>
            <w:vAlign w:val="center"/>
          </w:tcPr>
          <w:p w14:paraId="33CD53B9">
            <w:pPr>
              <w:spacing w:line="240" w:lineRule="exact"/>
              <w:rPr>
                <w:color w:val="000000"/>
              </w:rPr>
            </w:pPr>
            <w:r>
              <w:rPr>
                <w:rFonts w:hint="eastAsia"/>
                <w:color w:val="000000"/>
              </w:rPr>
              <w:t>逾期未补办延期手续继续进行生产，期间未造成生产安全事故的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6B2270C2">
            <w:pPr>
              <w:spacing w:line="240" w:lineRule="exact"/>
              <w:rPr>
                <w:color w:val="000000"/>
              </w:rPr>
            </w:pPr>
          </w:p>
        </w:tc>
        <w:tc>
          <w:tcPr>
            <w:tcW w:w="5760" w:type="dxa"/>
            <w:tcBorders>
              <w:top w:val="nil"/>
              <w:left w:val="nil"/>
              <w:bottom w:val="single" w:color="auto" w:sz="4" w:space="0"/>
              <w:right w:val="single" w:color="auto" w:sz="8" w:space="0"/>
            </w:tcBorders>
            <w:vAlign w:val="center"/>
          </w:tcPr>
          <w:p w14:paraId="7C8ED3F3">
            <w:pPr>
              <w:spacing w:line="240" w:lineRule="exact"/>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万元以上罚款</w:t>
            </w:r>
          </w:p>
        </w:tc>
      </w:tr>
      <w:tr w14:paraId="7FEC3DE3">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000000" w:sz="4" w:space="0"/>
              <w:right w:val="single" w:color="auto" w:sz="4" w:space="0"/>
            </w:tcBorders>
            <w:vAlign w:val="center"/>
          </w:tcPr>
          <w:p w14:paraId="6750B3B7">
            <w:pPr>
              <w:spacing w:line="240" w:lineRule="exact"/>
              <w:rPr>
                <w:color w:val="000000"/>
              </w:rPr>
            </w:pPr>
          </w:p>
        </w:tc>
        <w:tc>
          <w:tcPr>
            <w:tcW w:w="6026" w:type="dxa"/>
            <w:tcBorders>
              <w:top w:val="single" w:color="auto" w:sz="4" w:space="0"/>
              <w:left w:val="nil"/>
              <w:bottom w:val="nil"/>
              <w:right w:val="single" w:color="000000" w:sz="4" w:space="0"/>
            </w:tcBorders>
            <w:vAlign w:val="center"/>
          </w:tcPr>
          <w:p w14:paraId="3EBBB4CD">
            <w:pPr>
              <w:spacing w:line="240" w:lineRule="exact"/>
              <w:rPr>
                <w:color w:val="000000"/>
              </w:rPr>
            </w:pPr>
            <w:r>
              <w:rPr>
                <w:rFonts w:hint="eastAsia"/>
                <w:color w:val="000000"/>
              </w:rPr>
              <w:t>逾期未补办延期手续继续进行生产，期间造成一般生产安全事故的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60B6F11C">
            <w:pPr>
              <w:spacing w:line="240" w:lineRule="exact"/>
              <w:rPr>
                <w:color w:val="000000"/>
              </w:rPr>
            </w:pPr>
          </w:p>
        </w:tc>
        <w:tc>
          <w:tcPr>
            <w:tcW w:w="5760" w:type="dxa"/>
            <w:tcBorders>
              <w:top w:val="nil"/>
              <w:left w:val="nil"/>
              <w:bottom w:val="single" w:color="auto" w:sz="4" w:space="0"/>
              <w:right w:val="single" w:color="auto" w:sz="8" w:space="0"/>
            </w:tcBorders>
            <w:vAlign w:val="center"/>
          </w:tcPr>
          <w:p w14:paraId="1396CC0B">
            <w:pPr>
              <w:spacing w:line="240" w:lineRule="exact"/>
              <w:rPr>
                <w:color w:val="000000"/>
              </w:rPr>
            </w:pPr>
            <w:r>
              <w:rPr>
                <w:rFonts w:hint="eastAsia"/>
                <w:color w:val="000000"/>
              </w:rPr>
              <w:t>处</w:t>
            </w:r>
            <w:r>
              <w:rPr>
                <w:color w:val="000000"/>
              </w:rPr>
              <w:t>20</w:t>
            </w:r>
            <w:r>
              <w:rPr>
                <w:rFonts w:hint="eastAsia"/>
                <w:color w:val="000000"/>
              </w:rPr>
              <w:t>万元以上</w:t>
            </w:r>
            <w:r>
              <w:rPr>
                <w:color w:val="000000"/>
              </w:rPr>
              <w:t>30</w:t>
            </w:r>
            <w:r>
              <w:rPr>
                <w:rFonts w:hint="eastAsia"/>
                <w:color w:val="000000"/>
              </w:rPr>
              <w:t>万元以上罚款</w:t>
            </w:r>
          </w:p>
        </w:tc>
      </w:tr>
      <w:tr w14:paraId="7FEA8855">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000000" w:sz="4" w:space="0"/>
              <w:right w:val="single" w:color="auto" w:sz="4" w:space="0"/>
            </w:tcBorders>
            <w:vAlign w:val="center"/>
          </w:tcPr>
          <w:p w14:paraId="0F2D4439">
            <w:pPr>
              <w:spacing w:line="240" w:lineRule="exact"/>
              <w:rPr>
                <w:color w:val="000000"/>
              </w:rPr>
            </w:pPr>
          </w:p>
        </w:tc>
        <w:tc>
          <w:tcPr>
            <w:tcW w:w="6026" w:type="dxa"/>
            <w:tcBorders>
              <w:top w:val="single" w:color="auto" w:sz="4" w:space="0"/>
              <w:left w:val="nil"/>
              <w:bottom w:val="nil"/>
              <w:right w:val="single" w:color="000000" w:sz="4" w:space="0"/>
            </w:tcBorders>
            <w:vAlign w:val="center"/>
          </w:tcPr>
          <w:p w14:paraId="5C6235B8">
            <w:pPr>
              <w:spacing w:line="240" w:lineRule="exact"/>
              <w:rPr>
                <w:color w:val="000000"/>
              </w:rPr>
            </w:pPr>
            <w:r>
              <w:rPr>
                <w:rFonts w:hint="eastAsia"/>
                <w:color w:val="000000"/>
              </w:rPr>
              <w:t>逾期未补办延期手续继续进行生产，期间造成较大生产安全事故的</w:t>
            </w:r>
          </w:p>
        </w:tc>
        <w:tc>
          <w:tcPr>
            <w:tcW w:w="1076" w:type="dxa"/>
            <w:vMerge w:val="continue"/>
            <w:tcBorders>
              <w:top w:val="nil"/>
              <w:left w:val="single" w:color="auto" w:sz="4" w:space="0"/>
              <w:bottom w:val="single" w:color="auto" w:sz="4" w:space="0"/>
              <w:right w:val="single" w:color="auto" w:sz="4" w:space="0"/>
            </w:tcBorders>
            <w:vAlign w:val="center"/>
          </w:tcPr>
          <w:p w14:paraId="17576389">
            <w:pPr>
              <w:spacing w:line="240" w:lineRule="exact"/>
              <w:rPr>
                <w:color w:val="000000"/>
              </w:rPr>
            </w:pPr>
          </w:p>
        </w:tc>
        <w:tc>
          <w:tcPr>
            <w:tcW w:w="5760" w:type="dxa"/>
            <w:tcBorders>
              <w:top w:val="nil"/>
              <w:left w:val="nil"/>
              <w:bottom w:val="single" w:color="auto" w:sz="4" w:space="0"/>
              <w:right w:val="single" w:color="auto" w:sz="8" w:space="0"/>
            </w:tcBorders>
            <w:vAlign w:val="center"/>
          </w:tcPr>
          <w:p w14:paraId="58F05C6A">
            <w:pPr>
              <w:spacing w:line="240" w:lineRule="exact"/>
              <w:rPr>
                <w:color w:val="000000"/>
              </w:rPr>
            </w:pPr>
            <w:r>
              <w:rPr>
                <w:rFonts w:hint="eastAsia"/>
                <w:color w:val="000000"/>
              </w:rPr>
              <w:t>处</w:t>
            </w:r>
            <w:r>
              <w:rPr>
                <w:color w:val="000000"/>
              </w:rPr>
              <w:t>30</w:t>
            </w:r>
            <w:r>
              <w:rPr>
                <w:rFonts w:hint="eastAsia"/>
                <w:color w:val="000000"/>
              </w:rPr>
              <w:t>万元以上</w:t>
            </w:r>
            <w:r>
              <w:rPr>
                <w:color w:val="000000"/>
              </w:rPr>
              <w:t>40</w:t>
            </w:r>
            <w:r>
              <w:rPr>
                <w:rFonts w:hint="eastAsia"/>
                <w:color w:val="000000"/>
              </w:rPr>
              <w:t>万元以上罚款</w:t>
            </w:r>
          </w:p>
        </w:tc>
      </w:tr>
      <w:tr w14:paraId="57115BBB">
        <w:tblPrEx>
          <w:tblCellMar>
            <w:top w:w="0" w:type="dxa"/>
            <w:left w:w="108" w:type="dxa"/>
            <w:bottom w:w="0" w:type="dxa"/>
            <w:right w:w="108" w:type="dxa"/>
          </w:tblCellMar>
        </w:tblPrEx>
        <w:trPr>
          <w:trHeight w:val="285" w:hRule="atLeast"/>
        </w:trPr>
        <w:tc>
          <w:tcPr>
            <w:tcW w:w="1154" w:type="dxa"/>
            <w:vMerge w:val="continue"/>
            <w:tcBorders>
              <w:top w:val="nil"/>
              <w:left w:val="single" w:color="auto" w:sz="8" w:space="0"/>
              <w:bottom w:val="single" w:color="000000" w:sz="4" w:space="0"/>
              <w:right w:val="single" w:color="auto" w:sz="4" w:space="0"/>
            </w:tcBorders>
            <w:vAlign w:val="center"/>
          </w:tcPr>
          <w:p w14:paraId="5DE539DC">
            <w:pPr>
              <w:spacing w:line="240" w:lineRule="exact"/>
              <w:rPr>
                <w:color w:val="000000"/>
              </w:rPr>
            </w:pPr>
          </w:p>
        </w:tc>
        <w:tc>
          <w:tcPr>
            <w:tcW w:w="6026" w:type="dxa"/>
            <w:tcBorders>
              <w:top w:val="single" w:color="auto" w:sz="4" w:space="0"/>
              <w:left w:val="nil"/>
              <w:bottom w:val="single" w:color="auto" w:sz="4" w:space="0"/>
              <w:right w:val="single" w:color="000000" w:sz="4" w:space="0"/>
            </w:tcBorders>
            <w:vAlign w:val="center"/>
          </w:tcPr>
          <w:p w14:paraId="53FF7976">
            <w:pPr>
              <w:spacing w:line="240" w:lineRule="exact"/>
              <w:rPr>
                <w:color w:val="000000"/>
              </w:rPr>
            </w:pPr>
            <w:r>
              <w:rPr>
                <w:rFonts w:hint="eastAsia"/>
                <w:color w:val="000000"/>
              </w:rPr>
              <w:t xml:space="preserve">逾期未补办延期手续继续进行生产，期间造成重大或特大生产安全事故的 </w:t>
            </w:r>
          </w:p>
        </w:tc>
        <w:tc>
          <w:tcPr>
            <w:tcW w:w="1076" w:type="dxa"/>
            <w:vMerge w:val="continue"/>
            <w:tcBorders>
              <w:top w:val="nil"/>
              <w:left w:val="single" w:color="auto" w:sz="4" w:space="0"/>
              <w:bottom w:val="single" w:color="auto" w:sz="4" w:space="0"/>
              <w:right w:val="single" w:color="auto" w:sz="4" w:space="0"/>
            </w:tcBorders>
            <w:vAlign w:val="center"/>
          </w:tcPr>
          <w:p w14:paraId="7F7265E1">
            <w:pPr>
              <w:spacing w:line="240" w:lineRule="exact"/>
              <w:rPr>
                <w:color w:val="000000"/>
              </w:rPr>
            </w:pPr>
          </w:p>
        </w:tc>
        <w:tc>
          <w:tcPr>
            <w:tcW w:w="5760" w:type="dxa"/>
            <w:tcBorders>
              <w:top w:val="nil"/>
              <w:left w:val="nil"/>
              <w:bottom w:val="single" w:color="auto" w:sz="4" w:space="0"/>
              <w:right w:val="single" w:color="auto" w:sz="8" w:space="0"/>
            </w:tcBorders>
            <w:vAlign w:val="center"/>
          </w:tcPr>
          <w:p w14:paraId="128E276B">
            <w:pPr>
              <w:spacing w:line="240" w:lineRule="exact"/>
              <w:rPr>
                <w:color w:val="000000"/>
              </w:rPr>
            </w:pPr>
            <w:r>
              <w:rPr>
                <w:rFonts w:hint="eastAsia"/>
                <w:color w:val="000000"/>
              </w:rPr>
              <w:t>处</w:t>
            </w:r>
            <w:r>
              <w:rPr>
                <w:color w:val="000000"/>
              </w:rPr>
              <w:t>40</w:t>
            </w:r>
            <w:r>
              <w:rPr>
                <w:rFonts w:hint="eastAsia"/>
                <w:color w:val="000000"/>
              </w:rPr>
              <w:t>万元以上</w:t>
            </w:r>
            <w:r>
              <w:rPr>
                <w:color w:val="000000"/>
              </w:rPr>
              <w:t>50</w:t>
            </w:r>
            <w:r>
              <w:rPr>
                <w:rFonts w:hint="eastAsia"/>
                <w:color w:val="000000"/>
              </w:rPr>
              <w:t>万元以上罚款</w:t>
            </w:r>
          </w:p>
        </w:tc>
      </w:tr>
    </w:tbl>
    <w:p w14:paraId="53713E09"/>
    <w:p w14:paraId="0027A4E1"/>
    <w:p w14:paraId="22DFEFC3"/>
    <w:tbl>
      <w:tblPr>
        <w:tblStyle w:val="15"/>
        <w:tblW w:w="0" w:type="auto"/>
        <w:tblInd w:w="88" w:type="dxa"/>
        <w:tblLayout w:type="fixed"/>
        <w:tblCellMar>
          <w:top w:w="0" w:type="dxa"/>
          <w:left w:w="108" w:type="dxa"/>
          <w:bottom w:w="0" w:type="dxa"/>
          <w:right w:w="108" w:type="dxa"/>
        </w:tblCellMar>
      </w:tblPr>
      <w:tblGrid>
        <w:gridCol w:w="1154"/>
        <w:gridCol w:w="6026"/>
        <w:gridCol w:w="1076"/>
        <w:gridCol w:w="5760"/>
      </w:tblGrid>
      <w:tr w14:paraId="37CA87D5">
        <w:tblPrEx>
          <w:tblCellMar>
            <w:top w:w="0" w:type="dxa"/>
            <w:left w:w="108" w:type="dxa"/>
            <w:bottom w:w="0" w:type="dxa"/>
            <w:right w:w="108" w:type="dxa"/>
          </w:tblCellMar>
        </w:tblPrEx>
        <w:trPr>
          <w:trHeight w:val="285" w:hRule="atLeast"/>
        </w:trPr>
        <w:tc>
          <w:tcPr>
            <w:tcW w:w="1154" w:type="dxa"/>
            <w:tcBorders>
              <w:top w:val="single" w:color="auto" w:sz="8" w:space="0"/>
              <w:left w:val="single" w:color="auto" w:sz="8" w:space="0"/>
              <w:bottom w:val="single" w:color="auto" w:sz="4" w:space="0"/>
              <w:right w:val="single" w:color="auto" w:sz="4" w:space="0"/>
            </w:tcBorders>
            <w:vAlign w:val="center"/>
          </w:tcPr>
          <w:p w14:paraId="07BCE8BA">
            <w:pPr>
              <w:jc w:val="center"/>
              <w:rPr>
                <w:color w:val="000000"/>
              </w:rPr>
            </w:pPr>
            <w:r>
              <w:rPr>
                <w:rFonts w:hint="eastAsia"/>
                <w:color w:val="000000"/>
              </w:rPr>
              <w:t>编号</w:t>
            </w:r>
          </w:p>
        </w:tc>
        <w:tc>
          <w:tcPr>
            <w:tcW w:w="12862" w:type="dxa"/>
            <w:gridSpan w:val="3"/>
            <w:tcBorders>
              <w:top w:val="single" w:color="auto" w:sz="8" w:space="0"/>
              <w:left w:val="nil"/>
              <w:bottom w:val="single" w:color="auto" w:sz="4" w:space="0"/>
              <w:right w:val="single" w:color="000000" w:sz="8" w:space="0"/>
            </w:tcBorders>
            <w:vAlign w:val="center"/>
          </w:tcPr>
          <w:p w14:paraId="0617C36F">
            <w:pPr>
              <w:rPr>
                <w:b/>
                <w:bCs/>
                <w:color w:val="000000"/>
              </w:rPr>
            </w:pPr>
            <w:r>
              <w:rPr>
                <w:b/>
                <w:color w:val="000000"/>
              </w:rPr>
              <w:t>320217631000</w:t>
            </w:r>
          </w:p>
        </w:tc>
      </w:tr>
      <w:tr w14:paraId="23F65F55">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46C2B928">
            <w:pPr>
              <w:jc w:val="center"/>
              <w:rPr>
                <w:color w:val="000000"/>
              </w:rPr>
            </w:pPr>
            <w:r>
              <w:rPr>
                <w:rFonts w:hint="eastAsia"/>
                <w:color w:val="000000"/>
              </w:rPr>
              <w:t>行为名称</w:t>
            </w:r>
          </w:p>
        </w:tc>
        <w:tc>
          <w:tcPr>
            <w:tcW w:w="12862" w:type="dxa"/>
            <w:gridSpan w:val="3"/>
            <w:tcBorders>
              <w:top w:val="single" w:color="auto" w:sz="4" w:space="0"/>
              <w:left w:val="nil"/>
              <w:bottom w:val="single" w:color="auto" w:sz="4" w:space="0"/>
              <w:right w:val="single" w:color="000000" w:sz="8" w:space="0"/>
            </w:tcBorders>
            <w:vAlign w:val="center"/>
          </w:tcPr>
          <w:p w14:paraId="762F6544">
            <w:pPr>
              <w:rPr>
                <w:color w:val="000000"/>
              </w:rPr>
            </w:pPr>
            <w:r>
              <w:rPr>
                <w:rFonts w:hint="eastAsia"/>
                <w:color w:val="000000"/>
              </w:rPr>
              <w:t>对建筑施工企业转让或接受转让安全生产许可证的处罚</w:t>
            </w:r>
          </w:p>
        </w:tc>
      </w:tr>
      <w:tr w14:paraId="0E14B85C">
        <w:tblPrEx>
          <w:tblCellMar>
            <w:top w:w="0" w:type="dxa"/>
            <w:left w:w="108" w:type="dxa"/>
            <w:bottom w:w="0" w:type="dxa"/>
            <w:right w:w="108" w:type="dxa"/>
          </w:tblCellMar>
        </w:tblPrEx>
        <w:trPr>
          <w:trHeight w:val="2635" w:hRule="atLeast"/>
        </w:trPr>
        <w:tc>
          <w:tcPr>
            <w:tcW w:w="1154" w:type="dxa"/>
            <w:tcBorders>
              <w:top w:val="nil"/>
              <w:left w:val="single" w:color="auto" w:sz="8" w:space="0"/>
              <w:bottom w:val="single" w:color="auto" w:sz="4" w:space="0"/>
              <w:right w:val="single" w:color="auto" w:sz="4" w:space="0"/>
            </w:tcBorders>
            <w:vAlign w:val="center"/>
          </w:tcPr>
          <w:p w14:paraId="2D6EFB0E">
            <w:pPr>
              <w:jc w:val="center"/>
              <w:rPr>
                <w:color w:val="000000"/>
              </w:rPr>
            </w:pPr>
            <w:r>
              <w:rPr>
                <w:rFonts w:hint="eastAsia"/>
                <w:color w:val="000000"/>
              </w:rPr>
              <w:t>法律依据</w:t>
            </w:r>
          </w:p>
        </w:tc>
        <w:tc>
          <w:tcPr>
            <w:tcW w:w="12862" w:type="dxa"/>
            <w:gridSpan w:val="3"/>
            <w:tcBorders>
              <w:top w:val="single" w:color="auto" w:sz="4" w:space="0"/>
              <w:left w:val="nil"/>
              <w:bottom w:val="single" w:color="auto" w:sz="4" w:space="0"/>
              <w:right w:val="single" w:color="000000" w:sz="8" w:space="0"/>
            </w:tcBorders>
            <w:vAlign w:val="center"/>
          </w:tcPr>
          <w:p w14:paraId="5DF8B4DD">
            <w:pPr>
              <w:spacing w:line="240" w:lineRule="exact"/>
              <w:rPr>
                <w:color w:val="000000"/>
              </w:rPr>
            </w:pPr>
            <w:r>
              <w:rPr>
                <w:rFonts w:hint="eastAsia"/>
                <w:color w:val="000000"/>
              </w:rPr>
              <w:t>【行政法规】《安全生产许可证条例》</w:t>
            </w:r>
            <w:r>
              <w:rPr>
                <w:color w:val="000000"/>
              </w:rPr>
              <w:t>（</w:t>
            </w:r>
            <w:r>
              <w:rPr>
                <w:rFonts w:hint="eastAsia"/>
                <w:color w:val="000000"/>
              </w:rPr>
              <w:t>国务院令第</w:t>
            </w:r>
            <w:r>
              <w:rPr>
                <w:color w:val="000000"/>
              </w:rPr>
              <w:t>397</w:t>
            </w:r>
            <w:r>
              <w:rPr>
                <w:rFonts w:hint="eastAsia"/>
                <w:color w:val="000000"/>
              </w:rPr>
              <w:t>号</w:t>
            </w:r>
            <w:r>
              <w:rPr>
                <w:color w:val="000000"/>
              </w:rPr>
              <w:t>）</w:t>
            </w:r>
            <w:r>
              <w:rPr>
                <w:color w:val="000000"/>
              </w:rPr>
              <w:br w:type="textWrapping"/>
            </w:r>
            <w:r>
              <w:rPr>
                <w:rFonts w:hint="eastAsia"/>
                <w:color w:val="000000"/>
              </w:rPr>
              <w:t>第十三条　企业不得转让、冒用安全生产许可证或者使用伪造的安全生产许可证。</w:t>
            </w:r>
            <w:r>
              <w:rPr>
                <w:color w:val="000000"/>
              </w:rPr>
              <w:br w:type="textWrapping"/>
            </w:r>
            <w:r>
              <w:rPr>
                <w:rFonts w:hint="eastAsia"/>
                <w:color w:val="000000"/>
              </w:rPr>
              <w:t>第二十一条　违反本条例规定，转让安全生产许可证的，没收违法所得，处</w:t>
            </w:r>
            <w:r>
              <w:rPr>
                <w:color w:val="000000"/>
              </w:rPr>
              <w:t>10</w:t>
            </w:r>
            <w:r>
              <w:rPr>
                <w:rFonts w:hint="eastAsia"/>
                <w:color w:val="000000"/>
              </w:rPr>
              <w:t>万元以上</w:t>
            </w:r>
            <w:r>
              <w:rPr>
                <w:color w:val="000000"/>
              </w:rPr>
              <w:t>50</w:t>
            </w:r>
            <w:r>
              <w:rPr>
                <w:rFonts w:hint="eastAsia"/>
                <w:color w:val="000000"/>
              </w:rPr>
              <w:t>万元以下的罚款，并吊销其安全生产许可证；构成犯罪的，依法追究刑事责任；接受转让的，依照本条例第十九条的规定处罚。</w:t>
            </w:r>
            <w:r>
              <w:rPr>
                <w:color w:val="000000"/>
              </w:rPr>
              <w:br w:type="textWrapping"/>
            </w:r>
            <w:r>
              <w:rPr>
                <w:rFonts w:hint="eastAsia"/>
                <w:color w:val="000000"/>
              </w:rPr>
              <w:t>【行政法规】《建筑施工企业安全生产许可证管理规定》（建设部令第</w:t>
            </w:r>
            <w:r>
              <w:rPr>
                <w:color w:val="000000"/>
              </w:rPr>
              <w:t>128</w:t>
            </w:r>
            <w:r>
              <w:rPr>
                <w:rFonts w:hint="eastAsia"/>
                <w:color w:val="000000"/>
              </w:rPr>
              <w:t>号）</w:t>
            </w:r>
          </w:p>
          <w:p w14:paraId="7B7DF8F5">
            <w:pPr>
              <w:spacing w:line="240" w:lineRule="exact"/>
              <w:rPr>
                <w:color w:val="000000"/>
              </w:rPr>
            </w:pPr>
            <w:r>
              <w:rPr>
                <w:rFonts w:hint="eastAsia"/>
                <w:color w:val="000000"/>
              </w:rPr>
              <w:t>第二十六条　违反本规定，建筑施工企业转让安全生产许可证的，没收违法所得，处</w:t>
            </w:r>
            <w:r>
              <w:rPr>
                <w:color w:val="000000"/>
              </w:rPr>
              <w:t>10</w:t>
            </w:r>
            <w:r>
              <w:rPr>
                <w:rFonts w:hint="eastAsia"/>
                <w:color w:val="000000"/>
              </w:rPr>
              <w:t>万元以上</w:t>
            </w:r>
            <w:r>
              <w:rPr>
                <w:color w:val="000000"/>
              </w:rPr>
              <w:t>50</w:t>
            </w:r>
            <w:r>
              <w:rPr>
                <w:rFonts w:hint="eastAsia"/>
                <w:color w:val="000000"/>
              </w:rPr>
              <w:t>万元以下的罚款，并吊销安全生产许可证；构成犯罪的，依法追究刑事责任；接受转让的，依照本规定第二十四条的规定处罚。</w:t>
            </w:r>
            <w:r>
              <w:rPr>
                <w:color w:val="000000"/>
              </w:rPr>
              <w:t xml:space="preserve"> </w:t>
            </w:r>
            <w:r>
              <w:rPr>
                <w:color w:val="000000"/>
              </w:rPr>
              <w:br w:type="textWrapping"/>
            </w:r>
            <w:r>
              <w:rPr>
                <w:rFonts w:hint="eastAsia"/>
                <w:color w:val="000000"/>
              </w:rPr>
              <w:t>冒用安全生产许可证或者使用伪造的安全生产许可证的，依照本规定第二十四条的规定处罚。</w:t>
            </w:r>
          </w:p>
          <w:p w14:paraId="2E83A6F5">
            <w:pPr>
              <w:spacing w:line="240" w:lineRule="exact"/>
              <w:rPr>
                <w:color w:val="000000"/>
              </w:rPr>
            </w:pPr>
            <w:r>
              <w:rPr>
                <w:rFonts w:hint="eastAsia"/>
                <w:color w:val="000000"/>
              </w:rPr>
              <w:t>第二十八条　本规定的暂扣、吊销安全生产许可证的行政处罚，由安全生产许可证的颁发管理机关决定；其他行政处罚，由县级以上地方人民政府建设主管部门决定。</w:t>
            </w:r>
          </w:p>
        </w:tc>
      </w:tr>
      <w:tr w14:paraId="68B63E27">
        <w:tblPrEx>
          <w:tblCellMar>
            <w:top w:w="0" w:type="dxa"/>
            <w:left w:w="108" w:type="dxa"/>
            <w:bottom w:w="0" w:type="dxa"/>
            <w:right w:w="108" w:type="dxa"/>
          </w:tblCellMar>
        </w:tblPrEx>
        <w:trPr>
          <w:trHeight w:val="285" w:hRule="atLeast"/>
        </w:trPr>
        <w:tc>
          <w:tcPr>
            <w:tcW w:w="1154" w:type="dxa"/>
            <w:tcBorders>
              <w:top w:val="nil"/>
              <w:left w:val="single" w:color="auto" w:sz="8" w:space="0"/>
              <w:bottom w:val="single" w:color="auto" w:sz="4" w:space="0"/>
              <w:right w:val="single" w:color="auto" w:sz="4" w:space="0"/>
            </w:tcBorders>
            <w:vAlign w:val="center"/>
          </w:tcPr>
          <w:p w14:paraId="3689B525">
            <w:pPr>
              <w:jc w:val="center"/>
              <w:rPr>
                <w:color w:val="000000"/>
              </w:rPr>
            </w:pPr>
            <w:r>
              <w:rPr>
                <w:rFonts w:hint="eastAsia"/>
                <w:color w:val="000000"/>
              </w:rPr>
              <w:t>行使内容</w:t>
            </w:r>
          </w:p>
        </w:tc>
        <w:tc>
          <w:tcPr>
            <w:tcW w:w="12862" w:type="dxa"/>
            <w:gridSpan w:val="3"/>
            <w:tcBorders>
              <w:top w:val="single" w:color="auto" w:sz="4" w:space="0"/>
              <w:left w:val="nil"/>
              <w:bottom w:val="single" w:color="auto" w:sz="4" w:space="0"/>
              <w:right w:val="single" w:color="000000" w:sz="8" w:space="0"/>
            </w:tcBorders>
            <w:vAlign w:val="center"/>
          </w:tcPr>
          <w:p w14:paraId="206321A7">
            <w:pPr>
              <w:rPr>
                <w:color w:val="000000"/>
              </w:rPr>
            </w:pPr>
            <w:r>
              <w:rPr>
                <w:rFonts w:hint="eastAsia"/>
                <w:color w:val="000000"/>
              </w:rPr>
              <w:t>没收违法所得，罚款，吊销安全生产许可证</w:t>
            </w:r>
          </w:p>
        </w:tc>
      </w:tr>
      <w:tr w14:paraId="76ED27B2">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A22C21C">
            <w:pPr>
              <w:jc w:val="center"/>
              <w:rPr>
                <w:color w:val="000000"/>
              </w:rPr>
            </w:pPr>
            <w:r>
              <w:rPr>
                <w:rFonts w:hint="eastAsia"/>
                <w:color w:val="000000"/>
              </w:rPr>
              <w:t>裁量基准</w:t>
            </w:r>
          </w:p>
        </w:tc>
      </w:tr>
      <w:tr w14:paraId="57393504">
        <w:tblPrEx>
          <w:tblCellMar>
            <w:top w:w="0" w:type="dxa"/>
            <w:left w:w="108" w:type="dxa"/>
            <w:bottom w:w="0" w:type="dxa"/>
            <w:right w:w="108" w:type="dxa"/>
          </w:tblCellMar>
        </w:tblPrEx>
        <w:trPr>
          <w:trHeight w:val="300" w:hRule="atLeast"/>
        </w:trPr>
        <w:tc>
          <w:tcPr>
            <w:tcW w:w="1154" w:type="dxa"/>
            <w:vMerge w:val="restart"/>
            <w:tcBorders>
              <w:top w:val="nil"/>
              <w:left w:val="single" w:color="auto" w:sz="8" w:space="0"/>
              <w:right w:val="single" w:color="auto" w:sz="4" w:space="0"/>
            </w:tcBorders>
            <w:vAlign w:val="center"/>
          </w:tcPr>
          <w:p w14:paraId="04F350A9">
            <w:pPr>
              <w:jc w:val="center"/>
              <w:rPr>
                <w:color w:val="000000"/>
              </w:rPr>
            </w:pPr>
            <w:r>
              <w:rPr>
                <w:rFonts w:hint="eastAsia"/>
                <w:color w:val="000000"/>
              </w:rPr>
              <w:t>情形描述</w:t>
            </w:r>
          </w:p>
        </w:tc>
        <w:tc>
          <w:tcPr>
            <w:tcW w:w="6026" w:type="dxa"/>
            <w:tcBorders>
              <w:top w:val="single" w:color="auto" w:sz="4" w:space="0"/>
              <w:left w:val="single" w:color="auto" w:sz="4" w:space="0"/>
              <w:bottom w:val="single" w:color="auto" w:sz="4" w:space="0"/>
              <w:right w:val="single" w:color="auto" w:sz="4" w:space="0"/>
            </w:tcBorders>
            <w:vAlign w:val="center"/>
          </w:tcPr>
          <w:p w14:paraId="5BC6FDBC">
            <w:pPr>
              <w:rPr>
                <w:color w:val="000000"/>
              </w:rPr>
            </w:pPr>
            <w:r>
              <w:rPr>
                <w:rFonts w:hint="eastAsia"/>
                <w:color w:val="000000"/>
              </w:rPr>
              <w:t>未造成安全事故的</w:t>
            </w:r>
          </w:p>
        </w:tc>
        <w:tc>
          <w:tcPr>
            <w:tcW w:w="1076" w:type="dxa"/>
            <w:vMerge w:val="restart"/>
            <w:tcBorders>
              <w:top w:val="nil"/>
              <w:left w:val="single" w:color="auto" w:sz="4" w:space="0"/>
              <w:right w:val="single" w:color="auto" w:sz="4" w:space="0"/>
            </w:tcBorders>
            <w:vAlign w:val="center"/>
          </w:tcPr>
          <w:p w14:paraId="5676DD8C">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30C32A32">
            <w:pPr>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万元以下罚款</w:t>
            </w:r>
          </w:p>
        </w:tc>
      </w:tr>
      <w:tr w14:paraId="406B2D17">
        <w:tblPrEx>
          <w:tblCellMar>
            <w:top w:w="0" w:type="dxa"/>
            <w:left w:w="108" w:type="dxa"/>
            <w:bottom w:w="0" w:type="dxa"/>
            <w:right w:w="108" w:type="dxa"/>
          </w:tblCellMar>
        </w:tblPrEx>
        <w:trPr>
          <w:trHeight w:val="309" w:hRule="atLeast"/>
        </w:trPr>
        <w:tc>
          <w:tcPr>
            <w:tcW w:w="1154" w:type="dxa"/>
            <w:vMerge w:val="continue"/>
            <w:tcBorders>
              <w:left w:val="single" w:color="auto" w:sz="8" w:space="0"/>
              <w:right w:val="single" w:color="auto" w:sz="4" w:space="0"/>
            </w:tcBorders>
            <w:vAlign w:val="center"/>
          </w:tcPr>
          <w:p w14:paraId="218952D5">
            <w:pPr>
              <w:rPr>
                <w:color w:val="000000"/>
              </w:rPr>
            </w:pPr>
          </w:p>
        </w:tc>
        <w:tc>
          <w:tcPr>
            <w:tcW w:w="6026" w:type="dxa"/>
            <w:tcBorders>
              <w:top w:val="single" w:color="auto" w:sz="4" w:space="0"/>
              <w:left w:val="single" w:color="auto" w:sz="4" w:space="0"/>
              <w:bottom w:val="single" w:color="auto" w:sz="4" w:space="0"/>
              <w:right w:val="single" w:color="auto" w:sz="4" w:space="0"/>
            </w:tcBorders>
            <w:vAlign w:val="center"/>
          </w:tcPr>
          <w:p w14:paraId="25C99C75">
            <w:pPr>
              <w:rPr>
                <w:color w:val="000000"/>
              </w:rPr>
            </w:pPr>
            <w:r>
              <w:rPr>
                <w:rFonts w:hint="eastAsia"/>
                <w:color w:val="000000"/>
              </w:rPr>
              <w:t>造成一般安全事故的</w:t>
            </w:r>
          </w:p>
        </w:tc>
        <w:tc>
          <w:tcPr>
            <w:tcW w:w="1076" w:type="dxa"/>
            <w:vMerge w:val="continue"/>
            <w:tcBorders>
              <w:left w:val="single" w:color="auto" w:sz="4" w:space="0"/>
              <w:right w:val="single" w:color="auto" w:sz="4" w:space="0"/>
            </w:tcBorders>
            <w:vAlign w:val="center"/>
          </w:tcPr>
          <w:p w14:paraId="084383EF">
            <w:pPr>
              <w:rPr>
                <w:color w:val="000000"/>
              </w:rPr>
            </w:pPr>
          </w:p>
        </w:tc>
        <w:tc>
          <w:tcPr>
            <w:tcW w:w="5760" w:type="dxa"/>
            <w:tcBorders>
              <w:top w:val="single" w:color="auto" w:sz="4" w:space="0"/>
              <w:left w:val="nil"/>
              <w:bottom w:val="single" w:color="auto" w:sz="4" w:space="0"/>
              <w:right w:val="single" w:color="auto" w:sz="8" w:space="0"/>
            </w:tcBorders>
            <w:vAlign w:val="center"/>
          </w:tcPr>
          <w:p w14:paraId="112975A4">
            <w:pPr>
              <w:rPr>
                <w:color w:val="000000"/>
              </w:rPr>
            </w:pPr>
            <w:r>
              <w:rPr>
                <w:rFonts w:hint="eastAsia"/>
                <w:color w:val="000000"/>
              </w:rPr>
              <w:t>处</w:t>
            </w:r>
            <w:r>
              <w:rPr>
                <w:color w:val="000000"/>
              </w:rPr>
              <w:t>20</w:t>
            </w:r>
            <w:r>
              <w:rPr>
                <w:rFonts w:hint="eastAsia"/>
                <w:color w:val="000000"/>
              </w:rPr>
              <w:t>万元以上</w:t>
            </w:r>
            <w:r>
              <w:rPr>
                <w:color w:val="000000"/>
              </w:rPr>
              <w:t>30</w:t>
            </w:r>
            <w:r>
              <w:rPr>
                <w:rFonts w:hint="eastAsia"/>
                <w:color w:val="000000"/>
              </w:rPr>
              <w:t>万元以下罚款</w:t>
            </w:r>
          </w:p>
        </w:tc>
      </w:tr>
      <w:tr w14:paraId="71E7B760">
        <w:tblPrEx>
          <w:tblCellMar>
            <w:top w:w="0" w:type="dxa"/>
            <w:left w:w="108" w:type="dxa"/>
            <w:bottom w:w="0" w:type="dxa"/>
            <w:right w:w="108" w:type="dxa"/>
          </w:tblCellMar>
        </w:tblPrEx>
        <w:trPr>
          <w:trHeight w:val="315" w:hRule="atLeast"/>
        </w:trPr>
        <w:tc>
          <w:tcPr>
            <w:tcW w:w="1154" w:type="dxa"/>
            <w:vMerge w:val="continue"/>
            <w:tcBorders>
              <w:left w:val="single" w:color="auto" w:sz="8" w:space="0"/>
              <w:right w:val="single" w:color="auto" w:sz="4" w:space="0"/>
            </w:tcBorders>
            <w:vAlign w:val="center"/>
          </w:tcPr>
          <w:p w14:paraId="056460F1">
            <w:pPr>
              <w:rPr>
                <w:color w:val="000000"/>
              </w:rPr>
            </w:pPr>
          </w:p>
        </w:tc>
        <w:tc>
          <w:tcPr>
            <w:tcW w:w="6026" w:type="dxa"/>
            <w:tcBorders>
              <w:top w:val="single" w:color="auto" w:sz="4" w:space="0"/>
              <w:left w:val="single" w:color="auto" w:sz="4" w:space="0"/>
              <w:bottom w:val="single" w:color="auto" w:sz="4" w:space="0"/>
              <w:right w:val="single" w:color="auto" w:sz="4" w:space="0"/>
            </w:tcBorders>
            <w:vAlign w:val="center"/>
          </w:tcPr>
          <w:p w14:paraId="5EDC1A6D">
            <w:pPr>
              <w:rPr>
                <w:color w:val="000000"/>
              </w:rPr>
            </w:pPr>
            <w:r>
              <w:rPr>
                <w:rFonts w:hint="eastAsia"/>
                <w:color w:val="000000"/>
              </w:rPr>
              <w:t>造成较大安全事故的</w:t>
            </w:r>
          </w:p>
        </w:tc>
        <w:tc>
          <w:tcPr>
            <w:tcW w:w="1076" w:type="dxa"/>
            <w:vMerge w:val="continue"/>
            <w:tcBorders>
              <w:left w:val="single" w:color="auto" w:sz="4" w:space="0"/>
              <w:right w:val="single" w:color="auto" w:sz="4" w:space="0"/>
            </w:tcBorders>
            <w:vAlign w:val="center"/>
          </w:tcPr>
          <w:p w14:paraId="173EBE3B">
            <w:pPr>
              <w:rPr>
                <w:color w:val="000000"/>
              </w:rPr>
            </w:pPr>
          </w:p>
        </w:tc>
        <w:tc>
          <w:tcPr>
            <w:tcW w:w="5760" w:type="dxa"/>
            <w:tcBorders>
              <w:top w:val="single" w:color="auto" w:sz="4" w:space="0"/>
              <w:left w:val="nil"/>
              <w:bottom w:val="single" w:color="auto" w:sz="4" w:space="0"/>
              <w:right w:val="single" w:color="auto" w:sz="8" w:space="0"/>
            </w:tcBorders>
            <w:vAlign w:val="center"/>
          </w:tcPr>
          <w:p w14:paraId="180CD17D">
            <w:pPr>
              <w:rPr>
                <w:color w:val="000000"/>
              </w:rPr>
            </w:pPr>
            <w:r>
              <w:rPr>
                <w:rFonts w:hint="eastAsia"/>
                <w:color w:val="000000"/>
              </w:rPr>
              <w:t>处</w:t>
            </w:r>
            <w:r>
              <w:rPr>
                <w:color w:val="000000"/>
              </w:rPr>
              <w:t>30</w:t>
            </w:r>
            <w:r>
              <w:rPr>
                <w:rFonts w:hint="eastAsia"/>
                <w:color w:val="000000"/>
              </w:rPr>
              <w:t>万元以上</w:t>
            </w:r>
            <w:r>
              <w:rPr>
                <w:color w:val="000000"/>
              </w:rPr>
              <w:t>40</w:t>
            </w:r>
            <w:r>
              <w:rPr>
                <w:rFonts w:hint="eastAsia"/>
                <w:color w:val="000000"/>
              </w:rPr>
              <w:t>万元以下罚款</w:t>
            </w:r>
          </w:p>
        </w:tc>
      </w:tr>
      <w:tr w14:paraId="6B70C01C">
        <w:tblPrEx>
          <w:tblCellMar>
            <w:top w:w="0" w:type="dxa"/>
            <w:left w:w="108" w:type="dxa"/>
            <w:bottom w:w="0" w:type="dxa"/>
            <w:right w:w="108" w:type="dxa"/>
          </w:tblCellMar>
        </w:tblPrEx>
        <w:trPr>
          <w:trHeight w:val="294" w:hRule="atLeast"/>
        </w:trPr>
        <w:tc>
          <w:tcPr>
            <w:tcW w:w="1154" w:type="dxa"/>
            <w:vMerge w:val="continue"/>
            <w:tcBorders>
              <w:left w:val="single" w:color="auto" w:sz="8" w:space="0"/>
              <w:bottom w:val="single" w:color="auto" w:sz="4" w:space="0"/>
              <w:right w:val="single" w:color="auto" w:sz="4" w:space="0"/>
            </w:tcBorders>
            <w:vAlign w:val="center"/>
          </w:tcPr>
          <w:p w14:paraId="2417AE6F">
            <w:pPr>
              <w:rPr>
                <w:color w:val="000000"/>
              </w:rPr>
            </w:pPr>
          </w:p>
        </w:tc>
        <w:tc>
          <w:tcPr>
            <w:tcW w:w="6026" w:type="dxa"/>
            <w:tcBorders>
              <w:top w:val="single" w:color="auto" w:sz="4" w:space="0"/>
              <w:left w:val="single" w:color="auto" w:sz="4" w:space="0"/>
              <w:bottom w:val="single" w:color="auto" w:sz="4" w:space="0"/>
              <w:right w:val="single" w:color="auto" w:sz="4" w:space="0"/>
            </w:tcBorders>
            <w:vAlign w:val="center"/>
          </w:tcPr>
          <w:p w14:paraId="7E19A0BF">
            <w:pPr>
              <w:rPr>
                <w:color w:val="000000"/>
              </w:rPr>
            </w:pPr>
            <w:r>
              <w:rPr>
                <w:rFonts w:hint="eastAsia"/>
                <w:color w:val="000000"/>
              </w:rPr>
              <w:t>造成重大及以上安全事故的</w:t>
            </w:r>
          </w:p>
        </w:tc>
        <w:tc>
          <w:tcPr>
            <w:tcW w:w="1076" w:type="dxa"/>
            <w:vMerge w:val="continue"/>
            <w:tcBorders>
              <w:left w:val="single" w:color="auto" w:sz="4" w:space="0"/>
              <w:bottom w:val="single" w:color="auto" w:sz="4" w:space="0"/>
              <w:right w:val="single" w:color="auto" w:sz="4" w:space="0"/>
            </w:tcBorders>
            <w:vAlign w:val="center"/>
          </w:tcPr>
          <w:p w14:paraId="55E468F1">
            <w:pPr>
              <w:rPr>
                <w:color w:val="000000"/>
              </w:rPr>
            </w:pPr>
          </w:p>
        </w:tc>
        <w:tc>
          <w:tcPr>
            <w:tcW w:w="5760" w:type="dxa"/>
            <w:tcBorders>
              <w:top w:val="single" w:color="auto" w:sz="4" w:space="0"/>
              <w:left w:val="nil"/>
              <w:bottom w:val="single" w:color="auto" w:sz="4" w:space="0"/>
              <w:right w:val="single" w:color="auto" w:sz="8" w:space="0"/>
            </w:tcBorders>
            <w:vAlign w:val="center"/>
          </w:tcPr>
          <w:p w14:paraId="246205F0">
            <w:pPr>
              <w:rPr>
                <w:color w:val="000000"/>
              </w:rPr>
            </w:pPr>
            <w:r>
              <w:rPr>
                <w:rFonts w:hint="eastAsia"/>
                <w:color w:val="000000"/>
              </w:rPr>
              <w:t>处</w:t>
            </w:r>
            <w:r>
              <w:rPr>
                <w:color w:val="000000"/>
              </w:rPr>
              <w:t>40</w:t>
            </w:r>
            <w:r>
              <w:rPr>
                <w:rFonts w:hint="eastAsia"/>
                <w:color w:val="000000"/>
              </w:rPr>
              <w:t>万元以上</w:t>
            </w:r>
            <w:r>
              <w:rPr>
                <w:color w:val="000000"/>
              </w:rPr>
              <w:t>50</w:t>
            </w:r>
            <w:r>
              <w:rPr>
                <w:rFonts w:hint="eastAsia"/>
                <w:color w:val="000000"/>
              </w:rPr>
              <w:t>万元以下罚款</w:t>
            </w:r>
          </w:p>
        </w:tc>
      </w:tr>
    </w:tbl>
    <w:p w14:paraId="31F330A3"/>
    <w:p w14:paraId="24512779"/>
    <w:p w14:paraId="357DCD1D"/>
    <w:p w14:paraId="06F837DD"/>
    <w:p w14:paraId="3562F1C1"/>
    <w:tbl>
      <w:tblPr>
        <w:tblStyle w:val="15"/>
        <w:tblW w:w="0" w:type="auto"/>
        <w:tblInd w:w="88" w:type="dxa"/>
        <w:tblLayout w:type="fixed"/>
        <w:tblCellMar>
          <w:top w:w="0" w:type="dxa"/>
          <w:left w:w="108" w:type="dxa"/>
          <w:bottom w:w="0" w:type="dxa"/>
          <w:right w:w="108" w:type="dxa"/>
        </w:tblCellMar>
      </w:tblPr>
      <w:tblGrid>
        <w:gridCol w:w="1056"/>
        <w:gridCol w:w="6140"/>
        <w:gridCol w:w="1044"/>
        <w:gridCol w:w="5820"/>
      </w:tblGrid>
      <w:tr w14:paraId="1B9FDBB2">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EB71FE0">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526129DD">
            <w:pPr>
              <w:jc w:val="left"/>
              <w:textAlignment w:val="center"/>
              <w:rPr>
                <w:rFonts w:eastAsia="仿宋_GB2312"/>
                <w:b/>
                <w:bCs/>
                <w:color w:val="000000"/>
                <w:kern w:val="0"/>
                <w:sz w:val="18"/>
                <w:szCs w:val="18"/>
              </w:rPr>
            </w:pPr>
            <w:r>
              <w:rPr>
                <w:rFonts w:eastAsia="仿宋_GB2312"/>
                <w:color w:val="000000"/>
                <w:kern w:val="0"/>
                <w:sz w:val="20"/>
              </w:rPr>
              <w:t>320217632000</w:t>
            </w:r>
            <w:r>
              <w:rPr>
                <w:rFonts w:hint="eastAsia" w:eastAsia="仿宋_GB2312"/>
                <w:color w:val="000000"/>
                <w:kern w:val="0"/>
                <w:sz w:val="20"/>
              </w:rPr>
              <w:t xml:space="preserve"> </w:t>
            </w:r>
          </w:p>
        </w:tc>
      </w:tr>
      <w:tr w14:paraId="31E26146">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236F304">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4055AC43">
            <w:pPr>
              <w:spacing w:line="320" w:lineRule="exact"/>
              <w:rPr>
                <w:color w:val="000000"/>
                <w:kern w:val="0"/>
                <w:sz w:val="18"/>
                <w:szCs w:val="18"/>
              </w:rPr>
            </w:pPr>
            <w:r>
              <w:rPr>
                <w:rFonts w:hint="eastAsia"/>
                <w:color w:val="000000"/>
                <w:kern w:val="0"/>
                <w:sz w:val="18"/>
                <w:szCs w:val="18"/>
              </w:rPr>
              <w:t>对隐瞒有关情况或者提供虚假材料申请注册建造师注册证书的处罚</w:t>
            </w:r>
          </w:p>
        </w:tc>
      </w:tr>
      <w:tr w14:paraId="47293D1D">
        <w:tblPrEx>
          <w:tblCellMar>
            <w:top w:w="0" w:type="dxa"/>
            <w:left w:w="108" w:type="dxa"/>
            <w:bottom w:w="0" w:type="dxa"/>
            <w:right w:w="108" w:type="dxa"/>
          </w:tblCellMar>
        </w:tblPrEx>
        <w:trPr>
          <w:trHeight w:val="2580" w:hRule="atLeast"/>
        </w:trPr>
        <w:tc>
          <w:tcPr>
            <w:tcW w:w="1056" w:type="dxa"/>
            <w:tcBorders>
              <w:top w:val="nil"/>
              <w:left w:val="single" w:color="auto" w:sz="8" w:space="0"/>
              <w:bottom w:val="single" w:color="auto" w:sz="4" w:space="0"/>
              <w:right w:val="single" w:color="auto" w:sz="4" w:space="0"/>
            </w:tcBorders>
            <w:vAlign w:val="center"/>
          </w:tcPr>
          <w:p w14:paraId="1A408C67">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1C6BAF57">
            <w:pPr>
              <w:spacing w:line="32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type="textWrapping"/>
            </w: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第七条第一款第二款</w:t>
            </w:r>
            <w:r>
              <w:rPr>
                <w:color w:val="000000"/>
                <w:kern w:val="0"/>
                <w:sz w:val="18"/>
                <w:szCs w:val="18"/>
              </w:rPr>
              <w:t xml:space="preserve">  </w:t>
            </w:r>
            <w:r>
              <w:rPr>
                <w:rFonts w:hint="eastAsia"/>
                <w:color w:val="000000"/>
                <w:kern w:val="0"/>
                <w:sz w:val="18"/>
                <w:szCs w:val="18"/>
              </w:rPr>
              <w:t>取得一级建造师资格证书并受聘于一个建设工程勘察、设计、施工、监理、招标代理、造价咨询等单位的人员，应当通过聘用单位提出注册申请，并可以向单位工商注册所在地的省、自治区、直辖市人民政府住房城乡建设主管部门提交申请材料。</w:t>
            </w:r>
            <w:r>
              <w:rPr>
                <w:color w:val="000000"/>
                <w:kern w:val="0"/>
                <w:sz w:val="18"/>
                <w:szCs w:val="18"/>
              </w:rPr>
              <w:br w:type="textWrapping"/>
            </w:r>
            <w:r>
              <w:rPr>
                <w:rFonts w:hint="eastAsia"/>
                <w:color w:val="000000"/>
                <w:kern w:val="0"/>
                <w:sz w:val="18"/>
                <w:szCs w:val="18"/>
              </w:rPr>
              <w:t>　　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日内将全部申请材料报国务院住房城乡建设主管部门审批。</w:t>
            </w:r>
            <w:r>
              <w:rPr>
                <w:color w:val="000000"/>
                <w:kern w:val="0"/>
                <w:sz w:val="18"/>
                <w:szCs w:val="18"/>
              </w:rPr>
              <w:br w:type="textWrapping"/>
            </w:r>
            <w:r>
              <w:rPr>
                <w:rFonts w:hint="eastAsia"/>
                <w:color w:val="000000"/>
                <w:kern w:val="0"/>
                <w:sz w:val="18"/>
                <w:szCs w:val="18"/>
              </w:rPr>
              <w:t>第九条　取得二级建造师资格证书的人员申请注册，由省、自治区、直辖市人民政府建设主管部门负责受理和审批，具体审批程序由省、自治区、直辖市人民政府建设主管部门依法确定。对批准注册的，核发由国务院建设主管部门统一样式的《中华人民共和国二级建造师注册证书》和执业印章，并在核发证书后</w:t>
            </w:r>
            <w:r>
              <w:rPr>
                <w:color w:val="000000"/>
                <w:kern w:val="0"/>
                <w:sz w:val="18"/>
                <w:szCs w:val="18"/>
              </w:rPr>
              <w:t>30</w:t>
            </w:r>
            <w:r>
              <w:rPr>
                <w:rFonts w:hint="eastAsia"/>
                <w:color w:val="000000"/>
                <w:kern w:val="0"/>
                <w:sz w:val="18"/>
                <w:szCs w:val="18"/>
              </w:rPr>
              <w:t>日内送国务院建设主管部门备案。</w:t>
            </w:r>
            <w:r>
              <w:rPr>
                <w:color w:val="000000"/>
                <w:kern w:val="0"/>
                <w:sz w:val="18"/>
                <w:szCs w:val="18"/>
              </w:rPr>
              <w:br w:type="textWrapping"/>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隐瞒有关情况或者提供虚假材料申请注册的，建设主管部门不予受理或者不予注册，并给予警告，申请人</w:t>
            </w:r>
            <w:r>
              <w:rPr>
                <w:color w:val="000000"/>
                <w:kern w:val="0"/>
                <w:sz w:val="18"/>
                <w:szCs w:val="18"/>
              </w:rPr>
              <w:t>1</w:t>
            </w:r>
            <w:r>
              <w:rPr>
                <w:rFonts w:hint="eastAsia"/>
                <w:color w:val="000000"/>
                <w:kern w:val="0"/>
                <w:sz w:val="18"/>
                <w:szCs w:val="18"/>
              </w:rPr>
              <w:t>年内不得再次申请注册。</w:t>
            </w:r>
          </w:p>
        </w:tc>
      </w:tr>
      <w:tr w14:paraId="1EEE568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737BCD59">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643BEAB4">
            <w:pPr>
              <w:spacing w:line="320" w:lineRule="exact"/>
              <w:jc w:val="left"/>
              <w:rPr>
                <w:color w:val="000000"/>
                <w:kern w:val="0"/>
                <w:sz w:val="18"/>
                <w:szCs w:val="18"/>
              </w:rPr>
            </w:pPr>
            <w:r>
              <w:rPr>
                <w:rFonts w:hint="eastAsia"/>
                <w:color w:val="000000"/>
                <w:kern w:val="0"/>
                <w:sz w:val="18"/>
                <w:szCs w:val="18"/>
              </w:rPr>
              <w:t>警告</w:t>
            </w:r>
          </w:p>
        </w:tc>
      </w:tr>
      <w:tr w14:paraId="746411EF">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0800386F">
            <w:pPr>
              <w:spacing w:line="320" w:lineRule="exact"/>
              <w:jc w:val="center"/>
              <w:rPr>
                <w:color w:val="000000"/>
                <w:kern w:val="0"/>
                <w:sz w:val="18"/>
                <w:szCs w:val="18"/>
              </w:rPr>
            </w:pPr>
            <w:r>
              <w:rPr>
                <w:rFonts w:hint="eastAsia"/>
                <w:color w:val="000000"/>
                <w:kern w:val="0"/>
                <w:sz w:val="18"/>
                <w:szCs w:val="18"/>
              </w:rPr>
              <w:t>裁量基准</w:t>
            </w:r>
          </w:p>
        </w:tc>
      </w:tr>
      <w:tr w14:paraId="5FD52B3B">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63A5EB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AD6C9B4">
            <w:pPr>
              <w:spacing w:line="320" w:lineRule="exact"/>
              <w:jc w:val="left"/>
              <w:rPr>
                <w:color w:val="000000"/>
                <w:kern w:val="0"/>
                <w:sz w:val="18"/>
                <w:szCs w:val="18"/>
              </w:rPr>
            </w:pPr>
            <w:r>
              <w:rPr>
                <w:rFonts w:hint="eastAsia"/>
                <w:color w:val="000000"/>
                <w:kern w:val="0"/>
                <w:sz w:val="18"/>
                <w:szCs w:val="18"/>
              </w:rPr>
              <w:t>　</w:t>
            </w:r>
          </w:p>
        </w:tc>
        <w:tc>
          <w:tcPr>
            <w:tcW w:w="1044" w:type="dxa"/>
            <w:tcBorders>
              <w:top w:val="nil"/>
              <w:left w:val="nil"/>
              <w:bottom w:val="single" w:color="auto" w:sz="4" w:space="0"/>
              <w:right w:val="single" w:color="auto" w:sz="4" w:space="0"/>
            </w:tcBorders>
            <w:vAlign w:val="center"/>
          </w:tcPr>
          <w:p w14:paraId="263244AC">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3CA98CF6">
            <w:pPr>
              <w:spacing w:line="320" w:lineRule="exact"/>
              <w:jc w:val="left"/>
              <w:rPr>
                <w:color w:val="000000"/>
                <w:kern w:val="0"/>
                <w:sz w:val="18"/>
                <w:szCs w:val="18"/>
              </w:rPr>
            </w:pPr>
            <w:r>
              <w:rPr>
                <w:rFonts w:hint="eastAsia"/>
                <w:color w:val="000000"/>
                <w:kern w:val="0"/>
                <w:sz w:val="18"/>
                <w:szCs w:val="18"/>
              </w:rPr>
              <w:t>　无幅度</w:t>
            </w:r>
          </w:p>
        </w:tc>
      </w:tr>
    </w:tbl>
    <w:p w14:paraId="36E7460E"/>
    <w:p w14:paraId="1B2576B8"/>
    <w:p w14:paraId="4E25C920"/>
    <w:p w14:paraId="2AB44A9C"/>
    <w:p w14:paraId="2CD215AE"/>
    <w:p w14:paraId="5048CF17"/>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1DD13368">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2044ADCC">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47D73CBD">
            <w:pPr>
              <w:spacing w:line="320" w:lineRule="exact"/>
              <w:jc w:val="left"/>
              <w:rPr>
                <w:rFonts w:eastAsia="仿宋_GB2312"/>
                <w:b/>
                <w:color w:val="000000"/>
                <w:sz w:val="20"/>
              </w:rPr>
            </w:pPr>
            <w:r>
              <w:rPr>
                <w:rFonts w:eastAsia="仿宋_GB2312"/>
                <w:b/>
                <w:color w:val="000000"/>
                <w:sz w:val="20"/>
              </w:rPr>
              <w:t>320217633000</w:t>
            </w:r>
          </w:p>
        </w:tc>
      </w:tr>
      <w:tr w14:paraId="27FE2414">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7AB4F1D6">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33D67400">
            <w:pPr>
              <w:jc w:val="left"/>
              <w:rPr>
                <w:color w:val="000000"/>
                <w:sz w:val="20"/>
              </w:rPr>
            </w:pPr>
            <w:r>
              <w:rPr>
                <w:rFonts w:hint="eastAsia"/>
                <w:color w:val="000000"/>
                <w:sz w:val="20"/>
              </w:rPr>
              <w:t>对在城市景观照明中过度照明等超能耗标准行为的处罚</w:t>
            </w:r>
          </w:p>
        </w:tc>
      </w:tr>
      <w:tr w14:paraId="7439F11C">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291C5E16">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64CF5D6D">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br w:type="textWrapping"/>
            </w:r>
            <w:r>
              <w:rPr>
                <w:rFonts w:hint="eastAsia"/>
                <w:color w:val="000000"/>
                <w:sz w:val="20"/>
              </w:rPr>
              <w:t>第十九条　城市照明维护单位应当建立和完善分区、分时、分级的照明节能控制措施，严禁使用高耗能灯具，积极采用高效的光源和照明灯具、节能型的镇流器和控制电器以及先进的灯控方式，优先选择通过认证的高效节能产品。</w:t>
            </w:r>
          </w:p>
          <w:p w14:paraId="61FA67FB">
            <w:pPr>
              <w:spacing w:line="320" w:lineRule="exact"/>
              <w:ind w:firstLine="396"/>
              <w:jc w:val="left"/>
              <w:rPr>
                <w:color w:val="000000"/>
                <w:sz w:val="20"/>
              </w:rPr>
            </w:pPr>
            <w:r>
              <w:rPr>
                <w:rFonts w:hint="eastAsia"/>
                <w:color w:val="000000"/>
                <w:sz w:val="20"/>
              </w:rPr>
              <w:t>任何单位不得在城市景观照明中有过度照明等超能耗标准的行为。</w:t>
            </w:r>
          </w:p>
          <w:p w14:paraId="24C95570">
            <w:pPr>
              <w:spacing w:line="320" w:lineRule="exact"/>
              <w:ind w:firstLine="396"/>
              <w:jc w:val="left"/>
              <w:rPr>
                <w:color w:val="000000"/>
                <w:sz w:val="20"/>
              </w:rPr>
            </w:pPr>
            <w:r>
              <w:rPr>
                <w:rFonts w:hint="eastAsia"/>
                <w:color w:val="000000"/>
                <w:sz w:val="20"/>
              </w:rPr>
              <w:t>第三十一条</w:t>
            </w:r>
            <w:r>
              <w:rPr>
                <w:color w:val="000000"/>
                <w:sz w:val="20"/>
              </w:rPr>
              <w:t xml:space="preserve"> </w:t>
            </w:r>
            <w:r>
              <w:rPr>
                <w:rFonts w:hint="eastAsia"/>
                <w:color w:val="000000"/>
                <w:sz w:val="20"/>
              </w:rPr>
              <w:t>违反本规定，在城市景观照明中有过度照明等超能耗标准行为的，由城市照明主管部门责令限期改正；逾期未改正的，处以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w:t>
            </w:r>
          </w:p>
        </w:tc>
      </w:tr>
      <w:tr w14:paraId="43F6EF3F">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0B89E49">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31B95870">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53EC693C">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588E5C9B">
            <w:pPr>
              <w:spacing w:line="320" w:lineRule="exact"/>
              <w:jc w:val="center"/>
              <w:rPr>
                <w:color w:val="000000"/>
                <w:kern w:val="0"/>
                <w:sz w:val="18"/>
                <w:szCs w:val="18"/>
              </w:rPr>
            </w:pPr>
            <w:r>
              <w:rPr>
                <w:rFonts w:hint="eastAsia"/>
                <w:color w:val="000000"/>
                <w:kern w:val="0"/>
                <w:sz w:val="18"/>
                <w:szCs w:val="18"/>
              </w:rPr>
              <w:t>裁量基准</w:t>
            </w:r>
          </w:p>
        </w:tc>
      </w:tr>
      <w:tr w14:paraId="6DD12675">
        <w:tblPrEx>
          <w:tblCellMar>
            <w:top w:w="0" w:type="dxa"/>
            <w:left w:w="108" w:type="dxa"/>
            <w:bottom w:w="0" w:type="dxa"/>
            <w:right w:w="108" w:type="dxa"/>
          </w:tblCellMar>
        </w:tblPrEx>
        <w:trPr>
          <w:trHeight w:val="379" w:hRule="atLeast"/>
        </w:trPr>
        <w:tc>
          <w:tcPr>
            <w:tcW w:w="1070" w:type="dxa"/>
            <w:vMerge w:val="restart"/>
            <w:tcBorders>
              <w:top w:val="nil"/>
              <w:left w:val="single" w:color="auto" w:sz="8" w:space="0"/>
              <w:bottom w:val="single" w:color="auto" w:sz="4" w:space="0"/>
              <w:right w:val="single" w:color="auto" w:sz="4" w:space="0"/>
            </w:tcBorders>
            <w:vAlign w:val="center"/>
          </w:tcPr>
          <w:p w14:paraId="2FCC5CF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4360968">
            <w:pPr>
              <w:spacing w:line="320" w:lineRule="exact"/>
              <w:jc w:val="left"/>
              <w:rPr>
                <w:color w:val="000000"/>
                <w:kern w:val="0"/>
                <w:sz w:val="18"/>
                <w:szCs w:val="18"/>
              </w:rPr>
            </w:pPr>
            <w:r>
              <w:rPr>
                <w:rFonts w:hint="eastAsia"/>
                <w:color w:val="000000"/>
                <w:sz w:val="20"/>
              </w:rPr>
              <w:t>未实施照明节能控制措施造成过度照明等超能耗标准行为的</w:t>
            </w:r>
          </w:p>
        </w:tc>
        <w:tc>
          <w:tcPr>
            <w:tcW w:w="1080" w:type="dxa"/>
            <w:vMerge w:val="restart"/>
            <w:tcBorders>
              <w:top w:val="nil"/>
              <w:left w:val="single" w:color="auto" w:sz="4" w:space="0"/>
              <w:bottom w:val="single" w:color="auto" w:sz="4" w:space="0"/>
              <w:right w:val="single" w:color="auto" w:sz="4" w:space="0"/>
            </w:tcBorders>
            <w:vAlign w:val="center"/>
          </w:tcPr>
          <w:p w14:paraId="21F6FF26">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351BE24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7AD259E6">
        <w:tblPrEx>
          <w:tblCellMar>
            <w:top w:w="0" w:type="dxa"/>
            <w:left w:w="108" w:type="dxa"/>
            <w:bottom w:w="0" w:type="dxa"/>
            <w:right w:w="108" w:type="dxa"/>
          </w:tblCellMar>
        </w:tblPrEx>
        <w:trPr>
          <w:trHeight w:val="413" w:hRule="atLeast"/>
        </w:trPr>
        <w:tc>
          <w:tcPr>
            <w:tcW w:w="1070" w:type="dxa"/>
            <w:vMerge w:val="continue"/>
            <w:tcBorders>
              <w:top w:val="nil"/>
              <w:left w:val="single" w:color="auto" w:sz="8" w:space="0"/>
              <w:bottom w:val="single" w:color="auto" w:sz="4" w:space="0"/>
              <w:right w:val="single" w:color="auto" w:sz="4" w:space="0"/>
            </w:tcBorders>
            <w:vAlign w:val="center"/>
          </w:tcPr>
          <w:p w14:paraId="4D42DF73">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CC8D9AB">
            <w:pPr>
              <w:spacing w:line="320" w:lineRule="exact"/>
              <w:jc w:val="left"/>
              <w:rPr>
                <w:color w:val="000000"/>
                <w:kern w:val="0"/>
                <w:sz w:val="18"/>
                <w:szCs w:val="18"/>
              </w:rPr>
            </w:pPr>
            <w:r>
              <w:rPr>
                <w:rFonts w:hint="eastAsia"/>
                <w:color w:val="000000"/>
                <w:sz w:val="20"/>
              </w:rPr>
              <w:t>未制定照明节能控制措施造成过度照明等超能耗标准行为的</w:t>
            </w:r>
          </w:p>
        </w:tc>
        <w:tc>
          <w:tcPr>
            <w:tcW w:w="1080" w:type="dxa"/>
            <w:vMerge w:val="continue"/>
            <w:tcBorders>
              <w:top w:val="nil"/>
              <w:left w:val="single" w:color="auto" w:sz="4" w:space="0"/>
              <w:bottom w:val="single" w:color="auto" w:sz="4" w:space="0"/>
              <w:right w:val="single" w:color="auto" w:sz="4" w:space="0"/>
            </w:tcBorders>
            <w:vAlign w:val="center"/>
          </w:tcPr>
          <w:p w14:paraId="24840EEE">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7071FA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7A3F222">
        <w:tblPrEx>
          <w:tblCellMar>
            <w:top w:w="0" w:type="dxa"/>
            <w:left w:w="108" w:type="dxa"/>
            <w:bottom w:w="0" w:type="dxa"/>
            <w:right w:w="108" w:type="dxa"/>
          </w:tblCellMar>
        </w:tblPrEx>
        <w:trPr>
          <w:trHeight w:val="480" w:hRule="atLeast"/>
        </w:trPr>
        <w:tc>
          <w:tcPr>
            <w:tcW w:w="1070" w:type="dxa"/>
            <w:vMerge w:val="continue"/>
            <w:tcBorders>
              <w:top w:val="nil"/>
              <w:left w:val="single" w:color="auto" w:sz="8" w:space="0"/>
              <w:bottom w:val="single" w:color="auto" w:sz="4" w:space="0"/>
              <w:right w:val="single" w:color="auto" w:sz="4" w:space="0"/>
            </w:tcBorders>
            <w:vAlign w:val="center"/>
          </w:tcPr>
          <w:p w14:paraId="52335999">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A210C0C">
            <w:pPr>
              <w:spacing w:line="320" w:lineRule="exact"/>
              <w:jc w:val="left"/>
              <w:rPr>
                <w:color w:val="000000"/>
                <w:kern w:val="0"/>
                <w:sz w:val="18"/>
                <w:szCs w:val="18"/>
              </w:rPr>
            </w:pPr>
            <w:r>
              <w:rPr>
                <w:rFonts w:hint="eastAsia"/>
                <w:color w:val="000000"/>
                <w:sz w:val="20"/>
              </w:rPr>
              <w:t>使用高耗能灯具的</w:t>
            </w:r>
          </w:p>
        </w:tc>
        <w:tc>
          <w:tcPr>
            <w:tcW w:w="1080" w:type="dxa"/>
            <w:vMerge w:val="continue"/>
            <w:tcBorders>
              <w:top w:val="nil"/>
              <w:left w:val="single" w:color="auto" w:sz="4" w:space="0"/>
              <w:bottom w:val="single" w:color="auto" w:sz="4" w:space="0"/>
              <w:right w:val="single" w:color="auto" w:sz="4" w:space="0"/>
            </w:tcBorders>
            <w:vAlign w:val="center"/>
          </w:tcPr>
          <w:p w14:paraId="25275ECF">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7AF85B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09B9EE1B"/>
    <w:p w14:paraId="40A5D034"/>
    <w:p w14:paraId="5EE65DF6"/>
    <w:p w14:paraId="4FEE1CAC"/>
    <w:p w14:paraId="6DFA66E1"/>
    <w:p w14:paraId="7D518020"/>
    <w:p w14:paraId="6FFB47C3"/>
    <w:p w14:paraId="1D1E6764"/>
    <w:tbl>
      <w:tblPr>
        <w:tblStyle w:val="15"/>
        <w:tblW w:w="0" w:type="auto"/>
        <w:tblInd w:w="88" w:type="dxa"/>
        <w:tblLayout w:type="fixed"/>
        <w:tblCellMar>
          <w:top w:w="0" w:type="dxa"/>
          <w:left w:w="108" w:type="dxa"/>
          <w:bottom w:w="0" w:type="dxa"/>
          <w:right w:w="108" w:type="dxa"/>
        </w:tblCellMar>
      </w:tblPr>
      <w:tblGrid>
        <w:gridCol w:w="996"/>
        <w:gridCol w:w="5701"/>
        <w:gridCol w:w="1139"/>
        <w:gridCol w:w="6180"/>
      </w:tblGrid>
      <w:tr w14:paraId="23C0ECA1">
        <w:tblPrEx>
          <w:tblCellMar>
            <w:top w:w="0" w:type="dxa"/>
            <w:left w:w="108" w:type="dxa"/>
            <w:bottom w:w="0" w:type="dxa"/>
            <w:right w:w="108" w:type="dxa"/>
          </w:tblCellMar>
        </w:tblPrEx>
        <w:trPr>
          <w:trHeight w:val="285" w:hRule="atLeast"/>
        </w:trPr>
        <w:tc>
          <w:tcPr>
            <w:tcW w:w="996" w:type="dxa"/>
            <w:tcBorders>
              <w:top w:val="single" w:color="auto" w:sz="8" w:space="0"/>
              <w:left w:val="single" w:color="auto" w:sz="8" w:space="0"/>
              <w:bottom w:val="single" w:color="auto" w:sz="4" w:space="0"/>
              <w:right w:val="single" w:color="auto" w:sz="4" w:space="0"/>
            </w:tcBorders>
            <w:vAlign w:val="center"/>
          </w:tcPr>
          <w:p w14:paraId="093A9C13">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4D9ABFCF">
            <w:pPr>
              <w:spacing w:line="320" w:lineRule="exact"/>
              <w:jc w:val="left"/>
              <w:rPr>
                <w:rFonts w:eastAsia="仿宋_GB2312"/>
                <w:b/>
                <w:bCs/>
                <w:color w:val="000000"/>
                <w:kern w:val="0"/>
                <w:sz w:val="18"/>
                <w:szCs w:val="18"/>
              </w:rPr>
            </w:pPr>
            <w:r>
              <w:rPr>
                <w:rFonts w:eastAsia="仿宋_GB2312"/>
                <w:b/>
                <w:bCs/>
                <w:color w:val="000000"/>
                <w:kern w:val="0"/>
                <w:sz w:val="18"/>
                <w:szCs w:val="18"/>
              </w:rPr>
              <w:t>320217634000</w:t>
            </w:r>
            <w:r>
              <w:rPr>
                <w:rFonts w:hint="eastAsia" w:eastAsia="仿宋_GB2312"/>
                <w:b/>
                <w:bCs/>
                <w:color w:val="000000"/>
                <w:kern w:val="0"/>
                <w:sz w:val="18"/>
                <w:szCs w:val="18"/>
              </w:rPr>
              <w:t xml:space="preserve"> </w:t>
            </w:r>
          </w:p>
        </w:tc>
      </w:tr>
      <w:tr w14:paraId="6F6C44F7">
        <w:tblPrEx>
          <w:tblCellMar>
            <w:top w:w="0" w:type="dxa"/>
            <w:left w:w="108" w:type="dxa"/>
            <w:bottom w:w="0" w:type="dxa"/>
            <w:right w:w="108" w:type="dxa"/>
          </w:tblCellMar>
        </w:tblPrEx>
        <w:trPr>
          <w:trHeight w:val="285" w:hRule="atLeast"/>
        </w:trPr>
        <w:tc>
          <w:tcPr>
            <w:tcW w:w="996" w:type="dxa"/>
            <w:tcBorders>
              <w:top w:val="nil"/>
              <w:left w:val="single" w:color="auto" w:sz="8" w:space="0"/>
              <w:bottom w:val="single" w:color="auto" w:sz="4" w:space="0"/>
              <w:right w:val="single" w:color="auto" w:sz="4" w:space="0"/>
            </w:tcBorders>
            <w:vAlign w:val="center"/>
          </w:tcPr>
          <w:p w14:paraId="5534F258">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color="auto" w:sz="4" w:space="0"/>
              <w:left w:val="nil"/>
              <w:bottom w:val="single" w:color="auto" w:sz="4" w:space="0"/>
              <w:right w:val="single" w:color="000000" w:sz="8" w:space="0"/>
            </w:tcBorders>
            <w:vAlign w:val="center"/>
          </w:tcPr>
          <w:p w14:paraId="331789B3">
            <w:pPr>
              <w:spacing w:line="320" w:lineRule="exact"/>
              <w:jc w:val="left"/>
              <w:rPr>
                <w:color w:val="000000"/>
                <w:kern w:val="0"/>
                <w:sz w:val="18"/>
                <w:szCs w:val="18"/>
              </w:rPr>
            </w:pPr>
            <w:r>
              <w:rPr>
                <w:rFonts w:hint="eastAsia"/>
                <w:color w:val="000000"/>
                <w:kern w:val="0"/>
                <w:sz w:val="18"/>
                <w:szCs w:val="18"/>
              </w:rPr>
              <w:t>对毁损、覆盖、涂改、擅自拆除或者移动燃气设施安全警示标志的处罚</w:t>
            </w:r>
          </w:p>
        </w:tc>
      </w:tr>
      <w:tr w14:paraId="1F936F90">
        <w:tblPrEx>
          <w:tblCellMar>
            <w:top w:w="0" w:type="dxa"/>
            <w:left w:w="108" w:type="dxa"/>
            <w:bottom w:w="0" w:type="dxa"/>
            <w:right w:w="108" w:type="dxa"/>
          </w:tblCellMar>
        </w:tblPrEx>
        <w:trPr>
          <w:trHeight w:val="1110" w:hRule="atLeast"/>
        </w:trPr>
        <w:tc>
          <w:tcPr>
            <w:tcW w:w="996" w:type="dxa"/>
            <w:tcBorders>
              <w:top w:val="nil"/>
              <w:left w:val="single" w:color="auto" w:sz="8" w:space="0"/>
              <w:bottom w:val="single" w:color="auto" w:sz="4" w:space="0"/>
              <w:right w:val="single" w:color="auto" w:sz="4" w:space="0"/>
            </w:tcBorders>
            <w:vAlign w:val="center"/>
          </w:tcPr>
          <w:p w14:paraId="17B079CA">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202D7D35">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14:paraId="381151C6">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任何单位和个人不得侵占、毁损、擅自拆除或者移动燃气设施，不得毁损、覆盖、涂改、擅自拆除或者移动燃气设施安全警示标志。</w:t>
            </w:r>
          </w:p>
          <w:p w14:paraId="426E4D53">
            <w:pPr>
              <w:spacing w:line="320" w:lineRule="exact"/>
              <w:jc w:val="left"/>
              <w:rPr>
                <w:color w:val="000000"/>
                <w:kern w:val="0"/>
                <w:sz w:val="18"/>
                <w:szCs w:val="18"/>
              </w:rPr>
            </w:pPr>
            <w:r>
              <w:rPr>
                <w:rFonts w:hint="eastAsia"/>
                <w:color w:val="000000"/>
                <w:kern w:val="0"/>
                <w:sz w:val="18"/>
                <w:szCs w:val="18"/>
              </w:rPr>
              <w:t>第五十一条第二款</w:t>
            </w:r>
            <w:r>
              <w:rPr>
                <w:color w:val="000000"/>
                <w:kern w:val="0"/>
                <w:sz w:val="18"/>
                <w:szCs w:val="18"/>
              </w:rPr>
              <w:t xml:space="preserve">  </w:t>
            </w:r>
            <w:r>
              <w:rPr>
                <w:rFonts w:hint="eastAsia"/>
                <w:color w:val="000000"/>
                <w:kern w:val="0"/>
                <w:sz w:val="18"/>
                <w:szCs w:val="18"/>
              </w:rPr>
              <w:t>违反本条例规定，毁损、覆盖、涂改、擅自拆除或者移动燃气设施安全警示标志的，由燃气管理部门责令限期改正，恢复原状，可以处</w:t>
            </w:r>
            <w:r>
              <w:rPr>
                <w:color w:val="000000"/>
                <w:kern w:val="0"/>
                <w:sz w:val="18"/>
                <w:szCs w:val="18"/>
              </w:rPr>
              <w:t>5000</w:t>
            </w:r>
            <w:r>
              <w:rPr>
                <w:rFonts w:hint="eastAsia"/>
                <w:color w:val="000000"/>
                <w:kern w:val="0"/>
                <w:sz w:val="18"/>
                <w:szCs w:val="18"/>
              </w:rPr>
              <w:t>元以下罚款。</w:t>
            </w:r>
          </w:p>
        </w:tc>
      </w:tr>
      <w:tr w14:paraId="7DCCA913">
        <w:tblPrEx>
          <w:tblCellMar>
            <w:top w:w="0" w:type="dxa"/>
            <w:left w:w="108" w:type="dxa"/>
            <w:bottom w:w="0" w:type="dxa"/>
            <w:right w:w="108" w:type="dxa"/>
          </w:tblCellMar>
        </w:tblPrEx>
        <w:trPr>
          <w:trHeight w:val="285" w:hRule="atLeast"/>
        </w:trPr>
        <w:tc>
          <w:tcPr>
            <w:tcW w:w="996" w:type="dxa"/>
            <w:tcBorders>
              <w:top w:val="nil"/>
              <w:left w:val="single" w:color="auto" w:sz="8" w:space="0"/>
              <w:bottom w:val="single" w:color="auto" w:sz="4" w:space="0"/>
              <w:right w:val="single" w:color="auto" w:sz="4" w:space="0"/>
            </w:tcBorders>
            <w:vAlign w:val="center"/>
          </w:tcPr>
          <w:p w14:paraId="33081F2D">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5C7F6F1A">
            <w:pPr>
              <w:spacing w:line="320" w:lineRule="exact"/>
              <w:jc w:val="left"/>
              <w:rPr>
                <w:color w:val="000000"/>
                <w:kern w:val="0"/>
                <w:sz w:val="18"/>
                <w:szCs w:val="18"/>
              </w:rPr>
            </w:pPr>
            <w:r>
              <w:rPr>
                <w:rFonts w:hint="eastAsia"/>
                <w:color w:val="000000"/>
                <w:kern w:val="0"/>
                <w:sz w:val="18"/>
                <w:szCs w:val="18"/>
              </w:rPr>
              <w:t>罚款</w:t>
            </w:r>
          </w:p>
        </w:tc>
      </w:tr>
      <w:tr w14:paraId="0F2604B1">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13268AE">
            <w:pPr>
              <w:spacing w:line="320" w:lineRule="exact"/>
              <w:jc w:val="center"/>
              <w:rPr>
                <w:color w:val="000000"/>
                <w:kern w:val="0"/>
                <w:sz w:val="18"/>
                <w:szCs w:val="18"/>
              </w:rPr>
            </w:pPr>
            <w:r>
              <w:rPr>
                <w:rFonts w:hint="eastAsia"/>
                <w:color w:val="000000"/>
                <w:kern w:val="0"/>
                <w:sz w:val="18"/>
                <w:szCs w:val="18"/>
              </w:rPr>
              <w:t>裁量基准</w:t>
            </w:r>
          </w:p>
        </w:tc>
      </w:tr>
      <w:tr w14:paraId="4FA269FC">
        <w:tblPrEx>
          <w:tblCellMar>
            <w:top w:w="0" w:type="dxa"/>
            <w:left w:w="108" w:type="dxa"/>
            <w:bottom w:w="0" w:type="dxa"/>
            <w:right w:w="108" w:type="dxa"/>
          </w:tblCellMar>
        </w:tblPrEx>
        <w:trPr>
          <w:trHeight w:val="285" w:hRule="atLeast"/>
        </w:trPr>
        <w:tc>
          <w:tcPr>
            <w:tcW w:w="996" w:type="dxa"/>
            <w:vMerge w:val="restart"/>
            <w:tcBorders>
              <w:top w:val="nil"/>
              <w:left w:val="single" w:color="auto" w:sz="8" w:space="0"/>
              <w:bottom w:val="single" w:color="auto" w:sz="4" w:space="0"/>
              <w:right w:val="single" w:color="auto" w:sz="4" w:space="0"/>
            </w:tcBorders>
            <w:vAlign w:val="center"/>
          </w:tcPr>
          <w:p w14:paraId="3C50A020">
            <w:pPr>
              <w:spacing w:line="320" w:lineRule="exact"/>
              <w:jc w:val="center"/>
              <w:rPr>
                <w:color w:val="000000"/>
                <w:kern w:val="0"/>
                <w:sz w:val="18"/>
                <w:szCs w:val="18"/>
              </w:rPr>
            </w:pPr>
            <w:r>
              <w:rPr>
                <w:rFonts w:hint="eastAsia"/>
                <w:color w:val="000000"/>
                <w:kern w:val="0"/>
                <w:sz w:val="18"/>
                <w:szCs w:val="18"/>
              </w:rPr>
              <w:t>情形描述</w:t>
            </w:r>
          </w:p>
        </w:tc>
        <w:tc>
          <w:tcPr>
            <w:tcW w:w="5701" w:type="dxa"/>
            <w:tcBorders>
              <w:top w:val="single" w:color="auto" w:sz="4" w:space="0"/>
              <w:left w:val="nil"/>
              <w:bottom w:val="single" w:color="auto" w:sz="4" w:space="0"/>
              <w:right w:val="single" w:color="auto" w:sz="4" w:space="0"/>
            </w:tcBorders>
            <w:vAlign w:val="center"/>
          </w:tcPr>
          <w:p w14:paraId="27DFE3AD">
            <w:pPr>
              <w:spacing w:line="320" w:lineRule="exact"/>
              <w:jc w:val="left"/>
              <w:rPr>
                <w:color w:val="000000"/>
                <w:kern w:val="0"/>
                <w:sz w:val="18"/>
                <w:szCs w:val="18"/>
              </w:rPr>
            </w:pPr>
            <w:r>
              <w:rPr>
                <w:rFonts w:hint="eastAsia"/>
                <w:color w:val="000000"/>
                <w:kern w:val="0"/>
                <w:sz w:val="18"/>
                <w:szCs w:val="18"/>
              </w:rPr>
              <w:t>按照要求改正</w:t>
            </w:r>
          </w:p>
        </w:tc>
        <w:tc>
          <w:tcPr>
            <w:tcW w:w="1139" w:type="dxa"/>
            <w:vMerge w:val="restart"/>
            <w:tcBorders>
              <w:top w:val="nil"/>
              <w:left w:val="single" w:color="auto" w:sz="4" w:space="0"/>
              <w:bottom w:val="single" w:color="auto" w:sz="4" w:space="0"/>
              <w:right w:val="single" w:color="auto" w:sz="4" w:space="0"/>
            </w:tcBorders>
            <w:vAlign w:val="center"/>
          </w:tcPr>
          <w:p w14:paraId="00690F1D">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1DE2039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元以下罚款</w:t>
            </w:r>
          </w:p>
        </w:tc>
      </w:tr>
      <w:tr w14:paraId="477CF597">
        <w:tblPrEx>
          <w:tblCellMar>
            <w:top w:w="0" w:type="dxa"/>
            <w:left w:w="108" w:type="dxa"/>
            <w:bottom w:w="0" w:type="dxa"/>
            <w:right w:w="108" w:type="dxa"/>
          </w:tblCellMar>
        </w:tblPrEx>
        <w:trPr>
          <w:trHeight w:val="285" w:hRule="atLeast"/>
        </w:trPr>
        <w:tc>
          <w:tcPr>
            <w:tcW w:w="996" w:type="dxa"/>
            <w:vMerge w:val="continue"/>
            <w:tcBorders>
              <w:top w:val="nil"/>
              <w:left w:val="single" w:color="auto" w:sz="8" w:space="0"/>
              <w:bottom w:val="single" w:color="auto" w:sz="4" w:space="0"/>
              <w:right w:val="single" w:color="auto" w:sz="4" w:space="0"/>
            </w:tcBorders>
            <w:vAlign w:val="center"/>
          </w:tcPr>
          <w:p w14:paraId="043A161C">
            <w:pPr>
              <w:spacing w:line="320" w:lineRule="exact"/>
              <w:jc w:val="left"/>
              <w:rPr>
                <w:color w:val="000000"/>
                <w:kern w:val="0"/>
                <w:sz w:val="18"/>
                <w:szCs w:val="18"/>
              </w:rPr>
            </w:pPr>
          </w:p>
        </w:tc>
        <w:tc>
          <w:tcPr>
            <w:tcW w:w="5701" w:type="dxa"/>
            <w:tcBorders>
              <w:top w:val="single" w:color="auto" w:sz="4" w:space="0"/>
              <w:left w:val="nil"/>
              <w:bottom w:val="single" w:color="auto" w:sz="4" w:space="0"/>
              <w:right w:val="single" w:color="auto" w:sz="4" w:space="0"/>
            </w:tcBorders>
            <w:vAlign w:val="center"/>
          </w:tcPr>
          <w:p w14:paraId="70A07494">
            <w:pPr>
              <w:spacing w:line="320" w:lineRule="exact"/>
              <w:jc w:val="left"/>
              <w:rPr>
                <w:color w:val="000000"/>
                <w:kern w:val="0"/>
                <w:sz w:val="18"/>
                <w:szCs w:val="18"/>
              </w:rPr>
            </w:pPr>
            <w:r>
              <w:rPr>
                <w:rFonts w:hint="eastAsia"/>
                <w:color w:val="000000"/>
                <w:kern w:val="0"/>
                <w:sz w:val="18"/>
                <w:szCs w:val="18"/>
              </w:rPr>
              <w:t>未按照要求改正</w:t>
            </w:r>
          </w:p>
        </w:tc>
        <w:tc>
          <w:tcPr>
            <w:tcW w:w="1139" w:type="dxa"/>
            <w:vMerge w:val="continue"/>
            <w:tcBorders>
              <w:top w:val="nil"/>
              <w:left w:val="single" w:color="auto" w:sz="4" w:space="0"/>
              <w:bottom w:val="single" w:color="auto" w:sz="4" w:space="0"/>
              <w:right w:val="single" w:color="auto" w:sz="4" w:space="0"/>
            </w:tcBorders>
            <w:vAlign w:val="center"/>
          </w:tcPr>
          <w:p w14:paraId="2F9589A1">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790FFE2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3DEFE083"/>
    <w:p w14:paraId="0E04A9BD"/>
    <w:p w14:paraId="36F72581"/>
    <w:p w14:paraId="327478B0"/>
    <w:p w14:paraId="200B16AB"/>
    <w:p w14:paraId="23DE1437"/>
    <w:p w14:paraId="4661387B"/>
    <w:p w14:paraId="0CD16A23"/>
    <w:p w14:paraId="62F7DC77"/>
    <w:p w14:paraId="57F44685"/>
    <w:p w14:paraId="49D4F657"/>
    <w:p w14:paraId="53CBB7AF"/>
    <w:tbl>
      <w:tblPr>
        <w:tblStyle w:val="15"/>
        <w:tblW w:w="0" w:type="auto"/>
        <w:tblInd w:w="88" w:type="dxa"/>
        <w:tblLayout w:type="fixed"/>
        <w:tblCellMar>
          <w:top w:w="0" w:type="dxa"/>
          <w:left w:w="108" w:type="dxa"/>
          <w:bottom w:w="0" w:type="dxa"/>
          <w:right w:w="108" w:type="dxa"/>
        </w:tblCellMar>
      </w:tblPr>
      <w:tblGrid>
        <w:gridCol w:w="996"/>
        <w:gridCol w:w="5701"/>
        <w:gridCol w:w="1139"/>
        <w:gridCol w:w="6180"/>
      </w:tblGrid>
      <w:tr w14:paraId="5A2472AC">
        <w:tblPrEx>
          <w:tblCellMar>
            <w:top w:w="0" w:type="dxa"/>
            <w:left w:w="108" w:type="dxa"/>
            <w:bottom w:w="0" w:type="dxa"/>
            <w:right w:w="108" w:type="dxa"/>
          </w:tblCellMar>
        </w:tblPrEx>
        <w:trPr>
          <w:trHeight w:val="285" w:hRule="atLeast"/>
        </w:trPr>
        <w:tc>
          <w:tcPr>
            <w:tcW w:w="996" w:type="dxa"/>
            <w:tcBorders>
              <w:top w:val="single" w:color="auto" w:sz="8" w:space="0"/>
              <w:left w:val="single" w:color="auto" w:sz="8" w:space="0"/>
              <w:bottom w:val="single" w:color="auto" w:sz="4" w:space="0"/>
              <w:right w:val="single" w:color="auto" w:sz="4" w:space="0"/>
            </w:tcBorders>
            <w:vAlign w:val="center"/>
          </w:tcPr>
          <w:p w14:paraId="0F579619">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color="auto" w:sz="8" w:space="0"/>
              <w:left w:val="nil"/>
              <w:bottom w:val="single" w:color="auto" w:sz="4" w:space="0"/>
              <w:right w:val="single" w:color="000000" w:sz="8" w:space="0"/>
            </w:tcBorders>
            <w:vAlign w:val="center"/>
          </w:tcPr>
          <w:p w14:paraId="11854496">
            <w:pPr>
              <w:spacing w:line="320" w:lineRule="exact"/>
              <w:jc w:val="left"/>
              <w:rPr>
                <w:rFonts w:eastAsia="仿宋_GB2312"/>
                <w:b/>
                <w:bCs/>
                <w:color w:val="000000"/>
                <w:kern w:val="0"/>
                <w:sz w:val="18"/>
                <w:szCs w:val="18"/>
              </w:rPr>
            </w:pPr>
            <w:r>
              <w:rPr>
                <w:rFonts w:eastAsia="仿宋_GB2312"/>
                <w:b/>
                <w:bCs/>
                <w:color w:val="000000"/>
                <w:kern w:val="0"/>
                <w:sz w:val="18"/>
                <w:szCs w:val="18"/>
              </w:rPr>
              <w:t>320217635000</w:t>
            </w:r>
            <w:r>
              <w:rPr>
                <w:rFonts w:hint="eastAsia" w:eastAsia="仿宋_GB2312"/>
                <w:b/>
                <w:bCs/>
                <w:color w:val="000000"/>
                <w:kern w:val="0"/>
                <w:sz w:val="18"/>
                <w:szCs w:val="18"/>
              </w:rPr>
              <w:t xml:space="preserve"> </w:t>
            </w:r>
          </w:p>
        </w:tc>
      </w:tr>
      <w:tr w14:paraId="77F7A2F2">
        <w:tblPrEx>
          <w:tblCellMar>
            <w:top w:w="0" w:type="dxa"/>
            <w:left w:w="108" w:type="dxa"/>
            <w:bottom w:w="0" w:type="dxa"/>
            <w:right w:w="108" w:type="dxa"/>
          </w:tblCellMar>
        </w:tblPrEx>
        <w:trPr>
          <w:trHeight w:val="540" w:hRule="atLeast"/>
        </w:trPr>
        <w:tc>
          <w:tcPr>
            <w:tcW w:w="996" w:type="dxa"/>
            <w:tcBorders>
              <w:top w:val="nil"/>
              <w:left w:val="single" w:color="auto" w:sz="8" w:space="0"/>
              <w:bottom w:val="single" w:color="auto" w:sz="4" w:space="0"/>
              <w:right w:val="single" w:color="auto" w:sz="4" w:space="0"/>
            </w:tcBorders>
            <w:vAlign w:val="center"/>
          </w:tcPr>
          <w:p w14:paraId="4016B563">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color="auto" w:sz="4" w:space="0"/>
              <w:left w:val="nil"/>
              <w:bottom w:val="single" w:color="auto" w:sz="4" w:space="0"/>
              <w:right w:val="single" w:color="000000" w:sz="8" w:space="0"/>
            </w:tcBorders>
            <w:vAlign w:val="center"/>
          </w:tcPr>
          <w:p w14:paraId="46E5DAC9">
            <w:pPr>
              <w:spacing w:line="320" w:lineRule="exact"/>
              <w:jc w:val="left"/>
              <w:rPr>
                <w:color w:val="000000"/>
                <w:kern w:val="0"/>
                <w:sz w:val="18"/>
                <w:szCs w:val="18"/>
              </w:rPr>
            </w:pPr>
            <w:r>
              <w:rPr>
                <w:rFonts w:hint="eastAsia"/>
                <w:color w:val="000000"/>
                <w:kern w:val="0"/>
                <w:sz w:val="18"/>
                <w:szCs w:val="18"/>
              </w:rPr>
              <w:t>对建设工程施工范围内有地下燃气管线等重要燃气设施，建设单位未会同施工单位与管道燃气经营者共同制定燃气设施保护方案，或者建设单位、施工单位未采取相应的安全保护措施的处罚</w:t>
            </w:r>
          </w:p>
        </w:tc>
      </w:tr>
      <w:tr w14:paraId="11887F39">
        <w:tblPrEx>
          <w:tblCellMar>
            <w:top w:w="0" w:type="dxa"/>
            <w:left w:w="108" w:type="dxa"/>
            <w:bottom w:w="0" w:type="dxa"/>
            <w:right w:w="108" w:type="dxa"/>
          </w:tblCellMar>
        </w:tblPrEx>
        <w:trPr>
          <w:trHeight w:val="1785" w:hRule="atLeast"/>
        </w:trPr>
        <w:tc>
          <w:tcPr>
            <w:tcW w:w="996" w:type="dxa"/>
            <w:tcBorders>
              <w:top w:val="nil"/>
              <w:left w:val="single" w:color="auto" w:sz="8" w:space="0"/>
              <w:bottom w:val="single" w:color="auto" w:sz="4" w:space="0"/>
              <w:right w:val="single" w:color="auto" w:sz="4" w:space="0"/>
            </w:tcBorders>
            <w:vAlign w:val="center"/>
          </w:tcPr>
          <w:p w14:paraId="2B011AC8">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color="auto" w:sz="4" w:space="0"/>
              <w:left w:val="nil"/>
              <w:bottom w:val="single" w:color="auto" w:sz="4" w:space="0"/>
              <w:right w:val="single" w:color="000000" w:sz="8" w:space="0"/>
            </w:tcBorders>
            <w:vAlign w:val="center"/>
          </w:tcPr>
          <w:p w14:paraId="3D478F78">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14:paraId="5D204BD8">
            <w:pPr>
              <w:spacing w:line="320" w:lineRule="exact"/>
              <w:jc w:val="left"/>
              <w:rPr>
                <w:color w:val="000000"/>
                <w:kern w:val="0"/>
                <w:sz w:val="18"/>
                <w:szCs w:val="18"/>
              </w:rPr>
            </w:pPr>
            <w:r>
              <w:rPr>
                <w:rFonts w:hint="eastAsia"/>
                <w:color w:val="000000"/>
                <w:kern w:val="0"/>
                <w:sz w:val="18"/>
                <w:szCs w:val="18"/>
              </w:rPr>
              <w:t>第三十七条第三款</w:t>
            </w:r>
            <w:r>
              <w:rPr>
                <w:color w:val="000000"/>
                <w:kern w:val="0"/>
                <w:sz w:val="18"/>
                <w:szCs w:val="18"/>
              </w:rPr>
              <w:t xml:space="preserve">  </w:t>
            </w:r>
            <w:r>
              <w:rPr>
                <w:rFonts w:hint="eastAsia"/>
                <w:color w:val="000000"/>
                <w:kern w:val="0"/>
                <w:sz w:val="18"/>
                <w:szCs w:val="18"/>
              </w:rPr>
              <w:t>建设工程施工范围内有地下燃气管线等重要燃气设施的，建设单位应当会同施工单位与管道燃气经营者共同制定燃气设施保护方案。建设单位、施工单位应当采取相应的安全保护措施，确保燃气设施运行安全；管道燃气经营者应当派专业人员进行现场指导。法律、法规另有规定的，依照有关法律、法规的规定执行。</w:t>
            </w:r>
          </w:p>
          <w:p w14:paraId="09448938">
            <w:pPr>
              <w:spacing w:line="320" w:lineRule="exact"/>
              <w:jc w:val="left"/>
              <w:rPr>
                <w:color w:val="000000"/>
                <w:kern w:val="0"/>
                <w:sz w:val="18"/>
                <w:szCs w:val="18"/>
              </w:rPr>
            </w:pPr>
            <w:r>
              <w:rPr>
                <w:rFonts w:hint="eastAsia"/>
                <w:color w:val="000000"/>
                <w:kern w:val="0"/>
                <w:sz w:val="18"/>
                <w:szCs w:val="18"/>
              </w:rPr>
              <w:t>第五十二条</w:t>
            </w:r>
            <w:r>
              <w:rPr>
                <w:color w:val="000000"/>
                <w:kern w:val="0"/>
                <w:sz w:val="18"/>
                <w:szCs w:val="18"/>
              </w:rPr>
              <w:t xml:space="preserve"> </w:t>
            </w:r>
            <w:r>
              <w:rPr>
                <w:rFonts w:hint="eastAsia"/>
                <w:color w:val="000000"/>
                <w:kern w:val="0"/>
                <w:sz w:val="18"/>
                <w:szCs w:val="18"/>
              </w:rPr>
              <w:t>违反本条例规定，建设工程施工范围内有地下燃气管线等重要燃气设施，建设单位未会同施工单位与管道燃气经营者共同制定燃气设施保护方案，或者建设单位、施工单位未采取相应的安全保护措施的，由燃气管理部门责令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万元以下罚款；造成损失的，依法承担赔偿责任；构成犯罪的，依法追究刑事责任。</w:t>
            </w:r>
          </w:p>
        </w:tc>
      </w:tr>
      <w:tr w14:paraId="2B29A2F2">
        <w:tblPrEx>
          <w:tblCellMar>
            <w:top w:w="0" w:type="dxa"/>
            <w:left w:w="108" w:type="dxa"/>
            <w:bottom w:w="0" w:type="dxa"/>
            <w:right w:w="108" w:type="dxa"/>
          </w:tblCellMar>
        </w:tblPrEx>
        <w:trPr>
          <w:trHeight w:val="285" w:hRule="atLeast"/>
        </w:trPr>
        <w:tc>
          <w:tcPr>
            <w:tcW w:w="996" w:type="dxa"/>
            <w:tcBorders>
              <w:top w:val="nil"/>
              <w:left w:val="single" w:color="auto" w:sz="8" w:space="0"/>
              <w:bottom w:val="single" w:color="auto" w:sz="4" w:space="0"/>
              <w:right w:val="single" w:color="auto" w:sz="4" w:space="0"/>
            </w:tcBorders>
            <w:vAlign w:val="center"/>
          </w:tcPr>
          <w:p w14:paraId="02CEAE46">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color="auto" w:sz="4" w:space="0"/>
              <w:left w:val="nil"/>
              <w:bottom w:val="single" w:color="auto" w:sz="4" w:space="0"/>
              <w:right w:val="single" w:color="000000" w:sz="8" w:space="0"/>
            </w:tcBorders>
            <w:vAlign w:val="center"/>
          </w:tcPr>
          <w:p w14:paraId="63CA2026">
            <w:pPr>
              <w:spacing w:line="320" w:lineRule="exact"/>
              <w:jc w:val="left"/>
              <w:rPr>
                <w:color w:val="000000"/>
                <w:kern w:val="0"/>
                <w:sz w:val="18"/>
                <w:szCs w:val="18"/>
              </w:rPr>
            </w:pPr>
            <w:r>
              <w:rPr>
                <w:rFonts w:hint="eastAsia"/>
                <w:color w:val="000000"/>
                <w:kern w:val="0"/>
                <w:sz w:val="18"/>
                <w:szCs w:val="18"/>
              </w:rPr>
              <w:t>罚款</w:t>
            </w:r>
          </w:p>
        </w:tc>
      </w:tr>
      <w:tr w14:paraId="54B22A65">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E686BE5">
            <w:pPr>
              <w:spacing w:line="320" w:lineRule="exact"/>
              <w:jc w:val="center"/>
              <w:rPr>
                <w:color w:val="000000"/>
                <w:kern w:val="0"/>
                <w:sz w:val="18"/>
                <w:szCs w:val="18"/>
              </w:rPr>
            </w:pPr>
            <w:r>
              <w:rPr>
                <w:rFonts w:hint="eastAsia"/>
                <w:color w:val="000000"/>
                <w:kern w:val="0"/>
                <w:sz w:val="18"/>
                <w:szCs w:val="18"/>
              </w:rPr>
              <w:t>裁量基准</w:t>
            </w:r>
          </w:p>
        </w:tc>
      </w:tr>
      <w:tr w14:paraId="20C7A2BF">
        <w:tblPrEx>
          <w:tblCellMar>
            <w:top w:w="0" w:type="dxa"/>
            <w:left w:w="108" w:type="dxa"/>
            <w:bottom w:w="0" w:type="dxa"/>
            <w:right w:w="108" w:type="dxa"/>
          </w:tblCellMar>
        </w:tblPrEx>
        <w:trPr>
          <w:trHeight w:val="285" w:hRule="atLeast"/>
        </w:trPr>
        <w:tc>
          <w:tcPr>
            <w:tcW w:w="996" w:type="dxa"/>
            <w:vMerge w:val="restart"/>
            <w:tcBorders>
              <w:top w:val="nil"/>
              <w:left w:val="single" w:color="auto" w:sz="8" w:space="0"/>
              <w:bottom w:val="single" w:color="auto" w:sz="4" w:space="0"/>
              <w:right w:val="single" w:color="auto" w:sz="4" w:space="0"/>
            </w:tcBorders>
            <w:vAlign w:val="center"/>
          </w:tcPr>
          <w:p w14:paraId="6D3C7F01">
            <w:pPr>
              <w:spacing w:line="320" w:lineRule="exact"/>
              <w:jc w:val="center"/>
              <w:rPr>
                <w:color w:val="000000"/>
                <w:kern w:val="0"/>
                <w:sz w:val="18"/>
                <w:szCs w:val="18"/>
              </w:rPr>
            </w:pPr>
            <w:r>
              <w:rPr>
                <w:rFonts w:hint="eastAsia"/>
                <w:color w:val="000000"/>
                <w:kern w:val="0"/>
                <w:sz w:val="18"/>
                <w:szCs w:val="18"/>
              </w:rPr>
              <w:t>情形描述</w:t>
            </w:r>
          </w:p>
        </w:tc>
        <w:tc>
          <w:tcPr>
            <w:tcW w:w="5701" w:type="dxa"/>
            <w:tcBorders>
              <w:top w:val="single" w:color="auto" w:sz="4" w:space="0"/>
              <w:left w:val="nil"/>
              <w:bottom w:val="single" w:color="auto" w:sz="4" w:space="0"/>
              <w:right w:val="single" w:color="auto" w:sz="4" w:space="0"/>
            </w:tcBorders>
            <w:vAlign w:val="center"/>
          </w:tcPr>
          <w:p w14:paraId="5219497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color="auto" w:sz="4" w:space="0"/>
              <w:bottom w:val="single" w:color="auto" w:sz="4" w:space="0"/>
              <w:right w:val="single" w:color="auto" w:sz="4" w:space="0"/>
            </w:tcBorders>
            <w:vAlign w:val="center"/>
          </w:tcPr>
          <w:p w14:paraId="7AB88D93">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4C86FDD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36A67762">
        <w:tblPrEx>
          <w:tblCellMar>
            <w:top w:w="0" w:type="dxa"/>
            <w:left w:w="108" w:type="dxa"/>
            <w:bottom w:w="0" w:type="dxa"/>
            <w:right w:w="108" w:type="dxa"/>
          </w:tblCellMar>
        </w:tblPrEx>
        <w:trPr>
          <w:trHeight w:val="285" w:hRule="atLeast"/>
        </w:trPr>
        <w:tc>
          <w:tcPr>
            <w:tcW w:w="996" w:type="dxa"/>
            <w:vMerge w:val="continue"/>
            <w:tcBorders>
              <w:top w:val="nil"/>
              <w:left w:val="single" w:color="auto" w:sz="8" w:space="0"/>
              <w:bottom w:val="single" w:color="auto" w:sz="4" w:space="0"/>
              <w:right w:val="single" w:color="auto" w:sz="4" w:space="0"/>
            </w:tcBorders>
            <w:vAlign w:val="center"/>
          </w:tcPr>
          <w:p w14:paraId="4E2E0DD4">
            <w:pPr>
              <w:spacing w:line="320" w:lineRule="exact"/>
              <w:jc w:val="left"/>
              <w:rPr>
                <w:color w:val="000000"/>
                <w:kern w:val="0"/>
                <w:sz w:val="18"/>
                <w:szCs w:val="18"/>
              </w:rPr>
            </w:pPr>
          </w:p>
        </w:tc>
        <w:tc>
          <w:tcPr>
            <w:tcW w:w="5701" w:type="dxa"/>
            <w:tcBorders>
              <w:top w:val="single" w:color="auto" w:sz="4" w:space="0"/>
              <w:left w:val="nil"/>
              <w:bottom w:val="single" w:color="auto" w:sz="4" w:space="0"/>
              <w:right w:val="single" w:color="auto" w:sz="4" w:space="0"/>
            </w:tcBorders>
            <w:vAlign w:val="center"/>
          </w:tcPr>
          <w:p w14:paraId="3BE11BE1">
            <w:pPr>
              <w:spacing w:line="320" w:lineRule="exact"/>
              <w:jc w:val="left"/>
              <w:rPr>
                <w:color w:val="000000"/>
                <w:kern w:val="0"/>
                <w:sz w:val="18"/>
                <w:szCs w:val="18"/>
              </w:rPr>
            </w:pPr>
            <w:r>
              <w:rPr>
                <w:rFonts w:hint="eastAsia"/>
                <w:color w:val="000000"/>
                <w:kern w:val="0"/>
                <w:sz w:val="18"/>
                <w:szCs w:val="18"/>
              </w:rPr>
              <w:t>未按照要求改正或者造成损失的</w:t>
            </w:r>
          </w:p>
        </w:tc>
        <w:tc>
          <w:tcPr>
            <w:tcW w:w="1139" w:type="dxa"/>
            <w:vMerge w:val="continue"/>
            <w:tcBorders>
              <w:top w:val="nil"/>
              <w:left w:val="single" w:color="auto" w:sz="4" w:space="0"/>
              <w:bottom w:val="single" w:color="auto" w:sz="4" w:space="0"/>
              <w:right w:val="single" w:color="auto" w:sz="4" w:space="0"/>
            </w:tcBorders>
            <w:vAlign w:val="center"/>
          </w:tcPr>
          <w:p w14:paraId="240BBE63">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4A17606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14:paraId="1FE8491F">
        <w:tblPrEx>
          <w:tblCellMar>
            <w:top w:w="0" w:type="dxa"/>
            <w:left w:w="108" w:type="dxa"/>
            <w:bottom w:w="0" w:type="dxa"/>
            <w:right w:w="108" w:type="dxa"/>
          </w:tblCellMar>
        </w:tblPrEx>
        <w:trPr>
          <w:trHeight w:val="285" w:hRule="atLeast"/>
        </w:trPr>
        <w:tc>
          <w:tcPr>
            <w:tcW w:w="996" w:type="dxa"/>
            <w:vMerge w:val="continue"/>
            <w:tcBorders>
              <w:top w:val="nil"/>
              <w:left w:val="single" w:color="auto" w:sz="8" w:space="0"/>
              <w:bottom w:val="single" w:color="auto" w:sz="4" w:space="0"/>
              <w:right w:val="single" w:color="auto" w:sz="4" w:space="0"/>
            </w:tcBorders>
            <w:vAlign w:val="center"/>
          </w:tcPr>
          <w:p w14:paraId="77074C72">
            <w:pPr>
              <w:spacing w:line="320" w:lineRule="exact"/>
              <w:jc w:val="left"/>
              <w:rPr>
                <w:color w:val="000000"/>
                <w:kern w:val="0"/>
                <w:sz w:val="18"/>
                <w:szCs w:val="18"/>
              </w:rPr>
            </w:pPr>
          </w:p>
        </w:tc>
        <w:tc>
          <w:tcPr>
            <w:tcW w:w="5701" w:type="dxa"/>
            <w:tcBorders>
              <w:top w:val="single" w:color="auto" w:sz="4" w:space="0"/>
              <w:left w:val="nil"/>
              <w:bottom w:val="single" w:color="auto" w:sz="4" w:space="0"/>
              <w:right w:val="single" w:color="auto" w:sz="4" w:space="0"/>
            </w:tcBorders>
            <w:vAlign w:val="center"/>
          </w:tcPr>
          <w:p w14:paraId="38934551">
            <w:pPr>
              <w:spacing w:line="320" w:lineRule="exact"/>
              <w:jc w:val="left"/>
              <w:rPr>
                <w:color w:val="000000"/>
                <w:kern w:val="0"/>
                <w:sz w:val="18"/>
                <w:szCs w:val="18"/>
              </w:rPr>
            </w:pPr>
            <w:r>
              <w:rPr>
                <w:rFonts w:hint="eastAsia"/>
                <w:color w:val="000000"/>
                <w:kern w:val="0"/>
                <w:sz w:val="18"/>
                <w:szCs w:val="18"/>
              </w:rPr>
              <w:t>造成严重损失或燃气安全事故的</w:t>
            </w:r>
          </w:p>
        </w:tc>
        <w:tc>
          <w:tcPr>
            <w:tcW w:w="1139" w:type="dxa"/>
            <w:vMerge w:val="continue"/>
            <w:tcBorders>
              <w:top w:val="nil"/>
              <w:left w:val="single" w:color="auto" w:sz="4" w:space="0"/>
              <w:bottom w:val="single" w:color="auto" w:sz="4" w:space="0"/>
              <w:right w:val="single" w:color="auto" w:sz="4" w:space="0"/>
            </w:tcBorders>
            <w:vAlign w:val="center"/>
          </w:tcPr>
          <w:p w14:paraId="074F1DFD">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2FFAC52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1A3E9741"/>
    <w:p w14:paraId="4FF1CACF"/>
    <w:p w14:paraId="5561C535"/>
    <w:p w14:paraId="6146DAB1"/>
    <w:p w14:paraId="37AEA59C"/>
    <w:p w14:paraId="22039916"/>
    <w:p w14:paraId="7412E578"/>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1860B3B1">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1BDA50C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71615B11">
            <w:pPr>
              <w:spacing w:line="320" w:lineRule="exact"/>
              <w:jc w:val="left"/>
              <w:rPr>
                <w:rFonts w:eastAsia="仿宋_GB2312"/>
                <w:b/>
                <w:bCs/>
                <w:color w:val="000000"/>
                <w:kern w:val="0"/>
                <w:sz w:val="18"/>
                <w:szCs w:val="18"/>
              </w:rPr>
            </w:pPr>
            <w:r>
              <w:rPr>
                <w:rFonts w:eastAsia="仿宋_GB2312"/>
                <w:b/>
                <w:bCs/>
                <w:color w:val="000000"/>
                <w:kern w:val="0"/>
                <w:sz w:val="18"/>
                <w:szCs w:val="18"/>
              </w:rPr>
              <w:t>320217637000</w:t>
            </w:r>
          </w:p>
        </w:tc>
      </w:tr>
      <w:tr w14:paraId="18E4A7A3">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767F4486">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0C31AD3D">
            <w:pPr>
              <w:spacing w:line="320" w:lineRule="exact"/>
              <w:jc w:val="left"/>
              <w:rPr>
                <w:color w:val="000000"/>
                <w:kern w:val="0"/>
                <w:sz w:val="18"/>
                <w:szCs w:val="18"/>
              </w:rPr>
            </w:pPr>
            <w:r>
              <w:rPr>
                <w:rFonts w:hint="eastAsia"/>
                <w:color w:val="000000"/>
                <w:kern w:val="0"/>
                <w:sz w:val="18"/>
                <w:szCs w:val="18"/>
              </w:rPr>
              <w:t>对城市供水单位未按规定上报水质报表的处罚</w:t>
            </w:r>
          </w:p>
        </w:tc>
      </w:tr>
      <w:tr w14:paraId="7FB20CB2">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0210860F">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30AE2B0C">
            <w:pPr>
              <w:spacing w:line="320" w:lineRule="exact"/>
              <w:jc w:val="left"/>
              <w:rPr>
                <w:color w:val="000000"/>
                <w:kern w:val="0"/>
                <w:sz w:val="18"/>
                <w:szCs w:val="18"/>
              </w:rPr>
            </w:pP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14:paraId="4FD3E0C7">
            <w:pPr>
              <w:spacing w:line="320" w:lineRule="exact"/>
              <w:jc w:val="left"/>
              <w:rPr>
                <w:color w:val="000000"/>
                <w:kern w:val="0"/>
                <w:sz w:val="18"/>
                <w:szCs w:val="18"/>
              </w:rPr>
            </w:pPr>
            <w:r>
              <w:rPr>
                <w:rFonts w:hint="eastAsia"/>
                <w:color w:val="000000"/>
                <w:kern w:val="0"/>
                <w:sz w:val="18"/>
                <w:szCs w:val="18"/>
              </w:rPr>
              <w:t>第十一条　城市供水单位应当履行以下义务：</w:t>
            </w:r>
            <w:r>
              <w:rPr>
                <w:color w:val="000000"/>
                <w:kern w:val="0"/>
                <w:sz w:val="18"/>
                <w:szCs w:val="18"/>
              </w:rPr>
              <w:t xml:space="preserve"> </w:t>
            </w:r>
          </w:p>
          <w:p w14:paraId="03421F4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（六）定期向所在地直辖市、市、县人民政府城市供水主管部门如实报告供水水质检测数据。</w:t>
            </w:r>
          </w:p>
          <w:p w14:paraId="658AB97E">
            <w:pPr>
              <w:spacing w:line="320" w:lineRule="exact"/>
              <w:jc w:val="left"/>
              <w:rPr>
                <w:color w:val="000000"/>
                <w:kern w:val="0"/>
                <w:sz w:val="18"/>
                <w:szCs w:val="18"/>
              </w:rPr>
            </w:pPr>
            <w:r>
              <w:rPr>
                <w:rFonts w:hint="eastAsia"/>
                <w:color w:val="000000"/>
                <w:kern w:val="0"/>
                <w:sz w:val="18"/>
                <w:szCs w:val="18"/>
              </w:rPr>
              <w:t>第三十条　违反本规定，有下列行为之一的，由直辖市、市、县人民政府城市供水主管部门给予警告，并处以</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万元以下的罚款：</w:t>
            </w:r>
          </w:p>
          <w:p w14:paraId="32BDD29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（二）城市供水单位未按规定上报水质报表的。</w:t>
            </w:r>
          </w:p>
        </w:tc>
      </w:tr>
      <w:tr w14:paraId="6C0A00FC">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5E4BF198">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2F51DCA7">
            <w:pPr>
              <w:spacing w:line="320" w:lineRule="exact"/>
              <w:jc w:val="left"/>
              <w:rPr>
                <w:color w:val="000000"/>
                <w:kern w:val="0"/>
                <w:sz w:val="18"/>
                <w:szCs w:val="18"/>
              </w:rPr>
            </w:pPr>
            <w:r>
              <w:rPr>
                <w:rFonts w:hint="eastAsia"/>
                <w:color w:val="000000"/>
                <w:kern w:val="0"/>
                <w:sz w:val="18"/>
                <w:szCs w:val="18"/>
              </w:rPr>
              <w:t>警告；罚款</w:t>
            </w:r>
          </w:p>
        </w:tc>
      </w:tr>
      <w:tr w14:paraId="4CE92CE6">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6CE73EA0">
            <w:pPr>
              <w:spacing w:line="320" w:lineRule="exact"/>
              <w:jc w:val="center"/>
              <w:rPr>
                <w:color w:val="000000"/>
                <w:kern w:val="0"/>
                <w:sz w:val="18"/>
                <w:szCs w:val="18"/>
              </w:rPr>
            </w:pPr>
            <w:r>
              <w:rPr>
                <w:rFonts w:hint="eastAsia"/>
                <w:color w:val="000000"/>
                <w:kern w:val="0"/>
                <w:sz w:val="18"/>
                <w:szCs w:val="18"/>
              </w:rPr>
              <w:t>裁量基准</w:t>
            </w:r>
          </w:p>
        </w:tc>
      </w:tr>
      <w:tr w14:paraId="2C690549">
        <w:tblPrEx>
          <w:tblCellMar>
            <w:top w:w="0" w:type="dxa"/>
            <w:left w:w="108" w:type="dxa"/>
            <w:bottom w:w="0" w:type="dxa"/>
            <w:right w:w="108" w:type="dxa"/>
          </w:tblCellMar>
        </w:tblPrEx>
        <w:trPr>
          <w:gridAfter w:val="1"/>
          <w:wAfter w:w="14" w:type="dxa"/>
          <w:trHeight w:val="322" w:hRule="atLeast"/>
        </w:trPr>
        <w:tc>
          <w:tcPr>
            <w:tcW w:w="996" w:type="dxa"/>
            <w:vMerge w:val="restart"/>
            <w:tcBorders>
              <w:top w:val="nil"/>
              <w:left w:val="single" w:color="auto" w:sz="8" w:space="0"/>
              <w:right w:val="single" w:color="auto" w:sz="4" w:space="0"/>
            </w:tcBorders>
            <w:vAlign w:val="center"/>
          </w:tcPr>
          <w:p w14:paraId="02DB699A">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32783C4F">
            <w:pPr>
              <w:spacing w:line="320" w:lineRule="exact"/>
              <w:jc w:val="left"/>
              <w:rPr>
                <w:color w:val="000000"/>
                <w:kern w:val="0"/>
                <w:sz w:val="18"/>
                <w:szCs w:val="18"/>
              </w:rPr>
            </w:pPr>
            <w:r>
              <w:rPr>
                <w:rFonts w:hint="eastAsia"/>
                <w:color w:val="000000"/>
                <w:kern w:val="0"/>
                <w:sz w:val="18"/>
                <w:szCs w:val="18"/>
              </w:rPr>
              <w:t>未造成损失或者水质突发事件的</w:t>
            </w:r>
          </w:p>
        </w:tc>
        <w:tc>
          <w:tcPr>
            <w:tcW w:w="1139" w:type="dxa"/>
            <w:vMerge w:val="restart"/>
            <w:tcBorders>
              <w:top w:val="nil"/>
              <w:left w:val="single" w:color="auto" w:sz="4" w:space="0"/>
              <w:right w:val="single" w:color="auto" w:sz="4" w:space="0"/>
            </w:tcBorders>
            <w:vAlign w:val="center"/>
          </w:tcPr>
          <w:p w14:paraId="1F1BE2D1">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4EADD392">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71C21DE8">
        <w:tblPrEx>
          <w:tblCellMar>
            <w:top w:w="0" w:type="dxa"/>
            <w:left w:w="108" w:type="dxa"/>
            <w:bottom w:w="0" w:type="dxa"/>
            <w:right w:w="108" w:type="dxa"/>
          </w:tblCellMar>
        </w:tblPrEx>
        <w:trPr>
          <w:gridAfter w:val="1"/>
          <w:wAfter w:w="14" w:type="dxa"/>
          <w:trHeight w:val="397" w:hRule="atLeast"/>
        </w:trPr>
        <w:tc>
          <w:tcPr>
            <w:tcW w:w="996" w:type="dxa"/>
            <w:vMerge w:val="continue"/>
            <w:tcBorders>
              <w:left w:val="single" w:color="auto" w:sz="8" w:space="0"/>
              <w:right w:val="single" w:color="auto" w:sz="4" w:space="0"/>
            </w:tcBorders>
            <w:vAlign w:val="center"/>
          </w:tcPr>
          <w:p w14:paraId="72DD3D92">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087774A4">
            <w:pPr>
              <w:spacing w:line="320" w:lineRule="exact"/>
              <w:jc w:val="left"/>
              <w:rPr>
                <w:color w:val="000000"/>
                <w:kern w:val="0"/>
                <w:sz w:val="18"/>
                <w:szCs w:val="18"/>
              </w:rPr>
            </w:pPr>
            <w:r>
              <w:rPr>
                <w:rFonts w:hint="eastAsia"/>
                <w:color w:val="000000"/>
                <w:kern w:val="0"/>
                <w:sz w:val="18"/>
                <w:szCs w:val="18"/>
              </w:rPr>
              <w:t>已经造成损失或者造成一般或较大水质突发事件的</w:t>
            </w:r>
          </w:p>
        </w:tc>
        <w:tc>
          <w:tcPr>
            <w:tcW w:w="1139" w:type="dxa"/>
            <w:vMerge w:val="continue"/>
            <w:tcBorders>
              <w:left w:val="single" w:color="auto" w:sz="4" w:space="0"/>
              <w:right w:val="single" w:color="auto" w:sz="4" w:space="0"/>
            </w:tcBorders>
            <w:vAlign w:val="center"/>
          </w:tcPr>
          <w:p w14:paraId="525C5DE0">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7D2C9CC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3276B92D">
        <w:tblPrEx>
          <w:tblCellMar>
            <w:top w:w="0" w:type="dxa"/>
            <w:left w:w="108" w:type="dxa"/>
            <w:bottom w:w="0" w:type="dxa"/>
            <w:right w:w="108" w:type="dxa"/>
          </w:tblCellMar>
        </w:tblPrEx>
        <w:trPr>
          <w:gridAfter w:val="1"/>
          <w:wAfter w:w="14" w:type="dxa"/>
          <w:trHeight w:val="418" w:hRule="atLeast"/>
        </w:trPr>
        <w:tc>
          <w:tcPr>
            <w:tcW w:w="996" w:type="dxa"/>
            <w:vMerge w:val="continue"/>
            <w:tcBorders>
              <w:left w:val="single" w:color="auto" w:sz="8" w:space="0"/>
              <w:bottom w:val="single" w:color="auto" w:sz="4" w:space="0"/>
              <w:right w:val="single" w:color="auto" w:sz="4" w:space="0"/>
            </w:tcBorders>
            <w:vAlign w:val="center"/>
          </w:tcPr>
          <w:p w14:paraId="6B7BF5A9">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61C32E7E">
            <w:pPr>
              <w:spacing w:line="320" w:lineRule="exact"/>
              <w:jc w:val="left"/>
              <w:rPr>
                <w:color w:val="000000"/>
                <w:kern w:val="0"/>
                <w:sz w:val="18"/>
                <w:szCs w:val="18"/>
              </w:rPr>
            </w:pPr>
            <w:r>
              <w:rPr>
                <w:rFonts w:hint="eastAsia"/>
                <w:color w:val="000000"/>
                <w:kern w:val="0"/>
                <w:sz w:val="18"/>
                <w:szCs w:val="18"/>
              </w:rPr>
              <w:t>造成重大或特别重大水质突发事件的</w:t>
            </w:r>
          </w:p>
        </w:tc>
        <w:tc>
          <w:tcPr>
            <w:tcW w:w="1139" w:type="dxa"/>
            <w:vMerge w:val="continue"/>
            <w:tcBorders>
              <w:left w:val="single" w:color="auto" w:sz="4" w:space="0"/>
              <w:bottom w:val="single" w:color="auto" w:sz="4" w:space="0"/>
              <w:right w:val="single" w:color="auto" w:sz="4" w:space="0"/>
            </w:tcBorders>
            <w:vAlign w:val="center"/>
          </w:tcPr>
          <w:p w14:paraId="624EEE5E">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0CCBBBF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043A1DC6"/>
    <w:p w14:paraId="5ED3DB21"/>
    <w:p w14:paraId="284C10D4"/>
    <w:p w14:paraId="3B1AD63E"/>
    <w:p w14:paraId="1961EBF5"/>
    <w:p w14:paraId="4FBA5A6C"/>
    <w:p w14:paraId="25FFF260"/>
    <w:p w14:paraId="24B5114F"/>
    <w:p w14:paraId="6A65B2BC"/>
    <w:p w14:paraId="7DCCCF8F"/>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586C611E">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0424E807">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25A689FD">
            <w:pPr>
              <w:spacing w:line="320" w:lineRule="exact"/>
              <w:jc w:val="left"/>
              <w:rPr>
                <w:rFonts w:eastAsia="仿宋_GB2312"/>
                <w:b/>
                <w:bCs/>
                <w:color w:val="000000"/>
                <w:kern w:val="0"/>
                <w:sz w:val="18"/>
                <w:szCs w:val="18"/>
              </w:rPr>
            </w:pPr>
            <w:r>
              <w:rPr>
                <w:rFonts w:eastAsia="仿宋_GB2312"/>
                <w:b/>
                <w:bCs/>
                <w:color w:val="000000"/>
                <w:kern w:val="0"/>
                <w:sz w:val="18"/>
                <w:szCs w:val="18"/>
              </w:rPr>
              <w:t>320217638000</w:t>
            </w:r>
          </w:p>
        </w:tc>
      </w:tr>
      <w:tr w14:paraId="26D97366">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022D52B2">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515C4BCA">
            <w:pPr>
              <w:spacing w:line="320" w:lineRule="exact"/>
              <w:jc w:val="left"/>
              <w:rPr>
                <w:color w:val="000000"/>
                <w:kern w:val="0"/>
                <w:sz w:val="18"/>
                <w:szCs w:val="18"/>
              </w:rPr>
            </w:pPr>
            <w:r>
              <w:rPr>
                <w:rFonts w:hint="eastAsia"/>
                <w:color w:val="000000"/>
                <w:kern w:val="0"/>
                <w:sz w:val="18"/>
                <w:szCs w:val="18"/>
              </w:rPr>
              <w:t>对未按照规定检修供水设施或者在供水设施发生故障后未及时抢修的处罚</w:t>
            </w:r>
          </w:p>
        </w:tc>
      </w:tr>
      <w:tr w14:paraId="4231D8AE">
        <w:tblPrEx>
          <w:tblCellMar>
            <w:top w:w="0" w:type="dxa"/>
            <w:left w:w="108" w:type="dxa"/>
            <w:bottom w:w="0" w:type="dxa"/>
            <w:right w:w="108" w:type="dxa"/>
          </w:tblCellMar>
        </w:tblPrEx>
        <w:trPr>
          <w:trHeight w:val="1590" w:hRule="atLeast"/>
        </w:trPr>
        <w:tc>
          <w:tcPr>
            <w:tcW w:w="1026" w:type="dxa"/>
            <w:gridSpan w:val="2"/>
            <w:tcBorders>
              <w:top w:val="nil"/>
              <w:left w:val="single" w:color="auto" w:sz="8" w:space="0"/>
              <w:bottom w:val="single" w:color="auto" w:sz="4" w:space="0"/>
              <w:right w:val="single" w:color="auto" w:sz="4" w:space="0"/>
            </w:tcBorders>
            <w:vAlign w:val="center"/>
          </w:tcPr>
          <w:p w14:paraId="3DE349F3">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66F59E8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【行政法规】《城市供水条例》（国务院令第158号，国务院令第698号、第726号修改）</w:t>
            </w:r>
          </w:p>
          <w:p w14:paraId="53065439">
            <w:pPr>
              <w:spacing w:line="320" w:lineRule="exact"/>
              <w:jc w:val="left"/>
              <w:rPr>
                <w:color w:val="000000"/>
                <w:kern w:val="0"/>
                <w:sz w:val="18"/>
                <w:szCs w:val="18"/>
              </w:rPr>
            </w:pPr>
            <w:r>
              <w:rPr>
                <w:rFonts w:hint="eastAsia"/>
                <w:color w:val="000000"/>
                <w:kern w:val="0"/>
                <w:sz w:val="18"/>
                <w:szCs w:val="18"/>
              </w:rPr>
              <w:t xml:space="preserve">        第三十三条　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14:paraId="351C3FEF">
            <w:pPr>
              <w:spacing w:line="320" w:lineRule="exact"/>
              <w:jc w:val="left"/>
              <w:rPr>
                <w:color w:val="000000"/>
                <w:kern w:val="0"/>
                <w:sz w:val="18"/>
                <w:szCs w:val="18"/>
              </w:rPr>
            </w:pPr>
            <w:r>
              <w:rPr>
                <w:rFonts w:hint="eastAsia"/>
                <w:color w:val="000000"/>
                <w:kern w:val="0"/>
                <w:sz w:val="18"/>
                <w:szCs w:val="18"/>
              </w:rPr>
              <w:t xml:space="preserve">        (三)未按照规定检修供水设施或者在供水设施发生故障后未及时抢修的。</w:t>
            </w:r>
          </w:p>
          <w:p w14:paraId="4F339E0B">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240592F2">
            <w:pPr>
              <w:spacing w:line="320" w:lineRule="exact"/>
              <w:jc w:val="left"/>
              <w:rPr>
                <w:color w:val="000000"/>
                <w:kern w:val="0"/>
                <w:sz w:val="18"/>
                <w:szCs w:val="18"/>
              </w:rPr>
            </w:pPr>
            <w:r>
              <w:rPr>
                <w:rFonts w:hint="eastAsia"/>
                <w:color w:val="000000"/>
                <w:kern w:val="0"/>
                <w:sz w:val="18"/>
                <w:szCs w:val="18"/>
              </w:rPr>
              <w:t xml:space="preserve">       第五十条 违反本条例规定，供水单位有下列行为之一的，由城乡供水主管部门责令改正，并可以处以三万元以上十万元以下罚款，对直接负责的主管人员和其他直接责任人员，依法给予处分：</w:t>
            </w:r>
          </w:p>
          <w:p w14:paraId="587EC615">
            <w:pPr>
              <w:spacing w:line="320" w:lineRule="exact"/>
              <w:jc w:val="left"/>
              <w:rPr>
                <w:color w:val="000000"/>
                <w:kern w:val="0"/>
                <w:sz w:val="18"/>
                <w:szCs w:val="18"/>
              </w:rPr>
            </w:pPr>
            <w:r>
              <w:rPr>
                <w:rFonts w:hint="eastAsia"/>
                <w:color w:val="000000"/>
                <w:kern w:val="0"/>
                <w:sz w:val="18"/>
                <w:szCs w:val="18"/>
              </w:rPr>
              <w:t xml:space="preserve">      （二）未按照规定检修供水设施或者在供水设施发生故障后未及时抢修的；</w:t>
            </w:r>
          </w:p>
          <w:p w14:paraId="71C8EE87">
            <w:pPr>
              <w:spacing w:line="320" w:lineRule="exact"/>
              <w:jc w:val="left"/>
              <w:rPr>
                <w:color w:val="000000"/>
                <w:kern w:val="0"/>
                <w:sz w:val="18"/>
                <w:szCs w:val="18"/>
              </w:rPr>
            </w:pPr>
            <w:r>
              <w:rPr>
                <w:rFonts w:hint="eastAsia"/>
                <w:color w:val="000000"/>
                <w:kern w:val="0"/>
                <w:sz w:val="18"/>
                <w:szCs w:val="18"/>
              </w:rPr>
              <w:t xml:space="preserve">        有前款第一项、第二项、第四项行为，情节严重的，报经有批准权的人民政府批准，可以责令停业整顿。</w:t>
            </w:r>
          </w:p>
        </w:tc>
      </w:tr>
      <w:tr w14:paraId="5FA40286">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256345AF">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69412BAA">
            <w:pPr>
              <w:spacing w:line="320" w:lineRule="exact"/>
              <w:jc w:val="left"/>
              <w:rPr>
                <w:color w:val="000000"/>
                <w:kern w:val="0"/>
                <w:sz w:val="18"/>
                <w:szCs w:val="18"/>
              </w:rPr>
            </w:pPr>
            <w:r>
              <w:rPr>
                <w:rFonts w:hint="eastAsia"/>
                <w:color w:val="000000"/>
                <w:kern w:val="0"/>
                <w:sz w:val="18"/>
                <w:szCs w:val="18"/>
              </w:rPr>
              <w:t>罚款</w:t>
            </w:r>
          </w:p>
        </w:tc>
      </w:tr>
      <w:tr w14:paraId="7C1B61BB">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8" w:space="0"/>
              <w:bottom w:val="single" w:color="auto" w:sz="4" w:space="0"/>
              <w:right w:val="single" w:color="000000" w:sz="8" w:space="0"/>
            </w:tcBorders>
            <w:vAlign w:val="center"/>
          </w:tcPr>
          <w:p w14:paraId="2D6CE6F5">
            <w:pPr>
              <w:spacing w:line="320" w:lineRule="exact"/>
              <w:jc w:val="center"/>
              <w:rPr>
                <w:color w:val="000000"/>
                <w:kern w:val="0"/>
                <w:sz w:val="18"/>
                <w:szCs w:val="18"/>
              </w:rPr>
            </w:pPr>
            <w:r>
              <w:rPr>
                <w:rFonts w:hint="eastAsia"/>
                <w:color w:val="000000"/>
                <w:kern w:val="0"/>
                <w:sz w:val="18"/>
                <w:szCs w:val="18"/>
              </w:rPr>
              <w:t>裁量基准</w:t>
            </w:r>
          </w:p>
        </w:tc>
      </w:tr>
      <w:tr w14:paraId="2AEA137D">
        <w:tblPrEx>
          <w:tblCellMar>
            <w:top w:w="0" w:type="dxa"/>
            <w:left w:w="108" w:type="dxa"/>
            <w:bottom w:w="0" w:type="dxa"/>
            <w:right w:w="108" w:type="dxa"/>
          </w:tblCellMar>
        </w:tblPrEx>
        <w:trPr>
          <w:gridAfter w:val="1"/>
          <w:wAfter w:w="14" w:type="dxa"/>
          <w:trHeight w:val="322" w:hRule="atLeast"/>
        </w:trPr>
        <w:tc>
          <w:tcPr>
            <w:tcW w:w="996" w:type="dxa"/>
            <w:vMerge w:val="restart"/>
            <w:tcBorders>
              <w:top w:val="nil"/>
              <w:left w:val="single" w:color="auto" w:sz="8" w:space="0"/>
              <w:right w:val="single" w:color="auto" w:sz="4" w:space="0"/>
            </w:tcBorders>
            <w:vAlign w:val="center"/>
          </w:tcPr>
          <w:p w14:paraId="4AB02BC7">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0EB7836F">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139" w:type="dxa"/>
            <w:vMerge w:val="restart"/>
            <w:tcBorders>
              <w:top w:val="nil"/>
              <w:left w:val="single" w:color="auto" w:sz="4" w:space="0"/>
              <w:right w:val="single" w:color="auto" w:sz="4" w:space="0"/>
            </w:tcBorders>
            <w:vAlign w:val="center"/>
          </w:tcPr>
          <w:p w14:paraId="63798EAE">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color="auto" w:sz="4" w:space="0"/>
              <w:right w:val="single" w:color="auto" w:sz="8" w:space="0"/>
            </w:tcBorders>
            <w:vAlign w:val="center"/>
          </w:tcPr>
          <w:p w14:paraId="3671595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2144FE6E">
        <w:tblPrEx>
          <w:tblCellMar>
            <w:top w:w="0" w:type="dxa"/>
            <w:left w:w="108" w:type="dxa"/>
            <w:bottom w:w="0" w:type="dxa"/>
            <w:right w:w="108" w:type="dxa"/>
          </w:tblCellMar>
        </w:tblPrEx>
        <w:trPr>
          <w:gridAfter w:val="1"/>
          <w:wAfter w:w="14" w:type="dxa"/>
          <w:trHeight w:val="397" w:hRule="atLeast"/>
        </w:trPr>
        <w:tc>
          <w:tcPr>
            <w:tcW w:w="996" w:type="dxa"/>
            <w:vMerge w:val="continue"/>
            <w:tcBorders>
              <w:left w:val="single" w:color="auto" w:sz="8" w:space="0"/>
              <w:bottom w:val="single" w:color="auto" w:sz="4" w:space="0"/>
              <w:right w:val="single" w:color="auto" w:sz="4" w:space="0"/>
            </w:tcBorders>
            <w:vAlign w:val="center"/>
          </w:tcPr>
          <w:p w14:paraId="1D4C6ED9">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247AC0EB">
            <w:pPr>
              <w:spacing w:line="320" w:lineRule="exact"/>
              <w:jc w:val="left"/>
              <w:rPr>
                <w:color w:val="000000"/>
                <w:kern w:val="0"/>
                <w:sz w:val="18"/>
                <w:szCs w:val="18"/>
              </w:rPr>
            </w:pPr>
            <w:r>
              <w:rPr>
                <w:rFonts w:hint="eastAsia"/>
                <w:color w:val="000000"/>
                <w:kern w:val="0"/>
                <w:sz w:val="18"/>
                <w:szCs w:val="18"/>
              </w:rPr>
              <w:t>已经造成损失或者造成一般或较大水质突发事件的</w:t>
            </w:r>
          </w:p>
        </w:tc>
        <w:tc>
          <w:tcPr>
            <w:tcW w:w="1139" w:type="dxa"/>
            <w:vMerge w:val="continue"/>
            <w:tcBorders>
              <w:left w:val="single" w:color="auto" w:sz="4" w:space="0"/>
              <w:bottom w:val="single" w:color="auto" w:sz="4" w:space="0"/>
              <w:right w:val="single" w:color="auto" w:sz="4" w:space="0"/>
            </w:tcBorders>
            <w:vAlign w:val="center"/>
          </w:tcPr>
          <w:p w14:paraId="245F7D5B">
            <w:pPr>
              <w:spacing w:line="320" w:lineRule="exact"/>
              <w:jc w:val="left"/>
              <w:rPr>
                <w:color w:val="000000"/>
                <w:kern w:val="0"/>
                <w:sz w:val="18"/>
                <w:szCs w:val="18"/>
              </w:rPr>
            </w:pPr>
          </w:p>
        </w:tc>
        <w:tc>
          <w:tcPr>
            <w:tcW w:w="6180" w:type="dxa"/>
            <w:tcBorders>
              <w:top w:val="nil"/>
              <w:left w:val="nil"/>
              <w:bottom w:val="single" w:color="auto" w:sz="4" w:space="0"/>
              <w:right w:val="single" w:color="auto" w:sz="8" w:space="0"/>
            </w:tcBorders>
            <w:vAlign w:val="center"/>
          </w:tcPr>
          <w:p w14:paraId="646FA90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6EFACC96">
        <w:tblPrEx>
          <w:tblCellMar>
            <w:top w:w="0" w:type="dxa"/>
            <w:left w:w="108" w:type="dxa"/>
            <w:bottom w:w="0" w:type="dxa"/>
            <w:right w:w="108" w:type="dxa"/>
          </w:tblCellMar>
        </w:tblPrEx>
        <w:trPr>
          <w:gridAfter w:val="1"/>
          <w:wAfter w:w="14" w:type="dxa"/>
          <w:trHeight w:val="418" w:hRule="atLeast"/>
        </w:trPr>
        <w:tc>
          <w:tcPr>
            <w:tcW w:w="996" w:type="dxa"/>
            <w:vMerge w:val="continue"/>
            <w:tcBorders>
              <w:top w:val="single" w:color="auto" w:sz="4" w:space="0"/>
              <w:left w:val="single" w:color="auto" w:sz="8" w:space="0"/>
              <w:bottom w:val="single" w:color="auto" w:sz="4" w:space="0"/>
              <w:right w:val="single" w:color="auto" w:sz="4" w:space="0"/>
            </w:tcBorders>
            <w:vAlign w:val="center"/>
          </w:tcPr>
          <w:p w14:paraId="1B5D79A7">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1DCC2FF3">
            <w:pPr>
              <w:spacing w:line="320" w:lineRule="exact"/>
              <w:jc w:val="left"/>
              <w:rPr>
                <w:color w:val="000000"/>
                <w:kern w:val="0"/>
                <w:sz w:val="18"/>
                <w:szCs w:val="18"/>
              </w:rPr>
            </w:pPr>
            <w:r>
              <w:rPr>
                <w:rFonts w:hint="eastAsia"/>
                <w:color w:val="000000"/>
                <w:kern w:val="0"/>
                <w:sz w:val="18"/>
                <w:szCs w:val="18"/>
              </w:rPr>
              <w:t>造成重大或特别重大水质突发事件的</w:t>
            </w:r>
          </w:p>
        </w:tc>
        <w:tc>
          <w:tcPr>
            <w:tcW w:w="1139" w:type="dxa"/>
            <w:vMerge w:val="continue"/>
            <w:tcBorders>
              <w:top w:val="single" w:color="auto" w:sz="4" w:space="0"/>
              <w:left w:val="single" w:color="auto" w:sz="4" w:space="0"/>
              <w:bottom w:val="single" w:color="auto" w:sz="4" w:space="0"/>
              <w:right w:val="single" w:color="auto" w:sz="4" w:space="0"/>
            </w:tcBorders>
            <w:vAlign w:val="center"/>
          </w:tcPr>
          <w:p w14:paraId="1DE34B19">
            <w:pPr>
              <w:spacing w:line="320" w:lineRule="exact"/>
              <w:jc w:val="left"/>
              <w:rPr>
                <w:color w:val="000000"/>
                <w:kern w:val="0"/>
                <w:sz w:val="18"/>
                <w:szCs w:val="18"/>
              </w:rPr>
            </w:pPr>
          </w:p>
        </w:tc>
        <w:tc>
          <w:tcPr>
            <w:tcW w:w="6180" w:type="dxa"/>
            <w:tcBorders>
              <w:top w:val="single" w:color="auto" w:sz="4" w:space="0"/>
              <w:left w:val="nil"/>
              <w:bottom w:val="single" w:color="auto" w:sz="4" w:space="0"/>
              <w:right w:val="single" w:color="auto" w:sz="8" w:space="0"/>
            </w:tcBorders>
            <w:vAlign w:val="center"/>
          </w:tcPr>
          <w:p w14:paraId="4B03BB8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03627FEA"/>
    <w:p w14:paraId="38D1FCAC"/>
    <w:p w14:paraId="11EEB0AE"/>
    <w:p w14:paraId="4D41B0EB"/>
    <w:p w14:paraId="130AA945"/>
    <w:tbl>
      <w:tblPr>
        <w:tblStyle w:val="15"/>
        <w:tblW w:w="14016" w:type="dxa"/>
        <w:tblInd w:w="88" w:type="dxa"/>
        <w:tblLayout w:type="fixed"/>
        <w:tblCellMar>
          <w:top w:w="0" w:type="dxa"/>
          <w:left w:w="108" w:type="dxa"/>
          <w:bottom w:w="0" w:type="dxa"/>
          <w:right w:w="108" w:type="dxa"/>
        </w:tblCellMar>
      </w:tblPr>
      <w:tblGrid>
        <w:gridCol w:w="1296"/>
        <w:gridCol w:w="5884"/>
        <w:gridCol w:w="1076"/>
        <w:gridCol w:w="5760"/>
      </w:tblGrid>
      <w:tr w14:paraId="5F0684DD">
        <w:tblPrEx>
          <w:tblCellMar>
            <w:top w:w="0" w:type="dxa"/>
            <w:left w:w="108" w:type="dxa"/>
            <w:bottom w:w="0" w:type="dxa"/>
            <w:right w:w="108" w:type="dxa"/>
          </w:tblCellMar>
        </w:tblPrEx>
        <w:trPr>
          <w:trHeight w:val="285" w:hRule="atLeast"/>
        </w:trPr>
        <w:tc>
          <w:tcPr>
            <w:tcW w:w="1296" w:type="dxa"/>
            <w:tcBorders>
              <w:top w:val="single" w:color="auto" w:sz="8" w:space="0"/>
              <w:left w:val="single" w:color="auto" w:sz="8" w:space="0"/>
              <w:bottom w:val="single" w:color="auto" w:sz="4" w:space="0"/>
              <w:right w:val="single" w:color="auto" w:sz="4" w:space="0"/>
            </w:tcBorders>
            <w:vAlign w:val="center"/>
          </w:tcPr>
          <w:p w14:paraId="14F47FCA">
            <w:pPr>
              <w:jc w:val="center"/>
              <w:rPr>
                <w:color w:val="000000"/>
              </w:rPr>
            </w:pPr>
            <w:r>
              <w:rPr>
                <w:rFonts w:hint="eastAsia"/>
                <w:color w:val="000000"/>
              </w:rPr>
              <w:t>编号</w:t>
            </w:r>
          </w:p>
        </w:tc>
        <w:tc>
          <w:tcPr>
            <w:tcW w:w="12720" w:type="dxa"/>
            <w:gridSpan w:val="3"/>
            <w:tcBorders>
              <w:top w:val="single" w:color="auto" w:sz="8" w:space="0"/>
              <w:left w:val="nil"/>
              <w:bottom w:val="single" w:color="auto" w:sz="4" w:space="0"/>
              <w:right w:val="single" w:color="000000" w:sz="8" w:space="0"/>
            </w:tcBorders>
            <w:vAlign w:val="center"/>
          </w:tcPr>
          <w:p w14:paraId="175CFA7E">
            <w:pPr>
              <w:rPr>
                <w:b/>
                <w:bCs/>
                <w:color w:val="000000"/>
              </w:rPr>
            </w:pPr>
            <w:r>
              <w:rPr>
                <w:b/>
                <w:color w:val="000000"/>
              </w:rPr>
              <w:t>320217639000</w:t>
            </w:r>
            <w:r>
              <w:rPr>
                <w:rFonts w:hint="eastAsia"/>
                <w:b/>
                <w:color w:val="000000"/>
              </w:rPr>
              <w:t xml:space="preserve"> </w:t>
            </w:r>
          </w:p>
        </w:tc>
      </w:tr>
      <w:tr w14:paraId="78CE06E6">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152EB6B5">
            <w:pPr>
              <w:jc w:val="center"/>
              <w:rPr>
                <w:color w:val="000000"/>
              </w:rPr>
            </w:pPr>
            <w:r>
              <w:rPr>
                <w:rFonts w:hint="eastAsia"/>
                <w:color w:val="000000"/>
              </w:rPr>
              <w:t>行为名称</w:t>
            </w:r>
          </w:p>
        </w:tc>
        <w:tc>
          <w:tcPr>
            <w:tcW w:w="12720" w:type="dxa"/>
            <w:gridSpan w:val="3"/>
            <w:tcBorders>
              <w:top w:val="single" w:color="auto" w:sz="4" w:space="0"/>
              <w:left w:val="nil"/>
              <w:bottom w:val="single" w:color="auto" w:sz="4" w:space="0"/>
              <w:right w:val="single" w:color="000000" w:sz="8" w:space="0"/>
            </w:tcBorders>
            <w:vAlign w:val="center"/>
          </w:tcPr>
          <w:p w14:paraId="717D51CA">
            <w:pPr>
              <w:rPr>
                <w:color w:val="000000"/>
              </w:rPr>
            </w:pPr>
            <w:r>
              <w:rPr>
                <w:rFonts w:hint="eastAsia"/>
                <w:color w:val="000000"/>
              </w:rPr>
              <w:t>对建筑起重机械出租单位、自购使用单位未按照规定建立建筑起重机械安全技术档案的处罚</w:t>
            </w:r>
          </w:p>
        </w:tc>
      </w:tr>
      <w:tr w14:paraId="6C19D500">
        <w:tblPrEx>
          <w:tblCellMar>
            <w:top w:w="0" w:type="dxa"/>
            <w:left w:w="108" w:type="dxa"/>
            <w:bottom w:w="0" w:type="dxa"/>
            <w:right w:w="108" w:type="dxa"/>
          </w:tblCellMar>
        </w:tblPrEx>
        <w:trPr>
          <w:trHeight w:val="844" w:hRule="atLeast"/>
        </w:trPr>
        <w:tc>
          <w:tcPr>
            <w:tcW w:w="1296" w:type="dxa"/>
            <w:tcBorders>
              <w:top w:val="nil"/>
              <w:left w:val="single" w:color="auto" w:sz="8" w:space="0"/>
              <w:bottom w:val="single" w:color="auto" w:sz="4" w:space="0"/>
              <w:right w:val="single" w:color="auto" w:sz="4" w:space="0"/>
            </w:tcBorders>
            <w:vAlign w:val="center"/>
          </w:tcPr>
          <w:p w14:paraId="2942E177">
            <w:pPr>
              <w:jc w:val="center"/>
              <w:rPr>
                <w:color w:val="000000"/>
              </w:rPr>
            </w:pPr>
            <w:r>
              <w:rPr>
                <w:rFonts w:hint="eastAsia"/>
                <w:color w:val="000000"/>
              </w:rPr>
              <w:t>法律依据</w:t>
            </w:r>
          </w:p>
        </w:tc>
        <w:tc>
          <w:tcPr>
            <w:tcW w:w="12720" w:type="dxa"/>
            <w:gridSpan w:val="3"/>
            <w:tcBorders>
              <w:top w:val="single" w:color="auto" w:sz="4" w:space="0"/>
              <w:left w:val="nil"/>
              <w:bottom w:val="single" w:color="auto" w:sz="4" w:space="0"/>
              <w:right w:val="single" w:color="000000" w:sz="8" w:space="0"/>
            </w:tcBorders>
          </w:tcPr>
          <w:p w14:paraId="6FAC74C4">
            <w:pPr>
              <w:spacing w:line="300" w:lineRule="exact"/>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type="textWrapping"/>
            </w:r>
            <w:r>
              <w:rPr>
                <w:rFonts w:hint="eastAsia"/>
                <w:color w:val="000000"/>
              </w:rPr>
              <w:t>第七条　有下列情形之一的建筑起重机械，不得出租、使用：</w:t>
            </w:r>
            <w:r>
              <w:rPr>
                <w:color w:val="000000"/>
              </w:rPr>
              <w:br w:type="textWrapping"/>
            </w:r>
            <w:r>
              <w:rPr>
                <w:color w:val="000000"/>
              </w:rPr>
              <w:t xml:space="preserve">   </w:t>
            </w:r>
            <w:r>
              <w:rPr>
                <w:rFonts w:hint="eastAsia"/>
                <w:color w:val="000000"/>
              </w:rPr>
              <w:t>（四）没有完整安全技术档案的。</w:t>
            </w:r>
            <w:r>
              <w:rPr>
                <w:color w:val="000000"/>
              </w:rPr>
              <w:br w:type="textWrapping"/>
            </w:r>
            <w:r>
              <w:rPr>
                <w:rFonts w:hint="eastAsia"/>
                <w:color w:val="000000"/>
              </w:rPr>
              <w:t>第八条　建筑起重机械有本规定第七条第（一）、（二）、（三）项情形之一的，出租单位或者自购建筑起重机械的使用单位应当予以报废，并向原备案机关办理注销手续。</w:t>
            </w:r>
            <w:r>
              <w:rPr>
                <w:color w:val="000000"/>
              </w:rPr>
              <w:br w:type="textWrapping"/>
            </w:r>
            <w:r>
              <w:rPr>
                <w:rFonts w:hint="eastAsia"/>
                <w:color w:val="000000"/>
              </w:rPr>
              <w:t>第九条　出租单位、自购建筑起重机械的使用单位，应当建立建筑起重机械安全技术档案。</w:t>
            </w:r>
            <w:r>
              <w:rPr>
                <w:color w:val="000000"/>
              </w:rPr>
              <w:br w:type="textWrapping"/>
            </w:r>
            <w:r>
              <w:rPr>
                <w:rFonts w:hint="eastAsia"/>
                <w:color w:val="000000"/>
              </w:rPr>
              <w:t>建筑起重机械安全技术档案应当包括以下资料：</w:t>
            </w:r>
            <w:r>
              <w:rPr>
                <w:color w:val="000000"/>
              </w:rPr>
              <w:br w:type="textWrapping"/>
            </w:r>
            <w:r>
              <w:rPr>
                <w:color w:val="000000"/>
              </w:rPr>
              <w:t xml:space="preserve">   </w:t>
            </w:r>
            <w:r>
              <w:rPr>
                <w:rFonts w:hint="eastAsia"/>
                <w:color w:val="000000"/>
              </w:rPr>
              <w:t>（一）购销合同、制造许可证、产品合格证、制造监督检验证明、安装使用说明书、备案证明等原始资料；</w:t>
            </w:r>
            <w:r>
              <w:rPr>
                <w:color w:val="000000"/>
              </w:rPr>
              <w:br w:type="textWrapping"/>
            </w:r>
            <w:r>
              <w:rPr>
                <w:color w:val="000000"/>
              </w:rPr>
              <w:t xml:space="preserve">   </w:t>
            </w:r>
            <w:r>
              <w:rPr>
                <w:rFonts w:hint="eastAsia"/>
                <w:color w:val="000000"/>
              </w:rPr>
              <w:t>（二）定期检验报告、定期自行检查记录、定期维护保养记录、维修和技术改造记录、运行故障和生产安全事故记录、累计运转记录等运行资料；</w:t>
            </w:r>
            <w:r>
              <w:rPr>
                <w:color w:val="000000"/>
              </w:rPr>
              <w:br w:type="textWrapping"/>
            </w:r>
            <w:r>
              <w:rPr>
                <w:color w:val="000000"/>
              </w:rPr>
              <w:t xml:space="preserve">   </w:t>
            </w:r>
            <w:r>
              <w:rPr>
                <w:rFonts w:hint="eastAsia"/>
                <w:color w:val="000000"/>
              </w:rPr>
              <w:t>（三）历次安装验收资料。</w:t>
            </w:r>
            <w:r>
              <w:rPr>
                <w:color w:val="000000"/>
              </w:rPr>
              <w:br w:type="textWrapping"/>
            </w:r>
            <w:r>
              <w:rPr>
                <w:color w:val="000000"/>
              </w:rPr>
              <w:t xml:space="preserve">   </w:t>
            </w:r>
            <w:r>
              <w:rPr>
                <w:rFonts w:hint="eastAsia"/>
                <w:color w:val="000000"/>
              </w:rPr>
              <w:t>第二十八条　违反本规定，出租单位、自购建筑起重机械的使用单位，有下列行为之一的，由县级以上地方人民政府建设主管部门责令限期改正，予以警告，并处以</w:t>
            </w:r>
            <w:r>
              <w:rPr>
                <w:color w:val="000000"/>
              </w:rPr>
              <w:t>5000</w:t>
            </w:r>
            <w:r>
              <w:rPr>
                <w:rFonts w:hint="eastAsia"/>
                <w:color w:val="000000"/>
              </w:rPr>
              <w:t>元以上</w:t>
            </w:r>
            <w:r>
              <w:rPr>
                <w:color w:val="000000"/>
              </w:rPr>
              <w:t>1</w:t>
            </w:r>
            <w:r>
              <w:rPr>
                <w:rFonts w:hint="eastAsia"/>
                <w:color w:val="000000"/>
              </w:rPr>
              <w:t>万元以下罚款：</w:t>
            </w:r>
            <w:r>
              <w:rPr>
                <w:color w:val="000000"/>
              </w:rPr>
              <w:br w:type="textWrapping"/>
            </w:r>
            <w:r>
              <w:rPr>
                <w:color w:val="000000"/>
              </w:rPr>
              <w:t xml:space="preserve">   </w:t>
            </w:r>
            <w:r>
              <w:rPr>
                <w:rFonts w:hint="eastAsia"/>
                <w:color w:val="000000"/>
              </w:rPr>
              <w:t>（三）未按照规定建立建筑起重机械安全技术档案的。</w:t>
            </w:r>
          </w:p>
        </w:tc>
      </w:tr>
      <w:tr w14:paraId="01EE7D57">
        <w:tblPrEx>
          <w:tblCellMar>
            <w:top w:w="0" w:type="dxa"/>
            <w:left w:w="108" w:type="dxa"/>
            <w:bottom w:w="0" w:type="dxa"/>
            <w:right w:w="108" w:type="dxa"/>
          </w:tblCellMar>
        </w:tblPrEx>
        <w:trPr>
          <w:trHeight w:val="285" w:hRule="atLeast"/>
        </w:trPr>
        <w:tc>
          <w:tcPr>
            <w:tcW w:w="1296" w:type="dxa"/>
            <w:tcBorders>
              <w:top w:val="nil"/>
              <w:left w:val="single" w:color="auto" w:sz="8" w:space="0"/>
              <w:bottom w:val="single" w:color="auto" w:sz="4" w:space="0"/>
              <w:right w:val="single" w:color="auto" w:sz="4" w:space="0"/>
            </w:tcBorders>
            <w:vAlign w:val="center"/>
          </w:tcPr>
          <w:p w14:paraId="4A33D3C0">
            <w:pPr>
              <w:rPr>
                <w:color w:val="000000"/>
              </w:rPr>
            </w:pPr>
            <w:r>
              <w:rPr>
                <w:rFonts w:hint="eastAsia"/>
                <w:color w:val="000000"/>
              </w:rPr>
              <w:t>行使内容</w:t>
            </w:r>
          </w:p>
        </w:tc>
        <w:tc>
          <w:tcPr>
            <w:tcW w:w="12720" w:type="dxa"/>
            <w:gridSpan w:val="3"/>
            <w:tcBorders>
              <w:top w:val="single" w:color="auto" w:sz="4" w:space="0"/>
              <w:left w:val="nil"/>
              <w:bottom w:val="single" w:color="auto" w:sz="4" w:space="0"/>
              <w:right w:val="single" w:color="000000" w:sz="8" w:space="0"/>
            </w:tcBorders>
            <w:vAlign w:val="center"/>
          </w:tcPr>
          <w:p w14:paraId="1BA161F5">
            <w:pPr>
              <w:rPr>
                <w:color w:val="000000"/>
              </w:rPr>
            </w:pPr>
            <w:r>
              <w:rPr>
                <w:rFonts w:hint="eastAsia"/>
                <w:color w:val="000000"/>
              </w:rPr>
              <w:t>警告，罚款</w:t>
            </w:r>
          </w:p>
        </w:tc>
      </w:tr>
      <w:tr w14:paraId="4EECE11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F16F2DD">
            <w:pPr>
              <w:jc w:val="center"/>
              <w:rPr>
                <w:color w:val="000000"/>
              </w:rPr>
            </w:pPr>
            <w:r>
              <w:rPr>
                <w:rFonts w:hint="eastAsia"/>
                <w:color w:val="000000"/>
              </w:rPr>
              <w:t>裁量基准</w:t>
            </w:r>
          </w:p>
        </w:tc>
      </w:tr>
      <w:tr w14:paraId="4FAB3192">
        <w:tblPrEx>
          <w:tblCellMar>
            <w:top w:w="0" w:type="dxa"/>
            <w:left w:w="108" w:type="dxa"/>
            <w:bottom w:w="0" w:type="dxa"/>
            <w:right w:w="108" w:type="dxa"/>
          </w:tblCellMar>
        </w:tblPrEx>
        <w:trPr>
          <w:trHeight w:val="285" w:hRule="atLeast"/>
        </w:trPr>
        <w:tc>
          <w:tcPr>
            <w:tcW w:w="1296" w:type="dxa"/>
            <w:vMerge w:val="restart"/>
            <w:tcBorders>
              <w:top w:val="nil"/>
              <w:left w:val="single" w:color="auto" w:sz="8" w:space="0"/>
              <w:bottom w:val="single" w:color="auto" w:sz="4" w:space="0"/>
              <w:right w:val="single" w:color="auto" w:sz="4" w:space="0"/>
            </w:tcBorders>
            <w:vAlign w:val="center"/>
          </w:tcPr>
          <w:p w14:paraId="68A77F80">
            <w:pPr>
              <w:rPr>
                <w:color w:val="000000"/>
              </w:rPr>
            </w:pPr>
            <w:r>
              <w:rPr>
                <w:rFonts w:hint="eastAsia"/>
                <w:color w:val="000000"/>
              </w:rPr>
              <w:t>情形描述</w:t>
            </w:r>
          </w:p>
        </w:tc>
        <w:tc>
          <w:tcPr>
            <w:tcW w:w="5884" w:type="dxa"/>
            <w:tcBorders>
              <w:top w:val="single" w:color="auto" w:sz="4" w:space="0"/>
              <w:left w:val="nil"/>
              <w:bottom w:val="single" w:color="auto" w:sz="4" w:space="0"/>
              <w:right w:val="single" w:color="auto" w:sz="4" w:space="0"/>
            </w:tcBorders>
            <w:vAlign w:val="center"/>
          </w:tcPr>
          <w:p w14:paraId="7A3C20A9">
            <w:pPr>
              <w:rPr>
                <w:color w:val="000000"/>
              </w:rPr>
            </w:pPr>
            <w:r>
              <w:rPr>
                <w:rFonts w:hint="eastAsia"/>
                <w:color w:val="000000"/>
              </w:rPr>
              <w:t>按要求改正的</w:t>
            </w:r>
          </w:p>
        </w:tc>
        <w:tc>
          <w:tcPr>
            <w:tcW w:w="1076" w:type="dxa"/>
            <w:vMerge w:val="restart"/>
            <w:tcBorders>
              <w:top w:val="nil"/>
              <w:left w:val="single" w:color="auto" w:sz="4" w:space="0"/>
              <w:bottom w:val="single" w:color="auto" w:sz="4" w:space="0"/>
              <w:right w:val="single" w:color="auto" w:sz="4" w:space="0"/>
            </w:tcBorders>
            <w:vAlign w:val="center"/>
          </w:tcPr>
          <w:p w14:paraId="647B0A50">
            <w:pPr>
              <w:rPr>
                <w:color w:val="000000"/>
              </w:rPr>
            </w:pPr>
            <w:r>
              <w:rPr>
                <w:rFonts w:hint="eastAsia"/>
                <w:color w:val="000000"/>
              </w:rPr>
              <w:t>裁量幅度</w:t>
            </w:r>
          </w:p>
        </w:tc>
        <w:tc>
          <w:tcPr>
            <w:tcW w:w="5760" w:type="dxa"/>
            <w:tcBorders>
              <w:top w:val="nil"/>
              <w:left w:val="nil"/>
              <w:bottom w:val="single" w:color="auto" w:sz="4" w:space="0"/>
              <w:right w:val="single" w:color="auto" w:sz="8" w:space="0"/>
            </w:tcBorders>
            <w:vAlign w:val="center"/>
          </w:tcPr>
          <w:p w14:paraId="51DEEF07">
            <w:pPr>
              <w:rPr>
                <w:color w:val="000000"/>
              </w:rPr>
            </w:pPr>
            <w:r>
              <w:rPr>
                <w:rFonts w:hint="eastAsia"/>
                <w:color w:val="000000"/>
              </w:rPr>
              <w:t>处</w:t>
            </w:r>
            <w:r>
              <w:rPr>
                <w:color w:val="000000"/>
              </w:rPr>
              <w:t>5000</w:t>
            </w:r>
            <w:r>
              <w:rPr>
                <w:rFonts w:hint="eastAsia"/>
                <w:color w:val="000000"/>
              </w:rPr>
              <w:t>元以上</w:t>
            </w:r>
            <w:r>
              <w:rPr>
                <w:color w:val="000000"/>
              </w:rPr>
              <w:t>7500</w:t>
            </w:r>
            <w:r>
              <w:rPr>
                <w:rFonts w:hint="eastAsia"/>
                <w:color w:val="000000"/>
              </w:rPr>
              <w:t>元以下的罚款</w:t>
            </w:r>
          </w:p>
        </w:tc>
      </w:tr>
      <w:tr w14:paraId="6F216F97">
        <w:tblPrEx>
          <w:tblCellMar>
            <w:top w:w="0" w:type="dxa"/>
            <w:left w:w="108" w:type="dxa"/>
            <w:bottom w:w="0" w:type="dxa"/>
            <w:right w:w="108" w:type="dxa"/>
          </w:tblCellMar>
        </w:tblPrEx>
        <w:trPr>
          <w:trHeight w:val="285" w:hRule="atLeast"/>
        </w:trPr>
        <w:tc>
          <w:tcPr>
            <w:tcW w:w="1296" w:type="dxa"/>
            <w:vMerge w:val="continue"/>
            <w:tcBorders>
              <w:top w:val="nil"/>
              <w:left w:val="single" w:color="auto" w:sz="8" w:space="0"/>
              <w:bottom w:val="single" w:color="auto" w:sz="4" w:space="0"/>
              <w:right w:val="single" w:color="auto" w:sz="4" w:space="0"/>
            </w:tcBorders>
            <w:vAlign w:val="center"/>
          </w:tcPr>
          <w:p w14:paraId="673DBADC">
            <w:pPr>
              <w:rPr>
                <w:color w:val="000000"/>
              </w:rPr>
            </w:pPr>
          </w:p>
        </w:tc>
        <w:tc>
          <w:tcPr>
            <w:tcW w:w="5884" w:type="dxa"/>
            <w:tcBorders>
              <w:top w:val="single" w:color="auto" w:sz="4" w:space="0"/>
              <w:left w:val="nil"/>
              <w:bottom w:val="single" w:color="auto" w:sz="4" w:space="0"/>
              <w:right w:val="single" w:color="auto" w:sz="4" w:space="0"/>
            </w:tcBorders>
            <w:vAlign w:val="center"/>
          </w:tcPr>
          <w:p w14:paraId="7FAE8C27">
            <w:pPr>
              <w:rPr>
                <w:color w:val="000000"/>
              </w:rPr>
            </w:pPr>
            <w:r>
              <w:rPr>
                <w:rFonts w:hint="eastAsia"/>
                <w:color w:val="000000"/>
              </w:rPr>
              <w:t>未按要求改正的</w:t>
            </w:r>
          </w:p>
        </w:tc>
        <w:tc>
          <w:tcPr>
            <w:tcW w:w="1076" w:type="dxa"/>
            <w:vMerge w:val="continue"/>
            <w:tcBorders>
              <w:top w:val="nil"/>
              <w:left w:val="single" w:color="auto" w:sz="4" w:space="0"/>
              <w:bottom w:val="single" w:color="auto" w:sz="4" w:space="0"/>
              <w:right w:val="single" w:color="auto" w:sz="4" w:space="0"/>
            </w:tcBorders>
            <w:vAlign w:val="center"/>
          </w:tcPr>
          <w:p w14:paraId="19D58D1E">
            <w:pPr>
              <w:rPr>
                <w:color w:val="000000"/>
              </w:rPr>
            </w:pPr>
          </w:p>
        </w:tc>
        <w:tc>
          <w:tcPr>
            <w:tcW w:w="5760" w:type="dxa"/>
            <w:tcBorders>
              <w:top w:val="nil"/>
              <w:left w:val="nil"/>
              <w:bottom w:val="single" w:color="auto" w:sz="4" w:space="0"/>
              <w:right w:val="single" w:color="auto" w:sz="8" w:space="0"/>
            </w:tcBorders>
            <w:vAlign w:val="center"/>
          </w:tcPr>
          <w:p w14:paraId="269EAFDA">
            <w:pPr>
              <w:rPr>
                <w:color w:val="000000"/>
              </w:rPr>
            </w:pPr>
            <w:r>
              <w:rPr>
                <w:rFonts w:hint="eastAsia"/>
                <w:color w:val="000000"/>
              </w:rPr>
              <w:t>处</w:t>
            </w:r>
            <w:r>
              <w:rPr>
                <w:color w:val="000000"/>
              </w:rPr>
              <w:t>7500</w:t>
            </w:r>
            <w:r>
              <w:rPr>
                <w:rFonts w:hint="eastAsia"/>
                <w:color w:val="000000"/>
              </w:rPr>
              <w:t>元以上</w:t>
            </w:r>
            <w:r>
              <w:rPr>
                <w:color w:val="000000"/>
              </w:rPr>
              <w:t>1</w:t>
            </w:r>
            <w:r>
              <w:rPr>
                <w:rFonts w:hint="eastAsia"/>
                <w:color w:val="000000"/>
              </w:rPr>
              <w:t>万元以下的罚款</w:t>
            </w:r>
          </w:p>
        </w:tc>
      </w:tr>
    </w:tbl>
    <w:p w14:paraId="1914E8C1"/>
    <w:p w14:paraId="3298CD8C"/>
    <w:p w14:paraId="11D01852"/>
    <w:tbl>
      <w:tblPr>
        <w:tblStyle w:val="15"/>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5870"/>
        <w:gridCol w:w="1074"/>
        <w:gridCol w:w="5820"/>
      </w:tblGrid>
      <w:tr w14:paraId="233C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1" w:type="dxa"/>
            <w:vAlign w:val="center"/>
          </w:tcPr>
          <w:p w14:paraId="550E4D82">
            <w:pPr>
              <w:jc w:val="center"/>
              <w:rPr>
                <w:color w:val="000000"/>
              </w:rPr>
            </w:pPr>
            <w:r>
              <w:rPr>
                <w:rFonts w:hint="eastAsia"/>
                <w:color w:val="000000"/>
              </w:rPr>
              <w:t>编号</w:t>
            </w:r>
          </w:p>
        </w:tc>
        <w:tc>
          <w:tcPr>
            <w:tcW w:w="12764" w:type="dxa"/>
            <w:gridSpan w:val="3"/>
            <w:vAlign w:val="center"/>
          </w:tcPr>
          <w:p w14:paraId="31981FF8">
            <w:pPr>
              <w:rPr>
                <w:b/>
                <w:bCs/>
                <w:color w:val="000000"/>
              </w:rPr>
            </w:pPr>
            <w:r>
              <w:rPr>
                <w:b/>
                <w:bCs/>
                <w:color w:val="000000"/>
              </w:rPr>
              <w:t>320217640000</w:t>
            </w:r>
          </w:p>
        </w:tc>
      </w:tr>
      <w:tr w14:paraId="014B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1" w:type="dxa"/>
            <w:vAlign w:val="center"/>
          </w:tcPr>
          <w:p w14:paraId="53D8862A">
            <w:pPr>
              <w:jc w:val="center"/>
              <w:rPr>
                <w:color w:val="000000"/>
              </w:rPr>
            </w:pPr>
            <w:r>
              <w:rPr>
                <w:rFonts w:hint="eastAsia"/>
                <w:color w:val="000000"/>
              </w:rPr>
              <w:t>行为名称</w:t>
            </w:r>
          </w:p>
        </w:tc>
        <w:tc>
          <w:tcPr>
            <w:tcW w:w="12764" w:type="dxa"/>
            <w:gridSpan w:val="3"/>
            <w:vAlign w:val="center"/>
          </w:tcPr>
          <w:p w14:paraId="3E1EA6C4">
            <w:pPr>
              <w:rPr>
                <w:color w:val="000000"/>
              </w:rPr>
            </w:pPr>
            <w:r>
              <w:rPr>
                <w:rFonts w:hint="eastAsia"/>
                <w:color w:val="000000"/>
              </w:rPr>
              <w:t>对招标人接受应当拒收的投标文件的处罚</w:t>
            </w:r>
          </w:p>
        </w:tc>
      </w:tr>
      <w:tr w14:paraId="1BC1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5" w:hRule="atLeast"/>
        </w:trPr>
        <w:tc>
          <w:tcPr>
            <w:tcW w:w="1291" w:type="dxa"/>
            <w:vAlign w:val="center"/>
          </w:tcPr>
          <w:p w14:paraId="77FFA4BA">
            <w:pPr>
              <w:jc w:val="center"/>
              <w:rPr>
                <w:color w:val="000000"/>
              </w:rPr>
            </w:pPr>
            <w:r>
              <w:rPr>
                <w:rFonts w:hint="eastAsia"/>
                <w:color w:val="000000"/>
              </w:rPr>
              <w:t>法律依据</w:t>
            </w:r>
          </w:p>
        </w:tc>
        <w:tc>
          <w:tcPr>
            <w:tcW w:w="12764" w:type="dxa"/>
            <w:gridSpan w:val="3"/>
            <w:vAlign w:val="center"/>
          </w:tcPr>
          <w:p w14:paraId="1FB2597D">
            <w:pPr>
              <w:spacing w:line="28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【规章】《工程建设项目施工招标投标办法》（国家发展和改革委员会、工业和信息化部、财政部、住房和城乡建设部、交通运输部、铁道部、水利部、国家广播电影电视总局、中国民用航空局令第</w:t>
            </w:r>
            <w:r>
              <w:rPr>
                <w:color w:val="000000"/>
              </w:rPr>
              <w:t>30</w:t>
            </w:r>
            <w:r>
              <w:rPr>
                <w:rFonts w:hint="eastAsia"/>
                <w:color w:val="000000"/>
              </w:rPr>
              <w:t>号，已根据《关于废止和修改部分招标投标规章和规范性文件的决定》修改）</w:t>
            </w:r>
            <w:r>
              <w:rPr>
                <w:color w:val="000000"/>
              </w:rPr>
              <w:br w:type="textWrapping"/>
            </w:r>
            <w:r>
              <w:rPr>
                <w:rFonts w:hint="eastAsia"/>
                <w:color w:val="000000"/>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r>
              <w:rPr>
                <w:color w:val="000000"/>
              </w:rPr>
              <w:br w:type="textWrapping"/>
            </w:r>
            <w:r>
              <w:rPr>
                <w:rFonts w:hint="eastAsia"/>
                <w:color w:val="000000"/>
              </w:rPr>
              <w:t>招标人有下列情形之一的，由有关行政监督部门责令改正，可以处</w:t>
            </w:r>
            <w:r>
              <w:rPr>
                <w:color w:val="000000"/>
              </w:rPr>
              <w:t>10</w:t>
            </w:r>
            <w:r>
              <w:rPr>
                <w:rFonts w:hint="eastAsia"/>
                <w:color w:val="000000"/>
              </w:rPr>
              <w:t>万元以下的罚款：</w:t>
            </w:r>
            <w:r>
              <w:rPr>
                <w:color w:val="000000"/>
              </w:rPr>
              <w:br w:type="textWrapping"/>
            </w:r>
            <w:r>
              <w:rPr>
                <w:color w:val="000000"/>
              </w:rPr>
              <w:t xml:space="preserve">   </w:t>
            </w:r>
            <w:r>
              <w:rPr>
                <w:rFonts w:hint="eastAsia"/>
                <w:color w:val="000000"/>
              </w:rPr>
              <w:t>（四）接受应当拒收的投标文件。</w:t>
            </w:r>
            <w:r>
              <w:rPr>
                <w:color w:val="000000"/>
              </w:rPr>
              <w:br w:type="textWrapping"/>
            </w:r>
            <w:r>
              <w:rPr>
                <w:rFonts w:hint="eastAsia"/>
                <w:color w:val="000000"/>
              </w:rPr>
              <w:t>【规章】《工程建设项目勘察设计招标投标办法》（国家发展和改革委员会、工业和信息化部、财政部、住房和城乡建设部、交通运输部、铁道部、水利部、国家广播电影电视总局、中国民用航空局令第</w:t>
            </w:r>
            <w:r>
              <w:rPr>
                <w:color w:val="000000"/>
              </w:rPr>
              <w:t>2</w:t>
            </w:r>
            <w:r>
              <w:rPr>
                <w:rFonts w:hint="eastAsia"/>
                <w:color w:val="000000"/>
              </w:rPr>
              <w:t>号，已根据《关于废止和修改部分招标投标规章和规范性文件的决定》修改）</w:t>
            </w:r>
            <w:r>
              <w:rPr>
                <w:color w:val="000000"/>
              </w:rPr>
              <w:br w:type="textWrapping"/>
            </w:r>
            <w:r>
              <w:rPr>
                <w:rFonts w:hint="eastAsia"/>
                <w:color w:val="000000"/>
              </w:rPr>
              <w:t>　</w:t>
            </w:r>
            <w:r>
              <w:rPr>
                <w:color w:val="000000"/>
              </w:rPr>
              <w:t xml:space="preserve">  </w:t>
            </w:r>
            <w:r>
              <w:rPr>
                <w:rFonts w:hint="eastAsia"/>
                <w:color w:val="000000"/>
              </w:rPr>
              <w:t>第五十一条　招标人有下列情形之一的，由有关行政监督部门责令改正，可以处</w:t>
            </w:r>
            <w:r>
              <w:rPr>
                <w:color w:val="000000"/>
              </w:rPr>
              <w:t>10</w:t>
            </w:r>
            <w:r>
              <w:rPr>
                <w:rFonts w:hint="eastAsia"/>
                <w:color w:val="000000"/>
              </w:rPr>
              <w:t>万元以下的罚款：</w:t>
            </w:r>
            <w:r>
              <w:rPr>
                <w:color w:val="000000"/>
              </w:rPr>
              <w:br w:type="textWrapping"/>
            </w:r>
            <w:r>
              <w:rPr>
                <w:color w:val="000000"/>
              </w:rPr>
              <w:t xml:space="preserve">   </w:t>
            </w:r>
            <w:r>
              <w:rPr>
                <w:rFonts w:hint="eastAsia"/>
                <w:color w:val="000000"/>
              </w:rPr>
              <w:t>（四）接受应当拒收的投标文件。</w:t>
            </w:r>
            <w:r>
              <w:rPr>
                <w:color w:val="000000"/>
              </w:rPr>
              <w:br w:type="textWrapping"/>
            </w:r>
            <w:r>
              <w:rPr>
                <w:rFonts w:hint="eastAsia"/>
                <w:color w:val="000000"/>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rPr>
              <w:t>27</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r>
              <w:rPr>
                <w:color w:val="000000"/>
              </w:rPr>
              <w:br w:type="textWrapping"/>
            </w:r>
            <w:r>
              <w:rPr>
                <w:color w:val="000000"/>
              </w:rPr>
              <w:t xml:space="preserve">   </w:t>
            </w:r>
            <w:r>
              <w:rPr>
                <w:rFonts w:hint="eastAsia"/>
                <w:color w:val="000000"/>
              </w:rPr>
              <w:t>第五十六条　招标人有下列情形之一的，由有关行政监督部门责令改正，可以处</w:t>
            </w:r>
            <w:r>
              <w:rPr>
                <w:color w:val="000000"/>
              </w:rPr>
              <w:t>10</w:t>
            </w:r>
            <w:r>
              <w:rPr>
                <w:rFonts w:hint="eastAsia"/>
                <w:color w:val="000000"/>
              </w:rPr>
              <w:t>万元以下的罚款：</w:t>
            </w:r>
            <w:r>
              <w:rPr>
                <w:color w:val="000000"/>
              </w:rPr>
              <w:br w:type="textWrapping"/>
            </w:r>
            <w:r>
              <w:rPr>
                <w:color w:val="000000"/>
              </w:rPr>
              <w:t xml:space="preserve">   </w:t>
            </w:r>
            <w:r>
              <w:rPr>
                <w:rFonts w:hint="eastAsia"/>
                <w:color w:val="000000"/>
              </w:rPr>
              <w:t>（四）接受应当拒收的投标文件。</w:t>
            </w:r>
          </w:p>
        </w:tc>
      </w:tr>
      <w:tr w14:paraId="79425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1" w:type="dxa"/>
            <w:vAlign w:val="center"/>
          </w:tcPr>
          <w:p w14:paraId="4A780762">
            <w:pPr>
              <w:rPr>
                <w:color w:val="000000"/>
              </w:rPr>
            </w:pPr>
            <w:r>
              <w:rPr>
                <w:rFonts w:hint="eastAsia"/>
                <w:color w:val="000000"/>
              </w:rPr>
              <w:t>行使内容</w:t>
            </w:r>
          </w:p>
        </w:tc>
        <w:tc>
          <w:tcPr>
            <w:tcW w:w="12764" w:type="dxa"/>
            <w:gridSpan w:val="3"/>
            <w:vAlign w:val="center"/>
          </w:tcPr>
          <w:p w14:paraId="6C4FB06D">
            <w:pPr>
              <w:rPr>
                <w:color w:val="000000"/>
              </w:rPr>
            </w:pPr>
            <w:r>
              <w:rPr>
                <w:rFonts w:hint="eastAsia"/>
                <w:color w:val="000000"/>
              </w:rPr>
              <w:t>罚款</w:t>
            </w:r>
          </w:p>
        </w:tc>
      </w:tr>
      <w:tr w14:paraId="2C3C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55" w:type="dxa"/>
            <w:gridSpan w:val="4"/>
            <w:vAlign w:val="center"/>
          </w:tcPr>
          <w:p w14:paraId="1BC57A1B">
            <w:pPr>
              <w:jc w:val="center"/>
              <w:rPr>
                <w:color w:val="000000"/>
              </w:rPr>
            </w:pPr>
            <w:r>
              <w:rPr>
                <w:rFonts w:hint="eastAsia"/>
                <w:color w:val="000000"/>
              </w:rPr>
              <w:t>裁量基准</w:t>
            </w:r>
          </w:p>
        </w:tc>
      </w:tr>
      <w:tr w14:paraId="5D6C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1" w:type="dxa"/>
            <w:vMerge w:val="restart"/>
            <w:vAlign w:val="center"/>
          </w:tcPr>
          <w:p w14:paraId="3A0FE57B">
            <w:pPr>
              <w:rPr>
                <w:color w:val="000000"/>
              </w:rPr>
            </w:pPr>
            <w:r>
              <w:rPr>
                <w:rFonts w:hint="eastAsia"/>
                <w:color w:val="000000"/>
                <w:kern w:val="0"/>
                <w:sz w:val="18"/>
                <w:szCs w:val="18"/>
              </w:rPr>
              <w:t>情形描述</w:t>
            </w:r>
          </w:p>
        </w:tc>
        <w:tc>
          <w:tcPr>
            <w:tcW w:w="5870" w:type="dxa"/>
            <w:vAlign w:val="center"/>
          </w:tcPr>
          <w:p w14:paraId="2B9ACFBB">
            <w:pPr>
              <w:rPr>
                <w:color w:val="000000"/>
              </w:rPr>
            </w:pPr>
            <w:r>
              <w:rPr>
                <w:rFonts w:hint="eastAsia"/>
                <w:color w:val="000000"/>
                <w:kern w:val="0"/>
                <w:sz w:val="18"/>
                <w:szCs w:val="18"/>
              </w:rPr>
              <w:t>接受应当拒收的投标文件，及时纠正的</w:t>
            </w:r>
          </w:p>
        </w:tc>
        <w:tc>
          <w:tcPr>
            <w:tcW w:w="1074" w:type="dxa"/>
            <w:vMerge w:val="restart"/>
            <w:vAlign w:val="center"/>
          </w:tcPr>
          <w:p w14:paraId="7F057C2A">
            <w:pPr>
              <w:rPr>
                <w:color w:val="000000"/>
              </w:rPr>
            </w:pPr>
            <w:r>
              <w:rPr>
                <w:rFonts w:hint="eastAsia"/>
                <w:color w:val="000000"/>
                <w:kern w:val="0"/>
                <w:sz w:val="18"/>
                <w:szCs w:val="18"/>
              </w:rPr>
              <w:t>裁量幅度</w:t>
            </w:r>
          </w:p>
        </w:tc>
        <w:tc>
          <w:tcPr>
            <w:tcW w:w="5820" w:type="dxa"/>
            <w:vAlign w:val="center"/>
          </w:tcPr>
          <w:p w14:paraId="75CB281B">
            <w:pPr>
              <w:rPr>
                <w:color w:val="000000"/>
              </w:rPr>
            </w:pPr>
            <w:r>
              <w:rPr>
                <w:rFonts w:hint="eastAsia"/>
                <w:color w:val="000000"/>
                <w:kern w:val="0"/>
                <w:sz w:val="18"/>
                <w:szCs w:val="18"/>
              </w:rPr>
              <w:t>责令限期改正，处</w:t>
            </w:r>
            <w:r>
              <w:rPr>
                <w:color w:val="000000"/>
                <w:kern w:val="0"/>
                <w:sz w:val="18"/>
                <w:szCs w:val="18"/>
              </w:rPr>
              <w:t>5</w:t>
            </w:r>
            <w:r>
              <w:rPr>
                <w:rFonts w:hint="eastAsia"/>
                <w:color w:val="000000"/>
                <w:kern w:val="0"/>
                <w:sz w:val="18"/>
                <w:szCs w:val="18"/>
              </w:rPr>
              <w:t>万元以下的罚款</w:t>
            </w:r>
          </w:p>
        </w:tc>
      </w:tr>
      <w:tr w14:paraId="23E7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91" w:type="dxa"/>
            <w:vMerge w:val="continue"/>
            <w:vAlign w:val="center"/>
          </w:tcPr>
          <w:p w14:paraId="23AEC34F">
            <w:pPr>
              <w:rPr>
                <w:color w:val="000000"/>
              </w:rPr>
            </w:pPr>
          </w:p>
        </w:tc>
        <w:tc>
          <w:tcPr>
            <w:tcW w:w="5870" w:type="dxa"/>
            <w:vAlign w:val="center"/>
          </w:tcPr>
          <w:p w14:paraId="69DEA64A">
            <w:pPr>
              <w:rPr>
                <w:color w:val="000000"/>
              </w:rPr>
            </w:pPr>
            <w:r>
              <w:rPr>
                <w:rFonts w:hint="eastAsia"/>
                <w:color w:val="000000"/>
                <w:kern w:val="0"/>
                <w:sz w:val="18"/>
                <w:szCs w:val="18"/>
              </w:rPr>
              <w:t>接受应当拒收的投标文件，拒不纠正的</w:t>
            </w:r>
          </w:p>
        </w:tc>
        <w:tc>
          <w:tcPr>
            <w:tcW w:w="1074" w:type="dxa"/>
            <w:vMerge w:val="continue"/>
            <w:vAlign w:val="center"/>
          </w:tcPr>
          <w:p w14:paraId="67AF5C2A">
            <w:pPr>
              <w:rPr>
                <w:color w:val="000000"/>
              </w:rPr>
            </w:pPr>
          </w:p>
        </w:tc>
        <w:tc>
          <w:tcPr>
            <w:tcW w:w="5820" w:type="dxa"/>
            <w:vAlign w:val="center"/>
          </w:tcPr>
          <w:p w14:paraId="325BC61E">
            <w:pPr>
              <w:rPr>
                <w:color w:val="000000"/>
              </w:rPr>
            </w:pPr>
            <w:r>
              <w:rPr>
                <w:rFonts w:hint="eastAsia"/>
                <w:color w:val="000000"/>
                <w:kern w:val="0"/>
                <w:sz w:val="18"/>
                <w:szCs w:val="18"/>
              </w:rPr>
              <w:t>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03624F47"/>
    <w:p w14:paraId="2142F113"/>
    <w:tbl>
      <w:tblPr>
        <w:tblStyle w:val="15"/>
        <w:tblW w:w="0" w:type="auto"/>
        <w:tblInd w:w="93" w:type="dxa"/>
        <w:tblLayout w:type="fixed"/>
        <w:tblCellMar>
          <w:top w:w="0" w:type="dxa"/>
          <w:left w:w="108" w:type="dxa"/>
          <w:bottom w:w="0" w:type="dxa"/>
          <w:right w:w="108" w:type="dxa"/>
        </w:tblCellMar>
      </w:tblPr>
      <w:tblGrid>
        <w:gridCol w:w="991"/>
        <w:gridCol w:w="6140"/>
        <w:gridCol w:w="1014"/>
        <w:gridCol w:w="5880"/>
      </w:tblGrid>
      <w:tr w14:paraId="3C58871D">
        <w:tblPrEx>
          <w:tblCellMar>
            <w:top w:w="0" w:type="dxa"/>
            <w:left w:w="108" w:type="dxa"/>
            <w:bottom w:w="0" w:type="dxa"/>
            <w:right w:w="108" w:type="dxa"/>
          </w:tblCellMar>
        </w:tblPrEx>
        <w:trPr>
          <w:trHeight w:val="285" w:hRule="atLeast"/>
        </w:trPr>
        <w:tc>
          <w:tcPr>
            <w:tcW w:w="991" w:type="dxa"/>
            <w:tcBorders>
              <w:top w:val="single" w:color="auto" w:sz="8" w:space="0"/>
              <w:left w:val="single" w:color="auto" w:sz="8" w:space="0"/>
              <w:bottom w:val="single" w:color="auto" w:sz="4" w:space="0"/>
              <w:right w:val="single" w:color="auto" w:sz="4" w:space="0"/>
            </w:tcBorders>
            <w:vAlign w:val="center"/>
          </w:tcPr>
          <w:p w14:paraId="6FDE6C68">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6CE0922A">
            <w:pPr>
              <w:spacing w:line="320" w:lineRule="exact"/>
              <w:jc w:val="left"/>
              <w:rPr>
                <w:rFonts w:eastAsia="仿宋_GB2312"/>
                <w:b/>
                <w:bCs/>
                <w:color w:val="000000"/>
                <w:kern w:val="0"/>
                <w:sz w:val="18"/>
                <w:szCs w:val="18"/>
              </w:rPr>
            </w:pPr>
            <w:r>
              <w:rPr>
                <w:rFonts w:eastAsia="仿宋_GB2312"/>
                <w:b/>
                <w:bCs/>
                <w:color w:val="000000"/>
                <w:kern w:val="0"/>
                <w:sz w:val="18"/>
                <w:szCs w:val="18"/>
              </w:rPr>
              <w:t>320217641000</w:t>
            </w:r>
            <w:r>
              <w:rPr>
                <w:rFonts w:hint="eastAsia" w:eastAsia="仿宋_GB2312"/>
                <w:b/>
                <w:bCs/>
                <w:color w:val="000000"/>
                <w:kern w:val="0"/>
                <w:sz w:val="18"/>
                <w:szCs w:val="18"/>
              </w:rPr>
              <w:t xml:space="preserve"> </w:t>
            </w:r>
          </w:p>
        </w:tc>
      </w:tr>
      <w:tr w14:paraId="6887FE35">
        <w:tblPrEx>
          <w:tblCellMar>
            <w:top w:w="0" w:type="dxa"/>
            <w:left w:w="108" w:type="dxa"/>
            <w:bottom w:w="0" w:type="dxa"/>
            <w:right w:w="108" w:type="dxa"/>
          </w:tblCellMar>
        </w:tblPrEx>
        <w:trPr>
          <w:trHeight w:val="285" w:hRule="atLeast"/>
        </w:trPr>
        <w:tc>
          <w:tcPr>
            <w:tcW w:w="991" w:type="dxa"/>
            <w:tcBorders>
              <w:top w:val="nil"/>
              <w:left w:val="single" w:color="auto" w:sz="8" w:space="0"/>
              <w:bottom w:val="single" w:color="auto" w:sz="4" w:space="0"/>
              <w:right w:val="single" w:color="auto" w:sz="4" w:space="0"/>
            </w:tcBorders>
            <w:vAlign w:val="center"/>
          </w:tcPr>
          <w:p w14:paraId="1B8CB678">
            <w:pPr>
              <w:spacing w:line="320" w:lineRule="exact"/>
              <w:jc w:val="center"/>
              <w:rPr>
                <w:color w:val="000000"/>
                <w:kern w:val="0"/>
                <w:sz w:val="18"/>
                <w:szCs w:val="18"/>
              </w:rPr>
            </w:pPr>
            <w:r>
              <w:rPr>
                <w:rFonts w:hint="eastAsia"/>
                <w:color w:val="000000"/>
                <w:kern w:val="0"/>
                <w:sz w:val="18"/>
                <w:szCs w:val="18"/>
              </w:rPr>
              <w:t>权力名称</w:t>
            </w:r>
          </w:p>
        </w:tc>
        <w:tc>
          <w:tcPr>
            <w:tcW w:w="13034" w:type="dxa"/>
            <w:gridSpan w:val="3"/>
            <w:tcBorders>
              <w:top w:val="single" w:color="auto" w:sz="4" w:space="0"/>
              <w:left w:val="nil"/>
              <w:bottom w:val="single" w:color="auto" w:sz="4" w:space="0"/>
              <w:right w:val="single" w:color="000000" w:sz="8" w:space="0"/>
            </w:tcBorders>
            <w:vAlign w:val="center"/>
          </w:tcPr>
          <w:p w14:paraId="7A4F3E3D">
            <w:pPr>
              <w:rPr>
                <w:color w:val="000000"/>
              </w:rPr>
            </w:pPr>
            <w:r>
              <w:rPr>
                <w:rFonts w:hint="eastAsia"/>
                <w:color w:val="000000"/>
              </w:rPr>
              <w:t>对擅自挖掘、占压、拆移供水管道及其附属设施的处罚</w:t>
            </w:r>
          </w:p>
        </w:tc>
      </w:tr>
      <w:tr w14:paraId="61CB3F8C">
        <w:tblPrEx>
          <w:tblCellMar>
            <w:top w:w="0" w:type="dxa"/>
            <w:left w:w="108" w:type="dxa"/>
            <w:bottom w:w="0" w:type="dxa"/>
            <w:right w:w="108" w:type="dxa"/>
          </w:tblCellMar>
        </w:tblPrEx>
        <w:trPr>
          <w:trHeight w:val="1710" w:hRule="atLeast"/>
        </w:trPr>
        <w:tc>
          <w:tcPr>
            <w:tcW w:w="991" w:type="dxa"/>
            <w:tcBorders>
              <w:top w:val="nil"/>
              <w:left w:val="single" w:color="auto" w:sz="8" w:space="0"/>
              <w:bottom w:val="single" w:color="auto" w:sz="4" w:space="0"/>
              <w:right w:val="single" w:color="auto" w:sz="4" w:space="0"/>
            </w:tcBorders>
            <w:vAlign w:val="center"/>
          </w:tcPr>
          <w:p w14:paraId="480B5379">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5F02DF94">
            <w:pPr>
              <w:spacing w:line="280" w:lineRule="exact"/>
              <w:rPr>
                <w:color w:val="000000"/>
              </w:rPr>
            </w:pPr>
            <w:r>
              <w:rPr>
                <w:rFonts w:hint="eastAsia"/>
                <w:color w:val="000000"/>
              </w:rPr>
              <w:t>【行政法规】《城市供水条例》（1994年7月19日国务院令第158号发布，根据国务院令第698号、国务院令第726号修订）</w:t>
            </w:r>
          </w:p>
          <w:p w14:paraId="63EAD921">
            <w:pPr>
              <w:spacing w:line="280" w:lineRule="exact"/>
              <w:rPr>
                <w:color w:val="000000"/>
              </w:rPr>
            </w:pPr>
            <w:r>
              <w:rPr>
                <w:rFonts w:hint="eastAsia"/>
                <w:color w:val="000000"/>
              </w:rPr>
              <w:t xml:space="preserve">        第三十条 因工程建设确需改装、拆除或者迁移城市公共供水设施的，建设单位应当报经县级以上人民政府城市规划行政主管部门和城市供水行政主管部门批准，并采取相应的补救措施。</w:t>
            </w:r>
          </w:p>
          <w:p w14:paraId="757CFA8D">
            <w:pPr>
              <w:spacing w:line="280" w:lineRule="exact"/>
              <w:rPr>
                <w:color w:val="000000"/>
              </w:rPr>
            </w:pPr>
            <w:r>
              <w:rPr>
                <w:rFonts w:hint="eastAsia"/>
                <w:color w:val="000000"/>
              </w:rPr>
              <w:t xml:space="preserve">        第三十五条 违反本条例规定，有下列行为之一的，由城市供水行政主管部门或者其授权的单位责令限期改正，可以处以罚款：</w:t>
            </w:r>
          </w:p>
          <w:p w14:paraId="0461B02E">
            <w:pPr>
              <w:spacing w:line="280" w:lineRule="exact"/>
              <w:rPr>
                <w:color w:val="000000"/>
              </w:rPr>
            </w:pPr>
            <w:r>
              <w:rPr>
                <w:rFonts w:hint="eastAsia"/>
                <w:color w:val="000000"/>
              </w:rPr>
              <w:t xml:space="preserve">     （六）擅自拆除、改装或者迁移城市公共供水设施的。</w:t>
            </w:r>
          </w:p>
          <w:p w14:paraId="1737CEFC">
            <w:pPr>
              <w:spacing w:line="280" w:lineRule="exact"/>
              <w:rPr>
                <w:color w:val="000000"/>
              </w:rPr>
            </w:pPr>
            <w:r>
              <w:rPr>
                <w:rFonts w:hint="eastAsia"/>
                <w:color w:val="000000"/>
              </w:rPr>
              <w:t xml:space="preserve">        有前款第(一)项、第(三)项、第(四)项、第(五)项、第(六)项所列行为之一，情节严重的，经县级以上人民政府批准，还可以在一定时间内停止供水。</w:t>
            </w:r>
          </w:p>
          <w:p w14:paraId="5F5880AA">
            <w:pPr>
              <w:spacing w:line="280" w:lineRule="exact"/>
              <w:rPr>
                <w:color w:val="000000"/>
              </w:rPr>
            </w:pPr>
            <w:r>
              <w:rPr>
                <w:rFonts w:hint="eastAsia"/>
                <w:color w:val="000000"/>
              </w:rPr>
              <w:t>【地方性法规】《江苏省城乡供水管理条例》</w:t>
            </w:r>
          </w:p>
          <w:p w14:paraId="6731EBC1">
            <w:pPr>
              <w:spacing w:line="280" w:lineRule="exact"/>
              <w:rPr>
                <w:color w:val="000000"/>
              </w:rPr>
            </w:pPr>
            <w:r>
              <w:rPr>
                <w:rFonts w:hint="eastAsia"/>
                <w:color w:val="000000"/>
              </w:rPr>
              <w:t xml:space="preserve">       第二十八条 禁止任何单位或者个人从事下列活动：</w:t>
            </w:r>
          </w:p>
          <w:p w14:paraId="0086116D">
            <w:pPr>
              <w:spacing w:line="280" w:lineRule="exact"/>
              <w:rPr>
                <w:color w:val="000000"/>
              </w:rPr>
            </w:pPr>
            <w:r>
              <w:rPr>
                <w:rFonts w:hint="eastAsia"/>
                <w:color w:val="000000"/>
              </w:rPr>
              <w:t xml:space="preserve">       （三）擅自挖掘、占压、拆移供水管道及其附属设施。</w:t>
            </w:r>
          </w:p>
          <w:p w14:paraId="5E146495">
            <w:pPr>
              <w:spacing w:line="280" w:lineRule="exact"/>
              <w:rPr>
                <w:color w:val="000000"/>
              </w:rPr>
            </w:pPr>
            <w:r>
              <w:rPr>
                <w:rFonts w:hint="eastAsia"/>
                <w:color w:val="000000"/>
              </w:rPr>
              <w:t xml:space="preserve">        第五十四条 违反本条例规定，有下列行为之一的，由城乡供水主管部门责令改正，有违法所得的没收违法所得，并处以三千元以上三万元以下罚款；造成损失的，赔偿损失；构成犯罪的，依法追究刑事责任：</w:t>
            </w:r>
          </w:p>
          <w:p w14:paraId="36AE899F">
            <w:pPr>
              <w:spacing w:line="280" w:lineRule="exact"/>
              <w:rPr>
                <w:color w:val="000000"/>
              </w:rPr>
            </w:pPr>
            <w:r>
              <w:rPr>
                <w:rFonts w:hint="eastAsia"/>
                <w:color w:val="000000"/>
              </w:rPr>
              <w:t xml:space="preserve">  （一）擅自挖掘、占压、拆移供水管道及其附属设施的；</w:t>
            </w:r>
          </w:p>
        </w:tc>
      </w:tr>
      <w:tr w14:paraId="37844B49">
        <w:tblPrEx>
          <w:tblCellMar>
            <w:top w:w="0" w:type="dxa"/>
            <w:left w:w="108" w:type="dxa"/>
            <w:bottom w:w="0" w:type="dxa"/>
            <w:right w:w="108" w:type="dxa"/>
          </w:tblCellMar>
        </w:tblPrEx>
        <w:trPr>
          <w:trHeight w:val="285" w:hRule="atLeast"/>
        </w:trPr>
        <w:tc>
          <w:tcPr>
            <w:tcW w:w="991" w:type="dxa"/>
            <w:tcBorders>
              <w:top w:val="nil"/>
              <w:left w:val="single" w:color="auto" w:sz="8" w:space="0"/>
              <w:bottom w:val="single" w:color="auto" w:sz="4" w:space="0"/>
              <w:right w:val="single" w:color="auto" w:sz="4" w:space="0"/>
            </w:tcBorders>
            <w:vAlign w:val="center"/>
          </w:tcPr>
          <w:p w14:paraId="10DA0252">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12757F57">
            <w:pPr>
              <w:spacing w:line="320" w:lineRule="exact"/>
              <w:jc w:val="left"/>
              <w:rPr>
                <w:color w:val="000000"/>
                <w:kern w:val="0"/>
                <w:sz w:val="18"/>
                <w:szCs w:val="18"/>
              </w:rPr>
            </w:pPr>
            <w:r>
              <w:rPr>
                <w:rFonts w:hint="eastAsia"/>
                <w:color w:val="000000"/>
                <w:kern w:val="0"/>
                <w:sz w:val="18"/>
                <w:szCs w:val="18"/>
              </w:rPr>
              <w:t>责令改正，没收违法所得，罚款，停止供水</w:t>
            </w:r>
          </w:p>
        </w:tc>
      </w:tr>
      <w:tr w14:paraId="2ACF9D8B">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31E3A0BB">
            <w:pPr>
              <w:spacing w:line="320" w:lineRule="exact"/>
              <w:jc w:val="center"/>
              <w:rPr>
                <w:color w:val="000000"/>
                <w:kern w:val="0"/>
                <w:sz w:val="18"/>
                <w:szCs w:val="18"/>
              </w:rPr>
            </w:pPr>
            <w:r>
              <w:rPr>
                <w:rFonts w:hint="eastAsia"/>
                <w:color w:val="000000"/>
                <w:kern w:val="0"/>
                <w:sz w:val="18"/>
                <w:szCs w:val="18"/>
              </w:rPr>
              <w:t>裁量基准</w:t>
            </w:r>
          </w:p>
        </w:tc>
      </w:tr>
      <w:tr w14:paraId="2D9F22EB">
        <w:tblPrEx>
          <w:tblCellMar>
            <w:top w:w="0" w:type="dxa"/>
            <w:left w:w="108" w:type="dxa"/>
            <w:bottom w:w="0" w:type="dxa"/>
            <w:right w:w="108" w:type="dxa"/>
          </w:tblCellMar>
        </w:tblPrEx>
        <w:trPr>
          <w:trHeight w:val="285" w:hRule="atLeast"/>
        </w:trPr>
        <w:tc>
          <w:tcPr>
            <w:tcW w:w="991" w:type="dxa"/>
            <w:vMerge w:val="restart"/>
            <w:tcBorders>
              <w:top w:val="nil"/>
              <w:left w:val="single" w:color="auto" w:sz="8" w:space="0"/>
              <w:bottom w:val="single" w:color="auto" w:sz="4" w:space="0"/>
              <w:right w:val="single" w:color="auto" w:sz="4" w:space="0"/>
            </w:tcBorders>
            <w:vAlign w:val="center"/>
          </w:tcPr>
          <w:p w14:paraId="3FA769D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399C0EA">
            <w:pPr>
              <w:spacing w:line="320" w:lineRule="exact"/>
              <w:jc w:val="left"/>
              <w:rPr>
                <w:color w:val="000000"/>
                <w:kern w:val="0"/>
                <w:sz w:val="18"/>
                <w:szCs w:val="18"/>
              </w:rPr>
            </w:pPr>
            <w:r>
              <w:rPr>
                <w:rFonts w:hint="eastAsia"/>
                <w:color w:val="000000"/>
                <w:kern w:val="0"/>
                <w:sz w:val="18"/>
                <w:szCs w:val="18"/>
              </w:rPr>
              <w:t>没有造成影响的</w:t>
            </w:r>
          </w:p>
        </w:tc>
        <w:tc>
          <w:tcPr>
            <w:tcW w:w="1014" w:type="dxa"/>
            <w:vMerge w:val="restart"/>
            <w:tcBorders>
              <w:top w:val="nil"/>
              <w:left w:val="single" w:color="auto" w:sz="4" w:space="0"/>
              <w:bottom w:val="single" w:color="auto" w:sz="4" w:space="0"/>
              <w:right w:val="single" w:color="auto" w:sz="4" w:space="0"/>
            </w:tcBorders>
            <w:vAlign w:val="center"/>
          </w:tcPr>
          <w:p w14:paraId="5E3707BF">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color="auto" w:sz="4" w:space="0"/>
              <w:right w:val="single" w:color="auto" w:sz="8" w:space="0"/>
            </w:tcBorders>
            <w:vAlign w:val="center"/>
          </w:tcPr>
          <w:p w14:paraId="0A486C6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1D33CCEC">
        <w:tblPrEx>
          <w:tblCellMar>
            <w:top w:w="0" w:type="dxa"/>
            <w:left w:w="108" w:type="dxa"/>
            <w:bottom w:w="0" w:type="dxa"/>
            <w:right w:w="108" w:type="dxa"/>
          </w:tblCellMar>
        </w:tblPrEx>
        <w:trPr>
          <w:trHeight w:val="285" w:hRule="atLeast"/>
        </w:trPr>
        <w:tc>
          <w:tcPr>
            <w:tcW w:w="991" w:type="dxa"/>
            <w:vMerge w:val="continue"/>
            <w:tcBorders>
              <w:top w:val="nil"/>
              <w:left w:val="single" w:color="auto" w:sz="8" w:space="0"/>
              <w:bottom w:val="single" w:color="auto" w:sz="4" w:space="0"/>
              <w:right w:val="single" w:color="auto" w:sz="4" w:space="0"/>
            </w:tcBorders>
            <w:vAlign w:val="center"/>
          </w:tcPr>
          <w:p w14:paraId="2C1E3D1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9292F97">
            <w:pPr>
              <w:spacing w:line="320" w:lineRule="exact"/>
              <w:jc w:val="left"/>
              <w:rPr>
                <w:color w:val="000000"/>
                <w:kern w:val="0"/>
                <w:sz w:val="18"/>
                <w:szCs w:val="18"/>
              </w:rPr>
            </w:pPr>
            <w:r>
              <w:rPr>
                <w:rFonts w:hint="eastAsia"/>
                <w:color w:val="000000"/>
                <w:kern w:val="0"/>
                <w:sz w:val="18"/>
                <w:szCs w:val="18"/>
              </w:rPr>
              <w:t>造成影响或者损失的</w:t>
            </w:r>
          </w:p>
        </w:tc>
        <w:tc>
          <w:tcPr>
            <w:tcW w:w="1014" w:type="dxa"/>
            <w:vMerge w:val="continue"/>
            <w:tcBorders>
              <w:top w:val="nil"/>
              <w:left w:val="single" w:color="auto" w:sz="4" w:space="0"/>
              <w:bottom w:val="single" w:color="auto" w:sz="4" w:space="0"/>
              <w:right w:val="single" w:color="auto" w:sz="4" w:space="0"/>
            </w:tcBorders>
            <w:vAlign w:val="center"/>
          </w:tcPr>
          <w:p w14:paraId="449DC520">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5DB2B40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3E43E4E4">
        <w:tblPrEx>
          <w:tblCellMar>
            <w:top w:w="0" w:type="dxa"/>
            <w:left w:w="108" w:type="dxa"/>
            <w:bottom w:w="0" w:type="dxa"/>
            <w:right w:w="108" w:type="dxa"/>
          </w:tblCellMar>
        </w:tblPrEx>
        <w:trPr>
          <w:trHeight w:val="285" w:hRule="atLeast"/>
        </w:trPr>
        <w:tc>
          <w:tcPr>
            <w:tcW w:w="991" w:type="dxa"/>
            <w:vMerge w:val="continue"/>
            <w:tcBorders>
              <w:top w:val="nil"/>
              <w:left w:val="single" w:color="auto" w:sz="8" w:space="0"/>
              <w:bottom w:val="single" w:color="auto" w:sz="4" w:space="0"/>
              <w:right w:val="single" w:color="auto" w:sz="4" w:space="0"/>
            </w:tcBorders>
            <w:vAlign w:val="center"/>
          </w:tcPr>
          <w:p w14:paraId="62A7241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DCD8239">
            <w:pPr>
              <w:spacing w:line="320" w:lineRule="exact"/>
              <w:jc w:val="left"/>
              <w:rPr>
                <w:color w:val="000000"/>
                <w:kern w:val="0"/>
                <w:sz w:val="18"/>
                <w:szCs w:val="18"/>
              </w:rPr>
            </w:pPr>
            <w:r>
              <w:rPr>
                <w:rFonts w:hint="eastAsia"/>
                <w:color w:val="000000"/>
                <w:kern w:val="0"/>
                <w:sz w:val="18"/>
                <w:szCs w:val="18"/>
              </w:rPr>
              <w:t>造成较大影响或者损失的</w:t>
            </w:r>
          </w:p>
        </w:tc>
        <w:tc>
          <w:tcPr>
            <w:tcW w:w="1014" w:type="dxa"/>
            <w:vMerge w:val="continue"/>
            <w:tcBorders>
              <w:top w:val="nil"/>
              <w:left w:val="single" w:color="auto" w:sz="4" w:space="0"/>
              <w:bottom w:val="single" w:color="auto" w:sz="4" w:space="0"/>
              <w:right w:val="single" w:color="auto" w:sz="4" w:space="0"/>
            </w:tcBorders>
            <w:vAlign w:val="center"/>
          </w:tcPr>
          <w:p w14:paraId="6F799F46">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7BDB057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6502A17B">
        <w:tblPrEx>
          <w:tblCellMar>
            <w:top w:w="0" w:type="dxa"/>
            <w:left w:w="108" w:type="dxa"/>
            <w:bottom w:w="0" w:type="dxa"/>
            <w:right w:w="108" w:type="dxa"/>
          </w:tblCellMar>
        </w:tblPrEx>
        <w:trPr>
          <w:trHeight w:val="285" w:hRule="atLeast"/>
        </w:trPr>
        <w:tc>
          <w:tcPr>
            <w:tcW w:w="991" w:type="dxa"/>
            <w:vMerge w:val="continue"/>
            <w:tcBorders>
              <w:top w:val="nil"/>
              <w:left w:val="single" w:color="auto" w:sz="8" w:space="0"/>
              <w:bottom w:val="single" w:color="auto" w:sz="4" w:space="0"/>
              <w:right w:val="single" w:color="auto" w:sz="4" w:space="0"/>
            </w:tcBorders>
            <w:vAlign w:val="center"/>
          </w:tcPr>
          <w:p w14:paraId="3E9717C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8568932">
            <w:pPr>
              <w:spacing w:line="320" w:lineRule="exact"/>
              <w:jc w:val="left"/>
              <w:rPr>
                <w:color w:val="000000"/>
                <w:kern w:val="0"/>
                <w:sz w:val="18"/>
                <w:szCs w:val="18"/>
              </w:rPr>
            </w:pPr>
            <w:r>
              <w:rPr>
                <w:rFonts w:hint="eastAsia"/>
                <w:color w:val="000000"/>
                <w:kern w:val="0"/>
                <w:sz w:val="18"/>
                <w:szCs w:val="18"/>
              </w:rPr>
              <w:t>造成重大影响或者损失的</w:t>
            </w:r>
          </w:p>
        </w:tc>
        <w:tc>
          <w:tcPr>
            <w:tcW w:w="1014" w:type="dxa"/>
            <w:vMerge w:val="continue"/>
            <w:tcBorders>
              <w:top w:val="nil"/>
              <w:left w:val="single" w:color="auto" w:sz="4" w:space="0"/>
              <w:bottom w:val="single" w:color="auto" w:sz="4" w:space="0"/>
              <w:right w:val="single" w:color="auto" w:sz="4" w:space="0"/>
            </w:tcBorders>
            <w:vAlign w:val="center"/>
          </w:tcPr>
          <w:p w14:paraId="610EF8D4">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35E36ED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3BE17EF0"/>
    <w:p w14:paraId="302B6607"/>
    <w:p w14:paraId="3DC40FDB"/>
    <w:p w14:paraId="6C4EB9BA"/>
    <w:p w14:paraId="3DF5D720"/>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21419601">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4A9B2192">
            <w:pPr>
              <w:spacing w:line="24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696E7F4D">
            <w:pPr>
              <w:spacing w:line="240" w:lineRule="exact"/>
              <w:jc w:val="left"/>
              <w:textAlignment w:val="center"/>
              <w:rPr>
                <w:rFonts w:eastAsia="仿宋_GB2312"/>
                <w:b/>
                <w:bCs/>
                <w:color w:val="000000"/>
                <w:kern w:val="0"/>
                <w:sz w:val="18"/>
                <w:szCs w:val="18"/>
              </w:rPr>
            </w:pPr>
            <w:r>
              <w:rPr>
                <w:rFonts w:eastAsia="仿宋_GB2312"/>
                <w:b/>
                <w:color w:val="000000"/>
                <w:kern w:val="0"/>
                <w:sz w:val="20"/>
              </w:rPr>
              <w:t>320217642000</w:t>
            </w:r>
          </w:p>
        </w:tc>
      </w:tr>
      <w:tr w14:paraId="1EDF9E34">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663EFC28">
            <w:pPr>
              <w:spacing w:line="24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192C0ECF">
            <w:pPr>
              <w:spacing w:line="240" w:lineRule="exact"/>
              <w:jc w:val="left"/>
              <w:rPr>
                <w:color w:val="000000"/>
                <w:kern w:val="0"/>
                <w:sz w:val="18"/>
                <w:szCs w:val="18"/>
              </w:rPr>
            </w:pPr>
            <w:r>
              <w:rPr>
                <w:rFonts w:hint="eastAsia"/>
                <w:color w:val="000000"/>
                <w:kern w:val="0"/>
                <w:sz w:val="18"/>
                <w:szCs w:val="18"/>
              </w:rPr>
              <w:t>对以欺骗、贿赂等不正当手段取得注册建造师注册证书的处罚</w:t>
            </w:r>
          </w:p>
        </w:tc>
      </w:tr>
      <w:tr w14:paraId="4E5E9B8C">
        <w:tblPrEx>
          <w:tblCellMar>
            <w:top w:w="0" w:type="dxa"/>
            <w:left w:w="108" w:type="dxa"/>
            <w:bottom w:w="0" w:type="dxa"/>
            <w:right w:w="108" w:type="dxa"/>
          </w:tblCellMar>
        </w:tblPrEx>
        <w:trPr>
          <w:trHeight w:val="2745" w:hRule="atLeast"/>
        </w:trPr>
        <w:tc>
          <w:tcPr>
            <w:tcW w:w="1056" w:type="dxa"/>
            <w:tcBorders>
              <w:top w:val="nil"/>
              <w:left w:val="single" w:color="auto" w:sz="8" w:space="0"/>
              <w:bottom w:val="single" w:color="auto" w:sz="4" w:space="0"/>
              <w:right w:val="single" w:color="auto" w:sz="4" w:space="0"/>
            </w:tcBorders>
            <w:vAlign w:val="center"/>
          </w:tcPr>
          <w:p w14:paraId="32F8E9C2">
            <w:pPr>
              <w:spacing w:line="24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2EBC7656">
            <w:pPr>
              <w:spacing w:line="24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type="textWrapping"/>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type="textWrapping"/>
            </w: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第七条第一款第二款</w:t>
            </w:r>
            <w:r>
              <w:rPr>
                <w:color w:val="000000"/>
                <w:kern w:val="0"/>
                <w:sz w:val="18"/>
                <w:szCs w:val="18"/>
              </w:rPr>
              <w:t xml:space="preserve">  </w:t>
            </w:r>
            <w:r>
              <w:rPr>
                <w:rFonts w:hint="eastAsia"/>
                <w:color w:val="000000"/>
                <w:kern w:val="0"/>
                <w:sz w:val="18"/>
                <w:szCs w:val="18"/>
              </w:rPr>
              <w:t>取得一级建造师资格证书并受聘于一个建设工程勘察、设计、施工、监理、招标代理、造价咨询等单位的人员，应当通过聘用单位提出注册申请，并可以向单位工商注册所在地的省、自治区、直辖市人民政府住房城乡建设主管部门提交申请材料。</w:t>
            </w:r>
            <w:r>
              <w:rPr>
                <w:color w:val="000000"/>
                <w:kern w:val="0"/>
                <w:sz w:val="18"/>
                <w:szCs w:val="18"/>
              </w:rPr>
              <w:br w:type="textWrapping"/>
            </w:r>
            <w:r>
              <w:rPr>
                <w:rFonts w:hint="eastAsia"/>
                <w:color w:val="000000"/>
                <w:kern w:val="0"/>
                <w:sz w:val="18"/>
                <w:szCs w:val="18"/>
              </w:rPr>
              <w:t>　　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日内将全部申请材料报国务院住房城乡建设主管部门审批。</w:t>
            </w:r>
            <w:r>
              <w:rPr>
                <w:color w:val="000000"/>
                <w:kern w:val="0"/>
                <w:sz w:val="18"/>
                <w:szCs w:val="18"/>
              </w:rPr>
              <w:br w:type="textWrapping"/>
            </w:r>
            <w:r>
              <w:rPr>
                <w:rFonts w:hint="eastAsia"/>
                <w:color w:val="000000"/>
                <w:kern w:val="0"/>
                <w:sz w:val="18"/>
                <w:szCs w:val="18"/>
              </w:rPr>
              <w:t>第九条　取得二级建造师资格证书的人员申请注册，由省、自治区、直辖市人民政府建设主管部门负责受理和审批，具体审批程序由省、自治区、直辖市人民政府建设主管部门依法确定。对批准注册的，核发由国务院建设主管部门统一样式的《中华人民共和国二级建造师注册证书》和执业印章，并在核发证书后</w:t>
            </w:r>
            <w:r>
              <w:rPr>
                <w:color w:val="000000"/>
                <w:kern w:val="0"/>
                <w:sz w:val="18"/>
                <w:szCs w:val="18"/>
              </w:rPr>
              <w:t>30</w:t>
            </w:r>
            <w:r>
              <w:rPr>
                <w:rFonts w:hint="eastAsia"/>
                <w:color w:val="000000"/>
                <w:kern w:val="0"/>
                <w:sz w:val="18"/>
                <w:szCs w:val="18"/>
              </w:rPr>
              <w:t>日内送国务院建设主管部门备案。</w:t>
            </w:r>
            <w:r>
              <w:rPr>
                <w:color w:val="000000"/>
                <w:kern w:val="0"/>
                <w:sz w:val="18"/>
                <w:szCs w:val="18"/>
              </w:rPr>
              <w:br w:type="textWrapping"/>
            </w: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以欺骗、贿赂等不正当手段取得注册证书的，由注册机关撤销其注册，</w:t>
            </w:r>
            <w:r>
              <w:rPr>
                <w:color w:val="000000"/>
                <w:kern w:val="0"/>
                <w:sz w:val="18"/>
                <w:szCs w:val="18"/>
              </w:rPr>
              <w:t>3</w:t>
            </w:r>
            <w:r>
              <w:rPr>
                <w:rFonts w:hint="eastAsia"/>
                <w:color w:val="000000"/>
                <w:kern w:val="0"/>
                <w:sz w:val="18"/>
                <w:szCs w:val="18"/>
              </w:rPr>
              <w:t>年内不得再次申请注册，并由县级以上地方人民政府建设主管部门处以罚款。其中没有违法所得的，处以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3D7B824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0C19B77">
            <w:pPr>
              <w:spacing w:line="24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49DBAA18">
            <w:pPr>
              <w:spacing w:line="240" w:lineRule="exact"/>
              <w:jc w:val="left"/>
              <w:rPr>
                <w:color w:val="000000"/>
                <w:kern w:val="0"/>
                <w:sz w:val="18"/>
                <w:szCs w:val="18"/>
              </w:rPr>
            </w:pPr>
            <w:r>
              <w:rPr>
                <w:rFonts w:hint="eastAsia"/>
                <w:color w:val="000000"/>
                <w:kern w:val="0"/>
                <w:sz w:val="18"/>
                <w:szCs w:val="18"/>
              </w:rPr>
              <w:t>罚款</w:t>
            </w:r>
          </w:p>
        </w:tc>
      </w:tr>
      <w:tr w14:paraId="37BCF85C">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310AC620">
            <w:pPr>
              <w:spacing w:line="240" w:lineRule="exact"/>
              <w:jc w:val="center"/>
              <w:rPr>
                <w:color w:val="000000"/>
                <w:kern w:val="0"/>
                <w:sz w:val="18"/>
                <w:szCs w:val="18"/>
              </w:rPr>
            </w:pPr>
            <w:r>
              <w:rPr>
                <w:rFonts w:hint="eastAsia"/>
                <w:color w:val="000000"/>
                <w:kern w:val="0"/>
                <w:sz w:val="18"/>
                <w:szCs w:val="18"/>
              </w:rPr>
              <w:t>裁量基准</w:t>
            </w:r>
          </w:p>
        </w:tc>
      </w:tr>
      <w:tr w14:paraId="42A9E0F4">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6229FE12">
            <w:pPr>
              <w:spacing w:line="24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1F0CDEE3">
            <w:pPr>
              <w:spacing w:line="24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23274D87">
            <w:pPr>
              <w:spacing w:line="240" w:lineRule="exact"/>
              <w:jc w:val="left"/>
              <w:rPr>
                <w:color w:val="000000"/>
                <w:kern w:val="0"/>
                <w:sz w:val="18"/>
                <w:szCs w:val="18"/>
              </w:rPr>
            </w:pPr>
            <w:r>
              <w:rPr>
                <w:rFonts w:hint="eastAsia"/>
                <w:color w:val="000000"/>
                <w:kern w:val="0"/>
                <w:sz w:val="18"/>
                <w:szCs w:val="18"/>
              </w:rPr>
              <w:t>以欺骗、贿赂等不正当手段取得注册建造师注册证书但积极配合调查的</w:t>
            </w:r>
          </w:p>
        </w:tc>
        <w:tc>
          <w:tcPr>
            <w:tcW w:w="1044" w:type="dxa"/>
            <w:vMerge w:val="restart"/>
            <w:tcBorders>
              <w:top w:val="nil"/>
              <w:left w:val="single" w:color="auto" w:sz="4" w:space="0"/>
              <w:bottom w:val="single" w:color="auto" w:sz="4" w:space="0"/>
              <w:right w:val="single" w:color="auto" w:sz="4" w:space="0"/>
            </w:tcBorders>
            <w:vAlign w:val="center"/>
          </w:tcPr>
          <w:p w14:paraId="5EEE73D6">
            <w:pPr>
              <w:spacing w:line="24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724481B0">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76A9E7AB">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0CB12CFA">
            <w:pPr>
              <w:spacing w:line="24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629834E7">
            <w:pPr>
              <w:spacing w:line="24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6C736FC">
            <w:pPr>
              <w:spacing w:line="240" w:lineRule="exact"/>
              <w:jc w:val="left"/>
              <w:rPr>
                <w:color w:val="000000"/>
                <w:kern w:val="0"/>
                <w:sz w:val="18"/>
                <w:szCs w:val="18"/>
              </w:rPr>
            </w:pPr>
            <w:r>
              <w:rPr>
                <w:rFonts w:hint="eastAsia"/>
                <w:color w:val="000000"/>
                <w:kern w:val="0"/>
                <w:sz w:val="18"/>
                <w:szCs w:val="18"/>
              </w:rPr>
              <w:t>以欺骗、贿赂等不正当手段取得注册建造师注册证书且不配合调查的</w:t>
            </w:r>
          </w:p>
        </w:tc>
        <w:tc>
          <w:tcPr>
            <w:tcW w:w="1044" w:type="dxa"/>
            <w:vMerge w:val="continue"/>
            <w:tcBorders>
              <w:top w:val="nil"/>
              <w:left w:val="single" w:color="auto" w:sz="4" w:space="0"/>
              <w:bottom w:val="single" w:color="auto" w:sz="4" w:space="0"/>
              <w:right w:val="single" w:color="auto" w:sz="4" w:space="0"/>
            </w:tcBorders>
            <w:vAlign w:val="center"/>
          </w:tcPr>
          <w:p w14:paraId="293D87BB">
            <w:pPr>
              <w:spacing w:line="24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325703D">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3A0D3F1D">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8413AE2">
            <w:pPr>
              <w:spacing w:line="24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7EBF57C2">
            <w:pPr>
              <w:spacing w:line="24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1A74CA77">
            <w:pPr>
              <w:spacing w:line="240" w:lineRule="exact"/>
              <w:jc w:val="left"/>
              <w:rPr>
                <w:color w:val="000000"/>
                <w:kern w:val="0"/>
                <w:sz w:val="18"/>
                <w:szCs w:val="18"/>
              </w:rPr>
            </w:pPr>
            <w:r>
              <w:rPr>
                <w:rFonts w:hint="eastAsia"/>
                <w:color w:val="000000"/>
                <w:kern w:val="0"/>
                <w:sz w:val="18"/>
                <w:szCs w:val="18"/>
              </w:rPr>
              <w:t>以欺骗、贿赂等不正当手段取得注册建造师注册证书但积极配合调查的</w:t>
            </w:r>
          </w:p>
        </w:tc>
        <w:tc>
          <w:tcPr>
            <w:tcW w:w="1044" w:type="dxa"/>
            <w:vMerge w:val="continue"/>
            <w:tcBorders>
              <w:top w:val="nil"/>
              <w:left w:val="single" w:color="auto" w:sz="4" w:space="0"/>
              <w:bottom w:val="single" w:color="auto" w:sz="4" w:space="0"/>
              <w:right w:val="single" w:color="auto" w:sz="4" w:space="0"/>
            </w:tcBorders>
            <w:vAlign w:val="center"/>
          </w:tcPr>
          <w:p w14:paraId="76698EBB">
            <w:pPr>
              <w:spacing w:line="24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522AF82">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4AB5C984">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0AD272A5">
            <w:pPr>
              <w:spacing w:line="24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0756445A">
            <w:pPr>
              <w:spacing w:line="24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32F16F66">
            <w:pPr>
              <w:spacing w:line="240" w:lineRule="exact"/>
              <w:jc w:val="left"/>
              <w:rPr>
                <w:color w:val="000000"/>
                <w:kern w:val="0"/>
                <w:sz w:val="18"/>
                <w:szCs w:val="18"/>
              </w:rPr>
            </w:pPr>
            <w:r>
              <w:rPr>
                <w:rFonts w:hint="eastAsia"/>
                <w:color w:val="000000"/>
                <w:kern w:val="0"/>
                <w:sz w:val="18"/>
                <w:szCs w:val="18"/>
              </w:rPr>
              <w:t>以欺骗、贿赂等不正当手段取得注册建造师注册证书且不配合调查的</w:t>
            </w:r>
          </w:p>
        </w:tc>
        <w:tc>
          <w:tcPr>
            <w:tcW w:w="1044" w:type="dxa"/>
            <w:vMerge w:val="continue"/>
            <w:tcBorders>
              <w:top w:val="nil"/>
              <w:left w:val="single" w:color="auto" w:sz="4" w:space="0"/>
              <w:bottom w:val="single" w:color="auto" w:sz="4" w:space="0"/>
              <w:right w:val="single" w:color="auto" w:sz="4" w:space="0"/>
            </w:tcBorders>
            <w:vAlign w:val="center"/>
          </w:tcPr>
          <w:p w14:paraId="3ABA03DC">
            <w:pPr>
              <w:spacing w:line="24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CFF381D">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7D2DC24E"/>
    <w:p w14:paraId="37E73FB4"/>
    <w:p w14:paraId="3EDFF47C"/>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389BDE0C">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17E0A1FD">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05C2F011">
            <w:pPr>
              <w:jc w:val="left"/>
              <w:textAlignment w:val="center"/>
              <w:rPr>
                <w:rFonts w:eastAsia="仿宋_GB2312"/>
                <w:b/>
                <w:bCs/>
                <w:color w:val="000000"/>
                <w:kern w:val="0"/>
                <w:sz w:val="18"/>
                <w:szCs w:val="18"/>
              </w:rPr>
            </w:pPr>
            <w:r>
              <w:rPr>
                <w:rFonts w:eastAsia="仿宋_GB2312"/>
                <w:b/>
                <w:color w:val="000000"/>
                <w:kern w:val="0"/>
                <w:sz w:val="20"/>
              </w:rPr>
              <w:t>320217643000</w:t>
            </w:r>
            <w:r>
              <w:rPr>
                <w:rFonts w:hint="eastAsia" w:eastAsia="仿宋_GB2312"/>
                <w:b/>
                <w:color w:val="000000"/>
                <w:kern w:val="0"/>
                <w:sz w:val="20"/>
              </w:rPr>
              <w:t xml:space="preserve"> </w:t>
            </w:r>
          </w:p>
        </w:tc>
      </w:tr>
      <w:tr w14:paraId="47AFB37F">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33D6453">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508F8DB1">
            <w:pPr>
              <w:spacing w:line="320" w:lineRule="exact"/>
              <w:jc w:val="left"/>
              <w:rPr>
                <w:color w:val="000000"/>
                <w:kern w:val="0"/>
                <w:sz w:val="18"/>
                <w:szCs w:val="18"/>
              </w:rPr>
            </w:pPr>
            <w:r>
              <w:rPr>
                <w:rFonts w:hint="eastAsia"/>
                <w:color w:val="000000"/>
                <w:kern w:val="0"/>
                <w:sz w:val="18"/>
                <w:szCs w:val="18"/>
              </w:rPr>
              <w:t>对注册建造师不履行义务的处罚</w:t>
            </w:r>
          </w:p>
        </w:tc>
      </w:tr>
      <w:tr w14:paraId="5B49AC5F">
        <w:tblPrEx>
          <w:tblCellMar>
            <w:top w:w="0" w:type="dxa"/>
            <w:left w:w="108" w:type="dxa"/>
            <w:bottom w:w="0" w:type="dxa"/>
            <w:right w:w="108" w:type="dxa"/>
          </w:tblCellMar>
        </w:tblPrEx>
        <w:trPr>
          <w:trHeight w:val="1305" w:hRule="atLeast"/>
        </w:trPr>
        <w:tc>
          <w:tcPr>
            <w:tcW w:w="1056" w:type="dxa"/>
            <w:tcBorders>
              <w:top w:val="nil"/>
              <w:left w:val="single" w:color="auto" w:sz="8" w:space="0"/>
              <w:bottom w:val="single" w:color="auto" w:sz="4" w:space="0"/>
              <w:right w:val="single" w:color="auto" w:sz="4" w:space="0"/>
            </w:tcBorders>
            <w:vAlign w:val="center"/>
          </w:tcPr>
          <w:p w14:paraId="2FFAA084">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53393AAA">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注册建造师不得有下列行为：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（一）不履行注册建造师义务。</w:t>
            </w:r>
            <w:r>
              <w:rPr>
                <w:color w:val="000000"/>
                <w:kern w:val="0"/>
                <w:sz w:val="18"/>
                <w:szCs w:val="18"/>
              </w:rPr>
              <w:br w:type="textWrapping"/>
            </w:r>
            <w:r>
              <w:rPr>
                <w:rFonts w:hint="eastAsia"/>
                <w:color w:val="000000"/>
                <w:kern w:val="0"/>
                <w:sz w:val="18"/>
                <w:szCs w:val="18"/>
              </w:rPr>
              <w:t>第三十七条　违反本规定，注册建造师在执业活动中有第二十六条所列行为之一的，由县级以上地方人民政府建设主管部门或者其他有关部门给予警告，责令改正，没有违法所得的，处以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6D45DF4D">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38549AD">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02690195">
            <w:pPr>
              <w:spacing w:line="320" w:lineRule="exact"/>
              <w:jc w:val="left"/>
              <w:rPr>
                <w:color w:val="000000"/>
                <w:kern w:val="0"/>
                <w:sz w:val="18"/>
                <w:szCs w:val="18"/>
              </w:rPr>
            </w:pPr>
            <w:r>
              <w:rPr>
                <w:rFonts w:hint="eastAsia"/>
                <w:color w:val="000000"/>
                <w:kern w:val="0"/>
                <w:sz w:val="18"/>
                <w:szCs w:val="18"/>
              </w:rPr>
              <w:t>警告，罚款</w:t>
            </w:r>
          </w:p>
        </w:tc>
      </w:tr>
      <w:tr w14:paraId="5AB7E012">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79CD4B20">
            <w:pPr>
              <w:spacing w:line="320" w:lineRule="exact"/>
              <w:jc w:val="center"/>
              <w:rPr>
                <w:color w:val="000000"/>
                <w:kern w:val="0"/>
                <w:sz w:val="18"/>
                <w:szCs w:val="18"/>
              </w:rPr>
            </w:pPr>
            <w:r>
              <w:rPr>
                <w:rFonts w:hint="eastAsia"/>
                <w:color w:val="000000"/>
                <w:kern w:val="0"/>
                <w:sz w:val="18"/>
                <w:szCs w:val="18"/>
              </w:rPr>
              <w:t>裁量基准</w:t>
            </w:r>
          </w:p>
        </w:tc>
      </w:tr>
      <w:tr w14:paraId="7F1527F8">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61D23C88">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573B6E7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41F9B897">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377E4B3B">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2D209187">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2AB6A256">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73FD87F3">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4B69E0B9">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4F5E7261">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87FA516">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280851FA">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7B9D2ED">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667B9DF3">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1FFD951D">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4525E8BB">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2381F493">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7ADD44F">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19743E97">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26F502DD">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42A691FC">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0E39A938">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1BB023D6">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16C0752">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39E1AAD4"/>
    <w:p w14:paraId="02B41119"/>
    <w:p w14:paraId="5DACB572"/>
    <w:p w14:paraId="00B6BE90"/>
    <w:p w14:paraId="6C093AAE"/>
    <w:p w14:paraId="0B476DD4"/>
    <w:p w14:paraId="7FB8FF2F"/>
    <w:p w14:paraId="30A4A28F"/>
    <w:p w14:paraId="1A923108"/>
    <w:p w14:paraId="4396620A"/>
    <w:tbl>
      <w:tblPr>
        <w:tblStyle w:val="15"/>
        <w:tblW w:w="0" w:type="auto"/>
        <w:tblInd w:w="88" w:type="dxa"/>
        <w:tblLayout w:type="fixed"/>
        <w:tblCellMar>
          <w:top w:w="0" w:type="dxa"/>
          <w:left w:w="108" w:type="dxa"/>
          <w:bottom w:w="0" w:type="dxa"/>
          <w:right w:w="108" w:type="dxa"/>
        </w:tblCellMar>
      </w:tblPr>
      <w:tblGrid>
        <w:gridCol w:w="1010"/>
        <w:gridCol w:w="6376"/>
        <w:gridCol w:w="1016"/>
        <w:gridCol w:w="5614"/>
      </w:tblGrid>
      <w:tr w14:paraId="2E64BEE9">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3F6EFA6">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6D83C505">
            <w:pPr>
              <w:spacing w:line="320" w:lineRule="exact"/>
              <w:jc w:val="left"/>
              <w:rPr>
                <w:rFonts w:eastAsia="仿宋_GB2312"/>
                <w:b/>
                <w:bCs/>
                <w:color w:val="000000"/>
                <w:kern w:val="0"/>
                <w:sz w:val="18"/>
                <w:szCs w:val="18"/>
              </w:rPr>
            </w:pPr>
            <w:r>
              <w:rPr>
                <w:rFonts w:eastAsia="仿宋_GB2312"/>
                <w:b/>
                <w:bCs/>
                <w:color w:val="000000"/>
                <w:kern w:val="0"/>
                <w:sz w:val="18"/>
                <w:szCs w:val="18"/>
              </w:rPr>
              <w:t>320217644000</w:t>
            </w:r>
          </w:p>
        </w:tc>
      </w:tr>
      <w:tr w14:paraId="4C904C3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4090BB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57E24540">
            <w:pPr>
              <w:spacing w:line="320" w:lineRule="exact"/>
              <w:jc w:val="left"/>
              <w:rPr>
                <w:color w:val="000000"/>
                <w:kern w:val="0"/>
                <w:sz w:val="18"/>
                <w:szCs w:val="18"/>
              </w:rPr>
            </w:pPr>
            <w:r>
              <w:rPr>
                <w:rFonts w:hint="eastAsia"/>
                <w:color w:val="000000"/>
                <w:kern w:val="0"/>
                <w:sz w:val="18"/>
                <w:szCs w:val="18"/>
              </w:rPr>
              <w:t>对建设单位使用列入禁止使用目录的技术、工艺、材料和设备的处罚</w:t>
            </w:r>
          </w:p>
        </w:tc>
      </w:tr>
      <w:tr w14:paraId="5E68D278">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51ADAE7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31A7E908">
            <w:pPr>
              <w:spacing w:line="320" w:lineRule="exact"/>
              <w:jc w:val="left"/>
              <w:rPr>
                <w:color w:val="000000"/>
                <w:kern w:val="0"/>
                <w:sz w:val="18"/>
                <w:szCs w:val="18"/>
              </w:rPr>
            </w:pPr>
            <w:r>
              <w:rPr>
                <w:rFonts w:hint="eastAsia"/>
                <w:color w:val="000000"/>
                <w:kern w:val="0"/>
                <w:sz w:val="18"/>
                <w:szCs w:val="18"/>
              </w:rPr>
              <w:t>【法律】《中华人民共和国节约能源法》（</w:t>
            </w:r>
            <w:r>
              <w:rPr>
                <w:color w:val="000000"/>
                <w:kern w:val="0"/>
                <w:sz w:val="18"/>
                <w:szCs w:val="18"/>
              </w:rPr>
              <w:t>2016</w:t>
            </w:r>
            <w:r>
              <w:rPr>
                <w:rFonts w:hint="eastAsia"/>
                <w:color w:val="000000"/>
                <w:kern w:val="0"/>
                <w:sz w:val="18"/>
                <w:szCs w:val="18"/>
              </w:rPr>
              <w:t>年</w:t>
            </w:r>
            <w:r>
              <w:rPr>
                <w:color w:val="000000"/>
                <w:kern w:val="0"/>
                <w:sz w:val="18"/>
                <w:szCs w:val="18"/>
              </w:rPr>
              <w:t>7</w:t>
            </w:r>
            <w:r>
              <w:rPr>
                <w:rFonts w:hint="eastAsia"/>
                <w:color w:val="000000"/>
                <w:kern w:val="0"/>
                <w:sz w:val="18"/>
                <w:szCs w:val="18"/>
              </w:rPr>
              <w:t>月修订）</w:t>
            </w:r>
            <w:r>
              <w:rPr>
                <w:color w:val="000000"/>
                <w:kern w:val="0"/>
                <w:sz w:val="18"/>
                <w:szCs w:val="18"/>
              </w:rPr>
              <w:t xml:space="preserve"> </w:t>
            </w:r>
          </w:p>
          <w:p w14:paraId="4CACE277">
            <w:pPr>
              <w:spacing w:line="320" w:lineRule="exact"/>
              <w:jc w:val="left"/>
              <w:rPr>
                <w:color w:val="000000"/>
                <w:kern w:val="0"/>
                <w:sz w:val="18"/>
                <w:szCs w:val="18"/>
              </w:rPr>
            </w:pPr>
            <w:r>
              <w:rPr>
                <w:rFonts w:hint="eastAsia"/>
                <w:color w:val="000000"/>
                <w:kern w:val="0"/>
                <w:sz w:val="18"/>
                <w:szCs w:val="18"/>
              </w:rPr>
              <w:t>第十六条</w:t>
            </w:r>
            <w:r>
              <w:rPr>
                <w:color w:val="000000"/>
                <w:kern w:val="0"/>
                <w:sz w:val="18"/>
                <w:szCs w:val="18"/>
              </w:rPr>
              <w:t xml:space="preserve">  </w:t>
            </w:r>
            <w:r>
              <w:rPr>
                <w:rFonts w:hint="eastAsia"/>
                <w:color w:val="000000"/>
                <w:kern w:val="0"/>
                <w:sz w:val="18"/>
                <w:szCs w:val="18"/>
              </w:rPr>
              <w:t>国家对落后的耗能过高的用能产品、设备和生产工艺实行淘汰制度。淘汰的用能产品、设备、生产工艺的目录和实施办法，由国务院管理节能工作的部门会同国务院有关部门制定并公布。</w:t>
            </w:r>
          </w:p>
          <w:p w14:paraId="7C3F6817">
            <w:pPr>
              <w:spacing w:line="320" w:lineRule="exact"/>
              <w:jc w:val="left"/>
              <w:rPr>
                <w:color w:val="000000"/>
                <w:kern w:val="0"/>
                <w:sz w:val="18"/>
                <w:szCs w:val="18"/>
              </w:rPr>
            </w:pPr>
            <w:r>
              <w:rPr>
                <w:rFonts w:hint="eastAsia"/>
                <w:color w:val="000000"/>
                <w:kern w:val="0"/>
                <w:sz w:val="18"/>
                <w:szCs w:val="18"/>
              </w:rPr>
              <w:t>【行政法规】</w:t>
            </w:r>
            <w:r>
              <w:rPr>
                <w:color w:val="000000"/>
                <w:kern w:val="0"/>
                <w:sz w:val="18"/>
                <w:szCs w:val="18"/>
              </w:rPr>
              <w:t xml:space="preserve"> </w:t>
            </w:r>
            <w:r>
              <w:rPr>
                <w:rFonts w:hint="eastAsia"/>
                <w:color w:val="000000"/>
                <w:kern w:val="0"/>
                <w:sz w:val="18"/>
                <w:szCs w:val="18"/>
              </w:rPr>
              <w:t>《民用建筑节能条例》</w:t>
            </w:r>
            <w:r>
              <w:rPr>
                <w:color w:val="000000"/>
                <w:kern w:val="0"/>
                <w:sz w:val="18"/>
                <w:szCs w:val="18"/>
              </w:rPr>
              <w:t>（</w:t>
            </w:r>
            <w:r>
              <w:rPr>
                <w:rFonts w:hint="eastAsia"/>
                <w:color w:val="000000"/>
                <w:kern w:val="0"/>
                <w:sz w:val="18"/>
                <w:szCs w:val="18"/>
              </w:rPr>
              <w:t>国务院令第</w:t>
            </w:r>
            <w:r>
              <w:rPr>
                <w:color w:val="000000"/>
                <w:kern w:val="0"/>
                <w:sz w:val="18"/>
                <w:szCs w:val="18"/>
              </w:rPr>
              <w:t>530</w:t>
            </w:r>
            <w:r>
              <w:rPr>
                <w:rFonts w:hint="eastAsia"/>
                <w:color w:val="000000"/>
                <w:kern w:val="0"/>
                <w:sz w:val="18"/>
                <w:szCs w:val="18"/>
              </w:rPr>
              <w:t>号）</w:t>
            </w:r>
          </w:p>
          <w:p w14:paraId="5BF33BBD">
            <w:pPr>
              <w:spacing w:line="320" w:lineRule="exact"/>
              <w:jc w:val="left"/>
              <w:rPr>
                <w:color w:val="000000"/>
                <w:kern w:val="0"/>
                <w:sz w:val="18"/>
                <w:szCs w:val="18"/>
              </w:rPr>
            </w:pPr>
            <w:r>
              <w:rPr>
                <w:rFonts w:hint="eastAsia"/>
                <w:color w:val="000000"/>
                <w:kern w:val="0"/>
                <w:sz w:val="18"/>
                <w:szCs w:val="18"/>
              </w:rPr>
              <w:t>第十一条第四款</w:t>
            </w:r>
            <w:r>
              <w:rPr>
                <w:color w:val="000000"/>
                <w:kern w:val="0"/>
                <w:sz w:val="18"/>
                <w:szCs w:val="18"/>
              </w:rPr>
              <w:t xml:space="preserve"> </w:t>
            </w:r>
            <w:r>
              <w:rPr>
                <w:rFonts w:hint="eastAsia"/>
                <w:color w:val="000000"/>
                <w:kern w:val="0"/>
                <w:sz w:val="18"/>
                <w:szCs w:val="18"/>
              </w:rPr>
              <w:t>建设单位、设计单位、施工单位不得在建筑活动中使用列入禁止使用目录的技术、工艺、材料和设备。</w:t>
            </w:r>
          </w:p>
          <w:p w14:paraId="25D7C00D">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违反本条例规定，建设单位有下列行为之一的，由县级以上地方人民政府建设主管部门责令改正，处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万元以下的罚款：（四）使用列入禁止使用目录的技术、工艺、材料和设备的。</w:t>
            </w:r>
          </w:p>
        </w:tc>
      </w:tr>
      <w:tr w14:paraId="1E979FB7">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0BCD62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325950FD">
            <w:pPr>
              <w:spacing w:line="320" w:lineRule="exact"/>
              <w:jc w:val="left"/>
              <w:rPr>
                <w:color w:val="000000"/>
                <w:kern w:val="0"/>
                <w:sz w:val="18"/>
                <w:szCs w:val="18"/>
              </w:rPr>
            </w:pPr>
            <w:r>
              <w:rPr>
                <w:rFonts w:hint="eastAsia"/>
                <w:color w:val="000000"/>
                <w:kern w:val="0"/>
                <w:sz w:val="18"/>
                <w:szCs w:val="18"/>
              </w:rPr>
              <w:t>罚款</w:t>
            </w:r>
          </w:p>
        </w:tc>
      </w:tr>
      <w:tr w14:paraId="1D1A21A8">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F9772D2">
            <w:pPr>
              <w:spacing w:line="320" w:lineRule="exact"/>
              <w:jc w:val="center"/>
              <w:rPr>
                <w:color w:val="000000"/>
                <w:kern w:val="0"/>
                <w:sz w:val="18"/>
                <w:szCs w:val="18"/>
              </w:rPr>
            </w:pPr>
            <w:r>
              <w:rPr>
                <w:rFonts w:hint="eastAsia"/>
                <w:color w:val="000000"/>
                <w:kern w:val="0"/>
                <w:sz w:val="18"/>
                <w:szCs w:val="18"/>
              </w:rPr>
              <w:t>裁量基准</w:t>
            </w:r>
          </w:p>
        </w:tc>
      </w:tr>
      <w:tr w14:paraId="60939FD9">
        <w:tblPrEx>
          <w:tblCellMar>
            <w:top w:w="0" w:type="dxa"/>
            <w:left w:w="108" w:type="dxa"/>
            <w:bottom w:w="0" w:type="dxa"/>
            <w:right w:w="108" w:type="dxa"/>
          </w:tblCellMar>
        </w:tblPrEx>
        <w:trPr>
          <w:trHeight w:val="285" w:hRule="atLeast"/>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28606A66">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535C985F">
            <w:pPr>
              <w:spacing w:line="320" w:lineRule="exact"/>
              <w:jc w:val="left"/>
              <w:rPr>
                <w:color w:val="000000"/>
                <w:kern w:val="0"/>
                <w:sz w:val="18"/>
                <w:szCs w:val="18"/>
              </w:rPr>
            </w:pPr>
            <w:r>
              <w:rPr>
                <w:rFonts w:hint="eastAsia"/>
                <w:color w:val="000000"/>
                <w:kern w:val="0"/>
                <w:sz w:val="18"/>
                <w:szCs w:val="18"/>
              </w:rPr>
              <w:t>停止使用，并且按期消除违法行为的后果的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7B4F46F0">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color="auto" w:sz="4" w:space="0"/>
              <w:left w:val="nil"/>
              <w:bottom w:val="single" w:color="auto" w:sz="4" w:space="0"/>
              <w:right w:val="single" w:color="auto" w:sz="4" w:space="0"/>
            </w:tcBorders>
            <w:vAlign w:val="center"/>
          </w:tcPr>
          <w:p w14:paraId="709BBBC8">
            <w:pPr>
              <w:spacing w:line="320" w:lineRule="exact"/>
              <w:jc w:val="left"/>
              <w:rPr>
                <w:color w:val="000000"/>
                <w:kern w:val="0"/>
                <w:sz w:val="18"/>
                <w:szCs w:val="18"/>
              </w:rPr>
            </w:pPr>
            <w:r>
              <w:rPr>
                <w:color w:val="000000"/>
                <w:kern w:val="0"/>
                <w:sz w:val="18"/>
                <w:szCs w:val="18"/>
              </w:rPr>
              <w:t>20</w:t>
            </w:r>
            <w:r>
              <w:rPr>
                <w:rFonts w:hint="eastAsia"/>
                <w:color w:val="000000"/>
                <w:kern w:val="0"/>
                <w:sz w:val="18"/>
                <w:szCs w:val="18"/>
              </w:rPr>
              <w:t>万元罚款</w:t>
            </w:r>
          </w:p>
        </w:tc>
      </w:tr>
      <w:tr w14:paraId="11F80850">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236E4001">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447EF87E">
            <w:pPr>
              <w:spacing w:line="320" w:lineRule="exact"/>
              <w:jc w:val="left"/>
              <w:rPr>
                <w:color w:val="000000"/>
                <w:kern w:val="0"/>
                <w:sz w:val="18"/>
                <w:szCs w:val="18"/>
              </w:rPr>
            </w:pPr>
            <w:r>
              <w:rPr>
                <w:rFonts w:hint="eastAsia"/>
                <w:color w:val="000000"/>
                <w:kern w:val="0"/>
                <w:sz w:val="18"/>
                <w:szCs w:val="18"/>
              </w:rPr>
              <w:t>停止使用，不能按期消除违法行为的后果的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7D25281E">
            <w:pPr>
              <w:spacing w:line="320" w:lineRule="exact"/>
              <w:jc w:val="lef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71300E93">
            <w:pPr>
              <w:spacing w:line="320" w:lineRule="exact"/>
              <w:jc w:val="left"/>
              <w:rPr>
                <w:color w:val="000000"/>
                <w:kern w:val="0"/>
                <w:sz w:val="18"/>
                <w:szCs w:val="18"/>
              </w:rPr>
            </w:pPr>
            <w:r>
              <w:rPr>
                <w:color w:val="000000"/>
                <w:kern w:val="0"/>
                <w:sz w:val="18"/>
                <w:szCs w:val="18"/>
              </w:rPr>
              <w:t>30</w:t>
            </w:r>
            <w:r>
              <w:rPr>
                <w:rFonts w:hint="eastAsia"/>
                <w:color w:val="000000"/>
                <w:kern w:val="0"/>
                <w:sz w:val="18"/>
                <w:szCs w:val="18"/>
              </w:rPr>
              <w:t>万元罚款</w:t>
            </w:r>
          </w:p>
        </w:tc>
      </w:tr>
      <w:tr w14:paraId="195DCEE3">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7010356C">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3A5E9A43">
            <w:pPr>
              <w:spacing w:line="320" w:lineRule="exact"/>
              <w:jc w:val="left"/>
              <w:rPr>
                <w:color w:val="000000"/>
                <w:kern w:val="0"/>
                <w:sz w:val="18"/>
                <w:szCs w:val="18"/>
              </w:rPr>
            </w:pPr>
            <w:r>
              <w:rPr>
                <w:rFonts w:hint="eastAsia"/>
                <w:color w:val="000000"/>
                <w:kern w:val="0"/>
                <w:sz w:val="18"/>
                <w:szCs w:val="18"/>
              </w:rPr>
              <w:t>拒绝整改，继续使用的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075FE328">
            <w:pPr>
              <w:spacing w:line="320" w:lineRule="exact"/>
              <w:jc w:val="lef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7A248404">
            <w:pPr>
              <w:spacing w:line="320" w:lineRule="exact"/>
              <w:jc w:val="left"/>
              <w:rPr>
                <w:color w:val="000000"/>
                <w:kern w:val="0"/>
                <w:sz w:val="18"/>
                <w:szCs w:val="18"/>
              </w:rPr>
            </w:pPr>
            <w:r>
              <w:rPr>
                <w:color w:val="000000"/>
                <w:kern w:val="0"/>
                <w:sz w:val="18"/>
                <w:szCs w:val="18"/>
              </w:rPr>
              <w:t>50</w:t>
            </w:r>
            <w:r>
              <w:rPr>
                <w:rFonts w:hint="eastAsia"/>
                <w:color w:val="000000"/>
                <w:kern w:val="0"/>
                <w:sz w:val="18"/>
                <w:szCs w:val="18"/>
              </w:rPr>
              <w:t>万元罚款</w:t>
            </w:r>
          </w:p>
        </w:tc>
      </w:tr>
    </w:tbl>
    <w:p w14:paraId="7F6BAB7E"/>
    <w:p w14:paraId="3D04F01B"/>
    <w:p w14:paraId="767791A8"/>
    <w:p w14:paraId="2ECDC4A6"/>
    <w:p w14:paraId="16E54F1D"/>
    <w:p w14:paraId="40B81629"/>
    <w:p w14:paraId="40B67884"/>
    <w:tbl>
      <w:tblPr>
        <w:tblStyle w:val="15"/>
        <w:tblW w:w="0" w:type="auto"/>
        <w:tblInd w:w="88" w:type="dxa"/>
        <w:tblLayout w:type="fixed"/>
        <w:tblCellMar>
          <w:top w:w="0" w:type="dxa"/>
          <w:left w:w="108" w:type="dxa"/>
          <w:bottom w:w="0" w:type="dxa"/>
          <w:right w:w="108" w:type="dxa"/>
        </w:tblCellMar>
      </w:tblPr>
      <w:tblGrid>
        <w:gridCol w:w="1010"/>
        <w:gridCol w:w="6376"/>
        <w:gridCol w:w="1016"/>
        <w:gridCol w:w="5614"/>
      </w:tblGrid>
      <w:tr w14:paraId="3F4E668A">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28A437EA">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7DEEE0C0">
            <w:pPr>
              <w:spacing w:line="320" w:lineRule="exact"/>
              <w:jc w:val="left"/>
              <w:rPr>
                <w:rFonts w:eastAsia="仿宋_GB2312"/>
                <w:b/>
                <w:bCs/>
                <w:color w:val="000000"/>
                <w:kern w:val="0"/>
                <w:sz w:val="18"/>
                <w:szCs w:val="18"/>
              </w:rPr>
            </w:pPr>
            <w:r>
              <w:rPr>
                <w:rFonts w:eastAsia="仿宋_GB2312"/>
                <w:b/>
                <w:bCs/>
                <w:color w:val="000000"/>
                <w:kern w:val="0"/>
                <w:sz w:val="18"/>
                <w:szCs w:val="18"/>
              </w:rPr>
              <w:t>320217645000</w:t>
            </w:r>
          </w:p>
        </w:tc>
      </w:tr>
      <w:tr w14:paraId="1D1E1F7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77F4E8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5C4F1013">
            <w:pPr>
              <w:spacing w:line="320" w:lineRule="exact"/>
              <w:jc w:val="left"/>
              <w:rPr>
                <w:color w:val="000000"/>
                <w:kern w:val="0"/>
                <w:sz w:val="18"/>
                <w:szCs w:val="18"/>
              </w:rPr>
            </w:pPr>
            <w:r>
              <w:rPr>
                <w:rFonts w:hint="eastAsia"/>
                <w:color w:val="000000"/>
                <w:kern w:val="0"/>
                <w:sz w:val="18"/>
                <w:szCs w:val="18"/>
              </w:rPr>
              <w:t>对工程建设项目勘察设计招标人与中标人不按照招标文件和中标人的投标文件订立合同的处罚</w:t>
            </w:r>
          </w:p>
        </w:tc>
      </w:tr>
      <w:tr w14:paraId="7F83D897">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3680E56E">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442843A8">
            <w:pPr>
              <w:spacing w:line="320" w:lineRule="exact"/>
              <w:jc w:val="left"/>
              <w:rPr>
                <w:color w:val="000000"/>
                <w:kern w:val="0"/>
                <w:sz w:val="18"/>
                <w:szCs w:val="18"/>
              </w:rPr>
            </w:pPr>
            <w:r>
              <w:rPr>
                <w:rFonts w:hint="eastAsia"/>
                <w:color w:val="000000"/>
                <w:kern w:val="0"/>
                <w:sz w:val="18"/>
                <w:szCs w:val="18"/>
              </w:rPr>
              <w:t>【法律】《中华人民共和国招标投标法》</w:t>
            </w:r>
          </w:p>
          <w:p w14:paraId="6CC09A4B">
            <w:pPr>
              <w:spacing w:line="320" w:lineRule="exact"/>
              <w:jc w:val="left"/>
              <w:rPr>
                <w:color w:val="000000"/>
                <w:kern w:val="0"/>
                <w:sz w:val="18"/>
                <w:szCs w:val="18"/>
              </w:rPr>
            </w:pPr>
            <w:r>
              <w:rPr>
                <w:rFonts w:hint="eastAsia"/>
                <w:color w:val="000000"/>
                <w:kern w:val="0"/>
                <w:sz w:val="18"/>
                <w:szCs w:val="18"/>
              </w:rPr>
              <w:t>　　第四十六条　招标人和中标人应当自中标通知书发出之日起三十日内，按照招标文件和中标人的投标文件订立书面合同。招标人和中标人不得再行订立背离合同实质性内容的其他协议。</w:t>
            </w:r>
          </w:p>
          <w:p w14:paraId="55AA1569">
            <w:pPr>
              <w:spacing w:line="320" w:lineRule="exact"/>
              <w:jc w:val="left"/>
              <w:rPr>
                <w:color w:val="000000"/>
                <w:kern w:val="0"/>
                <w:sz w:val="18"/>
                <w:szCs w:val="18"/>
              </w:rPr>
            </w:pPr>
            <w:r>
              <w:rPr>
                <w:rFonts w:hint="eastAsia"/>
                <w:color w:val="000000"/>
                <w:kern w:val="0"/>
                <w:sz w:val="18"/>
                <w:szCs w:val="18"/>
              </w:rPr>
              <w:t>　　招标文件要求中标人提交履约保证金的、中标人应当提交。</w:t>
            </w:r>
          </w:p>
          <w:p w14:paraId="65A6FEA1">
            <w:pPr>
              <w:spacing w:line="320" w:lineRule="exact"/>
              <w:jc w:val="left"/>
              <w:rPr>
                <w:color w:val="000000"/>
                <w:kern w:val="0"/>
                <w:sz w:val="18"/>
                <w:szCs w:val="18"/>
              </w:rPr>
            </w:pPr>
            <w:r>
              <w:rPr>
                <w:rFonts w:hint="eastAsia"/>
                <w:color w:val="000000"/>
                <w:kern w:val="0"/>
                <w:sz w:val="18"/>
                <w:szCs w:val="18"/>
              </w:rPr>
              <w:t>【规章】《工程建设项目勘察设计招标投标办法》(国家发展改革委、建设部、铁道部、交通部、信息产业部、水利部、民航总局、广电总局令第2号公布；根据国家发展改革委、工业和信息化部、财政部、住房城乡建设部、交通运输部、铁道部、水利部、广电总局、民航局令第23号修订)</w:t>
            </w:r>
          </w:p>
          <w:p w14:paraId="6D006389">
            <w:pPr>
              <w:spacing w:line="320" w:lineRule="exact"/>
              <w:jc w:val="left"/>
              <w:rPr>
                <w:color w:val="000000"/>
                <w:kern w:val="0"/>
                <w:sz w:val="18"/>
                <w:szCs w:val="18"/>
              </w:rPr>
            </w:pPr>
            <w:r>
              <w:rPr>
                <w:rFonts w:hint="eastAsia"/>
                <w:color w:val="000000"/>
                <w:kern w:val="0"/>
                <w:sz w:val="18"/>
                <w:szCs w:val="18"/>
              </w:rPr>
              <w:t xml:space="preserve">        第五十五条  招标人与中标人不按照招标文件和中标人的投标文件订立合同，责令改正，可以处中标项目金额千分之五以上千分之十以下的罚款。</w:t>
            </w:r>
          </w:p>
        </w:tc>
      </w:tr>
      <w:tr w14:paraId="70DFFB02">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3AD5ECD">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5C8D4FD2">
            <w:pPr>
              <w:spacing w:line="320" w:lineRule="exact"/>
              <w:jc w:val="left"/>
              <w:rPr>
                <w:color w:val="000000"/>
                <w:kern w:val="0"/>
                <w:sz w:val="18"/>
                <w:szCs w:val="18"/>
              </w:rPr>
            </w:pPr>
            <w:r>
              <w:rPr>
                <w:rFonts w:hint="eastAsia"/>
                <w:color w:val="000000"/>
                <w:kern w:val="0"/>
                <w:sz w:val="18"/>
                <w:szCs w:val="18"/>
              </w:rPr>
              <w:t>罚款</w:t>
            </w:r>
          </w:p>
        </w:tc>
      </w:tr>
      <w:tr w14:paraId="432AA88A">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A9412E2">
            <w:pPr>
              <w:spacing w:line="320" w:lineRule="exact"/>
              <w:jc w:val="center"/>
              <w:rPr>
                <w:color w:val="000000"/>
                <w:kern w:val="0"/>
                <w:sz w:val="18"/>
                <w:szCs w:val="18"/>
              </w:rPr>
            </w:pPr>
            <w:r>
              <w:rPr>
                <w:rFonts w:hint="eastAsia"/>
                <w:color w:val="000000"/>
                <w:kern w:val="0"/>
                <w:sz w:val="18"/>
                <w:szCs w:val="18"/>
              </w:rPr>
              <w:t>裁量基准</w:t>
            </w:r>
          </w:p>
        </w:tc>
      </w:tr>
      <w:tr w14:paraId="21029E9A">
        <w:tblPrEx>
          <w:tblCellMar>
            <w:top w:w="0" w:type="dxa"/>
            <w:left w:w="108" w:type="dxa"/>
            <w:bottom w:w="0" w:type="dxa"/>
            <w:right w:w="108" w:type="dxa"/>
          </w:tblCellMar>
        </w:tblPrEx>
        <w:trPr>
          <w:trHeight w:val="285" w:hRule="atLeast"/>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2E7D19C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64A1E32F">
            <w:pPr>
              <w:spacing w:line="320" w:lineRule="exact"/>
              <w:jc w:val="left"/>
              <w:rPr>
                <w:color w:val="000000"/>
                <w:kern w:val="0"/>
                <w:sz w:val="18"/>
                <w:szCs w:val="18"/>
              </w:rPr>
            </w:pPr>
            <w:r>
              <w:rPr>
                <w:rFonts w:hint="eastAsia"/>
                <w:color w:val="000000"/>
                <w:kern w:val="0"/>
                <w:sz w:val="18"/>
                <w:szCs w:val="18"/>
              </w:rPr>
              <w:t>按要求改正的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464E25F0">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color="auto" w:sz="4" w:space="0"/>
              <w:left w:val="nil"/>
              <w:bottom w:val="single" w:color="auto" w:sz="4" w:space="0"/>
              <w:right w:val="single" w:color="auto" w:sz="4" w:space="0"/>
            </w:tcBorders>
            <w:vAlign w:val="center"/>
          </w:tcPr>
          <w:p w14:paraId="0989DBA5">
            <w:pPr>
              <w:spacing w:line="320" w:lineRule="exact"/>
              <w:jc w:val="left"/>
              <w:rPr>
                <w:color w:val="000000"/>
                <w:kern w:val="0"/>
                <w:sz w:val="18"/>
                <w:szCs w:val="18"/>
              </w:rPr>
            </w:pPr>
            <w:r>
              <w:rPr>
                <w:rFonts w:hint="eastAsia"/>
                <w:color w:val="000000"/>
                <w:kern w:val="0"/>
                <w:sz w:val="18"/>
                <w:szCs w:val="18"/>
              </w:rPr>
              <w:t>处中标项目金额千分之五以上千分之七以下的罚款</w:t>
            </w:r>
          </w:p>
        </w:tc>
      </w:tr>
      <w:tr w14:paraId="5AC12AAD">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4900BCFE">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11CEFF7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454CE1C4">
            <w:pPr>
              <w:spacing w:line="320" w:lineRule="exact"/>
              <w:jc w:val="lef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2D3E99ED">
            <w:pPr>
              <w:spacing w:line="320" w:lineRule="exact"/>
              <w:jc w:val="left"/>
              <w:rPr>
                <w:color w:val="000000"/>
                <w:kern w:val="0"/>
                <w:sz w:val="18"/>
                <w:szCs w:val="18"/>
              </w:rPr>
            </w:pPr>
            <w:r>
              <w:rPr>
                <w:rFonts w:hint="eastAsia"/>
                <w:color w:val="000000"/>
                <w:kern w:val="0"/>
                <w:sz w:val="18"/>
                <w:szCs w:val="18"/>
              </w:rPr>
              <w:t>处中标项目金额千分之七以上千分之十以下的罚款</w:t>
            </w:r>
          </w:p>
        </w:tc>
      </w:tr>
    </w:tbl>
    <w:p w14:paraId="4B1EA02C"/>
    <w:p w14:paraId="1D17DD1D"/>
    <w:p w14:paraId="13B18070"/>
    <w:p w14:paraId="0784DA11"/>
    <w:p w14:paraId="2B6D001C"/>
    <w:p w14:paraId="7B865D64"/>
    <w:p w14:paraId="74193700"/>
    <w:p w14:paraId="5C1071CA"/>
    <w:p w14:paraId="6819E848"/>
    <w:p w14:paraId="773C6046"/>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6AB33D5E">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72211557">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637B1612">
            <w:pPr>
              <w:jc w:val="left"/>
              <w:textAlignment w:val="center"/>
              <w:rPr>
                <w:rFonts w:eastAsia="仿宋_GB2312"/>
                <w:b/>
                <w:bCs/>
                <w:color w:val="000000"/>
                <w:kern w:val="0"/>
                <w:sz w:val="18"/>
                <w:szCs w:val="18"/>
              </w:rPr>
            </w:pPr>
            <w:r>
              <w:rPr>
                <w:rFonts w:eastAsia="仿宋_GB2312"/>
                <w:b/>
                <w:color w:val="000000"/>
                <w:kern w:val="0"/>
                <w:sz w:val="20"/>
              </w:rPr>
              <w:t>320217646000</w:t>
            </w:r>
            <w:r>
              <w:rPr>
                <w:rFonts w:hint="eastAsia" w:eastAsia="仿宋_GB2312"/>
                <w:b/>
                <w:color w:val="000000"/>
                <w:kern w:val="0"/>
                <w:sz w:val="20"/>
              </w:rPr>
              <w:t xml:space="preserve"> </w:t>
            </w:r>
          </w:p>
        </w:tc>
      </w:tr>
      <w:tr w14:paraId="07383612">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54552F4E">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08797BD5">
            <w:pPr>
              <w:spacing w:line="320" w:lineRule="exact"/>
              <w:rPr>
                <w:color w:val="000000"/>
                <w:kern w:val="0"/>
                <w:sz w:val="18"/>
                <w:szCs w:val="18"/>
              </w:rPr>
            </w:pPr>
            <w:r>
              <w:rPr>
                <w:rFonts w:hint="eastAsia"/>
                <w:color w:val="000000"/>
                <w:kern w:val="0"/>
                <w:sz w:val="18"/>
                <w:szCs w:val="18"/>
              </w:rPr>
              <w:t>对勘察设计注册工程师弄虚作假提供执业活动成果的处罚</w:t>
            </w:r>
          </w:p>
        </w:tc>
      </w:tr>
      <w:tr w14:paraId="50A6E3F6">
        <w:tblPrEx>
          <w:tblCellMar>
            <w:top w:w="0" w:type="dxa"/>
            <w:left w:w="108" w:type="dxa"/>
            <w:bottom w:w="0" w:type="dxa"/>
            <w:right w:w="108" w:type="dxa"/>
          </w:tblCellMar>
        </w:tblPrEx>
        <w:trPr>
          <w:trHeight w:val="1290" w:hRule="atLeast"/>
        </w:trPr>
        <w:tc>
          <w:tcPr>
            <w:tcW w:w="1056" w:type="dxa"/>
            <w:tcBorders>
              <w:top w:val="nil"/>
              <w:left w:val="single" w:color="auto" w:sz="8" w:space="0"/>
              <w:bottom w:val="single" w:color="auto" w:sz="4" w:space="0"/>
              <w:right w:val="single" w:color="auto" w:sz="4" w:space="0"/>
            </w:tcBorders>
            <w:vAlign w:val="center"/>
          </w:tcPr>
          <w:p w14:paraId="7B05B46C">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47DEEEEF">
            <w:pPr>
              <w:spacing w:line="320" w:lineRule="exact"/>
              <w:rPr>
                <w:color w:val="000000"/>
                <w:kern w:val="0"/>
                <w:sz w:val="18"/>
                <w:szCs w:val="18"/>
              </w:rPr>
            </w:pPr>
            <w:r>
              <w:rPr>
                <w:rFonts w:hint="eastAsia"/>
                <w:color w:val="000000"/>
                <w:kern w:val="0"/>
                <w:sz w:val="18"/>
                <w:szCs w:val="18"/>
              </w:rPr>
              <w:t>【规章】《勘察设计注册工程师管理规定》</w:t>
            </w:r>
            <w:r>
              <w:rPr>
                <w:color w:val="000000"/>
                <w:kern w:val="0"/>
                <w:sz w:val="18"/>
                <w:szCs w:val="18"/>
              </w:rPr>
              <w:t>（</w:t>
            </w:r>
            <w:r>
              <w:rPr>
                <w:rFonts w:hint="eastAsia"/>
                <w:color w:val="000000"/>
                <w:kern w:val="0"/>
                <w:sz w:val="18"/>
                <w:szCs w:val="18"/>
              </w:rPr>
              <w:t>建设部第</w:t>
            </w:r>
            <w:r>
              <w:rPr>
                <w:color w:val="000000"/>
                <w:kern w:val="0"/>
                <w:sz w:val="18"/>
                <w:szCs w:val="18"/>
              </w:rPr>
              <w:t>137</w:t>
            </w:r>
            <w:r>
              <w:rPr>
                <w:rFonts w:hint="eastAsia"/>
                <w:color w:val="000000"/>
                <w:kern w:val="0"/>
                <w:sz w:val="18"/>
                <w:szCs w:val="18"/>
              </w:rPr>
              <w:t>号令）</w:t>
            </w:r>
            <w:r>
              <w:rPr>
                <w:color w:val="000000"/>
                <w:kern w:val="0"/>
                <w:sz w:val="18"/>
                <w:szCs w:val="18"/>
              </w:rPr>
              <w:br w:type="textWrapping"/>
            </w:r>
            <w:r>
              <w:rPr>
                <w:rFonts w:hint="eastAsia"/>
                <w:color w:val="000000"/>
                <w:kern w:val="0"/>
                <w:sz w:val="18"/>
                <w:szCs w:val="18"/>
              </w:rPr>
              <w:t>第三十条　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倍以上但不超过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br w:type="textWrapping"/>
            </w:r>
            <w:r>
              <w:rPr>
                <w:rFonts w:hint="eastAsia"/>
                <w:color w:val="000000"/>
                <w:kern w:val="0"/>
                <w:sz w:val="18"/>
                <w:szCs w:val="18"/>
              </w:rPr>
              <w:t>　　（五）弄虚作假提供执业活动成果的；</w:t>
            </w:r>
          </w:p>
        </w:tc>
      </w:tr>
      <w:tr w14:paraId="10D88617">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2043E41D">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60A80F40">
            <w:pPr>
              <w:spacing w:line="320" w:lineRule="exact"/>
              <w:jc w:val="left"/>
              <w:rPr>
                <w:color w:val="000000"/>
                <w:kern w:val="0"/>
                <w:sz w:val="18"/>
                <w:szCs w:val="18"/>
              </w:rPr>
            </w:pPr>
            <w:r>
              <w:rPr>
                <w:rFonts w:hint="eastAsia"/>
                <w:color w:val="000000"/>
                <w:kern w:val="0"/>
                <w:sz w:val="18"/>
                <w:szCs w:val="18"/>
              </w:rPr>
              <w:t>警告，罚款</w:t>
            </w:r>
          </w:p>
        </w:tc>
      </w:tr>
      <w:tr w14:paraId="12B50277">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2F95204B">
            <w:pPr>
              <w:spacing w:line="320" w:lineRule="exact"/>
              <w:jc w:val="center"/>
              <w:rPr>
                <w:color w:val="000000"/>
                <w:kern w:val="0"/>
                <w:sz w:val="18"/>
                <w:szCs w:val="18"/>
              </w:rPr>
            </w:pPr>
            <w:r>
              <w:rPr>
                <w:rFonts w:hint="eastAsia"/>
                <w:color w:val="000000"/>
                <w:kern w:val="0"/>
                <w:sz w:val="18"/>
                <w:szCs w:val="18"/>
              </w:rPr>
              <w:t>裁量基准</w:t>
            </w:r>
          </w:p>
        </w:tc>
      </w:tr>
      <w:tr w14:paraId="4DAA528D">
        <w:tblPrEx>
          <w:tblCellMar>
            <w:top w:w="0" w:type="dxa"/>
            <w:left w:w="108" w:type="dxa"/>
            <w:bottom w:w="0" w:type="dxa"/>
            <w:right w:w="108" w:type="dxa"/>
          </w:tblCellMar>
        </w:tblPrEx>
        <w:trPr>
          <w:trHeight w:val="540" w:hRule="atLeast"/>
        </w:trPr>
        <w:tc>
          <w:tcPr>
            <w:tcW w:w="1056" w:type="dxa"/>
            <w:vMerge w:val="restart"/>
            <w:tcBorders>
              <w:top w:val="nil"/>
              <w:left w:val="single" w:color="auto" w:sz="8" w:space="0"/>
              <w:bottom w:val="single" w:color="000000" w:sz="4" w:space="0"/>
              <w:right w:val="nil"/>
            </w:tcBorders>
            <w:vAlign w:val="center"/>
          </w:tcPr>
          <w:p w14:paraId="3AA866FA">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000000" w:sz="4" w:space="0"/>
              <w:right w:val="single" w:color="auto" w:sz="4" w:space="0"/>
            </w:tcBorders>
            <w:vAlign w:val="center"/>
          </w:tcPr>
          <w:p w14:paraId="21C8D45B">
            <w:pPr>
              <w:spacing w:line="320" w:lineRule="exact"/>
              <w:jc w:val="center"/>
              <w:rPr>
                <w:color w:val="000000"/>
                <w:kern w:val="0"/>
                <w:sz w:val="18"/>
                <w:szCs w:val="18"/>
              </w:rPr>
            </w:pPr>
            <w:r>
              <w:rPr>
                <w:rFonts w:hint="eastAsia"/>
                <w:color w:val="000000"/>
                <w:kern w:val="0"/>
                <w:sz w:val="18"/>
                <w:szCs w:val="18"/>
              </w:rPr>
              <w:t>执业活动成果尚未交付的</w:t>
            </w:r>
          </w:p>
        </w:tc>
        <w:tc>
          <w:tcPr>
            <w:tcW w:w="4600" w:type="dxa"/>
            <w:tcBorders>
              <w:top w:val="nil"/>
              <w:left w:val="nil"/>
              <w:bottom w:val="nil"/>
              <w:right w:val="nil"/>
            </w:tcBorders>
            <w:vAlign w:val="center"/>
          </w:tcPr>
          <w:p w14:paraId="101281CD">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restart"/>
            <w:tcBorders>
              <w:top w:val="nil"/>
              <w:left w:val="single" w:color="auto" w:sz="4" w:space="0"/>
              <w:bottom w:val="single" w:color="000000" w:sz="4" w:space="0"/>
              <w:right w:val="single" w:color="auto" w:sz="4" w:space="0"/>
            </w:tcBorders>
            <w:vAlign w:val="center"/>
          </w:tcPr>
          <w:p w14:paraId="7281EBFF">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39ECCA81">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元以下的罚款</w:t>
            </w:r>
          </w:p>
        </w:tc>
      </w:tr>
      <w:tr w14:paraId="105A46DF">
        <w:tblPrEx>
          <w:tblCellMar>
            <w:top w:w="0" w:type="dxa"/>
            <w:left w:w="108" w:type="dxa"/>
            <w:bottom w:w="0" w:type="dxa"/>
            <w:right w:w="108" w:type="dxa"/>
          </w:tblCellMar>
        </w:tblPrEx>
        <w:trPr>
          <w:trHeight w:val="540" w:hRule="atLeast"/>
        </w:trPr>
        <w:tc>
          <w:tcPr>
            <w:tcW w:w="1056" w:type="dxa"/>
            <w:vMerge w:val="continue"/>
            <w:tcBorders>
              <w:top w:val="nil"/>
              <w:left w:val="single" w:color="auto" w:sz="8" w:space="0"/>
              <w:bottom w:val="single" w:color="000000" w:sz="4" w:space="0"/>
              <w:right w:val="nil"/>
            </w:tcBorders>
            <w:vAlign w:val="center"/>
          </w:tcPr>
          <w:p w14:paraId="41AB875C">
            <w:pPr>
              <w:spacing w:line="320" w:lineRule="exact"/>
              <w:jc w:val="left"/>
              <w:rPr>
                <w:color w:val="000000"/>
                <w:kern w:val="0"/>
                <w:sz w:val="18"/>
                <w:szCs w:val="18"/>
              </w:rPr>
            </w:pPr>
          </w:p>
        </w:tc>
        <w:tc>
          <w:tcPr>
            <w:tcW w:w="1540" w:type="dxa"/>
            <w:vMerge w:val="continue"/>
            <w:tcBorders>
              <w:top w:val="nil"/>
              <w:left w:val="single" w:color="auto" w:sz="4" w:space="0"/>
              <w:bottom w:val="single" w:color="000000" w:sz="4" w:space="0"/>
              <w:right w:val="single" w:color="auto" w:sz="4" w:space="0"/>
            </w:tcBorders>
            <w:vAlign w:val="center"/>
          </w:tcPr>
          <w:p w14:paraId="3E92D6DB">
            <w:pPr>
              <w:spacing w:line="320" w:lineRule="exact"/>
              <w:jc w:val="left"/>
              <w:rPr>
                <w:color w:val="000000"/>
                <w:kern w:val="0"/>
                <w:sz w:val="18"/>
                <w:szCs w:val="18"/>
              </w:rPr>
            </w:pPr>
          </w:p>
        </w:tc>
        <w:tc>
          <w:tcPr>
            <w:tcW w:w="4600" w:type="dxa"/>
            <w:tcBorders>
              <w:top w:val="single" w:color="auto" w:sz="4" w:space="0"/>
              <w:left w:val="nil"/>
              <w:bottom w:val="single" w:color="auto" w:sz="4" w:space="0"/>
              <w:right w:val="nil"/>
            </w:tcBorders>
            <w:vAlign w:val="center"/>
          </w:tcPr>
          <w:p w14:paraId="42F30F00">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val="continue"/>
            <w:tcBorders>
              <w:top w:val="nil"/>
              <w:left w:val="single" w:color="auto" w:sz="4" w:space="0"/>
              <w:bottom w:val="single" w:color="000000" w:sz="4" w:space="0"/>
              <w:right w:val="single" w:color="auto" w:sz="4" w:space="0"/>
            </w:tcBorders>
            <w:vAlign w:val="center"/>
          </w:tcPr>
          <w:p w14:paraId="3F529541">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CDFA192">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2</w:t>
            </w:r>
            <w:r>
              <w:rPr>
                <w:rFonts w:hint="eastAsia"/>
                <w:color w:val="000000"/>
                <w:kern w:val="0"/>
                <w:sz w:val="18"/>
                <w:szCs w:val="18"/>
              </w:rPr>
              <w:t>倍以上但不超过</w:t>
            </w:r>
            <w:r>
              <w:rPr>
                <w:color w:val="000000"/>
                <w:kern w:val="0"/>
                <w:sz w:val="18"/>
                <w:szCs w:val="18"/>
              </w:rPr>
              <w:t>2</w:t>
            </w:r>
            <w:r>
              <w:rPr>
                <w:rFonts w:hint="eastAsia"/>
                <w:color w:val="000000"/>
                <w:kern w:val="0"/>
                <w:sz w:val="18"/>
                <w:szCs w:val="18"/>
              </w:rPr>
              <w:t>万元的罚款</w:t>
            </w:r>
          </w:p>
        </w:tc>
      </w:tr>
      <w:tr w14:paraId="428CDAFA">
        <w:tblPrEx>
          <w:tblCellMar>
            <w:top w:w="0" w:type="dxa"/>
            <w:left w:w="108" w:type="dxa"/>
            <w:bottom w:w="0" w:type="dxa"/>
            <w:right w:w="108" w:type="dxa"/>
          </w:tblCellMar>
        </w:tblPrEx>
        <w:trPr>
          <w:trHeight w:val="540" w:hRule="atLeast"/>
        </w:trPr>
        <w:tc>
          <w:tcPr>
            <w:tcW w:w="1056" w:type="dxa"/>
            <w:vMerge w:val="continue"/>
            <w:tcBorders>
              <w:top w:val="nil"/>
              <w:left w:val="single" w:color="auto" w:sz="8" w:space="0"/>
              <w:bottom w:val="single" w:color="000000" w:sz="4" w:space="0"/>
              <w:right w:val="nil"/>
            </w:tcBorders>
            <w:vAlign w:val="center"/>
          </w:tcPr>
          <w:p w14:paraId="22F4DA98">
            <w:pPr>
              <w:spacing w:line="320" w:lineRule="exact"/>
              <w:jc w:val="left"/>
              <w:rPr>
                <w:color w:val="000000"/>
                <w:kern w:val="0"/>
                <w:sz w:val="18"/>
                <w:szCs w:val="18"/>
              </w:rPr>
            </w:pPr>
          </w:p>
        </w:tc>
        <w:tc>
          <w:tcPr>
            <w:tcW w:w="1540" w:type="dxa"/>
            <w:vMerge w:val="restart"/>
            <w:tcBorders>
              <w:top w:val="nil"/>
              <w:left w:val="single" w:color="auto" w:sz="4" w:space="0"/>
              <w:bottom w:val="single" w:color="000000" w:sz="4" w:space="0"/>
              <w:right w:val="single" w:color="auto" w:sz="4" w:space="0"/>
            </w:tcBorders>
            <w:vAlign w:val="center"/>
          </w:tcPr>
          <w:p w14:paraId="7A6AF45B">
            <w:pPr>
              <w:spacing w:line="320" w:lineRule="exact"/>
              <w:jc w:val="center"/>
              <w:rPr>
                <w:color w:val="000000"/>
                <w:kern w:val="0"/>
                <w:sz w:val="18"/>
                <w:szCs w:val="18"/>
              </w:rPr>
            </w:pPr>
            <w:r>
              <w:rPr>
                <w:rFonts w:hint="eastAsia"/>
                <w:color w:val="000000"/>
                <w:kern w:val="0"/>
                <w:sz w:val="18"/>
                <w:szCs w:val="18"/>
              </w:rPr>
              <w:t>执业活动成果已交付的</w:t>
            </w:r>
          </w:p>
        </w:tc>
        <w:tc>
          <w:tcPr>
            <w:tcW w:w="4600" w:type="dxa"/>
            <w:tcBorders>
              <w:top w:val="nil"/>
              <w:left w:val="nil"/>
              <w:bottom w:val="single" w:color="auto" w:sz="4" w:space="0"/>
              <w:right w:val="nil"/>
            </w:tcBorders>
            <w:vAlign w:val="center"/>
          </w:tcPr>
          <w:p w14:paraId="625AED71">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continue"/>
            <w:tcBorders>
              <w:top w:val="nil"/>
              <w:left w:val="single" w:color="auto" w:sz="4" w:space="0"/>
              <w:bottom w:val="single" w:color="000000" w:sz="4" w:space="0"/>
              <w:right w:val="single" w:color="auto" w:sz="4" w:space="0"/>
            </w:tcBorders>
            <w:vAlign w:val="center"/>
          </w:tcPr>
          <w:p w14:paraId="7B446790">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7B11DF97">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40D2256A">
        <w:tblPrEx>
          <w:tblCellMar>
            <w:top w:w="0" w:type="dxa"/>
            <w:left w:w="108" w:type="dxa"/>
            <w:bottom w:w="0" w:type="dxa"/>
            <w:right w:w="108" w:type="dxa"/>
          </w:tblCellMar>
        </w:tblPrEx>
        <w:trPr>
          <w:trHeight w:val="540" w:hRule="atLeast"/>
        </w:trPr>
        <w:tc>
          <w:tcPr>
            <w:tcW w:w="1056" w:type="dxa"/>
            <w:vMerge w:val="continue"/>
            <w:tcBorders>
              <w:top w:val="nil"/>
              <w:left w:val="single" w:color="auto" w:sz="8" w:space="0"/>
              <w:bottom w:val="single" w:color="000000" w:sz="4" w:space="0"/>
              <w:right w:val="nil"/>
            </w:tcBorders>
            <w:vAlign w:val="center"/>
          </w:tcPr>
          <w:p w14:paraId="266F8DFD">
            <w:pPr>
              <w:spacing w:line="320" w:lineRule="exact"/>
              <w:jc w:val="left"/>
              <w:rPr>
                <w:color w:val="000000"/>
                <w:kern w:val="0"/>
                <w:sz w:val="18"/>
                <w:szCs w:val="18"/>
              </w:rPr>
            </w:pPr>
          </w:p>
        </w:tc>
        <w:tc>
          <w:tcPr>
            <w:tcW w:w="1540" w:type="dxa"/>
            <w:vMerge w:val="continue"/>
            <w:tcBorders>
              <w:top w:val="nil"/>
              <w:left w:val="single" w:color="auto" w:sz="4" w:space="0"/>
              <w:bottom w:val="single" w:color="000000" w:sz="4" w:space="0"/>
              <w:right w:val="single" w:color="auto" w:sz="4" w:space="0"/>
            </w:tcBorders>
            <w:vAlign w:val="center"/>
          </w:tcPr>
          <w:p w14:paraId="4E9826B9">
            <w:pPr>
              <w:spacing w:line="320" w:lineRule="exact"/>
              <w:jc w:val="left"/>
              <w:rPr>
                <w:color w:val="000000"/>
                <w:kern w:val="0"/>
                <w:sz w:val="18"/>
                <w:szCs w:val="18"/>
              </w:rPr>
            </w:pPr>
          </w:p>
        </w:tc>
        <w:tc>
          <w:tcPr>
            <w:tcW w:w="4600" w:type="dxa"/>
            <w:tcBorders>
              <w:top w:val="nil"/>
              <w:left w:val="nil"/>
              <w:bottom w:val="single" w:color="auto" w:sz="4" w:space="0"/>
              <w:right w:val="nil"/>
            </w:tcBorders>
            <w:vAlign w:val="center"/>
          </w:tcPr>
          <w:p w14:paraId="73CAB8D6">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val="continue"/>
            <w:tcBorders>
              <w:top w:val="nil"/>
              <w:left w:val="single" w:color="auto" w:sz="4" w:space="0"/>
              <w:bottom w:val="single" w:color="000000" w:sz="4" w:space="0"/>
              <w:right w:val="single" w:color="auto" w:sz="4" w:space="0"/>
            </w:tcBorders>
            <w:vAlign w:val="center"/>
          </w:tcPr>
          <w:p w14:paraId="2EF5E560">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7D58E0B">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3</w:t>
            </w:r>
            <w:r>
              <w:rPr>
                <w:rFonts w:hint="eastAsia"/>
                <w:color w:val="000000"/>
                <w:kern w:val="0"/>
                <w:sz w:val="18"/>
                <w:szCs w:val="18"/>
              </w:rPr>
              <w:t>倍以上但不超过</w:t>
            </w:r>
            <w:r>
              <w:rPr>
                <w:color w:val="000000"/>
                <w:kern w:val="0"/>
                <w:sz w:val="18"/>
                <w:szCs w:val="18"/>
              </w:rPr>
              <w:t>3</w:t>
            </w:r>
            <w:r>
              <w:rPr>
                <w:rFonts w:hint="eastAsia"/>
                <w:color w:val="000000"/>
                <w:kern w:val="0"/>
                <w:sz w:val="18"/>
                <w:szCs w:val="18"/>
              </w:rPr>
              <w:t>万元的罚款</w:t>
            </w:r>
          </w:p>
        </w:tc>
      </w:tr>
    </w:tbl>
    <w:p w14:paraId="4B28B2A3"/>
    <w:p w14:paraId="097D5A9D"/>
    <w:p w14:paraId="68CB934E"/>
    <w:p w14:paraId="6DDD9296"/>
    <w:p w14:paraId="511B621A"/>
    <w:p w14:paraId="6428BCF3"/>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1A4D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45E955F3">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41D40E25">
            <w:pPr>
              <w:spacing w:line="320" w:lineRule="exact"/>
              <w:jc w:val="left"/>
              <w:rPr>
                <w:rFonts w:eastAsia="仿宋_GB2312"/>
                <w:b/>
                <w:bCs/>
                <w:color w:val="000000"/>
                <w:kern w:val="0"/>
                <w:sz w:val="18"/>
                <w:szCs w:val="18"/>
              </w:rPr>
            </w:pPr>
            <w:r>
              <w:rPr>
                <w:rFonts w:eastAsia="仿宋_GB2312"/>
                <w:b/>
                <w:bCs/>
                <w:color w:val="000000"/>
                <w:kern w:val="0"/>
                <w:sz w:val="18"/>
                <w:szCs w:val="18"/>
              </w:rPr>
              <w:t>320217647000</w:t>
            </w:r>
          </w:p>
        </w:tc>
      </w:tr>
      <w:tr w14:paraId="526F3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30CD0D6">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3D04B9F6">
            <w:pPr>
              <w:spacing w:line="320" w:lineRule="exact"/>
              <w:jc w:val="left"/>
              <w:rPr>
                <w:color w:val="000000"/>
                <w:kern w:val="0"/>
                <w:sz w:val="18"/>
                <w:szCs w:val="18"/>
              </w:rPr>
            </w:pPr>
            <w:r>
              <w:rPr>
                <w:rFonts w:hint="eastAsia"/>
                <w:color w:val="000000"/>
                <w:kern w:val="0"/>
                <w:sz w:val="18"/>
                <w:szCs w:val="18"/>
              </w:rPr>
              <w:t>对建设工程勘察、设计注册执业人员和其他专业技术人员未受聘于一个建设工程勘察、设计单位或者同时受聘于两个以上建设工程勘察、设计单位，从事建设工程勘察、设计活动的处罚</w:t>
            </w:r>
          </w:p>
        </w:tc>
      </w:tr>
      <w:tr w14:paraId="4FB7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1EE01F5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243922E8">
            <w:pPr>
              <w:spacing w:line="320" w:lineRule="exact"/>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14:paraId="1A3D51FE">
            <w:pPr>
              <w:spacing w:line="320" w:lineRule="exact"/>
              <w:jc w:val="left"/>
              <w:rPr>
                <w:color w:val="000000"/>
                <w:kern w:val="0"/>
                <w:sz w:val="18"/>
                <w:szCs w:val="18"/>
              </w:rPr>
            </w:pPr>
            <w:r>
              <w:rPr>
                <w:rFonts w:hint="eastAsia"/>
                <w:color w:val="000000"/>
                <w:kern w:val="0"/>
                <w:sz w:val="18"/>
                <w:szCs w:val="18"/>
              </w:rPr>
              <w:t>第十条</w:t>
            </w:r>
            <w:r>
              <w:rPr>
                <w:color w:val="000000"/>
                <w:kern w:val="0"/>
                <w:sz w:val="18"/>
                <w:szCs w:val="18"/>
              </w:rPr>
              <w:t xml:space="preserve"> </w:t>
            </w:r>
            <w:r>
              <w:rPr>
                <w:rFonts w:hint="eastAsia"/>
                <w:color w:val="000000"/>
                <w:kern w:val="0"/>
                <w:sz w:val="18"/>
                <w:szCs w:val="18"/>
              </w:rPr>
              <w:t>建设工程勘察、设计注册执业人员和其他专</w:t>
            </w:r>
            <w:r>
              <w:rPr>
                <w:color w:val="000000"/>
                <w:kern w:val="0"/>
                <w:sz w:val="18"/>
                <w:szCs w:val="18"/>
              </w:rPr>
              <w:t xml:space="preserve"> </w:t>
            </w:r>
            <w:r>
              <w:rPr>
                <w:rFonts w:hint="eastAsia"/>
                <w:color w:val="000000"/>
                <w:kern w:val="0"/>
                <w:sz w:val="18"/>
                <w:szCs w:val="18"/>
              </w:rPr>
              <w:t>业技术人员只能受聘于一个建设工程勘察、设计单位</w:t>
            </w:r>
            <w:r>
              <w:rPr>
                <w:color w:val="000000"/>
                <w:kern w:val="0"/>
                <w:sz w:val="18"/>
                <w:szCs w:val="18"/>
              </w:rPr>
              <w:t>;</w:t>
            </w:r>
            <w:r>
              <w:rPr>
                <w:rFonts w:hint="eastAsia"/>
                <w:color w:val="000000"/>
                <w:kern w:val="0"/>
                <w:sz w:val="18"/>
                <w:szCs w:val="18"/>
              </w:rPr>
              <w:t>未</w:t>
            </w:r>
            <w:r>
              <w:rPr>
                <w:color w:val="000000"/>
                <w:kern w:val="0"/>
                <w:sz w:val="18"/>
                <w:szCs w:val="18"/>
              </w:rPr>
              <w:t xml:space="preserve"> </w:t>
            </w:r>
            <w:r>
              <w:rPr>
                <w:rFonts w:hint="eastAsia"/>
                <w:color w:val="000000"/>
                <w:kern w:val="0"/>
                <w:sz w:val="18"/>
                <w:szCs w:val="18"/>
              </w:rPr>
              <w:t>受聘于建设工程勘察、设计单位的，不得从事建设工程的</w:t>
            </w:r>
            <w:r>
              <w:rPr>
                <w:color w:val="000000"/>
                <w:kern w:val="0"/>
                <w:sz w:val="18"/>
                <w:szCs w:val="18"/>
              </w:rPr>
              <w:t xml:space="preserve"> </w:t>
            </w:r>
            <w:r>
              <w:rPr>
                <w:rFonts w:hint="eastAsia"/>
                <w:color w:val="000000"/>
                <w:kern w:val="0"/>
                <w:sz w:val="18"/>
                <w:szCs w:val="18"/>
              </w:rPr>
              <w:t>勘察、设计活动。</w:t>
            </w:r>
          </w:p>
          <w:p w14:paraId="038B424B">
            <w:pPr>
              <w:spacing w:line="320" w:lineRule="exact"/>
              <w:jc w:val="left"/>
              <w:rPr>
                <w:color w:val="000000"/>
                <w:kern w:val="0"/>
                <w:sz w:val="18"/>
                <w:szCs w:val="18"/>
              </w:rPr>
            </w:pPr>
            <w:r>
              <w:rPr>
                <w:rFonts w:hint="eastAsia"/>
                <w:color w:val="000000"/>
                <w:kern w:val="0"/>
                <w:sz w:val="18"/>
                <w:szCs w:val="18"/>
              </w:rPr>
              <w:t>第三十七条：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２倍以上５倍以下的罚款；情节严重的，可以责令停止执行业务或吊销资格证书；给他人造成损失的，依法承担赔偿责任。</w:t>
            </w:r>
          </w:p>
        </w:tc>
      </w:tr>
      <w:tr w14:paraId="17A3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38E57949">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7DC14804">
            <w:pPr>
              <w:spacing w:line="320" w:lineRule="exact"/>
              <w:jc w:val="left"/>
              <w:rPr>
                <w:color w:val="000000"/>
                <w:kern w:val="0"/>
                <w:sz w:val="18"/>
                <w:szCs w:val="18"/>
              </w:rPr>
            </w:pPr>
            <w:r>
              <w:rPr>
                <w:rFonts w:hint="eastAsia"/>
                <w:color w:val="000000"/>
                <w:kern w:val="0"/>
                <w:sz w:val="18"/>
                <w:szCs w:val="18"/>
              </w:rPr>
              <w:t>没收违法所得，罚款，停止执行业务或吊销资格证书</w:t>
            </w:r>
          </w:p>
        </w:tc>
      </w:tr>
      <w:tr w14:paraId="15B6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0EA3720E">
            <w:pPr>
              <w:spacing w:line="320" w:lineRule="exact"/>
              <w:jc w:val="center"/>
              <w:rPr>
                <w:color w:val="000000"/>
                <w:kern w:val="0"/>
                <w:sz w:val="18"/>
                <w:szCs w:val="18"/>
              </w:rPr>
            </w:pPr>
            <w:r>
              <w:rPr>
                <w:rFonts w:hint="eastAsia"/>
                <w:color w:val="000000"/>
                <w:kern w:val="0"/>
                <w:sz w:val="18"/>
                <w:szCs w:val="18"/>
              </w:rPr>
              <w:t>裁量基准</w:t>
            </w:r>
          </w:p>
        </w:tc>
      </w:tr>
      <w:tr w14:paraId="0A97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0CA05F89">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58B94E33">
            <w:pPr>
              <w:spacing w:line="320" w:lineRule="exact"/>
              <w:jc w:val="left"/>
              <w:rPr>
                <w:color w:val="000000"/>
                <w:kern w:val="0"/>
                <w:sz w:val="18"/>
                <w:szCs w:val="18"/>
              </w:rPr>
            </w:pPr>
            <w:r>
              <w:rPr>
                <w:rFonts w:hint="eastAsia"/>
                <w:color w:val="000000"/>
                <w:kern w:val="0"/>
                <w:sz w:val="18"/>
                <w:szCs w:val="18"/>
              </w:rPr>
              <w:t>按照要求整改，未造成经济损失的</w:t>
            </w:r>
          </w:p>
        </w:tc>
        <w:tc>
          <w:tcPr>
            <w:tcW w:w="1080" w:type="dxa"/>
            <w:vMerge w:val="restart"/>
            <w:vAlign w:val="center"/>
          </w:tcPr>
          <w:p w14:paraId="1B715774">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20925C12">
            <w:pPr>
              <w:spacing w:line="320" w:lineRule="exact"/>
              <w:jc w:val="left"/>
              <w:rPr>
                <w:color w:val="000000"/>
                <w:kern w:val="0"/>
                <w:sz w:val="18"/>
                <w:szCs w:val="18"/>
              </w:rPr>
            </w:pPr>
            <w:r>
              <w:rPr>
                <w:rFonts w:hint="eastAsia"/>
                <w:color w:val="000000"/>
                <w:kern w:val="0"/>
                <w:sz w:val="18"/>
                <w:szCs w:val="18"/>
              </w:rPr>
              <w:t>没收违法所得，处违法所得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1597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95A2334">
            <w:pPr>
              <w:spacing w:line="320" w:lineRule="exact"/>
              <w:jc w:val="center"/>
              <w:rPr>
                <w:color w:val="000000"/>
                <w:kern w:val="0"/>
                <w:sz w:val="18"/>
                <w:szCs w:val="18"/>
              </w:rPr>
            </w:pPr>
          </w:p>
        </w:tc>
        <w:tc>
          <w:tcPr>
            <w:tcW w:w="6140" w:type="dxa"/>
            <w:vAlign w:val="center"/>
          </w:tcPr>
          <w:p w14:paraId="7D956B27">
            <w:pPr>
              <w:spacing w:line="320" w:lineRule="exact"/>
              <w:jc w:val="left"/>
              <w:rPr>
                <w:color w:val="000000"/>
                <w:kern w:val="0"/>
                <w:sz w:val="18"/>
                <w:szCs w:val="18"/>
              </w:rPr>
            </w:pPr>
            <w:r>
              <w:rPr>
                <w:rFonts w:hint="eastAsia"/>
                <w:color w:val="000000"/>
                <w:kern w:val="0"/>
                <w:sz w:val="18"/>
                <w:szCs w:val="18"/>
              </w:rPr>
              <w:t>未按照要求整改，未造成经济损失的</w:t>
            </w:r>
          </w:p>
        </w:tc>
        <w:tc>
          <w:tcPr>
            <w:tcW w:w="1080" w:type="dxa"/>
            <w:vMerge w:val="continue"/>
            <w:vAlign w:val="center"/>
          </w:tcPr>
          <w:p w14:paraId="1010E8D4">
            <w:pPr>
              <w:spacing w:line="320" w:lineRule="exact"/>
              <w:jc w:val="center"/>
              <w:rPr>
                <w:color w:val="000000"/>
                <w:kern w:val="0"/>
                <w:sz w:val="18"/>
                <w:szCs w:val="18"/>
              </w:rPr>
            </w:pPr>
          </w:p>
        </w:tc>
        <w:tc>
          <w:tcPr>
            <w:tcW w:w="5820" w:type="dxa"/>
            <w:vAlign w:val="center"/>
          </w:tcPr>
          <w:p w14:paraId="777FE644">
            <w:pPr>
              <w:spacing w:line="320" w:lineRule="exact"/>
              <w:jc w:val="left"/>
              <w:rPr>
                <w:color w:val="000000"/>
                <w:kern w:val="0"/>
                <w:sz w:val="18"/>
                <w:szCs w:val="18"/>
              </w:rPr>
            </w:pPr>
            <w:r>
              <w:rPr>
                <w:rFonts w:hint="eastAsia"/>
                <w:color w:val="000000"/>
                <w:kern w:val="0"/>
                <w:sz w:val="18"/>
                <w:szCs w:val="18"/>
              </w:rPr>
              <w:t>没收违法所得，处违法所得</w:t>
            </w:r>
            <w:r>
              <w:rPr>
                <w:color w:val="000000"/>
                <w:kern w:val="0"/>
                <w:sz w:val="18"/>
                <w:szCs w:val="18"/>
              </w:rPr>
              <w:t>3</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14:paraId="77C9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798EB4E">
            <w:pPr>
              <w:spacing w:line="320" w:lineRule="exact"/>
              <w:jc w:val="center"/>
              <w:rPr>
                <w:color w:val="000000"/>
                <w:kern w:val="0"/>
                <w:sz w:val="18"/>
                <w:szCs w:val="18"/>
              </w:rPr>
            </w:pPr>
          </w:p>
        </w:tc>
        <w:tc>
          <w:tcPr>
            <w:tcW w:w="6140" w:type="dxa"/>
            <w:vAlign w:val="center"/>
          </w:tcPr>
          <w:p w14:paraId="3FE152C2">
            <w:pPr>
              <w:spacing w:line="320" w:lineRule="exact"/>
              <w:jc w:val="left"/>
              <w:rPr>
                <w:color w:val="000000"/>
                <w:kern w:val="0"/>
                <w:sz w:val="18"/>
                <w:szCs w:val="18"/>
              </w:rPr>
            </w:pPr>
            <w:r>
              <w:rPr>
                <w:rFonts w:hint="eastAsia"/>
                <w:color w:val="000000"/>
                <w:kern w:val="0"/>
                <w:sz w:val="18"/>
                <w:szCs w:val="18"/>
              </w:rPr>
              <w:t>按照要求整改，造成经济损失的</w:t>
            </w:r>
          </w:p>
        </w:tc>
        <w:tc>
          <w:tcPr>
            <w:tcW w:w="1080" w:type="dxa"/>
            <w:vMerge w:val="continue"/>
            <w:vAlign w:val="center"/>
          </w:tcPr>
          <w:p w14:paraId="32D6E047">
            <w:pPr>
              <w:spacing w:line="320" w:lineRule="exact"/>
              <w:jc w:val="center"/>
              <w:rPr>
                <w:color w:val="000000"/>
                <w:kern w:val="0"/>
                <w:sz w:val="18"/>
                <w:szCs w:val="18"/>
              </w:rPr>
            </w:pPr>
          </w:p>
        </w:tc>
        <w:tc>
          <w:tcPr>
            <w:tcW w:w="5820" w:type="dxa"/>
            <w:vAlign w:val="center"/>
          </w:tcPr>
          <w:p w14:paraId="7F843985">
            <w:pPr>
              <w:spacing w:line="320" w:lineRule="exact"/>
              <w:jc w:val="left"/>
              <w:rPr>
                <w:color w:val="000000"/>
                <w:kern w:val="0"/>
                <w:sz w:val="18"/>
                <w:szCs w:val="18"/>
              </w:rPr>
            </w:pPr>
            <w:r>
              <w:rPr>
                <w:rFonts w:hint="eastAsia"/>
                <w:color w:val="000000"/>
                <w:kern w:val="0"/>
                <w:sz w:val="18"/>
                <w:szCs w:val="18"/>
              </w:rPr>
              <w:t>没收违法所得，处违法所得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r w14:paraId="6A31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0ADE3833">
            <w:pPr>
              <w:spacing w:line="320" w:lineRule="exact"/>
              <w:jc w:val="center"/>
              <w:rPr>
                <w:color w:val="000000"/>
                <w:kern w:val="0"/>
                <w:sz w:val="18"/>
                <w:szCs w:val="18"/>
              </w:rPr>
            </w:pPr>
          </w:p>
        </w:tc>
        <w:tc>
          <w:tcPr>
            <w:tcW w:w="6140" w:type="dxa"/>
            <w:vAlign w:val="center"/>
          </w:tcPr>
          <w:p w14:paraId="22153D6D">
            <w:pPr>
              <w:spacing w:line="320" w:lineRule="exact"/>
              <w:jc w:val="left"/>
              <w:rPr>
                <w:color w:val="000000"/>
                <w:kern w:val="0"/>
                <w:sz w:val="18"/>
                <w:szCs w:val="18"/>
              </w:rPr>
            </w:pPr>
            <w:r>
              <w:rPr>
                <w:rFonts w:hint="eastAsia"/>
                <w:color w:val="000000"/>
                <w:kern w:val="0"/>
                <w:sz w:val="18"/>
                <w:szCs w:val="18"/>
              </w:rPr>
              <w:t>未按照要求整改，造成经济损失的</w:t>
            </w:r>
          </w:p>
        </w:tc>
        <w:tc>
          <w:tcPr>
            <w:tcW w:w="1080" w:type="dxa"/>
            <w:vMerge w:val="continue"/>
            <w:vAlign w:val="center"/>
          </w:tcPr>
          <w:p w14:paraId="5BFF10EE">
            <w:pPr>
              <w:spacing w:line="320" w:lineRule="exact"/>
              <w:jc w:val="center"/>
              <w:rPr>
                <w:color w:val="000000"/>
                <w:kern w:val="0"/>
                <w:sz w:val="18"/>
                <w:szCs w:val="18"/>
              </w:rPr>
            </w:pPr>
          </w:p>
        </w:tc>
        <w:tc>
          <w:tcPr>
            <w:tcW w:w="5820" w:type="dxa"/>
            <w:vAlign w:val="center"/>
          </w:tcPr>
          <w:p w14:paraId="4EAC824E">
            <w:pPr>
              <w:spacing w:line="320" w:lineRule="exact"/>
              <w:jc w:val="left"/>
              <w:rPr>
                <w:color w:val="000000"/>
                <w:kern w:val="0"/>
                <w:sz w:val="18"/>
                <w:szCs w:val="18"/>
              </w:rPr>
            </w:pPr>
            <w:r>
              <w:rPr>
                <w:rFonts w:hint="eastAsia"/>
                <w:color w:val="000000"/>
                <w:kern w:val="0"/>
                <w:sz w:val="18"/>
                <w:szCs w:val="18"/>
              </w:rPr>
              <w:t>停止执行业务或吊销资格证书</w:t>
            </w:r>
          </w:p>
        </w:tc>
      </w:tr>
    </w:tbl>
    <w:p w14:paraId="7180F72F"/>
    <w:tbl>
      <w:tblPr>
        <w:tblStyle w:val="15"/>
        <w:tblW w:w="0" w:type="auto"/>
        <w:tblInd w:w="88" w:type="dxa"/>
        <w:tblLayout w:type="fixed"/>
        <w:tblCellMar>
          <w:top w:w="0" w:type="dxa"/>
          <w:left w:w="108" w:type="dxa"/>
          <w:bottom w:w="0" w:type="dxa"/>
          <w:right w:w="108" w:type="dxa"/>
        </w:tblCellMar>
      </w:tblPr>
      <w:tblGrid>
        <w:gridCol w:w="980"/>
        <w:gridCol w:w="13036"/>
      </w:tblGrid>
      <w:tr w14:paraId="357F7E81">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70DC2DC9">
            <w:pPr>
              <w:spacing w:line="320" w:lineRule="exact"/>
              <w:jc w:val="center"/>
              <w:rPr>
                <w:color w:val="000000"/>
                <w:kern w:val="0"/>
                <w:sz w:val="18"/>
                <w:szCs w:val="18"/>
              </w:rPr>
            </w:pPr>
            <w:r>
              <w:rPr>
                <w:rFonts w:hint="eastAsia"/>
                <w:color w:val="000000"/>
                <w:kern w:val="0"/>
                <w:sz w:val="18"/>
                <w:szCs w:val="18"/>
              </w:rPr>
              <w:t>编号</w:t>
            </w:r>
          </w:p>
        </w:tc>
        <w:tc>
          <w:tcPr>
            <w:tcW w:w="13036" w:type="dxa"/>
            <w:tcBorders>
              <w:top w:val="single" w:color="auto" w:sz="8" w:space="0"/>
              <w:left w:val="nil"/>
              <w:bottom w:val="single" w:color="auto" w:sz="4" w:space="0"/>
              <w:right w:val="single" w:color="000000" w:sz="8" w:space="0"/>
            </w:tcBorders>
            <w:vAlign w:val="center"/>
          </w:tcPr>
          <w:p w14:paraId="690E4242">
            <w:pPr>
              <w:jc w:val="left"/>
              <w:textAlignment w:val="center"/>
              <w:rPr>
                <w:rFonts w:eastAsia="仿宋_GB2312"/>
                <w:b/>
                <w:color w:val="000000"/>
                <w:sz w:val="20"/>
              </w:rPr>
            </w:pPr>
            <w:r>
              <w:rPr>
                <w:rFonts w:eastAsia="仿宋_GB2312"/>
                <w:b/>
                <w:color w:val="000000"/>
                <w:kern w:val="0"/>
                <w:sz w:val="20"/>
              </w:rPr>
              <w:t>320217648000</w:t>
            </w:r>
          </w:p>
        </w:tc>
      </w:tr>
      <w:tr w14:paraId="1B37BBE4">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26BA71CC">
            <w:pPr>
              <w:spacing w:line="320" w:lineRule="exact"/>
              <w:jc w:val="center"/>
              <w:rPr>
                <w:color w:val="000000"/>
                <w:kern w:val="0"/>
                <w:sz w:val="18"/>
                <w:szCs w:val="18"/>
              </w:rPr>
            </w:pPr>
            <w:r>
              <w:rPr>
                <w:rFonts w:hint="eastAsia"/>
                <w:color w:val="000000"/>
                <w:kern w:val="0"/>
                <w:sz w:val="18"/>
                <w:szCs w:val="18"/>
              </w:rPr>
              <w:t>行为名称</w:t>
            </w:r>
          </w:p>
        </w:tc>
        <w:tc>
          <w:tcPr>
            <w:tcW w:w="13036" w:type="dxa"/>
            <w:tcBorders>
              <w:top w:val="single" w:color="auto" w:sz="4" w:space="0"/>
              <w:left w:val="nil"/>
              <w:bottom w:val="single" w:color="auto" w:sz="4" w:space="0"/>
              <w:right w:val="single" w:color="000000" w:sz="8" w:space="0"/>
            </w:tcBorders>
            <w:vAlign w:val="center"/>
          </w:tcPr>
          <w:p w14:paraId="48BB7F48">
            <w:pPr>
              <w:spacing w:line="320" w:lineRule="exact"/>
              <w:jc w:val="left"/>
              <w:rPr>
                <w:color w:val="000000"/>
                <w:kern w:val="0"/>
                <w:sz w:val="18"/>
                <w:szCs w:val="18"/>
              </w:rPr>
            </w:pPr>
            <w:r>
              <w:rPr>
                <w:rFonts w:hint="eastAsia"/>
                <w:color w:val="000000"/>
                <w:kern w:val="0"/>
                <w:sz w:val="18"/>
                <w:szCs w:val="18"/>
              </w:rPr>
              <w:t>对工程建设项目的附属绿化工程设计方案，未经批准或者未按照批准的设计方案施工的处罚</w:t>
            </w:r>
          </w:p>
        </w:tc>
      </w:tr>
      <w:tr w14:paraId="3414EDF5">
        <w:tblPrEx>
          <w:tblCellMar>
            <w:top w:w="0" w:type="dxa"/>
            <w:left w:w="108" w:type="dxa"/>
            <w:bottom w:w="0" w:type="dxa"/>
            <w:right w:w="108" w:type="dxa"/>
          </w:tblCellMar>
        </w:tblPrEx>
        <w:trPr>
          <w:trHeight w:val="1035" w:hRule="atLeast"/>
        </w:trPr>
        <w:tc>
          <w:tcPr>
            <w:tcW w:w="980" w:type="dxa"/>
            <w:tcBorders>
              <w:top w:val="nil"/>
              <w:left w:val="single" w:color="auto" w:sz="8" w:space="0"/>
              <w:bottom w:val="single" w:color="auto" w:sz="4" w:space="0"/>
              <w:right w:val="single" w:color="auto" w:sz="4" w:space="0"/>
            </w:tcBorders>
            <w:vAlign w:val="center"/>
          </w:tcPr>
          <w:p w14:paraId="66638840">
            <w:pPr>
              <w:spacing w:line="320" w:lineRule="exact"/>
              <w:jc w:val="center"/>
              <w:rPr>
                <w:color w:val="000000"/>
                <w:kern w:val="0"/>
                <w:sz w:val="18"/>
                <w:szCs w:val="18"/>
              </w:rPr>
            </w:pPr>
            <w:r>
              <w:rPr>
                <w:rFonts w:hint="eastAsia"/>
                <w:color w:val="000000"/>
                <w:kern w:val="0"/>
                <w:sz w:val="18"/>
                <w:szCs w:val="18"/>
              </w:rPr>
              <w:t>法律依据</w:t>
            </w:r>
          </w:p>
        </w:tc>
        <w:tc>
          <w:tcPr>
            <w:tcW w:w="13036" w:type="dxa"/>
            <w:tcBorders>
              <w:top w:val="single" w:color="auto" w:sz="4" w:space="0"/>
              <w:left w:val="nil"/>
              <w:bottom w:val="single" w:color="auto" w:sz="4" w:space="0"/>
              <w:right w:val="single" w:color="000000" w:sz="8" w:space="0"/>
            </w:tcBorders>
            <w:vAlign w:val="center"/>
          </w:tcPr>
          <w:p w14:paraId="21EA91C0">
            <w:pPr>
              <w:spacing w:line="320" w:lineRule="exact"/>
              <w:jc w:val="left"/>
              <w:rPr>
                <w:color w:val="000000"/>
                <w:kern w:val="0"/>
                <w:sz w:val="18"/>
                <w:szCs w:val="18"/>
              </w:rPr>
            </w:pPr>
            <w:r>
              <w:rPr>
                <w:rFonts w:hint="eastAsia"/>
                <w:color w:val="000000"/>
                <w:kern w:val="0"/>
                <w:sz w:val="18"/>
                <w:szCs w:val="18"/>
              </w:rPr>
              <w:t>【行政法规】《城市绿化条例》（</w:t>
            </w:r>
            <w:r>
              <w:rPr>
                <w:color w:val="000000"/>
                <w:kern w:val="0"/>
                <w:sz w:val="18"/>
                <w:szCs w:val="18"/>
              </w:rPr>
              <w:t>2017</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w:t>
            </w:r>
            <w:r>
              <w:rPr>
                <w:rFonts w:hint="eastAsia"/>
                <w:color w:val="000000"/>
                <w:kern w:val="0"/>
                <w:sz w:val="18"/>
                <w:szCs w:val="18"/>
              </w:rPr>
              <w:t>日修正版）</w:t>
            </w:r>
            <w:r>
              <w:rPr>
                <w:color w:val="000000"/>
                <w:kern w:val="0"/>
                <w:sz w:val="18"/>
                <w:szCs w:val="18"/>
              </w:rPr>
              <w:t xml:space="preserve"> </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工程建设项目的附属绿化工程设计方案，未经批准或者未按照批准的设计方案施工的，由城市人民政府城市绿化行政主管部门责令停止施工、限期改正或者采取其他补救措施。</w:t>
            </w:r>
          </w:p>
        </w:tc>
      </w:tr>
      <w:tr w14:paraId="73B8C645">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3F5CB51C">
            <w:pPr>
              <w:spacing w:line="320" w:lineRule="exact"/>
              <w:jc w:val="center"/>
              <w:rPr>
                <w:color w:val="000000"/>
                <w:kern w:val="0"/>
                <w:sz w:val="18"/>
                <w:szCs w:val="18"/>
              </w:rPr>
            </w:pPr>
            <w:r>
              <w:rPr>
                <w:rFonts w:hint="eastAsia"/>
                <w:color w:val="000000"/>
                <w:kern w:val="0"/>
                <w:sz w:val="18"/>
                <w:szCs w:val="18"/>
              </w:rPr>
              <w:t>行使内容</w:t>
            </w:r>
          </w:p>
        </w:tc>
        <w:tc>
          <w:tcPr>
            <w:tcW w:w="13036" w:type="dxa"/>
            <w:tcBorders>
              <w:top w:val="single" w:color="auto" w:sz="4" w:space="0"/>
              <w:left w:val="nil"/>
              <w:bottom w:val="single" w:color="auto" w:sz="4" w:space="0"/>
              <w:right w:val="single" w:color="000000" w:sz="8" w:space="0"/>
            </w:tcBorders>
            <w:vAlign w:val="center"/>
          </w:tcPr>
          <w:p w14:paraId="7024EB8B">
            <w:pPr>
              <w:spacing w:line="320" w:lineRule="exact"/>
              <w:jc w:val="left"/>
              <w:rPr>
                <w:color w:val="000000"/>
                <w:kern w:val="0"/>
                <w:sz w:val="18"/>
                <w:szCs w:val="18"/>
              </w:rPr>
            </w:pPr>
            <w:r>
              <w:rPr>
                <w:rFonts w:hint="eastAsia"/>
                <w:color w:val="000000"/>
                <w:kern w:val="0"/>
                <w:sz w:val="18"/>
                <w:szCs w:val="18"/>
              </w:rPr>
              <w:t>责令停止施工、限期改正</w:t>
            </w:r>
          </w:p>
        </w:tc>
      </w:tr>
    </w:tbl>
    <w:p w14:paraId="05558AFB"/>
    <w:p w14:paraId="121C2CD8"/>
    <w:tbl>
      <w:tblPr>
        <w:tblStyle w:val="15"/>
        <w:tblW w:w="0" w:type="auto"/>
        <w:tblInd w:w="88" w:type="dxa"/>
        <w:tblLayout w:type="fixed"/>
        <w:tblCellMar>
          <w:top w:w="0" w:type="dxa"/>
          <w:left w:w="108" w:type="dxa"/>
          <w:bottom w:w="0" w:type="dxa"/>
          <w:right w:w="108" w:type="dxa"/>
        </w:tblCellMar>
      </w:tblPr>
      <w:tblGrid>
        <w:gridCol w:w="980"/>
        <w:gridCol w:w="6140"/>
        <w:gridCol w:w="1016"/>
        <w:gridCol w:w="5880"/>
      </w:tblGrid>
      <w:tr w14:paraId="65CFECDF">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1242A4FD">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color="auto" w:sz="8" w:space="0"/>
              <w:left w:val="nil"/>
              <w:bottom w:val="single" w:color="auto" w:sz="4" w:space="0"/>
              <w:right w:val="single" w:color="000000" w:sz="8" w:space="0"/>
            </w:tcBorders>
            <w:vAlign w:val="center"/>
          </w:tcPr>
          <w:p w14:paraId="7B5CBCED">
            <w:pPr>
              <w:jc w:val="left"/>
              <w:textAlignment w:val="center"/>
              <w:rPr>
                <w:rFonts w:eastAsia="仿宋_GB2312"/>
                <w:b/>
                <w:color w:val="000000"/>
                <w:sz w:val="20"/>
              </w:rPr>
            </w:pPr>
            <w:r>
              <w:rPr>
                <w:rFonts w:eastAsia="仿宋_GB2312"/>
                <w:b/>
                <w:color w:val="000000"/>
                <w:kern w:val="0"/>
                <w:sz w:val="20"/>
              </w:rPr>
              <w:t>320217649000</w:t>
            </w:r>
            <w:r>
              <w:rPr>
                <w:rFonts w:hint="eastAsia" w:eastAsia="仿宋_GB2312"/>
                <w:b/>
                <w:color w:val="000000"/>
                <w:kern w:val="0"/>
                <w:sz w:val="20"/>
              </w:rPr>
              <w:t xml:space="preserve"> </w:t>
            </w:r>
          </w:p>
        </w:tc>
      </w:tr>
      <w:tr w14:paraId="7E12912D">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7F32E5FF">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color="auto" w:sz="4" w:space="0"/>
              <w:left w:val="nil"/>
              <w:bottom w:val="single" w:color="auto" w:sz="4" w:space="0"/>
              <w:right w:val="single" w:color="000000" w:sz="8" w:space="0"/>
            </w:tcBorders>
            <w:vAlign w:val="center"/>
          </w:tcPr>
          <w:p w14:paraId="54D7C985">
            <w:pPr>
              <w:jc w:val="left"/>
              <w:textAlignment w:val="center"/>
              <w:rPr>
                <w:rFonts w:eastAsia="仿宋_GB2312"/>
                <w:color w:val="000000"/>
                <w:sz w:val="20"/>
              </w:rPr>
            </w:pPr>
            <w:r>
              <w:rPr>
                <w:rFonts w:hint="eastAsia"/>
                <w:color w:val="000000"/>
                <w:kern w:val="0"/>
                <w:sz w:val="18"/>
                <w:szCs w:val="18"/>
              </w:rPr>
              <w:t>对擅自砍伐城市树木的处罚</w:t>
            </w:r>
          </w:p>
        </w:tc>
      </w:tr>
      <w:tr w14:paraId="51F92534">
        <w:tblPrEx>
          <w:tblCellMar>
            <w:top w:w="0" w:type="dxa"/>
            <w:left w:w="108" w:type="dxa"/>
            <w:bottom w:w="0" w:type="dxa"/>
            <w:right w:w="108" w:type="dxa"/>
          </w:tblCellMar>
        </w:tblPrEx>
        <w:trPr>
          <w:trHeight w:val="1035" w:hRule="atLeast"/>
        </w:trPr>
        <w:tc>
          <w:tcPr>
            <w:tcW w:w="980" w:type="dxa"/>
            <w:tcBorders>
              <w:top w:val="nil"/>
              <w:left w:val="single" w:color="auto" w:sz="8" w:space="0"/>
              <w:bottom w:val="single" w:color="auto" w:sz="4" w:space="0"/>
              <w:right w:val="single" w:color="auto" w:sz="4" w:space="0"/>
            </w:tcBorders>
            <w:vAlign w:val="center"/>
          </w:tcPr>
          <w:p w14:paraId="033E0D56">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color="auto" w:sz="4" w:space="0"/>
              <w:left w:val="nil"/>
              <w:bottom w:val="single" w:color="auto" w:sz="4" w:space="0"/>
              <w:right w:val="single" w:color="000000" w:sz="8" w:space="0"/>
            </w:tcBorders>
            <w:vAlign w:val="center"/>
          </w:tcPr>
          <w:p w14:paraId="57FDF69C">
            <w:pPr>
              <w:jc w:val="left"/>
              <w:textAlignment w:val="center"/>
              <w:rPr>
                <w:rFonts w:eastAsia="仿宋_GB2312"/>
                <w:color w:val="000000"/>
                <w:sz w:val="20"/>
              </w:rPr>
            </w:pPr>
            <w:r>
              <w:rPr>
                <w:rFonts w:hint="eastAsia"/>
                <w:color w:val="000000"/>
                <w:kern w:val="0"/>
                <w:sz w:val="18"/>
                <w:szCs w:val="18"/>
              </w:rPr>
              <w:t>【行政法规】《城市绿化条例》（国务院令</w:t>
            </w:r>
            <w:r>
              <w:rPr>
                <w:color w:val="000000"/>
                <w:kern w:val="0"/>
                <w:sz w:val="18"/>
                <w:szCs w:val="18"/>
              </w:rPr>
              <w:t>1992</w:t>
            </w:r>
            <w:r>
              <w:rPr>
                <w:rFonts w:hint="eastAsia"/>
                <w:color w:val="000000"/>
                <w:kern w:val="0"/>
                <w:sz w:val="18"/>
                <w:szCs w:val="18"/>
              </w:rPr>
              <w:t>年第</w:t>
            </w:r>
            <w:r>
              <w:rPr>
                <w:color w:val="000000"/>
                <w:kern w:val="0"/>
                <w:sz w:val="18"/>
                <w:szCs w:val="18"/>
              </w:rPr>
              <w:t>100</w:t>
            </w:r>
            <w:r>
              <w:rPr>
                <w:rFonts w:hint="eastAsia"/>
                <w:color w:val="000000"/>
                <w:kern w:val="0"/>
                <w:sz w:val="18"/>
                <w:szCs w:val="18"/>
              </w:rPr>
              <w:t>号）</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砍伐城市树木，必须经城市人民政府城市绿化行政主管部门批准，并按照国家有关规定补植树木或者采取其他补救措施。</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r>
              <w:rPr>
                <w:color w:val="000000"/>
                <w:kern w:val="0"/>
                <w:sz w:val="18"/>
                <w:szCs w:val="18"/>
              </w:rPr>
              <w:br w:type="textWrapping"/>
            </w:r>
            <w:r>
              <w:rPr>
                <w:rFonts w:hint="eastAsia"/>
                <w:color w:val="000000"/>
                <w:kern w:val="0"/>
                <w:sz w:val="18"/>
                <w:szCs w:val="18"/>
              </w:rPr>
              <w:t>（二）擅自砍伐城市树木的；</w:t>
            </w:r>
            <w:r>
              <w:rPr>
                <w:color w:val="000000"/>
                <w:kern w:val="0"/>
                <w:sz w:val="18"/>
                <w:szCs w:val="18"/>
              </w:rPr>
              <w:br w:type="textWrapping"/>
            </w:r>
            <w:r>
              <w:rPr>
                <w:rFonts w:hint="eastAsia"/>
                <w:color w:val="000000"/>
                <w:kern w:val="0"/>
                <w:sz w:val="18"/>
                <w:szCs w:val="18"/>
              </w:rPr>
              <w:t>【地方性法规】《江苏省城市绿化管理条例》</w:t>
            </w:r>
            <w:r>
              <w:rPr>
                <w:color w:val="000000"/>
                <w:kern w:val="0"/>
                <w:sz w:val="18"/>
                <w:szCs w:val="18"/>
              </w:rPr>
              <w:br w:type="textWrapping"/>
            </w:r>
            <w:r>
              <w:rPr>
                <w:rFonts w:hint="eastAsia"/>
                <w:color w:val="000000"/>
                <w:kern w:val="0"/>
                <w:sz w:val="18"/>
                <w:szCs w:val="18"/>
              </w:rPr>
              <w:t>　　第二十三条</w:t>
            </w:r>
            <w:r>
              <w:rPr>
                <w:color w:val="000000"/>
                <w:kern w:val="0"/>
                <w:sz w:val="18"/>
                <w:szCs w:val="18"/>
              </w:rPr>
              <w:t xml:space="preserve"> </w:t>
            </w:r>
            <w:r>
              <w:rPr>
                <w:rFonts w:hint="eastAsia"/>
                <w:color w:val="000000"/>
                <w:kern w:val="0"/>
                <w:sz w:val="18"/>
                <w:szCs w:val="18"/>
              </w:rPr>
              <w:t>违反本条例规定，有下列行为之一的，由城市人民政府建设（园林）行政主管部门责令停止侵害，可以并处损失费一倍以上五倍以下的罚款；应当给予治安处罚的，依照《中华人民共和国治安管理处罚法》的有关规定处罚；构成犯罪的，依法追究刑事责任：</w:t>
            </w:r>
            <w:r>
              <w:rPr>
                <w:color w:val="000000"/>
                <w:kern w:val="0"/>
                <w:sz w:val="18"/>
                <w:szCs w:val="18"/>
              </w:rPr>
              <w:br w:type="textWrapping"/>
            </w:r>
            <w:r>
              <w:rPr>
                <w:rFonts w:hint="eastAsia"/>
                <w:color w:val="000000"/>
                <w:kern w:val="0"/>
                <w:sz w:val="18"/>
                <w:szCs w:val="18"/>
              </w:rPr>
              <w:t>（二）擅自砍伐城市树木的；</w:t>
            </w:r>
          </w:p>
        </w:tc>
      </w:tr>
      <w:tr w14:paraId="5031DA3A">
        <w:tblPrEx>
          <w:tblCellMar>
            <w:top w:w="0" w:type="dxa"/>
            <w:left w:w="108" w:type="dxa"/>
            <w:bottom w:w="0" w:type="dxa"/>
            <w:right w:w="108" w:type="dxa"/>
          </w:tblCellMar>
        </w:tblPrEx>
        <w:trPr>
          <w:trHeight w:val="285" w:hRule="atLeast"/>
        </w:trPr>
        <w:tc>
          <w:tcPr>
            <w:tcW w:w="980" w:type="dxa"/>
            <w:tcBorders>
              <w:top w:val="single" w:color="auto" w:sz="4" w:space="0"/>
              <w:left w:val="single" w:color="auto" w:sz="4" w:space="0"/>
              <w:bottom w:val="single" w:color="auto" w:sz="4" w:space="0"/>
              <w:right w:val="single" w:color="auto" w:sz="4" w:space="0"/>
            </w:tcBorders>
            <w:vAlign w:val="center"/>
          </w:tcPr>
          <w:p w14:paraId="31BB4DA9">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color="auto" w:sz="4" w:space="0"/>
              <w:left w:val="single" w:color="auto" w:sz="4" w:space="0"/>
              <w:bottom w:val="single" w:color="auto" w:sz="4" w:space="0"/>
              <w:right w:val="single" w:color="auto" w:sz="4" w:space="0"/>
            </w:tcBorders>
            <w:vAlign w:val="center"/>
          </w:tcPr>
          <w:p w14:paraId="0FDBF265">
            <w:pPr>
              <w:spacing w:line="320" w:lineRule="exact"/>
              <w:jc w:val="left"/>
              <w:rPr>
                <w:color w:val="000000"/>
                <w:kern w:val="0"/>
                <w:sz w:val="18"/>
                <w:szCs w:val="18"/>
              </w:rPr>
            </w:pPr>
            <w:r>
              <w:rPr>
                <w:rFonts w:hint="eastAsia"/>
                <w:color w:val="000000"/>
                <w:kern w:val="0"/>
                <w:sz w:val="18"/>
                <w:szCs w:val="18"/>
              </w:rPr>
              <w:t>罚款</w:t>
            </w:r>
          </w:p>
        </w:tc>
      </w:tr>
      <w:tr w14:paraId="354E142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4" w:space="0"/>
              <w:bottom w:val="single" w:color="auto" w:sz="4" w:space="0"/>
              <w:right w:val="single" w:color="auto" w:sz="4" w:space="0"/>
            </w:tcBorders>
            <w:vAlign w:val="center"/>
          </w:tcPr>
          <w:p w14:paraId="31FFA80C">
            <w:pPr>
              <w:spacing w:line="320" w:lineRule="exact"/>
              <w:jc w:val="center"/>
              <w:rPr>
                <w:color w:val="000000"/>
                <w:kern w:val="0"/>
                <w:sz w:val="18"/>
                <w:szCs w:val="18"/>
              </w:rPr>
            </w:pPr>
            <w:r>
              <w:rPr>
                <w:rFonts w:hint="eastAsia"/>
                <w:color w:val="000000"/>
                <w:kern w:val="0"/>
                <w:sz w:val="18"/>
                <w:szCs w:val="18"/>
              </w:rPr>
              <w:t>裁量基准</w:t>
            </w:r>
          </w:p>
        </w:tc>
      </w:tr>
      <w:tr w14:paraId="15779C92">
        <w:tblPrEx>
          <w:tblCellMar>
            <w:top w:w="0" w:type="dxa"/>
            <w:left w:w="108" w:type="dxa"/>
            <w:bottom w:w="0" w:type="dxa"/>
            <w:right w:w="108" w:type="dxa"/>
          </w:tblCellMar>
        </w:tblPrEx>
        <w:trPr>
          <w:trHeight w:val="285" w:hRule="atLeast"/>
        </w:trPr>
        <w:tc>
          <w:tcPr>
            <w:tcW w:w="980" w:type="dxa"/>
            <w:vMerge w:val="restart"/>
            <w:tcBorders>
              <w:top w:val="single" w:color="auto" w:sz="4" w:space="0"/>
              <w:left w:val="single" w:color="auto" w:sz="4" w:space="0"/>
              <w:bottom w:val="single" w:color="auto" w:sz="4" w:space="0"/>
              <w:right w:val="single" w:color="auto" w:sz="4" w:space="0"/>
            </w:tcBorders>
            <w:vAlign w:val="center"/>
          </w:tcPr>
          <w:p w14:paraId="70E6631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447ABE2">
            <w:pPr>
              <w:spacing w:line="320" w:lineRule="exact"/>
              <w:jc w:val="left"/>
              <w:rPr>
                <w:color w:val="000000"/>
                <w:kern w:val="0"/>
                <w:sz w:val="18"/>
                <w:szCs w:val="18"/>
              </w:rPr>
            </w:pPr>
            <w:r>
              <w:rPr>
                <w:rFonts w:hint="eastAsia"/>
                <w:color w:val="000000"/>
                <w:kern w:val="0"/>
                <w:sz w:val="18"/>
                <w:szCs w:val="18"/>
              </w:rPr>
              <w:t>擅自砍伐城市树木</w:t>
            </w:r>
            <w:r>
              <w:rPr>
                <w:color w:val="000000"/>
                <w:kern w:val="0"/>
                <w:sz w:val="18"/>
                <w:szCs w:val="18"/>
              </w:rPr>
              <w:t>5</w:t>
            </w:r>
            <w:r>
              <w:rPr>
                <w:rFonts w:hint="eastAsia"/>
                <w:color w:val="000000"/>
                <w:kern w:val="0"/>
                <w:sz w:val="18"/>
                <w:szCs w:val="18"/>
              </w:rPr>
              <w:t>棵以下的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6C61E36E">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color="auto" w:sz="4" w:space="0"/>
              <w:left w:val="nil"/>
              <w:bottom w:val="single" w:color="auto" w:sz="4" w:space="0"/>
              <w:right w:val="single" w:color="auto" w:sz="4" w:space="0"/>
            </w:tcBorders>
            <w:vAlign w:val="center"/>
          </w:tcPr>
          <w:p w14:paraId="52D5788C">
            <w:pPr>
              <w:spacing w:line="320" w:lineRule="exact"/>
              <w:jc w:val="left"/>
              <w:rPr>
                <w:color w:val="000000"/>
                <w:kern w:val="0"/>
                <w:sz w:val="18"/>
                <w:szCs w:val="18"/>
              </w:rPr>
            </w:pPr>
            <w:r>
              <w:rPr>
                <w:rFonts w:hint="eastAsia"/>
                <w:color w:val="000000"/>
                <w:kern w:val="0"/>
                <w:sz w:val="18"/>
                <w:szCs w:val="18"/>
              </w:rPr>
              <w:t>处损失费一倍以上三倍以下罚款</w:t>
            </w:r>
          </w:p>
        </w:tc>
      </w:tr>
      <w:tr w14:paraId="003B592F">
        <w:tblPrEx>
          <w:tblCellMar>
            <w:top w:w="0" w:type="dxa"/>
            <w:left w:w="108" w:type="dxa"/>
            <w:bottom w:w="0" w:type="dxa"/>
            <w:right w:w="108" w:type="dxa"/>
          </w:tblCellMar>
        </w:tblPrEx>
        <w:trPr>
          <w:trHeight w:val="960" w:hRule="atLeast"/>
        </w:trPr>
        <w:tc>
          <w:tcPr>
            <w:tcW w:w="980" w:type="dxa"/>
            <w:vMerge w:val="continue"/>
            <w:tcBorders>
              <w:top w:val="single" w:color="auto" w:sz="4" w:space="0"/>
              <w:left w:val="single" w:color="auto" w:sz="4" w:space="0"/>
              <w:bottom w:val="single" w:color="auto" w:sz="4" w:space="0"/>
              <w:right w:val="single" w:color="auto" w:sz="4" w:space="0"/>
            </w:tcBorders>
            <w:vAlign w:val="center"/>
          </w:tcPr>
          <w:p w14:paraId="4B5B9B6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67501D4">
            <w:pPr>
              <w:spacing w:line="320" w:lineRule="exact"/>
              <w:jc w:val="left"/>
              <w:rPr>
                <w:color w:val="000000"/>
                <w:kern w:val="0"/>
                <w:sz w:val="18"/>
                <w:szCs w:val="18"/>
              </w:rPr>
            </w:pPr>
            <w:r>
              <w:rPr>
                <w:rFonts w:hint="eastAsia"/>
                <w:color w:val="000000"/>
                <w:kern w:val="0"/>
                <w:sz w:val="18"/>
                <w:szCs w:val="18"/>
              </w:rPr>
              <w:t>擅自砍伐城市树木花草</w:t>
            </w:r>
            <w:r>
              <w:rPr>
                <w:color w:val="000000"/>
                <w:kern w:val="0"/>
                <w:sz w:val="18"/>
                <w:szCs w:val="18"/>
              </w:rPr>
              <w:t>5</w:t>
            </w:r>
            <w:r>
              <w:rPr>
                <w:rFonts w:hint="eastAsia"/>
                <w:color w:val="000000"/>
                <w:kern w:val="0"/>
                <w:sz w:val="18"/>
                <w:szCs w:val="18"/>
              </w:rPr>
              <w:t>棵以上或擅自砍伐胸径</w:t>
            </w:r>
            <w:r>
              <w:rPr>
                <w:color w:val="000000"/>
                <w:kern w:val="0"/>
                <w:sz w:val="18"/>
                <w:szCs w:val="18"/>
              </w:rPr>
              <w:t>20cm</w:t>
            </w:r>
            <w:r>
              <w:rPr>
                <w:rFonts w:hint="eastAsia"/>
                <w:color w:val="000000"/>
                <w:kern w:val="0"/>
                <w:sz w:val="18"/>
                <w:szCs w:val="18"/>
              </w:rPr>
              <w:t>以上树木，或擅自砍伐行道数、城市主干道、重要景观节点等位置树木的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138A4BD9">
            <w:pPr>
              <w:spacing w:line="320" w:lineRule="exact"/>
              <w:jc w:val="left"/>
              <w:rPr>
                <w:color w:val="000000"/>
                <w:kern w:val="0"/>
                <w:sz w:val="18"/>
                <w:szCs w:val="18"/>
              </w:rPr>
            </w:pPr>
          </w:p>
        </w:tc>
        <w:tc>
          <w:tcPr>
            <w:tcW w:w="5880" w:type="dxa"/>
            <w:tcBorders>
              <w:top w:val="single" w:color="auto" w:sz="4" w:space="0"/>
              <w:left w:val="nil"/>
              <w:bottom w:val="single" w:color="auto" w:sz="4" w:space="0"/>
              <w:right w:val="single" w:color="auto" w:sz="4" w:space="0"/>
            </w:tcBorders>
            <w:vAlign w:val="center"/>
          </w:tcPr>
          <w:p w14:paraId="51CCA6A7">
            <w:pPr>
              <w:spacing w:line="320" w:lineRule="exact"/>
              <w:jc w:val="left"/>
              <w:rPr>
                <w:color w:val="000000"/>
                <w:kern w:val="0"/>
                <w:sz w:val="18"/>
                <w:szCs w:val="18"/>
              </w:rPr>
            </w:pPr>
            <w:r>
              <w:rPr>
                <w:rFonts w:hint="eastAsia"/>
                <w:color w:val="000000"/>
                <w:kern w:val="0"/>
                <w:sz w:val="18"/>
                <w:szCs w:val="18"/>
              </w:rPr>
              <w:t>处损失费三倍以上五倍以下罚款</w:t>
            </w:r>
          </w:p>
        </w:tc>
      </w:tr>
    </w:tbl>
    <w:p w14:paraId="5C6FD4A3"/>
    <w:p w14:paraId="089D2E08"/>
    <w:p w14:paraId="4CECFDCB"/>
    <w:tbl>
      <w:tblPr>
        <w:tblStyle w:val="15"/>
        <w:tblW w:w="0" w:type="auto"/>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6140"/>
        <w:gridCol w:w="1080"/>
        <w:gridCol w:w="5820"/>
      </w:tblGrid>
      <w:tr w14:paraId="4212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10A09CD9">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14:paraId="1F43B91E">
            <w:pPr>
              <w:spacing w:line="320" w:lineRule="exact"/>
              <w:jc w:val="left"/>
              <w:rPr>
                <w:rFonts w:eastAsia="仿宋_GB2312"/>
                <w:b/>
                <w:bCs/>
                <w:color w:val="000000"/>
                <w:kern w:val="0"/>
                <w:sz w:val="18"/>
                <w:szCs w:val="18"/>
              </w:rPr>
            </w:pPr>
            <w:r>
              <w:rPr>
                <w:rFonts w:eastAsia="仿宋_GB2312"/>
                <w:b/>
                <w:bCs/>
                <w:color w:val="000000"/>
                <w:kern w:val="0"/>
                <w:sz w:val="18"/>
                <w:szCs w:val="18"/>
              </w:rPr>
              <w:t>320217650000</w:t>
            </w:r>
            <w:r>
              <w:rPr>
                <w:rFonts w:hint="eastAsia" w:eastAsia="仿宋_GB2312"/>
                <w:b/>
                <w:bCs/>
                <w:color w:val="000000"/>
                <w:kern w:val="0"/>
                <w:sz w:val="18"/>
                <w:szCs w:val="18"/>
              </w:rPr>
              <w:t xml:space="preserve"> </w:t>
            </w:r>
          </w:p>
        </w:tc>
      </w:tr>
      <w:tr w14:paraId="674A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3BC86A6">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14:paraId="3975962A">
            <w:pPr>
              <w:spacing w:line="320" w:lineRule="exact"/>
              <w:jc w:val="left"/>
              <w:rPr>
                <w:color w:val="000000"/>
                <w:kern w:val="0"/>
                <w:sz w:val="18"/>
                <w:szCs w:val="18"/>
              </w:rPr>
            </w:pPr>
            <w:r>
              <w:rPr>
                <w:rFonts w:hint="eastAsia"/>
                <w:color w:val="000000"/>
                <w:kern w:val="0"/>
                <w:sz w:val="18"/>
                <w:szCs w:val="18"/>
              </w:rPr>
              <w:t>对建设单位将备案机关决定重新组织竣工验收的工程，在重新组织竣工验收前，擅自使用的处罚</w:t>
            </w:r>
          </w:p>
        </w:tc>
      </w:tr>
      <w:tr w14:paraId="2A5D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1030" w:type="dxa"/>
            <w:vAlign w:val="center"/>
          </w:tcPr>
          <w:p w14:paraId="66474EFF">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14:paraId="0660AEF1">
            <w:pPr>
              <w:spacing w:line="320" w:lineRule="exact"/>
              <w:jc w:val="left"/>
              <w:rPr>
                <w:color w:val="000000"/>
                <w:kern w:val="0"/>
                <w:sz w:val="18"/>
                <w:szCs w:val="18"/>
              </w:rPr>
            </w:pPr>
            <w:r>
              <w:rPr>
                <w:rFonts w:hint="eastAsia"/>
                <w:color w:val="000000"/>
                <w:kern w:val="0"/>
                <w:sz w:val="18"/>
                <w:szCs w:val="18"/>
              </w:rPr>
              <w:t>【规章】《房屋建筑工程和市政基础设施工程竣工验收备案管理办法》（住房和城乡建设部令第</w:t>
            </w:r>
            <w:r>
              <w:rPr>
                <w:color w:val="000000"/>
                <w:kern w:val="0"/>
                <w:sz w:val="18"/>
                <w:szCs w:val="18"/>
              </w:rPr>
              <w:t>2</w:t>
            </w:r>
            <w:r>
              <w:rPr>
                <w:rFonts w:hint="eastAsia"/>
                <w:color w:val="000000"/>
                <w:kern w:val="0"/>
                <w:sz w:val="18"/>
                <w:szCs w:val="18"/>
              </w:rPr>
              <w:t>号）</w:t>
            </w:r>
          </w:p>
          <w:p w14:paraId="27861A87">
            <w:pPr>
              <w:spacing w:line="320" w:lineRule="exact"/>
              <w:jc w:val="left"/>
              <w:rPr>
                <w:color w:val="000000"/>
                <w:kern w:val="0"/>
                <w:sz w:val="18"/>
                <w:szCs w:val="18"/>
              </w:rPr>
            </w:pPr>
            <w:r>
              <w:rPr>
                <w:rFonts w:hint="eastAsia"/>
                <w:color w:val="000000"/>
                <w:kern w:val="0"/>
                <w:sz w:val="18"/>
                <w:szCs w:val="18"/>
              </w:rPr>
              <w:t>第十条</w:t>
            </w:r>
            <w:r>
              <w:rPr>
                <w:color w:val="000000"/>
                <w:kern w:val="0"/>
                <w:sz w:val="18"/>
                <w:szCs w:val="18"/>
              </w:rPr>
              <w:t xml:space="preserve"> </w:t>
            </w:r>
            <w:r>
              <w:rPr>
                <w:rFonts w:hint="eastAsia"/>
                <w:color w:val="000000"/>
                <w:kern w:val="0"/>
                <w:sz w:val="18"/>
                <w:szCs w:val="18"/>
              </w:rPr>
              <w:t>建设单位将备案机关决定重新组织竣工验收的工程，在重新组织竣工验收前，擅自使用的，备案机关责令停止使用，处工程合同价款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w:t>
            </w:r>
          </w:p>
        </w:tc>
      </w:tr>
      <w:tr w14:paraId="0E2C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Align w:val="center"/>
          </w:tcPr>
          <w:p w14:paraId="734F8EEF">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14:paraId="3E13D111">
            <w:pPr>
              <w:spacing w:line="320" w:lineRule="exact"/>
              <w:jc w:val="left"/>
              <w:rPr>
                <w:color w:val="000000"/>
                <w:kern w:val="0"/>
                <w:sz w:val="18"/>
                <w:szCs w:val="18"/>
              </w:rPr>
            </w:pPr>
            <w:r>
              <w:rPr>
                <w:rFonts w:hint="eastAsia"/>
                <w:color w:val="000000"/>
                <w:kern w:val="0"/>
                <w:sz w:val="18"/>
                <w:szCs w:val="18"/>
              </w:rPr>
              <w:t>罚款</w:t>
            </w:r>
          </w:p>
        </w:tc>
      </w:tr>
      <w:tr w14:paraId="1E9A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70" w:type="dxa"/>
            <w:gridSpan w:val="4"/>
            <w:vAlign w:val="center"/>
          </w:tcPr>
          <w:p w14:paraId="458678D6">
            <w:pPr>
              <w:spacing w:line="320" w:lineRule="exact"/>
              <w:jc w:val="center"/>
              <w:rPr>
                <w:color w:val="000000"/>
                <w:kern w:val="0"/>
                <w:sz w:val="18"/>
                <w:szCs w:val="18"/>
              </w:rPr>
            </w:pPr>
            <w:r>
              <w:rPr>
                <w:rFonts w:hint="eastAsia"/>
                <w:color w:val="000000"/>
                <w:kern w:val="0"/>
                <w:sz w:val="18"/>
                <w:szCs w:val="18"/>
              </w:rPr>
              <w:t>裁量基准</w:t>
            </w:r>
          </w:p>
        </w:tc>
      </w:tr>
      <w:tr w14:paraId="31C5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restart"/>
            <w:vAlign w:val="center"/>
          </w:tcPr>
          <w:p w14:paraId="589D257D">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7B09B5E4">
            <w:pPr>
              <w:spacing w:line="320" w:lineRule="exact"/>
              <w:jc w:val="left"/>
              <w:rPr>
                <w:color w:val="000000"/>
                <w:kern w:val="0"/>
                <w:sz w:val="18"/>
                <w:szCs w:val="18"/>
              </w:rPr>
            </w:pPr>
            <w:r>
              <w:rPr>
                <w:rFonts w:hint="eastAsia"/>
                <w:color w:val="000000"/>
                <w:kern w:val="0"/>
                <w:sz w:val="18"/>
                <w:szCs w:val="18"/>
              </w:rPr>
              <w:t>按照备案机关要求停止使用，未造成</w:t>
            </w:r>
            <w:r>
              <w:rPr>
                <w:color w:val="000000"/>
                <w:kern w:val="0"/>
                <w:sz w:val="18"/>
                <w:szCs w:val="18"/>
              </w:rPr>
              <w:t>5</w:t>
            </w:r>
            <w:r>
              <w:rPr>
                <w:rFonts w:hint="eastAsia"/>
                <w:color w:val="000000"/>
                <w:kern w:val="0"/>
                <w:sz w:val="18"/>
                <w:szCs w:val="18"/>
              </w:rPr>
              <w:t>人及以上共同信访</w:t>
            </w:r>
          </w:p>
        </w:tc>
        <w:tc>
          <w:tcPr>
            <w:tcW w:w="1080" w:type="dxa"/>
            <w:vMerge w:val="restart"/>
            <w:vAlign w:val="center"/>
          </w:tcPr>
          <w:p w14:paraId="48F2C0C2">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14:paraId="3017FBCD">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tc>
      </w:tr>
      <w:tr w14:paraId="6464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7885536F">
            <w:pPr>
              <w:spacing w:line="320" w:lineRule="exact"/>
              <w:jc w:val="center"/>
              <w:rPr>
                <w:color w:val="000000"/>
                <w:kern w:val="0"/>
                <w:sz w:val="18"/>
                <w:szCs w:val="18"/>
              </w:rPr>
            </w:pPr>
          </w:p>
        </w:tc>
        <w:tc>
          <w:tcPr>
            <w:tcW w:w="6140" w:type="dxa"/>
            <w:vAlign w:val="center"/>
          </w:tcPr>
          <w:p w14:paraId="7C5B04EB">
            <w:pPr>
              <w:spacing w:line="320" w:lineRule="exact"/>
              <w:jc w:val="left"/>
              <w:rPr>
                <w:color w:val="000000"/>
                <w:kern w:val="0"/>
                <w:sz w:val="18"/>
                <w:szCs w:val="18"/>
              </w:rPr>
            </w:pPr>
            <w:r>
              <w:rPr>
                <w:rFonts w:hint="eastAsia"/>
                <w:color w:val="000000"/>
                <w:kern w:val="0"/>
                <w:sz w:val="18"/>
                <w:szCs w:val="18"/>
              </w:rPr>
              <w:t>未按照备案机关要求停止使用，未造成</w:t>
            </w:r>
            <w:r>
              <w:rPr>
                <w:color w:val="000000"/>
                <w:kern w:val="0"/>
                <w:sz w:val="18"/>
                <w:szCs w:val="18"/>
              </w:rPr>
              <w:t>5</w:t>
            </w:r>
            <w:r>
              <w:rPr>
                <w:rFonts w:hint="eastAsia"/>
                <w:color w:val="000000"/>
                <w:kern w:val="0"/>
                <w:sz w:val="18"/>
                <w:szCs w:val="18"/>
              </w:rPr>
              <w:t>人及以上共同信访</w:t>
            </w:r>
          </w:p>
        </w:tc>
        <w:tc>
          <w:tcPr>
            <w:tcW w:w="1080" w:type="dxa"/>
            <w:vMerge w:val="continue"/>
            <w:vAlign w:val="center"/>
          </w:tcPr>
          <w:p w14:paraId="4816302E">
            <w:pPr>
              <w:spacing w:line="320" w:lineRule="exact"/>
              <w:jc w:val="center"/>
              <w:rPr>
                <w:color w:val="000000"/>
                <w:kern w:val="0"/>
                <w:sz w:val="18"/>
                <w:szCs w:val="18"/>
              </w:rPr>
            </w:pPr>
          </w:p>
        </w:tc>
        <w:tc>
          <w:tcPr>
            <w:tcW w:w="5820" w:type="dxa"/>
            <w:vAlign w:val="center"/>
          </w:tcPr>
          <w:p w14:paraId="07B281F0">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w:t>
            </w:r>
          </w:p>
        </w:tc>
      </w:tr>
      <w:tr w14:paraId="0DA0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1B877541">
            <w:pPr>
              <w:spacing w:line="320" w:lineRule="exact"/>
              <w:jc w:val="center"/>
              <w:rPr>
                <w:color w:val="000000"/>
                <w:kern w:val="0"/>
                <w:sz w:val="18"/>
                <w:szCs w:val="18"/>
              </w:rPr>
            </w:pPr>
          </w:p>
        </w:tc>
        <w:tc>
          <w:tcPr>
            <w:tcW w:w="6140" w:type="dxa"/>
            <w:vAlign w:val="center"/>
          </w:tcPr>
          <w:p w14:paraId="092D21B7">
            <w:pPr>
              <w:spacing w:line="320" w:lineRule="exact"/>
              <w:jc w:val="left"/>
              <w:rPr>
                <w:color w:val="000000"/>
                <w:kern w:val="0"/>
                <w:sz w:val="18"/>
                <w:szCs w:val="18"/>
              </w:rPr>
            </w:pPr>
            <w:r>
              <w:rPr>
                <w:rFonts w:hint="eastAsia"/>
                <w:color w:val="000000"/>
                <w:kern w:val="0"/>
                <w:sz w:val="18"/>
                <w:szCs w:val="18"/>
              </w:rPr>
              <w:t>按照备案机关要求停止使用，造成</w:t>
            </w:r>
            <w:r>
              <w:rPr>
                <w:color w:val="000000"/>
                <w:kern w:val="0"/>
                <w:sz w:val="18"/>
                <w:szCs w:val="18"/>
              </w:rPr>
              <w:t>5</w:t>
            </w:r>
            <w:r>
              <w:rPr>
                <w:rFonts w:hint="eastAsia"/>
                <w:color w:val="000000"/>
                <w:kern w:val="0"/>
                <w:sz w:val="18"/>
                <w:szCs w:val="18"/>
              </w:rPr>
              <w:t>人及以上共同信访</w:t>
            </w:r>
          </w:p>
        </w:tc>
        <w:tc>
          <w:tcPr>
            <w:tcW w:w="1080" w:type="dxa"/>
            <w:vMerge w:val="continue"/>
            <w:vAlign w:val="center"/>
          </w:tcPr>
          <w:p w14:paraId="385B378A">
            <w:pPr>
              <w:spacing w:line="320" w:lineRule="exact"/>
              <w:jc w:val="center"/>
              <w:rPr>
                <w:color w:val="000000"/>
                <w:kern w:val="0"/>
                <w:sz w:val="18"/>
                <w:szCs w:val="18"/>
              </w:rPr>
            </w:pPr>
          </w:p>
        </w:tc>
        <w:tc>
          <w:tcPr>
            <w:tcW w:w="5820" w:type="dxa"/>
            <w:vAlign w:val="center"/>
          </w:tcPr>
          <w:p w14:paraId="066081A8">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3</w:t>
            </w:r>
            <w:r>
              <w:rPr>
                <w:rFonts w:hint="eastAsia"/>
                <w:color w:val="000000"/>
                <w:kern w:val="0"/>
                <w:sz w:val="18"/>
                <w:szCs w:val="18"/>
              </w:rPr>
              <w:t>％以上</w:t>
            </w:r>
            <w:r>
              <w:rPr>
                <w:color w:val="000000"/>
                <w:kern w:val="0"/>
                <w:sz w:val="18"/>
                <w:szCs w:val="18"/>
              </w:rPr>
              <w:t>3.5</w:t>
            </w:r>
            <w:r>
              <w:rPr>
                <w:rFonts w:hint="eastAsia"/>
                <w:color w:val="000000"/>
                <w:kern w:val="0"/>
                <w:sz w:val="18"/>
                <w:szCs w:val="18"/>
              </w:rPr>
              <w:t>％以下罚款</w:t>
            </w:r>
          </w:p>
        </w:tc>
      </w:tr>
      <w:tr w14:paraId="09C2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30" w:type="dxa"/>
            <w:vMerge w:val="continue"/>
            <w:vAlign w:val="center"/>
          </w:tcPr>
          <w:p w14:paraId="652D4F1E">
            <w:pPr>
              <w:spacing w:line="320" w:lineRule="exact"/>
              <w:jc w:val="center"/>
              <w:rPr>
                <w:color w:val="000000"/>
                <w:kern w:val="0"/>
                <w:sz w:val="18"/>
                <w:szCs w:val="18"/>
              </w:rPr>
            </w:pPr>
          </w:p>
        </w:tc>
        <w:tc>
          <w:tcPr>
            <w:tcW w:w="6140" w:type="dxa"/>
            <w:vAlign w:val="center"/>
          </w:tcPr>
          <w:p w14:paraId="381EE0A3">
            <w:pPr>
              <w:spacing w:line="320" w:lineRule="exact"/>
              <w:jc w:val="left"/>
              <w:rPr>
                <w:color w:val="000000"/>
                <w:kern w:val="0"/>
                <w:sz w:val="18"/>
                <w:szCs w:val="18"/>
              </w:rPr>
            </w:pPr>
            <w:r>
              <w:rPr>
                <w:rFonts w:hint="eastAsia"/>
                <w:color w:val="000000"/>
                <w:kern w:val="0"/>
                <w:sz w:val="18"/>
                <w:szCs w:val="18"/>
              </w:rPr>
              <w:t>未按照备案机关要求停止使用，造成</w:t>
            </w:r>
            <w:r>
              <w:rPr>
                <w:color w:val="000000"/>
                <w:kern w:val="0"/>
                <w:sz w:val="18"/>
                <w:szCs w:val="18"/>
              </w:rPr>
              <w:t>5</w:t>
            </w:r>
            <w:r>
              <w:rPr>
                <w:rFonts w:hint="eastAsia"/>
                <w:color w:val="000000"/>
                <w:kern w:val="0"/>
                <w:sz w:val="18"/>
                <w:szCs w:val="18"/>
              </w:rPr>
              <w:t>人及以上共同信访</w:t>
            </w:r>
          </w:p>
        </w:tc>
        <w:tc>
          <w:tcPr>
            <w:tcW w:w="1080" w:type="dxa"/>
            <w:vMerge w:val="continue"/>
            <w:vAlign w:val="center"/>
          </w:tcPr>
          <w:p w14:paraId="3BEAE8C1">
            <w:pPr>
              <w:spacing w:line="320" w:lineRule="exact"/>
              <w:jc w:val="center"/>
              <w:rPr>
                <w:color w:val="000000"/>
                <w:kern w:val="0"/>
                <w:sz w:val="18"/>
                <w:szCs w:val="18"/>
              </w:rPr>
            </w:pPr>
          </w:p>
        </w:tc>
        <w:tc>
          <w:tcPr>
            <w:tcW w:w="5820" w:type="dxa"/>
            <w:vAlign w:val="center"/>
          </w:tcPr>
          <w:p w14:paraId="74C5CBDD">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3.5</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w:t>
            </w:r>
          </w:p>
        </w:tc>
      </w:tr>
    </w:tbl>
    <w:p w14:paraId="5DB9EDCC"/>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4B7F8D6F">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76616379">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52422CD1">
            <w:pPr>
              <w:jc w:val="left"/>
              <w:textAlignment w:val="center"/>
              <w:rPr>
                <w:rFonts w:eastAsia="仿宋_GB2312"/>
                <w:b/>
                <w:bCs/>
                <w:color w:val="000000"/>
                <w:kern w:val="0"/>
                <w:sz w:val="18"/>
                <w:szCs w:val="18"/>
              </w:rPr>
            </w:pPr>
            <w:r>
              <w:rPr>
                <w:rFonts w:eastAsia="仿宋_GB2312"/>
                <w:b/>
                <w:color w:val="000000"/>
                <w:kern w:val="0"/>
                <w:sz w:val="20"/>
              </w:rPr>
              <w:t>320217651000</w:t>
            </w:r>
            <w:r>
              <w:rPr>
                <w:rFonts w:hint="eastAsia" w:eastAsia="仿宋_GB2312"/>
                <w:b/>
                <w:color w:val="000000"/>
                <w:kern w:val="0"/>
                <w:sz w:val="20"/>
              </w:rPr>
              <w:t xml:space="preserve"> </w:t>
            </w:r>
          </w:p>
        </w:tc>
      </w:tr>
      <w:tr w14:paraId="2E18927D">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5F28AF60">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5AEC19E2">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对房屋建筑和市政基础设施工程施工图设计文件审查机构未按规定填写审查意见告知书的处罚</w:t>
            </w:r>
          </w:p>
        </w:tc>
      </w:tr>
      <w:tr w14:paraId="2DBB8FBC">
        <w:tblPrEx>
          <w:tblCellMar>
            <w:top w:w="0" w:type="dxa"/>
            <w:left w:w="108" w:type="dxa"/>
            <w:bottom w:w="0" w:type="dxa"/>
            <w:right w:w="108" w:type="dxa"/>
          </w:tblCellMar>
        </w:tblPrEx>
        <w:trPr>
          <w:trHeight w:val="1029" w:hRule="atLeast"/>
        </w:trPr>
        <w:tc>
          <w:tcPr>
            <w:tcW w:w="1030" w:type="dxa"/>
            <w:tcBorders>
              <w:top w:val="single" w:color="auto" w:sz="4" w:space="0"/>
              <w:left w:val="single" w:color="auto" w:sz="8" w:space="0"/>
              <w:bottom w:val="single" w:color="auto" w:sz="4" w:space="0"/>
              <w:right w:val="single" w:color="auto" w:sz="4" w:space="0"/>
            </w:tcBorders>
            <w:vAlign w:val="center"/>
          </w:tcPr>
          <w:p w14:paraId="33667D93">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0EE30039">
            <w:pPr>
              <w:spacing w:line="320" w:lineRule="exact"/>
              <w:ind w:firstLine="360" w:firstLineChars="20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14:paraId="0E4F1342">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14:paraId="5C593D17">
            <w:pPr>
              <w:spacing w:line="320" w:lineRule="exact"/>
              <w:jc w:val="left"/>
              <w:rPr>
                <w:color w:val="000000"/>
                <w:kern w:val="0"/>
                <w:sz w:val="18"/>
                <w:szCs w:val="18"/>
              </w:rPr>
            </w:pPr>
            <w:r>
              <w:rPr>
                <w:rFonts w:hint="eastAsia"/>
                <w:color w:val="000000"/>
                <w:kern w:val="0"/>
                <w:sz w:val="18"/>
                <w:szCs w:val="18"/>
              </w:rPr>
              <w:t>（五）未按规定填写审查意见告知书的。</w:t>
            </w:r>
          </w:p>
        </w:tc>
      </w:tr>
      <w:tr w14:paraId="794786B5">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432F8000">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06CCDE2E">
            <w:pPr>
              <w:spacing w:line="320" w:lineRule="exact"/>
              <w:jc w:val="left"/>
              <w:rPr>
                <w:color w:val="000000"/>
                <w:kern w:val="0"/>
                <w:sz w:val="18"/>
                <w:szCs w:val="18"/>
              </w:rPr>
            </w:pPr>
            <w:r>
              <w:rPr>
                <w:rFonts w:hint="eastAsia"/>
                <w:color w:val="000000"/>
                <w:kern w:val="0"/>
                <w:sz w:val="18"/>
                <w:szCs w:val="18"/>
              </w:rPr>
              <w:t>罚款</w:t>
            </w:r>
          </w:p>
        </w:tc>
      </w:tr>
      <w:tr w14:paraId="38DB8A56">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2066651C">
            <w:pPr>
              <w:spacing w:line="320" w:lineRule="exact"/>
              <w:jc w:val="center"/>
              <w:rPr>
                <w:color w:val="000000"/>
                <w:kern w:val="0"/>
                <w:sz w:val="18"/>
                <w:szCs w:val="18"/>
              </w:rPr>
            </w:pPr>
            <w:r>
              <w:rPr>
                <w:rFonts w:hint="eastAsia"/>
                <w:color w:val="000000"/>
                <w:kern w:val="0"/>
                <w:sz w:val="18"/>
                <w:szCs w:val="18"/>
              </w:rPr>
              <w:t>裁量基准</w:t>
            </w:r>
          </w:p>
        </w:tc>
      </w:tr>
      <w:tr w14:paraId="37D7C4FC">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8" w:space="0"/>
              <w:right w:val="single" w:color="auto" w:sz="4" w:space="0"/>
            </w:tcBorders>
            <w:vAlign w:val="center"/>
          </w:tcPr>
          <w:p w14:paraId="29AA082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8" w:space="0"/>
              <w:right w:val="single" w:color="auto" w:sz="4" w:space="0"/>
            </w:tcBorders>
            <w:vAlign w:val="center"/>
          </w:tcPr>
          <w:p w14:paraId="3DE4E529">
            <w:pPr>
              <w:spacing w:line="320" w:lineRule="exact"/>
              <w:jc w:val="left"/>
              <w:rPr>
                <w:color w:val="000000"/>
                <w:kern w:val="0"/>
                <w:sz w:val="18"/>
                <w:szCs w:val="18"/>
              </w:rPr>
            </w:pPr>
            <w:r>
              <w:rPr>
                <w:rFonts w:hint="eastAsia"/>
                <w:color w:val="000000"/>
                <w:kern w:val="0"/>
                <w:sz w:val="18"/>
                <w:szCs w:val="18"/>
              </w:rPr>
              <w:t>　</w:t>
            </w:r>
          </w:p>
        </w:tc>
        <w:tc>
          <w:tcPr>
            <w:tcW w:w="1080" w:type="dxa"/>
            <w:tcBorders>
              <w:top w:val="single" w:color="auto" w:sz="4" w:space="0"/>
              <w:left w:val="single" w:color="auto" w:sz="4" w:space="0"/>
              <w:bottom w:val="single" w:color="auto" w:sz="8" w:space="0"/>
              <w:right w:val="single" w:color="auto" w:sz="4" w:space="0"/>
            </w:tcBorders>
            <w:vAlign w:val="center"/>
          </w:tcPr>
          <w:p w14:paraId="67C2C19D">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8" w:space="0"/>
              <w:right w:val="single" w:color="auto" w:sz="8" w:space="0"/>
            </w:tcBorders>
            <w:vAlign w:val="center"/>
          </w:tcPr>
          <w:p w14:paraId="3E5C6A98">
            <w:pPr>
              <w:spacing w:line="320" w:lineRule="exact"/>
              <w:jc w:val="left"/>
              <w:rPr>
                <w:color w:val="000000"/>
                <w:kern w:val="0"/>
                <w:sz w:val="18"/>
                <w:szCs w:val="18"/>
              </w:rPr>
            </w:pPr>
            <w:r>
              <w:rPr>
                <w:rFonts w:hint="eastAsia"/>
                <w:color w:val="000000"/>
                <w:kern w:val="0"/>
                <w:sz w:val="18"/>
                <w:szCs w:val="18"/>
              </w:rPr>
              <w:t>　</w:t>
            </w:r>
          </w:p>
        </w:tc>
      </w:tr>
    </w:tbl>
    <w:p w14:paraId="5A7DAD56"/>
    <w:p w14:paraId="6D5EF6D7"/>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650506BF">
        <w:tblPrEx>
          <w:tblCellMar>
            <w:top w:w="0" w:type="dxa"/>
            <w:left w:w="108" w:type="dxa"/>
            <w:bottom w:w="0" w:type="dxa"/>
            <w:right w:w="108" w:type="dxa"/>
          </w:tblCellMar>
        </w:tblPrEx>
        <w:trPr>
          <w:trHeight w:val="285" w:hRule="atLeast"/>
        </w:trPr>
        <w:tc>
          <w:tcPr>
            <w:tcW w:w="1030" w:type="dxa"/>
            <w:tcBorders>
              <w:top w:val="single" w:color="auto" w:sz="8" w:space="0"/>
              <w:left w:val="single" w:color="auto" w:sz="8" w:space="0"/>
              <w:bottom w:val="single" w:color="auto" w:sz="4" w:space="0"/>
              <w:right w:val="single" w:color="auto" w:sz="4" w:space="0"/>
            </w:tcBorders>
            <w:vAlign w:val="center"/>
          </w:tcPr>
          <w:p w14:paraId="7DE33B29">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single" w:color="auto" w:sz="4" w:space="0"/>
              <w:bottom w:val="single" w:color="auto" w:sz="4" w:space="0"/>
              <w:right w:val="single" w:color="auto" w:sz="8" w:space="0"/>
            </w:tcBorders>
            <w:vAlign w:val="center"/>
          </w:tcPr>
          <w:p w14:paraId="1F1FF714">
            <w:pPr>
              <w:jc w:val="left"/>
              <w:textAlignment w:val="center"/>
              <w:rPr>
                <w:rFonts w:eastAsia="仿宋_GB2312"/>
                <w:b/>
                <w:bCs/>
                <w:color w:val="000000"/>
                <w:kern w:val="0"/>
                <w:sz w:val="18"/>
                <w:szCs w:val="18"/>
              </w:rPr>
            </w:pPr>
            <w:r>
              <w:rPr>
                <w:rFonts w:eastAsia="仿宋_GB2312"/>
                <w:b/>
                <w:color w:val="000000"/>
                <w:kern w:val="0"/>
                <w:sz w:val="20"/>
              </w:rPr>
              <w:t>320217652000</w:t>
            </w:r>
          </w:p>
        </w:tc>
      </w:tr>
      <w:tr w14:paraId="203D0DB1">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67C49D07">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350A2F48">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对房屋建筑和市政基础设施工程施工图设计文件审查机构已出具审查合格书的施工图，仍有违反法律、法规和工程建设强制性标准的处罚</w:t>
            </w:r>
          </w:p>
        </w:tc>
      </w:tr>
      <w:tr w14:paraId="2E02243B">
        <w:tblPrEx>
          <w:tblCellMar>
            <w:top w:w="0" w:type="dxa"/>
            <w:left w:w="108" w:type="dxa"/>
            <w:bottom w:w="0" w:type="dxa"/>
            <w:right w:w="108" w:type="dxa"/>
          </w:tblCellMar>
        </w:tblPrEx>
        <w:trPr>
          <w:trHeight w:val="2025" w:hRule="atLeast"/>
        </w:trPr>
        <w:tc>
          <w:tcPr>
            <w:tcW w:w="1030" w:type="dxa"/>
            <w:tcBorders>
              <w:top w:val="single" w:color="auto" w:sz="4" w:space="0"/>
              <w:left w:val="single" w:color="auto" w:sz="8" w:space="0"/>
              <w:bottom w:val="single" w:color="auto" w:sz="4" w:space="0"/>
              <w:right w:val="single" w:color="auto" w:sz="4" w:space="0"/>
            </w:tcBorders>
            <w:vAlign w:val="center"/>
          </w:tcPr>
          <w:p w14:paraId="54A80E80">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37CBCB06">
            <w:pPr>
              <w:spacing w:line="320" w:lineRule="exact"/>
              <w:ind w:firstLine="360" w:firstLineChars="20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14:paraId="15E403FB">
            <w:pPr>
              <w:spacing w:line="320" w:lineRule="exact"/>
              <w:jc w:val="left"/>
              <w:rPr>
                <w:color w:val="000000"/>
                <w:kern w:val="0"/>
                <w:sz w:val="18"/>
                <w:szCs w:val="18"/>
              </w:rPr>
            </w:pPr>
            <w:r>
              <w:rPr>
                <w:rFonts w:hint="eastAsia"/>
                <w:color w:val="000000"/>
                <w:kern w:val="0"/>
                <w:sz w:val="18"/>
                <w:szCs w:val="18"/>
              </w:rPr>
              <w:t>第二十四条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14:paraId="6E7CF70C">
            <w:pPr>
              <w:spacing w:line="320" w:lineRule="exact"/>
              <w:jc w:val="left"/>
              <w:rPr>
                <w:color w:val="000000"/>
                <w:kern w:val="0"/>
                <w:sz w:val="18"/>
                <w:szCs w:val="18"/>
              </w:rPr>
            </w:pPr>
            <w:r>
              <w:rPr>
                <w:rFonts w:hint="eastAsia"/>
                <w:color w:val="000000"/>
                <w:kern w:val="0"/>
                <w:sz w:val="18"/>
                <w:szCs w:val="18"/>
              </w:rPr>
              <w:t>（七）已出具审查合格书的施工图，仍有违反法律、法规和工程建设强制性标准的。</w:t>
            </w:r>
          </w:p>
        </w:tc>
      </w:tr>
      <w:tr w14:paraId="7B52DAB7">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4" w:space="0"/>
              <w:right w:val="single" w:color="auto" w:sz="4" w:space="0"/>
            </w:tcBorders>
            <w:vAlign w:val="center"/>
          </w:tcPr>
          <w:p w14:paraId="04B2A079">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8" w:space="0"/>
            </w:tcBorders>
            <w:vAlign w:val="center"/>
          </w:tcPr>
          <w:p w14:paraId="119288AA">
            <w:pPr>
              <w:spacing w:line="320" w:lineRule="exact"/>
              <w:jc w:val="left"/>
              <w:rPr>
                <w:color w:val="000000"/>
                <w:kern w:val="0"/>
                <w:sz w:val="18"/>
                <w:szCs w:val="18"/>
              </w:rPr>
            </w:pPr>
            <w:r>
              <w:rPr>
                <w:rFonts w:hint="eastAsia"/>
                <w:color w:val="000000"/>
                <w:kern w:val="0"/>
                <w:sz w:val="18"/>
                <w:szCs w:val="18"/>
              </w:rPr>
              <w:t>罚款</w:t>
            </w:r>
          </w:p>
        </w:tc>
      </w:tr>
      <w:tr w14:paraId="760FFD06">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auto" w:sz="8" w:space="0"/>
            </w:tcBorders>
            <w:vAlign w:val="center"/>
          </w:tcPr>
          <w:p w14:paraId="4E82E44F">
            <w:pPr>
              <w:spacing w:line="320" w:lineRule="exact"/>
              <w:jc w:val="center"/>
              <w:rPr>
                <w:color w:val="000000"/>
                <w:kern w:val="0"/>
                <w:sz w:val="18"/>
                <w:szCs w:val="18"/>
              </w:rPr>
            </w:pPr>
            <w:r>
              <w:rPr>
                <w:rFonts w:hint="eastAsia"/>
                <w:color w:val="000000"/>
                <w:kern w:val="0"/>
                <w:sz w:val="18"/>
                <w:szCs w:val="18"/>
              </w:rPr>
              <w:t>裁量基准</w:t>
            </w:r>
          </w:p>
        </w:tc>
      </w:tr>
      <w:tr w14:paraId="40E4A210">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8" w:space="0"/>
              <w:bottom w:val="single" w:color="auto" w:sz="8" w:space="0"/>
              <w:right w:val="single" w:color="auto" w:sz="4" w:space="0"/>
            </w:tcBorders>
            <w:vAlign w:val="center"/>
          </w:tcPr>
          <w:p w14:paraId="3CEF058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8" w:space="0"/>
              <w:right w:val="single" w:color="auto" w:sz="4" w:space="0"/>
            </w:tcBorders>
            <w:vAlign w:val="center"/>
          </w:tcPr>
          <w:p w14:paraId="0CAFC56E">
            <w:pPr>
              <w:spacing w:line="320" w:lineRule="exact"/>
              <w:jc w:val="left"/>
              <w:rPr>
                <w:color w:val="000000"/>
                <w:kern w:val="0"/>
                <w:sz w:val="18"/>
                <w:szCs w:val="18"/>
              </w:rPr>
            </w:pPr>
            <w:r>
              <w:rPr>
                <w:rFonts w:hint="eastAsia"/>
                <w:color w:val="000000"/>
                <w:kern w:val="0"/>
                <w:sz w:val="18"/>
                <w:szCs w:val="18"/>
              </w:rPr>
              <w:t>　</w:t>
            </w:r>
          </w:p>
        </w:tc>
        <w:tc>
          <w:tcPr>
            <w:tcW w:w="1080" w:type="dxa"/>
            <w:tcBorders>
              <w:top w:val="single" w:color="auto" w:sz="4" w:space="0"/>
              <w:left w:val="single" w:color="auto" w:sz="4" w:space="0"/>
              <w:bottom w:val="single" w:color="auto" w:sz="8" w:space="0"/>
              <w:right w:val="single" w:color="auto" w:sz="4" w:space="0"/>
            </w:tcBorders>
            <w:vAlign w:val="center"/>
          </w:tcPr>
          <w:p w14:paraId="3A691F69">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8" w:space="0"/>
              <w:right w:val="single" w:color="auto" w:sz="8" w:space="0"/>
            </w:tcBorders>
            <w:vAlign w:val="center"/>
          </w:tcPr>
          <w:p w14:paraId="57DB3FB4">
            <w:pPr>
              <w:spacing w:line="320" w:lineRule="exact"/>
              <w:jc w:val="left"/>
              <w:rPr>
                <w:color w:val="000000"/>
                <w:kern w:val="0"/>
                <w:sz w:val="18"/>
                <w:szCs w:val="18"/>
              </w:rPr>
            </w:pPr>
            <w:r>
              <w:rPr>
                <w:rFonts w:hint="eastAsia"/>
                <w:color w:val="000000"/>
                <w:kern w:val="0"/>
                <w:sz w:val="18"/>
                <w:szCs w:val="18"/>
              </w:rPr>
              <w:t>　</w:t>
            </w:r>
          </w:p>
        </w:tc>
      </w:tr>
    </w:tbl>
    <w:p w14:paraId="07A20E1A"/>
    <w:p w14:paraId="2E16097C"/>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53EEE3D3">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252614DB">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61B6EC08">
            <w:pPr>
              <w:spacing w:line="320" w:lineRule="exact"/>
              <w:jc w:val="left"/>
              <w:rPr>
                <w:rFonts w:eastAsia="仿宋_GB2312"/>
                <w:b/>
                <w:bCs/>
                <w:color w:val="000000"/>
                <w:kern w:val="0"/>
                <w:sz w:val="18"/>
                <w:szCs w:val="18"/>
              </w:rPr>
            </w:pPr>
            <w:r>
              <w:rPr>
                <w:rFonts w:eastAsia="仿宋_GB2312"/>
                <w:b/>
                <w:bCs/>
                <w:color w:val="000000"/>
                <w:kern w:val="0"/>
                <w:sz w:val="18"/>
                <w:szCs w:val="18"/>
              </w:rPr>
              <w:t>320217653000</w:t>
            </w:r>
          </w:p>
        </w:tc>
      </w:tr>
      <w:tr w14:paraId="043A9892">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C3F4130">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58F3E52B">
            <w:pPr>
              <w:spacing w:line="320" w:lineRule="exact"/>
              <w:jc w:val="left"/>
              <w:rPr>
                <w:color w:val="000000"/>
                <w:kern w:val="0"/>
                <w:sz w:val="18"/>
                <w:szCs w:val="18"/>
              </w:rPr>
            </w:pPr>
            <w:r>
              <w:rPr>
                <w:rFonts w:hint="eastAsia"/>
                <w:color w:val="000000"/>
                <w:kern w:val="0"/>
                <w:sz w:val="18"/>
                <w:szCs w:val="18"/>
              </w:rPr>
              <w:t>对发包人强行要求承包人实施购买其指定的生产厂、供应商的产品的处罚</w:t>
            </w:r>
          </w:p>
        </w:tc>
      </w:tr>
      <w:tr w14:paraId="368286FF">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0E88CCA0">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42DC1C11">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br w:type="textWrapping"/>
            </w:r>
            <w:r>
              <w:rPr>
                <w:rFonts w:hint="eastAsia"/>
                <w:color w:val="000000"/>
                <w:kern w:val="0"/>
                <w:sz w:val="18"/>
                <w:szCs w:val="18"/>
              </w:rPr>
              <w:t>第十二条　发包人不得实施下列行为：</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（十）强行要求承包人购买其指定的生产厂、供应商的产品。</w:t>
            </w:r>
            <w:r>
              <w:rPr>
                <w:color w:val="000000"/>
                <w:kern w:val="0"/>
                <w:sz w:val="18"/>
                <w:szCs w:val="18"/>
              </w:rPr>
              <w:br w:type="textWrapping"/>
            </w:r>
            <w:r>
              <w:rPr>
                <w:rFonts w:hint="eastAsia"/>
                <w:color w:val="000000"/>
                <w:kern w:val="0"/>
                <w:sz w:val="18"/>
                <w:szCs w:val="18"/>
              </w:rPr>
              <w:t>第四十七条　发包人有本条例第十二条第（六）项和第（十）项规定的行为，由建设行政主管部门责令改正，处以警告；有违法所得的，没收违法所得。</w:t>
            </w:r>
          </w:p>
        </w:tc>
      </w:tr>
      <w:tr w14:paraId="63EFD2C0">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6666FAB0">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6DD78166">
            <w:pPr>
              <w:spacing w:line="320" w:lineRule="exact"/>
              <w:jc w:val="left"/>
              <w:rPr>
                <w:color w:val="000000"/>
                <w:kern w:val="0"/>
                <w:sz w:val="18"/>
                <w:szCs w:val="18"/>
              </w:rPr>
            </w:pPr>
            <w:r>
              <w:rPr>
                <w:rFonts w:hint="eastAsia"/>
                <w:color w:val="000000"/>
                <w:kern w:val="0"/>
                <w:sz w:val="18"/>
                <w:szCs w:val="18"/>
              </w:rPr>
              <w:t>警告，没收违法所得</w:t>
            </w:r>
          </w:p>
        </w:tc>
      </w:tr>
      <w:tr w14:paraId="4577AE9C">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5975EBE1">
            <w:pPr>
              <w:spacing w:line="320" w:lineRule="exact"/>
              <w:jc w:val="center"/>
              <w:rPr>
                <w:color w:val="000000"/>
                <w:kern w:val="0"/>
                <w:sz w:val="18"/>
                <w:szCs w:val="18"/>
              </w:rPr>
            </w:pPr>
            <w:r>
              <w:rPr>
                <w:rFonts w:hint="eastAsia"/>
                <w:color w:val="000000"/>
                <w:kern w:val="0"/>
                <w:sz w:val="18"/>
                <w:szCs w:val="18"/>
              </w:rPr>
              <w:t>裁量基准</w:t>
            </w:r>
          </w:p>
        </w:tc>
      </w:tr>
      <w:tr w14:paraId="0EE069A2">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4" w:space="0"/>
              <w:bottom w:val="single" w:color="auto" w:sz="4" w:space="0"/>
              <w:right w:val="single" w:color="auto" w:sz="4" w:space="0"/>
            </w:tcBorders>
            <w:vAlign w:val="center"/>
          </w:tcPr>
          <w:p w14:paraId="40F0E5BE">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single" w:color="auto" w:sz="4" w:space="0"/>
              <w:bottom w:val="single" w:color="auto" w:sz="4" w:space="0"/>
              <w:right w:val="single" w:color="auto" w:sz="4" w:space="0"/>
            </w:tcBorders>
            <w:vAlign w:val="center"/>
          </w:tcPr>
          <w:p w14:paraId="1A3CD43A">
            <w:pPr>
              <w:spacing w:line="320" w:lineRule="exact"/>
              <w:jc w:val="left"/>
              <w:rPr>
                <w:color w:val="000000"/>
                <w:kern w:val="0"/>
                <w:sz w:val="18"/>
                <w:szCs w:val="18"/>
              </w:rPr>
            </w:pPr>
            <w:r>
              <w:rPr>
                <w:rFonts w:hint="eastAsia"/>
                <w:color w:val="000000"/>
                <w:kern w:val="0"/>
                <w:sz w:val="18"/>
                <w:szCs w:val="18"/>
              </w:rPr>
              <w:t>　</w:t>
            </w:r>
          </w:p>
        </w:tc>
        <w:tc>
          <w:tcPr>
            <w:tcW w:w="1080" w:type="dxa"/>
            <w:tcBorders>
              <w:top w:val="single" w:color="auto" w:sz="4" w:space="0"/>
              <w:left w:val="single" w:color="auto" w:sz="4" w:space="0"/>
              <w:bottom w:val="single" w:color="auto" w:sz="4" w:space="0"/>
              <w:right w:val="single" w:color="auto" w:sz="4" w:space="0"/>
            </w:tcBorders>
            <w:vAlign w:val="center"/>
          </w:tcPr>
          <w:p w14:paraId="753BF00E">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16CE3B89">
            <w:pPr>
              <w:spacing w:line="320" w:lineRule="exact"/>
              <w:jc w:val="left"/>
              <w:rPr>
                <w:color w:val="000000"/>
                <w:kern w:val="0"/>
                <w:sz w:val="18"/>
                <w:szCs w:val="18"/>
              </w:rPr>
            </w:pPr>
          </w:p>
        </w:tc>
      </w:tr>
    </w:tbl>
    <w:p w14:paraId="3711FDE1"/>
    <w:tbl>
      <w:tblPr>
        <w:tblStyle w:val="15"/>
        <w:tblW w:w="0" w:type="auto"/>
        <w:tblInd w:w="93" w:type="dxa"/>
        <w:tblLayout w:type="fixed"/>
        <w:tblCellMar>
          <w:top w:w="0" w:type="dxa"/>
          <w:left w:w="108" w:type="dxa"/>
          <w:bottom w:w="0" w:type="dxa"/>
          <w:right w:w="108" w:type="dxa"/>
        </w:tblCellMar>
      </w:tblPr>
      <w:tblGrid>
        <w:gridCol w:w="1035"/>
        <w:gridCol w:w="6140"/>
        <w:gridCol w:w="1120"/>
        <w:gridCol w:w="5730"/>
      </w:tblGrid>
      <w:tr w14:paraId="49F57589">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70753413">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2676D45A">
            <w:pPr>
              <w:spacing w:line="320" w:lineRule="exact"/>
              <w:jc w:val="left"/>
              <w:rPr>
                <w:rFonts w:eastAsia="仿宋_GB2312"/>
                <w:b/>
                <w:bCs/>
                <w:color w:val="000000"/>
                <w:kern w:val="0"/>
                <w:sz w:val="18"/>
                <w:szCs w:val="18"/>
              </w:rPr>
            </w:pPr>
            <w:r>
              <w:rPr>
                <w:rFonts w:eastAsia="仿宋_GB2312"/>
                <w:b/>
                <w:bCs/>
                <w:color w:val="000000"/>
                <w:kern w:val="0"/>
                <w:sz w:val="18"/>
                <w:szCs w:val="18"/>
              </w:rPr>
              <w:t>320217654000</w:t>
            </w:r>
          </w:p>
        </w:tc>
      </w:tr>
      <w:tr w14:paraId="29F71DC2">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2FDA96F1">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0A2622FF">
            <w:pPr>
              <w:jc w:val="left"/>
              <w:rPr>
                <w:color w:val="000000"/>
                <w:kern w:val="0"/>
                <w:sz w:val="18"/>
                <w:szCs w:val="18"/>
              </w:rPr>
            </w:pPr>
            <w:r>
              <w:rPr>
                <w:rFonts w:hint="eastAsia"/>
                <w:color w:val="000000"/>
                <w:kern w:val="0"/>
                <w:sz w:val="18"/>
                <w:szCs w:val="18"/>
              </w:rPr>
              <w:t>对房地产估价机构擅自设立分支机构的处罚</w:t>
            </w:r>
          </w:p>
        </w:tc>
      </w:tr>
      <w:tr w14:paraId="2A6E5058">
        <w:tblPrEx>
          <w:tblCellMar>
            <w:top w:w="0" w:type="dxa"/>
            <w:left w:w="108" w:type="dxa"/>
            <w:bottom w:w="0" w:type="dxa"/>
            <w:right w:w="108" w:type="dxa"/>
          </w:tblCellMar>
        </w:tblPrEx>
        <w:trPr>
          <w:trHeight w:val="1612" w:hRule="atLeast"/>
        </w:trPr>
        <w:tc>
          <w:tcPr>
            <w:tcW w:w="1035" w:type="dxa"/>
            <w:tcBorders>
              <w:top w:val="nil"/>
              <w:left w:val="single" w:color="auto" w:sz="8" w:space="0"/>
              <w:bottom w:val="single" w:color="auto" w:sz="4" w:space="0"/>
              <w:right w:val="single" w:color="auto" w:sz="4" w:space="0"/>
            </w:tcBorders>
            <w:vAlign w:val="center"/>
          </w:tcPr>
          <w:p w14:paraId="2161007A">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31822FCE">
            <w:pPr>
              <w:spacing w:line="28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r>
              <w:rPr>
                <w:color w:val="000000"/>
                <w:kern w:val="0"/>
                <w:sz w:val="18"/>
                <w:szCs w:val="18"/>
              </w:rPr>
              <w:br w:type="textWrapping"/>
            </w:r>
            <w:r>
              <w:rPr>
                <w:rFonts w:hint="eastAsia"/>
                <w:color w:val="000000"/>
                <w:kern w:val="0"/>
                <w:sz w:val="18"/>
                <w:szCs w:val="18"/>
              </w:rPr>
              <w:t>（六）擅自设立分支机构。</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14:paraId="17D57629">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639326FD">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7EEBF6FB">
            <w:pPr>
              <w:spacing w:line="320" w:lineRule="exact"/>
              <w:jc w:val="left"/>
              <w:rPr>
                <w:color w:val="000000"/>
                <w:kern w:val="0"/>
                <w:sz w:val="18"/>
                <w:szCs w:val="18"/>
              </w:rPr>
            </w:pPr>
            <w:r>
              <w:rPr>
                <w:rFonts w:hint="eastAsia"/>
                <w:color w:val="000000"/>
                <w:kern w:val="0"/>
                <w:sz w:val="18"/>
                <w:szCs w:val="18"/>
              </w:rPr>
              <w:t>警告，罚款</w:t>
            </w:r>
          </w:p>
        </w:tc>
      </w:tr>
      <w:tr w14:paraId="610CB4C6">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79E0B1FD">
            <w:pPr>
              <w:spacing w:line="320" w:lineRule="exact"/>
              <w:jc w:val="center"/>
              <w:rPr>
                <w:color w:val="000000"/>
                <w:kern w:val="0"/>
                <w:sz w:val="18"/>
                <w:szCs w:val="18"/>
              </w:rPr>
            </w:pPr>
            <w:r>
              <w:rPr>
                <w:rFonts w:hint="eastAsia"/>
                <w:color w:val="000000"/>
                <w:kern w:val="0"/>
                <w:sz w:val="18"/>
                <w:szCs w:val="18"/>
              </w:rPr>
              <w:t>裁量基准</w:t>
            </w:r>
          </w:p>
        </w:tc>
      </w:tr>
      <w:tr w14:paraId="39B11F86">
        <w:tblPrEx>
          <w:tblCellMar>
            <w:top w:w="0" w:type="dxa"/>
            <w:left w:w="108" w:type="dxa"/>
            <w:bottom w:w="0" w:type="dxa"/>
            <w:right w:w="108" w:type="dxa"/>
          </w:tblCellMar>
        </w:tblPrEx>
        <w:trPr>
          <w:trHeight w:val="285" w:hRule="atLeast"/>
        </w:trPr>
        <w:tc>
          <w:tcPr>
            <w:tcW w:w="1035" w:type="dxa"/>
            <w:vMerge w:val="restart"/>
            <w:tcBorders>
              <w:top w:val="nil"/>
              <w:left w:val="single" w:color="auto" w:sz="8" w:space="0"/>
              <w:right w:val="single" w:color="auto" w:sz="4" w:space="0"/>
            </w:tcBorders>
            <w:vAlign w:val="center"/>
          </w:tcPr>
          <w:p w14:paraId="1B7FF716">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123B52A0">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color="auto" w:sz="4" w:space="0"/>
            </w:tcBorders>
            <w:vAlign w:val="center"/>
          </w:tcPr>
          <w:p w14:paraId="3CF51880">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color="auto" w:sz="4" w:space="0"/>
              <w:right w:val="single" w:color="auto" w:sz="8" w:space="0"/>
            </w:tcBorders>
            <w:vAlign w:val="center"/>
          </w:tcPr>
          <w:p w14:paraId="448EBCB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66F0F2FE">
        <w:tblPrEx>
          <w:tblCellMar>
            <w:top w:w="0" w:type="dxa"/>
            <w:left w:w="108" w:type="dxa"/>
            <w:bottom w:w="0" w:type="dxa"/>
            <w:right w:w="108" w:type="dxa"/>
          </w:tblCellMar>
        </w:tblPrEx>
        <w:trPr>
          <w:trHeight w:val="285" w:hRule="atLeast"/>
        </w:trPr>
        <w:tc>
          <w:tcPr>
            <w:tcW w:w="1035" w:type="dxa"/>
            <w:vMerge w:val="continue"/>
            <w:tcBorders>
              <w:left w:val="single" w:color="auto" w:sz="8" w:space="0"/>
              <w:bottom w:val="single" w:color="auto" w:sz="4" w:space="0"/>
              <w:right w:val="single" w:color="auto" w:sz="4" w:space="0"/>
            </w:tcBorders>
            <w:vAlign w:val="center"/>
          </w:tcPr>
          <w:p w14:paraId="77185F95">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2C47937B">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left w:val="nil"/>
              <w:bottom w:val="single" w:color="auto" w:sz="4" w:space="0"/>
              <w:right w:val="single" w:color="auto" w:sz="4" w:space="0"/>
            </w:tcBorders>
            <w:vAlign w:val="center"/>
          </w:tcPr>
          <w:p w14:paraId="2093000F">
            <w:pPr>
              <w:spacing w:line="320" w:lineRule="exact"/>
              <w:jc w:val="center"/>
              <w:rPr>
                <w:color w:val="000000"/>
                <w:kern w:val="0"/>
                <w:sz w:val="18"/>
                <w:szCs w:val="18"/>
              </w:rPr>
            </w:pPr>
          </w:p>
        </w:tc>
        <w:tc>
          <w:tcPr>
            <w:tcW w:w="5730" w:type="dxa"/>
            <w:tcBorders>
              <w:top w:val="nil"/>
              <w:left w:val="nil"/>
              <w:bottom w:val="single" w:color="auto" w:sz="4" w:space="0"/>
              <w:right w:val="single" w:color="auto" w:sz="8" w:space="0"/>
            </w:tcBorders>
            <w:vAlign w:val="center"/>
          </w:tcPr>
          <w:p w14:paraId="4A0A4CE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1DAFF790"/>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6BC374EF">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2EB3DF2">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7986D069">
            <w:pPr>
              <w:spacing w:line="320" w:lineRule="exact"/>
              <w:jc w:val="left"/>
              <w:rPr>
                <w:rFonts w:eastAsia="仿宋_GB2312"/>
                <w:b/>
                <w:bCs/>
                <w:color w:val="000000"/>
                <w:kern w:val="0"/>
                <w:sz w:val="18"/>
                <w:szCs w:val="18"/>
              </w:rPr>
            </w:pPr>
            <w:r>
              <w:rPr>
                <w:rFonts w:eastAsia="仿宋_GB2312"/>
                <w:b/>
                <w:bCs/>
                <w:color w:val="000000"/>
                <w:kern w:val="0"/>
                <w:sz w:val="18"/>
                <w:szCs w:val="18"/>
              </w:rPr>
              <w:t>320217655000</w:t>
            </w:r>
            <w:r>
              <w:rPr>
                <w:rFonts w:hint="eastAsia" w:eastAsia="仿宋_GB2312"/>
                <w:b/>
                <w:bCs/>
                <w:color w:val="000000"/>
                <w:kern w:val="0"/>
                <w:sz w:val="18"/>
                <w:szCs w:val="18"/>
              </w:rPr>
              <w:t xml:space="preserve"> </w:t>
            </w:r>
          </w:p>
        </w:tc>
      </w:tr>
      <w:tr w14:paraId="57A8B2A8">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D2F98EB">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3E399B1A">
            <w:pPr>
              <w:spacing w:line="320" w:lineRule="exact"/>
              <w:jc w:val="left"/>
              <w:rPr>
                <w:color w:val="000000"/>
                <w:kern w:val="0"/>
                <w:sz w:val="18"/>
                <w:szCs w:val="18"/>
              </w:rPr>
            </w:pPr>
            <w:r>
              <w:rPr>
                <w:rFonts w:hint="eastAsia"/>
                <w:color w:val="000000"/>
                <w:kern w:val="0"/>
                <w:sz w:val="18"/>
                <w:szCs w:val="18"/>
              </w:rPr>
              <w:t>对房地产价格评估机构出具有误导性陈述估价报告的处罚</w:t>
            </w:r>
          </w:p>
        </w:tc>
      </w:tr>
      <w:tr w14:paraId="36279EC6">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77C449E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5CA2D031">
            <w:pPr>
              <w:spacing w:line="32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p>
          <w:p w14:paraId="53576576">
            <w:pPr>
              <w:spacing w:line="320" w:lineRule="exact"/>
              <w:jc w:val="left"/>
              <w:rPr>
                <w:color w:val="000000"/>
                <w:kern w:val="0"/>
                <w:sz w:val="18"/>
                <w:szCs w:val="18"/>
              </w:rPr>
            </w:pPr>
            <w:r>
              <w:rPr>
                <w:rFonts w:hint="eastAsia"/>
                <w:color w:val="000000"/>
                <w:kern w:val="0"/>
                <w:sz w:val="18"/>
                <w:szCs w:val="18"/>
              </w:rPr>
              <w:t>第三十三条　房地产估价机构不得有下列行为：</w:t>
            </w:r>
          </w:p>
          <w:p w14:paraId="3B2072F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（五）出具有虚假记载、误导性陈述或者重大遗漏的估价报告。</w:t>
            </w:r>
          </w:p>
          <w:p w14:paraId="67ED563D">
            <w:pPr>
              <w:spacing w:line="320" w:lineRule="exact"/>
              <w:jc w:val="left"/>
              <w:rPr>
                <w:color w:val="000000"/>
                <w:kern w:val="0"/>
                <w:sz w:val="18"/>
                <w:szCs w:val="18"/>
              </w:rPr>
            </w:pP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14:paraId="7C37DFB5">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293A924">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4F484DDC">
            <w:pPr>
              <w:spacing w:line="320" w:lineRule="exact"/>
              <w:jc w:val="left"/>
              <w:rPr>
                <w:color w:val="000000"/>
                <w:kern w:val="0"/>
                <w:sz w:val="18"/>
                <w:szCs w:val="18"/>
              </w:rPr>
            </w:pPr>
            <w:r>
              <w:rPr>
                <w:rFonts w:hint="eastAsia"/>
                <w:color w:val="000000"/>
                <w:kern w:val="0"/>
                <w:sz w:val="18"/>
                <w:szCs w:val="18"/>
              </w:rPr>
              <w:t>警告、罚款</w:t>
            </w:r>
          </w:p>
        </w:tc>
      </w:tr>
      <w:tr w14:paraId="77947955">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9912B3D">
            <w:pPr>
              <w:spacing w:line="320" w:lineRule="exact"/>
              <w:jc w:val="center"/>
              <w:rPr>
                <w:color w:val="000000"/>
                <w:kern w:val="0"/>
                <w:sz w:val="18"/>
                <w:szCs w:val="18"/>
              </w:rPr>
            </w:pPr>
            <w:r>
              <w:rPr>
                <w:rFonts w:hint="eastAsia"/>
                <w:color w:val="000000"/>
                <w:kern w:val="0"/>
                <w:sz w:val="18"/>
                <w:szCs w:val="18"/>
              </w:rPr>
              <w:t>裁量基准</w:t>
            </w:r>
          </w:p>
        </w:tc>
      </w:tr>
      <w:tr w14:paraId="263AE64B">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6F58F5C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3E3D6B9">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color="auto" w:sz="4" w:space="0"/>
              <w:bottom w:val="single" w:color="auto" w:sz="4" w:space="0"/>
              <w:right w:val="single" w:color="auto" w:sz="4" w:space="0"/>
            </w:tcBorders>
            <w:vAlign w:val="center"/>
          </w:tcPr>
          <w:p w14:paraId="3502FC37">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C95785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2F65AA2D">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BA3BDA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9406C69">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tcBorders>
              <w:top w:val="nil"/>
              <w:left w:val="single" w:color="auto" w:sz="4" w:space="0"/>
              <w:bottom w:val="single" w:color="auto" w:sz="4" w:space="0"/>
              <w:right w:val="single" w:color="auto" w:sz="4" w:space="0"/>
            </w:tcBorders>
            <w:vAlign w:val="center"/>
          </w:tcPr>
          <w:p w14:paraId="3FF98B32">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80F60E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282AB630"/>
    <w:tbl>
      <w:tblPr>
        <w:tblStyle w:val="15"/>
        <w:tblW w:w="0" w:type="auto"/>
        <w:tblInd w:w="78" w:type="dxa"/>
        <w:tblLayout w:type="fixed"/>
        <w:tblCellMar>
          <w:top w:w="0" w:type="dxa"/>
          <w:left w:w="108" w:type="dxa"/>
          <w:bottom w:w="0" w:type="dxa"/>
          <w:right w:w="108" w:type="dxa"/>
        </w:tblCellMar>
      </w:tblPr>
      <w:tblGrid>
        <w:gridCol w:w="1070"/>
        <w:gridCol w:w="1654"/>
        <w:gridCol w:w="4486"/>
        <w:gridCol w:w="1080"/>
        <w:gridCol w:w="5760"/>
      </w:tblGrid>
      <w:tr w14:paraId="4F3113CD">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799C17D0">
            <w:pPr>
              <w:spacing w:line="26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05D91802">
            <w:pPr>
              <w:spacing w:line="260" w:lineRule="exact"/>
              <w:jc w:val="left"/>
              <w:rPr>
                <w:rFonts w:eastAsia="仿宋_GB2312"/>
                <w:b/>
                <w:bCs/>
                <w:color w:val="000000"/>
                <w:kern w:val="0"/>
                <w:sz w:val="18"/>
                <w:szCs w:val="18"/>
              </w:rPr>
            </w:pPr>
            <w:r>
              <w:rPr>
                <w:rFonts w:eastAsia="仿宋_GB2312"/>
                <w:b/>
                <w:bCs/>
                <w:color w:val="000000"/>
                <w:kern w:val="0"/>
                <w:sz w:val="18"/>
                <w:szCs w:val="18"/>
              </w:rPr>
              <w:t>320217656000</w:t>
            </w:r>
          </w:p>
        </w:tc>
      </w:tr>
      <w:tr w14:paraId="77AFA79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51EFDC0">
            <w:pPr>
              <w:spacing w:line="26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5F626A00">
            <w:pPr>
              <w:spacing w:line="260" w:lineRule="exact"/>
              <w:jc w:val="left"/>
              <w:rPr>
                <w:color w:val="000000"/>
                <w:kern w:val="0"/>
                <w:sz w:val="18"/>
                <w:szCs w:val="18"/>
              </w:rPr>
            </w:pPr>
            <w:r>
              <w:rPr>
                <w:rFonts w:hint="eastAsia"/>
                <w:color w:val="000000"/>
                <w:kern w:val="0"/>
                <w:sz w:val="18"/>
                <w:szCs w:val="18"/>
              </w:rPr>
              <w:t>对房地产估价师出具有误导性陈述的评估报告的处罚</w:t>
            </w:r>
          </w:p>
        </w:tc>
      </w:tr>
      <w:tr w14:paraId="40A7D2B3">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6BA0B1A6">
            <w:pPr>
              <w:spacing w:line="26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4C0C9E95">
            <w:pPr>
              <w:spacing w:line="26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14:paraId="1EE4224A">
            <w:pPr>
              <w:spacing w:line="260" w:lineRule="exact"/>
              <w:jc w:val="left"/>
              <w:rPr>
                <w:color w:val="000000"/>
                <w:kern w:val="0"/>
                <w:sz w:val="18"/>
                <w:szCs w:val="18"/>
              </w:rPr>
            </w:pPr>
            <w:r>
              <w:rPr>
                <w:rFonts w:hint="eastAsia"/>
                <w:color w:val="000000"/>
                <w:kern w:val="0"/>
                <w:sz w:val="18"/>
                <w:szCs w:val="18"/>
              </w:rPr>
              <w:t>第二十六条　注册房地产估价师不得有下列行为：</w:t>
            </w:r>
          </w:p>
          <w:p w14:paraId="7278DC50">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（四）签署有虚假记载、误导性陈述或者重大遗漏的估价报告。</w:t>
            </w:r>
          </w:p>
          <w:p w14:paraId="0CF9D34D">
            <w:pPr>
              <w:spacing w:line="26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14:paraId="266239B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DDC3480">
            <w:pPr>
              <w:spacing w:line="26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555E9002">
            <w:pPr>
              <w:spacing w:line="260" w:lineRule="exact"/>
              <w:jc w:val="left"/>
              <w:rPr>
                <w:color w:val="000000"/>
                <w:kern w:val="0"/>
                <w:sz w:val="18"/>
                <w:szCs w:val="18"/>
              </w:rPr>
            </w:pPr>
            <w:r>
              <w:rPr>
                <w:rFonts w:hint="eastAsia"/>
                <w:color w:val="000000"/>
                <w:kern w:val="0"/>
                <w:sz w:val="18"/>
                <w:szCs w:val="18"/>
              </w:rPr>
              <w:t>警告、罚款</w:t>
            </w:r>
          </w:p>
        </w:tc>
      </w:tr>
      <w:tr w14:paraId="5FD03C84">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0FA85112">
            <w:pPr>
              <w:spacing w:line="260" w:lineRule="exact"/>
              <w:jc w:val="center"/>
              <w:rPr>
                <w:color w:val="000000"/>
                <w:kern w:val="0"/>
                <w:sz w:val="18"/>
                <w:szCs w:val="18"/>
              </w:rPr>
            </w:pPr>
            <w:r>
              <w:rPr>
                <w:rFonts w:hint="eastAsia"/>
                <w:color w:val="000000"/>
                <w:kern w:val="0"/>
                <w:sz w:val="18"/>
                <w:szCs w:val="18"/>
              </w:rPr>
              <w:t>裁量基准</w:t>
            </w:r>
          </w:p>
        </w:tc>
      </w:tr>
      <w:tr w14:paraId="2AA18331">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03E6F941">
            <w:pPr>
              <w:spacing w:line="260" w:lineRule="exact"/>
              <w:jc w:val="center"/>
              <w:rPr>
                <w:color w:val="000000"/>
                <w:kern w:val="0"/>
                <w:sz w:val="18"/>
                <w:szCs w:val="18"/>
              </w:rPr>
            </w:pPr>
            <w:r>
              <w:rPr>
                <w:rFonts w:hint="eastAsia"/>
                <w:color w:val="000000"/>
                <w:kern w:val="0"/>
                <w:sz w:val="18"/>
                <w:szCs w:val="18"/>
              </w:rPr>
              <w:t>情形描述</w:t>
            </w:r>
          </w:p>
        </w:tc>
        <w:tc>
          <w:tcPr>
            <w:tcW w:w="1654" w:type="dxa"/>
            <w:vMerge w:val="restart"/>
            <w:tcBorders>
              <w:top w:val="single" w:color="auto" w:sz="4" w:space="0"/>
              <w:left w:val="nil"/>
              <w:right w:val="single" w:color="auto" w:sz="4" w:space="0"/>
            </w:tcBorders>
            <w:vAlign w:val="center"/>
          </w:tcPr>
          <w:p w14:paraId="4BC640D3">
            <w:pPr>
              <w:spacing w:line="260" w:lineRule="exact"/>
              <w:jc w:val="left"/>
              <w:rPr>
                <w:color w:val="000000"/>
                <w:kern w:val="0"/>
                <w:sz w:val="18"/>
                <w:szCs w:val="18"/>
              </w:rPr>
            </w:pPr>
            <w:r>
              <w:rPr>
                <w:rFonts w:hint="eastAsia"/>
                <w:color w:val="000000"/>
                <w:kern w:val="0"/>
                <w:sz w:val="18"/>
                <w:szCs w:val="18"/>
              </w:rPr>
              <w:t>没有违法所得的</w:t>
            </w:r>
          </w:p>
        </w:tc>
        <w:tc>
          <w:tcPr>
            <w:tcW w:w="4486" w:type="dxa"/>
            <w:tcBorders>
              <w:top w:val="single" w:color="auto" w:sz="4" w:space="0"/>
              <w:left w:val="nil"/>
              <w:bottom w:val="single" w:color="auto" w:sz="4" w:space="0"/>
              <w:right w:val="single" w:color="auto" w:sz="4" w:space="0"/>
            </w:tcBorders>
            <w:vAlign w:val="center"/>
          </w:tcPr>
          <w:p w14:paraId="230FA355">
            <w:pPr>
              <w:spacing w:line="26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color="auto" w:sz="4" w:space="0"/>
              <w:bottom w:val="single" w:color="auto" w:sz="4" w:space="0"/>
              <w:right w:val="single" w:color="auto" w:sz="4" w:space="0"/>
            </w:tcBorders>
            <w:vAlign w:val="center"/>
          </w:tcPr>
          <w:p w14:paraId="6573F224">
            <w:pPr>
              <w:spacing w:line="26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1F2E88D9">
            <w:pPr>
              <w:spacing w:line="26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元以下罚款</w:t>
            </w:r>
          </w:p>
        </w:tc>
      </w:tr>
      <w:tr w14:paraId="1E4C0D01">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42624E13">
            <w:pPr>
              <w:spacing w:line="260" w:lineRule="exact"/>
              <w:jc w:val="left"/>
              <w:rPr>
                <w:color w:val="000000"/>
                <w:kern w:val="0"/>
                <w:sz w:val="18"/>
                <w:szCs w:val="18"/>
              </w:rPr>
            </w:pPr>
          </w:p>
        </w:tc>
        <w:tc>
          <w:tcPr>
            <w:tcW w:w="1654" w:type="dxa"/>
            <w:vMerge w:val="continue"/>
            <w:tcBorders>
              <w:left w:val="nil"/>
              <w:bottom w:val="single" w:color="auto" w:sz="4" w:space="0"/>
              <w:right w:val="single" w:color="auto" w:sz="4" w:space="0"/>
            </w:tcBorders>
            <w:vAlign w:val="center"/>
          </w:tcPr>
          <w:p w14:paraId="7434DCAB">
            <w:pPr>
              <w:spacing w:line="260" w:lineRule="exact"/>
              <w:jc w:val="left"/>
              <w:rPr>
                <w:color w:val="000000"/>
                <w:kern w:val="0"/>
                <w:sz w:val="18"/>
                <w:szCs w:val="18"/>
              </w:rPr>
            </w:pPr>
          </w:p>
        </w:tc>
        <w:tc>
          <w:tcPr>
            <w:tcW w:w="4486" w:type="dxa"/>
            <w:tcBorders>
              <w:top w:val="single" w:color="auto" w:sz="4" w:space="0"/>
              <w:left w:val="nil"/>
              <w:bottom w:val="single" w:color="auto" w:sz="4" w:space="0"/>
              <w:right w:val="single" w:color="auto" w:sz="4" w:space="0"/>
            </w:tcBorders>
            <w:vAlign w:val="center"/>
          </w:tcPr>
          <w:p w14:paraId="1C08FD24">
            <w:pPr>
              <w:spacing w:line="26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tcBorders>
              <w:top w:val="nil"/>
              <w:left w:val="single" w:color="auto" w:sz="4" w:space="0"/>
              <w:bottom w:val="single" w:color="auto" w:sz="4" w:space="0"/>
              <w:right w:val="single" w:color="auto" w:sz="4" w:space="0"/>
            </w:tcBorders>
            <w:vAlign w:val="center"/>
          </w:tcPr>
          <w:p w14:paraId="6F516990">
            <w:pPr>
              <w:spacing w:line="26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99F26BC">
            <w:pPr>
              <w:spacing w:line="26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29767068">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3339C67A">
            <w:pPr>
              <w:spacing w:line="260" w:lineRule="exact"/>
              <w:jc w:val="left"/>
              <w:rPr>
                <w:color w:val="000000"/>
                <w:kern w:val="0"/>
                <w:sz w:val="18"/>
                <w:szCs w:val="18"/>
              </w:rPr>
            </w:pPr>
          </w:p>
        </w:tc>
        <w:tc>
          <w:tcPr>
            <w:tcW w:w="1654" w:type="dxa"/>
            <w:vMerge w:val="restart"/>
            <w:tcBorders>
              <w:top w:val="single" w:color="auto" w:sz="4" w:space="0"/>
              <w:left w:val="nil"/>
              <w:right w:val="single" w:color="auto" w:sz="4" w:space="0"/>
            </w:tcBorders>
            <w:vAlign w:val="center"/>
          </w:tcPr>
          <w:p w14:paraId="107B9DA0">
            <w:pPr>
              <w:spacing w:line="260" w:lineRule="exact"/>
              <w:jc w:val="left"/>
              <w:rPr>
                <w:color w:val="000000"/>
                <w:kern w:val="0"/>
                <w:sz w:val="18"/>
                <w:szCs w:val="18"/>
              </w:rPr>
            </w:pPr>
            <w:r>
              <w:rPr>
                <w:rFonts w:hint="eastAsia"/>
                <w:color w:val="000000"/>
                <w:kern w:val="0"/>
                <w:sz w:val="18"/>
                <w:szCs w:val="18"/>
              </w:rPr>
              <w:t>有违法所得的</w:t>
            </w:r>
          </w:p>
        </w:tc>
        <w:tc>
          <w:tcPr>
            <w:tcW w:w="4486" w:type="dxa"/>
            <w:tcBorders>
              <w:top w:val="single" w:color="auto" w:sz="4" w:space="0"/>
              <w:left w:val="nil"/>
              <w:bottom w:val="single" w:color="auto" w:sz="4" w:space="0"/>
              <w:right w:val="single" w:color="auto" w:sz="4" w:space="0"/>
            </w:tcBorders>
          </w:tcPr>
          <w:p w14:paraId="54F4D6BC">
            <w:pPr>
              <w:spacing w:line="260" w:lineRule="exact"/>
              <w:jc w:val="left"/>
              <w:rPr>
                <w:color w:val="000000"/>
                <w:kern w:val="0"/>
                <w:sz w:val="18"/>
                <w:szCs w:val="18"/>
              </w:rPr>
            </w:pPr>
            <w:r>
              <w:rPr>
                <w:rFonts w:hint="eastAsia"/>
                <w:color w:val="000000"/>
                <w:kern w:val="0"/>
                <w:sz w:val="18"/>
                <w:szCs w:val="18"/>
              </w:rPr>
              <w:t>按照要求整改的</w:t>
            </w:r>
          </w:p>
        </w:tc>
        <w:tc>
          <w:tcPr>
            <w:tcW w:w="1080" w:type="dxa"/>
            <w:vMerge w:val="continue"/>
            <w:tcBorders>
              <w:top w:val="nil"/>
              <w:left w:val="single" w:color="auto" w:sz="4" w:space="0"/>
              <w:bottom w:val="single" w:color="auto" w:sz="4" w:space="0"/>
              <w:right w:val="single" w:color="auto" w:sz="4" w:space="0"/>
            </w:tcBorders>
            <w:vAlign w:val="center"/>
          </w:tcPr>
          <w:p w14:paraId="46D0373A">
            <w:pPr>
              <w:spacing w:line="26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887D7F6">
            <w:pPr>
              <w:spacing w:line="26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1.5</w:t>
            </w:r>
            <w:r>
              <w:rPr>
                <w:rFonts w:hint="eastAsia"/>
                <w:color w:val="000000"/>
                <w:kern w:val="0"/>
                <w:sz w:val="18"/>
                <w:szCs w:val="18"/>
              </w:rPr>
              <w:t>倍以下</w:t>
            </w:r>
            <w:r>
              <w:rPr>
                <w:color w:val="000000"/>
                <w:kern w:val="0"/>
                <w:sz w:val="18"/>
                <w:szCs w:val="18"/>
              </w:rPr>
              <w:t>3</w:t>
            </w:r>
            <w:r>
              <w:rPr>
                <w:rFonts w:hint="eastAsia"/>
                <w:color w:val="000000"/>
                <w:kern w:val="0"/>
                <w:sz w:val="18"/>
                <w:szCs w:val="18"/>
              </w:rPr>
              <w:t>万元以下的罚款</w:t>
            </w:r>
          </w:p>
        </w:tc>
      </w:tr>
      <w:tr w14:paraId="1F6CF331">
        <w:tblPrEx>
          <w:tblCellMar>
            <w:top w:w="0" w:type="dxa"/>
            <w:left w:w="108" w:type="dxa"/>
            <w:bottom w:w="0" w:type="dxa"/>
            <w:right w:w="108" w:type="dxa"/>
          </w:tblCellMar>
        </w:tblPrEx>
        <w:trPr>
          <w:trHeight w:val="223" w:hRule="atLeast"/>
        </w:trPr>
        <w:tc>
          <w:tcPr>
            <w:tcW w:w="1070" w:type="dxa"/>
            <w:vMerge w:val="continue"/>
            <w:tcBorders>
              <w:top w:val="nil"/>
              <w:left w:val="single" w:color="auto" w:sz="8" w:space="0"/>
              <w:bottom w:val="single" w:color="auto" w:sz="4" w:space="0"/>
              <w:right w:val="single" w:color="auto" w:sz="4" w:space="0"/>
            </w:tcBorders>
            <w:vAlign w:val="center"/>
          </w:tcPr>
          <w:p w14:paraId="65F736EB">
            <w:pPr>
              <w:spacing w:line="260" w:lineRule="exact"/>
              <w:jc w:val="left"/>
              <w:rPr>
                <w:color w:val="000000"/>
                <w:kern w:val="0"/>
                <w:sz w:val="18"/>
                <w:szCs w:val="18"/>
              </w:rPr>
            </w:pPr>
          </w:p>
        </w:tc>
        <w:tc>
          <w:tcPr>
            <w:tcW w:w="1654" w:type="dxa"/>
            <w:vMerge w:val="continue"/>
            <w:tcBorders>
              <w:left w:val="nil"/>
              <w:bottom w:val="single" w:color="auto" w:sz="4" w:space="0"/>
              <w:right w:val="single" w:color="auto" w:sz="4" w:space="0"/>
            </w:tcBorders>
            <w:vAlign w:val="center"/>
          </w:tcPr>
          <w:p w14:paraId="5EC5BBE6">
            <w:pPr>
              <w:spacing w:line="260" w:lineRule="exact"/>
              <w:jc w:val="left"/>
              <w:rPr>
                <w:color w:val="000000"/>
                <w:kern w:val="0"/>
                <w:sz w:val="18"/>
                <w:szCs w:val="18"/>
              </w:rPr>
            </w:pPr>
          </w:p>
        </w:tc>
        <w:tc>
          <w:tcPr>
            <w:tcW w:w="4486" w:type="dxa"/>
            <w:tcBorders>
              <w:top w:val="single" w:color="auto" w:sz="4" w:space="0"/>
              <w:left w:val="nil"/>
              <w:bottom w:val="single" w:color="auto" w:sz="4" w:space="0"/>
              <w:right w:val="single" w:color="auto" w:sz="4" w:space="0"/>
            </w:tcBorders>
          </w:tcPr>
          <w:p w14:paraId="5D2A6778">
            <w:pPr>
              <w:spacing w:line="260" w:lineRule="exact"/>
              <w:jc w:val="left"/>
              <w:rPr>
                <w:color w:val="000000"/>
                <w:kern w:val="0"/>
                <w:sz w:val="18"/>
                <w:szCs w:val="18"/>
              </w:rPr>
            </w:pPr>
            <w:r>
              <w:rPr>
                <w:rFonts w:hint="eastAsia"/>
                <w:color w:val="000000"/>
                <w:kern w:val="0"/>
                <w:sz w:val="18"/>
                <w:szCs w:val="18"/>
              </w:rPr>
              <w:t>未按照要求整改的</w:t>
            </w:r>
          </w:p>
        </w:tc>
        <w:tc>
          <w:tcPr>
            <w:tcW w:w="1080" w:type="dxa"/>
            <w:vMerge w:val="continue"/>
            <w:tcBorders>
              <w:top w:val="nil"/>
              <w:left w:val="single" w:color="auto" w:sz="4" w:space="0"/>
              <w:bottom w:val="single" w:color="auto" w:sz="4" w:space="0"/>
              <w:right w:val="single" w:color="auto" w:sz="4" w:space="0"/>
            </w:tcBorders>
            <w:vAlign w:val="center"/>
          </w:tcPr>
          <w:p w14:paraId="55603965">
            <w:pPr>
              <w:spacing w:line="26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9B3C29C">
            <w:pPr>
              <w:spacing w:line="26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1.5</w:t>
            </w:r>
            <w:r>
              <w:rPr>
                <w:rFonts w:hint="eastAsia"/>
                <w:color w:val="000000"/>
                <w:kern w:val="0"/>
                <w:sz w:val="18"/>
                <w:szCs w:val="18"/>
              </w:rPr>
              <w:t>倍以上</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776AB777">
      <w:pPr>
        <w:spacing w:line="260" w:lineRule="exact"/>
      </w:pPr>
    </w:p>
    <w:tbl>
      <w:tblPr>
        <w:tblStyle w:val="15"/>
        <w:tblW w:w="0" w:type="auto"/>
        <w:tblInd w:w="93" w:type="dxa"/>
        <w:tblLayout w:type="fixed"/>
        <w:tblCellMar>
          <w:top w:w="0" w:type="dxa"/>
          <w:left w:w="108" w:type="dxa"/>
          <w:bottom w:w="0" w:type="dxa"/>
          <w:right w:w="108" w:type="dxa"/>
        </w:tblCellMar>
      </w:tblPr>
      <w:tblGrid>
        <w:gridCol w:w="1035"/>
        <w:gridCol w:w="6140"/>
        <w:gridCol w:w="1120"/>
        <w:gridCol w:w="5730"/>
      </w:tblGrid>
      <w:tr w14:paraId="73B2A587">
        <w:tblPrEx>
          <w:tblCellMar>
            <w:top w:w="0" w:type="dxa"/>
            <w:left w:w="108" w:type="dxa"/>
            <w:bottom w:w="0" w:type="dxa"/>
            <w:right w:w="108" w:type="dxa"/>
          </w:tblCellMar>
        </w:tblPrEx>
        <w:trPr>
          <w:trHeight w:val="285" w:hRule="atLeast"/>
        </w:trPr>
        <w:tc>
          <w:tcPr>
            <w:tcW w:w="1035" w:type="dxa"/>
            <w:tcBorders>
              <w:top w:val="single" w:color="auto" w:sz="8" w:space="0"/>
              <w:left w:val="single" w:color="auto" w:sz="8" w:space="0"/>
              <w:bottom w:val="single" w:color="auto" w:sz="4" w:space="0"/>
              <w:right w:val="single" w:color="auto" w:sz="4" w:space="0"/>
            </w:tcBorders>
            <w:vAlign w:val="center"/>
          </w:tcPr>
          <w:p w14:paraId="683CD6AD">
            <w:pPr>
              <w:spacing w:line="26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color="auto" w:sz="8" w:space="0"/>
              <w:left w:val="nil"/>
              <w:bottom w:val="single" w:color="auto" w:sz="4" w:space="0"/>
              <w:right w:val="single" w:color="000000" w:sz="8" w:space="0"/>
            </w:tcBorders>
            <w:vAlign w:val="center"/>
          </w:tcPr>
          <w:p w14:paraId="72FF8C6E">
            <w:pPr>
              <w:spacing w:line="260" w:lineRule="exact"/>
              <w:jc w:val="left"/>
              <w:rPr>
                <w:rFonts w:eastAsia="仿宋_GB2312"/>
                <w:b/>
                <w:bCs/>
                <w:color w:val="000000"/>
                <w:kern w:val="0"/>
                <w:sz w:val="18"/>
                <w:szCs w:val="18"/>
              </w:rPr>
            </w:pPr>
            <w:r>
              <w:rPr>
                <w:rFonts w:eastAsia="仿宋_GB2312"/>
                <w:b/>
                <w:bCs/>
                <w:color w:val="000000"/>
                <w:kern w:val="0"/>
                <w:sz w:val="18"/>
                <w:szCs w:val="18"/>
              </w:rPr>
              <w:t>320217657000</w:t>
            </w:r>
          </w:p>
        </w:tc>
      </w:tr>
      <w:tr w14:paraId="6483D379">
        <w:tblPrEx>
          <w:tblCellMar>
            <w:top w:w="0" w:type="dxa"/>
            <w:left w:w="108" w:type="dxa"/>
            <w:bottom w:w="0" w:type="dxa"/>
            <w:right w:w="108" w:type="dxa"/>
          </w:tblCellMar>
        </w:tblPrEx>
        <w:trPr>
          <w:trHeight w:val="239" w:hRule="atLeast"/>
        </w:trPr>
        <w:tc>
          <w:tcPr>
            <w:tcW w:w="1035" w:type="dxa"/>
            <w:tcBorders>
              <w:top w:val="nil"/>
              <w:left w:val="single" w:color="auto" w:sz="8" w:space="0"/>
              <w:bottom w:val="single" w:color="auto" w:sz="4" w:space="0"/>
              <w:right w:val="single" w:color="auto" w:sz="4" w:space="0"/>
            </w:tcBorders>
            <w:vAlign w:val="center"/>
          </w:tcPr>
          <w:p w14:paraId="14E5414C">
            <w:pPr>
              <w:spacing w:line="26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236C7FCD">
            <w:pPr>
              <w:spacing w:line="260" w:lineRule="exact"/>
              <w:jc w:val="left"/>
              <w:rPr>
                <w:color w:val="000000"/>
                <w:kern w:val="0"/>
                <w:sz w:val="18"/>
                <w:szCs w:val="18"/>
              </w:rPr>
            </w:pPr>
            <w:r>
              <w:rPr>
                <w:rFonts w:hint="eastAsia"/>
                <w:color w:val="000000"/>
                <w:kern w:val="0"/>
                <w:sz w:val="18"/>
                <w:szCs w:val="18"/>
              </w:rPr>
              <w:t>对房地产估价机构以迎合高估或者低估要求方式进行不正当竞争的处罚</w:t>
            </w:r>
          </w:p>
        </w:tc>
      </w:tr>
      <w:tr w14:paraId="42BC7C88">
        <w:tblPrEx>
          <w:tblCellMar>
            <w:top w:w="0" w:type="dxa"/>
            <w:left w:w="108" w:type="dxa"/>
            <w:bottom w:w="0" w:type="dxa"/>
            <w:right w:w="108" w:type="dxa"/>
          </w:tblCellMar>
        </w:tblPrEx>
        <w:trPr>
          <w:trHeight w:val="561" w:hRule="atLeast"/>
        </w:trPr>
        <w:tc>
          <w:tcPr>
            <w:tcW w:w="1035" w:type="dxa"/>
            <w:tcBorders>
              <w:top w:val="nil"/>
              <w:left w:val="single" w:color="auto" w:sz="8" w:space="0"/>
              <w:bottom w:val="single" w:color="auto" w:sz="4" w:space="0"/>
              <w:right w:val="single" w:color="auto" w:sz="4" w:space="0"/>
            </w:tcBorders>
            <w:vAlign w:val="center"/>
          </w:tcPr>
          <w:p w14:paraId="4D877872">
            <w:pPr>
              <w:spacing w:line="26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04A0D045">
            <w:pPr>
              <w:spacing w:line="26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r>
              <w:rPr>
                <w:color w:val="000000"/>
                <w:kern w:val="0"/>
                <w:sz w:val="18"/>
                <w:szCs w:val="18"/>
              </w:rPr>
              <w:br w:type="textWrapping"/>
            </w:r>
            <w:r>
              <w:rPr>
                <w:rFonts w:hint="eastAsia"/>
                <w:color w:val="000000"/>
                <w:kern w:val="0"/>
                <w:sz w:val="18"/>
                <w:szCs w:val="18"/>
              </w:rPr>
              <w:t>（三）以迎合高估或者低估要求、给予回扣、恶意压低收费等方式进行不正当竞争。</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14:paraId="55A6A31A">
        <w:tblPrEx>
          <w:tblCellMar>
            <w:top w:w="0" w:type="dxa"/>
            <w:left w:w="108" w:type="dxa"/>
            <w:bottom w:w="0" w:type="dxa"/>
            <w:right w:w="108" w:type="dxa"/>
          </w:tblCellMar>
        </w:tblPrEx>
        <w:trPr>
          <w:trHeight w:val="285" w:hRule="atLeast"/>
        </w:trPr>
        <w:tc>
          <w:tcPr>
            <w:tcW w:w="1035" w:type="dxa"/>
            <w:tcBorders>
              <w:top w:val="nil"/>
              <w:left w:val="single" w:color="auto" w:sz="8" w:space="0"/>
              <w:bottom w:val="single" w:color="auto" w:sz="4" w:space="0"/>
              <w:right w:val="single" w:color="auto" w:sz="4" w:space="0"/>
            </w:tcBorders>
            <w:vAlign w:val="center"/>
          </w:tcPr>
          <w:p w14:paraId="6DD6F2D4">
            <w:pPr>
              <w:spacing w:line="26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0ED41411">
            <w:pPr>
              <w:spacing w:line="260" w:lineRule="exact"/>
              <w:jc w:val="left"/>
              <w:rPr>
                <w:color w:val="000000"/>
                <w:kern w:val="0"/>
                <w:sz w:val="18"/>
                <w:szCs w:val="18"/>
              </w:rPr>
            </w:pPr>
            <w:r>
              <w:rPr>
                <w:rFonts w:hint="eastAsia"/>
                <w:color w:val="000000"/>
                <w:kern w:val="0"/>
                <w:sz w:val="18"/>
                <w:szCs w:val="18"/>
              </w:rPr>
              <w:t>警告，罚款</w:t>
            </w:r>
          </w:p>
        </w:tc>
      </w:tr>
      <w:tr w14:paraId="05E67D5F">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34FD27CD">
            <w:pPr>
              <w:spacing w:line="260" w:lineRule="exact"/>
              <w:jc w:val="center"/>
              <w:rPr>
                <w:color w:val="000000"/>
                <w:kern w:val="0"/>
                <w:sz w:val="18"/>
                <w:szCs w:val="18"/>
              </w:rPr>
            </w:pPr>
            <w:r>
              <w:rPr>
                <w:rFonts w:hint="eastAsia"/>
                <w:color w:val="000000"/>
                <w:kern w:val="0"/>
                <w:sz w:val="18"/>
                <w:szCs w:val="18"/>
              </w:rPr>
              <w:t>裁量基准</w:t>
            </w:r>
          </w:p>
        </w:tc>
      </w:tr>
      <w:tr w14:paraId="132FD1AA">
        <w:tblPrEx>
          <w:tblCellMar>
            <w:top w:w="0" w:type="dxa"/>
            <w:left w:w="108" w:type="dxa"/>
            <w:bottom w:w="0" w:type="dxa"/>
            <w:right w:w="108" w:type="dxa"/>
          </w:tblCellMar>
        </w:tblPrEx>
        <w:trPr>
          <w:trHeight w:val="285" w:hRule="atLeast"/>
        </w:trPr>
        <w:tc>
          <w:tcPr>
            <w:tcW w:w="1035" w:type="dxa"/>
            <w:vMerge w:val="restart"/>
            <w:tcBorders>
              <w:top w:val="nil"/>
              <w:left w:val="single" w:color="auto" w:sz="8" w:space="0"/>
              <w:right w:val="single" w:color="auto" w:sz="4" w:space="0"/>
            </w:tcBorders>
            <w:vAlign w:val="center"/>
          </w:tcPr>
          <w:p w14:paraId="4FE48EAD">
            <w:pPr>
              <w:spacing w:line="26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2F8517C7">
            <w:pPr>
              <w:spacing w:line="26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color="auto" w:sz="4" w:space="0"/>
            </w:tcBorders>
            <w:vAlign w:val="center"/>
          </w:tcPr>
          <w:p w14:paraId="17C1D685">
            <w:pPr>
              <w:spacing w:line="26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color="auto" w:sz="4" w:space="0"/>
              <w:right w:val="single" w:color="auto" w:sz="8" w:space="0"/>
            </w:tcBorders>
            <w:vAlign w:val="center"/>
          </w:tcPr>
          <w:p w14:paraId="0843BE57">
            <w:pPr>
              <w:spacing w:line="26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元以下罚款</w:t>
            </w:r>
          </w:p>
        </w:tc>
      </w:tr>
      <w:tr w14:paraId="5F16EDED">
        <w:tblPrEx>
          <w:tblCellMar>
            <w:top w:w="0" w:type="dxa"/>
            <w:left w:w="108" w:type="dxa"/>
            <w:bottom w:w="0" w:type="dxa"/>
            <w:right w:w="108" w:type="dxa"/>
          </w:tblCellMar>
        </w:tblPrEx>
        <w:trPr>
          <w:trHeight w:val="285" w:hRule="atLeast"/>
        </w:trPr>
        <w:tc>
          <w:tcPr>
            <w:tcW w:w="1035" w:type="dxa"/>
            <w:vMerge w:val="continue"/>
            <w:tcBorders>
              <w:left w:val="single" w:color="auto" w:sz="8" w:space="0"/>
              <w:bottom w:val="single" w:color="auto" w:sz="4" w:space="0"/>
              <w:right w:val="single" w:color="auto" w:sz="4" w:space="0"/>
            </w:tcBorders>
            <w:vAlign w:val="center"/>
          </w:tcPr>
          <w:p w14:paraId="6D5B66FA">
            <w:pPr>
              <w:spacing w:line="260" w:lineRule="exact"/>
              <w:jc w:val="center"/>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32B21631">
            <w:pPr>
              <w:spacing w:line="260" w:lineRule="exact"/>
              <w:jc w:val="left"/>
              <w:rPr>
                <w:color w:val="000000"/>
                <w:kern w:val="0"/>
                <w:sz w:val="18"/>
                <w:szCs w:val="18"/>
              </w:rPr>
            </w:pPr>
            <w:r>
              <w:rPr>
                <w:rFonts w:hint="eastAsia"/>
                <w:color w:val="000000"/>
                <w:kern w:val="0"/>
                <w:sz w:val="18"/>
                <w:szCs w:val="18"/>
              </w:rPr>
              <w:t>未按照要求改正的</w:t>
            </w:r>
          </w:p>
        </w:tc>
        <w:tc>
          <w:tcPr>
            <w:tcW w:w="1120" w:type="dxa"/>
            <w:vMerge w:val="continue"/>
            <w:tcBorders>
              <w:left w:val="nil"/>
              <w:bottom w:val="single" w:color="auto" w:sz="4" w:space="0"/>
              <w:right w:val="single" w:color="auto" w:sz="4" w:space="0"/>
            </w:tcBorders>
            <w:vAlign w:val="center"/>
          </w:tcPr>
          <w:p w14:paraId="27365440">
            <w:pPr>
              <w:spacing w:line="260" w:lineRule="exact"/>
              <w:jc w:val="center"/>
              <w:rPr>
                <w:color w:val="000000"/>
                <w:kern w:val="0"/>
                <w:sz w:val="18"/>
                <w:szCs w:val="18"/>
              </w:rPr>
            </w:pPr>
          </w:p>
        </w:tc>
        <w:tc>
          <w:tcPr>
            <w:tcW w:w="5730" w:type="dxa"/>
            <w:tcBorders>
              <w:top w:val="nil"/>
              <w:left w:val="nil"/>
              <w:bottom w:val="single" w:color="auto" w:sz="4" w:space="0"/>
              <w:right w:val="single" w:color="auto" w:sz="8" w:space="0"/>
            </w:tcBorders>
            <w:vAlign w:val="center"/>
          </w:tcPr>
          <w:p w14:paraId="7DC8B0BB">
            <w:pPr>
              <w:spacing w:line="26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31498E60"/>
    <w:p w14:paraId="26D988E3"/>
    <w:p w14:paraId="6EC8F392"/>
    <w:tbl>
      <w:tblPr>
        <w:tblStyle w:val="15"/>
        <w:tblW w:w="0" w:type="auto"/>
        <w:tblInd w:w="88" w:type="dxa"/>
        <w:tblLayout w:type="fixed"/>
        <w:tblCellMar>
          <w:top w:w="0" w:type="dxa"/>
          <w:left w:w="108" w:type="dxa"/>
          <w:bottom w:w="0" w:type="dxa"/>
          <w:right w:w="108" w:type="dxa"/>
        </w:tblCellMar>
      </w:tblPr>
      <w:tblGrid>
        <w:gridCol w:w="1056"/>
        <w:gridCol w:w="1540"/>
        <w:gridCol w:w="4600"/>
        <w:gridCol w:w="1044"/>
        <w:gridCol w:w="5820"/>
      </w:tblGrid>
      <w:tr w14:paraId="73E553BA">
        <w:tblPrEx>
          <w:tblCellMar>
            <w:top w:w="0" w:type="dxa"/>
            <w:left w:w="108" w:type="dxa"/>
            <w:bottom w:w="0" w:type="dxa"/>
            <w:right w:w="108" w:type="dxa"/>
          </w:tblCellMar>
        </w:tblPrEx>
        <w:trPr>
          <w:trHeight w:val="285" w:hRule="atLeast"/>
        </w:trPr>
        <w:tc>
          <w:tcPr>
            <w:tcW w:w="1056" w:type="dxa"/>
            <w:tcBorders>
              <w:top w:val="single" w:color="auto" w:sz="8" w:space="0"/>
              <w:left w:val="single" w:color="auto" w:sz="8" w:space="0"/>
              <w:bottom w:val="single" w:color="auto" w:sz="4" w:space="0"/>
              <w:right w:val="single" w:color="auto" w:sz="4" w:space="0"/>
            </w:tcBorders>
            <w:vAlign w:val="center"/>
          </w:tcPr>
          <w:p w14:paraId="5330858E">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21C6E13E">
            <w:pPr>
              <w:jc w:val="left"/>
              <w:textAlignment w:val="center"/>
              <w:rPr>
                <w:rFonts w:eastAsia="仿宋_GB2312"/>
                <w:b/>
                <w:bCs/>
                <w:color w:val="000000"/>
                <w:kern w:val="0"/>
                <w:sz w:val="18"/>
                <w:szCs w:val="18"/>
              </w:rPr>
            </w:pPr>
            <w:r>
              <w:rPr>
                <w:rFonts w:eastAsia="仿宋_GB2312"/>
                <w:b/>
                <w:color w:val="000000"/>
                <w:kern w:val="0"/>
                <w:sz w:val="20"/>
              </w:rPr>
              <w:t>320217658000</w:t>
            </w:r>
          </w:p>
        </w:tc>
      </w:tr>
      <w:tr w14:paraId="2F170718">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0C293949">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color="auto" w:sz="4" w:space="0"/>
              <w:left w:val="nil"/>
              <w:bottom w:val="single" w:color="auto" w:sz="4" w:space="0"/>
              <w:right w:val="single" w:color="000000" w:sz="8" w:space="0"/>
            </w:tcBorders>
            <w:vAlign w:val="center"/>
          </w:tcPr>
          <w:p w14:paraId="4F325E31">
            <w:pPr>
              <w:spacing w:line="320" w:lineRule="exact"/>
              <w:jc w:val="left"/>
              <w:rPr>
                <w:color w:val="000000"/>
                <w:kern w:val="0"/>
                <w:sz w:val="18"/>
                <w:szCs w:val="18"/>
              </w:rPr>
            </w:pPr>
            <w:r>
              <w:rPr>
                <w:rFonts w:hint="eastAsia"/>
                <w:color w:val="000000"/>
                <w:kern w:val="0"/>
                <w:sz w:val="18"/>
                <w:szCs w:val="18"/>
              </w:rPr>
              <w:t>对注册监理工程师弄虚作假提供执业活动成果的处罚</w:t>
            </w:r>
          </w:p>
        </w:tc>
      </w:tr>
      <w:tr w14:paraId="11445F72">
        <w:tblPrEx>
          <w:tblCellMar>
            <w:top w:w="0" w:type="dxa"/>
            <w:left w:w="108" w:type="dxa"/>
            <w:bottom w:w="0" w:type="dxa"/>
            <w:right w:w="108" w:type="dxa"/>
          </w:tblCellMar>
        </w:tblPrEx>
        <w:trPr>
          <w:trHeight w:val="1125" w:hRule="atLeast"/>
        </w:trPr>
        <w:tc>
          <w:tcPr>
            <w:tcW w:w="1056" w:type="dxa"/>
            <w:tcBorders>
              <w:top w:val="nil"/>
              <w:left w:val="single" w:color="auto" w:sz="8" w:space="0"/>
              <w:bottom w:val="single" w:color="auto" w:sz="4" w:space="0"/>
              <w:right w:val="single" w:color="auto" w:sz="4" w:space="0"/>
            </w:tcBorders>
            <w:vAlign w:val="center"/>
          </w:tcPr>
          <w:p w14:paraId="75B3B040">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000000" w:sz="8" w:space="0"/>
            </w:tcBorders>
            <w:vAlign w:val="center"/>
          </w:tcPr>
          <w:p w14:paraId="7590B21E">
            <w:pPr>
              <w:spacing w:line="320" w:lineRule="exact"/>
              <w:jc w:val="left"/>
              <w:rPr>
                <w:color w:val="000000"/>
                <w:kern w:val="0"/>
                <w:sz w:val="18"/>
                <w:szCs w:val="18"/>
              </w:rPr>
            </w:pPr>
            <w:r>
              <w:rPr>
                <w:rFonts w:hint="eastAsia"/>
                <w:color w:val="000000"/>
                <w:kern w:val="0"/>
                <w:sz w:val="18"/>
                <w:szCs w:val="18"/>
              </w:rPr>
              <w:t>【规章】《注册监理工程师管理规定》</w:t>
            </w:r>
            <w:r>
              <w:rPr>
                <w:color w:val="000000"/>
                <w:kern w:val="0"/>
                <w:sz w:val="18"/>
                <w:szCs w:val="18"/>
              </w:rPr>
              <w:t>（</w:t>
            </w:r>
            <w:r>
              <w:rPr>
                <w:rFonts w:hint="eastAsia"/>
                <w:color w:val="000000"/>
                <w:kern w:val="0"/>
                <w:sz w:val="18"/>
                <w:szCs w:val="18"/>
              </w:rPr>
              <w:t>建设部令第</w:t>
            </w:r>
            <w:r>
              <w:rPr>
                <w:color w:val="000000"/>
                <w:kern w:val="0"/>
                <w:sz w:val="18"/>
                <w:szCs w:val="18"/>
              </w:rPr>
              <w:t>147</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第三十一条　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br w:type="textWrapping"/>
            </w:r>
            <w:r>
              <w:rPr>
                <w:rFonts w:hint="eastAsia"/>
                <w:color w:val="000000"/>
                <w:kern w:val="0"/>
                <w:sz w:val="18"/>
                <w:szCs w:val="18"/>
              </w:rPr>
              <w:t>　　（五）弄虚作假提供执业活动成果的；</w:t>
            </w:r>
          </w:p>
        </w:tc>
      </w:tr>
      <w:tr w14:paraId="363D51E5">
        <w:tblPrEx>
          <w:tblCellMar>
            <w:top w:w="0" w:type="dxa"/>
            <w:left w:w="108" w:type="dxa"/>
            <w:bottom w:w="0" w:type="dxa"/>
            <w:right w:w="108" w:type="dxa"/>
          </w:tblCellMar>
        </w:tblPrEx>
        <w:trPr>
          <w:trHeight w:val="285" w:hRule="atLeast"/>
        </w:trPr>
        <w:tc>
          <w:tcPr>
            <w:tcW w:w="1056" w:type="dxa"/>
            <w:tcBorders>
              <w:top w:val="nil"/>
              <w:left w:val="single" w:color="auto" w:sz="8" w:space="0"/>
              <w:bottom w:val="single" w:color="auto" w:sz="4" w:space="0"/>
              <w:right w:val="single" w:color="auto" w:sz="4" w:space="0"/>
            </w:tcBorders>
            <w:vAlign w:val="center"/>
          </w:tcPr>
          <w:p w14:paraId="14327E76">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000000" w:sz="8" w:space="0"/>
            </w:tcBorders>
            <w:vAlign w:val="center"/>
          </w:tcPr>
          <w:p w14:paraId="043FEC2B">
            <w:pPr>
              <w:spacing w:line="320" w:lineRule="exact"/>
              <w:jc w:val="left"/>
              <w:rPr>
                <w:color w:val="000000"/>
                <w:kern w:val="0"/>
                <w:sz w:val="18"/>
                <w:szCs w:val="18"/>
              </w:rPr>
            </w:pPr>
            <w:r>
              <w:rPr>
                <w:rFonts w:hint="eastAsia"/>
                <w:color w:val="000000"/>
                <w:kern w:val="0"/>
                <w:sz w:val="18"/>
                <w:szCs w:val="18"/>
              </w:rPr>
              <w:t>警告，罚款</w:t>
            </w:r>
          </w:p>
        </w:tc>
      </w:tr>
      <w:tr w14:paraId="19DF094F">
        <w:tblPrEx>
          <w:tblCellMar>
            <w:top w:w="0" w:type="dxa"/>
            <w:left w:w="108" w:type="dxa"/>
            <w:bottom w:w="0" w:type="dxa"/>
            <w:right w:w="108" w:type="dxa"/>
          </w:tblCellMar>
        </w:tblPrEx>
        <w:trPr>
          <w:trHeight w:val="285" w:hRule="atLeast"/>
        </w:trPr>
        <w:tc>
          <w:tcPr>
            <w:tcW w:w="14060" w:type="dxa"/>
            <w:gridSpan w:val="5"/>
            <w:tcBorders>
              <w:top w:val="single" w:color="auto" w:sz="4" w:space="0"/>
              <w:left w:val="single" w:color="auto" w:sz="8" w:space="0"/>
              <w:bottom w:val="single" w:color="auto" w:sz="4" w:space="0"/>
              <w:right w:val="single" w:color="000000" w:sz="8" w:space="0"/>
            </w:tcBorders>
            <w:vAlign w:val="center"/>
          </w:tcPr>
          <w:p w14:paraId="5FD6F08C">
            <w:pPr>
              <w:spacing w:line="320" w:lineRule="exact"/>
              <w:jc w:val="center"/>
              <w:rPr>
                <w:color w:val="000000"/>
                <w:kern w:val="0"/>
                <w:sz w:val="18"/>
                <w:szCs w:val="18"/>
              </w:rPr>
            </w:pPr>
            <w:r>
              <w:rPr>
                <w:rFonts w:hint="eastAsia"/>
                <w:color w:val="000000"/>
                <w:kern w:val="0"/>
                <w:sz w:val="18"/>
                <w:szCs w:val="18"/>
              </w:rPr>
              <w:t>裁量基准</w:t>
            </w:r>
          </w:p>
        </w:tc>
      </w:tr>
      <w:tr w14:paraId="586D0B37">
        <w:tblPrEx>
          <w:tblCellMar>
            <w:top w:w="0" w:type="dxa"/>
            <w:left w:w="108" w:type="dxa"/>
            <w:bottom w:w="0" w:type="dxa"/>
            <w:right w:w="108" w:type="dxa"/>
          </w:tblCellMar>
        </w:tblPrEx>
        <w:trPr>
          <w:trHeight w:val="285" w:hRule="atLeast"/>
        </w:trPr>
        <w:tc>
          <w:tcPr>
            <w:tcW w:w="1056" w:type="dxa"/>
            <w:vMerge w:val="restart"/>
            <w:tcBorders>
              <w:top w:val="nil"/>
              <w:left w:val="single" w:color="auto" w:sz="8" w:space="0"/>
              <w:bottom w:val="single" w:color="auto" w:sz="4" w:space="0"/>
              <w:right w:val="single" w:color="auto" w:sz="4" w:space="0"/>
            </w:tcBorders>
            <w:vAlign w:val="center"/>
          </w:tcPr>
          <w:p w14:paraId="18F351CD">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color="auto" w:sz="4" w:space="0"/>
              <w:bottom w:val="single" w:color="auto" w:sz="4" w:space="0"/>
              <w:right w:val="single" w:color="auto" w:sz="4" w:space="0"/>
            </w:tcBorders>
            <w:vAlign w:val="center"/>
          </w:tcPr>
          <w:p w14:paraId="039083EA">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color="auto" w:sz="4" w:space="0"/>
              <w:right w:val="single" w:color="auto" w:sz="4" w:space="0"/>
            </w:tcBorders>
            <w:vAlign w:val="center"/>
          </w:tcPr>
          <w:p w14:paraId="24CAE24E">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color="auto" w:sz="4" w:space="0"/>
              <w:bottom w:val="single" w:color="auto" w:sz="4" w:space="0"/>
              <w:right w:val="single" w:color="auto" w:sz="4" w:space="0"/>
            </w:tcBorders>
            <w:vAlign w:val="center"/>
          </w:tcPr>
          <w:p w14:paraId="79E159C7">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7D454D3C">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14:paraId="768701A0">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CF861D4">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7BB345EF">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69D7D350">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4DF1EA58">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4BD8314E">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75807199">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A66BA57">
            <w:pPr>
              <w:spacing w:line="320" w:lineRule="exact"/>
              <w:jc w:val="left"/>
              <w:rPr>
                <w:color w:val="000000"/>
                <w:kern w:val="0"/>
                <w:sz w:val="18"/>
                <w:szCs w:val="18"/>
              </w:rPr>
            </w:pPr>
          </w:p>
        </w:tc>
        <w:tc>
          <w:tcPr>
            <w:tcW w:w="1540" w:type="dxa"/>
            <w:vMerge w:val="restart"/>
            <w:tcBorders>
              <w:top w:val="nil"/>
              <w:left w:val="single" w:color="auto" w:sz="4" w:space="0"/>
              <w:bottom w:val="single" w:color="auto" w:sz="4" w:space="0"/>
              <w:right w:val="single" w:color="auto" w:sz="4" w:space="0"/>
            </w:tcBorders>
            <w:vAlign w:val="center"/>
          </w:tcPr>
          <w:p w14:paraId="267D6EF6">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color="auto" w:sz="4" w:space="0"/>
              <w:right w:val="single" w:color="auto" w:sz="4" w:space="0"/>
            </w:tcBorders>
            <w:vAlign w:val="center"/>
          </w:tcPr>
          <w:p w14:paraId="7154BA17">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785C83FF">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10495FE2">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14:paraId="0F101DDA">
        <w:tblPrEx>
          <w:tblCellMar>
            <w:top w:w="0" w:type="dxa"/>
            <w:left w:w="108" w:type="dxa"/>
            <w:bottom w:w="0" w:type="dxa"/>
            <w:right w:w="108" w:type="dxa"/>
          </w:tblCellMar>
        </w:tblPrEx>
        <w:trPr>
          <w:trHeight w:val="285" w:hRule="atLeast"/>
        </w:trPr>
        <w:tc>
          <w:tcPr>
            <w:tcW w:w="1056" w:type="dxa"/>
            <w:vMerge w:val="continue"/>
            <w:tcBorders>
              <w:top w:val="nil"/>
              <w:left w:val="single" w:color="auto" w:sz="8" w:space="0"/>
              <w:bottom w:val="single" w:color="auto" w:sz="4" w:space="0"/>
              <w:right w:val="single" w:color="auto" w:sz="4" w:space="0"/>
            </w:tcBorders>
            <w:vAlign w:val="center"/>
          </w:tcPr>
          <w:p w14:paraId="39894A83">
            <w:pPr>
              <w:spacing w:line="320" w:lineRule="exact"/>
              <w:jc w:val="left"/>
              <w:rPr>
                <w:color w:val="000000"/>
                <w:kern w:val="0"/>
                <w:sz w:val="18"/>
                <w:szCs w:val="18"/>
              </w:rPr>
            </w:pPr>
          </w:p>
        </w:tc>
        <w:tc>
          <w:tcPr>
            <w:tcW w:w="1540" w:type="dxa"/>
            <w:vMerge w:val="continue"/>
            <w:tcBorders>
              <w:top w:val="nil"/>
              <w:left w:val="single" w:color="auto" w:sz="4" w:space="0"/>
              <w:bottom w:val="single" w:color="auto" w:sz="4" w:space="0"/>
              <w:right w:val="single" w:color="auto" w:sz="4" w:space="0"/>
            </w:tcBorders>
            <w:vAlign w:val="center"/>
          </w:tcPr>
          <w:p w14:paraId="67B7908E">
            <w:pPr>
              <w:spacing w:line="320" w:lineRule="exact"/>
              <w:jc w:val="left"/>
              <w:rPr>
                <w:color w:val="000000"/>
                <w:kern w:val="0"/>
                <w:sz w:val="18"/>
                <w:szCs w:val="18"/>
              </w:rPr>
            </w:pPr>
          </w:p>
        </w:tc>
        <w:tc>
          <w:tcPr>
            <w:tcW w:w="4600" w:type="dxa"/>
            <w:tcBorders>
              <w:top w:val="nil"/>
              <w:left w:val="nil"/>
              <w:bottom w:val="single" w:color="auto" w:sz="4" w:space="0"/>
              <w:right w:val="single" w:color="auto" w:sz="4" w:space="0"/>
            </w:tcBorders>
            <w:vAlign w:val="center"/>
          </w:tcPr>
          <w:p w14:paraId="14E137AE">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val="continue"/>
            <w:tcBorders>
              <w:top w:val="nil"/>
              <w:left w:val="single" w:color="auto" w:sz="4" w:space="0"/>
              <w:bottom w:val="single" w:color="auto" w:sz="4" w:space="0"/>
              <w:right w:val="single" w:color="auto" w:sz="4" w:space="0"/>
            </w:tcBorders>
            <w:vAlign w:val="center"/>
          </w:tcPr>
          <w:p w14:paraId="3E9C99C7">
            <w:pPr>
              <w:spacing w:line="320" w:lineRule="exact"/>
              <w:jc w:val="left"/>
              <w:rPr>
                <w:color w:val="000000"/>
                <w:kern w:val="0"/>
                <w:sz w:val="18"/>
                <w:szCs w:val="18"/>
              </w:rPr>
            </w:pPr>
          </w:p>
        </w:tc>
        <w:tc>
          <w:tcPr>
            <w:tcW w:w="5820" w:type="dxa"/>
            <w:tcBorders>
              <w:top w:val="nil"/>
              <w:left w:val="nil"/>
              <w:bottom w:val="single" w:color="auto" w:sz="4" w:space="0"/>
              <w:right w:val="single" w:color="auto" w:sz="8" w:space="0"/>
            </w:tcBorders>
            <w:vAlign w:val="center"/>
          </w:tcPr>
          <w:p w14:paraId="0B257F2D">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14:paraId="4CCF8514"/>
    <w:p w14:paraId="405B5D53"/>
    <w:p w14:paraId="17EFAA11"/>
    <w:p w14:paraId="046E4DF7"/>
    <w:p w14:paraId="58BB2155"/>
    <w:p w14:paraId="20F0F499"/>
    <w:p w14:paraId="5201B3CC"/>
    <w:p w14:paraId="4799D6F0"/>
    <w:p w14:paraId="35C6806D"/>
    <w:p w14:paraId="6CC5FE52"/>
    <w:tbl>
      <w:tblPr>
        <w:tblStyle w:val="15"/>
        <w:tblW w:w="0" w:type="auto"/>
        <w:tblInd w:w="88" w:type="dxa"/>
        <w:tblLayout w:type="fixed"/>
        <w:tblCellMar>
          <w:top w:w="0" w:type="dxa"/>
          <w:left w:w="108" w:type="dxa"/>
          <w:bottom w:w="0" w:type="dxa"/>
          <w:right w:w="108" w:type="dxa"/>
        </w:tblCellMar>
      </w:tblPr>
      <w:tblGrid>
        <w:gridCol w:w="996"/>
        <w:gridCol w:w="30"/>
        <w:gridCol w:w="5671"/>
        <w:gridCol w:w="1139"/>
        <w:gridCol w:w="6180"/>
        <w:gridCol w:w="14"/>
      </w:tblGrid>
      <w:tr w14:paraId="5F12C5E7">
        <w:tblPrEx>
          <w:tblCellMar>
            <w:top w:w="0" w:type="dxa"/>
            <w:left w:w="108" w:type="dxa"/>
            <w:bottom w:w="0" w:type="dxa"/>
            <w:right w:w="108" w:type="dxa"/>
          </w:tblCellMar>
        </w:tblPrEx>
        <w:trPr>
          <w:trHeight w:val="285" w:hRule="atLeast"/>
        </w:trPr>
        <w:tc>
          <w:tcPr>
            <w:tcW w:w="1026" w:type="dxa"/>
            <w:gridSpan w:val="2"/>
            <w:tcBorders>
              <w:top w:val="single" w:color="auto" w:sz="8" w:space="0"/>
              <w:left w:val="single" w:color="auto" w:sz="8" w:space="0"/>
              <w:bottom w:val="single" w:color="auto" w:sz="4" w:space="0"/>
              <w:right w:val="single" w:color="auto" w:sz="4" w:space="0"/>
            </w:tcBorders>
            <w:vAlign w:val="center"/>
          </w:tcPr>
          <w:p w14:paraId="498E95F0">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color="auto" w:sz="8" w:space="0"/>
              <w:left w:val="nil"/>
              <w:bottom w:val="single" w:color="auto" w:sz="4" w:space="0"/>
              <w:right w:val="single" w:color="000000" w:sz="8" w:space="0"/>
            </w:tcBorders>
            <w:vAlign w:val="center"/>
          </w:tcPr>
          <w:p w14:paraId="2159BFA8">
            <w:pPr>
              <w:spacing w:line="320" w:lineRule="exact"/>
              <w:jc w:val="left"/>
              <w:rPr>
                <w:rFonts w:eastAsia="仿宋_GB2312"/>
                <w:b/>
                <w:bCs/>
                <w:color w:val="000000"/>
                <w:kern w:val="0"/>
                <w:sz w:val="18"/>
                <w:szCs w:val="18"/>
              </w:rPr>
            </w:pPr>
            <w:r>
              <w:rPr>
                <w:rFonts w:eastAsia="仿宋_GB2312"/>
                <w:b/>
                <w:bCs/>
                <w:color w:val="000000"/>
                <w:kern w:val="0"/>
                <w:sz w:val="18"/>
                <w:szCs w:val="18"/>
              </w:rPr>
              <w:t>320217659000</w:t>
            </w:r>
          </w:p>
        </w:tc>
      </w:tr>
      <w:tr w14:paraId="4B6AE2E9">
        <w:tblPrEx>
          <w:tblCellMar>
            <w:top w:w="0" w:type="dxa"/>
            <w:left w:w="108" w:type="dxa"/>
            <w:bottom w:w="0" w:type="dxa"/>
            <w:right w:w="108" w:type="dxa"/>
          </w:tblCellMar>
        </w:tblPrEx>
        <w:trPr>
          <w:trHeight w:val="285" w:hRule="atLeast"/>
        </w:trPr>
        <w:tc>
          <w:tcPr>
            <w:tcW w:w="1026" w:type="dxa"/>
            <w:gridSpan w:val="2"/>
            <w:tcBorders>
              <w:top w:val="nil"/>
              <w:left w:val="single" w:color="auto" w:sz="8" w:space="0"/>
              <w:bottom w:val="single" w:color="auto" w:sz="4" w:space="0"/>
              <w:right w:val="single" w:color="auto" w:sz="4" w:space="0"/>
            </w:tcBorders>
            <w:vAlign w:val="center"/>
          </w:tcPr>
          <w:p w14:paraId="54E0F824">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color="auto" w:sz="4" w:space="0"/>
              <w:left w:val="nil"/>
              <w:bottom w:val="single" w:color="auto" w:sz="4" w:space="0"/>
              <w:right w:val="single" w:color="000000" w:sz="8" w:space="0"/>
            </w:tcBorders>
            <w:vAlign w:val="center"/>
          </w:tcPr>
          <w:p w14:paraId="62196BE0">
            <w:pPr>
              <w:spacing w:line="320" w:lineRule="exact"/>
              <w:jc w:val="left"/>
              <w:rPr>
                <w:color w:val="000000"/>
                <w:kern w:val="0"/>
                <w:sz w:val="18"/>
                <w:szCs w:val="18"/>
              </w:rPr>
            </w:pPr>
            <w:r>
              <w:rPr>
                <w:rFonts w:hint="eastAsia"/>
                <w:color w:val="000000"/>
                <w:kern w:val="0"/>
                <w:sz w:val="18"/>
                <w:szCs w:val="18"/>
              </w:rPr>
              <w:t>对供水单位供水水质不符合国家生活饮用水卫生标准的处罚</w:t>
            </w:r>
          </w:p>
        </w:tc>
      </w:tr>
      <w:tr w14:paraId="6F041346">
        <w:tblPrEx>
          <w:tblCellMar>
            <w:top w:w="0" w:type="dxa"/>
            <w:left w:w="108" w:type="dxa"/>
            <w:bottom w:w="0" w:type="dxa"/>
            <w:right w:w="108" w:type="dxa"/>
          </w:tblCellMar>
        </w:tblPrEx>
        <w:trPr>
          <w:trHeight w:val="1590" w:hRule="atLeast"/>
        </w:trPr>
        <w:tc>
          <w:tcPr>
            <w:tcW w:w="1026" w:type="dxa"/>
            <w:gridSpan w:val="2"/>
            <w:tcBorders>
              <w:top w:val="single" w:color="auto" w:sz="4" w:space="0"/>
              <w:left w:val="single" w:color="auto" w:sz="4" w:space="0"/>
              <w:bottom w:val="single" w:color="auto" w:sz="4" w:space="0"/>
              <w:right w:val="single" w:color="auto" w:sz="4" w:space="0"/>
            </w:tcBorders>
            <w:vAlign w:val="center"/>
          </w:tcPr>
          <w:p w14:paraId="1DD5B7FB">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color="auto" w:sz="4" w:space="0"/>
              <w:left w:val="nil"/>
              <w:bottom w:val="single" w:color="auto" w:sz="4" w:space="0"/>
              <w:right w:val="single" w:color="auto" w:sz="4" w:space="0"/>
            </w:tcBorders>
            <w:vAlign w:val="center"/>
          </w:tcPr>
          <w:p w14:paraId="2FEA6D3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【行政法规】《城市供水条例》（1994年7月19日国务院令第158号发布，根据国务院令第698号、国务院令第726号修订）</w:t>
            </w:r>
          </w:p>
          <w:p w14:paraId="364487D7">
            <w:pPr>
              <w:spacing w:line="320" w:lineRule="exact"/>
              <w:jc w:val="left"/>
              <w:rPr>
                <w:color w:val="000000"/>
                <w:kern w:val="0"/>
                <w:sz w:val="18"/>
                <w:szCs w:val="18"/>
              </w:rPr>
            </w:pPr>
            <w:r>
              <w:rPr>
                <w:rFonts w:hint="eastAsia"/>
                <w:color w:val="000000"/>
                <w:kern w:val="0"/>
                <w:sz w:val="18"/>
                <w:szCs w:val="18"/>
              </w:rPr>
              <w:t xml:space="preserve">        第二十条　城市自来水供水企业和自建设施对外供水的企业，应当建立、健全水质检测制度，确保城市供水的水质符合国家规定的饮用水卫生标准。</w:t>
            </w:r>
          </w:p>
          <w:p w14:paraId="51EEC7F8">
            <w:pPr>
              <w:spacing w:line="320" w:lineRule="exact"/>
              <w:jc w:val="left"/>
              <w:rPr>
                <w:color w:val="000000"/>
                <w:kern w:val="0"/>
                <w:sz w:val="18"/>
                <w:szCs w:val="18"/>
              </w:rPr>
            </w:pPr>
            <w:r>
              <w:rPr>
                <w:rFonts w:hint="eastAsia"/>
                <w:color w:val="000000"/>
                <w:kern w:val="0"/>
                <w:sz w:val="18"/>
                <w:szCs w:val="18"/>
              </w:rPr>
              <w:t xml:space="preserve">        第二十一条　城市自来水供水企业和自建设施对外供水的企业，应当按照国家有关规定设置管网测压点，做好水压监测工作，确保供水管网的压力符合国家规定的标准。</w:t>
            </w:r>
          </w:p>
          <w:p w14:paraId="31D8DF52">
            <w:pPr>
              <w:spacing w:line="320" w:lineRule="exact"/>
              <w:jc w:val="left"/>
              <w:rPr>
                <w:color w:val="000000"/>
                <w:kern w:val="0"/>
                <w:sz w:val="18"/>
                <w:szCs w:val="18"/>
              </w:rPr>
            </w:pPr>
            <w:r>
              <w:rPr>
                <w:rFonts w:hint="eastAsia"/>
                <w:color w:val="000000"/>
                <w:kern w:val="0"/>
                <w:sz w:val="18"/>
                <w:szCs w:val="18"/>
              </w:rPr>
              <w:t xml:space="preserve">        禁止在城市公共供水管道上直接装泵抽水。</w:t>
            </w:r>
          </w:p>
          <w:p w14:paraId="103FB9E3">
            <w:pPr>
              <w:spacing w:line="320" w:lineRule="exact"/>
              <w:jc w:val="left"/>
              <w:rPr>
                <w:color w:val="000000"/>
                <w:kern w:val="0"/>
                <w:sz w:val="18"/>
                <w:szCs w:val="18"/>
              </w:rPr>
            </w:pPr>
            <w:r>
              <w:rPr>
                <w:rFonts w:hint="eastAsia"/>
                <w:color w:val="000000"/>
                <w:kern w:val="0"/>
                <w:sz w:val="18"/>
                <w:szCs w:val="18"/>
              </w:rPr>
              <w:t xml:space="preserve">        第三十三条　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14:paraId="5CAFDBFE">
            <w:pPr>
              <w:spacing w:line="320" w:lineRule="exact"/>
              <w:jc w:val="left"/>
              <w:rPr>
                <w:color w:val="000000"/>
                <w:kern w:val="0"/>
                <w:sz w:val="18"/>
                <w:szCs w:val="18"/>
              </w:rPr>
            </w:pPr>
            <w:r>
              <w:rPr>
                <w:rFonts w:hint="eastAsia"/>
                <w:color w:val="000000"/>
                <w:kern w:val="0"/>
                <w:sz w:val="18"/>
                <w:szCs w:val="18"/>
              </w:rPr>
              <w:t xml:space="preserve">      (一)供水水质、水压不符合国家规定标准的；</w:t>
            </w:r>
          </w:p>
          <w:p w14:paraId="18EA8638">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7B1EC2C9">
            <w:pPr>
              <w:spacing w:line="320" w:lineRule="exact"/>
              <w:jc w:val="left"/>
              <w:rPr>
                <w:color w:val="000000"/>
                <w:kern w:val="0"/>
                <w:sz w:val="18"/>
                <w:szCs w:val="18"/>
              </w:rPr>
            </w:pPr>
            <w:r>
              <w:rPr>
                <w:rFonts w:hint="eastAsia"/>
                <w:color w:val="000000"/>
                <w:kern w:val="0"/>
                <w:sz w:val="18"/>
                <w:szCs w:val="18"/>
              </w:rPr>
              <w:t xml:space="preserve">        第四十九条 违反本条例规定，供水单位供水水质不符合国家生活饮用水卫生标准的，由城乡供水主管部门责令改正，处以五万元以上二十万元以下罚款；情节严重的，报经有批准权的人民政府批准，可以责令停业整顿；对直接负责的主管人员和其他直接责任人员依法给予处分。</w:t>
            </w:r>
          </w:p>
        </w:tc>
      </w:tr>
      <w:tr w14:paraId="434B20D2">
        <w:tblPrEx>
          <w:tblCellMar>
            <w:top w:w="0" w:type="dxa"/>
            <w:left w:w="108" w:type="dxa"/>
            <w:bottom w:w="0" w:type="dxa"/>
            <w:right w:w="108" w:type="dxa"/>
          </w:tblCellMar>
        </w:tblPrEx>
        <w:trPr>
          <w:trHeight w:val="285" w:hRule="atLeast"/>
        </w:trPr>
        <w:tc>
          <w:tcPr>
            <w:tcW w:w="1026" w:type="dxa"/>
            <w:gridSpan w:val="2"/>
            <w:tcBorders>
              <w:top w:val="single" w:color="auto" w:sz="4" w:space="0"/>
              <w:left w:val="single" w:color="auto" w:sz="4" w:space="0"/>
              <w:bottom w:val="single" w:color="auto" w:sz="4" w:space="0"/>
              <w:right w:val="single" w:color="auto" w:sz="4" w:space="0"/>
            </w:tcBorders>
            <w:vAlign w:val="center"/>
          </w:tcPr>
          <w:p w14:paraId="50928481">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color="auto" w:sz="4" w:space="0"/>
              <w:left w:val="nil"/>
              <w:bottom w:val="single" w:color="auto" w:sz="4" w:space="0"/>
              <w:right w:val="single" w:color="auto" w:sz="4" w:space="0"/>
            </w:tcBorders>
            <w:vAlign w:val="center"/>
          </w:tcPr>
          <w:p w14:paraId="5A147214">
            <w:pPr>
              <w:spacing w:line="320" w:lineRule="exact"/>
              <w:jc w:val="left"/>
              <w:rPr>
                <w:color w:val="000000"/>
                <w:kern w:val="0"/>
                <w:sz w:val="18"/>
                <w:szCs w:val="18"/>
              </w:rPr>
            </w:pPr>
            <w:r>
              <w:rPr>
                <w:rFonts w:hint="eastAsia"/>
                <w:color w:val="000000"/>
                <w:kern w:val="0"/>
                <w:sz w:val="18"/>
                <w:szCs w:val="18"/>
              </w:rPr>
              <w:t>罚款</w:t>
            </w:r>
          </w:p>
        </w:tc>
      </w:tr>
      <w:tr w14:paraId="40EA2165">
        <w:tblPrEx>
          <w:tblCellMar>
            <w:top w:w="0" w:type="dxa"/>
            <w:left w:w="108" w:type="dxa"/>
            <w:bottom w:w="0" w:type="dxa"/>
            <w:right w:w="108" w:type="dxa"/>
          </w:tblCellMar>
        </w:tblPrEx>
        <w:trPr>
          <w:trHeight w:val="285" w:hRule="atLeast"/>
        </w:trPr>
        <w:tc>
          <w:tcPr>
            <w:tcW w:w="14030" w:type="dxa"/>
            <w:gridSpan w:val="6"/>
            <w:tcBorders>
              <w:top w:val="single" w:color="auto" w:sz="4" w:space="0"/>
              <w:left w:val="single" w:color="auto" w:sz="4" w:space="0"/>
              <w:bottom w:val="single" w:color="auto" w:sz="4" w:space="0"/>
              <w:right w:val="single" w:color="auto" w:sz="4" w:space="0"/>
            </w:tcBorders>
            <w:vAlign w:val="center"/>
          </w:tcPr>
          <w:p w14:paraId="6AA9791B">
            <w:pPr>
              <w:spacing w:line="320" w:lineRule="exact"/>
              <w:jc w:val="center"/>
              <w:rPr>
                <w:color w:val="000000"/>
                <w:kern w:val="0"/>
                <w:sz w:val="18"/>
                <w:szCs w:val="18"/>
              </w:rPr>
            </w:pPr>
            <w:r>
              <w:rPr>
                <w:rFonts w:hint="eastAsia"/>
                <w:color w:val="000000"/>
                <w:kern w:val="0"/>
                <w:sz w:val="18"/>
                <w:szCs w:val="18"/>
              </w:rPr>
              <w:t>裁量基准</w:t>
            </w:r>
          </w:p>
        </w:tc>
      </w:tr>
      <w:tr w14:paraId="06EBAD9A">
        <w:tblPrEx>
          <w:tblCellMar>
            <w:top w:w="0" w:type="dxa"/>
            <w:left w:w="108" w:type="dxa"/>
            <w:bottom w:w="0" w:type="dxa"/>
            <w:right w:w="108" w:type="dxa"/>
          </w:tblCellMar>
        </w:tblPrEx>
        <w:trPr>
          <w:gridAfter w:val="1"/>
          <w:wAfter w:w="14" w:type="dxa"/>
          <w:trHeight w:val="322"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7C3A9BEE">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color="auto" w:sz="4" w:space="0"/>
              <w:left w:val="nil"/>
              <w:bottom w:val="single" w:color="auto" w:sz="4" w:space="0"/>
              <w:right w:val="single" w:color="auto" w:sz="4" w:space="0"/>
            </w:tcBorders>
            <w:vAlign w:val="center"/>
          </w:tcPr>
          <w:p w14:paraId="6367D916">
            <w:pPr>
              <w:spacing w:line="320" w:lineRule="exact"/>
              <w:jc w:val="left"/>
              <w:rPr>
                <w:color w:val="000000"/>
                <w:kern w:val="0"/>
                <w:sz w:val="18"/>
                <w:szCs w:val="18"/>
              </w:rPr>
            </w:pPr>
            <w:r>
              <w:rPr>
                <w:rFonts w:hint="eastAsia"/>
                <w:color w:val="000000"/>
                <w:kern w:val="0"/>
                <w:sz w:val="18"/>
                <w:szCs w:val="18"/>
              </w:rPr>
              <w:t>未造成损失或者水质突发事件的</w:t>
            </w:r>
          </w:p>
        </w:tc>
        <w:tc>
          <w:tcPr>
            <w:tcW w:w="1139" w:type="dxa"/>
            <w:vMerge w:val="restart"/>
            <w:tcBorders>
              <w:top w:val="single" w:color="auto" w:sz="4" w:space="0"/>
              <w:left w:val="single" w:color="auto" w:sz="4" w:space="0"/>
              <w:bottom w:val="single" w:color="auto" w:sz="4" w:space="0"/>
              <w:right w:val="single" w:color="auto" w:sz="4" w:space="0"/>
            </w:tcBorders>
            <w:vAlign w:val="center"/>
          </w:tcPr>
          <w:p w14:paraId="2F7AA51B">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color="auto" w:sz="4" w:space="0"/>
              <w:left w:val="nil"/>
              <w:bottom w:val="single" w:color="auto" w:sz="4" w:space="0"/>
              <w:right w:val="single" w:color="auto" w:sz="4" w:space="0"/>
            </w:tcBorders>
            <w:vAlign w:val="center"/>
          </w:tcPr>
          <w:p w14:paraId="29201D8F">
            <w:pPr>
              <w:spacing w:line="320" w:lineRule="exact"/>
              <w:jc w:val="left"/>
              <w:rPr>
                <w:color w:val="000000"/>
                <w:kern w:val="0"/>
                <w:sz w:val="18"/>
                <w:szCs w:val="18"/>
              </w:rPr>
            </w:pPr>
            <w:r>
              <w:rPr>
                <w:rFonts w:hint="eastAsia"/>
                <w:color w:val="000000"/>
                <w:kern w:val="0"/>
                <w:sz w:val="18"/>
                <w:szCs w:val="18"/>
              </w:rPr>
              <w:t>处5万元以上10万元以下罚款</w:t>
            </w:r>
          </w:p>
        </w:tc>
      </w:tr>
      <w:tr w14:paraId="0A835DBE">
        <w:tblPrEx>
          <w:tblCellMar>
            <w:top w:w="0" w:type="dxa"/>
            <w:left w:w="108" w:type="dxa"/>
            <w:bottom w:w="0" w:type="dxa"/>
            <w:right w:w="108" w:type="dxa"/>
          </w:tblCellMar>
        </w:tblPrEx>
        <w:trPr>
          <w:gridAfter w:val="1"/>
          <w:wAfter w:w="14" w:type="dxa"/>
          <w:trHeight w:val="397"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790830CE">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3A798FCC">
            <w:pPr>
              <w:spacing w:line="320" w:lineRule="exact"/>
              <w:jc w:val="left"/>
              <w:rPr>
                <w:color w:val="000000"/>
                <w:kern w:val="0"/>
                <w:sz w:val="18"/>
                <w:szCs w:val="18"/>
              </w:rPr>
            </w:pPr>
            <w:r>
              <w:rPr>
                <w:rFonts w:hint="eastAsia"/>
                <w:color w:val="000000"/>
                <w:kern w:val="0"/>
                <w:sz w:val="18"/>
                <w:szCs w:val="18"/>
              </w:rPr>
              <w:t>造成城市供水一般或较大突发事件的</w:t>
            </w:r>
          </w:p>
        </w:tc>
        <w:tc>
          <w:tcPr>
            <w:tcW w:w="1139" w:type="dxa"/>
            <w:vMerge w:val="continue"/>
            <w:tcBorders>
              <w:top w:val="single" w:color="auto" w:sz="4" w:space="0"/>
              <w:left w:val="single" w:color="auto" w:sz="4" w:space="0"/>
              <w:bottom w:val="single" w:color="auto" w:sz="4" w:space="0"/>
              <w:right w:val="single" w:color="auto" w:sz="4" w:space="0"/>
            </w:tcBorders>
            <w:vAlign w:val="center"/>
          </w:tcPr>
          <w:p w14:paraId="6CEA16B0">
            <w:pPr>
              <w:spacing w:line="320" w:lineRule="exact"/>
              <w:jc w:val="left"/>
              <w:rPr>
                <w:color w:val="000000"/>
                <w:kern w:val="0"/>
                <w:sz w:val="18"/>
                <w:szCs w:val="18"/>
              </w:rPr>
            </w:pPr>
          </w:p>
        </w:tc>
        <w:tc>
          <w:tcPr>
            <w:tcW w:w="6180" w:type="dxa"/>
            <w:tcBorders>
              <w:top w:val="single" w:color="auto" w:sz="4" w:space="0"/>
              <w:left w:val="nil"/>
              <w:bottom w:val="single" w:color="auto" w:sz="4" w:space="0"/>
              <w:right w:val="single" w:color="auto" w:sz="4" w:space="0"/>
            </w:tcBorders>
            <w:vAlign w:val="center"/>
          </w:tcPr>
          <w:p w14:paraId="4CA39036">
            <w:pPr>
              <w:spacing w:line="320" w:lineRule="exact"/>
              <w:jc w:val="left"/>
              <w:rPr>
                <w:color w:val="000000"/>
                <w:kern w:val="0"/>
                <w:sz w:val="18"/>
                <w:szCs w:val="18"/>
              </w:rPr>
            </w:pPr>
            <w:r>
              <w:rPr>
                <w:rFonts w:hint="eastAsia"/>
                <w:color w:val="000000"/>
                <w:kern w:val="0"/>
                <w:sz w:val="18"/>
                <w:szCs w:val="18"/>
              </w:rPr>
              <w:t>处10万元以上15万元以下罚款</w:t>
            </w:r>
          </w:p>
        </w:tc>
      </w:tr>
      <w:tr w14:paraId="68E657FB">
        <w:tblPrEx>
          <w:tblCellMar>
            <w:top w:w="0" w:type="dxa"/>
            <w:left w:w="108" w:type="dxa"/>
            <w:bottom w:w="0" w:type="dxa"/>
            <w:right w:w="108" w:type="dxa"/>
          </w:tblCellMar>
        </w:tblPrEx>
        <w:trPr>
          <w:gridAfter w:val="1"/>
          <w:wAfter w:w="14" w:type="dxa"/>
          <w:trHeight w:val="418"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2F9AE6C0">
            <w:pPr>
              <w:spacing w:line="320" w:lineRule="exact"/>
              <w:jc w:val="left"/>
              <w:rPr>
                <w:color w:val="000000"/>
                <w:kern w:val="0"/>
                <w:sz w:val="18"/>
                <w:szCs w:val="18"/>
              </w:rPr>
            </w:pPr>
          </w:p>
        </w:tc>
        <w:tc>
          <w:tcPr>
            <w:tcW w:w="5701" w:type="dxa"/>
            <w:gridSpan w:val="2"/>
            <w:tcBorders>
              <w:top w:val="single" w:color="auto" w:sz="4" w:space="0"/>
              <w:left w:val="nil"/>
              <w:bottom w:val="single" w:color="auto" w:sz="4" w:space="0"/>
              <w:right w:val="single" w:color="auto" w:sz="4" w:space="0"/>
            </w:tcBorders>
            <w:vAlign w:val="center"/>
          </w:tcPr>
          <w:p w14:paraId="7A589B91">
            <w:pPr>
              <w:spacing w:line="320" w:lineRule="exact"/>
              <w:jc w:val="left"/>
              <w:rPr>
                <w:color w:val="000000"/>
                <w:kern w:val="0"/>
                <w:sz w:val="18"/>
                <w:szCs w:val="18"/>
              </w:rPr>
            </w:pPr>
            <w:r>
              <w:rPr>
                <w:rFonts w:hint="eastAsia"/>
                <w:color w:val="000000"/>
                <w:kern w:val="0"/>
                <w:sz w:val="18"/>
                <w:szCs w:val="18"/>
              </w:rPr>
              <w:t>造成城市供水重大或者特别重大突发事件的</w:t>
            </w:r>
          </w:p>
        </w:tc>
        <w:tc>
          <w:tcPr>
            <w:tcW w:w="1139" w:type="dxa"/>
            <w:vMerge w:val="continue"/>
            <w:tcBorders>
              <w:top w:val="single" w:color="auto" w:sz="4" w:space="0"/>
              <w:left w:val="single" w:color="auto" w:sz="4" w:space="0"/>
              <w:bottom w:val="single" w:color="auto" w:sz="4" w:space="0"/>
              <w:right w:val="single" w:color="auto" w:sz="4" w:space="0"/>
            </w:tcBorders>
            <w:vAlign w:val="center"/>
          </w:tcPr>
          <w:p w14:paraId="7EA27CA7">
            <w:pPr>
              <w:spacing w:line="320" w:lineRule="exact"/>
              <w:jc w:val="left"/>
              <w:rPr>
                <w:color w:val="000000"/>
                <w:kern w:val="0"/>
                <w:sz w:val="18"/>
                <w:szCs w:val="18"/>
              </w:rPr>
            </w:pPr>
          </w:p>
        </w:tc>
        <w:tc>
          <w:tcPr>
            <w:tcW w:w="6180" w:type="dxa"/>
            <w:tcBorders>
              <w:top w:val="single" w:color="auto" w:sz="4" w:space="0"/>
              <w:left w:val="nil"/>
              <w:bottom w:val="single" w:color="auto" w:sz="4" w:space="0"/>
              <w:right w:val="single" w:color="auto" w:sz="4" w:space="0"/>
            </w:tcBorders>
            <w:vAlign w:val="center"/>
          </w:tcPr>
          <w:p w14:paraId="55F76C0B">
            <w:pPr>
              <w:spacing w:line="320" w:lineRule="exact"/>
              <w:jc w:val="left"/>
              <w:rPr>
                <w:color w:val="000000"/>
                <w:kern w:val="0"/>
                <w:sz w:val="18"/>
                <w:szCs w:val="18"/>
              </w:rPr>
            </w:pPr>
            <w:r>
              <w:rPr>
                <w:rFonts w:hint="eastAsia"/>
                <w:color w:val="000000"/>
                <w:kern w:val="0"/>
                <w:sz w:val="18"/>
                <w:szCs w:val="18"/>
              </w:rPr>
              <w:t>处15万元以上20万元以下罚款</w:t>
            </w:r>
          </w:p>
        </w:tc>
      </w:tr>
    </w:tbl>
    <w:p w14:paraId="084C2DBB"/>
    <w:p w14:paraId="310C69C8"/>
    <w:p w14:paraId="57F04FEF"/>
    <w:p w14:paraId="1501F8BA"/>
    <w:p w14:paraId="6086FA7F"/>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6C4B1236">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9D3FF0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5ED309A8">
            <w:pPr>
              <w:spacing w:line="320" w:lineRule="exact"/>
              <w:jc w:val="left"/>
              <w:rPr>
                <w:rFonts w:eastAsia="仿宋_GB2312"/>
                <w:b/>
                <w:color w:val="000000"/>
                <w:sz w:val="20"/>
              </w:rPr>
            </w:pPr>
            <w:r>
              <w:rPr>
                <w:rFonts w:eastAsia="仿宋_GB2312"/>
                <w:b/>
                <w:color w:val="000000"/>
                <w:sz w:val="20"/>
              </w:rPr>
              <w:t>320217660000</w:t>
            </w:r>
            <w:r>
              <w:rPr>
                <w:rFonts w:hint="eastAsia" w:eastAsia="仿宋_GB2312"/>
                <w:b/>
                <w:color w:val="000000"/>
                <w:sz w:val="20"/>
              </w:rPr>
              <w:t xml:space="preserve"> </w:t>
            </w:r>
          </w:p>
        </w:tc>
      </w:tr>
      <w:tr w14:paraId="57183EBE">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658EBBC">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5BD93D7A">
            <w:pPr>
              <w:spacing w:line="320" w:lineRule="exact"/>
              <w:jc w:val="left"/>
              <w:rPr>
                <w:color w:val="000000"/>
                <w:kern w:val="0"/>
                <w:sz w:val="18"/>
                <w:szCs w:val="18"/>
              </w:rPr>
            </w:pPr>
            <w:r>
              <w:rPr>
                <w:rFonts w:hint="eastAsia"/>
                <w:color w:val="000000"/>
                <w:kern w:val="0"/>
                <w:sz w:val="18"/>
                <w:szCs w:val="18"/>
              </w:rPr>
              <w:t>对未在城市道路施工现场设置明显标志和安全防围设施的处罚</w:t>
            </w:r>
          </w:p>
        </w:tc>
      </w:tr>
      <w:tr w14:paraId="12D4ACFA">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2AB1500A">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162CE803">
            <w:pPr>
              <w:spacing w:line="320" w:lineRule="exact"/>
              <w:jc w:val="left"/>
              <w:rPr>
                <w:color w:val="000000"/>
                <w:kern w:val="0"/>
                <w:sz w:val="18"/>
                <w:szCs w:val="18"/>
              </w:rPr>
            </w:pPr>
            <w:r>
              <w:rPr>
                <w:rFonts w:hint="eastAsia"/>
                <w:kern w:val="0"/>
                <w:sz w:val="18"/>
                <w:szCs w:val="18"/>
              </w:rPr>
              <w:t>【行政法规】《城市道路管理条例》（国务院令第</w:t>
            </w:r>
            <w:r>
              <w:rPr>
                <w:kern w:val="0"/>
                <w:sz w:val="18"/>
                <w:szCs w:val="18"/>
              </w:rPr>
              <w:t>198</w:t>
            </w:r>
            <w:r>
              <w:rPr>
                <w:rFonts w:hint="eastAsia"/>
                <w:kern w:val="0"/>
                <w:sz w:val="18"/>
                <w:szCs w:val="18"/>
              </w:rPr>
              <w:t>号）</w:t>
            </w:r>
            <w:r>
              <w:rPr>
                <w:kern w:val="0"/>
                <w:sz w:val="18"/>
                <w:szCs w:val="18"/>
              </w:rPr>
              <w:t xml:space="preserve"> </w:t>
            </w:r>
            <w:r>
              <w:rPr>
                <w:kern w:val="0"/>
                <w:sz w:val="18"/>
                <w:szCs w:val="18"/>
              </w:rPr>
              <w:br w:type="textWrapping"/>
            </w:r>
            <w:r>
              <w:rPr>
                <w:rFonts w:hint="eastAsia"/>
                <w:kern w:val="0"/>
                <w:sz w:val="18"/>
                <w:szCs w:val="18"/>
              </w:rPr>
              <w:t>第二十四条</w:t>
            </w:r>
            <w:r>
              <w:rPr>
                <w:kern w:val="0"/>
                <w:sz w:val="18"/>
                <w:szCs w:val="18"/>
              </w:rPr>
              <w:t xml:space="preserve">  </w:t>
            </w:r>
            <w:r>
              <w:rPr>
                <w:rFonts w:hint="eastAsia"/>
                <w:kern w:val="0"/>
                <w:sz w:val="18"/>
                <w:szCs w:val="18"/>
              </w:rPr>
              <w:t>城市道路的养护、维修工程应当按照规定的期限修复竣工，并在养护、维修工程施工现场设置明显标志和安全防围设施，保障行人和交通车辆安全。</w:t>
            </w:r>
            <w:r>
              <w:rPr>
                <w:kern w:val="0"/>
                <w:sz w:val="18"/>
                <w:szCs w:val="18"/>
              </w:rPr>
              <w:br w:type="textWrapping"/>
            </w:r>
            <w:r>
              <w:rPr>
                <w:rFonts w:hint="eastAsia"/>
                <w:kern w:val="0"/>
                <w:sz w:val="18"/>
                <w:szCs w:val="18"/>
              </w:rPr>
              <w:t>第三十五条</w:t>
            </w:r>
            <w:r>
              <w:rPr>
                <w:kern w:val="0"/>
                <w:sz w:val="18"/>
                <w:szCs w:val="18"/>
              </w:rPr>
              <w:t xml:space="preserve">  </w:t>
            </w:r>
            <w:r>
              <w:rPr>
                <w:rFonts w:hint="eastAsia"/>
                <w:kern w:val="0"/>
                <w:sz w:val="18"/>
                <w:szCs w:val="18"/>
              </w:rPr>
              <w:t>经批准挖掘城市道路的，应当在施工现场设置明显标志和安全防围设施；竣工后，应当及时清理现场，通知市政工程行政主管部门检查验收。</w:t>
            </w:r>
            <w:r>
              <w:rPr>
                <w:kern w:val="0"/>
                <w:sz w:val="18"/>
                <w:szCs w:val="18"/>
              </w:rPr>
              <w:br w:type="textWrapping"/>
            </w:r>
            <w:r>
              <w:rPr>
                <w:rFonts w:hint="eastAsia"/>
                <w:kern w:val="0"/>
                <w:sz w:val="18"/>
                <w:szCs w:val="18"/>
              </w:rPr>
              <w:t>第四十二条</w:t>
            </w:r>
            <w:r>
              <w:rPr>
                <w:kern w:val="0"/>
                <w:sz w:val="18"/>
                <w:szCs w:val="18"/>
              </w:rPr>
              <w:t xml:space="preserve">  </w:t>
            </w:r>
            <w:r>
              <w:rPr>
                <w:rFonts w:hint="eastAsia"/>
                <w:kern w:val="0"/>
                <w:sz w:val="18"/>
                <w:szCs w:val="18"/>
              </w:rPr>
              <w:t>违反本条例第二十七条规定，或者有下列行为之一的，由市政工程行政主管部门或者其他有关部门责令限期改正，可以处以二万元以下的罚款；造成损失的，应当依法承担赔偿责任：</w:t>
            </w:r>
            <w:r>
              <w:rPr>
                <w:kern w:val="0"/>
                <w:sz w:val="18"/>
                <w:szCs w:val="18"/>
              </w:rPr>
              <w:br w:type="textWrapping"/>
            </w:r>
            <w:r>
              <w:rPr>
                <w:kern w:val="0"/>
                <w:sz w:val="18"/>
                <w:szCs w:val="18"/>
              </w:rPr>
              <w:t xml:space="preserve">   </w:t>
            </w:r>
            <w:r>
              <w:rPr>
                <w:rFonts w:hint="eastAsia"/>
                <w:kern w:val="0"/>
                <w:sz w:val="18"/>
                <w:szCs w:val="18"/>
              </w:rPr>
              <w:t>（二）未在城市道路施工现场设置明显标志和安全防围设施的；</w:t>
            </w:r>
          </w:p>
        </w:tc>
      </w:tr>
      <w:tr w14:paraId="5E5F352B">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1BF41BE">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16F6ECE4">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14:paraId="545B8F60">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3D06FC8D">
            <w:pPr>
              <w:spacing w:line="320" w:lineRule="exact"/>
              <w:jc w:val="center"/>
              <w:rPr>
                <w:color w:val="000000"/>
                <w:kern w:val="0"/>
                <w:sz w:val="18"/>
                <w:szCs w:val="18"/>
              </w:rPr>
            </w:pPr>
            <w:r>
              <w:rPr>
                <w:rFonts w:hint="eastAsia"/>
                <w:color w:val="000000"/>
                <w:kern w:val="0"/>
                <w:sz w:val="18"/>
                <w:szCs w:val="18"/>
              </w:rPr>
              <w:t>裁量基准</w:t>
            </w:r>
          </w:p>
        </w:tc>
      </w:tr>
      <w:tr w14:paraId="12284D59">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17188E8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ADFB860">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color="auto" w:sz="4" w:space="0"/>
              <w:right w:val="single" w:color="auto" w:sz="4" w:space="0"/>
            </w:tcBorders>
            <w:vAlign w:val="center"/>
          </w:tcPr>
          <w:p w14:paraId="7F5F1E00">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C8E8E72">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元以下罚款</w:t>
            </w:r>
          </w:p>
        </w:tc>
      </w:tr>
      <w:tr w14:paraId="00289AFA">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right w:val="single" w:color="auto" w:sz="4" w:space="0"/>
            </w:tcBorders>
            <w:vAlign w:val="center"/>
          </w:tcPr>
          <w:p w14:paraId="2CF3686D">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1E3C89A">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top w:val="nil"/>
              <w:left w:val="single" w:color="auto" w:sz="4" w:space="0"/>
              <w:right w:val="single" w:color="auto" w:sz="4" w:space="0"/>
            </w:tcBorders>
            <w:vAlign w:val="center"/>
          </w:tcPr>
          <w:p w14:paraId="2B01A51B">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5857AC5">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元以上5000元以下罚款</w:t>
            </w:r>
          </w:p>
        </w:tc>
      </w:tr>
      <w:tr w14:paraId="36C73A79">
        <w:tblPrEx>
          <w:tblCellMar>
            <w:top w:w="0" w:type="dxa"/>
            <w:left w:w="108" w:type="dxa"/>
            <w:bottom w:w="0" w:type="dxa"/>
            <w:right w:w="108" w:type="dxa"/>
          </w:tblCellMar>
        </w:tblPrEx>
        <w:trPr>
          <w:trHeight w:val="330" w:hRule="atLeast"/>
        </w:trPr>
        <w:tc>
          <w:tcPr>
            <w:tcW w:w="1070" w:type="dxa"/>
            <w:vMerge w:val="continue"/>
            <w:tcBorders>
              <w:left w:val="single" w:color="auto" w:sz="8" w:space="0"/>
              <w:right w:val="single" w:color="auto" w:sz="4" w:space="0"/>
            </w:tcBorders>
            <w:vAlign w:val="center"/>
          </w:tcPr>
          <w:p w14:paraId="41E06092">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E37870A">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continue"/>
            <w:tcBorders>
              <w:left w:val="single" w:color="auto" w:sz="4" w:space="0"/>
              <w:right w:val="single" w:color="auto" w:sz="4" w:space="0"/>
            </w:tcBorders>
            <w:vAlign w:val="center"/>
          </w:tcPr>
          <w:p w14:paraId="60DD48D0">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5BF7CD2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332301A">
        <w:tblPrEx>
          <w:tblCellMar>
            <w:top w:w="0" w:type="dxa"/>
            <w:left w:w="108" w:type="dxa"/>
            <w:bottom w:w="0" w:type="dxa"/>
            <w:right w:w="108" w:type="dxa"/>
          </w:tblCellMar>
        </w:tblPrEx>
        <w:trPr>
          <w:trHeight w:val="295" w:hRule="atLeast"/>
        </w:trPr>
        <w:tc>
          <w:tcPr>
            <w:tcW w:w="1070" w:type="dxa"/>
            <w:vMerge w:val="continue"/>
            <w:tcBorders>
              <w:left w:val="single" w:color="auto" w:sz="8" w:space="0"/>
              <w:bottom w:val="single" w:color="auto" w:sz="4" w:space="0"/>
              <w:right w:val="single" w:color="auto" w:sz="4" w:space="0"/>
            </w:tcBorders>
            <w:vAlign w:val="center"/>
          </w:tcPr>
          <w:p w14:paraId="31FD8689">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A0AD61B">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21D747B2">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56131E5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09134370"/>
    <w:p w14:paraId="0BCCAB30"/>
    <w:p w14:paraId="23F22EF8"/>
    <w:p w14:paraId="22F9ED29"/>
    <w:p w14:paraId="27F627E5"/>
    <w:p w14:paraId="00124255"/>
    <w:p w14:paraId="0BCFDC29"/>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387EA215">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6D5EEFA4">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1C6C642E">
            <w:pPr>
              <w:spacing w:line="320" w:lineRule="exact"/>
              <w:jc w:val="left"/>
              <w:rPr>
                <w:b/>
                <w:color w:val="000000"/>
                <w:kern w:val="0"/>
                <w:sz w:val="18"/>
                <w:szCs w:val="18"/>
              </w:rPr>
            </w:pPr>
            <w:r>
              <w:rPr>
                <w:b/>
                <w:color w:val="000000"/>
                <w:kern w:val="0"/>
                <w:sz w:val="18"/>
                <w:szCs w:val="18"/>
              </w:rPr>
              <w:t>320217661000</w:t>
            </w:r>
            <w:r>
              <w:rPr>
                <w:rFonts w:hint="eastAsia"/>
                <w:b/>
                <w:color w:val="000000"/>
                <w:kern w:val="0"/>
                <w:sz w:val="18"/>
                <w:szCs w:val="18"/>
              </w:rPr>
              <w:t xml:space="preserve"> </w:t>
            </w:r>
          </w:p>
        </w:tc>
      </w:tr>
      <w:tr w14:paraId="0F740DCE">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23B4920">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57835718">
            <w:pPr>
              <w:spacing w:line="320" w:lineRule="exact"/>
              <w:jc w:val="left"/>
              <w:rPr>
                <w:color w:val="000000"/>
                <w:kern w:val="0"/>
                <w:sz w:val="18"/>
                <w:szCs w:val="18"/>
              </w:rPr>
            </w:pPr>
            <w:r>
              <w:rPr>
                <w:rFonts w:hint="eastAsia"/>
                <w:color w:val="000000"/>
                <w:kern w:val="0"/>
                <w:sz w:val="18"/>
                <w:szCs w:val="18"/>
              </w:rPr>
              <w:t>对未对设在城市道路上的各种管线的检查井、箱盖或者城市道路附属设施的缺损及时补缺或者修复的处罚</w:t>
            </w:r>
          </w:p>
        </w:tc>
      </w:tr>
      <w:tr w14:paraId="3BFF2AFE">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6D76251C">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7C84D1EA">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p>
          <w:p w14:paraId="5BCAF158">
            <w:pPr>
              <w:spacing w:line="32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设在城市道路上的各类管线的检查井、箱盖或者城市道路附属设施，应当符合城市道路养护规范。因缺损影响交通和安全时，有关产权单位应当及时补缺或者修复。</w:t>
            </w:r>
            <w:r>
              <w:rPr>
                <w:color w:val="000000"/>
                <w:kern w:val="0"/>
                <w:sz w:val="18"/>
                <w:szCs w:val="18"/>
              </w:rPr>
              <w:t xml:space="preserve"> </w:t>
            </w:r>
          </w:p>
          <w:p w14:paraId="38E2CC95">
            <w:pPr>
              <w:spacing w:line="320" w:lineRule="exact"/>
              <w:jc w:val="left"/>
              <w:rPr>
                <w:color w:val="000000"/>
                <w:kern w:val="0"/>
                <w:sz w:val="18"/>
                <w:szCs w:val="18"/>
              </w:rPr>
            </w:pPr>
            <w:r>
              <w:rPr>
                <w:rFonts w:hint="eastAsia"/>
                <w:color w:val="000000"/>
                <w:kern w:val="0"/>
                <w:sz w:val="18"/>
                <w:szCs w:val="18"/>
              </w:rPr>
              <w:t>　　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p w14:paraId="57261C4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（一）未对设在城市道路上的各种管线的检查井、</w:t>
            </w:r>
            <w:r>
              <w:rPr>
                <w:color w:val="000000"/>
                <w:kern w:val="0"/>
                <w:sz w:val="18"/>
                <w:szCs w:val="18"/>
              </w:rPr>
              <w:t xml:space="preserve"> </w:t>
            </w:r>
            <w:r>
              <w:rPr>
                <w:rFonts w:hint="eastAsia"/>
                <w:color w:val="000000"/>
                <w:kern w:val="0"/>
                <w:sz w:val="18"/>
                <w:szCs w:val="18"/>
              </w:rPr>
              <w:t>箱盖或者城市道路附属设施的缺损及时补缺或者修复的；</w:t>
            </w:r>
          </w:p>
        </w:tc>
      </w:tr>
      <w:tr w14:paraId="432CA4CA">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0CDF495">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78D347F6">
            <w:pPr>
              <w:spacing w:line="320" w:lineRule="exact"/>
              <w:jc w:val="left"/>
              <w:rPr>
                <w:color w:val="000000"/>
                <w:kern w:val="0"/>
                <w:sz w:val="18"/>
                <w:szCs w:val="18"/>
              </w:rPr>
            </w:pPr>
            <w:r>
              <w:rPr>
                <w:rFonts w:hint="eastAsia"/>
                <w:color w:val="000000"/>
                <w:kern w:val="0"/>
                <w:sz w:val="18"/>
                <w:szCs w:val="18"/>
              </w:rPr>
              <w:t>罚款</w:t>
            </w:r>
          </w:p>
        </w:tc>
      </w:tr>
      <w:tr w14:paraId="00100EDA">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66F6C90">
            <w:pPr>
              <w:spacing w:line="320" w:lineRule="exact"/>
              <w:jc w:val="center"/>
              <w:rPr>
                <w:color w:val="000000"/>
                <w:kern w:val="0"/>
                <w:sz w:val="18"/>
                <w:szCs w:val="18"/>
              </w:rPr>
            </w:pPr>
            <w:r>
              <w:rPr>
                <w:rFonts w:hint="eastAsia"/>
                <w:color w:val="000000"/>
                <w:kern w:val="0"/>
                <w:sz w:val="18"/>
                <w:szCs w:val="18"/>
              </w:rPr>
              <w:t>裁量基准</w:t>
            </w:r>
          </w:p>
        </w:tc>
      </w:tr>
      <w:tr w14:paraId="7579363E">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1395AC7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C5D12C4">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color="auto" w:sz="4" w:space="0"/>
              <w:right w:val="single" w:color="auto" w:sz="4" w:space="0"/>
            </w:tcBorders>
            <w:vAlign w:val="center"/>
          </w:tcPr>
          <w:p w14:paraId="4BAE9F06">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522AF062">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元以下罚款</w:t>
            </w:r>
          </w:p>
        </w:tc>
      </w:tr>
      <w:tr w14:paraId="0F2167F5">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right w:val="single" w:color="auto" w:sz="4" w:space="0"/>
            </w:tcBorders>
            <w:vAlign w:val="center"/>
          </w:tcPr>
          <w:p w14:paraId="56CDDC91">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4F7CECF">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top w:val="nil"/>
              <w:left w:val="single" w:color="auto" w:sz="4" w:space="0"/>
              <w:right w:val="single" w:color="auto" w:sz="4" w:space="0"/>
            </w:tcBorders>
            <w:vAlign w:val="center"/>
          </w:tcPr>
          <w:p w14:paraId="504E7459">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037DB1C">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元以上5000元以下罚款</w:t>
            </w:r>
          </w:p>
        </w:tc>
      </w:tr>
      <w:tr w14:paraId="7F4B4FE5">
        <w:tblPrEx>
          <w:tblCellMar>
            <w:top w:w="0" w:type="dxa"/>
            <w:left w:w="108" w:type="dxa"/>
            <w:bottom w:w="0" w:type="dxa"/>
            <w:right w:w="108" w:type="dxa"/>
          </w:tblCellMar>
        </w:tblPrEx>
        <w:trPr>
          <w:trHeight w:val="330" w:hRule="atLeast"/>
        </w:trPr>
        <w:tc>
          <w:tcPr>
            <w:tcW w:w="1070" w:type="dxa"/>
            <w:vMerge w:val="continue"/>
            <w:tcBorders>
              <w:left w:val="single" w:color="auto" w:sz="8" w:space="0"/>
              <w:right w:val="single" w:color="auto" w:sz="4" w:space="0"/>
            </w:tcBorders>
            <w:vAlign w:val="center"/>
          </w:tcPr>
          <w:p w14:paraId="10C2AA5A">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9D5617A">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continue"/>
            <w:tcBorders>
              <w:left w:val="single" w:color="auto" w:sz="4" w:space="0"/>
              <w:right w:val="single" w:color="auto" w:sz="4" w:space="0"/>
            </w:tcBorders>
            <w:vAlign w:val="center"/>
          </w:tcPr>
          <w:p w14:paraId="143D7C79">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DEAA35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77A7A6A3">
        <w:tblPrEx>
          <w:tblCellMar>
            <w:top w:w="0" w:type="dxa"/>
            <w:left w:w="108" w:type="dxa"/>
            <w:bottom w:w="0" w:type="dxa"/>
            <w:right w:w="108" w:type="dxa"/>
          </w:tblCellMar>
        </w:tblPrEx>
        <w:trPr>
          <w:trHeight w:val="295" w:hRule="atLeast"/>
        </w:trPr>
        <w:tc>
          <w:tcPr>
            <w:tcW w:w="1070" w:type="dxa"/>
            <w:vMerge w:val="continue"/>
            <w:tcBorders>
              <w:left w:val="single" w:color="auto" w:sz="8" w:space="0"/>
              <w:bottom w:val="single" w:color="auto" w:sz="4" w:space="0"/>
              <w:right w:val="single" w:color="auto" w:sz="4" w:space="0"/>
            </w:tcBorders>
            <w:vAlign w:val="center"/>
          </w:tcPr>
          <w:p w14:paraId="3DD112EC">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0335729">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76986372">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5D503A9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4A504D80"/>
    <w:p w14:paraId="0A8301C4"/>
    <w:p w14:paraId="1F6635B9"/>
    <w:p w14:paraId="4575D44E"/>
    <w:p w14:paraId="2E8E3AEF"/>
    <w:p w14:paraId="0D0AE4C7"/>
    <w:p w14:paraId="1CA1A8D3"/>
    <w:p w14:paraId="3281C570"/>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0FFBCA64">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57AE355C">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57ADABF2">
            <w:pPr>
              <w:spacing w:line="320" w:lineRule="exact"/>
              <w:jc w:val="left"/>
              <w:rPr>
                <w:b/>
                <w:color w:val="000000"/>
                <w:kern w:val="0"/>
                <w:sz w:val="18"/>
                <w:szCs w:val="18"/>
              </w:rPr>
            </w:pPr>
            <w:r>
              <w:rPr>
                <w:b/>
                <w:color w:val="000000"/>
                <w:kern w:val="0"/>
                <w:sz w:val="18"/>
                <w:szCs w:val="18"/>
              </w:rPr>
              <w:t>320217662000</w:t>
            </w:r>
            <w:r>
              <w:rPr>
                <w:rFonts w:hint="eastAsia"/>
                <w:b/>
                <w:color w:val="000000"/>
                <w:kern w:val="0"/>
                <w:sz w:val="18"/>
                <w:szCs w:val="18"/>
              </w:rPr>
              <w:t xml:space="preserve"> </w:t>
            </w:r>
          </w:p>
        </w:tc>
      </w:tr>
      <w:tr w14:paraId="38B0D8D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97023AC">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4EEEC875">
            <w:pPr>
              <w:spacing w:line="320" w:lineRule="exact"/>
              <w:jc w:val="left"/>
              <w:rPr>
                <w:color w:val="000000"/>
                <w:kern w:val="0"/>
                <w:sz w:val="18"/>
                <w:szCs w:val="18"/>
              </w:rPr>
            </w:pPr>
            <w:r>
              <w:rPr>
                <w:rFonts w:hint="eastAsia"/>
                <w:color w:val="000000"/>
                <w:kern w:val="0"/>
                <w:sz w:val="18"/>
                <w:szCs w:val="18"/>
              </w:rPr>
              <w:t>对其他损害、侵占城市道路行为的处罚</w:t>
            </w:r>
          </w:p>
        </w:tc>
      </w:tr>
      <w:tr w14:paraId="504DA633">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14230B17">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0AF65BC4">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第二十七条</w:t>
            </w:r>
            <w:r>
              <w:rPr>
                <w:color w:val="000000"/>
                <w:kern w:val="0"/>
                <w:sz w:val="18"/>
                <w:szCs w:val="18"/>
              </w:rPr>
              <w:t xml:space="preserve"> </w:t>
            </w:r>
            <w:r>
              <w:rPr>
                <w:rFonts w:hint="eastAsia"/>
                <w:color w:val="000000"/>
                <w:kern w:val="0"/>
                <w:sz w:val="18"/>
                <w:szCs w:val="18"/>
              </w:rPr>
              <w:t>城市道路范围内禁止下列行为：</w:t>
            </w:r>
            <w:r>
              <w:rPr>
                <w:color w:val="000000"/>
                <w:kern w:val="0"/>
                <w:sz w:val="18"/>
                <w:szCs w:val="18"/>
              </w:rPr>
              <w:br w:type="textWrapping"/>
            </w:r>
            <w:r>
              <w:rPr>
                <w:rFonts w:hint="eastAsia"/>
                <w:color w:val="000000"/>
                <w:kern w:val="0"/>
                <w:sz w:val="18"/>
                <w:szCs w:val="18"/>
              </w:rPr>
              <w:t>（七）其他损害、侵占城市道路行为</w:t>
            </w:r>
            <w:r>
              <w:rPr>
                <w:color w:val="000000"/>
                <w:kern w:val="0"/>
                <w:sz w:val="18"/>
                <w:szCs w:val="18"/>
              </w:rPr>
              <w:br w:type="textWrapping"/>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14:paraId="679DFBE7">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76B3DE7">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72A10928">
            <w:pPr>
              <w:spacing w:line="320" w:lineRule="exact"/>
              <w:jc w:val="left"/>
              <w:rPr>
                <w:color w:val="000000"/>
                <w:kern w:val="0"/>
                <w:sz w:val="18"/>
                <w:szCs w:val="18"/>
              </w:rPr>
            </w:pPr>
            <w:r>
              <w:rPr>
                <w:rFonts w:hint="eastAsia"/>
                <w:color w:val="000000"/>
                <w:kern w:val="0"/>
                <w:sz w:val="18"/>
                <w:szCs w:val="18"/>
              </w:rPr>
              <w:t>罚款</w:t>
            </w:r>
          </w:p>
        </w:tc>
      </w:tr>
      <w:tr w14:paraId="01084D61">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12176C39">
            <w:pPr>
              <w:spacing w:line="320" w:lineRule="exact"/>
              <w:jc w:val="center"/>
              <w:rPr>
                <w:color w:val="000000"/>
                <w:kern w:val="0"/>
                <w:sz w:val="18"/>
                <w:szCs w:val="18"/>
              </w:rPr>
            </w:pPr>
            <w:r>
              <w:rPr>
                <w:rFonts w:hint="eastAsia"/>
                <w:color w:val="000000"/>
                <w:kern w:val="0"/>
                <w:sz w:val="18"/>
                <w:szCs w:val="18"/>
              </w:rPr>
              <w:t>裁量基准</w:t>
            </w:r>
          </w:p>
        </w:tc>
      </w:tr>
      <w:tr w14:paraId="014A941F">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3C36182B">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2E0891C">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color="auto" w:sz="4" w:space="0"/>
              <w:right w:val="single" w:color="auto" w:sz="4" w:space="0"/>
            </w:tcBorders>
            <w:vAlign w:val="center"/>
          </w:tcPr>
          <w:p w14:paraId="4D1B107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64C31FBC">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元以下罚款</w:t>
            </w:r>
          </w:p>
        </w:tc>
      </w:tr>
      <w:tr w14:paraId="51A4D404">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right w:val="single" w:color="auto" w:sz="4" w:space="0"/>
            </w:tcBorders>
            <w:vAlign w:val="center"/>
          </w:tcPr>
          <w:p w14:paraId="77272D7F">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FC86E41">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top w:val="nil"/>
              <w:left w:val="single" w:color="auto" w:sz="4" w:space="0"/>
              <w:right w:val="single" w:color="auto" w:sz="4" w:space="0"/>
            </w:tcBorders>
            <w:vAlign w:val="center"/>
          </w:tcPr>
          <w:p w14:paraId="5F7118E7">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A02EA44">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元以上5000元以下罚款</w:t>
            </w:r>
          </w:p>
        </w:tc>
      </w:tr>
      <w:tr w14:paraId="32DBCC5A">
        <w:tblPrEx>
          <w:tblCellMar>
            <w:top w:w="0" w:type="dxa"/>
            <w:left w:w="108" w:type="dxa"/>
            <w:bottom w:w="0" w:type="dxa"/>
            <w:right w:w="108" w:type="dxa"/>
          </w:tblCellMar>
        </w:tblPrEx>
        <w:trPr>
          <w:trHeight w:val="330" w:hRule="atLeast"/>
        </w:trPr>
        <w:tc>
          <w:tcPr>
            <w:tcW w:w="1070" w:type="dxa"/>
            <w:vMerge w:val="continue"/>
            <w:tcBorders>
              <w:left w:val="single" w:color="auto" w:sz="8" w:space="0"/>
              <w:right w:val="single" w:color="auto" w:sz="4" w:space="0"/>
            </w:tcBorders>
            <w:vAlign w:val="center"/>
          </w:tcPr>
          <w:p w14:paraId="4FDB31AF">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690915B">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continue"/>
            <w:tcBorders>
              <w:left w:val="single" w:color="auto" w:sz="4" w:space="0"/>
              <w:right w:val="single" w:color="auto" w:sz="4" w:space="0"/>
            </w:tcBorders>
            <w:vAlign w:val="center"/>
          </w:tcPr>
          <w:p w14:paraId="3CD543CA">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ADC018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764CF742">
        <w:tblPrEx>
          <w:tblCellMar>
            <w:top w:w="0" w:type="dxa"/>
            <w:left w:w="108" w:type="dxa"/>
            <w:bottom w:w="0" w:type="dxa"/>
            <w:right w:w="108" w:type="dxa"/>
          </w:tblCellMar>
        </w:tblPrEx>
        <w:trPr>
          <w:trHeight w:val="295" w:hRule="atLeast"/>
        </w:trPr>
        <w:tc>
          <w:tcPr>
            <w:tcW w:w="1070" w:type="dxa"/>
            <w:vMerge w:val="continue"/>
            <w:tcBorders>
              <w:left w:val="single" w:color="auto" w:sz="8" w:space="0"/>
              <w:bottom w:val="single" w:color="auto" w:sz="4" w:space="0"/>
              <w:right w:val="single" w:color="auto" w:sz="4" w:space="0"/>
            </w:tcBorders>
            <w:vAlign w:val="center"/>
          </w:tcPr>
          <w:p w14:paraId="5404781B">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0BFDE87">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04CA04B5">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63FEE8C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545C990E"/>
    <w:p w14:paraId="37C8F612"/>
    <w:p w14:paraId="4CB45D80"/>
    <w:p w14:paraId="680F3940"/>
    <w:p w14:paraId="56EB8677"/>
    <w:p w14:paraId="0BCBA3DE"/>
    <w:p w14:paraId="2C7534BA"/>
    <w:p w14:paraId="29B5015B"/>
    <w:p w14:paraId="59EB1C07"/>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3BDE6D01">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37EB22B8">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7DAE2555">
            <w:pPr>
              <w:spacing w:line="320" w:lineRule="exact"/>
              <w:jc w:val="left"/>
              <w:rPr>
                <w:b/>
                <w:color w:val="000000"/>
                <w:kern w:val="0"/>
                <w:sz w:val="18"/>
                <w:szCs w:val="18"/>
              </w:rPr>
            </w:pPr>
            <w:r>
              <w:rPr>
                <w:b/>
                <w:color w:val="000000"/>
                <w:kern w:val="0"/>
                <w:sz w:val="18"/>
                <w:szCs w:val="18"/>
              </w:rPr>
              <w:t>320217663000</w:t>
            </w:r>
            <w:r>
              <w:rPr>
                <w:rFonts w:hint="eastAsia"/>
                <w:b/>
                <w:color w:val="000000"/>
                <w:kern w:val="0"/>
                <w:sz w:val="18"/>
                <w:szCs w:val="18"/>
              </w:rPr>
              <w:t xml:space="preserve"> </w:t>
            </w:r>
          </w:p>
        </w:tc>
      </w:tr>
      <w:tr w14:paraId="0D5127E7">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B57F0C8">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15A61DF2">
            <w:pPr>
              <w:jc w:val="left"/>
              <w:rPr>
                <w:color w:val="000000"/>
                <w:sz w:val="20"/>
              </w:rPr>
            </w:pPr>
            <w:r>
              <w:rPr>
                <w:rFonts w:hint="eastAsia"/>
                <w:color w:val="000000"/>
                <w:kern w:val="0"/>
                <w:sz w:val="18"/>
                <w:szCs w:val="18"/>
              </w:rPr>
              <w:t>对依附于城市道路建设各种管线、杆线等设施，不按照规定办理批准手续的处罚</w:t>
            </w:r>
          </w:p>
        </w:tc>
      </w:tr>
      <w:tr w14:paraId="65AF5539">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22DFE59B">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799E1DF2">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p>
          <w:p w14:paraId="1E3D7C58">
            <w:pPr>
              <w:spacing w:line="320" w:lineRule="exact"/>
              <w:jc w:val="left"/>
              <w:rPr>
                <w:color w:val="000000"/>
                <w:kern w:val="0"/>
                <w:sz w:val="18"/>
                <w:szCs w:val="18"/>
              </w:rPr>
            </w:pPr>
            <w:r>
              <w:rPr>
                <w:rFonts w:hint="eastAsia"/>
                <w:color w:val="000000"/>
                <w:kern w:val="0"/>
                <w:sz w:val="18"/>
                <w:szCs w:val="18"/>
              </w:rPr>
              <w:t>第二十九条　依附于城市道路建设各种管线、杆线等设施的，应当经市政工程行政主管部门批准，方可建设。</w:t>
            </w:r>
            <w:r>
              <w:rPr>
                <w:color w:val="000000"/>
                <w:kern w:val="0"/>
                <w:sz w:val="18"/>
                <w:szCs w:val="18"/>
              </w:rPr>
              <w:t xml:space="preserve"> </w:t>
            </w:r>
          </w:p>
          <w:p w14:paraId="3F4AD314">
            <w:pPr>
              <w:spacing w:line="320" w:lineRule="exact"/>
              <w:ind w:firstLine="348"/>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p w14:paraId="08E9616F">
            <w:pPr>
              <w:spacing w:line="320" w:lineRule="exact"/>
              <w:ind w:firstLine="348"/>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依附于城市道路建设各种管线、杆线等设施，不按照规定办理批准手续的；</w:t>
            </w:r>
          </w:p>
        </w:tc>
      </w:tr>
      <w:tr w14:paraId="7B0748F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FE5DEC0">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56CA6453">
            <w:pPr>
              <w:spacing w:line="320" w:lineRule="exact"/>
              <w:jc w:val="left"/>
              <w:rPr>
                <w:color w:val="000000"/>
                <w:kern w:val="0"/>
                <w:sz w:val="18"/>
                <w:szCs w:val="18"/>
              </w:rPr>
            </w:pPr>
            <w:r>
              <w:rPr>
                <w:rFonts w:hint="eastAsia"/>
                <w:color w:val="000000"/>
                <w:kern w:val="0"/>
                <w:sz w:val="18"/>
                <w:szCs w:val="18"/>
              </w:rPr>
              <w:t>罚款</w:t>
            </w:r>
          </w:p>
        </w:tc>
      </w:tr>
      <w:tr w14:paraId="43F8B93B">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64DD1141">
            <w:pPr>
              <w:spacing w:line="320" w:lineRule="exact"/>
              <w:jc w:val="center"/>
              <w:rPr>
                <w:color w:val="000000"/>
                <w:kern w:val="0"/>
                <w:sz w:val="18"/>
                <w:szCs w:val="18"/>
              </w:rPr>
            </w:pPr>
            <w:r>
              <w:rPr>
                <w:rFonts w:hint="eastAsia"/>
                <w:color w:val="000000"/>
                <w:kern w:val="0"/>
                <w:sz w:val="18"/>
                <w:szCs w:val="18"/>
              </w:rPr>
              <w:t>裁量基准</w:t>
            </w:r>
          </w:p>
        </w:tc>
      </w:tr>
      <w:tr w14:paraId="7DFB345B">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08F331E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7265B18">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color="auto" w:sz="4" w:space="0"/>
              <w:right w:val="single" w:color="auto" w:sz="4" w:space="0"/>
            </w:tcBorders>
            <w:vAlign w:val="center"/>
          </w:tcPr>
          <w:p w14:paraId="7F061F10">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711B02FA">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元以下罚款</w:t>
            </w:r>
          </w:p>
        </w:tc>
      </w:tr>
      <w:tr w14:paraId="080ABF14">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right w:val="single" w:color="auto" w:sz="4" w:space="0"/>
            </w:tcBorders>
            <w:vAlign w:val="center"/>
          </w:tcPr>
          <w:p w14:paraId="02B43900">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02B53A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top w:val="nil"/>
              <w:left w:val="single" w:color="auto" w:sz="4" w:space="0"/>
              <w:right w:val="single" w:color="auto" w:sz="4" w:space="0"/>
            </w:tcBorders>
            <w:vAlign w:val="center"/>
          </w:tcPr>
          <w:p w14:paraId="44E1F3F0">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C496440">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元以上5000元以下罚款</w:t>
            </w:r>
          </w:p>
        </w:tc>
      </w:tr>
      <w:tr w14:paraId="620E7261">
        <w:tblPrEx>
          <w:tblCellMar>
            <w:top w:w="0" w:type="dxa"/>
            <w:left w:w="108" w:type="dxa"/>
            <w:bottom w:w="0" w:type="dxa"/>
            <w:right w:w="108" w:type="dxa"/>
          </w:tblCellMar>
        </w:tblPrEx>
        <w:trPr>
          <w:trHeight w:val="330" w:hRule="atLeast"/>
        </w:trPr>
        <w:tc>
          <w:tcPr>
            <w:tcW w:w="1070" w:type="dxa"/>
            <w:vMerge w:val="continue"/>
            <w:tcBorders>
              <w:left w:val="single" w:color="auto" w:sz="8" w:space="0"/>
              <w:right w:val="single" w:color="auto" w:sz="4" w:space="0"/>
            </w:tcBorders>
            <w:vAlign w:val="center"/>
          </w:tcPr>
          <w:p w14:paraId="1398B9A9">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FDE4C2A">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continue"/>
            <w:tcBorders>
              <w:left w:val="single" w:color="auto" w:sz="4" w:space="0"/>
              <w:right w:val="single" w:color="auto" w:sz="4" w:space="0"/>
            </w:tcBorders>
            <w:vAlign w:val="center"/>
          </w:tcPr>
          <w:p w14:paraId="3D30E622">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044901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17E84DB3">
        <w:tblPrEx>
          <w:tblCellMar>
            <w:top w:w="0" w:type="dxa"/>
            <w:left w:w="108" w:type="dxa"/>
            <w:bottom w:w="0" w:type="dxa"/>
            <w:right w:w="108" w:type="dxa"/>
          </w:tblCellMar>
        </w:tblPrEx>
        <w:trPr>
          <w:trHeight w:val="295" w:hRule="atLeast"/>
        </w:trPr>
        <w:tc>
          <w:tcPr>
            <w:tcW w:w="1070" w:type="dxa"/>
            <w:vMerge w:val="continue"/>
            <w:tcBorders>
              <w:left w:val="single" w:color="auto" w:sz="8" w:space="0"/>
              <w:bottom w:val="single" w:color="auto" w:sz="4" w:space="0"/>
              <w:right w:val="single" w:color="auto" w:sz="4" w:space="0"/>
            </w:tcBorders>
            <w:vAlign w:val="center"/>
          </w:tcPr>
          <w:p w14:paraId="04E074C3">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4AC4DE2">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1C68D00A">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7E0EB6F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3DA1C1DC"/>
    <w:p w14:paraId="7EA59343"/>
    <w:p w14:paraId="501FCF24"/>
    <w:p w14:paraId="1588A267"/>
    <w:p w14:paraId="340D71EB"/>
    <w:p w14:paraId="23A2118D"/>
    <w:p w14:paraId="1C2765E9"/>
    <w:p w14:paraId="25117129"/>
    <w:p w14:paraId="267F1EC4"/>
    <w:p w14:paraId="66461F55"/>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11DF39AA">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410F6057">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2F125A4E">
            <w:pPr>
              <w:spacing w:line="320" w:lineRule="exact"/>
              <w:jc w:val="left"/>
              <w:rPr>
                <w:b/>
                <w:color w:val="000000"/>
                <w:kern w:val="0"/>
                <w:sz w:val="18"/>
                <w:szCs w:val="18"/>
              </w:rPr>
            </w:pPr>
            <w:r>
              <w:rPr>
                <w:b/>
                <w:color w:val="000000"/>
                <w:kern w:val="0"/>
                <w:sz w:val="18"/>
                <w:szCs w:val="18"/>
              </w:rPr>
              <w:t>320217664000</w:t>
            </w:r>
            <w:r>
              <w:rPr>
                <w:rFonts w:hint="eastAsia"/>
                <w:b/>
                <w:color w:val="000000"/>
                <w:kern w:val="0"/>
                <w:sz w:val="18"/>
                <w:szCs w:val="18"/>
              </w:rPr>
              <w:t xml:space="preserve"> </w:t>
            </w:r>
          </w:p>
        </w:tc>
      </w:tr>
      <w:tr w14:paraId="467C92B6">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0D1667B">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51B2AC68">
            <w:pPr>
              <w:spacing w:line="320" w:lineRule="exact"/>
              <w:jc w:val="left"/>
              <w:rPr>
                <w:color w:val="000000"/>
                <w:kern w:val="0"/>
                <w:sz w:val="18"/>
                <w:szCs w:val="18"/>
              </w:rPr>
            </w:pPr>
            <w:r>
              <w:rPr>
                <w:rFonts w:hint="eastAsia"/>
                <w:color w:val="000000"/>
                <w:kern w:val="0"/>
                <w:sz w:val="18"/>
                <w:szCs w:val="18"/>
              </w:rPr>
              <w:t>对紧急抢修埋设在城市道路下的管线，不按照规定补办批准手续的处罚</w:t>
            </w:r>
          </w:p>
        </w:tc>
      </w:tr>
      <w:tr w14:paraId="7B051BCC">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0F584348">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67B1972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第三十四条　埋设在城市道路下的管线发生故障需要紧急抢修的，可以先行破路抢修，并同时通知市政工程行政主管部门和公安交通管理部门，在</w:t>
            </w:r>
            <w:r>
              <w:rPr>
                <w:color w:val="000000"/>
                <w:kern w:val="0"/>
                <w:sz w:val="18"/>
                <w:szCs w:val="18"/>
              </w:rPr>
              <w:t>24</w:t>
            </w:r>
            <w:r>
              <w:rPr>
                <w:rFonts w:hint="eastAsia"/>
                <w:color w:val="000000"/>
                <w:kern w:val="0"/>
                <w:sz w:val="18"/>
                <w:szCs w:val="18"/>
              </w:rPr>
              <w:t>小时内按照规定补办批准手续。</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r>
              <w:rPr>
                <w:color w:val="000000"/>
                <w:kern w:val="0"/>
                <w:sz w:val="18"/>
                <w:szCs w:val="18"/>
              </w:rPr>
              <w:t xml:space="preserve">   </w:t>
            </w:r>
            <w:r>
              <w:rPr>
                <w:color w:val="000000"/>
                <w:kern w:val="0"/>
                <w:sz w:val="18"/>
                <w:szCs w:val="18"/>
              </w:rPr>
              <w:br w:type="textWrapping"/>
            </w: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紧急抢修埋设在城市道路下的管线，不按照规定补办批准手续的；</w:t>
            </w:r>
          </w:p>
        </w:tc>
      </w:tr>
      <w:tr w14:paraId="4DF39713">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460258E">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3D1E60C7">
            <w:pPr>
              <w:spacing w:line="320" w:lineRule="exact"/>
              <w:jc w:val="left"/>
              <w:rPr>
                <w:color w:val="000000"/>
                <w:kern w:val="0"/>
                <w:sz w:val="18"/>
                <w:szCs w:val="18"/>
              </w:rPr>
            </w:pPr>
            <w:r>
              <w:rPr>
                <w:rFonts w:hint="eastAsia"/>
                <w:color w:val="000000"/>
                <w:kern w:val="0"/>
                <w:sz w:val="18"/>
                <w:szCs w:val="18"/>
              </w:rPr>
              <w:t>罚款</w:t>
            </w:r>
          </w:p>
        </w:tc>
      </w:tr>
      <w:tr w14:paraId="37C0627C">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5D5B7F5">
            <w:pPr>
              <w:spacing w:line="320" w:lineRule="exact"/>
              <w:jc w:val="center"/>
              <w:rPr>
                <w:color w:val="000000"/>
                <w:kern w:val="0"/>
                <w:sz w:val="18"/>
                <w:szCs w:val="18"/>
              </w:rPr>
            </w:pPr>
            <w:r>
              <w:rPr>
                <w:rFonts w:hint="eastAsia"/>
                <w:color w:val="000000"/>
                <w:kern w:val="0"/>
                <w:sz w:val="18"/>
                <w:szCs w:val="18"/>
              </w:rPr>
              <w:t>裁量基准</w:t>
            </w:r>
          </w:p>
        </w:tc>
      </w:tr>
      <w:tr w14:paraId="4ADFC7F7">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77DBB0B9">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92C2393">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nil"/>
              <w:left w:val="single" w:color="auto" w:sz="4" w:space="0"/>
              <w:right w:val="single" w:color="auto" w:sz="4" w:space="0"/>
            </w:tcBorders>
            <w:vAlign w:val="center"/>
          </w:tcPr>
          <w:p w14:paraId="16B79F86">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3AA2CFF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7C68C6E1">
        <w:tblPrEx>
          <w:tblCellMar>
            <w:top w:w="0" w:type="dxa"/>
            <w:left w:w="108" w:type="dxa"/>
            <w:bottom w:w="0" w:type="dxa"/>
            <w:right w:w="108" w:type="dxa"/>
          </w:tblCellMar>
        </w:tblPrEx>
        <w:trPr>
          <w:trHeight w:val="295" w:hRule="atLeast"/>
        </w:trPr>
        <w:tc>
          <w:tcPr>
            <w:tcW w:w="1070" w:type="dxa"/>
            <w:vMerge w:val="continue"/>
            <w:tcBorders>
              <w:left w:val="single" w:color="auto" w:sz="8" w:space="0"/>
              <w:bottom w:val="single" w:color="auto" w:sz="4" w:space="0"/>
              <w:right w:val="single" w:color="auto" w:sz="4" w:space="0"/>
            </w:tcBorders>
            <w:vAlign w:val="center"/>
          </w:tcPr>
          <w:p w14:paraId="79A2DAA9">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EF2DB1E">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val="continue"/>
            <w:tcBorders>
              <w:left w:val="single" w:color="auto" w:sz="4" w:space="0"/>
              <w:bottom w:val="single" w:color="auto" w:sz="4" w:space="0"/>
              <w:right w:val="single" w:color="auto" w:sz="4" w:space="0"/>
            </w:tcBorders>
            <w:vAlign w:val="center"/>
          </w:tcPr>
          <w:p w14:paraId="51167359">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43ACE6E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万元以下罚款</w:t>
            </w:r>
          </w:p>
        </w:tc>
      </w:tr>
    </w:tbl>
    <w:p w14:paraId="4EDDAA31"/>
    <w:p w14:paraId="185675E5"/>
    <w:p w14:paraId="198CDCF6"/>
    <w:p w14:paraId="411FF8BB"/>
    <w:p w14:paraId="08B0608B"/>
    <w:p w14:paraId="37003223"/>
    <w:p w14:paraId="1CE386A2"/>
    <w:p w14:paraId="2AB3EE49"/>
    <w:p w14:paraId="211A0E10"/>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633BE683">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2688B1EC">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40F95EA9">
            <w:pPr>
              <w:spacing w:line="320" w:lineRule="exact"/>
              <w:jc w:val="left"/>
              <w:rPr>
                <w:b/>
                <w:color w:val="000000"/>
                <w:kern w:val="0"/>
                <w:sz w:val="18"/>
                <w:szCs w:val="18"/>
              </w:rPr>
            </w:pPr>
            <w:r>
              <w:rPr>
                <w:b/>
                <w:color w:val="000000"/>
                <w:kern w:val="0"/>
                <w:sz w:val="18"/>
                <w:szCs w:val="18"/>
              </w:rPr>
              <w:t>320217665000</w:t>
            </w:r>
          </w:p>
        </w:tc>
      </w:tr>
      <w:tr w14:paraId="3D4AC5D0">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E995409">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2609761B">
            <w:pPr>
              <w:spacing w:line="320" w:lineRule="exact"/>
              <w:jc w:val="left"/>
              <w:rPr>
                <w:color w:val="000000"/>
                <w:kern w:val="0"/>
                <w:sz w:val="18"/>
                <w:szCs w:val="18"/>
              </w:rPr>
            </w:pPr>
            <w:r>
              <w:rPr>
                <w:rFonts w:hint="eastAsia"/>
                <w:color w:val="000000"/>
                <w:kern w:val="0"/>
                <w:sz w:val="18"/>
                <w:szCs w:val="18"/>
              </w:rPr>
              <w:t>对未按照批准的位置、面积、期限占用或者挖掘城市道路，或者需要移动位置、扩大面积、延长时间，未提前办理变更审批手续的处罚</w:t>
            </w:r>
          </w:p>
        </w:tc>
      </w:tr>
      <w:tr w14:paraId="3B5A5F96">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68AB3C7D">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6269C431">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第三十六条　经批准占用或者挖掘城市道路的，应当按照批准的位置、面积、期限占有或者挖掘。需要移动位置、扩大面积、延长时间的，应当提前办理变更审批手续。</w:t>
            </w:r>
            <w:r>
              <w:rPr>
                <w:color w:val="000000"/>
                <w:kern w:val="0"/>
                <w:sz w:val="18"/>
                <w:szCs w:val="18"/>
              </w:rPr>
              <w:t xml:space="preserve"> </w:t>
            </w:r>
            <w:r>
              <w:rPr>
                <w:color w:val="000000"/>
                <w:kern w:val="0"/>
                <w:sz w:val="18"/>
                <w:szCs w:val="18"/>
              </w:rPr>
              <w:br w:type="textWrapping"/>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w:t>
            </w:r>
            <w:r>
              <w:rPr>
                <w:color w:val="000000"/>
                <w:kern w:val="0"/>
                <w:sz w:val="18"/>
                <w:szCs w:val="18"/>
              </w:rPr>
              <w:t xml:space="preserve"> </w:t>
            </w:r>
            <w:r>
              <w:rPr>
                <w:rFonts w:hint="eastAsia"/>
                <w:color w:val="000000"/>
                <w:kern w:val="0"/>
                <w:sz w:val="18"/>
                <w:szCs w:val="18"/>
              </w:rPr>
              <w:t>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r>
              <w:rPr>
                <w:color w:val="000000"/>
                <w:kern w:val="0"/>
                <w:sz w:val="18"/>
                <w:szCs w:val="18"/>
              </w:rPr>
              <w:br w:type="textWrapping"/>
            </w: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未按照批准的位置、面积、期限占用或者挖掘城市道路，或者需要移动位置、扩大面积、延长时间，未提前办理变更审批手续的。</w:t>
            </w:r>
          </w:p>
        </w:tc>
      </w:tr>
      <w:tr w14:paraId="0B3AE51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D68CE3D">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02C3CE48">
            <w:pPr>
              <w:spacing w:line="320" w:lineRule="exact"/>
              <w:jc w:val="left"/>
              <w:rPr>
                <w:color w:val="000000"/>
                <w:kern w:val="0"/>
                <w:sz w:val="18"/>
                <w:szCs w:val="18"/>
              </w:rPr>
            </w:pPr>
            <w:r>
              <w:rPr>
                <w:rFonts w:hint="eastAsia"/>
                <w:color w:val="000000"/>
                <w:kern w:val="0"/>
                <w:sz w:val="18"/>
                <w:szCs w:val="18"/>
              </w:rPr>
              <w:t>罚款</w:t>
            </w:r>
          </w:p>
        </w:tc>
      </w:tr>
      <w:tr w14:paraId="3C4E308F">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4D358DAC">
            <w:pPr>
              <w:spacing w:line="320" w:lineRule="exact"/>
              <w:jc w:val="center"/>
              <w:rPr>
                <w:color w:val="000000"/>
                <w:kern w:val="0"/>
                <w:sz w:val="18"/>
                <w:szCs w:val="18"/>
              </w:rPr>
            </w:pPr>
            <w:r>
              <w:rPr>
                <w:rFonts w:hint="eastAsia"/>
                <w:color w:val="000000"/>
                <w:kern w:val="0"/>
                <w:sz w:val="18"/>
                <w:szCs w:val="18"/>
              </w:rPr>
              <w:t>裁量基准</w:t>
            </w:r>
          </w:p>
        </w:tc>
      </w:tr>
      <w:tr w14:paraId="21FF9459">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34C98EA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ED5885C">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color="auto" w:sz="4" w:space="0"/>
              <w:right w:val="single" w:color="auto" w:sz="4" w:space="0"/>
            </w:tcBorders>
            <w:vAlign w:val="center"/>
          </w:tcPr>
          <w:p w14:paraId="6716A62E">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06F51456">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元以下罚款</w:t>
            </w:r>
          </w:p>
        </w:tc>
      </w:tr>
      <w:tr w14:paraId="716A1313">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right w:val="single" w:color="auto" w:sz="4" w:space="0"/>
            </w:tcBorders>
            <w:vAlign w:val="center"/>
          </w:tcPr>
          <w:p w14:paraId="3FA29AEA">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9BF9247">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val="continue"/>
            <w:tcBorders>
              <w:top w:val="nil"/>
              <w:left w:val="single" w:color="auto" w:sz="4" w:space="0"/>
              <w:right w:val="single" w:color="auto" w:sz="4" w:space="0"/>
            </w:tcBorders>
            <w:vAlign w:val="center"/>
          </w:tcPr>
          <w:p w14:paraId="01F99556">
            <w:pPr>
              <w:spacing w:line="320" w:lineRule="exact"/>
              <w:jc w:val="center"/>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7D82EC5">
            <w:pPr>
              <w:spacing w:line="320" w:lineRule="exact"/>
              <w:jc w:val="left"/>
              <w:rPr>
                <w:color w:val="000000"/>
                <w:kern w:val="0"/>
                <w:sz w:val="18"/>
                <w:szCs w:val="18"/>
              </w:rPr>
            </w:pPr>
            <w:r>
              <w:rPr>
                <w:rFonts w:hint="eastAsia"/>
                <w:color w:val="000000"/>
                <w:kern w:val="0"/>
                <w:sz w:val="18"/>
                <w:szCs w:val="18"/>
              </w:rPr>
              <w:t>处2</w:t>
            </w:r>
            <w:r>
              <w:rPr>
                <w:color w:val="000000"/>
                <w:kern w:val="0"/>
                <w:sz w:val="18"/>
                <w:szCs w:val="18"/>
              </w:rPr>
              <w:t>000</w:t>
            </w:r>
            <w:r>
              <w:rPr>
                <w:rFonts w:hint="eastAsia"/>
                <w:color w:val="000000"/>
                <w:kern w:val="0"/>
                <w:sz w:val="18"/>
                <w:szCs w:val="18"/>
              </w:rPr>
              <w:t>元以上5000元以下罚款</w:t>
            </w:r>
          </w:p>
        </w:tc>
      </w:tr>
      <w:tr w14:paraId="7689BD1B">
        <w:tblPrEx>
          <w:tblCellMar>
            <w:top w:w="0" w:type="dxa"/>
            <w:left w:w="108" w:type="dxa"/>
            <w:bottom w:w="0" w:type="dxa"/>
            <w:right w:w="108" w:type="dxa"/>
          </w:tblCellMar>
        </w:tblPrEx>
        <w:trPr>
          <w:trHeight w:val="330" w:hRule="atLeast"/>
        </w:trPr>
        <w:tc>
          <w:tcPr>
            <w:tcW w:w="1070" w:type="dxa"/>
            <w:vMerge w:val="continue"/>
            <w:tcBorders>
              <w:left w:val="single" w:color="auto" w:sz="8" w:space="0"/>
              <w:right w:val="single" w:color="auto" w:sz="4" w:space="0"/>
            </w:tcBorders>
            <w:vAlign w:val="center"/>
          </w:tcPr>
          <w:p w14:paraId="682A1318">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D7983CF">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continue"/>
            <w:tcBorders>
              <w:left w:val="single" w:color="auto" w:sz="4" w:space="0"/>
              <w:right w:val="single" w:color="auto" w:sz="4" w:space="0"/>
            </w:tcBorders>
            <w:vAlign w:val="center"/>
          </w:tcPr>
          <w:p w14:paraId="252AD0BE">
            <w:pPr>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14B73D8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7345919C">
        <w:tblPrEx>
          <w:tblCellMar>
            <w:top w:w="0" w:type="dxa"/>
            <w:left w:w="108" w:type="dxa"/>
            <w:bottom w:w="0" w:type="dxa"/>
            <w:right w:w="108" w:type="dxa"/>
          </w:tblCellMar>
        </w:tblPrEx>
        <w:trPr>
          <w:trHeight w:val="295" w:hRule="atLeast"/>
        </w:trPr>
        <w:tc>
          <w:tcPr>
            <w:tcW w:w="1070" w:type="dxa"/>
            <w:vMerge w:val="continue"/>
            <w:tcBorders>
              <w:left w:val="single" w:color="auto" w:sz="8" w:space="0"/>
              <w:bottom w:val="single" w:color="auto" w:sz="4" w:space="0"/>
              <w:right w:val="single" w:color="auto" w:sz="4" w:space="0"/>
            </w:tcBorders>
            <w:vAlign w:val="center"/>
          </w:tcPr>
          <w:p w14:paraId="1DCE86A2">
            <w:pPr>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B0A37C9">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val="continue"/>
            <w:tcBorders>
              <w:left w:val="single" w:color="auto" w:sz="4" w:space="0"/>
              <w:bottom w:val="single" w:color="auto" w:sz="4" w:space="0"/>
              <w:right w:val="single" w:color="auto" w:sz="4" w:space="0"/>
            </w:tcBorders>
            <w:vAlign w:val="center"/>
          </w:tcPr>
          <w:p w14:paraId="22662CB2">
            <w:pPr>
              <w:jc w:val="left"/>
              <w:rPr>
                <w:color w:val="000000"/>
                <w:kern w:val="0"/>
                <w:sz w:val="18"/>
                <w:szCs w:val="18"/>
              </w:rPr>
            </w:pPr>
          </w:p>
        </w:tc>
        <w:tc>
          <w:tcPr>
            <w:tcW w:w="5760" w:type="dxa"/>
            <w:tcBorders>
              <w:top w:val="single" w:color="auto" w:sz="4" w:space="0"/>
              <w:left w:val="nil"/>
              <w:bottom w:val="single" w:color="auto" w:sz="4" w:space="0"/>
              <w:right w:val="single" w:color="auto" w:sz="8" w:space="0"/>
            </w:tcBorders>
            <w:vAlign w:val="center"/>
          </w:tcPr>
          <w:p w14:paraId="7F46FE2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0FBA2BF6"/>
    <w:p w14:paraId="2E9614D4"/>
    <w:p w14:paraId="3027E34F"/>
    <w:p w14:paraId="25C8E271"/>
    <w:p w14:paraId="09AFFF5A"/>
    <w:p w14:paraId="2637453F"/>
    <w:p w14:paraId="67A6F5C7"/>
    <w:tbl>
      <w:tblPr>
        <w:tblStyle w:val="15"/>
        <w:tblW w:w="0" w:type="auto"/>
        <w:tblInd w:w="78" w:type="dxa"/>
        <w:tblLayout w:type="fixed"/>
        <w:tblCellMar>
          <w:top w:w="0" w:type="dxa"/>
          <w:left w:w="108" w:type="dxa"/>
          <w:bottom w:w="0" w:type="dxa"/>
          <w:right w:w="108" w:type="dxa"/>
        </w:tblCellMar>
      </w:tblPr>
      <w:tblGrid>
        <w:gridCol w:w="1070"/>
        <w:gridCol w:w="1512"/>
        <w:gridCol w:w="4628"/>
        <w:gridCol w:w="1080"/>
        <w:gridCol w:w="5760"/>
      </w:tblGrid>
      <w:tr w14:paraId="16678D6E">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6D5546B8">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574324ED">
            <w:pPr>
              <w:spacing w:line="320" w:lineRule="exact"/>
              <w:jc w:val="left"/>
              <w:rPr>
                <w:rFonts w:eastAsia="仿宋_GB2312"/>
                <w:b/>
                <w:bCs/>
                <w:color w:val="000000"/>
                <w:kern w:val="0"/>
                <w:sz w:val="18"/>
                <w:szCs w:val="18"/>
              </w:rPr>
            </w:pPr>
            <w:r>
              <w:rPr>
                <w:rFonts w:eastAsia="仿宋_GB2312"/>
                <w:b/>
                <w:bCs/>
                <w:color w:val="000000"/>
                <w:kern w:val="0"/>
                <w:sz w:val="18"/>
                <w:szCs w:val="18"/>
              </w:rPr>
              <w:t>320217667000</w:t>
            </w:r>
          </w:p>
        </w:tc>
      </w:tr>
      <w:tr w14:paraId="63D78AD7">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7427CAA">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7EF87E28">
            <w:pPr>
              <w:spacing w:line="320" w:lineRule="exact"/>
              <w:jc w:val="left"/>
              <w:rPr>
                <w:color w:val="000000"/>
                <w:kern w:val="0"/>
                <w:sz w:val="18"/>
                <w:szCs w:val="18"/>
              </w:rPr>
            </w:pPr>
            <w:r>
              <w:rPr>
                <w:rFonts w:hint="eastAsia"/>
                <w:color w:val="000000"/>
                <w:kern w:val="0"/>
                <w:sz w:val="18"/>
                <w:szCs w:val="18"/>
              </w:rPr>
              <w:t>对工程造价成果文件上使用非本项目咨询人员的执业印章的处罚</w:t>
            </w:r>
          </w:p>
        </w:tc>
      </w:tr>
      <w:tr w14:paraId="31115C6B">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7BCC2674">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2106E402">
            <w:pPr>
              <w:spacing w:line="320" w:lineRule="exact"/>
              <w:jc w:val="left"/>
              <w:rPr>
                <w:color w:val="000000"/>
                <w:kern w:val="0"/>
                <w:sz w:val="18"/>
                <w:szCs w:val="18"/>
              </w:rPr>
            </w:pPr>
            <w:r>
              <w:rPr>
                <w:rFonts w:hint="eastAsia"/>
                <w:color w:val="000000"/>
                <w:kern w:val="0"/>
                <w:sz w:val="18"/>
                <w:szCs w:val="18"/>
              </w:rPr>
              <w:t>【规章】《江苏省建设工程造价管理办法》（省政府令第163号）</w:t>
            </w:r>
          </w:p>
          <w:p w14:paraId="4ADC554E">
            <w:pPr>
              <w:spacing w:line="320" w:lineRule="exact"/>
              <w:jc w:val="left"/>
              <w:rPr>
                <w:color w:val="000000"/>
                <w:kern w:val="0"/>
                <w:sz w:val="18"/>
                <w:szCs w:val="18"/>
              </w:rPr>
            </w:pPr>
            <w:r>
              <w:rPr>
                <w:rFonts w:hint="eastAsia"/>
                <w:color w:val="000000"/>
                <w:kern w:val="0"/>
                <w:sz w:val="18"/>
                <w:szCs w:val="18"/>
              </w:rPr>
              <w:t xml:space="preserve">       第二十二条  工程造价咨询企业在建设工程造价咨询活动中不得有下列行为：</w:t>
            </w:r>
          </w:p>
          <w:p w14:paraId="10AABD49">
            <w:pPr>
              <w:spacing w:line="320" w:lineRule="exact"/>
              <w:jc w:val="left"/>
              <w:rPr>
                <w:color w:val="000000"/>
                <w:kern w:val="0"/>
                <w:sz w:val="18"/>
                <w:szCs w:val="18"/>
              </w:rPr>
            </w:pPr>
            <w:r>
              <w:rPr>
                <w:rFonts w:hint="eastAsia"/>
                <w:color w:val="000000"/>
                <w:kern w:val="0"/>
                <w:sz w:val="18"/>
                <w:szCs w:val="18"/>
              </w:rPr>
              <w:t xml:space="preserve">     （四）工程造价成果文件上使用非本项目咨询人员的执业印章；</w:t>
            </w:r>
          </w:p>
          <w:p w14:paraId="4D89ED7F">
            <w:pPr>
              <w:spacing w:line="320" w:lineRule="exact"/>
              <w:jc w:val="left"/>
              <w:rPr>
                <w:color w:val="000000"/>
                <w:kern w:val="0"/>
                <w:sz w:val="18"/>
                <w:szCs w:val="18"/>
              </w:rPr>
            </w:pPr>
            <w:r>
              <w:rPr>
                <w:rFonts w:hint="eastAsia"/>
                <w:color w:val="000000"/>
                <w:kern w:val="0"/>
                <w:sz w:val="18"/>
                <w:szCs w:val="18"/>
              </w:rPr>
              <w:t xml:space="preserve">       第三十一条  违反本办法规定，有下列行为之一的，由县级以上地方人民政府住房城乡建设主管部门给予警告，责令改正，并处以五千元以上三万元以下的罚款：</w:t>
            </w:r>
          </w:p>
          <w:p w14:paraId="389B28B1">
            <w:pPr>
              <w:spacing w:line="320" w:lineRule="exact"/>
              <w:jc w:val="left"/>
              <w:rPr>
                <w:color w:val="000000"/>
                <w:kern w:val="0"/>
                <w:sz w:val="18"/>
                <w:szCs w:val="18"/>
              </w:rPr>
            </w:pPr>
            <w:r>
              <w:rPr>
                <w:rFonts w:hint="eastAsia"/>
                <w:color w:val="000000"/>
                <w:kern w:val="0"/>
                <w:sz w:val="18"/>
                <w:szCs w:val="18"/>
              </w:rPr>
              <w:t xml:space="preserve">      （二）工程造价成果文件上使用非本项目咨询人员的执业印章的；</w:t>
            </w:r>
          </w:p>
          <w:p w14:paraId="4A70132B">
            <w:pPr>
              <w:spacing w:line="320" w:lineRule="exact"/>
              <w:jc w:val="left"/>
              <w:rPr>
                <w:color w:val="000000"/>
                <w:kern w:val="0"/>
                <w:sz w:val="18"/>
                <w:szCs w:val="18"/>
              </w:rPr>
            </w:pPr>
            <w:r>
              <w:rPr>
                <w:rFonts w:hint="eastAsia"/>
                <w:color w:val="000000"/>
                <w:kern w:val="0"/>
                <w:sz w:val="18"/>
                <w:szCs w:val="18"/>
              </w:rPr>
              <w:t xml:space="preserve">      依照前款规定给予单位处罚的，可以同时对单位直接负责的主管人员和其他直接责任人员给予警告，并处以三百元以上一千元以下的罚款。</w:t>
            </w:r>
          </w:p>
        </w:tc>
      </w:tr>
      <w:tr w14:paraId="0C9D9534">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ED3DE01">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0178A93A">
            <w:pPr>
              <w:spacing w:line="320" w:lineRule="exact"/>
              <w:jc w:val="left"/>
              <w:rPr>
                <w:color w:val="000000"/>
                <w:kern w:val="0"/>
                <w:sz w:val="18"/>
                <w:szCs w:val="18"/>
              </w:rPr>
            </w:pPr>
            <w:r>
              <w:rPr>
                <w:rFonts w:hint="eastAsia"/>
                <w:color w:val="000000"/>
                <w:kern w:val="0"/>
                <w:sz w:val="18"/>
                <w:szCs w:val="18"/>
              </w:rPr>
              <w:t>警告、罚款</w:t>
            </w:r>
          </w:p>
        </w:tc>
      </w:tr>
      <w:tr w14:paraId="19233166">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62853DCE">
            <w:pPr>
              <w:spacing w:line="320" w:lineRule="exact"/>
              <w:jc w:val="center"/>
              <w:rPr>
                <w:color w:val="000000"/>
                <w:kern w:val="0"/>
                <w:sz w:val="18"/>
                <w:szCs w:val="18"/>
              </w:rPr>
            </w:pPr>
            <w:r>
              <w:rPr>
                <w:rFonts w:hint="eastAsia"/>
                <w:color w:val="000000"/>
                <w:kern w:val="0"/>
                <w:sz w:val="18"/>
                <w:szCs w:val="18"/>
              </w:rPr>
              <w:t>裁量基准</w:t>
            </w:r>
          </w:p>
        </w:tc>
      </w:tr>
      <w:tr w14:paraId="565044EE">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50A95367">
            <w:pPr>
              <w:spacing w:line="320" w:lineRule="exact"/>
              <w:jc w:val="center"/>
              <w:rPr>
                <w:color w:val="000000"/>
                <w:kern w:val="0"/>
                <w:sz w:val="18"/>
                <w:szCs w:val="18"/>
              </w:rPr>
            </w:pPr>
            <w:r>
              <w:rPr>
                <w:rFonts w:hint="eastAsia"/>
                <w:color w:val="000000"/>
                <w:kern w:val="0"/>
                <w:sz w:val="18"/>
                <w:szCs w:val="18"/>
              </w:rPr>
              <w:t>情形描述</w:t>
            </w:r>
          </w:p>
        </w:tc>
        <w:tc>
          <w:tcPr>
            <w:tcW w:w="1512" w:type="dxa"/>
            <w:vMerge w:val="restart"/>
            <w:tcBorders>
              <w:top w:val="single" w:color="auto" w:sz="4" w:space="0"/>
              <w:left w:val="nil"/>
              <w:right w:val="single" w:color="auto" w:sz="4" w:space="0"/>
            </w:tcBorders>
            <w:vAlign w:val="center"/>
          </w:tcPr>
          <w:p w14:paraId="09BE0840">
            <w:pPr>
              <w:spacing w:line="320" w:lineRule="exact"/>
              <w:jc w:val="left"/>
              <w:rPr>
                <w:color w:val="000000"/>
                <w:kern w:val="0"/>
                <w:sz w:val="18"/>
                <w:szCs w:val="18"/>
              </w:rPr>
            </w:pPr>
            <w:r>
              <w:rPr>
                <w:rFonts w:hint="eastAsia"/>
                <w:color w:val="000000"/>
                <w:kern w:val="0"/>
                <w:sz w:val="18"/>
                <w:szCs w:val="18"/>
              </w:rPr>
              <w:t>无违法所得的</w:t>
            </w:r>
          </w:p>
        </w:tc>
        <w:tc>
          <w:tcPr>
            <w:tcW w:w="4628" w:type="dxa"/>
            <w:tcBorders>
              <w:top w:val="single" w:color="auto" w:sz="4" w:space="0"/>
              <w:left w:val="nil"/>
              <w:bottom w:val="single" w:color="auto" w:sz="4" w:space="0"/>
              <w:right w:val="single" w:color="auto" w:sz="4" w:space="0"/>
            </w:tcBorders>
            <w:vAlign w:val="center"/>
          </w:tcPr>
          <w:p w14:paraId="0BD5B684">
            <w:pPr>
              <w:spacing w:line="320" w:lineRule="exact"/>
              <w:jc w:val="left"/>
              <w:rPr>
                <w:color w:val="000000"/>
                <w:kern w:val="0"/>
                <w:sz w:val="18"/>
                <w:szCs w:val="18"/>
              </w:rPr>
            </w:pPr>
            <w:r>
              <w:rPr>
                <w:rFonts w:hint="eastAsia"/>
                <w:color w:val="000000"/>
                <w:kern w:val="0"/>
                <w:sz w:val="18"/>
                <w:szCs w:val="18"/>
              </w:rPr>
              <w:t>工程造价成果未交付</w:t>
            </w:r>
          </w:p>
        </w:tc>
        <w:tc>
          <w:tcPr>
            <w:tcW w:w="1080" w:type="dxa"/>
            <w:vMerge w:val="restart"/>
            <w:tcBorders>
              <w:top w:val="nil"/>
              <w:left w:val="single" w:color="auto" w:sz="4" w:space="0"/>
              <w:bottom w:val="single" w:color="auto" w:sz="4" w:space="0"/>
              <w:right w:val="single" w:color="auto" w:sz="4" w:space="0"/>
            </w:tcBorders>
            <w:vAlign w:val="center"/>
          </w:tcPr>
          <w:p w14:paraId="17620DCB">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3356E150">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p w14:paraId="0BAB2FD8">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300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14:paraId="4DA1E06E">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884AE59">
            <w:pPr>
              <w:spacing w:line="320" w:lineRule="exact"/>
              <w:jc w:val="left"/>
              <w:rPr>
                <w:color w:val="000000"/>
                <w:kern w:val="0"/>
                <w:sz w:val="18"/>
                <w:szCs w:val="18"/>
              </w:rPr>
            </w:pPr>
          </w:p>
        </w:tc>
        <w:tc>
          <w:tcPr>
            <w:tcW w:w="1512" w:type="dxa"/>
            <w:vMerge w:val="continue"/>
            <w:tcBorders>
              <w:left w:val="nil"/>
              <w:bottom w:val="single" w:color="auto" w:sz="4" w:space="0"/>
              <w:right w:val="single" w:color="auto" w:sz="4" w:space="0"/>
            </w:tcBorders>
            <w:vAlign w:val="center"/>
          </w:tcPr>
          <w:p w14:paraId="2D20649F">
            <w:pPr>
              <w:spacing w:line="320" w:lineRule="exact"/>
              <w:jc w:val="left"/>
              <w:rPr>
                <w:color w:val="000000"/>
                <w:kern w:val="0"/>
                <w:sz w:val="18"/>
                <w:szCs w:val="18"/>
              </w:rPr>
            </w:pPr>
          </w:p>
        </w:tc>
        <w:tc>
          <w:tcPr>
            <w:tcW w:w="4628" w:type="dxa"/>
            <w:tcBorders>
              <w:top w:val="single" w:color="auto" w:sz="4" w:space="0"/>
              <w:left w:val="nil"/>
              <w:bottom w:val="single" w:color="auto" w:sz="4" w:space="0"/>
              <w:right w:val="single" w:color="auto" w:sz="4" w:space="0"/>
            </w:tcBorders>
            <w:vAlign w:val="center"/>
          </w:tcPr>
          <w:p w14:paraId="7FD79028">
            <w:pPr>
              <w:spacing w:line="320" w:lineRule="exact"/>
              <w:jc w:val="left"/>
              <w:rPr>
                <w:color w:val="000000"/>
                <w:kern w:val="0"/>
                <w:sz w:val="18"/>
                <w:szCs w:val="18"/>
              </w:rPr>
            </w:pPr>
            <w:r>
              <w:rPr>
                <w:rFonts w:hint="eastAsia"/>
                <w:color w:val="000000"/>
                <w:kern w:val="0"/>
                <w:sz w:val="18"/>
                <w:szCs w:val="18"/>
              </w:rPr>
              <w:t>工程造价成果已交付</w:t>
            </w:r>
          </w:p>
        </w:tc>
        <w:tc>
          <w:tcPr>
            <w:tcW w:w="1080" w:type="dxa"/>
            <w:vMerge w:val="continue"/>
            <w:tcBorders>
              <w:top w:val="nil"/>
              <w:left w:val="single" w:color="auto" w:sz="4" w:space="0"/>
              <w:bottom w:val="single" w:color="auto" w:sz="4" w:space="0"/>
              <w:right w:val="single" w:color="auto" w:sz="4" w:space="0"/>
            </w:tcBorders>
            <w:vAlign w:val="center"/>
          </w:tcPr>
          <w:p w14:paraId="4FA07DFE">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340280A">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14:paraId="5A48FC1A">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500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元以下罚款</w:t>
            </w:r>
          </w:p>
        </w:tc>
      </w:tr>
      <w:tr w14:paraId="5519662D">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2CF43D9C">
            <w:pPr>
              <w:spacing w:line="320" w:lineRule="exact"/>
              <w:jc w:val="left"/>
              <w:rPr>
                <w:color w:val="000000"/>
                <w:kern w:val="0"/>
                <w:sz w:val="18"/>
                <w:szCs w:val="18"/>
              </w:rPr>
            </w:pPr>
          </w:p>
        </w:tc>
        <w:tc>
          <w:tcPr>
            <w:tcW w:w="1512" w:type="dxa"/>
            <w:vMerge w:val="restart"/>
            <w:tcBorders>
              <w:top w:val="single" w:color="auto" w:sz="4" w:space="0"/>
              <w:left w:val="nil"/>
              <w:right w:val="single" w:color="auto" w:sz="4" w:space="0"/>
            </w:tcBorders>
            <w:vAlign w:val="center"/>
          </w:tcPr>
          <w:p w14:paraId="29AC9774">
            <w:pPr>
              <w:spacing w:line="320" w:lineRule="exact"/>
              <w:jc w:val="left"/>
              <w:rPr>
                <w:color w:val="000000"/>
                <w:kern w:val="0"/>
                <w:sz w:val="18"/>
                <w:szCs w:val="18"/>
              </w:rPr>
            </w:pPr>
            <w:r>
              <w:rPr>
                <w:rFonts w:hint="eastAsia"/>
                <w:color w:val="000000"/>
                <w:kern w:val="0"/>
                <w:sz w:val="18"/>
                <w:szCs w:val="18"/>
              </w:rPr>
              <w:t>有违法所得的</w:t>
            </w:r>
          </w:p>
        </w:tc>
        <w:tc>
          <w:tcPr>
            <w:tcW w:w="4628" w:type="dxa"/>
            <w:tcBorders>
              <w:top w:val="single" w:color="auto" w:sz="4" w:space="0"/>
              <w:left w:val="nil"/>
              <w:bottom w:val="single" w:color="auto" w:sz="4" w:space="0"/>
              <w:right w:val="single" w:color="auto" w:sz="4" w:space="0"/>
            </w:tcBorders>
            <w:vAlign w:val="center"/>
          </w:tcPr>
          <w:p w14:paraId="70D9E435">
            <w:pPr>
              <w:spacing w:line="320" w:lineRule="exact"/>
              <w:jc w:val="left"/>
              <w:rPr>
                <w:color w:val="000000"/>
                <w:kern w:val="0"/>
                <w:sz w:val="18"/>
                <w:szCs w:val="18"/>
              </w:rPr>
            </w:pPr>
            <w:r>
              <w:rPr>
                <w:rFonts w:hint="eastAsia"/>
                <w:color w:val="000000"/>
                <w:kern w:val="0"/>
                <w:sz w:val="18"/>
                <w:szCs w:val="18"/>
              </w:rPr>
              <w:t>工程造价成果未交付</w:t>
            </w:r>
          </w:p>
        </w:tc>
        <w:tc>
          <w:tcPr>
            <w:tcW w:w="1080" w:type="dxa"/>
            <w:vMerge w:val="continue"/>
            <w:tcBorders>
              <w:top w:val="nil"/>
              <w:left w:val="single" w:color="auto" w:sz="4" w:space="0"/>
              <w:bottom w:val="single" w:color="auto" w:sz="4" w:space="0"/>
              <w:right w:val="single" w:color="auto" w:sz="4" w:space="0"/>
            </w:tcBorders>
            <w:vAlign w:val="center"/>
          </w:tcPr>
          <w:p w14:paraId="3ECD659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33C042A">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w:t>
            </w:r>
          </w:p>
          <w:p w14:paraId="2AFC50CC">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600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元以下罚款</w:t>
            </w:r>
          </w:p>
        </w:tc>
      </w:tr>
      <w:tr w14:paraId="45B7F329">
        <w:tblPrEx>
          <w:tblCellMar>
            <w:top w:w="0" w:type="dxa"/>
            <w:left w:w="108" w:type="dxa"/>
            <w:bottom w:w="0" w:type="dxa"/>
            <w:right w:w="108" w:type="dxa"/>
          </w:tblCellMar>
        </w:tblPrEx>
        <w:trPr>
          <w:trHeight w:val="401" w:hRule="atLeast"/>
        </w:trPr>
        <w:tc>
          <w:tcPr>
            <w:tcW w:w="1070" w:type="dxa"/>
            <w:vMerge w:val="continue"/>
            <w:tcBorders>
              <w:top w:val="nil"/>
              <w:left w:val="single" w:color="auto" w:sz="8" w:space="0"/>
              <w:bottom w:val="single" w:color="auto" w:sz="4" w:space="0"/>
              <w:right w:val="single" w:color="auto" w:sz="4" w:space="0"/>
            </w:tcBorders>
            <w:vAlign w:val="center"/>
          </w:tcPr>
          <w:p w14:paraId="3C5AE2F3">
            <w:pPr>
              <w:spacing w:line="320" w:lineRule="exact"/>
              <w:jc w:val="left"/>
              <w:rPr>
                <w:color w:val="000000"/>
                <w:kern w:val="0"/>
                <w:sz w:val="18"/>
                <w:szCs w:val="18"/>
              </w:rPr>
            </w:pPr>
          </w:p>
        </w:tc>
        <w:tc>
          <w:tcPr>
            <w:tcW w:w="1512" w:type="dxa"/>
            <w:vMerge w:val="continue"/>
            <w:tcBorders>
              <w:left w:val="nil"/>
              <w:bottom w:val="single" w:color="auto" w:sz="4" w:space="0"/>
              <w:right w:val="single" w:color="auto" w:sz="4" w:space="0"/>
            </w:tcBorders>
            <w:vAlign w:val="center"/>
          </w:tcPr>
          <w:p w14:paraId="0A5E1A42">
            <w:pPr>
              <w:spacing w:line="320" w:lineRule="exact"/>
              <w:jc w:val="left"/>
              <w:rPr>
                <w:color w:val="000000"/>
                <w:kern w:val="0"/>
                <w:sz w:val="18"/>
                <w:szCs w:val="18"/>
              </w:rPr>
            </w:pPr>
          </w:p>
        </w:tc>
        <w:tc>
          <w:tcPr>
            <w:tcW w:w="4628" w:type="dxa"/>
            <w:tcBorders>
              <w:top w:val="single" w:color="auto" w:sz="4" w:space="0"/>
              <w:left w:val="nil"/>
              <w:bottom w:val="single" w:color="auto" w:sz="4" w:space="0"/>
              <w:right w:val="single" w:color="auto" w:sz="4" w:space="0"/>
            </w:tcBorders>
            <w:vAlign w:val="center"/>
          </w:tcPr>
          <w:p w14:paraId="0A59B679">
            <w:pPr>
              <w:spacing w:line="320" w:lineRule="exact"/>
              <w:jc w:val="left"/>
              <w:rPr>
                <w:color w:val="000000"/>
                <w:kern w:val="0"/>
                <w:sz w:val="18"/>
                <w:szCs w:val="18"/>
              </w:rPr>
            </w:pPr>
            <w:r>
              <w:rPr>
                <w:rFonts w:hint="eastAsia"/>
                <w:color w:val="000000"/>
                <w:kern w:val="0"/>
                <w:sz w:val="18"/>
                <w:szCs w:val="18"/>
              </w:rPr>
              <w:t>工程造价成果已交付</w:t>
            </w:r>
          </w:p>
        </w:tc>
        <w:tc>
          <w:tcPr>
            <w:tcW w:w="1080" w:type="dxa"/>
            <w:vMerge w:val="continue"/>
            <w:tcBorders>
              <w:top w:val="nil"/>
              <w:left w:val="single" w:color="auto" w:sz="4" w:space="0"/>
              <w:bottom w:val="single" w:color="auto" w:sz="4" w:space="0"/>
              <w:right w:val="single" w:color="auto" w:sz="4" w:space="0"/>
            </w:tcBorders>
            <w:vAlign w:val="center"/>
          </w:tcPr>
          <w:p w14:paraId="3BFA75B3">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3CCEF66">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14:paraId="0132951B">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2BD7B2F8"/>
    <w:p w14:paraId="07837543"/>
    <w:p w14:paraId="09D2BA6A"/>
    <w:p w14:paraId="5C4C5309"/>
    <w:p w14:paraId="759E8EB3"/>
    <w:tbl>
      <w:tblPr>
        <w:tblStyle w:val="15"/>
        <w:tblW w:w="0" w:type="auto"/>
        <w:tblInd w:w="88" w:type="dxa"/>
        <w:tblLayout w:type="fixed"/>
        <w:tblCellMar>
          <w:top w:w="0" w:type="dxa"/>
          <w:left w:w="108" w:type="dxa"/>
          <w:bottom w:w="0" w:type="dxa"/>
          <w:right w:w="108" w:type="dxa"/>
        </w:tblCellMar>
      </w:tblPr>
      <w:tblGrid>
        <w:gridCol w:w="1010"/>
        <w:gridCol w:w="6098"/>
        <w:gridCol w:w="1134"/>
        <w:gridCol w:w="5774"/>
      </w:tblGrid>
      <w:tr w14:paraId="3545F72B">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2BCB7DF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124F9154">
            <w:pPr>
              <w:spacing w:line="320" w:lineRule="exact"/>
              <w:jc w:val="left"/>
              <w:rPr>
                <w:rFonts w:eastAsia="仿宋_GB2312"/>
                <w:b/>
                <w:bCs/>
                <w:color w:val="000000"/>
                <w:kern w:val="0"/>
                <w:sz w:val="18"/>
                <w:szCs w:val="18"/>
              </w:rPr>
            </w:pPr>
            <w:r>
              <w:rPr>
                <w:b/>
                <w:color w:val="000000"/>
                <w:kern w:val="0"/>
                <w:sz w:val="18"/>
                <w:szCs w:val="18"/>
              </w:rPr>
              <w:t>320217668000</w:t>
            </w:r>
          </w:p>
        </w:tc>
      </w:tr>
      <w:tr w14:paraId="685AB46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EA87048">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1409AC97">
            <w:pPr>
              <w:spacing w:line="320" w:lineRule="exact"/>
              <w:jc w:val="left"/>
              <w:rPr>
                <w:color w:val="000000"/>
                <w:kern w:val="0"/>
                <w:sz w:val="18"/>
                <w:szCs w:val="18"/>
              </w:rPr>
            </w:pPr>
            <w:r>
              <w:rPr>
                <w:rFonts w:hint="eastAsia"/>
                <w:color w:val="000000"/>
              </w:rPr>
              <w:t>对单位和个人未按规定缴纳城市生活垃圾处理费的处罚</w:t>
            </w:r>
          </w:p>
        </w:tc>
      </w:tr>
      <w:tr w14:paraId="11716ABC">
        <w:tblPrEx>
          <w:tblCellMar>
            <w:top w:w="0" w:type="dxa"/>
            <w:left w:w="108" w:type="dxa"/>
            <w:bottom w:w="0" w:type="dxa"/>
            <w:right w:w="108" w:type="dxa"/>
          </w:tblCellMar>
        </w:tblPrEx>
        <w:trPr>
          <w:trHeight w:val="1441" w:hRule="atLeast"/>
        </w:trPr>
        <w:tc>
          <w:tcPr>
            <w:tcW w:w="1010" w:type="dxa"/>
            <w:tcBorders>
              <w:top w:val="nil"/>
              <w:left w:val="single" w:color="auto" w:sz="8" w:space="0"/>
              <w:bottom w:val="single" w:color="auto" w:sz="4" w:space="0"/>
              <w:right w:val="single" w:color="auto" w:sz="4" w:space="0"/>
            </w:tcBorders>
            <w:vAlign w:val="center"/>
          </w:tcPr>
          <w:p w14:paraId="704F78F0">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58CF3226">
            <w:pPr>
              <w:spacing w:line="320" w:lineRule="exact"/>
              <w:jc w:val="left"/>
              <w:rPr>
                <w:color w:val="000000"/>
                <w:kern w:val="0"/>
                <w:sz w:val="18"/>
                <w:szCs w:val="18"/>
              </w:rPr>
            </w:pPr>
            <w:r>
              <w:rPr>
                <w:rFonts w:hint="eastAsia"/>
                <w:color w:val="000000"/>
                <w:kern w:val="0"/>
                <w:sz w:val="18"/>
                <w:szCs w:val="18"/>
              </w:rPr>
              <w:t xml:space="preserve">【规章】《城市生活垃圾管理办法》（建设部令第157号）                                                                        </w:t>
            </w:r>
          </w:p>
          <w:p w14:paraId="00C7FD53">
            <w:pPr>
              <w:spacing w:line="320" w:lineRule="exact"/>
              <w:jc w:val="left"/>
              <w:rPr>
                <w:color w:val="000000"/>
                <w:kern w:val="0"/>
                <w:sz w:val="18"/>
                <w:szCs w:val="18"/>
              </w:rPr>
            </w:pPr>
            <w:r>
              <w:rPr>
                <w:rFonts w:hint="eastAsia"/>
                <w:color w:val="000000"/>
                <w:kern w:val="0"/>
                <w:sz w:val="18"/>
                <w:szCs w:val="18"/>
              </w:rPr>
              <w:t xml:space="preserve">    第四条第一款　产生城市生活垃圾的单位和个人，应当按照城市人民政府确定的生活垃圾处理费收费标准和有关规定缴纳城市生活垃圾处理费。</w:t>
            </w:r>
          </w:p>
          <w:p w14:paraId="4C6734D1">
            <w:pPr>
              <w:spacing w:line="320" w:lineRule="exact"/>
              <w:jc w:val="left"/>
              <w:rPr>
                <w:color w:val="000000"/>
                <w:kern w:val="0"/>
                <w:sz w:val="18"/>
                <w:szCs w:val="18"/>
              </w:rPr>
            </w:pPr>
            <w:r>
              <w:rPr>
                <w:rFonts w:hint="eastAsia"/>
                <w:color w:val="000000"/>
                <w:kern w:val="0"/>
                <w:sz w:val="18"/>
                <w:szCs w:val="18"/>
              </w:rPr>
              <w:t xml:space="preserve">    第三十八条 单位和个人未按规定缴纳城市生活垃圾处理费的，由直辖市、市、县人民政府建设（环境卫生）主管部门责令限期改正，逾期不改正的，对单位可处以应交城市生活垃圾处理费三倍以下且不超过 3 万元的罚款，对个人可处以应交城市生活垃圾处理费三倍以下且不超过 1000 元的罚款。</w:t>
            </w:r>
          </w:p>
        </w:tc>
      </w:tr>
      <w:tr w14:paraId="09E616CB">
        <w:tblPrEx>
          <w:tblCellMar>
            <w:top w:w="0" w:type="dxa"/>
            <w:left w:w="108" w:type="dxa"/>
            <w:bottom w:w="0" w:type="dxa"/>
            <w:right w:w="108" w:type="dxa"/>
          </w:tblCellMar>
        </w:tblPrEx>
        <w:trPr>
          <w:trHeight w:val="340" w:hRule="atLeast"/>
        </w:trPr>
        <w:tc>
          <w:tcPr>
            <w:tcW w:w="1010" w:type="dxa"/>
            <w:tcBorders>
              <w:top w:val="nil"/>
              <w:left w:val="single" w:color="auto" w:sz="8" w:space="0"/>
              <w:bottom w:val="single" w:color="auto" w:sz="4" w:space="0"/>
              <w:right w:val="single" w:color="auto" w:sz="4" w:space="0"/>
            </w:tcBorders>
            <w:vAlign w:val="center"/>
          </w:tcPr>
          <w:p w14:paraId="49249DD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6B89297A">
            <w:pPr>
              <w:spacing w:line="320" w:lineRule="exact"/>
              <w:jc w:val="left"/>
              <w:rPr>
                <w:color w:val="000000"/>
                <w:kern w:val="0"/>
                <w:sz w:val="18"/>
                <w:szCs w:val="18"/>
              </w:rPr>
            </w:pPr>
            <w:r>
              <w:rPr>
                <w:rFonts w:hint="eastAsia"/>
                <w:color w:val="000000"/>
                <w:kern w:val="0"/>
                <w:sz w:val="18"/>
                <w:szCs w:val="18"/>
              </w:rPr>
              <w:t>罚款</w:t>
            </w:r>
          </w:p>
        </w:tc>
      </w:tr>
      <w:tr w14:paraId="29B5E856">
        <w:tblPrEx>
          <w:tblCellMar>
            <w:top w:w="0" w:type="dxa"/>
            <w:left w:w="108" w:type="dxa"/>
            <w:bottom w:w="0" w:type="dxa"/>
            <w:right w:w="108" w:type="dxa"/>
          </w:tblCellMar>
        </w:tblPrEx>
        <w:trPr>
          <w:trHeight w:val="340"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58A1874">
            <w:pPr>
              <w:spacing w:line="320" w:lineRule="exact"/>
              <w:jc w:val="center"/>
              <w:rPr>
                <w:color w:val="000000"/>
                <w:kern w:val="0"/>
                <w:sz w:val="18"/>
                <w:szCs w:val="18"/>
              </w:rPr>
            </w:pPr>
            <w:r>
              <w:rPr>
                <w:rFonts w:hint="eastAsia"/>
                <w:color w:val="000000"/>
                <w:kern w:val="0"/>
                <w:sz w:val="18"/>
                <w:szCs w:val="18"/>
              </w:rPr>
              <w:t>裁量基准</w:t>
            </w:r>
          </w:p>
        </w:tc>
      </w:tr>
      <w:tr w14:paraId="19978665">
        <w:tblPrEx>
          <w:tblCellMar>
            <w:top w:w="0" w:type="dxa"/>
            <w:left w:w="108" w:type="dxa"/>
            <w:bottom w:w="0" w:type="dxa"/>
            <w:right w:w="108" w:type="dxa"/>
          </w:tblCellMar>
        </w:tblPrEx>
        <w:trPr>
          <w:trHeight w:val="340" w:hRule="atLeast"/>
        </w:trPr>
        <w:tc>
          <w:tcPr>
            <w:tcW w:w="1010" w:type="dxa"/>
            <w:vMerge w:val="restart"/>
            <w:tcBorders>
              <w:top w:val="nil"/>
              <w:left w:val="single" w:color="auto" w:sz="8" w:space="0"/>
              <w:bottom w:val="single" w:color="auto" w:sz="4" w:space="0"/>
              <w:right w:val="single" w:color="auto" w:sz="4" w:space="0"/>
            </w:tcBorders>
            <w:vAlign w:val="center"/>
          </w:tcPr>
          <w:p w14:paraId="6CAA836B">
            <w:pPr>
              <w:spacing w:line="320" w:lineRule="exact"/>
              <w:jc w:val="center"/>
              <w:rPr>
                <w:color w:val="000000"/>
                <w:kern w:val="0"/>
                <w:sz w:val="18"/>
                <w:szCs w:val="18"/>
              </w:rPr>
            </w:pPr>
            <w:r>
              <w:rPr>
                <w:rFonts w:hint="eastAsia"/>
                <w:color w:val="000000"/>
                <w:kern w:val="0"/>
                <w:sz w:val="18"/>
                <w:szCs w:val="18"/>
              </w:rPr>
              <w:t>情形描述</w:t>
            </w:r>
          </w:p>
        </w:tc>
        <w:tc>
          <w:tcPr>
            <w:tcW w:w="6098" w:type="dxa"/>
            <w:tcBorders>
              <w:top w:val="single" w:color="auto" w:sz="4" w:space="0"/>
              <w:left w:val="nil"/>
              <w:bottom w:val="single" w:color="auto" w:sz="4" w:space="0"/>
              <w:right w:val="single" w:color="auto" w:sz="4" w:space="0"/>
            </w:tcBorders>
            <w:vAlign w:val="center"/>
          </w:tcPr>
          <w:p w14:paraId="2B89A540">
            <w:pPr>
              <w:rPr>
                <w:color w:val="000000"/>
                <w:kern w:val="0"/>
                <w:sz w:val="18"/>
                <w:szCs w:val="18"/>
              </w:rPr>
            </w:pPr>
            <w:r>
              <w:rPr>
                <w:rFonts w:hint="eastAsia"/>
                <w:color w:val="000000"/>
                <w:kern w:val="0"/>
                <w:sz w:val="18"/>
                <w:szCs w:val="18"/>
              </w:rPr>
              <w:t>累计达三个月以内未按规定缴纳城市生活垃圾处理费的</w:t>
            </w:r>
          </w:p>
        </w:tc>
        <w:tc>
          <w:tcPr>
            <w:tcW w:w="1134" w:type="dxa"/>
            <w:vMerge w:val="restart"/>
            <w:tcBorders>
              <w:top w:val="nil"/>
              <w:left w:val="single" w:color="auto" w:sz="4" w:space="0"/>
              <w:bottom w:val="single" w:color="auto" w:sz="4" w:space="0"/>
              <w:right w:val="single" w:color="auto" w:sz="4" w:space="0"/>
            </w:tcBorders>
            <w:vAlign w:val="center"/>
          </w:tcPr>
          <w:p w14:paraId="55291609">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35E4347A">
            <w:pPr>
              <w:rPr>
                <w:color w:val="000000"/>
                <w:kern w:val="0"/>
                <w:sz w:val="18"/>
                <w:szCs w:val="18"/>
              </w:rPr>
            </w:pPr>
            <w:r>
              <w:rPr>
                <w:rFonts w:hint="eastAsia"/>
                <w:color w:val="000000"/>
                <w:kern w:val="0"/>
                <w:sz w:val="18"/>
                <w:szCs w:val="18"/>
              </w:rPr>
              <w:t>对单位：处应交城市生活垃圾处理费一倍以下且不超过</w:t>
            </w:r>
            <w:r>
              <w:rPr>
                <w:color w:val="000000"/>
                <w:kern w:val="0"/>
                <w:sz w:val="18"/>
                <w:szCs w:val="18"/>
              </w:rPr>
              <w:t xml:space="preserve"> 1</w:t>
            </w:r>
            <w:r>
              <w:rPr>
                <w:rFonts w:hint="eastAsia"/>
                <w:color w:val="000000"/>
                <w:kern w:val="0"/>
                <w:sz w:val="18"/>
                <w:szCs w:val="18"/>
              </w:rPr>
              <w:t>万元的罚款</w:t>
            </w:r>
          </w:p>
          <w:p w14:paraId="11F7B45E">
            <w:pPr>
              <w:rPr>
                <w:color w:val="000000"/>
                <w:kern w:val="0"/>
                <w:sz w:val="18"/>
                <w:szCs w:val="18"/>
              </w:rPr>
            </w:pPr>
            <w:r>
              <w:rPr>
                <w:rFonts w:hint="eastAsia"/>
                <w:color w:val="000000"/>
                <w:kern w:val="0"/>
                <w:sz w:val="18"/>
                <w:szCs w:val="18"/>
              </w:rPr>
              <w:t>对个人：处应交城市生活垃圾处理费一倍以下且不超过</w:t>
            </w:r>
            <w:r>
              <w:rPr>
                <w:color w:val="000000"/>
                <w:kern w:val="0"/>
                <w:sz w:val="18"/>
                <w:szCs w:val="18"/>
              </w:rPr>
              <w:t>500</w:t>
            </w:r>
            <w:r>
              <w:rPr>
                <w:rFonts w:hint="eastAsia"/>
                <w:color w:val="000000"/>
                <w:kern w:val="0"/>
                <w:sz w:val="18"/>
                <w:szCs w:val="18"/>
              </w:rPr>
              <w:t>元的罚款</w:t>
            </w:r>
          </w:p>
        </w:tc>
      </w:tr>
      <w:tr w14:paraId="53F48779">
        <w:tblPrEx>
          <w:tblCellMar>
            <w:top w:w="0" w:type="dxa"/>
            <w:left w:w="108" w:type="dxa"/>
            <w:bottom w:w="0" w:type="dxa"/>
            <w:right w:w="108" w:type="dxa"/>
          </w:tblCellMar>
        </w:tblPrEx>
        <w:trPr>
          <w:trHeight w:val="340" w:hRule="atLeast"/>
        </w:trPr>
        <w:tc>
          <w:tcPr>
            <w:tcW w:w="1010" w:type="dxa"/>
            <w:vMerge w:val="continue"/>
            <w:tcBorders>
              <w:top w:val="nil"/>
              <w:left w:val="single" w:color="auto" w:sz="8" w:space="0"/>
              <w:bottom w:val="single" w:color="auto" w:sz="4" w:space="0"/>
              <w:right w:val="single" w:color="auto" w:sz="4" w:space="0"/>
            </w:tcBorders>
            <w:vAlign w:val="center"/>
          </w:tcPr>
          <w:p w14:paraId="79F5F316">
            <w:pPr>
              <w:jc w:val="left"/>
              <w:rPr>
                <w:color w:val="000000"/>
                <w:kern w:val="0"/>
                <w:sz w:val="18"/>
                <w:szCs w:val="18"/>
              </w:rPr>
            </w:pPr>
          </w:p>
        </w:tc>
        <w:tc>
          <w:tcPr>
            <w:tcW w:w="6098" w:type="dxa"/>
            <w:tcBorders>
              <w:top w:val="single" w:color="auto" w:sz="4" w:space="0"/>
              <w:left w:val="nil"/>
              <w:bottom w:val="single" w:color="auto" w:sz="4" w:space="0"/>
              <w:right w:val="single" w:color="auto" w:sz="4" w:space="0"/>
            </w:tcBorders>
            <w:vAlign w:val="center"/>
          </w:tcPr>
          <w:p w14:paraId="10CFA20C">
            <w:pPr>
              <w:rPr>
                <w:color w:val="000000"/>
                <w:kern w:val="0"/>
                <w:sz w:val="18"/>
                <w:szCs w:val="18"/>
              </w:rPr>
            </w:pPr>
            <w:r>
              <w:rPr>
                <w:rFonts w:hint="eastAsia"/>
                <w:color w:val="000000"/>
                <w:kern w:val="0"/>
                <w:sz w:val="18"/>
                <w:szCs w:val="18"/>
              </w:rPr>
              <w:t>累计达三个月以上六个月以内未按规定缴纳城市生活垃圾处理费的</w:t>
            </w:r>
          </w:p>
        </w:tc>
        <w:tc>
          <w:tcPr>
            <w:tcW w:w="1134" w:type="dxa"/>
            <w:vMerge w:val="continue"/>
            <w:tcBorders>
              <w:top w:val="nil"/>
              <w:left w:val="single" w:color="auto" w:sz="4" w:space="0"/>
              <w:bottom w:val="single" w:color="auto" w:sz="4" w:space="0"/>
              <w:right w:val="single" w:color="auto" w:sz="4" w:space="0"/>
            </w:tcBorders>
            <w:vAlign w:val="center"/>
          </w:tcPr>
          <w:p w14:paraId="43CB3DA0">
            <w:pPr>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6090FC7D">
            <w:pPr>
              <w:rPr>
                <w:color w:val="000000"/>
                <w:kern w:val="0"/>
                <w:sz w:val="18"/>
                <w:szCs w:val="18"/>
              </w:rPr>
            </w:pPr>
            <w:r>
              <w:rPr>
                <w:rFonts w:hint="eastAsia"/>
                <w:color w:val="000000"/>
                <w:kern w:val="0"/>
                <w:sz w:val="18"/>
                <w:szCs w:val="18"/>
              </w:rPr>
              <w:t>对单位：处应交城市生活垃圾处理费一倍以上二倍以下且不超过</w:t>
            </w:r>
            <w:r>
              <w:rPr>
                <w:color w:val="000000"/>
                <w:kern w:val="0"/>
                <w:sz w:val="18"/>
                <w:szCs w:val="18"/>
              </w:rPr>
              <w:t xml:space="preserve"> 2</w:t>
            </w:r>
            <w:r>
              <w:rPr>
                <w:rFonts w:hint="eastAsia"/>
                <w:color w:val="000000"/>
                <w:kern w:val="0"/>
                <w:sz w:val="18"/>
                <w:szCs w:val="18"/>
              </w:rPr>
              <w:t>万元的罚款</w:t>
            </w:r>
          </w:p>
          <w:p w14:paraId="34CE37DE">
            <w:pPr>
              <w:rPr>
                <w:color w:val="000000"/>
                <w:kern w:val="0"/>
                <w:sz w:val="18"/>
                <w:szCs w:val="18"/>
              </w:rPr>
            </w:pPr>
            <w:r>
              <w:rPr>
                <w:rFonts w:hint="eastAsia"/>
                <w:color w:val="000000"/>
                <w:kern w:val="0"/>
                <w:sz w:val="18"/>
                <w:szCs w:val="18"/>
              </w:rPr>
              <w:t>对个人：处应交城市生活垃圾处理费一倍以上二倍以下且不超过</w:t>
            </w:r>
            <w:r>
              <w:rPr>
                <w:color w:val="000000"/>
                <w:kern w:val="0"/>
                <w:sz w:val="18"/>
                <w:szCs w:val="18"/>
              </w:rPr>
              <w:t>800</w:t>
            </w:r>
            <w:r>
              <w:rPr>
                <w:rFonts w:hint="eastAsia"/>
                <w:color w:val="000000"/>
                <w:kern w:val="0"/>
                <w:sz w:val="18"/>
                <w:szCs w:val="18"/>
              </w:rPr>
              <w:t>元的罚款</w:t>
            </w:r>
          </w:p>
        </w:tc>
      </w:tr>
      <w:tr w14:paraId="7FDB1FAA">
        <w:tblPrEx>
          <w:tblCellMar>
            <w:top w:w="0" w:type="dxa"/>
            <w:left w:w="108" w:type="dxa"/>
            <w:bottom w:w="0" w:type="dxa"/>
            <w:right w:w="108" w:type="dxa"/>
          </w:tblCellMar>
        </w:tblPrEx>
        <w:trPr>
          <w:trHeight w:val="340" w:hRule="atLeast"/>
        </w:trPr>
        <w:tc>
          <w:tcPr>
            <w:tcW w:w="1010" w:type="dxa"/>
            <w:vMerge w:val="continue"/>
            <w:tcBorders>
              <w:top w:val="nil"/>
              <w:left w:val="single" w:color="auto" w:sz="8" w:space="0"/>
              <w:bottom w:val="single" w:color="auto" w:sz="4" w:space="0"/>
              <w:right w:val="single" w:color="auto" w:sz="4" w:space="0"/>
            </w:tcBorders>
            <w:vAlign w:val="center"/>
          </w:tcPr>
          <w:p w14:paraId="0E0DF016">
            <w:pPr>
              <w:jc w:val="left"/>
              <w:rPr>
                <w:color w:val="000000"/>
                <w:kern w:val="0"/>
                <w:sz w:val="18"/>
                <w:szCs w:val="18"/>
              </w:rPr>
            </w:pPr>
          </w:p>
        </w:tc>
        <w:tc>
          <w:tcPr>
            <w:tcW w:w="6098" w:type="dxa"/>
            <w:tcBorders>
              <w:top w:val="single" w:color="auto" w:sz="4" w:space="0"/>
              <w:left w:val="nil"/>
              <w:bottom w:val="single" w:color="auto" w:sz="4" w:space="0"/>
              <w:right w:val="single" w:color="auto" w:sz="4" w:space="0"/>
            </w:tcBorders>
            <w:vAlign w:val="center"/>
          </w:tcPr>
          <w:p w14:paraId="574929B7">
            <w:pPr>
              <w:rPr>
                <w:color w:val="000000"/>
                <w:kern w:val="0"/>
                <w:sz w:val="18"/>
                <w:szCs w:val="18"/>
              </w:rPr>
            </w:pPr>
            <w:r>
              <w:rPr>
                <w:rFonts w:hint="eastAsia"/>
                <w:color w:val="000000"/>
                <w:kern w:val="0"/>
                <w:sz w:val="18"/>
                <w:szCs w:val="18"/>
              </w:rPr>
              <w:t>累计达六个月以上未按规定缴纳城市生活垃圾处理费的</w:t>
            </w:r>
          </w:p>
        </w:tc>
        <w:tc>
          <w:tcPr>
            <w:tcW w:w="1134" w:type="dxa"/>
            <w:vMerge w:val="continue"/>
            <w:tcBorders>
              <w:top w:val="nil"/>
              <w:left w:val="single" w:color="auto" w:sz="4" w:space="0"/>
              <w:bottom w:val="single" w:color="auto" w:sz="4" w:space="0"/>
              <w:right w:val="single" w:color="auto" w:sz="4" w:space="0"/>
            </w:tcBorders>
            <w:vAlign w:val="center"/>
          </w:tcPr>
          <w:p w14:paraId="159F7090">
            <w:pPr>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6634D8B4">
            <w:pPr>
              <w:rPr>
                <w:color w:val="000000"/>
                <w:kern w:val="0"/>
                <w:sz w:val="18"/>
                <w:szCs w:val="18"/>
              </w:rPr>
            </w:pPr>
            <w:r>
              <w:rPr>
                <w:rFonts w:hint="eastAsia"/>
                <w:color w:val="000000"/>
                <w:kern w:val="0"/>
                <w:sz w:val="18"/>
                <w:szCs w:val="18"/>
              </w:rPr>
              <w:t>对单位：处应交城市生活垃圾处理费二倍以上三倍以下且不超过</w:t>
            </w:r>
            <w:r>
              <w:rPr>
                <w:color w:val="000000"/>
                <w:kern w:val="0"/>
                <w:sz w:val="18"/>
                <w:szCs w:val="18"/>
              </w:rPr>
              <w:t xml:space="preserve"> 3</w:t>
            </w:r>
            <w:r>
              <w:rPr>
                <w:rFonts w:hint="eastAsia"/>
                <w:color w:val="000000"/>
                <w:kern w:val="0"/>
                <w:sz w:val="18"/>
                <w:szCs w:val="18"/>
              </w:rPr>
              <w:t>万元的罚款</w:t>
            </w:r>
          </w:p>
          <w:p w14:paraId="1FC0BA3B">
            <w:pPr>
              <w:rPr>
                <w:color w:val="000000"/>
                <w:kern w:val="0"/>
                <w:sz w:val="18"/>
                <w:szCs w:val="18"/>
              </w:rPr>
            </w:pPr>
            <w:r>
              <w:rPr>
                <w:rFonts w:hint="eastAsia"/>
                <w:color w:val="000000"/>
                <w:kern w:val="0"/>
                <w:sz w:val="18"/>
                <w:szCs w:val="18"/>
              </w:rPr>
              <w:t>对个人：处应交城市生活垃圾处理费二倍以上三倍以下且不超过</w:t>
            </w:r>
            <w:r>
              <w:rPr>
                <w:color w:val="000000"/>
                <w:kern w:val="0"/>
                <w:sz w:val="18"/>
                <w:szCs w:val="18"/>
              </w:rPr>
              <w:t>1000</w:t>
            </w:r>
            <w:r>
              <w:rPr>
                <w:rFonts w:hint="eastAsia"/>
                <w:color w:val="000000"/>
                <w:kern w:val="0"/>
                <w:sz w:val="18"/>
                <w:szCs w:val="18"/>
              </w:rPr>
              <w:t>元的罚款</w:t>
            </w:r>
          </w:p>
        </w:tc>
      </w:tr>
    </w:tbl>
    <w:p w14:paraId="19CF9EF0"/>
    <w:p w14:paraId="44190251"/>
    <w:tbl>
      <w:tblPr>
        <w:tblStyle w:val="15"/>
        <w:tblW w:w="0" w:type="auto"/>
        <w:tblInd w:w="78" w:type="dxa"/>
        <w:tblLayout w:type="fixed"/>
        <w:tblCellMar>
          <w:top w:w="0" w:type="dxa"/>
          <w:left w:w="108" w:type="dxa"/>
          <w:bottom w:w="0" w:type="dxa"/>
          <w:right w:w="108" w:type="dxa"/>
        </w:tblCellMar>
      </w:tblPr>
      <w:tblGrid>
        <w:gridCol w:w="1070"/>
        <w:gridCol w:w="1795"/>
        <w:gridCol w:w="4253"/>
        <w:gridCol w:w="1134"/>
        <w:gridCol w:w="5798"/>
      </w:tblGrid>
      <w:tr w14:paraId="1A7CADE9">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0F209D6E">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0C3E4B56">
            <w:pPr>
              <w:spacing w:line="320" w:lineRule="exact"/>
              <w:jc w:val="left"/>
              <w:rPr>
                <w:rFonts w:eastAsia="仿宋_GB2312"/>
                <w:b/>
                <w:bCs/>
                <w:color w:val="000000"/>
                <w:kern w:val="0"/>
                <w:sz w:val="18"/>
                <w:szCs w:val="18"/>
              </w:rPr>
            </w:pPr>
            <w:r>
              <w:rPr>
                <w:rFonts w:eastAsia="仿宋_GB2312"/>
                <w:b/>
                <w:bCs/>
                <w:color w:val="000000"/>
                <w:kern w:val="0"/>
                <w:sz w:val="18"/>
                <w:szCs w:val="18"/>
              </w:rPr>
              <w:t>320217672000</w:t>
            </w:r>
          </w:p>
        </w:tc>
      </w:tr>
      <w:tr w14:paraId="3176D57A">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4B14596">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3097C3A1">
            <w:pPr>
              <w:spacing w:line="320" w:lineRule="exact"/>
              <w:jc w:val="left"/>
              <w:rPr>
                <w:color w:val="000000"/>
                <w:kern w:val="0"/>
                <w:sz w:val="18"/>
                <w:szCs w:val="18"/>
              </w:rPr>
            </w:pPr>
            <w:r>
              <w:rPr>
                <w:rFonts w:hint="eastAsia"/>
                <w:color w:val="000000"/>
                <w:kern w:val="0"/>
                <w:sz w:val="18"/>
                <w:szCs w:val="18"/>
              </w:rPr>
              <w:t>对注册造价工程师在非实际执业单位注册的处罚</w:t>
            </w:r>
          </w:p>
        </w:tc>
      </w:tr>
      <w:tr w14:paraId="55A01103">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049D650B">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272FD828">
            <w:pPr>
              <w:spacing w:line="320" w:lineRule="exact"/>
              <w:jc w:val="left"/>
              <w:rPr>
                <w:color w:val="000000"/>
                <w:kern w:val="0"/>
                <w:sz w:val="18"/>
                <w:szCs w:val="18"/>
              </w:rPr>
            </w:pPr>
            <w:r>
              <w:rPr>
                <w:rFonts w:hint="eastAsia"/>
                <w:color w:val="000000"/>
                <w:kern w:val="0"/>
                <w:sz w:val="18"/>
                <w:szCs w:val="18"/>
              </w:rPr>
              <w:t>【规章】《江苏省建设工程造价管理办法》（省政府令第163号）</w:t>
            </w:r>
          </w:p>
          <w:p w14:paraId="6807A5AB">
            <w:pPr>
              <w:spacing w:line="320" w:lineRule="exact"/>
              <w:jc w:val="left"/>
              <w:rPr>
                <w:color w:val="000000"/>
                <w:kern w:val="0"/>
                <w:sz w:val="18"/>
                <w:szCs w:val="18"/>
              </w:rPr>
            </w:pPr>
            <w:r>
              <w:rPr>
                <w:rFonts w:hint="eastAsia"/>
                <w:color w:val="000000"/>
                <w:kern w:val="0"/>
                <w:sz w:val="18"/>
                <w:szCs w:val="18"/>
              </w:rPr>
              <w:t xml:space="preserve">     第二十五条  注册造价工程师不得有下列行为：</w:t>
            </w:r>
          </w:p>
          <w:p w14:paraId="66AEAFF3">
            <w:pPr>
              <w:spacing w:line="320" w:lineRule="exact"/>
              <w:jc w:val="left"/>
              <w:rPr>
                <w:color w:val="000000"/>
                <w:kern w:val="0"/>
                <w:sz w:val="18"/>
                <w:szCs w:val="18"/>
              </w:rPr>
            </w:pPr>
            <w:r>
              <w:rPr>
                <w:rFonts w:hint="eastAsia"/>
                <w:color w:val="000000"/>
                <w:kern w:val="0"/>
                <w:sz w:val="18"/>
                <w:szCs w:val="18"/>
              </w:rPr>
              <w:t xml:space="preserve">      （五）在非实际执业单位注册；</w:t>
            </w:r>
          </w:p>
          <w:p w14:paraId="599ACF96">
            <w:pPr>
              <w:spacing w:line="320" w:lineRule="exact"/>
              <w:jc w:val="left"/>
              <w:rPr>
                <w:color w:val="000000"/>
                <w:kern w:val="0"/>
                <w:sz w:val="18"/>
                <w:szCs w:val="18"/>
              </w:rPr>
            </w:pPr>
            <w:r>
              <w:rPr>
                <w:rFonts w:hint="eastAsia"/>
                <w:color w:val="000000"/>
                <w:kern w:val="0"/>
                <w:sz w:val="18"/>
                <w:szCs w:val="18"/>
              </w:rPr>
              <w:t xml:space="preserve">     第三十二条  注册造价工程师在非实际执业单位注册，县级以上地方人民政府住房城乡建设主管部门应当责令其改正，并可以给予警告和对个人处以五百元以上三千元以下的罚款。</w:t>
            </w:r>
          </w:p>
        </w:tc>
      </w:tr>
      <w:tr w14:paraId="286271FC">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69C89699">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1451F877">
            <w:pPr>
              <w:spacing w:line="320" w:lineRule="exact"/>
              <w:jc w:val="left"/>
              <w:rPr>
                <w:color w:val="000000"/>
                <w:kern w:val="0"/>
                <w:sz w:val="18"/>
                <w:szCs w:val="18"/>
              </w:rPr>
            </w:pPr>
            <w:r>
              <w:rPr>
                <w:rFonts w:hint="eastAsia"/>
                <w:color w:val="000000"/>
                <w:kern w:val="0"/>
                <w:sz w:val="18"/>
                <w:szCs w:val="18"/>
              </w:rPr>
              <w:t>警告、罚款</w:t>
            </w:r>
          </w:p>
        </w:tc>
      </w:tr>
      <w:tr w14:paraId="05EB8FC8">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01F1AA5F">
            <w:pPr>
              <w:spacing w:line="320" w:lineRule="exact"/>
              <w:jc w:val="center"/>
              <w:rPr>
                <w:color w:val="000000"/>
                <w:kern w:val="0"/>
                <w:sz w:val="18"/>
                <w:szCs w:val="18"/>
              </w:rPr>
            </w:pPr>
            <w:r>
              <w:rPr>
                <w:rFonts w:hint="eastAsia"/>
                <w:color w:val="000000"/>
                <w:kern w:val="0"/>
                <w:sz w:val="18"/>
                <w:szCs w:val="18"/>
              </w:rPr>
              <w:t>裁量基准</w:t>
            </w:r>
          </w:p>
        </w:tc>
      </w:tr>
      <w:tr w14:paraId="3BD8EDCB">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2061C0FC">
            <w:pPr>
              <w:spacing w:line="320" w:lineRule="exact"/>
              <w:jc w:val="center"/>
              <w:rPr>
                <w:color w:val="000000"/>
                <w:kern w:val="0"/>
                <w:sz w:val="18"/>
                <w:szCs w:val="18"/>
              </w:rPr>
            </w:pPr>
            <w:r>
              <w:rPr>
                <w:rFonts w:hint="eastAsia"/>
                <w:color w:val="000000"/>
                <w:kern w:val="0"/>
                <w:sz w:val="18"/>
                <w:szCs w:val="18"/>
              </w:rPr>
              <w:t>情形描述</w:t>
            </w:r>
          </w:p>
        </w:tc>
        <w:tc>
          <w:tcPr>
            <w:tcW w:w="6048" w:type="dxa"/>
            <w:gridSpan w:val="2"/>
            <w:tcBorders>
              <w:top w:val="single" w:color="auto" w:sz="4" w:space="0"/>
              <w:left w:val="nil"/>
              <w:bottom w:val="single" w:color="auto" w:sz="4" w:space="0"/>
              <w:right w:val="single" w:color="auto" w:sz="4" w:space="0"/>
            </w:tcBorders>
            <w:vAlign w:val="center"/>
          </w:tcPr>
          <w:p w14:paraId="71A33388">
            <w:pPr>
              <w:spacing w:line="320" w:lineRule="exact"/>
              <w:jc w:val="left"/>
              <w:rPr>
                <w:color w:val="000000"/>
                <w:kern w:val="0"/>
                <w:sz w:val="18"/>
                <w:szCs w:val="18"/>
              </w:rPr>
            </w:pPr>
            <w:r>
              <w:rPr>
                <w:rFonts w:hint="eastAsia"/>
                <w:color w:val="000000"/>
                <w:kern w:val="0"/>
                <w:sz w:val="18"/>
                <w:szCs w:val="18"/>
              </w:rPr>
              <w:t>按照要求整改的</w:t>
            </w:r>
          </w:p>
        </w:tc>
        <w:tc>
          <w:tcPr>
            <w:tcW w:w="1134" w:type="dxa"/>
            <w:vMerge w:val="restart"/>
            <w:tcBorders>
              <w:top w:val="nil"/>
              <w:left w:val="single" w:color="auto" w:sz="4" w:space="0"/>
              <w:bottom w:val="single" w:color="auto" w:sz="4" w:space="0"/>
              <w:right w:val="single" w:color="auto" w:sz="4" w:space="0"/>
            </w:tcBorders>
            <w:vAlign w:val="center"/>
          </w:tcPr>
          <w:p w14:paraId="1B1FC236">
            <w:pPr>
              <w:spacing w:line="320" w:lineRule="exact"/>
              <w:jc w:val="center"/>
              <w:rPr>
                <w:color w:val="000000"/>
                <w:kern w:val="0"/>
                <w:sz w:val="18"/>
                <w:szCs w:val="18"/>
              </w:rPr>
            </w:pPr>
            <w:r>
              <w:rPr>
                <w:rFonts w:hint="eastAsia"/>
                <w:color w:val="000000"/>
                <w:kern w:val="0"/>
                <w:sz w:val="18"/>
                <w:szCs w:val="18"/>
              </w:rPr>
              <w:t>裁量幅度</w:t>
            </w:r>
          </w:p>
        </w:tc>
        <w:tc>
          <w:tcPr>
            <w:tcW w:w="5798" w:type="dxa"/>
            <w:tcBorders>
              <w:top w:val="nil"/>
              <w:left w:val="nil"/>
              <w:bottom w:val="single" w:color="auto" w:sz="4" w:space="0"/>
              <w:right w:val="single" w:color="auto" w:sz="8" w:space="0"/>
            </w:tcBorders>
            <w:vAlign w:val="center"/>
          </w:tcPr>
          <w:p w14:paraId="1FBED15E">
            <w:pPr>
              <w:spacing w:line="320" w:lineRule="exact"/>
              <w:jc w:val="left"/>
              <w:rPr>
                <w:color w:val="000000"/>
                <w:kern w:val="0"/>
                <w:sz w:val="18"/>
                <w:szCs w:val="18"/>
              </w:rPr>
            </w:pPr>
            <w:r>
              <w:rPr>
                <w:rFonts w:hint="eastAsia"/>
                <w:color w:val="000000"/>
                <w:kern w:val="0"/>
                <w:sz w:val="18"/>
                <w:szCs w:val="18"/>
              </w:rPr>
              <w:t>警告</w:t>
            </w:r>
          </w:p>
        </w:tc>
      </w:tr>
      <w:tr w14:paraId="096648B9">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284E05D6">
            <w:pPr>
              <w:spacing w:line="320" w:lineRule="exact"/>
              <w:jc w:val="center"/>
              <w:rPr>
                <w:color w:val="000000"/>
                <w:kern w:val="0"/>
                <w:sz w:val="18"/>
                <w:szCs w:val="18"/>
              </w:rPr>
            </w:pPr>
          </w:p>
        </w:tc>
        <w:tc>
          <w:tcPr>
            <w:tcW w:w="1795" w:type="dxa"/>
            <w:vMerge w:val="restart"/>
            <w:tcBorders>
              <w:top w:val="single" w:color="auto" w:sz="4" w:space="0"/>
              <w:left w:val="nil"/>
              <w:right w:val="single" w:color="auto" w:sz="4" w:space="0"/>
            </w:tcBorders>
            <w:vAlign w:val="center"/>
          </w:tcPr>
          <w:p w14:paraId="306E253A">
            <w:pPr>
              <w:spacing w:line="320" w:lineRule="exact"/>
              <w:jc w:val="left"/>
              <w:rPr>
                <w:color w:val="000000"/>
                <w:kern w:val="0"/>
                <w:sz w:val="18"/>
                <w:szCs w:val="18"/>
              </w:rPr>
            </w:pPr>
            <w:r>
              <w:rPr>
                <w:rFonts w:hint="eastAsia"/>
                <w:color w:val="000000"/>
                <w:kern w:val="0"/>
                <w:sz w:val="18"/>
                <w:szCs w:val="18"/>
              </w:rPr>
              <w:t>未按照要求整改</w:t>
            </w:r>
          </w:p>
        </w:tc>
        <w:tc>
          <w:tcPr>
            <w:tcW w:w="4253" w:type="dxa"/>
            <w:tcBorders>
              <w:top w:val="single" w:color="auto" w:sz="4" w:space="0"/>
              <w:left w:val="nil"/>
              <w:bottom w:val="single" w:color="auto" w:sz="4" w:space="0"/>
              <w:right w:val="single" w:color="auto" w:sz="4" w:space="0"/>
            </w:tcBorders>
            <w:vAlign w:val="center"/>
          </w:tcPr>
          <w:p w14:paraId="33DAAA1D">
            <w:pPr>
              <w:spacing w:line="320" w:lineRule="exact"/>
              <w:jc w:val="left"/>
              <w:rPr>
                <w:color w:val="000000"/>
                <w:kern w:val="0"/>
                <w:sz w:val="18"/>
                <w:szCs w:val="18"/>
              </w:rPr>
            </w:pPr>
            <w:r>
              <w:rPr>
                <w:rFonts w:hint="eastAsia"/>
                <w:color w:val="000000"/>
                <w:kern w:val="0"/>
                <w:sz w:val="18"/>
                <w:szCs w:val="18"/>
              </w:rPr>
              <w:t>注册单位未实际使用其注册资格开展业务的</w:t>
            </w:r>
          </w:p>
        </w:tc>
        <w:tc>
          <w:tcPr>
            <w:tcW w:w="1134" w:type="dxa"/>
            <w:vMerge w:val="continue"/>
            <w:tcBorders>
              <w:top w:val="nil"/>
              <w:left w:val="single" w:color="auto" w:sz="4" w:space="0"/>
              <w:bottom w:val="single" w:color="auto" w:sz="4" w:space="0"/>
              <w:right w:val="single" w:color="auto" w:sz="4" w:space="0"/>
            </w:tcBorders>
            <w:vAlign w:val="center"/>
          </w:tcPr>
          <w:p w14:paraId="2182F10F">
            <w:pPr>
              <w:spacing w:line="320" w:lineRule="exact"/>
              <w:jc w:val="center"/>
              <w:rPr>
                <w:color w:val="000000"/>
                <w:kern w:val="0"/>
                <w:sz w:val="18"/>
                <w:szCs w:val="18"/>
              </w:rPr>
            </w:pPr>
          </w:p>
        </w:tc>
        <w:tc>
          <w:tcPr>
            <w:tcW w:w="5798" w:type="dxa"/>
            <w:tcBorders>
              <w:top w:val="nil"/>
              <w:left w:val="nil"/>
              <w:bottom w:val="single" w:color="auto" w:sz="4" w:space="0"/>
              <w:right w:val="single" w:color="auto" w:sz="8" w:space="0"/>
            </w:tcBorders>
            <w:vAlign w:val="center"/>
          </w:tcPr>
          <w:p w14:paraId="7C52B1A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1500</w:t>
            </w:r>
            <w:r>
              <w:rPr>
                <w:rFonts w:hint="eastAsia"/>
                <w:color w:val="000000"/>
                <w:kern w:val="0"/>
                <w:sz w:val="18"/>
                <w:szCs w:val="18"/>
              </w:rPr>
              <w:t>元以下的罚款</w:t>
            </w:r>
          </w:p>
        </w:tc>
      </w:tr>
      <w:tr w14:paraId="08D64F69">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09BF5D6F">
            <w:pPr>
              <w:spacing w:line="320" w:lineRule="exact"/>
              <w:jc w:val="left"/>
              <w:rPr>
                <w:color w:val="000000"/>
                <w:kern w:val="0"/>
                <w:sz w:val="18"/>
                <w:szCs w:val="18"/>
              </w:rPr>
            </w:pPr>
          </w:p>
        </w:tc>
        <w:tc>
          <w:tcPr>
            <w:tcW w:w="1795" w:type="dxa"/>
            <w:vMerge w:val="continue"/>
            <w:tcBorders>
              <w:left w:val="nil"/>
              <w:bottom w:val="single" w:color="auto" w:sz="4" w:space="0"/>
              <w:right w:val="single" w:color="auto" w:sz="4" w:space="0"/>
            </w:tcBorders>
            <w:vAlign w:val="center"/>
          </w:tcPr>
          <w:p w14:paraId="7B4D9D7F">
            <w:pPr>
              <w:spacing w:line="320" w:lineRule="exact"/>
              <w:jc w:val="left"/>
              <w:rPr>
                <w:color w:val="000000"/>
                <w:kern w:val="0"/>
                <w:sz w:val="18"/>
                <w:szCs w:val="18"/>
              </w:rPr>
            </w:pPr>
          </w:p>
        </w:tc>
        <w:tc>
          <w:tcPr>
            <w:tcW w:w="4253" w:type="dxa"/>
            <w:tcBorders>
              <w:top w:val="single" w:color="auto" w:sz="4" w:space="0"/>
              <w:left w:val="nil"/>
              <w:bottom w:val="single" w:color="auto" w:sz="4" w:space="0"/>
              <w:right w:val="single" w:color="auto" w:sz="4" w:space="0"/>
            </w:tcBorders>
            <w:vAlign w:val="center"/>
          </w:tcPr>
          <w:p w14:paraId="29C07528">
            <w:pPr>
              <w:spacing w:line="320" w:lineRule="exact"/>
              <w:jc w:val="left"/>
              <w:rPr>
                <w:color w:val="000000"/>
                <w:kern w:val="0"/>
                <w:sz w:val="18"/>
                <w:szCs w:val="18"/>
              </w:rPr>
            </w:pPr>
            <w:r>
              <w:rPr>
                <w:rFonts w:hint="eastAsia"/>
                <w:color w:val="000000"/>
                <w:kern w:val="0"/>
                <w:sz w:val="18"/>
                <w:szCs w:val="18"/>
              </w:rPr>
              <w:t>注册单位实际使用其注册资格开展业务的</w:t>
            </w:r>
          </w:p>
        </w:tc>
        <w:tc>
          <w:tcPr>
            <w:tcW w:w="1134" w:type="dxa"/>
            <w:vMerge w:val="continue"/>
            <w:tcBorders>
              <w:top w:val="nil"/>
              <w:left w:val="single" w:color="auto" w:sz="4" w:space="0"/>
              <w:bottom w:val="single" w:color="auto" w:sz="4" w:space="0"/>
              <w:right w:val="single" w:color="auto" w:sz="4" w:space="0"/>
            </w:tcBorders>
            <w:vAlign w:val="center"/>
          </w:tcPr>
          <w:p w14:paraId="2C9444B0">
            <w:pPr>
              <w:spacing w:line="320" w:lineRule="exact"/>
              <w:jc w:val="left"/>
              <w:rPr>
                <w:color w:val="000000"/>
                <w:kern w:val="0"/>
                <w:sz w:val="18"/>
                <w:szCs w:val="18"/>
              </w:rPr>
            </w:pPr>
          </w:p>
        </w:tc>
        <w:tc>
          <w:tcPr>
            <w:tcW w:w="5798" w:type="dxa"/>
            <w:tcBorders>
              <w:top w:val="nil"/>
              <w:left w:val="nil"/>
              <w:bottom w:val="single" w:color="auto" w:sz="4" w:space="0"/>
              <w:right w:val="single" w:color="auto" w:sz="8" w:space="0"/>
            </w:tcBorders>
            <w:vAlign w:val="center"/>
          </w:tcPr>
          <w:p w14:paraId="0698DB1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bl>
    <w:p w14:paraId="7D7AB4EB"/>
    <w:p w14:paraId="0606687F"/>
    <w:p w14:paraId="4C059C9B"/>
    <w:p w14:paraId="22EE52EE"/>
    <w:p w14:paraId="5433D944"/>
    <w:p w14:paraId="64D03BC6"/>
    <w:p w14:paraId="58265F32"/>
    <w:p w14:paraId="7E2EB046"/>
    <w:p w14:paraId="1CA32EF2"/>
    <w:p w14:paraId="3BA49362"/>
    <w:tbl>
      <w:tblPr>
        <w:tblStyle w:val="15"/>
        <w:tblW w:w="0" w:type="auto"/>
        <w:tblInd w:w="88" w:type="dxa"/>
        <w:tblLayout w:type="fixed"/>
        <w:tblCellMar>
          <w:top w:w="0" w:type="dxa"/>
          <w:left w:w="108" w:type="dxa"/>
          <w:bottom w:w="0" w:type="dxa"/>
          <w:right w:w="108" w:type="dxa"/>
        </w:tblCellMar>
      </w:tblPr>
      <w:tblGrid>
        <w:gridCol w:w="1070"/>
        <w:gridCol w:w="6140"/>
        <w:gridCol w:w="1150"/>
        <w:gridCol w:w="5700"/>
      </w:tblGrid>
      <w:tr w14:paraId="631CFDCD">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054B49BD">
            <w:pPr>
              <w:rPr>
                <w:color w:val="000000"/>
              </w:rPr>
            </w:pPr>
            <w:r>
              <w:rPr>
                <w:rFonts w:hint="eastAsia"/>
                <w:color w:val="000000"/>
              </w:rPr>
              <w:t>编号</w:t>
            </w:r>
          </w:p>
        </w:tc>
        <w:tc>
          <w:tcPr>
            <w:tcW w:w="12990" w:type="dxa"/>
            <w:gridSpan w:val="3"/>
            <w:tcBorders>
              <w:top w:val="single" w:color="auto" w:sz="8" w:space="0"/>
              <w:left w:val="nil"/>
              <w:bottom w:val="single" w:color="auto" w:sz="4" w:space="0"/>
              <w:right w:val="single" w:color="000000" w:sz="8" w:space="0"/>
            </w:tcBorders>
            <w:vAlign w:val="center"/>
          </w:tcPr>
          <w:p w14:paraId="684EA76A">
            <w:pPr>
              <w:rPr>
                <w:b/>
                <w:bCs/>
                <w:color w:val="000000"/>
              </w:rPr>
            </w:pPr>
            <w:r>
              <w:rPr>
                <w:b/>
                <w:bCs/>
                <w:color w:val="000000"/>
              </w:rPr>
              <w:t>320217673000</w:t>
            </w:r>
          </w:p>
        </w:tc>
      </w:tr>
      <w:tr w14:paraId="5765DAA0">
        <w:tblPrEx>
          <w:tblCellMar>
            <w:top w:w="0" w:type="dxa"/>
            <w:left w:w="108" w:type="dxa"/>
            <w:bottom w:w="0" w:type="dxa"/>
            <w:right w:w="108" w:type="dxa"/>
          </w:tblCellMar>
        </w:tblPrEx>
        <w:trPr>
          <w:trHeight w:val="540" w:hRule="atLeast"/>
        </w:trPr>
        <w:tc>
          <w:tcPr>
            <w:tcW w:w="1070" w:type="dxa"/>
            <w:tcBorders>
              <w:top w:val="nil"/>
              <w:left w:val="single" w:color="auto" w:sz="8" w:space="0"/>
              <w:bottom w:val="single" w:color="auto" w:sz="4" w:space="0"/>
              <w:right w:val="single" w:color="auto" w:sz="4" w:space="0"/>
            </w:tcBorders>
            <w:vAlign w:val="center"/>
          </w:tcPr>
          <w:p w14:paraId="471FA28A">
            <w:pPr>
              <w:rPr>
                <w:color w:val="000000"/>
              </w:rPr>
            </w:pPr>
            <w:r>
              <w:rPr>
                <w:rFonts w:hint="eastAsia"/>
                <w:color w:val="000000"/>
              </w:rPr>
              <w:t>行为名称</w:t>
            </w:r>
          </w:p>
        </w:tc>
        <w:tc>
          <w:tcPr>
            <w:tcW w:w="12990" w:type="dxa"/>
            <w:gridSpan w:val="3"/>
            <w:tcBorders>
              <w:top w:val="single" w:color="auto" w:sz="4" w:space="0"/>
              <w:left w:val="nil"/>
              <w:bottom w:val="single" w:color="auto" w:sz="4" w:space="0"/>
              <w:right w:val="single" w:color="000000" w:sz="8" w:space="0"/>
            </w:tcBorders>
            <w:vAlign w:val="center"/>
          </w:tcPr>
          <w:p w14:paraId="6A78ABA7">
            <w:pPr>
              <w:rPr>
                <w:color w:val="000000"/>
              </w:rPr>
            </w:pPr>
            <w:r>
              <w:rPr>
                <w:rFonts w:hint="eastAsia"/>
                <w:color w:val="000000"/>
              </w:rPr>
              <w:t>对工程建设项目施工招标人与中标人不按照招标文件和中标人的投标文件订立合同的，合同的主要条款与招标文件、中标人的投标文件内容不一致，或者招标人、中标人订立背离合同实质性内容的协议的，或者招标人擅自提高履约保证金或强制要求中标人垫付中标项目建设资金的处罚</w:t>
            </w:r>
          </w:p>
        </w:tc>
      </w:tr>
      <w:tr w14:paraId="7E96A58F">
        <w:tblPrEx>
          <w:tblCellMar>
            <w:top w:w="0" w:type="dxa"/>
            <w:left w:w="108" w:type="dxa"/>
            <w:bottom w:w="0" w:type="dxa"/>
            <w:right w:w="108" w:type="dxa"/>
          </w:tblCellMar>
        </w:tblPrEx>
        <w:trPr>
          <w:trHeight w:val="1180" w:hRule="atLeast"/>
        </w:trPr>
        <w:tc>
          <w:tcPr>
            <w:tcW w:w="1070" w:type="dxa"/>
            <w:tcBorders>
              <w:top w:val="nil"/>
              <w:left w:val="single" w:color="auto" w:sz="8" w:space="0"/>
              <w:bottom w:val="single" w:color="auto" w:sz="4" w:space="0"/>
              <w:right w:val="single" w:color="auto" w:sz="4" w:space="0"/>
            </w:tcBorders>
            <w:vAlign w:val="center"/>
          </w:tcPr>
          <w:p w14:paraId="68745397">
            <w:pPr>
              <w:rPr>
                <w:color w:val="000000"/>
              </w:rPr>
            </w:pPr>
            <w:r>
              <w:rPr>
                <w:rFonts w:hint="eastAsia"/>
                <w:color w:val="000000"/>
              </w:rPr>
              <w:t>法律依据</w:t>
            </w:r>
          </w:p>
        </w:tc>
        <w:tc>
          <w:tcPr>
            <w:tcW w:w="12990" w:type="dxa"/>
            <w:gridSpan w:val="3"/>
            <w:tcBorders>
              <w:top w:val="single" w:color="auto" w:sz="4" w:space="0"/>
              <w:left w:val="nil"/>
              <w:bottom w:val="single" w:color="auto" w:sz="4" w:space="0"/>
              <w:right w:val="single" w:color="000000" w:sz="8" w:space="0"/>
            </w:tcBorders>
            <w:vAlign w:val="center"/>
          </w:tcPr>
          <w:p w14:paraId="2B1D96C9">
            <w:pPr>
              <w:spacing w:line="320" w:lineRule="exact"/>
              <w:jc w:val="left"/>
              <w:rPr>
                <w:color w:val="000000"/>
                <w:kern w:val="0"/>
                <w:sz w:val="18"/>
                <w:szCs w:val="18"/>
              </w:rPr>
            </w:pPr>
            <w:r>
              <w:rPr>
                <w:rFonts w:hint="eastAsia"/>
                <w:color w:val="000000"/>
                <w:kern w:val="0"/>
                <w:sz w:val="18"/>
                <w:szCs w:val="18"/>
              </w:rPr>
              <w:t>【行政法规】《中华人民共和国招标投标法实施条例》（</w:t>
            </w:r>
            <w:r>
              <w:rPr>
                <w:color w:val="000000"/>
                <w:kern w:val="0"/>
                <w:sz w:val="18"/>
                <w:szCs w:val="18"/>
              </w:rPr>
              <w:t>2011</w:t>
            </w:r>
            <w:r>
              <w:rPr>
                <w:rFonts w:hint="eastAsia"/>
                <w:color w:val="000000"/>
                <w:kern w:val="0"/>
                <w:sz w:val="18"/>
                <w:szCs w:val="18"/>
              </w:rPr>
              <w:t>年国务院令第</w:t>
            </w:r>
            <w:r>
              <w:rPr>
                <w:color w:val="000000"/>
                <w:kern w:val="0"/>
                <w:sz w:val="18"/>
                <w:szCs w:val="18"/>
              </w:rPr>
              <w:t>613</w:t>
            </w:r>
            <w:r>
              <w:rPr>
                <w:rFonts w:hint="eastAsia"/>
                <w:color w:val="000000"/>
                <w:kern w:val="0"/>
                <w:sz w:val="18"/>
                <w:szCs w:val="18"/>
              </w:rPr>
              <w:t>号）</w:t>
            </w:r>
          </w:p>
          <w:p w14:paraId="7A8BCC23">
            <w:pPr>
              <w:spacing w:line="320" w:lineRule="exact"/>
              <w:jc w:val="left"/>
              <w:rPr>
                <w:color w:val="000000"/>
                <w:kern w:val="0"/>
                <w:sz w:val="18"/>
                <w:szCs w:val="18"/>
              </w:rPr>
            </w:pPr>
            <w:r>
              <w:rPr>
                <w:rFonts w:hint="eastAsia"/>
                <w:color w:val="000000"/>
                <w:kern w:val="0"/>
                <w:sz w:val="18"/>
                <w:szCs w:val="18"/>
              </w:rPr>
              <w:t>第五十七条　招标人和中标人应当依照招标投标法和本条例的规定签订书面合同，合同的标的、价款、质量、履行期限等主要条款应当与招标文件和中标人的投标文件的内容一致。招标人和中标人不得再行订立背离合同实质性内容的其他协议。</w:t>
            </w:r>
          </w:p>
          <w:p w14:paraId="3E8B92CF">
            <w:pPr>
              <w:spacing w:line="320" w:lineRule="exact"/>
              <w:jc w:val="left"/>
              <w:rPr>
                <w:color w:val="000000"/>
                <w:kern w:val="0"/>
                <w:sz w:val="18"/>
                <w:szCs w:val="18"/>
              </w:rPr>
            </w:pPr>
            <w:r>
              <w:rPr>
                <w:rFonts w:hint="eastAsia"/>
                <w:color w:val="000000"/>
                <w:kern w:val="0"/>
                <w:sz w:val="18"/>
                <w:szCs w:val="18"/>
              </w:rPr>
              <w:t>第七十五条　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以下的罚款。</w:t>
            </w:r>
          </w:p>
          <w:p w14:paraId="20F9E732">
            <w:pPr>
              <w:spacing w:line="320" w:lineRule="exact"/>
              <w:jc w:val="left"/>
              <w:rPr>
                <w:color w:val="000000"/>
              </w:rPr>
            </w:pP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【规章】《工程建设项目施工招标投标办法》（国家发展和改革委员会、工业和信息化部、财政部、住房和城乡建设部、交通运输部、铁道部、水利部、国家广播电影电视总局、中国民用航空局令第</w:t>
            </w:r>
            <w:r>
              <w:rPr>
                <w:color w:val="000000"/>
                <w:kern w:val="0"/>
                <w:sz w:val="18"/>
                <w:szCs w:val="18"/>
              </w:rPr>
              <w:t>30</w:t>
            </w:r>
            <w:r>
              <w:rPr>
                <w:rFonts w:hint="eastAsia"/>
                <w:color w:val="000000"/>
                <w:kern w:val="0"/>
                <w:sz w:val="18"/>
                <w:szCs w:val="18"/>
              </w:rPr>
              <w:t>号，已根据《关于废止和修改部分招标投标规章和规范性文件的决定》修改）</w:t>
            </w:r>
            <w:r>
              <w:rPr>
                <w:color w:val="000000"/>
                <w:kern w:val="0"/>
                <w:sz w:val="18"/>
                <w:szCs w:val="18"/>
              </w:rPr>
              <w:br w:type="textWrapping"/>
            </w:r>
            <w:r>
              <w:rPr>
                <w:rFonts w:hint="eastAsia"/>
                <w:color w:val="000000"/>
                <w:kern w:val="0"/>
                <w:sz w:val="18"/>
                <w:szCs w:val="18"/>
              </w:rPr>
              <w:t>第八十三条　招标人与中标人不按照招标文件和中标人的投标文件订立合同的，合同的主要条款与招标文件、中标人的投标文件的内容不一致，或者招标人、中标人订立背离合同实质性内容的协议的；可以处中标项目金额千分之五以上千分之十以下的罚款。</w:t>
            </w:r>
          </w:p>
        </w:tc>
      </w:tr>
      <w:tr w14:paraId="206BD2F1">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CF827CC">
            <w:pPr>
              <w:rPr>
                <w:color w:val="000000"/>
              </w:rPr>
            </w:pPr>
            <w:r>
              <w:rPr>
                <w:rFonts w:hint="eastAsia"/>
                <w:color w:val="000000"/>
              </w:rPr>
              <w:t>行使内容</w:t>
            </w:r>
          </w:p>
        </w:tc>
        <w:tc>
          <w:tcPr>
            <w:tcW w:w="12990" w:type="dxa"/>
            <w:gridSpan w:val="3"/>
            <w:tcBorders>
              <w:top w:val="single" w:color="auto" w:sz="4" w:space="0"/>
              <w:left w:val="nil"/>
              <w:bottom w:val="single" w:color="auto" w:sz="4" w:space="0"/>
              <w:right w:val="single" w:color="000000" w:sz="8" w:space="0"/>
            </w:tcBorders>
            <w:vAlign w:val="center"/>
          </w:tcPr>
          <w:p w14:paraId="179BF22E">
            <w:pPr>
              <w:rPr>
                <w:color w:val="000000"/>
              </w:rPr>
            </w:pPr>
            <w:r>
              <w:rPr>
                <w:rFonts w:hint="eastAsia"/>
                <w:color w:val="000000"/>
              </w:rPr>
              <w:t>罚款</w:t>
            </w:r>
          </w:p>
        </w:tc>
      </w:tr>
      <w:tr w14:paraId="50989454">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70BEE955">
            <w:pPr>
              <w:jc w:val="center"/>
              <w:rPr>
                <w:color w:val="000000"/>
              </w:rPr>
            </w:pPr>
            <w:r>
              <w:rPr>
                <w:rFonts w:hint="eastAsia"/>
                <w:color w:val="000000"/>
              </w:rPr>
              <w:t>裁量基准</w:t>
            </w:r>
          </w:p>
        </w:tc>
      </w:tr>
      <w:tr w14:paraId="59785420">
        <w:tblPrEx>
          <w:tblCellMar>
            <w:top w:w="0" w:type="dxa"/>
            <w:left w:w="108" w:type="dxa"/>
            <w:bottom w:w="0" w:type="dxa"/>
            <w:right w:w="108" w:type="dxa"/>
          </w:tblCellMar>
        </w:tblPrEx>
        <w:trPr>
          <w:trHeight w:val="580" w:hRule="atLeast"/>
        </w:trPr>
        <w:tc>
          <w:tcPr>
            <w:tcW w:w="1070" w:type="dxa"/>
            <w:vMerge w:val="restart"/>
            <w:tcBorders>
              <w:top w:val="single" w:color="auto" w:sz="4" w:space="0"/>
              <w:left w:val="single" w:color="auto" w:sz="4" w:space="0"/>
              <w:bottom w:val="single" w:color="auto" w:sz="4" w:space="0"/>
              <w:right w:val="single" w:color="auto" w:sz="4" w:space="0"/>
            </w:tcBorders>
            <w:vAlign w:val="center"/>
          </w:tcPr>
          <w:p w14:paraId="4B8F3CD3">
            <w:pPr>
              <w:rPr>
                <w:color w:val="000000"/>
              </w:rPr>
            </w:pPr>
            <w:r>
              <w:rPr>
                <w:rFonts w:hint="eastAsia"/>
                <w:color w:val="000000"/>
              </w:rPr>
              <w:t>情形描述</w:t>
            </w:r>
          </w:p>
        </w:tc>
        <w:tc>
          <w:tcPr>
            <w:tcW w:w="6140" w:type="dxa"/>
            <w:tcBorders>
              <w:top w:val="single" w:color="auto" w:sz="4" w:space="0"/>
              <w:left w:val="single" w:color="auto" w:sz="4" w:space="0"/>
              <w:bottom w:val="single" w:color="auto" w:sz="4" w:space="0"/>
              <w:right w:val="nil"/>
            </w:tcBorders>
            <w:vAlign w:val="center"/>
          </w:tcPr>
          <w:p w14:paraId="1847C58E">
            <w:pPr>
              <w:rPr>
                <w:color w:val="000000"/>
              </w:rPr>
            </w:pPr>
            <w:r>
              <w:rPr>
                <w:rFonts w:hint="eastAsia"/>
                <w:color w:val="000000"/>
              </w:rPr>
              <w:t>及时纠正且未对他人造成损失</w:t>
            </w:r>
          </w:p>
        </w:tc>
        <w:tc>
          <w:tcPr>
            <w:tcW w:w="1150" w:type="dxa"/>
            <w:vMerge w:val="restart"/>
            <w:tcBorders>
              <w:top w:val="single" w:color="auto" w:sz="4" w:space="0"/>
              <w:left w:val="single" w:color="auto" w:sz="4" w:space="0"/>
              <w:bottom w:val="single" w:color="auto" w:sz="4" w:space="0"/>
              <w:right w:val="single" w:color="auto" w:sz="4" w:space="0"/>
            </w:tcBorders>
            <w:vAlign w:val="center"/>
          </w:tcPr>
          <w:p w14:paraId="028BA6CE">
            <w:pPr>
              <w:rPr>
                <w:color w:val="000000"/>
              </w:rPr>
            </w:pPr>
            <w:r>
              <w:rPr>
                <w:rFonts w:hint="eastAsia"/>
                <w:color w:val="000000"/>
              </w:rPr>
              <w:t>裁量幅度</w:t>
            </w:r>
          </w:p>
        </w:tc>
        <w:tc>
          <w:tcPr>
            <w:tcW w:w="5700" w:type="dxa"/>
            <w:tcBorders>
              <w:top w:val="single" w:color="auto" w:sz="4" w:space="0"/>
              <w:left w:val="nil"/>
              <w:bottom w:val="single" w:color="auto" w:sz="4" w:space="0"/>
              <w:right w:val="single" w:color="auto" w:sz="4" w:space="0"/>
            </w:tcBorders>
            <w:vAlign w:val="center"/>
          </w:tcPr>
          <w:p w14:paraId="162328E6">
            <w:pPr>
              <w:rPr>
                <w:color w:val="000000"/>
              </w:rPr>
            </w:pPr>
            <w:r>
              <w:rPr>
                <w:rFonts w:hint="eastAsia"/>
                <w:color w:val="000000"/>
              </w:rPr>
              <w:t>处中标项目金额</w:t>
            </w:r>
            <w:r>
              <w:rPr>
                <w:color w:val="000000"/>
              </w:rPr>
              <w:t>5‰</w:t>
            </w:r>
            <w:r>
              <w:rPr>
                <w:rFonts w:hint="eastAsia"/>
                <w:color w:val="000000"/>
              </w:rPr>
              <w:t>以上</w:t>
            </w:r>
            <w:r>
              <w:rPr>
                <w:color w:val="000000"/>
              </w:rPr>
              <w:t>6‰</w:t>
            </w:r>
            <w:r>
              <w:rPr>
                <w:rFonts w:hint="eastAsia"/>
                <w:color w:val="000000"/>
              </w:rPr>
              <w:t>以下的罚款</w:t>
            </w:r>
          </w:p>
        </w:tc>
      </w:tr>
      <w:tr w14:paraId="746AC459">
        <w:tblPrEx>
          <w:tblCellMar>
            <w:top w:w="0" w:type="dxa"/>
            <w:left w:w="108" w:type="dxa"/>
            <w:bottom w:w="0" w:type="dxa"/>
            <w:right w:w="108" w:type="dxa"/>
          </w:tblCellMar>
        </w:tblPrEx>
        <w:trPr>
          <w:trHeight w:val="562" w:hRule="atLeast"/>
        </w:trPr>
        <w:tc>
          <w:tcPr>
            <w:tcW w:w="1070" w:type="dxa"/>
            <w:vMerge w:val="continue"/>
            <w:tcBorders>
              <w:top w:val="single" w:color="auto" w:sz="4" w:space="0"/>
              <w:left w:val="single" w:color="auto" w:sz="4" w:space="0"/>
              <w:bottom w:val="single" w:color="auto" w:sz="4" w:space="0"/>
              <w:right w:val="single" w:color="auto" w:sz="4" w:space="0"/>
            </w:tcBorders>
            <w:vAlign w:val="center"/>
          </w:tcPr>
          <w:p w14:paraId="2AAB836E">
            <w:pPr>
              <w:rPr>
                <w:color w:val="000000"/>
              </w:rPr>
            </w:pPr>
          </w:p>
        </w:tc>
        <w:tc>
          <w:tcPr>
            <w:tcW w:w="6140" w:type="dxa"/>
            <w:tcBorders>
              <w:top w:val="single" w:color="auto" w:sz="4" w:space="0"/>
              <w:left w:val="single" w:color="auto" w:sz="4" w:space="0"/>
              <w:bottom w:val="single" w:color="auto" w:sz="4" w:space="0"/>
              <w:right w:val="nil"/>
            </w:tcBorders>
            <w:vAlign w:val="center"/>
          </w:tcPr>
          <w:p w14:paraId="356F8749">
            <w:pPr>
              <w:rPr>
                <w:color w:val="000000"/>
              </w:rPr>
            </w:pPr>
            <w:r>
              <w:rPr>
                <w:rFonts w:hint="eastAsia"/>
                <w:color w:val="000000"/>
              </w:rPr>
              <w:t>及时纠正且已对他人造成损失</w:t>
            </w:r>
          </w:p>
        </w:tc>
        <w:tc>
          <w:tcPr>
            <w:tcW w:w="1150" w:type="dxa"/>
            <w:vMerge w:val="continue"/>
            <w:tcBorders>
              <w:top w:val="single" w:color="auto" w:sz="4" w:space="0"/>
              <w:left w:val="single" w:color="auto" w:sz="4" w:space="0"/>
              <w:bottom w:val="single" w:color="auto" w:sz="4" w:space="0"/>
              <w:right w:val="single" w:color="auto" w:sz="4" w:space="0"/>
            </w:tcBorders>
            <w:vAlign w:val="center"/>
          </w:tcPr>
          <w:p w14:paraId="7257A4B4">
            <w:pPr>
              <w:rPr>
                <w:color w:val="000000"/>
              </w:rPr>
            </w:pPr>
          </w:p>
        </w:tc>
        <w:tc>
          <w:tcPr>
            <w:tcW w:w="5700" w:type="dxa"/>
            <w:tcBorders>
              <w:top w:val="single" w:color="auto" w:sz="4" w:space="0"/>
              <w:left w:val="nil"/>
              <w:bottom w:val="single" w:color="auto" w:sz="4" w:space="0"/>
              <w:right w:val="single" w:color="auto" w:sz="4" w:space="0"/>
            </w:tcBorders>
            <w:vAlign w:val="center"/>
          </w:tcPr>
          <w:p w14:paraId="402BF25F">
            <w:pPr>
              <w:rPr>
                <w:color w:val="000000"/>
              </w:rPr>
            </w:pPr>
            <w:r>
              <w:rPr>
                <w:rFonts w:hint="eastAsia"/>
                <w:color w:val="000000"/>
              </w:rPr>
              <w:t>处中标项目金额</w:t>
            </w:r>
            <w:r>
              <w:rPr>
                <w:color w:val="000000"/>
              </w:rPr>
              <w:t>6‰</w:t>
            </w:r>
            <w:r>
              <w:rPr>
                <w:rFonts w:hint="eastAsia"/>
                <w:color w:val="000000"/>
              </w:rPr>
              <w:t>以上</w:t>
            </w:r>
            <w:r>
              <w:rPr>
                <w:color w:val="000000"/>
              </w:rPr>
              <w:t>8‰</w:t>
            </w:r>
            <w:r>
              <w:rPr>
                <w:rFonts w:hint="eastAsia"/>
                <w:color w:val="000000"/>
              </w:rPr>
              <w:t>以下的罚款</w:t>
            </w:r>
          </w:p>
        </w:tc>
      </w:tr>
      <w:tr w14:paraId="3BBA55F8">
        <w:tblPrEx>
          <w:tblCellMar>
            <w:top w:w="0" w:type="dxa"/>
            <w:left w:w="108" w:type="dxa"/>
            <w:bottom w:w="0" w:type="dxa"/>
            <w:right w:w="108" w:type="dxa"/>
          </w:tblCellMar>
        </w:tblPrEx>
        <w:trPr>
          <w:trHeight w:val="400" w:hRule="atLeast"/>
        </w:trPr>
        <w:tc>
          <w:tcPr>
            <w:tcW w:w="1070" w:type="dxa"/>
            <w:vMerge w:val="continue"/>
            <w:tcBorders>
              <w:top w:val="single" w:color="auto" w:sz="4" w:space="0"/>
              <w:left w:val="single" w:color="auto" w:sz="4" w:space="0"/>
              <w:bottom w:val="single" w:color="auto" w:sz="4" w:space="0"/>
              <w:right w:val="single" w:color="auto" w:sz="4" w:space="0"/>
            </w:tcBorders>
            <w:vAlign w:val="center"/>
          </w:tcPr>
          <w:p w14:paraId="47C21832">
            <w:pPr>
              <w:rPr>
                <w:color w:val="000000"/>
              </w:rPr>
            </w:pPr>
          </w:p>
        </w:tc>
        <w:tc>
          <w:tcPr>
            <w:tcW w:w="6140" w:type="dxa"/>
            <w:tcBorders>
              <w:top w:val="single" w:color="auto" w:sz="4" w:space="0"/>
              <w:left w:val="single" w:color="auto" w:sz="4" w:space="0"/>
              <w:bottom w:val="single" w:color="auto" w:sz="4" w:space="0"/>
              <w:right w:val="nil"/>
            </w:tcBorders>
            <w:vAlign w:val="center"/>
          </w:tcPr>
          <w:p w14:paraId="0765AAA8">
            <w:pPr>
              <w:rPr>
                <w:color w:val="000000"/>
              </w:rPr>
            </w:pPr>
            <w:r>
              <w:rPr>
                <w:rFonts w:hint="eastAsia"/>
                <w:color w:val="000000"/>
              </w:rPr>
              <w:t>拒不纠正的</w:t>
            </w:r>
          </w:p>
        </w:tc>
        <w:tc>
          <w:tcPr>
            <w:tcW w:w="1150" w:type="dxa"/>
            <w:vMerge w:val="continue"/>
            <w:tcBorders>
              <w:top w:val="single" w:color="auto" w:sz="4" w:space="0"/>
              <w:left w:val="single" w:color="auto" w:sz="4" w:space="0"/>
              <w:bottom w:val="single" w:color="auto" w:sz="4" w:space="0"/>
              <w:right w:val="single" w:color="auto" w:sz="4" w:space="0"/>
            </w:tcBorders>
            <w:vAlign w:val="center"/>
          </w:tcPr>
          <w:p w14:paraId="6E7B8AC0">
            <w:pPr>
              <w:rPr>
                <w:color w:val="000000"/>
              </w:rPr>
            </w:pPr>
          </w:p>
        </w:tc>
        <w:tc>
          <w:tcPr>
            <w:tcW w:w="5700" w:type="dxa"/>
            <w:tcBorders>
              <w:top w:val="single" w:color="auto" w:sz="4" w:space="0"/>
              <w:left w:val="nil"/>
              <w:bottom w:val="single" w:color="auto" w:sz="4" w:space="0"/>
              <w:right w:val="single" w:color="auto" w:sz="4" w:space="0"/>
            </w:tcBorders>
            <w:vAlign w:val="center"/>
          </w:tcPr>
          <w:p w14:paraId="70D2FEF1">
            <w:pPr>
              <w:rPr>
                <w:color w:val="000000"/>
              </w:rPr>
            </w:pPr>
            <w:r>
              <w:rPr>
                <w:rFonts w:hint="eastAsia"/>
                <w:color w:val="000000"/>
              </w:rPr>
              <w:t>处中标项目金额</w:t>
            </w:r>
            <w:r>
              <w:rPr>
                <w:color w:val="000000"/>
              </w:rPr>
              <w:t>8‰</w:t>
            </w:r>
            <w:r>
              <w:rPr>
                <w:rFonts w:hint="eastAsia"/>
                <w:color w:val="000000"/>
              </w:rPr>
              <w:t>以上</w:t>
            </w:r>
            <w:r>
              <w:rPr>
                <w:color w:val="000000"/>
              </w:rPr>
              <w:t>10‰</w:t>
            </w:r>
            <w:r>
              <w:rPr>
                <w:rFonts w:hint="eastAsia"/>
                <w:color w:val="000000"/>
              </w:rPr>
              <w:t>以下的罚款</w:t>
            </w:r>
          </w:p>
        </w:tc>
      </w:tr>
    </w:tbl>
    <w:p w14:paraId="0A7593AB"/>
    <w:p w14:paraId="41B53F94"/>
    <w:tbl>
      <w:tblPr>
        <w:tblStyle w:val="15"/>
        <w:tblW w:w="0" w:type="auto"/>
        <w:tblInd w:w="88" w:type="dxa"/>
        <w:tblLayout w:type="fixed"/>
        <w:tblCellMar>
          <w:top w:w="0" w:type="dxa"/>
          <w:left w:w="108" w:type="dxa"/>
          <w:bottom w:w="0" w:type="dxa"/>
          <w:right w:w="108" w:type="dxa"/>
        </w:tblCellMar>
      </w:tblPr>
      <w:tblGrid>
        <w:gridCol w:w="1010"/>
        <w:gridCol w:w="6376"/>
        <w:gridCol w:w="1016"/>
        <w:gridCol w:w="5614"/>
      </w:tblGrid>
      <w:tr w14:paraId="2D739C96">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AC917A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9CB8B69">
            <w:pPr>
              <w:spacing w:line="320" w:lineRule="exact"/>
              <w:jc w:val="left"/>
              <w:rPr>
                <w:rFonts w:eastAsia="仿宋_GB2312"/>
                <w:b/>
                <w:bCs/>
                <w:color w:val="000000"/>
                <w:kern w:val="0"/>
                <w:sz w:val="18"/>
                <w:szCs w:val="18"/>
              </w:rPr>
            </w:pPr>
            <w:r>
              <w:rPr>
                <w:b/>
                <w:color w:val="000000"/>
                <w:kern w:val="0"/>
                <w:sz w:val="18"/>
                <w:szCs w:val="18"/>
              </w:rPr>
              <w:t>320217676000</w:t>
            </w:r>
            <w:r>
              <w:rPr>
                <w:rFonts w:hint="eastAsia"/>
                <w:b/>
                <w:color w:val="000000"/>
                <w:kern w:val="0"/>
                <w:sz w:val="18"/>
                <w:szCs w:val="18"/>
              </w:rPr>
              <w:t xml:space="preserve"> </w:t>
            </w:r>
          </w:p>
        </w:tc>
      </w:tr>
      <w:tr w14:paraId="2105B00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42E034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085BBCBC">
            <w:pPr>
              <w:spacing w:line="320" w:lineRule="exact"/>
              <w:jc w:val="left"/>
              <w:rPr>
                <w:color w:val="000000"/>
                <w:kern w:val="0"/>
                <w:sz w:val="18"/>
                <w:szCs w:val="18"/>
              </w:rPr>
            </w:pPr>
            <w:r>
              <w:rPr>
                <w:rFonts w:hint="eastAsia"/>
                <w:color w:val="000000"/>
              </w:rPr>
              <w:t>对未按照城市生活垃圾治理规划和环境卫生设施标准配套建设城市生活垃圾收集设施的处罚</w:t>
            </w:r>
          </w:p>
        </w:tc>
      </w:tr>
      <w:tr w14:paraId="4230634F">
        <w:tblPrEx>
          <w:tblCellMar>
            <w:top w:w="0" w:type="dxa"/>
            <w:left w:w="108" w:type="dxa"/>
            <w:bottom w:w="0" w:type="dxa"/>
            <w:right w:w="108" w:type="dxa"/>
          </w:tblCellMar>
        </w:tblPrEx>
        <w:trPr>
          <w:trHeight w:val="1455" w:hRule="atLeast"/>
        </w:trPr>
        <w:tc>
          <w:tcPr>
            <w:tcW w:w="1010" w:type="dxa"/>
            <w:tcBorders>
              <w:top w:val="nil"/>
              <w:left w:val="single" w:color="auto" w:sz="8" w:space="0"/>
              <w:bottom w:val="single" w:color="auto" w:sz="4" w:space="0"/>
              <w:right w:val="single" w:color="auto" w:sz="4" w:space="0"/>
            </w:tcBorders>
            <w:vAlign w:val="center"/>
          </w:tcPr>
          <w:p w14:paraId="5503F46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1620CD3F">
            <w:pPr>
              <w:rPr>
                <w:color w:val="000000"/>
                <w:kern w:val="0"/>
                <w:sz w:val="18"/>
                <w:szCs w:val="18"/>
              </w:rPr>
            </w:pPr>
            <w:r>
              <w:rPr>
                <w:rFonts w:hint="eastAsia"/>
                <w:color w:val="000000"/>
                <w:kern w:val="0"/>
                <w:sz w:val="18"/>
                <w:szCs w:val="18"/>
              </w:rPr>
              <w:t>【法律】《中华人民共和国固体废物污染环境防治法》</w:t>
            </w:r>
            <w:r>
              <w:rPr>
                <w:color w:val="000000"/>
                <w:kern w:val="0"/>
                <w:sz w:val="18"/>
                <w:szCs w:val="18"/>
              </w:rPr>
              <w:t xml:space="preserve"> </w:t>
            </w:r>
          </w:p>
          <w:p w14:paraId="363D47D4">
            <w:pPr>
              <w:rPr>
                <w:color w:val="000000"/>
                <w:kern w:val="0"/>
                <w:sz w:val="18"/>
                <w:szCs w:val="18"/>
              </w:rPr>
            </w:pPr>
            <w:r>
              <w:rPr>
                <w:rFonts w:hint="eastAsia"/>
                <w:color w:val="000000"/>
                <w:kern w:val="0"/>
                <w:sz w:val="18"/>
                <w:szCs w:val="18"/>
              </w:rPr>
              <w:t>第五十三条第一款</w:t>
            </w:r>
            <w:r>
              <w:rPr>
                <w:color w:val="000000"/>
                <w:kern w:val="0"/>
                <w:sz w:val="18"/>
                <w:szCs w:val="18"/>
              </w:rPr>
              <w:t xml:space="preserve">  </w:t>
            </w:r>
            <w:r>
              <w:rPr>
                <w:rFonts w:hint="eastAsia"/>
                <w:color w:val="000000"/>
                <w:kern w:val="0"/>
                <w:sz w:val="18"/>
                <w:szCs w:val="18"/>
              </w:rPr>
              <w:t>从事城市新区开发、旧区改建和住宅小区开发建设、村镇建设的单位，以及机场、码头、车站、公园、商场、体育场馆等公共设施、场所的经营管理单位，应当按照国家有关环境卫生的规定，配套建设生活垃圾收集设施。</w:t>
            </w:r>
          </w:p>
          <w:p w14:paraId="2DD97459">
            <w:pPr>
              <w:rPr>
                <w:color w:val="000000"/>
                <w:kern w:val="0"/>
                <w:sz w:val="18"/>
                <w:szCs w:val="18"/>
              </w:rPr>
            </w:pPr>
            <w:r>
              <w:rPr>
                <w:rFonts w:hint="eastAsia"/>
                <w:color w:val="000000"/>
                <w:kern w:val="0"/>
                <w:sz w:val="18"/>
                <w:szCs w:val="18"/>
              </w:rPr>
              <w:t>【规章】《城市生活垃圾管理办法》（建设部令第</w:t>
            </w:r>
            <w:r>
              <w:rPr>
                <w:color w:val="000000"/>
                <w:kern w:val="0"/>
                <w:sz w:val="18"/>
                <w:szCs w:val="18"/>
              </w:rPr>
              <w:t>157</w:t>
            </w:r>
            <w:r>
              <w:rPr>
                <w:rFonts w:hint="eastAsia"/>
                <w:color w:val="000000"/>
                <w:kern w:val="0"/>
                <w:sz w:val="18"/>
                <w:szCs w:val="18"/>
              </w:rPr>
              <w:t>号）</w:t>
            </w:r>
          </w:p>
          <w:p w14:paraId="1DEC1935">
            <w:pPr>
              <w:rPr>
                <w:color w:val="000000"/>
                <w:kern w:val="0"/>
                <w:sz w:val="18"/>
                <w:szCs w:val="18"/>
              </w:rPr>
            </w:pPr>
            <w:r>
              <w:rPr>
                <w:color w:val="000000"/>
                <w:kern w:val="0"/>
                <w:sz w:val="18"/>
                <w:szCs w:val="18"/>
              </w:rPr>
              <w:t xml:space="preserve">   </w:t>
            </w:r>
            <w:r>
              <w:rPr>
                <w:rFonts w:hint="eastAsia"/>
                <w:color w:val="000000"/>
                <w:kern w:val="0"/>
                <w:sz w:val="18"/>
                <w:szCs w:val="18"/>
              </w:rPr>
              <w:t>第十条　从事新区开发、旧区改建和住宅小区开发建设的单位，以及机场、码头、车站、公园、商店等公共设施、场所的经营管理单位，应当按照城市生活垃圾治理规划和环境卫生设施的设置标准，配套建设城市生活垃圾收集设施。</w:t>
            </w:r>
          </w:p>
          <w:p w14:paraId="2C924BA4">
            <w:pPr>
              <w:spacing w:line="320" w:lineRule="exact"/>
              <w:jc w:val="left"/>
              <w:rPr>
                <w:color w:val="000000"/>
                <w:kern w:val="0"/>
                <w:sz w:val="18"/>
                <w:szCs w:val="18"/>
              </w:rPr>
            </w:pPr>
            <w:r>
              <w:rPr>
                <w:rFonts w:hint="eastAsia"/>
                <w:color w:val="000000"/>
                <w:kern w:val="0"/>
                <w:sz w:val="18"/>
                <w:szCs w:val="18"/>
              </w:rPr>
              <w:t>第三十九条　违反本办法第十条规定，未按照城市生活垃圾治理规划和环境卫生设施标准配套建设城市生活垃圾收集设施的，由直辖市、市、县人民政府建设（环境卫生）主管部门责令限期改正，并可处以</w:t>
            </w:r>
            <w:r>
              <w:rPr>
                <w:color w:val="000000"/>
                <w:kern w:val="0"/>
                <w:sz w:val="18"/>
                <w:szCs w:val="18"/>
              </w:rPr>
              <w:t>1</w:t>
            </w:r>
            <w:r>
              <w:rPr>
                <w:rFonts w:hint="eastAsia"/>
                <w:color w:val="000000"/>
                <w:kern w:val="0"/>
                <w:sz w:val="18"/>
                <w:szCs w:val="18"/>
              </w:rPr>
              <w:t>万元以下的罚款。</w:t>
            </w:r>
          </w:p>
        </w:tc>
      </w:tr>
      <w:tr w14:paraId="108EBEF2">
        <w:tblPrEx>
          <w:tblCellMar>
            <w:top w:w="0" w:type="dxa"/>
            <w:left w:w="108" w:type="dxa"/>
            <w:bottom w:w="0" w:type="dxa"/>
            <w:right w:w="108" w:type="dxa"/>
          </w:tblCellMar>
        </w:tblPrEx>
        <w:trPr>
          <w:trHeight w:val="340" w:hRule="atLeast"/>
        </w:trPr>
        <w:tc>
          <w:tcPr>
            <w:tcW w:w="1010" w:type="dxa"/>
            <w:tcBorders>
              <w:top w:val="nil"/>
              <w:left w:val="single" w:color="auto" w:sz="8" w:space="0"/>
              <w:bottom w:val="single" w:color="auto" w:sz="4" w:space="0"/>
              <w:right w:val="single" w:color="auto" w:sz="4" w:space="0"/>
            </w:tcBorders>
            <w:vAlign w:val="center"/>
          </w:tcPr>
          <w:p w14:paraId="7ACF6F9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2005A1FA">
            <w:pPr>
              <w:spacing w:line="320" w:lineRule="exact"/>
              <w:jc w:val="left"/>
              <w:rPr>
                <w:color w:val="000000"/>
                <w:kern w:val="0"/>
                <w:sz w:val="18"/>
                <w:szCs w:val="18"/>
              </w:rPr>
            </w:pPr>
            <w:r>
              <w:rPr>
                <w:rFonts w:hint="eastAsia"/>
                <w:color w:val="000000"/>
                <w:kern w:val="0"/>
                <w:sz w:val="18"/>
                <w:szCs w:val="18"/>
              </w:rPr>
              <w:t>责令限期改正，罚款</w:t>
            </w:r>
          </w:p>
        </w:tc>
      </w:tr>
      <w:tr w14:paraId="5DFA7712">
        <w:tblPrEx>
          <w:tblCellMar>
            <w:top w:w="0" w:type="dxa"/>
            <w:left w:w="108" w:type="dxa"/>
            <w:bottom w:w="0" w:type="dxa"/>
            <w:right w:w="108" w:type="dxa"/>
          </w:tblCellMar>
        </w:tblPrEx>
        <w:trPr>
          <w:trHeight w:val="340"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49BA990E">
            <w:pPr>
              <w:spacing w:line="320" w:lineRule="exact"/>
              <w:jc w:val="center"/>
              <w:rPr>
                <w:color w:val="000000"/>
                <w:kern w:val="0"/>
                <w:sz w:val="18"/>
                <w:szCs w:val="18"/>
              </w:rPr>
            </w:pPr>
            <w:r>
              <w:rPr>
                <w:rFonts w:hint="eastAsia"/>
                <w:color w:val="000000"/>
                <w:kern w:val="0"/>
                <w:sz w:val="18"/>
                <w:szCs w:val="18"/>
              </w:rPr>
              <w:t>裁量基准</w:t>
            </w:r>
          </w:p>
        </w:tc>
      </w:tr>
      <w:tr w14:paraId="337A15C9">
        <w:tblPrEx>
          <w:tblCellMar>
            <w:top w:w="0" w:type="dxa"/>
            <w:left w:w="108" w:type="dxa"/>
            <w:bottom w:w="0" w:type="dxa"/>
            <w:right w:w="108" w:type="dxa"/>
          </w:tblCellMar>
        </w:tblPrEx>
        <w:trPr>
          <w:trHeight w:val="340" w:hRule="atLeast"/>
        </w:trPr>
        <w:tc>
          <w:tcPr>
            <w:tcW w:w="1010" w:type="dxa"/>
            <w:vMerge w:val="restart"/>
            <w:tcBorders>
              <w:top w:val="nil"/>
              <w:left w:val="single" w:color="auto" w:sz="8" w:space="0"/>
              <w:bottom w:val="single" w:color="auto" w:sz="4" w:space="0"/>
              <w:right w:val="single" w:color="auto" w:sz="4" w:space="0"/>
            </w:tcBorders>
            <w:vAlign w:val="center"/>
          </w:tcPr>
          <w:p w14:paraId="6CBC305D">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0D9BDCC4">
            <w:pPr>
              <w:rPr>
                <w:color w:val="000000"/>
                <w:kern w:val="0"/>
                <w:sz w:val="18"/>
                <w:szCs w:val="18"/>
              </w:rPr>
            </w:pPr>
            <w:r>
              <w:rPr>
                <w:rFonts w:hint="eastAsia"/>
                <w:color w:val="000000"/>
                <w:kern w:val="0"/>
                <w:sz w:val="18"/>
                <w:szCs w:val="18"/>
              </w:rPr>
              <w:t>配套建设城市生活垃圾收集设施不符合治理规划和设置标准的</w:t>
            </w:r>
          </w:p>
        </w:tc>
        <w:tc>
          <w:tcPr>
            <w:tcW w:w="1016" w:type="dxa"/>
            <w:vMerge w:val="restart"/>
            <w:tcBorders>
              <w:top w:val="nil"/>
              <w:left w:val="single" w:color="auto" w:sz="4" w:space="0"/>
              <w:bottom w:val="single" w:color="auto" w:sz="4" w:space="0"/>
              <w:right w:val="single" w:color="auto" w:sz="4" w:space="0"/>
            </w:tcBorders>
            <w:vAlign w:val="center"/>
          </w:tcPr>
          <w:p w14:paraId="0218EDFA">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4678B743">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14:paraId="5AD22054">
        <w:tblPrEx>
          <w:tblCellMar>
            <w:top w:w="0" w:type="dxa"/>
            <w:left w:w="108" w:type="dxa"/>
            <w:bottom w:w="0" w:type="dxa"/>
            <w:right w:w="108" w:type="dxa"/>
          </w:tblCellMar>
        </w:tblPrEx>
        <w:trPr>
          <w:trHeight w:val="340" w:hRule="atLeast"/>
        </w:trPr>
        <w:tc>
          <w:tcPr>
            <w:tcW w:w="1010" w:type="dxa"/>
            <w:vMerge w:val="continue"/>
            <w:tcBorders>
              <w:top w:val="nil"/>
              <w:left w:val="single" w:color="auto" w:sz="8" w:space="0"/>
              <w:bottom w:val="single" w:color="auto" w:sz="4" w:space="0"/>
              <w:right w:val="single" w:color="auto" w:sz="4" w:space="0"/>
            </w:tcBorders>
            <w:vAlign w:val="center"/>
          </w:tcPr>
          <w:p w14:paraId="0AB153C7">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6E09325F">
            <w:pPr>
              <w:rPr>
                <w:color w:val="000000"/>
                <w:kern w:val="0"/>
                <w:sz w:val="18"/>
                <w:szCs w:val="18"/>
              </w:rPr>
            </w:pPr>
            <w:r>
              <w:rPr>
                <w:rFonts w:hint="eastAsia"/>
                <w:color w:val="000000"/>
                <w:kern w:val="0"/>
                <w:sz w:val="18"/>
                <w:szCs w:val="18"/>
              </w:rPr>
              <w:t>未配套建设城市生活垃圾收集设施的</w:t>
            </w:r>
          </w:p>
        </w:tc>
        <w:tc>
          <w:tcPr>
            <w:tcW w:w="1016" w:type="dxa"/>
            <w:vMerge w:val="continue"/>
            <w:tcBorders>
              <w:top w:val="nil"/>
              <w:left w:val="single" w:color="auto" w:sz="4" w:space="0"/>
              <w:bottom w:val="single" w:color="auto" w:sz="4" w:space="0"/>
              <w:right w:val="single" w:color="auto" w:sz="4" w:space="0"/>
            </w:tcBorders>
            <w:vAlign w:val="center"/>
          </w:tcPr>
          <w:p w14:paraId="0B0848DC">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582B8EFC">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0B38FCD6"/>
    <w:p w14:paraId="7D41DA82"/>
    <w:p w14:paraId="625C025D"/>
    <w:p w14:paraId="656DE503"/>
    <w:p w14:paraId="27536059"/>
    <w:p w14:paraId="40DFD247"/>
    <w:tbl>
      <w:tblPr>
        <w:tblStyle w:val="15"/>
        <w:tblW w:w="0" w:type="auto"/>
        <w:tblInd w:w="78" w:type="dxa"/>
        <w:tblLayout w:type="fixed"/>
        <w:tblCellMar>
          <w:top w:w="0" w:type="dxa"/>
          <w:left w:w="108" w:type="dxa"/>
          <w:bottom w:w="0" w:type="dxa"/>
          <w:right w:w="108" w:type="dxa"/>
        </w:tblCellMar>
      </w:tblPr>
      <w:tblGrid>
        <w:gridCol w:w="1070"/>
        <w:gridCol w:w="2788"/>
        <w:gridCol w:w="3260"/>
        <w:gridCol w:w="6932"/>
      </w:tblGrid>
      <w:tr w14:paraId="224E61A0">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3DB4FA78">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5726F1CC">
            <w:pPr>
              <w:spacing w:line="320" w:lineRule="exact"/>
              <w:jc w:val="left"/>
              <w:rPr>
                <w:rFonts w:eastAsia="仿宋_GB2312"/>
                <w:b/>
                <w:color w:val="000000"/>
                <w:sz w:val="20"/>
              </w:rPr>
            </w:pPr>
            <w:r>
              <w:rPr>
                <w:rFonts w:eastAsia="仿宋_GB2312"/>
                <w:b/>
                <w:color w:val="000000"/>
                <w:sz w:val="20"/>
              </w:rPr>
              <w:t>320217680000</w:t>
            </w:r>
          </w:p>
        </w:tc>
      </w:tr>
      <w:tr w14:paraId="449931D4">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BA5DA6E">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48E492DB">
            <w:pPr>
              <w:jc w:val="left"/>
              <w:rPr>
                <w:color w:val="000000"/>
                <w:kern w:val="0"/>
                <w:sz w:val="18"/>
                <w:szCs w:val="18"/>
              </w:rPr>
            </w:pPr>
            <w:r>
              <w:rPr>
                <w:rFonts w:hint="eastAsia"/>
                <w:color w:val="000000"/>
                <w:kern w:val="0"/>
                <w:sz w:val="18"/>
                <w:szCs w:val="18"/>
              </w:rPr>
              <w:t>对未按照城市道路设计、施工技术规范设计、施工的处罚</w:t>
            </w:r>
          </w:p>
        </w:tc>
      </w:tr>
      <w:tr w14:paraId="3AAF807E">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7D99B120">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708DFB68">
            <w:pPr>
              <w:jc w:val="left"/>
              <w:textAlignment w:val="center"/>
              <w:rPr>
                <w:color w:val="000000"/>
                <w:kern w:val="0"/>
                <w:sz w:val="18"/>
                <w:szCs w:val="18"/>
              </w:rPr>
            </w:pPr>
            <w:r>
              <w:rPr>
                <w:rFonts w:hint="eastAsia"/>
                <w:color w:val="000000"/>
                <w:kern w:val="0"/>
                <w:sz w:val="18"/>
                <w:szCs w:val="18"/>
              </w:rPr>
              <w:t>【行政法规】《城市道路管理条例》（</w:t>
            </w:r>
            <w:r>
              <w:rPr>
                <w:color w:val="000000"/>
                <w:kern w:val="0"/>
                <w:sz w:val="18"/>
                <w:szCs w:val="18"/>
              </w:rPr>
              <w:t>1996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4</w:t>
            </w:r>
            <w:r>
              <w:rPr>
                <w:rFonts w:hint="eastAsia"/>
                <w:color w:val="000000"/>
                <w:kern w:val="0"/>
                <w:sz w:val="18"/>
                <w:szCs w:val="18"/>
              </w:rPr>
              <w:t>日中华人民共和国国务院令第</w:t>
            </w:r>
            <w:r>
              <w:rPr>
                <w:color w:val="000000"/>
                <w:kern w:val="0"/>
                <w:sz w:val="18"/>
                <w:szCs w:val="18"/>
              </w:rPr>
              <w:t>198</w:t>
            </w:r>
            <w:r>
              <w:rPr>
                <w:rFonts w:hint="eastAsia"/>
                <w:color w:val="000000"/>
                <w:kern w:val="0"/>
                <w:sz w:val="18"/>
                <w:szCs w:val="18"/>
              </w:rPr>
              <w:t>号发布</w:t>
            </w:r>
            <w:r>
              <w:rPr>
                <w:color w:val="000000"/>
                <w:kern w:val="0"/>
                <w:sz w:val="18"/>
                <w:szCs w:val="18"/>
              </w:rPr>
              <w:t xml:space="preserve"> </w:t>
            </w:r>
            <w:r>
              <w:rPr>
                <w:rFonts w:hint="eastAsia"/>
                <w:color w:val="000000"/>
                <w:kern w:val="0"/>
                <w:sz w:val="18"/>
                <w:szCs w:val="18"/>
              </w:rPr>
              <w:t>根据</w:t>
            </w:r>
            <w:r>
              <w:rPr>
                <w:color w:val="000000"/>
                <w:kern w:val="0"/>
                <w:sz w:val="18"/>
                <w:szCs w:val="18"/>
              </w:rPr>
              <w:t>2011</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8</w:t>
            </w:r>
            <w:r>
              <w:rPr>
                <w:rFonts w:hint="eastAsia"/>
                <w:color w:val="000000"/>
                <w:kern w:val="0"/>
                <w:sz w:val="18"/>
                <w:szCs w:val="18"/>
              </w:rPr>
              <w:t>日《国务院关于废止和修改部分行政法规的决定》修改，</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t xml:space="preserve"> </w:t>
            </w:r>
            <w:r>
              <w:rPr>
                <w:rFonts w:hint="eastAsia"/>
                <w:color w:val="000000"/>
                <w:kern w:val="0"/>
                <w:sz w:val="18"/>
                <w:szCs w:val="18"/>
              </w:rPr>
              <w:t>）</w:t>
            </w:r>
          </w:p>
          <w:p w14:paraId="18B8DD3E">
            <w:pPr>
              <w:jc w:val="left"/>
              <w:textAlignment w:val="center"/>
              <w:rPr>
                <w:color w:val="000000"/>
                <w:kern w:val="0"/>
                <w:sz w:val="18"/>
                <w:szCs w:val="18"/>
              </w:rPr>
            </w:pPr>
            <w:r>
              <w:rPr>
                <w:rFonts w:hint="eastAsia"/>
                <w:color w:val="000000"/>
                <w:kern w:val="0"/>
                <w:sz w:val="18"/>
                <w:szCs w:val="18"/>
              </w:rPr>
              <w:t>第十六条　承担城市道路设计、施工的单位，应当具有相应的资质等级，并按照资质等级承担相应的城市道路的设计、施工任务。</w:t>
            </w:r>
          </w:p>
          <w:p w14:paraId="61F20B1D">
            <w:pPr>
              <w:jc w:val="left"/>
              <w:textAlignment w:val="center"/>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城市道路的设计、施工，应当严格执行国家和地方规定的城市道路设计、施工的技术规范。</w:t>
            </w:r>
          </w:p>
          <w:p w14:paraId="5497BE2F">
            <w:pPr>
              <w:jc w:val="left"/>
              <w:textAlignment w:val="center"/>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的规定，有下列行为之一的，由市政工程行政主管部门责令停止设计、施工，限期改正，可以并处三万元以下的罚款；已经取得设计、施工资格证书，情节严重的，提请原发证机关吊销设计、施工资格证书：</w:t>
            </w:r>
          </w:p>
          <w:p w14:paraId="59FEE8EF">
            <w:pPr>
              <w:jc w:val="left"/>
              <w:textAlignment w:val="center"/>
              <w:rPr>
                <w:color w:val="000000"/>
                <w:kern w:val="0"/>
                <w:sz w:val="18"/>
                <w:szCs w:val="18"/>
              </w:rPr>
            </w:pPr>
            <w:r>
              <w:rPr>
                <w:rFonts w:hint="eastAsia"/>
                <w:color w:val="000000"/>
                <w:kern w:val="0"/>
                <w:sz w:val="18"/>
                <w:szCs w:val="18"/>
              </w:rPr>
              <w:t>（二）未按照城市道路设计、施工技术规范设计、施工的；</w:t>
            </w:r>
          </w:p>
        </w:tc>
      </w:tr>
      <w:tr w14:paraId="73E0E1EC">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197346A1">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227E82B0">
            <w:pPr>
              <w:spacing w:line="320" w:lineRule="exact"/>
              <w:jc w:val="left"/>
              <w:rPr>
                <w:color w:val="000000"/>
                <w:kern w:val="0"/>
                <w:sz w:val="18"/>
                <w:szCs w:val="18"/>
              </w:rPr>
            </w:pPr>
            <w:r>
              <w:rPr>
                <w:rFonts w:hint="eastAsia"/>
                <w:color w:val="000000"/>
                <w:kern w:val="0"/>
                <w:sz w:val="18"/>
                <w:szCs w:val="18"/>
              </w:rPr>
              <w:t>罚款，吊销设计、施工资格证书</w:t>
            </w:r>
          </w:p>
        </w:tc>
      </w:tr>
      <w:tr w14:paraId="28CAE84B">
        <w:tblPrEx>
          <w:tblCellMar>
            <w:top w:w="0" w:type="dxa"/>
            <w:left w:w="108" w:type="dxa"/>
            <w:bottom w:w="0" w:type="dxa"/>
            <w:right w:w="108" w:type="dxa"/>
          </w:tblCellMar>
        </w:tblPrEx>
        <w:trPr>
          <w:trHeight w:val="390"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54D18EB6">
            <w:pPr>
              <w:spacing w:line="320" w:lineRule="exact"/>
              <w:jc w:val="center"/>
              <w:rPr>
                <w:color w:val="000000"/>
                <w:kern w:val="0"/>
                <w:sz w:val="18"/>
                <w:szCs w:val="18"/>
              </w:rPr>
            </w:pPr>
            <w:r>
              <w:rPr>
                <w:rFonts w:hint="eastAsia"/>
                <w:color w:val="000000"/>
                <w:kern w:val="0"/>
                <w:sz w:val="18"/>
                <w:szCs w:val="18"/>
              </w:rPr>
              <w:t>裁量基准</w:t>
            </w:r>
          </w:p>
        </w:tc>
      </w:tr>
      <w:tr w14:paraId="70CA7B47">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29C78194">
            <w:pPr>
              <w:spacing w:line="320" w:lineRule="exact"/>
              <w:jc w:val="left"/>
              <w:rPr>
                <w:color w:val="000000"/>
                <w:kern w:val="0"/>
                <w:sz w:val="18"/>
                <w:szCs w:val="18"/>
              </w:rPr>
            </w:pPr>
            <w:r>
              <w:rPr>
                <w:rFonts w:hint="eastAsia"/>
                <w:color w:val="000000"/>
                <w:kern w:val="0"/>
                <w:sz w:val="18"/>
                <w:szCs w:val="18"/>
              </w:rPr>
              <w:t>情形描述</w:t>
            </w:r>
          </w:p>
        </w:tc>
        <w:tc>
          <w:tcPr>
            <w:tcW w:w="2788" w:type="dxa"/>
            <w:tcBorders>
              <w:top w:val="single" w:color="auto" w:sz="4" w:space="0"/>
              <w:left w:val="nil"/>
              <w:bottom w:val="single" w:color="auto" w:sz="4" w:space="0"/>
              <w:right w:val="single" w:color="auto" w:sz="4" w:space="0"/>
            </w:tcBorders>
            <w:vAlign w:val="center"/>
          </w:tcPr>
          <w:p w14:paraId="524C7295">
            <w:pPr>
              <w:spacing w:line="320" w:lineRule="exact"/>
              <w:jc w:val="left"/>
              <w:rPr>
                <w:color w:val="000000"/>
                <w:kern w:val="0"/>
                <w:sz w:val="18"/>
                <w:szCs w:val="18"/>
              </w:rPr>
            </w:pPr>
            <w:r>
              <w:rPr>
                <w:rFonts w:hint="eastAsia"/>
                <w:color w:val="000000"/>
                <w:sz w:val="18"/>
                <w:szCs w:val="18"/>
              </w:rPr>
              <w:t>按照要求改正且未造成损失的</w:t>
            </w:r>
          </w:p>
        </w:tc>
        <w:tc>
          <w:tcPr>
            <w:tcW w:w="3260" w:type="dxa"/>
            <w:vMerge w:val="restart"/>
            <w:tcBorders>
              <w:top w:val="nil"/>
              <w:left w:val="single" w:color="auto" w:sz="4" w:space="0"/>
              <w:right w:val="single" w:color="auto" w:sz="4" w:space="0"/>
            </w:tcBorders>
            <w:vAlign w:val="center"/>
          </w:tcPr>
          <w:p w14:paraId="1CD8F8B2">
            <w:pPr>
              <w:spacing w:line="320" w:lineRule="exact"/>
              <w:jc w:val="left"/>
              <w:rPr>
                <w:color w:val="000000"/>
                <w:kern w:val="0"/>
                <w:sz w:val="18"/>
                <w:szCs w:val="18"/>
              </w:rPr>
            </w:pPr>
            <w:r>
              <w:rPr>
                <w:rFonts w:hint="eastAsia"/>
                <w:color w:val="000000"/>
                <w:kern w:val="0"/>
                <w:sz w:val="18"/>
                <w:szCs w:val="18"/>
              </w:rPr>
              <w:t>裁量幅度</w:t>
            </w:r>
          </w:p>
        </w:tc>
        <w:tc>
          <w:tcPr>
            <w:tcW w:w="6932" w:type="dxa"/>
            <w:tcBorders>
              <w:top w:val="nil"/>
              <w:left w:val="nil"/>
              <w:bottom w:val="single" w:color="auto" w:sz="4" w:space="0"/>
              <w:right w:val="single" w:color="auto" w:sz="8" w:space="0"/>
            </w:tcBorders>
            <w:vAlign w:val="center"/>
          </w:tcPr>
          <w:p w14:paraId="5BB74BB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14:paraId="4DC8E463">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5C49F19F">
            <w:pPr>
              <w:spacing w:line="320" w:lineRule="exact"/>
              <w:jc w:val="left"/>
              <w:rPr>
                <w:color w:val="000000"/>
                <w:kern w:val="0"/>
                <w:sz w:val="18"/>
                <w:szCs w:val="18"/>
              </w:rPr>
            </w:pPr>
          </w:p>
        </w:tc>
        <w:tc>
          <w:tcPr>
            <w:tcW w:w="2788" w:type="dxa"/>
            <w:tcBorders>
              <w:top w:val="single" w:color="auto" w:sz="4" w:space="0"/>
              <w:left w:val="nil"/>
              <w:bottom w:val="single" w:color="auto" w:sz="4" w:space="0"/>
              <w:right w:val="single" w:color="auto" w:sz="4" w:space="0"/>
            </w:tcBorders>
            <w:vAlign w:val="center"/>
          </w:tcPr>
          <w:p w14:paraId="33EFAC0C">
            <w:pPr>
              <w:spacing w:line="320" w:lineRule="exact"/>
              <w:jc w:val="left"/>
              <w:rPr>
                <w:color w:val="000000"/>
                <w:kern w:val="0"/>
                <w:sz w:val="18"/>
                <w:szCs w:val="18"/>
              </w:rPr>
            </w:pPr>
            <w:r>
              <w:rPr>
                <w:rFonts w:hint="eastAsia"/>
                <w:color w:val="000000"/>
                <w:sz w:val="18"/>
                <w:szCs w:val="18"/>
              </w:rPr>
              <w:t>按照要求改正但造成损失的</w:t>
            </w:r>
          </w:p>
        </w:tc>
        <w:tc>
          <w:tcPr>
            <w:tcW w:w="3260" w:type="dxa"/>
            <w:vMerge w:val="continue"/>
            <w:tcBorders>
              <w:left w:val="single" w:color="auto" w:sz="4" w:space="0"/>
              <w:right w:val="single" w:color="auto" w:sz="4" w:space="0"/>
            </w:tcBorders>
            <w:vAlign w:val="center"/>
          </w:tcPr>
          <w:p w14:paraId="79A26098">
            <w:pPr>
              <w:spacing w:line="320" w:lineRule="exact"/>
              <w:jc w:val="left"/>
              <w:rPr>
                <w:color w:val="000000"/>
                <w:kern w:val="0"/>
                <w:sz w:val="18"/>
                <w:szCs w:val="18"/>
              </w:rPr>
            </w:pPr>
          </w:p>
        </w:tc>
        <w:tc>
          <w:tcPr>
            <w:tcW w:w="6932" w:type="dxa"/>
            <w:tcBorders>
              <w:top w:val="nil"/>
              <w:left w:val="nil"/>
              <w:bottom w:val="single" w:color="auto" w:sz="4" w:space="0"/>
              <w:right w:val="single" w:color="auto" w:sz="8" w:space="0"/>
            </w:tcBorders>
            <w:vAlign w:val="center"/>
          </w:tcPr>
          <w:p w14:paraId="5FEEEB9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元以下罚款</w:t>
            </w:r>
          </w:p>
        </w:tc>
      </w:tr>
      <w:tr w14:paraId="38E12B24">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4EB42DAA">
            <w:pPr>
              <w:spacing w:line="320" w:lineRule="exact"/>
              <w:jc w:val="left"/>
              <w:rPr>
                <w:color w:val="000000"/>
                <w:kern w:val="0"/>
                <w:sz w:val="18"/>
                <w:szCs w:val="18"/>
              </w:rPr>
            </w:pPr>
          </w:p>
        </w:tc>
        <w:tc>
          <w:tcPr>
            <w:tcW w:w="2788" w:type="dxa"/>
            <w:tcBorders>
              <w:top w:val="single" w:color="auto" w:sz="4" w:space="0"/>
              <w:left w:val="nil"/>
              <w:bottom w:val="single" w:color="auto" w:sz="4" w:space="0"/>
              <w:right w:val="single" w:color="auto" w:sz="4" w:space="0"/>
            </w:tcBorders>
            <w:vAlign w:val="center"/>
          </w:tcPr>
          <w:p w14:paraId="3D3BB274">
            <w:pPr>
              <w:spacing w:line="320" w:lineRule="exact"/>
              <w:jc w:val="left"/>
              <w:rPr>
                <w:color w:val="000000"/>
                <w:sz w:val="18"/>
                <w:szCs w:val="18"/>
              </w:rPr>
            </w:pPr>
            <w:r>
              <w:rPr>
                <w:rFonts w:hint="eastAsia"/>
                <w:color w:val="000000"/>
                <w:sz w:val="18"/>
                <w:szCs w:val="18"/>
              </w:rPr>
              <w:t>未按照要求改正且未造成损失的</w:t>
            </w:r>
          </w:p>
        </w:tc>
        <w:tc>
          <w:tcPr>
            <w:tcW w:w="3260" w:type="dxa"/>
            <w:vMerge w:val="continue"/>
            <w:tcBorders>
              <w:left w:val="single" w:color="auto" w:sz="4" w:space="0"/>
              <w:right w:val="single" w:color="auto" w:sz="4" w:space="0"/>
            </w:tcBorders>
            <w:vAlign w:val="center"/>
          </w:tcPr>
          <w:p w14:paraId="72349DB0">
            <w:pPr>
              <w:spacing w:line="320" w:lineRule="exact"/>
              <w:jc w:val="left"/>
              <w:rPr>
                <w:color w:val="000000"/>
                <w:kern w:val="0"/>
                <w:sz w:val="18"/>
                <w:szCs w:val="18"/>
              </w:rPr>
            </w:pPr>
          </w:p>
        </w:tc>
        <w:tc>
          <w:tcPr>
            <w:tcW w:w="6932" w:type="dxa"/>
            <w:tcBorders>
              <w:top w:val="nil"/>
              <w:left w:val="nil"/>
              <w:bottom w:val="single" w:color="auto" w:sz="4" w:space="0"/>
              <w:right w:val="single" w:color="auto" w:sz="8" w:space="0"/>
            </w:tcBorders>
            <w:vAlign w:val="center"/>
          </w:tcPr>
          <w:p w14:paraId="6ECB4520">
            <w:pPr>
              <w:spacing w:line="320" w:lineRule="exact"/>
              <w:jc w:val="left"/>
              <w:rPr>
                <w:color w:val="000000"/>
                <w:kern w:val="0"/>
                <w:sz w:val="18"/>
                <w:szCs w:val="18"/>
              </w:rPr>
            </w:pPr>
            <w:r>
              <w:rPr>
                <w:rFonts w:hint="eastAsia"/>
                <w:color w:val="000000"/>
                <w:kern w:val="0"/>
                <w:sz w:val="18"/>
                <w:szCs w:val="18"/>
              </w:rPr>
              <w:t>处1.5万元以上</w:t>
            </w:r>
            <w:r>
              <w:rPr>
                <w:color w:val="000000"/>
                <w:kern w:val="0"/>
                <w:sz w:val="18"/>
                <w:szCs w:val="18"/>
              </w:rPr>
              <w:t>1.</w:t>
            </w:r>
            <w:r>
              <w:rPr>
                <w:rFonts w:hint="eastAsia"/>
                <w:color w:val="000000"/>
                <w:kern w:val="0"/>
                <w:sz w:val="18"/>
                <w:szCs w:val="18"/>
              </w:rPr>
              <w:t>8元以下罚款</w:t>
            </w:r>
          </w:p>
        </w:tc>
      </w:tr>
      <w:tr w14:paraId="7B0600FA">
        <w:tblPrEx>
          <w:tblCellMar>
            <w:top w:w="0" w:type="dxa"/>
            <w:left w:w="108" w:type="dxa"/>
            <w:bottom w:w="0" w:type="dxa"/>
            <w:right w:w="108" w:type="dxa"/>
          </w:tblCellMar>
        </w:tblPrEx>
        <w:trPr>
          <w:trHeight w:val="315" w:hRule="atLeast"/>
        </w:trPr>
        <w:tc>
          <w:tcPr>
            <w:tcW w:w="1070" w:type="dxa"/>
            <w:vMerge w:val="continue"/>
            <w:tcBorders>
              <w:left w:val="single" w:color="auto" w:sz="8" w:space="0"/>
              <w:right w:val="single" w:color="auto" w:sz="4" w:space="0"/>
            </w:tcBorders>
            <w:vAlign w:val="center"/>
          </w:tcPr>
          <w:p w14:paraId="23CF5B81">
            <w:pPr>
              <w:jc w:val="left"/>
              <w:rPr>
                <w:color w:val="000000"/>
                <w:kern w:val="0"/>
                <w:sz w:val="18"/>
                <w:szCs w:val="18"/>
              </w:rPr>
            </w:pPr>
          </w:p>
        </w:tc>
        <w:tc>
          <w:tcPr>
            <w:tcW w:w="2788" w:type="dxa"/>
            <w:tcBorders>
              <w:top w:val="single" w:color="auto" w:sz="4" w:space="0"/>
              <w:left w:val="nil"/>
              <w:bottom w:val="single" w:color="auto" w:sz="4" w:space="0"/>
              <w:right w:val="single" w:color="auto" w:sz="4" w:space="0"/>
            </w:tcBorders>
            <w:vAlign w:val="center"/>
          </w:tcPr>
          <w:p w14:paraId="7D916F40">
            <w:pPr>
              <w:spacing w:line="320" w:lineRule="exact"/>
              <w:jc w:val="left"/>
              <w:rPr>
                <w:color w:val="000000"/>
                <w:kern w:val="0"/>
                <w:sz w:val="18"/>
                <w:szCs w:val="18"/>
              </w:rPr>
            </w:pPr>
            <w:r>
              <w:rPr>
                <w:rFonts w:hint="eastAsia"/>
                <w:color w:val="000000"/>
                <w:sz w:val="18"/>
                <w:szCs w:val="18"/>
              </w:rPr>
              <w:t>未按照要求改正且造成损失的</w:t>
            </w:r>
          </w:p>
        </w:tc>
        <w:tc>
          <w:tcPr>
            <w:tcW w:w="3260" w:type="dxa"/>
            <w:vMerge w:val="continue"/>
            <w:tcBorders>
              <w:left w:val="single" w:color="auto" w:sz="4" w:space="0"/>
              <w:right w:val="single" w:color="auto" w:sz="4" w:space="0"/>
            </w:tcBorders>
            <w:vAlign w:val="center"/>
          </w:tcPr>
          <w:p w14:paraId="2AE58F5A">
            <w:pPr>
              <w:jc w:val="left"/>
              <w:rPr>
                <w:color w:val="000000"/>
                <w:kern w:val="0"/>
                <w:sz w:val="18"/>
                <w:szCs w:val="18"/>
              </w:rPr>
            </w:pPr>
          </w:p>
        </w:tc>
        <w:tc>
          <w:tcPr>
            <w:tcW w:w="6932" w:type="dxa"/>
            <w:tcBorders>
              <w:top w:val="nil"/>
              <w:left w:val="nil"/>
              <w:bottom w:val="single" w:color="auto" w:sz="4" w:space="0"/>
              <w:right w:val="single" w:color="auto" w:sz="8" w:space="0"/>
            </w:tcBorders>
            <w:vAlign w:val="center"/>
          </w:tcPr>
          <w:p w14:paraId="060E06B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8万元以上</w:t>
            </w:r>
            <w:r>
              <w:rPr>
                <w:color w:val="000000"/>
                <w:kern w:val="0"/>
                <w:sz w:val="18"/>
                <w:szCs w:val="18"/>
              </w:rPr>
              <w:t>2</w:t>
            </w:r>
            <w:r>
              <w:rPr>
                <w:rFonts w:hint="eastAsia"/>
                <w:color w:val="000000"/>
                <w:kern w:val="0"/>
                <w:sz w:val="18"/>
                <w:szCs w:val="18"/>
              </w:rPr>
              <w:t>万元以下罚款</w:t>
            </w:r>
          </w:p>
        </w:tc>
      </w:tr>
      <w:tr w14:paraId="4AC13174">
        <w:tblPrEx>
          <w:tblCellMar>
            <w:top w:w="0" w:type="dxa"/>
            <w:left w:w="108" w:type="dxa"/>
            <w:bottom w:w="0" w:type="dxa"/>
            <w:right w:w="108" w:type="dxa"/>
          </w:tblCellMar>
        </w:tblPrEx>
        <w:trPr>
          <w:trHeight w:val="422" w:hRule="atLeast"/>
        </w:trPr>
        <w:tc>
          <w:tcPr>
            <w:tcW w:w="1070" w:type="dxa"/>
            <w:vMerge w:val="continue"/>
            <w:tcBorders>
              <w:left w:val="single" w:color="auto" w:sz="8" w:space="0"/>
              <w:bottom w:val="single" w:color="auto" w:sz="4" w:space="0"/>
              <w:right w:val="single" w:color="auto" w:sz="4" w:space="0"/>
            </w:tcBorders>
            <w:vAlign w:val="center"/>
          </w:tcPr>
          <w:p w14:paraId="4B2C183C">
            <w:pPr>
              <w:jc w:val="left"/>
              <w:rPr>
                <w:color w:val="000000"/>
                <w:kern w:val="0"/>
                <w:sz w:val="18"/>
                <w:szCs w:val="18"/>
              </w:rPr>
            </w:pPr>
          </w:p>
        </w:tc>
        <w:tc>
          <w:tcPr>
            <w:tcW w:w="2788" w:type="dxa"/>
            <w:tcBorders>
              <w:top w:val="single" w:color="auto" w:sz="4" w:space="0"/>
              <w:left w:val="nil"/>
              <w:bottom w:val="single" w:color="auto" w:sz="4" w:space="0"/>
              <w:right w:val="single" w:color="auto" w:sz="4" w:space="0"/>
            </w:tcBorders>
            <w:vAlign w:val="center"/>
          </w:tcPr>
          <w:p w14:paraId="3F889787">
            <w:pPr>
              <w:spacing w:line="320" w:lineRule="exact"/>
              <w:jc w:val="left"/>
              <w:rPr>
                <w:color w:val="000000"/>
                <w:kern w:val="0"/>
                <w:sz w:val="18"/>
                <w:szCs w:val="18"/>
              </w:rPr>
            </w:pPr>
            <w:r>
              <w:rPr>
                <w:rFonts w:hint="eastAsia"/>
                <w:color w:val="000000"/>
                <w:sz w:val="18"/>
                <w:szCs w:val="18"/>
              </w:rPr>
              <w:t>未按照要求改正且造成较大或以上事故的</w:t>
            </w:r>
          </w:p>
        </w:tc>
        <w:tc>
          <w:tcPr>
            <w:tcW w:w="3260" w:type="dxa"/>
            <w:vMerge w:val="continue"/>
            <w:tcBorders>
              <w:left w:val="single" w:color="auto" w:sz="4" w:space="0"/>
              <w:bottom w:val="single" w:color="auto" w:sz="4" w:space="0"/>
              <w:right w:val="single" w:color="auto" w:sz="4" w:space="0"/>
            </w:tcBorders>
            <w:vAlign w:val="center"/>
          </w:tcPr>
          <w:p w14:paraId="4EF9BF40">
            <w:pPr>
              <w:jc w:val="left"/>
              <w:rPr>
                <w:color w:val="000000"/>
                <w:kern w:val="0"/>
                <w:sz w:val="18"/>
                <w:szCs w:val="18"/>
              </w:rPr>
            </w:pPr>
          </w:p>
        </w:tc>
        <w:tc>
          <w:tcPr>
            <w:tcW w:w="6932" w:type="dxa"/>
            <w:tcBorders>
              <w:top w:val="single" w:color="auto" w:sz="4" w:space="0"/>
              <w:left w:val="nil"/>
              <w:bottom w:val="single" w:color="auto" w:sz="4" w:space="0"/>
              <w:right w:val="single" w:color="auto" w:sz="8" w:space="0"/>
            </w:tcBorders>
            <w:vAlign w:val="center"/>
          </w:tcPr>
          <w:p w14:paraId="171572B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万元以下罚款，吊销设计、施工资格证书</w:t>
            </w:r>
          </w:p>
        </w:tc>
      </w:tr>
    </w:tbl>
    <w:p w14:paraId="2C5EB773"/>
    <w:p w14:paraId="0B6C3B53"/>
    <w:p w14:paraId="671067AE"/>
    <w:tbl>
      <w:tblPr>
        <w:tblStyle w:val="15"/>
        <w:tblW w:w="0" w:type="auto"/>
        <w:tblInd w:w="88" w:type="dxa"/>
        <w:tblLayout w:type="fixed"/>
        <w:tblCellMar>
          <w:top w:w="0" w:type="dxa"/>
          <w:left w:w="108" w:type="dxa"/>
          <w:bottom w:w="0" w:type="dxa"/>
          <w:right w:w="108" w:type="dxa"/>
        </w:tblCellMar>
      </w:tblPr>
      <w:tblGrid>
        <w:gridCol w:w="980"/>
        <w:gridCol w:w="6140"/>
        <w:gridCol w:w="1016"/>
        <w:gridCol w:w="5880"/>
      </w:tblGrid>
      <w:tr w14:paraId="72BDBF61">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30E6EBD1">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color="auto" w:sz="8" w:space="0"/>
              <w:left w:val="nil"/>
              <w:bottom w:val="single" w:color="auto" w:sz="4" w:space="0"/>
              <w:right w:val="single" w:color="000000" w:sz="8" w:space="0"/>
            </w:tcBorders>
            <w:vAlign w:val="center"/>
          </w:tcPr>
          <w:p w14:paraId="281D84D2">
            <w:pPr>
              <w:jc w:val="left"/>
              <w:textAlignment w:val="center"/>
              <w:rPr>
                <w:rFonts w:eastAsia="仿宋_GB2312"/>
                <w:b/>
                <w:color w:val="000000"/>
                <w:sz w:val="20"/>
              </w:rPr>
            </w:pPr>
            <w:r>
              <w:rPr>
                <w:rFonts w:eastAsia="仿宋_GB2312"/>
                <w:b/>
                <w:color w:val="000000"/>
                <w:kern w:val="0"/>
                <w:sz w:val="20"/>
              </w:rPr>
              <w:t>320217681000</w:t>
            </w:r>
            <w:r>
              <w:rPr>
                <w:rFonts w:hint="eastAsia" w:eastAsia="仿宋_GB2312"/>
                <w:b/>
                <w:color w:val="000000"/>
                <w:kern w:val="0"/>
                <w:sz w:val="20"/>
              </w:rPr>
              <w:t xml:space="preserve"> </w:t>
            </w:r>
          </w:p>
        </w:tc>
      </w:tr>
      <w:tr w14:paraId="251E3154">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13E9A260">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color="auto" w:sz="4" w:space="0"/>
              <w:left w:val="nil"/>
              <w:bottom w:val="single" w:color="auto" w:sz="4" w:space="0"/>
              <w:right w:val="single" w:color="000000" w:sz="8" w:space="0"/>
            </w:tcBorders>
            <w:vAlign w:val="center"/>
          </w:tcPr>
          <w:p w14:paraId="47652520">
            <w:pPr>
              <w:jc w:val="left"/>
              <w:textAlignment w:val="center"/>
              <w:rPr>
                <w:rFonts w:eastAsia="仿宋_GB2312"/>
                <w:color w:val="000000"/>
                <w:sz w:val="20"/>
              </w:rPr>
            </w:pPr>
            <w:r>
              <w:rPr>
                <w:rFonts w:hint="eastAsia" w:eastAsia="仿宋_GB2312"/>
                <w:color w:val="000000"/>
                <w:kern w:val="0"/>
                <w:sz w:val="20"/>
              </w:rPr>
              <w:t>对砍伐、擅自迁移古树名木或者因养护不善致使古树名木受到损伤或者死亡行为的处罚</w:t>
            </w:r>
          </w:p>
        </w:tc>
      </w:tr>
      <w:tr w14:paraId="34818E9B">
        <w:tblPrEx>
          <w:tblCellMar>
            <w:top w:w="0" w:type="dxa"/>
            <w:left w:w="108" w:type="dxa"/>
            <w:bottom w:w="0" w:type="dxa"/>
            <w:right w:w="108" w:type="dxa"/>
          </w:tblCellMar>
        </w:tblPrEx>
        <w:trPr>
          <w:trHeight w:val="1035" w:hRule="atLeast"/>
        </w:trPr>
        <w:tc>
          <w:tcPr>
            <w:tcW w:w="980" w:type="dxa"/>
            <w:tcBorders>
              <w:top w:val="nil"/>
              <w:left w:val="single" w:color="auto" w:sz="8" w:space="0"/>
              <w:bottom w:val="single" w:color="auto" w:sz="4" w:space="0"/>
              <w:right w:val="single" w:color="auto" w:sz="4" w:space="0"/>
            </w:tcBorders>
            <w:vAlign w:val="center"/>
          </w:tcPr>
          <w:p w14:paraId="241F2E4A">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color="auto" w:sz="4" w:space="0"/>
              <w:left w:val="nil"/>
              <w:bottom w:val="single" w:color="auto" w:sz="4" w:space="0"/>
              <w:right w:val="single" w:color="000000" w:sz="8" w:space="0"/>
            </w:tcBorders>
            <w:vAlign w:val="center"/>
          </w:tcPr>
          <w:p w14:paraId="6BEBFF99">
            <w:pPr>
              <w:spacing w:line="280" w:lineRule="exact"/>
              <w:jc w:val="left"/>
              <w:textAlignment w:val="center"/>
              <w:rPr>
                <w:rFonts w:eastAsia="仿宋_GB2312"/>
                <w:color w:val="000000"/>
                <w:sz w:val="20"/>
              </w:rPr>
            </w:pPr>
            <w:r>
              <w:rPr>
                <w:rFonts w:hint="eastAsia"/>
                <w:color w:val="000000"/>
                <w:kern w:val="0"/>
                <w:sz w:val="18"/>
                <w:szCs w:val="18"/>
              </w:rPr>
              <w:t>【行政法规】《城市绿化条例》（国务院令</w:t>
            </w:r>
            <w:r>
              <w:rPr>
                <w:color w:val="000000"/>
                <w:kern w:val="0"/>
                <w:sz w:val="18"/>
                <w:szCs w:val="18"/>
              </w:rPr>
              <w:t>1992</w:t>
            </w:r>
            <w:r>
              <w:rPr>
                <w:rFonts w:hint="eastAsia"/>
                <w:color w:val="000000"/>
                <w:kern w:val="0"/>
                <w:sz w:val="18"/>
                <w:szCs w:val="18"/>
              </w:rPr>
              <w:t>年第</w:t>
            </w:r>
            <w:r>
              <w:rPr>
                <w:color w:val="000000"/>
                <w:kern w:val="0"/>
                <w:sz w:val="18"/>
                <w:szCs w:val="18"/>
              </w:rPr>
              <w:t>100</w:t>
            </w:r>
            <w:r>
              <w:rPr>
                <w:rFonts w:hint="eastAsia"/>
                <w:color w:val="000000"/>
                <w:kern w:val="0"/>
                <w:sz w:val="18"/>
                <w:szCs w:val="18"/>
              </w:rPr>
              <w:t>号，</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br w:type="textWrapping"/>
            </w:r>
            <w:r>
              <w:rPr>
                <w:rFonts w:hint="eastAsia"/>
                <w:color w:val="000000"/>
                <w:kern w:val="0"/>
                <w:sz w:val="18"/>
                <w:szCs w:val="18"/>
              </w:rPr>
              <w:t>第二十四条　百年以上树龄的树木，稀有、珍贵树木，具有历史价值或者重要纪念意义的树木，均属古树名木。</w:t>
            </w:r>
            <w:r>
              <w:rPr>
                <w:color w:val="000000"/>
                <w:kern w:val="0"/>
                <w:sz w:val="18"/>
                <w:szCs w:val="18"/>
              </w:rPr>
              <w:br w:type="textWrapping"/>
            </w:r>
            <w:r>
              <w:rPr>
                <w:rFonts w:hint="eastAsia"/>
                <w:color w:val="000000"/>
                <w:kern w:val="0"/>
                <w:sz w:val="18"/>
                <w:szCs w:val="18"/>
              </w:rPr>
              <w:t>对城市古树名木实行统一管理，分别养护。城市人民政府城市绿化行政主管部门，应当建立古树名木的档案和标志，划定保护范围，加强养护管理。在单位管界内或者私人庭院内的古树名木，由该单位或者居民负责养护，城市人民政府城市绿化行政主管部门负责监督和技术指导。</w:t>
            </w:r>
            <w:r>
              <w:rPr>
                <w:color w:val="000000"/>
                <w:kern w:val="0"/>
                <w:sz w:val="18"/>
                <w:szCs w:val="18"/>
              </w:rPr>
              <w:br w:type="textWrapping"/>
            </w:r>
            <w:r>
              <w:rPr>
                <w:rFonts w:hint="eastAsia"/>
                <w:color w:val="000000"/>
                <w:kern w:val="0"/>
                <w:sz w:val="18"/>
                <w:szCs w:val="18"/>
              </w:rPr>
              <w:t>严禁砍伐或者迁移古树名木。因特殊需要迁移古树名木，必须经城市人民政府城市绿化行政主管部门审查同意，并报同级或者上级人民政府批准。</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r>
              <w:rPr>
                <w:color w:val="000000"/>
                <w:kern w:val="0"/>
                <w:sz w:val="18"/>
                <w:szCs w:val="18"/>
              </w:rPr>
              <w:br w:type="textWrapping"/>
            </w:r>
            <w:r>
              <w:rPr>
                <w:rFonts w:hint="eastAsia"/>
                <w:color w:val="000000"/>
                <w:kern w:val="0"/>
                <w:sz w:val="18"/>
                <w:szCs w:val="18"/>
              </w:rPr>
              <w:t>（三）砍伐、擅自迁移古树名木或者因养护不善致使古树名木受到损伤或者死亡的；</w:t>
            </w:r>
            <w:r>
              <w:rPr>
                <w:color w:val="000000"/>
                <w:kern w:val="0"/>
                <w:sz w:val="18"/>
                <w:szCs w:val="18"/>
              </w:rPr>
              <w:br w:type="textWrapping"/>
            </w:r>
            <w:r>
              <w:rPr>
                <w:rFonts w:hint="eastAsia"/>
                <w:color w:val="000000"/>
                <w:kern w:val="0"/>
                <w:sz w:val="18"/>
                <w:szCs w:val="18"/>
              </w:rPr>
              <w:t>【地方性法规】《江苏省城市绿化管理条例》</w:t>
            </w:r>
            <w:r>
              <w:rPr>
                <w:color w:val="000000"/>
                <w:kern w:val="0"/>
                <w:sz w:val="18"/>
                <w:szCs w:val="18"/>
              </w:rPr>
              <w:br w:type="textWrapping"/>
            </w: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城市中百年以上树龄的树木，稀有、珍贵树木，具有历史价值或者重要纪念意义的树木，均属古树名木，由城市人民政府建设（园林）行政主管部门统一管理和组织养护。</w:t>
            </w:r>
            <w:r>
              <w:rPr>
                <w:color w:val="000000"/>
                <w:kern w:val="0"/>
                <w:sz w:val="18"/>
                <w:szCs w:val="18"/>
              </w:rPr>
              <w:br w:type="textWrapping"/>
            </w:r>
            <w:r>
              <w:rPr>
                <w:rFonts w:hint="eastAsia"/>
                <w:color w:val="000000"/>
                <w:kern w:val="0"/>
                <w:sz w:val="18"/>
                <w:szCs w:val="18"/>
              </w:rPr>
              <w:t>严禁任何单位和个人砍伐或者迁移古树名木，因特殊需要迁移的，必须由所在地的县级人民政府提出申请，经设区的市人民政府建设（园林）行政主管部门审查同意，报同级人民政府批准，并按规定报上级人民政府建设（园林）行政主管部门备案。</w:t>
            </w:r>
            <w:r>
              <w:rPr>
                <w:color w:val="000000"/>
                <w:kern w:val="0"/>
                <w:sz w:val="18"/>
                <w:szCs w:val="18"/>
              </w:rPr>
              <w:br w:type="textWrapping"/>
            </w: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违反本条例规定，有下列行为之一的，由城市人民政府建设（园林）行政主管部门责令停止侵害，可以并处损失费一倍以上五倍以下的罚款；应当给予治安处罚的，依照《中华人民共和国治安管理处罚法》的有关规定处罚；构成犯罪的，依法追究刑事责任：</w:t>
            </w:r>
            <w:r>
              <w:rPr>
                <w:color w:val="000000"/>
                <w:kern w:val="0"/>
                <w:sz w:val="18"/>
                <w:szCs w:val="18"/>
              </w:rPr>
              <w:br w:type="textWrapping"/>
            </w:r>
            <w:r>
              <w:rPr>
                <w:rFonts w:hint="eastAsia"/>
                <w:color w:val="000000"/>
                <w:kern w:val="0"/>
                <w:sz w:val="18"/>
                <w:szCs w:val="18"/>
              </w:rPr>
              <w:t>（三）砍伐、擅自迁移古树名木或者因养护不善致使古树名木受到损伤或者死亡的；</w:t>
            </w:r>
          </w:p>
        </w:tc>
      </w:tr>
      <w:tr w14:paraId="1F268084">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4EC0C787">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color="auto" w:sz="4" w:space="0"/>
              <w:left w:val="nil"/>
              <w:bottom w:val="single" w:color="auto" w:sz="4" w:space="0"/>
              <w:right w:val="single" w:color="000000" w:sz="8" w:space="0"/>
            </w:tcBorders>
            <w:vAlign w:val="center"/>
          </w:tcPr>
          <w:p w14:paraId="3B74C913">
            <w:pPr>
              <w:spacing w:line="320" w:lineRule="exact"/>
              <w:jc w:val="left"/>
              <w:rPr>
                <w:color w:val="000000"/>
                <w:kern w:val="0"/>
                <w:sz w:val="18"/>
                <w:szCs w:val="18"/>
              </w:rPr>
            </w:pPr>
            <w:r>
              <w:rPr>
                <w:rFonts w:hint="eastAsia"/>
                <w:color w:val="000000"/>
                <w:kern w:val="0"/>
                <w:sz w:val="18"/>
                <w:szCs w:val="18"/>
              </w:rPr>
              <w:t>罚款</w:t>
            </w:r>
          </w:p>
        </w:tc>
      </w:tr>
      <w:tr w14:paraId="3CBC8FC7">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D885913">
            <w:pPr>
              <w:spacing w:line="320" w:lineRule="exact"/>
              <w:jc w:val="center"/>
              <w:rPr>
                <w:color w:val="000000"/>
                <w:kern w:val="0"/>
                <w:sz w:val="18"/>
                <w:szCs w:val="18"/>
              </w:rPr>
            </w:pPr>
            <w:r>
              <w:rPr>
                <w:rFonts w:hint="eastAsia"/>
                <w:color w:val="000000"/>
                <w:kern w:val="0"/>
                <w:sz w:val="18"/>
                <w:szCs w:val="18"/>
              </w:rPr>
              <w:t>裁量基准</w:t>
            </w:r>
          </w:p>
        </w:tc>
      </w:tr>
      <w:tr w14:paraId="275B3FBA">
        <w:tblPrEx>
          <w:tblCellMar>
            <w:top w:w="0" w:type="dxa"/>
            <w:left w:w="108" w:type="dxa"/>
            <w:bottom w:w="0" w:type="dxa"/>
            <w:right w:w="108" w:type="dxa"/>
          </w:tblCellMar>
        </w:tblPrEx>
        <w:trPr>
          <w:trHeight w:val="285" w:hRule="atLeast"/>
        </w:trPr>
        <w:tc>
          <w:tcPr>
            <w:tcW w:w="980" w:type="dxa"/>
            <w:vMerge w:val="restart"/>
            <w:tcBorders>
              <w:top w:val="nil"/>
              <w:left w:val="single" w:color="auto" w:sz="8" w:space="0"/>
              <w:bottom w:val="single" w:color="auto" w:sz="4" w:space="0"/>
              <w:right w:val="single" w:color="auto" w:sz="4" w:space="0"/>
            </w:tcBorders>
            <w:vAlign w:val="center"/>
          </w:tcPr>
          <w:p w14:paraId="41EA1113">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115DC39">
            <w:pPr>
              <w:spacing w:line="320" w:lineRule="exact"/>
              <w:jc w:val="left"/>
              <w:rPr>
                <w:color w:val="000000"/>
                <w:sz w:val="18"/>
                <w:szCs w:val="18"/>
              </w:rPr>
            </w:pPr>
            <w:r>
              <w:rPr>
                <w:rFonts w:hint="eastAsia"/>
                <w:color w:val="000000"/>
                <w:sz w:val="18"/>
                <w:szCs w:val="18"/>
              </w:rPr>
              <w:t>因养护不善致使古树名木受到轻微损伤且容易恢复的</w:t>
            </w:r>
          </w:p>
        </w:tc>
        <w:tc>
          <w:tcPr>
            <w:tcW w:w="1016" w:type="dxa"/>
            <w:vMerge w:val="restart"/>
            <w:tcBorders>
              <w:top w:val="nil"/>
              <w:left w:val="single" w:color="auto" w:sz="4" w:space="0"/>
              <w:bottom w:val="single" w:color="auto" w:sz="4" w:space="0"/>
              <w:right w:val="single" w:color="auto" w:sz="4" w:space="0"/>
            </w:tcBorders>
            <w:vAlign w:val="center"/>
          </w:tcPr>
          <w:p w14:paraId="5420D19F">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nil"/>
              <w:left w:val="nil"/>
              <w:bottom w:val="single" w:color="auto" w:sz="4" w:space="0"/>
              <w:right w:val="single" w:color="auto" w:sz="8" w:space="0"/>
            </w:tcBorders>
            <w:vAlign w:val="center"/>
          </w:tcPr>
          <w:p w14:paraId="79887766">
            <w:pPr>
              <w:spacing w:line="320" w:lineRule="exact"/>
              <w:jc w:val="left"/>
              <w:rPr>
                <w:color w:val="000000"/>
                <w:kern w:val="0"/>
                <w:sz w:val="18"/>
                <w:szCs w:val="18"/>
              </w:rPr>
            </w:pPr>
            <w:r>
              <w:rPr>
                <w:rFonts w:hint="eastAsia"/>
                <w:color w:val="000000"/>
                <w:kern w:val="0"/>
                <w:sz w:val="18"/>
                <w:szCs w:val="18"/>
              </w:rPr>
              <w:t>处损失费一倍以上三倍以下罚款</w:t>
            </w:r>
          </w:p>
        </w:tc>
      </w:tr>
      <w:tr w14:paraId="4242BBD6">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0C8A15F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AC20DCC">
            <w:pPr>
              <w:spacing w:line="320" w:lineRule="exact"/>
              <w:jc w:val="left"/>
              <w:rPr>
                <w:color w:val="000000"/>
                <w:sz w:val="18"/>
                <w:szCs w:val="18"/>
              </w:rPr>
            </w:pPr>
            <w:r>
              <w:rPr>
                <w:rFonts w:hint="eastAsia"/>
                <w:color w:val="000000"/>
                <w:sz w:val="18"/>
                <w:szCs w:val="18"/>
              </w:rPr>
              <w:t>因养护不善致使古树名木受到严重损伤的</w:t>
            </w:r>
          </w:p>
        </w:tc>
        <w:tc>
          <w:tcPr>
            <w:tcW w:w="1016" w:type="dxa"/>
            <w:vMerge w:val="continue"/>
            <w:tcBorders>
              <w:top w:val="nil"/>
              <w:left w:val="single" w:color="auto" w:sz="4" w:space="0"/>
              <w:bottom w:val="single" w:color="auto" w:sz="4" w:space="0"/>
              <w:right w:val="single" w:color="auto" w:sz="4" w:space="0"/>
            </w:tcBorders>
            <w:vAlign w:val="center"/>
          </w:tcPr>
          <w:p w14:paraId="1A186CEC">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66E1854B">
            <w:pPr>
              <w:spacing w:line="320" w:lineRule="exact"/>
              <w:jc w:val="left"/>
              <w:rPr>
                <w:color w:val="000000"/>
                <w:kern w:val="0"/>
                <w:sz w:val="18"/>
                <w:szCs w:val="18"/>
              </w:rPr>
            </w:pPr>
            <w:r>
              <w:rPr>
                <w:rFonts w:hint="eastAsia"/>
                <w:color w:val="000000"/>
                <w:kern w:val="0"/>
                <w:sz w:val="18"/>
                <w:szCs w:val="18"/>
              </w:rPr>
              <w:t>处损失费三倍以上四倍以下罚款</w:t>
            </w:r>
          </w:p>
        </w:tc>
      </w:tr>
      <w:tr w14:paraId="7ABC0DEA">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566B2B1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AE81B65">
            <w:pPr>
              <w:spacing w:line="320" w:lineRule="exact"/>
              <w:jc w:val="left"/>
              <w:rPr>
                <w:color w:val="000000"/>
                <w:sz w:val="18"/>
                <w:szCs w:val="18"/>
              </w:rPr>
            </w:pPr>
            <w:r>
              <w:rPr>
                <w:rFonts w:hint="eastAsia"/>
                <w:color w:val="000000"/>
                <w:sz w:val="18"/>
                <w:szCs w:val="18"/>
              </w:rPr>
              <w:t>砍伐、擅自迁移古树名木因养护不善致使古树名木死亡的</w:t>
            </w:r>
          </w:p>
        </w:tc>
        <w:tc>
          <w:tcPr>
            <w:tcW w:w="1016" w:type="dxa"/>
            <w:vMerge w:val="continue"/>
            <w:tcBorders>
              <w:top w:val="nil"/>
              <w:left w:val="single" w:color="auto" w:sz="4" w:space="0"/>
              <w:bottom w:val="single" w:color="auto" w:sz="4" w:space="0"/>
              <w:right w:val="single" w:color="auto" w:sz="4" w:space="0"/>
            </w:tcBorders>
            <w:vAlign w:val="center"/>
          </w:tcPr>
          <w:p w14:paraId="229A880A">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415343EB">
            <w:pPr>
              <w:spacing w:line="320" w:lineRule="exact"/>
              <w:jc w:val="left"/>
              <w:rPr>
                <w:color w:val="000000"/>
                <w:kern w:val="0"/>
                <w:sz w:val="18"/>
                <w:szCs w:val="18"/>
              </w:rPr>
            </w:pPr>
            <w:r>
              <w:rPr>
                <w:rFonts w:hint="eastAsia"/>
                <w:color w:val="000000"/>
                <w:kern w:val="0"/>
                <w:sz w:val="18"/>
                <w:szCs w:val="18"/>
              </w:rPr>
              <w:t>处损失费四倍以上五倍以下罚款</w:t>
            </w:r>
          </w:p>
        </w:tc>
      </w:tr>
    </w:tbl>
    <w:p w14:paraId="0CF5BF67"/>
    <w:p w14:paraId="06BA3A98"/>
    <w:p w14:paraId="7AC98A14"/>
    <w:p w14:paraId="2FF1CC5D"/>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6140"/>
        <w:gridCol w:w="1016"/>
        <w:gridCol w:w="5880"/>
      </w:tblGrid>
      <w:tr w14:paraId="6C99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0" w:type="dxa"/>
            <w:vAlign w:val="center"/>
          </w:tcPr>
          <w:p w14:paraId="27FE1073">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vAlign w:val="center"/>
          </w:tcPr>
          <w:p w14:paraId="78BB7D62">
            <w:pPr>
              <w:spacing w:line="320" w:lineRule="exact"/>
              <w:jc w:val="left"/>
              <w:rPr>
                <w:rFonts w:eastAsia="仿宋_GB2312"/>
                <w:b/>
                <w:bCs/>
                <w:color w:val="000000"/>
                <w:kern w:val="0"/>
                <w:sz w:val="18"/>
                <w:szCs w:val="18"/>
              </w:rPr>
            </w:pPr>
            <w:r>
              <w:rPr>
                <w:rFonts w:eastAsia="仿宋_GB2312"/>
                <w:b/>
                <w:bCs/>
                <w:color w:val="000000"/>
                <w:kern w:val="0"/>
                <w:sz w:val="18"/>
                <w:szCs w:val="18"/>
              </w:rPr>
              <w:t>320217682000</w:t>
            </w:r>
            <w:r>
              <w:rPr>
                <w:rFonts w:hint="eastAsia" w:eastAsia="仿宋_GB2312"/>
                <w:b/>
                <w:bCs/>
                <w:color w:val="000000"/>
                <w:kern w:val="0"/>
                <w:sz w:val="18"/>
                <w:szCs w:val="18"/>
              </w:rPr>
              <w:t xml:space="preserve"> </w:t>
            </w:r>
          </w:p>
        </w:tc>
      </w:tr>
      <w:tr w14:paraId="5FBF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0" w:type="dxa"/>
            <w:vAlign w:val="center"/>
          </w:tcPr>
          <w:p w14:paraId="4F5A45AF">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vAlign w:val="center"/>
          </w:tcPr>
          <w:p w14:paraId="21C60E7E">
            <w:pPr>
              <w:jc w:val="left"/>
              <w:textAlignment w:val="center"/>
              <w:rPr>
                <w:rFonts w:eastAsia="仿宋_GB2312"/>
                <w:color w:val="000000"/>
                <w:sz w:val="20"/>
              </w:rPr>
            </w:pPr>
            <w:r>
              <w:rPr>
                <w:rFonts w:hint="eastAsia" w:eastAsia="仿宋_GB2312"/>
                <w:color w:val="000000"/>
                <w:kern w:val="0"/>
                <w:sz w:val="20"/>
              </w:rPr>
              <w:t>对损坏城市绿化设施行为的处罚</w:t>
            </w:r>
          </w:p>
        </w:tc>
      </w:tr>
      <w:tr w14:paraId="1525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980" w:type="dxa"/>
            <w:vAlign w:val="center"/>
          </w:tcPr>
          <w:p w14:paraId="2460DDFE">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vAlign w:val="center"/>
          </w:tcPr>
          <w:p w14:paraId="783706B4">
            <w:pPr>
              <w:spacing w:line="280" w:lineRule="exact"/>
              <w:jc w:val="left"/>
              <w:textAlignment w:val="center"/>
              <w:rPr>
                <w:rFonts w:eastAsia="仿宋_GB2312"/>
                <w:color w:val="000000"/>
                <w:sz w:val="20"/>
              </w:rPr>
            </w:pPr>
            <w:r>
              <w:rPr>
                <w:rFonts w:hint="eastAsia"/>
                <w:color w:val="000000"/>
                <w:kern w:val="0"/>
                <w:sz w:val="18"/>
                <w:szCs w:val="18"/>
              </w:rPr>
              <w:t>【行政法规】《城市绿化条例》（国务院令</w:t>
            </w:r>
            <w:r>
              <w:rPr>
                <w:color w:val="000000"/>
                <w:kern w:val="0"/>
                <w:sz w:val="18"/>
                <w:szCs w:val="18"/>
              </w:rPr>
              <w:t>1992</w:t>
            </w:r>
            <w:r>
              <w:rPr>
                <w:rFonts w:hint="eastAsia"/>
                <w:color w:val="000000"/>
                <w:kern w:val="0"/>
                <w:sz w:val="18"/>
                <w:szCs w:val="18"/>
              </w:rPr>
              <w:t>年第</w:t>
            </w:r>
            <w:r>
              <w:rPr>
                <w:color w:val="000000"/>
                <w:kern w:val="0"/>
                <w:sz w:val="18"/>
                <w:szCs w:val="18"/>
              </w:rPr>
              <w:t>100</w:t>
            </w:r>
            <w:r>
              <w:rPr>
                <w:rFonts w:hint="eastAsia"/>
                <w:color w:val="000000"/>
                <w:kern w:val="0"/>
                <w:sz w:val="18"/>
                <w:szCs w:val="18"/>
              </w:rPr>
              <w:t>号，第</w:t>
            </w:r>
            <w:r>
              <w:rPr>
                <w:color w:val="000000"/>
                <w:kern w:val="0"/>
                <w:sz w:val="18"/>
                <w:szCs w:val="18"/>
              </w:rPr>
              <w:t>676</w:t>
            </w:r>
            <w:r>
              <w:rPr>
                <w:rFonts w:hint="eastAsia"/>
                <w:color w:val="000000"/>
                <w:kern w:val="0"/>
                <w:sz w:val="18"/>
                <w:szCs w:val="18"/>
              </w:rPr>
              <w:t>号修订）</w:t>
            </w:r>
            <w:r>
              <w:rPr>
                <w:color w:val="000000"/>
                <w:kern w:val="0"/>
                <w:sz w:val="18"/>
                <w:szCs w:val="18"/>
              </w:rPr>
              <w:br w:type="textWrapping"/>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（四）损坏城市绿化设施的。</w:t>
            </w:r>
            <w:r>
              <w:rPr>
                <w:color w:val="000000"/>
                <w:kern w:val="0"/>
                <w:sz w:val="18"/>
                <w:szCs w:val="18"/>
              </w:rPr>
              <w:br w:type="textWrapping"/>
            </w:r>
            <w:r>
              <w:rPr>
                <w:rFonts w:hint="eastAsia"/>
                <w:color w:val="000000"/>
                <w:kern w:val="0"/>
                <w:sz w:val="18"/>
                <w:szCs w:val="18"/>
              </w:rPr>
              <w:t>【地方性法规】《江苏省城市绿化管理条例》</w:t>
            </w:r>
            <w:r>
              <w:rPr>
                <w:color w:val="000000"/>
                <w:kern w:val="0"/>
                <w:sz w:val="18"/>
                <w:szCs w:val="18"/>
              </w:rPr>
              <w:br w:type="textWrapping"/>
            </w: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违反本条例规定，有下列行为之一的，由城市人民政府建设（园林）行政主管部门责令停止侵害，可以并处损失费一倍以上五倍以下的罚款；应当给予治安处罚的，依照《中华人民共和国治安管理处罚法》的有关规定处罚；构成犯罪的，依法追究刑事责任：</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（四）损坏城市绿化设施的。</w:t>
            </w:r>
          </w:p>
        </w:tc>
      </w:tr>
      <w:tr w14:paraId="490F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0" w:type="dxa"/>
            <w:vAlign w:val="center"/>
          </w:tcPr>
          <w:p w14:paraId="008BDF99">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vAlign w:val="center"/>
          </w:tcPr>
          <w:p w14:paraId="47D8F176">
            <w:pPr>
              <w:spacing w:line="320" w:lineRule="exact"/>
              <w:jc w:val="left"/>
              <w:rPr>
                <w:color w:val="000000"/>
                <w:kern w:val="0"/>
                <w:sz w:val="18"/>
                <w:szCs w:val="18"/>
              </w:rPr>
            </w:pPr>
            <w:r>
              <w:rPr>
                <w:rFonts w:hint="eastAsia"/>
                <w:color w:val="000000"/>
                <w:kern w:val="0"/>
                <w:sz w:val="18"/>
                <w:szCs w:val="18"/>
              </w:rPr>
              <w:t>罚款</w:t>
            </w:r>
          </w:p>
        </w:tc>
      </w:tr>
      <w:tr w14:paraId="273E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97DD4CA">
            <w:pPr>
              <w:spacing w:line="320" w:lineRule="exact"/>
              <w:jc w:val="center"/>
              <w:rPr>
                <w:color w:val="000000"/>
                <w:kern w:val="0"/>
                <w:sz w:val="18"/>
                <w:szCs w:val="18"/>
              </w:rPr>
            </w:pPr>
            <w:r>
              <w:rPr>
                <w:rFonts w:hint="eastAsia"/>
                <w:color w:val="000000"/>
                <w:kern w:val="0"/>
                <w:sz w:val="18"/>
                <w:szCs w:val="18"/>
              </w:rPr>
              <w:t>裁量基准</w:t>
            </w:r>
          </w:p>
        </w:tc>
      </w:tr>
      <w:tr w14:paraId="4AAF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0" w:type="dxa"/>
            <w:vMerge w:val="restart"/>
            <w:vAlign w:val="center"/>
          </w:tcPr>
          <w:p w14:paraId="77CC03E4">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14:paraId="7ACA08F6">
            <w:pPr>
              <w:spacing w:line="320" w:lineRule="exact"/>
              <w:jc w:val="left"/>
              <w:rPr>
                <w:color w:val="000000"/>
                <w:kern w:val="0"/>
                <w:sz w:val="18"/>
                <w:szCs w:val="18"/>
              </w:rPr>
            </w:pPr>
            <w:r>
              <w:rPr>
                <w:rFonts w:hint="eastAsia"/>
                <w:color w:val="000000"/>
                <w:kern w:val="0"/>
                <w:sz w:val="18"/>
                <w:szCs w:val="18"/>
              </w:rPr>
              <w:t>损坏座椅、果皮箱、标识牌简单设施的</w:t>
            </w:r>
          </w:p>
        </w:tc>
        <w:tc>
          <w:tcPr>
            <w:tcW w:w="1016" w:type="dxa"/>
            <w:vMerge w:val="restart"/>
            <w:vAlign w:val="center"/>
          </w:tcPr>
          <w:p w14:paraId="4E86AC8B">
            <w:pPr>
              <w:spacing w:line="320" w:lineRule="exact"/>
              <w:jc w:val="left"/>
              <w:rPr>
                <w:color w:val="000000"/>
                <w:kern w:val="0"/>
                <w:sz w:val="18"/>
                <w:szCs w:val="18"/>
              </w:rPr>
            </w:pPr>
            <w:r>
              <w:rPr>
                <w:rFonts w:hint="eastAsia"/>
                <w:color w:val="000000"/>
                <w:kern w:val="0"/>
                <w:sz w:val="18"/>
                <w:szCs w:val="18"/>
              </w:rPr>
              <w:t>裁量幅度</w:t>
            </w:r>
          </w:p>
        </w:tc>
        <w:tc>
          <w:tcPr>
            <w:tcW w:w="5880" w:type="dxa"/>
            <w:vAlign w:val="center"/>
          </w:tcPr>
          <w:p w14:paraId="40AE65BE">
            <w:pPr>
              <w:spacing w:line="320" w:lineRule="exact"/>
              <w:jc w:val="left"/>
              <w:rPr>
                <w:color w:val="000000"/>
                <w:kern w:val="0"/>
                <w:sz w:val="18"/>
                <w:szCs w:val="18"/>
              </w:rPr>
            </w:pPr>
            <w:r>
              <w:rPr>
                <w:rFonts w:hint="eastAsia"/>
                <w:color w:val="000000"/>
                <w:kern w:val="0"/>
                <w:sz w:val="18"/>
                <w:szCs w:val="18"/>
              </w:rPr>
              <w:t>处损失费一倍以上三倍以下罚款</w:t>
            </w:r>
          </w:p>
        </w:tc>
      </w:tr>
      <w:tr w14:paraId="45E9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80" w:type="dxa"/>
            <w:vMerge w:val="continue"/>
            <w:vAlign w:val="center"/>
          </w:tcPr>
          <w:p w14:paraId="45BFDD31">
            <w:pPr>
              <w:spacing w:line="320" w:lineRule="exact"/>
              <w:jc w:val="left"/>
              <w:rPr>
                <w:color w:val="000000"/>
                <w:kern w:val="0"/>
                <w:sz w:val="18"/>
                <w:szCs w:val="18"/>
              </w:rPr>
            </w:pPr>
          </w:p>
        </w:tc>
        <w:tc>
          <w:tcPr>
            <w:tcW w:w="6140" w:type="dxa"/>
            <w:vAlign w:val="center"/>
          </w:tcPr>
          <w:p w14:paraId="354C661E">
            <w:pPr>
              <w:spacing w:line="320" w:lineRule="exact"/>
              <w:jc w:val="left"/>
              <w:rPr>
                <w:color w:val="000000"/>
                <w:kern w:val="0"/>
                <w:sz w:val="18"/>
                <w:szCs w:val="18"/>
              </w:rPr>
            </w:pPr>
            <w:r>
              <w:rPr>
                <w:rFonts w:hint="eastAsia"/>
                <w:color w:val="000000"/>
                <w:kern w:val="0"/>
                <w:sz w:val="18"/>
                <w:szCs w:val="18"/>
              </w:rPr>
              <w:t>损坏除上述设施外的其他绿化设施的，如园林构筑物、建筑物、景观小品、假山、铺地、水景、音响、照明、水电等</w:t>
            </w:r>
          </w:p>
        </w:tc>
        <w:tc>
          <w:tcPr>
            <w:tcW w:w="1016" w:type="dxa"/>
            <w:vMerge w:val="continue"/>
            <w:vAlign w:val="center"/>
          </w:tcPr>
          <w:p w14:paraId="4EDCC80C">
            <w:pPr>
              <w:spacing w:line="320" w:lineRule="exact"/>
              <w:jc w:val="left"/>
              <w:rPr>
                <w:color w:val="000000"/>
                <w:kern w:val="0"/>
                <w:sz w:val="18"/>
                <w:szCs w:val="18"/>
              </w:rPr>
            </w:pPr>
          </w:p>
        </w:tc>
        <w:tc>
          <w:tcPr>
            <w:tcW w:w="5880" w:type="dxa"/>
            <w:vAlign w:val="center"/>
          </w:tcPr>
          <w:p w14:paraId="1926200A">
            <w:pPr>
              <w:spacing w:line="320" w:lineRule="exact"/>
              <w:jc w:val="left"/>
              <w:rPr>
                <w:color w:val="000000"/>
                <w:kern w:val="0"/>
                <w:sz w:val="18"/>
                <w:szCs w:val="18"/>
              </w:rPr>
            </w:pPr>
            <w:r>
              <w:rPr>
                <w:rFonts w:hint="eastAsia"/>
                <w:color w:val="000000"/>
                <w:kern w:val="0"/>
                <w:sz w:val="18"/>
                <w:szCs w:val="18"/>
              </w:rPr>
              <w:t>处损失费三倍以上五倍以下罚款</w:t>
            </w:r>
          </w:p>
        </w:tc>
      </w:tr>
    </w:tbl>
    <w:p w14:paraId="604C4EA0"/>
    <w:p w14:paraId="6C7E6692"/>
    <w:p w14:paraId="539CD38A"/>
    <w:p w14:paraId="48EA5C1D"/>
    <w:p w14:paraId="2D2D935F"/>
    <w:p w14:paraId="51ADEAA8"/>
    <w:p w14:paraId="57CE0CA3"/>
    <w:tbl>
      <w:tblPr>
        <w:tblStyle w:val="15"/>
        <w:tblW w:w="0" w:type="auto"/>
        <w:tblInd w:w="88" w:type="dxa"/>
        <w:tblLayout w:type="fixed"/>
        <w:tblCellMar>
          <w:top w:w="0" w:type="dxa"/>
          <w:left w:w="108" w:type="dxa"/>
          <w:bottom w:w="0" w:type="dxa"/>
          <w:right w:w="108" w:type="dxa"/>
        </w:tblCellMar>
      </w:tblPr>
      <w:tblGrid>
        <w:gridCol w:w="980"/>
        <w:gridCol w:w="6140"/>
        <w:gridCol w:w="1016"/>
        <w:gridCol w:w="5880"/>
      </w:tblGrid>
      <w:tr w14:paraId="56D04046">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51354484">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color="auto" w:sz="8" w:space="0"/>
              <w:left w:val="nil"/>
              <w:bottom w:val="single" w:color="auto" w:sz="4" w:space="0"/>
              <w:right w:val="single" w:color="000000" w:sz="8" w:space="0"/>
            </w:tcBorders>
            <w:vAlign w:val="center"/>
          </w:tcPr>
          <w:p w14:paraId="185B81ED">
            <w:pPr>
              <w:jc w:val="left"/>
              <w:textAlignment w:val="center"/>
              <w:rPr>
                <w:rFonts w:eastAsia="仿宋_GB2312"/>
                <w:b/>
                <w:color w:val="000000"/>
                <w:sz w:val="20"/>
              </w:rPr>
            </w:pPr>
            <w:r>
              <w:rPr>
                <w:rFonts w:eastAsia="仿宋_GB2312"/>
                <w:b/>
                <w:color w:val="000000"/>
                <w:kern w:val="0"/>
                <w:sz w:val="20"/>
              </w:rPr>
              <w:t>320217683000</w:t>
            </w:r>
            <w:r>
              <w:rPr>
                <w:rFonts w:hint="eastAsia" w:eastAsia="仿宋_GB2312"/>
                <w:b/>
                <w:color w:val="000000"/>
                <w:kern w:val="0"/>
                <w:sz w:val="20"/>
              </w:rPr>
              <w:t xml:space="preserve"> </w:t>
            </w:r>
          </w:p>
        </w:tc>
      </w:tr>
      <w:tr w14:paraId="2365ED5D">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74EC91BB">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color="auto" w:sz="4" w:space="0"/>
              <w:left w:val="nil"/>
              <w:bottom w:val="single" w:color="auto" w:sz="4" w:space="0"/>
              <w:right w:val="single" w:color="000000" w:sz="8" w:space="0"/>
            </w:tcBorders>
            <w:vAlign w:val="center"/>
          </w:tcPr>
          <w:p w14:paraId="7AC9914A">
            <w:pPr>
              <w:jc w:val="left"/>
              <w:textAlignment w:val="center"/>
              <w:rPr>
                <w:rFonts w:eastAsia="仿宋_GB2312"/>
                <w:color w:val="000000"/>
                <w:sz w:val="20"/>
              </w:rPr>
            </w:pPr>
            <w:r>
              <w:rPr>
                <w:rFonts w:hint="eastAsia" w:eastAsia="仿宋_GB2312"/>
                <w:color w:val="000000"/>
                <w:kern w:val="0"/>
                <w:sz w:val="20"/>
              </w:rPr>
              <w:t>对未经同意擅自占用城市绿化用地行为的处罚</w:t>
            </w:r>
          </w:p>
        </w:tc>
      </w:tr>
      <w:tr w14:paraId="7DF609B1">
        <w:tblPrEx>
          <w:tblCellMar>
            <w:top w:w="0" w:type="dxa"/>
            <w:left w:w="108" w:type="dxa"/>
            <w:bottom w:w="0" w:type="dxa"/>
            <w:right w:w="108" w:type="dxa"/>
          </w:tblCellMar>
        </w:tblPrEx>
        <w:trPr>
          <w:trHeight w:val="1035" w:hRule="atLeast"/>
        </w:trPr>
        <w:tc>
          <w:tcPr>
            <w:tcW w:w="980" w:type="dxa"/>
            <w:tcBorders>
              <w:top w:val="nil"/>
              <w:left w:val="single" w:color="auto" w:sz="8" w:space="0"/>
              <w:bottom w:val="single" w:color="auto" w:sz="4" w:space="0"/>
              <w:right w:val="single" w:color="auto" w:sz="4" w:space="0"/>
            </w:tcBorders>
            <w:vAlign w:val="center"/>
          </w:tcPr>
          <w:p w14:paraId="2A1CC408">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color="auto" w:sz="4" w:space="0"/>
              <w:left w:val="nil"/>
              <w:bottom w:val="single" w:color="auto" w:sz="4" w:space="0"/>
              <w:right w:val="single" w:color="000000" w:sz="8" w:space="0"/>
            </w:tcBorders>
            <w:vAlign w:val="center"/>
          </w:tcPr>
          <w:p w14:paraId="0687ABF7">
            <w:pPr>
              <w:spacing w:line="280" w:lineRule="exact"/>
              <w:jc w:val="left"/>
              <w:textAlignment w:val="center"/>
              <w:rPr>
                <w:color w:val="000000"/>
                <w:kern w:val="0"/>
                <w:sz w:val="18"/>
                <w:szCs w:val="18"/>
              </w:rPr>
            </w:pPr>
            <w:r>
              <w:rPr>
                <w:rFonts w:hint="eastAsia"/>
                <w:color w:val="000000"/>
                <w:kern w:val="0"/>
                <w:sz w:val="18"/>
                <w:szCs w:val="18"/>
              </w:rPr>
              <w:t>【行政法规】《城市绿化条例》（1992年6月22日国务院令第100号发布，根据国务院令第588号、国务院令第676号修订）</w:t>
            </w:r>
          </w:p>
          <w:p w14:paraId="0E01BE03">
            <w:pPr>
              <w:spacing w:line="280" w:lineRule="exact"/>
              <w:jc w:val="left"/>
              <w:textAlignment w:val="center"/>
              <w:rPr>
                <w:color w:val="000000"/>
                <w:kern w:val="0"/>
                <w:sz w:val="18"/>
                <w:szCs w:val="18"/>
              </w:rPr>
            </w:pPr>
            <w:r>
              <w:rPr>
                <w:rFonts w:hint="eastAsia"/>
                <w:color w:val="000000"/>
                <w:kern w:val="0"/>
                <w:sz w:val="18"/>
                <w:szCs w:val="18"/>
              </w:rPr>
              <w:t xml:space="preserve">        第二十七条  未经同意擅自占用城市绿化用地的，由城市人民政府城市绿化行政主管部门责令限期退还、恢复原状，可以并处罚款；造成损失的，应当负赔偿责任。</w:t>
            </w:r>
          </w:p>
          <w:p w14:paraId="7A80423E">
            <w:pPr>
              <w:spacing w:line="280" w:lineRule="exact"/>
              <w:jc w:val="left"/>
              <w:textAlignment w:val="center"/>
              <w:rPr>
                <w:color w:val="000000"/>
                <w:kern w:val="0"/>
                <w:sz w:val="18"/>
                <w:szCs w:val="18"/>
              </w:rPr>
            </w:pPr>
            <w:r>
              <w:rPr>
                <w:rFonts w:hint="eastAsia"/>
                <w:color w:val="000000"/>
                <w:kern w:val="0"/>
                <w:sz w:val="18"/>
                <w:szCs w:val="18"/>
              </w:rPr>
              <w:t>【地方性法规】《江苏省城市绿化管理条例》</w:t>
            </w:r>
          </w:p>
          <w:p w14:paraId="2BA91642">
            <w:pPr>
              <w:spacing w:line="280" w:lineRule="exact"/>
              <w:jc w:val="left"/>
              <w:textAlignment w:val="center"/>
              <w:rPr>
                <w:color w:val="000000"/>
                <w:kern w:val="0"/>
                <w:sz w:val="18"/>
                <w:szCs w:val="18"/>
              </w:rPr>
            </w:pPr>
            <w:r>
              <w:rPr>
                <w:rFonts w:hint="eastAsia"/>
                <w:color w:val="000000"/>
                <w:kern w:val="0"/>
                <w:sz w:val="18"/>
                <w:szCs w:val="18"/>
              </w:rPr>
              <w:t xml:space="preserve">        第十一条 城市绿化建设必须按照城市规划进行。城市规划确定的绿地，任何单位和个人不得擅自占用或者改变用途。</w:t>
            </w:r>
          </w:p>
          <w:p w14:paraId="710AD0F1">
            <w:pPr>
              <w:spacing w:line="280" w:lineRule="exact"/>
              <w:jc w:val="left"/>
              <w:textAlignment w:val="center"/>
              <w:rPr>
                <w:color w:val="000000"/>
                <w:kern w:val="0"/>
                <w:sz w:val="18"/>
                <w:szCs w:val="18"/>
              </w:rPr>
            </w:pPr>
            <w:r>
              <w:rPr>
                <w:rFonts w:hint="eastAsia"/>
                <w:color w:val="000000"/>
                <w:kern w:val="0"/>
                <w:sz w:val="18"/>
                <w:szCs w:val="18"/>
              </w:rPr>
              <w:t xml:space="preserve">        第十八条 任何单位和个人都不得擅自占用城市绿化用地，占用的城市绿化用地，应当限期归还。</w:t>
            </w:r>
          </w:p>
          <w:p w14:paraId="490A7FDC">
            <w:pPr>
              <w:spacing w:line="280" w:lineRule="exact"/>
              <w:jc w:val="left"/>
              <w:textAlignment w:val="center"/>
              <w:rPr>
                <w:color w:val="000000"/>
                <w:kern w:val="0"/>
                <w:sz w:val="18"/>
                <w:szCs w:val="18"/>
              </w:rPr>
            </w:pPr>
            <w:r>
              <w:rPr>
                <w:rFonts w:hint="eastAsia"/>
                <w:color w:val="000000"/>
                <w:kern w:val="0"/>
                <w:sz w:val="18"/>
                <w:szCs w:val="18"/>
              </w:rPr>
              <w:t xml:space="preserve">       因城市规划调整需要变更城市绿地的，必须征求城市人民政府建设（园林）行政主管部门的意见，并补偿重建绿地的土地和费用。</w:t>
            </w:r>
          </w:p>
          <w:p w14:paraId="0C405AD7">
            <w:pPr>
              <w:spacing w:line="280" w:lineRule="exact"/>
              <w:jc w:val="left"/>
              <w:textAlignment w:val="center"/>
              <w:rPr>
                <w:color w:val="000000"/>
                <w:kern w:val="0"/>
                <w:sz w:val="18"/>
                <w:szCs w:val="18"/>
              </w:rPr>
            </w:pPr>
            <w:r>
              <w:rPr>
                <w:rFonts w:hint="eastAsia"/>
                <w:color w:val="000000"/>
                <w:kern w:val="0"/>
                <w:sz w:val="18"/>
                <w:szCs w:val="18"/>
              </w:rPr>
              <w:t xml:space="preserve">       因建设或者其他特殊原因需要临时占用城市绿化用地的，必须经城市人民政府建设（园林）行政主管部门同意，并按照有关规定办理临时用地手续，在规定期限内恢复原状。</w:t>
            </w:r>
          </w:p>
          <w:p w14:paraId="49D67948">
            <w:pPr>
              <w:spacing w:line="280" w:lineRule="exact"/>
              <w:jc w:val="left"/>
              <w:textAlignment w:val="center"/>
              <w:rPr>
                <w:color w:val="000000"/>
                <w:sz w:val="20"/>
              </w:rPr>
            </w:pPr>
            <w:r>
              <w:rPr>
                <w:rFonts w:hint="eastAsia"/>
                <w:color w:val="000000"/>
                <w:kern w:val="0"/>
                <w:sz w:val="18"/>
                <w:szCs w:val="18"/>
              </w:rPr>
              <w:t xml:space="preserve">        第二十四第一款   擅自占用城市绿化用地的，由城市人民政府建设（园林）行政主管部门责令限期退还、恢复原状，可以并处所占绿化用地面积每平方米五百元以上一千元以下的罚款；造成损失的，应当负赔偿责任。</w:t>
            </w:r>
          </w:p>
        </w:tc>
      </w:tr>
      <w:tr w14:paraId="707151F8">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5C4B8BDF">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color="auto" w:sz="4" w:space="0"/>
              <w:left w:val="nil"/>
              <w:bottom w:val="single" w:color="auto" w:sz="4" w:space="0"/>
              <w:right w:val="single" w:color="000000" w:sz="8" w:space="0"/>
            </w:tcBorders>
            <w:vAlign w:val="center"/>
          </w:tcPr>
          <w:p w14:paraId="7CA4BE30">
            <w:pPr>
              <w:spacing w:line="320" w:lineRule="exact"/>
              <w:jc w:val="left"/>
              <w:rPr>
                <w:color w:val="000000"/>
                <w:kern w:val="0"/>
                <w:sz w:val="18"/>
                <w:szCs w:val="18"/>
              </w:rPr>
            </w:pPr>
            <w:r>
              <w:rPr>
                <w:rFonts w:hint="eastAsia"/>
                <w:color w:val="000000"/>
                <w:kern w:val="0"/>
                <w:sz w:val="18"/>
                <w:szCs w:val="18"/>
              </w:rPr>
              <w:t>罚款</w:t>
            </w:r>
          </w:p>
        </w:tc>
      </w:tr>
      <w:tr w14:paraId="19777F2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9CC4F9C">
            <w:pPr>
              <w:spacing w:line="320" w:lineRule="exact"/>
              <w:jc w:val="center"/>
              <w:rPr>
                <w:color w:val="000000"/>
                <w:kern w:val="0"/>
                <w:sz w:val="18"/>
                <w:szCs w:val="18"/>
              </w:rPr>
            </w:pPr>
            <w:r>
              <w:rPr>
                <w:rFonts w:hint="eastAsia"/>
                <w:color w:val="000000"/>
                <w:kern w:val="0"/>
                <w:sz w:val="18"/>
                <w:szCs w:val="18"/>
              </w:rPr>
              <w:t>裁量基准</w:t>
            </w:r>
          </w:p>
        </w:tc>
      </w:tr>
      <w:tr w14:paraId="23F1AF9E">
        <w:tblPrEx>
          <w:tblCellMar>
            <w:top w:w="0" w:type="dxa"/>
            <w:left w:w="108" w:type="dxa"/>
            <w:bottom w:w="0" w:type="dxa"/>
            <w:right w:w="108" w:type="dxa"/>
          </w:tblCellMar>
        </w:tblPrEx>
        <w:trPr>
          <w:trHeight w:val="650" w:hRule="atLeast"/>
        </w:trPr>
        <w:tc>
          <w:tcPr>
            <w:tcW w:w="980" w:type="dxa"/>
            <w:vMerge w:val="restart"/>
            <w:tcBorders>
              <w:top w:val="nil"/>
              <w:left w:val="single" w:color="auto" w:sz="8" w:space="0"/>
              <w:bottom w:val="single" w:color="auto" w:sz="4" w:space="0"/>
              <w:right w:val="single" w:color="auto" w:sz="4" w:space="0"/>
            </w:tcBorders>
            <w:vAlign w:val="center"/>
          </w:tcPr>
          <w:p w14:paraId="1486FEB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7197544">
            <w:pPr>
              <w:spacing w:line="320" w:lineRule="exact"/>
              <w:jc w:val="left"/>
              <w:rPr>
                <w:color w:val="000000"/>
                <w:kern w:val="0"/>
                <w:sz w:val="18"/>
                <w:szCs w:val="18"/>
              </w:rPr>
            </w:pPr>
            <w:r>
              <w:rPr>
                <w:rFonts w:hint="eastAsia"/>
                <w:color w:val="000000"/>
                <w:kern w:val="0"/>
                <w:sz w:val="20"/>
              </w:rPr>
              <w:t>擅自占用城市绿化用地</w:t>
            </w:r>
            <w:r>
              <w:rPr>
                <w:rFonts w:hint="eastAsia"/>
                <w:color w:val="000000"/>
                <w:kern w:val="0"/>
                <w:sz w:val="18"/>
                <w:szCs w:val="18"/>
              </w:rPr>
              <w:t>面积</w:t>
            </w:r>
            <w:r>
              <w:rPr>
                <w:color w:val="000000"/>
                <w:kern w:val="0"/>
                <w:sz w:val="18"/>
                <w:szCs w:val="18"/>
              </w:rPr>
              <w:t>10</w:t>
            </w:r>
            <w:r>
              <w:rPr>
                <w:rFonts w:hint="eastAsia"/>
                <w:color w:val="000000"/>
                <w:kern w:val="0"/>
                <w:sz w:val="18"/>
                <w:szCs w:val="18"/>
              </w:rPr>
              <w:t>平方米以下的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6BD9441F">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color="auto" w:sz="4" w:space="0"/>
              <w:left w:val="nil"/>
              <w:bottom w:val="single" w:color="auto" w:sz="4" w:space="0"/>
              <w:right w:val="single" w:color="auto" w:sz="4" w:space="0"/>
            </w:tcBorders>
            <w:vAlign w:val="center"/>
          </w:tcPr>
          <w:p w14:paraId="6F087EC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r w14:paraId="501FF8B9">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6B1497D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7E0CD37">
            <w:pPr>
              <w:spacing w:line="320" w:lineRule="exact"/>
              <w:jc w:val="left"/>
              <w:rPr>
                <w:color w:val="000000"/>
                <w:kern w:val="0"/>
                <w:sz w:val="18"/>
                <w:szCs w:val="18"/>
              </w:rPr>
            </w:pPr>
            <w:r>
              <w:rPr>
                <w:rFonts w:hint="eastAsia"/>
                <w:color w:val="000000"/>
                <w:kern w:val="0"/>
                <w:sz w:val="20"/>
              </w:rPr>
              <w:t>擅自占用城市绿化用地</w:t>
            </w:r>
            <w:r>
              <w:rPr>
                <w:rFonts w:hint="eastAsia"/>
                <w:color w:val="000000"/>
                <w:kern w:val="0"/>
                <w:sz w:val="18"/>
                <w:szCs w:val="18"/>
              </w:rPr>
              <w:t>面积</w:t>
            </w:r>
            <w:r>
              <w:rPr>
                <w:color w:val="000000"/>
                <w:kern w:val="0"/>
                <w:sz w:val="18"/>
                <w:szCs w:val="18"/>
              </w:rPr>
              <w:t>10</w:t>
            </w:r>
            <w:r>
              <w:rPr>
                <w:rFonts w:hint="eastAsia"/>
                <w:color w:val="000000"/>
                <w:kern w:val="0"/>
                <w:sz w:val="18"/>
                <w:szCs w:val="18"/>
              </w:rPr>
              <w:t>平方米以上的</w:t>
            </w:r>
          </w:p>
        </w:tc>
        <w:tc>
          <w:tcPr>
            <w:tcW w:w="1016" w:type="dxa"/>
            <w:vMerge w:val="continue"/>
            <w:tcBorders>
              <w:top w:val="nil"/>
              <w:left w:val="single" w:color="auto" w:sz="4" w:space="0"/>
              <w:bottom w:val="single" w:color="auto" w:sz="4" w:space="0"/>
              <w:right w:val="single" w:color="auto" w:sz="4" w:space="0"/>
            </w:tcBorders>
            <w:vAlign w:val="center"/>
          </w:tcPr>
          <w:p w14:paraId="22321695">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7192D3B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1000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bl>
    <w:p w14:paraId="654082FE"/>
    <w:p w14:paraId="0F9AABE6"/>
    <w:p w14:paraId="1D2FEE39"/>
    <w:p w14:paraId="7BCD1813"/>
    <w:p w14:paraId="60A181E8"/>
    <w:p w14:paraId="7EB431ED"/>
    <w:tbl>
      <w:tblPr>
        <w:tblStyle w:val="15"/>
        <w:tblW w:w="0" w:type="auto"/>
        <w:tblInd w:w="88" w:type="dxa"/>
        <w:tblLayout w:type="fixed"/>
        <w:tblCellMar>
          <w:top w:w="0" w:type="dxa"/>
          <w:left w:w="108" w:type="dxa"/>
          <w:bottom w:w="0" w:type="dxa"/>
          <w:right w:w="108" w:type="dxa"/>
        </w:tblCellMar>
      </w:tblPr>
      <w:tblGrid>
        <w:gridCol w:w="1010"/>
        <w:gridCol w:w="6140"/>
        <w:gridCol w:w="1000"/>
        <w:gridCol w:w="5866"/>
      </w:tblGrid>
      <w:tr w14:paraId="23AAFCD8">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3367C0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34D42609">
            <w:pPr>
              <w:spacing w:line="320" w:lineRule="exact"/>
              <w:jc w:val="left"/>
              <w:rPr>
                <w:rFonts w:eastAsia="仿宋_GB2312"/>
                <w:b/>
                <w:bCs/>
                <w:color w:val="000000"/>
                <w:kern w:val="0"/>
                <w:sz w:val="18"/>
                <w:szCs w:val="18"/>
              </w:rPr>
            </w:pPr>
            <w:r>
              <w:rPr>
                <w:rFonts w:eastAsia="仿宋_GB2312"/>
                <w:b/>
                <w:bCs/>
                <w:color w:val="000000"/>
                <w:kern w:val="0"/>
                <w:sz w:val="18"/>
                <w:szCs w:val="18"/>
              </w:rPr>
              <w:t>320217685000</w:t>
            </w:r>
            <w:r>
              <w:rPr>
                <w:rFonts w:hint="eastAsia" w:eastAsia="仿宋_GB2312"/>
                <w:b/>
                <w:bCs/>
                <w:color w:val="000000"/>
                <w:kern w:val="0"/>
                <w:sz w:val="18"/>
                <w:szCs w:val="18"/>
              </w:rPr>
              <w:t xml:space="preserve"> </w:t>
            </w:r>
          </w:p>
        </w:tc>
      </w:tr>
      <w:tr w14:paraId="38AA036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951DFEF">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color="auto" w:sz="4" w:space="0"/>
              <w:left w:val="nil"/>
              <w:bottom w:val="single" w:color="auto" w:sz="4" w:space="0"/>
              <w:right w:val="single" w:color="000000" w:sz="8" w:space="0"/>
            </w:tcBorders>
            <w:vAlign w:val="center"/>
          </w:tcPr>
          <w:p w14:paraId="68640833">
            <w:pPr>
              <w:jc w:val="left"/>
              <w:textAlignment w:val="center"/>
              <w:rPr>
                <w:rFonts w:eastAsia="仿宋_GB2312"/>
                <w:color w:val="000000"/>
                <w:sz w:val="20"/>
              </w:rPr>
            </w:pPr>
            <w:r>
              <w:rPr>
                <w:rFonts w:hint="eastAsia" w:eastAsia="仿宋_GB2312"/>
                <w:color w:val="000000"/>
                <w:kern w:val="0"/>
                <w:sz w:val="20"/>
              </w:rPr>
              <w:t>对二次供水设施管理者未按照规定对其供水设施清洗、消毒，或者未按照规定管理导致二次供水水质不符合国家标准的处罚</w:t>
            </w:r>
          </w:p>
        </w:tc>
      </w:tr>
      <w:tr w14:paraId="393B1F34">
        <w:tblPrEx>
          <w:tblCellMar>
            <w:top w:w="0" w:type="dxa"/>
            <w:left w:w="108" w:type="dxa"/>
            <w:bottom w:w="0" w:type="dxa"/>
            <w:right w:w="108" w:type="dxa"/>
          </w:tblCellMar>
        </w:tblPrEx>
        <w:trPr>
          <w:trHeight w:val="2321" w:hRule="atLeast"/>
        </w:trPr>
        <w:tc>
          <w:tcPr>
            <w:tcW w:w="1010" w:type="dxa"/>
            <w:tcBorders>
              <w:top w:val="nil"/>
              <w:left w:val="single" w:color="auto" w:sz="8" w:space="0"/>
              <w:bottom w:val="single" w:color="auto" w:sz="4" w:space="0"/>
              <w:right w:val="single" w:color="auto" w:sz="4" w:space="0"/>
            </w:tcBorders>
            <w:vAlign w:val="center"/>
          </w:tcPr>
          <w:p w14:paraId="5A32B03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1D98C0E3">
            <w:pPr>
              <w:spacing w:line="280" w:lineRule="exact"/>
              <w:jc w:val="left"/>
              <w:textAlignment w:val="center"/>
              <w:rPr>
                <w:color w:val="000000"/>
                <w:kern w:val="0"/>
                <w:sz w:val="18"/>
                <w:szCs w:val="18"/>
              </w:rPr>
            </w:pPr>
            <w:r>
              <w:rPr>
                <w:rFonts w:hint="eastAsia"/>
                <w:color w:val="000000"/>
                <w:kern w:val="0"/>
                <w:sz w:val="18"/>
                <w:szCs w:val="18"/>
              </w:rPr>
              <w:t>【地方性法规】《江苏省城乡供水管理条例》</w:t>
            </w:r>
          </w:p>
          <w:p w14:paraId="156186AA">
            <w:pPr>
              <w:spacing w:line="280" w:lineRule="exact"/>
              <w:jc w:val="left"/>
              <w:textAlignment w:val="center"/>
              <w:rPr>
                <w:color w:val="000000"/>
                <w:kern w:val="0"/>
                <w:sz w:val="18"/>
                <w:szCs w:val="18"/>
              </w:rPr>
            </w:pPr>
            <w:r>
              <w:rPr>
                <w:rFonts w:hint="eastAsia"/>
                <w:color w:val="000000"/>
                <w:kern w:val="0"/>
                <w:sz w:val="18"/>
                <w:szCs w:val="18"/>
              </w:rPr>
              <w:t xml:space="preserve">       第二十四条 二次供水设施管理者应当加强对供水设施的管理，定期对水质进行检测，每半年至少一次对供水设施进行清洗、消毒，保证二次供水水质符合国家生活饮用水卫生标准。</w:t>
            </w:r>
          </w:p>
          <w:p w14:paraId="6A2F2144">
            <w:pPr>
              <w:spacing w:line="280" w:lineRule="exact"/>
              <w:jc w:val="left"/>
              <w:textAlignment w:val="center"/>
              <w:rPr>
                <w:rFonts w:eastAsia="仿宋_GB2312"/>
                <w:color w:val="000000"/>
                <w:sz w:val="20"/>
              </w:rPr>
            </w:pPr>
            <w:r>
              <w:rPr>
                <w:rFonts w:hint="eastAsia"/>
                <w:color w:val="000000"/>
                <w:kern w:val="0"/>
                <w:sz w:val="18"/>
                <w:szCs w:val="18"/>
              </w:rPr>
              <w:t xml:space="preserve">       第五十一条 违反本条例规定，二次供水设施管理者未按照规定对其供水设施清洗、消毒，或者未按照规定管理导致二次供水水质不符合国家标准的，由城乡供水主管部门责令改正，并可以处以五千元以上二万元以下罚款。</w:t>
            </w:r>
          </w:p>
        </w:tc>
      </w:tr>
      <w:tr w14:paraId="2C959DB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3894D6F">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379778B">
            <w:pPr>
              <w:spacing w:line="320" w:lineRule="exact"/>
              <w:jc w:val="left"/>
              <w:rPr>
                <w:color w:val="000000"/>
                <w:kern w:val="0"/>
                <w:sz w:val="18"/>
                <w:szCs w:val="18"/>
              </w:rPr>
            </w:pPr>
            <w:r>
              <w:rPr>
                <w:rFonts w:hint="eastAsia"/>
                <w:color w:val="000000"/>
                <w:kern w:val="0"/>
                <w:sz w:val="18"/>
                <w:szCs w:val="18"/>
              </w:rPr>
              <w:t>罚款</w:t>
            </w:r>
          </w:p>
        </w:tc>
      </w:tr>
      <w:tr w14:paraId="68ADA838">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9BE812E">
            <w:pPr>
              <w:spacing w:line="320" w:lineRule="exact"/>
              <w:jc w:val="center"/>
              <w:rPr>
                <w:color w:val="000000"/>
                <w:kern w:val="0"/>
                <w:sz w:val="18"/>
                <w:szCs w:val="18"/>
              </w:rPr>
            </w:pPr>
            <w:r>
              <w:rPr>
                <w:rFonts w:hint="eastAsia"/>
                <w:color w:val="000000"/>
                <w:kern w:val="0"/>
                <w:sz w:val="18"/>
                <w:szCs w:val="18"/>
              </w:rPr>
              <w:t>裁量基准</w:t>
            </w:r>
          </w:p>
        </w:tc>
      </w:tr>
      <w:tr w14:paraId="69BE3F22">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5C0AC42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92B7C38">
            <w:pPr>
              <w:spacing w:line="320" w:lineRule="exact"/>
              <w:jc w:val="left"/>
              <w:rPr>
                <w:color w:val="000000"/>
                <w:kern w:val="0"/>
                <w:sz w:val="18"/>
                <w:szCs w:val="18"/>
              </w:rPr>
            </w:pPr>
            <w:r>
              <w:rPr>
                <w:rFonts w:hint="eastAsia"/>
                <w:color w:val="000000"/>
                <w:kern w:val="0"/>
                <w:sz w:val="18"/>
                <w:szCs w:val="18"/>
              </w:rPr>
              <w:t>未按照要求改正，但二次供水水质符合国家生活饮用水卫生标准的</w:t>
            </w:r>
          </w:p>
        </w:tc>
        <w:tc>
          <w:tcPr>
            <w:tcW w:w="1000" w:type="dxa"/>
            <w:vMerge w:val="restart"/>
            <w:tcBorders>
              <w:top w:val="nil"/>
              <w:left w:val="single" w:color="auto" w:sz="4" w:space="0"/>
              <w:bottom w:val="single" w:color="auto" w:sz="4" w:space="0"/>
              <w:right w:val="single" w:color="auto" w:sz="4" w:space="0"/>
            </w:tcBorders>
            <w:vAlign w:val="center"/>
          </w:tcPr>
          <w:p w14:paraId="715FD396">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color="auto" w:sz="4" w:space="0"/>
              <w:right w:val="single" w:color="auto" w:sz="8" w:space="0"/>
            </w:tcBorders>
            <w:vAlign w:val="center"/>
          </w:tcPr>
          <w:p w14:paraId="450DF1B9">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62CCB33C">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51142F3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D97ECC6">
            <w:pPr>
              <w:spacing w:line="320" w:lineRule="exact"/>
              <w:jc w:val="left"/>
              <w:rPr>
                <w:color w:val="000000"/>
                <w:kern w:val="0"/>
                <w:sz w:val="18"/>
                <w:szCs w:val="18"/>
              </w:rPr>
            </w:pPr>
            <w:r>
              <w:rPr>
                <w:rFonts w:hint="eastAsia"/>
                <w:color w:val="000000"/>
                <w:kern w:val="0"/>
                <w:sz w:val="18"/>
                <w:szCs w:val="18"/>
              </w:rPr>
              <w:t>按照要求改正，但二次供水水质不符合国家生活饮用水卫生标准的</w:t>
            </w:r>
          </w:p>
        </w:tc>
        <w:tc>
          <w:tcPr>
            <w:tcW w:w="1000" w:type="dxa"/>
            <w:vMerge w:val="continue"/>
            <w:tcBorders>
              <w:top w:val="nil"/>
              <w:left w:val="single" w:color="auto" w:sz="4" w:space="0"/>
              <w:bottom w:val="single" w:color="auto" w:sz="4" w:space="0"/>
              <w:right w:val="single" w:color="auto" w:sz="4" w:space="0"/>
            </w:tcBorders>
            <w:vAlign w:val="center"/>
          </w:tcPr>
          <w:p w14:paraId="02B4B508">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2DCABDC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18932063">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02690DA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51EF4C6">
            <w:pPr>
              <w:spacing w:line="320" w:lineRule="exact"/>
              <w:jc w:val="left"/>
              <w:rPr>
                <w:color w:val="000000"/>
                <w:kern w:val="0"/>
                <w:sz w:val="18"/>
                <w:szCs w:val="18"/>
              </w:rPr>
            </w:pPr>
            <w:r>
              <w:rPr>
                <w:rFonts w:hint="eastAsia"/>
                <w:color w:val="000000"/>
                <w:kern w:val="0"/>
                <w:sz w:val="18"/>
                <w:szCs w:val="18"/>
              </w:rPr>
              <w:t>未按照要求改正，且二次供水水质不符合国家生活饮用水卫生标准的</w:t>
            </w:r>
          </w:p>
        </w:tc>
        <w:tc>
          <w:tcPr>
            <w:tcW w:w="1000" w:type="dxa"/>
            <w:vMerge w:val="continue"/>
            <w:tcBorders>
              <w:top w:val="nil"/>
              <w:left w:val="single" w:color="auto" w:sz="4" w:space="0"/>
              <w:bottom w:val="single" w:color="auto" w:sz="4" w:space="0"/>
              <w:right w:val="single" w:color="auto" w:sz="4" w:space="0"/>
            </w:tcBorders>
            <w:vAlign w:val="center"/>
          </w:tcPr>
          <w:p w14:paraId="3A7FC248">
            <w:pPr>
              <w:spacing w:line="320" w:lineRule="exact"/>
              <w:jc w:val="left"/>
              <w:rPr>
                <w:color w:val="000000"/>
                <w:kern w:val="0"/>
                <w:sz w:val="18"/>
                <w:szCs w:val="18"/>
              </w:rPr>
            </w:pPr>
          </w:p>
        </w:tc>
        <w:tc>
          <w:tcPr>
            <w:tcW w:w="5866" w:type="dxa"/>
            <w:tcBorders>
              <w:top w:val="nil"/>
              <w:left w:val="nil"/>
              <w:bottom w:val="single" w:color="auto" w:sz="4" w:space="0"/>
              <w:right w:val="single" w:color="auto" w:sz="8" w:space="0"/>
            </w:tcBorders>
            <w:vAlign w:val="center"/>
          </w:tcPr>
          <w:p w14:paraId="6973750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5A990395"/>
    <w:p w14:paraId="6706A49D"/>
    <w:p w14:paraId="26AD3CC4"/>
    <w:p w14:paraId="3428B653"/>
    <w:p w14:paraId="75EF5FD1"/>
    <w:p w14:paraId="0C28C8B4"/>
    <w:p w14:paraId="49B661FC"/>
    <w:p w14:paraId="76AEB268"/>
    <w:tbl>
      <w:tblPr>
        <w:tblStyle w:val="15"/>
        <w:tblW w:w="0" w:type="auto"/>
        <w:tblInd w:w="93" w:type="dxa"/>
        <w:tblLayout w:type="fixed"/>
        <w:tblCellMar>
          <w:top w:w="0" w:type="dxa"/>
          <w:left w:w="108" w:type="dxa"/>
          <w:bottom w:w="0" w:type="dxa"/>
          <w:right w:w="108" w:type="dxa"/>
        </w:tblCellMar>
      </w:tblPr>
      <w:tblGrid>
        <w:gridCol w:w="991"/>
        <w:gridCol w:w="6140"/>
        <w:gridCol w:w="1014"/>
        <w:gridCol w:w="5880"/>
      </w:tblGrid>
      <w:tr w14:paraId="78887724">
        <w:tblPrEx>
          <w:tblCellMar>
            <w:top w:w="0" w:type="dxa"/>
            <w:left w:w="108" w:type="dxa"/>
            <w:bottom w:w="0" w:type="dxa"/>
            <w:right w:w="108" w:type="dxa"/>
          </w:tblCellMar>
        </w:tblPrEx>
        <w:trPr>
          <w:trHeight w:val="285" w:hRule="atLeast"/>
        </w:trPr>
        <w:tc>
          <w:tcPr>
            <w:tcW w:w="991" w:type="dxa"/>
            <w:tcBorders>
              <w:top w:val="single" w:color="auto" w:sz="8" w:space="0"/>
              <w:left w:val="single" w:color="auto" w:sz="8" w:space="0"/>
              <w:bottom w:val="single" w:color="auto" w:sz="4" w:space="0"/>
              <w:right w:val="single" w:color="auto" w:sz="4" w:space="0"/>
            </w:tcBorders>
            <w:vAlign w:val="center"/>
          </w:tcPr>
          <w:p w14:paraId="67A51FCB">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33511AF3">
            <w:pPr>
              <w:spacing w:line="320" w:lineRule="exact"/>
              <w:jc w:val="left"/>
              <w:rPr>
                <w:rFonts w:eastAsia="仿宋_GB2312"/>
                <w:b/>
                <w:bCs/>
                <w:color w:val="000000"/>
                <w:kern w:val="0"/>
                <w:sz w:val="18"/>
                <w:szCs w:val="18"/>
              </w:rPr>
            </w:pPr>
            <w:r>
              <w:rPr>
                <w:rFonts w:eastAsia="仿宋_GB2312"/>
                <w:b/>
                <w:bCs/>
                <w:color w:val="000000"/>
                <w:kern w:val="0"/>
                <w:sz w:val="18"/>
                <w:szCs w:val="18"/>
              </w:rPr>
              <w:t>320217686000</w:t>
            </w:r>
          </w:p>
        </w:tc>
      </w:tr>
      <w:tr w14:paraId="17F4F58F">
        <w:tblPrEx>
          <w:tblCellMar>
            <w:top w:w="0" w:type="dxa"/>
            <w:left w:w="108" w:type="dxa"/>
            <w:bottom w:w="0" w:type="dxa"/>
            <w:right w:w="108" w:type="dxa"/>
          </w:tblCellMar>
        </w:tblPrEx>
        <w:trPr>
          <w:trHeight w:val="285" w:hRule="atLeast"/>
        </w:trPr>
        <w:tc>
          <w:tcPr>
            <w:tcW w:w="991" w:type="dxa"/>
            <w:tcBorders>
              <w:top w:val="nil"/>
              <w:left w:val="single" w:color="auto" w:sz="8" w:space="0"/>
              <w:bottom w:val="single" w:color="auto" w:sz="4" w:space="0"/>
              <w:right w:val="single" w:color="auto" w:sz="4" w:space="0"/>
            </w:tcBorders>
            <w:vAlign w:val="center"/>
          </w:tcPr>
          <w:p w14:paraId="71C2D2A8">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262EE4F2">
            <w:pPr>
              <w:spacing w:line="320" w:lineRule="exact"/>
              <w:jc w:val="left"/>
              <w:rPr>
                <w:color w:val="000000"/>
                <w:kern w:val="0"/>
                <w:sz w:val="18"/>
                <w:szCs w:val="18"/>
              </w:rPr>
            </w:pPr>
            <w:r>
              <w:rPr>
                <w:rFonts w:hint="eastAsia"/>
                <w:color w:val="000000"/>
                <w:kern w:val="0"/>
                <w:sz w:val="18"/>
                <w:szCs w:val="18"/>
              </w:rPr>
              <w:t>对建设单位未按照规定配套建设节约用水设施的处罚</w:t>
            </w:r>
          </w:p>
        </w:tc>
      </w:tr>
      <w:tr w14:paraId="55D95B4C">
        <w:tblPrEx>
          <w:tblCellMar>
            <w:top w:w="0" w:type="dxa"/>
            <w:left w:w="108" w:type="dxa"/>
            <w:bottom w:w="0" w:type="dxa"/>
            <w:right w:w="108" w:type="dxa"/>
          </w:tblCellMar>
        </w:tblPrEx>
        <w:trPr>
          <w:trHeight w:val="1680" w:hRule="atLeast"/>
        </w:trPr>
        <w:tc>
          <w:tcPr>
            <w:tcW w:w="991" w:type="dxa"/>
            <w:tcBorders>
              <w:top w:val="nil"/>
              <w:left w:val="single" w:color="auto" w:sz="8" w:space="0"/>
              <w:bottom w:val="single" w:color="auto" w:sz="4" w:space="0"/>
              <w:right w:val="single" w:color="auto" w:sz="4" w:space="0"/>
            </w:tcBorders>
            <w:vAlign w:val="center"/>
          </w:tcPr>
          <w:p w14:paraId="7FF279C7">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1E1CC9D9">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12B9B7C9">
            <w:pPr>
              <w:spacing w:line="320" w:lineRule="exact"/>
              <w:jc w:val="left"/>
              <w:rPr>
                <w:color w:val="000000"/>
                <w:kern w:val="0"/>
                <w:sz w:val="18"/>
                <w:szCs w:val="18"/>
              </w:rPr>
            </w:pPr>
            <w:r>
              <w:rPr>
                <w:rFonts w:hint="eastAsia"/>
                <w:color w:val="000000"/>
                <w:kern w:val="0"/>
                <w:sz w:val="18"/>
                <w:szCs w:val="18"/>
              </w:rPr>
              <w:t xml:space="preserve">       第四十七条 使用城乡供水的新建、改建、扩建工程项目，应当配套建设节约用水设施。节约用水设施应当与主体工程同时设计、同时施工、同时使用。</w:t>
            </w:r>
          </w:p>
          <w:p w14:paraId="6ABF1C62">
            <w:pPr>
              <w:spacing w:line="320" w:lineRule="exact"/>
              <w:jc w:val="left"/>
              <w:rPr>
                <w:color w:val="000000"/>
                <w:kern w:val="0"/>
                <w:sz w:val="18"/>
                <w:szCs w:val="18"/>
              </w:rPr>
            </w:pPr>
            <w:r>
              <w:rPr>
                <w:rFonts w:hint="eastAsia"/>
                <w:color w:val="000000"/>
                <w:kern w:val="0"/>
                <w:sz w:val="18"/>
                <w:szCs w:val="18"/>
              </w:rPr>
              <w:t xml:space="preserve">       配套建设的节约用水设施，应当使用节水型工艺、设备和器具，并经验收合格后投入使用。禁止使用国家明令淘汰的工艺、设备和器具。</w:t>
            </w:r>
          </w:p>
          <w:p w14:paraId="088D21A2">
            <w:pPr>
              <w:spacing w:line="320" w:lineRule="exact"/>
              <w:jc w:val="left"/>
              <w:rPr>
                <w:color w:val="000000"/>
                <w:kern w:val="0"/>
                <w:sz w:val="18"/>
                <w:szCs w:val="18"/>
              </w:rPr>
            </w:pPr>
            <w:r>
              <w:rPr>
                <w:rFonts w:hint="eastAsia"/>
                <w:color w:val="000000"/>
                <w:kern w:val="0"/>
                <w:sz w:val="18"/>
                <w:szCs w:val="18"/>
              </w:rPr>
              <w:t xml:space="preserve">       第五十六条 违反本条例第四十七条规定，建设单位有下列行为之一的，由城乡供水主管部门责令停止使用，限期改正，处以五万元以上十万元以下罚款：</w:t>
            </w:r>
          </w:p>
          <w:p w14:paraId="1733FCA5">
            <w:pPr>
              <w:spacing w:line="320" w:lineRule="exact"/>
              <w:jc w:val="left"/>
              <w:rPr>
                <w:color w:val="000000"/>
                <w:kern w:val="0"/>
                <w:sz w:val="18"/>
                <w:szCs w:val="18"/>
              </w:rPr>
            </w:pPr>
            <w:r>
              <w:rPr>
                <w:rFonts w:hint="eastAsia"/>
                <w:color w:val="000000"/>
                <w:kern w:val="0"/>
                <w:sz w:val="18"/>
                <w:szCs w:val="18"/>
              </w:rPr>
              <w:t xml:space="preserve">    （一）未按照规定配套建设节约用水设施的；</w:t>
            </w:r>
          </w:p>
        </w:tc>
      </w:tr>
      <w:tr w14:paraId="7200E1AD">
        <w:tblPrEx>
          <w:tblCellMar>
            <w:top w:w="0" w:type="dxa"/>
            <w:left w:w="108" w:type="dxa"/>
            <w:bottom w:w="0" w:type="dxa"/>
            <w:right w:w="108" w:type="dxa"/>
          </w:tblCellMar>
        </w:tblPrEx>
        <w:trPr>
          <w:trHeight w:val="285" w:hRule="atLeast"/>
        </w:trPr>
        <w:tc>
          <w:tcPr>
            <w:tcW w:w="991" w:type="dxa"/>
            <w:tcBorders>
              <w:top w:val="nil"/>
              <w:left w:val="single" w:color="auto" w:sz="8" w:space="0"/>
              <w:bottom w:val="single" w:color="auto" w:sz="4" w:space="0"/>
              <w:right w:val="single" w:color="auto" w:sz="4" w:space="0"/>
            </w:tcBorders>
            <w:vAlign w:val="center"/>
          </w:tcPr>
          <w:p w14:paraId="3166315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582ED2BC">
            <w:pPr>
              <w:spacing w:line="320" w:lineRule="exact"/>
              <w:jc w:val="left"/>
              <w:rPr>
                <w:color w:val="000000"/>
                <w:kern w:val="0"/>
                <w:sz w:val="18"/>
                <w:szCs w:val="18"/>
              </w:rPr>
            </w:pPr>
            <w:r>
              <w:rPr>
                <w:rFonts w:hint="eastAsia"/>
                <w:color w:val="000000"/>
                <w:kern w:val="0"/>
                <w:sz w:val="18"/>
                <w:szCs w:val="18"/>
              </w:rPr>
              <w:t>罚款</w:t>
            </w:r>
          </w:p>
        </w:tc>
      </w:tr>
      <w:tr w14:paraId="3E8B18BF">
        <w:tblPrEx>
          <w:tblCellMar>
            <w:top w:w="0" w:type="dxa"/>
            <w:left w:w="108" w:type="dxa"/>
            <w:bottom w:w="0" w:type="dxa"/>
            <w:right w:w="108" w:type="dxa"/>
          </w:tblCellMar>
        </w:tblPrEx>
        <w:trPr>
          <w:trHeight w:val="285" w:hRule="atLeast"/>
        </w:trPr>
        <w:tc>
          <w:tcPr>
            <w:tcW w:w="14025" w:type="dxa"/>
            <w:gridSpan w:val="4"/>
            <w:tcBorders>
              <w:top w:val="single" w:color="auto" w:sz="4" w:space="0"/>
              <w:left w:val="single" w:color="auto" w:sz="8" w:space="0"/>
              <w:bottom w:val="single" w:color="auto" w:sz="4" w:space="0"/>
              <w:right w:val="single" w:color="000000" w:sz="8" w:space="0"/>
            </w:tcBorders>
            <w:vAlign w:val="center"/>
          </w:tcPr>
          <w:p w14:paraId="07A480DA">
            <w:pPr>
              <w:spacing w:line="320" w:lineRule="exact"/>
              <w:jc w:val="center"/>
              <w:rPr>
                <w:color w:val="000000"/>
                <w:kern w:val="0"/>
                <w:sz w:val="18"/>
                <w:szCs w:val="18"/>
              </w:rPr>
            </w:pPr>
            <w:r>
              <w:rPr>
                <w:rFonts w:hint="eastAsia"/>
                <w:color w:val="000000"/>
                <w:kern w:val="0"/>
                <w:sz w:val="18"/>
                <w:szCs w:val="18"/>
              </w:rPr>
              <w:t>裁量基准</w:t>
            </w:r>
          </w:p>
        </w:tc>
      </w:tr>
      <w:tr w14:paraId="18D743FD">
        <w:tblPrEx>
          <w:tblCellMar>
            <w:top w:w="0" w:type="dxa"/>
            <w:left w:w="108" w:type="dxa"/>
            <w:bottom w:w="0" w:type="dxa"/>
            <w:right w:w="108" w:type="dxa"/>
          </w:tblCellMar>
        </w:tblPrEx>
        <w:trPr>
          <w:trHeight w:val="285" w:hRule="atLeast"/>
        </w:trPr>
        <w:tc>
          <w:tcPr>
            <w:tcW w:w="991" w:type="dxa"/>
            <w:vMerge w:val="restart"/>
            <w:tcBorders>
              <w:top w:val="nil"/>
              <w:left w:val="single" w:color="auto" w:sz="8" w:space="0"/>
              <w:bottom w:val="single" w:color="auto" w:sz="4" w:space="0"/>
              <w:right w:val="single" w:color="auto" w:sz="4" w:space="0"/>
            </w:tcBorders>
            <w:vAlign w:val="center"/>
          </w:tcPr>
          <w:p w14:paraId="6550470E">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1AE0260">
            <w:pPr>
              <w:spacing w:line="320" w:lineRule="exact"/>
              <w:jc w:val="left"/>
              <w:rPr>
                <w:color w:val="000000"/>
                <w:kern w:val="0"/>
                <w:sz w:val="18"/>
                <w:szCs w:val="18"/>
              </w:rPr>
            </w:pPr>
            <w:r>
              <w:rPr>
                <w:rFonts w:hint="eastAsia"/>
                <w:color w:val="000000"/>
                <w:kern w:val="0"/>
                <w:sz w:val="18"/>
                <w:szCs w:val="18"/>
              </w:rPr>
              <w:t>已建设节水设施，但未使用节水型工艺、设备和器具的</w:t>
            </w:r>
          </w:p>
        </w:tc>
        <w:tc>
          <w:tcPr>
            <w:tcW w:w="1014" w:type="dxa"/>
            <w:vMerge w:val="restart"/>
            <w:tcBorders>
              <w:top w:val="nil"/>
              <w:left w:val="single" w:color="auto" w:sz="4" w:space="0"/>
              <w:bottom w:val="single" w:color="auto" w:sz="4" w:space="0"/>
              <w:right w:val="single" w:color="auto" w:sz="4" w:space="0"/>
            </w:tcBorders>
            <w:vAlign w:val="center"/>
          </w:tcPr>
          <w:p w14:paraId="1AA3496E">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color="auto" w:sz="4" w:space="0"/>
              <w:right w:val="single" w:color="auto" w:sz="8" w:space="0"/>
            </w:tcBorders>
            <w:vAlign w:val="center"/>
          </w:tcPr>
          <w:p w14:paraId="057115BD">
            <w:pPr>
              <w:spacing w:line="320" w:lineRule="exact"/>
              <w:jc w:val="left"/>
              <w:rPr>
                <w:color w:val="000000"/>
                <w:kern w:val="0"/>
                <w:sz w:val="18"/>
                <w:szCs w:val="18"/>
              </w:rPr>
            </w:pPr>
            <w:r>
              <w:rPr>
                <w:rFonts w:hint="eastAsia"/>
                <w:color w:val="000000"/>
                <w:kern w:val="0"/>
                <w:sz w:val="18"/>
                <w:szCs w:val="18"/>
              </w:rPr>
              <w:t>处5万元以上6</w:t>
            </w:r>
            <w:r>
              <w:rPr>
                <w:color w:val="000000"/>
                <w:kern w:val="0"/>
                <w:sz w:val="18"/>
                <w:szCs w:val="18"/>
              </w:rPr>
              <w:t>.5</w:t>
            </w:r>
            <w:r>
              <w:rPr>
                <w:rFonts w:hint="eastAsia"/>
                <w:color w:val="000000"/>
                <w:kern w:val="0"/>
                <w:sz w:val="18"/>
                <w:szCs w:val="18"/>
              </w:rPr>
              <w:t>万元以下罚款</w:t>
            </w:r>
          </w:p>
        </w:tc>
      </w:tr>
      <w:tr w14:paraId="7A34FCD1">
        <w:tblPrEx>
          <w:tblCellMar>
            <w:top w:w="0" w:type="dxa"/>
            <w:left w:w="108" w:type="dxa"/>
            <w:bottom w:w="0" w:type="dxa"/>
            <w:right w:w="108" w:type="dxa"/>
          </w:tblCellMar>
        </w:tblPrEx>
        <w:trPr>
          <w:trHeight w:val="285" w:hRule="atLeast"/>
        </w:trPr>
        <w:tc>
          <w:tcPr>
            <w:tcW w:w="991" w:type="dxa"/>
            <w:vMerge w:val="continue"/>
            <w:tcBorders>
              <w:top w:val="nil"/>
              <w:left w:val="single" w:color="auto" w:sz="8" w:space="0"/>
              <w:bottom w:val="single" w:color="auto" w:sz="4" w:space="0"/>
              <w:right w:val="single" w:color="auto" w:sz="4" w:space="0"/>
            </w:tcBorders>
            <w:vAlign w:val="center"/>
          </w:tcPr>
          <w:p w14:paraId="19850CD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E7F90FD">
            <w:pPr>
              <w:spacing w:line="320" w:lineRule="exact"/>
              <w:jc w:val="left"/>
              <w:rPr>
                <w:color w:val="000000"/>
                <w:kern w:val="0"/>
                <w:sz w:val="18"/>
                <w:szCs w:val="18"/>
              </w:rPr>
            </w:pPr>
            <w:r>
              <w:rPr>
                <w:rFonts w:hint="eastAsia"/>
                <w:color w:val="000000"/>
                <w:kern w:val="0"/>
                <w:sz w:val="18"/>
                <w:szCs w:val="18"/>
              </w:rPr>
              <w:t>已建设节水设施，但使用国家明令淘汰的工艺、设备和器具的</w:t>
            </w:r>
          </w:p>
        </w:tc>
        <w:tc>
          <w:tcPr>
            <w:tcW w:w="1014" w:type="dxa"/>
            <w:vMerge w:val="continue"/>
            <w:tcBorders>
              <w:top w:val="nil"/>
              <w:left w:val="single" w:color="auto" w:sz="4" w:space="0"/>
              <w:bottom w:val="single" w:color="auto" w:sz="4" w:space="0"/>
              <w:right w:val="single" w:color="auto" w:sz="4" w:space="0"/>
            </w:tcBorders>
            <w:vAlign w:val="center"/>
          </w:tcPr>
          <w:p w14:paraId="4380FB40">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2C085AD3">
            <w:pPr>
              <w:spacing w:line="320" w:lineRule="exact"/>
              <w:jc w:val="left"/>
              <w:rPr>
                <w:color w:val="000000"/>
                <w:kern w:val="0"/>
                <w:sz w:val="18"/>
                <w:szCs w:val="18"/>
              </w:rPr>
            </w:pPr>
            <w:r>
              <w:rPr>
                <w:rFonts w:hint="eastAsia"/>
                <w:color w:val="000000"/>
                <w:kern w:val="0"/>
                <w:sz w:val="18"/>
                <w:szCs w:val="18"/>
              </w:rPr>
              <w:t>处6</w:t>
            </w:r>
            <w:r>
              <w:rPr>
                <w:color w:val="000000"/>
                <w:kern w:val="0"/>
                <w:sz w:val="18"/>
                <w:szCs w:val="18"/>
              </w:rPr>
              <w:t>.5</w:t>
            </w:r>
            <w:r>
              <w:rPr>
                <w:rFonts w:hint="eastAsia"/>
                <w:color w:val="000000"/>
                <w:kern w:val="0"/>
                <w:sz w:val="18"/>
                <w:szCs w:val="18"/>
              </w:rPr>
              <w:t>万元以上8万元以下罚款</w:t>
            </w:r>
          </w:p>
        </w:tc>
      </w:tr>
      <w:tr w14:paraId="2CB81AA5">
        <w:tblPrEx>
          <w:tblCellMar>
            <w:top w:w="0" w:type="dxa"/>
            <w:left w:w="108" w:type="dxa"/>
            <w:bottom w:w="0" w:type="dxa"/>
            <w:right w:w="108" w:type="dxa"/>
          </w:tblCellMar>
        </w:tblPrEx>
        <w:trPr>
          <w:trHeight w:val="285" w:hRule="atLeast"/>
        </w:trPr>
        <w:tc>
          <w:tcPr>
            <w:tcW w:w="991" w:type="dxa"/>
            <w:vMerge w:val="continue"/>
            <w:tcBorders>
              <w:top w:val="nil"/>
              <w:left w:val="single" w:color="auto" w:sz="8" w:space="0"/>
              <w:bottom w:val="single" w:color="auto" w:sz="4" w:space="0"/>
              <w:right w:val="single" w:color="auto" w:sz="4" w:space="0"/>
            </w:tcBorders>
            <w:vAlign w:val="center"/>
          </w:tcPr>
          <w:p w14:paraId="1091F11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0FDEB34">
            <w:pPr>
              <w:spacing w:line="320" w:lineRule="exact"/>
              <w:jc w:val="left"/>
              <w:rPr>
                <w:color w:val="000000"/>
                <w:kern w:val="0"/>
                <w:sz w:val="18"/>
                <w:szCs w:val="18"/>
              </w:rPr>
            </w:pPr>
            <w:r>
              <w:rPr>
                <w:rFonts w:hint="eastAsia"/>
                <w:color w:val="000000"/>
                <w:kern w:val="0"/>
                <w:sz w:val="18"/>
                <w:szCs w:val="18"/>
              </w:rPr>
              <w:t>未建设节水设施的</w:t>
            </w:r>
          </w:p>
        </w:tc>
        <w:tc>
          <w:tcPr>
            <w:tcW w:w="1014" w:type="dxa"/>
            <w:vMerge w:val="continue"/>
            <w:tcBorders>
              <w:top w:val="nil"/>
              <w:left w:val="single" w:color="auto" w:sz="4" w:space="0"/>
              <w:bottom w:val="single" w:color="auto" w:sz="4" w:space="0"/>
              <w:right w:val="single" w:color="auto" w:sz="4" w:space="0"/>
            </w:tcBorders>
            <w:vAlign w:val="center"/>
          </w:tcPr>
          <w:p w14:paraId="15A8A9C7">
            <w:pPr>
              <w:spacing w:line="320" w:lineRule="exact"/>
              <w:jc w:val="left"/>
              <w:rPr>
                <w:color w:val="000000"/>
                <w:kern w:val="0"/>
                <w:sz w:val="18"/>
                <w:szCs w:val="18"/>
              </w:rPr>
            </w:pPr>
          </w:p>
        </w:tc>
        <w:tc>
          <w:tcPr>
            <w:tcW w:w="5880" w:type="dxa"/>
            <w:tcBorders>
              <w:top w:val="nil"/>
              <w:left w:val="nil"/>
              <w:bottom w:val="single" w:color="auto" w:sz="4" w:space="0"/>
              <w:right w:val="single" w:color="auto" w:sz="8" w:space="0"/>
            </w:tcBorders>
            <w:vAlign w:val="center"/>
          </w:tcPr>
          <w:p w14:paraId="1D11647A">
            <w:pPr>
              <w:spacing w:line="320" w:lineRule="exact"/>
              <w:jc w:val="left"/>
              <w:rPr>
                <w:color w:val="000000"/>
                <w:kern w:val="0"/>
                <w:sz w:val="18"/>
                <w:szCs w:val="18"/>
              </w:rPr>
            </w:pPr>
            <w:r>
              <w:rPr>
                <w:rFonts w:hint="eastAsia"/>
                <w:color w:val="000000"/>
                <w:kern w:val="0"/>
                <w:sz w:val="18"/>
                <w:szCs w:val="18"/>
              </w:rPr>
              <w:t>处8万元以上10万元以下罚款</w:t>
            </w:r>
          </w:p>
        </w:tc>
      </w:tr>
    </w:tbl>
    <w:p w14:paraId="3F1D3656"/>
    <w:p w14:paraId="757180E3"/>
    <w:p w14:paraId="2E5EE25E"/>
    <w:p w14:paraId="1C2788D3"/>
    <w:p w14:paraId="4545DC19"/>
    <w:p w14:paraId="46A20F35"/>
    <w:p w14:paraId="1E560B86"/>
    <w:p w14:paraId="1BB64FEA"/>
    <w:p w14:paraId="3EE8B33F"/>
    <w:p w14:paraId="335AE638"/>
    <w:tbl>
      <w:tblPr>
        <w:tblStyle w:val="15"/>
        <w:tblW w:w="0" w:type="auto"/>
        <w:tblInd w:w="78" w:type="dxa"/>
        <w:tblLayout w:type="fixed"/>
        <w:tblCellMar>
          <w:top w:w="0" w:type="dxa"/>
          <w:left w:w="108" w:type="dxa"/>
          <w:bottom w:w="0" w:type="dxa"/>
          <w:right w:w="108" w:type="dxa"/>
        </w:tblCellMar>
      </w:tblPr>
      <w:tblGrid>
        <w:gridCol w:w="1070"/>
        <w:gridCol w:w="1512"/>
        <w:gridCol w:w="4628"/>
        <w:gridCol w:w="1080"/>
        <w:gridCol w:w="5760"/>
      </w:tblGrid>
      <w:tr w14:paraId="0D734DAF">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304386BB">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color="auto" w:sz="8" w:space="0"/>
              <w:left w:val="nil"/>
              <w:bottom w:val="single" w:color="auto" w:sz="4" w:space="0"/>
              <w:right w:val="single" w:color="000000" w:sz="8" w:space="0"/>
            </w:tcBorders>
            <w:vAlign w:val="center"/>
          </w:tcPr>
          <w:p w14:paraId="100A4B49">
            <w:pPr>
              <w:spacing w:line="320" w:lineRule="exact"/>
              <w:jc w:val="left"/>
              <w:rPr>
                <w:rFonts w:eastAsia="仿宋_GB2312"/>
                <w:b/>
                <w:bCs/>
                <w:color w:val="000000"/>
                <w:kern w:val="0"/>
                <w:sz w:val="18"/>
                <w:szCs w:val="18"/>
              </w:rPr>
            </w:pPr>
            <w:r>
              <w:rPr>
                <w:rFonts w:eastAsia="仿宋_GB2312"/>
                <w:b/>
                <w:bCs/>
                <w:color w:val="000000"/>
                <w:kern w:val="0"/>
                <w:sz w:val="18"/>
                <w:szCs w:val="18"/>
              </w:rPr>
              <w:t>320217687000</w:t>
            </w:r>
          </w:p>
        </w:tc>
      </w:tr>
      <w:tr w14:paraId="3929A371">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DE537DF">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color="auto" w:sz="4" w:space="0"/>
              <w:left w:val="nil"/>
              <w:bottom w:val="single" w:color="auto" w:sz="4" w:space="0"/>
              <w:right w:val="single" w:color="000000" w:sz="8" w:space="0"/>
            </w:tcBorders>
            <w:vAlign w:val="center"/>
          </w:tcPr>
          <w:p w14:paraId="5FC4AE5E">
            <w:pPr>
              <w:spacing w:line="320" w:lineRule="exact"/>
              <w:jc w:val="left"/>
              <w:rPr>
                <w:color w:val="000000"/>
                <w:kern w:val="0"/>
                <w:sz w:val="18"/>
                <w:szCs w:val="18"/>
              </w:rPr>
            </w:pPr>
            <w:r>
              <w:rPr>
                <w:rFonts w:hint="eastAsia"/>
                <w:color w:val="000000"/>
                <w:kern w:val="0"/>
                <w:sz w:val="18"/>
                <w:szCs w:val="18"/>
              </w:rPr>
              <w:t>对原物业服务企业未按照规定履行交接义务的处罚</w:t>
            </w:r>
          </w:p>
        </w:tc>
      </w:tr>
      <w:tr w14:paraId="0ABE44ED">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13D0A24E">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color="auto" w:sz="4" w:space="0"/>
              <w:left w:val="nil"/>
              <w:bottom w:val="single" w:color="auto" w:sz="4" w:space="0"/>
              <w:right w:val="single" w:color="000000" w:sz="8" w:space="0"/>
            </w:tcBorders>
            <w:vAlign w:val="center"/>
          </w:tcPr>
          <w:p w14:paraId="4B02808B">
            <w:pPr>
              <w:spacing w:line="320" w:lineRule="exact"/>
              <w:jc w:val="left"/>
              <w:rPr>
                <w:color w:val="000000"/>
                <w:kern w:val="0"/>
                <w:sz w:val="18"/>
                <w:szCs w:val="18"/>
              </w:rPr>
            </w:pPr>
            <w:r>
              <w:rPr>
                <w:rFonts w:hint="eastAsia"/>
                <w:color w:val="000000"/>
                <w:kern w:val="0"/>
                <w:sz w:val="18"/>
                <w:szCs w:val="18"/>
              </w:rPr>
              <w:t>【地方性法规】《江苏省物业管理条例》</w:t>
            </w:r>
          </w:p>
          <w:p w14:paraId="54E4021C">
            <w:pPr>
              <w:spacing w:line="320" w:lineRule="exact"/>
              <w:jc w:val="left"/>
              <w:rPr>
                <w:color w:val="000000"/>
                <w:kern w:val="0"/>
                <w:sz w:val="18"/>
                <w:szCs w:val="18"/>
              </w:rPr>
            </w:pPr>
            <w:r>
              <w:rPr>
                <w:rFonts w:hint="eastAsia"/>
                <w:color w:val="000000"/>
                <w:kern w:val="0"/>
                <w:sz w:val="18"/>
                <w:szCs w:val="18"/>
              </w:rPr>
              <w:t xml:space="preserve">       第五十七条第一款 物业服务合同终止的，原物业服务企业应当按照约定期限，没有约定期限的应当在物业服务合同终止之日起十五日内，退出物业管理区域，并向业主委员会、决定自行管理的业主或者其指定的人履行下列交接义务：</w:t>
            </w:r>
          </w:p>
          <w:p w14:paraId="350D88EF">
            <w:pPr>
              <w:spacing w:line="320" w:lineRule="exact"/>
              <w:jc w:val="left"/>
              <w:rPr>
                <w:color w:val="000000"/>
                <w:kern w:val="0"/>
                <w:sz w:val="18"/>
                <w:szCs w:val="18"/>
              </w:rPr>
            </w:pPr>
            <w:r>
              <w:rPr>
                <w:rFonts w:hint="eastAsia"/>
                <w:color w:val="000000"/>
                <w:kern w:val="0"/>
                <w:sz w:val="18"/>
                <w:szCs w:val="18"/>
              </w:rPr>
              <w:t xml:space="preserve">    （一）移交占用的物业共用部分、由前期物业管理开办费购买的物业办公设备等固定资产；</w:t>
            </w:r>
          </w:p>
          <w:p w14:paraId="538E2320">
            <w:pPr>
              <w:spacing w:line="320" w:lineRule="exact"/>
              <w:jc w:val="left"/>
              <w:rPr>
                <w:color w:val="000000"/>
                <w:kern w:val="0"/>
                <w:sz w:val="18"/>
                <w:szCs w:val="18"/>
              </w:rPr>
            </w:pPr>
            <w:r>
              <w:rPr>
                <w:rFonts w:hint="eastAsia"/>
                <w:color w:val="000000"/>
                <w:kern w:val="0"/>
                <w:sz w:val="18"/>
                <w:szCs w:val="18"/>
              </w:rPr>
              <w:t xml:space="preserve">     （二）移交本条例第四十条第二款规定的相关资料；</w:t>
            </w:r>
          </w:p>
          <w:p w14:paraId="20FDE653">
            <w:pPr>
              <w:spacing w:line="320" w:lineRule="exact"/>
              <w:jc w:val="left"/>
              <w:rPr>
                <w:color w:val="000000"/>
                <w:kern w:val="0"/>
                <w:sz w:val="18"/>
                <w:szCs w:val="18"/>
              </w:rPr>
            </w:pPr>
            <w:r>
              <w:rPr>
                <w:rFonts w:hint="eastAsia"/>
                <w:color w:val="000000"/>
                <w:kern w:val="0"/>
                <w:sz w:val="18"/>
                <w:szCs w:val="18"/>
              </w:rPr>
              <w:t xml:space="preserve">     （三）移交物业服务期间形成的物业和设施设备使用、维护、保养、定期检验等技术资料，运行、维护、保养记录；</w:t>
            </w:r>
          </w:p>
          <w:p w14:paraId="55899D68">
            <w:pPr>
              <w:spacing w:line="320" w:lineRule="exact"/>
              <w:jc w:val="left"/>
              <w:rPr>
                <w:color w:val="000000"/>
                <w:kern w:val="0"/>
                <w:sz w:val="18"/>
                <w:szCs w:val="18"/>
              </w:rPr>
            </w:pPr>
            <w:r>
              <w:rPr>
                <w:rFonts w:hint="eastAsia"/>
                <w:color w:val="000000"/>
                <w:kern w:val="0"/>
                <w:sz w:val="18"/>
                <w:szCs w:val="18"/>
              </w:rPr>
              <w:t xml:space="preserve">     （四）结清预收、代收和预付、代付的有关费用；</w:t>
            </w:r>
          </w:p>
          <w:p w14:paraId="5D69CD90">
            <w:pPr>
              <w:spacing w:line="320" w:lineRule="exact"/>
              <w:jc w:val="left"/>
              <w:rPr>
                <w:color w:val="000000"/>
                <w:kern w:val="0"/>
                <w:sz w:val="18"/>
                <w:szCs w:val="18"/>
              </w:rPr>
            </w:pPr>
            <w:r>
              <w:rPr>
                <w:rFonts w:hint="eastAsia"/>
                <w:color w:val="000000"/>
                <w:kern w:val="0"/>
                <w:sz w:val="18"/>
                <w:szCs w:val="18"/>
              </w:rPr>
              <w:t xml:space="preserve">     （五）法律、法规规定和物业服务合同约定的其他事项。</w:t>
            </w:r>
          </w:p>
          <w:p w14:paraId="329A5530">
            <w:pPr>
              <w:spacing w:line="320" w:lineRule="exact"/>
              <w:jc w:val="left"/>
              <w:rPr>
                <w:color w:val="000000"/>
                <w:kern w:val="0"/>
                <w:sz w:val="18"/>
                <w:szCs w:val="18"/>
              </w:rPr>
            </w:pPr>
            <w:r>
              <w:rPr>
                <w:rFonts w:hint="eastAsia"/>
                <w:color w:val="000000"/>
                <w:kern w:val="0"/>
                <w:sz w:val="18"/>
                <w:szCs w:val="18"/>
              </w:rPr>
              <w:t xml:space="preserve">        第八十八条第一款 违反本条例第五十七条第一款规定，原物业服务企业未按照规定履行交接义务的，由县（市、区）物业管理行政主管部门责令限期改正；逾期仍不履行交接义务的，对物业服务企业予以通报，处一万元以上十万元以下的罚款。</w:t>
            </w:r>
          </w:p>
        </w:tc>
      </w:tr>
      <w:tr w14:paraId="3131E89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BBA2F96">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color="auto" w:sz="4" w:space="0"/>
              <w:left w:val="nil"/>
              <w:bottom w:val="single" w:color="auto" w:sz="4" w:space="0"/>
              <w:right w:val="single" w:color="000000" w:sz="8" w:space="0"/>
            </w:tcBorders>
            <w:vAlign w:val="center"/>
          </w:tcPr>
          <w:p w14:paraId="11C6BBAA">
            <w:pPr>
              <w:spacing w:line="320" w:lineRule="exact"/>
              <w:jc w:val="left"/>
              <w:rPr>
                <w:color w:val="000000"/>
                <w:kern w:val="0"/>
                <w:sz w:val="18"/>
                <w:szCs w:val="18"/>
              </w:rPr>
            </w:pPr>
            <w:r>
              <w:rPr>
                <w:rFonts w:hint="eastAsia"/>
                <w:color w:val="000000"/>
                <w:kern w:val="0"/>
                <w:sz w:val="18"/>
                <w:szCs w:val="18"/>
              </w:rPr>
              <w:t>责令限期改正，通报，罚款</w:t>
            </w:r>
          </w:p>
        </w:tc>
      </w:tr>
      <w:tr w14:paraId="35024BE4">
        <w:tblPrEx>
          <w:tblCellMar>
            <w:top w:w="0" w:type="dxa"/>
            <w:left w:w="108" w:type="dxa"/>
            <w:bottom w:w="0" w:type="dxa"/>
            <w:right w:w="108" w:type="dxa"/>
          </w:tblCellMar>
        </w:tblPrEx>
        <w:trPr>
          <w:trHeight w:val="285" w:hRule="atLeast"/>
        </w:trPr>
        <w:tc>
          <w:tcPr>
            <w:tcW w:w="14050" w:type="dxa"/>
            <w:gridSpan w:val="5"/>
            <w:tcBorders>
              <w:top w:val="single" w:color="auto" w:sz="4" w:space="0"/>
              <w:left w:val="single" w:color="auto" w:sz="8" w:space="0"/>
              <w:bottom w:val="single" w:color="auto" w:sz="4" w:space="0"/>
              <w:right w:val="single" w:color="000000" w:sz="8" w:space="0"/>
            </w:tcBorders>
            <w:vAlign w:val="center"/>
          </w:tcPr>
          <w:p w14:paraId="4C06223A">
            <w:pPr>
              <w:spacing w:line="320" w:lineRule="exact"/>
              <w:jc w:val="center"/>
              <w:rPr>
                <w:color w:val="000000"/>
                <w:kern w:val="0"/>
                <w:sz w:val="18"/>
                <w:szCs w:val="18"/>
              </w:rPr>
            </w:pPr>
            <w:r>
              <w:rPr>
                <w:rFonts w:hint="eastAsia"/>
                <w:color w:val="000000"/>
                <w:kern w:val="0"/>
                <w:sz w:val="18"/>
                <w:szCs w:val="18"/>
              </w:rPr>
              <w:t>裁量基准</w:t>
            </w:r>
          </w:p>
        </w:tc>
      </w:tr>
      <w:tr w14:paraId="7B65C13E">
        <w:tblPrEx>
          <w:tblCellMar>
            <w:top w:w="0" w:type="dxa"/>
            <w:left w:w="108" w:type="dxa"/>
            <w:bottom w:w="0" w:type="dxa"/>
            <w:right w:w="108" w:type="dxa"/>
          </w:tblCellMar>
        </w:tblPrEx>
        <w:trPr>
          <w:trHeight w:val="285" w:hRule="atLeast"/>
        </w:trPr>
        <w:tc>
          <w:tcPr>
            <w:tcW w:w="2582" w:type="dxa"/>
            <w:gridSpan w:val="2"/>
            <w:vMerge w:val="restart"/>
            <w:tcBorders>
              <w:top w:val="single" w:color="auto" w:sz="4" w:space="0"/>
              <w:left w:val="single" w:color="auto" w:sz="4" w:space="0"/>
              <w:right w:val="single" w:color="auto" w:sz="4" w:space="0"/>
            </w:tcBorders>
            <w:vAlign w:val="center"/>
          </w:tcPr>
          <w:p w14:paraId="18BCAAFA">
            <w:pPr>
              <w:spacing w:line="320" w:lineRule="exact"/>
              <w:jc w:val="center"/>
              <w:rPr>
                <w:color w:val="000000"/>
                <w:kern w:val="0"/>
                <w:sz w:val="18"/>
                <w:szCs w:val="18"/>
              </w:rPr>
            </w:pPr>
            <w:r>
              <w:rPr>
                <w:rFonts w:hint="eastAsia"/>
                <w:color w:val="000000"/>
                <w:kern w:val="0"/>
                <w:sz w:val="18"/>
                <w:szCs w:val="18"/>
              </w:rPr>
              <w:t>情形描述</w:t>
            </w:r>
          </w:p>
          <w:p w14:paraId="36D2E34D">
            <w:pPr>
              <w:spacing w:line="320" w:lineRule="exact"/>
              <w:jc w:val="left"/>
              <w:rPr>
                <w:color w:val="000000"/>
                <w:kern w:val="0"/>
                <w:sz w:val="18"/>
                <w:szCs w:val="18"/>
              </w:rPr>
            </w:pPr>
          </w:p>
        </w:tc>
        <w:tc>
          <w:tcPr>
            <w:tcW w:w="4628" w:type="dxa"/>
            <w:tcBorders>
              <w:top w:val="single" w:color="auto" w:sz="4" w:space="0"/>
              <w:left w:val="nil"/>
              <w:bottom w:val="single" w:color="auto" w:sz="4" w:space="0"/>
              <w:right w:val="single" w:color="auto" w:sz="4" w:space="0"/>
            </w:tcBorders>
            <w:vAlign w:val="center"/>
          </w:tcPr>
          <w:p w14:paraId="2CC64637">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个月内改正的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22375B0F">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7D12F978">
            <w:pPr>
              <w:spacing w:line="320" w:lineRule="exact"/>
              <w:jc w:val="left"/>
              <w:rPr>
                <w:color w:val="000000"/>
                <w:kern w:val="0"/>
                <w:sz w:val="18"/>
                <w:szCs w:val="18"/>
              </w:rPr>
            </w:pPr>
            <w:r>
              <w:rPr>
                <w:rFonts w:hint="eastAsia"/>
                <w:color w:val="000000"/>
                <w:kern w:val="0"/>
                <w:sz w:val="18"/>
                <w:szCs w:val="18"/>
              </w:rPr>
              <w:t>处1万元以上3万元以下罚款</w:t>
            </w:r>
          </w:p>
        </w:tc>
      </w:tr>
      <w:tr w14:paraId="4E0BD139">
        <w:tblPrEx>
          <w:tblCellMar>
            <w:top w:w="0" w:type="dxa"/>
            <w:left w:w="108" w:type="dxa"/>
            <w:bottom w:w="0" w:type="dxa"/>
            <w:right w:w="108" w:type="dxa"/>
          </w:tblCellMar>
        </w:tblPrEx>
        <w:trPr>
          <w:trHeight w:val="637" w:hRule="atLeast"/>
        </w:trPr>
        <w:tc>
          <w:tcPr>
            <w:tcW w:w="2582" w:type="dxa"/>
            <w:gridSpan w:val="2"/>
            <w:vMerge w:val="continue"/>
            <w:tcBorders>
              <w:left w:val="single" w:color="auto" w:sz="4" w:space="0"/>
              <w:right w:val="single" w:color="auto" w:sz="4" w:space="0"/>
            </w:tcBorders>
            <w:vAlign w:val="center"/>
          </w:tcPr>
          <w:p w14:paraId="2FCD2943">
            <w:pPr>
              <w:spacing w:line="320" w:lineRule="exact"/>
              <w:jc w:val="left"/>
              <w:rPr>
                <w:color w:val="000000"/>
                <w:kern w:val="0"/>
                <w:sz w:val="18"/>
                <w:szCs w:val="18"/>
              </w:rPr>
            </w:pPr>
          </w:p>
        </w:tc>
        <w:tc>
          <w:tcPr>
            <w:tcW w:w="4628" w:type="dxa"/>
            <w:tcBorders>
              <w:top w:val="single" w:color="auto" w:sz="4" w:space="0"/>
              <w:left w:val="nil"/>
              <w:bottom w:val="single" w:color="auto" w:sz="4" w:space="0"/>
              <w:right w:val="single" w:color="auto" w:sz="4" w:space="0"/>
            </w:tcBorders>
            <w:vAlign w:val="center"/>
          </w:tcPr>
          <w:p w14:paraId="5D294D82">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个月以上改正的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0AA8699">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53AE0E05">
            <w:pPr>
              <w:spacing w:line="320" w:lineRule="exact"/>
              <w:jc w:val="left"/>
              <w:rPr>
                <w:color w:val="000000"/>
                <w:kern w:val="0"/>
                <w:sz w:val="18"/>
                <w:szCs w:val="18"/>
              </w:rPr>
            </w:pPr>
            <w:r>
              <w:rPr>
                <w:rFonts w:hint="eastAsia"/>
                <w:color w:val="000000"/>
                <w:kern w:val="0"/>
                <w:sz w:val="18"/>
                <w:szCs w:val="18"/>
              </w:rPr>
              <w:t>处3万元以上6万元以下罚款</w:t>
            </w:r>
          </w:p>
        </w:tc>
      </w:tr>
      <w:tr w14:paraId="4D8FCECE">
        <w:tblPrEx>
          <w:tblCellMar>
            <w:top w:w="0" w:type="dxa"/>
            <w:left w:w="108" w:type="dxa"/>
            <w:bottom w:w="0" w:type="dxa"/>
            <w:right w:w="108" w:type="dxa"/>
          </w:tblCellMar>
        </w:tblPrEx>
        <w:trPr>
          <w:trHeight w:val="561" w:hRule="atLeast"/>
        </w:trPr>
        <w:tc>
          <w:tcPr>
            <w:tcW w:w="2582" w:type="dxa"/>
            <w:gridSpan w:val="2"/>
            <w:vMerge w:val="continue"/>
            <w:tcBorders>
              <w:left w:val="single" w:color="auto" w:sz="4" w:space="0"/>
              <w:bottom w:val="single" w:color="auto" w:sz="4" w:space="0"/>
              <w:right w:val="single" w:color="auto" w:sz="4" w:space="0"/>
            </w:tcBorders>
            <w:vAlign w:val="center"/>
          </w:tcPr>
          <w:p w14:paraId="35D2AAC5">
            <w:pPr>
              <w:spacing w:line="320" w:lineRule="exact"/>
              <w:jc w:val="left"/>
              <w:rPr>
                <w:color w:val="000000"/>
                <w:kern w:val="0"/>
                <w:sz w:val="18"/>
                <w:szCs w:val="18"/>
              </w:rPr>
            </w:pPr>
          </w:p>
        </w:tc>
        <w:tc>
          <w:tcPr>
            <w:tcW w:w="4628" w:type="dxa"/>
            <w:tcBorders>
              <w:top w:val="single" w:color="auto" w:sz="4" w:space="0"/>
              <w:left w:val="nil"/>
              <w:bottom w:val="single" w:color="auto" w:sz="4" w:space="0"/>
              <w:right w:val="single" w:color="auto" w:sz="4" w:space="0"/>
            </w:tcBorders>
            <w:vAlign w:val="center"/>
          </w:tcPr>
          <w:p w14:paraId="093714E8">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个月以上未改正的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6B7E8A08">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07337635">
            <w:pPr>
              <w:spacing w:line="320" w:lineRule="exact"/>
              <w:jc w:val="left"/>
              <w:rPr>
                <w:color w:val="000000"/>
                <w:kern w:val="0"/>
                <w:sz w:val="18"/>
                <w:szCs w:val="18"/>
              </w:rPr>
            </w:pPr>
            <w:r>
              <w:rPr>
                <w:rFonts w:hint="eastAsia"/>
                <w:color w:val="000000"/>
                <w:kern w:val="0"/>
                <w:sz w:val="18"/>
                <w:szCs w:val="18"/>
              </w:rPr>
              <w:t>处6万元以上10万元以下罚款</w:t>
            </w:r>
          </w:p>
        </w:tc>
      </w:tr>
    </w:tbl>
    <w:p w14:paraId="4C10F13B"/>
    <w:p w14:paraId="38BB9792"/>
    <w:p w14:paraId="5F871E26"/>
    <w:p w14:paraId="2A0CE14A"/>
    <w:p w14:paraId="3D5DE9DC"/>
    <w:tbl>
      <w:tblPr>
        <w:tblStyle w:val="15"/>
        <w:tblW w:w="0" w:type="auto"/>
        <w:tblInd w:w="78" w:type="dxa"/>
        <w:tblLayout w:type="fixed"/>
        <w:tblCellMar>
          <w:top w:w="0" w:type="dxa"/>
          <w:left w:w="108" w:type="dxa"/>
          <w:bottom w:w="0" w:type="dxa"/>
          <w:right w:w="108" w:type="dxa"/>
        </w:tblCellMar>
      </w:tblPr>
      <w:tblGrid>
        <w:gridCol w:w="1070"/>
        <w:gridCol w:w="6140"/>
        <w:gridCol w:w="1080"/>
        <w:gridCol w:w="5760"/>
      </w:tblGrid>
      <w:tr w14:paraId="182088D4">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6086167A">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4D7C0ABB">
            <w:pPr>
              <w:spacing w:line="320" w:lineRule="exact"/>
              <w:jc w:val="left"/>
              <w:rPr>
                <w:rFonts w:eastAsia="仿宋_GB2312"/>
                <w:b/>
                <w:bCs/>
                <w:color w:val="000000"/>
                <w:kern w:val="0"/>
                <w:sz w:val="18"/>
                <w:szCs w:val="18"/>
              </w:rPr>
            </w:pPr>
            <w:r>
              <w:rPr>
                <w:rFonts w:eastAsia="仿宋_GB2312"/>
                <w:b/>
                <w:bCs/>
                <w:color w:val="000000"/>
                <w:kern w:val="0"/>
                <w:sz w:val="18"/>
                <w:szCs w:val="18"/>
              </w:rPr>
              <w:t>320217688000</w:t>
            </w:r>
          </w:p>
        </w:tc>
      </w:tr>
      <w:tr w14:paraId="0AB4BB35">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2AFA2917">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4EB5F475">
            <w:pPr>
              <w:spacing w:line="320" w:lineRule="exact"/>
              <w:jc w:val="left"/>
              <w:rPr>
                <w:color w:val="000000"/>
                <w:kern w:val="0"/>
                <w:sz w:val="18"/>
                <w:szCs w:val="18"/>
              </w:rPr>
            </w:pPr>
            <w:r>
              <w:rPr>
                <w:rFonts w:hint="eastAsia"/>
                <w:color w:val="000000"/>
                <w:kern w:val="0"/>
                <w:sz w:val="18"/>
                <w:szCs w:val="18"/>
              </w:rPr>
              <w:t>对被解聘的物业服务企业拒不撤出物业管理区域的处罚</w:t>
            </w:r>
          </w:p>
        </w:tc>
      </w:tr>
      <w:tr w14:paraId="25F64E03">
        <w:tblPrEx>
          <w:tblCellMar>
            <w:top w:w="0" w:type="dxa"/>
            <w:left w:w="108" w:type="dxa"/>
            <w:bottom w:w="0" w:type="dxa"/>
            <w:right w:w="108" w:type="dxa"/>
          </w:tblCellMar>
        </w:tblPrEx>
        <w:trPr>
          <w:trHeight w:val="1125" w:hRule="atLeast"/>
        </w:trPr>
        <w:tc>
          <w:tcPr>
            <w:tcW w:w="1070" w:type="dxa"/>
            <w:tcBorders>
              <w:top w:val="nil"/>
              <w:left w:val="single" w:color="auto" w:sz="8" w:space="0"/>
              <w:bottom w:val="single" w:color="auto" w:sz="4" w:space="0"/>
              <w:right w:val="single" w:color="auto" w:sz="4" w:space="0"/>
            </w:tcBorders>
            <w:vAlign w:val="center"/>
          </w:tcPr>
          <w:p w14:paraId="21457CF4">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49C37650">
            <w:pPr>
              <w:spacing w:line="320" w:lineRule="exact"/>
              <w:jc w:val="left"/>
              <w:rPr>
                <w:color w:val="000000"/>
                <w:kern w:val="0"/>
                <w:sz w:val="18"/>
                <w:szCs w:val="18"/>
              </w:rPr>
            </w:pPr>
            <w:r>
              <w:rPr>
                <w:rFonts w:hint="eastAsia"/>
                <w:color w:val="000000"/>
                <w:kern w:val="0"/>
                <w:sz w:val="18"/>
                <w:szCs w:val="18"/>
              </w:rPr>
              <w:t>【地方性法规】《江苏省物业管理条例》</w:t>
            </w:r>
          </w:p>
          <w:p w14:paraId="43F59C47">
            <w:pPr>
              <w:spacing w:line="320" w:lineRule="exact"/>
              <w:jc w:val="left"/>
              <w:rPr>
                <w:color w:val="000000"/>
                <w:kern w:val="0"/>
                <w:sz w:val="18"/>
                <w:szCs w:val="18"/>
              </w:rPr>
            </w:pPr>
            <w:r>
              <w:rPr>
                <w:rFonts w:hint="eastAsia"/>
                <w:color w:val="000000"/>
                <w:kern w:val="0"/>
                <w:sz w:val="18"/>
                <w:szCs w:val="18"/>
              </w:rPr>
              <w:t xml:space="preserve">      第五十八条第二款 被解聘的物业服务企业拒不撤出物业管理区域的，物业所在地的县（市、区）物业管理行政主管部门应当责令其限期撤出，业主委员会可以依法提起诉讼或者申请仲裁。</w:t>
            </w:r>
          </w:p>
          <w:p w14:paraId="1A0F0F2F">
            <w:pPr>
              <w:spacing w:line="320" w:lineRule="exact"/>
              <w:jc w:val="left"/>
              <w:rPr>
                <w:color w:val="000000"/>
                <w:kern w:val="0"/>
                <w:sz w:val="18"/>
                <w:szCs w:val="18"/>
              </w:rPr>
            </w:pPr>
            <w:r>
              <w:rPr>
                <w:rFonts w:hint="eastAsia"/>
                <w:color w:val="000000"/>
                <w:kern w:val="0"/>
                <w:sz w:val="18"/>
                <w:szCs w:val="18"/>
              </w:rPr>
              <w:t xml:space="preserve">       第八十八条第二款 有下列行为之一，由县（市、区）物业管理行政主管部门责令限期改正；逾期不改正的，处五万元以上二十万元以下罚款：</w:t>
            </w:r>
          </w:p>
          <w:p w14:paraId="7CE63A77">
            <w:pPr>
              <w:spacing w:line="320" w:lineRule="exact"/>
              <w:jc w:val="left"/>
              <w:rPr>
                <w:color w:val="000000"/>
                <w:kern w:val="0"/>
                <w:sz w:val="18"/>
                <w:szCs w:val="18"/>
              </w:rPr>
            </w:pPr>
            <w:r>
              <w:rPr>
                <w:rFonts w:hint="eastAsia"/>
                <w:color w:val="000000"/>
                <w:kern w:val="0"/>
                <w:sz w:val="18"/>
                <w:szCs w:val="18"/>
              </w:rPr>
              <w:t xml:space="preserve">     （二）违反本条例第五十八条第二款规定，被解聘的物业服务企业拒不撤出物业管理区域的。</w:t>
            </w:r>
          </w:p>
        </w:tc>
      </w:tr>
      <w:tr w14:paraId="1D772561">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702BFDB0">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243D24DC">
            <w:pPr>
              <w:spacing w:line="320" w:lineRule="exact"/>
              <w:jc w:val="left"/>
              <w:rPr>
                <w:color w:val="000000"/>
                <w:kern w:val="0"/>
                <w:sz w:val="18"/>
                <w:szCs w:val="18"/>
              </w:rPr>
            </w:pPr>
            <w:r>
              <w:rPr>
                <w:rFonts w:hint="eastAsia"/>
                <w:color w:val="000000"/>
                <w:kern w:val="0"/>
                <w:sz w:val="18"/>
                <w:szCs w:val="18"/>
              </w:rPr>
              <w:t>责令限期改正，罚款</w:t>
            </w:r>
          </w:p>
        </w:tc>
      </w:tr>
      <w:tr w14:paraId="34492C6F">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A6B74EF">
            <w:pPr>
              <w:spacing w:line="320" w:lineRule="exact"/>
              <w:jc w:val="center"/>
              <w:rPr>
                <w:color w:val="000000"/>
                <w:kern w:val="0"/>
                <w:sz w:val="18"/>
                <w:szCs w:val="18"/>
              </w:rPr>
            </w:pPr>
            <w:r>
              <w:rPr>
                <w:rFonts w:hint="eastAsia"/>
                <w:color w:val="000000"/>
                <w:kern w:val="0"/>
                <w:sz w:val="18"/>
                <w:szCs w:val="18"/>
              </w:rPr>
              <w:t>裁量基准</w:t>
            </w:r>
          </w:p>
        </w:tc>
      </w:tr>
      <w:tr w14:paraId="1F4CDDBA">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bottom w:val="single" w:color="auto" w:sz="4" w:space="0"/>
              <w:right w:val="single" w:color="auto" w:sz="4" w:space="0"/>
            </w:tcBorders>
            <w:vAlign w:val="center"/>
          </w:tcPr>
          <w:p w14:paraId="4B380C2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A80FA84">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个月内改正的</w:t>
            </w:r>
          </w:p>
        </w:tc>
        <w:tc>
          <w:tcPr>
            <w:tcW w:w="1080" w:type="dxa"/>
            <w:vMerge w:val="restart"/>
            <w:tcBorders>
              <w:top w:val="nil"/>
              <w:left w:val="single" w:color="auto" w:sz="4" w:space="0"/>
              <w:bottom w:val="single" w:color="auto" w:sz="4" w:space="0"/>
              <w:right w:val="single" w:color="auto" w:sz="4" w:space="0"/>
            </w:tcBorders>
            <w:vAlign w:val="center"/>
          </w:tcPr>
          <w:p w14:paraId="3F5E9CA3">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5849E9A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14:paraId="43A729FE">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674ADB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EDC1DF2">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个月以上</w:t>
            </w:r>
            <w:r>
              <w:rPr>
                <w:color w:val="000000"/>
                <w:kern w:val="0"/>
                <w:sz w:val="18"/>
                <w:szCs w:val="18"/>
              </w:rPr>
              <w:t>2</w:t>
            </w:r>
            <w:r>
              <w:rPr>
                <w:rFonts w:hint="eastAsia"/>
                <w:color w:val="000000"/>
                <w:kern w:val="0"/>
                <w:sz w:val="18"/>
                <w:szCs w:val="18"/>
              </w:rPr>
              <w:t>个月以内改正的</w:t>
            </w:r>
          </w:p>
        </w:tc>
        <w:tc>
          <w:tcPr>
            <w:tcW w:w="1080" w:type="dxa"/>
            <w:vMerge w:val="continue"/>
            <w:tcBorders>
              <w:top w:val="nil"/>
              <w:left w:val="single" w:color="auto" w:sz="4" w:space="0"/>
              <w:bottom w:val="single" w:color="auto" w:sz="4" w:space="0"/>
              <w:right w:val="single" w:color="auto" w:sz="4" w:space="0"/>
            </w:tcBorders>
            <w:vAlign w:val="center"/>
          </w:tcPr>
          <w:p w14:paraId="17F3050B">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617EB74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67008ABB">
        <w:tblPrEx>
          <w:tblCellMar>
            <w:top w:w="0" w:type="dxa"/>
            <w:left w:w="108" w:type="dxa"/>
            <w:bottom w:w="0" w:type="dxa"/>
            <w:right w:w="108" w:type="dxa"/>
          </w:tblCellMar>
        </w:tblPrEx>
        <w:trPr>
          <w:trHeight w:val="285" w:hRule="atLeast"/>
        </w:trPr>
        <w:tc>
          <w:tcPr>
            <w:tcW w:w="1070" w:type="dxa"/>
            <w:vMerge w:val="continue"/>
            <w:tcBorders>
              <w:top w:val="nil"/>
              <w:left w:val="single" w:color="auto" w:sz="8" w:space="0"/>
              <w:bottom w:val="single" w:color="auto" w:sz="4" w:space="0"/>
              <w:right w:val="single" w:color="auto" w:sz="4" w:space="0"/>
            </w:tcBorders>
            <w:vAlign w:val="center"/>
          </w:tcPr>
          <w:p w14:paraId="7C89B14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6FCE76B">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2</w:t>
            </w:r>
            <w:r>
              <w:rPr>
                <w:rFonts w:hint="eastAsia"/>
                <w:color w:val="000000"/>
                <w:kern w:val="0"/>
                <w:sz w:val="18"/>
                <w:szCs w:val="18"/>
              </w:rPr>
              <w:t>个月以上改正的</w:t>
            </w:r>
          </w:p>
        </w:tc>
        <w:tc>
          <w:tcPr>
            <w:tcW w:w="1080" w:type="dxa"/>
            <w:vMerge w:val="continue"/>
            <w:tcBorders>
              <w:top w:val="nil"/>
              <w:left w:val="single" w:color="auto" w:sz="4" w:space="0"/>
              <w:bottom w:val="single" w:color="auto" w:sz="4" w:space="0"/>
              <w:right w:val="single" w:color="auto" w:sz="4" w:space="0"/>
            </w:tcBorders>
            <w:vAlign w:val="center"/>
          </w:tcPr>
          <w:p w14:paraId="0A149CFE">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2F02FB3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14:paraId="2C8C9619">
        <w:tblPrEx>
          <w:tblCellMar>
            <w:top w:w="0" w:type="dxa"/>
            <w:left w:w="108" w:type="dxa"/>
            <w:bottom w:w="0" w:type="dxa"/>
            <w:right w:w="108" w:type="dxa"/>
          </w:tblCellMar>
        </w:tblPrEx>
        <w:trPr>
          <w:trHeight w:val="401" w:hRule="atLeast"/>
        </w:trPr>
        <w:tc>
          <w:tcPr>
            <w:tcW w:w="1070" w:type="dxa"/>
            <w:vMerge w:val="continue"/>
            <w:tcBorders>
              <w:top w:val="nil"/>
              <w:left w:val="single" w:color="auto" w:sz="8" w:space="0"/>
              <w:bottom w:val="single" w:color="auto" w:sz="4" w:space="0"/>
              <w:right w:val="single" w:color="auto" w:sz="4" w:space="0"/>
            </w:tcBorders>
            <w:vAlign w:val="center"/>
          </w:tcPr>
          <w:p w14:paraId="0DDE891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3C90F5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2</w:t>
            </w:r>
            <w:r>
              <w:rPr>
                <w:rFonts w:hint="eastAsia"/>
                <w:color w:val="000000"/>
                <w:kern w:val="0"/>
                <w:sz w:val="18"/>
                <w:szCs w:val="18"/>
              </w:rPr>
              <w:t>个月以上未改正的</w:t>
            </w:r>
          </w:p>
        </w:tc>
        <w:tc>
          <w:tcPr>
            <w:tcW w:w="1080" w:type="dxa"/>
            <w:vMerge w:val="continue"/>
            <w:tcBorders>
              <w:top w:val="nil"/>
              <w:left w:val="single" w:color="auto" w:sz="4" w:space="0"/>
              <w:bottom w:val="single" w:color="auto" w:sz="4" w:space="0"/>
              <w:right w:val="single" w:color="auto" w:sz="4" w:space="0"/>
            </w:tcBorders>
            <w:vAlign w:val="center"/>
          </w:tcPr>
          <w:p w14:paraId="26DAC5DC">
            <w:pPr>
              <w:spacing w:line="32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742DFF4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14:paraId="5E6A03AC"/>
    <w:p w14:paraId="31F4C0FF"/>
    <w:p w14:paraId="3DDD32E7"/>
    <w:p w14:paraId="709CE2D0"/>
    <w:p w14:paraId="34570595"/>
    <w:p w14:paraId="51D277EF"/>
    <w:p w14:paraId="3D7E388B"/>
    <w:p w14:paraId="24B987EF"/>
    <w:p w14:paraId="2BC68D56"/>
    <w:tbl>
      <w:tblPr>
        <w:tblStyle w:val="15"/>
        <w:tblW w:w="0" w:type="auto"/>
        <w:tblInd w:w="88" w:type="dxa"/>
        <w:tblLayout w:type="fixed"/>
        <w:tblCellMar>
          <w:top w:w="0" w:type="dxa"/>
          <w:left w:w="108" w:type="dxa"/>
          <w:bottom w:w="0" w:type="dxa"/>
          <w:right w:w="108" w:type="dxa"/>
        </w:tblCellMar>
      </w:tblPr>
      <w:tblGrid>
        <w:gridCol w:w="980"/>
        <w:gridCol w:w="6140"/>
        <w:gridCol w:w="1016"/>
        <w:gridCol w:w="5880"/>
      </w:tblGrid>
      <w:tr w14:paraId="27438979">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7603EFB0">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color="auto" w:sz="8" w:space="0"/>
              <w:left w:val="nil"/>
              <w:bottom w:val="single" w:color="auto" w:sz="4" w:space="0"/>
              <w:right w:val="single" w:color="000000" w:sz="8" w:space="0"/>
            </w:tcBorders>
            <w:vAlign w:val="center"/>
          </w:tcPr>
          <w:p w14:paraId="7EE39D6D">
            <w:pPr>
              <w:jc w:val="left"/>
              <w:textAlignment w:val="center"/>
              <w:rPr>
                <w:rFonts w:eastAsia="仿宋_GB2312"/>
                <w:b/>
                <w:color w:val="000000"/>
                <w:sz w:val="20"/>
              </w:rPr>
            </w:pPr>
            <w:r>
              <w:rPr>
                <w:rFonts w:eastAsia="仿宋_GB2312"/>
                <w:b/>
                <w:color w:val="000000"/>
                <w:kern w:val="0"/>
                <w:sz w:val="20"/>
              </w:rPr>
              <w:t>320217689000</w:t>
            </w:r>
            <w:r>
              <w:rPr>
                <w:rFonts w:hint="eastAsia" w:eastAsia="仿宋_GB2312"/>
                <w:b/>
                <w:color w:val="000000"/>
                <w:kern w:val="0"/>
                <w:sz w:val="20"/>
              </w:rPr>
              <w:t xml:space="preserve"> </w:t>
            </w:r>
          </w:p>
        </w:tc>
      </w:tr>
      <w:tr w14:paraId="56D74EE2">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3E9B7967">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color="auto" w:sz="4" w:space="0"/>
              <w:left w:val="nil"/>
              <w:bottom w:val="single" w:color="auto" w:sz="4" w:space="0"/>
              <w:right w:val="single" w:color="000000" w:sz="8" w:space="0"/>
            </w:tcBorders>
            <w:vAlign w:val="center"/>
          </w:tcPr>
          <w:p w14:paraId="450BA179">
            <w:pPr>
              <w:spacing w:line="320" w:lineRule="exact"/>
              <w:jc w:val="left"/>
              <w:rPr>
                <w:rFonts w:eastAsia="仿宋_GB2312"/>
                <w:color w:val="000000"/>
                <w:sz w:val="20"/>
              </w:rPr>
            </w:pPr>
            <w:r>
              <w:rPr>
                <w:rFonts w:hint="eastAsia"/>
                <w:color w:val="000000"/>
                <w:kern w:val="0"/>
                <w:sz w:val="18"/>
                <w:szCs w:val="18"/>
              </w:rPr>
              <w:t>对损坏城市树木花草行为的处罚</w:t>
            </w:r>
          </w:p>
        </w:tc>
      </w:tr>
      <w:tr w14:paraId="3FFC43B4">
        <w:tblPrEx>
          <w:tblCellMar>
            <w:top w:w="0" w:type="dxa"/>
            <w:left w:w="108" w:type="dxa"/>
            <w:bottom w:w="0" w:type="dxa"/>
            <w:right w:w="108" w:type="dxa"/>
          </w:tblCellMar>
        </w:tblPrEx>
        <w:trPr>
          <w:trHeight w:val="1035" w:hRule="atLeast"/>
        </w:trPr>
        <w:tc>
          <w:tcPr>
            <w:tcW w:w="980" w:type="dxa"/>
            <w:tcBorders>
              <w:top w:val="nil"/>
              <w:left w:val="single" w:color="auto" w:sz="8" w:space="0"/>
              <w:bottom w:val="single" w:color="auto" w:sz="4" w:space="0"/>
              <w:right w:val="single" w:color="auto" w:sz="4" w:space="0"/>
            </w:tcBorders>
            <w:vAlign w:val="center"/>
          </w:tcPr>
          <w:p w14:paraId="7AA793A9">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color="auto" w:sz="4" w:space="0"/>
              <w:left w:val="nil"/>
              <w:bottom w:val="single" w:color="auto" w:sz="4" w:space="0"/>
              <w:right w:val="single" w:color="000000" w:sz="8" w:space="0"/>
            </w:tcBorders>
            <w:vAlign w:val="center"/>
          </w:tcPr>
          <w:p w14:paraId="19F3251C">
            <w:pPr>
              <w:spacing w:line="320" w:lineRule="exact"/>
              <w:jc w:val="left"/>
              <w:rPr>
                <w:rFonts w:eastAsia="仿宋_GB2312"/>
                <w:color w:val="000000"/>
                <w:sz w:val="20"/>
              </w:rPr>
            </w:pPr>
            <w:r>
              <w:rPr>
                <w:rFonts w:hint="eastAsia"/>
                <w:color w:val="000000"/>
                <w:kern w:val="0"/>
                <w:sz w:val="18"/>
                <w:szCs w:val="18"/>
              </w:rPr>
              <w:t>【行政法规】《城市绿化条例》（国务院令</w:t>
            </w:r>
            <w:r>
              <w:rPr>
                <w:color w:val="000000"/>
                <w:kern w:val="0"/>
                <w:sz w:val="18"/>
                <w:szCs w:val="18"/>
              </w:rPr>
              <w:t>1992</w:t>
            </w:r>
            <w:r>
              <w:rPr>
                <w:rFonts w:hint="eastAsia"/>
                <w:color w:val="000000"/>
                <w:kern w:val="0"/>
                <w:sz w:val="18"/>
                <w:szCs w:val="18"/>
              </w:rPr>
              <w:t>年第</w:t>
            </w:r>
            <w:r>
              <w:rPr>
                <w:color w:val="000000"/>
                <w:kern w:val="0"/>
                <w:sz w:val="18"/>
                <w:szCs w:val="18"/>
              </w:rPr>
              <w:t>100</w:t>
            </w:r>
            <w:r>
              <w:rPr>
                <w:rFonts w:hint="eastAsia"/>
                <w:color w:val="000000"/>
                <w:kern w:val="0"/>
                <w:sz w:val="18"/>
                <w:szCs w:val="18"/>
              </w:rPr>
              <w:t>号，</w:t>
            </w:r>
            <w:r>
              <w:rPr>
                <w:color w:val="000000"/>
                <w:kern w:val="0"/>
                <w:sz w:val="18"/>
                <w:szCs w:val="18"/>
              </w:rPr>
              <w:t>2011</w:t>
            </w:r>
            <w:r>
              <w:rPr>
                <w:rFonts w:hint="eastAsia"/>
                <w:color w:val="000000"/>
                <w:kern w:val="0"/>
                <w:sz w:val="18"/>
                <w:szCs w:val="18"/>
              </w:rPr>
              <w:t>年修订，</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br w:type="textWrapping"/>
            </w:r>
            <w:r>
              <w:rPr>
                <w:rFonts w:hint="eastAsia"/>
                <w:color w:val="000000"/>
                <w:kern w:val="0"/>
                <w:sz w:val="18"/>
                <w:szCs w:val="18"/>
              </w:rPr>
              <w:t>第二十六条　违反本条例规定，有下列行为之一的，由城市人民政府城市绿化行政主管部门或者其授权的单位责令停止侵害，可以并处罚款；造成损失的，应当负赔偿责任；应当给予治安管理处罚的，依照《治安管理处罚法》的有关规定处罚；构成犯罪的，依法追究刑事责任：</w:t>
            </w:r>
            <w:r>
              <w:rPr>
                <w:color w:val="000000"/>
                <w:kern w:val="0"/>
                <w:sz w:val="18"/>
                <w:szCs w:val="18"/>
              </w:rPr>
              <w:br w:type="textWrapping"/>
            </w:r>
            <w:r>
              <w:rPr>
                <w:rFonts w:hint="eastAsia"/>
                <w:color w:val="000000"/>
                <w:kern w:val="0"/>
                <w:sz w:val="18"/>
                <w:szCs w:val="18"/>
              </w:rPr>
              <w:t>（一）损坏城市树木花草的；</w:t>
            </w:r>
            <w:r>
              <w:rPr>
                <w:color w:val="000000"/>
                <w:kern w:val="0"/>
                <w:sz w:val="18"/>
                <w:szCs w:val="18"/>
              </w:rPr>
              <w:br w:type="textWrapping"/>
            </w:r>
            <w:r>
              <w:rPr>
                <w:rFonts w:hint="eastAsia"/>
                <w:color w:val="000000"/>
                <w:kern w:val="0"/>
                <w:sz w:val="18"/>
                <w:szCs w:val="18"/>
              </w:rPr>
              <w:t>【地方性法规】《江苏省城市绿化管理条例》</w:t>
            </w:r>
            <w:r>
              <w:rPr>
                <w:color w:val="000000"/>
                <w:kern w:val="0"/>
                <w:sz w:val="18"/>
                <w:szCs w:val="18"/>
              </w:rPr>
              <w:br w:type="textWrapping"/>
            </w:r>
            <w:r>
              <w:rPr>
                <w:color w:val="000000"/>
                <w:kern w:val="0"/>
                <w:sz w:val="18"/>
                <w:szCs w:val="18"/>
              </w:rPr>
              <w:t xml:space="preserve"> </w:t>
            </w: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违反本条例规定，有下列行为之一的，由城市人民政府建设（园林）行政主管部门责令停止侵害，可以并处损失费一倍以上五倍以下的罚款；应当给予治安处罚的，依照《中华人民共和国治安管理处罚法》的有关规定处罚；构成犯罪的，依法追究刑事责任：</w:t>
            </w:r>
            <w:r>
              <w:rPr>
                <w:color w:val="000000"/>
                <w:kern w:val="0"/>
                <w:sz w:val="18"/>
                <w:szCs w:val="18"/>
              </w:rPr>
              <w:br w:type="textWrapping"/>
            </w:r>
            <w:r>
              <w:rPr>
                <w:rFonts w:hint="eastAsia"/>
                <w:color w:val="000000"/>
                <w:kern w:val="0"/>
                <w:sz w:val="18"/>
                <w:szCs w:val="18"/>
              </w:rPr>
              <w:t>（一）损坏城市树木花草的；</w:t>
            </w:r>
          </w:p>
        </w:tc>
      </w:tr>
      <w:tr w14:paraId="709DA161">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7C17C524">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color="auto" w:sz="4" w:space="0"/>
              <w:left w:val="nil"/>
              <w:bottom w:val="single" w:color="auto" w:sz="4" w:space="0"/>
              <w:right w:val="single" w:color="000000" w:sz="8" w:space="0"/>
            </w:tcBorders>
            <w:vAlign w:val="center"/>
          </w:tcPr>
          <w:p w14:paraId="22FA7B9C">
            <w:pPr>
              <w:spacing w:line="320" w:lineRule="exact"/>
              <w:jc w:val="left"/>
              <w:rPr>
                <w:color w:val="000000"/>
                <w:kern w:val="0"/>
                <w:sz w:val="18"/>
                <w:szCs w:val="18"/>
              </w:rPr>
            </w:pPr>
            <w:r>
              <w:rPr>
                <w:rFonts w:hint="eastAsia"/>
                <w:color w:val="000000"/>
                <w:kern w:val="0"/>
                <w:sz w:val="18"/>
                <w:szCs w:val="18"/>
              </w:rPr>
              <w:t>罚款</w:t>
            </w:r>
          </w:p>
        </w:tc>
      </w:tr>
      <w:tr w14:paraId="701F5BF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FC281D7">
            <w:pPr>
              <w:spacing w:line="320" w:lineRule="exact"/>
              <w:jc w:val="center"/>
              <w:rPr>
                <w:color w:val="000000"/>
                <w:kern w:val="0"/>
                <w:sz w:val="18"/>
                <w:szCs w:val="18"/>
              </w:rPr>
            </w:pPr>
            <w:r>
              <w:rPr>
                <w:rFonts w:hint="eastAsia"/>
                <w:color w:val="000000"/>
                <w:kern w:val="0"/>
                <w:sz w:val="18"/>
                <w:szCs w:val="18"/>
              </w:rPr>
              <w:t>裁量基准</w:t>
            </w:r>
          </w:p>
        </w:tc>
      </w:tr>
      <w:tr w14:paraId="6A4E9B15">
        <w:tblPrEx>
          <w:tblCellMar>
            <w:top w:w="0" w:type="dxa"/>
            <w:left w:w="108" w:type="dxa"/>
            <w:bottom w:w="0" w:type="dxa"/>
            <w:right w:w="108" w:type="dxa"/>
          </w:tblCellMar>
        </w:tblPrEx>
        <w:trPr>
          <w:trHeight w:val="285" w:hRule="atLeast"/>
        </w:trPr>
        <w:tc>
          <w:tcPr>
            <w:tcW w:w="980" w:type="dxa"/>
            <w:vMerge w:val="restart"/>
            <w:tcBorders>
              <w:top w:val="single" w:color="auto" w:sz="4" w:space="0"/>
              <w:left w:val="single" w:color="auto" w:sz="4" w:space="0"/>
              <w:bottom w:val="single" w:color="auto" w:sz="4" w:space="0"/>
              <w:right w:val="single" w:color="auto" w:sz="4" w:space="0"/>
            </w:tcBorders>
            <w:vAlign w:val="center"/>
          </w:tcPr>
          <w:p w14:paraId="2E28890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46D7D9B">
            <w:pPr>
              <w:spacing w:line="320" w:lineRule="exact"/>
              <w:jc w:val="left"/>
              <w:rPr>
                <w:color w:val="000000"/>
                <w:kern w:val="0"/>
                <w:sz w:val="18"/>
                <w:szCs w:val="18"/>
              </w:rPr>
            </w:pPr>
            <w:r>
              <w:rPr>
                <w:rFonts w:hint="eastAsia"/>
                <w:color w:val="000000"/>
                <w:kern w:val="0"/>
                <w:sz w:val="18"/>
                <w:szCs w:val="18"/>
              </w:rPr>
              <w:t>损坏城市树木</w:t>
            </w:r>
            <w:r>
              <w:rPr>
                <w:color w:val="000000"/>
                <w:kern w:val="0"/>
                <w:sz w:val="18"/>
                <w:szCs w:val="18"/>
              </w:rPr>
              <w:t>10</w:t>
            </w:r>
            <w:r>
              <w:rPr>
                <w:rFonts w:hint="eastAsia"/>
                <w:color w:val="000000"/>
                <w:kern w:val="0"/>
                <w:sz w:val="18"/>
                <w:szCs w:val="18"/>
              </w:rPr>
              <w:t>棵以下或者损坏花草</w:t>
            </w:r>
            <w:r>
              <w:rPr>
                <w:color w:val="000000"/>
                <w:kern w:val="0"/>
                <w:sz w:val="18"/>
                <w:szCs w:val="18"/>
              </w:rPr>
              <w:t>10</w:t>
            </w:r>
            <w:r>
              <w:rPr>
                <w:rFonts w:hint="eastAsia"/>
                <w:color w:val="000000"/>
                <w:kern w:val="0"/>
                <w:sz w:val="18"/>
                <w:szCs w:val="18"/>
              </w:rPr>
              <w:t>平方以下的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06513173">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color="auto" w:sz="4" w:space="0"/>
              <w:left w:val="nil"/>
              <w:bottom w:val="single" w:color="auto" w:sz="4" w:space="0"/>
              <w:right w:val="single" w:color="auto" w:sz="4" w:space="0"/>
            </w:tcBorders>
            <w:vAlign w:val="center"/>
          </w:tcPr>
          <w:p w14:paraId="216D5B61">
            <w:pPr>
              <w:spacing w:line="320" w:lineRule="exact"/>
              <w:jc w:val="left"/>
              <w:rPr>
                <w:color w:val="000000"/>
                <w:kern w:val="0"/>
                <w:sz w:val="18"/>
                <w:szCs w:val="18"/>
              </w:rPr>
            </w:pPr>
            <w:r>
              <w:rPr>
                <w:rFonts w:hint="eastAsia"/>
                <w:color w:val="000000"/>
                <w:kern w:val="0"/>
                <w:sz w:val="18"/>
                <w:szCs w:val="18"/>
              </w:rPr>
              <w:t>处损失费一倍以上三倍以下罚款</w:t>
            </w:r>
          </w:p>
        </w:tc>
      </w:tr>
      <w:tr w14:paraId="145898DA">
        <w:tblPrEx>
          <w:tblCellMar>
            <w:top w:w="0" w:type="dxa"/>
            <w:left w:w="108" w:type="dxa"/>
            <w:bottom w:w="0" w:type="dxa"/>
            <w:right w:w="108" w:type="dxa"/>
          </w:tblCellMar>
        </w:tblPrEx>
        <w:trPr>
          <w:trHeight w:val="650" w:hRule="atLeast"/>
        </w:trPr>
        <w:tc>
          <w:tcPr>
            <w:tcW w:w="980" w:type="dxa"/>
            <w:vMerge w:val="continue"/>
            <w:tcBorders>
              <w:top w:val="single" w:color="auto" w:sz="4" w:space="0"/>
              <w:left w:val="single" w:color="auto" w:sz="4" w:space="0"/>
              <w:bottom w:val="single" w:color="auto" w:sz="4" w:space="0"/>
              <w:right w:val="single" w:color="auto" w:sz="4" w:space="0"/>
            </w:tcBorders>
            <w:vAlign w:val="center"/>
          </w:tcPr>
          <w:p w14:paraId="4031522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8CB85DC">
            <w:pPr>
              <w:spacing w:line="320" w:lineRule="exact"/>
              <w:jc w:val="left"/>
              <w:rPr>
                <w:color w:val="000000"/>
                <w:kern w:val="0"/>
                <w:sz w:val="18"/>
                <w:szCs w:val="18"/>
              </w:rPr>
            </w:pPr>
            <w:r>
              <w:rPr>
                <w:rFonts w:hint="eastAsia"/>
                <w:color w:val="000000"/>
                <w:kern w:val="0"/>
                <w:sz w:val="18"/>
                <w:szCs w:val="18"/>
              </w:rPr>
              <w:t>损坏城市树木花草</w:t>
            </w:r>
            <w:r>
              <w:rPr>
                <w:color w:val="000000"/>
                <w:kern w:val="0"/>
                <w:sz w:val="18"/>
                <w:szCs w:val="18"/>
              </w:rPr>
              <w:t>10</w:t>
            </w:r>
            <w:r>
              <w:rPr>
                <w:rFonts w:hint="eastAsia"/>
                <w:color w:val="000000"/>
                <w:kern w:val="0"/>
                <w:sz w:val="18"/>
                <w:szCs w:val="18"/>
              </w:rPr>
              <w:t>棵以上或者损坏花草</w:t>
            </w:r>
            <w:r>
              <w:rPr>
                <w:color w:val="000000"/>
                <w:kern w:val="0"/>
                <w:sz w:val="18"/>
                <w:szCs w:val="18"/>
              </w:rPr>
              <w:t>10</w:t>
            </w:r>
            <w:r>
              <w:rPr>
                <w:rFonts w:hint="eastAsia"/>
                <w:color w:val="000000"/>
                <w:kern w:val="0"/>
                <w:sz w:val="18"/>
                <w:szCs w:val="18"/>
              </w:rPr>
              <w:t>平方以上的，或损坏胸径</w:t>
            </w:r>
            <w:r>
              <w:rPr>
                <w:color w:val="000000"/>
                <w:kern w:val="0"/>
                <w:sz w:val="18"/>
                <w:szCs w:val="18"/>
              </w:rPr>
              <w:t>20cm</w:t>
            </w:r>
            <w:r>
              <w:rPr>
                <w:rFonts w:hint="eastAsia"/>
                <w:color w:val="000000"/>
                <w:kern w:val="0"/>
                <w:sz w:val="18"/>
                <w:szCs w:val="18"/>
              </w:rPr>
              <w:t>以上树木或损坏行道数、城市主干道、重要景观节点等位置树木花草的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6BFEB352">
            <w:pPr>
              <w:spacing w:line="320" w:lineRule="exact"/>
              <w:jc w:val="left"/>
              <w:rPr>
                <w:color w:val="000000"/>
                <w:kern w:val="0"/>
                <w:sz w:val="18"/>
                <w:szCs w:val="18"/>
              </w:rPr>
            </w:pPr>
          </w:p>
        </w:tc>
        <w:tc>
          <w:tcPr>
            <w:tcW w:w="5880" w:type="dxa"/>
            <w:tcBorders>
              <w:top w:val="single" w:color="auto" w:sz="4" w:space="0"/>
              <w:left w:val="nil"/>
              <w:bottom w:val="single" w:color="auto" w:sz="4" w:space="0"/>
              <w:right w:val="single" w:color="auto" w:sz="4" w:space="0"/>
            </w:tcBorders>
            <w:vAlign w:val="center"/>
          </w:tcPr>
          <w:p w14:paraId="616E0BC0">
            <w:pPr>
              <w:spacing w:line="320" w:lineRule="exact"/>
              <w:jc w:val="left"/>
              <w:rPr>
                <w:color w:val="000000"/>
                <w:kern w:val="0"/>
                <w:sz w:val="18"/>
                <w:szCs w:val="18"/>
              </w:rPr>
            </w:pPr>
            <w:r>
              <w:rPr>
                <w:rFonts w:hint="eastAsia"/>
                <w:color w:val="000000"/>
                <w:kern w:val="0"/>
                <w:sz w:val="18"/>
                <w:szCs w:val="18"/>
              </w:rPr>
              <w:t>处损失费三倍以上五倍以下罚款</w:t>
            </w:r>
          </w:p>
        </w:tc>
      </w:tr>
    </w:tbl>
    <w:p w14:paraId="482EC62F"/>
    <w:p w14:paraId="72DC486F"/>
    <w:p w14:paraId="71B38529"/>
    <w:p w14:paraId="653A6D24"/>
    <w:p w14:paraId="370921D4"/>
    <w:p w14:paraId="085F1A75"/>
    <w:p w14:paraId="4FB49834"/>
    <w:tbl>
      <w:tblPr>
        <w:tblStyle w:val="15"/>
        <w:tblW w:w="0" w:type="auto"/>
        <w:tblInd w:w="88" w:type="dxa"/>
        <w:tblLayout w:type="fixed"/>
        <w:tblCellMar>
          <w:top w:w="0" w:type="dxa"/>
          <w:left w:w="108" w:type="dxa"/>
          <w:bottom w:w="0" w:type="dxa"/>
          <w:right w:w="108" w:type="dxa"/>
        </w:tblCellMar>
      </w:tblPr>
      <w:tblGrid>
        <w:gridCol w:w="1010"/>
        <w:gridCol w:w="6376"/>
        <w:gridCol w:w="1016"/>
        <w:gridCol w:w="5614"/>
      </w:tblGrid>
      <w:tr w14:paraId="1061E9FA">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4A5872C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2E80FF3D">
            <w:pPr>
              <w:spacing w:line="320" w:lineRule="exact"/>
              <w:jc w:val="left"/>
              <w:rPr>
                <w:rFonts w:eastAsia="仿宋_GB2312"/>
                <w:b/>
                <w:bCs/>
                <w:color w:val="000000"/>
                <w:kern w:val="0"/>
                <w:sz w:val="18"/>
                <w:szCs w:val="18"/>
              </w:rPr>
            </w:pPr>
            <w:r>
              <w:rPr>
                <w:rFonts w:eastAsia="仿宋_GB2312"/>
                <w:b/>
                <w:color w:val="000000"/>
                <w:kern w:val="0"/>
                <w:sz w:val="20"/>
              </w:rPr>
              <w:t>320217690000</w:t>
            </w:r>
            <w:r>
              <w:rPr>
                <w:rFonts w:hint="eastAsia" w:eastAsia="仿宋_GB2312"/>
                <w:b/>
                <w:color w:val="000000"/>
                <w:kern w:val="0"/>
                <w:sz w:val="20"/>
              </w:rPr>
              <w:t xml:space="preserve"> </w:t>
            </w:r>
          </w:p>
        </w:tc>
      </w:tr>
      <w:tr w14:paraId="3C917BC7">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CB2B05D">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7C6F8B8C">
            <w:pPr>
              <w:spacing w:line="320" w:lineRule="exact"/>
              <w:jc w:val="left"/>
              <w:rPr>
                <w:rFonts w:eastAsia="仿宋_GB2312"/>
                <w:color w:val="000000"/>
                <w:sz w:val="20"/>
              </w:rPr>
            </w:pPr>
            <w:r>
              <w:rPr>
                <w:rFonts w:hint="eastAsia"/>
                <w:color w:val="000000"/>
                <w:kern w:val="0"/>
                <w:sz w:val="18"/>
                <w:szCs w:val="18"/>
              </w:rPr>
              <w:t>对在建（构）筑物或者其他设施以及树木、地面上涂写、刻画，或者未经批准在建（构）筑物、其他设施上张挂、张贴宣传品，或者有组织地利用涂写、刻画、张挂、张贴进行宣传的处罚</w:t>
            </w:r>
          </w:p>
        </w:tc>
      </w:tr>
      <w:tr w14:paraId="1A23EBEA">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59E252D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0E492509">
            <w:pPr>
              <w:spacing w:line="320" w:lineRule="exact"/>
              <w:jc w:val="left"/>
              <w:rPr>
                <w:color w:val="000000"/>
                <w:kern w:val="0"/>
                <w:sz w:val="18"/>
                <w:szCs w:val="18"/>
              </w:rPr>
            </w:pPr>
            <w:r>
              <w:rPr>
                <w:rFonts w:hint="eastAsia"/>
                <w:color w:val="000000"/>
                <w:kern w:val="0"/>
                <w:sz w:val="18"/>
                <w:szCs w:val="18"/>
              </w:rPr>
              <w:t>【行政法规】《城市市容和环境卫生管理条例》（国务院令1992年第101号）</w:t>
            </w:r>
          </w:p>
          <w:p w14:paraId="2F4EE323">
            <w:pPr>
              <w:spacing w:line="320" w:lineRule="exact"/>
              <w:jc w:val="left"/>
              <w:rPr>
                <w:color w:val="000000"/>
                <w:kern w:val="0"/>
                <w:sz w:val="18"/>
                <w:szCs w:val="18"/>
              </w:rPr>
            </w:pPr>
            <w:r>
              <w:rPr>
                <w:rFonts w:hint="eastAsia"/>
                <w:color w:val="000000"/>
                <w:kern w:val="0"/>
                <w:sz w:val="18"/>
                <w:szCs w:val="18"/>
              </w:rPr>
              <w:t xml:space="preserve">    第十七条　一切单位和个人，都不得在城市建筑物、设施以及树木上涂写、刻画。</w:t>
            </w:r>
          </w:p>
          <w:p w14:paraId="292089D5">
            <w:pPr>
              <w:spacing w:line="320" w:lineRule="exact"/>
              <w:jc w:val="left"/>
              <w:rPr>
                <w:color w:val="000000"/>
                <w:kern w:val="0"/>
                <w:sz w:val="18"/>
                <w:szCs w:val="18"/>
              </w:rPr>
            </w:pPr>
            <w:r>
              <w:rPr>
                <w:rFonts w:hint="eastAsia"/>
                <w:color w:val="000000"/>
                <w:kern w:val="0"/>
                <w:sz w:val="18"/>
                <w:szCs w:val="18"/>
              </w:rPr>
              <w:t xml:space="preserve">    单位和个人在城市建筑物、设施上张挂、张贴宣传品等，须经城市人民政府市容环境卫生行政主管部门或者其他有关部门批准。</w:t>
            </w:r>
          </w:p>
          <w:p w14:paraId="396B0D62">
            <w:pPr>
              <w:spacing w:line="320" w:lineRule="exact"/>
              <w:jc w:val="left"/>
              <w:rPr>
                <w:color w:val="000000"/>
                <w:kern w:val="0"/>
                <w:sz w:val="18"/>
                <w:szCs w:val="18"/>
              </w:rPr>
            </w:pPr>
            <w:r>
              <w:rPr>
                <w:rFonts w:hint="eastAsia"/>
                <w:color w:val="000000"/>
                <w:kern w:val="0"/>
                <w:sz w:val="18"/>
                <w:szCs w:val="18"/>
              </w:rPr>
              <w:t xml:space="preserve">    第三十四条　有下列行为之一者，城市人民政府市容环境卫生行政主管部门或者其委托的单位除责令其纠正违法行为、采取补救措施外，可以并处警告、罚款：　 </w:t>
            </w:r>
          </w:p>
          <w:p w14:paraId="0D16985F">
            <w:pPr>
              <w:spacing w:line="320" w:lineRule="exact"/>
              <w:jc w:val="left"/>
              <w:rPr>
                <w:color w:val="000000"/>
                <w:kern w:val="0"/>
                <w:sz w:val="18"/>
                <w:szCs w:val="18"/>
              </w:rPr>
            </w:pPr>
            <w:r>
              <w:rPr>
                <w:rFonts w:hint="eastAsia"/>
                <w:color w:val="000000"/>
                <w:kern w:val="0"/>
                <w:sz w:val="18"/>
                <w:szCs w:val="18"/>
              </w:rPr>
              <w:t xml:space="preserve">    （二）在城市建筑物、设施以及树木上涂写、刻画或者未经批准张挂、张贴宣传品等的；</w:t>
            </w:r>
          </w:p>
          <w:p w14:paraId="307121CB">
            <w:pPr>
              <w:spacing w:line="320" w:lineRule="exact"/>
              <w:jc w:val="left"/>
              <w:rPr>
                <w:color w:val="000000"/>
                <w:kern w:val="0"/>
                <w:sz w:val="18"/>
                <w:szCs w:val="18"/>
              </w:rPr>
            </w:pPr>
            <w:r>
              <w:rPr>
                <w:rFonts w:hint="eastAsia"/>
                <w:color w:val="000000"/>
                <w:kern w:val="0"/>
                <w:sz w:val="18"/>
                <w:szCs w:val="18"/>
              </w:rPr>
              <w:t xml:space="preserve">【地方性法规】《江苏省城市市容和环境卫生管理条例》 </w:t>
            </w:r>
          </w:p>
          <w:p w14:paraId="25B83732">
            <w:pPr>
              <w:spacing w:line="320" w:lineRule="exact"/>
              <w:jc w:val="left"/>
              <w:rPr>
                <w:color w:val="000000"/>
                <w:kern w:val="0"/>
                <w:sz w:val="18"/>
                <w:szCs w:val="18"/>
              </w:rPr>
            </w:pPr>
            <w:r>
              <w:rPr>
                <w:rFonts w:hint="eastAsia"/>
                <w:color w:val="000000"/>
                <w:kern w:val="0"/>
                <w:sz w:val="18"/>
                <w:szCs w:val="18"/>
              </w:rPr>
              <w:t xml:space="preserve">        第二十五条 任何单位和个人不得在建（构）筑物或者其他设施以及树木、地面上涂写、刻画。未经设区的市、县（市、区）城市管理主管部门或者其他有关部门批准，不得在建（构）筑物或者其他设施上张挂、张贴宣传品等。</w:t>
            </w:r>
          </w:p>
          <w:p w14:paraId="3E99C834">
            <w:pPr>
              <w:spacing w:line="320" w:lineRule="exact"/>
              <w:jc w:val="left"/>
              <w:rPr>
                <w:color w:val="000000"/>
                <w:kern w:val="0"/>
                <w:sz w:val="18"/>
                <w:szCs w:val="18"/>
              </w:rPr>
            </w:pPr>
            <w:r>
              <w:rPr>
                <w:rFonts w:hint="eastAsia"/>
                <w:color w:val="000000"/>
                <w:kern w:val="0"/>
                <w:sz w:val="18"/>
                <w:szCs w:val="18"/>
              </w:rPr>
              <w:t xml:space="preserve">         街道办事处、乡镇人民政府应当按照统一、规范、便民等原则，根据居民实际需求，在繁华路段、人口密集区域等重点地区设置公共信息栏，供单位和个人免费发布信息，并负责日常管理和保洁。</w:t>
            </w:r>
          </w:p>
          <w:p w14:paraId="6905BF5F">
            <w:pPr>
              <w:spacing w:line="320" w:lineRule="exact"/>
              <w:jc w:val="left"/>
              <w:rPr>
                <w:color w:val="000000"/>
                <w:kern w:val="0"/>
                <w:sz w:val="18"/>
                <w:szCs w:val="18"/>
              </w:rPr>
            </w:pPr>
            <w:r>
              <w:rPr>
                <w:rFonts w:hint="eastAsia"/>
                <w:color w:val="000000"/>
                <w:kern w:val="0"/>
                <w:sz w:val="18"/>
                <w:szCs w:val="18"/>
              </w:rPr>
              <w:t xml:space="preserve">          第六十三条 违反本条例规定，有下列行为之一，影响市容的，由设区的市、县（市、区）城市管理主管部门按照以下规定处理：</w:t>
            </w:r>
          </w:p>
          <w:p w14:paraId="3F8C7439">
            <w:pPr>
              <w:spacing w:line="320" w:lineRule="exact"/>
              <w:jc w:val="left"/>
              <w:rPr>
                <w:rFonts w:eastAsia="仿宋_GB2312"/>
                <w:color w:val="000000"/>
                <w:sz w:val="20"/>
              </w:rPr>
            </w:pPr>
            <w:r>
              <w:rPr>
                <w:rFonts w:hint="eastAsia"/>
                <w:color w:val="000000"/>
                <w:kern w:val="0"/>
                <w:sz w:val="18"/>
                <w:szCs w:val="18"/>
              </w:rPr>
              <w:t xml:space="preserve">      （十一）在建（构）筑物或者其他设施以及树木、地面上涂写、刻画，或者未经批准在建（构）筑物、其他设施上张挂、张贴宣传品等的，责令限期改正，采取补救措施；逾期不改正的，给予警告，处一百元以上一千元以下罚款。其中，对有组织地利用涂写、刻画、张挂、张贴进行宣传的，可以处二千元以上二万元以下罚款。</w:t>
            </w:r>
          </w:p>
        </w:tc>
      </w:tr>
      <w:tr w14:paraId="0A48C4D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1C41C2F">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67FFC70">
            <w:pPr>
              <w:spacing w:line="320" w:lineRule="exact"/>
              <w:jc w:val="left"/>
              <w:rPr>
                <w:color w:val="000000"/>
                <w:kern w:val="0"/>
                <w:sz w:val="18"/>
                <w:szCs w:val="18"/>
              </w:rPr>
            </w:pPr>
            <w:r>
              <w:rPr>
                <w:rFonts w:hint="eastAsia"/>
                <w:color w:val="000000"/>
                <w:kern w:val="0"/>
                <w:sz w:val="18"/>
                <w:szCs w:val="18"/>
              </w:rPr>
              <w:t>责令限期改正，警告，罚款</w:t>
            </w:r>
          </w:p>
        </w:tc>
      </w:tr>
      <w:tr w14:paraId="590AD5C1">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65CD1FF">
            <w:pPr>
              <w:spacing w:line="320" w:lineRule="exact"/>
              <w:jc w:val="center"/>
              <w:rPr>
                <w:color w:val="000000"/>
                <w:kern w:val="0"/>
                <w:sz w:val="18"/>
                <w:szCs w:val="18"/>
              </w:rPr>
            </w:pPr>
            <w:r>
              <w:rPr>
                <w:rFonts w:hint="eastAsia"/>
                <w:color w:val="000000"/>
                <w:kern w:val="0"/>
                <w:sz w:val="18"/>
                <w:szCs w:val="18"/>
              </w:rPr>
              <w:t>裁量基准</w:t>
            </w:r>
          </w:p>
        </w:tc>
      </w:tr>
      <w:tr w14:paraId="78010FC5">
        <w:tblPrEx>
          <w:tblCellMar>
            <w:top w:w="0" w:type="dxa"/>
            <w:left w:w="108" w:type="dxa"/>
            <w:bottom w:w="0" w:type="dxa"/>
            <w:right w:w="108" w:type="dxa"/>
          </w:tblCellMar>
        </w:tblPrEx>
        <w:trPr>
          <w:trHeight w:val="640" w:hRule="atLeast"/>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22C0135F">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70A9B04C">
            <w:pPr>
              <w:rPr>
                <w:color w:val="000000"/>
                <w:sz w:val="18"/>
                <w:szCs w:val="18"/>
              </w:rPr>
            </w:pPr>
            <w:r>
              <w:rPr>
                <w:rFonts w:hint="eastAsia"/>
                <w:color w:val="000000"/>
                <w:sz w:val="18"/>
                <w:szCs w:val="18"/>
              </w:rPr>
              <w:t>未造成不良影响的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199F1530">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color="auto" w:sz="4" w:space="0"/>
              <w:left w:val="nil"/>
              <w:bottom w:val="single" w:color="auto" w:sz="4" w:space="0"/>
              <w:right w:val="single" w:color="auto" w:sz="4" w:space="0"/>
            </w:tcBorders>
            <w:vAlign w:val="center"/>
          </w:tcPr>
          <w:p w14:paraId="7C9D854C">
            <w:pPr>
              <w:spacing w:line="320" w:lineRule="exact"/>
              <w:rPr>
                <w:color w:val="000000"/>
                <w:kern w:val="0"/>
                <w:sz w:val="18"/>
                <w:szCs w:val="18"/>
              </w:rPr>
            </w:pPr>
            <w:r>
              <w:rPr>
                <w:rFonts w:hint="eastAsia"/>
                <w:color w:val="000000"/>
                <w:kern w:val="0"/>
                <w:sz w:val="18"/>
                <w:szCs w:val="18"/>
              </w:rPr>
              <w:t>处</w:t>
            </w:r>
            <w:r>
              <w:rPr>
                <w:color w:val="000000"/>
                <w:kern w:val="0"/>
                <w:sz w:val="18"/>
                <w:szCs w:val="18"/>
              </w:rPr>
              <w:t>100</w:t>
            </w:r>
            <w:r>
              <w:rPr>
                <w:rFonts w:hint="eastAsia"/>
                <w:color w:val="000000"/>
                <w:kern w:val="0"/>
                <w:sz w:val="18"/>
                <w:szCs w:val="18"/>
              </w:rPr>
              <w:t>元以上5</w:t>
            </w:r>
            <w:r>
              <w:rPr>
                <w:color w:val="000000"/>
                <w:kern w:val="0"/>
                <w:sz w:val="18"/>
                <w:szCs w:val="18"/>
              </w:rPr>
              <w:t>00</w:t>
            </w:r>
            <w:r>
              <w:rPr>
                <w:rFonts w:hint="eastAsia"/>
                <w:color w:val="000000"/>
                <w:kern w:val="0"/>
                <w:sz w:val="18"/>
                <w:szCs w:val="18"/>
              </w:rPr>
              <w:t>元以下罚款</w:t>
            </w:r>
          </w:p>
          <w:p w14:paraId="67A2BACC">
            <w:pPr>
              <w:spacing w:line="320" w:lineRule="exact"/>
              <w:rPr>
                <w:color w:val="000000"/>
                <w:kern w:val="0"/>
                <w:sz w:val="18"/>
                <w:szCs w:val="18"/>
              </w:rPr>
            </w:pPr>
            <w:r>
              <w:rPr>
                <w:rFonts w:hint="eastAsia" w:eastAsia="仿宋_GB2312"/>
                <w:color w:val="000000"/>
                <w:kern w:val="0"/>
                <w:sz w:val="20"/>
              </w:rPr>
              <w:t>有组织地：</w:t>
            </w:r>
            <w:r>
              <w:rPr>
                <w:rFonts w:hint="eastAsia"/>
                <w:color w:val="000000"/>
                <w:kern w:val="0"/>
                <w:sz w:val="18"/>
                <w:szCs w:val="18"/>
              </w:rPr>
              <w:t>处2000元以上10000元以下罚款</w:t>
            </w:r>
          </w:p>
        </w:tc>
      </w:tr>
      <w:tr w14:paraId="0C2DA3D3">
        <w:tblPrEx>
          <w:tblCellMar>
            <w:top w:w="0" w:type="dxa"/>
            <w:left w:w="108" w:type="dxa"/>
            <w:bottom w:w="0" w:type="dxa"/>
            <w:right w:w="108" w:type="dxa"/>
          </w:tblCellMar>
        </w:tblPrEx>
        <w:trPr>
          <w:trHeight w:val="1014"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7CCF5B7C">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6F3EF5E2">
            <w:pPr>
              <w:spacing w:line="320" w:lineRule="exact"/>
              <w:jc w:val="left"/>
              <w:rPr>
                <w:color w:val="000000"/>
                <w:kern w:val="0"/>
                <w:sz w:val="18"/>
                <w:szCs w:val="18"/>
              </w:rPr>
            </w:pPr>
            <w:r>
              <w:rPr>
                <w:rFonts w:hint="eastAsia"/>
                <w:color w:val="000000"/>
                <w:sz w:val="18"/>
                <w:szCs w:val="18"/>
              </w:rPr>
              <w:t>已造成不良影响的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3377D39F">
            <w:pPr>
              <w:spacing w:line="320" w:lineRule="exact"/>
              <w:jc w:val="lef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42A08540">
            <w:pPr>
              <w:spacing w:line="320" w:lineRule="exact"/>
              <w:jc w:val="left"/>
              <w:rPr>
                <w:color w:val="000000"/>
                <w:kern w:val="0"/>
                <w:sz w:val="18"/>
                <w:szCs w:val="18"/>
              </w:rPr>
            </w:pPr>
            <w:r>
              <w:rPr>
                <w:rFonts w:hint="eastAsia"/>
                <w:color w:val="000000"/>
                <w:kern w:val="0"/>
                <w:sz w:val="18"/>
                <w:szCs w:val="18"/>
              </w:rPr>
              <w:t>处5</w:t>
            </w:r>
            <w:r>
              <w:rPr>
                <w:color w:val="000000"/>
                <w:kern w:val="0"/>
                <w:sz w:val="18"/>
                <w:szCs w:val="18"/>
              </w:rPr>
              <w:t>00</w:t>
            </w:r>
            <w:r>
              <w:rPr>
                <w:rFonts w:hint="eastAsia"/>
                <w:color w:val="000000"/>
                <w:kern w:val="0"/>
                <w:sz w:val="18"/>
                <w:szCs w:val="18"/>
              </w:rPr>
              <w:t>元以上10</w:t>
            </w:r>
            <w:r>
              <w:rPr>
                <w:color w:val="000000"/>
                <w:kern w:val="0"/>
                <w:sz w:val="18"/>
                <w:szCs w:val="18"/>
              </w:rPr>
              <w:t>00</w:t>
            </w:r>
            <w:r>
              <w:rPr>
                <w:rFonts w:hint="eastAsia"/>
                <w:color w:val="000000"/>
                <w:kern w:val="0"/>
                <w:sz w:val="18"/>
                <w:szCs w:val="18"/>
              </w:rPr>
              <w:t>元以下罚款</w:t>
            </w:r>
          </w:p>
          <w:p w14:paraId="7FD58AFC">
            <w:pPr>
              <w:spacing w:line="320" w:lineRule="exact"/>
              <w:rPr>
                <w:color w:val="000000"/>
                <w:kern w:val="0"/>
                <w:sz w:val="18"/>
                <w:szCs w:val="18"/>
              </w:rPr>
            </w:pPr>
            <w:r>
              <w:rPr>
                <w:rFonts w:hint="eastAsia" w:eastAsia="仿宋_GB2312"/>
                <w:color w:val="000000"/>
                <w:kern w:val="0"/>
                <w:sz w:val="20"/>
              </w:rPr>
              <w:t>有组织地：</w:t>
            </w:r>
            <w:r>
              <w:rPr>
                <w:rFonts w:hint="eastAsia"/>
                <w:color w:val="000000"/>
                <w:kern w:val="0"/>
                <w:sz w:val="18"/>
                <w:szCs w:val="18"/>
              </w:rPr>
              <w:t>处</w:t>
            </w:r>
            <w:r>
              <w:rPr>
                <w:color w:val="000000"/>
                <w:kern w:val="0"/>
                <w:sz w:val="18"/>
                <w:szCs w:val="18"/>
              </w:rPr>
              <w:t>100</w:t>
            </w:r>
            <w:r>
              <w:rPr>
                <w:rFonts w:hint="eastAsia"/>
                <w:color w:val="000000"/>
                <w:kern w:val="0"/>
                <w:sz w:val="18"/>
                <w:szCs w:val="18"/>
              </w:rPr>
              <w:t>00元以上20000元以下罚款</w:t>
            </w:r>
          </w:p>
        </w:tc>
      </w:tr>
    </w:tbl>
    <w:p w14:paraId="39EF1CAD"/>
    <w:p w14:paraId="0F758F24"/>
    <w:tbl>
      <w:tblPr>
        <w:tblStyle w:val="15"/>
        <w:tblW w:w="0" w:type="auto"/>
        <w:tblInd w:w="88" w:type="dxa"/>
        <w:tblLayout w:type="fixed"/>
        <w:tblCellMar>
          <w:top w:w="0" w:type="dxa"/>
          <w:left w:w="108" w:type="dxa"/>
          <w:bottom w:w="0" w:type="dxa"/>
          <w:right w:w="108" w:type="dxa"/>
        </w:tblCellMar>
      </w:tblPr>
      <w:tblGrid>
        <w:gridCol w:w="1026"/>
        <w:gridCol w:w="6140"/>
        <w:gridCol w:w="1120"/>
        <w:gridCol w:w="5774"/>
      </w:tblGrid>
      <w:tr w14:paraId="5ED17A54">
        <w:tblPrEx>
          <w:tblCellMar>
            <w:top w:w="0" w:type="dxa"/>
            <w:left w:w="108" w:type="dxa"/>
            <w:bottom w:w="0" w:type="dxa"/>
            <w:right w:w="108" w:type="dxa"/>
          </w:tblCellMar>
        </w:tblPrEx>
        <w:trPr>
          <w:trHeight w:val="285" w:hRule="atLeast"/>
        </w:trPr>
        <w:tc>
          <w:tcPr>
            <w:tcW w:w="1026" w:type="dxa"/>
            <w:tcBorders>
              <w:top w:val="single" w:color="auto" w:sz="8" w:space="0"/>
              <w:left w:val="single" w:color="auto" w:sz="8" w:space="0"/>
              <w:bottom w:val="single" w:color="auto" w:sz="4" w:space="0"/>
              <w:right w:val="single" w:color="auto" w:sz="4" w:space="0"/>
            </w:tcBorders>
            <w:vAlign w:val="center"/>
          </w:tcPr>
          <w:p w14:paraId="3229B773">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color="auto" w:sz="8" w:space="0"/>
              <w:left w:val="nil"/>
              <w:bottom w:val="single" w:color="auto" w:sz="4" w:space="0"/>
              <w:right w:val="single" w:color="000000" w:sz="8" w:space="0"/>
            </w:tcBorders>
            <w:vAlign w:val="center"/>
          </w:tcPr>
          <w:p w14:paraId="016AB8F3">
            <w:pPr>
              <w:spacing w:line="320" w:lineRule="exact"/>
              <w:jc w:val="left"/>
              <w:rPr>
                <w:rFonts w:eastAsia="仿宋_GB2312"/>
                <w:b/>
                <w:bCs/>
                <w:color w:val="000000"/>
                <w:kern w:val="0"/>
                <w:sz w:val="18"/>
                <w:szCs w:val="18"/>
              </w:rPr>
            </w:pPr>
            <w:r>
              <w:rPr>
                <w:rFonts w:eastAsia="仿宋_GB2312"/>
                <w:b/>
                <w:bCs/>
                <w:color w:val="000000"/>
                <w:kern w:val="0"/>
                <w:sz w:val="18"/>
                <w:szCs w:val="18"/>
              </w:rPr>
              <w:t>320217691000</w:t>
            </w:r>
            <w:r>
              <w:rPr>
                <w:rFonts w:hint="eastAsia" w:eastAsia="仿宋_GB2312"/>
                <w:b/>
                <w:bCs/>
                <w:color w:val="000000"/>
                <w:kern w:val="0"/>
                <w:sz w:val="18"/>
                <w:szCs w:val="18"/>
              </w:rPr>
              <w:t xml:space="preserve"> </w:t>
            </w:r>
          </w:p>
        </w:tc>
      </w:tr>
      <w:tr w14:paraId="7701A5DE">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43E86AEA">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color="auto" w:sz="4" w:space="0"/>
              <w:left w:val="nil"/>
              <w:bottom w:val="single" w:color="auto" w:sz="4" w:space="0"/>
              <w:right w:val="single" w:color="000000" w:sz="8" w:space="0"/>
            </w:tcBorders>
            <w:vAlign w:val="center"/>
          </w:tcPr>
          <w:p w14:paraId="19B08454">
            <w:pPr>
              <w:spacing w:line="320" w:lineRule="exact"/>
              <w:jc w:val="left"/>
              <w:rPr>
                <w:color w:val="000000"/>
                <w:kern w:val="0"/>
                <w:sz w:val="18"/>
                <w:szCs w:val="18"/>
              </w:rPr>
            </w:pPr>
            <w:r>
              <w:rPr>
                <w:rFonts w:hint="eastAsia"/>
                <w:color w:val="000000"/>
                <w:kern w:val="0"/>
                <w:sz w:val="18"/>
                <w:szCs w:val="18"/>
              </w:rPr>
              <w:t>对施工单位委托不具有相应资质的单位承担施工现场安装、拆卸施工起重机械和整体提升脚手架、模板等自升式架设设施的处罚</w:t>
            </w:r>
          </w:p>
        </w:tc>
      </w:tr>
      <w:tr w14:paraId="0F77234A">
        <w:tblPrEx>
          <w:tblCellMar>
            <w:top w:w="0" w:type="dxa"/>
            <w:left w:w="108" w:type="dxa"/>
            <w:bottom w:w="0" w:type="dxa"/>
            <w:right w:w="108" w:type="dxa"/>
          </w:tblCellMar>
        </w:tblPrEx>
        <w:trPr>
          <w:trHeight w:val="1575" w:hRule="atLeast"/>
        </w:trPr>
        <w:tc>
          <w:tcPr>
            <w:tcW w:w="1026" w:type="dxa"/>
            <w:tcBorders>
              <w:top w:val="nil"/>
              <w:left w:val="single" w:color="auto" w:sz="8" w:space="0"/>
              <w:bottom w:val="single" w:color="auto" w:sz="4" w:space="0"/>
              <w:right w:val="single" w:color="auto" w:sz="4" w:space="0"/>
            </w:tcBorders>
            <w:vAlign w:val="center"/>
          </w:tcPr>
          <w:p w14:paraId="05FF6F3A">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color="auto" w:sz="4" w:space="0"/>
              <w:left w:val="nil"/>
              <w:bottom w:val="single" w:color="auto" w:sz="4" w:space="0"/>
              <w:right w:val="single" w:color="000000" w:sz="8" w:space="0"/>
            </w:tcBorders>
            <w:vAlign w:val="center"/>
          </w:tcPr>
          <w:p w14:paraId="1A1128C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14:paraId="3E7777CE">
            <w:pPr>
              <w:spacing w:line="320" w:lineRule="exact"/>
              <w:jc w:val="left"/>
              <w:rPr>
                <w:color w:val="000000"/>
                <w:kern w:val="0"/>
                <w:sz w:val="18"/>
                <w:szCs w:val="18"/>
              </w:rPr>
            </w:pPr>
            <w:r>
              <w:rPr>
                <w:rFonts w:hint="eastAsia"/>
                <w:color w:val="000000"/>
                <w:kern w:val="0"/>
                <w:sz w:val="18"/>
                <w:szCs w:val="18"/>
              </w:rPr>
              <w:t>第十七条第一款　在施工现场安装、拆卸施工起重机械和整体提升脚手架、模板等自升式架设设施，必须由具有相应资质的单位承担。</w:t>
            </w:r>
          </w:p>
          <w:p w14:paraId="595B5903">
            <w:pPr>
              <w:spacing w:line="320" w:lineRule="exact"/>
              <w:jc w:val="left"/>
              <w:rPr>
                <w:color w:val="000000"/>
                <w:kern w:val="0"/>
                <w:sz w:val="18"/>
                <w:szCs w:val="18"/>
              </w:rPr>
            </w:pP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14:paraId="06740A1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（三）委托不具有相应资质的单位承担施工现场安装、拆卸施工起重机械和整体提升脚手架、模板等自升式架设设施的；</w:t>
            </w:r>
            <w:r>
              <w:rPr>
                <w:color w:val="000000"/>
                <w:kern w:val="0"/>
                <w:sz w:val="18"/>
                <w:szCs w:val="18"/>
              </w:rPr>
              <w:t xml:space="preserve"> </w:t>
            </w:r>
          </w:p>
          <w:p w14:paraId="5BEA5B8D">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14:paraId="72B4F590">
        <w:tblPrEx>
          <w:tblCellMar>
            <w:top w:w="0" w:type="dxa"/>
            <w:left w:w="108" w:type="dxa"/>
            <w:bottom w:w="0" w:type="dxa"/>
            <w:right w:w="108" w:type="dxa"/>
          </w:tblCellMar>
        </w:tblPrEx>
        <w:trPr>
          <w:trHeight w:val="285" w:hRule="atLeast"/>
        </w:trPr>
        <w:tc>
          <w:tcPr>
            <w:tcW w:w="1026" w:type="dxa"/>
            <w:tcBorders>
              <w:top w:val="nil"/>
              <w:left w:val="single" w:color="auto" w:sz="8" w:space="0"/>
              <w:bottom w:val="single" w:color="auto" w:sz="4" w:space="0"/>
              <w:right w:val="single" w:color="auto" w:sz="4" w:space="0"/>
            </w:tcBorders>
            <w:vAlign w:val="center"/>
          </w:tcPr>
          <w:p w14:paraId="384056B4">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color="auto" w:sz="4" w:space="0"/>
              <w:left w:val="nil"/>
              <w:bottom w:val="single" w:color="auto" w:sz="4" w:space="0"/>
              <w:right w:val="single" w:color="000000" w:sz="8" w:space="0"/>
            </w:tcBorders>
            <w:vAlign w:val="center"/>
          </w:tcPr>
          <w:p w14:paraId="4E20EA56">
            <w:pPr>
              <w:spacing w:line="320" w:lineRule="exact"/>
              <w:jc w:val="left"/>
              <w:rPr>
                <w:color w:val="000000"/>
                <w:kern w:val="0"/>
                <w:sz w:val="18"/>
                <w:szCs w:val="18"/>
              </w:rPr>
            </w:pPr>
            <w:r>
              <w:rPr>
                <w:rFonts w:hint="eastAsia"/>
                <w:color w:val="000000"/>
                <w:kern w:val="0"/>
                <w:sz w:val="18"/>
                <w:szCs w:val="18"/>
              </w:rPr>
              <w:t>责令限期改正，责令停业整顿，罚款，降低资质等级，吊销资质证书</w:t>
            </w:r>
          </w:p>
        </w:tc>
      </w:tr>
      <w:tr w14:paraId="208DED91">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5523AAE6">
            <w:pPr>
              <w:spacing w:line="320" w:lineRule="exact"/>
              <w:jc w:val="center"/>
              <w:rPr>
                <w:color w:val="000000"/>
                <w:kern w:val="0"/>
                <w:sz w:val="18"/>
                <w:szCs w:val="18"/>
              </w:rPr>
            </w:pPr>
            <w:r>
              <w:rPr>
                <w:rFonts w:hint="eastAsia"/>
                <w:color w:val="000000"/>
                <w:kern w:val="0"/>
                <w:sz w:val="18"/>
                <w:szCs w:val="18"/>
              </w:rPr>
              <w:t>裁量基准</w:t>
            </w:r>
          </w:p>
        </w:tc>
      </w:tr>
      <w:tr w14:paraId="28D790EF">
        <w:tblPrEx>
          <w:tblCellMar>
            <w:top w:w="0" w:type="dxa"/>
            <w:left w:w="108" w:type="dxa"/>
            <w:bottom w:w="0" w:type="dxa"/>
            <w:right w:w="108" w:type="dxa"/>
          </w:tblCellMar>
        </w:tblPrEx>
        <w:trPr>
          <w:trHeight w:val="285" w:hRule="atLeast"/>
        </w:trPr>
        <w:tc>
          <w:tcPr>
            <w:tcW w:w="1026" w:type="dxa"/>
            <w:vMerge w:val="restart"/>
            <w:tcBorders>
              <w:top w:val="nil"/>
              <w:left w:val="single" w:color="auto" w:sz="8" w:space="0"/>
              <w:bottom w:val="single" w:color="auto" w:sz="4" w:space="0"/>
              <w:right w:val="single" w:color="auto" w:sz="4" w:space="0"/>
            </w:tcBorders>
            <w:vAlign w:val="center"/>
          </w:tcPr>
          <w:p w14:paraId="4C707282">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color="000000" w:sz="4" w:space="0"/>
            </w:tcBorders>
            <w:vAlign w:val="center"/>
          </w:tcPr>
          <w:p w14:paraId="1417DEA4">
            <w:pPr>
              <w:spacing w:line="320" w:lineRule="exact"/>
              <w:jc w:val="left"/>
              <w:rPr>
                <w:color w:val="000000"/>
                <w:kern w:val="0"/>
                <w:sz w:val="18"/>
                <w:szCs w:val="18"/>
              </w:rPr>
            </w:pPr>
            <w:r>
              <w:rPr>
                <w:rFonts w:hint="eastAsia"/>
                <w:color w:val="000000"/>
                <w:kern w:val="0"/>
                <w:sz w:val="18"/>
                <w:szCs w:val="18"/>
              </w:rPr>
              <w:t>未按要求改正的但没有安全隐患的</w:t>
            </w:r>
          </w:p>
        </w:tc>
        <w:tc>
          <w:tcPr>
            <w:tcW w:w="1120" w:type="dxa"/>
            <w:vMerge w:val="restart"/>
            <w:tcBorders>
              <w:top w:val="nil"/>
              <w:left w:val="single" w:color="auto" w:sz="4" w:space="0"/>
              <w:bottom w:val="single" w:color="auto" w:sz="4" w:space="0"/>
              <w:right w:val="single" w:color="auto" w:sz="4" w:space="0"/>
            </w:tcBorders>
            <w:vAlign w:val="center"/>
          </w:tcPr>
          <w:p w14:paraId="647F8C4E">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color="auto" w:sz="4" w:space="0"/>
              <w:right w:val="single" w:color="auto" w:sz="8" w:space="0"/>
            </w:tcBorders>
            <w:vAlign w:val="center"/>
          </w:tcPr>
          <w:p w14:paraId="567909E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14:paraId="1CB80A78">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6C76B48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5E758F0">
            <w:pPr>
              <w:spacing w:line="320" w:lineRule="exact"/>
              <w:jc w:val="left"/>
              <w:rPr>
                <w:color w:val="000000"/>
                <w:kern w:val="0"/>
                <w:sz w:val="18"/>
                <w:szCs w:val="18"/>
              </w:rPr>
            </w:pPr>
            <w:r>
              <w:rPr>
                <w:rFonts w:hint="eastAsia"/>
                <w:color w:val="000000"/>
                <w:kern w:val="0"/>
                <w:sz w:val="18"/>
                <w:szCs w:val="18"/>
              </w:rPr>
              <w:t>未按要求改正的且有重大安全事故隐患的</w:t>
            </w:r>
          </w:p>
        </w:tc>
        <w:tc>
          <w:tcPr>
            <w:tcW w:w="1120" w:type="dxa"/>
            <w:vMerge w:val="continue"/>
            <w:tcBorders>
              <w:top w:val="nil"/>
              <w:left w:val="single" w:color="auto" w:sz="4" w:space="0"/>
              <w:bottom w:val="single" w:color="auto" w:sz="4" w:space="0"/>
              <w:right w:val="single" w:color="auto" w:sz="4" w:space="0"/>
            </w:tcBorders>
            <w:vAlign w:val="center"/>
          </w:tcPr>
          <w:p w14:paraId="2376B0E4">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76DAA46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14:paraId="49C78D66">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6465E539">
            <w:pPr>
              <w:spacing w:line="320" w:lineRule="exact"/>
              <w:jc w:val="left"/>
              <w:rPr>
                <w:color w:val="000000"/>
                <w:kern w:val="0"/>
                <w:sz w:val="18"/>
                <w:szCs w:val="18"/>
              </w:rPr>
            </w:pPr>
          </w:p>
        </w:tc>
        <w:tc>
          <w:tcPr>
            <w:tcW w:w="6140" w:type="dxa"/>
            <w:tcBorders>
              <w:top w:val="nil"/>
              <w:left w:val="nil"/>
              <w:bottom w:val="single" w:color="auto" w:sz="4" w:space="0"/>
              <w:right w:val="single" w:color="000000" w:sz="4" w:space="0"/>
            </w:tcBorders>
            <w:vAlign w:val="center"/>
          </w:tcPr>
          <w:p w14:paraId="652D1113">
            <w:pPr>
              <w:spacing w:line="3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val="continue"/>
            <w:tcBorders>
              <w:top w:val="nil"/>
              <w:left w:val="single" w:color="auto" w:sz="4" w:space="0"/>
              <w:bottom w:val="single" w:color="auto" w:sz="4" w:space="0"/>
              <w:right w:val="single" w:color="auto" w:sz="4" w:space="0"/>
            </w:tcBorders>
            <w:vAlign w:val="center"/>
          </w:tcPr>
          <w:p w14:paraId="432D4430">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287588E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14:paraId="5EC6CAAA">
        <w:tblPrEx>
          <w:tblCellMar>
            <w:top w:w="0" w:type="dxa"/>
            <w:left w:w="108" w:type="dxa"/>
            <w:bottom w:w="0" w:type="dxa"/>
            <w:right w:w="108" w:type="dxa"/>
          </w:tblCellMar>
        </w:tblPrEx>
        <w:trPr>
          <w:trHeight w:val="285" w:hRule="atLeast"/>
        </w:trPr>
        <w:tc>
          <w:tcPr>
            <w:tcW w:w="1026" w:type="dxa"/>
            <w:vMerge w:val="continue"/>
            <w:tcBorders>
              <w:top w:val="nil"/>
              <w:left w:val="single" w:color="auto" w:sz="8" w:space="0"/>
              <w:bottom w:val="single" w:color="auto" w:sz="4" w:space="0"/>
              <w:right w:val="single" w:color="auto" w:sz="4" w:space="0"/>
            </w:tcBorders>
            <w:vAlign w:val="center"/>
          </w:tcPr>
          <w:p w14:paraId="51A647F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bottom"/>
          </w:tcPr>
          <w:p w14:paraId="498D96F2">
            <w:pPr>
              <w:spacing w:line="320" w:lineRule="exact"/>
              <w:jc w:val="left"/>
              <w:rPr>
                <w:color w:val="000000"/>
                <w:kern w:val="0"/>
                <w:sz w:val="18"/>
                <w:szCs w:val="18"/>
              </w:rPr>
            </w:pPr>
            <w:r>
              <w:rPr>
                <w:rFonts w:hint="eastAsia"/>
                <w:color w:val="000000"/>
                <w:kern w:val="0"/>
                <w:sz w:val="18"/>
                <w:szCs w:val="18"/>
              </w:rPr>
              <w:t>发生重大安全事故的</w:t>
            </w:r>
          </w:p>
        </w:tc>
        <w:tc>
          <w:tcPr>
            <w:tcW w:w="1120" w:type="dxa"/>
            <w:vMerge w:val="continue"/>
            <w:tcBorders>
              <w:top w:val="nil"/>
              <w:left w:val="single" w:color="auto" w:sz="4" w:space="0"/>
              <w:bottom w:val="single" w:color="auto" w:sz="4" w:space="0"/>
              <w:right w:val="single" w:color="auto" w:sz="4" w:space="0"/>
            </w:tcBorders>
            <w:vAlign w:val="center"/>
          </w:tcPr>
          <w:p w14:paraId="0D7E699A">
            <w:pPr>
              <w:spacing w:line="320" w:lineRule="exact"/>
              <w:jc w:val="left"/>
              <w:rPr>
                <w:color w:val="000000"/>
                <w:kern w:val="0"/>
                <w:sz w:val="18"/>
                <w:szCs w:val="18"/>
              </w:rPr>
            </w:pPr>
          </w:p>
        </w:tc>
        <w:tc>
          <w:tcPr>
            <w:tcW w:w="5774" w:type="dxa"/>
            <w:tcBorders>
              <w:top w:val="nil"/>
              <w:left w:val="nil"/>
              <w:bottom w:val="single" w:color="auto" w:sz="4" w:space="0"/>
              <w:right w:val="single" w:color="auto" w:sz="8" w:space="0"/>
            </w:tcBorders>
            <w:vAlign w:val="center"/>
          </w:tcPr>
          <w:p w14:paraId="038583C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14:paraId="26ACA4CF"/>
    <w:p w14:paraId="570D5FEE"/>
    <w:p w14:paraId="13403897"/>
    <w:p w14:paraId="7231B5AA"/>
    <w:p w14:paraId="726C759E"/>
    <w:p w14:paraId="3A3ED414"/>
    <w:p w14:paraId="47D7DA68"/>
    <w:tbl>
      <w:tblPr>
        <w:tblStyle w:val="15"/>
        <w:tblW w:w="0" w:type="auto"/>
        <w:tblInd w:w="78" w:type="dxa"/>
        <w:tblLayout w:type="fixed"/>
        <w:tblCellMar>
          <w:top w:w="0" w:type="dxa"/>
          <w:left w:w="108" w:type="dxa"/>
          <w:bottom w:w="0" w:type="dxa"/>
          <w:right w:w="108" w:type="dxa"/>
        </w:tblCellMar>
      </w:tblPr>
      <w:tblGrid>
        <w:gridCol w:w="1070"/>
        <w:gridCol w:w="46"/>
        <w:gridCol w:w="6140"/>
        <w:gridCol w:w="1104"/>
        <w:gridCol w:w="5670"/>
        <w:gridCol w:w="20"/>
      </w:tblGrid>
      <w:tr w14:paraId="19A063D2">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32A5DC3B">
            <w:pPr>
              <w:spacing w:line="320" w:lineRule="exact"/>
              <w:jc w:val="center"/>
              <w:rPr>
                <w:color w:val="000000"/>
                <w:kern w:val="0"/>
                <w:sz w:val="18"/>
                <w:szCs w:val="18"/>
              </w:rPr>
            </w:pPr>
            <w:r>
              <w:rPr>
                <w:rFonts w:hint="eastAsia"/>
                <w:color w:val="000000"/>
                <w:kern w:val="0"/>
                <w:sz w:val="18"/>
                <w:szCs w:val="18"/>
              </w:rPr>
              <w:t>编号</w:t>
            </w:r>
          </w:p>
        </w:tc>
        <w:tc>
          <w:tcPr>
            <w:tcW w:w="12980" w:type="dxa"/>
            <w:gridSpan w:val="5"/>
            <w:tcBorders>
              <w:top w:val="single" w:color="auto" w:sz="8" w:space="0"/>
              <w:left w:val="nil"/>
              <w:bottom w:val="single" w:color="auto" w:sz="4" w:space="0"/>
              <w:right w:val="single" w:color="000000" w:sz="8" w:space="0"/>
            </w:tcBorders>
            <w:vAlign w:val="center"/>
          </w:tcPr>
          <w:p w14:paraId="47D465EE">
            <w:pPr>
              <w:spacing w:line="320" w:lineRule="exact"/>
              <w:jc w:val="left"/>
              <w:rPr>
                <w:rFonts w:eastAsia="仿宋_GB2312"/>
                <w:b/>
                <w:color w:val="000000"/>
                <w:sz w:val="20"/>
              </w:rPr>
            </w:pPr>
            <w:r>
              <w:rPr>
                <w:rFonts w:eastAsia="仿宋_GB2312"/>
                <w:b/>
                <w:color w:val="000000"/>
                <w:sz w:val="20"/>
              </w:rPr>
              <w:t>320217693000</w:t>
            </w:r>
          </w:p>
        </w:tc>
      </w:tr>
      <w:tr w14:paraId="47A0138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5A4ABAC2">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5"/>
            <w:tcBorders>
              <w:top w:val="single" w:color="auto" w:sz="4" w:space="0"/>
              <w:left w:val="nil"/>
              <w:bottom w:val="single" w:color="auto" w:sz="4" w:space="0"/>
              <w:right w:val="single" w:color="000000" w:sz="8" w:space="0"/>
            </w:tcBorders>
            <w:vAlign w:val="center"/>
          </w:tcPr>
          <w:p w14:paraId="485CD3FC">
            <w:pPr>
              <w:spacing w:line="320" w:lineRule="exact"/>
              <w:jc w:val="left"/>
              <w:rPr>
                <w:color w:val="000000"/>
                <w:kern w:val="0"/>
                <w:sz w:val="18"/>
                <w:szCs w:val="18"/>
              </w:rPr>
            </w:pPr>
            <w:r>
              <w:rPr>
                <w:rFonts w:hint="eastAsia"/>
                <w:color w:val="000000"/>
                <w:kern w:val="0"/>
                <w:sz w:val="18"/>
                <w:szCs w:val="18"/>
              </w:rPr>
              <w:t>对未取得设计、施工资格或者未按照资质等级承担城市道路的设计、施工任务的处罚</w:t>
            </w:r>
          </w:p>
        </w:tc>
      </w:tr>
      <w:tr w14:paraId="47BB69DB">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65BF2CF7">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5"/>
            <w:tcBorders>
              <w:top w:val="single" w:color="auto" w:sz="4" w:space="0"/>
              <w:left w:val="nil"/>
              <w:bottom w:val="single" w:color="auto" w:sz="4" w:space="0"/>
              <w:right w:val="single" w:color="000000" w:sz="8" w:space="0"/>
            </w:tcBorders>
            <w:vAlign w:val="center"/>
          </w:tcPr>
          <w:p w14:paraId="018A9316">
            <w:pPr>
              <w:spacing w:line="320" w:lineRule="exact"/>
              <w:jc w:val="left"/>
              <w:rPr>
                <w:color w:val="000000"/>
                <w:kern w:val="0"/>
                <w:sz w:val="18"/>
                <w:szCs w:val="18"/>
              </w:rPr>
            </w:pPr>
            <w:r>
              <w:rPr>
                <w:rFonts w:hint="eastAsia"/>
                <w:color w:val="000000"/>
                <w:kern w:val="0"/>
                <w:sz w:val="18"/>
                <w:szCs w:val="18"/>
              </w:rPr>
              <w:t>【行政法规】《城市道路管理条例》（</w:t>
            </w:r>
            <w:r>
              <w:rPr>
                <w:color w:val="000000"/>
                <w:kern w:val="0"/>
                <w:sz w:val="18"/>
                <w:szCs w:val="18"/>
              </w:rPr>
              <w:t>1996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4</w:t>
            </w:r>
            <w:r>
              <w:rPr>
                <w:rFonts w:hint="eastAsia"/>
                <w:color w:val="000000"/>
                <w:kern w:val="0"/>
                <w:sz w:val="18"/>
                <w:szCs w:val="18"/>
              </w:rPr>
              <w:t>日中华人民共和国国务院令第</w:t>
            </w:r>
            <w:r>
              <w:rPr>
                <w:color w:val="000000"/>
                <w:kern w:val="0"/>
                <w:sz w:val="18"/>
                <w:szCs w:val="18"/>
              </w:rPr>
              <w:t>198</w:t>
            </w:r>
            <w:r>
              <w:rPr>
                <w:rFonts w:hint="eastAsia"/>
                <w:color w:val="000000"/>
                <w:kern w:val="0"/>
                <w:sz w:val="18"/>
                <w:szCs w:val="18"/>
              </w:rPr>
              <w:t>号发布</w:t>
            </w:r>
            <w:r>
              <w:rPr>
                <w:color w:val="000000"/>
                <w:kern w:val="0"/>
                <w:sz w:val="18"/>
                <w:szCs w:val="18"/>
              </w:rPr>
              <w:t xml:space="preserve"> </w:t>
            </w:r>
            <w:r>
              <w:rPr>
                <w:rFonts w:hint="eastAsia"/>
                <w:color w:val="000000"/>
                <w:kern w:val="0"/>
                <w:sz w:val="18"/>
                <w:szCs w:val="18"/>
              </w:rPr>
              <w:t>根据</w:t>
            </w:r>
            <w:r>
              <w:rPr>
                <w:color w:val="000000"/>
                <w:kern w:val="0"/>
                <w:sz w:val="18"/>
                <w:szCs w:val="18"/>
              </w:rPr>
              <w:t>2011</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8</w:t>
            </w:r>
            <w:r>
              <w:rPr>
                <w:rFonts w:hint="eastAsia"/>
                <w:color w:val="000000"/>
                <w:kern w:val="0"/>
                <w:sz w:val="18"/>
                <w:szCs w:val="18"/>
              </w:rPr>
              <w:t>日《国务院关于废止和修改部分行政法规的决定》修改，</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t xml:space="preserve"> </w:t>
            </w:r>
            <w:r>
              <w:rPr>
                <w:rFonts w:hint="eastAsia"/>
                <w:color w:val="000000"/>
                <w:kern w:val="0"/>
                <w:sz w:val="18"/>
                <w:szCs w:val="18"/>
              </w:rPr>
              <w:t>）</w:t>
            </w:r>
          </w:p>
          <w:p w14:paraId="349DB83B">
            <w:pPr>
              <w:spacing w:line="320" w:lineRule="exact"/>
              <w:jc w:val="left"/>
              <w:rPr>
                <w:color w:val="000000"/>
                <w:kern w:val="0"/>
                <w:sz w:val="18"/>
                <w:szCs w:val="18"/>
              </w:rPr>
            </w:pPr>
            <w:r>
              <w:rPr>
                <w:rFonts w:hint="eastAsia"/>
                <w:color w:val="000000"/>
                <w:kern w:val="0"/>
                <w:sz w:val="18"/>
                <w:szCs w:val="18"/>
              </w:rPr>
              <w:t>第十六条　承担城市道路设计、施工的单位，应当具有相应的资质等级，并按照资质等级承担相应的城市道路的设计、施工任务。</w:t>
            </w:r>
            <w:r>
              <w:rPr>
                <w:color w:val="000000"/>
                <w:kern w:val="0"/>
                <w:sz w:val="18"/>
                <w:szCs w:val="18"/>
              </w:rPr>
              <w:t xml:space="preserve"> </w:t>
            </w:r>
          </w:p>
          <w:p w14:paraId="2FC2B623">
            <w:pPr>
              <w:spacing w:line="32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的规定，有下列行为之一的，由市政工程行政主管部门责令停止设计、施工，限期改正，可以并处三万元以下的罚款；已经取得设计、施工资格证书，情节严重的，提请原发证机关吊销设计、施工资格证书：</w:t>
            </w:r>
          </w:p>
          <w:p w14:paraId="4F6BD0D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w:t>
            </w:r>
            <w:r>
              <w:rPr>
                <w:color w:val="000000"/>
                <w:kern w:val="0"/>
                <w:sz w:val="18"/>
                <w:szCs w:val="18"/>
              </w:rPr>
              <w:t xml:space="preserve"> </w:t>
            </w:r>
            <w:r>
              <w:rPr>
                <w:rFonts w:hint="eastAsia"/>
                <w:color w:val="000000"/>
                <w:kern w:val="0"/>
                <w:sz w:val="18"/>
                <w:szCs w:val="18"/>
              </w:rPr>
              <w:t>未取得设计、施工资格或者未按照资质等级承担城市道路的设计、施工任务的；</w:t>
            </w:r>
          </w:p>
        </w:tc>
      </w:tr>
      <w:tr w14:paraId="4956915D">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4256E99B">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5"/>
            <w:tcBorders>
              <w:top w:val="single" w:color="auto" w:sz="4" w:space="0"/>
              <w:left w:val="nil"/>
              <w:bottom w:val="single" w:color="auto" w:sz="4" w:space="0"/>
              <w:right w:val="single" w:color="000000" w:sz="8" w:space="0"/>
            </w:tcBorders>
            <w:vAlign w:val="center"/>
          </w:tcPr>
          <w:p w14:paraId="45323AA6">
            <w:pPr>
              <w:spacing w:line="320" w:lineRule="exact"/>
              <w:jc w:val="left"/>
              <w:rPr>
                <w:color w:val="000000"/>
                <w:kern w:val="0"/>
                <w:sz w:val="18"/>
                <w:szCs w:val="18"/>
              </w:rPr>
            </w:pPr>
            <w:r>
              <w:rPr>
                <w:rFonts w:hint="eastAsia"/>
                <w:color w:val="000000"/>
                <w:kern w:val="0"/>
                <w:sz w:val="18"/>
                <w:szCs w:val="18"/>
              </w:rPr>
              <w:t>罚款，吊销设计、施工资格证书</w:t>
            </w:r>
          </w:p>
        </w:tc>
      </w:tr>
      <w:tr w14:paraId="787EE79D">
        <w:tblPrEx>
          <w:tblCellMar>
            <w:top w:w="0" w:type="dxa"/>
            <w:left w:w="108" w:type="dxa"/>
            <w:bottom w:w="0" w:type="dxa"/>
            <w:right w:w="108" w:type="dxa"/>
          </w:tblCellMar>
        </w:tblPrEx>
        <w:trPr>
          <w:trHeight w:val="285" w:hRule="atLeast"/>
        </w:trPr>
        <w:tc>
          <w:tcPr>
            <w:tcW w:w="14050" w:type="dxa"/>
            <w:gridSpan w:val="6"/>
            <w:tcBorders>
              <w:top w:val="single" w:color="auto" w:sz="4" w:space="0"/>
              <w:left w:val="single" w:color="auto" w:sz="8" w:space="0"/>
              <w:bottom w:val="single" w:color="auto" w:sz="4" w:space="0"/>
              <w:right w:val="single" w:color="000000" w:sz="8" w:space="0"/>
            </w:tcBorders>
            <w:vAlign w:val="center"/>
          </w:tcPr>
          <w:p w14:paraId="7AB2404A">
            <w:pPr>
              <w:spacing w:line="320" w:lineRule="exact"/>
              <w:jc w:val="center"/>
              <w:rPr>
                <w:color w:val="000000"/>
                <w:kern w:val="0"/>
                <w:sz w:val="18"/>
                <w:szCs w:val="18"/>
              </w:rPr>
            </w:pPr>
            <w:r>
              <w:rPr>
                <w:rFonts w:hint="eastAsia"/>
                <w:color w:val="000000"/>
                <w:kern w:val="0"/>
                <w:sz w:val="18"/>
                <w:szCs w:val="18"/>
              </w:rPr>
              <w:t>裁量基准</w:t>
            </w:r>
          </w:p>
        </w:tc>
      </w:tr>
      <w:tr w14:paraId="444FA689">
        <w:tblPrEx>
          <w:tblCellMar>
            <w:top w:w="0" w:type="dxa"/>
            <w:left w:w="108" w:type="dxa"/>
            <w:bottom w:w="0" w:type="dxa"/>
            <w:right w:w="108" w:type="dxa"/>
          </w:tblCellMar>
        </w:tblPrEx>
        <w:trPr>
          <w:gridAfter w:val="1"/>
          <w:wAfter w:w="10" w:type="dxa"/>
          <w:trHeight w:val="203" w:hRule="atLeast"/>
        </w:trPr>
        <w:tc>
          <w:tcPr>
            <w:tcW w:w="1116" w:type="dxa"/>
            <w:gridSpan w:val="2"/>
            <w:vMerge w:val="restart"/>
            <w:tcBorders>
              <w:top w:val="nil"/>
              <w:left w:val="single" w:color="auto" w:sz="8" w:space="0"/>
              <w:right w:val="single" w:color="auto" w:sz="4" w:space="0"/>
            </w:tcBorders>
            <w:vAlign w:val="center"/>
          </w:tcPr>
          <w:p w14:paraId="359920BA">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B9C149A">
            <w:pPr>
              <w:spacing w:line="320" w:lineRule="exact"/>
              <w:jc w:val="left"/>
              <w:rPr>
                <w:color w:val="000000"/>
                <w:kern w:val="0"/>
                <w:sz w:val="18"/>
                <w:szCs w:val="18"/>
              </w:rPr>
            </w:pPr>
            <w:r>
              <w:rPr>
                <w:rFonts w:hint="eastAsia"/>
                <w:color w:val="000000"/>
                <w:kern w:val="0"/>
                <w:sz w:val="18"/>
                <w:szCs w:val="18"/>
              </w:rPr>
              <w:t>超越一个资质等级的</w:t>
            </w:r>
          </w:p>
        </w:tc>
        <w:tc>
          <w:tcPr>
            <w:tcW w:w="1104" w:type="dxa"/>
            <w:vMerge w:val="restart"/>
            <w:tcBorders>
              <w:top w:val="single" w:color="auto" w:sz="4" w:space="0"/>
              <w:left w:val="single" w:color="auto" w:sz="4" w:space="0"/>
              <w:bottom w:val="single" w:color="auto" w:sz="4" w:space="0"/>
              <w:right w:val="single" w:color="auto" w:sz="4" w:space="0"/>
            </w:tcBorders>
            <w:vAlign w:val="center"/>
          </w:tcPr>
          <w:p w14:paraId="601533E9">
            <w:pPr>
              <w:spacing w:line="320" w:lineRule="exact"/>
              <w:jc w:val="center"/>
              <w:rPr>
                <w:color w:val="000000"/>
                <w:kern w:val="0"/>
                <w:sz w:val="18"/>
                <w:szCs w:val="18"/>
              </w:rPr>
            </w:pPr>
            <w:r>
              <w:rPr>
                <w:rFonts w:hint="eastAsia"/>
                <w:color w:val="000000"/>
                <w:kern w:val="0"/>
                <w:sz w:val="18"/>
                <w:szCs w:val="18"/>
              </w:rPr>
              <w:t>裁量幅度</w:t>
            </w:r>
          </w:p>
        </w:tc>
        <w:tc>
          <w:tcPr>
            <w:tcW w:w="5670" w:type="dxa"/>
            <w:tcBorders>
              <w:top w:val="single" w:color="auto" w:sz="4" w:space="0"/>
              <w:left w:val="nil"/>
              <w:bottom w:val="single" w:color="auto" w:sz="4" w:space="0"/>
              <w:right w:val="single" w:color="auto" w:sz="4" w:space="0"/>
            </w:tcBorders>
            <w:vAlign w:val="center"/>
          </w:tcPr>
          <w:p w14:paraId="2D23923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14:paraId="343DF6EE">
        <w:tblPrEx>
          <w:tblCellMar>
            <w:top w:w="0" w:type="dxa"/>
            <w:left w:w="108" w:type="dxa"/>
            <w:bottom w:w="0" w:type="dxa"/>
            <w:right w:w="108" w:type="dxa"/>
          </w:tblCellMar>
        </w:tblPrEx>
        <w:trPr>
          <w:gridAfter w:val="1"/>
          <w:wAfter w:w="10" w:type="dxa"/>
          <w:trHeight w:val="202" w:hRule="atLeast"/>
        </w:trPr>
        <w:tc>
          <w:tcPr>
            <w:tcW w:w="1116" w:type="dxa"/>
            <w:gridSpan w:val="2"/>
            <w:vMerge w:val="continue"/>
            <w:tcBorders>
              <w:left w:val="single" w:color="auto" w:sz="8" w:space="0"/>
              <w:right w:val="single" w:color="auto" w:sz="4" w:space="0"/>
            </w:tcBorders>
            <w:vAlign w:val="center"/>
          </w:tcPr>
          <w:p w14:paraId="0C23CEF1">
            <w:pPr>
              <w:spacing w:line="320" w:lineRule="exact"/>
              <w:jc w:val="center"/>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70D80EE">
            <w:pPr>
              <w:spacing w:line="320" w:lineRule="exact"/>
              <w:jc w:val="left"/>
              <w:rPr>
                <w:color w:val="000000"/>
                <w:kern w:val="0"/>
                <w:sz w:val="18"/>
                <w:szCs w:val="18"/>
              </w:rPr>
            </w:pPr>
            <w:r>
              <w:rPr>
                <w:rFonts w:hint="eastAsia"/>
                <w:color w:val="000000"/>
                <w:kern w:val="0"/>
                <w:sz w:val="18"/>
                <w:szCs w:val="18"/>
              </w:rPr>
              <w:t>超越两个以上资质等级的</w:t>
            </w:r>
          </w:p>
        </w:tc>
        <w:tc>
          <w:tcPr>
            <w:tcW w:w="1104" w:type="dxa"/>
            <w:vMerge w:val="continue"/>
            <w:tcBorders>
              <w:top w:val="single" w:color="auto" w:sz="4" w:space="0"/>
              <w:left w:val="single" w:color="auto" w:sz="4" w:space="0"/>
              <w:bottom w:val="single" w:color="auto" w:sz="4" w:space="0"/>
              <w:right w:val="single" w:color="auto" w:sz="4" w:space="0"/>
            </w:tcBorders>
            <w:vAlign w:val="center"/>
          </w:tcPr>
          <w:p w14:paraId="2D501410">
            <w:pPr>
              <w:spacing w:line="320" w:lineRule="exact"/>
              <w:jc w:val="center"/>
              <w:rPr>
                <w:color w:val="000000"/>
                <w:kern w:val="0"/>
                <w:sz w:val="18"/>
                <w:szCs w:val="18"/>
              </w:rPr>
            </w:pPr>
          </w:p>
        </w:tc>
        <w:tc>
          <w:tcPr>
            <w:tcW w:w="5670" w:type="dxa"/>
            <w:tcBorders>
              <w:top w:val="single" w:color="auto" w:sz="4" w:space="0"/>
              <w:left w:val="nil"/>
              <w:bottom w:val="single" w:color="auto" w:sz="4" w:space="0"/>
              <w:right w:val="single" w:color="auto" w:sz="4" w:space="0"/>
            </w:tcBorders>
            <w:vAlign w:val="center"/>
          </w:tcPr>
          <w:p w14:paraId="4E18C6C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万元以下罚款，吊销设计、施工资格证书</w:t>
            </w:r>
          </w:p>
        </w:tc>
      </w:tr>
      <w:tr w14:paraId="2EBF57A4">
        <w:tblPrEx>
          <w:tblCellMar>
            <w:top w:w="0" w:type="dxa"/>
            <w:left w:w="108" w:type="dxa"/>
            <w:bottom w:w="0" w:type="dxa"/>
            <w:right w:w="108" w:type="dxa"/>
          </w:tblCellMar>
        </w:tblPrEx>
        <w:trPr>
          <w:gridAfter w:val="1"/>
          <w:wAfter w:w="10" w:type="dxa"/>
          <w:trHeight w:val="285" w:hRule="atLeast"/>
        </w:trPr>
        <w:tc>
          <w:tcPr>
            <w:tcW w:w="1116" w:type="dxa"/>
            <w:gridSpan w:val="2"/>
            <w:vMerge w:val="continue"/>
            <w:tcBorders>
              <w:left w:val="single" w:color="auto" w:sz="8" w:space="0"/>
              <w:bottom w:val="single" w:color="auto" w:sz="4" w:space="0"/>
              <w:right w:val="single" w:color="auto" w:sz="4" w:space="0"/>
            </w:tcBorders>
            <w:vAlign w:val="center"/>
          </w:tcPr>
          <w:p w14:paraId="65036DC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BD9A91F">
            <w:pPr>
              <w:spacing w:line="320" w:lineRule="exact"/>
              <w:jc w:val="left"/>
              <w:rPr>
                <w:color w:val="000000"/>
                <w:kern w:val="0"/>
                <w:sz w:val="18"/>
                <w:szCs w:val="18"/>
              </w:rPr>
            </w:pPr>
            <w:r>
              <w:rPr>
                <w:rFonts w:hint="eastAsia"/>
                <w:color w:val="000000"/>
                <w:kern w:val="0"/>
                <w:sz w:val="18"/>
                <w:szCs w:val="18"/>
              </w:rPr>
              <w:t>未取得资质等级证书承担丙级及以下工程设计资质任务或三级施工资质任务的</w:t>
            </w:r>
          </w:p>
        </w:tc>
        <w:tc>
          <w:tcPr>
            <w:tcW w:w="1104" w:type="dxa"/>
            <w:vMerge w:val="continue"/>
            <w:tcBorders>
              <w:top w:val="single" w:color="auto" w:sz="4" w:space="0"/>
              <w:left w:val="single" w:color="auto" w:sz="4" w:space="0"/>
              <w:bottom w:val="single" w:color="auto" w:sz="4" w:space="0"/>
              <w:right w:val="single" w:color="auto" w:sz="4" w:space="0"/>
            </w:tcBorders>
            <w:vAlign w:val="center"/>
          </w:tcPr>
          <w:p w14:paraId="53DAE262">
            <w:pPr>
              <w:spacing w:line="320" w:lineRule="exact"/>
              <w:jc w:val="left"/>
              <w:rPr>
                <w:color w:val="000000"/>
                <w:kern w:val="0"/>
                <w:sz w:val="18"/>
                <w:szCs w:val="18"/>
              </w:rPr>
            </w:pPr>
          </w:p>
        </w:tc>
        <w:tc>
          <w:tcPr>
            <w:tcW w:w="5670" w:type="dxa"/>
            <w:tcBorders>
              <w:top w:val="single" w:color="auto" w:sz="4" w:space="0"/>
              <w:left w:val="nil"/>
              <w:bottom w:val="single" w:color="auto" w:sz="4" w:space="0"/>
              <w:right w:val="single" w:color="auto" w:sz="8" w:space="0"/>
            </w:tcBorders>
            <w:vAlign w:val="center"/>
          </w:tcPr>
          <w:p w14:paraId="728BAB8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71157685">
        <w:tblPrEx>
          <w:tblCellMar>
            <w:top w:w="0" w:type="dxa"/>
            <w:left w:w="108" w:type="dxa"/>
            <w:bottom w:w="0" w:type="dxa"/>
            <w:right w:w="108" w:type="dxa"/>
          </w:tblCellMar>
        </w:tblPrEx>
        <w:trPr>
          <w:gridAfter w:val="1"/>
          <w:wAfter w:w="10" w:type="dxa"/>
          <w:trHeight w:val="285" w:hRule="atLeast"/>
        </w:trPr>
        <w:tc>
          <w:tcPr>
            <w:tcW w:w="1116" w:type="dxa"/>
            <w:gridSpan w:val="2"/>
            <w:vMerge w:val="continue"/>
            <w:tcBorders>
              <w:left w:val="single" w:color="auto" w:sz="8" w:space="0"/>
              <w:bottom w:val="single" w:color="auto" w:sz="4" w:space="0"/>
              <w:right w:val="single" w:color="auto" w:sz="4" w:space="0"/>
            </w:tcBorders>
            <w:vAlign w:val="center"/>
          </w:tcPr>
          <w:p w14:paraId="1236953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ED1932E">
            <w:pPr>
              <w:spacing w:line="320" w:lineRule="exact"/>
              <w:jc w:val="left"/>
              <w:rPr>
                <w:color w:val="000000"/>
                <w:kern w:val="0"/>
                <w:sz w:val="18"/>
                <w:szCs w:val="18"/>
              </w:rPr>
            </w:pPr>
            <w:r>
              <w:rPr>
                <w:rFonts w:hint="eastAsia"/>
                <w:color w:val="000000"/>
                <w:kern w:val="0"/>
                <w:sz w:val="18"/>
                <w:szCs w:val="18"/>
              </w:rPr>
              <w:t>未取得资质等级证书承担乙级及以上工程设计资质任务或二级及以上施工资质任务的</w:t>
            </w:r>
          </w:p>
        </w:tc>
        <w:tc>
          <w:tcPr>
            <w:tcW w:w="1104" w:type="dxa"/>
            <w:vMerge w:val="continue"/>
            <w:tcBorders>
              <w:top w:val="single" w:color="auto" w:sz="4" w:space="0"/>
              <w:left w:val="single" w:color="auto" w:sz="4" w:space="0"/>
              <w:bottom w:val="single" w:color="auto" w:sz="4" w:space="0"/>
              <w:right w:val="single" w:color="auto" w:sz="4" w:space="0"/>
            </w:tcBorders>
            <w:vAlign w:val="center"/>
          </w:tcPr>
          <w:p w14:paraId="177C374B">
            <w:pPr>
              <w:spacing w:line="320" w:lineRule="exact"/>
              <w:jc w:val="left"/>
              <w:rPr>
                <w:color w:val="000000"/>
                <w:kern w:val="0"/>
                <w:sz w:val="18"/>
                <w:szCs w:val="18"/>
              </w:rPr>
            </w:pPr>
          </w:p>
        </w:tc>
        <w:tc>
          <w:tcPr>
            <w:tcW w:w="5670" w:type="dxa"/>
            <w:tcBorders>
              <w:top w:val="single" w:color="auto" w:sz="4" w:space="0"/>
              <w:left w:val="nil"/>
              <w:bottom w:val="single" w:color="auto" w:sz="4" w:space="0"/>
              <w:right w:val="single" w:color="auto" w:sz="8" w:space="0"/>
            </w:tcBorders>
            <w:vAlign w:val="center"/>
          </w:tcPr>
          <w:p w14:paraId="25A4CDD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14:paraId="1F9B4204"/>
    <w:p w14:paraId="00573E22"/>
    <w:p w14:paraId="2A158FFA"/>
    <w:p w14:paraId="7ABDB0BD"/>
    <w:p w14:paraId="30B74B60"/>
    <w:p w14:paraId="6DB4A588"/>
    <w:p w14:paraId="21E1A7CC"/>
    <w:tbl>
      <w:tblPr>
        <w:tblStyle w:val="15"/>
        <w:tblW w:w="0" w:type="auto"/>
        <w:tblInd w:w="78" w:type="dxa"/>
        <w:tblLayout w:type="fixed"/>
        <w:tblCellMar>
          <w:top w:w="0" w:type="dxa"/>
          <w:left w:w="108" w:type="dxa"/>
          <w:bottom w:w="0" w:type="dxa"/>
          <w:right w:w="108" w:type="dxa"/>
        </w:tblCellMar>
      </w:tblPr>
      <w:tblGrid>
        <w:gridCol w:w="1070"/>
        <w:gridCol w:w="2788"/>
        <w:gridCol w:w="1134"/>
        <w:gridCol w:w="9058"/>
      </w:tblGrid>
      <w:tr w14:paraId="76E06E02">
        <w:tblPrEx>
          <w:tblCellMar>
            <w:top w:w="0" w:type="dxa"/>
            <w:left w:w="108" w:type="dxa"/>
            <w:bottom w:w="0" w:type="dxa"/>
            <w:right w:w="108" w:type="dxa"/>
          </w:tblCellMar>
        </w:tblPrEx>
        <w:trPr>
          <w:trHeight w:val="285" w:hRule="atLeast"/>
        </w:trPr>
        <w:tc>
          <w:tcPr>
            <w:tcW w:w="1070" w:type="dxa"/>
            <w:tcBorders>
              <w:top w:val="single" w:color="auto" w:sz="8" w:space="0"/>
              <w:left w:val="single" w:color="auto" w:sz="8" w:space="0"/>
              <w:bottom w:val="single" w:color="auto" w:sz="4" w:space="0"/>
              <w:right w:val="single" w:color="auto" w:sz="4" w:space="0"/>
            </w:tcBorders>
            <w:vAlign w:val="center"/>
          </w:tcPr>
          <w:p w14:paraId="314AC5F4">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color="auto" w:sz="8" w:space="0"/>
              <w:left w:val="nil"/>
              <w:bottom w:val="single" w:color="auto" w:sz="4" w:space="0"/>
              <w:right w:val="single" w:color="000000" w:sz="8" w:space="0"/>
            </w:tcBorders>
            <w:vAlign w:val="center"/>
          </w:tcPr>
          <w:p w14:paraId="52574042">
            <w:pPr>
              <w:spacing w:line="320" w:lineRule="exact"/>
              <w:jc w:val="left"/>
              <w:rPr>
                <w:b/>
                <w:color w:val="000000"/>
                <w:kern w:val="0"/>
                <w:sz w:val="18"/>
                <w:szCs w:val="18"/>
              </w:rPr>
            </w:pPr>
            <w:r>
              <w:rPr>
                <w:b/>
                <w:color w:val="000000"/>
                <w:kern w:val="0"/>
                <w:sz w:val="18"/>
                <w:szCs w:val="18"/>
              </w:rPr>
              <w:t>320217694000</w:t>
            </w:r>
            <w:r>
              <w:rPr>
                <w:rFonts w:hint="eastAsia"/>
                <w:b/>
                <w:color w:val="000000"/>
                <w:kern w:val="0"/>
                <w:sz w:val="18"/>
                <w:szCs w:val="18"/>
              </w:rPr>
              <w:t xml:space="preserve"> </w:t>
            </w:r>
          </w:p>
        </w:tc>
      </w:tr>
      <w:tr w14:paraId="49333D15">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34B81DF8">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color="auto" w:sz="4" w:space="0"/>
              <w:left w:val="nil"/>
              <w:bottom w:val="single" w:color="auto" w:sz="4" w:space="0"/>
              <w:right w:val="single" w:color="000000" w:sz="8" w:space="0"/>
            </w:tcBorders>
            <w:vAlign w:val="center"/>
          </w:tcPr>
          <w:p w14:paraId="5D8C2433">
            <w:pPr>
              <w:jc w:val="left"/>
              <w:rPr>
                <w:color w:val="000000"/>
                <w:kern w:val="0"/>
                <w:sz w:val="18"/>
                <w:szCs w:val="18"/>
              </w:rPr>
            </w:pPr>
            <w:r>
              <w:rPr>
                <w:rFonts w:hint="eastAsia"/>
                <w:color w:val="000000"/>
                <w:kern w:val="0"/>
                <w:sz w:val="18"/>
                <w:szCs w:val="18"/>
              </w:rPr>
              <w:t>对未按照设计图纸施工或者擅自修改图纸的处罚</w:t>
            </w:r>
          </w:p>
        </w:tc>
      </w:tr>
      <w:tr w14:paraId="0CF7344D">
        <w:tblPrEx>
          <w:tblCellMar>
            <w:top w:w="0" w:type="dxa"/>
            <w:left w:w="108" w:type="dxa"/>
            <w:bottom w:w="0" w:type="dxa"/>
            <w:right w:w="108" w:type="dxa"/>
          </w:tblCellMar>
        </w:tblPrEx>
        <w:trPr>
          <w:trHeight w:val="1665" w:hRule="atLeast"/>
        </w:trPr>
        <w:tc>
          <w:tcPr>
            <w:tcW w:w="1070" w:type="dxa"/>
            <w:tcBorders>
              <w:top w:val="nil"/>
              <w:left w:val="single" w:color="auto" w:sz="8" w:space="0"/>
              <w:bottom w:val="single" w:color="auto" w:sz="4" w:space="0"/>
              <w:right w:val="single" w:color="auto" w:sz="4" w:space="0"/>
            </w:tcBorders>
            <w:vAlign w:val="center"/>
          </w:tcPr>
          <w:p w14:paraId="3558317D">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color="auto" w:sz="4" w:space="0"/>
              <w:left w:val="nil"/>
              <w:bottom w:val="single" w:color="auto" w:sz="4" w:space="0"/>
              <w:right w:val="single" w:color="000000" w:sz="8" w:space="0"/>
            </w:tcBorders>
            <w:vAlign w:val="center"/>
          </w:tcPr>
          <w:p w14:paraId="2F6B45C3">
            <w:pPr>
              <w:jc w:val="left"/>
              <w:textAlignment w:val="center"/>
              <w:rPr>
                <w:color w:val="000000"/>
                <w:kern w:val="0"/>
                <w:sz w:val="18"/>
                <w:szCs w:val="18"/>
              </w:rPr>
            </w:pPr>
            <w:r>
              <w:rPr>
                <w:rFonts w:hint="eastAsia"/>
                <w:color w:val="000000"/>
                <w:kern w:val="0"/>
                <w:sz w:val="18"/>
                <w:szCs w:val="18"/>
              </w:rPr>
              <w:t>【行政法规】《城市道路管理条例》（</w:t>
            </w:r>
            <w:r>
              <w:rPr>
                <w:color w:val="000000"/>
                <w:kern w:val="0"/>
                <w:sz w:val="18"/>
                <w:szCs w:val="18"/>
              </w:rPr>
              <w:t>1996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4</w:t>
            </w:r>
            <w:r>
              <w:rPr>
                <w:rFonts w:hint="eastAsia"/>
                <w:color w:val="000000"/>
                <w:kern w:val="0"/>
                <w:sz w:val="18"/>
                <w:szCs w:val="18"/>
              </w:rPr>
              <w:t>日中华人民共和国国务院令第</w:t>
            </w:r>
            <w:r>
              <w:rPr>
                <w:color w:val="000000"/>
                <w:kern w:val="0"/>
                <w:sz w:val="18"/>
                <w:szCs w:val="18"/>
              </w:rPr>
              <w:t>198</w:t>
            </w:r>
            <w:r>
              <w:rPr>
                <w:rFonts w:hint="eastAsia"/>
                <w:color w:val="000000"/>
                <w:kern w:val="0"/>
                <w:sz w:val="18"/>
                <w:szCs w:val="18"/>
              </w:rPr>
              <w:t>号发布</w:t>
            </w:r>
            <w:r>
              <w:rPr>
                <w:color w:val="000000"/>
                <w:kern w:val="0"/>
                <w:sz w:val="18"/>
                <w:szCs w:val="18"/>
              </w:rPr>
              <w:t xml:space="preserve"> </w:t>
            </w:r>
            <w:r>
              <w:rPr>
                <w:rFonts w:hint="eastAsia"/>
                <w:color w:val="000000"/>
                <w:kern w:val="0"/>
                <w:sz w:val="18"/>
                <w:szCs w:val="18"/>
              </w:rPr>
              <w:t>根据</w:t>
            </w:r>
            <w:r>
              <w:rPr>
                <w:color w:val="000000"/>
                <w:kern w:val="0"/>
                <w:sz w:val="18"/>
                <w:szCs w:val="18"/>
              </w:rPr>
              <w:t>2011</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8</w:t>
            </w:r>
            <w:r>
              <w:rPr>
                <w:rFonts w:hint="eastAsia"/>
                <w:color w:val="000000"/>
                <w:kern w:val="0"/>
                <w:sz w:val="18"/>
                <w:szCs w:val="18"/>
              </w:rPr>
              <w:t>日《国务院关于废止和修改部分行政法规的决定》修改，</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t xml:space="preserve"> </w:t>
            </w:r>
            <w:r>
              <w:rPr>
                <w:rFonts w:hint="eastAsia"/>
                <w:color w:val="000000"/>
                <w:kern w:val="0"/>
                <w:sz w:val="18"/>
                <w:szCs w:val="18"/>
              </w:rPr>
              <w:t>）</w:t>
            </w:r>
          </w:p>
          <w:p w14:paraId="3371CA6B">
            <w:pPr>
              <w:jc w:val="left"/>
              <w:textAlignment w:val="center"/>
              <w:rPr>
                <w:color w:val="000000"/>
                <w:kern w:val="0"/>
                <w:sz w:val="18"/>
                <w:szCs w:val="18"/>
              </w:rPr>
            </w:pPr>
            <w:r>
              <w:rPr>
                <w:color w:val="000000"/>
                <w:kern w:val="0"/>
                <w:sz w:val="18"/>
                <w:szCs w:val="18"/>
              </w:rPr>
              <w:t xml:space="preserve">   </w:t>
            </w:r>
            <w:r>
              <w:rPr>
                <w:rFonts w:hint="eastAsia"/>
                <w:color w:val="000000"/>
                <w:kern w:val="0"/>
                <w:sz w:val="18"/>
                <w:szCs w:val="18"/>
              </w:rPr>
              <w:t>第十六条　承担城市道路设计、施工的单位，应当具有相应的资质等级，并按照资质等级承担相应的城市道路的设计、施工任务。</w:t>
            </w:r>
            <w:r>
              <w:rPr>
                <w:color w:val="000000"/>
                <w:kern w:val="0"/>
                <w:sz w:val="18"/>
                <w:szCs w:val="18"/>
              </w:rPr>
              <w:t xml:space="preserve">   </w:t>
            </w:r>
          </w:p>
          <w:p w14:paraId="19885F1D">
            <w:pPr>
              <w:jc w:val="left"/>
              <w:textAlignment w:val="center"/>
              <w:rPr>
                <w:color w:val="000000"/>
                <w:kern w:val="0"/>
                <w:sz w:val="18"/>
                <w:szCs w:val="18"/>
              </w:rPr>
            </w:pPr>
            <w:r>
              <w:rPr>
                <w:color w:val="000000"/>
                <w:kern w:val="0"/>
                <w:sz w:val="18"/>
                <w:szCs w:val="18"/>
              </w:rPr>
              <w:t xml:space="preserve">   </w:t>
            </w: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城市道路的设计、施工，应当严格执行国家和地方规定的城市道路设计、施工的技术规范。</w:t>
            </w:r>
          </w:p>
          <w:p w14:paraId="5AE80B3E">
            <w:pPr>
              <w:jc w:val="left"/>
              <w:textAlignment w:val="center"/>
              <w:rPr>
                <w:color w:val="000000"/>
                <w:kern w:val="0"/>
                <w:sz w:val="18"/>
                <w:szCs w:val="18"/>
              </w:rPr>
            </w:pPr>
            <w:r>
              <w:rPr>
                <w:color w:val="000000"/>
                <w:kern w:val="0"/>
                <w:sz w:val="18"/>
                <w:szCs w:val="18"/>
              </w:rPr>
              <w:t xml:space="preserve">   </w:t>
            </w: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的规定，有下列行为之一的，由市政工程行政主管部门责令停止设计、施工，限期改正，可以并处三万元以下的罚款；已经取得设计、施工资格证书，情节严重的，提请原发证机关吊销设计、施工资格证书：</w:t>
            </w:r>
          </w:p>
          <w:p w14:paraId="2E1DC7B2">
            <w:pPr>
              <w:jc w:val="left"/>
              <w:textAlignment w:val="center"/>
              <w:rPr>
                <w:rFonts w:eastAsia="仿宋_GB2312"/>
                <w:color w:val="000000"/>
                <w:sz w:val="20"/>
              </w:rPr>
            </w:pPr>
            <w:r>
              <w:rPr>
                <w:color w:val="000000"/>
                <w:kern w:val="0"/>
                <w:sz w:val="18"/>
                <w:szCs w:val="18"/>
              </w:rPr>
              <w:t xml:space="preserve">   </w:t>
            </w:r>
            <w:r>
              <w:rPr>
                <w:rFonts w:hint="eastAsia"/>
                <w:color w:val="000000"/>
                <w:kern w:val="0"/>
                <w:sz w:val="18"/>
                <w:szCs w:val="18"/>
              </w:rPr>
              <w:t>（三）未按照设计图纸施工或者擅自修改图纸的。</w:t>
            </w:r>
          </w:p>
        </w:tc>
      </w:tr>
      <w:tr w14:paraId="15798C40">
        <w:tblPrEx>
          <w:tblCellMar>
            <w:top w:w="0" w:type="dxa"/>
            <w:left w:w="108" w:type="dxa"/>
            <w:bottom w:w="0" w:type="dxa"/>
            <w:right w:w="108" w:type="dxa"/>
          </w:tblCellMar>
        </w:tblPrEx>
        <w:trPr>
          <w:trHeight w:val="285" w:hRule="atLeast"/>
        </w:trPr>
        <w:tc>
          <w:tcPr>
            <w:tcW w:w="1070" w:type="dxa"/>
            <w:tcBorders>
              <w:top w:val="nil"/>
              <w:left w:val="single" w:color="auto" w:sz="8" w:space="0"/>
              <w:bottom w:val="single" w:color="auto" w:sz="4" w:space="0"/>
              <w:right w:val="single" w:color="auto" w:sz="4" w:space="0"/>
            </w:tcBorders>
            <w:vAlign w:val="center"/>
          </w:tcPr>
          <w:p w14:paraId="00B83C98">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color="auto" w:sz="4" w:space="0"/>
              <w:left w:val="nil"/>
              <w:bottom w:val="single" w:color="auto" w:sz="4" w:space="0"/>
              <w:right w:val="single" w:color="000000" w:sz="8" w:space="0"/>
            </w:tcBorders>
            <w:vAlign w:val="center"/>
          </w:tcPr>
          <w:p w14:paraId="4809174C">
            <w:pPr>
              <w:spacing w:line="320" w:lineRule="exact"/>
              <w:jc w:val="left"/>
              <w:rPr>
                <w:color w:val="000000"/>
                <w:kern w:val="0"/>
                <w:sz w:val="18"/>
                <w:szCs w:val="18"/>
              </w:rPr>
            </w:pPr>
            <w:r>
              <w:rPr>
                <w:rFonts w:hint="eastAsia"/>
                <w:color w:val="000000"/>
                <w:kern w:val="0"/>
                <w:sz w:val="18"/>
                <w:szCs w:val="18"/>
              </w:rPr>
              <w:t>罚款，吊销设计、施工资格证书</w:t>
            </w:r>
          </w:p>
        </w:tc>
      </w:tr>
      <w:tr w14:paraId="47A07CAF">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57C798D">
            <w:pPr>
              <w:spacing w:line="320" w:lineRule="exact"/>
              <w:jc w:val="center"/>
              <w:rPr>
                <w:color w:val="000000"/>
                <w:kern w:val="0"/>
                <w:sz w:val="18"/>
                <w:szCs w:val="18"/>
              </w:rPr>
            </w:pPr>
            <w:r>
              <w:rPr>
                <w:rFonts w:hint="eastAsia"/>
                <w:color w:val="000000"/>
                <w:kern w:val="0"/>
                <w:sz w:val="18"/>
                <w:szCs w:val="18"/>
              </w:rPr>
              <w:t>裁量基准</w:t>
            </w:r>
          </w:p>
        </w:tc>
      </w:tr>
      <w:tr w14:paraId="5942F16A">
        <w:tblPrEx>
          <w:tblCellMar>
            <w:top w:w="0" w:type="dxa"/>
            <w:left w:w="108" w:type="dxa"/>
            <w:bottom w:w="0" w:type="dxa"/>
            <w:right w:w="108" w:type="dxa"/>
          </w:tblCellMar>
        </w:tblPrEx>
        <w:trPr>
          <w:trHeight w:val="285" w:hRule="atLeast"/>
        </w:trPr>
        <w:tc>
          <w:tcPr>
            <w:tcW w:w="1070" w:type="dxa"/>
            <w:vMerge w:val="restart"/>
            <w:tcBorders>
              <w:top w:val="nil"/>
              <w:left w:val="single" w:color="auto" w:sz="8" w:space="0"/>
              <w:right w:val="single" w:color="auto" w:sz="4" w:space="0"/>
            </w:tcBorders>
            <w:vAlign w:val="center"/>
          </w:tcPr>
          <w:p w14:paraId="2D575ADD">
            <w:pPr>
              <w:spacing w:line="320" w:lineRule="exact"/>
              <w:jc w:val="left"/>
              <w:rPr>
                <w:color w:val="000000"/>
                <w:kern w:val="0"/>
                <w:sz w:val="18"/>
                <w:szCs w:val="18"/>
              </w:rPr>
            </w:pPr>
            <w:r>
              <w:rPr>
                <w:rFonts w:hint="eastAsia"/>
                <w:color w:val="000000"/>
                <w:kern w:val="0"/>
                <w:sz w:val="18"/>
                <w:szCs w:val="18"/>
              </w:rPr>
              <w:t>情形描述</w:t>
            </w:r>
          </w:p>
        </w:tc>
        <w:tc>
          <w:tcPr>
            <w:tcW w:w="2788" w:type="dxa"/>
            <w:tcBorders>
              <w:top w:val="single" w:color="auto" w:sz="4" w:space="0"/>
              <w:left w:val="nil"/>
              <w:bottom w:val="single" w:color="auto" w:sz="4" w:space="0"/>
              <w:right w:val="single" w:color="auto" w:sz="4" w:space="0"/>
            </w:tcBorders>
            <w:vAlign w:val="center"/>
          </w:tcPr>
          <w:p w14:paraId="729F61A5">
            <w:pPr>
              <w:spacing w:line="320" w:lineRule="exact"/>
              <w:jc w:val="left"/>
              <w:rPr>
                <w:color w:val="000000"/>
                <w:kern w:val="0"/>
                <w:sz w:val="18"/>
                <w:szCs w:val="18"/>
              </w:rPr>
            </w:pPr>
            <w:r>
              <w:rPr>
                <w:rFonts w:hint="eastAsia"/>
                <w:color w:val="000000"/>
                <w:sz w:val="18"/>
                <w:szCs w:val="18"/>
              </w:rPr>
              <w:t>按照要求改正且未造成损失的</w:t>
            </w:r>
          </w:p>
        </w:tc>
        <w:tc>
          <w:tcPr>
            <w:tcW w:w="1134" w:type="dxa"/>
            <w:vMerge w:val="restart"/>
            <w:tcBorders>
              <w:top w:val="nil"/>
              <w:left w:val="single" w:color="auto" w:sz="4" w:space="0"/>
              <w:right w:val="single" w:color="auto" w:sz="4" w:space="0"/>
            </w:tcBorders>
            <w:vAlign w:val="center"/>
          </w:tcPr>
          <w:p w14:paraId="2AC501A9">
            <w:pPr>
              <w:spacing w:line="320" w:lineRule="exact"/>
              <w:jc w:val="left"/>
              <w:rPr>
                <w:color w:val="000000"/>
                <w:kern w:val="0"/>
                <w:sz w:val="18"/>
                <w:szCs w:val="18"/>
              </w:rPr>
            </w:pPr>
            <w:r>
              <w:rPr>
                <w:rFonts w:hint="eastAsia"/>
                <w:color w:val="000000"/>
                <w:kern w:val="0"/>
                <w:sz w:val="18"/>
                <w:szCs w:val="18"/>
              </w:rPr>
              <w:t>裁量幅度</w:t>
            </w:r>
          </w:p>
        </w:tc>
        <w:tc>
          <w:tcPr>
            <w:tcW w:w="9058" w:type="dxa"/>
            <w:tcBorders>
              <w:top w:val="nil"/>
              <w:left w:val="nil"/>
              <w:bottom w:val="single" w:color="auto" w:sz="4" w:space="0"/>
              <w:right w:val="single" w:color="auto" w:sz="8" w:space="0"/>
            </w:tcBorders>
            <w:vAlign w:val="center"/>
          </w:tcPr>
          <w:p w14:paraId="5CE3CC1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14:paraId="18BCDA00">
        <w:tblPrEx>
          <w:tblCellMar>
            <w:top w:w="0" w:type="dxa"/>
            <w:left w:w="108" w:type="dxa"/>
            <w:bottom w:w="0" w:type="dxa"/>
            <w:right w:w="108" w:type="dxa"/>
          </w:tblCellMar>
        </w:tblPrEx>
        <w:trPr>
          <w:trHeight w:val="285" w:hRule="atLeast"/>
        </w:trPr>
        <w:tc>
          <w:tcPr>
            <w:tcW w:w="1070" w:type="dxa"/>
            <w:vMerge w:val="continue"/>
            <w:tcBorders>
              <w:left w:val="single" w:color="auto" w:sz="8" w:space="0"/>
              <w:right w:val="single" w:color="auto" w:sz="4" w:space="0"/>
            </w:tcBorders>
            <w:vAlign w:val="center"/>
          </w:tcPr>
          <w:p w14:paraId="3D10E0DE">
            <w:pPr>
              <w:spacing w:line="320" w:lineRule="exact"/>
              <w:jc w:val="left"/>
              <w:rPr>
                <w:color w:val="000000"/>
                <w:kern w:val="0"/>
                <w:sz w:val="18"/>
                <w:szCs w:val="18"/>
              </w:rPr>
            </w:pPr>
          </w:p>
        </w:tc>
        <w:tc>
          <w:tcPr>
            <w:tcW w:w="2788" w:type="dxa"/>
            <w:tcBorders>
              <w:top w:val="single" w:color="auto" w:sz="4" w:space="0"/>
              <w:left w:val="nil"/>
              <w:bottom w:val="single" w:color="auto" w:sz="4" w:space="0"/>
              <w:right w:val="single" w:color="auto" w:sz="4" w:space="0"/>
            </w:tcBorders>
            <w:vAlign w:val="center"/>
          </w:tcPr>
          <w:p w14:paraId="32FA5176">
            <w:pPr>
              <w:spacing w:line="320" w:lineRule="exact"/>
              <w:jc w:val="left"/>
              <w:rPr>
                <w:color w:val="000000"/>
                <w:kern w:val="0"/>
                <w:sz w:val="18"/>
                <w:szCs w:val="18"/>
              </w:rPr>
            </w:pPr>
            <w:r>
              <w:rPr>
                <w:rFonts w:hint="eastAsia"/>
                <w:color w:val="000000"/>
                <w:sz w:val="18"/>
                <w:szCs w:val="18"/>
              </w:rPr>
              <w:t>按照要求改正但造成损失的</w:t>
            </w:r>
          </w:p>
        </w:tc>
        <w:tc>
          <w:tcPr>
            <w:tcW w:w="1134" w:type="dxa"/>
            <w:vMerge w:val="continue"/>
            <w:tcBorders>
              <w:left w:val="single" w:color="auto" w:sz="4" w:space="0"/>
              <w:right w:val="single" w:color="auto" w:sz="4" w:space="0"/>
            </w:tcBorders>
            <w:vAlign w:val="center"/>
          </w:tcPr>
          <w:p w14:paraId="7E772159">
            <w:pPr>
              <w:spacing w:line="320" w:lineRule="exact"/>
              <w:jc w:val="left"/>
              <w:rPr>
                <w:color w:val="000000"/>
                <w:kern w:val="0"/>
                <w:sz w:val="18"/>
                <w:szCs w:val="18"/>
              </w:rPr>
            </w:pPr>
          </w:p>
        </w:tc>
        <w:tc>
          <w:tcPr>
            <w:tcW w:w="9058" w:type="dxa"/>
            <w:tcBorders>
              <w:top w:val="nil"/>
              <w:left w:val="nil"/>
              <w:bottom w:val="single" w:color="auto" w:sz="4" w:space="0"/>
              <w:right w:val="single" w:color="auto" w:sz="8" w:space="0"/>
            </w:tcBorders>
            <w:vAlign w:val="center"/>
          </w:tcPr>
          <w:p w14:paraId="1361B23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元以下罚款</w:t>
            </w:r>
          </w:p>
        </w:tc>
      </w:tr>
      <w:tr w14:paraId="1DE71E82">
        <w:tblPrEx>
          <w:tblCellMar>
            <w:top w:w="0" w:type="dxa"/>
            <w:left w:w="108" w:type="dxa"/>
            <w:bottom w:w="0" w:type="dxa"/>
            <w:right w:w="108" w:type="dxa"/>
          </w:tblCellMar>
        </w:tblPrEx>
        <w:trPr>
          <w:trHeight w:val="315" w:hRule="atLeast"/>
        </w:trPr>
        <w:tc>
          <w:tcPr>
            <w:tcW w:w="1070" w:type="dxa"/>
            <w:vMerge w:val="continue"/>
            <w:tcBorders>
              <w:left w:val="single" w:color="auto" w:sz="8" w:space="0"/>
              <w:right w:val="single" w:color="auto" w:sz="4" w:space="0"/>
            </w:tcBorders>
            <w:vAlign w:val="center"/>
          </w:tcPr>
          <w:p w14:paraId="7CDD14F4">
            <w:pPr>
              <w:jc w:val="left"/>
              <w:rPr>
                <w:color w:val="000000"/>
                <w:kern w:val="0"/>
                <w:sz w:val="18"/>
                <w:szCs w:val="18"/>
              </w:rPr>
            </w:pPr>
          </w:p>
        </w:tc>
        <w:tc>
          <w:tcPr>
            <w:tcW w:w="2788" w:type="dxa"/>
            <w:tcBorders>
              <w:top w:val="single" w:color="auto" w:sz="4" w:space="0"/>
              <w:left w:val="nil"/>
              <w:bottom w:val="single" w:color="auto" w:sz="4" w:space="0"/>
              <w:right w:val="single" w:color="auto" w:sz="4" w:space="0"/>
            </w:tcBorders>
            <w:vAlign w:val="center"/>
          </w:tcPr>
          <w:p w14:paraId="1D8CCA9A">
            <w:pPr>
              <w:spacing w:line="320" w:lineRule="exact"/>
              <w:jc w:val="left"/>
              <w:rPr>
                <w:color w:val="000000"/>
                <w:kern w:val="0"/>
                <w:sz w:val="18"/>
                <w:szCs w:val="18"/>
              </w:rPr>
            </w:pPr>
            <w:r>
              <w:rPr>
                <w:rFonts w:hint="eastAsia"/>
                <w:color w:val="000000"/>
                <w:sz w:val="18"/>
                <w:szCs w:val="18"/>
              </w:rPr>
              <w:t>未按照要求改正且造成损失的</w:t>
            </w:r>
          </w:p>
        </w:tc>
        <w:tc>
          <w:tcPr>
            <w:tcW w:w="1134" w:type="dxa"/>
            <w:vMerge w:val="continue"/>
            <w:tcBorders>
              <w:left w:val="single" w:color="auto" w:sz="4" w:space="0"/>
              <w:right w:val="single" w:color="auto" w:sz="4" w:space="0"/>
            </w:tcBorders>
            <w:vAlign w:val="center"/>
          </w:tcPr>
          <w:p w14:paraId="7BD0D266">
            <w:pPr>
              <w:jc w:val="left"/>
              <w:rPr>
                <w:color w:val="000000"/>
                <w:kern w:val="0"/>
                <w:sz w:val="18"/>
                <w:szCs w:val="18"/>
              </w:rPr>
            </w:pPr>
          </w:p>
        </w:tc>
        <w:tc>
          <w:tcPr>
            <w:tcW w:w="9058" w:type="dxa"/>
            <w:tcBorders>
              <w:top w:val="nil"/>
              <w:left w:val="nil"/>
              <w:bottom w:val="single" w:color="auto" w:sz="4" w:space="0"/>
              <w:right w:val="single" w:color="auto" w:sz="8" w:space="0"/>
            </w:tcBorders>
            <w:vAlign w:val="center"/>
          </w:tcPr>
          <w:p w14:paraId="4C8D04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14:paraId="4D2FCEED">
        <w:tblPrEx>
          <w:tblCellMar>
            <w:top w:w="0" w:type="dxa"/>
            <w:left w:w="108" w:type="dxa"/>
            <w:bottom w:w="0" w:type="dxa"/>
            <w:right w:w="108" w:type="dxa"/>
          </w:tblCellMar>
        </w:tblPrEx>
        <w:trPr>
          <w:trHeight w:val="422" w:hRule="atLeast"/>
        </w:trPr>
        <w:tc>
          <w:tcPr>
            <w:tcW w:w="1070" w:type="dxa"/>
            <w:vMerge w:val="continue"/>
            <w:tcBorders>
              <w:left w:val="single" w:color="auto" w:sz="8" w:space="0"/>
              <w:bottom w:val="single" w:color="auto" w:sz="4" w:space="0"/>
              <w:right w:val="single" w:color="auto" w:sz="4" w:space="0"/>
            </w:tcBorders>
            <w:vAlign w:val="center"/>
          </w:tcPr>
          <w:p w14:paraId="7A3C486B">
            <w:pPr>
              <w:jc w:val="left"/>
              <w:rPr>
                <w:color w:val="000000"/>
                <w:kern w:val="0"/>
                <w:sz w:val="18"/>
                <w:szCs w:val="18"/>
              </w:rPr>
            </w:pPr>
          </w:p>
        </w:tc>
        <w:tc>
          <w:tcPr>
            <w:tcW w:w="2788" w:type="dxa"/>
            <w:tcBorders>
              <w:top w:val="single" w:color="auto" w:sz="4" w:space="0"/>
              <w:left w:val="nil"/>
              <w:bottom w:val="single" w:color="auto" w:sz="4" w:space="0"/>
              <w:right w:val="single" w:color="auto" w:sz="4" w:space="0"/>
            </w:tcBorders>
            <w:vAlign w:val="center"/>
          </w:tcPr>
          <w:p w14:paraId="04FE4F09">
            <w:pPr>
              <w:spacing w:line="320" w:lineRule="exact"/>
              <w:jc w:val="left"/>
              <w:rPr>
                <w:color w:val="000000"/>
                <w:kern w:val="0"/>
                <w:sz w:val="18"/>
                <w:szCs w:val="18"/>
              </w:rPr>
            </w:pPr>
            <w:r>
              <w:rPr>
                <w:rFonts w:hint="eastAsia"/>
                <w:color w:val="000000"/>
                <w:sz w:val="18"/>
                <w:szCs w:val="18"/>
              </w:rPr>
              <w:t>未按照要求改正且造成较大或以上事故的</w:t>
            </w:r>
          </w:p>
        </w:tc>
        <w:tc>
          <w:tcPr>
            <w:tcW w:w="1134" w:type="dxa"/>
            <w:vMerge w:val="continue"/>
            <w:tcBorders>
              <w:left w:val="single" w:color="auto" w:sz="4" w:space="0"/>
              <w:bottom w:val="single" w:color="auto" w:sz="4" w:space="0"/>
              <w:right w:val="single" w:color="auto" w:sz="4" w:space="0"/>
            </w:tcBorders>
            <w:vAlign w:val="center"/>
          </w:tcPr>
          <w:p w14:paraId="2CCC12A6">
            <w:pPr>
              <w:jc w:val="left"/>
              <w:rPr>
                <w:color w:val="000000"/>
                <w:kern w:val="0"/>
                <w:sz w:val="18"/>
                <w:szCs w:val="18"/>
              </w:rPr>
            </w:pPr>
          </w:p>
        </w:tc>
        <w:tc>
          <w:tcPr>
            <w:tcW w:w="9058" w:type="dxa"/>
            <w:tcBorders>
              <w:top w:val="single" w:color="auto" w:sz="4" w:space="0"/>
              <w:left w:val="nil"/>
              <w:bottom w:val="single" w:color="auto" w:sz="4" w:space="0"/>
              <w:right w:val="single" w:color="auto" w:sz="8" w:space="0"/>
            </w:tcBorders>
            <w:vAlign w:val="center"/>
          </w:tcPr>
          <w:p w14:paraId="76FB398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万元以下罚款，吊销设计、施工资格证书</w:t>
            </w:r>
          </w:p>
        </w:tc>
      </w:tr>
    </w:tbl>
    <w:p w14:paraId="5D16EBDC"/>
    <w:p w14:paraId="7933F4C5"/>
    <w:p w14:paraId="37CEDCE1"/>
    <w:p w14:paraId="7A32C8FC"/>
    <w:tbl>
      <w:tblPr>
        <w:tblStyle w:val="1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6140"/>
        <w:gridCol w:w="1106"/>
        <w:gridCol w:w="5714"/>
      </w:tblGrid>
      <w:tr w14:paraId="5FD8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070" w:type="dxa"/>
            <w:vAlign w:val="center"/>
          </w:tcPr>
          <w:p w14:paraId="4F1DDAFD">
            <w:pPr>
              <w:spacing w:line="240" w:lineRule="exact"/>
              <w:jc w:val="center"/>
              <w:rPr>
                <w:color w:val="000000"/>
                <w:kern w:val="0"/>
                <w:sz w:val="18"/>
                <w:szCs w:val="18"/>
              </w:rPr>
            </w:pPr>
            <w:r>
              <w:rPr>
                <w:rFonts w:hint="eastAsia"/>
                <w:color w:val="000000"/>
                <w:kern w:val="0"/>
                <w:sz w:val="18"/>
                <w:szCs w:val="18"/>
              </w:rPr>
              <w:t>编号</w:t>
            </w:r>
          </w:p>
        </w:tc>
        <w:tc>
          <w:tcPr>
            <w:tcW w:w="12960" w:type="dxa"/>
            <w:gridSpan w:val="3"/>
            <w:vAlign w:val="center"/>
          </w:tcPr>
          <w:p w14:paraId="67AE4385">
            <w:pPr>
              <w:spacing w:line="240" w:lineRule="exact"/>
              <w:jc w:val="left"/>
              <w:rPr>
                <w:b/>
                <w:color w:val="000000"/>
                <w:kern w:val="0"/>
                <w:sz w:val="18"/>
                <w:szCs w:val="18"/>
              </w:rPr>
            </w:pPr>
            <w:r>
              <w:rPr>
                <w:b/>
                <w:color w:val="000000"/>
                <w:kern w:val="0"/>
                <w:sz w:val="18"/>
                <w:szCs w:val="18"/>
              </w:rPr>
              <w:t>320217695000</w:t>
            </w:r>
            <w:r>
              <w:rPr>
                <w:rFonts w:hint="eastAsia"/>
                <w:b/>
                <w:color w:val="000000"/>
                <w:kern w:val="0"/>
                <w:sz w:val="18"/>
                <w:szCs w:val="18"/>
              </w:rPr>
              <w:t xml:space="preserve"> </w:t>
            </w:r>
          </w:p>
        </w:tc>
      </w:tr>
      <w:tr w14:paraId="3DF2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70" w:type="dxa"/>
            <w:vAlign w:val="center"/>
          </w:tcPr>
          <w:p w14:paraId="27405CA7">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Pr>
          <w:p w14:paraId="55D466CA">
            <w:pPr>
              <w:spacing w:line="240" w:lineRule="exact"/>
              <w:jc w:val="left"/>
              <w:rPr>
                <w:color w:val="000000"/>
                <w:kern w:val="0"/>
                <w:sz w:val="18"/>
                <w:szCs w:val="18"/>
              </w:rPr>
            </w:pPr>
            <w:r>
              <w:rPr>
                <w:rFonts w:hint="eastAsia"/>
                <w:color w:val="000000"/>
                <w:kern w:val="0"/>
                <w:sz w:val="18"/>
                <w:szCs w:val="18"/>
              </w:rPr>
              <w:t>对投标人相互串通投标或者与招标人串通投标的，投标人以向招标人或者评标委员会成员行贿的手段谋取中标的处罚</w:t>
            </w:r>
          </w:p>
        </w:tc>
      </w:tr>
      <w:tr w14:paraId="7120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0" w:type="dxa"/>
            <w:vAlign w:val="center"/>
          </w:tcPr>
          <w:p w14:paraId="46B764A9">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vAlign w:val="center"/>
          </w:tcPr>
          <w:p w14:paraId="7F9DF5F9">
            <w:pPr>
              <w:spacing w:line="240" w:lineRule="exact"/>
              <w:jc w:val="left"/>
              <w:rPr>
                <w:color w:val="000000"/>
                <w:kern w:val="0"/>
                <w:sz w:val="18"/>
                <w:szCs w:val="18"/>
              </w:rPr>
            </w:pPr>
          </w:p>
          <w:p w14:paraId="23C4C9DD">
            <w:pPr>
              <w:spacing w:line="240" w:lineRule="exact"/>
              <w:jc w:val="left"/>
              <w:rPr>
                <w:color w:val="000000"/>
                <w:kern w:val="0"/>
                <w:sz w:val="18"/>
                <w:szCs w:val="18"/>
              </w:rPr>
            </w:pPr>
            <w:r>
              <w:rPr>
                <w:rFonts w:hint="eastAsia"/>
                <w:color w:val="000000"/>
                <w:kern w:val="0"/>
                <w:sz w:val="18"/>
                <w:szCs w:val="18"/>
              </w:rPr>
              <w:t>【法律】《中华人民共和国招标投标法》</w:t>
            </w:r>
          </w:p>
          <w:p w14:paraId="173ABD66">
            <w:pPr>
              <w:spacing w:line="240" w:lineRule="exact"/>
              <w:jc w:val="left"/>
              <w:rPr>
                <w:color w:val="000000"/>
                <w:kern w:val="0"/>
                <w:sz w:val="18"/>
                <w:szCs w:val="18"/>
              </w:rPr>
            </w:pPr>
            <w:r>
              <w:rPr>
                <w:rFonts w:hint="eastAsia"/>
                <w:color w:val="000000"/>
                <w:kern w:val="0"/>
                <w:sz w:val="18"/>
                <w:szCs w:val="18"/>
              </w:rPr>
              <w:t>第三十二条　投标人不得相互串通投标报价，不得排挤其他投标人的公平竞争，损害招标人或者其他投标人的合法权益。</w:t>
            </w:r>
          </w:p>
          <w:p w14:paraId="28F19D79">
            <w:pPr>
              <w:spacing w:line="240" w:lineRule="exact"/>
              <w:jc w:val="left"/>
              <w:rPr>
                <w:color w:val="000000"/>
                <w:kern w:val="0"/>
                <w:sz w:val="18"/>
                <w:szCs w:val="18"/>
              </w:rPr>
            </w:pPr>
            <w:r>
              <w:rPr>
                <w:rFonts w:hint="eastAsia"/>
                <w:color w:val="000000"/>
                <w:kern w:val="0"/>
                <w:sz w:val="18"/>
                <w:szCs w:val="18"/>
              </w:rPr>
              <w:t>投标人不得与招标人串通投标，损害国家利益、社会公共利益或者他人的合法权益。</w:t>
            </w:r>
          </w:p>
          <w:p w14:paraId="7A9AB9AA">
            <w:pPr>
              <w:spacing w:line="240" w:lineRule="exact"/>
              <w:jc w:val="left"/>
              <w:rPr>
                <w:color w:val="000000"/>
                <w:kern w:val="0"/>
                <w:sz w:val="18"/>
                <w:szCs w:val="18"/>
              </w:rPr>
            </w:pPr>
            <w:r>
              <w:rPr>
                <w:rFonts w:hint="eastAsia"/>
                <w:color w:val="000000"/>
                <w:kern w:val="0"/>
                <w:sz w:val="18"/>
                <w:szCs w:val="18"/>
              </w:rPr>
              <w:t>禁止投标人以向招标人或者评标委员会成员行贿的手段谋取中标。</w:t>
            </w:r>
          </w:p>
          <w:p w14:paraId="423721FD">
            <w:pPr>
              <w:spacing w:line="240" w:lineRule="exact"/>
              <w:jc w:val="left"/>
              <w:rPr>
                <w:color w:val="000000"/>
                <w:kern w:val="0"/>
                <w:sz w:val="18"/>
                <w:szCs w:val="18"/>
              </w:rPr>
            </w:pPr>
            <w:r>
              <w:rPr>
                <w:rFonts w:hint="eastAsia"/>
                <w:color w:val="000000"/>
                <w:kern w:val="0"/>
                <w:sz w:val="18"/>
                <w:szCs w:val="18"/>
              </w:rPr>
              <w:t>第五十三条　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w:t>
            </w:r>
            <w:r>
              <w:rPr>
                <w:color w:val="000000"/>
                <w:kern w:val="0"/>
                <w:sz w:val="18"/>
                <w:szCs w:val="18"/>
              </w:rPr>
              <w:t>;</w:t>
            </w:r>
            <w:r>
              <w:rPr>
                <w:rFonts w:hint="eastAsia"/>
                <w:color w:val="000000"/>
                <w:kern w:val="0"/>
                <w:sz w:val="18"/>
                <w:szCs w:val="18"/>
              </w:rPr>
              <w:t>有违法所得的，并处没收违法所得</w:t>
            </w:r>
            <w:r>
              <w:rPr>
                <w:color w:val="000000"/>
                <w:kern w:val="0"/>
                <w:sz w:val="18"/>
                <w:szCs w:val="18"/>
              </w:rPr>
              <w:t>;</w:t>
            </w:r>
            <w:r>
              <w:rPr>
                <w:rFonts w:hint="eastAsia"/>
                <w:color w:val="000000"/>
                <w:kern w:val="0"/>
                <w:sz w:val="18"/>
                <w:szCs w:val="18"/>
              </w:rPr>
              <w:t>情节严重的，取消其一年至二年内参加依法必须进行招标的项目的投标资格并予以公告，直至由工商行政管理机关吊销营业执照</w:t>
            </w:r>
            <w:r>
              <w:rPr>
                <w:color w:val="000000"/>
                <w:kern w:val="0"/>
                <w:sz w:val="18"/>
                <w:szCs w:val="18"/>
              </w:rPr>
              <w:t>;</w:t>
            </w:r>
            <w:r>
              <w:rPr>
                <w:rFonts w:hint="eastAsia"/>
                <w:color w:val="000000"/>
                <w:kern w:val="0"/>
                <w:sz w:val="18"/>
                <w:szCs w:val="18"/>
              </w:rPr>
              <w:t>构成犯罪的，依法追究刑事责任。给他人造成损失的，依法承担赔偿责任。</w:t>
            </w:r>
          </w:p>
          <w:p w14:paraId="1189A254">
            <w:pPr>
              <w:spacing w:line="240" w:lineRule="exact"/>
              <w:jc w:val="left"/>
              <w:rPr>
                <w:color w:val="000000"/>
                <w:kern w:val="0"/>
                <w:sz w:val="18"/>
                <w:szCs w:val="18"/>
              </w:rPr>
            </w:pPr>
            <w:r>
              <w:rPr>
                <w:rFonts w:hint="eastAsia"/>
                <w:color w:val="000000"/>
                <w:kern w:val="0"/>
                <w:sz w:val="18"/>
                <w:szCs w:val="18"/>
              </w:rPr>
              <w:t>【行政法规】《中华人民共和国招标投标法实施条例》（</w:t>
            </w:r>
            <w:r>
              <w:rPr>
                <w:color w:val="000000"/>
                <w:kern w:val="0"/>
                <w:sz w:val="18"/>
                <w:szCs w:val="18"/>
              </w:rPr>
              <w:t>2011</w:t>
            </w:r>
            <w:r>
              <w:rPr>
                <w:rFonts w:hint="eastAsia"/>
                <w:color w:val="000000"/>
                <w:kern w:val="0"/>
                <w:sz w:val="18"/>
                <w:szCs w:val="18"/>
              </w:rPr>
              <w:t>年国务院令第</w:t>
            </w:r>
            <w:r>
              <w:rPr>
                <w:color w:val="000000"/>
                <w:kern w:val="0"/>
                <w:sz w:val="18"/>
                <w:szCs w:val="18"/>
              </w:rPr>
              <w:t>613</w:t>
            </w:r>
            <w:r>
              <w:rPr>
                <w:rFonts w:hint="eastAsia"/>
                <w:color w:val="000000"/>
                <w:kern w:val="0"/>
                <w:sz w:val="18"/>
                <w:szCs w:val="18"/>
              </w:rPr>
              <w:t>号）</w:t>
            </w:r>
          </w:p>
          <w:p w14:paraId="10603775">
            <w:pPr>
              <w:spacing w:line="240" w:lineRule="exact"/>
              <w:jc w:val="left"/>
              <w:rPr>
                <w:color w:val="000000"/>
                <w:kern w:val="0"/>
                <w:sz w:val="18"/>
                <w:szCs w:val="18"/>
              </w:rPr>
            </w:pPr>
            <w:r>
              <w:rPr>
                <w:rFonts w:hint="eastAsia"/>
                <w:color w:val="000000"/>
                <w:kern w:val="0"/>
                <w:sz w:val="18"/>
                <w:szCs w:val="18"/>
              </w:rPr>
              <w:t>第六十七条第一款　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w:t>
            </w:r>
          </w:p>
          <w:p w14:paraId="6385027A">
            <w:pPr>
              <w:spacing w:line="24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投标人有下列行为之一的，属于招标投标法第五十三条规定的情节严重行为，由有关行政监督部门取消其</w:t>
            </w:r>
            <w:r>
              <w:rPr>
                <w:color w:val="000000"/>
                <w:kern w:val="0"/>
                <w:sz w:val="18"/>
                <w:szCs w:val="18"/>
              </w:rPr>
              <w:t>1</w:t>
            </w:r>
            <w:r>
              <w:rPr>
                <w:rFonts w:hint="eastAsia"/>
                <w:color w:val="000000"/>
                <w:kern w:val="0"/>
                <w:sz w:val="18"/>
                <w:szCs w:val="18"/>
              </w:rPr>
              <w:t>年至</w:t>
            </w:r>
            <w:r>
              <w:rPr>
                <w:color w:val="000000"/>
                <w:kern w:val="0"/>
                <w:sz w:val="18"/>
                <w:szCs w:val="18"/>
              </w:rPr>
              <w:t>2</w:t>
            </w:r>
            <w:r>
              <w:rPr>
                <w:rFonts w:hint="eastAsia"/>
                <w:color w:val="000000"/>
                <w:kern w:val="0"/>
                <w:sz w:val="18"/>
                <w:szCs w:val="18"/>
              </w:rPr>
              <w:t>年内参加依法必须进行招标的项目的投标资格：</w:t>
            </w:r>
          </w:p>
          <w:p w14:paraId="70586961">
            <w:pPr>
              <w:spacing w:line="240" w:lineRule="exact"/>
              <w:jc w:val="left"/>
              <w:rPr>
                <w:color w:val="000000"/>
                <w:kern w:val="0"/>
                <w:sz w:val="18"/>
                <w:szCs w:val="18"/>
              </w:rPr>
            </w:pPr>
            <w:r>
              <w:rPr>
                <w:rFonts w:hint="eastAsia"/>
                <w:color w:val="000000"/>
                <w:kern w:val="0"/>
                <w:sz w:val="18"/>
                <w:szCs w:val="18"/>
              </w:rPr>
              <w:t>（一）以行贿谋取中标；</w:t>
            </w:r>
          </w:p>
          <w:p w14:paraId="1E9B3703">
            <w:pPr>
              <w:spacing w:line="240" w:lineRule="exact"/>
              <w:jc w:val="left"/>
              <w:rPr>
                <w:color w:val="000000"/>
                <w:kern w:val="0"/>
                <w:sz w:val="18"/>
                <w:szCs w:val="18"/>
              </w:rPr>
            </w:pPr>
            <w:r>
              <w:rPr>
                <w:rFonts w:hint="eastAsia"/>
                <w:color w:val="000000"/>
                <w:kern w:val="0"/>
                <w:sz w:val="18"/>
                <w:szCs w:val="18"/>
              </w:rPr>
              <w:t>（二）</w:t>
            </w:r>
            <w:r>
              <w:rPr>
                <w:color w:val="000000"/>
                <w:kern w:val="0"/>
                <w:sz w:val="18"/>
                <w:szCs w:val="18"/>
              </w:rPr>
              <w:t>3</w:t>
            </w:r>
            <w:r>
              <w:rPr>
                <w:rFonts w:hint="eastAsia"/>
                <w:color w:val="000000"/>
                <w:kern w:val="0"/>
                <w:sz w:val="18"/>
                <w:szCs w:val="18"/>
              </w:rPr>
              <w:t>年内</w:t>
            </w:r>
            <w:r>
              <w:rPr>
                <w:color w:val="000000"/>
                <w:kern w:val="0"/>
                <w:sz w:val="18"/>
                <w:szCs w:val="18"/>
              </w:rPr>
              <w:t>2</w:t>
            </w:r>
            <w:r>
              <w:rPr>
                <w:rFonts w:hint="eastAsia"/>
                <w:color w:val="000000"/>
                <w:kern w:val="0"/>
                <w:sz w:val="18"/>
                <w:szCs w:val="18"/>
              </w:rPr>
              <w:t>次以上串通投标；</w:t>
            </w:r>
          </w:p>
          <w:p w14:paraId="23F65665">
            <w:pPr>
              <w:spacing w:line="240" w:lineRule="exact"/>
              <w:jc w:val="left"/>
              <w:rPr>
                <w:color w:val="000000"/>
                <w:kern w:val="0"/>
                <w:sz w:val="18"/>
                <w:szCs w:val="18"/>
              </w:rPr>
            </w:pPr>
            <w:r>
              <w:rPr>
                <w:rFonts w:hint="eastAsia"/>
                <w:color w:val="000000"/>
                <w:kern w:val="0"/>
                <w:sz w:val="18"/>
                <w:szCs w:val="18"/>
              </w:rPr>
              <w:t>（三）串通投标行为损害招标人、其他投标人或者国家、集体、公民的合法利益，造成直接经济损失</w:t>
            </w:r>
            <w:r>
              <w:rPr>
                <w:color w:val="000000"/>
                <w:kern w:val="0"/>
                <w:sz w:val="18"/>
                <w:szCs w:val="18"/>
              </w:rPr>
              <w:t>30</w:t>
            </w:r>
            <w:r>
              <w:rPr>
                <w:rFonts w:hint="eastAsia"/>
                <w:color w:val="000000"/>
                <w:kern w:val="0"/>
                <w:sz w:val="18"/>
                <w:szCs w:val="18"/>
              </w:rPr>
              <w:t>万元以上；</w:t>
            </w:r>
          </w:p>
          <w:p w14:paraId="0F07EC33">
            <w:pPr>
              <w:spacing w:line="240" w:lineRule="exact"/>
              <w:jc w:val="left"/>
              <w:rPr>
                <w:color w:val="000000"/>
                <w:kern w:val="0"/>
                <w:sz w:val="18"/>
                <w:szCs w:val="18"/>
              </w:rPr>
            </w:pPr>
            <w:r>
              <w:rPr>
                <w:rFonts w:hint="eastAsia"/>
                <w:color w:val="000000"/>
                <w:kern w:val="0"/>
                <w:sz w:val="18"/>
                <w:szCs w:val="18"/>
              </w:rPr>
              <w:t>（四）其他串通投标情节严重的行为。</w:t>
            </w:r>
          </w:p>
          <w:p w14:paraId="308C6973">
            <w:pPr>
              <w:spacing w:line="240" w:lineRule="exact"/>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2018</w:t>
            </w:r>
            <w:r>
              <w:rPr>
                <w:rFonts w:hint="eastAsia"/>
                <w:color w:val="000000"/>
                <w:kern w:val="0"/>
                <w:sz w:val="18"/>
                <w:szCs w:val="18"/>
              </w:rPr>
              <w:t>年中华人民共和国住房和城乡建设部令第</w:t>
            </w:r>
            <w:r>
              <w:rPr>
                <w:color w:val="000000"/>
                <w:kern w:val="0"/>
                <w:sz w:val="18"/>
                <w:szCs w:val="18"/>
              </w:rPr>
              <w:t>45</w:t>
            </w:r>
            <w:r>
              <w:rPr>
                <w:rFonts w:hint="eastAsia"/>
                <w:color w:val="000000"/>
                <w:kern w:val="0"/>
                <w:sz w:val="18"/>
                <w:szCs w:val="18"/>
              </w:rPr>
              <w:t>号修改）</w:t>
            </w:r>
          </w:p>
          <w:p w14:paraId="424DDB46">
            <w:pPr>
              <w:spacing w:line="24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企业申请建筑业企业资质升级、资质增项，在申请之日起前一年至资质许可决定作出前，有下列情形之一的，资质许可机关不予批准其建筑业企业资质升级申请和增项申请：</w:t>
            </w:r>
          </w:p>
          <w:p w14:paraId="31E3548B">
            <w:pPr>
              <w:spacing w:line="240" w:lineRule="exact"/>
              <w:jc w:val="left"/>
              <w:rPr>
                <w:color w:val="000000"/>
                <w:kern w:val="0"/>
                <w:sz w:val="18"/>
                <w:szCs w:val="18"/>
              </w:rPr>
            </w:pPr>
            <w:r>
              <w:rPr>
                <w:rFonts w:hint="eastAsia"/>
                <w:color w:val="000000"/>
                <w:kern w:val="0"/>
                <w:sz w:val="18"/>
                <w:szCs w:val="18"/>
              </w:rPr>
              <w:t>（二）与建设单位或企业之间相互串通投标，或以行贿等不正当手段谋取中标的；</w:t>
            </w:r>
          </w:p>
          <w:p w14:paraId="1C95B5C5">
            <w:pPr>
              <w:spacing w:line="24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14:paraId="1B5EF34B">
            <w:pPr>
              <w:spacing w:line="240" w:lineRule="exact"/>
              <w:jc w:val="left"/>
              <w:rPr>
                <w:color w:val="000000"/>
                <w:kern w:val="0"/>
                <w:sz w:val="18"/>
                <w:szCs w:val="18"/>
              </w:rPr>
            </w:pP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【规章】《工程建设项目施工招标投标办法》（国家发展和改革委员会、工业和信息化部、财政部、住房和城乡建设部、交通运输部、铁道部、水利部、国家广播电影电视总局、中国民用航空局令第</w:t>
            </w:r>
            <w:r>
              <w:rPr>
                <w:color w:val="000000"/>
                <w:kern w:val="0"/>
                <w:sz w:val="18"/>
                <w:szCs w:val="18"/>
              </w:rPr>
              <w:t>30</w:t>
            </w:r>
            <w:r>
              <w:rPr>
                <w:rFonts w:hint="eastAsia"/>
                <w:color w:val="000000"/>
                <w:kern w:val="0"/>
                <w:sz w:val="18"/>
                <w:szCs w:val="18"/>
              </w:rPr>
              <w:t>号，已根据《关于废止和修改部分招标投标规章和规范性文件的决定》修改）</w:t>
            </w:r>
          </w:p>
          <w:p w14:paraId="6175E1B4">
            <w:pPr>
              <w:spacing w:line="240" w:lineRule="exact"/>
              <w:ind w:firstLine="360"/>
              <w:jc w:val="left"/>
              <w:rPr>
                <w:color w:val="000000"/>
                <w:kern w:val="0"/>
                <w:sz w:val="18"/>
                <w:szCs w:val="18"/>
              </w:rPr>
            </w:pPr>
            <w:r>
              <w:rPr>
                <w:rFonts w:hint="eastAsia"/>
                <w:color w:val="000000"/>
                <w:kern w:val="0"/>
                <w:sz w:val="18"/>
                <w:szCs w:val="18"/>
              </w:rPr>
              <w:t>第七十四条</w:t>
            </w:r>
            <w:r>
              <w:rPr>
                <w:color w:val="000000"/>
                <w:kern w:val="0"/>
                <w:sz w:val="18"/>
                <w:szCs w:val="18"/>
              </w:rPr>
              <w:t xml:space="preserve"> </w:t>
            </w:r>
            <w:r>
              <w:rPr>
                <w:rFonts w:hint="eastAsia"/>
                <w:color w:val="000000"/>
                <w:kern w:val="0"/>
                <w:sz w:val="18"/>
                <w:szCs w:val="18"/>
              </w:rPr>
              <w:t>投标人相互串通投标或者与招标人串通投标的，投标人以向招标人或者评标委员会成员行贿的手段谋取中标的，中标无效，由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二年的投标资格，并予以公告，直至由工商行政管理机关吊销营业执照；构成犯罪的，依法追究刑事责任。给他人造成损失的，依法承担赔偿责任。投标人未中标的，对单位的罚款金额按照招标项目合同金额依照招标投标法规定的比例计算。</w:t>
            </w:r>
          </w:p>
          <w:p w14:paraId="4E21B075">
            <w:pPr>
              <w:spacing w:line="240" w:lineRule="exact"/>
              <w:ind w:firstLine="360"/>
              <w:jc w:val="left"/>
              <w:rPr>
                <w:color w:val="000000"/>
                <w:kern w:val="0"/>
                <w:sz w:val="18"/>
                <w:szCs w:val="18"/>
              </w:rPr>
            </w:pPr>
          </w:p>
          <w:p w14:paraId="0EEFC816">
            <w:pPr>
              <w:spacing w:line="240" w:lineRule="exact"/>
              <w:ind w:firstLine="360"/>
              <w:jc w:val="left"/>
              <w:rPr>
                <w:color w:val="000000"/>
                <w:kern w:val="0"/>
                <w:sz w:val="18"/>
                <w:szCs w:val="18"/>
              </w:rPr>
            </w:pPr>
          </w:p>
        </w:tc>
      </w:tr>
      <w:tr w14:paraId="355D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0" w:type="dxa"/>
            <w:vAlign w:val="center"/>
          </w:tcPr>
          <w:p w14:paraId="411C3E78">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vAlign w:val="center"/>
          </w:tcPr>
          <w:p w14:paraId="33EC8E65">
            <w:pPr>
              <w:spacing w:line="240" w:lineRule="exact"/>
              <w:jc w:val="left"/>
              <w:rPr>
                <w:color w:val="000000"/>
                <w:kern w:val="0"/>
                <w:sz w:val="18"/>
                <w:szCs w:val="18"/>
              </w:rPr>
            </w:pPr>
            <w:r>
              <w:rPr>
                <w:rFonts w:hint="eastAsia"/>
                <w:color w:val="000000"/>
                <w:kern w:val="0"/>
                <w:sz w:val="18"/>
                <w:szCs w:val="18"/>
              </w:rPr>
              <w:t>警告，罚款，没收违法所得，取消其一年至二年内参加依法必须进行招标的项目的投标资格</w:t>
            </w:r>
          </w:p>
        </w:tc>
      </w:tr>
      <w:tr w14:paraId="08E3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030" w:type="dxa"/>
            <w:gridSpan w:val="4"/>
            <w:vAlign w:val="center"/>
          </w:tcPr>
          <w:p w14:paraId="00EB1EF7">
            <w:pPr>
              <w:spacing w:line="240" w:lineRule="exact"/>
              <w:jc w:val="center"/>
              <w:rPr>
                <w:color w:val="000000"/>
                <w:kern w:val="0"/>
                <w:sz w:val="18"/>
                <w:szCs w:val="18"/>
              </w:rPr>
            </w:pPr>
            <w:r>
              <w:rPr>
                <w:rFonts w:hint="eastAsia"/>
                <w:color w:val="000000"/>
                <w:kern w:val="0"/>
                <w:sz w:val="18"/>
                <w:szCs w:val="18"/>
              </w:rPr>
              <w:t>裁量基准</w:t>
            </w:r>
          </w:p>
        </w:tc>
      </w:tr>
      <w:tr w14:paraId="5B2E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0" w:type="dxa"/>
            <w:vMerge w:val="restart"/>
            <w:vAlign w:val="center"/>
          </w:tcPr>
          <w:p w14:paraId="4BDCB08F">
            <w:pPr>
              <w:spacing w:line="240" w:lineRule="exact"/>
              <w:jc w:val="left"/>
              <w:rPr>
                <w:color w:val="000000"/>
                <w:kern w:val="0"/>
                <w:sz w:val="18"/>
                <w:szCs w:val="18"/>
              </w:rPr>
            </w:pPr>
            <w:r>
              <w:rPr>
                <w:rFonts w:hint="eastAsia"/>
                <w:color w:val="000000"/>
                <w:kern w:val="0"/>
                <w:sz w:val="18"/>
                <w:szCs w:val="18"/>
              </w:rPr>
              <w:t>情形描述</w:t>
            </w:r>
          </w:p>
        </w:tc>
        <w:tc>
          <w:tcPr>
            <w:tcW w:w="6140" w:type="dxa"/>
            <w:vAlign w:val="center"/>
          </w:tcPr>
          <w:p w14:paraId="6E971279">
            <w:pPr>
              <w:spacing w:line="240" w:lineRule="exact"/>
              <w:jc w:val="left"/>
              <w:rPr>
                <w:color w:val="000000"/>
                <w:kern w:val="0"/>
                <w:sz w:val="18"/>
                <w:szCs w:val="18"/>
              </w:rPr>
            </w:pPr>
            <w:r>
              <w:rPr>
                <w:rFonts w:hint="eastAsia"/>
                <w:color w:val="000000"/>
                <w:kern w:val="0"/>
                <w:sz w:val="18"/>
                <w:szCs w:val="18"/>
              </w:rPr>
              <w:t>投标人相互串通投标或者与招标人串通投标的，不构成情节严重的</w:t>
            </w:r>
          </w:p>
        </w:tc>
        <w:tc>
          <w:tcPr>
            <w:tcW w:w="1106" w:type="dxa"/>
            <w:vMerge w:val="restart"/>
            <w:vAlign w:val="center"/>
          </w:tcPr>
          <w:p w14:paraId="34D0E9A9">
            <w:pPr>
              <w:spacing w:line="240" w:lineRule="exact"/>
              <w:jc w:val="left"/>
              <w:rPr>
                <w:color w:val="000000"/>
                <w:kern w:val="0"/>
                <w:sz w:val="18"/>
                <w:szCs w:val="18"/>
              </w:rPr>
            </w:pPr>
            <w:r>
              <w:rPr>
                <w:rFonts w:hint="eastAsia"/>
                <w:color w:val="000000"/>
                <w:kern w:val="0"/>
                <w:sz w:val="18"/>
                <w:szCs w:val="18"/>
              </w:rPr>
              <w:t>裁量幅度</w:t>
            </w:r>
          </w:p>
        </w:tc>
        <w:tc>
          <w:tcPr>
            <w:tcW w:w="5714" w:type="dxa"/>
            <w:vAlign w:val="center"/>
          </w:tcPr>
          <w:p w14:paraId="588BA9EE">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5‰~6‰</w:t>
            </w:r>
            <w:r>
              <w:rPr>
                <w:rFonts w:hint="eastAsia"/>
                <w:color w:val="000000"/>
                <w:kern w:val="0"/>
                <w:sz w:val="18"/>
                <w:szCs w:val="18"/>
              </w:rPr>
              <w:t>的罚款</w:t>
            </w:r>
          </w:p>
          <w:p w14:paraId="11B46A08">
            <w:pPr>
              <w:spacing w:line="24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5%~6%</w:t>
            </w:r>
            <w:r>
              <w:rPr>
                <w:rFonts w:hint="eastAsia"/>
                <w:color w:val="000000"/>
                <w:kern w:val="0"/>
                <w:sz w:val="18"/>
                <w:szCs w:val="18"/>
              </w:rPr>
              <w:t>的罚款</w:t>
            </w:r>
          </w:p>
        </w:tc>
      </w:tr>
      <w:tr w14:paraId="2589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0" w:type="dxa"/>
            <w:vMerge w:val="continue"/>
            <w:vAlign w:val="center"/>
          </w:tcPr>
          <w:p w14:paraId="64A2E92A">
            <w:pPr>
              <w:spacing w:line="240" w:lineRule="exact"/>
              <w:jc w:val="left"/>
              <w:rPr>
                <w:color w:val="000000"/>
                <w:kern w:val="0"/>
                <w:sz w:val="18"/>
                <w:szCs w:val="18"/>
              </w:rPr>
            </w:pPr>
          </w:p>
        </w:tc>
        <w:tc>
          <w:tcPr>
            <w:tcW w:w="6140" w:type="dxa"/>
            <w:vAlign w:val="center"/>
          </w:tcPr>
          <w:p w14:paraId="504B7987">
            <w:pPr>
              <w:spacing w:line="240" w:lineRule="exact"/>
              <w:jc w:val="left"/>
              <w:rPr>
                <w:color w:val="000000"/>
                <w:kern w:val="0"/>
                <w:sz w:val="18"/>
                <w:szCs w:val="18"/>
              </w:rPr>
            </w:pPr>
            <w:r>
              <w:rPr>
                <w:rFonts w:hint="eastAsia"/>
                <w:color w:val="000000"/>
                <w:kern w:val="0"/>
                <w:sz w:val="18"/>
                <w:szCs w:val="18"/>
              </w:rPr>
              <w:t>投标人相互串通投标或者与招标人串通投标的，构成情节严重的</w:t>
            </w:r>
          </w:p>
        </w:tc>
        <w:tc>
          <w:tcPr>
            <w:tcW w:w="1106" w:type="dxa"/>
            <w:vMerge w:val="continue"/>
            <w:vAlign w:val="center"/>
          </w:tcPr>
          <w:p w14:paraId="1B6B04A5">
            <w:pPr>
              <w:spacing w:line="240" w:lineRule="exact"/>
              <w:jc w:val="left"/>
              <w:rPr>
                <w:color w:val="000000"/>
                <w:kern w:val="0"/>
                <w:sz w:val="18"/>
                <w:szCs w:val="18"/>
              </w:rPr>
            </w:pPr>
          </w:p>
        </w:tc>
        <w:tc>
          <w:tcPr>
            <w:tcW w:w="5714" w:type="dxa"/>
            <w:vAlign w:val="center"/>
          </w:tcPr>
          <w:p w14:paraId="35187729">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6‰~10‰</w:t>
            </w:r>
            <w:r>
              <w:rPr>
                <w:rFonts w:hint="eastAsia"/>
                <w:color w:val="000000"/>
                <w:kern w:val="0"/>
                <w:sz w:val="18"/>
                <w:szCs w:val="18"/>
              </w:rPr>
              <w:t>的罚款</w:t>
            </w:r>
          </w:p>
          <w:p w14:paraId="011D5A12">
            <w:pPr>
              <w:spacing w:line="24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 10%</w:t>
            </w:r>
            <w:r>
              <w:rPr>
                <w:rFonts w:hint="eastAsia"/>
                <w:color w:val="000000"/>
                <w:kern w:val="0"/>
                <w:sz w:val="18"/>
                <w:szCs w:val="18"/>
              </w:rPr>
              <w:t>的罚款</w:t>
            </w:r>
          </w:p>
          <w:p w14:paraId="29F2C791">
            <w:pPr>
              <w:spacing w:line="240" w:lineRule="exact"/>
              <w:jc w:val="left"/>
              <w:rPr>
                <w:color w:val="000000"/>
                <w:kern w:val="0"/>
                <w:sz w:val="18"/>
                <w:szCs w:val="18"/>
              </w:rPr>
            </w:pPr>
            <w:r>
              <w:rPr>
                <w:rFonts w:hint="eastAsia"/>
                <w:color w:val="000000"/>
                <w:kern w:val="0"/>
                <w:sz w:val="18"/>
                <w:szCs w:val="18"/>
              </w:rPr>
              <w:t>取消其一年至二年内参加依法必须进行招标的项目的投标资格并予以公告</w:t>
            </w:r>
          </w:p>
        </w:tc>
      </w:tr>
      <w:tr w14:paraId="0118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0" w:type="dxa"/>
            <w:vMerge w:val="continue"/>
            <w:vAlign w:val="center"/>
          </w:tcPr>
          <w:p w14:paraId="03D15851">
            <w:pPr>
              <w:spacing w:line="240" w:lineRule="exact"/>
              <w:jc w:val="left"/>
              <w:rPr>
                <w:color w:val="000000"/>
                <w:kern w:val="0"/>
                <w:sz w:val="18"/>
                <w:szCs w:val="18"/>
              </w:rPr>
            </w:pPr>
          </w:p>
        </w:tc>
        <w:tc>
          <w:tcPr>
            <w:tcW w:w="6140" w:type="dxa"/>
            <w:vAlign w:val="center"/>
          </w:tcPr>
          <w:p w14:paraId="5BB29ABD">
            <w:pPr>
              <w:spacing w:line="240" w:lineRule="exact"/>
              <w:jc w:val="left"/>
              <w:rPr>
                <w:color w:val="000000"/>
                <w:kern w:val="0"/>
                <w:sz w:val="18"/>
                <w:szCs w:val="18"/>
              </w:rPr>
            </w:pPr>
            <w:r>
              <w:rPr>
                <w:rFonts w:hint="eastAsia"/>
                <w:color w:val="000000"/>
                <w:kern w:val="0"/>
                <w:sz w:val="18"/>
                <w:szCs w:val="18"/>
              </w:rPr>
              <w:t>投标人以向招标人或者评标委员会成员行贿的手段谋取中标，不构成情节严重的</w:t>
            </w:r>
          </w:p>
        </w:tc>
        <w:tc>
          <w:tcPr>
            <w:tcW w:w="1106" w:type="dxa"/>
            <w:vMerge w:val="continue"/>
            <w:vAlign w:val="center"/>
          </w:tcPr>
          <w:p w14:paraId="315D19E4">
            <w:pPr>
              <w:spacing w:line="240" w:lineRule="exact"/>
              <w:jc w:val="left"/>
              <w:rPr>
                <w:color w:val="000000"/>
                <w:kern w:val="0"/>
                <w:sz w:val="18"/>
                <w:szCs w:val="18"/>
              </w:rPr>
            </w:pPr>
          </w:p>
        </w:tc>
        <w:tc>
          <w:tcPr>
            <w:tcW w:w="5714" w:type="dxa"/>
            <w:vAlign w:val="center"/>
          </w:tcPr>
          <w:p w14:paraId="3433B7DB">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5‰~6‰</w:t>
            </w:r>
            <w:r>
              <w:rPr>
                <w:rFonts w:hint="eastAsia"/>
                <w:color w:val="000000"/>
                <w:kern w:val="0"/>
                <w:sz w:val="18"/>
                <w:szCs w:val="18"/>
              </w:rPr>
              <w:t>的罚款</w:t>
            </w:r>
          </w:p>
          <w:p w14:paraId="5837FD5A">
            <w:pPr>
              <w:spacing w:line="24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5% ~6%</w:t>
            </w:r>
            <w:r>
              <w:rPr>
                <w:rFonts w:hint="eastAsia"/>
                <w:color w:val="000000"/>
                <w:kern w:val="0"/>
                <w:sz w:val="18"/>
                <w:szCs w:val="18"/>
              </w:rPr>
              <w:t>的罚款</w:t>
            </w:r>
          </w:p>
        </w:tc>
      </w:tr>
      <w:tr w14:paraId="1F29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0" w:type="dxa"/>
            <w:vMerge w:val="continue"/>
            <w:vAlign w:val="center"/>
          </w:tcPr>
          <w:p w14:paraId="78CDB8A4">
            <w:pPr>
              <w:spacing w:line="240" w:lineRule="exact"/>
              <w:jc w:val="left"/>
              <w:rPr>
                <w:color w:val="000000"/>
                <w:kern w:val="0"/>
                <w:sz w:val="18"/>
                <w:szCs w:val="18"/>
              </w:rPr>
            </w:pPr>
          </w:p>
        </w:tc>
        <w:tc>
          <w:tcPr>
            <w:tcW w:w="6140" w:type="dxa"/>
            <w:vAlign w:val="center"/>
          </w:tcPr>
          <w:p w14:paraId="3D012B6F">
            <w:pPr>
              <w:spacing w:line="240" w:lineRule="exact"/>
              <w:jc w:val="left"/>
              <w:rPr>
                <w:color w:val="000000"/>
                <w:kern w:val="0"/>
                <w:sz w:val="18"/>
                <w:szCs w:val="18"/>
              </w:rPr>
            </w:pPr>
            <w:r>
              <w:rPr>
                <w:rFonts w:hint="eastAsia"/>
                <w:color w:val="000000"/>
                <w:kern w:val="0"/>
                <w:sz w:val="18"/>
                <w:szCs w:val="18"/>
              </w:rPr>
              <w:t>投标人以向招标人或者评标委员会成员行贿的手段谋取中标，构成情节严重的</w:t>
            </w:r>
          </w:p>
        </w:tc>
        <w:tc>
          <w:tcPr>
            <w:tcW w:w="1106" w:type="dxa"/>
            <w:vMerge w:val="continue"/>
            <w:vAlign w:val="center"/>
          </w:tcPr>
          <w:p w14:paraId="68CDDB1E">
            <w:pPr>
              <w:spacing w:line="240" w:lineRule="exact"/>
              <w:jc w:val="left"/>
              <w:rPr>
                <w:color w:val="000000"/>
                <w:kern w:val="0"/>
                <w:sz w:val="18"/>
                <w:szCs w:val="18"/>
              </w:rPr>
            </w:pPr>
          </w:p>
        </w:tc>
        <w:tc>
          <w:tcPr>
            <w:tcW w:w="5714" w:type="dxa"/>
            <w:vAlign w:val="center"/>
          </w:tcPr>
          <w:p w14:paraId="2D86E6E2">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6‰~10‰</w:t>
            </w:r>
            <w:r>
              <w:rPr>
                <w:rFonts w:hint="eastAsia"/>
                <w:color w:val="000000"/>
                <w:kern w:val="0"/>
                <w:sz w:val="18"/>
                <w:szCs w:val="18"/>
              </w:rPr>
              <w:t>的罚款</w:t>
            </w:r>
          </w:p>
          <w:p w14:paraId="2D8A8553">
            <w:pPr>
              <w:spacing w:line="240" w:lineRule="exact"/>
              <w:jc w:val="left"/>
              <w:rPr>
                <w:color w:val="000000"/>
                <w:kern w:val="0"/>
                <w:sz w:val="18"/>
                <w:szCs w:val="18"/>
              </w:rPr>
            </w:pPr>
            <w:r>
              <w:rPr>
                <w:rFonts w:hint="eastAsia"/>
                <w:color w:val="000000"/>
                <w:kern w:val="0"/>
                <w:sz w:val="18"/>
                <w:szCs w:val="18"/>
              </w:rPr>
              <w:t>对个人：处单位罚款数额</w:t>
            </w:r>
            <w:r>
              <w:rPr>
                <w:color w:val="000000"/>
                <w:kern w:val="0"/>
                <w:sz w:val="18"/>
                <w:szCs w:val="18"/>
              </w:rPr>
              <w:t>6%~ 10%</w:t>
            </w:r>
            <w:r>
              <w:rPr>
                <w:rFonts w:hint="eastAsia"/>
                <w:color w:val="000000"/>
                <w:kern w:val="0"/>
                <w:sz w:val="18"/>
                <w:szCs w:val="18"/>
              </w:rPr>
              <w:t>的罚款</w:t>
            </w:r>
          </w:p>
          <w:p w14:paraId="58F3CF4D">
            <w:pPr>
              <w:spacing w:line="240" w:lineRule="exact"/>
              <w:jc w:val="left"/>
              <w:rPr>
                <w:color w:val="000000"/>
                <w:kern w:val="0"/>
                <w:sz w:val="18"/>
                <w:szCs w:val="18"/>
              </w:rPr>
            </w:pPr>
            <w:r>
              <w:rPr>
                <w:rFonts w:hint="eastAsia"/>
                <w:color w:val="000000"/>
                <w:kern w:val="0"/>
                <w:sz w:val="18"/>
                <w:szCs w:val="18"/>
              </w:rPr>
              <w:t>取消其一年至二年内参加依法必须进行招标的项目的投标资格并予以公告，责令停业整顿，降低资质等级或者吊销资质证书</w:t>
            </w:r>
          </w:p>
          <w:p w14:paraId="1D698425">
            <w:pPr>
              <w:spacing w:line="240" w:lineRule="exact"/>
              <w:jc w:val="left"/>
              <w:rPr>
                <w:color w:val="000000"/>
                <w:kern w:val="0"/>
                <w:sz w:val="18"/>
                <w:szCs w:val="18"/>
              </w:rPr>
            </w:pPr>
            <w:r>
              <w:rPr>
                <w:rFonts w:hint="eastAsia"/>
                <w:color w:val="000000"/>
                <w:kern w:val="0"/>
                <w:sz w:val="18"/>
                <w:szCs w:val="18"/>
              </w:rPr>
              <w:t>对工程的承包单位可以责令停业整顿，降低资质等级或者吊销资质证书</w:t>
            </w:r>
          </w:p>
        </w:tc>
      </w:tr>
    </w:tbl>
    <w:p w14:paraId="7C0C0801"/>
    <w:p w14:paraId="2C8AC177"/>
    <w:p w14:paraId="201E30EF"/>
    <w:p w14:paraId="0F1DC8EC"/>
    <w:p w14:paraId="7AC74FAF"/>
    <w:p w14:paraId="0A45A271"/>
    <w:p w14:paraId="49A2B280"/>
    <w:p w14:paraId="7C4BE24D"/>
    <w:p w14:paraId="3080401D"/>
    <w:p w14:paraId="08596D25"/>
    <w:tbl>
      <w:tblPr>
        <w:tblStyle w:val="15"/>
        <w:tblW w:w="0" w:type="auto"/>
        <w:tblInd w:w="88" w:type="dxa"/>
        <w:tblLayout w:type="fixed"/>
        <w:tblCellMar>
          <w:top w:w="0" w:type="dxa"/>
          <w:left w:w="108" w:type="dxa"/>
          <w:bottom w:w="0" w:type="dxa"/>
          <w:right w:w="108" w:type="dxa"/>
        </w:tblCellMar>
      </w:tblPr>
      <w:tblGrid>
        <w:gridCol w:w="980"/>
        <w:gridCol w:w="6140"/>
        <w:gridCol w:w="1016"/>
        <w:gridCol w:w="5880"/>
      </w:tblGrid>
      <w:tr w14:paraId="45FA76BC">
        <w:tblPrEx>
          <w:tblCellMar>
            <w:top w:w="0" w:type="dxa"/>
            <w:left w:w="108" w:type="dxa"/>
            <w:bottom w:w="0" w:type="dxa"/>
            <w:right w:w="108" w:type="dxa"/>
          </w:tblCellMar>
        </w:tblPrEx>
        <w:trPr>
          <w:trHeight w:val="285" w:hRule="atLeast"/>
        </w:trPr>
        <w:tc>
          <w:tcPr>
            <w:tcW w:w="980" w:type="dxa"/>
            <w:tcBorders>
              <w:top w:val="single" w:color="auto" w:sz="8" w:space="0"/>
              <w:left w:val="single" w:color="auto" w:sz="8" w:space="0"/>
              <w:bottom w:val="single" w:color="auto" w:sz="4" w:space="0"/>
              <w:right w:val="single" w:color="auto" w:sz="4" w:space="0"/>
            </w:tcBorders>
            <w:vAlign w:val="center"/>
          </w:tcPr>
          <w:p w14:paraId="48CC6973">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color="auto" w:sz="8" w:space="0"/>
              <w:left w:val="nil"/>
              <w:bottom w:val="single" w:color="auto" w:sz="4" w:space="0"/>
              <w:right w:val="single" w:color="000000" w:sz="8" w:space="0"/>
            </w:tcBorders>
            <w:vAlign w:val="center"/>
          </w:tcPr>
          <w:p w14:paraId="3653547A">
            <w:pPr>
              <w:spacing w:line="320" w:lineRule="exact"/>
              <w:jc w:val="left"/>
              <w:rPr>
                <w:b/>
                <w:color w:val="000000"/>
                <w:kern w:val="0"/>
                <w:sz w:val="18"/>
                <w:szCs w:val="18"/>
              </w:rPr>
            </w:pPr>
            <w:r>
              <w:rPr>
                <w:b/>
                <w:color w:val="000000"/>
                <w:kern w:val="0"/>
                <w:sz w:val="18"/>
                <w:szCs w:val="18"/>
              </w:rPr>
              <w:t>320217696000</w:t>
            </w:r>
          </w:p>
        </w:tc>
      </w:tr>
      <w:tr w14:paraId="3E459DEB">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6570505C">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color="auto" w:sz="4" w:space="0"/>
              <w:left w:val="nil"/>
              <w:bottom w:val="single" w:color="auto" w:sz="4" w:space="0"/>
              <w:right w:val="single" w:color="000000" w:sz="8" w:space="0"/>
            </w:tcBorders>
            <w:vAlign w:val="center"/>
          </w:tcPr>
          <w:p w14:paraId="4E2C65F7">
            <w:pPr>
              <w:spacing w:line="320" w:lineRule="exact"/>
              <w:jc w:val="left"/>
              <w:rPr>
                <w:color w:val="000000"/>
                <w:kern w:val="0"/>
                <w:sz w:val="18"/>
                <w:szCs w:val="18"/>
              </w:rPr>
            </w:pPr>
            <w:r>
              <w:rPr>
                <w:rFonts w:hint="eastAsia"/>
                <w:color w:val="000000"/>
                <w:kern w:val="0"/>
                <w:sz w:val="18"/>
                <w:szCs w:val="18"/>
              </w:rPr>
              <w:t>对不服从公共绿地管理单位管理的商业、服务摊点的处罚</w:t>
            </w:r>
          </w:p>
        </w:tc>
      </w:tr>
      <w:tr w14:paraId="471B71BB">
        <w:tblPrEx>
          <w:tblCellMar>
            <w:top w:w="0" w:type="dxa"/>
            <w:left w:w="108" w:type="dxa"/>
            <w:bottom w:w="0" w:type="dxa"/>
            <w:right w:w="108" w:type="dxa"/>
          </w:tblCellMar>
        </w:tblPrEx>
        <w:trPr>
          <w:trHeight w:val="1035" w:hRule="atLeast"/>
        </w:trPr>
        <w:tc>
          <w:tcPr>
            <w:tcW w:w="980" w:type="dxa"/>
            <w:tcBorders>
              <w:top w:val="nil"/>
              <w:left w:val="single" w:color="auto" w:sz="8" w:space="0"/>
              <w:bottom w:val="single" w:color="auto" w:sz="4" w:space="0"/>
              <w:right w:val="single" w:color="auto" w:sz="4" w:space="0"/>
            </w:tcBorders>
            <w:vAlign w:val="center"/>
          </w:tcPr>
          <w:p w14:paraId="61B26FFD">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color="auto" w:sz="4" w:space="0"/>
              <w:left w:val="nil"/>
              <w:bottom w:val="single" w:color="auto" w:sz="4" w:space="0"/>
              <w:right w:val="single" w:color="000000" w:sz="8" w:space="0"/>
            </w:tcBorders>
            <w:vAlign w:val="center"/>
          </w:tcPr>
          <w:p w14:paraId="7884EEDC">
            <w:pPr>
              <w:spacing w:line="320" w:lineRule="exact"/>
              <w:jc w:val="left"/>
              <w:rPr>
                <w:color w:val="000000"/>
                <w:kern w:val="0"/>
                <w:sz w:val="18"/>
                <w:szCs w:val="18"/>
              </w:rPr>
            </w:pPr>
            <w:r>
              <w:rPr>
                <w:rFonts w:hint="eastAsia"/>
                <w:color w:val="000000"/>
                <w:kern w:val="0"/>
                <w:sz w:val="18"/>
                <w:szCs w:val="18"/>
              </w:rPr>
              <w:t>【行政法规】《城市绿化条例》（1992年6月22日国务院令第100号发布，根据国务院令第588号、国务院令第676号修订）</w:t>
            </w:r>
          </w:p>
          <w:p w14:paraId="7C4095E2">
            <w:pPr>
              <w:spacing w:line="320" w:lineRule="exact"/>
              <w:jc w:val="left"/>
              <w:rPr>
                <w:color w:val="000000"/>
                <w:kern w:val="0"/>
                <w:sz w:val="18"/>
                <w:szCs w:val="18"/>
              </w:rPr>
            </w:pPr>
            <w:r>
              <w:rPr>
                <w:rFonts w:hint="eastAsia"/>
                <w:color w:val="000000"/>
                <w:kern w:val="0"/>
                <w:sz w:val="18"/>
                <w:szCs w:val="18"/>
              </w:rPr>
              <w:t xml:space="preserve">        第二十八条 对不服从公共绿地管理单位管理的商业、服务摊点，由城市人民政府城市绿化行政主管部门或者其授权的单位给予警告，可以并处罚款；情节严重的，可以提请工商行政管理部门吊销营业执照。                                              </w:t>
            </w:r>
          </w:p>
          <w:p w14:paraId="62A8019A">
            <w:pPr>
              <w:spacing w:line="320" w:lineRule="exact"/>
              <w:jc w:val="left"/>
              <w:rPr>
                <w:color w:val="000000"/>
                <w:kern w:val="0"/>
                <w:sz w:val="18"/>
                <w:szCs w:val="18"/>
              </w:rPr>
            </w:pPr>
            <w:r>
              <w:rPr>
                <w:rFonts w:hint="eastAsia"/>
                <w:color w:val="000000"/>
                <w:kern w:val="0"/>
                <w:sz w:val="18"/>
                <w:szCs w:val="18"/>
              </w:rPr>
              <w:t xml:space="preserve"> 【地方性法规】《江苏省城市绿化管理条例》               　</w:t>
            </w:r>
          </w:p>
          <w:p w14:paraId="6AEF441F">
            <w:pPr>
              <w:spacing w:line="320" w:lineRule="exact"/>
              <w:jc w:val="left"/>
              <w:rPr>
                <w:color w:val="000000"/>
                <w:kern w:val="0"/>
                <w:sz w:val="18"/>
                <w:szCs w:val="18"/>
              </w:rPr>
            </w:pPr>
            <w:r>
              <w:rPr>
                <w:rFonts w:hint="eastAsia"/>
                <w:color w:val="000000"/>
                <w:kern w:val="0"/>
                <w:sz w:val="18"/>
                <w:szCs w:val="18"/>
              </w:rPr>
              <w:t xml:space="preserve">        第十九条　在城市公共绿地开设商业服务摊点的，必须持工商行政管理部门核发的营业执照，在公共绿地管理单位指定地点从事经营活动，并遵守公共绿地和工商行政管理的规定。 </w:t>
            </w:r>
          </w:p>
          <w:p w14:paraId="33873835">
            <w:pPr>
              <w:spacing w:line="320" w:lineRule="exact"/>
              <w:jc w:val="left"/>
              <w:rPr>
                <w:color w:val="000000"/>
                <w:kern w:val="0"/>
                <w:sz w:val="18"/>
                <w:szCs w:val="18"/>
              </w:rPr>
            </w:pPr>
            <w:r>
              <w:rPr>
                <w:rFonts w:hint="eastAsia"/>
                <w:color w:val="000000"/>
                <w:kern w:val="0"/>
                <w:sz w:val="18"/>
                <w:szCs w:val="18"/>
              </w:rPr>
              <w:t xml:space="preserve">        第二十五条　对不服从公共绿地管理单位管理的商业、服务摊点，由城市人民政府建设（园林）行政主管部门给予警告，可以并处一千元以上五千元以下的罚款；情节严重的，可以提请工商行政管理部门吊销营业执照。</w:t>
            </w:r>
          </w:p>
        </w:tc>
      </w:tr>
      <w:tr w14:paraId="41C5DDBB">
        <w:tblPrEx>
          <w:tblCellMar>
            <w:top w:w="0" w:type="dxa"/>
            <w:left w:w="108" w:type="dxa"/>
            <w:bottom w:w="0" w:type="dxa"/>
            <w:right w:w="108" w:type="dxa"/>
          </w:tblCellMar>
        </w:tblPrEx>
        <w:trPr>
          <w:trHeight w:val="285" w:hRule="atLeast"/>
        </w:trPr>
        <w:tc>
          <w:tcPr>
            <w:tcW w:w="980" w:type="dxa"/>
            <w:tcBorders>
              <w:top w:val="nil"/>
              <w:left w:val="single" w:color="auto" w:sz="8" w:space="0"/>
              <w:bottom w:val="single" w:color="auto" w:sz="4" w:space="0"/>
              <w:right w:val="single" w:color="auto" w:sz="4" w:space="0"/>
            </w:tcBorders>
            <w:vAlign w:val="center"/>
          </w:tcPr>
          <w:p w14:paraId="63E7D270">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color="auto" w:sz="4" w:space="0"/>
              <w:left w:val="nil"/>
              <w:bottom w:val="single" w:color="auto" w:sz="4" w:space="0"/>
              <w:right w:val="single" w:color="000000" w:sz="8" w:space="0"/>
            </w:tcBorders>
            <w:vAlign w:val="center"/>
          </w:tcPr>
          <w:p w14:paraId="1237CD8A">
            <w:pPr>
              <w:spacing w:line="320" w:lineRule="exact"/>
              <w:jc w:val="left"/>
              <w:rPr>
                <w:color w:val="000000"/>
                <w:kern w:val="0"/>
                <w:sz w:val="18"/>
                <w:szCs w:val="18"/>
              </w:rPr>
            </w:pPr>
            <w:r>
              <w:rPr>
                <w:rFonts w:hint="eastAsia"/>
                <w:color w:val="000000"/>
                <w:kern w:val="0"/>
                <w:sz w:val="18"/>
                <w:szCs w:val="18"/>
              </w:rPr>
              <w:t>罚款</w:t>
            </w:r>
          </w:p>
        </w:tc>
      </w:tr>
      <w:tr w14:paraId="2B7C30CF">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415674A4">
            <w:pPr>
              <w:spacing w:line="320" w:lineRule="exact"/>
              <w:jc w:val="center"/>
              <w:rPr>
                <w:color w:val="000000"/>
                <w:kern w:val="0"/>
                <w:sz w:val="18"/>
                <w:szCs w:val="18"/>
              </w:rPr>
            </w:pPr>
            <w:r>
              <w:rPr>
                <w:rFonts w:hint="eastAsia"/>
                <w:color w:val="000000"/>
                <w:kern w:val="0"/>
                <w:sz w:val="18"/>
                <w:szCs w:val="18"/>
              </w:rPr>
              <w:t>裁量基准</w:t>
            </w:r>
          </w:p>
        </w:tc>
      </w:tr>
      <w:tr w14:paraId="4501DFE7">
        <w:tblPrEx>
          <w:tblCellMar>
            <w:top w:w="0" w:type="dxa"/>
            <w:left w:w="108" w:type="dxa"/>
            <w:bottom w:w="0" w:type="dxa"/>
            <w:right w:w="108" w:type="dxa"/>
          </w:tblCellMar>
        </w:tblPrEx>
        <w:trPr>
          <w:trHeight w:val="373" w:hRule="atLeast"/>
        </w:trPr>
        <w:tc>
          <w:tcPr>
            <w:tcW w:w="980" w:type="dxa"/>
            <w:vMerge w:val="restart"/>
            <w:tcBorders>
              <w:top w:val="nil"/>
              <w:left w:val="single" w:color="auto" w:sz="8" w:space="0"/>
              <w:bottom w:val="single" w:color="auto" w:sz="4" w:space="0"/>
              <w:right w:val="single" w:color="auto" w:sz="4" w:space="0"/>
            </w:tcBorders>
            <w:vAlign w:val="center"/>
          </w:tcPr>
          <w:p w14:paraId="0B8EF996">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3CB35BA">
            <w:pPr>
              <w:spacing w:line="320" w:lineRule="exact"/>
              <w:jc w:val="left"/>
              <w:rPr>
                <w:color w:val="000000"/>
                <w:kern w:val="0"/>
                <w:sz w:val="18"/>
                <w:szCs w:val="18"/>
              </w:rPr>
            </w:pPr>
            <w:r>
              <w:rPr>
                <w:rFonts w:hint="eastAsia"/>
                <w:color w:val="000000"/>
                <w:kern w:val="0"/>
                <w:sz w:val="18"/>
                <w:szCs w:val="18"/>
              </w:rPr>
              <w:t>按要求整改的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124AB011">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color="auto" w:sz="4" w:space="0"/>
              <w:left w:val="nil"/>
              <w:bottom w:val="single" w:color="auto" w:sz="4" w:space="0"/>
              <w:right w:val="single" w:color="auto" w:sz="4" w:space="0"/>
            </w:tcBorders>
            <w:vAlign w:val="center"/>
          </w:tcPr>
          <w:p w14:paraId="66DA643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5FDCF086">
        <w:tblPrEx>
          <w:tblCellMar>
            <w:top w:w="0" w:type="dxa"/>
            <w:left w:w="108" w:type="dxa"/>
            <w:bottom w:w="0" w:type="dxa"/>
            <w:right w:w="108" w:type="dxa"/>
          </w:tblCellMar>
        </w:tblPrEx>
        <w:trPr>
          <w:trHeight w:val="285" w:hRule="atLeast"/>
        </w:trPr>
        <w:tc>
          <w:tcPr>
            <w:tcW w:w="980" w:type="dxa"/>
            <w:vMerge w:val="continue"/>
            <w:tcBorders>
              <w:top w:val="nil"/>
              <w:left w:val="single" w:color="auto" w:sz="8" w:space="0"/>
              <w:bottom w:val="single" w:color="auto" w:sz="4" w:space="0"/>
              <w:right w:val="single" w:color="auto" w:sz="4" w:space="0"/>
            </w:tcBorders>
            <w:vAlign w:val="center"/>
          </w:tcPr>
          <w:p w14:paraId="0315163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91ADB3D">
            <w:pPr>
              <w:spacing w:line="320" w:lineRule="exact"/>
              <w:jc w:val="left"/>
              <w:rPr>
                <w:color w:val="000000"/>
                <w:kern w:val="0"/>
                <w:sz w:val="18"/>
                <w:szCs w:val="18"/>
              </w:rPr>
            </w:pPr>
            <w:r>
              <w:rPr>
                <w:rFonts w:hint="eastAsia"/>
                <w:color w:val="000000"/>
                <w:kern w:val="0"/>
                <w:sz w:val="18"/>
                <w:szCs w:val="18"/>
              </w:rPr>
              <w:t>未按要求整改的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0A514BAA">
            <w:pPr>
              <w:spacing w:line="320" w:lineRule="exact"/>
              <w:jc w:val="left"/>
              <w:rPr>
                <w:color w:val="000000"/>
                <w:kern w:val="0"/>
                <w:sz w:val="18"/>
                <w:szCs w:val="18"/>
              </w:rPr>
            </w:pPr>
          </w:p>
        </w:tc>
        <w:tc>
          <w:tcPr>
            <w:tcW w:w="5880" w:type="dxa"/>
            <w:tcBorders>
              <w:top w:val="single" w:color="auto" w:sz="4" w:space="0"/>
              <w:left w:val="nil"/>
              <w:bottom w:val="single" w:color="auto" w:sz="4" w:space="0"/>
              <w:right w:val="single" w:color="auto" w:sz="4" w:space="0"/>
            </w:tcBorders>
            <w:vAlign w:val="center"/>
          </w:tcPr>
          <w:p w14:paraId="05711C3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292FD602"/>
    <w:p w14:paraId="6B025F37"/>
    <w:p w14:paraId="748B6FD7"/>
    <w:p w14:paraId="6DCB7FFC"/>
    <w:p w14:paraId="60536779"/>
    <w:p w14:paraId="37144CC8"/>
    <w:p w14:paraId="2B50C22E"/>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3A85EBEA">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63FD4DD9">
            <w:pPr>
              <w:spacing w:line="24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35875B88">
            <w:pPr>
              <w:spacing w:line="240" w:lineRule="exact"/>
              <w:jc w:val="left"/>
              <w:rPr>
                <w:rFonts w:eastAsia="仿宋_GB2312"/>
                <w:b/>
                <w:bCs/>
                <w:color w:val="000000"/>
                <w:kern w:val="0"/>
                <w:sz w:val="18"/>
                <w:szCs w:val="18"/>
              </w:rPr>
            </w:pPr>
            <w:r>
              <w:rPr>
                <w:rFonts w:eastAsia="仿宋_GB2312"/>
                <w:b/>
                <w:bCs/>
                <w:color w:val="000000"/>
                <w:kern w:val="0"/>
                <w:sz w:val="18"/>
                <w:szCs w:val="18"/>
              </w:rPr>
              <w:t>320217698000</w:t>
            </w:r>
            <w:r>
              <w:rPr>
                <w:rFonts w:hint="eastAsia" w:eastAsia="仿宋_GB2312"/>
                <w:b/>
                <w:bCs/>
                <w:color w:val="000000"/>
                <w:kern w:val="0"/>
                <w:sz w:val="18"/>
                <w:szCs w:val="18"/>
              </w:rPr>
              <w:t xml:space="preserve"> </w:t>
            </w:r>
          </w:p>
        </w:tc>
      </w:tr>
      <w:tr w14:paraId="7718DFAF">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3BE44288">
            <w:pPr>
              <w:spacing w:line="24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4DE7EEDC">
            <w:pPr>
              <w:spacing w:line="240" w:lineRule="exact"/>
              <w:jc w:val="left"/>
              <w:rPr>
                <w:color w:val="000000"/>
                <w:kern w:val="0"/>
                <w:sz w:val="18"/>
                <w:szCs w:val="18"/>
              </w:rPr>
            </w:pPr>
            <w:r>
              <w:rPr>
                <w:rFonts w:hint="eastAsia"/>
                <w:color w:val="000000"/>
                <w:kern w:val="0"/>
                <w:sz w:val="18"/>
                <w:szCs w:val="18"/>
              </w:rPr>
              <w:t>对工程监理单位未对施工组织设计中的安全技术措施或者专项施工方案进行审查的处罚</w:t>
            </w:r>
          </w:p>
        </w:tc>
      </w:tr>
      <w:tr w14:paraId="207CF2A2">
        <w:tblPrEx>
          <w:tblCellMar>
            <w:top w:w="0" w:type="dxa"/>
            <w:left w:w="108" w:type="dxa"/>
            <w:bottom w:w="0" w:type="dxa"/>
            <w:right w:w="108" w:type="dxa"/>
          </w:tblCellMar>
        </w:tblPrEx>
        <w:trPr>
          <w:trHeight w:val="1196" w:hRule="atLeast"/>
        </w:trPr>
        <w:tc>
          <w:tcPr>
            <w:tcW w:w="1050" w:type="dxa"/>
            <w:tcBorders>
              <w:top w:val="nil"/>
              <w:left w:val="single" w:color="auto" w:sz="8" w:space="0"/>
              <w:bottom w:val="single" w:color="auto" w:sz="4" w:space="0"/>
              <w:right w:val="single" w:color="auto" w:sz="4" w:space="0"/>
            </w:tcBorders>
            <w:vAlign w:val="center"/>
          </w:tcPr>
          <w:p w14:paraId="49F853A9">
            <w:pPr>
              <w:spacing w:line="24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0AC00B36">
            <w:pPr>
              <w:spacing w:line="24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3176C027">
            <w:pPr>
              <w:spacing w:line="240" w:lineRule="exact"/>
              <w:jc w:val="left"/>
              <w:rPr>
                <w:color w:val="000000"/>
                <w:kern w:val="0"/>
                <w:sz w:val="18"/>
                <w:szCs w:val="18"/>
              </w:rPr>
            </w:pPr>
            <w:r>
              <w:rPr>
                <w:rFonts w:hint="eastAsia"/>
                <w:color w:val="000000"/>
                <w:kern w:val="0"/>
                <w:sz w:val="18"/>
                <w:szCs w:val="18"/>
              </w:rPr>
              <w:t xml:space="preserve">第十四条第一款　工程监理单位应当审查施工组织设计中的安全技术措施或者专项施工方案是否符合工程建设强制性标准。 </w:t>
            </w:r>
          </w:p>
          <w:p w14:paraId="7AA1F882">
            <w:pPr>
              <w:spacing w:line="240" w:lineRule="exact"/>
              <w:jc w:val="left"/>
              <w:rPr>
                <w:color w:val="000000"/>
                <w:kern w:val="0"/>
                <w:sz w:val="18"/>
                <w:szCs w:val="18"/>
              </w:rPr>
            </w:pPr>
            <w:r>
              <w:rPr>
                <w:rFonts w:hint="eastAsia"/>
                <w:color w:val="000000"/>
                <w:kern w:val="0"/>
                <w:sz w:val="18"/>
                <w:szCs w:val="18"/>
              </w:rPr>
              <w:t>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5643DEFF">
            <w:pPr>
              <w:spacing w:line="240" w:lineRule="exact"/>
              <w:jc w:val="left"/>
              <w:rPr>
                <w:color w:val="000000"/>
                <w:kern w:val="0"/>
                <w:sz w:val="18"/>
                <w:szCs w:val="18"/>
              </w:rPr>
            </w:pPr>
            <w:r>
              <w:rPr>
                <w:rFonts w:hint="eastAsia"/>
                <w:color w:val="000000"/>
                <w:kern w:val="0"/>
                <w:sz w:val="18"/>
                <w:szCs w:val="18"/>
              </w:rPr>
              <w:t>（一）未对施工组织设计中的安全技术措施或者专项施工方案进行审查的；</w:t>
            </w:r>
          </w:p>
          <w:p w14:paraId="2A6C4BE1">
            <w:pPr>
              <w:spacing w:line="24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14:paraId="41E4B70B">
            <w:pPr>
              <w:spacing w:line="240" w:lineRule="exact"/>
              <w:jc w:val="left"/>
              <w:rPr>
                <w:color w:val="000000"/>
                <w:kern w:val="0"/>
                <w:sz w:val="18"/>
                <w:szCs w:val="18"/>
              </w:rPr>
            </w:pPr>
            <w:r>
              <w:rPr>
                <w:rFonts w:hint="eastAsia"/>
                <w:color w:val="000000"/>
                <w:kern w:val="0"/>
                <w:sz w:val="18"/>
                <w:szCs w:val="18"/>
              </w:rPr>
              <w:t>【规章】《危险性较大的分部分项工程安全管理规定》（2018年住房和城乡建设部令第37号）</w:t>
            </w:r>
          </w:p>
          <w:p w14:paraId="0C39DE83">
            <w:pPr>
              <w:spacing w:line="240" w:lineRule="exact"/>
              <w:jc w:val="left"/>
              <w:rPr>
                <w:color w:val="000000"/>
                <w:kern w:val="0"/>
                <w:sz w:val="18"/>
                <w:szCs w:val="18"/>
              </w:rPr>
            </w:pPr>
            <w:r>
              <w:rPr>
                <w:rFonts w:hint="eastAsia"/>
                <w:color w:val="000000"/>
                <w:kern w:val="0"/>
                <w:sz w:val="18"/>
                <w:szCs w:val="18"/>
              </w:rPr>
              <w:t>第十一条　专项施工方案应当由施工单位技术负责人审核签字、加盖单位公章，并由总监理工程师审查签字、加盖执业印章后方可实施。</w:t>
            </w:r>
          </w:p>
          <w:p w14:paraId="6DC44F3F">
            <w:pPr>
              <w:spacing w:line="240" w:lineRule="exact"/>
              <w:jc w:val="left"/>
              <w:rPr>
                <w:color w:val="000000"/>
                <w:kern w:val="0"/>
                <w:sz w:val="18"/>
                <w:szCs w:val="18"/>
              </w:rPr>
            </w:pPr>
            <w:r>
              <w:rPr>
                <w:rFonts w:hint="eastAsia"/>
                <w:color w:val="000000"/>
                <w:kern w:val="0"/>
                <w:sz w:val="18"/>
                <w:szCs w:val="18"/>
              </w:rPr>
              <w:t>危大工程实行分包并由分包单位编制专项施工方案的，专项施工方案应当由总承包单位技术负责人及分包单位技术负责人共同审核签字并加盖单位公章。</w:t>
            </w:r>
          </w:p>
          <w:p w14:paraId="549C058F">
            <w:pPr>
              <w:spacing w:line="240" w:lineRule="exact"/>
              <w:jc w:val="left"/>
              <w:rPr>
                <w:color w:val="000000"/>
                <w:kern w:val="0"/>
                <w:sz w:val="18"/>
                <w:szCs w:val="18"/>
              </w:rPr>
            </w:pPr>
            <w:r>
              <w:rPr>
                <w:rFonts w:hint="eastAsia"/>
                <w:color w:val="000000"/>
                <w:kern w:val="0"/>
                <w:sz w:val="18"/>
                <w:szCs w:val="18"/>
              </w:rPr>
              <w:t>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14:paraId="4DCFF3FB">
            <w:pPr>
              <w:spacing w:line="240" w:lineRule="exact"/>
              <w:jc w:val="left"/>
              <w:rPr>
                <w:color w:val="000000"/>
                <w:kern w:val="0"/>
                <w:sz w:val="18"/>
                <w:szCs w:val="18"/>
              </w:rPr>
            </w:pPr>
            <w:r>
              <w:rPr>
                <w:rFonts w:hint="eastAsia"/>
                <w:color w:val="000000"/>
                <w:kern w:val="0"/>
                <w:sz w:val="18"/>
                <w:szCs w:val="18"/>
              </w:rPr>
              <w:t>专家应当从地方人民政府住房城乡建设主管部门建立的专家库中选取，符合专业要求且人数不得少于5名。与本工程有利害关系的人员不得以专家身份参加专家论证会。</w:t>
            </w:r>
          </w:p>
          <w:p w14:paraId="04432A97">
            <w:pPr>
              <w:spacing w:line="240" w:lineRule="exact"/>
              <w:jc w:val="left"/>
              <w:rPr>
                <w:color w:val="000000"/>
                <w:kern w:val="0"/>
                <w:sz w:val="18"/>
                <w:szCs w:val="18"/>
              </w:rPr>
            </w:pPr>
            <w:r>
              <w:rPr>
                <w:rFonts w:hint="eastAsia"/>
                <w:color w:val="000000"/>
                <w:kern w:val="0"/>
                <w:sz w:val="18"/>
                <w:szCs w:val="18"/>
              </w:rPr>
              <w:t>第三十六条　监理单位有下列行为之一的，依照《中华人民共和国安全生产法》《建设工程安全生产管理条例》对单位进行处罚；对直接负责的主管人员和其他直接责任人员处1000元以上5000元以下的罚款：</w:t>
            </w:r>
          </w:p>
          <w:p w14:paraId="3EB09389">
            <w:pPr>
              <w:spacing w:line="240" w:lineRule="exact"/>
              <w:jc w:val="left"/>
              <w:rPr>
                <w:color w:val="000000"/>
                <w:kern w:val="0"/>
                <w:sz w:val="18"/>
                <w:szCs w:val="18"/>
              </w:rPr>
            </w:pPr>
            <w:r>
              <w:rPr>
                <w:rFonts w:hint="eastAsia"/>
                <w:color w:val="000000"/>
                <w:kern w:val="0"/>
                <w:sz w:val="18"/>
                <w:szCs w:val="18"/>
              </w:rPr>
              <w:t>（一）总监理工程师未按照本规定审查危大工程专项施工方案的；</w:t>
            </w:r>
          </w:p>
        </w:tc>
      </w:tr>
      <w:tr w14:paraId="32C872D3">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0CD130D5">
            <w:pPr>
              <w:spacing w:line="24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2561C56A">
            <w:pPr>
              <w:spacing w:line="24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14:paraId="42455E52">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14F3D31E">
            <w:pPr>
              <w:spacing w:line="240" w:lineRule="exact"/>
              <w:jc w:val="center"/>
              <w:rPr>
                <w:color w:val="000000"/>
                <w:kern w:val="0"/>
                <w:sz w:val="18"/>
                <w:szCs w:val="18"/>
              </w:rPr>
            </w:pPr>
            <w:r>
              <w:rPr>
                <w:rFonts w:hint="eastAsia"/>
                <w:color w:val="000000"/>
                <w:kern w:val="0"/>
                <w:sz w:val="18"/>
                <w:szCs w:val="18"/>
              </w:rPr>
              <w:t>裁量基准</w:t>
            </w:r>
          </w:p>
        </w:tc>
      </w:tr>
      <w:tr w14:paraId="11ACB653">
        <w:tblPrEx>
          <w:tblCellMar>
            <w:top w:w="0" w:type="dxa"/>
            <w:left w:w="108" w:type="dxa"/>
            <w:bottom w:w="0" w:type="dxa"/>
            <w:right w:w="108" w:type="dxa"/>
          </w:tblCellMar>
        </w:tblPrEx>
        <w:trPr>
          <w:trHeight w:val="285" w:hRule="atLeast"/>
        </w:trPr>
        <w:tc>
          <w:tcPr>
            <w:tcW w:w="1050" w:type="dxa"/>
            <w:vMerge w:val="restart"/>
            <w:tcBorders>
              <w:top w:val="single" w:color="auto" w:sz="4" w:space="0"/>
              <w:left w:val="single" w:color="auto" w:sz="4" w:space="0"/>
              <w:bottom w:val="single" w:color="000000" w:sz="4" w:space="0"/>
              <w:right w:val="single" w:color="auto" w:sz="4" w:space="0"/>
            </w:tcBorders>
            <w:vAlign w:val="center"/>
          </w:tcPr>
          <w:p w14:paraId="726F181C">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7C20B292">
            <w:pPr>
              <w:spacing w:line="24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single" w:color="auto" w:sz="4" w:space="0"/>
              <w:left w:val="single" w:color="auto" w:sz="4" w:space="0"/>
              <w:bottom w:val="single" w:color="000000" w:sz="4" w:space="0"/>
              <w:right w:val="single" w:color="auto" w:sz="4" w:space="0"/>
            </w:tcBorders>
            <w:vAlign w:val="center"/>
          </w:tcPr>
          <w:p w14:paraId="133570A2">
            <w:pPr>
              <w:spacing w:line="24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0A1D2B89">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14:paraId="7508D1E9">
            <w:pPr>
              <w:spacing w:line="24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14:paraId="7481B50D">
        <w:tblPrEx>
          <w:tblCellMar>
            <w:top w:w="0" w:type="dxa"/>
            <w:left w:w="108" w:type="dxa"/>
            <w:bottom w:w="0" w:type="dxa"/>
            <w:right w:w="108" w:type="dxa"/>
          </w:tblCellMar>
        </w:tblPrEx>
        <w:trPr>
          <w:trHeight w:val="285" w:hRule="atLeast"/>
        </w:trPr>
        <w:tc>
          <w:tcPr>
            <w:tcW w:w="1050" w:type="dxa"/>
            <w:vMerge w:val="continue"/>
            <w:tcBorders>
              <w:top w:val="nil"/>
              <w:left w:val="single" w:color="auto" w:sz="4" w:space="0"/>
              <w:bottom w:val="single" w:color="000000" w:sz="4" w:space="0"/>
              <w:right w:val="single" w:color="auto" w:sz="4" w:space="0"/>
            </w:tcBorders>
            <w:vAlign w:val="center"/>
          </w:tcPr>
          <w:p w14:paraId="162B6200">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5D69EB42">
            <w:pPr>
              <w:spacing w:line="240" w:lineRule="exact"/>
              <w:jc w:val="left"/>
              <w:rPr>
                <w:color w:val="000000"/>
                <w:kern w:val="0"/>
                <w:sz w:val="18"/>
                <w:szCs w:val="18"/>
              </w:rPr>
            </w:pPr>
            <w:r>
              <w:rPr>
                <w:rFonts w:hint="eastAsia"/>
                <w:color w:val="000000"/>
                <w:kern w:val="0"/>
                <w:sz w:val="18"/>
                <w:szCs w:val="18"/>
              </w:rPr>
              <w:t>施工单位开始施工，未发生生产安全事故的</w:t>
            </w:r>
          </w:p>
        </w:tc>
        <w:tc>
          <w:tcPr>
            <w:tcW w:w="1100" w:type="dxa"/>
            <w:vMerge w:val="continue"/>
            <w:tcBorders>
              <w:top w:val="nil"/>
              <w:left w:val="single" w:color="auto" w:sz="4" w:space="0"/>
              <w:bottom w:val="single" w:color="000000" w:sz="4" w:space="0"/>
              <w:right w:val="single" w:color="auto" w:sz="4" w:space="0"/>
            </w:tcBorders>
            <w:vAlign w:val="center"/>
          </w:tcPr>
          <w:p w14:paraId="553B10F6">
            <w:pPr>
              <w:spacing w:line="240" w:lineRule="exact"/>
              <w:jc w:val="left"/>
              <w:rPr>
                <w:color w:val="000000"/>
                <w:kern w:val="0"/>
                <w:sz w:val="18"/>
                <w:szCs w:val="18"/>
              </w:rPr>
            </w:pPr>
          </w:p>
        </w:tc>
        <w:tc>
          <w:tcPr>
            <w:tcW w:w="5760" w:type="dxa"/>
            <w:tcBorders>
              <w:top w:val="nil"/>
              <w:left w:val="nil"/>
              <w:bottom w:val="single" w:color="auto" w:sz="4" w:space="0"/>
              <w:right w:val="single" w:color="auto" w:sz="4" w:space="0"/>
            </w:tcBorders>
            <w:vAlign w:val="center"/>
          </w:tcPr>
          <w:p w14:paraId="1ED6007A">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p w14:paraId="02EF5973">
            <w:pPr>
              <w:spacing w:line="24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14:paraId="6BC1EB8E">
        <w:tblPrEx>
          <w:tblCellMar>
            <w:top w:w="0" w:type="dxa"/>
            <w:left w:w="108" w:type="dxa"/>
            <w:bottom w:w="0" w:type="dxa"/>
            <w:right w:w="108" w:type="dxa"/>
          </w:tblCellMar>
        </w:tblPrEx>
        <w:trPr>
          <w:trHeight w:val="346" w:hRule="atLeast"/>
        </w:trPr>
        <w:tc>
          <w:tcPr>
            <w:tcW w:w="1050" w:type="dxa"/>
            <w:vMerge w:val="continue"/>
            <w:tcBorders>
              <w:top w:val="nil"/>
              <w:left w:val="single" w:color="auto" w:sz="4" w:space="0"/>
              <w:bottom w:val="single" w:color="auto" w:sz="4" w:space="0"/>
              <w:right w:val="single" w:color="auto" w:sz="4" w:space="0"/>
            </w:tcBorders>
            <w:vAlign w:val="center"/>
          </w:tcPr>
          <w:p w14:paraId="0A75B084">
            <w:pPr>
              <w:spacing w:line="24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7DE1EBB8">
            <w:pPr>
              <w:spacing w:line="240" w:lineRule="exact"/>
              <w:jc w:val="left"/>
              <w:rPr>
                <w:color w:val="000000"/>
                <w:kern w:val="0"/>
                <w:sz w:val="18"/>
                <w:szCs w:val="18"/>
              </w:rPr>
            </w:pPr>
            <w:r>
              <w:rPr>
                <w:rFonts w:hint="eastAsia"/>
                <w:color w:val="000000"/>
                <w:kern w:val="0"/>
                <w:sz w:val="18"/>
                <w:szCs w:val="18"/>
              </w:rPr>
              <w:t>施工单位开始施工，发生生产安全事故的</w:t>
            </w:r>
          </w:p>
        </w:tc>
        <w:tc>
          <w:tcPr>
            <w:tcW w:w="1100" w:type="dxa"/>
            <w:vMerge w:val="continue"/>
            <w:tcBorders>
              <w:top w:val="nil"/>
              <w:left w:val="single" w:color="auto" w:sz="4" w:space="0"/>
              <w:bottom w:val="single" w:color="auto" w:sz="4" w:space="0"/>
              <w:right w:val="single" w:color="auto" w:sz="4" w:space="0"/>
            </w:tcBorders>
            <w:vAlign w:val="center"/>
          </w:tcPr>
          <w:p w14:paraId="424A3D73">
            <w:pPr>
              <w:spacing w:line="240" w:lineRule="exact"/>
              <w:jc w:val="left"/>
              <w:rPr>
                <w:color w:val="000000"/>
                <w:kern w:val="0"/>
                <w:sz w:val="18"/>
                <w:szCs w:val="18"/>
              </w:rPr>
            </w:pPr>
          </w:p>
        </w:tc>
        <w:tc>
          <w:tcPr>
            <w:tcW w:w="5760" w:type="dxa"/>
            <w:tcBorders>
              <w:top w:val="nil"/>
              <w:left w:val="nil"/>
              <w:bottom w:val="single" w:color="auto" w:sz="4" w:space="0"/>
              <w:right w:val="single" w:color="auto" w:sz="4" w:space="0"/>
            </w:tcBorders>
            <w:vAlign w:val="center"/>
          </w:tcPr>
          <w:p w14:paraId="096EE5A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p w14:paraId="0FD7DF5D">
            <w:pPr>
              <w:spacing w:line="240" w:lineRule="exact"/>
              <w:jc w:val="left"/>
              <w:rPr>
                <w:color w:val="000000"/>
                <w:kern w:val="0"/>
                <w:sz w:val="18"/>
                <w:szCs w:val="18"/>
              </w:rPr>
            </w:pPr>
            <w:r>
              <w:rPr>
                <w:rFonts w:hint="eastAsia"/>
                <w:color w:val="000000"/>
                <w:kern w:val="0"/>
                <w:sz w:val="18"/>
                <w:szCs w:val="18"/>
              </w:rPr>
              <w:t>对个人：</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71D56BC0"/>
    <w:p w14:paraId="621D6F08"/>
    <w:p w14:paraId="02F2B910"/>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50D8B529">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78B386F9">
            <w:pPr>
              <w:spacing w:line="26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2244087A">
            <w:pPr>
              <w:spacing w:line="260" w:lineRule="exact"/>
              <w:jc w:val="left"/>
              <w:rPr>
                <w:rFonts w:eastAsia="仿宋_GB2312"/>
                <w:b/>
                <w:bCs/>
                <w:color w:val="000000"/>
                <w:kern w:val="0"/>
                <w:sz w:val="18"/>
                <w:szCs w:val="18"/>
              </w:rPr>
            </w:pPr>
            <w:r>
              <w:rPr>
                <w:rFonts w:eastAsia="仿宋_GB2312"/>
                <w:b/>
                <w:bCs/>
                <w:color w:val="000000"/>
                <w:kern w:val="0"/>
                <w:sz w:val="18"/>
                <w:szCs w:val="18"/>
              </w:rPr>
              <w:t>320217699000</w:t>
            </w:r>
            <w:r>
              <w:rPr>
                <w:rFonts w:hint="eastAsia" w:eastAsia="仿宋_GB2312"/>
                <w:b/>
                <w:bCs/>
                <w:color w:val="000000"/>
                <w:kern w:val="0"/>
                <w:sz w:val="18"/>
                <w:szCs w:val="18"/>
              </w:rPr>
              <w:t xml:space="preserve"> </w:t>
            </w:r>
          </w:p>
        </w:tc>
      </w:tr>
      <w:tr w14:paraId="3FB6E9AC">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6F7E0010">
            <w:pPr>
              <w:spacing w:line="26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71E211A7">
            <w:pPr>
              <w:spacing w:line="260" w:lineRule="exact"/>
              <w:jc w:val="left"/>
              <w:rPr>
                <w:color w:val="000000"/>
                <w:kern w:val="0"/>
                <w:sz w:val="18"/>
                <w:szCs w:val="18"/>
              </w:rPr>
            </w:pPr>
            <w:r>
              <w:rPr>
                <w:rFonts w:hint="eastAsia"/>
                <w:color w:val="000000"/>
                <w:kern w:val="0"/>
                <w:sz w:val="18"/>
                <w:szCs w:val="18"/>
              </w:rPr>
              <w:t>对工程监理单位发现安全事故隐患未及时要求施工单位整改或者暂时停止施工的处罚</w:t>
            </w:r>
          </w:p>
        </w:tc>
      </w:tr>
      <w:tr w14:paraId="26565ECA">
        <w:tblPrEx>
          <w:tblCellMar>
            <w:top w:w="0" w:type="dxa"/>
            <w:left w:w="108" w:type="dxa"/>
            <w:bottom w:w="0" w:type="dxa"/>
            <w:right w:w="108" w:type="dxa"/>
          </w:tblCellMar>
        </w:tblPrEx>
        <w:trPr>
          <w:trHeight w:val="1055" w:hRule="atLeast"/>
        </w:trPr>
        <w:tc>
          <w:tcPr>
            <w:tcW w:w="1050" w:type="dxa"/>
            <w:tcBorders>
              <w:top w:val="nil"/>
              <w:left w:val="single" w:color="auto" w:sz="8" w:space="0"/>
              <w:bottom w:val="single" w:color="auto" w:sz="4" w:space="0"/>
              <w:right w:val="single" w:color="auto" w:sz="4" w:space="0"/>
            </w:tcBorders>
            <w:vAlign w:val="center"/>
          </w:tcPr>
          <w:p w14:paraId="1AFE6DC1">
            <w:pPr>
              <w:spacing w:line="26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1C2CDEA4">
            <w:pPr>
              <w:spacing w:line="260" w:lineRule="exact"/>
              <w:jc w:val="left"/>
              <w:rPr>
                <w:color w:val="000000"/>
                <w:kern w:val="0"/>
                <w:sz w:val="18"/>
                <w:szCs w:val="18"/>
              </w:rPr>
            </w:pPr>
            <w:r>
              <w:rPr>
                <w:rFonts w:hint="eastAsia"/>
                <w:color w:val="000000"/>
                <w:kern w:val="0"/>
                <w:sz w:val="18"/>
                <w:szCs w:val="18"/>
              </w:rPr>
              <w:t>【行政法规】《建设工程安全生产管理条例》（国务院令第393号）</w:t>
            </w:r>
          </w:p>
          <w:p w14:paraId="52003C76">
            <w:pPr>
              <w:spacing w:line="260" w:lineRule="exact"/>
              <w:jc w:val="left"/>
              <w:rPr>
                <w:color w:val="000000"/>
                <w:kern w:val="0"/>
                <w:sz w:val="18"/>
                <w:szCs w:val="18"/>
              </w:rPr>
            </w:pPr>
            <w:r>
              <w:rPr>
                <w:rFonts w:hint="eastAsia"/>
                <w:color w:val="000000"/>
                <w:kern w:val="0"/>
                <w:sz w:val="18"/>
                <w:szCs w:val="18"/>
              </w:rPr>
              <w:t xml:space="preserve">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  </w:t>
            </w:r>
          </w:p>
          <w:p w14:paraId="6121FEAC">
            <w:pPr>
              <w:spacing w:line="260" w:lineRule="exact"/>
              <w:jc w:val="left"/>
              <w:rPr>
                <w:color w:val="000000"/>
                <w:kern w:val="0"/>
                <w:sz w:val="18"/>
                <w:szCs w:val="18"/>
              </w:rPr>
            </w:pPr>
            <w:r>
              <w:rPr>
                <w:rFonts w:hint="eastAsia"/>
                <w:color w:val="000000"/>
                <w:kern w:val="0"/>
                <w:sz w:val="18"/>
                <w:szCs w:val="18"/>
              </w:rPr>
              <w:t>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36D70755">
            <w:pPr>
              <w:spacing w:line="260" w:lineRule="exact"/>
              <w:jc w:val="left"/>
              <w:rPr>
                <w:color w:val="000000"/>
                <w:kern w:val="0"/>
                <w:sz w:val="18"/>
                <w:szCs w:val="18"/>
              </w:rPr>
            </w:pPr>
            <w:r>
              <w:rPr>
                <w:rFonts w:hint="eastAsia"/>
                <w:color w:val="000000"/>
                <w:kern w:val="0"/>
                <w:sz w:val="18"/>
                <w:szCs w:val="18"/>
              </w:rPr>
              <w:t>（二）发现安全事故隐患未及时要求施工单位整改或者暂时停止施工的；</w:t>
            </w:r>
          </w:p>
          <w:p w14:paraId="4E9F63E1">
            <w:pPr>
              <w:spacing w:line="26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14:paraId="41AF8FCD">
            <w:pPr>
              <w:spacing w:line="260" w:lineRule="exact"/>
              <w:jc w:val="left"/>
              <w:rPr>
                <w:color w:val="000000"/>
                <w:kern w:val="0"/>
                <w:sz w:val="18"/>
                <w:szCs w:val="18"/>
              </w:rPr>
            </w:pPr>
            <w:r>
              <w:rPr>
                <w:rFonts w:hint="eastAsia"/>
                <w:color w:val="000000"/>
                <w:kern w:val="0"/>
                <w:sz w:val="18"/>
                <w:szCs w:val="18"/>
              </w:rPr>
              <w:t>【规章】《危险性较大的分部分项工程安全管理规定》（2018年住房和城乡建设部令第37号）</w:t>
            </w:r>
          </w:p>
          <w:p w14:paraId="584F51C8">
            <w:pPr>
              <w:spacing w:line="260" w:lineRule="exact"/>
              <w:jc w:val="left"/>
              <w:rPr>
                <w:color w:val="000000"/>
                <w:kern w:val="0"/>
                <w:sz w:val="18"/>
                <w:szCs w:val="18"/>
              </w:rPr>
            </w:pPr>
            <w:r>
              <w:rPr>
                <w:rFonts w:hint="eastAsia"/>
                <w:color w:val="000000"/>
                <w:kern w:val="0"/>
                <w:sz w:val="18"/>
                <w:szCs w:val="18"/>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14:paraId="5AF5C8BD">
            <w:pPr>
              <w:spacing w:line="260" w:lineRule="exact"/>
              <w:jc w:val="left"/>
              <w:rPr>
                <w:color w:val="000000"/>
                <w:kern w:val="0"/>
                <w:sz w:val="18"/>
                <w:szCs w:val="18"/>
              </w:rPr>
            </w:pPr>
            <w:r>
              <w:rPr>
                <w:rFonts w:hint="eastAsia"/>
                <w:color w:val="000000"/>
                <w:kern w:val="0"/>
                <w:sz w:val="18"/>
                <w:szCs w:val="18"/>
              </w:rPr>
              <w:t>第三十六条　监理单位有下列行为之一的，依照《中华人民共和国安全生产法》《建设工程安全生产管理条例》对单位进行处罚；对直接负责的主管人员和其他直接责任人员处1000元以上5000元以下的罚款：</w:t>
            </w:r>
          </w:p>
          <w:p w14:paraId="7A4BF182">
            <w:pPr>
              <w:spacing w:line="260" w:lineRule="exact"/>
              <w:jc w:val="left"/>
              <w:rPr>
                <w:color w:val="000000"/>
                <w:kern w:val="0"/>
                <w:sz w:val="18"/>
                <w:szCs w:val="18"/>
              </w:rPr>
            </w:pPr>
            <w:r>
              <w:rPr>
                <w:rFonts w:hint="eastAsia"/>
                <w:color w:val="000000"/>
                <w:kern w:val="0"/>
                <w:sz w:val="18"/>
                <w:szCs w:val="18"/>
              </w:rPr>
              <w:t>（二）发现施工单位未按照专项施工方案实施，未要求其整改或者停工的；</w:t>
            </w:r>
          </w:p>
        </w:tc>
      </w:tr>
      <w:tr w14:paraId="74B492D3">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62AA316E">
            <w:pPr>
              <w:spacing w:line="26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6DDC5016">
            <w:pPr>
              <w:spacing w:line="26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14:paraId="4F377CCA">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23BD44AE">
            <w:pPr>
              <w:spacing w:line="260" w:lineRule="exact"/>
              <w:jc w:val="center"/>
              <w:rPr>
                <w:color w:val="000000"/>
                <w:kern w:val="0"/>
                <w:sz w:val="18"/>
                <w:szCs w:val="18"/>
              </w:rPr>
            </w:pPr>
            <w:r>
              <w:rPr>
                <w:rFonts w:hint="eastAsia"/>
                <w:color w:val="000000"/>
                <w:kern w:val="0"/>
                <w:sz w:val="18"/>
                <w:szCs w:val="18"/>
              </w:rPr>
              <w:t>裁量基准</w:t>
            </w:r>
          </w:p>
        </w:tc>
      </w:tr>
      <w:tr w14:paraId="4E8A389B">
        <w:tblPrEx>
          <w:tblCellMar>
            <w:top w:w="0" w:type="dxa"/>
            <w:left w:w="108" w:type="dxa"/>
            <w:bottom w:w="0" w:type="dxa"/>
            <w:right w:w="108" w:type="dxa"/>
          </w:tblCellMar>
        </w:tblPrEx>
        <w:trPr>
          <w:trHeight w:val="285" w:hRule="atLeast"/>
        </w:trPr>
        <w:tc>
          <w:tcPr>
            <w:tcW w:w="1050" w:type="dxa"/>
            <w:vMerge w:val="restart"/>
            <w:tcBorders>
              <w:top w:val="nil"/>
              <w:left w:val="single" w:color="auto" w:sz="8" w:space="0"/>
              <w:bottom w:val="single" w:color="000000" w:sz="4" w:space="0"/>
              <w:right w:val="single" w:color="auto" w:sz="4" w:space="0"/>
            </w:tcBorders>
            <w:vAlign w:val="center"/>
          </w:tcPr>
          <w:p w14:paraId="37B05AE9">
            <w:pPr>
              <w:spacing w:line="26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2C1B40C7">
            <w:pPr>
              <w:spacing w:line="26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nil"/>
              <w:left w:val="single" w:color="auto" w:sz="4" w:space="0"/>
              <w:bottom w:val="single" w:color="000000" w:sz="4" w:space="0"/>
              <w:right w:val="single" w:color="auto" w:sz="4" w:space="0"/>
            </w:tcBorders>
            <w:vAlign w:val="center"/>
          </w:tcPr>
          <w:p w14:paraId="070100C2">
            <w:pPr>
              <w:spacing w:line="26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color="auto" w:sz="4" w:space="0"/>
              <w:right w:val="single" w:color="auto" w:sz="8" w:space="0"/>
            </w:tcBorders>
            <w:vAlign w:val="center"/>
          </w:tcPr>
          <w:p w14:paraId="458FB8A7">
            <w:pPr>
              <w:spacing w:line="26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14:paraId="6181693C">
            <w:pPr>
              <w:spacing w:line="26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14:paraId="470E1CD6">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000000" w:sz="4" w:space="0"/>
              <w:right w:val="single" w:color="auto" w:sz="4" w:space="0"/>
            </w:tcBorders>
            <w:vAlign w:val="center"/>
          </w:tcPr>
          <w:p w14:paraId="05E18733">
            <w:pPr>
              <w:spacing w:line="26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469016DE">
            <w:pPr>
              <w:spacing w:line="260" w:lineRule="exact"/>
              <w:jc w:val="left"/>
              <w:rPr>
                <w:color w:val="000000"/>
                <w:kern w:val="0"/>
                <w:sz w:val="18"/>
                <w:szCs w:val="18"/>
              </w:rPr>
            </w:pPr>
            <w:r>
              <w:rPr>
                <w:rFonts w:hint="eastAsia"/>
                <w:color w:val="000000"/>
                <w:kern w:val="0"/>
                <w:sz w:val="18"/>
                <w:szCs w:val="18"/>
              </w:rPr>
              <w:t>施工单位开始施工，未发生生产安全事故的</w:t>
            </w:r>
          </w:p>
        </w:tc>
        <w:tc>
          <w:tcPr>
            <w:tcW w:w="1100" w:type="dxa"/>
            <w:vMerge w:val="continue"/>
            <w:tcBorders>
              <w:top w:val="nil"/>
              <w:left w:val="single" w:color="auto" w:sz="4" w:space="0"/>
              <w:bottom w:val="single" w:color="000000" w:sz="4" w:space="0"/>
              <w:right w:val="single" w:color="auto" w:sz="4" w:space="0"/>
            </w:tcBorders>
            <w:vAlign w:val="center"/>
          </w:tcPr>
          <w:p w14:paraId="17796F54">
            <w:pPr>
              <w:spacing w:line="26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16A3C32">
            <w:pPr>
              <w:spacing w:line="26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p w14:paraId="6B0AA32F">
            <w:pPr>
              <w:spacing w:line="26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14:paraId="16245E2F">
        <w:tblPrEx>
          <w:tblCellMar>
            <w:top w:w="0" w:type="dxa"/>
            <w:left w:w="108" w:type="dxa"/>
            <w:bottom w:w="0" w:type="dxa"/>
            <w:right w:w="108" w:type="dxa"/>
          </w:tblCellMar>
        </w:tblPrEx>
        <w:trPr>
          <w:trHeight w:val="285" w:hRule="atLeast"/>
        </w:trPr>
        <w:tc>
          <w:tcPr>
            <w:tcW w:w="1050" w:type="dxa"/>
            <w:vMerge w:val="continue"/>
            <w:tcBorders>
              <w:top w:val="nil"/>
              <w:left w:val="single" w:color="auto" w:sz="8" w:space="0"/>
              <w:bottom w:val="single" w:color="000000" w:sz="4" w:space="0"/>
              <w:right w:val="single" w:color="auto" w:sz="4" w:space="0"/>
            </w:tcBorders>
            <w:vAlign w:val="center"/>
          </w:tcPr>
          <w:p w14:paraId="63357F7C">
            <w:pPr>
              <w:spacing w:line="26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0F36ED86">
            <w:pPr>
              <w:spacing w:line="260" w:lineRule="exact"/>
              <w:jc w:val="left"/>
              <w:rPr>
                <w:color w:val="000000"/>
                <w:kern w:val="0"/>
                <w:sz w:val="18"/>
                <w:szCs w:val="18"/>
              </w:rPr>
            </w:pPr>
            <w:r>
              <w:rPr>
                <w:rFonts w:hint="eastAsia"/>
                <w:color w:val="000000"/>
                <w:kern w:val="0"/>
                <w:sz w:val="18"/>
                <w:szCs w:val="18"/>
              </w:rPr>
              <w:t>施工单位开始施工，发生生产安全事故的</w:t>
            </w:r>
          </w:p>
        </w:tc>
        <w:tc>
          <w:tcPr>
            <w:tcW w:w="1100" w:type="dxa"/>
            <w:vMerge w:val="continue"/>
            <w:tcBorders>
              <w:top w:val="nil"/>
              <w:left w:val="single" w:color="auto" w:sz="4" w:space="0"/>
              <w:bottom w:val="single" w:color="000000" w:sz="4" w:space="0"/>
              <w:right w:val="single" w:color="auto" w:sz="4" w:space="0"/>
            </w:tcBorders>
            <w:vAlign w:val="center"/>
          </w:tcPr>
          <w:p w14:paraId="542A7152">
            <w:pPr>
              <w:spacing w:line="260" w:lineRule="exact"/>
              <w:jc w:val="left"/>
              <w:rPr>
                <w:color w:val="000000"/>
                <w:kern w:val="0"/>
                <w:sz w:val="18"/>
                <w:szCs w:val="18"/>
              </w:rPr>
            </w:pPr>
          </w:p>
        </w:tc>
        <w:tc>
          <w:tcPr>
            <w:tcW w:w="5760" w:type="dxa"/>
            <w:tcBorders>
              <w:top w:val="nil"/>
              <w:left w:val="nil"/>
              <w:bottom w:val="single" w:color="auto" w:sz="4" w:space="0"/>
              <w:right w:val="single" w:color="auto" w:sz="8" w:space="0"/>
            </w:tcBorders>
            <w:vAlign w:val="center"/>
          </w:tcPr>
          <w:p w14:paraId="0415EBA7">
            <w:pPr>
              <w:spacing w:line="26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p w14:paraId="7D70D5B5">
            <w:pPr>
              <w:spacing w:line="260" w:lineRule="exact"/>
              <w:jc w:val="left"/>
              <w:rPr>
                <w:color w:val="000000"/>
                <w:kern w:val="0"/>
                <w:sz w:val="18"/>
                <w:szCs w:val="18"/>
              </w:rPr>
            </w:pPr>
            <w:r>
              <w:rPr>
                <w:rFonts w:hint="eastAsia"/>
                <w:color w:val="000000"/>
                <w:kern w:val="0"/>
                <w:sz w:val="18"/>
                <w:szCs w:val="18"/>
              </w:rPr>
              <w:t>对个人：</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2BFFDD2E"/>
    <w:p w14:paraId="443B68DD"/>
    <w:p w14:paraId="0EB2D99A"/>
    <w:tbl>
      <w:tblPr>
        <w:tblStyle w:val="15"/>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128"/>
        <w:gridCol w:w="6012"/>
        <w:gridCol w:w="1074"/>
        <w:gridCol w:w="5820"/>
      </w:tblGrid>
      <w:tr w14:paraId="2AE8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49" w:type="dxa"/>
            <w:gridSpan w:val="2"/>
            <w:vAlign w:val="center"/>
          </w:tcPr>
          <w:p w14:paraId="490FBB88">
            <w:pPr>
              <w:jc w:val="center"/>
              <w:rPr>
                <w:color w:val="000000"/>
              </w:rPr>
            </w:pPr>
            <w:r>
              <w:rPr>
                <w:rFonts w:hint="eastAsia"/>
                <w:color w:val="000000"/>
              </w:rPr>
              <w:t>编号</w:t>
            </w:r>
          </w:p>
        </w:tc>
        <w:tc>
          <w:tcPr>
            <w:tcW w:w="12906" w:type="dxa"/>
            <w:gridSpan w:val="3"/>
            <w:vAlign w:val="center"/>
          </w:tcPr>
          <w:p w14:paraId="44EAF82C">
            <w:pPr>
              <w:rPr>
                <w:b/>
                <w:bCs/>
                <w:color w:val="000000"/>
              </w:rPr>
            </w:pPr>
            <w:r>
              <w:rPr>
                <w:b/>
                <w:bCs/>
                <w:color w:val="000000"/>
              </w:rPr>
              <w:t>320217700000</w:t>
            </w:r>
            <w:r>
              <w:rPr>
                <w:rFonts w:hint="eastAsia"/>
                <w:b/>
                <w:bCs/>
                <w:color w:val="000000"/>
              </w:rPr>
              <w:t xml:space="preserve"> </w:t>
            </w:r>
          </w:p>
        </w:tc>
      </w:tr>
      <w:tr w14:paraId="17DF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49" w:type="dxa"/>
            <w:gridSpan w:val="2"/>
            <w:vAlign w:val="center"/>
          </w:tcPr>
          <w:p w14:paraId="2C5BFEB9">
            <w:pPr>
              <w:rPr>
                <w:color w:val="000000"/>
              </w:rPr>
            </w:pPr>
            <w:r>
              <w:rPr>
                <w:rFonts w:hint="eastAsia"/>
                <w:color w:val="000000"/>
              </w:rPr>
              <w:t>行为名称</w:t>
            </w:r>
          </w:p>
        </w:tc>
        <w:tc>
          <w:tcPr>
            <w:tcW w:w="12906" w:type="dxa"/>
            <w:gridSpan w:val="3"/>
            <w:vAlign w:val="center"/>
          </w:tcPr>
          <w:p w14:paraId="50FA1297">
            <w:pPr>
              <w:rPr>
                <w:color w:val="000000"/>
              </w:rPr>
            </w:pPr>
            <w:r>
              <w:rPr>
                <w:rFonts w:hint="eastAsia"/>
                <w:color w:val="000000"/>
              </w:rPr>
              <w:t>对依法必须进行招标的项目的招标人不按照规定组建评标委员会，或者确定、更换评标委员会成员违反招标投标法和招标投标法实施条例规定的处罚</w:t>
            </w:r>
          </w:p>
        </w:tc>
      </w:tr>
      <w:tr w14:paraId="3CBC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1149" w:type="dxa"/>
            <w:gridSpan w:val="2"/>
            <w:vAlign w:val="center"/>
          </w:tcPr>
          <w:p w14:paraId="6A54DC20">
            <w:pPr>
              <w:rPr>
                <w:color w:val="000000"/>
              </w:rPr>
            </w:pPr>
            <w:r>
              <w:rPr>
                <w:rFonts w:hint="eastAsia"/>
                <w:color w:val="000000"/>
              </w:rPr>
              <w:t>法律依据</w:t>
            </w:r>
          </w:p>
        </w:tc>
        <w:tc>
          <w:tcPr>
            <w:tcW w:w="12906" w:type="dxa"/>
            <w:gridSpan w:val="3"/>
            <w:vAlign w:val="center"/>
          </w:tcPr>
          <w:p w14:paraId="5C17CAFB">
            <w:pPr>
              <w:spacing w:line="260" w:lineRule="exact"/>
              <w:jc w:val="left"/>
              <w:rPr>
                <w:color w:val="000000"/>
                <w:kern w:val="0"/>
                <w:sz w:val="18"/>
                <w:szCs w:val="18"/>
              </w:rPr>
            </w:pPr>
            <w:r>
              <w:rPr>
                <w:color w:val="000000"/>
              </w:rPr>
              <w:t xml:space="preserve">   </w:t>
            </w:r>
            <w:r>
              <w:rPr>
                <w:color w:val="000000"/>
                <w:kern w:val="0"/>
                <w:sz w:val="18"/>
                <w:szCs w:val="18"/>
              </w:rPr>
              <w:t>1.</w:t>
            </w:r>
            <w:r>
              <w:rPr>
                <w:rFonts w:hint="eastAsia"/>
                <w:color w:val="000000"/>
                <w:kern w:val="0"/>
                <w:sz w:val="18"/>
                <w:szCs w:val="18"/>
              </w:rPr>
              <w:t>法律《</w:t>
            </w:r>
            <w:r>
              <w:rPr>
                <w:rFonts w:hint="eastAsia"/>
                <w:color w:val="0000FF"/>
                <w:kern w:val="0"/>
                <w:sz w:val="18"/>
                <w:szCs w:val="18"/>
                <w:lang w:eastAsia="zh-CN"/>
              </w:rPr>
              <w:t>中华</w:t>
            </w:r>
            <w:r>
              <w:rPr>
                <w:rFonts w:hint="eastAsia"/>
                <w:color w:val="000000"/>
                <w:kern w:val="0"/>
                <w:sz w:val="18"/>
                <w:szCs w:val="18"/>
              </w:rPr>
              <w:t>人民共和国招标投标法》（</w:t>
            </w:r>
            <w:r>
              <w:rPr>
                <w:color w:val="000000"/>
                <w:kern w:val="0"/>
                <w:sz w:val="18"/>
                <w:szCs w:val="18"/>
              </w:rPr>
              <w:t>1999</w:t>
            </w:r>
            <w:r>
              <w:rPr>
                <w:rFonts w:hint="eastAsia"/>
                <w:color w:val="000000"/>
                <w:kern w:val="0"/>
                <w:sz w:val="18"/>
                <w:szCs w:val="18"/>
              </w:rPr>
              <w:t>年国家主席令第二十一号）</w:t>
            </w:r>
          </w:p>
          <w:p w14:paraId="3DFC7691">
            <w:pPr>
              <w:spacing w:line="260" w:lineRule="exact"/>
              <w:jc w:val="left"/>
              <w:rPr>
                <w:color w:val="000000"/>
                <w:kern w:val="0"/>
                <w:sz w:val="18"/>
                <w:szCs w:val="18"/>
              </w:rPr>
            </w:pPr>
            <w:r>
              <w:rPr>
                <w:rFonts w:hint="eastAsia"/>
                <w:color w:val="000000"/>
                <w:kern w:val="0"/>
                <w:sz w:val="18"/>
                <w:szCs w:val="18"/>
              </w:rPr>
              <w:t>第三十七条　评标由招标人依法组建的评标委员会负责。</w:t>
            </w:r>
            <w:r>
              <w:rPr>
                <w:color w:val="000000"/>
                <w:kern w:val="0"/>
                <w:sz w:val="18"/>
                <w:szCs w:val="18"/>
              </w:rPr>
              <w:t xml:space="preserve"> </w:t>
            </w:r>
          </w:p>
          <w:p w14:paraId="5A920389">
            <w:pPr>
              <w:spacing w:line="260" w:lineRule="exact"/>
              <w:jc w:val="left"/>
              <w:rPr>
                <w:color w:val="000000"/>
                <w:kern w:val="0"/>
                <w:sz w:val="18"/>
                <w:szCs w:val="18"/>
              </w:rPr>
            </w:pPr>
            <w:r>
              <w:rPr>
                <w:rFonts w:hint="eastAsia"/>
                <w:color w:val="000000"/>
                <w:kern w:val="0"/>
                <w:sz w:val="18"/>
                <w:szCs w:val="18"/>
              </w:rPr>
              <w:t>　　依法必须进行招标的项目，其评标委员会由招标人的代表和有关技术、经济等方面的专家组成，成员人数为五人以上单数，其中技术、经济等方面的专家不得少于成员总数的三分之二。</w:t>
            </w:r>
            <w:r>
              <w:rPr>
                <w:color w:val="000000"/>
                <w:kern w:val="0"/>
                <w:sz w:val="18"/>
                <w:szCs w:val="18"/>
              </w:rPr>
              <w:t xml:space="preserve"> </w:t>
            </w:r>
          </w:p>
          <w:p w14:paraId="4DADFC79">
            <w:pPr>
              <w:spacing w:line="260" w:lineRule="exact"/>
              <w:jc w:val="left"/>
              <w:rPr>
                <w:color w:val="000000"/>
                <w:kern w:val="0"/>
                <w:sz w:val="18"/>
                <w:szCs w:val="18"/>
              </w:rPr>
            </w:pPr>
            <w:r>
              <w:rPr>
                <w:rFonts w:hint="eastAsia"/>
                <w:color w:val="000000"/>
                <w:kern w:val="0"/>
                <w:sz w:val="18"/>
                <w:szCs w:val="18"/>
              </w:rPr>
              <w:t>　　前款专家应当从事相关领域工作满八年并具有高级职称或者具有同等专业水平，由招标人从国务院有关部门或者省、自治区、直辖市人民政府有关部门提供的专家名册或者招标代理机构的专家库内的相关专业的专家名单中确定；一般招标项目可以采取随机抽取方式，特殊招标项目可以由招标人直接确定。</w:t>
            </w:r>
            <w:r>
              <w:rPr>
                <w:color w:val="000000"/>
                <w:kern w:val="0"/>
                <w:sz w:val="18"/>
                <w:szCs w:val="18"/>
              </w:rPr>
              <w:t xml:space="preserve"> </w:t>
            </w:r>
          </w:p>
          <w:p w14:paraId="7C4334BE">
            <w:pPr>
              <w:spacing w:line="260" w:lineRule="exact"/>
              <w:jc w:val="left"/>
              <w:rPr>
                <w:color w:val="000000"/>
                <w:kern w:val="0"/>
                <w:sz w:val="18"/>
                <w:szCs w:val="18"/>
              </w:rPr>
            </w:pPr>
            <w:r>
              <w:rPr>
                <w:rFonts w:hint="eastAsia"/>
                <w:color w:val="000000"/>
                <w:kern w:val="0"/>
                <w:sz w:val="18"/>
                <w:szCs w:val="18"/>
              </w:rPr>
              <w:t>　　与投标人有利害关系的人不得进入相关项目的评标委员会；已经进入的应当更换。</w:t>
            </w:r>
            <w:r>
              <w:rPr>
                <w:color w:val="000000"/>
                <w:kern w:val="0"/>
                <w:sz w:val="18"/>
                <w:szCs w:val="18"/>
              </w:rPr>
              <w:t xml:space="preserve"> </w:t>
            </w:r>
          </w:p>
          <w:p w14:paraId="67DB9F6D">
            <w:pPr>
              <w:spacing w:line="260" w:lineRule="exact"/>
              <w:jc w:val="left"/>
              <w:rPr>
                <w:color w:val="000000"/>
                <w:kern w:val="0"/>
                <w:sz w:val="18"/>
                <w:szCs w:val="18"/>
              </w:rPr>
            </w:pPr>
            <w:r>
              <w:rPr>
                <w:rFonts w:hint="eastAsia"/>
                <w:color w:val="000000"/>
                <w:kern w:val="0"/>
                <w:sz w:val="18"/>
                <w:szCs w:val="18"/>
              </w:rPr>
              <w:t>　　评标委员会成员的名单在中标结果确定前应当保密。</w:t>
            </w:r>
            <w:r>
              <w:rPr>
                <w:color w:val="000000"/>
                <w:kern w:val="0"/>
                <w:sz w:val="18"/>
                <w:szCs w:val="18"/>
              </w:rPr>
              <w:t xml:space="preserve"> </w:t>
            </w:r>
          </w:p>
          <w:p w14:paraId="7B46E7AC">
            <w:pPr>
              <w:spacing w:line="260" w:lineRule="exact"/>
              <w:jc w:val="left"/>
              <w:rPr>
                <w:color w:val="000000"/>
                <w:kern w:val="0"/>
                <w:sz w:val="18"/>
                <w:szCs w:val="18"/>
              </w:rPr>
            </w:pPr>
            <w:r>
              <w:rPr>
                <w:color w:val="000000"/>
                <w:kern w:val="0"/>
                <w:sz w:val="18"/>
                <w:szCs w:val="18"/>
              </w:rPr>
              <w:t>2.</w:t>
            </w:r>
            <w:r>
              <w:rPr>
                <w:rFonts w:hint="eastAsia"/>
                <w:color w:val="000000"/>
                <w:kern w:val="0"/>
                <w:sz w:val="18"/>
                <w:szCs w:val="18"/>
              </w:rPr>
              <w:t>行政法规《中华人民共和国招标投标法实施条例》（</w:t>
            </w:r>
            <w:r>
              <w:rPr>
                <w:color w:val="000000"/>
                <w:kern w:val="0"/>
                <w:sz w:val="18"/>
                <w:szCs w:val="18"/>
              </w:rPr>
              <w:t>2011</w:t>
            </w:r>
            <w:r>
              <w:rPr>
                <w:rFonts w:hint="eastAsia"/>
                <w:color w:val="000000"/>
                <w:kern w:val="0"/>
                <w:sz w:val="18"/>
                <w:szCs w:val="18"/>
              </w:rPr>
              <w:t>年国务院令第</w:t>
            </w:r>
            <w:r>
              <w:rPr>
                <w:color w:val="000000"/>
                <w:kern w:val="0"/>
                <w:sz w:val="18"/>
                <w:szCs w:val="18"/>
              </w:rPr>
              <w:t>613</w:t>
            </w:r>
            <w:r>
              <w:rPr>
                <w:rFonts w:hint="eastAsia"/>
                <w:color w:val="000000"/>
                <w:kern w:val="0"/>
                <w:sz w:val="18"/>
                <w:szCs w:val="18"/>
              </w:rPr>
              <w:t>号）</w:t>
            </w:r>
          </w:p>
          <w:p w14:paraId="7126574A">
            <w:pPr>
              <w:spacing w:line="260" w:lineRule="exact"/>
              <w:jc w:val="left"/>
              <w:rPr>
                <w:color w:val="000000"/>
                <w:kern w:val="0"/>
                <w:sz w:val="18"/>
                <w:szCs w:val="18"/>
              </w:rPr>
            </w:pPr>
            <w:r>
              <w:rPr>
                <w:rFonts w:hint="eastAsia"/>
                <w:color w:val="000000"/>
                <w:kern w:val="0"/>
                <w:sz w:val="18"/>
                <w:szCs w:val="18"/>
              </w:rPr>
              <w:t>第四十六条第一款　除招标投标法第三十七条第三款规定的特殊招标项目外，依法必须进行招标的项目，其评标委员会的专家成员应当从评标专家库内相关专业的专家名单中以随机抽取方式确定。任何单位和个人不得以明示、暗示等任何方式指定或者变相指定参加评标委员会的专家成员。</w:t>
            </w:r>
          </w:p>
          <w:p w14:paraId="7C6D02BB">
            <w:pPr>
              <w:spacing w:line="26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依法必须进行招标的项目的招标人非因招标投标法和本条例规定的事由，不得更换依法确定的评标委员会成员。更换评标委员会的专家成员应当依照前款规定进行。</w:t>
            </w:r>
          </w:p>
          <w:p w14:paraId="2F01E995">
            <w:pPr>
              <w:spacing w:line="260" w:lineRule="exact"/>
              <w:jc w:val="left"/>
              <w:rPr>
                <w:color w:val="000000"/>
                <w:kern w:val="0"/>
                <w:sz w:val="18"/>
                <w:szCs w:val="18"/>
              </w:rPr>
            </w:pPr>
            <w:r>
              <w:rPr>
                <w:rFonts w:hint="eastAsia"/>
                <w:color w:val="000000"/>
                <w:kern w:val="0"/>
                <w:sz w:val="18"/>
                <w:szCs w:val="18"/>
              </w:rPr>
              <w:t>第七十条　依法必须进行招标的项目的招标人不按照规定组建评标委员会，或者确定、更换评标委员会成员违反招标投标法和本条例规定的，由有关行政监督部门责令改正，可以处</w:t>
            </w:r>
            <w:r>
              <w:rPr>
                <w:color w:val="000000"/>
                <w:kern w:val="0"/>
                <w:sz w:val="18"/>
                <w:szCs w:val="18"/>
              </w:rPr>
              <w:t>10</w:t>
            </w:r>
            <w:r>
              <w:rPr>
                <w:rFonts w:hint="eastAsia"/>
                <w:color w:val="000000"/>
                <w:kern w:val="0"/>
                <w:sz w:val="18"/>
                <w:szCs w:val="18"/>
              </w:rPr>
              <w:t>万元以下的罚款，对单位直接负责的主管人员和其他直接责任人员依法给予处分；违法确定或者更换的评标委员会成员作出的评审结论无效，依法重新进行评审。</w:t>
            </w:r>
          </w:p>
          <w:p w14:paraId="2799FA29">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【规章】《工程建设项目施工招标投标办法》（发展和改革委员会、工业和信息化部、财政部、住房和城乡建设部、交通运输部、铁道部、水利部、国家广播电影电视总局、中国民用航空局令第</w:t>
            </w:r>
            <w:r>
              <w:rPr>
                <w:color w:val="000000"/>
                <w:kern w:val="0"/>
                <w:sz w:val="18"/>
                <w:szCs w:val="18"/>
              </w:rPr>
              <w:t>30</w:t>
            </w:r>
            <w:r>
              <w:rPr>
                <w:rFonts w:hint="eastAsia"/>
                <w:color w:val="000000"/>
                <w:kern w:val="0"/>
                <w:sz w:val="18"/>
                <w:szCs w:val="18"/>
              </w:rPr>
              <w:t>号，已根据《关于废止和修改部分招标投标规章和规范性文件的决定》修改）</w:t>
            </w:r>
            <w:r>
              <w:rPr>
                <w:color w:val="000000"/>
                <w:kern w:val="0"/>
                <w:sz w:val="18"/>
                <w:szCs w:val="18"/>
              </w:rPr>
              <w:br w:type="textWrapping"/>
            </w:r>
            <w:r>
              <w:rPr>
                <w:rFonts w:hint="eastAsia"/>
                <w:color w:val="000000"/>
                <w:kern w:val="0"/>
                <w:sz w:val="18"/>
                <w:szCs w:val="18"/>
              </w:rPr>
              <w:t>第七十九条　依法必须进行招标的项目的招标人不按照规定组建评标委员会，或者确定、更换评标委员会成员违反招标投标法和招标投标法实施条例规定的，由有关行政监督部门责令改正，可以处</w:t>
            </w:r>
            <w:r>
              <w:rPr>
                <w:color w:val="000000"/>
                <w:kern w:val="0"/>
                <w:sz w:val="18"/>
                <w:szCs w:val="18"/>
              </w:rPr>
              <w:t>10</w:t>
            </w:r>
            <w:r>
              <w:rPr>
                <w:rFonts w:hint="eastAsia"/>
                <w:color w:val="000000"/>
                <w:kern w:val="0"/>
                <w:sz w:val="18"/>
                <w:szCs w:val="18"/>
              </w:rPr>
              <w:t>万元以下的罚款，对单位直接负责的主管人员和其他直接责任人员依法给予处分；违法确定或者更换的评标委员会成员作出的评审决定无效，依法重新进行评审。</w:t>
            </w:r>
          </w:p>
          <w:p w14:paraId="28406D89">
            <w:pPr>
              <w:spacing w:line="260" w:lineRule="exact"/>
              <w:jc w:val="left"/>
              <w:rPr>
                <w:color w:val="000000"/>
              </w:rPr>
            </w:pPr>
            <w:r>
              <w:rPr>
                <w:rFonts w:hint="eastAsia"/>
                <w:color w:val="000000"/>
                <w:kern w:val="0"/>
                <w:sz w:val="18"/>
                <w:szCs w:val="18"/>
              </w:rPr>
              <w:t>【规章】《工程建设项目勘察设计招标投标办法》（国家发展改革委令第</w:t>
            </w:r>
            <w:r>
              <w:rPr>
                <w:color w:val="000000"/>
                <w:kern w:val="0"/>
                <w:sz w:val="18"/>
                <w:szCs w:val="18"/>
              </w:rPr>
              <w:t>27</w:t>
            </w:r>
            <w:r>
              <w:rPr>
                <w:rFonts w:hint="eastAsia"/>
                <w:color w:val="000000"/>
                <w:kern w:val="0"/>
                <w:sz w:val="18"/>
                <w:szCs w:val="18"/>
              </w:rPr>
              <w:t>号）</w:t>
            </w:r>
            <w:bookmarkStart w:id="1" w:name="_GoBack"/>
            <w:bookmarkEnd w:id="1"/>
          </w:p>
        </w:tc>
      </w:tr>
      <w:tr w14:paraId="08DF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5" w:hRule="atLeast"/>
        </w:trPr>
        <w:tc>
          <w:tcPr>
            <w:tcW w:w="1149" w:type="dxa"/>
            <w:gridSpan w:val="2"/>
            <w:vAlign w:val="center"/>
          </w:tcPr>
          <w:p w14:paraId="049A5C50">
            <w:pPr>
              <w:rPr>
                <w:color w:val="000000"/>
              </w:rPr>
            </w:pPr>
          </w:p>
        </w:tc>
        <w:tc>
          <w:tcPr>
            <w:tcW w:w="12906" w:type="dxa"/>
            <w:gridSpan w:val="3"/>
            <w:vAlign w:val="center"/>
          </w:tcPr>
          <w:p w14:paraId="0D7D6EC3">
            <w:pPr>
              <w:spacing w:line="260" w:lineRule="exact"/>
              <w:jc w:val="left"/>
              <w:rPr>
                <w:color w:val="000000"/>
                <w:kern w:val="0"/>
                <w:sz w:val="18"/>
                <w:szCs w:val="18"/>
              </w:rPr>
            </w:pPr>
            <w:r>
              <w:rPr>
                <w:rFonts w:hint="eastAsia"/>
                <w:color w:val="000000"/>
                <w:kern w:val="0"/>
                <w:sz w:val="18"/>
                <w:szCs w:val="18"/>
              </w:rPr>
              <w:t>第五十三条第二款</w:t>
            </w:r>
            <w:r>
              <w:rPr>
                <w:color w:val="000000"/>
                <w:kern w:val="0"/>
                <w:sz w:val="18"/>
                <w:szCs w:val="18"/>
              </w:rPr>
              <w:t xml:space="preserve">  </w:t>
            </w:r>
            <w:r>
              <w:rPr>
                <w:rFonts w:hint="eastAsia"/>
                <w:color w:val="000000"/>
                <w:kern w:val="0"/>
                <w:sz w:val="18"/>
                <w:szCs w:val="18"/>
              </w:rPr>
              <w:t>依法必须进行招标的项目的招标人不按照规定组建评标委员会，或者确定、更换评标委员会成员违反招标投标法和招标投标法实施条例规定的，由有关行政监督部门责令改正，可以处</w:t>
            </w:r>
            <w:r>
              <w:rPr>
                <w:color w:val="000000"/>
                <w:kern w:val="0"/>
                <w:sz w:val="18"/>
                <w:szCs w:val="18"/>
              </w:rPr>
              <w:t>10</w:t>
            </w:r>
            <w:r>
              <w:rPr>
                <w:rFonts w:hint="eastAsia"/>
                <w:color w:val="000000"/>
                <w:kern w:val="0"/>
                <w:sz w:val="18"/>
                <w:szCs w:val="18"/>
              </w:rPr>
              <w:t>万元以下的罚款，对单位直接负责的主管人员和其他直接责任人员依法给予处分；违法确定或者更换的评标委员会成员作出的评审结论无效，依法重新进行评审。</w:t>
            </w:r>
            <w:r>
              <w:rPr>
                <w:color w:val="000000"/>
                <w:kern w:val="0"/>
                <w:sz w:val="18"/>
                <w:szCs w:val="18"/>
              </w:rPr>
              <w:br w:type="textWrapping"/>
            </w:r>
            <w:r>
              <w:rPr>
                <w:rFonts w:hint="eastAsia"/>
                <w:color w:val="000000"/>
                <w:kern w:val="0"/>
                <w:sz w:val="18"/>
                <w:szCs w:val="18"/>
              </w:rPr>
              <w:t>【规章】《评标专家和评标专家库管理暂行办法》（发展改革委员会令第</w:t>
            </w:r>
            <w:r>
              <w:rPr>
                <w:color w:val="000000"/>
                <w:kern w:val="0"/>
                <w:sz w:val="18"/>
                <w:szCs w:val="18"/>
              </w:rPr>
              <w:t>29</w:t>
            </w:r>
            <w:r>
              <w:rPr>
                <w:rFonts w:hint="eastAsia"/>
                <w:color w:val="000000"/>
                <w:kern w:val="0"/>
                <w:sz w:val="18"/>
                <w:szCs w:val="18"/>
              </w:rPr>
              <w:t>号，根据</w:t>
            </w:r>
            <w:r>
              <w:rPr>
                <w:color w:val="000000"/>
                <w:kern w:val="0"/>
                <w:sz w:val="18"/>
                <w:szCs w:val="18"/>
              </w:rPr>
              <w:t>2013</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11</w:t>
            </w:r>
            <w:r>
              <w:rPr>
                <w:rFonts w:hint="eastAsia"/>
                <w:color w:val="000000"/>
                <w:kern w:val="0"/>
                <w:sz w:val="18"/>
                <w:szCs w:val="18"/>
              </w:rPr>
              <w:t>日《关于废止和修改部分招标投标规章和规范性文件的决定》</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r>
              <w:rPr>
                <w:color w:val="000000"/>
                <w:kern w:val="0"/>
                <w:sz w:val="18"/>
                <w:szCs w:val="18"/>
              </w:rPr>
              <w:br w:type="textWrapping"/>
            </w:r>
            <w:r>
              <w:rPr>
                <w:rFonts w:hint="eastAsia"/>
                <w:color w:val="000000"/>
                <w:kern w:val="0"/>
                <w:sz w:val="18"/>
                <w:szCs w:val="18"/>
              </w:rPr>
              <w:t>第十七条　依法必须进行招标的项目的招标人不按照规定组建评标委员会，或者确定、更换评标委员会成员违反《中华人民共和国招标投标法》和《招标投标法实施条例》规定的，由有关行政监督部门责令改正，可以处十万元以下的罚款，对单位直接负责的主管人员和其他直接责任人员依法给予处分；违法确定或者更换的评标委员会成员作出的评审结论无效，依法重新进行评审。</w:t>
            </w:r>
          </w:p>
        </w:tc>
      </w:tr>
      <w:tr w14:paraId="10B6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49" w:type="dxa"/>
            <w:gridSpan w:val="2"/>
            <w:vAlign w:val="center"/>
          </w:tcPr>
          <w:p w14:paraId="428E0AF1">
            <w:pPr>
              <w:rPr>
                <w:color w:val="000000"/>
              </w:rPr>
            </w:pPr>
            <w:r>
              <w:rPr>
                <w:rFonts w:hint="eastAsia"/>
                <w:color w:val="000000"/>
              </w:rPr>
              <w:t>行使内容</w:t>
            </w:r>
          </w:p>
        </w:tc>
        <w:tc>
          <w:tcPr>
            <w:tcW w:w="12906" w:type="dxa"/>
            <w:gridSpan w:val="3"/>
            <w:vAlign w:val="center"/>
          </w:tcPr>
          <w:p w14:paraId="595FDA7C">
            <w:pPr>
              <w:rPr>
                <w:color w:val="000000"/>
              </w:rPr>
            </w:pPr>
            <w:r>
              <w:rPr>
                <w:rFonts w:hint="eastAsia"/>
                <w:color w:val="000000"/>
              </w:rPr>
              <w:t>罚款</w:t>
            </w:r>
          </w:p>
        </w:tc>
      </w:tr>
      <w:tr w14:paraId="22CA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55" w:type="dxa"/>
            <w:gridSpan w:val="5"/>
            <w:vAlign w:val="center"/>
          </w:tcPr>
          <w:p w14:paraId="2A874864">
            <w:pPr>
              <w:jc w:val="center"/>
              <w:rPr>
                <w:color w:val="000000"/>
              </w:rPr>
            </w:pPr>
            <w:r>
              <w:rPr>
                <w:rFonts w:hint="eastAsia"/>
                <w:color w:val="000000"/>
              </w:rPr>
              <w:t>裁量基准</w:t>
            </w:r>
          </w:p>
        </w:tc>
      </w:tr>
      <w:tr w14:paraId="76BE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1" w:type="dxa"/>
            <w:vMerge w:val="restart"/>
            <w:vAlign w:val="center"/>
          </w:tcPr>
          <w:p w14:paraId="23B59B1A">
            <w:pPr>
              <w:rPr>
                <w:color w:val="000000"/>
              </w:rPr>
            </w:pPr>
            <w:r>
              <w:rPr>
                <w:rFonts w:hint="eastAsia"/>
                <w:color w:val="000000"/>
                <w:kern w:val="0"/>
                <w:sz w:val="18"/>
                <w:szCs w:val="18"/>
              </w:rPr>
              <w:t>情形描述</w:t>
            </w:r>
          </w:p>
        </w:tc>
        <w:tc>
          <w:tcPr>
            <w:tcW w:w="6140" w:type="dxa"/>
            <w:gridSpan w:val="2"/>
            <w:vAlign w:val="center"/>
          </w:tcPr>
          <w:p w14:paraId="6E771F1D">
            <w:pPr>
              <w:rPr>
                <w:color w:val="000000"/>
              </w:rPr>
            </w:pPr>
            <w:r>
              <w:rPr>
                <w:rFonts w:hint="eastAsia"/>
                <w:color w:val="000000"/>
                <w:kern w:val="0"/>
                <w:sz w:val="18"/>
                <w:szCs w:val="18"/>
              </w:rPr>
              <w:t>评标委员会专家组成不符合要求或者选取方式不符合要求，按要求改正的</w:t>
            </w:r>
          </w:p>
        </w:tc>
        <w:tc>
          <w:tcPr>
            <w:tcW w:w="1074" w:type="dxa"/>
            <w:vMerge w:val="restart"/>
            <w:vAlign w:val="center"/>
          </w:tcPr>
          <w:p w14:paraId="0A997FFD">
            <w:pPr>
              <w:rPr>
                <w:color w:val="000000"/>
              </w:rPr>
            </w:pPr>
            <w:r>
              <w:rPr>
                <w:rFonts w:hint="eastAsia"/>
                <w:color w:val="000000"/>
                <w:kern w:val="0"/>
                <w:sz w:val="18"/>
                <w:szCs w:val="18"/>
              </w:rPr>
              <w:t>裁量幅度</w:t>
            </w:r>
          </w:p>
        </w:tc>
        <w:tc>
          <w:tcPr>
            <w:tcW w:w="5820" w:type="dxa"/>
            <w:vAlign w:val="center"/>
          </w:tcPr>
          <w:p w14:paraId="03C0BD1F">
            <w:pPr>
              <w:rPr>
                <w:color w:val="000000"/>
              </w:rPr>
            </w:pPr>
            <w:r>
              <w:rPr>
                <w:color w:val="000000"/>
                <w:kern w:val="0"/>
                <w:sz w:val="18"/>
                <w:szCs w:val="18"/>
              </w:rPr>
              <w:t xml:space="preserve"> </w:t>
            </w: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万元以下的罚款</w:t>
            </w:r>
          </w:p>
        </w:tc>
      </w:tr>
      <w:tr w14:paraId="7A36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1" w:type="dxa"/>
            <w:vMerge w:val="continue"/>
            <w:vAlign w:val="center"/>
          </w:tcPr>
          <w:p w14:paraId="4C30B1EB">
            <w:pPr>
              <w:rPr>
                <w:color w:val="000000"/>
              </w:rPr>
            </w:pPr>
          </w:p>
        </w:tc>
        <w:tc>
          <w:tcPr>
            <w:tcW w:w="6140" w:type="dxa"/>
            <w:gridSpan w:val="2"/>
            <w:vAlign w:val="center"/>
          </w:tcPr>
          <w:p w14:paraId="4EC21E78">
            <w:pPr>
              <w:rPr>
                <w:color w:val="000000"/>
              </w:rPr>
            </w:pPr>
            <w:r>
              <w:rPr>
                <w:rFonts w:hint="eastAsia"/>
                <w:color w:val="000000"/>
                <w:kern w:val="0"/>
                <w:sz w:val="18"/>
                <w:szCs w:val="18"/>
              </w:rPr>
              <w:t>评标委员会专家组成不符合要求和选取方式不符合要求，按要求改正的</w:t>
            </w:r>
          </w:p>
        </w:tc>
        <w:tc>
          <w:tcPr>
            <w:tcW w:w="1074" w:type="dxa"/>
            <w:vMerge w:val="continue"/>
            <w:vAlign w:val="center"/>
          </w:tcPr>
          <w:p w14:paraId="5C5694E0">
            <w:pPr>
              <w:rPr>
                <w:color w:val="000000"/>
              </w:rPr>
            </w:pPr>
          </w:p>
        </w:tc>
        <w:tc>
          <w:tcPr>
            <w:tcW w:w="5820" w:type="dxa"/>
            <w:vAlign w:val="center"/>
          </w:tcPr>
          <w:p w14:paraId="60F10F2E">
            <w:pPr>
              <w:rPr>
                <w:color w:val="000000"/>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14:paraId="1B5F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1" w:type="dxa"/>
            <w:vMerge w:val="continue"/>
            <w:vAlign w:val="center"/>
          </w:tcPr>
          <w:p w14:paraId="401956EB">
            <w:pPr>
              <w:rPr>
                <w:color w:val="000000"/>
              </w:rPr>
            </w:pPr>
          </w:p>
        </w:tc>
        <w:tc>
          <w:tcPr>
            <w:tcW w:w="6140" w:type="dxa"/>
            <w:gridSpan w:val="2"/>
            <w:vAlign w:val="center"/>
          </w:tcPr>
          <w:p w14:paraId="62361211">
            <w:pPr>
              <w:rPr>
                <w:color w:val="000000"/>
                <w:kern w:val="0"/>
                <w:sz w:val="18"/>
                <w:szCs w:val="18"/>
              </w:rPr>
            </w:pPr>
            <w:r>
              <w:rPr>
                <w:rFonts w:hint="eastAsia"/>
                <w:color w:val="000000"/>
                <w:kern w:val="0"/>
                <w:sz w:val="18"/>
                <w:szCs w:val="18"/>
              </w:rPr>
              <w:t>评标委员会专家组成不符合要求或者选取方式不符合要求，未按要求改正的</w:t>
            </w:r>
          </w:p>
        </w:tc>
        <w:tc>
          <w:tcPr>
            <w:tcW w:w="1074" w:type="dxa"/>
            <w:vMerge w:val="continue"/>
            <w:vAlign w:val="center"/>
          </w:tcPr>
          <w:p w14:paraId="0B714620">
            <w:pPr>
              <w:rPr>
                <w:color w:val="000000"/>
              </w:rPr>
            </w:pPr>
          </w:p>
        </w:tc>
        <w:tc>
          <w:tcPr>
            <w:tcW w:w="5820" w:type="dxa"/>
            <w:vAlign w:val="center"/>
          </w:tcPr>
          <w:p w14:paraId="2AEEF179">
            <w:pPr>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14:paraId="110E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21" w:type="dxa"/>
            <w:vMerge w:val="continue"/>
            <w:vAlign w:val="center"/>
          </w:tcPr>
          <w:p w14:paraId="53828EEB">
            <w:pPr>
              <w:rPr>
                <w:color w:val="000000"/>
              </w:rPr>
            </w:pPr>
          </w:p>
        </w:tc>
        <w:tc>
          <w:tcPr>
            <w:tcW w:w="6140" w:type="dxa"/>
            <w:gridSpan w:val="2"/>
            <w:vAlign w:val="center"/>
          </w:tcPr>
          <w:p w14:paraId="1E154FB0">
            <w:pPr>
              <w:rPr>
                <w:color w:val="000000"/>
                <w:kern w:val="0"/>
                <w:sz w:val="18"/>
                <w:szCs w:val="18"/>
              </w:rPr>
            </w:pPr>
            <w:r>
              <w:rPr>
                <w:rFonts w:hint="eastAsia"/>
                <w:color w:val="000000"/>
                <w:kern w:val="0"/>
                <w:sz w:val="18"/>
                <w:szCs w:val="18"/>
              </w:rPr>
              <w:t>评标委员会专家组成不符合要求和选取方式不符合要求，未按要求改正的</w:t>
            </w:r>
          </w:p>
        </w:tc>
        <w:tc>
          <w:tcPr>
            <w:tcW w:w="1074" w:type="dxa"/>
            <w:vMerge w:val="continue"/>
            <w:vAlign w:val="center"/>
          </w:tcPr>
          <w:p w14:paraId="1E7BEBF4">
            <w:pPr>
              <w:rPr>
                <w:color w:val="000000"/>
              </w:rPr>
            </w:pPr>
          </w:p>
        </w:tc>
        <w:tc>
          <w:tcPr>
            <w:tcW w:w="5820" w:type="dxa"/>
            <w:vAlign w:val="center"/>
          </w:tcPr>
          <w:p w14:paraId="5D750AA0">
            <w:pPr>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5456C749"/>
    <w:p w14:paraId="21BD4208"/>
    <w:p w14:paraId="190F55EA"/>
    <w:p w14:paraId="1F1E64DB"/>
    <w:p w14:paraId="198D4887"/>
    <w:p w14:paraId="7AA54755"/>
    <w:tbl>
      <w:tblPr>
        <w:tblStyle w:val="15"/>
        <w:tblW w:w="0" w:type="auto"/>
        <w:tblInd w:w="78" w:type="dxa"/>
        <w:tblLayout w:type="fixed"/>
        <w:tblCellMar>
          <w:top w:w="0" w:type="dxa"/>
          <w:left w:w="108" w:type="dxa"/>
          <w:bottom w:w="0" w:type="dxa"/>
          <w:right w:w="108" w:type="dxa"/>
        </w:tblCellMar>
      </w:tblPr>
      <w:tblGrid>
        <w:gridCol w:w="1050"/>
        <w:gridCol w:w="6140"/>
        <w:gridCol w:w="1100"/>
        <w:gridCol w:w="5760"/>
      </w:tblGrid>
      <w:tr w14:paraId="691E2BAD">
        <w:tblPrEx>
          <w:tblCellMar>
            <w:top w:w="0" w:type="dxa"/>
            <w:left w:w="108" w:type="dxa"/>
            <w:bottom w:w="0" w:type="dxa"/>
            <w:right w:w="108" w:type="dxa"/>
          </w:tblCellMar>
        </w:tblPrEx>
        <w:trPr>
          <w:trHeight w:val="285" w:hRule="atLeast"/>
        </w:trPr>
        <w:tc>
          <w:tcPr>
            <w:tcW w:w="1050" w:type="dxa"/>
            <w:tcBorders>
              <w:top w:val="single" w:color="auto" w:sz="8" w:space="0"/>
              <w:left w:val="single" w:color="auto" w:sz="8" w:space="0"/>
              <w:bottom w:val="single" w:color="auto" w:sz="4" w:space="0"/>
              <w:right w:val="single" w:color="auto" w:sz="4" w:space="0"/>
            </w:tcBorders>
            <w:vAlign w:val="center"/>
          </w:tcPr>
          <w:p w14:paraId="6EB1E5B9">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color="auto" w:sz="8" w:space="0"/>
              <w:left w:val="nil"/>
              <w:bottom w:val="single" w:color="auto" w:sz="4" w:space="0"/>
              <w:right w:val="single" w:color="000000" w:sz="8" w:space="0"/>
            </w:tcBorders>
            <w:vAlign w:val="center"/>
          </w:tcPr>
          <w:p w14:paraId="53581162">
            <w:pPr>
              <w:spacing w:line="320" w:lineRule="exact"/>
              <w:jc w:val="left"/>
              <w:rPr>
                <w:rFonts w:eastAsia="仿宋_GB2312"/>
                <w:b/>
                <w:bCs/>
                <w:color w:val="000000"/>
                <w:kern w:val="0"/>
                <w:sz w:val="18"/>
                <w:szCs w:val="18"/>
              </w:rPr>
            </w:pPr>
            <w:r>
              <w:rPr>
                <w:rFonts w:eastAsia="仿宋_GB2312"/>
                <w:b/>
                <w:bCs/>
                <w:color w:val="000000"/>
                <w:kern w:val="0"/>
                <w:sz w:val="18"/>
                <w:szCs w:val="18"/>
              </w:rPr>
              <w:t>320217701000</w:t>
            </w:r>
            <w:r>
              <w:rPr>
                <w:rFonts w:hint="eastAsia" w:eastAsia="仿宋_GB2312"/>
                <w:b/>
                <w:bCs/>
                <w:color w:val="000000"/>
                <w:kern w:val="0"/>
                <w:sz w:val="18"/>
                <w:szCs w:val="18"/>
              </w:rPr>
              <w:t xml:space="preserve"> </w:t>
            </w:r>
          </w:p>
        </w:tc>
      </w:tr>
      <w:tr w14:paraId="3BA95732">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1AAB829C">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color="auto" w:sz="4" w:space="0"/>
              <w:left w:val="nil"/>
              <w:bottom w:val="single" w:color="auto" w:sz="4" w:space="0"/>
              <w:right w:val="single" w:color="000000" w:sz="8" w:space="0"/>
            </w:tcBorders>
            <w:vAlign w:val="center"/>
          </w:tcPr>
          <w:p w14:paraId="6973D623">
            <w:pPr>
              <w:spacing w:line="320" w:lineRule="exact"/>
              <w:jc w:val="left"/>
              <w:rPr>
                <w:color w:val="000000"/>
                <w:kern w:val="0"/>
                <w:sz w:val="18"/>
                <w:szCs w:val="18"/>
              </w:rPr>
            </w:pPr>
            <w:r>
              <w:rPr>
                <w:rFonts w:hint="eastAsia"/>
                <w:color w:val="000000"/>
                <w:kern w:val="0"/>
                <w:sz w:val="18"/>
                <w:szCs w:val="18"/>
              </w:rPr>
              <w:t>对工程监理单位发现施工单位拒不整改或者不停止施工，未及时向有关主管部门报告的处罚</w:t>
            </w:r>
          </w:p>
        </w:tc>
      </w:tr>
      <w:tr w14:paraId="088C2439">
        <w:tblPrEx>
          <w:tblCellMar>
            <w:top w:w="0" w:type="dxa"/>
            <w:left w:w="108" w:type="dxa"/>
            <w:bottom w:w="0" w:type="dxa"/>
            <w:right w:w="108" w:type="dxa"/>
          </w:tblCellMar>
        </w:tblPrEx>
        <w:trPr>
          <w:trHeight w:val="2490" w:hRule="atLeast"/>
        </w:trPr>
        <w:tc>
          <w:tcPr>
            <w:tcW w:w="1050" w:type="dxa"/>
            <w:tcBorders>
              <w:top w:val="nil"/>
              <w:left w:val="single" w:color="auto" w:sz="8" w:space="0"/>
              <w:bottom w:val="single" w:color="auto" w:sz="4" w:space="0"/>
              <w:right w:val="single" w:color="auto" w:sz="4" w:space="0"/>
            </w:tcBorders>
            <w:vAlign w:val="center"/>
          </w:tcPr>
          <w:p w14:paraId="15B84764">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color="auto" w:sz="4" w:space="0"/>
              <w:left w:val="nil"/>
              <w:bottom w:val="single" w:color="auto" w:sz="4" w:space="0"/>
              <w:right w:val="single" w:color="000000" w:sz="8" w:space="0"/>
            </w:tcBorders>
            <w:vAlign w:val="center"/>
          </w:tcPr>
          <w:p w14:paraId="7DECF592">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14:paraId="48FF3570">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r>
              <w:rPr>
                <w:color w:val="000000"/>
                <w:kern w:val="0"/>
                <w:sz w:val="18"/>
                <w:szCs w:val="18"/>
              </w:rPr>
              <w:t xml:space="preserve">  </w:t>
            </w:r>
          </w:p>
          <w:p w14:paraId="1295613A">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违反本条例的规定，工程监理单位有下列行为之一的，责令限期改正；逾期未改正的，责令停业整顿，并处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p>
          <w:p w14:paraId="21C9AD7A">
            <w:pPr>
              <w:spacing w:line="260" w:lineRule="exact"/>
              <w:jc w:val="left"/>
              <w:rPr>
                <w:color w:val="000000"/>
                <w:kern w:val="0"/>
                <w:sz w:val="18"/>
                <w:szCs w:val="18"/>
              </w:rPr>
            </w:pPr>
            <w:r>
              <w:rPr>
                <w:rFonts w:hint="eastAsia"/>
                <w:color w:val="000000"/>
                <w:kern w:val="0"/>
                <w:sz w:val="18"/>
                <w:szCs w:val="18"/>
              </w:rPr>
              <w:t>（三）施工单位拒不整改或者不停止施工，未及时向有关主管部门报告的；</w:t>
            </w:r>
            <w:r>
              <w:rPr>
                <w:color w:val="000000"/>
                <w:kern w:val="0"/>
                <w:sz w:val="18"/>
                <w:szCs w:val="18"/>
              </w:rPr>
              <w:t xml:space="preserve"> </w:t>
            </w:r>
          </w:p>
          <w:p w14:paraId="430C5458">
            <w:pPr>
              <w:spacing w:line="26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14:paraId="48B1264F">
            <w:pPr>
              <w:spacing w:line="260" w:lineRule="exact"/>
              <w:jc w:val="left"/>
              <w:rPr>
                <w:color w:val="000000"/>
                <w:kern w:val="0"/>
                <w:sz w:val="18"/>
                <w:szCs w:val="18"/>
              </w:rPr>
            </w:pPr>
            <w:r>
              <w:rPr>
                <w:rFonts w:hint="eastAsia"/>
                <w:color w:val="000000"/>
                <w:kern w:val="0"/>
                <w:sz w:val="18"/>
                <w:szCs w:val="18"/>
              </w:rPr>
              <w:t>【规章】《危险性较大的分部分项工程安全管理规定》（</w:t>
            </w:r>
            <w:r>
              <w:rPr>
                <w:color w:val="000000"/>
                <w:kern w:val="0"/>
                <w:sz w:val="18"/>
                <w:szCs w:val="18"/>
              </w:rPr>
              <w:t>2018</w:t>
            </w:r>
            <w:r>
              <w:rPr>
                <w:rFonts w:hint="eastAsia"/>
                <w:color w:val="000000"/>
                <w:kern w:val="0"/>
                <w:sz w:val="18"/>
                <w:szCs w:val="18"/>
              </w:rPr>
              <w:t>年住房和城乡建设部令第</w:t>
            </w:r>
            <w:r>
              <w:rPr>
                <w:color w:val="000000"/>
                <w:kern w:val="0"/>
                <w:sz w:val="18"/>
                <w:szCs w:val="18"/>
              </w:rPr>
              <w:t>37</w:t>
            </w:r>
            <w:r>
              <w:rPr>
                <w:rFonts w:hint="eastAsia"/>
                <w:color w:val="000000"/>
                <w:kern w:val="0"/>
                <w:sz w:val="18"/>
                <w:szCs w:val="18"/>
              </w:rPr>
              <w:t>号）</w:t>
            </w:r>
          </w:p>
          <w:p w14:paraId="5B55024B">
            <w:pPr>
              <w:spacing w:line="260" w:lineRule="exact"/>
              <w:jc w:val="left"/>
              <w:rPr>
                <w:color w:val="000000"/>
                <w:kern w:val="0"/>
                <w:sz w:val="18"/>
                <w:szCs w:val="18"/>
              </w:rPr>
            </w:pPr>
            <w:r>
              <w:rPr>
                <w:rFonts w:hint="eastAsia"/>
                <w:color w:val="000000"/>
                <w:kern w:val="0"/>
                <w:sz w:val="18"/>
                <w:szCs w:val="18"/>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14:paraId="2EDF23B6">
            <w:pPr>
              <w:spacing w:line="260" w:lineRule="exact"/>
              <w:jc w:val="left"/>
              <w:rPr>
                <w:color w:val="000000"/>
                <w:kern w:val="0"/>
                <w:sz w:val="18"/>
                <w:szCs w:val="18"/>
              </w:rPr>
            </w:pPr>
            <w:r>
              <w:rPr>
                <w:rFonts w:hint="eastAsia"/>
                <w:color w:val="000000"/>
                <w:kern w:val="0"/>
                <w:sz w:val="18"/>
                <w:szCs w:val="18"/>
              </w:rPr>
              <w:t>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6521128F">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（三）施工单位拒不整改或者不停止施工时，未向建设单位和工程所在地住房城乡建设主管部门报告的。</w:t>
            </w:r>
          </w:p>
        </w:tc>
      </w:tr>
      <w:tr w14:paraId="3108BAD1">
        <w:tblPrEx>
          <w:tblCellMar>
            <w:top w:w="0" w:type="dxa"/>
            <w:left w:w="108" w:type="dxa"/>
            <w:bottom w:w="0" w:type="dxa"/>
            <w:right w:w="108" w:type="dxa"/>
          </w:tblCellMar>
        </w:tblPrEx>
        <w:trPr>
          <w:trHeight w:val="285" w:hRule="atLeast"/>
        </w:trPr>
        <w:tc>
          <w:tcPr>
            <w:tcW w:w="1050" w:type="dxa"/>
            <w:tcBorders>
              <w:top w:val="nil"/>
              <w:left w:val="single" w:color="auto" w:sz="8" w:space="0"/>
              <w:bottom w:val="single" w:color="auto" w:sz="4" w:space="0"/>
              <w:right w:val="single" w:color="auto" w:sz="4" w:space="0"/>
            </w:tcBorders>
            <w:vAlign w:val="center"/>
          </w:tcPr>
          <w:p w14:paraId="65625EDF">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color="auto" w:sz="4" w:space="0"/>
              <w:left w:val="nil"/>
              <w:bottom w:val="single" w:color="auto" w:sz="4" w:space="0"/>
              <w:right w:val="single" w:color="000000" w:sz="8" w:space="0"/>
            </w:tcBorders>
            <w:vAlign w:val="center"/>
          </w:tcPr>
          <w:p w14:paraId="742AACB1">
            <w:pPr>
              <w:spacing w:line="26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14:paraId="3F3FE618">
        <w:tblPrEx>
          <w:tblCellMar>
            <w:top w:w="0" w:type="dxa"/>
            <w:left w:w="108" w:type="dxa"/>
            <w:bottom w:w="0" w:type="dxa"/>
            <w:right w:w="108" w:type="dxa"/>
          </w:tblCellMar>
        </w:tblPrEx>
        <w:trPr>
          <w:trHeight w:val="285" w:hRule="atLeast"/>
        </w:trPr>
        <w:tc>
          <w:tcPr>
            <w:tcW w:w="14050" w:type="dxa"/>
            <w:gridSpan w:val="4"/>
            <w:tcBorders>
              <w:top w:val="single" w:color="auto" w:sz="4" w:space="0"/>
              <w:left w:val="single" w:color="auto" w:sz="8" w:space="0"/>
              <w:bottom w:val="single" w:color="auto" w:sz="4" w:space="0"/>
              <w:right w:val="single" w:color="000000" w:sz="8" w:space="0"/>
            </w:tcBorders>
            <w:vAlign w:val="center"/>
          </w:tcPr>
          <w:p w14:paraId="72532758">
            <w:pPr>
              <w:spacing w:line="320" w:lineRule="exact"/>
              <w:jc w:val="center"/>
              <w:rPr>
                <w:color w:val="000000"/>
                <w:kern w:val="0"/>
                <w:sz w:val="18"/>
                <w:szCs w:val="18"/>
              </w:rPr>
            </w:pPr>
            <w:r>
              <w:rPr>
                <w:rFonts w:hint="eastAsia"/>
                <w:color w:val="000000"/>
                <w:kern w:val="0"/>
                <w:sz w:val="18"/>
                <w:szCs w:val="18"/>
              </w:rPr>
              <w:t>裁量基准</w:t>
            </w:r>
          </w:p>
        </w:tc>
      </w:tr>
      <w:tr w14:paraId="538FCD29">
        <w:tblPrEx>
          <w:tblCellMar>
            <w:top w:w="0" w:type="dxa"/>
            <w:left w:w="108" w:type="dxa"/>
            <w:bottom w:w="0" w:type="dxa"/>
            <w:right w:w="108" w:type="dxa"/>
          </w:tblCellMar>
        </w:tblPrEx>
        <w:trPr>
          <w:trHeight w:val="285" w:hRule="atLeast"/>
        </w:trPr>
        <w:tc>
          <w:tcPr>
            <w:tcW w:w="1050" w:type="dxa"/>
            <w:vMerge w:val="restart"/>
            <w:tcBorders>
              <w:top w:val="single" w:color="auto" w:sz="4" w:space="0"/>
              <w:left w:val="single" w:color="auto" w:sz="4" w:space="0"/>
              <w:bottom w:val="single" w:color="000000" w:sz="4" w:space="0"/>
              <w:right w:val="single" w:color="auto" w:sz="4" w:space="0"/>
            </w:tcBorders>
            <w:vAlign w:val="center"/>
          </w:tcPr>
          <w:p w14:paraId="57C010F4">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000000" w:sz="4" w:space="0"/>
            </w:tcBorders>
            <w:vAlign w:val="center"/>
          </w:tcPr>
          <w:p w14:paraId="3E06B2EA">
            <w:pPr>
              <w:spacing w:line="32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single" w:color="auto" w:sz="4" w:space="0"/>
              <w:left w:val="single" w:color="auto" w:sz="4" w:space="0"/>
              <w:bottom w:val="single" w:color="000000" w:sz="4" w:space="0"/>
              <w:right w:val="single" w:color="auto" w:sz="4" w:space="0"/>
            </w:tcBorders>
            <w:vAlign w:val="center"/>
          </w:tcPr>
          <w:p w14:paraId="7E4EB547">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1B30768D">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14:paraId="02766F42">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14:paraId="45EA16D5">
        <w:tblPrEx>
          <w:tblCellMar>
            <w:top w:w="0" w:type="dxa"/>
            <w:left w:w="108" w:type="dxa"/>
            <w:bottom w:w="0" w:type="dxa"/>
            <w:right w:w="108" w:type="dxa"/>
          </w:tblCellMar>
        </w:tblPrEx>
        <w:trPr>
          <w:trHeight w:val="285" w:hRule="atLeast"/>
        </w:trPr>
        <w:tc>
          <w:tcPr>
            <w:tcW w:w="1050" w:type="dxa"/>
            <w:vMerge w:val="continue"/>
            <w:tcBorders>
              <w:top w:val="nil"/>
              <w:left w:val="single" w:color="auto" w:sz="4" w:space="0"/>
              <w:bottom w:val="single" w:color="000000" w:sz="4" w:space="0"/>
              <w:right w:val="single" w:color="auto" w:sz="4" w:space="0"/>
            </w:tcBorders>
            <w:vAlign w:val="center"/>
          </w:tcPr>
          <w:p w14:paraId="08D6371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71E17EA4">
            <w:pPr>
              <w:spacing w:line="320" w:lineRule="exact"/>
              <w:jc w:val="left"/>
              <w:rPr>
                <w:color w:val="000000"/>
                <w:kern w:val="0"/>
                <w:sz w:val="18"/>
                <w:szCs w:val="18"/>
              </w:rPr>
            </w:pPr>
            <w:r>
              <w:rPr>
                <w:rFonts w:hint="eastAsia"/>
                <w:color w:val="000000"/>
                <w:kern w:val="0"/>
                <w:sz w:val="18"/>
                <w:szCs w:val="18"/>
              </w:rPr>
              <w:t>施工单位开始施工，未发生生产安全事故的</w:t>
            </w:r>
          </w:p>
        </w:tc>
        <w:tc>
          <w:tcPr>
            <w:tcW w:w="1100" w:type="dxa"/>
            <w:vMerge w:val="continue"/>
            <w:tcBorders>
              <w:top w:val="nil"/>
              <w:left w:val="single" w:color="auto" w:sz="4" w:space="0"/>
              <w:bottom w:val="single" w:color="000000" w:sz="4" w:space="0"/>
              <w:right w:val="single" w:color="auto" w:sz="4" w:space="0"/>
            </w:tcBorders>
            <w:vAlign w:val="center"/>
          </w:tcPr>
          <w:p w14:paraId="44C4981C">
            <w:pPr>
              <w:spacing w:line="320" w:lineRule="exact"/>
              <w:jc w:val="left"/>
              <w:rPr>
                <w:color w:val="000000"/>
                <w:kern w:val="0"/>
                <w:sz w:val="18"/>
                <w:szCs w:val="18"/>
              </w:rPr>
            </w:pPr>
          </w:p>
        </w:tc>
        <w:tc>
          <w:tcPr>
            <w:tcW w:w="5760" w:type="dxa"/>
            <w:tcBorders>
              <w:top w:val="nil"/>
              <w:left w:val="nil"/>
              <w:bottom w:val="single" w:color="auto" w:sz="4" w:space="0"/>
              <w:right w:val="single" w:color="auto" w:sz="4" w:space="0"/>
            </w:tcBorders>
            <w:vAlign w:val="center"/>
          </w:tcPr>
          <w:p w14:paraId="55F1AF7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p w14:paraId="4A58E437">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14:paraId="3F16315A">
        <w:tblPrEx>
          <w:tblCellMar>
            <w:top w:w="0" w:type="dxa"/>
            <w:left w:w="108" w:type="dxa"/>
            <w:bottom w:w="0" w:type="dxa"/>
            <w:right w:w="108" w:type="dxa"/>
          </w:tblCellMar>
        </w:tblPrEx>
        <w:trPr>
          <w:trHeight w:val="461" w:hRule="atLeast"/>
        </w:trPr>
        <w:tc>
          <w:tcPr>
            <w:tcW w:w="1050" w:type="dxa"/>
            <w:vMerge w:val="continue"/>
            <w:tcBorders>
              <w:top w:val="nil"/>
              <w:left w:val="single" w:color="auto" w:sz="4" w:space="0"/>
              <w:bottom w:val="single" w:color="auto" w:sz="4" w:space="0"/>
              <w:right w:val="single" w:color="auto" w:sz="4" w:space="0"/>
            </w:tcBorders>
            <w:vAlign w:val="center"/>
          </w:tcPr>
          <w:p w14:paraId="7C4C342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000000" w:sz="4" w:space="0"/>
            </w:tcBorders>
            <w:vAlign w:val="center"/>
          </w:tcPr>
          <w:p w14:paraId="375FBCE2">
            <w:pPr>
              <w:spacing w:line="320" w:lineRule="exact"/>
              <w:jc w:val="left"/>
              <w:rPr>
                <w:color w:val="000000"/>
                <w:kern w:val="0"/>
                <w:sz w:val="18"/>
                <w:szCs w:val="18"/>
              </w:rPr>
            </w:pPr>
            <w:r>
              <w:rPr>
                <w:rFonts w:hint="eastAsia"/>
                <w:color w:val="000000"/>
                <w:kern w:val="0"/>
                <w:sz w:val="18"/>
                <w:szCs w:val="18"/>
              </w:rPr>
              <w:t>施工单位开始施工，发生生产安全事故的</w:t>
            </w:r>
          </w:p>
        </w:tc>
        <w:tc>
          <w:tcPr>
            <w:tcW w:w="1100" w:type="dxa"/>
            <w:vMerge w:val="continue"/>
            <w:tcBorders>
              <w:top w:val="nil"/>
              <w:left w:val="single" w:color="auto" w:sz="4" w:space="0"/>
              <w:bottom w:val="single" w:color="auto" w:sz="4" w:space="0"/>
              <w:right w:val="single" w:color="auto" w:sz="4" w:space="0"/>
            </w:tcBorders>
            <w:vAlign w:val="center"/>
          </w:tcPr>
          <w:p w14:paraId="21DF3D3E">
            <w:pPr>
              <w:spacing w:line="320" w:lineRule="exact"/>
              <w:jc w:val="left"/>
              <w:rPr>
                <w:color w:val="000000"/>
                <w:kern w:val="0"/>
                <w:sz w:val="18"/>
                <w:szCs w:val="18"/>
              </w:rPr>
            </w:pPr>
          </w:p>
        </w:tc>
        <w:tc>
          <w:tcPr>
            <w:tcW w:w="5760" w:type="dxa"/>
            <w:tcBorders>
              <w:top w:val="nil"/>
              <w:left w:val="nil"/>
              <w:bottom w:val="single" w:color="auto" w:sz="4" w:space="0"/>
              <w:right w:val="single" w:color="auto" w:sz="4" w:space="0"/>
            </w:tcBorders>
            <w:vAlign w:val="center"/>
          </w:tcPr>
          <w:p w14:paraId="290834C3">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p w14:paraId="657C02E2">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2CDF8177"/>
    <w:p w14:paraId="2104C1AD"/>
    <w:p w14:paraId="2B713687"/>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340DEA69">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1DBDAF8">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2C7E2FDE">
            <w:pPr>
              <w:spacing w:line="320" w:lineRule="exact"/>
              <w:jc w:val="left"/>
              <w:rPr>
                <w:rFonts w:eastAsia="仿宋_GB2312"/>
                <w:b/>
                <w:bCs/>
                <w:color w:val="000000"/>
                <w:kern w:val="0"/>
                <w:sz w:val="18"/>
                <w:szCs w:val="18"/>
              </w:rPr>
            </w:pPr>
            <w:r>
              <w:rPr>
                <w:rFonts w:eastAsia="仿宋_GB2312"/>
                <w:b/>
                <w:bCs/>
                <w:color w:val="000000"/>
                <w:kern w:val="0"/>
                <w:sz w:val="18"/>
                <w:szCs w:val="18"/>
              </w:rPr>
              <w:t>320217702000</w:t>
            </w:r>
          </w:p>
        </w:tc>
      </w:tr>
      <w:tr w14:paraId="36E1DE03">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09EFF9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1B8EC96F">
            <w:pPr>
              <w:spacing w:line="320" w:lineRule="exact"/>
              <w:jc w:val="left"/>
              <w:rPr>
                <w:b/>
                <w:color w:val="000000"/>
                <w:kern w:val="0"/>
                <w:sz w:val="18"/>
                <w:szCs w:val="18"/>
              </w:rPr>
            </w:pPr>
            <w:r>
              <w:rPr>
                <w:rFonts w:hint="eastAsia"/>
                <w:color w:val="000000"/>
                <w:spacing w:val="-6"/>
                <w:kern w:val="0"/>
                <w:sz w:val="18"/>
                <w:szCs w:val="18"/>
              </w:rPr>
              <w:t>对施工单位未按照本规定组织危大工程验收的处罚</w:t>
            </w:r>
          </w:p>
        </w:tc>
      </w:tr>
      <w:tr w14:paraId="2A33147C">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7C9D960D">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2763ECB1">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196CD153">
            <w:pPr>
              <w:spacing w:line="320" w:lineRule="exact"/>
              <w:jc w:val="left"/>
              <w:rPr>
                <w:color w:val="000000"/>
                <w:kern w:val="0"/>
                <w:sz w:val="18"/>
                <w:szCs w:val="18"/>
              </w:rPr>
            </w:pPr>
            <w:r>
              <w:rPr>
                <w:rFonts w:hint="eastAsia"/>
                <w:color w:val="000000"/>
                <w:kern w:val="0"/>
                <w:sz w:val="18"/>
                <w:szCs w:val="18"/>
              </w:rPr>
              <w:t>　　第二十一条　对于按照规定需要验收的危大工程，施工单位、监理单位应当组织相关人员进行验收。验收合格的，经施工单位项目技术负责人及总监理工程师签字确认后，方可进入下一道工序。</w:t>
            </w:r>
          </w:p>
          <w:p w14:paraId="172EBD79">
            <w:pPr>
              <w:spacing w:line="320" w:lineRule="exact"/>
              <w:jc w:val="left"/>
              <w:rPr>
                <w:color w:val="000000"/>
                <w:kern w:val="0"/>
                <w:sz w:val="18"/>
                <w:szCs w:val="18"/>
              </w:rPr>
            </w:pPr>
            <w:r>
              <w:rPr>
                <w:rFonts w:hint="eastAsia"/>
                <w:color w:val="000000"/>
                <w:kern w:val="0"/>
                <w:sz w:val="18"/>
                <w:szCs w:val="18"/>
              </w:rPr>
              <w:t>　　危大工程验收合格后，施工单位应当在施工现场明显位置设置验收标识牌，公示验收时间及责任人员。</w:t>
            </w:r>
          </w:p>
          <w:p w14:paraId="078793CB">
            <w:pPr>
              <w:spacing w:line="320" w:lineRule="exact"/>
              <w:jc w:val="left"/>
              <w:rPr>
                <w:color w:val="000000"/>
                <w:kern w:val="0"/>
                <w:sz w:val="18"/>
                <w:szCs w:val="18"/>
              </w:rPr>
            </w:pPr>
            <w:r>
              <w:rPr>
                <w:rFonts w:hint="eastAsia"/>
                <w:color w:val="000000"/>
                <w:kern w:val="0"/>
                <w:sz w:val="18"/>
                <w:szCs w:val="18"/>
              </w:rPr>
              <w:t>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76C9A061">
            <w:pPr>
              <w:spacing w:line="320" w:lineRule="exact"/>
              <w:jc w:val="left"/>
              <w:rPr>
                <w:color w:val="000000"/>
                <w:kern w:val="0"/>
                <w:sz w:val="18"/>
                <w:szCs w:val="18"/>
              </w:rPr>
            </w:pPr>
            <w:r>
              <w:rPr>
                <w:rFonts w:hint="eastAsia"/>
                <w:color w:val="000000"/>
                <w:kern w:val="0"/>
                <w:sz w:val="18"/>
                <w:szCs w:val="18"/>
              </w:rPr>
              <w:t>　　（三）未按照本规定组织危大工程验收的；</w:t>
            </w:r>
          </w:p>
        </w:tc>
      </w:tr>
      <w:tr w14:paraId="3283A24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58AC3AB">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9500DE6">
            <w:pPr>
              <w:spacing w:line="320" w:lineRule="exact"/>
              <w:jc w:val="left"/>
              <w:rPr>
                <w:color w:val="000000"/>
                <w:kern w:val="0"/>
                <w:sz w:val="18"/>
                <w:szCs w:val="18"/>
              </w:rPr>
            </w:pPr>
            <w:r>
              <w:rPr>
                <w:rFonts w:hint="eastAsia"/>
                <w:color w:val="000000"/>
                <w:kern w:val="0"/>
                <w:sz w:val="18"/>
                <w:szCs w:val="18"/>
              </w:rPr>
              <w:t>罚款</w:t>
            </w:r>
          </w:p>
        </w:tc>
      </w:tr>
      <w:tr w14:paraId="12964536">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CD3D069">
            <w:pPr>
              <w:spacing w:line="320" w:lineRule="exact"/>
              <w:jc w:val="center"/>
              <w:rPr>
                <w:color w:val="000000"/>
                <w:kern w:val="0"/>
                <w:sz w:val="18"/>
                <w:szCs w:val="18"/>
              </w:rPr>
            </w:pPr>
            <w:r>
              <w:rPr>
                <w:rFonts w:hint="eastAsia"/>
                <w:color w:val="000000"/>
                <w:kern w:val="0"/>
                <w:sz w:val="18"/>
                <w:szCs w:val="18"/>
              </w:rPr>
              <w:t>裁量基准</w:t>
            </w:r>
          </w:p>
        </w:tc>
      </w:tr>
      <w:tr w14:paraId="620D7A0F">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1A39C4C2">
            <w:pP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6918871B">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0107EE9A">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0B67B2FC">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14:paraId="77AD99D6">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320844B5">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69D82FDD">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00D1810B">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4AA6ECCC">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0D4D3587">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5D2D4388">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75205A7E">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7DC8E392">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3F3E7C49">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0FBE64F3">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7491D1E9">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60806A49">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2184084C"/>
    <w:p w14:paraId="12BDF9C2"/>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63603F96">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FBBD847">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4C95E875">
            <w:pPr>
              <w:spacing w:line="320" w:lineRule="exact"/>
              <w:jc w:val="left"/>
              <w:rPr>
                <w:rFonts w:eastAsia="仿宋_GB2312"/>
                <w:b/>
                <w:bCs/>
                <w:color w:val="000000"/>
                <w:kern w:val="0"/>
                <w:sz w:val="18"/>
                <w:szCs w:val="18"/>
              </w:rPr>
            </w:pPr>
            <w:r>
              <w:rPr>
                <w:rFonts w:eastAsia="仿宋_GB2312"/>
                <w:b/>
                <w:bCs/>
                <w:color w:val="000000"/>
                <w:kern w:val="0"/>
                <w:sz w:val="18"/>
                <w:szCs w:val="18"/>
              </w:rPr>
              <w:t>320217703000</w:t>
            </w:r>
          </w:p>
        </w:tc>
      </w:tr>
      <w:tr w14:paraId="62CEF66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E5D31A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5CC9FBAD">
            <w:pPr>
              <w:spacing w:line="320" w:lineRule="exact"/>
              <w:jc w:val="left"/>
              <w:rPr>
                <w:b/>
                <w:color w:val="000000"/>
                <w:kern w:val="0"/>
                <w:sz w:val="18"/>
                <w:szCs w:val="18"/>
              </w:rPr>
            </w:pPr>
            <w:r>
              <w:rPr>
                <w:rFonts w:hint="eastAsia"/>
                <w:color w:val="000000"/>
                <w:spacing w:val="-6"/>
                <w:kern w:val="0"/>
                <w:sz w:val="18"/>
                <w:szCs w:val="18"/>
              </w:rPr>
              <w:t>对监理单位未编制监理实施细则的处罚</w:t>
            </w:r>
          </w:p>
        </w:tc>
      </w:tr>
      <w:tr w14:paraId="1881C28F">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121A3B00">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457DC006">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663B2942">
            <w:pPr>
              <w:spacing w:line="320" w:lineRule="exact"/>
              <w:jc w:val="left"/>
              <w:rPr>
                <w:color w:val="000000"/>
                <w:kern w:val="0"/>
                <w:sz w:val="18"/>
                <w:szCs w:val="18"/>
              </w:rPr>
            </w:pPr>
            <w:r>
              <w:rPr>
                <w:rFonts w:hint="eastAsia"/>
                <w:color w:val="000000"/>
                <w:kern w:val="0"/>
                <w:sz w:val="18"/>
                <w:szCs w:val="18"/>
              </w:rPr>
              <w:t>　　第十八条　监理单位应当结合危大工程专项施工方案编制监理实施细则，并对危大工程施工实施专项巡视检查。</w:t>
            </w:r>
          </w:p>
          <w:p w14:paraId="0B98973E">
            <w:pPr>
              <w:spacing w:line="320" w:lineRule="exact"/>
              <w:jc w:val="left"/>
              <w:rPr>
                <w:color w:val="000000"/>
                <w:kern w:val="0"/>
                <w:sz w:val="18"/>
                <w:szCs w:val="18"/>
              </w:rPr>
            </w:pPr>
            <w:r>
              <w:rPr>
                <w:rFonts w:hint="eastAsia"/>
                <w:color w:val="000000"/>
                <w:kern w:val="0"/>
                <w:sz w:val="18"/>
                <w:szCs w:val="18"/>
              </w:rPr>
              <w:t>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0230786C">
            <w:pPr>
              <w:spacing w:line="320" w:lineRule="exact"/>
              <w:jc w:val="left"/>
              <w:rPr>
                <w:color w:val="000000"/>
                <w:kern w:val="0"/>
                <w:sz w:val="18"/>
                <w:szCs w:val="18"/>
              </w:rPr>
            </w:pPr>
            <w:r>
              <w:rPr>
                <w:rFonts w:hint="eastAsia"/>
                <w:color w:val="000000"/>
                <w:kern w:val="0"/>
                <w:sz w:val="18"/>
                <w:szCs w:val="18"/>
              </w:rPr>
              <w:t>　　（一）未按照本规定编制监理实施细则的；</w:t>
            </w:r>
          </w:p>
        </w:tc>
      </w:tr>
      <w:tr w14:paraId="6F65E837">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D466964">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65E69A9">
            <w:pPr>
              <w:spacing w:line="320" w:lineRule="exact"/>
              <w:jc w:val="left"/>
              <w:rPr>
                <w:color w:val="000000"/>
                <w:kern w:val="0"/>
                <w:sz w:val="18"/>
                <w:szCs w:val="18"/>
              </w:rPr>
            </w:pPr>
            <w:r>
              <w:rPr>
                <w:rFonts w:hint="eastAsia"/>
                <w:color w:val="000000"/>
                <w:kern w:val="0"/>
                <w:sz w:val="18"/>
                <w:szCs w:val="18"/>
              </w:rPr>
              <w:t>罚款</w:t>
            </w:r>
          </w:p>
        </w:tc>
      </w:tr>
      <w:tr w14:paraId="06A1998F">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9BA604C">
            <w:pPr>
              <w:spacing w:line="320" w:lineRule="exact"/>
              <w:jc w:val="center"/>
              <w:rPr>
                <w:color w:val="000000"/>
                <w:kern w:val="0"/>
                <w:sz w:val="18"/>
                <w:szCs w:val="18"/>
              </w:rPr>
            </w:pPr>
            <w:r>
              <w:rPr>
                <w:rFonts w:hint="eastAsia"/>
                <w:color w:val="000000"/>
                <w:kern w:val="0"/>
                <w:sz w:val="18"/>
                <w:szCs w:val="18"/>
              </w:rPr>
              <w:t>裁量基准</w:t>
            </w:r>
          </w:p>
        </w:tc>
      </w:tr>
      <w:tr w14:paraId="453F8904">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03B9DF26">
            <w:pP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78CA6DB8">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6B3357AB">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3D25683D">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14:paraId="2743A269">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25D14998">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170325A2">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6544689F">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461D2366">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17D6DF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568D7FD2">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3549743C">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6EF4614E">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245B3A11">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74A07AA0">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685F7C01">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15180682">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0F0FA98A"/>
    <w:p w14:paraId="404BE6FA"/>
    <w:p w14:paraId="56961544"/>
    <w:p w14:paraId="4B549D17"/>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07AF654D">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8D9A4F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4CED5568">
            <w:pPr>
              <w:spacing w:line="320" w:lineRule="exact"/>
              <w:jc w:val="left"/>
              <w:rPr>
                <w:rFonts w:eastAsia="仿宋_GB2312"/>
                <w:b/>
                <w:bCs/>
                <w:color w:val="000000"/>
                <w:kern w:val="0"/>
                <w:sz w:val="18"/>
                <w:szCs w:val="18"/>
              </w:rPr>
            </w:pPr>
            <w:r>
              <w:rPr>
                <w:rFonts w:eastAsia="仿宋_GB2312"/>
                <w:b/>
                <w:bCs/>
                <w:color w:val="000000"/>
                <w:kern w:val="0"/>
                <w:sz w:val="18"/>
                <w:szCs w:val="18"/>
              </w:rPr>
              <w:t>320217704000</w:t>
            </w:r>
          </w:p>
        </w:tc>
      </w:tr>
      <w:tr w14:paraId="568ACCA3">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23B723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02AE9441">
            <w:pPr>
              <w:spacing w:line="320" w:lineRule="exact"/>
              <w:jc w:val="left"/>
              <w:rPr>
                <w:b/>
                <w:color w:val="000000"/>
                <w:kern w:val="0"/>
                <w:sz w:val="18"/>
                <w:szCs w:val="18"/>
              </w:rPr>
            </w:pPr>
            <w:r>
              <w:rPr>
                <w:rFonts w:hint="eastAsia"/>
                <w:color w:val="000000"/>
                <w:spacing w:val="-6"/>
                <w:kern w:val="0"/>
                <w:sz w:val="18"/>
                <w:szCs w:val="18"/>
              </w:rPr>
              <w:t>对监理单位未对危大工程施工实施专项巡视检查的处罚</w:t>
            </w:r>
          </w:p>
        </w:tc>
      </w:tr>
      <w:tr w14:paraId="79A92C88">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23896E41">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3D7A1F26">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38614489">
            <w:pPr>
              <w:spacing w:line="320" w:lineRule="exact"/>
              <w:jc w:val="left"/>
              <w:rPr>
                <w:color w:val="000000"/>
                <w:kern w:val="0"/>
                <w:sz w:val="18"/>
                <w:szCs w:val="18"/>
              </w:rPr>
            </w:pPr>
            <w:r>
              <w:rPr>
                <w:rFonts w:hint="eastAsia"/>
                <w:color w:val="000000"/>
                <w:kern w:val="0"/>
                <w:sz w:val="18"/>
                <w:szCs w:val="18"/>
              </w:rPr>
              <w:t>　　第十八条　监理单位应当结合危大工程专项施工方案编制监理实施细则，并对危大工程施工实施专项巡视检查。</w:t>
            </w:r>
          </w:p>
          <w:p w14:paraId="26160080">
            <w:pPr>
              <w:spacing w:line="320" w:lineRule="exact"/>
              <w:jc w:val="left"/>
              <w:rPr>
                <w:color w:val="000000"/>
                <w:kern w:val="0"/>
                <w:sz w:val="18"/>
                <w:szCs w:val="18"/>
              </w:rPr>
            </w:pPr>
            <w:r>
              <w:rPr>
                <w:rFonts w:hint="eastAsia"/>
                <w:color w:val="000000"/>
                <w:kern w:val="0"/>
                <w:sz w:val="18"/>
                <w:szCs w:val="18"/>
              </w:rPr>
              <w:t>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72F07EF3">
            <w:pPr>
              <w:spacing w:line="320" w:lineRule="exact"/>
              <w:jc w:val="left"/>
              <w:rPr>
                <w:color w:val="000000"/>
                <w:kern w:val="0"/>
                <w:sz w:val="18"/>
                <w:szCs w:val="18"/>
              </w:rPr>
            </w:pPr>
            <w:r>
              <w:rPr>
                <w:rFonts w:hint="eastAsia"/>
                <w:color w:val="000000"/>
                <w:kern w:val="0"/>
                <w:sz w:val="18"/>
                <w:szCs w:val="18"/>
              </w:rPr>
              <w:t>　　（二）未对危大工程施工实施专项巡视检查的；</w:t>
            </w:r>
          </w:p>
        </w:tc>
      </w:tr>
      <w:tr w14:paraId="6DF63FB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1EA109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6F8C3314">
            <w:pPr>
              <w:spacing w:line="320" w:lineRule="exact"/>
              <w:jc w:val="left"/>
              <w:rPr>
                <w:color w:val="000000"/>
                <w:kern w:val="0"/>
                <w:sz w:val="18"/>
                <w:szCs w:val="18"/>
              </w:rPr>
            </w:pPr>
            <w:r>
              <w:rPr>
                <w:rFonts w:hint="eastAsia"/>
                <w:color w:val="000000"/>
                <w:kern w:val="0"/>
                <w:sz w:val="18"/>
                <w:szCs w:val="18"/>
              </w:rPr>
              <w:t>罚款</w:t>
            </w:r>
          </w:p>
        </w:tc>
      </w:tr>
      <w:tr w14:paraId="7D99FC1C">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1D0A1CA">
            <w:pPr>
              <w:spacing w:line="320" w:lineRule="exact"/>
              <w:jc w:val="center"/>
              <w:rPr>
                <w:color w:val="000000"/>
                <w:kern w:val="0"/>
                <w:sz w:val="18"/>
                <w:szCs w:val="18"/>
              </w:rPr>
            </w:pPr>
            <w:r>
              <w:rPr>
                <w:rFonts w:hint="eastAsia"/>
                <w:color w:val="000000"/>
                <w:kern w:val="0"/>
                <w:sz w:val="18"/>
                <w:szCs w:val="18"/>
              </w:rPr>
              <w:t>裁量基准</w:t>
            </w:r>
          </w:p>
        </w:tc>
      </w:tr>
      <w:tr w14:paraId="60E17216">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3B92BFEA">
            <w:pP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57276F2C">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0E79E6DB">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5FB8EBBD">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14:paraId="4163E33F">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387882DE">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702BE311">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55392EAE">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2DB3D7D6">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320C6E4E">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5925AA4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49DD9948">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796B82F2">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18BA04A2">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475CE2CC">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67812DB6">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28D69AB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707F7A5B"/>
    <w:p w14:paraId="0E72FFAA"/>
    <w:p w14:paraId="4B828D46"/>
    <w:p w14:paraId="78E3B6FC"/>
    <w:p w14:paraId="4CB93970"/>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57E4B1AE">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143F0BD">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1479D1B8">
            <w:pPr>
              <w:spacing w:line="320" w:lineRule="exact"/>
              <w:jc w:val="left"/>
              <w:rPr>
                <w:rFonts w:eastAsia="仿宋_GB2312"/>
                <w:b/>
                <w:bCs/>
                <w:color w:val="000000"/>
                <w:kern w:val="0"/>
                <w:sz w:val="18"/>
                <w:szCs w:val="18"/>
              </w:rPr>
            </w:pPr>
            <w:r>
              <w:rPr>
                <w:rFonts w:eastAsia="仿宋_GB2312"/>
                <w:b/>
                <w:bCs/>
                <w:color w:val="000000"/>
                <w:kern w:val="0"/>
                <w:sz w:val="18"/>
                <w:szCs w:val="18"/>
              </w:rPr>
              <w:t>320217705000</w:t>
            </w:r>
          </w:p>
        </w:tc>
      </w:tr>
      <w:tr w14:paraId="3E8C2112">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997016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4979F209">
            <w:pPr>
              <w:spacing w:line="320" w:lineRule="exact"/>
              <w:jc w:val="left"/>
              <w:rPr>
                <w:b/>
                <w:color w:val="000000"/>
                <w:kern w:val="0"/>
                <w:sz w:val="18"/>
                <w:szCs w:val="18"/>
              </w:rPr>
            </w:pPr>
            <w:r>
              <w:rPr>
                <w:rFonts w:hint="eastAsia"/>
                <w:color w:val="000000"/>
                <w:spacing w:val="-6"/>
                <w:kern w:val="0"/>
                <w:sz w:val="18"/>
                <w:szCs w:val="18"/>
              </w:rPr>
              <w:t>对监理单位未参与组织危大工程验收的处罚</w:t>
            </w:r>
          </w:p>
        </w:tc>
      </w:tr>
      <w:tr w14:paraId="5EB0257D">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299D651C">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0C67C5E3">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0267D948">
            <w:pPr>
              <w:spacing w:line="320" w:lineRule="exact"/>
              <w:jc w:val="left"/>
              <w:rPr>
                <w:color w:val="000000"/>
                <w:kern w:val="0"/>
                <w:sz w:val="18"/>
                <w:szCs w:val="18"/>
              </w:rPr>
            </w:pPr>
            <w:r>
              <w:rPr>
                <w:rFonts w:hint="eastAsia"/>
                <w:color w:val="000000"/>
                <w:kern w:val="0"/>
                <w:sz w:val="18"/>
                <w:szCs w:val="18"/>
              </w:rPr>
              <w:t>　　第二十一条第一款　对于按照规定需要验收的危大工程，施工单位、监理单位应当组织相关人员进行验收。验收合格的，经施工单位项目技术负责人及总监理工程师签字确认后，方可进入下一道工序。</w:t>
            </w:r>
          </w:p>
          <w:p w14:paraId="1BC73578">
            <w:pPr>
              <w:spacing w:line="320" w:lineRule="exact"/>
              <w:jc w:val="left"/>
              <w:rPr>
                <w:color w:val="000000"/>
                <w:kern w:val="0"/>
                <w:sz w:val="18"/>
                <w:szCs w:val="18"/>
              </w:rPr>
            </w:pPr>
            <w:r>
              <w:rPr>
                <w:rFonts w:hint="eastAsia"/>
                <w:color w:val="000000"/>
                <w:kern w:val="0"/>
                <w:sz w:val="18"/>
                <w:szCs w:val="18"/>
              </w:rPr>
              <w:t>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7B6868D7">
            <w:pPr>
              <w:spacing w:line="320" w:lineRule="exact"/>
              <w:jc w:val="left"/>
              <w:rPr>
                <w:color w:val="000000"/>
                <w:kern w:val="0"/>
                <w:sz w:val="18"/>
                <w:szCs w:val="18"/>
              </w:rPr>
            </w:pPr>
            <w:r>
              <w:rPr>
                <w:rFonts w:hint="eastAsia"/>
                <w:color w:val="000000"/>
                <w:kern w:val="0"/>
                <w:sz w:val="18"/>
                <w:szCs w:val="18"/>
              </w:rPr>
              <w:t>　　（三）未按照本规定参与组织危大工程验收的；</w:t>
            </w:r>
          </w:p>
        </w:tc>
      </w:tr>
      <w:tr w14:paraId="0899487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01DADF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675221E1">
            <w:pPr>
              <w:spacing w:line="320" w:lineRule="exact"/>
              <w:jc w:val="left"/>
              <w:rPr>
                <w:color w:val="000000"/>
                <w:kern w:val="0"/>
                <w:sz w:val="18"/>
                <w:szCs w:val="18"/>
              </w:rPr>
            </w:pPr>
            <w:r>
              <w:rPr>
                <w:rFonts w:hint="eastAsia"/>
                <w:color w:val="000000"/>
                <w:kern w:val="0"/>
                <w:sz w:val="18"/>
                <w:szCs w:val="18"/>
              </w:rPr>
              <w:t>罚款</w:t>
            </w:r>
          </w:p>
        </w:tc>
      </w:tr>
      <w:tr w14:paraId="31B87E7A">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C0EE4FC">
            <w:pPr>
              <w:spacing w:line="320" w:lineRule="exact"/>
              <w:jc w:val="center"/>
              <w:rPr>
                <w:color w:val="000000"/>
                <w:kern w:val="0"/>
                <w:sz w:val="18"/>
                <w:szCs w:val="18"/>
              </w:rPr>
            </w:pPr>
            <w:r>
              <w:rPr>
                <w:rFonts w:hint="eastAsia"/>
                <w:color w:val="000000"/>
                <w:kern w:val="0"/>
                <w:sz w:val="18"/>
                <w:szCs w:val="18"/>
              </w:rPr>
              <w:t>裁量基准</w:t>
            </w:r>
          </w:p>
        </w:tc>
      </w:tr>
      <w:tr w14:paraId="5C0498FE">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39B22062">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50BEA2ED">
            <w:pPr>
              <w:spacing w:line="320" w:lineRule="exact"/>
              <w:jc w:val="left"/>
              <w:rPr>
                <w:color w:val="000000"/>
                <w:kern w:val="0"/>
                <w:sz w:val="18"/>
                <w:szCs w:val="18"/>
              </w:rPr>
            </w:pPr>
            <w:r>
              <w:rPr>
                <w:rFonts w:hint="eastAsia"/>
                <w:color w:val="000000"/>
                <w:kern w:val="0"/>
                <w:sz w:val="18"/>
                <w:szCs w:val="18"/>
              </w:rPr>
              <w:t>工程质量符合图纸设计要求，按照要求整改的</w:t>
            </w:r>
          </w:p>
        </w:tc>
        <w:tc>
          <w:tcPr>
            <w:tcW w:w="1016" w:type="dxa"/>
            <w:vMerge w:val="restart"/>
            <w:tcBorders>
              <w:top w:val="nil"/>
              <w:left w:val="single" w:color="auto" w:sz="4" w:space="0"/>
              <w:right w:val="single" w:color="auto" w:sz="4" w:space="0"/>
            </w:tcBorders>
            <w:vAlign w:val="center"/>
          </w:tcPr>
          <w:p w14:paraId="629D465C">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3C1FB5F9">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14:paraId="3A6FE3C4">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25D399FE">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4541EBC7">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0AE86EBA">
            <w:pPr>
              <w:spacing w:line="320" w:lineRule="exact"/>
              <w:jc w:val="left"/>
              <w:rPr>
                <w:color w:val="000000"/>
                <w:kern w:val="0"/>
                <w:sz w:val="18"/>
                <w:szCs w:val="18"/>
              </w:rPr>
            </w:pPr>
            <w:r>
              <w:rPr>
                <w:rFonts w:hint="eastAsia"/>
                <w:color w:val="000000"/>
                <w:kern w:val="0"/>
                <w:sz w:val="18"/>
                <w:szCs w:val="18"/>
              </w:rPr>
              <w:t>工程质量符合图纸设计要求，未按照要求整改的</w:t>
            </w:r>
          </w:p>
        </w:tc>
        <w:tc>
          <w:tcPr>
            <w:tcW w:w="1016" w:type="dxa"/>
            <w:vMerge w:val="continue"/>
            <w:tcBorders>
              <w:left w:val="single" w:color="auto" w:sz="4" w:space="0"/>
              <w:right w:val="single" w:color="auto" w:sz="4" w:space="0"/>
            </w:tcBorders>
            <w:vAlign w:val="center"/>
          </w:tcPr>
          <w:p w14:paraId="551C57AD">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389DA223">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万元以下罚款；对直接负责的主管人员和其他直接责任人员处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14:paraId="4746657B">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4835543B">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76625D63">
            <w:pPr>
              <w:spacing w:line="320" w:lineRule="exact"/>
              <w:jc w:val="left"/>
              <w:rPr>
                <w:color w:val="000000"/>
                <w:kern w:val="0"/>
                <w:sz w:val="18"/>
                <w:szCs w:val="18"/>
              </w:rPr>
            </w:pPr>
            <w:r>
              <w:rPr>
                <w:rFonts w:hint="eastAsia"/>
                <w:color w:val="000000"/>
                <w:kern w:val="0"/>
                <w:sz w:val="18"/>
                <w:szCs w:val="18"/>
              </w:rPr>
              <w:t>工程质量不符合图纸设计要求，按照要求整改的</w:t>
            </w:r>
          </w:p>
        </w:tc>
        <w:tc>
          <w:tcPr>
            <w:tcW w:w="1016" w:type="dxa"/>
            <w:vMerge w:val="continue"/>
            <w:tcBorders>
              <w:left w:val="single" w:color="auto" w:sz="4" w:space="0"/>
              <w:right w:val="single" w:color="auto" w:sz="4" w:space="0"/>
            </w:tcBorders>
            <w:vAlign w:val="center"/>
          </w:tcPr>
          <w:p w14:paraId="78589488">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4BA5FC57">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万元以下罚款；对直接负责的主管人员和其他直接责任人员处</w:t>
            </w:r>
            <w:r>
              <w:rPr>
                <w:color w:val="000000"/>
                <w:kern w:val="0"/>
                <w:sz w:val="18"/>
                <w:szCs w:val="18"/>
              </w:rPr>
              <w:t>3000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32521BA1">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01426762">
            <w:pPr>
              <w:spacing w:line="320" w:lineRule="exact"/>
              <w:jc w:val="center"/>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59A65CE8">
            <w:pPr>
              <w:spacing w:line="320" w:lineRule="exact"/>
              <w:jc w:val="left"/>
              <w:rPr>
                <w:color w:val="000000"/>
                <w:kern w:val="0"/>
                <w:sz w:val="18"/>
                <w:szCs w:val="18"/>
              </w:rPr>
            </w:pPr>
            <w:r>
              <w:rPr>
                <w:rFonts w:hint="eastAsia"/>
                <w:color w:val="000000"/>
                <w:kern w:val="0"/>
                <w:sz w:val="18"/>
                <w:szCs w:val="18"/>
              </w:rPr>
              <w:t>工程质量不符合图纸设计要求，未按照要求整改的</w:t>
            </w:r>
          </w:p>
        </w:tc>
        <w:tc>
          <w:tcPr>
            <w:tcW w:w="1016" w:type="dxa"/>
            <w:vMerge w:val="continue"/>
            <w:tcBorders>
              <w:left w:val="single" w:color="auto" w:sz="4" w:space="0"/>
              <w:bottom w:val="single" w:color="auto" w:sz="4" w:space="0"/>
              <w:right w:val="single" w:color="auto" w:sz="4" w:space="0"/>
            </w:tcBorders>
            <w:vAlign w:val="center"/>
          </w:tcPr>
          <w:p w14:paraId="10F330A1">
            <w:pPr>
              <w:spacing w:line="320" w:lineRule="exact"/>
              <w:jc w:val="center"/>
              <w:rPr>
                <w:color w:val="000000"/>
                <w:kern w:val="0"/>
                <w:sz w:val="18"/>
                <w:szCs w:val="18"/>
              </w:rPr>
            </w:pPr>
          </w:p>
        </w:tc>
        <w:tc>
          <w:tcPr>
            <w:tcW w:w="5614" w:type="dxa"/>
            <w:tcBorders>
              <w:top w:val="nil"/>
              <w:left w:val="nil"/>
              <w:bottom w:val="single" w:color="auto" w:sz="4" w:space="0"/>
              <w:right w:val="single" w:color="auto" w:sz="8" w:space="0"/>
            </w:tcBorders>
            <w:vAlign w:val="center"/>
          </w:tcPr>
          <w:p w14:paraId="69413692">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万元以下罚款；对直接负责的主管人员和其他直接责任人员处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410ABAD9"/>
    <w:p w14:paraId="667D1B46"/>
    <w:p w14:paraId="3C618927"/>
    <w:p w14:paraId="469F0F25"/>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5CA7AC8F">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8841CE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7FAD0B7E">
            <w:pPr>
              <w:spacing w:line="320" w:lineRule="exact"/>
              <w:jc w:val="left"/>
              <w:rPr>
                <w:rFonts w:eastAsia="仿宋_GB2312"/>
                <w:b/>
                <w:bCs/>
                <w:color w:val="000000"/>
                <w:kern w:val="0"/>
                <w:sz w:val="18"/>
                <w:szCs w:val="18"/>
              </w:rPr>
            </w:pPr>
            <w:r>
              <w:rPr>
                <w:rFonts w:eastAsia="仿宋_GB2312"/>
                <w:b/>
                <w:bCs/>
                <w:color w:val="000000"/>
                <w:kern w:val="0"/>
                <w:sz w:val="18"/>
                <w:szCs w:val="18"/>
              </w:rPr>
              <w:t>320217706000</w:t>
            </w:r>
          </w:p>
        </w:tc>
      </w:tr>
      <w:tr w14:paraId="6A99CF7B">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5AB962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0B4E7F39">
            <w:pPr>
              <w:spacing w:line="320" w:lineRule="exact"/>
              <w:jc w:val="left"/>
              <w:rPr>
                <w:b/>
                <w:color w:val="000000"/>
                <w:kern w:val="0"/>
                <w:sz w:val="18"/>
                <w:szCs w:val="18"/>
              </w:rPr>
            </w:pPr>
            <w:r>
              <w:rPr>
                <w:rFonts w:hint="eastAsia"/>
                <w:color w:val="000000"/>
                <w:spacing w:val="-6"/>
                <w:kern w:val="0"/>
                <w:sz w:val="18"/>
                <w:szCs w:val="18"/>
              </w:rPr>
              <w:t>对监理单位未建立危大工程安全管理档案的处罚</w:t>
            </w:r>
          </w:p>
        </w:tc>
      </w:tr>
      <w:tr w14:paraId="6AB54EB7">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79B1D586">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761465C1">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4801CD3E">
            <w:pPr>
              <w:spacing w:line="320" w:lineRule="exact"/>
              <w:jc w:val="left"/>
              <w:rPr>
                <w:color w:val="000000"/>
                <w:kern w:val="0"/>
                <w:sz w:val="18"/>
                <w:szCs w:val="18"/>
              </w:rPr>
            </w:pPr>
            <w:r>
              <w:rPr>
                <w:rFonts w:hint="eastAsia"/>
                <w:color w:val="000000"/>
                <w:kern w:val="0"/>
                <w:sz w:val="18"/>
                <w:szCs w:val="18"/>
              </w:rPr>
              <w:t>第二十四条　施工、监理单位应当建立危大工程安全管理档案。</w:t>
            </w:r>
          </w:p>
          <w:p w14:paraId="793E8B5A">
            <w:pPr>
              <w:spacing w:line="320" w:lineRule="exact"/>
              <w:jc w:val="left"/>
              <w:rPr>
                <w:color w:val="000000"/>
                <w:kern w:val="0"/>
                <w:sz w:val="18"/>
                <w:szCs w:val="18"/>
              </w:rPr>
            </w:pPr>
            <w:r>
              <w:rPr>
                <w:rFonts w:hint="eastAsia"/>
                <w:color w:val="000000"/>
                <w:kern w:val="0"/>
                <w:sz w:val="18"/>
                <w:szCs w:val="18"/>
              </w:rPr>
              <w:t>　　施工单位应当将专项施工方案及审核、专家论证、交底、现场检查、验收及整改等相关资料纳入档案管理。</w:t>
            </w:r>
          </w:p>
          <w:p w14:paraId="68CCAC58">
            <w:pPr>
              <w:spacing w:line="320" w:lineRule="exact"/>
              <w:jc w:val="left"/>
              <w:rPr>
                <w:color w:val="000000"/>
                <w:kern w:val="0"/>
                <w:sz w:val="18"/>
                <w:szCs w:val="18"/>
              </w:rPr>
            </w:pPr>
            <w:r>
              <w:rPr>
                <w:rFonts w:hint="eastAsia"/>
                <w:color w:val="000000"/>
                <w:kern w:val="0"/>
                <w:sz w:val="18"/>
                <w:szCs w:val="18"/>
              </w:rPr>
              <w:t>　　监理单位应当将监理实施细则、专项施工方案审查、专项巡视检查、验收及整改等相关资料纳入档案管理。</w:t>
            </w:r>
          </w:p>
          <w:p w14:paraId="123A1654">
            <w:pPr>
              <w:spacing w:line="320" w:lineRule="exact"/>
              <w:jc w:val="left"/>
              <w:rPr>
                <w:color w:val="000000"/>
                <w:kern w:val="0"/>
                <w:sz w:val="18"/>
                <w:szCs w:val="18"/>
              </w:rPr>
            </w:pPr>
            <w:r>
              <w:rPr>
                <w:rFonts w:hint="eastAsia"/>
                <w:color w:val="000000"/>
                <w:kern w:val="0"/>
                <w:sz w:val="18"/>
                <w:szCs w:val="18"/>
              </w:rPr>
              <w:t>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3F75A785">
            <w:pPr>
              <w:spacing w:line="320" w:lineRule="exact"/>
              <w:jc w:val="left"/>
              <w:rPr>
                <w:color w:val="000000"/>
                <w:kern w:val="0"/>
                <w:sz w:val="18"/>
                <w:szCs w:val="18"/>
              </w:rPr>
            </w:pPr>
            <w:r>
              <w:rPr>
                <w:rFonts w:hint="eastAsia"/>
                <w:color w:val="000000"/>
                <w:kern w:val="0"/>
                <w:sz w:val="18"/>
                <w:szCs w:val="18"/>
              </w:rPr>
              <w:t>　　（四）未按照本规定建立危大工程安全管理档案的。</w:t>
            </w:r>
          </w:p>
        </w:tc>
      </w:tr>
      <w:tr w14:paraId="54CBC35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BFCA9C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4407DFA7">
            <w:pPr>
              <w:spacing w:line="320" w:lineRule="exact"/>
              <w:jc w:val="left"/>
              <w:rPr>
                <w:color w:val="000000"/>
                <w:kern w:val="0"/>
                <w:sz w:val="18"/>
                <w:szCs w:val="18"/>
              </w:rPr>
            </w:pPr>
            <w:r>
              <w:rPr>
                <w:rFonts w:hint="eastAsia"/>
                <w:color w:val="000000"/>
                <w:kern w:val="0"/>
                <w:sz w:val="18"/>
                <w:szCs w:val="18"/>
              </w:rPr>
              <w:t>罚款</w:t>
            </w:r>
          </w:p>
        </w:tc>
      </w:tr>
      <w:tr w14:paraId="40035554">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0522D79">
            <w:pPr>
              <w:spacing w:line="320" w:lineRule="exact"/>
              <w:jc w:val="center"/>
              <w:rPr>
                <w:color w:val="000000"/>
                <w:kern w:val="0"/>
                <w:sz w:val="18"/>
                <w:szCs w:val="18"/>
              </w:rPr>
            </w:pPr>
            <w:r>
              <w:rPr>
                <w:rFonts w:hint="eastAsia"/>
                <w:color w:val="000000"/>
                <w:kern w:val="0"/>
                <w:sz w:val="18"/>
                <w:szCs w:val="18"/>
              </w:rPr>
              <w:t>裁量基准</w:t>
            </w:r>
          </w:p>
        </w:tc>
      </w:tr>
      <w:tr w14:paraId="5D3EC44B">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3056FF54">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36EEDE83">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color="auto" w:sz="4" w:space="0"/>
              <w:right w:val="single" w:color="auto" w:sz="4" w:space="0"/>
            </w:tcBorders>
            <w:vAlign w:val="center"/>
          </w:tcPr>
          <w:p w14:paraId="48E202E1">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7145B3B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7DB42C36">
            <w:pPr>
              <w:spacing w:line="320" w:lineRule="exact"/>
              <w:jc w:val="left"/>
              <w:rPr>
                <w:color w:val="000000"/>
                <w:kern w:val="0"/>
                <w:sz w:val="18"/>
                <w:szCs w:val="18"/>
              </w:rPr>
            </w:pPr>
            <w:r>
              <w:rPr>
                <w:rFonts w:hint="eastAsia"/>
                <w:color w:val="000000"/>
                <w:kern w:val="0"/>
                <w:sz w:val="18"/>
                <w:szCs w:val="18"/>
              </w:rPr>
              <w:t>对直接负责的主管人员和其他直接责任人员处单位罚款数额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136ABB84">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37A2C9DD">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4B59847A">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continue"/>
            <w:tcBorders>
              <w:left w:val="single" w:color="auto" w:sz="4" w:space="0"/>
              <w:bottom w:val="single" w:color="auto" w:sz="4" w:space="0"/>
              <w:right w:val="single" w:color="auto" w:sz="4" w:space="0"/>
            </w:tcBorders>
            <w:vAlign w:val="center"/>
          </w:tcPr>
          <w:p w14:paraId="15D45770">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6EF9AA88">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7A53FDEF">
            <w:pPr>
              <w:spacing w:line="320" w:lineRule="exact"/>
              <w:jc w:val="left"/>
              <w:rPr>
                <w:color w:val="000000"/>
                <w:kern w:val="0"/>
                <w:sz w:val="18"/>
                <w:szCs w:val="18"/>
              </w:rPr>
            </w:pPr>
            <w:r>
              <w:rPr>
                <w:rFonts w:hint="eastAsia"/>
                <w:color w:val="000000"/>
                <w:kern w:val="0"/>
                <w:sz w:val="18"/>
                <w:szCs w:val="18"/>
              </w:rPr>
              <w:t>对直接负责的主管人员和其他直接责任人员处单位罚款数额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1821F804"/>
    <w:p w14:paraId="2155901D"/>
    <w:p w14:paraId="07C64FD4"/>
    <w:p w14:paraId="1C4349A1"/>
    <w:p w14:paraId="6459A384"/>
    <w:p w14:paraId="34C14D23"/>
    <w:tbl>
      <w:tblPr>
        <w:tblStyle w:val="15"/>
        <w:tblW w:w="14016" w:type="dxa"/>
        <w:tblInd w:w="88" w:type="dxa"/>
        <w:tblLayout w:type="fixed"/>
        <w:tblCellMar>
          <w:top w:w="0" w:type="dxa"/>
          <w:left w:w="108" w:type="dxa"/>
          <w:bottom w:w="0" w:type="dxa"/>
          <w:right w:w="108" w:type="dxa"/>
        </w:tblCellMar>
      </w:tblPr>
      <w:tblGrid>
        <w:gridCol w:w="1012"/>
        <w:gridCol w:w="6372"/>
        <w:gridCol w:w="1016"/>
        <w:gridCol w:w="5616"/>
      </w:tblGrid>
      <w:tr w14:paraId="323DC982">
        <w:tblPrEx>
          <w:tblCellMar>
            <w:top w:w="0" w:type="dxa"/>
            <w:left w:w="108" w:type="dxa"/>
            <w:bottom w:w="0" w:type="dxa"/>
            <w:right w:w="108" w:type="dxa"/>
          </w:tblCellMar>
        </w:tblPrEx>
        <w:trPr>
          <w:trHeight w:val="285" w:hRule="atLeast"/>
        </w:trPr>
        <w:tc>
          <w:tcPr>
            <w:tcW w:w="1012" w:type="dxa"/>
            <w:tcBorders>
              <w:top w:val="single" w:color="auto" w:sz="8" w:space="0"/>
              <w:left w:val="single" w:color="auto" w:sz="8" w:space="0"/>
              <w:bottom w:val="single" w:color="auto" w:sz="4" w:space="0"/>
              <w:right w:val="single" w:color="auto" w:sz="4" w:space="0"/>
            </w:tcBorders>
            <w:vAlign w:val="center"/>
          </w:tcPr>
          <w:p w14:paraId="5876DA4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1F846EDF">
            <w:pPr>
              <w:spacing w:line="320" w:lineRule="exact"/>
              <w:jc w:val="left"/>
              <w:rPr>
                <w:rFonts w:eastAsia="仿宋_GB2312"/>
                <w:b/>
                <w:bCs/>
                <w:color w:val="000000"/>
                <w:kern w:val="0"/>
                <w:sz w:val="18"/>
                <w:szCs w:val="18"/>
              </w:rPr>
            </w:pPr>
            <w:r>
              <w:rPr>
                <w:rFonts w:eastAsia="仿宋_GB2312"/>
                <w:b/>
                <w:bCs/>
                <w:color w:val="000000"/>
                <w:kern w:val="0"/>
                <w:sz w:val="18"/>
                <w:szCs w:val="18"/>
              </w:rPr>
              <w:t>320217707000</w:t>
            </w:r>
          </w:p>
        </w:tc>
      </w:tr>
      <w:tr w14:paraId="5F727317">
        <w:tblPrEx>
          <w:tblCellMar>
            <w:top w:w="0" w:type="dxa"/>
            <w:left w:w="108" w:type="dxa"/>
            <w:bottom w:w="0" w:type="dxa"/>
            <w:right w:w="108" w:type="dxa"/>
          </w:tblCellMar>
        </w:tblPrEx>
        <w:trPr>
          <w:trHeight w:val="285" w:hRule="atLeast"/>
        </w:trPr>
        <w:tc>
          <w:tcPr>
            <w:tcW w:w="1012" w:type="dxa"/>
            <w:tcBorders>
              <w:top w:val="nil"/>
              <w:left w:val="single" w:color="auto" w:sz="8" w:space="0"/>
              <w:bottom w:val="single" w:color="auto" w:sz="4" w:space="0"/>
              <w:right w:val="single" w:color="auto" w:sz="4" w:space="0"/>
            </w:tcBorders>
            <w:vAlign w:val="center"/>
          </w:tcPr>
          <w:p w14:paraId="4FC60796">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5F531D85">
            <w:pPr>
              <w:spacing w:line="320" w:lineRule="exact"/>
              <w:jc w:val="left"/>
              <w:rPr>
                <w:b/>
                <w:color w:val="000000"/>
                <w:kern w:val="0"/>
                <w:sz w:val="18"/>
                <w:szCs w:val="18"/>
              </w:rPr>
            </w:pPr>
            <w:r>
              <w:rPr>
                <w:rFonts w:hint="eastAsia"/>
                <w:color w:val="000000"/>
                <w:spacing w:val="-6"/>
                <w:kern w:val="0"/>
                <w:sz w:val="18"/>
                <w:szCs w:val="18"/>
              </w:rPr>
              <w:t>对设计单位未在设计文件中注明涉及危大工程的重点部位和环节，未提出保障工程周边环境安全和工程施工安全的意见的处罚</w:t>
            </w:r>
          </w:p>
        </w:tc>
      </w:tr>
      <w:tr w14:paraId="2CC58422">
        <w:tblPrEx>
          <w:tblCellMar>
            <w:top w:w="0" w:type="dxa"/>
            <w:left w:w="108" w:type="dxa"/>
            <w:bottom w:w="0" w:type="dxa"/>
            <w:right w:w="108" w:type="dxa"/>
          </w:tblCellMar>
        </w:tblPrEx>
        <w:trPr>
          <w:trHeight w:val="1275" w:hRule="atLeast"/>
        </w:trPr>
        <w:tc>
          <w:tcPr>
            <w:tcW w:w="1012" w:type="dxa"/>
            <w:tcBorders>
              <w:top w:val="nil"/>
              <w:left w:val="single" w:color="auto" w:sz="8" w:space="0"/>
              <w:bottom w:val="single" w:color="auto" w:sz="4" w:space="0"/>
              <w:right w:val="single" w:color="auto" w:sz="4" w:space="0"/>
            </w:tcBorders>
            <w:vAlign w:val="center"/>
          </w:tcPr>
          <w:p w14:paraId="5D5A2239">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3A38405B">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27E0F65B">
            <w:pPr>
              <w:spacing w:line="320" w:lineRule="exact"/>
              <w:jc w:val="left"/>
              <w:rPr>
                <w:color w:val="000000"/>
                <w:kern w:val="0"/>
                <w:sz w:val="18"/>
                <w:szCs w:val="18"/>
              </w:rPr>
            </w:pPr>
            <w:r>
              <w:rPr>
                <w:rFonts w:hint="eastAsia"/>
                <w:color w:val="000000"/>
                <w:kern w:val="0"/>
                <w:sz w:val="18"/>
                <w:szCs w:val="18"/>
              </w:rPr>
              <w:t>第六条第二款　设计单位应当在设计文件中注明涉及危大工程的重点部位和环节，提出保障工程周边环境安全和工程施工安全的意见，必要时进行专项设计。</w:t>
            </w:r>
          </w:p>
          <w:p w14:paraId="3C8AED7D">
            <w:pPr>
              <w:spacing w:line="320" w:lineRule="exact"/>
              <w:jc w:val="left"/>
              <w:rPr>
                <w:color w:val="000000"/>
                <w:kern w:val="0"/>
                <w:sz w:val="18"/>
                <w:szCs w:val="18"/>
              </w:rPr>
            </w:pPr>
            <w:r>
              <w:rPr>
                <w:rFonts w:hint="eastAsia"/>
                <w:color w:val="000000"/>
                <w:kern w:val="0"/>
                <w:sz w:val="18"/>
                <w:szCs w:val="18"/>
              </w:rPr>
              <w:t>　　第三十一条　设计单位未在设计文件中注明涉及危大工程的重点部位和环节，未提出保障工程周边环境安全和工程施工安全的意见的，责令限期改正，并处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3EEA8B20">
        <w:tblPrEx>
          <w:tblCellMar>
            <w:top w:w="0" w:type="dxa"/>
            <w:left w:w="108" w:type="dxa"/>
            <w:bottom w:w="0" w:type="dxa"/>
            <w:right w:w="108" w:type="dxa"/>
          </w:tblCellMar>
        </w:tblPrEx>
        <w:trPr>
          <w:trHeight w:val="285" w:hRule="atLeast"/>
        </w:trPr>
        <w:tc>
          <w:tcPr>
            <w:tcW w:w="1012" w:type="dxa"/>
            <w:tcBorders>
              <w:top w:val="nil"/>
              <w:left w:val="single" w:color="auto" w:sz="8" w:space="0"/>
              <w:bottom w:val="single" w:color="auto" w:sz="4" w:space="0"/>
              <w:right w:val="single" w:color="auto" w:sz="4" w:space="0"/>
            </w:tcBorders>
            <w:vAlign w:val="center"/>
          </w:tcPr>
          <w:p w14:paraId="71B2916C">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7162A4D5">
            <w:pPr>
              <w:spacing w:line="320" w:lineRule="exact"/>
              <w:jc w:val="left"/>
              <w:rPr>
                <w:color w:val="000000"/>
                <w:kern w:val="0"/>
                <w:sz w:val="18"/>
                <w:szCs w:val="18"/>
              </w:rPr>
            </w:pPr>
            <w:r>
              <w:rPr>
                <w:rFonts w:hint="eastAsia"/>
                <w:color w:val="000000"/>
                <w:kern w:val="0"/>
                <w:sz w:val="18"/>
                <w:szCs w:val="18"/>
              </w:rPr>
              <w:t>罚款</w:t>
            </w:r>
          </w:p>
        </w:tc>
      </w:tr>
      <w:tr w14:paraId="0C235D6A">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91622EB">
            <w:pPr>
              <w:spacing w:line="320" w:lineRule="exact"/>
              <w:jc w:val="center"/>
              <w:rPr>
                <w:color w:val="000000"/>
                <w:kern w:val="0"/>
                <w:sz w:val="18"/>
                <w:szCs w:val="18"/>
              </w:rPr>
            </w:pPr>
            <w:r>
              <w:rPr>
                <w:rFonts w:hint="eastAsia"/>
                <w:color w:val="000000"/>
                <w:kern w:val="0"/>
                <w:sz w:val="18"/>
                <w:szCs w:val="18"/>
              </w:rPr>
              <w:t>裁量基准</w:t>
            </w:r>
          </w:p>
        </w:tc>
      </w:tr>
      <w:tr w14:paraId="43BDEAA0">
        <w:tblPrEx>
          <w:tblCellMar>
            <w:top w:w="0" w:type="dxa"/>
            <w:left w:w="108" w:type="dxa"/>
            <w:bottom w:w="0" w:type="dxa"/>
            <w:right w:w="108" w:type="dxa"/>
          </w:tblCellMar>
        </w:tblPrEx>
        <w:trPr>
          <w:trHeight w:val="285" w:hRule="atLeast"/>
        </w:trPr>
        <w:tc>
          <w:tcPr>
            <w:tcW w:w="1012" w:type="dxa"/>
            <w:vMerge w:val="restart"/>
            <w:tcBorders>
              <w:top w:val="nil"/>
              <w:left w:val="single" w:color="auto" w:sz="8" w:space="0"/>
              <w:right w:val="single" w:color="auto" w:sz="4" w:space="0"/>
            </w:tcBorders>
            <w:vAlign w:val="center"/>
          </w:tcPr>
          <w:p w14:paraId="497D9BB9">
            <w:pPr>
              <w:spacing w:line="320" w:lineRule="exact"/>
              <w:jc w:val="center"/>
              <w:rPr>
                <w:color w:val="000000"/>
                <w:kern w:val="0"/>
                <w:sz w:val="18"/>
                <w:szCs w:val="18"/>
              </w:rPr>
            </w:pPr>
            <w:r>
              <w:rPr>
                <w:rFonts w:hint="eastAsia"/>
                <w:color w:val="000000"/>
                <w:kern w:val="0"/>
                <w:sz w:val="18"/>
                <w:szCs w:val="18"/>
              </w:rPr>
              <w:t>情形描述</w:t>
            </w:r>
          </w:p>
        </w:tc>
        <w:tc>
          <w:tcPr>
            <w:tcW w:w="6372" w:type="dxa"/>
            <w:tcBorders>
              <w:top w:val="single" w:color="auto" w:sz="4" w:space="0"/>
              <w:left w:val="nil"/>
              <w:bottom w:val="single" w:color="auto" w:sz="4" w:space="0"/>
              <w:right w:val="single" w:color="auto" w:sz="4" w:space="0"/>
            </w:tcBorders>
            <w:vAlign w:val="center"/>
          </w:tcPr>
          <w:p w14:paraId="2EC0E1F2">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604F2458">
            <w:pPr>
              <w:spacing w:line="320" w:lineRule="exact"/>
              <w:jc w:val="center"/>
              <w:rPr>
                <w:color w:val="000000"/>
                <w:kern w:val="0"/>
                <w:sz w:val="18"/>
                <w:szCs w:val="18"/>
              </w:rPr>
            </w:pPr>
            <w:r>
              <w:rPr>
                <w:rFonts w:hint="eastAsia"/>
                <w:color w:val="000000"/>
                <w:kern w:val="0"/>
                <w:sz w:val="18"/>
                <w:szCs w:val="18"/>
              </w:rPr>
              <w:t>裁量幅度</w:t>
            </w:r>
          </w:p>
        </w:tc>
        <w:tc>
          <w:tcPr>
            <w:tcW w:w="5616" w:type="dxa"/>
            <w:tcBorders>
              <w:top w:val="nil"/>
              <w:left w:val="nil"/>
              <w:bottom w:val="single" w:color="auto" w:sz="4" w:space="0"/>
              <w:right w:val="single" w:color="auto" w:sz="8" w:space="0"/>
            </w:tcBorders>
            <w:vAlign w:val="center"/>
          </w:tcPr>
          <w:p w14:paraId="18731AB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48D5E836">
        <w:tblPrEx>
          <w:tblCellMar>
            <w:top w:w="0" w:type="dxa"/>
            <w:left w:w="108" w:type="dxa"/>
            <w:bottom w:w="0" w:type="dxa"/>
            <w:right w:w="108" w:type="dxa"/>
          </w:tblCellMar>
        </w:tblPrEx>
        <w:trPr>
          <w:trHeight w:val="285" w:hRule="atLeast"/>
        </w:trPr>
        <w:tc>
          <w:tcPr>
            <w:tcW w:w="1012" w:type="dxa"/>
            <w:vMerge w:val="continue"/>
            <w:tcBorders>
              <w:left w:val="single" w:color="auto" w:sz="8" w:space="0"/>
              <w:right w:val="single" w:color="auto" w:sz="4" w:space="0"/>
            </w:tcBorders>
            <w:vAlign w:val="center"/>
          </w:tcPr>
          <w:p w14:paraId="024E46F4">
            <w:pPr>
              <w:spacing w:line="320" w:lineRule="exact"/>
              <w:jc w:val="left"/>
              <w:rPr>
                <w:color w:val="000000"/>
                <w:kern w:val="0"/>
                <w:sz w:val="18"/>
                <w:szCs w:val="18"/>
              </w:rPr>
            </w:pPr>
          </w:p>
        </w:tc>
        <w:tc>
          <w:tcPr>
            <w:tcW w:w="6372" w:type="dxa"/>
            <w:tcBorders>
              <w:top w:val="single" w:color="auto" w:sz="4" w:space="0"/>
              <w:left w:val="nil"/>
              <w:bottom w:val="single" w:color="auto" w:sz="4" w:space="0"/>
              <w:right w:val="single" w:color="auto" w:sz="4" w:space="0"/>
            </w:tcBorders>
            <w:vAlign w:val="center"/>
          </w:tcPr>
          <w:p w14:paraId="27BDB16C">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70C2BF48">
            <w:pPr>
              <w:spacing w:line="320" w:lineRule="exact"/>
              <w:jc w:val="left"/>
              <w:rPr>
                <w:color w:val="000000"/>
                <w:kern w:val="0"/>
                <w:sz w:val="18"/>
                <w:szCs w:val="18"/>
              </w:rPr>
            </w:pPr>
          </w:p>
        </w:tc>
        <w:tc>
          <w:tcPr>
            <w:tcW w:w="5616" w:type="dxa"/>
            <w:tcBorders>
              <w:top w:val="nil"/>
              <w:left w:val="nil"/>
              <w:bottom w:val="single" w:color="auto" w:sz="4" w:space="0"/>
              <w:right w:val="single" w:color="auto" w:sz="8" w:space="0"/>
            </w:tcBorders>
            <w:vAlign w:val="center"/>
          </w:tcPr>
          <w:p w14:paraId="05B69C34">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33353F4C">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4F900EFF">
        <w:tblPrEx>
          <w:tblCellMar>
            <w:top w:w="0" w:type="dxa"/>
            <w:left w:w="108" w:type="dxa"/>
            <w:bottom w:w="0" w:type="dxa"/>
            <w:right w:w="108" w:type="dxa"/>
          </w:tblCellMar>
        </w:tblPrEx>
        <w:trPr>
          <w:trHeight w:val="285" w:hRule="atLeast"/>
        </w:trPr>
        <w:tc>
          <w:tcPr>
            <w:tcW w:w="1012" w:type="dxa"/>
            <w:vMerge w:val="continue"/>
            <w:tcBorders>
              <w:left w:val="single" w:color="auto" w:sz="8" w:space="0"/>
              <w:bottom w:val="single" w:color="auto" w:sz="4" w:space="0"/>
              <w:right w:val="single" w:color="auto" w:sz="4" w:space="0"/>
            </w:tcBorders>
            <w:vAlign w:val="center"/>
          </w:tcPr>
          <w:p w14:paraId="5378AC78">
            <w:pPr>
              <w:spacing w:line="320" w:lineRule="exact"/>
              <w:jc w:val="left"/>
              <w:rPr>
                <w:color w:val="000000"/>
                <w:kern w:val="0"/>
                <w:sz w:val="18"/>
                <w:szCs w:val="18"/>
              </w:rPr>
            </w:pPr>
          </w:p>
        </w:tc>
        <w:tc>
          <w:tcPr>
            <w:tcW w:w="6372" w:type="dxa"/>
            <w:tcBorders>
              <w:top w:val="single" w:color="auto" w:sz="4" w:space="0"/>
              <w:left w:val="nil"/>
              <w:bottom w:val="single" w:color="auto" w:sz="4" w:space="0"/>
              <w:right w:val="single" w:color="auto" w:sz="4" w:space="0"/>
            </w:tcBorders>
            <w:vAlign w:val="center"/>
          </w:tcPr>
          <w:p w14:paraId="3B5C66DC">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28B770DA">
            <w:pPr>
              <w:spacing w:line="320" w:lineRule="exact"/>
              <w:jc w:val="left"/>
              <w:rPr>
                <w:color w:val="000000"/>
                <w:kern w:val="0"/>
                <w:sz w:val="18"/>
                <w:szCs w:val="18"/>
              </w:rPr>
            </w:pPr>
          </w:p>
        </w:tc>
        <w:tc>
          <w:tcPr>
            <w:tcW w:w="5616" w:type="dxa"/>
            <w:tcBorders>
              <w:top w:val="nil"/>
              <w:left w:val="nil"/>
              <w:bottom w:val="single" w:color="auto" w:sz="4" w:space="0"/>
              <w:right w:val="single" w:color="auto" w:sz="8" w:space="0"/>
            </w:tcBorders>
            <w:vAlign w:val="center"/>
          </w:tcPr>
          <w:p w14:paraId="5410E917">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58C637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376546ED"/>
    <w:p w14:paraId="13AA26E4"/>
    <w:p w14:paraId="18D0B13A"/>
    <w:p w14:paraId="7DA83E39"/>
    <w:p w14:paraId="08A54047"/>
    <w:p w14:paraId="6F702EAF"/>
    <w:p w14:paraId="77CDE136"/>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5EB4FE4D">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39B54A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1B875548">
            <w:pPr>
              <w:spacing w:line="320" w:lineRule="exact"/>
              <w:jc w:val="left"/>
              <w:rPr>
                <w:rFonts w:eastAsia="仿宋_GB2312"/>
                <w:b/>
                <w:bCs/>
                <w:color w:val="000000"/>
                <w:kern w:val="0"/>
                <w:sz w:val="18"/>
                <w:szCs w:val="18"/>
              </w:rPr>
            </w:pPr>
            <w:r>
              <w:rPr>
                <w:rFonts w:eastAsia="仿宋_GB2312"/>
                <w:b/>
                <w:bCs/>
                <w:color w:val="000000"/>
                <w:kern w:val="0"/>
                <w:sz w:val="18"/>
                <w:szCs w:val="18"/>
              </w:rPr>
              <w:t>320217708000</w:t>
            </w:r>
          </w:p>
        </w:tc>
      </w:tr>
      <w:tr w14:paraId="1CD29D9D">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DD9C94B">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76D97C1C">
            <w:pPr>
              <w:spacing w:line="320" w:lineRule="exact"/>
              <w:jc w:val="left"/>
              <w:rPr>
                <w:b/>
                <w:color w:val="000000"/>
                <w:kern w:val="0"/>
                <w:sz w:val="18"/>
                <w:szCs w:val="18"/>
              </w:rPr>
            </w:pPr>
            <w:r>
              <w:rPr>
                <w:rFonts w:hint="eastAsia"/>
                <w:color w:val="000000"/>
                <w:spacing w:val="-6"/>
                <w:kern w:val="0"/>
                <w:sz w:val="18"/>
                <w:szCs w:val="18"/>
              </w:rPr>
              <w:t>对施工单位未严格按照专项施工方案组织施工，或者擅自修改专项施工方案的处罚</w:t>
            </w:r>
          </w:p>
        </w:tc>
      </w:tr>
      <w:tr w14:paraId="6E1AF2FC">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69FF500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4718FF1C">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1A93E619">
            <w:pPr>
              <w:spacing w:line="320" w:lineRule="exact"/>
              <w:jc w:val="left"/>
              <w:rPr>
                <w:color w:val="000000"/>
                <w:kern w:val="0"/>
                <w:sz w:val="18"/>
                <w:szCs w:val="18"/>
              </w:rPr>
            </w:pPr>
            <w:r>
              <w:rPr>
                <w:rFonts w:hint="eastAsia"/>
                <w:color w:val="000000"/>
                <w:kern w:val="0"/>
                <w:sz w:val="18"/>
                <w:szCs w:val="18"/>
              </w:rPr>
              <w:t>　　第十六条　施工单位应当严格按照专项施工方案组织施工，不得擅自修改专项施工方案。</w:t>
            </w:r>
          </w:p>
          <w:p w14:paraId="7806FDF4">
            <w:pPr>
              <w:spacing w:line="320" w:lineRule="exact"/>
              <w:jc w:val="left"/>
              <w:rPr>
                <w:color w:val="000000"/>
                <w:kern w:val="0"/>
                <w:sz w:val="18"/>
                <w:szCs w:val="18"/>
              </w:rPr>
            </w:pPr>
            <w:r>
              <w:rPr>
                <w:rFonts w:hint="eastAsia"/>
                <w:color w:val="000000"/>
                <w:kern w:val="0"/>
                <w:sz w:val="18"/>
                <w:szCs w:val="18"/>
              </w:rPr>
              <w:t>　　因规划调整、设计变更等原因确需调整的，修改后的专项施工方案应当按照本规定重新审核和论证。涉及资金或者工期调整的，建设单位应当按照约定予以调整。</w:t>
            </w:r>
          </w:p>
          <w:p w14:paraId="6F6EA342">
            <w:pPr>
              <w:spacing w:line="320" w:lineRule="exact"/>
              <w:jc w:val="left"/>
              <w:rPr>
                <w:color w:val="000000"/>
                <w:kern w:val="0"/>
                <w:sz w:val="18"/>
                <w:szCs w:val="18"/>
              </w:rPr>
            </w:pPr>
            <w:r>
              <w:rPr>
                <w:rFonts w:hint="eastAsia"/>
                <w:color w:val="000000"/>
                <w:kern w:val="0"/>
                <w:sz w:val="18"/>
                <w:szCs w:val="18"/>
              </w:rPr>
              <w:t>　　第三十四条　施工单位有下列行为之一的，责令限期改正，处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2F17CAFE">
            <w:pPr>
              <w:spacing w:line="320" w:lineRule="exact"/>
              <w:jc w:val="left"/>
              <w:rPr>
                <w:color w:val="000000"/>
                <w:kern w:val="0"/>
                <w:sz w:val="18"/>
                <w:szCs w:val="18"/>
              </w:rPr>
            </w:pPr>
            <w:r>
              <w:rPr>
                <w:rFonts w:hint="eastAsia"/>
                <w:color w:val="000000"/>
                <w:kern w:val="0"/>
                <w:sz w:val="18"/>
                <w:szCs w:val="18"/>
              </w:rPr>
              <w:t>　　（三）未严格按照专项施工方案组织施工，或者擅自修改专项施工方案的。</w:t>
            </w:r>
          </w:p>
          <w:p w14:paraId="45AB1B0B">
            <w:pPr>
              <w:spacing w:line="320" w:lineRule="exact"/>
              <w:jc w:val="left"/>
              <w:rPr>
                <w:color w:val="000000"/>
                <w:kern w:val="0"/>
                <w:sz w:val="18"/>
                <w:szCs w:val="18"/>
              </w:rPr>
            </w:pPr>
          </w:p>
        </w:tc>
      </w:tr>
      <w:tr w14:paraId="6FAE15BB">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33A5964">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5F6B1C46">
            <w:pPr>
              <w:spacing w:line="320" w:lineRule="exact"/>
              <w:jc w:val="left"/>
              <w:rPr>
                <w:color w:val="000000"/>
                <w:kern w:val="0"/>
                <w:sz w:val="18"/>
                <w:szCs w:val="18"/>
              </w:rPr>
            </w:pPr>
            <w:r>
              <w:rPr>
                <w:rFonts w:hint="eastAsia"/>
                <w:color w:val="000000"/>
                <w:kern w:val="0"/>
                <w:sz w:val="18"/>
                <w:szCs w:val="18"/>
              </w:rPr>
              <w:t>责令限期改正，罚款，暂扣安全生产许可证</w:t>
            </w:r>
          </w:p>
        </w:tc>
      </w:tr>
      <w:tr w14:paraId="2A879BC8">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625E541">
            <w:pPr>
              <w:spacing w:line="320" w:lineRule="exact"/>
              <w:jc w:val="center"/>
              <w:rPr>
                <w:color w:val="000000"/>
                <w:kern w:val="0"/>
                <w:sz w:val="18"/>
                <w:szCs w:val="18"/>
              </w:rPr>
            </w:pPr>
            <w:r>
              <w:rPr>
                <w:rFonts w:hint="eastAsia"/>
                <w:color w:val="000000"/>
                <w:kern w:val="0"/>
                <w:sz w:val="18"/>
                <w:szCs w:val="18"/>
              </w:rPr>
              <w:t>裁量基准</w:t>
            </w:r>
          </w:p>
        </w:tc>
      </w:tr>
      <w:tr w14:paraId="181D8F7B">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7ECE7534">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7235F219">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344BA4C3">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39D11FC7">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tc>
      </w:tr>
      <w:tr w14:paraId="3C74441A">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657ED001">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479AEF08">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3410275E">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6A726E0D">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p w14:paraId="6E277253">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161F074A">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71A2D8E5">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77B5A833">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598066FC">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07EDA5E4">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万元以下罚款，安全生产许可证暂扣期限根据事故等级按照有关规定执行</w:t>
            </w:r>
          </w:p>
          <w:p w14:paraId="0B03D1EC">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4A25650B"/>
    <w:p w14:paraId="4BFC0D5E"/>
    <w:p w14:paraId="1899EB1E"/>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305923D5">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1C6B8973">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36E27020">
            <w:pPr>
              <w:spacing w:line="320" w:lineRule="exact"/>
              <w:jc w:val="left"/>
              <w:rPr>
                <w:rFonts w:eastAsia="仿宋_GB2312"/>
                <w:b/>
                <w:bCs/>
                <w:color w:val="000000"/>
                <w:kern w:val="0"/>
                <w:sz w:val="18"/>
                <w:szCs w:val="18"/>
              </w:rPr>
            </w:pPr>
            <w:r>
              <w:rPr>
                <w:rFonts w:eastAsia="仿宋_GB2312"/>
                <w:b/>
                <w:bCs/>
                <w:color w:val="000000"/>
                <w:kern w:val="0"/>
                <w:sz w:val="18"/>
                <w:szCs w:val="18"/>
              </w:rPr>
              <w:t>320217709000</w:t>
            </w:r>
            <w:r>
              <w:rPr>
                <w:rFonts w:hint="eastAsia" w:eastAsia="仿宋_GB2312"/>
                <w:b/>
                <w:bCs/>
                <w:color w:val="000000"/>
                <w:kern w:val="0"/>
                <w:sz w:val="18"/>
                <w:szCs w:val="18"/>
              </w:rPr>
              <w:t xml:space="preserve"> </w:t>
            </w:r>
          </w:p>
        </w:tc>
      </w:tr>
      <w:tr w14:paraId="544E0648">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2B43409A">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4E5A9D16">
            <w:pPr>
              <w:spacing w:line="320" w:lineRule="exact"/>
              <w:jc w:val="left"/>
              <w:rPr>
                <w:color w:val="000000"/>
                <w:kern w:val="0"/>
                <w:sz w:val="18"/>
                <w:szCs w:val="18"/>
              </w:rPr>
            </w:pPr>
            <w:r>
              <w:rPr>
                <w:rFonts w:hint="eastAsia"/>
                <w:color w:val="000000"/>
                <w:kern w:val="0"/>
                <w:sz w:val="18"/>
                <w:szCs w:val="18"/>
              </w:rPr>
              <w:t>对施工单位质量保修的内容、期限违反《房屋建筑工程质量保修办法》规定的处罚</w:t>
            </w:r>
          </w:p>
        </w:tc>
      </w:tr>
      <w:tr w14:paraId="19DAE8A8">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01B325F4">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36857011">
            <w:pPr>
              <w:spacing w:line="320" w:lineRule="exact"/>
              <w:jc w:val="left"/>
              <w:rPr>
                <w:color w:val="000000"/>
                <w:kern w:val="0"/>
                <w:sz w:val="18"/>
                <w:szCs w:val="18"/>
              </w:rPr>
            </w:pPr>
            <w:r>
              <w:rPr>
                <w:rFonts w:hint="eastAsia"/>
                <w:color w:val="000000"/>
                <w:kern w:val="0"/>
                <w:sz w:val="18"/>
                <w:szCs w:val="18"/>
              </w:rPr>
              <w:t>【规章】《建筑工程质量管理条例》（国务院令</w:t>
            </w:r>
            <w:r>
              <w:rPr>
                <w:color w:val="000000"/>
                <w:kern w:val="0"/>
                <w:sz w:val="18"/>
                <w:szCs w:val="18"/>
              </w:rPr>
              <w:t>687</w:t>
            </w:r>
            <w:r>
              <w:rPr>
                <w:rFonts w:hint="eastAsia"/>
                <w:color w:val="000000"/>
                <w:kern w:val="0"/>
                <w:sz w:val="18"/>
                <w:szCs w:val="18"/>
              </w:rPr>
              <w:t>号，</w:t>
            </w:r>
            <w:r>
              <w:rPr>
                <w:color w:val="000000"/>
                <w:kern w:val="0"/>
                <w:sz w:val="18"/>
                <w:szCs w:val="18"/>
              </w:rPr>
              <w:t>2017</w:t>
            </w:r>
            <w:r>
              <w:rPr>
                <w:rFonts w:hint="eastAsia"/>
                <w:color w:val="000000"/>
                <w:kern w:val="0"/>
                <w:sz w:val="18"/>
                <w:szCs w:val="18"/>
              </w:rPr>
              <w:t>年修订）</w:t>
            </w:r>
          </w:p>
          <w:p w14:paraId="772A2675">
            <w:pPr>
              <w:spacing w:line="320" w:lineRule="exact"/>
              <w:jc w:val="left"/>
              <w:rPr>
                <w:color w:val="000000"/>
                <w:kern w:val="0"/>
                <w:sz w:val="18"/>
                <w:szCs w:val="18"/>
              </w:rPr>
            </w:pPr>
            <w:r>
              <w:rPr>
                <w:rFonts w:hint="eastAsia"/>
                <w:color w:val="000000"/>
                <w:kern w:val="0"/>
                <w:sz w:val="18"/>
                <w:szCs w:val="18"/>
              </w:rPr>
              <w:t>第四十条在正常使用条件下，建设工程的最低保修期限为：</w:t>
            </w:r>
          </w:p>
          <w:p w14:paraId="21692AA6">
            <w:pPr>
              <w:spacing w:line="320" w:lineRule="exact"/>
              <w:jc w:val="left"/>
              <w:rPr>
                <w:color w:val="000000"/>
                <w:kern w:val="0"/>
                <w:sz w:val="18"/>
                <w:szCs w:val="18"/>
              </w:rPr>
            </w:pPr>
            <w:r>
              <w:rPr>
                <w:rFonts w:hint="eastAsia"/>
                <w:color w:val="000000"/>
                <w:kern w:val="0"/>
                <w:sz w:val="18"/>
                <w:szCs w:val="18"/>
              </w:rPr>
              <w:t>（一）基础设施工程、房屋建筑的地基基础工程和主体结构工程，为设计文件规定的该工程的合理使用年限；</w:t>
            </w:r>
          </w:p>
          <w:p w14:paraId="7687B1D3">
            <w:pPr>
              <w:spacing w:line="320" w:lineRule="exact"/>
              <w:jc w:val="left"/>
              <w:rPr>
                <w:color w:val="000000"/>
                <w:kern w:val="0"/>
                <w:sz w:val="18"/>
                <w:szCs w:val="18"/>
              </w:rPr>
            </w:pPr>
            <w:r>
              <w:rPr>
                <w:rFonts w:hint="eastAsia"/>
                <w:color w:val="000000"/>
                <w:kern w:val="0"/>
                <w:sz w:val="18"/>
                <w:szCs w:val="18"/>
              </w:rPr>
              <w:t>（二）屋面防水工程、有防水要求的卫生间、房间和外墙面的防渗漏，为</w:t>
            </w:r>
            <w:r>
              <w:rPr>
                <w:color w:val="000000"/>
                <w:kern w:val="0"/>
                <w:sz w:val="18"/>
                <w:szCs w:val="18"/>
              </w:rPr>
              <w:t>5</w:t>
            </w:r>
            <w:r>
              <w:rPr>
                <w:rFonts w:hint="eastAsia"/>
                <w:color w:val="000000"/>
                <w:kern w:val="0"/>
                <w:sz w:val="18"/>
                <w:szCs w:val="18"/>
              </w:rPr>
              <w:t>年；</w:t>
            </w:r>
          </w:p>
          <w:p w14:paraId="6D3886F3">
            <w:pPr>
              <w:spacing w:line="320" w:lineRule="exact"/>
              <w:jc w:val="left"/>
              <w:rPr>
                <w:color w:val="000000"/>
                <w:kern w:val="0"/>
                <w:sz w:val="18"/>
                <w:szCs w:val="18"/>
              </w:rPr>
            </w:pPr>
            <w:r>
              <w:rPr>
                <w:rFonts w:hint="eastAsia"/>
                <w:color w:val="000000"/>
                <w:kern w:val="0"/>
                <w:sz w:val="18"/>
                <w:szCs w:val="18"/>
              </w:rPr>
              <w:t>（三）供热与供冷系统，为</w:t>
            </w:r>
            <w:r>
              <w:rPr>
                <w:color w:val="000000"/>
                <w:kern w:val="0"/>
                <w:sz w:val="18"/>
                <w:szCs w:val="18"/>
              </w:rPr>
              <w:t>2</w:t>
            </w:r>
            <w:r>
              <w:rPr>
                <w:rFonts w:hint="eastAsia"/>
                <w:color w:val="000000"/>
                <w:kern w:val="0"/>
                <w:sz w:val="18"/>
                <w:szCs w:val="18"/>
              </w:rPr>
              <w:t>个采暖期、供冷期；</w:t>
            </w:r>
          </w:p>
          <w:p w14:paraId="693B564C">
            <w:pPr>
              <w:spacing w:line="320" w:lineRule="exact"/>
              <w:jc w:val="left"/>
              <w:rPr>
                <w:color w:val="000000"/>
                <w:kern w:val="0"/>
                <w:sz w:val="18"/>
                <w:szCs w:val="18"/>
              </w:rPr>
            </w:pPr>
            <w:r>
              <w:rPr>
                <w:rFonts w:hint="eastAsia"/>
                <w:color w:val="000000"/>
                <w:kern w:val="0"/>
                <w:sz w:val="18"/>
                <w:szCs w:val="18"/>
              </w:rPr>
              <w:t>（四）电气管线、给排水管道、设备安装和装修工程，为</w:t>
            </w:r>
            <w:r>
              <w:rPr>
                <w:color w:val="000000"/>
                <w:kern w:val="0"/>
                <w:sz w:val="18"/>
                <w:szCs w:val="18"/>
              </w:rPr>
              <w:t>2</w:t>
            </w:r>
            <w:r>
              <w:rPr>
                <w:rFonts w:hint="eastAsia"/>
                <w:color w:val="000000"/>
                <w:kern w:val="0"/>
                <w:sz w:val="18"/>
                <w:szCs w:val="18"/>
              </w:rPr>
              <w:t>年。</w:t>
            </w:r>
          </w:p>
          <w:p w14:paraId="6E8A710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其他项目的保修期限由发包方与承包方约定。</w:t>
            </w:r>
          </w:p>
          <w:p w14:paraId="01E089BC">
            <w:pPr>
              <w:spacing w:line="320" w:lineRule="exact"/>
              <w:jc w:val="left"/>
              <w:rPr>
                <w:color w:val="000000"/>
                <w:kern w:val="0"/>
                <w:sz w:val="18"/>
                <w:szCs w:val="18"/>
              </w:rPr>
            </w:pPr>
            <w:r>
              <w:rPr>
                <w:rFonts w:hint="eastAsia"/>
                <w:color w:val="000000"/>
                <w:kern w:val="0"/>
                <w:sz w:val="18"/>
                <w:szCs w:val="18"/>
              </w:rPr>
              <w:t>建设工程的保修期，自竣工验收合格之日起计算。</w:t>
            </w:r>
          </w:p>
          <w:p w14:paraId="7340CF4D">
            <w:pPr>
              <w:spacing w:line="320" w:lineRule="exact"/>
              <w:jc w:val="left"/>
              <w:rPr>
                <w:color w:val="000000"/>
                <w:kern w:val="0"/>
                <w:sz w:val="18"/>
                <w:szCs w:val="18"/>
              </w:rPr>
            </w:pPr>
            <w:r>
              <w:rPr>
                <w:rFonts w:hint="eastAsia"/>
                <w:color w:val="000000"/>
                <w:kern w:val="0"/>
                <w:sz w:val="18"/>
                <w:szCs w:val="18"/>
              </w:rPr>
              <w:t>【规章】</w:t>
            </w:r>
            <w:r>
              <w:rPr>
                <w:color w:val="000000"/>
                <w:kern w:val="0"/>
                <w:sz w:val="18"/>
                <w:szCs w:val="18"/>
              </w:rPr>
              <w:t xml:space="preserve"> </w:t>
            </w:r>
            <w:r>
              <w:rPr>
                <w:rFonts w:hint="eastAsia"/>
                <w:color w:val="000000"/>
                <w:kern w:val="0"/>
                <w:sz w:val="18"/>
                <w:szCs w:val="18"/>
              </w:rPr>
              <w:t>《房屋建筑工程质量保修办法》（</w:t>
            </w:r>
            <w:r>
              <w:rPr>
                <w:color w:val="000000"/>
                <w:kern w:val="0"/>
                <w:sz w:val="18"/>
                <w:szCs w:val="18"/>
              </w:rPr>
              <w:t>2000</w:t>
            </w:r>
            <w:r>
              <w:rPr>
                <w:rFonts w:hint="eastAsia"/>
                <w:color w:val="000000"/>
                <w:kern w:val="0"/>
                <w:sz w:val="18"/>
                <w:szCs w:val="18"/>
              </w:rPr>
              <w:t>年建设部令第</w:t>
            </w:r>
            <w:r>
              <w:rPr>
                <w:color w:val="000000"/>
                <w:kern w:val="0"/>
                <w:sz w:val="18"/>
                <w:szCs w:val="18"/>
              </w:rPr>
              <w:t>80</w:t>
            </w:r>
            <w:r>
              <w:rPr>
                <w:rFonts w:hint="eastAsia"/>
                <w:color w:val="000000"/>
                <w:kern w:val="0"/>
                <w:sz w:val="18"/>
                <w:szCs w:val="18"/>
              </w:rPr>
              <w:t>号）</w:t>
            </w:r>
          </w:p>
          <w:p w14:paraId="45F1858C">
            <w:pPr>
              <w:spacing w:line="320" w:lineRule="exact"/>
              <w:jc w:val="left"/>
              <w:rPr>
                <w:color w:val="000000"/>
                <w:kern w:val="0"/>
                <w:sz w:val="18"/>
                <w:szCs w:val="18"/>
              </w:rPr>
            </w:pPr>
            <w:r>
              <w:rPr>
                <w:rFonts w:hint="eastAsia"/>
                <w:color w:val="000000"/>
                <w:kern w:val="0"/>
                <w:sz w:val="18"/>
                <w:szCs w:val="18"/>
              </w:rPr>
              <w:t>第六条　建设单位和施工单位应当在工程质量保修书中约定保修范围、保修期限和保修责任等，双方约定的保修范围、保修期限必须符合国家有关规定。</w:t>
            </w:r>
          </w:p>
          <w:p w14:paraId="7B8FCAFA">
            <w:pPr>
              <w:spacing w:line="320" w:lineRule="exact"/>
              <w:jc w:val="left"/>
              <w:rPr>
                <w:color w:val="000000"/>
                <w:kern w:val="0"/>
                <w:sz w:val="18"/>
                <w:szCs w:val="18"/>
              </w:rPr>
            </w:pPr>
            <w:r>
              <w:rPr>
                <w:rFonts w:hint="eastAsia"/>
                <w:color w:val="000000"/>
                <w:kern w:val="0"/>
                <w:sz w:val="18"/>
                <w:szCs w:val="18"/>
              </w:rPr>
              <w:t>十八条</w:t>
            </w:r>
            <w:r>
              <w:rPr>
                <w:color w:val="000000"/>
                <w:kern w:val="0"/>
                <w:sz w:val="18"/>
                <w:szCs w:val="18"/>
              </w:rPr>
              <w:t>:</w:t>
            </w:r>
            <w:r>
              <w:rPr>
                <w:rFonts w:hint="eastAsia"/>
                <w:color w:val="000000"/>
                <w:kern w:val="0"/>
                <w:sz w:val="18"/>
                <w:szCs w:val="18"/>
              </w:rPr>
              <w:t>施工单位有下列行为之一的，由建设行政主管部门责令改正，并处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14:paraId="77475A1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w:t>
            </w:r>
            <w:r>
              <w:rPr>
                <w:color w:val="000000"/>
                <w:kern w:val="0"/>
                <w:sz w:val="18"/>
                <w:szCs w:val="18"/>
              </w:rPr>
              <w:t xml:space="preserve"> </w:t>
            </w:r>
            <w:r>
              <w:rPr>
                <w:rFonts w:hint="eastAsia"/>
                <w:color w:val="000000"/>
                <w:kern w:val="0"/>
                <w:sz w:val="18"/>
                <w:szCs w:val="18"/>
              </w:rPr>
              <w:t>质量保修的内容、期限违反本办法规定的。</w:t>
            </w:r>
          </w:p>
        </w:tc>
      </w:tr>
      <w:tr w14:paraId="5FE0F4C1">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17AAC400">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43C9ED80">
            <w:pPr>
              <w:spacing w:line="320" w:lineRule="exact"/>
              <w:jc w:val="left"/>
              <w:rPr>
                <w:color w:val="000000"/>
                <w:kern w:val="0"/>
                <w:sz w:val="18"/>
                <w:szCs w:val="18"/>
              </w:rPr>
            </w:pPr>
            <w:r>
              <w:rPr>
                <w:rFonts w:hint="eastAsia"/>
                <w:color w:val="000000"/>
                <w:kern w:val="0"/>
                <w:sz w:val="18"/>
                <w:szCs w:val="18"/>
              </w:rPr>
              <w:t>罚款</w:t>
            </w:r>
          </w:p>
        </w:tc>
      </w:tr>
      <w:tr w14:paraId="5275158D">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630B281E">
            <w:pPr>
              <w:spacing w:line="320" w:lineRule="exact"/>
              <w:jc w:val="center"/>
              <w:rPr>
                <w:color w:val="000000"/>
                <w:kern w:val="0"/>
                <w:sz w:val="18"/>
                <w:szCs w:val="18"/>
              </w:rPr>
            </w:pPr>
            <w:r>
              <w:rPr>
                <w:rFonts w:hint="eastAsia"/>
                <w:color w:val="000000"/>
                <w:kern w:val="0"/>
                <w:sz w:val="18"/>
                <w:szCs w:val="18"/>
              </w:rPr>
              <w:t>裁量基准</w:t>
            </w:r>
          </w:p>
        </w:tc>
      </w:tr>
      <w:tr w14:paraId="32A94B7D">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40DC8C1E">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1ACADAF">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color="auto" w:sz="4" w:space="0"/>
              <w:left w:val="single" w:color="auto" w:sz="4" w:space="0"/>
              <w:right w:val="single" w:color="auto" w:sz="4" w:space="0"/>
            </w:tcBorders>
            <w:vAlign w:val="center"/>
          </w:tcPr>
          <w:p w14:paraId="5E36D0F3">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56110B3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4BA79A61">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680DF27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376AB7F">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val="continue"/>
            <w:tcBorders>
              <w:left w:val="single" w:color="auto" w:sz="4" w:space="0"/>
              <w:bottom w:val="single" w:color="auto" w:sz="4" w:space="0"/>
              <w:right w:val="single" w:color="auto" w:sz="4" w:space="0"/>
            </w:tcBorders>
            <w:vAlign w:val="center"/>
          </w:tcPr>
          <w:p w14:paraId="09D5A794">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6B6E08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240718B4"/>
    <w:p w14:paraId="4054D770"/>
    <w:p w14:paraId="2517BA1B"/>
    <w:p w14:paraId="48EAE97B"/>
    <w:p w14:paraId="5CF1B25B"/>
    <w:p w14:paraId="58F4C77D"/>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5C798B8">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1E95475A">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032C20CF">
            <w:pPr>
              <w:spacing w:line="320" w:lineRule="exact"/>
              <w:jc w:val="left"/>
              <w:rPr>
                <w:rFonts w:eastAsia="仿宋_GB2312"/>
                <w:b/>
                <w:bCs/>
                <w:color w:val="000000"/>
                <w:kern w:val="0"/>
                <w:sz w:val="18"/>
                <w:szCs w:val="18"/>
              </w:rPr>
            </w:pPr>
            <w:r>
              <w:rPr>
                <w:rFonts w:eastAsia="仿宋_GB2312"/>
                <w:b/>
                <w:bCs/>
                <w:color w:val="000000"/>
                <w:kern w:val="0"/>
                <w:sz w:val="18"/>
                <w:szCs w:val="18"/>
              </w:rPr>
              <w:t>320217710000</w:t>
            </w:r>
          </w:p>
        </w:tc>
      </w:tr>
      <w:tr w14:paraId="22ABE1E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7314429F">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6DC8698A">
            <w:pPr>
              <w:spacing w:line="320" w:lineRule="exact"/>
              <w:jc w:val="left"/>
              <w:rPr>
                <w:color w:val="000000"/>
                <w:kern w:val="0"/>
                <w:sz w:val="18"/>
                <w:szCs w:val="18"/>
              </w:rPr>
            </w:pPr>
            <w:r>
              <w:rPr>
                <w:rFonts w:hint="eastAsia"/>
                <w:color w:val="000000"/>
                <w:kern w:val="0"/>
                <w:sz w:val="18"/>
                <w:szCs w:val="18"/>
              </w:rPr>
              <w:t>对施工单位工程竣工验收后，不向建设单位出具质量保修书的处罚</w:t>
            </w:r>
          </w:p>
        </w:tc>
      </w:tr>
      <w:tr w14:paraId="5A2E466B">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61DA7948">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3FB1CDDA">
            <w:pPr>
              <w:spacing w:line="320" w:lineRule="exact"/>
              <w:jc w:val="left"/>
              <w:rPr>
                <w:color w:val="000000"/>
                <w:kern w:val="0"/>
                <w:sz w:val="18"/>
                <w:szCs w:val="18"/>
              </w:rPr>
            </w:pPr>
            <w:r>
              <w:rPr>
                <w:rFonts w:hint="eastAsia"/>
                <w:color w:val="000000"/>
                <w:kern w:val="0"/>
                <w:sz w:val="18"/>
                <w:szCs w:val="18"/>
              </w:rPr>
              <w:t>【规章】《建筑工程质量管理条例》</w:t>
            </w:r>
          </w:p>
          <w:p w14:paraId="38F8E3F5">
            <w:pPr>
              <w:spacing w:line="320" w:lineRule="exact"/>
              <w:jc w:val="left"/>
              <w:rPr>
                <w:color w:val="000000"/>
                <w:kern w:val="0"/>
                <w:sz w:val="18"/>
                <w:szCs w:val="18"/>
              </w:rPr>
            </w:pPr>
            <w:r>
              <w:rPr>
                <w:rFonts w:hint="eastAsia"/>
                <w:color w:val="000000"/>
                <w:kern w:val="0"/>
                <w:sz w:val="18"/>
                <w:szCs w:val="18"/>
              </w:rPr>
              <w:t>第三十九条：建设工程实行质量保修制度。</w:t>
            </w:r>
          </w:p>
          <w:p w14:paraId="5B8C7FD7">
            <w:pPr>
              <w:spacing w:line="320" w:lineRule="exact"/>
              <w:jc w:val="left"/>
              <w:rPr>
                <w:color w:val="000000"/>
                <w:kern w:val="0"/>
                <w:sz w:val="18"/>
                <w:szCs w:val="18"/>
              </w:rPr>
            </w:pPr>
            <w:r>
              <w:rPr>
                <w:rFonts w:hint="eastAsia"/>
                <w:color w:val="000000"/>
                <w:kern w:val="0"/>
                <w:sz w:val="18"/>
                <w:szCs w:val="18"/>
              </w:rPr>
              <w:t>建设工程承包单位在向建设单位提交工程竣工验收报告时，应当向建设单位出具质量保修书。质量保修书中应当明确建设工程的保修范围、保修期限和保修责任等。</w:t>
            </w:r>
          </w:p>
          <w:p w14:paraId="67C4615F">
            <w:pPr>
              <w:spacing w:line="320" w:lineRule="exact"/>
              <w:jc w:val="left"/>
              <w:rPr>
                <w:color w:val="000000"/>
                <w:kern w:val="0"/>
                <w:sz w:val="18"/>
                <w:szCs w:val="18"/>
              </w:rPr>
            </w:pPr>
            <w:r>
              <w:rPr>
                <w:rFonts w:hint="eastAsia"/>
                <w:color w:val="000000"/>
                <w:kern w:val="0"/>
                <w:sz w:val="18"/>
                <w:szCs w:val="18"/>
              </w:rPr>
              <w:t>【规章】《房屋建筑工程质量保修办法》（</w:t>
            </w:r>
            <w:r>
              <w:rPr>
                <w:color w:val="000000"/>
                <w:kern w:val="0"/>
                <w:sz w:val="18"/>
                <w:szCs w:val="18"/>
              </w:rPr>
              <w:t>2000</w:t>
            </w:r>
            <w:r>
              <w:rPr>
                <w:rFonts w:hint="eastAsia"/>
                <w:color w:val="000000"/>
                <w:kern w:val="0"/>
                <w:sz w:val="18"/>
                <w:szCs w:val="18"/>
              </w:rPr>
              <w:t>年建设部令第</w:t>
            </w:r>
            <w:r>
              <w:rPr>
                <w:color w:val="000000"/>
                <w:kern w:val="0"/>
                <w:sz w:val="18"/>
                <w:szCs w:val="18"/>
              </w:rPr>
              <w:t>80</w:t>
            </w:r>
            <w:r>
              <w:rPr>
                <w:rFonts w:hint="eastAsia"/>
                <w:color w:val="000000"/>
                <w:kern w:val="0"/>
                <w:sz w:val="18"/>
                <w:szCs w:val="18"/>
              </w:rPr>
              <w:t>号）</w:t>
            </w:r>
          </w:p>
          <w:p w14:paraId="43DFDA23">
            <w:pPr>
              <w:spacing w:line="320" w:lineRule="exact"/>
              <w:jc w:val="left"/>
              <w:rPr>
                <w:color w:val="000000"/>
                <w:kern w:val="0"/>
                <w:sz w:val="18"/>
                <w:szCs w:val="18"/>
              </w:rPr>
            </w:pPr>
            <w:r>
              <w:rPr>
                <w:rFonts w:hint="eastAsia"/>
                <w:color w:val="000000"/>
                <w:kern w:val="0"/>
                <w:sz w:val="18"/>
                <w:szCs w:val="18"/>
              </w:rPr>
              <w:t>第十八条施工单位有下列行为之一的，由建设行政主管部门责令改正，并处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14:paraId="6642BB7D">
            <w:pPr>
              <w:spacing w:line="320" w:lineRule="exact"/>
              <w:jc w:val="left"/>
              <w:rPr>
                <w:color w:val="000000"/>
                <w:kern w:val="0"/>
                <w:sz w:val="18"/>
                <w:szCs w:val="18"/>
              </w:rPr>
            </w:pPr>
            <w:r>
              <w:rPr>
                <w:rFonts w:hint="eastAsia"/>
                <w:color w:val="000000"/>
                <w:kern w:val="0"/>
                <w:sz w:val="18"/>
                <w:szCs w:val="18"/>
              </w:rPr>
              <w:t>（一）工程竣工验收后，不向建设单位出具质量保修书的；</w:t>
            </w:r>
          </w:p>
        </w:tc>
      </w:tr>
      <w:tr w14:paraId="6E43DC03">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C2CCE00">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0DFD1926">
            <w:pPr>
              <w:spacing w:line="320" w:lineRule="exact"/>
              <w:jc w:val="left"/>
              <w:rPr>
                <w:color w:val="000000"/>
                <w:kern w:val="0"/>
                <w:sz w:val="18"/>
                <w:szCs w:val="18"/>
              </w:rPr>
            </w:pPr>
            <w:r>
              <w:rPr>
                <w:rFonts w:hint="eastAsia"/>
                <w:color w:val="000000"/>
                <w:kern w:val="0"/>
                <w:sz w:val="18"/>
                <w:szCs w:val="18"/>
              </w:rPr>
              <w:t>罚款</w:t>
            </w:r>
          </w:p>
        </w:tc>
      </w:tr>
      <w:tr w14:paraId="34883861">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1D3F2D57">
            <w:pPr>
              <w:spacing w:line="320" w:lineRule="exact"/>
              <w:jc w:val="center"/>
              <w:rPr>
                <w:color w:val="000000"/>
                <w:kern w:val="0"/>
                <w:sz w:val="18"/>
                <w:szCs w:val="18"/>
              </w:rPr>
            </w:pPr>
            <w:r>
              <w:rPr>
                <w:rFonts w:hint="eastAsia"/>
                <w:color w:val="000000"/>
                <w:kern w:val="0"/>
                <w:sz w:val="18"/>
                <w:szCs w:val="18"/>
              </w:rPr>
              <w:t>裁量基准</w:t>
            </w:r>
          </w:p>
        </w:tc>
      </w:tr>
      <w:tr w14:paraId="3E35C4D9">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2779535F">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5460D70">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color="auto" w:sz="4" w:space="0"/>
              <w:left w:val="single" w:color="auto" w:sz="4" w:space="0"/>
              <w:right w:val="single" w:color="auto" w:sz="4" w:space="0"/>
            </w:tcBorders>
            <w:vAlign w:val="center"/>
          </w:tcPr>
          <w:p w14:paraId="51C6D546">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60C0F91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0D3413A5">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06BD774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3F6887C">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val="continue"/>
            <w:tcBorders>
              <w:left w:val="single" w:color="auto" w:sz="4" w:space="0"/>
              <w:bottom w:val="single" w:color="auto" w:sz="4" w:space="0"/>
              <w:right w:val="single" w:color="auto" w:sz="4" w:space="0"/>
            </w:tcBorders>
            <w:vAlign w:val="center"/>
          </w:tcPr>
          <w:p w14:paraId="7E10A2A8">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521DBCE">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22740749"/>
    <w:p w14:paraId="532319B2"/>
    <w:p w14:paraId="056AA613"/>
    <w:p w14:paraId="2FC69774"/>
    <w:p w14:paraId="2297EEE3"/>
    <w:p w14:paraId="7E3E9940"/>
    <w:p w14:paraId="61B4EC1E"/>
    <w:p w14:paraId="0374BAE5"/>
    <w:p w14:paraId="06B63B2A"/>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6FC655C0">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1CCEDA8A">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2C2C9AE7">
            <w:pPr>
              <w:spacing w:line="320" w:lineRule="exact"/>
              <w:jc w:val="left"/>
              <w:rPr>
                <w:rFonts w:eastAsia="仿宋_GB2312"/>
                <w:b/>
                <w:bCs/>
                <w:color w:val="000000"/>
                <w:kern w:val="0"/>
                <w:sz w:val="18"/>
                <w:szCs w:val="18"/>
              </w:rPr>
            </w:pPr>
            <w:r>
              <w:rPr>
                <w:rFonts w:eastAsia="仿宋_GB2312"/>
                <w:b/>
                <w:bCs/>
                <w:color w:val="000000"/>
                <w:kern w:val="0"/>
                <w:sz w:val="18"/>
                <w:szCs w:val="18"/>
              </w:rPr>
              <w:t>320217711000</w:t>
            </w:r>
          </w:p>
        </w:tc>
      </w:tr>
      <w:tr w14:paraId="0B5126E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7E8007C6">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252088F1">
            <w:pPr>
              <w:spacing w:line="320" w:lineRule="exact"/>
              <w:jc w:val="left"/>
              <w:rPr>
                <w:color w:val="000000"/>
                <w:kern w:val="0"/>
                <w:sz w:val="18"/>
                <w:szCs w:val="18"/>
              </w:rPr>
            </w:pPr>
            <w:r>
              <w:rPr>
                <w:rFonts w:hint="eastAsia"/>
                <w:color w:val="000000"/>
                <w:kern w:val="0"/>
                <w:sz w:val="18"/>
                <w:szCs w:val="18"/>
              </w:rPr>
              <w:t>对评估专业人员私自接受委托从事业务、收取费用的处罚（限房地产估价业务）</w:t>
            </w:r>
          </w:p>
        </w:tc>
      </w:tr>
      <w:tr w14:paraId="149985A5">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0FC20C8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5294FD2B">
            <w:pPr>
              <w:spacing w:line="280" w:lineRule="exact"/>
              <w:jc w:val="left"/>
              <w:rPr>
                <w:color w:val="000000"/>
                <w:kern w:val="0"/>
                <w:sz w:val="18"/>
                <w:szCs w:val="18"/>
              </w:rPr>
            </w:pPr>
            <w:r>
              <w:rPr>
                <w:rFonts w:hint="eastAsia"/>
                <w:color w:val="000000"/>
                <w:kern w:val="0"/>
                <w:sz w:val="18"/>
                <w:szCs w:val="18"/>
              </w:rPr>
              <w:t>【法律】《中华人民共和国资产评估法》</w:t>
            </w:r>
          </w:p>
          <w:p w14:paraId="05F78B73">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评估专业人员不得有下列行为：</w:t>
            </w:r>
          </w:p>
          <w:p w14:paraId="5486DD29">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w:t>
            </w:r>
            <w:r>
              <w:rPr>
                <w:color w:val="000000"/>
                <w:kern w:val="0"/>
                <w:sz w:val="18"/>
                <w:szCs w:val="18"/>
              </w:rPr>
              <w:t>）</w:t>
            </w:r>
            <w:r>
              <w:rPr>
                <w:rFonts w:hint="eastAsia"/>
                <w:color w:val="000000"/>
                <w:kern w:val="0"/>
                <w:sz w:val="18"/>
                <w:szCs w:val="18"/>
              </w:rPr>
              <w:t>私自接受委托从事业务、收取费用</w:t>
            </w:r>
            <w:r>
              <w:rPr>
                <w:color w:val="000000"/>
                <w:kern w:val="0"/>
                <w:sz w:val="18"/>
                <w:szCs w:val="18"/>
              </w:rPr>
              <w:t>;</w:t>
            </w:r>
          </w:p>
          <w:p w14:paraId="55282FB8">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14:paraId="583BE22F">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w:t>
            </w:r>
            <w:r>
              <w:rPr>
                <w:color w:val="000000"/>
                <w:kern w:val="0"/>
                <w:sz w:val="18"/>
                <w:szCs w:val="18"/>
              </w:rPr>
              <w:t>）</w:t>
            </w:r>
            <w:r>
              <w:rPr>
                <w:rFonts w:hint="eastAsia"/>
                <w:color w:val="000000"/>
                <w:kern w:val="0"/>
                <w:sz w:val="18"/>
                <w:szCs w:val="18"/>
              </w:rPr>
              <w:t>私自接受委托从事业务、收取费用的</w:t>
            </w:r>
            <w:r>
              <w:rPr>
                <w:color w:val="000000"/>
                <w:kern w:val="0"/>
                <w:sz w:val="18"/>
                <w:szCs w:val="18"/>
              </w:rPr>
              <w:t>;</w:t>
            </w:r>
          </w:p>
          <w:p w14:paraId="1F29724D">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14:paraId="10974D89">
            <w:pPr>
              <w:spacing w:line="28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14:paraId="4C037A8C">
            <w:pPr>
              <w:spacing w:line="280" w:lineRule="exact"/>
              <w:jc w:val="left"/>
              <w:rPr>
                <w:color w:val="000000"/>
                <w:kern w:val="0"/>
                <w:sz w:val="18"/>
                <w:szCs w:val="18"/>
              </w:rPr>
            </w:pPr>
            <w:r>
              <w:rPr>
                <w:rFonts w:hint="eastAsia"/>
                <w:color w:val="000000"/>
                <w:kern w:val="0"/>
                <w:sz w:val="18"/>
                <w:szCs w:val="18"/>
              </w:rPr>
              <w:t>第二十六条　注册房地产估价师不得有下列行为：</w:t>
            </w:r>
          </w:p>
          <w:p w14:paraId="2860900F">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（八）以个人名义承揽房地产估价业务。</w:t>
            </w:r>
          </w:p>
          <w:p w14:paraId="1D58FD6A">
            <w:pPr>
              <w:spacing w:line="28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14:paraId="5BD36F19">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1B69FFDC">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711621FC">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14:paraId="0A1FC707">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315698A6">
            <w:pPr>
              <w:spacing w:line="320" w:lineRule="exact"/>
              <w:jc w:val="center"/>
              <w:rPr>
                <w:color w:val="000000"/>
                <w:kern w:val="0"/>
                <w:sz w:val="18"/>
                <w:szCs w:val="18"/>
              </w:rPr>
            </w:pPr>
            <w:r>
              <w:rPr>
                <w:rFonts w:hint="eastAsia"/>
                <w:color w:val="000000"/>
                <w:kern w:val="0"/>
                <w:sz w:val="18"/>
                <w:szCs w:val="18"/>
              </w:rPr>
              <w:t>裁量基准</w:t>
            </w:r>
          </w:p>
        </w:tc>
      </w:tr>
      <w:tr w14:paraId="2F197E36">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0345C31D">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tcPr>
          <w:p w14:paraId="0DB3B05C">
            <w:pPr>
              <w:rPr>
                <w:color w:val="000000"/>
              </w:rPr>
            </w:pPr>
            <w:r>
              <w:rPr>
                <w:rFonts w:hint="eastAsia"/>
                <w:color w:val="000000"/>
              </w:rPr>
              <w:t>没有违法所得，且未造成损失的</w:t>
            </w:r>
          </w:p>
        </w:tc>
        <w:tc>
          <w:tcPr>
            <w:tcW w:w="1080" w:type="dxa"/>
            <w:vMerge w:val="restart"/>
            <w:tcBorders>
              <w:top w:val="single" w:color="auto" w:sz="4" w:space="0"/>
              <w:left w:val="single" w:color="auto" w:sz="4" w:space="0"/>
              <w:right w:val="single" w:color="auto" w:sz="4" w:space="0"/>
            </w:tcBorders>
            <w:vAlign w:val="center"/>
          </w:tcPr>
          <w:p w14:paraId="00AB7742">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5FC89682">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14:paraId="53E9E576">
        <w:tblPrEx>
          <w:tblCellMar>
            <w:top w:w="0" w:type="dxa"/>
            <w:left w:w="108" w:type="dxa"/>
            <w:bottom w:w="0" w:type="dxa"/>
            <w:right w:w="108" w:type="dxa"/>
          </w:tblCellMar>
        </w:tblPrEx>
        <w:trPr>
          <w:trHeight w:val="330" w:hRule="atLeast"/>
        </w:trPr>
        <w:tc>
          <w:tcPr>
            <w:tcW w:w="1030" w:type="dxa"/>
            <w:vMerge w:val="continue"/>
            <w:tcBorders>
              <w:left w:val="single" w:color="auto" w:sz="4" w:space="0"/>
              <w:right w:val="single" w:color="auto" w:sz="4" w:space="0"/>
            </w:tcBorders>
            <w:vAlign w:val="center"/>
          </w:tcPr>
          <w:p w14:paraId="1AFFFDA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728B279E">
            <w:pPr>
              <w:rPr>
                <w:color w:val="000000"/>
              </w:rPr>
            </w:pPr>
            <w:r>
              <w:rPr>
                <w:rFonts w:hint="eastAsia"/>
                <w:color w:val="000000"/>
              </w:rPr>
              <w:t>没有违法所得，造成损失但依法承担赔偿责任的</w:t>
            </w:r>
          </w:p>
        </w:tc>
        <w:tc>
          <w:tcPr>
            <w:tcW w:w="1080" w:type="dxa"/>
            <w:vMerge w:val="continue"/>
            <w:tcBorders>
              <w:left w:val="single" w:color="auto" w:sz="4" w:space="0"/>
              <w:right w:val="single" w:color="auto" w:sz="4" w:space="0"/>
            </w:tcBorders>
            <w:vAlign w:val="center"/>
          </w:tcPr>
          <w:p w14:paraId="684CF57B">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6C595057">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14:paraId="7413B2BB">
        <w:tblPrEx>
          <w:tblCellMar>
            <w:top w:w="0" w:type="dxa"/>
            <w:left w:w="108" w:type="dxa"/>
            <w:bottom w:w="0" w:type="dxa"/>
            <w:right w:w="108" w:type="dxa"/>
          </w:tblCellMar>
        </w:tblPrEx>
        <w:trPr>
          <w:trHeight w:val="295" w:hRule="atLeast"/>
        </w:trPr>
        <w:tc>
          <w:tcPr>
            <w:tcW w:w="1030" w:type="dxa"/>
            <w:vMerge w:val="continue"/>
            <w:tcBorders>
              <w:left w:val="single" w:color="auto" w:sz="4" w:space="0"/>
              <w:right w:val="single" w:color="auto" w:sz="4" w:space="0"/>
            </w:tcBorders>
            <w:vAlign w:val="center"/>
          </w:tcPr>
          <w:p w14:paraId="6E3198C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3E80A07D">
            <w:pPr>
              <w:rPr>
                <w:color w:val="000000"/>
              </w:rPr>
            </w:pPr>
            <w:r>
              <w:rPr>
                <w:rFonts w:hint="eastAsia"/>
                <w:color w:val="000000"/>
              </w:rPr>
              <w:t>没有违法所得，造成损失但未依法承担赔偿责任的</w:t>
            </w:r>
          </w:p>
        </w:tc>
        <w:tc>
          <w:tcPr>
            <w:tcW w:w="1080" w:type="dxa"/>
            <w:vMerge w:val="continue"/>
            <w:tcBorders>
              <w:left w:val="single" w:color="auto" w:sz="4" w:space="0"/>
              <w:right w:val="single" w:color="auto" w:sz="4" w:space="0"/>
            </w:tcBorders>
            <w:vAlign w:val="center"/>
          </w:tcPr>
          <w:p w14:paraId="08D4CEDC">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D5AD43C">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14:paraId="6E1D6723">
        <w:tblPrEx>
          <w:tblCellMar>
            <w:top w:w="0" w:type="dxa"/>
            <w:left w:w="108" w:type="dxa"/>
            <w:bottom w:w="0" w:type="dxa"/>
            <w:right w:w="108" w:type="dxa"/>
          </w:tblCellMar>
        </w:tblPrEx>
        <w:trPr>
          <w:trHeight w:val="295" w:hRule="atLeast"/>
        </w:trPr>
        <w:tc>
          <w:tcPr>
            <w:tcW w:w="1030" w:type="dxa"/>
            <w:vMerge w:val="continue"/>
            <w:tcBorders>
              <w:left w:val="single" w:color="auto" w:sz="4" w:space="0"/>
              <w:right w:val="single" w:color="auto" w:sz="4" w:space="0"/>
            </w:tcBorders>
            <w:vAlign w:val="center"/>
          </w:tcPr>
          <w:p w14:paraId="4C79EF60">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2337E8A">
            <w:pPr>
              <w:spacing w:line="320" w:lineRule="exact"/>
              <w:jc w:val="left"/>
              <w:rPr>
                <w:color w:val="000000"/>
                <w:kern w:val="0"/>
                <w:sz w:val="18"/>
                <w:szCs w:val="18"/>
              </w:rPr>
            </w:pPr>
            <w:r>
              <w:rPr>
                <w:rFonts w:hint="eastAsia"/>
                <w:color w:val="000000"/>
              </w:rPr>
              <w:t>有违法所得，且未造成损失的</w:t>
            </w:r>
          </w:p>
        </w:tc>
        <w:tc>
          <w:tcPr>
            <w:tcW w:w="1080" w:type="dxa"/>
            <w:vMerge w:val="continue"/>
            <w:tcBorders>
              <w:left w:val="single" w:color="auto" w:sz="4" w:space="0"/>
              <w:right w:val="single" w:color="auto" w:sz="4" w:space="0"/>
            </w:tcBorders>
            <w:vAlign w:val="center"/>
          </w:tcPr>
          <w:p w14:paraId="35B0E28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936C5FA">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14:paraId="070AC695">
        <w:tblPrEx>
          <w:tblCellMar>
            <w:top w:w="0" w:type="dxa"/>
            <w:left w:w="108" w:type="dxa"/>
            <w:bottom w:w="0" w:type="dxa"/>
            <w:right w:w="108" w:type="dxa"/>
          </w:tblCellMar>
        </w:tblPrEx>
        <w:trPr>
          <w:trHeight w:val="295" w:hRule="atLeast"/>
        </w:trPr>
        <w:tc>
          <w:tcPr>
            <w:tcW w:w="1030" w:type="dxa"/>
            <w:vMerge w:val="continue"/>
            <w:tcBorders>
              <w:left w:val="single" w:color="auto" w:sz="4" w:space="0"/>
              <w:right w:val="single" w:color="auto" w:sz="4" w:space="0"/>
            </w:tcBorders>
            <w:vAlign w:val="center"/>
          </w:tcPr>
          <w:p w14:paraId="69A4226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C856EBC">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val="continue"/>
            <w:tcBorders>
              <w:left w:val="single" w:color="auto" w:sz="4" w:space="0"/>
              <w:right w:val="single" w:color="auto" w:sz="4" w:space="0"/>
            </w:tcBorders>
            <w:vAlign w:val="center"/>
          </w:tcPr>
          <w:p w14:paraId="3949F6D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290D0574">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14:paraId="176122B1">
        <w:tblPrEx>
          <w:tblCellMar>
            <w:top w:w="0" w:type="dxa"/>
            <w:left w:w="108" w:type="dxa"/>
            <w:bottom w:w="0" w:type="dxa"/>
            <w:right w:w="108" w:type="dxa"/>
          </w:tblCellMar>
        </w:tblPrEx>
        <w:trPr>
          <w:trHeight w:val="295" w:hRule="atLeast"/>
        </w:trPr>
        <w:tc>
          <w:tcPr>
            <w:tcW w:w="1030" w:type="dxa"/>
            <w:vMerge w:val="continue"/>
            <w:tcBorders>
              <w:left w:val="single" w:color="auto" w:sz="4" w:space="0"/>
              <w:bottom w:val="single" w:color="auto" w:sz="4" w:space="0"/>
              <w:right w:val="single" w:color="auto" w:sz="4" w:space="0"/>
            </w:tcBorders>
            <w:vAlign w:val="center"/>
          </w:tcPr>
          <w:p w14:paraId="590D197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DAEE644">
            <w:pPr>
              <w:spacing w:line="320" w:lineRule="exact"/>
              <w:jc w:val="left"/>
              <w:rPr>
                <w:color w:val="000000"/>
              </w:rPr>
            </w:pPr>
            <w:r>
              <w:rPr>
                <w:rFonts w:hint="eastAsia"/>
                <w:color w:val="000000"/>
              </w:rPr>
              <w:t>有违法所得，造成损失未依法承担赔偿责任的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5393AC5B">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4E3D1250">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14:paraId="0AB2737E"/>
    <w:p w14:paraId="6DB77758"/>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5084BF05">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00B5117E">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560334D5">
            <w:pPr>
              <w:spacing w:line="320" w:lineRule="exact"/>
              <w:jc w:val="left"/>
              <w:rPr>
                <w:rFonts w:eastAsia="仿宋_GB2312"/>
                <w:b/>
                <w:bCs/>
                <w:color w:val="000000"/>
                <w:kern w:val="0"/>
                <w:sz w:val="18"/>
                <w:szCs w:val="18"/>
              </w:rPr>
            </w:pPr>
            <w:r>
              <w:rPr>
                <w:rFonts w:eastAsia="仿宋_GB2312"/>
                <w:b/>
                <w:bCs/>
                <w:color w:val="000000"/>
                <w:kern w:val="0"/>
                <w:sz w:val="18"/>
                <w:szCs w:val="18"/>
              </w:rPr>
              <w:t>320217712000</w:t>
            </w:r>
          </w:p>
        </w:tc>
      </w:tr>
      <w:tr w14:paraId="64DB965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14DDC64E">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4AB52019">
            <w:pPr>
              <w:spacing w:line="320" w:lineRule="exact"/>
              <w:jc w:val="left"/>
              <w:rPr>
                <w:color w:val="000000"/>
                <w:kern w:val="0"/>
                <w:sz w:val="18"/>
                <w:szCs w:val="18"/>
              </w:rPr>
            </w:pPr>
            <w:r>
              <w:rPr>
                <w:rFonts w:hint="eastAsia"/>
                <w:color w:val="000000"/>
                <w:kern w:val="0"/>
                <w:sz w:val="18"/>
                <w:szCs w:val="18"/>
              </w:rPr>
              <w:t>对评估专业人员同时在两个以上评估机构从事业务的处罚（限房地产估价业务）</w:t>
            </w:r>
          </w:p>
        </w:tc>
      </w:tr>
      <w:tr w14:paraId="48E796D7">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2C568192">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4C9ABD6E">
            <w:pPr>
              <w:spacing w:line="320" w:lineRule="exact"/>
              <w:jc w:val="left"/>
              <w:rPr>
                <w:color w:val="000000"/>
                <w:kern w:val="0"/>
                <w:sz w:val="18"/>
                <w:szCs w:val="18"/>
              </w:rPr>
            </w:pPr>
            <w:r>
              <w:rPr>
                <w:rFonts w:hint="eastAsia"/>
                <w:color w:val="000000"/>
                <w:kern w:val="0"/>
                <w:sz w:val="18"/>
                <w:szCs w:val="18"/>
              </w:rPr>
              <w:t>【法律】《中华人民共和国资产评估法》</w:t>
            </w:r>
          </w:p>
          <w:p w14:paraId="6596274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评估专业人员不得有下列行为：</w:t>
            </w:r>
          </w:p>
          <w:p w14:paraId="7A669CC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w:t>
            </w:r>
            <w:r>
              <w:rPr>
                <w:color w:val="000000"/>
                <w:kern w:val="0"/>
                <w:sz w:val="18"/>
                <w:szCs w:val="18"/>
              </w:rPr>
              <w:t>）</w:t>
            </w:r>
            <w:r>
              <w:rPr>
                <w:rFonts w:hint="eastAsia"/>
                <w:color w:val="000000"/>
                <w:kern w:val="0"/>
                <w:sz w:val="18"/>
                <w:szCs w:val="18"/>
              </w:rPr>
              <w:t>同时在两个以上评估机构从事业务</w:t>
            </w:r>
            <w:r>
              <w:rPr>
                <w:color w:val="000000"/>
                <w:kern w:val="0"/>
                <w:sz w:val="18"/>
                <w:szCs w:val="18"/>
              </w:rPr>
              <w:t>;</w:t>
            </w:r>
          </w:p>
          <w:p w14:paraId="41E4EB18">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r>
              <w:rPr>
                <w:color w:val="000000"/>
                <w:kern w:val="0"/>
                <w:sz w:val="18"/>
                <w:szCs w:val="18"/>
              </w:rPr>
              <w:t>;</w:t>
            </w:r>
          </w:p>
          <w:p w14:paraId="273CD0E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w:t>
            </w:r>
            <w:r>
              <w:rPr>
                <w:color w:val="000000"/>
                <w:kern w:val="0"/>
                <w:sz w:val="18"/>
                <w:szCs w:val="18"/>
              </w:rPr>
              <w:t>）</w:t>
            </w:r>
            <w:r>
              <w:rPr>
                <w:rFonts w:hint="eastAsia"/>
                <w:color w:val="000000"/>
                <w:kern w:val="0"/>
                <w:sz w:val="18"/>
                <w:szCs w:val="18"/>
              </w:rPr>
              <w:t>同时在两个以上评估机构从事业务的</w:t>
            </w:r>
            <w:r>
              <w:rPr>
                <w:color w:val="000000"/>
                <w:kern w:val="0"/>
                <w:sz w:val="18"/>
                <w:szCs w:val="18"/>
              </w:rPr>
              <w:t>;</w:t>
            </w:r>
          </w:p>
          <w:p w14:paraId="1E5BEED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14:paraId="63875287">
            <w:pPr>
              <w:spacing w:line="32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14:paraId="61B35453">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14:paraId="577D692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（七）同时在</w:t>
            </w:r>
            <w:r>
              <w:rPr>
                <w:color w:val="000000"/>
                <w:kern w:val="0"/>
                <w:sz w:val="18"/>
                <w:szCs w:val="18"/>
              </w:rPr>
              <w:t>2</w:t>
            </w:r>
            <w:r>
              <w:rPr>
                <w:rFonts w:hint="eastAsia"/>
                <w:color w:val="000000"/>
                <w:kern w:val="0"/>
                <w:sz w:val="18"/>
                <w:szCs w:val="18"/>
              </w:rPr>
              <w:t>个或者</w:t>
            </w:r>
            <w:r>
              <w:rPr>
                <w:color w:val="000000"/>
                <w:kern w:val="0"/>
                <w:sz w:val="18"/>
                <w:szCs w:val="18"/>
              </w:rPr>
              <w:t>2</w:t>
            </w:r>
            <w:r>
              <w:rPr>
                <w:rFonts w:hint="eastAsia"/>
                <w:color w:val="000000"/>
                <w:kern w:val="0"/>
                <w:sz w:val="18"/>
                <w:szCs w:val="18"/>
              </w:rPr>
              <w:t>个以上房地产估价机构执业。</w:t>
            </w:r>
          </w:p>
          <w:p w14:paraId="43B1B78C">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14:paraId="6682E1C3">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430DA0E">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55E95752">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14:paraId="6BF72D5C">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0AAB0ECB">
            <w:pPr>
              <w:spacing w:line="320" w:lineRule="exact"/>
              <w:jc w:val="center"/>
              <w:rPr>
                <w:color w:val="000000"/>
                <w:kern w:val="0"/>
                <w:sz w:val="18"/>
                <w:szCs w:val="18"/>
              </w:rPr>
            </w:pPr>
            <w:r>
              <w:rPr>
                <w:rFonts w:hint="eastAsia"/>
                <w:color w:val="000000"/>
                <w:kern w:val="0"/>
                <w:sz w:val="18"/>
                <w:szCs w:val="18"/>
              </w:rPr>
              <w:t>裁量基准</w:t>
            </w:r>
          </w:p>
        </w:tc>
      </w:tr>
      <w:tr w14:paraId="3975B368">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7BC7BFD7">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tcPr>
          <w:p w14:paraId="197C8339">
            <w:pPr>
              <w:rPr>
                <w:color w:val="000000"/>
              </w:rPr>
            </w:pPr>
            <w:r>
              <w:rPr>
                <w:rFonts w:hint="eastAsia"/>
                <w:color w:val="000000"/>
              </w:rPr>
              <w:t>没有违法所得，且未造成损失的</w:t>
            </w:r>
          </w:p>
        </w:tc>
        <w:tc>
          <w:tcPr>
            <w:tcW w:w="1080" w:type="dxa"/>
            <w:vMerge w:val="restart"/>
            <w:tcBorders>
              <w:top w:val="single" w:color="auto" w:sz="4" w:space="0"/>
              <w:left w:val="single" w:color="auto" w:sz="4" w:space="0"/>
              <w:right w:val="single" w:color="auto" w:sz="4" w:space="0"/>
            </w:tcBorders>
            <w:vAlign w:val="center"/>
          </w:tcPr>
          <w:p w14:paraId="5C988BEB">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53E629EA">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14:paraId="0506CD13">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641736D8">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62DDE918">
            <w:pPr>
              <w:rPr>
                <w:color w:val="000000"/>
              </w:rPr>
            </w:pPr>
            <w:r>
              <w:rPr>
                <w:rFonts w:hint="eastAsia"/>
                <w:color w:val="000000"/>
              </w:rPr>
              <w:t>没有违法所得，造成损失但依法承担赔偿责任的</w:t>
            </w:r>
          </w:p>
        </w:tc>
        <w:tc>
          <w:tcPr>
            <w:tcW w:w="1080" w:type="dxa"/>
            <w:vMerge w:val="continue"/>
            <w:tcBorders>
              <w:left w:val="single" w:color="auto" w:sz="4" w:space="0"/>
              <w:right w:val="single" w:color="auto" w:sz="4" w:space="0"/>
            </w:tcBorders>
            <w:vAlign w:val="center"/>
          </w:tcPr>
          <w:p w14:paraId="4B185B67">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4274655D">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14:paraId="5FCA0432">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085BAE6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2CF11C80">
            <w:pPr>
              <w:rPr>
                <w:color w:val="000000"/>
              </w:rPr>
            </w:pPr>
            <w:r>
              <w:rPr>
                <w:rFonts w:hint="eastAsia"/>
                <w:color w:val="000000"/>
              </w:rPr>
              <w:t>没有违法所得，造成损失但未依法承担赔偿责任的</w:t>
            </w:r>
          </w:p>
        </w:tc>
        <w:tc>
          <w:tcPr>
            <w:tcW w:w="1080" w:type="dxa"/>
            <w:vMerge w:val="continue"/>
            <w:tcBorders>
              <w:left w:val="single" w:color="auto" w:sz="4" w:space="0"/>
              <w:right w:val="single" w:color="auto" w:sz="4" w:space="0"/>
            </w:tcBorders>
            <w:vAlign w:val="center"/>
          </w:tcPr>
          <w:p w14:paraId="50EE09F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58CE7EE">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14:paraId="3669D4A9">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01F164B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BA96DCF">
            <w:pPr>
              <w:spacing w:line="320" w:lineRule="exact"/>
              <w:jc w:val="left"/>
              <w:rPr>
                <w:color w:val="000000"/>
                <w:kern w:val="0"/>
                <w:sz w:val="18"/>
                <w:szCs w:val="18"/>
              </w:rPr>
            </w:pPr>
            <w:r>
              <w:rPr>
                <w:rFonts w:hint="eastAsia"/>
                <w:color w:val="000000"/>
              </w:rPr>
              <w:t>有违法所得，且未造成损失的</w:t>
            </w:r>
          </w:p>
        </w:tc>
        <w:tc>
          <w:tcPr>
            <w:tcW w:w="1080" w:type="dxa"/>
            <w:vMerge w:val="continue"/>
            <w:tcBorders>
              <w:left w:val="single" w:color="auto" w:sz="4" w:space="0"/>
              <w:right w:val="single" w:color="auto" w:sz="4" w:space="0"/>
            </w:tcBorders>
            <w:vAlign w:val="center"/>
          </w:tcPr>
          <w:p w14:paraId="775C76C3">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1E610150">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14:paraId="612E62FA">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037E9A2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D29E952">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val="continue"/>
            <w:tcBorders>
              <w:left w:val="single" w:color="auto" w:sz="4" w:space="0"/>
              <w:right w:val="single" w:color="auto" w:sz="4" w:space="0"/>
            </w:tcBorders>
            <w:vAlign w:val="center"/>
          </w:tcPr>
          <w:p w14:paraId="7B83D336">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E426AA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14:paraId="36B6A72F">
        <w:tblPrEx>
          <w:tblCellMar>
            <w:top w:w="0" w:type="dxa"/>
            <w:left w:w="108" w:type="dxa"/>
            <w:bottom w:w="0" w:type="dxa"/>
            <w:right w:w="108" w:type="dxa"/>
          </w:tblCellMar>
        </w:tblPrEx>
        <w:trPr>
          <w:trHeight w:val="285" w:hRule="atLeast"/>
        </w:trPr>
        <w:tc>
          <w:tcPr>
            <w:tcW w:w="1030" w:type="dxa"/>
            <w:tcBorders>
              <w:left w:val="single" w:color="auto" w:sz="4" w:space="0"/>
              <w:bottom w:val="single" w:color="auto" w:sz="4" w:space="0"/>
              <w:right w:val="single" w:color="auto" w:sz="4" w:space="0"/>
            </w:tcBorders>
            <w:vAlign w:val="center"/>
          </w:tcPr>
          <w:p w14:paraId="37315C7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3E55FB7">
            <w:pPr>
              <w:spacing w:line="320" w:lineRule="exact"/>
              <w:jc w:val="left"/>
              <w:rPr>
                <w:color w:val="000000"/>
              </w:rPr>
            </w:pPr>
            <w:r>
              <w:rPr>
                <w:rFonts w:hint="eastAsia"/>
                <w:color w:val="000000"/>
              </w:rPr>
              <w:t>有违法所得，造成损失未依法承担赔偿责任的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50152E5C">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5D60A2D">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14:paraId="365002EF"/>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5F3CF4DB">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25DC4757">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1EEE1D73">
            <w:pPr>
              <w:spacing w:line="320" w:lineRule="exact"/>
              <w:jc w:val="left"/>
              <w:rPr>
                <w:rFonts w:eastAsia="仿宋_GB2312"/>
                <w:b/>
                <w:bCs/>
                <w:color w:val="000000"/>
                <w:kern w:val="0"/>
                <w:sz w:val="18"/>
                <w:szCs w:val="18"/>
              </w:rPr>
            </w:pPr>
            <w:r>
              <w:rPr>
                <w:rFonts w:eastAsia="仿宋_GB2312"/>
                <w:b/>
                <w:bCs/>
                <w:color w:val="000000"/>
                <w:kern w:val="0"/>
                <w:sz w:val="18"/>
                <w:szCs w:val="18"/>
              </w:rPr>
              <w:t>320217713000</w:t>
            </w:r>
          </w:p>
        </w:tc>
      </w:tr>
      <w:tr w14:paraId="718B9A7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09885CC">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1476872E">
            <w:pPr>
              <w:spacing w:line="320" w:lineRule="exact"/>
              <w:jc w:val="left"/>
              <w:rPr>
                <w:b/>
                <w:color w:val="000000"/>
                <w:kern w:val="0"/>
                <w:sz w:val="18"/>
                <w:szCs w:val="18"/>
              </w:rPr>
            </w:pPr>
            <w:r>
              <w:rPr>
                <w:rFonts w:hint="eastAsia"/>
                <w:color w:val="000000"/>
                <w:spacing w:val="-6"/>
                <w:kern w:val="0"/>
                <w:sz w:val="18"/>
                <w:szCs w:val="18"/>
              </w:rPr>
              <w:t>对施工单位未按照本规定建立危大工程安全管理档案的处罚</w:t>
            </w:r>
          </w:p>
        </w:tc>
      </w:tr>
      <w:tr w14:paraId="302E1FB3">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77E7106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76018A20">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297C3BD8">
            <w:pPr>
              <w:spacing w:line="320" w:lineRule="exact"/>
              <w:jc w:val="left"/>
              <w:rPr>
                <w:color w:val="000000"/>
                <w:kern w:val="0"/>
                <w:sz w:val="18"/>
                <w:szCs w:val="18"/>
              </w:rPr>
            </w:pPr>
            <w:r>
              <w:rPr>
                <w:rFonts w:hint="eastAsia"/>
                <w:color w:val="000000"/>
                <w:kern w:val="0"/>
                <w:sz w:val="18"/>
                <w:szCs w:val="18"/>
              </w:rPr>
              <w:t>第二十四条　施工、监理单位应当建立危大工程安全管理档案。</w:t>
            </w:r>
          </w:p>
          <w:p w14:paraId="3F2E8CC1">
            <w:pPr>
              <w:spacing w:line="320" w:lineRule="exact"/>
              <w:jc w:val="left"/>
              <w:rPr>
                <w:color w:val="000000"/>
                <w:kern w:val="0"/>
                <w:sz w:val="18"/>
                <w:szCs w:val="18"/>
              </w:rPr>
            </w:pPr>
            <w:r>
              <w:rPr>
                <w:rFonts w:hint="eastAsia"/>
                <w:color w:val="000000"/>
                <w:kern w:val="0"/>
                <w:sz w:val="18"/>
                <w:szCs w:val="18"/>
              </w:rPr>
              <w:t>　　施工单位应当将专项施工方案及审核、专家论证、交底、现场检查、验收及整改等相关资料纳入档案管理。</w:t>
            </w:r>
          </w:p>
          <w:p w14:paraId="09495E9E">
            <w:pPr>
              <w:spacing w:line="320" w:lineRule="exact"/>
              <w:jc w:val="left"/>
              <w:rPr>
                <w:color w:val="000000"/>
                <w:kern w:val="0"/>
                <w:sz w:val="18"/>
                <w:szCs w:val="18"/>
              </w:rPr>
            </w:pPr>
            <w:r>
              <w:rPr>
                <w:rFonts w:hint="eastAsia"/>
                <w:color w:val="000000"/>
                <w:kern w:val="0"/>
                <w:sz w:val="18"/>
                <w:szCs w:val="18"/>
              </w:rPr>
              <w:t>　　监理单位应当将监理实施细则、专项施工方案审查、专项巡视检查、验收及整改等相关资料纳入档案管理。</w:t>
            </w:r>
          </w:p>
          <w:p w14:paraId="4CAA42EA">
            <w:pPr>
              <w:spacing w:line="320" w:lineRule="exact"/>
              <w:jc w:val="left"/>
              <w:rPr>
                <w:color w:val="000000"/>
                <w:kern w:val="0"/>
                <w:sz w:val="18"/>
                <w:szCs w:val="18"/>
              </w:rPr>
            </w:pPr>
            <w:r>
              <w:rPr>
                <w:rFonts w:hint="eastAsia"/>
                <w:color w:val="000000"/>
                <w:kern w:val="0"/>
                <w:sz w:val="18"/>
                <w:szCs w:val="18"/>
              </w:rPr>
              <w:t>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32B00BD5">
            <w:pPr>
              <w:spacing w:line="320" w:lineRule="exact"/>
              <w:jc w:val="left"/>
              <w:rPr>
                <w:color w:val="000000"/>
                <w:kern w:val="0"/>
                <w:sz w:val="18"/>
                <w:szCs w:val="18"/>
              </w:rPr>
            </w:pPr>
            <w:r>
              <w:rPr>
                <w:rFonts w:hint="eastAsia"/>
                <w:color w:val="000000"/>
                <w:kern w:val="0"/>
                <w:sz w:val="18"/>
                <w:szCs w:val="18"/>
              </w:rPr>
              <w:t>　　（五）未按照本规定建立危大工程安全管理档案的。</w:t>
            </w:r>
          </w:p>
        </w:tc>
      </w:tr>
      <w:tr w14:paraId="64F9B58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12BCAD2">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6F4C035D">
            <w:pPr>
              <w:spacing w:line="320" w:lineRule="exact"/>
              <w:jc w:val="left"/>
              <w:rPr>
                <w:color w:val="000000"/>
                <w:kern w:val="0"/>
                <w:sz w:val="18"/>
                <w:szCs w:val="18"/>
              </w:rPr>
            </w:pPr>
            <w:r>
              <w:rPr>
                <w:rFonts w:hint="eastAsia"/>
                <w:color w:val="000000"/>
                <w:kern w:val="0"/>
                <w:sz w:val="18"/>
                <w:szCs w:val="18"/>
              </w:rPr>
              <w:t>罚款</w:t>
            </w:r>
          </w:p>
        </w:tc>
      </w:tr>
      <w:tr w14:paraId="58B3F75D">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6E3A286">
            <w:pPr>
              <w:spacing w:line="320" w:lineRule="exact"/>
              <w:jc w:val="center"/>
              <w:rPr>
                <w:color w:val="000000"/>
                <w:kern w:val="0"/>
                <w:sz w:val="18"/>
                <w:szCs w:val="18"/>
              </w:rPr>
            </w:pPr>
            <w:r>
              <w:rPr>
                <w:rFonts w:hint="eastAsia"/>
                <w:color w:val="000000"/>
                <w:kern w:val="0"/>
                <w:sz w:val="18"/>
                <w:szCs w:val="18"/>
              </w:rPr>
              <w:t>裁量基准</w:t>
            </w:r>
          </w:p>
        </w:tc>
      </w:tr>
      <w:tr w14:paraId="0511DDE4">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3C4CD00E">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7EC193CE">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color="auto" w:sz="4" w:space="0"/>
              <w:right w:val="single" w:color="auto" w:sz="4" w:space="0"/>
            </w:tcBorders>
            <w:vAlign w:val="center"/>
          </w:tcPr>
          <w:p w14:paraId="09707956">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13807B5C">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07CAFC35">
            <w:pPr>
              <w:spacing w:line="320" w:lineRule="exact"/>
              <w:jc w:val="left"/>
              <w:rPr>
                <w:color w:val="000000"/>
                <w:kern w:val="0"/>
                <w:sz w:val="18"/>
                <w:szCs w:val="18"/>
              </w:rPr>
            </w:pPr>
            <w:r>
              <w:rPr>
                <w:rFonts w:hint="eastAsia"/>
                <w:color w:val="000000"/>
                <w:kern w:val="0"/>
                <w:sz w:val="18"/>
                <w:szCs w:val="18"/>
              </w:rPr>
              <w:t>对直接负责的主管人员和其他直接责任人员处单位罚款数额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06A0CB0E">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7338F382">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1ADBF02C">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continue"/>
            <w:tcBorders>
              <w:left w:val="single" w:color="auto" w:sz="4" w:space="0"/>
              <w:bottom w:val="single" w:color="auto" w:sz="4" w:space="0"/>
              <w:right w:val="single" w:color="auto" w:sz="4" w:space="0"/>
            </w:tcBorders>
            <w:vAlign w:val="center"/>
          </w:tcPr>
          <w:p w14:paraId="3D6F4D93">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4ED7FBF2">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24EAB84B">
            <w:pPr>
              <w:spacing w:line="320" w:lineRule="exact"/>
              <w:jc w:val="left"/>
              <w:rPr>
                <w:color w:val="000000"/>
                <w:kern w:val="0"/>
                <w:sz w:val="18"/>
                <w:szCs w:val="18"/>
              </w:rPr>
            </w:pPr>
            <w:r>
              <w:rPr>
                <w:rFonts w:hint="eastAsia"/>
                <w:color w:val="000000"/>
                <w:kern w:val="0"/>
                <w:sz w:val="18"/>
                <w:szCs w:val="18"/>
              </w:rPr>
              <w:t>对直接负责的主管人员和其他直接责任人员处单位罚款数额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6C1E8EBC"/>
    <w:p w14:paraId="24FB337E"/>
    <w:p w14:paraId="4F1FDD05"/>
    <w:p w14:paraId="743772AD"/>
    <w:p w14:paraId="28E2E459"/>
    <w:p w14:paraId="77937E80"/>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12D1113A">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D5F132D">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4D78DEAA">
            <w:pPr>
              <w:spacing w:line="320" w:lineRule="exact"/>
              <w:jc w:val="left"/>
              <w:rPr>
                <w:rFonts w:eastAsia="仿宋_GB2312"/>
                <w:b/>
                <w:bCs/>
                <w:color w:val="000000"/>
                <w:kern w:val="0"/>
                <w:sz w:val="18"/>
                <w:szCs w:val="18"/>
              </w:rPr>
            </w:pPr>
            <w:r>
              <w:rPr>
                <w:rFonts w:eastAsia="仿宋_GB2312"/>
                <w:b/>
                <w:bCs/>
                <w:color w:val="000000"/>
                <w:kern w:val="0"/>
                <w:sz w:val="18"/>
                <w:szCs w:val="18"/>
              </w:rPr>
              <w:t>320217714000</w:t>
            </w:r>
          </w:p>
        </w:tc>
      </w:tr>
      <w:tr w14:paraId="44F7674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DEC98DC">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61945FDA">
            <w:pPr>
              <w:spacing w:line="320" w:lineRule="exact"/>
              <w:jc w:val="left"/>
              <w:rPr>
                <w:b/>
                <w:color w:val="000000"/>
                <w:kern w:val="0"/>
                <w:sz w:val="18"/>
                <w:szCs w:val="18"/>
              </w:rPr>
            </w:pPr>
            <w:r>
              <w:rPr>
                <w:rFonts w:hint="eastAsia"/>
                <w:color w:val="000000"/>
                <w:spacing w:val="-6"/>
                <w:kern w:val="0"/>
                <w:sz w:val="18"/>
                <w:szCs w:val="18"/>
              </w:rPr>
              <w:t>对建设单位未按照本规定提供工程周边环境等资料的处罚</w:t>
            </w:r>
          </w:p>
        </w:tc>
      </w:tr>
      <w:tr w14:paraId="34437DFA">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1973B6F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01938E62">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0AB7252F">
            <w:pPr>
              <w:spacing w:line="320" w:lineRule="exact"/>
              <w:jc w:val="left"/>
              <w:rPr>
                <w:color w:val="000000"/>
                <w:kern w:val="0"/>
                <w:sz w:val="18"/>
                <w:szCs w:val="18"/>
              </w:rPr>
            </w:pPr>
            <w:r>
              <w:rPr>
                <w:rFonts w:hint="eastAsia"/>
                <w:color w:val="000000"/>
                <w:kern w:val="0"/>
                <w:sz w:val="18"/>
                <w:szCs w:val="18"/>
              </w:rPr>
              <w:t>第五条　建设单位应当依法提供真实、准确、完整的工程地质、水文地质和工程周边环境等资料。</w:t>
            </w:r>
          </w:p>
          <w:p w14:paraId="3D800677">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21212014">
            <w:pPr>
              <w:spacing w:line="320" w:lineRule="exact"/>
              <w:jc w:val="left"/>
              <w:rPr>
                <w:color w:val="000000"/>
                <w:kern w:val="0"/>
                <w:sz w:val="18"/>
                <w:szCs w:val="18"/>
              </w:rPr>
            </w:pPr>
            <w:r>
              <w:rPr>
                <w:rFonts w:hint="eastAsia"/>
                <w:color w:val="000000"/>
                <w:kern w:val="0"/>
                <w:sz w:val="18"/>
                <w:szCs w:val="18"/>
              </w:rPr>
              <w:t>（一）未按照本规定提供工程周边环境等资料的；</w:t>
            </w:r>
          </w:p>
        </w:tc>
      </w:tr>
      <w:tr w14:paraId="77725A2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AE690DC">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A923895">
            <w:pPr>
              <w:spacing w:line="320" w:lineRule="exact"/>
              <w:jc w:val="left"/>
              <w:rPr>
                <w:color w:val="000000"/>
                <w:kern w:val="0"/>
                <w:sz w:val="18"/>
                <w:szCs w:val="18"/>
              </w:rPr>
            </w:pPr>
            <w:r>
              <w:rPr>
                <w:rFonts w:hint="eastAsia"/>
                <w:color w:val="000000"/>
                <w:kern w:val="0"/>
                <w:sz w:val="18"/>
                <w:szCs w:val="18"/>
              </w:rPr>
              <w:t>罚款</w:t>
            </w:r>
          </w:p>
        </w:tc>
      </w:tr>
      <w:tr w14:paraId="02E69013">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E0E6031">
            <w:pPr>
              <w:spacing w:line="320" w:lineRule="exact"/>
              <w:jc w:val="center"/>
              <w:rPr>
                <w:color w:val="000000"/>
                <w:kern w:val="0"/>
                <w:sz w:val="18"/>
                <w:szCs w:val="18"/>
              </w:rPr>
            </w:pPr>
            <w:r>
              <w:rPr>
                <w:rFonts w:hint="eastAsia"/>
                <w:color w:val="000000"/>
                <w:kern w:val="0"/>
                <w:sz w:val="18"/>
                <w:szCs w:val="18"/>
              </w:rPr>
              <w:t>裁量基准</w:t>
            </w:r>
          </w:p>
        </w:tc>
      </w:tr>
      <w:tr w14:paraId="2ACF4A78">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2BEBFDBB">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026E1122">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099A7936">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7AA55C83">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69DFE4CE">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10E283F2">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7BFD24DE">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57C7D50A">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495DF52E">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678DC542">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29AD182D">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79E7494D">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08A3C5B1">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595892F0">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03F37AE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50F09AF6">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6DD90AE6"/>
    <w:p w14:paraId="276FD9D4"/>
    <w:p w14:paraId="673E9074"/>
    <w:p w14:paraId="7FF9DC9D"/>
    <w:p w14:paraId="12293CF6"/>
    <w:p w14:paraId="7D5B50BC"/>
    <w:p w14:paraId="28134C6A"/>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41FDDF3A">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17F7B0D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1C7B29A8">
            <w:pPr>
              <w:spacing w:line="320" w:lineRule="exact"/>
              <w:jc w:val="left"/>
              <w:rPr>
                <w:rFonts w:eastAsia="仿宋_GB2312"/>
                <w:b/>
                <w:bCs/>
                <w:color w:val="000000"/>
                <w:kern w:val="0"/>
                <w:sz w:val="18"/>
                <w:szCs w:val="18"/>
              </w:rPr>
            </w:pPr>
            <w:r>
              <w:rPr>
                <w:rFonts w:eastAsia="仿宋_GB2312"/>
                <w:b/>
                <w:bCs/>
                <w:color w:val="000000"/>
                <w:kern w:val="0"/>
                <w:sz w:val="18"/>
                <w:szCs w:val="18"/>
              </w:rPr>
              <w:t>320217716000</w:t>
            </w:r>
          </w:p>
        </w:tc>
      </w:tr>
      <w:tr w14:paraId="0AB01F9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476F69C">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7730E4EF">
            <w:pPr>
              <w:spacing w:line="320" w:lineRule="exact"/>
              <w:jc w:val="left"/>
              <w:rPr>
                <w:b/>
                <w:color w:val="000000"/>
                <w:kern w:val="0"/>
                <w:sz w:val="18"/>
                <w:szCs w:val="18"/>
              </w:rPr>
            </w:pPr>
            <w:r>
              <w:rPr>
                <w:rFonts w:hint="eastAsia"/>
                <w:color w:val="000000"/>
                <w:spacing w:val="-6"/>
                <w:kern w:val="0"/>
                <w:sz w:val="18"/>
                <w:szCs w:val="18"/>
              </w:rPr>
              <w:t>对建设单位未按照本规定在招标文件中列出危大工程清单的处罚</w:t>
            </w:r>
          </w:p>
        </w:tc>
      </w:tr>
      <w:tr w14:paraId="12219875">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14105A70">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449D66A0">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2ADC0041">
            <w:pPr>
              <w:spacing w:line="320" w:lineRule="exact"/>
              <w:jc w:val="left"/>
              <w:rPr>
                <w:color w:val="000000"/>
                <w:kern w:val="0"/>
                <w:sz w:val="18"/>
                <w:szCs w:val="18"/>
              </w:rPr>
            </w:pPr>
            <w:r>
              <w:rPr>
                <w:rFonts w:hint="eastAsia"/>
                <w:color w:val="000000"/>
                <w:kern w:val="0"/>
                <w:sz w:val="18"/>
                <w:szCs w:val="18"/>
              </w:rPr>
              <w:t>　第七条　建设单位应当组织勘察、设计等单位在施工招标文件中列出危大工程清单，要求施工单位在投标时补充完善危大工程清单并明确相应的安全管理措施。</w:t>
            </w:r>
          </w:p>
          <w:p w14:paraId="5C16A571">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73CC9CEC">
            <w:pPr>
              <w:spacing w:line="320" w:lineRule="exact"/>
              <w:jc w:val="left"/>
              <w:rPr>
                <w:color w:val="000000"/>
                <w:kern w:val="0"/>
                <w:sz w:val="18"/>
                <w:szCs w:val="18"/>
              </w:rPr>
            </w:pPr>
            <w:r>
              <w:rPr>
                <w:rFonts w:hint="eastAsia"/>
                <w:color w:val="000000"/>
                <w:kern w:val="0"/>
                <w:sz w:val="18"/>
                <w:szCs w:val="18"/>
              </w:rPr>
              <w:t>　　（二）未按照本规定在招标文件中列出危大工程清单的；</w:t>
            </w:r>
          </w:p>
        </w:tc>
      </w:tr>
      <w:tr w14:paraId="78D6A265">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26B839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277CFB1">
            <w:pPr>
              <w:spacing w:line="320" w:lineRule="exact"/>
              <w:jc w:val="left"/>
              <w:rPr>
                <w:color w:val="000000"/>
                <w:kern w:val="0"/>
                <w:sz w:val="18"/>
                <w:szCs w:val="18"/>
              </w:rPr>
            </w:pPr>
            <w:r>
              <w:rPr>
                <w:rFonts w:hint="eastAsia"/>
                <w:color w:val="000000"/>
                <w:kern w:val="0"/>
                <w:sz w:val="18"/>
                <w:szCs w:val="18"/>
              </w:rPr>
              <w:t>罚款</w:t>
            </w:r>
          </w:p>
        </w:tc>
      </w:tr>
      <w:tr w14:paraId="5C86C92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07DFD8A">
            <w:pPr>
              <w:spacing w:line="320" w:lineRule="exact"/>
              <w:jc w:val="center"/>
              <w:rPr>
                <w:color w:val="000000"/>
                <w:kern w:val="0"/>
                <w:sz w:val="18"/>
                <w:szCs w:val="18"/>
              </w:rPr>
            </w:pPr>
            <w:r>
              <w:rPr>
                <w:rFonts w:hint="eastAsia"/>
                <w:color w:val="000000"/>
                <w:kern w:val="0"/>
                <w:sz w:val="18"/>
                <w:szCs w:val="18"/>
              </w:rPr>
              <w:t>裁量基准</w:t>
            </w:r>
          </w:p>
        </w:tc>
      </w:tr>
      <w:tr w14:paraId="78E2C63A">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158DD5A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1D4F47D0">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3739ED1A">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04571D49">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2828A817">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0A2B9C12">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7F8BC943">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60331B2F">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7A5E664C">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51965611">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7EA149FF">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2C68D943">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3022C510">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53B63B2F">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75C58FC2">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44D6B9CF">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43227149"/>
    <w:p w14:paraId="10ACFBEC"/>
    <w:p w14:paraId="5AE9647B"/>
    <w:p w14:paraId="5EE657A2"/>
    <w:p w14:paraId="2CA05684"/>
    <w:p w14:paraId="0FA461AF"/>
    <w:p w14:paraId="2BACDE59"/>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86285EF">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44B7D149">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1E0DC24E">
            <w:pPr>
              <w:spacing w:line="320" w:lineRule="exact"/>
              <w:jc w:val="left"/>
              <w:rPr>
                <w:rFonts w:eastAsia="仿宋_GB2312"/>
                <w:b/>
                <w:bCs/>
                <w:color w:val="000000"/>
                <w:kern w:val="0"/>
                <w:sz w:val="18"/>
                <w:szCs w:val="18"/>
              </w:rPr>
            </w:pPr>
            <w:r>
              <w:rPr>
                <w:rFonts w:eastAsia="仿宋_GB2312"/>
                <w:b/>
                <w:bCs/>
                <w:color w:val="000000"/>
                <w:kern w:val="0"/>
                <w:sz w:val="18"/>
                <w:szCs w:val="18"/>
              </w:rPr>
              <w:t>320217717000</w:t>
            </w:r>
          </w:p>
        </w:tc>
      </w:tr>
      <w:tr w14:paraId="72B82019">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2BCFA251">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5340FEA6">
            <w:pPr>
              <w:spacing w:line="320" w:lineRule="exact"/>
              <w:jc w:val="left"/>
              <w:rPr>
                <w:color w:val="000000"/>
                <w:kern w:val="0"/>
                <w:sz w:val="18"/>
                <w:szCs w:val="18"/>
              </w:rPr>
            </w:pPr>
            <w:r>
              <w:rPr>
                <w:rFonts w:hint="eastAsia"/>
                <w:color w:val="000000"/>
                <w:kern w:val="0"/>
                <w:sz w:val="18"/>
                <w:szCs w:val="18"/>
              </w:rPr>
              <w:t>对施工单位未对建筑土方、工程渣土、建筑垃圾及时清运，或者未采用密闭式防尘网遮盖的处罚</w:t>
            </w:r>
          </w:p>
        </w:tc>
      </w:tr>
      <w:tr w14:paraId="24F755F6">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07ED311A">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33E49B7C">
            <w:pPr>
              <w:spacing w:line="300" w:lineRule="exact"/>
              <w:jc w:val="left"/>
              <w:rPr>
                <w:color w:val="000000"/>
                <w:kern w:val="0"/>
                <w:sz w:val="18"/>
                <w:szCs w:val="18"/>
              </w:rPr>
            </w:pPr>
            <w:r>
              <w:rPr>
                <w:rFonts w:hint="eastAsia"/>
                <w:color w:val="000000"/>
                <w:kern w:val="0"/>
                <w:sz w:val="18"/>
                <w:szCs w:val="18"/>
              </w:rPr>
              <w:t>【法律】《中华人民共和国大气污染防治法》</w:t>
            </w:r>
          </w:p>
          <w:p w14:paraId="3117701E">
            <w:pPr>
              <w:spacing w:line="300" w:lineRule="exact"/>
              <w:jc w:val="left"/>
              <w:rPr>
                <w:color w:val="000000"/>
                <w:kern w:val="0"/>
                <w:sz w:val="18"/>
                <w:szCs w:val="18"/>
              </w:rPr>
            </w:pPr>
            <w:r>
              <w:rPr>
                <w:rFonts w:hint="eastAsia"/>
                <w:color w:val="000000"/>
                <w:kern w:val="0"/>
                <w:sz w:val="18"/>
                <w:szCs w:val="18"/>
              </w:rPr>
              <w:t xml:space="preserve">        第六十九条第三款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p>
          <w:p w14:paraId="7F26BCEE">
            <w:pPr>
              <w:spacing w:line="300" w:lineRule="exact"/>
              <w:jc w:val="left"/>
              <w:rPr>
                <w:color w:val="000000"/>
                <w:kern w:val="0"/>
                <w:sz w:val="18"/>
                <w:szCs w:val="18"/>
              </w:rPr>
            </w:pPr>
            <w:r>
              <w:rPr>
                <w:rFonts w:hint="eastAsia"/>
                <w:color w:val="000000"/>
                <w:kern w:val="0"/>
                <w:sz w:val="18"/>
                <w:szCs w:val="18"/>
              </w:rPr>
              <w:t xml:space="preserve">         第一百一十五条第一款  违反本法规定，施工单位有下列行为之一的，由县级以上人民政府住房城乡建设等主管部门按照职责责令改正，处一万元以上十万元以下的罚款；拒不改正的，责令停工整治：</w:t>
            </w:r>
          </w:p>
          <w:p w14:paraId="00702B9A">
            <w:pPr>
              <w:spacing w:line="300" w:lineRule="exact"/>
              <w:jc w:val="left"/>
              <w:rPr>
                <w:color w:val="000000"/>
                <w:kern w:val="0"/>
                <w:sz w:val="18"/>
                <w:szCs w:val="18"/>
              </w:rPr>
            </w:pPr>
            <w:r>
              <w:rPr>
                <w:rFonts w:hint="eastAsia"/>
                <w:color w:val="000000"/>
                <w:kern w:val="0"/>
                <w:sz w:val="18"/>
                <w:szCs w:val="18"/>
              </w:rPr>
              <w:t xml:space="preserve">     （二）建筑土方、工程渣土、建筑垃圾未及时清运，或者未采用密闭式防尘网遮盖的。</w:t>
            </w:r>
          </w:p>
          <w:p w14:paraId="1304CF68">
            <w:pPr>
              <w:spacing w:line="300" w:lineRule="exact"/>
              <w:jc w:val="left"/>
              <w:rPr>
                <w:color w:val="000000"/>
                <w:kern w:val="0"/>
                <w:sz w:val="18"/>
                <w:szCs w:val="18"/>
              </w:rPr>
            </w:pPr>
            <w:r>
              <w:rPr>
                <w:rFonts w:hint="eastAsia"/>
                <w:color w:val="000000"/>
                <w:kern w:val="0"/>
                <w:sz w:val="18"/>
                <w:szCs w:val="18"/>
              </w:rPr>
              <w:t>【地方性法规】《江苏省大气污染防治条例》</w:t>
            </w:r>
          </w:p>
          <w:p w14:paraId="62E4CBCF">
            <w:pPr>
              <w:spacing w:line="300" w:lineRule="exact"/>
              <w:jc w:val="left"/>
              <w:rPr>
                <w:color w:val="000000"/>
                <w:kern w:val="0"/>
                <w:sz w:val="18"/>
                <w:szCs w:val="18"/>
              </w:rPr>
            </w:pPr>
            <w:r>
              <w:rPr>
                <w:rFonts w:hint="eastAsia"/>
                <w:color w:val="000000"/>
                <w:kern w:val="0"/>
                <w:sz w:val="18"/>
                <w:szCs w:val="18"/>
              </w:rPr>
              <w:t xml:space="preserve">       第五十五条　钢铁、火电、建材等企业和港口码头、建设工地的物料堆放场所应当按照要求进行地面硬化，并采取密闭、围挡、遮盖、喷淋、绿化、设置防风抑尘网等措施。物料装卸可以密闭作业的应当密闭，避免作业起尘。大型煤场、物料堆放场所应当建立密闭料仓与传送装置。 </w:t>
            </w:r>
          </w:p>
          <w:p w14:paraId="1FAEA0F0">
            <w:pPr>
              <w:spacing w:line="300" w:lineRule="exact"/>
              <w:jc w:val="left"/>
              <w:rPr>
                <w:color w:val="000000"/>
                <w:kern w:val="0"/>
                <w:sz w:val="18"/>
                <w:szCs w:val="18"/>
              </w:rPr>
            </w:pPr>
            <w:r>
              <w:rPr>
                <w:rFonts w:hint="eastAsia"/>
                <w:color w:val="000000"/>
                <w:kern w:val="0"/>
                <w:sz w:val="18"/>
                <w:szCs w:val="18"/>
              </w:rPr>
              <w:t xml:space="preserve">　　物料堆放场所出口应当硬化地面并设置车辆清洗设施，运输车辆冲洗干净后方可驶出作业场所。施工单位和物料堆放场所经营管理者应当及时清扫和冲洗出口处道路，路面不得有明显可见泥土、物料印迹。 </w:t>
            </w:r>
          </w:p>
          <w:p w14:paraId="69230C96">
            <w:pPr>
              <w:spacing w:line="300" w:lineRule="exact"/>
              <w:jc w:val="left"/>
              <w:rPr>
                <w:color w:val="000000"/>
                <w:kern w:val="0"/>
                <w:sz w:val="18"/>
                <w:szCs w:val="18"/>
              </w:rPr>
            </w:pPr>
            <w:r>
              <w:rPr>
                <w:rFonts w:hint="eastAsia"/>
                <w:color w:val="000000"/>
                <w:kern w:val="0"/>
                <w:sz w:val="18"/>
                <w:szCs w:val="18"/>
              </w:rPr>
              <w:t xml:space="preserve">      第九十四条　有下列行为之一的，由生态环境、住房城乡建设、交通运输、水利等行政主管部门根据各自职责责令限期改正，处一万元以上十万元以下罚款；对逾期仍未达到当地环境保护规定要求的，责令其停工整顿：</w:t>
            </w:r>
          </w:p>
          <w:p w14:paraId="2A2FC005">
            <w:pPr>
              <w:spacing w:line="300" w:lineRule="exact"/>
              <w:jc w:val="left"/>
              <w:rPr>
                <w:color w:val="000000"/>
                <w:kern w:val="0"/>
                <w:sz w:val="18"/>
                <w:szCs w:val="18"/>
              </w:rPr>
            </w:pPr>
            <w:r>
              <w:rPr>
                <w:rFonts w:hint="eastAsia"/>
                <w:color w:val="000000"/>
                <w:kern w:val="0"/>
                <w:sz w:val="18"/>
                <w:szCs w:val="18"/>
              </w:rPr>
              <w:t xml:space="preserve">     （一）违反本条例第五十五条规定，未采取扬尘防治措施的；</w:t>
            </w:r>
          </w:p>
          <w:p w14:paraId="2800457A">
            <w:pPr>
              <w:spacing w:line="300" w:lineRule="exact"/>
              <w:jc w:val="left"/>
              <w:rPr>
                <w:color w:val="000000"/>
                <w:kern w:val="0"/>
                <w:sz w:val="18"/>
                <w:szCs w:val="18"/>
              </w:rPr>
            </w:pPr>
            <w:r>
              <w:rPr>
                <w:rFonts w:hint="eastAsia"/>
                <w:color w:val="000000"/>
                <w:kern w:val="0"/>
                <w:sz w:val="18"/>
                <w:szCs w:val="18"/>
              </w:rPr>
              <w:t xml:space="preserve">         第一百零二条  违反本条例，除第八十三条、第八十五条、第八十九条、第九十条、第九十二条、第九十三条、第九十五条、第九十六条第二款、第九十九条、第一百条、第一百零一条规定的情形外，受到罚款的行政处罚，被责令改正，拒不改正的，依法作出处罚决定的部门可以自责令改正之日的次日起，按照原处罚数额按日连续处罚。</w:t>
            </w:r>
          </w:p>
        </w:tc>
      </w:tr>
      <w:tr w14:paraId="4FEB1993">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29C5275">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355A8BDC">
            <w:pPr>
              <w:spacing w:line="320" w:lineRule="exact"/>
              <w:jc w:val="left"/>
              <w:rPr>
                <w:color w:val="000000"/>
                <w:kern w:val="0"/>
                <w:sz w:val="18"/>
                <w:szCs w:val="18"/>
              </w:rPr>
            </w:pPr>
            <w:r>
              <w:rPr>
                <w:rFonts w:hint="eastAsia"/>
                <w:color w:val="000000"/>
                <w:kern w:val="0"/>
                <w:sz w:val="18"/>
                <w:szCs w:val="18"/>
              </w:rPr>
              <w:t>责令改正，罚款，责令停工整治</w:t>
            </w:r>
          </w:p>
        </w:tc>
      </w:tr>
      <w:tr w14:paraId="4E82BA5D">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62BF7122">
            <w:pPr>
              <w:spacing w:line="320" w:lineRule="exact"/>
              <w:jc w:val="center"/>
              <w:rPr>
                <w:color w:val="000000"/>
                <w:kern w:val="0"/>
                <w:sz w:val="18"/>
                <w:szCs w:val="18"/>
              </w:rPr>
            </w:pPr>
            <w:r>
              <w:rPr>
                <w:rFonts w:hint="eastAsia"/>
                <w:color w:val="000000"/>
                <w:kern w:val="0"/>
                <w:sz w:val="18"/>
                <w:szCs w:val="18"/>
              </w:rPr>
              <w:t>裁量基准</w:t>
            </w:r>
          </w:p>
        </w:tc>
      </w:tr>
      <w:tr w14:paraId="1C3516E5">
        <w:tblPrEx>
          <w:tblCellMar>
            <w:top w:w="0" w:type="dxa"/>
            <w:left w:w="108" w:type="dxa"/>
            <w:bottom w:w="0" w:type="dxa"/>
            <w:right w:w="108" w:type="dxa"/>
          </w:tblCellMar>
        </w:tblPrEx>
        <w:trPr>
          <w:trHeight w:val="250" w:hRule="atLeast"/>
        </w:trPr>
        <w:tc>
          <w:tcPr>
            <w:tcW w:w="1030" w:type="dxa"/>
            <w:vMerge w:val="restart"/>
            <w:tcBorders>
              <w:top w:val="single" w:color="auto" w:sz="4" w:space="0"/>
              <w:left w:val="single" w:color="auto" w:sz="4" w:space="0"/>
              <w:bottom w:val="single" w:color="auto" w:sz="4" w:space="0"/>
              <w:right w:val="single" w:color="auto" w:sz="4" w:space="0"/>
            </w:tcBorders>
            <w:vAlign w:val="center"/>
          </w:tcPr>
          <w:p w14:paraId="69A1CBDB">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9DF1FF5">
            <w:pPr>
              <w:spacing w:line="320" w:lineRule="exact"/>
              <w:jc w:val="left"/>
              <w:rPr>
                <w:color w:val="000000"/>
                <w:kern w:val="0"/>
                <w:sz w:val="18"/>
                <w:szCs w:val="18"/>
              </w:rPr>
            </w:pPr>
            <w:r>
              <w:rPr>
                <w:rFonts w:hint="eastAsia"/>
                <w:color w:val="000000"/>
                <w:kern w:val="0"/>
                <w:sz w:val="18"/>
                <w:szCs w:val="18"/>
              </w:rPr>
              <w:t>未及时清运的建筑土方、工程渣土、建筑垃圾在</w:t>
            </w:r>
            <w:r>
              <w:rPr>
                <w:color w:val="000000"/>
                <w:kern w:val="0"/>
                <w:sz w:val="18"/>
                <w:szCs w:val="18"/>
              </w:rPr>
              <w:t>1000</w:t>
            </w:r>
            <w:r>
              <w:rPr>
                <w:rFonts w:hint="eastAsia"/>
                <w:color w:val="000000"/>
                <w:kern w:val="0"/>
                <w:sz w:val="18"/>
                <w:szCs w:val="18"/>
              </w:rPr>
              <w:t>立方米以下的，或者未采用密闭式防尘网遮盖的面积在</w:t>
            </w:r>
            <w:r>
              <w:rPr>
                <w:color w:val="000000"/>
                <w:kern w:val="0"/>
                <w:sz w:val="18"/>
                <w:szCs w:val="18"/>
              </w:rPr>
              <w:t>500</w:t>
            </w:r>
            <w:r>
              <w:rPr>
                <w:rFonts w:hint="eastAsia"/>
                <w:color w:val="000000"/>
                <w:kern w:val="0"/>
                <w:sz w:val="18"/>
                <w:szCs w:val="18"/>
              </w:rPr>
              <w:t>平方米以下的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2B49D72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2DEF1CD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4ABADBAC">
        <w:tblPrEx>
          <w:tblCellMar>
            <w:top w:w="0" w:type="dxa"/>
            <w:left w:w="108" w:type="dxa"/>
            <w:bottom w:w="0" w:type="dxa"/>
            <w:right w:w="108" w:type="dxa"/>
          </w:tblCellMar>
        </w:tblPrEx>
        <w:trPr>
          <w:trHeight w:val="312" w:hRule="atLeast"/>
        </w:trPr>
        <w:tc>
          <w:tcPr>
            <w:tcW w:w="1030" w:type="dxa"/>
            <w:vMerge w:val="continue"/>
            <w:tcBorders>
              <w:top w:val="single" w:color="auto" w:sz="4" w:space="0"/>
              <w:left w:val="single" w:color="auto" w:sz="4" w:space="0"/>
              <w:bottom w:val="single" w:color="auto" w:sz="4" w:space="0"/>
              <w:right w:val="single" w:color="auto" w:sz="4" w:space="0"/>
            </w:tcBorders>
            <w:vAlign w:val="center"/>
          </w:tcPr>
          <w:p w14:paraId="4FD0B8F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315BB67">
            <w:pPr>
              <w:spacing w:line="320" w:lineRule="exact"/>
              <w:jc w:val="left"/>
              <w:rPr>
                <w:color w:val="000000"/>
                <w:kern w:val="0"/>
                <w:sz w:val="18"/>
                <w:szCs w:val="18"/>
              </w:rPr>
            </w:pPr>
            <w:r>
              <w:rPr>
                <w:rFonts w:hint="eastAsia"/>
                <w:color w:val="000000"/>
                <w:kern w:val="0"/>
                <w:sz w:val="18"/>
                <w:szCs w:val="18"/>
              </w:rPr>
              <w:t>未及时清运的建筑土方、工程渣土、建筑垃圾在</w:t>
            </w:r>
            <w:r>
              <w:rPr>
                <w:color w:val="000000"/>
                <w:kern w:val="0"/>
                <w:sz w:val="18"/>
                <w:szCs w:val="18"/>
              </w:rPr>
              <w:t>1000</w:t>
            </w:r>
            <w:r>
              <w:rPr>
                <w:rFonts w:hint="eastAsia"/>
                <w:color w:val="000000"/>
                <w:kern w:val="0"/>
                <w:sz w:val="18"/>
                <w:szCs w:val="18"/>
              </w:rPr>
              <w:t>立方米以上的，或者未采用密闭式防尘网遮盖的面积在</w:t>
            </w:r>
            <w:r>
              <w:rPr>
                <w:color w:val="000000"/>
                <w:kern w:val="0"/>
                <w:sz w:val="18"/>
                <w:szCs w:val="18"/>
              </w:rPr>
              <w:t>500</w:t>
            </w:r>
            <w:r>
              <w:rPr>
                <w:rFonts w:hint="eastAsia"/>
                <w:color w:val="000000"/>
                <w:kern w:val="0"/>
                <w:sz w:val="18"/>
                <w:szCs w:val="18"/>
              </w:rPr>
              <w:t>平方米以上的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820A0E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47915E0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23C35E7E"/>
    <w:p w14:paraId="365BE3B6"/>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0F901753">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856C0F0">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68912A1E">
            <w:pPr>
              <w:spacing w:line="320" w:lineRule="exact"/>
              <w:jc w:val="left"/>
              <w:rPr>
                <w:rFonts w:eastAsia="仿宋_GB2312"/>
                <w:b/>
                <w:bCs/>
                <w:color w:val="000000"/>
                <w:kern w:val="0"/>
                <w:sz w:val="18"/>
                <w:szCs w:val="18"/>
              </w:rPr>
            </w:pPr>
            <w:r>
              <w:rPr>
                <w:rFonts w:eastAsia="仿宋_GB2312"/>
                <w:b/>
                <w:bCs/>
                <w:color w:val="000000"/>
                <w:kern w:val="0"/>
                <w:sz w:val="18"/>
                <w:szCs w:val="18"/>
              </w:rPr>
              <w:t>320217718000</w:t>
            </w:r>
          </w:p>
        </w:tc>
      </w:tr>
      <w:tr w14:paraId="343923CD">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EA7D0A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0FEF0346">
            <w:pPr>
              <w:spacing w:line="320" w:lineRule="exact"/>
              <w:jc w:val="left"/>
              <w:rPr>
                <w:b/>
                <w:color w:val="000000"/>
                <w:kern w:val="0"/>
                <w:sz w:val="18"/>
                <w:szCs w:val="18"/>
              </w:rPr>
            </w:pPr>
            <w:r>
              <w:rPr>
                <w:rFonts w:hint="eastAsia"/>
                <w:color w:val="000000"/>
                <w:spacing w:val="-6"/>
                <w:kern w:val="0"/>
                <w:sz w:val="18"/>
                <w:szCs w:val="18"/>
              </w:rPr>
              <w:t>对建设单位未按照施工合同约定及时支付危大工程施工技术措施费或者相应的安全防护文明施工措施费的处罚</w:t>
            </w:r>
          </w:p>
        </w:tc>
      </w:tr>
      <w:tr w14:paraId="148E2A50">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144A1A0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39E1F7DE">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31C13A56">
            <w:pPr>
              <w:spacing w:line="320" w:lineRule="exact"/>
              <w:jc w:val="left"/>
              <w:rPr>
                <w:color w:val="000000"/>
                <w:kern w:val="0"/>
                <w:sz w:val="18"/>
                <w:szCs w:val="18"/>
              </w:rPr>
            </w:pPr>
            <w:r>
              <w:rPr>
                <w:rFonts w:hint="eastAsia"/>
                <w:color w:val="000000"/>
                <w:kern w:val="0"/>
                <w:sz w:val="18"/>
                <w:szCs w:val="18"/>
              </w:rPr>
              <w:t>第八条　建设单位应当按照施工合同约定及时支付危大工程施工技术措施费以及相应的安全防护文明施工措施费，保障危大工程施工安全。</w:t>
            </w:r>
          </w:p>
          <w:p w14:paraId="3DA16DED">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40D09688">
            <w:pPr>
              <w:spacing w:line="320" w:lineRule="exact"/>
              <w:jc w:val="left"/>
              <w:rPr>
                <w:color w:val="000000"/>
                <w:kern w:val="0"/>
                <w:sz w:val="18"/>
                <w:szCs w:val="18"/>
              </w:rPr>
            </w:pPr>
            <w:r>
              <w:rPr>
                <w:rFonts w:hint="eastAsia"/>
                <w:color w:val="000000"/>
                <w:kern w:val="0"/>
                <w:sz w:val="18"/>
                <w:szCs w:val="18"/>
              </w:rPr>
              <w:t>　　（三）未按照施工合同约定及时支付危大工程施工技术措施费或者相应的安全防护文明施工措施费的；</w:t>
            </w:r>
          </w:p>
        </w:tc>
      </w:tr>
      <w:tr w14:paraId="21615547">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17BA5FB">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6BC0B60A">
            <w:pPr>
              <w:spacing w:line="320" w:lineRule="exact"/>
              <w:jc w:val="left"/>
              <w:rPr>
                <w:color w:val="000000"/>
                <w:kern w:val="0"/>
                <w:sz w:val="18"/>
                <w:szCs w:val="18"/>
              </w:rPr>
            </w:pPr>
            <w:r>
              <w:rPr>
                <w:rFonts w:hint="eastAsia"/>
                <w:color w:val="000000"/>
                <w:kern w:val="0"/>
                <w:sz w:val="18"/>
                <w:szCs w:val="18"/>
              </w:rPr>
              <w:t>罚款</w:t>
            </w:r>
          </w:p>
        </w:tc>
      </w:tr>
      <w:tr w14:paraId="6EB79350">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B04E6B6">
            <w:pPr>
              <w:spacing w:line="320" w:lineRule="exact"/>
              <w:jc w:val="center"/>
              <w:rPr>
                <w:color w:val="000000"/>
                <w:kern w:val="0"/>
                <w:sz w:val="18"/>
                <w:szCs w:val="18"/>
              </w:rPr>
            </w:pPr>
            <w:r>
              <w:rPr>
                <w:rFonts w:hint="eastAsia"/>
                <w:color w:val="000000"/>
                <w:kern w:val="0"/>
                <w:sz w:val="18"/>
                <w:szCs w:val="18"/>
              </w:rPr>
              <w:t>裁量基准</w:t>
            </w:r>
          </w:p>
        </w:tc>
      </w:tr>
      <w:tr w14:paraId="1FC22694">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6D350FE1">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3A32B1DF">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3FF83C72">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6AB0975F">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21CAC5BA">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63C349B4">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030DBFDC">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4AF9180D">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30DFF204">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0BB387FD">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197BCF70">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328177D5">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757E5594">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5C0172A0">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2305834A">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4527E1F0">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42CF6D9D"/>
    <w:p w14:paraId="293A3DA3"/>
    <w:p w14:paraId="6846DCFA"/>
    <w:p w14:paraId="2F428DB2"/>
    <w:p w14:paraId="5127C312"/>
    <w:p w14:paraId="7A99736A"/>
    <w:p w14:paraId="2DA933E3"/>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5B54B9CD">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42DE8D8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281E89DF">
            <w:pPr>
              <w:spacing w:line="320" w:lineRule="exact"/>
              <w:jc w:val="left"/>
              <w:rPr>
                <w:rFonts w:eastAsia="仿宋_GB2312"/>
                <w:b/>
                <w:bCs/>
                <w:color w:val="000000"/>
                <w:kern w:val="0"/>
                <w:sz w:val="18"/>
                <w:szCs w:val="18"/>
              </w:rPr>
            </w:pPr>
            <w:r>
              <w:rPr>
                <w:rFonts w:eastAsia="仿宋_GB2312"/>
                <w:b/>
                <w:bCs/>
                <w:color w:val="000000"/>
                <w:kern w:val="0"/>
                <w:sz w:val="18"/>
                <w:szCs w:val="18"/>
              </w:rPr>
              <w:t>320217719000</w:t>
            </w:r>
          </w:p>
        </w:tc>
      </w:tr>
      <w:tr w14:paraId="297E4BB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218CCB4E">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21B61843">
            <w:pPr>
              <w:spacing w:line="320" w:lineRule="exact"/>
              <w:jc w:val="left"/>
              <w:rPr>
                <w:color w:val="000000"/>
                <w:kern w:val="0"/>
                <w:sz w:val="18"/>
                <w:szCs w:val="18"/>
              </w:rPr>
            </w:pPr>
            <w:r>
              <w:rPr>
                <w:rFonts w:hint="eastAsia"/>
                <w:color w:val="000000"/>
                <w:kern w:val="0"/>
                <w:sz w:val="18"/>
                <w:szCs w:val="18"/>
              </w:rPr>
              <w:t>对评估专业人员采用欺骗、利诱、胁迫，或者贬损、诋毁其他评估专业人员等不正当手段招揽业务的处罚（限房地产估价业务）</w:t>
            </w:r>
          </w:p>
        </w:tc>
      </w:tr>
      <w:tr w14:paraId="6623DF13">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2D480DE9">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42AA6FBF">
            <w:pPr>
              <w:spacing w:line="320" w:lineRule="exact"/>
              <w:jc w:val="left"/>
              <w:rPr>
                <w:color w:val="000000"/>
                <w:kern w:val="0"/>
                <w:sz w:val="18"/>
                <w:szCs w:val="18"/>
              </w:rPr>
            </w:pPr>
            <w:r>
              <w:rPr>
                <w:rFonts w:hint="eastAsia"/>
                <w:color w:val="000000"/>
                <w:kern w:val="0"/>
                <w:sz w:val="18"/>
                <w:szCs w:val="18"/>
              </w:rPr>
              <w:t>【法律】《中华人民共和国资产评估法》</w:t>
            </w:r>
          </w:p>
          <w:p w14:paraId="4CE2EC2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评估专业人员不得有下列行为：</w:t>
            </w:r>
          </w:p>
          <w:p w14:paraId="077F429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w:t>
            </w:r>
            <w:r>
              <w:rPr>
                <w:color w:val="000000"/>
                <w:kern w:val="0"/>
                <w:sz w:val="18"/>
                <w:szCs w:val="18"/>
              </w:rPr>
              <w:t>）</w:t>
            </w:r>
            <w:r>
              <w:rPr>
                <w:rFonts w:hint="eastAsia"/>
                <w:color w:val="000000"/>
                <w:kern w:val="0"/>
                <w:sz w:val="18"/>
                <w:szCs w:val="18"/>
              </w:rPr>
              <w:t>采用欺骗、利诱、胁迫，或者贬损、诋毁其他评估专业人员等不正当手段招揽业务</w:t>
            </w:r>
            <w:r>
              <w:rPr>
                <w:color w:val="000000"/>
                <w:kern w:val="0"/>
                <w:sz w:val="18"/>
                <w:szCs w:val="18"/>
              </w:rPr>
              <w:t>;</w:t>
            </w:r>
          </w:p>
          <w:p w14:paraId="161FE12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14:paraId="54D5CF7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w:t>
            </w:r>
            <w:r>
              <w:rPr>
                <w:color w:val="000000"/>
                <w:kern w:val="0"/>
                <w:sz w:val="18"/>
                <w:szCs w:val="18"/>
              </w:rPr>
              <w:t>）</w:t>
            </w:r>
            <w:r>
              <w:rPr>
                <w:rFonts w:hint="eastAsia"/>
                <w:color w:val="000000"/>
                <w:kern w:val="0"/>
                <w:sz w:val="18"/>
                <w:szCs w:val="18"/>
              </w:rPr>
              <w:t>采用欺骗、利诱、胁迫，或者贬损、诋毁其他评估专业人员等不正当手段招揽业务的</w:t>
            </w:r>
            <w:r>
              <w:rPr>
                <w:color w:val="000000"/>
                <w:kern w:val="0"/>
                <w:sz w:val="18"/>
                <w:szCs w:val="18"/>
              </w:rPr>
              <w:t>;</w:t>
            </w:r>
          </w:p>
          <w:p w14:paraId="4893664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14:paraId="4ABCB12D">
            <w:pPr>
              <w:spacing w:line="32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14:paraId="79443249">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14:paraId="7FA57A6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（十一）严重损害他人利益、名誉的行为。</w:t>
            </w:r>
          </w:p>
          <w:p w14:paraId="53B7ADD1">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14:paraId="3BADB6B1">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72D51EDC">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525D4F41">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14:paraId="4010D814">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3A592BBC">
            <w:pPr>
              <w:spacing w:line="320" w:lineRule="exact"/>
              <w:jc w:val="center"/>
              <w:rPr>
                <w:color w:val="000000"/>
                <w:kern w:val="0"/>
                <w:sz w:val="18"/>
                <w:szCs w:val="18"/>
              </w:rPr>
            </w:pPr>
            <w:r>
              <w:rPr>
                <w:rFonts w:hint="eastAsia"/>
                <w:color w:val="000000"/>
                <w:kern w:val="0"/>
                <w:sz w:val="18"/>
                <w:szCs w:val="18"/>
              </w:rPr>
              <w:t>裁量基准</w:t>
            </w:r>
          </w:p>
        </w:tc>
      </w:tr>
      <w:tr w14:paraId="1459331A">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41A324E8">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tcPr>
          <w:p w14:paraId="74C8759A">
            <w:pPr>
              <w:rPr>
                <w:color w:val="000000"/>
              </w:rPr>
            </w:pPr>
            <w:r>
              <w:rPr>
                <w:rFonts w:hint="eastAsia"/>
                <w:color w:val="000000"/>
              </w:rPr>
              <w:t>没有违法所得，且未造成损失的</w:t>
            </w:r>
          </w:p>
        </w:tc>
        <w:tc>
          <w:tcPr>
            <w:tcW w:w="1080" w:type="dxa"/>
            <w:vMerge w:val="restart"/>
            <w:tcBorders>
              <w:top w:val="single" w:color="auto" w:sz="4" w:space="0"/>
              <w:left w:val="single" w:color="auto" w:sz="4" w:space="0"/>
              <w:right w:val="single" w:color="auto" w:sz="4" w:space="0"/>
            </w:tcBorders>
            <w:vAlign w:val="center"/>
          </w:tcPr>
          <w:p w14:paraId="0CD1B0BF">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64FDFACA">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14:paraId="4F97F06B">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right w:val="single" w:color="auto" w:sz="4" w:space="0"/>
            </w:tcBorders>
            <w:vAlign w:val="center"/>
          </w:tcPr>
          <w:p w14:paraId="03AF951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1FF4C179">
            <w:pPr>
              <w:rPr>
                <w:color w:val="000000"/>
              </w:rPr>
            </w:pPr>
            <w:r>
              <w:rPr>
                <w:rFonts w:hint="eastAsia"/>
                <w:color w:val="000000"/>
              </w:rPr>
              <w:t>没有违法所得，造成损失但依法承担赔偿责任的</w:t>
            </w:r>
          </w:p>
        </w:tc>
        <w:tc>
          <w:tcPr>
            <w:tcW w:w="1080" w:type="dxa"/>
            <w:vMerge w:val="continue"/>
            <w:tcBorders>
              <w:top w:val="single" w:color="auto" w:sz="4" w:space="0"/>
              <w:left w:val="single" w:color="auto" w:sz="4" w:space="0"/>
              <w:right w:val="single" w:color="auto" w:sz="4" w:space="0"/>
            </w:tcBorders>
            <w:vAlign w:val="center"/>
          </w:tcPr>
          <w:p w14:paraId="5AFAE3D1">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1B1D3491">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14:paraId="21DD044B">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right w:val="single" w:color="auto" w:sz="4" w:space="0"/>
            </w:tcBorders>
            <w:vAlign w:val="center"/>
          </w:tcPr>
          <w:p w14:paraId="7557389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4E5FB36D">
            <w:pPr>
              <w:rPr>
                <w:color w:val="000000"/>
              </w:rPr>
            </w:pPr>
            <w:r>
              <w:rPr>
                <w:rFonts w:hint="eastAsia"/>
                <w:color w:val="000000"/>
              </w:rPr>
              <w:t>没有违法所得，造成损失但未依法承担赔偿责任的</w:t>
            </w:r>
          </w:p>
        </w:tc>
        <w:tc>
          <w:tcPr>
            <w:tcW w:w="1080" w:type="dxa"/>
            <w:vMerge w:val="continue"/>
            <w:tcBorders>
              <w:top w:val="single" w:color="auto" w:sz="4" w:space="0"/>
              <w:left w:val="single" w:color="auto" w:sz="4" w:space="0"/>
              <w:right w:val="single" w:color="auto" w:sz="4" w:space="0"/>
            </w:tcBorders>
            <w:vAlign w:val="center"/>
          </w:tcPr>
          <w:p w14:paraId="2494D335">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0FC0FB5A">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14:paraId="60399162">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right w:val="single" w:color="auto" w:sz="4" w:space="0"/>
            </w:tcBorders>
            <w:vAlign w:val="center"/>
          </w:tcPr>
          <w:p w14:paraId="04D8384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FF90D1E">
            <w:pPr>
              <w:spacing w:line="320" w:lineRule="exact"/>
              <w:jc w:val="left"/>
              <w:rPr>
                <w:color w:val="000000"/>
                <w:kern w:val="0"/>
                <w:sz w:val="18"/>
                <w:szCs w:val="18"/>
              </w:rPr>
            </w:pPr>
            <w:r>
              <w:rPr>
                <w:rFonts w:hint="eastAsia"/>
                <w:color w:val="000000"/>
              </w:rPr>
              <w:t>有违法所得，且未造成损失的</w:t>
            </w:r>
          </w:p>
        </w:tc>
        <w:tc>
          <w:tcPr>
            <w:tcW w:w="1080" w:type="dxa"/>
            <w:vMerge w:val="continue"/>
            <w:tcBorders>
              <w:top w:val="single" w:color="auto" w:sz="4" w:space="0"/>
              <w:left w:val="single" w:color="auto" w:sz="4" w:space="0"/>
              <w:right w:val="single" w:color="auto" w:sz="4" w:space="0"/>
            </w:tcBorders>
            <w:vAlign w:val="center"/>
          </w:tcPr>
          <w:p w14:paraId="438D5861">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0FEB7AC2">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14:paraId="268E764E">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right w:val="single" w:color="auto" w:sz="4" w:space="0"/>
            </w:tcBorders>
            <w:vAlign w:val="center"/>
          </w:tcPr>
          <w:p w14:paraId="1A19CDA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66C8E65">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val="continue"/>
            <w:tcBorders>
              <w:top w:val="single" w:color="auto" w:sz="4" w:space="0"/>
              <w:left w:val="single" w:color="auto" w:sz="4" w:space="0"/>
              <w:right w:val="single" w:color="auto" w:sz="4" w:space="0"/>
            </w:tcBorders>
            <w:vAlign w:val="center"/>
          </w:tcPr>
          <w:p w14:paraId="703FB8B5">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4AA32CC8">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14:paraId="16AC58DF">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66CAE60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FF0185D">
            <w:pPr>
              <w:spacing w:line="320" w:lineRule="exact"/>
              <w:jc w:val="left"/>
              <w:rPr>
                <w:color w:val="000000"/>
              </w:rPr>
            </w:pPr>
            <w:r>
              <w:rPr>
                <w:rFonts w:hint="eastAsia"/>
                <w:color w:val="000000"/>
              </w:rPr>
              <w:t>有违法所得，造成损失未依法承担赔偿责任的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3AFF1D91">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0FA7A13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14:paraId="0CDF12D3"/>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4A5AB7A9">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39BAE0C2">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425B904B">
            <w:pPr>
              <w:spacing w:line="320" w:lineRule="exact"/>
              <w:jc w:val="left"/>
              <w:rPr>
                <w:rFonts w:eastAsia="仿宋_GB2312"/>
                <w:b/>
                <w:bCs/>
                <w:color w:val="000000"/>
                <w:kern w:val="0"/>
                <w:sz w:val="18"/>
                <w:szCs w:val="18"/>
              </w:rPr>
            </w:pPr>
            <w:r>
              <w:rPr>
                <w:rFonts w:eastAsia="仿宋_GB2312"/>
                <w:b/>
                <w:bCs/>
                <w:color w:val="000000"/>
                <w:kern w:val="0"/>
                <w:sz w:val="18"/>
                <w:szCs w:val="18"/>
              </w:rPr>
              <w:t>320217720000</w:t>
            </w:r>
          </w:p>
        </w:tc>
      </w:tr>
      <w:tr w14:paraId="23608B2B">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2885650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4E993982">
            <w:pPr>
              <w:spacing w:line="320" w:lineRule="exact"/>
              <w:jc w:val="left"/>
              <w:rPr>
                <w:color w:val="000000"/>
                <w:kern w:val="0"/>
                <w:sz w:val="18"/>
                <w:szCs w:val="18"/>
              </w:rPr>
            </w:pPr>
            <w:r>
              <w:rPr>
                <w:rFonts w:hint="eastAsia"/>
                <w:color w:val="000000"/>
                <w:kern w:val="0"/>
                <w:sz w:val="18"/>
                <w:szCs w:val="18"/>
              </w:rPr>
              <w:t>对评估专业人员允许他人以本人名义从事业务，或者冒用他人名义从事业务的处罚（限房地产估价业务）</w:t>
            </w:r>
          </w:p>
        </w:tc>
      </w:tr>
      <w:tr w14:paraId="65DCC4A9">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618407CC">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56E014FE">
            <w:pPr>
              <w:spacing w:line="320" w:lineRule="exact"/>
              <w:jc w:val="left"/>
              <w:rPr>
                <w:color w:val="000000"/>
                <w:kern w:val="0"/>
                <w:sz w:val="18"/>
                <w:szCs w:val="18"/>
              </w:rPr>
            </w:pPr>
            <w:r>
              <w:rPr>
                <w:rFonts w:hint="eastAsia"/>
                <w:color w:val="000000"/>
                <w:kern w:val="0"/>
                <w:sz w:val="18"/>
                <w:szCs w:val="18"/>
              </w:rPr>
              <w:t>【法律】《中华人民共和国资产评估法》</w:t>
            </w:r>
          </w:p>
          <w:p w14:paraId="7CDC4104">
            <w:pPr>
              <w:spacing w:line="320" w:lineRule="exact"/>
              <w:jc w:val="left"/>
              <w:rPr>
                <w:color w:val="000000"/>
                <w:kern w:val="0"/>
                <w:sz w:val="18"/>
                <w:szCs w:val="18"/>
              </w:rPr>
            </w:pPr>
            <w:r>
              <w:rPr>
                <w:rFonts w:hint="eastAsia"/>
                <w:color w:val="000000"/>
                <w:kern w:val="0"/>
                <w:sz w:val="18"/>
                <w:szCs w:val="18"/>
              </w:rPr>
              <w:t>第十四条　评估专业人员不得有下列行为：</w:t>
            </w:r>
          </w:p>
          <w:p w14:paraId="14C1392D">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允许他人以本人名义从事业务，或者冒用他人名义从事业务</w:t>
            </w:r>
            <w:r>
              <w:rPr>
                <w:color w:val="000000"/>
                <w:kern w:val="0"/>
                <w:sz w:val="18"/>
                <w:szCs w:val="18"/>
              </w:rPr>
              <w:t>;</w:t>
            </w:r>
          </w:p>
          <w:p w14:paraId="51A2625C">
            <w:pPr>
              <w:spacing w:line="280" w:lineRule="exact"/>
              <w:jc w:val="left"/>
              <w:rPr>
                <w:color w:val="000000"/>
                <w:kern w:val="0"/>
                <w:sz w:val="18"/>
                <w:szCs w:val="18"/>
              </w:rPr>
            </w:pP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14:paraId="2A8571F0">
            <w:pPr>
              <w:spacing w:line="28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允许他人以本人名义从事业务，或者冒用他人名义从事业务的</w:t>
            </w:r>
            <w:r>
              <w:rPr>
                <w:color w:val="000000"/>
                <w:kern w:val="0"/>
                <w:sz w:val="18"/>
                <w:szCs w:val="18"/>
              </w:rPr>
              <w:t>;</w:t>
            </w:r>
          </w:p>
          <w:p w14:paraId="17121C0A">
            <w:pPr>
              <w:spacing w:line="28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14:paraId="7C7CEFA0">
            <w:pPr>
              <w:spacing w:line="28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14:paraId="15C8710A">
            <w:pPr>
              <w:spacing w:line="280" w:lineRule="exact"/>
              <w:jc w:val="left"/>
              <w:rPr>
                <w:color w:val="000000"/>
                <w:kern w:val="0"/>
                <w:sz w:val="18"/>
                <w:szCs w:val="18"/>
              </w:rPr>
            </w:pPr>
            <w:r>
              <w:rPr>
                <w:rFonts w:hint="eastAsia"/>
                <w:color w:val="000000"/>
                <w:kern w:val="0"/>
                <w:sz w:val="18"/>
                <w:szCs w:val="18"/>
              </w:rPr>
              <w:t>第二十六条　注册房地产估价师不得有下列行为：</w:t>
            </w:r>
          </w:p>
          <w:p w14:paraId="303BDA0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（六）允许他人以自己的名义从事房地产估价业务。</w:t>
            </w:r>
          </w:p>
          <w:p w14:paraId="279667D8">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14:paraId="4A1126F5">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20B68E0B">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0D4D47C3">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14:paraId="45E4CBBA">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5692E482">
            <w:pPr>
              <w:spacing w:line="320" w:lineRule="exact"/>
              <w:jc w:val="center"/>
              <w:rPr>
                <w:color w:val="000000"/>
                <w:kern w:val="0"/>
                <w:sz w:val="18"/>
                <w:szCs w:val="18"/>
              </w:rPr>
            </w:pPr>
            <w:r>
              <w:rPr>
                <w:rFonts w:hint="eastAsia"/>
                <w:color w:val="000000"/>
                <w:kern w:val="0"/>
                <w:sz w:val="18"/>
                <w:szCs w:val="18"/>
              </w:rPr>
              <w:t>裁量基准</w:t>
            </w:r>
          </w:p>
        </w:tc>
      </w:tr>
      <w:tr w14:paraId="3CEF3F8D">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0C5079BF">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tcPr>
          <w:p w14:paraId="482EBFC2">
            <w:pPr>
              <w:rPr>
                <w:color w:val="000000"/>
              </w:rPr>
            </w:pPr>
            <w:r>
              <w:rPr>
                <w:rFonts w:hint="eastAsia"/>
                <w:color w:val="000000"/>
              </w:rPr>
              <w:t>没有违法所得，且未造成损失的</w:t>
            </w:r>
          </w:p>
        </w:tc>
        <w:tc>
          <w:tcPr>
            <w:tcW w:w="1080" w:type="dxa"/>
            <w:vMerge w:val="restart"/>
            <w:tcBorders>
              <w:top w:val="single" w:color="auto" w:sz="4" w:space="0"/>
              <w:left w:val="single" w:color="auto" w:sz="4" w:space="0"/>
              <w:right w:val="single" w:color="auto" w:sz="4" w:space="0"/>
            </w:tcBorders>
            <w:vAlign w:val="center"/>
          </w:tcPr>
          <w:p w14:paraId="44E435F1">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5746B557">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14:paraId="2C75E81E">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5F22C9F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434EE82F">
            <w:pPr>
              <w:rPr>
                <w:color w:val="000000"/>
              </w:rPr>
            </w:pPr>
            <w:r>
              <w:rPr>
                <w:rFonts w:hint="eastAsia"/>
                <w:color w:val="000000"/>
              </w:rPr>
              <w:t>没有违法所得，造成损失但依法承担赔偿责任的</w:t>
            </w:r>
          </w:p>
        </w:tc>
        <w:tc>
          <w:tcPr>
            <w:tcW w:w="1080" w:type="dxa"/>
            <w:vMerge w:val="continue"/>
            <w:tcBorders>
              <w:top w:val="single" w:color="auto" w:sz="4" w:space="0"/>
              <w:left w:val="single" w:color="auto" w:sz="4" w:space="0"/>
              <w:right w:val="single" w:color="auto" w:sz="4" w:space="0"/>
            </w:tcBorders>
            <w:vAlign w:val="center"/>
          </w:tcPr>
          <w:p w14:paraId="4C53BFD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C3835DE">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14:paraId="545E7A18">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03A875B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12FC928F">
            <w:pPr>
              <w:rPr>
                <w:color w:val="000000"/>
              </w:rPr>
            </w:pPr>
            <w:r>
              <w:rPr>
                <w:rFonts w:hint="eastAsia"/>
                <w:color w:val="000000"/>
              </w:rPr>
              <w:t>没有违法所得，造成损失但未依法承担赔偿责任的</w:t>
            </w:r>
          </w:p>
        </w:tc>
        <w:tc>
          <w:tcPr>
            <w:tcW w:w="1080" w:type="dxa"/>
            <w:vMerge w:val="continue"/>
            <w:tcBorders>
              <w:top w:val="single" w:color="auto" w:sz="4" w:space="0"/>
              <w:left w:val="single" w:color="auto" w:sz="4" w:space="0"/>
              <w:right w:val="single" w:color="auto" w:sz="4" w:space="0"/>
            </w:tcBorders>
            <w:vAlign w:val="center"/>
          </w:tcPr>
          <w:p w14:paraId="11F89EB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4B2D66E">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14:paraId="3C227A68">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111CABA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D029A50">
            <w:pPr>
              <w:spacing w:line="320" w:lineRule="exact"/>
              <w:jc w:val="left"/>
              <w:rPr>
                <w:color w:val="000000"/>
                <w:kern w:val="0"/>
                <w:sz w:val="18"/>
                <w:szCs w:val="18"/>
              </w:rPr>
            </w:pPr>
            <w:r>
              <w:rPr>
                <w:rFonts w:hint="eastAsia"/>
                <w:color w:val="000000"/>
              </w:rPr>
              <w:t>有违法所得，且未造成损失的</w:t>
            </w:r>
          </w:p>
        </w:tc>
        <w:tc>
          <w:tcPr>
            <w:tcW w:w="1080" w:type="dxa"/>
            <w:vMerge w:val="continue"/>
            <w:tcBorders>
              <w:top w:val="single" w:color="auto" w:sz="4" w:space="0"/>
              <w:left w:val="single" w:color="auto" w:sz="4" w:space="0"/>
              <w:right w:val="single" w:color="auto" w:sz="4" w:space="0"/>
            </w:tcBorders>
            <w:vAlign w:val="center"/>
          </w:tcPr>
          <w:p w14:paraId="163ECFF4">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44ACFBB9">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14:paraId="08422BF8">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2BA33F7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CD00F6C">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val="continue"/>
            <w:tcBorders>
              <w:left w:val="single" w:color="auto" w:sz="4" w:space="0"/>
              <w:right w:val="single" w:color="auto" w:sz="4" w:space="0"/>
            </w:tcBorders>
            <w:vAlign w:val="center"/>
          </w:tcPr>
          <w:p w14:paraId="5E5AA61B">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6ADDECC">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14:paraId="54D7F08E">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4D094E2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847CCFC">
            <w:pPr>
              <w:spacing w:line="320" w:lineRule="exact"/>
              <w:jc w:val="left"/>
              <w:rPr>
                <w:color w:val="000000"/>
              </w:rPr>
            </w:pPr>
            <w:r>
              <w:rPr>
                <w:rFonts w:hint="eastAsia"/>
                <w:color w:val="000000"/>
              </w:rPr>
              <w:t>有违法所得，造成损失未依法承担赔偿责任的</w:t>
            </w:r>
          </w:p>
        </w:tc>
        <w:tc>
          <w:tcPr>
            <w:tcW w:w="1080" w:type="dxa"/>
            <w:tcBorders>
              <w:left w:val="single" w:color="auto" w:sz="4" w:space="0"/>
              <w:bottom w:val="single" w:color="auto" w:sz="4" w:space="0"/>
              <w:right w:val="single" w:color="auto" w:sz="4" w:space="0"/>
            </w:tcBorders>
            <w:vAlign w:val="center"/>
          </w:tcPr>
          <w:p w14:paraId="2863EA36">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88D21C2">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14:paraId="18EF5C9D"/>
    <w:p w14:paraId="7EBC1E94"/>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2CCAEBA">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6F53C79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041875E8">
            <w:pPr>
              <w:spacing w:line="320" w:lineRule="exact"/>
              <w:jc w:val="left"/>
              <w:rPr>
                <w:rFonts w:eastAsia="仿宋_GB2312"/>
                <w:b/>
                <w:bCs/>
                <w:color w:val="000000"/>
                <w:kern w:val="0"/>
                <w:sz w:val="18"/>
                <w:szCs w:val="18"/>
              </w:rPr>
            </w:pPr>
            <w:r>
              <w:rPr>
                <w:rFonts w:eastAsia="仿宋_GB2312"/>
                <w:b/>
                <w:bCs/>
                <w:color w:val="000000"/>
                <w:kern w:val="0"/>
                <w:sz w:val="18"/>
                <w:szCs w:val="18"/>
              </w:rPr>
              <w:t>320217721000</w:t>
            </w:r>
            <w:r>
              <w:rPr>
                <w:rFonts w:hint="eastAsia" w:eastAsia="仿宋_GB2312"/>
                <w:b/>
                <w:bCs/>
                <w:color w:val="000000"/>
                <w:kern w:val="0"/>
                <w:sz w:val="18"/>
                <w:szCs w:val="18"/>
              </w:rPr>
              <w:t xml:space="preserve"> </w:t>
            </w:r>
          </w:p>
        </w:tc>
      </w:tr>
      <w:tr w14:paraId="7D8727BE">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ED25FC0">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32029842">
            <w:pPr>
              <w:spacing w:line="320" w:lineRule="exact"/>
              <w:jc w:val="left"/>
              <w:rPr>
                <w:color w:val="000000"/>
                <w:kern w:val="0"/>
                <w:sz w:val="18"/>
                <w:szCs w:val="18"/>
              </w:rPr>
            </w:pPr>
            <w:r>
              <w:rPr>
                <w:rFonts w:hint="eastAsia"/>
                <w:color w:val="000000"/>
                <w:kern w:val="0"/>
                <w:sz w:val="18"/>
                <w:szCs w:val="18"/>
              </w:rPr>
              <w:t>对违规出具房地产估价报告的处罚</w:t>
            </w:r>
          </w:p>
        </w:tc>
      </w:tr>
      <w:tr w14:paraId="2D9AAD17">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670D1CA3">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4BB1A061">
            <w:pPr>
              <w:spacing w:line="320" w:lineRule="exact"/>
              <w:jc w:val="left"/>
              <w:rPr>
                <w:color w:val="000000"/>
                <w:kern w:val="0"/>
                <w:sz w:val="18"/>
                <w:szCs w:val="18"/>
              </w:rPr>
            </w:pPr>
            <w:r>
              <w:rPr>
                <w:rFonts w:hint="eastAsia"/>
                <w:color w:val="000000"/>
                <w:kern w:val="0"/>
                <w:sz w:val="18"/>
                <w:szCs w:val="18"/>
              </w:rPr>
              <w:t>【规章】《房地产估价机构管理办法》（</w:t>
            </w:r>
            <w:r>
              <w:rPr>
                <w:color w:val="000000"/>
                <w:kern w:val="0"/>
                <w:sz w:val="18"/>
                <w:szCs w:val="18"/>
              </w:rPr>
              <w:t>2013</w:t>
            </w:r>
            <w:r>
              <w:rPr>
                <w:rFonts w:hint="eastAsia"/>
                <w:color w:val="000000"/>
                <w:kern w:val="0"/>
                <w:sz w:val="18"/>
                <w:szCs w:val="18"/>
              </w:rPr>
              <w:t>年</w:t>
            </w:r>
            <w:r>
              <w:rPr>
                <w:color w:val="000000"/>
                <w:kern w:val="0"/>
                <w:sz w:val="18"/>
                <w:szCs w:val="18"/>
              </w:rPr>
              <w:t>10</w:t>
            </w:r>
            <w:r>
              <w:rPr>
                <w:rFonts w:hint="eastAsia"/>
                <w:color w:val="000000"/>
                <w:kern w:val="0"/>
                <w:sz w:val="18"/>
                <w:szCs w:val="18"/>
              </w:rPr>
              <w:t>月</w:t>
            </w:r>
            <w:r>
              <w:rPr>
                <w:color w:val="000000"/>
                <w:kern w:val="0"/>
                <w:sz w:val="18"/>
                <w:szCs w:val="18"/>
              </w:rPr>
              <w:t>16</w:t>
            </w:r>
            <w:r>
              <w:rPr>
                <w:rFonts w:hint="eastAsia"/>
                <w:color w:val="000000"/>
                <w:kern w:val="0"/>
                <w:sz w:val="18"/>
                <w:szCs w:val="18"/>
              </w:rPr>
              <w:t>日住房和城乡建设部令第</w:t>
            </w:r>
            <w:r>
              <w:rPr>
                <w:color w:val="000000"/>
                <w:kern w:val="0"/>
                <w:sz w:val="18"/>
                <w:szCs w:val="18"/>
              </w:rPr>
              <w:t>14</w:t>
            </w:r>
            <w:r>
              <w:rPr>
                <w:rFonts w:hint="eastAsia"/>
                <w:color w:val="000000"/>
                <w:kern w:val="0"/>
                <w:sz w:val="18"/>
                <w:szCs w:val="18"/>
              </w:rPr>
              <w:t>号修正）</w:t>
            </w:r>
          </w:p>
          <w:p w14:paraId="36C6AD0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第二十条第二款</w:t>
            </w:r>
            <w:r>
              <w:rPr>
                <w:color w:val="000000"/>
                <w:kern w:val="0"/>
                <w:sz w:val="18"/>
                <w:szCs w:val="18"/>
              </w:rPr>
              <w:t xml:space="preserve"> </w:t>
            </w:r>
            <w:r>
              <w:rPr>
                <w:rFonts w:hint="eastAsia"/>
                <w:color w:val="000000"/>
                <w:kern w:val="0"/>
                <w:sz w:val="18"/>
                <w:szCs w:val="18"/>
              </w:rPr>
              <w:t>分支机构应当以设立该分支机构的房地产估价机构的名义出具估价报告，并加盖该房地产估价机构公章。</w:t>
            </w:r>
            <w:r>
              <w:rPr>
                <w:color w:val="000000"/>
                <w:kern w:val="0"/>
                <w:sz w:val="18"/>
                <w:szCs w:val="18"/>
              </w:rPr>
              <w:t xml:space="preserve">   </w:t>
            </w:r>
          </w:p>
          <w:p w14:paraId="728442BF">
            <w:pPr>
              <w:spacing w:line="320" w:lineRule="exact"/>
              <w:jc w:val="left"/>
              <w:rPr>
                <w:color w:val="000000"/>
                <w:kern w:val="0"/>
                <w:sz w:val="18"/>
                <w:szCs w:val="18"/>
              </w:rPr>
            </w:pPr>
            <w:r>
              <w:rPr>
                <w:rFonts w:hint="eastAsia"/>
                <w:color w:val="000000"/>
                <w:kern w:val="0"/>
                <w:sz w:val="18"/>
                <w:szCs w:val="18"/>
              </w:rPr>
              <w:t>第二十九条第二款</w:t>
            </w:r>
            <w:r>
              <w:rPr>
                <w:color w:val="000000"/>
                <w:kern w:val="0"/>
                <w:sz w:val="18"/>
                <w:szCs w:val="18"/>
              </w:rPr>
              <w:t xml:space="preserve"> </w:t>
            </w:r>
            <w:r>
              <w:rPr>
                <w:rFonts w:hint="eastAsia"/>
                <w:color w:val="000000"/>
                <w:kern w:val="0"/>
                <w:sz w:val="18"/>
                <w:szCs w:val="18"/>
              </w:rPr>
              <w:t>经委托人书面同意，房地产估价机构可以与其他房地产估价机构合作完成估价业务，以合作双方的名义共同出具估价报告。</w:t>
            </w:r>
            <w:r>
              <w:rPr>
                <w:color w:val="000000"/>
                <w:kern w:val="0"/>
                <w:sz w:val="18"/>
                <w:szCs w:val="18"/>
              </w:rPr>
              <w:t xml:space="preserve">   </w:t>
            </w:r>
          </w:p>
          <w:p w14:paraId="70B91441">
            <w:pPr>
              <w:spacing w:line="32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房地产估价报告应当由房地产估价机构出具，加盖房地产估价机构公章，并有至少</w:t>
            </w:r>
            <w:r>
              <w:rPr>
                <w:color w:val="000000"/>
                <w:kern w:val="0"/>
                <w:sz w:val="18"/>
                <w:szCs w:val="18"/>
              </w:rPr>
              <w:t>2</w:t>
            </w:r>
            <w:r>
              <w:rPr>
                <w:rFonts w:hint="eastAsia"/>
                <w:color w:val="000000"/>
                <w:kern w:val="0"/>
                <w:sz w:val="18"/>
                <w:szCs w:val="18"/>
              </w:rPr>
              <w:t>名专职注册房地产估价师签字。</w:t>
            </w:r>
          </w:p>
          <w:p w14:paraId="162539DD">
            <w:pPr>
              <w:spacing w:line="320" w:lineRule="exact"/>
              <w:jc w:val="left"/>
              <w:rPr>
                <w:color w:val="000000"/>
                <w:kern w:val="0"/>
                <w:sz w:val="18"/>
                <w:szCs w:val="18"/>
              </w:rPr>
            </w:pPr>
            <w:r>
              <w:rPr>
                <w:rFonts w:hint="eastAsia"/>
                <w:color w:val="000000"/>
                <w:kern w:val="0"/>
                <w:sz w:val="18"/>
                <w:szCs w:val="18"/>
              </w:rPr>
              <w:t>第五十条</w:t>
            </w:r>
            <w:r>
              <w:rPr>
                <w:color w:val="000000"/>
                <w:kern w:val="0"/>
                <w:sz w:val="18"/>
                <w:szCs w:val="18"/>
              </w:rPr>
              <w:t xml:space="preserve"> </w:t>
            </w:r>
            <w:r>
              <w:rPr>
                <w:rFonts w:hint="eastAsia"/>
                <w:color w:val="000000"/>
                <w:kern w:val="0"/>
                <w:sz w:val="18"/>
                <w:szCs w:val="18"/>
              </w:rPr>
              <w:t>有下列行为之一的，由县级以上人民政府房地产行政主管部门给予警告，责令限期改正；逾期未改正的，可处</w:t>
            </w:r>
            <w:r>
              <w:rPr>
                <w:color w:val="000000"/>
                <w:kern w:val="0"/>
                <w:sz w:val="18"/>
                <w:szCs w:val="18"/>
              </w:rPr>
              <w:t>5</w:t>
            </w:r>
            <w:r>
              <w:rPr>
                <w:rFonts w:hint="eastAsia"/>
                <w:color w:val="000000"/>
                <w:kern w:val="0"/>
                <w:sz w:val="18"/>
                <w:szCs w:val="18"/>
              </w:rPr>
              <w:t>千元以上</w:t>
            </w:r>
            <w:r>
              <w:rPr>
                <w:color w:val="000000"/>
                <w:kern w:val="0"/>
                <w:sz w:val="18"/>
                <w:szCs w:val="18"/>
              </w:rPr>
              <w:t>2</w:t>
            </w:r>
            <w:r>
              <w:rPr>
                <w:rFonts w:hint="eastAsia"/>
                <w:color w:val="000000"/>
                <w:kern w:val="0"/>
                <w:sz w:val="18"/>
                <w:szCs w:val="18"/>
              </w:rPr>
              <w:t>万元以下的罚款；给当事人造成损失的，依法承担赔偿责任：</w:t>
            </w:r>
            <w:r>
              <w:rPr>
                <w:color w:val="000000"/>
                <w:kern w:val="0"/>
                <w:sz w:val="18"/>
                <w:szCs w:val="18"/>
              </w:rPr>
              <w:t xml:space="preserve"> </w:t>
            </w:r>
          </w:p>
          <w:p w14:paraId="4144EC0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（三）违反本办法第二十条第二款、第二十九条第二款、第三十二条规定出具估价报告的。</w:t>
            </w:r>
          </w:p>
        </w:tc>
      </w:tr>
      <w:tr w14:paraId="3203F944">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AAB9236">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10DBB49D">
            <w:pPr>
              <w:spacing w:line="320" w:lineRule="exact"/>
              <w:jc w:val="left"/>
              <w:rPr>
                <w:color w:val="000000"/>
                <w:kern w:val="0"/>
                <w:sz w:val="18"/>
                <w:szCs w:val="18"/>
              </w:rPr>
            </w:pPr>
            <w:r>
              <w:rPr>
                <w:rFonts w:hint="eastAsia"/>
                <w:color w:val="000000"/>
                <w:kern w:val="0"/>
                <w:sz w:val="18"/>
                <w:szCs w:val="18"/>
              </w:rPr>
              <w:t>警告，罚款</w:t>
            </w:r>
          </w:p>
        </w:tc>
      </w:tr>
      <w:tr w14:paraId="3D0164C9">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4483D468">
            <w:pPr>
              <w:spacing w:line="320" w:lineRule="exact"/>
              <w:jc w:val="center"/>
              <w:rPr>
                <w:color w:val="000000"/>
                <w:kern w:val="0"/>
                <w:sz w:val="18"/>
                <w:szCs w:val="18"/>
              </w:rPr>
            </w:pPr>
            <w:r>
              <w:rPr>
                <w:rFonts w:hint="eastAsia"/>
                <w:color w:val="000000"/>
                <w:kern w:val="0"/>
                <w:sz w:val="18"/>
                <w:szCs w:val="18"/>
              </w:rPr>
              <w:t>裁量基准</w:t>
            </w:r>
          </w:p>
        </w:tc>
      </w:tr>
      <w:tr w14:paraId="067BA574">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63360510">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85E3295">
            <w:pPr>
              <w:spacing w:line="320" w:lineRule="exact"/>
              <w:jc w:val="left"/>
              <w:rPr>
                <w:color w:val="000000"/>
                <w:kern w:val="0"/>
                <w:sz w:val="18"/>
                <w:szCs w:val="18"/>
              </w:rPr>
            </w:pPr>
            <w:r>
              <w:rPr>
                <w:rFonts w:hint="eastAsia"/>
                <w:color w:val="000000"/>
                <w:kern w:val="0"/>
                <w:sz w:val="18"/>
                <w:szCs w:val="18"/>
              </w:rPr>
              <w:t>未给当事人造成损失的</w:t>
            </w:r>
          </w:p>
        </w:tc>
        <w:tc>
          <w:tcPr>
            <w:tcW w:w="1080" w:type="dxa"/>
            <w:vMerge w:val="restart"/>
            <w:tcBorders>
              <w:top w:val="single" w:color="auto" w:sz="4" w:space="0"/>
              <w:left w:val="single" w:color="auto" w:sz="4" w:space="0"/>
              <w:right w:val="single" w:color="auto" w:sz="4" w:space="0"/>
            </w:tcBorders>
            <w:vAlign w:val="center"/>
          </w:tcPr>
          <w:p w14:paraId="1A9F657B">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0563834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14:paraId="2C80FC2E">
        <w:tblPrEx>
          <w:tblCellMar>
            <w:top w:w="0" w:type="dxa"/>
            <w:left w:w="108" w:type="dxa"/>
            <w:bottom w:w="0" w:type="dxa"/>
            <w:right w:w="108" w:type="dxa"/>
          </w:tblCellMar>
        </w:tblPrEx>
        <w:trPr>
          <w:trHeight w:val="330" w:hRule="atLeast"/>
        </w:trPr>
        <w:tc>
          <w:tcPr>
            <w:tcW w:w="1030" w:type="dxa"/>
            <w:vMerge w:val="continue"/>
            <w:tcBorders>
              <w:left w:val="single" w:color="auto" w:sz="4" w:space="0"/>
              <w:right w:val="single" w:color="auto" w:sz="4" w:space="0"/>
            </w:tcBorders>
            <w:vAlign w:val="center"/>
          </w:tcPr>
          <w:p w14:paraId="34562A6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BA4B77D">
            <w:pPr>
              <w:spacing w:line="320" w:lineRule="exact"/>
              <w:jc w:val="left"/>
              <w:rPr>
                <w:color w:val="000000"/>
                <w:kern w:val="0"/>
                <w:sz w:val="18"/>
                <w:szCs w:val="18"/>
              </w:rPr>
            </w:pPr>
            <w:r>
              <w:rPr>
                <w:rFonts w:hint="eastAsia"/>
                <w:color w:val="000000"/>
                <w:kern w:val="0"/>
                <w:sz w:val="18"/>
                <w:szCs w:val="18"/>
              </w:rPr>
              <w:t>给当事人造成损失的，依法承担赔偿责任的</w:t>
            </w:r>
          </w:p>
        </w:tc>
        <w:tc>
          <w:tcPr>
            <w:tcW w:w="1080" w:type="dxa"/>
            <w:vMerge w:val="continue"/>
            <w:tcBorders>
              <w:left w:val="single" w:color="auto" w:sz="4" w:space="0"/>
              <w:right w:val="single" w:color="auto" w:sz="4" w:space="0"/>
            </w:tcBorders>
            <w:vAlign w:val="center"/>
          </w:tcPr>
          <w:p w14:paraId="4AE84C97">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C22807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07570961">
        <w:tblPrEx>
          <w:tblCellMar>
            <w:top w:w="0" w:type="dxa"/>
            <w:left w:w="108" w:type="dxa"/>
            <w:bottom w:w="0" w:type="dxa"/>
            <w:right w:w="108" w:type="dxa"/>
          </w:tblCellMar>
        </w:tblPrEx>
        <w:trPr>
          <w:trHeight w:val="295" w:hRule="atLeast"/>
        </w:trPr>
        <w:tc>
          <w:tcPr>
            <w:tcW w:w="1030" w:type="dxa"/>
            <w:vMerge w:val="continue"/>
            <w:tcBorders>
              <w:left w:val="single" w:color="auto" w:sz="4" w:space="0"/>
              <w:bottom w:val="single" w:color="auto" w:sz="4" w:space="0"/>
              <w:right w:val="single" w:color="auto" w:sz="4" w:space="0"/>
            </w:tcBorders>
            <w:vAlign w:val="center"/>
          </w:tcPr>
          <w:p w14:paraId="380DE60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C0D8FD9">
            <w:pPr>
              <w:spacing w:line="320" w:lineRule="exact"/>
              <w:jc w:val="left"/>
              <w:rPr>
                <w:color w:val="000000"/>
                <w:kern w:val="0"/>
                <w:sz w:val="18"/>
                <w:szCs w:val="18"/>
              </w:rPr>
            </w:pPr>
            <w:r>
              <w:rPr>
                <w:rFonts w:hint="eastAsia"/>
                <w:color w:val="000000"/>
                <w:kern w:val="0"/>
                <w:sz w:val="18"/>
                <w:szCs w:val="18"/>
              </w:rPr>
              <w:t>给当事人造成损失的且未依法承担赔偿责任的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74ED1F4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78EFBA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520252A9"/>
    <w:p w14:paraId="21A06B97"/>
    <w:p w14:paraId="4F4D7A8B"/>
    <w:p w14:paraId="072AB985"/>
    <w:p w14:paraId="44205CB3"/>
    <w:p w14:paraId="717C3692"/>
    <w:p w14:paraId="32F870B3"/>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12E7E3ED">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7FF6C22F">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57765B54">
            <w:pPr>
              <w:spacing w:line="320" w:lineRule="exact"/>
              <w:jc w:val="left"/>
              <w:rPr>
                <w:rFonts w:eastAsia="仿宋_GB2312"/>
                <w:b/>
                <w:bCs/>
                <w:color w:val="000000"/>
                <w:kern w:val="0"/>
                <w:sz w:val="18"/>
                <w:szCs w:val="18"/>
              </w:rPr>
            </w:pPr>
            <w:r>
              <w:rPr>
                <w:rFonts w:eastAsia="仿宋_GB2312"/>
                <w:b/>
                <w:bCs/>
                <w:color w:val="000000"/>
                <w:kern w:val="0"/>
                <w:sz w:val="18"/>
                <w:szCs w:val="18"/>
              </w:rPr>
              <w:t>320217722000</w:t>
            </w:r>
          </w:p>
        </w:tc>
      </w:tr>
      <w:tr w14:paraId="600AFF1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531D928">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367797DB">
            <w:pPr>
              <w:spacing w:line="320" w:lineRule="exact"/>
              <w:jc w:val="left"/>
              <w:rPr>
                <w:color w:val="000000"/>
                <w:kern w:val="0"/>
                <w:sz w:val="18"/>
                <w:szCs w:val="18"/>
              </w:rPr>
            </w:pPr>
            <w:r>
              <w:rPr>
                <w:rFonts w:hint="eastAsia"/>
                <w:color w:val="000000"/>
                <w:kern w:val="0"/>
                <w:sz w:val="18"/>
                <w:szCs w:val="18"/>
              </w:rPr>
              <w:t>对评估专业人员签署本人未承办业务的评估报告或者有重大遗漏的评估报告的处罚（限房地产估价业务）</w:t>
            </w:r>
          </w:p>
        </w:tc>
      </w:tr>
      <w:tr w14:paraId="7AC33846">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12AD031D">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69ABB378">
            <w:pPr>
              <w:spacing w:line="320" w:lineRule="exact"/>
              <w:jc w:val="left"/>
              <w:rPr>
                <w:color w:val="000000"/>
                <w:kern w:val="0"/>
                <w:sz w:val="18"/>
                <w:szCs w:val="18"/>
              </w:rPr>
            </w:pPr>
            <w:r>
              <w:rPr>
                <w:rFonts w:hint="eastAsia"/>
                <w:color w:val="000000"/>
                <w:kern w:val="0"/>
                <w:sz w:val="18"/>
                <w:szCs w:val="18"/>
              </w:rPr>
              <w:t>【法律】《中华人民共和国资产评估法》</w:t>
            </w:r>
          </w:p>
          <w:p w14:paraId="1AAECE09">
            <w:pPr>
              <w:spacing w:line="320" w:lineRule="exact"/>
              <w:jc w:val="left"/>
              <w:rPr>
                <w:color w:val="000000"/>
                <w:kern w:val="0"/>
                <w:sz w:val="18"/>
                <w:szCs w:val="18"/>
              </w:rPr>
            </w:pPr>
            <w:r>
              <w:rPr>
                <w:rFonts w:hint="eastAsia"/>
                <w:color w:val="000000"/>
                <w:kern w:val="0"/>
                <w:sz w:val="18"/>
                <w:szCs w:val="18"/>
              </w:rPr>
              <w:t>第十四条　评估专业人员不得有下列行为：</w:t>
            </w:r>
          </w:p>
          <w:p w14:paraId="31099917">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签署本人未承办业务的评估报告</w:t>
            </w:r>
          </w:p>
          <w:p w14:paraId="57688F2A">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签署虚假评估报告或者有重大遗漏的评估报告</w:t>
            </w:r>
            <w:r>
              <w:rPr>
                <w:color w:val="000000"/>
                <w:kern w:val="0"/>
                <w:sz w:val="18"/>
                <w:szCs w:val="18"/>
              </w:rPr>
              <w:t>;</w:t>
            </w:r>
          </w:p>
          <w:p w14:paraId="3050F6E8">
            <w:pPr>
              <w:spacing w:line="320" w:lineRule="exact"/>
              <w:jc w:val="left"/>
              <w:rPr>
                <w:color w:val="000000"/>
                <w:kern w:val="0"/>
                <w:sz w:val="18"/>
                <w:szCs w:val="18"/>
              </w:rPr>
            </w:pP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14:paraId="5AEB4A7A">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签署本人未承办业务的评估报告或者有重大遗漏的评估报告的</w:t>
            </w:r>
            <w:r>
              <w:rPr>
                <w:color w:val="000000"/>
                <w:kern w:val="0"/>
                <w:sz w:val="18"/>
                <w:szCs w:val="18"/>
              </w:rPr>
              <w:t>;</w:t>
            </w:r>
          </w:p>
          <w:p w14:paraId="3A3E1EB7">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14:paraId="48E7A798">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14:paraId="3F4B1632">
            <w:pPr>
              <w:spacing w:line="320" w:lineRule="exact"/>
              <w:jc w:val="left"/>
              <w:rPr>
                <w:color w:val="000000"/>
                <w:kern w:val="0"/>
                <w:sz w:val="18"/>
                <w:szCs w:val="18"/>
              </w:rPr>
            </w:pPr>
            <w:r>
              <w:rPr>
                <w:rFonts w:hint="eastAsia"/>
                <w:color w:val="000000"/>
                <w:kern w:val="0"/>
                <w:sz w:val="18"/>
                <w:szCs w:val="18"/>
              </w:rPr>
              <w:t>第十七条第二款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14:paraId="15BA7EAA">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14:paraId="27CC452A">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4" w:space="0"/>
              <w:bottom w:val="single" w:color="auto" w:sz="4" w:space="0"/>
              <w:right w:val="single" w:color="auto" w:sz="4" w:space="0"/>
            </w:tcBorders>
            <w:vAlign w:val="center"/>
          </w:tcPr>
          <w:p w14:paraId="2FE98438">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4" w:space="0"/>
            </w:tcBorders>
            <w:vAlign w:val="center"/>
          </w:tcPr>
          <w:p w14:paraId="0E39F046">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14:paraId="14A76CFC">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4" w:space="0"/>
              <w:bottom w:val="single" w:color="auto" w:sz="4" w:space="0"/>
              <w:right w:val="single" w:color="auto" w:sz="4" w:space="0"/>
            </w:tcBorders>
            <w:vAlign w:val="center"/>
          </w:tcPr>
          <w:p w14:paraId="1744BB12">
            <w:pPr>
              <w:spacing w:line="320" w:lineRule="exact"/>
              <w:jc w:val="center"/>
              <w:rPr>
                <w:color w:val="000000"/>
                <w:kern w:val="0"/>
                <w:sz w:val="18"/>
                <w:szCs w:val="18"/>
              </w:rPr>
            </w:pPr>
            <w:r>
              <w:rPr>
                <w:rFonts w:hint="eastAsia"/>
                <w:color w:val="000000"/>
                <w:kern w:val="0"/>
                <w:sz w:val="18"/>
                <w:szCs w:val="18"/>
              </w:rPr>
              <w:t>裁量基准</w:t>
            </w:r>
          </w:p>
        </w:tc>
      </w:tr>
      <w:tr w14:paraId="26AE6323">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bottom w:val="single" w:color="auto" w:sz="4" w:space="0"/>
              <w:right w:val="single" w:color="auto" w:sz="4" w:space="0"/>
            </w:tcBorders>
            <w:vAlign w:val="center"/>
          </w:tcPr>
          <w:p w14:paraId="417B93FA">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7BBCAB4">
            <w:pPr>
              <w:spacing w:line="320" w:lineRule="exact"/>
              <w:jc w:val="left"/>
              <w:rPr>
                <w:color w:val="000000"/>
                <w:kern w:val="0"/>
                <w:sz w:val="18"/>
                <w:szCs w:val="18"/>
              </w:rPr>
            </w:pPr>
            <w:r>
              <w:rPr>
                <w:rFonts w:hint="eastAsia"/>
                <w:color w:val="000000"/>
              </w:rPr>
              <w:t>按照要求改正的</w:t>
            </w:r>
            <w:r>
              <w:rPr>
                <w:color w:val="000000"/>
              </w:rPr>
              <w:t xml:space="preserve"> </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36A4BD98">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0AFB0929">
            <w:pPr>
              <w:spacing w:line="320" w:lineRule="exact"/>
              <w:jc w:val="left"/>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14:paraId="418EB712">
        <w:tblPrEx>
          <w:tblCellMar>
            <w:top w:w="0" w:type="dxa"/>
            <w:left w:w="108" w:type="dxa"/>
            <w:bottom w:w="0" w:type="dxa"/>
            <w:right w:w="108" w:type="dxa"/>
          </w:tblCellMar>
        </w:tblPrEx>
        <w:trPr>
          <w:trHeight w:val="660" w:hRule="atLeast"/>
        </w:trPr>
        <w:tc>
          <w:tcPr>
            <w:tcW w:w="1030" w:type="dxa"/>
            <w:vMerge w:val="continue"/>
            <w:tcBorders>
              <w:top w:val="single" w:color="auto" w:sz="4" w:space="0"/>
              <w:left w:val="single" w:color="auto" w:sz="4" w:space="0"/>
              <w:bottom w:val="single" w:color="auto" w:sz="4" w:space="0"/>
              <w:right w:val="single" w:color="auto" w:sz="4" w:space="0"/>
            </w:tcBorders>
            <w:vAlign w:val="center"/>
          </w:tcPr>
          <w:p w14:paraId="10A0527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0E52F23">
            <w:pPr>
              <w:spacing w:line="320" w:lineRule="exact"/>
              <w:jc w:val="left"/>
              <w:rPr>
                <w:color w:val="000000"/>
                <w:kern w:val="0"/>
                <w:sz w:val="18"/>
                <w:szCs w:val="18"/>
              </w:rPr>
            </w:pPr>
            <w:r>
              <w:rPr>
                <w:rFonts w:hint="eastAsia"/>
                <w:color w:val="000000"/>
              </w:rPr>
              <w:t>未按要求改正的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18919D40">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2C9711F0">
            <w:pPr>
              <w:spacing w:line="320" w:lineRule="exact"/>
              <w:jc w:val="left"/>
              <w:rPr>
                <w:color w:val="000000"/>
              </w:rPr>
            </w:pPr>
            <w:r>
              <w:rPr>
                <w:rFonts w:hint="eastAsia"/>
                <w:color w:val="000000"/>
              </w:rPr>
              <w:t>处</w:t>
            </w:r>
            <w:r>
              <w:rPr>
                <w:color w:val="000000"/>
              </w:rPr>
              <w:t>2</w:t>
            </w:r>
            <w:r>
              <w:rPr>
                <w:rFonts w:hint="eastAsia"/>
                <w:color w:val="000000"/>
              </w:rPr>
              <w:t>万元</w:t>
            </w:r>
            <w:r>
              <w:rPr>
                <w:color w:val="000000"/>
              </w:rPr>
              <w:t>3</w:t>
            </w:r>
            <w:r>
              <w:rPr>
                <w:rFonts w:hint="eastAsia"/>
                <w:color w:val="000000"/>
              </w:rPr>
              <w:t>万元以下罚款</w:t>
            </w:r>
          </w:p>
        </w:tc>
      </w:tr>
    </w:tbl>
    <w:p w14:paraId="6C897A29"/>
    <w:p w14:paraId="64DC50A9"/>
    <w:p w14:paraId="42F9905C"/>
    <w:p w14:paraId="44DDEFC6"/>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6563270A">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780A8C54">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53424DCB">
            <w:pPr>
              <w:spacing w:line="320" w:lineRule="exact"/>
              <w:jc w:val="left"/>
              <w:rPr>
                <w:rFonts w:eastAsia="仿宋_GB2312"/>
                <w:b/>
                <w:bCs/>
                <w:color w:val="000000"/>
                <w:kern w:val="0"/>
                <w:sz w:val="18"/>
                <w:szCs w:val="18"/>
              </w:rPr>
            </w:pPr>
            <w:r>
              <w:rPr>
                <w:rFonts w:eastAsia="仿宋_GB2312"/>
                <w:b/>
                <w:bCs/>
                <w:color w:val="000000"/>
                <w:kern w:val="0"/>
                <w:sz w:val="18"/>
                <w:szCs w:val="18"/>
              </w:rPr>
              <w:t>320217723000</w:t>
            </w:r>
          </w:p>
        </w:tc>
      </w:tr>
      <w:tr w14:paraId="40A4765F">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E4BE408">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05C50A2C">
            <w:pPr>
              <w:spacing w:line="320" w:lineRule="exact"/>
              <w:jc w:val="left"/>
              <w:rPr>
                <w:color w:val="000000"/>
                <w:kern w:val="0"/>
                <w:sz w:val="18"/>
                <w:szCs w:val="18"/>
              </w:rPr>
            </w:pPr>
            <w:r>
              <w:rPr>
                <w:rFonts w:hint="eastAsia"/>
                <w:color w:val="000000"/>
                <w:kern w:val="0"/>
                <w:sz w:val="18"/>
                <w:szCs w:val="18"/>
              </w:rPr>
              <w:t>对评估机构受理与自身有利害关系的业务的处罚（限房地产估价业务）</w:t>
            </w:r>
          </w:p>
        </w:tc>
      </w:tr>
      <w:tr w14:paraId="4080888F">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09517F57">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19C2BFE6">
            <w:pPr>
              <w:spacing w:line="320" w:lineRule="exact"/>
              <w:jc w:val="left"/>
              <w:rPr>
                <w:color w:val="000000"/>
                <w:kern w:val="0"/>
                <w:sz w:val="18"/>
                <w:szCs w:val="18"/>
              </w:rPr>
            </w:pPr>
            <w:r>
              <w:rPr>
                <w:rFonts w:hint="eastAsia"/>
                <w:color w:val="000000"/>
                <w:kern w:val="0"/>
                <w:sz w:val="18"/>
                <w:szCs w:val="18"/>
              </w:rPr>
              <w:t>【法律】《中华人民共和国资产评估法》</w:t>
            </w:r>
          </w:p>
          <w:p w14:paraId="65F99752">
            <w:pPr>
              <w:spacing w:line="320" w:lineRule="exact"/>
              <w:jc w:val="left"/>
              <w:rPr>
                <w:color w:val="000000"/>
                <w:kern w:val="0"/>
                <w:sz w:val="18"/>
                <w:szCs w:val="18"/>
              </w:rPr>
            </w:pPr>
            <w:r>
              <w:rPr>
                <w:rFonts w:hint="eastAsia"/>
                <w:color w:val="000000"/>
                <w:kern w:val="0"/>
                <w:sz w:val="18"/>
                <w:szCs w:val="18"/>
              </w:rPr>
              <w:t>第二十条　评估机构不得有下列行为：</w:t>
            </w:r>
          </w:p>
          <w:p w14:paraId="53DBB663">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受理与自身有利害关系的业务</w:t>
            </w:r>
            <w:r>
              <w:rPr>
                <w:color w:val="000000"/>
                <w:kern w:val="0"/>
                <w:sz w:val="18"/>
                <w:szCs w:val="18"/>
              </w:rPr>
              <w:t>;</w:t>
            </w:r>
          </w:p>
          <w:p w14:paraId="247C256F">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14:paraId="77B0A169">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受理与自身有利害关系的业务的</w:t>
            </w:r>
            <w:r>
              <w:rPr>
                <w:color w:val="000000"/>
                <w:kern w:val="0"/>
                <w:sz w:val="18"/>
                <w:szCs w:val="18"/>
              </w:rPr>
              <w:t>;</w:t>
            </w:r>
          </w:p>
        </w:tc>
      </w:tr>
      <w:tr w14:paraId="369BCC34">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6987B202">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1945AE8F">
            <w:pPr>
              <w:spacing w:line="320" w:lineRule="exact"/>
              <w:jc w:val="left"/>
              <w:rPr>
                <w:color w:val="000000"/>
                <w:kern w:val="0"/>
                <w:sz w:val="18"/>
                <w:szCs w:val="18"/>
              </w:rPr>
            </w:pPr>
            <w:r>
              <w:rPr>
                <w:rFonts w:hint="eastAsia"/>
                <w:color w:val="000000"/>
                <w:kern w:val="0"/>
                <w:sz w:val="18"/>
                <w:szCs w:val="18"/>
              </w:rPr>
              <w:t>警告，没收违法所得，责令停业，罚款</w:t>
            </w:r>
          </w:p>
        </w:tc>
      </w:tr>
      <w:tr w14:paraId="1C5F2B13">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09644DF9">
            <w:pPr>
              <w:spacing w:line="320" w:lineRule="exact"/>
              <w:jc w:val="center"/>
              <w:rPr>
                <w:color w:val="000000"/>
                <w:kern w:val="0"/>
                <w:sz w:val="18"/>
                <w:szCs w:val="18"/>
              </w:rPr>
            </w:pPr>
            <w:r>
              <w:rPr>
                <w:rFonts w:hint="eastAsia"/>
                <w:color w:val="000000"/>
                <w:kern w:val="0"/>
                <w:sz w:val="18"/>
                <w:szCs w:val="18"/>
              </w:rPr>
              <w:t>裁量基准</w:t>
            </w:r>
          </w:p>
        </w:tc>
      </w:tr>
      <w:tr w14:paraId="67F0910B">
        <w:tblPrEx>
          <w:tblCellMar>
            <w:top w:w="0" w:type="dxa"/>
            <w:left w:w="108" w:type="dxa"/>
            <w:bottom w:w="0" w:type="dxa"/>
            <w:right w:w="108" w:type="dxa"/>
          </w:tblCellMar>
        </w:tblPrEx>
        <w:trPr>
          <w:trHeight w:val="650" w:hRule="atLeast"/>
        </w:trPr>
        <w:tc>
          <w:tcPr>
            <w:tcW w:w="1030" w:type="dxa"/>
            <w:vMerge w:val="restart"/>
            <w:tcBorders>
              <w:top w:val="single" w:color="auto" w:sz="4" w:space="0"/>
              <w:left w:val="single" w:color="auto" w:sz="4" w:space="0"/>
              <w:right w:val="single" w:color="auto" w:sz="4" w:space="0"/>
            </w:tcBorders>
            <w:vAlign w:val="center"/>
          </w:tcPr>
          <w:p w14:paraId="2FE168C7">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63CDB3FF">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color="auto" w:sz="4" w:space="0"/>
              <w:left w:val="single" w:color="auto" w:sz="4" w:space="0"/>
              <w:right w:val="single" w:color="auto" w:sz="4" w:space="0"/>
            </w:tcBorders>
            <w:vAlign w:val="center"/>
          </w:tcPr>
          <w:p w14:paraId="2EEC02C2">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322BB88B">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23F7992F">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1CC62FA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DCBB51D">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val="continue"/>
            <w:tcBorders>
              <w:left w:val="single" w:color="auto" w:sz="4" w:space="0"/>
              <w:bottom w:val="single" w:color="auto" w:sz="4" w:space="0"/>
              <w:right w:val="single" w:color="auto" w:sz="4" w:space="0"/>
            </w:tcBorders>
            <w:vAlign w:val="center"/>
          </w:tcPr>
          <w:p w14:paraId="18602480">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154E47F6">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53B41A0A"/>
    <w:p w14:paraId="314805BE"/>
    <w:p w14:paraId="7A90AB90"/>
    <w:p w14:paraId="6435C569"/>
    <w:p w14:paraId="75149380"/>
    <w:p w14:paraId="4C23FF49"/>
    <w:p w14:paraId="126632AD"/>
    <w:p w14:paraId="0224732D"/>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5210A7E1">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0051EC79">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6A364149">
            <w:pPr>
              <w:spacing w:line="320" w:lineRule="exact"/>
              <w:jc w:val="left"/>
              <w:rPr>
                <w:rFonts w:eastAsia="仿宋_GB2312"/>
                <w:b/>
                <w:bCs/>
                <w:color w:val="000000"/>
                <w:kern w:val="0"/>
                <w:sz w:val="18"/>
                <w:szCs w:val="18"/>
              </w:rPr>
            </w:pPr>
            <w:r>
              <w:rPr>
                <w:rFonts w:eastAsia="仿宋_GB2312"/>
                <w:b/>
                <w:bCs/>
                <w:color w:val="000000"/>
                <w:kern w:val="0"/>
                <w:sz w:val="18"/>
                <w:szCs w:val="18"/>
              </w:rPr>
              <w:t>320217724000</w:t>
            </w:r>
          </w:p>
        </w:tc>
      </w:tr>
      <w:tr w14:paraId="49AB1694">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7C79A21F">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041CB55C">
            <w:pPr>
              <w:spacing w:line="320" w:lineRule="exact"/>
              <w:jc w:val="left"/>
              <w:rPr>
                <w:color w:val="000000"/>
                <w:kern w:val="0"/>
                <w:sz w:val="18"/>
                <w:szCs w:val="18"/>
              </w:rPr>
            </w:pPr>
            <w:r>
              <w:rPr>
                <w:rFonts w:hint="eastAsia"/>
                <w:color w:val="000000"/>
                <w:kern w:val="0"/>
                <w:sz w:val="18"/>
                <w:szCs w:val="18"/>
              </w:rPr>
              <w:t>对评估机构分别接受利益冲突双方的委托，对同一评估对象进行评估的处罚（限房地产估价业务）</w:t>
            </w:r>
          </w:p>
        </w:tc>
      </w:tr>
      <w:tr w14:paraId="458FDEF3">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7BE0C43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7EB78E72">
            <w:pPr>
              <w:spacing w:line="320" w:lineRule="exact"/>
              <w:jc w:val="left"/>
              <w:rPr>
                <w:color w:val="000000"/>
                <w:kern w:val="0"/>
                <w:sz w:val="18"/>
                <w:szCs w:val="18"/>
              </w:rPr>
            </w:pPr>
            <w:r>
              <w:rPr>
                <w:rFonts w:hint="eastAsia"/>
                <w:color w:val="000000"/>
                <w:kern w:val="0"/>
                <w:sz w:val="18"/>
                <w:szCs w:val="18"/>
              </w:rPr>
              <w:t>【法律】《中华人民共和国资产评估法》</w:t>
            </w:r>
          </w:p>
          <w:p w14:paraId="3AFC1552">
            <w:pPr>
              <w:spacing w:line="320" w:lineRule="exact"/>
              <w:jc w:val="left"/>
              <w:rPr>
                <w:color w:val="000000"/>
                <w:kern w:val="0"/>
                <w:sz w:val="18"/>
                <w:szCs w:val="18"/>
              </w:rPr>
            </w:pPr>
            <w:r>
              <w:rPr>
                <w:rFonts w:hint="eastAsia"/>
                <w:color w:val="000000"/>
                <w:kern w:val="0"/>
                <w:sz w:val="18"/>
                <w:szCs w:val="18"/>
              </w:rPr>
              <w:t>第二十条　评估机构不得有下列行为：</w:t>
            </w:r>
          </w:p>
          <w:p w14:paraId="008C711C">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分别接受利益冲突双方的委托，对同一评估对象进行评估</w:t>
            </w:r>
            <w:r>
              <w:rPr>
                <w:color w:val="000000"/>
                <w:kern w:val="0"/>
                <w:sz w:val="18"/>
                <w:szCs w:val="18"/>
              </w:rPr>
              <w:t>;</w:t>
            </w:r>
          </w:p>
          <w:p w14:paraId="25C874A0">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14:paraId="64F380FC">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分别接受利益冲突双方的委托，对同一评估对象进行评估的</w:t>
            </w:r>
            <w:r>
              <w:rPr>
                <w:color w:val="000000"/>
                <w:kern w:val="0"/>
                <w:sz w:val="18"/>
                <w:szCs w:val="18"/>
              </w:rPr>
              <w:t>;</w:t>
            </w:r>
          </w:p>
          <w:p w14:paraId="5222522D">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14:paraId="12CB96F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7E3C135D">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457A4D45">
            <w:pPr>
              <w:spacing w:line="320" w:lineRule="exact"/>
              <w:jc w:val="left"/>
              <w:rPr>
                <w:color w:val="000000"/>
                <w:kern w:val="0"/>
                <w:sz w:val="18"/>
                <w:szCs w:val="18"/>
              </w:rPr>
            </w:pPr>
            <w:r>
              <w:rPr>
                <w:rFonts w:hint="eastAsia"/>
                <w:color w:val="000000"/>
                <w:kern w:val="0"/>
                <w:sz w:val="18"/>
                <w:szCs w:val="18"/>
              </w:rPr>
              <w:t>警告，没收违法所得，责令停业，罚款</w:t>
            </w:r>
          </w:p>
        </w:tc>
      </w:tr>
      <w:tr w14:paraId="5CA48E68">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521E560E">
            <w:pPr>
              <w:spacing w:line="320" w:lineRule="exact"/>
              <w:jc w:val="center"/>
              <w:rPr>
                <w:color w:val="000000"/>
                <w:kern w:val="0"/>
                <w:sz w:val="18"/>
                <w:szCs w:val="18"/>
              </w:rPr>
            </w:pPr>
            <w:r>
              <w:rPr>
                <w:rFonts w:hint="eastAsia"/>
                <w:color w:val="000000"/>
                <w:kern w:val="0"/>
                <w:sz w:val="18"/>
                <w:szCs w:val="18"/>
              </w:rPr>
              <w:t>裁量基准</w:t>
            </w:r>
          </w:p>
        </w:tc>
      </w:tr>
      <w:tr w14:paraId="541057EE">
        <w:tblPrEx>
          <w:tblCellMar>
            <w:top w:w="0" w:type="dxa"/>
            <w:left w:w="108" w:type="dxa"/>
            <w:bottom w:w="0" w:type="dxa"/>
            <w:right w:w="108" w:type="dxa"/>
          </w:tblCellMar>
        </w:tblPrEx>
        <w:trPr>
          <w:trHeight w:val="650" w:hRule="atLeast"/>
        </w:trPr>
        <w:tc>
          <w:tcPr>
            <w:tcW w:w="1030" w:type="dxa"/>
            <w:vMerge w:val="restart"/>
            <w:tcBorders>
              <w:top w:val="single" w:color="auto" w:sz="4" w:space="0"/>
              <w:left w:val="single" w:color="auto" w:sz="4" w:space="0"/>
              <w:right w:val="single" w:color="auto" w:sz="4" w:space="0"/>
            </w:tcBorders>
            <w:vAlign w:val="center"/>
          </w:tcPr>
          <w:p w14:paraId="78D08D6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414C36B8">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color="auto" w:sz="4" w:space="0"/>
              <w:left w:val="single" w:color="auto" w:sz="4" w:space="0"/>
              <w:right w:val="single" w:color="auto" w:sz="4" w:space="0"/>
            </w:tcBorders>
            <w:vAlign w:val="center"/>
          </w:tcPr>
          <w:p w14:paraId="0FF337A6">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4D454D1B">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4C11E148">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0370DC6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6327C74">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val="continue"/>
            <w:tcBorders>
              <w:left w:val="single" w:color="auto" w:sz="4" w:space="0"/>
              <w:bottom w:val="single" w:color="auto" w:sz="4" w:space="0"/>
              <w:right w:val="single" w:color="auto" w:sz="4" w:space="0"/>
            </w:tcBorders>
            <w:vAlign w:val="center"/>
          </w:tcPr>
          <w:p w14:paraId="53002DC4">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8B34EE2">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5CF4F7C7"/>
    <w:p w14:paraId="37587BC5"/>
    <w:p w14:paraId="26626A5D"/>
    <w:p w14:paraId="70B7A02A"/>
    <w:p w14:paraId="1286B35D"/>
    <w:p w14:paraId="0FF24704"/>
    <w:p w14:paraId="70201C5A"/>
    <w:p w14:paraId="4792F8E9"/>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6A4E7707">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253FE23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33F436A3">
            <w:pPr>
              <w:spacing w:line="320" w:lineRule="exact"/>
              <w:jc w:val="left"/>
              <w:rPr>
                <w:rFonts w:eastAsia="仿宋_GB2312"/>
                <w:b/>
                <w:bCs/>
                <w:color w:val="000000"/>
                <w:kern w:val="0"/>
                <w:sz w:val="18"/>
                <w:szCs w:val="18"/>
              </w:rPr>
            </w:pPr>
            <w:r>
              <w:rPr>
                <w:rFonts w:eastAsia="仿宋_GB2312"/>
                <w:b/>
                <w:bCs/>
                <w:color w:val="000000"/>
                <w:kern w:val="0"/>
                <w:sz w:val="18"/>
                <w:szCs w:val="18"/>
              </w:rPr>
              <w:t>320217725000</w:t>
            </w:r>
          </w:p>
        </w:tc>
      </w:tr>
      <w:tr w14:paraId="720DC6CD">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E599EC2">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29300E84">
            <w:pPr>
              <w:spacing w:line="320" w:lineRule="exact"/>
              <w:jc w:val="left"/>
              <w:rPr>
                <w:color w:val="000000"/>
                <w:kern w:val="0"/>
                <w:sz w:val="18"/>
                <w:szCs w:val="18"/>
              </w:rPr>
            </w:pPr>
            <w:r>
              <w:rPr>
                <w:rFonts w:hint="eastAsia"/>
                <w:color w:val="000000"/>
                <w:kern w:val="0"/>
                <w:sz w:val="18"/>
                <w:szCs w:val="18"/>
              </w:rPr>
              <w:t>对评估机构出具有重大遗漏的评估报告的处罚（限房地产估价业务）</w:t>
            </w:r>
          </w:p>
        </w:tc>
      </w:tr>
      <w:tr w14:paraId="6F71AC65">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1F1C5F79">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329CDD53">
            <w:pPr>
              <w:spacing w:line="320" w:lineRule="exact"/>
              <w:jc w:val="left"/>
              <w:rPr>
                <w:color w:val="000000"/>
                <w:kern w:val="0"/>
                <w:sz w:val="18"/>
                <w:szCs w:val="18"/>
              </w:rPr>
            </w:pPr>
            <w:r>
              <w:rPr>
                <w:rFonts w:hint="eastAsia"/>
                <w:color w:val="000000"/>
                <w:kern w:val="0"/>
                <w:sz w:val="18"/>
                <w:szCs w:val="18"/>
              </w:rPr>
              <w:t>【法律】《中华人民共和国资产评估法》</w:t>
            </w:r>
          </w:p>
          <w:p w14:paraId="6F08C140">
            <w:pPr>
              <w:spacing w:line="320" w:lineRule="exact"/>
              <w:jc w:val="left"/>
              <w:rPr>
                <w:color w:val="000000"/>
                <w:kern w:val="0"/>
                <w:sz w:val="18"/>
                <w:szCs w:val="18"/>
              </w:rPr>
            </w:pPr>
            <w:r>
              <w:rPr>
                <w:rFonts w:hint="eastAsia"/>
                <w:color w:val="000000"/>
                <w:kern w:val="0"/>
                <w:sz w:val="18"/>
                <w:szCs w:val="18"/>
              </w:rPr>
              <w:t>第二十条　评估机构不得有下列行为：</w:t>
            </w:r>
          </w:p>
          <w:p w14:paraId="1C3AF70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（六）出具虚假评估报告或者有重大遗漏的评估报告</w:t>
            </w:r>
          </w:p>
          <w:p w14:paraId="00583ABC">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14:paraId="229C9D1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w:t>
            </w:r>
            <w:r>
              <w:rPr>
                <w:color w:val="000000"/>
                <w:kern w:val="0"/>
                <w:sz w:val="18"/>
                <w:szCs w:val="18"/>
              </w:rPr>
              <w:t>）</w:t>
            </w:r>
            <w:r>
              <w:rPr>
                <w:rFonts w:hint="eastAsia"/>
                <w:color w:val="000000"/>
                <w:kern w:val="0"/>
                <w:sz w:val="18"/>
                <w:szCs w:val="18"/>
              </w:rPr>
              <w:t>出具有重大遗漏的评估报告的</w:t>
            </w:r>
            <w:r>
              <w:rPr>
                <w:color w:val="000000"/>
                <w:kern w:val="0"/>
                <w:sz w:val="18"/>
                <w:szCs w:val="18"/>
              </w:rPr>
              <w:t>;</w:t>
            </w:r>
          </w:p>
          <w:p w14:paraId="2F47A61F">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14:paraId="5BFA3E03">
            <w:pPr>
              <w:spacing w:line="320" w:lineRule="exact"/>
              <w:jc w:val="left"/>
              <w:rPr>
                <w:color w:val="000000"/>
                <w:kern w:val="0"/>
                <w:sz w:val="18"/>
                <w:szCs w:val="18"/>
              </w:rPr>
            </w:pPr>
            <w:r>
              <w:rPr>
                <w:rFonts w:hint="eastAsia"/>
                <w:color w:val="000000"/>
                <w:kern w:val="0"/>
                <w:sz w:val="18"/>
                <w:szCs w:val="18"/>
              </w:rPr>
              <w:t>第十七条第二款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14:paraId="56760AEC">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14:paraId="65A4DB54">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6A0EEE0E">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6A22047B">
            <w:pPr>
              <w:spacing w:line="320" w:lineRule="exact"/>
              <w:jc w:val="left"/>
              <w:rPr>
                <w:color w:val="000000"/>
                <w:kern w:val="0"/>
                <w:sz w:val="18"/>
                <w:szCs w:val="18"/>
              </w:rPr>
            </w:pPr>
            <w:r>
              <w:rPr>
                <w:rFonts w:hint="eastAsia"/>
                <w:color w:val="000000"/>
                <w:kern w:val="0"/>
                <w:sz w:val="18"/>
                <w:szCs w:val="18"/>
              </w:rPr>
              <w:t>警告，没收违法所得，责令停业，罚款，吊销注册证书</w:t>
            </w:r>
          </w:p>
        </w:tc>
      </w:tr>
      <w:tr w14:paraId="540DBC5E">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120C92B8">
            <w:pPr>
              <w:spacing w:line="320" w:lineRule="exact"/>
              <w:jc w:val="center"/>
              <w:rPr>
                <w:color w:val="000000"/>
                <w:kern w:val="0"/>
                <w:sz w:val="18"/>
                <w:szCs w:val="18"/>
              </w:rPr>
            </w:pPr>
            <w:r>
              <w:rPr>
                <w:rFonts w:hint="eastAsia"/>
                <w:color w:val="000000"/>
                <w:kern w:val="0"/>
                <w:sz w:val="18"/>
                <w:szCs w:val="18"/>
              </w:rPr>
              <w:t>裁量基准</w:t>
            </w:r>
          </w:p>
        </w:tc>
      </w:tr>
      <w:tr w14:paraId="4E5BBE14">
        <w:tblPrEx>
          <w:tblCellMar>
            <w:top w:w="0" w:type="dxa"/>
            <w:left w:w="108" w:type="dxa"/>
            <w:bottom w:w="0" w:type="dxa"/>
            <w:right w:w="108" w:type="dxa"/>
          </w:tblCellMar>
        </w:tblPrEx>
        <w:trPr>
          <w:trHeight w:val="650" w:hRule="atLeast"/>
        </w:trPr>
        <w:tc>
          <w:tcPr>
            <w:tcW w:w="1030" w:type="dxa"/>
            <w:vMerge w:val="restart"/>
            <w:tcBorders>
              <w:top w:val="single" w:color="auto" w:sz="4" w:space="0"/>
              <w:left w:val="single" w:color="auto" w:sz="4" w:space="0"/>
              <w:right w:val="single" w:color="auto" w:sz="4" w:space="0"/>
            </w:tcBorders>
            <w:vAlign w:val="center"/>
          </w:tcPr>
          <w:p w14:paraId="2789EB61">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63AB6097">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color="auto" w:sz="4" w:space="0"/>
              <w:left w:val="single" w:color="auto" w:sz="4" w:space="0"/>
              <w:right w:val="single" w:color="auto" w:sz="4" w:space="0"/>
            </w:tcBorders>
            <w:vAlign w:val="center"/>
          </w:tcPr>
          <w:p w14:paraId="7EE0FBBB">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4EA44DB2">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7CF352A4">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404089C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DD016AC">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val="continue"/>
            <w:tcBorders>
              <w:left w:val="single" w:color="auto" w:sz="4" w:space="0"/>
              <w:bottom w:val="single" w:color="auto" w:sz="4" w:space="0"/>
              <w:right w:val="single" w:color="auto" w:sz="4" w:space="0"/>
            </w:tcBorders>
            <w:vAlign w:val="center"/>
          </w:tcPr>
          <w:p w14:paraId="31CEC7CC">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D17D7F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7AB7BBE0"/>
    <w:p w14:paraId="6D2EEB53"/>
    <w:p w14:paraId="250C9324"/>
    <w:p w14:paraId="51DF0A07"/>
    <w:p w14:paraId="2F754B10"/>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0C35B86">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41B6F7B0">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2E2FD2A8">
            <w:pPr>
              <w:spacing w:line="320" w:lineRule="exact"/>
              <w:jc w:val="left"/>
              <w:rPr>
                <w:rFonts w:eastAsia="仿宋_GB2312"/>
                <w:b/>
                <w:bCs/>
                <w:color w:val="000000"/>
                <w:kern w:val="0"/>
                <w:sz w:val="18"/>
                <w:szCs w:val="18"/>
              </w:rPr>
            </w:pPr>
            <w:r>
              <w:rPr>
                <w:rFonts w:eastAsia="仿宋_GB2312"/>
                <w:b/>
                <w:bCs/>
                <w:color w:val="000000"/>
                <w:kern w:val="0"/>
                <w:sz w:val="18"/>
                <w:szCs w:val="18"/>
              </w:rPr>
              <w:t>320217726000</w:t>
            </w:r>
          </w:p>
        </w:tc>
      </w:tr>
      <w:tr w14:paraId="0C5166F7">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246ECB9">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75603565">
            <w:pPr>
              <w:spacing w:line="320" w:lineRule="exact"/>
              <w:jc w:val="left"/>
              <w:rPr>
                <w:color w:val="000000"/>
                <w:kern w:val="0"/>
                <w:sz w:val="18"/>
                <w:szCs w:val="18"/>
              </w:rPr>
            </w:pPr>
            <w:r>
              <w:rPr>
                <w:rFonts w:hint="eastAsia"/>
                <w:color w:val="000000"/>
                <w:kern w:val="0"/>
                <w:sz w:val="18"/>
                <w:szCs w:val="18"/>
              </w:rPr>
              <w:t>对评估机构出具虚假评估报告的处罚（限房地产估价业务）</w:t>
            </w:r>
          </w:p>
        </w:tc>
      </w:tr>
      <w:tr w14:paraId="5C8BD922">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2D2F0980">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76C39410">
            <w:pPr>
              <w:spacing w:line="320" w:lineRule="exact"/>
              <w:jc w:val="left"/>
              <w:rPr>
                <w:color w:val="000000"/>
                <w:kern w:val="0"/>
                <w:sz w:val="18"/>
                <w:szCs w:val="18"/>
              </w:rPr>
            </w:pPr>
            <w:r>
              <w:rPr>
                <w:rFonts w:hint="eastAsia"/>
                <w:color w:val="000000"/>
                <w:kern w:val="0"/>
                <w:sz w:val="18"/>
                <w:szCs w:val="18"/>
              </w:rPr>
              <w:t>【法律】《中华人民共和国资产评估法》</w:t>
            </w:r>
          </w:p>
          <w:p w14:paraId="400C0DF3">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14:paraId="089B7FFF">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出具虚假评估报告或者有重大遗漏的评估报告；</w:t>
            </w:r>
          </w:p>
          <w:p w14:paraId="39D4F8F8">
            <w:pPr>
              <w:spacing w:line="320" w:lineRule="exact"/>
              <w:jc w:val="left"/>
              <w:rPr>
                <w:color w:val="000000"/>
                <w:kern w:val="0"/>
                <w:sz w:val="18"/>
                <w:szCs w:val="18"/>
              </w:rPr>
            </w:pPr>
            <w:r>
              <w:rPr>
                <w:rFonts w:hint="eastAsia"/>
                <w:color w:val="000000"/>
                <w:kern w:val="0"/>
                <w:sz w:val="18"/>
                <w:szCs w:val="18"/>
              </w:rPr>
              <w:t>第四十八条　评估机构违反本法规定，出具虚假评估报告的，由有关评估行政管理部门责令停业六个月以上一年以下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14:paraId="453A76FB">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14:paraId="12B38450">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14:paraId="0335789D">
            <w:pPr>
              <w:spacing w:line="320" w:lineRule="exact"/>
              <w:jc w:val="left"/>
              <w:rPr>
                <w:color w:val="000000"/>
                <w:kern w:val="0"/>
                <w:sz w:val="18"/>
                <w:szCs w:val="18"/>
              </w:rPr>
            </w:pPr>
            <w:r>
              <w:rPr>
                <w:rFonts w:hint="eastAsia"/>
                <w:color w:val="000000"/>
                <w:kern w:val="0"/>
                <w:sz w:val="18"/>
                <w:szCs w:val="18"/>
              </w:rPr>
              <w:t>第二十条第二款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14:paraId="6CD4D0AA">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14:paraId="6F2427EB">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70C0561">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45A85070">
            <w:pPr>
              <w:spacing w:line="320" w:lineRule="exact"/>
              <w:jc w:val="left"/>
              <w:rPr>
                <w:color w:val="000000"/>
                <w:kern w:val="0"/>
                <w:sz w:val="18"/>
                <w:szCs w:val="18"/>
              </w:rPr>
            </w:pPr>
            <w:r>
              <w:rPr>
                <w:rFonts w:hint="eastAsia"/>
                <w:color w:val="000000"/>
                <w:kern w:val="0"/>
                <w:sz w:val="18"/>
                <w:szCs w:val="18"/>
              </w:rPr>
              <w:t>警告，没收违法所得，责令停业，罚款，吊销注册证书</w:t>
            </w:r>
          </w:p>
        </w:tc>
      </w:tr>
      <w:tr w14:paraId="4B74A564">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2D9B7406">
            <w:pPr>
              <w:spacing w:line="320" w:lineRule="exact"/>
              <w:jc w:val="center"/>
              <w:rPr>
                <w:color w:val="000000"/>
                <w:kern w:val="0"/>
                <w:sz w:val="18"/>
                <w:szCs w:val="18"/>
              </w:rPr>
            </w:pPr>
            <w:r>
              <w:rPr>
                <w:rFonts w:hint="eastAsia"/>
                <w:color w:val="000000"/>
                <w:kern w:val="0"/>
                <w:sz w:val="18"/>
                <w:szCs w:val="18"/>
              </w:rPr>
              <w:t>裁量基准</w:t>
            </w:r>
          </w:p>
        </w:tc>
      </w:tr>
      <w:tr w14:paraId="08D92BE0">
        <w:tblPrEx>
          <w:tblCellMar>
            <w:top w:w="0" w:type="dxa"/>
            <w:left w:w="108" w:type="dxa"/>
            <w:bottom w:w="0" w:type="dxa"/>
            <w:right w:w="108" w:type="dxa"/>
          </w:tblCellMar>
        </w:tblPrEx>
        <w:trPr>
          <w:trHeight w:val="650" w:hRule="atLeast"/>
        </w:trPr>
        <w:tc>
          <w:tcPr>
            <w:tcW w:w="1030" w:type="dxa"/>
            <w:vMerge w:val="restart"/>
            <w:tcBorders>
              <w:top w:val="single" w:color="auto" w:sz="4" w:space="0"/>
              <w:left w:val="single" w:color="auto" w:sz="4" w:space="0"/>
              <w:right w:val="single" w:color="auto" w:sz="4" w:space="0"/>
            </w:tcBorders>
            <w:vAlign w:val="center"/>
          </w:tcPr>
          <w:p w14:paraId="164E7781">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1A0E4A6B">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color="auto" w:sz="4" w:space="0"/>
              <w:left w:val="single" w:color="auto" w:sz="4" w:space="0"/>
              <w:right w:val="single" w:color="auto" w:sz="4" w:space="0"/>
            </w:tcBorders>
            <w:vAlign w:val="center"/>
          </w:tcPr>
          <w:p w14:paraId="46AD20D4">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0488AF90">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个月以下，有违法所得的，并处违法所得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75D66336">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55E6240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99080BE">
            <w:pPr>
              <w:spacing w:line="320" w:lineRule="exact"/>
              <w:jc w:val="left"/>
              <w:rPr>
                <w:color w:val="000000"/>
                <w:kern w:val="0"/>
                <w:sz w:val="18"/>
                <w:szCs w:val="18"/>
              </w:rPr>
            </w:pPr>
            <w:r>
              <w:rPr>
                <w:rFonts w:hint="eastAsia"/>
                <w:color w:val="000000"/>
                <w:kern w:val="0"/>
                <w:sz w:val="18"/>
                <w:szCs w:val="18"/>
              </w:rPr>
              <w:t>造成损失的</w:t>
            </w:r>
          </w:p>
        </w:tc>
        <w:tc>
          <w:tcPr>
            <w:tcW w:w="1080" w:type="dxa"/>
            <w:vMerge w:val="continue"/>
            <w:tcBorders>
              <w:left w:val="single" w:color="auto" w:sz="4" w:space="0"/>
              <w:bottom w:val="single" w:color="auto" w:sz="4" w:space="0"/>
              <w:right w:val="single" w:color="auto" w:sz="4" w:space="0"/>
            </w:tcBorders>
            <w:vAlign w:val="center"/>
          </w:tcPr>
          <w:p w14:paraId="0207B612">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82A5313">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个月以下，有违法所得的，并处违法所得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4303E600"/>
    <w:p w14:paraId="6480DDD6"/>
    <w:p w14:paraId="31C3153A"/>
    <w:p w14:paraId="6D9706AD"/>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4C1BEBD5">
        <w:tblPrEx>
          <w:tblCellMar>
            <w:top w:w="0" w:type="dxa"/>
            <w:left w:w="108" w:type="dxa"/>
            <w:bottom w:w="0" w:type="dxa"/>
            <w:right w:w="108" w:type="dxa"/>
          </w:tblCellMar>
        </w:tblPrEx>
        <w:trPr>
          <w:trHeight w:val="296" w:hRule="atLeast"/>
        </w:trPr>
        <w:tc>
          <w:tcPr>
            <w:tcW w:w="1000" w:type="dxa"/>
            <w:tcBorders>
              <w:top w:val="single" w:color="auto" w:sz="8" w:space="0"/>
              <w:left w:val="single" w:color="auto" w:sz="8" w:space="0"/>
              <w:bottom w:val="single" w:color="auto" w:sz="4" w:space="0"/>
              <w:right w:val="single" w:color="auto" w:sz="4" w:space="0"/>
            </w:tcBorders>
            <w:vAlign w:val="center"/>
          </w:tcPr>
          <w:p w14:paraId="324F3678">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12512D5A">
            <w:pPr>
              <w:spacing w:line="320" w:lineRule="exact"/>
              <w:jc w:val="left"/>
              <w:rPr>
                <w:rFonts w:eastAsia="仿宋_GB2312"/>
                <w:b/>
                <w:bCs/>
                <w:color w:val="000000"/>
                <w:kern w:val="0"/>
                <w:sz w:val="18"/>
                <w:szCs w:val="18"/>
              </w:rPr>
            </w:pPr>
            <w:r>
              <w:rPr>
                <w:rFonts w:eastAsia="仿宋_GB2312"/>
                <w:b/>
                <w:bCs/>
                <w:color w:val="000000"/>
                <w:kern w:val="0"/>
                <w:sz w:val="18"/>
                <w:szCs w:val="18"/>
              </w:rPr>
              <w:t>320217727000</w:t>
            </w:r>
          </w:p>
        </w:tc>
      </w:tr>
      <w:tr w14:paraId="3798C95A">
        <w:tblPrEx>
          <w:tblCellMar>
            <w:top w:w="0" w:type="dxa"/>
            <w:left w:w="108" w:type="dxa"/>
            <w:bottom w:w="0" w:type="dxa"/>
            <w:right w:w="108" w:type="dxa"/>
          </w:tblCellMar>
        </w:tblPrEx>
        <w:trPr>
          <w:trHeight w:val="285" w:hRule="atLeast"/>
        </w:trPr>
        <w:tc>
          <w:tcPr>
            <w:tcW w:w="1000" w:type="dxa"/>
            <w:tcBorders>
              <w:top w:val="nil"/>
              <w:left w:val="single" w:color="auto" w:sz="8" w:space="0"/>
              <w:bottom w:val="single" w:color="auto" w:sz="4" w:space="0"/>
              <w:right w:val="single" w:color="auto" w:sz="4" w:space="0"/>
            </w:tcBorders>
            <w:vAlign w:val="center"/>
          </w:tcPr>
          <w:p w14:paraId="0523787B">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21F6C4A1">
            <w:pPr>
              <w:spacing w:line="320" w:lineRule="exact"/>
              <w:jc w:val="left"/>
              <w:rPr>
                <w:color w:val="000000"/>
                <w:kern w:val="0"/>
                <w:sz w:val="18"/>
                <w:szCs w:val="18"/>
              </w:rPr>
            </w:pPr>
            <w:r>
              <w:rPr>
                <w:rFonts w:hint="eastAsia"/>
                <w:color w:val="000000"/>
                <w:kern w:val="0"/>
                <w:sz w:val="18"/>
                <w:szCs w:val="18"/>
              </w:rPr>
              <w:t>对应当委托评估机构进行法定评估而未委托的处罚（限房地产估价业务）</w:t>
            </w:r>
          </w:p>
        </w:tc>
      </w:tr>
      <w:tr w14:paraId="18FF92B7">
        <w:tblPrEx>
          <w:tblCellMar>
            <w:top w:w="0" w:type="dxa"/>
            <w:left w:w="108" w:type="dxa"/>
            <w:bottom w:w="0" w:type="dxa"/>
            <w:right w:w="108" w:type="dxa"/>
          </w:tblCellMar>
        </w:tblPrEx>
        <w:trPr>
          <w:trHeight w:val="1305" w:hRule="atLeast"/>
        </w:trPr>
        <w:tc>
          <w:tcPr>
            <w:tcW w:w="1000" w:type="dxa"/>
            <w:tcBorders>
              <w:top w:val="nil"/>
              <w:left w:val="single" w:color="auto" w:sz="8" w:space="0"/>
              <w:bottom w:val="single" w:color="auto" w:sz="4" w:space="0"/>
              <w:right w:val="single" w:color="auto" w:sz="4" w:space="0"/>
            </w:tcBorders>
            <w:vAlign w:val="center"/>
          </w:tcPr>
          <w:p w14:paraId="799F68AC">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4461B4E0">
            <w:pPr>
              <w:spacing w:line="320" w:lineRule="exact"/>
              <w:jc w:val="left"/>
              <w:rPr>
                <w:color w:val="000000"/>
                <w:kern w:val="0"/>
                <w:sz w:val="18"/>
                <w:szCs w:val="18"/>
              </w:rPr>
            </w:pPr>
            <w:r>
              <w:rPr>
                <w:rFonts w:hint="eastAsia"/>
                <w:color w:val="000000"/>
                <w:kern w:val="0"/>
                <w:sz w:val="18"/>
                <w:szCs w:val="18"/>
              </w:rPr>
              <w:t>【法律】《中华人民共和国资产评估法》</w:t>
            </w:r>
          </w:p>
          <w:p w14:paraId="7A730042">
            <w:pPr>
              <w:spacing w:line="320" w:lineRule="exact"/>
              <w:jc w:val="left"/>
              <w:rPr>
                <w:color w:val="000000"/>
                <w:kern w:val="0"/>
                <w:sz w:val="18"/>
                <w:szCs w:val="18"/>
              </w:rPr>
            </w:pPr>
            <w:r>
              <w:rPr>
                <w:rFonts w:hint="eastAsia"/>
                <w:color w:val="000000"/>
                <w:kern w:val="0"/>
                <w:sz w:val="18"/>
                <w:szCs w:val="18"/>
              </w:rPr>
              <w:t>第三条第二款</w:t>
            </w:r>
            <w:r>
              <w:rPr>
                <w:color w:val="000000"/>
                <w:kern w:val="0"/>
                <w:sz w:val="18"/>
                <w:szCs w:val="18"/>
              </w:rPr>
              <w:t xml:space="preserve">  </w:t>
            </w:r>
            <w:r>
              <w:rPr>
                <w:rFonts w:hint="eastAsia"/>
                <w:color w:val="000000"/>
                <w:kern w:val="0"/>
                <w:sz w:val="18"/>
                <w:szCs w:val="18"/>
              </w:rPr>
              <w:t>涉及国有资产或者公共利益等事项，法律、行政法规规定需要评估的（以下称法定评估</w:t>
            </w:r>
            <w:r>
              <w:rPr>
                <w:color w:val="000000"/>
                <w:kern w:val="0"/>
                <w:sz w:val="18"/>
                <w:szCs w:val="18"/>
              </w:rPr>
              <w:t>）,</w:t>
            </w:r>
            <w:r>
              <w:rPr>
                <w:rFonts w:hint="eastAsia"/>
                <w:color w:val="000000"/>
                <w:kern w:val="0"/>
                <w:sz w:val="18"/>
                <w:szCs w:val="18"/>
              </w:rPr>
              <w:t>应当依法委托评估机构评估。</w:t>
            </w:r>
          </w:p>
          <w:p w14:paraId="1C3ABADB">
            <w:pPr>
              <w:spacing w:line="320" w:lineRule="exact"/>
              <w:jc w:val="left"/>
              <w:rPr>
                <w:color w:val="000000"/>
                <w:kern w:val="0"/>
                <w:sz w:val="18"/>
                <w:szCs w:val="18"/>
              </w:rPr>
            </w:pPr>
            <w:r>
              <w:rPr>
                <w:rFonts w:hint="eastAsia"/>
                <w:color w:val="000000"/>
                <w:kern w:val="0"/>
                <w:sz w:val="18"/>
                <w:szCs w:val="18"/>
              </w:rPr>
              <w:t>第五十一条　违反本法规定，应当委托评估机构进行法定评估而未委托的，由有关部门责令改正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tc>
      </w:tr>
      <w:tr w14:paraId="57607AC6">
        <w:tblPrEx>
          <w:tblCellMar>
            <w:top w:w="0" w:type="dxa"/>
            <w:left w:w="108" w:type="dxa"/>
            <w:bottom w:w="0" w:type="dxa"/>
            <w:right w:w="108" w:type="dxa"/>
          </w:tblCellMar>
        </w:tblPrEx>
        <w:trPr>
          <w:trHeight w:val="285" w:hRule="atLeast"/>
        </w:trPr>
        <w:tc>
          <w:tcPr>
            <w:tcW w:w="1000" w:type="dxa"/>
            <w:tcBorders>
              <w:top w:val="nil"/>
              <w:left w:val="single" w:color="auto" w:sz="8" w:space="0"/>
              <w:bottom w:val="single" w:color="auto" w:sz="4" w:space="0"/>
              <w:right w:val="single" w:color="auto" w:sz="4" w:space="0"/>
            </w:tcBorders>
            <w:vAlign w:val="center"/>
          </w:tcPr>
          <w:p w14:paraId="0B402758">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35B67532">
            <w:pPr>
              <w:spacing w:line="320" w:lineRule="exact"/>
              <w:jc w:val="left"/>
              <w:rPr>
                <w:color w:val="000000"/>
                <w:kern w:val="0"/>
                <w:sz w:val="18"/>
                <w:szCs w:val="18"/>
              </w:rPr>
            </w:pPr>
            <w:r>
              <w:rPr>
                <w:rFonts w:hint="eastAsia"/>
                <w:color w:val="000000"/>
                <w:kern w:val="0"/>
                <w:sz w:val="18"/>
                <w:szCs w:val="18"/>
              </w:rPr>
              <w:t>罚款</w:t>
            </w:r>
          </w:p>
        </w:tc>
      </w:tr>
      <w:tr w14:paraId="20A7C1A3">
        <w:tblPrEx>
          <w:tblCellMar>
            <w:top w:w="0" w:type="dxa"/>
            <w:left w:w="108" w:type="dxa"/>
            <w:bottom w:w="0" w:type="dxa"/>
            <w:right w:w="108" w:type="dxa"/>
          </w:tblCellMar>
        </w:tblPrEx>
        <w:trPr>
          <w:trHeight w:val="285" w:hRule="atLeast"/>
        </w:trPr>
        <w:tc>
          <w:tcPr>
            <w:tcW w:w="14040" w:type="dxa"/>
            <w:gridSpan w:val="4"/>
            <w:tcBorders>
              <w:top w:val="single" w:color="auto" w:sz="4" w:space="0"/>
              <w:left w:val="single" w:color="auto" w:sz="8" w:space="0"/>
              <w:bottom w:val="single" w:color="auto" w:sz="4" w:space="0"/>
              <w:right w:val="single" w:color="000000" w:sz="8" w:space="0"/>
            </w:tcBorders>
            <w:vAlign w:val="center"/>
          </w:tcPr>
          <w:p w14:paraId="089C2181">
            <w:pPr>
              <w:spacing w:line="320" w:lineRule="exact"/>
              <w:jc w:val="center"/>
              <w:rPr>
                <w:color w:val="000000"/>
                <w:kern w:val="0"/>
                <w:sz w:val="18"/>
                <w:szCs w:val="18"/>
              </w:rPr>
            </w:pPr>
            <w:r>
              <w:rPr>
                <w:rFonts w:hint="eastAsia"/>
                <w:color w:val="000000"/>
                <w:kern w:val="0"/>
                <w:sz w:val="18"/>
                <w:szCs w:val="18"/>
              </w:rPr>
              <w:t>裁量基准</w:t>
            </w:r>
          </w:p>
        </w:tc>
      </w:tr>
      <w:tr w14:paraId="422D24DF">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428C0C06">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75248B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color="auto" w:sz="4" w:space="0"/>
              <w:left w:val="single" w:color="auto" w:sz="4" w:space="0"/>
              <w:right w:val="single" w:color="auto" w:sz="4" w:space="0"/>
            </w:tcBorders>
            <w:vAlign w:val="center"/>
          </w:tcPr>
          <w:p w14:paraId="3E7AC3ED">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5944C4B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05A2AA44">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400F030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3E12432">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continue"/>
            <w:tcBorders>
              <w:left w:val="single" w:color="auto" w:sz="4" w:space="0"/>
              <w:right w:val="single" w:color="auto" w:sz="4" w:space="0"/>
            </w:tcBorders>
            <w:vAlign w:val="center"/>
          </w:tcPr>
          <w:p w14:paraId="50DFCC5B">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B85237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14:paraId="305C9F1D">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418833F5">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E73CFAD">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363A8B10">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0DA219E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3830CE05"/>
    <w:p w14:paraId="197DAC55"/>
    <w:p w14:paraId="713E67A3"/>
    <w:p w14:paraId="49B8F083"/>
    <w:p w14:paraId="520305D4"/>
    <w:p w14:paraId="4443007F"/>
    <w:p w14:paraId="484E64BF"/>
    <w:p w14:paraId="57382005"/>
    <w:p w14:paraId="4F347C6B"/>
    <w:p w14:paraId="621D194D"/>
    <w:p w14:paraId="060A2FA4"/>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2759EF86">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41646433">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69FB9041">
            <w:pPr>
              <w:spacing w:line="320" w:lineRule="exact"/>
              <w:jc w:val="left"/>
              <w:rPr>
                <w:rFonts w:eastAsia="仿宋_GB2312"/>
                <w:b/>
                <w:bCs/>
                <w:color w:val="000000"/>
                <w:kern w:val="0"/>
                <w:sz w:val="18"/>
                <w:szCs w:val="18"/>
              </w:rPr>
            </w:pPr>
            <w:r>
              <w:rPr>
                <w:rFonts w:eastAsia="仿宋_GB2312"/>
                <w:b/>
                <w:bCs/>
                <w:color w:val="000000"/>
                <w:kern w:val="0"/>
                <w:sz w:val="18"/>
                <w:szCs w:val="18"/>
              </w:rPr>
              <w:t>320217728000</w:t>
            </w:r>
          </w:p>
        </w:tc>
      </w:tr>
      <w:tr w14:paraId="551DFCB2">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77A1685F">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0263071D">
            <w:pPr>
              <w:spacing w:line="320" w:lineRule="exact"/>
              <w:jc w:val="left"/>
              <w:rPr>
                <w:color w:val="000000"/>
                <w:kern w:val="0"/>
                <w:sz w:val="18"/>
                <w:szCs w:val="18"/>
              </w:rPr>
            </w:pPr>
            <w:r>
              <w:rPr>
                <w:rFonts w:hint="eastAsia"/>
                <w:color w:val="000000"/>
                <w:kern w:val="0"/>
                <w:sz w:val="18"/>
                <w:szCs w:val="18"/>
              </w:rPr>
              <w:t>对委托人在法定评估中未依法选择评估机构的处罚（限房地产估价业务）</w:t>
            </w:r>
          </w:p>
        </w:tc>
      </w:tr>
      <w:tr w14:paraId="50DADE9B">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0A9B71B1">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10A33DBD">
            <w:pPr>
              <w:spacing w:line="320" w:lineRule="exact"/>
              <w:jc w:val="left"/>
              <w:rPr>
                <w:color w:val="000000"/>
                <w:kern w:val="0"/>
                <w:sz w:val="18"/>
                <w:szCs w:val="18"/>
              </w:rPr>
            </w:pPr>
            <w:r>
              <w:rPr>
                <w:rFonts w:hint="eastAsia"/>
                <w:color w:val="000000"/>
                <w:kern w:val="0"/>
                <w:sz w:val="18"/>
                <w:szCs w:val="18"/>
              </w:rPr>
              <w:t>【法律】《中华人民共和国资产评估法》</w:t>
            </w:r>
          </w:p>
          <w:p w14:paraId="5A281BE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第二十二条第三款</w:t>
            </w:r>
            <w:r>
              <w:rPr>
                <w:color w:val="000000"/>
                <w:kern w:val="0"/>
                <w:sz w:val="18"/>
                <w:szCs w:val="18"/>
              </w:rPr>
              <w:t xml:space="preserve"> </w:t>
            </w:r>
            <w:r>
              <w:rPr>
                <w:rFonts w:hint="eastAsia"/>
                <w:color w:val="000000"/>
                <w:kern w:val="0"/>
                <w:sz w:val="18"/>
                <w:szCs w:val="18"/>
              </w:rPr>
              <w:t>委托开展法定评估业务，应当依法选择评估机构。</w:t>
            </w:r>
          </w:p>
          <w:p w14:paraId="4397F14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14:paraId="02DD24D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w:t>
            </w:r>
            <w:r>
              <w:rPr>
                <w:color w:val="000000"/>
                <w:kern w:val="0"/>
                <w:sz w:val="18"/>
                <w:szCs w:val="18"/>
              </w:rPr>
              <w:t>）</w:t>
            </w:r>
            <w:r>
              <w:rPr>
                <w:rFonts w:hint="eastAsia"/>
                <w:color w:val="000000"/>
                <w:kern w:val="0"/>
                <w:sz w:val="18"/>
                <w:szCs w:val="18"/>
              </w:rPr>
              <w:t>未依法选择评估机构的</w:t>
            </w:r>
            <w:r>
              <w:rPr>
                <w:color w:val="000000"/>
                <w:kern w:val="0"/>
                <w:sz w:val="18"/>
                <w:szCs w:val="18"/>
              </w:rPr>
              <w:t>;</w:t>
            </w:r>
          </w:p>
          <w:p w14:paraId="0C5152F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前款规定以外的委托人违反本法规定，给他人造成损失的，依法承担赔偿责任。</w:t>
            </w:r>
          </w:p>
        </w:tc>
      </w:tr>
      <w:tr w14:paraId="07F26E04">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7EEC6C4">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1C655C4B">
            <w:pPr>
              <w:spacing w:line="320" w:lineRule="exact"/>
              <w:jc w:val="left"/>
              <w:rPr>
                <w:color w:val="000000"/>
                <w:kern w:val="0"/>
                <w:sz w:val="18"/>
                <w:szCs w:val="18"/>
              </w:rPr>
            </w:pPr>
            <w:r>
              <w:rPr>
                <w:rFonts w:hint="eastAsia"/>
                <w:color w:val="000000"/>
                <w:kern w:val="0"/>
                <w:sz w:val="18"/>
                <w:szCs w:val="18"/>
              </w:rPr>
              <w:t>没收违法所得，罚款</w:t>
            </w:r>
          </w:p>
        </w:tc>
      </w:tr>
      <w:tr w14:paraId="220FB91B">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276C3681">
            <w:pPr>
              <w:spacing w:line="320" w:lineRule="exact"/>
              <w:jc w:val="center"/>
              <w:rPr>
                <w:color w:val="000000"/>
                <w:kern w:val="0"/>
                <w:sz w:val="18"/>
                <w:szCs w:val="18"/>
              </w:rPr>
            </w:pPr>
            <w:r>
              <w:rPr>
                <w:rFonts w:hint="eastAsia"/>
                <w:color w:val="000000"/>
                <w:kern w:val="0"/>
                <w:sz w:val="18"/>
                <w:szCs w:val="18"/>
              </w:rPr>
              <w:t>裁量基准</w:t>
            </w:r>
          </w:p>
        </w:tc>
      </w:tr>
      <w:tr w14:paraId="34CB0DA7">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5B8A06DC">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3E8AAA67">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color="auto" w:sz="4" w:space="0"/>
              <w:left w:val="single" w:color="auto" w:sz="4" w:space="0"/>
              <w:right w:val="single" w:color="auto" w:sz="4" w:space="0"/>
            </w:tcBorders>
            <w:vAlign w:val="center"/>
          </w:tcPr>
          <w:p w14:paraId="3827355A">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7A6F6DA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112620DE">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12F8A25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C1C09DF">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continue"/>
            <w:tcBorders>
              <w:left w:val="single" w:color="auto" w:sz="4" w:space="0"/>
              <w:right w:val="single" w:color="auto" w:sz="4" w:space="0"/>
            </w:tcBorders>
            <w:vAlign w:val="center"/>
          </w:tcPr>
          <w:p w14:paraId="27D59D54">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2F95124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14:paraId="052F871B">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3A057B3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1366DAF">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37BD0EA1">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93F49F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488D0296"/>
    <w:p w14:paraId="38F67DE0"/>
    <w:p w14:paraId="57E96A01"/>
    <w:p w14:paraId="22CC0248"/>
    <w:p w14:paraId="1EB1C160"/>
    <w:p w14:paraId="6104AF31"/>
    <w:p w14:paraId="2D8CC5A6"/>
    <w:p w14:paraId="1856298C"/>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678E7972">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4C873E3D">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74730EEA">
            <w:pPr>
              <w:spacing w:line="320" w:lineRule="exact"/>
              <w:jc w:val="left"/>
              <w:rPr>
                <w:rFonts w:eastAsia="仿宋_GB2312"/>
                <w:b/>
                <w:bCs/>
                <w:color w:val="000000"/>
                <w:kern w:val="0"/>
                <w:sz w:val="18"/>
                <w:szCs w:val="18"/>
              </w:rPr>
            </w:pPr>
            <w:r>
              <w:rPr>
                <w:rFonts w:eastAsia="仿宋_GB2312"/>
                <w:b/>
                <w:bCs/>
                <w:color w:val="000000"/>
                <w:kern w:val="0"/>
                <w:sz w:val="18"/>
                <w:szCs w:val="18"/>
              </w:rPr>
              <w:t>320217729000</w:t>
            </w:r>
          </w:p>
        </w:tc>
      </w:tr>
      <w:tr w14:paraId="71000288">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78287012">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4A6BC7A0">
            <w:pPr>
              <w:spacing w:line="320" w:lineRule="exact"/>
              <w:jc w:val="left"/>
              <w:rPr>
                <w:color w:val="000000"/>
                <w:kern w:val="0"/>
                <w:sz w:val="18"/>
                <w:szCs w:val="18"/>
              </w:rPr>
            </w:pPr>
            <w:r>
              <w:rPr>
                <w:rFonts w:hint="eastAsia"/>
                <w:color w:val="000000"/>
                <w:kern w:val="0"/>
                <w:sz w:val="18"/>
                <w:szCs w:val="18"/>
              </w:rPr>
              <w:t>对建设单位压缩合理审查周期、提供不真实送审资料、对审查机构提出不符合法律、法规和工程建设强制性标准要求的处罚</w:t>
            </w:r>
          </w:p>
        </w:tc>
      </w:tr>
      <w:tr w14:paraId="35803DA5">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3AD68A59">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6B0D4845">
            <w:pPr>
              <w:spacing w:line="320" w:lineRule="exact"/>
              <w:jc w:val="left"/>
              <w:rPr>
                <w:color w:val="000000"/>
                <w:kern w:val="0"/>
                <w:sz w:val="18"/>
                <w:szCs w:val="18"/>
              </w:rPr>
            </w:pPr>
            <w:r>
              <w:rPr>
                <w:rFonts w:hint="eastAsia"/>
                <w:color w:val="000000"/>
                <w:kern w:val="0"/>
                <w:sz w:val="18"/>
                <w:szCs w:val="18"/>
              </w:rPr>
              <w:t>【规章】</w:t>
            </w:r>
            <w:r>
              <w:rPr>
                <w:color w:val="000000"/>
                <w:kern w:val="0"/>
                <w:sz w:val="18"/>
                <w:szCs w:val="18"/>
              </w:rPr>
              <w:t xml:space="preserve"> </w:t>
            </w:r>
            <w:r>
              <w:rPr>
                <w:rFonts w:hint="eastAsia"/>
                <w:color w:val="000000"/>
                <w:kern w:val="0"/>
                <w:sz w:val="18"/>
                <w:szCs w:val="18"/>
              </w:rPr>
              <w:t>《房屋建筑和市政基础设施工程施工图设计文件审查管理办法》（</w:t>
            </w:r>
            <w:r>
              <w:rPr>
                <w:color w:val="000000"/>
                <w:kern w:val="0"/>
                <w:sz w:val="18"/>
                <w:szCs w:val="18"/>
              </w:rPr>
              <w:t>2013</w:t>
            </w:r>
            <w:r>
              <w:rPr>
                <w:rFonts w:hint="eastAsia"/>
                <w:color w:val="000000"/>
                <w:kern w:val="0"/>
                <w:sz w:val="18"/>
                <w:szCs w:val="18"/>
              </w:rPr>
              <w:t>年住房和城乡建设部令第</w:t>
            </w:r>
            <w:r>
              <w:rPr>
                <w:color w:val="000000"/>
                <w:kern w:val="0"/>
                <w:sz w:val="18"/>
                <w:szCs w:val="18"/>
              </w:rPr>
              <w:t>13</w:t>
            </w:r>
            <w:r>
              <w:rPr>
                <w:rFonts w:hint="eastAsia"/>
                <w:color w:val="000000"/>
                <w:kern w:val="0"/>
                <w:sz w:val="18"/>
                <w:szCs w:val="18"/>
              </w:rPr>
              <w:t>号，</w:t>
            </w:r>
            <w:r>
              <w:rPr>
                <w:color w:val="000000"/>
                <w:kern w:val="0"/>
                <w:sz w:val="18"/>
                <w:szCs w:val="18"/>
              </w:rPr>
              <w:t>2018</w:t>
            </w:r>
            <w:r>
              <w:rPr>
                <w:rFonts w:hint="eastAsia"/>
                <w:color w:val="000000"/>
                <w:kern w:val="0"/>
                <w:sz w:val="18"/>
                <w:szCs w:val="18"/>
              </w:rPr>
              <w:t>年住房和城乡建设部令第</w:t>
            </w:r>
            <w:r>
              <w:rPr>
                <w:color w:val="000000"/>
                <w:kern w:val="0"/>
                <w:sz w:val="18"/>
                <w:szCs w:val="18"/>
              </w:rPr>
              <w:t>46</w:t>
            </w:r>
            <w:r>
              <w:rPr>
                <w:rFonts w:hint="eastAsia"/>
                <w:color w:val="000000"/>
                <w:kern w:val="0"/>
                <w:sz w:val="18"/>
                <w:szCs w:val="18"/>
              </w:rPr>
              <w:t>号修改）</w:t>
            </w:r>
          </w:p>
          <w:p w14:paraId="20C043B2">
            <w:pPr>
              <w:spacing w:line="320" w:lineRule="exact"/>
              <w:jc w:val="left"/>
              <w:rPr>
                <w:color w:val="000000"/>
                <w:kern w:val="0"/>
                <w:sz w:val="18"/>
                <w:szCs w:val="18"/>
              </w:rPr>
            </w:pPr>
            <w:r>
              <w:rPr>
                <w:rFonts w:hint="eastAsia"/>
                <w:color w:val="000000"/>
                <w:kern w:val="0"/>
                <w:sz w:val="18"/>
                <w:szCs w:val="18"/>
              </w:rPr>
              <w:t>第九条第二款　建设单位不得明示或者暗示审查机构违反法律法规和工程建设强制性标准进行施工图审查，不得压缩合理审查周期、压低合理审查费用。</w:t>
            </w:r>
          </w:p>
          <w:p w14:paraId="6DE96AD2">
            <w:pPr>
              <w:spacing w:line="320" w:lineRule="exact"/>
              <w:jc w:val="left"/>
              <w:rPr>
                <w:color w:val="000000"/>
                <w:kern w:val="0"/>
                <w:sz w:val="18"/>
                <w:szCs w:val="18"/>
              </w:rPr>
            </w:pPr>
            <w:r>
              <w:rPr>
                <w:rFonts w:hint="eastAsia"/>
                <w:color w:val="000000"/>
                <w:kern w:val="0"/>
                <w:sz w:val="18"/>
                <w:szCs w:val="18"/>
              </w:rPr>
              <w:t>第十条　建设单位应当向审查机构提供下列资料并对所提供资料的真实性负责：（一）作为勘察、设计依据的政府有关部门的批准文件及附件；（二）全套施工图；（三）其他应当提交的材料。</w:t>
            </w:r>
          </w:p>
          <w:p w14:paraId="2C101A3C">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建设单位违反本办法规定，有下列行为之一的，由县级以上地方人民政府住房城乡建设主管部门责令改正，处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万元罚款；情节严重的，予以通报：</w:t>
            </w:r>
          </w:p>
          <w:p w14:paraId="2DB5F582">
            <w:pPr>
              <w:spacing w:line="320" w:lineRule="exact"/>
              <w:jc w:val="left"/>
              <w:rPr>
                <w:color w:val="000000"/>
                <w:kern w:val="0"/>
                <w:sz w:val="18"/>
                <w:szCs w:val="18"/>
              </w:rPr>
            </w:pPr>
            <w:r>
              <w:rPr>
                <w:rFonts w:hint="eastAsia"/>
                <w:color w:val="000000"/>
                <w:kern w:val="0"/>
                <w:sz w:val="18"/>
                <w:szCs w:val="18"/>
              </w:rPr>
              <w:t>（一）压缩合理审查周期的；</w:t>
            </w:r>
          </w:p>
          <w:p w14:paraId="11C510CC">
            <w:pPr>
              <w:spacing w:line="320" w:lineRule="exact"/>
              <w:jc w:val="left"/>
              <w:rPr>
                <w:color w:val="000000"/>
                <w:kern w:val="0"/>
                <w:sz w:val="18"/>
                <w:szCs w:val="18"/>
              </w:rPr>
            </w:pPr>
            <w:r>
              <w:rPr>
                <w:rFonts w:hint="eastAsia"/>
                <w:color w:val="000000"/>
                <w:kern w:val="0"/>
                <w:sz w:val="18"/>
                <w:szCs w:val="18"/>
              </w:rPr>
              <w:t>（二）提供不真实送审资料的；</w:t>
            </w:r>
          </w:p>
          <w:p w14:paraId="7B4276E2">
            <w:pPr>
              <w:spacing w:line="320" w:lineRule="exact"/>
              <w:jc w:val="left"/>
              <w:rPr>
                <w:color w:val="000000"/>
                <w:kern w:val="0"/>
                <w:sz w:val="18"/>
                <w:szCs w:val="18"/>
              </w:rPr>
            </w:pPr>
            <w:r>
              <w:rPr>
                <w:rFonts w:hint="eastAsia"/>
                <w:color w:val="000000"/>
                <w:kern w:val="0"/>
                <w:sz w:val="18"/>
                <w:szCs w:val="18"/>
              </w:rPr>
              <w:t>（三）对审查机构提出不符合法律、法规和工程建设强制性标准要求的。</w:t>
            </w:r>
          </w:p>
        </w:tc>
      </w:tr>
      <w:tr w14:paraId="255BF2B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CEE421B">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4277CFB4">
            <w:pPr>
              <w:spacing w:line="320" w:lineRule="exact"/>
              <w:jc w:val="left"/>
              <w:rPr>
                <w:color w:val="000000"/>
                <w:kern w:val="0"/>
                <w:sz w:val="18"/>
                <w:szCs w:val="18"/>
              </w:rPr>
            </w:pPr>
            <w:r>
              <w:rPr>
                <w:rFonts w:hint="eastAsia"/>
                <w:color w:val="000000"/>
                <w:kern w:val="0"/>
                <w:sz w:val="18"/>
                <w:szCs w:val="18"/>
              </w:rPr>
              <w:t>罚款</w:t>
            </w:r>
          </w:p>
        </w:tc>
      </w:tr>
      <w:tr w14:paraId="34F0E048">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2E3F4CE6">
            <w:pPr>
              <w:spacing w:line="320" w:lineRule="exact"/>
              <w:jc w:val="center"/>
              <w:rPr>
                <w:color w:val="000000"/>
                <w:kern w:val="0"/>
                <w:sz w:val="18"/>
                <w:szCs w:val="18"/>
              </w:rPr>
            </w:pPr>
            <w:r>
              <w:rPr>
                <w:rFonts w:hint="eastAsia"/>
                <w:color w:val="000000"/>
                <w:kern w:val="0"/>
                <w:sz w:val="18"/>
                <w:szCs w:val="18"/>
              </w:rPr>
              <w:t>裁量基准</w:t>
            </w:r>
          </w:p>
        </w:tc>
      </w:tr>
      <w:tr w14:paraId="0F214A50">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4" w:space="0"/>
              <w:bottom w:val="single" w:color="auto" w:sz="4" w:space="0"/>
              <w:right w:val="single" w:color="auto" w:sz="4" w:space="0"/>
            </w:tcBorders>
            <w:vAlign w:val="center"/>
          </w:tcPr>
          <w:p w14:paraId="22DBA5F1">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0F4E11CF">
            <w:pPr>
              <w:spacing w:line="320" w:lineRule="exact"/>
              <w:jc w:val="left"/>
              <w:rPr>
                <w:color w:val="000000"/>
                <w:kern w:val="0"/>
                <w:sz w:val="18"/>
                <w:szCs w:val="18"/>
              </w:rPr>
            </w:pPr>
          </w:p>
        </w:tc>
        <w:tc>
          <w:tcPr>
            <w:tcW w:w="1080" w:type="dxa"/>
            <w:tcBorders>
              <w:top w:val="single" w:color="auto" w:sz="4" w:space="0"/>
              <w:left w:val="single" w:color="auto" w:sz="4" w:space="0"/>
              <w:bottom w:val="single" w:color="auto" w:sz="4" w:space="0"/>
              <w:right w:val="single" w:color="auto" w:sz="4" w:space="0"/>
            </w:tcBorders>
            <w:vAlign w:val="center"/>
          </w:tcPr>
          <w:p w14:paraId="6CD10438">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065497E2">
            <w:pPr>
              <w:spacing w:line="320" w:lineRule="exact"/>
              <w:jc w:val="left"/>
              <w:rPr>
                <w:color w:val="000000"/>
                <w:kern w:val="0"/>
                <w:sz w:val="18"/>
                <w:szCs w:val="18"/>
              </w:rPr>
            </w:pPr>
          </w:p>
        </w:tc>
      </w:tr>
    </w:tbl>
    <w:p w14:paraId="3BABC3FE"/>
    <w:p w14:paraId="53651FD2"/>
    <w:p w14:paraId="0E0E90B4"/>
    <w:p w14:paraId="65D3E548"/>
    <w:p w14:paraId="32822CAF"/>
    <w:p w14:paraId="47680D7D"/>
    <w:p w14:paraId="3F71858C"/>
    <w:p w14:paraId="2D2193FE"/>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B715E32">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4F436C40">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183300F2">
            <w:pPr>
              <w:spacing w:line="320" w:lineRule="exact"/>
              <w:jc w:val="left"/>
              <w:rPr>
                <w:rFonts w:eastAsia="仿宋_GB2312"/>
                <w:b/>
                <w:bCs/>
                <w:color w:val="000000"/>
                <w:kern w:val="0"/>
                <w:sz w:val="18"/>
                <w:szCs w:val="18"/>
              </w:rPr>
            </w:pPr>
            <w:r>
              <w:rPr>
                <w:rFonts w:eastAsia="仿宋_GB2312"/>
                <w:b/>
                <w:bCs/>
                <w:color w:val="000000"/>
                <w:kern w:val="0"/>
                <w:sz w:val="18"/>
                <w:szCs w:val="18"/>
              </w:rPr>
              <w:t>320217730000</w:t>
            </w:r>
          </w:p>
        </w:tc>
      </w:tr>
      <w:tr w14:paraId="071B788A">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79FB56E">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36651988">
            <w:pPr>
              <w:spacing w:line="320" w:lineRule="exact"/>
              <w:jc w:val="left"/>
              <w:rPr>
                <w:color w:val="000000"/>
                <w:kern w:val="0"/>
                <w:sz w:val="18"/>
                <w:szCs w:val="18"/>
              </w:rPr>
            </w:pPr>
            <w:r>
              <w:rPr>
                <w:rFonts w:hint="eastAsia"/>
                <w:color w:val="000000"/>
                <w:kern w:val="0"/>
                <w:sz w:val="18"/>
                <w:szCs w:val="18"/>
              </w:rPr>
              <w:t>对评估机构允许其他机构以本机构名义开展业务，或者冒用其他机构名义开展业务的处罚（限房地产估价业务）</w:t>
            </w:r>
          </w:p>
        </w:tc>
      </w:tr>
      <w:tr w14:paraId="48D82100">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22DD51FC">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31775D19">
            <w:pPr>
              <w:spacing w:line="320" w:lineRule="exact"/>
              <w:jc w:val="left"/>
              <w:rPr>
                <w:color w:val="000000"/>
                <w:kern w:val="0"/>
                <w:sz w:val="18"/>
                <w:szCs w:val="18"/>
              </w:rPr>
            </w:pPr>
            <w:r>
              <w:rPr>
                <w:rFonts w:hint="eastAsia"/>
                <w:color w:val="000000"/>
                <w:kern w:val="0"/>
                <w:sz w:val="18"/>
                <w:szCs w:val="18"/>
              </w:rPr>
              <w:t>【法律】《中华人民共和国资产评估法》</w:t>
            </w:r>
          </w:p>
          <w:p w14:paraId="45BDE7C1">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14:paraId="6356E27D">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允许其他机构以本机构名义开展业务，或者冒用其他机构名义开展业务</w:t>
            </w:r>
            <w:r>
              <w:rPr>
                <w:color w:val="000000"/>
                <w:kern w:val="0"/>
                <w:sz w:val="18"/>
                <w:szCs w:val="18"/>
              </w:rPr>
              <w:t>;</w:t>
            </w:r>
          </w:p>
          <w:p w14:paraId="3A55B987">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14:paraId="2C52103C">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允许其他机构以本机构名义开展业务，或者冒用其他机构名义开展业务的</w:t>
            </w:r>
            <w:r>
              <w:rPr>
                <w:color w:val="000000"/>
                <w:kern w:val="0"/>
                <w:sz w:val="18"/>
                <w:szCs w:val="18"/>
              </w:rPr>
              <w:t>;</w:t>
            </w:r>
          </w:p>
          <w:p w14:paraId="0D82F373">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14:paraId="671A0498">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34A5CF6">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569FDAA3">
            <w:pPr>
              <w:spacing w:line="320" w:lineRule="exact"/>
              <w:jc w:val="left"/>
              <w:rPr>
                <w:color w:val="000000"/>
                <w:kern w:val="0"/>
                <w:sz w:val="18"/>
                <w:szCs w:val="18"/>
              </w:rPr>
            </w:pPr>
            <w:r>
              <w:rPr>
                <w:rFonts w:hint="eastAsia"/>
                <w:color w:val="000000"/>
                <w:kern w:val="0"/>
                <w:sz w:val="18"/>
                <w:szCs w:val="18"/>
              </w:rPr>
              <w:t>警告，没收违法所得，责令停业，罚款</w:t>
            </w:r>
          </w:p>
        </w:tc>
      </w:tr>
      <w:tr w14:paraId="20A02D66">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52B417EC">
            <w:pPr>
              <w:spacing w:line="320" w:lineRule="exact"/>
              <w:jc w:val="center"/>
              <w:rPr>
                <w:color w:val="000000"/>
                <w:kern w:val="0"/>
                <w:sz w:val="18"/>
                <w:szCs w:val="18"/>
              </w:rPr>
            </w:pPr>
            <w:r>
              <w:rPr>
                <w:rFonts w:hint="eastAsia"/>
                <w:color w:val="000000"/>
                <w:kern w:val="0"/>
                <w:sz w:val="18"/>
                <w:szCs w:val="18"/>
              </w:rPr>
              <w:t>裁量基准</w:t>
            </w:r>
          </w:p>
        </w:tc>
      </w:tr>
      <w:tr w14:paraId="0B27D377">
        <w:tblPrEx>
          <w:tblCellMar>
            <w:top w:w="0" w:type="dxa"/>
            <w:left w:w="108" w:type="dxa"/>
            <w:bottom w:w="0" w:type="dxa"/>
            <w:right w:w="108" w:type="dxa"/>
          </w:tblCellMar>
        </w:tblPrEx>
        <w:trPr>
          <w:trHeight w:val="650" w:hRule="atLeast"/>
        </w:trPr>
        <w:tc>
          <w:tcPr>
            <w:tcW w:w="1030" w:type="dxa"/>
            <w:vMerge w:val="restart"/>
            <w:tcBorders>
              <w:top w:val="single" w:color="auto" w:sz="4" w:space="0"/>
              <w:left w:val="single" w:color="auto" w:sz="4" w:space="0"/>
              <w:right w:val="single" w:color="auto" w:sz="4" w:space="0"/>
            </w:tcBorders>
            <w:vAlign w:val="center"/>
          </w:tcPr>
          <w:p w14:paraId="0037F2B2">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7506FD34">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color="auto" w:sz="4" w:space="0"/>
              <w:left w:val="single" w:color="auto" w:sz="4" w:space="0"/>
              <w:right w:val="single" w:color="auto" w:sz="4" w:space="0"/>
            </w:tcBorders>
            <w:vAlign w:val="center"/>
          </w:tcPr>
          <w:p w14:paraId="1C04AFFF">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5A5CE4BE">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75A9E2D1">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7CD852C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C9617AB">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val="continue"/>
            <w:tcBorders>
              <w:left w:val="single" w:color="auto" w:sz="4" w:space="0"/>
              <w:bottom w:val="single" w:color="auto" w:sz="4" w:space="0"/>
              <w:right w:val="single" w:color="auto" w:sz="4" w:space="0"/>
            </w:tcBorders>
            <w:vAlign w:val="center"/>
          </w:tcPr>
          <w:p w14:paraId="02F81AE5">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2E3B90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60A9B013"/>
    <w:p w14:paraId="6F13C491"/>
    <w:p w14:paraId="24730A77"/>
    <w:p w14:paraId="744164E7"/>
    <w:p w14:paraId="090FCBF2"/>
    <w:p w14:paraId="0982A41E"/>
    <w:p w14:paraId="49E0067D"/>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48C9956A">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14F0BEC4">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38B76B7C">
            <w:pPr>
              <w:spacing w:line="320" w:lineRule="exact"/>
              <w:jc w:val="left"/>
              <w:rPr>
                <w:rFonts w:eastAsia="仿宋_GB2312"/>
                <w:b/>
                <w:bCs/>
                <w:color w:val="000000"/>
                <w:kern w:val="0"/>
                <w:sz w:val="18"/>
                <w:szCs w:val="18"/>
              </w:rPr>
            </w:pPr>
            <w:r>
              <w:rPr>
                <w:rFonts w:eastAsia="仿宋_GB2312"/>
                <w:b/>
                <w:bCs/>
                <w:color w:val="000000"/>
                <w:kern w:val="0"/>
                <w:sz w:val="18"/>
                <w:szCs w:val="18"/>
              </w:rPr>
              <w:t>320217731000</w:t>
            </w:r>
          </w:p>
        </w:tc>
      </w:tr>
      <w:tr w14:paraId="194D441A">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7AF7453">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675A0B35">
            <w:pPr>
              <w:spacing w:line="320" w:lineRule="exact"/>
              <w:jc w:val="left"/>
              <w:rPr>
                <w:color w:val="000000"/>
                <w:kern w:val="0"/>
                <w:sz w:val="18"/>
                <w:szCs w:val="18"/>
              </w:rPr>
            </w:pPr>
            <w:r>
              <w:rPr>
                <w:rFonts w:hint="eastAsia"/>
                <w:color w:val="000000"/>
                <w:kern w:val="0"/>
                <w:sz w:val="18"/>
                <w:szCs w:val="18"/>
              </w:rPr>
              <w:t>对出租属于违法建筑的房屋、出租不符合安全、防灾等工程建设强制性标准的房屋、出租违反规定改变房屋使用性质的房屋的处罚</w:t>
            </w:r>
          </w:p>
        </w:tc>
      </w:tr>
      <w:tr w14:paraId="7E15CBDA">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4BB912E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715EA450">
            <w:pPr>
              <w:spacing w:line="320" w:lineRule="exact"/>
              <w:jc w:val="left"/>
              <w:rPr>
                <w:color w:val="000000"/>
                <w:kern w:val="0"/>
                <w:sz w:val="18"/>
                <w:szCs w:val="18"/>
              </w:rPr>
            </w:pPr>
            <w:r>
              <w:rPr>
                <w:rFonts w:hint="eastAsia"/>
                <w:color w:val="000000"/>
                <w:kern w:val="0"/>
                <w:sz w:val="18"/>
                <w:szCs w:val="18"/>
              </w:rPr>
              <w:t>【规章】《商品房屋租赁管理办法》（住房和城乡建设部部令第</w:t>
            </w:r>
            <w:r>
              <w:rPr>
                <w:color w:val="000000"/>
                <w:kern w:val="0"/>
                <w:sz w:val="18"/>
                <w:szCs w:val="18"/>
              </w:rPr>
              <w:t>6</w:t>
            </w:r>
            <w:r>
              <w:rPr>
                <w:rFonts w:hint="eastAsia"/>
                <w:color w:val="000000"/>
                <w:kern w:val="0"/>
                <w:sz w:val="18"/>
                <w:szCs w:val="18"/>
              </w:rPr>
              <w:t>号）</w:t>
            </w:r>
            <w:r>
              <w:rPr>
                <w:color w:val="000000"/>
                <w:kern w:val="0"/>
                <w:sz w:val="18"/>
                <w:szCs w:val="18"/>
              </w:rPr>
              <w:t xml:space="preserve"> </w:t>
            </w:r>
          </w:p>
          <w:p w14:paraId="53F6788C">
            <w:pPr>
              <w:spacing w:line="320" w:lineRule="exact"/>
              <w:jc w:val="left"/>
              <w:rPr>
                <w:color w:val="000000"/>
                <w:kern w:val="0"/>
                <w:sz w:val="18"/>
                <w:szCs w:val="18"/>
              </w:rPr>
            </w:pPr>
            <w:r>
              <w:rPr>
                <w:rFonts w:hint="eastAsia"/>
                <w:color w:val="000000"/>
                <w:kern w:val="0"/>
                <w:sz w:val="18"/>
                <w:szCs w:val="18"/>
              </w:rPr>
              <w:t>第六条</w:t>
            </w:r>
            <w:r>
              <w:rPr>
                <w:color w:val="000000"/>
                <w:kern w:val="0"/>
                <w:sz w:val="18"/>
                <w:szCs w:val="18"/>
              </w:rPr>
              <w:t xml:space="preserve"> </w:t>
            </w:r>
            <w:r>
              <w:rPr>
                <w:rFonts w:hint="eastAsia"/>
                <w:color w:val="000000"/>
                <w:kern w:val="0"/>
                <w:sz w:val="18"/>
                <w:szCs w:val="18"/>
              </w:rPr>
              <w:t>有下列情形之一的房屋不得出租：</w:t>
            </w:r>
          </w:p>
          <w:p w14:paraId="2A7F3AF4">
            <w:pPr>
              <w:spacing w:line="320" w:lineRule="exact"/>
              <w:jc w:val="left"/>
              <w:rPr>
                <w:color w:val="000000"/>
                <w:kern w:val="0"/>
                <w:sz w:val="18"/>
                <w:szCs w:val="18"/>
              </w:rPr>
            </w:pPr>
            <w:r>
              <w:rPr>
                <w:rFonts w:hint="eastAsia"/>
                <w:color w:val="000000"/>
                <w:kern w:val="0"/>
                <w:sz w:val="18"/>
                <w:szCs w:val="18"/>
              </w:rPr>
              <w:t>（一）属于违法建筑的；</w:t>
            </w:r>
          </w:p>
          <w:p w14:paraId="2B432AC4">
            <w:pPr>
              <w:spacing w:line="320" w:lineRule="exact"/>
              <w:jc w:val="left"/>
              <w:rPr>
                <w:color w:val="000000"/>
                <w:kern w:val="0"/>
                <w:sz w:val="18"/>
                <w:szCs w:val="18"/>
              </w:rPr>
            </w:pPr>
            <w:r>
              <w:rPr>
                <w:rFonts w:hint="eastAsia"/>
                <w:color w:val="000000"/>
                <w:kern w:val="0"/>
                <w:sz w:val="18"/>
                <w:szCs w:val="18"/>
              </w:rPr>
              <w:t>（二）不符合安全、防灾等工程建设强制性标准的；</w:t>
            </w:r>
          </w:p>
          <w:p w14:paraId="1F07DB73">
            <w:pPr>
              <w:spacing w:line="320" w:lineRule="exact"/>
              <w:jc w:val="left"/>
              <w:rPr>
                <w:color w:val="000000"/>
                <w:kern w:val="0"/>
                <w:sz w:val="18"/>
                <w:szCs w:val="18"/>
              </w:rPr>
            </w:pPr>
            <w:r>
              <w:rPr>
                <w:rFonts w:hint="eastAsia"/>
                <w:color w:val="000000"/>
                <w:kern w:val="0"/>
                <w:sz w:val="18"/>
                <w:szCs w:val="18"/>
              </w:rPr>
              <w:t>（三）违反规定改变房屋使用性质的；</w:t>
            </w:r>
          </w:p>
          <w:p w14:paraId="55153034">
            <w:pPr>
              <w:spacing w:line="320" w:lineRule="exact"/>
              <w:jc w:val="left"/>
              <w:rPr>
                <w:color w:val="000000"/>
                <w:kern w:val="0"/>
                <w:sz w:val="18"/>
                <w:szCs w:val="18"/>
              </w:rPr>
            </w:pPr>
            <w:r>
              <w:rPr>
                <w:rFonts w:hint="eastAsia"/>
                <w:color w:val="000000"/>
                <w:kern w:val="0"/>
                <w:sz w:val="18"/>
                <w:szCs w:val="18"/>
              </w:rPr>
              <w:t>第二十一条　违反本办法第六条规定的，由直辖市、市、县人民政府建设（房地产）主管部门责令限期改正，对没有违法所得的，可处以五千元以下罚款；对有违法所得的，可以处以违法所得一倍以上三倍以下，但不超过三万元的罚款。</w:t>
            </w:r>
          </w:p>
        </w:tc>
      </w:tr>
      <w:tr w14:paraId="3E1527EE">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24FFA16C">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004E130B">
            <w:pPr>
              <w:spacing w:line="320" w:lineRule="exact"/>
              <w:jc w:val="left"/>
              <w:rPr>
                <w:color w:val="000000"/>
                <w:kern w:val="0"/>
                <w:sz w:val="18"/>
                <w:szCs w:val="18"/>
              </w:rPr>
            </w:pPr>
            <w:r>
              <w:rPr>
                <w:rFonts w:hint="eastAsia"/>
                <w:color w:val="000000"/>
                <w:kern w:val="0"/>
                <w:sz w:val="18"/>
                <w:szCs w:val="18"/>
              </w:rPr>
              <w:t>罚款</w:t>
            </w:r>
          </w:p>
        </w:tc>
      </w:tr>
      <w:tr w14:paraId="540958F5">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5DE9E0F8">
            <w:pPr>
              <w:spacing w:line="320" w:lineRule="exact"/>
              <w:jc w:val="center"/>
              <w:rPr>
                <w:color w:val="000000"/>
                <w:kern w:val="0"/>
                <w:sz w:val="18"/>
                <w:szCs w:val="18"/>
              </w:rPr>
            </w:pPr>
            <w:r>
              <w:rPr>
                <w:rFonts w:hint="eastAsia"/>
                <w:color w:val="000000"/>
                <w:kern w:val="0"/>
                <w:sz w:val="18"/>
                <w:szCs w:val="18"/>
              </w:rPr>
              <w:t>裁量基准</w:t>
            </w:r>
          </w:p>
        </w:tc>
      </w:tr>
      <w:tr w14:paraId="70044D1F">
        <w:tblPrEx>
          <w:tblCellMar>
            <w:top w:w="0" w:type="dxa"/>
            <w:left w:w="108" w:type="dxa"/>
            <w:bottom w:w="0" w:type="dxa"/>
            <w:right w:w="108" w:type="dxa"/>
          </w:tblCellMar>
        </w:tblPrEx>
        <w:trPr>
          <w:trHeight w:val="175" w:hRule="atLeast"/>
        </w:trPr>
        <w:tc>
          <w:tcPr>
            <w:tcW w:w="1030" w:type="dxa"/>
            <w:vMerge w:val="restart"/>
            <w:tcBorders>
              <w:top w:val="single" w:color="auto" w:sz="4" w:space="0"/>
              <w:left w:val="single" w:color="auto" w:sz="4" w:space="0"/>
              <w:right w:val="single" w:color="auto" w:sz="4" w:space="0"/>
            </w:tcBorders>
            <w:vAlign w:val="center"/>
          </w:tcPr>
          <w:p w14:paraId="285232CC">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9C2C1D9">
            <w:pPr>
              <w:spacing w:line="320" w:lineRule="exact"/>
              <w:jc w:val="left"/>
              <w:rPr>
                <w:color w:val="000000"/>
                <w:kern w:val="0"/>
                <w:sz w:val="18"/>
                <w:szCs w:val="18"/>
              </w:rPr>
            </w:pPr>
            <w:r>
              <w:rPr>
                <w:rFonts w:hint="eastAsia"/>
                <w:color w:val="000000"/>
                <w:kern w:val="0"/>
                <w:sz w:val="18"/>
                <w:szCs w:val="18"/>
              </w:rPr>
              <w:t>按要求改正，没有违法所得的</w:t>
            </w:r>
          </w:p>
        </w:tc>
        <w:tc>
          <w:tcPr>
            <w:tcW w:w="1080" w:type="dxa"/>
            <w:vMerge w:val="restart"/>
            <w:tcBorders>
              <w:top w:val="single" w:color="auto" w:sz="4" w:space="0"/>
              <w:left w:val="single" w:color="auto" w:sz="4" w:space="0"/>
              <w:right w:val="single" w:color="auto" w:sz="4" w:space="0"/>
            </w:tcBorders>
            <w:vAlign w:val="center"/>
          </w:tcPr>
          <w:p w14:paraId="0D472802">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4D12FDA4">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3000</w:t>
            </w:r>
            <w:r>
              <w:rPr>
                <w:rFonts w:hint="eastAsia"/>
                <w:color w:val="000000"/>
                <w:kern w:val="0"/>
                <w:sz w:val="18"/>
                <w:szCs w:val="18"/>
              </w:rPr>
              <w:t>元以下罚款</w:t>
            </w:r>
          </w:p>
        </w:tc>
      </w:tr>
      <w:tr w14:paraId="62A37121">
        <w:tblPrEx>
          <w:tblCellMar>
            <w:top w:w="0" w:type="dxa"/>
            <w:left w:w="108" w:type="dxa"/>
            <w:bottom w:w="0" w:type="dxa"/>
            <w:right w:w="108" w:type="dxa"/>
          </w:tblCellMar>
        </w:tblPrEx>
        <w:trPr>
          <w:trHeight w:val="450" w:hRule="atLeast"/>
        </w:trPr>
        <w:tc>
          <w:tcPr>
            <w:tcW w:w="1030" w:type="dxa"/>
            <w:vMerge w:val="continue"/>
            <w:tcBorders>
              <w:left w:val="single" w:color="auto" w:sz="4" w:space="0"/>
              <w:right w:val="single" w:color="auto" w:sz="4" w:space="0"/>
            </w:tcBorders>
            <w:vAlign w:val="center"/>
          </w:tcPr>
          <w:p w14:paraId="72F9930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774BB53">
            <w:pPr>
              <w:spacing w:line="320" w:lineRule="exact"/>
              <w:jc w:val="left"/>
              <w:rPr>
                <w:color w:val="000000"/>
                <w:kern w:val="0"/>
                <w:sz w:val="18"/>
                <w:szCs w:val="18"/>
              </w:rPr>
            </w:pPr>
            <w:r>
              <w:rPr>
                <w:rFonts w:hint="eastAsia"/>
                <w:color w:val="000000"/>
                <w:kern w:val="0"/>
                <w:sz w:val="18"/>
                <w:szCs w:val="18"/>
              </w:rPr>
              <w:t>未按要求改正，没有违法所得的</w:t>
            </w:r>
          </w:p>
        </w:tc>
        <w:tc>
          <w:tcPr>
            <w:tcW w:w="1080" w:type="dxa"/>
            <w:vMerge w:val="continue"/>
            <w:tcBorders>
              <w:left w:val="single" w:color="auto" w:sz="4" w:space="0"/>
              <w:right w:val="single" w:color="auto" w:sz="4" w:space="0"/>
            </w:tcBorders>
            <w:vAlign w:val="center"/>
          </w:tcPr>
          <w:p w14:paraId="663EEE97">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7791466">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3F748E52">
        <w:tblPrEx>
          <w:tblCellMar>
            <w:top w:w="0" w:type="dxa"/>
            <w:left w:w="108" w:type="dxa"/>
            <w:bottom w:w="0" w:type="dxa"/>
            <w:right w:w="108" w:type="dxa"/>
          </w:tblCellMar>
        </w:tblPrEx>
        <w:trPr>
          <w:trHeight w:val="438" w:hRule="atLeast"/>
        </w:trPr>
        <w:tc>
          <w:tcPr>
            <w:tcW w:w="1030" w:type="dxa"/>
            <w:vMerge w:val="continue"/>
            <w:tcBorders>
              <w:left w:val="single" w:color="auto" w:sz="4" w:space="0"/>
              <w:right w:val="single" w:color="auto" w:sz="4" w:space="0"/>
            </w:tcBorders>
            <w:vAlign w:val="center"/>
          </w:tcPr>
          <w:p w14:paraId="44DF797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41B8A1D">
            <w:pPr>
              <w:spacing w:line="320" w:lineRule="exact"/>
              <w:jc w:val="left"/>
              <w:rPr>
                <w:color w:val="000000"/>
                <w:kern w:val="0"/>
                <w:sz w:val="18"/>
                <w:szCs w:val="18"/>
              </w:rPr>
            </w:pPr>
            <w:r>
              <w:rPr>
                <w:rFonts w:hint="eastAsia"/>
                <w:color w:val="000000"/>
                <w:kern w:val="0"/>
                <w:sz w:val="18"/>
                <w:szCs w:val="18"/>
              </w:rPr>
              <w:t>按要求改正，有违法所得的</w:t>
            </w:r>
          </w:p>
        </w:tc>
        <w:tc>
          <w:tcPr>
            <w:tcW w:w="1080" w:type="dxa"/>
            <w:vMerge w:val="continue"/>
            <w:tcBorders>
              <w:left w:val="single" w:color="auto" w:sz="4" w:space="0"/>
              <w:right w:val="single" w:color="auto" w:sz="4" w:space="0"/>
            </w:tcBorders>
            <w:vAlign w:val="center"/>
          </w:tcPr>
          <w:p w14:paraId="3D76F73F">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E9A671F">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倍以下但不超过</w:t>
            </w:r>
            <w:r>
              <w:rPr>
                <w:color w:val="000000"/>
                <w:kern w:val="0"/>
                <w:sz w:val="18"/>
                <w:szCs w:val="18"/>
              </w:rPr>
              <w:t>3</w:t>
            </w:r>
            <w:r>
              <w:rPr>
                <w:rFonts w:hint="eastAsia"/>
                <w:color w:val="000000"/>
                <w:kern w:val="0"/>
                <w:sz w:val="18"/>
                <w:szCs w:val="18"/>
              </w:rPr>
              <w:t>万元的罚款</w:t>
            </w:r>
          </w:p>
        </w:tc>
      </w:tr>
      <w:tr w14:paraId="7BE090A7">
        <w:tblPrEx>
          <w:tblCellMar>
            <w:top w:w="0" w:type="dxa"/>
            <w:left w:w="108" w:type="dxa"/>
            <w:bottom w:w="0" w:type="dxa"/>
            <w:right w:w="108" w:type="dxa"/>
          </w:tblCellMar>
        </w:tblPrEx>
        <w:trPr>
          <w:trHeight w:val="460" w:hRule="atLeast"/>
        </w:trPr>
        <w:tc>
          <w:tcPr>
            <w:tcW w:w="1030" w:type="dxa"/>
            <w:vMerge w:val="continue"/>
            <w:tcBorders>
              <w:left w:val="single" w:color="auto" w:sz="4" w:space="0"/>
              <w:bottom w:val="single" w:color="auto" w:sz="4" w:space="0"/>
              <w:right w:val="single" w:color="auto" w:sz="4" w:space="0"/>
            </w:tcBorders>
            <w:vAlign w:val="center"/>
          </w:tcPr>
          <w:p w14:paraId="01E220D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CFD866C">
            <w:pPr>
              <w:spacing w:line="320" w:lineRule="exact"/>
              <w:jc w:val="left"/>
              <w:rPr>
                <w:color w:val="000000"/>
                <w:kern w:val="0"/>
                <w:sz w:val="18"/>
                <w:szCs w:val="18"/>
              </w:rPr>
            </w:pPr>
            <w:r>
              <w:rPr>
                <w:rFonts w:hint="eastAsia"/>
                <w:color w:val="000000"/>
                <w:kern w:val="0"/>
                <w:sz w:val="18"/>
                <w:szCs w:val="18"/>
              </w:rPr>
              <w:t>按要求改正，有违法所得的</w:t>
            </w:r>
          </w:p>
        </w:tc>
        <w:tc>
          <w:tcPr>
            <w:tcW w:w="1080" w:type="dxa"/>
            <w:vMerge w:val="continue"/>
            <w:tcBorders>
              <w:left w:val="single" w:color="auto" w:sz="4" w:space="0"/>
              <w:bottom w:val="single" w:color="auto" w:sz="4" w:space="0"/>
              <w:right w:val="single" w:color="auto" w:sz="4" w:space="0"/>
            </w:tcBorders>
            <w:vAlign w:val="center"/>
          </w:tcPr>
          <w:p w14:paraId="280EA171">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4ED08DC3">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倍以下但不超过</w:t>
            </w:r>
            <w:r>
              <w:rPr>
                <w:color w:val="000000"/>
                <w:kern w:val="0"/>
                <w:sz w:val="18"/>
                <w:szCs w:val="18"/>
              </w:rPr>
              <w:t>3</w:t>
            </w:r>
            <w:r>
              <w:rPr>
                <w:rFonts w:hint="eastAsia"/>
                <w:color w:val="000000"/>
                <w:kern w:val="0"/>
                <w:sz w:val="18"/>
                <w:szCs w:val="18"/>
              </w:rPr>
              <w:t>万元的罚款</w:t>
            </w:r>
          </w:p>
        </w:tc>
      </w:tr>
    </w:tbl>
    <w:p w14:paraId="1A8CA55F"/>
    <w:p w14:paraId="6A3EBA7B"/>
    <w:p w14:paraId="74AC81B9"/>
    <w:p w14:paraId="056753A5"/>
    <w:p w14:paraId="6715BF19"/>
    <w:p w14:paraId="1C63F649"/>
    <w:p w14:paraId="43F03A35"/>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2FC6F390">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3C8C34DC">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23E3950A">
            <w:pPr>
              <w:spacing w:line="320" w:lineRule="exact"/>
              <w:jc w:val="left"/>
              <w:rPr>
                <w:rFonts w:eastAsia="仿宋_GB2312"/>
                <w:b/>
                <w:bCs/>
                <w:color w:val="000000"/>
                <w:kern w:val="0"/>
                <w:sz w:val="18"/>
                <w:szCs w:val="18"/>
              </w:rPr>
            </w:pPr>
            <w:r>
              <w:rPr>
                <w:rFonts w:eastAsia="仿宋_GB2312"/>
                <w:b/>
                <w:bCs/>
                <w:color w:val="000000"/>
                <w:kern w:val="0"/>
                <w:sz w:val="18"/>
                <w:szCs w:val="18"/>
              </w:rPr>
              <w:t>320217732000</w:t>
            </w:r>
          </w:p>
        </w:tc>
      </w:tr>
      <w:tr w14:paraId="02E3F1A3">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D359E60">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164E55EB">
            <w:pPr>
              <w:spacing w:line="320" w:lineRule="exact"/>
              <w:jc w:val="left"/>
              <w:rPr>
                <w:color w:val="000000"/>
                <w:kern w:val="0"/>
                <w:sz w:val="18"/>
                <w:szCs w:val="18"/>
              </w:rPr>
            </w:pPr>
            <w:r>
              <w:rPr>
                <w:rFonts w:hint="eastAsia"/>
                <w:color w:val="000000"/>
                <w:kern w:val="0"/>
                <w:sz w:val="18"/>
                <w:szCs w:val="18"/>
              </w:rPr>
              <w:t>对出租不能继续使用的危险房屋的处罚</w:t>
            </w:r>
          </w:p>
        </w:tc>
      </w:tr>
      <w:tr w14:paraId="15CDD7EB">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0B17486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700B3A0B">
            <w:pPr>
              <w:spacing w:line="320" w:lineRule="exact"/>
              <w:jc w:val="left"/>
              <w:rPr>
                <w:color w:val="000000"/>
                <w:kern w:val="0"/>
                <w:sz w:val="18"/>
                <w:szCs w:val="18"/>
              </w:rPr>
            </w:pPr>
            <w:r>
              <w:rPr>
                <w:rFonts w:hint="eastAsia"/>
                <w:color w:val="000000"/>
                <w:kern w:val="0"/>
                <w:sz w:val="18"/>
                <w:szCs w:val="18"/>
              </w:rPr>
              <w:t>【地方性法规】《江苏省城市房地产交易管理条例》</w:t>
            </w:r>
            <w:r>
              <w:rPr>
                <w:color w:val="000000"/>
                <w:kern w:val="0"/>
                <w:sz w:val="18"/>
                <w:szCs w:val="18"/>
              </w:rPr>
              <w:t xml:space="preserve"> </w:t>
            </w:r>
            <w:r>
              <w:rPr>
                <w:rFonts w:hint="eastAsia"/>
                <w:color w:val="000000"/>
                <w:kern w:val="0"/>
                <w:sz w:val="18"/>
                <w:szCs w:val="18"/>
              </w:rPr>
              <w:t>（</w:t>
            </w:r>
            <w:r>
              <w:rPr>
                <w:color w:val="000000"/>
                <w:kern w:val="0"/>
                <w:sz w:val="18"/>
                <w:szCs w:val="18"/>
              </w:rPr>
              <w:t>2018</w:t>
            </w:r>
            <w:r>
              <w:rPr>
                <w:rFonts w:hint="eastAsia"/>
                <w:color w:val="000000"/>
                <w:kern w:val="0"/>
                <w:sz w:val="18"/>
                <w:szCs w:val="18"/>
              </w:rPr>
              <w:t>年《江苏省人民代表大会常务委员会关于修改〈江苏省大气污染防治条例〉等十六件地方性法规的决定》修订）</w:t>
            </w:r>
          </w:p>
          <w:p w14:paraId="5A2D82F8">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有下列情形之一的房屋，不得出租：</w:t>
            </w:r>
          </w:p>
          <w:p w14:paraId="64E74FA9">
            <w:pPr>
              <w:spacing w:line="320" w:lineRule="exact"/>
              <w:jc w:val="left"/>
              <w:rPr>
                <w:color w:val="000000"/>
                <w:kern w:val="0"/>
                <w:sz w:val="18"/>
                <w:szCs w:val="18"/>
              </w:rPr>
            </w:pPr>
            <w:r>
              <w:rPr>
                <w:rFonts w:hint="eastAsia"/>
                <w:color w:val="000000"/>
                <w:kern w:val="0"/>
                <w:sz w:val="18"/>
                <w:szCs w:val="18"/>
              </w:rPr>
              <w:t>　　（四）经鉴定属于危险房屋不能继续使用的；</w:t>
            </w:r>
          </w:p>
          <w:p w14:paraId="4AF04D56">
            <w:pPr>
              <w:spacing w:line="320" w:lineRule="exact"/>
              <w:jc w:val="left"/>
              <w:rPr>
                <w:color w:val="000000"/>
                <w:kern w:val="0"/>
                <w:sz w:val="18"/>
                <w:szCs w:val="18"/>
              </w:rPr>
            </w:pPr>
            <w:r>
              <w:rPr>
                <w:rFonts w:hint="eastAsia"/>
                <w:color w:val="000000"/>
                <w:kern w:val="0"/>
                <w:sz w:val="18"/>
                <w:szCs w:val="18"/>
              </w:rPr>
              <w:t>第四十条　违反本条例规定，出租不能继续使用的危险房屋的，由市、县（市）房产管理部门责令改正，没收违法所得，并可处以五百元以上二千元以下的罚款。造成人身、财产损害的，依法承担赔偿责任。</w:t>
            </w:r>
          </w:p>
        </w:tc>
      </w:tr>
      <w:tr w14:paraId="13ED0DDF">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193C81B2">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65ECAA28">
            <w:pPr>
              <w:spacing w:line="320" w:lineRule="exact"/>
              <w:jc w:val="left"/>
              <w:rPr>
                <w:color w:val="000000"/>
                <w:kern w:val="0"/>
                <w:sz w:val="18"/>
                <w:szCs w:val="18"/>
              </w:rPr>
            </w:pPr>
            <w:r>
              <w:rPr>
                <w:rFonts w:hint="eastAsia"/>
                <w:color w:val="000000"/>
                <w:kern w:val="0"/>
                <w:sz w:val="18"/>
                <w:szCs w:val="18"/>
              </w:rPr>
              <w:t>没收违法所得，罚款</w:t>
            </w:r>
          </w:p>
        </w:tc>
      </w:tr>
      <w:tr w14:paraId="7E20CFC7">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357EA2A6">
            <w:pPr>
              <w:spacing w:line="320" w:lineRule="exact"/>
              <w:jc w:val="center"/>
              <w:rPr>
                <w:color w:val="000000"/>
                <w:kern w:val="0"/>
                <w:sz w:val="18"/>
                <w:szCs w:val="18"/>
              </w:rPr>
            </w:pPr>
            <w:r>
              <w:rPr>
                <w:rFonts w:hint="eastAsia"/>
                <w:color w:val="000000"/>
                <w:kern w:val="0"/>
                <w:sz w:val="18"/>
                <w:szCs w:val="18"/>
              </w:rPr>
              <w:t>裁量基准</w:t>
            </w:r>
          </w:p>
        </w:tc>
      </w:tr>
      <w:tr w14:paraId="6AF744FA">
        <w:tblPrEx>
          <w:tblCellMar>
            <w:top w:w="0" w:type="dxa"/>
            <w:left w:w="108" w:type="dxa"/>
            <w:bottom w:w="0" w:type="dxa"/>
            <w:right w:w="108" w:type="dxa"/>
          </w:tblCellMar>
        </w:tblPrEx>
        <w:trPr>
          <w:trHeight w:val="360" w:hRule="atLeast"/>
        </w:trPr>
        <w:tc>
          <w:tcPr>
            <w:tcW w:w="1030" w:type="dxa"/>
            <w:vMerge w:val="restart"/>
            <w:tcBorders>
              <w:top w:val="single" w:color="auto" w:sz="4" w:space="0"/>
              <w:left w:val="single" w:color="auto" w:sz="4" w:space="0"/>
              <w:right w:val="single" w:color="auto" w:sz="4" w:space="0"/>
            </w:tcBorders>
            <w:vAlign w:val="center"/>
          </w:tcPr>
          <w:p w14:paraId="3A521B70">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ADD185F">
            <w:pPr>
              <w:spacing w:line="320" w:lineRule="exact"/>
              <w:jc w:val="left"/>
              <w:rPr>
                <w:color w:val="000000"/>
                <w:kern w:val="0"/>
                <w:sz w:val="18"/>
                <w:szCs w:val="18"/>
              </w:rPr>
            </w:pPr>
            <w:r>
              <w:rPr>
                <w:rFonts w:hint="eastAsia"/>
                <w:color w:val="000000"/>
                <w:kern w:val="0"/>
                <w:sz w:val="18"/>
                <w:szCs w:val="18"/>
              </w:rPr>
              <w:t>未造成人身、财产损害的</w:t>
            </w:r>
          </w:p>
        </w:tc>
        <w:tc>
          <w:tcPr>
            <w:tcW w:w="1080" w:type="dxa"/>
            <w:vMerge w:val="restart"/>
            <w:tcBorders>
              <w:top w:val="single" w:color="auto" w:sz="4" w:space="0"/>
              <w:left w:val="single" w:color="auto" w:sz="4" w:space="0"/>
              <w:right w:val="single" w:color="auto" w:sz="4" w:space="0"/>
            </w:tcBorders>
            <w:vAlign w:val="center"/>
          </w:tcPr>
          <w:p w14:paraId="45BBB2A8">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0F670744">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14:paraId="2E959D2F">
        <w:tblPrEx>
          <w:tblCellMar>
            <w:top w:w="0" w:type="dxa"/>
            <w:left w:w="108" w:type="dxa"/>
            <w:bottom w:w="0" w:type="dxa"/>
            <w:right w:w="108" w:type="dxa"/>
          </w:tblCellMar>
        </w:tblPrEx>
        <w:trPr>
          <w:trHeight w:val="150" w:hRule="atLeast"/>
        </w:trPr>
        <w:tc>
          <w:tcPr>
            <w:tcW w:w="1030" w:type="dxa"/>
            <w:vMerge w:val="continue"/>
            <w:tcBorders>
              <w:left w:val="single" w:color="auto" w:sz="4" w:space="0"/>
              <w:right w:val="single" w:color="auto" w:sz="4" w:space="0"/>
            </w:tcBorders>
            <w:vAlign w:val="center"/>
          </w:tcPr>
          <w:p w14:paraId="6E9CF84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4FCEB8E8">
            <w:pPr>
              <w:spacing w:line="320" w:lineRule="exact"/>
              <w:jc w:val="left"/>
              <w:rPr>
                <w:color w:val="000000"/>
                <w:kern w:val="0"/>
                <w:sz w:val="18"/>
                <w:szCs w:val="18"/>
              </w:rPr>
            </w:pPr>
            <w:r>
              <w:rPr>
                <w:rFonts w:hint="eastAsia"/>
                <w:color w:val="000000"/>
                <w:kern w:val="0"/>
                <w:sz w:val="18"/>
                <w:szCs w:val="18"/>
              </w:rPr>
              <w:t>造成人身、财产损害，依法承担赔偿责任的</w:t>
            </w:r>
          </w:p>
        </w:tc>
        <w:tc>
          <w:tcPr>
            <w:tcW w:w="1080" w:type="dxa"/>
            <w:vMerge w:val="continue"/>
            <w:tcBorders>
              <w:left w:val="single" w:color="auto" w:sz="4" w:space="0"/>
              <w:right w:val="single" w:color="auto" w:sz="4" w:space="0"/>
            </w:tcBorders>
            <w:vAlign w:val="center"/>
          </w:tcPr>
          <w:p w14:paraId="5B89CBB5">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4EA69C9">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1000</w:t>
            </w:r>
            <w:r>
              <w:rPr>
                <w:rFonts w:hint="eastAsia"/>
                <w:color w:val="000000"/>
                <w:kern w:val="0"/>
                <w:sz w:val="18"/>
                <w:szCs w:val="18"/>
              </w:rPr>
              <w:t>元以上</w:t>
            </w:r>
            <w:r>
              <w:rPr>
                <w:color w:val="000000"/>
                <w:kern w:val="0"/>
                <w:sz w:val="18"/>
                <w:szCs w:val="18"/>
              </w:rPr>
              <w:t>1500</w:t>
            </w:r>
            <w:r>
              <w:rPr>
                <w:rFonts w:hint="eastAsia"/>
                <w:color w:val="000000"/>
                <w:kern w:val="0"/>
                <w:sz w:val="18"/>
                <w:szCs w:val="18"/>
              </w:rPr>
              <w:t>元以下罚款</w:t>
            </w:r>
          </w:p>
        </w:tc>
      </w:tr>
      <w:tr w14:paraId="5DD184D6">
        <w:tblPrEx>
          <w:tblCellMar>
            <w:top w:w="0" w:type="dxa"/>
            <w:left w:w="108" w:type="dxa"/>
            <w:bottom w:w="0" w:type="dxa"/>
            <w:right w:w="108" w:type="dxa"/>
          </w:tblCellMar>
        </w:tblPrEx>
        <w:trPr>
          <w:trHeight w:val="225" w:hRule="atLeast"/>
        </w:trPr>
        <w:tc>
          <w:tcPr>
            <w:tcW w:w="1030" w:type="dxa"/>
            <w:vMerge w:val="continue"/>
            <w:tcBorders>
              <w:left w:val="single" w:color="auto" w:sz="4" w:space="0"/>
              <w:bottom w:val="single" w:color="auto" w:sz="4" w:space="0"/>
              <w:right w:val="single" w:color="auto" w:sz="4" w:space="0"/>
            </w:tcBorders>
            <w:vAlign w:val="center"/>
          </w:tcPr>
          <w:p w14:paraId="257E490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7975AD7">
            <w:pPr>
              <w:spacing w:line="320" w:lineRule="exact"/>
              <w:jc w:val="left"/>
              <w:rPr>
                <w:color w:val="000000"/>
                <w:kern w:val="0"/>
                <w:sz w:val="18"/>
                <w:szCs w:val="18"/>
              </w:rPr>
            </w:pPr>
            <w:r>
              <w:rPr>
                <w:rFonts w:hint="eastAsia"/>
                <w:color w:val="000000"/>
                <w:kern w:val="0"/>
                <w:sz w:val="18"/>
                <w:szCs w:val="18"/>
              </w:rPr>
              <w:t>造成人身、财产损害，且未依法承担赔偿责任的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23127E21">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E247F34">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1500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bl>
    <w:p w14:paraId="78DADD47"/>
    <w:p w14:paraId="6B4BF6C1"/>
    <w:p w14:paraId="20B84B77"/>
    <w:p w14:paraId="59D22CAF"/>
    <w:p w14:paraId="1A099026"/>
    <w:p w14:paraId="2E99B06B"/>
    <w:p w14:paraId="6BB155EB"/>
    <w:p w14:paraId="07520D54"/>
    <w:p w14:paraId="33479CAF"/>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679547A1">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02DE207F">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63F061A9">
            <w:pPr>
              <w:spacing w:line="320" w:lineRule="exact"/>
              <w:jc w:val="left"/>
              <w:rPr>
                <w:rFonts w:eastAsia="仿宋_GB2312"/>
                <w:b/>
                <w:bCs/>
                <w:color w:val="000000"/>
                <w:kern w:val="0"/>
                <w:sz w:val="18"/>
                <w:szCs w:val="18"/>
              </w:rPr>
            </w:pPr>
            <w:r>
              <w:rPr>
                <w:rFonts w:eastAsia="仿宋_GB2312"/>
                <w:b/>
                <w:bCs/>
                <w:color w:val="000000"/>
                <w:kern w:val="0"/>
                <w:sz w:val="18"/>
                <w:szCs w:val="18"/>
              </w:rPr>
              <w:t>320217733000</w:t>
            </w:r>
          </w:p>
        </w:tc>
      </w:tr>
      <w:tr w14:paraId="39EE9F87">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6D6D91AF">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368D6FFF">
            <w:pPr>
              <w:spacing w:line="320" w:lineRule="exact"/>
              <w:jc w:val="left"/>
              <w:rPr>
                <w:color w:val="000000"/>
                <w:kern w:val="0"/>
                <w:sz w:val="18"/>
                <w:szCs w:val="18"/>
              </w:rPr>
            </w:pPr>
            <w:r>
              <w:rPr>
                <w:rFonts w:hint="eastAsia"/>
                <w:color w:val="000000"/>
                <w:kern w:val="0"/>
                <w:sz w:val="18"/>
                <w:szCs w:val="18"/>
              </w:rPr>
              <w:t>对评估机构未按本法规定的期限保存评估档案的处罚（限房地产估价业务）</w:t>
            </w:r>
          </w:p>
        </w:tc>
      </w:tr>
      <w:tr w14:paraId="3FC4F4FD">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1B2ECABC">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7BBB035C">
            <w:pPr>
              <w:spacing w:line="320" w:lineRule="exact"/>
              <w:jc w:val="left"/>
              <w:rPr>
                <w:color w:val="000000"/>
                <w:kern w:val="0"/>
                <w:sz w:val="18"/>
                <w:szCs w:val="18"/>
              </w:rPr>
            </w:pPr>
            <w:r>
              <w:rPr>
                <w:rFonts w:hint="eastAsia"/>
                <w:color w:val="000000"/>
                <w:kern w:val="0"/>
                <w:sz w:val="18"/>
                <w:szCs w:val="18"/>
              </w:rPr>
              <w:t>【法律】《中华人民共和国资产评估法》</w:t>
            </w:r>
          </w:p>
          <w:p w14:paraId="5FB2F6D2">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评估档案的保存期限不少于十五年，属于法定评估业务的，保存期限不少于三十年。</w:t>
            </w:r>
          </w:p>
          <w:p w14:paraId="0938BFC3">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14:paraId="71C50BC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w:t>
            </w:r>
            <w:r>
              <w:rPr>
                <w:color w:val="000000"/>
                <w:kern w:val="0"/>
                <w:sz w:val="18"/>
                <w:szCs w:val="18"/>
              </w:rPr>
              <w:t>）</w:t>
            </w:r>
            <w:r>
              <w:rPr>
                <w:rFonts w:hint="eastAsia"/>
                <w:color w:val="000000"/>
                <w:kern w:val="0"/>
                <w:sz w:val="18"/>
                <w:szCs w:val="18"/>
              </w:rPr>
              <w:t>未按本法规定的期限保存评估档案的</w:t>
            </w:r>
            <w:r>
              <w:rPr>
                <w:color w:val="000000"/>
                <w:kern w:val="0"/>
                <w:sz w:val="18"/>
                <w:szCs w:val="18"/>
              </w:rPr>
              <w:t>;</w:t>
            </w:r>
          </w:p>
        </w:tc>
      </w:tr>
      <w:tr w14:paraId="3BDE816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7B7B2782">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52AE171C">
            <w:pPr>
              <w:spacing w:line="320" w:lineRule="exact"/>
              <w:jc w:val="left"/>
              <w:rPr>
                <w:color w:val="000000"/>
                <w:kern w:val="0"/>
                <w:sz w:val="18"/>
                <w:szCs w:val="18"/>
              </w:rPr>
            </w:pPr>
            <w:r>
              <w:rPr>
                <w:rFonts w:hint="eastAsia"/>
                <w:color w:val="000000"/>
                <w:kern w:val="0"/>
                <w:sz w:val="18"/>
                <w:szCs w:val="18"/>
              </w:rPr>
              <w:t>警告，没收违法所得，责令停业，罚款，吊销注册证书</w:t>
            </w:r>
          </w:p>
        </w:tc>
      </w:tr>
      <w:tr w14:paraId="585318BB">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2700A438">
            <w:pPr>
              <w:spacing w:line="320" w:lineRule="exact"/>
              <w:jc w:val="center"/>
              <w:rPr>
                <w:color w:val="000000"/>
                <w:kern w:val="0"/>
                <w:sz w:val="18"/>
                <w:szCs w:val="18"/>
              </w:rPr>
            </w:pPr>
            <w:r>
              <w:rPr>
                <w:rFonts w:hint="eastAsia"/>
                <w:color w:val="000000"/>
                <w:kern w:val="0"/>
                <w:sz w:val="18"/>
                <w:szCs w:val="18"/>
              </w:rPr>
              <w:t>裁量基准</w:t>
            </w:r>
          </w:p>
        </w:tc>
      </w:tr>
      <w:tr w14:paraId="0DBCCFF1">
        <w:tblPrEx>
          <w:tblCellMar>
            <w:top w:w="0" w:type="dxa"/>
            <w:left w:w="108" w:type="dxa"/>
            <w:bottom w:w="0" w:type="dxa"/>
            <w:right w:w="108" w:type="dxa"/>
          </w:tblCellMar>
        </w:tblPrEx>
        <w:trPr>
          <w:trHeight w:val="650" w:hRule="atLeast"/>
        </w:trPr>
        <w:tc>
          <w:tcPr>
            <w:tcW w:w="1030" w:type="dxa"/>
            <w:vMerge w:val="restart"/>
            <w:tcBorders>
              <w:top w:val="single" w:color="auto" w:sz="4" w:space="0"/>
              <w:left w:val="single" w:color="auto" w:sz="4" w:space="0"/>
              <w:right w:val="single" w:color="auto" w:sz="4" w:space="0"/>
            </w:tcBorders>
            <w:vAlign w:val="center"/>
          </w:tcPr>
          <w:p w14:paraId="40DA6874">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4F641DFC">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color="auto" w:sz="4" w:space="0"/>
              <w:left w:val="single" w:color="auto" w:sz="4" w:space="0"/>
              <w:right w:val="single" w:color="auto" w:sz="4" w:space="0"/>
            </w:tcBorders>
            <w:vAlign w:val="center"/>
          </w:tcPr>
          <w:p w14:paraId="58759308">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47C7E3C9">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4892B318">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5F3CFDA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8EE8BE9">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val="continue"/>
            <w:tcBorders>
              <w:left w:val="single" w:color="auto" w:sz="4" w:space="0"/>
              <w:bottom w:val="single" w:color="auto" w:sz="4" w:space="0"/>
              <w:right w:val="single" w:color="auto" w:sz="4" w:space="0"/>
            </w:tcBorders>
            <w:vAlign w:val="center"/>
          </w:tcPr>
          <w:p w14:paraId="64450721">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E50F617">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5CF65543"/>
    <w:p w14:paraId="46C0D659"/>
    <w:p w14:paraId="59ED5884"/>
    <w:p w14:paraId="31AD19FD"/>
    <w:p w14:paraId="58DE927B"/>
    <w:p w14:paraId="5CF2D571"/>
    <w:p w14:paraId="3FAA60B6"/>
    <w:p w14:paraId="4186A389"/>
    <w:p w14:paraId="4B4D2D8B"/>
    <w:p w14:paraId="6EDECFBE"/>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0351F510">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7BCC0961">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24EE6F4A">
            <w:pPr>
              <w:spacing w:line="320" w:lineRule="exact"/>
              <w:jc w:val="left"/>
              <w:rPr>
                <w:rFonts w:eastAsia="仿宋_GB2312"/>
                <w:b/>
                <w:bCs/>
                <w:color w:val="000000"/>
                <w:kern w:val="0"/>
                <w:sz w:val="18"/>
                <w:szCs w:val="18"/>
              </w:rPr>
            </w:pPr>
            <w:r>
              <w:rPr>
                <w:rFonts w:eastAsia="仿宋_GB2312"/>
                <w:b/>
                <w:bCs/>
                <w:color w:val="000000"/>
                <w:kern w:val="0"/>
                <w:sz w:val="18"/>
                <w:szCs w:val="18"/>
              </w:rPr>
              <w:t>320217734000</w:t>
            </w:r>
          </w:p>
        </w:tc>
      </w:tr>
      <w:tr w14:paraId="055CEC90">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149271E">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37006BFF">
            <w:pPr>
              <w:spacing w:line="320" w:lineRule="exact"/>
              <w:jc w:val="left"/>
              <w:rPr>
                <w:color w:val="000000"/>
                <w:kern w:val="0"/>
                <w:sz w:val="18"/>
                <w:szCs w:val="18"/>
              </w:rPr>
            </w:pPr>
            <w:r>
              <w:rPr>
                <w:rFonts w:hint="eastAsia"/>
                <w:color w:val="000000"/>
                <w:kern w:val="0"/>
                <w:sz w:val="18"/>
                <w:szCs w:val="18"/>
              </w:rPr>
              <w:t>对评估机构聘用或者指定不符合本法规定的人员从事评估业务的处罚（限房地产估价业务）</w:t>
            </w:r>
          </w:p>
        </w:tc>
      </w:tr>
      <w:tr w14:paraId="4ABCC6D4">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04AA7F60">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61EBB3E8">
            <w:pPr>
              <w:spacing w:line="320" w:lineRule="exact"/>
              <w:jc w:val="left"/>
              <w:rPr>
                <w:color w:val="000000"/>
                <w:kern w:val="0"/>
                <w:sz w:val="18"/>
                <w:szCs w:val="18"/>
              </w:rPr>
            </w:pPr>
            <w:r>
              <w:rPr>
                <w:rFonts w:hint="eastAsia"/>
                <w:color w:val="000000"/>
                <w:kern w:val="0"/>
                <w:sz w:val="18"/>
                <w:szCs w:val="18"/>
              </w:rPr>
              <w:t>【法律】《中华人民共和国资产评估法》</w:t>
            </w:r>
          </w:p>
          <w:p w14:paraId="4AEF4977">
            <w:pPr>
              <w:spacing w:line="320" w:lineRule="exact"/>
              <w:jc w:val="left"/>
              <w:rPr>
                <w:color w:val="000000"/>
                <w:kern w:val="0"/>
                <w:sz w:val="18"/>
                <w:szCs w:val="18"/>
              </w:rPr>
            </w:pPr>
            <w:r>
              <w:rPr>
                <w:rFonts w:hint="eastAsia"/>
                <w:color w:val="000000"/>
                <w:kern w:val="0"/>
                <w:sz w:val="18"/>
                <w:szCs w:val="18"/>
              </w:rPr>
              <w:t>第二十条　评估机构不得有下列行为：</w:t>
            </w:r>
          </w:p>
          <w:p w14:paraId="11757D6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w:t>
            </w:r>
            <w:r>
              <w:rPr>
                <w:color w:val="000000"/>
                <w:kern w:val="0"/>
                <w:sz w:val="18"/>
                <w:szCs w:val="18"/>
              </w:rPr>
              <w:t>）</w:t>
            </w:r>
            <w:r>
              <w:rPr>
                <w:rFonts w:hint="eastAsia"/>
                <w:color w:val="000000"/>
                <w:kern w:val="0"/>
                <w:sz w:val="18"/>
                <w:szCs w:val="18"/>
              </w:rPr>
              <w:t>聘用或者指定不符合本法规定的人员从事评估业务；</w:t>
            </w:r>
          </w:p>
          <w:p w14:paraId="7C7A5289">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14:paraId="6C22A72D">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八</w:t>
            </w:r>
            <w:r>
              <w:rPr>
                <w:color w:val="000000"/>
                <w:kern w:val="0"/>
                <w:sz w:val="18"/>
                <w:szCs w:val="18"/>
              </w:rPr>
              <w:t>）</w:t>
            </w:r>
            <w:r>
              <w:rPr>
                <w:rFonts w:hint="eastAsia"/>
                <w:color w:val="000000"/>
                <w:kern w:val="0"/>
                <w:sz w:val="18"/>
                <w:szCs w:val="18"/>
              </w:rPr>
              <w:t>聘用或者指定不符合本法规定的人员从事评估业务的</w:t>
            </w:r>
            <w:r>
              <w:rPr>
                <w:color w:val="000000"/>
                <w:kern w:val="0"/>
                <w:sz w:val="18"/>
                <w:szCs w:val="18"/>
              </w:rPr>
              <w:t>;</w:t>
            </w:r>
          </w:p>
          <w:p w14:paraId="68AA8E2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14:paraId="4CFABE20">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866C097">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6DF8A8BE">
            <w:pPr>
              <w:spacing w:line="320" w:lineRule="exact"/>
              <w:jc w:val="left"/>
              <w:rPr>
                <w:color w:val="000000"/>
                <w:kern w:val="0"/>
                <w:sz w:val="18"/>
                <w:szCs w:val="18"/>
              </w:rPr>
            </w:pPr>
            <w:r>
              <w:rPr>
                <w:rFonts w:hint="eastAsia"/>
                <w:color w:val="000000"/>
                <w:kern w:val="0"/>
                <w:sz w:val="18"/>
                <w:szCs w:val="18"/>
              </w:rPr>
              <w:t>警告，没收违法所得，责令停业，罚款</w:t>
            </w:r>
          </w:p>
        </w:tc>
      </w:tr>
      <w:tr w14:paraId="6BE3D7F3">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396889F4">
            <w:pPr>
              <w:spacing w:line="320" w:lineRule="exact"/>
              <w:jc w:val="center"/>
              <w:rPr>
                <w:color w:val="000000"/>
                <w:kern w:val="0"/>
                <w:sz w:val="18"/>
                <w:szCs w:val="18"/>
              </w:rPr>
            </w:pPr>
            <w:r>
              <w:rPr>
                <w:rFonts w:hint="eastAsia"/>
                <w:color w:val="000000"/>
                <w:kern w:val="0"/>
                <w:sz w:val="18"/>
                <w:szCs w:val="18"/>
              </w:rPr>
              <w:t>裁量基准</w:t>
            </w:r>
          </w:p>
        </w:tc>
      </w:tr>
      <w:tr w14:paraId="35F146E0">
        <w:tblPrEx>
          <w:tblCellMar>
            <w:top w:w="0" w:type="dxa"/>
            <w:left w:w="108" w:type="dxa"/>
            <w:bottom w:w="0" w:type="dxa"/>
            <w:right w:w="108" w:type="dxa"/>
          </w:tblCellMar>
        </w:tblPrEx>
        <w:trPr>
          <w:trHeight w:val="650" w:hRule="atLeast"/>
        </w:trPr>
        <w:tc>
          <w:tcPr>
            <w:tcW w:w="1030" w:type="dxa"/>
            <w:vMerge w:val="restart"/>
            <w:tcBorders>
              <w:top w:val="single" w:color="auto" w:sz="4" w:space="0"/>
              <w:left w:val="single" w:color="auto" w:sz="4" w:space="0"/>
              <w:right w:val="single" w:color="auto" w:sz="4" w:space="0"/>
            </w:tcBorders>
            <w:vAlign w:val="center"/>
          </w:tcPr>
          <w:p w14:paraId="4DF31C0A">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1579C26E">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color="auto" w:sz="4" w:space="0"/>
              <w:left w:val="single" w:color="auto" w:sz="4" w:space="0"/>
              <w:right w:val="single" w:color="auto" w:sz="4" w:space="0"/>
            </w:tcBorders>
            <w:vAlign w:val="center"/>
          </w:tcPr>
          <w:p w14:paraId="727AED13">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6797154A">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421FC6C3">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76EC5A8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E356B0A">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val="continue"/>
            <w:tcBorders>
              <w:left w:val="single" w:color="auto" w:sz="4" w:space="0"/>
              <w:bottom w:val="single" w:color="auto" w:sz="4" w:space="0"/>
              <w:right w:val="single" w:color="auto" w:sz="4" w:space="0"/>
            </w:tcBorders>
            <w:vAlign w:val="center"/>
          </w:tcPr>
          <w:p w14:paraId="3BAE507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02A05DBC">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32E2DF80"/>
    <w:p w14:paraId="6B36912B"/>
    <w:p w14:paraId="7D656BB3"/>
    <w:p w14:paraId="6193391C"/>
    <w:p w14:paraId="4A3AB446"/>
    <w:p w14:paraId="296E3358"/>
    <w:p w14:paraId="1B6D4B87"/>
    <w:p w14:paraId="7E783699"/>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5145DA04">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73E15F19">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120CF06B">
            <w:pPr>
              <w:spacing w:line="320" w:lineRule="exact"/>
              <w:jc w:val="left"/>
              <w:rPr>
                <w:rFonts w:eastAsia="仿宋_GB2312"/>
                <w:b/>
                <w:bCs/>
                <w:color w:val="000000"/>
                <w:kern w:val="0"/>
                <w:sz w:val="18"/>
                <w:szCs w:val="18"/>
              </w:rPr>
            </w:pPr>
            <w:r>
              <w:rPr>
                <w:rFonts w:eastAsia="仿宋_GB2312"/>
                <w:b/>
                <w:bCs/>
                <w:color w:val="000000"/>
                <w:kern w:val="0"/>
                <w:sz w:val="18"/>
                <w:szCs w:val="18"/>
              </w:rPr>
              <w:t>320217735000</w:t>
            </w:r>
          </w:p>
        </w:tc>
      </w:tr>
      <w:tr w14:paraId="4B8F3FAB">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B44507E">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24D00920">
            <w:pPr>
              <w:spacing w:line="320" w:lineRule="exact"/>
              <w:jc w:val="left"/>
              <w:rPr>
                <w:color w:val="000000"/>
                <w:kern w:val="0"/>
                <w:sz w:val="18"/>
                <w:szCs w:val="18"/>
              </w:rPr>
            </w:pPr>
            <w:r>
              <w:rPr>
                <w:rFonts w:hint="eastAsia"/>
                <w:color w:val="000000"/>
                <w:kern w:val="0"/>
                <w:sz w:val="18"/>
                <w:szCs w:val="18"/>
              </w:rPr>
              <w:t>对评估机构对本机构的评估专业人员疏于管理，造成不良后果的处罚（限房地产估价业务）</w:t>
            </w:r>
          </w:p>
        </w:tc>
      </w:tr>
      <w:tr w14:paraId="394C015F">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2DEC3514">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6A9703BA">
            <w:pPr>
              <w:spacing w:line="320" w:lineRule="exact"/>
              <w:jc w:val="left"/>
              <w:rPr>
                <w:color w:val="000000"/>
                <w:kern w:val="0"/>
                <w:sz w:val="18"/>
                <w:szCs w:val="18"/>
              </w:rPr>
            </w:pPr>
            <w:r>
              <w:rPr>
                <w:rFonts w:hint="eastAsia"/>
                <w:color w:val="000000"/>
                <w:kern w:val="0"/>
                <w:sz w:val="18"/>
                <w:szCs w:val="18"/>
              </w:rPr>
              <w:t>【法律】《中华人民共和国资产评估法》</w:t>
            </w:r>
          </w:p>
          <w:p w14:paraId="54D72C06">
            <w:pPr>
              <w:spacing w:line="320" w:lineRule="exact"/>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评估机构应当建立健全内部管理制度，对本机构的评估专业人员遵守法律、行政法规和评估准则的情况进行监督，并对其从业行为负责。</w:t>
            </w:r>
          </w:p>
          <w:p w14:paraId="4F32F9B6">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14:paraId="064423FD">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九</w:t>
            </w:r>
            <w:r>
              <w:rPr>
                <w:color w:val="000000"/>
                <w:kern w:val="0"/>
                <w:sz w:val="18"/>
                <w:szCs w:val="18"/>
              </w:rPr>
              <w:t>）</w:t>
            </w:r>
            <w:r>
              <w:rPr>
                <w:rFonts w:hint="eastAsia"/>
                <w:color w:val="000000"/>
                <w:kern w:val="0"/>
                <w:sz w:val="18"/>
                <w:szCs w:val="18"/>
              </w:rPr>
              <w:t>对本机构的评估专业人员疏于管理，造成不良后果的。</w:t>
            </w:r>
          </w:p>
          <w:p w14:paraId="4EEF1FFC">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14:paraId="14EC6C9B">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BF28741">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7ED06E4D">
            <w:pPr>
              <w:spacing w:line="320" w:lineRule="exact"/>
              <w:jc w:val="left"/>
              <w:rPr>
                <w:color w:val="000000"/>
                <w:kern w:val="0"/>
                <w:sz w:val="18"/>
                <w:szCs w:val="18"/>
              </w:rPr>
            </w:pPr>
            <w:r>
              <w:rPr>
                <w:rFonts w:hint="eastAsia"/>
                <w:color w:val="000000"/>
                <w:kern w:val="0"/>
                <w:sz w:val="18"/>
                <w:szCs w:val="18"/>
              </w:rPr>
              <w:t>警告，没收违法所得，责令停业，罚款</w:t>
            </w:r>
          </w:p>
        </w:tc>
      </w:tr>
      <w:tr w14:paraId="2A6AF0E1">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39AE35D5">
            <w:pPr>
              <w:spacing w:line="320" w:lineRule="exact"/>
              <w:jc w:val="center"/>
              <w:rPr>
                <w:color w:val="000000"/>
                <w:kern w:val="0"/>
                <w:sz w:val="18"/>
                <w:szCs w:val="18"/>
              </w:rPr>
            </w:pPr>
            <w:r>
              <w:rPr>
                <w:rFonts w:hint="eastAsia"/>
                <w:color w:val="000000"/>
                <w:kern w:val="0"/>
                <w:sz w:val="18"/>
                <w:szCs w:val="18"/>
              </w:rPr>
              <w:t>裁量基准</w:t>
            </w:r>
          </w:p>
        </w:tc>
      </w:tr>
      <w:tr w14:paraId="68C44642">
        <w:tblPrEx>
          <w:tblCellMar>
            <w:top w:w="0" w:type="dxa"/>
            <w:left w:w="108" w:type="dxa"/>
            <w:bottom w:w="0" w:type="dxa"/>
            <w:right w:w="108" w:type="dxa"/>
          </w:tblCellMar>
        </w:tblPrEx>
        <w:trPr>
          <w:trHeight w:val="650" w:hRule="atLeast"/>
        </w:trPr>
        <w:tc>
          <w:tcPr>
            <w:tcW w:w="1030" w:type="dxa"/>
            <w:vMerge w:val="restart"/>
            <w:tcBorders>
              <w:top w:val="single" w:color="auto" w:sz="4" w:space="0"/>
              <w:left w:val="single" w:color="auto" w:sz="4" w:space="0"/>
              <w:right w:val="single" w:color="auto" w:sz="4" w:space="0"/>
            </w:tcBorders>
            <w:vAlign w:val="center"/>
          </w:tcPr>
          <w:p w14:paraId="0060C323">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04F63E03">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color="auto" w:sz="4" w:space="0"/>
              <w:left w:val="single" w:color="auto" w:sz="4" w:space="0"/>
              <w:right w:val="single" w:color="auto" w:sz="4" w:space="0"/>
            </w:tcBorders>
            <w:vAlign w:val="center"/>
          </w:tcPr>
          <w:p w14:paraId="4A03E8A4">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73D6160E">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03D8E495">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13841623">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F281EA6">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val="continue"/>
            <w:tcBorders>
              <w:left w:val="single" w:color="auto" w:sz="4" w:space="0"/>
              <w:bottom w:val="single" w:color="auto" w:sz="4" w:space="0"/>
              <w:right w:val="single" w:color="auto" w:sz="4" w:space="0"/>
            </w:tcBorders>
            <w:vAlign w:val="center"/>
          </w:tcPr>
          <w:p w14:paraId="2DA6641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0B1E368B">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77FCB7B6"/>
    <w:p w14:paraId="3C2618FD"/>
    <w:p w14:paraId="2786A5A0"/>
    <w:p w14:paraId="6CA0C91A"/>
    <w:p w14:paraId="31D147EE"/>
    <w:p w14:paraId="19211B12"/>
    <w:p w14:paraId="6FD0E210"/>
    <w:p w14:paraId="39BF8FDC"/>
    <w:p w14:paraId="507F6A6F"/>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37925D08">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724050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5CE45B95">
            <w:pPr>
              <w:spacing w:line="320" w:lineRule="exact"/>
              <w:jc w:val="left"/>
              <w:rPr>
                <w:rFonts w:eastAsia="仿宋_GB2312"/>
                <w:b/>
                <w:bCs/>
                <w:color w:val="000000"/>
                <w:kern w:val="0"/>
                <w:sz w:val="18"/>
                <w:szCs w:val="18"/>
              </w:rPr>
            </w:pPr>
            <w:r>
              <w:rPr>
                <w:rFonts w:eastAsia="仿宋_GB2312"/>
                <w:b/>
                <w:bCs/>
                <w:color w:val="000000"/>
                <w:kern w:val="0"/>
                <w:sz w:val="18"/>
                <w:szCs w:val="18"/>
              </w:rPr>
              <w:t>320217736000</w:t>
            </w:r>
          </w:p>
        </w:tc>
      </w:tr>
      <w:tr w14:paraId="6905C53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D007E0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3FF68645">
            <w:pPr>
              <w:spacing w:line="320" w:lineRule="exact"/>
              <w:jc w:val="left"/>
              <w:rPr>
                <w:b/>
                <w:color w:val="000000"/>
                <w:kern w:val="0"/>
                <w:sz w:val="18"/>
                <w:szCs w:val="18"/>
              </w:rPr>
            </w:pPr>
            <w:r>
              <w:rPr>
                <w:rFonts w:hint="eastAsia"/>
                <w:color w:val="000000"/>
                <w:spacing w:val="-6"/>
                <w:kern w:val="0"/>
                <w:sz w:val="18"/>
                <w:szCs w:val="18"/>
              </w:rPr>
              <w:t>对施工单位未对超过一定规模的危大工程专项施工方案进行专家论证的处罚</w:t>
            </w:r>
          </w:p>
        </w:tc>
      </w:tr>
      <w:tr w14:paraId="04410F6B">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4D98FA9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5D89711A">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3ACDCD80">
            <w:pPr>
              <w:spacing w:line="320" w:lineRule="exact"/>
              <w:jc w:val="left"/>
              <w:rPr>
                <w:color w:val="000000"/>
                <w:kern w:val="0"/>
                <w:sz w:val="18"/>
                <w:szCs w:val="18"/>
              </w:rPr>
            </w:pPr>
            <w:r>
              <w:rPr>
                <w:rFonts w:hint="eastAsia"/>
                <w:color w:val="000000"/>
                <w:kern w:val="0"/>
                <w:sz w:val="18"/>
                <w:szCs w:val="18"/>
              </w:rPr>
              <w:t>　　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14:paraId="3C2A0B55">
            <w:pPr>
              <w:spacing w:line="320" w:lineRule="exact"/>
              <w:jc w:val="left"/>
              <w:rPr>
                <w:color w:val="000000"/>
                <w:kern w:val="0"/>
                <w:sz w:val="18"/>
                <w:szCs w:val="18"/>
              </w:rPr>
            </w:pPr>
            <w:r>
              <w:rPr>
                <w:rFonts w:hint="eastAsia"/>
                <w:color w:val="000000"/>
                <w:kern w:val="0"/>
                <w:sz w:val="18"/>
                <w:szCs w:val="18"/>
              </w:rPr>
              <w:t>　　专家应当从地方人民政府住房城乡建设主管部门建立的专家库中选取，符合专业要求且人数不得少于</w:t>
            </w:r>
            <w:r>
              <w:rPr>
                <w:color w:val="000000"/>
                <w:kern w:val="0"/>
                <w:sz w:val="18"/>
                <w:szCs w:val="18"/>
              </w:rPr>
              <w:t>5</w:t>
            </w:r>
            <w:r>
              <w:rPr>
                <w:rFonts w:hint="eastAsia"/>
                <w:color w:val="000000"/>
                <w:kern w:val="0"/>
                <w:sz w:val="18"/>
                <w:szCs w:val="18"/>
              </w:rPr>
              <w:t>名。与本工程有利害关系的人员不得以专家身份参加专家论证会。</w:t>
            </w:r>
          </w:p>
          <w:p w14:paraId="16EE8933">
            <w:pPr>
              <w:spacing w:line="320" w:lineRule="exact"/>
              <w:jc w:val="left"/>
              <w:rPr>
                <w:color w:val="000000"/>
                <w:kern w:val="0"/>
                <w:sz w:val="18"/>
                <w:szCs w:val="18"/>
              </w:rPr>
            </w:pPr>
            <w:r>
              <w:rPr>
                <w:rFonts w:hint="eastAsia"/>
                <w:color w:val="000000"/>
                <w:kern w:val="0"/>
                <w:sz w:val="18"/>
                <w:szCs w:val="18"/>
              </w:rPr>
              <w:t>　　第三十四条　施工单位有下列行为之一的，责令限期改正，处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36AAEBF1">
            <w:pPr>
              <w:spacing w:line="320" w:lineRule="exact"/>
              <w:jc w:val="left"/>
              <w:rPr>
                <w:color w:val="000000"/>
                <w:kern w:val="0"/>
                <w:sz w:val="18"/>
                <w:szCs w:val="18"/>
              </w:rPr>
            </w:pPr>
            <w:r>
              <w:rPr>
                <w:rFonts w:hint="eastAsia"/>
                <w:color w:val="000000"/>
                <w:kern w:val="0"/>
                <w:sz w:val="18"/>
                <w:szCs w:val="18"/>
              </w:rPr>
              <w:t>　　（一）未对超过一定规模的危大工程专项施工方案进行专家论证的；</w:t>
            </w:r>
          </w:p>
        </w:tc>
      </w:tr>
      <w:tr w14:paraId="49F510D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0DDBB7F">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2657797">
            <w:pPr>
              <w:spacing w:line="320" w:lineRule="exact"/>
              <w:jc w:val="left"/>
              <w:rPr>
                <w:color w:val="000000"/>
                <w:kern w:val="0"/>
                <w:sz w:val="18"/>
                <w:szCs w:val="18"/>
              </w:rPr>
            </w:pPr>
            <w:r>
              <w:rPr>
                <w:rFonts w:hint="eastAsia"/>
                <w:color w:val="000000"/>
                <w:kern w:val="0"/>
                <w:sz w:val="18"/>
                <w:szCs w:val="18"/>
              </w:rPr>
              <w:t>责令限期改正，罚款，暂扣安全生产许可证</w:t>
            </w:r>
          </w:p>
        </w:tc>
      </w:tr>
      <w:tr w14:paraId="51DBE88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197CA73">
            <w:pPr>
              <w:spacing w:line="320" w:lineRule="exact"/>
              <w:jc w:val="center"/>
              <w:rPr>
                <w:color w:val="000000"/>
                <w:kern w:val="0"/>
                <w:sz w:val="18"/>
                <w:szCs w:val="18"/>
              </w:rPr>
            </w:pPr>
            <w:r>
              <w:rPr>
                <w:rFonts w:hint="eastAsia"/>
                <w:color w:val="000000"/>
                <w:kern w:val="0"/>
                <w:sz w:val="18"/>
                <w:szCs w:val="18"/>
              </w:rPr>
              <w:t>裁量基准</w:t>
            </w:r>
          </w:p>
        </w:tc>
      </w:tr>
      <w:tr w14:paraId="2A2005BC">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568A2D0A">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32E53D78">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01161D9A">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014A328E">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tc>
      </w:tr>
      <w:tr w14:paraId="1340D22C">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26506FA5">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66DC5CB2">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2A314D86">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3734E617">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p w14:paraId="55B084AD">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46ED0F82">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68823777">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2F06AAE2">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52575B98">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37A2228A">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万元以下罚款，安全生产许可证暂扣期限根据事故等级按照有关规定执行</w:t>
            </w:r>
          </w:p>
          <w:p w14:paraId="202F8C96">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60AB7178"/>
    <w:p w14:paraId="342C12A5"/>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679133BA">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82D2086">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4F5C4236">
            <w:pPr>
              <w:spacing w:line="320" w:lineRule="exact"/>
              <w:jc w:val="left"/>
              <w:rPr>
                <w:rFonts w:eastAsia="仿宋_GB2312"/>
                <w:b/>
                <w:bCs/>
                <w:color w:val="000000"/>
                <w:kern w:val="0"/>
                <w:sz w:val="18"/>
                <w:szCs w:val="18"/>
              </w:rPr>
            </w:pPr>
            <w:r>
              <w:rPr>
                <w:rFonts w:eastAsia="仿宋_GB2312"/>
                <w:b/>
                <w:bCs/>
                <w:color w:val="000000"/>
                <w:kern w:val="0"/>
                <w:sz w:val="18"/>
                <w:szCs w:val="18"/>
              </w:rPr>
              <w:t>320217737000</w:t>
            </w:r>
          </w:p>
        </w:tc>
      </w:tr>
      <w:tr w14:paraId="6371109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1CB6B6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141CDD5D">
            <w:pPr>
              <w:spacing w:line="320" w:lineRule="exact"/>
              <w:jc w:val="left"/>
              <w:rPr>
                <w:b/>
                <w:color w:val="000000"/>
                <w:kern w:val="0"/>
                <w:sz w:val="18"/>
                <w:szCs w:val="18"/>
              </w:rPr>
            </w:pPr>
            <w:r>
              <w:rPr>
                <w:rFonts w:hint="eastAsia"/>
                <w:color w:val="000000"/>
                <w:spacing w:val="-6"/>
                <w:kern w:val="0"/>
                <w:sz w:val="18"/>
                <w:szCs w:val="18"/>
              </w:rPr>
              <w:t>未根据专家论证报告对超过一定规模的危大工程专项施工方案进行修改，或者未按照本规定重新组织专家论证的处罚</w:t>
            </w:r>
          </w:p>
        </w:tc>
      </w:tr>
      <w:tr w14:paraId="31BE17CE">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55B9E98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25CD4E2E">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0F1303B7">
            <w:pPr>
              <w:spacing w:line="320" w:lineRule="exact"/>
              <w:jc w:val="left"/>
              <w:rPr>
                <w:color w:val="000000"/>
                <w:kern w:val="0"/>
                <w:sz w:val="18"/>
                <w:szCs w:val="18"/>
              </w:rPr>
            </w:pPr>
            <w:r>
              <w:rPr>
                <w:rFonts w:hint="eastAsia"/>
                <w:color w:val="000000"/>
                <w:kern w:val="0"/>
                <w:sz w:val="18"/>
                <w:szCs w:val="18"/>
              </w:rPr>
              <w:t>　　第十三条　专家论证会后，应当形成论证报告，对专项施工方案提出通过、修改后通过或者不通过的一致意见。专家对论证报告负责并签字确认。</w:t>
            </w:r>
          </w:p>
          <w:p w14:paraId="7AD91630">
            <w:pPr>
              <w:spacing w:line="320" w:lineRule="exact"/>
              <w:jc w:val="left"/>
              <w:rPr>
                <w:color w:val="000000"/>
                <w:kern w:val="0"/>
                <w:sz w:val="18"/>
                <w:szCs w:val="18"/>
              </w:rPr>
            </w:pPr>
            <w:r>
              <w:rPr>
                <w:rFonts w:hint="eastAsia"/>
                <w:color w:val="000000"/>
                <w:kern w:val="0"/>
                <w:sz w:val="18"/>
                <w:szCs w:val="18"/>
              </w:rPr>
              <w:t>　　专项施工方案经论证需修改后通过的，施工单位应当根据论证报告修改完善后，重新履行本规定第十一条的程序。</w:t>
            </w:r>
          </w:p>
          <w:p w14:paraId="61EFCE3E">
            <w:pPr>
              <w:spacing w:line="320" w:lineRule="exact"/>
              <w:jc w:val="left"/>
              <w:rPr>
                <w:color w:val="000000"/>
                <w:kern w:val="0"/>
                <w:sz w:val="18"/>
                <w:szCs w:val="18"/>
              </w:rPr>
            </w:pPr>
            <w:r>
              <w:rPr>
                <w:rFonts w:hint="eastAsia"/>
                <w:color w:val="000000"/>
                <w:kern w:val="0"/>
                <w:sz w:val="18"/>
                <w:szCs w:val="18"/>
              </w:rPr>
              <w:t>　　专项施工方案经论证不通过的，施工单位修改后应当按照本规定的要求重新组织专家论证。</w:t>
            </w:r>
          </w:p>
          <w:p w14:paraId="6EF6A8A3">
            <w:pPr>
              <w:spacing w:line="320" w:lineRule="exact"/>
              <w:jc w:val="left"/>
              <w:rPr>
                <w:color w:val="000000"/>
                <w:kern w:val="0"/>
                <w:sz w:val="18"/>
                <w:szCs w:val="18"/>
              </w:rPr>
            </w:pPr>
            <w:r>
              <w:rPr>
                <w:rFonts w:hint="eastAsia"/>
                <w:color w:val="000000"/>
                <w:kern w:val="0"/>
                <w:sz w:val="18"/>
                <w:szCs w:val="18"/>
              </w:rPr>
              <w:t>　　第三十四条　施工单位有下列行为之一的，责令限期改正，处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72BF2A7F">
            <w:pPr>
              <w:spacing w:line="320" w:lineRule="exact"/>
              <w:jc w:val="left"/>
              <w:rPr>
                <w:color w:val="000000"/>
                <w:kern w:val="0"/>
                <w:sz w:val="18"/>
                <w:szCs w:val="18"/>
              </w:rPr>
            </w:pPr>
            <w:r>
              <w:rPr>
                <w:rFonts w:hint="eastAsia"/>
                <w:color w:val="000000"/>
                <w:kern w:val="0"/>
                <w:sz w:val="18"/>
                <w:szCs w:val="18"/>
              </w:rPr>
              <w:t>　　（二）未根据专家论证报告对超过一定规模的危大工程专项施工方案进行修改，或者未按照本规定重新组织专家论证的；</w:t>
            </w:r>
          </w:p>
        </w:tc>
      </w:tr>
      <w:tr w14:paraId="1AC8590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25FC84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4558D561">
            <w:pPr>
              <w:spacing w:line="320" w:lineRule="exact"/>
              <w:jc w:val="left"/>
              <w:rPr>
                <w:color w:val="000000"/>
                <w:kern w:val="0"/>
                <w:sz w:val="18"/>
                <w:szCs w:val="18"/>
              </w:rPr>
            </w:pPr>
            <w:r>
              <w:rPr>
                <w:rFonts w:hint="eastAsia"/>
                <w:color w:val="000000"/>
                <w:kern w:val="0"/>
                <w:sz w:val="18"/>
                <w:szCs w:val="18"/>
              </w:rPr>
              <w:t>责令限期改正，罚款，暂扣安全生产许可证</w:t>
            </w:r>
          </w:p>
        </w:tc>
      </w:tr>
      <w:tr w14:paraId="212418FC">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5FA9F5D9">
            <w:pPr>
              <w:spacing w:line="320" w:lineRule="exact"/>
              <w:jc w:val="center"/>
              <w:rPr>
                <w:color w:val="000000"/>
                <w:kern w:val="0"/>
                <w:sz w:val="18"/>
                <w:szCs w:val="18"/>
              </w:rPr>
            </w:pPr>
            <w:r>
              <w:rPr>
                <w:rFonts w:hint="eastAsia"/>
                <w:color w:val="000000"/>
                <w:kern w:val="0"/>
                <w:sz w:val="18"/>
                <w:szCs w:val="18"/>
              </w:rPr>
              <w:t>裁量基准</w:t>
            </w:r>
          </w:p>
        </w:tc>
      </w:tr>
      <w:tr w14:paraId="4B4BE051">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78AFE048">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3238C542">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21306BEE">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78031D94">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tc>
      </w:tr>
      <w:tr w14:paraId="286D5E28">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50184B44">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20BEB4DC">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69B3F5C0">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4040F7D4">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p w14:paraId="2487E712">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4291451D">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5F30257B">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54991983">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441FBF90">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775EC884">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万元以下罚款，安全生产许可证暂扣期限根据事故等级按照有关规定执行</w:t>
            </w:r>
          </w:p>
          <w:p w14:paraId="7E3D24A6">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263F075F"/>
    <w:p w14:paraId="6CB6BE98"/>
    <w:p w14:paraId="4AF5F1FB"/>
    <w:p w14:paraId="47124A17"/>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34A71F8F">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35B3D5ED">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57012B67">
            <w:pPr>
              <w:spacing w:line="320" w:lineRule="exact"/>
              <w:jc w:val="left"/>
              <w:rPr>
                <w:rFonts w:eastAsia="仿宋_GB2312"/>
                <w:b/>
                <w:bCs/>
                <w:color w:val="000000"/>
                <w:kern w:val="0"/>
                <w:sz w:val="18"/>
                <w:szCs w:val="18"/>
              </w:rPr>
            </w:pPr>
            <w:r>
              <w:rPr>
                <w:rFonts w:eastAsia="仿宋_GB2312"/>
                <w:b/>
                <w:bCs/>
                <w:color w:val="000000"/>
                <w:kern w:val="0"/>
                <w:sz w:val="18"/>
                <w:szCs w:val="18"/>
              </w:rPr>
              <w:t>320217738000</w:t>
            </w:r>
          </w:p>
        </w:tc>
      </w:tr>
      <w:tr w14:paraId="3356DC81">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7443D693">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74EB86A7">
            <w:pPr>
              <w:spacing w:line="320" w:lineRule="exact"/>
              <w:jc w:val="left"/>
              <w:rPr>
                <w:color w:val="000000"/>
                <w:kern w:val="0"/>
                <w:sz w:val="18"/>
                <w:szCs w:val="18"/>
              </w:rPr>
            </w:pPr>
            <w:r>
              <w:rPr>
                <w:rFonts w:hint="eastAsia"/>
                <w:color w:val="000000"/>
                <w:kern w:val="0"/>
                <w:sz w:val="18"/>
                <w:szCs w:val="18"/>
              </w:rPr>
              <w:t>对损坏或者擅自迁移、拆除传统村落内的传统建筑的处罚</w:t>
            </w:r>
          </w:p>
        </w:tc>
      </w:tr>
      <w:tr w14:paraId="0C44BE8D">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022105FF">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310FA5DB">
            <w:pPr>
              <w:spacing w:line="320" w:lineRule="exact"/>
              <w:jc w:val="left"/>
              <w:rPr>
                <w:color w:val="000000"/>
                <w:kern w:val="0"/>
                <w:sz w:val="18"/>
                <w:szCs w:val="18"/>
              </w:rPr>
            </w:pPr>
            <w:r>
              <w:rPr>
                <w:rFonts w:hint="eastAsia"/>
                <w:color w:val="000000"/>
                <w:kern w:val="0"/>
                <w:sz w:val="18"/>
                <w:szCs w:val="18"/>
              </w:rPr>
              <w:t>【规章】《江苏省传统村落保护办法》（江苏省人民政府令第</w:t>
            </w:r>
            <w:r>
              <w:rPr>
                <w:color w:val="000000"/>
                <w:kern w:val="0"/>
                <w:sz w:val="18"/>
                <w:szCs w:val="18"/>
              </w:rPr>
              <w:t>117</w:t>
            </w:r>
            <w:r>
              <w:rPr>
                <w:rFonts w:hint="eastAsia"/>
                <w:color w:val="000000"/>
                <w:kern w:val="0"/>
                <w:sz w:val="18"/>
                <w:szCs w:val="18"/>
              </w:rPr>
              <w:t>号）</w:t>
            </w:r>
          </w:p>
          <w:p w14:paraId="32E6828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第二十七条第四款</w:t>
            </w:r>
            <w:r>
              <w:rPr>
                <w:color w:val="000000"/>
                <w:kern w:val="0"/>
                <w:sz w:val="18"/>
                <w:szCs w:val="18"/>
              </w:rPr>
              <w:t xml:space="preserve">  </w:t>
            </w:r>
            <w:r>
              <w:rPr>
                <w:rFonts w:hint="eastAsia"/>
                <w:color w:val="000000"/>
                <w:kern w:val="0"/>
                <w:sz w:val="18"/>
                <w:szCs w:val="18"/>
              </w:rPr>
              <w:t>任何单位或者个人不得损坏或者擅自迁移、拆除传统村落内的传统建筑。</w:t>
            </w:r>
          </w:p>
          <w:p w14:paraId="05BF1234">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违反本办法第二十七条第四款规定，损坏或者擅自迁移、拆除传统村落内的传统建筑的，由县（市、区）人民政府住房城乡建设主管部门责令停止违法行为、恢复原状或者采取其他补救措施，对单位可以处以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万元以下的罚款，对个人可以处</w:t>
            </w:r>
            <w:r>
              <w:rPr>
                <w:color w:val="000000"/>
                <w:kern w:val="0"/>
                <w:sz w:val="18"/>
                <w:szCs w:val="18"/>
              </w:rPr>
              <w:t>500</w:t>
            </w:r>
            <w:r>
              <w:rPr>
                <w:rFonts w:hint="eastAsia"/>
                <w:color w:val="000000"/>
                <w:kern w:val="0"/>
                <w:sz w:val="18"/>
                <w:szCs w:val="18"/>
              </w:rPr>
              <w:t>元以下的罚款；对传统村落价值造成损失的，依法承担赔偿责任。</w:t>
            </w:r>
          </w:p>
        </w:tc>
      </w:tr>
      <w:tr w14:paraId="36076F2F">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4576848">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2030CCEE">
            <w:pPr>
              <w:spacing w:line="320" w:lineRule="exact"/>
              <w:jc w:val="left"/>
              <w:rPr>
                <w:color w:val="000000"/>
                <w:kern w:val="0"/>
                <w:sz w:val="18"/>
                <w:szCs w:val="18"/>
              </w:rPr>
            </w:pPr>
            <w:r>
              <w:rPr>
                <w:rFonts w:hint="eastAsia"/>
                <w:color w:val="000000"/>
                <w:kern w:val="0"/>
                <w:sz w:val="18"/>
                <w:szCs w:val="18"/>
              </w:rPr>
              <w:t>罚款</w:t>
            </w:r>
          </w:p>
        </w:tc>
      </w:tr>
      <w:tr w14:paraId="38C3697A">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6AEB2E91">
            <w:pPr>
              <w:spacing w:line="320" w:lineRule="exact"/>
              <w:jc w:val="center"/>
              <w:rPr>
                <w:color w:val="000000"/>
                <w:kern w:val="0"/>
                <w:sz w:val="18"/>
                <w:szCs w:val="18"/>
              </w:rPr>
            </w:pPr>
            <w:r>
              <w:rPr>
                <w:rFonts w:hint="eastAsia"/>
                <w:color w:val="000000"/>
                <w:kern w:val="0"/>
                <w:sz w:val="18"/>
                <w:szCs w:val="18"/>
              </w:rPr>
              <w:t>裁量基准</w:t>
            </w:r>
          </w:p>
        </w:tc>
      </w:tr>
      <w:tr w14:paraId="50BD6F90">
        <w:tblPrEx>
          <w:tblCellMar>
            <w:top w:w="0" w:type="dxa"/>
            <w:left w:w="108" w:type="dxa"/>
            <w:bottom w:w="0" w:type="dxa"/>
            <w:right w:w="108" w:type="dxa"/>
          </w:tblCellMar>
        </w:tblPrEx>
        <w:trPr>
          <w:trHeight w:val="970" w:hRule="atLeast"/>
        </w:trPr>
        <w:tc>
          <w:tcPr>
            <w:tcW w:w="1030" w:type="dxa"/>
            <w:vMerge w:val="restart"/>
            <w:tcBorders>
              <w:top w:val="single" w:color="auto" w:sz="4" w:space="0"/>
              <w:left w:val="single" w:color="auto" w:sz="4" w:space="0"/>
              <w:right w:val="single" w:color="auto" w:sz="4" w:space="0"/>
            </w:tcBorders>
            <w:vAlign w:val="center"/>
          </w:tcPr>
          <w:p w14:paraId="42784DC6">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132F17F9">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restart"/>
            <w:tcBorders>
              <w:top w:val="single" w:color="auto" w:sz="4" w:space="0"/>
              <w:left w:val="single" w:color="auto" w:sz="4" w:space="0"/>
              <w:right w:val="single" w:color="auto" w:sz="4" w:space="0"/>
            </w:tcBorders>
            <w:vAlign w:val="center"/>
          </w:tcPr>
          <w:p w14:paraId="0CE46DA0">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24E5D956">
            <w:pPr>
              <w:spacing w:line="320" w:lineRule="exact"/>
              <w:jc w:val="left"/>
              <w:rPr>
                <w:color w:val="000000"/>
                <w:kern w:val="0"/>
                <w:sz w:val="18"/>
                <w:szCs w:val="18"/>
              </w:rPr>
            </w:pPr>
            <w:r>
              <w:rPr>
                <w:rFonts w:hint="eastAsia"/>
                <w:color w:val="000000"/>
                <w:kern w:val="0"/>
                <w:sz w:val="18"/>
                <w:szCs w:val="18"/>
              </w:rPr>
              <w:t>对单位可以处以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万元以下的罚款，对个人可以处</w:t>
            </w:r>
            <w:r>
              <w:rPr>
                <w:color w:val="000000"/>
                <w:kern w:val="0"/>
                <w:sz w:val="18"/>
                <w:szCs w:val="18"/>
              </w:rPr>
              <w:t>100</w:t>
            </w:r>
            <w:r>
              <w:rPr>
                <w:rFonts w:hint="eastAsia"/>
                <w:color w:val="000000"/>
                <w:kern w:val="0"/>
                <w:sz w:val="18"/>
                <w:szCs w:val="18"/>
              </w:rPr>
              <w:t>元以下的罚款</w:t>
            </w:r>
          </w:p>
        </w:tc>
      </w:tr>
      <w:tr w14:paraId="7A190232">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17AC6CB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13BE5CF">
            <w:pPr>
              <w:spacing w:line="320" w:lineRule="exact"/>
              <w:jc w:val="left"/>
              <w:rPr>
                <w:color w:val="000000"/>
                <w:kern w:val="0"/>
                <w:sz w:val="18"/>
                <w:szCs w:val="18"/>
              </w:rPr>
            </w:pPr>
            <w:r>
              <w:rPr>
                <w:rFonts w:hint="eastAsia"/>
                <w:color w:val="000000"/>
                <w:kern w:val="0"/>
                <w:sz w:val="18"/>
                <w:szCs w:val="18"/>
              </w:rPr>
              <w:t>按要求停止违法行为、恢复原状或者采取其他补救措施，造成损失且未依法承担赔偿责任的</w:t>
            </w:r>
          </w:p>
        </w:tc>
        <w:tc>
          <w:tcPr>
            <w:tcW w:w="1080" w:type="dxa"/>
            <w:vMerge w:val="continue"/>
            <w:tcBorders>
              <w:left w:val="single" w:color="auto" w:sz="4" w:space="0"/>
              <w:right w:val="single" w:color="auto" w:sz="4" w:space="0"/>
            </w:tcBorders>
            <w:vAlign w:val="center"/>
          </w:tcPr>
          <w:p w14:paraId="383F7912">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031AAC02">
            <w:pPr>
              <w:spacing w:line="320" w:lineRule="exact"/>
              <w:jc w:val="left"/>
              <w:rPr>
                <w:color w:val="000000"/>
                <w:kern w:val="0"/>
                <w:sz w:val="18"/>
                <w:szCs w:val="18"/>
              </w:rPr>
            </w:pPr>
            <w:r>
              <w:rPr>
                <w:rFonts w:hint="eastAsia"/>
                <w:color w:val="000000"/>
                <w:kern w:val="0"/>
                <w:sz w:val="18"/>
                <w:szCs w:val="18"/>
              </w:rPr>
              <w:t>对单位可以处以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万元以下的罚款，对个人可以处</w:t>
            </w:r>
            <w:r>
              <w:rPr>
                <w:color w:val="000000"/>
                <w:kern w:val="0"/>
                <w:sz w:val="18"/>
                <w:szCs w:val="18"/>
              </w:rPr>
              <w:t>100</w:t>
            </w:r>
            <w:r>
              <w:rPr>
                <w:rFonts w:hint="eastAsia"/>
                <w:color w:val="000000"/>
                <w:kern w:val="0"/>
                <w:sz w:val="18"/>
                <w:szCs w:val="18"/>
              </w:rPr>
              <w:t>元以上</w:t>
            </w:r>
            <w:r>
              <w:rPr>
                <w:color w:val="000000"/>
                <w:kern w:val="0"/>
                <w:sz w:val="18"/>
                <w:szCs w:val="18"/>
              </w:rPr>
              <w:t>300</w:t>
            </w:r>
            <w:r>
              <w:rPr>
                <w:rFonts w:hint="eastAsia"/>
                <w:color w:val="000000"/>
                <w:kern w:val="0"/>
                <w:sz w:val="18"/>
                <w:szCs w:val="18"/>
              </w:rPr>
              <w:t>元以下的罚款</w:t>
            </w:r>
          </w:p>
        </w:tc>
      </w:tr>
      <w:tr w14:paraId="66360888">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60A1EAE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C9B68D7">
            <w:pPr>
              <w:spacing w:line="320" w:lineRule="exact"/>
              <w:jc w:val="left"/>
              <w:rPr>
                <w:color w:val="000000"/>
                <w:kern w:val="0"/>
                <w:sz w:val="18"/>
                <w:szCs w:val="18"/>
              </w:rPr>
            </w:pPr>
            <w:r>
              <w:rPr>
                <w:rFonts w:hint="eastAsia"/>
                <w:color w:val="000000"/>
                <w:kern w:val="0"/>
                <w:sz w:val="18"/>
                <w:szCs w:val="18"/>
              </w:rPr>
              <w:t>未按要求停止违法行为、恢复原状或者采取其他补救措施，造成损失且未依法承担赔偿责任的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0293931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E336641">
            <w:pPr>
              <w:spacing w:line="320" w:lineRule="exact"/>
              <w:jc w:val="left"/>
              <w:rPr>
                <w:color w:val="000000"/>
                <w:kern w:val="0"/>
                <w:sz w:val="18"/>
                <w:szCs w:val="18"/>
              </w:rPr>
            </w:pPr>
            <w:r>
              <w:rPr>
                <w:rFonts w:hint="eastAsia"/>
                <w:color w:val="000000"/>
                <w:kern w:val="0"/>
                <w:sz w:val="18"/>
                <w:szCs w:val="18"/>
              </w:rPr>
              <w:t>处对单位可以处以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万元以下的罚款，对个人可以处</w:t>
            </w:r>
            <w:r>
              <w:rPr>
                <w:color w:val="000000"/>
                <w:kern w:val="0"/>
                <w:sz w:val="18"/>
                <w:szCs w:val="18"/>
              </w:rPr>
              <w:t>300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元以下的罚款</w:t>
            </w:r>
          </w:p>
        </w:tc>
      </w:tr>
    </w:tbl>
    <w:p w14:paraId="5805CC19"/>
    <w:p w14:paraId="2FDB1FC7"/>
    <w:p w14:paraId="0C673DFA"/>
    <w:p w14:paraId="56996C5F"/>
    <w:p w14:paraId="64081E60"/>
    <w:p w14:paraId="3BEC2939"/>
    <w:p w14:paraId="6C4F2B86"/>
    <w:p w14:paraId="6E0EDC6A"/>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33B1117A">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4B053ED1">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0E42EFD5">
            <w:pPr>
              <w:spacing w:line="320" w:lineRule="exact"/>
              <w:jc w:val="left"/>
              <w:rPr>
                <w:rFonts w:eastAsia="仿宋_GB2312"/>
                <w:b/>
                <w:bCs/>
                <w:color w:val="000000"/>
                <w:kern w:val="0"/>
                <w:sz w:val="18"/>
                <w:szCs w:val="18"/>
              </w:rPr>
            </w:pPr>
            <w:r>
              <w:rPr>
                <w:rFonts w:eastAsia="仿宋_GB2312"/>
                <w:b/>
                <w:bCs/>
                <w:color w:val="000000"/>
                <w:kern w:val="0"/>
                <w:sz w:val="18"/>
                <w:szCs w:val="18"/>
              </w:rPr>
              <w:t>320217739000</w:t>
            </w:r>
          </w:p>
        </w:tc>
      </w:tr>
      <w:tr w14:paraId="7046FF54">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226C6257">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3CC474A8">
            <w:pPr>
              <w:spacing w:line="320" w:lineRule="exact"/>
              <w:jc w:val="left"/>
              <w:rPr>
                <w:color w:val="000000"/>
                <w:kern w:val="0"/>
                <w:sz w:val="18"/>
                <w:szCs w:val="18"/>
              </w:rPr>
            </w:pPr>
            <w:r>
              <w:rPr>
                <w:rFonts w:hint="eastAsia"/>
                <w:color w:val="000000"/>
                <w:kern w:val="0"/>
                <w:sz w:val="18"/>
                <w:szCs w:val="18"/>
              </w:rPr>
              <w:t>对擅自移动、涂改或者损毁传统村落内设置的传统村落保护标识标牌的处罚</w:t>
            </w:r>
          </w:p>
        </w:tc>
      </w:tr>
      <w:tr w14:paraId="4F992E10">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6CC719B1">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0CC14786">
            <w:pPr>
              <w:spacing w:line="320" w:lineRule="exact"/>
              <w:jc w:val="left"/>
              <w:rPr>
                <w:color w:val="000000"/>
                <w:kern w:val="0"/>
                <w:sz w:val="18"/>
                <w:szCs w:val="18"/>
              </w:rPr>
            </w:pPr>
            <w:r>
              <w:rPr>
                <w:rFonts w:hint="eastAsia"/>
                <w:color w:val="000000"/>
                <w:kern w:val="0"/>
                <w:sz w:val="18"/>
                <w:szCs w:val="18"/>
              </w:rPr>
              <w:t>【规章】《江苏省传统村落保护办法》（江苏省人民政府令第</w:t>
            </w:r>
            <w:r>
              <w:rPr>
                <w:color w:val="000000"/>
                <w:kern w:val="0"/>
                <w:sz w:val="18"/>
                <w:szCs w:val="18"/>
              </w:rPr>
              <w:t>117</w:t>
            </w:r>
            <w:r>
              <w:rPr>
                <w:rFonts w:hint="eastAsia"/>
                <w:color w:val="000000"/>
                <w:kern w:val="0"/>
                <w:sz w:val="18"/>
                <w:szCs w:val="18"/>
              </w:rPr>
              <w:t>号）</w:t>
            </w:r>
          </w:p>
          <w:p w14:paraId="2241CD4F">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任何单位和个人不得擅自移动、涂改或者损毁传统村落内设置的传统村落保护标识标牌。</w:t>
            </w:r>
            <w:r>
              <w:rPr>
                <w:color w:val="000000"/>
                <w:kern w:val="0"/>
                <w:sz w:val="18"/>
                <w:szCs w:val="18"/>
              </w:rPr>
              <w:t xml:space="preserve"> </w:t>
            </w:r>
          </w:p>
          <w:p w14:paraId="6969F489">
            <w:pPr>
              <w:spacing w:line="32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办法第二十九条规定，擅自移动、涂改或者损毁传统村落内设置的传统村落保护标识标牌的，由县（市、区）人民政府住房城乡建设主管部门责令限期改正、恢复原状或者采取其他补救措施，逾期不改正或者未采取其他补救措施恢复原状的，对单位可以处</w:t>
            </w:r>
            <w:r>
              <w:rPr>
                <w:color w:val="000000"/>
                <w:kern w:val="0"/>
                <w:sz w:val="18"/>
                <w:szCs w:val="18"/>
              </w:rPr>
              <w:t>2000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万元以下的罚款，对个人可以处</w:t>
            </w:r>
            <w:r>
              <w:rPr>
                <w:color w:val="000000"/>
                <w:kern w:val="0"/>
                <w:sz w:val="18"/>
                <w:szCs w:val="18"/>
              </w:rPr>
              <w:t>200</w:t>
            </w:r>
            <w:r>
              <w:rPr>
                <w:rFonts w:hint="eastAsia"/>
                <w:color w:val="000000"/>
                <w:kern w:val="0"/>
                <w:sz w:val="18"/>
                <w:szCs w:val="18"/>
              </w:rPr>
              <w:t>元以下的罚款。</w:t>
            </w:r>
          </w:p>
        </w:tc>
      </w:tr>
      <w:tr w14:paraId="3C662E46">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3269992">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432E0A10">
            <w:pPr>
              <w:spacing w:line="320" w:lineRule="exact"/>
              <w:jc w:val="left"/>
              <w:rPr>
                <w:color w:val="000000"/>
                <w:kern w:val="0"/>
                <w:sz w:val="18"/>
                <w:szCs w:val="18"/>
              </w:rPr>
            </w:pPr>
            <w:r>
              <w:rPr>
                <w:rFonts w:hint="eastAsia"/>
                <w:color w:val="000000"/>
                <w:kern w:val="0"/>
                <w:sz w:val="18"/>
                <w:szCs w:val="18"/>
              </w:rPr>
              <w:t>罚款</w:t>
            </w:r>
          </w:p>
        </w:tc>
      </w:tr>
      <w:tr w14:paraId="6A273A3A">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5E341BB2">
            <w:pPr>
              <w:spacing w:line="320" w:lineRule="exact"/>
              <w:jc w:val="center"/>
              <w:rPr>
                <w:color w:val="000000"/>
                <w:kern w:val="0"/>
                <w:sz w:val="18"/>
                <w:szCs w:val="18"/>
              </w:rPr>
            </w:pPr>
            <w:r>
              <w:rPr>
                <w:rFonts w:hint="eastAsia"/>
                <w:color w:val="000000"/>
                <w:kern w:val="0"/>
                <w:sz w:val="18"/>
                <w:szCs w:val="18"/>
              </w:rPr>
              <w:t>裁量基准</w:t>
            </w:r>
          </w:p>
        </w:tc>
      </w:tr>
      <w:tr w14:paraId="1DC56764">
        <w:tblPrEx>
          <w:tblCellMar>
            <w:top w:w="0" w:type="dxa"/>
            <w:left w:w="108" w:type="dxa"/>
            <w:bottom w:w="0" w:type="dxa"/>
            <w:right w:w="108" w:type="dxa"/>
          </w:tblCellMar>
        </w:tblPrEx>
        <w:trPr>
          <w:trHeight w:val="970" w:hRule="atLeast"/>
        </w:trPr>
        <w:tc>
          <w:tcPr>
            <w:tcW w:w="1030" w:type="dxa"/>
            <w:vMerge w:val="restart"/>
            <w:tcBorders>
              <w:top w:val="single" w:color="auto" w:sz="4" w:space="0"/>
              <w:left w:val="single" w:color="auto" w:sz="4" w:space="0"/>
              <w:bottom w:val="single" w:color="auto" w:sz="4" w:space="0"/>
              <w:right w:val="single" w:color="auto" w:sz="4" w:space="0"/>
            </w:tcBorders>
            <w:vAlign w:val="center"/>
          </w:tcPr>
          <w:p w14:paraId="639A9DEB">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45097A5B">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6DC12744">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6BD5FE9E">
            <w:pPr>
              <w:spacing w:line="320" w:lineRule="exact"/>
              <w:jc w:val="left"/>
              <w:rPr>
                <w:color w:val="000000"/>
                <w:kern w:val="0"/>
                <w:sz w:val="18"/>
                <w:szCs w:val="18"/>
              </w:rPr>
            </w:pPr>
            <w:r>
              <w:rPr>
                <w:rFonts w:hint="eastAsia"/>
                <w:color w:val="000000"/>
                <w:kern w:val="0"/>
                <w:sz w:val="18"/>
                <w:szCs w:val="18"/>
              </w:rPr>
              <w:t>对单位可以处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元以下的罚款，对个人可以处</w:t>
            </w:r>
            <w:r>
              <w:rPr>
                <w:color w:val="000000"/>
                <w:kern w:val="0"/>
                <w:sz w:val="18"/>
                <w:szCs w:val="18"/>
              </w:rPr>
              <w:t>100</w:t>
            </w:r>
            <w:r>
              <w:rPr>
                <w:rFonts w:hint="eastAsia"/>
                <w:color w:val="000000"/>
                <w:kern w:val="0"/>
                <w:sz w:val="18"/>
                <w:szCs w:val="18"/>
              </w:rPr>
              <w:t>元以下的罚款。</w:t>
            </w:r>
          </w:p>
        </w:tc>
      </w:tr>
      <w:tr w14:paraId="61EB7CB9">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bottom w:val="single" w:color="auto" w:sz="4" w:space="0"/>
              <w:right w:val="single" w:color="auto" w:sz="4" w:space="0"/>
            </w:tcBorders>
            <w:vAlign w:val="center"/>
          </w:tcPr>
          <w:p w14:paraId="09BC17F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2B1B990">
            <w:pPr>
              <w:spacing w:line="320" w:lineRule="exact"/>
              <w:jc w:val="left"/>
              <w:rPr>
                <w:color w:val="000000"/>
                <w:kern w:val="0"/>
                <w:sz w:val="18"/>
                <w:szCs w:val="18"/>
              </w:rPr>
            </w:pPr>
            <w:r>
              <w:rPr>
                <w:rFonts w:hint="eastAsia"/>
                <w:color w:val="000000"/>
                <w:kern w:val="0"/>
                <w:sz w:val="18"/>
                <w:szCs w:val="18"/>
              </w:rPr>
              <w:t>造成损失且未依法承担赔偿责任的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606EF346">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48BA6BA">
            <w:pPr>
              <w:spacing w:line="320" w:lineRule="exact"/>
              <w:jc w:val="left"/>
              <w:rPr>
                <w:color w:val="000000"/>
                <w:kern w:val="0"/>
                <w:sz w:val="18"/>
                <w:szCs w:val="18"/>
              </w:rPr>
            </w:pPr>
            <w:r>
              <w:rPr>
                <w:rFonts w:hint="eastAsia"/>
                <w:color w:val="000000"/>
                <w:kern w:val="0"/>
                <w:sz w:val="18"/>
                <w:szCs w:val="18"/>
              </w:rPr>
              <w:t>对单位可以处以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万元以下的罚款，对个人可以处</w:t>
            </w:r>
            <w:r>
              <w:rPr>
                <w:color w:val="000000"/>
                <w:kern w:val="0"/>
                <w:sz w:val="18"/>
                <w:szCs w:val="18"/>
              </w:rPr>
              <w:t>100</w:t>
            </w:r>
            <w:r>
              <w:rPr>
                <w:rFonts w:hint="eastAsia"/>
                <w:color w:val="000000"/>
                <w:kern w:val="0"/>
                <w:sz w:val="18"/>
                <w:szCs w:val="18"/>
              </w:rPr>
              <w:t>元以上</w:t>
            </w:r>
            <w:r>
              <w:rPr>
                <w:color w:val="000000"/>
                <w:kern w:val="0"/>
                <w:sz w:val="18"/>
                <w:szCs w:val="18"/>
              </w:rPr>
              <w:t>200</w:t>
            </w:r>
            <w:r>
              <w:rPr>
                <w:rFonts w:hint="eastAsia"/>
                <w:color w:val="000000"/>
                <w:kern w:val="0"/>
                <w:sz w:val="18"/>
                <w:szCs w:val="18"/>
              </w:rPr>
              <w:t>元以下的罚款</w:t>
            </w:r>
          </w:p>
        </w:tc>
      </w:tr>
    </w:tbl>
    <w:p w14:paraId="61F7B17C"/>
    <w:p w14:paraId="29397ABD"/>
    <w:p w14:paraId="1159F137"/>
    <w:p w14:paraId="7B57F73B"/>
    <w:p w14:paraId="0408DC18"/>
    <w:p w14:paraId="6F63A718"/>
    <w:p w14:paraId="105C1649"/>
    <w:p w14:paraId="457ADA94"/>
    <w:p w14:paraId="726C879D"/>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46714F06">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552F852D">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1C2B17EC">
            <w:pPr>
              <w:spacing w:line="320" w:lineRule="exact"/>
              <w:jc w:val="left"/>
              <w:rPr>
                <w:rFonts w:eastAsia="仿宋_GB2312"/>
                <w:b/>
                <w:bCs/>
                <w:color w:val="000000"/>
                <w:kern w:val="0"/>
                <w:sz w:val="18"/>
                <w:szCs w:val="18"/>
              </w:rPr>
            </w:pPr>
            <w:r>
              <w:rPr>
                <w:rFonts w:eastAsia="仿宋_GB2312"/>
                <w:b/>
                <w:bCs/>
                <w:color w:val="000000"/>
                <w:kern w:val="0"/>
                <w:sz w:val="18"/>
                <w:szCs w:val="18"/>
              </w:rPr>
              <w:t>320217740000</w:t>
            </w:r>
          </w:p>
        </w:tc>
      </w:tr>
      <w:tr w14:paraId="28036025">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A23FFD0">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5ED74895">
            <w:pPr>
              <w:spacing w:line="320" w:lineRule="exact"/>
              <w:jc w:val="left"/>
              <w:rPr>
                <w:color w:val="000000"/>
                <w:kern w:val="0"/>
                <w:sz w:val="18"/>
                <w:szCs w:val="18"/>
              </w:rPr>
            </w:pPr>
            <w:r>
              <w:rPr>
                <w:rFonts w:hint="eastAsia"/>
                <w:color w:val="000000"/>
                <w:kern w:val="0"/>
                <w:sz w:val="18"/>
                <w:szCs w:val="18"/>
              </w:rPr>
              <w:t>对建设单位未对暂时不能开工的建设用地的裸露地面进行覆盖或者未对超过三个月不能开工的建设用地的裸露地面进行行绿化、铺装或者遮盖的处罚</w:t>
            </w:r>
          </w:p>
        </w:tc>
      </w:tr>
      <w:tr w14:paraId="207EBF26">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6D1F1F90">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62B96ED9">
            <w:pPr>
              <w:spacing w:line="320" w:lineRule="exact"/>
              <w:jc w:val="left"/>
              <w:rPr>
                <w:color w:val="000000"/>
                <w:kern w:val="0"/>
                <w:sz w:val="18"/>
                <w:szCs w:val="18"/>
              </w:rPr>
            </w:pPr>
            <w:r>
              <w:rPr>
                <w:rFonts w:hint="eastAsia"/>
                <w:color w:val="000000"/>
                <w:kern w:val="0"/>
                <w:sz w:val="18"/>
                <w:szCs w:val="18"/>
              </w:rPr>
              <w:t>【法律】《中华人民共和国大气污染防治法》</w:t>
            </w:r>
          </w:p>
          <w:p w14:paraId="28B0FCB4">
            <w:pPr>
              <w:spacing w:line="320" w:lineRule="exact"/>
              <w:jc w:val="left"/>
              <w:rPr>
                <w:color w:val="000000"/>
                <w:kern w:val="0"/>
                <w:sz w:val="18"/>
                <w:szCs w:val="18"/>
              </w:rPr>
            </w:pPr>
            <w:r>
              <w:rPr>
                <w:rFonts w:hint="eastAsia"/>
                <w:color w:val="000000"/>
                <w:kern w:val="0"/>
                <w:sz w:val="18"/>
                <w:szCs w:val="18"/>
              </w:rPr>
              <w:t xml:space="preserve">        第六十九条第五款   暂时不能开工的建设用地，建设单位应当对裸露地面进行覆盖；超过三个月的，应当进行绿化、铺装或者遮盖。</w:t>
            </w:r>
          </w:p>
          <w:p w14:paraId="7016A6EF">
            <w:pPr>
              <w:spacing w:line="320" w:lineRule="exact"/>
              <w:jc w:val="left"/>
              <w:rPr>
                <w:color w:val="000000"/>
                <w:kern w:val="0"/>
                <w:sz w:val="18"/>
                <w:szCs w:val="18"/>
              </w:rPr>
            </w:pPr>
            <w:r>
              <w:rPr>
                <w:rFonts w:hint="eastAsia"/>
                <w:color w:val="000000"/>
                <w:kern w:val="0"/>
                <w:sz w:val="18"/>
                <w:szCs w:val="18"/>
              </w:rPr>
              <w:t xml:space="preserve">        第一百一十五条第一款  违反本法规定，施工单位有下列行为之一的，由县级以上人民政府住房城乡建设等主管部门按照职责责令改正，处一万元以上十万元以下的罚款；拒不改正的，责令停工整治：</w:t>
            </w:r>
          </w:p>
          <w:p w14:paraId="6990E6E6">
            <w:pPr>
              <w:spacing w:line="320" w:lineRule="exact"/>
              <w:jc w:val="left"/>
              <w:rPr>
                <w:color w:val="000000"/>
                <w:kern w:val="0"/>
                <w:sz w:val="18"/>
                <w:szCs w:val="18"/>
              </w:rPr>
            </w:pPr>
            <w:r>
              <w:rPr>
                <w:rFonts w:hint="eastAsia"/>
                <w:color w:val="000000"/>
                <w:kern w:val="0"/>
                <w:sz w:val="18"/>
                <w:szCs w:val="18"/>
              </w:rPr>
              <w:t xml:space="preserve">        第二款 违反本法规定，建设单位未对暂时不能开工的建设用地的裸露地面进行覆盖，或者未对超过三个月不能开工的建设用地的裸露地面进行绿化、铺装或者遮盖的，由县级以上人民政府住房城乡建设等主管部门依照前款规定予以处罚。</w:t>
            </w:r>
          </w:p>
        </w:tc>
      </w:tr>
      <w:tr w14:paraId="6C906B80">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C8950C9">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6AC9880C">
            <w:pPr>
              <w:spacing w:line="320" w:lineRule="exact"/>
              <w:jc w:val="left"/>
              <w:rPr>
                <w:color w:val="000000"/>
                <w:kern w:val="0"/>
                <w:sz w:val="18"/>
                <w:szCs w:val="18"/>
              </w:rPr>
            </w:pPr>
            <w:r>
              <w:rPr>
                <w:rFonts w:hint="eastAsia"/>
                <w:color w:val="000000"/>
                <w:kern w:val="0"/>
                <w:sz w:val="18"/>
                <w:szCs w:val="18"/>
              </w:rPr>
              <w:t>责令改正，罚款，责令停工整治</w:t>
            </w:r>
          </w:p>
        </w:tc>
      </w:tr>
      <w:tr w14:paraId="4EA39FF8">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397680DF">
            <w:pPr>
              <w:spacing w:line="320" w:lineRule="exact"/>
              <w:jc w:val="center"/>
              <w:rPr>
                <w:color w:val="000000"/>
                <w:kern w:val="0"/>
                <w:sz w:val="18"/>
                <w:szCs w:val="18"/>
              </w:rPr>
            </w:pPr>
            <w:r>
              <w:rPr>
                <w:rFonts w:hint="eastAsia"/>
                <w:color w:val="000000"/>
                <w:kern w:val="0"/>
                <w:sz w:val="18"/>
                <w:szCs w:val="18"/>
              </w:rPr>
              <w:t>裁量基准</w:t>
            </w:r>
          </w:p>
        </w:tc>
      </w:tr>
      <w:tr w14:paraId="280D7B20">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51A5C12F">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情形描述</w:t>
            </w:r>
          </w:p>
        </w:tc>
        <w:tc>
          <w:tcPr>
            <w:tcW w:w="6140" w:type="dxa"/>
            <w:tcBorders>
              <w:top w:val="single" w:color="auto" w:sz="4" w:space="0"/>
              <w:left w:val="nil"/>
              <w:bottom w:val="single" w:color="auto" w:sz="4" w:space="0"/>
              <w:right w:val="single" w:color="auto" w:sz="4" w:space="0"/>
            </w:tcBorders>
            <w:vAlign w:val="center"/>
          </w:tcPr>
          <w:p w14:paraId="1EA968AD">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现场裸露地面覆盖或绿化、铺装、遮盖不全，在规定期限内改正到位且未造成危害后果</w:t>
            </w:r>
          </w:p>
        </w:tc>
        <w:tc>
          <w:tcPr>
            <w:tcW w:w="1080" w:type="dxa"/>
            <w:vMerge w:val="restart"/>
            <w:tcBorders>
              <w:top w:val="single" w:color="auto" w:sz="4" w:space="0"/>
              <w:left w:val="single" w:color="auto" w:sz="4" w:space="0"/>
              <w:right w:val="single" w:color="auto" w:sz="4" w:space="0"/>
            </w:tcBorders>
            <w:vAlign w:val="center"/>
          </w:tcPr>
          <w:p w14:paraId="6926C53A">
            <w:pPr>
              <w:spacing w:line="320" w:lineRule="exact"/>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68947949">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处1万元以上5.5万元以下的罚款</w:t>
            </w:r>
          </w:p>
        </w:tc>
      </w:tr>
      <w:tr w14:paraId="40BCFBB4">
        <w:tblPrEx>
          <w:tblCellMar>
            <w:top w:w="0" w:type="dxa"/>
            <w:left w:w="108" w:type="dxa"/>
            <w:bottom w:w="0" w:type="dxa"/>
            <w:right w:w="108" w:type="dxa"/>
          </w:tblCellMar>
        </w:tblPrEx>
        <w:trPr>
          <w:trHeight w:val="471" w:hRule="atLeast"/>
        </w:trPr>
        <w:tc>
          <w:tcPr>
            <w:tcW w:w="1030" w:type="dxa"/>
            <w:vMerge w:val="continue"/>
            <w:tcBorders>
              <w:left w:val="single" w:color="auto" w:sz="4" w:space="0"/>
              <w:right w:val="single" w:color="auto" w:sz="4" w:space="0"/>
            </w:tcBorders>
            <w:vAlign w:val="center"/>
          </w:tcPr>
          <w:p w14:paraId="1FD2EC1D">
            <w:pPr>
              <w:spacing w:line="320" w:lineRule="exact"/>
              <w:jc w:val="left"/>
              <w:rPr>
                <w:color w:val="000000" w:themeColor="text1"/>
                <w:kern w:val="0"/>
                <w:sz w:val="18"/>
                <w:szCs w:val="18"/>
                <w14:textFill>
                  <w14:solidFill>
                    <w14:schemeClr w14:val="tx1"/>
                  </w14:solidFill>
                </w14:textFill>
              </w:rPr>
            </w:pPr>
          </w:p>
        </w:tc>
        <w:tc>
          <w:tcPr>
            <w:tcW w:w="6140" w:type="dxa"/>
            <w:tcBorders>
              <w:top w:val="single" w:color="auto" w:sz="4" w:space="0"/>
              <w:left w:val="nil"/>
              <w:bottom w:val="single" w:color="auto" w:sz="4" w:space="0"/>
              <w:right w:val="single" w:color="auto" w:sz="4" w:space="0"/>
            </w:tcBorders>
            <w:vAlign w:val="center"/>
          </w:tcPr>
          <w:p w14:paraId="2229199C">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现场裸露地面未采取覆盖等措施，在规定期限内改正的</w:t>
            </w:r>
          </w:p>
        </w:tc>
        <w:tc>
          <w:tcPr>
            <w:tcW w:w="1080" w:type="dxa"/>
            <w:vMerge w:val="continue"/>
            <w:tcBorders>
              <w:left w:val="single" w:color="auto" w:sz="4" w:space="0"/>
              <w:right w:val="single" w:color="auto" w:sz="4" w:space="0"/>
            </w:tcBorders>
            <w:vAlign w:val="center"/>
          </w:tcPr>
          <w:p w14:paraId="4D498701">
            <w:pPr>
              <w:spacing w:line="320" w:lineRule="exact"/>
              <w:jc w:val="left"/>
              <w:rPr>
                <w:color w:val="000000" w:themeColor="text1"/>
                <w:kern w:val="0"/>
                <w:sz w:val="18"/>
                <w:szCs w:val="18"/>
                <w14:textFill>
                  <w14:solidFill>
                    <w14:schemeClr w14:val="tx1"/>
                  </w14:solidFill>
                </w14:textFill>
              </w:rPr>
            </w:pPr>
          </w:p>
        </w:tc>
        <w:tc>
          <w:tcPr>
            <w:tcW w:w="5820" w:type="dxa"/>
            <w:tcBorders>
              <w:top w:val="single" w:color="auto" w:sz="4" w:space="0"/>
              <w:left w:val="single" w:color="auto" w:sz="4" w:space="0"/>
              <w:bottom w:val="single" w:color="auto" w:sz="4" w:space="0"/>
              <w:right w:val="single" w:color="auto" w:sz="4" w:space="0"/>
            </w:tcBorders>
            <w:vAlign w:val="center"/>
          </w:tcPr>
          <w:p w14:paraId="1F6C7774">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处5.5万元以上7万元以下罚款</w:t>
            </w:r>
          </w:p>
        </w:tc>
      </w:tr>
      <w:tr w14:paraId="0924B641">
        <w:tblPrEx>
          <w:tblCellMar>
            <w:top w:w="0" w:type="dxa"/>
            <w:left w:w="108" w:type="dxa"/>
            <w:bottom w:w="0" w:type="dxa"/>
            <w:right w:w="108" w:type="dxa"/>
          </w:tblCellMar>
        </w:tblPrEx>
        <w:trPr>
          <w:trHeight w:val="433" w:hRule="atLeast"/>
        </w:trPr>
        <w:tc>
          <w:tcPr>
            <w:tcW w:w="1030" w:type="dxa"/>
            <w:vMerge w:val="continue"/>
            <w:tcBorders>
              <w:left w:val="single" w:color="auto" w:sz="4" w:space="0"/>
              <w:bottom w:val="single" w:color="auto" w:sz="4" w:space="0"/>
              <w:right w:val="single" w:color="auto" w:sz="4" w:space="0"/>
            </w:tcBorders>
            <w:vAlign w:val="center"/>
          </w:tcPr>
          <w:p w14:paraId="6A61359C">
            <w:pPr>
              <w:spacing w:line="320" w:lineRule="exact"/>
              <w:jc w:val="left"/>
              <w:rPr>
                <w:color w:val="000000" w:themeColor="text1"/>
                <w:kern w:val="0"/>
                <w:sz w:val="18"/>
                <w:szCs w:val="18"/>
                <w14:textFill>
                  <w14:solidFill>
                    <w14:schemeClr w14:val="tx1"/>
                  </w14:solidFill>
                </w14:textFill>
              </w:rPr>
            </w:pPr>
          </w:p>
        </w:tc>
        <w:tc>
          <w:tcPr>
            <w:tcW w:w="6140" w:type="dxa"/>
            <w:tcBorders>
              <w:top w:val="single" w:color="auto" w:sz="4" w:space="0"/>
              <w:left w:val="nil"/>
              <w:bottom w:val="single" w:color="auto" w:sz="4" w:space="0"/>
              <w:right w:val="single" w:color="auto" w:sz="4" w:space="0"/>
            </w:tcBorders>
            <w:vAlign w:val="center"/>
          </w:tcPr>
          <w:p w14:paraId="42BB2B1D">
            <w:pPr>
              <w:spacing w:line="320" w:lineRule="exact"/>
              <w:jc w:val="left"/>
              <w:rPr>
                <w:color w:val="000000" w:themeColor="text1"/>
                <w:kern w:val="0"/>
                <w:sz w:val="18"/>
                <w:szCs w:val="18"/>
                <w14:textFill>
                  <w14:solidFill>
                    <w14:schemeClr w14:val="tx1"/>
                  </w14:solidFill>
                </w14:textFill>
              </w:rPr>
            </w:pPr>
            <w:r>
              <w:rPr>
                <w:rFonts w:hint="eastAsia" w:eastAsiaTheme="minorEastAsia"/>
                <w:color w:val="000000" w:themeColor="text1"/>
                <w:kern w:val="0"/>
                <w:sz w:val="20"/>
                <w:lang w:bidi="ar"/>
                <w14:textFill>
                  <w14:solidFill>
                    <w14:schemeClr w14:val="tx1"/>
                  </w14:solidFill>
                </w14:textFill>
              </w:rPr>
              <w:t>未按照要求改正的</w:t>
            </w:r>
          </w:p>
        </w:tc>
        <w:tc>
          <w:tcPr>
            <w:tcW w:w="1080" w:type="dxa"/>
            <w:vMerge w:val="continue"/>
            <w:tcBorders>
              <w:left w:val="single" w:color="auto" w:sz="4" w:space="0"/>
              <w:bottom w:val="single" w:color="auto" w:sz="4" w:space="0"/>
              <w:right w:val="single" w:color="auto" w:sz="4" w:space="0"/>
            </w:tcBorders>
            <w:vAlign w:val="center"/>
          </w:tcPr>
          <w:p w14:paraId="7EB4ECB9">
            <w:pPr>
              <w:spacing w:line="320" w:lineRule="exact"/>
              <w:jc w:val="left"/>
              <w:rPr>
                <w:color w:val="000000" w:themeColor="text1"/>
                <w:kern w:val="0"/>
                <w:sz w:val="18"/>
                <w:szCs w:val="18"/>
                <w14:textFill>
                  <w14:solidFill>
                    <w14:schemeClr w14:val="tx1"/>
                  </w14:solidFill>
                </w14:textFill>
              </w:rPr>
            </w:pPr>
          </w:p>
        </w:tc>
        <w:tc>
          <w:tcPr>
            <w:tcW w:w="5820" w:type="dxa"/>
            <w:tcBorders>
              <w:top w:val="single" w:color="auto" w:sz="4" w:space="0"/>
              <w:left w:val="single" w:color="auto" w:sz="4" w:space="0"/>
              <w:bottom w:val="single" w:color="auto" w:sz="4" w:space="0"/>
              <w:right w:val="single" w:color="auto" w:sz="4" w:space="0"/>
            </w:tcBorders>
            <w:vAlign w:val="center"/>
          </w:tcPr>
          <w:p w14:paraId="0467E9A8">
            <w:pPr>
              <w:spacing w:line="320" w:lineRule="exact"/>
              <w:jc w:val="left"/>
              <w:rPr>
                <w:color w:val="000000" w:themeColor="text1"/>
                <w:kern w:val="0"/>
                <w:sz w:val="18"/>
                <w:szCs w:val="18"/>
                <w14:textFill>
                  <w14:solidFill>
                    <w14:schemeClr w14:val="tx1"/>
                  </w14:solidFill>
                </w14:textFill>
              </w:rPr>
            </w:pPr>
            <w:r>
              <w:rPr>
                <w:rFonts w:eastAsiaTheme="minorEastAsia"/>
                <w:color w:val="000000" w:themeColor="text1"/>
                <w:kern w:val="0"/>
                <w:sz w:val="20"/>
                <w:lang w:bidi="ar"/>
                <w14:textFill>
                  <w14:solidFill>
                    <w14:schemeClr w14:val="tx1"/>
                  </w14:solidFill>
                </w14:textFill>
              </w:rPr>
              <w:t>处7万元以上10万元以下罚款</w:t>
            </w:r>
          </w:p>
        </w:tc>
      </w:tr>
    </w:tbl>
    <w:p w14:paraId="2C0835FA"/>
    <w:p w14:paraId="0E395328"/>
    <w:p w14:paraId="1512ACC9"/>
    <w:p w14:paraId="0160FACA"/>
    <w:p w14:paraId="3355C760"/>
    <w:p w14:paraId="57765A44"/>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306F2CE4">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7C4517DF">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2E0EC576">
            <w:pPr>
              <w:spacing w:line="320" w:lineRule="exact"/>
              <w:jc w:val="left"/>
              <w:rPr>
                <w:rFonts w:eastAsia="仿宋_GB2312"/>
                <w:b/>
                <w:bCs/>
                <w:color w:val="000000"/>
                <w:kern w:val="0"/>
                <w:sz w:val="18"/>
                <w:szCs w:val="18"/>
              </w:rPr>
            </w:pPr>
            <w:r>
              <w:rPr>
                <w:rFonts w:eastAsia="仿宋_GB2312"/>
                <w:b/>
                <w:bCs/>
                <w:color w:val="000000"/>
                <w:kern w:val="0"/>
                <w:sz w:val="18"/>
                <w:szCs w:val="18"/>
              </w:rPr>
              <w:t>320217741000</w:t>
            </w:r>
          </w:p>
        </w:tc>
      </w:tr>
      <w:tr w14:paraId="1B508123">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632C4DF0">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512208B6">
            <w:pPr>
              <w:spacing w:line="320" w:lineRule="exact"/>
              <w:jc w:val="left"/>
              <w:rPr>
                <w:color w:val="000000"/>
                <w:kern w:val="0"/>
                <w:sz w:val="18"/>
                <w:szCs w:val="18"/>
              </w:rPr>
            </w:pPr>
            <w:r>
              <w:rPr>
                <w:rFonts w:hint="eastAsia"/>
                <w:color w:val="000000"/>
                <w:kern w:val="0"/>
                <w:sz w:val="18"/>
                <w:szCs w:val="18"/>
              </w:rPr>
              <w:t>对评估机构利用开展业务之便，谋取不正当利益的处罚（限房地产估价业务）</w:t>
            </w:r>
          </w:p>
        </w:tc>
      </w:tr>
      <w:tr w14:paraId="3E4BB474">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5D5B429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50CFE4EA">
            <w:pPr>
              <w:spacing w:line="320" w:lineRule="exact"/>
              <w:jc w:val="left"/>
              <w:rPr>
                <w:color w:val="000000"/>
                <w:kern w:val="0"/>
                <w:sz w:val="18"/>
                <w:szCs w:val="18"/>
              </w:rPr>
            </w:pPr>
            <w:r>
              <w:rPr>
                <w:rFonts w:hint="eastAsia"/>
                <w:color w:val="000000"/>
                <w:kern w:val="0"/>
                <w:sz w:val="18"/>
                <w:szCs w:val="18"/>
              </w:rPr>
              <w:t>【法律】《中华人民共和国资产评估法》</w:t>
            </w:r>
          </w:p>
          <w:p w14:paraId="6D98C330">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14:paraId="3B662270">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利用开展业务之便，谋取不正当利益</w:t>
            </w:r>
            <w:r>
              <w:rPr>
                <w:color w:val="000000"/>
                <w:kern w:val="0"/>
                <w:sz w:val="18"/>
                <w:szCs w:val="18"/>
              </w:rPr>
              <w:t>;</w:t>
            </w:r>
          </w:p>
          <w:p w14:paraId="1EF9D6E9">
            <w:pPr>
              <w:spacing w:line="320" w:lineRule="exact"/>
              <w:jc w:val="left"/>
              <w:rPr>
                <w:color w:val="000000"/>
                <w:kern w:val="0"/>
                <w:sz w:val="18"/>
                <w:szCs w:val="18"/>
              </w:rPr>
            </w:pPr>
            <w:r>
              <w:rPr>
                <w:rFonts w:hint="eastAsia"/>
                <w:color w:val="000000"/>
                <w:kern w:val="0"/>
                <w:sz w:val="18"/>
                <w:szCs w:val="18"/>
              </w:rPr>
              <w:t>第四十七条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14:paraId="4FAD4079">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利用开展业务之便，谋取不正当利益的</w:t>
            </w:r>
            <w:r>
              <w:rPr>
                <w:color w:val="000000"/>
                <w:kern w:val="0"/>
                <w:sz w:val="18"/>
                <w:szCs w:val="18"/>
              </w:rPr>
              <w:t>;</w:t>
            </w:r>
          </w:p>
        </w:tc>
      </w:tr>
      <w:tr w14:paraId="6EE42F89">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67CF8ED">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4C3C9D21">
            <w:pPr>
              <w:spacing w:line="320" w:lineRule="exact"/>
              <w:jc w:val="left"/>
              <w:rPr>
                <w:color w:val="000000"/>
                <w:kern w:val="0"/>
                <w:sz w:val="18"/>
                <w:szCs w:val="18"/>
              </w:rPr>
            </w:pPr>
            <w:r>
              <w:rPr>
                <w:rFonts w:hint="eastAsia"/>
                <w:color w:val="000000"/>
                <w:kern w:val="0"/>
                <w:sz w:val="18"/>
                <w:szCs w:val="18"/>
              </w:rPr>
              <w:t>警告，没收违法所得，责令停业，罚款</w:t>
            </w:r>
          </w:p>
        </w:tc>
      </w:tr>
      <w:tr w14:paraId="3C7994A5">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4B0E56D0">
            <w:pPr>
              <w:spacing w:line="320" w:lineRule="exact"/>
              <w:jc w:val="center"/>
              <w:rPr>
                <w:color w:val="000000"/>
                <w:kern w:val="0"/>
                <w:sz w:val="18"/>
                <w:szCs w:val="18"/>
              </w:rPr>
            </w:pPr>
            <w:r>
              <w:rPr>
                <w:rFonts w:hint="eastAsia"/>
                <w:color w:val="000000"/>
                <w:kern w:val="0"/>
                <w:sz w:val="18"/>
                <w:szCs w:val="18"/>
              </w:rPr>
              <w:t>裁量基准</w:t>
            </w:r>
          </w:p>
        </w:tc>
      </w:tr>
      <w:tr w14:paraId="04DA4522">
        <w:tblPrEx>
          <w:tblCellMar>
            <w:top w:w="0" w:type="dxa"/>
            <w:left w:w="108" w:type="dxa"/>
            <w:bottom w:w="0" w:type="dxa"/>
            <w:right w:w="108" w:type="dxa"/>
          </w:tblCellMar>
        </w:tblPrEx>
        <w:trPr>
          <w:trHeight w:val="660" w:hRule="atLeast"/>
        </w:trPr>
        <w:tc>
          <w:tcPr>
            <w:tcW w:w="1030" w:type="dxa"/>
            <w:vMerge w:val="restart"/>
            <w:tcBorders>
              <w:top w:val="single" w:color="auto" w:sz="4" w:space="0"/>
              <w:left w:val="single" w:color="auto" w:sz="4" w:space="0"/>
              <w:right w:val="single" w:color="auto" w:sz="4" w:space="0"/>
            </w:tcBorders>
            <w:vAlign w:val="center"/>
          </w:tcPr>
          <w:p w14:paraId="12A3A8FC">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0B073869">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color="auto" w:sz="4" w:space="0"/>
              <w:left w:val="single" w:color="auto" w:sz="4" w:space="0"/>
              <w:right w:val="single" w:color="auto" w:sz="4" w:space="0"/>
            </w:tcBorders>
            <w:vAlign w:val="center"/>
          </w:tcPr>
          <w:p w14:paraId="119B5DF2">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0CC5029F">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0B26BDE5">
        <w:tblPrEx>
          <w:tblCellMar>
            <w:top w:w="0" w:type="dxa"/>
            <w:left w:w="108" w:type="dxa"/>
            <w:bottom w:w="0" w:type="dxa"/>
            <w:right w:w="108" w:type="dxa"/>
          </w:tblCellMar>
        </w:tblPrEx>
        <w:trPr>
          <w:trHeight w:val="375" w:hRule="atLeast"/>
        </w:trPr>
        <w:tc>
          <w:tcPr>
            <w:tcW w:w="1030" w:type="dxa"/>
            <w:vMerge w:val="continue"/>
            <w:tcBorders>
              <w:left w:val="single" w:color="auto" w:sz="4" w:space="0"/>
              <w:bottom w:val="single" w:color="auto" w:sz="4" w:space="0"/>
              <w:right w:val="single" w:color="auto" w:sz="4" w:space="0"/>
            </w:tcBorders>
            <w:vAlign w:val="center"/>
          </w:tcPr>
          <w:p w14:paraId="76907B6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73A048A">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val="continue"/>
            <w:tcBorders>
              <w:left w:val="single" w:color="auto" w:sz="4" w:space="0"/>
              <w:bottom w:val="single" w:color="auto" w:sz="4" w:space="0"/>
              <w:right w:val="single" w:color="auto" w:sz="4" w:space="0"/>
            </w:tcBorders>
            <w:vAlign w:val="center"/>
          </w:tcPr>
          <w:p w14:paraId="5A36E755">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F74B301">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4CF77A11"/>
    <w:p w14:paraId="124AB257"/>
    <w:p w14:paraId="00BDCC62"/>
    <w:p w14:paraId="7E2578A7"/>
    <w:p w14:paraId="34B3070F"/>
    <w:p w14:paraId="13F46233"/>
    <w:p w14:paraId="66C7E897"/>
    <w:p w14:paraId="482B1EC4"/>
    <w:p w14:paraId="4F714A0A"/>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5C2A55B2">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3FC02379">
            <w:pPr>
              <w:spacing w:line="320" w:lineRule="exact"/>
              <w:jc w:val="center"/>
              <w:rPr>
                <w:color w:val="000000"/>
                <w:kern w:val="0"/>
                <w:sz w:val="18"/>
                <w:szCs w:val="18"/>
              </w:rPr>
            </w:pPr>
            <w:r>
              <w:rPr>
                <w:color w:val="000000"/>
              </w:rPr>
              <w:br w:type="column"/>
            </w: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3ABAECF1">
            <w:pPr>
              <w:spacing w:line="320" w:lineRule="exact"/>
              <w:jc w:val="left"/>
              <w:rPr>
                <w:rFonts w:eastAsia="仿宋_GB2312"/>
                <w:b/>
                <w:bCs/>
                <w:color w:val="000000"/>
                <w:kern w:val="0"/>
                <w:sz w:val="18"/>
                <w:szCs w:val="18"/>
              </w:rPr>
            </w:pPr>
            <w:r>
              <w:rPr>
                <w:rFonts w:eastAsia="仿宋_GB2312"/>
                <w:b/>
                <w:bCs/>
                <w:color w:val="000000"/>
                <w:kern w:val="0"/>
                <w:sz w:val="18"/>
                <w:szCs w:val="18"/>
              </w:rPr>
              <w:t>320217742000</w:t>
            </w:r>
          </w:p>
        </w:tc>
      </w:tr>
      <w:tr w14:paraId="7C19CB91">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8533090">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163B1D40">
            <w:pPr>
              <w:spacing w:line="320" w:lineRule="exact"/>
              <w:jc w:val="left"/>
              <w:rPr>
                <w:color w:val="000000"/>
                <w:kern w:val="0"/>
                <w:sz w:val="18"/>
                <w:szCs w:val="18"/>
              </w:rPr>
            </w:pPr>
            <w:r>
              <w:rPr>
                <w:rFonts w:hint="eastAsia"/>
                <w:color w:val="000000"/>
                <w:kern w:val="0"/>
                <w:sz w:val="18"/>
                <w:szCs w:val="18"/>
              </w:rPr>
              <w:t>对评估专业人员签署虚假评估报告的处罚（限房地产估价业务）</w:t>
            </w:r>
          </w:p>
        </w:tc>
      </w:tr>
      <w:tr w14:paraId="468B7563">
        <w:tblPrEx>
          <w:tblCellMar>
            <w:top w:w="0" w:type="dxa"/>
            <w:left w:w="108" w:type="dxa"/>
            <w:bottom w:w="0" w:type="dxa"/>
            <w:right w:w="108" w:type="dxa"/>
          </w:tblCellMar>
        </w:tblPrEx>
        <w:trPr>
          <w:trHeight w:val="1305" w:hRule="atLeast"/>
        </w:trPr>
        <w:tc>
          <w:tcPr>
            <w:tcW w:w="1030" w:type="dxa"/>
            <w:tcBorders>
              <w:top w:val="single" w:color="auto" w:sz="4" w:space="0"/>
              <w:left w:val="single" w:color="auto" w:sz="4" w:space="0"/>
              <w:bottom w:val="single" w:color="auto" w:sz="4" w:space="0"/>
              <w:right w:val="single" w:color="auto" w:sz="4" w:space="0"/>
            </w:tcBorders>
            <w:vAlign w:val="center"/>
          </w:tcPr>
          <w:p w14:paraId="3BB76CD0">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single" w:color="auto" w:sz="4" w:space="0"/>
              <w:bottom w:val="single" w:color="auto" w:sz="4" w:space="0"/>
              <w:right w:val="single" w:color="auto" w:sz="4" w:space="0"/>
            </w:tcBorders>
            <w:vAlign w:val="center"/>
          </w:tcPr>
          <w:p w14:paraId="4EF93552">
            <w:pPr>
              <w:spacing w:line="320" w:lineRule="exact"/>
              <w:jc w:val="left"/>
              <w:rPr>
                <w:color w:val="000000"/>
                <w:kern w:val="0"/>
                <w:sz w:val="18"/>
                <w:szCs w:val="18"/>
              </w:rPr>
            </w:pPr>
            <w:r>
              <w:rPr>
                <w:rFonts w:hint="eastAsia"/>
                <w:color w:val="000000"/>
                <w:kern w:val="0"/>
                <w:sz w:val="18"/>
                <w:szCs w:val="18"/>
              </w:rPr>
              <w:t>【法律】《中华人民共和国资产评估法》</w:t>
            </w:r>
          </w:p>
          <w:p w14:paraId="2256BB15">
            <w:pPr>
              <w:spacing w:line="320" w:lineRule="exact"/>
              <w:jc w:val="left"/>
              <w:rPr>
                <w:color w:val="000000"/>
                <w:kern w:val="0"/>
                <w:sz w:val="18"/>
                <w:szCs w:val="18"/>
              </w:rPr>
            </w:pPr>
            <w:r>
              <w:rPr>
                <w:rFonts w:hint="eastAsia"/>
                <w:color w:val="000000"/>
                <w:kern w:val="0"/>
                <w:sz w:val="18"/>
                <w:szCs w:val="18"/>
              </w:rPr>
              <w:t>第十四条　评估专业人员不得有下列行为：</w:t>
            </w:r>
          </w:p>
          <w:p w14:paraId="7A164109">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签署虚假评估报告或者有重大遗漏的评估报告</w:t>
            </w:r>
            <w:r>
              <w:rPr>
                <w:color w:val="000000"/>
                <w:kern w:val="0"/>
                <w:sz w:val="18"/>
                <w:szCs w:val="18"/>
              </w:rPr>
              <w:t>;</w:t>
            </w:r>
          </w:p>
          <w:p w14:paraId="6C584459">
            <w:pPr>
              <w:spacing w:line="320" w:lineRule="exact"/>
              <w:jc w:val="left"/>
              <w:rPr>
                <w:color w:val="000000"/>
                <w:kern w:val="0"/>
                <w:sz w:val="18"/>
                <w:szCs w:val="18"/>
              </w:rPr>
            </w:pPr>
            <w:r>
              <w:rPr>
                <w:rFonts w:hint="eastAsia"/>
                <w:color w:val="000000"/>
                <w:kern w:val="0"/>
                <w:sz w:val="18"/>
                <w:szCs w:val="18"/>
              </w:rPr>
              <w:t>第四十五条　评估专业人员违反本法规定，签署虚假评估报告的，由有关评估行政管理部门责令停止从业两年以上五年以下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情节严重的，责令停止从业五年以上十年以下</w:t>
            </w:r>
            <w:r>
              <w:rPr>
                <w:color w:val="000000"/>
                <w:kern w:val="0"/>
                <w:sz w:val="18"/>
                <w:szCs w:val="18"/>
              </w:rPr>
              <w:t>;</w:t>
            </w:r>
            <w:r>
              <w:rPr>
                <w:rFonts w:hint="eastAsia"/>
                <w:color w:val="000000"/>
                <w:kern w:val="0"/>
                <w:sz w:val="18"/>
                <w:szCs w:val="18"/>
              </w:rPr>
              <w:t>构成犯罪的，依法追究刑事责任，终身不得从事评估业务。</w:t>
            </w:r>
          </w:p>
          <w:p w14:paraId="2D4177C9">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14:paraId="744B31EA">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14:paraId="50F629A8">
            <w:pPr>
              <w:spacing w:line="320" w:lineRule="exact"/>
              <w:jc w:val="left"/>
              <w:rPr>
                <w:color w:val="000000"/>
                <w:kern w:val="0"/>
                <w:sz w:val="18"/>
                <w:szCs w:val="18"/>
              </w:rPr>
            </w:pPr>
            <w:r>
              <w:rPr>
                <w:rFonts w:hint="eastAsia"/>
                <w:color w:val="000000"/>
                <w:kern w:val="0"/>
                <w:sz w:val="18"/>
                <w:szCs w:val="18"/>
              </w:rPr>
              <w:t>第十七条第二款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14:paraId="479842A8">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14:paraId="7FAA64A9">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4" w:space="0"/>
              <w:bottom w:val="single" w:color="auto" w:sz="4" w:space="0"/>
              <w:right w:val="single" w:color="auto" w:sz="4" w:space="0"/>
            </w:tcBorders>
            <w:vAlign w:val="center"/>
          </w:tcPr>
          <w:p w14:paraId="165C2A17">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single" w:color="auto" w:sz="4" w:space="0"/>
              <w:bottom w:val="single" w:color="auto" w:sz="4" w:space="0"/>
              <w:right w:val="single" w:color="auto" w:sz="4" w:space="0"/>
            </w:tcBorders>
            <w:vAlign w:val="center"/>
          </w:tcPr>
          <w:p w14:paraId="69218EFF">
            <w:pPr>
              <w:spacing w:line="320" w:lineRule="exact"/>
              <w:jc w:val="left"/>
              <w:rPr>
                <w:color w:val="000000"/>
                <w:kern w:val="0"/>
                <w:sz w:val="18"/>
                <w:szCs w:val="18"/>
              </w:rPr>
            </w:pPr>
            <w:r>
              <w:rPr>
                <w:rFonts w:hint="eastAsia"/>
                <w:color w:val="000000"/>
                <w:kern w:val="0"/>
                <w:sz w:val="18"/>
                <w:szCs w:val="18"/>
              </w:rPr>
              <w:t>警告，没收违法所得，责令停止从业，罚款，吊销注册证书</w:t>
            </w:r>
          </w:p>
        </w:tc>
      </w:tr>
      <w:tr w14:paraId="17B5C712">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4" w:space="0"/>
              <w:bottom w:val="single" w:color="auto" w:sz="4" w:space="0"/>
              <w:right w:val="single" w:color="auto" w:sz="4" w:space="0"/>
            </w:tcBorders>
            <w:vAlign w:val="center"/>
          </w:tcPr>
          <w:p w14:paraId="00D3A18D">
            <w:pPr>
              <w:spacing w:line="320" w:lineRule="exact"/>
              <w:jc w:val="center"/>
              <w:rPr>
                <w:color w:val="000000"/>
                <w:kern w:val="0"/>
                <w:sz w:val="18"/>
                <w:szCs w:val="18"/>
              </w:rPr>
            </w:pPr>
            <w:r>
              <w:rPr>
                <w:rFonts w:hint="eastAsia"/>
                <w:color w:val="000000"/>
                <w:kern w:val="0"/>
                <w:sz w:val="18"/>
                <w:szCs w:val="18"/>
              </w:rPr>
              <w:t>裁量基准</w:t>
            </w:r>
          </w:p>
        </w:tc>
      </w:tr>
      <w:tr w14:paraId="3F9FD8F9">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bottom w:val="single" w:color="auto" w:sz="4" w:space="0"/>
              <w:right w:val="single" w:color="auto" w:sz="4" w:space="0"/>
            </w:tcBorders>
            <w:vAlign w:val="center"/>
          </w:tcPr>
          <w:p w14:paraId="61027623">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tcPr>
          <w:p w14:paraId="2FC04C95">
            <w:pPr>
              <w:rPr>
                <w:color w:val="000000"/>
              </w:rPr>
            </w:pPr>
            <w:r>
              <w:rPr>
                <w:rFonts w:hint="eastAsia"/>
                <w:color w:val="000000"/>
              </w:rPr>
              <w:t>按照要求改正的</w:t>
            </w:r>
            <w:r>
              <w:rPr>
                <w:color w:val="000000"/>
              </w:rPr>
              <w:t xml:space="preserve">  </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66ECAF71">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tcPr>
          <w:p w14:paraId="0A59605D">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14:paraId="02FEBEB9">
        <w:tblPrEx>
          <w:tblCellMar>
            <w:top w:w="0" w:type="dxa"/>
            <w:left w:w="108" w:type="dxa"/>
            <w:bottom w:w="0" w:type="dxa"/>
            <w:right w:w="108" w:type="dxa"/>
          </w:tblCellMar>
        </w:tblPrEx>
        <w:trPr>
          <w:trHeight w:val="301" w:hRule="atLeast"/>
        </w:trPr>
        <w:tc>
          <w:tcPr>
            <w:tcW w:w="1030" w:type="dxa"/>
            <w:vMerge w:val="continue"/>
            <w:tcBorders>
              <w:top w:val="single" w:color="auto" w:sz="4" w:space="0"/>
              <w:left w:val="single" w:color="auto" w:sz="4" w:space="0"/>
              <w:bottom w:val="single" w:color="auto" w:sz="4" w:space="0"/>
              <w:right w:val="single" w:color="auto" w:sz="4" w:space="0"/>
            </w:tcBorders>
            <w:vAlign w:val="center"/>
          </w:tcPr>
          <w:p w14:paraId="6C7DA2AC">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407BD6C9">
            <w:pPr>
              <w:rPr>
                <w:color w:val="000000"/>
              </w:rPr>
            </w:pPr>
            <w:r>
              <w:rPr>
                <w:rFonts w:hint="eastAsia"/>
                <w:color w:val="000000"/>
              </w:rPr>
              <w:t>未按要求改正的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39D465DA">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tcPr>
          <w:p w14:paraId="20563236">
            <w:pPr>
              <w:rPr>
                <w:color w:val="000000"/>
              </w:rPr>
            </w:pPr>
            <w:r>
              <w:rPr>
                <w:rFonts w:hint="eastAsia"/>
                <w:color w:val="000000"/>
              </w:rPr>
              <w:t>处</w:t>
            </w:r>
            <w:r>
              <w:rPr>
                <w:color w:val="000000"/>
              </w:rPr>
              <w:t>2</w:t>
            </w:r>
            <w:r>
              <w:rPr>
                <w:rFonts w:hint="eastAsia"/>
                <w:color w:val="000000"/>
              </w:rPr>
              <w:t>万元</w:t>
            </w:r>
            <w:r>
              <w:rPr>
                <w:color w:val="000000"/>
              </w:rPr>
              <w:t>3</w:t>
            </w:r>
            <w:r>
              <w:rPr>
                <w:rFonts w:hint="eastAsia"/>
                <w:color w:val="000000"/>
              </w:rPr>
              <w:t>万元以下罚款</w:t>
            </w:r>
          </w:p>
        </w:tc>
      </w:tr>
    </w:tbl>
    <w:p w14:paraId="48FB9B25"/>
    <w:p w14:paraId="3A3C07D6"/>
    <w:p w14:paraId="68493D33"/>
    <w:p w14:paraId="651B7C7A"/>
    <w:p w14:paraId="3032321E"/>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2829B39B">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6E1BE611">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6D71985F">
            <w:pPr>
              <w:spacing w:line="320" w:lineRule="exact"/>
              <w:jc w:val="left"/>
              <w:rPr>
                <w:rFonts w:eastAsia="仿宋_GB2312"/>
                <w:b/>
                <w:bCs/>
                <w:color w:val="000000"/>
                <w:kern w:val="0"/>
                <w:sz w:val="18"/>
                <w:szCs w:val="18"/>
              </w:rPr>
            </w:pPr>
            <w:r>
              <w:rPr>
                <w:rFonts w:eastAsia="仿宋_GB2312"/>
                <w:b/>
                <w:bCs/>
                <w:color w:val="000000"/>
                <w:kern w:val="0"/>
                <w:sz w:val="18"/>
                <w:szCs w:val="18"/>
              </w:rPr>
              <w:t>320217743000</w:t>
            </w:r>
          </w:p>
        </w:tc>
      </w:tr>
      <w:tr w14:paraId="284340CF">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2E17F49">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1B961170">
            <w:pPr>
              <w:spacing w:line="320" w:lineRule="exact"/>
              <w:jc w:val="left"/>
              <w:rPr>
                <w:color w:val="000000"/>
                <w:kern w:val="0"/>
                <w:sz w:val="18"/>
                <w:szCs w:val="18"/>
              </w:rPr>
            </w:pPr>
            <w:r>
              <w:rPr>
                <w:rFonts w:hint="eastAsia"/>
                <w:color w:val="000000"/>
                <w:kern w:val="0"/>
                <w:sz w:val="18"/>
                <w:szCs w:val="18"/>
              </w:rPr>
              <w:t>对评估专业人员索要、收受或者变相索要、收受合同约定以外的酬金、财物，或者谋取其他不正当利益的处罚（限房地产估价业务）</w:t>
            </w:r>
          </w:p>
        </w:tc>
      </w:tr>
      <w:tr w14:paraId="6D4B35D8">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396529A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593A4439">
            <w:pPr>
              <w:spacing w:line="240" w:lineRule="exact"/>
              <w:jc w:val="left"/>
              <w:rPr>
                <w:color w:val="000000"/>
                <w:kern w:val="0"/>
                <w:sz w:val="18"/>
                <w:szCs w:val="18"/>
              </w:rPr>
            </w:pPr>
            <w:r>
              <w:rPr>
                <w:rFonts w:hint="eastAsia"/>
                <w:color w:val="000000"/>
                <w:kern w:val="0"/>
                <w:sz w:val="18"/>
                <w:szCs w:val="18"/>
              </w:rPr>
              <w:t>【法律】《中华人民共和国资产评估法》</w:t>
            </w:r>
          </w:p>
          <w:p w14:paraId="7318D9EC">
            <w:pPr>
              <w:spacing w:line="240" w:lineRule="exact"/>
              <w:jc w:val="left"/>
              <w:rPr>
                <w:color w:val="000000"/>
                <w:kern w:val="0"/>
                <w:sz w:val="18"/>
                <w:szCs w:val="18"/>
              </w:rPr>
            </w:pPr>
            <w:r>
              <w:rPr>
                <w:rFonts w:hint="eastAsia"/>
                <w:color w:val="000000"/>
                <w:kern w:val="0"/>
                <w:sz w:val="18"/>
                <w:szCs w:val="18"/>
              </w:rPr>
              <w:t>第十四条　评估专业人员不得有下列行为：</w:t>
            </w:r>
          </w:p>
          <w:p w14:paraId="2F5003D4">
            <w:pPr>
              <w:spacing w:line="24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索要、收受或者变相索要、收受合同约定以外的酬金、财物，或者谋取其他不正当利益</w:t>
            </w:r>
            <w:r>
              <w:rPr>
                <w:color w:val="000000"/>
                <w:kern w:val="0"/>
                <w:sz w:val="18"/>
                <w:szCs w:val="18"/>
              </w:rPr>
              <w:t>;</w:t>
            </w:r>
          </w:p>
          <w:p w14:paraId="45D6D68F">
            <w:pPr>
              <w:spacing w:line="240" w:lineRule="exact"/>
              <w:jc w:val="left"/>
              <w:rPr>
                <w:color w:val="000000"/>
                <w:kern w:val="0"/>
                <w:sz w:val="18"/>
                <w:szCs w:val="18"/>
              </w:rPr>
            </w:pP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14:paraId="765A077A">
            <w:pPr>
              <w:spacing w:line="24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索要、收受或者变相索要、收受合同约定以外的酬金、财物，或者谋取其他不正当利益的。</w:t>
            </w:r>
          </w:p>
          <w:p w14:paraId="37A8B013">
            <w:pPr>
              <w:spacing w:line="24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14:paraId="61B628C6">
            <w:pPr>
              <w:spacing w:line="24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14:paraId="604E821D">
            <w:pPr>
              <w:spacing w:line="240" w:lineRule="exact"/>
              <w:jc w:val="left"/>
              <w:rPr>
                <w:color w:val="000000"/>
                <w:kern w:val="0"/>
                <w:sz w:val="18"/>
                <w:szCs w:val="18"/>
              </w:rPr>
            </w:pPr>
            <w:r>
              <w:rPr>
                <w:rFonts w:hint="eastAsia"/>
                <w:color w:val="000000"/>
                <w:kern w:val="0"/>
                <w:sz w:val="18"/>
                <w:szCs w:val="18"/>
              </w:rPr>
              <w:t>第二十六条　注册房地产估价师不得有下列行为：</w:t>
            </w:r>
          </w:p>
          <w:p w14:paraId="49CB13C7">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（二）在执业过程中，索贿、受贿或者谋取合同约定费用外的其他利益。</w:t>
            </w:r>
          </w:p>
          <w:p w14:paraId="16B94C56">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（三）在执业过程中实施商业贿赂。</w:t>
            </w:r>
          </w:p>
          <w:p w14:paraId="7AF83AD6">
            <w:pPr>
              <w:spacing w:line="24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14:paraId="4BB35198">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417F18D">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69494694">
            <w:pPr>
              <w:spacing w:line="240" w:lineRule="exact"/>
              <w:jc w:val="left"/>
              <w:rPr>
                <w:color w:val="000000"/>
                <w:kern w:val="0"/>
                <w:sz w:val="18"/>
                <w:szCs w:val="18"/>
              </w:rPr>
            </w:pPr>
            <w:r>
              <w:rPr>
                <w:rFonts w:hint="eastAsia"/>
                <w:color w:val="000000"/>
                <w:kern w:val="0"/>
                <w:sz w:val="18"/>
                <w:szCs w:val="18"/>
              </w:rPr>
              <w:t>警告，没收违法所得，责令停止从业，罚款</w:t>
            </w:r>
          </w:p>
        </w:tc>
      </w:tr>
      <w:tr w14:paraId="25F37731">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2FFBC561">
            <w:pPr>
              <w:spacing w:line="320" w:lineRule="exact"/>
              <w:jc w:val="center"/>
              <w:rPr>
                <w:color w:val="000000"/>
                <w:kern w:val="0"/>
                <w:sz w:val="18"/>
                <w:szCs w:val="18"/>
              </w:rPr>
            </w:pPr>
            <w:r>
              <w:rPr>
                <w:rFonts w:hint="eastAsia"/>
                <w:color w:val="000000"/>
                <w:kern w:val="0"/>
                <w:sz w:val="18"/>
                <w:szCs w:val="18"/>
              </w:rPr>
              <w:t>裁量基准</w:t>
            </w:r>
          </w:p>
        </w:tc>
      </w:tr>
      <w:tr w14:paraId="29B3F884">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4F918B0D">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tcPr>
          <w:p w14:paraId="2072DEC1">
            <w:pPr>
              <w:rPr>
                <w:color w:val="000000"/>
              </w:rPr>
            </w:pPr>
            <w:r>
              <w:rPr>
                <w:rFonts w:hint="eastAsia"/>
                <w:color w:val="000000"/>
              </w:rPr>
              <w:t>没有违法所得，且未造成损失的</w:t>
            </w:r>
          </w:p>
        </w:tc>
        <w:tc>
          <w:tcPr>
            <w:tcW w:w="1080" w:type="dxa"/>
            <w:vMerge w:val="restart"/>
            <w:tcBorders>
              <w:top w:val="single" w:color="auto" w:sz="4" w:space="0"/>
              <w:left w:val="single" w:color="auto" w:sz="4" w:space="0"/>
              <w:right w:val="single" w:color="auto" w:sz="4" w:space="0"/>
            </w:tcBorders>
            <w:vAlign w:val="center"/>
          </w:tcPr>
          <w:p w14:paraId="786DA4F9">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tcPr>
          <w:p w14:paraId="4779E11A">
            <w:pPr>
              <w:rPr>
                <w:color w:val="000000"/>
              </w:rPr>
            </w:pPr>
            <w:r>
              <w:rPr>
                <w:rFonts w:hint="eastAsia"/>
                <w:color w:val="000000"/>
              </w:rPr>
              <w:t>处</w:t>
            </w:r>
            <w:r>
              <w:rPr>
                <w:color w:val="000000"/>
              </w:rPr>
              <w:t>3000</w:t>
            </w:r>
            <w:r>
              <w:rPr>
                <w:rFonts w:hint="eastAsia"/>
                <w:color w:val="000000"/>
              </w:rPr>
              <w:t>元以下罚款</w:t>
            </w:r>
          </w:p>
        </w:tc>
      </w:tr>
      <w:tr w14:paraId="43FCB8CD">
        <w:tblPrEx>
          <w:tblCellMar>
            <w:top w:w="0" w:type="dxa"/>
            <w:left w:w="108" w:type="dxa"/>
            <w:bottom w:w="0" w:type="dxa"/>
            <w:right w:w="108" w:type="dxa"/>
          </w:tblCellMar>
        </w:tblPrEx>
        <w:trPr>
          <w:trHeight w:val="330" w:hRule="atLeast"/>
        </w:trPr>
        <w:tc>
          <w:tcPr>
            <w:tcW w:w="1030" w:type="dxa"/>
            <w:vMerge w:val="continue"/>
            <w:tcBorders>
              <w:left w:val="single" w:color="auto" w:sz="4" w:space="0"/>
              <w:right w:val="single" w:color="auto" w:sz="4" w:space="0"/>
            </w:tcBorders>
            <w:vAlign w:val="center"/>
          </w:tcPr>
          <w:p w14:paraId="4678634F">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4AE6D813">
            <w:pPr>
              <w:rPr>
                <w:color w:val="000000"/>
              </w:rPr>
            </w:pPr>
            <w:r>
              <w:rPr>
                <w:rFonts w:hint="eastAsia"/>
                <w:color w:val="000000"/>
              </w:rPr>
              <w:t>没有违法所得，造成损失但依法承担赔偿责任的</w:t>
            </w:r>
          </w:p>
        </w:tc>
        <w:tc>
          <w:tcPr>
            <w:tcW w:w="1080" w:type="dxa"/>
            <w:vMerge w:val="continue"/>
            <w:tcBorders>
              <w:left w:val="single" w:color="auto" w:sz="4" w:space="0"/>
              <w:right w:val="single" w:color="auto" w:sz="4" w:space="0"/>
            </w:tcBorders>
            <w:vAlign w:val="center"/>
          </w:tcPr>
          <w:p w14:paraId="0603639F">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tcPr>
          <w:p w14:paraId="0CCAFDE9">
            <w:pPr>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14:paraId="17C36B8D">
        <w:tblPrEx>
          <w:tblCellMar>
            <w:top w:w="0" w:type="dxa"/>
            <w:left w:w="108" w:type="dxa"/>
            <w:bottom w:w="0" w:type="dxa"/>
            <w:right w:w="108" w:type="dxa"/>
          </w:tblCellMar>
        </w:tblPrEx>
        <w:trPr>
          <w:trHeight w:val="295" w:hRule="atLeast"/>
        </w:trPr>
        <w:tc>
          <w:tcPr>
            <w:tcW w:w="1030" w:type="dxa"/>
            <w:vMerge w:val="continue"/>
            <w:tcBorders>
              <w:left w:val="single" w:color="auto" w:sz="4" w:space="0"/>
              <w:right w:val="single" w:color="auto" w:sz="4" w:space="0"/>
            </w:tcBorders>
            <w:vAlign w:val="center"/>
          </w:tcPr>
          <w:p w14:paraId="4CFC544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76B4948E">
            <w:pPr>
              <w:rPr>
                <w:color w:val="000000"/>
              </w:rPr>
            </w:pPr>
            <w:r>
              <w:rPr>
                <w:rFonts w:hint="eastAsia"/>
                <w:color w:val="000000"/>
              </w:rPr>
              <w:t>没有违法所得，造成损失但未依法承担赔偿责任的</w:t>
            </w:r>
          </w:p>
        </w:tc>
        <w:tc>
          <w:tcPr>
            <w:tcW w:w="1080" w:type="dxa"/>
            <w:vMerge w:val="continue"/>
            <w:tcBorders>
              <w:left w:val="single" w:color="auto" w:sz="4" w:space="0"/>
              <w:right w:val="single" w:color="auto" w:sz="4" w:space="0"/>
            </w:tcBorders>
            <w:vAlign w:val="center"/>
          </w:tcPr>
          <w:p w14:paraId="256F6B73">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tcPr>
          <w:p w14:paraId="64A17308">
            <w:pPr>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14:paraId="7BDEC877">
        <w:tblPrEx>
          <w:tblCellMar>
            <w:top w:w="0" w:type="dxa"/>
            <w:left w:w="108" w:type="dxa"/>
            <w:bottom w:w="0" w:type="dxa"/>
            <w:right w:w="108" w:type="dxa"/>
          </w:tblCellMar>
        </w:tblPrEx>
        <w:trPr>
          <w:trHeight w:val="295" w:hRule="atLeast"/>
        </w:trPr>
        <w:tc>
          <w:tcPr>
            <w:tcW w:w="1030" w:type="dxa"/>
            <w:vMerge w:val="continue"/>
            <w:tcBorders>
              <w:left w:val="single" w:color="auto" w:sz="4" w:space="0"/>
              <w:right w:val="single" w:color="auto" w:sz="4" w:space="0"/>
            </w:tcBorders>
            <w:vAlign w:val="center"/>
          </w:tcPr>
          <w:p w14:paraId="42592A0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tcPr>
          <w:p w14:paraId="3F16A017">
            <w:pPr>
              <w:rPr>
                <w:color w:val="000000"/>
              </w:rPr>
            </w:pPr>
            <w:r>
              <w:rPr>
                <w:rFonts w:hint="eastAsia"/>
                <w:color w:val="000000"/>
              </w:rPr>
              <w:t>有违法所得，且未造成损失的</w:t>
            </w:r>
          </w:p>
        </w:tc>
        <w:tc>
          <w:tcPr>
            <w:tcW w:w="1080" w:type="dxa"/>
            <w:vMerge w:val="continue"/>
            <w:tcBorders>
              <w:left w:val="single" w:color="auto" w:sz="4" w:space="0"/>
              <w:right w:val="single" w:color="auto" w:sz="4" w:space="0"/>
            </w:tcBorders>
            <w:vAlign w:val="center"/>
          </w:tcPr>
          <w:p w14:paraId="7B7F0EC8">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6787AE92">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14:paraId="03429A55">
        <w:tblPrEx>
          <w:tblCellMar>
            <w:top w:w="0" w:type="dxa"/>
            <w:left w:w="108" w:type="dxa"/>
            <w:bottom w:w="0" w:type="dxa"/>
            <w:right w:w="108" w:type="dxa"/>
          </w:tblCellMar>
        </w:tblPrEx>
        <w:trPr>
          <w:trHeight w:val="295" w:hRule="atLeast"/>
        </w:trPr>
        <w:tc>
          <w:tcPr>
            <w:tcW w:w="1030" w:type="dxa"/>
            <w:vMerge w:val="continue"/>
            <w:tcBorders>
              <w:left w:val="single" w:color="auto" w:sz="4" w:space="0"/>
              <w:right w:val="single" w:color="auto" w:sz="4" w:space="0"/>
            </w:tcBorders>
            <w:vAlign w:val="center"/>
          </w:tcPr>
          <w:p w14:paraId="1FD4158F">
            <w:pPr>
              <w:spacing w:line="320" w:lineRule="exact"/>
              <w:jc w:val="left"/>
              <w:rPr>
                <w:color w:val="000000"/>
                <w:kern w:val="0"/>
                <w:sz w:val="18"/>
                <w:szCs w:val="18"/>
                <w:highlight w:val="yellow"/>
              </w:rPr>
            </w:pPr>
          </w:p>
        </w:tc>
        <w:tc>
          <w:tcPr>
            <w:tcW w:w="6140" w:type="dxa"/>
            <w:tcBorders>
              <w:top w:val="single" w:color="auto" w:sz="4" w:space="0"/>
              <w:left w:val="nil"/>
              <w:bottom w:val="single" w:color="auto" w:sz="4" w:space="0"/>
              <w:right w:val="single" w:color="auto" w:sz="4" w:space="0"/>
            </w:tcBorders>
          </w:tcPr>
          <w:p w14:paraId="0C5ED6BA">
            <w:pPr>
              <w:rPr>
                <w:color w:val="000000"/>
              </w:rPr>
            </w:pPr>
            <w:r>
              <w:rPr>
                <w:rFonts w:hint="eastAsia"/>
                <w:color w:val="000000"/>
              </w:rPr>
              <w:t>有违法所得，造成损失依法承担赔偿责任的</w:t>
            </w:r>
          </w:p>
        </w:tc>
        <w:tc>
          <w:tcPr>
            <w:tcW w:w="1080" w:type="dxa"/>
            <w:vMerge w:val="continue"/>
            <w:tcBorders>
              <w:left w:val="single" w:color="auto" w:sz="4" w:space="0"/>
              <w:right w:val="single" w:color="auto" w:sz="4" w:space="0"/>
            </w:tcBorders>
            <w:vAlign w:val="center"/>
          </w:tcPr>
          <w:p w14:paraId="744D7455">
            <w:pPr>
              <w:spacing w:line="320" w:lineRule="exact"/>
              <w:jc w:val="left"/>
              <w:rPr>
                <w:color w:val="000000"/>
                <w:kern w:val="0"/>
                <w:sz w:val="18"/>
                <w:szCs w:val="18"/>
                <w:highlight w:val="yellow"/>
              </w:rPr>
            </w:pPr>
          </w:p>
        </w:tc>
        <w:tc>
          <w:tcPr>
            <w:tcW w:w="5820" w:type="dxa"/>
            <w:tcBorders>
              <w:top w:val="single" w:color="auto" w:sz="4" w:space="0"/>
              <w:left w:val="single" w:color="auto" w:sz="4" w:space="0"/>
              <w:bottom w:val="single" w:color="auto" w:sz="4" w:space="0"/>
              <w:right w:val="single" w:color="auto" w:sz="4" w:space="0"/>
            </w:tcBorders>
            <w:vAlign w:val="center"/>
          </w:tcPr>
          <w:p w14:paraId="5EE2E2C7">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14:paraId="0F5D076A">
        <w:tblPrEx>
          <w:tblCellMar>
            <w:top w:w="0" w:type="dxa"/>
            <w:left w:w="108" w:type="dxa"/>
            <w:bottom w:w="0" w:type="dxa"/>
            <w:right w:w="108" w:type="dxa"/>
          </w:tblCellMar>
        </w:tblPrEx>
        <w:trPr>
          <w:trHeight w:val="295" w:hRule="atLeast"/>
        </w:trPr>
        <w:tc>
          <w:tcPr>
            <w:tcW w:w="1030" w:type="dxa"/>
            <w:vMerge w:val="continue"/>
            <w:tcBorders>
              <w:left w:val="single" w:color="auto" w:sz="4" w:space="0"/>
              <w:bottom w:val="single" w:color="auto" w:sz="4" w:space="0"/>
              <w:right w:val="single" w:color="auto" w:sz="4" w:space="0"/>
            </w:tcBorders>
            <w:vAlign w:val="center"/>
          </w:tcPr>
          <w:p w14:paraId="2BA54BCC">
            <w:pPr>
              <w:spacing w:line="320" w:lineRule="exact"/>
              <w:jc w:val="left"/>
              <w:rPr>
                <w:color w:val="000000"/>
                <w:kern w:val="0"/>
                <w:sz w:val="18"/>
                <w:szCs w:val="18"/>
                <w:highlight w:val="yellow"/>
              </w:rPr>
            </w:pPr>
          </w:p>
        </w:tc>
        <w:tc>
          <w:tcPr>
            <w:tcW w:w="6140" w:type="dxa"/>
            <w:tcBorders>
              <w:top w:val="single" w:color="auto" w:sz="4" w:space="0"/>
              <w:left w:val="nil"/>
              <w:bottom w:val="single" w:color="auto" w:sz="4" w:space="0"/>
              <w:right w:val="single" w:color="auto" w:sz="4" w:space="0"/>
            </w:tcBorders>
          </w:tcPr>
          <w:p w14:paraId="53512DC0">
            <w:pPr>
              <w:rPr>
                <w:color w:val="000000"/>
              </w:rPr>
            </w:pPr>
            <w:r>
              <w:rPr>
                <w:rFonts w:hint="eastAsia"/>
                <w:color w:val="000000"/>
              </w:rPr>
              <w:t>有违法所得，造成损失未依法承担赔偿责任的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4B810E02">
            <w:pPr>
              <w:spacing w:line="320" w:lineRule="exact"/>
              <w:jc w:val="left"/>
              <w:rPr>
                <w:color w:val="000000"/>
                <w:kern w:val="0"/>
                <w:sz w:val="18"/>
                <w:szCs w:val="18"/>
                <w:highlight w:val="yellow"/>
              </w:rPr>
            </w:pPr>
          </w:p>
        </w:tc>
        <w:tc>
          <w:tcPr>
            <w:tcW w:w="5820" w:type="dxa"/>
            <w:tcBorders>
              <w:top w:val="single" w:color="auto" w:sz="4" w:space="0"/>
              <w:left w:val="single" w:color="auto" w:sz="4" w:space="0"/>
              <w:bottom w:val="single" w:color="auto" w:sz="4" w:space="0"/>
              <w:right w:val="single" w:color="auto" w:sz="4" w:space="0"/>
            </w:tcBorders>
            <w:vAlign w:val="center"/>
          </w:tcPr>
          <w:p w14:paraId="460F4F22">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14:paraId="10406468"/>
    <w:p w14:paraId="62199D68"/>
    <w:p w14:paraId="73B459A7"/>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CF92008">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092B68A4">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7D497A7D">
            <w:pPr>
              <w:spacing w:line="320" w:lineRule="exact"/>
              <w:jc w:val="left"/>
              <w:rPr>
                <w:rFonts w:eastAsia="仿宋_GB2312"/>
                <w:b/>
                <w:bCs/>
                <w:color w:val="000000"/>
                <w:kern w:val="0"/>
                <w:sz w:val="18"/>
                <w:szCs w:val="18"/>
              </w:rPr>
            </w:pPr>
            <w:r>
              <w:rPr>
                <w:rFonts w:eastAsia="仿宋_GB2312"/>
                <w:b/>
                <w:bCs/>
                <w:color w:val="000000"/>
                <w:kern w:val="0"/>
                <w:sz w:val="18"/>
                <w:szCs w:val="18"/>
              </w:rPr>
              <w:t>320217744000</w:t>
            </w:r>
          </w:p>
        </w:tc>
      </w:tr>
      <w:tr w14:paraId="704612E3">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ACF44FC">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421C7DF5">
            <w:pPr>
              <w:spacing w:line="320" w:lineRule="exact"/>
              <w:jc w:val="left"/>
              <w:rPr>
                <w:color w:val="000000"/>
                <w:kern w:val="0"/>
                <w:sz w:val="18"/>
                <w:szCs w:val="18"/>
              </w:rPr>
            </w:pPr>
            <w:r>
              <w:rPr>
                <w:rFonts w:hint="eastAsia"/>
                <w:color w:val="000000"/>
                <w:kern w:val="0"/>
                <w:sz w:val="18"/>
                <w:szCs w:val="18"/>
              </w:rPr>
              <w:t>对未按规定办理房屋租赁登记备案，或变更、延续或者注销手续的处罚</w:t>
            </w:r>
          </w:p>
        </w:tc>
      </w:tr>
      <w:tr w14:paraId="5D8523A1">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5AA6D9C3">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663FB17D">
            <w:pPr>
              <w:spacing w:line="320" w:lineRule="exact"/>
              <w:jc w:val="left"/>
              <w:rPr>
                <w:color w:val="000000"/>
                <w:kern w:val="0"/>
                <w:sz w:val="18"/>
                <w:szCs w:val="18"/>
              </w:rPr>
            </w:pPr>
            <w:r>
              <w:rPr>
                <w:rFonts w:hint="eastAsia"/>
                <w:color w:val="000000"/>
                <w:kern w:val="0"/>
                <w:sz w:val="18"/>
                <w:szCs w:val="18"/>
              </w:rPr>
              <w:t>【规章】《商品房屋租赁管理办法》（住房和城乡建设部部令第</w:t>
            </w:r>
            <w:r>
              <w:rPr>
                <w:color w:val="000000"/>
                <w:kern w:val="0"/>
                <w:sz w:val="18"/>
                <w:szCs w:val="18"/>
              </w:rPr>
              <w:t>6</w:t>
            </w:r>
            <w:r>
              <w:rPr>
                <w:rFonts w:hint="eastAsia"/>
                <w:color w:val="000000"/>
                <w:kern w:val="0"/>
                <w:sz w:val="18"/>
                <w:szCs w:val="18"/>
              </w:rPr>
              <w:t>号）》</w:t>
            </w:r>
          </w:p>
          <w:p w14:paraId="60292247">
            <w:pPr>
              <w:spacing w:line="320" w:lineRule="exact"/>
              <w:jc w:val="left"/>
              <w:rPr>
                <w:color w:val="000000"/>
                <w:kern w:val="0"/>
                <w:sz w:val="18"/>
                <w:szCs w:val="18"/>
              </w:rPr>
            </w:pPr>
            <w:r>
              <w:rPr>
                <w:rFonts w:hint="eastAsia"/>
                <w:color w:val="000000"/>
                <w:kern w:val="0"/>
                <w:sz w:val="18"/>
                <w:szCs w:val="18"/>
              </w:rPr>
              <w:t>第十四条第一款</w:t>
            </w:r>
            <w:r>
              <w:rPr>
                <w:color w:val="000000"/>
                <w:kern w:val="0"/>
                <w:sz w:val="18"/>
                <w:szCs w:val="18"/>
              </w:rPr>
              <w:t xml:space="preserve"> </w:t>
            </w:r>
            <w:r>
              <w:rPr>
                <w:rFonts w:hint="eastAsia"/>
                <w:color w:val="000000"/>
                <w:kern w:val="0"/>
                <w:sz w:val="18"/>
                <w:szCs w:val="18"/>
              </w:rPr>
              <w:t>房屋租赁合同订立后三十日内，房屋租赁当事人应当到租赁房屋所在地直辖市、市、县人民政府建设（房地产）主管部门办理房屋租赁登记备案。</w:t>
            </w:r>
          </w:p>
          <w:p w14:paraId="7B216590">
            <w:pPr>
              <w:spacing w:line="320" w:lineRule="exact"/>
              <w:jc w:val="left"/>
              <w:rPr>
                <w:color w:val="000000"/>
                <w:kern w:val="0"/>
                <w:sz w:val="18"/>
                <w:szCs w:val="18"/>
              </w:rPr>
            </w:pPr>
            <w:r>
              <w:rPr>
                <w:rFonts w:hint="eastAsia"/>
                <w:color w:val="000000"/>
                <w:kern w:val="0"/>
                <w:sz w:val="18"/>
                <w:szCs w:val="18"/>
              </w:rPr>
              <w:t>第十九条　房屋租赁登记备案内容发生变化、续租或者租赁终止的，当事人应当在三十日内，到原租赁登记备案的部门办理房屋租赁登记备案的变更、延续或者注销手续。</w:t>
            </w:r>
          </w:p>
          <w:p w14:paraId="3B846CF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第二十三条　违反本办法第十四条第一款、第十九条规定的，由直辖市、市、县人民政府建设（房地产）主管部门责令限期改正；个人逾期不改正的，处以一千元以下罚款；单位逾期不改正的，处以一千元以上一万元以下罚款。</w:t>
            </w:r>
          </w:p>
        </w:tc>
      </w:tr>
      <w:tr w14:paraId="3F2FDD7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1460FE66">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4B354A32">
            <w:pPr>
              <w:spacing w:line="320" w:lineRule="exact"/>
              <w:jc w:val="left"/>
              <w:rPr>
                <w:color w:val="000000"/>
                <w:kern w:val="0"/>
                <w:sz w:val="18"/>
                <w:szCs w:val="18"/>
              </w:rPr>
            </w:pPr>
            <w:r>
              <w:rPr>
                <w:rFonts w:hint="eastAsia"/>
                <w:color w:val="000000"/>
                <w:kern w:val="0"/>
                <w:sz w:val="18"/>
                <w:szCs w:val="18"/>
              </w:rPr>
              <w:t>罚款</w:t>
            </w:r>
          </w:p>
        </w:tc>
      </w:tr>
      <w:tr w14:paraId="606C5D86">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51432D8E">
            <w:pPr>
              <w:spacing w:line="320" w:lineRule="exact"/>
              <w:jc w:val="center"/>
              <w:rPr>
                <w:color w:val="000000"/>
                <w:kern w:val="0"/>
                <w:sz w:val="18"/>
                <w:szCs w:val="18"/>
              </w:rPr>
            </w:pPr>
            <w:r>
              <w:rPr>
                <w:rFonts w:hint="eastAsia"/>
                <w:color w:val="000000"/>
                <w:kern w:val="0"/>
                <w:sz w:val="18"/>
                <w:szCs w:val="18"/>
              </w:rPr>
              <w:t>裁量基准</w:t>
            </w:r>
          </w:p>
        </w:tc>
      </w:tr>
      <w:tr w14:paraId="1A35CC2F">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bottom w:val="single" w:color="auto" w:sz="4" w:space="0"/>
              <w:right w:val="single" w:color="auto" w:sz="4" w:space="0"/>
            </w:tcBorders>
            <w:vAlign w:val="center"/>
          </w:tcPr>
          <w:p w14:paraId="27A34DE4">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9449A3E">
            <w:pPr>
              <w:spacing w:line="320" w:lineRule="exact"/>
              <w:jc w:val="left"/>
              <w:rPr>
                <w:color w:val="000000"/>
                <w:kern w:val="0"/>
                <w:sz w:val="18"/>
                <w:szCs w:val="18"/>
              </w:rPr>
            </w:pPr>
            <w:r>
              <w:rPr>
                <w:rFonts w:hint="eastAsia"/>
                <w:color w:val="000000"/>
                <w:kern w:val="0"/>
                <w:sz w:val="18"/>
                <w:szCs w:val="18"/>
              </w:rPr>
              <w:t>个人逾期不改正，但在调查处理期间改正的</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5AEC9676">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74B4928C">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元以下罚款</w:t>
            </w:r>
          </w:p>
        </w:tc>
      </w:tr>
      <w:tr w14:paraId="3530807A">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bottom w:val="single" w:color="auto" w:sz="4" w:space="0"/>
              <w:right w:val="single" w:color="auto" w:sz="4" w:space="0"/>
            </w:tcBorders>
            <w:vAlign w:val="center"/>
          </w:tcPr>
          <w:p w14:paraId="7EEA68BD">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235D0770">
            <w:pPr>
              <w:spacing w:line="320" w:lineRule="exact"/>
              <w:jc w:val="left"/>
              <w:rPr>
                <w:color w:val="000000"/>
                <w:kern w:val="0"/>
                <w:sz w:val="18"/>
                <w:szCs w:val="18"/>
              </w:rPr>
            </w:pPr>
            <w:r>
              <w:rPr>
                <w:rFonts w:hint="eastAsia"/>
                <w:color w:val="000000"/>
                <w:kern w:val="0"/>
                <w:sz w:val="18"/>
                <w:szCs w:val="18"/>
              </w:rPr>
              <w:t>个人逾期不改正，在调查处理期间仍未改正的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6F2E8898">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464914E3">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14:paraId="540C49E7">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bottom w:val="single" w:color="auto" w:sz="4" w:space="0"/>
              <w:right w:val="single" w:color="auto" w:sz="4" w:space="0"/>
            </w:tcBorders>
            <w:vAlign w:val="center"/>
          </w:tcPr>
          <w:p w14:paraId="0F7849AE">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31BBBE32">
            <w:pPr>
              <w:spacing w:line="320" w:lineRule="exact"/>
              <w:jc w:val="left"/>
              <w:rPr>
                <w:color w:val="000000"/>
                <w:kern w:val="0"/>
                <w:sz w:val="18"/>
                <w:szCs w:val="18"/>
              </w:rPr>
            </w:pPr>
            <w:r>
              <w:rPr>
                <w:rFonts w:hint="eastAsia"/>
                <w:color w:val="000000"/>
                <w:kern w:val="0"/>
                <w:sz w:val="18"/>
                <w:szCs w:val="18"/>
              </w:rPr>
              <w:t>单位逾期不改正，但在调查处理期间改正的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171568C">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F2C536A">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14:paraId="3188B2BB">
        <w:tblPrEx>
          <w:tblCellMar>
            <w:top w:w="0" w:type="dxa"/>
            <w:left w:w="108" w:type="dxa"/>
            <w:bottom w:w="0" w:type="dxa"/>
            <w:right w:w="108" w:type="dxa"/>
          </w:tblCellMar>
        </w:tblPrEx>
        <w:trPr>
          <w:trHeight w:val="285" w:hRule="atLeast"/>
        </w:trPr>
        <w:tc>
          <w:tcPr>
            <w:tcW w:w="1030" w:type="dxa"/>
            <w:vMerge w:val="continue"/>
            <w:tcBorders>
              <w:top w:val="single" w:color="auto" w:sz="4" w:space="0"/>
              <w:left w:val="single" w:color="auto" w:sz="4" w:space="0"/>
              <w:bottom w:val="single" w:color="auto" w:sz="4" w:space="0"/>
              <w:right w:val="single" w:color="auto" w:sz="4" w:space="0"/>
            </w:tcBorders>
            <w:vAlign w:val="center"/>
          </w:tcPr>
          <w:p w14:paraId="040E3944">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29EBD61">
            <w:pPr>
              <w:spacing w:line="320" w:lineRule="exact"/>
              <w:jc w:val="left"/>
              <w:rPr>
                <w:color w:val="000000"/>
                <w:kern w:val="0"/>
                <w:sz w:val="18"/>
                <w:szCs w:val="18"/>
              </w:rPr>
            </w:pPr>
            <w:r>
              <w:rPr>
                <w:rFonts w:hint="eastAsia"/>
                <w:color w:val="000000"/>
                <w:kern w:val="0"/>
                <w:sz w:val="18"/>
                <w:szCs w:val="18"/>
              </w:rPr>
              <w:t>单位逾期不改正，在调查处理期间仍未改正的</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69208057">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A2423A6">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14:paraId="3BD77938"/>
    <w:p w14:paraId="2865F724"/>
    <w:p w14:paraId="712AEB8C"/>
    <w:p w14:paraId="4D3690AE"/>
    <w:p w14:paraId="6FDB6286"/>
    <w:p w14:paraId="12CEEE3F"/>
    <w:p w14:paraId="57B3D2BF"/>
    <w:p w14:paraId="16A80F01"/>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33E37313">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63AC5226">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0A65CC60">
            <w:pPr>
              <w:spacing w:line="320" w:lineRule="exact"/>
              <w:jc w:val="left"/>
              <w:rPr>
                <w:rFonts w:eastAsia="仿宋_GB2312"/>
                <w:b/>
                <w:bCs/>
                <w:color w:val="000000"/>
                <w:kern w:val="0"/>
                <w:sz w:val="18"/>
                <w:szCs w:val="18"/>
              </w:rPr>
            </w:pPr>
            <w:r>
              <w:rPr>
                <w:rFonts w:eastAsia="仿宋_GB2312"/>
                <w:b/>
                <w:bCs/>
                <w:color w:val="000000"/>
                <w:kern w:val="0"/>
                <w:sz w:val="18"/>
                <w:szCs w:val="18"/>
              </w:rPr>
              <w:t>320217745000</w:t>
            </w:r>
          </w:p>
        </w:tc>
      </w:tr>
      <w:tr w14:paraId="5DDA31AD">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BE164EB">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2D6ECB6D">
            <w:pPr>
              <w:spacing w:line="320" w:lineRule="exact"/>
              <w:jc w:val="left"/>
              <w:rPr>
                <w:color w:val="000000"/>
                <w:kern w:val="0"/>
                <w:sz w:val="18"/>
                <w:szCs w:val="18"/>
              </w:rPr>
            </w:pPr>
            <w:r>
              <w:rPr>
                <w:rFonts w:hint="eastAsia"/>
                <w:color w:val="000000"/>
                <w:kern w:val="0"/>
                <w:sz w:val="18"/>
                <w:szCs w:val="18"/>
              </w:rPr>
              <w:t>对评估机构以恶性压价、支付回扣、虚假宣传，或者贬损、诋毁其他评估机构等不正当手段招揽业务的处罚（限房地产估价业务）</w:t>
            </w:r>
          </w:p>
        </w:tc>
      </w:tr>
      <w:tr w14:paraId="2106D4DE">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2A48B114">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58BE4050">
            <w:pPr>
              <w:spacing w:line="320" w:lineRule="exact"/>
              <w:jc w:val="left"/>
              <w:rPr>
                <w:color w:val="000000"/>
                <w:kern w:val="0"/>
                <w:sz w:val="18"/>
                <w:szCs w:val="18"/>
              </w:rPr>
            </w:pPr>
            <w:r>
              <w:rPr>
                <w:rFonts w:hint="eastAsia"/>
                <w:color w:val="000000"/>
                <w:kern w:val="0"/>
                <w:sz w:val="18"/>
                <w:szCs w:val="18"/>
              </w:rPr>
              <w:t>【法律】《中华人民共和国资产评估法》　</w:t>
            </w:r>
          </w:p>
          <w:p w14:paraId="1318E4B9">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14:paraId="6BC51DCE">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以恶性压价、支付回扣、虚假宣传，或者贬损、诋毁其他评估机构等不正当手段招揽业务</w:t>
            </w:r>
            <w:r>
              <w:rPr>
                <w:color w:val="000000"/>
                <w:kern w:val="0"/>
                <w:sz w:val="18"/>
                <w:szCs w:val="18"/>
              </w:rPr>
              <w:t>;</w:t>
            </w:r>
          </w:p>
          <w:p w14:paraId="0A1ACF7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14:paraId="5E0871D2">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以恶性压价、支付回扣、虚假宣传，或者贬损、诋毁其他评估机构等不正当手段招揽业务的</w:t>
            </w:r>
            <w:r>
              <w:rPr>
                <w:color w:val="000000"/>
                <w:kern w:val="0"/>
                <w:sz w:val="18"/>
                <w:szCs w:val="18"/>
              </w:rPr>
              <w:t>;</w:t>
            </w:r>
          </w:p>
          <w:p w14:paraId="679F8BEA">
            <w:pPr>
              <w:spacing w:line="32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p>
          <w:p w14:paraId="2BD9277F">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p>
          <w:p w14:paraId="2E968F6E">
            <w:pPr>
              <w:spacing w:line="320" w:lineRule="exact"/>
              <w:jc w:val="left"/>
              <w:rPr>
                <w:color w:val="000000"/>
                <w:kern w:val="0"/>
                <w:sz w:val="18"/>
                <w:szCs w:val="18"/>
              </w:rPr>
            </w:pPr>
            <w:r>
              <w:rPr>
                <w:rFonts w:hint="eastAsia"/>
                <w:color w:val="000000"/>
                <w:kern w:val="0"/>
                <w:sz w:val="18"/>
                <w:szCs w:val="18"/>
              </w:rPr>
              <w:t>（三）以迎合高估或者低估要求、给予回扣、恶意压低收费等方式进行不正当竞争。</w:t>
            </w:r>
          </w:p>
          <w:p w14:paraId="0F47FF69">
            <w:pPr>
              <w:spacing w:line="320" w:lineRule="exact"/>
              <w:jc w:val="left"/>
              <w:rPr>
                <w:color w:val="000000"/>
                <w:kern w:val="0"/>
                <w:sz w:val="18"/>
                <w:szCs w:val="18"/>
              </w:rPr>
            </w:pP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14:paraId="1EBAF20B">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13346165">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0B995EBC">
            <w:pPr>
              <w:spacing w:line="320" w:lineRule="exact"/>
              <w:jc w:val="left"/>
              <w:rPr>
                <w:color w:val="000000"/>
                <w:kern w:val="0"/>
                <w:sz w:val="18"/>
                <w:szCs w:val="18"/>
              </w:rPr>
            </w:pPr>
            <w:r>
              <w:rPr>
                <w:rFonts w:hint="eastAsia"/>
                <w:color w:val="000000"/>
                <w:kern w:val="0"/>
                <w:sz w:val="18"/>
                <w:szCs w:val="18"/>
              </w:rPr>
              <w:t>警告，没收违法所得，责令停业，罚款</w:t>
            </w:r>
          </w:p>
        </w:tc>
      </w:tr>
      <w:tr w14:paraId="635E4C5C">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584FB259">
            <w:pPr>
              <w:spacing w:line="320" w:lineRule="exact"/>
              <w:jc w:val="center"/>
              <w:rPr>
                <w:color w:val="000000"/>
                <w:kern w:val="0"/>
                <w:sz w:val="18"/>
                <w:szCs w:val="18"/>
              </w:rPr>
            </w:pPr>
            <w:r>
              <w:rPr>
                <w:rFonts w:hint="eastAsia"/>
                <w:color w:val="000000"/>
                <w:kern w:val="0"/>
                <w:sz w:val="18"/>
                <w:szCs w:val="18"/>
              </w:rPr>
              <w:t>裁量基准</w:t>
            </w:r>
          </w:p>
        </w:tc>
      </w:tr>
      <w:tr w14:paraId="36BDA6E7">
        <w:tblPrEx>
          <w:tblCellMar>
            <w:top w:w="0" w:type="dxa"/>
            <w:left w:w="108" w:type="dxa"/>
            <w:bottom w:w="0" w:type="dxa"/>
            <w:right w:w="108" w:type="dxa"/>
          </w:tblCellMar>
        </w:tblPrEx>
        <w:trPr>
          <w:trHeight w:val="650" w:hRule="atLeast"/>
        </w:trPr>
        <w:tc>
          <w:tcPr>
            <w:tcW w:w="1030" w:type="dxa"/>
            <w:vMerge w:val="restart"/>
            <w:tcBorders>
              <w:top w:val="single" w:color="auto" w:sz="4" w:space="0"/>
              <w:left w:val="single" w:color="auto" w:sz="4" w:space="0"/>
              <w:right w:val="single" w:color="auto" w:sz="4" w:space="0"/>
            </w:tcBorders>
            <w:vAlign w:val="center"/>
          </w:tcPr>
          <w:p w14:paraId="2925F56B">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right w:val="single" w:color="auto" w:sz="4" w:space="0"/>
            </w:tcBorders>
            <w:vAlign w:val="center"/>
          </w:tcPr>
          <w:p w14:paraId="6D5120C6">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color="auto" w:sz="4" w:space="0"/>
              <w:left w:val="single" w:color="auto" w:sz="4" w:space="0"/>
              <w:right w:val="single" w:color="auto" w:sz="4" w:space="0"/>
            </w:tcBorders>
            <w:vAlign w:val="center"/>
          </w:tcPr>
          <w:p w14:paraId="3B268020">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right w:val="single" w:color="auto" w:sz="4" w:space="0"/>
            </w:tcBorders>
            <w:vAlign w:val="center"/>
          </w:tcPr>
          <w:p w14:paraId="313EE32A">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14:paraId="41207826">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6DB19BE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35532DF">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val="continue"/>
            <w:tcBorders>
              <w:left w:val="single" w:color="auto" w:sz="4" w:space="0"/>
              <w:bottom w:val="single" w:color="auto" w:sz="4" w:space="0"/>
              <w:right w:val="single" w:color="auto" w:sz="4" w:space="0"/>
            </w:tcBorders>
            <w:vAlign w:val="center"/>
          </w:tcPr>
          <w:p w14:paraId="0F081BD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0CDB728C">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14:paraId="5A1A423D"/>
    <w:p w14:paraId="6AB7C09F"/>
    <w:p w14:paraId="32B6214B"/>
    <w:p w14:paraId="200E0018"/>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6195E8AA">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291651FE">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3CA9580C">
            <w:pPr>
              <w:spacing w:line="320" w:lineRule="exact"/>
              <w:jc w:val="left"/>
              <w:rPr>
                <w:rFonts w:eastAsia="仿宋_GB2312"/>
                <w:b/>
                <w:bCs/>
                <w:color w:val="000000"/>
                <w:kern w:val="0"/>
                <w:sz w:val="18"/>
                <w:szCs w:val="18"/>
              </w:rPr>
            </w:pPr>
            <w:r>
              <w:rPr>
                <w:rFonts w:eastAsia="仿宋_GB2312"/>
                <w:b/>
                <w:bCs/>
                <w:color w:val="000000"/>
                <w:kern w:val="0"/>
                <w:sz w:val="18"/>
                <w:szCs w:val="18"/>
              </w:rPr>
              <w:t>320217746000</w:t>
            </w:r>
          </w:p>
        </w:tc>
      </w:tr>
      <w:tr w14:paraId="69F8A17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1F73D234">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386A8917">
            <w:pPr>
              <w:spacing w:line="320" w:lineRule="exact"/>
              <w:jc w:val="left"/>
              <w:rPr>
                <w:color w:val="000000"/>
                <w:kern w:val="0"/>
                <w:sz w:val="18"/>
                <w:szCs w:val="18"/>
              </w:rPr>
            </w:pPr>
            <w:r>
              <w:rPr>
                <w:rFonts w:hint="eastAsia"/>
                <w:color w:val="000000"/>
                <w:kern w:val="0"/>
                <w:sz w:val="18"/>
                <w:szCs w:val="18"/>
              </w:rPr>
              <w:t>对委托人在法定评估中索要、收受或者变相索要、收受回扣的处罚（限房地产估价业务）</w:t>
            </w:r>
          </w:p>
        </w:tc>
      </w:tr>
      <w:tr w14:paraId="1C7DA051">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6912CE50">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4B171208">
            <w:pPr>
              <w:spacing w:line="320" w:lineRule="exact"/>
              <w:jc w:val="left"/>
              <w:rPr>
                <w:color w:val="000000"/>
                <w:kern w:val="0"/>
                <w:sz w:val="18"/>
                <w:szCs w:val="18"/>
              </w:rPr>
            </w:pPr>
            <w:r>
              <w:rPr>
                <w:rFonts w:hint="eastAsia"/>
                <w:color w:val="000000"/>
                <w:kern w:val="0"/>
                <w:sz w:val="18"/>
                <w:szCs w:val="18"/>
              </w:rPr>
              <w:t>【法律】《中华人民共和国资产评估法》</w:t>
            </w:r>
          </w:p>
          <w:p w14:paraId="4C81D7B0">
            <w:pPr>
              <w:spacing w:line="320" w:lineRule="exact"/>
              <w:jc w:val="left"/>
              <w:rPr>
                <w:color w:val="000000"/>
                <w:kern w:val="0"/>
                <w:sz w:val="18"/>
                <w:szCs w:val="18"/>
              </w:rPr>
            </w:pPr>
            <w:r>
              <w:rPr>
                <w:rFonts w:hint="eastAsia"/>
                <w:color w:val="000000"/>
                <w:kern w:val="0"/>
                <w:sz w:val="18"/>
                <w:szCs w:val="18"/>
              </w:rPr>
              <w:t>第二十三条第二款</w:t>
            </w:r>
            <w:r>
              <w:rPr>
                <w:color w:val="000000"/>
                <w:kern w:val="0"/>
                <w:sz w:val="18"/>
                <w:szCs w:val="18"/>
              </w:rPr>
              <w:t xml:space="preserve"> </w:t>
            </w:r>
            <w:r>
              <w:rPr>
                <w:rFonts w:hint="eastAsia"/>
                <w:color w:val="000000"/>
                <w:kern w:val="0"/>
                <w:sz w:val="18"/>
                <w:szCs w:val="18"/>
              </w:rPr>
              <w:t>委托人应当按照合同约定向评估机构支付费用，不得索要、收受或者变相索要、收受回扣。</w:t>
            </w:r>
          </w:p>
          <w:p w14:paraId="691BFDCA">
            <w:pPr>
              <w:spacing w:line="320" w:lineRule="exact"/>
              <w:jc w:val="left"/>
              <w:rPr>
                <w:color w:val="000000"/>
                <w:kern w:val="0"/>
                <w:sz w:val="18"/>
                <w:szCs w:val="18"/>
              </w:rPr>
            </w:pP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14:paraId="0CB25D12">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索要、收受或者变相索要、收受回扣的</w:t>
            </w:r>
            <w:r>
              <w:rPr>
                <w:color w:val="000000"/>
                <w:kern w:val="0"/>
                <w:sz w:val="18"/>
                <w:szCs w:val="18"/>
              </w:rPr>
              <w:t>;</w:t>
            </w:r>
          </w:p>
          <w:p w14:paraId="36F3DB01">
            <w:pPr>
              <w:spacing w:line="320" w:lineRule="exact"/>
              <w:jc w:val="left"/>
              <w:rPr>
                <w:color w:val="000000"/>
                <w:kern w:val="0"/>
                <w:sz w:val="18"/>
                <w:szCs w:val="18"/>
              </w:rPr>
            </w:pPr>
            <w:r>
              <w:rPr>
                <w:rFonts w:hint="eastAsia"/>
                <w:color w:val="000000"/>
                <w:kern w:val="0"/>
                <w:sz w:val="18"/>
                <w:szCs w:val="18"/>
              </w:rPr>
              <w:t>前款规定以外的委托人违反本法规定，给他人造成损失的，依法承担赔偿责任。</w:t>
            </w:r>
          </w:p>
        </w:tc>
      </w:tr>
      <w:tr w14:paraId="35DA15C9">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6EE882CE">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3C101691">
            <w:pPr>
              <w:spacing w:line="320" w:lineRule="exact"/>
              <w:jc w:val="left"/>
              <w:rPr>
                <w:color w:val="000000"/>
                <w:kern w:val="0"/>
                <w:sz w:val="18"/>
                <w:szCs w:val="18"/>
              </w:rPr>
            </w:pPr>
            <w:r>
              <w:rPr>
                <w:rFonts w:hint="eastAsia"/>
                <w:color w:val="000000"/>
                <w:kern w:val="0"/>
                <w:sz w:val="18"/>
                <w:szCs w:val="18"/>
              </w:rPr>
              <w:t>没收违法所得，罚款</w:t>
            </w:r>
          </w:p>
        </w:tc>
      </w:tr>
      <w:tr w14:paraId="27D6F2DB">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7B568C0F">
            <w:pPr>
              <w:spacing w:line="320" w:lineRule="exact"/>
              <w:jc w:val="center"/>
              <w:rPr>
                <w:color w:val="000000"/>
                <w:kern w:val="0"/>
                <w:sz w:val="18"/>
                <w:szCs w:val="18"/>
              </w:rPr>
            </w:pPr>
            <w:r>
              <w:rPr>
                <w:rFonts w:hint="eastAsia"/>
                <w:color w:val="000000"/>
                <w:kern w:val="0"/>
                <w:sz w:val="18"/>
                <w:szCs w:val="18"/>
              </w:rPr>
              <w:t>裁量基准</w:t>
            </w:r>
          </w:p>
        </w:tc>
      </w:tr>
      <w:tr w14:paraId="7151668C">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713D713E">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52BF6020">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color="auto" w:sz="4" w:space="0"/>
              <w:left w:val="single" w:color="auto" w:sz="4" w:space="0"/>
              <w:right w:val="single" w:color="auto" w:sz="4" w:space="0"/>
            </w:tcBorders>
            <w:vAlign w:val="center"/>
          </w:tcPr>
          <w:p w14:paraId="5772EB86">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3EE2EA9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476EB027">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20A0F0F9">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BB786A6">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continue"/>
            <w:tcBorders>
              <w:left w:val="single" w:color="auto" w:sz="4" w:space="0"/>
              <w:right w:val="single" w:color="auto" w:sz="4" w:space="0"/>
            </w:tcBorders>
            <w:vAlign w:val="center"/>
          </w:tcPr>
          <w:p w14:paraId="62FD826F">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67206D06">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14:paraId="2F2F5788">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15085B8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634BE4DB">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72D879AA">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2404D8A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5BDA1253"/>
    <w:p w14:paraId="18EE94C5"/>
    <w:p w14:paraId="062491C9"/>
    <w:p w14:paraId="6D0C356C"/>
    <w:p w14:paraId="15CF8FCF"/>
    <w:p w14:paraId="2C641698"/>
    <w:p w14:paraId="534B5585"/>
    <w:p w14:paraId="0F8F9A00"/>
    <w:p w14:paraId="0467F2E0"/>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14F1E05A">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0C74BC56">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40A3BC1B">
            <w:pPr>
              <w:spacing w:line="320" w:lineRule="exact"/>
              <w:jc w:val="left"/>
              <w:rPr>
                <w:rFonts w:eastAsia="仿宋_GB2312"/>
                <w:b/>
                <w:bCs/>
                <w:color w:val="000000"/>
                <w:kern w:val="0"/>
                <w:sz w:val="18"/>
                <w:szCs w:val="18"/>
              </w:rPr>
            </w:pPr>
            <w:r>
              <w:rPr>
                <w:rFonts w:eastAsia="仿宋_GB2312"/>
                <w:b/>
                <w:bCs/>
                <w:color w:val="000000"/>
                <w:kern w:val="0"/>
                <w:sz w:val="18"/>
                <w:szCs w:val="18"/>
              </w:rPr>
              <w:t>320217747000</w:t>
            </w:r>
          </w:p>
        </w:tc>
      </w:tr>
      <w:tr w14:paraId="12561495">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FED7AD6">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3B33276B">
            <w:pPr>
              <w:spacing w:line="320" w:lineRule="exact"/>
              <w:jc w:val="left"/>
              <w:rPr>
                <w:color w:val="000000"/>
                <w:kern w:val="0"/>
                <w:sz w:val="18"/>
                <w:szCs w:val="18"/>
              </w:rPr>
            </w:pPr>
            <w:r>
              <w:rPr>
                <w:rFonts w:hint="eastAsia"/>
                <w:color w:val="000000"/>
                <w:kern w:val="0"/>
                <w:sz w:val="18"/>
                <w:szCs w:val="18"/>
              </w:rPr>
              <w:t>对委托人在法定评估中串通、唆使评估机构或者评估师出具虚假评估报告的处罚（限房地产估价业务）</w:t>
            </w:r>
          </w:p>
        </w:tc>
      </w:tr>
      <w:tr w14:paraId="57340FDC">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581690A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4AE3035F">
            <w:pPr>
              <w:spacing w:line="320" w:lineRule="exact"/>
              <w:jc w:val="left"/>
              <w:rPr>
                <w:color w:val="000000"/>
                <w:kern w:val="0"/>
                <w:sz w:val="18"/>
                <w:szCs w:val="18"/>
              </w:rPr>
            </w:pPr>
            <w:r>
              <w:rPr>
                <w:rFonts w:hint="eastAsia"/>
                <w:color w:val="000000"/>
                <w:kern w:val="0"/>
                <w:sz w:val="18"/>
                <w:szCs w:val="18"/>
              </w:rPr>
              <w:t>【法律】《中华人民共和国资产评估法》</w:t>
            </w:r>
          </w:p>
          <w:p w14:paraId="3E6FE72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第二十七条第三款</w:t>
            </w:r>
            <w:r>
              <w:rPr>
                <w:color w:val="000000"/>
                <w:kern w:val="0"/>
                <w:sz w:val="18"/>
                <w:szCs w:val="18"/>
              </w:rPr>
              <w:t xml:space="preserve"> </w:t>
            </w:r>
            <w:r>
              <w:rPr>
                <w:rFonts w:hint="eastAsia"/>
                <w:color w:val="000000"/>
                <w:kern w:val="0"/>
                <w:sz w:val="18"/>
                <w:szCs w:val="18"/>
              </w:rPr>
              <w:t>委托人不得串通、唆使评估机构或者评估专业人员出具虚假评估报告。</w:t>
            </w:r>
          </w:p>
          <w:p w14:paraId="6464E56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14:paraId="737FEA9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w:t>
            </w:r>
            <w:r>
              <w:rPr>
                <w:color w:val="000000"/>
                <w:kern w:val="0"/>
                <w:sz w:val="18"/>
                <w:szCs w:val="18"/>
              </w:rPr>
              <w:t>）</w:t>
            </w:r>
            <w:r>
              <w:rPr>
                <w:rFonts w:hint="eastAsia"/>
                <w:color w:val="000000"/>
                <w:kern w:val="0"/>
                <w:sz w:val="18"/>
                <w:szCs w:val="18"/>
              </w:rPr>
              <w:t>串通、唆使评估机构或者评估师出具虚假评估报告的</w:t>
            </w:r>
            <w:r>
              <w:rPr>
                <w:color w:val="000000"/>
                <w:kern w:val="0"/>
                <w:sz w:val="18"/>
                <w:szCs w:val="18"/>
              </w:rPr>
              <w:t>;</w:t>
            </w:r>
          </w:p>
          <w:p w14:paraId="25369CA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前款规定以外的委托人违反本法规定，给他人造成损失的，依法承担赔偿责任。</w:t>
            </w:r>
          </w:p>
        </w:tc>
      </w:tr>
      <w:tr w14:paraId="16DF037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C5E04EC">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13A7F476">
            <w:pPr>
              <w:spacing w:line="320" w:lineRule="exact"/>
              <w:jc w:val="left"/>
              <w:rPr>
                <w:color w:val="000000"/>
                <w:kern w:val="0"/>
                <w:sz w:val="18"/>
                <w:szCs w:val="18"/>
              </w:rPr>
            </w:pPr>
            <w:r>
              <w:rPr>
                <w:rFonts w:hint="eastAsia"/>
                <w:color w:val="000000"/>
                <w:kern w:val="0"/>
                <w:sz w:val="18"/>
                <w:szCs w:val="18"/>
              </w:rPr>
              <w:t>没收违法所得，罚款</w:t>
            </w:r>
          </w:p>
        </w:tc>
      </w:tr>
      <w:tr w14:paraId="1C0C2D14">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3A4CA8AC">
            <w:pPr>
              <w:spacing w:line="320" w:lineRule="exact"/>
              <w:jc w:val="center"/>
              <w:rPr>
                <w:color w:val="000000"/>
                <w:kern w:val="0"/>
                <w:sz w:val="18"/>
                <w:szCs w:val="18"/>
              </w:rPr>
            </w:pPr>
            <w:r>
              <w:rPr>
                <w:rFonts w:hint="eastAsia"/>
                <w:color w:val="000000"/>
                <w:kern w:val="0"/>
                <w:sz w:val="18"/>
                <w:szCs w:val="18"/>
              </w:rPr>
              <w:t>裁量基准</w:t>
            </w:r>
          </w:p>
        </w:tc>
      </w:tr>
      <w:tr w14:paraId="1AEAF1BA">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4F54694E">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64F425BC">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color="auto" w:sz="4" w:space="0"/>
              <w:left w:val="single" w:color="auto" w:sz="4" w:space="0"/>
              <w:right w:val="single" w:color="auto" w:sz="4" w:space="0"/>
            </w:tcBorders>
            <w:vAlign w:val="center"/>
          </w:tcPr>
          <w:p w14:paraId="65CA3FC3">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041B218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5DAC5E80">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24C9E112">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F8D00E8">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continue"/>
            <w:tcBorders>
              <w:left w:val="single" w:color="auto" w:sz="4" w:space="0"/>
              <w:right w:val="single" w:color="auto" w:sz="4" w:space="0"/>
            </w:tcBorders>
            <w:vAlign w:val="center"/>
          </w:tcPr>
          <w:p w14:paraId="1685595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2B9AF61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14:paraId="13A70096">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7CF05F9A">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C356744">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650243CF">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1D0388D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18726938"/>
    <w:p w14:paraId="0C22C2BD"/>
    <w:p w14:paraId="270E42DA"/>
    <w:p w14:paraId="263DD88E"/>
    <w:p w14:paraId="6912F0E3"/>
    <w:p w14:paraId="29A81691"/>
    <w:p w14:paraId="143B1AFC"/>
    <w:p w14:paraId="3EB20B3C"/>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34FAD98A">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4F89ADBF">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1DC5AAD6">
            <w:pPr>
              <w:spacing w:line="320" w:lineRule="exact"/>
              <w:jc w:val="left"/>
              <w:rPr>
                <w:rFonts w:eastAsia="仿宋_GB2312"/>
                <w:b/>
                <w:bCs/>
                <w:color w:val="000000"/>
                <w:kern w:val="0"/>
                <w:sz w:val="18"/>
                <w:szCs w:val="18"/>
              </w:rPr>
            </w:pPr>
            <w:r>
              <w:rPr>
                <w:rFonts w:eastAsia="仿宋_GB2312"/>
                <w:b/>
                <w:bCs/>
                <w:color w:val="000000"/>
                <w:kern w:val="0"/>
                <w:sz w:val="18"/>
                <w:szCs w:val="18"/>
              </w:rPr>
              <w:t>320217748000</w:t>
            </w:r>
          </w:p>
        </w:tc>
      </w:tr>
      <w:tr w14:paraId="1AA0F79B">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02D9A2D6">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716900D0">
            <w:pPr>
              <w:spacing w:line="320" w:lineRule="exact"/>
              <w:jc w:val="left"/>
              <w:rPr>
                <w:color w:val="000000"/>
                <w:kern w:val="0"/>
                <w:sz w:val="18"/>
                <w:szCs w:val="18"/>
              </w:rPr>
            </w:pPr>
            <w:r>
              <w:rPr>
                <w:rFonts w:hint="eastAsia"/>
                <w:color w:val="000000"/>
                <w:kern w:val="0"/>
                <w:sz w:val="18"/>
                <w:szCs w:val="18"/>
              </w:rPr>
              <w:t>对委托人在法定评估中不如实向评估机构提供权属证明、财务会计信息和其他资料的处罚（限房地产估价业务）</w:t>
            </w:r>
          </w:p>
        </w:tc>
      </w:tr>
      <w:tr w14:paraId="758B7E3C">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1F700FF2">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5237F2B1">
            <w:pPr>
              <w:spacing w:line="320" w:lineRule="exact"/>
              <w:jc w:val="left"/>
              <w:rPr>
                <w:color w:val="000000"/>
                <w:kern w:val="0"/>
                <w:sz w:val="18"/>
                <w:szCs w:val="18"/>
              </w:rPr>
            </w:pPr>
            <w:r>
              <w:rPr>
                <w:rFonts w:hint="eastAsia"/>
                <w:color w:val="000000"/>
                <w:kern w:val="0"/>
                <w:sz w:val="18"/>
                <w:szCs w:val="18"/>
              </w:rPr>
              <w:t>【法律】《中华人民共和国资产评估法》</w:t>
            </w:r>
          </w:p>
          <w:p w14:paraId="348563E3">
            <w:pPr>
              <w:spacing w:line="320" w:lineRule="exact"/>
              <w:jc w:val="left"/>
              <w:rPr>
                <w:color w:val="000000"/>
                <w:kern w:val="0"/>
                <w:sz w:val="18"/>
                <w:szCs w:val="18"/>
              </w:rPr>
            </w:pPr>
            <w:r>
              <w:rPr>
                <w:rFonts w:hint="eastAsia"/>
                <w:color w:val="000000"/>
                <w:kern w:val="0"/>
                <w:sz w:val="18"/>
                <w:szCs w:val="18"/>
              </w:rPr>
              <w:t>第二十三条第三款</w:t>
            </w:r>
            <w:r>
              <w:rPr>
                <w:color w:val="000000"/>
                <w:kern w:val="0"/>
                <w:sz w:val="18"/>
                <w:szCs w:val="18"/>
              </w:rPr>
              <w:t xml:space="preserve"> </w:t>
            </w:r>
            <w:r>
              <w:rPr>
                <w:rFonts w:hint="eastAsia"/>
                <w:color w:val="000000"/>
                <w:kern w:val="0"/>
                <w:sz w:val="18"/>
                <w:szCs w:val="18"/>
              </w:rPr>
              <w:t>委托人应当对其提供的权属证明、财务会计信息和其他资料的真实性、完整性和合法性负责。</w:t>
            </w:r>
          </w:p>
          <w:p w14:paraId="10ACFA5B">
            <w:pPr>
              <w:spacing w:line="320" w:lineRule="exact"/>
              <w:jc w:val="left"/>
              <w:rPr>
                <w:color w:val="000000"/>
                <w:kern w:val="0"/>
                <w:sz w:val="18"/>
                <w:szCs w:val="18"/>
              </w:rPr>
            </w:pP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14:paraId="41EB062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w:t>
            </w:r>
            <w:r>
              <w:rPr>
                <w:color w:val="000000"/>
                <w:kern w:val="0"/>
                <w:sz w:val="18"/>
                <w:szCs w:val="18"/>
              </w:rPr>
              <w:t>）</w:t>
            </w:r>
            <w:r>
              <w:rPr>
                <w:rFonts w:hint="eastAsia"/>
                <w:color w:val="000000"/>
                <w:kern w:val="0"/>
                <w:sz w:val="18"/>
                <w:szCs w:val="18"/>
              </w:rPr>
              <w:t>不如实向评估机构提供权属证明、财务会计信息和其他资料的</w:t>
            </w:r>
            <w:r>
              <w:rPr>
                <w:color w:val="000000"/>
                <w:kern w:val="0"/>
                <w:sz w:val="18"/>
                <w:szCs w:val="18"/>
              </w:rPr>
              <w:t>;</w:t>
            </w:r>
          </w:p>
          <w:p w14:paraId="44104160">
            <w:pPr>
              <w:spacing w:line="320" w:lineRule="exact"/>
              <w:jc w:val="left"/>
              <w:rPr>
                <w:color w:val="000000"/>
                <w:kern w:val="0"/>
                <w:sz w:val="18"/>
                <w:szCs w:val="18"/>
              </w:rPr>
            </w:pPr>
            <w:r>
              <w:rPr>
                <w:rFonts w:hint="eastAsia"/>
                <w:color w:val="000000"/>
                <w:kern w:val="0"/>
                <w:sz w:val="18"/>
                <w:szCs w:val="18"/>
              </w:rPr>
              <w:t>前款规定以外的委托人违反本法规定，给他人造成损失的，依法承担赔偿责任。</w:t>
            </w:r>
          </w:p>
        </w:tc>
      </w:tr>
      <w:tr w14:paraId="40413EAF">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F7DC7E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3B9A4A5A">
            <w:pPr>
              <w:spacing w:line="320" w:lineRule="exact"/>
              <w:jc w:val="left"/>
              <w:rPr>
                <w:color w:val="000000"/>
                <w:kern w:val="0"/>
                <w:sz w:val="18"/>
                <w:szCs w:val="18"/>
              </w:rPr>
            </w:pPr>
            <w:r>
              <w:rPr>
                <w:rFonts w:hint="eastAsia"/>
                <w:color w:val="000000"/>
                <w:kern w:val="0"/>
                <w:sz w:val="18"/>
                <w:szCs w:val="18"/>
              </w:rPr>
              <w:t>没收违法所得，罚款</w:t>
            </w:r>
          </w:p>
        </w:tc>
      </w:tr>
      <w:tr w14:paraId="5CE81178">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59EFB235">
            <w:pPr>
              <w:spacing w:line="320" w:lineRule="exact"/>
              <w:jc w:val="center"/>
              <w:rPr>
                <w:color w:val="000000"/>
                <w:kern w:val="0"/>
                <w:sz w:val="18"/>
                <w:szCs w:val="18"/>
              </w:rPr>
            </w:pPr>
            <w:r>
              <w:rPr>
                <w:rFonts w:hint="eastAsia"/>
                <w:color w:val="000000"/>
                <w:kern w:val="0"/>
                <w:sz w:val="18"/>
                <w:szCs w:val="18"/>
              </w:rPr>
              <w:t>裁量基准</w:t>
            </w:r>
          </w:p>
        </w:tc>
      </w:tr>
      <w:tr w14:paraId="684E3EA2">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06A99306">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7D643543">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color="auto" w:sz="4" w:space="0"/>
              <w:left w:val="single" w:color="auto" w:sz="4" w:space="0"/>
              <w:right w:val="single" w:color="auto" w:sz="4" w:space="0"/>
            </w:tcBorders>
            <w:vAlign w:val="center"/>
          </w:tcPr>
          <w:p w14:paraId="7068B791">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1B1B2F5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5B5803A4">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7234A5F7">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1BFD57E6">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continue"/>
            <w:tcBorders>
              <w:left w:val="single" w:color="auto" w:sz="4" w:space="0"/>
              <w:right w:val="single" w:color="auto" w:sz="4" w:space="0"/>
            </w:tcBorders>
            <w:vAlign w:val="center"/>
          </w:tcPr>
          <w:p w14:paraId="79ABE64C">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673D791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14:paraId="49FF6A43">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6FE0E4E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F36A91E">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0098979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54AAD2B">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2F8288D8"/>
    <w:p w14:paraId="24EEA949"/>
    <w:p w14:paraId="2D56CBCE"/>
    <w:p w14:paraId="413FDBF0"/>
    <w:p w14:paraId="780FED39"/>
    <w:p w14:paraId="32D1E34B"/>
    <w:p w14:paraId="795C7582"/>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8144E22">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061E16A0">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5D5BE807">
            <w:pPr>
              <w:spacing w:line="320" w:lineRule="exact"/>
              <w:jc w:val="left"/>
              <w:rPr>
                <w:rFonts w:eastAsia="仿宋_GB2312"/>
                <w:b/>
                <w:bCs/>
                <w:color w:val="000000"/>
                <w:kern w:val="0"/>
                <w:sz w:val="18"/>
                <w:szCs w:val="18"/>
              </w:rPr>
            </w:pPr>
            <w:r>
              <w:rPr>
                <w:rFonts w:eastAsia="仿宋_GB2312"/>
                <w:b/>
                <w:bCs/>
                <w:color w:val="000000"/>
                <w:kern w:val="0"/>
                <w:sz w:val="18"/>
                <w:szCs w:val="18"/>
              </w:rPr>
              <w:t>320217749000</w:t>
            </w:r>
          </w:p>
        </w:tc>
      </w:tr>
      <w:tr w14:paraId="4F52DFB5">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69269330">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594BC508">
            <w:pPr>
              <w:spacing w:line="320" w:lineRule="exact"/>
              <w:jc w:val="left"/>
              <w:rPr>
                <w:color w:val="000000"/>
                <w:kern w:val="0"/>
                <w:sz w:val="18"/>
                <w:szCs w:val="18"/>
              </w:rPr>
            </w:pPr>
            <w:r>
              <w:rPr>
                <w:rFonts w:hint="eastAsia"/>
                <w:color w:val="000000"/>
                <w:kern w:val="0"/>
                <w:sz w:val="18"/>
                <w:szCs w:val="18"/>
              </w:rPr>
              <w:t>对委托人在法定评估中未按照法律规定和评估报告载明的使用范围使用评估报告的处罚（限房地产估价业务）</w:t>
            </w:r>
          </w:p>
        </w:tc>
      </w:tr>
      <w:tr w14:paraId="4B30CBED">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47AC51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2B410385">
            <w:pPr>
              <w:spacing w:line="320" w:lineRule="exact"/>
              <w:jc w:val="left"/>
              <w:rPr>
                <w:color w:val="000000"/>
                <w:kern w:val="0"/>
                <w:sz w:val="18"/>
                <w:szCs w:val="18"/>
              </w:rPr>
            </w:pPr>
            <w:r>
              <w:rPr>
                <w:rFonts w:hint="eastAsia"/>
                <w:color w:val="000000"/>
                <w:kern w:val="0"/>
                <w:sz w:val="18"/>
                <w:szCs w:val="18"/>
              </w:rPr>
              <w:t>【法律】《中华人民共和国资产评估法》</w:t>
            </w:r>
          </w:p>
          <w:p w14:paraId="49C33CFD">
            <w:pPr>
              <w:spacing w:line="320" w:lineRule="exact"/>
              <w:jc w:val="left"/>
              <w:rPr>
                <w:color w:val="000000"/>
                <w:kern w:val="0"/>
                <w:sz w:val="18"/>
                <w:szCs w:val="18"/>
              </w:rPr>
            </w:pP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委托人或者评估报告使用人应当按照法律规定和评估报告载明的使用范围使用评估报告。</w:t>
            </w:r>
          </w:p>
          <w:p w14:paraId="4B873CB4">
            <w:pPr>
              <w:spacing w:line="320" w:lineRule="exact"/>
              <w:jc w:val="left"/>
              <w:rPr>
                <w:color w:val="000000"/>
                <w:kern w:val="0"/>
                <w:sz w:val="18"/>
                <w:szCs w:val="18"/>
              </w:rPr>
            </w:pP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14:paraId="2815114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w:t>
            </w:r>
            <w:r>
              <w:rPr>
                <w:color w:val="000000"/>
                <w:kern w:val="0"/>
                <w:sz w:val="18"/>
                <w:szCs w:val="18"/>
              </w:rPr>
              <w:t>）</w:t>
            </w:r>
            <w:r>
              <w:rPr>
                <w:rFonts w:hint="eastAsia"/>
                <w:color w:val="000000"/>
                <w:kern w:val="0"/>
                <w:sz w:val="18"/>
                <w:szCs w:val="18"/>
              </w:rPr>
              <w:t>未按照法律规定和评估报告载明的使用范围使用评估报告的。</w:t>
            </w:r>
          </w:p>
          <w:p w14:paraId="7BCB9730">
            <w:pPr>
              <w:spacing w:line="320" w:lineRule="exact"/>
              <w:jc w:val="left"/>
              <w:rPr>
                <w:color w:val="000000"/>
                <w:kern w:val="0"/>
                <w:sz w:val="18"/>
                <w:szCs w:val="18"/>
              </w:rPr>
            </w:pPr>
            <w:r>
              <w:rPr>
                <w:rFonts w:hint="eastAsia"/>
                <w:color w:val="000000"/>
                <w:kern w:val="0"/>
                <w:sz w:val="18"/>
                <w:szCs w:val="18"/>
              </w:rPr>
              <w:t>前款规定以外的委托人违反本法规定，给他人造成损失的，依法承担赔偿责任。</w:t>
            </w:r>
          </w:p>
        </w:tc>
      </w:tr>
      <w:tr w14:paraId="5FBD98BE">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1A43FA98">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6620AF8A">
            <w:pPr>
              <w:spacing w:line="320" w:lineRule="exact"/>
              <w:jc w:val="left"/>
              <w:rPr>
                <w:color w:val="000000"/>
                <w:kern w:val="0"/>
                <w:sz w:val="18"/>
                <w:szCs w:val="18"/>
              </w:rPr>
            </w:pPr>
            <w:r>
              <w:rPr>
                <w:rFonts w:hint="eastAsia"/>
                <w:color w:val="000000"/>
                <w:kern w:val="0"/>
                <w:sz w:val="18"/>
                <w:szCs w:val="18"/>
              </w:rPr>
              <w:t>没收违法所得，罚款</w:t>
            </w:r>
          </w:p>
        </w:tc>
      </w:tr>
      <w:tr w14:paraId="43C74B19">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62A58339">
            <w:pPr>
              <w:spacing w:line="320" w:lineRule="exact"/>
              <w:jc w:val="center"/>
              <w:rPr>
                <w:color w:val="000000"/>
                <w:kern w:val="0"/>
                <w:sz w:val="18"/>
                <w:szCs w:val="18"/>
              </w:rPr>
            </w:pPr>
            <w:r>
              <w:rPr>
                <w:rFonts w:hint="eastAsia"/>
                <w:color w:val="000000"/>
                <w:kern w:val="0"/>
                <w:sz w:val="18"/>
                <w:szCs w:val="18"/>
              </w:rPr>
              <w:t>裁量基准</w:t>
            </w:r>
          </w:p>
        </w:tc>
      </w:tr>
      <w:tr w14:paraId="4819E27B">
        <w:tblPrEx>
          <w:tblCellMar>
            <w:top w:w="0" w:type="dxa"/>
            <w:left w:w="108" w:type="dxa"/>
            <w:bottom w:w="0" w:type="dxa"/>
            <w:right w:w="108" w:type="dxa"/>
          </w:tblCellMar>
        </w:tblPrEx>
        <w:trPr>
          <w:trHeight w:val="285" w:hRule="atLeast"/>
        </w:trPr>
        <w:tc>
          <w:tcPr>
            <w:tcW w:w="1030" w:type="dxa"/>
            <w:vMerge w:val="restart"/>
            <w:tcBorders>
              <w:top w:val="single" w:color="auto" w:sz="4" w:space="0"/>
              <w:left w:val="single" w:color="auto" w:sz="4" w:space="0"/>
              <w:right w:val="single" w:color="auto" w:sz="4" w:space="0"/>
            </w:tcBorders>
            <w:vAlign w:val="center"/>
          </w:tcPr>
          <w:p w14:paraId="21F00293">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42AE72C9">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color="auto" w:sz="4" w:space="0"/>
              <w:left w:val="single" w:color="auto" w:sz="4" w:space="0"/>
              <w:right w:val="single" w:color="auto" w:sz="4" w:space="0"/>
            </w:tcBorders>
            <w:vAlign w:val="center"/>
          </w:tcPr>
          <w:p w14:paraId="7D91F597">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07F0716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70D0D958">
        <w:tblPrEx>
          <w:tblCellMar>
            <w:top w:w="0" w:type="dxa"/>
            <w:left w:w="108" w:type="dxa"/>
            <w:bottom w:w="0" w:type="dxa"/>
            <w:right w:w="108" w:type="dxa"/>
          </w:tblCellMar>
        </w:tblPrEx>
        <w:trPr>
          <w:trHeight w:val="285" w:hRule="atLeast"/>
        </w:trPr>
        <w:tc>
          <w:tcPr>
            <w:tcW w:w="1030" w:type="dxa"/>
            <w:vMerge w:val="continue"/>
            <w:tcBorders>
              <w:left w:val="single" w:color="auto" w:sz="4" w:space="0"/>
              <w:right w:val="single" w:color="auto" w:sz="4" w:space="0"/>
            </w:tcBorders>
            <w:vAlign w:val="center"/>
          </w:tcPr>
          <w:p w14:paraId="6258070B">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5B8CAE6E">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continue"/>
            <w:tcBorders>
              <w:left w:val="single" w:color="auto" w:sz="4" w:space="0"/>
              <w:right w:val="single" w:color="auto" w:sz="4" w:space="0"/>
            </w:tcBorders>
            <w:vAlign w:val="center"/>
          </w:tcPr>
          <w:p w14:paraId="59105859">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6C682F2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14:paraId="732F7772">
        <w:tblPrEx>
          <w:tblCellMar>
            <w:top w:w="0" w:type="dxa"/>
            <w:left w:w="108" w:type="dxa"/>
            <w:bottom w:w="0" w:type="dxa"/>
            <w:right w:w="108" w:type="dxa"/>
          </w:tblCellMar>
        </w:tblPrEx>
        <w:trPr>
          <w:trHeight w:val="285" w:hRule="atLeast"/>
        </w:trPr>
        <w:tc>
          <w:tcPr>
            <w:tcW w:w="1030" w:type="dxa"/>
            <w:vMerge w:val="continue"/>
            <w:tcBorders>
              <w:left w:val="single" w:color="auto" w:sz="4" w:space="0"/>
              <w:bottom w:val="single" w:color="auto" w:sz="4" w:space="0"/>
              <w:right w:val="single" w:color="auto" w:sz="4" w:space="0"/>
            </w:tcBorders>
            <w:vAlign w:val="center"/>
          </w:tcPr>
          <w:p w14:paraId="23A3E961">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0340DA17">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val="continue"/>
            <w:tcBorders>
              <w:left w:val="single" w:color="auto" w:sz="4" w:space="0"/>
              <w:bottom w:val="single" w:color="auto" w:sz="4" w:space="0"/>
              <w:right w:val="single" w:color="auto" w:sz="4" w:space="0"/>
            </w:tcBorders>
            <w:vAlign w:val="center"/>
          </w:tcPr>
          <w:p w14:paraId="4A01ED0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4020448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4A961D69"/>
    <w:p w14:paraId="3415B451"/>
    <w:p w14:paraId="2040FC84"/>
    <w:p w14:paraId="4F61396F"/>
    <w:p w14:paraId="1151239C"/>
    <w:p w14:paraId="600E91FC"/>
    <w:p w14:paraId="6B943905"/>
    <w:p w14:paraId="7488477E"/>
    <w:p w14:paraId="6E36BB5B"/>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47E6D7AA">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0374A287">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4B4B0CB4">
            <w:pPr>
              <w:spacing w:line="320" w:lineRule="exact"/>
              <w:jc w:val="left"/>
              <w:rPr>
                <w:rFonts w:eastAsia="仿宋_GB2312"/>
                <w:b/>
                <w:bCs/>
                <w:color w:val="000000"/>
                <w:kern w:val="0"/>
                <w:sz w:val="18"/>
                <w:szCs w:val="18"/>
              </w:rPr>
            </w:pPr>
            <w:r>
              <w:rPr>
                <w:rFonts w:eastAsia="仿宋_GB2312"/>
                <w:b/>
                <w:bCs/>
                <w:color w:val="000000"/>
                <w:kern w:val="0"/>
                <w:sz w:val="18"/>
                <w:szCs w:val="18"/>
              </w:rPr>
              <w:t>320217750000</w:t>
            </w:r>
          </w:p>
        </w:tc>
      </w:tr>
      <w:tr w14:paraId="4FE17062">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34AD8577">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36802337">
            <w:pPr>
              <w:spacing w:line="320" w:lineRule="exact"/>
              <w:jc w:val="left"/>
              <w:rPr>
                <w:color w:val="000000"/>
                <w:kern w:val="0"/>
                <w:sz w:val="18"/>
                <w:szCs w:val="18"/>
              </w:rPr>
            </w:pPr>
            <w:r>
              <w:rPr>
                <w:rFonts w:hint="eastAsia"/>
                <w:color w:val="000000"/>
                <w:kern w:val="0"/>
                <w:sz w:val="18"/>
                <w:szCs w:val="18"/>
              </w:rPr>
              <w:t>对评估行业协会违反法律规定的处罚</w:t>
            </w:r>
          </w:p>
        </w:tc>
      </w:tr>
      <w:tr w14:paraId="7E3E6AEA">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225E15E6">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3E70F332">
            <w:pPr>
              <w:spacing w:line="320" w:lineRule="exact"/>
              <w:jc w:val="left"/>
              <w:rPr>
                <w:color w:val="000000"/>
                <w:kern w:val="0"/>
                <w:sz w:val="18"/>
                <w:szCs w:val="18"/>
              </w:rPr>
            </w:pPr>
            <w:r>
              <w:rPr>
                <w:rFonts w:hint="eastAsia"/>
                <w:color w:val="000000"/>
                <w:kern w:val="0"/>
                <w:sz w:val="18"/>
                <w:szCs w:val="18"/>
              </w:rPr>
              <w:t>【法律】《中华人民共和国资产评估法》</w:t>
            </w:r>
          </w:p>
          <w:p w14:paraId="6E60696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第三十六条　评估行业协会履行下列职责：</w:t>
            </w:r>
          </w:p>
          <w:p w14:paraId="02B318A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制定会员自律管理办法，对会员实行自律管理</w:t>
            </w:r>
            <w:r>
              <w:rPr>
                <w:color w:val="000000"/>
                <w:kern w:val="0"/>
                <w:sz w:val="18"/>
                <w:szCs w:val="18"/>
              </w:rPr>
              <w:t>;</w:t>
            </w:r>
          </w:p>
          <w:p w14:paraId="5D74FF37">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依据评估基本准则制定评估执业准则和职业道德准则</w:t>
            </w:r>
            <w:r>
              <w:rPr>
                <w:color w:val="000000"/>
                <w:kern w:val="0"/>
                <w:sz w:val="18"/>
                <w:szCs w:val="18"/>
              </w:rPr>
              <w:t>;</w:t>
            </w:r>
          </w:p>
          <w:p w14:paraId="4CAFCB0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组织开展会员继续教育</w:t>
            </w:r>
            <w:r>
              <w:rPr>
                <w:color w:val="000000"/>
                <w:kern w:val="0"/>
                <w:sz w:val="18"/>
                <w:szCs w:val="18"/>
              </w:rPr>
              <w:t>;</w:t>
            </w:r>
          </w:p>
          <w:p w14:paraId="65D12171">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建立会员信用档案，将会员遵守法律、行政法规和评估准则的情况记入信用档案，并向社会公开</w:t>
            </w:r>
            <w:r>
              <w:rPr>
                <w:color w:val="000000"/>
                <w:kern w:val="0"/>
                <w:sz w:val="18"/>
                <w:szCs w:val="18"/>
              </w:rPr>
              <w:t>;</w:t>
            </w:r>
          </w:p>
          <w:p w14:paraId="63096BA6">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检查会员建立风险防范机制的情况</w:t>
            </w:r>
            <w:r>
              <w:rPr>
                <w:color w:val="000000"/>
                <w:kern w:val="0"/>
                <w:sz w:val="18"/>
                <w:szCs w:val="18"/>
              </w:rPr>
              <w:t>;</w:t>
            </w:r>
          </w:p>
          <w:p w14:paraId="217803F0">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受理对会员的投诉、举报，受理会员的申诉，调解会员执业纠纷</w:t>
            </w:r>
            <w:r>
              <w:rPr>
                <w:color w:val="000000"/>
                <w:kern w:val="0"/>
                <w:sz w:val="18"/>
                <w:szCs w:val="18"/>
              </w:rPr>
              <w:t>;</w:t>
            </w:r>
          </w:p>
          <w:p w14:paraId="1E5DC127">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规范会员从业行为，定期对会员出具的评估报告进行检查，按照章程规定对会员给予奖惩，并将奖惩情况及时报告有关评估行政管理部门</w:t>
            </w:r>
            <w:r>
              <w:rPr>
                <w:color w:val="000000"/>
                <w:kern w:val="0"/>
                <w:sz w:val="18"/>
                <w:szCs w:val="18"/>
              </w:rPr>
              <w:t>;</w:t>
            </w:r>
          </w:p>
          <w:p w14:paraId="04726FF8">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八</w:t>
            </w:r>
            <w:r>
              <w:rPr>
                <w:color w:val="000000"/>
                <w:kern w:val="0"/>
                <w:sz w:val="18"/>
                <w:szCs w:val="18"/>
              </w:rPr>
              <w:t>）</w:t>
            </w:r>
            <w:r>
              <w:rPr>
                <w:rFonts w:hint="eastAsia"/>
                <w:color w:val="000000"/>
                <w:kern w:val="0"/>
                <w:sz w:val="18"/>
                <w:szCs w:val="18"/>
              </w:rPr>
              <w:t>保障会员依法开展业务，维护会员合法权益</w:t>
            </w:r>
            <w:r>
              <w:rPr>
                <w:color w:val="000000"/>
                <w:kern w:val="0"/>
                <w:sz w:val="18"/>
                <w:szCs w:val="18"/>
              </w:rPr>
              <w:t>;</w:t>
            </w:r>
          </w:p>
          <w:p w14:paraId="4AF86E83">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九</w:t>
            </w:r>
            <w:r>
              <w:rPr>
                <w:color w:val="000000"/>
                <w:kern w:val="0"/>
                <w:sz w:val="18"/>
                <w:szCs w:val="18"/>
              </w:rPr>
              <w:t>）</w:t>
            </w:r>
            <w:r>
              <w:rPr>
                <w:rFonts w:hint="eastAsia"/>
                <w:color w:val="000000"/>
                <w:kern w:val="0"/>
                <w:sz w:val="18"/>
                <w:szCs w:val="18"/>
              </w:rPr>
              <w:t>法律、行政法规和章程规定的其他职责。</w:t>
            </w:r>
          </w:p>
          <w:p w14:paraId="2369D8D9">
            <w:pPr>
              <w:spacing w:line="320" w:lineRule="exact"/>
              <w:jc w:val="left"/>
              <w:rPr>
                <w:color w:val="000000"/>
                <w:kern w:val="0"/>
                <w:sz w:val="18"/>
                <w:szCs w:val="18"/>
              </w:rPr>
            </w:pPr>
            <w:r>
              <w:rPr>
                <w:rFonts w:hint="eastAsia"/>
                <w:color w:val="000000"/>
                <w:kern w:val="0"/>
                <w:sz w:val="18"/>
                <w:szCs w:val="18"/>
              </w:rPr>
              <w:t>第三十七条　有关评估行业协会应当建立沟通协作和信息共享机制，根据需要制定共同的行为规范，促进评估行业健康有序发展。</w:t>
            </w:r>
          </w:p>
          <w:p w14:paraId="66DAF17A">
            <w:pPr>
              <w:spacing w:line="320" w:lineRule="exact"/>
              <w:jc w:val="left"/>
              <w:rPr>
                <w:color w:val="000000"/>
                <w:kern w:val="0"/>
                <w:sz w:val="18"/>
                <w:szCs w:val="18"/>
              </w:rPr>
            </w:pPr>
            <w:r>
              <w:rPr>
                <w:rFonts w:hint="eastAsia"/>
                <w:color w:val="000000"/>
                <w:kern w:val="0"/>
                <w:sz w:val="18"/>
                <w:szCs w:val="18"/>
              </w:rPr>
              <w:t>第三十八条　评估行业协会收取会员会费的标准，由会员代表大会通过，并向社会公开。不得以会员交纳会费数额作为其在行业协会中担任职务的条件。</w:t>
            </w:r>
          </w:p>
          <w:p w14:paraId="7B48B406">
            <w:pPr>
              <w:spacing w:line="320" w:lineRule="exact"/>
              <w:jc w:val="left"/>
              <w:rPr>
                <w:color w:val="000000"/>
                <w:kern w:val="0"/>
                <w:sz w:val="18"/>
                <w:szCs w:val="18"/>
              </w:rPr>
            </w:pPr>
            <w:r>
              <w:rPr>
                <w:rFonts w:hint="eastAsia"/>
                <w:color w:val="000000"/>
                <w:kern w:val="0"/>
                <w:sz w:val="18"/>
                <w:szCs w:val="18"/>
              </w:rPr>
              <w:t>会费的收取、使用接受会员代表大会和有关部门的监督，任何组织或者个人不得侵占、私分和挪用。</w:t>
            </w:r>
          </w:p>
          <w:p w14:paraId="04E63A3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第五十三条　评估行业协会违反本法规定的，由有关评估行政管理部门给予警告，责令改正</w:t>
            </w:r>
            <w:r>
              <w:rPr>
                <w:color w:val="000000"/>
                <w:kern w:val="0"/>
                <w:sz w:val="18"/>
                <w:szCs w:val="18"/>
              </w:rPr>
              <w:t>;</w:t>
            </w:r>
            <w:r>
              <w:rPr>
                <w:rFonts w:hint="eastAsia"/>
                <w:color w:val="000000"/>
                <w:kern w:val="0"/>
                <w:sz w:val="18"/>
                <w:szCs w:val="18"/>
              </w:rPr>
              <w:t>拒不改正的，可以通报登记管理机关，由其依法给予处罚。</w:t>
            </w:r>
          </w:p>
        </w:tc>
      </w:tr>
      <w:tr w14:paraId="4BDD902D">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73D7A095">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241FE43B">
            <w:pPr>
              <w:spacing w:line="320" w:lineRule="exact"/>
              <w:jc w:val="left"/>
              <w:rPr>
                <w:color w:val="000000"/>
                <w:kern w:val="0"/>
                <w:sz w:val="18"/>
                <w:szCs w:val="18"/>
              </w:rPr>
            </w:pPr>
            <w:r>
              <w:rPr>
                <w:rFonts w:hint="eastAsia"/>
                <w:color w:val="000000"/>
                <w:kern w:val="0"/>
                <w:sz w:val="18"/>
                <w:szCs w:val="18"/>
              </w:rPr>
              <w:t>警告</w:t>
            </w:r>
          </w:p>
        </w:tc>
      </w:tr>
      <w:tr w14:paraId="164A255B">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4013499A">
            <w:pPr>
              <w:spacing w:line="320" w:lineRule="exact"/>
              <w:jc w:val="center"/>
              <w:rPr>
                <w:color w:val="000000"/>
                <w:kern w:val="0"/>
                <w:sz w:val="18"/>
                <w:szCs w:val="18"/>
              </w:rPr>
            </w:pPr>
            <w:r>
              <w:rPr>
                <w:rFonts w:hint="eastAsia"/>
                <w:color w:val="000000"/>
                <w:kern w:val="0"/>
                <w:sz w:val="18"/>
                <w:szCs w:val="18"/>
              </w:rPr>
              <w:t>裁量基准</w:t>
            </w:r>
          </w:p>
        </w:tc>
      </w:tr>
      <w:tr w14:paraId="7490B7A1">
        <w:tblPrEx>
          <w:tblCellMar>
            <w:top w:w="0" w:type="dxa"/>
            <w:left w:w="108" w:type="dxa"/>
            <w:bottom w:w="0" w:type="dxa"/>
            <w:right w:w="108" w:type="dxa"/>
          </w:tblCellMar>
        </w:tblPrEx>
        <w:trPr>
          <w:trHeight w:val="285" w:hRule="atLeast"/>
        </w:trPr>
        <w:tc>
          <w:tcPr>
            <w:tcW w:w="1030" w:type="dxa"/>
            <w:tcBorders>
              <w:top w:val="single" w:color="auto" w:sz="4" w:space="0"/>
              <w:left w:val="single" w:color="auto" w:sz="4" w:space="0"/>
              <w:bottom w:val="single" w:color="auto" w:sz="4" w:space="0"/>
              <w:right w:val="single" w:color="auto" w:sz="4" w:space="0"/>
            </w:tcBorders>
            <w:vAlign w:val="center"/>
          </w:tcPr>
          <w:p w14:paraId="3C5664AF">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29643D05">
            <w:pPr>
              <w:spacing w:line="320" w:lineRule="exact"/>
              <w:jc w:val="left"/>
              <w:rPr>
                <w:color w:val="000000"/>
                <w:kern w:val="0"/>
                <w:sz w:val="18"/>
                <w:szCs w:val="18"/>
              </w:rPr>
            </w:pPr>
          </w:p>
        </w:tc>
        <w:tc>
          <w:tcPr>
            <w:tcW w:w="1080" w:type="dxa"/>
            <w:tcBorders>
              <w:top w:val="single" w:color="auto" w:sz="4" w:space="0"/>
              <w:left w:val="single" w:color="auto" w:sz="4" w:space="0"/>
              <w:bottom w:val="single" w:color="auto" w:sz="4" w:space="0"/>
              <w:right w:val="single" w:color="auto" w:sz="4" w:space="0"/>
            </w:tcBorders>
            <w:vAlign w:val="center"/>
          </w:tcPr>
          <w:p w14:paraId="26F21C2E">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027DC2A3">
            <w:pPr>
              <w:spacing w:line="320" w:lineRule="exact"/>
              <w:jc w:val="left"/>
              <w:rPr>
                <w:color w:val="000000"/>
                <w:kern w:val="0"/>
                <w:sz w:val="18"/>
                <w:szCs w:val="18"/>
              </w:rPr>
            </w:pPr>
          </w:p>
        </w:tc>
      </w:tr>
    </w:tbl>
    <w:p w14:paraId="6501B989"/>
    <w:p w14:paraId="605E45F6"/>
    <w:p w14:paraId="1195D4C8"/>
    <w:tbl>
      <w:tblPr>
        <w:tblStyle w:val="15"/>
        <w:tblW w:w="0" w:type="auto"/>
        <w:tblInd w:w="78" w:type="dxa"/>
        <w:tblLayout w:type="fixed"/>
        <w:tblCellMar>
          <w:top w:w="0" w:type="dxa"/>
          <w:left w:w="108" w:type="dxa"/>
          <w:bottom w:w="0" w:type="dxa"/>
          <w:right w:w="108" w:type="dxa"/>
        </w:tblCellMar>
      </w:tblPr>
      <w:tblGrid>
        <w:gridCol w:w="1030"/>
        <w:gridCol w:w="6140"/>
        <w:gridCol w:w="1080"/>
        <w:gridCol w:w="5820"/>
      </w:tblGrid>
      <w:tr w14:paraId="74483F53">
        <w:tblPrEx>
          <w:tblCellMar>
            <w:top w:w="0" w:type="dxa"/>
            <w:left w:w="108" w:type="dxa"/>
            <w:bottom w:w="0" w:type="dxa"/>
            <w:right w:w="108" w:type="dxa"/>
          </w:tblCellMar>
        </w:tblPrEx>
        <w:trPr>
          <w:trHeight w:val="296" w:hRule="atLeast"/>
        </w:trPr>
        <w:tc>
          <w:tcPr>
            <w:tcW w:w="1030" w:type="dxa"/>
            <w:tcBorders>
              <w:top w:val="single" w:color="auto" w:sz="8" w:space="0"/>
              <w:left w:val="single" w:color="auto" w:sz="8" w:space="0"/>
              <w:bottom w:val="single" w:color="auto" w:sz="4" w:space="0"/>
              <w:right w:val="single" w:color="auto" w:sz="4" w:space="0"/>
            </w:tcBorders>
            <w:vAlign w:val="center"/>
          </w:tcPr>
          <w:p w14:paraId="4B6D11C0">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color="auto" w:sz="8" w:space="0"/>
              <w:left w:val="nil"/>
              <w:bottom w:val="single" w:color="auto" w:sz="4" w:space="0"/>
              <w:right w:val="single" w:color="000000" w:sz="8" w:space="0"/>
            </w:tcBorders>
            <w:vAlign w:val="center"/>
          </w:tcPr>
          <w:p w14:paraId="7004A14B">
            <w:pPr>
              <w:spacing w:line="320" w:lineRule="exact"/>
              <w:jc w:val="left"/>
              <w:rPr>
                <w:rFonts w:eastAsia="仿宋_GB2312"/>
                <w:b/>
                <w:bCs/>
                <w:color w:val="000000"/>
                <w:kern w:val="0"/>
                <w:sz w:val="18"/>
                <w:szCs w:val="18"/>
              </w:rPr>
            </w:pPr>
            <w:r>
              <w:rPr>
                <w:rFonts w:eastAsia="仿宋_GB2312"/>
                <w:b/>
                <w:bCs/>
                <w:color w:val="000000"/>
                <w:kern w:val="0"/>
                <w:sz w:val="18"/>
                <w:szCs w:val="18"/>
              </w:rPr>
              <w:t>320217751000</w:t>
            </w:r>
          </w:p>
        </w:tc>
      </w:tr>
      <w:tr w14:paraId="73BD294C">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5E19DBBA">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color="auto" w:sz="4" w:space="0"/>
              <w:left w:val="nil"/>
              <w:bottom w:val="single" w:color="auto" w:sz="4" w:space="0"/>
              <w:right w:val="single" w:color="000000" w:sz="8" w:space="0"/>
            </w:tcBorders>
            <w:vAlign w:val="center"/>
          </w:tcPr>
          <w:p w14:paraId="2D0E074A">
            <w:pPr>
              <w:spacing w:line="320" w:lineRule="exact"/>
              <w:jc w:val="left"/>
              <w:rPr>
                <w:color w:val="000000"/>
                <w:kern w:val="0"/>
                <w:sz w:val="18"/>
                <w:szCs w:val="18"/>
              </w:rPr>
            </w:pPr>
            <w:r>
              <w:rPr>
                <w:rFonts w:hint="eastAsia"/>
                <w:color w:val="000000"/>
                <w:kern w:val="0"/>
                <w:sz w:val="18"/>
                <w:szCs w:val="18"/>
              </w:rPr>
              <w:t>对评估机构未依法备案的处罚（限房地产估价业务）</w:t>
            </w:r>
          </w:p>
        </w:tc>
      </w:tr>
      <w:tr w14:paraId="5244C0A2">
        <w:tblPrEx>
          <w:tblCellMar>
            <w:top w:w="0" w:type="dxa"/>
            <w:left w:w="108" w:type="dxa"/>
            <w:bottom w:w="0" w:type="dxa"/>
            <w:right w:w="108" w:type="dxa"/>
          </w:tblCellMar>
        </w:tblPrEx>
        <w:trPr>
          <w:trHeight w:val="1305" w:hRule="atLeast"/>
        </w:trPr>
        <w:tc>
          <w:tcPr>
            <w:tcW w:w="1030" w:type="dxa"/>
            <w:tcBorders>
              <w:top w:val="nil"/>
              <w:left w:val="single" w:color="auto" w:sz="8" w:space="0"/>
              <w:bottom w:val="single" w:color="auto" w:sz="4" w:space="0"/>
              <w:right w:val="single" w:color="auto" w:sz="4" w:space="0"/>
            </w:tcBorders>
            <w:vAlign w:val="center"/>
          </w:tcPr>
          <w:p w14:paraId="6E5DBA7B">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color="auto" w:sz="4" w:space="0"/>
              <w:left w:val="nil"/>
              <w:bottom w:val="single" w:color="auto" w:sz="4" w:space="0"/>
              <w:right w:val="single" w:color="000000" w:sz="8" w:space="0"/>
            </w:tcBorders>
            <w:vAlign w:val="center"/>
          </w:tcPr>
          <w:p w14:paraId="4A7C2819">
            <w:pPr>
              <w:spacing w:line="320" w:lineRule="exact"/>
              <w:jc w:val="left"/>
              <w:rPr>
                <w:color w:val="000000"/>
                <w:kern w:val="0"/>
                <w:sz w:val="18"/>
                <w:szCs w:val="18"/>
              </w:rPr>
            </w:pPr>
            <w:r>
              <w:rPr>
                <w:rFonts w:hint="eastAsia"/>
                <w:color w:val="000000"/>
                <w:kern w:val="0"/>
                <w:sz w:val="18"/>
                <w:szCs w:val="18"/>
              </w:rPr>
              <w:t>【法律】《中华人民共和国资产评估法》</w:t>
            </w:r>
          </w:p>
          <w:p w14:paraId="555723A4">
            <w:pPr>
              <w:spacing w:line="320" w:lineRule="exact"/>
              <w:jc w:val="left"/>
              <w:rPr>
                <w:color w:val="000000"/>
                <w:kern w:val="0"/>
                <w:sz w:val="18"/>
                <w:szCs w:val="18"/>
              </w:rPr>
            </w:pPr>
            <w:r>
              <w:rPr>
                <w:rFonts w:hint="eastAsia"/>
                <w:color w:val="000000"/>
                <w:kern w:val="0"/>
                <w:sz w:val="18"/>
                <w:szCs w:val="18"/>
              </w:rPr>
              <w:t>第十六条</w:t>
            </w:r>
            <w:r>
              <w:rPr>
                <w:color w:val="000000"/>
                <w:kern w:val="0"/>
                <w:sz w:val="18"/>
                <w:szCs w:val="18"/>
              </w:rPr>
              <w:t xml:space="preserve"> </w:t>
            </w:r>
            <w:r>
              <w:rPr>
                <w:rFonts w:hint="eastAsia"/>
                <w:color w:val="000000"/>
                <w:kern w:val="0"/>
                <w:sz w:val="18"/>
                <w:szCs w:val="18"/>
              </w:rPr>
              <w:t>设立评估机构，应当向工商行政管理部门申请办理登记。评估机构应当自领取营业执照之日起三十日内向有关评估行政管理部门备案。评估行政管理部门应当及时将评估备案情况向社会公告。</w:t>
            </w:r>
          </w:p>
          <w:p w14:paraId="743B1557">
            <w:pPr>
              <w:spacing w:line="320" w:lineRule="exact"/>
              <w:jc w:val="left"/>
              <w:rPr>
                <w:color w:val="000000"/>
                <w:kern w:val="0"/>
                <w:sz w:val="18"/>
                <w:szCs w:val="18"/>
              </w:rPr>
            </w:pPr>
            <w:r>
              <w:rPr>
                <w:rFonts w:hint="eastAsia"/>
                <w:color w:val="000000"/>
                <w:kern w:val="0"/>
                <w:sz w:val="18"/>
                <w:szCs w:val="18"/>
              </w:rPr>
              <w:t>第四十七条第二款　评估机构未按本法规定备案或者不符合本法第十五条规定的条件的，由有关评估行政管理部门责令改正</w:t>
            </w:r>
            <w:r>
              <w:rPr>
                <w:color w:val="000000"/>
                <w:kern w:val="0"/>
                <w:sz w:val="18"/>
                <w:szCs w:val="18"/>
              </w:rPr>
              <w:t>;</w:t>
            </w:r>
            <w:r>
              <w:rPr>
                <w:rFonts w:hint="eastAsia"/>
                <w:color w:val="000000"/>
                <w:kern w:val="0"/>
                <w:sz w:val="18"/>
                <w:szCs w:val="18"/>
              </w:rPr>
              <w:t>拒不改正的，责令停业，可以并处一万元以上五万元以下罚款。</w:t>
            </w:r>
          </w:p>
          <w:p w14:paraId="363CC8E7">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14:paraId="799D3BD0">
            <w:pPr>
              <w:spacing w:line="320" w:lineRule="exact"/>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14:paraId="77CB69A4">
            <w:pPr>
              <w:spacing w:line="320" w:lineRule="exact"/>
              <w:jc w:val="left"/>
              <w:rPr>
                <w:color w:val="000000"/>
                <w:kern w:val="0"/>
                <w:sz w:val="18"/>
                <w:szCs w:val="18"/>
              </w:rPr>
            </w:pPr>
            <w:r>
              <w:rPr>
                <w:rFonts w:hint="eastAsia"/>
                <w:color w:val="000000"/>
                <w:kern w:val="0"/>
                <w:sz w:val="18"/>
                <w:szCs w:val="18"/>
              </w:rPr>
              <w:t>第二十二条第一款：新设立的分支机构，应当自领取分支机构营业执照之日起</w:t>
            </w:r>
            <w:r>
              <w:rPr>
                <w:color w:val="000000"/>
                <w:kern w:val="0"/>
                <w:sz w:val="18"/>
                <w:szCs w:val="18"/>
              </w:rPr>
              <w:t>30</w:t>
            </w:r>
            <w:r>
              <w:rPr>
                <w:rFonts w:hint="eastAsia"/>
                <w:color w:val="000000"/>
                <w:kern w:val="0"/>
                <w:sz w:val="18"/>
                <w:szCs w:val="18"/>
              </w:rPr>
              <w:t>日内，到分支机构工商注册所在地的省、自治区人民政府建设行政主管部门、直辖市人民政府房地产行政主管部门备案。</w:t>
            </w:r>
          </w:p>
          <w:p w14:paraId="568B0956">
            <w:pPr>
              <w:spacing w:line="320" w:lineRule="exact"/>
              <w:jc w:val="left"/>
              <w:rPr>
                <w:color w:val="000000"/>
                <w:kern w:val="0"/>
                <w:sz w:val="18"/>
                <w:szCs w:val="18"/>
              </w:rPr>
            </w:pPr>
            <w:r>
              <w:rPr>
                <w:rFonts w:hint="eastAsia"/>
                <w:color w:val="000000"/>
                <w:kern w:val="0"/>
                <w:sz w:val="18"/>
                <w:szCs w:val="18"/>
              </w:rPr>
              <w:t>第四十九条：有下列行为之一的，由县级以上人民政府房地产行政主管部门给予警告，责令限期改正，并可处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14:paraId="2BAF358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（三）违反本办法第二十二条第一款规定，新设立的分支机构不备案的。</w:t>
            </w:r>
            <w:r>
              <w:rPr>
                <w:color w:val="000000"/>
                <w:kern w:val="0"/>
                <w:sz w:val="18"/>
                <w:szCs w:val="18"/>
              </w:rPr>
              <w:t xml:space="preserve">   </w:t>
            </w:r>
          </w:p>
        </w:tc>
      </w:tr>
      <w:tr w14:paraId="667AEA65">
        <w:tblPrEx>
          <w:tblCellMar>
            <w:top w:w="0" w:type="dxa"/>
            <w:left w:w="108" w:type="dxa"/>
            <w:bottom w:w="0" w:type="dxa"/>
            <w:right w:w="108" w:type="dxa"/>
          </w:tblCellMar>
        </w:tblPrEx>
        <w:trPr>
          <w:trHeight w:val="285" w:hRule="atLeast"/>
        </w:trPr>
        <w:tc>
          <w:tcPr>
            <w:tcW w:w="1030" w:type="dxa"/>
            <w:tcBorders>
              <w:top w:val="nil"/>
              <w:left w:val="single" w:color="auto" w:sz="8" w:space="0"/>
              <w:bottom w:val="single" w:color="auto" w:sz="4" w:space="0"/>
              <w:right w:val="single" w:color="auto" w:sz="4" w:space="0"/>
            </w:tcBorders>
            <w:vAlign w:val="center"/>
          </w:tcPr>
          <w:p w14:paraId="4A093334">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color="auto" w:sz="4" w:space="0"/>
              <w:left w:val="nil"/>
              <w:bottom w:val="single" w:color="auto" w:sz="4" w:space="0"/>
              <w:right w:val="single" w:color="000000" w:sz="8" w:space="0"/>
            </w:tcBorders>
            <w:vAlign w:val="center"/>
          </w:tcPr>
          <w:p w14:paraId="76F62A3D">
            <w:pPr>
              <w:spacing w:line="320" w:lineRule="exact"/>
              <w:jc w:val="left"/>
              <w:rPr>
                <w:color w:val="000000"/>
                <w:kern w:val="0"/>
                <w:sz w:val="18"/>
                <w:szCs w:val="18"/>
              </w:rPr>
            </w:pPr>
            <w:r>
              <w:rPr>
                <w:rFonts w:hint="eastAsia"/>
                <w:color w:val="000000"/>
                <w:kern w:val="0"/>
                <w:sz w:val="18"/>
                <w:szCs w:val="18"/>
              </w:rPr>
              <w:t>警告，责令停业，罚款</w:t>
            </w:r>
          </w:p>
        </w:tc>
      </w:tr>
      <w:tr w14:paraId="14D84051">
        <w:tblPrEx>
          <w:tblCellMar>
            <w:top w:w="0" w:type="dxa"/>
            <w:left w:w="108" w:type="dxa"/>
            <w:bottom w:w="0" w:type="dxa"/>
            <w:right w:w="108" w:type="dxa"/>
          </w:tblCellMar>
        </w:tblPrEx>
        <w:trPr>
          <w:trHeight w:val="285" w:hRule="atLeast"/>
        </w:trPr>
        <w:tc>
          <w:tcPr>
            <w:tcW w:w="14070" w:type="dxa"/>
            <w:gridSpan w:val="4"/>
            <w:tcBorders>
              <w:top w:val="single" w:color="auto" w:sz="4" w:space="0"/>
              <w:left w:val="single" w:color="auto" w:sz="8" w:space="0"/>
              <w:bottom w:val="single" w:color="auto" w:sz="4" w:space="0"/>
              <w:right w:val="single" w:color="000000" w:sz="8" w:space="0"/>
            </w:tcBorders>
            <w:vAlign w:val="center"/>
          </w:tcPr>
          <w:p w14:paraId="297AC81F">
            <w:pPr>
              <w:spacing w:line="320" w:lineRule="exact"/>
              <w:jc w:val="center"/>
              <w:rPr>
                <w:color w:val="000000"/>
                <w:kern w:val="0"/>
                <w:sz w:val="18"/>
                <w:szCs w:val="18"/>
              </w:rPr>
            </w:pPr>
            <w:r>
              <w:rPr>
                <w:rFonts w:hint="eastAsia"/>
                <w:color w:val="000000"/>
                <w:kern w:val="0"/>
                <w:sz w:val="18"/>
                <w:szCs w:val="18"/>
              </w:rPr>
              <w:t>裁量基准</w:t>
            </w:r>
          </w:p>
        </w:tc>
      </w:tr>
      <w:tr w14:paraId="7890A921">
        <w:tblPrEx>
          <w:tblCellMar>
            <w:top w:w="0" w:type="dxa"/>
            <w:left w:w="108" w:type="dxa"/>
            <w:bottom w:w="0" w:type="dxa"/>
            <w:right w:w="108" w:type="dxa"/>
          </w:tblCellMar>
        </w:tblPrEx>
        <w:trPr>
          <w:trHeight w:val="390" w:hRule="atLeast"/>
        </w:trPr>
        <w:tc>
          <w:tcPr>
            <w:tcW w:w="1030" w:type="dxa"/>
            <w:vMerge w:val="restart"/>
            <w:tcBorders>
              <w:top w:val="single" w:color="auto" w:sz="4" w:space="0"/>
              <w:left w:val="single" w:color="auto" w:sz="4" w:space="0"/>
              <w:right w:val="single" w:color="auto" w:sz="4" w:space="0"/>
            </w:tcBorders>
            <w:vAlign w:val="center"/>
          </w:tcPr>
          <w:p w14:paraId="060354A4">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color="auto" w:sz="4" w:space="0"/>
              <w:left w:val="nil"/>
              <w:bottom w:val="single" w:color="auto" w:sz="4" w:space="0"/>
              <w:right w:val="single" w:color="auto" w:sz="4" w:space="0"/>
            </w:tcBorders>
            <w:vAlign w:val="center"/>
          </w:tcPr>
          <w:p w14:paraId="15A2ED66">
            <w:pPr>
              <w:spacing w:line="320" w:lineRule="exact"/>
              <w:jc w:val="left"/>
              <w:rPr>
                <w:color w:val="000000"/>
                <w:kern w:val="0"/>
                <w:sz w:val="18"/>
                <w:szCs w:val="18"/>
              </w:rPr>
            </w:pPr>
            <w:r>
              <w:rPr>
                <w:rFonts w:hint="eastAsia"/>
                <w:color w:val="000000"/>
                <w:kern w:val="0"/>
                <w:sz w:val="18"/>
                <w:szCs w:val="18"/>
              </w:rPr>
              <w:t>未按照要求备案，但在调查处理期间办理备案的</w:t>
            </w:r>
          </w:p>
        </w:tc>
        <w:tc>
          <w:tcPr>
            <w:tcW w:w="1080" w:type="dxa"/>
            <w:vMerge w:val="restart"/>
            <w:tcBorders>
              <w:top w:val="single" w:color="auto" w:sz="4" w:space="0"/>
              <w:left w:val="single" w:color="auto" w:sz="4" w:space="0"/>
              <w:right w:val="single" w:color="auto" w:sz="4" w:space="0"/>
            </w:tcBorders>
            <w:vAlign w:val="center"/>
          </w:tcPr>
          <w:p w14:paraId="1D5D4757">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color="auto" w:sz="4" w:space="0"/>
              <w:left w:val="single" w:color="auto" w:sz="4" w:space="0"/>
              <w:bottom w:val="single" w:color="auto" w:sz="4" w:space="0"/>
              <w:right w:val="single" w:color="auto" w:sz="4" w:space="0"/>
            </w:tcBorders>
            <w:vAlign w:val="center"/>
          </w:tcPr>
          <w:p w14:paraId="7C2BD57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14:paraId="0407CBC3">
        <w:tblPrEx>
          <w:tblCellMar>
            <w:top w:w="0" w:type="dxa"/>
            <w:left w:w="108" w:type="dxa"/>
            <w:bottom w:w="0" w:type="dxa"/>
            <w:right w:w="108" w:type="dxa"/>
          </w:tblCellMar>
        </w:tblPrEx>
        <w:trPr>
          <w:trHeight w:val="235" w:hRule="atLeast"/>
        </w:trPr>
        <w:tc>
          <w:tcPr>
            <w:tcW w:w="1030" w:type="dxa"/>
            <w:vMerge w:val="continue"/>
            <w:tcBorders>
              <w:left w:val="single" w:color="auto" w:sz="4" w:space="0"/>
              <w:bottom w:val="single" w:color="auto" w:sz="4" w:space="0"/>
              <w:right w:val="single" w:color="auto" w:sz="4" w:space="0"/>
            </w:tcBorders>
            <w:vAlign w:val="center"/>
          </w:tcPr>
          <w:p w14:paraId="2ABBCA36">
            <w:pPr>
              <w:spacing w:line="320" w:lineRule="exact"/>
              <w:jc w:val="left"/>
              <w:rPr>
                <w:color w:val="000000"/>
                <w:kern w:val="0"/>
                <w:sz w:val="18"/>
                <w:szCs w:val="18"/>
              </w:rPr>
            </w:pPr>
          </w:p>
        </w:tc>
        <w:tc>
          <w:tcPr>
            <w:tcW w:w="6140" w:type="dxa"/>
            <w:tcBorders>
              <w:top w:val="single" w:color="auto" w:sz="4" w:space="0"/>
              <w:left w:val="nil"/>
              <w:bottom w:val="single" w:color="auto" w:sz="4" w:space="0"/>
              <w:right w:val="single" w:color="auto" w:sz="4" w:space="0"/>
            </w:tcBorders>
            <w:vAlign w:val="center"/>
          </w:tcPr>
          <w:p w14:paraId="7AE531C0">
            <w:pPr>
              <w:spacing w:line="320" w:lineRule="exact"/>
              <w:jc w:val="left"/>
              <w:rPr>
                <w:color w:val="000000"/>
                <w:kern w:val="0"/>
                <w:sz w:val="18"/>
                <w:szCs w:val="18"/>
              </w:rPr>
            </w:pPr>
            <w:r>
              <w:rPr>
                <w:rFonts w:hint="eastAsia"/>
                <w:color w:val="000000"/>
                <w:kern w:val="0"/>
                <w:sz w:val="18"/>
                <w:szCs w:val="18"/>
              </w:rPr>
              <w:t>未按照要求备案，在调查处理期间仍未办理备案的</w:t>
            </w:r>
          </w:p>
        </w:tc>
        <w:tc>
          <w:tcPr>
            <w:tcW w:w="1080" w:type="dxa"/>
            <w:vMerge w:val="continue"/>
            <w:tcBorders>
              <w:left w:val="single" w:color="auto" w:sz="4" w:space="0"/>
              <w:bottom w:val="single" w:color="auto" w:sz="4" w:space="0"/>
              <w:right w:val="single" w:color="auto" w:sz="4" w:space="0"/>
            </w:tcBorders>
            <w:vAlign w:val="center"/>
          </w:tcPr>
          <w:p w14:paraId="007EA1BE">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5CC29F28">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14:paraId="6F2F1A17"/>
    <w:p w14:paraId="70443778"/>
    <w:p w14:paraId="3294E67A"/>
    <w:p w14:paraId="6E373528"/>
    <w:p w14:paraId="1273AAD9"/>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74E4E99F">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D954BB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73161E49">
            <w:pPr>
              <w:spacing w:line="320" w:lineRule="exact"/>
              <w:jc w:val="left"/>
              <w:rPr>
                <w:rFonts w:eastAsia="仿宋_GB2312"/>
                <w:b/>
                <w:bCs/>
                <w:color w:val="000000"/>
                <w:kern w:val="0"/>
                <w:sz w:val="18"/>
                <w:szCs w:val="18"/>
              </w:rPr>
            </w:pPr>
            <w:r>
              <w:rPr>
                <w:rFonts w:eastAsia="仿宋_GB2312"/>
                <w:b/>
                <w:bCs/>
                <w:color w:val="000000"/>
                <w:kern w:val="0"/>
                <w:sz w:val="18"/>
                <w:szCs w:val="18"/>
              </w:rPr>
              <w:t>320217752000</w:t>
            </w:r>
          </w:p>
        </w:tc>
      </w:tr>
      <w:tr w14:paraId="58F8E8F7">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C8E625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774681D9">
            <w:pPr>
              <w:spacing w:line="320" w:lineRule="exact"/>
              <w:jc w:val="left"/>
              <w:rPr>
                <w:b/>
                <w:color w:val="000000"/>
                <w:kern w:val="0"/>
                <w:sz w:val="18"/>
                <w:szCs w:val="18"/>
              </w:rPr>
            </w:pPr>
            <w:r>
              <w:rPr>
                <w:rFonts w:hint="eastAsia"/>
                <w:color w:val="000000"/>
                <w:spacing w:val="-6"/>
                <w:kern w:val="0"/>
                <w:sz w:val="18"/>
                <w:szCs w:val="18"/>
              </w:rPr>
              <w:t>对监测单位未按照监测方案开展监测的处罚</w:t>
            </w:r>
          </w:p>
        </w:tc>
      </w:tr>
      <w:tr w14:paraId="74C052E6">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33BCA386">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479FF3C8">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61751F80">
            <w:pPr>
              <w:spacing w:line="320" w:lineRule="exact"/>
              <w:jc w:val="left"/>
              <w:rPr>
                <w:color w:val="000000"/>
                <w:kern w:val="0"/>
                <w:sz w:val="18"/>
                <w:szCs w:val="18"/>
              </w:rPr>
            </w:pPr>
            <w:r>
              <w:rPr>
                <w:rFonts w:hint="eastAsia"/>
                <w:color w:val="000000"/>
                <w:kern w:val="0"/>
                <w:sz w:val="18"/>
                <w:szCs w:val="18"/>
              </w:rPr>
              <w:t>　　第二十条第三款　　监测单位应当按照监测方案开展监测，及时向建设单位报送监测成果，并对监测成果负责；发现异常时，及时向建设、设计、施工、监理单位报告，建设单位应当立即组织相关单位采取处置措施。</w:t>
            </w:r>
          </w:p>
          <w:p w14:paraId="00DC52A5">
            <w:pPr>
              <w:spacing w:line="320" w:lineRule="exact"/>
              <w:jc w:val="left"/>
              <w:rPr>
                <w:color w:val="000000"/>
                <w:kern w:val="0"/>
                <w:sz w:val="18"/>
                <w:szCs w:val="18"/>
              </w:rPr>
            </w:pPr>
            <w:r>
              <w:rPr>
                <w:rFonts w:hint="eastAsia"/>
                <w:color w:val="000000"/>
                <w:kern w:val="0"/>
                <w:sz w:val="18"/>
                <w:szCs w:val="18"/>
              </w:rPr>
              <w:t>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121CA84A">
            <w:pPr>
              <w:spacing w:line="320" w:lineRule="exact"/>
              <w:jc w:val="left"/>
              <w:rPr>
                <w:color w:val="000000"/>
                <w:kern w:val="0"/>
                <w:sz w:val="18"/>
                <w:szCs w:val="18"/>
              </w:rPr>
            </w:pPr>
            <w:r>
              <w:rPr>
                <w:rFonts w:hint="eastAsia"/>
                <w:color w:val="000000"/>
                <w:kern w:val="0"/>
                <w:sz w:val="18"/>
                <w:szCs w:val="18"/>
              </w:rPr>
              <w:t>　　（三）未按照监测方案开展监测的；</w:t>
            </w:r>
          </w:p>
        </w:tc>
      </w:tr>
      <w:tr w14:paraId="00F8DCB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44E9C2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FE8C9AD">
            <w:pPr>
              <w:spacing w:line="320" w:lineRule="exact"/>
              <w:jc w:val="left"/>
              <w:rPr>
                <w:color w:val="000000"/>
                <w:kern w:val="0"/>
                <w:sz w:val="18"/>
                <w:szCs w:val="18"/>
              </w:rPr>
            </w:pPr>
            <w:r>
              <w:rPr>
                <w:rFonts w:hint="eastAsia"/>
                <w:color w:val="000000"/>
                <w:kern w:val="0"/>
                <w:sz w:val="18"/>
                <w:szCs w:val="18"/>
              </w:rPr>
              <w:t>罚款</w:t>
            </w:r>
          </w:p>
        </w:tc>
      </w:tr>
      <w:tr w14:paraId="407B968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423E283">
            <w:pPr>
              <w:spacing w:line="320" w:lineRule="exact"/>
              <w:jc w:val="center"/>
              <w:rPr>
                <w:color w:val="000000"/>
                <w:kern w:val="0"/>
                <w:sz w:val="18"/>
                <w:szCs w:val="18"/>
              </w:rPr>
            </w:pPr>
            <w:r>
              <w:rPr>
                <w:rFonts w:hint="eastAsia"/>
                <w:color w:val="000000"/>
                <w:kern w:val="0"/>
                <w:sz w:val="18"/>
                <w:szCs w:val="18"/>
              </w:rPr>
              <w:t>裁量基准</w:t>
            </w:r>
          </w:p>
        </w:tc>
      </w:tr>
      <w:tr w14:paraId="4AB0A1B4">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2E4C16BA">
            <w:pP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2AD7E11D">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3C80D193">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7C46F617">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14:paraId="4A13D491">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535B52EC">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3F693E89">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7D7B34EF">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bottom w:val="single" w:color="auto" w:sz="4" w:space="0"/>
              <w:right w:val="single" w:color="auto" w:sz="4" w:space="0"/>
            </w:tcBorders>
            <w:vAlign w:val="center"/>
          </w:tcPr>
          <w:p w14:paraId="4D4EF085">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04886A26">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25A1F8A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48BA6431">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3BD493E8">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3CC90C05">
            <w:pPr>
              <w:spacing w:line="320" w:lineRule="exact"/>
              <w:jc w:val="left"/>
              <w:rPr>
                <w:color w:val="000000"/>
                <w:kern w:val="0"/>
                <w:sz w:val="18"/>
                <w:szCs w:val="18"/>
              </w:rPr>
            </w:pPr>
            <w:r>
              <w:rPr>
                <w:rFonts w:hint="eastAsia"/>
                <w:color w:val="000000"/>
                <w:kern w:val="0"/>
                <w:sz w:val="18"/>
                <w:szCs w:val="18"/>
              </w:rPr>
              <w:t>发生安全事故的</w:t>
            </w:r>
          </w:p>
        </w:tc>
        <w:tc>
          <w:tcPr>
            <w:tcW w:w="1016" w:type="dxa"/>
            <w:tcBorders>
              <w:left w:val="single" w:color="auto" w:sz="4" w:space="0"/>
              <w:bottom w:val="single" w:color="auto" w:sz="4" w:space="0"/>
              <w:right w:val="single" w:color="auto" w:sz="4" w:space="0"/>
            </w:tcBorders>
            <w:vAlign w:val="center"/>
          </w:tcPr>
          <w:p w14:paraId="6F37FFB5">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5926BE31">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45F7CB28">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7A313FFE"/>
    <w:p w14:paraId="582E57B7"/>
    <w:p w14:paraId="10B0CAF8"/>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72E5FC07">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46DB781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3E2A5FB">
            <w:pPr>
              <w:spacing w:line="320" w:lineRule="exact"/>
              <w:jc w:val="left"/>
              <w:rPr>
                <w:rFonts w:eastAsia="仿宋_GB2312"/>
                <w:b/>
                <w:bCs/>
                <w:color w:val="000000"/>
                <w:kern w:val="0"/>
                <w:sz w:val="18"/>
                <w:szCs w:val="18"/>
              </w:rPr>
            </w:pPr>
            <w:r>
              <w:rPr>
                <w:rFonts w:eastAsia="仿宋_GB2312"/>
                <w:b/>
                <w:bCs/>
                <w:color w:val="000000"/>
                <w:kern w:val="0"/>
                <w:sz w:val="18"/>
                <w:szCs w:val="18"/>
              </w:rPr>
              <w:t>320217753000</w:t>
            </w:r>
          </w:p>
        </w:tc>
      </w:tr>
      <w:tr w14:paraId="3DF86A5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280FB2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0AC2A9D1">
            <w:pPr>
              <w:spacing w:line="320" w:lineRule="exact"/>
              <w:jc w:val="left"/>
              <w:rPr>
                <w:b/>
                <w:color w:val="000000"/>
                <w:kern w:val="0"/>
                <w:sz w:val="18"/>
                <w:szCs w:val="18"/>
              </w:rPr>
            </w:pPr>
            <w:r>
              <w:rPr>
                <w:rFonts w:hint="eastAsia"/>
                <w:color w:val="000000"/>
                <w:spacing w:val="-6"/>
                <w:kern w:val="0"/>
                <w:sz w:val="18"/>
                <w:szCs w:val="18"/>
              </w:rPr>
              <w:t>对监测单位发现异常未及时报告的处罚</w:t>
            </w:r>
          </w:p>
        </w:tc>
      </w:tr>
      <w:tr w14:paraId="6ED9333B">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4E1346B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3C5F2336">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19907F9D">
            <w:pPr>
              <w:spacing w:line="320" w:lineRule="exact"/>
              <w:jc w:val="left"/>
              <w:rPr>
                <w:color w:val="000000"/>
                <w:kern w:val="0"/>
                <w:sz w:val="18"/>
                <w:szCs w:val="18"/>
              </w:rPr>
            </w:pPr>
            <w:r>
              <w:rPr>
                <w:rFonts w:hint="eastAsia"/>
                <w:color w:val="000000"/>
                <w:kern w:val="0"/>
                <w:sz w:val="18"/>
                <w:szCs w:val="18"/>
              </w:rPr>
              <w:t>　　第二十条第三款　　监测单位应当按照监测方案开展监测，及时向建设单位报送监测成果，并对监测成果负责；发现异常时，及时向建设、设计、施工、监理单位报告，建设单位应当立即组织相关单位采取处置措施。</w:t>
            </w:r>
          </w:p>
          <w:p w14:paraId="631CB4DA">
            <w:pPr>
              <w:spacing w:line="320" w:lineRule="exact"/>
              <w:jc w:val="left"/>
              <w:rPr>
                <w:color w:val="000000"/>
                <w:kern w:val="0"/>
                <w:sz w:val="18"/>
                <w:szCs w:val="18"/>
              </w:rPr>
            </w:pPr>
            <w:r>
              <w:rPr>
                <w:rFonts w:hint="eastAsia"/>
                <w:color w:val="000000"/>
                <w:kern w:val="0"/>
                <w:sz w:val="18"/>
                <w:szCs w:val="18"/>
              </w:rPr>
              <w:t>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1064249E">
            <w:pPr>
              <w:spacing w:line="320" w:lineRule="exact"/>
              <w:jc w:val="left"/>
              <w:rPr>
                <w:color w:val="000000"/>
                <w:kern w:val="0"/>
                <w:sz w:val="18"/>
                <w:szCs w:val="18"/>
              </w:rPr>
            </w:pPr>
            <w:r>
              <w:rPr>
                <w:rFonts w:hint="eastAsia"/>
                <w:color w:val="000000"/>
                <w:kern w:val="0"/>
                <w:sz w:val="18"/>
                <w:szCs w:val="18"/>
              </w:rPr>
              <w:t>　　（四）发现异常未及时报告的。</w:t>
            </w:r>
          </w:p>
        </w:tc>
      </w:tr>
      <w:tr w14:paraId="311C174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90048F2">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2AAFA7C7">
            <w:pPr>
              <w:spacing w:line="320" w:lineRule="exact"/>
              <w:jc w:val="left"/>
              <w:rPr>
                <w:color w:val="000000"/>
                <w:kern w:val="0"/>
                <w:sz w:val="18"/>
                <w:szCs w:val="18"/>
              </w:rPr>
            </w:pPr>
            <w:r>
              <w:rPr>
                <w:rFonts w:hint="eastAsia"/>
                <w:color w:val="000000"/>
                <w:kern w:val="0"/>
                <w:sz w:val="18"/>
                <w:szCs w:val="18"/>
              </w:rPr>
              <w:t>罚款</w:t>
            </w:r>
          </w:p>
        </w:tc>
      </w:tr>
      <w:tr w14:paraId="1C3BF5BE">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9467D34">
            <w:pPr>
              <w:spacing w:line="320" w:lineRule="exact"/>
              <w:jc w:val="center"/>
              <w:rPr>
                <w:color w:val="000000"/>
                <w:kern w:val="0"/>
                <w:sz w:val="18"/>
                <w:szCs w:val="18"/>
              </w:rPr>
            </w:pPr>
            <w:r>
              <w:rPr>
                <w:rFonts w:hint="eastAsia"/>
                <w:color w:val="000000"/>
                <w:kern w:val="0"/>
                <w:sz w:val="18"/>
                <w:szCs w:val="18"/>
              </w:rPr>
              <w:t>裁量基准</w:t>
            </w:r>
          </w:p>
        </w:tc>
      </w:tr>
      <w:tr w14:paraId="6E296D0B">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465558F5">
            <w:pP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51EC0AA4">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5817C957">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7DBE1531">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14:paraId="401201A5">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53B2600F">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4F69B7BF">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1E4D4A7E">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217034C9">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1B4D6E01">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5F14E233">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0A1300DC">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017F7C17">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7FFB61A0">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5EC06592">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7FE41109">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65C02E1D">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70E82801"/>
    <w:p w14:paraId="35E5526B"/>
    <w:p w14:paraId="171B6479"/>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4A60D1E9">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46C441A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69156AD9">
            <w:pPr>
              <w:spacing w:line="320" w:lineRule="exact"/>
              <w:jc w:val="left"/>
              <w:rPr>
                <w:rFonts w:eastAsia="仿宋_GB2312"/>
                <w:b/>
                <w:bCs/>
                <w:color w:val="000000"/>
                <w:kern w:val="0"/>
                <w:sz w:val="18"/>
                <w:szCs w:val="18"/>
              </w:rPr>
            </w:pPr>
            <w:r>
              <w:rPr>
                <w:rFonts w:eastAsia="仿宋_GB2312"/>
                <w:b/>
                <w:bCs/>
                <w:color w:val="000000"/>
                <w:kern w:val="0"/>
                <w:sz w:val="18"/>
                <w:szCs w:val="18"/>
              </w:rPr>
              <w:t>320217754000</w:t>
            </w:r>
          </w:p>
        </w:tc>
      </w:tr>
      <w:tr w14:paraId="7C88D9C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7A197C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32290E71">
            <w:pPr>
              <w:spacing w:line="320" w:lineRule="exact"/>
              <w:jc w:val="left"/>
              <w:rPr>
                <w:b/>
                <w:color w:val="000000"/>
                <w:kern w:val="0"/>
                <w:sz w:val="18"/>
                <w:szCs w:val="18"/>
              </w:rPr>
            </w:pPr>
            <w:r>
              <w:rPr>
                <w:rFonts w:hint="eastAsia"/>
                <w:color w:val="000000"/>
                <w:spacing w:val="-6"/>
                <w:kern w:val="0"/>
                <w:sz w:val="18"/>
                <w:szCs w:val="18"/>
              </w:rPr>
              <w:t>对监测单位未取得相应勘察资质从事第三方监测的处罚</w:t>
            </w:r>
          </w:p>
        </w:tc>
      </w:tr>
      <w:tr w14:paraId="282AD6A3">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2A99B7F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2E891AE9">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5AB9F3D7">
            <w:pPr>
              <w:spacing w:line="320" w:lineRule="exact"/>
              <w:jc w:val="left"/>
              <w:rPr>
                <w:color w:val="000000"/>
                <w:kern w:val="0"/>
                <w:sz w:val="18"/>
                <w:szCs w:val="18"/>
              </w:rPr>
            </w:pPr>
            <w:r>
              <w:rPr>
                <w:rFonts w:hint="eastAsia"/>
                <w:color w:val="000000"/>
                <w:kern w:val="0"/>
                <w:sz w:val="18"/>
                <w:szCs w:val="18"/>
              </w:rPr>
              <w:t>　　第二十条第一款　对于按照规定需要进行第三方监测的危大工程，建设单位应当委托具有相应勘察资质的单位进行监测。</w:t>
            </w:r>
          </w:p>
          <w:p w14:paraId="35497D4C">
            <w:pPr>
              <w:spacing w:line="320" w:lineRule="exact"/>
              <w:jc w:val="left"/>
              <w:rPr>
                <w:color w:val="000000"/>
                <w:kern w:val="0"/>
                <w:sz w:val="18"/>
                <w:szCs w:val="18"/>
              </w:rPr>
            </w:pPr>
            <w:r>
              <w:rPr>
                <w:rFonts w:hint="eastAsia"/>
                <w:color w:val="000000"/>
                <w:kern w:val="0"/>
                <w:sz w:val="18"/>
                <w:szCs w:val="18"/>
              </w:rPr>
              <w:t>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0469D082">
            <w:pPr>
              <w:spacing w:line="320" w:lineRule="exact"/>
              <w:jc w:val="left"/>
              <w:rPr>
                <w:color w:val="000000"/>
                <w:kern w:val="0"/>
                <w:sz w:val="18"/>
                <w:szCs w:val="18"/>
              </w:rPr>
            </w:pPr>
            <w:r>
              <w:rPr>
                <w:rFonts w:hint="eastAsia"/>
                <w:color w:val="000000"/>
                <w:kern w:val="0"/>
                <w:sz w:val="18"/>
                <w:szCs w:val="18"/>
              </w:rPr>
              <w:t>　　（一）未取得相应勘察资质从事第三方监测的；</w:t>
            </w:r>
          </w:p>
        </w:tc>
      </w:tr>
      <w:tr w14:paraId="54A38A3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666A219">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6A72C3A0">
            <w:pPr>
              <w:spacing w:line="320" w:lineRule="exact"/>
              <w:jc w:val="left"/>
              <w:rPr>
                <w:color w:val="000000"/>
                <w:kern w:val="0"/>
                <w:sz w:val="18"/>
                <w:szCs w:val="18"/>
              </w:rPr>
            </w:pPr>
            <w:r>
              <w:rPr>
                <w:rFonts w:hint="eastAsia"/>
                <w:color w:val="000000"/>
                <w:kern w:val="0"/>
                <w:sz w:val="18"/>
                <w:szCs w:val="18"/>
              </w:rPr>
              <w:t>罚款</w:t>
            </w:r>
          </w:p>
        </w:tc>
      </w:tr>
      <w:tr w14:paraId="5ACD357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0691F1E">
            <w:pPr>
              <w:spacing w:line="320" w:lineRule="exact"/>
              <w:jc w:val="center"/>
              <w:rPr>
                <w:color w:val="000000"/>
                <w:kern w:val="0"/>
                <w:sz w:val="18"/>
                <w:szCs w:val="18"/>
              </w:rPr>
            </w:pPr>
            <w:r>
              <w:rPr>
                <w:rFonts w:hint="eastAsia"/>
                <w:color w:val="000000"/>
                <w:kern w:val="0"/>
                <w:sz w:val="18"/>
                <w:szCs w:val="18"/>
              </w:rPr>
              <w:t>裁量基准</w:t>
            </w:r>
          </w:p>
        </w:tc>
      </w:tr>
      <w:tr w14:paraId="07049B2E">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592AE78D">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6F473DD2">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color="auto" w:sz="4" w:space="0"/>
              <w:right w:val="single" w:color="auto" w:sz="4" w:space="0"/>
            </w:tcBorders>
            <w:vAlign w:val="center"/>
          </w:tcPr>
          <w:p w14:paraId="48C00483">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34D8FCEB">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2FCAC0C0">
            <w:pPr>
              <w:spacing w:line="320" w:lineRule="exact"/>
              <w:jc w:val="left"/>
              <w:rPr>
                <w:color w:val="000000"/>
                <w:kern w:val="0"/>
                <w:sz w:val="18"/>
                <w:szCs w:val="18"/>
              </w:rPr>
            </w:pPr>
            <w:r>
              <w:rPr>
                <w:rFonts w:hint="eastAsia"/>
                <w:color w:val="000000"/>
                <w:kern w:val="0"/>
                <w:sz w:val="18"/>
                <w:szCs w:val="18"/>
              </w:rPr>
              <w:t>对直接负责的主管人员和其他直接责任人员处单位罚款数额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6F45A855">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5ADDBAFF">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07D4B152">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continue"/>
            <w:tcBorders>
              <w:left w:val="single" w:color="auto" w:sz="4" w:space="0"/>
              <w:bottom w:val="single" w:color="auto" w:sz="4" w:space="0"/>
              <w:right w:val="single" w:color="auto" w:sz="4" w:space="0"/>
            </w:tcBorders>
            <w:vAlign w:val="center"/>
          </w:tcPr>
          <w:p w14:paraId="6549847D">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20FB7381">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69DB7DB9">
            <w:pPr>
              <w:spacing w:line="320" w:lineRule="exact"/>
              <w:jc w:val="left"/>
              <w:rPr>
                <w:color w:val="000000"/>
                <w:kern w:val="0"/>
                <w:sz w:val="18"/>
                <w:szCs w:val="18"/>
              </w:rPr>
            </w:pPr>
            <w:r>
              <w:rPr>
                <w:rFonts w:hint="eastAsia"/>
                <w:color w:val="000000"/>
                <w:kern w:val="0"/>
                <w:sz w:val="18"/>
                <w:szCs w:val="18"/>
              </w:rPr>
              <w:t>对直接负责的主管人员和其他直接责任人员处单位罚款数额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6AF8A826"/>
    <w:p w14:paraId="5174597D"/>
    <w:p w14:paraId="275A12BF"/>
    <w:p w14:paraId="04301322"/>
    <w:p w14:paraId="206E1F23"/>
    <w:p w14:paraId="7C521D7A"/>
    <w:p w14:paraId="377276A2"/>
    <w:p w14:paraId="5B57B101"/>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22AE5F39">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756DACF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8C34D7C">
            <w:pPr>
              <w:spacing w:line="320" w:lineRule="exact"/>
              <w:jc w:val="left"/>
              <w:rPr>
                <w:rFonts w:eastAsia="仿宋_GB2312"/>
                <w:b/>
                <w:bCs/>
                <w:color w:val="000000"/>
                <w:kern w:val="0"/>
                <w:sz w:val="18"/>
                <w:szCs w:val="18"/>
              </w:rPr>
            </w:pPr>
            <w:r>
              <w:rPr>
                <w:rFonts w:eastAsia="仿宋_GB2312"/>
                <w:b/>
                <w:bCs/>
                <w:color w:val="000000"/>
                <w:kern w:val="0"/>
                <w:sz w:val="18"/>
                <w:szCs w:val="18"/>
              </w:rPr>
              <w:t>320217755000</w:t>
            </w:r>
          </w:p>
        </w:tc>
      </w:tr>
      <w:tr w14:paraId="01FAE90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7F1FC3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1DC4D420">
            <w:pPr>
              <w:spacing w:line="320" w:lineRule="exact"/>
              <w:jc w:val="left"/>
              <w:rPr>
                <w:b/>
                <w:color w:val="000000"/>
                <w:kern w:val="0"/>
                <w:sz w:val="18"/>
                <w:szCs w:val="18"/>
              </w:rPr>
            </w:pPr>
            <w:r>
              <w:rPr>
                <w:rFonts w:hint="eastAsia"/>
                <w:color w:val="000000"/>
                <w:spacing w:val="-6"/>
                <w:kern w:val="0"/>
                <w:sz w:val="18"/>
                <w:szCs w:val="18"/>
              </w:rPr>
              <w:t>对监测单位未按照本规定编制监测方案的处罚</w:t>
            </w:r>
          </w:p>
        </w:tc>
      </w:tr>
      <w:tr w14:paraId="37F026E9">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2F068CA9">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09C1DC5F">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6A4FD86F">
            <w:pPr>
              <w:spacing w:line="320" w:lineRule="exact"/>
              <w:jc w:val="left"/>
              <w:rPr>
                <w:color w:val="000000"/>
                <w:kern w:val="0"/>
                <w:sz w:val="18"/>
                <w:szCs w:val="18"/>
              </w:rPr>
            </w:pPr>
            <w:r>
              <w:rPr>
                <w:rFonts w:hint="eastAsia"/>
                <w:color w:val="000000"/>
                <w:kern w:val="0"/>
                <w:sz w:val="18"/>
                <w:szCs w:val="18"/>
              </w:rPr>
              <w:t>　　第二十条第二款　监测单位应当编制监测方案。监测方案由监测单位技术负责人审核签字并加盖单位公章，报送监理单位后方可实施。</w:t>
            </w:r>
          </w:p>
          <w:p w14:paraId="3854F1BB">
            <w:pPr>
              <w:spacing w:line="320" w:lineRule="exact"/>
              <w:jc w:val="left"/>
              <w:rPr>
                <w:color w:val="000000"/>
                <w:kern w:val="0"/>
                <w:sz w:val="18"/>
                <w:szCs w:val="18"/>
              </w:rPr>
            </w:pPr>
            <w:r>
              <w:rPr>
                <w:rFonts w:hint="eastAsia"/>
                <w:color w:val="000000"/>
                <w:kern w:val="0"/>
                <w:sz w:val="18"/>
                <w:szCs w:val="18"/>
              </w:rPr>
              <w:t>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72AC11CC">
            <w:pPr>
              <w:spacing w:line="320" w:lineRule="exact"/>
              <w:jc w:val="left"/>
              <w:rPr>
                <w:color w:val="000000"/>
                <w:kern w:val="0"/>
                <w:sz w:val="18"/>
                <w:szCs w:val="18"/>
              </w:rPr>
            </w:pPr>
            <w:r>
              <w:rPr>
                <w:rFonts w:hint="eastAsia"/>
                <w:color w:val="000000"/>
                <w:kern w:val="0"/>
                <w:sz w:val="18"/>
                <w:szCs w:val="18"/>
              </w:rPr>
              <w:t>　　（二）未按照本规定编制监测方案的；</w:t>
            </w:r>
          </w:p>
        </w:tc>
      </w:tr>
      <w:tr w14:paraId="3789F62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DA2910D">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39AE4932">
            <w:pPr>
              <w:spacing w:line="320" w:lineRule="exact"/>
              <w:jc w:val="left"/>
              <w:rPr>
                <w:color w:val="000000"/>
                <w:kern w:val="0"/>
                <w:sz w:val="18"/>
                <w:szCs w:val="18"/>
              </w:rPr>
            </w:pPr>
            <w:r>
              <w:rPr>
                <w:rFonts w:hint="eastAsia"/>
                <w:color w:val="000000"/>
                <w:kern w:val="0"/>
                <w:sz w:val="18"/>
                <w:szCs w:val="18"/>
              </w:rPr>
              <w:t>罚款</w:t>
            </w:r>
          </w:p>
        </w:tc>
      </w:tr>
      <w:tr w14:paraId="6E8AB0C8">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01B87FE">
            <w:pPr>
              <w:spacing w:line="320" w:lineRule="exact"/>
              <w:jc w:val="center"/>
              <w:rPr>
                <w:color w:val="000000"/>
                <w:kern w:val="0"/>
                <w:sz w:val="18"/>
                <w:szCs w:val="18"/>
              </w:rPr>
            </w:pPr>
            <w:r>
              <w:rPr>
                <w:rFonts w:hint="eastAsia"/>
                <w:color w:val="000000"/>
                <w:kern w:val="0"/>
                <w:sz w:val="18"/>
                <w:szCs w:val="18"/>
              </w:rPr>
              <w:t>裁量基准</w:t>
            </w:r>
          </w:p>
        </w:tc>
      </w:tr>
      <w:tr w14:paraId="1B842B4F">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24414A83">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2106F54D">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color="auto" w:sz="4" w:space="0"/>
              <w:right w:val="single" w:color="auto" w:sz="4" w:space="0"/>
            </w:tcBorders>
            <w:vAlign w:val="center"/>
          </w:tcPr>
          <w:p w14:paraId="06059CB6">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203DB281">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14:paraId="5DFD4788">
            <w:pPr>
              <w:spacing w:line="320" w:lineRule="exact"/>
              <w:jc w:val="left"/>
              <w:rPr>
                <w:color w:val="000000"/>
                <w:kern w:val="0"/>
                <w:sz w:val="18"/>
                <w:szCs w:val="18"/>
              </w:rPr>
            </w:pPr>
            <w:r>
              <w:rPr>
                <w:rFonts w:hint="eastAsia"/>
                <w:color w:val="000000"/>
                <w:kern w:val="0"/>
                <w:sz w:val="18"/>
                <w:szCs w:val="18"/>
              </w:rPr>
              <w:t>对直接负责的主管人员和其他直接责任人员处单位罚款数额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14:paraId="579B02B9">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2D0F3521">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684E2440">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continue"/>
            <w:tcBorders>
              <w:left w:val="single" w:color="auto" w:sz="4" w:space="0"/>
              <w:bottom w:val="single" w:color="auto" w:sz="4" w:space="0"/>
              <w:right w:val="single" w:color="auto" w:sz="4" w:space="0"/>
            </w:tcBorders>
            <w:vAlign w:val="center"/>
          </w:tcPr>
          <w:p w14:paraId="0F49BE07">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78A389D4">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5CF109C2">
            <w:pPr>
              <w:spacing w:line="320" w:lineRule="exact"/>
              <w:jc w:val="left"/>
              <w:rPr>
                <w:color w:val="000000"/>
                <w:kern w:val="0"/>
                <w:sz w:val="18"/>
                <w:szCs w:val="18"/>
              </w:rPr>
            </w:pPr>
            <w:r>
              <w:rPr>
                <w:rFonts w:hint="eastAsia"/>
                <w:color w:val="000000"/>
                <w:kern w:val="0"/>
                <w:sz w:val="18"/>
                <w:szCs w:val="18"/>
              </w:rPr>
              <w:t>对直接负责的主管人员和其他直接责任人员处单位罚款数额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14:paraId="1A4847A9"/>
    <w:p w14:paraId="2E2EE272"/>
    <w:p w14:paraId="6BD7BCF9"/>
    <w:p w14:paraId="590646E7"/>
    <w:p w14:paraId="2574857F"/>
    <w:p w14:paraId="2BFA14D3"/>
    <w:p w14:paraId="60834B09"/>
    <w:p w14:paraId="63755358"/>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4F84DC79">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58B9DC1A">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733941C3">
            <w:pPr>
              <w:spacing w:line="320" w:lineRule="exact"/>
              <w:jc w:val="left"/>
              <w:rPr>
                <w:rFonts w:eastAsia="仿宋_GB2312"/>
                <w:b/>
                <w:bCs/>
                <w:color w:val="000000"/>
                <w:kern w:val="0"/>
                <w:sz w:val="18"/>
                <w:szCs w:val="18"/>
              </w:rPr>
            </w:pPr>
            <w:r>
              <w:rPr>
                <w:rFonts w:eastAsia="仿宋_GB2312"/>
                <w:b/>
                <w:bCs/>
                <w:color w:val="000000"/>
                <w:kern w:val="0"/>
                <w:sz w:val="18"/>
                <w:szCs w:val="18"/>
              </w:rPr>
              <w:t>320217756000</w:t>
            </w:r>
          </w:p>
        </w:tc>
      </w:tr>
      <w:tr w14:paraId="4A33056A">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19A38DC">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586BF4A2">
            <w:pPr>
              <w:spacing w:line="320" w:lineRule="exact"/>
              <w:jc w:val="left"/>
              <w:rPr>
                <w:b/>
                <w:color w:val="000000"/>
                <w:kern w:val="0"/>
                <w:sz w:val="18"/>
                <w:szCs w:val="18"/>
              </w:rPr>
            </w:pPr>
            <w:r>
              <w:rPr>
                <w:rFonts w:hint="eastAsia"/>
                <w:color w:val="000000"/>
                <w:spacing w:val="-6"/>
                <w:kern w:val="0"/>
                <w:sz w:val="18"/>
                <w:szCs w:val="18"/>
              </w:rPr>
              <w:t>对施工单位发生险情或者事故时，未采取应急处置措施的处罚</w:t>
            </w:r>
          </w:p>
        </w:tc>
      </w:tr>
      <w:tr w14:paraId="44C8A03D">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761C2F0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64C15C28">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3AC460B0">
            <w:pPr>
              <w:spacing w:line="320" w:lineRule="exact"/>
              <w:jc w:val="left"/>
              <w:rPr>
                <w:color w:val="000000"/>
                <w:kern w:val="0"/>
                <w:sz w:val="18"/>
                <w:szCs w:val="18"/>
              </w:rPr>
            </w:pPr>
            <w:r>
              <w:rPr>
                <w:rFonts w:hint="eastAsia"/>
                <w:color w:val="000000"/>
                <w:kern w:val="0"/>
                <w:sz w:val="18"/>
                <w:szCs w:val="18"/>
              </w:rPr>
              <w:t>　　第二十二条　危大工程发生险情或者事故时，施工单位应当立即采取应急处置措施，并报告工程所在地住房城乡建设主管部门。建设、勘察、设计、监理等单位应当配合施工单位开展应急抢险工作。</w:t>
            </w:r>
          </w:p>
          <w:p w14:paraId="0B217FC6">
            <w:pPr>
              <w:spacing w:line="320" w:lineRule="exact"/>
              <w:jc w:val="left"/>
              <w:rPr>
                <w:color w:val="000000"/>
                <w:kern w:val="0"/>
                <w:sz w:val="18"/>
                <w:szCs w:val="18"/>
              </w:rPr>
            </w:pPr>
            <w:r>
              <w:rPr>
                <w:rFonts w:hint="eastAsia"/>
                <w:color w:val="000000"/>
                <w:kern w:val="0"/>
                <w:sz w:val="18"/>
                <w:szCs w:val="18"/>
              </w:rPr>
              <w:t>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4D513B60">
            <w:pPr>
              <w:spacing w:line="320" w:lineRule="exact"/>
              <w:jc w:val="left"/>
              <w:rPr>
                <w:color w:val="000000"/>
                <w:kern w:val="0"/>
                <w:sz w:val="18"/>
                <w:szCs w:val="18"/>
              </w:rPr>
            </w:pPr>
            <w:r>
              <w:rPr>
                <w:rFonts w:hint="eastAsia"/>
                <w:color w:val="000000"/>
                <w:kern w:val="0"/>
                <w:sz w:val="18"/>
                <w:szCs w:val="18"/>
              </w:rPr>
              <w:t>　　（四）发生险情或者事故时，未采取应急处置措施的；</w:t>
            </w:r>
          </w:p>
        </w:tc>
      </w:tr>
      <w:tr w14:paraId="07406379">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A665AB2">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2A4058C1">
            <w:pPr>
              <w:spacing w:line="320" w:lineRule="exact"/>
              <w:jc w:val="left"/>
              <w:rPr>
                <w:color w:val="000000"/>
                <w:kern w:val="0"/>
                <w:sz w:val="18"/>
                <w:szCs w:val="18"/>
              </w:rPr>
            </w:pPr>
            <w:r>
              <w:rPr>
                <w:rFonts w:hint="eastAsia"/>
                <w:color w:val="000000"/>
                <w:kern w:val="0"/>
                <w:sz w:val="18"/>
                <w:szCs w:val="18"/>
              </w:rPr>
              <w:t>罚款</w:t>
            </w:r>
          </w:p>
        </w:tc>
      </w:tr>
      <w:tr w14:paraId="43C3EA0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94DCA08">
            <w:pPr>
              <w:spacing w:line="320" w:lineRule="exact"/>
              <w:jc w:val="center"/>
              <w:rPr>
                <w:color w:val="000000"/>
                <w:kern w:val="0"/>
                <w:sz w:val="18"/>
                <w:szCs w:val="18"/>
              </w:rPr>
            </w:pPr>
            <w:r>
              <w:rPr>
                <w:rFonts w:hint="eastAsia"/>
                <w:color w:val="000000"/>
                <w:kern w:val="0"/>
                <w:sz w:val="18"/>
                <w:szCs w:val="18"/>
              </w:rPr>
              <w:t>裁量基准</w:t>
            </w:r>
          </w:p>
        </w:tc>
      </w:tr>
      <w:tr w14:paraId="7C0A9700">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6933B815">
            <w:pP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10CDAB87">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3911BBB0">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1E860C0E">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3DACC818">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4C241EAB">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2C2D17E2">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5810E0BF">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6D19DE7E">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3A3F3C23">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49A86DC7">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5C67D9EB">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6B0D5B7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4EA854FB">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4F9593D7">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1B5FCBEB">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1001D55D"/>
    <w:p w14:paraId="549E3D92"/>
    <w:p w14:paraId="422C80D1"/>
    <w:p w14:paraId="26E8D0EA"/>
    <w:p w14:paraId="64A5044B"/>
    <w:p w14:paraId="2AFB0C07"/>
    <w:tbl>
      <w:tblPr>
        <w:tblStyle w:val="15"/>
        <w:tblW w:w="14016" w:type="dxa"/>
        <w:tblInd w:w="88" w:type="dxa"/>
        <w:tblLayout w:type="fixed"/>
        <w:tblCellMar>
          <w:top w:w="0" w:type="dxa"/>
          <w:left w:w="108" w:type="dxa"/>
          <w:bottom w:w="0" w:type="dxa"/>
          <w:right w:w="108" w:type="dxa"/>
        </w:tblCellMar>
      </w:tblPr>
      <w:tblGrid>
        <w:gridCol w:w="1012"/>
        <w:gridCol w:w="6372"/>
        <w:gridCol w:w="1016"/>
        <w:gridCol w:w="5616"/>
      </w:tblGrid>
      <w:tr w14:paraId="34004A26">
        <w:tblPrEx>
          <w:tblCellMar>
            <w:top w:w="0" w:type="dxa"/>
            <w:left w:w="108" w:type="dxa"/>
            <w:bottom w:w="0" w:type="dxa"/>
            <w:right w:w="108" w:type="dxa"/>
          </w:tblCellMar>
        </w:tblPrEx>
        <w:trPr>
          <w:trHeight w:val="285" w:hRule="atLeast"/>
        </w:trPr>
        <w:tc>
          <w:tcPr>
            <w:tcW w:w="1012" w:type="dxa"/>
            <w:tcBorders>
              <w:top w:val="single" w:color="auto" w:sz="8" w:space="0"/>
              <w:left w:val="single" w:color="auto" w:sz="8" w:space="0"/>
              <w:bottom w:val="single" w:color="auto" w:sz="4" w:space="0"/>
              <w:right w:val="single" w:color="auto" w:sz="4" w:space="0"/>
            </w:tcBorders>
            <w:vAlign w:val="center"/>
          </w:tcPr>
          <w:p w14:paraId="2A7C1651">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color="auto" w:sz="8" w:space="0"/>
              <w:left w:val="nil"/>
              <w:bottom w:val="single" w:color="auto" w:sz="4" w:space="0"/>
              <w:right w:val="single" w:color="000000" w:sz="8" w:space="0"/>
            </w:tcBorders>
            <w:vAlign w:val="center"/>
          </w:tcPr>
          <w:p w14:paraId="2C503332">
            <w:pPr>
              <w:spacing w:line="320" w:lineRule="exact"/>
              <w:jc w:val="left"/>
              <w:rPr>
                <w:rFonts w:eastAsia="仿宋_GB2312"/>
                <w:b/>
                <w:bCs/>
                <w:color w:val="000000"/>
                <w:kern w:val="0"/>
                <w:sz w:val="18"/>
                <w:szCs w:val="18"/>
              </w:rPr>
            </w:pPr>
            <w:r>
              <w:rPr>
                <w:rFonts w:eastAsia="仿宋_GB2312"/>
                <w:b/>
                <w:bCs/>
                <w:color w:val="000000"/>
                <w:kern w:val="0"/>
                <w:sz w:val="18"/>
                <w:szCs w:val="18"/>
              </w:rPr>
              <w:t>320217757000</w:t>
            </w:r>
          </w:p>
        </w:tc>
      </w:tr>
      <w:tr w14:paraId="6B262186">
        <w:tblPrEx>
          <w:tblCellMar>
            <w:top w:w="0" w:type="dxa"/>
            <w:left w:w="108" w:type="dxa"/>
            <w:bottom w:w="0" w:type="dxa"/>
            <w:right w:w="108" w:type="dxa"/>
          </w:tblCellMar>
        </w:tblPrEx>
        <w:trPr>
          <w:trHeight w:val="285" w:hRule="atLeast"/>
        </w:trPr>
        <w:tc>
          <w:tcPr>
            <w:tcW w:w="1012" w:type="dxa"/>
            <w:tcBorders>
              <w:top w:val="nil"/>
              <w:left w:val="single" w:color="auto" w:sz="8" w:space="0"/>
              <w:bottom w:val="single" w:color="auto" w:sz="4" w:space="0"/>
              <w:right w:val="single" w:color="auto" w:sz="4" w:space="0"/>
            </w:tcBorders>
            <w:vAlign w:val="center"/>
          </w:tcPr>
          <w:p w14:paraId="1FE45F3F">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color="auto" w:sz="4" w:space="0"/>
              <w:left w:val="nil"/>
              <w:bottom w:val="single" w:color="auto" w:sz="4" w:space="0"/>
              <w:right w:val="single" w:color="000000" w:sz="8" w:space="0"/>
            </w:tcBorders>
            <w:vAlign w:val="center"/>
          </w:tcPr>
          <w:p w14:paraId="2B821BB5">
            <w:pPr>
              <w:spacing w:line="320" w:lineRule="exact"/>
              <w:jc w:val="left"/>
              <w:rPr>
                <w:b/>
                <w:color w:val="000000"/>
                <w:kern w:val="0"/>
                <w:sz w:val="18"/>
                <w:szCs w:val="18"/>
              </w:rPr>
            </w:pPr>
            <w:r>
              <w:rPr>
                <w:rFonts w:hint="eastAsia"/>
                <w:color w:val="000000"/>
                <w:spacing w:val="-6"/>
                <w:kern w:val="0"/>
                <w:sz w:val="18"/>
                <w:szCs w:val="18"/>
              </w:rPr>
              <w:t>对施工单位未按照本规定进行施工监测和安全巡视的处罚</w:t>
            </w:r>
          </w:p>
        </w:tc>
      </w:tr>
      <w:tr w14:paraId="0DCEE176">
        <w:tblPrEx>
          <w:tblCellMar>
            <w:top w:w="0" w:type="dxa"/>
            <w:left w:w="108" w:type="dxa"/>
            <w:bottom w:w="0" w:type="dxa"/>
            <w:right w:w="108" w:type="dxa"/>
          </w:tblCellMar>
        </w:tblPrEx>
        <w:trPr>
          <w:trHeight w:val="1275" w:hRule="atLeast"/>
        </w:trPr>
        <w:tc>
          <w:tcPr>
            <w:tcW w:w="1012" w:type="dxa"/>
            <w:tcBorders>
              <w:top w:val="nil"/>
              <w:left w:val="single" w:color="auto" w:sz="8" w:space="0"/>
              <w:bottom w:val="single" w:color="auto" w:sz="4" w:space="0"/>
              <w:right w:val="single" w:color="auto" w:sz="4" w:space="0"/>
            </w:tcBorders>
            <w:vAlign w:val="center"/>
          </w:tcPr>
          <w:p w14:paraId="49D5F1DE">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color="auto" w:sz="4" w:space="0"/>
              <w:left w:val="nil"/>
              <w:bottom w:val="single" w:color="auto" w:sz="4" w:space="0"/>
              <w:right w:val="single" w:color="000000" w:sz="8" w:space="0"/>
            </w:tcBorders>
            <w:vAlign w:val="center"/>
          </w:tcPr>
          <w:p w14:paraId="17ED0B5B">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4C3F1450">
            <w:pPr>
              <w:spacing w:line="320" w:lineRule="exact"/>
              <w:jc w:val="left"/>
              <w:rPr>
                <w:color w:val="000000"/>
                <w:kern w:val="0"/>
                <w:sz w:val="18"/>
                <w:szCs w:val="18"/>
              </w:rPr>
            </w:pPr>
            <w:r>
              <w:rPr>
                <w:rFonts w:hint="eastAsia"/>
                <w:color w:val="000000"/>
                <w:kern w:val="0"/>
                <w:sz w:val="18"/>
                <w:szCs w:val="18"/>
              </w:rPr>
              <w:t>　　第十七条第三款施工单位应当按照规定对危大工程进行施工监测和安全巡视，发现危及人身安全的紧急情况，应当立即组织作业人员撤离危险区域。</w:t>
            </w:r>
          </w:p>
          <w:p w14:paraId="76C566DB">
            <w:pPr>
              <w:spacing w:line="320" w:lineRule="exact"/>
              <w:jc w:val="left"/>
              <w:rPr>
                <w:color w:val="000000"/>
                <w:kern w:val="0"/>
                <w:sz w:val="18"/>
                <w:szCs w:val="18"/>
              </w:rPr>
            </w:pPr>
            <w:r>
              <w:rPr>
                <w:rFonts w:hint="eastAsia"/>
                <w:color w:val="000000"/>
                <w:kern w:val="0"/>
                <w:sz w:val="18"/>
                <w:szCs w:val="18"/>
              </w:rPr>
              <w:t>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18FC20F0">
            <w:pPr>
              <w:spacing w:line="320" w:lineRule="exact"/>
              <w:jc w:val="left"/>
              <w:rPr>
                <w:color w:val="000000"/>
                <w:kern w:val="0"/>
                <w:sz w:val="18"/>
                <w:szCs w:val="18"/>
              </w:rPr>
            </w:pPr>
            <w:r>
              <w:rPr>
                <w:rFonts w:hint="eastAsia"/>
                <w:color w:val="000000"/>
                <w:kern w:val="0"/>
                <w:sz w:val="18"/>
                <w:szCs w:val="18"/>
              </w:rPr>
              <w:t>　　（二）施工单位未按照本规定进行施工监测和安全巡视的；</w:t>
            </w:r>
          </w:p>
        </w:tc>
      </w:tr>
      <w:tr w14:paraId="4D8CA5A9">
        <w:tblPrEx>
          <w:tblCellMar>
            <w:top w:w="0" w:type="dxa"/>
            <w:left w:w="108" w:type="dxa"/>
            <w:bottom w:w="0" w:type="dxa"/>
            <w:right w:w="108" w:type="dxa"/>
          </w:tblCellMar>
        </w:tblPrEx>
        <w:trPr>
          <w:trHeight w:val="285" w:hRule="atLeast"/>
        </w:trPr>
        <w:tc>
          <w:tcPr>
            <w:tcW w:w="1012" w:type="dxa"/>
            <w:tcBorders>
              <w:top w:val="nil"/>
              <w:left w:val="single" w:color="auto" w:sz="8" w:space="0"/>
              <w:bottom w:val="single" w:color="auto" w:sz="4" w:space="0"/>
              <w:right w:val="single" w:color="auto" w:sz="4" w:space="0"/>
            </w:tcBorders>
            <w:vAlign w:val="center"/>
          </w:tcPr>
          <w:p w14:paraId="51DFEB8B">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color="auto" w:sz="4" w:space="0"/>
              <w:left w:val="nil"/>
              <w:bottom w:val="single" w:color="auto" w:sz="4" w:space="0"/>
              <w:right w:val="single" w:color="000000" w:sz="8" w:space="0"/>
            </w:tcBorders>
            <w:vAlign w:val="center"/>
          </w:tcPr>
          <w:p w14:paraId="08DA3F35">
            <w:pPr>
              <w:spacing w:line="320" w:lineRule="exact"/>
              <w:jc w:val="left"/>
              <w:rPr>
                <w:color w:val="000000"/>
                <w:kern w:val="0"/>
                <w:sz w:val="18"/>
                <w:szCs w:val="18"/>
              </w:rPr>
            </w:pPr>
            <w:r>
              <w:rPr>
                <w:rFonts w:hint="eastAsia"/>
                <w:color w:val="000000"/>
                <w:kern w:val="0"/>
                <w:sz w:val="18"/>
                <w:szCs w:val="18"/>
              </w:rPr>
              <w:t>罚款</w:t>
            </w:r>
          </w:p>
        </w:tc>
      </w:tr>
      <w:tr w14:paraId="6D9A33D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466BF1F">
            <w:pPr>
              <w:spacing w:line="320" w:lineRule="exact"/>
              <w:jc w:val="center"/>
              <w:rPr>
                <w:color w:val="000000"/>
                <w:kern w:val="0"/>
                <w:sz w:val="18"/>
                <w:szCs w:val="18"/>
              </w:rPr>
            </w:pPr>
            <w:r>
              <w:rPr>
                <w:rFonts w:hint="eastAsia"/>
                <w:color w:val="000000"/>
                <w:kern w:val="0"/>
                <w:sz w:val="18"/>
                <w:szCs w:val="18"/>
              </w:rPr>
              <w:t>裁量基准</w:t>
            </w:r>
          </w:p>
        </w:tc>
      </w:tr>
      <w:tr w14:paraId="56FE83F1">
        <w:tblPrEx>
          <w:tblCellMar>
            <w:top w:w="0" w:type="dxa"/>
            <w:left w:w="108" w:type="dxa"/>
            <w:bottom w:w="0" w:type="dxa"/>
            <w:right w:w="108" w:type="dxa"/>
          </w:tblCellMar>
        </w:tblPrEx>
        <w:trPr>
          <w:trHeight w:val="285" w:hRule="atLeast"/>
        </w:trPr>
        <w:tc>
          <w:tcPr>
            <w:tcW w:w="1012" w:type="dxa"/>
            <w:vMerge w:val="restart"/>
            <w:tcBorders>
              <w:top w:val="nil"/>
              <w:left w:val="single" w:color="auto" w:sz="8" w:space="0"/>
              <w:right w:val="single" w:color="auto" w:sz="4" w:space="0"/>
            </w:tcBorders>
            <w:vAlign w:val="center"/>
          </w:tcPr>
          <w:p w14:paraId="3F0129BB">
            <w:pPr>
              <w:rPr>
                <w:color w:val="000000"/>
                <w:kern w:val="0"/>
                <w:sz w:val="18"/>
                <w:szCs w:val="18"/>
              </w:rPr>
            </w:pPr>
            <w:r>
              <w:rPr>
                <w:rFonts w:hint="eastAsia"/>
                <w:color w:val="000000"/>
                <w:kern w:val="0"/>
                <w:sz w:val="18"/>
                <w:szCs w:val="18"/>
              </w:rPr>
              <w:t>情形描述</w:t>
            </w:r>
          </w:p>
        </w:tc>
        <w:tc>
          <w:tcPr>
            <w:tcW w:w="6372" w:type="dxa"/>
            <w:tcBorders>
              <w:top w:val="single" w:color="auto" w:sz="4" w:space="0"/>
              <w:left w:val="nil"/>
              <w:bottom w:val="single" w:color="auto" w:sz="4" w:space="0"/>
              <w:right w:val="single" w:color="auto" w:sz="4" w:space="0"/>
            </w:tcBorders>
            <w:vAlign w:val="center"/>
          </w:tcPr>
          <w:p w14:paraId="246F391A">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7961E207">
            <w:pPr>
              <w:rPr>
                <w:color w:val="000000"/>
                <w:kern w:val="0"/>
                <w:sz w:val="18"/>
                <w:szCs w:val="18"/>
              </w:rPr>
            </w:pPr>
            <w:r>
              <w:rPr>
                <w:rFonts w:hint="eastAsia"/>
                <w:color w:val="000000"/>
                <w:kern w:val="0"/>
                <w:sz w:val="18"/>
                <w:szCs w:val="18"/>
              </w:rPr>
              <w:t>裁量幅度</w:t>
            </w:r>
          </w:p>
        </w:tc>
        <w:tc>
          <w:tcPr>
            <w:tcW w:w="5616" w:type="dxa"/>
            <w:tcBorders>
              <w:top w:val="nil"/>
              <w:left w:val="nil"/>
              <w:bottom w:val="single" w:color="auto" w:sz="4" w:space="0"/>
              <w:right w:val="single" w:color="auto" w:sz="8" w:space="0"/>
            </w:tcBorders>
            <w:vAlign w:val="center"/>
          </w:tcPr>
          <w:p w14:paraId="469CB337">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14:paraId="72193971">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5B44B8EE">
        <w:tblPrEx>
          <w:tblCellMar>
            <w:top w:w="0" w:type="dxa"/>
            <w:left w:w="108" w:type="dxa"/>
            <w:bottom w:w="0" w:type="dxa"/>
            <w:right w:w="108" w:type="dxa"/>
          </w:tblCellMar>
        </w:tblPrEx>
        <w:trPr>
          <w:trHeight w:val="285" w:hRule="atLeast"/>
        </w:trPr>
        <w:tc>
          <w:tcPr>
            <w:tcW w:w="1012" w:type="dxa"/>
            <w:vMerge w:val="continue"/>
            <w:tcBorders>
              <w:left w:val="single" w:color="auto" w:sz="8" w:space="0"/>
              <w:right w:val="single" w:color="auto" w:sz="4" w:space="0"/>
            </w:tcBorders>
            <w:vAlign w:val="center"/>
          </w:tcPr>
          <w:p w14:paraId="615C97C9">
            <w:pPr>
              <w:rPr>
                <w:color w:val="000000"/>
                <w:kern w:val="0"/>
                <w:sz w:val="18"/>
                <w:szCs w:val="18"/>
              </w:rPr>
            </w:pPr>
          </w:p>
        </w:tc>
        <w:tc>
          <w:tcPr>
            <w:tcW w:w="6372" w:type="dxa"/>
            <w:tcBorders>
              <w:top w:val="single" w:color="auto" w:sz="4" w:space="0"/>
              <w:left w:val="nil"/>
              <w:bottom w:val="single" w:color="auto" w:sz="4" w:space="0"/>
              <w:right w:val="single" w:color="auto" w:sz="4" w:space="0"/>
            </w:tcBorders>
            <w:vAlign w:val="center"/>
          </w:tcPr>
          <w:p w14:paraId="154D869F">
            <w:pPr>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5259903C">
            <w:pPr>
              <w:rPr>
                <w:color w:val="000000"/>
                <w:kern w:val="0"/>
                <w:sz w:val="18"/>
                <w:szCs w:val="18"/>
              </w:rPr>
            </w:pPr>
          </w:p>
        </w:tc>
        <w:tc>
          <w:tcPr>
            <w:tcW w:w="5616" w:type="dxa"/>
            <w:tcBorders>
              <w:top w:val="nil"/>
              <w:left w:val="nil"/>
              <w:bottom w:val="single" w:color="auto" w:sz="4" w:space="0"/>
              <w:right w:val="single" w:color="auto" w:sz="8" w:space="0"/>
            </w:tcBorders>
            <w:vAlign w:val="center"/>
          </w:tcPr>
          <w:p w14:paraId="53D3477A">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5D343A5D">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1C34445A">
        <w:tblPrEx>
          <w:tblCellMar>
            <w:top w:w="0" w:type="dxa"/>
            <w:left w:w="108" w:type="dxa"/>
            <w:bottom w:w="0" w:type="dxa"/>
            <w:right w:w="108" w:type="dxa"/>
          </w:tblCellMar>
        </w:tblPrEx>
        <w:trPr>
          <w:trHeight w:val="285" w:hRule="atLeast"/>
        </w:trPr>
        <w:tc>
          <w:tcPr>
            <w:tcW w:w="1012" w:type="dxa"/>
            <w:vMerge w:val="continue"/>
            <w:tcBorders>
              <w:left w:val="single" w:color="auto" w:sz="8" w:space="0"/>
              <w:bottom w:val="single" w:color="auto" w:sz="4" w:space="0"/>
              <w:right w:val="single" w:color="auto" w:sz="4" w:space="0"/>
            </w:tcBorders>
            <w:vAlign w:val="center"/>
          </w:tcPr>
          <w:p w14:paraId="50B72158">
            <w:pPr>
              <w:rPr>
                <w:color w:val="000000"/>
                <w:kern w:val="0"/>
                <w:sz w:val="18"/>
                <w:szCs w:val="18"/>
              </w:rPr>
            </w:pPr>
          </w:p>
        </w:tc>
        <w:tc>
          <w:tcPr>
            <w:tcW w:w="6372" w:type="dxa"/>
            <w:tcBorders>
              <w:top w:val="single" w:color="auto" w:sz="4" w:space="0"/>
              <w:left w:val="nil"/>
              <w:bottom w:val="single" w:color="auto" w:sz="4" w:space="0"/>
              <w:right w:val="single" w:color="auto" w:sz="4" w:space="0"/>
            </w:tcBorders>
            <w:vAlign w:val="center"/>
          </w:tcPr>
          <w:p w14:paraId="4DB22655">
            <w:pPr>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54B613DC">
            <w:pPr>
              <w:rPr>
                <w:color w:val="000000"/>
                <w:kern w:val="0"/>
                <w:sz w:val="18"/>
                <w:szCs w:val="18"/>
              </w:rPr>
            </w:pPr>
          </w:p>
        </w:tc>
        <w:tc>
          <w:tcPr>
            <w:tcW w:w="5616" w:type="dxa"/>
            <w:tcBorders>
              <w:top w:val="nil"/>
              <w:left w:val="nil"/>
              <w:bottom w:val="single" w:color="auto" w:sz="4" w:space="0"/>
              <w:right w:val="single" w:color="auto" w:sz="8" w:space="0"/>
            </w:tcBorders>
            <w:vAlign w:val="center"/>
          </w:tcPr>
          <w:p w14:paraId="0ACA737F">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6CA0B7C8">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715475D3"/>
    <w:p w14:paraId="6BE0F87C"/>
    <w:p w14:paraId="4AA96C90"/>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79396693">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251DD7C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5363B3E9">
            <w:pPr>
              <w:spacing w:line="320" w:lineRule="exact"/>
              <w:jc w:val="left"/>
              <w:rPr>
                <w:rFonts w:eastAsia="仿宋_GB2312"/>
                <w:b/>
                <w:bCs/>
                <w:color w:val="000000"/>
                <w:kern w:val="0"/>
                <w:sz w:val="18"/>
                <w:szCs w:val="18"/>
              </w:rPr>
            </w:pPr>
            <w:r>
              <w:rPr>
                <w:rFonts w:eastAsia="仿宋_GB2312"/>
                <w:b/>
                <w:bCs/>
                <w:color w:val="000000"/>
                <w:kern w:val="0"/>
                <w:sz w:val="18"/>
                <w:szCs w:val="18"/>
              </w:rPr>
              <w:t>320217758000</w:t>
            </w:r>
          </w:p>
        </w:tc>
      </w:tr>
      <w:tr w14:paraId="4F82D272">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44AF0F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1A2FC3F4">
            <w:pPr>
              <w:spacing w:line="320" w:lineRule="exact"/>
              <w:jc w:val="left"/>
              <w:rPr>
                <w:b/>
                <w:color w:val="000000"/>
                <w:kern w:val="0"/>
                <w:sz w:val="18"/>
                <w:szCs w:val="18"/>
              </w:rPr>
            </w:pPr>
            <w:r>
              <w:rPr>
                <w:rFonts w:hint="eastAsia"/>
                <w:color w:val="000000"/>
                <w:spacing w:val="-6"/>
                <w:kern w:val="0"/>
                <w:sz w:val="18"/>
                <w:szCs w:val="18"/>
              </w:rPr>
              <w:t>对施工单位在项目负责人未按照本规定现场履职或者组织限期整改的处罚</w:t>
            </w:r>
          </w:p>
        </w:tc>
      </w:tr>
      <w:tr w14:paraId="1B4CE2B4">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4991905C">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4D396EB7">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1DEC7C32">
            <w:pPr>
              <w:spacing w:line="320" w:lineRule="exact"/>
              <w:jc w:val="left"/>
              <w:rPr>
                <w:color w:val="000000"/>
                <w:kern w:val="0"/>
                <w:sz w:val="18"/>
                <w:szCs w:val="18"/>
              </w:rPr>
            </w:pPr>
            <w:r>
              <w:rPr>
                <w:rFonts w:hint="eastAsia"/>
                <w:color w:val="000000"/>
                <w:kern w:val="0"/>
                <w:sz w:val="18"/>
                <w:szCs w:val="18"/>
              </w:rPr>
              <w:t>　　第十七条第一款、第二款　施工单位应当对危大工程施工作业人员进行登记，项目负责人应当在施工现场履职。</w:t>
            </w:r>
          </w:p>
          <w:p w14:paraId="54F3B26A">
            <w:pPr>
              <w:spacing w:line="320" w:lineRule="exact"/>
              <w:jc w:val="left"/>
              <w:rPr>
                <w:color w:val="000000"/>
                <w:kern w:val="0"/>
                <w:sz w:val="18"/>
                <w:szCs w:val="18"/>
              </w:rPr>
            </w:pPr>
            <w:r>
              <w:rPr>
                <w:rFonts w:hint="eastAsia"/>
                <w:color w:val="000000"/>
                <w:kern w:val="0"/>
                <w:sz w:val="18"/>
                <w:szCs w:val="18"/>
              </w:rPr>
              <w:t>　　项目专职安全生产管理人员应当对专项施工方案实施情况进行现场监督，对未按照专项施工方案施工的，应当要求立即整改，并及时报告项目负责人，项目负责人应当及时组织限期整改。</w:t>
            </w:r>
          </w:p>
          <w:p w14:paraId="2F8F1CE2">
            <w:pPr>
              <w:spacing w:line="320" w:lineRule="exact"/>
              <w:jc w:val="left"/>
              <w:rPr>
                <w:color w:val="000000"/>
                <w:kern w:val="0"/>
                <w:sz w:val="18"/>
                <w:szCs w:val="18"/>
              </w:rPr>
            </w:pPr>
            <w:r>
              <w:rPr>
                <w:rFonts w:hint="eastAsia"/>
                <w:color w:val="000000"/>
                <w:kern w:val="0"/>
                <w:sz w:val="18"/>
                <w:szCs w:val="18"/>
              </w:rPr>
              <w:t>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610AD376">
            <w:pPr>
              <w:spacing w:line="320" w:lineRule="exact"/>
              <w:jc w:val="left"/>
              <w:rPr>
                <w:color w:val="000000"/>
                <w:kern w:val="0"/>
                <w:sz w:val="18"/>
                <w:szCs w:val="18"/>
              </w:rPr>
            </w:pPr>
            <w:r>
              <w:rPr>
                <w:rFonts w:hint="eastAsia"/>
                <w:color w:val="000000"/>
                <w:kern w:val="0"/>
                <w:sz w:val="18"/>
                <w:szCs w:val="18"/>
              </w:rPr>
              <w:t>　　（一）项目负责人未按照本规定现场履职或者组织限期整改的；</w:t>
            </w:r>
          </w:p>
        </w:tc>
      </w:tr>
      <w:tr w14:paraId="43BB3E8C">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0953329">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58B80880">
            <w:pPr>
              <w:spacing w:line="320" w:lineRule="exact"/>
              <w:jc w:val="left"/>
              <w:rPr>
                <w:color w:val="000000"/>
                <w:kern w:val="0"/>
                <w:sz w:val="18"/>
                <w:szCs w:val="18"/>
              </w:rPr>
            </w:pPr>
            <w:r>
              <w:rPr>
                <w:rFonts w:hint="eastAsia"/>
                <w:color w:val="000000"/>
                <w:kern w:val="0"/>
                <w:sz w:val="18"/>
                <w:szCs w:val="18"/>
              </w:rPr>
              <w:t>罚款</w:t>
            </w:r>
          </w:p>
        </w:tc>
      </w:tr>
      <w:tr w14:paraId="6412A863">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E0B8B41">
            <w:pPr>
              <w:spacing w:line="320" w:lineRule="exact"/>
              <w:jc w:val="center"/>
              <w:rPr>
                <w:color w:val="000000"/>
                <w:kern w:val="0"/>
                <w:sz w:val="18"/>
                <w:szCs w:val="18"/>
              </w:rPr>
            </w:pPr>
            <w:r>
              <w:rPr>
                <w:rFonts w:hint="eastAsia"/>
                <w:color w:val="000000"/>
                <w:kern w:val="0"/>
                <w:sz w:val="18"/>
                <w:szCs w:val="18"/>
              </w:rPr>
              <w:t>裁量基准</w:t>
            </w:r>
          </w:p>
        </w:tc>
      </w:tr>
      <w:tr w14:paraId="6FB6A87B">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3DD6EBDA">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60FF3EAC">
            <w:pPr>
              <w:spacing w:line="320" w:lineRule="exact"/>
              <w:jc w:val="left"/>
              <w:rPr>
                <w:color w:val="000000"/>
                <w:kern w:val="0"/>
                <w:sz w:val="18"/>
                <w:szCs w:val="18"/>
              </w:rPr>
            </w:pPr>
            <w:r>
              <w:rPr>
                <w:rFonts w:hint="eastAsia"/>
                <w:color w:val="000000"/>
                <w:kern w:val="0"/>
                <w:sz w:val="18"/>
                <w:szCs w:val="18"/>
              </w:rPr>
              <w:t>按要求履职或改正且未发生安全事故的</w:t>
            </w:r>
          </w:p>
        </w:tc>
        <w:tc>
          <w:tcPr>
            <w:tcW w:w="1016" w:type="dxa"/>
            <w:vMerge w:val="restart"/>
            <w:tcBorders>
              <w:top w:val="nil"/>
              <w:left w:val="single" w:color="auto" w:sz="4" w:space="0"/>
              <w:right w:val="single" w:color="auto" w:sz="4" w:space="0"/>
            </w:tcBorders>
            <w:vAlign w:val="center"/>
          </w:tcPr>
          <w:p w14:paraId="759A2C78">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71043561">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5D9CB20D">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46288818">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63BCFC5E">
            <w:pPr>
              <w:spacing w:line="320" w:lineRule="exact"/>
              <w:jc w:val="left"/>
              <w:rPr>
                <w:color w:val="000000"/>
                <w:kern w:val="0"/>
                <w:sz w:val="18"/>
                <w:szCs w:val="18"/>
              </w:rPr>
            </w:pPr>
            <w:r>
              <w:rPr>
                <w:rFonts w:hint="eastAsia"/>
                <w:color w:val="000000"/>
                <w:kern w:val="0"/>
                <w:sz w:val="18"/>
                <w:szCs w:val="18"/>
              </w:rPr>
              <w:t>未按要求履职或逾期未改正且未发生安全事故的</w:t>
            </w:r>
          </w:p>
        </w:tc>
        <w:tc>
          <w:tcPr>
            <w:tcW w:w="1016" w:type="dxa"/>
            <w:vMerge w:val="continue"/>
            <w:tcBorders>
              <w:left w:val="single" w:color="auto" w:sz="4" w:space="0"/>
              <w:right w:val="single" w:color="auto" w:sz="4" w:space="0"/>
            </w:tcBorders>
            <w:vAlign w:val="center"/>
          </w:tcPr>
          <w:p w14:paraId="7C7BA769">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376E627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29CF7BF8">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35995E9F">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047DA361">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65D2C93A">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5A95B2E8">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32B00781"/>
    <w:p w14:paraId="0F84BC75"/>
    <w:p w14:paraId="307A15C0"/>
    <w:p w14:paraId="3C88CA31"/>
    <w:p w14:paraId="101E9EEF"/>
    <w:p w14:paraId="7CF595BA"/>
    <w:p w14:paraId="5B2AA4A8"/>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07B40C40">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6A39D0CD">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52F9BF6">
            <w:pPr>
              <w:spacing w:line="320" w:lineRule="exact"/>
              <w:jc w:val="left"/>
              <w:rPr>
                <w:rFonts w:eastAsia="仿宋_GB2312"/>
                <w:b/>
                <w:bCs/>
                <w:color w:val="000000"/>
                <w:kern w:val="0"/>
                <w:sz w:val="18"/>
                <w:szCs w:val="18"/>
              </w:rPr>
            </w:pPr>
            <w:r>
              <w:rPr>
                <w:rFonts w:eastAsia="仿宋_GB2312"/>
                <w:b/>
                <w:bCs/>
                <w:color w:val="000000"/>
                <w:kern w:val="0"/>
                <w:sz w:val="18"/>
                <w:szCs w:val="18"/>
              </w:rPr>
              <w:t>320217759000</w:t>
            </w:r>
          </w:p>
        </w:tc>
      </w:tr>
      <w:tr w14:paraId="0829402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B1EE2A8">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671077E0">
            <w:pPr>
              <w:spacing w:line="320" w:lineRule="exact"/>
              <w:jc w:val="left"/>
              <w:rPr>
                <w:b/>
                <w:color w:val="000000"/>
                <w:kern w:val="0"/>
                <w:sz w:val="18"/>
                <w:szCs w:val="18"/>
              </w:rPr>
            </w:pPr>
            <w:r>
              <w:rPr>
                <w:rFonts w:hint="eastAsia"/>
                <w:color w:val="000000"/>
                <w:spacing w:val="-6"/>
                <w:kern w:val="0"/>
                <w:sz w:val="18"/>
                <w:szCs w:val="18"/>
              </w:rPr>
              <w:t>对建设单位未按照本规定委托具有相应勘察资质的单位进行第三方监测的处罚</w:t>
            </w:r>
          </w:p>
        </w:tc>
      </w:tr>
      <w:tr w14:paraId="758B7788">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678ED9EC">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5AFE1F16">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7B005D9B">
            <w:pPr>
              <w:spacing w:line="320" w:lineRule="exact"/>
              <w:jc w:val="left"/>
              <w:rPr>
                <w:color w:val="000000"/>
                <w:kern w:val="0"/>
                <w:sz w:val="18"/>
                <w:szCs w:val="18"/>
              </w:rPr>
            </w:pPr>
            <w:r>
              <w:rPr>
                <w:rFonts w:hint="eastAsia"/>
                <w:color w:val="000000"/>
                <w:kern w:val="0"/>
                <w:sz w:val="18"/>
                <w:szCs w:val="18"/>
              </w:rPr>
              <w:t>第二十条第一款　对于按照规定需要进行第三方监测的危大工程，建设单位应当委托具有相应勘察资质的单位进行监测。</w:t>
            </w:r>
          </w:p>
          <w:p w14:paraId="2456949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1A1F0167">
            <w:pPr>
              <w:spacing w:line="320" w:lineRule="exact"/>
              <w:jc w:val="left"/>
              <w:rPr>
                <w:color w:val="000000"/>
                <w:kern w:val="0"/>
                <w:sz w:val="18"/>
                <w:szCs w:val="18"/>
              </w:rPr>
            </w:pPr>
            <w:r>
              <w:rPr>
                <w:rFonts w:hint="eastAsia"/>
                <w:color w:val="000000"/>
                <w:kern w:val="0"/>
                <w:sz w:val="18"/>
                <w:szCs w:val="18"/>
              </w:rPr>
              <w:t>　　（四）未按照本规定委托具有相应勘察资质的单位进行第三方监测的；</w:t>
            </w:r>
          </w:p>
        </w:tc>
      </w:tr>
      <w:tr w14:paraId="04E92F7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42ADE17">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7036F107">
            <w:pPr>
              <w:spacing w:line="320" w:lineRule="exact"/>
              <w:jc w:val="left"/>
              <w:rPr>
                <w:color w:val="000000"/>
                <w:kern w:val="0"/>
                <w:sz w:val="18"/>
                <w:szCs w:val="18"/>
              </w:rPr>
            </w:pPr>
            <w:r>
              <w:rPr>
                <w:rFonts w:hint="eastAsia"/>
                <w:color w:val="000000"/>
                <w:kern w:val="0"/>
                <w:sz w:val="18"/>
                <w:szCs w:val="18"/>
              </w:rPr>
              <w:t>罚款</w:t>
            </w:r>
          </w:p>
        </w:tc>
      </w:tr>
      <w:tr w14:paraId="0FBE99DC">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73C13A7">
            <w:pPr>
              <w:spacing w:line="320" w:lineRule="exact"/>
              <w:jc w:val="center"/>
              <w:rPr>
                <w:color w:val="000000"/>
                <w:kern w:val="0"/>
                <w:sz w:val="18"/>
                <w:szCs w:val="18"/>
              </w:rPr>
            </w:pPr>
            <w:r>
              <w:rPr>
                <w:rFonts w:hint="eastAsia"/>
                <w:color w:val="000000"/>
                <w:kern w:val="0"/>
                <w:sz w:val="18"/>
                <w:szCs w:val="18"/>
              </w:rPr>
              <w:t>裁量基准</w:t>
            </w:r>
          </w:p>
        </w:tc>
      </w:tr>
      <w:tr w14:paraId="429399E9">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3161A414">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2740459D">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157AF014">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248B433D">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5739DA74">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50ACCE44">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6B490072">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0E924238">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1E23576A">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5994BBB9">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356A4803">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297060DA">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398817EC">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3ADEEC0A">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0E5E9C1B">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60D67E20">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6B8B5394"/>
    <w:p w14:paraId="545D89E5"/>
    <w:p w14:paraId="69F024D2"/>
    <w:p w14:paraId="4D5E5AE2"/>
    <w:p w14:paraId="3CF70914"/>
    <w:p w14:paraId="6F5BDE23"/>
    <w:p w14:paraId="68B887DB"/>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301D3CDC">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2FF2A7C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229DC525">
            <w:pPr>
              <w:spacing w:line="320" w:lineRule="exact"/>
              <w:jc w:val="left"/>
              <w:rPr>
                <w:rFonts w:eastAsia="仿宋_GB2312"/>
                <w:b/>
                <w:bCs/>
                <w:color w:val="000000"/>
                <w:kern w:val="0"/>
                <w:sz w:val="18"/>
                <w:szCs w:val="18"/>
              </w:rPr>
            </w:pPr>
            <w:r>
              <w:rPr>
                <w:rFonts w:eastAsia="仿宋_GB2312"/>
                <w:b/>
                <w:bCs/>
                <w:color w:val="000000"/>
                <w:kern w:val="0"/>
                <w:sz w:val="18"/>
                <w:szCs w:val="18"/>
              </w:rPr>
              <w:t>320217760000</w:t>
            </w:r>
          </w:p>
        </w:tc>
      </w:tr>
      <w:tr w14:paraId="1911607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44BB02A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0299E92E">
            <w:pPr>
              <w:spacing w:line="320" w:lineRule="exact"/>
              <w:jc w:val="left"/>
              <w:rPr>
                <w:b/>
                <w:color w:val="000000"/>
                <w:kern w:val="0"/>
                <w:sz w:val="18"/>
                <w:szCs w:val="18"/>
              </w:rPr>
            </w:pPr>
            <w:r>
              <w:rPr>
                <w:rFonts w:hint="eastAsia"/>
                <w:color w:val="000000"/>
                <w:spacing w:val="-6"/>
                <w:kern w:val="0"/>
                <w:sz w:val="18"/>
                <w:szCs w:val="18"/>
              </w:rPr>
              <w:t>对建设单位未对第三方监测单位报告的异常情况组织采取处置措施的处罚</w:t>
            </w:r>
          </w:p>
        </w:tc>
      </w:tr>
      <w:tr w14:paraId="72F73CC6">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0AC524CE">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60E056AB">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37AC42AD">
            <w:pPr>
              <w:spacing w:line="320" w:lineRule="exact"/>
              <w:jc w:val="left"/>
              <w:rPr>
                <w:color w:val="000000"/>
                <w:kern w:val="0"/>
                <w:sz w:val="18"/>
                <w:szCs w:val="18"/>
              </w:rPr>
            </w:pPr>
            <w:r>
              <w:rPr>
                <w:rFonts w:hint="eastAsia"/>
                <w:color w:val="000000"/>
                <w:kern w:val="0"/>
                <w:sz w:val="18"/>
                <w:szCs w:val="18"/>
              </w:rPr>
              <w:t>　　第二十条第三款　监测单位应当按照监测方案开展监测，及时向建设单位报送监测成果，并对监测成果负责；发现异常时，及时向建设、设计、施工、监理单位报告，建设单位应当立即组织相关单位采取处置措施。</w:t>
            </w:r>
          </w:p>
          <w:p w14:paraId="62590700">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4C2F21DA">
            <w:pPr>
              <w:spacing w:line="320" w:lineRule="exact"/>
              <w:jc w:val="left"/>
              <w:rPr>
                <w:color w:val="000000"/>
                <w:kern w:val="0"/>
                <w:sz w:val="18"/>
                <w:szCs w:val="18"/>
              </w:rPr>
            </w:pPr>
            <w:r>
              <w:rPr>
                <w:rFonts w:hint="eastAsia"/>
                <w:color w:val="000000"/>
                <w:kern w:val="0"/>
                <w:sz w:val="18"/>
                <w:szCs w:val="18"/>
              </w:rPr>
              <w:t>　　（五）未对第三方监测单位报告的异常情况组织采取处置措施的。</w:t>
            </w:r>
          </w:p>
        </w:tc>
      </w:tr>
      <w:tr w14:paraId="51A4B15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6F9D19AD">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9D0A9A7">
            <w:pPr>
              <w:spacing w:line="320" w:lineRule="exact"/>
              <w:jc w:val="left"/>
              <w:rPr>
                <w:color w:val="000000"/>
                <w:kern w:val="0"/>
                <w:sz w:val="18"/>
                <w:szCs w:val="18"/>
              </w:rPr>
            </w:pPr>
            <w:r>
              <w:rPr>
                <w:rFonts w:hint="eastAsia"/>
                <w:color w:val="000000"/>
                <w:kern w:val="0"/>
                <w:sz w:val="18"/>
                <w:szCs w:val="18"/>
              </w:rPr>
              <w:t>罚款</w:t>
            </w:r>
          </w:p>
        </w:tc>
      </w:tr>
      <w:tr w14:paraId="53B102A8">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13E3F2E">
            <w:pPr>
              <w:spacing w:line="320" w:lineRule="exact"/>
              <w:jc w:val="center"/>
              <w:rPr>
                <w:color w:val="000000"/>
                <w:kern w:val="0"/>
                <w:sz w:val="18"/>
                <w:szCs w:val="18"/>
              </w:rPr>
            </w:pPr>
            <w:r>
              <w:rPr>
                <w:rFonts w:hint="eastAsia"/>
                <w:color w:val="000000"/>
                <w:kern w:val="0"/>
                <w:sz w:val="18"/>
                <w:szCs w:val="18"/>
              </w:rPr>
              <w:t>裁量基准</w:t>
            </w:r>
          </w:p>
        </w:tc>
      </w:tr>
      <w:tr w14:paraId="7B4F07CD">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481ECD4B">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60021083">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color="auto" w:sz="4" w:space="0"/>
              <w:right w:val="single" w:color="auto" w:sz="4" w:space="0"/>
            </w:tcBorders>
            <w:vAlign w:val="center"/>
          </w:tcPr>
          <w:p w14:paraId="0B50EBA3">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19C8DD4B">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14:paraId="4F754FF7">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1DCAAED1">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742BAB4D">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val="continue"/>
            <w:tcBorders>
              <w:left w:val="single" w:color="auto" w:sz="4" w:space="0"/>
              <w:right w:val="single" w:color="auto" w:sz="4" w:space="0"/>
            </w:tcBorders>
            <w:vAlign w:val="center"/>
          </w:tcPr>
          <w:p w14:paraId="3A162673">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42323FCF">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14:paraId="179A21F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23F1B87A">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2A673F3F">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39F9A8C8">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val="continue"/>
            <w:tcBorders>
              <w:left w:val="single" w:color="auto" w:sz="4" w:space="0"/>
              <w:bottom w:val="single" w:color="auto" w:sz="4" w:space="0"/>
              <w:right w:val="single" w:color="auto" w:sz="4" w:space="0"/>
            </w:tcBorders>
            <w:vAlign w:val="center"/>
          </w:tcPr>
          <w:p w14:paraId="3FD82AF3">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6E34DFED">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14:paraId="495DC44D">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2B8AAC80"/>
    <w:p w14:paraId="3FECD9D8"/>
    <w:p w14:paraId="4934CECE"/>
    <w:p w14:paraId="226B5EE0"/>
    <w:p w14:paraId="4BE70B60"/>
    <w:p w14:paraId="644DE896"/>
    <w:p w14:paraId="50002A32"/>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4CE83986">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B0DDA39">
            <w:pPr>
              <w:spacing w:line="24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D880FD1">
            <w:pPr>
              <w:spacing w:line="240" w:lineRule="exact"/>
              <w:jc w:val="left"/>
              <w:rPr>
                <w:rFonts w:eastAsia="仿宋_GB2312"/>
                <w:b/>
                <w:bCs/>
                <w:color w:val="000000"/>
                <w:kern w:val="0"/>
                <w:sz w:val="18"/>
                <w:szCs w:val="18"/>
              </w:rPr>
            </w:pPr>
            <w:r>
              <w:rPr>
                <w:rFonts w:eastAsia="仿宋_GB2312"/>
                <w:b/>
                <w:bCs/>
                <w:color w:val="000000"/>
                <w:kern w:val="0"/>
                <w:sz w:val="18"/>
                <w:szCs w:val="18"/>
              </w:rPr>
              <w:t>320217761000</w:t>
            </w:r>
          </w:p>
        </w:tc>
      </w:tr>
      <w:tr w14:paraId="3CE925D1">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5CE560C">
            <w:pPr>
              <w:spacing w:line="24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7D52C3F7">
            <w:pPr>
              <w:spacing w:line="240" w:lineRule="exact"/>
              <w:jc w:val="left"/>
              <w:rPr>
                <w:b/>
                <w:color w:val="000000"/>
                <w:kern w:val="0"/>
                <w:sz w:val="18"/>
                <w:szCs w:val="18"/>
              </w:rPr>
            </w:pPr>
            <w:r>
              <w:rPr>
                <w:rFonts w:hint="eastAsia"/>
                <w:color w:val="000000"/>
                <w:spacing w:val="-6"/>
                <w:kern w:val="0"/>
                <w:sz w:val="18"/>
                <w:szCs w:val="18"/>
              </w:rPr>
              <w:t>勘察单位未在勘察文件中说明地质条件可能造成的工程风险的，对直接负责的主管人员和其他直接责任人员处罚</w:t>
            </w:r>
          </w:p>
        </w:tc>
      </w:tr>
      <w:tr w14:paraId="323F3260">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131D4D4E">
            <w:pPr>
              <w:spacing w:line="24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518F596E">
            <w:pPr>
              <w:spacing w:line="240" w:lineRule="exact"/>
              <w:jc w:val="left"/>
              <w:rPr>
                <w:color w:val="000000"/>
                <w:kern w:val="0"/>
                <w:sz w:val="18"/>
                <w:szCs w:val="18"/>
              </w:rPr>
            </w:pP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14:paraId="3238670C">
            <w:pPr>
              <w:spacing w:line="240" w:lineRule="exact"/>
              <w:ind w:firstLine="360"/>
              <w:jc w:val="left"/>
              <w:rPr>
                <w:color w:val="000000"/>
                <w:kern w:val="0"/>
                <w:sz w:val="18"/>
                <w:szCs w:val="18"/>
              </w:rPr>
            </w:pPr>
            <w:r>
              <w:rPr>
                <w:rFonts w:hint="eastAsia"/>
                <w:color w:val="000000"/>
                <w:kern w:val="0"/>
                <w:sz w:val="18"/>
                <w:szCs w:val="18"/>
              </w:rPr>
              <w:t>第十二条　勘察单位应当按照法律、法规和工程建设强制性标准进行勘察，提供的勘察文件应当真实、准确，满足建设工程安全生产的需要。</w:t>
            </w:r>
          </w:p>
          <w:p w14:paraId="6D00FC2A">
            <w:pPr>
              <w:spacing w:line="240" w:lineRule="exact"/>
              <w:ind w:firstLine="360"/>
              <w:jc w:val="left"/>
              <w:rPr>
                <w:color w:val="000000"/>
                <w:kern w:val="0"/>
                <w:sz w:val="18"/>
                <w:szCs w:val="18"/>
              </w:rPr>
            </w:pPr>
            <w:r>
              <w:rPr>
                <w:rFonts w:hint="eastAsia"/>
                <w:color w:val="000000"/>
                <w:kern w:val="0"/>
                <w:sz w:val="18"/>
                <w:szCs w:val="18"/>
              </w:rPr>
              <w:t>第五十六条　违反本条例的规定，勘察单位、设计单位有下列行为之一的，责令限期改正，处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万元以下的罚款；情节严重的，责令停业整顿，降低资质等级，直至吊销资质证书；造成重大安全事故，构成犯罪的，对直接责任人员，依照刑法有关规定追究刑事责任；造成损失的，依法承担赔偿责任：</w:t>
            </w:r>
          </w:p>
          <w:p w14:paraId="7B327D76">
            <w:pPr>
              <w:spacing w:line="240" w:lineRule="exact"/>
              <w:ind w:firstLine="360"/>
              <w:jc w:val="left"/>
              <w:rPr>
                <w:color w:val="000000"/>
                <w:kern w:val="0"/>
                <w:sz w:val="18"/>
                <w:szCs w:val="18"/>
              </w:rPr>
            </w:pPr>
            <w:r>
              <w:rPr>
                <w:rFonts w:hint="eastAsia"/>
                <w:color w:val="000000"/>
                <w:kern w:val="0"/>
                <w:sz w:val="18"/>
                <w:szCs w:val="18"/>
              </w:rPr>
              <w:t>（一）未按照法律、法规和工程建设强制性标准进行勘察、设计的；</w:t>
            </w:r>
          </w:p>
          <w:p w14:paraId="6C79A085">
            <w:pPr>
              <w:spacing w:line="24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14:paraId="3F663E8B">
            <w:pPr>
              <w:spacing w:line="24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546D4CF9">
            <w:pPr>
              <w:spacing w:line="240" w:lineRule="exact"/>
              <w:jc w:val="left"/>
              <w:rPr>
                <w:color w:val="000000"/>
                <w:kern w:val="0"/>
                <w:sz w:val="18"/>
                <w:szCs w:val="18"/>
              </w:rPr>
            </w:pPr>
            <w:r>
              <w:rPr>
                <w:rFonts w:hint="eastAsia"/>
                <w:color w:val="000000"/>
                <w:kern w:val="0"/>
                <w:sz w:val="18"/>
                <w:szCs w:val="18"/>
              </w:rPr>
              <w:t>第六条第一款　勘察单位应当根据工程实际及工程周边环境资料，在勘察文件中说明地质条件可能造成的工程风险。</w:t>
            </w:r>
          </w:p>
          <w:p w14:paraId="7DB6811B">
            <w:pPr>
              <w:spacing w:line="240" w:lineRule="exact"/>
              <w:ind w:firstLine="360"/>
              <w:jc w:val="left"/>
              <w:rPr>
                <w:color w:val="000000"/>
                <w:kern w:val="0"/>
                <w:sz w:val="18"/>
                <w:szCs w:val="18"/>
              </w:rPr>
            </w:pPr>
            <w:r>
              <w:rPr>
                <w:rFonts w:hint="eastAsia"/>
                <w:color w:val="000000"/>
                <w:kern w:val="0"/>
                <w:sz w:val="18"/>
                <w:szCs w:val="18"/>
              </w:rPr>
              <w:t>第三十条　勘察单位未在勘察文件中说明地质条件可能造成的工程风险的，责令限期改正，依照《建设工程安全生产管理条例》对单位进行处罚；对直接负责的主管人员和其他直接责任人员处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14:paraId="6512E6E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19946AF">
            <w:pPr>
              <w:spacing w:line="24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28B88D7B">
            <w:pPr>
              <w:spacing w:line="240" w:lineRule="exact"/>
              <w:jc w:val="left"/>
              <w:rPr>
                <w:color w:val="000000"/>
                <w:kern w:val="0"/>
                <w:sz w:val="18"/>
                <w:szCs w:val="18"/>
              </w:rPr>
            </w:pPr>
            <w:r>
              <w:rPr>
                <w:rFonts w:hint="eastAsia"/>
                <w:color w:val="000000"/>
                <w:kern w:val="0"/>
                <w:sz w:val="18"/>
                <w:szCs w:val="18"/>
              </w:rPr>
              <w:t>罚款</w:t>
            </w:r>
          </w:p>
        </w:tc>
      </w:tr>
      <w:tr w14:paraId="28565643">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0AC30C4E">
            <w:pPr>
              <w:spacing w:line="240" w:lineRule="exact"/>
              <w:jc w:val="center"/>
              <w:rPr>
                <w:color w:val="000000"/>
                <w:kern w:val="0"/>
                <w:sz w:val="18"/>
                <w:szCs w:val="18"/>
              </w:rPr>
            </w:pPr>
            <w:r>
              <w:rPr>
                <w:rFonts w:hint="eastAsia"/>
                <w:color w:val="000000"/>
                <w:kern w:val="0"/>
                <w:sz w:val="18"/>
                <w:szCs w:val="18"/>
              </w:rPr>
              <w:t>裁量基准</w:t>
            </w:r>
          </w:p>
        </w:tc>
      </w:tr>
      <w:tr w14:paraId="4C931B68">
        <w:tblPrEx>
          <w:tblCellMar>
            <w:top w:w="0" w:type="dxa"/>
            <w:left w:w="108" w:type="dxa"/>
            <w:bottom w:w="0" w:type="dxa"/>
            <w:right w:w="108" w:type="dxa"/>
          </w:tblCellMar>
        </w:tblPrEx>
        <w:trPr>
          <w:trHeight w:val="285" w:hRule="atLeast"/>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7ACB4BD4">
            <w:pPr>
              <w:spacing w:line="24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6D0DB0D0">
            <w:pPr>
              <w:spacing w:line="240" w:lineRule="exact"/>
              <w:jc w:val="left"/>
              <w:rPr>
                <w:color w:val="000000"/>
                <w:kern w:val="0"/>
                <w:sz w:val="18"/>
                <w:szCs w:val="18"/>
              </w:rPr>
            </w:pPr>
            <w:r>
              <w:rPr>
                <w:rFonts w:hint="eastAsia"/>
                <w:color w:val="000000"/>
                <w:kern w:val="0"/>
                <w:sz w:val="18"/>
                <w:szCs w:val="18"/>
              </w:rPr>
              <w:t>没有发生建筑工程安全事故的，且在限期内改正的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4D67CF2B">
            <w:pPr>
              <w:spacing w:line="240" w:lineRule="exact"/>
              <w:jc w:val="center"/>
              <w:rPr>
                <w:color w:val="000000"/>
                <w:kern w:val="0"/>
                <w:sz w:val="18"/>
                <w:szCs w:val="18"/>
              </w:rPr>
            </w:pPr>
            <w:r>
              <w:rPr>
                <w:rFonts w:hint="eastAsia"/>
                <w:color w:val="000000"/>
                <w:kern w:val="0"/>
                <w:sz w:val="18"/>
                <w:szCs w:val="18"/>
              </w:rPr>
              <w:t>裁量幅度</w:t>
            </w:r>
          </w:p>
        </w:tc>
        <w:tc>
          <w:tcPr>
            <w:tcW w:w="5614" w:type="dxa"/>
            <w:tcBorders>
              <w:top w:val="single" w:color="auto" w:sz="4" w:space="0"/>
              <w:left w:val="nil"/>
              <w:bottom w:val="single" w:color="auto" w:sz="4" w:space="0"/>
              <w:right w:val="single" w:color="auto" w:sz="4" w:space="0"/>
            </w:tcBorders>
            <w:vAlign w:val="center"/>
          </w:tcPr>
          <w:p w14:paraId="49704881">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12</w:t>
            </w:r>
            <w:r>
              <w:rPr>
                <w:rFonts w:hint="eastAsia"/>
                <w:color w:val="000000"/>
                <w:kern w:val="0"/>
                <w:sz w:val="18"/>
                <w:szCs w:val="18"/>
              </w:rPr>
              <w:t>万以下的罚款</w:t>
            </w:r>
          </w:p>
        </w:tc>
      </w:tr>
      <w:tr w14:paraId="2D3E65FB">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54D6CE9F">
            <w:pPr>
              <w:spacing w:line="240" w:lineRule="exac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076B4136">
            <w:pPr>
              <w:spacing w:line="240" w:lineRule="exact"/>
              <w:rPr>
                <w:color w:val="000000"/>
                <w:kern w:val="0"/>
                <w:sz w:val="18"/>
                <w:szCs w:val="18"/>
              </w:rPr>
            </w:pPr>
            <w:r>
              <w:rPr>
                <w:rFonts w:hint="eastAsia"/>
                <w:color w:val="000000"/>
                <w:kern w:val="0"/>
                <w:sz w:val="18"/>
                <w:szCs w:val="18"/>
              </w:rPr>
              <w:t>没有发生建筑工程安全事故的，未在限期内改正的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5B7EF014">
            <w:pPr>
              <w:spacing w:line="240" w:lineRule="exac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67D53B56">
            <w:pPr>
              <w:spacing w:line="240" w:lineRule="exac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1200</w:t>
            </w:r>
            <w:r>
              <w:rPr>
                <w:rFonts w:hint="eastAsia"/>
                <w:color w:val="000000"/>
                <w:kern w:val="0"/>
                <w:sz w:val="18"/>
                <w:szCs w:val="18"/>
              </w:rPr>
              <w:t>元以下的罚款</w:t>
            </w:r>
          </w:p>
        </w:tc>
      </w:tr>
      <w:tr w14:paraId="13D590DC">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20A7B830">
            <w:pPr>
              <w:spacing w:line="24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444C1F68">
            <w:pPr>
              <w:spacing w:line="240" w:lineRule="exact"/>
              <w:jc w:val="left"/>
              <w:rPr>
                <w:color w:val="000000"/>
                <w:kern w:val="0"/>
                <w:sz w:val="18"/>
                <w:szCs w:val="18"/>
              </w:rPr>
            </w:pPr>
            <w:r>
              <w:rPr>
                <w:rFonts w:hint="eastAsia"/>
                <w:color w:val="000000"/>
                <w:kern w:val="0"/>
                <w:sz w:val="18"/>
                <w:szCs w:val="18"/>
              </w:rPr>
              <w:t>发生一般建筑工程安全事故的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69432E8E">
            <w:pPr>
              <w:spacing w:line="240" w:lineRule="exact"/>
              <w:jc w:val="lef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4CF75567">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18</w:t>
            </w:r>
            <w:r>
              <w:rPr>
                <w:rFonts w:hint="eastAsia"/>
                <w:color w:val="000000"/>
                <w:kern w:val="0"/>
                <w:sz w:val="18"/>
                <w:szCs w:val="18"/>
              </w:rPr>
              <w:t>万以下的罚款；对其直接负责的主管人员和其他直接责任人员处</w:t>
            </w:r>
            <w:r>
              <w:rPr>
                <w:color w:val="000000"/>
                <w:kern w:val="0"/>
                <w:sz w:val="18"/>
                <w:szCs w:val="18"/>
              </w:rPr>
              <w:t>1200</w:t>
            </w:r>
            <w:r>
              <w:rPr>
                <w:rFonts w:hint="eastAsia"/>
                <w:color w:val="000000"/>
                <w:kern w:val="0"/>
                <w:sz w:val="18"/>
                <w:szCs w:val="18"/>
              </w:rPr>
              <w:t>元以上</w:t>
            </w:r>
            <w:r>
              <w:rPr>
                <w:color w:val="000000"/>
                <w:kern w:val="0"/>
                <w:sz w:val="18"/>
                <w:szCs w:val="18"/>
              </w:rPr>
              <w:t>1600</w:t>
            </w:r>
            <w:r>
              <w:rPr>
                <w:rFonts w:hint="eastAsia"/>
                <w:color w:val="000000"/>
                <w:kern w:val="0"/>
                <w:sz w:val="18"/>
                <w:szCs w:val="18"/>
              </w:rPr>
              <w:t>元以下的罚款</w:t>
            </w:r>
          </w:p>
        </w:tc>
      </w:tr>
      <w:tr w14:paraId="2EDB379C">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2DF3A95C">
            <w:pPr>
              <w:spacing w:line="24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5C39F5D3">
            <w:pPr>
              <w:spacing w:line="240" w:lineRule="exact"/>
              <w:jc w:val="left"/>
              <w:rPr>
                <w:color w:val="000000"/>
                <w:kern w:val="0"/>
                <w:sz w:val="18"/>
                <w:szCs w:val="18"/>
              </w:rPr>
            </w:pPr>
            <w:r>
              <w:rPr>
                <w:rFonts w:hint="eastAsia"/>
                <w:color w:val="000000"/>
                <w:kern w:val="0"/>
                <w:sz w:val="18"/>
                <w:szCs w:val="18"/>
              </w:rPr>
              <w:t>发生较大建筑工程安全事故的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682B3798">
            <w:pPr>
              <w:spacing w:line="240" w:lineRule="exact"/>
              <w:jc w:val="lef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1081DF1C">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18</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万以下的罚款，责令停业整顿，降低资质等级；对其直接负责的主管人员和其他直接责任人员处</w:t>
            </w:r>
            <w:r>
              <w:rPr>
                <w:color w:val="000000"/>
                <w:kern w:val="0"/>
                <w:sz w:val="18"/>
                <w:szCs w:val="18"/>
              </w:rPr>
              <w:t>1600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7F9EE855">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29C4D3EB">
            <w:pPr>
              <w:spacing w:line="24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2ED1C67D">
            <w:pPr>
              <w:spacing w:line="240" w:lineRule="exact"/>
              <w:jc w:val="left"/>
              <w:rPr>
                <w:color w:val="000000"/>
                <w:kern w:val="0"/>
                <w:sz w:val="18"/>
                <w:szCs w:val="18"/>
              </w:rPr>
            </w:pPr>
            <w:r>
              <w:rPr>
                <w:rFonts w:hint="eastAsia"/>
                <w:color w:val="000000"/>
                <w:kern w:val="0"/>
                <w:sz w:val="18"/>
                <w:szCs w:val="18"/>
              </w:rPr>
              <w:t>发生重大建筑工程安全事故的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5A01ADD3">
            <w:pPr>
              <w:spacing w:line="240" w:lineRule="exact"/>
              <w:jc w:val="lef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13E46241">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万以下的罚款，责令停业整顿，降低资质等级或吊销资质证书；对其直接负责的主管人员和其他直接责任人员处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14:paraId="56B77345">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7E49114F">
            <w:pPr>
              <w:spacing w:line="24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1C9CF8EC">
            <w:pPr>
              <w:spacing w:line="240" w:lineRule="exact"/>
              <w:jc w:val="left"/>
              <w:rPr>
                <w:color w:val="000000"/>
                <w:kern w:val="0"/>
                <w:sz w:val="18"/>
                <w:szCs w:val="18"/>
              </w:rPr>
            </w:pPr>
            <w:r>
              <w:rPr>
                <w:rFonts w:hint="eastAsia"/>
                <w:color w:val="000000"/>
                <w:kern w:val="0"/>
                <w:sz w:val="18"/>
                <w:szCs w:val="18"/>
              </w:rPr>
              <w:t>发生特大建筑工程安全事故的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678A470E">
            <w:pPr>
              <w:spacing w:line="240" w:lineRule="exact"/>
              <w:jc w:val="lef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21E865CD">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万以下的罚款，责令停业整顿，吊销资质证书；对其直接负责的主管人员和其他直接责任人员处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571C6E13">
      <w:pPr>
        <w:rPr>
          <w:b/>
          <w:sz w:val="28"/>
        </w:rPr>
      </w:pPr>
    </w:p>
    <w:p w14:paraId="56279EFD"/>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41F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25E91AC">
            <w:pPr>
              <w:spacing w:line="20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8C361FD">
            <w:pPr>
              <w:spacing w:line="200" w:lineRule="exact"/>
              <w:jc w:val="left"/>
              <w:rPr>
                <w:rFonts w:eastAsia="仿宋_GB2312"/>
                <w:b/>
                <w:bCs/>
                <w:color w:val="000000"/>
                <w:kern w:val="0"/>
                <w:sz w:val="18"/>
                <w:szCs w:val="18"/>
              </w:rPr>
            </w:pPr>
            <w:r>
              <w:rPr>
                <w:rFonts w:eastAsia="仿宋_GB2312"/>
                <w:b/>
                <w:bCs/>
                <w:color w:val="000000"/>
                <w:kern w:val="0"/>
                <w:sz w:val="18"/>
                <w:szCs w:val="18"/>
              </w:rPr>
              <w:t>320217762000</w:t>
            </w:r>
          </w:p>
        </w:tc>
      </w:tr>
      <w:tr w14:paraId="4DE2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5E2BF56">
            <w:pPr>
              <w:spacing w:line="20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8851C06">
            <w:pPr>
              <w:spacing w:line="200" w:lineRule="exact"/>
              <w:jc w:val="left"/>
              <w:rPr>
                <w:color w:val="000000"/>
                <w:spacing w:val="-6"/>
                <w:kern w:val="0"/>
                <w:sz w:val="18"/>
                <w:szCs w:val="18"/>
              </w:rPr>
            </w:pPr>
            <w:r>
              <w:rPr>
                <w:rFonts w:hint="eastAsia"/>
                <w:color w:val="000000"/>
                <w:spacing w:val="-6"/>
                <w:kern w:val="0"/>
                <w:sz w:val="18"/>
                <w:szCs w:val="18"/>
              </w:rPr>
              <w:t>对依法应当进行消防设计审查的建设工程，未经依法审查或者审查不合格擅自施工的处罚</w:t>
            </w:r>
          </w:p>
        </w:tc>
      </w:tr>
      <w:tr w14:paraId="6F61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trPr>
        <w:tc>
          <w:tcPr>
            <w:tcW w:w="1010" w:type="dxa"/>
            <w:vAlign w:val="center"/>
          </w:tcPr>
          <w:p w14:paraId="444A5671">
            <w:pPr>
              <w:spacing w:line="20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2F82313">
            <w:pPr>
              <w:spacing w:line="200" w:lineRule="exact"/>
              <w:jc w:val="left"/>
              <w:rPr>
                <w:color w:val="000000"/>
                <w:kern w:val="0"/>
                <w:sz w:val="18"/>
                <w:szCs w:val="18"/>
              </w:rPr>
            </w:pPr>
            <w:r>
              <w:rPr>
                <w:rFonts w:hint="eastAsia"/>
                <w:color w:val="000000"/>
                <w:kern w:val="0"/>
                <w:sz w:val="18"/>
                <w:szCs w:val="18"/>
              </w:rPr>
              <w:t>【法律】《中华人民共和国消防法》</w:t>
            </w:r>
          </w:p>
          <w:p w14:paraId="5BA89926">
            <w:pPr>
              <w:spacing w:line="200" w:lineRule="exact"/>
              <w:jc w:val="left"/>
              <w:rPr>
                <w:color w:val="000000"/>
                <w:kern w:val="0"/>
                <w:sz w:val="18"/>
                <w:szCs w:val="18"/>
              </w:rPr>
            </w:pPr>
            <w:r>
              <w:rPr>
                <w:rFonts w:hint="eastAsia"/>
                <w:color w:val="000000"/>
                <w:kern w:val="0"/>
                <w:sz w:val="18"/>
                <w:szCs w:val="18"/>
              </w:rPr>
              <w:t>第十二条</w:t>
            </w:r>
            <w:r>
              <w:rPr>
                <w:color w:val="000000"/>
                <w:kern w:val="0"/>
                <w:sz w:val="18"/>
                <w:szCs w:val="18"/>
              </w:rPr>
              <w:t xml:space="preserve"> </w:t>
            </w:r>
            <w:r>
              <w:rPr>
                <w:rFonts w:hint="eastAsia"/>
                <w:color w:val="000000"/>
                <w:kern w:val="0"/>
                <w:sz w:val="18"/>
                <w:szCs w:val="18"/>
              </w:rPr>
              <w:t>特殊建设工程未经消防设计审查或者审查不合格的，建设单位、施工单位不得施工</w:t>
            </w:r>
            <w:r>
              <w:rPr>
                <w:color w:val="000000"/>
                <w:kern w:val="0"/>
                <w:sz w:val="18"/>
                <w:szCs w:val="18"/>
              </w:rPr>
              <w:t>;</w:t>
            </w:r>
            <w:r>
              <w:rPr>
                <w:rFonts w:hint="eastAsia"/>
                <w:color w:val="000000"/>
                <w:kern w:val="0"/>
                <w:sz w:val="18"/>
                <w:szCs w:val="18"/>
              </w:rPr>
              <w:t>其他建设工程，建设单位未提供满足施工需要的消防设计图纸及技术资料的，有关部门不得发放施工许可证或者批准开工报告。</w:t>
            </w:r>
          </w:p>
          <w:p w14:paraId="5E071110">
            <w:pPr>
              <w:spacing w:line="200" w:lineRule="exact"/>
              <w:jc w:val="left"/>
              <w:rPr>
                <w:color w:val="000000"/>
                <w:kern w:val="0"/>
                <w:sz w:val="18"/>
                <w:szCs w:val="18"/>
              </w:rPr>
            </w:pPr>
            <w:r>
              <w:rPr>
                <w:rFonts w:hint="eastAsia"/>
                <w:color w:val="000000"/>
                <w:kern w:val="0"/>
                <w:sz w:val="18"/>
                <w:szCs w:val="18"/>
              </w:rPr>
              <w:t>　第五十八条　违反本法规定，有下列行为之一的，由住房和城乡建设主管部门、消防救援机构按照各自职权责令停止施工、停止使用或者停产停业，并处三万元以上三十万元以下罚款：</w:t>
            </w:r>
          </w:p>
          <w:p w14:paraId="57AECC7A">
            <w:pPr>
              <w:spacing w:line="2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依法应当进行消防设计审查的建设工程，未经依法审查或者审查不合格，擅自施工的</w:t>
            </w:r>
            <w:r>
              <w:rPr>
                <w:color w:val="000000"/>
                <w:kern w:val="0"/>
                <w:sz w:val="18"/>
                <w:szCs w:val="18"/>
              </w:rPr>
              <w:t>;</w:t>
            </w:r>
          </w:p>
        </w:tc>
      </w:tr>
      <w:tr w14:paraId="50FE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D28924C">
            <w:pPr>
              <w:spacing w:line="20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6B6ECB40">
            <w:pPr>
              <w:spacing w:line="200" w:lineRule="exact"/>
              <w:jc w:val="left"/>
              <w:rPr>
                <w:color w:val="000000"/>
                <w:kern w:val="0"/>
                <w:sz w:val="18"/>
                <w:szCs w:val="18"/>
              </w:rPr>
            </w:pPr>
            <w:r>
              <w:rPr>
                <w:rFonts w:hint="eastAsia"/>
                <w:color w:val="000000"/>
                <w:kern w:val="0"/>
                <w:sz w:val="18"/>
                <w:szCs w:val="18"/>
              </w:rPr>
              <w:t>责令停止施工，罚款</w:t>
            </w:r>
          </w:p>
        </w:tc>
      </w:tr>
      <w:tr w14:paraId="239D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5BD361B">
            <w:pPr>
              <w:spacing w:line="200" w:lineRule="exact"/>
              <w:jc w:val="center"/>
              <w:rPr>
                <w:color w:val="000000"/>
                <w:kern w:val="0"/>
                <w:sz w:val="18"/>
                <w:szCs w:val="18"/>
              </w:rPr>
            </w:pPr>
            <w:r>
              <w:rPr>
                <w:rFonts w:hint="eastAsia"/>
                <w:color w:val="000000"/>
                <w:kern w:val="0"/>
                <w:sz w:val="18"/>
                <w:szCs w:val="18"/>
              </w:rPr>
              <w:t>裁量基准</w:t>
            </w:r>
          </w:p>
        </w:tc>
      </w:tr>
      <w:tr w14:paraId="6E92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45490FCE">
            <w:pPr>
              <w:spacing w:line="200" w:lineRule="exact"/>
              <w:rPr>
                <w:color w:val="000000"/>
                <w:kern w:val="0"/>
                <w:sz w:val="18"/>
                <w:szCs w:val="18"/>
              </w:rPr>
            </w:pPr>
            <w:r>
              <w:rPr>
                <w:rFonts w:hint="eastAsia"/>
                <w:color w:val="000000"/>
                <w:kern w:val="0"/>
                <w:sz w:val="18"/>
                <w:szCs w:val="18"/>
              </w:rPr>
              <w:t>情形描述</w:t>
            </w:r>
          </w:p>
        </w:tc>
        <w:tc>
          <w:tcPr>
            <w:tcW w:w="6376" w:type="dxa"/>
            <w:vAlign w:val="center"/>
          </w:tcPr>
          <w:p w14:paraId="641A76E1">
            <w:pPr>
              <w:spacing w:line="200" w:lineRule="exact"/>
              <w:rPr>
                <w:color w:val="000000"/>
                <w:kern w:val="0"/>
                <w:sz w:val="18"/>
                <w:szCs w:val="18"/>
              </w:rPr>
            </w:pPr>
            <w:r>
              <w:rPr>
                <w:rFonts w:hint="eastAsia"/>
                <w:color w:val="000000"/>
                <w:kern w:val="0"/>
                <w:sz w:val="18"/>
                <w:szCs w:val="18"/>
              </w:rPr>
              <w:t>符合下列情形的建设工程：</w:t>
            </w:r>
          </w:p>
          <w:p w14:paraId="2ED9EC57">
            <w:pPr>
              <w:spacing w:line="200" w:lineRule="exact"/>
              <w:rPr>
                <w:color w:val="000000"/>
                <w:kern w:val="0"/>
                <w:sz w:val="18"/>
                <w:szCs w:val="18"/>
              </w:rPr>
            </w:pPr>
            <w:r>
              <w:rPr>
                <w:color w:val="000000"/>
                <w:kern w:val="0"/>
                <w:sz w:val="18"/>
                <w:szCs w:val="18"/>
              </w:rPr>
              <w:t>1</w:t>
            </w:r>
            <w:r>
              <w:rPr>
                <w:rFonts w:hint="eastAsia"/>
                <w:color w:val="000000"/>
                <w:kern w:val="0"/>
                <w:sz w:val="18"/>
                <w:szCs w:val="18"/>
              </w:rPr>
              <w:t>、总建筑面积二万平方米以上（不含本数）的体育场馆、会堂，公共展览馆、博物馆的展示厅；</w:t>
            </w:r>
          </w:p>
          <w:p w14:paraId="65E168D9">
            <w:pPr>
              <w:spacing w:line="200" w:lineRule="exact"/>
              <w:rPr>
                <w:color w:val="000000"/>
                <w:kern w:val="0"/>
                <w:sz w:val="18"/>
                <w:szCs w:val="18"/>
              </w:rPr>
            </w:pPr>
            <w:r>
              <w:rPr>
                <w:color w:val="000000"/>
                <w:kern w:val="0"/>
                <w:sz w:val="18"/>
                <w:szCs w:val="18"/>
              </w:rPr>
              <w:t>2</w:t>
            </w:r>
            <w:r>
              <w:rPr>
                <w:rFonts w:hint="eastAsia"/>
                <w:color w:val="000000"/>
                <w:kern w:val="0"/>
                <w:sz w:val="18"/>
                <w:szCs w:val="18"/>
              </w:rPr>
              <w:t>、总建筑面积一万五千平方米以上（不含本数）的民用机场航站楼、客运车站候车室、客运码头候船厅；</w:t>
            </w:r>
          </w:p>
          <w:p w14:paraId="70232CCE">
            <w:pPr>
              <w:spacing w:line="200" w:lineRule="exact"/>
              <w:rPr>
                <w:color w:val="000000"/>
                <w:kern w:val="0"/>
                <w:sz w:val="18"/>
                <w:szCs w:val="18"/>
              </w:rPr>
            </w:pPr>
            <w:r>
              <w:rPr>
                <w:color w:val="000000"/>
                <w:kern w:val="0"/>
                <w:sz w:val="18"/>
                <w:szCs w:val="18"/>
              </w:rPr>
              <w:t>3</w:t>
            </w:r>
            <w:r>
              <w:rPr>
                <w:rFonts w:hint="eastAsia"/>
                <w:color w:val="000000"/>
                <w:kern w:val="0"/>
                <w:sz w:val="18"/>
                <w:szCs w:val="18"/>
              </w:rPr>
              <w:t>、总建筑面积一万平方米以上（不含本数）三万平方米以下的宾馆、饭店、商场、市场；</w:t>
            </w:r>
          </w:p>
          <w:p w14:paraId="61630789">
            <w:pPr>
              <w:spacing w:line="200" w:lineRule="exact"/>
              <w:rPr>
                <w:color w:val="000000"/>
                <w:kern w:val="0"/>
                <w:sz w:val="18"/>
                <w:szCs w:val="18"/>
              </w:rPr>
            </w:pPr>
            <w:r>
              <w:rPr>
                <w:color w:val="000000"/>
                <w:kern w:val="0"/>
                <w:sz w:val="18"/>
                <w:szCs w:val="18"/>
              </w:rPr>
              <w:t>4</w:t>
            </w:r>
            <w:r>
              <w:rPr>
                <w:rFonts w:hint="eastAsia"/>
                <w:color w:val="000000"/>
                <w:kern w:val="0"/>
                <w:sz w:val="18"/>
                <w:szCs w:val="18"/>
              </w:rPr>
              <w:t>、总建筑面积二千五百平方米以上（不含本数）五千平方米以下的影剧院，公共图书馆的阅览室，营业性室内健身、休闲场馆，医院的门诊楼，大学的教学楼、图书馆、食堂，劳动密集型企业的生产加工车间，寺庙、教堂；</w:t>
            </w:r>
          </w:p>
          <w:p w14:paraId="4E64F551">
            <w:pPr>
              <w:spacing w:line="200" w:lineRule="exact"/>
              <w:rPr>
                <w:color w:val="000000"/>
                <w:kern w:val="0"/>
                <w:sz w:val="18"/>
                <w:szCs w:val="18"/>
              </w:rPr>
            </w:pPr>
            <w:r>
              <w:rPr>
                <w:color w:val="000000"/>
                <w:kern w:val="0"/>
                <w:sz w:val="18"/>
                <w:szCs w:val="18"/>
              </w:rPr>
              <w:t>5</w:t>
            </w:r>
            <w:r>
              <w:rPr>
                <w:rFonts w:hint="eastAsia"/>
                <w:color w:val="000000"/>
                <w:kern w:val="0"/>
                <w:sz w:val="18"/>
                <w:szCs w:val="18"/>
              </w:rPr>
              <w:t>、总建筑面积一千平方米以上（不含本数）三千平方米以下的托儿所、幼儿园的儿童用房，儿童游乐厅等室内儿童活动场所，养老院、福利院，医院、疗养院的病房楼，中小学校的教学楼、图书馆、食堂，学校的集体宿舍，劳动密集型企业的员工集体宿舍；</w:t>
            </w:r>
          </w:p>
          <w:p w14:paraId="7FF80D26">
            <w:pPr>
              <w:spacing w:line="200" w:lineRule="exact"/>
              <w:rPr>
                <w:color w:val="000000"/>
                <w:kern w:val="0"/>
                <w:sz w:val="18"/>
                <w:szCs w:val="18"/>
              </w:rPr>
            </w:pPr>
            <w:r>
              <w:rPr>
                <w:color w:val="000000"/>
                <w:kern w:val="0"/>
                <w:sz w:val="18"/>
                <w:szCs w:val="18"/>
              </w:rPr>
              <w:t>6</w:t>
            </w:r>
            <w:r>
              <w:rPr>
                <w:rFonts w:hint="eastAsia"/>
                <w:color w:val="000000"/>
                <w:kern w:val="0"/>
                <w:sz w:val="18"/>
                <w:szCs w:val="18"/>
              </w:rPr>
              <w:t>、总建筑面积五百平方米以上（不含本数）二千平方米以下的歌舞厅、录像厅、放映厅、卡拉</w:t>
            </w:r>
            <w:r>
              <w:rPr>
                <w:color w:val="000000"/>
                <w:kern w:val="0"/>
                <w:sz w:val="18"/>
                <w:szCs w:val="18"/>
              </w:rPr>
              <w:t>OK</w:t>
            </w:r>
            <w:r>
              <w:rPr>
                <w:rFonts w:hint="eastAsia"/>
                <w:color w:val="000000"/>
                <w:kern w:val="0"/>
                <w:sz w:val="18"/>
                <w:szCs w:val="18"/>
              </w:rPr>
              <w:t>厅、夜总会、游艺厅、桑拿浴室、网吧、酒吧，具有娱乐功能的餐馆、茶馆、咖啡厅；</w:t>
            </w:r>
          </w:p>
          <w:p w14:paraId="46A65D69">
            <w:pPr>
              <w:spacing w:line="200" w:lineRule="exact"/>
              <w:rPr>
                <w:color w:val="000000"/>
                <w:kern w:val="0"/>
                <w:sz w:val="18"/>
                <w:szCs w:val="18"/>
              </w:rPr>
            </w:pPr>
            <w:r>
              <w:rPr>
                <w:color w:val="000000"/>
                <w:kern w:val="0"/>
                <w:sz w:val="18"/>
                <w:szCs w:val="18"/>
              </w:rPr>
              <w:t>7</w:t>
            </w:r>
            <w:r>
              <w:rPr>
                <w:rFonts w:hint="eastAsia"/>
                <w:color w:val="000000"/>
                <w:kern w:val="0"/>
                <w:sz w:val="18"/>
                <w:szCs w:val="18"/>
              </w:rPr>
              <w:t>、国家机关办公楼、电力调度楼、电信楼、邮政楼、防灾指挥调度楼、广播电视楼、档案楼；</w:t>
            </w:r>
          </w:p>
          <w:p w14:paraId="3BE777B6">
            <w:pPr>
              <w:spacing w:line="200" w:lineRule="exact"/>
              <w:rPr>
                <w:color w:val="000000"/>
                <w:kern w:val="0"/>
                <w:sz w:val="18"/>
                <w:szCs w:val="18"/>
              </w:rPr>
            </w:pPr>
            <w:r>
              <w:rPr>
                <w:color w:val="000000"/>
                <w:kern w:val="0"/>
                <w:sz w:val="18"/>
                <w:szCs w:val="18"/>
              </w:rPr>
              <w:t>8</w:t>
            </w:r>
            <w:r>
              <w:rPr>
                <w:rFonts w:hint="eastAsia"/>
                <w:color w:val="000000"/>
                <w:kern w:val="0"/>
                <w:sz w:val="18"/>
                <w:szCs w:val="18"/>
              </w:rPr>
              <w:t>、三级加油站和其他总储量二千立方米以下的生产、储存易燃易爆危险物品的工厂、仓库；</w:t>
            </w:r>
          </w:p>
          <w:p w14:paraId="69E0E355">
            <w:pPr>
              <w:spacing w:line="200" w:lineRule="exact"/>
              <w:rPr>
                <w:color w:val="000000"/>
                <w:kern w:val="0"/>
                <w:sz w:val="18"/>
                <w:szCs w:val="18"/>
              </w:rPr>
            </w:pPr>
            <w:r>
              <w:rPr>
                <w:color w:val="000000"/>
                <w:kern w:val="0"/>
                <w:sz w:val="18"/>
                <w:szCs w:val="18"/>
              </w:rPr>
              <w:t>9</w:t>
            </w:r>
            <w:r>
              <w:rPr>
                <w:rFonts w:hint="eastAsia"/>
                <w:color w:val="000000"/>
                <w:kern w:val="0"/>
                <w:sz w:val="18"/>
                <w:szCs w:val="18"/>
              </w:rPr>
              <w:t>、装卸易燃易爆危险品专用车站、码头，易燃易爆气体和液体的充装站、供应站、调压站；</w:t>
            </w:r>
          </w:p>
          <w:p w14:paraId="795F0D0B">
            <w:pPr>
              <w:spacing w:line="200" w:lineRule="exact"/>
              <w:rPr>
                <w:color w:val="000000"/>
                <w:kern w:val="0"/>
                <w:sz w:val="18"/>
                <w:szCs w:val="18"/>
              </w:rPr>
            </w:pPr>
            <w:r>
              <w:rPr>
                <w:color w:val="000000"/>
                <w:kern w:val="0"/>
                <w:sz w:val="18"/>
                <w:szCs w:val="18"/>
              </w:rPr>
              <w:t>10</w:t>
            </w:r>
            <w:r>
              <w:rPr>
                <w:rFonts w:hint="eastAsia"/>
                <w:color w:val="000000"/>
                <w:kern w:val="0"/>
                <w:sz w:val="18"/>
                <w:szCs w:val="18"/>
              </w:rPr>
              <w:t>、总建筑面积三万平方米以下的国家标准规定的一类高层住宅。</w:t>
            </w:r>
          </w:p>
        </w:tc>
        <w:tc>
          <w:tcPr>
            <w:tcW w:w="1016" w:type="dxa"/>
            <w:vMerge w:val="restart"/>
            <w:vAlign w:val="center"/>
          </w:tcPr>
          <w:p w14:paraId="31A5F266">
            <w:pPr>
              <w:spacing w:line="200" w:lineRule="exact"/>
              <w:rPr>
                <w:color w:val="000000"/>
                <w:kern w:val="0"/>
                <w:sz w:val="18"/>
                <w:szCs w:val="18"/>
              </w:rPr>
            </w:pPr>
            <w:r>
              <w:rPr>
                <w:rFonts w:hint="eastAsia"/>
                <w:color w:val="000000"/>
                <w:kern w:val="0"/>
                <w:sz w:val="18"/>
                <w:szCs w:val="18"/>
              </w:rPr>
              <w:t>裁量幅度</w:t>
            </w:r>
          </w:p>
        </w:tc>
        <w:tc>
          <w:tcPr>
            <w:tcW w:w="5614" w:type="dxa"/>
            <w:vAlign w:val="center"/>
          </w:tcPr>
          <w:p w14:paraId="329DA54B">
            <w:pPr>
              <w:spacing w:line="260" w:lineRule="exact"/>
              <w:jc w:val="left"/>
              <w:rPr>
                <w:color w:val="000000"/>
                <w:kern w:val="0"/>
                <w:sz w:val="18"/>
                <w:szCs w:val="18"/>
              </w:rPr>
            </w:pPr>
            <w:r>
              <w:rPr>
                <w:rFonts w:hint="eastAsia"/>
                <w:color w:val="000000"/>
                <w:kern w:val="0"/>
                <w:sz w:val="18"/>
                <w:szCs w:val="18"/>
              </w:rPr>
              <w:t>处三万元以上十万元以下罚款</w:t>
            </w:r>
          </w:p>
        </w:tc>
      </w:tr>
      <w:tr w14:paraId="54A0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FABA607">
            <w:pPr>
              <w:spacing w:line="200" w:lineRule="exact"/>
              <w:rPr>
                <w:color w:val="000000"/>
                <w:kern w:val="0"/>
                <w:sz w:val="18"/>
                <w:szCs w:val="18"/>
              </w:rPr>
            </w:pPr>
          </w:p>
        </w:tc>
        <w:tc>
          <w:tcPr>
            <w:tcW w:w="6376" w:type="dxa"/>
            <w:vAlign w:val="center"/>
          </w:tcPr>
          <w:p w14:paraId="0F26F3E5">
            <w:pPr>
              <w:spacing w:line="240" w:lineRule="exact"/>
              <w:jc w:val="left"/>
              <w:rPr>
                <w:color w:val="000000"/>
                <w:kern w:val="0"/>
                <w:sz w:val="18"/>
                <w:szCs w:val="18"/>
              </w:rPr>
            </w:pPr>
            <w:r>
              <w:rPr>
                <w:rFonts w:hint="eastAsia"/>
                <w:color w:val="000000"/>
                <w:kern w:val="0"/>
                <w:sz w:val="18"/>
                <w:szCs w:val="18"/>
              </w:rPr>
              <w:t>符合下列情形的建设工程：</w:t>
            </w:r>
          </w:p>
          <w:p w14:paraId="0F95C983">
            <w:pPr>
              <w:spacing w:line="240" w:lineRule="exact"/>
              <w:jc w:val="left"/>
              <w:rPr>
                <w:color w:val="000000"/>
                <w:kern w:val="0"/>
                <w:sz w:val="18"/>
                <w:szCs w:val="18"/>
              </w:rPr>
            </w:pPr>
            <w:r>
              <w:rPr>
                <w:color w:val="000000"/>
                <w:kern w:val="0"/>
                <w:sz w:val="18"/>
                <w:szCs w:val="18"/>
              </w:rPr>
              <w:t>1</w:t>
            </w:r>
            <w:r>
              <w:rPr>
                <w:rFonts w:hint="eastAsia"/>
                <w:color w:val="000000"/>
                <w:kern w:val="0"/>
                <w:sz w:val="18"/>
                <w:szCs w:val="18"/>
              </w:rPr>
              <w:t>、总建筑面积三万平方米以上五万平方米以下的宾馆、饭店、商场、市场；</w:t>
            </w:r>
          </w:p>
          <w:p w14:paraId="630ADD50">
            <w:pPr>
              <w:spacing w:line="240" w:lineRule="exact"/>
              <w:jc w:val="left"/>
              <w:rPr>
                <w:color w:val="000000"/>
                <w:kern w:val="0"/>
                <w:sz w:val="18"/>
                <w:szCs w:val="18"/>
              </w:rPr>
            </w:pPr>
            <w:r>
              <w:rPr>
                <w:color w:val="000000"/>
                <w:kern w:val="0"/>
                <w:sz w:val="18"/>
                <w:szCs w:val="18"/>
              </w:rPr>
              <w:t>2</w:t>
            </w:r>
            <w:r>
              <w:rPr>
                <w:rFonts w:hint="eastAsia"/>
                <w:color w:val="000000"/>
                <w:kern w:val="0"/>
                <w:sz w:val="18"/>
                <w:szCs w:val="18"/>
              </w:rPr>
              <w:t>、总建筑面积五千平方米以上一万平方米以下的影剧院，公共图书馆的阅览室，营业性室内健身、休闲场馆，医院的门诊楼，大学的教学楼、图书馆、食堂，劳动密集型企业的生产加工车间，寺庙、教堂；</w:t>
            </w:r>
          </w:p>
          <w:p w14:paraId="6867ED91">
            <w:pPr>
              <w:spacing w:line="240" w:lineRule="exact"/>
              <w:jc w:val="left"/>
              <w:rPr>
                <w:color w:val="000000"/>
                <w:kern w:val="0"/>
                <w:sz w:val="18"/>
                <w:szCs w:val="18"/>
              </w:rPr>
            </w:pPr>
            <w:r>
              <w:rPr>
                <w:color w:val="000000"/>
                <w:kern w:val="0"/>
                <w:sz w:val="18"/>
                <w:szCs w:val="18"/>
              </w:rPr>
              <w:t>3</w:t>
            </w:r>
            <w:r>
              <w:rPr>
                <w:rFonts w:hint="eastAsia"/>
                <w:color w:val="000000"/>
                <w:kern w:val="0"/>
                <w:sz w:val="18"/>
                <w:szCs w:val="18"/>
              </w:rPr>
              <w:t>、总建筑面积三千平方米以上一万平方米以下的托儿所、幼儿园的儿童用房，儿童游乐厅等室内儿童活动场所，养老院、福利院，医院、疗养院的病房楼，中小学校的教学楼、图书馆、食堂，学校的集体宿舍，劳动密集型企业的员工集体宿舍；</w:t>
            </w:r>
          </w:p>
          <w:p w14:paraId="7E1AD8F4">
            <w:pPr>
              <w:spacing w:line="240" w:lineRule="exact"/>
              <w:jc w:val="left"/>
              <w:rPr>
                <w:color w:val="000000"/>
                <w:kern w:val="0"/>
                <w:sz w:val="18"/>
                <w:szCs w:val="18"/>
              </w:rPr>
            </w:pPr>
            <w:r>
              <w:rPr>
                <w:color w:val="000000"/>
                <w:kern w:val="0"/>
                <w:sz w:val="18"/>
                <w:szCs w:val="18"/>
              </w:rPr>
              <w:t>4</w:t>
            </w:r>
            <w:r>
              <w:rPr>
                <w:rFonts w:hint="eastAsia"/>
                <w:color w:val="000000"/>
                <w:kern w:val="0"/>
                <w:sz w:val="18"/>
                <w:szCs w:val="18"/>
              </w:rPr>
              <w:t>、总建筑面积二千平方米以上五千平方米以下的歌舞厅、录像厅、放映厅、卡拉</w:t>
            </w:r>
            <w:r>
              <w:rPr>
                <w:color w:val="000000"/>
                <w:kern w:val="0"/>
                <w:sz w:val="18"/>
                <w:szCs w:val="18"/>
              </w:rPr>
              <w:t>OK</w:t>
            </w:r>
            <w:r>
              <w:rPr>
                <w:rFonts w:hint="eastAsia"/>
                <w:color w:val="000000"/>
                <w:kern w:val="0"/>
                <w:sz w:val="18"/>
                <w:szCs w:val="18"/>
              </w:rPr>
              <w:t>厅、夜总会、游艺厅、桑拿浴室、网吧、酒吧，具有娱乐功能的餐馆、茶馆、咖啡厅；</w:t>
            </w:r>
          </w:p>
          <w:p w14:paraId="184FA6C3">
            <w:pPr>
              <w:spacing w:line="240" w:lineRule="exact"/>
              <w:jc w:val="left"/>
              <w:rPr>
                <w:color w:val="000000"/>
                <w:kern w:val="0"/>
                <w:sz w:val="18"/>
                <w:szCs w:val="18"/>
              </w:rPr>
            </w:pPr>
            <w:r>
              <w:rPr>
                <w:color w:val="000000"/>
                <w:kern w:val="0"/>
                <w:sz w:val="18"/>
                <w:szCs w:val="18"/>
              </w:rPr>
              <w:t>5</w:t>
            </w:r>
            <w:r>
              <w:rPr>
                <w:rFonts w:hint="eastAsia"/>
                <w:color w:val="000000"/>
                <w:kern w:val="0"/>
                <w:sz w:val="18"/>
                <w:szCs w:val="18"/>
              </w:rPr>
              <w:t>、单体建筑面积四万平方米以上（不含本数）或者建筑高度五十米以上（不含本数）的其他公共建筑；</w:t>
            </w:r>
          </w:p>
          <w:p w14:paraId="0A55EA34">
            <w:pPr>
              <w:spacing w:line="240" w:lineRule="exact"/>
              <w:jc w:val="left"/>
              <w:rPr>
                <w:color w:val="000000"/>
                <w:kern w:val="0"/>
                <w:sz w:val="18"/>
                <w:szCs w:val="18"/>
              </w:rPr>
            </w:pPr>
            <w:r>
              <w:rPr>
                <w:color w:val="000000"/>
                <w:kern w:val="0"/>
                <w:sz w:val="18"/>
                <w:szCs w:val="18"/>
              </w:rPr>
              <w:t>6</w:t>
            </w:r>
            <w:r>
              <w:rPr>
                <w:rFonts w:hint="eastAsia"/>
                <w:color w:val="000000"/>
                <w:kern w:val="0"/>
                <w:sz w:val="18"/>
                <w:szCs w:val="18"/>
              </w:rPr>
              <w:t>、城市轨道交通、隧道工程，大型发电、变配电工程；</w:t>
            </w:r>
          </w:p>
          <w:p w14:paraId="562DC705">
            <w:pPr>
              <w:spacing w:line="240" w:lineRule="exact"/>
              <w:jc w:val="left"/>
              <w:rPr>
                <w:color w:val="000000"/>
                <w:kern w:val="0"/>
                <w:sz w:val="18"/>
                <w:szCs w:val="18"/>
              </w:rPr>
            </w:pPr>
            <w:r>
              <w:rPr>
                <w:color w:val="000000"/>
                <w:kern w:val="0"/>
                <w:sz w:val="18"/>
                <w:szCs w:val="18"/>
              </w:rPr>
              <w:t>7</w:t>
            </w:r>
            <w:r>
              <w:rPr>
                <w:rFonts w:hint="eastAsia"/>
                <w:color w:val="000000"/>
                <w:kern w:val="0"/>
                <w:sz w:val="18"/>
                <w:szCs w:val="18"/>
              </w:rPr>
              <w:t>、二级加油站和其他总储量二千立方米以上五千立方米以下的生产、储存易燃易爆危险品的工厂、仓库；</w:t>
            </w:r>
          </w:p>
          <w:p w14:paraId="3DD609FC">
            <w:pPr>
              <w:spacing w:line="260" w:lineRule="exact"/>
              <w:jc w:val="left"/>
              <w:rPr>
                <w:color w:val="000000"/>
                <w:kern w:val="0"/>
                <w:sz w:val="18"/>
                <w:szCs w:val="18"/>
              </w:rPr>
            </w:pPr>
            <w:r>
              <w:rPr>
                <w:color w:val="000000"/>
                <w:kern w:val="0"/>
                <w:sz w:val="18"/>
                <w:szCs w:val="18"/>
              </w:rPr>
              <w:t>8</w:t>
            </w:r>
            <w:r>
              <w:rPr>
                <w:rFonts w:hint="eastAsia"/>
                <w:color w:val="000000"/>
                <w:kern w:val="0"/>
                <w:sz w:val="18"/>
                <w:szCs w:val="18"/>
              </w:rPr>
              <w:t>、总建筑面积三万平方米以上十万平方米以下的国家标准规定的一类高层住宅。</w:t>
            </w:r>
          </w:p>
        </w:tc>
        <w:tc>
          <w:tcPr>
            <w:tcW w:w="1016" w:type="dxa"/>
            <w:vMerge w:val="continue"/>
            <w:vAlign w:val="center"/>
          </w:tcPr>
          <w:p w14:paraId="18BFCB8E">
            <w:pPr>
              <w:spacing w:line="200" w:lineRule="exact"/>
              <w:rPr>
                <w:color w:val="000000"/>
                <w:kern w:val="0"/>
                <w:sz w:val="18"/>
                <w:szCs w:val="18"/>
              </w:rPr>
            </w:pPr>
          </w:p>
        </w:tc>
        <w:tc>
          <w:tcPr>
            <w:tcW w:w="5614" w:type="dxa"/>
            <w:vAlign w:val="center"/>
          </w:tcPr>
          <w:p w14:paraId="01BAF58D">
            <w:pPr>
              <w:spacing w:line="260" w:lineRule="exact"/>
              <w:jc w:val="left"/>
              <w:rPr>
                <w:color w:val="000000"/>
                <w:kern w:val="0"/>
                <w:sz w:val="18"/>
                <w:szCs w:val="18"/>
              </w:rPr>
            </w:pPr>
            <w:r>
              <w:rPr>
                <w:rFonts w:hint="eastAsia"/>
                <w:color w:val="000000"/>
                <w:kern w:val="0"/>
                <w:sz w:val="18"/>
                <w:szCs w:val="18"/>
              </w:rPr>
              <w:t>处十万元以上二十万元以下罚款</w:t>
            </w:r>
          </w:p>
        </w:tc>
      </w:tr>
      <w:tr w14:paraId="029D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606634A">
            <w:pPr>
              <w:spacing w:line="200" w:lineRule="exact"/>
              <w:rPr>
                <w:color w:val="000000"/>
                <w:kern w:val="0"/>
                <w:sz w:val="18"/>
                <w:szCs w:val="18"/>
              </w:rPr>
            </w:pPr>
          </w:p>
        </w:tc>
        <w:tc>
          <w:tcPr>
            <w:tcW w:w="6376" w:type="dxa"/>
            <w:vAlign w:val="center"/>
          </w:tcPr>
          <w:p w14:paraId="06F1A7FE">
            <w:pPr>
              <w:spacing w:line="240" w:lineRule="exact"/>
              <w:jc w:val="left"/>
              <w:rPr>
                <w:color w:val="000000"/>
                <w:kern w:val="0"/>
                <w:sz w:val="18"/>
                <w:szCs w:val="18"/>
              </w:rPr>
            </w:pPr>
            <w:r>
              <w:rPr>
                <w:rFonts w:hint="eastAsia"/>
                <w:color w:val="000000"/>
                <w:kern w:val="0"/>
                <w:sz w:val="18"/>
                <w:szCs w:val="18"/>
              </w:rPr>
              <w:t>符合下列情形的建设工程：</w:t>
            </w:r>
          </w:p>
          <w:p w14:paraId="49711C9C">
            <w:pPr>
              <w:spacing w:line="240" w:lineRule="exact"/>
              <w:jc w:val="left"/>
              <w:rPr>
                <w:color w:val="000000"/>
                <w:kern w:val="0"/>
                <w:sz w:val="18"/>
                <w:szCs w:val="18"/>
              </w:rPr>
            </w:pPr>
            <w:r>
              <w:rPr>
                <w:color w:val="000000"/>
                <w:kern w:val="0"/>
                <w:sz w:val="18"/>
                <w:szCs w:val="18"/>
              </w:rPr>
              <w:t>1</w:t>
            </w:r>
            <w:r>
              <w:rPr>
                <w:rFonts w:hint="eastAsia"/>
                <w:color w:val="000000"/>
                <w:kern w:val="0"/>
                <w:sz w:val="18"/>
                <w:szCs w:val="18"/>
              </w:rPr>
              <w:t>、总建筑面积五万平方米以上的宾馆、饭店、商场、市场；</w:t>
            </w:r>
          </w:p>
          <w:p w14:paraId="7DC33A1B">
            <w:pPr>
              <w:spacing w:line="240" w:lineRule="exact"/>
              <w:jc w:val="left"/>
              <w:rPr>
                <w:color w:val="000000"/>
                <w:kern w:val="0"/>
                <w:sz w:val="18"/>
                <w:szCs w:val="18"/>
              </w:rPr>
            </w:pPr>
            <w:r>
              <w:rPr>
                <w:color w:val="000000"/>
                <w:kern w:val="0"/>
                <w:sz w:val="18"/>
                <w:szCs w:val="18"/>
              </w:rPr>
              <w:t>2</w:t>
            </w:r>
            <w:r>
              <w:rPr>
                <w:rFonts w:hint="eastAsia"/>
                <w:color w:val="000000"/>
                <w:kern w:val="0"/>
                <w:sz w:val="18"/>
                <w:szCs w:val="18"/>
              </w:rPr>
              <w:t>、总建筑面积一万平方米以上的影剧院，公共图书馆的阅览室，营业性室内健身、休闲场馆，医院的门诊楼，大学的教学楼、图书馆、食堂，劳动密集型企业的生产加工车间，寺庙、教堂；</w:t>
            </w:r>
          </w:p>
          <w:p w14:paraId="711C990B">
            <w:pPr>
              <w:spacing w:line="240" w:lineRule="exact"/>
              <w:jc w:val="left"/>
              <w:rPr>
                <w:color w:val="000000"/>
                <w:kern w:val="0"/>
                <w:sz w:val="18"/>
                <w:szCs w:val="18"/>
              </w:rPr>
            </w:pPr>
            <w:r>
              <w:rPr>
                <w:color w:val="000000"/>
                <w:kern w:val="0"/>
                <w:sz w:val="18"/>
                <w:szCs w:val="18"/>
              </w:rPr>
              <w:t>3</w:t>
            </w:r>
            <w:r>
              <w:rPr>
                <w:rFonts w:hint="eastAsia"/>
                <w:color w:val="000000"/>
                <w:kern w:val="0"/>
                <w:sz w:val="18"/>
                <w:szCs w:val="18"/>
              </w:rPr>
              <w:t>、总建筑面积一万平方米以上的托儿所、幼儿园的儿童用房，儿童游乐厅等室内儿童活动场所，养老院、福利院，医院、疗养院的病房楼，中小学校的教学楼、图书馆、食堂，学校的集体宿舍，劳动密集型企业的员工集体宿舍；</w:t>
            </w:r>
          </w:p>
          <w:p w14:paraId="1996FFF8">
            <w:pPr>
              <w:spacing w:line="240" w:lineRule="exact"/>
              <w:jc w:val="left"/>
              <w:rPr>
                <w:color w:val="000000"/>
                <w:kern w:val="0"/>
                <w:sz w:val="18"/>
                <w:szCs w:val="18"/>
              </w:rPr>
            </w:pPr>
            <w:r>
              <w:rPr>
                <w:color w:val="000000"/>
                <w:kern w:val="0"/>
                <w:sz w:val="18"/>
                <w:szCs w:val="18"/>
              </w:rPr>
              <w:t>4</w:t>
            </w:r>
            <w:r>
              <w:rPr>
                <w:rFonts w:hint="eastAsia"/>
                <w:color w:val="000000"/>
                <w:kern w:val="0"/>
                <w:sz w:val="18"/>
                <w:szCs w:val="18"/>
              </w:rPr>
              <w:t>、总建筑面积五千平方米以上的歌舞厅、录像厅、放映厅、卡拉</w:t>
            </w:r>
            <w:r>
              <w:rPr>
                <w:color w:val="000000"/>
                <w:kern w:val="0"/>
                <w:sz w:val="18"/>
                <w:szCs w:val="18"/>
              </w:rPr>
              <w:t>OK</w:t>
            </w:r>
            <w:r>
              <w:rPr>
                <w:rFonts w:hint="eastAsia"/>
                <w:color w:val="000000"/>
                <w:kern w:val="0"/>
                <w:sz w:val="18"/>
                <w:szCs w:val="18"/>
              </w:rPr>
              <w:t>厅、夜总会、游艺厅、桑拿浴室、网吧、酒吧，具有娱乐功能的餐馆、茶馆、咖啡厅；</w:t>
            </w:r>
          </w:p>
          <w:p w14:paraId="1CD6536A">
            <w:pPr>
              <w:spacing w:line="240" w:lineRule="exact"/>
              <w:jc w:val="left"/>
              <w:rPr>
                <w:color w:val="000000"/>
                <w:kern w:val="0"/>
                <w:sz w:val="18"/>
                <w:szCs w:val="18"/>
              </w:rPr>
            </w:pPr>
            <w:r>
              <w:rPr>
                <w:color w:val="000000"/>
                <w:kern w:val="0"/>
                <w:sz w:val="18"/>
                <w:szCs w:val="18"/>
              </w:rPr>
              <w:t>5</w:t>
            </w:r>
            <w:r>
              <w:rPr>
                <w:rFonts w:hint="eastAsia"/>
                <w:color w:val="000000"/>
                <w:kern w:val="0"/>
                <w:sz w:val="18"/>
                <w:szCs w:val="18"/>
              </w:rPr>
              <w:t>、一级加油站和其他总储量五千立方米以上的生产、储存易燃易爆危险品的工厂、仓库；</w:t>
            </w:r>
          </w:p>
          <w:p w14:paraId="6DE11D7F">
            <w:pPr>
              <w:spacing w:line="260" w:lineRule="exact"/>
              <w:jc w:val="left"/>
              <w:rPr>
                <w:color w:val="000000"/>
                <w:kern w:val="0"/>
                <w:sz w:val="18"/>
                <w:szCs w:val="18"/>
              </w:rPr>
            </w:pPr>
            <w:r>
              <w:rPr>
                <w:color w:val="000000"/>
                <w:kern w:val="0"/>
                <w:sz w:val="18"/>
                <w:szCs w:val="18"/>
              </w:rPr>
              <w:t>6</w:t>
            </w:r>
            <w:r>
              <w:rPr>
                <w:rFonts w:hint="eastAsia"/>
                <w:color w:val="000000"/>
                <w:kern w:val="0"/>
                <w:sz w:val="18"/>
                <w:szCs w:val="18"/>
              </w:rPr>
              <w:t>、总建筑面积十万平方米以上的国家标准规定的一类高层住宅。</w:t>
            </w:r>
          </w:p>
        </w:tc>
        <w:tc>
          <w:tcPr>
            <w:tcW w:w="1016" w:type="dxa"/>
            <w:vMerge w:val="continue"/>
            <w:vAlign w:val="center"/>
          </w:tcPr>
          <w:p w14:paraId="23BBF8AC">
            <w:pPr>
              <w:spacing w:line="200" w:lineRule="exact"/>
              <w:rPr>
                <w:color w:val="000000"/>
                <w:kern w:val="0"/>
                <w:sz w:val="18"/>
                <w:szCs w:val="18"/>
              </w:rPr>
            </w:pPr>
          </w:p>
        </w:tc>
        <w:tc>
          <w:tcPr>
            <w:tcW w:w="5614" w:type="dxa"/>
            <w:vAlign w:val="center"/>
          </w:tcPr>
          <w:p w14:paraId="39D34734">
            <w:pPr>
              <w:spacing w:line="260" w:lineRule="exact"/>
              <w:jc w:val="left"/>
              <w:rPr>
                <w:color w:val="000000"/>
                <w:kern w:val="0"/>
                <w:sz w:val="18"/>
                <w:szCs w:val="18"/>
              </w:rPr>
            </w:pPr>
            <w:r>
              <w:rPr>
                <w:rFonts w:hint="eastAsia"/>
                <w:color w:val="000000"/>
                <w:kern w:val="0"/>
                <w:sz w:val="18"/>
                <w:szCs w:val="18"/>
              </w:rPr>
              <w:t>处二十万元以上三十万元以下罚款</w:t>
            </w:r>
          </w:p>
        </w:tc>
      </w:tr>
    </w:tbl>
    <w:p w14:paraId="691039E8"/>
    <w:p w14:paraId="285B583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97B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56CCDD7">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7C0A4AC">
            <w:pPr>
              <w:spacing w:line="320" w:lineRule="exact"/>
              <w:jc w:val="left"/>
              <w:rPr>
                <w:rFonts w:eastAsia="仿宋_GB2312"/>
                <w:b/>
                <w:bCs/>
                <w:color w:val="000000"/>
                <w:kern w:val="0"/>
                <w:sz w:val="18"/>
                <w:szCs w:val="18"/>
              </w:rPr>
            </w:pPr>
            <w:r>
              <w:rPr>
                <w:rFonts w:eastAsia="仿宋_GB2312"/>
                <w:b/>
                <w:bCs/>
                <w:color w:val="000000"/>
                <w:kern w:val="0"/>
                <w:sz w:val="18"/>
                <w:szCs w:val="18"/>
              </w:rPr>
              <w:t>320217763000</w:t>
            </w:r>
          </w:p>
        </w:tc>
      </w:tr>
      <w:tr w14:paraId="540C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9CF9DC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4F06EE6">
            <w:pPr>
              <w:spacing w:line="320" w:lineRule="exact"/>
              <w:jc w:val="left"/>
              <w:rPr>
                <w:color w:val="000000"/>
                <w:spacing w:val="-6"/>
                <w:kern w:val="0"/>
                <w:sz w:val="18"/>
                <w:szCs w:val="18"/>
              </w:rPr>
            </w:pPr>
            <w:r>
              <w:rPr>
                <w:rFonts w:hint="eastAsia"/>
                <w:color w:val="000000"/>
                <w:spacing w:val="-6"/>
                <w:kern w:val="0"/>
                <w:sz w:val="18"/>
                <w:szCs w:val="18"/>
              </w:rPr>
              <w:t>对依法应当进行消防验收的建设工程未经消防验收或者消防验收不合格擅自投入使用的处罚</w:t>
            </w:r>
          </w:p>
        </w:tc>
      </w:tr>
      <w:tr w14:paraId="15B6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776C63E9">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8C1452F">
            <w:pPr>
              <w:spacing w:line="320" w:lineRule="exact"/>
              <w:jc w:val="left"/>
              <w:rPr>
                <w:color w:val="000000"/>
                <w:kern w:val="0"/>
                <w:sz w:val="18"/>
                <w:szCs w:val="18"/>
              </w:rPr>
            </w:pPr>
            <w:r>
              <w:rPr>
                <w:rFonts w:hint="eastAsia"/>
                <w:color w:val="000000"/>
                <w:kern w:val="0"/>
                <w:sz w:val="18"/>
                <w:szCs w:val="18"/>
              </w:rPr>
              <w:t>【法律】《中华人民共和国消防法》</w:t>
            </w:r>
          </w:p>
          <w:p w14:paraId="15C2C760">
            <w:pPr>
              <w:spacing w:line="320" w:lineRule="exact"/>
              <w:jc w:val="left"/>
              <w:rPr>
                <w:color w:val="000000"/>
                <w:kern w:val="0"/>
                <w:sz w:val="18"/>
                <w:szCs w:val="18"/>
              </w:rPr>
            </w:pPr>
            <w:r>
              <w:rPr>
                <w:rFonts w:hint="eastAsia"/>
                <w:color w:val="000000"/>
                <w:kern w:val="0"/>
                <w:sz w:val="18"/>
                <w:szCs w:val="18"/>
              </w:rPr>
              <w:t>第十三条第三款</w:t>
            </w:r>
            <w:r>
              <w:rPr>
                <w:color w:val="000000"/>
                <w:kern w:val="0"/>
                <w:sz w:val="18"/>
                <w:szCs w:val="18"/>
              </w:rPr>
              <w:t xml:space="preserve">  </w:t>
            </w:r>
            <w:r>
              <w:rPr>
                <w:rFonts w:hint="eastAsia"/>
                <w:color w:val="000000"/>
                <w:kern w:val="0"/>
                <w:sz w:val="18"/>
                <w:szCs w:val="18"/>
              </w:rPr>
              <w:t>依法应当进行消防验收的建设工程，未经消防验收或者消防验收不合格的，禁止投入使用；其他建设工程经依法抽查不合格的，应当停止使用。</w:t>
            </w:r>
          </w:p>
          <w:p w14:paraId="4097B1FE">
            <w:pPr>
              <w:spacing w:line="320" w:lineRule="exact"/>
              <w:jc w:val="left"/>
              <w:rPr>
                <w:color w:val="000000"/>
                <w:kern w:val="0"/>
                <w:sz w:val="18"/>
                <w:szCs w:val="18"/>
              </w:rPr>
            </w:pPr>
            <w:r>
              <w:rPr>
                <w:rFonts w:hint="eastAsia"/>
                <w:color w:val="000000"/>
                <w:kern w:val="0"/>
                <w:sz w:val="18"/>
                <w:szCs w:val="18"/>
              </w:rPr>
              <w:t>　第五十八条　违反本法规定，有下列行为之一的，由住房和城乡建设主管部门、消防救援机构按照各自职权责令停止施工、停止使用或者停产停业，并处三万元以上三十万元以下罚款：</w:t>
            </w:r>
          </w:p>
          <w:p w14:paraId="65AA87DA">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依法应当进行消防验收的建设工程，未经消防验收或者消防验收不合格，擅自投入使用的</w:t>
            </w:r>
            <w:r>
              <w:rPr>
                <w:color w:val="000000"/>
                <w:kern w:val="0"/>
                <w:sz w:val="18"/>
                <w:szCs w:val="18"/>
              </w:rPr>
              <w:t>;</w:t>
            </w:r>
          </w:p>
        </w:tc>
      </w:tr>
      <w:tr w14:paraId="12AD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3F3949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2D19FDE">
            <w:pPr>
              <w:spacing w:line="320" w:lineRule="exact"/>
              <w:jc w:val="left"/>
              <w:rPr>
                <w:color w:val="000000"/>
                <w:kern w:val="0"/>
                <w:sz w:val="18"/>
                <w:szCs w:val="18"/>
              </w:rPr>
            </w:pPr>
            <w:r>
              <w:rPr>
                <w:rFonts w:hint="eastAsia"/>
                <w:color w:val="000000"/>
                <w:kern w:val="0"/>
                <w:sz w:val="18"/>
                <w:szCs w:val="18"/>
              </w:rPr>
              <w:t>责令停止使用，罚款</w:t>
            </w:r>
          </w:p>
        </w:tc>
      </w:tr>
      <w:tr w14:paraId="7B31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CB94CA4">
            <w:pPr>
              <w:tabs>
                <w:tab w:val="left" w:pos="7863"/>
              </w:tabs>
              <w:spacing w:line="320" w:lineRule="exact"/>
              <w:jc w:val="center"/>
              <w:rPr>
                <w:color w:val="000000"/>
                <w:kern w:val="0"/>
                <w:sz w:val="18"/>
                <w:szCs w:val="18"/>
              </w:rPr>
            </w:pPr>
            <w:r>
              <w:rPr>
                <w:rFonts w:hint="eastAsia"/>
                <w:color w:val="000000"/>
                <w:kern w:val="0"/>
                <w:sz w:val="18"/>
                <w:szCs w:val="18"/>
              </w:rPr>
              <w:t>裁量基准</w:t>
            </w:r>
          </w:p>
        </w:tc>
      </w:tr>
      <w:tr w14:paraId="1496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1010" w:type="dxa"/>
            <w:vAlign w:val="center"/>
          </w:tcPr>
          <w:p w14:paraId="00ADF0CD">
            <w:pPr>
              <w:rPr>
                <w:color w:val="000000"/>
                <w:kern w:val="0"/>
                <w:sz w:val="18"/>
                <w:szCs w:val="18"/>
              </w:rPr>
            </w:pPr>
            <w:r>
              <w:rPr>
                <w:rFonts w:hint="eastAsia"/>
                <w:color w:val="000000"/>
                <w:kern w:val="0"/>
                <w:sz w:val="18"/>
                <w:szCs w:val="18"/>
              </w:rPr>
              <w:t>情形描述</w:t>
            </w:r>
          </w:p>
        </w:tc>
        <w:tc>
          <w:tcPr>
            <w:tcW w:w="6376" w:type="dxa"/>
            <w:vAlign w:val="center"/>
          </w:tcPr>
          <w:p w14:paraId="097B221C">
            <w:pPr>
              <w:rPr>
                <w:color w:val="000000"/>
                <w:kern w:val="0"/>
                <w:sz w:val="18"/>
                <w:szCs w:val="18"/>
              </w:rPr>
            </w:pPr>
            <w:r>
              <w:rPr>
                <w:rFonts w:hint="eastAsia"/>
                <w:color w:val="000000"/>
                <w:kern w:val="0"/>
                <w:sz w:val="18"/>
                <w:szCs w:val="18"/>
              </w:rPr>
              <w:t>同上</w:t>
            </w:r>
          </w:p>
        </w:tc>
        <w:tc>
          <w:tcPr>
            <w:tcW w:w="1016" w:type="dxa"/>
            <w:vAlign w:val="center"/>
          </w:tcPr>
          <w:p w14:paraId="5FD56BB2">
            <w:pPr>
              <w:rPr>
                <w:color w:val="000000"/>
                <w:kern w:val="0"/>
                <w:sz w:val="18"/>
                <w:szCs w:val="18"/>
              </w:rPr>
            </w:pPr>
            <w:r>
              <w:rPr>
                <w:rFonts w:hint="eastAsia"/>
                <w:color w:val="000000"/>
                <w:kern w:val="0"/>
                <w:sz w:val="18"/>
                <w:szCs w:val="18"/>
              </w:rPr>
              <w:t>裁量幅度</w:t>
            </w:r>
          </w:p>
        </w:tc>
        <w:tc>
          <w:tcPr>
            <w:tcW w:w="5614" w:type="dxa"/>
            <w:vAlign w:val="center"/>
          </w:tcPr>
          <w:p w14:paraId="3C7F06CE">
            <w:pPr>
              <w:rPr>
                <w:color w:val="000000"/>
                <w:kern w:val="0"/>
                <w:sz w:val="18"/>
                <w:szCs w:val="18"/>
              </w:rPr>
            </w:pPr>
            <w:r>
              <w:rPr>
                <w:rFonts w:hint="eastAsia"/>
                <w:color w:val="000000"/>
                <w:kern w:val="0"/>
                <w:sz w:val="18"/>
                <w:szCs w:val="18"/>
              </w:rPr>
              <w:t>同上</w:t>
            </w:r>
          </w:p>
        </w:tc>
      </w:tr>
    </w:tbl>
    <w:p w14:paraId="641BE1B7"/>
    <w:p w14:paraId="214C23A6"/>
    <w:p w14:paraId="7D6F5101"/>
    <w:p w14:paraId="4EC23415"/>
    <w:p w14:paraId="7B49D07F"/>
    <w:p w14:paraId="6F1D4009"/>
    <w:p w14:paraId="1D2A37F4"/>
    <w:p w14:paraId="4F0FE840"/>
    <w:p w14:paraId="66E14A73"/>
    <w:p w14:paraId="1F32EA5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10B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81B4ED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DF7802B">
            <w:pPr>
              <w:spacing w:line="320" w:lineRule="exact"/>
              <w:jc w:val="left"/>
              <w:rPr>
                <w:rFonts w:eastAsia="仿宋_GB2312"/>
                <w:b/>
                <w:bCs/>
                <w:color w:val="000000"/>
                <w:kern w:val="0"/>
                <w:sz w:val="18"/>
                <w:szCs w:val="18"/>
              </w:rPr>
            </w:pPr>
            <w:r>
              <w:rPr>
                <w:rFonts w:eastAsia="仿宋_GB2312"/>
                <w:b/>
                <w:bCs/>
                <w:color w:val="000000"/>
                <w:kern w:val="0"/>
                <w:sz w:val="18"/>
                <w:szCs w:val="18"/>
              </w:rPr>
              <w:t>320217764000</w:t>
            </w:r>
          </w:p>
        </w:tc>
      </w:tr>
      <w:tr w14:paraId="5C84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BF6D51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CDDBC24">
            <w:pPr>
              <w:spacing w:line="320" w:lineRule="exact"/>
              <w:jc w:val="left"/>
              <w:rPr>
                <w:color w:val="000000"/>
                <w:spacing w:val="-6"/>
                <w:kern w:val="0"/>
                <w:sz w:val="18"/>
                <w:szCs w:val="18"/>
              </w:rPr>
            </w:pPr>
            <w:r>
              <w:rPr>
                <w:rFonts w:hint="eastAsia"/>
                <w:color w:val="000000"/>
                <w:spacing w:val="-6"/>
                <w:kern w:val="0"/>
                <w:sz w:val="18"/>
                <w:szCs w:val="18"/>
              </w:rPr>
              <w:t>对建设工程验收后经依法抽查不合格不停止使用的处罚</w:t>
            </w:r>
          </w:p>
        </w:tc>
      </w:tr>
      <w:tr w14:paraId="13D6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6E8F4F6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7E53B3D4">
            <w:pPr>
              <w:spacing w:line="320" w:lineRule="exact"/>
              <w:jc w:val="left"/>
              <w:rPr>
                <w:color w:val="000000"/>
                <w:kern w:val="0"/>
                <w:sz w:val="18"/>
                <w:szCs w:val="18"/>
              </w:rPr>
            </w:pPr>
            <w:r>
              <w:rPr>
                <w:rFonts w:hint="eastAsia"/>
                <w:color w:val="000000"/>
                <w:kern w:val="0"/>
                <w:sz w:val="18"/>
                <w:szCs w:val="18"/>
              </w:rPr>
              <w:t>【法律】《中华人民共和国消防法》</w:t>
            </w:r>
          </w:p>
          <w:p w14:paraId="7C20D53A">
            <w:pPr>
              <w:spacing w:line="320" w:lineRule="exact"/>
              <w:jc w:val="left"/>
              <w:rPr>
                <w:color w:val="000000"/>
                <w:kern w:val="0"/>
                <w:sz w:val="18"/>
                <w:szCs w:val="18"/>
              </w:rPr>
            </w:pPr>
            <w:r>
              <w:rPr>
                <w:rFonts w:hint="eastAsia"/>
                <w:color w:val="000000"/>
                <w:kern w:val="0"/>
                <w:sz w:val="18"/>
                <w:szCs w:val="18"/>
              </w:rPr>
              <w:t>第十三条第三款</w:t>
            </w:r>
            <w:r>
              <w:rPr>
                <w:color w:val="000000"/>
                <w:kern w:val="0"/>
                <w:sz w:val="18"/>
                <w:szCs w:val="18"/>
              </w:rPr>
              <w:t xml:space="preserve"> </w:t>
            </w:r>
            <w:r>
              <w:rPr>
                <w:rFonts w:hint="eastAsia"/>
                <w:color w:val="000000"/>
                <w:kern w:val="0"/>
                <w:sz w:val="18"/>
                <w:szCs w:val="18"/>
              </w:rPr>
              <w:t>依法应当进行消防验收的建设工程，未经消防验收或者消防验收不合格的，禁止投入使用</w:t>
            </w:r>
            <w:r>
              <w:rPr>
                <w:color w:val="000000"/>
                <w:kern w:val="0"/>
                <w:sz w:val="18"/>
                <w:szCs w:val="18"/>
              </w:rPr>
              <w:t>;</w:t>
            </w:r>
            <w:r>
              <w:rPr>
                <w:rFonts w:hint="eastAsia"/>
                <w:color w:val="000000"/>
                <w:kern w:val="0"/>
                <w:sz w:val="18"/>
                <w:szCs w:val="18"/>
              </w:rPr>
              <w:t>其他建设工程经依法抽查不合格的，应当停止使用。</w:t>
            </w:r>
          </w:p>
          <w:p w14:paraId="57BBBDD9">
            <w:pPr>
              <w:spacing w:line="320" w:lineRule="exact"/>
              <w:jc w:val="left"/>
              <w:rPr>
                <w:color w:val="000000"/>
                <w:kern w:val="0"/>
                <w:sz w:val="18"/>
                <w:szCs w:val="18"/>
              </w:rPr>
            </w:pPr>
            <w:r>
              <w:rPr>
                <w:rFonts w:hint="eastAsia"/>
                <w:color w:val="000000"/>
                <w:kern w:val="0"/>
                <w:sz w:val="18"/>
                <w:szCs w:val="18"/>
              </w:rPr>
              <w:t>　第五十八条　违反本法规定，有下列行为之一的，由住房和城乡建设主管部门、消防救援机构按照各自职权责令停止施工、停止使用或者停产停业，并处三万元以上三十万元以下罚款：</w:t>
            </w:r>
          </w:p>
          <w:p w14:paraId="51C6BCE6">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本法第十三条规定的其他建设工程验收后经依法抽查不合格，不停止使用的</w:t>
            </w:r>
            <w:r>
              <w:rPr>
                <w:color w:val="000000"/>
                <w:kern w:val="0"/>
                <w:sz w:val="18"/>
                <w:szCs w:val="18"/>
              </w:rPr>
              <w:t>;</w:t>
            </w:r>
          </w:p>
        </w:tc>
      </w:tr>
      <w:tr w14:paraId="797C0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86B360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BC0605E">
            <w:pPr>
              <w:spacing w:line="320" w:lineRule="exact"/>
              <w:jc w:val="left"/>
              <w:rPr>
                <w:color w:val="000000"/>
                <w:kern w:val="0"/>
                <w:sz w:val="18"/>
                <w:szCs w:val="18"/>
              </w:rPr>
            </w:pPr>
            <w:r>
              <w:rPr>
                <w:rFonts w:hint="eastAsia"/>
                <w:color w:val="000000"/>
                <w:kern w:val="0"/>
                <w:sz w:val="18"/>
                <w:szCs w:val="18"/>
              </w:rPr>
              <w:t>责令停止使用，罚款</w:t>
            </w:r>
          </w:p>
        </w:tc>
      </w:tr>
      <w:tr w14:paraId="5D63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4016" w:type="dxa"/>
            <w:gridSpan w:val="4"/>
            <w:vAlign w:val="center"/>
          </w:tcPr>
          <w:p w14:paraId="0F26DF4B">
            <w:pPr>
              <w:spacing w:line="320" w:lineRule="exact"/>
              <w:jc w:val="center"/>
              <w:rPr>
                <w:color w:val="000000"/>
                <w:kern w:val="0"/>
                <w:sz w:val="18"/>
                <w:szCs w:val="18"/>
              </w:rPr>
            </w:pPr>
            <w:r>
              <w:rPr>
                <w:rFonts w:hint="eastAsia"/>
                <w:color w:val="000000"/>
                <w:kern w:val="0"/>
                <w:sz w:val="18"/>
                <w:szCs w:val="18"/>
              </w:rPr>
              <w:t>裁量基准</w:t>
            </w:r>
          </w:p>
        </w:tc>
      </w:tr>
      <w:tr w14:paraId="0B54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A2B67E5">
            <w:pPr>
              <w:rPr>
                <w:color w:val="000000"/>
                <w:kern w:val="0"/>
                <w:sz w:val="18"/>
                <w:szCs w:val="18"/>
              </w:rPr>
            </w:pPr>
            <w:r>
              <w:rPr>
                <w:rFonts w:hint="eastAsia"/>
                <w:color w:val="000000"/>
                <w:kern w:val="0"/>
                <w:sz w:val="18"/>
                <w:szCs w:val="18"/>
              </w:rPr>
              <w:t>情形描述</w:t>
            </w:r>
          </w:p>
        </w:tc>
        <w:tc>
          <w:tcPr>
            <w:tcW w:w="6376" w:type="dxa"/>
            <w:vAlign w:val="center"/>
          </w:tcPr>
          <w:p w14:paraId="0F18E433">
            <w:pPr>
              <w:spacing w:line="320" w:lineRule="exact"/>
              <w:rPr>
                <w:color w:val="000000"/>
                <w:kern w:val="0"/>
                <w:sz w:val="18"/>
                <w:szCs w:val="18"/>
              </w:rPr>
            </w:pPr>
            <w:r>
              <w:rPr>
                <w:rFonts w:hint="eastAsia"/>
                <w:color w:val="000000"/>
                <w:kern w:val="0"/>
                <w:sz w:val="18"/>
                <w:szCs w:val="18"/>
              </w:rPr>
              <w:t>符合下列情形的建设工程：总建筑面积二万平方米以下（含本数）的体育馆、会堂，二千五百平方米以下（含本数）的影剧院，五百平方米以下（含本数）的其他公共娱乐场所，五千平方米以下的宾馆、饭店、商场、市场，其他多层民用建筑，三万平方米以下的非劳动密集型生产车间、库房，一万五千平方米以下的民用机场航站楼、客运车站候车室、客运码头候船厅；对其他场所或者工程。</w:t>
            </w:r>
          </w:p>
        </w:tc>
        <w:tc>
          <w:tcPr>
            <w:tcW w:w="1016" w:type="dxa"/>
            <w:vMerge w:val="restart"/>
            <w:vAlign w:val="center"/>
          </w:tcPr>
          <w:p w14:paraId="48D64E40">
            <w:pPr>
              <w:rPr>
                <w:color w:val="000000"/>
                <w:kern w:val="0"/>
                <w:sz w:val="18"/>
                <w:szCs w:val="18"/>
              </w:rPr>
            </w:pPr>
            <w:r>
              <w:rPr>
                <w:rFonts w:hint="eastAsia"/>
                <w:color w:val="000000"/>
                <w:kern w:val="0"/>
                <w:sz w:val="18"/>
                <w:szCs w:val="18"/>
              </w:rPr>
              <w:t>裁量幅度</w:t>
            </w:r>
          </w:p>
        </w:tc>
        <w:tc>
          <w:tcPr>
            <w:tcW w:w="5614" w:type="dxa"/>
            <w:vAlign w:val="center"/>
          </w:tcPr>
          <w:p w14:paraId="09CB9050">
            <w:pPr>
              <w:rPr>
                <w:color w:val="000000"/>
                <w:kern w:val="0"/>
                <w:sz w:val="18"/>
                <w:szCs w:val="18"/>
              </w:rPr>
            </w:pPr>
            <w:r>
              <w:rPr>
                <w:rFonts w:hint="eastAsia"/>
                <w:color w:val="000000"/>
                <w:kern w:val="0"/>
                <w:sz w:val="18"/>
                <w:szCs w:val="18"/>
              </w:rPr>
              <w:t>处三万元以上十万元以下罚款</w:t>
            </w:r>
          </w:p>
        </w:tc>
      </w:tr>
      <w:tr w14:paraId="4DE5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010" w:type="dxa"/>
            <w:vMerge w:val="continue"/>
            <w:vAlign w:val="center"/>
          </w:tcPr>
          <w:p w14:paraId="382EDF26">
            <w:pPr>
              <w:spacing w:line="320" w:lineRule="exact"/>
              <w:jc w:val="left"/>
              <w:rPr>
                <w:color w:val="000000"/>
                <w:kern w:val="0"/>
                <w:sz w:val="18"/>
                <w:szCs w:val="18"/>
              </w:rPr>
            </w:pPr>
          </w:p>
        </w:tc>
        <w:tc>
          <w:tcPr>
            <w:tcW w:w="6376" w:type="dxa"/>
            <w:vAlign w:val="center"/>
          </w:tcPr>
          <w:p w14:paraId="0EA1B521">
            <w:pPr>
              <w:spacing w:line="320" w:lineRule="exact"/>
              <w:jc w:val="left"/>
              <w:rPr>
                <w:color w:val="000000"/>
                <w:kern w:val="0"/>
                <w:sz w:val="18"/>
                <w:szCs w:val="18"/>
              </w:rPr>
            </w:pPr>
            <w:r>
              <w:rPr>
                <w:rFonts w:hint="eastAsia"/>
                <w:color w:val="000000"/>
                <w:kern w:val="0"/>
                <w:sz w:val="18"/>
                <w:szCs w:val="18"/>
              </w:rPr>
              <w:t>符合下列情形的建设工程：其他高层民用建筑，总建筑面积五千平方米以上一万平方米以下（含本数）的宾馆、饭店、商场、市场，三万平方米以上五万平方米以下的非劳动密集型生产车间、库房；</w:t>
            </w:r>
          </w:p>
        </w:tc>
        <w:tc>
          <w:tcPr>
            <w:tcW w:w="1016" w:type="dxa"/>
            <w:vMerge w:val="continue"/>
            <w:vAlign w:val="center"/>
          </w:tcPr>
          <w:p w14:paraId="01A5CED5">
            <w:pPr>
              <w:spacing w:line="320" w:lineRule="exact"/>
              <w:jc w:val="left"/>
              <w:rPr>
                <w:color w:val="000000"/>
                <w:kern w:val="0"/>
                <w:sz w:val="18"/>
                <w:szCs w:val="18"/>
              </w:rPr>
            </w:pPr>
          </w:p>
        </w:tc>
        <w:tc>
          <w:tcPr>
            <w:tcW w:w="5614" w:type="dxa"/>
            <w:vAlign w:val="center"/>
          </w:tcPr>
          <w:p w14:paraId="4FFCDF5C">
            <w:pPr>
              <w:rPr>
                <w:color w:val="000000"/>
                <w:kern w:val="0"/>
                <w:sz w:val="18"/>
                <w:szCs w:val="18"/>
              </w:rPr>
            </w:pPr>
            <w:r>
              <w:rPr>
                <w:rFonts w:hint="eastAsia"/>
                <w:color w:val="000000"/>
                <w:kern w:val="0"/>
                <w:sz w:val="18"/>
                <w:szCs w:val="18"/>
              </w:rPr>
              <w:t>处十万元以上二十万元以下罚款</w:t>
            </w:r>
          </w:p>
        </w:tc>
      </w:tr>
      <w:tr w14:paraId="3652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010" w:type="dxa"/>
            <w:vMerge w:val="continue"/>
            <w:vAlign w:val="center"/>
          </w:tcPr>
          <w:p w14:paraId="141761A7">
            <w:pPr>
              <w:spacing w:line="320" w:lineRule="exact"/>
              <w:jc w:val="left"/>
              <w:rPr>
                <w:color w:val="000000"/>
                <w:kern w:val="0"/>
                <w:sz w:val="18"/>
                <w:szCs w:val="18"/>
              </w:rPr>
            </w:pPr>
          </w:p>
        </w:tc>
        <w:tc>
          <w:tcPr>
            <w:tcW w:w="6376" w:type="dxa"/>
            <w:vAlign w:val="center"/>
          </w:tcPr>
          <w:p w14:paraId="1505C2E6">
            <w:pPr>
              <w:spacing w:line="320" w:lineRule="exact"/>
              <w:jc w:val="left"/>
              <w:rPr>
                <w:color w:val="000000"/>
                <w:kern w:val="0"/>
                <w:sz w:val="18"/>
                <w:szCs w:val="18"/>
              </w:rPr>
            </w:pPr>
            <w:r>
              <w:rPr>
                <w:rFonts w:hint="eastAsia"/>
                <w:color w:val="000000"/>
                <w:kern w:val="0"/>
                <w:sz w:val="18"/>
                <w:szCs w:val="18"/>
              </w:rPr>
              <w:t>符合下列情形的建设工程：总建筑面积五万平方米以上的非劳动密集型生产车间、库房。</w:t>
            </w:r>
          </w:p>
        </w:tc>
        <w:tc>
          <w:tcPr>
            <w:tcW w:w="1016" w:type="dxa"/>
            <w:vMerge w:val="continue"/>
            <w:vAlign w:val="center"/>
          </w:tcPr>
          <w:p w14:paraId="2707E262">
            <w:pPr>
              <w:spacing w:line="320" w:lineRule="exact"/>
              <w:jc w:val="left"/>
              <w:rPr>
                <w:color w:val="000000"/>
                <w:kern w:val="0"/>
                <w:sz w:val="18"/>
                <w:szCs w:val="18"/>
              </w:rPr>
            </w:pPr>
          </w:p>
        </w:tc>
        <w:tc>
          <w:tcPr>
            <w:tcW w:w="5614" w:type="dxa"/>
            <w:vAlign w:val="center"/>
          </w:tcPr>
          <w:p w14:paraId="2346C8DE">
            <w:pPr>
              <w:rPr>
                <w:color w:val="000000"/>
                <w:kern w:val="0"/>
                <w:sz w:val="18"/>
                <w:szCs w:val="18"/>
              </w:rPr>
            </w:pPr>
            <w:r>
              <w:rPr>
                <w:rFonts w:hint="eastAsia"/>
                <w:color w:val="000000"/>
                <w:kern w:val="0"/>
                <w:sz w:val="18"/>
                <w:szCs w:val="18"/>
              </w:rPr>
              <w:t>处二十万元以上三十万元以下罚款</w:t>
            </w:r>
          </w:p>
        </w:tc>
      </w:tr>
    </w:tbl>
    <w:p w14:paraId="48CE1259"/>
    <w:p w14:paraId="3930044A"/>
    <w:p w14:paraId="7A60631C"/>
    <w:p w14:paraId="3574B3D2"/>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20E8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00EC3E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1E8C124">
            <w:pPr>
              <w:spacing w:line="320" w:lineRule="exact"/>
              <w:jc w:val="left"/>
              <w:rPr>
                <w:rFonts w:eastAsia="仿宋_GB2312"/>
                <w:b/>
                <w:bCs/>
                <w:color w:val="000000"/>
                <w:kern w:val="0"/>
                <w:sz w:val="18"/>
                <w:szCs w:val="18"/>
              </w:rPr>
            </w:pPr>
            <w:r>
              <w:rPr>
                <w:rFonts w:eastAsia="仿宋_GB2312"/>
                <w:b/>
                <w:bCs/>
                <w:color w:val="000000"/>
                <w:kern w:val="0"/>
                <w:sz w:val="18"/>
                <w:szCs w:val="18"/>
              </w:rPr>
              <w:t>320217765000</w:t>
            </w:r>
          </w:p>
        </w:tc>
      </w:tr>
      <w:tr w14:paraId="22E3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C238B2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0653632E">
            <w:pPr>
              <w:spacing w:line="320" w:lineRule="exact"/>
              <w:jc w:val="left"/>
              <w:rPr>
                <w:color w:val="000000"/>
                <w:spacing w:val="-6"/>
                <w:kern w:val="0"/>
                <w:sz w:val="18"/>
                <w:szCs w:val="18"/>
              </w:rPr>
            </w:pPr>
            <w:r>
              <w:rPr>
                <w:rFonts w:hint="eastAsia"/>
                <w:color w:val="000000"/>
                <w:spacing w:val="-6"/>
                <w:kern w:val="0"/>
                <w:sz w:val="18"/>
                <w:szCs w:val="18"/>
              </w:rPr>
              <w:t>对建设单位未依照规定进行竣工消防验收备案的处罚</w:t>
            </w:r>
          </w:p>
        </w:tc>
      </w:tr>
      <w:tr w14:paraId="2B8A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05AD9066">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DF55DDD">
            <w:pPr>
              <w:spacing w:line="320" w:lineRule="exact"/>
              <w:jc w:val="left"/>
              <w:rPr>
                <w:color w:val="000000"/>
                <w:kern w:val="0"/>
                <w:sz w:val="18"/>
                <w:szCs w:val="18"/>
              </w:rPr>
            </w:pPr>
            <w:r>
              <w:rPr>
                <w:rFonts w:hint="eastAsia"/>
                <w:color w:val="000000"/>
                <w:kern w:val="0"/>
                <w:sz w:val="18"/>
                <w:szCs w:val="18"/>
              </w:rPr>
              <w:t>【法律】《中华人民共和国消防法》</w:t>
            </w:r>
            <w:r>
              <w:rPr>
                <w:color w:val="000000"/>
                <w:kern w:val="0"/>
                <w:sz w:val="18"/>
                <w:szCs w:val="18"/>
              </w:rPr>
              <w:t xml:space="preserve">   </w:t>
            </w:r>
          </w:p>
          <w:p w14:paraId="02BB5AA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第十三条第一、二款　国务院住房和城乡建设主管部门规定应当申请消防验收的建设工程竣工，建设单位应当向住房和城乡建设主管部门申请消防验收。</w:t>
            </w:r>
          </w:p>
          <w:p w14:paraId="5A6F9FD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前款规定以外的其他建设工程，建设单位在验收后应当报住房和城乡建设主管部门备案，住房和城乡建设主管部门应当进行抽查。</w:t>
            </w:r>
          </w:p>
          <w:p w14:paraId="3FCF76DB">
            <w:pPr>
              <w:spacing w:line="320" w:lineRule="exact"/>
              <w:jc w:val="left"/>
              <w:rPr>
                <w:color w:val="000000"/>
                <w:kern w:val="0"/>
                <w:sz w:val="18"/>
                <w:szCs w:val="18"/>
              </w:rPr>
            </w:pPr>
            <w:r>
              <w:rPr>
                <w:rFonts w:hint="eastAsia"/>
                <w:color w:val="000000"/>
                <w:kern w:val="0"/>
                <w:sz w:val="18"/>
                <w:szCs w:val="18"/>
              </w:rPr>
              <w:t>第五十八条第二款</w:t>
            </w:r>
            <w:r>
              <w:rPr>
                <w:color w:val="000000"/>
                <w:kern w:val="0"/>
                <w:sz w:val="18"/>
                <w:szCs w:val="18"/>
              </w:rPr>
              <w:t xml:space="preserve"> </w:t>
            </w:r>
            <w:r>
              <w:rPr>
                <w:rFonts w:hint="eastAsia"/>
                <w:color w:val="000000"/>
                <w:kern w:val="0"/>
                <w:sz w:val="18"/>
                <w:szCs w:val="18"/>
              </w:rPr>
              <w:t>建设单位未依照本法规定在验收后报住房和城乡建设主管部门备案的，由住房和城乡建设主管部门责令改正，处五千元以下罚款。</w:t>
            </w:r>
          </w:p>
        </w:tc>
      </w:tr>
      <w:tr w14:paraId="444F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86C5FFE">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A5B32DE">
            <w:pPr>
              <w:spacing w:line="320" w:lineRule="exact"/>
              <w:jc w:val="left"/>
              <w:rPr>
                <w:color w:val="000000"/>
                <w:kern w:val="0"/>
                <w:sz w:val="18"/>
                <w:szCs w:val="18"/>
              </w:rPr>
            </w:pPr>
            <w:r>
              <w:rPr>
                <w:rFonts w:hint="eastAsia"/>
                <w:color w:val="000000"/>
                <w:kern w:val="0"/>
                <w:sz w:val="18"/>
                <w:szCs w:val="18"/>
              </w:rPr>
              <w:t>责令改正，罚款</w:t>
            </w:r>
          </w:p>
        </w:tc>
      </w:tr>
      <w:tr w14:paraId="444F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45BB962">
            <w:pPr>
              <w:spacing w:line="320" w:lineRule="exact"/>
              <w:jc w:val="center"/>
              <w:rPr>
                <w:color w:val="000000"/>
                <w:kern w:val="0"/>
                <w:sz w:val="18"/>
                <w:szCs w:val="18"/>
              </w:rPr>
            </w:pPr>
            <w:r>
              <w:rPr>
                <w:rFonts w:hint="eastAsia"/>
                <w:color w:val="000000"/>
                <w:kern w:val="0"/>
                <w:sz w:val="18"/>
                <w:szCs w:val="18"/>
              </w:rPr>
              <w:t>裁量基准</w:t>
            </w:r>
          </w:p>
        </w:tc>
      </w:tr>
      <w:tr w14:paraId="14A4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10" w:type="dxa"/>
            <w:vAlign w:val="center"/>
          </w:tcPr>
          <w:p w14:paraId="75F8D083">
            <w:pPr>
              <w:rPr>
                <w:color w:val="000000"/>
                <w:kern w:val="0"/>
                <w:sz w:val="18"/>
                <w:szCs w:val="18"/>
              </w:rPr>
            </w:pPr>
            <w:r>
              <w:rPr>
                <w:rFonts w:hint="eastAsia"/>
                <w:color w:val="000000"/>
                <w:kern w:val="0"/>
                <w:sz w:val="18"/>
                <w:szCs w:val="18"/>
              </w:rPr>
              <w:t>情形描述</w:t>
            </w:r>
          </w:p>
        </w:tc>
        <w:tc>
          <w:tcPr>
            <w:tcW w:w="6376" w:type="dxa"/>
            <w:vAlign w:val="center"/>
          </w:tcPr>
          <w:p w14:paraId="4FD7C071">
            <w:pPr>
              <w:rPr>
                <w:color w:val="000000"/>
                <w:kern w:val="0"/>
                <w:sz w:val="18"/>
                <w:szCs w:val="18"/>
              </w:rPr>
            </w:pPr>
          </w:p>
        </w:tc>
        <w:tc>
          <w:tcPr>
            <w:tcW w:w="1016" w:type="dxa"/>
            <w:vAlign w:val="center"/>
          </w:tcPr>
          <w:p w14:paraId="1FE27B6E">
            <w:pPr>
              <w:rPr>
                <w:color w:val="000000"/>
                <w:kern w:val="0"/>
                <w:sz w:val="18"/>
                <w:szCs w:val="18"/>
              </w:rPr>
            </w:pPr>
            <w:r>
              <w:rPr>
                <w:rFonts w:hint="eastAsia"/>
                <w:color w:val="000000"/>
                <w:kern w:val="0"/>
                <w:sz w:val="18"/>
                <w:szCs w:val="18"/>
              </w:rPr>
              <w:t>裁量幅度</w:t>
            </w:r>
          </w:p>
        </w:tc>
        <w:tc>
          <w:tcPr>
            <w:tcW w:w="5614" w:type="dxa"/>
            <w:vAlign w:val="center"/>
          </w:tcPr>
          <w:p w14:paraId="7DA5AFCB">
            <w:pPr>
              <w:rPr>
                <w:color w:val="000000"/>
                <w:kern w:val="0"/>
                <w:sz w:val="18"/>
                <w:szCs w:val="18"/>
              </w:rPr>
            </w:pPr>
          </w:p>
        </w:tc>
      </w:tr>
    </w:tbl>
    <w:p w14:paraId="2B28CE51"/>
    <w:p w14:paraId="2D183E46"/>
    <w:p w14:paraId="4CEA296E"/>
    <w:p w14:paraId="4B639FB8"/>
    <w:p w14:paraId="4655CF40"/>
    <w:p w14:paraId="2C1F7852"/>
    <w:p w14:paraId="6221B3C5"/>
    <w:p w14:paraId="5913F8E3"/>
    <w:p w14:paraId="3EE73DD2"/>
    <w:p w14:paraId="5C8330D3"/>
    <w:p w14:paraId="5C3FB0C6"/>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681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D0A0D16">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8EB7A24">
            <w:pPr>
              <w:spacing w:line="320" w:lineRule="exact"/>
              <w:jc w:val="left"/>
              <w:rPr>
                <w:rFonts w:eastAsia="仿宋_GB2312"/>
                <w:b/>
                <w:bCs/>
                <w:color w:val="000000"/>
                <w:kern w:val="0"/>
                <w:sz w:val="18"/>
                <w:szCs w:val="18"/>
              </w:rPr>
            </w:pPr>
            <w:r>
              <w:rPr>
                <w:rFonts w:eastAsia="仿宋_GB2312"/>
                <w:b/>
                <w:bCs/>
                <w:color w:val="000000"/>
                <w:kern w:val="0"/>
                <w:sz w:val="18"/>
                <w:szCs w:val="18"/>
              </w:rPr>
              <w:t>320217766000</w:t>
            </w:r>
          </w:p>
        </w:tc>
      </w:tr>
      <w:tr w14:paraId="6F9E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F2846A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997C87B">
            <w:pPr>
              <w:spacing w:line="320" w:lineRule="exact"/>
              <w:jc w:val="left"/>
              <w:rPr>
                <w:color w:val="000000"/>
                <w:spacing w:val="-6"/>
                <w:kern w:val="0"/>
                <w:sz w:val="18"/>
                <w:szCs w:val="18"/>
              </w:rPr>
            </w:pPr>
            <w:r>
              <w:rPr>
                <w:rFonts w:hint="eastAsia"/>
                <w:color w:val="000000"/>
                <w:spacing w:val="-6"/>
                <w:kern w:val="0"/>
                <w:sz w:val="18"/>
                <w:szCs w:val="18"/>
              </w:rPr>
              <w:t>对建设单位要求建筑设计单位或者建筑施工企业降低消防技术标准设计、施工的处罚</w:t>
            </w:r>
          </w:p>
        </w:tc>
      </w:tr>
      <w:tr w14:paraId="2D02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010296E6">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836059C">
            <w:pPr>
              <w:spacing w:line="320" w:lineRule="exact"/>
              <w:jc w:val="left"/>
              <w:rPr>
                <w:color w:val="000000"/>
                <w:kern w:val="0"/>
                <w:sz w:val="18"/>
                <w:szCs w:val="18"/>
              </w:rPr>
            </w:pPr>
            <w:r>
              <w:rPr>
                <w:rFonts w:hint="eastAsia"/>
                <w:color w:val="000000"/>
                <w:kern w:val="0"/>
                <w:sz w:val="18"/>
                <w:szCs w:val="18"/>
              </w:rPr>
              <w:t>【法律】《中华人民共和国消防法》</w:t>
            </w:r>
          </w:p>
          <w:p w14:paraId="1E409E6C">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14:paraId="44F71677">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14:paraId="47759224">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14:paraId="02A6126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建设单位要求建筑设计单位或者建筑施工企业降低消防技术标准设计、施工的</w:t>
            </w:r>
            <w:r>
              <w:rPr>
                <w:color w:val="000000"/>
                <w:kern w:val="0"/>
                <w:sz w:val="18"/>
                <w:szCs w:val="18"/>
              </w:rPr>
              <w:t>;</w:t>
            </w:r>
          </w:p>
        </w:tc>
      </w:tr>
      <w:tr w14:paraId="5D0B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68EBE6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257BAFE">
            <w:pPr>
              <w:spacing w:line="320" w:lineRule="exact"/>
              <w:jc w:val="left"/>
              <w:rPr>
                <w:color w:val="000000"/>
                <w:kern w:val="0"/>
                <w:sz w:val="18"/>
                <w:szCs w:val="18"/>
              </w:rPr>
            </w:pPr>
            <w:r>
              <w:rPr>
                <w:rFonts w:hint="eastAsia"/>
                <w:color w:val="000000"/>
                <w:kern w:val="0"/>
                <w:sz w:val="18"/>
                <w:szCs w:val="18"/>
              </w:rPr>
              <w:t>责令改正，停止施工，罚款</w:t>
            </w:r>
          </w:p>
        </w:tc>
      </w:tr>
      <w:tr w14:paraId="1AAE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12360444">
            <w:pPr>
              <w:spacing w:line="320" w:lineRule="exact"/>
              <w:jc w:val="center"/>
              <w:rPr>
                <w:color w:val="000000"/>
                <w:kern w:val="0"/>
                <w:sz w:val="18"/>
                <w:szCs w:val="18"/>
              </w:rPr>
            </w:pPr>
            <w:r>
              <w:rPr>
                <w:rFonts w:hint="eastAsia"/>
                <w:color w:val="000000"/>
                <w:kern w:val="0"/>
                <w:sz w:val="18"/>
                <w:szCs w:val="18"/>
              </w:rPr>
              <w:t>裁量基准</w:t>
            </w:r>
          </w:p>
        </w:tc>
      </w:tr>
      <w:tr w14:paraId="6D221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AFE38A5">
            <w:pPr>
              <w:rPr>
                <w:color w:val="000000"/>
                <w:kern w:val="0"/>
                <w:sz w:val="18"/>
                <w:szCs w:val="18"/>
              </w:rPr>
            </w:pPr>
            <w:r>
              <w:rPr>
                <w:rFonts w:hint="eastAsia"/>
                <w:color w:val="000000"/>
                <w:kern w:val="0"/>
                <w:sz w:val="18"/>
                <w:szCs w:val="18"/>
              </w:rPr>
              <w:t>情形描述</w:t>
            </w:r>
          </w:p>
        </w:tc>
        <w:tc>
          <w:tcPr>
            <w:tcW w:w="6376" w:type="dxa"/>
            <w:vAlign w:val="center"/>
          </w:tcPr>
          <w:p w14:paraId="29CB1597">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14:paraId="40D23EF7">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14:paraId="32F02BC6">
            <w:pPr>
              <w:spacing w:line="240" w:lineRule="exact"/>
              <w:rPr>
                <w:color w:val="000000"/>
                <w:kern w:val="0"/>
                <w:sz w:val="18"/>
                <w:szCs w:val="18"/>
              </w:rPr>
            </w:pPr>
            <w:r>
              <w:rPr>
                <w:rFonts w:hint="eastAsia"/>
                <w:color w:val="000000"/>
                <w:kern w:val="0"/>
                <w:sz w:val="18"/>
                <w:szCs w:val="18"/>
              </w:rPr>
              <w:t>处一万元以上三万元以下罚款</w:t>
            </w:r>
          </w:p>
        </w:tc>
      </w:tr>
      <w:tr w14:paraId="5D78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010" w:type="dxa"/>
            <w:vMerge w:val="continue"/>
            <w:vAlign w:val="center"/>
          </w:tcPr>
          <w:p w14:paraId="15161C87">
            <w:pPr>
              <w:spacing w:line="320" w:lineRule="exact"/>
              <w:jc w:val="left"/>
              <w:rPr>
                <w:color w:val="000000"/>
                <w:kern w:val="0"/>
                <w:sz w:val="18"/>
                <w:szCs w:val="18"/>
              </w:rPr>
            </w:pPr>
          </w:p>
        </w:tc>
        <w:tc>
          <w:tcPr>
            <w:tcW w:w="6376" w:type="dxa"/>
            <w:vAlign w:val="center"/>
          </w:tcPr>
          <w:p w14:paraId="3B9FC513">
            <w:pPr>
              <w:widowControl/>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continue"/>
            <w:vAlign w:val="center"/>
          </w:tcPr>
          <w:p w14:paraId="11229D1E">
            <w:pPr>
              <w:spacing w:line="320" w:lineRule="exact"/>
              <w:jc w:val="left"/>
              <w:rPr>
                <w:color w:val="000000"/>
                <w:kern w:val="0"/>
                <w:sz w:val="18"/>
                <w:szCs w:val="18"/>
              </w:rPr>
            </w:pPr>
          </w:p>
        </w:tc>
        <w:tc>
          <w:tcPr>
            <w:tcW w:w="5614" w:type="dxa"/>
            <w:vAlign w:val="center"/>
          </w:tcPr>
          <w:p w14:paraId="6FB62268">
            <w:pPr>
              <w:rPr>
                <w:color w:val="000000"/>
                <w:kern w:val="0"/>
                <w:sz w:val="18"/>
                <w:szCs w:val="18"/>
              </w:rPr>
            </w:pPr>
            <w:r>
              <w:rPr>
                <w:rFonts w:hint="eastAsia"/>
                <w:color w:val="000000"/>
                <w:kern w:val="0"/>
                <w:sz w:val="18"/>
                <w:szCs w:val="18"/>
              </w:rPr>
              <w:t>处三万元以上十万元以下罚款</w:t>
            </w:r>
          </w:p>
        </w:tc>
      </w:tr>
    </w:tbl>
    <w:p w14:paraId="1E1469FE"/>
    <w:p w14:paraId="088DCDA1"/>
    <w:p w14:paraId="5C681EFF"/>
    <w:p w14:paraId="25C6FAFA"/>
    <w:p w14:paraId="7FEB469D"/>
    <w:p w14:paraId="7194E246"/>
    <w:p w14:paraId="4001236F"/>
    <w:p w14:paraId="22B1FD98"/>
    <w:p w14:paraId="4174F573"/>
    <w:p w14:paraId="6B51736F"/>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932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FE2443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9BA6585">
            <w:pPr>
              <w:spacing w:line="320" w:lineRule="exact"/>
              <w:jc w:val="left"/>
              <w:rPr>
                <w:rFonts w:eastAsia="仿宋_GB2312"/>
                <w:b/>
                <w:bCs/>
                <w:color w:val="000000"/>
                <w:kern w:val="0"/>
                <w:sz w:val="18"/>
                <w:szCs w:val="18"/>
              </w:rPr>
            </w:pPr>
            <w:r>
              <w:rPr>
                <w:rFonts w:eastAsia="仿宋_GB2312"/>
                <w:b/>
                <w:bCs/>
                <w:color w:val="000000"/>
                <w:kern w:val="0"/>
                <w:sz w:val="18"/>
                <w:szCs w:val="18"/>
              </w:rPr>
              <w:t>320217767000</w:t>
            </w:r>
          </w:p>
        </w:tc>
      </w:tr>
      <w:tr w14:paraId="7516B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C40683D">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422F1027">
            <w:pPr>
              <w:spacing w:line="320" w:lineRule="exact"/>
              <w:jc w:val="left"/>
              <w:rPr>
                <w:color w:val="000000"/>
                <w:spacing w:val="-6"/>
                <w:kern w:val="0"/>
                <w:sz w:val="18"/>
                <w:szCs w:val="18"/>
              </w:rPr>
            </w:pPr>
            <w:r>
              <w:rPr>
                <w:rFonts w:hint="eastAsia"/>
                <w:color w:val="000000"/>
                <w:spacing w:val="-6"/>
                <w:kern w:val="0"/>
                <w:sz w:val="18"/>
                <w:szCs w:val="18"/>
              </w:rPr>
              <w:t>对建筑设计单位不按照消防技术标准强制性要求进行消防设计的处罚</w:t>
            </w:r>
          </w:p>
        </w:tc>
      </w:tr>
      <w:tr w14:paraId="67C2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22D2DA10">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BB58DF4">
            <w:pPr>
              <w:spacing w:line="320" w:lineRule="exact"/>
              <w:jc w:val="left"/>
              <w:rPr>
                <w:color w:val="000000"/>
                <w:kern w:val="0"/>
                <w:sz w:val="18"/>
                <w:szCs w:val="18"/>
              </w:rPr>
            </w:pPr>
            <w:r>
              <w:rPr>
                <w:rFonts w:hint="eastAsia"/>
                <w:color w:val="000000"/>
                <w:kern w:val="0"/>
                <w:sz w:val="18"/>
                <w:szCs w:val="18"/>
              </w:rPr>
              <w:t>【法律】《中华人民共和国消防法》</w:t>
            </w:r>
          </w:p>
          <w:p w14:paraId="4886267F">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14:paraId="1DE43563">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14:paraId="40F6CBD3">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14:paraId="7EA02986">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建筑设计单位不按照消防技术标准强制性要求进行消防设计的</w:t>
            </w:r>
            <w:r>
              <w:rPr>
                <w:color w:val="000000"/>
                <w:kern w:val="0"/>
                <w:sz w:val="18"/>
                <w:szCs w:val="18"/>
              </w:rPr>
              <w:t>;</w:t>
            </w:r>
          </w:p>
        </w:tc>
      </w:tr>
      <w:tr w14:paraId="70C2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C7D206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6D91FCB4">
            <w:pPr>
              <w:spacing w:line="320" w:lineRule="exact"/>
              <w:jc w:val="left"/>
              <w:rPr>
                <w:color w:val="000000"/>
                <w:kern w:val="0"/>
                <w:sz w:val="18"/>
                <w:szCs w:val="18"/>
              </w:rPr>
            </w:pPr>
            <w:r>
              <w:rPr>
                <w:rFonts w:hint="eastAsia"/>
                <w:color w:val="000000"/>
                <w:kern w:val="0"/>
                <w:sz w:val="18"/>
                <w:szCs w:val="18"/>
              </w:rPr>
              <w:t>责令改正，罚款</w:t>
            </w:r>
          </w:p>
        </w:tc>
      </w:tr>
      <w:tr w14:paraId="4208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D17944D">
            <w:pPr>
              <w:spacing w:line="320" w:lineRule="exact"/>
              <w:jc w:val="center"/>
              <w:rPr>
                <w:color w:val="000000"/>
                <w:kern w:val="0"/>
                <w:sz w:val="18"/>
                <w:szCs w:val="18"/>
              </w:rPr>
            </w:pPr>
            <w:r>
              <w:rPr>
                <w:rFonts w:hint="eastAsia"/>
                <w:color w:val="000000"/>
                <w:kern w:val="0"/>
                <w:sz w:val="18"/>
                <w:szCs w:val="18"/>
              </w:rPr>
              <w:t>裁量基准</w:t>
            </w:r>
          </w:p>
        </w:tc>
      </w:tr>
      <w:tr w14:paraId="1FAB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0301AEC1">
            <w:pPr>
              <w:rPr>
                <w:color w:val="000000"/>
                <w:kern w:val="0"/>
                <w:sz w:val="18"/>
                <w:szCs w:val="18"/>
              </w:rPr>
            </w:pPr>
            <w:r>
              <w:rPr>
                <w:rFonts w:hint="eastAsia"/>
                <w:color w:val="000000"/>
                <w:kern w:val="0"/>
                <w:sz w:val="18"/>
                <w:szCs w:val="18"/>
              </w:rPr>
              <w:t>情形描述</w:t>
            </w:r>
          </w:p>
        </w:tc>
        <w:tc>
          <w:tcPr>
            <w:tcW w:w="6376" w:type="dxa"/>
            <w:vAlign w:val="center"/>
          </w:tcPr>
          <w:p w14:paraId="03975FB8">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14:paraId="15674D0F">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14:paraId="412874F5">
            <w:pPr>
              <w:spacing w:line="240" w:lineRule="exact"/>
              <w:rPr>
                <w:color w:val="000000"/>
                <w:kern w:val="0"/>
                <w:sz w:val="18"/>
                <w:szCs w:val="18"/>
              </w:rPr>
            </w:pPr>
            <w:r>
              <w:rPr>
                <w:rFonts w:hint="eastAsia"/>
                <w:color w:val="000000"/>
                <w:kern w:val="0"/>
                <w:sz w:val="18"/>
                <w:szCs w:val="18"/>
              </w:rPr>
              <w:t>处一万元以上三万元以下罚款</w:t>
            </w:r>
          </w:p>
        </w:tc>
      </w:tr>
      <w:tr w14:paraId="7EDF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010" w:type="dxa"/>
            <w:vMerge w:val="continue"/>
            <w:vAlign w:val="center"/>
          </w:tcPr>
          <w:p w14:paraId="20118319">
            <w:pPr>
              <w:spacing w:line="320" w:lineRule="exact"/>
              <w:jc w:val="left"/>
              <w:rPr>
                <w:color w:val="000000"/>
                <w:kern w:val="0"/>
                <w:sz w:val="18"/>
                <w:szCs w:val="18"/>
              </w:rPr>
            </w:pPr>
          </w:p>
        </w:tc>
        <w:tc>
          <w:tcPr>
            <w:tcW w:w="6376" w:type="dxa"/>
            <w:vAlign w:val="center"/>
          </w:tcPr>
          <w:p w14:paraId="4D034344">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continue"/>
            <w:vAlign w:val="center"/>
          </w:tcPr>
          <w:p w14:paraId="1EFA8D37">
            <w:pPr>
              <w:spacing w:line="320" w:lineRule="exact"/>
              <w:jc w:val="left"/>
              <w:rPr>
                <w:color w:val="000000"/>
                <w:kern w:val="0"/>
                <w:sz w:val="18"/>
                <w:szCs w:val="18"/>
              </w:rPr>
            </w:pPr>
          </w:p>
        </w:tc>
        <w:tc>
          <w:tcPr>
            <w:tcW w:w="5614" w:type="dxa"/>
            <w:vAlign w:val="center"/>
          </w:tcPr>
          <w:p w14:paraId="77FB7DCF">
            <w:pPr>
              <w:rPr>
                <w:color w:val="000000"/>
                <w:kern w:val="0"/>
                <w:sz w:val="18"/>
                <w:szCs w:val="18"/>
              </w:rPr>
            </w:pPr>
            <w:r>
              <w:rPr>
                <w:rFonts w:hint="eastAsia"/>
                <w:color w:val="000000"/>
                <w:kern w:val="0"/>
                <w:sz w:val="18"/>
                <w:szCs w:val="18"/>
              </w:rPr>
              <w:t>处三万元以上十万元以下罚款</w:t>
            </w:r>
          </w:p>
        </w:tc>
      </w:tr>
    </w:tbl>
    <w:p w14:paraId="6A5040E3"/>
    <w:p w14:paraId="59E92719"/>
    <w:p w14:paraId="1650E052"/>
    <w:p w14:paraId="3B5ED4E7"/>
    <w:p w14:paraId="506A3AFD"/>
    <w:p w14:paraId="512E881B"/>
    <w:p w14:paraId="33D24E81"/>
    <w:p w14:paraId="28D56471"/>
    <w:p w14:paraId="4761D77C"/>
    <w:p w14:paraId="43285D53"/>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0679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CAACF59">
            <w:pPr>
              <w:spacing w:line="320" w:lineRule="exact"/>
              <w:ind w:firstLine="270" w:firstLineChars="150"/>
              <w:rPr>
                <w:color w:val="000000"/>
                <w:kern w:val="0"/>
                <w:sz w:val="18"/>
                <w:szCs w:val="18"/>
              </w:rPr>
            </w:pPr>
            <w:r>
              <w:rPr>
                <w:rFonts w:hint="eastAsia"/>
                <w:color w:val="000000"/>
                <w:kern w:val="0"/>
                <w:sz w:val="18"/>
                <w:szCs w:val="18"/>
              </w:rPr>
              <w:t>编号</w:t>
            </w:r>
          </w:p>
        </w:tc>
        <w:tc>
          <w:tcPr>
            <w:tcW w:w="13006" w:type="dxa"/>
            <w:gridSpan w:val="3"/>
            <w:vAlign w:val="center"/>
          </w:tcPr>
          <w:p w14:paraId="03AFCBC7">
            <w:pPr>
              <w:spacing w:line="320" w:lineRule="exact"/>
              <w:jc w:val="left"/>
              <w:rPr>
                <w:rFonts w:eastAsia="仿宋_GB2312"/>
                <w:b/>
                <w:bCs/>
                <w:color w:val="000000"/>
                <w:kern w:val="0"/>
                <w:sz w:val="18"/>
                <w:szCs w:val="18"/>
              </w:rPr>
            </w:pPr>
            <w:r>
              <w:rPr>
                <w:rFonts w:eastAsia="仿宋_GB2312"/>
                <w:b/>
                <w:bCs/>
                <w:color w:val="000000"/>
                <w:kern w:val="0"/>
                <w:sz w:val="18"/>
                <w:szCs w:val="18"/>
              </w:rPr>
              <w:t>320217768000</w:t>
            </w:r>
          </w:p>
        </w:tc>
      </w:tr>
      <w:tr w14:paraId="4F31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4C1371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785F703">
            <w:pPr>
              <w:spacing w:line="320" w:lineRule="exact"/>
              <w:jc w:val="left"/>
              <w:rPr>
                <w:color w:val="000000"/>
                <w:spacing w:val="-6"/>
                <w:kern w:val="0"/>
                <w:sz w:val="18"/>
                <w:szCs w:val="18"/>
              </w:rPr>
            </w:pPr>
            <w:r>
              <w:rPr>
                <w:rFonts w:hint="eastAsia"/>
                <w:color w:val="000000"/>
                <w:spacing w:val="-6"/>
                <w:kern w:val="0"/>
                <w:sz w:val="18"/>
                <w:szCs w:val="18"/>
              </w:rPr>
              <w:t>对建筑施工企业不按照消防设计文件和消防技术标准施工，降低消防施工质量的处罚</w:t>
            </w:r>
          </w:p>
        </w:tc>
      </w:tr>
      <w:tr w14:paraId="3F4E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3BAB8E4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0630779">
            <w:pPr>
              <w:spacing w:line="320" w:lineRule="exact"/>
              <w:jc w:val="left"/>
              <w:rPr>
                <w:color w:val="000000"/>
                <w:kern w:val="0"/>
                <w:sz w:val="18"/>
                <w:szCs w:val="18"/>
              </w:rPr>
            </w:pPr>
            <w:r>
              <w:rPr>
                <w:rFonts w:hint="eastAsia"/>
                <w:color w:val="000000"/>
                <w:kern w:val="0"/>
                <w:sz w:val="18"/>
                <w:szCs w:val="18"/>
              </w:rPr>
              <w:t>【法律】《中华人民共和国消防法》</w:t>
            </w:r>
          </w:p>
          <w:p w14:paraId="1331E2CC">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14:paraId="5E94A19D">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14:paraId="0E85949F">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14:paraId="064FA225">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建筑施工企业不按照消防设计文件和消防技术标准施工，降低消防施工质量的</w:t>
            </w:r>
            <w:r>
              <w:rPr>
                <w:color w:val="000000"/>
                <w:kern w:val="0"/>
                <w:sz w:val="18"/>
                <w:szCs w:val="18"/>
              </w:rPr>
              <w:t>;</w:t>
            </w:r>
          </w:p>
        </w:tc>
      </w:tr>
      <w:tr w14:paraId="12B4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9D0AC1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F3A53D5">
            <w:pPr>
              <w:spacing w:line="320" w:lineRule="exact"/>
              <w:jc w:val="left"/>
              <w:rPr>
                <w:color w:val="000000"/>
                <w:kern w:val="0"/>
                <w:sz w:val="18"/>
                <w:szCs w:val="18"/>
              </w:rPr>
            </w:pPr>
            <w:r>
              <w:rPr>
                <w:rFonts w:hint="eastAsia"/>
                <w:color w:val="000000"/>
                <w:kern w:val="0"/>
                <w:sz w:val="18"/>
                <w:szCs w:val="18"/>
              </w:rPr>
              <w:t>责令改正，停止施工，罚款</w:t>
            </w:r>
          </w:p>
        </w:tc>
      </w:tr>
      <w:tr w14:paraId="2435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27CBCE2A">
            <w:pPr>
              <w:spacing w:line="320" w:lineRule="exact"/>
              <w:jc w:val="center"/>
              <w:rPr>
                <w:color w:val="000000"/>
                <w:kern w:val="0"/>
                <w:sz w:val="18"/>
                <w:szCs w:val="18"/>
              </w:rPr>
            </w:pPr>
            <w:r>
              <w:rPr>
                <w:rFonts w:hint="eastAsia"/>
                <w:color w:val="000000"/>
                <w:kern w:val="0"/>
                <w:sz w:val="18"/>
                <w:szCs w:val="18"/>
              </w:rPr>
              <w:t>裁量基准</w:t>
            </w:r>
          </w:p>
        </w:tc>
      </w:tr>
      <w:tr w14:paraId="206D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010" w:type="dxa"/>
            <w:vMerge w:val="restart"/>
            <w:vAlign w:val="center"/>
          </w:tcPr>
          <w:p w14:paraId="16F202EE">
            <w:pPr>
              <w:rPr>
                <w:color w:val="000000"/>
                <w:kern w:val="0"/>
                <w:sz w:val="18"/>
                <w:szCs w:val="18"/>
              </w:rPr>
            </w:pPr>
            <w:r>
              <w:rPr>
                <w:rFonts w:hint="eastAsia"/>
                <w:color w:val="000000"/>
                <w:kern w:val="0"/>
                <w:sz w:val="18"/>
                <w:szCs w:val="18"/>
              </w:rPr>
              <w:t>情形描述</w:t>
            </w:r>
          </w:p>
        </w:tc>
        <w:tc>
          <w:tcPr>
            <w:tcW w:w="6376" w:type="dxa"/>
            <w:vAlign w:val="center"/>
          </w:tcPr>
          <w:p w14:paraId="5923FC24">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14:paraId="6B76C1AF">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14:paraId="02F526F6">
            <w:pPr>
              <w:spacing w:line="240" w:lineRule="exact"/>
              <w:rPr>
                <w:color w:val="000000"/>
                <w:kern w:val="0"/>
                <w:sz w:val="18"/>
                <w:szCs w:val="18"/>
              </w:rPr>
            </w:pPr>
            <w:r>
              <w:rPr>
                <w:rFonts w:hint="eastAsia"/>
                <w:color w:val="000000"/>
                <w:kern w:val="0"/>
                <w:sz w:val="18"/>
                <w:szCs w:val="18"/>
              </w:rPr>
              <w:t>处一万元以上三万元以下罚款</w:t>
            </w:r>
          </w:p>
        </w:tc>
      </w:tr>
      <w:tr w14:paraId="7A05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ECC96A2">
            <w:pPr>
              <w:spacing w:line="320" w:lineRule="exact"/>
              <w:jc w:val="left"/>
              <w:rPr>
                <w:color w:val="000000"/>
                <w:kern w:val="0"/>
                <w:sz w:val="18"/>
                <w:szCs w:val="18"/>
              </w:rPr>
            </w:pPr>
          </w:p>
        </w:tc>
        <w:tc>
          <w:tcPr>
            <w:tcW w:w="6376" w:type="dxa"/>
            <w:vAlign w:val="center"/>
          </w:tcPr>
          <w:p w14:paraId="1B3F111F">
            <w:pPr>
              <w:widowControl/>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continue"/>
            <w:vAlign w:val="center"/>
          </w:tcPr>
          <w:p w14:paraId="04C2EE75">
            <w:pPr>
              <w:spacing w:line="320" w:lineRule="exact"/>
              <w:jc w:val="left"/>
              <w:rPr>
                <w:color w:val="000000"/>
                <w:kern w:val="0"/>
                <w:sz w:val="18"/>
                <w:szCs w:val="18"/>
              </w:rPr>
            </w:pPr>
          </w:p>
        </w:tc>
        <w:tc>
          <w:tcPr>
            <w:tcW w:w="5614" w:type="dxa"/>
            <w:vAlign w:val="center"/>
          </w:tcPr>
          <w:p w14:paraId="7F5CBBC9">
            <w:pPr>
              <w:rPr>
                <w:color w:val="000000"/>
                <w:kern w:val="0"/>
                <w:sz w:val="18"/>
                <w:szCs w:val="18"/>
              </w:rPr>
            </w:pPr>
            <w:r>
              <w:rPr>
                <w:rFonts w:hint="eastAsia"/>
                <w:color w:val="000000"/>
                <w:kern w:val="0"/>
                <w:sz w:val="18"/>
                <w:szCs w:val="18"/>
              </w:rPr>
              <w:t>处三万元以上十万元以下罚款</w:t>
            </w:r>
          </w:p>
        </w:tc>
      </w:tr>
    </w:tbl>
    <w:p w14:paraId="012D9D64"/>
    <w:p w14:paraId="6401FE49"/>
    <w:p w14:paraId="79C69AF5"/>
    <w:p w14:paraId="4B1FD763"/>
    <w:p w14:paraId="1BDD57B9"/>
    <w:p w14:paraId="174DF0F8"/>
    <w:p w14:paraId="0008DFBA"/>
    <w:p w14:paraId="6E797F5B"/>
    <w:p w14:paraId="19DAF410"/>
    <w:p w14:paraId="37FF3947"/>
    <w:tbl>
      <w:tblPr>
        <w:tblStyle w:val="15"/>
        <w:tblW w:w="14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150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F1BD960">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954A672">
            <w:pPr>
              <w:spacing w:line="320" w:lineRule="exact"/>
              <w:jc w:val="left"/>
              <w:rPr>
                <w:rFonts w:eastAsia="仿宋_GB2312"/>
                <w:b/>
                <w:bCs/>
                <w:color w:val="000000"/>
                <w:kern w:val="0"/>
                <w:sz w:val="18"/>
                <w:szCs w:val="18"/>
              </w:rPr>
            </w:pPr>
            <w:r>
              <w:rPr>
                <w:rFonts w:eastAsia="仿宋_GB2312"/>
                <w:b/>
                <w:bCs/>
                <w:color w:val="000000"/>
                <w:kern w:val="0"/>
                <w:sz w:val="18"/>
                <w:szCs w:val="18"/>
              </w:rPr>
              <w:t>320217769000</w:t>
            </w:r>
            <w:r>
              <w:rPr>
                <w:rFonts w:hint="eastAsia" w:eastAsia="仿宋_GB2312"/>
                <w:b/>
                <w:bCs/>
                <w:color w:val="000000"/>
                <w:kern w:val="0"/>
                <w:sz w:val="18"/>
                <w:szCs w:val="18"/>
              </w:rPr>
              <w:t xml:space="preserve"> </w:t>
            </w:r>
          </w:p>
        </w:tc>
      </w:tr>
      <w:tr w14:paraId="50DC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33D99B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CF553CB">
            <w:pPr>
              <w:spacing w:line="320" w:lineRule="exact"/>
              <w:jc w:val="left"/>
              <w:rPr>
                <w:color w:val="000000"/>
                <w:spacing w:val="-6"/>
                <w:kern w:val="0"/>
                <w:sz w:val="18"/>
                <w:szCs w:val="18"/>
              </w:rPr>
            </w:pPr>
            <w:r>
              <w:rPr>
                <w:rFonts w:hint="eastAsia"/>
                <w:color w:val="000000"/>
                <w:spacing w:val="-6"/>
                <w:kern w:val="0"/>
                <w:sz w:val="18"/>
                <w:szCs w:val="18"/>
              </w:rPr>
              <w:t>对工程监理单位与建设单位或者建筑施工企业串通，弄虚作假，降低消防施工质量的处罚</w:t>
            </w:r>
          </w:p>
        </w:tc>
      </w:tr>
      <w:tr w14:paraId="53ED3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3FAC717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E130020">
            <w:pPr>
              <w:spacing w:line="320" w:lineRule="exact"/>
              <w:jc w:val="left"/>
              <w:rPr>
                <w:color w:val="000000"/>
                <w:kern w:val="0"/>
                <w:sz w:val="18"/>
                <w:szCs w:val="18"/>
              </w:rPr>
            </w:pPr>
            <w:r>
              <w:rPr>
                <w:rFonts w:hint="eastAsia"/>
                <w:color w:val="000000"/>
                <w:kern w:val="0"/>
                <w:sz w:val="18"/>
                <w:szCs w:val="18"/>
              </w:rPr>
              <w:t>【法律】《中华人民共和国消防法》</w:t>
            </w:r>
          </w:p>
          <w:p w14:paraId="314E8876">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14:paraId="2800006E">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14:paraId="73391627">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14:paraId="2DC57187">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工程监理单位与建设单位或者建筑施工企业串通，弄虚作假，降低消防施工质量的。</w:t>
            </w:r>
          </w:p>
        </w:tc>
      </w:tr>
      <w:tr w14:paraId="7271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F590D37">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A31D98B">
            <w:pPr>
              <w:spacing w:line="320" w:lineRule="exact"/>
              <w:jc w:val="left"/>
              <w:rPr>
                <w:color w:val="000000"/>
                <w:kern w:val="0"/>
                <w:sz w:val="18"/>
                <w:szCs w:val="18"/>
              </w:rPr>
            </w:pPr>
            <w:r>
              <w:rPr>
                <w:rFonts w:hint="eastAsia"/>
                <w:color w:val="000000"/>
                <w:kern w:val="0"/>
                <w:sz w:val="18"/>
                <w:szCs w:val="18"/>
              </w:rPr>
              <w:t>责令改正，停止施工，罚款</w:t>
            </w:r>
          </w:p>
        </w:tc>
      </w:tr>
      <w:tr w14:paraId="0755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230385EA">
            <w:pPr>
              <w:spacing w:line="320" w:lineRule="exact"/>
              <w:jc w:val="center"/>
              <w:rPr>
                <w:color w:val="000000"/>
                <w:kern w:val="0"/>
                <w:sz w:val="18"/>
                <w:szCs w:val="18"/>
              </w:rPr>
            </w:pPr>
            <w:r>
              <w:rPr>
                <w:rFonts w:hint="eastAsia"/>
                <w:color w:val="000000"/>
                <w:kern w:val="0"/>
                <w:sz w:val="18"/>
                <w:szCs w:val="18"/>
              </w:rPr>
              <w:t>裁量基准</w:t>
            </w:r>
          </w:p>
        </w:tc>
      </w:tr>
      <w:tr w14:paraId="248F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79E450E8">
            <w:pPr>
              <w:rPr>
                <w:color w:val="000000"/>
                <w:kern w:val="0"/>
                <w:sz w:val="18"/>
                <w:szCs w:val="18"/>
              </w:rPr>
            </w:pPr>
            <w:r>
              <w:rPr>
                <w:rFonts w:hint="eastAsia"/>
                <w:color w:val="000000"/>
                <w:kern w:val="0"/>
                <w:sz w:val="18"/>
                <w:szCs w:val="18"/>
              </w:rPr>
              <w:t>情形描述</w:t>
            </w:r>
          </w:p>
        </w:tc>
        <w:tc>
          <w:tcPr>
            <w:tcW w:w="6376" w:type="dxa"/>
            <w:vAlign w:val="center"/>
          </w:tcPr>
          <w:p w14:paraId="6E4179C0">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14:paraId="2F3806E7">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14:paraId="51C5F42B">
            <w:pPr>
              <w:spacing w:line="240" w:lineRule="exact"/>
              <w:rPr>
                <w:color w:val="000000"/>
                <w:kern w:val="0"/>
                <w:sz w:val="18"/>
                <w:szCs w:val="18"/>
              </w:rPr>
            </w:pPr>
            <w:r>
              <w:rPr>
                <w:rFonts w:hint="eastAsia"/>
                <w:color w:val="000000"/>
                <w:kern w:val="0"/>
                <w:sz w:val="18"/>
                <w:szCs w:val="18"/>
              </w:rPr>
              <w:t>处一万元以上三万元以下罚款</w:t>
            </w:r>
          </w:p>
        </w:tc>
      </w:tr>
      <w:tr w14:paraId="7D81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010" w:type="dxa"/>
            <w:vMerge w:val="continue"/>
            <w:vAlign w:val="center"/>
          </w:tcPr>
          <w:p w14:paraId="0951653C">
            <w:pPr>
              <w:spacing w:line="320" w:lineRule="exact"/>
              <w:jc w:val="left"/>
              <w:rPr>
                <w:color w:val="000000"/>
                <w:kern w:val="0"/>
                <w:sz w:val="18"/>
                <w:szCs w:val="18"/>
              </w:rPr>
            </w:pPr>
          </w:p>
        </w:tc>
        <w:tc>
          <w:tcPr>
            <w:tcW w:w="6376" w:type="dxa"/>
            <w:vAlign w:val="center"/>
          </w:tcPr>
          <w:p w14:paraId="5E72B68C">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continue"/>
            <w:vAlign w:val="center"/>
          </w:tcPr>
          <w:p w14:paraId="14F4236A">
            <w:pPr>
              <w:spacing w:line="320" w:lineRule="exact"/>
              <w:jc w:val="left"/>
              <w:rPr>
                <w:color w:val="000000"/>
                <w:kern w:val="0"/>
                <w:sz w:val="18"/>
                <w:szCs w:val="18"/>
              </w:rPr>
            </w:pPr>
          </w:p>
        </w:tc>
        <w:tc>
          <w:tcPr>
            <w:tcW w:w="5614" w:type="dxa"/>
            <w:vAlign w:val="center"/>
          </w:tcPr>
          <w:p w14:paraId="6EC4123A">
            <w:pPr>
              <w:rPr>
                <w:color w:val="000000"/>
                <w:kern w:val="0"/>
                <w:sz w:val="18"/>
                <w:szCs w:val="18"/>
              </w:rPr>
            </w:pPr>
            <w:r>
              <w:rPr>
                <w:rFonts w:hint="eastAsia"/>
                <w:color w:val="000000"/>
                <w:kern w:val="0"/>
                <w:sz w:val="18"/>
                <w:szCs w:val="18"/>
              </w:rPr>
              <w:t>处三万元以上十万元以下罚款</w:t>
            </w:r>
          </w:p>
        </w:tc>
      </w:tr>
    </w:tbl>
    <w:p w14:paraId="1B547115"/>
    <w:p w14:paraId="1112B46F"/>
    <w:p w14:paraId="2694359D"/>
    <w:p w14:paraId="144E50AF"/>
    <w:p w14:paraId="4CD1AF12"/>
    <w:p w14:paraId="0081C640"/>
    <w:p w14:paraId="27F25497"/>
    <w:p w14:paraId="3FEB93BB"/>
    <w:p w14:paraId="652379D6"/>
    <w:p w14:paraId="38CC0985"/>
    <w:p w14:paraId="7DBBAAD9"/>
    <w:tbl>
      <w:tblPr>
        <w:tblStyle w:val="15"/>
        <w:tblW w:w="0" w:type="auto"/>
        <w:tblInd w:w="88" w:type="dxa"/>
        <w:tblLayout w:type="fixed"/>
        <w:tblCellMar>
          <w:top w:w="0" w:type="dxa"/>
          <w:left w:w="108" w:type="dxa"/>
          <w:bottom w:w="0" w:type="dxa"/>
          <w:right w:w="108" w:type="dxa"/>
        </w:tblCellMar>
      </w:tblPr>
      <w:tblGrid>
        <w:gridCol w:w="1010"/>
        <w:gridCol w:w="6376"/>
        <w:gridCol w:w="1016"/>
        <w:gridCol w:w="5614"/>
      </w:tblGrid>
      <w:tr w14:paraId="2A576DCB">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03BC800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0378956B">
            <w:pPr>
              <w:spacing w:line="320" w:lineRule="exact"/>
              <w:jc w:val="left"/>
              <w:rPr>
                <w:rFonts w:eastAsia="仿宋_GB2312"/>
                <w:b/>
                <w:bCs/>
                <w:color w:val="000000"/>
                <w:kern w:val="0"/>
                <w:sz w:val="18"/>
                <w:szCs w:val="18"/>
              </w:rPr>
            </w:pPr>
            <w:r>
              <w:rPr>
                <w:rFonts w:eastAsia="仿宋_GB2312"/>
                <w:b/>
                <w:bCs/>
                <w:color w:val="000000"/>
                <w:kern w:val="0"/>
                <w:sz w:val="18"/>
                <w:szCs w:val="18"/>
              </w:rPr>
              <w:t>320217784000</w:t>
            </w:r>
          </w:p>
        </w:tc>
      </w:tr>
      <w:tr w14:paraId="59BEB4E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E34E02A">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081BA404">
            <w:pPr>
              <w:rPr>
                <w:color w:val="000000"/>
                <w:kern w:val="0"/>
                <w:sz w:val="18"/>
                <w:szCs w:val="18"/>
              </w:rPr>
            </w:pPr>
            <w:r>
              <w:rPr>
                <w:rFonts w:hint="eastAsia"/>
                <w:color w:val="000000"/>
                <w:kern w:val="0"/>
                <w:sz w:val="18"/>
                <w:szCs w:val="18"/>
              </w:rPr>
              <w:t>对擅自在桥梁或者路灯设施上设置广告牌或者其他挂浮物的处罚</w:t>
            </w:r>
          </w:p>
        </w:tc>
      </w:tr>
      <w:tr w14:paraId="46414D6A">
        <w:tblPrEx>
          <w:tblCellMar>
            <w:top w:w="0" w:type="dxa"/>
            <w:left w:w="108" w:type="dxa"/>
            <w:bottom w:w="0" w:type="dxa"/>
            <w:right w:w="108" w:type="dxa"/>
          </w:tblCellMar>
        </w:tblPrEx>
        <w:trPr>
          <w:trHeight w:val="1620" w:hRule="atLeast"/>
        </w:trPr>
        <w:tc>
          <w:tcPr>
            <w:tcW w:w="1010" w:type="dxa"/>
            <w:tcBorders>
              <w:top w:val="nil"/>
              <w:left w:val="single" w:color="auto" w:sz="8" w:space="0"/>
              <w:bottom w:val="single" w:color="auto" w:sz="4" w:space="0"/>
              <w:right w:val="single" w:color="auto" w:sz="4" w:space="0"/>
            </w:tcBorders>
            <w:vAlign w:val="center"/>
          </w:tcPr>
          <w:p w14:paraId="7C8437C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5E2C890C">
            <w:pPr>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type="textWrapping"/>
            </w:r>
            <w:r>
              <w:rPr>
                <w:rFonts w:hint="eastAsia"/>
                <w:color w:val="000000"/>
                <w:kern w:val="0"/>
                <w:sz w:val="18"/>
                <w:szCs w:val="18"/>
              </w:rPr>
              <w:t>第二十七条第一款第六项</w:t>
            </w:r>
            <w:r>
              <w:rPr>
                <w:color w:val="000000"/>
                <w:kern w:val="0"/>
                <w:sz w:val="18"/>
                <w:szCs w:val="18"/>
              </w:rPr>
              <w:t xml:space="preserve"> </w:t>
            </w:r>
            <w:r>
              <w:rPr>
                <w:rFonts w:hint="eastAsia"/>
                <w:color w:val="000000"/>
                <w:kern w:val="0"/>
                <w:sz w:val="18"/>
                <w:szCs w:val="18"/>
              </w:rPr>
              <w:t>城市道路范围内禁止下列行为：</w:t>
            </w:r>
            <w:r>
              <w:rPr>
                <w:color w:val="000000"/>
                <w:kern w:val="0"/>
                <w:sz w:val="18"/>
                <w:szCs w:val="18"/>
              </w:rPr>
              <w:br w:type="textWrapping"/>
            </w: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擅自在桥梁或者路灯设施上设置广告牌或者其他挂浮物；</w:t>
            </w:r>
            <w:r>
              <w:rPr>
                <w:color w:val="000000"/>
                <w:kern w:val="0"/>
                <w:sz w:val="18"/>
                <w:szCs w:val="18"/>
              </w:rPr>
              <w:br w:type="textWrapping"/>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14:paraId="1DD832E8">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EA01D0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5EF4EE00">
            <w:pPr>
              <w:spacing w:line="320" w:lineRule="exact"/>
              <w:jc w:val="left"/>
              <w:rPr>
                <w:color w:val="000000"/>
                <w:kern w:val="0"/>
                <w:sz w:val="18"/>
                <w:szCs w:val="18"/>
              </w:rPr>
            </w:pPr>
            <w:r>
              <w:rPr>
                <w:rFonts w:hint="eastAsia"/>
                <w:color w:val="000000"/>
                <w:kern w:val="0"/>
                <w:sz w:val="18"/>
                <w:szCs w:val="18"/>
              </w:rPr>
              <w:t>罚款</w:t>
            </w:r>
          </w:p>
        </w:tc>
      </w:tr>
      <w:tr w14:paraId="7ADA2D11">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42049A40">
            <w:pPr>
              <w:spacing w:line="320" w:lineRule="exact"/>
              <w:jc w:val="center"/>
              <w:rPr>
                <w:color w:val="000000"/>
                <w:kern w:val="0"/>
                <w:sz w:val="18"/>
                <w:szCs w:val="18"/>
              </w:rPr>
            </w:pPr>
            <w:r>
              <w:rPr>
                <w:rFonts w:hint="eastAsia"/>
                <w:color w:val="000000"/>
                <w:kern w:val="0"/>
                <w:sz w:val="18"/>
                <w:szCs w:val="18"/>
              </w:rPr>
              <w:t>裁量基准</w:t>
            </w:r>
          </w:p>
        </w:tc>
      </w:tr>
      <w:tr w14:paraId="4F84CDB4">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bottom w:val="single" w:color="auto" w:sz="4" w:space="0"/>
              <w:right w:val="single" w:color="auto" w:sz="4" w:space="0"/>
            </w:tcBorders>
            <w:vAlign w:val="center"/>
          </w:tcPr>
          <w:p w14:paraId="7B433CF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3656DEA4">
            <w:pPr>
              <w:spacing w:line="320" w:lineRule="exact"/>
              <w:jc w:val="left"/>
              <w:rPr>
                <w:color w:val="000000"/>
                <w:kern w:val="0"/>
                <w:sz w:val="18"/>
                <w:szCs w:val="18"/>
              </w:rPr>
            </w:pPr>
            <w:r>
              <w:rPr>
                <w:rFonts w:hint="eastAsia"/>
                <w:color w:val="000000"/>
                <w:kern w:val="0"/>
                <w:sz w:val="18"/>
                <w:szCs w:val="18"/>
              </w:rPr>
              <w:t>按照要求改正且采取补救措的</w:t>
            </w:r>
          </w:p>
        </w:tc>
        <w:tc>
          <w:tcPr>
            <w:tcW w:w="1016" w:type="dxa"/>
            <w:vMerge w:val="restart"/>
            <w:tcBorders>
              <w:top w:val="nil"/>
              <w:left w:val="single" w:color="auto" w:sz="4" w:space="0"/>
              <w:bottom w:val="single" w:color="auto" w:sz="4" w:space="0"/>
              <w:right w:val="single" w:color="auto" w:sz="4" w:space="0"/>
            </w:tcBorders>
            <w:vAlign w:val="center"/>
          </w:tcPr>
          <w:p w14:paraId="5584D458">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3F4D7463">
            <w:pPr>
              <w:spacing w:line="320" w:lineRule="exact"/>
              <w:jc w:val="left"/>
              <w:rPr>
                <w:color w:val="000000"/>
                <w:kern w:val="0"/>
                <w:sz w:val="18"/>
                <w:szCs w:val="18"/>
              </w:rPr>
            </w:pPr>
            <w:r>
              <w:rPr>
                <w:rFonts w:hint="eastAsia"/>
                <w:color w:val="000000"/>
                <w:sz w:val="18"/>
                <w:szCs w:val="18"/>
              </w:rPr>
              <w:t>处</w:t>
            </w:r>
            <w:r>
              <w:rPr>
                <w:color w:val="000000"/>
                <w:sz w:val="18"/>
                <w:szCs w:val="18"/>
              </w:rPr>
              <w:t>5000</w:t>
            </w:r>
            <w:r>
              <w:rPr>
                <w:rFonts w:hint="eastAsia"/>
                <w:color w:val="000000"/>
                <w:sz w:val="18"/>
                <w:szCs w:val="18"/>
              </w:rPr>
              <w:t>元以下罚款</w:t>
            </w:r>
          </w:p>
        </w:tc>
      </w:tr>
      <w:tr w14:paraId="6672D5E6">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15D2AC20">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53ECB7EE">
            <w:pPr>
              <w:spacing w:line="320" w:lineRule="exact"/>
              <w:jc w:val="left"/>
              <w:rPr>
                <w:color w:val="000000"/>
                <w:kern w:val="0"/>
                <w:sz w:val="18"/>
                <w:szCs w:val="18"/>
              </w:rPr>
            </w:pPr>
            <w:r>
              <w:rPr>
                <w:rFonts w:hint="eastAsia"/>
                <w:color w:val="000000"/>
                <w:kern w:val="0"/>
                <w:sz w:val="18"/>
                <w:szCs w:val="18"/>
              </w:rPr>
              <w:t>按照要求改正且未采取补救措的</w:t>
            </w:r>
          </w:p>
        </w:tc>
        <w:tc>
          <w:tcPr>
            <w:tcW w:w="1016" w:type="dxa"/>
            <w:vMerge w:val="continue"/>
            <w:tcBorders>
              <w:top w:val="nil"/>
              <w:left w:val="single" w:color="auto" w:sz="4" w:space="0"/>
              <w:bottom w:val="single" w:color="auto" w:sz="4" w:space="0"/>
              <w:right w:val="single" w:color="auto" w:sz="4" w:space="0"/>
            </w:tcBorders>
            <w:vAlign w:val="center"/>
          </w:tcPr>
          <w:p w14:paraId="0936FC0F">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2C623DAF">
            <w:pPr>
              <w:spacing w:line="320" w:lineRule="exact"/>
              <w:jc w:val="left"/>
              <w:rPr>
                <w:color w:val="000000"/>
                <w:kern w:val="0"/>
                <w:sz w:val="18"/>
                <w:szCs w:val="18"/>
              </w:rPr>
            </w:pPr>
            <w:r>
              <w:rPr>
                <w:rFonts w:hint="eastAsia"/>
                <w:color w:val="000000"/>
                <w:sz w:val="18"/>
                <w:szCs w:val="18"/>
              </w:rPr>
              <w:t>处</w:t>
            </w:r>
            <w:r>
              <w:rPr>
                <w:color w:val="000000"/>
                <w:sz w:val="18"/>
                <w:szCs w:val="18"/>
              </w:rPr>
              <w:t>5000</w:t>
            </w:r>
            <w:r>
              <w:rPr>
                <w:rFonts w:hint="eastAsia"/>
                <w:color w:val="000000"/>
                <w:sz w:val="18"/>
                <w:szCs w:val="18"/>
              </w:rPr>
              <w:t>元以上</w:t>
            </w:r>
            <w:r>
              <w:rPr>
                <w:color w:val="000000"/>
                <w:sz w:val="18"/>
                <w:szCs w:val="18"/>
              </w:rPr>
              <w:t>10000</w:t>
            </w:r>
            <w:r>
              <w:rPr>
                <w:rFonts w:hint="eastAsia"/>
                <w:color w:val="000000"/>
                <w:sz w:val="18"/>
                <w:szCs w:val="18"/>
              </w:rPr>
              <w:t>元以下罚款</w:t>
            </w:r>
          </w:p>
        </w:tc>
      </w:tr>
      <w:tr w14:paraId="21B93C9E">
        <w:tblPrEx>
          <w:tblCellMar>
            <w:top w:w="0" w:type="dxa"/>
            <w:left w:w="108" w:type="dxa"/>
            <w:bottom w:w="0" w:type="dxa"/>
            <w:right w:w="108" w:type="dxa"/>
          </w:tblCellMar>
        </w:tblPrEx>
        <w:trPr>
          <w:trHeight w:val="285" w:hRule="atLeast"/>
        </w:trPr>
        <w:tc>
          <w:tcPr>
            <w:tcW w:w="1010" w:type="dxa"/>
            <w:vMerge w:val="continue"/>
            <w:tcBorders>
              <w:top w:val="nil"/>
              <w:left w:val="single" w:color="auto" w:sz="8" w:space="0"/>
              <w:bottom w:val="single" w:color="auto" w:sz="4" w:space="0"/>
              <w:right w:val="single" w:color="auto" w:sz="4" w:space="0"/>
            </w:tcBorders>
            <w:vAlign w:val="center"/>
          </w:tcPr>
          <w:p w14:paraId="1CEA336D">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69CF43E2">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continue"/>
            <w:tcBorders>
              <w:top w:val="nil"/>
              <w:left w:val="single" w:color="auto" w:sz="4" w:space="0"/>
              <w:bottom w:val="single" w:color="auto" w:sz="4" w:space="0"/>
              <w:right w:val="single" w:color="auto" w:sz="4" w:space="0"/>
            </w:tcBorders>
            <w:vAlign w:val="center"/>
          </w:tcPr>
          <w:p w14:paraId="1D84211E">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04071A37">
            <w:pPr>
              <w:spacing w:line="320" w:lineRule="exact"/>
              <w:jc w:val="left"/>
              <w:rPr>
                <w:color w:val="000000"/>
                <w:kern w:val="0"/>
                <w:sz w:val="18"/>
                <w:szCs w:val="18"/>
              </w:rPr>
            </w:pPr>
            <w:r>
              <w:rPr>
                <w:rFonts w:hint="eastAsia"/>
                <w:color w:val="000000"/>
                <w:sz w:val="18"/>
                <w:szCs w:val="18"/>
              </w:rPr>
              <w:t>处</w:t>
            </w:r>
            <w:r>
              <w:rPr>
                <w:color w:val="000000"/>
                <w:sz w:val="18"/>
                <w:szCs w:val="18"/>
              </w:rPr>
              <w:t>10000</w:t>
            </w:r>
            <w:r>
              <w:rPr>
                <w:rFonts w:hint="eastAsia"/>
                <w:color w:val="000000"/>
                <w:sz w:val="18"/>
                <w:szCs w:val="18"/>
              </w:rPr>
              <w:t>元以上</w:t>
            </w:r>
            <w:r>
              <w:rPr>
                <w:color w:val="000000"/>
                <w:sz w:val="18"/>
                <w:szCs w:val="18"/>
              </w:rPr>
              <w:t>20000</w:t>
            </w:r>
            <w:r>
              <w:rPr>
                <w:rFonts w:hint="eastAsia"/>
                <w:color w:val="000000"/>
                <w:sz w:val="18"/>
                <w:szCs w:val="18"/>
              </w:rPr>
              <w:t>元以下罚款</w:t>
            </w:r>
          </w:p>
        </w:tc>
      </w:tr>
    </w:tbl>
    <w:p w14:paraId="22B32EC5"/>
    <w:p w14:paraId="1B688748"/>
    <w:p w14:paraId="1C4A7577"/>
    <w:p w14:paraId="313F519B"/>
    <w:p w14:paraId="533ABCC9"/>
    <w:p w14:paraId="60C02379"/>
    <w:p w14:paraId="6D08C43A"/>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330D9DC5">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4AA2894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72F56C34">
            <w:pPr>
              <w:spacing w:line="320" w:lineRule="exact"/>
              <w:jc w:val="left"/>
              <w:rPr>
                <w:rFonts w:eastAsia="仿宋_GB2312"/>
                <w:b/>
                <w:bCs/>
                <w:color w:val="000000"/>
                <w:kern w:val="0"/>
                <w:sz w:val="18"/>
                <w:szCs w:val="18"/>
              </w:rPr>
            </w:pPr>
            <w:r>
              <w:rPr>
                <w:rFonts w:eastAsia="仿宋_GB2312"/>
                <w:b/>
                <w:bCs/>
                <w:color w:val="000000"/>
                <w:kern w:val="0"/>
                <w:sz w:val="18"/>
                <w:szCs w:val="18"/>
              </w:rPr>
              <w:t>320217785000</w:t>
            </w:r>
          </w:p>
        </w:tc>
      </w:tr>
      <w:tr w14:paraId="1B15AD2B">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F61DC5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67D2BAD2">
            <w:pPr>
              <w:spacing w:line="320" w:lineRule="exact"/>
              <w:jc w:val="left"/>
              <w:rPr>
                <w:b/>
                <w:color w:val="000000"/>
                <w:kern w:val="0"/>
                <w:sz w:val="18"/>
                <w:szCs w:val="18"/>
              </w:rPr>
            </w:pPr>
            <w:r>
              <w:rPr>
                <w:rFonts w:hint="eastAsia"/>
                <w:color w:val="000000"/>
                <w:spacing w:val="-6"/>
                <w:kern w:val="0"/>
                <w:sz w:val="18"/>
                <w:szCs w:val="18"/>
              </w:rPr>
              <w:t>对未经批准在历史文化名城、名镇、名村保护范围内对历史建筑进行外部修缮装饰、添加设施以及改变历史建筑的结构或者使用性质的，或者在活动过程中对传统格局、历史风貌或者历史建筑构成破坏性影响的处罚</w:t>
            </w:r>
          </w:p>
        </w:tc>
      </w:tr>
      <w:tr w14:paraId="23BF9D02">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13EDB59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56F56EA2">
            <w:pPr>
              <w:spacing w:line="320" w:lineRule="exact"/>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号，第</w:t>
            </w:r>
            <w:r>
              <w:rPr>
                <w:color w:val="000000"/>
                <w:kern w:val="0"/>
                <w:sz w:val="18"/>
                <w:szCs w:val="18"/>
              </w:rPr>
              <w:t>687</w:t>
            </w:r>
            <w:r>
              <w:rPr>
                <w:rFonts w:hint="eastAsia"/>
                <w:color w:val="000000"/>
                <w:kern w:val="0"/>
                <w:sz w:val="18"/>
                <w:szCs w:val="18"/>
              </w:rPr>
              <w:t>号修订）</w:t>
            </w:r>
          </w:p>
          <w:p w14:paraId="73BEAA67">
            <w:pPr>
              <w:spacing w:line="320" w:lineRule="exact"/>
              <w:jc w:val="left"/>
              <w:rPr>
                <w:color w:val="000000"/>
                <w:kern w:val="0"/>
                <w:sz w:val="18"/>
                <w:szCs w:val="18"/>
              </w:rPr>
            </w:pPr>
            <w:r>
              <w:rPr>
                <w:rFonts w:hint="eastAsia"/>
                <w:color w:val="000000"/>
                <w:kern w:val="0"/>
                <w:sz w:val="18"/>
                <w:szCs w:val="18"/>
              </w:rPr>
              <w:t>第三十五条　对历史建筑进行外部修缮装饰、添加设施以及改变历史建筑的结构或者使用性质的，应当经城市、县人民政府城乡规划主管部门会同同级文物主管部门批准，并依照有关法律、法规的规定办理相关手续。</w:t>
            </w:r>
          </w:p>
          <w:p w14:paraId="27A7262D">
            <w:pPr>
              <w:spacing w:line="320" w:lineRule="exact"/>
              <w:jc w:val="left"/>
              <w:rPr>
                <w:color w:val="000000"/>
                <w:kern w:val="0"/>
                <w:sz w:val="18"/>
                <w:szCs w:val="18"/>
              </w:rPr>
            </w:pP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万元以下的罚款；造成损失的，依法承担赔偿责任：</w:t>
            </w:r>
          </w:p>
          <w:p w14:paraId="6242A499">
            <w:pPr>
              <w:spacing w:line="320" w:lineRule="exact"/>
              <w:jc w:val="left"/>
              <w:rPr>
                <w:color w:val="000000"/>
                <w:kern w:val="0"/>
                <w:sz w:val="18"/>
                <w:szCs w:val="18"/>
              </w:rPr>
            </w:pPr>
            <w:r>
              <w:rPr>
                <w:rFonts w:hint="eastAsia"/>
                <w:color w:val="000000"/>
                <w:kern w:val="0"/>
                <w:sz w:val="18"/>
                <w:szCs w:val="18"/>
              </w:rPr>
              <w:t>（二）对历史建筑进行外部修缮装饰、添加设施以及改变历史建筑的结构或者使用性质的。</w:t>
            </w:r>
          </w:p>
          <w:p w14:paraId="322A7748">
            <w:pPr>
              <w:spacing w:line="320" w:lineRule="exact"/>
              <w:jc w:val="left"/>
              <w:rPr>
                <w:color w:val="000000"/>
                <w:kern w:val="0"/>
                <w:sz w:val="18"/>
                <w:szCs w:val="18"/>
              </w:rPr>
            </w:pPr>
            <w:r>
              <w:rPr>
                <w:rFonts w:hint="eastAsia"/>
                <w:color w:val="000000"/>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r>
      <w:tr w14:paraId="42EF2AC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5FF0FDB2">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14A56DDA">
            <w:pPr>
              <w:spacing w:line="320" w:lineRule="exact"/>
              <w:jc w:val="left"/>
              <w:rPr>
                <w:color w:val="000000"/>
                <w:kern w:val="0"/>
                <w:sz w:val="18"/>
                <w:szCs w:val="18"/>
              </w:rPr>
            </w:pPr>
            <w:r>
              <w:rPr>
                <w:rFonts w:hint="eastAsia"/>
                <w:color w:val="000000"/>
                <w:kern w:val="0"/>
                <w:sz w:val="18"/>
                <w:szCs w:val="18"/>
              </w:rPr>
              <w:t>没收违法所得，罚款</w:t>
            </w:r>
          </w:p>
        </w:tc>
      </w:tr>
      <w:tr w14:paraId="40B1F1AD">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7BBBF4A7">
            <w:pPr>
              <w:spacing w:line="320" w:lineRule="exact"/>
              <w:jc w:val="center"/>
              <w:rPr>
                <w:color w:val="000000"/>
                <w:kern w:val="0"/>
                <w:sz w:val="18"/>
                <w:szCs w:val="18"/>
              </w:rPr>
            </w:pPr>
            <w:r>
              <w:rPr>
                <w:rFonts w:hint="eastAsia"/>
                <w:color w:val="000000"/>
                <w:kern w:val="0"/>
                <w:sz w:val="18"/>
                <w:szCs w:val="18"/>
              </w:rPr>
              <w:t>裁量基准</w:t>
            </w:r>
          </w:p>
        </w:tc>
      </w:tr>
      <w:tr w14:paraId="7913B40A">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59FC80D6">
            <w:pP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6E6D3A97">
            <w:pPr>
              <w:rPr>
                <w:color w:val="000000"/>
                <w:kern w:val="0"/>
                <w:sz w:val="18"/>
                <w:szCs w:val="18"/>
              </w:rPr>
            </w:pPr>
            <w:r>
              <w:rPr>
                <w:rFonts w:hint="eastAsia"/>
                <w:color w:val="000000"/>
                <w:kern w:val="0"/>
                <w:sz w:val="18"/>
                <w:szCs w:val="18"/>
              </w:rPr>
              <w:t>未造成损失的</w:t>
            </w:r>
          </w:p>
        </w:tc>
        <w:tc>
          <w:tcPr>
            <w:tcW w:w="1016" w:type="dxa"/>
            <w:vMerge w:val="restart"/>
            <w:tcBorders>
              <w:top w:val="nil"/>
              <w:left w:val="single" w:color="auto" w:sz="4" w:space="0"/>
              <w:right w:val="single" w:color="auto" w:sz="4" w:space="0"/>
            </w:tcBorders>
            <w:vAlign w:val="center"/>
          </w:tcPr>
          <w:p w14:paraId="03041249">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79C44371">
            <w:pPr>
              <w:rPr>
                <w:color w:val="000000"/>
                <w:kern w:val="0"/>
                <w:sz w:val="18"/>
                <w:szCs w:val="18"/>
              </w:rPr>
            </w:pPr>
            <w:r>
              <w:rPr>
                <w:rFonts w:hint="eastAsia"/>
                <w:color w:val="000000"/>
                <w:kern w:val="0"/>
                <w:sz w:val="18"/>
                <w:szCs w:val="18"/>
              </w:rPr>
              <w:t>对单位并处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5DE038AA">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08150340">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2B1ACCBD">
            <w:pPr>
              <w:spacing w:line="320" w:lineRule="exact"/>
              <w:jc w:val="left"/>
              <w:rPr>
                <w:color w:val="000000"/>
                <w:kern w:val="0"/>
                <w:sz w:val="18"/>
                <w:szCs w:val="18"/>
              </w:rPr>
            </w:pPr>
            <w:r>
              <w:rPr>
                <w:rFonts w:hint="eastAsia"/>
                <w:color w:val="000000"/>
                <w:kern w:val="0"/>
                <w:sz w:val="18"/>
                <w:szCs w:val="18"/>
              </w:rPr>
              <w:t>造成损失，主动承担赔偿责任的</w:t>
            </w:r>
          </w:p>
        </w:tc>
        <w:tc>
          <w:tcPr>
            <w:tcW w:w="1016" w:type="dxa"/>
            <w:vMerge w:val="continue"/>
            <w:tcBorders>
              <w:left w:val="single" w:color="auto" w:sz="4" w:space="0"/>
              <w:right w:val="single" w:color="auto" w:sz="4" w:space="0"/>
            </w:tcBorders>
            <w:vAlign w:val="center"/>
          </w:tcPr>
          <w:p w14:paraId="174C0BFF">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4DA1680B">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万元以下的罚款，对个人并处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1E8450F0">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26F3FC2F">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3A0CBB06">
            <w:pPr>
              <w:spacing w:line="320" w:lineRule="exact"/>
              <w:jc w:val="left"/>
              <w:rPr>
                <w:color w:val="000000"/>
                <w:kern w:val="0"/>
                <w:sz w:val="18"/>
                <w:szCs w:val="18"/>
              </w:rPr>
            </w:pPr>
            <w:r>
              <w:rPr>
                <w:rFonts w:hint="eastAsia"/>
                <w:color w:val="000000"/>
                <w:kern w:val="0"/>
                <w:sz w:val="18"/>
                <w:szCs w:val="18"/>
              </w:rPr>
              <w:t>造成损失，未主动承担赔偿责任的</w:t>
            </w:r>
          </w:p>
        </w:tc>
        <w:tc>
          <w:tcPr>
            <w:tcW w:w="1016" w:type="dxa"/>
            <w:vMerge w:val="continue"/>
            <w:tcBorders>
              <w:left w:val="single" w:color="auto" w:sz="4" w:space="0"/>
              <w:bottom w:val="single" w:color="auto" w:sz="4" w:space="0"/>
              <w:right w:val="single" w:color="auto" w:sz="4" w:space="0"/>
            </w:tcBorders>
            <w:vAlign w:val="center"/>
          </w:tcPr>
          <w:p w14:paraId="41C0FCDD">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0221C4C5">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bl>
    <w:p w14:paraId="43D86908"/>
    <w:p w14:paraId="4FB81FA2"/>
    <w:p w14:paraId="527F4F7C"/>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2DE6B99D">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313A976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407521A8">
            <w:pPr>
              <w:spacing w:line="320" w:lineRule="exact"/>
              <w:jc w:val="left"/>
              <w:rPr>
                <w:rFonts w:eastAsia="仿宋_GB2312"/>
                <w:b/>
                <w:bCs/>
                <w:color w:val="000000"/>
                <w:kern w:val="0"/>
                <w:sz w:val="18"/>
                <w:szCs w:val="18"/>
              </w:rPr>
            </w:pPr>
            <w:r>
              <w:rPr>
                <w:rFonts w:eastAsia="仿宋_GB2312"/>
                <w:b/>
                <w:bCs/>
                <w:color w:val="000000"/>
                <w:kern w:val="0"/>
                <w:sz w:val="18"/>
                <w:szCs w:val="18"/>
              </w:rPr>
              <w:t>320217786000</w:t>
            </w:r>
          </w:p>
        </w:tc>
      </w:tr>
      <w:tr w14:paraId="69D25D76">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7C4B9AB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363CC839">
            <w:pPr>
              <w:spacing w:line="320" w:lineRule="exact"/>
              <w:jc w:val="left"/>
              <w:rPr>
                <w:b/>
                <w:color w:val="000000"/>
                <w:kern w:val="0"/>
                <w:sz w:val="18"/>
                <w:szCs w:val="18"/>
              </w:rPr>
            </w:pPr>
            <w:r>
              <w:rPr>
                <w:rFonts w:hint="eastAsia"/>
                <w:color w:val="000000"/>
                <w:spacing w:val="-6"/>
                <w:kern w:val="0"/>
                <w:sz w:val="18"/>
                <w:szCs w:val="18"/>
              </w:rPr>
              <w:t>对在历史文化名城、名镇、名村保护范围内进行改变园林绿地、河湖水系等自然状态的活动；在核心保护范围内进行影视摄制、举办大型群众性活动；其他影响传统格局、历史风貌或者历史建筑的活动过程中对传统格局、历史风貌或者历史建筑构成破坏性影响的的处罚</w:t>
            </w:r>
          </w:p>
        </w:tc>
      </w:tr>
      <w:tr w14:paraId="584944C0">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3B99DF4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1C8BB32A">
            <w:pPr>
              <w:spacing w:line="320" w:lineRule="exact"/>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号，第</w:t>
            </w:r>
            <w:r>
              <w:rPr>
                <w:color w:val="000000"/>
                <w:kern w:val="0"/>
                <w:sz w:val="18"/>
                <w:szCs w:val="18"/>
              </w:rPr>
              <w:t>687</w:t>
            </w:r>
            <w:r>
              <w:rPr>
                <w:rFonts w:hint="eastAsia"/>
                <w:color w:val="000000"/>
                <w:kern w:val="0"/>
                <w:sz w:val="18"/>
                <w:szCs w:val="18"/>
              </w:rPr>
              <w:t>号修订）</w:t>
            </w:r>
          </w:p>
          <w:p w14:paraId="5CF9EEE8">
            <w:pPr>
              <w:spacing w:line="320" w:lineRule="exact"/>
              <w:jc w:val="left"/>
              <w:rPr>
                <w:color w:val="000000"/>
                <w:kern w:val="0"/>
                <w:sz w:val="18"/>
                <w:szCs w:val="18"/>
              </w:rPr>
            </w:pPr>
            <w:r>
              <w:rPr>
                <w:rFonts w:hint="eastAsia"/>
                <w:color w:val="000000"/>
                <w:kern w:val="0"/>
                <w:sz w:val="18"/>
                <w:szCs w:val="18"/>
              </w:rPr>
              <w:t>第二十五条　在历史文化名城、名镇、名村保护范围内进行下列活动，应当保护其传统格局、历史风貌和历史建筑；制订保护方案，经城市、县人民政府城乡规划主管部门会同同级文物主管部门批准，并依照有关法律、法规的规定办理相关手续：</w:t>
            </w:r>
          </w:p>
          <w:p w14:paraId="0176F8FD">
            <w:pPr>
              <w:spacing w:line="320" w:lineRule="exact"/>
              <w:jc w:val="left"/>
              <w:rPr>
                <w:color w:val="000000"/>
                <w:kern w:val="0"/>
                <w:sz w:val="18"/>
                <w:szCs w:val="18"/>
              </w:rPr>
            </w:pPr>
            <w:r>
              <w:rPr>
                <w:rFonts w:hint="eastAsia"/>
                <w:color w:val="000000"/>
                <w:kern w:val="0"/>
                <w:sz w:val="18"/>
                <w:szCs w:val="18"/>
              </w:rPr>
              <w:t>　　（一）改变园林绿地、河湖水系等自然状态的活动；</w:t>
            </w:r>
          </w:p>
          <w:p w14:paraId="2B6CE87B">
            <w:pPr>
              <w:spacing w:line="320" w:lineRule="exact"/>
              <w:jc w:val="left"/>
              <w:rPr>
                <w:color w:val="000000"/>
                <w:kern w:val="0"/>
                <w:sz w:val="18"/>
                <w:szCs w:val="18"/>
              </w:rPr>
            </w:pPr>
            <w:r>
              <w:rPr>
                <w:rFonts w:hint="eastAsia"/>
                <w:color w:val="000000"/>
                <w:kern w:val="0"/>
                <w:sz w:val="18"/>
                <w:szCs w:val="18"/>
              </w:rPr>
              <w:t>　　（二）在核心保护范围内进行影视摄制、举办大型群众性活动；</w:t>
            </w:r>
          </w:p>
          <w:p w14:paraId="5FE7B78C">
            <w:pPr>
              <w:spacing w:line="320" w:lineRule="exact"/>
              <w:jc w:val="left"/>
              <w:rPr>
                <w:color w:val="000000"/>
                <w:kern w:val="0"/>
                <w:sz w:val="18"/>
                <w:szCs w:val="18"/>
              </w:rPr>
            </w:pPr>
            <w:r>
              <w:rPr>
                <w:rFonts w:hint="eastAsia"/>
                <w:color w:val="000000"/>
                <w:kern w:val="0"/>
                <w:sz w:val="18"/>
                <w:szCs w:val="18"/>
              </w:rPr>
              <w:t>　　（三）其他影响传统格局、历史风貌或者历史建筑的活动。</w:t>
            </w:r>
          </w:p>
          <w:p w14:paraId="2630D312">
            <w:pPr>
              <w:spacing w:line="320" w:lineRule="exact"/>
              <w:jc w:val="left"/>
              <w:rPr>
                <w:color w:val="000000"/>
                <w:kern w:val="0"/>
                <w:sz w:val="18"/>
                <w:szCs w:val="18"/>
              </w:rPr>
            </w:pP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万元以下的罚款；造成损失的，依法承担赔偿责任：</w:t>
            </w:r>
          </w:p>
          <w:p w14:paraId="210D9300">
            <w:pPr>
              <w:spacing w:line="320" w:lineRule="exact"/>
              <w:jc w:val="left"/>
              <w:rPr>
                <w:color w:val="000000"/>
                <w:kern w:val="0"/>
                <w:sz w:val="18"/>
                <w:szCs w:val="18"/>
              </w:rPr>
            </w:pPr>
            <w:r>
              <w:rPr>
                <w:rFonts w:hint="eastAsia"/>
                <w:color w:val="000000"/>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r>
      <w:tr w14:paraId="54E19E30">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24B4806D">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33D5C775">
            <w:pPr>
              <w:spacing w:line="320" w:lineRule="exact"/>
              <w:jc w:val="left"/>
              <w:rPr>
                <w:color w:val="000000"/>
                <w:kern w:val="0"/>
                <w:sz w:val="18"/>
                <w:szCs w:val="18"/>
              </w:rPr>
            </w:pPr>
            <w:r>
              <w:rPr>
                <w:rFonts w:hint="eastAsia"/>
                <w:color w:val="000000"/>
                <w:kern w:val="0"/>
                <w:sz w:val="18"/>
                <w:szCs w:val="18"/>
              </w:rPr>
              <w:t>没收违法所得，罚款</w:t>
            </w:r>
          </w:p>
        </w:tc>
      </w:tr>
      <w:tr w14:paraId="7ED139A2">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67D463EB">
            <w:pPr>
              <w:spacing w:line="320" w:lineRule="exact"/>
              <w:jc w:val="center"/>
              <w:rPr>
                <w:color w:val="000000"/>
                <w:kern w:val="0"/>
                <w:sz w:val="18"/>
                <w:szCs w:val="18"/>
              </w:rPr>
            </w:pPr>
            <w:r>
              <w:rPr>
                <w:rFonts w:hint="eastAsia"/>
                <w:color w:val="000000"/>
                <w:kern w:val="0"/>
                <w:sz w:val="18"/>
                <w:szCs w:val="18"/>
              </w:rPr>
              <w:t>裁量基准</w:t>
            </w:r>
          </w:p>
        </w:tc>
      </w:tr>
      <w:tr w14:paraId="6EBD8913">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69ED54EE">
            <w:pP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13DF9B80">
            <w:pPr>
              <w:rPr>
                <w:color w:val="000000"/>
                <w:kern w:val="0"/>
                <w:sz w:val="18"/>
                <w:szCs w:val="18"/>
              </w:rPr>
            </w:pPr>
            <w:r>
              <w:rPr>
                <w:rFonts w:hint="eastAsia"/>
                <w:color w:val="000000"/>
                <w:kern w:val="0"/>
                <w:sz w:val="18"/>
                <w:szCs w:val="18"/>
              </w:rPr>
              <w:t>未造成损失的</w:t>
            </w:r>
          </w:p>
        </w:tc>
        <w:tc>
          <w:tcPr>
            <w:tcW w:w="1016" w:type="dxa"/>
            <w:vMerge w:val="restart"/>
            <w:tcBorders>
              <w:top w:val="nil"/>
              <w:left w:val="single" w:color="auto" w:sz="4" w:space="0"/>
              <w:right w:val="single" w:color="auto" w:sz="4" w:space="0"/>
            </w:tcBorders>
            <w:vAlign w:val="center"/>
          </w:tcPr>
          <w:p w14:paraId="6C0C77DB">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3A2885CB">
            <w:pPr>
              <w:rPr>
                <w:color w:val="000000"/>
                <w:kern w:val="0"/>
                <w:sz w:val="18"/>
                <w:szCs w:val="18"/>
              </w:rPr>
            </w:pPr>
            <w:r>
              <w:rPr>
                <w:rFonts w:hint="eastAsia"/>
                <w:color w:val="000000"/>
                <w:kern w:val="0"/>
                <w:sz w:val="18"/>
                <w:szCs w:val="18"/>
              </w:rPr>
              <w:t>对单位并处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3A014F0E">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451C0CD3">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17B6326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造成损失，依法承当赔偿责任的</w:t>
            </w:r>
          </w:p>
        </w:tc>
        <w:tc>
          <w:tcPr>
            <w:tcW w:w="1016" w:type="dxa"/>
            <w:vMerge w:val="continue"/>
            <w:tcBorders>
              <w:left w:val="single" w:color="auto" w:sz="4" w:space="0"/>
              <w:right w:val="single" w:color="auto" w:sz="4" w:space="0"/>
            </w:tcBorders>
            <w:vAlign w:val="center"/>
          </w:tcPr>
          <w:p w14:paraId="3F4BDD5F">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1A56D6F3">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万元以下的罚款，对个人并处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14:paraId="450142B9">
        <w:tblPrEx>
          <w:tblCellMar>
            <w:top w:w="0" w:type="dxa"/>
            <w:left w:w="108" w:type="dxa"/>
            <w:bottom w:w="0" w:type="dxa"/>
            <w:right w:w="108" w:type="dxa"/>
          </w:tblCellMar>
        </w:tblPrEx>
        <w:trPr>
          <w:trHeight w:val="612" w:hRule="atLeast"/>
        </w:trPr>
        <w:tc>
          <w:tcPr>
            <w:tcW w:w="1010" w:type="dxa"/>
            <w:vMerge w:val="continue"/>
            <w:tcBorders>
              <w:left w:val="single" w:color="auto" w:sz="8" w:space="0"/>
              <w:bottom w:val="single" w:color="auto" w:sz="4" w:space="0"/>
              <w:right w:val="single" w:color="auto" w:sz="4" w:space="0"/>
            </w:tcBorders>
            <w:vAlign w:val="center"/>
          </w:tcPr>
          <w:p w14:paraId="497C754E">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37DFA843">
            <w:pPr>
              <w:spacing w:line="320" w:lineRule="exact"/>
              <w:jc w:val="left"/>
              <w:rPr>
                <w:color w:val="000000"/>
                <w:kern w:val="0"/>
                <w:sz w:val="18"/>
                <w:szCs w:val="18"/>
              </w:rPr>
            </w:pPr>
            <w:r>
              <w:rPr>
                <w:rFonts w:hint="eastAsia"/>
                <w:color w:val="000000"/>
                <w:kern w:val="0"/>
                <w:sz w:val="18"/>
                <w:szCs w:val="18"/>
              </w:rPr>
              <w:t>造成损失，未依法承当赔偿责任的</w:t>
            </w:r>
          </w:p>
        </w:tc>
        <w:tc>
          <w:tcPr>
            <w:tcW w:w="1016" w:type="dxa"/>
            <w:vMerge w:val="continue"/>
            <w:tcBorders>
              <w:left w:val="single" w:color="auto" w:sz="4" w:space="0"/>
              <w:bottom w:val="single" w:color="auto" w:sz="4" w:space="0"/>
              <w:right w:val="single" w:color="auto" w:sz="4" w:space="0"/>
            </w:tcBorders>
            <w:vAlign w:val="center"/>
          </w:tcPr>
          <w:p w14:paraId="2F929D92">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4CFC6813">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bl>
    <w:p w14:paraId="52B454DC"/>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629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585D747">
            <w:pPr>
              <w:spacing w:line="24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8F2C265">
            <w:pPr>
              <w:spacing w:line="240" w:lineRule="exact"/>
              <w:jc w:val="left"/>
              <w:rPr>
                <w:rFonts w:eastAsia="仿宋_GB2312"/>
                <w:b/>
                <w:bCs/>
                <w:color w:val="000000"/>
                <w:kern w:val="0"/>
                <w:sz w:val="18"/>
                <w:szCs w:val="18"/>
              </w:rPr>
            </w:pPr>
            <w:r>
              <w:rPr>
                <w:rFonts w:eastAsia="仿宋_GB2312"/>
                <w:b/>
                <w:bCs/>
                <w:color w:val="000000"/>
                <w:kern w:val="0"/>
                <w:sz w:val="18"/>
                <w:szCs w:val="18"/>
              </w:rPr>
              <w:t>320217788000</w:t>
            </w:r>
          </w:p>
        </w:tc>
      </w:tr>
      <w:tr w14:paraId="7EC6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295BBF5">
            <w:pPr>
              <w:spacing w:line="24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FACE475">
            <w:pPr>
              <w:spacing w:line="240" w:lineRule="exact"/>
              <w:jc w:val="left"/>
              <w:rPr>
                <w:b/>
                <w:color w:val="000000"/>
                <w:kern w:val="0"/>
                <w:sz w:val="18"/>
                <w:szCs w:val="18"/>
              </w:rPr>
            </w:pPr>
            <w:r>
              <w:rPr>
                <w:rFonts w:hint="eastAsia"/>
                <w:color w:val="000000"/>
                <w:spacing w:val="-6"/>
                <w:kern w:val="0"/>
                <w:sz w:val="18"/>
                <w:szCs w:val="18"/>
              </w:rPr>
              <w:t>对监理单位直接负责的主管人员和其他直接责任人员在总监理工程师未按照规定审查危大工程专项施工方案的处罚</w:t>
            </w:r>
          </w:p>
        </w:tc>
      </w:tr>
      <w:tr w14:paraId="2987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0707F73C">
            <w:pPr>
              <w:spacing w:line="24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A747896">
            <w:pPr>
              <w:spacing w:line="24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267D35C8">
            <w:pPr>
              <w:spacing w:line="240" w:lineRule="exact"/>
              <w:jc w:val="left"/>
              <w:rPr>
                <w:color w:val="000000"/>
                <w:kern w:val="0"/>
                <w:sz w:val="18"/>
                <w:szCs w:val="18"/>
              </w:rPr>
            </w:pPr>
            <w:r>
              <w:rPr>
                <w:rFonts w:hint="eastAsia"/>
                <w:color w:val="000000"/>
                <w:kern w:val="0"/>
                <w:sz w:val="18"/>
                <w:szCs w:val="18"/>
              </w:rPr>
              <w:t>　　第十一条　专项施工方案应当由施工单位技术负责人审核签字、加盖单位公章，并由总监理工程师审查签字、加盖执业印章后方可实施。</w:t>
            </w:r>
          </w:p>
          <w:p w14:paraId="0A313801">
            <w:pPr>
              <w:spacing w:line="240" w:lineRule="exact"/>
              <w:jc w:val="left"/>
              <w:rPr>
                <w:color w:val="000000"/>
                <w:kern w:val="0"/>
                <w:sz w:val="18"/>
                <w:szCs w:val="18"/>
              </w:rPr>
            </w:pPr>
            <w:r>
              <w:rPr>
                <w:rFonts w:hint="eastAsia"/>
                <w:color w:val="000000"/>
                <w:kern w:val="0"/>
                <w:sz w:val="18"/>
                <w:szCs w:val="18"/>
              </w:rPr>
              <w:t>　　危大工程实行分包并由分包单位编制专项施工方案的，专项施工方案应当由总承包单位技术负责人及分包单位技术负责人共同审核签字并加盖单位公章。</w:t>
            </w:r>
          </w:p>
          <w:p w14:paraId="09E1992F">
            <w:pPr>
              <w:spacing w:line="240" w:lineRule="exact"/>
              <w:jc w:val="left"/>
              <w:rPr>
                <w:color w:val="000000"/>
                <w:kern w:val="0"/>
                <w:sz w:val="18"/>
                <w:szCs w:val="18"/>
              </w:rPr>
            </w:pPr>
            <w:r>
              <w:rPr>
                <w:rFonts w:hint="eastAsia"/>
                <w:color w:val="000000"/>
                <w:kern w:val="0"/>
                <w:sz w:val="18"/>
                <w:szCs w:val="18"/>
              </w:rPr>
              <w:t>　　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14:paraId="7BF5760F">
            <w:pPr>
              <w:spacing w:line="240" w:lineRule="exact"/>
              <w:jc w:val="left"/>
              <w:rPr>
                <w:color w:val="000000"/>
                <w:kern w:val="0"/>
                <w:sz w:val="18"/>
                <w:szCs w:val="18"/>
              </w:rPr>
            </w:pPr>
            <w:r>
              <w:rPr>
                <w:rFonts w:hint="eastAsia"/>
                <w:color w:val="000000"/>
                <w:kern w:val="0"/>
                <w:sz w:val="18"/>
                <w:szCs w:val="18"/>
              </w:rPr>
              <w:t>　　专家应当从地方人民政府住房城乡建设主管部门建立的专家库中选取，符合专业要求且人数不得少于</w:t>
            </w:r>
            <w:r>
              <w:rPr>
                <w:color w:val="000000"/>
                <w:kern w:val="0"/>
                <w:sz w:val="18"/>
                <w:szCs w:val="18"/>
              </w:rPr>
              <w:t>5</w:t>
            </w:r>
            <w:r>
              <w:rPr>
                <w:rFonts w:hint="eastAsia"/>
                <w:color w:val="000000"/>
                <w:kern w:val="0"/>
                <w:sz w:val="18"/>
                <w:szCs w:val="18"/>
              </w:rPr>
              <w:t>名。与本工程有利害关系的人员不得以专家身份参加专家论证会。</w:t>
            </w:r>
          </w:p>
          <w:p w14:paraId="49CD1478">
            <w:pPr>
              <w:spacing w:line="240" w:lineRule="exact"/>
              <w:jc w:val="left"/>
              <w:rPr>
                <w:color w:val="000000"/>
                <w:kern w:val="0"/>
                <w:sz w:val="18"/>
                <w:szCs w:val="18"/>
              </w:rPr>
            </w:pPr>
            <w:r>
              <w:rPr>
                <w:rFonts w:hint="eastAsia"/>
                <w:color w:val="000000"/>
                <w:kern w:val="0"/>
                <w:sz w:val="18"/>
                <w:szCs w:val="18"/>
              </w:rPr>
              <w:t>　　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31694FE5">
            <w:pPr>
              <w:spacing w:line="240" w:lineRule="exact"/>
              <w:jc w:val="left"/>
              <w:rPr>
                <w:color w:val="000000"/>
                <w:kern w:val="0"/>
                <w:sz w:val="18"/>
                <w:szCs w:val="18"/>
              </w:rPr>
            </w:pPr>
            <w:r>
              <w:rPr>
                <w:rFonts w:hint="eastAsia"/>
                <w:color w:val="000000"/>
                <w:kern w:val="0"/>
                <w:sz w:val="18"/>
                <w:szCs w:val="18"/>
              </w:rPr>
              <w:t>　　（一）总监理工程师未按照本规定审查危大工程专项施工方案的；</w:t>
            </w:r>
          </w:p>
        </w:tc>
      </w:tr>
      <w:tr w14:paraId="2218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4A90E87">
            <w:pPr>
              <w:spacing w:line="24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6D160EBE">
            <w:pPr>
              <w:spacing w:line="240" w:lineRule="exact"/>
              <w:jc w:val="left"/>
              <w:rPr>
                <w:color w:val="000000"/>
                <w:kern w:val="0"/>
                <w:sz w:val="18"/>
                <w:szCs w:val="18"/>
              </w:rPr>
            </w:pPr>
            <w:r>
              <w:rPr>
                <w:rFonts w:hint="eastAsia"/>
                <w:color w:val="000000"/>
                <w:kern w:val="0"/>
                <w:sz w:val="18"/>
                <w:szCs w:val="18"/>
              </w:rPr>
              <w:t>罚款</w:t>
            </w:r>
          </w:p>
        </w:tc>
      </w:tr>
      <w:tr w14:paraId="353C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4C22079">
            <w:pPr>
              <w:spacing w:line="240" w:lineRule="exact"/>
              <w:jc w:val="center"/>
              <w:rPr>
                <w:color w:val="000000"/>
                <w:kern w:val="0"/>
                <w:sz w:val="18"/>
                <w:szCs w:val="18"/>
              </w:rPr>
            </w:pPr>
            <w:r>
              <w:rPr>
                <w:rFonts w:hint="eastAsia"/>
                <w:color w:val="000000"/>
                <w:kern w:val="0"/>
                <w:sz w:val="18"/>
                <w:szCs w:val="18"/>
              </w:rPr>
              <w:t>裁量基准</w:t>
            </w:r>
          </w:p>
        </w:tc>
      </w:tr>
      <w:tr w14:paraId="5B5B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1010" w:type="dxa"/>
            <w:vMerge w:val="restart"/>
            <w:vAlign w:val="center"/>
          </w:tcPr>
          <w:p w14:paraId="2F065886">
            <w:pPr>
              <w:spacing w:line="240" w:lineRule="exact"/>
              <w:jc w:val="center"/>
              <w:rPr>
                <w:color w:val="000000"/>
                <w:kern w:val="0"/>
                <w:sz w:val="18"/>
                <w:szCs w:val="18"/>
              </w:rPr>
            </w:pPr>
            <w:r>
              <w:rPr>
                <w:rFonts w:hint="eastAsia"/>
                <w:color w:val="000000"/>
                <w:kern w:val="0"/>
                <w:sz w:val="18"/>
                <w:szCs w:val="18"/>
              </w:rPr>
              <w:t>情形描述</w:t>
            </w:r>
          </w:p>
        </w:tc>
        <w:tc>
          <w:tcPr>
            <w:tcW w:w="6376" w:type="dxa"/>
            <w:vAlign w:val="center"/>
          </w:tcPr>
          <w:p w14:paraId="4606D367">
            <w:pPr>
              <w:spacing w:line="240" w:lineRule="exact"/>
              <w:jc w:val="left"/>
              <w:rPr>
                <w:color w:val="000000"/>
                <w:kern w:val="0"/>
                <w:sz w:val="18"/>
                <w:szCs w:val="18"/>
              </w:rPr>
            </w:pPr>
            <w:r>
              <w:rPr>
                <w:rFonts w:hint="eastAsia"/>
                <w:color w:val="000000"/>
                <w:kern w:val="0"/>
                <w:sz w:val="18"/>
                <w:szCs w:val="18"/>
              </w:rPr>
              <w:t>没有发生生产安全事故的</w:t>
            </w:r>
          </w:p>
        </w:tc>
        <w:tc>
          <w:tcPr>
            <w:tcW w:w="1016" w:type="dxa"/>
            <w:vMerge w:val="restart"/>
            <w:vAlign w:val="center"/>
          </w:tcPr>
          <w:p w14:paraId="10B3A24E">
            <w:pPr>
              <w:spacing w:line="240" w:lineRule="exact"/>
              <w:jc w:val="center"/>
              <w:rPr>
                <w:color w:val="000000"/>
                <w:kern w:val="0"/>
                <w:sz w:val="18"/>
                <w:szCs w:val="18"/>
              </w:rPr>
            </w:pPr>
            <w:r>
              <w:rPr>
                <w:rFonts w:hint="eastAsia"/>
                <w:color w:val="000000"/>
                <w:kern w:val="0"/>
                <w:sz w:val="18"/>
                <w:szCs w:val="18"/>
              </w:rPr>
              <w:t>裁量幅度</w:t>
            </w:r>
          </w:p>
        </w:tc>
        <w:tc>
          <w:tcPr>
            <w:tcW w:w="5614" w:type="dxa"/>
            <w:vAlign w:val="center"/>
          </w:tcPr>
          <w:p w14:paraId="4CB909F0">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w:t>
            </w:r>
          </w:p>
          <w:p w14:paraId="72AEF42F">
            <w:pPr>
              <w:spacing w:line="24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498C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010" w:type="dxa"/>
            <w:vMerge w:val="continue"/>
            <w:vAlign w:val="center"/>
          </w:tcPr>
          <w:p w14:paraId="3E75D82A">
            <w:pPr>
              <w:spacing w:line="240" w:lineRule="exact"/>
              <w:jc w:val="left"/>
              <w:rPr>
                <w:color w:val="000000"/>
                <w:kern w:val="0"/>
                <w:sz w:val="18"/>
                <w:szCs w:val="18"/>
              </w:rPr>
            </w:pPr>
          </w:p>
        </w:tc>
        <w:tc>
          <w:tcPr>
            <w:tcW w:w="6376" w:type="dxa"/>
            <w:vAlign w:val="center"/>
          </w:tcPr>
          <w:p w14:paraId="3E60A591">
            <w:pPr>
              <w:spacing w:line="240" w:lineRule="exact"/>
              <w:jc w:val="left"/>
              <w:rPr>
                <w:color w:val="000000"/>
                <w:kern w:val="0"/>
                <w:sz w:val="18"/>
                <w:szCs w:val="18"/>
              </w:rPr>
            </w:pPr>
            <w:r>
              <w:rPr>
                <w:rFonts w:hint="eastAsia"/>
                <w:color w:val="000000"/>
                <w:kern w:val="0"/>
                <w:sz w:val="18"/>
                <w:szCs w:val="18"/>
              </w:rPr>
              <w:t>发生一般或者较大生产安全事故的</w:t>
            </w:r>
          </w:p>
        </w:tc>
        <w:tc>
          <w:tcPr>
            <w:tcW w:w="1016" w:type="dxa"/>
            <w:vMerge w:val="continue"/>
            <w:vAlign w:val="center"/>
          </w:tcPr>
          <w:p w14:paraId="7715C6E7">
            <w:pPr>
              <w:spacing w:line="240" w:lineRule="exact"/>
              <w:jc w:val="left"/>
              <w:rPr>
                <w:color w:val="000000"/>
                <w:kern w:val="0"/>
                <w:sz w:val="18"/>
                <w:szCs w:val="18"/>
              </w:rPr>
            </w:pPr>
          </w:p>
        </w:tc>
        <w:tc>
          <w:tcPr>
            <w:tcW w:w="5614" w:type="dxa"/>
            <w:vAlign w:val="center"/>
          </w:tcPr>
          <w:p w14:paraId="046E5671">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万以下的罚款，责令停业整顿，降低资质证书；</w:t>
            </w:r>
          </w:p>
          <w:p w14:paraId="774D5991">
            <w:pPr>
              <w:spacing w:line="24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657E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010" w:type="dxa"/>
            <w:vMerge w:val="continue"/>
            <w:vAlign w:val="center"/>
          </w:tcPr>
          <w:p w14:paraId="7FA60EE8">
            <w:pPr>
              <w:spacing w:line="240" w:lineRule="exact"/>
              <w:jc w:val="left"/>
              <w:rPr>
                <w:color w:val="000000"/>
                <w:kern w:val="0"/>
                <w:sz w:val="18"/>
                <w:szCs w:val="18"/>
              </w:rPr>
            </w:pPr>
          </w:p>
        </w:tc>
        <w:tc>
          <w:tcPr>
            <w:tcW w:w="6376" w:type="dxa"/>
            <w:vAlign w:val="center"/>
          </w:tcPr>
          <w:p w14:paraId="7B140186">
            <w:pPr>
              <w:spacing w:line="240" w:lineRule="exact"/>
              <w:jc w:val="left"/>
              <w:rPr>
                <w:color w:val="000000"/>
                <w:kern w:val="0"/>
                <w:sz w:val="18"/>
                <w:szCs w:val="18"/>
              </w:rPr>
            </w:pPr>
            <w:r>
              <w:rPr>
                <w:rFonts w:hint="eastAsia"/>
                <w:color w:val="000000"/>
                <w:kern w:val="0"/>
                <w:sz w:val="18"/>
                <w:szCs w:val="18"/>
              </w:rPr>
              <w:t>发生重大以上生产安全事故的</w:t>
            </w:r>
          </w:p>
        </w:tc>
        <w:tc>
          <w:tcPr>
            <w:tcW w:w="1016" w:type="dxa"/>
            <w:vMerge w:val="continue"/>
            <w:vAlign w:val="center"/>
          </w:tcPr>
          <w:p w14:paraId="704119D8">
            <w:pPr>
              <w:spacing w:line="240" w:lineRule="exact"/>
              <w:jc w:val="left"/>
              <w:rPr>
                <w:color w:val="000000"/>
                <w:kern w:val="0"/>
                <w:sz w:val="18"/>
                <w:szCs w:val="18"/>
              </w:rPr>
            </w:pPr>
          </w:p>
        </w:tc>
        <w:tc>
          <w:tcPr>
            <w:tcW w:w="5614" w:type="dxa"/>
            <w:vAlign w:val="center"/>
          </w:tcPr>
          <w:p w14:paraId="61A9A9B9">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万以下的罚款，责令停业整顿，降低资质等级或吊销资质证书；</w:t>
            </w:r>
          </w:p>
          <w:p w14:paraId="674E3F2D">
            <w:pPr>
              <w:spacing w:line="240" w:lineRule="exact"/>
              <w:jc w:val="left"/>
              <w:rPr>
                <w:color w:val="000000"/>
                <w:kern w:val="0"/>
                <w:sz w:val="18"/>
                <w:szCs w:val="18"/>
              </w:rPr>
            </w:pPr>
            <w:r>
              <w:rPr>
                <w:rFonts w:hint="eastAsia"/>
                <w:color w:val="000000"/>
                <w:kern w:val="0"/>
                <w:sz w:val="18"/>
                <w:szCs w:val="18"/>
              </w:rPr>
              <w:t>对个人：处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2F1D6478"/>
    <w:p w14:paraId="27B35F80"/>
    <w:p w14:paraId="6C8D71CF"/>
    <w:p w14:paraId="042AEFB6"/>
    <w:p w14:paraId="78B4AC3A"/>
    <w:tbl>
      <w:tblPr>
        <w:tblStyle w:val="15"/>
        <w:tblW w:w="14016" w:type="dxa"/>
        <w:tblInd w:w="88" w:type="dxa"/>
        <w:tblLayout w:type="fixed"/>
        <w:tblCellMar>
          <w:top w:w="0" w:type="dxa"/>
          <w:left w:w="108" w:type="dxa"/>
          <w:bottom w:w="0" w:type="dxa"/>
          <w:right w:w="108" w:type="dxa"/>
        </w:tblCellMar>
      </w:tblPr>
      <w:tblGrid>
        <w:gridCol w:w="1010"/>
        <w:gridCol w:w="5673"/>
        <w:gridCol w:w="1719"/>
        <w:gridCol w:w="5614"/>
      </w:tblGrid>
      <w:tr w14:paraId="20EAADFA">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2438460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3EEA7BFE">
            <w:pPr>
              <w:spacing w:line="320" w:lineRule="exact"/>
              <w:jc w:val="left"/>
              <w:rPr>
                <w:rFonts w:eastAsia="仿宋_GB2312"/>
                <w:b/>
                <w:bCs/>
                <w:color w:val="000000"/>
                <w:kern w:val="0"/>
                <w:sz w:val="18"/>
                <w:szCs w:val="18"/>
              </w:rPr>
            </w:pPr>
            <w:r>
              <w:rPr>
                <w:rFonts w:eastAsia="仿宋_GB2312"/>
                <w:b/>
                <w:bCs/>
                <w:color w:val="000000"/>
                <w:kern w:val="0"/>
                <w:sz w:val="18"/>
                <w:szCs w:val="18"/>
              </w:rPr>
              <w:t xml:space="preserve">320217789000 </w:t>
            </w:r>
          </w:p>
        </w:tc>
      </w:tr>
      <w:tr w14:paraId="5EB0D05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21C0E28">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318999BA">
            <w:pPr>
              <w:spacing w:line="320" w:lineRule="exact"/>
              <w:jc w:val="left"/>
              <w:rPr>
                <w:b/>
                <w:color w:val="000000"/>
                <w:kern w:val="0"/>
                <w:sz w:val="18"/>
                <w:szCs w:val="18"/>
              </w:rPr>
            </w:pPr>
            <w:r>
              <w:rPr>
                <w:rFonts w:hint="eastAsia"/>
                <w:color w:val="000000"/>
                <w:spacing w:val="-6"/>
                <w:kern w:val="0"/>
                <w:sz w:val="18"/>
                <w:szCs w:val="18"/>
              </w:rPr>
              <w:t>对监理单位直接负责的主管人员和其他直接责任人员在发现施工单位未按照专项施工方案实施，未要求其整改或者停工的处罚</w:t>
            </w:r>
          </w:p>
        </w:tc>
      </w:tr>
      <w:tr w14:paraId="4236220E">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541269CC">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03AD3942">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6ADA2064">
            <w:pPr>
              <w:spacing w:line="320" w:lineRule="exact"/>
              <w:jc w:val="left"/>
              <w:rPr>
                <w:color w:val="000000"/>
                <w:kern w:val="0"/>
                <w:sz w:val="18"/>
                <w:szCs w:val="18"/>
              </w:rPr>
            </w:pPr>
            <w:r>
              <w:rPr>
                <w:rFonts w:hint="eastAsia"/>
                <w:color w:val="000000"/>
                <w:kern w:val="0"/>
                <w:sz w:val="18"/>
                <w:szCs w:val="18"/>
              </w:rPr>
              <w:t>　　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14:paraId="2006413A">
            <w:pPr>
              <w:spacing w:line="320" w:lineRule="exact"/>
              <w:jc w:val="left"/>
              <w:rPr>
                <w:color w:val="000000"/>
                <w:kern w:val="0"/>
                <w:sz w:val="18"/>
                <w:szCs w:val="18"/>
              </w:rPr>
            </w:pPr>
            <w:r>
              <w:rPr>
                <w:rFonts w:hint="eastAsia"/>
                <w:color w:val="000000"/>
                <w:kern w:val="0"/>
                <w:sz w:val="18"/>
                <w:szCs w:val="18"/>
              </w:rPr>
              <w:t>　　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16E0AE87">
            <w:pPr>
              <w:spacing w:line="320" w:lineRule="exact"/>
              <w:jc w:val="left"/>
              <w:rPr>
                <w:color w:val="000000"/>
                <w:kern w:val="0"/>
                <w:sz w:val="18"/>
                <w:szCs w:val="18"/>
              </w:rPr>
            </w:pPr>
            <w:r>
              <w:rPr>
                <w:rFonts w:hint="eastAsia"/>
                <w:color w:val="000000"/>
                <w:kern w:val="0"/>
                <w:sz w:val="18"/>
                <w:szCs w:val="18"/>
              </w:rPr>
              <w:t>　　（二）发现施工单位未按照专项施工方案实施，未要求其整改或者停工的；</w:t>
            </w:r>
          </w:p>
        </w:tc>
      </w:tr>
      <w:tr w14:paraId="7E1A3F8E">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001A8EE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2112FD73">
            <w:pPr>
              <w:spacing w:line="320" w:lineRule="exact"/>
              <w:jc w:val="left"/>
              <w:rPr>
                <w:color w:val="000000"/>
                <w:kern w:val="0"/>
                <w:sz w:val="18"/>
                <w:szCs w:val="18"/>
              </w:rPr>
            </w:pPr>
            <w:r>
              <w:rPr>
                <w:rFonts w:hint="eastAsia"/>
                <w:color w:val="000000"/>
                <w:kern w:val="0"/>
                <w:sz w:val="18"/>
                <w:szCs w:val="18"/>
              </w:rPr>
              <w:t>罚款</w:t>
            </w:r>
          </w:p>
        </w:tc>
      </w:tr>
      <w:tr w14:paraId="324F5186">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3A5CDF1A">
            <w:pPr>
              <w:spacing w:line="320" w:lineRule="exact"/>
              <w:jc w:val="center"/>
              <w:rPr>
                <w:color w:val="000000"/>
                <w:kern w:val="0"/>
                <w:sz w:val="18"/>
                <w:szCs w:val="18"/>
              </w:rPr>
            </w:pPr>
            <w:r>
              <w:rPr>
                <w:rFonts w:hint="eastAsia"/>
                <w:color w:val="000000"/>
                <w:kern w:val="0"/>
                <w:sz w:val="18"/>
                <w:szCs w:val="18"/>
              </w:rPr>
              <w:t>裁量基准</w:t>
            </w:r>
          </w:p>
        </w:tc>
      </w:tr>
      <w:tr w14:paraId="5D6D5C98">
        <w:tblPrEx>
          <w:tblCellMar>
            <w:top w:w="0" w:type="dxa"/>
            <w:left w:w="108" w:type="dxa"/>
            <w:bottom w:w="0" w:type="dxa"/>
            <w:right w:w="108" w:type="dxa"/>
          </w:tblCellMar>
        </w:tblPrEx>
        <w:trPr>
          <w:trHeight w:val="285" w:hRule="atLeast"/>
        </w:trPr>
        <w:tc>
          <w:tcPr>
            <w:tcW w:w="1010" w:type="dxa"/>
            <w:vMerge w:val="restart"/>
            <w:tcBorders>
              <w:top w:val="nil"/>
              <w:left w:val="single" w:color="auto" w:sz="8" w:space="0"/>
              <w:right w:val="single" w:color="auto" w:sz="4" w:space="0"/>
            </w:tcBorders>
            <w:vAlign w:val="center"/>
          </w:tcPr>
          <w:p w14:paraId="33362B3D">
            <w:pPr>
              <w:spacing w:line="320" w:lineRule="exact"/>
              <w:jc w:val="center"/>
              <w:rPr>
                <w:color w:val="000000"/>
                <w:kern w:val="0"/>
                <w:sz w:val="18"/>
                <w:szCs w:val="18"/>
              </w:rPr>
            </w:pPr>
            <w:r>
              <w:rPr>
                <w:rFonts w:hint="eastAsia"/>
                <w:color w:val="000000"/>
                <w:kern w:val="0"/>
                <w:sz w:val="18"/>
                <w:szCs w:val="18"/>
              </w:rPr>
              <w:t>情形描述</w:t>
            </w:r>
          </w:p>
        </w:tc>
        <w:tc>
          <w:tcPr>
            <w:tcW w:w="5673" w:type="dxa"/>
            <w:tcBorders>
              <w:top w:val="single" w:color="auto" w:sz="4" w:space="0"/>
              <w:left w:val="nil"/>
              <w:bottom w:val="single" w:color="auto" w:sz="4" w:space="0"/>
              <w:right w:val="single" w:color="auto" w:sz="4" w:space="0"/>
            </w:tcBorders>
            <w:vAlign w:val="center"/>
          </w:tcPr>
          <w:p w14:paraId="4D76F5FE">
            <w:pPr>
              <w:spacing w:line="320" w:lineRule="exact"/>
              <w:jc w:val="left"/>
              <w:rPr>
                <w:color w:val="000000"/>
                <w:kern w:val="0"/>
                <w:sz w:val="18"/>
                <w:szCs w:val="18"/>
              </w:rPr>
            </w:pPr>
            <w:r>
              <w:rPr>
                <w:rFonts w:hint="eastAsia"/>
                <w:color w:val="000000"/>
                <w:kern w:val="0"/>
                <w:sz w:val="18"/>
                <w:szCs w:val="18"/>
              </w:rPr>
              <w:t>没有发生生产安全事故的</w:t>
            </w:r>
          </w:p>
        </w:tc>
        <w:tc>
          <w:tcPr>
            <w:tcW w:w="1719" w:type="dxa"/>
            <w:vMerge w:val="restart"/>
            <w:tcBorders>
              <w:top w:val="nil"/>
              <w:left w:val="single" w:color="auto" w:sz="4" w:space="0"/>
              <w:right w:val="single" w:color="auto" w:sz="4" w:space="0"/>
            </w:tcBorders>
            <w:vAlign w:val="center"/>
          </w:tcPr>
          <w:p w14:paraId="3322E1E6">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color="auto" w:sz="4" w:space="0"/>
              <w:right w:val="single" w:color="auto" w:sz="8" w:space="0"/>
            </w:tcBorders>
            <w:vAlign w:val="center"/>
          </w:tcPr>
          <w:p w14:paraId="1D3945E7">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w:t>
            </w:r>
          </w:p>
          <w:p w14:paraId="7530E682">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5294C2F5">
        <w:tblPrEx>
          <w:tblCellMar>
            <w:top w:w="0" w:type="dxa"/>
            <w:left w:w="108" w:type="dxa"/>
            <w:bottom w:w="0" w:type="dxa"/>
            <w:right w:w="108" w:type="dxa"/>
          </w:tblCellMar>
        </w:tblPrEx>
        <w:trPr>
          <w:trHeight w:val="285" w:hRule="atLeast"/>
        </w:trPr>
        <w:tc>
          <w:tcPr>
            <w:tcW w:w="1010" w:type="dxa"/>
            <w:vMerge w:val="continue"/>
            <w:tcBorders>
              <w:left w:val="single" w:color="auto" w:sz="8" w:space="0"/>
              <w:right w:val="single" w:color="auto" w:sz="4" w:space="0"/>
            </w:tcBorders>
            <w:vAlign w:val="center"/>
          </w:tcPr>
          <w:p w14:paraId="68A2082E">
            <w:pPr>
              <w:spacing w:line="320" w:lineRule="exact"/>
              <w:jc w:val="left"/>
              <w:rPr>
                <w:color w:val="000000"/>
                <w:kern w:val="0"/>
                <w:sz w:val="18"/>
                <w:szCs w:val="18"/>
              </w:rPr>
            </w:pPr>
          </w:p>
        </w:tc>
        <w:tc>
          <w:tcPr>
            <w:tcW w:w="5673" w:type="dxa"/>
            <w:tcBorders>
              <w:top w:val="single" w:color="auto" w:sz="4" w:space="0"/>
              <w:left w:val="nil"/>
              <w:bottom w:val="single" w:color="auto" w:sz="4" w:space="0"/>
              <w:right w:val="single" w:color="auto" w:sz="4" w:space="0"/>
            </w:tcBorders>
            <w:vAlign w:val="center"/>
          </w:tcPr>
          <w:p w14:paraId="104413C1">
            <w:pPr>
              <w:spacing w:line="320" w:lineRule="exact"/>
              <w:jc w:val="left"/>
              <w:rPr>
                <w:color w:val="000000"/>
                <w:kern w:val="0"/>
                <w:sz w:val="18"/>
                <w:szCs w:val="18"/>
              </w:rPr>
            </w:pPr>
            <w:r>
              <w:rPr>
                <w:rFonts w:hint="eastAsia"/>
                <w:color w:val="000000"/>
                <w:kern w:val="0"/>
                <w:sz w:val="18"/>
                <w:szCs w:val="18"/>
              </w:rPr>
              <w:t>发生一般或者较大生产安全事故的</w:t>
            </w:r>
          </w:p>
        </w:tc>
        <w:tc>
          <w:tcPr>
            <w:tcW w:w="1719" w:type="dxa"/>
            <w:vMerge w:val="continue"/>
            <w:tcBorders>
              <w:left w:val="single" w:color="auto" w:sz="4" w:space="0"/>
              <w:right w:val="single" w:color="auto" w:sz="4" w:space="0"/>
            </w:tcBorders>
            <w:vAlign w:val="center"/>
          </w:tcPr>
          <w:p w14:paraId="49885543">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5D6A556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万以下的罚款，责令停业整顿，降低资质证书；</w:t>
            </w:r>
          </w:p>
          <w:p w14:paraId="53D082E9">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2D6AA991">
        <w:tblPrEx>
          <w:tblCellMar>
            <w:top w:w="0" w:type="dxa"/>
            <w:left w:w="108" w:type="dxa"/>
            <w:bottom w:w="0" w:type="dxa"/>
            <w:right w:w="108" w:type="dxa"/>
          </w:tblCellMar>
        </w:tblPrEx>
        <w:trPr>
          <w:trHeight w:val="285" w:hRule="atLeast"/>
        </w:trPr>
        <w:tc>
          <w:tcPr>
            <w:tcW w:w="1010" w:type="dxa"/>
            <w:vMerge w:val="continue"/>
            <w:tcBorders>
              <w:left w:val="single" w:color="auto" w:sz="8" w:space="0"/>
              <w:bottom w:val="single" w:color="auto" w:sz="4" w:space="0"/>
              <w:right w:val="single" w:color="auto" w:sz="4" w:space="0"/>
            </w:tcBorders>
            <w:vAlign w:val="center"/>
          </w:tcPr>
          <w:p w14:paraId="7ECAAB9B">
            <w:pPr>
              <w:spacing w:line="320" w:lineRule="exact"/>
              <w:jc w:val="left"/>
              <w:rPr>
                <w:color w:val="000000"/>
                <w:kern w:val="0"/>
                <w:sz w:val="18"/>
                <w:szCs w:val="18"/>
              </w:rPr>
            </w:pPr>
          </w:p>
        </w:tc>
        <w:tc>
          <w:tcPr>
            <w:tcW w:w="5673" w:type="dxa"/>
            <w:tcBorders>
              <w:top w:val="single" w:color="auto" w:sz="4" w:space="0"/>
              <w:left w:val="nil"/>
              <w:bottom w:val="single" w:color="auto" w:sz="4" w:space="0"/>
              <w:right w:val="single" w:color="auto" w:sz="4" w:space="0"/>
            </w:tcBorders>
            <w:vAlign w:val="center"/>
          </w:tcPr>
          <w:p w14:paraId="4E4DE311">
            <w:pPr>
              <w:spacing w:line="320" w:lineRule="exact"/>
              <w:jc w:val="left"/>
              <w:rPr>
                <w:color w:val="000000"/>
                <w:kern w:val="0"/>
                <w:sz w:val="18"/>
                <w:szCs w:val="18"/>
              </w:rPr>
            </w:pPr>
            <w:r>
              <w:rPr>
                <w:rFonts w:hint="eastAsia"/>
                <w:color w:val="000000"/>
                <w:kern w:val="0"/>
                <w:sz w:val="18"/>
                <w:szCs w:val="18"/>
              </w:rPr>
              <w:t>发生重大以上生产安全事故的</w:t>
            </w:r>
          </w:p>
        </w:tc>
        <w:tc>
          <w:tcPr>
            <w:tcW w:w="1719" w:type="dxa"/>
            <w:vMerge w:val="continue"/>
            <w:tcBorders>
              <w:left w:val="single" w:color="auto" w:sz="4" w:space="0"/>
              <w:bottom w:val="single" w:color="auto" w:sz="4" w:space="0"/>
              <w:right w:val="single" w:color="auto" w:sz="4" w:space="0"/>
            </w:tcBorders>
            <w:vAlign w:val="center"/>
          </w:tcPr>
          <w:p w14:paraId="4386FAE6">
            <w:pPr>
              <w:spacing w:line="320" w:lineRule="exact"/>
              <w:jc w:val="left"/>
              <w:rPr>
                <w:color w:val="000000"/>
                <w:kern w:val="0"/>
                <w:sz w:val="18"/>
                <w:szCs w:val="18"/>
              </w:rPr>
            </w:pPr>
          </w:p>
        </w:tc>
        <w:tc>
          <w:tcPr>
            <w:tcW w:w="5614" w:type="dxa"/>
            <w:tcBorders>
              <w:top w:val="nil"/>
              <w:left w:val="nil"/>
              <w:bottom w:val="single" w:color="auto" w:sz="4" w:space="0"/>
              <w:right w:val="single" w:color="auto" w:sz="8" w:space="0"/>
            </w:tcBorders>
            <w:vAlign w:val="center"/>
          </w:tcPr>
          <w:p w14:paraId="72204E62">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万以下的罚款，责令停业整顿，降低资质等级或吊销资质证书；</w:t>
            </w:r>
          </w:p>
          <w:p w14:paraId="78EC7DA3">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5E3FBA67"/>
    <w:p w14:paraId="4E8C0B06"/>
    <w:p w14:paraId="7D918FB6"/>
    <w:p w14:paraId="2D9ECCF8"/>
    <w:p w14:paraId="7A595744"/>
    <w:tbl>
      <w:tblPr>
        <w:tblStyle w:val="15"/>
        <w:tblW w:w="14016" w:type="dxa"/>
        <w:tblInd w:w="88" w:type="dxa"/>
        <w:tblLayout w:type="fixed"/>
        <w:tblCellMar>
          <w:top w:w="0" w:type="dxa"/>
          <w:left w:w="108" w:type="dxa"/>
          <w:bottom w:w="0" w:type="dxa"/>
          <w:right w:w="108" w:type="dxa"/>
        </w:tblCellMar>
      </w:tblPr>
      <w:tblGrid>
        <w:gridCol w:w="1010"/>
        <w:gridCol w:w="6376"/>
        <w:gridCol w:w="1016"/>
        <w:gridCol w:w="5614"/>
      </w:tblGrid>
      <w:tr w14:paraId="05943639">
        <w:tblPrEx>
          <w:tblCellMar>
            <w:top w:w="0" w:type="dxa"/>
            <w:left w:w="108" w:type="dxa"/>
            <w:bottom w:w="0" w:type="dxa"/>
            <w:right w:w="108" w:type="dxa"/>
          </w:tblCellMar>
        </w:tblPrEx>
        <w:trPr>
          <w:trHeight w:val="285" w:hRule="atLeast"/>
        </w:trPr>
        <w:tc>
          <w:tcPr>
            <w:tcW w:w="1010" w:type="dxa"/>
            <w:tcBorders>
              <w:top w:val="single" w:color="auto" w:sz="8" w:space="0"/>
              <w:left w:val="single" w:color="auto" w:sz="8" w:space="0"/>
              <w:bottom w:val="single" w:color="auto" w:sz="4" w:space="0"/>
              <w:right w:val="single" w:color="auto" w:sz="4" w:space="0"/>
            </w:tcBorders>
            <w:vAlign w:val="center"/>
          </w:tcPr>
          <w:p w14:paraId="45E06318">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color="auto" w:sz="8" w:space="0"/>
              <w:left w:val="nil"/>
              <w:bottom w:val="single" w:color="auto" w:sz="4" w:space="0"/>
              <w:right w:val="single" w:color="000000" w:sz="8" w:space="0"/>
            </w:tcBorders>
            <w:vAlign w:val="center"/>
          </w:tcPr>
          <w:p w14:paraId="5E7EBEBE">
            <w:pPr>
              <w:spacing w:line="320" w:lineRule="exact"/>
              <w:jc w:val="left"/>
              <w:rPr>
                <w:rFonts w:eastAsia="仿宋_GB2312"/>
                <w:b/>
                <w:bCs/>
                <w:color w:val="000000"/>
                <w:kern w:val="0"/>
                <w:sz w:val="18"/>
                <w:szCs w:val="18"/>
              </w:rPr>
            </w:pPr>
            <w:r>
              <w:rPr>
                <w:rFonts w:eastAsia="仿宋_GB2312"/>
                <w:b/>
                <w:bCs/>
                <w:color w:val="000000"/>
                <w:kern w:val="0"/>
                <w:sz w:val="18"/>
                <w:szCs w:val="18"/>
              </w:rPr>
              <w:t>320217790000</w:t>
            </w:r>
          </w:p>
        </w:tc>
      </w:tr>
      <w:tr w14:paraId="2F2F7493">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147671C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color="auto" w:sz="4" w:space="0"/>
              <w:left w:val="nil"/>
              <w:bottom w:val="single" w:color="auto" w:sz="4" w:space="0"/>
              <w:right w:val="single" w:color="000000" w:sz="8" w:space="0"/>
            </w:tcBorders>
            <w:vAlign w:val="center"/>
          </w:tcPr>
          <w:p w14:paraId="56D6C628">
            <w:pPr>
              <w:spacing w:line="320" w:lineRule="exact"/>
              <w:jc w:val="left"/>
              <w:rPr>
                <w:b/>
                <w:color w:val="000000"/>
                <w:kern w:val="0"/>
                <w:sz w:val="18"/>
                <w:szCs w:val="18"/>
              </w:rPr>
            </w:pPr>
            <w:r>
              <w:rPr>
                <w:rFonts w:hint="eastAsia"/>
                <w:color w:val="000000"/>
                <w:spacing w:val="-6"/>
                <w:kern w:val="0"/>
                <w:sz w:val="18"/>
                <w:szCs w:val="18"/>
              </w:rPr>
              <w:t>对监理单位直接负责的主管人员和其他直接责任人员在施工单位拒不整改或者不停止施工时，未向建设单位和工程所在地住房城乡建设主管部门报告的处罚</w:t>
            </w:r>
          </w:p>
        </w:tc>
      </w:tr>
      <w:tr w14:paraId="01476EEC">
        <w:tblPrEx>
          <w:tblCellMar>
            <w:top w:w="0" w:type="dxa"/>
            <w:left w:w="108" w:type="dxa"/>
            <w:bottom w:w="0" w:type="dxa"/>
            <w:right w:w="108" w:type="dxa"/>
          </w:tblCellMar>
        </w:tblPrEx>
        <w:trPr>
          <w:trHeight w:val="1275" w:hRule="atLeast"/>
        </w:trPr>
        <w:tc>
          <w:tcPr>
            <w:tcW w:w="1010" w:type="dxa"/>
            <w:tcBorders>
              <w:top w:val="nil"/>
              <w:left w:val="single" w:color="auto" w:sz="8" w:space="0"/>
              <w:bottom w:val="single" w:color="auto" w:sz="4" w:space="0"/>
              <w:right w:val="single" w:color="auto" w:sz="4" w:space="0"/>
            </w:tcBorders>
            <w:vAlign w:val="center"/>
          </w:tcPr>
          <w:p w14:paraId="593B630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nil"/>
              <w:bottom w:val="single" w:color="auto" w:sz="4" w:space="0"/>
              <w:right w:val="single" w:color="000000" w:sz="8" w:space="0"/>
            </w:tcBorders>
            <w:vAlign w:val="center"/>
          </w:tcPr>
          <w:p w14:paraId="7F938309">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14:paraId="78EDC448">
            <w:pPr>
              <w:spacing w:line="320" w:lineRule="exact"/>
              <w:jc w:val="left"/>
              <w:rPr>
                <w:color w:val="000000"/>
                <w:kern w:val="0"/>
                <w:sz w:val="18"/>
                <w:szCs w:val="18"/>
              </w:rPr>
            </w:pPr>
            <w:r>
              <w:rPr>
                <w:rFonts w:hint="eastAsia"/>
                <w:color w:val="000000"/>
                <w:kern w:val="0"/>
                <w:sz w:val="18"/>
                <w:szCs w:val="18"/>
              </w:rPr>
              <w:t>　　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14:paraId="0BA5F6A3">
            <w:pPr>
              <w:spacing w:line="320" w:lineRule="exact"/>
              <w:jc w:val="left"/>
              <w:rPr>
                <w:color w:val="000000"/>
                <w:kern w:val="0"/>
                <w:sz w:val="18"/>
                <w:szCs w:val="18"/>
              </w:rPr>
            </w:pPr>
            <w:r>
              <w:rPr>
                <w:rFonts w:hint="eastAsia"/>
                <w:color w:val="000000"/>
                <w:kern w:val="0"/>
                <w:sz w:val="18"/>
                <w:szCs w:val="18"/>
              </w:rPr>
              <w:t>　　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14:paraId="5EB31B2D">
            <w:pPr>
              <w:spacing w:line="320" w:lineRule="exact"/>
              <w:jc w:val="left"/>
              <w:rPr>
                <w:color w:val="000000"/>
                <w:kern w:val="0"/>
                <w:sz w:val="18"/>
                <w:szCs w:val="18"/>
              </w:rPr>
            </w:pPr>
            <w:r>
              <w:rPr>
                <w:rFonts w:hint="eastAsia"/>
                <w:color w:val="000000"/>
                <w:kern w:val="0"/>
                <w:sz w:val="18"/>
                <w:szCs w:val="18"/>
              </w:rPr>
              <w:t>　　（三）施工单位拒不整改或者不停止施工时，未向建设单位和工程所在地住房城乡建设主管部门报告的。</w:t>
            </w:r>
          </w:p>
        </w:tc>
      </w:tr>
      <w:tr w14:paraId="6DA3E934">
        <w:tblPrEx>
          <w:tblCellMar>
            <w:top w:w="0" w:type="dxa"/>
            <w:left w:w="108" w:type="dxa"/>
            <w:bottom w:w="0" w:type="dxa"/>
            <w:right w:w="108" w:type="dxa"/>
          </w:tblCellMar>
        </w:tblPrEx>
        <w:trPr>
          <w:trHeight w:val="285" w:hRule="atLeast"/>
        </w:trPr>
        <w:tc>
          <w:tcPr>
            <w:tcW w:w="1010" w:type="dxa"/>
            <w:tcBorders>
              <w:top w:val="nil"/>
              <w:left w:val="single" w:color="auto" w:sz="8" w:space="0"/>
              <w:bottom w:val="single" w:color="auto" w:sz="4" w:space="0"/>
              <w:right w:val="single" w:color="auto" w:sz="4" w:space="0"/>
            </w:tcBorders>
            <w:vAlign w:val="center"/>
          </w:tcPr>
          <w:p w14:paraId="3E7D753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nil"/>
              <w:bottom w:val="single" w:color="auto" w:sz="4" w:space="0"/>
              <w:right w:val="single" w:color="000000" w:sz="8" w:space="0"/>
            </w:tcBorders>
            <w:vAlign w:val="center"/>
          </w:tcPr>
          <w:p w14:paraId="0FED3B2B">
            <w:pPr>
              <w:spacing w:line="320" w:lineRule="exact"/>
              <w:jc w:val="left"/>
              <w:rPr>
                <w:color w:val="000000"/>
                <w:kern w:val="0"/>
                <w:sz w:val="18"/>
                <w:szCs w:val="18"/>
              </w:rPr>
            </w:pPr>
            <w:r>
              <w:rPr>
                <w:rFonts w:hint="eastAsia"/>
                <w:color w:val="000000"/>
                <w:kern w:val="0"/>
                <w:sz w:val="18"/>
                <w:szCs w:val="18"/>
              </w:rPr>
              <w:t>罚款</w:t>
            </w:r>
          </w:p>
        </w:tc>
      </w:tr>
      <w:tr w14:paraId="22E7F969">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1C8B5AEB">
            <w:pPr>
              <w:spacing w:line="320" w:lineRule="exact"/>
              <w:jc w:val="center"/>
              <w:rPr>
                <w:color w:val="000000"/>
                <w:kern w:val="0"/>
                <w:sz w:val="18"/>
                <w:szCs w:val="18"/>
              </w:rPr>
            </w:pPr>
            <w:r>
              <w:rPr>
                <w:rFonts w:hint="eastAsia"/>
                <w:color w:val="000000"/>
                <w:kern w:val="0"/>
                <w:sz w:val="18"/>
                <w:szCs w:val="18"/>
              </w:rPr>
              <w:t>裁量基准</w:t>
            </w:r>
          </w:p>
        </w:tc>
      </w:tr>
      <w:tr w14:paraId="5705C4AF">
        <w:tblPrEx>
          <w:tblCellMar>
            <w:top w:w="0" w:type="dxa"/>
            <w:left w:w="108" w:type="dxa"/>
            <w:bottom w:w="0" w:type="dxa"/>
            <w:right w:w="108" w:type="dxa"/>
          </w:tblCellMar>
        </w:tblPrEx>
        <w:trPr>
          <w:trHeight w:val="285" w:hRule="atLeast"/>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09A54973">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color="auto" w:sz="4" w:space="0"/>
              <w:left w:val="nil"/>
              <w:bottom w:val="single" w:color="auto" w:sz="4" w:space="0"/>
              <w:right w:val="single" w:color="auto" w:sz="4" w:space="0"/>
            </w:tcBorders>
            <w:vAlign w:val="center"/>
          </w:tcPr>
          <w:p w14:paraId="14BB21E4">
            <w:pPr>
              <w:spacing w:line="320" w:lineRule="exact"/>
              <w:jc w:val="left"/>
              <w:rPr>
                <w:color w:val="000000"/>
                <w:kern w:val="0"/>
                <w:sz w:val="18"/>
                <w:szCs w:val="18"/>
              </w:rPr>
            </w:pPr>
            <w:r>
              <w:rPr>
                <w:rFonts w:hint="eastAsia"/>
                <w:color w:val="000000"/>
                <w:kern w:val="0"/>
                <w:sz w:val="18"/>
                <w:szCs w:val="18"/>
              </w:rPr>
              <w:t>没有发生生产安全事故的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39F44500">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color="auto" w:sz="4" w:space="0"/>
              <w:left w:val="nil"/>
              <w:bottom w:val="single" w:color="auto" w:sz="4" w:space="0"/>
              <w:right w:val="single" w:color="auto" w:sz="4" w:space="0"/>
            </w:tcBorders>
            <w:vAlign w:val="center"/>
          </w:tcPr>
          <w:p w14:paraId="404426F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w:t>
            </w:r>
          </w:p>
          <w:p w14:paraId="586834DE">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14:paraId="0EF1BB0D">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51AC4D05">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2FD92C6B">
            <w:pPr>
              <w:spacing w:line="320" w:lineRule="exact"/>
              <w:jc w:val="left"/>
              <w:rPr>
                <w:color w:val="000000"/>
                <w:kern w:val="0"/>
                <w:sz w:val="18"/>
                <w:szCs w:val="18"/>
              </w:rPr>
            </w:pPr>
            <w:r>
              <w:rPr>
                <w:rFonts w:hint="eastAsia"/>
                <w:color w:val="000000"/>
                <w:kern w:val="0"/>
                <w:sz w:val="18"/>
                <w:szCs w:val="18"/>
              </w:rPr>
              <w:t>发生一般或者较大生产安全事故的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15B81BA5">
            <w:pPr>
              <w:spacing w:line="320" w:lineRule="exact"/>
              <w:jc w:val="lef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5279A0CC">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万以下的罚款，责令停业整顿，降低资质证书；</w:t>
            </w:r>
          </w:p>
          <w:p w14:paraId="28BE192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14:paraId="2459B216">
        <w:tblPrEx>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48A411B5">
            <w:pPr>
              <w:spacing w:line="320" w:lineRule="exact"/>
              <w:jc w:val="left"/>
              <w:rPr>
                <w:color w:val="000000"/>
                <w:kern w:val="0"/>
                <w:sz w:val="18"/>
                <w:szCs w:val="18"/>
              </w:rPr>
            </w:pPr>
          </w:p>
        </w:tc>
        <w:tc>
          <w:tcPr>
            <w:tcW w:w="6376" w:type="dxa"/>
            <w:tcBorders>
              <w:top w:val="single" w:color="auto" w:sz="4" w:space="0"/>
              <w:left w:val="nil"/>
              <w:bottom w:val="single" w:color="auto" w:sz="4" w:space="0"/>
              <w:right w:val="single" w:color="auto" w:sz="4" w:space="0"/>
            </w:tcBorders>
            <w:vAlign w:val="center"/>
          </w:tcPr>
          <w:p w14:paraId="278753A1">
            <w:pPr>
              <w:spacing w:line="320" w:lineRule="exact"/>
              <w:jc w:val="left"/>
              <w:rPr>
                <w:color w:val="000000"/>
                <w:kern w:val="0"/>
                <w:sz w:val="18"/>
                <w:szCs w:val="18"/>
              </w:rPr>
            </w:pPr>
            <w:r>
              <w:rPr>
                <w:rFonts w:hint="eastAsia"/>
                <w:color w:val="000000"/>
                <w:kern w:val="0"/>
                <w:sz w:val="18"/>
                <w:szCs w:val="18"/>
              </w:rPr>
              <w:t>发生重大以上生产安全事故的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7B19A557">
            <w:pPr>
              <w:spacing w:line="320" w:lineRule="exact"/>
              <w:jc w:val="left"/>
              <w:rPr>
                <w:color w:val="000000"/>
                <w:kern w:val="0"/>
                <w:sz w:val="18"/>
                <w:szCs w:val="18"/>
              </w:rPr>
            </w:pPr>
          </w:p>
        </w:tc>
        <w:tc>
          <w:tcPr>
            <w:tcW w:w="5614" w:type="dxa"/>
            <w:tcBorders>
              <w:top w:val="single" w:color="auto" w:sz="4" w:space="0"/>
              <w:left w:val="nil"/>
              <w:bottom w:val="single" w:color="auto" w:sz="4" w:space="0"/>
              <w:right w:val="single" w:color="auto" w:sz="4" w:space="0"/>
            </w:tcBorders>
            <w:vAlign w:val="center"/>
          </w:tcPr>
          <w:p w14:paraId="7F5376A0">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万以下的罚款，责令停业整顿，降低资质等级或吊销资质证书；</w:t>
            </w:r>
          </w:p>
          <w:p w14:paraId="073AFDF7">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14:paraId="1FD37703"/>
    <w:p w14:paraId="1097DAFA"/>
    <w:p w14:paraId="205884FD"/>
    <w:p w14:paraId="3D81949F"/>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AD6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EE27F1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A99AA73">
            <w:pPr>
              <w:spacing w:line="320" w:lineRule="exact"/>
              <w:jc w:val="left"/>
              <w:rPr>
                <w:rFonts w:eastAsia="仿宋_GB2312"/>
                <w:b/>
                <w:bCs/>
                <w:color w:val="000000"/>
                <w:kern w:val="0"/>
                <w:sz w:val="18"/>
                <w:szCs w:val="18"/>
              </w:rPr>
            </w:pPr>
            <w:r>
              <w:rPr>
                <w:rFonts w:eastAsia="仿宋_GB2312"/>
                <w:b/>
                <w:bCs/>
                <w:color w:val="000000"/>
                <w:kern w:val="0"/>
                <w:sz w:val="18"/>
                <w:szCs w:val="18"/>
              </w:rPr>
              <w:t>320217792000</w:t>
            </w:r>
          </w:p>
        </w:tc>
      </w:tr>
      <w:tr w14:paraId="3B8D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5AC427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B0EC104">
            <w:pPr>
              <w:spacing w:line="320" w:lineRule="exact"/>
              <w:jc w:val="left"/>
              <w:rPr>
                <w:color w:val="000000"/>
                <w:spacing w:val="-6"/>
                <w:kern w:val="0"/>
                <w:sz w:val="18"/>
                <w:szCs w:val="18"/>
              </w:rPr>
            </w:pPr>
            <w:r>
              <w:rPr>
                <w:rFonts w:hint="eastAsia"/>
                <w:color w:val="000000"/>
                <w:spacing w:val="-6"/>
                <w:kern w:val="0"/>
                <w:sz w:val="18"/>
                <w:szCs w:val="18"/>
              </w:rPr>
              <w:t>对在城市照明设施安全距离内，擅自植树、挖坑取土或者设置其他物体，或者倾倒含酸、碱、盐等腐蚀物或者具有腐蚀性的废渣、废液的处罚</w:t>
            </w:r>
          </w:p>
        </w:tc>
      </w:tr>
      <w:tr w14:paraId="7630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26A3FD40">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E6D4880">
            <w:pPr>
              <w:spacing w:line="320" w:lineRule="exact"/>
              <w:jc w:val="left"/>
              <w:rPr>
                <w:color w:val="000000"/>
                <w:kern w:val="0"/>
                <w:sz w:val="18"/>
                <w:szCs w:val="18"/>
              </w:rPr>
            </w:pPr>
            <w:r>
              <w:rPr>
                <w:rFonts w:hint="eastAsia"/>
                <w:color w:val="000000"/>
                <w:kern w:val="0"/>
                <w:sz w:val="18"/>
                <w:szCs w:val="18"/>
              </w:rPr>
              <w:t>【规章】《城市照明管理规定》（住房和城乡建设部令第</w:t>
            </w:r>
            <w:r>
              <w:rPr>
                <w:color w:val="000000"/>
                <w:kern w:val="0"/>
                <w:sz w:val="18"/>
                <w:szCs w:val="18"/>
              </w:rPr>
              <w:t>4</w:t>
            </w:r>
            <w:r>
              <w:rPr>
                <w:rFonts w:hint="eastAsia"/>
                <w:color w:val="000000"/>
                <w:kern w:val="0"/>
                <w:sz w:val="18"/>
                <w:szCs w:val="18"/>
              </w:rPr>
              <w:t>号）</w:t>
            </w:r>
          </w:p>
          <w:p w14:paraId="1A8DADFB">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任何单位和个人都应当保护城市照明设施，不得实施下列行为：</w:t>
            </w:r>
          </w:p>
          <w:p w14:paraId="30AD3C4F">
            <w:pPr>
              <w:spacing w:line="320" w:lineRule="exact"/>
              <w:jc w:val="left"/>
              <w:rPr>
                <w:color w:val="000000"/>
                <w:kern w:val="0"/>
                <w:sz w:val="18"/>
                <w:szCs w:val="18"/>
              </w:rPr>
            </w:pPr>
            <w:r>
              <w:rPr>
                <w:rFonts w:hint="eastAsia"/>
                <w:color w:val="000000"/>
                <w:kern w:val="0"/>
                <w:sz w:val="18"/>
                <w:szCs w:val="18"/>
              </w:rPr>
              <w:t>（二）在城市照明设施安全距离内，擅自植树、挖坑取土或者设置其他物体，或者倾倒含酸、碱、盐等腐蚀物或者具有腐蚀性的废渣、废液；</w:t>
            </w:r>
          </w:p>
          <w:p w14:paraId="4CE8B72D">
            <w:pPr>
              <w:spacing w:line="32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违反本规定，有第二十八条规定行为之一的，由城市照明主管部门责令限期改正，对个人处以</w:t>
            </w:r>
            <w:r>
              <w:rPr>
                <w:color w:val="000000"/>
                <w:kern w:val="0"/>
                <w:sz w:val="18"/>
                <w:szCs w:val="18"/>
              </w:rPr>
              <w:t>200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元以下的罚款；对单位处以</w:t>
            </w:r>
            <w:r>
              <w:rPr>
                <w:color w:val="000000"/>
                <w:kern w:val="0"/>
                <w:sz w:val="18"/>
                <w:szCs w:val="18"/>
              </w:rPr>
              <w:t>1000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万元以下的罚款；造成损失的，依法赔偿损失。</w:t>
            </w:r>
          </w:p>
        </w:tc>
      </w:tr>
      <w:tr w14:paraId="037C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A204602">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EDE91E1">
            <w:pPr>
              <w:spacing w:line="320" w:lineRule="exact"/>
              <w:jc w:val="left"/>
              <w:rPr>
                <w:color w:val="000000"/>
                <w:kern w:val="0"/>
                <w:sz w:val="18"/>
                <w:szCs w:val="18"/>
              </w:rPr>
            </w:pPr>
            <w:r>
              <w:rPr>
                <w:rFonts w:hint="eastAsia"/>
                <w:color w:val="000000"/>
                <w:kern w:val="0"/>
                <w:sz w:val="18"/>
                <w:szCs w:val="18"/>
              </w:rPr>
              <w:t>罚款</w:t>
            </w:r>
          </w:p>
        </w:tc>
      </w:tr>
      <w:tr w14:paraId="6030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80A9C40">
            <w:pPr>
              <w:spacing w:line="320" w:lineRule="exact"/>
              <w:jc w:val="center"/>
              <w:rPr>
                <w:color w:val="000000"/>
                <w:kern w:val="0"/>
                <w:sz w:val="18"/>
                <w:szCs w:val="18"/>
              </w:rPr>
            </w:pPr>
            <w:r>
              <w:rPr>
                <w:rFonts w:hint="eastAsia"/>
                <w:color w:val="000000"/>
                <w:kern w:val="0"/>
                <w:sz w:val="18"/>
                <w:szCs w:val="18"/>
              </w:rPr>
              <w:t>裁量基准</w:t>
            </w:r>
          </w:p>
        </w:tc>
      </w:tr>
      <w:tr w14:paraId="29A6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48A128C6">
            <w:pPr>
              <w:rPr>
                <w:color w:val="000000"/>
                <w:kern w:val="0"/>
                <w:sz w:val="18"/>
                <w:szCs w:val="18"/>
              </w:rPr>
            </w:pPr>
            <w:r>
              <w:rPr>
                <w:rFonts w:hint="eastAsia"/>
                <w:color w:val="000000"/>
                <w:kern w:val="0"/>
                <w:sz w:val="18"/>
                <w:szCs w:val="18"/>
              </w:rPr>
              <w:t>情形描述</w:t>
            </w:r>
          </w:p>
        </w:tc>
        <w:tc>
          <w:tcPr>
            <w:tcW w:w="6376" w:type="dxa"/>
            <w:vAlign w:val="center"/>
          </w:tcPr>
          <w:p w14:paraId="0E52E722">
            <w:pPr>
              <w:rPr>
                <w:color w:val="000000"/>
                <w:kern w:val="0"/>
                <w:sz w:val="18"/>
                <w:szCs w:val="18"/>
              </w:rPr>
            </w:pPr>
            <w:r>
              <w:rPr>
                <w:rFonts w:hint="eastAsia"/>
                <w:color w:val="000000"/>
                <w:kern w:val="0"/>
                <w:sz w:val="18"/>
                <w:szCs w:val="18"/>
              </w:rPr>
              <w:t>未造成损失的</w:t>
            </w:r>
          </w:p>
        </w:tc>
        <w:tc>
          <w:tcPr>
            <w:tcW w:w="1016" w:type="dxa"/>
            <w:vMerge w:val="restart"/>
            <w:vAlign w:val="center"/>
          </w:tcPr>
          <w:p w14:paraId="6EC60349">
            <w:pPr>
              <w:rPr>
                <w:color w:val="000000"/>
                <w:kern w:val="0"/>
                <w:sz w:val="18"/>
                <w:szCs w:val="18"/>
              </w:rPr>
            </w:pPr>
            <w:r>
              <w:rPr>
                <w:rFonts w:hint="eastAsia"/>
                <w:color w:val="000000"/>
                <w:kern w:val="0"/>
                <w:sz w:val="18"/>
                <w:szCs w:val="18"/>
              </w:rPr>
              <w:t>裁量幅度</w:t>
            </w:r>
          </w:p>
        </w:tc>
        <w:tc>
          <w:tcPr>
            <w:tcW w:w="5614" w:type="dxa"/>
            <w:vAlign w:val="center"/>
          </w:tcPr>
          <w:p w14:paraId="4C2B201B">
            <w:pPr>
              <w:rPr>
                <w:color w:val="000000"/>
                <w:kern w:val="0"/>
                <w:sz w:val="18"/>
                <w:szCs w:val="18"/>
              </w:rPr>
            </w:pPr>
            <w:r>
              <w:rPr>
                <w:rFonts w:hint="eastAsia"/>
                <w:color w:val="000000"/>
                <w:kern w:val="0"/>
                <w:sz w:val="18"/>
                <w:szCs w:val="18"/>
              </w:rPr>
              <w:t>对个人处以</w:t>
            </w:r>
            <w:r>
              <w:rPr>
                <w:color w:val="000000"/>
                <w:kern w:val="0"/>
                <w:sz w:val="18"/>
                <w:szCs w:val="18"/>
              </w:rPr>
              <w:t>200</w:t>
            </w:r>
            <w:r>
              <w:rPr>
                <w:rFonts w:hint="eastAsia"/>
                <w:color w:val="000000"/>
                <w:kern w:val="0"/>
                <w:sz w:val="18"/>
                <w:szCs w:val="18"/>
              </w:rPr>
              <w:t>元以上</w:t>
            </w:r>
            <w:r>
              <w:rPr>
                <w:color w:val="000000"/>
                <w:kern w:val="0"/>
                <w:sz w:val="18"/>
                <w:szCs w:val="18"/>
              </w:rPr>
              <w:t>400</w:t>
            </w:r>
            <w:r>
              <w:rPr>
                <w:rFonts w:hint="eastAsia"/>
                <w:color w:val="000000"/>
                <w:kern w:val="0"/>
                <w:sz w:val="18"/>
                <w:szCs w:val="18"/>
              </w:rPr>
              <w:t>元以下的罚款；对单位处以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14:paraId="5348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010" w:type="dxa"/>
            <w:vMerge w:val="continue"/>
            <w:vAlign w:val="center"/>
          </w:tcPr>
          <w:p w14:paraId="32788569">
            <w:pPr>
              <w:spacing w:line="320" w:lineRule="exact"/>
              <w:jc w:val="left"/>
              <w:rPr>
                <w:color w:val="000000"/>
                <w:kern w:val="0"/>
                <w:sz w:val="18"/>
                <w:szCs w:val="18"/>
              </w:rPr>
            </w:pPr>
          </w:p>
        </w:tc>
        <w:tc>
          <w:tcPr>
            <w:tcW w:w="6376" w:type="dxa"/>
            <w:vAlign w:val="center"/>
          </w:tcPr>
          <w:p w14:paraId="03F65AF5">
            <w:pPr>
              <w:spacing w:line="320" w:lineRule="exact"/>
              <w:jc w:val="left"/>
              <w:rPr>
                <w:color w:val="000000"/>
                <w:kern w:val="0"/>
                <w:sz w:val="18"/>
                <w:szCs w:val="18"/>
              </w:rPr>
            </w:pPr>
            <w:r>
              <w:rPr>
                <w:rFonts w:hint="eastAsia"/>
                <w:color w:val="000000"/>
                <w:kern w:val="0"/>
                <w:sz w:val="18"/>
                <w:szCs w:val="18"/>
              </w:rPr>
              <w:t>造成损失，依法赔偿的</w:t>
            </w:r>
          </w:p>
        </w:tc>
        <w:tc>
          <w:tcPr>
            <w:tcW w:w="1016" w:type="dxa"/>
            <w:vMerge w:val="continue"/>
            <w:vAlign w:val="center"/>
          </w:tcPr>
          <w:p w14:paraId="5A0527D9">
            <w:pPr>
              <w:spacing w:line="320" w:lineRule="exact"/>
              <w:jc w:val="left"/>
              <w:rPr>
                <w:color w:val="000000"/>
                <w:kern w:val="0"/>
                <w:sz w:val="18"/>
                <w:szCs w:val="18"/>
              </w:rPr>
            </w:pPr>
          </w:p>
        </w:tc>
        <w:tc>
          <w:tcPr>
            <w:tcW w:w="5614" w:type="dxa"/>
            <w:vAlign w:val="center"/>
          </w:tcPr>
          <w:p w14:paraId="5DD88C39">
            <w:pPr>
              <w:rPr>
                <w:color w:val="000000"/>
                <w:kern w:val="0"/>
                <w:sz w:val="18"/>
                <w:szCs w:val="18"/>
              </w:rPr>
            </w:pPr>
            <w:r>
              <w:rPr>
                <w:rFonts w:hint="eastAsia"/>
                <w:color w:val="000000"/>
                <w:kern w:val="0"/>
                <w:sz w:val="18"/>
                <w:szCs w:val="18"/>
              </w:rPr>
              <w:t>对个人处以</w:t>
            </w:r>
            <w:r>
              <w:rPr>
                <w:color w:val="000000"/>
                <w:kern w:val="0"/>
                <w:sz w:val="18"/>
                <w:szCs w:val="18"/>
              </w:rPr>
              <w:t>400</w:t>
            </w:r>
            <w:r>
              <w:rPr>
                <w:rFonts w:hint="eastAsia"/>
                <w:color w:val="000000"/>
                <w:kern w:val="0"/>
                <w:sz w:val="18"/>
                <w:szCs w:val="18"/>
              </w:rPr>
              <w:t>元以上</w:t>
            </w:r>
            <w:r>
              <w:rPr>
                <w:color w:val="000000"/>
                <w:kern w:val="0"/>
                <w:sz w:val="18"/>
                <w:szCs w:val="18"/>
              </w:rPr>
              <w:t>700</w:t>
            </w:r>
            <w:r>
              <w:rPr>
                <w:rFonts w:hint="eastAsia"/>
                <w:color w:val="000000"/>
                <w:kern w:val="0"/>
                <w:sz w:val="18"/>
                <w:szCs w:val="18"/>
              </w:rPr>
              <w:t>元以下的罚款；对单位处以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14:paraId="55723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10" w:type="dxa"/>
            <w:vMerge w:val="continue"/>
            <w:vAlign w:val="center"/>
          </w:tcPr>
          <w:p w14:paraId="153C25B4">
            <w:pPr>
              <w:spacing w:line="320" w:lineRule="exact"/>
              <w:jc w:val="left"/>
              <w:rPr>
                <w:color w:val="000000"/>
                <w:kern w:val="0"/>
                <w:sz w:val="18"/>
                <w:szCs w:val="18"/>
              </w:rPr>
            </w:pPr>
          </w:p>
        </w:tc>
        <w:tc>
          <w:tcPr>
            <w:tcW w:w="6376" w:type="dxa"/>
            <w:vAlign w:val="center"/>
          </w:tcPr>
          <w:p w14:paraId="4CB7D198">
            <w:pPr>
              <w:spacing w:line="320" w:lineRule="exact"/>
              <w:jc w:val="left"/>
              <w:rPr>
                <w:color w:val="000000"/>
                <w:kern w:val="0"/>
                <w:sz w:val="18"/>
                <w:szCs w:val="18"/>
              </w:rPr>
            </w:pPr>
            <w:r>
              <w:rPr>
                <w:rFonts w:hint="eastAsia"/>
                <w:color w:val="000000"/>
                <w:kern w:val="0"/>
                <w:sz w:val="18"/>
                <w:szCs w:val="18"/>
              </w:rPr>
              <w:t>造成损失且未依法赔偿的</w:t>
            </w:r>
          </w:p>
        </w:tc>
        <w:tc>
          <w:tcPr>
            <w:tcW w:w="1016" w:type="dxa"/>
            <w:vMerge w:val="continue"/>
            <w:vAlign w:val="center"/>
          </w:tcPr>
          <w:p w14:paraId="1D6F1719">
            <w:pPr>
              <w:spacing w:line="320" w:lineRule="exact"/>
              <w:jc w:val="left"/>
              <w:rPr>
                <w:color w:val="000000"/>
                <w:kern w:val="0"/>
                <w:sz w:val="18"/>
                <w:szCs w:val="18"/>
              </w:rPr>
            </w:pPr>
          </w:p>
        </w:tc>
        <w:tc>
          <w:tcPr>
            <w:tcW w:w="5614" w:type="dxa"/>
            <w:vAlign w:val="center"/>
          </w:tcPr>
          <w:p w14:paraId="72CB3DCC">
            <w:pPr>
              <w:rPr>
                <w:color w:val="000000"/>
                <w:kern w:val="0"/>
                <w:sz w:val="18"/>
                <w:szCs w:val="18"/>
              </w:rPr>
            </w:pPr>
            <w:r>
              <w:rPr>
                <w:rFonts w:hint="eastAsia"/>
                <w:color w:val="000000"/>
                <w:kern w:val="0"/>
                <w:sz w:val="18"/>
                <w:szCs w:val="18"/>
              </w:rPr>
              <w:t>对个人处以</w:t>
            </w:r>
            <w:r>
              <w:rPr>
                <w:color w:val="000000"/>
                <w:kern w:val="0"/>
                <w:sz w:val="18"/>
                <w:szCs w:val="18"/>
              </w:rPr>
              <w:t>700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元以下的罚款；对单位处以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14:paraId="64FE6C36"/>
    <w:p w14:paraId="705ABC40"/>
    <w:p w14:paraId="3FD74985"/>
    <w:p w14:paraId="77FB4AEA"/>
    <w:p w14:paraId="2CC1E940"/>
    <w:p w14:paraId="08999695"/>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C6C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92D2B88">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9CBE3EE">
            <w:pPr>
              <w:spacing w:line="320" w:lineRule="exact"/>
              <w:jc w:val="left"/>
              <w:rPr>
                <w:rFonts w:eastAsia="仿宋_GB2312"/>
                <w:b/>
                <w:bCs/>
                <w:color w:val="000000"/>
                <w:kern w:val="0"/>
                <w:sz w:val="18"/>
                <w:szCs w:val="18"/>
              </w:rPr>
            </w:pPr>
            <w:r>
              <w:rPr>
                <w:rFonts w:eastAsia="仿宋_GB2312"/>
                <w:b/>
                <w:bCs/>
                <w:color w:val="000000"/>
                <w:kern w:val="0"/>
                <w:sz w:val="18"/>
                <w:szCs w:val="18"/>
              </w:rPr>
              <w:t>320217793000</w:t>
            </w:r>
          </w:p>
        </w:tc>
      </w:tr>
      <w:tr w14:paraId="187F1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6721CA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B386BDA">
            <w:pPr>
              <w:spacing w:line="320" w:lineRule="exact"/>
              <w:jc w:val="left"/>
              <w:rPr>
                <w:color w:val="000000"/>
                <w:spacing w:val="-6"/>
                <w:kern w:val="0"/>
                <w:sz w:val="18"/>
                <w:szCs w:val="18"/>
              </w:rPr>
            </w:pPr>
            <w:r>
              <w:rPr>
                <w:rFonts w:hint="eastAsia"/>
                <w:color w:val="000000"/>
                <w:spacing w:val="-6"/>
                <w:kern w:val="0"/>
                <w:sz w:val="18"/>
                <w:szCs w:val="18"/>
              </w:rPr>
              <w:t>对城市供水单位使用未经检验或者检验不合格的净水剂及有关制水材料的处罚</w:t>
            </w:r>
          </w:p>
        </w:tc>
      </w:tr>
      <w:tr w14:paraId="7333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70AECFB1">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55377B2">
            <w:pPr>
              <w:spacing w:line="320" w:lineRule="exact"/>
              <w:jc w:val="left"/>
              <w:rPr>
                <w:color w:val="000000"/>
                <w:kern w:val="0"/>
                <w:sz w:val="18"/>
                <w:szCs w:val="18"/>
              </w:rPr>
            </w:pPr>
            <w:r>
              <w:rPr>
                <w:rFonts w:hint="eastAsia"/>
                <w:color w:val="000000"/>
                <w:kern w:val="0"/>
                <w:sz w:val="18"/>
                <w:szCs w:val="18"/>
              </w:rPr>
              <w:t>【规章】</w:t>
            </w:r>
            <w:r>
              <w:rPr>
                <w:color w:val="000000"/>
                <w:kern w:val="0"/>
                <w:sz w:val="18"/>
                <w:szCs w:val="18"/>
              </w:rPr>
              <w:t xml:space="preserve"> </w:t>
            </w:r>
            <w:r>
              <w:rPr>
                <w:rFonts w:hint="eastAsia"/>
                <w:color w:val="000000"/>
                <w:kern w:val="0"/>
                <w:sz w:val="18"/>
                <w:szCs w:val="18"/>
              </w:rPr>
              <w:t>《城市供水水质管理规定》（</w:t>
            </w:r>
            <w:r>
              <w:rPr>
                <w:color w:val="000000"/>
                <w:kern w:val="0"/>
                <w:sz w:val="18"/>
                <w:szCs w:val="18"/>
              </w:rPr>
              <w:t>2007</w:t>
            </w:r>
            <w:r>
              <w:rPr>
                <w:rFonts w:hint="eastAsia"/>
                <w:color w:val="000000"/>
                <w:kern w:val="0"/>
                <w:sz w:val="18"/>
                <w:szCs w:val="18"/>
              </w:rPr>
              <w:t>年建设部令</w:t>
            </w:r>
            <w:r>
              <w:rPr>
                <w:color w:val="000000"/>
                <w:kern w:val="0"/>
                <w:sz w:val="18"/>
                <w:szCs w:val="18"/>
              </w:rPr>
              <w:t>156</w:t>
            </w:r>
            <w:r>
              <w:rPr>
                <w:rFonts w:hint="eastAsia"/>
                <w:color w:val="000000"/>
                <w:kern w:val="0"/>
                <w:sz w:val="18"/>
                <w:szCs w:val="18"/>
              </w:rPr>
              <w:t>号）　</w:t>
            </w:r>
          </w:p>
          <w:p w14:paraId="1F14F294">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城市供水单位所用的净水剂及与制水有关的材料等，应当符合国家有关标准。</w:t>
            </w:r>
            <w:r>
              <w:rPr>
                <w:color w:val="000000"/>
                <w:kern w:val="0"/>
                <w:sz w:val="18"/>
                <w:szCs w:val="18"/>
              </w:rPr>
              <w:t xml:space="preserve"> </w:t>
            </w:r>
          </w:p>
          <w:p w14:paraId="5F68571A">
            <w:pPr>
              <w:spacing w:line="320" w:lineRule="exact"/>
              <w:jc w:val="left"/>
              <w:rPr>
                <w:color w:val="000000"/>
                <w:kern w:val="0"/>
                <w:sz w:val="18"/>
                <w:szCs w:val="18"/>
              </w:rPr>
            </w:pPr>
            <w:r>
              <w:rPr>
                <w:rFonts w:hint="eastAsia"/>
                <w:color w:val="000000"/>
                <w:kern w:val="0"/>
                <w:sz w:val="18"/>
                <w:szCs w:val="18"/>
              </w:rPr>
              <w:t>　　净水剂及与制水有关的材料等实施生产许可证管理的，城市供水单位应当选用获证企业的产品。</w:t>
            </w:r>
            <w:r>
              <w:rPr>
                <w:color w:val="000000"/>
                <w:kern w:val="0"/>
                <w:sz w:val="18"/>
                <w:szCs w:val="18"/>
              </w:rPr>
              <w:t xml:space="preserve"> </w:t>
            </w:r>
          </w:p>
          <w:p w14:paraId="69F6D725">
            <w:pPr>
              <w:spacing w:line="320" w:lineRule="exact"/>
              <w:jc w:val="left"/>
              <w:rPr>
                <w:color w:val="000000"/>
                <w:kern w:val="0"/>
                <w:sz w:val="18"/>
                <w:szCs w:val="18"/>
              </w:rPr>
            </w:pPr>
            <w:r>
              <w:rPr>
                <w:rFonts w:hint="eastAsia"/>
                <w:color w:val="000000"/>
                <w:kern w:val="0"/>
                <w:sz w:val="18"/>
                <w:szCs w:val="18"/>
              </w:rPr>
              <w:t>　　城市供水单位所用的净水剂及与制水有关的材料等，在使用前应当按照国家有关质量标准进行检验；未经检验或者检验不合格的，不得投入使用。</w:t>
            </w:r>
            <w:r>
              <w:rPr>
                <w:color w:val="000000"/>
                <w:kern w:val="0"/>
                <w:sz w:val="18"/>
                <w:szCs w:val="18"/>
              </w:rPr>
              <w:t xml:space="preserve"> </w:t>
            </w:r>
          </w:p>
          <w:p w14:paraId="221A491C">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p>
          <w:p w14:paraId="10BA820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（四）城市供水单位使用未经检验或者检验不合格的净水剂及有关制水材料的</w:t>
            </w:r>
          </w:p>
        </w:tc>
      </w:tr>
      <w:tr w14:paraId="3910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21A86FD">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8F23E5D">
            <w:pPr>
              <w:spacing w:line="320" w:lineRule="exact"/>
              <w:jc w:val="left"/>
              <w:rPr>
                <w:color w:val="000000"/>
                <w:kern w:val="0"/>
                <w:sz w:val="18"/>
                <w:szCs w:val="18"/>
              </w:rPr>
            </w:pPr>
            <w:r>
              <w:rPr>
                <w:rFonts w:hint="eastAsia"/>
                <w:color w:val="000000"/>
                <w:kern w:val="0"/>
                <w:sz w:val="18"/>
                <w:szCs w:val="18"/>
              </w:rPr>
              <w:t>警告，罚款</w:t>
            </w:r>
          </w:p>
        </w:tc>
      </w:tr>
      <w:tr w14:paraId="60EF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1959225">
            <w:pPr>
              <w:spacing w:line="320" w:lineRule="exact"/>
              <w:jc w:val="center"/>
              <w:rPr>
                <w:color w:val="000000"/>
                <w:kern w:val="0"/>
                <w:sz w:val="18"/>
                <w:szCs w:val="18"/>
              </w:rPr>
            </w:pPr>
            <w:r>
              <w:rPr>
                <w:rFonts w:hint="eastAsia"/>
                <w:color w:val="000000"/>
                <w:kern w:val="0"/>
                <w:sz w:val="18"/>
                <w:szCs w:val="18"/>
              </w:rPr>
              <w:t>裁量基准</w:t>
            </w:r>
          </w:p>
        </w:tc>
      </w:tr>
      <w:tr w14:paraId="4226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10" w:type="dxa"/>
            <w:vAlign w:val="center"/>
          </w:tcPr>
          <w:p w14:paraId="772E1892">
            <w:pPr>
              <w:rPr>
                <w:color w:val="000000"/>
                <w:kern w:val="0"/>
                <w:sz w:val="18"/>
                <w:szCs w:val="18"/>
              </w:rPr>
            </w:pPr>
            <w:r>
              <w:rPr>
                <w:rFonts w:hint="eastAsia"/>
                <w:color w:val="000000"/>
                <w:kern w:val="0"/>
                <w:sz w:val="18"/>
                <w:szCs w:val="18"/>
              </w:rPr>
              <w:t>情形描述</w:t>
            </w:r>
          </w:p>
        </w:tc>
        <w:tc>
          <w:tcPr>
            <w:tcW w:w="6376" w:type="dxa"/>
            <w:vAlign w:val="center"/>
          </w:tcPr>
          <w:p w14:paraId="2177B8C3">
            <w:pPr>
              <w:rPr>
                <w:color w:val="000000"/>
                <w:kern w:val="0"/>
                <w:sz w:val="18"/>
                <w:szCs w:val="18"/>
              </w:rPr>
            </w:pPr>
          </w:p>
        </w:tc>
        <w:tc>
          <w:tcPr>
            <w:tcW w:w="1016" w:type="dxa"/>
            <w:vAlign w:val="center"/>
          </w:tcPr>
          <w:p w14:paraId="7FC921E0">
            <w:pPr>
              <w:rPr>
                <w:color w:val="000000"/>
                <w:kern w:val="0"/>
                <w:sz w:val="18"/>
                <w:szCs w:val="18"/>
              </w:rPr>
            </w:pPr>
            <w:r>
              <w:rPr>
                <w:rFonts w:hint="eastAsia"/>
                <w:color w:val="000000"/>
                <w:kern w:val="0"/>
                <w:sz w:val="18"/>
                <w:szCs w:val="18"/>
              </w:rPr>
              <w:t>裁量幅度</w:t>
            </w:r>
          </w:p>
        </w:tc>
        <w:tc>
          <w:tcPr>
            <w:tcW w:w="5614" w:type="dxa"/>
            <w:vAlign w:val="center"/>
          </w:tcPr>
          <w:p w14:paraId="73FB38A7">
            <w:pPr>
              <w:rPr>
                <w:color w:val="000000"/>
                <w:kern w:val="0"/>
                <w:sz w:val="18"/>
                <w:szCs w:val="18"/>
              </w:rPr>
            </w:pPr>
          </w:p>
        </w:tc>
      </w:tr>
    </w:tbl>
    <w:p w14:paraId="28096AD3"/>
    <w:p w14:paraId="3FF183F0"/>
    <w:p w14:paraId="2219226D"/>
    <w:p w14:paraId="475609BF"/>
    <w:p w14:paraId="09EDA78D"/>
    <w:p w14:paraId="0A640993"/>
    <w:p w14:paraId="32C86C45"/>
    <w:p w14:paraId="6D8BA164"/>
    <w:p w14:paraId="5B626BD7"/>
    <w:p w14:paraId="2233CD42"/>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5ED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3431D9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536363C">
            <w:pPr>
              <w:spacing w:line="320" w:lineRule="exact"/>
              <w:jc w:val="left"/>
              <w:rPr>
                <w:rFonts w:eastAsia="仿宋_GB2312"/>
                <w:b/>
                <w:bCs/>
                <w:color w:val="000000"/>
                <w:kern w:val="0"/>
                <w:sz w:val="18"/>
                <w:szCs w:val="18"/>
              </w:rPr>
            </w:pPr>
            <w:r>
              <w:rPr>
                <w:rFonts w:eastAsia="仿宋_GB2312"/>
                <w:b/>
                <w:bCs/>
                <w:color w:val="000000"/>
                <w:kern w:val="0"/>
                <w:sz w:val="18"/>
                <w:szCs w:val="18"/>
              </w:rPr>
              <w:t>320217794000</w:t>
            </w:r>
          </w:p>
        </w:tc>
      </w:tr>
      <w:tr w14:paraId="58BC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17927D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10AB979">
            <w:pPr>
              <w:spacing w:line="320" w:lineRule="exact"/>
              <w:jc w:val="left"/>
              <w:rPr>
                <w:color w:val="000000"/>
                <w:spacing w:val="-6"/>
                <w:kern w:val="0"/>
                <w:sz w:val="18"/>
                <w:szCs w:val="18"/>
              </w:rPr>
            </w:pPr>
            <w:r>
              <w:rPr>
                <w:rFonts w:hint="eastAsia"/>
                <w:color w:val="000000"/>
                <w:spacing w:val="-6"/>
                <w:kern w:val="0"/>
                <w:sz w:val="18"/>
                <w:szCs w:val="18"/>
              </w:rPr>
              <w:t>对城镇排水与污水处理设施维护运营单位未及时采取防护措施、组织事故抢修的处罚</w:t>
            </w:r>
          </w:p>
        </w:tc>
      </w:tr>
      <w:tr w14:paraId="5A7C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4F88E0CE">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A3683E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14:paraId="5775D283">
            <w:pPr>
              <w:spacing w:line="320" w:lineRule="exact"/>
              <w:jc w:val="left"/>
              <w:rPr>
                <w:color w:val="000000"/>
                <w:kern w:val="0"/>
                <w:sz w:val="18"/>
                <w:szCs w:val="18"/>
              </w:rPr>
            </w:pPr>
            <w:r>
              <w:rPr>
                <w:rFonts w:hint="eastAsia"/>
                <w:color w:val="000000"/>
                <w:kern w:val="0"/>
                <w:sz w:val="18"/>
                <w:szCs w:val="18"/>
              </w:rPr>
              <w:t>　　第四十条第二款　城镇排水与污水处理安全事故或者突发事件发生后，设施维护运营单位应当立即启动本单位应急预案，采取防护措施、组织抢修，并及时向城镇排水主管部门和有关部门报告。</w:t>
            </w:r>
          </w:p>
          <w:p w14:paraId="7798C923">
            <w:pPr>
              <w:spacing w:line="320" w:lineRule="exact"/>
              <w:jc w:val="left"/>
              <w:rPr>
                <w:color w:val="000000"/>
                <w:kern w:val="0"/>
                <w:sz w:val="18"/>
                <w:szCs w:val="18"/>
              </w:rPr>
            </w:pPr>
            <w:r>
              <w:rPr>
                <w:rFonts w:hint="eastAsia"/>
                <w:color w:val="000000"/>
                <w:kern w:val="0"/>
                <w:sz w:val="18"/>
                <w:szCs w:val="18"/>
              </w:rPr>
              <w:t>第五十五条　违反本条例规定，城镇排水与污水处理设施维护运营单位有下列情形之一的，由城镇排水主管部门责令改正，给予警告；逾期不改正或者造成严重后果的，处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万元以下罚款；造成损失的，依法承担赔偿责任；构成犯罪的，依法追究刑事责任：</w:t>
            </w:r>
          </w:p>
          <w:p w14:paraId="2C51E80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（二）未及时采取防护措施、组织事故抢修的；</w:t>
            </w:r>
          </w:p>
        </w:tc>
      </w:tr>
      <w:tr w14:paraId="4078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703C3B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2213E6B">
            <w:pPr>
              <w:spacing w:line="320" w:lineRule="exact"/>
              <w:jc w:val="left"/>
              <w:rPr>
                <w:color w:val="000000"/>
                <w:kern w:val="0"/>
                <w:sz w:val="18"/>
                <w:szCs w:val="18"/>
              </w:rPr>
            </w:pPr>
            <w:r>
              <w:rPr>
                <w:rFonts w:hint="eastAsia"/>
                <w:color w:val="000000"/>
                <w:kern w:val="0"/>
                <w:sz w:val="18"/>
                <w:szCs w:val="18"/>
              </w:rPr>
              <w:t>警告，罚款</w:t>
            </w:r>
          </w:p>
        </w:tc>
      </w:tr>
      <w:tr w14:paraId="6E70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EF30166">
            <w:pPr>
              <w:spacing w:line="320" w:lineRule="exact"/>
              <w:jc w:val="center"/>
              <w:rPr>
                <w:color w:val="000000"/>
                <w:kern w:val="0"/>
                <w:sz w:val="18"/>
                <w:szCs w:val="18"/>
              </w:rPr>
            </w:pPr>
            <w:r>
              <w:rPr>
                <w:rFonts w:hint="eastAsia"/>
                <w:color w:val="000000"/>
                <w:kern w:val="0"/>
                <w:sz w:val="18"/>
                <w:szCs w:val="18"/>
              </w:rPr>
              <w:t>裁量基准</w:t>
            </w:r>
          </w:p>
        </w:tc>
      </w:tr>
      <w:tr w14:paraId="3984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D1D215E">
            <w:pPr>
              <w:rPr>
                <w:color w:val="000000"/>
                <w:kern w:val="0"/>
                <w:sz w:val="18"/>
                <w:szCs w:val="18"/>
              </w:rPr>
            </w:pPr>
            <w:r>
              <w:rPr>
                <w:rFonts w:hint="eastAsia"/>
                <w:color w:val="000000"/>
                <w:kern w:val="0"/>
                <w:sz w:val="18"/>
                <w:szCs w:val="18"/>
              </w:rPr>
              <w:t>情形描述</w:t>
            </w:r>
          </w:p>
        </w:tc>
        <w:tc>
          <w:tcPr>
            <w:tcW w:w="6376" w:type="dxa"/>
            <w:vAlign w:val="center"/>
          </w:tcPr>
          <w:p w14:paraId="7947ADF8">
            <w:pPr>
              <w:rPr>
                <w:color w:val="000000"/>
                <w:kern w:val="0"/>
                <w:sz w:val="18"/>
                <w:szCs w:val="18"/>
              </w:rPr>
            </w:pPr>
            <w:r>
              <w:rPr>
                <w:rFonts w:hint="eastAsia"/>
                <w:color w:val="000000"/>
                <w:kern w:val="0"/>
                <w:sz w:val="18"/>
                <w:szCs w:val="18"/>
              </w:rPr>
              <w:t>未造成损失的</w:t>
            </w:r>
          </w:p>
        </w:tc>
        <w:tc>
          <w:tcPr>
            <w:tcW w:w="1016" w:type="dxa"/>
            <w:vMerge w:val="restart"/>
            <w:vAlign w:val="center"/>
          </w:tcPr>
          <w:p w14:paraId="55FD65EF">
            <w:pPr>
              <w:rPr>
                <w:color w:val="000000"/>
                <w:kern w:val="0"/>
                <w:sz w:val="18"/>
                <w:szCs w:val="18"/>
              </w:rPr>
            </w:pPr>
            <w:r>
              <w:rPr>
                <w:rFonts w:hint="eastAsia"/>
                <w:color w:val="000000"/>
                <w:kern w:val="0"/>
                <w:sz w:val="18"/>
                <w:szCs w:val="18"/>
              </w:rPr>
              <w:t>裁量幅度</w:t>
            </w:r>
          </w:p>
        </w:tc>
        <w:tc>
          <w:tcPr>
            <w:tcW w:w="5614" w:type="dxa"/>
            <w:vAlign w:val="center"/>
          </w:tcPr>
          <w:p w14:paraId="361B2D52">
            <w:pPr>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27E1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010" w:type="dxa"/>
            <w:vMerge w:val="continue"/>
            <w:vAlign w:val="center"/>
          </w:tcPr>
          <w:p w14:paraId="1168B401">
            <w:pPr>
              <w:spacing w:line="320" w:lineRule="exact"/>
              <w:jc w:val="left"/>
              <w:rPr>
                <w:color w:val="000000"/>
                <w:kern w:val="0"/>
                <w:sz w:val="18"/>
                <w:szCs w:val="18"/>
              </w:rPr>
            </w:pPr>
          </w:p>
        </w:tc>
        <w:tc>
          <w:tcPr>
            <w:tcW w:w="6376" w:type="dxa"/>
            <w:vAlign w:val="center"/>
          </w:tcPr>
          <w:p w14:paraId="65E00C28">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16" w:type="dxa"/>
            <w:vMerge w:val="continue"/>
            <w:vAlign w:val="center"/>
          </w:tcPr>
          <w:p w14:paraId="4704D59E">
            <w:pPr>
              <w:spacing w:line="320" w:lineRule="exact"/>
              <w:jc w:val="left"/>
              <w:rPr>
                <w:color w:val="000000"/>
                <w:kern w:val="0"/>
                <w:sz w:val="18"/>
                <w:szCs w:val="18"/>
              </w:rPr>
            </w:pPr>
          </w:p>
        </w:tc>
        <w:tc>
          <w:tcPr>
            <w:tcW w:w="5614" w:type="dxa"/>
            <w:vAlign w:val="center"/>
          </w:tcPr>
          <w:p w14:paraId="7E899B4E">
            <w:pPr>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 xml:space="preserve"> 35</w:t>
            </w:r>
            <w:r>
              <w:rPr>
                <w:rFonts w:hint="eastAsia"/>
                <w:color w:val="000000"/>
                <w:kern w:val="0"/>
                <w:sz w:val="18"/>
                <w:szCs w:val="18"/>
              </w:rPr>
              <w:t>万元以下罚款</w:t>
            </w:r>
          </w:p>
        </w:tc>
      </w:tr>
      <w:tr w14:paraId="0247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010" w:type="dxa"/>
            <w:vMerge w:val="continue"/>
            <w:vAlign w:val="center"/>
          </w:tcPr>
          <w:p w14:paraId="1C5D4D8D">
            <w:pPr>
              <w:spacing w:line="320" w:lineRule="exact"/>
              <w:jc w:val="left"/>
              <w:rPr>
                <w:color w:val="000000"/>
                <w:kern w:val="0"/>
                <w:sz w:val="18"/>
                <w:szCs w:val="18"/>
              </w:rPr>
            </w:pPr>
          </w:p>
        </w:tc>
        <w:tc>
          <w:tcPr>
            <w:tcW w:w="6376" w:type="dxa"/>
            <w:vAlign w:val="center"/>
          </w:tcPr>
          <w:p w14:paraId="393944E6">
            <w:pPr>
              <w:spacing w:line="320" w:lineRule="exact"/>
              <w:jc w:val="left"/>
              <w:rPr>
                <w:color w:val="000000"/>
                <w:kern w:val="0"/>
                <w:sz w:val="18"/>
                <w:szCs w:val="18"/>
              </w:rPr>
            </w:pPr>
            <w:r>
              <w:rPr>
                <w:rFonts w:hint="eastAsia"/>
                <w:color w:val="000000"/>
                <w:kern w:val="0"/>
                <w:sz w:val="18"/>
                <w:szCs w:val="18"/>
              </w:rPr>
              <w:t>造成损失且未承担赔偿责任的</w:t>
            </w:r>
          </w:p>
        </w:tc>
        <w:tc>
          <w:tcPr>
            <w:tcW w:w="1016" w:type="dxa"/>
            <w:vMerge w:val="continue"/>
            <w:vAlign w:val="center"/>
          </w:tcPr>
          <w:p w14:paraId="1E22E156">
            <w:pPr>
              <w:spacing w:line="320" w:lineRule="exact"/>
              <w:jc w:val="left"/>
              <w:rPr>
                <w:color w:val="000000"/>
                <w:kern w:val="0"/>
                <w:sz w:val="18"/>
                <w:szCs w:val="18"/>
              </w:rPr>
            </w:pPr>
          </w:p>
        </w:tc>
        <w:tc>
          <w:tcPr>
            <w:tcW w:w="5614" w:type="dxa"/>
            <w:vAlign w:val="center"/>
          </w:tcPr>
          <w:p w14:paraId="27558D2E">
            <w:pPr>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5D09B9F9"/>
    <w:p w14:paraId="683E6DFC"/>
    <w:p w14:paraId="21B2884A"/>
    <w:p w14:paraId="54C0A900"/>
    <w:p w14:paraId="25918A81"/>
    <w:p w14:paraId="25925136"/>
    <w:p w14:paraId="77022180"/>
    <w:p w14:paraId="7E8A73E3"/>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C59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2B497D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11DE59A">
            <w:pPr>
              <w:spacing w:line="320" w:lineRule="exact"/>
              <w:jc w:val="left"/>
              <w:rPr>
                <w:rFonts w:eastAsia="仿宋_GB2312"/>
                <w:b/>
                <w:bCs/>
                <w:color w:val="000000"/>
                <w:kern w:val="0"/>
                <w:sz w:val="18"/>
                <w:szCs w:val="18"/>
              </w:rPr>
            </w:pPr>
            <w:r>
              <w:rPr>
                <w:rFonts w:eastAsia="仿宋_GB2312"/>
                <w:b/>
                <w:bCs/>
                <w:color w:val="000000"/>
                <w:kern w:val="0"/>
                <w:sz w:val="18"/>
                <w:szCs w:val="18"/>
              </w:rPr>
              <w:t>320217795000</w:t>
            </w:r>
          </w:p>
        </w:tc>
      </w:tr>
      <w:tr w14:paraId="3E2D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6C8E8D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EB8705F">
            <w:pPr>
              <w:spacing w:line="320" w:lineRule="exact"/>
              <w:jc w:val="left"/>
              <w:rPr>
                <w:color w:val="000000"/>
                <w:spacing w:val="-6"/>
                <w:kern w:val="0"/>
                <w:sz w:val="18"/>
                <w:szCs w:val="18"/>
              </w:rPr>
            </w:pPr>
            <w:r>
              <w:rPr>
                <w:rFonts w:hint="eastAsia"/>
                <w:color w:val="000000"/>
                <w:spacing w:val="-6"/>
                <w:kern w:val="0"/>
                <w:sz w:val="18"/>
                <w:szCs w:val="18"/>
              </w:rPr>
              <w:t>对城镇排水与污水处理设施维护运营单位因巡查、维护不到位，导致窨井盖丢失、损毁，造成人员伤亡和财产损失的处罚</w:t>
            </w:r>
          </w:p>
        </w:tc>
      </w:tr>
      <w:tr w14:paraId="7028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09A1188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C9167EC">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14:paraId="7B6C89CA">
            <w:pPr>
              <w:spacing w:line="320" w:lineRule="exact"/>
              <w:jc w:val="left"/>
              <w:rPr>
                <w:color w:val="000000"/>
                <w:kern w:val="0"/>
                <w:sz w:val="18"/>
                <w:szCs w:val="18"/>
              </w:rPr>
            </w:pPr>
            <w:r>
              <w:rPr>
                <w:rFonts w:hint="eastAsia"/>
                <w:color w:val="000000"/>
                <w:kern w:val="0"/>
                <w:sz w:val="18"/>
                <w:szCs w:val="18"/>
              </w:rPr>
              <w:t>　　第二十六条　设置于机动车道路上的窨井，应当按照国家有关规定进行建设，保证其承载力和稳定性等符合相关要求。</w:t>
            </w:r>
          </w:p>
          <w:p w14:paraId="2603CA5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排水管网窨井盖应当具备防坠落和防盗窃功能，满足结构强度要求。</w:t>
            </w:r>
          </w:p>
          <w:p w14:paraId="7302B561">
            <w:pPr>
              <w:spacing w:line="320" w:lineRule="exact"/>
              <w:jc w:val="left"/>
              <w:rPr>
                <w:color w:val="000000"/>
                <w:kern w:val="0"/>
                <w:sz w:val="18"/>
                <w:szCs w:val="18"/>
              </w:rPr>
            </w:pPr>
            <w:r>
              <w:rPr>
                <w:rFonts w:hint="eastAsia"/>
                <w:color w:val="000000"/>
                <w:kern w:val="0"/>
                <w:sz w:val="18"/>
                <w:szCs w:val="18"/>
              </w:rPr>
              <w:t>第三十八条　城镇排水与污水处理设施维护运营单位应当建立健全安全生产管理制度，加强对窨井盖等城镇排水与污水处理设施的日常巡查、维修和养护，保障设施安全运行。</w:t>
            </w:r>
          </w:p>
          <w:p w14:paraId="4C9A7876">
            <w:pPr>
              <w:spacing w:line="320" w:lineRule="exact"/>
              <w:jc w:val="left"/>
              <w:rPr>
                <w:color w:val="000000"/>
                <w:kern w:val="0"/>
                <w:sz w:val="18"/>
                <w:szCs w:val="18"/>
              </w:rPr>
            </w:pPr>
            <w:r>
              <w:rPr>
                <w:rFonts w:hint="eastAsia"/>
                <w:color w:val="000000"/>
                <w:kern w:val="0"/>
                <w:sz w:val="18"/>
                <w:szCs w:val="18"/>
              </w:rPr>
              <w:t>　　从事管网维护、应急排水、井下及有限空间作业的，设施维护运营单位应当安排专门人员进行现场安全管理，设置醒目警示标志，采取有效措施避免人员坠落、车辆陷落，并及时复原窨井盖，确保操作规程的遵守和安全措施的落实。相关特种作业人员，应当按照国家有关规定取得相应的资格证书。</w:t>
            </w:r>
          </w:p>
          <w:p w14:paraId="05F8D2C4">
            <w:pPr>
              <w:spacing w:line="320" w:lineRule="exact"/>
              <w:jc w:val="left"/>
              <w:rPr>
                <w:color w:val="000000"/>
                <w:kern w:val="0"/>
                <w:sz w:val="18"/>
                <w:szCs w:val="18"/>
              </w:rPr>
            </w:pPr>
            <w:r>
              <w:rPr>
                <w:rFonts w:hint="eastAsia"/>
                <w:color w:val="000000"/>
                <w:kern w:val="0"/>
                <w:sz w:val="18"/>
                <w:szCs w:val="18"/>
              </w:rPr>
              <w:t>第五十五条　违反本条例规定，城镇排水与污水处理设施维护运营单位有下列情形之一的，由城镇排水主管部门责令改正，给予警告；逾期不改正或者造成严重后果的，处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万元以下罚款；造成损失的，依法承担赔偿责任；构成犯罪的，依法追究刑事责任：</w:t>
            </w:r>
          </w:p>
          <w:p w14:paraId="5B18669F">
            <w:pPr>
              <w:spacing w:line="320" w:lineRule="exact"/>
              <w:jc w:val="left"/>
              <w:rPr>
                <w:color w:val="000000"/>
                <w:kern w:val="0"/>
                <w:sz w:val="18"/>
                <w:szCs w:val="18"/>
              </w:rPr>
            </w:pPr>
            <w:r>
              <w:rPr>
                <w:rFonts w:hint="eastAsia"/>
                <w:color w:val="000000"/>
                <w:kern w:val="0"/>
                <w:sz w:val="18"/>
                <w:szCs w:val="18"/>
              </w:rPr>
              <w:t>　　（三）因巡查、维护不到位，导致窨井盖丢失、损毁，造成人员伤亡和财产损失的。</w:t>
            </w:r>
          </w:p>
        </w:tc>
      </w:tr>
      <w:tr w14:paraId="169D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D504B8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BE63D66">
            <w:pPr>
              <w:spacing w:line="320" w:lineRule="exact"/>
              <w:jc w:val="left"/>
              <w:rPr>
                <w:color w:val="000000"/>
                <w:kern w:val="0"/>
                <w:sz w:val="18"/>
                <w:szCs w:val="18"/>
              </w:rPr>
            </w:pPr>
            <w:r>
              <w:rPr>
                <w:rFonts w:hint="eastAsia"/>
                <w:color w:val="000000"/>
                <w:kern w:val="0"/>
                <w:sz w:val="18"/>
                <w:szCs w:val="18"/>
              </w:rPr>
              <w:t>警告，罚款</w:t>
            </w:r>
          </w:p>
        </w:tc>
      </w:tr>
      <w:tr w14:paraId="31AE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83F0C8B">
            <w:pPr>
              <w:spacing w:line="320" w:lineRule="exact"/>
              <w:jc w:val="center"/>
              <w:rPr>
                <w:color w:val="000000"/>
                <w:kern w:val="0"/>
                <w:sz w:val="18"/>
                <w:szCs w:val="18"/>
              </w:rPr>
            </w:pPr>
            <w:r>
              <w:rPr>
                <w:rFonts w:hint="eastAsia"/>
                <w:color w:val="000000"/>
                <w:kern w:val="0"/>
                <w:sz w:val="18"/>
                <w:szCs w:val="18"/>
              </w:rPr>
              <w:t>裁量基准</w:t>
            </w:r>
          </w:p>
        </w:tc>
      </w:tr>
      <w:tr w14:paraId="1AD2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6DC3F24F">
            <w:pPr>
              <w:rPr>
                <w:color w:val="000000"/>
                <w:kern w:val="0"/>
                <w:sz w:val="18"/>
                <w:szCs w:val="18"/>
              </w:rPr>
            </w:pPr>
            <w:r>
              <w:rPr>
                <w:rFonts w:hint="eastAsia"/>
                <w:color w:val="000000"/>
                <w:kern w:val="0"/>
                <w:sz w:val="18"/>
                <w:szCs w:val="18"/>
              </w:rPr>
              <w:t>情形描述</w:t>
            </w:r>
          </w:p>
        </w:tc>
        <w:tc>
          <w:tcPr>
            <w:tcW w:w="6376" w:type="dxa"/>
            <w:vAlign w:val="center"/>
          </w:tcPr>
          <w:p w14:paraId="084B24DB">
            <w:pPr>
              <w:rPr>
                <w:color w:val="000000"/>
                <w:kern w:val="0"/>
                <w:sz w:val="18"/>
                <w:szCs w:val="18"/>
              </w:rPr>
            </w:pPr>
            <w:r>
              <w:rPr>
                <w:rFonts w:hint="eastAsia"/>
                <w:color w:val="000000"/>
                <w:kern w:val="0"/>
                <w:sz w:val="18"/>
                <w:szCs w:val="18"/>
              </w:rPr>
              <w:t>未造成损失的</w:t>
            </w:r>
          </w:p>
        </w:tc>
        <w:tc>
          <w:tcPr>
            <w:tcW w:w="1016" w:type="dxa"/>
            <w:vMerge w:val="restart"/>
            <w:vAlign w:val="center"/>
          </w:tcPr>
          <w:p w14:paraId="62254260">
            <w:pPr>
              <w:rPr>
                <w:color w:val="000000"/>
                <w:kern w:val="0"/>
                <w:sz w:val="18"/>
                <w:szCs w:val="18"/>
              </w:rPr>
            </w:pPr>
            <w:r>
              <w:rPr>
                <w:rFonts w:hint="eastAsia"/>
                <w:color w:val="000000"/>
                <w:kern w:val="0"/>
                <w:sz w:val="18"/>
                <w:szCs w:val="18"/>
              </w:rPr>
              <w:t>裁量幅度</w:t>
            </w:r>
          </w:p>
        </w:tc>
        <w:tc>
          <w:tcPr>
            <w:tcW w:w="5614" w:type="dxa"/>
            <w:vAlign w:val="center"/>
          </w:tcPr>
          <w:p w14:paraId="57252B92">
            <w:pPr>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14:paraId="57EB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010" w:type="dxa"/>
            <w:vMerge w:val="continue"/>
            <w:vAlign w:val="center"/>
          </w:tcPr>
          <w:p w14:paraId="5B82E9E4">
            <w:pPr>
              <w:spacing w:line="320" w:lineRule="exact"/>
              <w:jc w:val="left"/>
              <w:rPr>
                <w:color w:val="000000"/>
                <w:kern w:val="0"/>
                <w:sz w:val="18"/>
                <w:szCs w:val="18"/>
              </w:rPr>
            </w:pPr>
          </w:p>
        </w:tc>
        <w:tc>
          <w:tcPr>
            <w:tcW w:w="6376" w:type="dxa"/>
            <w:vAlign w:val="center"/>
          </w:tcPr>
          <w:p w14:paraId="37F4E2E2">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16" w:type="dxa"/>
            <w:vMerge w:val="continue"/>
            <w:vAlign w:val="center"/>
          </w:tcPr>
          <w:p w14:paraId="0E6033C6">
            <w:pPr>
              <w:spacing w:line="320" w:lineRule="exact"/>
              <w:jc w:val="left"/>
              <w:rPr>
                <w:color w:val="000000"/>
                <w:kern w:val="0"/>
                <w:sz w:val="18"/>
                <w:szCs w:val="18"/>
              </w:rPr>
            </w:pPr>
          </w:p>
        </w:tc>
        <w:tc>
          <w:tcPr>
            <w:tcW w:w="5614" w:type="dxa"/>
            <w:vAlign w:val="center"/>
          </w:tcPr>
          <w:p w14:paraId="527174BD">
            <w:pPr>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 xml:space="preserve"> 35</w:t>
            </w:r>
            <w:r>
              <w:rPr>
                <w:rFonts w:hint="eastAsia"/>
                <w:color w:val="000000"/>
                <w:kern w:val="0"/>
                <w:sz w:val="18"/>
                <w:szCs w:val="18"/>
              </w:rPr>
              <w:t>万元以下罚款</w:t>
            </w:r>
          </w:p>
        </w:tc>
      </w:tr>
      <w:tr w14:paraId="6959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010" w:type="dxa"/>
            <w:vMerge w:val="continue"/>
            <w:vAlign w:val="center"/>
          </w:tcPr>
          <w:p w14:paraId="09EE4D71">
            <w:pPr>
              <w:spacing w:line="320" w:lineRule="exact"/>
              <w:jc w:val="left"/>
              <w:rPr>
                <w:color w:val="000000"/>
                <w:kern w:val="0"/>
                <w:sz w:val="18"/>
                <w:szCs w:val="18"/>
              </w:rPr>
            </w:pPr>
          </w:p>
        </w:tc>
        <w:tc>
          <w:tcPr>
            <w:tcW w:w="6376" w:type="dxa"/>
            <w:vAlign w:val="center"/>
          </w:tcPr>
          <w:p w14:paraId="11A670DB">
            <w:pPr>
              <w:spacing w:line="320" w:lineRule="exact"/>
              <w:jc w:val="left"/>
              <w:rPr>
                <w:color w:val="000000"/>
                <w:kern w:val="0"/>
                <w:sz w:val="18"/>
                <w:szCs w:val="18"/>
              </w:rPr>
            </w:pPr>
            <w:r>
              <w:rPr>
                <w:rFonts w:hint="eastAsia"/>
                <w:color w:val="000000"/>
                <w:kern w:val="0"/>
                <w:sz w:val="18"/>
                <w:szCs w:val="18"/>
              </w:rPr>
              <w:t>造成损失且未承担赔偿责任的</w:t>
            </w:r>
          </w:p>
        </w:tc>
        <w:tc>
          <w:tcPr>
            <w:tcW w:w="1016" w:type="dxa"/>
            <w:vMerge w:val="continue"/>
            <w:vAlign w:val="center"/>
          </w:tcPr>
          <w:p w14:paraId="1D1B13C5">
            <w:pPr>
              <w:spacing w:line="320" w:lineRule="exact"/>
              <w:jc w:val="left"/>
              <w:rPr>
                <w:color w:val="000000"/>
                <w:kern w:val="0"/>
                <w:sz w:val="18"/>
                <w:szCs w:val="18"/>
              </w:rPr>
            </w:pPr>
          </w:p>
        </w:tc>
        <w:tc>
          <w:tcPr>
            <w:tcW w:w="5614" w:type="dxa"/>
            <w:vAlign w:val="center"/>
          </w:tcPr>
          <w:p w14:paraId="540D731A">
            <w:pPr>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14:paraId="5FFD5F54"/>
    <w:p w14:paraId="3DAF85C0"/>
    <w:p w14:paraId="5AC9D498"/>
    <w:p w14:paraId="285ABE4A"/>
    <w:p w14:paraId="01640EAD"/>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584E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6899C30">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4BDD82B">
            <w:pPr>
              <w:spacing w:line="320" w:lineRule="exact"/>
              <w:jc w:val="left"/>
              <w:rPr>
                <w:rFonts w:eastAsia="仿宋_GB2312"/>
                <w:b/>
                <w:bCs/>
                <w:color w:val="000000"/>
                <w:kern w:val="0"/>
                <w:sz w:val="18"/>
                <w:szCs w:val="18"/>
              </w:rPr>
            </w:pPr>
            <w:r>
              <w:rPr>
                <w:rFonts w:eastAsia="仿宋_GB2312"/>
                <w:b/>
                <w:bCs/>
                <w:color w:val="000000"/>
                <w:kern w:val="0"/>
                <w:sz w:val="18"/>
                <w:szCs w:val="18"/>
              </w:rPr>
              <w:t>320217796000</w:t>
            </w:r>
          </w:p>
        </w:tc>
      </w:tr>
      <w:tr w14:paraId="0821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5F2BE3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D7F5862">
            <w:pPr>
              <w:spacing w:line="320" w:lineRule="exact"/>
              <w:jc w:val="left"/>
              <w:rPr>
                <w:color w:val="000000"/>
                <w:spacing w:val="-6"/>
                <w:kern w:val="0"/>
                <w:sz w:val="18"/>
                <w:szCs w:val="18"/>
              </w:rPr>
            </w:pPr>
            <w:r>
              <w:rPr>
                <w:rFonts w:hint="eastAsia"/>
                <w:color w:val="000000"/>
                <w:spacing w:val="-6"/>
                <w:kern w:val="0"/>
                <w:sz w:val="18"/>
                <w:szCs w:val="18"/>
              </w:rPr>
              <w:t>对机动车在桥梁或者非指定的城市道路上试刹车的处罚</w:t>
            </w:r>
          </w:p>
        </w:tc>
      </w:tr>
      <w:tr w14:paraId="6C30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76BB08B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7765771">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2019</w:t>
            </w:r>
            <w:r>
              <w:rPr>
                <w:rFonts w:hint="eastAsia"/>
                <w:color w:val="000000"/>
                <w:kern w:val="0"/>
                <w:sz w:val="18"/>
                <w:szCs w:val="18"/>
              </w:rPr>
              <w:t>年国务院令第</w:t>
            </w:r>
            <w:r>
              <w:rPr>
                <w:color w:val="000000"/>
                <w:kern w:val="0"/>
                <w:sz w:val="18"/>
                <w:szCs w:val="18"/>
              </w:rPr>
              <w:t>710</w:t>
            </w:r>
            <w:r>
              <w:rPr>
                <w:rFonts w:hint="eastAsia"/>
                <w:color w:val="000000"/>
                <w:kern w:val="0"/>
                <w:sz w:val="18"/>
                <w:szCs w:val="18"/>
              </w:rPr>
              <w:t>号修改）</w:t>
            </w:r>
            <w:r>
              <w:rPr>
                <w:color w:val="000000"/>
                <w:kern w:val="0"/>
                <w:sz w:val="18"/>
                <w:szCs w:val="18"/>
              </w:rPr>
              <w:t xml:space="preserve">   </w:t>
            </w:r>
          </w:p>
          <w:p w14:paraId="719CBBC1">
            <w:pPr>
              <w:spacing w:line="320" w:lineRule="exact"/>
              <w:jc w:val="left"/>
              <w:rPr>
                <w:color w:val="000000"/>
                <w:kern w:val="0"/>
                <w:sz w:val="18"/>
                <w:szCs w:val="18"/>
              </w:rPr>
            </w:pPr>
            <w:r>
              <w:rPr>
                <w:rFonts w:hint="eastAsia"/>
                <w:color w:val="000000"/>
                <w:kern w:val="0"/>
                <w:sz w:val="18"/>
                <w:szCs w:val="18"/>
              </w:rPr>
              <w:t>第二十七条　城市道路范围内禁止下列行为：（三）机动车在桥梁或者非指定的城市道路上试刹车；</w:t>
            </w:r>
          </w:p>
          <w:p w14:paraId="3BD7BDC5">
            <w:pPr>
              <w:spacing w:line="320" w:lineRule="exact"/>
              <w:jc w:val="left"/>
              <w:rPr>
                <w:color w:val="000000"/>
                <w:kern w:val="0"/>
                <w:sz w:val="18"/>
                <w:szCs w:val="18"/>
              </w:rPr>
            </w:pPr>
            <w:r>
              <w:rPr>
                <w:rFonts w:hint="eastAsia"/>
                <w:color w:val="000000"/>
                <w:kern w:val="0"/>
                <w:sz w:val="18"/>
                <w:szCs w:val="18"/>
              </w:rPr>
              <w:t>第四十二条第一款</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14:paraId="37F2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5CACDB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4F33EE6">
            <w:pPr>
              <w:spacing w:line="320" w:lineRule="exact"/>
              <w:jc w:val="left"/>
              <w:rPr>
                <w:color w:val="000000"/>
                <w:kern w:val="0"/>
                <w:sz w:val="18"/>
                <w:szCs w:val="18"/>
              </w:rPr>
            </w:pPr>
            <w:r>
              <w:rPr>
                <w:rFonts w:hint="eastAsia"/>
                <w:color w:val="000000"/>
                <w:kern w:val="0"/>
                <w:sz w:val="18"/>
                <w:szCs w:val="18"/>
              </w:rPr>
              <w:t>罚款</w:t>
            </w:r>
          </w:p>
        </w:tc>
      </w:tr>
      <w:tr w14:paraId="2240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49554F2">
            <w:pPr>
              <w:spacing w:line="320" w:lineRule="exact"/>
              <w:jc w:val="center"/>
              <w:rPr>
                <w:color w:val="000000"/>
                <w:kern w:val="0"/>
                <w:sz w:val="18"/>
                <w:szCs w:val="18"/>
              </w:rPr>
            </w:pPr>
            <w:r>
              <w:rPr>
                <w:rFonts w:hint="eastAsia"/>
                <w:color w:val="000000"/>
                <w:kern w:val="0"/>
                <w:sz w:val="18"/>
                <w:szCs w:val="18"/>
              </w:rPr>
              <w:t>裁量基准</w:t>
            </w:r>
          </w:p>
        </w:tc>
      </w:tr>
      <w:tr w14:paraId="0A3B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BD72209">
            <w:pPr>
              <w:rPr>
                <w:color w:val="000000"/>
                <w:kern w:val="0"/>
                <w:sz w:val="18"/>
                <w:szCs w:val="18"/>
              </w:rPr>
            </w:pPr>
            <w:r>
              <w:rPr>
                <w:rFonts w:hint="eastAsia"/>
                <w:color w:val="000000"/>
                <w:kern w:val="0"/>
                <w:sz w:val="18"/>
                <w:szCs w:val="18"/>
              </w:rPr>
              <w:t>情形描述</w:t>
            </w:r>
          </w:p>
        </w:tc>
        <w:tc>
          <w:tcPr>
            <w:tcW w:w="6376" w:type="dxa"/>
            <w:vAlign w:val="center"/>
          </w:tcPr>
          <w:p w14:paraId="58AD3B73">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16C5EE1F">
            <w:pPr>
              <w:rPr>
                <w:color w:val="000000"/>
                <w:kern w:val="0"/>
                <w:sz w:val="18"/>
                <w:szCs w:val="18"/>
              </w:rPr>
            </w:pPr>
            <w:r>
              <w:rPr>
                <w:rFonts w:hint="eastAsia"/>
                <w:color w:val="000000"/>
                <w:kern w:val="0"/>
                <w:sz w:val="18"/>
                <w:szCs w:val="18"/>
              </w:rPr>
              <w:t>裁量幅度</w:t>
            </w:r>
          </w:p>
        </w:tc>
        <w:tc>
          <w:tcPr>
            <w:tcW w:w="5614" w:type="dxa"/>
            <w:vAlign w:val="center"/>
          </w:tcPr>
          <w:p w14:paraId="495A44DF">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万元以下的罚款</w:t>
            </w:r>
          </w:p>
        </w:tc>
      </w:tr>
      <w:tr w14:paraId="6A9B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4D52EFB2">
            <w:pPr>
              <w:spacing w:line="320" w:lineRule="exact"/>
              <w:jc w:val="left"/>
              <w:rPr>
                <w:color w:val="000000"/>
                <w:kern w:val="0"/>
                <w:sz w:val="18"/>
                <w:szCs w:val="18"/>
              </w:rPr>
            </w:pPr>
          </w:p>
        </w:tc>
        <w:tc>
          <w:tcPr>
            <w:tcW w:w="6376" w:type="dxa"/>
            <w:vAlign w:val="center"/>
          </w:tcPr>
          <w:p w14:paraId="45F0FC64">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29B43AE">
            <w:pPr>
              <w:spacing w:line="320" w:lineRule="exact"/>
              <w:jc w:val="left"/>
              <w:rPr>
                <w:color w:val="000000"/>
                <w:kern w:val="0"/>
                <w:sz w:val="18"/>
                <w:szCs w:val="18"/>
              </w:rPr>
            </w:pPr>
          </w:p>
        </w:tc>
        <w:tc>
          <w:tcPr>
            <w:tcW w:w="5614" w:type="dxa"/>
            <w:vAlign w:val="center"/>
          </w:tcPr>
          <w:p w14:paraId="5BBB9B52">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14:paraId="4BB4B567"/>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7A17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EEF17F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3BB110A">
            <w:pPr>
              <w:spacing w:line="320" w:lineRule="exact"/>
              <w:jc w:val="left"/>
              <w:rPr>
                <w:rFonts w:eastAsia="仿宋_GB2312"/>
                <w:b/>
                <w:bCs/>
                <w:color w:val="000000"/>
                <w:kern w:val="0"/>
                <w:sz w:val="18"/>
                <w:szCs w:val="18"/>
              </w:rPr>
            </w:pPr>
            <w:r>
              <w:rPr>
                <w:rFonts w:eastAsia="仿宋_GB2312"/>
                <w:b/>
                <w:bCs/>
                <w:color w:val="000000"/>
                <w:kern w:val="0"/>
                <w:sz w:val="18"/>
                <w:szCs w:val="18"/>
              </w:rPr>
              <w:t>320217797000</w:t>
            </w:r>
          </w:p>
        </w:tc>
      </w:tr>
      <w:tr w14:paraId="1566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7791AA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9F5AEF5">
            <w:pPr>
              <w:spacing w:line="320" w:lineRule="exact"/>
              <w:jc w:val="left"/>
              <w:rPr>
                <w:color w:val="000000"/>
                <w:spacing w:val="-6"/>
                <w:kern w:val="0"/>
                <w:sz w:val="18"/>
                <w:szCs w:val="18"/>
              </w:rPr>
            </w:pPr>
            <w:r>
              <w:rPr>
                <w:rFonts w:hint="eastAsia"/>
                <w:color w:val="000000"/>
                <w:spacing w:val="-6"/>
                <w:kern w:val="0"/>
                <w:sz w:val="18"/>
                <w:szCs w:val="18"/>
              </w:rPr>
              <w:t>对在桥梁上架设压力在</w:t>
            </w:r>
            <w:r>
              <w:rPr>
                <w:color w:val="000000"/>
                <w:spacing w:val="-6"/>
                <w:kern w:val="0"/>
                <w:sz w:val="18"/>
                <w:szCs w:val="18"/>
              </w:rPr>
              <w:t>4</w:t>
            </w:r>
            <w:r>
              <w:rPr>
                <w:rFonts w:hint="eastAsia"/>
                <w:color w:val="000000"/>
                <w:spacing w:val="-6"/>
                <w:kern w:val="0"/>
                <w:sz w:val="18"/>
                <w:szCs w:val="18"/>
              </w:rPr>
              <w:t>公斤／平方厘米（</w:t>
            </w:r>
            <w:r>
              <w:rPr>
                <w:color w:val="000000"/>
                <w:spacing w:val="-6"/>
                <w:kern w:val="0"/>
                <w:sz w:val="18"/>
                <w:szCs w:val="18"/>
              </w:rPr>
              <w:t>0.4</w:t>
            </w:r>
            <w:r>
              <w:rPr>
                <w:rFonts w:hint="eastAsia"/>
                <w:color w:val="000000"/>
                <w:spacing w:val="-6"/>
                <w:kern w:val="0"/>
                <w:sz w:val="18"/>
                <w:szCs w:val="18"/>
              </w:rPr>
              <w:t>兆帕）以上的煤气管道、</w:t>
            </w:r>
            <w:r>
              <w:rPr>
                <w:color w:val="000000"/>
                <w:spacing w:val="-6"/>
                <w:kern w:val="0"/>
                <w:sz w:val="18"/>
                <w:szCs w:val="18"/>
              </w:rPr>
              <w:t>10</w:t>
            </w:r>
            <w:r>
              <w:rPr>
                <w:rFonts w:hint="eastAsia"/>
                <w:color w:val="000000"/>
                <w:spacing w:val="-6"/>
                <w:kern w:val="0"/>
                <w:sz w:val="18"/>
                <w:szCs w:val="18"/>
              </w:rPr>
              <w:t>千伏以上的高压电力线和其他易燃易爆管线的处罚</w:t>
            </w:r>
          </w:p>
        </w:tc>
      </w:tr>
      <w:tr w14:paraId="6E9B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46FFE9F2">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EAD927C">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2019</w:t>
            </w:r>
            <w:r>
              <w:rPr>
                <w:rFonts w:hint="eastAsia"/>
                <w:color w:val="000000"/>
                <w:kern w:val="0"/>
                <w:sz w:val="18"/>
                <w:szCs w:val="18"/>
              </w:rPr>
              <w:t>年国务院令第</w:t>
            </w:r>
            <w:r>
              <w:rPr>
                <w:color w:val="000000"/>
                <w:kern w:val="0"/>
                <w:sz w:val="18"/>
                <w:szCs w:val="18"/>
              </w:rPr>
              <w:t>710</w:t>
            </w:r>
            <w:r>
              <w:rPr>
                <w:rFonts w:hint="eastAsia"/>
                <w:color w:val="000000"/>
                <w:kern w:val="0"/>
                <w:sz w:val="18"/>
                <w:szCs w:val="18"/>
              </w:rPr>
              <w:t>号修改）</w:t>
            </w:r>
            <w:r>
              <w:rPr>
                <w:color w:val="000000"/>
                <w:kern w:val="0"/>
                <w:sz w:val="18"/>
                <w:szCs w:val="18"/>
              </w:rPr>
              <w:t xml:space="preserve">   </w:t>
            </w:r>
          </w:p>
          <w:p w14:paraId="788FBC42">
            <w:pPr>
              <w:spacing w:line="320" w:lineRule="exact"/>
              <w:jc w:val="left"/>
              <w:rPr>
                <w:color w:val="000000"/>
                <w:kern w:val="0"/>
                <w:sz w:val="18"/>
                <w:szCs w:val="18"/>
              </w:rPr>
            </w:pPr>
            <w:r>
              <w:rPr>
                <w:rFonts w:hint="eastAsia"/>
                <w:color w:val="000000"/>
                <w:kern w:val="0"/>
                <w:sz w:val="18"/>
                <w:szCs w:val="18"/>
              </w:rPr>
              <w:t>第二十七条　城市道路范围内禁止下列行为：</w:t>
            </w:r>
          </w:p>
          <w:p w14:paraId="0D4CEAA9">
            <w:pPr>
              <w:spacing w:line="320" w:lineRule="exact"/>
              <w:jc w:val="left"/>
              <w:rPr>
                <w:color w:val="000000"/>
                <w:kern w:val="0"/>
                <w:sz w:val="18"/>
                <w:szCs w:val="18"/>
              </w:rPr>
            </w:pPr>
            <w:r>
              <w:rPr>
                <w:rFonts w:hint="eastAsia"/>
                <w:color w:val="000000"/>
                <w:kern w:val="0"/>
                <w:sz w:val="18"/>
                <w:szCs w:val="18"/>
              </w:rPr>
              <w:t>（五）在桥梁上架设压力在</w:t>
            </w:r>
            <w:r>
              <w:rPr>
                <w:color w:val="000000"/>
                <w:kern w:val="0"/>
                <w:sz w:val="18"/>
                <w:szCs w:val="18"/>
              </w:rPr>
              <w:t>4</w:t>
            </w:r>
            <w:r>
              <w:rPr>
                <w:rFonts w:hint="eastAsia"/>
                <w:color w:val="000000"/>
                <w:kern w:val="0"/>
                <w:sz w:val="18"/>
                <w:szCs w:val="18"/>
              </w:rPr>
              <w:t>公斤／平方厘米（</w:t>
            </w:r>
            <w:r>
              <w:rPr>
                <w:color w:val="000000"/>
                <w:kern w:val="0"/>
                <w:sz w:val="18"/>
                <w:szCs w:val="18"/>
              </w:rPr>
              <w:t>0.4</w:t>
            </w:r>
            <w:r>
              <w:rPr>
                <w:rFonts w:hint="eastAsia"/>
                <w:color w:val="000000"/>
                <w:kern w:val="0"/>
                <w:sz w:val="18"/>
                <w:szCs w:val="18"/>
              </w:rPr>
              <w:t>兆帕）以上的煤气管道、</w:t>
            </w:r>
            <w:r>
              <w:rPr>
                <w:color w:val="000000"/>
                <w:kern w:val="0"/>
                <w:sz w:val="18"/>
                <w:szCs w:val="18"/>
              </w:rPr>
              <w:t>10</w:t>
            </w:r>
            <w:r>
              <w:rPr>
                <w:rFonts w:hint="eastAsia"/>
                <w:color w:val="000000"/>
                <w:kern w:val="0"/>
                <w:sz w:val="18"/>
                <w:szCs w:val="18"/>
              </w:rPr>
              <w:t>千伏以上的高压电力线和其他易燃易爆管线；</w:t>
            </w:r>
          </w:p>
          <w:p w14:paraId="75E37720">
            <w:pPr>
              <w:spacing w:line="320" w:lineRule="exact"/>
              <w:jc w:val="left"/>
              <w:rPr>
                <w:color w:val="000000"/>
                <w:kern w:val="0"/>
                <w:sz w:val="18"/>
                <w:szCs w:val="18"/>
              </w:rPr>
            </w:pPr>
            <w:r>
              <w:rPr>
                <w:rFonts w:hint="eastAsia"/>
                <w:color w:val="000000"/>
                <w:kern w:val="0"/>
                <w:sz w:val="18"/>
                <w:szCs w:val="18"/>
              </w:rPr>
              <w:t>第四十二条第一款</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14:paraId="2E71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A1A32E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FC4A192">
            <w:pPr>
              <w:spacing w:line="320" w:lineRule="exact"/>
              <w:jc w:val="left"/>
              <w:rPr>
                <w:color w:val="000000"/>
                <w:kern w:val="0"/>
                <w:sz w:val="18"/>
                <w:szCs w:val="18"/>
              </w:rPr>
            </w:pPr>
            <w:r>
              <w:rPr>
                <w:rFonts w:hint="eastAsia"/>
                <w:color w:val="000000"/>
                <w:kern w:val="0"/>
                <w:sz w:val="18"/>
                <w:szCs w:val="18"/>
              </w:rPr>
              <w:t>罚款</w:t>
            </w:r>
          </w:p>
        </w:tc>
      </w:tr>
      <w:tr w14:paraId="73EA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D30799E">
            <w:pPr>
              <w:spacing w:line="320" w:lineRule="exact"/>
              <w:jc w:val="center"/>
              <w:rPr>
                <w:color w:val="000000"/>
                <w:kern w:val="0"/>
                <w:sz w:val="18"/>
                <w:szCs w:val="18"/>
              </w:rPr>
            </w:pPr>
            <w:r>
              <w:rPr>
                <w:rFonts w:hint="eastAsia"/>
                <w:color w:val="000000"/>
                <w:kern w:val="0"/>
                <w:sz w:val="18"/>
                <w:szCs w:val="18"/>
              </w:rPr>
              <w:t>裁量基准</w:t>
            </w:r>
          </w:p>
        </w:tc>
      </w:tr>
      <w:tr w14:paraId="5A758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7847EDD2">
            <w:pPr>
              <w:rPr>
                <w:color w:val="000000"/>
                <w:kern w:val="0"/>
                <w:sz w:val="18"/>
                <w:szCs w:val="18"/>
              </w:rPr>
            </w:pPr>
            <w:r>
              <w:rPr>
                <w:rFonts w:hint="eastAsia"/>
                <w:color w:val="000000"/>
                <w:kern w:val="0"/>
                <w:sz w:val="18"/>
                <w:szCs w:val="18"/>
              </w:rPr>
              <w:t>情形描述</w:t>
            </w:r>
          </w:p>
        </w:tc>
        <w:tc>
          <w:tcPr>
            <w:tcW w:w="6376" w:type="dxa"/>
            <w:vAlign w:val="center"/>
          </w:tcPr>
          <w:p w14:paraId="03C41DFC">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07F4AFDF">
            <w:pPr>
              <w:rPr>
                <w:color w:val="000000"/>
                <w:kern w:val="0"/>
                <w:sz w:val="18"/>
                <w:szCs w:val="18"/>
              </w:rPr>
            </w:pPr>
            <w:r>
              <w:rPr>
                <w:rFonts w:hint="eastAsia"/>
                <w:color w:val="000000"/>
                <w:kern w:val="0"/>
                <w:sz w:val="18"/>
                <w:szCs w:val="18"/>
              </w:rPr>
              <w:t>裁量幅度</w:t>
            </w:r>
          </w:p>
        </w:tc>
        <w:tc>
          <w:tcPr>
            <w:tcW w:w="5614" w:type="dxa"/>
            <w:vAlign w:val="center"/>
          </w:tcPr>
          <w:p w14:paraId="5F175DC2">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万元以下的罚款</w:t>
            </w:r>
          </w:p>
        </w:tc>
      </w:tr>
      <w:tr w14:paraId="14B5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8A0AD76">
            <w:pPr>
              <w:spacing w:line="320" w:lineRule="exact"/>
              <w:jc w:val="left"/>
              <w:rPr>
                <w:color w:val="000000"/>
                <w:kern w:val="0"/>
                <w:sz w:val="18"/>
                <w:szCs w:val="18"/>
              </w:rPr>
            </w:pPr>
          </w:p>
        </w:tc>
        <w:tc>
          <w:tcPr>
            <w:tcW w:w="6376" w:type="dxa"/>
            <w:vAlign w:val="center"/>
          </w:tcPr>
          <w:p w14:paraId="494DFD5E">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503B9786">
            <w:pPr>
              <w:spacing w:line="320" w:lineRule="exact"/>
              <w:jc w:val="left"/>
              <w:rPr>
                <w:color w:val="000000"/>
                <w:kern w:val="0"/>
                <w:sz w:val="18"/>
                <w:szCs w:val="18"/>
              </w:rPr>
            </w:pPr>
          </w:p>
        </w:tc>
        <w:tc>
          <w:tcPr>
            <w:tcW w:w="5614" w:type="dxa"/>
            <w:vAlign w:val="center"/>
          </w:tcPr>
          <w:p w14:paraId="0391E9FF">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14:paraId="666F5EF2"/>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A1E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C9E956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509990C6">
            <w:pPr>
              <w:spacing w:line="320" w:lineRule="exact"/>
              <w:jc w:val="left"/>
              <w:rPr>
                <w:rFonts w:eastAsia="仿宋_GB2312"/>
                <w:b/>
                <w:bCs/>
                <w:color w:val="000000"/>
                <w:kern w:val="0"/>
                <w:sz w:val="18"/>
                <w:szCs w:val="18"/>
              </w:rPr>
            </w:pPr>
            <w:r>
              <w:rPr>
                <w:rFonts w:eastAsia="仿宋_GB2312"/>
                <w:b/>
                <w:bCs/>
                <w:color w:val="000000"/>
                <w:kern w:val="0"/>
                <w:sz w:val="18"/>
                <w:szCs w:val="18"/>
              </w:rPr>
              <w:t>320217798000</w:t>
            </w:r>
          </w:p>
        </w:tc>
      </w:tr>
      <w:tr w14:paraId="737C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49891C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82E3BE4">
            <w:pPr>
              <w:spacing w:line="320" w:lineRule="exact"/>
              <w:jc w:val="left"/>
              <w:rPr>
                <w:color w:val="000000"/>
                <w:spacing w:val="-6"/>
                <w:kern w:val="0"/>
                <w:sz w:val="18"/>
                <w:szCs w:val="18"/>
              </w:rPr>
            </w:pPr>
            <w:r>
              <w:rPr>
                <w:rFonts w:hint="eastAsia"/>
                <w:color w:val="000000"/>
                <w:spacing w:val="-6"/>
                <w:kern w:val="0"/>
                <w:sz w:val="18"/>
                <w:szCs w:val="18"/>
              </w:rPr>
              <w:t>对经检测评估判定为危桥的城市桥梁产权人和委托管理人未立即采取措施，设置显著的警示标志，并在二十四小时内向城市人民政府市政工程设施行政主管部门报告；或者未限期排除危险；或者在危险排除之前使用或者转让城市桥梁的处罚</w:t>
            </w:r>
          </w:p>
        </w:tc>
      </w:tr>
      <w:tr w14:paraId="290C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0717112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EE06E3A">
            <w:pPr>
              <w:spacing w:line="320" w:lineRule="exact"/>
              <w:jc w:val="left"/>
              <w:rPr>
                <w:color w:val="000000"/>
                <w:kern w:val="0"/>
                <w:sz w:val="18"/>
                <w:szCs w:val="18"/>
              </w:rPr>
            </w:pPr>
            <w:r>
              <w:rPr>
                <w:rFonts w:hint="eastAsia"/>
                <w:color w:val="000000"/>
                <w:kern w:val="0"/>
                <w:sz w:val="18"/>
                <w:szCs w:val="18"/>
              </w:rPr>
              <w:t>【规章】《城市桥梁检测和养护维修管理办法》（住房和城乡建设部令第</w:t>
            </w:r>
            <w:r>
              <w:rPr>
                <w:color w:val="000000"/>
                <w:kern w:val="0"/>
                <w:sz w:val="18"/>
                <w:szCs w:val="18"/>
              </w:rPr>
              <w:t>118</w:t>
            </w:r>
            <w:r>
              <w:rPr>
                <w:rFonts w:hint="eastAsia"/>
                <w:color w:val="000000"/>
                <w:kern w:val="0"/>
                <w:sz w:val="18"/>
                <w:szCs w:val="18"/>
              </w:rPr>
              <w:t>号）</w:t>
            </w:r>
          </w:p>
          <w:p w14:paraId="0EB6DFF3">
            <w:pPr>
              <w:spacing w:line="320" w:lineRule="exact"/>
              <w:jc w:val="left"/>
              <w:rPr>
                <w:color w:val="000000"/>
                <w:kern w:val="0"/>
                <w:sz w:val="18"/>
                <w:szCs w:val="18"/>
              </w:rPr>
            </w:pPr>
            <w:r>
              <w:rPr>
                <w:rFonts w:hint="eastAsia"/>
                <w:color w:val="000000"/>
                <w:kern w:val="0"/>
                <w:sz w:val="18"/>
                <w:szCs w:val="18"/>
              </w:rPr>
              <w:t>第二十三条第二款</w:t>
            </w:r>
            <w:r>
              <w:rPr>
                <w:color w:val="000000"/>
                <w:kern w:val="0"/>
                <w:sz w:val="18"/>
                <w:szCs w:val="18"/>
              </w:rPr>
              <w:t xml:space="preserve"> </w:t>
            </w:r>
            <w:r>
              <w:rPr>
                <w:rFonts w:hint="eastAsia"/>
                <w:color w:val="000000"/>
                <w:kern w:val="0"/>
                <w:sz w:val="18"/>
                <w:szCs w:val="18"/>
              </w:rPr>
              <w:t>经检测评估判定为危桥的，城市桥梁产权人和委托管理人应当立即采取措施，设置显著的警示标志，并在二十四小时内，向城市人民政府市政工程设施行政主管部门报告；城市人民政府市政工程设施行政主管部门应当提出处理意见，并限期排除危险；在危险排除之前，不得使用或者转让。</w:t>
            </w:r>
          </w:p>
          <w:p w14:paraId="335A8908">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违反本办法第十六条、第二十三条规定，由城市人民政府市政工程设施行政主管部门责令限期改正，并可处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万元以下的罚款；造成损失的，依法承担赔偿责任。</w:t>
            </w:r>
          </w:p>
        </w:tc>
      </w:tr>
      <w:tr w14:paraId="02E9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A965D3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2963CF7">
            <w:pPr>
              <w:spacing w:line="320" w:lineRule="exact"/>
              <w:jc w:val="left"/>
              <w:rPr>
                <w:color w:val="000000"/>
                <w:kern w:val="0"/>
                <w:sz w:val="18"/>
                <w:szCs w:val="18"/>
              </w:rPr>
            </w:pPr>
            <w:r>
              <w:rPr>
                <w:rFonts w:hint="eastAsia"/>
                <w:color w:val="000000"/>
                <w:kern w:val="0"/>
                <w:sz w:val="18"/>
                <w:szCs w:val="18"/>
              </w:rPr>
              <w:t>罚款</w:t>
            </w:r>
          </w:p>
        </w:tc>
      </w:tr>
      <w:tr w14:paraId="5132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2DE39888">
            <w:pPr>
              <w:spacing w:line="320" w:lineRule="exact"/>
              <w:jc w:val="center"/>
              <w:rPr>
                <w:color w:val="000000"/>
                <w:kern w:val="0"/>
                <w:sz w:val="18"/>
                <w:szCs w:val="18"/>
              </w:rPr>
            </w:pPr>
            <w:r>
              <w:rPr>
                <w:rFonts w:hint="eastAsia"/>
                <w:color w:val="000000"/>
                <w:kern w:val="0"/>
                <w:sz w:val="18"/>
                <w:szCs w:val="18"/>
              </w:rPr>
              <w:t>裁量基准</w:t>
            </w:r>
          </w:p>
        </w:tc>
      </w:tr>
      <w:tr w14:paraId="0FB6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832E4D2">
            <w:pPr>
              <w:rPr>
                <w:color w:val="000000"/>
                <w:kern w:val="0"/>
                <w:sz w:val="18"/>
                <w:szCs w:val="18"/>
              </w:rPr>
            </w:pPr>
            <w:r>
              <w:rPr>
                <w:rFonts w:hint="eastAsia"/>
                <w:color w:val="000000"/>
                <w:kern w:val="0"/>
                <w:sz w:val="18"/>
                <w:szCs w:val="18"/>
              </w:rPr>
              <w:t>情形描述</w:t>
            </w:r>
          </w:p>
        </w:tc>
        <w:tc>
          <w:tcPr>
            <w:tcW w:w="6376" w:type="dxa"/>
            <w:vAlign w:val="center"/>
          </w:tcPr>
          <w:p w14:paraId="7E5EA6A4">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0BDB4A0D">
            <w:pPr>
              <w:rPr>
                <w:color w:val="000000"/>
                <w:kern w:val="0"/>
                <w:sz w:val="18"/>
                <w:szCs w:val="18"/>
              </w:rPr>
            </w:pPr>
            <w:r>
              <w:rPr>
                <w:rFonts w:hint="eastAsia"/>
                <w:color w:val="000000"/>
                <w:kern w:val="0"/>
                <w:sz w:val="18"/>
                <w:szCs w:val="18"/>
              </w:rPr>
              <w:t>裁量幅度</w:t>
            </w:r>
          </w:p>
        </w:tc>
        <w:tc>
          <w:tcPr>
            <w:tcW w:w="5614" w:type="dxa"/>
            <w:vAlign w:val="center"/>
          </w:tcPr>
          <w:p w14:paraId="35A9B031">
            <w:pPr>
              <w:rPr>
                <w:color w:val="000000"/>
                <w:kern w:val="0"/>
                <w:sz w:val="18"/>
                <w:szCs w:val="18"/>
              </w:rPr>
            </w:pPr>
            <w:r>
              <w:rPr>
                <w:rFonts w:hint="eastAsia"/>
                <w:color w:val="000000"/>
                <w:kern w:val="0"/>
                <w:sz w:val="18"/>
                <w:szCs w:val="18"/>
              </w:rPr>
              <w:t>并可处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14:paraId="23F6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E288833">
            <w:pPr>
              <w:spacing w:line="320" w:lineRule="exact"/>
              <w:jc w:val="left"/>
              <w:rPr>
                <w:color w:val="000000"/>
                <w:kern w:val="0"/>
                <w:sz w:val="18"/>
                <w:szCs w:val="18"/>
              </w:rPr>
            </w:pPr>
          </w:p>
        </w:tc>
        <w:tc>
          <w:tcPr>
            <w:tcW w:w="6376" w:type="dxa"/>
            <w:vAlign w:val="center"/>
          </w:tcPr>
          <w:p w14:paraId="19374D93">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2F4BF264">
            <w:pPr>
              <w:spacing w:line="320" w:lineRule="exact"/>
              <w:jc w:val="left"/>
              <w:rPr>
                <w:color w:val="000000"/>
                <w:kern w:val="0"/>
                <w:sz w:val="18"/>
                <w:szCs w:val="18"/>
              </w:rPr>
            </w:pPr>
          </w:p>
        </w:tc>
        <w:tc>
          <w:tcPr>
            <w:tcW w:w="5614" w:type="dxa"/>
            <w:vAlign w:val="center"/>
          </w:tcPr>
          <w:p w14:paraId="668C04EC">
            <w:pPr>
              <w:rPr>
                <w:color w:val="000000"/>
                <w:kern w:val="0"/>
                <w:sz w:val="18"/>
                <w:szCs w:val="18"/>
              </w:rPr>
            </w:pPr>
            <w:r>
              <w:rPr>
                <w:rFonts w:hint="eastAsia"/>
                <w:color w:val="000000"/>
                <w:kern w:val="0"/>
                <w:sz w:val="18"/>
                <w:szCs w:val="18"/>
              </w:rPr>
              <w:t>并可处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14:paraId="10F28088"/>
    <w:p w14:paraId="7F0FBACE"/>
    <w:p w14:paraId="43E82679"/>
    <w:p w14:paraId="27F090DD"/>
    <w:p w14:paraId="7FF8EA14"/>
    <w:p w14:paraId="3F2F9D38"/>
    <w:p w14:paraId="25D0302E"/>
    <w:p w14:paraId="3B6FBEB8"/>
    <w:p w14:paraId="29B8C5DE"/>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F5B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9EB73E6">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7D9D50E">
            <w:pPr>
              <w:spacing w:line="320" w:lineRule="exact"/>
              <w:rPr>
                <w:rFonts w:eastAsia="仿宋_GB2312"/>
                <w:b/>
                <w:bCs/>
                <w:color w:val="000000"/>
                <w:kern w:val="0"/>
                <w:sz w:val="18"/>
                <w:szCs w:val="18"/>
              </w:rPr>
            </w:pPr>
            <w:r>
              <w:rPr>
                <w:rFonts w:eastAsia="仿宋_GB2312"/>
                <w:b/>
                <w:bCs/>
                <w:color w:val="000000"/>
                <w:kern w:val="0"/>
                <w:sz w:val="18"/>
                <w:szCs w:val="18"/>
              </w:rPr>
              <w:t>320217799000</w:t>
            </w:r>
          </w:p>
        </w:tc>
      </w:tr>
      <w:tr w14:paraId="23FF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97B158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DF4F588">
            <w:pPr>
              <w:spacing w:line="320" w:lineRule="exact"/>
              <w:jc w:val="left"/>
              <w:rPr>
                <w:color w:val="000000"/>
                <w:spacing w:val="-6"/>
                <w:kern w:val="0"/>
                <w:sz w:val="18"/>
                <w:szCs w:val="18"/>
              </w:rPr>
            </w:pPr>
            <w:r>
              <w:rPr>
                <w:rFonts w:hint="eastAsia"/>
                <w:color w:val="000000"/>
                <w:spacing w:val="-6"/>
                <w:kern w:val="0"/>
                <w:sz w:val="18"/>
                <w:szCs w:val="18"/>
              </w:rPr>
              <w:t>对未安装使用燃气泄漏安全保护装置的处罚</w:t>
            </w:r>
          </w:p>
        </w:tc>
      </w:tr>
      <w:tr w14:paraId="09BE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1E32EA7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B23F347">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日通过，江苏省人大常委会公告第</w:t>
            </w:r>
            <w:r>
              <w:rPr>
                <w:color w:val="000000"/>
                <w:kern w:val="0"/>
                <w:sz w:val="18"/>
                <w:szCs w:val="18"/>
              </w:rPr>
              <w:t xml:space="preserve"> 28 </w:t>
            </w:r>
            <w:r>
              <w:rPr>
                <w:rFonts w:hint="eastAsia"/>
                <w:color w:val="000000"/>
                <w:kern w:val="0"/>
                <w:sz w:val="18"/>
                <w:szCs w:val="18"/>
              </w:rPr>
              <w:t>号）</w:t>
            </w:r>
          </w:p>
          <w:p w14:paraId="78BC487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第三十三条第三款　下列用户应当安装使用燃气泄漏安全保护装置：</w:t>
            </w:r>
          </w:p>
          <w:p w14:paraId="46150541">
            <w:pPr>
              <w:spacing w:line="320" w:lineRule="exact"/>
              <w:jc w:val="left"/>
              <w:rPr>
                <w:color w:val="000000"/>
                <w:kern w:val="0"/>
                <w:sz w:val="18"/>
                <w:szCs w:val="18"/>
              </w:rPr>
            </w:pPr>
            <w:r>
              <w:rPr>
                <w:rFonts w:hint="eastAsia"/>
                <w:color w:val="000000"/>
                <w:kern w:val="0"/>
                <w:sz w:val="18"/>
                <w:szCs w:val="18"/>
              </w:rPr>
              <w:t>　　（一）餐饮用户；</w:t>
            </w:r>
          </w:p>
          <w:p w14:paraId="0AE90AAE">
            <w:pPr>
              <w:spacing w:line="320" w:lineRule="exact"/>
              <w:jc w:val="left"/>
              <w:rPr>
                <w:color w:val="000000"/>
                <w:kern w:val="0"/>
                <w:sz w:val="18"/>
                <w:szCs w:val="18"/>
              </w:rPr>
            </w:pPr>
            <w:r>
              <w:rPr>
                <w:rFonts w:hint="eastAsia"/>
                <w:color w:val="000000"/>
                <w:kern w:val="0"/>
                <w:sz w:val="18"/>
                <w:szCs w:val="18"/>
              </w:rPr>
              <w:t>　　（二）在室内公共场所使用燃气的；</w:t>
            </w:r>
          </w:p>
          <w:p w14:paraId="603B8D94">
            <w:pPr>
              <w:spacing w:line="320" w:lineRule="exact"/>
              <w:jc w:val="left"/>
              <w:rPr>
                <w:color w:val="000000"/>
                <w:kern w:val="0"/>
                <w:sz w:val="18"/>
                <w:szCs w:val="18"/>
              </w:rPr>
            </w:pPr>
            <w:r>
              <w:rPr>
                <w:rFonts w:hint="eastAsia"/>
                <w:color w:val="000000"/>
                <w:kern w:val="0"/>
                <w:sz w:val="18"/>
                <w:szCs w:val="18"/>
              </w:rPr>
              <w:t>　　（三）在符合用气条件的地下或者半地下建筑物内使用管道燃气的。</w:t>
            </w:r>
          </w:p>
          <w:p w14:paraId="1FCD3A11">
            <w:pPr>
              <w:spacing w:line="320" w:lineRule="exact"/>
              <w:jc w:val="left"/>
              <w:rPr>
                <w:color w:val="000000"/>
                <w:kern w:val="0"/>
                <w:sz w:val="18"/>
                <w:szCs w:val="18"/>
              </w:rPr>
            </w:pPr>
            <w:r>
              <w:rPr>
                <w:rFonts w:hint="eastAsia"/>
                <w:color w:val="000000"/>
                <w:kern w:val="0"/>
                <w:sz w:val="18"/>
                <w:szCs w:val="18"/>
              </w:rPr>
              <w:t>　</w:t>
            </w: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14:paraId="7D05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6859D4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9C4DAFA">
            <w:pPr>
              <w:spacing w:line="320" w:lineRule="exact"/>
              <w:jc w:val="left"/>
              <w:rPr>
                <w:color w:val="000000"/>
                <w:kern w:val="0"/>
                <w:sz w:val="18"/>
                <w:szCs w:val="18"/>
              </w:rPr>
            </w:pPr>
            <w:r>
              <w:rPr>
                <w:rFonts w:hint="eastAsia"/>
                <w:color w:val="000000"/>
                <w:kern w:val="0"/>
                <w:sz w:val="18"/>
                <w:szCs w:val="18"/>
              </w:rPr>
              <w:t>责令限期改正，罚款</w:t>
            </w:r>
          </w:p>
        </w:tc>
      </w:tr>
      <w:tr w14:paraId="20105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C3A51D3">
            <w:pPr>
              <w:spacing w:line="320" w:lineRule="exact"/>
              <w:jc w:val="center"/>
              <w:rPr>
                <w:color w:val="000000"/>
                <w:kern w:val="0"/>
                <w:sz w:val="18"/>
                <w:szCs w:val="18"/>
              </w:rPr>
            </w:pPr>
            <w:r>
              <w:rPr>
                <w:rFonts w:hint="eastAsia"/>
                <w:color w:val="000000"/>
                <w:kern w:val="0"/>
                <w:sz w:val="18"/>
                <w:szCs w:val="18"/>
              </w:rPr>
              <w:t>裁量基准</w:t>
            </w:r>
          </w:p>
        </w:tc>
      </w:tr>
      <w:tr w14:paraId="27BF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B495E49">
            <w:pPr>
              <w:rPr>
                <w:color w:val="000000"/>
                <w:kern w:val="0"/>
                <w:sz w:val="18"/>
                <w:szCs w:val="18"/>
              </w:rPr>
            </w:pPr>
            <w:r>
              <w:rPr>
                <w:rFonts w:hint="eastAsia"/>
                <w:color w:val="000000"/>
                <w:kern w:val="0"/>
                <w:sz w:val="18"/>
                <w:szCs w:val="18"/>
              </w:rPr>
              <w:t>情形描述</w:t>
            </w:r>
          </w:p>
        </w:tc>
        <w:tc>
          <w:tcPr>
            <w:tcW w:w="6376" w:type="dxa"/>
            <w:vAlign w:val="center"/>
          </w:tcPr>
          <w:p w14:paraId="4E0C55C7">
            <w:pPr>
              <w:rPr>
                <w:color w:val="000000"/>
                <w:kern w:val="0"/>
                <w:sz w:val="18"/>
                <w:szCs w:val="18"/>
              </w:rPr>
            </w:pPr>
            <w:r>
              <w:rPr>
                <w:rFonts w:hint="eastAsia"/>
                <w:color w:val="000000"/>
                <w:kern w:val="0"/>
                <w:sz w:val="18"/>
                <w:szCs w:val="18"/>
              </w:rPr>
              <w:t>未造成损失的</w:t>
            </w:r>
          </w:p>
        </w:tc>
        <w:tc>
          <w:tcPr>
            <w:tcW w:w="1016" w:type="dxa"/>
            <w:vMerge w:val="restart"/>
            <w:vAlign w:val="center"/>
          </w:tcPr>
          <w:p w14:paraId="6D35F155">
            <w:pPr>
              <w:rPr>
                <w:color w:val="000000"/>
                <w:kern w:val="0"/>
                <w:sz w:val="18"/>
                <w:szCs w:val="18"/>
              </w:rPr>
            </w:pPr>
            <w:r>
              <w:rPr>
                <w:rFonts w:hint="eastAsia"/>
                <w:color w:val="000000"/>
                <w:kern w:val="0"/>
                <w:sz w:val="18"/>
                <w:szCs w:val="18"/>
              </w:rPr>
              <w:t>裁量幅度</w:t>
            </w:r>
          </w:p>
        </w:tc>
        <w:tc>
          <w:tcPr>
            <w:tcW w:w="5614" w:type="dxa"/>
            <w:vAlign w:val="center"/>
          </w:tcPr>
          <w:p w14:paraId="702FC7DF">
            <w:pPr>
              <w:rPr>
                <w:color w:val="000000"/>
                <w:kern w:val="0"/>
                <w:sz w:val="18"/>
                <w:szCs w:val="18"/>
              </w:rPr>
            </w:pPr>
            <w:r>
              <w:rPr>
                <w:rFonts w:hint="eastAsia"/>
                <w:color w:val="000000"/>
                <w:kern w:val="0"/>
                <w:sz w:val="18"/>
                <w:szCs w:val="18"/>
              </w:rPr>
              <w:t>对单位可以处</w:t>
            </w:r>
            <w:r>
              <w:rPr>
                <w:color w:val="000000"/>
                <w:kern w:val="0"/>
                <w:sz w:val="18"/>
                <w:szCs w:val="18"/>
              </w:rPr>
              <w:t>5</w:t>
            </w:r>
            <w:r>
              <w:rPr>
                <w:rFonts w:hint="eastAsia"/>
                <w:color w:val="000000"/>
                <w:kern w:val="0"/>
                <w:sz w:val="18"/>
                <w:szCs w:val="18"/>
              </w:rPr>
              <w:t>万元以下罚款，对个人可以处</w:t>
            </w:r>
            <w:r>
              <w:rPr>
                <w:color w:val="000000"/>
                <w:kern w:val="0"/>
                <w:sz w:val="18"/>
                <w:szCs w:val="18"/>
              </w:rPr>
              <w:t>500</w:t>
            </w:r>
            <w:r>
              <w:rPr>
                <w:rFonts w:hint="eastAsia"/>
                <w:color w:val="000000"/>
                <w:kern w:val="0"/>
                <w:sz w:val="18"/>
                <w:szCs w:val="18"/>
              </w:rPr>
              <w:t>元以下罚款</w:t>
            </w:r>
          </w:p>
        </w:tc>
      </w:tr>
      <w:tr w14:paraId="09F21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4CE2F66">
            <w:pPr>
              <w:spacing w:line="320" w:lineRule="exact"/>
              <w:jc w:val="left"/>
              <w:rPr>
                <w:color w:val="000000"/>
                <w:kern w:val="0"/>
                <w:sz w:val="18"/>
                <w:szCs w:val="18"/>
              </w:rPr>
            </w:pPr>
          </w:p>
        </w:tc>
        <w:tc>
          <w:tcPr>
            <w:tcW w:w="6376" w:type="dxa"/>
            <w:vAlign w:val="center"/>
          </w:tcPr>
          <w:p w14:paraId="679FF690">
            <w:pPr>
              <w:spacing w:line="320" w:lineRule="exact"/>
              <w:jc w:val="left"/>
              <w:rPr>
                <w:color w:val="000000"/>
                <w:kern w:val="0"/>
                <w:sz w:val="18"/>
                <w:szCs w:val="18"/>
              </w:rPr>
            </w:pPr>
            <w:r>
              <w:rPr>
                <w:rFonts w:hint="eastAsia"/>
                <w:color w:val="000000"/>
                <w:kern w:val="0"/>
                <w:sz w:val="18"/>
                <w:szCs w:val="18"/>
              </w:rPr>
              <w:t>造成损失的</w:t>
            </w:r>
          </w:p>
        </w:tc>
        <w:tc>
          <w:tcPr>
            <w:tcW w:w="1016" w:type="dxa"/>
            <w:vMerge w:val="continue"/>
            <w:vAlign w:val="center"/>
          </w:tcPr>
          <w:p w14:paraId="19531BA3">
            <w:pPr>
              <w:spacing w:line="320" w:lineRule="exact"/>
              <w:jc w:val="left"/>
              <w:rPr>
                <w:color w:val="000000"/>
                <w:kern w:val="0"/>
                <w:sz w:val="18"/>
                <w:szCs w:val="18"/>
              </w:rPr>
            </w:pPr>
          </w:p>
        </w:tc>
        <w:tc>
          <w:tcPr>
            <w:tcW w:w="5614" w:type="dxa"/>
            <w:vAlign w:val="center"/>
          </w:tcPr>
          <w:p w14:paraId="6A9D0D67">
            <w:pPr>
              <w:rPr>
                <w:color w:val="000000"/>
                <w:kern w:val="0"/>
                <w:sz w:val="18"/>
                <w:szCs w:val="18"/>
              </w:rPr>
            </w:pPr>
            <w:r>
              <w:rPr>
                <w:rFonts w:hint="eastAsia"/>
                <w:color w:val="000000"/>
                <w:kern w:val="0"/>
                <w:sz w:val="18"/>
                <w:szCs w:val="18"/>
              </w:rPr>
              <w:t>对单位可以处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14:paraId="15CE8622"/>
    <w:p w14:paraId="45FFC135"/>
    <w:p w14:paraId="7176B064"/>
    <w:p w14:paraId="31525D0D"/>
    <w:p w14:paraId="53BCEF8E"/>
    <w:p w14:paraId="54CB1BB6"/>
    <w:p w14:paraId="22CCFBFA"/>
    <w:p w14:paraId="1D5BC934"/>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0225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C3B1B44">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0B2CEFD">
            <w:pPr>
              <w:spacing w:line="320" w:lineRule="exact"/>
              <w:rPr>
                <w:rFonts w:eastAsia="仿宋_GB2312"/>
                <w:b/>
                <w:bCs/>
                <w:color w:val="000000"/>
                <w:kern w:val="0"/>
                <w:sz w:val="18"/>
                <w:szCs w:val="18"/>
              </w:rPr>
            </w:pPr>
            <w:r>
              <w:rPr>
                <w:rFonts w:eastAsia="仿宋_GB2312"/>
                <w:b/>
                <w:bCs/>
                <w:color w:val="000000"/>
                <w:kern w:val="0"/>
                <w:sz w:val="18"/>
                <w:szCs w:val="18"/>
              </w:rPr>
              <w:t>320217800000</w:t>
            </w:r>
          </w:p>
        </w:tc>
      </w:tr>
      <w:tr w14:paraId="5723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01DFFE0D">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DE44BD0">
            <w:pPr>
              <w:spacing w:line="320" w:lineRule="exact"/>
              <w:jc w:val="left"/>
              <w:rPr>
                <w:color w:val="000000"/>
                <w:spacing w:val="-6"/>
                <w:kern w:val="0"/>
                <w:sz w:val="18"/>
                <w:szCs w:val="18"/>
              </w:rPr>
            </w:pPr>
            <w:r>
              <w:rPr>
                <w:rFonts w:hint="eastAsia"/>
                <w:color w:val="000000"/>
                <w:spacing w:val="-6"/>
                <w:kern w:val="0"/>
                <w:sz w:val="18"/>
                <w:szCs w:val="18"/>
              </w:rPr>
              <w:t>对建设、施工、监理等单位取样、制样和送检试样不符合规定和工程建设强制性标准的处罚</w:t>
            </w:r>
          </w:p>
        </w:tc>
      </w:tr>
      <w:tr w14:paraId="2FF3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699A667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B55DBA3">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5DE0EC2F">
            <w:pPr>
              <w:spacing w:line="320" w:lineRule="exact"/>
              <w:jc w:val="left"/>
              <w:rPr>
                <w:color w:val="000000"/>
                <w:kern w:val="0"/>
                <w:sz w:val="18"/>
                <w:szCs w:val="18"/>
              </w:rPr>
            </w:pPr>
            <w:r>
              <w:rPr>
                <w:rFonts w:hint="eastAsia"/>
                <w:color w:val="000000"/>
                <w:kern w:val="0"/>
                <w:sz w:val="18"/>
                <w:szCs w:val="18"/>
              </w:rPr>
              <w:t xml:space="preserve">    　第十九条第二款 建设单位委托检测机构开展建设工程质量检测活动的，施工人员应当在建设单位或者监理单位的见证人员监督下现场取样。</w:t>
            </w:r>
          </w:p>
          <w:p w14:paraId="677CB307">
            <w:pPr>
              <w:spacing w:line="320" w:lineRule="exact"/>
              <w:jc w:val="left"/>
              <w:rPr>
                <w:color w:val="000000"/>
                <w:kern w:val="0"/>
                <w:sz w:val="18"/>
                <w:szCs w:val="18"/>
              </w:rPr>
            </w:pPr>
            <w:r>
              <w:rPr>
                <w:rFonts w:hint="eastAsia"/>
                <w:color w:val="000000"/>
                <w:kern w:val="0"/>
                <w:sz w:val="18"/>
                <w:szCs w:val="18"/>
              </w:rPr>
              <w:t xml:space="preserve">       第二十条　现场检测或者检测试样送检时，应当由检测内容提供单位、送检单位等填写委托单。委托单应当由送检人员、见证人员等签字确认。</w:t>
            </w:r>
          </w:p>
          <w:p w14:paraId="624F1785">
            <w:pPr>
              <w:spacing w:line="320" w:lineRule="exact"/>
              <w:jc w:val="left"/>
              <w:rPr>
                <w:color w:val="000000"/>
                <w:kern w:val="0"/>
                <w:sz w:val="18"/>
                <w:szCs w:val="18"/>
              </w:rPr>
            </w:pPr>
            <w:r>
              <w:rPr>
                <w:rFonts w:hint="eastAsia"/>
                <w:color w:val="000000"/>
                <w:kern w:val="0"/>
                <w:sz w:val="18"/>
                <w:szCs w:val="18"/>
              </w:rPr>
              <w:t>　　检测机构接收检测试样时，应当对试样状况、标识、封志等符合性进行检查，确认无误后方可进行检测。</w:t>
            </w:r>
          </w:p>
          <w:p w14:paraId="5E265A04">
            <w:pPr>
              <w:spacing w:line="320" w:lineRule="exact"/>
              <w:jc w:val="left"/>
              <w:rPr>
                <w:color w:val="000000"/>
                <w:kern w:val="0"/>
                <w:sz w:val="18"/>
                <w:szCs w:val="18"/>
              </w:rPr>
            </w:pP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3万元以上10万元以下罚款；造成危害后果的，处10万元以上20万元以下罚款；构成犯罪的，依法追究刑事责任：</w:t>
            </w:r>
          </w:p>
          <w:p w14:paraId="5C2BAA92">
            <w:pPr>
              <w:spacing w:line="320" w:lineRule="exact"/>
              <w:jc w:val="left"/>
              <w:rPr>
                <w:color w:val="000000"/>
                <w:kern w:val="0"/>
                <w:sz w:val="18"/>
                <w:szCs w:val="18"/>
              </w:rPr>
            </w:pPr>
            <w:r>
              <w:rPr>
                <w:rFonts w:hint="eastAsia"/>
                <w:color w:val="000000"/>
                <w:kern w:val="0"/>
                <w:sz w:val="18"/>
                <w:szCs w:val="18"/>
              </w:rPr>
              <w:t>　　（七）取样、制样和送检试样不符合规定和工程建设强制性标准的。</w:t>
            </w:r>
          </w:p>
          <w:p w14:paraId="2DB4E1A6">
            <w:pPr>
              <w:spacing w:line="320" w:lineRule="exact"/>
              <w:jc w:val="left"/>
              <w:rPr>
                <w:color w:val="000000"/>
                <w:kern w:val="0"/>
                <w:sz w:val="18"/>
                <w:szCs w:val="18"/>
              </w:rPr>
            </w:pPr>
            <w:r>
              <w:rPr>
                <w:rFonts w:hint="eastAsia"/>
                <w:color w:val="000000"/>
                <w:kern w:val="0"/>
                <w:sz w:val="18"/>
                <w:szCs w:val="18"/>
              </w:rPr>
              <w:t>　     第四十八条　依照本办法规定，给予单位罚款处罚的，对单位直接负责的主管人员和其他直接责任人员处3万元以下罚款。</w:t>
            </w:r>
          </w:p>
        </w:tc>
      </w:tr>
      <w:tr w14:paraId="5F7F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268F41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27AA01B">
            <w:pPr>
              <w:spacing w:line="320" w:lineRule="exact"/>
              <w:jc w:val="left"/>
              <w:rPr>
                <w:color w:val="000000"/>
                <w:kern w:val="0"/>
                <w:sz w:val="18"/>
                <w:szCs w:val="18"/>
              </w:rPr>
            </w:pPr>
            <w:r>
              <w:rPr>
                <w:rFonts w:hint="eastAsia"/>
                <w:color w:val="000000"/>
                <w:kern w:val="0"/>
                <w:sz w:val="18"/>
                <w:szCs w:val="18"/>
              </w:rPr>
              <w:t>责令改正，罚款</w:t>
            </w:r>
          </w:p>
        </w:tc>
      </w:tr>
      <w:tr w14:paraId="7FF7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82B91A2">
            <w:pPr>
              <w:spacing w:line="320" w:lineRule="exact"/>
              <w:jc w:val="center"/>
              <w:rPr>
                <w:color w:val="000000"/>
                <w:kern w:val="0"/>
                <w:sz w:val="18"/>
                <w:szCs w:val="18"/>
              </w:rPr>
            </w:pPr>
            <w:r>
              <w:rPr>
                <w:rFonts w:hint="eastAsia"/>
                <w:color w:val="000000"/>
                <w:kern w:val="0"/>
                <w:sz w:val="18"/>
                <w:szCs w:val="18"/>
              </w:rPr>
              <w:t>裁量基准</w:t>
            </w:r>
          </w:p>
        </w:tc>
      </w:tr>
      <w:tr w14:paraId="496E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3CB9EB3E">
            <w:pPr>
              <w:rPr>
                <w:color w:val="000000"/>
                <w:kern w:val="0"/>
                <w:sz w:val="18"/>
                <w:szCs w:val="18"/>
              </w:rPr>
            </w:pPr>
            <w:r>
              <w:rPr>
                <w:rFonts w:hint="eastAsia"/>
                <w:color w:val="000000"/>
                <w:kern w:val="0"/>
                <w:sz w:val="18"/>
                <w:szCs w:val="18"/>
              </w:rPr>
              <w:t>情形描述</w:t>
            </w:r>
          </w:p>
        </w:tc>
        <w:tc>
          <w:tcPr>
            <w:tcW w:w="6376" w:type="dxa"/>
            <w:vAlign w:val="center"/>
          </w:tcPr>
          <w:p w14:paraId="2FB0405B">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0C4FBBD3">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14:paraId="22C07B9B">
            <w:pPr>
              <w:spacing w:line="280" w:lineRule="exact"/>
              <w:rPr>
                <w:color w:val="000000"/>
                <w:kern w:val="0"/>
                <w:sz w:val="18"/>
                <w:szCs w:val="18"/>
              </w:rPr>
            </w:pPr>
            <w:r>
              <w:rPr>
                <w:rFonts w:hint="eastAsia"/>
                <w:color w:val="000000"/>
                <w:kern w:val="0"/>
                <w:sz w:val="18"/>
                <w:szCs w:val="18"/>
              </w:rPr>
              <w:t>处3万元以上5万元以下罚款</w:t>
            </w:r>
          </w:p>
          <w:p w14:paraId="13478FC1">
            <w:pPr>
              <w:spacing w:line="280" w:lineRule="exact"/>
              <w:rPr>
                <w:color w:val="000000"/>
                <w:kern w:val="0"/>
                <w:sz w:val="18"/>
                <w:szCs w:val="18"/>
              </w:rPr>
            </w:pPr>
            <w:r>
              <w:rPr>
                <w:rFonts w:hint="eastAsia"/>
                <w:color w:val="000000"/>
                <w:kern w:val="0"/>
                <w:sz w:val="18"/>
                <w:szCs w:val="18"/>
              </w:rPr>
              <w:t>对单位直接负责的主管人员和其他直接责任人员处1万元以下罚款。</w:t>
            </w:r>
          </w:p>
        </w:tc>
      </w:tr>
      <w:tr w14:paraId="5F81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58094677">
            <w:pPr>
              <w:spacing w:line="320" w:lineRule="exact"/>
              <w:jc w:val="left"/>
              <w:rPr>
                <w:color w:val="000000"/>
                <w:kern w:val="0"/>
                <w:sz w:val="18"/>
                <w:szCs w:val="18"/>
              </w:rPr>
            </w:pPr>
          </w:p>
        </w:tc>
        <w:tc>
          <w:tcPr>
            <w:tcW w:w="6376" w:type="dxa"/>
            <w:vAlign w:val="center"/>
          </w:tcPr>
          <w:p w14:paraId="63C157C9">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231890AD">
            <w:pPr>
              <w:spacing w:line="280" w:lineRule="exact"/>
              <w:jc w:val="left"/>
              <w:rPr>
                <w:color w:val="000000"/>
                <w:kern w:val="0"/>
                <w:sz w:val="18"/>
                <w:szCs w:val="18"/>
              </w:rPr>
            </w:pPr>
          </w:p>
        </w:tc>
        <w:tc>
          <w:tcPr>
            <w:tcW w:w="5614" w:type="dxa"/>
            <w:vAlign w:val="center"/>
          </w:tcPr>
          <w:p w14:paraId="02017419">
            <w:pPr>
              <w:spacing w:line="280" w:lineRule="exact"/>
              <w:rPr>
                <w:color w:val="000000"/>
                <w:kern w:val="0"/>
                <w:sz w:val="18"/>
                <w:szCs w:val="18"/>
              </w:rPr>
            </w:pPr>
            <w:r>
              <w:rPr>
                <w:rFonts w:hint="eastAsia"/>
                <w:color w:val="000000"/>
                <w:kern w:val="0"/>
                <w:sz w:val="18"/>
                <w:szCs w:val="18"/>
              </w:rPr>
              <w:t>处5万元以上10万元以下罚款</w:t>
            </w:r>
          </w:p>
          <w:p w14:paraId="2F3E8AA7">
            <w:pPr>
              <w:spacing w:line="280" w:lineRule="exact"/>
              <w:rPr>
                <w:color w:val="000000"/>
                <w:kern w:val="0"/>
                <w:sz w:val="18"/>
                <w:szCs w:val="18"/>
              </w:rPr>
            </w:pPr>
            <w:r>
              <w:rPr>
                <w:rFonts w:hint="eastAsia"/>
                <w:color w:val="000000"/>
                <w:kern w:val="0"/>
                <w:sz w:val="18"/>
                <w:szCs w:val="18"/>
              </w:rPr>
              <w:t>对单位直接负责的主管人员和其他直接责任人员处1万元以上2万元以下罚款。</w:t>
            </w:r>
          </w:p>
        </w:tc>
      </w:tr>
      <w:tr w14:paraId="026C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22A4D1A6">
            <w:pPr>
              <w:spacing w:line="320" w:lineRule="exact"/>
              <w:jc w:val="left"/>
              <w:rPr>
                <w:color w:val="000000"/>
                <w:kern w:val="0"/>
                <w:sz w:val="18"/>
                <w:szCs w:val="18"/>
              </w:rPr>
            </w:pPr>
          </w:p>
        </w:tc>
        <w:tc>
          <w:tcPr>
            <w:tcW w:w="6376" w:type="dxa"/>
            <w:vAlign w:val="center"/>
          </w:tcPr>
          <w:p w14:paraId="3A3322B4">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continue"/>
            <w:vAlign w:val="center"/>
          </w:tcPr>
          <w:p w14:paraId="4B25C4AC">
            <w:pPr>
              <w:spacing w:line="280" w:lineRule="exact"/>
              <w:jc w:val="left"/>
              <w:rPr>
                <w:color w:val="000000"/>
                <w:kern w:val="0"/>
                <w:sz w:val="18"/>
                <w:szCs w:val="18"/>
              </w:rPr>
            </w:pPr>
          </w:p>
        </w:tc>
        <w:tc>
          <w:tcPr>
            <w:tcW w:w="5614" w:type="dxa"/>
            <w:vAlign w:val="center"/>
          </w:tcPr>
          <w:p w14:paraId="14F92307">
            <w:pPr>
              <w:spacing w:line="280" w:lineRule="exact"/>
              <w:rPr>
                <w:color w:val="000000"/>
                <w:kern w:val="0"/>
                <w:sz w:val="18"/>
                <w:szCs w:val="18"/>
              </w:rPr>
            </w:pPr>
            <w:r>
              <w:rPr>
                <w:rFonts w:hint="eastAsia"/>
                <w:color w:val="000000"/>
                <w:kern w:val="0"/>
                <w:sz w:val="18"/>
                <w:szCs w:val="18"/>
              </w:rPr>
              <w:t>处10万元以上15万元以下罚款</w:t>
            </w:r>
          </w:p>
          <w:p w14:paraId="4871C33A">
            <w:pPr>
              <w:spacing w:line="280" w:lineRule="exact"/>
              <w:rPr>
                <w:color w:val="000000"/>
                <w:kern w:val="0"/>
                <w:sz w:val="18"/>
                <w:szCs w:val="18"/>
              </w:rPr>
            </w:pPr>
            <w:r>
              <w:rPr>
                <w:rFonts w:hint="eastAsia"/>
                <w:color w:val="000000"/>
                <w:kern w:val="0"/>
                <w:sz w:val="18"/>
                <w:szCs w:val="18"/>
              </w:rPr>
              <w:t>对单位直接负责的主管人员和其他直接责任人员处2万元以上2.5万元以下罚款。</w:t>
            </w:r>
          </w:p>
        </w:tc>
      </w:tr>
      <w:tr w14:paraId="0B75E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224B29EA">
            <w:pPr>
              <w:spacing w:line="320" w:lineRule="exact"/>
              <w:jc w:val="left"/>
              <w:rPr>
                <w:color w:val="000000"/>
                <w:kern w:val="0"/>
                <w:sz w:val="18"/>
                <w:szCs w:val="18"/>
              </w:rPr>
            </w:pPr>
          </w:p>
        </w:tc>
        <w:tc>
          <w:tcPr>
            <w:tcW w:w="6376" w:type="dxa"/>
            <w:vAlign w:val="center"/>
          </w:tcPr>
          <w:p w14:paraId="6359F76A">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continue"/>
            <w:vAlign w:val="center"/>
          </w:tcPr>
          <w:p w14:paraId="00BE1CFF">
            <w:pPr>
              <w:spacing w:line="280" w:lineRule="exact"/>
              <w:jc w:val="left"/>
              <w:rPr>
                <w:color w:val="000000"/>
                <w:kern w:val="0"/>
                <w:sz w:val="18"/>
                <w:szCs w:val="18"/>
              </w:rPr>
            </w:pPr>
          </w:p>
        </w:tc>
        <w:tc>
          <w:tcPr>
            <w:tcW w:w="5614" w:type="dxa"/>
            <w:vAlign w:val="center"/>
          </w:tcPr>
          <w:p w14:paraId="5DB05A0A">
            <w:pPr>
              <w:spacing w:line="280" w:lineRule="exact"/>
              <w:rPr>
                <w:color w:val="000000"/>
                <w:kern w:val="0"/>
                <w:sz w:val="18"/>
                <w:szCs w:val="18"/>
              </w:rPr>
            </w:pPr>
            <w:r>
              <w:rPr>
                <w:rFonts w:hint="eastAsia"/>
                <w:color w:val="000000"/>
                <w:kern w:val="0"/>
                <w:sz w:val="18"/>
                <w:szCs w:val="18"/>
              </w:rPr>
              <w:t>处15万元以上20万元以下罚款</w:t>
            </w:r>
          </w:p>
          <w:p w14:paraId="5B51B010">
            <w:pPr>
              <w:spacing w:line="280" w:lineRule="exact"/>
              <w:rPr>
                <w:color w:val="000000"/>
                <w:kern w:val="0"/>
                <w:sz w:val="18"/>
                <w:szCs w:val="18"/>
              </w:rPr>
            </w:pPr>
            <w:r>
              <w:rPr>
                <w:rFonts w:hint="eastAsia"/>
                <w:color w:val="000000"/>
                <w:kern w:val="0"/>
                <w:sz w:val="18"/>
                <w:szCs w:val="18"/>
              </w:rPr>
              <w:t>对单位直接负责的主管人员和其他直接责任人员处2.5万元以上3万元以下罚款。</w:t>
            </w:r>
          </w:p>
        </w:tc>
      </w:tr>
    </w:tbl>
    <w:p w14:paraId="4F704EDA"/>
    <w:p w14:paraId="1930D82F"/>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2D7B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5691CBE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07A2239">
            <w:pPr>
              <w:spacing w:line="320" w:lineRule="exact"/>
              <w:rPr>
                <w:rFonts w:eastAsia="仿宋_GB2312"/>
                <w:b/>
                <w:bCs/>
                <w:color w:val="000000"/>
                <w:kern w:val="0"/>
                <w:sz w:val="18"/>
                <w:szCs w:val="18"/>
              </w:rPr>
            </w:pPr>
            <w:r>
              <w:rPr>
                <w:rFonts w:eastAsia="仿宋_GB2312"/>
                <w:b/>
                <w:bCs/>
                <w:color w:val="000000"/>
                <w:kern w:val="0"/>
                <w:sz w:val="18"/>
                <w:szCs w:val="18"/>
              </w:rPr>
              <w:t>320217801000</w:t>
            </w:r>
          </w:p>
        </w:tc>
      </w:tr>
      <w:tr w14:paraId="7CD9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DC1885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E2DEF4B">
            <w:pPr>
              <w:spacing w:line="320" w:lineRule="exact"/>
              <w:jc w:val="left"/>
              <w:rPr>
                <w:color w:val="000000"/>
                <w:spacing w:val="-6"/>
                <w:kern w:val="0"/>
                <w:sz w:val="18"/>
                <w:szCs w:val="18"/>
              </w:rPr>
            </w:pPr>
            <w:r>
              <w:rPr>
                <w:rFonts w:hint="eastAsia"/>
                <w:color w:val="000000"/>
                <w:spacing w:val="-6"/>
                <w:kern w:val="0"/>
                <w:sz w:val="18"/>
                <w:szCs w:val="18"/>
              </w:rPr>
              <w:t>对建设、施工、监理等单位篡改或者伪造检测报告的处罚</w:t>
            </w:r>
          </w:p>
        </w:tc>
      </w:tr>
      <w:tr w14:paraId="4FC6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2AF5E6FE">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A42B031">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60F1E0BB">
            <w:pPr>
              <w:spacing w:line="320" w:lineRule="exact"/>
              <w:jc w:val="left"/>
              <w:rPr>
                <w:color w:val="000000"/>
                <w:kern w:val="0"/>
                <w:sz w:val="18"/>
                <w:szCs w:val="18"/>
              </w:rPr>
            </w:pPr>
            <w:r>
              <w:rPr>
                <w:rFonts w:hint="eastAsia"/>
                <w:color w:val="000000"/>
                <w:kern w:val="0"/>
                <w:sz w:val="18"/>
                <w:szCs w:val="18"/>
              </w:rPr>
              <w:t>　   第二十三条　任何单位和个人不得明示或者暗示检测机构出具虚假检测报告，不得篡改或者伪造检测报告。</w:t>
            </w:r>
          </w:p>
          <w:p w14:paraId="60B5376E">
            <w:pPr>
              <w:spacing w:line="320" w:lineRule="exact"/>
              <w:jc w:val="left"/>
              <w:rPr>
                <w:color w:val="000000"/>
                <w:kern w:val="0"/>
                <w:sz w:val="18"/>
                <w:szCs w:val="18"/>
              </w:rPr>
            </w:pP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3万元以上10万元以下罚款；造成危害后果的，处10万元以上20万元以下罚款；构成犯罪的，依法追究刑事责任：</w:t>
            </w:r>
          </w:p>
          <w:p w14:paraId="6A8B5ECF">
            <w:pPr>
              <w:spacing w:line="320" w:lineRule="exact"/>
              <w:jc w:val="left"/>
              <w:rPr>
                <w:color w:val="000000"/>
                <w:kern w:val="0"/>
                <w:sz w:val="18"/>
                <w:szCs w:val="18"/>
              </w:rPr>
            </w:pPr>
            <w:r>
              <w:rPr>
                <w:rFonts w:hint="eastAsia"/>
                <w:color w:val="000000"/>
                <w:kern w:val="0"/>
                <w:sz w:val="18"/>
                <w:szCs w:val="18"/>
              </w:rPr>
              <w:t>　（六）篡改或者伪造检测报告的；</w:t>
            </w:r>
          </w:p>
          <w:p w14:paraId="1F030094">
            <w:pPr>
              <w:spacing w:line="320" w:lineRule="exact"/>
              <w:jc w:val="left"/>
              <w:rPr>
                <w:color w:val="000000"/>
                <w:kern w:val="0"/>
                <w:sz w:val="18"/>
                <w:szCs w:val="18"/>
              </w:rPr>
            </w:pPr>
            <w:r>
              <w:rPr>
                <w:rFonts w:hint="eastAsia"/>
                <w:color w:val="000000"/>
                <w:kern w:val="0"/>
                <w:sz w:val="18"/>
                <w:szCs w:val="18"/>
              </w:rPr>
              <w:t>　     第四十八条　依照本办法规定，给予单位罚款处罚的，对单位直接负责的主管人员和其他直接责任人员处3万元以下罚款。</w:t>
            </w:r>
          </w:p>
        </w:tc>
      </w:tr>
      <w:tr w14:paraId="4277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CB4CC0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98D4C33">
            <w:pPr>
              <w:spacing w:line="320" w:lineRule="exact"/>
              <w:jc w:val="left"/>
              <w:rPr>
                <w:color w:val="000000"/>
                <w:kern w:val="0"/>
                <w:sz w:val="18"/>
                <w:szCs w:val="18"/>
              </w:rPr>
            </w:pPr>
            <w:r>
              <w:rPr>
                <w:rFonts w:hint="eastAsia"/>
                <w:color w:val="000000"/>
                <w:kern w:val="0"/>
                <w:sz w:val="18"/>
                <w:szCs w:val="18"/>
              </w:rPr>
              <w:t>责令改正，罚款</w:t>
            </w:r>
          </w:p>
        </w:tc>
      </w:tr>
      <w:tr w14:paraId="7DF5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DB0B633">
            <w:pPr>
              <w:spacing w:line="320" w:lineRule="exact"/>
              <w:jc w:val="center"/>
              <w:rPr>
                <w:color w:val="000000"/>
                <w:kern w:val="0"/>
                <w:sz w:val="18"/>
                <w:szCs w:val="18"/>
              </w:rPr>
            </w:pPr>
            <w:r>
              <w:rPr>
                <w:rFonts w:hint="eastAsia"/>
                <w:color w:val="000000"/>
                <w:kern w:val="0"/>
                <w:sz w:val="18"/>
                <w:szCs w:val="18"/>
              </w:rPr>
              <w:t>裁量基准</w:t>
            </w:r>
          </w:p>
        </w:tc>
      </w:tr>
      <w:tr w14:paraId="3AB9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64CDC028">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14:paraId="77407BFC">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38A8FFD7">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14:paraId="4424280E">
            <w:pPr>
              <w:spacing w:line="280" w:lineRule="exact"/>
              <w:rPr>
                <w:color w:val="000000"/>
                <w:kern w:val="0"/>
                <w:sz w:val="18"/>
                <w:szCs w:val="18"/>
              </w:rPr>
            </w:pPr>
            <w:r>
              <w:rPr>
                <w:rFonts w:hint="eastAsia"/>
                <w:color w:val="000000"/>
                <w:kern w:val="0"/>
                <w:sz w:val="18"/>
                <w:szCs w:val="18"/>
              </w:rPr>
              <w:t>处3万元以上5万元以下罚款</w:t>
            </w:r>
          </w:p>
          <w:p w14:paraId="7401EB69">
            <w:pPr>
              <w:spacing w:line="280" w:lineRule="exact"/>
              <w:rPr>
                <w:color w:val="000000"/>
                <w:kern w:val="0"/>
                <w:sz w:val="18"/>
                <w:szCs w:val="18"/>
              </w:rPr>
            </w:pPr>
            <w:r>
              <w:rPr>
                <w:rFonts w:hint="eastAsia"/>
                <w:color w:val="000000"/>
                <w:kern w:val="0"/>
                <w:sz w:val="18"/>
                <w:szCs w:val="18"/>
              </w:rPr>
              <w:t>对单位直接负责的主管人员和其他直接责任人员处1万元以下罚款。</w:t>
            </w:r>
          </w:p>
        </w:tc>
      </w:tr>
      <w:tr w14:paraId="59E3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70515492">
            <w:pPr>
              <w:spacing w:line="280" w:lineRule="exact"/>
              <w:jc w:val="left"/>
              <w:rPr>
                <w:color w:val="000000"/>
                <w:kern w:val="0"/>
                <w:sz w:val="18"/>
                <w:szCs w:val="18"/>
              </w:rPr>
            </w:pPr>
          </w:p>
        </w:tc>
        <w:tc>
          <w:tcPr>
            <w:tcW w:w="6376" w:type="dxa"/>
            <w:vAlign w:val="center"/>
          </w:tcPr>
          <w:p w14:paraId="5988F7D7">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052A4822">
            <w:pPr>
              <w:spacing w:line="280" w:lineRule="exact"/>
              <w:jc w:val="left"/>
              <w:rPr>
                <w:color w:val="000000"/>
                <w:kern w:val="0"/>
                <w:sz w:val="18"/>
                <w:szCs w:val="18"/>
              </w:rPr>
            </w:pPr>
          </w:p>
        </w:tc>
        <w:tc>
          <w:tcPr>
            <w:tcW w:w="5614" w:type="dxa"/>
            <w:vAlign w:val="center"/>
          </w:tcPr>
          <w:p w14:paraId="6C9BBDE3">
            <w:pPr>
              <w:spacing w:line="280" w:lineRule="exact"/>
              <w:rPr>
                <w:color w:val="000000"/>
                <w:kern w:val="0"/>
                <w:sz w:val="18"/>
                <w:szCs w:val="18"/>
              </w:rPr>
            </w:pPr>
            <w:r>
              <w:rPr>
                <w:rFonts w:hint="eastAsia"/>
                <w:color w:val="000000"/>
                <w:kern w:val="0"/>
                <w:sz w:val="18"/>
                <w:szCs w:val="18"/>
              </w:rPr>
              <w:t>处5万元以上10万元以下罚款</w:t>
            </w:r>
          </w:p>
          <w:p w14:paraId="4452CDEE">
            <w:pPr>
              <w:spacing w:line="280" w:lineRule="exact"/>
              <w:rPr>
                <w:color w:val="000000"/>
                <w:kern w:val="0"/>
                <w:sz w:val="18"/>
                <w:szCs w:val="18"/>
              </w:rPr>
            </w:pPr>
            <w:r>
              <w:rPr>
                <w:rFonts w:hint="eastAsia"/>
                <w:color w:val="000000"/>
                <w:kern w:val="0"/>
                <w:sz w:val="18"/>
                <w:szCs w:val="18"/>
              </w:rPr>
              <w:t>对单位直接负责的主管人员和其他直接责任人员处1万元以上2万元以下罚款。</w:t>
            </w:r>
          </w:p>
        </w:tc>
      </w:tr>
      <w:tr w14:paraId="6A928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47F1EB77">
            <w:pPr>
              <w:spacing w:line="280" w:lineRule="exact"/>
              <w:jc w:val="left"/>
              <w:rPr>
                <w:color w:val="000000"/>
                <w:kern w:val="0"/>
                <w:sz w:val="18"/>
                <w:szCs w:val="18"/>
              </w:rPr>
            </w:pPr>
          </w:p>
        </w:tc>
        <w:tc>
          <w:tcPr>
            <w:tcW w:w="6376" w:type="dxa"/>
            <w:vAlign w:val="center"/>
          </w:tcPr>
          <w:p w14:paraId="3117B89D">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continue"/>
            <w:vAlign w:val="center"/>
          </w:tcPr>
          <w:p w14:paraId="37E96F38">
            <w:pPr>
              <w:spacing w:line="280" w:lineRule="exact"/>
              <w:jc w:val="left"/>
              <w:rPr>
                <w:color w:val="000000"/>
                <w:kern w:val="0"/>
                <w:sz w:val="18"/>
                <w:szCs w:val="18"/>
              </w:rPr>
            </w:pPr>
          </w:p>
        </w:tc>
        <w:tc>
          <w:tcPr>
            <w:tcW w:w="5614" w:type="dxa"/>
            <w:vAlign w:val="center"/>
          </w:tcPr>
          <w:p w14:paraId="4265086A">
            <w:pPr>
              <w:spacing w:line="280" w:lineRule="exact"/>
              <w:rPr>
                <w:color w:val="000000"/>
                <w:kern w:val="0"/>
                <w:sz w:val="18"/>
                <w:szCs w:val="18"/>
              </w:rPr>
            </w:pPr>
            <w:r>
              <w:rPr>
                <w:rFonts w:hint="eastAsia"/>
                <w:color w:val="000000"/>
                <w:kern w:val="0"/>
                <w:sz w:val="18"/>
                <w:szCs w:val="18"/>
              </w:rPr>
              <w:t>处10万元以上15万元以下罚款</w:t>
            </w:r>
          </w:p>
          <w:p w14:paraId="1866FF4A">
            <w:pPr>
              <w:spacing w:line="280" w:lineRule="exact"/>
              <w:rPr>
                <w:color w:val="000000"/>
                <w:kern w:val="0"/>
                <w:sz w:val="18"/>
                <w:szCs w:val="18"/>
              </w:rPr>
            </w:pPr>
            <w:r>
              <w:rPr>
                <w:rFonts w:hint="eastAsia"/>
                <w:color w:val="000000"/>
                <w:kern w:val="0"/>
                <w:sz w:val="18"/>
                <w:szCs w:val="18"/>
              </w:rPr>
              <w:t>对单位直接负责的主管人员和其他直接责任人员处2万元以上2.5万元以下罚款。</w:t>
            </w:r>
          </w:p>
        </w:tc>
      </w:tr>
      <w:tr w14:paraId="0839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1756D495">
            <w:pPr>
              <w:spacing w:line="280" w:lineRule="exact"/>
              <w:jc w:val="left"/>
              <w:rPr>
                <w:color w:val="000000"/>
                <w:kern w:val="0"/>
                <w:sz w:val="18"/>
                <w:szCs w:val="18"/>
              </w:rPr>
            </w:pPr>
          </w:p>
        </w:tc>
        <w:tc>
          <w:tcPr>
            <w:tcW w:w="6376" w:type="dxa"/>
            <w:vAlign w:val="center"/>
          </w:tcPr>
          <w:p w14:paraId="1518AFCD">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continue"/>
            <w:vAlign w:val="center"/>
          </w:tcPr>
          <w:p w14:paraId="4CC7D309">
            <w:pPr>
              <w:spacing w:line="280" w:lineRule="exact"/>
              <w:jc w:val="left"/>
              <w:rPr>
                <w:color w:val="000000"/>
                <w:kern w:val="0"/>
                <w:sz w:val="18"/>
                <w:szCs w:val="18"/>
              </w:rPr>
            </w:pPr>
          </w:p>
        </w:tc>
        <w:tc>
          <w:tcPr>
            <w:tcW w:w="5614" w:type="dxa"/>
            <w:vAlign w:val="center"/>
          </w:tcPr>
          <w:p w14:paraId="4B256B0F">
            <w:pPr>
              <w:spacing w:line="280" w:lineRule="exact"/>
              <w:rPr>
                <w:color w:val="000000"/>
                <w:kern w:val="0"/>
                <w:sz w:val="18"/>
                <w:szCs w:val="18"/>
              </w:rPr>
            </w:pPr>
            <w:r>
              <w:rPr>
                <w:rFonts w:hint="eastAsia"/>
                <w:color w:val="000000"/>
                <w:kern w:val="0"/>
                <w:sz w:val="18"/>
                <w:szCs w:val="18"/>
              </w:rPr>
              <w:t>处15万元以上20万元以下罚款</w:t>
            </w:r>
          </w:p>
          <w:p w14:paraId="25287C6D">
            <w:pPr>
              <w:spacing w:line="280" w:lineRule="exact"/>
              <w:rPr>
                <w:color w:val="000000"/>
                <w:kern w:val="0"/>
                <w:sz w:val="18"/>
                <w:szCs w:val="18"/>
              </w:rPr>
            </w:pPr>
            <w:r>
              <w:rPr>
                <w:rFonts w:hint="eastAsia"/>
                <w:color w:val="000000"/>
                <w:kern w:val="0"/>
                <w:sz w:val="18"/>
                <w:szCs w:val="18"/>
              </w:rPr>
              <w:t>对单位直接负责的主管人员和其他直接责任人员处2.5万元以上3万元以下罚款。</w:t>
            </w:r>
          </w:p>
        </w:tc>
      </w:tr>
    </w:tbl>
    <w:p w14:paraId="5BB1564E"/>
    <w:p w14:paraId="597516B2"/>
    <w:p w14:paraId="2908C4D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CBC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6071984">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5B06520E">
            <w:pPr>
              <w:spacing w:line="320" w:lineRule="exact"/>
              <w:rPr>
                <w:rFonts w:eastAsia="仿宋_GB2312"/>
                <w:b/>
                <w:bCs/>
                <w:color w:val="000000"/>
                <w:kern w:val="0"/>
                <w:sz w:val="18"/>
                <w:szCs w:val="18"/>
              </w:rPr>
            </w:pPr>
            <w:r>
              <w:rPr>
                <w:rFonts w:eastAsia="仿宋_GB2312"/>
                <w:b/>
                <w:bCs/>
                <w:color w:val="000000"/>
                <w:kern w:val="0"/>
                <w:sz w:val="18"/>
                <w:szCs w:val="18"/>
              </w:rPr>
              <w:t>320217802000</w:t>
            </w:r>
          </w:p>
        </w:tc>
      </w:tr>
      <w:tr w14:paraId="700E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2B3C4F2D">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4B685653">
            <w:pPr>
              <w:spacing w:line="320" w:lineRule="exact"/>
              <w:jc w:val="left"/>
              <w:rPr>
                <w:color w:val="000000"/>
                <w:spacing w:val="-6"/>
                <w:kern w:val="0"/>
                <w:sz w:val="18"/>
                <w:szCs w:val="18"/>
              </w:rPr>
            </w:pPr>
            <w:r>
              <w:rPr>
                <w:rFonts w:hint="eastAsia"/>
                <w:color w:val="000000"/>
                <w:spacing w:val="-6"/>
                <w:kern w:val="0"/>
                <w:sz w:val="18"/>
                <w:szCs w:val="18"/>
              </w:rPr>
              <w:t>对建设、施工、监理等单位未按照规定实施见证的处罚</w:t>
            </w:r>
          </w:p>
        </w:tc>
      </w:tr>
      <w:tr w14:paraId="2E21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2AFF089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5B9DDBA">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3923C7EB">
            <w:pPr>
              <w:spacing w:line="320" w:lineRule="exact"/>
              <w:jc w:val="left"/>
              <w:rPr>
                <w:color w:val="000000"/>
                <w:kern w:val="0"/>
                <w:sz w:val="18"/>
                <w:szCs w:val="18"/>
              </w:rPr>
            </w:pPr>
            <w:r>
              <w:rPr>
                <w:rFonts w:hint="eastAsia"/>
                <w:color w:val="000000"/>
                <w:kern w:val="0"/>
                <w:sz w:val="18"/>
                <w:szCs w:val="18"/>
              </w:rPr>
              <w:t>　   第十八条　建设单位委托检测机构开展建设工程质量检测活动的，建设单位或者监理单位应当对建设工程质量检测活动实施见证。见证人员应当制作见证记录，记录取样、制样、标识、封志、送检以及现场检测等情况，并签字确认。</w:t>
            </w:r>
          </w:p>
          <w:p w14:paraId="5CEBF2A2">
            <w:pPr>
              <w:spacing w:line="320" w:lineRule="exact"/>
              <w:jc w:val="left"/>
              <w:rPr>
                <w:color w:val="000000"/>
                <w:kern w:val="0"/>
                <w:sz w:val="18"/>
                <w:szCs w:val="18"/>
              </w:rPr>
            </w:pP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3万元以上10万元以下罚款；造成危害后果的，处10万元以上20万元以下罚款；构成犯罪的，依法追究刑事责任：</w:t>
            </w:r>
          </w:p>
          <w:p w14:paraId="210FF546">
            <w:pPr>
              <w:spacing w:line="320" w:lineRule="exact"/>
              <w:jc w:val="left"/>
              <w:rPr>
                <w:color w:val="000000"/>
                <w:kern w:val="0"/>
                <w:sz w:val="18"/>
                <w:szCs w:val="18"/>
              </w:rPr>
            </w:pPr>
            <w:r>
              <w:rPr>
                <w:rFonts w:hint="eastAsia"/>
                <w:color w:val="000000"/>
                <w:kern w:val="0"/>
                <w:sz w:val="18"/>
                <w:szCs w:val="18"/>
              </w:rPr>
              <w:t>　　（三）未按照规定实施见证的；</w:t>
            </w:r>
          </w:p>
          <w:p w14:paraId="29C7D54C">
            <w:pPr>
              <w:spacing w:line="320" w:lineRule="exact"/>
              <w:jc w:val="left"/>
              <w:rPr>
                <w:color w:val="000000"/>
                <w:kern w:val="0"/>
                <w:sz w:val="18"/>
                <w:szCs w:val="18"/>
              </w:rPr>
            </w:pPr>
            <w:r>
              <w:rPr>
                <w:rFonts w:hint="eastAsia"/>
                <w:color w:val="000000"/>
                <w:kern w:val="0"/>
                <w:sz w:val="18"/>
                <w:szCs w:val="18"/>
              </w:rPr>
              <w:t>　     第四十八条　依照本办法规定，给予单位罚款处罚的，对单位直接负责的主管人员和其他直接责任人员处3万元以下罚款。</w:t>
            </w:r>
          </w:p>
        </w:tc>
      </w:tr>
      <w:tr w14:paraId="55E0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5BF5647">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9B0F336">
            <w:pPr>
              <w:spacing w:line="320" w:lineRule="exact"/>
              <w:jc w:val="left"/>
              <w:rPr>
                <w:color w:val="000000"/>
                <w:kern w:val="0"/>
                <w:sz w:val="18"/>
                <w:szCs w:val="18"/>
              </w:rPr>
            </w:pPr>
            <w:r>
              <w:rPr>
                <w:rFonts w:hint="eastAsia"/>
                <w:color w:val="000000"/>
                <w:kern w:val="0"/>
                <w:sz w:val="18"/>
                <w:szCs w:val="18"/>
              </w:rPr>
              <w:t>责令改正，罚款</w:t>
            </w:r>
          </w:p>
        </w:tc>
      </w:tr>
      <w:tr w14:paraId="3AAF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82475D8">
            <w:pPr>
              <w:spacing w:line="320" w:lineRule="exact"/>
              <w:jc w:val="center"/>
              <w:rPr>
                <w:color w:val="000000"/>
                <w:kern w:val="0"/>
                <w:sz w:val="18"/>
                <w:szCs w:val="18"/>
              </w:rPr>
            </w:pPr>
            <w:r>
              <w:rPr>
                <w:rFonts w:hint="eastAsia"/>
                <w:color w:val="000000"/>
                <w:kern w:val="0"/>
                <w:sz w:val="18"/>
                <w:szCs w:val="18"/>
              </w:rPr>
              <w:t>裁量基准</w:t>
            </w:r>
          </w:p>
        </w:tc>
      </w:tr>
      <w:tr w14:paraId="7A2F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76A9EB1E">
            <w:pPr>
              <w:rPr>
                <w:color w:val="000000"/>
                <w:kern w:val="0"/>
                <w:sz w:val="18"/>
                <w:szCs w:val="18"/>
              </w:rPr>
            </w:pPr>
            <w:r>
              <w:rPr>
                <w:rFonts w:hint="eastAsia"/>
                <w:color w:val="000000"/>
                <w:kern w:val="0"/>
                <w:sz w:val="18"/>
                <w:szCs w:val="18"/>
              </w:rPr>
              <w:t>情形描述</w:t>
            </w:r>
          </w:p>
        </w:tc>
        <w:tc>
          <w:tcPr>
            <w:tcW w:w="6376" w:type="dxa"/>
            <w:vAlign w:val="center"/>
          </w:tcPr>
          <w:p w14:paraId="623EFDC6">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27043734">
            <w:pPr>
              <w:rPr>
                <w:color w:val="000000"/>
                <w:kern w:val="0"/>
                <w:sz w:val="18"/>
                <w:szCs w:val="18"/>
              </w:rPr>
            </w:pPr>
            <w:r>
              <w:rPr>
                <w:rFonts w:hint="eastAsia"/>
                <w:color w:val="000000"/>
                <w:kern w:val="0"/>
                <w:sz w:val="18"/>
                <w:szCs w:val="18"/>
              </w:rPr>
              <w:t>裁量幅度</w:t>
            </w:r>
          </w:p>
        </w:tc>
        <w:tc>
          <w:tcPr>
            <w:tcW w:w="5614" w:type="dxa"/>
            <w:vAlign w:val="center"/>
          </w:tcPr>
          <w:p w14:paraId="2610EFFD">
            <w:pPr>
              <w:rPr>
                <w:color w:val="000000"/>
                <w:kern w:val="0"/>
                <w:sz w:val="18"/>
                <w:szCs w:val="18"/>
              </w:rPr>
            </w:pPr>
            <w:r>
              <w:rPr>
                <w:rFonts w:hint="eastAsia"/>
                <w:color w:val="000000"/>
                <w:kern w:val="0"/>
                <w:sz w:val="18"/>
                <w:szCs w:val="18"/>
              </w:rPr>
              <w:t>处3万元以上5万元以下罚款</w:t>
            </w:r>
          </w:p>
          <w:p w14:paraId="6F5A4F48">
            <w:pPr>
              <w:rPr>
                <w:color w:val="000000"/>
                <w:kern w:val="0"/>
                <w:sz w:val="18"/>
                <w:szCs w:val="18"/>
              </w:rPr>
            </w:pPr>
            <w:r>
              <w:rPr>
                <w:rFonts w:hint="eastAsia"/>
                <w:color w:val="000000"/>
                <w:kern w:val="0"/>
                <w:sz w:val="18"/>
                <w:szCs w:val="18"/>
              </w:rPr>
              <w:t>对单位直接负责的主管人员和其他直接责任人员处1万元以下罚款。</w:t>
            </w:r>
          </w:p>
        </w:tc>
      </w:tr>
      <w:tr w14:paraId="0F63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71D5008E">
            <w:pPr>
              <w:spacing w:line="320" w:lineRule="exact"/>
              <w:jc w:val="left"/>
              <w:rPr>
                <w:color w:val="000000"/>
                <w:kern w:val="0"/>
                <w:sz w:val="18"/>
                <w:szCs w:val="18"/>
              </w:rPr>
            </w:pPr>
          </w:p>
        </w:tc>
        <w:tc>
          <w:tcPr>
            <w:tcW w:w="6376" w:type="dxa"/>
            <w:vAlign w:val="center"/>
          </w:tcPr>
          <w:p w14:paraId="75BDD8B7">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67CCF133">
            <w:pPr>
              <w:spacing w:line="320" w:lineRule="exact"/>
              <w:jc w:val="left"/>
              <w:rPr>
                <w:color w:val="000000"/>
                <w:kern w:val="0"/>
                <w:sz w:val="18"/>
                <w:szCs w:val="18"/>
              </w:rPr>
            </w:pPr>
          </w:p>
        </w:tc>
        <w:tc>
          <w:tcPr>
            <w:tcW w:w="5614" w:type="dxa"/>
            <w:vAlign w:val="center"/>
          </w:tcPr>
          <w:p w14:paraId="278E29EF">
            <w:pPr>
              <w:rPr>
                <w:color w:val="000000"/>
                <w:kern w:val="0"/>
                <w:sz w:val="18"/>
                <w:szCs w:val="18"/>
              </w:rPr>
            </w:pPr>
            <w:r>
              <w:rPr>
                <w:rFonts w:hint="eastAsia"/>
                <w:color w:val="000000"/>
                <w:kern w:val="0"/>
                <w:sz w:val="18"/>
                <w:szCs w:val="18"/>
              </w:rPr>
              <w:t>处5万元以上10万元以下罚款</w:t>
            </w:r>
          </w:p>
          <w:p w14:paraId="0E8EFDF2">
            <w:pPr>
              <w:rPr>
                <w:color w:val="000000"/>
                <w:kern w:val="0"/>
                <w:sz w:val="18"/>
                <w:szCs w:val="18"/>
              </w:rPr>
            </w:pPr>
            <w:r>
              <w:rPr>
                <w:rFonts w:hint="eastAsia"/>
                <w:color w:val="000000"/>
                <w:kern w:val="0"/>
                <w:sz w:val="18"/>
                <w:szCs w:val="18"/>
              </w:rPr>
              <w:t>对单位直接负责的主管人员和其他直接责任人员处1万元以上3万元以下罚款。</w:t>
            </w:r>
          </w:p>
        </w:tc>
      </w:tr>
    </w:tbl>
    <w:p w14:paraId="1D5048F4"/>
    <w:p w14:paraId="2A3569CD"/>
    <w:p w14:paraId="21982E74"/>
    <w:p w14:paraId="6E3BDD67"/>
    <w:p w14:paraId="1DCC5E7A"/>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838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D403B40">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9C76FBC">
            <w:pPr>
              <w:spacing w:line="320" w:lineRule="exact"/>
              <w:rPr>
                <w:rFonts w:eastAsia="仿宋_GB2312"/>
                <w:b/>
                <w:bCs/>
                <w:color w:val="000000"/>
                <w:kern w:val="0"/>
                <w:sz w:val="18"/>
                <w:szCs w:val="18"/>
              </w:rPr>
            </w:pPr>
            <w:r>
              <w:rPr>
                <w:rFonts w:eastAsia="仿宋_GB2312"/>
                <w:b/>
                <w:bCs/>
                <w:color w:val="000000"/>
                <w:kern w:val="0"/>
                <w:sz w:val="18"/>
                <w:szCs w:val="18"/>
              </w:rPr>
              <w:t>320217803000</w:t>
            </w:r>
          </w:p>
        </w:tc>
      </w:tr>
      <w:tr w14:paraId="58B2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FBF213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C6ADAD6">
            <w:pPr>
              <w:spacing w:line="320" w:lineRule="exact"/>
              <w:jc w:val="left"/>
              <w:rPr>
                <w:color w:val="000000"/>
                <w:spacing w:val="-6"/>
                <w:kern w:val="0"/>
                <w:sz w:val="18"/>
                <w:szCs w:val="18"/>
              </w:rPr>
            </w:pPr>
            <w:r>
              <w:rPr>
                <w:rFonts w:hint="eastAsia"/>
                <w:color w:val="000000"/>
                <w:spacing w:val="-6"/>
                <w:kern w:val="0"/>
                <w:sz w:val="18"/>
                <w:szCs w:val="18"/>
              </w:rPr>
              <w:t>对建设、施工、监理等单位未将建设工程质量检测费用列入工程概预算并单独列支的处罚</w:t>
            </w:r>
          </w:p>
        </w:tc>
      </w:tr>
      <w:tr w14:paraId="4AD4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3B7EEAD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CE992E9">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171B29BF">
            <w:pPr>
              <w:spacing w:line="320" w:lineRule="exact"/>
              <w:jc w:val="left"/>
              <w:rPr>
                <w:color w:val="000000"/>
                <w:kern w:val="0"/>
                <w:sz w:val="18"/>
                <w:szCs w:val="18"/>
              </w:rPr>
            </w:pPr>
            <w:r>
              <w:rPr>
                <w:rFonts w:hint="eastAsia"/>
                <w:color w:val="000000"/>
                <w:kern w:val="0"/>
                <w:sz w:val="18"/>
                <w:szCs w:val="18"/>
              </w:rPr>
              <w:t>　  第十七条　建设单位应当在编制工程概预算时合理核算建设工程质量检测费用，单独列支并按照合同约定及时支付。</w:t>
            </w:r>
          </w:p>
          <w:p w14:paraId="6395DC3E">
            <w:pPr>
              <w:spacing w:line="320" w:lineRule="exact"/>
              <w:jc w:val="left"/>
              <w:rPr>
                <w:color w:val="000000"/>
                <w:kern w:val="0"/>
                <w:sz w:val="18"/>
                <w:szCs w:val="18"/>
              </w:rPr>
            </w:pP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3万元以上10万元以下罚款；造成危害后果的，处10万元以上20万元以下罚款；构成犯罪的，依法追究刑事责任：</w:t>
            </w:r>
          </w:p>
          <w:p w14:paraId="2C322574">
            <w:pPr>
              <w:spacing w:line="320" w:lineRule="exact"/>
              <w:jc w:val="left"/>
              <w:rPr>
                <w:color w:val="000000"/>
                <w:kern w:val="0"/>
                <w:sz w:val="18"/>
                <w:szCs w:val="18"/>
              </w:rPr>
            </w:pPr>
            <w:r>
              <w:rPr>
                <w:rFonts w:hint="eastAsia"/>
                <w:color w:val="000000"/>
                <w:kern w:val="0"/>
                <w:sz w:val="18"/>
                <w:szCs w:val="18"/>
              </w:rPr>
              <w:t>　（二）未将建设工程质量检测费用列入工程概预算并单独列支的；</w:t>
            </w:r>
          </w:p>
          <w:p w14:paraId="570939DD">
            <w:pPr>
              <w:spacing w:line="320" w:lineRule="exact"/>
              <w:jc w:val="left"/>
              <w:rPr>
                <w:color w:val="000000"/>
                <w:kern w:val="0"/>
                <w:sz w:val="18"/>
                <w:szCs w:val="18"/>
              </w:rPr>
            </w:pPr>
            <w:r>
              <w:rPr>
                <w:rFonts w:hint="eastAsia"/>
                <w:color w:val="000000"/>
                <w:kern w:val="0"/>
                <w:sz w:val="18"/>
                <w:szCs w:val="18"/>
              </w:rPr>
              <w:t>　     第四十八条　依照本办法规定，给予单位罚款处罚的，对单位直接负责的主管人员和其他直接责任人员处3万元以下罚款。</w:t>
            </w:r>
          </w:p>
        </w:tc>
      </w:tr>
      <w:tr w14:paraId="2142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C7A26B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9DF0731">
            <w:pPr>
              <w:spacing w:line="320" w:lineRule="exact"/>
              <w:jc w:val="left"/>
              <w:rPr>
                <w:color w:val="000000"/>
                <w:kern w:val="0"/>
                <w:sz w:val="18"/>
                <w:szCs w:val="18"/>
              </w:rPr>
            </w:pPr>
            <w:r>
              <w:rPr>
                <w:rFonts w:hint="eastAsia"/>
                <w:color w:val="000000"/>
                <w:kern w:val="0"/>
                <w:sz w:val="18"/>
                <w:szCs w:val="18"/>
              </w:rPr>
              <w:t>责令改正，罚款</w:t>
            </w:r>
          </w:p>
        </w:tc>
      </w:tr>
      <w:tr w14:paraId="4E7B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508CFB7">
            <w:pPr>
              <w:spacing w:line="320" w:lineRule="exact"/>
              <w:jc w:val="center"/>
              <w:rPr>
                <w:color w:val="000000"/>
                <w:kern w:val="0"/>
                <w:sz w:val="18"/>
                <w:szCs w:val="18"/>
              </w:rPr>
            </w:pPr>
            <w:r>
              <w:rPr>
                <w:rFonts w:hint="eastAsia"/>
                <w:color w:val="000000"/>
                <w:kern w:val="0"/>
                <w:sz w:val="18"/>
                <w:szCs w:val="18"/>
              </w:rPr>
              <w:t>裁量基准</w:t>
            </w:r>
          </w:p>
        </w:tc>
      </w:tr>
      <w:tr w14:paraId="1F1C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6081FB07">
            <w:pPr>
              <w:rPr>
                <w:color w:val="000000"/>
                <w:kern w:val="0"/>
                <w:sz w:val="18"/>
                <w:szCs w:val="18"/>
              </w:rPr>
            </w:pPr>
            <w:r>
              <w:rPr>
                <w:rFonts w:hint="eastAsia"/>
                <w:color w:val="000000"/>
                <w:kern w:val="0"/>
                <w:sz w:val="18"/>
                <w:szCs w:val="18"/>
              </w:rPr>
              <w:t>情形描述</w:t>
            </w:r>
          </w:p>
        </w:tc>
        <w:tc>
          <w:tcPr>
            <w:tcW w:w="6376" w:type="dxa"/>
            <w:vAlign w:val="center"/>
          </w:tcPr>
          <w:p w14:paraId="29A070B1">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22EF8BF8">
            <w:pPr>
              <w:rPr>
                <w:color w:val="000000"/>
                <w:kern w:val="0"/>
                <w:sz w:val="18"/>
                <w:szCs w:val="18"/>
              </w:rPr>
            </w:pPr>
            <w:r>
              <w:rPr>
                <w:rFonts w:hint="eastAsia"/>
                <w:color w:val="000000"/>
                <w:kern w:val="0"/>
                <w:sz w:val="18"/>
                <w:szCs w:val="18"/>
              </w:rPr>
              <w:t>裁量幅度</w:t>
            </w:r>
          </w:p>
        </w:tc>
        <w:tc>
          <w:tcPr>
            <w:tcW w:w="5614" w:type="dxa"/>
            <w:vAlign w:val="center"/>
          </w:tcPr>
          <w:p w14:paraId="434A9AD3">
            <w:pPr>
              <w:rPr>
                <w:color w:val="000000"/>
                <w:kern w:val="0"/>
                <w:sz w:val="18"/>
                <w:szCs w:val="18"/>
              </w:rPr>
            </w:pPr>
            <w:r>
              <w:rPr>
                <w:rFonts w:hint="eastAsia"/>
                <w:color w:val="000000"/>
                <w:kern w:val="0"/>
                <w:sz w:val="18"/>
                <w:szCs w:val="18"/>
              </w:rPr>
              <w:t>处3万元以上5万元以下罚款</w:t>
            </w:r>
          </w:p>
          <w:p w14:paraId="56BD7C3F">
            <w:pPr>
              <w:rPr>
                <w:color w:val="000000"/>
                <w:kern w:val="0"/>
                <w:sz w:val="18"/>
                <w:szCs w:val="18"/>
              </w:rPr>
            </w:pPr>
            <w:r>
              <w:rPr>
                <w:rFonts w:hint="eastAsia"/>
                <w:color w:val="000000"/>
                <w:kern w:val="0"/>
                <w:sz w:val="18"/>
                <w:szCs w:val="18"/>
              </w:rPr>
              <w:t>对单位直接负责的主管人员和其他直接责任人员处1万元以下罚款。</w:t>
            </w:r>
          </w:p>
        </w:tc>
      </w:tr>
      <w:tr w14:paraId="3978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2F9ECA12">
            <w:pPr>
              <w:spacing w:line="320" w:lineRule="exact"/>
              <w:jc w:val="left"/>
              <w:rPr>
                <w:color w:val="000000"/>
                <w:kern w:val="0"/>
                <w:sz w:val="18"/>
                <w:szCs w:val="18"/>
              </w:rPr>
            </w:pPr>
          </w:p>
        </w:tc>
        <w:tc>
          <w:tcPr>
            <w:tcW w:w="6376" w:type="dxa"/>
            <w:vAlign w:val="center"/>
          </w:tcPr>
          <w:p w14:paraId="4A99393C">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689F62AE">
            <w:pPr>
              <w:spacing w:line="320" w:lineRule="exact"/>
              <w:jc w:val="left"/>
              <w:rPr>
                <w:color w:val="000000"/>
                <w:kern w:val="0"/>
                <w:sz w:val="18"/>
                <w:szCs w:val="18"/>
              </w:rPr>
            </w:pPr>
          </w:p>
        </w:tc>
        <w:tc>
          <w:tcPr>
            <w:tcW w:w="5614" w:type="dxa"/>
            <w:vAlign w:val="center"/>
          </w:tcPr>
          <w:p w14:paraId="6C9C9AC9">
            <w:pPr>
              <w:rPr>
                <w:color w:val="000000"/>
                <w:kern w:val="0"/>
                <w:sz w:val="18"/>
                <w:szCs w:val="18"/>
              </w:rPr>
            </w:pPr>
            <w:r>
              <w:rPr>
                <w:rFonts w:hint="eastAsia"/>
                <w:color w:val="000000"/>
                <w:kern w:val="0"/>
                <w:sz w:val="18"/>
                <w:szCs w:val="18"/>
              </w:rPr>
              <w:t>处5万元以上10万元以下罚款</w:t>
            </w:r>
          </w:p>
          <w:p w14:paraId="31B66053">
            <w:pPr>
              <w:rPr>
                <w:color w:val="000000"/>
                <w:kern w:val="0"/>
                <w:sz w:val="18"/>
                <w:szCs w:val="18"/>
              </w:rPr>
            </w:pPr>
            <w:r>
              <w:rPr>
                <w:rFonts w:hint="eastAsia"/>
                <w:color w:val="000000"/>
                <w:kern w:val="0"/>
                <w:sz w:val="18"/>
                <w:szCs w:val="18"/>
              </w:rPr>
              <w:t>对单位直接负责的主管人员和其他直接责任人员处1万元以上3万元以下罚款。</w:t>
            </w:r>
          </w:p>
        </w:tc>
      </w:tr>
    </w:tbl>
    <w:p w14:paraId="79738637"/>
    <w:p w14:paraId="5E02B810"/>
    <w:p w14:paraId="54C18CDE"/>
    <w:p w14:paraId="672B8D71"/>
    <w:p w14:paraId="0804D965"/>
    <w:p w14:paraId="60ED734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0A1F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1A52EDC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5838CE5B">
            <w:pPr>
              <w:spacing w:line="320" w:lineRule="exact"/>
              <w:rPr>
                <w:rFonts w:eastAsia="仿宋_GB2312"/>
                <w:b/>
                <w:bCs/>
                <w:color w:val="000000"/>
                <w:kern w:val="0"/>
                <w:sz w:val="18"/>
                <w:szCs w:val="18"/>
              </w:rPr>
            </w:pPr>
            <w:r>
              <w:rPr>
                <w:rFonts w:eastAsia="仿宋_GB2312"/>
                <w:b/>
                <w:bCs/>
                <w:color w:val="000000"/>
                <w:kern w:val="0"/>
                <w:sz w:val="18"/>
                <w:szCs w:val="18"/>
              </w:rPr>
              <w:t>320217804000</w:t>
            </w:r>
          </w:p>
        </w:tc>
      </w:tr>
      <w:tr w14:paraId="4A46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0E164D1D">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0BA3AC0">
            <w:pPr>
              <w:spacing w:line="320" w:lineRule="exact"/>
              <w:jc w:val="left"/>
              <w:rPr>
                <w:color w:val="000000"/>
                <w:spacing w:val="-6"/>
                <w:kern w:val="0"/>
                <w:sz w:val="18"/>
                <w:szCs w:val="18"/>
              </w:rPr>
            </w:pPr>
            <w:r>
              <w:rPr>
                <w:rFonts w:hint="eastAsia"/>
                <w:color w:val="000000"/>
                <w:spacing w:val="-6"/>
                <w:kern w:val="0"/>
                <w:sz w:val="18"/>
                <w:szCs w:val="18"/>
              </w:rPr>
              <w:t>对检测机构接受监督检查时不如实提供有关资料、不按照要求参加能力验证和比对试验，或者拒绝、阻碍监督检查的处罚</w:t>
            </w:r>
          </w:p>
        </w:tc>
      </w:tr>
      <w:tr w14:paraId="071F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7AAF1EC">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5C84EAA">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2361FB7D">
            <w:pPr>
              <w:spacing w:line="320" w:lineRule="exact"/>
              <w:jc w:val="left"/>
              <w:rPr>
                <w:color w:val="000000"/>
                <w:kern w:val="0"/>
                <w:sz w:val="18"/>
                <w:szCs w:val="18"/>
              </w:rPr>
            </w:pPr>
            <w:r>
              <w:rPr>
                <w:rFonts w:hint="eastAsia"/>
                <w:color w:val="000000"/>
                <w:kern w:val="0"/>
                <w:sz w:val="18"/>
                <w:szCs w:val="18"/>
              </w:rPr>
              <w:t xml:space="preserve">  　第三十三条　县级以上人民政府住房和城乡建设主管部门应当对检测机构实行动态监管，通过“双随机、一公开”等方式开展监督检查。</w:t>
            </w:r>
          </w:p>
          <w:p w14:paraId="123408E4">
            <w:pPr>
              <w:spacing w:line="320" w:lineRule="exact"/>
              <w:jc w:val="left"/>
              <w:rPr>
                <w:color w:val="000000"/>
                <w:kern w:val="0"/>
                <w:sz w:val="18"/>
                <w:szCs w:val="18"/>
              </w:rPr>
            </w:pPr>
            <w:r>
              <w:rPr>
                <w:rFonts w:hint="eastAsia"/>
                <w:color w:val="000000"/>
                <w:kern w:val="0"/>
                <w:sz w:val="18"/>
                <w:szCs w:val="18"/>
              </w:rPr>
              <w:t>　　实施监督检查时，有权采取下列措施：</w:t>
            </w:r>
          </w:p>
          <w:p w14:paraId="1E2FCB1B">
            <w:pPr>
              <w:spacing w:line="320" w:lineRule="exact"/>
              <w:jc w:val="left"/>
              <w:rPr>
                <w:color w:val="000000"/>
                <w:kern w:val="0"/>
                <w:sz w:val="18"/>
                <w:szCs w:val="18"/>
              </w:rPr>
            </w:pPr>
            <w:r>
              <w:rPr>
                <w:rFonts w:hint="eastAsia"/>
                <w:color w:val="000000"/>
                <w:kern w:val="0"/>
                <w:sz w:val="18"/>
                <w:szCs w:val="18"/>
              </w:rPr>
              <w:t>　　（一）进入建设工程施工现场或者检测机构的工作场地进行检查、抽测；</w:t>
            </w:r>
          </w:p>
          <w:p w14:paraId="5901BD91">
            <w:pPr>
              <w:spacing w:line="320" w:lineRule="exact"/>
              <w:jc w:val="left"/>
              <w:rPr>
                <w:color w:val="000000"/>
                <w:kern w:val="0"/>
                <w:sz w:val="18"/>
                <w:szCs w:val="18"/>
              </w:rPr>
            </w:pPr>
            <w:r>
              <w:rPr>
                <w:rFonts w:hint="eastAsia"/>
                <w:color w:val="000000"/>
                <w:kern w:val="0"/>
                <w:sz w:val="18"/>
                <w:szCs w:val="18"/>
              </w:rPr>
              <w:t>　　（二）向检测机构、委托方、相关单位和人员询问、调查有关情况；</w:t>
            </w:r>
          </w:p>
          <w:p w14:paraId="1D404DFE">
            <w:pPr>
              <w:spacing w:line="320" w:lineRule="exact"/>
              <w:jc w:val="left"/>
              <w:rPr>
                <w:color w:val="000000"/>
                <w:kern w:val="0"/>
                <w:sz w:val="18"/>
                <w:szCs w:val="18"/>
              </w:rPr>
            </w:pPr>
            <w:r>
              <w:rPr>
                <w:rFonts w:hint="eastAsia"/>
                <w:color w:val="000000"/>
                <w:kern w:val="0"/>
                <w:sz w:val="18"/>
                <w:szCs w:val="18"/>
              </w:rPr>
              <w:t>　　（三）对检测人员的建设工程质量检测知识和专业能力进行检查；</w:t>
            </w:r>
          </w:p>
          <w:p w14:paraId="75701855">
            <w:pPr>
              <w:spacing w:line="320" w:lineRule="exact"/>
              <w:jc w:val="left"/>
              <w:rPr>
                <w:color w:val="000000"/>
                <w:kern w:val="0"/>
                <w:sz w:val="18"/>
                <w:szCs w:val="18"/>
              </w:rPr>
            </w:pPr>
            <w:r>
              <w:rPr>
                <w:rFonts w:hint="eastAsia"/>
                <w:color w:val="000000"/>
                <w:kern w:val="0"/>
                <w:sz w:val="18"/>
                <w:szCs w:val="18"/>
              </w:rPr>
              <w:t>　　（四）查阅、复制有关检测数据、影像资料、报告、合同以及其他相关资料；</w:t>
            </w:r>
          </w:p>
          <w:p w14:paraId="63B41A38">
            <w:pPr>
              <w:spacing w:line="320" w:lineRule="exact"/>
              <w:jc w:val="left"/>
              <w:rPr>
                <w:color w:val="000000"/>
                <w:kern w:val="0"/>
                <w:sz w:val="18"/>
                <w:szCs w:val="18"/>
              </w:rPr>
            </w:pPr>
            <w:r>
              <w:rPr>
                <w:rFonts w:hint="eastAsia"/>
                <w:color w:val="000000"/>
                <w:kern w:val="0"/>
                <w:sz w:val="18"/>
                <w:szCs w:val="18"/>
              </w:rPr>
              <w:t>　　（五）组织实施能力验证或者比对试验；</w:t>
            </w:r>
          </w:p>
          <w:p w14:paraId="35B19658">
            <w:pPr>
              <w:spacing w:line="320" w:lineRule="exact"/>
              <w:jc w:val="left"/>
              <w:rPr>
                <w:color w:val="000000"/>
                <w:kern w:val="0"/>
                <w:sz w:val="18"/>
                <w:szCs w:val="18"/>
              </w:rPr>
            </w:pPr>
            <w:r>
              <w:rPr>
                <w:rFonts w:hint="eastAsia"/>
                <w:color w:val="000000"/>
                <w:kern w:val="0"/>
                <w:sz w:val="18"/>
                <w:szCs w:val="18"/>
              </w:rPr>
              <w:t>　　（六）法律、法规规定的其他措施。</w:t>
            </w:r>
          </w:p>
          <w:p w14:paraId="36374BBE">
            <w:pPr>
              <w:spacing w:line="320" w:lineRule="exact"/>
              <w:jc w:val="left"/>
              <w:rPr>
                <w:color w:val="000000"/>
                <w:kern w:val="0"/>
                <w:sz w:val="18"/>
                <w:szCs w:val="18"/>
              </w:rPr>
            </w:pPr>
            <w:r>
              <w:rPr>
                <w:rFonts w:hint="eastAsia"/>
                <w:color w:val="000000"/>
                <w:kern w:val="0"/>
                <w:sz w:val="18"/>
                <w:szCs w:val="18"/>
              </w:rPr>
              <w:t xml:space="preserve">      第四十五条　检测机构违反本办法规定，有下列行为之一的，由县级以上地方人民政府住房和城乡建设主管部门责令改正，处1万元以上5万元以下罚款：</w:t>
            </w:r>
          </w:p>
          <w:p w14:paraId="5237D58E">
            <w:pPr>
              <w:spacing w:line="320" w:lineRule="exact"/>
              <w:jc w:val="left"/>
              <w:rPr>
                <w:color w:val="000000"/>
                <w:kern w:val="0"/>
                <w:sz w:val="18"/>
                <w:szCs w:val="18"/>
              </w:rPr>
            </w:pPr>
            <w:r>
              <w:rPr>
                <w:rFonts w:hint="eastAsia"/>
                <w:color w:val="000000"/>
                <w:kern w:val="0"/>
                <w:sz w:val="18"/>
                <w:szCs w:val="18"/>
              </w:rPr>
              <w:t>　　（九）接受监督检查时不如实提供有关资料、不按照要求参加能力验证和比对试验，或者拒绝、阻碍监督检查的。</w:t>
            </w:r>
          </w:p>
          <w:p w14:paraId="0DD38817">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3F47A365">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5BB7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52CFB6D">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C643191">
            <w:pPr>
              <w:spacing w:line="320" w:lineRule="exact"/>
              <w:jc w:val="left"/>
              <w:rPr>
                <w:color w:val="000000"/>
                <w:kern w:val="0"/>
                <w:sz w:val="18"/>
                <w:szCs w:val="18"/>
              </w:rPr>
            </w:pPr>
            <w:r>
              <w:rPr>
                <w:rFonts w:hint="eastAsia"/>
                <w:color w:val="000000"/>
                <w:kern w:val="0"/>
                <w:sz w:val="18"/>
                <w:szCs w:val="18"/>
              </w:rPr>
              <w:t>责令改正，罚款，没收违法所得</w:t>
            </w:r>
          </w:p>
        </w:tc>
      </w:tr>
      <w:tr w14:paraId="18D0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F574666">
            <w:pPr>
              <w:spacing w:line="320" w:lineRule="exact"/>
              <w:jc w:val="center"/>
              <w:rPr>
                <w:color w:val="000000"/>
                <w:kern w:val="0"/>
                <w:sz w:val="18"/>
                <w:szCs w:val="18"/>
              </w:rPr>
            </w:pPr>
            <w:r>
              <w:rPr>
                <w:rFonts w:hint="eastAsia"/>
                <w:color w:val="000000"/>
                <w:kern w:val="0"/>
                <w:sz w:val="18"/>
                <w:szCs w:val="18"/>
              </w:rPr>
              <w:t>裁量基准</w:t>
            </w:r>
          </w:p>
        </w:tc>
      </w:tr>
      <w:tr w14:paraId="0922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65D79E37">
            <w:pPr>
              <w:rPr>
                <w:color w:val="000000"/>
                <w:kern w:val="0"/>
                <w:sz w:val="18"/>
                <w:szCs w:val="18"/>
              </w:rPr>
            </w:pPr>
            <w:r>
              <w:rPr>
                <w:rFonts w:hint="eastAsia"/>
                <w:color w:val="000000"/>
                <w:kern w:val="0"/>
                <w:sz w:val="18"/>
                <w:szCs w:val="18"/>
              </w:rPr>
              <w:t>情形描述</w:t>
            </w:r>
          </w:p>
        </w:tc>
        <w:tc>
          <w:tcPr>
            <w:tcW w:w="6376" w:type="dxa"/>
            <w:vAlign w:val="center"/>
          </w:tcPr>
          <w:p w14:paraId="09052EB1">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191DD934">
            <w:pPr>
              <w:rPr>
                <w:color w:val="000000"/>
                <w:kern w:val="0"/>
                <w:sz w:val="18"/>
                <w:szCs w:val="18"/>
              </w:rPr>
            </w:pPr>
            <w:r>
              <w:rPr>
                <w:rFonts w:hint="eastAsia"/>
                <w:color w:val="000000"/>
                <w:kern w:val="0"/>
                <w:sz w:val="18"/>
                <w:szCs w:val="18"/>
              </w:rPr>
              <w:t>裁量幅度</w:t>
            </w:r>
          </w:p>
        </w:tc>
        <w:tc>
          <w:tcPr>
            <w:tcW w:w="5614" w:type="dxa"/>
            <w:vAlign w:val="center"/>
          </w:tcPr>
          <w:p w14:paraId="5204934A">
            <w:pPr>
              <w:rPr>
                <w:color w:val="000000"/>
                <w:kern w:val="0"/>
                <w:sz w:val="18"/>
                <w:szCs w:val="18"/>
              </w:rPr>
            </w:pPr>
            <w:r>
              <w:rPr>
                <w:rFonts w:hint="eastAsia"/>
                <w:color w:val="000000"/>
                <w:kern w:val="0"/>
                <w:sz w:val="18"/>
                <w:szCs w:val="18"/>
              </w:rPr>
              <w:t>处1万元以上3万元以下罚款</w:t>
            </w:r>
          </w:p>
          <w:p w14:paraId="1615378E">
            <w:pPr>
              <w:rPr>
                <w:color w:val="000000"/>
                <w:kern w:val="0"/>
                <w:sz w:val="18"/>
                <w:szCs w:val="18"/>
              </w:rPr>
            </w:pPr>
            <w:r>
              <w:rPr>
                <w:rFonts w:hint="eastAsia"/>
                <w:color w:val="000000"/>
                <w:kern w:val="0"/>
                <w:sz w:val="18"/>
                <w:szCs w:val="18"/>
              </w:rPr>
              <w:t>对单位直接负责的主管人员和其他直接责任人员处2万元以下罚款。</w:t>
            </w:r>
          </w:p>
        </w:tc>
      </w:tr>
      <w:tr w14:paraId="75C6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010" w:type="dxa"/>
            <w:vMerge w:val="continue"/>
            <w:vAlign w:val="center"/>
          </w:tcPr>
          <w:p w14:paraId="7D144BF2">
            <w:pPr>
              <w:spacing w:line="320" w:lineRule="exact"/>
              <w:jc w:val="left"/>
              <w:rPr>
                <w:color w:val="000000"/>
                <w:kern w:val="0"/>
                <w:sz w:val="18"/>
                <w:szCs w:val="18"/>
              </w:rPr>
            </w:pPr>
          </w:p>
        </w:tc>
        <w:tc>
          <w:tcPr>
            <w:tcW w:w="6376" w:type="dxa"/>
            <w:vAlign w:val="center"/>
          </w:tcPr>
          <w:p w14:paraId="12683E8F">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17A06261">
            <w:pPr>
              <w:spacing w:line="320" w:lineRule="exact"/>
              <w:jc w:val="left"/>
              <w:rPr>
                <w:color w:val="000000"/>
                <w:kern w:val="0"/>
                <w:sz w:val="18"/>
                <w:szCs w:val="18"/>
              </w:rPr>
            </w:pPr>
          </w:p>
        </w:tc>
        <w:tc>
          <w:tcPr>
            <w:tcW w:w="5614" w:type="dxa"/>
            <w:vAlign w:val="center"/>
          </w:tcPr>
          <w:p w14:paraId="6BB5727D">
            <w:pPr>
              <w:rPr>
                <w:color w:val="000000"/>
                <w:kern w:val="0"/>
                <w:sz w:val="18"/>
                <w:szCs w:val="18"/>
              </w:rPr>
            </w:pPr>
            <w:r>
              <w:rPr>
                <w:rFonts w:hint="eastAsia"/>
                <w:color w:val="000000"/>
                <w:kern w:val="0"/>
                <w:sz w:val="18"/>
                <w:szCs w:val="18"/>
              </w:rPr>
              <w:t>处3万元以上5万元以下罚款</w:t>
            </w:r>
          </w:p>
          <w:p w14:paraId="635C5705">
            <w:pPr>
              <w:rPr>
                <w:color w:val="000000"/>
                <w:kern w:val="0"/>
                <w:sz w:val="18"/>
                <w:szCs w:val="18"/>
              </w:rPr>
            </w:pPr>
            <w:r>
              <w:rPr>
                <w:rFonts w:hint="eastAsia"/>
                <w:color w:val="000000"/>
                <w:kern w:val="0"/>
                <w:sz w:val="18"/>
                <w:szCs w:val="18"/>
              </w:rPr>
              <w:t>对单位直接负责的主管人员和其他直接责任人员处2万元以上3万元以下罚款。</w:t>
            </w:r>
          </w:p>
        </w:tc>
      </w:tr>
    </w:tbl>
    <w:p w14:paraId="39BCBB4C"/>
    <w:p w14:paraId="121CE3AB"/>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09B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AF39C07">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4879CC6">
            <w:pPr>
              <w:spacing w:line="320" w:lineRule="exact"/>
              <w:rPr>
                <w:rFonts w:eastAsia="仿宋_GB2312"/>
                <w:b/>
                <w:bCs/>
                <w:color w:val="000000"/>
                <w:kern w:val="0"/>
                <w:sz w:val="18"/>
                <w:szCs w:val="18"/>
              </w:rPr>
            </w:pPr>
            <w:r>
              <w:rPr>
                <w:rFonts w:eastAsia="仿宋_GB2312"/>
                <w:b/>
                <w:bCs/>
                <w:color w:val="000000"/>
                <w:kern w:val="0"/>
                <w:sz w:val="18"/>
                <w:szCs w:val="18"/>
              </w:rPr>
              <w:t>320217805000</w:t>
            </w:r>
          </w:p>
        </w:tc>
      </w:tr>
      <w:tr w14:paraId="01FF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D6FF4B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4DC2F17">
            <w:pPr>
              <w:spacing w:line="320" w:lineRule="exact"/>
              <w:jc w:val="left"/>
              <w:rPr>
                <w:color w:val="000000"/>
                <w:spacing w:val="-6"/>
                <w:kern w:val="0"/>
                <w:sz w:val="18"/>
                <w:szCs w:val="18"/>
              </w:rPr>
            </w:pPr>
            <w:r>
              <w:rPr>
                <w:rFonts w:hint="eastAsia"/>
                <w:color w:val="000000"/>
                <w:spacing w:val="-6"/>
                <w:kern w:val="0"/>
                <w:sz w:val="18"/>
                <w:szCs w:val="18"/>
              </w:rPr>
              <w:t>对检测机构不满足跨省、自治区、直辖市承担检测业务的要求开展相应建设工程质量检测活动的处罚</w:t>
            </w:r>
          </w:p>
        </w:tc>
      </w:tr>
      <w:tr w14:paraId="7F6A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2A607E66">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1FA6B197">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2E20140D">
            <w:pPr>
              <w:spacing w:line="320" w:lineRule="exact"/>
              <w:jc w:val="left"/>
              <w:rPr>
                <w:color w:val="000000"/>
                <w:kern w:val="0"/>
                <w:sz w:val="18"/>
                <w:szCs w:val="18"/>
              </w:rPr>
            </w:pPr>
            <w:r>
              <w:rPr>
                <w:rFonts w:hint="eastAsia"/>
                <w:color w:val="000000"/>
                <w:kern w:val="0"/>
                <w:sz w:val="18"/>
                <w:szCs w:val="18"/>
              </w:rPr>
              <w:t>　　第二十九条　检测机构跨省、自治区、直辖市承担检测业务的，应当向建设工程所在地的省、自治区、直辖市人民政府住房和城乡建设主管部门备案。</w:t>
            </w:r>
          </w:p>
          <w:p w14:paraId="5E865DFC">
            <w:pPr>
              <w:spacing w:line="320" w:lineRule="exact"/>
              <w:jc w:val="left"/>
              <w:rPr>
                <w:color w:val="000000"/>
                <w:kern w:val="0"/>
                <w:sz w:val="18"/>
                <w:szCs w:val="18"/>
              </w:rPr>
            </w:pPr>
            <w:r>
              <w:rPr>
                <w:rFonts w:hint="eastAsia"/>
                <w:color w:val="000000"/>
                <w:kern w:val="0"/>
                <w:sz w:val="18"/>
                <w:szCs w:val="18"/>
              </w:rPr>
              <w:t>　　检测机构在承担检测业务所在地的人员、仪器设备、检测场所、质量保证体系等应当满足开展相应建设工程质量检测活动的要求。</w:t>
            </w:r>
          </w:p>
          <w:p w14:paraId="7CDD0A88">
            <w:pPr>
              <w:spacing w:line="320" w:lineRule="exact"/>
              <w:jc w:val="left"/>
              <w:rPr>
                <w:color w:val="000000"/>
                <w:kern w:val="0"/>
                <w:sz w:val="18"/>
                <w:szCs w:val="18"/>
              </w:rPr>
            </w:pPr>
            <w:r>
              <w:rPr>
                <w:rFonts w:hint="eastAsia"/>
                <w:color w:val="000000"/>
                <w:kern w:val="0"/>
                <w:sz w:val="18"/>
                <w:szCs w:val="18"/>
              </w:rPr>
              <w:t xml:space="preserve">      第四十五条　检测机构违反本办法规定，有下列行为之一的，由县级以上地方人民政府住房和城乡建设主管部门责令改正，处1万元以上5万元以下罚款：</w:t>
            </w:r>
          </w:p>
          <w:p w14:paraId="233F0111">
            <w:pPr>
              <w:spacing w:line="320" w:lineRule="exact"/>
              <w:jc w:val="left"/>
              <w:rPr>
                <w:color w:val="000000"/>
                <w:kern w:val="0"/>
                <w:sz w:val="18"/>
                <w:szCs w:val="18"/>
              </w:rPr>
            </w:pPr>
            <w:r>
              <w:rPr>
                <w:rFonts w:hint="eastAsia"/>
                <w:color w:val="000000"/>
                <w:kern w:val="0"/>
                <w:sz w:val="18"/>
                <w:szCs w:val="18"/>
              </w:rPr>
              <w:t>　　（八）不满足跨省、自治区、直辖市承担检测业务的要求开展相应建设工程质量检测活动的；</w:t>
            </w:r>
          </w:p>
          <w:p w14:paraId="2389C785">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64198821">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4D99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B628D09">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A2D2C61">
            <w:pPr>
              <w:spacing w:line="320" w:lineRule="exact"/>
              <w:jc w:val="left"/>
              <w:rPr>
                <w:color w:val="000000"/>
                <w:kern w:val="0"/>
                <w:sz w:val="18"/>
                <w:szCs w:val="18"/>
              </w:rPr>
            </w:pPr>
            <w:r>
              <w:rPr>
                <w:rFonts w:hint="eastAsia"/>
                <w:color w:val="000000"/>
                <w:kern w:val="0"/>
                <w:sz w:val="18"/>
                <w:szCs w:val="18"/>
              </w:rPr>
              <w:t>责令改正，罚款，没收违法所得</w:t>
            </w:r>
          </w:p>
        </w:tc>
      </w:tr>
      <w:tr w14:paraId="554C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2F71E4C8">
            <w:pPr>
              <w:spacing w:line="320" w:lineRule="exact"/>
              <w:jc w:val="center"/>
              <w:rPr>
                <w:color w:val="000000"/>
                <w:kern w:val="0"/>
                <w:sz w:val="18"/>
                <w:szCs w:val="18"/>
              </w:rPr>
            </w:pPr>
            <w:r>
              <w:rPr>
                <w:rFonts w:hint="eastAsia"/>
                <w:color w:val="000000"/>
                <w:kern w:val="0"/>
                <w:sz w:val="18"/>
                <w:szCs w:val="18"/>
              </w:rPr>
              <w:t>裁量基准</w:t>
            </w:r>
          </w:p>
        </w:tc>
      </w:tr>
      <w:tr w14:paraId="6A2F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2E569FF0">
            <w:pPr>
              <w:rPr>
                <w:color w:val="000000"/>
                <w:kern w:val="0"/>
                <w:sz w:val="18"/>
                <w:szCs w:val="18"/>
              </w:rPr>
            </w:pPr>
            <w:r>
              <w:rPr>
                <w:rFonts w:hint="eastAsia"/>
                <w:color w:val="000000"/>
                <w:kern w:val="0"/>
                <w:sz w:val="18"/>
                <w:szCs w:val="18"/>
              </w:rPr>
              <w:t>情形描述</w:t>
            </w:r>
          </w:p>
        </w:tc>
        <w:tc>
          <w:tcPr>
            <w:tcW w:w="6376" w:type="dxa"/>
            <w:vAlign w:val="center"/>
          </w:tcPr>
          <w:p w14:paraId="48C605C5">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0E172F52">
            <w:pPr>
              <w:rPr>
                <w:color w:val="000000"/>
                <w:kern w:val="0"/>
                <w:sz w:val="18"/>
                <w:szCs w:val="18"/>
              </w:rPr>
            </w:pPr>
            <w:r>
              <w:rPr>
                <w:rFonts w:hint="eastAsia"/>
                <w:color w:val="000000"/>
                <w:kern w:val="0"/>
                <w:sz w:val="18"/>
                <w:szCs w:val="18"/>
              </w:rPr>
              <w:t>裁量幅度</w:t>
            </w:r>
          </w:p>
        </w:tc>
        <w:tc>
          <w:tcPr>
            <w:tcW w:w="5614" w:type="dxa"/>
            <w:vAlign w:val="center"/>
          </w:tcPr>
          <w:p w14:paraId="3A428934">
            <w:pPr>
              <w:rPr>
                <w:color w:val="000000"/>
                <w:kern w:val="0"/>
                <w:sz w:val="18"/>
                <w:szCs w:val="18"/>
              </w:rPr>
            </w:pPr>
            <w:r>
              <w:rPr>
                <w:rFonts w:hint="eastAsia"/>
                <w:color w:val="000000"/>
                <w:kern w:val="0"/>
                <w:sz w:val="18"/>
                <w:szCs w:val="18"/>
              </w:rPr>
              <w:t>处1万元以上3万元以下罚款</w:t>
            </w:r>
          </w:p>
          <w:p w14:paraId="7D762625">
            <w:pPr>
              <w:rPr>
                <w:color w:val="000000"/>
                <w:kern w:val="0"/>
                <w:sz w:val="18"/>
                <w:szCs w:val="18"/>
              </w:rPr>
            </w:pPr>
            <w:r>
              <w:rPr>
                <w:rFonts w:hint="eastAsia"/>
                <w:color w:val="000000"/>
                <w:kern w:val="0"/>
                <w:sz w:val="18"/>
                <w:szCs w:val="18"/>
              </w:rPr>
              <w:t>对单位直接负责的主管人员和其他直接责任人员处2万元以下罚款。</w:t>
            </w:r>
          </w:p>
        </w:tc>
      </w:tr>
      <w:tr w14:paraId="2DCF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322CF477">
            <w:pPr>
              <w:spacing w:line="320" w:lineRule="exact"/>
              <w:jc w:val="left"/>
              <w:rPr>
                <w:color w:val="000000"/>
                <w:kern w:val="0"/>
                <w:sz w:val="18"/>
                <w:szCs w:val="18"/>
              </w:rPr>
            </w:pPr>
          </w:p>
        </w:tc>
        <w:tc>
          <w:tcPr>
            <w:tcW w:w="6376" w:type="dxa"/>
            <w:vAlign w:val="center"/>
          </w:tcPr>
          <w:p w14:paraId="4CCFF3BA">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16AE322F">
            <w:pPr>
              <w:spacing w:line="320" w:lineRule="exact"/>
              <w:jc w:val="left"/>
              <w:rPr>
                <w:color w:val="000000"/>
                <w:kern w:val="0"/>
                <w:sz w:val="18"/>
                <w:szCs w:val="18"/>
              </w:rPr>
            </w:pPr>
          </w:p>
        </w:tc>
        <w:tc>
          <w:tcPr>
            <w:tcW w:w="5614" w:type="dxa"/>
            <w:vAlign w:val="center"/>
          </w:tcPr>
          <w:p w14:paraId="573813D2">
            <w:pPr>
              <w:rPr>
                <w:color w:val="000000"/>
                <w:kern w:val="0"/>
                <w:sz w:val="18"/>
                <w:szCs w:val="18"/>
              </w:rPr>
            </w:pPr>
            <w:r>
              <w:rPr>
                <w:rFonts w:hint="eastAsia"/>
                <w:color w:val="000000"/>
                <w:kern w:val="0"/>
                <w:sz w:val="18"/>
                <w:szCs w:val="18"/>
              </w:rPr>
              <w:t>处3万元以上5万元以下罚款</w:t>
            </w:r>
          </w:p>
          <w:p w14:paraId="130DE7D3">
            <w:pPr>
              <w:rPr>
                <w:color w:val="000000"/>
                <w:kern w:val="0"/>
                <w:sz w:val="18"/>
                <w:szCs w:val="18"/>
              </w:rPr>
            </w:pPr>
            <w:r>
              <w:rPr>
                <w:rFonts w:hint="eastAsia"/>
                <w:color w:val="000000"/>
                <w:kern w:val="0"/>
                <w:sz w:val="18"/>
                <w:szCs w:val="18"/>
              </w:rPr>
              <w:t>对单位直接负责的主管人员和其他直接责任人员处2万元以上3万元以下罚款。</w:t>
            </w:r>
          </w:p>
        </w:tc>
      </w:tr>
    </w:tbl>
    <w:p w14:paraId="417F2843"/>
    <w:p w14:paraId="05AD5EE5"/>
    <w:p w14:paraId="541421C4"/>
    <w:p w14:paraId="7EEA8097"/>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A3D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0B8B37A">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37F8BD5">
            <w:pPr>
              <w:spacing w:line="320" w:lineRule="exact"/>
              <w:rPr>
                <w:rFonts w:eastAsia="仿宋_GB2312"/>
                <w:b/>
                <w:bCs/>
                <w:color w:val="000000"/>
                <w:kern w:val="0"/>
                <w:sz w:val="18"/>
                <w:szCs w:val="18"/>
              </w:rPr>
            </w:pPr>
            <w:r>
              <w:rPr>
                <w:rFonts w:eastAsia="仿宋_GB2312"/>
                <w:b/>
                <w:bCs/>
                <w:color w:val="000000"/>
                <w:kern w:val="0"/>
                <w:sz w:val="18"/>
                <w:szCs w:val="18"/>
              </w:rPr>
              <w:t>320217806000</w:t>
            </w:r>
          </w:p>
        </w:tc>
      </w:tr>
      <w:tr w14:paraId="6C9E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4AB3C5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48BA252C">
            <w:pPr>
              <w:spacing w:line="320" w:lineRule="exact"/>
              <w:jc w:val="left"/>
              <w:rPr>
                <w:color w:val="000000"/>
                <w:spacing w:val="-6"/>
                <w:kern w:val="0"/>
                <w:sz w:val="18"/>
                <w:szCs w:val="18"/>
              </w:rPr>
            </w:pPr>
            <w:r>
              <w:rPr>
                <w:rFonts w:hint="eastAsia"/>
                <w:color w:val="000000"/>
                <w:spacing w:val="-6"/>
                <w:kern w:val="0"/>
                <w:sz w:val="18"/>
                <w:szCs w:val="18"/>
              </w:rPr>
              <w:t>对检测机构未建立并使用信息化管理系统对检测活动进行管理的处罚</w:t>
            </w:r>
          </w:p>
        </w:tc>
      </w:tr>
      <w:tr w14:paraId="1E3C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5B16112">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1118BCFE">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691E4273">
            <w:pPr>
              <w:spacing w:line="320" w:lineRule="exact"/>
              <w:jc w:val="left"/>
              <w:rPr>
                <w:color w:val="000000"/>
                <w:kern w:val="0"/>
                <w:sz w:val="18"/>
                <w:szCs w:val="18"/>
              </w:rPr>
            </w:pPr>
            <w:r>
              <w:rPr>
                <w:rFonts w:hint="eastAsia"/>
                <w:color w:val="000000"/>
                <w:kern w:val="0"/>
                <w:sz w:val="18"/>
                <w:szCs w:val="18"/>
              </w:rPr>
              <w:t>　   第二十七条　检测机构应当建立信息化管理系统，对检测业务受理、检测数据采集、检测信息上传、检测报告出具、检测档案管理等活动进行信息化管理，保证建设工程质量检测活动全过程可追溯。</w:t>
            </w:r>
          </w:p>
          <w:p w14:paraId="3E71741E">
            <w:pPr>
              <w:spacing w:line="320" w:lineRule="exact"/>
              <w:jc w:val="left"/>
              <w:rPr>
                <w:color w:val="000000"/>
                <w:kern w:val="0"/>
                <w:sz w:val="18"/>
                <w:szCs w:val="18"/>
              </w:rPr>
            </w:pPr>
            <w:r>
              <w:rPr>
                <w:rFonts w:hint="eastAsia"/>
                <w:color w:val="000000"/>
                <w:kern w:val="0"/>
                <w:sz w:val="18"/>
                <w:szCs w:val="18"/>
              </w:rPr>
              <w:t xml:space="preserve">      第四十五条　检测机构违反本办法规定，有下列行为之一的，由县级以上地方人民政府住房和城乡建设主管部门责令改正，处1万元以上5万元以下罚款：</w:t>
            </w:r>
          </w:p>
          <w:p w14:paraId="51D7A8C2">
            <w:pPr>
              <w:spacing w:line="320" w:lineRule="exact"/>
              <w:jc w:val="left"/>
              <w:rPr>
                <w:color w:val="000000"/>
                <w:kern w:val="0"/>
                <w:sz w:val="18"/>
                <w:szCs w:val="18"/>
              </w:rPr>
            </w:pPr>
            <w:r>
              <w:rPr>
                <w:rFonts w:hint="eastAsia"/>
                <w:color w:val="000000"/>
                <w:kern w:val="0"/>
                <w:sz w:val="18"/>
                <w:szCs w:val="18"/>
              </w:rPr>
              <w:t>　　（七）未建立并使用信息化管理系统对检测活动进行管理的；</w:t>
            </w:r>
          </w:p>
          <w:p w14:paraId="49B728C9">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5360E662">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286A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841592C">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87F75F2">
            <w:pPr>
              <w:spacing w:line="320" w:lineRule="exact"/>
              <w:jc w:val="left"/>
              <w:rPr>
                <w:color w:val="000000"/>
                <w:kern w:val="0"/>
                <w:sz w:val="18"/>
                <w:szCs w:val="18"/>
              </w:rPr>
            </w:pPr>
            <w:r>
              <w:rPr>
                <w:rFonts w:hint="eastAsia"/>
                <w:color w:val="000000"/>
                <w:kern w:val="0"/>
                <w:sz w:val="18"/>
                <w:szCs w:val="18"/>
              </w:rPr>
              <w:t>责令改正，罚款，没收违法所得</w:t>
            </w:r>
          </w:p>
        </w:tc>
      </w:tr>
      <w:tr w14:paraId="31E4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E9F80B9">
            <w:pPr>
              <w:spacing w:line="320" w:lineRule="exact"/>
              <w:jc w:val="center"/>
              <w:rPr>
                <w:color w:val="000000"/>
                <w:kern w:val="0"/>
                <w:sz w:val="18"/>
                <w:szCs w:val="18"/>
              </w:rPr>
            </w:pPr>
            <w:r>
              <w:rPr>
                <w:rFonts w:hint="eastAsia"/>
                <w:color w:val="000000"/>
                <w:kern w:val="0"/>
                <w:sz w:val="18"/>
                <w:szCs w:val="18"/>
              </w:rPr>
              <w:t>裁量基准</w:t>
            </w:r>
          </w:p>
        </w:tc>
      </w:tr>
      <w:tr w14:paraId="3844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37A23860">
            <w:pPr>
              <w:rPr>
                <w:color w:val="000000"/>
                <w:kern w:val="0"/>
                <w:sz w:val="18"/>
                <w:szCs w:val="18"/>
              </w:rPr>
            </w:pPr>
            <w:r>
              <w:rPr>
                <w:rFonts w:hint="eastAsia"/>
                <w:color w:val="000000"/>
                <w:kern w:val="0"/>
                <w:sz w:val="18"/>
                <w:szCs w:val="18"/>
              </w:rPr>
              <w:t>情形描述</w:t>
            </w:r>
          </w:p>
        </w:tc>
        <w:tc>
          <w:tcPr>
            <w:tcW w:w="6376" w:type="dxa"/>
            <w:vAlign w:val="center"/>
          </w:tcPr>
          <w:p w14:paraId="49861B92">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272391C0">
            <w:pPr>
              <w:rPr>
                <w:color w:val="000000"/>
                <w:kern w:val="0"/>
                <w:sz w:val="18"/>
                <w:szCs w:val="18"/>
              </w:rPr>
            </w:pPr>
            <w:r>
              <w:rPr>
                <w:rFonts w:hint="eastAsia"/>
                <w:color w:val="000000"/>
                <w:kern w:val="0"/>
                <w:sz w:val="18"/>
                <w:szCs w:val="18"/>
              </w:rPr>
              <w:t>裁量幅度</w:t>
            </w:r>
          </w:p>
        </w:tc>
        <w:tc>
          <w:tcPr>
            <w:tcW w:w="5614" w:type="dxa"/>
            <w:vAlign w:val="center"/>
          </w:tcPr>
          <w:p w14:paraId="39558B25">
            <w:pPr>
              <w:rPr>
                <w:color w:val="000000"/>
                <w:kern w:val="0"/>
                <w:sz w:val="18"/>
                <w:szCs w:val="18"/>
              </w:rPr>
            </w:pPr>
            <w:r>
              <w:rPr>
                <w:rFonts w:hint="eastAsia"/>
                <w:color w:val="000000"/>
                <w:kern w:val="0"/>
                <w:sz w:val="18"/>
                <w:szCs w:val="18"/>
              </w:rPr>
              <w:t>处1万元以上3万元以下罚款</w:t>
            </w:r>
          </w:p>
          <w:p w14:paraId="7A762558">
            <w:pPr>
              <w:rPr>
                <w:color w:val="000000"/>
                <w:kern w:val="0"/>
                <w:sz w:val="18"/>
                <w:szCs w:val="18"/>
              </w:rPr>
            </w:pPr>
            <w:r>
              <w:rPr>
                <w:rFonts w:hint="eastAsia"/>
                <w:color w:val="000000"/>
                <w:kern w:val="0"/>
                <w:sz w:val="18"/>
                <w:szCs w:val="18"/>
              </w:rPr>
              <w:t>对单位直接负责的主管人员和其他直接责任人员处2万元以下罚款。</w:t>
            </w:r>
          </w:p>
        </w:tc>
      </w:tr>
      <w:tr w14:paraId="718E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7DB0ADD2">
            <w:pPr>
              <w:spacing w:line="320" w:lineRule="exact"/>
              <w:jc w:val="left"/>
              <w:rPr>
                <w:color w:val="000000"/>
                <w:kern w:val="0"/>
                <w:sz w:val="18"/>
                <w:szCs w:val="18"/>
              </w:rPr>
            </w:pPr>
          </w:p>
        </w:tc>
        <w:tc>
          <w:tcPr>
            <w:tcW w:w="6376" w:type="dxa"/>
            <w:vAlign w:val="center"/>
          </w:tcPr>
          <w:p w14:paraId="36EA6C81">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17931761">
            <w:pPr>
              <w:spacing w:line="320" w:lineRule="exact"/>
              <w:jc w:val="left"/>
              <w:rPr>
                <w:color w:val="000000"/>
                <w:kern w:val="0"/>
                <w:sz w:val="18"/>
                <w:szCs w:val="18"/>
              </w:rPr>
            </w:pPr>
          </w:p>
        </w:tc>
        <w:tc>
          <w:tcPr>
            <w:tcW w:w="5614" w:type="dxa"/>
            <w:vAlign w:val="center"/>
          </w:tcPr>
          <w:p w14:paraId="1DD45DAC">
            <w:pPr>
              <w:rPr>
                <w:color w:val="000000"/>
                <w:kern w:val="0"/>
                <w:sz w:val="18"/>
                <w:szCs w:val="18"/>
              </w:rPr>
            </w:pPr>
            <w:r>
              <w:rPr>
                <w:rFonts w:hint="eastAsia"/>
                <w:color w:val="000000"/>
                <w:kern w:val="0"/>
                <w:sz w:val="18"/>
                <w:szCs w:val="18"/>
              </w:rPr>
              <w:t>处3万元以上5万元以下罚款</w:t>
            </w:r>
          </w:p>
          <w:p w14:paraId="167F36E6">
            <w:pPr>
              <w:rPr>
                <w:color w:val="000000"/>
                <w:kern w:val="0"/>
                <w:sz w:val="18"/>
                <w:szCs w:val="18"/>
              </w:rPr>
            </w:pPr>
            <w:r>
              <w:rPr>
                <w:rFonts w:hint="eastAsia"/>
                <w:color w:val="000000"/>
                <w:kern w:val="0"/>
                <w:sz w:val="18"/>
                <w:szCs w:val="18"/>
              </w:rPr>
              <w:t>对单位直接负责的主管人员和其他直接责任人员处2万元以上3万元以下罚款。</w:t>
            </w:r>
          </w:p>
        </w:tc>
      </w:tr>
    </w:tbl>
    <w:p w14:paraId="071C1C2B"/>
    <w:p w14:paraId="035A867C"/>
    <w:p w14:paraId="67779DDD"/>
    <w:p w14:paraId="60F5E8E6"/>
    <w:p w14:paraId="3CDE9D6F"/>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05E9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C2D50E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DA6C240">
            <w:pPr>
              <w:spacing w:line="320" w:lineRule="exact"/>
              <w:rPr>
                <w:rFonts w:eastAsia="仿宋_GB2312"/>
                <w:b/>
                <w:bCs/>
                <w:color w:val="000000"/>
                <w:kern w:val="0"/>
                <w:sz w:val="18"/>
                <w:szCs w:val="18"/>
              </w:rPr>
            </w:pPr>
            <w:r>
              <w:rPr>
                <w:rFonts w:eastAsia="仿宋_GB2312"/>
                <w:b/>
                <w:bCs/>
                <w:color w:val="000000"/>
                <w:kern w:val="0"/>
                <w:sz w:val="18"/>
                <w:szCs w:val="18"/>
              </w:rPr>
              <w:t>320217807000</w:t>
            </w:r>
          </w:p>
        </w:tc>
      </w:tr>
      <w:tr w14:paraId="58E8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237B146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62BA81D">
            <w:pPr>
              <w:spacing w:line="320" w:lineRule="exact"/>
              <w:jc w:val="left"/>
              <w:rPr>
                <w:color w:val="000000"/>
                <w:spacing w:val="-6"/>
                <w:kern w:val="0"/>
                <w:sz w:val="18"/>
                <w:szCs w:val="18"/>
              </w:rPr>
            </w:pPr>
            <w:r>
              <w:rPr>
                <w:rFonts w:hint="eastAsia"/>
                <w:color w:val="000000"/>
                <w:spacing w:val="-6"/>
                <w:kern w:val="0"/>
                <w:sz w:val="18"/>
                <w:szCs w:val="18"/>
              </w:rPr>
              <w:t>对检测机构未及时报告涉及结构安全、主要使用功能的不合格检测结果的的处罚</w:t>
            </w:r>
          </w:p>
        </w:tc>
      </w:tr>
      <w:tr w14:paraId="3147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14E548D">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E878DC9">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7044F241">
            <w:pPr>
              <w:spacing w:line="320" w:lineRule="exact"/>
              <w:jc w:val="left"/>
              <w:rPr>
                <w:color w:val="000000"/>
                <w:kern w:val="0"/>
                <w:sz w:val="18"/>
                <w:szCs w:val="18"/>
              </w:rPr>
            </w:pPr>
            <w:r>
              <w:rPr>
                <w:rFonts w:hint="eastAsia"/>
                <w:color w:val="000000"/>
                <w:kern w:val="0"/>
                <w:sz w:val="18"/>
                <w:szCs w:val="18"/>
              </w:rPr>
              <w:t>　　第二十四条　检测机构在检测过程中发现建设、施工、监理单位存在违反有关法律法规规定和工程建设强制性标准等行为，以及检测项目涉及结构安全、主要使用功能检测结果不合格的，应当及时报告建设工程所在地县级以上地方人民政府住房和城乡建设主管部门。</w:t>
            </w:r>
          </w:p>
          <w:p w14:paraId="0E695A7F">
            <w:pPr>
              <w:spacing w:line="320" w:lineRule="exact"/>
              <w:jc w:val="left"/>
              <w:rPr>
                <w:color w:val="000000"/>
                <w:kern w:val="0"/>
                <w:sz w:val="18"/>
                <w:szCs w:val="18"/>
              </w:rPr>
            </w:pPr>
            <w:r>
              <w:rPr>
                <w:rFonts w:hint="eastAsia"/>
                <w:color w:val="000000"/>
                <w:kern w:val="0"/>
                <w:sz w:val="18"/>
                <w:szCs w:val="18"/>
              </w:rPr>
              <w:t xml:space="preserve">      第四十五条　检测机构违反本办法规定，有下列行为之一的，由县级以上地方人民政府住房和城乡建设主管部门责令改正，处1万元以上5万元以下罚款：</w:t>
            </w:r>
          </w:p>
          <w:p w14:paraId="64C88F8E">
            <w:pPr>
              <w:spacing w:line="320" w:lineRule="exact"/>
              <w:jc w:val="left"/>
              <w:rPr>
                <w:color w:val="000000"/>
                <w:kern w:val="0"/>
                <w:sz w:val="18"/>
                <w:szCs w:val="18"/>
              </w:rPr>
            </w:pPr>
            <w:r>
              <w:rPr>
                <w:rFonts w:hint="eastAsia"/>
                <w:color w:val="000000"/>
                <w:kern w:val="0"/>
                <w:sz w:val="18"/>
                <w:szCs w:val="18"/>
              </w:rPr>
              <w:t>　　　（五）未及时报告涉及结构安全、主要使用功能的不合格检测结果的；</w:t>
            </w:r>
          </w:p>
          <w:p w14:paraId="17E244AD">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7578A77E">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2B20B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C58C3A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66980CD">
            <w:pPr>
              <w:spacing w:line="320" w:lineRule="exact"/>
              <w:jc w:val="left"/>
              <w:rPr>
                <w:color w:val="000000"/>
                <w:kern w:val="0"/>
                <w:sz w:val="18"/>
                <w:szCs w:val="18"/>
              </w:rPr>
            </w:pPr>
            <w:r>
              <w:rPr>
                <w:rFonts w:hint="eastAsia"/>
                <w:color w:val="000000"/>
                <w:kern w:val="0"/>
                <w:sz w:val="18"/>
                <w:szCs w:val="18"/>
              </w:rPr>
              <w:t>责令改正，罚款，没收违法所得</w:t>
            </w:r>
          </w:p>
        </w:tc>
      </w:tr>
      <w:tr w14:paraId="2A1F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2C8AE475">
            <w:pPr>
              <w:spacing w:line="320" w:lineRule="exact"/>
              <w:jc w:val="center"/>
              <w:rPr>
                <w:color w:val="000000"/>
                <w:kern w:val="0"/>
                <w:sz w:val="18"/>
                <w:szCs w:val="18"/>
              </w:rPr>
            </w:pPr>
            <w:r>
              <w:rPr>
                <w:rFonts w:hint="eastAsia"/>
                <w:color w:val="000000"/>
                <w:kern w:val="0"/>
                <w:sz w:val="18"/>
                <w:szCs w:val="18"/>
              </w:rPr>
              <w:t>裁量基准</w:t>
            </w:r>
          </w:p>
        </w:tc>
      </w:tr>
      <w:tr w14:paraId="3731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0744F952">
            <w:pPr>
              <w:rPr>
                <w:color w:val="000000"/>
                <w:kern w:val="0"/>
                <w:sz w:val="18"/>
                <w:szCs w:val="18"/>
              </w:rPr>
            </w:pPr>
            <w:r>
              <w:rPr>
                <w:rFonts w:hint="eastAsia"/>
                <w:color w:val="000000"/>
                <w:kern w:val="0"/>
                <w:sz w:val="18"/>
                <w:szCs w:val="18"/>
              </w:rPr>
              <w:t>情形描述</w:t>
            </w:r>
          </w:p>
        </w:tc>
        <w:tc>
          <w:tcPr>
            <w:tcW w:w="6376" w:type="dxa"/>
            <w:vAlign w:val="center"/>
          </w:tcPr>
          <w:p w14:paraId="544BF2F7">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4FD81F8A">
            <w:pPr>
              <w:rPr>
                <w:color w:val="000000"/>
                <w:kern w:val="0"/>
                <w:sz w:val="18"/>
                <w:szCs w:val="18"/>
              </w:rPr>
            </w:pPr>
            <w:r>
              <w:rPr>
                <w:rFonts w:hint="eastAsia"/>
                <w:color w:val="000000"/>
                <w:kern w:val="0"/>
                <w:sz w:val="18"/>
                <w:szCs w:val="18"/>
              </w:rPr>
              <w:t>裁量幅度</w:t>
            </w:r>
          </w:p>
        </w:tc>
        <w:tc>
          <w:tcPr>
            <w:tcW w:w="5614" w:type="dxa"/>
            <w:vAlign w:val="center"/>
          </w:tcPr>
          <w:p w14:paraId="51E28C97">
            <w:pPr>
              <w:rPr>
                <w:color w:val="000000"/>
                <w:kern w:val="0"/>
                <w:sz w:val="18"/>
                <w:szCs w:val="18"/>
              </w:rPr>
            </w:pPr>
            <w:r>
              <w:rPr>
                <w:rFonts w:hint="eastAsia"/>
                <w:color w:val="000000"/>
                <w:kern w:val="0"/>
                <w:sz w:val="18"/>
                <w:szCs w:val="18"/>
              </w:rPr>
              <w:t>处1万元以上3万元以下罚款</w:t>
            </w:r>
          </w:p>
          <w:p w14:paraId="603BE853">
            <w:pPr>
              <w:rPr>
                <w:color w:val="000000"/>
                <w:kern w:val="0"/>
                <w:sz w:val="18"/>
                <w:szCs w:val="18"/>
              </w:rPr>
            </w:pPr>
            <w:r>
              <w:rPr>
                <w:rFonts w:hint="eastAsia"/>
                <w:color w:val="000000"/>
                <w:kern w:val="0"/>
                <w:sz w:val="18"/>
                <w:szCs w:val="18"/>
              </w:rPr>
              <w:t>对单位直接负责的主管人员和其他直接责任人员处2万元以下罚款。</w:t>
            </w:r>
          </w:p>
        </w:tc>
      </w:tr>
      <w:tr w14:paraId="0E87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7C3B6AC4">
            <w:pPr>
              <w:spacing w:line="320" w:lineRule="exact"/>
              <w:jc w:val="left"/>
              <w:rPr>
                <w:color w:val="000000"/>
                <w:kern w:val="0"/>
                <w:sz w:val="18"/>
                <w:szCs w:val="18"/>
              </w:rPr>
            </w:pPr>
          </w:p>
        </w:tc>
        <w:tc>
          <w:tcPr>
            <w:tcW w:w="6376" w:type="dxa"/>
            <w:vAlign w:val="center"/>
          </w:tcPr>
          <w:p w14:paraId="674AE6A6">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6D65C3BD">
            <w:pPr>
              <w:spacing w:line="320" w:lineRule="exact"/>
              <w:jc w:val="left"/>
              <w:rPr>
                <w:color w:val="000000"/>
                <w:kern w:val="0"/>
                <w:sz w:val="18"/>
                <w:szCs w:val="18"/>
              </w:rPr>
            </w:pPr>
          </w:p>
        </w:tc>
        <w:tc>
          <w:tcPr>
            <w:tcW w:w="5614" w:type="dxa"/>
            <w:vAlign w:val="center"/>
          </w:tcPr>
          <w:p w14:paraId="0AA27401">
            <w:pPr>
              <w:rPr>
                <w:color w:val="000000"/>
                <w:kern w:val="0"/>
                <w:sz w:val="18"/>
                <w:szCs w:val="18"/>
              </w:rPr>
            </w:pPr>
            <w:r>
              <w:rPr>
                <w:rFonts w:hint="eastAsia"/>
                <w:color w:val="000000"/>
                <w:kern w:val="0"/>
                <w:sz w:val="18"/>
                <w:szCs w:val="18"/>
              </w:rPr>
              <w:t>处3万元以上5万元以下罚款</w:t>
            </w:r>
          </w:p>
          <w:p w14:paraId="719A6ACA">
            <w:pPr>
              <w:rPr>
                <w:color w:val="000000"/>
                <w:kern w:val="0"/>
                <w:sz w:val="18"/>
                <w:szCs w:val="18"/>
              </w:rPr>
            </w:pPr>
            <w:r>
              <w:rPr>
                <w:rFonts w:hint="eastAsia"/>
                <w:color w:val="000000"/>
                <w:kern w:val="0"/>
                <w:sz w:val="18"/>
                <w:szCs w:val="18"/>
              </w:rPr>
              <w:t>对单位直接负责的主管人员和其他直接责任人员处2万元以上3万元以下罚款。</w:t>
            </w:r>
          </w:p>
        </w:tc>
      </w:tr>
    </w:tbl>
    <w:p w14:paraId="25C8790A"/>
    <w:p w14:paraId="72CEB45A"/>
    <w:p w14:paraId="30F1E9FA"/>
    <w:p w14:paraId="72434669"/>
    <w:p w14:paraId="5D1EF4A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6F9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85E3DC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E40A41F">
            <w:pPr>
              <w:spacing w:line="320" w:lineRule="exact"/>
              <w:rPr>
                <w:rFonts w:eastAsia="仿宋_GB2312"/>
                <w:b/>
                <w:bCs/>
                <w:color w:val="000000"/>
                <w:kern w:val="0"/>
                <w:sz w:val="18"/>
                <w:szCs w:val="18"/>
              </w:rPr>
            </w:pPr>
            <w:r>
              <w:rPr>
                <w:rFonts w:eastAsia="仿宋_GB2312"/>
                <w:b/>
                <w:bCs/>
                <w:color w:val="000000"/>
                <w:kern w:val="0"/>
                <w:sz w:val="18"/>
                <w:szCs w:val="18"/>
              </w:rPr>
              <w:t>320217809000</w:t>
            </w:r>
          </w:p>
        </w:tc>
      </w:tr>
      <w:tr w14:paraId="0730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1D0988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F4FABC2">
            <w:pPr>
              <w:spacing w:line="320" w:lineRule="exact"/>
              <w:jc w:val="left"/>
              <w:rPr>
                <w:color w:val="000000"/>
                <w:spacing w:val="-6"/>
                <w:kern w:val="0"/>
                <w:sz w:val="18"/>
                <w:szCs w:val="18"/>
              </w:rPr>
            </w:pPr>
            <w:r>
              <w:rPr>
                <w:rFonts w:hint="eastAsia"/>
                <w:color w:val="000000"/>
                <w:spacing w:val="-6"/>
                <w:kern w:val="0"/>
                <w:sz w:val="18"/>
                <w:szCs w:val="18"/>
              </w:rPr>
              <w:t>对检测机构推荐或者监制建筑材料、建筑构配件和设备的处罚</w:t>
            </w:r>
          </w:p>
        </w:tc>
      </w:tr>
      <w:tr w14:paraId="35B9D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EFC966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66E7CDB">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226C2C2F">
            <w:pPr>
              <w:spacing w:line="320" w:lineRule="exact"/>
              <w:jc w:val="left"/>
              <w:rPr>
                <w:color w:val="000000"/>
                <w:kern w:val="0"/>
                <w:sz w:val="18"/>
                <w:szCs w:val="18"/>
              </w:rPr>
            </w:pPr>
            <w:r>
              <w:rPr>
                <w:rFonts w:hint="eastAsia"/>
                <w:color w:val="000000"/>
                <w:kern w:val="0"/>
                <w:sz w:val="18"/>
                <w:szCs w:val="18"/>
              </w:rPr>
              <w:t>　  第十五条第二款  检测机构及其工作人员不得推荐或者监制建筑材料、建筑构配件和设备。</w:t>
            </w:r>
          </w:p>
          <w:p w14:paraId="5E1974DA">
            <w:pPr>
              <w:spacing w:line="320" w:lineRule="exact"/>
              <w:jc w:val="left"/>
              <w:rPr>
                <w:color w:val="000000"/>
                <w:kern w:val="0"/>
                <w:sz w:val="18"/>
                <w:szCs w:val="18"/>
              </w:rPr>
            </w:pPr>
            <w:r>
              <w:rPr>
                <w:rFonts w:hint="eastAsia"/>
                <w:color w:val="000000"/>
                <w:kern w:val="0"/>
                <w:sz w:val="18"/>
                <w:szCs w:val="18"/>
              </w:rPr>
              <w:t xml:space="preserve">      第四十五条　检测机构违反本办法规定，有下列行为之一的，由县级以上地方人民政府住房和城乡建设主管部门责令改正，处1万元以上5万元以下罚款：</w:t>
            </w:r>
          </w:p>
          <w:p w14:paraId="36D6EBF8">
            <w:pPr>
              <w:spacing w:line="320" w:lineRule="exact"/>
              <w:jc w:val="left"/>
              <w:rPr>
                <w:color w:val="000000"/>
                <w:kern w:val="0"/>
                <w:sz w:val="18"/>
                <w:szCs w:val="18"/>
              </w:rPr>
            </w:pPr>
            <w:r>
              <w:rPr>
                <w:rFonts w:hint="eastAsia"/>
                <w:color w:val="000000"/>
                <w:kern w:val="0"/>
                <w:sz w:val="18"/>
                <w:szCs w:val="18"/>
              </w:rPr>
              <w:t>　　　（二）推荐或者监制建筑材料、建筑构配件和设备的；</w:t>
            </w:r>
          </w:p>
          <w:p w14:paraId="5595025D">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459FA3F1">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47B1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435522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AFBE668">
            <w:pPr>
              <w:spacing w:line="320" w:lineRule="exact"/>
              <w:jc w:val="left"/>
              <w:rPr>
                <w:color w:val="000000"/>
                <w:kern w:val="0"/>
                <w:sz w:val="18"/>
                <w:szCs w:val="18"/>
              </w:rPr>
            </w:pPr>
            <w:r>
              <w:rPr>
                <w:rFonts w:hint="eastAsia"/>
                <w:color w:val="000000"/>
                <w:kern w:val="0"/>
                <w:sz w:val="18"/>
                <w:szCs w:val="18"/>
              </w:rPr>
              <w:t>责令改正，罚款，没收违法所得</w:t>
            </w:r>
          </w:p>
        </w:tc>
      </w:tr>
      <w:tr w14:paraId="20DB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22495DAD">
            <w:pPr>
              <w:spacing w:line="320" w:lineRule="exact"/>
              <w:jc w:val="center"/>
              <w:rPr>
                <w:color w:val="000000"/>
                <w:kern w:val="0"/>
                <w:sz w:val="18"/>
                <w:szCs w:val="18"/>
              </w:rPr>
            </w:pPr>
            <w:r>
              <w:rPr>
                <w:rFonts w:hint="eastAsia"/>
                <w:color w:val="000000"/>
                <w:kern w:val="0"/>
                <w:sz w:val="18"/>
                <w:szCs w:val="18"/>
              </w:rPr>
              <w:t>裁量基准</w:t>
            </w:r>
          </w:p>
        </w:tc>
      </w:tr>
      <w:tr w14:paraId="0D11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0C90C506">
            <w:pPr>
              <w:rPr>
                <w:color w:val="000000"/>
                <w:kern w:val="0"/>
                <w:sz w:val="18"/>
                <w:szCs w:val="18"/>
              </w:rPr>
            </w:pPr>
            <w:r>
              <w:rPr>
                <w:rFonts w:hint="eastAsia"/>
                <w:color w:val="000000"/>
                <w:kern w:val="0"/>
                <w:sz w:val="18"/>
                <w:szCs w:val="18"/>
              </w:rPr>
              <w:t>情形描述</w:t>
            </w:r>
          </w:p>
        </w:tc>
        <w:tc>
          <w:tcPr>
            <w:tcW w:w="6376" w:type="dxa"/>
            <w:vAlign w:val="center"/>
          </w:tcPr>
          <w:p w14:paraId="22B834CD">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66B644F0">
            <w:pPr>
              <w:rPr>
                <w:color w:val="000000"/>
                <w:kern w:val="0"/>
                <w:sz w:val="18"/>
                <w:szCs w:val="18"/>
              </w:rPr>
            </w:pPr>
            <w:r>
              <w:rPr>
                <w:rFonts w:hint="eastAsia"/>
                <w:color w:val="000000"/>
                <w:kern w:val="0"/>
                <w:sz w:val="18"/>
                <w:szCs w:val="18"/>
              </w:rPr>
              <w:t>裁量幅度</w:t>
            </w:r>
          </w:p>
        </w:tc>
        <w:tc>
          <w:tcPr>
            <w:tcW w:w="5614" w:type="dxa"/>
            <w:vAlign w:val="center"/>
          </w:tcPr>
          <w:p w14:paraId="0EE4912B">
            <w:pPr>
              <w:rPr>
                <w:color w:val="000000"/>
                <w:kern w:val="0"/>
                <w:sz w:val="18"/>
                <w:szCs w:val="18"/>
              </w:rPr>
            </w:pPr>
            <w:r>
              <w:rPr>
                <w:rFonts w:hint="eastAsia"/>
                <w:color w:val="000000"/>
                <w:kern w:val="0"/>
                <w:sz w:val="18"/>
                <w:szCs w:val="18"/>
              </w:rPr>
              <w:t>处1万元以上3万元以下罚款</w:t>
            </w:r>
          </w:p>
          <w:p w14:paraId="04AFB6DD">
            <w:pPr>
              <w:rPr>
                <w:color w:val="000000"/>
                <w:kern w:val="0"/>
                <w:sz w:val="18"/>
                <w:szCs w:val="18"/>
              </w:rPr>
            </w:pPr>
            <w:r>
              <w:rPr>
                <w:rFonts w:hint="eastAsia"/>
                <w:color w:val="000000"/>
                <w:kern w:val="0"/>
                <w:sz w:val="18"/>
                <w:szCs w:val="18"/>
              </w:rPr>
              <w:t>对单位直接负责的主管人员和其他直接责任人员处2万元以下罚款。</w:t>
            </w:r>
          </w:p>
        </w:tc>
      </w:tr>
      <w:tr w14:paraId="5C7E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48942138">
            <w:pPr>
              <w:spacing w:line="320" w:lineRule="exact"/>
              <w:jc w:val="left"/>
              <w:rPr>
                <w:color w:val="000000"/>
                <w:kern w:val="0"/>
                <w:sz w:val="18"/>
                <w:szCs w:val="18"/>
              </w:rPr>
            </w:pPr>
          </w:p>
        </w:tc>
        <w:tc>
          <w:tcPr>
            <w:tcW w:w="6376" w:type="dxa"/>
            <w:vAlign w:val="center"/>
          </w:tcPr>
          <w:p w14:paraId="792C96DC">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0EDA3E61">
            <w:pPr>
              <w:spacing w:line="320" w:lineRule="exact"/>
              <w:jc w:val="left"/>
              <w:rPr>
                <w:color w:val="000000"/>
                <w:kern w:val="0"/>
                <w:sz w:val="18"/>
                <w:szCs w:val="18"/>
              </w:rPr>
            </w:pPr>
          </w:p>
        </w:tc>
        <w:tc>
          <w:tcPr>
            <w:tcW w:w="5614" w:type="dxa"/>
            <w:vAlign w:val="center"/>
          </w:tcPr>
          <w:p w14:paraId="2FC58CA6">
            <w:pPr>
              <w:rPr>
                <w:color w:val="000000"/>
                <w:kern w:val="0"/>
                <w:sz w:val="18"/>
                <w:szCs w:val="18"/>
              </w:rPr>
            </w:pPr>
            <w:r>
              <w:rPr>
                <w:rFonts w:hint="eastAsia"/>
                <w:color w:val="000000"/>
                <w:kern w:val="0"/>
                <w:sz w:val="18"/>
                <w:szCs w:val="18"/>
              </w:rPr>
              <w:t>处3万元以上5万元以下罚款</w:t>
            </w:r>
          </w:p>
          <w:p w14:paraId="03E10BF5">
            <w:pPr>
              <w:rPr>
                <w:color w:val="000000"/>
                <w:kern w:val="0"/>
                <w:sz w:val="18"/>
                <w:szCs w:val="18"/>
              </w:rPr>
            </w:pPr>
            <w:r>
              <w:rPr>
                <w:rFonts w:hint="eastAsia"/>
                <w:color w:val="000000"/>
                <w:kern w:val="0"/>
                <w:sz w:val="18"/>
                <w:szCs w:val="18"/>
              </w:rPr>
              <w:t>对单位直接负责的主管人员和其他直接责任人员处2万元以上3万元以下罚款。</w:t>
            </w:r>
          </w:p>
        </w:tc>
      </w:tr>
    </w:tbl>
    <w:p w14:paraId="11E1FC63"/>
    <w:p w14:paraId="389456A6"/>
    <w:p w14:paraId="34608698"/>
    <w:p w14:paraId="2DADFF83"/>
    <w:p w14:paraId="00980363"/>
    <w:p w14:paraId="6CB747B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5441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3465EBA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26DD4D5">
            <w:pPr>
              <w:spacing w:line="320" w:lineRule="exact"/>
              <w:rPr>
                <w:rFonts w:eastAsia="仿宋_GB2312"/>
                <w:b/>
                <w:bCs/>
                <w:color w:val="000000"/>
                <w:kern w:val="0"/>
                <w:sz w:val="18"/>
                <w:szCs w:val="18"/>
              </w:rPr>
            </w:pPr>
            <w:r>
              <w:rPr>
                <w:rFonts w:eastAsia="仿宋_GB2312"/>
                <w:b/>
                <w:bCs/>
                <w:color w:val="000000"/>
                <w:kern w:val="0"/>
                <w:sz w:val="18"/>
                <w:szCs w:val="18"/>
              </w:rPr>
              <w:t>320217810000</w:t>
            </w:r>
          </w:p>
        </w:tc>
      </w:tr>
      <w:tr w14:paraId="37624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3A29361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7D90EE4">
            <w:pPr>
              <w:spacing w:line="320" w:lineRule="exact"/>
              <w:jc w:val="left"/>
              <w:rPr>
                <w:color w:val="000000"/>
                <w:spacing w:val="-6"/>
                <w:kern w:val="0"/>
                <w:sz w:val="18"/>
                <w:szCs w:val="18"/>
              </w:rPr>
            </w:pPr>
            <w:r>
              <w:rPr>
                <w:rFonts w:hint="eastAsia"/>
                <w:color w:val="000000"/>
                <w:spacing w:val="-6"/>
                <w:kern w:val="0"/>
                <w:sz w:val="18"/>
                <w:szCs w:val="18"/>
              </w:rPr>
              <w:t>对检测机构与所检测建设工程相关的建设、施工、监理单位，以及建筑材料、建筑构配件和设备供应单位有隶属关系或者其他利害关系的处罚</w:t>
            </w:r>
          </w:p>
        </w:tc>
      </w:tr>
      <w:tr w14:paraId="57006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52B8E59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DEB690D">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64B30B58">
            <w:pPr>
              <w:spacing w:line="320" w:lineRule="exact"/>
              <w:jc w:val="left"/>
              <w:rPr>
                <w:color w:val="000000"/>
                <w:kern w:val="0"/>
                <w:sz w:val="18"/>
                <w:szCs w:val="18"/>
              </w:rPr>
            </w:pPr>
            <w:r>
              <w:rPr>
                <w:rFonts w:hint="eastAsia"/>
                <w:color w:val="000000"/>
                <w:kern w:val="0"/>
                <w:sz w:val="18"/>
                <w:szCs w:val="18"/>
              </w:rPr>
              <w:t>　   第十五条第一款 检测机构与所检测建设工程相关的建设、施工、监理单位，以及建筑材料、建筑构配件和设备供应单位不得有隶属关系或者其他利害关系。　</w:t>
            </w:r>
          </w:p>
          <w:p w14:paraId="3A500506">
            <w:pPr>
              <w:spacing w:line="320" w:lineRule="exact"/>
              <w:jc w:val="left"/>
              <w:rPr>
                <w:color w:val="000000"/>
                <w:kern w:val="0"/>
                <w:sz w:val="18"/>
                <w:szCs w:val="18"/>
              </w:rPr>
            </w:pPr>
            <w:r>
              <w:rPr>
                <w:rFonts w:hint="eastAsia"/>
                <w:color w:val="000000"/>
                <w:kern w:val="0"/>
                <w:sz w:val="18"/>
                <w:szCs w:val="18"/>
              </w:rPr>
              <w:t xml:space="preserve">      第四十五条　检测机构违反本办法规定，有下列行为之一的，由县级以上地方人民政府住房和城乡建设主管部门责令改正，处1万元以上5万元以下罚款：</w:t>
            </w:r>
          </w:p>
          <w:p w14:paraId="1090CA4D">
            <w:pPr>
              <w:spacing w:line="320" w:lineRule="exact"/>
              <w:jc w:val="left"/>
              <w:rPr>
                <w:color w:val="000000"/>
                <w:kern w:val="0"/>
                <w:sz w:val="18"/>
                <w:szCs w:val="18"/>
              </w:rPr>
            </w:pPr>
            <w:r>
              <w:rPr>
                <w:rFonts w:hint="eastAsia"/>
                <w:color w:val="000000"/>
                <w:kern w:val="0"/>
                <w:sz w:val="18"/>
                <w:szCs w:val="18"/>
              </w:rPr>
              <w:t>　　（一）与所检测建设工程相关的建设、施工、监理单位，以及建筑材料、建筑构配件和设备供应单位有隶属关系或者其他利害关系的；</w:t>
            </w:r>
          </w:p>
          <w:p w14:paraId="2ECB2195">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5009F688">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36D7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67249EC">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B240541">
            <w:pPr>
              <w:spacing w:line="320" w:lineRule="exact"/>
              <w:jc w:val="left"/>
              <w:rPr>
                <w:color w:val="000000"/>
                <w:kern w:val="0"/>
                <w:sz w:val="18"/>
                <w:szCs w:val="18"/>
              </w:rPr>
            </w:pPr>
            <w:r>
              <w:rPr>
                <w:rFonts w:hint="eastAsia"/>
                <w:color w:val="000000"/>
                <w:kern w:val="0"/>
                <w:sz w:val="18"/>
                <w:szCs w:val="18"/>
              </w:rPr>
              <w:t>责令改正，罚款，没收违法所得</w:t>
            </w:r>
          </w:p>
        </w:tc>
      </w:tr>
      <w:tr w14:paraId="600D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2FBF9475">
            <w:pPr>
              <w:spacing w:line="320" w:lineRule="exact"/>
              <w:jc w:val="center"/>
              <w:rPr>
                <w:color w:val="000000"/>
                <w:kern w:val="0"/>
                <w:sz w:val="18"/>
                <w:szCs w:val="18"/>
              </w:rPr>
            </w:pPr>
            <w:r>
              <w:rPr>
                <w:rFonts w:hint="eastAsia"/>
                <w:color w:val="000000"/>
                <w:kern w:val="0"/>
                <w:sz w:val="18"/>
                <w:szCs w:val="18"/>
              </w:rPr>
              <w:t>裁量基准</w:t>
            </w:r>
          </w:p>
        </w:tc>
      </w:tr>
      <w:tr w14:paraId="23D4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2D05EEF2">
            <w:pPr>
              <w:rPr>
                <w:color w:val="000000"/>
                <w:kern w:val="0"/>
                <w:sz w:val="18"/>
                <w:szCs w:val="18"/>
              </w:rPr>
            </w:pPr>
            <w:r>
              <w:rPr>
                <w:rFonts w:hint="eastAsia"/>
                <w:color w:val="000000"/>
                <w:kern w:val="0"/>
                <w:sz w:val="18"/>
                <w:szCs w:val="18"/>
              </w:rPr>
              <w:t>情形描述</w:t>
            </w:r>
          </w:p>
        </w:tc>
        <w:tc>
          <w:tcPr>
            <w:tcW w:w="6376" w:type="dxa"/>
            <w:vAlign w:val="center"/>
          </w:tcPr>
          <w:p w14:paraId="1E9C771E">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1EFB4462">
            <w:pPr>
              <w:rPr>
                <w:color w:val="000000"/>
                <w:kern w:val="0"/>
                <w:sz w:val="18"/>
                <w:szCs w:val="18"/>
              </w:rPr>
            </w:pPr>
            <w:r>
              <w:rPr>
                <w:rFonts w:hint="eastAsia"/>
                <w:color w:val="000000"/>
                <w:kern w:val="0"/>
                <w:sz w:val="18"/>
                <w:szCs w:val="18"/>
              </w:rPr>
              <w:t>裁量幅度</w:t>
            </w:r>
          </w:p>
        </w:tc>
        <w:tc>
          <w:tcPr>
            <w:tcW w:w="5614" w:type="dxa"/>
            <w:vAlign w:val="center"/>
          </w:tcPr>
          <w:p w14:paraId="6F682BB7">
            <w:pPr>
              <w:rPr>
                <w:color w:val="000000"/>
                <w:kern w:val="0"/>
                <w:sz w:val="18"/>
                <w:szCs w:val="18"/>
              </w:rPr>
            </w:pPr>
            <w:r>
              <w:rPr>
                <w:rFonts w:hint="eastAsia"/>
                <w:color w:val="000000"/>
                <w:kern w:val="0"/>
                <w:sz w:val="18"/>
                <w:szCs w:val="18"/>
              </w:rPr>
              <w:t>处1万元以上3万元以下罚款</w:t>
            </w:r>
          </w:p>
          <w:p w14:paraId="3468A08C">
            <w:pPr>
              <w:rPr>
                <w:color w:val="000000"/>
                <w:kern w:val="0"/>
                <w:sz w:val="18"/>
                <w:szCs w:val="18"/>
              </w:rPr>
            </w:pPr>
            <w:r>
              <w:rPr>
                <w:rFonts w:hint="eastAsia"/>
                <w:color w:val="000000"/>
                <w:kern w:val="0"/>
                <w:sz w:val="18"/>
                <w:szCs w:val="18"/>
              </w:rPr>
              <w:t>对单位直接负责的主管人员和其他直接责任人员处2万元以下罚款。</w:t>
            </w:r>
          </w:p>
        </w:tc>
      </w:tr>
      <w:tr w14:paraId="76DA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205B2FD6">
            <w:pPr>
              <w:spacing w:line="320" w:lineRule="exact"/>
              <w:jc w:val="left"/>
              <w:rPr>
                <w:color w:val="000000"/>
                <w:kern w:val="0"/>
                <w:sz w:val="18"/>
                <w:szCs w:val="18"/>
              </w:rPr>
            </w:pPr>
          </w:p>
        </w:tc>
        <w:tc>
          <w:tcPr>
            <w:tcW w:w="6376" w:type="dxa"/>
            <w:vAlign w:val="center"/>
          </w:tcPr>
          <w:p w14:paraId="4A42737E">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1DE30887">
            <w:pPr>
              <w:spacing w:line="320" w:lineRule="exact"/>
              <w:jc w:val="left"/>
              <w:rPr>
                <w:color w:val="000000"/>
                <w:kern w:val="0"/>
                <w:sz w:val="18"/>
                <w:szCs w:val="18"/>
              </w:rPr>
            </w:pPr>
          </w:p>
        </w:tc>
        <w:tc>
          <w:tcPr>
            <w:tcW w:w="5614" w:type="dxa"/>
            <w:vAlign w:val="center"/>
          </w:tcPr>
          <w:p w14:paraId="4AD1E198">
            <w:pPr>
              <w:rPr>
                <w:color w:val="000000"/>
                <w:kern w:val="0"/>
                <w:sz w:val="18"/>
                <w:szCs w:val="18"/>
              </w:rPr>
            </w:pPr>
            <w:r>
              <w:rPr>
                <w:rFonts w:hint="eastAsia"/>
                <w:color w:val="000000"/>
                <w:kern w:val="0"/>
                <w:sz w:val="18"/>
                <w:szCs w:val="18"/>
              </w:rPr>
              <w:t>处3万元以上5万元以下罚款</w:t>
            </w:r>
          </w:p>
          <w:p w14:paraId="3CD33D18">
            <w:pPr>
              <w:rPr>
                <w:color w:val="000000"/>
                <w:kern w:val="0"/>
                <w:sz w:val="18"/>
                <w:szCs w:val="18"/>
              </w:rPr>
            </w:pPr>
            <w:r>
              <w:rPr>
                <w:rFonts w:hint="eastAsia"/>
                <w:color w:val="000000"/>
                <w:kern w:val="0"/>
                <w:sz w:val="18"/>
                <w:szCs w:val="18"/>
              </w:rPr>
              <w:t>对单位直接负责的主管人员和其他直接责任人员处2万元以上3万元以下罚款。</w:t>
            </w:r>
          </w:p>
        </w:tc>
      </w:tr>
    </w:tbl>
    <w:p w14:paraId="031957F7"/>
    <w:p w14:paraId="054CD8AB"/>
    <w:p w14:paraId="3ADAD003"/>
    <w:p w14:paraId="5E27BCA5"/>
    <w:p w14:paraId="05F1CC5A"/>
    <w:p w14:paraId="04CA2B31"/>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4CB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52BC08B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F84C398">
            <w:pPr>
              <w:spacing w:line="320" w:lineRule="exact"/>
              <w:rPr>
                <w:rFonts w:eastAsia="仿宋_GB2312"/>
                <w:b/>
                <w:bCs/>
                <w:color w:val="000000"/>
                <w:kern w:val="0"/>
                <w:sz w:val="18"/>
                <w:szCs w:val="18"/>
              </w:rPr>
            </w:pPr>
            <w:r>
              <w:rPr>
                <w:rFonts w:eastAsia="仿宋_GB2312"/>
                <w:b/>
                <w:bCs/>
                <w:color w:val="000000"/>
                <w:kern w:val="0"/>
                <w:sz w:val="18"/>
                <w:szCs w:val="18"/>
              </w:rPr>
              <w:t>320217811000</w:t>
            </w:r>
          </w:p>
        </w:tc>
      </w:tr>
      <w:tr w14:paraId="279E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A13B63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9C5EC36">
            <w:pPr>
              <w:spacing w:line="320" w:lineRule="exact"/>
              <w:jc w:val="left"/>
              <w:rPr>
                <w:color w:val="000000"/>
                <w:spacing w:val="-6"/>
                <w:kern w:val="0"/>
                <w:sz w:val="18"/>
                <w:szCs w:val="18"/>
              </w:rPr>
            </w:pPr>
            <w:r>
              <w:rPr>
                <w:rFonts w:hint="eastAsia"/>
                <w:color w:val="000000"/>
                <w:spacing w:val="-6"/>
                <w:kern w:val="0"/>
                <w:sz w:val="18"/>
                <w:szCs w:val="18"/>
              </w:rPr>
              <w:t>对检测人员违反工程建设强制性标准进行结论判定或者出具虚假判定结论的处罚</w:t>
            </w:r>
          </w:p>
        </w:tc>
      </w:tr>
      <w:tr w14:paraId="387B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269F2D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1CC7ACC">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4355279D">
            <w:pPr>
              <w:spacing w:line="320" w:lineRule="exact"/>
              <w:jc w:val="left"/>
              <w:rPr>
                <w:color w:val="000000"/>
                <w:kern w:val="0"/>
                <w:sz w:val="18"/>
                <w:szCs w:val="18"/>
              </w:rPr>
            </w:pPr>
            <w:r>
              <w:rPr>
                <w:rFonts w:hint="eastAsia"/>
                <w:color w:val="000000"/>
                <w:kern w:val="0"/>
                <w:sz w:val="18"/>
                <w:szCs w:val="18"/>
              </w:rPr>
              <w:t xml:space="preserve">      第三十一条　检测人员不得有下列行为：</w:t>
            </w:r>
          </w:p>
          <w:p w14:paraId="53390962">
            <w:pPr>
              <w:spacing w:line="320" w:lineRule="exact"/>
              <w:jc w:val="left"/>
              <w:rPr>
                <w:color w:val="000000"/>
                <w:kern w:val="0"/>
                <w:sz w:val="18"/>
                <w:szCs w:val="18"/>
              </w:rPr>
            </w:pPr>
            <w:r>
              <w:rPr>
                <w:rFonts w:hint="eastAsia"/>
                <w:color w:val="000000"/>
                <w:kern w:val="0"/>
                <w:sz w:val="18"/>
                <w:szCs w:val="18"/>
              </w:rPr>
              <w:t>　（四）违反工程建设强制性标准进行结论判定或者出具虚假判定结论。</w:t>
            </w:r>
          </w:p>
          <w:p w14:paraId="7722DF5C">
            <w:pPr>
              <w:spacing w:line="320" w:lineRule="exact"/>
              <w:jc w:val="left"/>
              <w:rPr>
                <w:color w:val="000000"/>
                <w:kern w:val="0"/>
                <w:sz w:val="18"/>
                <w:szCs w:val="18"/>
              </w:rPr>
            </w:pPr>
            <w:r>
              <w:rPr>
                <w:rFonts w:hint="eastAsia"/>
                <w:color w:val="000000"/>
                <w:kern w:val="0"/>
                <w:sz w:val="18"/>
                <w:szCs w:val="18"/>
              </w:rPr>
              <w:t>　  第四十四条第二款 　检测人员违反本办法规定，有第三十一条行为之一的，由县级以上地方人民政府住房和城乡建设主管部门责令改正，处3万元以下罚款。</w:t>
            </w:r>
          </w:p>
        </w:tc>
      </w:tr>
      <w:tr w14:paraId="21B9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FBDB79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63EF18B">
            <w:pPr>
              <w:spacing w:line="320" w:lineRule="exact"/>
              <w:jc w:val="left"/>
              <w:rPr>
                <w:color w:val="000000"/>
                <w:kern w:val="0"/>
                <w:sz w:val="18"/>
                <w:szCs w:val="18"/>
              </w:rPr>
            </w:pPr>
            <w:r>
              <w:rPr>
                <w:rFonts w:hint="eastAsia"/>
                <w:color w:val="000000"/>
                <w:kern w:val="0"/>
                <w:sz w:val="18"/>
                <w:szCs w:val="18"/>
              </w:rPr>
              <w:t>责令改正，罚款</w:t>
            </w:r>
          </w:p>
        </w:tc>
      </w:tr>
      <w:tr w14:paraId="50DF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3E6B333">
            <w:pPr>
              <w:spacing w:line="320" w:lineRule="exact"/>
              <w:jc w:val="center"/>
              <w:rPr>
                <w:color w:val="000000"/>
                <w:kern w:val="0"/>
                <w:sz w:val="18"/>
                <w:szCs w:val="18"/>
              </w:rPr>
            </w:pPr>
            <w:r>
              <w:rPr>
                <w:rFonts w:hint="eastAsia"/>
                <w:color w:val="000000"/>
                <w:kern w:val="0"/>
                <w:sz w:val="18"/>
                <w:szCs w:val="18"/>
              </w:rPr>
              <w:t>裁量基准</w:t>
            </w:r>
          </w:p>
        </w:tc>
      </w:tr>
      <w:tr w14:paraId="37CE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68B82491">
            <w:pPr>
              <w:rPr>
                <w:color w:val="000000"/>
                <w:kern w:val="0"/>
                <w:sz w:val="18"/>
                <w:szCs w:val="18"/>
              </w:rPr>
            </w:pPr>
            <w:r>
              <w:rPr>
                <w:rFonts w:hint="eastAsia"/>
                <w:color w:val="000000"/>
                <w:kern w:val="0"/>
                <w:sz w:val="18"/>
                <w:szCs w:val="18"/>
              </w:rPr>
              <w:t>情形描述</w:t>
            </w:r>
          </w:p>
        </w:tc>
        <w:tc>
          <w:tcPr>
            <w:tcW w:w="6376" w:type="dxa"/>
            <w:vAlign w:val="center"/>
          </w:tcPr>
          <w:p w14:paraId="64F43E51">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2B59EB69">
            <w:pPr>
              <w:rPr>
                <w:color w:val="000000"/>
                <w:kern w:val="0"/>
                <w:sz w:val="18"/>
                <w:szCs w:val="18"/>
              </w:rPr>
            </w:pPr>
            <w:r>
              <w:rPr>
                <w:rFonts w:hint="eastAsia"/>
                <w:color w:val="000000"/>
                <w:kern w:val="0"/>
                <w:sz w:val="18"/>
                <w:szCs w:val="18"/>
              </w:rPr>
              <w:t>裁量幅度</w:t>
            </w:r>
          </w:p>
        </w:tc>
        <w:tc>
          <w:tcPr>
            <w:tcW w:w="5614" w:type="dxa"/>
            <w:vAlign w:val="center"/>
          </w:tcPr>
          <w:p w14:paraId="21B1A84D">
            <w:pPr>
              <w:rPr>
                <w:color w:val="000000"/>
                <w:kern w:val="0"/>
                <w:sz w:val="18"/>
                <w:szCs w:val="18"/>
              </w:rPr>
            </w:pPr>
            <w:r>
              <w:rPr>
                <w:rFonts w:hint="eastAsia"/>
                <w:color w:val="000000"/>
                <w:kern w:val="0"/>
                <w:sz w:val="18"/>
                <w:szCs w:val="18"/>
              </w:rPr>
              <w:t>处二万元以下罚款</w:t>
            </w:r>
          </w:p>
        </w:tc>
      </w:tr>
      <w:tr w14:paraId="183C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3149E280">
            <w:pPr>
              <w:spacing w:line="320" w:lineRule="exact"/>
              <w:jc w:val="left"/>
              <w:rPr>
                <w:color w:val="000000"/>
                <w:kern w:val="0"/>
                <w:sz w:val="18"/>
                <w:szCs w:val="18"/>
              </w:rPr>
            </w:pPr>
          </w:p>
        </w:tc>
        <w:tc>
          <w:tcPr>
            <w:tcW w:w="6376" w:type="dxa"/>
            <w:vAlign w:val="center"/>
          </w:tcPr>
          <w:p w14:paraId="094CCD58">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4CCF8786">
            <w:pPr>
              <w:spacing w:line="320" w:lineRule="exact"/>
              <w:jc w:val="left"/>
              <w:rPr>
                <w:color w:val="000000"/>
                <w:kern w:val="0"/>
                <w:sz w:val="18"/>
                <w:szCs w:val="18"/>
              </w:rPr>
            </w:pPr>
          </w:p>
        </w:tc>
        <w:tc>
          <w:tcPr>
            <w:tcW w:w="5614" w:type="dxa"/>
            <w:vAlign w:val="center"/>
          </w:tcPr>
          <w:p w14:paraId="3F7535CE">
            <w:pPr>
              <w:rPr>
                <w:color w:val="000000"/>
                <w:kern w:val="0"/>
                <w:sz w:val="18"/>
                <w:szCs w:val="18"/>
              </w:rPr>
            </w:pPr>
            <w:r>
              <w:rPr>
                <w:rFonts w:hint="eastAsia"/>
                <w:color w:val="000000"/>
                <w:kern w:val="0"/>
                <w:sz w:val="18"/>
                <w:szCs w:val="18"/>
              </w:rPr>
              <w:t>处二万元以上三万元以下罚款</w:t>
            </w:r>
          </w:p>
        </w:tc>
      </w:tr>
    </w:tbl>
    <w:p w14:paraId="733CF040"/>
    <w:p w14:paraId="45A57DC7"/>
    <w:p w14:paraId="7217AB28"/>
    <w:p w14:paraId="18A3C330"/>
    <w:p w14:paraId="2C47403B"/>
    <w:p w14:paraId="65ED7171"/>
    <w:p w14:paraId="765FD0E1"/>
    <w:p w14:paraId="2402E0FC"/>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143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0412ED94">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884E46E">
            <w:pPr>
              <w:spacing w:line="320" w:lineRule="exact"/>
              <w:rPr>
                <w:rFonts w:eastAsia="仿宋_GB2312"/>
                <w:b/>
                <w:bCs/>
                <w:color w:val="000000"/>
                <w:kern w:val="0"/>
                <w:sz w:val="18"/>
                <w:szCs w:val="18"/>
              </w:rPr>
            </w:pPr>
            <w:r>
              <w:rPr>
                <w:rFonts w:eastAsia="仿宋_GB2312"/>
                <w:b/>
                <w:bCs/>
                <w:color w:val="000000"/>
                <w:kern w:val="0"/>
                <w:sz w:val="18"/>
                <w:szCs w:val="18"/>
              </w:rPr>
              <w:t>320217812000</w:t>
            </w:r>
          </w:p>
        </w:tc>
      </w:tr>
      <w:tr w14:paraId="355E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3B34803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4B24E08">
            <w:pPr>
              <w:spacing w:line="320" w:lineRule="exact"/>
              <w:jc w:val="left"/>
              <w:rPr>
                <w:color w:val="000000"/>
                <w:spacing w:val="-6"/>
                <w:kern w:val="0"/>
                <w:sz w:val="18"/>
                <w:szCs w:val="18"/>
              </w:rPr>
            </w:pPr>
            <w:r>
              <w:rPr>
                <w:rFonts w:hint="eastAsia"/>
                <w:color w:val="000000"/>
                <w:spacing w:val="-6"/>
                <w:kern w:val="0"/>
                <w:sz w:val="18"/>
                <w:szCs w:val="18"/>
              </w:rPr>
              <w:t>对检测人员出具虚假的检测数据的处罚</w:t>
            </w:r>
          </w:p>
        </w:tc>
      </w:tr>
      <w:tr w14:paraId="435D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2D2CE3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1D7B8ADE">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34DD6365">
            <w:pPr>
              <w:spacing w:line="320" w:lineRule="exact"/>
              <w:jc w:val="left"/>
              <w:rPr>
                <w:color w:val="000000"/>
                <w:kern w:val="0"/>
                <w:sz w:val="18"/>
                <w:szCs w:val="18"/>
              </w:rPr>
            </w:pPr>
            <w:r>
              <w:rPr>
                <w:rFonts w:hint="eastAsia"/>
                <w:color w:val="000000"/>
                <w:kern w:val="0"/>
                <w:sz w:val="18"/>
                <w:szCs w:val="18"/>
              </w:rPr>
              <w:t xml:space="preserve">      第三十一条　检测人员不得有下列行为：</w:t>
            </w:r>
          </w:p>
          <w:p w14:paraId="002EB15A">
            <w:pPr>
              <w:spacing w:line="320" w:lineRule="exact"/>
              <w:jc w:val="left"/>
              <w:rPr>
                <w:color w:val="000000"/>
                <w:kern w:val="0"/>
                <w:sz w:val="18"/>
                <w:szCs w:val="18"/>
              </w:rPr>
            </w:pPr>
            <w:r>
              <w:rPr>
                <w:rFonts w:hint="eastAsia"/>
                <w:color w:val="000000"/>
                <w:kern w:val="0"/>
                <w:sz w:val="18"/>
                <w:szCs w:val="18"/>
              </w:rPr>
              <w:t>　（三）出具虚假的检测数据；</w:t>
            </w:r>
          </w:p>
          <w:p w14:paraId="5CD9F71D">
            <w:pPr>
              <w:spacing w:line="320" w:lineRule="exact"/>
              <w:jc w:val="left"/>
              <w:rPr>
                <w:color w:val="000000"/>
                <w:kern w:val="0"/>
                <w:sz w:val="18"/>
                <w:szCs w:val="18"/>
              </w:rPr>
            </w:pPr>
            <w:r>
              <w:rPr>
                <w:rFonts w:hint="eastAsia"/>
                <w:color w:val="000000"/>
                <w:kern w:val="0"/>
                <w:sz w:val="18"/>
                <w:szCs w:val="18"/>
              </w:rPr>
              <w:t>　  第四十四条第二款 　检测人员违反本办法规定，有第三十一条行为之一的，由县级以上地方人民政府住房和城乡建设主管部门责令改正，处3万元以下罚款。</w:t>
            </w:r>
          </w:p>
        </w:tc>
      </w:tr>
      <w:tr w14:paraId="7CD4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A3DCC6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8EECB18">
            <w:pPr>
              <w:spacing w:line="320" w:lineRule="exact"/>
              <w:jc w:val="left"/>
              <w:rPr>
                <w:color w:val="000000"/>
                <w:kern w:val="0"/>
                <w:sz w:val="18"/>
                <w:szCs w:val="18"/>
              </w:rPr>
            </w:pPr>
            <w:r>
              <w:rPr>
                <w:rFonts w:hint="eastAsia"/>
                <w:color w:val="000000"/>
                <w:kern w:val="0"/>
                <w:sz w:val="18"/>
                <w:szCs w:val="18"/>
              </w:rPr>
              <w:t>责令改正，罚款</w:t>
            </w:r>
          </w:p>
        </w:tc>
      </w:tr>
      <w:tr w14:paraId="72EC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09DE392">
            <w:pPr>
              <w:spacing w:line="320" w:lineRule="exact"/>
              <w:jc w:val="center"/>
              <w:rPr>
                <w:color w:val="000000"/>
                <w:kern w:val="0"/>
                <w:sz w:val="18"/>
                <w:szCs w:val="18"/>
              </w:rPr>
            </w:pPr>
            <w:r>
              <w:rPr>
                <w:rFonts w:hint="eastAsia"/>
                <w:color w:val="000000"/>
                <w:kern w:val="0"/>
                <w:sz w:val="18"/>
                <w:szCs w:val="18"/>
              </w:rPr>
              <w:t>裁量基准</w:t>
            </w:r>
          </w:p>
        </w:tc>
      </w:tr>
      <w:tr w14:paraId="472F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5B1B27E3">
            <w:pPr>
              <w:rPr>
                <w:color w:val="000000"/>
                <w:kern w:val="0"/>
                <w:sz w:val="18"/>
                <w:szCs w:val="18"/>
              </w:rPr>
            </w:pPr>
            <w:r>
              <w:rPr>
                <w:rFonts w:hint="eastAsia"/>
                <w:color w:val="000000"/>
                <w:kern w:val="0"/>
                <w:sz w:val="18"/>
                <w:szCs w:val="18"/>
              </w:rPr>
              <w:t>情形描述</w:t>
            </w:r>
          </w:p>
        </w:tc>
        <w:tc>
          <w:tcPr>
            <w:tcW w:w="6376" w:type="dxa"/>
            <w:vAlign w:val="center"/>
          </w:tcPr>
          <w:p w14:paraId="4AE1E07B">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362837D1">
            <w:pPr>
              <w:rPr>
                <w:color w:val="000000"/>
                <w:kern w:val="0"/>
                <w:sz w:val="18"/>
                <w:szCs w:val="18"/>
              </w:rPr>
            </w:pPr>
            <w:r>
              <w:rPr>
                <w:rFonts w:hint="eastAsia"/>
                <w:color w:val="000000"/>
                <w:kern w:val="0"/>
                <w:sz w:val="18"/>
                <w:szCs w:val="18"/>
              </w:rPr>
              <w:t>裁量幅度</w:t>
            </w:r>
          </w:p>
        </w:tc>
        <w:tc>
          <w:tcPr>
            <w:tcW w:w="5614" w:type="dxa"/>
            <w:vAlign w:val="center"/>
          </w:tcPr>
          <w:p w14:paraId="7A790115">
            <w:pPr>
              <w:rPr>
                <w:color w:val="000000"/>
                <w:kern w:val="0"/>
                <w:sz w:val="18"/>
                <w:szCs w:val="18"/>
              </w:rPr>
            </w:pPr>
            <w:r>
              <w:rPr>
                <w:rFonts w:hint="eastAsia"/>
                <w:color w:val="000000"/>
                <w:kern w:val="0"/>
                <w:sz w:val="18"/>
                <w:szCs w:val="18"/>
              </w:rPr>
              <w:t>处二万元以下罚款</w:t>
            </w:r>
          </w:p>
        </w:tc>
      </w:tr>
      <w:tr w14:paraId="4630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5B6AE9C9">
            <w:pPr>
              <w:spacing w:line="320" w:lineRule="exact"/>
              <w:jc w:val="left"/>
              <w:rPr>
                <w:color w:val="000000"/>
                <w:kern w:val="0"/>
                <w:sz w:val="18"/>
                <w:szCs w:val="18"/>
              </w:rPr>
            </w:pPr>
          </w:p>
        </w:tc>
        <w:tc>
          <w:tcPr>
            <w:tcW w:w="6376" w:type="dxa"/>
            <w:vAlign w:val="center"/>
          </w:tcPr>
          <w:p w14:paraId="2D32A421">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63F09BFD">
            <w:pPr>
              <w:spacing w:line="320" w:lineRule="exact"/>
              <w:jc w:val="left"/>
              <w:rPr>
                <w:color w:val="000000"/>
                <w:kern w:val="0"/>
                <w:sz w:val="18"/>
                <w:szCs w:val="18"/>
              </w:rPr>
            </w:pPr>
          </w:p>
        </w:tc>
        <w:tc>
          <w:tcPr>
            <w:tcW w:w="5614" w:type="dxa"/>
            <w:vAlign w:val="center"/>
          </w:tcPr>
          <w:p w14:paraId="2BD4C07D">
            <w:pPr>
              <w:rPr>
                <w:color w:val="000000"/>
                <w:kern w:val="0"/>
                <w:sz w:val="18"/>
                <w:szCs w:val="18"/>
              </w:rPr>
            </w:pPr>
            <w:r>
              <w:rPr>
                <w:rFonts w:hint="eastAsia"/>
                <w:color w:val="000000"/>
                <w:kern w:val="0"/>
                <w:sz w:val="18"/>
                <w:szCs w:val="18"/>
              </w:rPr>
              <w:t>处二万元以上三万元以下罚款</w:t>
            </w:r>
          </w:p>
        </w:tc>
      </w:tr>
    </w:tbl>
    <w:p w14:paraId="5886B52E"/>
    <w:p w14:paraId="37056735"/>
    <w:p w14:paraId="0AD693CE"/>
    <w:p w14:paraId="6176E05E"/>
    <w:p w14:paraId="2A8AD637"/>
    <w:p w14:paraId="5E606470"/>
    <w:p w14:paraId="3193148F"/>
    <w:p w14:paraId="36643BA7"/>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F8F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12B6DA8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5B4EBA66">
            <w:pPr>
              <w:spacing w:line="320" w:lineRule="exact"/>
              <w:rPr>
                <w:rFonts w:eastAsia="仿宋_GB2312"/>
                <w:b/>
                <w:bCs/>
                <w:color w:val="000000"/>
                <w:kern w:val="0"/>
                <w:sz w:val="18"/>
                <w:szCs w:val="18"/>
              </w:rPr>
            </w:pPr>
            <w:r>
              <w:rPr>
                <w:rFonts w:eastAsia="仿宋_GB2312"/>
                <w:b/>
                <w:bCs/>
                <w:color w:val="000000"/>
                <w:kern w:val="0"/>
                <w:sz w:val="18"/>
                <w:szCs w:val="18"/>
              </w:rPr>
              <w:t>320217813000</w:t>
            </w:r>
          </w:p>
        </w:tc>
      </w:tr>
      <w:tr w14:paraId="7F41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988E97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9351114">
            <w:pPr>
              <w:spacing w:line="320" w:lineRule="exact"/>
              <w:jc w:val="left"/>
              <w:rPr>
                <w:color w:val="000000"/>
                <w:spacing w:val="-6"/>
                <w:kern w:val="0"/>
                <w:sz w:val="18"/>
                <w:szCs w:val="18"/>
              </w:rPr>
            </w:pPr>
            <w:r>
              <w:rPr>
                <w:rFonts w:hint="eastAsia"/>
                <w:color w:val="000000"/>
                <w:spacing w:val="-6"/>
                <w:kern w:val="0"/>
                <w:sz w:val="18"/>
                <w:szCs w:val="18"/>
              </w:rPr>
              <w:t>对检测人员违反工程建设强制性标准进行检测的处罚</w:t>
            </w:r>
          </w:p>
        </w:tc>
      </w:tr>
      <w:tr w14:paraId="6AF8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40C7D22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A5709AB">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53A9416E">
            <w:pPr>
              <w:spacing w:line="320" w:lineRule="exact"/>
              <w:jc w:val="left"/>
              <w:rPr>
                <w:color w:val="000000"/>
                <w:kern w:val="0"/>
                <w:sz w:val="18"/>
                <w:szCs w:val="18"/>
              </w:rPr>
            </w:pPr>
            <w:r>
              <w:rPr>
                <w:rFonts w:hint="eastAsia"/>
                <w:color w:val="000000"/>
                <w:kern w:val="0"/>
                <w:sz w:val="18"/>
                <w:szCs w:val="18"/>
              </w:rPr>
              <w:t xml:space="preserve">      第三十一条　检测人员不得有下列行为：</w:t>
            </w:r>
          </w:p>
          <w:p w14:paraId="0F45B696">
            <w:pPr>
              <w:spacing w:line="320" w:lineRule="exact"/>
              <w:jc w:val="left"/>
              <w:rPr>
                <w:color w:val="000000"/>
                <w:kern w:val="0"/>
                <w:sz w:val="18"/>
                <w:szCs w:val="18"/>
              </w:rPr>
            </w:pPr>
            <w:r>
              <w:rPr>
                <w:rFonts w:hint="eastAsia"/>
                <w:color w:val="000000"/>
                <w:kern w:val="0"/>
                <w:sz w:val="18"/>
                <w:szCs w:val="18"/>
              </w:rPr>
              <w:t>　（二）违反工程建设强制性标准进行检测；</w:t>
            </w:r>
          </w:p>
          <w:p w14:paraId="4ED9E783">
            <w:pPr>
              <w:spacing w:line="320" w:lineRule="exact"/>
              <w:jc w:val="left"/>
              <w:rPr>
                <w:color w:val="000000"/>
                <w:kern w:val="0"/>
                <w:sz w:val="18"/>
                <w:szCs w:val="18"/>
              </w:rPr>
            </w:pPr>
            <w:r>
              <w:rPr>
                <w:rFonts w:hint="eastAsia"/>
                <w:color w:val="000000"/>
                <w:kern w:val="0"/>
                <w:sz w:val="18"/>
                <w:szCs w:val="18"/>
              </w:rPr>
              <w:t>　  第四十四条第二款 　检测人员违反本办法规定，有第三十一条行为之一的，由县级以上地方人民政府住房和城乡建设主管部门责令改正，处3万元以下罚款。</w:t>
            </w:r>
          </w:p>
        </w:tc>
      </w:tr>
      <w:tr w14:paraId="4611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2D692D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6E08E46A">
            <w:pPr>
              <w:spacing w:line="320" w:lineRule="exact"/>
              <w:jc w:val="left"/>
              <w:rPr>
                <w:color w:val="000000"/>
                <w:kern w:val="0"/>
                <w:sz w:val="18"/>
                <w:szCs w:val="18"/>
              </w:rPr>
            </w:pPr>
            <w:r>
              <w:rPr>
                <w:rFonts w:hint="eastAsia"/>
                <w:color w:val="000000"/>
                <w:kern w:val="0"/>
                <w:sz w:val="18"/>
                <w:szCs w:val="18"/>
              </w:rPr>
              <w:t>责令改正，罚款</w:t>
            </w:r>
          </w:p>
        </w:tc>
      </w:tr>
      <w:tr w14:paraId="34EE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1F57B4B7">
            <w:pPr>
              <w:spacing w:line="320" w:lineRule="exact"/>
              <w:jc w:val="center"/>
              <w:rPr>
                <w:color w:val="000000"/>
                <w:kern w:val="0"/>
                <w:sz w:val="18"/>
                <w:szCs w:val="18"/>
              </w:rPr>
            </w:pPr>
            <w:r>
              <w:rPr>
                <w:rFonts w:hint="eastAsia"/>
                <w:color w:val="000000"/>
                <w:kern w:val="0"/>
                <w:sz w:val="18"/>
                <w:szCs w:val="18"/>
              </w:rPr>
              <w:t>裁量基准</w:t>
            </w:r>
          </w:p>
        </w:tc>
      </w:tr>
      <w:tr w14:paraId="5AAE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3E264FC5">
            <w:pPr>
              <w:rPr>
                <w:color w:val="000000"/>
                <w:kern w:val="0"/>
                <w:sz w:val="18"/>
                <w:szCs w:val="18"/>
              </w:rPr>
            </w:pPr>
            <w:r>
              <w:rPr>
                <w:rFonts w:hint="eastAsia"/>
                <w:color w:val="000000"/>
                <w:kern w:val="0"/>
                <w:sz w:val="18"/>
                <w:szCs w:val="18"/>
              </w:rPr>
              <w:t>情形描述</w:t>
            </w:r>
          </w:p>
        </w:tc>
        <w:tc>
          <w:tcPr>
            <w:tcW w:w="6376" w:type="dxa"/>
            <w:vAlign w:val="center"/>
          </w:tcPr>
          <w:p w14:paraId="7B23976D">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1531F323">
            <w:pPr>
              <w:rPr>
                <w:color w:val="000000"/>
                <w:kern w:val="0"/>
                <w:sz w:val="18"/>
                <w:szCs w:val="18"/>
              </w:rPr>
            </w:pPr>
            <w:r>
              <w:rPr>
                <w:rFonts w:hint="eastAsia"/>
                <w:color w:val="000000"/>
                <w:kern w:val="0"/>
                <w:sz w:val="18"/>
                <w:szCs w:val="18"/>
              </w:rPr>
              <w:t>裁量幅度</w:t>
            </w:r>
          </w:p>
        </w:tc>
        <w:tc>
          <w:tcPr>
            <w:tcW w:w="5614" w:type="dxa"/>
            <w:vAlign w:val="center"/>
          </w:tcPr>
          <w:p w14:paraId="70941EEC">
            <w:pPr>
              <w:rPr>
                <w:color w:val="000000"/>
                <w:kern w:val="0"/>
                <w:sz w:val="18"/>
                <w:szCs w:val="18"/>
              </w:rPr>
            </w:pPr>
            <w:r>
              <w:rPr>
                <w:rFonts w:hint="eastAsia"/>
                <w:color w:val="000000"/>
                <w:kern w:val="0"/>
                <w:sz w:val="18"/>
                <w:szCs w:val="18"/>
              </w:rPr>
              <w:t>处二万元以下罚款</w:t>
            </w:r>
          </w:p>
        </w:tc>
      </w:tr>
      <w:tr w14:paraId="6E28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6BA88A1F">
            <w:pPr>
              <w:spacing w:line="320" w:lineRule="exact"/>
              <w:jc w:val="left"/>
              <w:rPr>
                <w:color w:val="000000"/>
                <w:kern w:val="0"/>
                <w:sz w:val="18"/>
                <w:szCs w:val="18"/>
              </w:rPr>
            </w:pPr>
          </w:p>
        </w:tc>
        <w:tc>
          <w:tcPr>
            <w:tcW w:w="6376" w:type="dxa"/>
            <w:vAlign w:val="center"/>
          </w:tcPr>
          <w:p w14:paraId="2EC5935D">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23FE8C5B">
            <w:pPr>
              <w:spacing w:line="320" w:lineRule="exact"/>
              <w:jc w:val="left"/>
              <w:rPr>
                <w:color w:val="000000"/>
                <w:kern w:val="0"/>
                <w:sz w:val="18"/>
                <w:szCs w:val="18"/>
              </w:rPr>
            </w:pPr>
          </w:p>
        </w:tc>
        <w:tc>
          <w:tcPr>
            <w:tcW w:w="5614" w:type="dxa"/>
            <w:vAlign w:val="center"/>
          </w:tcPr>
          <w:p w14:paraId="4C51117E">
            <w:pPr>
              <w:rPr>
                <w:color w:val="000000"/>
                <w:kern w:val="0"/>
                <w:sz w:val="18"/>
                <w:szCs w:val="18"/>
              </w:rPr>
            </w:pPr>
            <w:r>
              <w:rPr>
                <w:rFonts w:hint="eastAsia"/>
                <w:color w:val="000000"/>
                <w:kern w:val="0"/>
                <w:sz w:val="18"/>
                <w:szCs w:val="18"/>
              </w:rPr>
              <w:t>处二万元以上三万元以下罚款</w:t>
            </w:r>
          </w:p>
        </w:tc>
      </w:tr>
    </w:tbl>
    <w:p w14:paraId="137EFDDB"/>
    <w:p w14:paraId="0616452F"/>
    <w:p w14:paraId="3EBCF897"/>
    <w:p w14:paraId="55D2A67B"/>
    <w:p w14:paraId="78524380"/>
    <w:p w14:paraId="5397DA15"/>
    <w:p w14:paraId="348ED117"/>
    <w:p w14:paraId="133E6243"/>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DEF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A94F596">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73A6E94">
            <w:pPr>
              <w:spacing w:line="320" w:lineRule="exact"/>
              <w:rPr>
                <w:rFonts w:eastAsia="仿宋_GB2312"/>
                <w:b/>
                <w:bCs/>
                <w:color w:val="000000"/>
                <w:kern w:val="0"/>
                <w:sz w:val="18"/>
                <w:szCs w:val="18"/>
              </w:rPr>
            </w:pPr>
            <w:r>
              <w:rPr>
                <w:rFonts w:eastAsia="仿宋_GB2312"/>
                <w:b/>
                <w:bCs/>
                <w:color w:val="000000"/>
                <w:kern w:val="0"/>
                <w:sz w:val="18"/>
                <w:szCs w:val="18"/>
              </w:rPr>
              <w:t>320217814000</w:t>
            </w:r>
          </w:p>
        </w:tc>
      </w:tr>
      <w:tr w14:paraId="4497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4BF7FFE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480AC790">
            <w:pPr>
              <w:spacing w:line="320" w:lineRule="exact"/>
              <w:jc w:val="left"/>
              <w:rPr>
                <w:color w:val="000000"/>
                <w:spacing w:val="-6"/>
                <w:kern w:val="0"/>
                <w:sz w:val="18"/>
                <w:szCs w:val="18"/>
              </w:rPr>
            </w:pPr>
            <w:r>
              <w:rPr>
                <w:rFonts w:hint="eastAsia"/>
                <w:color w:val="000000"/>
                <w:spacing w:val="-6"/>
                <w:kern w:val="0"/>
                <w:sz w:val="18"/>
                <w:szCs w:val="18"/>
              </w:rPr>
              <w:t>对检测人员同时受聘于两家或者两家以上检测机构的处罚</w:t>
            </w:r>
          </w:p>
        </w:tc>
      </w:tr>
      <w:tr w14:paraId="1D15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39DB50E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84E17F3">
            <w:pPr>
              <w:spacing w:line="320" w:lineRule="exact"/>
              <w:jc w:val="left"/>
              <w:rPr>
                <w:color w:val="000000"/>
                <w:kern w:val="0"/>
                <w:sz w:val="18"/>
                <w:szCs w:val="18"/>
              </w:rPr>
            </w:pPr>
            <w:r>
              <w:rPr>
                <w:rFonts w:hint="eastAsia"/>
                <w:color w:val="000000"/>
                <w:kern w:val="0"/>
                <w:sz w:val="18"/>
                <w:szCs w:val="18"/>
              </w:rPr>
              <w:t>【部门规章】《建设工程质量检测管理办法》（2022年12月29日中华人民共和国住房和城乡建设部令第57号公布　自2023年3月1日起施行）</w:t>
            </w:r>
          </w:p>
          <w:p w14:paraId="51BE5C32">
            <w:pPr>
              <w:spacing w:line="320" w:lineRule="exact"/>
              <w:jc w:val="left"/>
              <w:rPr>
                <w:color w:val="000000"/>
                <w:kern w:val="0"/>
                <w:sz w:val="18"/>
                <w:szCs w:val="18"/>
              </w:rPr>
            </w:pPr>
            <w:r>
              <w:rPr>
                <w:rFonts w:hint="eastAsia"/>
                <w:color w:val="000000"/>
                <w:kern w:val="0"/>
                <w:sz w:val="18"/>
                <w:szCs w:val="18"/>
              </w:rPr>
              <w:t>第三十一条　检测人员不得有下列行为：</w:t>
            </w:r>
          </w:p>
          <w:p w14:paraId="71860FCC">
            <w:pPr>
              <w:spacing w:line="320" w:lineRule="exact"/>
              <w:jc w:val="left"/>
              <w:rPr>
                <w:color w:val="000000"/>
                <w:kern w:val="0"/>
                <w:sz w:val="18"/>
                <w:szCs w:val="18"/>
              </w:rPr>
            </w:pPr>
            <w:r>
              <w:rPr>
                <w:rFonts w:hint="eastAsia"/>
                <w:color w:val="000000"/>
                <w:kern w:val="0"/>
                <w:sz w:val="18"/>
                <w:szCs w:val="18"/>
              </w:rPr>
              <w:t>　　（一）同时受聘于两家或者两家以上检测机构；</w:t>
            </w:r>
          </w:p>
          <w:p w14:paraId="24FCD83C">
            <w:pPr>
              <w:spacing w:line="320" w:lineRule="exact"/>
              <w:jc w:val="left"/>
              <w:rPr>
                <w:color w:val="000000"/>
                <w:kern w:val="0"/>
                <w:sz w:val="18"/>
                <w:szCs w:val="18"/>
              </w:rPr>
            </w:pPr>
            <w:r>
              <w:rPr>
                <w:rFonts w:hint="eastAsia"/>
                <w:color w:val="000000"/>
                <w:kern w:val="0"/>
                <w:sz w:val="18"/>
                <w:szCs w:val="18"/>
              </w:rPr>
              <w:t>　  第四十四条第二款 　检测人员违反本办法规定，有第三十一条行为之一的，由县级以上地方人民政府住房和城乡建设主管部门责令改正，处3万元以下罚款。</w:t>
            </w:r>
          </w:p>
        </w:tc>
      </w:tr>
      <w:tr w14:paraId="7B4E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E77E05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E8BA297">
            <w:pPr>
              <w:spacing w:line="320" w:lineRule="exact"/>
              <w:jc w:val="left"/>
              <w:rPr>
                <w:color w:val="000000"/>
                <w:kern w:val="0"/>
                <w:sz w:val="18"/>
                <w:szCs w:val="18"/>
              </w:rPr>
            </w:pPr>
            <w:r>
              <w:rPr>
                <w:rFonts w:hint="eastAsia"/>
                <w:color w:val="000000"/>
                <w:kern w:val="0"/>
                <w:sz w:val="18"/>
                <w:szCs w:val="18"/>
              </w:rPr>
              <w:t>责令改正，罚款</w:t>
            </w:r>
          </w:p>
        </w:tc>
      </w:tr>
      <w:tr w14:paraId="0CB9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C131682">
            <w:pPr>
              <w:spacing w:line="320" w:lineRule="exact"/>
              <w:jc w:val="center"/>
              <w:rPr>
                <w:color w:val="000000"/>
                <w:kern w:val="0"/>
                <w:sz w:val="18"/>
                <w:szCs w:val="18"/>
              </w:rPr>
            </w:pPr>
            <w:r>
              <w:rPr>
                <w:rFonts w:hint="eastAsia"/>
                <w:color w:val="000000"/>
                <w:kern w:val="0"/>
                <w:sz w:val="18"/>
                <w:szCs w:val="18"/>
              </w:rPr>
              <w:t>裁量基准</w:t>
            </w:r>
          </w:p>
        </w:tc>
      </w:tr>
      <w:tr w14:paraId="1D9A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4CD0C439">
            <w:pPr>
              <w:rPr>
                <w:color w:val="000000"/>
                <w:kern w:val="0"/>
                <w:sz w:val="18"/>
                <w:szCs w:val="18"/>
              </w:rPr>
            </w:pPr>
            <w:r>
              <w:rPr>
                <w:rFonts w:hint="eastAsia"/>
                <w:color w:val="000000"/>
                <w:kern w:val="0"/>
                <w:sz w:val="18"/>
                <w:szCs w:val="18"/>
              </w:rPr>
              <w:t>情形描述</w:t>
            </w:r>
          </w:p>
        </w:tc>
        <w:tc>
          <w:tcPr>
            <w:tcW w:w="6376" w:type="dxa"/>
            <w:vAlign w:val="center"/>
          </w:tcPr>
          <w:p w14:paraId="4D4C6D9A">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30081DEE">
            <w:pPr>
              <w:rPr>
                <w:color w:val="000000"/>
                <w:kern w:val="0"/>
                <w:sz w:val="18"/>
                <w:szCs w:val="18"/>
              </w:rPr>
            </w:pPr>
            <w:r>
              <w:rPr>
                <w:rFonts w:hint="eastAsia"/>
                <w:color w:val="000000"/>
                <w:kern w:val="0"/>
                <w:sz w:val="18"/>
                <w:szCs w:val="18"/>
              </w:rPr>
              <w:t>裁量幅度</w:t>
            </w:r>
          </w:p>
        </w:tc>
        <w:tc>
          <w:tcPr>
            <w:tcW w:w="5614" w:type="dxa"/>
            <w:vAlign w:val="center"/>
          </w:tcPr>
          <w:p w14:paraId="40A77768">
            <w:pPr>
              <w:rPr>
                <w:color w:val="000000"/>
                <w:kern w:val="0"/>
                <w:sz w:val="18"/>
                <w:szCs w:val="18"/>
              </w:rPr>
            </w:pPr>
            <w:r>
              <w:rPr>
                <w:rFonts w:hint="eastAsia"/>
                <w:color w:val="000000"/>
                <w:kern w:val="0"/>
                <w:sz w:val="18"/>
                <w:szCs w:val="18"/>
              </w:rPr>
              <w:t>处二万元以下罚款</w:t>
            </w:r>
          </w:p>
        </w:tc>
      </w:tr>
      <w:tr w14:paraId="4A08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135C3740">
            <w:pPr>
              <w:spacing w:line="320" w:lineRule="exact"/>
              <w:jc w:val="left"/>
              <w:rPr>
                <w:color w:val="000000"/>
                <w:kern w:val="0"/>
                <w:sz w:val="18"/>
                <w:szCs w:val="18"/>
              </w:rPr>
            </w:pPr>
          </w:p>
        </w:tc>
        <w:tc>
          <w:tcPr>
            <w:tcW w:w="6376" w:type="dxa"/>
            <w:vAlign w:val="center"/>
          </w:tcPr>
          <w:p w14:paraId="5AC53ED7">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7991E96">
            <w:pPr>
              <w:spacing w:line="320" w:lineRule="exact"/>
              <w:jc w:val="left"/>
              <w:rPr>
                <w:color w:val="000000"/>
                <w:kern w:val="0"/>
                <w:sz w:val="18"/>
                <w:szCs w:val="18"/>
              </w:rPr>
            </w:pPr>
          </w:p>
        </w:tc>
        <w:tc>
          <w:tcPr>
            <w:tcW w:w="5614" w:type="dxa"/>
            <w:vAlign w:val="center"/>
          </w:tcPr>
          <w:p w14:paraId="0E3F28CA">
            <w:pPr>
              <w:rPr>
                <w:color w:val="000000"/>
                <w:kern w:val="0"/>
                <w:sz w:val="18"/>
                <w:szCs w:val="18"/>
              </w:rPr>
            </w:pPr>
            <w:r>
              <w:rPr>
                <w:rFonts w:hint="eastAsia"/>
                <w:color w:val="000000"/>
                <w:kern w:val="0"/>
                <w:sz w:val="18"/>
                <w:szCs w:val="18"/>
              </w:rPr>
              <w:t>处二万元以上三万元以下罚款</w:t>
            </w:r>
          </w:p>
        </w:tc>
      </w:tr>
    </w:tbl>
    <w:p w14:paraId="7269A593"/>
    <w:p w14:paraId="79238FCB"/>
    <w:p w14:paraId="566743F7"/>
    <w:p w14:paraId="291DEF91"/>
    <w:p w14:paraId="233EC11D"/>
    <w:p w14:paraId="6CA64E78"/>
    <w:p w14:paraId="3E5058D6"/>
    <w:p w14:paraId="08DB936E"/>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375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B7BE54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B36217B">
            <w:pPr>
              <w:spacing w:line="320" w:lineRule="exact"/>
              <w:rPr>
                <w:rFonts w:eastAsia="仿宋_GB2312"/>
                <w:b/>
                <w:bCs/>
                <w:color w:val="000000"/>
                <w:kern w:val="0"/>
                <w:sz w:val="18"/>
                <w:szCs w:val="18"/>
              </w:rPr>
            </w:pPr>
            <w:r>
              <w:rPr>
                <w:rFonts w:eastAsia="仿宋_GB2312"/>
                <w:b/>
                <w:bCs/>
                <w:color w:val="000000"/>
                <w:kern w:val="0"/>
                <w:sz w:val="18"/>
                <w:szCs w:val="18"/>
              </w:rPr>
              <w:t>320217815000</w:t>
            </w:r>
          </w:p>
        </w:tc>
      </w:tr>
      <w:tr w14:paraId="692A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2A4ABA5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D687926">
            <w:pPr>
              <w:spacing w:line="320" w:lineRule="exact"/>
              <w:jc w:val="left"/>
              <w:rPr>
                <w:color w:val="000000"/>
                <w:spacing w:val="-6"/>
                <w:kern w:val="0"/>
                <w:sz w:val="18"/>
                <w:szCs w:val="18"/>
              </w:rPr>
            </w:pPr>
            <w:r>
              <w:rPr>
                <w:rFonts w:hint="eastAsia"/>
                <w:color w:val="000000"/>
                <w:spacing w:val="-6"/>
                <w:kern w:val="0"/>
                <w:sz w:val="18"/>
                <w:szCs w:val="18"/>
              </w:rPr>
              <w:t>对检测机构未建立建设工程过程数据和结果数据、检测影像资料及检测报告记录与留存制度，未对检测数据和检测报告的真实性、准确性负责的处罚</w:t>
            </w:r>
          </w:p>
        </w:tc>
      </w:tr>
      <w:tr w14:paraId="4A30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61877279">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78754F98">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1D05C57A">
            <w:pPr>
              <w:spacing w:line="320" w:lineRule="exact"/>
              <w:jc w:val="left"/>
              <w:rPr>
                <w:color w:val="000000"/>
                <w:kern w:val="0"/>
                <w:sz w:val="18"/>
                <w:szCs w:val="18"/>
              </w:rPr>
            </w:pPr>
            <w:r>
              <w:rPr>
                <w:rFonts w:hint="eastAsia"/>
                <w:color w:val="000000"/>
                <w:kern w:val="0"/>
                <w:sz w:val="18"/>
                <w:szCs w:val="18"/>
              </w:rPr>
              <w:t xml:space="preserve">        第二十二条　检测机构应当建立建设工程过程数据和结果数据、检测影像资料及检测报告记录与留存制度，对检测数据和检测报告的真实性、准确性负责。</w:t>
            </w:r>
          </w:p>
          <w:p w14:paraId="68D98C5D">
            <w:pPr>
              <w:spacing w:line="320" w:lineRule="exact"/>
              <w:jc w:val="left"/>
              <w:rPr>
                <w:color w:val="000000"/>
                <w:kern w:val="0"/>
                <w:sz w:val="18"/>
                <w:szCs w:val="18"/>
              </w:rPr>
            </w:pPr>
            <w:r>
              <w:rPr>
                <w:rFonts w:hint="eastAsia"/>
                <w:color w:val="000000"/>
                <w:kern w:val="0"/>
                <w:sz w:val="18"/>
                <w:szCs w:val="18"/>
              </w:rPr>
              <w:t xml:space="preserve">       第四十三条　检测机构违反本办法第二十二条、第三十条第六项规定的，由县级以上地方人民政府住房和城乡建设主管部门责令改正，处5万元以上10万元以下罚款；造成危害后果的，处10万元以上20万元以下罚款；构成犯罪的，依法追究刑事责任。</w:t>
            </w:r>
          </w:p>
          <w:p w14:paraId="6DD33D35">
            <w:pPr>
              <w:spacing w:line="320" w:lineRule="exact"/>
              <w:jc w:val="left"/>
              <w:rPr>
                <w:color w:val="000000"/>
                <w:kern w:val="0"/>
                <w:sz w:val="18"/>
                <w:szCs w:val="18"/>
              </w:rPr>
            </w:pPr>
            <w:r>
              <w:rPr>
                <w:rFonts w:hint="eastAsia"/>
                <w:color w:val="000000"/>
                <w:kern w:val="0"/>
                <w:sz w:val="18"/>
                <w:szCs w:val="18"/>
              </w:rPr>
              <w:t>　　检测机构在建设工程抗震活动中有前款行为的，依照《建设工程抗震管理条例》有关规定给予处罚。</w:t>
            </w:r>
          </w:p>
          <w:p w14:paraId="6F064FCF">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067E2D52">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4527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8F768BE">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6F18A280">
            <w:pPr>
              <w:spacing w:line="320" w:lineRule="exact"/>
              <w:jc w:val="left"/>
              <w:rPr>
                <w:color w:val="000000"/>
                <w:kern w:val="0"/>
                <w:sz w:val="18"/>
                <w:szCs w:val="18"/>
              </w:rPr>
            </w:pPr>
            <w:r>
              <w:rPr>
                <w:rFonts w:hint="eastAsia"/>
                <w:color w:val="000000"/>
                <w:kern w:val="0"/>
                <w:sz w:val="18"/>
                <w:szCs w:val="18"/>
              </w:rPr>
              <w:t>责令改正，罚款，没收违法所得</w:t>
            </w:r>
          </w:p>
        </w:tc>
      </w:tr>
      <w:tr w14:paraId="3A9E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CD8F0ED">
            <w:pPr>
              <w:spacing w:line="320" w:lineRule="exact"/>
              <w:jc w:val="center"/>
              <w:rPr>
                <w:color w:val="000000"/>
                <w:kern w:val="0"/>
                <w:sz w:val="18"/>
                <w:szCs w:val="18"/>
              </w:rPr>
            </w:pPr>
            <w:r>
              <w:rPr>
                <w:rFonts w:hint="eastAsia"/>
                <w:color w:val="000000"/>
                <w:kern w:val="0"/>
                <w:sz w:val="18"/>
                <w:szCs w:val="18"/>
              </w:rPr>
              <w:t>裁量基准</w:t>
            </w:r>
          </w:p>
        </w:tc>
      </w:tr>
      <w:tr w14:paraId="3560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4DAA37CC">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14:paraId="7E0245C6">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306A132E">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14:paraId="001E4B7A">
            <w:pPr>
              <w:spacing w:line="280" w:lineRule="exact"/>
              <w:rPr>
                <w:color w:val="000000"/>
                <w:kern w:val="0"/>
                <w:sz w:val="18"/>
                <w:szCs w:val="18"/>
              </w:rPr>
            </w:pPr>
            <w:r>
              <w:rPr>
                <w:rFonts w:hint="eastAsia"/>
                <w:color w:val="000000"/>
                <w:kern w:val="0"/>
                <w:sz w:val="18"/>
                <w:szCs w:val="18"/>
              </w:rPr>
              <w:t>处5万元以上7万元以下罚款</w:t>
            </w:r>
          </w:p>
          <w:p w14:paraId="203EBBCF">
            <w:pPr>
              <w:spacing w:line="280" w:lineRule="exact"/>
              <w:rPr>
                <w:color w:val="000000"/>
                <w:kern w:val="0"/>
                <w:sz w:val="18"/>
                <w:szCs w:val="18"/>
              </w:rPr>
            </w:pPr>
            <w:r>
              <w:rPr>
                <w:rFonts w:hint="eastAsia"/>
                <w:color w:val="000000"/>
                <w:kern w:val="0"/>
                <w:sz w:val="18"/>
                <w:szCs w:val="18"/>
              </w:rPr>
              <w:t>对单位直接负责的主管人员和其他直接责任人员处5000元以下罚款。</w:t>
            </w:r>
          </w:p>
        </w:tc>
      </w:tr>
      <w:tr w14:paraId="64C1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5EEF19EF">
            <w:pPr>
              <w:spacing w:line="280" w:lineRule="exact"/>
              <w:jc w:val="left"/>
              <w:rPr>
                <w:color w:val="000000"/>
                <w:kern w:val="0"/>
                <w:sz w:val="18"/>
                <w:szCs w:val="18"/>
              </w:rPr>
            </w:pPr>
          </w:p>
        </w:tc>
        <w:tc>
          <w:tcPr>
            <w:tcW w:w="6376" w:type="dxa"/>
            <w:vAlign w:val="center"/>
          </w:tcPr>
          <w:p w14:paraId="0DBEF27E">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0C20EBD">
            <w:pPr>
              <w:spacing w:line="280" w:lineRule="exact"/>
              <w:jc w:val="left"/>
              <w:rPr>
                <w:color w:val="000000"/>
                <w:kern w:val="0"/>
                <w:sz w:val="18"/>
                <w:szCs w:val="18"/>
              </w:rPr>
            </w:pPr>
          </w:p>
        </w:tc>
        <w:tc>
          <w:tcPr>
            <w:tcW w:w="5614" w:type="dxa"/>
            <w:vAlign w:val="center"/>
          </w:tcPr>
          <w:p w14:paraId="4E4FC4F0">
            <w:pPr>
              <w:spacing w:line="280" w:lineRule="exact"/>
              <w:rPr>
                <w:color w:val="000000"/>
                <w:kern w:val="0"/>
                <w:sz w:val="18"/>
                <w:szCs w:val="18"/>
              </w:rPr>
            </w:pPr>
            <w:r>
              <w:rPr>
                <w:rFonts w:hint="eastAsia"/>
                <w:color w:val="000000"/>
                <w:kern w:val="0"/>
                <w:sz w:val="18"/>
                <w:szCs w:val="18"/>
              </w:rPr>
              <w:t>处7万元以上10万元以下罚款</w:t>
            </w:r>
          </w:p>
          <w:p w14:paraId="3527B649">
            <w:pPr>
              <w:spacing w:line="280" w:lineRule="exact"/>
              <w:rPr>
                <w:color w:val="000000"/>
                <w:kern w:val="0"/>
                <w:sz w:val="18"/>
                <w:szCs w:val="18"/>
              </w:rPr>
            </w:pPr>
            <w:r>
              <w:rPr>
                <w:rFonts w:hint="eastAsia"/>
                <w:color w:val="000000"/>
                <w:kern w:val="0"/>
                <w:sz w:val="18"/>
                <w:szCs w:val="18"/>
              </w:rPr>
              <w:t>对单位直接负责的主管人员和其他直接责任人员处5000元以上1万元以下罚款。</w:t>
            </w:r>
          </w:p>
        </w:tc>
      </w:tr>
      <w:tr w14:paraId="1DD66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0224625F">
            <w:pPr>
              <w:spacing w:line="280" w:lineRule="exact"/>
              <w:jc w:val="left"/>
              <w:rPr>
                <w:color w:val="000000"/>
                <w:kern w:val="0"/>
                <w:sz w:val="18"/>
                <w:szCs w:val="18"/>
              </w:rPr>
            </w:pPr>
          </w:p>
        </w:tc>
        <w:tc>
          <w:tcPr>
            <w:tcW w:w="6376" w:type="dxa"/>
            <w:vAlign w:val="center"/>
          </w:tcPr>
          <w:p w14:paraId="0A2973A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continue"/>
            <w:vAlign w:val="center"/>
          </w:tcPr>
          <w:p w14:paraId="308AAC91">
            <w:pPr>
              <w:spacing w:line="280" w:lineRule="exact"/>
              <w:jc w:val="left"/>
              <w:rPr>
                <w:color w:val="000000"/>
                <w:kern w:val="0"/>
                <w:sz w:val="18"/>
                <w:szCs w:val="18"/>
              </w:rPr>
            </w:pPr>
          </w:p>
        </w:tc>
        <w:tc>
          <w:tcPr>
            <w:tcW w:w="5614" w:type="dxa"/>
            <w:vAlign w:val="center"/>
          </w:tcPr>
          <w:p w14:paraId="7BD0DA11">
            <w:pPr>
              <w:spacing w:line="280" w:lineRule="exact"/>
              <w:rPr>
                <w:color w:val="000000"/>
                <w:kern w:val="0"/>
                <w:sz w:val="18"/>
                <w:szCs w:val="18"/>
              </w:rPr>
            </w:pPr>
            <w:r>
              <w:rPr>
                <w:rFonts w:hint="eastAsia"/>
                <w:color w:val="000000"/>
                <w:kern w:val="0"/>
                <w:sz w:val="18"/>
                <w:szCs w:val="18"/>
              </w:rPr>
              <w:t>处10万元以上15万元以下罚款</w:t>
            </w:r>
          </w:p>
          <w:p w14:paraId="2CF25EAC">
            <w:pPr>
              <w:spacing w:line="280" w:lineRule="exact"/>
              <w:rPr>
                <w:color w:val="000000"/>
                <w:kern w:val="0"/>
                <w:sz w:val="18"/>
                <w:szCs w:val="18"/>
              </w:rPr>
            </w:pPr>
            <w:r>
              <w:rPr>
                <w:rFonts w:hint="eastAsia"/>
                <w:color w:val="000000"/>
                <w:kern w:val="0"/>
                <w:sz w:val="18"/>
                <w:szCs w:val="18"/>
              </w:rPr>
              <w:t>对单位直接负责的主管人员和其他直接责任人员处1万元以上2万元以下罚款。</w:t>
            </w:r>
          </w:p>
        </w:tc>
      </w:tr>
      <w:tr w14:paraId="3C7A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1010" w:type="dxa"/>
            <w:vMerge w:val="continue"/>
            <w:vAlign w:val="center"/>
          </w:tcPr>
          <w:p w14:paraId="556E968A">
            <w:pPr>
              <w:spacing w:line="280" w:lineRule="exact"/>
              <w:jc w:val="left"/>
              <w:rPr>
                <w:color w:val="000000"/>
                <w:kern w:val="0"/>
                <w:sz w:val="18"/>
                <w:szCs w:val="18"/>
              </w:rPr>
            </w:pPr>
          </w:p>
        </w:tc>
        <w:tc>
          <w:tcPr>
            <w:tcW w:w="6376" w:type="dxa"/>
            <w:vAlign w:val="center"/>
          </w:tcPr>
          <w:p w14:paraId="5C23C0AD">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continue"/>
            <w:vAlign w:val="center"/>
          </w:tcPr>
          <w:p w14:paraId="0953E1C0">
            <w:pPr>
              <w:spacing w:line="280" w:lineRule="exact"/>
              <w:jc w:val="left"/>
              <w:rPr>
                <w:color w:val="000000"/>
                <w:kern w:val="0"/>
                <w:sz w:val="18"/>
                <w:szCs w:val="18"/>
              </w:rPr>
            </w:pPr>
          </w:p>
        </w:tc>
        <w:tc>
          <w:tcPr>
            <w:tcW w:w="5614" w:type="dxa"/>
            <w:vAlign w:val="center"/>
          </w:tcPr>
          <w:p w14:paraId="4E45E9BE">
            <w:pPr>
              <w:spacing w:line="280" w:lineRule="exact"/>
              <w:rPr>
                <w:color w:val="000000"/>
                <w:kern w:val="0"/>
                <w:sz w:val="18"/>
                <w:szCs w:val="18"/>
              </w:rPr>
            </w:pPr>
            <w:r>
              <w:rPr>
                <w:rFonts w:hint="eastAsia"/>
                <w:color w:val="000000"/>
                <w:kern w:val="0"/>
                <w:sz w:val="18"/>
                <w:szCs w:val="18"/>
              </w:rPr>
              <w:t>处15万元以上20万元以下罚款</w:t>
            </w:r>
          </w:p>
          <w:p w14:paraId="36E68DFC">
            <w:pPr>
              <w:spacing w:line="280" w:lineRule="exact"/>
              <w:rPr>
                <w:color w:val="000000"/>
                <w:kern w:val="0"/>
                <w:sz w:val="18"/>
                <w:szCs w:val="18"/>
              </w:rPr>
            </w:pPr>
            <w:r>
              <w:rPr>
                <w:rFonts w:hint="eastAsia"/>
                <w:color w:val="000000"/>
                <w:kern w:val="0"/>
                <w:sz w:val="18"/>
                <w:szCs w:val="18"/>
              </w:rPr>
              <w:t>对单位直接负责的主管人员和其他直接责任人员处2万元以上3万元以下罚款。</w:t>
            </w:r>
          </w:p>
        </w:tc>
      </w:tr>
    </w:tbl>
    <w:p w14:paraId="5839977D"/>
    <w:p w14:paraId="43941C03"/>
    <w:p w14:paraId="0F002B91"/>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4822"/>
        <w:gridCol w:w="1276"/>
        <w:gridCol w:w="6908"/>
      </w:tblGrid>
      <w:tr w14:paraId="2AF9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B6080EA">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5B8B6B4A">
            <w:pPr>
              <w:spacing w:line="320" w:lineRule="exact"/>
              <w:rPr>
                <w:rFonts w:eastAsia="仿宋_GB2312"/>
                <w:b/>
                <w:bCs/>
                <w:color w:val="000000"/>
                <w:kern w:val="0"/>
                <w:sz w:val="18"/>
                <w:szCs w:val="18"/>
              </w:rPr>
            </w:pPr>
            <w:r>
              <w:rPr>
                <w:rFonts w:eastAsia="仿宋_GB2312"/>
                <w:b/>
                <w:bCs/>
                <w:color w:val="000000"/>
                <w:kern w:val="0"/>
                <w:sz w:val="18"/>
                <w:szCs w:val="18"/>
              </w:rPr>
              <w:t>320217816000</w:t>
            </w:r>
          </w:p>
        </w:tc>
      </w:tr>
      <w:tr w14:paraId="2D77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C6FBA9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0F80438">
            <w:pPr>
              <w:spacing w:line="320" w:lineRule="exact"/>
              <w:jc w:val="left"/>
              <w:rPr>
                <w:color w:val="000000"/>
                <w:spacing w:val="-6"/>
                <w:kern w:val="0"/>
                <w:sz w:val="18"/>
                <w:szCs w:val="18"/>
              </w:rPr>
            </w:pPr>
            <w:r>
              <w:rPr>
                <w:rFonts w:hint="eastAsia"/>
                <w:color w:val="000000"/>
                <w:spacing w:val="-6"/>
                <w:kern w:val="0"/>
                <w:sz w:val="18"/>
                <w:szCs w:val="18"/>
              </w:rPr>
              <w:t>对检测机构未按照规定向资质许可机关提出资质重新核定申请的处罚</w:t>
            </w:r>
          </w:p>
        </w:tc>
      </w:tr>
      <w:tr w14:paraId="1D58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6EBB8FED">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DE7E22A">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3D2B651D">
            <w:pPr>
              <w:spacing w:line="320" w:lineRule="exact"/>
              <w:jc w:val="left"/>
              <w:rPr>
                <w:color w:val="000000"/>
                <w:kern w:val="0"/>
                <w:sz w:val="18"/>
                <w:szCs w:val="18"/>
              </w:rPr>
            </w:pPr>
            <w:r>
              <w:rPr>
                <w:rFonts w:hint="eastAsia"/>
                <w:color w:val="000000"/>
                <w:kern w:val="0"/>
                <w:sz w:val="18"/>
                <w:szCs w:val="18"/>
              </w:rPr>
              <w:t xml:space="preserve">     第十三条第二款　检测机构检测场所、技术人员、仪器设备等事项发生变更影响其符合资质标准的，应当在变更后30个工作日内向资质许可机关提出资质重新核定申请，资质许可机关应当在20个工作日内完成审查，并作出书面决定。</w:t>
            </w:r>
          </w:p>
          <w:p w14:paraId="7CF4E212">
            <w:pPr>
              <w:spacing w:line="320" w:lineRule="exact"/>
              <w:jc w:val="left"/>
              <w:rPr>
                <w:color w:val="000000"/>
                <w:kern w:val="0"/>
                <w:sz w:val="18"/>
                <w:szCs w:val="18"/>
              </w:rPr>
            </w:pPr>
            <w:r>
              <w:rPr>
                <w:rFonts w:hint="eastAsia"/>
                <w:color w:val="000000"/>
                <w:kern w:val="0"/>
                <w:sz w:val="18"/>
                <w:szCs w:val="18"/>
              </w:rPr>
              <w:t xml:space="preserve">      第四十二条第二款　检测机构未按照本办法第十三条第二款规定向资质许可机关提出资质重新核定申请的，由县级以上地方人民政府住房和城乡建设主管部门责令限期改正；逾期未改正的，处1万元以上3万元以下罚款。</w:t>
            </w:r>
          </w:p>
          <w:p w14:paraId="18449D33">
            <w:pPr>
              <w:spacing w:line="320" w:lineRule="exact"/>
              <w:jc w:val="left"/>
              <w:rPr>
                <w:color w:val="000000"/>
                <w:kern w:val="0"/>
                <w:sz w:val="18"/>
                <w:szCs w:val="18"/>
              </w:rPr>
            </w:pPr>
            <w:r>
              <w:rPr>
                <w:rFonts w:hint="eastAsia"/>
                <w:color w:val="000000"/>
                <w:kern w:val="0"/>
                <w:sz w:val="18"/>
                <w:szCs w:val="18"/>
              </w:rPr>
              <w:t xml:space="preserve">    第四十六条　检测机构违反本办法规定，有违法所得的，由县级以上地方人民政府住房和城乡建设主管部门依法予以没收。</w:t>
            </w:r>
          </w:p>
          <w:p w14:paraId="07FDEE07">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4045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0B77FA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8D9D9D0">
            <w:pPr>
              <w:spacing w:line="320" w:lineRule="exact"/>
              <w:jc w:val="left"/>
              <w:rPr>
                <w:color w:val="000000"/>
                <w:kern w:val="0"/>
                <w:sz w:val="18"/>
                <w:szCs w:val="18"/>
              </w:rPr>
            </w:pPr>
            <w:r>
              <w:rPr>
                <w:rFonts w:hint="eastAsia"/>
                <w:color w:val="000000"/>
                <w:kern w:val="0"/>
                <w:sz w:val="18"/>
                <w:szCs w:val="18"/>
              </w:rPr>
              <w:t>责令限期改正，罚款，没收违法所得</w:t>
            </w:r>
          </w:p>
        </w:tc>
      </w:tr>
      <w:tr w14:paraId="3C55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150AF06">
            <w:pPr>
              <w:spacing w:line="320" w:lineRule="exact"/>
              <w:jc w:val="center"/>
              <w:rPr>
                <w:color w:val="000000"/>
                <w:kern w:val="0"/>
                <w:sz w:val="18"/>
                <w:szCs w:val="18"/>
              </w:rPr>
            </w:pPr>
            <w:r>
              <w:rPr>
                <w:rFonts w:hint="eastAsia"/>
                <w:color w:val="000000"/>
                <w:kern w:val="0"/>
                <w:sz w:val="18"/>
                <w:szCs w:val="18"/>
              </w:rPr>
              <w:t>裁量基准</w:t>
            </w:r>
          </w:p>
        </w:tc>
      </w:tr>
      <w:tr w14:paraId="293A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68CB7482">
            <w:pPr>
              <w:rPr>
                <w:color w:val="000000"/>
                <w:kern w:val="0"/>
                <w:sz w:val="18"/>
                <w:szCs w:val="18"/>
              </w:rPr>
            </w:pPr>
            <w:r>
              <w:rPr>
                <w:rFonts w:hint="eastAsia"/>
                <w:color w:val="000000"/>
                <w:kern w:val="0"/>
                <w:sz w:val="18"/>
                <w:szCs w:val="18"/>
              </w:rPr>
              <w:t>情形描述</w:t>
            </w:r>
          </w:p>
        </w:tc>
        <w:tc>
          <w:tcPr>
            <w:tcW w:w="4822" w:type="dxa"/>
            <w:vAlign w:val="center"/>
          </w:tcPr>
          <w:p w14:paraId="536F37EF">
            <w:pPr>
              <w:rPr>
                <w:color w:val="000000"/>
                <w:kern w:val="0"/>
                <w:sz w:val="18"/>
                <w:szCs w:val="18"/>
              </w:rPr>
            </w:pPr>
            <w:r>
              <w:rPr>
                <w:rFonts w:hint="eastAsia"/>
                <w:color w:val="000000"/>
                <w:kern w:val="0"/>
                <w:sz w:val="18"/>
                <w:szCs w:val="18"/>
              </w:rPr>
              <w:t>逾期一个月内不办理</w:t>
            </w:r>
          </w:p>
        </w:tc>
        <w:tc>
          <w:tcPr>
            <w:tcW w:w="1276" w:type="dxa"/>
            <w:vMerge w:val="restart"/>
            <w:vAlign w:val="center"/>
          </w:tcPr>
          <w:p w14:paraId="0C61BC52">
            <w:pPr>
              <w:rPr>
                <w:color w:val="000000"/>
                <w:kern w:val="0"/>
                <w:sz w:val="18"/>
                <w:szCs w:val="18"/>
              </w:rPr>
            </w:pPr>
            <w:r>
              <w:rPr>
                <w:rFonts w:hint="eastAsia"/>
                <w:color w:val="000000"/>
                <w:kern w:val="0"/>
                <w:sz w:val="18"/>
                <w:szCs w:val="18"/>
              </w:rPr>
              <w:t>裁量幅度</w:t>
            </w:r>
          </w:p>
        </w:tc>
        <w:tc>
          <w:tcPr>
            <w:tcW w:w="6908" w:type="dxa"/>
            <w:vAlign w:val="center"/>
          </w:tcPr>
          <w:p w14:paraId="75261447">
            <w:pPr>
              <w:rPr>
                <w:color w:val="000000"/>
                <w:kern w:val="0"/>
                <w:sz w:val="18"/>
                <w:szCs w:val="18"/>
              </w:rPr>
            </w:pPr>
            <w:r>
              <w:rPr>
                <w:rFonts w:hint="eastAsia"/>
                <w:color w:val="000000"/>
                <w:kern w:val="0"/>
                <w:sz w:val="18"/>
                <w:szCs w:val="18"/>
              </w:rPr>
              <w:t>处5000元以上6000万元以下罚款</w:t>
            </w:r>
          </w:p>
          <w:p w14:paraId="670CCDBE">
            <w:pPr>
              <w:rPr>
                <w:color w:val="000000"/>
                <w:kern w:val="0"/>
                <w:sz w:val="18"/>
                <w:szCs w:val="18"/>
              </w:rPr>
            </w:pPr>
            <w:r>
              <w:rPr>
                <w:rFonts w:hint="eastAsia"/>
                <w:color w:val="000000"/>
                <w:kern w:val="0"/>
                <w:sz w:val="18"/>
                <w:szCs w:val="18"/>
              </w:rPr>
              <w:t>对单位直接负责的主管人员和其他直接责任人员处1万元以下罚款。</w:t>
            </w:r>
          </w:p>
        </w:tc>
      </w:tr>
      <w:tr w14:paraId="7BE1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28A9A385">
            <w:pPr>
              <w:spacing w:line="320" w:lineRule="exact"/>
              <w:jc w:val="left"/>
              <w:rPr>
                <w:color w:val="000000"/>
                <w:kern w:val="0"/>
                <w:sz w:val="18"/>
                <w:szCs w:val="18"/>
              </w:rPr>
            </w:pPr>
          </w:p>
        </w:tc>
        <w:tc>
          <w:tcPr>
            <w:tcW w:w="4822" w:type="dxa"/>
            <w:vAlign w:val="center"/>
          </w:tcPr>
          <w:p w14:paraId="63DC37FE">
            <w:pPr>
              <w:spacing w:line="320" w:lineRule="exact"/>
              <w:jc w:val="left"/>
              <w:rPr>
                <w:color w:val="000000"/>
                <w:kern w:val="0"/>
                <w:sz w:val="18"/>
                <w:szCs w:val="18"/>
              </w:rPr>
            </w:pPr>
            <w:r>
              <w:rPr>
                <w:rFonts w:hint="eastAsia"/>
                <w:color w:val="000000"/>
                <w:kern w:val="0"/>
                <w:sz w:val="18"/>
                <w:szCs w:val="18"/>
              </w:rPr>
              <w:t>逾期两个月内不办理</w:t>
            </w:r>
          </w:p>
        </w:tc>
        <w:tc>
          <w:tcPr>
            <w:tcW w:w="1276" w:type="dxa"/>
            <w:vMerge w:val="continue"/>
            <w:vAlign w:val="center"/>
          </w:tcPr>
          <w:p w14:paraId="1566E4F5">
            <w:pPr>
              <w:spacing w:line="320" w:lineRule="exact"/>
              <w:jc w:val="left"/>
              <w:rPr>
                <w:color w:val="000000"/>
                <w:kern w:val="0"/>
                <w:sz w:val="18"/>
                <w:szCs w:val="18"/>
              </w:rPr>
            </w:pPr>
          </w:p>
        </w:tc>
        <w:tc>
          <w:tcPr>
            <w:tcW w:w="6908" w:type="dxa"/>
            <w:vAlign w:val="center"/>
          </w:tcPr>
          <w:p w14:paraId="6A62E894">
            <w:pPr>
              <w:rPr>
                <w:color w:val="000000"/>
                <w:kern w:val="0"/>
                <w:sz w:val="18"/>
                <w:szCs w:val="18"/>
              </w:rPr>
            </w:pPr>
            <w:r>
              <w:rPr>
                <w:rFonts w:hint="eastAsia"/>
                <w:color w:val="000000"/>
                <w:kern w:val="0"/>
                <w:sz w:val="18"/>
                <w:szCs w:val="18"/>
              </w:rPr>
              <w:t>处6000元以8000元以下罚款</w:t>
            </w:r>
          </w:p>
          <w:p w14:paraId="47631373">
            <w:pPr>
              <w:rPr>
                <w:color w:val="000000"/>
                <w:kern w:val="0"/>
                <w:sz w:val="18"/>
                <w:szCs w:val="18"/>
              </w:rPr>
            </w:pPr>
            <w:r>
              <w:rPr>
                <w:rFonts w:hint="eastAsia"/>
                <w:color w:val="000000"/>
                <w:kern w:val="0"/>
                <w:sz w:val="18"/>
                <w:szCs w:val="18"/>
              </w:rPr>
              <w:t>对单位直接负责的主管人员和其他直接责任人员处1万元以上2万元以下罚款。</w:t>
            </w:r>
          </w:p>
        </w:tc>
      </w:tr>
      <w:tr w14:paraId="6E43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2C4CE050">
            <w:pPr>
              <w:spacing w:line="320" w:lineRule="exact"/>
              <w:jc w:val="left"/>
              <w:rPr>
                <w:color w:val="000000"/>
                <w:kern w:val="0"/>
                <w:sz w:val="18"/>
                <w:szCs w:val="18"/>
              </w:rPr>
            </w:pPr>
          </w:p>
        </w:tc>
        <w:tc>
          <w:tcPr>
            <w:tcW w:w="4822" w:type="dxa"/>
            <w:vAlign w:val="center"/>
          </w:tcPr>
          <w:p w14:paraId="7C2D02C5">
            <w:pPr>
              <w:spacing w:line="320" w:lineRule="exact"/>
              <w:jc w:val="left"/>
              <w:rPr>
                <w:color w:val="000000"/>
                <w:kern w:val="0"/>
                <w:sz w:val="18"/>
                <w:szCs w:val="18"/>
              </w:rPr>
            </w:pPr>
            <w:r>
              <w:rPr>
                <w:rFonts w:hint="eastAsia"/>
                <w:color w:val="000000"/>
                <w:kern w:val="0"/>
                <w:sz w:val="18"/>
                <w:szCs w:val="18"/>
              </w:rPr>
              <w:t>逾期两个月以上不办理</w:t>
            </w:r>
          </w:p>
        </w:tc>
        <w:tc>
          <w:tcPr>
            <w:tcW w:w="1276" w:type="dxa"/>
            <w:vMerge w:val="continue"/>
            <w:vAlign w:val="center"/>
          </w:tcPr>
          <w:p w14:paraId="68657D4D">
            <w:pPr>
              <w:spacing w:line="320" w:lineRule="exact"/>
              <w:jc w:val="left"/>
              <w:rPr>
                <w:color w:val="000000"/>
                <w:kern w:val="0"/>
                <w:sz w:val="18"/>
                <w:szCs w:val="18"/>
              </w:rPr>
            </w:pPr>
          </w:p>
        </w:tc>
        <w:tc>
          <w:tcPr>
            <w:tcW w:w="6908" w:type="dxa"/>
            <w:vAlign w:val="center"/>
          </w:tcPr>
          <w:p w14:paraId="4D5FCF4E">
            <w:pPr>
              <w:rPr>
                <w:color w:val="000000"/>
                <w:kern w:val="0"/>
                <w:sz w:val="18"/>
                <w:szCs w:val="18"/>
              </w:rPr>
            </w:pPr>
            <w:r>
              <w:rPr>
                <w:rFonts w:hint="eastAsia"/>
                <w:color w:val="000000"/>
                <w:kern w:val="0"/>
                <w:sz w:val="18"/>
                <w:szCs w:val="18"/>
              </w:rPr>
              <w:t>处8000元以上1万元以下罚款</w:t>
            </w:r>
          </w:p>
          <w:p w14:paraId="41F1BC6F">
            <w:pPr>
              <w:rPr>
                <w:color w:val="000000"/>
                <w:kern w:val="0"/>
                <w:sz w:val="18"/>
                <w:szCs w:val="18"/>
              </w:rPr>
            </w:pPr>
            <w:r>
              <w:rPr>
                <w:rFonts w:hint="eastAsia"/>
                <w:color w:val="000000"/>
                <w:kern w:val="0"/>
                <w:sz w:val="18"/>
                <w:szCs w:val="18"/>
              </w:rPr>
              <w:t>对单位直接负责的主管人员和其他直接责任人员处2万元以上3万元以下罚款。</w:t>
            </w:r>
          </w:p>
        </w:tc>
      </w:tr>
    </w:tbl>
    <w:p w14:paraId="7FD72FB9"/>
    <w:p w14:paraId="5B96A764"/>
    <w:p w14:paraId="7E7F32A6"/>
    <w:p w14:paraId="4D356559"/>
    <w:p w14:paraId="61D8AB64"/>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4822"/>
        <w:gridCol w:w="1276"/>
        <w:gridCol w:w="6908"/>
      </w:tblGrid>
      <w:tr w14:paraId="3315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31B2BE7">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F4B24DD">
            <w:pPr>
              <w:spacing w:line="320" w:lineRule="exact"/>
              <w:rPr>
                <w:rFonts w:eastAsia="仿宋_GB2312"/>
                <w:b/>
                <w:bCs/>
                <w:color w:val="000000"/>
                <w:kern w:val="0"/>
                <w:sz w:val="18"/>
                <w:szCs w:val="18"/>
              </w:rPr>
            </w:pPr>
            <w:r>
              <w:rPr>
                <w:rFonts w:eastAsia="仿宋_GB2312"/>
                <w:b/>
                <w:bCs/>
                <w:color w:val="000000"/>
                <w:kern w:val="0"/>
                <w:sz w:val="18"/>
                <w:szCs w:val="18"/>
              </w:rPr>
              <w:t>320217817000</w:t>
            </w:r>
          </w:p>
        </w:tc>
      </w:tr>
      <w:tr w14:paraId="1228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386F2AAA">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DEFB8EC">
            <w:pPr>
              <w:spacing w:line="320" w:lineRule="exact"/>
              <w:jc w:val="left"/>
              <w:rPr>
                <w:color w:val="000000"/>
                <w:spacing w:val="-6"/>
                <w:kern w:val="0"/>
                <w:sz w:val="18"/>
                <w:szCs w:val="18"/>
              </w:rPr>
            </w:pPr>
            <w:r>
              <w:rPr>
                <w:rFonts w:hint="eastAsia"/>
                <w:color w:val="000000"/>
                <w:spacing w:val="-6"/>
                <w:kern w:val="0"/>
                <w:sz w:val="18"/>
                <w:szCs w:val="18"/>
              </w:rPr>
              <w:t>对检测机构未按照规定办理检测机构资质证书变更手续的处罚</w:t>
            </w:r>
          </w:p>
        </w:tc>
      </w:tr>
      <w:tr w14:paraId="4CE2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0D9643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FA860AD">
            <w:pPr>
              <w:spacing w:line="320" w:lineRule="exact"/>
              <w:jc w:val="left"/>
              <w:rPr>
                <w:color w:val="000000"/>
                <w:kern w:val="0"/>
                <w:sz w:val="18"/>
                <w:szCs w:val="18"/>
              </w:rPr>
            </w:pPr>
            <w:r>
              <w:rPr>
                <w:rFonts w:hint="eastAsia"/>
                <w:color w:val="000000"/>
                <w:kern w:val="0"/>
                <w:sz w:val="18"/>
                <w:szCs w:val="18"/>
              </w:rPr>
              <w:t>【规章】《建设工程质量检测管理办法》（2022年12月29日中华人民共和国住房和城乡建设部令第57号公布　自2023年3月1日起施行）</w:t>
            </w:r>
          </w:p>
          <w:p w14:paraId="3E1C7FA1">
            <w:pPr>
              <w:spacing w:line="320" w:lineRule="exact"/>
              <w:jc w:val="left"/>
              <w:rPr>
                <w:color w:val="000000"/>
                <w:kern w:val="0"/>
                <w:sz w:val="18"/>
                <w:szCs w:val="18"/>
              </w:rPr>
            </w:pPr>
            <w:r>
              <w:rPr>
                <w:rFonts w:hint="eastAsia"/>
                <w:color w:val="000000"/>
                <w:kern w:val="0"/>
                <w:sz w:val="18"/>
                <w:szCs w:val="18"/>
              </w:rPr>
              <w:t xml:space="preserve">     第十三条第一款　检测机构在资质证书有效期内名称、地址、法定代表人等发生变更的，应当在办理营业执照或者法人证书变更手续后30个工作日内办理资质证书变更手续。资质许可机关应当在2个工作日内办理完毕。</w:t>
            </w:r>
          </w:p>
          <w:p w14:paraId="1B09C85A">
            <w:pPr>
              <w:spacing w:line="320" w:lineRule="exact"/>
              <w:jc w:val="left"/>
              <w:rPr>
                <w:color w:val="000000"/>
                <w:kern w:val="0"/>
                <w:sz w:val="18"/>
                <w:szCs w:val="18"/>
              </w:rPr>
            </w:pPr>
            <w:r>
              <w:rPr>
                <w:rFonts w:hint="eastAsia"/>
                <w:color w:val="000000"/>
                <w:kern w:val="0"/>
                <w:sz w:val="18"/>
                <w:szCs w:val="18"/>
              </w:rPr>
              <w:t xml:space="preserve">     第四十二条第一款　检测机构未按照本办法第十三条第一款规定办理检测机构资质证书变更手续的，由县级以上地方人民政府住房和城乡建设主管部门责令限期办理；逾期未办理的，处5000元以上1万元以下罚款。</w:t>
            </w:r>
          </w:p>
          <w:p w14:paraId="00317AF5">
            <w:pPr>
              <w:spacing w:line="320" w:lineRule="exact"/>
              <w:jc w:val="left"/>
              <w:rPr>
                <w:color w:val="000000"/>
                <w:kern w:val="0"/>
                <w:sz w:val="18"/>
                <w:szCs w:val="18"/>
              </w:rPr>
            </w:pPr>
            <w:r>
              <w:rPr>
                <w:rFonts w:hint="eastAsia"/>
                <w:color w:val="000000"/>
                <w:kern w:val="0"/>
                <w:sz w:val="18"/>
                <w:szCs w:val="18"/>
              </w:rPr>
              <w:t>　 第四十六条　检测机构违反本办法规定，有违法所得的，由县级以上地方人民政府住房和城乡建设主管部门依法予以没收。</w:t>
            </w:r>
          </w:p>
          <w:p w14:paraId="4F3220BB">
            <w:pPr>
              <w:spacing w:line="320" w:lineRule="exact"/>
              <w:jc w:val="left"/>
              <w:rPr>
                <w:color w:val="000000"/>
                <w:kern w:val="0"/>
                <w:sz w:val="18"/>
                <w:szCs w:val="18"/>
              </w:rPr>
            </w:pPr>
            <w:r>
              <w:rPr>
                <w:rFonts w:hint="eastAsia"/>
                <w:color w:val="000000"/>
                <w:kern w:val="0"/>
                <w:sz w:val="18"/>
                <w:szCs w:val="18"/>
              </w:rPr>
              <w:t xml:space="preserve">  　第四十八条　依照本办法规定，给予单位罚款处罚的，对单位直接负责的主管人员和其他直接责任人员处3万元以下罚款。</w:t>
            </w:r>
          </w:p>
        </w:tc>
      </w:tr>
      <w:tr w14:paraId="6AD0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61E2722">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0C391EC">
            <w:pPr>
              <w:spacing w:line="320" w:lineRule="exact"/>
              <w:jc w:val="left"/>
              <w:rPr>
                <w:color w:val="000000"/>
                <w:kern w:val="0"/>
                <w:sz w:val="18"/>
                <w:szCs w:val="18"/>
              </w:rPr>
            </w:pPr>
            <w:r>
              <w:rPr>
                <w:rFonts w:hint="eastAsia"/>
                <w:color w:val="000000"/>
                <w:kern w:val="0"/>
                <w:sz w:val="18"/>
                <w:szCs w:val="18"/>
              </w:rPr>
              <w:t>罚款，没收违法所得</w:t>
            </w:r>
          </w:p>
        </w:tc>
      </w:tr>
      <w:tr w14:paraId="262D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21AF99E">
            <w:pPr>
              <w:spacing w:line="320" w:lineRule="exact"/>
              <w:jc w:val="center"/>
              <w:rPr>
                <w:color w:val="000000"/>
                <w:kern w:val="0"/>
                <w:sz w:val="18"/>
                <w:szCs w:val="18"/>
              </w:rPr>
            </w:pPr>
            <w:r>
              <w:rPr>
                <w:rFonts w:hint="eastAsia"/>
                <w:color w:val="000000"/>
                <w:kern w:val="0"/>
                <w:sz w:val="18"/>
                <w:szCs w:val="18"/>
              </w:rPr>
              <w:t>裁量基准</w:t>
            </w:r>
          </w:p>
        </w:tc>
      </w:tr>
      <w:tr w14:paraId="232A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25024AB3">
            <w:pPr>
              <w:rPr>
                <w:color w:val="000000"/>
                <w:kern w:val="0"/>
                <w:sz w:val="18"/>
                <w:szCs w:val="18"/>
              </w:rPr>
            </w:pPr>
            <w:r>
              <w:rPr>
                <w:rFonts w:hint="eastAsia"/>
                <w:color w:val="000000"/>
                <w:kern w:val="0"/>
                <w:sz w:val="18"/>
                <w:szCs w:val="18"/>
              </w:rPr>
              <w:t>情形描述</w:t>
            </w:r>
          </w:p>
        </w:tc>
        <w:tc>
          <w:tcPr>
            <w:tcW w:w="4822" w:type="dxa"/>
            <w:vAlign w:val="center"/>
          </w:tcPr>
          <w:p w14:paraId="681FB0DF">
            <w:pPr>
              <w:rPr>
                <w:color w:val="000000"/>
                <w:kern w:val="0"/>
                <w:sz w:val="18"/>
                <w:szCs w:val="18"/>
              </w:rPr>
            </w:pPr>
            <w:r>
              <w:rPr>
                <w:rFonts w:hint="eastAsia"/>
                <w:color w:val="000000"/>
                <w:kern w:val="0"/>
                <w:sz w:val="18"/>
                <w:szCs w:val="18"/>
              </w:rPr>
              <w:t>逾期一个月内不办理</w:t>
            </w:r>
          </w:p>
        </w:tc>
        <w:tc>
          <w:tcPr>
            <w:tcW w:w="1276" w:type="dxa"/>
            <w:vMerge w:val="restart"/>
            <w:vAlign w:val="center"/>
          </w:tcPr>
          <w:p w14:paraId="00991BB0">
            <w:pPr>
              <w:rPr>
                <w:color w:val="000000"/>
                <w:kern w:val="0"/>
                <w:sz w:val="18"/>
                <w:szCs w:val="18"/>
              </w:rPr>
            </w:pPr>
            <w:r>
              <w:rPr>
                <w:rFonts w:hint="eastAsia"/>
                <w:color w:val="000000"/>
                <w:kern w:val="0"/>
                <w:sz w:val="18"/>
                <w:szCs w:val="18"/>
              </w:rPr>
              <w:t>裁量幅度</w:t>
            </w:r>
          </w:p>
        </w:tc>
        <w:tc>
          <w:tcPr>
            <w:tcW w:w="6908" w:type="dxa"/>
            <w:vAlign w:val="center"/>
          </w:tcPr>
          <w:p w14:paraId="5873C2F2">
            <w:pPr>
              <w:rPr>
                <w:color w:val="000000"/>
                <w:kern w:val="0"/>
                <w:sz w:val="18"/>
                <w:szCs w:val="18"/>
              </w:rPr>
            </w:pPr>
            <w:r>
              <w:rPr>
                <w:rFonts w:hint="eastAsia"/>
                <w:color w:val="000000"/>
                <w:kern w:val="0"/>
                <w:sz w:val="18"/>
                <w:szCs w:val="18"/>
              </w:rPr>
              <w:t>处5000元以上6000万元以下罚款</w:t>
            </w:r>
          </w:p>
          <w:p w14:paraId="2A328930">
            <w:pPr>
              <w:rPr>
                <w:color w:val="000000"/>
                <w:kern w:val="0"/>
                <w:sz w:val="18"/>
                <w:szCs w:val="18"/>
              </w:rPr>
            </w:pPr>
            <w:r>
              <w:rPr>
                <w:rFonts w:hint="eastAsia"/>
                <w:color w:val="000000"/>
                <w:kern w:val="0"/>
                <w:sz w:val="18"/>
                <w:szCs w:val="18"/>
              </w:rPr>
              <w:t>对单位直接负责的主管人员和其他直接责任人员处1万元以下罚款。</w:t>
            </w:r>
          </w:p>
        </w:tc>
      </w:tr>
      <w:tr w14:paraId="7E8D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68046A03">
            <w:pPr>
              <w:spacing w:line="320" w:lineRule="exact"/>
              <w:jc w:val="left"/>
              <w:rPr>
                <w:color w:val="000000"/>
                <w:kern w:val="0"/>
                <w:sz w:val="18"/>
                <w:szCs w:val="18"/>
              </w:rPr>
            </w:pPr>
          </w:p>
        </w:tc>
        <w:tc>
          <w:tcPr>
            <w:tcW w:w="4822" w:type="dxa"/>
            <w:vAlign w:val="center"/>
          </w:tcPr>
          <w:p w14:paraId="29C0BF76">
            <w:pPr>
              <w:spacing w:line="320" w:lineRule="exact"/>
              <w:jc w:val="left"/>
              <w:rPr>
                <w:color w:val="000000"/>
                <w:kern w:val="0"/>
                <w:sz w:val="18"/>
                <w:szCs w:val="18"/>
              </w:rPr>
            </w:pPr>
            <w:r>
              <w:rPr>
                <w:rFonts w:hint="eastAsia"/>
                <w:color w:val="000000"/>
                <w:kern w:val="0"/>
                <w:sz w:val="18"/>
                <w:szCs w:val="18"/>
              </w:rPr>
              <w:t>逾期两个月内不办理</w:t>
            </w:r>
          </w:p>
        </w:tc>
        <w:tc>
          <w:tcPr>
            <w:tcW w:w="1276" w:type="dxa"/>
            <w:vMerge w:val="continue"/>
            <w:vAlign w:val="center"/>
          </w:tcPr>
          <w:p w14:paraId="7757AEF3">
            <w:pPr>
              <w:spacing w:line="320" w:lineRule="exact"/>
              <w:jc w:val="left"/>
              <w:rPr>
                <w:color w:val="000000"/>
                <w:kern w:val="0"/>
                <w:sz w:val="18"/>
                <w:szCs w:val="18"/>
              </w:rPr>
            </w:pPr>
          </w:p>
        </w:tc>
        <w:tc>
          <w:tcPr>
            <w:tcW w:w="6908" w:type="dxa"/>
            <w:vAlign w:val="center"/>
          </w:tcPr>
          <w:p w14:paraId="6F8E3244">
            <w:pPr>
              <w:rPr>
                <w:color w:val="000000"/>
                <w:kern w:val="0"/>
                <w:sz w:val="18"/>
                <w:szCs w:val="18"/>
              </w:rPr>
            </w:pPr>
            <w:r>
              <w:rPr>
                <w:rFonts w:hint="eastAsia"/>
                <w:color w:val="000000"/>
                <w:kern w:val="0"/>
                <w:sz w:val="18"/>
                <w:szCs w:val="18"/>
              </w:rPr>
              <w:t>处6000元以8000元以下罚款</w:t>
            </w:r>
          </w:p>
          <w:p w14:paraId="40ECCAED">
            <w:pPr>
              <w:rPr>
                <w:color w:val="000000"/>
                <w:kern w:val="0"/>
                <w:sz w:val="18"/>
                <w:szCs w:val="18"/>
              </w:rPr>
            </w:pPr>
            <w:r>
              <w:rPr>
                <w:rFonts w:hint="eastAsia"/>
                <w:color w:val="000000"/>
                <w:kern w:val="0"/>
                <w:sz w:val="18"/>
                <w:szCs w:val="18"/>
              </w:rPr>
              <w:t>对单位直接负责的主管人员和其他直接责任人员处1万元以上2万元以下罚款。</w:t>
            </w:r>
          </w:p>
        </w:tc>
      </w:tr>
      <w:tr w14:paraId="6DF3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50223C00">
            <w:pPr>
              <w:spacing w:line="320" w:lineRule="exact"/>
              <w:jc w:val="left"/>
              <w:rPr>
                <w:color w:val="000000"/>
                <w:kern w:val="0"/>
                <w:sz w:val="18"/>
                <w:szCs w:val="18"/>
              </w:rPr>
            </w:pPr>
          </w:p>
        </w:tc>
        <w:tc>
          <w:tcPr>
            <w:tcW w:w="4822" w:type="dxa"/>
            <w:vAlign w:val="center"/>
          </w:tcPr>
          <w:p w14:paraId="3692BA30">
            <w:pPr>
              <w:spacing w:line="320" w:lineRule="exact"/>
              <w:jc w:val="left"/>
              <w:rPr>
                <w:color w:val="000000"/>
                <w:kern w:val="0"/>
                <w:sz w:val="18"/>
                <w:szCs w:val="18"/>
              </w:rPr>
            </w:pPr>
            <w:r>
              <w:rPr>
                <w:rFonts w:hint="eastAsia"/>
                <w:color w:val="000000"/>
                <w:kern w:val="0"/>
                <w:sz w:val="18"/>
                <w:szCs w:val="18"/>
              </w:rPr>
              <w:t>逾期两个月以上不办理</w:t>
            </w:r>
          </w:p>
        </w:tc>
        <w:tc>
          <w:tcPr>
            <w:tcW w:w="1276" w:type="dxa"/>
            <w:vMerge w:val="continue"/>
            <w:vAlign w:val="center"/>
          </w:tcPr>
          <w:p w14:paraId="1285A6B3">
            <w:pPr>
              <w:spacing w:line="320" w:lineRule="exact"/>
              <w:jc w:val="left"/>
              <w:rPr>
                <w:color w:val="000000"/>
                <w:kern w:val="0"/>
                <w:sz w:val="18"/>
                <w:szCs w:val="18"/>
              </w:rPr>
            </w:pPr>
          </w:p>
        </w:tc>
        <w:tc>
          <w:tcPr>
            <w:tcW w:w="6908" w:type="dxa"/>
            <w:vAlign w:val="center"/>
          </w:tcPr>
          <w:p w14:paraId="22FEE056">
            <w:pPr>
              <w:rPr>
                <w:color w:val="000000"/>
                <w:kern w:val="0"/>
                <w:sz w:val="18"/>
                <w:szCs w:val="18"/>
              </w:rPr>
            </w:pPr>
            <w:r>
              <w:rPr>
                <w:rFonts w:hint="eastAsia"/>
                <w:color w:val="000000"/>
                <w:kern w:val="0"/>
                <w:sz w:val="18"/>
                <w:szCs w:val="18"/>
              </w:rPr>
              <w:t>处8000元以上1万元以下罚款</w:t>
            </w:r>
          </w:p>
          <w:p w14:paraId="662F28DE">
            <w:pPr>
              <w:rPr>
                <w:color w:val="000000"/>
                <w:kern w:val="0"/>
                <w:sz w:val="18"/>
                <w:szCs w:val="18"/>
              </w:rPr>
            </w:pPr>
            <w:r>
              <w:rPr>
                <w:rFonts w:hint="eastAsia"/>
                <w:color w:val="000000"/>
                <w:kern w:val="0"/>
                <w:sz w:val="18"/>
                <w:szCs w:val="18"/>
              </w:rPr>
              <w:t>对单位直接负责的主管人员和其他直接责任人员处2万元以上3万元以下罚款。</w:t>
            </w:r>
          </w:p>
        </w:tc>
      </w:tr>
    </w:tbl>
    <w:p w14:paraId="188B13BD"/>
    <w:p w14:paraId="7255C24E"/>
    <w:p w14:paraId="21705100"/>
    <w:p w14:paraId="1B490682"/>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733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01BB3C78">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D096E35">
            <w:pPr>
              <w:spacing w:line="320" w:lineRule="exact"/>
              <w:rPr>
                <w:rFonts w:eastAsia="仿宋_GB2312"/>
                <w:b/>
                <w:bCs/>
                <w:color w:val="000000"/>
                <w:kern w:val="0"/>
                <w:sz w:val="18"/>
                <w:szCs w:val="18"/>
              </w:rPr>
            </w:pPr>
            <w:r>
              <w:rPr>
                <w:rFonts w:eastAsia="仿宋_GB2312"/>
                <w:b/>
                <w:bCs/>
                <w:color w:val="000000"/>
                <w:kern w:val="0"/>
                <w:sz w:val="18"/>
                <w:szCs w:val="18"/>
              </w:rPr>
              <w:t>320217818000</w:t>
            </w:r>
          </w:p>
        </w:tc>
      </w:tr>
      <w:tr w14:paraId="51AD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6B35C36C">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05CE4AF">
            <w:pPr>
              <w:spacing w:line="320" w:lineRule="exact"/>
              <w:jc w:val="left"/>
              <w:rPr>
                <w:color w:val="000000"/>
                <w:spacing w:val="-6"/>
                <w:kern w:val="0"/>
                <w:sz w:val="18"/>
                <w:szCs w:val="18"/>
              </w:rPr>
            </w:pPr>
            <w:r>
              <w:rPr>
                <w:rFonts w:hint="eastAsia"/>
                <w:color w:val="000000"/>
                <w:spacing w:val="-6"/>
                <w:kern w:val="0"/>
                <w:sz w:val="18"/>
                <w:szCs w:val="18"/>
              </w:rPr>
              <w:t>对勘察单位未按照抗震设防专项审查意见进行超限高层建筑工程勘察的处罚</w:t>
            </w:r>
          </w:p>
        </w:tc>
      </w:tr>
      <w:tr w14:paraId="6EF5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E701700">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669F82A">
            <w:pPr>
              <w:spacing w:line="320" w:lineRule="exact"/>
              <w:jc w:val="left"/>
              <w:rPr>
                <w:color w:val="000000"/>
                <w:kern w:val="0"/>
                <w:sz w:val="18"/>
                <w:szCs w:val="18"/>
              </w:rPr>
            </w:pPr>
            <w:r>
              <w:rPr>
                <w:rFonts w:hint="eastAsia"/>
                <w:color w:val="000000"/>
                <w:kern w:val="0"/>
                <w:sz w:val="18"/>
                <w:szCs w:val="18"/>
              </w:rPr>
              <w:t>【规章】《超限高层建筑工程抗震设防管理规定》（建设部令第111号）</w:t>
            </w:r>
          </w:p>
          <w:p w14:paraId="58091522">
            <w:pPr>
              <w:spacing w:line="320" w:lineRule="exact"/>
              <w:jc w:val="left"/>
              <w:rPr>
                <w:color w:val="000000"/>
                <w:kern w:val="0"/>
                <w:sz w:val="18"/>
                <w:szCs w:val="18"/>
              </w:rPr>
            </w:pPr>
            <w:r>
              <w:rPr>
                <w:rFonts w:hint="eastAsia"/>
                <w:color w:val="000000"/>
                <w:kern w:val="0"/>
                <w:sz w:val="18"/>
                <w:szCs w:val="18"/>
              </w:rPr>
              <w:t xml:space="preserve">    第十三条　建设单位、勘察单位、设计单位应当严格按照抗震设防专项审查意见进行超限高层建筑工程的勘察、设计。</w:t>
            </w:r>
          </w:p>
          <w:p w14:paraId="1AE1F1C7">
            <w:pPr>
              <w:spacing w:line="320" w:lineRule="exact"/>
              <w:jc w:val="left"/>
              <w:rPr>
                <w:color w:val="000000"/>
                <w:kern w:val="0"/>
                <w:sz w:val="18"/>
                <w:szCs w:val="18"/>
              </w:rPr>
            </w:pPr>
            <w:r>
              <w:rPr>
                <w:rFonts w:hint="eastAsia"/>
                <w:color w:val="000000"/>
                <w:kern w:val="0"/>
                <w:sz w:val="18"/>
                <w:szCs w:val="18"/>
              </w:rPr>
              <w:t xml:space="preserve">    第十八条　勘察、设计单位违反本规定，未按照抗震设防专项审查意见进行超限高层建筑工程勘察、设计的，责令改正，处以1万元以上3万元以下的罚款；造成损失的，依法承担赔偿责任。</w:t>
            </w:r>
          </w:p>
        </w:tc>
      </w:tr>
      <w:tr w14:paraId="350E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252D0D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D539780">
            <w:pPr>
              <w:spacing w:line="320" w:lineRule="exact"/>
              <w:jc w:val="left"/>
              <w:rPr>
                <w:color w:val="000000"/>
                <w:kern w:val="0"/>
                <w:sz w:val="18"/>
                <w:szCs w:val="18"/>
              </w:rPr>
            </w:pPr>
            <w:r>
              <w:rPr>
                <w:rFonts w:hint="eastAsia"/>
                <w:color w:val="000000"/>
                <w:kern w:val="0"/>
                <w:sz w:val="18"/>
                <w:szCs w:val="18"/>
              </w:rPr>
              <w:t>罚款</w:t>
            </w:r>
          </w:p>
        </w:tc>
      </w:tr>
      <w:tr w14:paraId="2951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51B84B6">
            <w:pPr>
              <w:spacing w:line="320" w:lineRule="exact"/>
              <w:jc w:val="center"/>
              <w:rPr>
                <w:color w:val="000000"/>
                <w:kern w:val="0"/>
                <w:sz w:val="18"/>
                <w:szCs w:val="18"/>
              </w:rPr>
            </w:pPr>
            <w:r>
              <w:rPr>
                <w:rFonts w:hint="eastAsia"/>
                <w:color w:val="000000"/>
                <w:kern w:val="0"/>
                <w:sz w:val="18"/>
                <w:szCs w:val="18"/>
              </w:rPr>
              <w:t>裁量基准</w:t>
            </w:r>
          </w:p>
        </w:tc>
      </w:tr>
      <w:tr w14:paraId="5BAE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0" w:type="dxa"/>
            <w:vMerge w:val="restart"/>
            <w:vAlign w:val="center"/>
          </w:tcPr>
          <w:p w14:paraId="452CF353">
            <w:pPr>
              <w:rPr>
                <w:color w:val="000000"/>
                <w:kern w:val="0"/>
                <w:sz w:val="18"/>
                <w:szCs w:val="18"/>
              </w:rPr>
            </w:pPr>
            <w:r>
              <w:rPr>
                <w:rFonts w:hint="eastAsia"/>
                <w:color w:val="000000"/>
                <w:kern w:val="0"/>
                <w:sz w:val="18"/>
                <w:szCs w:val="18"/>
              </w:rPr>
              <w:t>情形描述</w:t>
            </w:r>
          </w:p>
        </w:tc>
        <w:tc>
          <w:tcPr>
            <w:tcW w:w="6376" w:type="dxa"/>
            <w:vAlign w:val="center"/>
          </w:tcPr>
          <w:p w14:paraId="4847FDE7">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73F7BBA0">
            <w:pPr>
              <w:rPr>
                <w:color w:val="000000"/>
                <w:kern w:val="0"/>
                <w:sz w:val="18"/>
                <w:szCs w:val="18"/>
              </w:rPr>
            </w:pPr>
            <w:r>
              <w:rPr>
                <w:rFonts w:hint="eastAsia"/>
                <w:color w:val="000000"/>
                <w:kern w:val="0"/>
                <w:sz w:val="18"/>
                <w:szCs w:val="18"/>
              </w:rPr>
              <w:t>裁量幅度</w:t>
            </w:r>
          </w:p>
        </w:tc>
        <w:tc>
          <w:tcPr>
            <w:tcW w:w="5614" w:type="dxa"/>
            <w:vAlign w:val="center"/>
          </w:tcPr>
          <w:p w14:paraId="06EE6797">
            <w:pPr>
              <w:rPr>
                <w:color w:val="000000"/>
                <w:kern w:val="0"/>
                <w:sz w:val="18"/>
                <w:szCs w:val="18"/>
              </w:rPr>
            </w:pPr>
            <w:r>
              <w:rPr>
                <w:rFonts w:hint="eastAsia"/>
                <w:color w:val="000000"/>
                <w:kern w:val="0"/>
                <w:sz w:val="18"/>
                <w:szCs w:val="18"/>
              </w:rPr>
              <w:t>处一万元以上二万元以下罚款</w:t>
            </w:r>
          </w:p>
        </w:tc>
      </w:tr>
      <w:tr w14:paraId="43B4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10" w:type="dxa"/>
            <w:vMerge w:val="continue"/>
            <w:vAlign w:val="center"/>
          </w:tcPr>
          <w:p w14:paraId="685C7E05">
            <w:pPr>
              <w:spacing w:line="320" w:lineRule="exact"/>
              <w:jc w:val="left"/>
              <w:rPr>
                <w:color w:val="000000"/>
                <w:kern w:val="0"/>
                <w:sz w:val="18"/>
                <w:szCs w:val="18"/>
              </w:rPr>
            </w:pPr>
          </w:p>
        </w:tc>
        <w:tc>
          <w:tcPr>
            <w:tcW w:w="6376" w:type="dxa"/>
            <w:vAlign w:val="center"/>
          </w:tcPr>
          <w:p w14:paraId="432E7D6B">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4BA3BA28">
            <w:pPr>
              <w:spacing w:line="320" w:lineRule="exact"/>
              <w:jc w:val="left"/>
              <w:rPr>
                <w:color w:val="000000"/>
                <w:kern w:val="0"/>
                <w:sz w:val="18"/>
                <w:szCs w:val="18"/>
              </w:rPr>
            </w:pPr>
          </w:p>
        </w:tc>
        <w:tc>
          <w:tcPr>
            <w:tcW w:w="5614" w:type="dxa"/>
            <w:vAlign w:val="center"/>
          </w:tcPr>
          <w:p w14:paraId="38B2B920">
            <w:pPr>
              <w:rPr>
                <w:color w:val="000000"/>
                <w:kern w:val="0"/>
                <w:sz w:val="18"/>
                <w:szCs w:val="18"/>
              </w:rPr>
            </w:pPr>
            <w:r>
              <w:rPr>
                <w:rFonts w:hint="eastAsia"/>
                <w:color w:val="000000"/>
                <w:kern w:val="0"/>
                <w:sz w:val="18"/>
                <w:szCs w:val="18"/>
              </w:rPr>
              <w:t>处二万元以上三万元以下罚款</w:t>
            </w:r>
          </w:p>
        </w:tc>
      </w:tr>
    </w:tbl>
    <w:p w14:paraId="55FDA18B"/>
    <w:p w14:paraId="29DB2CAE"/>
    <w:p w14:paraId="71D8D8E5"/>
    <w:p w14:paraId="3B5AF6E8"/>
    <w:p w14:paraId="0F2F1F7B"/>
    <w:p w14:paraId="26314159"/>
    <w:p w14:paraId="0841AFFB"/>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238C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0C0EB377">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B99C445">
            <w:pPr>
              <w:spacing w:line="320" w:lineRule="exact"/>
              <w:rPr>
                <w:rFonts w:eastAsia="仿宋_GB2312"/>
                <w:b/>
                <w:bCs/>
                <w:color w:val="000000"/>
                <w:kern w:val="0"/>
                <w:sz w:val="18"/>
                <w:szCs w:val="18"/>
              </w:rPr>
            </w:pPr>
            <w:r>
              <w:rPr>
                <w:rFonts w:eastAsia="仿宋_GB2312"/>
                <w:b/>
                <w:bCs/>
                <w:color w:val="000000"/>
                <w:kern w:val="0"/>
                <w:sz w:val="18"/>
                <w:szCs w:val="18"/>
              </w:rPr>
              <w:t>320217819000</w:t>
            </w:r>
          </w:p>
        </w:tc>
      </w:tr>
      <w:tr w14:paraId="5F7BD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6847FE2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2EE3429">
            <w:pPr>
              <w:spacing w:line="320" w:lineRule="exact"/>
              <w:jc w:val="left"/>
              <w:rPr>
                <w:color w:val="000000"/>
                <w:spacing w:val="-6"/>
                <w:kern w:val="0"/>
                <w:sz w:val="18"/>
                <w:szCs w:val="18"/>
              </w:rPr>
            </w:pPr>
            <w:r>
              <w:rPr>
                <w:rFonts w:hint="eastAsia"/>
                <w:color w:val="000000"/>
                <w:spacing w:val="-6"/>
                <w:kern w:val="0"/>
                <w:sz w:val="18"/>
                <w:szCs w:val="18"/>
              </w:rPr>
              <w:t>对擅自进行地名命名、更名的处罚</w:t>
            </w:r>
          </w:p>
        </w:tc>
      </w:tr>
      <w:tr w14:paraId="48BF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9E92C0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46286D2">
            <w:pPr>
              <w:spacing w:line="320" w:lineRule="exact"/>
              <w:jc w:val="left"/>
              <w:rPr>
                <w:color w:val="000000"/>
                <w:kern w:val="0"/>
                <w:sz w:val="18"/>
                <w:szCs w:val="18"/>
              </w:rPr>
            </w:pPr>
          </w:p>
          <w:p w14:paraId="1774EA0C">
            <w:pPr>
              <w:spacing w:line="320" w:lineRule="exact"/>
              <w:jc w:val="left"/>
              <w:rPr>
                <w:color w:val="000000"/>
                <w:kern w:val="0"/>
                <w:sz w:val="18"/>
                <w:szCs w:val="18"/>
              </w:rPr>
            </w:pPr>
            <w:r>
              <w:rPr>
                <w:rFonts w:hint="eastAsia"/>
                <w:color w:val="000000"/>
                <w:kern w:val="0"/>
                <w:sz w:val="18"/>
                <w:szCs w:val="18"/>
              </w:rPr>
              <w:t>【行政法规】《地名管理条例》（国务院令第753号）</w:t>
            </w:r>
          </w:p>
          <w:p w14:paraId="281BE1C2">
            <w:pPr>
              <w:spacing w:line="320" w:lineRule="exact"/>
              <w:jc w:val="left"/>
              <w:rPr>
                <w:color w:val="000000"/>
                <w:kern w:val="0"/>
                <w:sz w:val="18"/>
                <w:szCs w:val="18"/>
              </w:rPr>
            </w:pPr>
            <w:r>
              <w:rPr>
                <w:rFonts w:hint="eastAsia"/>
                <w:color w:val="000000"/>
                <w:kern w:val="0"/>
                <w:sz w:val="18"/>
                <w:szCs w:val="18"/>
              </w:rPr>
              <w:t xml:space="preserve">       第十二条　批准地名命名、更名应当遵循下列规定：</w:t>
            </w:r>
          </w:p>
          <w:p w14:paraId="64D51861">
            <w:pPr>
              <w:spacing w:line="320" w:lineRule="exact"/>
              <w:jc w:val="left"/>
              <w:rPr>
                <w:color w:val="000000"/>
                <w:kern w:val="0"/>
                <w:sz w:val="18"/>
                <w:szCs w:val="18"/>
              </w:rPr>
            </w:pPr>
            <w:r>
              <w:rPr>
                <w:rFonts w:hint="eastAsia"/>
                <w:color w:val="000000"/>
                <w:kern w:val="0"/>
                <w:sz w:val="18"/>
                <w:szCs w:val="18"/>
              </w:rPr>
              <w:t xml:space="preserve">      （六）具有重要地理方位意义的住宅区、楼宇的命名、更名，由直辖市、市、县人民政府住房和城乡建设主管部门征求同级人民政府地名行政主管部门的意见后批准；</w:t>
            </w:r>
          </w:p>
          <w:p w14:paraId="48EA45A1">
            <w:pPr>
              <w:spacing w:line="320" w:lineRule="exact"/>
              <w:jc w:val="left"/>
              <w:rPr>
                <w:color w:val="000000"/>
                <w:kern w:val="0"/>
                <w:sz w:val="18"/>
                <w:szCs w:val="18"/>
              </w:rPr>
            </w:pPr>
            <w:r>
              <w:rPr>
                <w:rFonts w:hint="eastAsia"/>
                <w:color w:val="000000"/>
                <w:kern w:val="0"/>
                <w:sz w:val="18"/>
                <w:szCs w:val="18"/>
              </w:rPr>
              <w:t xml:space="preserve">         第三十六条　违反本条例第四条、第九条、第十条、第十二条规定，擅自进行地名命名、更名的，由有审批权的行政机关责令限期改正；逾期不改正的，予以取缔，并对违法单位通报批评。</w:t>
            </w:r>
          </w:p>
        </w:tc>
      </w:tr>
      <w:tr w14:paraId="4BBA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7850434">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D7EDEC7">
            <w:pPr>
              <w:spacing w:line="320" w:lineRule="exact"/>
              <w:jc w:val="left"/>
              <w:rPr>
                <w:color w:val="000000"/>
                <w:kern w:val="0"/>
                <w:sz w:val="18"/>
                <w:szCs w:val="18"/>
              </w:rPr>
            </w:pPr>
            <w:r>
              <w:rPr>
                <w:rFonts w:hint="eastAsia"/>
                <w:color w:val="000000"/>
                <w:kern w:val="0"/>
                <w:sz w:val="18"/>
                <w:szCs w:val="18"/>
              </w:rPr>
              <w:t>责令限期改正，通报批评</w:t>
            </w:r>
          </w:p>
        </w:tc>
      </w:tr>
      <w:tr w14:paraId="6A05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0020CEA">
            <w:pPr>
              <w:spacing w:line="320" w:lineRule="exact"/>
              <w:jc w:val="center"/>
              <w:rPr>
                <w:color w:val="000000"/>
                <w:kern w:val="0"/>
                <w:sz w:val="18"/>
                <w:szCs w:val="18"/>
              </w:rPr>
            </w:pPr>
            <w:r>
              <w:rPr>
                <w:rFonts w:hint="eastAsia"/>
                <w:color w:val="000000"/>
                <w:kern w:val="0"/>
                <w:sz w:val="18"/>
                <w:szCs w:val="18"/>
              </w:rPr>
              <w:t>裁量基准</w:t>
            </w:r>
          </w:p>
        </w:tc>
      </w:tr>
      <w:tr w14:paraId="7F94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A43422E">
            <w:pPr>
              <w:rPr>
                <w:color w:val="000000"/>
                <w:kern w:val="0"/>
                <w:sz w:val="18"/>
                <w:szCs w:val="18"/>
              </w:rPr>
            </w:pPr>
            <w:r>
              <w:rPr>
                <w:rFonts w:hint="eastAsia"/>
                <w:color w:val="000000"/>
                <w:kern w:val="0"/>
                <w:sz w:val="18"/>
                <w:szCs w:val="18"/>
              </w:rPr>
              <w:t>情形描述</w:t>
            </w:r>
          </w:p>
        </w:tc>
        <w:tc>
          <w:tcPr>
            <w:tcW w:w="6376" w:type="dxa"/>
            <w:vAlign w:val="center"/>
          </w:tcPr>
          <w:p w14:paraId="41D21572">
            <w:pPr>
              <w:rPr>
                <w:color w:val="000000"/>
                <w:kern w:val="0"/>
                <w:sz w:val="18"/>
                <w:szCs w:val="18"/>
              </w:rPr>
            </w:pPr>
          </w:p>
        </w:tc>
        <w:tc>
          <w:tcPr>
            <w:tcW w:w="1016" w:type="dxa"/>
            <w:vMerge w:val="restart"/>
            <w:vAlign w:val="center"/>
          </w:tcPr>
          <w:p w14:paraId="78E1F532">
            <w:pPr>
              <w:rPr>
                <w:color w:val="000000"/>
                <w:kern w:val="0"/>
                <w:sz w:val="18"/>
                <w:szCs w:val="18"/>
              </w:rPr>
            </w:pPr>
            <w:r>
              <w:rPr>
                <w:rFonts w:hint="eastAsia"/>
                <w:color w:val="000000"/>
                <w:kern w:val="0"/>
                <w:sz w:val="18"/>
                <w:szCs w:val="18"/>
              </w:rPr>
              <w:t>裁量幅度</w:t>
            </w:r>
          </w:p>
        </w:tc>
        <w:tc>
          <w:tcPr>
            <w:tcW w:w="5614" w:type="dxa"/>
            <w:vAlign w:val="center"/>
          </w:tcPr>
          <w:p w14:paraId="59B382C7">
            <w:pPr>
              <w:rPr>
                <w:color w:val="000000"/>
                <w:kern w:val="0"/>
                <w:sz w:val="18"/>
                <w:szCs w:val="18"/>
              </w:rPr>
            </w:pPr>
          </w:p>
        </w:tc>
      </w:tr>
      <w:tr w14:paraId="08197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C82725E">
            <w:pPr>
              <w:spacing w:line="320" w:lineRule="exact"/>
              <w:jc w:val="left"/>
              <w:rPr>
                <w:color w:val="000000"/>
                <w:kern w:val="0"/>
                <w:sz w:val="18"/>
                <w:szCs w:val="18"/>
              </w:rPr>
            </w:pPr>
          </w:p>
        </w:tc>
        <w:tc>
          <w:tcPr>
            <w:tcW w:w="6376" w:type="dxa"/>
            <w:vAlign w:val="center"/>
          </w:tcPr>
          <w:p w14:paraId="00383865">
            <w:pPr>
              <w:spacing w:line="320" w:lineRule="exact"/>
              <w:jc w:val="left"/>
              <w:rPr>
                <w:color w:val="000000"/>
                <w:kern w:val="0"/>
                <w:sz w:val="18"/>
                <w:szCs w:val="18"/>
              </w:rPr>
            </w:pPr>
          </w:p>
        </w:tc>
        <w:tc>
          <w:tcPr>
            <w:tcW w:w="1016" w:type="dxa"/>
            <w:vMerge w:val="continue"/>
            <w:vAlign w:val="center"/>
          </w:tcPr>
          <w:p w14:paraId="6E386679">
            <w:pPr>
              <w:spacing w:line="320" w:lineRule="exact"/>
              <w:jc w:val="left"/>
              <w:rPr>
                <w:color w:val="000000"/>
                <w:kern w:val="0"/>
                <w:sz w:val="18"/>
                <w:szCs w:val="18"/>
              </w:rPr>
            </w:pPr>
          </w:p>
        </w:tc>
        <w:tc>
          <w:tcPr>
            <w:tcW w:w="5614" w:type="dxa"/>
            <w:vAlign w:val="center"/>
          </w:tcPr>
          <w:p w14:paraId="6057ED2E">
            <w:pPr>
              <w:rPr>
                <w:color w:val="000000"/>
                <w:kern w:val="0"/>
                <w:sz w:val="18"/>
                <w:szCs w:val="18"/>
              </w:rPr>
            </w:pPr>
          </w:p>
        </w:tc>
      </w:tr>
    </w:tbl>
    <w:p w14:paraId="1DD75249"/>
    <w:p w14:paraId="596162DF"/>
    <w:p w14:paraId="7C842058"/>
    <w:p w14:paraId="6E4FDFF2"/>
    <w:p w14:paraId="64F877F6"/>
    <w:p w14:paraId="7CA62CBB"/>
    <w:p w14:paraId="748F2DB3"/>
    <w:p w14:paraId="510CF95B"/>
    <w:p w14:paraId="3CAF171F"/>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91F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97A614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03A40BA">
            <w:pPr>
              <w:spacing w:line="320" w:lineRule="exact"/>
              <w:rPr>
                <w:rFonts w:eastAsia="仿宋_GB2312"/>
                <w:b/>
                <w:bCs/>
                <w:color w:val="000000"/>
                <w:kern w:val="0"/>
                <w:sz w:val="18"/>
                <w:szCs w:val="18"/>
              </w:rPr>
            </w:pPr>
            <w:r>
              <w:rPr>
                <w:rFonts w:eastAsia="仿宋_GB2312"/>
                <w:b/>
                <w:bCs/>
                <w:color w:val="000000"/>
                <w:kern w:val="0"/>
                <w:sz w:val="18"/>
                <w:szCs w:val="18"/>
              </w:rPr>
              <w:t>320217820000</w:t>
            </w:r>
          </w:p>
        </w:tc>
      </w:tr>
      <w:tr w14:paraId="0D4B3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4806131E">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4720932F">
            <w:pPr>
              <w:spacing w:line="320" w:lineRule="exact"/>
              <w:jc w:val="left"/>
              <w:rPr>
                <w:color w:val="000000"/>
                <w:spacing w:val="-6"/>
                <w:kern w:val="0"/>
                <w:sz w:val="18"/>
                <w:szCs w:val="18"/>
              </w:rPr>
            </w:pPr>
            <w:r>
              <w:rPr>
                <w:rFonts w:hint="eastAsia"/>
                <w:color w:val="000000"/>
                <w:spacing w:val="-6"/>
                <w:kern w:val="0"/>
                <w:sz w:val="18"/>
                <w:szCs w:val="18"/>
              </w:rPr>
              <w:t>对消防审验技术服务机构不按照国家工程建设消防技术标准开展消防审验技术服务活动的处罚</w:t>
            </w:r>
          </w:p>
        </w:tc>
      </w:tr>
      <w:tr w14:paraId="16C3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790584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112D1E33">
            <w:pPr>
              <w:spacing w:line="320" w:lineRule="exact"/>
              <w:jc w:val="left"/>
              <w:rPr>
                <w:color w:val="000000"/>
                <w:kern w:val="0"/>
                <w:sz w:val="18"/>
                <w:szCs w:val="18"/>
              </w:rPr>
            </w:pPr>
            <w:r>
              <w:rPr>
                <w:rFonts w:hint="eastAsia"/>
                <w:color w:val="000000"/>
                <w:kern w:val="0"/>
                <w:sz w:val="18"/>
                <w:szCs w:val="18"/>
              </w:rPr>
              <w:t>【地方性法规】《江苏省消防条例》</w:t>
            </w:r>
          </w:p>
          <w:p w14:paraId="35466704">
            <w:pPr>
              <w:spacing w:line="320" w:lineRule="exact"/>
              <w:jc w:val="left"/>
              <w:rPr>
                <w:color w:val="000000"/>
                <w:kern w:val="0"/>
                <w:sz w:val="18"/>
                <w:szCs w:val="18"/>
              </w:rPr>
            </w:pPr>
            <w:r>
              <w:rPr>
                <w:rFonts w:hint="eastAsia"/>
                <w:color w:val="000000"/>
                <w:kern w:val="0"/>
                <w:sz w:val="18"/>
                <w:szCs w:val="18"/>
              </w:rPr>
              <w:t xml:space="preserve">       第十九条第二款    建设工程消防设计文件技术审查、竣工验收消防查验、消防验收现场评定等消防审验技术服务机构及其从业人员，应当依法开展消防审验技术服务活动，接受住房和城乡建设主管部门的监督管理。</w:t>
            </w:r>
          </w:p>
          <w:p w14:paraId="094C3883">
            <w:pPr>
              <w:spacing w:line="320" w:lineRule="exact"/>
              <w:jc w:val="left"/>
              <w:rPr>
                <w:color w:val="000000"/>
                <w:kern w:val="0"/>
                <w:sz w:val="18"/>
                <w:szCs w:val="18"/>
              </w:rPr>
            </w:pPr>
            <w:r>
              <w:rPr>
                <w:rFonts w:hint="eastAsia"/>
                <w:color w:val="000000"/>
                <w:kern w:val="0"/>
                <w:sz w:val="18"/>
                <w:szCs w:val="18"/>
              </w:rPr>
              <w:t xml:space="preserve">        第七十八条第二款  消防审验技术服务机构不按照国家工程建设消防技术标准开展消防审验技术服务活动的，由住房和城乡建设主管部门责令改正，处一万元以上五万元以下罚款，并对直接负责的主管人员和其他直接责任人员处二千元以上一万元以下罚款；有违法所得的，没收违法所得；给他人造成损失的，依法承担赔偿责任。</w:t>
            </w:r>
          </w:p>
        </w:tc>
      </w:tr>
      <w:tr w14:paraId="6E44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5C86BD9">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EF14006">
            <w:pPr>
              <w:spacing w:line="320" w:lineRule="exact"/>
              <w:jc w:val="left"/>
              <w:rPr>
                <w:color w:val="000000"/>
                <w:kern w:val="0"/>
                <w:sz w:val="18"/>
                <w:szCs w:val="18"/>
              </w:rPr>
            </w:pPr>
            <w:r>
              <w:rPr>
                <w:rFonts w:hint="eastAsia"/>
                <w:color w:val="000000"/>
                <w:kern w:val="0"/>
                <w:sz w:val="18"/>
                <w:szCs w:val="18"/>
              </w:rPr>
              <w:t>责令改正，罚款，没收违法所得</w:t>
            </w:r>
          </w:p>
        </w:tc>
      </w:tr>
      <w:tr w14:paraId="2ABB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C50C0AF">
            <w:pPr>
              <w:spacing w:line="320" w:lineRule="exact"/>
              <w:jc w:val="center"/>
              <w:rPr>
                <w:color w:val="000000"/>
                <w:kern w:val="0"/>
                <w:sz w:val="18"/>
                <w:szCs w:val="18"/>
              </w:rPr>
            </w:pPr>
            <w:r>
              <w:rPr>
                <w:rFonts w:hint="eastAsia"/>
                <w:color w:val="000000"/>
                <w:kern w:val="0"/>
                <w:sz w:val="18"/>
                <w:szCs w:val="18"/>
              </w:rPr>
              <w:t>裁量基准</w:t>
            </w:r>
          </w:p>
        </w:tc>
      </w:tr>
      <w:tr w14:paraId="5BC5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4" w:hRule="atLeast"/>
        </w:trPr>
        <w:tc>
          <w:tcPr>
            <w:tcW w:w="1010" w:type="dxa"/>
            <w:vAlign w:val="center"/>
          </w:tcPr>
          <w:p w14:paraId="618FF1D8">
            <w:pPr>
              <w:rPr>
                <w:color w:val="000000"/>
                <w:kern w:val="0"/>
                <w:sz w:val="18"/>
                <w:szCs w:val="18"/>
              </w:rPr>
            </w:pPr>
            <w:r>
              <w:rPr>
                <w:rFonts w:hint="eastAsia"/>
                <w:color w:val="000000"/>
                <w:kern w:val="0"/>
                <w:sz w:val="18"/>
                <w:szCs w:val="18"/>
              </w:rPr>
              <w:t>情形描述</w:t>
            </w:r>
          </w:p>
        </w:tc>
        <w:tc>
          <w:tcPr>
            <w:tcW w:w="6376" w:type="dxa"/>
            <w:vAlign w:val="center"/>
          </w:tcPr>
          <w:p w14:paraId="5B871F1B">
            <w:pPr>
              <w:spacing w:line="320" w:lineRule="exact"/>
              <w:jc w:val="left"/>
              <w:rPr>
                <w:color w:val="000000"/>
                <w:kern w:val="0"/>
                <w:sz w:val="18"/>
                <w:szCs w:val="18"/>
              </w:rPr>
            </w:pPr>
          </w:p>
        </w:tc>
        <w:tc>
          <w:tcPr>
            <w:tcW w:w="1016" w:type="dxa"/>
            <w:vAlign w:val="center"/>
          </w:tcPr>
          <w:p w14:paraId="775A9EE0">
            <w:pPr>
              <w:rPr>
                <w:color w:val="000000"/>
                <w:kern w:val="0"/>
                <w:sz w:val="18"/>
                <w:szCs w:val="18"/>
              </w:rPr>
            </w:pPr>
            <w:r>
              <w:rPr>
                <w:rFonts w:hint="eastAsia"/>
                <w:color w:val="000000"/>
                <w:kern w:val="0"/>
                <w:sz w:val="18"/>
                <w:szCs w:val="18"/>
              </w:rPr>
              <w:t>裁量幅度</w:t>
            </w:r>
          </w:p>
        </w:tc>
        <w:tc>
          <w:tcPr>
            <w:tcW w:w="5614" w:type="dxa"/>
            <w:vAlign w:val="center"/>
          </w:tcPr>
          <w:p w14:paraId="155A2F0A">
            <w:pPr>
              <w:rPr>
                <w:color w:val="000000"/>
                <w:kern w:val="0"/>
                <w:sz w:val="18"/>
                <w:szCs w:val="18"/>
              </w:rPr>
            </w:pPr>
          </w:p>
        </w:tc>
      </w:tr>
    </w:tbl>
    <w:p w14:paraId="4018019F"/>
    <w:p w14:paraId="707DCB60"/>
    <w:p w14:paraId="6DE478FF"/>
    <w:p w14:paraId="153A54BE"/>
    <w:p w14:paraId="6A8407F2"/>
    <w:p w14:paraId="26E1242F"/>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115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30F82308">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C900B0E">
            <w:pPr>
              <w:spacing w:line="320" w:lineRule="exact"/>
              <w:rPr>
                <w:rFonts w:eastAsia="仿宋_GB2312"/>
                <w:b/>
                <w:bCs/>
                <w:color w:val="000000"/>
                <w:kern w:val="0"/>
                <w:sz w:val="18"/>
                <w:szCs w:val="18"/>
              </w:rPr>
            </w:pPr>
            <w:r>
              <w:rPr>
                <w:rFonts w:eastAsia="仿宋_GB2312"/>
                <w:b/>
                <w:bCs/>
                <w:color w:val="000000"/>
                <w:kern w:val="0"/>
                <w:sz w:val="18"/>
                <w:szCs w:val="18"/>
              </w:rPr>
              <w:t>320217821000</w:t>
            </w:r>
          </w:p>
        </w:tc>
      </w:tr>
      <w:tr w14:paraId="5C7E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5FFFC5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916036A">
            <w:pPr>
              <w:spacing w:line="320" w:lineRule="exact"/>
              <w:jc w:val="left"/>
              <w:rPr>
                <w:color w:val="000000"/>
                <w:spacing w:val="-6"/>
                <w:kern w:val="0"/>
                <w:sz w:val="18"/>
                <w:szCs w:val="18"/>
              </w:rPr>
            </w:pPr>
            <w:r>
              <w:rPr>
                <w:rFonts w:hint="eastAsia"/>
                <w:color w:val="000000"/>
                <w:spacing w:val="-6"/>
                <w:kern w:val="0"/>
                <w:sz w:val="18"/>
                <w:szCs w:val="18"/>
              </w:rPr>
              <w:t>对消防审验技术服务机构出具虚假文件的处罚</w:t>
            </w:r>
          </w:p>
        </w:tc>
      </w:tr>
      <w:tr w14:paraId="7A1D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AB8394C">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1E2A037">
            <w:pPr>
              <w:spacing w:line="320" w:lineRule="exact"/>
              <w:jc w:val="left"/>
              <w:rPr>
                <w:color w:val="000000"/>
                <w:kern w:val="0"/>
                <w:sz w:val="18"/>
                <w:szCs w:val="18"/>
              </w:rPr>
            </w:pPr>
            <w:r>
              <w:rPr>
                <w:rFonts w:hint="eastAsia"/>
                <w:color w:val="000000"/>
                <w:kern w:val="0"/>
                <w:sz w:val="18"/>
                <w:szCs w:val="18"/>
              </w:rPr>
              <w:t>【地方性法规】《江苏省消防条例》</w:t>
            </w:r>
          </w:p>
          <w:p w14:paraId="3461EB1C">
            <w:pPr>
              <w:spacing w:line="320" w:lineRule="exact"/>
              <w:jc w:val="left"/>
              <w:rPr>
                <w:color w:val="000000"/>
                <w:kern w:val="0"/>
                <w:sz w:val="18"/>
                <w:szCs w:val="18"/>
              </w:rPr>
            </w:pPr>
            <w:r>
              <w:rPr>
                <w:rFonts w:hint="eastAsia"/>
                <w:color w:val="000000"/>
                <w:kern w:val="0"/>
                <w:sz w:val="18"/>
                <w:szCs w:val="18"/>
              </w:rPr>
              <w:t xml:space="preserve">        第十九条第二款    建设工程消防设计文件技术审查、竣工验收消防查验、消防验收现场评定等消防审验技术服务机构及其从业人员，应当依法开展消防审验技术服务活动，接受住房和城乡建设主管部门的监督管理。</w:t>
            </w:r>
          </w:p>
          <w:p w14:paraId="22B1AA58">
            <w:pPr>
              <w:spacing w:line="320" w:lineRule="exact"/>
              <w:jc w:val="left"/>
              <w:rPr>
                <w:color w:val="000000"/>
                <w:kern w:val="0"/>
                <w:sz w:val="18"/>
                <w:szCs w:val="18"/>
              </w:rPr>
            </w:pPr>
            <w:r>
              <w:rPr>
                <w:rFonts w:hint="eastAsia"/>
                <w:color w:val="000000"/>
                <w:kern w:val="0"/>
                <w:sz w:val="18"/>
                <w:szCs w:val="18"/>
              </w:rPr>
              <w:t xml:space="preserve">        第七十八条第一款  消防审验技术服务机构出具虚假文件的，由住房和城乡建设主管部门责令改正，处五万元以上十万元以下罚款，并对直接负责的主管人员和其他直接责任人员处一万元以上五万元以下罚款；有违法所得的，没收违法所得；给他人造成损失的，依法承担赔偿责任。</w:t>
            </w:r>
          </w:p>
        </w:tc>
      </w:tr>
      <w:tr w14:paraId="38BE2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828A38C">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B49F322">
            <w:pPr>
              <w:spacing w:line="320" w:lineRule="exact"/>
              <w:jc w:val="left"/>
              <w:rPr>
                <w:color w:val="000000"/>
                <w:kern w:val="0"/>
                <w:sz w:val="18"/>
                <w:szCs w:val="18"/>
              </w:rPr>
            </w:pPr>
            <w:r>
              <w:rPr>
                <w:rFonts w:hint="eastAsia"/>
                <w:color w:val="000000"/>
                <w:kern w:val="0"/>
                <w:sz w:val="18"/>
                <w:szCs w:val="18"/>
              </w:rPr>
              <w:t>责令改正，罚款，没收违法所得</w:t>
            </w:r>
          </w:p>
        </w:tc>
      </w:tr>
      <w:tr w14:paraId="771A2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C51E4B9">
            <w:pPr>
              <w:spacing w:line="320" w:lineRule="exact"/>
              <w:jc w:val="center"/>
              <w:rPr>
                <w:color w:val="000000"/>
                <w:kern w:val="0"/>
                <w:sz w:val="18"/>
                <w:szCs w:val="18"/>
              </w:rPr>
            </w:pPr>
            <w:r>
              <w:rPr>
                <w:rFonts w:hint="eastAsia"/>
                <w:color w:val="000000"/>
                <w:kern w:val="0"/>
                <w:sz w:val="18"/>
                <w:szCs w:val="18"/>
              </w:rPr>
              <w:t>裁量基准</w:t>
            </w:r>
          </w:p>
        </w:tc>
      </w:tr>
      <w:tr w14:paraId="686D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010" w:type="dxa"/>
            <w:vAlign w:val="center"/>
          </w:tcPr>
          <w:p w14:paraId="4DA90F10">
            <w:pPr>
              <w:rPr>
                <w:color w:val="000000"/>
                <w:kern w:val="0"/>
                <w:sz w:val="18"/>
                <w:szCs w:val="18"/>
              </w:rPr>
            </w:pPr>
            <w:r>
              <w:rPr>
                <w:rFonts w:hint="eastAsia"/>
                <w:color w:val="000000"/>
                <w:kern w:val="0"/>
                <w:sz w:val="18"/>
                <w:szCs w:val="18"/>
              </w:rPr>
              <w:t>情形描述</w:t>
            </w:r>
          </w:p>
        </w:tc>
        <w:tc>
          <w:tcPr>
            <w:tcW w:w="6376" w:type="dxa"/>
            <w:vAlign w:val="center"/>
          </w:tcPr>
          <w:p w14:paraId="6F699E56">
            <w:pPr>
              <w:spacing w:line="260" w:lineRule="exact"/>
              <w:rPr>
                <w:color w:val="000000"/>
                <w:kern w:val="0"/>
                <w:sz w:val="18"/>
                <w:szCs w:val="18"/>
              </w:rPr>
            </w:pPr>
          </w:p>
        </w:tc>
        <w:tc>
          <w:tcPr>
            <w:tcW w:w="1016" w:type="dxa"/>
            <w:vAlign w:val="center"/>
          </w:tcPr>
          <w:p w14:paraId="46601C6F">
            <w:pPr>
              <w:rPr>
                <w:color w:val="000000"/>
                <w:kern w:val="0"/>
                <w:sz w:val="18"/>
                <w:szCs w:val="18"/>
              </w:rPr>
            </w:pPr>
            <w:r>
              <w:rPr>
                <w:rFonts w:hint="eastAsia"/>
                <w:color w:val="000000"/>
                <w:kern w:val="0"/>
                <w:sz w:val="18"/>
                <w:szCs w:val="18"/>
              </w:rPr>
              <w:t>裁量幅度</w:t>
            </w:r>
          </w:p>
        </w:tc>
        <w:tc>
          <w:tcPr>
            <w:tcW w:w="5614" w:type="dxa"/>
            <w:vAlign w:val="center"/>
          </w:tcPr>
          <w:p w14:paraId="477C369C">
            <w:pPr>
              <w:rPr>
                <w:color w:val="000000"/>
                <w:kern w:val="0"/>
                <w:sz w:val="18"/>
                <w:szCs w:val="18"/>
              </w:rPr>
            </w:pPr>
          </w:p>
        </w:tc>
      </w:tr>
    </w:tbl>
    <w:p w14:paraId="3D30A848"/>
    <w:p w14:paraId="6E11BFF0"/>
    <w:p w14:paraId="1F335A18"/>
    <w:p w14:paraId="37E06414"/>
    <w:p w14:paraId="51C08A0B"/>
    <w:p w14:paraId="5AB9AC91"/>
    <w:p w14:paraId="037CF35D">
      <w:pPr>
        <w:rPr>
          <w:rFonts w:hint="eastAsia" w:eastAsia="宋体"/>
          <w:lang w:eastAsia="zh-CN"/>
        </w:rPr>
      </w:pPr>
    </w:p>
    <w:p w14:paraId="3D0E8FCB">
      <w:pPr>
        <w:rPr>
          <w:rFonts w:hint="eastAsia" w:eastAsia="宋体"/>
          <w:lang w:eastAsia="zh-CN"/>
        </w:rPr>
      </w:pPr>
    </w:p>
    <w:p w14:paraId="7E299F6E"/>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D7A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0F4D5C2D">
            <w:pPr>
              <w:spacing w:line="320" w:lineRule="exact"/>
              <w:jc w:val="center"/>
              <w:rPr>
                <w:color w:val="000000"/>
                <w:kern w:val="0"/>
                <w:sz w:val="18"/>
                <w:szCs w:val="18"/>
              </w:rPr>
            </w:pPr>
          </w:p>
        </w:tc>
        <w:tc>
          <w:tcPr>
            <w:tcW w:w="13006" w:type="dxa"/>
            <w:gridSpan w:val="3"/>
            <w:vAlign w:val="center"/>
          </w:tcPr>
          <w:p w14:paraId="3139DFB8">
            <w:pPr>
              <w:spacing w:line="320" w:lineRule="exact"/>
              <w:rPr>
                <w:rFonts w:eastAsia="仿宋_GB2312"/>
                <w:b/>
                <w:bCs/>
                <w:color w:val="000000"/>
                <w:kern w:val="0"/>
                <w:sz w:val="18"/>
                <w:szCs w:val="18"/>
              </w:rPr>
            </w:pPr>
            <w:r>
              <w:rPr>
                <w:rFonts w:eastAsia="仿宋_GB2312"/>
                <w:b/>
                <w:bCs/>
                <w:color w:val="000000"/>
                <w:kern w:val="0"/>
                <w:sz w:val="18"/>
                <w:szCs w:val="18"/>
              </w:rPr>
              <w:t>320217830000</w:t>
            </w:r>
          </w:p>
        </w:tc>
      </w:tr>
      <w:tr w14:paraId="7541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0DB48B0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5FCFF48">
            <w:pPr>
              <w:spacing w:line="320" w:lineRule="exact"/>
              <w:jc w:val="left"/>
              <w:rPr>
                <w:color w:val="000000"/>
                <w:spacing w:val="-6"/>
                <w:kern w:val="0"/>
                <w:sz w:val="18"/>
                <w:szCs w:val="18"/>
              </w:rPr>
            </w:pPr>
            <w:r>
              <w:rPr>
                <w:rFonts w:hint="eastAsia"/>
                <w:color w:val="000000"/>
                <w:spacing w:val="-6"/>
                <w:kern w:val="0"/>
                <w:sz w:val="18"/>
                <w:szCs w:val="18"/>
              </w:rPr>
              <w:t>对招标人、投标人、招标代理机构、电子招标投标交易系统的开发建设或者运营机构拒绝依法实施的监督检查，或者在监督检查中提供虚假情况的处罚</w:t>
            </w:r>
          </w:p>
        </w:tc>
      </w:tr>
      <w:tr w14:paraId="4B99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2D210BA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0A4E238">
            <w:pPr>
              <w:spacing w:line="320" w:lineRule="exact"/>
              <w:jc w:val="left"/>
              <w:rPr>
                <w:color w:val="000000"/>
                <w:kern w:val="0"/>
                <w:sz w:val="18"/>
                <w:szCs w:val="18"/>
              </w:rPr>
            </w:pPr>
            <w:r>
              <w:rPr>
                <w:rFonts w:hint="eastAsia"/>
                <w:color w:val="000000"/>
                <w:kern w:val="0"/>
                <w:sz w:val="18"/>
                <w:szCs w:val="18"/>
              </w:rPr>
              <w:t>【地方性法规】《江苏省招标投标条例》</w:t>
            </w:r>
          </w:p>
          <w:p w14:paraId="7F521CC6">
            <w:pPr>
              <w:spacing w:line="320" w:lineRule="exact"/>
              <w:jc w:val="left"/>
              <w:rPr>
                <w:color w:val="000000"/>
                <w:kern w:val="0"/>
                <w:sz w:val="18"/>
                <w:szCs w:val="18"/>
              </w:rPr>
            </w:pPr>
            <w:r>
              <w:rPr>
                <w:rFonts w:hint="eastAsia"/>
                <w:color w:val="000000"/>
                <w:kern w:val="0"/>
                <w:sz w:val="18"/>
                <w:szCs w:val="18"/>
              </w:rPr>
              <w:t xml:space="preserve">        第五条第二款   县级以上地方人民政府工业和信息化、住房城乡建设、交通运输、水利、商务等部门（以下统称招标投标行政监督部门）根据各自职责，对招标投标活动实施监督管理，依法查处招标投标活动中的违法行为。</w:t>
            </w:r>
          </w:p>
          <w:p w14:paraId="272D733A">
            <w:pPr>
              <w:spacing w:line="320" w:lineRule="exact"/>
              <w:jc w:val="left"/>
              <w:rPr>
                <w:color w:val="000000"/>
                <w:kern w:val="0"/>
                <w:sz w:val="18"/>
                <w:szCs w:val="18"/>
              </w:rPr>
            </w:pPr>
            <w:r>
              <w:rPr>
                <w:rFonts w:hint="eastAsia"/>
                <w:color w:val="000000"/>
                <w:kern w:val="0"/>
                <w:sz w:val="18"/>
                <w:szCs w:val="18"/>
              </w:rPr>
              <w:t xml:space="preserve">        第七十七条 招标人、投标人、招标代理机构、电子招标投标交易系统的开发建设或者运营机构拒绝依法实施的监督检查，或者在监督检查中提供虚假情况的，由招标投标行政监督部门责令改正，给予警告，可以处十万元以上二十万元以下的罚款。</w:t>
            </w:r>
          </w:p>
        </w:tc>
      </w:tr>
      <w:tr w14:paraId="7BE6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51D505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644893F1">
            <w:pPr>
              <w:spacing w:line="320" w:lineRule="exact"/>
              <w:jc w:val="left"/>
              <w:rPr>
                <w:color w:val="000000"/>
                <w:kern w:val="0"/>
                <w:sz w:val="18"/>
                <w:szCs w:val="18"/>
              </w:rPr>
            </w:pPr>
            <w:r>
              <w:rPr>
                <w:rFonts w:hint="eastAsia"/>
                <w:color w:val="000000"/>
                <w:kern w:val="0"/>
                <w:sz w:val="18"/>
                <w:szCs w:val="18"/>
              </w:rPr>
              <w:t>责令改正，警告，罚款</w:t>
            </w:r>
          </w:p>
        </w:tc>
      </w:tr>
      <w:tr w14:paraId="1078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2FDDC01A">
            <w:pPr>
              <w:spacing w:line="320" w:lineRule="exact"/>
              <w:jc w:val="center"/>
              <w:rPr>
                <w:color w:val="000000"/>
                <w:kern w:val="0"/>
                <w:sz w:val="18"/>
                <w:szCs w:val="18"/>
              </w:rPr>
            </w:pPr>
            <w:r>
              <w:rPr>
                <w:rFonts w:hint="eastAsia"/>
                <w:color w:val="000000"/>
                <w:kern w:val="0"/>
                <w:sz w:val="18"/>
                <w:szCs w:val="18"/>
              </w:rPr>
              <w:t>裁量基准</w:t>
            </w:r>
          </w:p>
        </w:tc>
      </w:tr>
      <w:tr w14:paraId="101D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1B64768">
            <w:pPr>
              <w:rPr>
                <w:color w:val="000000"/>
                <w:kern w:val="0"/>
                <w:sz w:val="18"/>
                <w:szCs w:val="18"/>
              </w:rPr>
            </w:pPr>
            <w:r>
              <w:rPr>
                <w:rFonts w:hint="eastAsia"/>
                <w:color w:val="000000"/>
                <w:kern w:val="0"/>
                <w:sz w:val="18"/>
                <w:szCs w:val="18"/>
              </w:rPr>
              <w:t>情形描述</w:t>
            </w:r>
          </w:p>
        </w:tc>
        <w:tc>
          <w:tcPr>
            <w:tcW w:w="6376" w:type="dxa"/>
            <w:vAlign w:val="center"/>
          </w:tcPr>
          <w:p w14:paraId="570FD026">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1E8F8DD7">
            <w:pPr>
              <w:rPr>
                <w:color w:val="000000"/>
                <w:kern w:val="0"/>
                <w:sz w:val="18"/>
                <w:szCs w:val="18"/>
              </w:rPr>
            </w:pPr>
            <w:r>
              <w:rPr>
                <w:rFonts w:hint="eastAsia"/>
                <w:color w:val="000000"/>
                <w:kern w:val="0"/>
                <w:sz w:val="18"/>
                <w:szCs w:val="18"/>
              </w:rPr>
              <w:t>裁量幅度</w:t>
            </w:r>
          </w:p>
        </w:tc>
        <w:tc>
          <w:tcPr>
            <w:tcW w:w="5614" w:type="dxa"/>
            <w:vAlign w:val="center"/>
          </w:tcPr>
          <w:p w14:paraId="0730CF75">
            <w:pPr>
              <w:rPr>
                <w:color w:val="000000"/>
                <w:kern w:val="0"/>
                <w:sz w:val="18"/>
                <w:szCs w:val="18"/>
              </w:rPr>
            </w:pPr>
            <w:r>
              <w:rPr>
                <w:rFonts w:hint="eastAsia"/>
                <w:color w:val="000000"/>
                <w:kern w:val="0"/>
                <w:sz w:val="18"/>
                <w:szCs w:val="18"/>
              </w:rPr>
              <w:t>处10万元以上15万元以下的罚款</w:t>
            </w:r>
          </w:p>
        </w:tc>
      </w:tr>
      <w:tr w14:paraId="3BBA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E9CA19D">
            <w:pPr>
              <w:spacing w:line="320" w:lineRule="exact"/>
              <w:jc w:val="left"/>
              <w:rPr>
                <w:color w:val="000000"/>
                <w:kern w:val="0"/>
                <w:sz w:val="18"/>
                <w:szCs w:val="18"/>
              </w:rPr>
            </w:pPr>
          </w:p>
        </w:tc>
        <w:tc>
          <w:tcPr>
            <w:tcW w:w="6376" w:type="dxa"/>
            <w:vAlign w:val="center"/>
          </w:tcPr>
          <w:p w14:paraId="7D533BB3">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40ABC510">
            <w:pPr>
              <w:spacing w:line="320" w:lineRule="exact"/>
              <w:jc w:val="left"/>
              <w:rPr>
                <w:color w:val="000000"/>
                <w:kern w:val="0"/>
                <w:sz w:val="18"/>
                <w:szCs w:val="18"/>
              </w:rPr>
            </w:pPr>
          </w:p>
        </w:tc>
        <w:tc>
          <w:tcPr>
            <w:tcW w:w="5614" w:type="dxa"/>
            <w:vAlign w:val="center"/>
          </w:tcPr>
          <w:p w14:paraId="44AC4F18">
            <w:pPr>
              <w:rPr>
                <w:color w:val="000000"/>
                <w:kern w:val="0"/>
                <w:sz w:val="18"/>
                <w:szCs w:val="18"/>
              </w:rPr>
            </w:pPr>
            <w:r>
              <w:rPr>
                <w:rFonts w:hint="eastAsia"/>
                <w:color w:val="000000"/>
                <w:kern w:val="0"/>
                <w:sz w:val="18"/>
                <w:szCs w:val="18"/>
              </w:rPr>
              <w:t>处15万元以上20万元以下的罚款</w:t>
            </w:r>
          </w:p>
        </w:tc>
      </w:tr>
    </w:tbl>
    <w:p w14:paraId="1FED5BD7"/>
    <w:p w14:paraId="12A63066"/>
    <w:p w14:paraId="597BE9DF"/>
    <w:p w14:paraId="308B8D89"/>
    <w:p w14:paraId="3A5500BE"/>
    <w:p w14:paraId="51A5778F"/>
    <w:p w14:paraId="2D1A62D2"/>
    <w:p w14:paraId="6FE80FEE"/>
    <w:p w14:paraId="2C678BFE"/>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DB3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C5179F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40418CC">
            <w:pPr>
              <w:spacing w:line="320" w:lineRule="exact"/>
              <w:rPr>
                <w:rFonts w:eastAsia="仿宋_GB2312"/>
                <w:b/>
                <w:bCs/>
                <w:color w:val="000000"/>
                <w:kern w:val="0"/>
                <w:sz w:val="18"/>
                <w:szCs w:val="18"/>
              </w:rPr>
            </w:pPr>
            <w:r>
              <w:rPr>
                <w:rFonts w:eastAsia="仿宋_GB2312"/>
                <w:b/>
                <w:bCs/>
                <w:color w:val="000000"/>
                <w:kern w:val="0"/>
                <w:sz w:val="18"/>
                <w:szCs w:val="18"/>
              </w:rPr>
              <w:t>320217831000</w:t>
            </w:r>
          </w:p>
        </w:tc>
      </w:tr>
      <w:tr w14:paraId="5AE7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0EB52D2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6FEF43C">
            <w:pPr>
              <w:spacing w:line="320" w:lineRule="exact"/>
              <w:jc w:val="left"/>
              <w:rPr>
                <w:color w:val="000000"/>
                <w:spacing w:val="-6"/>
                <w:kern w:val="0"/>
                <w:sz w:val="18"/>
                <w:szCs w:val="18"/>
              </w:rPr>
            </w:pPr>
            <w:r>
              <w:rPr>
                <w:rFonts w:hint="eastAsia"/>
                <w:color w:val="000000"/>
                <w:spacing w:val="-6"/>
                <w:kern w:val="0"/>
                <w:sz w:val="18"/>
                <w:szCs w:val="18"/>
              </w:rPr>
              <w:t>对招标代理机构接受招标人违法的委托内容和要求，或者在招标活动中弄虚作假的处罚</w:t>
            </w:r>
          </w:p>
        </w:tc>
      </w:tr>
      <w:tr w14:paraId="3B77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02E45C8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9CF2141">
            <w:pPr>
              <w:spacing w:line="320" w:lineRule="exact"/>
              <w:jc w:val="left"/>
              <w:rPr>
                <w:color w:val="000000"/>
                <w:kern w:val="0"/>
                <w:sz w:val="18"/>
                <w:szCs w:val="18"/>
              </w:rPr>
            </w:pPr>
            <w:r>
              <w:rPr>
                <w:rFonts w:hint="eastAsia"/>
                <w:color w:val="000000"/>
                <w:kern w:val="0"/>
                <w:sz w:val="18"/>
                <w:szCs w:val="18"/>
              </w:rPr>
              <w:t>【地方性法规】《江苏省招标投标条例》</w:t>
            </w:r>
          </w:p>
          <w:p w14:paraId="56127EBB">
            <w:pPr>
              <w:spacing w:line="320" w:lineRule="exact"/>
              <w:jc w:val="left"/>
              <w:rPr>
                <w:color w:val="000000"/>
                <w:kern w:val="0"/>
                <w:sz w:val="18"/>
                <w:szCs w:val="18"/>
              </w:rPr>
            </w:pPr>
            <w:r>
              <w:rPr>
                <w:rFonts w:hint="eastAsia"/>
                <w:color w:val="000000"/>
                <w:kern w:val="0"/>
                <w:sz w:val="18"/>
                <w:szCs w:val="18"/>
              </w:rPr>
              <w:t xml:space="preserve">        第五条第二款   县级以上地方人民政府工业和信息化、住房城乡建设、交通运输、水利、商务等部门（以下统称招标投标行政监督部门）根据各自职责，对招标投标活动实施监督管理，依法查处招标投标活动中的违法行为。</w:t>
            </w:r>
          </w:p>
          <w:p w14:paraId="21578453">
            <w:pPr>
              <w:spacing w:line="320" w:lineRule="exact"/>
              <w:jc w:val="left"/>
              <w:rPr>
                <w:color w:val="000000"/>
                <w:kern w:val="0"/>
                <w:sz w:val="18"/>
                <w:szCs w:val="18"/>
              </w:rPr>
            </w:pPr>
            <w:r>
              <w:rPr>
                <w:rFonts w:hint="eastAsia"/>
                <w:color w:val="000000"/>
                <w:kern w:val="0"/>
                <w:sz w:val="18"/>
                <w:szCs w:val="18"/>
              </w:rPr>
              <w:t xml:space="preserve">        第十九条第二款 招标代理机构应当依法依规、诚信自律经营，不得有下列行为：</w:t>
            </w:r>
          </w:p>
          <w:p w14:paraId="5D8424B5">
            <w:pPr>
              <w:spacing w:line="320" w:lineRule="exact"/>
              <w:jc w:val="left"/>
              <w:rPr>
                <w:color w:val="000000"/>
                <w:kern w:val="0"/>
                <w:sz w:val="18"/>
                <w:szCs w:val="18"/>
              </w:rPr>
            </w:pPr>
            <w:r>
              <w:rPr>
                <w:rFonts w:hint="eastAsia"/>
                <w:color w:val="000000"/>
                <w:kern w:val="0"/>
                <w:sz w:val="18"/>
                <w:szCs w:val="18"/>
              </w:rPr>
              <w:t xml:space="preserve">      （三）接受招标人违法的委托内容和要求；</w:t>
            </w:r>
          </w:p>
          <w:p w14:paraId="7C420B53">
            <w:pPr>
              <w:spacing w:line="320" w:lineRule="exact"/>
              <w:jc w:val="left"/>
              <w:rPr>
                <w:color w:val="000000"/>
                <w:kern w:val="0"/>
                <w:sz w:val="18"/>
                <w:szCs w:val="18"/>
              </w:rPr>
            </w:pPr>
            <w:r>
              <w:rPr>
                <w:rFonts w:hint="eastAsia"/>
                <w:color w:val="000000"/>
                <w:kern w:val="0"/>
                <w:sz w:val="18"/>
                <w:szCs w:val="18"/>
              </w:rPr>
              <w:t xml:space="preserve">      （四）组织或者参与弄虚作假；</w:t>
            </w:r>
          </w:p>
          <w:p w14:paraId="0165838C">
            <w:pPr>
              <w:spacing w:line="320" w:lineRule="exact"/>
              <w:jc w:val="left"/>
              <w:rPr>
                <w:color w:val="000000"/>
                <w:kern w:val="0"/>
                <w:sz w:val="18"/>
                <w:szCs w:val="18"/>
              </w:rPr>
            </w:pPr>
            <w:r>
              <w:rPr>
                <w:rFonts w:hint="eastAsia"/>
                <w:color w:val="000000"/>
                <w:kern w:val="0"/>
                <w:sz w:val="18"/>
                <w:szCs w:val="18"/>
              </w:rPr>
              <w:t xml:space="preserve">        第七十四条 招标代理机构违反本条例第十九条第二款第三项、第四项规定，接受招标人违法的委托内容和要求，或者在招标活动中弄虚作假的，由招标投标行政监督部门责令改正，处二万元以上十万元以下的罚款。</w:t>
            </w:r>
          </w:p>
        </w:tc>
      </w:tr>
      <w:tr w14:paraId="3942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13C5F44">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52D07E3">
            <w:pPr>
              <w:spacing w:line="320" w:lineRule="exact"/>
              <w:jc w:val="left"/>
              <w:rPr>
                <w:color w:val="000000"/>
                <w:kern w:val="0"/>
                <w:sz w:val="18"/>
                <w:szCs w:val="18"/>
              </w:rPr>
            </w:pPr>
            <w:r>
              <w:rPr>
                <w:rFonts w:hint="eastAsia"/>
                <w:color w:val="000000"/>
                <w:kern w:val="0"/>
                <w:sz w:val="18"/>
                <w:szCs w:val="18"/>
              </w:rPr>
              <w:t>责令改正，罚款</w:t>
            </w:r>
          </w:p>
        </w:tc>
      </w:tr>
      <w:tr w14:paraId="48F1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93D7E7C">
            <w:pPr>
              <w:spacing w:line="320" w:lineRule="exact"/>
              <w:jc w:val="center"/>
              <w:rPr>
                <w:color w:val="000000"/>
                <w:kern w:val="0"/>
                <w:sz w:val="18"/>
                <w:szCs w:val="18"/>
              </w:rPr>
            </w:pPr>
            <w:r>
              <w:rPr>
                <w:rFonts w:hint="eastAsia"/>
                <w:color w:val="000000"/>
                <w:kern w:val="0"/>
                <w:sz w:val="18"/>
                <w:szCs w:val="18"/>
              </w:rPr>
              <w:t>裁量基准</w:t>
            </w:r>
          </w:p>
        </w:tc>
      </w:tr>
      <w:tr w14:paraId="7D69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4F1B8EE">
            <w:pPr>
              <w:rPr>
                <w:color w:val="000000"/>
                <w:kern w:val="0"/>
                <w:sz w:val="18"/>
                <w:szCs w:val="18"/>
              </w:rPr>
            </w:pPr>
            <w:r>
              <w:rPr>
                <w:rFonts w:hint="eastAsia"/>
                <w:color w:val="000000"/>
                <w:kern w:val="0"/>
                <w:sz w:val="18"/>
                <w:szCs w:val="18"/>
              </w:rPr>
              <w:t>情形描述</w:t>
            </w:r>
          </w:p>
        </w:tc>
        <w:tc>
          <w:tcPr>
            <w:tcW w:w="6376" w:type="dxa"/>
            <w:vAlign w:val="center"/>
          </w:tcPr>
          <w:p w14:paraId="4142DD48">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0764983A">
            <w:pPr>
              <w:rPr>
                <w:color w:val="000000"/>
                <w:kern w:val="0"/>
                <w:sz w:val="18"/>
                <w:szCs w:val="18"/>
              </w:rPr>
            </w:pPr>
            <w:r>
              <w:rPr>
                <w:rFonts w:hint="eastAsia"/>
                <w:color w:val="000000"/>
                <w:kern w:val="0"/>
                <w:sz w:val="18"/>
                <w:szCs w:val="18"/>
              </w:rPr>
              <w:t>裁量幅度</w:t>
            </w:r>
          </w:p>
        </w:tc>
        <w:tc>
          <w:tcPr>
            <w:tcW w:w="5614" w:type="dxa"/>
            <w:vAlign w:val="center"/>
          </w:tcPr>
          <w:p w14:paraId="10014934">
            <w:pPr>
              <w:rPr>
                <w:color w:val="000000"/>
                <w:kern w:val="0"/>
                <w:sz w:val="18"/>
                <w:szCs w:val="18"/>
              </w:rPr>
            </w:pPr>
            <w:r>
              <w:rPr>
                <w:rFonts w:hint="eastAsia"/>
                <w:color w:val="000000"/>
                <w:kern w:val="0"/>
                <w:sz w:val="18"/>
                <w:szCs w:val="18"/>
              </w:rPr>
              <w:t>处2万元以上10万元以下的罚款</w:t>
            </w:r>
          </w:p>
        </w:tc>
      </w:tr>
      <w:tr w14:paraId="00D2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4FF4DB51">
            <w:pPr>
              <w:spacing w:line="320" w:lineRule="exact"/>
              <w:jc w:val="left"/>
              <w:rPr>
                <w:color w:val="000000"/>
                <w:kern w:val="0"/>
                <w:sz w:val="18"/>
                <w:szCs w:val="18"/>
              </w:rPr>
            </w:pPr>
          </w:p>
        </w:tc>
        <w:tc>
          <w:tcPr>
            <w:tcW w:w="6376" w:type="dxa"/>
            <w:vAlign w:val="center"/>
          </w:tcPr>
          <w:p w14:paraId="0513D8DC">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4FC63B3">
            <w:pPr>
              <w:spacing w:line="320" w:lineRule="exact"/>
              <w:jc w:val="left"/>
              <w:rPr>
                <w:color w:val="000000"/>
                <w:kern w:val="0"/>
                <w:sz w:val="18"/>
                <w:szCs w:val="18"/>
              </w:rPr>
            </w:pPr>
          </w:p>
        </w:tc>
        <w:tc>
          <w:tcPr>
            <w:tcW w:w="5614" w:type="dxa"/>
            <w:vAlign w:val="center"/>
          </w:tcPr>
          <w:p w14:paraId="3CDE4685">
            <w:pPr>
              <w:rPr>
                <w:color w:val="000000"/>
                <w:kern w:val="0"/>
                <w:sz w:val="18"/>
                <w:szCs w:val="18"/>
              </w:rPr>
            </w:pPr>
            <w:r>
              <w:rPr>
                <w:rFonts w:hint="eastAsia"/>
                <w:color w:val="000000"/>
                <w:kern w:val="0"/>
                <w:sz w:val="18"/>
                <w:szCs w:val="18"/>
              </w:rPr>
              <w:t>处10万元以上20万元以下的罚款</w:t>
            </w:r>
          </w:p>
        </w:tc>
      </w:tr>
    </w:tbl>
    <w:p w14:paraId="0B0AF4D9"/>
    <w:p w14:paraId="30AA714E"/>
    <w:p w14:paraId="3F62D41E"/>
    <w:p w14:paraId="097AFCBE"/>
    <w:p w14:paraId="2419DB19"/>
    <w:p w14:paraId="2BE62F8C"/>
    <w:p w14:paraId="24124A64"/>
    <w:p w14:paraId="5BA6FFA5"/>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66B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5C10109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CADE485">
            <w:pPr>
              <w:spacing w:line="320" w:lineRule="exact"/>
              <w:rPr>
                <w:rFonts w:eastAsia="仿宋_GB2312"/>
                <w:b/>
                <w:bCs/>
                <w:color w:val="000000"/>
                <w:kern w:val="0"/>
                <w:sz w:val="18"/>
                <w:szCs w:val="18"/>
              </w:rPr>
            </w:pPr>
            <w:r>
              <w:rPr>
                <w:rFonts w:eastAsia="仿宋_GB2312"/>
                <w:b/>
                <w:bCs/>
                <w:color w:val="000000"/>
                <w:kern w:val="0"/>
                <w:sz w:val="18"/>
                <w:szCs w:val="18"/>
              </w:rPr>
              <w:t>320217832000</w:t>
            </w:r>
          </w:p>
        </w:tc>
      </w:tr>
      <w:tr w14:paraId="6EBD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268F8AB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C3A613C">
            <w:pPr>
              <w:spacing w:line="320" w:lineRule="exact"/>
              <w:jc w:val="left"/>
              <w:rPr>
                <w:color w:val="000000"/>
                <w:spacing w:val="-6"/>
                <w:kern w:val="0"/>
                <w:sz w:val="18"/>
                <w:szCs w:val="18"/>
              </w:rPr>
            </w:pPr>
            <w:r>
              <w:rPr>
                <w:rFonts w:hint="eastAsia"/>
                <w:color w:val="000000"/>
                <w:spacing w:val="-6"/>
                <w:kern w:val="0"/>
                <w:sz w:val="18"/>
                <w:szCs w:val="18"/>
              </w:rPr>
              <w:t>对电子招标投标交易系统运营机构未保存电子档案，电子档案保存时间少于十五年，或者拒绝为招标人查询、获取档案提供便利的处罚</w:t>
            </w:r>
          </w:p>
        </w:tc>
      </w:tr>
      <w:tr w14:paraId="01B2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221A7D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1D91EFF">
            <w:pPr>
              <w:spacing w:line="320" w:lineRule="exact"/>
              <w:jc w:val="left"/>
              <w:rPr>
                <w:color w:val="000000"/>
                <w:kern w:val="0"/>
                <w:sz w:val="18"/>
                <w:szCs w:val="18"/>
              </w:rPr>
            </w:pPr>
            <w:r>
              <w:rPr>
                <w:rFonts w:hint="eastAsia"/>
                <w:color w:val="000000"/>
                <w:kern w:val="0"/>
                <w:sz w:val="18"/>
                <w:szCs w:val="18"/>
              </w:rPr>
              <w:t>【地方性法规】《江苏省招标投标条例》</w:t>
            </w:r>
          </w:p>
          <w:p w14:paraId="4DB9D15C">
            <w:pPr>
              <w:spacing w:line="320" w:lineRule="exact"/>
              <w:jc w:val="left"/>
              <w:rPr>
                <w:color w:val="000000"/>
                <w:kern w:val="0"/>
                <w:sz w:val="18"/>
                <w:szCs w:val="18"/>
              </w:rPr>
            </w:pPr>
            <w:r>
              <w:rPr>
                <w:rFonts w:hint="eastAsia"/>
                <w:color w:val="000000"/>
                <w:kern w:val="0"/>
                <w:sz w:val="18"/>
                <w:szCs w:val="18"/>
              </w:rPr>
              <w:t xml:space="preserve">        第五条第二款   县级以上地方人民政府工业和信息化、住房城乡建设、交通运输、水利、商务等部门（以下统称招标投标行政监督部门）根据各自职责，对招标投标活动实施监督管理，依法查处招标投标活动中的违法行为。</w:t>
            </w:r>
          </w:p>
          <w:p w14:paraId="6EB64B93">
            <w:pPr>
              <w:spacing w:line="320" w:lineRule="exact"/>
              <w:jc w:val="left"/>
              <w:rPr>
                <w:color w:val="000000"/>
                <w:kern w:val="0"/>
                <w:sz w:val="18"/>
                <w:szCs w:val="18"/>
              </w:rPr>
            </w:pPr>
            <w:r>
              <w:rPr>
                <w:rFonts w:hint="eastAsia"/>
                <w:color w:val="000000"/>
                <w:kern w:val="0"/>
                <w:sz w:val="18"/>
                <w:szCs w:val="18"/>
              </w:rPr>
              <w:t xml:space="preserve">       第三十六条第二款   电子招标投标交易系统运营机构应当保存在交易中交互、生成的电子档案，并为招标人查询、获取招标项目档案提供便利。符合档案管理要求的电子档案与纸质档案具有同等效力。依法必须进行招标的项目的档案保存时间不得少于十五年。</w:t>
            </w:r>
          </w:p>
          <w:p w14:paraId="588785DE">
            <w:pPr>
              <w:spacing w:line="320" w:lineRule="exact"/>
              <w:jc w:val="left"/>
              <w:rPr>
                <w:color w:val="000000"/>
                <w:kern w:val="0"/>
                <w:sz w:val="18"/>
                <w:szCs w:val="18"/>
              </w:rPr>
            </w:pPr>
            <w:r>
              <w:rPr>
                <w:rFonts w:hint="eastAsia"/>
                <w:color w:val="000000"/>
                <w:kern w:val="0"/>
                <w:sz w:val="18"/>
                <w:szCs w:val="18"/>
              </w:rPr>
              <w:t xml:space="preserve">      第七十五条 电子招标投标交易系统运营机构违反本条例第三十六条第二款规定，未保存电子档案，电子档案保存时间少于十五年，或者拒绝为招标人查询、获取档案提供便利的，由招标投标行政监督部门责令改正，可以处一万元以上十万元以下的罚款。</w:t>
            </w:r>
          </w:p>
        </w:tc>
      </w:tr>
      <w:tr w14:paraId="69CF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8E89B42">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A1ED47A">
            <w:pPr>
              <w:spacing w:line="320" w:lineRule="exact"/>
              <w:jc w:val="left"/>
              <w:rPr>
                <w:color w:val="000000"/>
                <w:kern w:val="0"/>
                <w:sz w:val="18"/>
                <w:szCs w:val="18"/>
              </w:rPr>
            </w:pPr>
            <w:r>
              <w:rPr>
                <w:rFonts w:hint="eastAsia"/>
                <w:color w:val="000000"/>
                <w:kern w:val="0"/>
                <w:sz w:val="18"/>
                <w:szCs w:val="18"/>
              </w:rPr>
              <w:t>责令改正，罚款</w:t>
            </w:r>
          </w:p>
        </w:tc>
      </w:tr>
      <w:tr w14:paraId="2C6B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39B0126">
            <w:pPr>
              <w:spacing w:line="320" w:lineRule="exact"/>
              <w:jc w:val="center"/>
              <w:rPr>
                <w:color w:val="000000"/>
                <w:kern w:val="0"/>
                <w:sz w:val="18"/>
                <w:szCs w:val="18"/>
              </w:rPr>
            </w:pPr>
            <w:r>
              <w:rPr>
                <w:rFonts w:hint="eastAsia"/>
                <w:color w:val="000000"/>
                <w:kern w:val="0"/>
                <w:sz w:val="18"/>
                <w:szCs w:val="18"/>
              </w:rPr>
              <w:t>裁量基准</w:t>
            </w:r>
          </w:p>
        </w:tc>
      </w:tr>
      <w:tr w14:paraId="69A1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475CB40">
            <w:pPr>
              <w:rPr>
                <w:color w:val="000000"/>
                <w:kern w:val="0"/>
                <w:sz w:val="18"/>
                <w:szCs w:val="18"/>
              </w:rPr>
            </w:pPr>
            <w:r>
              <w:rPr>
                <w:rFonts w:hint="eastAsia"/>
                <w:color w:val="000000"/>
                <w:kern w:val="0"/>
                <w:sz w:val="18"/>
                <w:szCs w:val="18"/>
              </w:rPr>
              <w:t>情形描述</w:t>
            </w:r>
          </w:p>
        </w:tc>
        <w:tc>
          <w:tcPr>
            <w:tcW w:w="6376" w:type="dxa"/>
            <w:vAlign w:val="center"/>
          </w:tcPr>
          <w:p w14:paraId="676F1145">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1A6ED510">
            <w:pPr>
              <w:rPr>
                <w:color w:val="000000"/>
                <w:kern w:val="0"/>
                <w:sz w:val="18"/>
                <w:szCs w:val="18"/>
              </w:rPr>
            </w:pPr>
            <w:r>
              <w:rPr>
                <w:rFonts w:hint="eastAsia"/>
                <w:color w:val="000000"/>
                <w:kern w:val="0"/>
                <w:sz w:val="18"/>
                <w:szCs w:val="18"/>
              </w:rPr>
              <w:t>裁量幅度</w:t>
            </w:r>
          </w:p>
        </w:tc>
        <w:tc>
          <w:tcPr>
            <w:tcW w:w="5614" w:type="dxa"/>
            <w:vAlign w:val="center"/>
          </w:tcPr>
          <w:p w14:paraId="2FF4095C">
            <w:pPr>
              <w:rPr>
                <w:color w:val="000000"/>
                <w:kern w:val="0"/>
                <w:sz w:val="18"/>
                <w:szCs w:val="18"/>
              </w:rPr>
            </w:pPr>
            <w:r>
              <w:rPr>
                <w:rFonts w:hint="eastAsia"/>
                <w:color w:val="000000"/>
                <w:kern w:val="0"/>
                <w:sz w:val="18"/>
                <w:szCs w:val="18"/>
              </w:rPr>
              <w:t>处1万元以上5万元以下的罚款</w:t>
            </w:r>
          </w:p>
        </w:tc>
      </w:tr>
      <w:tr w14:paraId="54D3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207F3965">
            <w:pPr>
              <w:spacing w:line="320" w:lineRule="exact"/>
              <w:jc w:val="left"/>
              <w:rPr>
                <w:color w:val="000000"/>
                <w:kern w:val="0"/>
                <w:sz w:val="18"/>
                <w:szCs w:val="18"/>
              </w:rPr>
            </w:pPr>
          </w:p>
        </w:tc>
        <w:tc>
          <w:tcPr>
            <w:tcW w:w="6376" w:type="dxa"/>
            <w:vAlign w:val="center"/>
          </w:tcPr>
          <w:p w14:paraId="221803AB">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13201E80">
            <w:pPr>
              <w:spacing w:line="320" w:lineRule="exact"/>
              <w:jc w:val="left"/>
              <w:rPr>
                <w:color w:val="000000"/>
                <w:kern w:val="0"/>
                <w:sz w:val="18"/>
                <w:szCs w:val="18"/>
              </w:rPr>
            </w:pPr>
          </w:p>
        </w:tc>
        <w:tc>
          <w:tcPr>
            <w:tcW w:w="5614" w:type="dxa"/>
            <w:vAlign w:val="center"/>
          </w:tcPr>
          <w:p w14:paraId="0C414E3A">
            <w:pPr>
              <w:rPr>
                <w:color w:val="000000"/>
                <w:kern w:val="0"/>
                <w:sz w:val="18"/>
                <w:szCs w:val="18"/>
              </w:rPr>
            </w:pPr>
            <w:r>
              <w:rPr>
                <w:rFonts w:hint="eastAsia"/>
                <w:color w:val="000000"/>
                <w:kern w:val="0"/>
                <w:sz w:val="18"/>
                <w:szCs w:val="18"/>
              </w:rPr>
              <w:t>处5万元以上10万元以下的罚款</w:t>
            </w:r>
          </w:p>
        </w:tc>
      </w:tr>
    </w:tbl>
    <w:p w14:paraId="0B575D17"/>
    <w:p w14:paraId="452727AF"/>
    <w:p w14:paraId="09EB4F49"/>
    <w:p w14:paraId="59128E56"/>
    <w:p w14:paraId="51582E30"/>
    <w:p w14:paraId="6C7AC24F"/>
    <w:p w14:paraId="5B86E328"/>
    <w:p w14:paraId="078540F3"/>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5031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E91DC1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43CDF47">
            <w:pPr>
              <w:spacing w:line="320" w:lineRule="exact"/>
              <w:rPr>
                <w:rFonts w:eastAsia="仿宋_GB2312"/>
                <w:b/>
                <w:bCs/>
                <w:color w:val="000000"/>
                <w:kern w:val="0"/>
                <w:sz w:val="18"/>
                <w:szCs w:val="18"/>
              </w:rPr>
            </w:pPr>
            <w:r>
              <w:rPr>
                <w:rFonts w:eastAsia="仿宋_GB2312"/>
                <w:b/>
                <w:bCs/>
                <w:color w:val="000000"/>
                <w:kern w:val="0"/>
                <w:sz w:val="18"/>
                <w:szCs w:val="18"/>
              </w:rPr>
              <w:t>320217833000</w:t>
            </w:r>
          </w:p>
        </w:tc>
      </w:tr>
      <w:tr w14:paraId="44CE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E8FE9A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47FF1830">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对工程勘察企业项目负责人未对归档资料签字确认的处罚</w:t>
            </w:r>
          </w:p>
        </w:tc>
      </w:tr>
      <w:tr w14:paraId="70E9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56EE4FB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8873795">
            <w:pPr>
              <w:spacing w:line="320" w:lineRule="exact"/>
              <w:jc w:val="left"/>
              <w:rPr>
                <w:color w:val="000000"/>
                <w:kern w:val="0"/>
                <w:sz w:val="18"/>
                <w:szCs w:val="18"/>
              </w:rPr>
            </w:pPr>
            <w:r>
              <w:rPr>
                <w:rFonts w:hint="eastAsia"/>
                <w:color w:val="000000"/>
                <w:kern w:val="0"/>
                <w:sz w:val="18"/>
                <w:szCs w:val="18"/>
              </w:rPr>
              <w:t xml:space="preserve">       【规章】《建设工程勘察质量管理办法》（建设部令第115号，建设部令第163号、第53号修改）    </w:t>
            </w:r>
          </w:p>
          <w:p w14:paraId="6BC7F31D">
            <w:pPr>
              <w:spacing w:line="320" w:lineRule="exact"/>
              <w:jc w:val="left"/>
              <w:rPr>
                <w:color w:val="000000"/>
                <w:kern w:val="0"/>
                <w:sz w:val="18"/>
                <w:szCs w:val="18"/>
              </w:rPr>
            </w:pPr>
            <w:r>
              <w:rPr>
                <w:rFonts w:hint="eastAsia"/>
                <w:color w:val="000000"/>
                <w:kern w:val="0"/>
                <w:sz w:val="18"/>
                <w:szCs w:val="18"/>
              </w:rPr>
              <w:t>　    第十七条 工程勘察企业应当建立工程勘察档案管理制度。工程勘察企业应当在勘察报告提交建设单位后20日内将工程勘察文件和勘探、试验、测试原始记录及成果、质量安全管理记录归档保存。归档资料应当经项目负责人签字确认，保存期限应当不少于工程的设计使用年限。</w:t>
            </w:r>
          </w:p>
          <w:p w14:paraId="5237764F">
            <w:pPr>
              <w:spacing w:line="320" w:lineRule="exact"/>
              <w:jc w:val="left"/>
              <w:rPr>
                <w:color w:val="000000"/>
                <w:kern w:val="0"/>
                <w:sz w:val="18"/>
                <w:szCs w:val="18"/>
              </w:rPr>
            </w:pPr>
            <w:r>
              <w:rPr>
                <w:rFonts w:hint="eastAsia"/>
                <w:color w:val="000000"/>
                <w:kern w:val="0"/>
                <w:sz w:val="18"/>
                <w:szCs w:val="18"/>
              </w:rPr>
              <w:t>　　国家鼓励工程勘察企业推进传统载体档案数字化。电子档案与传统载体档案具有同等效力。</w:t>
            </w:r>
          </w:p>
          <w:p w14:paraId="0E7AC3BC">
            <w:pPr>
              <w:spacing w:line="320" w:lineRule="exact"/>
              <w:jc w:val="left"/>
              <w:rPr>
                <w:color w:val="000000"/>
                <w:kern w:val="0"/>
                <w:sz w:val="18"/>
                <w:szCs w:val="18"/>
              </w:rPr>
            </w:pPr>
            <w:r>
              <w:rPr>
                <w:rFonts w:hint="eastAsia"/>
                <w:color w:val="000000"/>
                <w:kern w:val="0"/>
                <w:sz w:val="18"/>
                <w:szCs w:val="18"/>
              </w:rPr>
              <w:t xml:space="preserve">        第二十六条    违反本办法规定，工程勘察企业项目负责人有下列行为之一的，由工程勘察质量监督部门责令改正，处1万元以上3万元以下的罚款：</w:t>
            </w:r>
          </w:p>
          <w:p w14:paraId="4C7A66EC">
            <w:pPr>
              <w:spacing w:line="320" w:lineRule="exact"/>
              <w:jc w:val="left"/>
              <w:rPr>
                <w:color w:val="000000"/>
                <w:kern w:val="0"/>
                <w:sz w:val="18"/>
                <w:szCs w:val="18"/>
              </w:rPr>
            </w:pPr>
            <w:r>
              <w:rPr>
                <w:rFonts w:hint="eastAsia"/>
                <w:color w:val="000000"/>
                <w:kern w:val="0"/>
                <w:sz w:val="18"/>
                <w:szCs w:val="18"/>
              </w:rPr>
              <w:t>　（五）未对归档资料签字确认。</w:t>
            </w:r>
          </w:p>
          <w:p w14:paraId="5AD219BC">
            <w:pPr>
              <w:spacing w:line="320" w:lineRule="exact"/>
              <w:jc w:val="left"/>
              <w:rPr>
                <w:color w:val="000000"/>
                <w:kern w:val="0"/>
                <w:sz w:val="18"/>
                <w:szCs w:val="18"/>
              </w:rPr>
            </w:pPr>
            <w:r>
              <w:rPr>
                <w:color w:val="000000"/>
                <w:kern w:val="0"/>
                <w:sz w:val="18"/>
                <w:szCs w:val="18"/>
              </w:rPr>
              <w:t xml:space="preserve">     </w:t>
            </w:r>
          </w:p>
        </w:tc>
      </w:tr>
      <w:tr w14:paraId="7366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CB455B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809D89B">
            <w:pPr>
              <w:spacing w:line="320" w:lineRule="exact"/>
              <w:jc w:val="left"/>
              <w:rPr>
                <w:color w:val="000000"/>
                <w:kern w:val="0"/>
                <w:sz w:val="18"/>
                <w:szCs w:val="18"/>
              </w:rPr>
            </w:pPr>
            <w:r>
              <w:rPr>
                <w:rFonts w:hint="eastAsia"/>
                <w:color w:val="000000"/>
                <w:kern w:val="0"/>
                <w:sz w:val="18"/>
                <w:szCs w:val="18"/>
              </w:rPr>
              <w:t>责令改正，罚款</w:t>
            </w:r>
          </w:p>
        </w:tc>
      </w:tr>
      <w:tr w14:paraId="7EF6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FAEF0BB">
            <w:pPr>
              <w:spacing w:line="320" w:lineRule="exact"/>
              <w:jc w:val="center"/>
              <w:rPr>
                <w:color w:val="000000"/>
                <w:kern w:val="0"/>
                <w:sz w:val="18"/>
                <w:szCs w:val="18"/>
              </w:rPr>
            </w:pPr>
            <w:r>
              <w:rPr>
                <w:rFonts w:hint="eastAsia"/>
                <w:color w:val="000000"/>
                <w:kern w:val="0"/>
                <w:sz w:val="18"/>
                <w:szCs w:val="18"/>
              </w:rPr>
              <w:t>裁量基准</w:t>
            </w:r>
          </w:p>
        </w:tc>
      </w:tr>
      <w:tr w14:paraId="5B8D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150A73CB">
            <w:pPr>
              <w:rPr>
                <w:color w:val="000000"/>
                <w:kern w:val="0"/>
                <w:sz w:val="18"/>
                <w:szCs w:val="18"/>
              </w:rPr>
            </w:pPr>
            <w:r>
              <w:rPr>
                <w:rFonts w:hint="eastAsia"/>
                <w:color w:val="000000"/>
                <w:kern w:val="0"/>
                <w:sz w:val="18"/>
                <w:szCs w:val="18"/>
              </w:rPr>
              <w:t>情形描述</w:t>
            </w:r>
          </w:p>
        </w:tc>
        <w:tc>
          <w:tcPr>
            <w:tcW w:w="6376" w:type="dxa"/>
            <w:vAlign w:val="center"/>
          </w:tcPr>
          <w:p w14:paraId="65128A0E">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543FEEE2">
            <w:pPr>
              <w:rPr>
                <w:color w:val="000000"/>
                <w:kern w:val="0"/>
                <w:sz w:val="18"/>
                <w:szCs w:val="18"/>
              </w:rPr>
            </w:pPr>
            <w:r>
              <w:rPr>
                <w:rFonts w:hint="eastAsia"/>
                <w:color w:val="000000"/>
                <w:kern w:val="0"/>
                <w:sz w:val="18"/>
                <w:szCs w:val="18"/>
              </w:rPr>
              <w:t>裁量幅度</w:t>
            </w:r>
          </w:p>
        </w:tc>
        <w:tc>
          <w:tcPr>
            <w:tcW w:w="5614" w:type="dxa"/>
            <w:vAlign w:val="center"/>
          </w:tcPr>
          <w:p w14:paraId="51A567BE">
            <w:pPr>
              <w:rPr>
                <w:color w:val="000000"/>
                <w:kern w:val="0"/>
                <w:sz w:val="18"/>
                <w:szCs w:val="18"/>
              </w:rPr>
            </w:pPr>
            <w:r>
              <w:rPr>
                <w:rFonts w:hint="eastAsia"/>
                <w:color w:val="000000"/>
                <w:kern w:val="0"/>
                <w:sz w:val="18"/>
                <w:szCs w:val="18"/>
              </w:rPr>
              <w:t>处1万元以上2万元以下的罚款</w:t>
            </w:r>
          </w:p>
        </w:tc>
      </w:tr>
      <w:tr w14:paraId="0DF05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0657022">
            <w:pPr>
              <w:spacing w:line="320" w:lineRule="exact"/>
              <w:jc w:val="left"/>
              <w:rPr>
                <w:color w:val="000000"/>
                <w:kern w:val="0"/>
                <w:sz w:val="18"/>
                <w:szCs w:val="18"/>
              </w:rPr>
            </w:pPr>
          </w:p>
        </w:tc>
        <w:tc>
          <w:tcPr>
            <w:tcW w:w="6376" w:type="dxa"/>
            <w:vAlign w:val="center"/>
          </w:tcPr>
          <w:p w14:paraId="26C2207F">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199D509E">
            <w:pPr>
              <w:spacing w:line="320" w:lineRule="exact"/>
              <w:jc w:val="left"/>
              <w:rPr>
                <w:color w:val="000000"/>
                <w:kern w:val="0"/>
                <w:sz w:val="18"/>
                <w:szCs w:val="18"/>
              </w:rPr>
            </w:pPr>
          </w:p>
        </w:tc>
        <w:tc>
          <w:tcPr>
            <w:tcW w:w="5614" w:type="dxa"/>
            <w:vAlign w:val="center"/>
          </w:tcPr>
          <w:p w14:paraId="1801DC61">
            <w:pPr>
              <w:rPr>
                <w:color w:val="000000"/>
                <w:kern w:val="0"/>
                <w:sz w:val="18"/>
                <w:szCs w:val="18"/>
              </w:rPr>
            </w:pPr>
            <w:r>
              <w:rPr>
                <w:rFonts w:hint="eastAsia"/>
                <w:color w:val="000000"/>
                <w:kern w:val="0"/>
                <w:sz w:val="18"/>
                <w:szCs w:val="18"/>
              </w:rPr>
              <w:t>处2万元以上3万元以下的罚款</w:t>
            </w:r>
          </w:p>
        </w:tc>
      </w:tr>
    </w:tbl>
    <w:p w14:paraId="0E03B6E3"/>
    <w:p w14:paraId="024AD359"/>
    <w:p w14:paraId="18E78957"/>
    <w:p w14:paraId="467A2F7C"/>
    <w:p w14:paraId="485CCA87"/>
    <w:p w14:paraId="6A1DB24F"/>
    <w:p w14:paraId="23AD51C4"/>
    <w:p w14:paraId="472FAFF6"/>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029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565DB2F8">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17ACA0C">
            <w:pPr>
              <w:spacing w:line="320" w:lineRule="exact"/>
              <w:rPr>
                <w:rFonts w:eastAsia="仿宋_GB2312"/>
                <w:b/>
                <w:bCs/>
                <w:color w:val="000000"/>
                <w:kern w:val="0"/>
                <w:sz w:val="18"/>
                <w:szCs w:val="18"/>
              </w:rPr>
            </w:pPr>
            <w:r>
              <w:rPr>
                <w:rFonts w:eastAsia="仿宋_GB2312"/>
                <w:b/>
                <w:bCs/>
                <w:color w:val="000000"/>
                <w:kern w:val="0"/>
                <w:sz w:val="18"/>
                <w:szCs w:val="18"/>
              </w:rPr>
              <w:t>320217834000</w:t>
            </w:r>
          </w:p>
        </w:tc>
      </w:tr>
      <w:tr w14:paraId="282B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7B38BBE">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567C286">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对工程勘察企业项目负责人未对原始记录进行验收并签字的处罚</w:t>
            </w:r>
          </w:p>
        </w:tc>
      </w:tr>
      <w:tr w14:paraId="1AA94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5BBB6A5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AD5532B">
            <w:pPr>
              <w:spacing w:line="320" w:lineRule="exact"/>
              <w:jc w:val="left"/>
              <w:rPr>
                <w:color w:val="000000"/>
                <w:kern w:val="0"/>
                <w:sz w:val="18"/>
                <w:szCs w:val="18"/>
              </w:rPr>
            </w:pPr>
            <w:r>
              <w:rPr>
                <w:rFonts w:hint="eastAsia"/>
                <w:color w:val="000000"/>
                <w:kern w:val="0"/>
                <w:sz w:val="18"/>
                <w:szCs w:val="18"/>
              </w:rPr>
              <w:t xml:space="preserve">      【规章】《建设工程勘察质量管理办法》（建设部令第115号，建设部令第163号、第53号修改）   </w:t>
            </w:r>
          </w:p>
          <w:p w14:paraId="12496F2D">
            <w:pPr>
              <w:spacing w:line="320" w:lineRule="exact"/>
              <w:jc w:val="left"/>
              <w:rPr>
                <w:color w:val="000000"/>
                <w:kern w:val="0"/>
                <w:sz w:val="18"/>
                <w:szCs w:val="18"/>
              </w:rPr>
            </w:pPr>
            <w:r>
              <w:rPr>
                <w:rFonts w:hint="eastAsia"/>
                <w:color w:val="000000"/>
                <w:kern w:val="0"/>
                <w:sz w:val="18"/>
                <w:szCs w:val="18"/>
              </w:rPr>
              <w:t xml:space="preserve">         第十四条 工程勘察工作的原始记录应当在勘察过程中及时整理、核对，确保取样、记录的真实和准确，禁止原始记录弄虚作假。钻探、取样、原位测试、室内试验等主要过程的影像资料应当留存备查。</w:t>
            </w:r>
          </w:p>
          <w:p w14:paraId="02E3B433">
            <w:pPr>
              <w:spacing w:line="320" w:lineRule="exact"/>
              <w:jc w:val="left"/>
              <w:rPr>
                <w:color w:val="000000"/>
                <w:kern w:val="0"/>
                <w:sz w:val="18"/>
                <w:szCs w:val="18"/>
              </w:rPr>
            </w:pPr>
            <w:r>
              <w:rPr>
                <w:rFonts w:hint="eastAsia"/>
                <w:color w:val="000000"/>
                <w:kern w:val="0"/>
                <w:sz w:val="18"/>
                <w:szCs w:val="18"/>
              </w:rPr>
              <w:t>　　司钻员、描述员、土工试验员等作业人员应当在原始记录上签字。工程勘察企业项目负责人应当对原始记录进行验收并签字。</w:t>
            </w:r>
          </w:p>
          <w:p w14:paraId="17A2E9FA">
            <w:pPr>
              <w:spacing w:line="320" w:lineRule="exact"/>
              <w:jc w:val="left"/>
              <w:rPr>
                <w:color w:val="000000"/>
                <w:kern w:val="0"/>
                <w:sz w:val="18"/>
                <w:szCs w:val="18"/>
              </w:rPr>
            </w:pPr>
            <w:r>
              <w:rPr>
                <w:rFonts w:hint="eastAsia"/>
                <w:color w:val="000000"/>
                <w:kern w:val="0"/>
                <w:sz w:val="18"/>
                <w:szCs w:val="18"/>
              </w:rPr>
              <w:t>　　鼓励工程勘察企业采用信息化手段，实时采集、记录、存储工程勘察数据。</w:t>
            </w:r>
          </w:p>
          <w:p w14:paraId="148B78A0">
            <w:pPr>
              <w:spacing w:line="320" w:lineRule="exact"/>
              <w:jc w:val="left"/>
              <w:rPr>
                <w:color w:val="000000"/>
                <w:kern w:val="0"/>
                <w:sz w:val="18"/>
                <w:szCs w:val="18"/>
              </w:rPr>
            </w:pPr>
            <w:r>
              <w:rPr>
                <w:rFonts w:hint="eastAsia"/>
                <w:color w:val="000000"/>
                <w:kern w:val="0"/>
                <w:sz w:val="18"/>
                <w:szCs w:val="18"/>
              </w:rPr>
              <w:t xml:space="preserve">         第二十六条   违反本办法规定，工程勘察企业项目负责人有下列行为之一的，由工程勘察质量监督部门责令改正，处1万元以上3万元以下的罚款：</w:t>
            </w:r>
          </w:p>
          <w:p w14:paraId="00AF3071">
            <w:pPr>
              <w:spacing w:line="320" w:lineRule="exact"/>
              <w:jc w:val="left"/>
              <w:rPr>
                <w:color w:val="000000"/>
                <w:kern w:val="0"/>
                <w:sz w:val="18"/>
                <w:szCs w:val="18"/>
              </w:rPr>
            </w:pPr>
            <w:r>
              <w:rPr>
                <w:rFonts w:hint="eastAsia"/>
                <w:color w:val="000000"/>
                <w:kern w:val="0"/>
                <w:sz w:val="18"/>
                <w:szCs w:val="18"/>
              </w:rPr>
              <w:t>　（四）未对原始记录进行验收并签字；</w:t>
            </w:r>
          </w:p>
        </w:tc>
      </w:tr>
      <w:tr w14:paraId="42F6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49076D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2DD1053">
            <w:pPr>
              <w:spacing w:line="320" w:lineRule="exact"/>
              <w:jc w:val="left"/>
              <w:rPr>
                <w:color w:val="000000"/>
                <w:kern w:val="0"/>
                <w:sz w:val="18"/>
                <w:szCs w:val="18"/>
              </w:rPr>
            </w:pPr>
            <w:r>
              <w:rPr>
                <w:rFonts w:hint="eastAsia"/>
                <w:color w:val="000000"/>
                <w:kern w:val="0"/>
                <w:sz w:val="18"/>
                <w:szCs w:val="18"/>
              </w:rPr>
              <w:t>责令改正，罚款</w:t>
            </w:r>
          </w:p>
        </w:tc>
      </w:tr>
      <w:tr w14:paraId="441A0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FA94EE9">
            <w:pPr>
              <w:spacing w:line="320" w:lineRule="exact"/>
              <w:jc w:val="center"/>
              <w:rPr>
                <w:color w:val="000000"/>
                <w:kern w:val="0"/>
                <w:sz w:val="18"/>
                <w:szCs w:val="18"/>
              </w:rPr>
            </w:pPr>
            <w:r>
              <w:rPr>
                <w:rFonts w:hint="eastAsia"/>
                <w:color w:val="000000"/>
                <w:kern w:val="0"/>
                <w:sz w:val="18"/>
                <w:szCs w:val="18"/>
              </w:rPr>
              <w:t>裁量基准</w:t>
            </w:r>
          </w:p>
        </w:tc>
      </w:tr>
      <w:tr w14:paraId="334F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0D596E7">
            <w:pPr>
              <w:rPr>
                <w:color w:val="000000"/>
                <w:kern w:val="0"/>
                <w:sz w:val="18"/>
                <w:szCs w:val="18"/>
              </w:rPr>
            </w:pPr>
            <w:r>
              <w:rPr>
                <w:rFonts w:hint="eastAsia"/>
                <w:color w:val="000000"/>
                <w:kern w:val="0"/>
                <w:sz w:val="18"/>
                <w:szCs w:val="18"/>
              </w:rPr>
              <w:t>情形描述</w:t>
            </w:r>
          </w:p>
        </w:tc>
        <w:tc>
          <w:tcPr>
            <w:tcW w:w="6376" w:type="dxa"/>
            <w:vAlign w:val="center"/>
          </w:tcPr>
          <w:p w14:paraId="3F4C350A">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7102B08A">
            <w:pPr>
              <w:rPr>
                <w:color w:val="000000"/>
                <w:kern w:val="0"/>
                <w:sz w:val="18"/>
                <w:szCs w:val="18"/>
              </w:rPr>
            </w:pPr>
            <w:r>
              <w:rPr>
                <w:rFonts w:hint="eastAsia"/>
                <w:color w:val="000000"/>
                <w:kern w:val="0"/>
                <w:sz w:val="18"/>
                <w:szCs w:val="18"/>
              </w:rPr>
              <w:t>裁量幅度</w:t>
            </w:r>
          </w:p>
        </w:tc>
        <w:tc>
          <w:tcPr>
            <w:tcW w:w="5614" w:type="dxa"/>
            <w:vAlign w:val="center"/>
          </w:tcPr>
          <w:p w14:paraId="51C06646">
            <w:pPr>
              <w:rPr>
                <w:color w:val="000000"/>
                <w:kern w:val="0"/>
                <w:sz w:val="18"/>
                <w:szCs w:val="18"/>
              </w:rPr>
            </w:pPr>
            <w:r>
              <w:rPr>
                <w:rFonts w:hint="eastAsia"/>
                <w:color w:val="000000"/>
                <w:kern w:val="0"/>
                <w:sz w:val="18"/>
                <w:szCs w:val="18"/>
              </w:rPr>
              <w:t>处1万元以上2万元以下的罚款</w:t>
            </w:r>
          </w:p>
        </w:tc>
      </w:tr>
      <w:tr w14:paraId="391B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CB8DD18">
            <w:pPr>
              <w:spacing w:line="320" w:lineRule="exact"/>
              <w:jc w:val="left"/>
              <w:rPr>
                <w:color w:val="000000"/>
                <w:kern w:val="0"/>
                <w:sz w:val="18"/>
                <w:szCs w:val="18"/>
              </w:rPr>
            </w:pPr>
          </w:p>
        </w:tc>
        <w:tc>
          <w:tcPr>
            <w:tcW w:w="6376" w:type="dxa"/>
            <w:vAlign w:val="center"/>
          </w:tcPr>
          <w:p w14:paraId="70071D79">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1FFFED2B">
            <w:pPr>
              <w:spacing w:line="320" w:lineRule="exact"/>
              <w:jc w:val="left"/>
              <w:rPr>
                <w:color w:val="000000"/>
                <w:kern w:val="0"/>
                <w:sz w:val="18"/>
                <w:szCs w:val="18"/>
              </w:rPr>
            </w:pPr>
          </w:p>
        </w:tc>
        <w:tc>
          <w:tcPr>
            <w:tcW w:w="5614" w:type="dxa"/>
            <w:vAlign w:val="center"/>
          </w:tcPr>
          <w:p w14:paraId="7B2E42F4">
            <w:pPr>
              <w:rPr>
                <w:color w:val="000000"/>
                <w:kern w:val="0"/>
                <w:sz w:val="18"/>
                <w:szCs w:val="18"/>
              </w:rPr>
            </w:pPr>
            <w:r>
              <w:rPr>
                <w:rFonts w:hint="eastAsia"/>
                <w:color w:val="000000"/>
                <w:kern w:val="0"/>
                <w:sz w:val="18"/>
                <w:szCs w:val="18"/>
              </w:rPr>
              <w:t>处2万元以上3万元以下的罚款</w:t>
            </w:r>
          </w:p>
        </w:tc>
      </w:tr>
    </w:tbl>
    <w:p w14:paraId="4A1EA682"/>
    <w:p w14:paraId="32B74274"/>
    <w:p w14:paraId="08745C36"/>
    <w:p w14:paraId="4C47E0F8"/>
    <w:p w14:paraId="67703330"/>
    <w:p w14:paraId="42B1EF3A"/>
    <w:p w14:paraId="1ACBA203"/>
    <w:p w14:paraId="13C4422D"/>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9F9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45B069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1D96952">
            <w:pPr>
              <w:spacing w:line="320" w:lineRule="exact"/>
              <w:rPr>
                <w:rFonts w:eastAsia="仿宋_GB2312"/>
                <w:b/>
                <w:bCs/>
                <w:color w:val="000000"/>
                <w:kern w:val="0"/>
                <w:sz w:val="18"/>
                <w:szCs w:val="18"/>
              </w:rPr>
            </w:pPr>
            <w:r>
              <w:rPr>
                <w:rFonts w:eastAsia="仿宋_GB2312"/>
                <w:b/>
                <w:bCs/>
                <w:color w:val="000000"/>
                <w:kern w:val="0"/>
                <w:sz w:val="18"/>
                <w:szCs w:val="18"/>
              </w:rPr>
              <w:t>320217835000</w:t>
            </w:r>
          </w:p>
        </w:tc>
      </w:tr>
      <w:tr w14:paraId="6DCF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02B71C98">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30C7352">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对工程勘察企业项目负责人未按规定在工程勘察文件上签字的处罚</w:t>
            </w:r>
          </w:p>
        </w:tc>
      </w:tr>
      <w:tr w14:paraId="428D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2C8A5D4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75678DF">
            <w:pPr>
              <w:spacing w:line="320" w:lineRule="exact"/>
              <w:jc w:val="left"/>
              <w:rPr>
                <w:color w:val="000000"/>
                <w:kern w:val="0"/>
                <w:sz w:val="18"/>
                <w:szCs w:val="18"/>
              </w:rPr>
            </w:pPr>
            <w:r>
              <w:rPr>
                <w:rFonts w:hint="eastAsia"/>
                <w:color w:val="000000"/>
                <w:kern w:val="0"/>
                <w:sz w:val="18"/>
                <w:szCs w:val="18"/>
              </w:rPr>
              <w:t xml:space="preserve">【规章】《建设工程勘察质量管理办法》（建设部令第115号，建设部令第163号、第53号修改）   </w:t>
            </w:r>
          </w:p>
          <w:p w14:paraId="380E974C">
            <w:pPr>
              <w:spacing w:line="320" w:lineRule="exact"/>
              <w:jc w:val="left"/>
              <w:rPr>
                <w:color w:val="000000"/>
                <w:kern w:val="0"/>
                <w:sz w:val="18"/>
                <w:szCs w:val="18"/>
              </w:rPr>
            </w:pPr>
            <w:r>
              <w:rPr>
                <w:rFonts w:hint="eastAsia"/>
                <w:color w:val="000000"/>
                <w:kern w:val="0"/>
                <w:sz w:val="18"/>
                <w:szCs w:val="18"/>
              </w:rPr>
              <w:t>　    第十三条　工程勘察企业的法定代表人、项目负责人、审核人、审定人等相关人员，应当在勘察文件上签字或者盖章，并对勘察质量负责。</w:t>
            </w:r>
          </w:p>
          <w:p w14:paraId="48174E7E">
            <w:pPr>
              <w:spacing w:line="320" w:lineRule="exact"/>
              <w:jc w:val="left"/>
              <w:rPr>
                <w:color w:val="000000"/>
                <w:kern w:val="0"/>
                <w:sz w:val="18"/>
                <w:szCs w:val="18"/>
              </w:rPr>
            </w:pPr>
            <w:r>
              <w:rPr>
                <w:rFonts w:hint="eastAsia"/>
                <w:color w:val="000000"/>
                <w:kern w:val="0"/>
                <w:sz w:val="18"/>
                <w:szCs w:val="18"/>
              </w:rPr>
              <w:t>　　工程勘察企业法定代表人对本企业勘察质量全面负责；项目负责人对项目的勘察文件负主要质量责任；项目审核人、审定人对其审核、审定项目的勘察文件负审核、审定的质量责任。</w:t>
            </w:r>
          </w:p>
          <w:p w14:paraId="2B8FDFF1">
            <w:pPr>
              <w:spacing w:line="320" w:lineRule="exact"/>
              <w:jc w:val="left"/>
              <w:rPr>
                <w:color w:val="000000"/>
                <w:kern w:val="0"/>
                <w:sz w:val="18"/>
                <w:szCs w:val="18"/>
              </w:rPr>
            </w:pPr>
            <w:r>
              <w:rPr>
                <w:rFonts w:hint="eastAsia"/>
                <w:color w:val="000000"/>
                <w:kern w:val="0"/>
                <w:sz w:val="18"/>
                <w:szCs w:val="18"/>
              </w:rPr>
              <w:t xml:space="preserve">         第二十六条  违反本办法规定，工程勘察企业项目负责人有下列行为之一的，由工程勘察质量监督部门责令改正，处1万元以上3万元以下的罚款：</w:t>
            </w:r>
          </w:p>
          <w:p w14:paraId="449609DB">
            <w:pPr>
              <w:spacing w:line="320" w:lineRule="exact"/>
              <w:jc w:val="left"/>
              <w:rPr>
                <w:color w:val="000000"/>
                <w:kern w:val="0"/>
                <w:sz w:val="18"/>
                <w:szCs w:val="18"/>
              </w:rPr>
            </w:pPr>
            <w:r>
              <w:rPr>
                <w:rFonts w:hint="eastAsia"/>
                <w:color w:val="000000"/>
                <w:kern w:val="0"/>
                <w:sz w:val="18"/>
                <w:szCs w:val="18"/>
              </w:rPr>
              <w:t>　　（三）未按规定在工程勘察文件上签字；</w:t>
            </w:r>
          </w:p>
        </w:tc>
      </w:tr>
      <w:tr w14:paraId="0BC4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E73A4A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E5E1C4B">
            <w:pPr>
              <w:spacing w:line="320" w:lineRule="exact"/>
              <w:jc w:val="left"/>
              <w:rPr>
                <w:color w:val="000000"/>
                <w:kern w:val="0"/>
                <w:sz w:val="18"/>
                <w:szCs w:val="18"/>
              </w:rPr>
            </w:pPr>
            <w:r>
              <w:rPr>
                <w:rFonts w:hint="eastAsia"/>
                <w:color w:val="000000"/>
                <w:kern w:val="0"/>
                <w:sz w:val="18"/>
                <w:szCs w:val="18"/>
              </w:rPr>
              <w:t>责令改正，罚款</w:t>
            </w:r>
          </w:p>
        </w:tc>
      </w:tr>
      <w:tr w14:paraId="7595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27C5175">
            <w:pPr>
              <w:spacing w:line="320" w:lineRule="exact"/>
              <w:jc w:val="center"/>
              <w:rPr>
                <w:color w:val="000000"/>
                <w:kern w:val="0"/>
                <w:sz w:val="18"/>
                <w:szCs w:val="18"/>
              </w:rPr>
            </w:pPr>
            <w:r>
              <w:rPr>
                <w:rFonts w:hint="eastAsia"/>
                <w:color w:val="000000"/>
                <w:kern w:val="0"/>
                <w:sz w:val="18"/>
                <w:szCs w:val="18"/>
              </w:rPr>
              <w:t>裁量基准</w:t>
            </w:r>
          </w:p>
        </w:tc>
      </w:tr>
      <w:tr w14:paraId="18A6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49F45A41">
            <w:pPr>
              <w:rPr>
                <w:color w:val="000000"/>
                <w:kern w:val="0"/>
                <w:sz w:val="18"/>
                <w:szCs w:val="18"/>
              </w:rPr>
            </w:pPr>
            <w:r>
              <w:rPr>
                <w:rFonts w:hint="eastAsia"/>
                <w:color w:val="000000"/>
                <w:kern w:val="0"/>
                <w:sz w:val="18"/>
                <w:szCs w:val="18"/>
              </w:rPr>
              <w:t>情形描述</w:t>
            </w:r>
          </w:p>
        </w:tc>
        <w:tc>
          <w:tcPr>
            <w:tcW w:w="6376" w:type="dxa"/>
            <w:vAlign w:val="center"/>
          </w:tcPr>
          <w:p w14:paraId="365DBD5E">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0A67E238">
            <w:pPr>
              <w:rPr>
                <w:color w:val="000000"/>
                <w:kern w:val="0"/>
                <w:sz w:val="18"/>
                <w:szCs w:val="18"/>
              </w:rPr>
            </w:pPr>
            <w:r>
              <w:rPr>
                <w:rFonts w:hint="eastAsia"/>
                <w:color w:val="000000"/>
                <w:kern w:val="0"/>
                <w:sz w:val="18"/>
                <w:szCs w:val="18"/>
              </w:rPr>
              <w:t>裁量幅度</w:t>
            </w:r>
          </w:p>
        </w:tc>
        <w:tc>
          <w:tcPr>
            <w:tcW w:w="5614" w:type="dxa"/>
            <w:vAlign w:val="center"/>
          </w:tcPr>
          <w:p w14:paraId="7A1C749E">
            <w:pPr>
              <w:rPr>
                <w:color w:val="000000"/>
                <w:kern w:val="0"/>
                <w:sz w:val="18"/>
                <w:szCs w:val="18"/>
              </w:rPr>
            </w:pPr>
            <w:r>
              <w:rPr>
                <w:rFonts w:hint="eastAsia"/>
                <w:color w:val="000000"/>
                <w:kern w:val="0"/>
                <w:sz w:val="18"/>
                <w:szCs w:val="18"/>
              </w:rPr>
              <w:t>处1万元以上2万元以下的罚款</w:t>
            </w:r>
          </w:p>
        </w:tc>
      </w:tr>
      <w:tr w14:paraId="4389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0FF9EE1">
            <w:pPr>
              <w:spacing w:line="320" w:lineRule="exact"/>
              <w:jc w:val="left"/>
              <w:rPr>
                <w:color w:val="000000"/>
                <w:kern w:val="0"/>
                <w:sz w:val="18"/>
                <w:szCs w:val="18"/>
              </w:rPr>
            </w:pPr>
          </w:p>
        </w:tc>
        <w:tc>
          <w:tcPr>
            <w:tcW w:w="6376" w:type="dxa"/>
            <w:vAlign w:val="center"/>
          </w:tcPr>
          <w:p w14:paraId="7BD0FF9A">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64061DD8">
            <w:pPr>
              <w:spacing w:line="320" w:lineRule="exact"/>
              <w:jc w:val="left"/>
              <w:rPr>
                <w:color w:val="000000"/>
                <w:kern w:val="0"/>
                <w:sz w:val="18"/>
                <w:szCs w:val="18"/>
              </w:rPr>
            </w:pPr>
          </w:p>
        </w:tc>
        <w:tc>
          <w:tcPr>
            <w:tcW w:w="5614" w:type="dxa"/>
            <w:vAlign w:val="center"/>
          </w:tcPr>
          <w:p w14:paraId="1F6C2405">
            <w:pPr>
              <w:rPr>
                <w:color w:val="000000"/>
                <w:kern w:val="0"/>
                <w:sz w:val="18"/>
                <w:szCs w:val="18"/>
              </w:rPr>
            </w:pPr>
            <w:r>
              <w:rPr>
                <w:rFonts w:hint="eastAsia"/>
                <w:color w:val="000000"/>
                <w:kern w:val="0"/>
                <w:sz w:val="18"/>
                <w:szCs w:val="18"/>
              </w:rPr>
              <w:t>处2万元以上3万元以下的罚款</w:t>
            </w:r>
          </w:p>
        </w:tc>
      </w:tr>
    </w:tbl>
    <w:p w14:paraId="3A7E45D8"/>
    <w:p w14:paraId="0C0EBA9C"/>
    <w:p w14:paraId="790BFA99"/>
    <w:p w14:paraId="37D1D5A0"/>
    <w:p w14:paraId="5F99C2F7"/>
    <w:p w14:paraId="03E2112E"/>
    <w:p w14:paraId="645EF2D1"/>
    <w:p w14:paraId="52E14D46"/>
    <w:p w14:paraId="7B2F2F2D"/>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C09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9C8257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5F75D723">
            <w:pPr>
              <w:spacing w:line="320" w:lineRule="exact"/>
              <w:rPr>
                <w:rFonts w:eastAsia="仿宋_GB2312"/>
                <w:b/>
                <w:bCs/>
                <w:color w:val="000000"/>
                <w:kern w:val="0"/>
                <w:sz w:val="18"/>
                <w:szCs w:val="18"/>
              </w:rPr>
            </w:pPr>
            <w:r>
              <w:rPr>
                <w:rFonts w:eastAsia="仿宋_GB2312"/>
                <w:b/>
                <w:bCs/>
                <w:color w:val="000000"/>
                <w:kern w:val="0"/>
                <w:sz w:val="18"/>
                <w:szCs w:val="18"/>
              </w:rPr>
              <w:t>320217836000</w:t>
            </w:r>
          </w:p>
        </w:tc>
      </w:tr>
      <w:tr w14:paraId="31A5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DCF59CD">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E2ECF60">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对工程勘察企业项目负责人未落实本单位勘察质量管理制度，未制定项目质量保证措施的处罚</w:t>
            </w:r>
          </w:p>
        </w:tc>
      </w:tr>
      <w:tr w14:paraId="3F14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F28EEE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700ECF7D">
            <w:pPr>
              <w:spacing w:line="320" w:lineRule="exact"/>
              <w:jc w:val="left"/>
              <w:rPr>
                <w:color w:val="000000"/>
                <w:kern w:val="0"/>
                <w:sz w:val="18"/>
                <w:szCs w:val="18"/>
              </w:rPr>
            </w:pPr>
            <w:r>
              <w:rPr>
                <w:rFonts w:hint="eastAsia"/>
                <w:color w:val="000000"/>
                <w:kern w:val="0"/>
                <w:sz w:val="18"/>
                <w:szCs w:val="18"/>
              </w:rPr>
              <w:t xml:space="preserve">【规章】《建设工程勘察质量管理办法》（建设部令第115号，建设部令第163号、第53号修改）   </w:t>
            </w:r>
          </w:p>
          <w:p w14:paraId="76870149">
            <w:pPr>
              <w:spacing w:line="320" w:lineRule="exact"/>
              <w:jc w:val="left"/>
              <w:rPr>
                <w:color w:val="000000"/>
                <w:kern w:val="0"/>
                <w:sz w:val="18"/>
                <w:szCs w:val="18"/>
              </w:rPr>
            </w:pPr>
            <w:r>
              <w:rPr>
                <w:rFonts w:hint="eastAsia"/>
                <w:color w:val="000000"/>
                <w:kern w:val="0"/>
                <w:sz w:val="18"/>
                <w:szCs w:val="18"/>
              </w:rPr>
              <w:t xml:space="preserve">          第十二条第二款 　工程勘察企业项目负责人应当签署质量终身责任承诺书，执行勘察纲要和工程建设强制性标准，落实本单位勘察质量管理制度，制定项目质量保证措施，组织开展工程勘察各项工作。       </w:t>
            </w:r>
          </w:p>
          <w:p w14:paraId="4D05226B">
            <w:pPr>
              <w:spacing w:line="320" w:lineRule="exact"/>
              <w:jc w:val="left"/>
              <w:rPr>
                <w:color w:val="000000"/>
                <w:kern w:val="0"/>
                <w:sz w:val="18"/>
                <w:szCs w:val="18"/>
              </w:rPr>
            </w:pPr>
            <w:r>
              <w:rPr>
                <w:rFonts w:hint="eastAsia"/>
                <w:color w:val="000000"/>
                <w:kern w:val="0"/>
                <w:sz w:val="18"/>
                <w:szCs w:val="18"/>
              </w:rPr>
              <w:t xml:space="preserve">         第二十六条 违反本办法规定，工程勘察企业项目负责人有下列行为之一的，由工程勘察质量监督部门责令改正，处1万元以上3万元以下的罚款：</w:t>
            </w:r>
          </w:p>
          <w:p w14:paraId="2483E171">
            <w:pPr>
              <w:spacing w:line="320" w:lineRule="exact"/>
              <w:jc w:val="left"/>
              <w:rPr>
                <w:color w:val="000000"/>
                <w:kern w:val="0"/>
                <w:sz w:val="18"/>
                <w:szCs w:val="18"/>
              </w:rPr>
            </w:pPr>
            <w:r>
              <w:rPr>
                <w:rFonts w:hint="eastAsia"/>
                <w:color w:val="000000"/>
                <w:kern w:val="0"/>
                <w:sz w:val="18"/>
                <w:szCs w:val="18"/>
              </w:rPr>
              <w:t>　 （二）未落实本单位勘察质量管理制度，未制定项目质量保证措施；</w:t>
            </w:r>
          </w:p>
        </w:tc>
      </w:tr>
      <w:tr w14:paraId="3087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CD8263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399478A">
            <w:pPr>
              <w:spacing w:line="320" w:lineRule="exact"/>
              <w:jc w:val="left"/>
              <w:rPr>
                <w:color w:val="000000"/>
                <w:kern w:val="0"/>
                <w:sz w:val="18"/>
                <w:szCs w:val="18"/>
              </w:rPr>
            </w:pPr>
            <w:r>
              <w:rPr>
                <w:rFonts w:hint="eastAsia"/>
                <w:color w:val="000000"/>
                <w:kern w:val="0"/>
                <w:sz w:val="18"/>
                <w:szCs w:val="18"/>
              </w:rPr>
              <w:t>责令改正，罚款</w:t>
            </w:r>
          </w:p>
        </w:tc>
      </w:tr>
      <w:tr w14:paraId="24B2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1D10B7F">
            <w:pPr>
              <w:spacing w:line="320" w:lineRule="exact"/>
              <w:jc w:val="center"/>
              <w:rPr>
                <w:color w:val="000000"/>
                <w:kern w:val="0"/>
                <w:sz w:val="18"/>
                <w:szCs w:val="18"/>
              </w:rPr>
            </w:pPr>
            <w:r>
              <w:rPr>
                <w:rFonts w:hint="eastAsia"/>
                <w:color w:val="000000"/>
                <w:kern w:val="0"/>
                <w:sz w:val="18"/>
                <w:szCs w:val="18"/>
              </w:rPr>
              <w:t>裁量基准</w:t>
            </w:r>
          </w:p>
        </w:tc>
      </w:tr>
      <w:tr w14:paraId="23688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72A65D75">
            <w:pPr>
              <w:rPr>
                <w:color w:val="000000"/>
                <w:kern w:val="0"/>
                <w:sz w:val="18"/>
                <w:szCs w:val="18"/>
              </w:rPr>
            </w:pPr>
            <w:r>
              <w:rPr>
                <w:rFonts w:hint="eastAsia"/>
                <w:color w:val="000000"/>
                <w:kern w:val="0"/>
                <w:sz w:val="18"/>
                <w:szCs w:val="18"/>
              </w:rPr>
              <w:t>情形描述</w:t>
            </w:r>
          </w:p>
        </w:tc>
        <w:tc>
          <w:tcPr>
            <w:tcW w:w="6376" w:type="dxa"/>
            <w:vAlign w:val="center"/>
          </w:tcPr>
          <w:p w14:paraId="14E2959D">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62187C5C">
            <w:pPr>
              <w:rPr>
                <w:color w:val="000000"/>
                <w:kern w:val="0"/>
                <w:sz w:val="18"/>
                <w:szCs w:val="18"/>
              </w:rPr>
            </w:pPr>
            <w:r>
              <w:rPr>
                <w:rFonts w:hint="eastAsia"/>
                <w:color w:val="000000"/>
                <w:kern w:val="0"/>
                <w:sz w:val="18"/>
                <w:szCs w:val="18"/>
              </w:rPr>
              <w:t>裁量幅度</w:t>
            </w:r>
          </w:p>
        </w:tc>
        <w:tc>
          <w:tcPr>
            <w:tcW w:w="5614" w:type="dxa"/>
            <w:vAlign w:val="center"/>
          </w:tcPr>
          <w:p w14:paraId="6DC126A7">
            <w:pPr>
              <w:rPr>
                <w:color w:val="000000"/>
                <w:kern w:val="0"/>
                <w:sz w:val="18"/>
                <w:szCs w:val="18"/>
              </w:rPr>
            </w:pPr>
            <w:r>
              <w:rPr>
                <w:rFonts w:hint="eastAsia"/>
                <w:color w:val="000000"/>
                <w:kern w:val="0"/>
                <w:sz w:val="18"/>
                <w:szCs w:val="18"/>
              </w:rPr>
              <w:t>处1万元以上2万元以下的罚款</w:t>
            </w:r>
          </w:p>
        </w:tc>
      </w:tr>
      <w:tr w14:paraId="2E0E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F661018">
            <w:pPr>
              <w:spacing w:line="320" w:lineRule="exact"/>
              <w:jc w:val="left"/>
              <w:rPr>
                <w:color w:val="000000"/>
                <w:kern w:val="0"/>
                <w:sz w:val="18"/>
                <w:szCs w:val="18"/>
              </w:rPr>
            </w:pPr>
          </w:p>
        </w:tc>
        <w:tc>
          <w:tcPr>
            <w:tcW w:w="6376" w:type="dxa"/>
            <w:vAlign w:val="center"/>
          </w:tcPr>
          <w:p w14:paraId="25929EA2">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0E2750E6">
            <w:pPr>
              <w:spacing w:line="320" w:lineRule="exact"/>
              <w:jc w:val="left"/>
              <w:rPr>
                <w:color w:val="000000"/>
                <w:kern w:val="0"/>
                <w:sz w:val="18"/>
                <w:szCs w:val="18"/>
              </w:rPr>
            </w:pPr>
          </w:p>
        </w:tc>
        <w:tc>
          <w:tcPr>
            <w:tcW w:w="5614" w:type="dxa"/>
            <w:vAlign w:val="center"/>
          </w:tcPr>
          <w:p w14:paraId="56907290">
            <w:pPr>
              <w:rPr>
                <w:color w:val="000000"/>
                <w:kern w:val="0"/>
                <w:sz w:val="18"/>
                <w:szCs w:val="18"/>
              </w:rPr>
            </w:pPr>
            <w:r>
              <w:rPr>
                <w:rFonts w:hint="eastAsia"/>
                <w:color w:val="000000"/>
                <w:kern w:val="0"/>
                <w:sz w:val="18"/>
                <w:szCs w:val="18"/>
              </w:rPr>
              <w:t>处2万元以上3万元以下的罚款</w:t>
            </w:r>
          </w:p>
        </w:tc>
      </w:tr>
    </w:tbl>
    <w:p w14:paraId="40378F58"/>
    <w:p w14:paraId="2DC691C7"/>
    <w:p w14:paraId="4C50649A"/>
    <w:p w14:paraId="00D1456E"/>
    <w:p w14:paraId="3DCF0448"/>
    <w:p w14:paraId="013954BE"/>
    <w:p w14:paraId="578D7DB6"/>
    <w:p w14:paraId="6AE8E25F"/>
    <w:p w14:paraId="662CDEE6"/>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3BD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C66A5DF">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CD308D8">
            <w:pPr>
              <w:spacing w:line="320" w:lineRule="exact"/>
              <w:rPr>
                <w:rFonts w:eastAsia="仿宋_GB2312"/>
                <w:b/>
                <w:bCs/>
                <w:color w:val="000000"/>
                <w:kern w:val="0"/>
                <w:sz w:val="18"/>
                <w:szCs w:val="18"/>
              </w:rPr>
            </w:pPr>
            <w:r>
              <w:rPr>
                <w:rFonts w:eastAsia="仿宋_GB2312"/>
                <w:b/>
                <w:bCs/>
                <w:color w:val="000000"/>
                <w:kern w:val="0"/>
                <w:sz w:val="18"/>
                <w:szCs w:val="18"/>
              </w:rPr>
              <w:t>320217837000</w:t>
            </w:r>
          </w:p>
        </w:tc>
      </w:tr>
      <w:tr w14:paraId="50A6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4997F3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CEF2B0C">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对工程勘察企业项目负责人未执行勘察纲要和工程建设强制性标准的处罚</w:t>
            </w:r>
          </w:p>
        </w:tc>
      </w:tr>
      <w:tr w14:paraId="613E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653D38F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C33DA46">
            <w:pPr>
              <w:spacing w:line="320" w:lineRule="exact"/>
              <w:jc w:val="left"/>
              <w:rPr>
                <w:color w:val="000000"/>
                <w:kern w:val="0"/>
                <w:sz w:val="18"/>
                <w:szCs w:val="18"/>
              </w:rPr>
            </w:pPr>
            <w:r>
              <w:rPr>
                <w:rFonts w:hint="eastAsia"/>
                <w:color w:val="000000"/>
                <w:kern w:val="0"/>
                <w:sz w:val="18"/>
                <w:szCs w:val="18"/>
              </w:rPr>
              <w:t xml:space="preserve">【规章】《建设工程勘察质量管理办法》（建设部令第115号，建设部令第163号、第53号修改）   </w:t>
            </w:r>
          </w:p>
          <w:p w14:paraId="01345FE1">
            <w:pPr>
              <w:spacing w:line="320" w:lineRule="exact"/>
              <w:jc w:val="left"/>
              <w:rPr>
                <w:color w:val="000000"/>
                <w:kern w:val="0"/>
                <w:sz w:val="18"/>
                <w:szCs w:val="18"/>
              </w:rPr>
            </w:pPr>
            <w:r>
              <w:rPr>
                <w:rFonts w:hint="eastAsia"/>
                <w:color w:val="000000"/>
                <w:kern w:val="0"/>
                <w:sz w:val="18"/>
                <w:szCs w:val="18"/>
              </w:rPr>
              <w:t xml:space="preserve">         第十二条第二款 　工程勘察企业项目负责人应当签署质量终身责任承诺书，执行勘察纲要和工程建设强制性标准，落实本单位勘察质量管理制度，制定项目质量保证措施，组织开展工程勘察各项工作。      </w:t>
            </w:r>
          </w:p>
          <w:p w14:paraId="74849E61">
            <w:pPr>
              <w:spacing w:line="320" w:lineRule="exact"/>
              <w:jc w:val="left"/>
              <w:rPr>
                <w:color w:val="000000"/>
                <w:kern w:val="0"/>
                <w:sz w:val="18"/>
                <w:szCs w:val="18"/>
              </w:rPr>
            </w:pPr>
            <w:r>
              <w:rPr>
                <w:rFonts w:hint="eastAsia"/>
                <w:color w:val="000000"/>
                <w:kern w:val="0"/>
                <w:sz w:val="18"/>
                <w:szCs w:val="18"/>
              </w:rPr>
              <w:t xml:space="preserve">         第二十六条 违反本办法规定，工程勘察企业项目负责人有下列行为之一的，由工程勘察质量监督部门责令改正，处1万元以上3万元以下的罚款：</w:t>
            </w:r>
          </w:p>
          <w:p w14:paraId="36CE11E7">
            <w:pPr>
              <w:spacing w:line="320" w:lineRule="exact"/>
              <w:jc w:val="left"/>
              <w:rPr>
                <w:color w:val="000000"/>
                <w:kern w:val="0"/>
                <w:sz w:val="18"/>
                <w:szCs w:val="18"/>
              </w:rPr>
            </w:pPr>
            <w:r>
              <w:rPr>
                <w:rFonts w:hint="eastAsia"/>
                <w:color w:val="000000"/>
                <w:kern w:val="0"/>
                <w:sz w:val="18"/>
                <w:szCs w:val="18"/>
              </w:rPr>
              <w:t>　　（一）未执行勘察纲要和工程建设强制性标准；</w:t>
            </w:r>
          </w:p>
          <w:p w14:paraId="607AFCFB">
            <w:pPr>
              <w:spacing w:line="320" w:lineRule="exact"/>
              <w:jc w:val="left"/>
              <w:rPr>
                <w:color w:val="000000"/>
                <w:kern w:val="0"/>
                <w:sz w:val="18"/>
                <w:szCs w:val="18"/>
              </w:rPr>
            </w:pPr>
            <w:r>
              <w:rPr>
                <w:color w:val="000000"/>
                <w:kern w:val="0"/>
                <w:sz w:val="18"/>
                <w:szCs w:val="18"/>
              </w:rPr>
              <w:t xml:space="preserve">   </w:t>
            </w:r>
          </w:p>
        </w:tc>
      </w:tr>
      <w:tr w14:paraId="5466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8B2E0CB">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3BD1079">
            <w:pPr>
              <w:spacing w:line="320" w:lineRule="exact"/>
              <w:jc w:val="left"/>
              <w:rPr>
                <w:color w:val="000000"/>
                <w:kern w:val="0"/>
                <w:sz w:val="18"/>
                <w:szCs w:val="18"/>
              </w:rPr>
            </w:pPr>
            <w:r>
              <w:rPr>
                <w:rFonts w:hint="eastAsia"/>
                <w:color w:val="000000"/>
                <w:kern w:val="0"/>
                <w:sz w:val="18"/>
                <w:szCs w:val="18"/>
              </w:rPr>
              <w:t>责令改正，罚款</w:t>
            </w:r>
          </w:p>
        </w:tc>
      </w:tr>
      <w:tr w14:paraId="2070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0FFB30F">
            <w:pPr>
              <w:spacing w:line="320" w:lineRule="exact"/>
              <w:jc w:val="center"/>
              <w:rPr>
                <w:color w:val="000000"/>
                <w:kern w:val="0"/>
                <w:sz w:val="18"/>
                <w:szCs w:val="18"/>
              </w:rPr>
            </w:pPr>
            <w:r>
              <w:rPr>
                <w:rFonts w:hint="eastAsia"/>
                <w:color w:val="000000"/>
                <w:kern w:val="0"/>
                <w:sz w:val="18"/>
                <w:szCs w:val="18"/>
              </w:rPr>
              <w:t>裁量基准</w:t>
            </w:r>
          </w:p>
        </w:tc>
      </w:tr>
      <w:tr w14:paraId="5838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671FF230">
            <w:pPr>
              <w:rPr>
                <w:color w:val="000000"/>
                <w:kern w:val="0"/>
                <w:sz w:val="18"/>
                <w:szCs w:val="18"/>
              </w:rPr>
            </w:pPr>
            <w:r>
              <w:rPr>
                <w:rFonts w:hint="eastAsia"/>
                <w:color w:val="000000"/>
                <w:kern w:val="0"/>
                <w:sz w:val="18"/>
                <w:szCs w:val="18"/>
              </w:rPr>
              <w:t>情形描述</w:t>
            </w:r>
          </w:p>
        </w:tc>
        <w:tc>
          <w:tcPr>
            <w:tcW w:w="6376" w:type="dxa"/>
            <w:vAlign w:val="center"/>
          </w:tcPr>
          <w:p w14:paraId="669A8437">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52B39397">
            <w:pPr>
              <w:rPr>
                <w:color w:val="000000"/>
                <w:kern w:val="0"/>
                <w:sz w:val="18"/>
                <w:szCs w:val="18"/>
              </w:rPr>
            </w:pPr>
            <w:r>
              <w:rPr>
                <w:rFonts w:hint="eastAsia"/>
                <w:color w:val="000000"/>
                <w:kern w:val="0"/>
                <w:sz w:val="18"/>
                <w:szCs w:val="18"/>
              </w:rPr>
              <w:t>裁量幅度</w:t>
            </w:r>
          </w:p>
        </w:tc>
        <w:tc>
          <w:tcPr>
            <w:tcW w:w="5614" w:type="dxa"/>
            <w:vAlign w:val="center"/>
          </w:tcPr>
          <w:p w14:paraId="0B3F2C26">
            <w:pPr>
              <w:rPr>
                <w:color w:val="000000"/>
                <w:kern w:val="0"/>
                <w:sz w:val="18"/>
                <w:szCs w:val="18"/>
              </w:rPr>
            </w:pPr>
            <w:r>
              <w:rPr>
                <w:rFonts w:hint="eastAsia"/>
                <w:color w:val="000000"/>
                <w:kern w:val="0"/>
                <w:sz w:val="18"/>
                <w:szCs w:val="18"/>
              </w:rPr>
              <w:t>处1万元以上2万元以下的罚款</w:t>
            </w:r>
          </w:p>
        </w:tc>
      </w:tr>
      <w:tr w14:paraId="7E1D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85816E9">
            <w:pPr>
              <w:spacing w:line="320" w:lineRule="exact"/>
              <w:jc w:val="left"/>
              <w:rPr>
                <w:color w:val="000000"/>
                <w:kern w:val="0"/>
                <w:sz w:val="18"/>
                <w:szCs w:val="18"/>
              </w:rPr>
            </w:pPr>
          </w:p>
        </w:tc>
        <w:tc>
          <w:tcPr>
            <w:tcW w:w="6376" w:type="dxa"/>
            <w:vAlign w:val="center"/>
          </w:tcPr>
          <w:p w14:paraId="591D2F84">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FE99E09">
            <w:pPr>
              <w:spacing w:line="320" w:lineRule="exact"/>
              <w:jc w:val="left"/>
              <w:rPr>
                <w:color w:val="000000"/>
                <w:kern w:val="0"/>
                <w:sz w:val="18"/>
                <w:szCs w:val="18"/>
              </w:rPr>
            </w:pPr>
          </w:p>
        </w:tc>
        <w:tc>
          <w:tcPr>
            <w:tcW w:w="5614" w:type="dxa"/>
            <w:vAlign w:val="center"/>
          </w:tcPr>
          <w:p w14:paraId="11F6A6E6">
            <w:pPr>
              <w:rPr>
                <w:color w:val="000000"/>
                <w:kern w:val="0"/>
                <w:sz w:val="18"/>
                <w:szCs w:val="18"/>
              </w:rPr>
            </w:pPr>
            <w:r>
              <w:rPr>
                <w:rFonts w:hint="eastAsia"/>
                <w:color w:val="000000"/>
                <w:kern w:val="0"/>
                <w:sz w:val="18"/>
                <w:szCs w:val="18"/>
              </w:rPr>
              <w:t>处2万元以上3万元以下的罚款</w:t>
            </w:r>
          </w:p>
        </w:tc>
      </w:tr>
    </w:tbl>
    <w:p w14:paraId="1A2B4E15"/>
    <w:p w14:paraId="7E30373C"/>
    <w:p w14:paraId="0E4198B3"/>
    <w:p w14:paraId="106E37E1"/>
    <w:p w14:paraId="30257827"/>
    <w:p w14:paraId="71AFE52C"/>
    <w:p w14:paraId="072B9563"/>
    <w:p w14:paraId="0E66408B"/>
    <w:p w14:paraId="19B2F8C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1EC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365C387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FDC2096">
            <w:pPr>
              <w:spacing w:line="320" w:lineRule="exact"/>
              <w:rPr>
                <w:rFonts w:eastAsia="仿宋_GB2312"/>
                <w:b/>
                <w:bCs/>
                <w:color w:val="000000"/>
                <w:kern w:val="0"/>
                <w:sz w:val="18"/>
                <w:szCs w:val="18"/>
              </w:rPr>
            </w:pPr>
            <w:r>
              <w:rPr>
                <w:rFonts w:eastAsia="仿宋_GB2312"/>
                <w:b/>
                <w:bCs/>
                <w:color w:val="000000"/>
                <w:kern w:val="0"/>
                <w:sz w:val="18"/>
                <w:szCs w:val="18"/>
              </w:rPr>
              <w:t>320217838000</w:t>
            </w:r>
          </w:p>
        </w:tc>
      </w:tr>
      <w:tr w14:paraId="499E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65FEDA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B01A386">
            <w:pPr>
              <w:spacing w:line="320" w:lineRule="exact"/>
              <w:jc w:val="left"/>
              <w:rPr>
                <w:color w:val="000000"/>
                <w:spacing w:val="-6"/>
                <w:kern w:val="0"/>
                <w:sz w:val="18"/>
                <w:szCs w:val="18"/>
              </w:rPr>
            </w:pPr>
            <w:r>
              <w:rPr>
                <w:rFonts w:hint="eastAsia"/>
                <w:color w:val="000000"/>
                <w:spacing w:val="-6"/>
                <w:kern w:val="0"/>
                <w:sz w:val="18"/>
                <w:szCs w:val="18"/>
              </w:rPr>
              <w:t>对工程勘察企业法定代表人未按规定在工程勘察文件上签字或者盖章的处罚</w:t>
            </w:r>
          </w:p>
        </w:tc>
      </w:tr>
      <w:tr w14:paraId="11A5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46EFEB5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44F476B">
            <w:pPr>
              <w:spacing w:line="320" w:lineRule="exact"/>
              <w:jc w:val="left"/>
              <w:rPr>
                <w:color w:val="000000"/>
                <w:kern w:val="0"/>
                <w:sz w:val="18"/>
                <w:szCs w:val="18"/>
              </w:rPr>
            </w:pPr>
            <w:r>
              <w:rPr>
                <w:rFonts w:hint="eastAsia"/>
                <w:color w:val="000000"/>
                <w:kern w:val="0"/>
                <w:sz w:val="18"/>
                <w:szCs w:val="18"/>
              </w:rPr>
              <w:t xml:space="preserve">【规章】《建设工程勘察质量管理办法》（建设部令第115号，建设部令第163号、第53号修改） </w:t>
            </w:r>
          </w:p>
          <w:p w14:paraId="11EE2F4D">
            <w:pPr>
              <w:spacing w:line="320" w:lineRule="exact"/>
              <w:jc w:val="left"/>
              <w:rPr>
                <w:color w:val="000000"/>
                <w:kern w:val="0"/>
                <w:sz w:val="18"/>
                <w:szCs w:val="18"/>
              </w:rPr>
            </w:pPr>
            <w:r>
              <w:rPr>
                <w:rFonts w:hint="eastAsia"/>
                <w:color w:val="000000"/>
                <w:kern w:val="0"/>
                <w:sz w:val="18"/>
                <w:szCs w:val="18"/>
              </w:rPr>
              <w:t>　    第十三条　工程勘察企业的法定代表人、项目负责人、审核人、审定人等相关人员，应当在勘察文件上签字或者盖章，并对勘察质量负责。</w:t>
            </w:r>
          </w:p>
          <w:p w14:paraId="2A6D5DD6">
            <w:pPr>
              <w:spacing w:line="320" w:lineRule="exact"/>
              <w:jc w:val="left"/>
              <w:rPr>
                <w:color w:val="000000"/>
                <w:kern w:val="0"/>
                <w:sz w:val="18"/>
                <w:szCs w:val="18"/>
              </w:rPr>
            </w:pPr>
            <w:r>
              <w:rPr>
                <w:rFonts w:hint="eastAsia"/>
                <w:color w:val="000000"/>
                <w:kern w:val="0"/>
                <w:sz w:val="18"/>
                <w:szCs w:val="18"/>
              </w:rPr>
              <w:t>　　工程勘察企业法定代表人对本企业勘察质量全面负责；项目负责人对项目的勘察文件负主要质量责任；项目审核人、审定人对其审核、审定项目的勘察文件负审核、审定的质量责任。</w:t>
            </w:r>
          </w:p>
          <w:p w14:paraId="6199B8D9">
            <w:pPr>
              <w:spacing w:line="320" w:lineRule="exact"/>
              <w:jc w:val="left"/>
              <w:rPr>
                <w:color w:val="000000"/>
                <w:kern w:val="0"/>
                <w:sz w:val="18"/>
                <w:szCs w:val="18"/>
              </w:rPr>
            </w:pPr>
            <w:r>
              <w:rPr>
                <w:rFonts w:hint="eastAsia"/>
                <w:color w:val="000000"/>
                <w:kern w:val="0"/>
                <w:sz w:val="18"/>
                <w:szCs w:val="18"/>
              </w:rPr>
              <w:t xml:space="preserve">  　 第二十五条　违反本办法规定，工程勘察企业法定代表人有下列行为之一的，由工程勘察质量监督部门责令改正，处1万元以上3万元以下的罚款：</w:t>
            </w:r>
          </w:p>
          <w:p w14:paraId="5EEE874B">
            <w:pPr>
              <w:spacing w:line="320" w:lineRule="exact"/>
              <w:jc w:val="left"/>
              <w:rPr>
                <w:color w:val="000000"/>
                <w:kern w:val="0"/>
                <w:sz w:val="18"/>
                <w:szCs w:val="18"/>
              </w:rPr>
            </w:pPr>
            <w:r>
              <w:rPr>
                <w:rFonts w:hint="eastAsia"/>
                <w:color w:val="000000"/>
                <w:kern w:val="0"/>
                <w:sz w:val="18"/>
                <w:szCs w:val="18"/>
              </w:rPr>
              <w:t xml:space="preserve">     （三）未按规定在工程勘察文件上签字或者盖章。</w:t>
            </w:r>
          </w:p>
        </w:tc>
      </w:tr>
      <w:tr w14:paraId="2520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2ED81C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16FB017">
            <w:pPr>
              <w:spacing w:line="320" w:lineRule="exact"/>
              <w:jc w:val="left"/>
              <w:rPr>
                <w:color w:val="000000"/>
                <w:kern w:val="0"/>
                <w:sz w:val="18"/>
                <w:szCs w:val="18"/>
              </w:rPr>
            </w:pPr>
            <w:r>
              <w:rPr>
                <w:rFonts w:hint="eastAsia"/>
                <w:color w:val="000000"/>
                <w:kern w:val="0"/>
                <w:sz w:val="18"/>
                <w:szCs w:val="18"/>
              </w:rPr>
              <w:t>责令改正，罚款</w:t>
            </w:r>
          </w:p>
        </w:tc>
      </w:tr>
      <w:tr w14:paraId="17DD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106B9B3">
            <w:pPr>
              <w:spacing w:line="320" w:lineRule="exact"/>
              <w:jc w:val="center"/>
              <w:rPr>
                <w:color w:val="000000"/>
                <w:kern w:val="0"/>
                <w:sz w:val="18"/>
                <w:szCs w:val="18"/>
              </w:rPr>
            </w:pPr>
            <w:r>
              <w:rPr>
                <w:rFonts w:hint="eastAsia"/>
                <w:color w:val="000000"/>
                <w:kern w:val="0"/>
                <w:sz w:val="18"/>
                <w:szCs w:val="18"/>
              </w:rPr>
              <w:t>裁量基准</w:t>
            </w:r>
          </w:p>
        </w:tc>
      </w:tr>
      <w:tr w14:paraId="27C0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F4DF270">
            <w:pPr>
              <w:rPr>
                <w:color w:val="000000"/>
                <w:kern w:val="0"/>
                <w:sz w:val="18"/>
                <w:szCs w:val="18"/>
              </w:rPr>
            </w:pPr>
            <w:r>
              <w:rPr>
                <w:rFonts w:hint="eastAsia"/>
                <w:color w:val="000000"/>
                <w:kern w:val="0"/>
                <w:sz w:val="18"/>
                <w:szCs w:val="18"/>
              </w:rPr>
              <w:t>情形描述</w:t>
            </w:r>
          </w:p>
        </w:tc>
        <w:tc>
          <w:tcPr>
            <w:tcW w:w="6376" w:type="dxa"/>
            <w:vAlign w:val="center"/>
          </w:tcPr>
          <w:p w14:paraId="1AF22E37">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2A098B0A">
            <w:pPr>
              <w:rPr>
                <w:color w:val="000000"/>
                <w:kern w:val="0"/>
                <w:sz w:val="18"/>
                <w:szCs w:val="18"/>
              </w:rPr>
            </w:pPr>
            <w:r>
              <w:rPr>
                <w:rFonts w:hint="eastAsia"/>
                <w:color w:val="000000"/>
                <w:kern w:val="0"/>
                <w:sz w:val="18"/>
                <w:szCs w:val="18"/>
              </w:rPr>
              <w:t>裁量幅度</w:t>
            </w:r>
          </w:p>
        </w:tc>
        <w:tc>
          <w:tcPr>
            <w:tcW w:w="5614" w:type="dxa"/>
            <w:vAlign w:val="center"/>
          </w:tcPr>
          <w:p w14:paraId="68CF3F48">
            <w:pPr>
              <w:rPr>
                <w:color w:val="000000"/>
                <w:kern w:val="0"/>
                <w:sz w:val="18"/>
                <w:szCs w:val="18"/>
              </w:rPr>
            </w:pPr>
            <w:r>
              <w:rPr>
                <w:rFonts w:hint="eastAsia"/>
                <w:color w:val="000000"/>
                <w:kern w:val="0"/>
                <w:sz w:val="18"/>
                <w:szCs w:val="18"/>
              </w:rPr>
              <w:t>处1万元以上2万元以下的罚款</w:t>
            </w:r>
          </w:p>
        </w:tc>
      </w:tr>
      <w:tr w14:paraId="7A82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3135D5EF">
            <w:pPr>
              <w:spacing w:line="320" w:lineRule="exact"/>
              <w:jc w:val="left"/>
              <w:rPr>
                <w:color w:val="000000"/>
                <w:kern w:val="0"/>
                <w:sz w:val="18"/>
                <w:szCs w:val="18"/>
              </w:rPr>
            </w:pPr>
          </w:p>
        </w:tc>
        <w:tc>
          <w:tcPr>
            <w:tcW w:w="6376" w:type="dxa"/>
            <w:vAlign w:val="center"/>
          </w:tcPr>
          <w:p w14:paraId="19DA52E1">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70742024">
            <w:pPr>
              <w:spacing w:line="320" w:lineRule="exact"/>
              <w:jc w:val="left"/>
              <w:rPr>
                <w:color w:val="000000"/>
                <w:kern w:val="0"/>
                <w:sz w:val="18"/>
                <w:szCs w:val="18"/>
              </w:rPr>
            </w:pPr>
          </w:p>
        </w:tc>
        <w:tc>
          <w:tcPr>
            <w:tcW w:w="5614" w:type="dxa"/>
            <w:vAlign w:val="center"/>
          </w:tcPr>
          <w:p w14:paraId="6DAA3A6B">
            <w:pPr>
              <w:rPr>
                <w:color w:val="000000"/>
                <w:kern w:val="0"/>
                <w:sz w:val="18"/>
                <w:szCs w:val="18"/>
              </w:rPr>
            </w:pPr>
            <w:r>
              <w:rPr>
                <w:rFonts w:hint="eastAsia"/>
                <w:color w:val="000000"/>
                <w:kern w:val="0"/>
                <w:sz w:val="18"/>
                <w:szCs w:val="18"/>
              </w:rPr>
              <w:t>处2万元以上3万元以下的罚款</w:t>
            </w:r>
          </w:p>
        </w:tc>
      </w:tr>
    </w:tbl>
    <w:p w14:paraId="5E67CB2F"/>
    <w:p w14:paraId="241F3460"/>
    <w:p w14:paraId="6AFB0AC8"/>
    <w:p w14:paraId="38360641"/>
    <w:p w14:paraId="6143001A"/>
    <w:p w14:paraId="4CC1D2ED"/>
    <w:p w14:paraId="58AB01B7"/>
    <w:p w14:paraId="4AB5ED62"/>
    <w:p w14:paraId="329D5514"/>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71E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ACC955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D7EFE01">
            <w:pPr>
              <w:spacing w:line="320" w:lineRule="exact"/>
              <w:rPr>
                <w:rFonts w:eastAsia="仿宋_GB2312"/>
                <w:b/>
                <w:bCs/>
                <w:color w:val="000000"/>
                <w:kern w:val="0"/>
                <w:sz w:val="18"/>
                <w:szCs w:val="18"/>
              </w:rPr>
            </w:pPr>
            <w:r>
              <w:rPr>
                <w:rFonts w:eastAsia="仿宋_GB2312"/>
                <w:b/>
                <w:bCs/>
                <w:color w:val="000000"/>
                <w:kern w:val="0"/>
                <w:sz w:val="18"/>
                <w:szCs w:val="18"/>
              </w:rPr>
              <w:t>320217839000</w:t>
            </w:r>
          </w:p>
        </w:tc>
      </w:tr>
      <w:tr w14:paraId="45CB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04CFB9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E40275C">
            <w:pPr>
              <w:spacing w:line="320" w:lineRule="exact"/>
              <w:jc w:val="left"/>
              <w:rPr>
                <w:color w:val="000000"/>
                <w:spacing w:val="-6"/>
                <w:kern w:val="0"/>
                <w:sz w:val="18"/>
                <w:szCs w:val="18"/>
              </w:rPr>
            </w:pPr>
            <w:r>
              <w:rPr>
                <w:rFonts w:hint="eastAsia"/>
                <w:color w:val="000000"/>
                <w:spacing w:val="-6"/>
                <w:kern w:val="0"/>
                <w:sz w:val="18"/>
                <w:szCs w:val="18"/>
              </w:rPr>
              <w:t>对工程勘察企业法定代表人授权不具备相应资格的项目负责人开展勘察工作的处罚</w:t>
            </w:r>
          </w:p>
        </w:tc>
      </w:tr>
      <w:tr w14:paraId="222F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60782F5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73718018">
            <w:pPr>
              <w:spacing w:line="320" w:lineRule="exact"/>
              <w:jc w:val="left"/>
              <w:rPr>
                <w:color w:val="000000"/>
                <w:kern w:val="0"/>
                <w:sz w:val="18"/>
                <w:szCs w:val="18"/>
              </w:rPr>
            </w:pPr>
            <w:r>
              <w:rPr>
                <w:rFonts w:hint="eastAsia"/>
                <w:color w:val="000000"/>
                <w:kern w:val="0"/>
                <w:sz w:val="18"/>
                <w:szCs w:val="18"/>
              </w:rPr>
              <w:t xml:space="preserve">  　【规章】《建设工程勘察质量管理办法》（建设部令第115号，建设部令第163号、第53号修改）   </w:t>
            </w:r>
          </w:p>
          <w:p w14:paraId="313454CC">
            <w:pPr>
              <w:spacing w:line="320" w:lineRule="exact"/>
              <w:jc w:val="left"/>
              <w:rPr>
                <w:color w:val="000000"/>
                <w:kern w:val="0"/>
                <w:sz w:val="18"/>
                <w:szCs w:val="18"/>
              </w:rPr>
            </w:pPr>
            <w:r>
              <w:rPr>
                <w:rFonts w:hint="eastAsia"/>
                <w:color w:val="000000"/>
                <w:kern w:val="0"/>
                <w:sz w:val="18"/>
                <w:szCs w:val="18"/>
              </w:rPr>
              <w:t xml:space="preserve">       第十二条第一款  工程勘察企业法定代表人应当建立健全并落实本单位质量管理制度，授权具备相应资格的人员担任项目负责人。 </w:t>
            </w:r>
          </w:p>
          <w:p w14:paraId="7D0F2095">
            <w:pPr>
              <w:spacing w:line="320" w:lineRule="exact"/>
              <w:jc w:val="left"/>
              <w:rPr>
                <w:color w:val="000000"/>
                <w:kern w:val="0"/>
                <w:sz w:val="18"/>
                <w:szCs w:val="18"/>
              </w:rPr>
            </w:pPr>
            <w:r>
              <w:rPr>
                <w:rFonts w:hint="eastAsia"/>
                <w:color w:val="000000"/>
                <w:kern w:val="0"/>
                <w:sz w:val="18"/>
                <w:szCs w:val="18"/>
              </w:rPr>
              <w:t xml:space="preserve">       第二十五条　违反本办法规定，工程勘察企业法定代表人有下列行为之一的，由工程勘察质量监督部门责令改正，处1万元以上3万元以下的罚款：</w:t>
            </w:r>
          </w:p>
          <w:p w14:paraId="354218DE">
            <w:pPr>
              <w:spacing w:line="320" w:lineRule="exact"/>
              <w:jc w:val="left"/>
              <w:rPr>
                <w:color w:val="000000"/>
                <w:kern w:val="0"/>
                <w:sz w:val="18"/>
                <w:szCs w:val="18"/>
              </w:rPr>
            </w:pPr>
            <w:r>
              <w:rPr>
                <w:rFonts w:hint="eastAsia"/>
                <w:color w:val="000000"/>
                <w:kern w:val="0"/>
                <w:sz w:val="18"/>
                <w:szCs w:val="18"/>
              </w:rPr>
              <w:t>　　（二）授权不具备相应资格的项目负责人开展勘察工作；</w:t>
            </w:r>
          </w:p>
        </w:tc>
      </w:tr>
      <w:tr w14:paraId="290B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44548BB">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774D93D">
            <w:pPr>
              <w:spacing w:line="320" w:lineRule="exact"/>
              <w:jc w:val="left"/>
              <w:rPr>
                <w:color w:val="000000"/>
                <w:kern w:val="0"/>
                <w:sz w:val="18"/>
                <w:szCs w:val="18"/>
              </w:rPr>
            </w:pPr>
            <w:r>
              <w:rPr>
                <w:rFonts w:hint="eastAsia"/>
                <w:color w:val="000000"/>
                <w:kern w:val="0"/>
                <w:sz w:val="18"/>
                <w:szCs w:val="18"/>
              </w:rPr>
              <w:t>责令改正，罚款</w:t>
            </w:r>
          </w:p>
        </w:tc>
      </w:tr>
      <w:tr w14:paraId="1BAA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1BEE95A">
            <w:pPr>
              <w:spacing w:line="320" w:lineRule="exact"/>
              <w:jc w:val="center"/>
              <w:rPr>
                <w:color w:val="000000"/>
                <w:kern w:val="0"/>
                <w:sz w:val="18"/>
                <w:szCs w:val="18"/>
              </w:rPr>
            </w:pPr>
            <w:r>
              <w:rPr>
                <w:rFonts w:hint="eastAsia"/>
                <w:color w:val="000000"/>
                <w:kern w:val="0"/>
                <w:sz w:val="18"/>
                <w:szCs w:val="18"/>
              </w:rPr>
              <w:t>裁量基准</w:t>
            </w:r>
          </w:p>
        </w:tc>
      </w:tr>
      <w:tr w14:paraId="07E0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7C9BBE57">
            <w:pPr>
              <w:rPr>
                <w:color w:val="000000"/>
                <w:kern w:val="0"/>
                <w:sz w:val="18"/>
                <w:szCs w:val="18"/>
              </w:rPr>
            </w:pPr>
            <w:r>
              <w:rPr>
                <w:rFonts w:hint="eastAsia"/>
                <w:color w:val="000000"/>
                <w:kern w:val="0"/>
                <w:sz w:val="18"/>
                <w:szCs w:val="18"/>
              </w:rPr>
              <w:t>情形描述</w:t>
            </w:r>
          </w:p>
        </w:tc>
        <w:tc>
          <w:tcPr>
            <w:tcW w:w="6376" w:type="dxa"/>
            <w:vAlign w:val="center"/>
          </w:tcPr>
          <w:p w14:paraId="7A800551">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2012975A">
            <w:pPr>
              <w:rPr>
                <w:color w:val="000000"/>
                <w:kern w:val="0"/>
                <w:sz w:val="18"/>
                <w:szCs w:val="18"/>
              </w:rPr>
            </w:pPr>
            <w:r>
              <w:rPr>
                <w:rFonts w:hint="eastAsia"/>
                <w:color w:val="000000"/>
                <w:kern w:val="0"/>
                <w:sz w:val="18"/>
                <w:szCs w:val="18"/>
              </w:rPr>
              <w:t>裁量幅度</w:t>
            </w:r>
          </w:p>
        </w:tc>
        <w:tc>
          <w:tcPr>
            <w:tcW w:w="5614" w:type="dxa"/>
            <w:vAlign w:val="center"/>
          </w:tcPr>
          <w:p w14:paraId="30D8E0A4">
            <w:pPr>
              <w:rPr>
                <w:color w:val="000000"/>
                <w:kern w:val="0"/>
                <w:sz w:val="18"/>
                <w:szCs w:val="18"/>
              </w:rPr>
            </w:pPr>
            <w:r>
              <w:rPr>
                <w:rFonts w:hint="eastAsia"/>
                <w:color w:val="000000"/>
                <w:kern w:val="0"/>
                <w:sz w:val="18"/>
                <w:szCs w:val="18"/>
              </w:rPr>
              <w:t>处1万元以上2万元以下的罚款</w:t>
            </w:r>
          </w:p>
        </w:tc>
      </w:tr>
      <w:tr w14:paraId="3E9D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8650B31">
            <w:pPr>
              <w:spacing w:line="320" w:lineRule="exact"/>
              <w:jc w:val="left"/>
              <w:rPr>
                <w:color w:val="000000"/>
                <w:kern w:val="0"/>
                <w:sz w:val="18"/>
                <w:szCs w:val="18"/>
              </w:rPr>
            </w:pPr>
          </w:p>
        </w:tc>
        <w:tc>
          <w:tcPr>
            <w:tcW w:w="6376" w:type="dxa"/>
            <w:vAlign w:val="center"/>
          </w:tcPr>
          <w:p w14:paraId="6BC08BFB">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47C4FF63">
            <w:pPr>
              <w:spacing w:line="320" w:lineRule="exact"/>
              <w:jc w:val="left"/>
              <w:rPr>
                <w:color w:val="000000"/>
                <w:kern w:val="0"/>
                <w:sz w:val="18"/>
                <w:szCs w:val="18"/>
              </w:rPr>
            </w:pPr>
          </w:p>
        </w:tc>
        <w:tc>
          <w:tcPr>
            <w:tcW w:w="5614" w:type="dxa"/>
            <w:vAlign w:val="center"/>
          </w:tcPr>
          <w:p w14:paraId="380A9E38">
            <w:pPr>
              <w:rPr>
                <w:color w:val="000000"/>
                <w:kern w:val="0"/>
                <w:sz w:val="18"/>
                <w:szCs w:val="18"/>
              </w:rPr>
            </w:pPr>
            <w:r>
              <w:rPr>
                <w:rFonts w:hint="eastAsia"/>
                <w:color w:val="000000"/>
                <w:kern w:val="0"/>
                <w:sz w:val="18"/>
                <w:szCs w:val="18"/>
              </w:rPr>
              <w:t>处2万元以上3万元以下的罚款</w:t>
            </w:r>
          </w:p>
        </w:tc>
      </w:tr>
    </w:tbl>
    <w:p w14:paraId="2A68E1AD"/>
    <w:p w14:paraId="7580B823"/>
    <w:p w14:paraId="00247175"/>
    <w:p w14:paraId="22D0D39C"/>
    <w:p w14:paraId="48F4365F"/>
    <w:p w14:paraId="26402561"/>
    <w:p w14:paraId="060E3E56"/>
    <w:p w14:paraId="1A96901F"/>
    <w:p w14:paraId="2B393C7B"/>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F1C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056C06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C950281">
            <w:pPr>
              <w:spacing w:line="320" w:lineRule="exact"/>
              <w:rPr>
                <w:rFonts w:eastAsia="仿宋_GB2312"/>
                <w:b/>
                <w:bCs/>
                <w:color w:val="000000"/>
                <w:kern w:val="0"/>
                <w:sz w:val="18"/>
                <w:szCs w:val="18"/>
              </w:rPr>
            </w:pPr>
            <w:r>
              <w:rPr>
                <w:rFonts w:eastAsia="仿宋_GB2312"/>
                <w:b/>
                <w:bCs/>
                <w:color w:val="000000"/>
                <w:kern w:val="0"/>
                <w:sz w:val="18"/>
                <w:szCs w:val="18"/>
              </w:rPr>
              <w:t>320217840000</w:t>
            </w:r>
          </w:p>
        </w:tc>
      </w:tr>
      <w:tr w14:paraId="1A4A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2510322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11D1BBF">
            <w:pPr>
              <w:spacing w:line="320" w:lineRule="exact"/>
              <w:jc w:val="left"/>
              <w:rPr>
                <w:color w:val="000000"/>
                <w:spacing w:val="-6"/>
                <w:kern w:val="0"/>
                <w:sz w:val="18"/>
                <w:szCs w:val="18"/>
              </w:rPr>
            </w:pPr>
            <w:r>
              <w:rPr>
                <w:rFonts w:hint="eastAsia"/>
                <w:color w:val="000000"/>
                <w:spacing w:val="-6"/>
                <w:kern w:val="0"/>
                <w:sz w:val="18"/>
                <w:szCs w:val="18"/>
              </w:rPr>
              <w:t>对工程勘察企业法定代表人未建立或者落实本单位勘察质量管理制度的处罚</w:t>
            </w:r>
          </w:p>
        </w:tc>
      </w:tr>
      <w:tr w14:paraId="1233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E76452E">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D1196E9">
            <w:pPr>
              <w:spacing w:line="320" w:lineRule="exact"/>
              <w:jc w:val="left"/>
              <w:rPr>
                <w:color w:val="000000"/>
                <w:kern w:val="0"/>
                <w:sz w:val="18"/>
                <w:szCs w:val="18"/>
              </w:rPr>
            </w:pPr>
            <w:r>
              <w:rPr>
                <w:rFonts w:hint="eastAsia"/>
                <w:color w:val="000000"/>
                <w:kern w:val="0"/>
                <w:sz w:val="18"/>
                <w:szCs w:val="18"/>
              </w:rPr>
              <w:t>【规章】《建设工程勘察质量管理办法》（建设部令第115号，建设部令第163号、第53号修改）    　</w:t>
            </w:r>
          </w:p>
          <w:p w14:paraId="3782B7A8">
            <w:pPr>
              <w:spacing w:line="320" w:lineRule="exact"/>
              <w:jc w:val="left"/>
              <w:rPr>
                <w:color w:val="000000"/>
                <w:kern w:val="0"/>
                <w:sz w:val="18"/>
                <w:szCs w:val="18"/>
              </w:rPr>
            </w:pPr>
            <w:r>
              <w:rPr>
                <w:rFonts w:hint="eastAsia"/>
                <w:color w:val="000000"/>
                <w:kern w:val="0"/>
                <w:sz w:val="18"/>
                <w:szCs w:val="18"/>
              </w:rPr>
              <w:t xml:space="preserve">         第十二条第二款 　工程勘察企业项目负责人应当签署质量终身责任承诺书，执行勘察纲要和工程建设强制性标准，落实本单位勘察质量管理制度，制定项目质量保证措施，组织开展工程勘察各项工作。</w:t>
            </w:r>
          </w:p>
          <w:p w14:paraId="65371A41">
            <w:pPr>
              <w:spacing w:line="320" w:lineRule="exact"/>
              <w:jc w:val="left"/>
              <w:rPr>
                <w:color w:val="000000"/>
                <w:kern w:val="0"/>
                <w:sz w:val="18"/>
                <w:szCs w:val="18"/>
              </w:rPr>
            </w:pPr>
            <w:r>
              <w:rPr>
                <w:rFonts w:hint="eastAsia"/>
                <w:color w:val="000000"/>
                <w:kern w:val="0"/>
                <w:sz w:val="18"/>
                <w:szCs w:val="18"/>
              </w:rPr>
              <w:t xml:space="preserve">          第二十五条　违反本办法规定，工程勘察企业法定代表人有下列行为之一的，由工程勘察质量监督部门责令改正，处1万元以上3万元以下的罚款：</w:t>
            </w:r>
          </w:p>
          <w:p w14:paraId="0BA00AB6">
            <w:pPr>
              <w:spacing w:line="320" w:lineRule="exact"/>
              <w:jc w:val="left"/>
              <w:rPr>
                <w:color w:val="000000"/>
                <w:kern w:val="0"/>
                <w:sz w:val="18"/>
                <w:szCs w:val="18"/>
              </w:rPr>
            </w:pPr>
            <w:r>
              <w:rPr>
                <w:rFonts w:hint="eastAsia"/>
                <w:color w:val="000000"/>
                <w:kern w:val="0"/>
                <w:sz w:val="18"/>
                <w:szCs w:val="18"/>
              </w:rPr>
              <w:t>　　（一）未建立或者落实本单位勘察质量管理制度；</w:t>
            </w:r>
          </w:p>
        </w:tc>
      </w:tr>
      <w:tr w14:paraId="5E9B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E089B54">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6D073AB4">
            <w:pPr>
              <w:spacing w:line="320" w:lineRule="exact"/>
              <w:jc w:val="left"/>
              <w:rPr>
                <w:color w:val="000000"/>
                <w:kern w:val="0"/>
                <w:sz w:val="18"/>
                <w:szCs w:val="18"/>
              </w:rPr>
            </w:pPr>
            <w:r>
              <w:rPr>
                <w:rFonts w:hint="eastAsia"/>
                <w:color w:val="000000"/>
                <w:kern w:val="0"/>
                <w:sz w:val="18"/>
                <w:szCs w:val="18"/>
              </w:rPr>
              <w:t>责令改正，罚款</w:t>
            </w:r>
          </w:p>
        </w:tc>
      </w:tr>
      <w:tr w14:paraId="72E1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A8A97CB">
            <w:pPr>
              <w:spacing w:line="320" w:lineRule="exact"/>
              <w:jc w:val="center"/>
              <w:rPr>
                <w:color w:val="000000"/>
                <w:kern w:val="0"/>
                <w:sz w:val="18"/>
                <w:szCs w:val="18"/>
              </w:rPr>
            </w:pPr>
            <w:r>
              <w:rPr>
                <w:rFonts w:hint="eastAsia"/>
                <w:color w:val="000000"/>
                <w:kern w:val="0"/>
                <w:sz w:val="18"/>
                <w:szCs w:val="18"/>
              </w:rPr>
              <w:t>裁量基准</w:t>
            </w:r>
          </w:p>
        </w:tc>
      </w:tr>
      <w:tr w14:paraId="67B6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6985BD10">
            <w:pPr>
              <w:rPr>
                <w:color w:val="000000"/>
                <w:kern w:val="0"/>
                <w:sz w:val="18"/>
                <w:szCs w:val="18"/>
              </w:rPr>
            </w:pPr>
            <w:r>
              <w:rPr>
                <w:rFonts w:hint="eastAsia"/>
                <w:color w:val="000000"/>
                <w:kern w:val="0"/>
                <w:sz w:val="18"/>
                <w:szCs w:val="18"/>
              </w:rPr>
              <w:t>情形描述</w:t>
            </w:r>
          </w:p>
        </w:tc>
        <w:tc>
          <w:tcPr>
            <w:tcW w:w="6376" w:type="dxa"/>
            <w:vAlign w:val="center"/>
          </w:tcPr>
          <w:p w14:paraId="06F2692A">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5703B91D">
            <w:pPr>
              <w:rPr>
                <w:color w:val="000000"/>
                <w:kern w:val="0"/>
                <w:sz w:val="18"/>
                <w:szCs w:val="18"/>
              </w:rPr>
            </w:pPr>
            <w:r>
              <w:rPr>
                <w:rFonts w:hint="eastAsia"/>
                <w:color w:val="000000"/>
                <w:kern w:val="0"/>
                <w:sz w:val="18"/>
                <w:szCs w:val="18"/>
              </w:rPr>
              <w:t>裁量幅度</w:t>
            </w:r>
          </w:p>
        </w:tc>
        <w:tc>
          <w:tcPr>
            <w:tcW w:w="5614" w:type="dxa"/>
            <w:vAlign w:val="center"/>
          </w:tcPr>
          <w:p w14:paraId="4779C578">
            <w:pPr>
              <w:rPr>
                <w:color w:val="000000"/>
                <w:kern w:val="0"/>
                <w:sz w:val="18"/>
                <w:szCs w:val="18"/>
              </w:rPr>
            </w:pPr>
            <w:r>
              <w:rPr>
                <w:rFonts w:hint="eastAsia"/>
                <w:color w:val="000000"/>
                <w:kern w:val="0"/>
                <w:sz w:val="18"/>
                <w:szCs w:val="18"/>
              </w:rPr>
              <w:t>处1万元以上2万元以下的罚款</w:t>
            </w:r>
          </w:p>
        </w:tc>
      </w:tr>
      <w:tr w14:paraId="4415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AF3C7BF">
            <w:pPr>
              <w:spacing w:line="320" w:lineRule="exact"/>
              <w:jc w:val="left"/>
              <w:rPr>
                <w:color w:val="000000"/>
                <w:kern w:val="0"/>
                <w:sz w:val="18"/>
                <w:szCs w:val="18"/>
              </w:rPr>
            </w:pPr>
          </w:p>
        </w:tc>
        <w:tc>
          <w:tcPr>
            <w:tcW w:w="6376" w:type="dxa"/>
            <w:vAlign w:val="center"/>
          </w:tcPr>
          <w:p w14:paraId="764A260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DBC7C24">
            <w:pPr>
              <w:spacing w:line="320" w:lineRule="exact"/>
              <w:jc w:val="left"/>
              <w:rPr>
                <w:color w:val="000000"/>
                <w:kern w:val="0"/>
                <w:sz w:val="18"/>
                <w:szCs w:val="18"/>
              </w:rPr>
            </w:pPr>
          </w:p>
        </w:tc>
        <w:tc>
          <w:tcPr>
            <w:tcW w:w="5614" w:type="dxa"/>
            <w:vAlign w:val="center"/>
          </w:tcPr>
          <w:p w14:paraId="4BF270C3">
            <w:pPr>
              <w:rPr>
                <w:color w:val="000000"/>
                <w:kern w:val="0"/>
                <w:sz w:val="18"/>
                <w:szCs w:val="18"/>
              </w:rPr>
            </w:pPr>
            <w:r>
              <w:rPr>
                <w:rFonts w:hint="eastAsia"/>
                <w:color w:val="000000"/>
                <w:kern w:val="0"/>
                <w:sz w:val="18"/>
                <w:szCs w:val="18"/>
              </w:rPr>
              <w:t>处2万元以上3万元以下的罚款</w:t>
            </w:r>
          </w:p>
        </w:tc>
      </w:tr>
    </w:tbl>
    <w:p w14:paraId="5472B1BF"/>
    <w:p w14:paraId="74D05093"/>
    <w:p w14:paraId="79213FF1"/>
    <w:p w14:paraId="3F6DB196"/>
    <w:p w14:paraId="4C977730"/>
    <w:p w14:paraId="3D5915E4"/>
    <w:p w14:paraId="0BE3A003"/>
    <w:p w14:paraId="2C85989C"/>
    <w:p w14:paraId="6F9A2414"/>
    <w:p w14:paraId="61D998D4"/>
    <w:p w14:paraId="642F3B6F"/>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DAE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106F8754">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23E80AC">
            <w:pPr>
              <w:spacing w:line="320" w:lineRule="exact"/>
              <w:rPr>
                <w:rFonts w:eastAsia="仿宋_GB2312"/>
                <w:b/>
                <w:bCs/>
                <w:color w:val="000000"/>
                <w:kern w:val="0"/>
                <w:sz w:val="18"/>
                <w:szCs w:val="18"/>
              </w:rPr>
            </w:pPr>
            <w:r>
              <w:rPr>
                <w:rFonts w:eastAsia="仿宋_GB2312"/>
                <w:b/>
                <w:bCs/>
                <w:color w:val="000000"/>
                <w:kern w:val="0"/>
                <w:sz w:val="18"/>
                <w:szCs w:val="18"/>
              </w:rPr>
              <w:t>320217841000</w:t>
            </w:r>
          </w:p>
        </w:tc>
      </w:tr>
      <w:tr w14:paraId="6084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2138B75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3DE375B">
            <w:pPr>
              <w:spacing w:line="320" w:lineRule="exact"/>
              <w:jc w:val="left"/>
              <w:rPr>
                <w:color w:val="000000"/>
                <w:spacing w:val="-6"/>
                <w:kern w:val="0"/>
                <w:sz w:val="18"/>
                <w:szCs w:val="18"/>
              </w:rPr>
            </w:pPr>
            <w:r>
              <w:rPr>
                <w:rFonts w:hint="eastAsia"/>
                <w:color w:val="000000"/>
                <w:spacing w:val="-6"/>
                <w:kern w:val="0"/>
                <w:sz w:val="18"/>
                <w:szCs w:val="18"/>
              </w:rPr>
              <w:t>对工程勘察企业未按规定及时将工程勘察文件和勘探、试验、测试原始记录及成果、质量安全管理记录归档保存的处罚</w:t>
            </w:r>
          </w:p>
        </w:tc>
      </w:tr>
      <w:tr w14:paraId="1F33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5B8783D9">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548F41B">
            <w:pPr>
              <w:spacing w:line="320" w:lineRule="exact"/>
              <w:jc w:val="left"/>
              <w:rPr>
                <w:color w:val="000000"/>
                <w:kern w:val="0"/>
                <w:sz w:val="18"/>
                <w:szCs w:val="18"/>
              </w:rPr>
            </w:pPr>
            <w:r>
              <w:rPr>
                <w:rFonts w:hint="eastAsia"/>
                <w:color w:val="000000"/>
                <w:kern w:val="0"/>
                <w:sz w:val="18"/>
                <w:szCs w:val="18"/>
              </w:rPr>
              <w:t xml:space="preserve">   【规章】《建设工程勘察质量管理办法》（建设部令第115号，建设部令第163号、第53号修改）      </w:t>
            </w:r>
          </w:p>
          <w:p w14:paraId="1FE94DE7">
            <w:pPr>
              <w:spacing w:line="320" w:lineRule="exact"/>
              <w:jc w:val="left"/>
              <w:rPr>
                <w:color w:val="000000"/>
                <w:kern w:val="0"/>
                <w:sz w:val="18"/>
                <w:szCs w:val="18"/>
              </w:rPr>
            </w:pPr>
            <w:r>
              <w:rPr>
                <w:rFonts w:hint="eastAsia"/>
                <w:color w:val="000000"/>
                <w:kern w:val="0"/>
                <w:sz w:val="18"/>
                <w:szCs w:val="18"/>
              </w:rPr>
              <w:t xml:space="preserve">         第十七条 工程勘察企业应当建立工程勘察档案管理制度。工程勘察企业应当在勘察报告提交建设单位后20日内将工程勘察文件和勘探、试验、测试原始记录及成果、质量安全管理记录归档保存。归档资料应当经项目负责人签字确认，保存期限应当不少于工程的设计使用年限。</w:t>
            </w:r>
          </w:p>
          <w:p w14:paraId="48007A9D">
            <w:pPr>
              <w:spacing w:line="320" w:lineRule="exact"/>
              <w:jc w:val="left"/>
              <w:rPr>
                <w:color w:val="000000"/>
                <w:kern w:val="0"/>
                <w:sz w:val="18"/>
                <w:szCs w:val="18"/>
              </w:rPr>
            </w:pPr>
            <w:r>
              <w:rPr>
                <w:rFonts w:hint="eastAsia"/>
                <w:color w:val="000000"/>
                <w:kern w:val="0"/>
                <w:sz w:val="18"/>
                <w:szCs w:val="18"/>
              </w:rPr>
              <w:t>　　国家鼓励工程勘察企业推进传统载体档案数字化。电子档案与传统载体档案具有同等效力。</w:t>
            </w:r>
          </w:p>
          <w:p w14:paraId="53F30E26">
            <w:pPr>
              <w:spacing w:line="320" w:lineRule="exact"/>
              <w:jc w:val="left"/>
              <w:rPr>
                <w:color w:val="000000"/>
                <w:kern w:val="0"/>
                <w:sz w:val="18"/>
                <w:szCs w:val="18"/>
              </w:rPr>
            </w:pPr>
            <w:r>
              <w:rPr>
                <w:rFonts w:hint="eastAsia"/>
                <w:color w:val="000000"/>
                <w:kern w:val="0"/>
                <w:sz w:val="18"/>
                <w:szCs w:val="18"/>
              </w:rPr>
              <w:t xml:space="preserve">        第二十四条　违反本办法规定，工程勘察企业有下列行为之一的，由工程勘察质量监督部门责令改正，处1万元以上3万元以下的罚款：</w:t>
            </w:r>
          </w:p>
          <w:p w14:paraId="3EEC9010">
            <w:pPr>
              <w:spacing w:line="320" w:lineRule="exact"/>
              <w:jc w:val="left"/>
              <w:rPr>
                <w:color w:val="000000"/>
                <w:kern w:val="0"/>
                <w:sz w:val="18"/>
                <w:szCs w:val="18"/>
              </w:rPr>
            </w:pPr>
            <w:r>
              <w:rPr>
                <w:rFonts w:hint="eastAsia"/>
                <w:color w:val="000000"/>
                <w:kern w:val="0"/>
                <w:sz w:val="18"/>
                <w:szCs w:val="18"/>
              </w:rPr>
              <w:t>　　（六）未按规定及时将工程勘察文件和勘探、试验、测试原始记录及成果、质量安全管理记录归档保存。</w:t>
            </w:r>
          </w:p>
          <w:p w14:paraId="17AEC31F">
            <w:pPr>
              <w:spacing w:line="320" w:lineRule="exact"/>
              <w:jc w:val="left"/>
              <w:rPr>
                <w:color w:val="000000"/>
                <w:kern w:val="0"/>
                <w:sz w:val="18"/>
                <w:szCs w:val="18"/>
              </w:rPr>
            </w:pPr>
            <w:r>
              <w:rPr>
                <w:rFonts w:hint="eastAsia"/>
                <w:color w:val="000000"/>
                <w:kern w:val="0"/>
                <w:sz w:val="18"/>
                <w:szCs w:val="18"/>
              </w:rPr>
              <w:t xml:space="preserve">        第二十七条　依照本办法规定，给予建设单位、勘察企业罚款处罚的，由工程勘察质量监督部门对建设单位、勘察企业的法定代表人和其他直接责任人员处以企业罚款数额的5%以上10%以下的罚款。</w:t>
            </w:r>
          </w:p>
        </w:tc>
      </w:tr>
      <w:tr w14:paraId="3AD5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07DA23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E1FC53B">
            <w:pPr>
              <w:spacing w:line="320" w:lineRule="exact"/>
              <w:jc w:val="left"/>
              <w:rPr>
                <w:color w:val="000000"/>
                <w:kern w:val="0"/>
                <w:sz w:val="18"/>
                <w:szCs w:val="18"/>
              </w:rPr>
            </w:pPr>
            <w:r>
              <w:rPr>
                <w:rFonts w:hint="eastAsia"/>
                <w:color w:val="000000"/>
                <w:kern w:val="0"/>
                <w:sz w:val="18"/>
                <w:szCs w:val="18"/>
              </w:rPr>
              <w:t>责令改正，罚款</w:t>
            </w:r>
          </w:p>
        </w:tc>
      </w:tr>
      <w:tr w14:paraId="3F49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084BB5B">
            <w:pPr>
              <w:spacing w:line="320" w:lineRule="exact"/>
              <w:jc w:val="center"/>
              <w:rPr>
                <w:color w:val="000000"/>
                <w:kern w:val="0"/>
                <w:sz w:val="18"/>
                <w:szCs w:val="18"/>
              </w:rPr>
            </w:pPr>
            <w:r>
              <w:rPr>
                <w:rFonts w:hint="eastAsia"/>
                <w:color w:val="000000"/>
                <w:kern w:val="0"/>
                <w:sz w:val="18"/>
                <w:szCs w:val="18"/>
              </w:rPr>
              <w:t>裁量基准</w:t>
            </w:r>
          </w:p>
        </w:tc>
      </w:tr>
      <w:tr w14:paraId="5833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58D0998">
            <w:pPr>
              <w:rPr>
                <w:color w:val="000000"/>
                <w:kern w:val="0"/>
                <w:sz w:val="18"/>
                <w:szCs w:val="18"/>
              </w:rPr>
            </w:pPr>
            <w:r>
              <w:rPr>
                <w:rFonts w:hint="eastAsia"/>
                <w:color w:val="000000"/>
                <w:kern w:val="0"/>
                <w:sz w:val="18"/>
                <w:szCs w:val="18"/>
              </w:rPr>
              <w:t>情形描述</w:t>
            </w:r>
          </w:p>
        </w:tc>
        <w:tc>
          <w:tcPr>
            <w:tcW w:w="6376" w:type="dxa"/>
            <w:vAlign w:val="center"/>
          </w:tcPr>
          <w:p w14:paraId="6131916E">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3831E83C">
            <w:pPr>
              <w:rPr>
                <w:color w:val="000000"/>
                <w:kern w:val="0"/>
                <w:sz w:val="18"/>
                <w:szCs w:val="18"/>
              </w:rPr>
            </w:pPr>
            <w:r>
              <w:rPr>
                <w:rFonts w:hint="eastAsia"/>
                <w:color w:val="000000"/>
                <w:kern w:val="0"/>
                <w:sz w:val="18"/>
                <w:szCs w:val="18"/>
              </w:rPr>
              <w:t>裁量幅度</w:t>
            </w:r>
          </w:p>
        </w:tc>
        <w:tc>
          <w:tcPr>
            <w:tcW w:w="5614" w:type="dxa"/>
            <w:vAlign w:val="center"/>
          </w:tcPr>
          <w:p w14:paraId="4806AC3A">
            <w:pPr>
              <w:rPr>
                <w:color w:val="000000"/>
                <w:kern w:val="0"/>
                <w:sz w:val="18"/>
                <w:szCs w:val="18"/>
              </w:rPr>
            </w:pPr>
            <w:r>
              <w:rPr>
                <w:rFonts w:hint="eastAsia"/>
                <w:color w:val="000000"/>
                <w:kern w:val="0"/>
                <w:sz w:val="18"/>
                <w:szCs w:val="18"/>
              </w:rPr>
              <w:t>处1万元以上2万元以下的罚款</w:t>
            </w:r>
          </w:p>
          <w:p w14:paraId="38552185">
            <w:pPr>
              <w:rPr>
                <w:color w:val="000000"/>
                <w:kern w:val="0"/>
                <w:sz w:val="18"/>
                <w:szCs w:val="18"/>
              </w:rPr>
            </w:pPr>
            <w:r>
              <w:rPr>
                <w:rFonts w:hint="eastAsia"/>
                <w:color w:val="000000"/>
                <w:kern w:val="0"/>
                <w:sz w:val="18"/>
                <w:szCs w:val="18"/>
              </w:rPr>
              <w:t>对个人：企业罚款数额的5%以上7%以下的罚款</w:t>
            </w:r>
          </w:p>
        </w:tc>
      </w:tr>
      <w:tr w14:paraId="5D44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28172EBC">
            <w:pPr>
              <w:spacing w:line="320" w:lineRule="exact"/>
              <w:jc w:val="left"/>
              <w:rPr>
                <w:color w:val="000000"/>
                <w:kern w:val="0"/>
                <w:sz w:val="18"/>
                <w:szCs w:val="18"/>
              </w:rPr>
            </w:pPr>
          </w:p>
        </w:tc>
        <w:tc>
          <w:tcPr>
            <w:tcW w:w="6376" w:type="dxa"/>
            <w:vAlign w:val="center"/>
          </w:tcPr>
          <w:p w14:paraId="0B02AE1D">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5C7B1BAC">
            <w:pPr>
              <w:spacing w:line="320" w:lineRule="exact"/>
              <w:jc w:val="left"/>
              <w:rPr>
                <w:color w:val="000000"/>
                <w:kern w:val="0"/>
                <w:sz w:val="18"/>
                <w:szCs w:val="18"/>
              </w:rPr>
            </w:pPr>
          </w:p>
        </w:tc>
        <w:tc>
          <w:tcPr>
            <w:tcW w:w="5614" w:type="dxa"/>
            <w:vAlign w:val="center"/>
          </w:tcPr>
          <w:p w14:paraId="53212527">
            <w:pPr>
              <w:rPr>
                <w:color w:val="000000"/>
                <w:kern w:val="0"/>
                <w:sz w:val="18"/>
                <w:szCs w:val="18"/>
              </w:rPr>
            </w:pPr>
            <w:r>
              <w:rPr>
                <w:rFonts w:hint="eastAsia"/>
                <w:color w:val="000000"/>
                <w:kern w:val="0"/>
                <w:sz w:val="18"/>
                <w:szCs w:val="18"/>
              </w:rPr>
              <w:t>处2万元以上3万元以下的罚款</w:t>
            </w:r>
          </w:p>
          <w:p w14:paraId="13FC6B8D">
            <w:pPr>
              <w:rPr>
                <w:color w:val="000000"/>
                <w:kern w:val="0"/>
                <w:sz w:val="18"/>
                <w:szCs w:val="18"/>
              </w:rPr>
            </w:pPr>
            <w:r>
              <w:rPr>
                <w:rFonts w:hint="eastAsia"/>
                <w:color w:val="000000"/>
                <w:kern w:val="0"/>
                <w:sz w:val="18"/>
                <w:szCs w:val="18"/>
              </w:rPr>
              <w:t>对个人：企业罚款数额的7%以上10%以下的罚款</w:t>
            </w:r>
          </w:p>
        </w:tc>
      </w:tr>
    </w:tbl>
    <w:p w14:paraId="0D947A63"/>
    <w:p w14:paraId="6DE418A1"/>
    <w:p w14:paraId="1115624C"/>
    <w:p w14:paraId="57C6E60F"/>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509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CA5FC56">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B8AC378">
            <w:pPr>
              <w:spacing w:line="320" w:lineRule="exact"/>
              <w:rPr>
                <w:rFonts w:eastAsia="仿宋_GB2312"/>
                <w:b/>
                <w:bCs/>
                <w:color w:val="000000"/>
                <w:kern w:val="0"/>
                <w:sz w:val="18"/>
                <w:szCs w:val="18"/>
              </w:rPr>
            </w:pPr>
            <w:r>
              <w:rPr>
                <w:rFonts w:eastAsia="仿宋_GB2312"/>
                <w:b/>
                <w:bCs/>
                <w:color w:val="000000"/>
                <w:kern w:val="0"/>
                <w:sz w:val="18"/>
                <w:szCs w:val="18"/>
              </w:rPr>
              <w:t>320217842000</w:t>
            </w:r>
          </w:p>
        </w:tc>
      </w:tr>
      <w:tr w14:paraId="2A3E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405167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84FF1F7">
            <w:pPr>
              <w:spacing w:line="320" w:lineRule="exact"/>
              <w:jc w:val="left"/>
              <w:rPr>
                <w:color w:val="000000"/>
                <w:spacing w:val="-6"/>
                <w:kern w:val="0"/>
                <w:sz w:val="18"/>
                <w:szCs w:val="18"/>
              </w:rPr>
            </w:pPr>
            <w:r>
              <w:rPr>
                <w:rFonts w:hint="eastAsia"/>
                <w:color w:val="000000"/>
                <w:spacing w:val="-6"/>
                <w:kern w:val="0"/>
                <w:sz w:val="18"/>
                <w:szCs w:val="18"/>
              </w:rPr>
              <w:t>对工程勘察企业未将钻探、取样、原位测试、室内试验等主要过程的影像资料留存备查的处罚</w:t>
            </w:r>
          </w:p>
        </w:tc>
      </w:tr>
      <w:tr w14:paraId="341A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0D15501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1A26099E">
            <w:pPr>
              <w:spacing w:line="320" w:lineRule="exact"/>
              <w:jc w:val="left"/>
              <w:rPr>
                <w:color w:val="000000"/>
                <w:kern w:val="0"/>
                <w:sz w:val="18"/>
                <w:szCs w:val="18"/>
              </w:rPr>
            </w:pPr>
            <w:r>
              <w:rPr>
                <w:rFonts w:hint="eastAsia"/>
                <w:color w:val="000000"/>
                <w:kern w:val="0"/>
                <w:sz w:val="18"/>
                <w:szCs w:val="18"/>
              </w:rPr>
              <w:t xml:space="preserve">【规章】《建设工程勘察质量管理办法》（建设部令第115号，建设部令第163号、第53号修改）     </w:t>
            </w:r>
          </w:p>
          <w:p w14:paraId="54C5A5E5">
            <w:pPr>
              <w:spacing w:line="320" w:lineRule="exact"/>
              <w:jc w:val="left"/>
              <w:rPr>
                <w:color w:val="000000"/>
                <w:kern w:val="0"/>
                <w:sz w:val="18"/>
                <w:szCs w:val="18"/>
              </w:rPr>
            </w:pPr>
            <w:r>
              <w:rPr>
                <w:rFonts w:hint="eastAsia"/>
                <w:color w:val="000000"/>
                <w:kern w:val="0"/>
                <w:sz w:val="18"/>
                <w:szCs w:val="18"/>
              </w:rPr>
              <w:t xml:space="preserve">     第十四条第一款    工程勘察工作的原始记录应当在勘察过程中及时整理、核对，确保取样、记录的真实和准确，禁止原始记录弄虚作假。钻探、取样、原位测试、室内试验等主要过程的影像资料应当留存备查。     </w:t>
            </w:r>
          </w:p>
          <w:p w14:paraId="7F434640">
            <w:pPr>
              <w:spacing w:line="320" w:lineRule="exact"/>
              <w:jc w:val="left"/>
              <w:rPr>
                <w:color w:val="000000"/>
                <w:kern w:val="0"/>
                <w:sz w:val="18"/>
                <w:szCs w:val="18"/>
              </w:rPr>
            </w:pPr>
            <w:r>
              <w:rPr>
                <w:rFonts w:hint="eastAsia"/>
                <w:color w:val="000000"/>
                <w:kern w:val="0"/>
                <w:sz w:val="18"/>
                <w:szCs w:val="18"/>
              </w:rPr>
              <w:t xml:space="preserve">    第二十四条　违反本办法规定，工程勘察企业有下列行为之一的，由工程勘察质量监督部门责令改正，处1万元以上3万元以下的罚款：</w:t>
            </w:r>
          </w:p>
          <w:p w14:paraId="060A5927">
            <w:pPr>
              <w:spacing w:line="320" w:lineRule="exact"/>
              <w:jc w:val="left"/>
              <w:rPr>
                <w:color w:val="000000"/>
                <w:kern w:val="0"/>
                <w:sz w:val="18"/>
                <w:szCs w:val="18"/>
              </w:rPr>
            </w:pPr>
            <w:r>
              <w:rPr>
                <w:rFonts w:hint="eastAsia"/>
                <w:color w:val="000000"/>
                <w:kern w:val="0"/>
                <w:sz w:val="18"/>
                <w:szCs w:val="18"/>
              </w:rPr>
              <w:t>　    （五）未将钻探、取样、原位测试、室内试验等主要过程的影像资料留存备查；</w:t>
            </w:r>
          </w:p>
          <w:p w14:paraId="285A13DC">
            <w:pPr>
              <w:spacing w:line="320" w:lineRule="exact"/>
              <w:jc w:val="left"/>
              <w:rPr>
                <w:color w:val="000000"/>
                <w:kern w:val="0"/>
                <w:sz w:val="18"/>
                <w:szCs w:val="18"/>
              </w:rPr>
            </w:pPr>
            <w:r>
              <w:rPr>
                <w:rFonts w:hint="eastAsia"/>
                <w:color w:val="000000"/>
                <w:kern w:val="0"/>
                <w:sz w:val="18"/>
                <w:szCs w:val="18"/>
              </w:rPr>
              <w:t xml:space="preserve">      第二十七条　依照本办法规定，给予建设单位、勘察企业罚款处罚的，由工程勘察质量监督部门对建设单位、勘察企业的法定代表人和其他直接责任人员处以企业罚款数额的5%以上10%以下的罚款。</w:t>
            </w:r>
          </w:p>
        </w:tc>
      </w:tr>
      <w:tr w14:paraId="4AA8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2BFBE4C">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6FDB5EB">
            <w:pPr>
              <w:spacing w:line="320" w:lineRule="exact"/>
              <w:jc w:val="left"/>
              <w:rPr>
                <w:color w:val="000000"/>
                <w:kern w:val="0"/>
                <w:sz w:val="18"/>
                <w:szCs w:val="18"/>
              </w:rPr>
            </w:pPr>
            <w:r>
              <w:rPr>
                <w:rFonts w:hint="eastAsia"/>
                <w:color w:val="000000"/>
                <w:kern w:val="0"/>
                <w:sz w:val="18"/>
                <w:szCs w:val="18"/>
              </w:rPr>
              <w:t>责令改正，罚款</w:t>
            </w:r>
          </w:p>
        </w:tc>
      </w:tr>
      <w:tr w14:paraId="063B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17295780">
            <w:pPr>
              <w:spacing w:line="320" w:lineRule="exact"/>
              <w:jc w:val="center"/>
              <w:rPr>
                <w:color w:val="000000"/>
                <w:kern w:val="0"/>
                <w:sz w:val="18"/>
                <w:szCs w:val="18"/>
              </w:rPr>
            </w:pPr>
            <w:r>
              <w:rPr>
                <w:rFonts w:hint="eastAsia"/>
                <w:color w:val="000000"/>
                <w:kern w:val="0"/>
                <w:sz w:val="18"/>
                <w:szCs w:val="18"/>
              </w:rPr>
              <w:t>裁量基准</w:t>
            </w:r>
          </w:p>
        </w:tc>
      </w:tr>
      <w:tr w14:paraId="239B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004A881B">
            <w:pPr>
              <w:rPr>
                <w:color w:val="000000"/>
                <w:kern w:val="0"/>
                <w:sz w:val="18"/>
                <w:szCs w:val="18"/>
              </w:rPr>
            </w:pPr>
            <w:r>
              <w:rPr>
                <w:rFonts w:hint="eastAsia"/>
                <w:color w:val="000000"/>
                <w:kern w:val="0"/>
                <w:sz w:val="18"/>
                <w:szCs w:val="18"/>
              </w:rPr>
              <w:t>情形描述</w:t>
            </w:r>
          </w:p>
        </w:tc>
        <w:tc>
          <w:tcPr>
            <w:tcW w:w="6376" w:type="dxa"/>
            <w:vAlign w:val="center"/>
          </w:tcPr>
          <w:p w14:paraId="43E9B332">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38ECEB64">
            <w:pPr>
              <w:rPr>
                <w:color w:val="000000"/>
                <w:kern w:val="0"/>
                <w:sz w:val="18"/>
                <w:szCs w:val="18"/>
              </w:rPr>
            </w:pPr>
            <w:r>
              <w:rPr>
                <w:rFonts w:hint="eastAsia"/>
                <w:color w:val="000000"/>
                <w:kern w:val="0"/>
                <w:sz w:val="18"/>
                <w:szCs w:val="18"/>
              </w:rPr>
              <w:t>裁量幅度</w:t>
            </w:r>
          </w:p>
        </w:tc>
        <w:tc>
          <w:tcPr>
            <w:tcW w:w="5614" w:type="dxa"/>
            <w:vAlign w:val="center"/>
          </w:tcPr>
          <w:p w14:paraId="5ED7BAAE">
            <w:pPr>
              <w:rPr>
                <w:color w:val="000000"/>
                <w:kern w:val="0"/>
                <w:sz w:val="18"/>
                <w:szCs w:val="18"/>
              </w:rPr>
            </w:pPr>
            <w:r>
              <w:rPr>
                <w:rFonts w:hint="eastAsia"/>
                <w:color w:val="000000"/>
                <w:kern w:val="0"/>
                <w:sz w:val="18"/>
                <w:szCs w:val="18"/>
              </w:rPr>
              <w:t>处1万元以上2万元以下的罚款</w:t>
            </w:r>
          </w:p>
          <w:p w14:paraId="7B700521">
            <w:pPr>
              <w:rPr>
                <w:color w:val="000000"/>
                <w:kern w:val="0"/>
                <w:sz w:val="18"/>
                <w:szCs w:val="18"/>
              </w:rPr>
            </w:pPr>
            <w:r>
              <w:rPr>
                <w:rFonts w:hint="eastAsia"/>
                <w:color w:val="000000"/>
                <w:kern w:val="0"/>
                <w:sz w:val="18"/>
                <w:szCs w:val="18"/>
              </w:rPr>
              <w:t>对个人：企业罚款数额的5%以上7%以下的罚款</w:t>
            </w:r>
          </w:p>
        </w:tc>
      </w:tr>
      <w:tr w14:paraId="068A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C3E5BD4">
            <w:pPr>
              <w:spacing w:line="320" w:lineRule="exact"/>
              <w:jc w:val="left"/>
              <w:rPr>
                <w:color w:val="000000"/>
                <w:kern w:val="0"/>
                <w:sz w:val="18"/>
                <w:szCs w:val="18"/>
              </w:rPr>
            </w:pPr>
          </w:p>
        </w:tc>
        <w:tc>
          <w:tcPr>
            <w:tcW w:w="6376" w:type="dxa"/>
            <w:vAlign w:val="center"/>
          </w:tcPr>
          <w:p w14:paraId="1BA47D51">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429132C7">
            <w:pPr>
              <w:spacing w:line="320" w:lineRule="exact"/>
              <w:jc w:val="left"/>
              <w:rPr>
                <w:color w:val="000000"/>
                <w:kern w:val="0"/>
                <w:sz w:val="18"/>
                <w:szCs w:val="18"/>
              </w:rPr>
            </w:pPr>
          </w:p>
        </w:tc>
        <w:tc>
          <w:tcPr>
            <w:tcW w:w="5614" w:type="dxa"/>
            <w:vAlign w:val="center"/>
          </w:tcPr>
          <w:p w14:paraId="237ABFF3">
            <w:pPr>
              <w:rPr>
                <w:color w:val="000000"/>
                <w:kern w:val="0"/>
                <w:sz w:val="18"/>
                <w:szCs w:val="18"/>
              </w:rPr>
            </w:pPr>
            <w:r>
              <w:rPr>
                <w:rFonts w:hint="eastAsia"/>
                <w:color w:val="000000"/>
                <w:kern w:val="0"/>
                <w:sz w:val="18"/>
                <w:szCs w:val="18"/>
              </w:rPr>
              <w:t>处2万元以上3万元以下的罚款</w:t>
            </w:r>
          </w:p>
          <w:p w14:paraId="33B3AC43">
            <w:pPr>
              <w:rPr>
                <w:color w:val="000000"/>
                <w:kern w:val="0"/>
                <w:sz w:val="18"/>
                <w:szCs w:val="18"/>
              </w:rPr>
            </w:pPr>
            <w:r>
              <w:rPr>
                <w:rFonts w:hint="eastAsia"/>
                <w:color w:val="000000"/>
                <w:kern w:val="0"/>
                <w:sz w:val="18"/>
                <w:szCs w:val="18"/>
              </w:rPr>
              <w:t>对个人：企业罚款数额的7%以上10%以下的罚款</w:t>
            </w:r>
          </w:p>
        </w:tc>
      </w:tr>
    </w:tbl>
    <w:p w14:paraId="323149E4"/>
    <w:p w14:paraId="599278EC"/>
    <w:p w14:paraId="04170112"/>
    <w:p w14:paraId="0492F6AC"/>
    <w:p w14:paraId="5F614EB1"/>
    <w:p w14:paraId="0FE97589"/>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999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1B6A1A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8013147">
            <w:pPr>
              <w:spacing w:line="320" w:lineRule="exact"/>
              <w:rPr>
                <w:rFonts w:eastAsia="仿宋_GB2312"/>
                <w:b/>
                <w:bCs/>
                <w:color w:val="000000"/>
                <w:kern w:val="0"/>
                <w:sz w:val="18"/>
                <w:szCs w:val="18"/>
              </w:rPr>
            </w:pPr>
            <w:r>
              <w:rPr>
                <w:rFonts w:eastAsia="仿宋_GB2312"/>
                <w:b/>
                <w:bCs/>
                <w:color w:val="000000"/>
                <w:kern w:val="0"/>
                <w:sz w:val="18"/>
                <w:szCs w:val="18"/>
              </w:rPr>
              <w:t>320217843000</w:t>
            </w:r>
          </w:p>
        </w:tc>
      </w:tr>
      <w:tr w14:paraId="2699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60346FA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1DD1398">
            <w:pPr>
              <w:spacing w:line="320" w:lineRule="exact"/>
              <w:jc w:val="left"/>
              <w:rPr>
                <w:color w:val="000000"/>
                <w:spacing w:val="-6"/>
                <w:kern w:val="0"/>
                <w:sz w:val="18"/>
                <w:szCs w:val="18"/>
              </w:rPr>
            </w:pPr>
            <w:r>
              <w:rPr>
                <w:rFonts w:hint="eastAsia"/>
                <w:color w:val="000000"/>
                <w:spacing w:val="-6"/>
                <w:kern w:val="0"/>
                <w:sz w:val="18"/>
                <w:szCs w:val="18"/>
              </w:rPr>
              <w:t>对工程勘察企业原始记录弄虚作假的处罚</w:t>
            </w:r>
          </w:p>
        </w:tc>
      </w:tr>
      <w:tr w14:paraId="7A23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63BDA32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B368F7F">
            <w:pPr>
              <w:spacing w:line="320" w:lineRule="exact"/>
              <w:jc w:val="left"/>
              <w:rPr>
                <w:color w:val="000000"/>
                <w:kern w:val="0"/>
                <w:sz w:val="18"/>
                <w:szCs w:val="18"/>
              </w:rPr>
            </w:pPr>
            <w:r>
              <w:rPr>
                <w:rFonts w:hint="eastAsia"/>
                <w:color w:val="000000"/>
                <w:kern w:val="0"/>
                <w:sz w:val="18"/>
                <w:szCs w:val="18"/>
              </w:rPr>
              <w:t xml:space="preserve">【规章】《建设工程勘察质量管理办法》（建设部令第115号，建设部令第163号、第53号修改）      </w:t>
            </w:r>
          </w:p>
          <w:p w14:paraId="389F2F1E">
            <w:pPr>
              <w:spacing w:line="320" w:lineRule="exact"/>
              <w:jc w:val="left"/>
              <w:rPr>
                <w:color w:val="000000"/>
                <w:kern w:val="0"/>
                <w:sz w:val="18"/>
                <w:szCs w:val="18"/>
              </w:rPr>
            </w:pPr>
            <w:r>
              <w:rPr>
                <w:rFonts w:hint="eastAsia"/>
                <w:color w:val="000000"/>
                <w:kern w:val="0"/>
                <w:sz w:val="18"/>
                <w:szCs w:val="18"/>
              </w:rPr>
              <w:t xml:space="preserve">          第十四条第一款    工程勘察工作的原始记录应当在勘察过程中及时整理、核对，确保取样、记录的真实和准确，禁止原始记录弄虚作假。钻探、取样、原位测试、室内试验等主要过程的影像资料应当留存备查。</w:t>
            </w:r>
          </w:p>
          <w:p w14:paraId="394AB5DF">
            <w:pPr>
              <w:spacing w:line="320" w:lineRule="exact"/>
              <w:jc w:val="left"/>
              <w:rPr>
                <w:color w:val="000000"/>
                <w:kern w:val="0"/>
                <w:sz w:val="18"/>
                <w:szCs w:val="18"/>
              </w:rPr>
            </w:pPr>
            <w:r>
              <w:rPr>
                <w:rFonts w:hint="eastAsia"/>
                <w:color w:val="000000"/>
                <w:kern w:val="0"/>
                <w:sz w:val="18"/>
                <w:szCs w:val="18"/>
              </w:rPr>
              <w:t xml:space="preserve">         第二十四条　违反本办法规定，工程勘察企业有下列行为之一的，由工程勘察质量监督部门责令改正，处1万元以上3万元以下的罚款：</w:t>
            </w:r>
          </w:p>
          <w:p w14:paraId="5E44D377">
            <w:pPr>
              <w:spacing w:line="320" w:lineRule="exact"/>
              <w:jc w:val="left"/>
              <w:rPr>
                <w:color w:val="000000"/>
                <w:kern w:val="0"/>
                <w:sz w:val="18"/>
                <w:szCs w:val="18"/>
              </w:rPr>
            </w:pPr>
            <w:r>
              <w:rPr>
                <w:rFonts w:hint="eastAsia"/>
                <w:color w:val="000000"/>
                <w:kern w:val="0"/>
                <w:sz w:val="18"/>
                <w:szCs w:val="18"/>
              </w:rPr>
              <w:t>　　（四）原始记录弄虚作假；</w:t>
            </w:r>
          </w:p>
          <w:p w14:paraId="66C7D3EC">
            <w:pPr>
              <w:spacing w:line="320" w:lineRule="exact"/>
              <w:jc w:val="left"/>
              <w:rPr>
                <w:color w:val="000000"/>
                <w:kern w:val="0"/>
                <w:sz w:val="18"/>
                <w:szCs w:val="18"/>
              </w:rPr>
            </w:pPr>
            <w:r>
              <w:rPr>
                <w:rFonts w:hint="eastAsia"/>
                <w:color w:val="000000"/>
                <w:kern w:val="0"/>
                <w:sz w:val="18"/>
                <w:szCs w:val="18"/>
              </w:rPr>
              <w:t xml:space="preserve">         第二十七条　依照本办法规定，给予建设单位、勘察企业罚款处罚的，由工程勘察质量监督部门对建设单位、勘察企业的法定代表人和其他直接责任人员处以企业罚款数额的5%以上10%以下的罚款。</w:t>
            </w:r>
          </w:p>
        </w:tc>
      </w:tr>
      <w:tr w14:paraId="14A3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C679569">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BE789B9">
            <w:pPr>
              <w:spacing w:line="320" w:lineRule="exact"/>
              <w:jc w:val="left"/>
              <w:rPr>
                <w:color w:val="000000"/>
                <w:kern w:val="0"/>
                <w:sz w:val="18"/>
                <w:szCs w:val="18"/>
              </w:rPr>
            </w:pPr>
            <w:r>
              <w:rPr>
                <w:rFonts w:hint="eastAsia"/>
                <w:color w:val="000000"/>
                <w:kern w:val="0"/>
                <w:sz w:val="18"/>
                <w:szCs w:val="18"/>
              </w:rPr>
              <w:t>责令改正，罚款</w:t>
            </w:r>
          </w:p>
        </w:tc>
      </w:tr>
      <w:tr w14:paraId="204F3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99AACA3">
            <w:pPr>
              <w:spacing w:line="320" w:lineRule="exact"/>
              <w:jc w:val="center"/>
              <w:rPr>
                <w:color w:val="000000"/>
                <w:kern w:val="0"/>
                <w:sz w:val="18"/>
                <w:szCs w:val="18"/>
              </w:rPr>
            </w:pPr>
            <w:r>
              <w:rPr>
                <w:rFonts w:hint="eastAsia"/>
                <w:color w:val="000000"/>
                <w:kern w:val="0"/>
                <w:sz w:val="18"/>
                <w:szCs w:val="18"/>
              </w:rPr>
              <w:t>裁量基准</w:t>
            </w:r>
          </w:p>
        </w:tc>
      </w:tr>
      <w:tr w14:paraId="1E95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53E0782">
            <w:pPr>
              <w:rPr>
                <w:color w:val="000000"/>
                <w:kern w:val="0"/>
                <w:sz w:val="18"/>
                <w:szCs w:val="18"/>
              </w:rPr>
            </w:pPr>
            <w:r>
              <w:rPr>
                <w:rFonts w:hint="eastAsia"/>
                <w:color w:val="000000"/>
                <w:kern w:val="0"/>
                <w:sz w:val="18"/>
                <w:szCs w:val="18"/>
              </w:rPr>
              <w:t>情形描述</w:t>
            </w:r>
          </w:p>
        </w:tc>
        <w:tc>
          <w:tcPr>
            <w:tcW w:w="6376" w:type="dxa"/>
            <w:vAlign w:val="center"/>
          </w:tcPr>
          <w:p w14:paraId="49921548">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31CF5B32">
            <w:pPr>
              <w:rPr>
                <w:color w:val="000000"/>
                <w:kern w:val="0"/>
                <w:sz w:val="18"/>
                <w:szCs w:val="18"/>
              </w:rPr>
            </w:pPr>
            <w:r>
              <w:rPr>
                <w:rFonts w:hint="eastAsia"/>
                <w:color w:val="000000"/>
                <w:kern w:val="0"/>
                <w:sz w:val="18"/>
                <w:szCs w:val="18"/>
              </w:rPr>
              <w:t>裁量幅度</w:t>
            </w:r>
          </w:p>
        </w:tc>
        <w:tc>
          <w:tcPr>
            <w:tcW w:w="5614" w:type="dxa"/>
            <w:vAlign w:val="center"/>
          </w:tcPr>
          <w:p w14:paraId="5238D2B6">
            <w:pPr>
              <w:rPr>
                <w:color w:val="000000"/>
                <w:kern w:val="0"/>
                <w:sz w:val="18"/>
                <w:szCs w:val="18"/>
              </w:rPr>
            </w:pPr>
            <w:r>
              <w:rPr>
                <w:rFonts w:hint="eastAsia"/>
                <w:color w:val="000000"/>
                <w:kern w:val="0"/>
                <w:sz w:val="18"/>
                <w:szCs w:val="18"/>
              </w:rPr>
              <w:t>处1万元以上2万元以下的罚款</w:t>
            </w:r>
          </w:p>
          <w:p w14:paraId="6E62D46E">
            <w:pPr>
              <w:rPr>
                <w:color w:val="000000"/>
                <w:kern w:val="0"/>
                <w:sz w:val="18"/>
                <w:szCs w:val="18"/>
              </w:rPr>
            </w:pPr>
            <w:r>
              <w:rPr>
                <w:rFonts w:hint="eastAsia"/>
                <w:color w:val="000000"/>
                <w:kern w:val="0"/>
                <w:sz w:val="18"/>
                <w:szCs w:val="18"/>
              </w:rPr>
              <w:t>对个人：企业罚款数额的5%以上7%以下的罚款</w:t>
            </w:r>
          </w:p>
        </w:tc>
      </w:tr>
      <w:tr w14:paraId="6369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44A45B6">
            <w:pPr>
              <w:spacing w:line="320" w:lineRule="exact"/>
              <w:jc w:val="left"/>
              <w:rPr>
                <w:color w:val="000000"/>
                <w:kern w:val="0"/>
                <w:sz w:val="18"/>
                <w:szCs w:val="18"/>
              </w:rPr>
            </w:pPr>
          </w:p>
        </w:tc>
        <w:tc>
          <w:tcPr>
            <w:tcW w:w="6376" w:type="dxa"/>
            <w:vAlign w:val="center"/>
          </w:tcPr>
          <w:p w14:paraId="79DC7641">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0BD57E1B">
            <w:pPr>
              <w:spacing w:line="320" w:lineRule="exact"/>
              <w:jc w:val="left"/>
              <w:rPr>
                <w:color w:val="000000"/>
                <w:kern w:val="0"/>
                <w:sz w:val="18"/>
                <w:szCs w:val="18"/>
              </w:rPr>
            </w:pPr>
          </w:p>
        </w:tc>
        <w:tc>
          <w:tcPr>
            <w:tcW w:w="5614" w:type="dxa"/>
            <w:vAlign w:val="center"/>
          </w:tcPr>
          <w:p w14:paraId="0176348E">
            <w:pPr>
              <w:rPr>
                <w:color w:val="000000"/>
                <w:kern w:val="0"/>
                <w:sz w:val="18"/>
                <w:szCs w:val="18"/>
              </w:rPr>
            </w:pPr>
            <w:r>
              <w:rPr>
                <w:rFonts w:hint="eastAsia"/>
                <w:color w:val="000000"/>
                <w:kern w:val="0"/>
                <w:sz w:val="18"/>
                <w:szCs w:val="18"/>
              </w:rPr>
              <w:t>处2万元以上3万元以下的罚款</w:t>
            </w:r>
          </w:p>
          <w:p w14:paraId="49A05533">
            <w:pPr>
              <w:rPr>
                <w:color w:val="000000"/>
                <w:kern w:val="0"/>
                <w:sz w:val="18"/>
                <w:szCs w:val="18"/>
              </w:rPr>
            </w:pPr>
            <w:r>
              <w:rPr>
                <w:rFonts w:hint="eastAsia"/>
                <w:color w:val="000000"/>
                <w:kern w:val="0"/>
                <w:sz w:val="18"/>
                <w:szCs w:val="18"/>
              </w:rPr>
              <w:t>对个人：企业罚款数额的7%以上10%以下的罚款</w:t>
            </w:r>
          </w:p>
        </w:tc>
      </w:tr>
    </w:tbl>
    <w:p w14:paraId="0FD44627"/>
    <w:p w14:paraId="18013EB0"/>
    <w:p w14:paraId="3D7FB6BF"/>
    <w:p w14:paraId="5BC05092"/>
    <w:p w14:paraId="3D82F27A"/>
    <w:p w14:paraId="0BC53B2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00C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05173C3D">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C31AE11">
            <w:pPr>
              <w:spacing w:line="320" w:lineRule="exact"/>
              <w:rPr>
                <w:rFonts w:eastAsia="仿宋_GB2312"/>
                <w:b/>
                <w:bCs/>
                <w:color w:val="000000"/>
                <w:kern w:val="0"/>
                <w:sz w:val="18"/>
                <w:szCs w:val="18"/>
              </w:rPr>
            </w:pPr>
            <w:r>
              <w:rPr>
                <w:rFonts w:eastAsia="仿宋_GB2312"/>
                <w:b/>
                <w:bCs/>
                <w:color w:val="000000"/>
                <w:kern w:val="0"/>
                <w:sz w:val="18"/>
                <w:szCs w:val="18"/>
              </w:rPr>
              <w:t>320217844000</w:t>
            </w:r>
          </w:p>
        </w:tc>
      </w:tr>
      <w:tr w14:paraId="2FF2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4A374E4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497AFFA9">
            <w:pPr>
              <w:spacing w:line="320" w:lineRule="exact"/>
              <w:jc w:val="left"/>
              <w:rPr>
                <w:color w:val="000000"/>
                <w:spacing w:val="-6"/>
                <w:kern w:val="0"/>
                <w:sz w:val="18"/>
                <w:szCs w:val="18"/>
              </w:rPr>
            </w:pPr>
            <w:r>
              <w:rPr>
                <w:rFonts w:hint="eastAsia"/>
                <w:color w:val="000000"/>
                <w:spacing w:val="-6"/>
                <w:kern w:val="0"/>
                <w:sz w:val="18"/>
                <w:szCs w:val="18"/>
              </w:rPr>
              <w:t>对工程勘察企业未按规定参加建设单位组织的勘察技术交底或者验槽的处罚</w:t>
            </w:r>
          </w:p>
        </w:tc>
      </w:tr>
      <w:tr w14:paraId="7508A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269A2A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7CD92C3">
            <w:pPr>
              <w:spacing w:line="320" w:lineRule="exact"/>
              <w:jc w:val="left"/>
              <w:rPr>
                <w:color w:val="000000"/>
                <w:kern w:val="0"/>
                <w:sz w:val="18"/>
                <w:szCs w:val="18"/>
              </w:rPr>
            </w:pPr>
            <w:r>
              <w:rPr>
                <w:rFonts w:hint="eastAsia"/>
                <w:color w:val="000000"/>
                <w:kern w:val="0"/>
                <w:sz w:val="18"/>
                <w:szCs w:val="18"/>
              </w:rPr>
              <w:t xml:space="preserve">【规章】《建设工程勘察质量管理办法》（建设部令第115号，建设部令第163号、第53号修改）       </w:t>
            </w:r>
          </w:p>
          <w:p w14:paraId="6C876E92">
            <w:pPr>
              <w:spacing w:line="320" w:lineRule="exact"/>
              <w:jc w:val="left"/>
              <w:rPr>
                <w:color w:val="000000"/>
                <w:kern w:val="0"/>
                <w:sz w:val="18"/>
                <w:szCs w:val="18"/>
              </w:rPr>
            </w:pPr>
            <w:r>
              <w:rPr>
                <w:rFonts w:hint="eastAsia"/>
                <w:color w:val="000000"/>
                <w:kern w:val="0"/>
                <w:sz w:val="18"/>
                <w:szCs w:val="18"/>
              </w:rPr>
              <w:t xml:space="preserve">      第九条　工程勘察企业应当向设计、施工和监理等单位进行勘察技术交底，参与施工验槽，及时解决工程设计和施工中与勘察工作有关的问题，按规定参加工程竣工验收。</w:t>
            </w:r>
          </w:p>
          <w:p w14:paraId="2D6E828A">
            <w:pPr>
              <w:spacing w:line="320" w:lineRule="exact"/>
              <w:jc w:val="left"/>
              <w:rPr>
                <w:color w:val="000000"/>
                <w:kern w:val="0"/>
                <w:sz w:val="18"/>
                <w:szCs w:val="18"/>
              </w:rPr>
            </w:pPr>
            <w:r>
              <w:rPr>
                <w:rFonts w:hint="eastAsia"/>
                <w:color w:val="000000"/>
                <w:kern w:val="0"/>
                <w:sz w:val="18"/>
                <w:szCs w:val="18"/>
              </w:rPr>
              <w:t xml:space="preserve">    第二十四条　违反本办法规定，工程勘察企业有下列行为之一的，由工程勘察质量监督部门责令改正，处1万元以上3万元以下的罚款：</w:t>
            </w:r>
          </w:p>
          <w:p w14:paraId="736A1332">
            <w:pPr>
              <w:spacing w:line="320" w:lineRule="exact"/>
              <w:jc w:val="left"/>
              <w:rPr>
                <w:color w:val="000000"/>
                <w:kern w:val="0"/>
                <w:sz w:val="18"/>
                <w:szCs w:val="18"/>
              </w:rPr>
            </w:pPr>
            <w:r>
              <w:rPr>
                <w:rFonts w:hint="eastAsia"/>
                <w:color w:val="000000"/>
                <w:kern w:val="0"/>
                <w:sz w:val="18"/>
                <w:szCs w:val="18"/>
              </w:rPr>
              <w:t>　　（三）未按规定参加建设单位组织的勘察技术交底或者验槽；</w:t>
            </w:r>
          </w:p>
          <w:p w14:paraId="110CD757">
            <w:pPr>
              <w:spacing w:line="320" w:lineRule="exact"/>
              <w:jc w:val="left"/>
              <w:rPr>
                <w:color w:val="000000"/>
                <w:kern w:val="0"/>
                <w:sz w:val="18"/>
                <w:szCs w:val="18"/>
              </w:rPr>
            </w:pPr>
            <w:r>
              <w:rPr>
                <w:rFonts w:hint="eastAsia"/>
                <w:color w:val="000000"/>
                <w:kern w:val="0"/>
                <w:sz w:val="18"/>
                <w:szCs w:val="18"/>
              </w:rPr>
              <w:t xml:space="preserve">     第二十七条　依照本办法规定，给予建设单位、勘察企业罚款处罚的，由工程勘察质量监督部门对建设单位、勘察企业的法定代表人和其他直接责任人员处以企业罚款数额的5%以上10%以下的罚款。</w:t>
            </w:r>
          </w:p>
        </w:tc>
      </w:tr>
      <w:tr w14:paraId="7025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7F6DD6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E691740">
            <w:pPr>
              <w:spacing w:line="320" w:lineRule="exact"/>
              <w:jc w:val="left"/>
              <w:rPr>
                <w:color w:val="000000"/>
                <w:kern w:val="0"/>
                <w:sz w:val="18"/>
                <w:szCs w:val="18"/>
              </w:rPr>
            </w:pPr>
            <w:r>
              <w:rPr>
                <w:rFonts w:hint="eastAsia"/>
                <w:color w:val="000000"/>
                <w:kern w:val="0"/>
                <w:sz w:val="18"/>
                <w:szCs w:val="18"/>
              </w:rPr>
              <w:t>责令改正，罚款</w:t>
            </w:r>
          </w:p>
        </w:tc>
      </w:tr>
      <w:tr w14:paraId="0FC4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52FED07">
            <w:pPr>
              <w:spacing w:line="320" w:lineRule="exact"/>
              <w:jc w:val="center"/>
              <w:rPr>
                <w:color w:val="000000"/>
                <w:kern w:val="0"/>
                <w:sz w:val="18"/>
                <w:szCs w:val="18"/>
              </w:rPr>
            </w:pPr>
            <w:r>
              <w:rPr>
                <w:rFonts w:hint="eastAsia"/>
                <w:color w:val="000000"/>
                <w:kern w:val="0"/>
                <w:sz w:val="18"/>
                <w:szCs w:val="18"/>
              </w:rPr>
              <w:t>裁量基准</w:t>
            </w:r>
          </w:p>
        </w:tc>
      </w:tr>
      <w:tr w14:paraId="0AE0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1D505784">
            <w:pPr>
              <w:rPr>
                <w:color w:val="000000"/>
                <w:kern w:val="0"/>
                <w:sz w:val="18"/>
                <w:szCs w:val="18"/>
              </w:rPr>
            </w:pPr>
            <w:r>
              <w:rPr>
                <w:rFonts w:hint="eastAsia"/>
                <w:color w:val="000000"/>
                <w:kern w:val="0"/>
                <w:sz w:val="18"/>
                <w:szCs w:val="18"/>
              </w:rPr>
              <w:t>情形描述</w:t>
            </w:r>
          </w:p>
        </w:tc>
        <w:tc>
          <w:tcPr>
            <w:tcW w:w="6376" w:type="dxa"/>
            <w:vAlign w:val="center"/>
          </w:tcPr>
          <w:p w14:paraId="3EDE221C">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140FA4D2">
            <w:pPr>
              <w:rPr>
                <w:color w:val="000000"/>
                <w:kern w:val="0"/>
                <w:sz w:val="18"/>
                <w:szCs w:val="18"/>
              </w:rPr>
            </w:pPr>
            <w:r>
              <w:rPr>
                <w:rFonts w:hint="eastAsia"/>
                <w:color w:val="000000"/>
                <w:kern w:val="0"/>
                <w:sz w:val="18"/>
                <w:szCs w:val="18"/>
              </w:rPr>
              <w:t>裁量幅度</w:t>
            </w:r>
          </w:p>
        </w:tc>
        <w:tc>
          <w:tcPr>
            <w:tcW w:w="5614" w:type="dxa"/>
            <w:vAlign w:val="center"/>
          </w:tcPr>
          <w:p w14:paraId="7B06B7F4">
            <w:pPr>
              <w:rPr>
                <w:color w:val="000000"/>
                <w:kern w:val="0"/>
                <w:sz w:val="18"/>
                <w:szCs w:val="18"/>
              </w:rPr>
            </w:pPr>
            <w:r>
              <w:rPr>
                <w:rFonts w:hint="eastAsia"/>
                <w:color w:val="000000"/>
                <w:kern w:val="0"/>
                <w:sz w:val="18"/>
                <w:szCs w:val="18"/>
              </w:rPr>
              <w:t>处1万元以上2万元以下的罚款</w:t>
            </w:r>
          </w:p>
          <w:p w14:paraId="2E5F4BF2">
            <w:pPr>
              <w:rPr>
                <w:color w:val="000000"/>
                <w:kern w:val="0"/>
                <w:sz w:val="18"/>
                <w:szCs w:val="18"/>
              </w:rPr>
            </w:pPr>
            <w:r>
              <w:rPr>
                <w:rFonts w:hint="eastAsia"/>
                <w:color w:val="000000"/>
                <w:kern w:val="0"/>
                <w:sz w:val="18"/>
                <w:szCs w:val="18"/>
              </w:rPr>
              <w:t>对个人：企业罚款数额的5%以上7%以下的罚款</w:t>
            </w:r>
          </w:p>
        </w:tc>
      </w:tr>
      <w:tr w14:paraId="0279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DBEDB90">
            <w:pPr>
              <w:spacing w:line="320" w:lineRule="exact"/>
              <w:jc w:val="left"/>
              <w:rPr>
                <w:color w:val="000000"/>
                <w:kern w:val="0"/>
                <w:sz w:val="18"/>
                <w:szCs w:val="18"/>
              </w:rPr>
            </w:pPr>
          </w:p>
        </w:tc>
        <w:tc>
          <w:tcPr>
            <w:tcW w:w="6376" w:type="dxa"/>
            <w:vAlign w:val="center"/>
          </w:tcPr>
          <w:p w14:paraId="23F0D5F3">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A5C24F2">
            <w:pPr>
              <w:spacing w:line="320" w:lineRule="exact"/>
              <w:jc w:val="left"/>
              <w:rPr>
                <w:color w:val="000000"/>
                <w:kern w:val="0"/>
                <w:sz w:val="18"/>
                <w:szCs w:val="18"/>
              </w:rPr>
            </w:pPr>
          </w:p>
        </w:tc>
        <w:tc>
          <w:tcPr>
            <w:tcW w:w="5614" w:type="dxa"/>
            <w:vAlign w:val="center"/>
          </w:tcPr>
          <w:p w14:paraId="3F4154BB">
            <w:pPr>
              <w:rPr>
                <w:color w:val="000000"/>
                <w:kern w:val="0"/>
                <w:sz w:val="18"/>
                <w:szCs w:val="18"/>
              </w:rPr>
            </w:pPr>
            <w:r>
              <w:rPr>
                <w:rFonts w:hint="eastAsia"/>
                <w:color w:val="000000"/>
                <w:kern w:val="0"/>
                <w:sz w:val="18"/>
                <w:szCs w:val="18"/>
              </w:rPr>
              <w:t>处2万元以上3万元以下的罚款</w:t>
            </w:r>
          </w:p>
          <w:p w14:paraId="49BCD9B4">
            <w:pPr>
              <w:rPr>
                <w:color w:val="000000"/>
                <w:kern w:val="0"/>
                <w:sz w:val="18"/>
                <w:szCs w:val="18"/>
              </w:rPr>
            </w:pPr>
            <w:r>
              <w:rPr>
                <w:rFonts w:hint="eastAsia"/>
                <w:color w:val="000000"/>
                <w:kern w:val="0"/>
                <w:sz w:val="18"/>
                <w:szCs w:val="18"/>
              </w:rPr>
              <w:t>对个人：企业罚款数额的7%以上10%以下的罚款</w:t>
            </w:r>
          </w:p>
        </w:tc>
      </w:tr>
    </w:tbl>
    <w:p w14:paraId="37673706"/>
    <w:p w14:paraId="7FF1345C"/>
    <w:p w14:paraId="2CA5D2AA"/>
    <w:p w14:paraId="05A6EE11"/>
    <w:p w14:paraId="3F16D515"/>
    <w:p w14:paraId="2294EEFE"/>
    <w:p w14:paraId="6ACC1EA3"/>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FF2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2FA494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311D631">
            <w:pPr>
              <w:spacing w:line="320" w:lineRule="exact"/>
              <w:rPr>
                <w:rFonts w:eastAsia="仿宋_GB2312"/>
                <w:b/>
                <w:bCs/>
                <w:color w:val="000000"/>
                <w:kern w:val="0"/>
                <w:sz w:val="18"/>
                <w:szCs w:val="18"/>
              </w:rPr>
            </w:pPr>
            <w:r>
              <w:rPr>
                <w:rFonts w:eastAsia="仿宋_GB2312"/>
                <w:b/>
                <w:bCs/>
                <w:color w:val="000000"/>
                <w:kern w:val="0"/>
                <w:sz w:val="18"/>
                <w:szCs w:val="18"/>
              </w:rPr>
              <w:t>320217845000</w:t>
            </w:r>
          </w:p>
        </w:tc>
      </w:tr>
      <w:tr w14:paraId="5E60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1E3035C">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D97730B">
            <w:pPr>
              <w:spacing w:line="320" w:lineRule="exact"/>
              <w:jc w:val="left"/>
              <w:rPr>
                <w:color w:val="000000"/>
                <w:spacing w:val="-6"/>
                <w:kern w:val="0"/>
                <w:sz w:val="18"/>
                <w:szCs w:val="18"/>
              </w:rPr>
            </w:pPr>
            <w:r>
              <w:rPr>
                <w:rFonts w:hint="eastAsia"/>
                <w:color w:val="000000"/>
                <w:spacing w:val="-6"/>
                <w:kern w:val="0"/>
                <w:sz w:val="18"/>
                <w:szCs w:val="18"/>
              </w:rPr>
              <w:t>对工程勘察企业司钻员、描述员、土工试验员等关键岗位作业人员未接受专业培训的处罚</w:t>
            </w:r>
          </w:p>
        </w:tc>
      </w:tr>
      <w:tr w14:paraId="322E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09FDAD2">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4F0C65C">
            <w:pPr>
              <w:spacing w:line="320" w:lineRule="exact"/>
              <w:jc w:val="left"/>
              <w:rPr>
                <w:color w:val="000000"/>
                <w:kern w:val="0"/>
                <w:sz w:val="18"/>
                <w:szCs w:val="18"/>
              </w:rPr>
            </w:pPr>
            <w:r>
              <w:rPr>
                <w:rFonts w:hint="eastAsia"/>
                <w:color w:val="000000"/>
                <w:kern w:val="0"/>
                <w:sz w:val="18"/>
                <w:szCs w:val="18"/>
              </w:rPr>
              <w:t xml:space="preserve">【规章】《建设工程勘察质量管理办法》（建设部令第115号，建设部令第163号、第53号修改）   </w:t>
            </w:r>
          </w:p>
          <w:p w14:paraId="0BAAE7C7">
            <w:pPr>
              <w:spacing w:line="320" w:lineRule="exact"/>
              <w:jc w:val="left"/>
              <w:rPr>
                <w:color w:val="000000"/>
                <w:kern w:val="0"/>
                <w:sz w:val="18"/>
                <w:szCs w:val="18"/>
              </w:rPr>
            </w:pPr>
            <w:r>
              <w:rPr>
                <w:rFonts w:hint="eastAsia"/>
                <w:color w:val="000000"/>
                <w:kern w:val="0"/>
                <w:sz w:val="18"/>
                <w:szCs w:val="18"/>
              </w:rPr>
              <w:t xml:space="preserve">　     第十六条　工程勘察企业应当加强职工技术培训和职业道德教育，提高勘察人员的质量责任意识。司钻员、描述员、土工试验员等人员应当按照有关规定接受安全生产、职业道德、理论知识和操作技能等方面的专业培训。     </w:t>
            </w:r>
          </w:p>
          <w:p w14:paraId="4DD53292">
            <w:pPr>
              <w:spacing w:line="320" w:lineRule="exact"/>
              <w:jc w:val="left"/>
              <w:rPr>
                <w:color w:val="000000"/>
                <w:kern w:val="0"/>
                <w:sz w:val="18"/>
                <w:szCs w:val="18"/>
              </w:rPr>
            </w:pPr>
            <w:r>
              <w:rPr>
                <w:rFonts w:hint="eastAsia"/>
                <w:color w:val="000000"/>
                <w:kern w:val="0"/>
                <w:sz w:val="18"/>
                <w:szCs w:val="18"/>
              </w:rPr>
              <w:t xml:space="preserve">         第二十四条　违反本办法规定，工程勘察企业有下列行为之一的，由工程勘察质量监督部门责令改正，处1万元以上3万元以下的罚款：</w:t>
            </w:r>
          </w:p>
          <w:p w14:paraId="19C6B5C4">
            <w:pPr>
              <w:spacing w:line="320" w:lineRule="exact"/>
              <w:jc w:val="left"/>
              <w:rPr>
                <w:color w:val="000000"/>
                <w:kern w:val="0"/>
                <w:sz w:val="18"/>
                <w:szCs w:val="18"/>
              </w:rPr>
            </w:pPr>
            <w:r>
              <w:rPr>
                <w:rFonts w:hint="eastAsia"/>
                <w:color w:val="000000"/>
                <w:kern w:val="0"/>
                <w:sz w:val="18"/>
                <w:szCs w:val="18"/>
              </w:rPr>
              <w:t>　　（二）司钻员、描述员、土工试验员等关键岗位作业人员未接受专业培训；</w:t>
            </w:r>
          </w:p>
          <w:p w14:paraId="3C735DCA">
            <w:pPr>
              <w:spacing w:line="320" w:lineRule="exact"/>
              <w:jc w:val="left"/>
              <w:rPr>
                <w:color w:val="000000"/>
                <w:kern w:val="0"/>
                <w:sz w:val="18"/>
                <w:szCs w:val="18"/>
              </w:rPr>
            </w:pPr>
            <w:r>
              <w:rPr>
                <w:rFonts w:hint="eastAsia"/>
                <w:color w:val="000000"/>
                <w:kern w:val="0"/>
                <w:sz w:val="18"/>
                <w:szCs w:val="18"/>
              </w:rPr>
              <w:t xml:space="preserve">          第二十七条　依照本办法规定，给予建设单位、勘察企业罚款处罚的，由工程勘察质量监督部门对建设单位、勘察企业的法定代表人和其他直接责任人员处以企业罚款数额的5%以上10%以下的罚款。</w:t>
            </w:r>
          </w:p>
        </w:tc>
      </w:tr>
      <w:tr w14:paraId="6DBB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87F5A08">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2B5FF53">
            <w:pPr>
              <w:spacing w:line="320" w:lineRule="exact"/>
              <w:jc w:val="left"/>
              <w:rPr>
                <w:color w:val="000000"/>
                <w:kern w:val="0"/>
                <w:sz w:val="18"/>
                <w:szCs w:val="18"/>
              </w:rPr>
            </w:pPr>
            <w:r>
              <w:rPr>
                <w:rFonts w:hint="eastAsia"/>
                <w:color w:val="000000"/>
                <w:kern w:val="0"/>
                <w:sz w:val="18"/>
                <w:szCs w:val="18"/>
              </w:rPr>
              <w:t>责令改正，罚款</w:t>
            </w:r>
          </w:p>
        </w:tc>
      </w:tr>
      <w:tr w14:paraId="7B7C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A53D595">
            <w:pPr>
              <w:spacing w:line="320" w:lineRule="exact"/>
              <w:jc w:val="center"/>
              <w:rPr>
                <w:color w:val="000000"/>
                <w:kern w:val="0"/>
                <w:sz w:val="18"/>
                <w:szCs w:val="18"/>
              </w:rPr>
            </w:pPr>
            <w:r>
              <w:rPr>
                <w:rFonts w:hint="eastAsia"/>
                <w:color w:val="000000"/>
                <w:kern w:val="0"/>
                <w:sz w:val="18"/>
                <w:szCs w:val="18"/>
              </w:rPr>
              <w:t>裁量基准</w:t>
            </w:r>
          </w:p>
        </w:tc>
      </w:tr>
      <w:tr w14:paraId="56C1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0536ADB2">
            <w:pPr>
              <w:rPr>
                <w:color w:val="000000"/>
                <w:kern w:val="0"/>
                <w:sz w:val="18"/>
                <w:szCs w:val="18"/>
              </w:rPr>
            </w:pPr>
            <w:r>
              <w:rPr>
                <w:rFonts w:hint="eastAsia"/>
                <w:color w:val="000000"/>
                <w:kern w:val="0"/>
                <w:sz w:val="18"/>
                <w:szCs w:val="18"/>
              </w:rPr>
              <w:t>情形描述</w:t>
            </w:r>
          </w:p>
        </w:tc>
        <w:tc>
          <w:tcPr>
            <w:tcW w:w="6376" w:type="dxa"/>
            <w:vAlign w:val="center"/>
          </w:tcPr>
          <w:p w14:paraId="34941CCD">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69CFCBC2">
            <w:pPr>
              <w:rPr>
                <w:color w:val="000000"/>
                <w:kern w:val="0"/>
                <w:sz w:val="18"/>
                <w:szCs w:val="18"/>
              </w:rPr>
            </w:pPr>
            <w:r>
              <w:rPr>
                <w:rFonts w:hint="eastAsia"/>
                <w:color w:val="000000"/>
                <w:kern w:val="0"/>
                <w:sz w:val="18"/>
                <w:szCs w:val="18"/>
              </w:rPr>
              <w:t>裁量幅度</w:t>
            </w:r>
          </w:p>
        </w:tc>
        <w:tc>
          <w:tcPr>
            <w:tcW w:w="5614" w:type="dxa"/>
            <w:vAlign w:val="center"/>
          </w:tcPr>
          <w:p w14:paraId="5E89E9CB">
            <w:pPr>
              <w:rPr>
                <w:color w:val="000000"/>
                <w:kern w:val="0"/>
                <w:sz w:val="18"/>
                <w:szCs w:val="18"/>
              </w:rPr>
            </w:pPr>
            <w:r>
              <w:rPr>
                <w:rFonts w:hint="eastAsia"/>
                <w:color w:val="000000"/>
                <w:kern w:val="0"/>
                <w:sz w:val="18"/>
                <w:szCs w:val="18"/>
              </w:rPr>
              <w:t>处1万元以上2万元以下的罚款</w:t>
            </w:r>
          </w:p>
          <w:p w14:paraId="12DB5678">
            <w:pPr>
              <w:rPr>
                <w:color w:val="000000"/>
                <w:kern w:val="0"/>
                <w:sz w:val="18"/>
                <w:szCs w:val="18"/>
              </w:rPr>
            </w:pPr>
            <w:r>
              <w:rPr>
                <w:rFonts w:hint="eastAsia"/>
                <w:color w:val="000000"/>
                <w:kern w:val="0"/>
                <w:sz w:val="18"/>
                <w:szCs w:val="18"/>
              </w:rPr>
              <w:t>对个人：企业罚款数额的5%以上7%以下的罚款</w:t>
            </w:r>
          </w:p>
        </w:tc>
      </w:tr>
      <w:tr w14:paraId="6E09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E197B9D">
            <w:pPr>
              <w:spacing w:line="320" w:lineRule="exact"/>
              <w:jc w:val="left"/>
              <w:rPr>
                <w:color w:val="000000"/>
                <w:kern w:val="0"/>
                <w:sz w:val="18"/>
                <w:szCs w:val="18"/>
              </w:rPr>
            </w:pPr>
          </w:p>
        </w:tc>
        <w:tc>
          <w:tcPr>
            <w:tcW w:w="6376" w:type="dxa"/>
            <w:vAlign w:val="center"/>
          </w:tcPr>
          <w:p w14:paraId="354D770D">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670CA59E">
            <w:pPr>
              <w:spacing w:line="320" w:lineRule="exact"/>
              <w:jc w:val="left"/>
              <w:rPr>
                <w:color w:val="000000"/>
                <w:kern w:val="0"/>
                <w:sz w:val="18"/>
                <w:szCs w:val="18"/>
              </w:rPr>
            </w:pPr>
          </w:p>
        </w:tc>
        <w:tc>
          <w:tcPr>
            <w:tcW w:w="5614" w:type="dxa"/>
            <w:vAlign w:val="center"/>
          </w:tcPr>
          <w:p w14:paraId="4D894475">
            <w:pPr>
              <w:rPr>
                <w:color w:val="000000"/>
                <w:kern w:val="0"/>
                <w:sz w:val="18"/>
                <w:szCs w:val="18"/>
              </w:rPr>
            </w:pPr>
            <w:r>
              <w:rPr>
                <w:rFonts w:hint="eastAsia"/>
                <w:color w:val="000000"/>
                <w:kern w:val="0"/>
                <w:sz w:val="18"/>
                <w:szCs w:val="18"/>
              </w:rPr>
              <w:t>处2万元以上3万元以下的罚款</w:t>
            </w:r>
          </w:p>
          <w:p w14:paraId="512B781C">
            <w:pPr>
              <w:rPr>
                <w:color w:val="000000"/>
                <w:kern w:val="0"/>
                <w:sz w:val="18"/>
                <w:szCs w:val="18"/>
              </w:rPr>
            </w:pPr>
            <w:r>
              <w:rPr>
                <w:rFonts w:hint="eastAsia"/>
                <w:color w:val="000000"/>
                <w:kern w:val="0"/>
                <w:sz w:val="18"/>
                <w:szCs w:val="18"/>
              </w:rPr>
              <w:t>对个人：企业罚款数额的7%以上10%以下的罚款</w:t>
            </w:r>
          </w:p>
        </w:tc>
      </w:tr>
    </w:tbl>
    <w:p w14:paraId="7390355E"/>
    <w:p w14:paraId="15F63E36"/>
    <w:p w14:paraId="2281F3F1"/>
    <w:p w14:paraId="536A8EEE"/>
    <w:p w14:paraId="37D323AA"/>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033C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FF0A9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F01E411">
            <w:pPr>
              <w:spacing w:line="320" w:lineRule="exact"/>
              <w:rPr>
                <w:rFonts w:eastAsia="仿宋_GB2312"/>
                <w:b/>
                <w:bCs/>
                <w:color w:val="000000"/>
                <w:kern w:val="0"/>
                <w:sz w:val="18"/>
                <w:szCs w:val="18"/>
              </w:rPr>
            </w:pPr>
            <w:r>
              <w:rPr>
                <w:rFonts w:eastAsia="仿宋_GB2312"/>
                <w:b/>
                <w:bCs/>
                <w:color w:val="000000"/>
                <w:kern w:val="0"/>
                <w:sz w:val="18"/>
                <w:szCs w:val="18"/>
              </w:rPr>
              <w:t>320217846000</w:t>
            </w:r>
          </w:p>
        </w:tc>
      </w:tr>
      <w:tr w14:paraId="4122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1DA56A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DE38E20">
            <w:pPr>
              <w:spacing w:line="320" w:lineRule="exact"/>
              <w:jc w:val="left"/>
              <w:rPr>
                <w:color w:val="000000"/>
                <w:spacing w:val="-6"/>
                <w:kern w:val="0"/>
                <w:sz w:val="18"/>
                <w:szCs w:val="18"/>
              </w:rPr>
            </w:pPr>
            <w:r>
              <w:rPr>
                <w:rFonts w:hint="eastAsia"/>
                <w:color w:val="000000"/>
                <w:spacing w:val="-6"/>
                <w:kern w:val="0"/>
                <w:sz w:val="18"/>
                <w:szCs w:val="18"/>
              </w:rPr>
              <w:t>对工程勘察企业使用的勘察仪器、设备不满足相关规定的处罚</w:t>
            </w:r>
          </w:p>
        </w:tc>
      </w:tr>
      <w:tr w14:paraId="53D8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5D7AAD89">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89650E7">
            <w:pPr>
              <w:spacing w:line="320" w:lineRule="exact"/>
              <w:jc w:val="left"/>
              <w:rPr>
                <w:color w:val="000000"/>
                <w:kern w:val="0"/>
                <w:sz w:val="18"/>
                <w:szCs w:val="18"/>
              </w:rPr>
            </w:pPr>
            <w:r>
              <w:rPr>
                <w:rFonts w:hint="eastAsia"/>
                <w:color w:val="000000"/>
                <w:kern w:val="0"/>
                <w:sz w:val="18"/>
                <w:szCs w:val="18"/>
              </w:rPr>
              <w:t xml:space="preserve">【规章】《建设工程勘察质量管理办法》（建设部令第115号，建设部令第163号、第53号修改）   </w:t>
            </w:r>
          </w:p>
          <w:p w14:paraId="1BEED7E4">
            <w:pPr>
              <w:spacing w:line="320" w:lineRule="exact"/>
              <w:jc w:val="left"/>
              <w:rPr>
                <w:color w:val="000000"/>
                <w:kern w:val="0"/>
                <w:sz w:val="18"/>
                <w:szCs w:val="18"/>
              </w:rPr>
            </w:pPr>
            <w:r>
              <w:rPr>
                <w:rFonts w:hint="eastAsia"/>
                <w:color w:val="000000"/>
                <w:kern w:val="0"/>
                <w:sz w:val="18"/>
                <w:szCs w:val="18"/>
              </w:rPr>
              <w:t xml:space="preserve">　    第十五条　工程勘察企业应当确保仪器、设备的完好。钻探、取样的机具设备、原位测试、室内试验及测量仪器等应当符合有关规范、规程的要求。     </w:t>
            </w:r>
          </w:p>
          <w:p w14:paraId="3E3EF665">
            <w:pPr>
              <w:spacing w:line="320" w:lineRule="exact"/>
              <w:jc w:val="left"/>
              <w:rPr>
                <w:color w:val="000000"/>
                <w:kern w:val="0"/>
                <w:sz w:val="18"/>
                <w:szCs w:val="18"/>
              </w:rPr>
            </w:pPr>
            <w:r>
              <w:rPr>
                <w:rFonts w:hint="eastAsia"/>
                <w:color w:val="000000"/>
                <w:kern w:val="0"/>
                <w:sz w:val="18"/>
                <w:szCs w:val="18"/>
              </w:rPr>
              <w:t xml:space="preserve">      第二十四条　违反本办法规定，工程勘察企业有下列行为之一的，由工程勘察质量监督部门责令改正，处1万元以上3万元以下的罚款：</w:t>
            </w:r>
          </w:p>
          <w:p w14:paraId="0AECB63C">
            <w:pPr>
              <w:spacing w:line="320" w:lineRule="exact"/>
              <w:jc w:val="left"/>
              <w:rPr>
                <w:color w:val="000000"/>
                <w:kern w:val="0"/>
                <w:sz w:val="18"/>
                <w:szCs w:val="18"/>
              </w:rPr>
            </w:pPr>
            <w:r>
              <w:rPr>
                <w:rFonts w:hint="eastAsia"/>
                <w:color w:val="000000"/>
                <w:kern w:val="0"/>
                <w:sz w:val="18"/>
                <w:szCs w:val="18"/>
              </w:rPr>
              <w:t>　　（一）使用的勘察仪器、设备不满足相关规定；</w:t>
            </w:r>
          </w:p>
          <w:p w14:paraId="7179ABF5">
            <w:pPr>
              <w:spacing w:line="320" w:lineRule="exact"/>
              <w:jc w:val="left"/>
              <w:rPr>
                <w:color w:val="000000"/>
                <w:kern w:val="0"/>
                <w:sz w:val="18"/>
                <w:szCs w:val="18"/>
              </w:rPr>
            </w:pPr>
            <w:r>
              <w:rPr>
                <w:rFonts w:hint="eastAsia"/>
                <w:color w:val="000000"/>
                <w:kern w:val="0"/>
                <w:sz w:val="18"/>
                <w:szCs w:val="18"/>
              </w:rPr>
              <w:t xml:space="preserve">       第二十七条　依照本办法规定，给予建设单位、勘察企业罚款处罚的，由工程勘察质量监督部门对建设单位、勘察企业的法定代表人和其他直接责任人员处以企业罚款数额的5%以上10%以下的罚款。</w:t>
            </w:r>
          </w:p>
        </w:tc>
      </w:tr>
      <w:tr w14:paraId="7EF7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6506EC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A840924">
            <w:pPr>
              <w:spacing w:line="320" w:lineRule="exact"/>
              <w:jc w:val="left"/>
              <w:rPr>
                <w:color w:val="000000"/>
                <w:kern w:val="0"/>
                <w:sz w:val="18"/>
                <w:szCs w:val="18"/>
              </w:rPr>
            </w:pPr>
            <w:r>
              <w:rPr>
                <w:rFonts w:hint="eastAsia"/>
                <w:color w:val="000000"/>
                <w:kern w:val="0"/>
                <w:sz w:val="18"/>
                <w:szCs w:val="18"/>
              </w:rPr>
              <w:t>责令改正，罚款</w:t>
            </w:r>
          </w:p>
        </w:tc>
      </w:tr>
      <w:tr w14:paraId="016A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FF80EA2">
            <w:pPr>
              <w:spacing w:line="320" w:lineRule="exact"/>
              <w:jc w:val="center"/>
              <w:rPr>
                <w:color w:val="000000"/>
                <w:kern w:val="0"/>
                <w:sz w:val="18"/>
                <w:szCs w:val="18"/>
              </w:rPr>
            </w:pPr>
            <w:r>
              <w:rPr>
                <w:rFonts w:hint="eastAsia"/>
                <w:color w:val="000000"/>
                <w:kern w:val="0"/>
                <w:sz w:val="18"/>
                <w:szCs w:val="18"/>
              </w:rPr>
              <w:t>裁量基准</w:t>
            </w:r>
          </w:p>
        </w:tc>
      </w:tr>
      <w:tr w14:paraId="4E0C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7C2766B2">
            <w:pPr>
              <w:rPr>
                <w:color w:val="000000"/>
                <w:kern w:val="0"/>
                <w:sz w:val="18"/>
                <w:szCs w:val="18"/>
              </w:rPr>
            </w:pPr>
            <w:r>
              <w:rPr>
                <w:rFonts w:hint="eastAsia"/>
                <w:color w:val="000000"/>
                <w:kern w:val="0"/>
                <w:sz w:val="18"/>
                <w:szCs w:val="18"/>
              </w:rPr>
              <w:t>情形描述</w:t>
            </w:r>
          </w:p>
        </w:tc>
        <w:tc>
          <w:tcPr>
            <w:tcW w:w="6376" w:type="dxa"/>
            <w:vAlign w:val="center"/>
          </w:tcPr>
          <w:p w14:paraId="669DBE86">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14B58FBD">
            <w:pPr>
              <w:rPr>
                <w:color w:val="000000"/>
                <w:kern w:val="0"/>
                <w:sz w:val="18"/>
                <w:szCs w:val="18"/>
              </w:rPr>
            </w:pPr>
            <w:r>
              <w:rPr>
                <w:rFonts w:hint="eastAsia"/>
                <w:color w:val="000000"/>
                <w:kern w:val="0"/>
                <w:sz w:val="18"/>
                <w:szCs w:val="18"/>
              </w:rPr>
              <w:t>裁量幅度</w:t>
            </w:r>
          </w:p>
        </w:tc>
        <w:tc>
          <w:tcPr>
            <w:tcW w:w="5614" w:type="dxa"/>
            <w:vAlign w:val="center"/>
          </w:tcPr>
          <w:p w14:paraId="3D9BBC90">
            <w:pPr>
              <w:rPr>
                <w:color w:val="000000"/>
                <w:kern w:val="0"/>
                <w:sz w:val="18"/>
                <w:szCs w:val="18"/>
              </w:rPr>
            </w:pPr>
            <w:r>
              <w:rPr>
                <w:rFonts w:hint="eastAsia"/>
                <w:color w:val="000000"/>
                <w:kern w:val="0"/>
                <w:sz w:val="18"/>
                <w:szCs w:val="18"/>
              </w:rPr>
              <w:t>处1万元以上2万元以下的罚款</w:t>
            </w:r>
          </w:p>
          <w:p w14:paraId="2800D6A1">
            <w:pPr>
              <w:rPr>
                <w:color w:val="000000"/>
                <w:kern w:val="0"/>
                <w:sz w:val="18"/>
                <w:szCs w:val="18"/>
              </w:rPr>
            </w:pPr>
            <w:r>
              <w:rPr>
                <w:rFonts w:hint="eastAsia"/>
                <w:color w:val="000000"/>
                <w:kern w:val="0"/>
                <w:sz w:val="18"/>
                <w:szCs w:val="18"/>
              </w:rPr>
              <w:t>对个人：企业罚款数额的5%以上7%以下的罚款</w:t>
            </w:r>
          </w:p>
        </w:tc>
      </w:tr>
      <w:tr w14:paraId="1DA8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2A5D24A">
            <w:pPr>
              <w:spacing w:line="320" w:lineRule="exact"/>
              <w:jc w:val="left"/>
              <w:rPr>
                <w:color w:val="000000"/>
                <w:kern w:val="0"/>
                <w:sz w:val="18"/>
                <w:szCs w:val="18"/>
              </w:rPr>
            </w:pPr>
          </w:p>
        </w:tc>
        <w:tc>
          <w:tcPr>
            <w:tcW w:w="6376" w:type="dxa"/>
            <w:vAlign w:val="center"/>
          </w:tcPr>
          <w:p w14:paraId="30EF90C0">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4EDD1B41">
            <w:pPr>
              <w:spacing w:line="320" w:lineRule="exact"/>
              <w:jc w:val="left"/>
              <w:rPr>
                <w:color w:val="000000"/>
                <w:kern w:val="0"/>
                <w:sz w:val="18"/>
                <w:szCs w:val="18"/>
              </w:rPr>
            </w:pPr>
          </w:p>
        </w:tc>
        <w:tc>
          <w:tcPr>
            <w:tcW w:w="5614" w:type="dxa"/>
            <w:vAlign w:val="center"/>
          </w:tcPr>
          <w:p w14:paraId="2194F01C">
            <w:pPr>
              <w:rPr>
                <w:color w:val="000000"/>
                <w:kern w:val="0"/>
                <w:sz w:val="18"/>
                <w:szCs w:val="18"/>
              </w:rPr>
            </w:pPr>
            <w:r>
              <w:rPr>
                <w:rFonts w:hint="eastAsia"/>
                <w:color w:val="000000"/>
                <w:kern w:val="0"/>
                <w:sz w:val="18"/>
                <w:szCs w:val="18"/>
              </w:rPr>
              <w:t>处2万元以上3万元以下的罚款</w:t>
            </w:r>
          </w:p>
          <w:p w14:paraId="3B8CCDA2">
            <w:pPr>
              <w:rPr>
                <w:color w:val="000000"/>
                <w:kern w:val="0"/>
                <w:sz w:val="18"/>
                <w:szCs w:val="18"/>
              </w:rPr>
            </w:pPr>
            <w:r>
              <w:rPr>
                <w:rFonts w:hint="eastAsia"/>
                <w:color w:val="000000"/>
                <w:kern w:val="0"/>
                <w:sz w:val="18"/>
                <w:szCs w:val="18"/>
              </w:rPr>
              <w:t>对个人：企业罚款数额的7%以上10%以下的罚款</w:t>
            </w:r>
          </w:p>
        </w:tc>
      </w:tr>
    </w:tbl>
    <w:p w14:paraId="7BF7F26A"/>
    <w:p w14:paraId="2C39EE03"/>
    <w:p w14:paraId="0B9474E7"/>
    <w:p w14:paraId="1B76C0DE"/>
    <w:p w14:paraId="70CE1633"/>
    <w:p w14:paraId="677B0E05"/>
    <w:p w14:paraId="0C1B3F72"/>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0CE2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1C1E59DA">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5AAF16EA">
            <w:pPr>
              <w:spacing w:line="320" w:lineRule="exact"/>
              <w:rPr>
                <w:rFonts w:eastAsia="仿宋_GB2312"/>
                <w:b/>
                <w:bCs/>
                <w:color w:val="000000"/>
                <w:kern w:val="0"/>
                <w:sz w:val="18"/>
                <w:szCs w:val="18"/>
              </w:rPr>
            </w:pPr>
            <w:r>
              <w:rPr>
                <w:rFonts w:eastAsia="仿宋_GB2312"/>
                <w:b/>
                <w:bCs/>
                <w:color w:val="000000"/>
                <w:kern w:val="0"/>
                <w:sz w:val="18"/>
                <w:szCs w:val="18"/>
              </w:rPr>
              <w:t>320217847000</w:t>
            </w:r>
          </w:p>
        </w:tc>
      </w:tr>
      <w:tr w14:paraId="097E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24C287F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909E730">
            <w:pPr>
              <w:spacing w:line="320" w:lineRule="exact"/>
              <w:jc w:val="left"/>
              <w:rPr>
                <w:color w:val="000000"/>
                <w:spacing w:val="-6"/>
                <w:kern w:val="0"/>
                <w:sz w:val="18"/>
                <w:szCs w:val="18"/>
              </w:rPr>
            </w:pPr>
            <w:r>
              <w:rPr>
                <w:rFonts w:hint="eastAsia"/>
                <w:color w:val="000000"/>
                <w:spacing w:val="-6"/>
                <w:kern w:val="0"/>
                <w:sz w:val="18"/>
                <w:szCs w:val="18"/>
              </w:rPr>
              <w:t>对建设单位未组织验槽的处罚</w:t>
            </w:r>
          </w:p>
        </w:tc>
      </w:tr>
      <w:tr w14:paraId="733E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5A77DBE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9F9EB4E">
            <w:pPr>
              <w:spacing w:line="320" w:lineRule="exact"/>
              <w:jc w:val="left"/>
              <w:rPr>
                <w:color w:val="000000"/>
                <w:kern w:val="0"/>
                <w:sz w:val="18"/>
                <w:szCs w:val="18"/>
              </w:rPr>
            </w:pPr>
            <w:r>
              <w:rPr>
                <w:rFonts w:hint="eastAsia"/>
                <w:color w:val="000000"/>
                <w:kern w:val="0"/>
                <w:sz w:val="18"/>
                <w:szCs w:val="18"/>
              </w:rPr>
              <w:t>【规章】《建设工程勘察质量管理办法》（建设部令第115号，建设部令第163号、第53号修改）　</w:t>
            </w:r>
          </w:p>
          <w:p w14:paraId="4D44662F">
            <w:pPr>
              <w:spacing w:line="320" w:lineRule="exact"/>
              <w:jc w:val="left"/>
              <w:rPr>
                <w:color w:val="000000"/>
                <w:kern w:val="0"/>
                <w:sz w:val="18"/>
                <w:szCs w:val="18"/>
              </w:rPr>
            </w:pPr>
            <w:r>
              <w:rPr>
                <w:rFonts w:hint="eastAsia"/>
                <w:color w:val="000000"/>
                <w:kern w:val="0"/>
                <w:sz w:val="18"/>
                <w:szCs w:val="18"/>
              </w:rPr>
              <w:t xml:space="preserve">          第五条第三款  建设单位应当依法将工程勘察文件送施工图审查机构审查。建设单位应当验收勘察报告，组织勘察技术交底和验槽。</w:t>
            </w:r>
          </w:p>
          <w:p w14:paraId="5EB0C661">
            <w:pPr>
              <w:spacing w:line="320" w:lineRule="exact"/>
              <w:jc w:val="left"/>
              <w:rPr>
                <w:color w:val="000000"/>
                <w:kern w:val="0"/>
                <w:sz w:val="18"/>
                <w:szCs w:val="18"/>
              </w:rPr>
            </w:pPr>
            <w:r>
              <w:rPr>
                <w:rFonts w:hint="eastAsia"/>
                <w:color w:val="000000"/>
                <w:kern w:val="0"/>
                <w:sz w:val="18"/>
                <w:szCs w:val="18"/>
              </w:rPr>
              <w:t xml:space="preserve">        第二十二条　违反本办法规定，建设单位有下列行为之一的，由工程勘察质量监督部门责令改正，处1万元以上3万元以下的罚款：</w:t>
            </w:r>
          </w:p>
          <w:p w14:paraId="1EBFB356">
            <w:pPr>
              <w:spacing w:line="320" w:lineRule="exact"/>
              <w:jc w:val="left"/>
              <w:rPr>
                <w:color w:val="000000"/>
                <w:kern w:val="0"/>
                <w:sz w:val="18"/>
                <w:szCs w:val="18"/>
              </w:rPr>
            </w:pPr>
            <w:r>
              <w:rPr>
                <w:rFonts w:hint="eastAsia"/>
                <w:color w:val="000000"/>
                <w:kern w:val="0"/>
                <w:sz w:val="18"/>
                <w:szCs w:val="18"/>
              </w:rPr>
              <w:t>　（四）未组织验槽。</w:t>
            </w:r>
          </w:p>
          <w:p w14:paraId="7014FA4A">
            <w:pPr>
              <w:spacing w:line="320" w:lineRule="exact"/>
              <w:jc w:val="left"/>
              <w:rPr>
                <w:color w:val="000000"/>
                <w:kern w:val="0"/>
                <w:sz w:val="18"/>
                <w:szCs w:val="18"/>
              </w:rPr>
            </w:pPr>
            <w:r>
              <w:rPr>
                <w:rFonts w:hint="eastAsia"/>
                <w:color w:val="000000"/>
                <w:kern w:val="0"/>
                <w:sz w:val="18"/>
                <w:szCs w:val="18"/>
              </w:rPr>
              <w:t xml:space="preserve">         第二十七条　依照本办法规定，给予建设单位、勘察企业罚款处罚的，由工程勘察质量监督部门对建设单位、勘察企业的法定代表人和其他直接责任人员处以企业罚款数额的5%以上10%以下的罚款。</w:t>
            </w:r>
          </w:p>
        </w:tc>
      </w:tr>
      <w:tr w14:paraId="0287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3521F4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2B465AD">
            <w:pPr>
              <w:spacing w:line="320" w:lineRule="exact"/>
              <w:jc w:val="left"/>
              <w:rPr>
                <w:color w:val="000000"/>
                <w:kern w:val="0"/>
                <w:sz w:val="18"/>
                <w:szCs w:val="18"/>
              </w:rPr>
            </w:pPr>
            <w:r>
              <w:rPr>
                <w:rFonts w:hint="eastAsia"/>
                <w:color w:val="000000"/>
                <w:kern w:val="0"/>
                <w:sz w:val="18"/>
                <w:szCs w:val="18"/>
              </w:rPr>
              <w:t>责令改正，罚款</w:t>
            </w:r>
          </w:p>
        </w:tc>
      </w:tr>
      <w:tr w14:paraId="539E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9AAFC8C">
            <w:pPr>
              <w:spacing w:line="320" w:lineRule="exact"/>
              <w:jc w:val="center"/>
              <w:rPr>
                <w:color w:val="000000"/>
                <w:kern w:val="0"/>
                <w:sz w:val="18"/>
                <w:szCs w:val="18"/>
              </w:rPr>
            </w:pPr>
            <w:r>
              <w:rPr>
                <w:rFonts w:hint="eastAsia"/>
                <w:color w:val="000000"/>
                <w:kern w:val="0"/>
                <w:sz w:val="18"/>
                <w:szCs w:val="18"/>
              </w:rPr>
              <w:t>裁量基准</w:t>
            </w:r>
          </w:p>
        </w:tc>
      </w:tr>
      <w:tr w14:paraId="217B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FB72170">
            <w:pPr>
              <w:rPr>
                <w:color w:val="000000"/>
                <w:kern w:val="0"/>
                <w:sz w:val="18"/>
                <w:szCs w:val="18"/>
              </w:rPr>
            </w:pPr>
            <w:r>
              <w:rPr>
                <w:rFonts w:hint="eastAsia"/>
                <w:color w:val="000000"/>
                <w:kern w:val="0"/>
                <w:sz w:val="18"/>
                <w:szCs w:val="18"/>
              </w:rPr>
              <w:t>情形描述</w:t>
            </w:r>
          </w:p>
        </w:tc>
        <w:tc>
          <w:tcPr>
            <w:tcW w:w="6376" w:type="dxa"/>
            <w:vAlign w:val="center"/>
          </w:tcPr>
          <w:p w14:paraId="1846DF71">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5D131B5A">
            <w:pPr>
              <w:rPr>
                <w:color w:val="000000"/>
                <w:kern w:val="0"/>
                <w:sz w:val="18"/>
                <w:szCs w:val="18"/>
              </w:rPr>
            </w:pPr>
            <w:r>
              <w:rPr>
                <w:rFonts w:hint="eastAsia"/>
                <w:color w:val="000000"/>
                <w:kern w:val="0"/>
                <w:sz w:val="18"/>
                <w:szCs w:val="18"/>
              </w:rPr>
              <w:t>裁量幅度</w:t>
            </w:r>
          </w:p>
        </w:tc>
        <w:tc>
          <w:tcPr>
            <w:tcW w:w="5614" w:type="dxa"/>
            <w:vAlign w:val="center"/>
          </w:tcPr>
          <w:p w14:paraId="4B8BC53E">
            <w:pPr>
              <w:rPr>
                <w:color w:val="000000"/>
                <w:kern w:val="0"/>
                <w:sz w:val="18"/>
                <w:szCs w:val="18"/>
              </w:rPr>
            </w:pPr>
            <w:r>
              <w:rPr>
                <w:rFonts w:hint="eastAsia"/>
                <w:color w:val="000000"/>
                <w:kern w:val="0"/>
                <w:sz w:val="18"/>
                <w:szCs w:val="18"/>
              </w:rPr>
              <w:t>处1万元以上2万元以下的罚款</w:t>
            </w:r>
          </w:p>
          <w:p w14:paraId="4B4BCD6C">
            <w:pPr>
              <w:rPr>
                <w:color w:val="000000"/>
                <w:kern w:val="0"/>
                <w:sz w:val="18"/>
                <w:szCs w:val="18"/>
              </w:rPr>
            </w:pPr>
            <w:r>
              <w:rPr>
                <w:rFonts w:hint="eastAsia"/>
                <w:color w:val="000000"/>
                <w:kern w:val="0"/>
                <w:sz w:val="18"/>
                <w:szCs w:val="18"/>
              </w:rPr>
              <w:t>对个人：企业罚款数额的5%以上7%以下的罚款</w:t>
            </w:r>
          </w:p>
        </w:tc>
      </w:tr>
      <w:tr w14:paraId="642F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27171C9">
            <w:pPr>
              <w:spacing w:line="320" w:lineRule="exact"/>
              <w:jc w:val="left"/>
              <w:rPr>
                <w:color w:val="000000"/>
                <w:kern w:val="0"/>
                <w:sz w:val="18"/>
                <w:szCs w:val="18"/>
              </w:rPr>
            </w:pPr>
          </w:p>
        </w:tc>
        <w:tc>
          <w:tcPr>
            <w:tcW w:w="6376" w:type="dxa"/>
            <w:vAlign w:val="center"/>
          </w:tcPr>
          <w:p w14:paraId="514AEA94">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223A2BB">
            <w:pPr>
              <w:spacing w:line="320" w:lineRule="exact"/>
              <w:jc w:val="left"/>
              <w:rPr>
                <w:color w:val="000000"/>
                <w:kern w:val="0"/>
                <w:sz w:val="18"/>
                <w:szCs w:val="18"/>
              </w:rPr>
            </w:pPr>
          </w:p>
        </w:tc>
        <w:tc>
          <w:tcPr>
            <w:tcW w:w="5614" w:type="dxa"/>
            <w:vAlign w:val="center"/>
          </w:tcPr>
          <w:p w14:paraId="48681507">
            <w:pPr>
              <w:rPr>
                <w:color w:val="000000"/>
                <w:kern w:val="0"/>
                <w:sz w:val="18"/>
                <w:szCs w:val="18"/>
              </w:rPr>
            </w:pPr>
            <w:r>
              <w:rPr>
                <w:rFonts w:hint="eastAsia"/>
                <w:color w:val="000000"/>
                <w:kern w:val="0"/>
                <w:sz w:val="18"/>
                <w:szCs w:val="18"/>
              </w:rPr>
              <w:t>处2万元以上3万元以下的罚款</w:t>
            </w:r>
          </w:p>
          <w:p w14:paraId="4456A02E">
            <w:pPr>
              <w:rPr>
                <w:color w:val="000000"/>
                <w:kern w:val="0"/>
                <w:sz w:val="18"/>
                <w:szCs w:val="18"/>
              </w:rPr>
            </w:pPr>
            <w:r>
              <w:rPr>
                <w:rFonts w:hint="eastAsia"/>
                <w:color w:val="000000"/>
                <w:kern w:val="0"/>
                <w:sz w:val="18"/>
                <w:szCs w:val="18"/>
              </w:rPr>
              <w:t>对个人：企业罚款数额的7%以上10%以下的罚款</w:t>
            </w:r>
          </w:p>
        </w:tc>
      </w:tr>
    </w:tbl>
    <w:p w14:paraId="6271301C"/>
    <w:p w14:paraId="67071D27"/>
    <w:p w14:paraId="189A2E5C"/>
    <w:p w14:paraId="573AEC53"/>
    <w:p w14:paraId="4A6BE5BB"/>
    <w:p w14:paraId="2E597540"/>
    <w:p w14:paraId="3BC6602B"/>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20A1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3ACF4BCA">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A60BB69">
            <w:pPr>
              <w:spacing w:line="320" w:lineRule="exact"/>
              <w:rPr>
                <w:rFonts w:eastAsia="仿宋_GB2312"/>
                <w:b/>
                <w:bCs/>
                <w:color w:val="000000"/>
                <w:kern w:val="0"/>
                <w:sz w:val="18"/>
                <w:szCs w:val="18"/>
              </w:rPr>
            </w:pPr>
            <w:r>
              <w:rPr>
                <w:rFonts w:eastAsia="仿宋_GB2312"/>
                <w:b/>
                <w:bCs/>
                <w:color w:val="000000"/>
                <w:kern w:val="0"/>
                <w:sz w:val="18"/>
                <w:szCs w:val="18"/>
              </w:rPr>
              <w:t>320217848000</w:t>
            </w:r>
          </w:p>
        </w:tc>
      </w:tr>
      <w:tr w14:paraId="7378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327DFAC8">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1529CDA">
            <w:pPr>
              <w:spacing w:line="320" w:lineRule="exact"/>
              <w:jc w:val="left"/>
              <w:rPr>
                <w:color w:val="000000"/>
                <w:spacing w:val="-6"/>
                <w:kern w:val="0"/>
                <w:sz w:val="18"/>
                <w:szCs w:val="18"/>
              </w:rPr>
            </w:pPr>
            <w:r>
              <w:rPr>
                <w:rFonts w:hint="eastAsia"/>
                <w:color w:val="000000"/>
                <w:spacing w:val="-6"/>
                <w:kern w:val="0"/>
                <w:sz w:val="18"/>
                <w:szCs w:val="18"/>
              </w:rPr>
              <w:t>对建设单位未组织勘察技术交底的处罚</w:t>
            </w:r>
          </w:p>
        </w:tc>
      </w:tr>
      <w:tr w14:paraId="5A53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3B08DD39">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114B8215">
            <w:pPr>
              <w:spacing w:line="320" w:lineRule="exact"/>
              <w:jc w:val="left"/>
              <w:rPr>
                <w:color w:val="000000"/>
                <w:kern w:val="0"/>
                <w:sz w:val="18"/>
                <w:szCs w:val="18"/>
              </w:rPr>
            </w:pPr>
            <w:r>
              <w:rPr>
                <w:rFonts w:hint="eastAsia"/>
                <w:color w:val="000000"/>
                <w:kern w:val="0"/>
                <w:sz w:val="18"/>
                <w:szCs w:val="18"/>
              </w:rPr>
              <w:t>【规章】《建设工程勘察质量管理办法》（建设部令第115号，建设部令第163号、第53号修改）　</w:t>
            </w:r>
          </w:p>
          <w:p w14:paraId="0212C700">
            <w:pPr>
              <w:spacing w:line="320" w:lineRule="exact"/>
              <w:jc w:val="left"/>
              <w:rPr>
                <w:color w:val="000000"/>
                <w:kern w:val="0"/>
                <w:sz w:val="18"/>
                <w:szCs w:val="18"/>
              </w:rPr>
            </w:pPr>
            <w:r>
              <w:rPr>
                <w:rFonts w:hint="eastAsia"/>
                <w:color w:val="000000"/>
                <w:kern w:val="0"/>
                <w:sz w:val="18"/>
                <w:szCs w:val="18"/>
              </w:rPr>
              <w:t xml:space="preserve">         第五条第三款  建设单位应当依法将工程勘察文件送施工图审查机构审查。建设单位应当验收勘察报告，组织勘察技术交底和验槽。</w:t>
            </w:r>
          </w:p>
          <w:p w14:paraId="418A37AB">
            <w:pPr>
              <w:spacing w:line="320" w:lineRule="exact"/>
              <w:jc w:val="left"/>
              <w:rPr>
                <w:color w:val="000000"/>
                <w:kern w:val="0"/>
                <w:sz w:val="18"/>
                <w:szCs w:val="18"/>
              </w:rPr>
            </w:pPr>
            <w:r>
              <w:rPr>
                <w:rFonts w:hint="eastAsia"/>
                <w:color w:val="000000"/>
                <w:kern w:val="0"/>
                <w:sz w:val="18"/>
                <w:szCs w:val="18"/>
              </w:rPr>
              <w:t xml:space="preserve">         第二十二条　违反本办法规定，建设单位有下列行为之一的，由工程勘察质量监督部门责令改正，处1万元以上3万元以下的罚款：</w:t>
            </w:r>
          </w:p>
          <w:p w14:paraId="3F230B5F">
            <w:pPr>
              <w:spacing w:line="320" w:lineRule="exact"/>
              <w:jc w:val="left"/>
              <w:rPr>
                <w:color w:val="000000"/>
                <w:kern w:val="0"/>
                <w:sz w:val="18"/>
                <w:szCs w:val="18"/>
              </w:rPr>
            </w:pPr>
            <w:r>
              <w:rPr>
                <w:rFonts w:hint="eastAsia"/>
                <w:color w:val="000000"/>
                <w:kern w:val="0"/>
                <w:sz w:val="18"/>
                <w:szCs w:val="18"/>
              </w:rPr>
              <w:t>　　（三）未组织勘察技术交底；</w:t>
            </w:r>
          </w:p>
          <w:p w14:paraId="29680B01">
            <w:pPr>
              <w:spacing w:line="320" w:lineRule="exact"/>
              <w:jc w:val="left"/>
              <w:rPr>
                <w:color w:val="000000"/>
                <w:kern w:val="0"/>
                <w:sz w:val="18"/>
                <w:szCs w:val="18"/>
              </w:rPr>
            </w:pPr>
            <w:r>
              <w:rPr>
                <w:rFonts w:hint="eastAsia"/>
                <w:color w:val="000000"/>
                <w:kern w:val="0"/>
                <w:sz w:val="18"/>
                <w:szCs w:val="18"/>
              </w:rPr>
              <w:t xml:space="preserve">         第二十七条　依照本办法规定，给予建设单位、勘察企业罚款处罚的，由工程勘察质量监督部门对建设单位、勘察企业的法定代表人和其他直接责任人员处以企业罚款数额的5%以上10%以下的罚款。</w:t>
            </w:r>
          </w:p>
        </w:tc>
      </w:tr>
      <w:tr w14:paraId="491C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5B403F4">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5AF86B7">
            <w:pPr>
              <w:spacing w:line="320" w:lineRule="exact"/>
              <w:jc w:val="left"/>
              <w:rPr>
                <w:color w:val="000000"/>
                <w:kern w:val="0"/>
                <w:sz w:val="18"/>
                <w:szCs w:val="18"/>
              </w:rPr>
            </w:pPr>
            <w:r>
              <w:rPr>
                <w:rFonts w:hint="eastAsia"/>
                <w:color w:val="000000"/>
                <w:kern w:val="0"/>
                <w:sz w:val="18"/>
                <w:szCs w:val="18"/>
              </w:rPr>
              <w:t>责令改正，罚款</w:t>
            </w:r>
          </w:p>
        </w:tc>
      </w:tr>
      <w:tr w14:paraId="29B3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22D6EEC">
            <w:pPr>
              <w:spacing w:line="320" w:lineRule="exact"/>
              <w:jc w:val="center"/>
              <w:rPr>
                <w:color w:val="000000"/>
                <w:kern w:val="0"/>
                <w:sz w:val="18"/>
                <w:szCs w:val="18"/>
              </w:rPr>
            </w:pPr>
            <w:r>
              <w:rPr>
                <w:rFonts w:hint="eastAsia"/>
                <w:color w:val="000000"/>
                <w:kern w:val="0"/>
                <w:sz w:val="18"/>
                <w:szCs w:val="18"/>
              </w:rPr>
              <w:t>裁量基准</w:t>
            </w:r>
          </w:p>
        </w:tc>
      </w:tr>
      <w:tr w14:paraId="17AB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62DBC23">
            <w:pPr>
              <w:rPr>
                <w:color w:val="000000"/>
                <w:kern w:val="0"/>
                <w:sz w:val="18"/>
                <w:szCs w:val="18"/>
              </w:rPr>
            </w:pPr>
            <w:r>
              <w:rPr>
                <w:rFonts w:hint="eastAsia"/>
                <w:color w:val="000000"/>
                <w:kern w:val="0"/>
                <w:sz w:val="18"/>
                <w:szCs w:val="18"/>
              </w:rPr>
              <w:t>情形描述</w:t>
            </w:r>
          </w:p>
        </w:tc>
        <w:tc>
          <w:tcPr>
            <w:tcW w:w="6376" w:type="dxa"/>
            <w:vAlign w:val="center"/>
          </w:tcPr>
          <w:p w14:paraId="7D35D40B">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1B38C0F0">
            <w:pPr>
              <w:rPr>
                <w:color w:val="000000"/>
                <w:kern w:val="0"/>
                <w:sz w:val="18"/>
                <w:szCs w:val="18"/>
              </w:rPr>
            </w:pPr>
            <w:r>
              <w:rPr>
                <w:rFonts w:hint="eastAsia"/>
                <w:color w:val="000000"/>
                <w:kern w:val="0"/>
                <w:sz w:val="18"/>
                <w:szCs w:val="18"/>
              </w:rPr>
              <w:t>裁量幅度</w:t>
            </w:r>
          </w:p>
        </w:tc>
        <w:tc>
          <w:tcPr>
            <w:tcW w:w="5614" w:type="dxa"/>
            <w:vAlign w:val="center"/>
          </w:tcPr>
          <w:p w14:paraId="3288294B">
            <w:pPr>
              <w:rPr>
                <w:color w:val="000000"/>
                <w:kern w:val="0"/>
                <w:sz w:val="18"/>
                <w:szCs w:val="18"/>
              </w:rPr>
            </w:pPr>
            <w:r>
              <w:rPr>
                <w:rFonts w:hint="eastAsia"/>
                <w:color w:val="000000"/>
                <w:kern w:val="0"/>
                <w:sz w:val="18"/>
                <w:szCs w:val="18"/>
              </w:rPr>
              <w:t>处1万元以上2万元以下的罚款</w:t>
            </w:r>
          </w:p>
          <w:p w14:paraId="0BDA9A1E">
            <w:pPr>
              <w:rPr>
                <w:color w:val="000000"/>
                <w:kern w:val="0"/>
                <w:sz w:val="18"/>
                <w:szCs w:val="18"/>
              </w:rPr>
            </w:pPr>
            <w:r>
              <w:rPr>
                <w:rFonts w:hint="eastAsia"/>
                <w:color w:val="000000"/>
                <w:kern w:val="0"/>
                <w:sz w:val="18"/>
                <w:szCs w:val="18"/>
              </w:rPr>
              <w:t>对个人：企业罚款数额的5%以上7%以下的罚款</w:t>
            </w:r>
          </w:p>
        </w:tc>
      </w:tr>
      <w:tr w14:paraId="69DA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66F6F74">
            <w:pPr>
              <w:spacing w:line="320" w:lineRule="exact"/>
              <w:jc w:val="left"/>
              <w:rPr>
                <w:color w:val="000000"/>
                <w:kern w:val="0"/>
                <w:sz w:val="18"/>
                <w:szCs w:val="18"/>
              </w:rPr>
            </w:pPr>
          </w:p>
        </w:tc>
        <w:tc>
          <w:tcPr>
            <w:tcW w:w="6376" w:type="dxa"/>
            <w:vAlign w:val="center"/>
          </w:tcPr>
          <w:p w14:paraId="190C4069">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1C1A2160">
            <w:pPr>
              <w:spacing w:line="320" w:lineRule="exact"/>
              <w:jc w:val="left"/>
              <w:rPr>
                <w:color w:val="000000"/>
                <w:kern w:val="0"/>
                <w:sz w:val="18"/>
                <w:szCs w:val="18"/>
              </w:rPr>
            </w:pPr>
          </w:p>
        </w:tc>
        <w:tc>
          <w:tcPr>
            <w:tcW w:w="5614" w:type="dxa"/>
            <w:vAlign w:val="center"/>
          </w:tcPr>
          <w:p w14:paraId="7860A804">
            <w:pPr>
              <w:rPr>
                <w:color w:val="000000"/>
                <w:kern w:val="0"/>
                <w:sz w:val="18"/>
                <w:szCs w:val="18"/>
              </w:rPr>
            </w:pPr>
            <w:r>
              <w:rPr>
                <w:rFonts w:hint="eastAsia"/>
                <w:color w:val="000000"/>
                <w:kern w:val="0"/>
                <w:sz w:val="18"/>
                <w:szCs w:val="18"/>
              </w:rPr>
              <w:t>处2万元以上3万元以下的罚款</w:t>
            </w:r>
          </w:p>
          <w:p w14:paraId="57AFB6BB">
            <w:pPr>
              <w:rPr>
                <w:color w:val="000000"/>
                <w:kern w:val="0"/>
                <w:sz w:val="18"/>
                <w:szCs w:val="18"/>
              </w:rPr>
            </w:pPr>
            <w:r>
              <w:rPr>
                <w:rFonts w:hint="eastAsia"/>
                <w:color w:val="000000"/>
                <w:kern w:val="0"/>
                <w:sz w:val="18"/>
                <w:szCs w:val="18"/>
              </w:rPr>
              <w:t>对个人：企业罚款数额的7%以上10%以下的罚款</w:t>
            </w:r>
          </w:p>
        </w:tc>
      </w:tr>
    </w:tbl>
    <w:p w14:paraId="20048FAA"/>
    <w:p w14:paraId="20526BAB"/>
    <w:p w14:paraId="34BC60AD"/>
    <w:p w14:paraId="656D65AB"/>
    <w:p w14:paraId="7D39226B"/>
    <w:p w14:paraId="309FAFAB"/>
    <w:p w14:paraId="0EBFA6D4"/>
    <w:p w14:paraId="2891D6D4"/>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92A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0371DD34">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A68B9F2">
            <w:pPr>
              <w:spacing w:line="320" w:lineRule="exact"/>
              <w:rPr>
                <w:rFonts w:eastAsia="仿宋_GB2312"/>
                <w:b/>
                <w:bCs/>
                <w:color w:val="000000"/>
                <w:kern w:val="0"/>
                <w:sz w:val="18"/>
                <w:szCs w:val="18"/>
              </w:rPr>
            </w:pPr>
            <w:r>
              <w:rPr>
                <w:rFonts w:eastAsia="仿宋_GB2312"/>
                <w:b/>
                <w:bCs/>
                <w:color w:val="000000"/>
                <w:kern w:val="0"/>
                <w:sz w:val="18"/>
                <w:szCs w:val="18"/>
              </w:rPr>
              <w:t>320217849000</w:t>
            </w:r>
          </w:p>
        </w:tc>
      </w:tr>
      <w:tr w14:paraId="5F22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0848CCB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25D5701">
            <w:pPr>
              <w:spacing w:line="320" w:lineRule="exact"/>
              <w:jc w:val="left"/>
              <w:rPr>
                <w:color w:val="000000"/>
                <w:spacing w:val="-6"/>
                <w:kern w:val="0"/>
                <w:sz w:val="18"/>
                <w:szCs w:val="18"/>
              </w:rPr>
            </w:pPr>
            <w:r>
              <w:rPr>
                <w:rFonts w:hint="eastAsia"/>
                <w:color w:val="000000"/>
                <w:spacing w:val="-6"/>
                <w:kern w:val="0"/>
                <w:sz w:val="18"/>
                <w:szCs w:val="18"/>
              </w:rPr>
              <w:t>对建设单位未提供与工程勘察有关的原始资料或者提供的原始资料不真实、不可靠的处罚</w:t>
            </w:r>
          </w:p>
        </w:tc>
      </w:tr>
      <w:tr w14:paraId="033D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0CD5EAD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18826600">
            <w:pPr>
              <w:spacing w:line="320" w:lineRule="exact"/>
              <w:jc w:val="left"/>
              <w:rPr>
                <w:color w:val="000000"/>
                <w:kern w:val="0"/>
                <w:sz w:val="18"/>
                <w:szCs w:val="18"/>
              </w:rPr>
            </w:pPr>
            <w:r>
              <w:rPr>
                <w:rFonts w:hint="eastAsia"/>
                <w:color w:val="000000"/>
                <w:kern w:val="0"/>
                <w:sz w:val="18"/>
                <w:szCs w:val="18"/>
              </w:rPr>
              <w:t xml:space="preserve">【规章】《建设工程勘察质量管理办法》（建设部令第115号，建设部令第163号、第53号修改）        </w:t>
            </w:r>
          </w:p>
          <w:p w14:paraId="023545FA">
            <w:pPr>
              <w:spacing w:line="320" w:lineRule="exact"/>
              <w:jc w:val="left"/>
              <w:rPr>
                <w:color w:val="000000"/>
                <w:kern w:val="0"/>
                <w:sz w:val="18"/>
                <w:szCs w:val="18"/>
              </w:rPr>
            </w:pPr>
            <w:r>
              <w:rPr>
                <w:rFonts w:hint="eastAsia"/>
                <w:color w:val="000000"/>
                <w:kern w:val="0"/>
                <w:sz w:val="18"/>
                <w:szCs w:val="18"/>
              </w:rPr>
              <w:t xml:space="preserve">       第五条第一款　建设单位应当为勘察工作提供必要的现场工作条件，保证合理的勘察工期，提供真实、可靠的原始资料。</w:t>
            </w:r>
          </w:p>
          <w:p w14:paraId="300984B2">
            <w:pPr>
              <w:spacing w:line="320" w:lineRule="exact"/>
              <w:jc w:val="left"/>
              <w:rPr>
                <w:color w:val="000000"/>
                <w:kern w:val="0"/>
                <w:sz w:val="18"/>
                <w:szCs w:val="18"/>
              </w:rPr>
            </w:pPr>
            <w:r>
              <w:rPr>
                <w:rFonts w:hint="eastAsia"/>
                <w:color w:val="000000"/>
                <w:kern w:val="0"/>
                <w:sz w:val="18"/>
                <w:szCs w:val="18"/>
              </w:rPr>
              <w:t xml:space="preserve">       第二十二条　违反本办法规定，建设单位有下列行为之一的，由工程勘察质量监督部门责令改正，处1万元以上3万元以下的罚款：</w:t>
            </w:r>
          </w:p>
          <w:p w14:paraId="2C8A4BD7">
            <w:pPr>
              <w:spacing w:line="320" w:lineRule="exact"/>
              <w:jc w:val="left"/>
              <w:rPr>
                <w:color w:val="000000"/>
                <w:kern w:val="0"/>
                <w:sz w:val="18"/>
                <w:szCs w:val="18"/>
              </w:rPr>
            </w:pPr>
            <w:r>
              <w:rPr>
                <w:rFonts w:hint="eastAsia"/>
                <w:color w:val="000000"/>
                <w:kern w:val="0"/>
                <w:sz w:val="18"/>
                <w:szCs w:val="18"/>
              </w:rPr>
              <w:t xml:space="preserve">   　（二）未提供与工程勘察有关的原始资料或者提供的原始资料不真实、不可靠；</w:t>
            </w:r>
          </w:p>
          <w:p w14:paraId="13295B89">
            <w:pPr>
              <w:spacing w:line="320" w:lineRule="exact"/>
              <w:jc w:val="left"/>
              <w:rPr>
                <w:color w:val="000000"/>
                <w:kern w:val="0"/>
                <w:sz w:val="18"/>
                <w:szCs w:val="18"/>
              </w:rPr>
            </w:pPr>
            <w:r>
              <w:rPr>
                <w:rFonts w:hint="eastAsia"/>
                <w:color w:val="000000"/>
                <w:kern w:val="0"/>
                <w:sz w:val="18"/>
                <w:szCs w:val="18"/>
              </w:rPr>
              <w:t xml:space="preserve">       第二十七条　依照本办法规定，给予建设单位、勘察企业罚款处罚的，由工程勘察质量监督部门对建设单位、勘察企业的法定代表人和其他直接责任人员处以企业罚款数额的5%以上10%以下的罚款。</w:t>
            </w:r>
          </w:p>
        </w:tc>
      </w:tr>
      <w:tr w14:paraId="2B14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EBC2F5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5446E00">
            <w:pPr>
              <w:spacing w:line="320" w:lineRule="exact"/>
              <w:jc w:val="left"/>
              <w:rPr>
                <w:color w:val="000000"/>
                <w:kern w:val="0"/>
                <w:sz w:val="18"/>
                <w:szCs w:val="18"/>
              </w:rPr>
            </w:pPr>
            <w:r>
              <w:rPr>
                <w:rFonts w:hint="eastAsia"/>
                <w:color w:val="000000"/>
                <w:kern w:val="0"/>
                <w:sz w:val="18"/>
                <w:szCs w:val="18"/>
              </w:rPr>
              <w:t>责令改正，罚款</w:t>
            </w:r>
          </w:p>
        </w:tc>
      </w:tr>
      <w:tr w14:paraId="5666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C6EC72E">
            <w:pPr>
              <w:spacing w:line="320" w:lineRule="exact"/>
              <w:jc w:val="center"/>
              <w:rPr>
                <w:color w:val="000000"/>
                <w:kern w:val="0"/>
                <w:sz w:val="18"/>
                <w:szCs w:val="18"/>
              </w:rPr>
            </w:pPr>
            <w:r>
              <w:rPr>
                <w:rFonts w:hint="eastAsia"/>
                <w:color w:val="000000"/>
                <w:kern w:val="0"/>
                <w:sz w:val="18"/>
                <w:szCs w:val="18"/>
              </w:rPr>
              <w:t>裁量基准</w:t>
            </w:r>
          </w:p>
        </w:tc>
      </w:tr>
      <w:tr w14:paraId="4791E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ABF0693">
            <w:pPr>
              <w:rPr>
                <w:color w:val="000000"/>
                <w:kern w:val="0"/>
                <w:sz w:val="18"/>
                <w:szCs w:val="18"/>
              </w:rPr>
            </w:pPr>
            <w:r>
              <w:rPr>
                <w:rFonts w:hint="eastAsia"/>
                <w:color w:val="000000"/>
                <w:kern w:val="0"/>
                <w:sz w:val="18"/>
                <w:szCs w:val="18"/>
              </w:rPr>
              <w:t>情形描述</w:t>
            </w:r>
          </w:p>
        </w:tc>
        <w:tc>
          <w:tcPr>
            <w:tcW w:w="6376" w:type="dxa"/>
            <w:vAlign w:val="center"/>
          </w:tcPr>
          <w:p w14:paraId="245BF000">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6D16ED39">
            <w:pPr>
              <w:rPr>
                <w:color w:val="000000"/>
                <w:kern w:val="0"/>
                <w:sz w:val="18"/>
                <w:szCs w:val="18"/>
              </w:rPr>
            </w:pPr>
            <w:r>
              <w:rPr>
                <w:rFonts w:hint="eastAsia"/>
                <w:color w:val="000000"/>
                <w:kern w:val="0"/>
                <w:sz w:val="18"/>
                <w:szCs w:val="18"/>
              </w:rPr>
              <w:t>裁量幅度</w:t>
            </w:r>
          </w:p>
        </w:tc>
        <w:tc>
          <w:tcPr>
            <w:tcW w:w="5614" w:type="dxa"/>
            <w:vAlign w:val="center"/>
          </w:tcPr>
          <w:p w14:paraId="604C37E2">
            <w:pPr>
              <w:rPr>
                <w:color w:val="000000"/>
                <w:kern w:val="0"/>
                <w:sz w:val="18"/>
                <w:szCs w:val="18"/>
              </w:rPr>
            </w:pPr>
            <w:r>
              <w:rPr>
                <w:rFonts w:hint="eastAsia"/>
                <w:color w:val="000000"/>
                <w:kern w:val="0"/>
                <w:sz w:val="18"/>
                <w:szCs w:val="18"/>
              </w:rPr>
              <w:t>处1万元以上2万元以下的罚款</w:t>
            </w:r>
          </w:p>
          <w:p w14:paraId="0EC16893">
            <w:pPr>
              <w:rPr>
                <w:color w:val="000000"/>
                <w:kern w:val="0"/>
                <w:sz w:val="18"/>
                <w:szCs w:val="18"/>
              </w:rPr>
            </w:pPr>
            <w:r>
              <w:rPr>
                <w:rFonts w:hint="eastAsia"/>
                <w:color w:val="000000"/>
                <w:kern w:val="0"/>
                <w:sz w:val="18"/>
                <w:szCs w:val="18"/>
              </w:rPr>
              <w:t>对个人：企业罚款数额的5%以上7%以下的罚款</w:t>
            </w:r>
          </w:p>
        </w:tc>
      </w:tr>
      <w:tr w14:paraId="269D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87D2B4A">
            <w:pPr>
              <w:spacing w:line="320" w:lineRule="exact"/>
              <w:jc w:val="left"/>
              <w:rPr>
                <w:color w:val="000000"/>
                <w:kern w:val="0"/>
                <w:sz w:val="18"/>
                <w:szCs w:val="18"/>
              </w:rPr>
            </w:pPr>
          </w:p>
        </w:tc>
        <w:tc>
          <w:tcPr>
            <w:tcW w:w="6376" w:type="dxa"/>
            <w:vAlign w:val="center"/>
          </w:tcPr>
          <w:p w14:paraId="5348FFC4">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2AF0CEEC">
            <w:pPr>
              <w:spacing w:line="320" w:lineRule="exact"/>
              <w:jc w:val="left"/>
              <w:rPr>
                <w:color w:val="000000"/>
                <w:kern w:val="0"/>
                <w:sz w:val="18"/>
                <w:szCs w:val="18"/>
              </w:rPr>
            </w:pPr>
          </w:p>
        </w:tc>
        <w:tc>
          <w:tcPr>
            <w:tcW w:w="5614" w:type="dxa"/>
            <w:vAlign w:val="center"/>
          </w:tcPr>
          <w:p w14:paraId="15459180">
            <w:pPr>
              <w:rPr>
                <w:color w:val="000000"/>
                <w:kern w:val="0"/>
                <w:sz w:val="18"/>
                <w:szCs w:val="18"/>
              </w:rPr>
            </w:pPr>
            <w:r>
              <w:rPr>
                <w:rFonts w:hint="eastAsia"/>
                <w:color w:val="000000"/>
                <w:kern w:val="0"/>
                <w:sz w:val="18"/>
                <w:szCs w:val="18"/>
              </w:rPr>
              <w:t>处2万元以上3万元以下的罚款</w:t>
            </w:r>
          </w:p>
          <w:p w14:paraId="61759B55">
            <w:pPr>
              <w:rPr>
                <w:color w:val="000000"/>
                <w:kern w:val="0"/>
                <w:sz w:val="18"/>
                <w:szCs w:val="18"/>
              </w:rPr>
            </w:pPr>
            <w:r>
              <w:rPr>
                <w:rFonts w:hint="eastAsia"/>
                <w:color w:val="000000"/>
                <w:kern w:val="0"/>
                <w:sz w:val="18"/>
                <w:szCs w:val="18"/>
              </w:rPr>
              <w:t>对个人：企业罚款数额的7%以上10%以下的罚款</w:t>
            </w:r>
          </w:p>
        </w:tc>
      </w:tr>
    </w:tbl>
    <w:p w14:paraId="3583EF27"/>
    <w:p w14:paraId="2620B0A0"/>
    <w:p w14:paraId="7B67A6AC"/>
    <w:p w14:paraId="035290C7"/>
    <w:p w14:paraId="7A186D6E"/>
    <w:p w14:paraId="73B37C99"/>
    <w:p w14:paraId="7A6F43B7"/>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61C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440598B">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BA8292E">
            <w:pPr>
              <w:spacing w:line="320" w:lineRule="exact"/>
              <w:rPr>
                <w:rFonts w:eastAsia="仿宋_GB2312"/>
                <w:b/>
                <w:bCs/>
                <w:color w:val="000000"/>
                <w:kern w:val="0"/>
                <w:sz w:val="18"/>
                <w:szCs w:val="18"/>
              </w:rPr>
            </w:pPr>
            <w:r>
              <w:rPr>
                <w:rFonts w:eastAsia="仿宋_GB2312"/>
                <w:b/>
                <w:bCs/>
                <w:color w:val="000000"/>
                <w:kern w:val="0"/>
                <w:sz w:val="18"/>
                <w:szCs w:val="18"/>
              </w:rPr>
              <w:t>320217850000</w:t>
            </w:r>
          </w:p>
        </w:tc>
      </w:tr>
      <w:tr w14:paraId="72D5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tcBorders>
              <w:bottom w:val="single" w:color="auto" w:sz="4" w:space="0"/>
            </w:tcBorders>
            <w:vAlign w:val="center"/>
          </w:tcPr>
          <w:p w14:paraId="07FE926B">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bottom w:val="single" w:color="auto" w:sz="4" w:space="0"/>
            </w:tcBorders>
            <w:vAlign w:val="center"/>
          </w:tcPr>
          <w:p w14:paraId="6961E65B">
            <w:pPr>
              <w:spacing w:line="320" w:lineRule="exact"/>
              <w:jc w:val="left"/>
              <w:rPr>
                <w:color w:val="000000"/>
                <w:spacing w:val="-6"/>
                <w:kern w:val="0"/>
                <w:sz w:val="18"/>
                <w:szCs w:val="18"/>
              </w:rPr>
            </w:pPr>
            <w:r>
              <w:rPr>
                <w:rFonts w:hint="eastAsia"/>
                <w:color w:val="000000"/>
                <w:spacing w:val="-6"/>
                <w:kern w:val="0"/>
                <w:sz w:val="18"/>
                <w:szCs w:val="18"/>
              </w:rPr>
              <w:t>对建设单位未提供必要的现场工作条件的处罚</w:t>
            </w:r>
          </w:p>
        </w:tc>
      </w:tr>
      <w:tr w14:paraId="3E35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tcBorders>
              <w:top w:val="single" w:color="auto" w:sz="4" w:space="0"/>
              <w:left w:val="single" w:color="auto" w:sz="4" w:space="0"/>
              <w:bottom w:val="single" w:color="auto" w:sz="4" w:space="0"/>
              <w:right w:val="single" w:color="auto" w:sz="4" w:space="0"/>
            </w:tcBorders>
            <w:vAlign w:val="center"/>
          </w:tcPr>
          <w:p w14:paraId="5C169600">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color="auto" w:sz="4" w:space="0"/>
              <w:left w:val="single" w:color="auto" w:sz="4" w:space="0"/>
              <w:bottom w:val="single" w:color="auto" w:sz="4" w:space="0"/>
              <w:right w:val="single" w:color="auto" w:sz="4" w:space="0"/>
            </w:tcBorders>
            <w:vAlign w:val="center"/>
          </w:tcPr>
          <w:p w14:paraId="6886B50B">
            <w:pPr>
              <w:spacing w:line="320" w:lineRule="exact"/>
              <w:jc w:val="left"/>
              <w:rPr>
                <w:color w:val="000000"/>
                <w:kern w:val="0"/>
                <w:sz w:val="18"/>
                <w:szCs w:val="18"/>
              </w:rPr>
            </w:pPr>
            <w:r>
              <w:rPr>
                <w:rFonts w:hint="eastAsia"/>
                <w:color w:val="000000"/>
                <w:kern w:val="0"/>
                <w:sz w:val="18"/>
                <w:szCs w:val="18"/>
              </w:rPr>
              <w:t>【规章】《建设工程勘察质量管理办法》（建设部令第115号，建设部令第163号、第53号修改）</w:t>
            </w:r>
          </w:p>
          <w:p w14:paraId="0D5E6033">
            <w:pPr>
              <w:spacing w:line="320" w:lineRule="exact"/>
              <w:jc w:val="left"/>
              <w:rPr>
                <w:color w:val="000000"/>
                <w:kern w:val="0"/>
                <w:sz w:val="18"/>
                <w:szCs w:val="18"/>
              </w:rPr>
            </w:pPr>
            <w:r>
              <w:rPr>
                <w:rFonts w:hint="eastAsia"/>
                <w:color w:val="000000"/>
                <w:kern w:val="0"/>
                <w:sz w:val="18"/>
                <w:szCs w:val="18"/>
              </w:rPr>
              <w:t xml:space="preserve">       第五条第一款　建设单位应当为勘察工作提供必要的现场工作条件，保证合理的勘察工期，提供真实、可靠的原始资料。</w:t>
            </w:r>
          </w:p>
          <w:p w14:paraId="6B54641A">
            <w:pPr>
              <w:spacing w:line="320" w:lineRule="exact"/>
              <w:jc w:val="left"/>
              <w:rPr>
                <w:color w:val="000000"/>
                <w:kern w:val="0"/>
                <w:sz w:val="18"/>
                <w:szCs w:val="18"/>
              </w:rPr>
            </w:pPr>
            <w:r>
              <w:rPr>
                <w:rFonts w:hint="eastAsia"/>
                <w:color w:val="000000"/>
                <w:kern w:val="0"/>
                <w:sz w:val="18"/>
                <w:szCs w:val="18"/>
              </w:rPr>
              <w:t xml:space="preserve">       第二十二条　违反本办法规定，建设单位有下列行为之一的，由工程勘察质量监督部门责令改正，处1万元以上3万元以下的罚款：</w:t>
            </w:r>
          </w:p>
          <w:p w14:paraId="3682E069">
            <w:pPr>
              <w:spacing w:line="320" w:lineRule="exact"/>
              <w:jc w:val="left"/>
              <w:rPr>
                <w:color w:val="000000"/>
                <w:kern w:val="0"/>
                <w:sz w:val="18"/>
                <w:szCs w:val="18"/>
              </w:rPr>
            </w:pPr>
            <w:r>
              <w:rPr>
                <w:rFonts w:hint="eastAsia"/>
                <w:color w:val="000000"/>
                <w:kern w:val="0"/>
                <w:sz w:val="18"/>
                <w:szCs w:val="18"/>
              </w:rPr>
              <w:t>　　（一）未提供必要的现场工作条件；</w:t>
            </w:r>
          </w:p>
          <w:p w14:paraId="0465B5B6">
            <w:pPr>
              <w:spacing w:line="320" w:lineRule="exact"/>
              <w:jc w:val="left"/>
              <w:rPr>
                <w:color w:val="000000"/>
                <w:kern w:val="0"/>
                <w:sz w:val="18"/>
                <w:szCs w:val="18"/>
              </w:rPr>
            </w:pPr>
            <w:r>
              <w:rPr>
                <w:rFonts w:hint="eastAsia"/>
                <w:color w:val="000000"/>
                <w:kern w:val="0"/>
                <w:sz w:val="18"/>
                <w:szCs w:val="18"/>
              </w:rPr>
              <w:t xml:space="preserve">      第二十七条　依照本办法规定，给予建设单位、勘察企业罚款处罚的，由工程勘察质量监督部门对建设单位、勘察企业的法定代表人和其他直接责任人员处以企业罚款数额的5%以上10%以下的罚款。</w:t>
            </w:r>
          </w:p>
        </w:tc>
      </w:tr>
      <w:tr w14:paraId="0794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tcBorders>
              <w:top w:val="single" w:color="auto" w:sz="4" w:space="0"/>
              <w:left w:val="single" w:color="auto" w:sz="4" w:space="0"/>
              <w:bottom w:val="single" w:color="auto" w:sz="4" w:space="0"/>
              <w:right w:val="single" w:color="auto" w:sz="4" w:space="0"/>
            </w:tcBorders>
            <w:vAlign w:val="center"/>
          </w:tcPr>
          <w:p w14:paraId="32D21FE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color="auto" w:sz="4" w:space="0"/>
              <w:left w:val="single" w:color="auto" w:sz="4" w:space="0"/>
              <w:bottom w:val="single" w:color="auto" w:sz="4" w:space="0"/>
              <w:right w:val="single" w:color="auto" w:sz="4" w:space="0"/>
            </w:tcBorders>
            <w:vAlign w:val="center"/>
          </w:tcPr>
          <w:p w14:paraId="77283438">
            <w:pPr>
              <w:spacing w:line="320" w:lineRule="exact"/>
              <w:jc w:val="left"/>
              <w:rPr>
                <w:color w:val="000000"/>
                <w:kern w:val="0"/>
                <w:sz w:val="18"/>
                <w:szCs w:val="18"/>
              </w:rPr>
            </w:pPr>
            <w:r>
              <w:rPr>
                <w:rFonts w:hint="eastAsia"/>
                <w:color w:val="000000"/>
                <w:kern w:val="0"/>
                <w:sz w:val="18"/>
                <w:szCs w:val="18"/>
              </w:rPr>
              <w:t>责令改正，罚款</w:t>
            </w:r>
          </w:p>
        </w:tc>
      </w:tr>
      <w:tr w14:paraId="6131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4" w:space="0"/>
              <w:bottom w:val="single" w:color="auto" w:sz="4" w:space="0"/>
              <w:right w:val="single" w:color="auto" w:sz="4" w:space="0"/>
            </w:tcBorders>
            <w:vAlign w:val="center"/>
          </w:tcPr>
          <w:p w14:paraId="6996ECF6">
            <w:pPr>
              <w:spacing w:line="320" w:lineRule="exact"/>
              <w:jc w:val="center"/>
              <w:rPr>
                <w:color w:val="000000"/>
                <w:kern w:val="0"/>
                <w:sz w:val="18"/>
                <w:szCs w:val="18"/>
              </w:rPr>
            </w:pPr>
            <w:r>
              <w:rPr>
                <w:rFonts w:hint="eastAsia"/>
                <w:color w:val="000000"/>
                <w:kern w:val="0"/>
                <w:sz w:val="18"/>
                <w:szCs w:val="18"/>
              </w:rPr>
              <w:t>裁量基准</w:t>
            </w:r>
          </w:p>
        </w:tc>
      </w:tr>
      <w:tr w14:paraId="2F4B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489E154F">
            <w:pPr>
              <w:rPr>
                <w:color w:val="000000"/>
                <w:kern w:val="0"/>
                <w:sz w:val="18"/>
                <w:szCs w:val="18"/>
              </w:rPr>
            </w:pPr>
            <w:r>
              <w:rPr>
                <w:rFonts w:hint="eastAsia"/>
                <w:color w:val="000000"/>
                <w:kern w:val="0"/>
                <w:sz w:val="18"/>
                <w:szCs w:val="18"/>
              </w:rPr>
              <w:t>情形描述</w:t>
            </w:r>
          </w:p>
        </w:tc>
        <w:tc>
          <w:tcPr>
            <w:tcW w:w="6376" w:type="dxa"/>
            <w:tcBorders>
              <w:top w:val="single" w:color="auto" w:sz="4" w:space="0"/>
              <w:left w:val="single" w:color="auto" w:sz="4" w:space="0"/>
              <w:bottom w:val="single" w:color="auto" w:sz="4" w:space="0"/>
              <w:right w:val="single" w:color="auto" w:sz="4" w:space="0"/>
            </w:tcBorders>
            <w:vAlign w:val="center"/>
          </w:tcPr>
          <w:p w14:paraId="2E38F17D">
            <w:pPr>
              <w:rPr>
                <w:color w:val="000000"/>
                <w:kern w:val="0"/>
                <w:sz w:val="18"/>
                <w:szCs w:val="18"/>
              </w:rPr>
            </w:pPr>
            <w:r>
              <w:rPr>
                <w:rFonts w:hint="eastAsia"/>
                <w:color w:val="000000"/>
                <w:kern w:val="0"/>
                <w:sz w:val="18"/>
                <w:szCs w:val="18"/>
              </w:rPr>
              <w:t>按要求改正的</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14:paraId="5451D073">
            <w:pPr>
              <w:rPr>
                <w:color w:val="000000"/>
                <w:kern w:val="0"/>
                <w:sz w:val="18"/>
                <w:szCs w:val="18"/>
              </w:rPr>
            </w:pPr>
            <w:r>
              <w:rPr>
                <w:rFonts w:hint="eastAsia"/>
                <w:color w:val="000000"/>
                <w:kern w:val="0"/>
                <w:sz w:val="18"/>
                <w:szCs w:val="18"/>
              </w:rPr>
              <w:t>裁量幅度</w:t>
            </w:r>
          </w:p>
        </w:tc>
        <w:tc>
          <w:tcPr>
            <w:tcW w:w="5614" w:type="dxa"/>
            <w:tcBorders>
              <w:top w:val="single" w:color="auto" w:sz="4" w:space="0"/>
              <w:left w:val="single" w:color="auto" w:sz="4" w:space="0"/>
              <w:bottom w:val="single" w:color="auto" w:sz="4" w:space="0"/>
              <w:right w:val="single" w:color="auto" w:sz="4" w:space="0"/>
            </w:tcBorders>
            <w:vAlign w:val="center"/>
          </w:tcPr>
          <w:p w14:paraId="3298CB84">
            <w:pPr>
              <w:rPr>
                <w:color w:val="000000"/>
                <w:kern w:val="0"/>
                <w:sz w:val="18"/>
                <w:szCs w:val="18"/>
              </w:rPr>
            </w:pPr>
            <w:r>
              <w:rPr>
                <w:rFonts w:hint="eastAsia"/>
                <w:color w:val="000000"/>
                <w:kern w:val="0"/>
                <w:sz w:val="18"/>
                <w:szCs w:val="18"/>
              </w:rPr>
              <w:t>处1万元以上2万元以下的罚款</w:t>
            </w:r>
          </w:p>
          <w:p w14:paraId="4486542A">
            <w:pPr>
              <w:rPr>
                <w:color w:val="000000"/>
                <w:kern w:val="0"/>
                <w:sz w:val="18"/>
                <w:szCs w:val="18"/>
              </w:rPr>
            </w:pPr>
            <w:r>
              <w:rPr>
                <w:rFonts w:hint="eastAsia"/>
                <w:color w:val="000000"/>
                <w:kern w:val="0"/>
                <w:sz w:val="18"/>
                <w:szCs w:val="18"/>
              </w:rPr>
              <w:t>对个人：企业罚款数额的5%以上7%以下的罚款</w:t>
            </w:r>
          </w:p>
          <w:p w14:paraId="625FA830">
            <w:pPr>
              <w:rPr>
                <w:color w:val="000000"/>
                <w:kern w:val="0"/>
                <w:sz w:val="18"/>
                <w:szCs w:val="18"/>
              </w:rPr>
            </w:pPr>
          </w:p>
        </w:tc>
      </w:tr>
      <w:tr w14:paraId="7C91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06681EC7">
            <w:pPr>
              <w:spacing w:line="320" w:lineRule="exact"/>
              <w:jc w:val="left"/>
              <w:rPr>
                <w:color w:val="000000"/>
                <w:kern w:val="0"/>
                <w:sz w:val="18"/>
                <w:szCs w:val="18"/>
              </w:rPr>
            </w:pPr>
          </w:p>
        </w:tc>
        <w:tc>
          <w:tcPr>
            <w:tcW w:w="6376" w:type="dxa"/>
            <w:tcBorders>
              <w:top w:val="single" w:color="auto" w:sz="4" w:space="0"/>
              <w:left w:val="single" w:color="auto" w:sz="4" w:space="0"/>
              <w:bottom w:val="single" w:color="auto" w:sz="4" w:space="0"/>
              <w:right w:val="single" w:color="auto" w:sz="4" w:space="0"/>
            </w:tcBorders>
            <w:vAlign w:val="center"/>
          </w:tcPr>
          <w:p w14:paraId="11D85967">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tcBorders>
              <w:top w:val="single" w:color="auto" w:sz="4" w:space="0"/>
              <w:left w:val="single" w:color="auto" w:sz="4" w:space="0"/>
              <w:bottom w:val="single" w:color="auto" w:sz="4" w:space="0"/>
              <w:right w:val="single" w:color="auto" w:sz="4" w:space="0"/>
            </w:tcBorders>
            <w:vAlign w:val="center"/>
          </w:tcPr>
          <w:p w14:paraId="596513CB">
            <w:pPr>
              <w:spacing w:line="320" w:lineRule="exact"/>
              <w:jc w:val="left"/>
              <w:rPr>
                <w:color w:val="000000"/>
                <w:kern w:val="0"/>
                <w:sz w:val="18"/>
                <w:szCs w:val="18"/>
              </w:rPr>
            </w:pPr>
          </w:p>
        </w:tc>
        <w:tc>
          <w:tcPr>
            <w:tcW w:w="5614" w:type="dxa"/>
            <w:tcBorders>
              <w:top w:val="single" w:color="auto" w:sz="4" w:space="0"/>
              <w:left w:val="single" w:color="auto" w:sz="4" w:space="0"/>
              <w:bottom w:val="single" w:color="auto" w:sz="4" w:space="0"/>
              <w:right w:val="single" w:color="auto" w:sz="4" w:space="0"/>
            </w:tcBorders>
            <w:vAlign w:val="center"/>
          </w:tcPr>
          <w:p w14:paraId="75F6BCF3">
            <w:pPr>
              <w:rPr>
                <w:color w:val="000000"/>
                <w:kern w:val="0"/>
                <w:sz w:val="18"/>
                <w:szCs w:val="18"/>
              </w:rPr>
            </w:pPr>
            <w:r>
              <w:rPr>
                <w:rFonts w:hint="eastAsia"/>
                <w:color w:val="000000"/>
                <w:kern w:val="0"/>
                <w:sz w:val="18"/>
                <w:szCs w:val="18"/>
              </w:rPr>
              <w:t>处2万元以上3万元以下的罚款</w:t>
            </w:r>
          </w:p>
          <w:p w14:paraId="5CF01FEE">
            <w:pPr>
              <w:rPr>
                <w:color w:val="000000"/>
                <w:kern w:val="0"/>
                <w:sz w:val="18"/>
                <w:szCs w:val="18"/>
              </w:rPr>
            </w:pPr>
            <w:r>
              <w:rPr>
                <w:rFonts w:hint="eastAsia"/>
                <w:color w:val="000000"/>
                <w:kern w:val="0"/>
                <w:sz w:val="18"/>
                <w:szCs w:val="18"/>
              </w:rPr>
              <w:t>对个人：企业罚款数额的7%以上10%以下的罚款</w:t>
            </w:r>
          </w:p>
          <w:p w14:paraId="6D660A62">
            <w:pPr>
              <w:rPr>
                <w:color w:val="000000"/>
                <w:kern w:val="0"/>
                <w:sz w:val="18"/>
                <w:szCs w:val="18"/>
              </w:rPr>
            </w:pPr>
          </w:p>
        </w:tc>
      </w:tr>
    </w:tbl>
    <w:p w14:paraId="63BE5A57"/>
    <w:p w14:paraId="0CF53ACF"/>
    <w:p w14:paraId="49CA5A3D"/>
    <w:p w14:paraId="581B1CDC"/>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07B3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1D0DF2E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ECBF220">
            <w:pPr>
              <w:spacing w:line="320" w:lineRule="exact"/>
              <w:rPr>
                <w:rFonts w:eastAsia="仿宋_GB2312"/>
                <w:b/>
                <w:bCs/>
                <w:color w:val="000000"/>
                <w:kern w:val="0"/>
                <w:sz w:val="18"/>
                <w:szCs w:val="18"/>
              </w:rPr>
            </w:pPr>
            <w:r>
              <w:rPr>
                <w:rFonts w:eastAsia="仿宋_GB2312"/>
                <w:b/>
                <w:bCs/>
                <w:color w:val="000000"/>
                <w:kern w:val="0"/>
                <w:sz w:val="18"/>
                <w:szCs w:val="18"/>
              </w:rPr>
              <w:t>320217851000</w:t>
            </w:r>
          </w:p>
        </w:tc>
      </w:tr>
      <w:tr w14:paraId="2F30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25A7D44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40837636">
            <w:pPr>
              <w:spacing w:line="320" w:lineRule="exact"/>
              <w:jc w:val="left"/>
              <w:rPr>
                <w:color w:val="000000"/>
                <w:spacing w:val="-6"/>
                <w:kern w:val="0"/>
                <w:sz w:val="18"/>
                <w:szCs w:val="18"/>
              </w:rPr>
            </w:pPr>
            <w:r>
              <w:rPr>
                <w:rFonts w:hint="eastAsia"/>
                <w:color w:val="000000"/>
                <w:spacing w:val="-6"/>
                <w:kern w:val="0"/>
                <w:sz w:val="18"/>
                <w:szCs w:val="18"/>
              </w:rPr>
              <w:t>对擅自变动、损坏或者拆除建设工程抗震构件、隔震沟、隔震缝、隔震减震装置及隔震标识的处罚</w:t>
            </w:r>
          </w:p>
        </w:tc>
      </w:tr>
      <w:tr w14:paraId="72C45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C32BEE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D89E57C">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7FAE8E91">
            <w:pPr>
              <w:spacing w:line="320" w:lineRule="exact"/>
              <w:jc w:val="left"/>
              <w:rPr>
                <w:color w:val="000000"/>
                <w:kern w:val="0"/>
                <w:sz w:val="18"/>
                <w:szCs w:val="18"/>
              </w:rPr>
            </w:pPr>
            <w:r>
              <w:rPr>
                <w:rFonts w:hint="eastAsia"/>
                <w:color w:val="000000"/>
                <w:kern w:val="0"/>
                <w:sz w:val="18"/>
                <w:szCs w:val="18"/>
              </w:rPr>
              <w:t xml:space="preserve">          第二十三条第二款  任何单位和个人不得擅自变动、损坏或者拆除建设工程抗震构件、隔震沟、隔震缝、隔震减震装置及隔震标识。</w:t>
            </w:r>
          </w:p>
          <w:p w14:paraId="296B5443">
            <w:pPr>
              <w:spacing w:line="320" w:lineRule="exact"/>
              <w:jc w:val="left"/>
              <w:rPr>
                <w:color w:val="000000"/>
                <w:kern w:val="0"/>
                <w:sz w:val="18"/>
                <w:szCs w:val="18"/>
              </w:rPr>
            </w:pPr>
            <w:r>
              <w:rPr>
                <w:rFonts w:hint="eastAsia"/>
                <w:color w:val="000000"/>
                <w:kern w:val="0"/>
                <w:sz w:val="18"/>
                <w:szCs w:val="18"/>
              </w:rPr>
              <w:t xml:space="preserve">         第四十六条　违反本条例规定，擅自变动、损坏或者拆除建设工程抗震构件、隔震沟、隔震缝、隔震减震装置及隔震标识的，责令停止违法行为，恢复原状或者采取其他补救措施，对个人处5万元以上10万元以下的罚款，对单位处10万元以上30万元以下的罚款；造成损失的，依法承担赔偿责任。</w:t>
            </w:r>
          </w:p>
          <w:p w14:paraId="40CCAC82">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36BF0663">
            <w:pPr>
              <w:spacing w:line="32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34F6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A7CBAD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2C92023">
            <w:pPr>
              <w:spacing w:line="320" w:lineRule="exact"/>
              <w:jc w:val="left"/>
              <w:rPr>
                <w:color w:val="000000"/>
                <w:kern w:val="0"/>
                <w:sz w:val="18"/>
                <w:szCs w:val="18"/>
              </w:rPr>
            </w:pPr>
            <w:r>
              <w:rPr>
                <w:rFonts w:hint="eastAsia"/>
                <w:color w:val="000000"/>
                <w:kern w:val="0"/>
                <w:sz w:val="18"/>
                <w:szCs w:val="18"/>
              </w:rPr>
              <w:t>罚款</w:t>
            </w:r>
          </w:p>
        </w:tc>
      </w:tr>
      <w:tr w14:paraId="33C8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18BC7A3">
            <w:pPr>
              <w:spacing w:line="320" w:lineRule="exact"/>
              <w:jc w:val="center"/>
              <w:rPr>
                <w:color w:val="000000"/>
                <w:kern w:val="0"/>
                <w:sz w:val="18"/>
                <w:szCs w:val="18"/>
              </w:rPr>
            </w:pPr>
            <w:r>
              <w:rPr>
                <w:rFonts w:hint="eastAsia"/>
                <w:color w:val="000000"/>
                <w:kern w:val="0"/>
                <w:sz w:val="18"/>
                <w:szCs w:val="18"/>
              </w:rPr>
              <w:t>裁量基准</w:t>
            </w:r>
          </w:p>
        </w:tc>
      </w:tr>
      <w:tr w14:paraId="6DF3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92EDF25">
            <w:pPr>
              <w:rPr>
                <w:color w:val="000000"/>
                <w:kern w:val="0"/>
                <w:sz w:val="18"/>
                <w:szCs w:val="18"/>
              </w:rPr>
            </w:pPr>
            <w:r>
              <w:rPr>
                <w:rFonts w:hint="eastAsia"/>
                <w:color w:val="000000"/>
                <w:kern w:val="0"/>
                <w:sz w:val="18"/>
                <w:szCs w:val="18"/>
              </w:rPr>
              <w:t>情形描述</w:t>
            </w:r>
          </w:p>
        </w:tc>
        <w:tc>
          <w:tcPr>
            <w:tcW w:w="6376" w:type="dxa"/>
            <w:vAlign w:val="center"/>
          </w:tcPr>
          <w:p w14:paraId="58C53318">
            <w:pPr>
              <w:rPr>
                <w:color w:val="000000"/>
                <w:kern w:val="0"/>
                <w:sz w:val="18"/>
                <w:szCs w:val="18"/>
              </w:rPr>
            </w:pPr>
            <w:r>
              <w:rPr>
                <w:rFonts w:hint="eastAsia"/>
                <w:color w:val="000000"/>
                <w:kern w:val="0"/>
                <w:sz w:val="18"/>
                <w:szCs w:val="18"/>
              </w:rPr>
              <w:t>未造成不良影响的</w:t>
            </w:r>
          </w:p>
        </w:tc>
        <w:tc>
          <w:tcPr>
            <w:tcW w:w="1016" w:type="dxa"/>
            <w:vMerge w:val="restart"/>
            <w:vAlign w:val="center"/>
          </w:tcPr>
          <w:p w14:paraId="2F9659AC">
            <w:pPr>
              <w:rPr>
                <w:color w:val="000000"/>
                <w:kern w:val="0"/>
                <w:sz w:val="18"/>
                <w:szCs w:val="18"/>
              </w:rPr>
            </w:pPr>
            <w:r>
              <w:rPr>
                <w:rFonts w:hint="eastAsia"/>
                <w:color w:val="000000"/>
                <w:kern w:val="0"/>
                <w:sz w:val="18"/>
                <w:szCs w:val="18"/>
              </w:rPr>
              <w:t>裁量幅度</w:t>
            </w:r>
          </w:p>
        </w:tc>
        <w:tc>
          <w:tcPr>
            <w:tcW w:w="5614" w:type="dxa"/>
            <w:vAlign w:val="center"/>
          </w:tcPr>
          <w:p w14:paraId="59C3B01E">
            <w:pPr>
              <w:spacing w:line="320" w:lineRule="exact"/>
              <w:jc w:val="left"/>
              <w:rPr>
                <w:color w:val="000000"/>
                <w:kern w:val="0"/>
                <w:sz w:val="18"/>
                <w:szCs w:val="18"/>
              </w:rPr>
            </w:pPr>
            <w:r>
              <w:rPr>
                <w:rFonts w:hint="eastAsia"/>
                <w:color w:val="000000"/>
                <w:kern w:val="0"/>
                <w:sz w:val="18"/>
                <w:szCs w:val="18"/>
              </w:rPr>
              <w:t>对个人处5万元以上7万元以下的罚款，对单位处10万元以上20万元以下的罚款</w:t>
            </w:r>
          </w:p>
          <w:p w14:paraId="62751368">
            <w:pPr>
              <w:spacing w:line="320" w:lineRule="exact"/>
              <w:jc w:val="left"/>
              <w:rPr>
                <w:color w:val="000000"/>
                <w:kern w:val="0"/>
                <w:sz w:val="18"/>
                <w:szCs w:val="18"/>
              </w:rPr>
            </w:pPr>
            <w:r>
              <w:rPr>
                <w:rFonts w:hint="eastAsia"/>
                <w:color w:val="000000"/>
                <w:kern w:val="0"/>
                <w:sz w:val="18"/>
                <w:szCs w:val="18"/>
              </w:rPr>
              <w:t>对直接负责的主管人员和其他直接责任人员处单位罚款数额5%以上7%以下的罚款</w:t>
            </w:r>
          </w:p>
        </w:tc>
      </w:tr>
      <w:tr w14:paraId="6CB8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6533719">
            <w:pPr>
              <w:spacing w:line="320" w:lineRule="exact"/>
              <w:jc w:val="left"/>
              <w:rPr>
                <w:color w:val="000000"/>
                <w:kern w:val="0"/>
                <w:sz w:val="18"/>
                <w:szCs w:val="18"/>
              </w:rPr>
            </w:pPr>
          </w:p>
        </w:tc>
        <w:tc>
          <w:tcPr>
            <w:tcW w:w="6376" w:type="dxa"/>
            <w:vAlign w:val="center"/>
          </w:tcPr>
          <w:p w14:paraId="49CBD78D">
            <w:pPr>
              <w:spacing w:line="320" w:lineRule="exact"/>
              <w:jc w:val="left"/>
              <w:rPr>
                <w:color w:val="000000"/>
                <w:kern w:val="0"/>
                <w:sz w:val="18"/>
                <w:szCs w:val="18"/>
              </w:rPr>
            </w:pPr>
            <w:r>
              <w:rPr>
                <w:rFonts w:hint="eastAsia"/>
                <w:color w:val="000000"/>
                <w:kern w:val="0"/>
                <w:sz w:val="18"/>
                <w:szCs w:val="18"/>
              </w:rPr>
              <w:t>造成不良影响的</w:t>
            </w:r>
          </w:p>
        </w:tc>
        <w:tc>
          <w:tcPr>
            <w:tcW w:w="1016" w:type="dxa"/>
            <w:vMerge w:val="continue"/>
            <w:vAlign w:val="center"/>
          </w:tcPr>
          <w:p w14:paraId="06567B8B">
            <w:pPr>
              <w:spacing w:line="320" w:lineRule="exact"/>
              <w:jc w:val="left"/>
              <w:rPr>
                <w:color w:val="000000"/>
                <w:kern w:val="0"/>
                <w:sz w:val="18"/>
                <w:szCs w:val="18"/>
              </w:rPr>
            </w:pPr>
          </w:p>
        </w:tc>
        <w:tc>
          <w:tcPr>
            <w:tcW w:w="5614" w:type="dxa"/>
            <w:vAlign w:val="center"/>
          </w:tcPr>
          <w:p w14:paraId="12719F0C">
            <w:pPr>
              <w:spacing w:line="320" w:lineRule="exact"/>
              <w:jc w:val="left"/>
              <w:rPr>
                <w:color w:val="000000"/>
                <w:kern w:val="0"/>
                <w:sz w:val="18"/>
                <w:szCs w:val="18"/>
              </w:rPr>
            </w:pPr>
            <w:r>
              <w:rPr>
                <w:rFonts w:hint="eastAsia"/>
                <w:color w:val="000000"/>
                <w:kern w:val="0"/>
                <w:sz w:val="18"/>
                <w:szCs w:val="18"/>
              </w:rPr>
              <w:t>对个人处7万元以上10万元以下的罚款，对单位处20万元以上30万元以下的罚款</w:t>
            </w:r>
          </w:p>
          <w:p w14:paraId="180ED5CE">
            <w:pPr>
              <w:spacing w:line="320" w:lineRule="exact"/>
              <w:jc w:val="left"/>
              <w:rPr>
                <w:color w:val="000000"/>
                <w:kern w:val="0"/>
                <w:sz w:val="18"/>
                <w:szCs w:val="18"/>
              </w:rPr>
            </w:pPr>
            <w:r>
              <w:rPr>
                <w:rFonts w:hint="eastAsia"/>
                <w:color w:val="000000"/>
                <w:kern w:val="0"/>
                <w:sz w:val="18"/>
                <w:szCs w:val="18"/>
              </w:rPr>
              <w:t>对其直接负责的主管人员和其他直接责任人员处单位罚款数额7%以上10%以下的罚款</w:t>
            </w:r>
          </w:p>
        </w:tc>
      </w:tr>
    </w:tbl>
    <w:p w14:paraId="00A5ABED"/>
    <w:p w14:paraId="0933631F"/>
    <w:p w14:paraId="3CF3CBAC"/>
    <w:p w14:paraId="5EAD2559"/>
    <w:p w14:paraId="4082BEC1"/>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0A062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62E4ABD">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243D9DC">
            <w:pPr>
              <w:spacing w:line="320" w:lineRule="exact"/>
              <w:rPr>
                <w:rFonts w:eastAsia="仿宋_GB2312"/>
                <w:b/>
                <w:bCs/>
                <w:color w:val="000000"/>
                <w:kern w:val="0"/>
                <w:sz w:val="18"/>
                <w:szCs w:val="18"/>
              </w:rPr>
            </w:pPr>
            <w:r>
              <w:rPr>
                <w:rFonts w:eastAsia="仿宋_GB2312"/>
                <w:b/>
                <w:bCs/>
                <w:color w:val="000000"/>
                <w:kern w:val="0"/>
                <w:sz w:val="18"/>
                <w:szCs w:val="18"/>
              </w:rPr>
              <w:t>320217852000</w:t>
            </w:r>
          </w:p>
        </w:tc>
      </w:tr>
      <w:tr w14:paraId="33D9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B38C04C">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0F2E453E">
            <w:pPr>
              <w:spacing w:line="320" w:lineRule="exact"/>
              <w:jc w:val="left"/>
              <w:rPr>
                <w:color w:val="000000"/>
                <w:spacing w:val="-6"/>
                <w:kern w:val="0"/>
                <w:sz w:val="18"/>
                <w:szCs w:val="18"/>
              </w:rPr>
            </w:pPr>
            <w:r>
              <w:rPr>
                <w:rFonts w:hint="eastAsia"/>
                <w:color w:val="000000"/>
                <w:spacing w:val="-6"/>
                <w:kern w:val="0"/>
                <w:sz w:val="18"/>
                <w:szCs w:val="18"/>
              </w:rPr>
              <w:t>对抗震性能鉴定机构出具虚假鉴定结果的处罚</w:t>
            </w:r>
          </w:p>
        </w:tc>
      </w:tr>
      <w:tr w14:paraId="02DB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5DDB2CF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6DE2AF3">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3C34CAE0">
            <w:pPr>
              <w:spacing w:line="320" w:lineRule="exact"/>
              <w:jc w:val="left"/>
              <w:rPr>
                <w:color w:val="000000"/>
                <w:kern w:val="0"/>
                <w:sz w:val="18"/>
                <w:szCs w:val="18"/>
              </w:rPr>
            </w:pPr>
            <w:r>
              <w:rPr>
                <w:rFonts w:hint="eastAsia"/>
                <w:color w:val="000000"/>
                <w:kern w:val="0"/>
                <w:sz w:val="18"/>
                <w:szCs w:val="18"/>
              </w:rPr>
              <w:t xml:space="preserve">      第二十条　抗震性能鉴定结果应当对建设工程是否存在严重抗震安全隐患以及是否需要进行抗震加固作出判定。</w:t>
            </w:r>
          </w:p>
          <w:p w14:paraId="71014CB3">
            <w:pPr>
              <w:spacing w:line="320" w:lineRule="exact"/>
              <w:jc w:val="left"/>
              <w:rPr>
                <w:color w:val="000000"/>
                <w:kern w:val="0"/>
                <w:sz w:val="18"/>
                <w:szCs w:val="18"/>
              </w:rPr>
            </w:pPr>
            <w:r>
              <w:rPr>
                <w:rFonts w:hint="eastAsia"/>
                <w:color w:val="000000"/>
                <w:kern w:val="0"/>
                <w:sz w:val="18"/>
                <w:szCs w:val="18"/>
              </w:rPr>
              <w:t xml:space="preserve">      抗震性能鉴定结果应当真实、客观、准确。</w:t>
            </w:r>
          </w:p>
          <w:p w14:paraId="31A6A66F">
            <w:pPr>
              <w:spacing w:line="320" w:lineRule="exact"/>
              <w:jc w:val="left"/>
              <w:rPr>
                <w:color w:val="000000"/>
                <w:kern w:val="0"/>
                <w:sz w:val="18"/>
                <w:szCs w:val="18"/>
              </w:rPr>
            </w:pPr>
            <w:r>
              <w:rPr>
                <w:rFonts w:hint="eastAsia"/>
                <w:color w:val="000000"/>
                <w:kern w:val="0"/>
                <w:sz w:val="18"/>
                <w:szCs w:val="18"/>
              </w:rPr>
              <w:t xml:space="preserve">      第四十五条第二款 违反本条例规定，抗震性能鉴定机构出具虚假鉴定结果的，责令改正，处10万元以上30万元以下的罚款；情节严重的，责令停业整顿，并处30万元以上50万元以下的罚款，吊销负有直接责任的注册执业人员的执业资格证书，其直接负责的主管人员和其他直接责任人员终身禁止从事抗震性能鉴定业务；造成损失的，依法承担赔偿责任。</w:t>
            </w:r>
          </w:p>
          <w:p w14:paraId="7C47EE41">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2FEADB6A">
            <w:pPr>
              <w:spacing w:line="32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3723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2B42510">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D032166">
            <w:pPr>
              <w:spacing w:line="320" w:lineRule="exact"/>
              <w:jc w:val="left"/>
              <w:rPr>
                <w:color w:val="000000"/>
                <w:kern w:val="0"/>
                <w:sz w:val="18"/>
                <w:szCs w:val="18"/>
              </w:rPr>
            </w:pPr>
            <w:r>
              <w:rPr>
                <w:rFonts w:hint="eastAsia"/>
                <w:color w:val="000000"/>
                <w:kern w:val="0"/>
                <w:sz w:val="18"/>
                <w:szCs w:val="18"/>
              </w:rPr>
              <w:t>责令改正，罚款，责令停业整顿，吊销执业资格证书</w:t>
            </w:r>
          </w:p>
        </w:tc>
      </w:tr>
      <w:tr w14:paraId="7837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3E94101">
            <w:pPr>
              <w:spacing w:line="320" w:lineRule="exact"/>
              <w:jc w:val="center"/>
              <w:rPr>
                <w:color w:val="000000"/>
                <w:kern w:val="0"/>
                <w:sz w:val="18"/>
                <w:szCs w:val="18"/>
              </w:rPr>
            </w:pPr>
            <w:r>
              <w:rPr>
                <w:rFonts w:hint="eastAsia"/>
                <w:color w:val="000000"/>
                <w:kern w:val="0"/>
                <w:sz w:val="18"/>
                <w:szCs w:val="18"/>
              </w:rPr>
              <w:t>裁量基准</w:t>
            </w:r>
          </w:p>
        </w:tc>
      </w:tr>
      <w:tr w14:paraId="6007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67208EB6">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14:paraId="77C82609">
            <w:pPr>
              <w:spacing w:line="280" w:lineRule="exact"/>
              <w:rPr>
                <w:color w:val="000000"/>
                <w:kern w:val="0"/>
                <w:sz w:val="18"/>
                <w:szCs w:val="18"/>
              </w:rPr>
            </w:pPr>
            <w:r>
              <w:rPr>
                <w:rFonts w:hint="eastAsia"/>
                <w:color w:val="000000"/>
                <w:kern w:val="0"/>
                <w:sz w:val="18"/>
                <w:szCs w:val="18"/>
              </w:rPr>
              <w:t>按要求改正</w:t>
            </w:r>
          </w:p>
        </w:tc>
        <w:tc>
          <w:tcPr>
            <w:tcW w:w="1016" w:type="dxa"/>
            <w:vMerge w:val="restart"/>
            <w:vAlign w:val="center"/>
          </w:tcPr>
          <w:p w14:paraId="7BEA8141">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14:paraId="25BDBA20">
            <w:pPr>
              <w:spacing w:line="280" w:lineRule="exact"/>
              <w:rPr>
                <w:color w:val="000000"/>
                <w:kern w:val="0"/>
                <w:sz w:val="18"/>
                <w:szCs w:val="18"/>
              </w:rPr>
            </w:pPr>
            <w:r>
              <w:rPr>
                <w:rFonts w:hint="eastAsia"/>
                <w:color w:val="000000"/>
                <w:kern w:val="0"/>
                <w:sz w:val="18"/>
                <w:szCs w:val="18"/>
              </w:rPr>
              <w:t>处10万元以上20万元以下的罚款</w:t>
            </w:r>
          </w:p>
          <w:p w14:paraId="14288E15">
            <w:pPr>
              <w:spacing w:line="280" w:lineRule="exact"/>
              <w:rPr>
                <w:color w:val="000000"/>
                <w:kern w:val="0"/>
                <w:sz w:val="18"/>
                <w:szCs w:val="18"/>
              </w:rPr>
            </w:pPr>
            <w:r>
              <w:rPr>
                <w:rFonts w:hint="eastAsia"/>
                <w:color w:val="000000"/>
                <w:kern w:val="0"/>
                <w:sz w:val="18"/>
                <w:szCs w:val="18"/>
              </w:rPr>
              <w:t>对直接负责的主管人员和其他直接责任人员处单位罚款数额5%以上6%以下的罚款。</w:t>
            </w:r>
          </w:p>
        </w:tc>
      </w:tr>
      <w:tr w14:paraId="090A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CE84458">
            <w:pPr>
              <w:spacing w:line="280" w:lineRule="exact"/>
              <w:jc w:val="left"/>
              <w:rPr>
                <w:color w:val="000000"/>
                <w:kern w:val="0"/>
                <w:sz w:val="18"/>
                <w:szCs w:val="18"/>
              </w:rPr>
            </w:pPr>
          </w:p>
        </w:tc>
        <w:tc>
          <w:tcPr>
            <w:tcW w:w="6376" w:type="dxa"/>
            <w:vAlign w:val="center"/>
          </w:tcPr>
          <w:p w14:paraId="27009DEB">
            <w:pPr>
              <w:spacing w:line="280" w:lineRule="exact"/>
              <w:jc w:val="left"/>
              <w:rPr>
                <w:color w:val="000000"/>
                <w:kern w:val="0"/>
                <w:sz w:val="18"/>
                <w:szCs w:val="18"/>
              </w:rPr>
            </w:pPr>
            <w:r>
              <w:rPr>
                <w:rFonts w:hint="eastAsia"/>
                <w:color w:val="000000"/>
                <w:kern w:val="0"/>
                <w:sz w:val="18"/>
                <w:szCs w:val="18"/>
              </w:rPr>
              <w:t>未按照要求改正</w:t>
            </w:r>
          </w:p>
        </w:tc>
        <w:tc>
          <w:tcPr>
            <w:tcW w:w="1016" w:type="dxa"/>
            <w:vMerge w:val="continue"/>
            <w:vAlign w:val="center"/>
          </w:tcPr>
          <w:p w14:paraId="6287FCF1">
            <w:pPr>
              <w:spacing w:line="280" w:lineRule="exact"/>
              <w:jc w:val="left"/>
              <w:rPr>
                <w:color w:val="000000"/>
                <w:kern w:val="0"/>
                <w:sz w:val="18"/>
                <w:szCs w:val="18"/>
              </w:rPr>
            </w:pPr>
          </w:p>
        </w:tc>
        <w:tc>
          <w:tcPr>
            <w:tcW w:w="5614" w:type="dxa"/>
            <w:vAlign w:val="center"/>
          </w:tcPr>
          <w:p w14:paraId="0783412E">
            <w:pPr>
              <w:spacing w:line="280" w:lineRule="exact"/>
              <w:rPr>
                <w:color w:val="000000"/>
                <w:kern w:val="0"/>
                <w:sz w:val="18"/>
                <w:szCs w:val="18"/>
              </w:rPr>
            </w:pPr>
            <w:r>
              <w:rPr>
                <w:rFonts w:hint="eastAsia"/>
                <w:color w:val="000000"/>
                <w:kern w:val="0"/>
                <w:sz w:val="18"/>
                <w:szCs w:val="18"/>
              </w:rPr>
              <w:t>处20万元以上30万元以下的罚款</w:t>
            </w:r>
          </w:p>
          <w:p w14:paraId="2D3A936E">
            <w:pPr>
              <w:spacing w:line="280" w:lineRule="exact"/>
              <w:rPr>
                <w:color w:val="000000"/>
                <w:kern w:val="0"/>
                <w:sz w:val="18"/>
                <w:szCs w:val="18"/>
              </w:rPr>
            </w:pPr>
            <w:r>
              <w:rPr>
                <w:rFonts w:hint="eastAsia"/>
                <w:color w:val="000000"/>
                <w:kern w:val="0"/>
                <w:sz w:val="18"/>
                <w:szCs w:val="18"/>
              </w:rPr>
              <w:t>对直接负责的主管人员和其他直接责任人员处单位罚款数额6%以上7%以下的罚款。</w:t>
            </w:r>
          </w:p>
        </w:tc>
      </w:tr>
      <w:tr w14:paraId="44CD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2F118A87">
            <w:pPr>
              <w:spacing w:line="280" w:lineRule="exact"/>
              <w:jc w:val="left"/>
              <w:rPr>
                <w:color w:val="000000"/>
                <w:kern w:val="0"/>
                <w:sz w:val="18"/>
                <w:szCs w:val="18"/>
              </w:rPr>
            </w:pPr>
          </w:p>
        </w:tc>
        <w:tc>
          <w:tcPr>
            <w:tcW w:w="6376" w:type="dxa"/>
            <w:vAlign w:val="center"/>
          </w:tcPr>
          <w:p w14:paraId="21D623A4">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continue"/>
            <w:vAlign w:val="center"/>
          </w:tcPr>
          <w:p w14:paraId="1B92FE8F">
            <w:pPr>
              <w:spacing w:line="280" w:lineRule="exact"/>
              <w:jc w:val="left"/>
              <w:rPr>
                <w:color w:val="000000"/>
                <w:kern w:val="0"/>
                <w:sz w:val="18"/>
                <w:szCs w:val="18"/>
              </w:rPr>
            </w:pPr>
          </w:p>
        </w:tc>
        <w:tc>
          <w:tcPr>
            <w:tcW w:w="5614" w:type="dxa"/>
            <w:vAlign w:val="center"/>
          </w:tcPr>
          <w:p w14:paraId="459EE049">
            <w:pPr>
              <w:spacing w:line="280" w:lineRule="exact"/>
              <w:rPr>
                <w:color w:val="000000"/>
                <w:kern w:val="0"/>
                <w:sz w:val="18"/>
                <w:szCs w:val="18"/>
              </w:rPr>
            </w:pPr>
            <w:r>
              <w:rPr>
                <w:rFonts w:hint="eastAsia"/>
                <w:color w:val="000000"/>
                <w:kern w:val="0"/>
                <w:sz w:val="18"/>
                <w:szCs w:val="18"/>
              </w:rPr>
              <w:t>处30万元以上40万元以下的罚款</w:t>
            </w:r>
          </w:p>
          <w:p w14:paraId="5D1749B2">
            <w:pPr>
              <w:spacing w:line="280" w:lineRule="exact"/>
              <w:rPr>
                <w:color w:val="000000"/>
                <w:kern w:val="0"/>
                <w:sz w:val="18"/>
                <w:szCs w:val="18"/>
              </w:rPr>
            </w:pPr>
            <w:r>
              <w:rPr>
                <w:rFonts w:hint="eastAsia"/>
                <w:color w:val="000000"/>
                <w:kern w:val="0"/>
                <w:sz w:val="18"/>
                <w:szCs w:val="18"/>
              </w:rPr>
              <w:t>对直接负责的主管人员和其他直接责任人员处单位罚款数额7%以上9%以下的罚款。</w:t>
            </w:r>
          </w:p>
        </w:tc>
      </w:tr>
      <w:tr w14:paraId="62F0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B0AC156">
            <w:pPr>
              <w:spacing w:line="280" w:lineRule="exact"/>
              <w:jc w:val="left"/>
              <w:rPr>
                <w:color w:val="000000"/>
                <w:kern w:val="0"/>
                <w:sz w:val="18"/>
                <w:szCs w:val="18"/>
              </w:rPr>
            </w:pPr>
          </w:p>
        </w:tc>
        <w:tc>
          <w:tcPr>
            <w:tcW w:w="6376" w:type="dxa"/>
            <w:vAlign w:val="center"/>
          </w:tcPr>
          <w:p w14:paraId="37B7E629">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continue"/>
            <w:vAlign w:val="center"/>
          </w:tcPr>
          <w:p w14:paraId="1B8CF5C0">
            <w:pPr>
              <w:spacing w:line="280" w:lineRule="exact"/>
              <w:jc w:val="left"/>
              <w:rPr>
                <w:color w:val="000000"/>
                <w:kern w:val="0"/>
                <w:sz w:val="18"/>
                <w:szCs w:val="18"/>
              </w:rPr>
            </w:pPr>
          </w:p>
        </w:tc>
        <w:tc>
          <w:tcPr>
            <w:tcW w:w="5614" w:type="dxa"/>
            <w:vAlign w:val="center"/>
          </w:tcPr>
          <w:p w14:paraId="3B2C8CC1">
            <w:pPr>
              <w:spacing w:line="280" w:lineRule="exact"/>
              <w:rPr>
                <w:color w:val="000000"/>
                <w:kern w:val="0"/>
                <w:sz w:val="18"/>
                <w:szCs w:val="18"/>
              </w:rPr>
            </w:pPr>
            <w:r>
              <w:rPr>
                <w:rFonts w:hint="eastAsia"/>
                <w:color w:val="000000"/>
                <w:kern w:val="0"/>
                <w:sz w:val="18"/>
                <w:szCs w:val="18"/>
              </w:rPr>
              <w:t>处40万元以上50万元以下的罚款</w:t>
            </w:r>
          </w:p>
          <w:p w14:paraId="5D552BCD">
            <w:pPr>
              <w:spacing w:line="280" w:lineRule="exact"/>
              <w:rPr>
                <w:color w:val="000000"/>
                <w:kern w:val="0"/>
                <w:sz w:val="18"/>
                <w:szCs w:val="18"/>
              </w:rPr>
            </w:pPr>
            <w:r>
              <w:rPr>
                <w:rFonts w:hint="eastAsia"/>
                <w:color w:val="000000"/>
                <w:kern w:val="0"/>
                <w:sz w:val="18"/>
                <w:szCs w:val="18"/>
              </w:rPr>
              <w:t>对直接负责的主管人员和其他直接责任人员处单位罚款数额9%以上10%以下的罚款。</w:t>
            </w:r>
          </w:p>
        </w:tc>
      </w:tr>
    </w:tbl>
    <w:p w14:paraId="0A1E738C"/>
    <w:p w14:paraId="02C44C6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E03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E04DA0F">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4B35C4F">
            <w:pPr>
              <w:spacing w:line="320" w:lineRule="exact"/>
              <w:rPr>
                <w:rFonts w:eastAsia="仿宋_GB2312"/>
                <w:b/>
                <w:bCs/>
                <w:color w:val="000000"/>
                <w:kern w:val="0"/>
                <w:sz w:val="18"/>
                <w:szCs w:val="18"/>
              </w:rPr>
            </w:pPr>
            <w:r>
              <w:rPr>
                <w:rFonts w:eastAsia="仿宋_GB2312"/>
                <w:b/>
                <w:bCs/>
                <w:color w:val="000000"/>
                <w:kern w:val="0"/>
                <w:sz w:val="18"/>
                <w:szCs w:val="18"/>
              </w:rPr>
              <w:t>320217853000</w:t>
            </w:r>
          </w:p>
        </w:tc>
      </w:tr>
      <w:tr w14:paraId="272F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6427EA2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49AE69D">
            <w:pPr>
              <w:spacing w:line="320" w:lineRule="exact"/>
              <w:jc w:val="left"/>
              <w:rPr>
                <w:color w:val="000000"/>
                <w:spacing w:val="-6"/>
                <w:kern w:val="0"/>
                <w:sz w:val="18"/>
                <w:szCs w:val="18"/>
              </w:rPr>
            </w:pPr>
            <w:r>
              <w:rPr>
                <w:rFonts w:hint="eastAsia"/>
                <w:color w:val="000000"/>
                <w:spacing w:val="-6"/>
                <w:kern w:val="0"/>
                <w:sz w:val="18"/>
                <w:szCs w:val="18"/>
              </w:rPr>
              <w:t>对工程质量检测机构出具虚假的检测数据或者检测报告的处罚</w:t>
            </w:r>
          </w:p>
        </w:tc>
      </w:tr>
      <w:tr w14:paraId="360F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010" w:type="dxa"/>
            <w:vAlign w:val="center"/>
          </w:tcPr>
          <w:p w14:paraId="5953D39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4E7EC7D">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2FF745B8">
            <w:pPr>
              <w:spacing w:line="320" w:lineRule="exact"/>
              <w:jc w:val="left"/>
              <w:rPr>
                <w:color w:val="000000"/>
                <w:kern w:val="0"/>
                <w:sz w:val="18"/>
                <w:szCs w:val="18"/>
              </w:rPr>
            </w:pPr>
            <w:r>
              <w:rPr>
                <w:rFonts w:hint="eastAsia"/>
                <w:color w:val="000000"/>
                <w:kern w:val="0"/>
                <w:sz w:val="18"/>
                <w:szCs w:val="18"/>
              </w:rPr>
              <w:t xml:space="preserve">     第十八条第三款  工程质量检测机构应当建立建设工程过程数据和结果数据、检测影像资料及检测报告记录与留存制度，对检测数据和检测报告的真实性、准确性负责，不得出具虚假的检测数据和检测报告。</w:t>
            </w:r>
          </w:p>
          <w:p w14:paraId="0137BFA0">
            <w:pPr>
              <w:spacing w:line="320" w:lineRule="exact"/>
              <w:jc w:val="left"/>
              <w:rPr>
                <w:color w:val="000000"/>
                <w:kern w:val="0"/>
                <w:sz w:val="18"/>
                <w:szCs w:val="18"/>
              </w:rPr>
            </w:pPr>
            <w:r>
              <w:rPr>
                <w:rFonts w:hint="eastAsia"/>
                <w:color w:val="000000"/>
                <w:kern w:val="0"/>
                <w:sz w:val="18"/>
                <w:szCs w:val="18"/>
              </w:rPr>
              <w:t xml:space="preserve">    第四十四条第二款　违反本条例规定，工程质量检测机构出具虚假的检测数据或者检测报告的，责令改正，处10万元以上30万元以下的罚款；情节严重的，吊销资质证书和负有直接责任的注册执业人员的执业资格证书，其直接负责的主管人员和其他直接责任人员终身禁止从事工程质量检测业务；造成损失的，依法承担赔偿责任。</w:t>
            </w:r>
          </w:p>
          <w:p w14:paraId="7E82823F">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453171A7">
            <w:pPr>
              <w:spacing w:line="320" w:lineRule="exact"/>
              <w:jc w:val="left"/>
              <w:rPr>
                <w:color w:val="000000"/>
                <w:kern w:val="0"/>
                <w:sz w:val="18"/>
                <w:szCs w:val="18"/>
              </w:rPr>
            </w:pP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14:paraId="669A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84FA94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83A6C6B">
            <w:pPr>
              <w:spacing w:line="320" w:lineRule="exact"/>
              <w:jc w:val="left"/>
              <w:rPr>
                <w:color w:val="000000"/>
                <w:kern w:val="0"/>
                <w:sz w:val="18"/>
                <w:szCs w:val="18"/>
              </w:rPr>
            </w:pPr>
            <w:r>
              <w:rPr>
                <w:rFonts w:hint="eastAsia"/>
                <w:color w:val="000000"/>
                <w:kern w:val="0"/>
                <w:sz w:val="18"/>
                <w:szCs w:val="18"/>
              </w:rPr>
              <w:t>责令改正，罚款，吊销资质证书和执业资格证书</w:t>
            </w:r>
          </w:p>
        </w:tc>
      </w:tr>
      <w:tr w14:paraId="3362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263D3E52">
            <w:pPr>
              <w:spacing w:line="320" w:lineRule="exact"/>
              <w:jc w:val="center"/>
              <w:rPr>
                <w:color w:val="000000"/>
                <w:kern w:val="0"/>
                <w:sz w:val="18"/>
                <w:szCs w:val="18"/>
              </w:rPr>
            </w:pPr>
            <w:r>
              <w:rPr>
                <w:rFonts w:hint="eastAsia"/>
                <w:color w:val="000000"/>
                <w:kern w:val="0"/>
                <w:sz w:val="18"/>
                <w:szCs w:val="18"/>
              </w:rPr>
              <w:t>裁量基准</w:t>
            </w:r>
          </w:p>
        </w:tc>
      </w:tr>
      <w:tr w14:paraId="2790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EB099C9">
            <w:pPr>
              <w:rPr>
                <w:color w:val="000000"/>
                <w:kern w:val="0"/>
                <w:sz w:val="18"/>
                <w:szCs w:val="18"/>
              </w:rPr>
            </w:pPr>
            <w:r>
              <w:rPr>
                <w:rFonts w:hint="eastAsia"/>
                <w:color w:val="000000"/>
                <w:kern w:val="0"/>
                <w:sz w:val="18"/>
                <w:szCs w:val="18"/>
              </w:rPr>
              <w:t>情形描述</w:t>
            </w:r>
          </w:p>
        </w:tc>
        <w:tc>
          <w:tcPr>
            <w:tcW w:w="6376" w:type="dxa"/>
            <w:vAlign w:val="center"/>
          </w:tcPr>
          <w:p w14:paraId="7ABD55A4">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4801BE85">
            <w:pPr>
              <w:rPr>
                <w:color w:val="000000"/>
                <w:kern w:val="0"/>
                <w:sz w:val="18"/>
                <w:szCs w:val="18"/>
              </w:rPr>
            </w:pPr>
            <w:r>
              <w:rPr>
                <w:rFonts w:hint="eastAsia"/>
                <w:color w:val="000000"/>
                <w:kern w:val="0"/>
                <w:sz w:val="18"/>
                <w:szCs w:val="18"/>
              </w:rPr>
              <w:t>裁量幅度</w:t>
            </w:r>
          </w:p>
        </w:tc>
        <w:tc>
          <w:tcPr>
            <w:tcW w:w="5614" w:type="dxa"/>
            <w:vAlign w:val="center"/>
          </w:tcPr>
          <w:p w14:paraId="55EE42FB">
            <w:pPr>
              <w:rPr>
                <w:color w:val="000000"/>
                <w:kern w:val="0"/>
                <w:sz w:val="18"/>
                <w:szCs w:val="18"/>
              </w:rPr>
            </w:pPr>
            <w:r>
              <w:rPr>
                <w:rFonts w:hint="eastAsia"/>
                <w:color w:val="000000"/>
                <w:kern w:val="0"/>
                <w:sz w:val="18"/>
                <w:szCs w:val="18"/>
              </w:rPr>
              <w:t>处10万元以上20万元以下的罚款</w:t>
            </w:r>
          </w:p>
        </w:tc>
      </w:tr>
      <w:tr w14:paraId="0F05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4E0C882D">
            <w:pPr>
              <w:spacing w:line="320" w:lineRule="exact"/>
              <w:jc w:val="left"/>
              <w:rPr>
                <w:color w:val="000000"/>
                <w:kern w:val="0"/>
                <w:sz w:val="18"/>
                <w:szCs w:val="18"/>
              </w:rPr>
            </w:pPr>
          </w:p>
        </w:tc>
        <w:tc>
          <w:tcPr>
            <w:tcW w:w="6376" w:type="dxa"/>
            <w:vAlign w:val="center"/>
          </w:tcPr>
          <w:p w14:paraId="4B2D266C">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5D719964">
            <w:pPr>
              <w:spacing w:line="320" w:lineRule="exact"/>
              <w:jc w:val="left"/>
              <w:rPr>
                <w:color w:val="000000"/>
                <w:kern w:val="0"/>
                <w:sz w:val="18"/>
                <w:szCs w:val="18"/>
              </w:rPr>
            </w:pPr>
          </w:p>
        </w:tc>
        <w:tc>
          <w:tcPr>
            <w:tcW w:w="5614" w:type="dxa"/>
            <w:vAlign w:val="center"/>
          </w:tcPr>
          <w:p w14:paraId="44362A83">
            <w:pPr>
              <w:rPr>
                <w:color w:val="000000"/>
                <w:kern w:val="0"/>
                <w:sz w:val="18"/>
                <w:szCs w:val="18"/>
              </w:rPr>
            </w:pPr>
            <w:r>
              <w:rPr>
                <w:rFonts w:hint="eastAsia"/>
                <w:color w:val="000000"/>
                <w:kern w:val="0"/>
                <w:sz w:val="18"/>
                <w:szCs w:val="18"/>
              </w:rPr>
              <w:t>处20万元以上30万元以下的罚款</w:t>
            </w:r>
          </w:p>
        </w:tc>
      </w:tr>
    </w:tbl>
    <w:p w14:paraId="5CA9D5E0"/>
    <w:p w14:paraId="2CBF9FC3"/>
    <w:p w14:paraId="04FE9947"/>
    <w:p w14:paraId="5809BE4C"/>
    <w:p w14:paraId="0D6F9DBF"/>
    <w:p w14:paraId="66B505E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7F8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1B8EAAF">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2BC23E9">
            <w:pPr>
              <w:spacing w:line="320" w:lineRule="exact"/>
              <w:rPr>
                <w:rFonts w:eastAsia="仿宋_GB2312"/>
                <w:b/>
                <w:bCs/>
                <w:color w:val="000000"/>
                <w:kern w:val="0"/>
                <w:sz w:val="18"/>
                <w:szCs w:val="18"/>
              </w:rPr>
            </w:pPr>
            <w:r>
              <w:rPr>
                <w:rFonts w:eastAsia="仿宋_GB2312"/>
                <w:b/>
                <w:bCs/>
                <w:color w:val="000000"/>
                <w:kern w:val="0"/>
                <w:sz w:val="18"/>
                <w:szCs w:val="18"/>
              </w:rPr>
              <w:t>320217854000</w:t>
            </w:r>
          </w:p>
        </w:tc>
      </w:tr>
      <w:tr w14:paraId="5C0B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3F454808">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7FF5680">
            <w:pPr>
              <w:spacing w:line="320" w:lineRule="exact"/>
              <w:jc w:val="left"/>
              <w:rPr>
                <w:color w:val="000000"/>
                <w:spacing w:val="-6"/>
                <w:kern w:val="0"/>
                <w:sz w:val="18"/>
                <w:szCs w:val="18"/>
              </w:rPr>
            </w:pPr>
            <w:r>
              <w:rPr>
                <w:rFonts w:hint="eastAsia"/>
                <w:color w:val="000000"/>
                <w:spacing w:val="-6"/>
                <w:kern w:val="0"/>
                <w:sz w:val="18"/>
                <w:szCs w:val="18"/>
              </w:rPr>
              <w:t>对抗震性能鉴定机构未按照抗震设防强制性标准进行抗震性能鉴定的处罚</w:t>
            </w:r>
          </w:p>
        </w:tc>
      </w:tr>
      <w:tr w14:paraId="1A2E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44F3D5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AC00B32">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2ADB211B">
            <w:pPr>
              <w:spacing w:line="320" w:lineRule="exact"/>
              <w:jc w:val="left"/>
              <w:rPr>
                <w:color w:val="000000"/>
                <w:kern w:val="0"/>
                <w:sz w:val="18"/>
                <w:szCs w:val="18"/>
              </w:rPr>
            </w:pPr>
            <w:r>
              <w:rPr>
                <w:rFonts w:hint="eastAsia"/>
                <w:color w:val="000000"/>
                <w:kern w:val="0"/>
                <w:sz w:val="18"/>
                <w:szCs w:val="18"/>
              </w:rPr>
              <w:t xml:space="preserve">      第十九条　国家实行建设工程抗震性能鉴定制度。</w:t>
            </w:r>
          </w:p>
          <w:p w14:paraId="37383B03">
            <w:pPr>
              <w:spacing w:line="320" w:lineRule="exact"/>
              <w:jc w:val="left"/>
              <w:rPr>
                <w:color w:val="000000"/>
                <w:kern w:val="0"/>
                <w:sz w:val="18"/>
                <w:szCs w:val="18"/>
              </w:rPr>
            </w:pPr>
            <w:r>
              <w:rPr>
                <w:rFonts w:hint="eastAsia"/>
                <w:color w:val="000000"/>
                <w:kern w:val="0"/>
                <w:sz w:val="18"/>
                <w:szCs w:val="18"/>
              </w:rPr>
              <w:t xml:space="preserve">      按照《中华人民共和国防震减灾法》第三十九条规定应当进行抗震性能鉴定的建设工程，由所有权人委托具有相应技术条件和技术能力的机构进行鉴定。</w:t>
            </w:r>
          </w:p>
          <w:p w14:paraId="617BD3FD">
            <w:pPr>
              <w:spacing w:line="320" w:lineRule="exact"/>
              <w:jc w:val="left"/>
              <w:rPr>
                <w:color w:val="000000"/>
                <w:kern w:val="0"/>
                <w:sz w:val="18"/>
                <w:szCs w:val="18"/>
              </w:rPr>
            </w:pPr>
            <w:r>
              <w:rPr>
                <w:rFonts w:hint="eastAsia"/>
                <w:color w:val="000000"/>
                <w:kern w:val="0"/>
                <w:sz w:val="18"/>
                <w:szCs w:val="18"/>
              </w:rPr>
              <w:t xml:space="preserve">     国家鼓励对除前款规定以外的未采取抗震设防措施或者未达到抗震设防强制性标准的已经建成的建设工程进行抗震性能鉴定。</w:t>
            </w:r>
          </w:p>
          <w:p w14:paraId="50589B6F">
            <w:pPr>
              <w:spacing w:line="320" w:lineRule="exact"/>
              <w:jc w:val="left"/>
              <w:rPr>
                <w:color w:val="000000"/>
                <w:kern w:val="0"/>
                <w:sz w:val="18"/>
                <w:szCs w:val="18"/>
              </w:rPr>
            </w:pPr>
            <w:r>
              <w:rPr>
                <w:rFonts w:hint="eastAsia"/>
                <w:color w:val="000000"/>
                <w:kern w:val="0"/>
                <w:sz w:val="18"/>
                <w:szCs w:val="18"/>
              </w:rPr>
              <w:t xml:space="preserve">      第四十五条第一款　违反本条例规定，抗震性能鉴定机构未按照抗震设防强制性标准进行抗震性能鉴定的，责令改正，处10万元以上30万元以下的罚款；情节严重的，责令停业整顿，并处30万元以上50万元以下的罚款；造成损失的，依法承担赔偿责任。</w:t>
            </w:r>
          </w:p>
          <w:p w14:paraId="502EB623">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4B70074D">
            <w:pPr>
              <w:spacing w:line="32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0DDF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4AB5DF4">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2972002">
            <w:pPr>
              <w:spacing w:line="320" w:lineRule="exact"/>
              <w:jc w:val="left"/>
              <w:rPr>
                <w:color w:val="000000"/>
                <w:kern w:val="0"/>
                <w:sz w:val="18"/>
                <w:szCs w:val="18"/>
              </w:rPr>
            </w:pPr>
            <w:r>
              <w:rPr>
                <w:rFonts w:hint="eastAsia"/>
                <w:color w:val="000000"/>
                <w:kern w:val="0"/>
                <w:sz w:val="18"/>
                <w:szCs w:val="18"/>
              </w:rPr>
              <w:t>责令改正，罚款，责令停业整顿</w:t>
            </w:r>
          </w:p>
        </w:tc>
      </w:tr>
      <w:tr w14:paraId="4C6D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8E136CF">
            <w:pPr>
              <w:spacing w:line="320" w:lineRule="exact"/>
              <w:jc w:val="center"/>
              <w:rPr>
                <w:color w:val="000000"/>
                <w:kern w:val="0"/>
                <w:sz w:val="18"/>
                <w:szCs w:val="18"/>
              </w:rPr>
            </w:pPr>
            <w:r>
              <w:rPr>
                <w:rFonts w:hint="eastAsia"/>
                <w:color w:val="000000"/>
                <w:kern w:val="0"/>
                <w:sz w:val="18"/>
                <w:szCs w:val="18"/>
              </w:rPr>
              <w:t>裁量基准</w:t>
            </w:r>
          </w:p>
        </w:tc>
      </w:tr>
      <w:tr w14:paraId="124D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056CFADB">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14:paraId="02C9E09D">
            <w:pPr>
              <w:spacing w:line="280" w:lineRule="exact"/>
              <w:rPr>
                <w:color w:val="000000"/>
                <w:kern w:val="0"/>
                <w:sz w:val="18"/>
                <w:szCs w:val="18"/>
              </w:rPr>
            </w:pPr>
            <w:r>
              <w:rPr>
                <w:rFonts w:hint="eastAsia"/>
                <w:color w:val="000000"/>
                <w:kern w:val="0"/>
                <w:sz w:val="18"/>
                <w:szCs w:val="18"/>
              </w:rPr>
              <w:t>按要求改正</w:t>
            </w:r>
          </w:p>
        </w:tc>
        <w:tc>
          <w:tcPr>
            <w:tcW w:w="1016" w:type="dxa"/>
            <w:vMerge w:val="restart"/>
            <w:vAlign w:val="center"/>
          </w:tcPr>
          <w:p w14:paraId="7D03C4DB">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14:paraId="19AC32F7">
            <w:pPr>
              <w:spacing w:line="280" w:lineRule="exact"/>
              <w:rPr>
                <w:color w:val="000000"/>
                <w:kern w:val="0"/>
                <w:sz w:val="18"/>
                <w:szCs w:val="18"/>
              </w:rPr>
            </w:pPr>
            <w:r>
              <w:rPr>
                <w:rFonts w:hint="eastAsia"/>
                <w:color w:val="000000"/>
                <w:kern w:val="0"/>
                <w:sz w:val="18"/>
                <w:szCs w:val="18"/>
              </w:rPr>
              <w:t>处10万元以上20万元以下的罚款</w:t>
            </w:r>
          </w:p>
          <w:p w14:paraId="4644894B">
            <w:pPr>
              <w:spacing w:line="280" w:lineRule="exact"/>
              <w:rPr>
                <w:color w:val="000000"/>
                <w:kern w:val="0"/>
                <w:sz w:val="18"/>
                <w:szCs w:val="18"/>
              </w:rPr>
            </w:pPr>
            <w:r>
              <w:rPr>
                <w:rFonts w:hint="eastAsia"/>
                <w:color w:val="000000"/>
                <w:kern w:val="0"/>
                <w:sz w:val="18"/>
                <w:szCs w:val="18"/>
              </w:rPr>
              <w:t>对直接负责的主管人员和其他直接责任人员处单位罚款数额5%以上6%以下的罚款。</w:t>
            </w:r>
          </w:p>
        </w:tc>
      </w:tr>
      <w:tr w14:paraId="38B7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38CEE9DA">
            <w:pPr>
              <w:spacing w:line="280" w:lineRule="exact"/>
              <w:jc w:val="left"/>
              <w:rPr>
                <w:color w:val="000000"/>
                <w:kern w:val="0"/>
                <w:sz w:val="18"/>
                <w:szCs w:val="18"/>
              </w:rPr>
            </w:pPr>
          </w:p>
        </w:tc>
        <w:tc>
          <w:tcPr>
            <w:tcW w:w="6376" w:type="dxa"/>
            <w:vAlign w:val="center"/>
          </w:tcPr>
          <w:p w14:paraId="408C3601">
            <w:pPr>
              <w:spacing w:line="280" w:lineRule="exact"/>
              <w:jc w:val="left"/>
              <w:rPr>
                <w:color w:val="000000"/>
                <w:kern w:val="0"/>
                <w:sz w:val="18"/>
                <w:szCs w:val="18"/>
              </w:rPr>
            </w:pPr>
            <w:r>
              <w:rPr>
                <w:rFonts w:hint="eastAsia"/>
                <w:color w:val="000000"/>
                <w:kern w:val="0"/>
                <w:sz w:val="18"/>
                <w:szCs w:val="18"/>
              </w:rPr>
              <w:t>未按照要求改正</w:t>
            </w:r>
          </w:p>
        </w:tc>
        <w:tc>
          <w:tcPr>
            <w:tcW w:w="1016" w:type="dxa"/>
            <w:vMerge w:val="continue"/>
            <w:vAlign w:val="center"/>
          </w:tcPr>
          <w:p w14:paraId="6188E784">
            <w:pPr>
              <w:spacing w:line="280" w:lineRule="exact"/>
              <w:jc w:val="left"/>
              <w:rPr>
                <w:color w:val="000000"/>
                <w:kern w:val="0"/>
                <w:sz w:val="18"/>
                <w:szCs w:val="18"/>
              </w:rPr>
            </w:pPr>
          </w:p>
        </w:tc>
        <w:tc>
          <w:tcPr>
            <w:tcW w:w="5614" w:type="dxa"/>
            <w:vAlign w:val="center"/>
          </w:tcPr>
          <w:p w14:paraId="29331D5C">
            <w:pPr>
              <w:spacing w:line="280" w:lineRule="exact"/>
              <w:rPr>
                <w:color w:val="000000"/>
                <w:kern w:val="0"/>
                <w:sz w:val="18"/>
                <w:szCs w:val="18"/>
              </w:rPr>
            </w:pPr>
            <w:r>
              <w:rPr>
                <w:rFonts w:hint="eastAsia"/>
                <w:color w:val="000000"/>
                <w:kern w:val="0"/>
                <w:sz w:val="18"/>
                <w:szCs w:val="18"/>
              </w:rPr>
              <w:t>处20万元以上30万元以下的罚款</w:t>
            </w:r>
          </w:p>
          <w:p w14:paraId="01EA280E">
            <w:pPr>
              <w:spacing w:line="280" w:lineRule="exact"/>
              <w:rPr>
                <w:color w:val="000000"/>
                <w:kern w:val="0"/>
                <w:sz w:val="18"/>
                <w:szCs w:val="18"/>
              </w:rPr>
            </w:pPr>
            <w:r>
              <w:rPr>
                <w:rFonts w:hint="eastAsia"/>
                <w:color w:val="000000"/>
                <w:kern w:val="0"/>
                <w:sz w:val="18"/>
                <w:szCs w:val="18"/>
              </w:rPr>
              <w:t>对直接负责的主管人员和其他直接责任人员处单位罚款数额6%以上7%以下的罚款。</w:t>
            </w:r>
          </w:p>
        </w:tc>
      </w:tr>
      <w:tr w14:paraId="00FC5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55AA2E6">
            <w:pPr>
              <w:spacing w:line="280" w:lineRule="exact"/>
              <w:jc w:val="left"/>
              <w:rPr>
                <w:color w:val="000000"/>
                <w:kern w:val="0"/>
                <w:sz w:val="18"/>
                <w:szCs w:val="18"/>
              </w:rPr>
            </w:pPr>
          </w:p>
        </w:tc>
        <w:tc>
          <w:tcPr>
            <w:tcW w:w="6376" w:type="dxa"/>
            <w:vAlign w:val="center"/>
          </w:tcPr>
          <w:p w14:paraId="414E15FF">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continue"/>
            <w:vAlign w:val="center"/>
          </w:tcPr>
          <w:p w14:paraId="34FFFAF7">
            <w:pPr>
              <w:spacing w:line="280" w:lineRule="exact"/>
              <w:jc w:val="left"/>
              <w:rPr>
                <w:color w:val="000000"/>
                <w:kern w:val="0"/>
                <w:sz w:val="18"/>
                <w:szCs w:val="18"/>
              </w:rPr>
            </w:pPr>
          </w:p>
        </w:tc>
        <w:tc>
          <w:tcPr>
            <w:tcW w:w="5614" w:type="dxa"/>
            <w:vAlign w:val="center"/>
          </w:tcPr>
          <w:p w14:paraId="019E4920">
            <w:pPr>
              <w:spacing w:line="280" w:lineRule="exact"/>
              <w:rPr>
                <w:color w:val="000000"/>
                <w:kern w:val="0"/>
                <w:sz w:val="18"/>
                <w:szCs w:val="18"/>
              </w:rPr>
            </w:pPr>
            <w:r>
              <w:rPr>
                <w:rFonts w:hint="eastAsia"/>
                <w:color w:val="000000"/>
                <w:kern w:val="0"/>
                <w:sz w:val="18"/>
                <w:szCs w:val="18"/>
              </w:rPr>
              <w:t>处30万元以上40万元以下的罚款</w:t>
            </w:r>
          </w:p>
          <w:p w14:paraId="7A6101AA">
            <w:pPr>
              <w:spacing w:line="280" w:lineRule="exact"/>
              <w:rPr>
                <w:color w:val="000000"/>
                <w:kern w:val="0"/>
                <w:sz w:val="18"/>
                <w:szCs w:val="18"/>
              </w:rPr>
            </w:pPr>
            <w:r>
              <w:rPr>
                <w:rFonts w:hint="eastAsia"/>
                <w:color w:val="000000"/>
                <w:kern w:val="0"/>
                <w:sz w:val="18"/>
                <w:szCs w:val="18"/>
              </w:rPr>
              <w:t>对直接负责的主管人员和其他直接责任人员处单位罚款数额7%以上9%以下的罚款。</w:t>
            </w:r>
          </w:p>
        </w:tc>
      </w:tr>
      <w:tr w14:paraId="4835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0339FD7">
            <w:pPr>
              <w:spacing w:line="280" w:lineRule="exact"/>
              <w:jc w:val="left"/>
              <w:rPr>
                <w:color w:val="000000"/>
                <w:kern w:val="0"/>
                <w:sz w:val="18"/>
                <w:szCs w:val="18"/>
              </w:rPr>
            </w:pPr>
          </w:p>
        </w:tc>
        <w:tc>
          <w:tcPr>
            <w:tcW w:w="6376" w:type="dxa"/>
            <w:vAlign w:val="center"/>
          </w:tcPr>
          <w:p w14:paraId="49FBF350">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continue"/>
            <w:vAlign w:val="center"/>
          </w:tcPr>
          <w:p w14:paraId="34AEA93D">
            <w:pPr>
              <w:spacing w:line="280" w:lineRule="exact"/>
              <w:jc w:val="left"/>
              <w:rPr>
                <w:color w:val="000000"/>
                <w:kern w:val="0"/>
                <w:sz w:val="18"/>
                <w:szCs w:val="18"/>
              </w:rPr>
            </w:pPr>
          </w:p>
        </w:tc>
        <w:tc>
          <w:tcPr>
            <w:tcW w:w="5614" w:type="dxa"/>
            <w:vAlign w:val="center"/>
          </w:tcPr>
          <w:p w14:paraId="53616872">
            <w:pPr>
              <w:spacing w:line="280" w:lineRule="exact"/>
              <w:rPr>
                <w:color w:val="000000"/>
                <w:kern w:val="0"/>
                <w:sz w:val="18"/>
                <w:szCs w:val="18"/>
              </w:rPr>
            </w:pPr>
            <w:r>
              <w:rPr>
                <w:rFonts w:hint="eastAsia"/>
                <w:color w:val="000000"/>
                <w:kern w:val="0"/>
                <w:sz w:val="18"/>
                <w:szCs w:val="18"/>
              </w:rPr>
              <w:t>处40万元以上50万元以下的罚款</w:t>
            </w:r>
          </w:p>
          <w:p w14:paraId="3D973372">
            <w:pPr>
              <w:spacing w:line="280" w:lineRule="exact"/>
              <w:rPr>
                <w:color w:val="000000"/>
                <w:kern w:val="0"/>
                <w:sz w:val="18"/>
                <w:szCs w:val="18"/>
              </w:rPr>
            </w:pPr>
            <w:r>
              <w:rPr>
                <w:rFonts w:hint="eastAsia"/>
                <w:color w:val="000000"/>
                <w:kern w:val="0"/>
                <w:sz w:val="18"/>
                <w:szCs w:val="18"/>
              </w:rPr>
              <w:t>对直接负责的主管人员和其他直接责任人员处单位罚款数额9%以上10%以下的罚款。</w:t>
            </w:r>
          </w:p>
        </w:tc>
      </w:tr>
    </w:tbl>
    <w:p w14:paraId="1EE5F93A"/>
    <w:p w14:paraId="17007CB6"/>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D8A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B7189D6">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ECD247C">
            <w:pPr>
              <w:spacing w:line="320" w:lineRule="exact"/>
              <w:rPr>
                <w:rFonts w:eastAsia="仿宋_GB2312"/>
                <w:b/>
                <w:bCs/>
                <w:color w:val="000000"/>
                <w:kern w:val="0"/>
                <w:sz w:val="18"/>
                <w:szCs w:val="18"/>
              </w:rPr>
            </w:pPr>
            <w:r>
              <w:rPr>
                <w:rFonts w:eastAsia="仿宋_GB2312"/>
                <w:b/>
                <w:bCs/>
                <w:color w:val="000000"/>
                <w:kern w:val="0"/>
                <w:sz w:val="18"/>
                <w:szCs w:val="18"/>
              </w:rPr>
              <w:t>320217855000</w:t>
            </w:r>
          </w:p>
        </w:tc>
      </w:tr>
      <w:tr w14:paraId="5835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15527F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C0C9C8E">
            <w:pPr>
              <w:spacing w:line="320" w:lineRule="exact"/>
              <w:jc w:val="left"/>
              <w:rPr>
                <w:color w:val="000000"/>
                <w:spacing w:val="-6"/>
                <w:kern w:val="0"/>
                <w:sz w:val="18"/>
                <w:szCs w:val="18"/>
              </w:rPr>
            </w:pPr>
            <w:r>
              <w:rPr>
                <w:rFonts w:hint="eastAsia"/>
                <w:color w:val="000000"/>
                <w:spacing w:val="-6"/>
                <w:kern w:val="0"/>
                <w:sz w:val="18"/>
                <w:szCs w:val="18"/>
              </w:rPr>
              <w:t>对工程质量检测机构未建立建设工程过程数据和结果数据、检测影像资料及检测报告记录与留存制度的处罚</w:t>
            </w:r>
          </w:p>
        </w:tc>
      </w:tr>
      <w:tr w14:paraId="3E9C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391B0AA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45E08A7">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2B5C4BFE">
            <w:pPr>
              <w:spacing w:line="320" w:lineRule="exact"/>
              <w:jc w:val="left"/>
              <w:rPr>
                <w:color w:val="000000"/>
                <w:kern w:val="0"/>
                <w:sz w:val="18"/>
                <w:szCs w:val="18"/>
              </w:rPr>
            </w:pPr>
            <w:r>
              <w:rPr>
                <w:rFonts w:hint="eastAsia"/>
                <w:color w:val="000000"/>
                <w:kern w:val="0"/>
                <w:sz w:val="18"/>
                <w:szCs w:val="18"/>
              </w:rPr>
              <w:t xml:space="preserve">      第十八条第三款  工程质量检测机构应当建立建设工程过程数据和结果数据、检测影像资料及检测报告记录与留存制度，对检测数据和检测报告的真实性、准确性负责，不得出具虚假的检测数据和检测报告。</w:t>
            </w:r>
          </w:p>
          <w:p w14:paraId="7C46689D">
            <w:pPr>
              <w:spacing w:line="320" w:lineRule="exact"/>
              <w:jc w:val="left"/>
              <w:rPr>
                <w:color w:val="000000"/>
                <w:kern w:val="0"/>
                <w:sz w:val="18"/>
                <w:szCs w:val="18"/>
              </w:rPr>
            </w:pPr>
            <w:r>
              <w:rPr>
                <w:rFonts w:hint="eastAsia"/>
                <w:color w:val="000000"/>
                <w:kern w:val="0"/>
                <w:sz w:val="18"/>
                <w:szCs w:val="18"/>
              </w:rPr>
              <w:t xml:space="preserve">    第四十四条第一款　违反本条例规定，工程质量检测机构未建立建设工程过程数据和结果数据、检测影像资料及检测报告记录与留存制度的，责令改正，处10万元以上30万元以下的罚款；情节严重的，吊销资质证书；造成损失的，依法承担赔偿责任。</w:t>
            </w:r>
          </w:p>
          <w:p w14:paraId="1978A815">
            <w:pPr>
              <w:spacing w:line="320" w:lineRule="exact"/>
              <w:jc w:val="left"/>
              <w:rPr>
                <w:color w:val="000000"/>
                <w:kern w:val="0"/>
                <w:sz w:val="18"/>
                <w:szCs w:val="18"/>
              </w:rPr>
            </w:pPr>
            <w:r>
              <w:rPr>
                <w:rFonts w:hint="eastAsia"/>
                <w:color w:val="000000"/>
                <w:kern w:val="0"/>
                <w:sz w:val="18"/>
                <w:szCs w:val="18"/>
              </w:rPr>
              <w:t xml:space="preserve">    第四十七条第二款　本条例规定的降低资质等级或者吊销资质证书的行政处罚，由颁发资质证书的机关决定；其他行政处罚，由住房和城乡建设主管部门或者其他有关监督管理部门依照法定职权决定。</w:t>
            </w:r>
          </w:p>
        </w:tc>
      </w:tr>
      <w:tr w14:paraId="6DB2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6CE67E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F017C9B">
            <w:pPr>
              <w:spacing w:line="320" w:lineRule="exact"/>
              <w:jc w:val="left"/>
              <w:rPr>
                <w:color w:val="000000"/>
                <w:kern w:val="0"/>
                <w:sz w:val="18"/>
                <w:szCs w:val="18"/>
              </w:rPr>
            </w:pPr>
            <w:r>
              <w:rPr>
                <w:rFonts w:hint="eastAsia"/>
                <w:color w:val="000000"/>
                <w:kern w:val="0"/>
                <w:sz w:val="18"/>
                <w:szCs w:val="18"/>
              </w:rPr>
              <w:t>责令改正，罚款，吊销资质证书</w:t>
            </w:r>
          </w:p>
        </w:tc>
      </w:tr>
      <w:tr w14:paraId="1760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D897FC6">
            <w:pPr>
              <w:spacing w:line="320" w:lineRule="exact"/>
              <w:jc w:val="center"/>
              <w:rPr>
                <w:color w:val="000000"/>
                <w:kern w:val="0"/>
                <w:sz w:val="18"/>
                <w:szCs w:val="18"/>
              </w:rPr>
            </w:pPr>
            <w:r>
              <w:rPr>
                <w:rFonts w:hint="eastAsia"/>
                <w:color w:val="000000"/>
                <w:kern w:val="0"/>
                <w:sz w:val="18"/>
                <w:szCs w:val="18"/>
              </w:rPr>
              <w:t>裁量基准</w:t>
            </w:r>
          </w:p>
        </w:tc>
      </w:tr>
      <w:tr w14:paraId="7F02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BD17F9E">
            <w:pPr>
              <w:rPr>
                <w:color w:val="000000"/>
                <w:kern w:val="0"/>
                <w:sz w:val="18"/>
                <w:szCs w:val="18"/>
              </w:rPr>
            </w:pPr>
            <w:r>
              <w:rPr>
                <w:rFonts w:hint="eastAsia"/>
                <w:color w:val="000000"/>
                <w:kern w:val="0"/>
                <w:sz w:val="18"/>
                <w:szCs w:val="18"/>
              </w:rPr>
              <w:t>情形描述</w:t>
            </w:r>
          </w:p>
        </w:tc>
        <w:tc>
          <w:tcPr>
            <w:tcW w:w="6376" w:type="dxa"/>
            <w:vAlign w:val="center"/>
          </w:tcPr>
          <w:p w14:paraId="53B4A7B7">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53A1D069">
            <w:pPr>
              <w:rPr>
                <w:color w:val="000000"/>
                <w:kern w:val="0"/>
                <w:sz w:val="18"/>
                <w:szCs w:val="18"/>
              </w:rPr>
            </w:pPr>
            <w:r>
              <w:rPr>
                <w:rFonts w:hint="eastAsia"/>
                <w:color w:val="000000"/>
                <w:kern w:val="0"/>
                <w:sz w:val="18"/>
                <w:szCs w:val="18"/>
              </w:rPr>
              <w:t>裁量幅度</w:t>
            </w:r>
          </w:p>
        </w:tc>
        <w:tc>
          <w:tcPr>
            <w:tcW w:w="5614" w:type="dxa"/>
            <w:vAlign w:val="center"/>
          </w:tcPr>
          <w:p w14:paraId="3DCF3EAC">
            <w:pPr>
              <w:rPr>
                <w:color w:val="000000"/>
                <w:kern w:val="0"/>
                <w:sz w:val="18"/>
                <w:szCs w:val="18"/>
              </w:rPr>
            </w:pPr>
            <w:r>
              <w:rPr>
                <w:rFonts w:hint="eastAsia"/>
                <w:color w:val="000000"/>
                <w:kern w:val="0"/>
                <w:sz w:val="18"/>
                <w:szCs w:val="18"/>
              </w:rPr>
              <w:t>处10万元以上20万元以下的罚款</w:t>
            </w:r>
          </w:p>
        </w:tc>
      </w:tr>
      <w:tr w14:paraId="03EA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2C9A038">
            <w:pPr>
              <w:spacing w:line="320" w:lineRule="exact"/>
              <w:jc w:val="left"/>
              <w:rPr>
                <w:color w:val="000000"/>
                <w:kern w:val="0"/>
                <w:sz w:val="18"/>
                <w:szCs w:val="18"/>
              </w:rPr>
            </w:pPr>
          </w:p>
        </w:tc>
        <w:tc>
          <w:tcPr>
            <w:tcW w:w="6376" w:type="dxa"/>
            <w:vAlign w:val="center"/>
          </w:tcPr>
          <w:p w14:paraId="6E2BB4BF">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2A83D354">
            <w:pPr>
              <w:spacing w:line="320" w:lineRule="exact"/>
              <w:jc w:val="left"/>
              <w:rPr>
                <w:color w:val="000000"/>
                <w:kern w:val="0"/>
                <w:sz w:val="18"/>
                <w:szCs w:val="18"/>
              </w:rPr>
            </w:pPr>
          </w:p>
        </w:tc>
        <w:tc>
          <w:tcPr>
            <w:tcW w:w="5614" w:type="dxa"/>
            <w:vAlign w:val="center"/>
          </w:tcPr>
          <w:p w14:paraId="4E031374">
            <w:pPr>
              <w:rPr>
                <w:color w:val="000000"/>
                <w:kern w:val="0"/>
                <w:sz w:val="18"/>
                <w:szCs w:val="18"/>
              </w:rPr>
            </w:pPr>
            <w:r>
              <w:rPr>
                <w:rFonts w:hint="eastAsia"/>
                <w:color w:val="000000"/>
                <w:kern w:val="0"/>
                <w:sz w:val="18"/>
                <w:szCs w:val="18"/>
              </w:rPr>
              <w:t>处20万元以上30万元以下的罚款</w:t>
            </w:r>
          </w:p>
        </w:tc>
      </w:tr>
    </w:tbl>
    <w:p w14:paraId="0B1BD494"/>
    <w:p w14:paraId="7F41379F"/>
    <w:p w14:paraId="31F229C9"/>
    <w:p w14:paraId="1076F6EF"/>
    <w:p w14:paraId="07F0E524"/>
    <w:p w14:paraId="24B38CB2"/>
    <w:p w14:paraId="02145D6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999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534E502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9F61433">
            <w:pPr>
              <w:spacing w:line="320" w:lineRule="exact"/>
              <w:rPr>
                <w:rFonts w:eastAsia="仿宋_GB2312"/>
                <w:b/>
                <w:bCs/>
                <w:color w:val="000000"/>
                <w:kern w:val="0"/>
                <w:sz w:val="18"/>
                <w:szCs w:val="18"/>
              </w:rPr>
            </w:pPr>
            <w:r>
              <w:rPr>
                <w:rFonts w:eastAsia="仿宋_GB2312"/>
                <w:b/>
                <w:bCs/>
                <w:color w:val="000000"/>
                <w:kern w:val="0"/>
                <w:sz w:val="18"/>
                <w:szCs w:val="18"/>
              </w:rPr>
              <w:t>320217856000</w:t>
            </w:r>
          </w:p>
        </w:tc>
      </w:tr>
      <w:tr w14:paraId="42B8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7837F4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F5691C4">
            <w:pPr>
              <w:spacing w:line="320" w:lineRule="exact"/>
              <w:jc w:val="left"/>
              <w:rPr>
                <w:color w:val="000000"/>
                <w:spacing w:val="-6"/>
                <w:kern w:val="0"/>
                <w:sz w:val="18"/>
                <w:szCs w:val="18"/>
              </w:rPr>
            </w:pPr>
            <w:r>
              <w:rPr>
                <w:rFonts w:hint="eastAsia"/>
                <w:color w:val="000000"/>
                <w:spacing w:val="-6"/>
                <w:kern w:val="0"/>
                <w:sz w:val="18"/>
                <w:szCs w:val="18"/>
              </w:rPr>
              <w:t>对施工单位未对隔震减震装置取样送检或者使用不合格隔震减震装置的处罚</w:t>
            </w:r>
          </w:p>
        </w:tc>
      </w:tr>
      <w:tr w14:paraId="13274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396CC46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C2B574E">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76CAE4A4">
            <w:pPr>
              <w:spacing w:line="320" w:lineRule="exact"/>
              <w:jc w:val="left"/>
              <w:rPr>
                <w:color w:val="000000"/>
                <w:kern w:val="0"/>
                <w:sz w:val="18"/>
                <w:szCs w:val="18"/>
              </w:rPr>
            </w:pPr>
            <w:r>
              <w:rPr>
                <w:rFonts w:hint="eastAsia"/>
                <w:color w:val="000000"/>
                <w:kern w:val="0"/>
                <w:sz w:val="18"/>
                <w:szCs w:val="18"/>
              </w:rPr>
              <w:t xml:space="preserve">    第十八条第一款　隔震减震装置用于建设工程前，施工单位应当在建设单位或者工程监理单位监督下进行取样，送建设单位委托的具有相应建设工程质量检测资质的机构进行检测。禁止使用不合格的隔震减震装置。</w:t>
            </w:r>
          </w:p>
          <w:p w14:paraId="1F160F3A">
            <w:pPr>
              <w:spacing w:line="320" w:lineRule="exact"/>
              <w:jc w:val="left"/>
              <w:rPr>
                <w:color w:val="000000"/>
                <w:kern w:val="0"/>
                <w:sz w:val="18"/>
                <w:szCs w:val="18"/>
              </w:rPr>
            </w:pPr>
            <w:r>
              <w:rPr>
                <w:rFonts w:hint="eastAsia"/>
                <w:color w:val="000000"/>
                <w:kern w:val="0"/>
                <w:sz w:val="18"/>
                <w:szCs w:val="18"/>
              </w:rPr>
              <w:t xml:space="preserve">      第二款    实行施工总承包的，隔震减震装置属于建设工程主体结构的施工，应当由总承包单位自行完成。</w:t>
            </w:r>
          </w:p>
          <w:p w14:paraId="79954183">
            <w:pPr>
              <w:spacing w:line="320" w:lineRule="exact"/>
              <w:jc w:val="left"/>
              <w:rPr>
                <w:color w:val="000000"/>
                <w:kern w:val="0"/>
                <w:sz w:val="18"/>
                <w:szCs w:val="18"/>
              </w:rPr>
            </w:pPr>
            <w:r>
              <w:rPr>
                <w:rFonts w:hint="eastAsia"/>
                <w:color w:val="000000"/>
                <w:kern w:val="0"/>
                <w:sz w:val="18"/>
                <w:szCs w:val="18"/>
              </w:rPr>
              <w:t xml:space="preserve">         第四十三条　违反本条例规定，施工单位未对隔震减震装置取样送检或者使用不合格隔震减震装置的，责令改正，处10万元以上20万元以下的罚款；情节严重的，责令停业整顿，并处20万元以上50万元以下的罚款，降低资质等级或者吊销资质证书；造成损失的，依法承担赔偿责任。</w:t>
            </w:r>
          </w:p>
          <w:p w14:paraId="0FE5764C">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753552BE">
            <w:pPr>
              <w:spacing w:line="32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2049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DC4AAFC">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9573A76">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14:paraId="52F2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F012BC8">
            <w:pPr>
              <w:spacing w:line="320" w:lineRule="exact"/>
              <w:jc w:val="center"/>
              <w:rPr>
                <w:color w:val="000000"/>
                <w:kern w:val="0"/>
                <w:sz w:val="18"/>
                <w:szCs w:val="18"/>
              </w:rPr>
            </w:pPr>
            <w:r>
              <w:rPr>
                <w:rFonts w:hint="eastAsia"/>
                <w:color w:val="000000"/>
                <w:kern w:val="0"/>
                <w:sz w:val="18"/>
                <w:szCs w:val="18"/>
              </w:rPr>
              <w:t>裁量基准</w:t>
            </w:r>
          </w:p>
        </w:tc>
      </w:tr>
      <w:tr w14:paraId="45AC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EDC1C3B">
            <w:pPr>
              <w:rPr>
                <w:color w:val="000000"/>
                <w:kern w:val="0"/>
                <w:sz w:val="18"/>
                <w:szCs w:val="18"/>
              </w:rPr>
            </w:pPr>
            <w:r>
              <w:rPr>
                <w:rFonts w:hint="eastAsia"/>
                <w:color w:val="000000"/>
                <w:kern w:val="0"/>
                <w:sz w:val="18"/>
                <w:szCs w:val="18"/>
              </w:rPr>
              <w:t>情形描述</w:t>
            </w:r>
          </w:p>
        </w:tc>
        <w:tc>
          <w:tcPr>
            <w:tcW w:w="6376" w:type="dxa"/>
            <w:vAlign w:val="center"/>
          </w:tcPr>
          <w:p w14:paraId="1E3CBD9B">
            <w:pPr>
              <w:spacing w:line="280" w:lineRule="exact"/>
              <w:rPr>
                <w:color w:val="000000"/>
                <w:kern w:val="0"/>
                <w:sz w:val="18"/>
                <w:szCs w:val="18"/>
              </w:rPr>
            </w:pPr>
            <w:r>
              <w:rPr>
                <w:rFonts w:hint="eastAsia"/>
                <w:color w:val="000000"/>
                <w:kern w:val="0"/>
                <w:sz w:val="18"/>
                <w:szCs w:val="18"/>
              </w:rPr>
              <w:t>按要求改正</w:t>
            </w:r>
          </w:p>
        </w:tc>
        <w:tc>
          <w:tcPr>
            <w:tcW w:w="1016" w:type="dxa"/>
            <w:vMerge w:val="restart"/>
            <w:vAlign w:val="center"/>
          </w:tcPr>
          <w:p w14:paraId="098DFBB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14:paraId="622FD91D">
            <w:pPr>
              <w:spacing w:line="280" w:lineRule="exact"/>
              <w:rPr>
                <w:color w:val="000000"/>
                <w:kern w:val="0"/>
                <w:sz w:val="18"/>
                <w:szCs w:val="18"/>
              </w:rPr>
            </w:pPr>
            <w:r>
              <w:rPr>
                <w:rFonts w:hint="eastAsia"/>
                <w:color w:val="000000"/>
                <w:kern w:val="0"/>
                <w:sz w:val="18"/>
                <w:szCs w:val="18"/>
              </w:rPr>
              <w:t>处10万元以上15万元以下的罚款</w:t>
            </w:r>
          </w:p>
          <w:p w14:paraId="34C0AECC">
            <w:pPr>
              <w:spacing w:line="280" w:lineRule="exact"/>
              <w:rPr>
                <w:color w:val="000000"/>
                <w:kern w:val="0"/>
                <w:sz w:val="18"/>
                <w:szCs w:val="18"/>
              </w:rPr>
            </w:pPr>
            <w:r>
              <w:rPr>
                <w:rFonts w:hint="eastAsia"/>
                <w:color w:val="000000"/>
                <w:kern w:val="0"/>
                <w:sz w:val="18"/>
                <w:szCs w:val="18"/>
              </w:rPr>
              <w:t>对直接负责的主管人员和其他直接责任人员处单位罚款数额5%以上6%以下的罚款。</w:t>
            </w:r>
          </w:p>
        </w:tc>
      </w:tr>
      <w:tr w14:paraId="72FB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478A18F2">
            <w:pPr>
              <w:spacing w:line="320" w:lineRule="exact"/>
              <w:jc w:val="left"/>
              <w:rPr>
                <w:color w:val="000000"/>
                <w:kern w:val="0"/>
                <w:sz w:val="18"/>
                <w:szCs w:val="18"/>
              </w:rPr>
            </w:pPr>
          </w:p>
        </w:tc>
        <w:tc>
          <w:tcPr>
            <w:tcW w:w="6376" w:type="dxa"/>
            <w:vAlign w:val="center"/>
          </w:tcPr>
          <w:p w14:paraId="1CC76C38">
            <w:pPr>
              <w:spacing w:line="280" w:lineRule="exact"/>
              <w:jc w:val="left"/>
              <w:rPr>
                <w:color w:val="000000"/>
                <w:kern w:val="0"/>
                <w:sz w:val="18"/>
                <w:szCs w:val="18"/>
              </w:rPr>
            </w:pPr>
            <w:r>
              <w:rPr>
                <w:rFonts w:hint="eastAsia"/>
                <w:color w:val="000000"/>
                <w:kern w:val="0"/>
                <w:sz w:val="18"/>
                <w:szCs w:val="18"/>
              </w:rPr>
              <w:t>未按照要求改正</w:t>
            </w:r>
          </w:p>
        </w:tc>
        <w:tc>
          <w:tcPr>
            <w:tcW w:w="1016" w:type="dxa"/>
            <w:vMerge w:val="continue"/>
            <w:vAlign w:val="center"/>
          </w:tcPr>
          <w:p w14:paraId="50D789FD">
            <w:pPr>
              <w:spacing w:line="280" w:lineRule="exact"/>
              <w:jc w:val="left"/>
              <w:rPr>
                <w:color w:val="000000"/>
                <w:kern w:val="0"/>
                <w:sz w:val="18"/>
                <w:szCs w:val="18"/>
              </w:rPr>
            </w:pPr>
          </w:p>
        </w:tc>
        <w:tc>
          <w:tcPr>
            <w:tcW w:w="5614" w:type="dxa"/>
            <w:vAlign w:val="center"/>
          </w:tcPr>
          <w:p w14:paraId="7714E559">
            <w:pPr>
              <w:spacing w:line="280" w:lineRule="exact"/>
              <w:rPr>
                <w:color w:val="000000"/>
                <w:kern w:val="0"/>
                <w:sz w:val="18"/>
                <w:szCs w:val="18"/>
              </w:rPr>
            </w:pPr>
            <w:r>
              <w:rPr>
                <w:rFonts w:hint="eastAsia"/>
                <w:color w:val="000000"/>
                <w:kern w:val="0"/>
                <w:sz w:val="18"/>
                <w:szCs w:val="18"/>
              </w:rPr>
              <w:t>处15万元以上20万元以下的罚款</w:t>
            </w:r>
          </w:p>
          <w:p w14:paraId="3DE232BD">
            <w:pPr>
              <w:spacing w:line="280" w:lineRule="exact"/>
              <w:rPr>
                <w:color w:val="000000"/>
                <w:kern w:val="0"/>
                <w:sz w:val="18"/>
                <w:szCs w:val="18"/>
              </w:rPr>
            </w:pPr>
            <w:r>
              <w:rPr>
                <w:rFonts w:hint="eastAsia"/>
                <w:color w:val="000000"/>
                <w:kern w:val="0"/>
                <w:sz w:val="18"/>
                <w:szCs w:val="18"/>
              </w:rPr>
              <w:t>对直接负责的主管人员和其他直接责任人员处单位罚款数额6%以上7%以下的罚款。</w:t>
            </w:r>
          </w:p>
        </w:tc>
      </w:tr>
      <w:tr w14:paraId="600A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353F289">
            <w:pPr>
              <w:spacing w:line="320" w:lineRule="exact"/>
              <w:jc w:val="left"/>
              <w:rPr>
                <w:color w:val="000000"/>
                <w:kern w:val="0"/>
                <w:sz w:val="18"/>
                <w:szCs w:val="18"/>
              </w:rPr>
            </w:pPr>
          </w:p>
        </w:tc>
        <w:tc>
          <w:tcPr>
            <w:tcW w:w="6376" w:type="dxa"/>
            <w:vAlign w:val="center"/>
          </w:tcPr>
          <w:p w14:paraId="20631072">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continue"/>
            <w:vAlign w:val="center"/>
          </w:tcPr>
          <w:p w14:paraId="42420059">
            <w:pPr>
              <w:spacing w:line="280" w:lineRule="exact"/>
              <w:jc w:val="left"/>
              <w:rPr>
                <w:color w:val="000000"/>
                <w:kern w:val="0"/>
                <w:sz w:val="18"/>
                <w:szCs w:val="18"/>
              </w:rPr>
            </w:pPr>
          </w:p>
        </w:tc>
        <w:tc>
          <w:tcPr>
            <w:tcW w:w="5614" w:type="dxa"/>
            <w:vAlign w:val="center"/>
          </w:tcPr>
          <w:p w14:paraId="65450698">
            <w:pPr>
              <w:spacing w:line="280" w:lineRule="exact"/>
              <w:rPr>
                <w:color w:val="000000"/>
                <w:kern w:val="0"/>
                <w:sz w:val="18"/>
                <w:szCs w:val="18"/>
              </w:rPr>
            </w:pPr>
            <w:r>
              <w:rPr>
                <w:rFonts w:hint="eastAsia"/>
                <w:color w:val="000000"/>
                <w:kern w:val="0"/>
                <w:sz w:val="18"/>
                <w:szCs w:val="18"/>
              </w:rPr>
              <w:t>处20万元以上35万元以下的罚款</w:t>
            </w:r>
          </w:p>
          <w:p w14:paraId="0A83C676">
            <w:pPr>
              <w:spacing w:line="280" w:lineRule="exact"/>
              <w:rPr>
                <w:color w:val="000000"/>
                <w:kern w:val="0"/>
                <w:sz w:val="18"/>
                <w:szCs w:val="18"/>
              </w:rPr>
            </w:pPr>
            <w:r>
              <w:rPr>
                <w:rFonts w:hint="eastAsia"/>
                <w:color w:val="000000"/>
                <w:kern w:val="0"/>
                <w:sz w:val="18"/>
                <w:szCs w:val="18"/>
              </w:rPr>
              <w:t>对直接负责的主管人员和其他直接责任人员处单位罚款数额7%以上9%以下的罚款。</w:t>
            </w:r>
          </w:p>
        </w:tc>
      </w:tr>
      <w:tr w14:paraId="3461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F2BB1F4">
            <w:pPr>
              <w:spacing w:line="320" w:lineRule="exact"/>
              <w:jc w:val="left"/>
              <w:rPr>
                <w:color w:val="000000"/>
                <w:kern w:val="0"/>
                <w:sz w:val="18"/>
                <w:szCs w:val="18"/>
              </w:rPr>
            </w:pPr>
          </w:p>
        </w:tc>
        <w:tc>
          <w:tcPr>
            <w:tcW w:w="6376" w:type="dxa"/>
            <w:vAlign w:val="center"/>
          </w:tcPr>
          <w:p w14:paraId="7A10EB8F">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continue"/>
            <w:vAlign w:val="center"/>
          </w:tcPr>
          <w:p w14:paraId="6632C701">
            <w:pPr>
              <w:spacing w:line="280" w:lineRule="exact"/>
              <w:jc w:val="left"/>
              <w:rPr>
                <w:color w:val="000000"/>
                <w:kern w:val="0"/>
                <w:sz w:val="18"/>
                <w:szCs w:val="18"/>
              </w:rPr>
            </w:pPr>
          </w:p>
        </w:tc>
        <w:tc>
          <w:tcPr>
            <w:tcW w:w="5614" w:type="dxa"/>
            <w:vAlign w:val="center"/>
          </w:tcPr>
          <w:p w14:paraId="79D10940">
            <w:pPr>
              <w:spacing w:line="280" w:lineRule="exact"/>
              <w:rPr>
                <w:color w:val="000000"/>
                <w:kern w:val="0"/>
                <w:sz w:val="18"/>
                <w:szCs w:val="18"/>
              </w:rPr>
            </w:pPr>
            <w:r>
              <w:rPr>
                <w:rFonts w:hint="eastAsia"/>
                <w:color w:val="000000"/>
                <w:kern w:val="0"/>
                <w:sz w:val="18"/>
                <w:szCs w:val="18"/>
              </w:rPr>
              <w:t>处35万元以上50万元以下的罚款</w:t>
            </w:r>
          </w:p>
          <w:p w14:paraId="3C37DFEE">
            <w:pPr>
              <w:spacing w:line="280" w:lineRule="exact"/>
              <w:rPr>
                <w:color w:val="000000"/>
                <w:kern w:val="0"/>
                <w:sz w:val="18"/>
                <w:szCs w:val="18"/>
              </w:rPr>
            </w:pPr>
            <w:r>
              <w:rPr>
                <w:rFonts w:hint="eastAsia"/>
                <w:color w:val="000000"/>
                <w:kern w:val="0"/>
                <w:sz w:val="18"/>
                <w:szCs w:val="18"/>
              </w:rPr>
              <w:t>对直接负责的主管人员和其他直接责任人员处单位罚款数额9%以上10%以下的罚款。</w:t>
            </w:r>
          </w:p>
        </w:tc>
      </w:tr>
    </w:tbl>
    <w:p w14:paraId="20FFEA41"/>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B0E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AE8B7E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DE994EC">
            <w:pPr>
              <w:spacing w:line="320" w:lineRule="exact"/>
              <w:rPr>
                <w:rFonts w:eastAsia="仿宋_GB2312"/>
                <w:b/>
                <w:bCs/>
                <w:color w:val="000000"/>
                <w:kern w:val="0"/>
                <w:sz w:val="18"/>
                <w:szCs w:val="18"/>
              </w:rPr>
            </w:pPr>
            <w:r>
              <w:rPr>
                <w:rFonts w:eastAsia="仿宋_GB2312"/>
                <w:b/>
                <w:bCs/>
                <w:color w:val="000000"/>
                <w:kern w:val="0"/>
                <w:sz w:val="18"/>
                <w:szCs w:val="18"/>
              </w:rPr>
              <w:t>320217857000</w:t>
            </w:r>
          </w:p>
        </w:tc>
      </w:tr>
      <w:tr w14:paraId="35E5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3B2DD63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5A95D22">
            <w:pPr>
              <w:spacing w:line="320" w:lineRule="exact"/>
              <w:jc w:val="left"/>
              <w:rPr>
                <w:color w:val="000000"/>
                <w:spacing w:val="-6"/>
                <w:kern w:val="0"/>
                <w:sz w:val="18"/>
                <w:szCs w:val="18"/>
              </w:rPr>
            </w:pPr>
            <w:r>
              <w:rPr>
                <w:rFonts w:hint="eastAsia"/>
                <w:color w:val="000000"/>
                <w:spacing w:val="-6"/>
                <w:kern w:val="0"/>
                <w:sz w:val="18"/>
                <w:szCs w:val="18"/>
              </w:rPr>
              <w:t>对施工单位在施工中未按照抗震设防强制性标准进行施工的处罚</w:t>
            </w:r>
          </w:p>
        </w:tc>
      </w:tr>
      <w:tr w14:paraId="5CC2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010" w:type="dxa"/>
            <w:vAlign w:val="center"/>
          </w:tcPr>
          <w:p w14:paraId="0640D74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8411065">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60B9A591">
            <w:pPr>
              <w:spacing w:line="320" w:lineRule="exact"/>
              <w:jc w:val="left"/>
              <w:rPr>
                <w:color w:val="000000"/>
                <w:kern w:val="0"/>
                <w:sz w:val="18"/>
                <w:szCs w:val="18"/>
              </w:rPr>
            </w:pPr>
            <w:r>
              <w:rPr>
                <w:rFonts w:hint="eastAsia"/>
                <w:color w:val="000000"/>
                <w:kern w:val="0"/>
                <w:sz w:val="18"/>
                <w:szCs w:val="18"/>
              </w:rPr>
              <w:t xml:space="preserve">    第十四条第三款 施工单位应当按照抗震设防强制性标准进行施工。</w:t>
            </w:r>
          </w:p>
          <w:p w14:paraId="73824BA9">
            <w:pPr>
              <w:spacing w:line="320" w:lineRule="exact"/>
              <w:jc w:val="left"/>
              <w:rPr>
                <w:color w:val="000000"/>
                <w:kern w:val="0"/>
                <w:sz w:val="18"/>
                <w:szCs w:val="18"/>
              </w:rPr>
            </w:pPr>
            <w:r>
              <w:rPr>
                <w:rFonts w:hint="eastAsia"/>
                <w:color w:val="000000"/>
                <w:kern w:val="0"/>
                <w:sz w:val="18"/>
                <w:szCs w:val="18"/>
              </w:rPr>
              <w:t xml:space="preserve">   第四十二条　违反本条例规定，施工单位在施工中未按照抗震设防强制性标准进行施工的，责令改正，处工程合同价款2%以上4%以下的罚款；造成建设工程不符合抗震设防强制性标准的，负责返工、加固，并赔偿因此造成的损失；情节严重的，责令停业整顿，降低资质等级或者吊销资质证书。</w:t>
            </w:r>
          </w:p>
          <w:p w14:paraId="554AA31F">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04BA716C">
            <w:pPr>
              <w:spacing w:line="32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131F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210FE5F">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9E34969">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14:paraId="131C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E5C7618">
            <w:pPr>
              <w:spacing w:line="320" w:lineRule="exact"/>
              <w:jc w:val="center"/>
              <w:rPr>
                <w:color w:val="000000"/>
                <w:kern w:val="0"/>
                <w:sz w:val="18"/>
                <w:szCs w:val="18"/>
              </w:rPr>
            </w:pPr>
            <w:r>
              <w:rPr>
                <w:rFonts w:hint="eastAsia"/>
                <w:color w:val="000000"/>
                <w:kern w:val="0"/>
                <w:sz w:val="18"/>
                <w:szCs w:val="18"/>
              </w:rPr>
              <w:t>裁量基准</w:t>
            </w:r>
          </w:p>
        </w:tc>
      </w:tr>
      <w:tr w14:paraId="7309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8FEE8DE">
            <w:pPr>
              <w:rPr>
                <w:color w:val="000000"/>
                <w:kern w:val="0"/>
                <w:sz w:val="18"/>
                <w:szCs w:val="18"/>
              </w:rPr>
            </w:pPr>
            <w:r>
              <w:rPr>
                <w:rFonts w:hint="eastAsia"/>
                <w:color w:val="000000"/>
                <w:kern w:val="0"/>
                <w:sz w:val="18"/>
                <w:szCs w:val="18"/>
              </w:rPr>
              <w:t>情形描述</w:t>
            </w:r>
          </w:p>
        </w:tc>
        <w:tc>
          <w:tcPr>
            <w:tcW w:w="6376" w:type="dxa"/>
            <w:vAlign w:val="center"/>
          </w:tcPr>
          <w:p w14:paraId="141EF178">
            <w:pPr>
              <w:rPr>
                <w:color w:val="000000"/>
                <w:kern w:val="0"/>
                <w:sz w:val="18"/>
                <w:szCs w:val="18"/>
              </w:rPr>
            </w:pPr>
            <w:r>
              <w:rPr>
                <w:rFonts w:hint="eastAsia"/>
                <w:color w:val="000000"/>
                <w:kern w:val="0"/>
                <w:sz w:val="18"/>
                <w:szCs w:val="18"/>
              </w:rPr>
              <w:t>按要求改正</w:t>
            </w:r>
          </w:p>
        </w:tc>
        <w:tc>
          <w:tcPr>
            <w:tcW w:w="1016" w:type="dxa"/>
            <w:vMerge w:val="restart"/>
            <w:vAlign w:val="center"/>
          </w:tcPr>
          <w:p w14:paraId="182AA0BC">
            <w:pPr>
              <w:rPr>
                <w:color w:val="000000"/>
                <w:kern w:val="0"/>
                <w:sz w:val="18"/>
                <w:szCs w:val="18"/>
              </w:rPr>
            </w:pPr>
            <w:r>
              <w:rPr>
                <w:rFonts w:hint="eastAsia"/>
                <w:color w:val="000000"/>
                <w:kern w:val="0"/>
                <w:sz w:val="18"/>
                <w:szCs w:val="18"/>
              </w:rPr>
              <w:t>裁量幅度</w:t>
            </w:r>
          </w:p>
        </w:tc>
        <w:tc>
          <w:tcPr>
            <w:tcW w:w="5614" w:type="dxa"/>
            <w:vAlign w:val="center"/>
          </w:tcPr>
          <w:p w14:paraId="69BB3FF4">
            <w:pPr>
              <w:rPr>
                <w:color w:val="000000"/>
                <w:kern w:val="0"/>
                <w:sz w:val="18"/>
                <w:szCs w:val="18"/>
              </w:rPr>
            </w:pPr>
            <w:r>
              <w:rPr>
                <w:rFonts w:hint="eastAsia"/>
                <w:color w:val="000000"/>
                <w:kern w:val="0"/>
                <w:sz w:val="18"/>
                <w:szCs w:val="18"/>
              </w:rPr>
              <w:t>处工程合同价款2%以上3%以下的罚款</w:t>
            </w:r>
          </w:p>
          <w:p w14:paraId="760F249F">
            <w:pPr>
              <w:rPr>
                <w:color w:val="000000"/>
                <w:kern w:val="0"/>
                <w:sz w:val="18"/>
                <w:szCs w:val="18"/>
              </w:rPr>
            </w:pPr>
            <w:r>
              <w:rPr>
                <w:rFonts w:hint="eastAsia"/>
                <w:color w:val="000000"/>
                <w:kern w:val="0"/>
                <w:sz w:val="18"/>
                <w:szCs w:val="18"/>
              </w:rPr>
              <w:t>对其直接负责的主管人员和其他直接责任人员处单位罚款数额5%以上8%以下的罚款</w:t>
            </w:r>
          </w:p>
        </w:tc>
      </w:tr>
      <w:tr w14:paraId="37EC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2C2E171C">
            <w:pPr>
              <w:spacing w:line="320" w:lineRule="exact"/>
              <w:jc w:val="left"/>
              <w:rPr>
                <w:color w:val="000000"/>
                <w:kern w:val="0"/>
                <w:sz w:val="18"/>
                <w:szCs w:val="18"/>
              </w:rPr>
            </w:pPr>
          </w:p>
        </w:tc>
        <w:tc>
          <w:tcPr>
            <w:tcW w:w="6376" w:type="dxa"/>
            <w:vAlign w:val="center"/>
          </w:tcPr>
          <w:p w14:paraId="2AB558E7">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continue"/>
            <w:vAlign w:val="center"/>
          </w:tcPr>
          <w:p w14:paraId="4E54D50A">
            <w:pPr>
              <w:spacing w:line="320" w:lineRule="exact"/>
              <w:jc w:val="left"/>
              <w:rPr>
                <w:color w:val="000000"/>
                <w:kern w:val="0"/>
                <w:sz w:val="18"/>
                <w:szCs w:val="18"/>
              </w:rPr>
            </w:pPr>
          </w:p>
        </w:tc>
        <w:tc>
          <w:tcPr>
            <w:tcW w:w="5614" w:type="dxa"/>
            <w:vAlign w:val="center"/>
          </w:tcPr>
          <w:p w14:paraId="763B4DFA">
            <w:pPr>
              <w:rPr>
                <w:color w:val="000000"/>
                <w:kern w:val="0"/>
                <w:sz w:val="18"/>
                <w:szCs w:val="18"/>
              </w:rPr>
            </w:pPr>
            <w:r>
              <w:rPr>
                <w:rFonts w:hint="eastAsia"/>
                <w:color w:val="000000"/>
                <w:kern w:val="0"/>
                <w:sz w:val="18"/>
                <w:szCs w:val="18"/>
              </w:rPr>
              <w:t>处工程合同价款3%以上4%以下的罚款</w:t>
            </w:r>
          </w:p>
          <w:p w14:paraId="223CE763">
            <w:pPr>
              <w:rPr>
                <w:color w:val="000000"/>
                <w:kern w:val="0"/>
                <w:sz w:val="18"/>
                <w:szCs w:val="18"/>
              </w:rPr>
            </w:pPr>
            <w:r>
              <w:rPr>
                <w:rFonts w:hint="eastAsia"/>
                <w:color w:val="000000"/>
                <w:kern w:val="0"/>
                <w:sz w:val="18"/>
                <w:szCs w:val="18"/>
              </w:rPr>
              <w:t>对其直接负责的主管人员和其他直接责任人员处单位罚款数额8%以上10%以下的罚款</w:t>
            </w:r>
          </w:p>
        </w:tc>
      </w:tr>
    </w:tbl>
    <w:p w14:paraId="25FF097F"/>
    <w:p w14:paraId="6D293CEE"/>
    <w:p w14:paraId="35343B0D"/>
    <w:p w14:paraId="64F5B520"/>
    <w:p w14:paraId="5B93961A"/>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CD2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D8964F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1293BA6">
            <w:pPr>
              <w:spacing w:line="320" w:lineRule="exact"/>
              <w:rPr>
                <w:rFonts w:eastAsia="仿宋_GB2312"/>
                <w:b/>
                <w:bCs/>
                <w:color w:val="000000"/>
                <w:kern w:val="0"/>
                <w:sz w:val="18"/>
                <w:szCs w:val="18"/>
              </w:rPr>
            </w:pPr>
            <w:r>
              <w:rPr>
                <w:rFonts w:eastAsia="仿宋_GB2312"/>
                <w:b/>
                <w:bCs/>
                <w:color w:val="000000"/>
                <w:kern w:val="0"/>
                <w:sz w:val="18"/>
                <w:szCs w:val="18"/>
              </w:rPr>
              <w:t>320217858000</w:t>
            </w:r>
          </w:p>
        </w:tc>
      </w:tr>
      <w:tr w14:paraId="262C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4C9086D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1757B98">
            <w:pPr>
              <w:spacing w:line="320" w:lineRule="exact"/>
              <w:jc w:val="left"/>
              <w:rPr>
                <w:color w:val="000000"/>
                <w:spacing w:val="-6"/>
                <w:kern w:val="0"/>
                <w:sz w:val="18"/>
                <w:szCs w:val="18"/>
              </w:rPr>
            </w:pPr>
            <w:r>
              <w:rPr>
                <w:rFonts w:hint="eastAsia"/>
                <w:color w:val="000000"/>
                <w:spacing w:val="-6"/>
                <w:kern w:val="0"/>
                <w:sz w:val="18"/>
                <w:szCs w:val="18"/>
              </w:rPr>
              <w:t>对设计单位未按照抗震设防强制性标准进行设计的处罚</w:t>
            </w:r>
          </w:p>
        </w:tc>
      </w:tr>
      <w:tr w14:paraId="3EA8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45A172B2">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2443786">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22888D35">
            <w:pPr>
              <w:spacing w:line="320" w:lineRule="exact"/>
              <w:jc w:val="left"/>
              <w:rPr>
                <w:color w:val="000000"/>
                <w:kern w:val="0"/>
                <w:sz w:val="18"/>
                <w:szCs w:val="18"/>
              </w:rPr>
            </w:pPr>
            <w:r>
              <w:rPr>
                <w:rFonts w:hint="eastAsia"/>
                <w:color w:val="000000"/>
                <w:kern w:val="0"/>
                <w:sz w:val="18"/>
                <w:szCs w:val="18"/>
              </w:rPr>
              <w:t xml:space="preserve">     第四十一条　违反本条例规定，设计单位有下列行为之一的，责令改正，处10万元以上30万元以下的罚款；情节严重的，责令停业整顿，降低资质等级或者吊销资质证书；造成损失的，依法承担赔偿责任：</w:t>
            </w:r>
          </w:p>
          <w:p w14:paraId="742E8A0D">
            <w:pPr>
              <w:spacing w:line="320" w:lineRule="exact"/>
              <w:jc w:val="left"/>
              <w:rPr>
                <w:color w:val="000000"/>
                <w:kern w:val="0"/>
                <w:sz w:val="18"/>
                <w:szCs w:val="18"/>
              </w:rPr>
            </w:pPr>
            <w:r>
              <w:rPr>
                <w:rFonts w:hint="eastAsia"/>
                <w:color w:val="000000"/>
                <w:kern w:val="0"/>
                <w:sz w:val="18"/>
                <w:szCs w:val="18"/>
              </w:rPr>
              <w:t xml:space="preserve">   （三）未按照抗震设防强制性标准进行设计。</w:t>
            </w:r>
          </w:p>
          <w:p w14:paraId="28DDB8F0">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62E44976">
            <w:pPr>
              <w:spacing w:line="32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2D5D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B1BDBCB">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44CD96C">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14:paraId="02BF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0BA24FD">
            <w:pPr>
              <w:spacing w:line="320" w:lineRule="exact"/>
              <w:jc w:val="center"/>
              <w:rPr>
                <w:color w:val="000000"/>
                <w:kern w:val="0"/>
                <w:sz w:val="18"/>
                <w:szCs w:val="18"/>
              </w:rPr>
            </w:pPr>
            <w:r>
              <w:rPr>
                <w:rFonts w:hint="eastAsia"/>
                <w:color w:val="000000"/>
                <w:kern w:val="0"/>
                <w:sz w:val="18"/>
                <w:szCs w:val="18"/>
              </w:rPr>
              <w:t>裁量基准</w:t>
            </w:r>
          </w:p>
        </w:tc>
      </w:tr>
      <w:tr w14:paraId="22D6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E1523DC">
            <w:pPr>
              <w:rPr>
                <w:color w:val="000000"/>
                <w:kern w:val="0"/>
                <w:sz w:val="18"/>
                <w:szCs w:val="18"/>
              </w:rPr>
            </w:pPr>
            <w:r>
              <w:rPr>
                <w:rFonts w:hint="eastAsia"/>
                <w:color w:val="000000"/>
                <w:kern w:val="0"/>
                <w:sz w:val="18"/>
                <w:szCs w:val="18"/>
              </w:rPr>
              <w:t>情形描述</w:t>
            </w:r>
          </w:p>
        </w:tc>
        <w:tc>
          <w:tcPr>
            <w:tcW w:w="6376" w:type="dxa"/>
            <w:vAlign w:val="center"/>
          </w:tcPr>
          <w:p w14:paraId="4A61C9B4">
            <w:pPr>
              <w:rPr>
                <w:color w:val="000000"/>
                <w:kern w:val="0"/>
                <w:sz w:val="18"/>
                <w:szCs w:val="18"/>
              </w:rPr>
            </w:pPr>
            <w:r>
              <w:rPr>
                <w:rFonts w:hint="eastAsia"/>
                <w:color w:val="000000"/>
                <w:kern w:val="0"/>
                <w:sz w:val="18"/>
                <w:szCs w:val="18"/>
              </w:rPr>
              <w:t>按要求改正</w:t>
            </w:r>
          </w:p>
        </w:tc>
        <w:tc>
          <w:tcPr>
            <w:tcW w:w="1016" w:type="dxa"/>
            <w:vMerge w:val="restart"/>
            <w:vAlign w:val="center"/>
          </w:tcPr>
          <w:p w14:paraId="24BBC1A1">
            <w:pPr>
              <w:rPr>
                <w:color w:val="000000"/>
                <w:kern w:val="0"/>
                <w:sz w:val="18"/>
                <w:szCs w:val="18"/>
              </w:rPr>
            </w:pPr>
            <w:r>
              <w:rPr>
                <w:rFonts w:hint="eastAsia"/>
                <w:color w:val="000000"/>
                <w:kern w:val="0"/>
                <w:sz w:val="18"/>
                <w:szCs w:val="18"/>
              </w:rPr>
              <w:t>裁量幅度</w:t>
            </w:r>
          </w:p>
        </w:tc>
        <w:tc>
          <w:tcPr>
            <w:tcW w:w="5614" w:type="dxa"/>
            <w:vAlign w:val="center"/>
          </w:tcPr>
          <w:p w14:paraId="7963B620">
            <w:pPr>
              <w:rPr>
                <w:color w:val="000000"/>
                <w:kern w:val="0"/>
                <w:sz w:val="18"/>
                <w:szCs w:val="18"/>
              </w:rPr>
            </w:pPr>
            <w:r>
              <w:rPr>
                <w:rFonts w:hint="eastAsia"/>
                <w:color w:val="000000"/>
                <w:kern w:val="0"/>
                <w:sz w:val="18"/>
                <w:szCs w:val="18"/>
              </w:rPr>
              <w:t>处10万元以上20万元以下的罚款</w:t>
            </w:r>
          </w:p>
          <w:p w14:paraId="4FC3061D">
            <w:pPr>
              <w:spacing w:line="320" w:lineRule="exact"/>
              <w:jc w:val="left"/>
              <w:rPr>
                <w:color w:val="000000"/>
                <w:kern w:val="0"/>
                <w:sz w:val="18"/>
                <w:szCs w:val="18"/>
              </w:rPr>
            </w:pPr>
            <w:r>
              <w:rPr>
                <w:rFonts w:hint="eastAsia"/>
                <w:color w:val="000000"/>
                <w:kern w:val="0"/>
                <w:sz w:val="18"/>
                <w:szCs w:val="18"/>
              </w:rPr>
              <w:t>对其直接负责的主管人员和其他直接责任人员处单位罚款数额5%以上7%以下的罚款。</w:t>
            </w:r>
          </w:p>
        </w:tc>
      </w:tr>
      <w:tr w14:paraId="211D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0B1A562">
            <w:pPr>
              <w:spacing w:line="320" w:lineRule="exact"/>
              <w:jc w:val="left"/>
              <w:rPr>
                <w:color w:val="000000"/>
                <w:kern w:val="0"/>
                <w:sz w:val="18"/>
                <w:szCs w:val="18"/>
              </w:rPr>
            </w:pPr>
          </w:p>
        </w:tc>
        <w:tc>
          <w:tcPr>
            <w:tcW w:w="6376" w:type="dxa"/>
            <w:vAlign w:val="center"/>
          </w:tcPr>
          <w:p w14:paraId="059BF411">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continue"/>
            <w:vAlign w:val="center"/>
          </w:tcPr>
          <w:p w14:paraId="211A920F">
            <w:pPr>
              <w:spacing w:line="320" w:lineRule="exact"/>
              <w:jc w:val="left"/>
              <w:rPr>
                <w:color w:val="000000"/>
                <w:kern w:val="0"/>
                <w:sz w:val="18"/>
                <w:szCs w:val="18"/>
              </w:rPr>
            </w:pPr>
          </w:p>
        </w:tc>
        <w:tc>
          <w:tcPr>
            <w:tcW w:w="5614" w:type="dxa"/>
            <w:vAlign w:val="center"/>
          </w:tcPr>
          <w:p w14:paraId="7384DA1B">
            <w:pPr>
              <w:rPr>
                <w:color w:val="000000"/>
                <w:kern w:val="0"/>
                <w:sz w:val="18"/>
                <w:szCs w:val="18"/>
              </w:rPr>
            </w:pPr>
            <w:r>
              <w:rPr>
                <w:rFonts w:hint="eastAsia"/>
                <w:color w:val="000000"/>
                <w:kern w:val="0"/>
                <w:sz w:val="18"/>
                <w:szCs w:val="18"/>
              </w:rPr>
              <w:t>处20万元以上30万元以下的罚款</w:t>
            </w:r>
          </w:p>
          <w:p w14:paraId="23956975">
            <w:pPr>
              <w:rPr>
                <w:color w:val="000000"/>
                <w:kern w:val="0"/>
                <w:sz w:val="18"/>
                <w:szCs w:val="18"/>
              </w:rPr>
            </w:pPr>
            <w:r>
              <w:rPr>
                <w:rFonts w:hint="eastAsia"/>
                <w:color w:val="000000"/>
                <w:kern w:val="0"/>
                <w:sz w:val="18"/>
                <w:szCs w:val="18"/>
              </w:rPr>
              <w:t>对其直接负责的主管人员和其他直接责任人员处单位罚款数额7%以上10%以下的罚款。</w:t>
            </w:r>
          </w:p>
        </w:tc>
      </w:tr>
    </w:tbl>
    <w:p w14:paraId="5309DEE3"/>
    <w:p w14:paraId="4643E4A1"/>
    <w:p w14:paraId="43E12F14"/>
    <w:p w14:paraId="3B8FE953"/>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060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149E17A8">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563A332">
            <w:pPr>
              <w:spacing w:line="320" w:lineRule="exact"/>
              <w:rPr>
                <w:rFonts w:eastAsia="仿宋_GB2312"/>
                <w:b/>
                <w:bCs/>
                <w:color w:val="000000"/>
                <w:kern w:val="0"/>
                <w:sz w:val="18"/>
                <w:szCs w:val="18"/>
              </w:rPr>
            </w:pPr>
            <w:r>
              <w:rPr>
                <w:rFonts w:eastAsia="仿宋_GB2312"/>
                <w:b/>
                <w:bCs/>
                <w:color w:val="000000"/>
                <w:kern w:val="0"/>
                <w:sz w:val="18"/>
                <w:szCs w:val="18"/>
              </w:rPr>
              <w:t>320217859000</w:t>
            </w:r>
          </w:p>
        </w:tc>
      </w:tr>
      <w:tr w14:paraId="08ACA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6FE2360E">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376FED1">
            <w:pPr>
              <w:spacing w:line="320" w:lineRule="exact"/>
              <w:jc w:val="left"/>
              <w:rPr>
                <w:color w:val="000000"/>
                <w:spacing w:val="-6"/>
                <w:kern w:val="0"/>
                <w:sz w:val="18"/>
                <w:szCs w:val="18"/>
              </w:rPr>
            </w:pPr>
            <w:r>
              <w:rPr>
                <w:rFonts w:hint="eastAsia"/>
                <w:color w:val="000000"/>
                <w:spacing w:val="-6"/>
                <w:kern w:val="0"/>
                <w:sz w:val="18"/>
                <w:szCs w:val="18"/>
              </w:rPr>
              <w:t>对设计单位未在初步设计阶段将建设工程抗震设防专篇作为设计文件组成部分的处罚</w:t>
            </w:r>
          </w:p>
        </w:tc>
      </w:tr>
      <w:tr w14:paraId="557F5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21864F1">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163FD2C6">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08EC8A65">
            <w:pPr>
              <w:spacing w:line="320" w:lineRule="exact"/>
              <w:jc w:val="left"/>
              <w:rPr>
                <w:color w:val="000000"/>
                <w:kern w:val="0"/>
                <w:sz w:val="18"/>
                <w:szCs w:val="18"/>
              </w:rPr>
            </w:pPr>
            <w:r>
              <w:rPr>
                <w:rFonts w:hint="eastAsia"/>
                <w:color w:val="000000"/>
                <w:kern w:val="0"/>
                <w:sz w:val="18"/>
                <w:szCs w:val="18"/>
              </w:rPr>
              <w:t xml:space="preserve">     第十二条　对位于高烈度设防地区、地震重点监视防御区的下列建设工程，设计单位应当在初步设计阶段按照国家有关规定编制建设工程抗震设防专篇，并作为设计文件组成部分：</w:t>
            </w:r>
          </w:p>
          <w:p w14:paraId="5F400FB6">
            <w:pPr>
              <w:spacing w:line="320" w:lineRule="exact"/>
              <w:jc w:val="left"/>
              <w:rPr>
                <w:color w:val="000000"/>
                <w:kern w:val="0"/>
                <w:sz w:val="18"/>
                <w:szCs w:val="18"/>
              </w:rPr>
            </w:pPr>
            <w:r>
              <w:rPr>
                <w:rFonts w:hint="eastAsia"/>
                <w:color w:val="000000"/>
                <w:kern w:val="0"/>
                <w:sz w:val="18"/>
                <w:szCs w:val="18"/>
              </w:rPr>
              <w:t>（一）重大建设工程；</w:t>
            </w:r>
          </w:p>
          <w:p w14:paraId="5BD43D5C">
            <w:pPr>
              <w:spacing w:line="320" w:lineRule="exact"/>
              <w:jc w:val="left"/>
              <w:rPr>
                <w:color w:val="000000"/>
                <w:kern w:val="0"/>
                <w:sz w:val="18"/>
                <w:szCs w:val="18"/>
              </w:rPr>
            </w:pPr>
            <w:r>
              <w:rPr>
                <w:rFonts w:hint="eastAsia"/>
                <w:color w:val="000000"/>
                <w:kern w:val="0"/>
                <w:sz w:val="18"/>
                <w:szCs w:val="18"/>
              </w:rPr>
              <w:t>（二）地震时可能发生严重次生灾害的建设工程；</w:t>
            </w:r>
          </w:p>
          <w:p w14:paraId="7A0D2677">
            <w:pPr>
              <w:spacing w:line="320" w:lineRule="exact"/>
              <w:jc w:val="left"/>
              <w:rPr>
                <w:color w:val="000000"/>
                <w:kern w:val="0"/>
                <w:sz w:val="18"/>
                <w:szCs w:val="18"/>
              </w:rPr>
            </w:pPr>
            <w:r>
              <w:rPr>
                <w:rFonts w:hint="eastAsia"/>
                <w:color w:val="000000"/>
                <w:kern w:val="0"/>
                <w:sz w:val="18"/>
                <w:szCs w:val="18"/>
              </w:rPr>
              <w:t>（三）地震时使用功能不能中断或者需要尽快恢复的建设工程。</w:t>
            </w:r>
          </w:p>
          <w:p w14:paraId="37CFFB5F">
            <w:pPr>
              <w:spacing w:line="320" w:lineRule="exact"/>
              <w:jc w:val="left"/>
              <w:rPr>
                <w:color w:val="000000"/>
                <w:kern w:val="0"/>
                <w:sz w:val="18"/>
                <w:szCs w:val="18"/>
              </w:rPr>
            </w:pPr>
            <w:r>
              <w:rPr>
                <w:rFonts w:hint="eastAsia"/>
                <w:color w:val="000000"/>
                <w:kern w:val="0"/>
                <w:sz w:val="18"/>
                <w:szCs w:val="18"/>
              </w:rPr>
              <w:t xml:space="preserve">      第四十一条　违反本条例规定，设计单位有下列行为之一的，责令改正，处10万元以上30万元以下的罚款；情节严重的，责令停业整顿，降低资质等级或者吊销资质证书；造成损失的，依法承担赔偿责任：</w:t>
            </w:r>
          </w:p>
          <w:p w14:paraId="2ADA0EA0">
            <w:pPr>
              <w:spacing w:line="320" w:lineRule="exact"/>
              <w:jc w:val="left"/>
              <w:rPr>
                <w:color w:val="000000"/>
                <w:kern w:val="0"/>
                <w:sz w:val="18"/>
                <w:szCs w:val="18"/>
              </w:rPr>
            </w:pPr>
            <w:r>
              <w:rPr>
                <w:rFonts w:hint="eastAsia"/>
                <w:color w:val="000000"/>
                <w:kern w:val="0"/>
                <w:sz w:val="18"/>
                <w:szCs w:val="18"/>
              </w:rPr>
              <w:t xml:space="preserve">    （二）未在初步设计阶段将建设工程抗震设防专篇作为设计文件组成部分；</w:t>
            </w:r>
          </w:p>
          <w:p w14:paraId="740D4C23">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7752B9D0">
            <w:pPr>
              <w:spacing w:line="32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058B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E2B5F3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944BE6F">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14:paraId="3981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2F2FF9C">
            <w:pPr>
              <w:spacing w:line="320" w:lineRule="exact"/>
              <w:jc w:val="center"/>
              <w:rPr>
                <w:color w:val="000000"/>
                <w:kern w:val="0"/>
                <w:sz w:val="18"/>
                <w:szCs w:val="18"/>
              </w:rPr>
            </w:pPr>
            <w:r>
              <w:rPr>
                <w:rFonts w:hint="eastAsia"/>
                <w:color w:val="000000"/>
                <w:kern w:val="0"/>
                <w:sz w:val="18"/>
                <w:szCs w:val="18"/>
              </w:rPr>
              <w:t>裁量基准</w:t>
            </w:r>
          </w:p>
        </w:tc>
      </w:tr>
      <w:tr w14:paraId="210C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0F1FD3EC">
            <w:pPr>
              <w:rPr>
                <w:color w:val="000000"/>
                <w:kern w:val="0"/>
                <w:sz w:val="18"/>
                <w:szCs w:val="18"/>
              </w:rPr>
            </w:pPr>
            <w:r>
              <w:rPr>
                <w:rFonts w:hint="eastAsia"/>
                <w:color w:val="000000"/>
                <w:kern w:val="0"/>
                <w:sz w:val="18"/>
                <w:szCs w:val="18"/>
              </w:rPr>
              <w:t>情形描述</w:t>
            </w:r>
          </w:p>
        </w:tc>
        <w:tc>
          <w:tcPr>
            <w:tcW w:w="6376" w:type="dxa"/>
            <w:vAlign w:val="center"/>
          </w:tcPr>
          <w:p w14:paraId="56A7516B">
            <w:pPr>
              <w:rPr>
                <w:color w:val="000000"/>
                <w:kern w:val="0"/>
                <w:sz w:val="18"/>
                <w:szCs w:val="18"/>
              </w:rPr>
            </w:pPr>
            <w:r>
              <w:rPr>
                <w:rFonts w:hint="eastAsia"/>
                <w:color w:val="000000"/>
                <w:kern w:val="0"/>
                <w:sz w:val="18"/>
                <w:szCs w:val="18"/>
              </w:rPr>
              <w:t>按要求改正</w:t>
            </w:r>
          </w:p>
        </w:tc>
        <w:tc>
          <w:tcPr>
            <w:tcW w:w="1016" w:type="dxa"/>
            <w:vMerge w:val="restart"/>
            <w:vAlign w:val="center"/>
          </w:tcPr>
          <w:p w14:paraId="4FAE776A">
            <w:pPr>
              <w:rPr>
                <w:color w:val="000000"/>
                <w:kern w:val="0"/>
                <w:sz w:val="18"/>
                <w:szCs w:val="18"/>
              </w:rPr>
            </w:pPr>
            <w:r>
              <w:rPr>
                <w:rFonts w:hint="eastAsia"/>
                <w:color w:val="000000"/>
                <w:kern w:val="0"/>
                <w:sz w:val="18"/>
                <w:szCs w:val="18"/>
              </w:rPr>
              <w:t>裁量幅度</w:t>
            </w:r>
          </w:p>
        </w:tc>
        <w:tc>
          <w:tcPr>
            <w:tcW w:w="5614" w:type="dxa"/>
            <w:vAlign w:val="center"/>
          </w:tcPr>
          <w:p w14:paraId="55ECEE2B">
            <w:pPr>
              <w:rPr>
                <w:color w:val="000000"/>
                <w:kern w:val="0"/>
                <w:sz w:val="18"/>
                <w:szCs w:val="18"/>
              </w:rPr>
            </w:pPr>
            <w:r>
              <w:rPr>
                <w:rFonts w:hint="eastAsia"/>
                <w:color w:val="000000"/>
                <w:kern w:val="0"/>
                <w:sz w:val="18"/>
                <w:szCs w:val="18"/>
              </w:rPr>
              <w:t>处10万元以上20万元以下的罚款</w:t>
            </w:r>
          </w:p>
          <w:p w14:paraId="7908B20A">
            <w:pPr>
              <w:spacing w:line="320" w:lineRule="exact"/>
              <w:jc w:val="left"/>
              <w:rPr>
                <w:color w:val="000000"/>
                <w:kern w:val="0"/>
                <w:sz w:val="18"/>
                <w:szCs w:val="18"/>
              </w:rPr>
            </w:pPr>
            <w:r>
              <w:rPr>
                <w:rFonts w:hint="eastAsia"/>
                <w:color w:val="000000"/>
                <w:kern w:val="0"/>
                <w:sz w:val="18"/>
                <w:szCs w:val="18"/>
              </w:rPr>
              <w:t>对其直接负责的主管人员和其他直接责任人员处单位罚款数额5%以上7%以下的罚款。</w:t>
            </w:r>
          </w:p>
        </w:tc>
      </w:tr>
      <w:tr w14:paraId="4D72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47A9378">
            <w:pPr>
              <w:spacing w:line="320" w:lineRule="exact"/>
              <w:jc w:val="left"/>
              <w:rPr>
                <w:color w:val="000000"/>
                <w:kern w:val="0"/>
                <w:sz w:val="18"/>
                <w:szCs w:val="18"/>
              </w:rPr>
            </w:pPr>
          </w:p>
        </w:tc>
        <w:tc>
          <w:tcPr>
            <w:tcW w:w="6376" w:type="dxa"/>
            <w:vAlign w:val="center"/>
          </w:tcPr>
          <w:p w14:paraId="620A6B37">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continue"/>
            <w:vAlign w:val="center"/>
          </w:tcPr>
          <w:p w14:paraId="381C3DAF">
            <w:pPr>
              <w:spacing w:line="320" w:lineRule="exact"/>
              <w:jc w:val="left"/>
              <w:rPr>
                <w:color w:val="000000"/>
                <w:kern w:val="0"/>
                <w:sz w:val="18"/>
                <w:szCs w:val="18"/>
              </w:rPr>
            </w:pPr>
          </w:p>
        </w:tc>
        <w:tc>
          <w:tcPr>
            <w:tcW w:w="5614" w:type="dxa"/>
            <w:vAlign w:val="center"/>
          </w:tcPr>
          <w:p w14:paraId="2B4C93BA">
            <w:pPr>
              <w:rPr>
                <w:color w:val="000000"/>
                <w:kern w:val="0"/>
                <w:sz w:val="18"/>
                <w:szCs w:val="18"/>
              </w:rPr>
            </w:pPr>
            <w:r>
              <w:rPr>
                <w:rFonts w:hint="eastAsia"/>
                <w:color w:val="000000"/>
                <w:kern w:val="0"/>
                <w:sz w:val="18"/>
                <w:szCs w:val="18"/>
              </w:rPr>
              <w:t>处20万元以上30万元以下的罚款</w:t>
            </w:r>
          </w:p>
          <w:p w14:paraId="6EE02BE4">
            <w:pPr>
              <w:rPr>
                <w:color w:val="000000"/>
                <w:kern w:val="0"/>
                <w:sz w:val="18"/>
                <w:szCs w:val="18"/>
              </w:rPr>
            </w:pPr>
            <w:r>
              <w:rPr>
                <w:rFonts w:hint="eastAsia"/>
                <w:color w:val="000000"/>
                <w:kern w:val="0"/>
                <w:sz w:val="18"/>
                <w:szCs w:val="18"/>
              </w:rPr>
              <w:t>对其直接负责的主管人员和其他直接责任人员处单位罚款数额7%以上10%以下的罚款。</w:t>
            </w:r>
          </w:p>
        </w:tc>
      </w:tr>
    </w:tbl>
    <w:p w14:paraId="17CBABCD"/>
    <w:p w14:paraId="4654738A"/>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B84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B93261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F4A589E">
            <w:pPr>
              <w:spacing w:line="320" w:lineRule="exact"/>
              <w:rPr>
                <w:rFonts w:eastAsia="仿宋_GB2312"/>
                <w:b/>
                <w:bCs/>
                <w:color w:val="000000"/>
                <w:kern w:val="0"/>
                <w:sz w:val="18"/>
                <w:szCs w:val="18"/>
              </w:rPr>
            </w:pPr>
            <w:r>
              <w:rPr>
                <w:rFonts w:eastAsia="仿宋_GB2312"/>
                <w:b/>
                <w:bCs/>
                <w:color w:val="000000"/>
                <w:kern w:val="0"/>
                <w:sz w:val="18"/>
                <w:szCs w:val="18"/>
              </w:rPr>
              <w:t>320217860000</w:t>
            </w:r>
          </w:p>
        </w:tc>
      </w:tr>
      <w:tr w14:paraId="0150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B945CC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3453A60">
            <w:pPr>
              <w:spacing w:line="320" w:lineRule="exact"/>
              <w:jc w:val="left"/>
              <w:rPr>
                <w:color w:val="000000"/>
                <w:spacing w:val="-6"/>
                <w:kern w:val="0"/>
                <w:sz w:val="18"/>
                <w:szCs w:val="18"/>
              </w:rPr>
            </w:pPr>
            <w:r>
              <w:rPr>
                <w:rFonts w:hint="eastAsia"/>
                <w:color w:val="000000"/>
                <w:spacing w:val="-6"/>
                <w:kern w:val="0"/>
                <w:sz w:val="18"/>
                <w:szCs w:val="18"/>
              </w:rPr>
              <w:t>对建设单位未组织勘察、设计、施工、工程监理单位建立隔震减震工程质量可追溯制度的，或者未对隔震减震装置采购、勘察、设计、进场检测、安装施工、竣工验收等全过程的信息资料进行采集和存储，并纳入建设项目档案的处罚</w:t>
            </w:r>
          </w:p>
        </w:tc>
      </w:tr>
      <w:tr w14:paraId="02290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4AAED0A0">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124B11F9">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3CBD8DED">
            <w:pPr>
              <w:spacing w:line="320" w:lineRule="exact"/>
              <w:jc w:val="left"/>
              <w:rPr>
                <w:color w:val="000000"/>
                <w:kern w:val="0"/>
                <w:sz w:val="18"/>
                <w:szCs w:val="18"/>
              </w:rPr>
            </w:pPr>
            <w:r>
              <w:rPr>
                <w:rFonts w:hint="eastAsia"/>
                <w:color w:val="000000"/>
                <w:kern w:val="0"/>
                <w:sz w:val="18"/>
                <w:szCs w:val="18"/>
              </w:rPr>
              <w:t xml:space="preserve">       第十七条第三款   建设单位应当组织勘察、设计、施工、工程监理单位建立隔震减震工程质量可追溯制度，利用信息化手段对隔震减震装置采购、勘察、设计、进场检测、安装施工、竣工验收等全过程的信息资料进行采集和存储，并纳入建设项目档案。</w:t>
            </w:r>
          </w:p>
          <w:p w14:paraId="3DE2EAAB">
            <w:pPr>
              <w:spacing w:line="320" w:lineRule="exact"/>
              <w:jc w:val="left"/>
              <w:rPr>
                <w:color w:val="000000"/>
                <w:kern w:val="0"/>
                <w:sz w:val="18"/>
                <w:szCs w:val="18"/>
              </w:rPr>
            </w:pPr>
            <w:r>
              <w:rPr>
                <w:rFonts w:hint="eastAsia"/>
                <w:color w:val="000000"/>
                <w:kern w:val="0"/>
                <w:sz w:val="18"/>
                <w:szCs w:val="18"/>
              </w:rPr>
              <w:t xml:space="preserve">       第四十条第三款  违反本条例规定，建设单位未组织勘察、设计、施工、工程监理单位建立隔震减震工程质量可追溯制度的，或者未对隔震减震装置采购、勘察、设计、进场检测、安装施工、竣工验收等全过程的信息资料进行采集和存储，并纳入建设项目档案的，责令改正，处10万元以上30万元以下的罚款；造成损失的，依法承担赔偿责任。</w:t>
            </w:r>
          </w:p>
          <w:p w14:paraId="369A69A1">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3679A0B9">
            <w:pPr>
              <w:spacing w:line="32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5C90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3A1E9E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8F18818">
            <w:pPr>
              <w:spacing w:line="320" w:lineRule="exact"/>
              <w:jc w:val="left"/>
              <w:rPr>
                <w:color w:val="000000"/>
                <w:kern w:val="0"/>
                <w:sz w:val="18"/>
                <w:szCs w:val="18"/>
              </w:rPr>
            </w:pPr>
            <w:r>
              <w:rPr>
                <w:rFonts w:hint="eastAsia"/>
                <w:color w:val="000000"/>
                <w:kern w:val="0"/>
                <w:sz w:val="18"/>
                <w:szCs w:val="18"/>
              </w:rPr>
              <w:t>责令改正，罚款</w:t>
            </w:r>
          </w:p>
        </w:tc>
      </w:tr>
      <w:tr w14:paraId="44B9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71E35F4">
            <w:pPr>
              <w:spacing w:line="320" w:lineRule="exact"/>
              <w:jc w:val="center"/>
              <w:rPr>
                <w:color w:val="000000"/>
                <w:kern w:val="0"/>
                <w:sz w:val="18"/>
                <w:szCs w:val="18"/>
              </w:rPr>
            </w:pPr>
            <w:r>
              <w:rPr>
                <w:rFonts w:hint="eastAsia"/>
                <w:color w:val="000000"/>
                <w:kern w:val="0"/>
                <w:sz w:val="18"/>
                <w:szCs w:val="18"/>
              </w:rPr>
              <w:t>裁量基准</w:t>
            </w:r>
          </w:p>
        </w:tc>
      </w:tr>
      <w:tr w14:paraId="2680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4C997116">
            <w:pPr>
              <w:rPr>
                <w:color w:val="000000"/>
                <w:kern w:val="0"/>
                <w:sz w:val="18"/>
                <w:szCs w:val="18"/>
              </w:rPr>
            </w:pPr>
            <w:r>
              <w:rPr>
                <w:rFonts w:hint="eastAsia"/>
                <w:color w:val="000000"/>
                <w:kern w:val="0"/>
                <w:sz w:val="18"/>
                <w:szCs w:val="18"/>
              </w:rPr>
              <w:t>情形描述</w:t>
            </w:r>
          </w:p>
        </w:tc>
        <w:tc>
          <w:tcPr>
            <w:tcW w:w="6376" w:type="dxa"/>
            <w:vAlign w:val="center"/>
          </w:tcPr>
          <w:p w14:paraId="71650FEB">
            <w:pPr>
              <w:rPr>
                <w:color w:val="000000"/>
                <w:kern w:val="0"/>
                <w:sz w:val="18"/>
                <w:szCs w:val="18"/>
              </w:rPr>
            </w:pPr>
            <w:r>
              <w:rPr>
                <w:rFonts w:hint="eastAsia"/>
                <w:color w:val="000000"/>
                <w:kern w:val="0"/>
                <w:sz w:val="18"/>
                <w:szCs w:val="18"/>
              </w:rPr>
              <w:t>按要求改正</w:t>
            </w:r>
          </w:p>
        </w:tc>
        <w:tc>
          <w:tcPr>
            <w:tcW w:w="1016" w:type="dxa"/>
            <w:vMerge w:val="restart"/>
            <w:vAlign w:val="center"/>
          </w:tcPr>
          <w:p w14:paraId="5A59326E">
            <w:pPr>
              <w:rPr>
                <w:color w:val="000000"/>
                <w:kern w:val="0"/>
                <w:sz w:val="18"/>
                <w:szCs w:val="18"/>
              </w:rPr>
            </w:pPr>
            <w:r>
              <w:rPr>
                <w:rFonts w:hint="eastAsia"/>
                <w:color w:val="000000"/>
                <w:kern w:val="0"/>
                <w:sz w:val="18"/>
                <w:szCs w:val="18"/>
              </w:rPr>
              <w:t>裁量幅度</w:t>
            </w:r>
          </w:p>
        </w:tc>
        <w:tc>
          <w:tcPr>
            <w:tcW w:w="5614" w:type="dxa"/>
            <w:vAlign w:val="center"/>
          </w:tcPr>
          <w:p w14:paraId="584E0A7A">
            <w:pPr>
              <w:rPr>
                <w:color w:val="000000"/>
                <w:kern w:val="0"/>
                <w:sz w:val="18"/>
                <w:szCs w:val="18"/>
              </w:rPr>
            </w:pPr>
            <w:r>
              <w:rPr>
                <w:rFonts w:hint="eastAsia"/>
                <w:color w:val="000000"/>
                <w:kern w:val="0"/>
                <w:sz w:val="18"/>
                <w:szCs w:val="18"/>
              </w:rPr>
              <w:t>处10万元以上20万元以下的罚款</w:t>
            </w:r>
          </w:p>
          <w:p w14:paraId="26C97247">
            <w:pPr>
              <w:spacing w:line="320" w:lineRule="exact"/>
              <w:jc w:val="left"/>
              <w:rPr>
                <w:color w:val="000000"/>
                <w:kern w:val="0"/>
                <w:sz w:val="18"/>
                <w:szCs w:val="18"/>
              </w:rPr>
            </w:pPr>
            <w:r>
              <w:rPr>
                <w:rFonts w:hint="eastAsia"/>
                <w:color w:val="000000"/>
                <w:kern w:val="0"/>
                <w:sz w:val="18"/>
                <w:szCs w:val="18"/>
              </w:rPr>
              <w:t>对其直接负责的主管人员和其他直接责任人员处单位罚款数额5%以上7%以下的罚款。</w:t>
            </w:r>
          </w:p>
        </w:tc>
      </w:tr>
      <w:tr w14:paraId="6E3A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45FF248B">
            <w:pPr>
              <w:spacing w:line="320" w:lineRule="exact"/>
              <w:jc w:val="left"/>
              <w:rPr>
                <w:color w:val="000000"/>
                <w:kern w:val="0"/>
                <w:sz w:val="18"/>
                <w:szCs w:val="18"/>
              </w:rPr>
            </w:pPr>
          </w:p>
        </w:tc>
        <w:tc>
          <w:tcPr>
            <w:tcW w:w="6376" w:type="dxa"/>
            <w:vAlign w:val="center"/>
          </w:tcPr>
          <w:p w14:paraId="310BF5B4">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continue"/>
            <w:vAlign w:val="center"/>
          </w:tcPr>
          <w:p w14:paraId="0BA4C0CD">
            <w:pPr>
              <w:spacing w:line="320" w:lineRule="exact"/>
              <w:jc w:val="left"/>
              <w:rPr>
                <w:color w:val="000000"/>
                <w:kern w:val="0"/>
                <w:sz w:val="18"/>
                <w:szCs w:val="18"/>
              </w:rPr>
            </w:pPr>
          </w:p>
        </w:tc>
        <w:tc>
          <w:tcPr>
            <w:tcW w:w="5614" w:type="dxa"/>
            <w:vAlign w:val="center"/>
          </w:tcPr>
          <w:p w14:paraId="1D7C5755">
            <w:pPr>
              <w:rPr>
                <w:color w:val="000000"/>
                <w:kern w:val="0"/>
                <w:sz w:val="18"/>
                <w:szCs w:val="18"/>
              </w:rPr>
            </w:pPr>
            <w:r>
              <w:rPr>
                <w:rFonts w:hint="eastAsia"/>
                <w:color w:val="000000"/>
                <w:kern w:val="0"/>
                <w:sz w:val="18"/>
                <w:szCs w:val="18"/>
              </w:rPr>
              <w:t>处20万元以上30万元以下的罚款</w:t>
            </w:r>
          </w:p>
          <w:p w14:paraId="6113265F">
            <w:pPr>
              <w:spacing w:line="320" w:lineRule="exact"/>
              <w:jc w:val="left"/>
              <w:rPr>
                <w:color w:val="000000"/>
                <w:kern w:val="0"/>
                <w:sz w:val="18"/>
                <w:szCs w:val="18"/>
              </w:rPr>
            </w:pPr>
            <w:r>
              <w:rPr>
                <w:rFonts w:hint="eastAsia"/>
                <w:color w:val="000000"/>
                <w:kern w:val="0"/>
                <w:sz w:val="18"/>
                <w:szCs w:val="18"/>
              </w:rPr>
              <w:t>对其直接负责的主管人员和其他直接责任人员处单位罚款数额7%以上10%以下的罚款。</w:t>
            </w:r>
          </w:p>
        </w:tc>
      </w:tr>
    </w:tbl>
    <w:p w14:paraId="05AFD002"/>
    <w:p w14:paraId="54921A85"/>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0C07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8A2E56A">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E229D26">
            <w:pPr>
              <w:spacing w:line="320" w:lineRule="exact"/>
              <w:rPr>
                <w:rFonts w:eastAsia="仿宋_GB2312"/>
                <w:b/>
                <w:bCs/>
                <w:color w:val="000000"/>
                <w:kern w:val="0"/>
                <w:sz w:val="18"/>
                <w:szCs w:val="18"/>
              </w:rPr>
            </w:pPr>
            <w:r>
              <w:rPr>
                <w:rFonts w:eastAsia="仿宋_GB2312"/>
                <w:b/>
                <w:bCs/>
                <w:color w:val="000000"/>
                <w:kern w:val="0"/>
                <w:sz w:val="18"/>
                <w:szCs w:val="18"/>
              </w:rPr>
              <w:t>320217861000</w:t>
            </w:r>
          </w:p>
        </w:tc>
      </w:tr>
      <w:tr w14:paraId="048B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81C107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B6917A1">
            <w:pPr>
              <w:spacing w:line="320" w:lineRule="exact"/>
              <w:jc w:val="left"/>
              <w:rPr>
                <w:color w:val="000000"/>
                <w:spacing w:val="-6"/>
                <w:kern w:val="0"/>
                <w:sz w:val="18"/>
                <w:szCs w:val="18"/>
              </w:rPr>
            </w:pPr>
            <w:r>
              <w:rPr>
                <w:rFonts w:hint="eastAsia"/>
                <w:color w:val="000000"/>
                <w:spacing w:val="-6"/>
                <w:kern w:val="0"/>
                <w:sz w:val="18"/>
                <w:szCs w:val="18"/>
              </w:rPr>
              <w:t>对建设单位未经超限高层建筑工程抗震设防审批进行施工的处罚</w:t>
            </w:r>
          </w:p>
        </w:tc>
      </w:tr>
      <w:tr w14:paraId="69C63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42CC3746">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E1F1CCF">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51C5D680">
            <w:pPr>
              <w:spacing w:line="320" w:lineRule="exact"/>
              <w:jc w:val="left"/>
              <w:rPr>
                <w:color w:val="000000"/>
                <w:kern w:val="0"/>
                <w:sz w:val="18"/>
                <w:szCs w:val="18"/>
              </w:rPr>
            </w:pPr>
            <w:r>
              <w:rPr>
                <w:rFonts w:hint="eastAsia"/>
                <w:color w:val="000000"/>
                <w:kern w:val="0"/>
                <w:sz w:val="18"/>
                <w:szCs w:val="18"/>
              </w:rPr>
              <w:t xml:space="preserve">       第十三条　对超限高层建筑工程，设计单位应当在设计文件中予以说明，建设单位应当在初步设计阶段将设计文件等材料报送省、自治区、直辖市人民政府住房和城乡建设主管部门进行抗震设防审批。住房和城乡建设主管部门应当组织专家审查，对采取的抗震设防措施合理可行的，予以批准。超限高层建筑工程抗震设防审批意见应当作为施工图设计和审查的依据。</w:t>
            </w:r>
          </w:p>
          <w:p w14:paraId="5C727227">
            <w:pPr>
              <w:spacing w:line="320" w:lineRule="exact"/>
              <w:jc w:val="left"/>
              <w:rPr>
                <w:color w:val="000000"/>
                <w:kern w:val="0"/>
                <w:sz w:val="18"/>
                <w:szCs w:val="18"/>
              </w:rPr>
            </w:pPr>
            <w:r>
              <w:rPr>
                <w:rFonts w:hint="eastAsia"/>
                <w:color w:val="000000"/>
                <w:kern w:val="0"/>
                <w:sz w:val="18"/>
                <w:szCs w:val="18"/>
              </w:rPr>
              <w:t xml:space="preserve">        前款所称超限高层建筑工程，是指超出国家现行标准所规定的适用高度和适用结构类型的高层建筑工程以及体型特别不规则的高层建筑工程。</w:t>
            </w:r>
          </w:p>
          <w:p w14:paraId="1D8176CB">
            <w:pPr>
              <w:spacing w:line="320" w:lineRule="exact"/>
              <w:jc w:val="left"/>
              <w:rPr>
                <w:color w:val="000000"/>
                <w:kern w:val="0"/>
                <w:sz w:val="18"/>
                <w:szCs w:val="18"/>
              </w:rPr>
            </w:pPr>
            <w:r>
              <w:rPr>
                <w:rFonts w:hint="eastAsia"/>
                <w:color w:val="000000"/>
                <w:kern w:val="0"/>
                <w:sz w:val="18"/>
                <w:szCs w:val="18"/>
              </w:rPr>
              <w:t xml:space="preserve">       第四十条第二款  违反本条例规定，建设单位未经超限高层建筑工程抗震设防审批进行施工的，责令停止施工，限期改正，处20万元以上100万元以下的罚款；造成损失的，依法承担赔偿责任。</w:t>
            </w:r>
          </w:p>
          <w:p w14:paraId="3E47AA6A">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1141554D">
            <w:pPr>
              <w:spacing w:line="32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28BB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8CA940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8603612">
            <w:pPr>
              <w:spacing w:line="320" w:lineRule="exact"/>
              <w:jc w:val="left"/>
              <w:rPr>
                <w:color w:val="000000"/>
                <w:kern w:val="0"/>
                <w:sz w:val="18"/>
                <w:szCs w:val="18"/>
              </w:rPr>
            </w:pPr>
            <w:r>
              <w:rPr>
                <w:rFonts w:hint="eastAsia"/>
                <w:color w:val="000000"/>
                <w:kern w:val="0"/>
                <w:sz w:val="18"/>
                <w:szCs w:val="18"/>
              </w:rPr>
              <w:t>责令停止施工，限期改正，罚款</w:t>
            </w:r>
          </w:p>
        </w:tc>
      </w:tr>
      <w:tr w14:paraId="0003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14D40A3">
            <w:pPr>
              <w:spacing w:line="320" w:lineRule="exact"/>
              <w:jc w:val="center"/>
              <w:rPr>
                <w:color w:val="000000"/>
                <w:kern w:val="0"/>
                <w:sz w:val="18"/>
                <w:szCs w:val="18"/>
              </w:rPr>
            </w:pPr>
            <w:r>
              <w:rPr>
                <w:rFonts w:hint="eastAsia"/>
                <w:color w:val="000000"/>
                <w:kern w:val="0"/>
                <w:sz w:val="18"/>
                <w:szCs w:val="18"/>
              </w:rPr>
              <w:t>裁量基准</w:t>
            </w:r>
          </w:p>
        </w:tc>
      </w:tr>
      <w:tr w14:paraId="3DC0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039756A1">
            <w:pPr>
              <w:rPr>
                <w:color w:val="000000"/>
                <w:kern w:val="0"/>
                <w:sz w:val="18"/>
                <w:szCs w:val="18"/>
              </w:rPr>
            </w:pPr>
            <w:r>
              <w:rPr>
                <w:rFonts w:hint="eastAsia"/>
                <w:color w:val="000000"/>
                <w:kern w:val="0"/>
                <w:sz w:val="18"/>
                <w:szCs w:val="18"/>
              </w:rPr>
              <w:t>情形描述</w:t>
            </w:r>
          </w:p>
        </w:tc>
        <w:tc>
          <w:tcPr>
            <w:tcW w:w="6376" w:type="dxa"/>
            <w:vAlign w:val="center"/>
          </w:tcPr>
          <w:p w14:paraId="69D6D2D3">
            <w:pPr>
              <w:spacing w:line="28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14:paraId="709F1ABE">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14:paraId="74402753">
            <w:pPr>
              <w:spacing w:line="280" w:lineRule="exact"/>
              <w:rPr>
                <w:color w:val="000000"/>
                <w:kern w:val="0"/>
                <w:sz w:val="18"/>
                <w:szCs w:val="18"/>
              </w:rPr>
            </w:pPr>
            <w:r>
              <w:rPr>
                <w:rFonts w:hint="eastAsia"/>
                <w:color w:val="000000"/>
                <w:kern w:val="0"/>
                <w:sz w:val="18"/>
                <w:szCs w:val="18"/>
              </w:rPr>
              <w:t>处20万元以上40万元以下的罚款</w:t>
            </w:r>
          </w:p>
          <w:p w14:paraId="4F68EFD1">
            <w:pPr>
              <w:spacing w:line="280" w:lineRule="exact"/>
              <w:rPr>
                <w:color w:val="000000"/>
                <w:kern w:val="0"/>
                <w:sz w:val="18"/>
                <w:szCs w:val="18"/>
              </w:rPr>
            </w:pPr>
            <w:r>
              <w:rPr>
                <w:rFonts w:hint="eastAsia"/>
                <w:color w:val="000000"/>
                <w:kern w:val="0"/>
                <w:sz w:val="18"/>
                <w:szCs w:val="18"/>
              </w:rPr>
              <w:t>单位直接负责的主管人员和其他直接责任人员处单位罚款数额5％以上6</w:t>
            </w:r>
            <w:r>
              <w:rPr>
                <w:color w:val="000000"/>
                <w:kern w:val="0"/>
                <w:sz w:val="18"/>
                <w:szCs w:val="18"/>
              </w:rPr>
              <w:t>％</w:t>
            </w:r>
            <w:r>
              <w:rPr>
                <w:rFonts w:hint="eastAsia"/>
                <w:color w:val="000000"/>
                <w:kern w:val="0"/>
                <w:sz w:val="18"/>
                <w:szCs w:val="18"/>
              </w:rPr>
              <w:t>以下的罚款</w:t>
            </w:r>
          </w:p>
        </w:tc>
      </w:tr>
      <w:tr w14:paraId="3650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BC03440">
            <w:pPr>
              <w:spacing w:line="320" w:lineRule="exact"/>
              <w:jc w:val="left"/>
              <w:rPr>
                <w:color w:val="000000"/>
                <w:kern w:val="0"/>
                <w:sz w:val="18"/>
                <w:szCs w:val="18"/>
              </w:rPr>
            </w:pPr>
          </w:p>
        </w:tc>
        <w:tc>
          <w:tcPr>
            <w:tcW w:w="6376" w:type="dxa"/>
            <w:vAlign w:val="center"/>
          </w:tcPr>
          <w:p w14:paraId="3CA6CC3B">
            <w:pPr>
              <w:spacing w:line="280" w:lineRule="exact"/>
              <w:jc w:val="left"/>
              <w:rPr>
                <w:color w:val="000000"/>
                <w:kern w:val="0"/>
                <w:sz w:val="18"/>
                <w:szCs w:val="18"/>
              </w:rPr>
            </w:pPr>
            <w:r>
              <w:rPr>
                <w:rFonts w:hint="eastAsia"/>
                <w:color w:val="000000"/>
                <w:kern w:val="0"/>
                <w:sz w:val="18"/>
                <w:szCs w:val="18"/>
              </w:rPr>
              <w:t>未按照要求改正的，未造成安全事故的</w:t>
            </w:r>
          </w:p>
        </w:tc>
        <w:tc>
          <w:tcPr>
            <w:tcW w:w="1016" w:type="dxa"/>
            <w:vMerge w:val="continue"/>
            <w:vAlign w:val="center"/>
          </w:tcPr>
          <w:p w14:paraId="67DC0EF0">
            <w:pPr>
              <w:spacing w:line="280" w:lineRule="exact"/>
              <w:jc w:val="left"/>
              <w:rPr>
                <w:color w:val="000000"/>
                <w:kern w:val="0"/>
                <w:sz w:val="18"/>
                <w:szCs w:val="18"/>
              </w:rPr>
            </w:pPr>
          </w:p>
        </w:tc>
        <w:tc>
          <w:tcPr>
            <w:tcW w:w="5614" w:type="dxa"/>
            <w:vAlign w:val="center"/>
          </w:tcPr>
          <w:p w14:paraId="4C01AA92">
            <w:pPr>
              <w:spacing w:line="280" w:lineRule="exact"/>
              <w:rPr>
                <w:color w:val="000000"/>
                <w:kern w:val="0"/>
                <w:sz w:val="18"/>
                <w:szCs w:val="18"/>
              </w:rPr>
            </w:pPr>
            <w:r>
              <w:rPr>
                <w:rFonts w:hint="eastAsia"/>
                <w:color w:val="000000"/>
                <w:kern w:val="0"/>
                <w:sz w:val="18"/>
                <w:szCs w:val="18"/>
              </w:rPr>
              <w:t>40万元以上60万元以下的罚款</w:t>
            </w:r>
          </w:p>
          <w:p w14:paraId="13490348">
            <w:pPr>
              <w:spacing w:line="280" w:lineRule="exact"/>
              <w:rPr>
                <w:color w:val="000000"/>
                <w:kern w:val="0"/>
                <w:sz w:val="18"/>
                <w:szCs w:val="18"/>
              </w:rPr>
            </w:pPr>
            <w:r>
              <w:rPr>
                <w:rFonts w:hint="eastAsia"/>
                <w:color w:val="000000"/>
                <w:kern w:val="0"/>
                <w:sz w:val="18"/>
                <w:szCs w:val="18"/>
              </w:rPr>
              <w:t>单位直接负责的主管人员和其他直接责任人员处单位罚款数额6％以上8</w:t>
            </w:r>
            <w:r>
              <w:rPr>
                <w:color w:val="000000"/>
                <w:kern w:val="0"/>
                <w:sz w:val="18"/>
                <w:szCs w:val="18"/>
              </w:rPr>
              <w:t>％</w:t>
            </w:r>
            <w:r>
              <w:rPr>
                <w:rFonts w:hint="eastAsia"/>
                <w:color w:val="000000"/>
                <w:kern w:val="0"/>
                <w:sz w:val="18"/>
                <w:szCs w:val="18"/>
              </w:rPr>
              <w:t>以下的罚款</w:t>
            </w:r>
          </w:p>
        </w:tc>
      </w:tr>
      <w:tr w14:paraId="4CCA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2BCD2A25">
            <w:pPr>
              <w:spacing w:line="320" w:lineRule="exact"/>
              <w:jc w:val="left"/>
              <w:rPr>
                <w:color w:val="000000"/>
                <w:kern w:val="0"/>
                <w:sz w:val="18"/>
                <w:szCs w:val="18"/>
              </w:rPr>
            </w:pPr>
          </w:p>
        </w:tc>
        <w:tc>
          <w:tcPr>
            <w:tcW w:w="6376" w:type="dxa"/>
            <w:vAlign w:val="center"/>
          </w:tcPr>
          <w:p w14:paraId="259164A0">
            <w:pPr>
              <w:spacing w:line="280" w:lineRule="exact"/>
              <w:jc w:val="left"/>
              <w:rPr>
                <w:color w:val="000000"/>
                <w:kern w:val="0"/>
                <w:sz w:val="18"/>
                <w:szCs w:val="18"/>
              </w:rPr>
            </w:pPr>
            <w:r>
              <w:rPr>
                <w:rFonts w:hint="eastAsia"/>
                <w:color w:val="000000"/>
                <w:kern w:val="0"/>
                <w:sz w:val="18"/>
                <w:szCs w:val="18"/>
              </w:rPr>
              <w:t>未按照要求改正的，造成安全事故的</w:t>
            </w:r>
          </w:p>
        </w:tc>
        <w:tc>
          <w:tcPr>
            <w:tcW w:w="1016" w:type="dxa"/>
            <w:vMerge w:val="continue"/>
            <w:vAlign w:val="center"/>
          </w:tcPr>
          <w:p w14:paraId="33B5D035">
            <w:pPr>
              <w:spacing w:line="280" w:lineRule="exact"/>
              <w:jc w:val="left"/>
              <w:rPr>
                <w:color w:val="000000"/>
                <w:kern w:val="0"/>
                <w:sz w:val="18"/>
                <w:szCs w:val="18"/>
              </w:rPr>
            </w:pPr>
          </w:p>
        </w:tc>
        <w:tc>
          <w:tcPr>
            <w:tcW w:w="5614" w:type="dxa"/>
            <w:vAlign w:val="center"/>
          </w:tcPr>
          <w:p w14:paraId="53F5CFD4">
            <w:pPr>
              <w:spacing w:line="280" w:lineRule="exact"/>
              <w:rPr>
                <w:color w:val="000000"/>
                <w:kern w:val="0"/>
                <w:sz w:val="18"/>
                <w:szCs w:val="18"/>
              </w:rPr>
            </w:pPr>
            <w:r>
              <w:rPr>
                <w:rFonts w:hint="eastAsia"/>
                <w:color w:val="000000"/>
                <w:kern w:val="0"/>
                <w:sz w:val="18"/>
                <w:szCs w:val="18"/>
              </w:rPr>
              <w:t>60万元以上100万元以下的罚款</w:t>
            </w:r>
          </w:p>
          <w:p w14:paraId="154CD527">
            <w:pPr>
              <w:spacing w:line="280" w:lineRule="exact"/>
              <w:rPr>
                <w:color w:val="000000"/>
                <w:kern w:val="0"/>
                <w:sz w:val="18"/>
                <w:szCs w:val="18"/>
              </w:rPr>
            </w:pPr>
            <w:r>
              <w:rPr>
                <w:rFonts w:hint="eastAsia"/>
                <w:color w:val="000000"/>
                <w:kern w:val="0"/>
                <w:sz w:val="18"/>
                <w:szCs w:val="18"/>
              </w:rPr>
              <w:t>单位直接负责的主管人员和其他直接责任人员处单位罚款数额8％以上10</w:t>
            </w:r>
            <w:r>
              <w:rPr>
                <w:color w:val="000000"/>
                <w:kern w:val="0"/>
                <w:sz w:val="18"/>
                <w:szCs w:val="18"/>
              </w:rPr>
              <w:t>％</w:t>
            </w:r>
            <w:r>
              <w:rPr>
                <w:rFonts w:hint="eastAsia"/>
                <w:color w:val="000000"/>
                <w:kern w:val="0"/>
                <w:sz w:val="18"/>
                <w:szCs w:val="18"/>
              </w:rPr>
              <w:t>以下的罚款</w:t>
            </w:r>
          </w:p>
        </w:tc>
      </w:tr>
    </w:tbl>
    <w:p w14:paraId="1FD700D6"/>
    <w:p w14:paraId="5D2362B9"/>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003E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33080DC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4E72954">
            <w:pPr>
              <w:spacing w:line="320" w:lineRule="exact"/>
              <w:rPr>
                <w:rFonts w:eastAsia="仿宋_GB2312"/>
                <w:b/>
                <w:bCs/>
                <w:color w:val="000000"/>
                <w:kern w:val="0"/>
                <w:sz w:val="18"/>
                <w:szCs w:val="18"/>
              </w:rPr>
            </w:pPr>
            <w:r>
              <w:rPr>
                <w:rFonts w:eastAsia="仿宋_GB2312"/>
                <w:b/>
                <w:bCs/>
                <w:color w:val="000000"/>
                <w:kern w:val="0"/>
                <w:sz w:val="18"/>
                <w:szCs w:val="18"/>
              </w:rPr>
              <w:t>320217862000</w:t>
            </w:r>
          </w:p>
        </w:tc>
      </w:tr>
      <w:tr w14:paraId="1B81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2114B6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D431249">
            <w:pPr>
              <w:spacing w:line="320" w:lineRule="exact"/>
              <w:jc w:val="left"/>
              <w:rPr>
                <w:color w:val="000000"/>
                <w:spacing w:val="-6"/>
                <w:kern w:val="0"/>
                <w:sz w:val="18"/>
                <w:szCs w:val="18"/>
              </w:rPr>
            </w:pPr>
            <w:r>
              <w:rPr>
                <w:rFonts w:hint="eastAsia"/>
                <w:color w:val="000000"/>
                <w:spacing w:val="-6"/>
                <w:kern w:val="0"/>
                <w:sz w:val="18"/>
                <w:szCs w:val="18"/>
              </w:rPr>
              <w:t>对建设单位明示或者暗示勘察、设计、施工等单位和从业人员违反抗震设防强制性标准，降低工程抗震性能的处罚</w:t>
            </w:r>
          </w:p>
        </w:tc>
      </w:tr>
      <w:tr w14:paraId="4059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4D0D1C79">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E4C79F2">
            <w:pPr>
              <w:spacing w:line="320" w:lineRule="exact"/>
              <w:jc w:val="left"/>
              <w:rPr>
                <w:color w:val="000000"/>
                <w:kern w:val="0"/>
                <w:sz w:val="18"/>
                <w:szCs w:val="18"/>
              </w:rPr>
            </w:pPr>
            <w:r>
              <w:rPr>
                <w:rFonts w:hint="eastAsia"/>
                <w:color w:val="000000"/>
                <w:kern w:val="0"/>
                <w:sz w:val="18"/>
                <w:szCs w:val="18"/>
              </w:rPr>
              <w:t>【行政法规】《建设工程抗震管理条例》(国务院令第744号）</w:t>
            </w:r>
          </w:p>
          <w:p w14:paraId="0E7A3B43">
            <w:pPr>
              <w:spacing w:line="320" w:lineRule="exact"/>
              <w:jc w:val="left"/>
              <w:rPr>
                <w:color w:val="000000"/>
                <w:kern w:val="0"/>
                <w:sz w:val="18"/>
                <w:szCs w:val="18"/>
              </w:rPr>
            </w:pPr>
            <w:r>
              <w:rPr>
                <w:rFonts w:hint="eastAsia"/>
                <w:color w:val="000000"/>
                <w:kern w:val="0"/>
                <w:sz w:val="18"/>
                <w:szCs w:val="18"/>
              </w:rPr>
              <w:t xml:space="preserve">       第十条　建设单位应当对建设工程勘察、设计和施工全过程负责，在勘察、设计和施工合同中明确拟采用的抗震设防强制性标准，按照合同要求对勘察设计成果文件进行核验，组织工程验收，确保建设工程符合抗震设防强制性标准。</w:t>
            </w:r>
          </w:p>
          <w:p w14:paraId="3F695766">
            <w:pPr>
              <w:spacing w:line="320" w:lineRule="exact"/>
              <w:jc w:val="left"/>
              <w:rPr>
                <w:color w:val="000000"/>
                <w:kern w:val="0"/>
                <w:sz w:val="18"/>
                <w:szCs w:val="18"/>
              </w:rPr>
            </w:pPr>
            <w:r>
              <w:rPr>
                <w:rFonts w:hint="eastAsia"/>
                <w:color w:val="000000"/>
                <w:kern w:val="0"/>
                <w:sz w:val="18"/>
                <w:szCs w:val="18"/>
              </w:rPr>
              <w:t>建设单位不得明示或者暗示勘察、设计、施工等单位和从业人员违反抗震设防强制性标准，降低工程抗震性能。</w:t>
            </w:r>
          </w:p>
          <w:p w14:paraId="5CD96904">
            <w:pPr>
              <w:spacing w:line="320" w:lineRule="exact"/>
              <w:jc w:val="left"/>
              <w:rPr>
                <w:color w:val="000000"/>
                <w:kern w:val="0"/>
                <w:sz w:val="18"/>
                <w:szCs w:val="18"/>
              </w:rPr>
            </w:pPr>
            <w:r>
              <w:rPr>
                <w:rFonts w:hint="eastAsia"/>
                <w:color w:val="000000"/>
                <w:kern w:val="0"/>
                <w:sz w:val="18"/>
                <w:szCs w:val="18"/>
              </w:rPr>
              <w:t xml:space="preserve">       第四十条第一款　违反本条例规定，建设单位明示或者暗示勘察、设计、施工等单位和从业人员违反抗震设防强制性标准，降低工程抗震性能的，责令改正，处20万元以上50万元以下的罚款；情节严重的，处50万元以上500万元以下的罚款；造成损失的，依法承担赔偿责任。</w:t>
            </w:r>
          </w:p>
          <w:p w14:paraId="3072CEEF">
            <w:pPr>
              <w:spacing w:line="320" w:lineRule="exact"/>
              <w:jc w:val="left"/>
              <w:rPr>
                <w:color w:val="000000"/>
                <w:kern w:val="0"/>
                <w:sz w:val="18"/>
                <w:szCs w:val="18"/>
              </w:rPr>
            </w:pPr>
            <w:r>
              <w:rPr>
                <w:rFonts w:hint="eastAsia"/>
                <w:color w:val="000000"/>
                <w:kern w:val="0"/>
                <w:sz w:val="18"/>
                <w:szCs w:val="18"/>
              </w:rPr>
              <w:t xml:space="preserve">      第四十七条　依照本条例规定，给予单位罚款处罚的，对其直接负责的主管人员和其他直接责任人员处单位罚款数额5%以上10%以下的罚款。</w:t>
            </w:r>
          </w:p>
          <w:p w14:paraId="3D1AC100">
            <w:pPr>
              <w:spacing w:line="320" w:lineRule="exact"/>
              <w:jc w:val="left"/>
              <w:rPr>
                <w:color w:val="000000"/>
                <w:kern w:val="0"/>
                <w:sz w:val="18"/>
                <w:szCs w:val="18"/>
              </w:rPr>
            </w:pPr>
            <w:r>
              <w:rPr>
                <w:rFonts w:hint="eastAsia"/>
                <w:color w:val="000000"/>
                <w:kern w:val="0"/>
                <w:sz w:val="18"/>
                <w:szCs w:val="18"/>
              </w:rPr>
              <w:t xml:space="preserve">       本条例规定的降低资质等级或者吊销资质证书的行政处罚，由颁发资质证书的机关决定；其他行政处罚，由住房和城乡建设主管部门或者其他有关监督管理部门依照法定职权决定。</w:t>
            </w:r>
          </w:p>
        </w:tc>
      </w:tr>
      <w:tr w14:paraId="2234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BDD85B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5F449C9">
            <w:pPr>
              <w:spacing w:line="320" w:lineRule="exact"/>
              <w:jc w:val="left"/>
              <w:rPr>
                <w:color w:val="000000"/>
                <w:kern w:val="0"/>
                <w:sz w:val="18"/>
                <w:szCs w:val="18"/>
              </w:rPr>
            </w:pPr>
            <w:r>
              <w:rPr>
                <w:rFonts w:hint="eastAsia"/>
                <w:color w:val="000000"/>
                <w:kern w:val="0"/>
                <w:sz w:val="18"/>
                <w:szCs w:val="18"/>
              </w:rPr>
              <w:t>责令改正，罚款</w:t>
            </w:r>
          </w:p>
        </w:tc>
      </w:tr>
      <w:tr w14:paraId="1C8D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1B9C0233">
            <w:pPr>
              <w:spacing w:line="320" w:lineRule="exact"/>
              <w:jc w:val="center"/>
              <w:rPr>
                <w:color w:val="000000"/>
                <w:kern w:val="0"/>
                <w:sz w:val="18"/>
                <w:szCs w:val="18"/>
              </w:rPr>
            </w:pPr>
            <w:r>
              <w:rPr>
                <w:rFonts w:hint="eastAsia"/>
                <w:color w:val="000000"/>
                <w:kern w:val="0"/>
                <w:sz w:val="18"/>
                <w:szCs w:val="18"/>
              </w:rPr>
              <w:t>裁量基准</w:t>
            </w:r>
          </w:p>
        </w:tc>
      </w:tr>
      <w:tr w14:paraId="694C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37E247F">
            <w:pPr>
              <w:rPr>
                <w:color w:val="000000"/>
                <w:kern w:val="0"/>
                <w:sz w:val="18"/>
                <w:szCs w:val="18"/>
              </w:rPr>
            </w:pPr>
            <w:r>
              <w:rPr>
                <w:rFonts w:hint="eastAsia"/>
                <w:color w:val="000000"/>
                <w:kern w:val="0"/>
                <w:sz w:val="18"/>
                <w:szCs w:val="18"/>
              </w:rPr>
              <w:t>情形描述</w:t>
            </w:r>
          </w:p>
        </w:tc>
        <w:tc>
          <w:tcPr>
            <w:tcW w:w="6376" w:type="dxa"/>
            <w:vAlign w:val="center"/>
          </w:tcPr>
          <w:p w14:paraId="38A2D530">
            <w:pPr>
              <w:spacing w:line="200" w:lineRule="exact"/>
              <w:jc w:val="left"/>
              <w:rPr>
                <w:color w:val="000000"/>
                <w:kern w:val="0"/>
                <w:sz w:val="18"/>
                <w:szCs w:val="18"/>
              </w:rPr>
            </w:pPr>
            <w:r>
              <w:rPr>
                <w:rFonts w:hint="eastAsia"/>
                <w:color w:val="000000"/>
                <w:kern w:val="0"/>
                <w:sz w:val="18"/>
                <w:szCs w:val="18"/>
              </w:rPr>
              <w:t>施工单位未开始施工的</w:t>
            </w:r>
          </w:p>
        </w:tc>
        <w:tc>
          <w:tcPr>
            <w:tcW w:w="1016" w:type="dxa"/>
            <w:vMerge w:val="restart"/>
            <w:vAlign w:val="center"/>
          </w:tcPr>
          <w:p w14:paraId="53C2DC2D">
            <w:pPr>
              <w:spacing w:line="200" w:lineRule="exact"/>
              <w:jc w:val="center"/>
              <w:rPr>
                <w:color w:val="000000"/>
                <w:kern w:val="0"/>
                <w:sz w:val="18"/>
                <w:szCs w:val="18"/>
              </w:rPr>
            </w:pPr>
            <w:r>
              <w:rPr>
                <w:rFonts w:hint="eastAsia"/>
                <w:color w:val="000000"/>
                <w:kern w:val="0"/>
                <w:sz w:val="18"/>
                <w:szCs w:val="18"/>
              </w:rPr>
              <w:t>裁量幅度</w:t>
            </w:r>
          </w:p>
        </w:tc>
        <w:tc>
          <w:tcPr>
            <w:tcW w:w="5614" w:type="dxa"/>
            <w:vAlign w:val="center"/>
          </w:tcPr>
          <w:p w14:paraId="0CEF8D0A">
            <w:pPr>
              <w:spacing w:line="200" w:lineRule="exact"/>
              <w:jc w:val="left"/>
              <w:rPr>
                <w:color w:val="000000"/>
                <w:kern w:val="0"/>
                <w:sz w:val="18"/>
                <w:szCs w:val="18"/>
              </w:rPr>
            </w:pPr>
            <w:r>
              <w:rPr>
                <w:rFonts w:hint="eastAsia"/>
                <w:color w:val="000000"/>
                <w:kern w:val="0"/>
                <w:sz w:val="18"/>
                <w:szCs w:val="18"/>
              </w:rPr>
              <w:t>处2</w:t>
            </w:r>
            <w:r>
              <w:rPr>
                <w:color w:val="000000"/>
                <w:kern w:val="0"/>
                <w:sz w:val="18"/>
                <w:szCs w:val="18"/>
              </w:rPr>
              <w:t>0</w:t>
            </w:r>
            <w:r>
              <w:rPr>
                <w:rFonts w:hint="eastAsia"/>
                <w:color w:val="000000"/>
                <w:kern w:val="0"/>
                <w:sz w:val="18"/>
                <w:szCs w:val="18"/>
              </w:rPr>
              <w:t>万以上35万以下的罚款</w:t>
            </w:r>
          </w:p>
          <w:p w14:paraId="3D60A59F">
            <w:pPr>
              <w:spacing w:line="200" w:lineRule="exact"/>
              <w:jc w:val="left"/>
              <w:rPr>
                <w:color w:val="000000"/>
                <w:kern w:val="0"/>
                <w:sz w:val="18"/>
                <w:szCs w:val="18"/>
              </w:rPr>
            </w:pPr>
            <w:r>
              <w:rPr>
                <w:rFonts w:hint="eastAsia"/>
                <w:color w:val="000000"/>
                <w:kern w:val="0"/>
                <w:sz w:val="18"/>
                <w:szCs w:val="18"/>
              </w:rPr>
              <w:t>单位直接负责的主管人员和其他直接责任人员处单位罚款数额５％以上</w:t>
            </w:r>
            <w:r>
              <w:rPr>
                <w:color w:val="000000"/>
                <w:kern w:val="0"/>
                <w:sz w:val="18"/>
                <w:szCs w:val="18"/>
              </w:rPr>
              <w:t>7</w:t>
            </w:r>
            <w:r>
              <w:rPr>
                <w:rFonts w:hint="eastAsia"/>
                <w:color w:val="000000"/>
                <w:kern w:val="0"/>
                <w:sz w:val="18"/>
                <w:szCs w:val="18"/>
              </w:rPr>
              <w:t>％以下的罚款</w:t>
            </w:r>
          </w:p>
        </w:tc>
      </w:tr>
      <w:tr w14:paraId="1589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8741DE2">
            <w:pPr>
              <w:spacing w:line="320" w:lineRule="exact"/>
              <w:jc w:val="left"/>
              <w:rPr>
                <w:color w:val="000000"/>
                <w:kern w:val="0"/>
                <w:sz w:val="18"/>
                <w:szCs w:val="18"/>
              </w:rPr>
            </w:pPr>
          </w:p>
        </w:tc>
        <w:tc>
          <w:tcPr>
            <w:tcW w:w="6376" w:type="dxa"/>
            <w:vAlign w:val="center"/>
          </w:tcPr>
          <w:p w14:paraId="558199BE">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016" w:type="dxa"/>
            <w:vMerge w:val="continue"/>
            <w:vAlign w:val="center"/>
          </w:tcPr>
          <w:p w14:paraId="31B8F94C">
            <w:pPr>
              <w:spacing w:line="320" w:lineRule="exact"/>
              <w:jc w:val="left"/>
              <w:rPr>
                <w:color w:val="000000"/>
                <w:kern w:val="0"/>
                <w:sz w:val="18"/>
                <w:szCs w:val="18"/>
              </w:rPr>
            </w:pPr>
          </w:p>
        </w:tc>
        <w:tc>
          <w:tcPr>
            <w:tcW w:w="5614" w:type="dxa"/>
            <w:vAlign w:val="center"/>
          </w:tcPr>
          <w:p w14:paraId="23D07BDC">
            <w:pPr>
              <w:spacing w:line="200" w:lineRule="exact"/>
              <w:jc w:val="left"/>
              <w:rPr>
                <w:color w:val="000000"/>
                <w:kern w:val="0"/>
                <w:sz w:val="18"/>
                <w:szCs w:val="18"/>
              </w:rPr>
            </w:pPr>
            <w:r>
              <w:rPr>
                <w:rFonts w:hint="eastAsia"/>
                <w:color w:val="000000"/>
                <w:kern w:val="0"/>
                <w:sz w:val="18"/>
                <w:szCs w:val="18"/>
              </w:rPr>
              <w:t>处35万以上50万以下的罚款</w:t>
            </w:r>
          </w:p>
          <w:p w14:paraId="7293DA74">
            <w:pPr>
              <w:rPr>
                <w:color w:val="000000"/>
                <w:kern w:val="0"/>
                <w:sz w:val="18"/>
                <w:szCs w:val="18"/>
              </w:rPr>
            </w:pPr>
            <w:r>
              <w:rPr>
                <w:rFonts w:hint="eastAsia"/>
                <w:color w:val="000000"/>
                <w:kern w:val="0"/>
                <w:sz w:val="18"/>
                <w:szCs w:val="18"/>
              </w:rPr>
              <w:t>单位直接负责的主管人员和其他直接责任人员处单位罚款数额</w:t>
            </w:r>
            <w:r>
              <w:rPr>
                <w:color w:val="000000"/>
                <w:kern w:val="0"/>
                <w:sz w:val="18"/>
                <w:szCs w:val="18"/>
              </w:rPr>
              <w:t>7</w:t>
            </w:r>
            <w:r>
              <w:rPr>
                <w:rFonts w:hint="eastAsia"/>
                <w:color w:val="000000"/>
                <w:kern w:val="0"/>
                <w:sz w:val="18"/>
                <w:szCs w:val="18"/>
              </w:rPr>
              <w:t>％以上8％以下的罚款</w:t>
            </w:r>
          </w:p>
        </w:tc>
      </w:tr>
      <w:tr w14:paraId="1323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4278B67">
            <w:pPr>
              <w:spacing w:line="320" w:lineRule="exact"/>
              <w:jc w:val="left"/>
              <w:rPr>
                <w:color w:val="000000"/>
                <w:kern w:val="0"/>
                <w:sz w:val="18"/>
                <w:szCs w:val="18"/>
              </w:rPr>
            </w:pPr>
          </w:p>
        </w:tc>
        <w:tc>
          <w:tcPr>
            <w:tcW w:w="6376" w:type="dxa"/>
            <w:vAlign w:val="center"/>
          </w:tcPr>
          <w:p w14:paraId="496AD83D">
            <w:pPr>
              <w:spacing w:line="200" w:lineRule="exact"/>
              <w:jc w:val="left"/>
              <w:rPr>
                <w:color w:val="000000"/>
                <w:kern w:val="0"/>
                <w:sz w:val="18"/>
                <w:szCs w:val="18"/>
              </w:rPr>
            </w:pPr>
            <w:r>
              <w:rPr>
                <w:rFonts w:hint="eastAsia"/>
                <w:color w:val="000000"/>
                <w:kern w:val="0"/>
                <w:sz w:val="18"/>
                <w:szCs w:val="18"/>
              </w:rPr>
              <w:t>施工单位开始施工，发生一般安全事故的</w:t>
            </w:r>
          </w:p>
        </w:tc>
        <w:tc>
          <w:tcPr>
            <w:tcW w:w="1016" w:type="dxa"/>
            <w:vMerge w:val="continue"/>
            <w:vAlign w:val="center"/>
          </w:tcPr>
          <w:p w14:paraId="0955DD5D">
            <w:pPr>
              <w:spacing w:line="200" w:lineRule="exact"/>
              <w:jc w:val="left"/>
              <w:rPr>
                <w:color w:val="000000"/>
                <w:kern w:val="0"/>
                <w:sz w:val="18"/>
                <w:szCs w:val="18"/>
              </w:rPr>
            </w:pPr>
          </w:p>
        </w:tc>
        <w:tc>
          <w:tcPr>
            <w:tcW w:w="5614" w:type="dxa"/>
            <w:vAlign w:val="center"/>
          </w:tcPr>
          <w:p w14:paraId="4DE69B15">
            <w:pPr>
              <w:spacing w:line="200" w:lineRule="exact"/>
              <w:jc w:val="left"/>
              <w:rPr>
                <w:color w:val="000000"/>
                <w:kern w:val="0"/>
                <w:sz w:val="18"/>
                <w:szCs w:val="18"/>
              </w:rPr>
            </w:pPr>
            <w:r>
              <w:rPr>
                <w:rFonts w:hint="eastAsia"/>
                <w:color w:val="000000"/>
                <w:kern w:val="0"/>
                <w:sz w:val="18"/>
                <w:szCs w:val="18"/>
              </w:rPr>
              <w:t>处50万以上300万以下的罚款</w:t>
            </w:r>
          </w:p>
          <w:p w14:paraId="66A04FB3">
            <w:pPr>
              <w:spacing w:line="200" w:lineRule="exact"/>
              <w:jc w:val="left"/>
              <w:rPr>
                <w:color w:val="000000"/>
                <w:kern w:val="0"/>
                <w:sz w:val="18"/>
                <w:szCs w:val="18"/>
              </w:rPr>
            </w:pPr>
            <w:r>
              <w:rPr>
                <w:rFonts w:hint="eastAsia"/>
                <w:color w:val="000000"/>
                <w:kern w:val="0"/>
                <w:sz w:val="18"/>
                <w:szCs w:val="18"/>
              </w:rPr>
              <w:t>单位直接负责的主管人员和其他直接责任人员处单位罚款数额8％以上9</w:t>
            </w:r>
            <w:r>
              <w:rPr>
                <w:color w:val="000000"/>
                <w:kern w:val="0"/>
                <w:sz w:val="18"/>
                <w:szCs w:val="18"/>
              </w:rPr>
              <w:t>％</w:t>
            </w:r>
            <w:r>
              <w:rPr>
                <w:rFonts w:hint="eastAsia"/>
                <w:color w:val="000000"/>
                <w:kern w:val="0"/>
                <w:sz w:val="18"/>
                <w:szCs w:val="18"/>
              </w:rPr>
              <w:t>以下的罚款</w:t>
            </w:r>
          </w:p>
        </w:tc>
      </w:tr>
      <w:tr w14:paraId="2728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C8EAF7A">
            <w:pPr>
              <w:spacing w:line="320" w:lineRule="exact"/>
              <w:jc w:val="left"/>
              <w:rPr>
                <w:color w:val="000000"/>
                <w:kern w:val="0"/>
                <w:sz w:val="18"/>
                <w:szCs w:val="18"/>
              </w:rPr>
            </w:pPr>
          </w:p>
        </w:tc>
        <w:tc>
          <w:tcPr>
            <w:tcW w:w="6376" w:type="dxa"/>
            <w:vAlign w:val="center"/>
          </w:tcPr>
          <w:p w14:paraId="0A9FA5D7">
            <w:pPr>
              <w:spacing w:line="200" w:lineRule="exact"/>
              <w:jc w:val="left"/>
              <w:rPr>
                <w:color w:val="000000"/>
                <w:kern w:val="0"/>
                <w:sz w:val="18"/>
                <w:szCs w:val="18"/>
              </w:rPr>
            </w:pPr>
            <w:r>
              <w:rPr>
                <w:rFonts w:hint="eastAsia"/>
                <w:color w:val="000000"/>
                <w:kern w:val="0"/>
                <w:sz w:val="18"/>
                <w:szCs w:val="18"/>
              </w:rPr>
              <w:t>施工单位开始施工，发生一般以上安全事故的</w:t>
            </w:r>
          </w:p>
        </w:tc>
        <w:tc>
          <w:tcPr>
            <w:tcW w:w="1016" w:type="dxa"/>
            <w:vMerge w:val="continue"/>
            <w:vAlign w:val="center"/>
          </w:tcPr>
          <w:p w14:paraId="1C4C9417">
            <w:pPr>
              <w:spacing w:line="200" w:lineRule="exact"/>
              <w:jc w:val="left"/>
              <w:rPr>
                <w:color w:val="000000"/>
                <w:kern w:val="0"/>
                <w:sz w:val="18"/>
                <w:szCs w:val="18"/>
              </w:rPr>
            </w:pPr>
          </w:p>
        </w:tc>
        <w:tc>
          <w:tcPr>
            <w:tcW w:w="5614" w:type="dxa"/>
            <w:vAlign w:val="center"/>
          </w:tcPr>
          <w:p w14:paraId="18819F5A">
            <w:pPr>
              <w:spacing w:line="200" w:lineRule="exact"/>
              <w:jc w:val="left"/>
              <w:rPr>
                <w:color w:val="000000"/>
                <w:kern w:val="0"/>
                <w:sz w:val="18"/>
                <w:szCs w:val="18"/>
              </w:rPr>
            </w:pPr>
            <w:r>
              <w:rPr>
                <w:rFonts w:hint="eastAsia"/>
                <w:color w:val="000000"/>
                <w:kern w:val="0"/>
                <w:sz w:val="18"/>
                <w:szCs w:val="18"/>
              </w:rPr>
              <w:t>处300万以上500万以下的罚款</w:t>
            </w:r>
          </w:p>
          <w:p w14:paraId="7BC2D8B8">
            <w:pPr>
              <w:spacing w:line="200" w:lineRule="exact"/>
              <w:jc w:val="left"/>
              <w:rPr>
                <w:color w:val="000000"/>
                <w:kern w:val="0"/>
                <w:sz w:val="18"/>
                <w:szCs w:val="18"/>
              </w:rPr>
            </w:pPr>
            <w:r>
              <w:rPr>
                <w:rFonts w:hint="eastAsia"/>
                <w:color w:val="000000"/>
                <w:kern w:val="0"/>
                <w:sz w:val="18"/>
                <w:szCs w:val="18"/>
              </w:rPr>
              <w:t>单位直接负责的主管人员和其他直接责任人员处单位罚款数额9％以上10</w:t>
            </w:r>
            <w:r>
              <w:rPr>
                <w:color w:val="000000"/>
                <w:kern w:val="0"/>
                <w:sz w:val="18"/>
                <w:szCs w:val="18"/>
              </w:rPr>
              <w:t>％</w:t>
            </w:r>
            <w:r>
              <w:rPr>
                <w:rFonts w:hint="eastAsia"/>
                <w:color w:val="000000"/>
                <w:kern w:val="0"/>
                <w:sz w:val="18"/>
                <w:szCs w:val="18"/>
              </w:rPr>
              <w:t>以下的罚款</w:t>
            </w:r>
          </w:p>
        </w:tc>
      </w:tr>
    </w:tbl>
    <w:p w14:paraId="5057FAC5"/>
    <w:p w14:paraId="57D2766A"/>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574E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6C90B1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D81E592">
            <w:pPr>
              <w:spacing w:line="320" w:lineRule="exact"/>
              <w:rPr>
                <w:rFonts w:eastAsia="仿宋_GB2312"/>
                <w:b/>
                <w:bCs/>
                <w:color w:val="000000"/>
                <w:kern w:val="0"/>
                <w:sz w:val="18"/>
                <w:szCs w:val="18"/>
              </w:rPr>
            </w:pPr>
            <w:r>
              <w:rPr>
                <w:rFonts w:eastAsia="仿宋_GB2312"/>
                <w:b/>
                <w:bCs/>
                <w:color w:val="000000"/>
                <w:kern w:val="0"/>
                <w:sz w:val="18"/>
                <w:szCs w:val="18"/>
              </w:rPr>
              <w:t>320217863000</w:t>
            </w:r>
            <w:r>
              <w:rPr>
                <w:rFonts w:hint="eastAsia" w:eastAsia="仿宋_GB2312"/>
                <w:b/>
                <w:bCs/>
                <w:color w:val="000000"/>
                <w:kern w:val="0"/>
                <w:sz w:val="18"/>
                <w:szCs w:val="18"/>
              </w:rPr>
              <w:t xml:space="preserve"> </w:t>
            </w:r>
          </w:p>
        </w:tc>
      </w:tr>
      <w:tr w14:paraId="338A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974C4C8">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5D17DC1">
            <w:pPr>
              <w:spacing w:line="320" w:lineRule="exact"/>
              <w:jc w:val="left"/>
              <w:rPr>
                <w:color w:val="000000"/>
                <w:spacing w:val="-6"/>
                <w:kern w:val="0"/>
                <w:sz w:val="18"/>
                <w:szCs w:val="18"/>
              </w:rPr>
            </w:pPr>
            <w:r>
              <w:rPr>
                <w:rFonts w:hint="eastAsia"/>
                <w:color w:val="000000"/>
                <w:spacing w:val="-6"/>
                <w:kern w:val="0"/>
                <w:sz w:val="18"/>
                <w:szCs w:val="18"/>
              </w:rPr>
              <w:t>对供水单位在正常供水情况下，供水水压达不到国家规定标准的处罚</w:t>
            </w:r>
          </w:p>
        </w:tc>
      </w:tr>
      <w:tr w14:paraId="1821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010" w:type="dxa"/>
            <w:vAlign w:val="center"/>
          </w:tcPr>
          <w:p w14:paraId="74DA59F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3CE4FD2">
            <w:pPr>
              <w:spacing w:line="320" w:lineRule="exact"/>
              <w:jc w:val="left"/>
              <w:rPr>
                <w:color w:val="000000"/>
                <w:kern w:val="0"/>
                <w:sz w:val="18"/>
                <w:szCs w:val="18"/>
              </w:rPr>
            </w:pPr>
            <w:r>
              <w:rPr>
                <w:rFonts w:hint="eastAsia"/>
                <w:color w:val="000000"/>
                <w:kern w:val="0"/>
                <w:sz w:val="18"/>
                <w:szCs w:val="18"/>
              </w:rPr>
              <w:t>【行政法规】《城市供水条例》（1994年7月19日国务院令第158号发布，根据国务院令第698号、国务院令第726号修订）</w:t>
            </w:r>
          </w:p>
          <w:p w14:paraId="3282CF24">
            <w:pPr>
              <w:spacing w:line="320" w:lineRule="exact"/>
              <w:jc w:val="left"/>
              <w:rPr>
                <w:color w:val="000000"/>
                <w:kern w:val="0"/>
                <w:sz w:val="18"/>
                <w:szCs w:val="18"/>
              </w:rPr>
            </w:pPr>
            <w:r>
              <w:rPr>
                <w:rFonts w:hint="eastAsia"/>
                <w:color w:val="000000"/>
                <w:kern w:val="0"/>
                <w:sz w:val="18"/>
                <w:szCs w:val="18"/>
              </w:rPr>
              <w:t xml:space="preserve">        第二十条 城市自来水供水企业和自建设施对外供水的企业，应当建立、健全水质检测制度，确保城市供水的水质符合国家规定的饮用水卫生标准。</w:t>
            </w:r>
          </w:p>
          <w:p w14:paraId="5BB86537">
            <w:pPr>
              <w:spacing w:line="320" w:lineRule="exact"/>
              <w:jc w:val="left"/>
              <w:rPr>
                <w:color w:val="000000"/>
                <w:kern w:val="0"/>
                <w:sz w:val="18"/>
                <w:szCs w:val="18"/>
              </w:rPr>
            </w:pPr>
            <w:r>
              <w:rPr>
                <w:rFonts w:hint="eastAsia"/>
                <w:color w:val="000000"/>
                <w:kern w:val="0"/>
                <w:sz w:val="18"/>
                <w:szCs w:val="18"/>
              </w:rPr>
              <w:t xml:space="preserve">       第二十一条第一款   城市自来水供水企业和自建设施对外供水的企业，应当按照国家有关规定设置管网测压点，做好水压监测工作，确保供水管网的压力符合国家规定的标准。</w:t>
            </w:r>
          </w:p>
          <w:p w14:paraId="0E076A9C">
            <w:pPr>
              <w:spacing w:line="320" w:lineRule="exact"/>
              <w:jc w:val="left"/>
              <w:rPr>
                <w:color w:val="000000"/>
                <w:kern w:val="0"/>
                <w:sz w:val="18"/>
                <w:szCs w:val="18"/>
              </w:rPr>
            </w:pPr>
            <w:r>
              <w:rPr>
                <w:rFonts w:hint="eastAsia"/>
                <w:color w:val="000000"/>
                <w:kern w:val="0"/>
                <w:sz w:val="18"/>
                <w:szCs w:val="18"/>
              </w:rPr>
              <w:t xml:space="preserve">       第三十三条 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14:paraId="67B4D728">
            <w:pPr>
              <w:spacing w:line="320" w:lineRule="exact"/>
              <w:jc w:val="left"/>
              <w:rPr>
                <w:color w:val="000000"/>
                <w:kern w:val="0"/>
                <w:sz w:val="18"/>
                <w:szCs w:val="18"/>
              </w:rPr>
            </w:pPr>
            <w:r>
              <w:rPr>
                <w:rFonts w:hint="eastAsia"/>
                <w:color w:val="000000"/>
                <w:kern w:val="0"/>
                <w:sz w:val="18"/>
                <w:szCs w:val="18"/>
              </w:rPr>
              <w:t xml:space="preserve">   （一）供水水质、水压不符合国家规定标准的；</w:t>
            </w:r>
          </w:p>
          <w:p w14:paraId="3A6EAF99">
            <w:pPr>
              <w:spacing w:line="320" w:lineRule="exact"/>
              <w:jc w:val="left"/>
              <w:rPr>
                <w:color w:val="000000"/>
                <w:kern w:val="0"/>
                <w:sz w:val="18"/>
                <w:szCs w:val="18"/>
              </w:rPr>
            </w:pPr>
            <w:r>
              <w:rPr>
                <w:rFonts w:hint="eastAsia"/>
                <w:color w:val="000000"/>
                <w:kern w:val="0"/>
                <w:sz w:val="18"/>
                <w:szCs w:val="18"/>
              </w:rPr>
              <w:t>【地方性法规】《江苏省城乡供水管理条例》</w:t>
            </w:r>
          </w:p>
          <w:p w14:paraId="0608DD68">
            <w:pPr>
              <w:spacing w:line="320" w:lineRule="exact"/>
              <w:jc w:val="left"/>
              <w:rPr>
                <w:color w:val="000000"/>
                <w:kern w:val="0"/>
                <w:sz w:val="18"/>
                <w:szCs w:val="18"/>
              </w:rPr>
            </w:pPr>
            <w:r>
              <w:rPr>
                <w:rFonts w:hint="eastAsia"/>
                <w:color w:val="000000"/>
                <w:kern w:val="0"/>
                <w:sz w:val="18"/>
                <w:szCs w:val="18"/>
              </w:rPr>
              <w:t xml:space="preserve">       第五十条 违反本条例规定，供水单位有下列行为之一的，由城乡供水主管部门责令改正，并可以处以三万元以上十万元以下罚款，对直接负责的主管人员和其他直接责任人员，依法给予处分：</w:t>
            </w:r>
          </w:p>
          <w:p w14:paraId="5C6D0DC5">
            <w:pPr>
              <w:spacing w:line="320" w:lineRule="exact"/>
              <w:jc w:val="left"/>
              <w:rPr>
                <w:color w:val="000000"/>
                <w:kern w:val="0"/>
                <w:sz w:val="18"/>
                <w:szCs w:val="18"/>
              </w:rPr>
            </w:pPr>
            <w:r>
              <w:rPr>
                <w:rFonts w:hint="eastAsia"/>
                <w:color w:val="000000"/>
                <w:kern w:val="0"/>
                <w:sz w:val="18"/>
                <w:szCs w:val="18"/>
              </w:rPr>
              <w:t xml:space="preserve">    （一）在正常供水情况下，供水水压达不到国家规定标准的；</w:t>
            </w:r>
          </w:p>
          <w:p w14:paraId="7B659D4B">
            <w:pPr>
              <w:spacing w:line="320" w:lineRule="exact"/>
              <w:jc w:val="left"/>
              <w:rPr>
                <w:color w:val="000000"/>
                <w:kern w:val="0"/>
                <w:sz w:val="18"/>
                <w:szCs w:val="18"/>
              </w:rPr>
            </w:pPr>
            <w:r>
              <w:rPr>
                <w:rFonts w:hint="eastAsia"/>
                <w:color w:val="000000"/>
                <w:kern w:val="0"/>
                <w:sz w:val="18"/>
                <w:szCs w:val="18"/>
              </w:rPr>
              <w:t xml:space="preserve">      有前款第一项、第二项、第四项行为，情节严重的，报经有批准权的人民政府批准，可以责令停业整顿。</w:t>
            </w:r>
          </w:p>
        </w:tc>
      </w:tr>
      <w:tr w14:paraId="7D243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FAFA537">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BA7850B">
            <w:pPr>
              <w:spacing w:line="320" w:lineRule="exact"/>
              <w:jc w:val="left"/>
              <w:rPr>
                <w:color w:val="000000"/>
                <w:kern w:val="0"/>
                <w:sz w:val="18"/>
                <w:szCs w:val="18"/>
              </w:rPr>
            </w:pPr>
            <w:r>
              <w:rPr>
                <w:rFonts w:hint="eastAsia"/>
                <w:color w:val="000000"/>
                <w:kern w:val="0"/>
                <w:sz w:val="18"/>
                <w:szCs w:val="18"/>
              </w:rPr>
              <w:t>责令改正，罚款，责令停业整顿</w:t>
            </w:r>
          </w:p>
        </w:tc>
      </w:tr>
      <w:tr w14:paraId="1E02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1ECDBDF2">
            <w:pPr>
              <w:spacing w:line="320" w:lineRule="exact"/>
              <w:jc w:val="center"/>
              <w:rPr>
                <w:color w:val="000000"/>
                <w:kern w:val="0"/>
                <w:sz w:val="18"/>
                <w:szCs w:val="18"/>
              </w:rPr>
            </w:pPr>
            <w:r>
              <w:rPr>
                <w:rFonts w:hint="eastAsia"/>
                <w:color w:val="000000"/>
                <w:kern w:val="0"/>
                <w:sz w:val="18"/>
                <w:szCs w:val="18"/>
              </w:rPr>
              <w:t>裁量基准</w:t>
            </w:r>
          </w:p>
        </w:tc>
      </w:tr>
      <w:tr w14:paraId="1261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031A9B81">
            <w:pPr>
              <w:rPr>
                <w:color w:val="000000"/>
                <w:kern w:val="0"/>
                <w:sz w:val="18"/>
                <w:szCs w:val="18"/>
              </w:rPr>
            </w:pPr>
            <w:r>
              <w:rPr>
                <w:rFonts w:hint="eastAsia"/>
                <w:color w:val="000000"/>
                <w:kern w:val="0"/>
                <w:sz w:val="18"/>
                <w:szCs w:val="18"/>
              </w:rPr>
              <w:t>情形描述</w:t>
            </w:r>
          </w:p>
        </w:tc>
        <w:tc>
          <w:tcPr>
            <w:tcW w:w="6376" w:type="dxa"/>
            <w:vAlign w:val="center"/>
          </w:tcPr>
          <w:p w14:paraId="76EA21F2">
            <w:pPr>
              <w:rPr>
                <w:color w:val="000000"/>
                <w:kern w:val="0"/>
                <w:sz w:val="18"/>
                <w:szCs w:val="18"/>
              </w:rPr>
            </w:pPr>
            <w:r>
              <w:rPr>
                <w:rFonts w:hint="eastAsia"/>
                <w:color w:val="000000"/>
                <w:kern w:val="0"/>
                <w:sz w:val="18"/>
                <w:szCs w:val="18"/>
              </w:rPr>
              <w:t>未造成不良影响的</w:t>
            </w:r>
          </w:p>
        </w:tc>
        <w:tc>
          <w:tcPr>
            <w:tcW w:w="1016" w:type="dxa"/>
            <w:vMerge w:val="restart"/>
            <w:vAlign w:val="center"/>
          </w:tcPr>
          <w:p w14:paraId="51DB040B">
            <w:pPr>
              <w:rPr>
                <w:color w:val="000000"/>
                <w:kern w:val="0"/>
                <w:sz w:val="18"/>
                <w:szCs w:val="18"/>
              </w:rPr>
            </w:pPr>
            <w:r>
              <w:rPr>
                <w:rFonts w:hint="eastAsia"/>
                <w:color w:val="000000"/>
                <w:kern w:val="0"/>
                <w:sz w:val="18"/>
                <w:szCs w:val="18"/>
              </w:rPr>
              <w:t>裁量幅度</w:t>
            </w:r>
          </w:p>
        </w:tc>
        <w:tc>
          <w:tcPr>
            <w:tcW w:w="5614" w:type="dxa"/>
            <w:vAlign w:val="center"/>
          </w:tcPr>
          <w:p w14:paraId="4465054D">
            <w:pPr>
              <w:rPr>
                <w:color w:val="000000"/>
                <w:kern w:val="0"/>
                <w:sz w:val="18"/>
                <w:szCs w:val="18"/>
              </w:rPr>
            </w:pPr>
            <w:r>
              <w:rPr>
                <w:rFonts w:hint="eastAsia"/>
                <w:color w:val="000000"/>
                <w:kern w:val="0"/>
                <w:sz w:val="18"/>
                <w:szCs w:val="18"/>
              </w:rPr>
              <w:t>处以三万元以上五万元以下罚款</w:t>
            </w:r>
          </w:p>
        </w:tc>
      </w:tr>
      <w:tr w14:paraId="3720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32778F01">
            <w:pPr>
              <w:spacing w:line="320" w:lineRule="exact"/>
              <w:jc w:val="left"/>
              <w:rPr>
                <w:color w:val="000000"/>
                <w:kern w:val="0"/>
                <w:sz w:val="18"/>
                <w:szCs w:val="18"/>
              </w:rPr>
            </w:pPr>
          </w:p>
        </w:tc>
        <w:tc>
          <w:tcPr>
            <w:tcW w:w="6376" w:type="dxa"/>
            <w:vAlign w:val="center"/>
          </w:tcPr>
          <w:p w14:paraId="11EE8EB1">
            <w:pPr>
              <w:spacing w:line="320" w:lineRule="exact"/>
              <w:jc w:val="left"/>
              <w:rPr>
                <w:color w:val="000000"/>
                <w:kern w:val="0"/>
                <w:sz w:val="18"/>
                <w:szCs w:val="18"/>
              </w:rPr>
            </w:pPr>
            <w:r>
              <w:rPr>
                <w:rFonts w:hint="eastAsia"/>
                <w:color w:val="000000"/>
                <w:kern w:val="0"/>
                <w:sz w:val="18"/>
                <w:szCs w:val="18"/>
              </w:rPr>
              <w:t>造成不良影响的</w:t>
            </w:r>
          </w:p>
        </w:tc>
        <w:tc>
          <w:tcPr>
            <w:tcW w:w="1016" w:type="dxa"/>
            <w:vMerge w:val="continue"/>
            <w:vAlign w:val="center"/>
          </w:tcPr>
          <w:p w14:paraId="7683FB99">
            <w:pPr>
              <w:spacing w:line="320" w:lineRule="exact"/>
              <w:jc w:val="left"/>
              <w:rPr>
                <w:color w:val="000000"/>
                <w:kern w:val="0"/>
                <w:sz w:val="18"/>
                <w:szCs w:val="18"/>
              </w:rPr>
            </w:pPr>
          </w:p>
        </w:tc>
        <w:tc>
          <w:tcPr>
            <w:tcW w:w="5614" w:type="dxa"/>
            <w:vAlign w:val="center"/>
          </w:tcPr>
          <w:p w14:paraId="1E800D8F">
            <w:pPr>
              <w:rPr>
                <w:color w:val="000000"/>
                <w:kern w:val="0"/>
                <w:sz w:val="18"/>
                <w:szCs w:val="18"/>
              </w:rPr>
            </w:pPr>
            <w:r>
              <w:rPr>
                <w:rFonts w:hint="eastAsia"/>
                <w:color w:val="000000"/>
                <w:kern w:val="0"/>
                <w:sz w:val="18"/>
                <w:szCs w:val="18"/>
              </w:rPr>
              <w:t>处以五万元以上十万元以下罚款</w:t>
            </w:r>
          </w:p>
        </w:tc>
      </w:tr>
    </w:tbl>
    <w:p w14:paraId="0B79442E"/>
    <w:p w14:paraId="5045577A"/>
    <w:p w14:paraId="765A0F19"/>
    <w:p w14:paraId="06C8415C"/>
    <w:p w14:paraId="4084ECF2"/>
    <w:p w14:paraId="206027F1"/>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240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4F5937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4AED566">
            <w:pPr>
              <w:spacing w:line="320" w:lineRule="exact"/>
              <w:rPr>
                <w:rFonts w:eastAsia="仿宋_GB2312"/>
                <w:b/>
                <w:bCs/>
                <w:color w:val="000000"/>
                <w:kern w:val="0"/>
                <w:sz w:val="18"/>
                <w:szCs w:val="18"/>
              </w:rPr>
            </w:pPr>
            <w:r>
              <w:rPr>
                <w:rFonts w:eastAsia="仿宋_GB2312"/>
                <w:b/>
                <w:bCs/>
                <w:color w:val="000000"/>
                <w:kern w:val="0"/>
                <w:sz w:val="18"/>
                <w:szCs w:val="18"/>
              </w:rPr>
              <w:t>320217864000</w:t>
            </w:r>
          </w:p>
        </w:tc>
      </w:tr>
      <w:tr w14:paraId="4C83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A1630E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B18E60F">
            <w:pPr>
              <w:spacing w:line="320" w:lineRule="exact"/>
              <w:jc w:val="left"/>
              <w:rPr>
                <w:color w:val="000000"/>
                <w:spacing w:val="-6"/>
                <w:kern w:val="0"/>
                <w:sz w:val="18"/>
                <w:szCs w:val="18"/>
              </w:rPr>
            </w:pPr>
            <w:r>
              <w:rPr>
                <w:rFonts w:hint="eastAsia"/>
                <w:color w:val="000000"/>
                <w:spacing w:val="-6"/>
                <w:kern w:val="0"/>
                <w:sz w:val="18"/>
                <w:szCs w:val="18"/>
              </w:rPr>
              <w:t>对擅自将在建高层建筑已建成的部分出租的处罚</w:t>
            </w:r>
          </w:p>
        </w:tc>
      </w:tr>
      <w:tr w14:paraId="6756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29E3BE8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C71C3DA">
            <w:pPr>
              <w:spacing w:line="320" w:lineRule="exact"/>
              <w:jc w:val="left"/>
              <w:rPr>
                <w:color w:val="000000"/>
                <w:kern w:val="0"/>
                <w:sz w:val="18"/>
                <w:szCs w:val="18"/>
              </w:rPr>
            </w:pPr>
            <w:r>
              <w:rPr>
                <w:rFonts w:hint="eastAsia"/>
                <w:color w:val="000000"/>
                <w:kern w:val="0"/>
                <w:sz w:val="18"/>
                <w:szCs w:val="18"/>
              </w:rPr>
              <w:t>【地方性法规】《江苏省城市房地产交易管理条例》</w:t>
            </w:r>
          </w:p>
          <w:p w14:paraId="70C74DB8">
            <w:pPr>
              <w:spacing w:line="320" w:lineRule="exact"/>
              <w:jc w:val="left"/>
              <w:rPr>
                <w:color w:val="000000"/>
                <w:kern w:val="0"/>
                <w:sz w:val="18"/>
                <w:szCs w:val="18"/>
              </w:rPr>
            </w:pPr>
            <w:r>
              <w:rPr>
                <w:rFonts w:hint="eastAsia"/>
                <w:color w:val="000000"/>
                <w:kern w:val="0"/>
                <w:sz w:val="18"/>
                <w:szCs w:val="18"/>
              </w:rPr>
              <w:t>　　第三十条  高层建筑已部分建成，已经取得国有土地使用权证、建设工程规划许可证，并且该部分建筑已通过竣工验收，经住房城乡建设部门确认，符合建筑施工安全和房屋安全使用条件的，可以出租该建筑已建成的部分。</w:t>
            </w:r>
          </w:p>
          <w:p w14:paraId="1FD39965">
            <w:pPr>
              <w:spacing w:line="320" w:lineRule="exact"/>
              <w:jc w:val="left"/>
              <w:rPr>
                <w:color w:val="000000"/>
                <w:kern w:val="0"/>
                <w:sz w:val="18"/>
                <w:szCs w:val="18"/>
              </w:rPr>
            </w:pPr>
            <w:r>
              <w:rPr>
                <w:rFonts w:hint="eastAsia"/>
                <w:color w:val="000000"/>
                <w:kern w:val="0"/>
                <w:sz w:val="18"/>
                <w:szCs w:val="18"/>
              </w:rPr>
              <w:t>　   第四十一条  违反本条例规定，擅自将在建高层建筑已建成的部分出租的，由市、县（市）住房城乡建设部门责令改正，没收违法所得；情节严重的，并处以三千元以上十万元以下的罚款。</w:t>
            </w:r>
          </w:p>
        </w:tc>
      </w:tr>
      <w:tr w14:paraId="5759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5F3D0BE">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98C1487">
            <w:pPr>
              <w:spacing w:line="320" w:lineRule="exact"/>
              <w:jc w:val="left"/>
              <w:rPr>
                <w:color w:val="000000"/>
                <w:kern w:val="0"/>
                <w:sz w:val="18"/>
                <w:szCs w:val="18"/>
              </w:rPr>
            </w:pPr>
            <w:r>
              <w:rPr>
                <w:rFonts w:hint="eastAsia"/>
                <w:color w:val="000000"/>
                <w:kern w:val="0"/>
                <w:sz w:val="18"/>
                <w:szCs w:val="18"/>
              </w:rPr>
              <w:t>责令改正，没收违法所得，罚款</w:t>
            </w:r>
          </w:p>
        </w:tc>
      </w:tr>
      <w:tr w14:paraId="50A2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AF886D7">
            <w:pPr>
              <w:spacing w:line="320" w:lineRule="exact"/>
              <w:jc w:val="center"/>
              <w:rPr>
                <w:color w:val="000000"/>
                <w:kern w:val="0"/>
                <w:sz w:val="18"/>
                <w:szCs w:val="18"/>
              </w:rPr>
            </w:pPr>
            <w:r>
              <w:rPr>
                <w:rFonts w:hint="eastAsia"/>
                <w:color w:val="000000"/>
                <w:kern w:val="0"/>
                <w:sz w:val="18"/>
                <w:szCs w:val="18"/>
              </w:rPr>
              <w:t>裁量基准</w:t>
            </w:r>
          </w:p>
        </w:tc>
      </w:tr>
      <w:tr w14:paraId="3D5D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1A284C92">
            <w:pPr>
              <w:rPr>
                <w:color w:val="000000"/>
                <w:kern w:val="0"/>
                <w:sz w:val="18"/>
                <w:szCs w:val="18"/>
              </w:rPr>
            </w:pPr>
            <w:r>
              <w:rPr>
                <w:rFonts w:hint="eastAsia"/>
                <w:color w:val="000000"/>
                <w:kern w:val="0"/>
                <w:sz w:val="18"/>
                <w:szCs w:val="18"/>
              </w:rPr>
              <w:t>情形描述</w:t>
            </w:r>
          </w:p>
        </w:tc>
        <w:tc>
          <w:tcPr>
            <w:tcW w:w="6376" w:type="dxa"/>
            <w:vAlign w:val="center"/>
          </w:tcPr>
          <w:p w14:paraId="3AB7B851">
            <w:pPr>
              <w:rPr>
                <w:color w:val="000000"/>
                <w:kern w:val="0"/>
                <w:sz w:val="18"/>
                <w:szCs w:val="18"/>
              </w:rPr>
            </w:pPr>
            <w:r>
              <w:rPr>
                <w:rFonts w:hint="eastAsia"/>
                <w:color w:val="000000"/>
                <w:kern w:val="0"/>
                <w:sz w:val="18"/>
                <w:szCs w:val="18"/>
              </w:rPr>
              <w:t xml:space="preserve">造成一般质量安全事故的 </w:t>
            </w:r>
          </w:p>
        </w:tc>
        <w:tc>
          <w:tcPr>
            <w:tcW w:w="1016" w:type="dxa"/>
            <w:vMerge w:val="restart"/>
            <w:vAlign w:val="center"/>
          </w:tcPr>
          <w:p w14:paraId="3953248F">
            <w:pPr>
              <w:rPr>
                <w:color w:val="000000"/>
                <w:kern w:val="0"/>
                <w:sz w:val="18"/>
                <w:szCs w:val="18"/>
              </w:rPr>
            </w:pPr>
            <w:r>
              <w:rPr>
                <w:rFonts w:hint="eastAsia"/>
                <w:color w:val="000000"/>
                <w:kern w:val="0"/>
                <w:sz w:val="18"/>
                <w:szCs w:val="18"/>
              </w:rPr>
              <w:t>裁量幅度</w:t>
            </w:r>
          </w:p>
        </w:tc>
        <w:tc>
          <w:tcPr>
            <w:tcW w:w="5614" w:type="dxa"/>
            <w:vAlign w:val="center"/>
          </w:tcPr>
          <w:p w14:paraId="6317D5FD">
            <w:pPr>
              <w:rPr>
                <w:color w:val="000000"/>
                <w:kern w:val="0"/>
                <w:sz w:val="18"/>
                <w:szCs w:val="18"/>
              </w:rPr>
            </w:pPr>
            <w:r>
              <w:rPr>
                <w:rFonts w:hint="eastAsia"/>
                <w:color w:val="000000"/>
                <w:kern w:val="0"/>
                <w:sz w:val="18"/>
                <w:szCs w:val="18"/>
              </w:rPr>
              <w:t>并处以三千元以上五万元以下的罚款</w:t>
            </w:r>
          </w:p>
        </w:tc>
      </w:tr>
      <w:tr w14:paraId="2626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4503082">
            <w:pPr>
              <w:spacing w:line="320" w:lineRule="exact"/>
              <w:jc w:val="left"/>
              <w:rPr>
                <w:color w:val="000000"/>
                <w:kern w:val="0"/>
                <w:sz w:val="18"/>
                <w:szCs w:val="18"/>
              </w:rPr>
            </w:pPr>
          </w:p>
        </w:tc>
        <w:tc>
          <w:tcPr>
            <w:tcW w:w="6376" w:type="dxa"/>
            <w:vAlign w:val="center"/>
          </w:tcPr>
          <w:p w14:paraId="7C6F27F7">
            <w:pPr>
              <w:spacing w:line="320" w:lineRule="exact"/>
              <w:jc w:val="left"/>
              <w:rPr>
                <w:color w:val="000000"/>
                <w:kern w:val="0"/>
                <w:sz w:val="18"/>
                <w:szCs w:val="18"/>
              </w:rPr>
            </w:pPr>
            <w:r>
              <w:rPr>
                <w:rFonts w:hint="eastAsia"/>
                <w:color w:val="000000"/>
                <w:kern w:val="0"/>
                <w:sz w:val="18"/>
                <w:szCs w:val="18"/>
              </w:rPr>
              <w:t>造成一般以上质量安全事故的</w:t>
            </w:r>
          </w:p>
        </w:tc>
        <w:tc>
          <w:tcPr>
            <w:tcW w:w="1016" w:type="dxa"/>
            <w:vMerge w:val="continue"/>
            <w:vAlign w:val="center"/>
          </w:tcPr>
          <w:p w14:paraId="15F0BF81">
            <w:pPr>
              <w:spacing w:line="320" w:lineRule="exact"/>
              <w:jc w:val="left"/>
              <w:rPr>
                <w:color w:val="000000"/>
                <w:kern w:val="0"/>
                <w:sz w:val="18"/>
                <w:szCs w:val="18"/>
              </w:rPr>
            </w:pPr>
          </w:p>
        </w:tc>
        <w:tc>
          <w:tcPr>
            <w:tcW w:w="5614" w:type="dxa"/>
            <w:vAlign w:val="center"/>
          </w:tcPr>
          <w:p w14:paraId="16B28BFD">
            <w:pPr>
              <w:rPr>
                <w:color w:val="000000"/>
                <w:kern w:val="0"/>
                <w:sz w:val="18"/>
                <w:szCs w:val="18"/>
              </w:rPr>
            </w:pPr>
            <w:r>
              <w:rPr>
                <w:rFonts w:hint="eastAsia"/>
                <w:color w:val="000000"/>
                <w:kern w:val="0"/>
                <w:sz w:val="18"/>
                <w:szCs w:val="18"/>
              </w:rPr>
              <w:t>并处以五万元以上十万元以下的罚款</w:t>
            </w:r>
          </w:p>
        </w:tc>
      </w:tr>
    </w:tbl>
    <w:p w14:paraId="762A8EE5"/>
    <w:p w14:paraId="4FE65F46"/>
    <w:p w14:paraId="4B5E6B82"/>
    <w:p w14:paraId="7DC08991"/>
    <w:p w14:paraId="1D00F042"/>
    <w:p w14:paraId="75990D81"/>
    <w:p w14:paraId="263F5632"/>
    <w:p w14:paraId="6098508C"/>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211A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04B3170">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AB71773">
            <w:pPr>
              <w:spacing w:line="320" w:lineRule="exact"/>
              <w:rPr>
                <w:rFonts w:eastAsia="仿宋_GB2312"/>
                <w:b/>
                <w:bCs/>
                <w:color w:val="000000"/>
                <w:kern w:val="0"/>
                <w:sz w:val="18"/>
                <w:szCs w:val="18"/>
              </w:rPr>
            </w:pPr>
            <w:r>
              <w:rPr>
                <w:rFonts w:eastAsia="仿宋_GB2312"/>
                <w:b/>
                <w:bCs/>
                <w:color w:val="000000"/>
                <w:kern w:val="0"/>
                <w:sz w:val="18"/>
                <w:szCs w:val="18"/>
              </w:rPr>
              <w:t>320217865000</w:t>
            </w:r>
          </w:p>
        </w:tc>
      </w:tr>
      <w:tr w14:paraId="052A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1E2A6F5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B6D4AD5">
            <w:pPr>
              <w:spacing w:line="320" w:lineRule="exact"/>
              <w:jc w:val="left"/>
              <w:rPr>
                <w:color w:val="000000"/>
                <w:spacing w:val="-6"/>
                <w:kern w:val="0"/>
                <w:sz w:val="18"/>
                <w:szCs w:val="18"/>
              </w:rPr>
            </w:pPr>
            <w:r>
              <w:rPr>
                <w:rFonts w:hint="eastAsia"/>
                <w:color w:val="000000"/>
                <w:spacing w:val="-6"/>
                <w:kern w:val="0"/>
                <w:sz w:val="18"/>
                <w:szCs w:val="18"/>
              </w:rPr>
              <w:t>对原物业服务企业在业主或者业主大会选聘的新物业服务企业或者决定自行管理的业主接管之前，不维持正常的物业管理秩序的处罚</w:t>
            </w:r>
          </w:p>
        </w:tc>
      </w:tr>
      <w:tr w14:paraId="7080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CFD71A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9582915">
            <w:pPr>
              <w:spacing w:line="320" w:lineRule="exact"/>
              <w:jc w:val="left"/>
              <w:rPr>
                <w:color w:val="000000"/>
                <w:kern w:val="0"/>
                <w:sz w:val="18"/>
                <w:szCs w:val="18"/>
              </w:rPr>
            </w:pPr>
            <w:r>
              <w:rPr>
                <w:rFonts w:hint="eastAsia"/>
                <w:color w:val="000000"/>
                <w:kern w:val="0"/>
                <w:sz w:val="18"/>
                <w:szCs w:val="18"/>
              </w:rPr>
              <w:t>【地方性法规】《江苏省物业管理条例》</w:t>
            </w:r>
          </w:p>
          <w:p w14:paraId="12F7D9F7">
            <w:pPr>
              <w:spacing w:line="320" w:lineRule="exact"/>
              <w:jc w:val="left"/>
              <w:rPr>
                <w:color w:val="000000"/>
                <w:kern w:val="0"/>
                <w:sz w:val="18"/>
                <w:szCs w:val="18"/>
              </w:rPr>
            </w:pPr>
            <w:r>
              <w:rPr>
                <w:rFonts w:hint="eastAsia"/>
                <w:color w:val="000000"/>
                <w:kern w:val="0"/>
                <w:sz w:val="18"/>
                <w:szCs w:val="18"/>
              </w:rPr>
              <w:t xml:space="preserve">     第五十七条第二款 物业服务合同终止后，在业主或者业主大会选聘的新物业服务企业或者决定自行管理的业主接管之前，原物业服务企业应当继续处理物业服务事项，维持正常的物业管理秩序，并可以请求业主支付该期间的物业费。</w:t>
            </w:r>
          </w:p>
          <w:p w14:paraId="33E4C059">
            <w:pPr>
              <w:spacing w:line="320" w:lineRule="exact"/>
              <w:jc w:val="left"/>
              <w:rPr>
                <w:color w:val="000000"/>
                <w:kern w:val="0"/>
                <w:sz w:val="18"/>
                <w:szCs w:val="18"/>
              </w:rPr>
            </w:pPr>
            <w:r>
              <w:rPr>
                <w:rFonts w:hint="eastAsia"/>
                <w:color w:val="000000"/>
                <w:kern w:val="0"/>
                <w:sz w:val="18"/>
                <w:szCs w:val="18"/>
              </w:rPr>
              <w:t xml:space="preserve">     第八十八条第二款 有下列行为之一，由县（市、区）物业管理行政主管部门责令限期改正；逾期不改正的，处五万元以上二十万元以下罚款：</w:t>
            </w:r>
          </w:p>
          <w:p w14:paraId="537D3C70">
            <w:pPr>
              <w:spacing w:line="320" w:lineRule="exact"/>
              <w:jc w:val="left"/>
              <w:rPr>
                <w:color w:val="000000"/>
                <w:kern w:val="0"/>
                <w:sz w:val="18"/>
                <w:szCs w:val="18"/>
              </w:rPr>
            </w:pPr>
            <w:r>
              <w:rPr>
                <w:rFonts w:hint="eastAsia"/>
                <w:color w:val="000000"/>
                <w:kern w:val="0"/>
                <w:sz w:val="18"/>
                <w:szCs w:val="18"/>
              </w:rPr>
              <w:t xml:space="preserve">    （一）违反本条例第五十七条第二款规定，原物业服务企业在业主或者业主大会选聘的新物业服务企业或者决定自行管理的业主接管之前，不维持正常的物业管理秩序的；</w:t>
            </w:r>
          </w:p>
        </w:tc>
      </w:tr>
      <w:tr w14:paraId="09FD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A5BEEE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0932BD3">
            <w:pPr>
              <w:spacing w:line="320" w:lineRule="exact"/>
              <w:jc w:val="left"/>
              <w:rPr>
                <w:color w:val="000000"/>
                <w:kern w:val="0"/>
                <w:sz w:val="18"/>
                <w:szCs w:val="18"/>
              </w:rPr>
            </w:pPr>
            <w:r>
              <w:rPr>
                <w:rFonts w:hint="eastAsia"/>
                <w:color w:val="000000"/>
                <w:kern w:val="0"/>
                <w:sz w:val="18"/>
                <w:szCs w:val="18"/>
              </w:rPr>
              <w:t>责令限期改正，罚款</w:t>
            </w:r>
          </w:p>
        </w:tc>
      </w:tr>
      <w:tr w14:paraId="620A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1C32DD72">
            <w:pPr>
              <w:spacing w:line="320" w:lineRule="exact"/>
              <w:jc w:val="center"/>
              <w:rPr>
                <w:color w:val="000000"/>
                <w:kern w:val="0"/>
                <w:sz w:val="18"/>
                <w:szCs w:val="18"/>
              </w:rPr>
            </w:pPr>
            <w:r>
              <w:rPr>
                <w:rFonts w:hint="eastAsia"/>
                <w:color w:val="000000"/>
                <w:kern w:val="0"/>
                <w:sz w:val="18"/>
                <w:szCs w:val="18"/>
              </w:rPr>
              <w:t>裁量基准</w:t>
            </w:r>
          </w:p>
        </w:tc>
      </w:tr>
      <w:tr w14:paraId="16F5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9D2479A">
            <w:pPr>
              <w:rPr>
                <w:color w:val="000000"/>
                <w:kern w:val="0"/>
                <w:sz w:val="18"/>
                <w:szCs w:val="18"/>
              </w:rPr>
            </w:pPr>
            <w:r>
              <w:rPr>
                <w:rFonts w:hint="eastAsia"/>
                <w:color w:val="000000"/>
                <w:kern w:val="0"/>
                <w:sz w:val="18"/>
                <w:szCs w:val="18"/>
              </w:rPr>
              <w:t>情形描述</w:t>
            </w:r>
          </w:p>
        </w:tc>
        <w:tc>
          <w:tcPr>
            <w:tcW w:w="6376" w:type="dxa"/>
            <w:vAlign w:val="center"/>
          </w:tcPr>
          <w:p w14:paraId="5963D001">
            <w:pPr>
              <w:rPr>
                <w:color w:val="000000"/>
                <w:kern w:val="0"/>
                <w:sz w:val="18"/>
                <w:szCs w:val="18"/>
              </w:rPr>
            </w:pPr>
            <w:r>
              <w:rPr>
                <w:rFonts w:hint="eastAsia"/>
                <w:color w:val="000000"/>
                <w:kern w:val="0"/>
                <w:sz w:val="18"/>
                <w:szCs w:val="18"/>
              </w:rPr>
              <w:t>逾期一个月以内不改正的</w:t>
            </w:r>
          </w:p>
        </w:tc>
        <w:tc>
          <w:tcPr>
            <w:tcW w:w="1016" w:type="dxa"/>
            <w:vMerge w:val="restart"/>
            <w:vAlign w:val="center"/>
          </w:tcPr>
          <w:p w14:paraId="7CF050C6">
            <w:pPr>
              <w:rPr>
                <w:color w:val="000000"/>
                <w:kern w:val="0"/>
                <w:sz w:val="18"/>
                <w:szCs w:val="18"/>
              </w:rPr>
            </w:pPr>
            <w:r>
              <w:rPr>
                <w:rFonts w:hint="eastAsia"/>
                <w:color w:val="000000"/>
                <w:kern w:val="0"/>
                <w:sz w:val="18"/>
                <w:szCs w:val="18"/>
              </w:rPr>
              <w:t>裁量幅度</w:t>
            </w:r>
          </w:p>
        </w:tc>
        <w:tc>
          <w:tcPr>
            <w:tcW w:w="5614" w:type="dxa"/>
            <w:vAlign w:val="center"/>
          </w:tcPr>
          <w:p w14:paraId="160FAB1D">
            <w:pPr>
              <w:rPr>
                <w:color w:val="000000"/>
                <w:kern w:val="0"/>
                <w:sz w:val="18"/>
                <w:szCs w:val="18"/>
              </w:rPr>
            </w:pPr>
            <w:r>
              <w:rPr>
                <w:rFonts w:hint="eastAsia"/>
                <w:color w:val="000000"/>
                <w:kern w:val="0"/>
                <w:sz w:val="18"/>
                <w:szCs w:val="18"/>
              </w:rPr>
              <w:t>处五万元以上六万元以下罚款</w:t>
            </w:r>
          </w:p>
        </w:tc>
      </w:tr>
      <w:tr w14:paraId="2EBF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380B382">
            <w:pPr>
              <w:spacing w:line="320" w:lineRule="exact"/>
              <w:jc w:val="left"/>
              <w:rPr>
                <w:color w:val="000000"/>
                <w:kern w:val="0"/>
                <w:sz w:val="18"/>
                <w:szCs w:val="18"/>
              </w:rPr>
            </w:pPr>
          </w:p>
        </w:tc>
        <w:tc>
          <w:tcPr>
            <w:tcW w:w="6376" w:type="dxa"/>
            <w:vAlign w:val="center"/>
          </w:tcPr>
          <w:p w14:paraId="43227450">
            <w:pPr>
              <w:spacing w:line="320" w:lineRule="exact"/>
              <w:jc w:val="left"/>
              <w:rPr>
                <w:color w:val="000000"/>
                <w:kern w:val="0"/>
                <w:sz w:val="18"/>
                <w:szCs w:val="18"/>
              </w:rPr>
            </w:pPr>
            <w:r>
              <w:rPr>
                <w:rFonts w:hint="eastAsia"/>
                <w:color w:val="000000"/>
                <w:kern w:val="0"/>
                <w:sz w:val="18"/>
                <w:szCs w:val="18"/>
              </w:rPr>
              <w:t>逾期一个月以上的不改正的</w:t>
            </w:r>
          </w:p>
        </w:tc>
        <w:tc>
          <w:tcPr>
            <w:tcW w:w="1016" w:type="dxa"/>
            <w:vMerge w:val="continue"/>
            <w:vAlign w:val="center"/>
          </w:tcPr>
          <w:p w14:paraId="294B43C6">
            <w:pPr>
              <w:spacing w:line="320" w:lineRule="exact"/>
              <w:jc w:val="left"/>
              <w:rPr>
                <w:color w:val="000000"/>
                <w:kern w:val="0"/>
                <w:sz w:val="18"/>
                <w:szCs w:val="18"/>
              </w:rPr>
            </w:pPr>
          </w:p>
        </w:tc>
        <w:tc>
          <w:tcPr>
            <w:tcW w:w="5614" w:type="dxa"/>
            <w:vAlign w:val="center"/>
          </w:tcPr>
          <w:p w14:paraId="4B58673B">
            <w:pPr>
              <w:rPr>
                <w:color w:val="000000"/>
                <w:kern w:val="0"/>
                <w:sz w:val="18"/>
                <w:szCs w:val="18"/>
              </w:rPr>
            </w:pPr>
            <w:r>
              <w:rPr>
                <w:rFonts w:hint="eastAsia"/>
                <w:color w:val="000000"/>
                <w:kern w:val="0"/>
                <w:sz w:val="18"/>
                <w:szCs w:val="18"/>
              </w:rPr>
              <w:t>处六万元以上十二万元以下罚款</w:t>
            </w:r>
          </w:p>
        </w:tc>
      </w:tr>
      <w:tr w14:paraId="26E63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31F76FA1">
            <w:pPr>
              <w:spacing w:line="320" w:lineRule="exact"/>
              <w:jc w:val="left"/>
              <w:rPr>
                <w:color w:val="000000"/>
                <w:kern w:val="0"/>
                <w:sz w:val="18"/>
                <w:szCs w:val="18"/>
              </w:rPr>
            </w:pPr>
          </w:p>
        </w:tc>
        <w:tc>
          <w:tcPr>
            <w:tcW w:w="6376" w:type="dxa"/>
            <w:vAlign w:val="center"/>
          </w:tcPr>
          <w:p w14:paraId="6890A0BF">
            <w:pPr>
              <w:spacing w:line="320" w:lineRule="exact"/>
              <w:jc w:val="left"/>
              <w:rPr>
                <w:color w:val="000000"/>
                <w:kern w:val="0"/>
                <w:sz w:val="18"/>
                <w:szCs w:val="18"/>
              </w:rPr>
            </w:pPr>
            <w:r>
              <w:rPr>
                <w:rFonts w:hint="eastAsia"/>
                <w:color w:val="000000"/>
                <w:kern w:val="0"/>
                <w:sz w:val="18"/>
                <w:szCs w:val="18"/>
              </w:rPr>
              <w:t>逾期两个月以上的不改正的</w:t>
            </w:r>
          </w:p>
        </w:tc>
        <w:tc>
          <w:tcPr>
            <w:tcW w:w="1016" w:type="dxa"/>
            <w:vMerge w:val="continue"/>
            <w:vAlign w:val="center"/>
          </w:tcPr>
          <w:p w14:paraId="2ABA88AF">
            <w:pPr>
              <w:spacing w:line="320" w:lineRule="exact"/>
              <w:jc w:val="left"/>
              <w:rPr>
                <w:color w:val="000000"/>
                <w:kern w:val="0"/>
                <w:sz w:val="18"/>
                <w:szCs w:val="18"/>
              </w:rPr>
            </w:pPr>
          </w:p>
        </w:tc>
        <w:tc>
          <w:tcPr>
            <w:tcW w:w="5614" w:type="dxa"/>
            <w:vAlign w:val="center"/>
          </w:tcPr>
          <w:p w14:paraId="66BE35AD">
            <w:pPr>
              <w:rPr>
                <w:color w:val="000000"/>
                <w:kern w:val="0"/>
                <w:sz w:val="18"/>
                <w:szCs w:val="18"/>
              </w:rPr>
            </w:pPr>
            <w:r>
              <w:rPr>
                <w:rFonts w:hint="eastAsia"/>
                <w:color w:val="000000"/>
                <w:kern w:val="0"/>
                <w:sz w:val="18"/>
                <w:szCs w:val="18"/>
              </w:rPr>
              <w:t>处十二万元以上十五万元以下罚款</w:t>
            </w:r>
          </w:p>
        </w:tc>
      </w:tr>
      <w:tr w14:paraId="6ADE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15E5F75">
            <w:pPr>
              <w:spacing w:line="320" w:lineRule="exact"/>
              <w:jc w:val="left"/>
              <w:rPr>
                <w:color w:val="000000"/>
                <w:kern w:val="0"/>
                <w:sz w:val="18"/>
                <w:szCs w:val="18"/>
              </w:rPr>
            </w:pPr>
          </w:p>
        </w:tc>
        <w:tc>
          <w:tcPr>
            <w:tcW w:w="6376" w:type="dxa"/>
            <w:vAlign w:val="center"/>
          </w:tcPr>
          <w:p w14:paraId="1B522E98">
            <w:pPr>
              <w:spacing w:line="320" w:lineRule="exact"/>
              <w:jc w:val="left"/>
              <w:rPr>
                <w:color w:val="000000"/>
                <w:kern w:val="0"/>
                <w:sz w:val="18"/>
                <w:szCs w:val="18"/>
              </w:rPr>
            </w:pPr>
            <w:r>
              <w:rPr>
                <w:rFonts w:hint="eastAsia"/>
                <w:color w:val="000000"/>
                <w:kern w:val="0"/>
                <w:sz w:val="18"/>
                <w:szCs w:val="18"/>
              </w:rPr>
              <w:t>逾期三个月以上的不改正的</w:t>
            </w:r>
          </w:p>
        </w:tc>
        <w:tc>
          <w:tcPr>
            <w:tcW w:w="1016" w:type="dxa"/>
            <w:vMerge w:val="continue"/>
            <w:vAlign w:val="center"/>
          </w:tcPr>
          <w:p w14:paraId="011A9E2B">
            <w:pPr>
              <w:spacing w:line="320" w:lineRule="exact"/>
              <w:jc w:val="left"/>
              <w:rPr>
                <w:color w:val="000000"/>
                <w:kern w:val="0"/>
                <w:sz w:val="18"/>
                <w:szCs w:val="18"/>
              </w:rPr>
            </w:pPr>
          </w:p>
        </w:tc>
        <w:tc>
          <w:tcPr>
            <w:tcW w:w="5614" w:type="dxa"/>
            <w:vAlign w:val="center"/>
          </w:tcPr>
          <w:p w14:paraId="262FB955">
            <w:pPr>
              <w:rPr>
                <w:color w:val="000000"/>
                <w:kern w:val="0"/>
                <w:sz w:val="18"/>
                <w:szCs w:val="18"/>
              </w:rPr>
            </w:pPr>
            <w:r>
              <w:rPr>
                <w:rFonts w:hint="eastAsia"/>
                <w:color w:val="000000"/>
                <w:kern w:val="0"/>
                <w:sz w:val="18"/>
                <w:szCs w:val="18"/>
              </w:rPr>
              <w:t>处十五万元以上十八万元以下罚款</w:t>
            </w:r>
          </w:p>
        </w:tc>
      </w:tr>
      <w:tr w14:paraId="1258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3F44453">
            <w:pPr>
              <w:spacing w:line="320" w:lineRule="exact"/>
              <w:jc w:val="left"/>
              <w:rPr>
                <w:color w:val="000000"/>
                <w:kern w:val="0"/>
                <w:sz w:val="18"/>
                <w:szCs w:val="18"/>
              </w:rPr>
            </w:pPr>
          </w:p>
        </w:tc>
        <w:tc>
          <w:tcPr>
            <w:tcW w:w="6376" w:type="dxa"/>
            <w:vAlign w:val="center"/>
          </w:tcPr>
          <w:p w14:paraId="5A0E3627">
            <w:pPr>
              <w:spacing w:line="320" w:lineRule="exact"/>
              <w:jc w:val="left"/>
              <w:rPr>
                <w:color w:val="000000"/>
                <w:kern w:val="0"/>
                <w:sz w:val="18"/>
                <w:szCs w:val="18"/>
              </w:rPr>
            </w:pPr>
            <w:r>
              <w:rPr>
                <w:rFonts w:hint="eastAsia"/>
                <w:color w:val="000000"/>
                <w:kern w:val="0"/>
                <w:sz w:val="18"/>
                <w:szCs w:val="18"/>
              </w:rPr>
              <w:t>逾期六个月以上的不改正的</w:t>
            </w:r>
          </w:p>
        </w:tc>
        <w:tc>
          <w:tcPr>
            <w:tcW w:w="1016" w:type="dxa"/>
            <w:vMerge w:val="continue"/>
            <w:vAlign w:val="center"/>
          </w:tcPr>
          <w:p w14:paraId="5539FB7F">
            <w:pPr>
              <w:spacing w:line="320" w:lineRule="exact"/>
              <w:jc w:val="left"/>
              <w:rPr>
                <w:color w:val="000000"/>
                <w:kern w:val="0"/>
                <w:sz w:val="18"/>
                <w:szCs w:val="18"/>
              </w:rPr>
            </w:pPr>
          </w:p>
        </w:tc>
        <w:tc>
          <w:tcPr>
            <w:tcW w:w="5614" w:type="dxa"/>
            <w:vAlign w:val="center"/>
          </w:tcPr>
          <w:p w14:paraId="4E5D619C">
            <w:pPr>
              <w:rPr>
                <w:color w:val="000000"/>
                <w:kern w:val="0"/>
                <w:sz w:val="18"/>
                <w:szCs w:val="18"/>
              </w:rPr>
            </w:pPr>
            <w:r>
              <w:rPr>
                <w:rFonts w:hint="eastAsia"/>
                <w:color w:val="000000"/>
                <w:kern w:val="0"/>
                <w:sz w:val="18"/>
                <w:szCs w:val="18"/>
              </w:rPr>
              <w:t>处十八万元以上二十万元以下罚款</w:t>
            </w:r>
          </w:p>
        </w:tc>
      </w:tr>
    </w:tbl>
    <w:p w14:paraId="649E37F2"/>
    <w:p w14:paraId="681D8EC6"/>
    <w:p w14:paraId="46BA9B95"/>
    <w:p w14:paraId="02D3DBC5"/>
    <w:p w14:paraId="1F210AB0"/>
    <w:p w14:paraId="4E073D9D"/>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958C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F253BE4">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42CB432">
            <w:pPr>
              <w:spacing w:line="320" w:lineRule="exact"/>
              <w:rPr>
                <w:rFonts w:eastAsia="仿宋_GB2312"/>
                <w:b/>
                <w:bCs/>
                <w:color w:val="000000"/>
                <w:kern w:val="0"/>
                <w:sz w:val="18"/>
                <w:szCs w:val="18"/>
              </w:rPr>
            </w:pPr>
            <w:r>
              <w:rPr>
                <w:rFonts w:eastAsia="仿宋_GB2312"/>
                <w:b/>
                <w:bCs/>
                <w:color w:val="000000"/>
                <w:kern w:val="0"/>
                <w:sz w:val="18"/>
                <w:szCs w:val="18"/>
              </w:rPr>
              <w:t>320217866000</w:t>
            </w:r>
          </w:p>
        </w:tc>
      </w:tr>
      <w:tr w14:paraId="54F9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56EC61A">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AA91AD8">
            <w:pPr>
              <w:spacing w:line="320" w:lineRule="exact"/>
              <w:jc w:val="left"/>
              <w:rPr>
                <w:color w:val="000000"/>
                <w:spacing w:val="-6"/>
                <w:kern w:val="0"/>
                <w:sz w:val="18"/>
                <w:szCs w:val="18"/>
              </w:rPr>
            </w:pPr>
            <w:r>
              <w:rPr>
                <w:rFonts w:hint="eastAsia"/>
                <w:color w:val="000000"/>
                <w:spacing w:val="-6"/>
                <w:kern w:val="0"/>
                <w:sz w:val="18"/>
                <w:szCs w:val="18"/>
              </w:rPr>
              <w:t>对生产经营单位拒不执行负有安全生产监督管理职责的部门作出的停产停业整顿决定的处罚</w:t>
            </w:r>
          </w:p>
        </w:tc>
      </w:tr>
      <w:tr w14:paraId="6D72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EDC1BED">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BCD0095">
            <w:pPr>
              <w:spacing w:line="320" w:lineRule="exact"/>
              <w:jc w:val="left"/>
              <w:rPr>
                <w:color w:val="000000"/>
                <w:kern w:val="0"/>
                <w:sz w:val="18"/>
                <w:szCs w:val="18"/>
              </w:rPr>
            </w:pPr>
            <w:r>
              <w:rPr>
                <w:rFonts w:hint="eastAsia"/>
                <w:color w:val="000000"/>
                <w:kern w:val="0"/>
                <w:sz w:val="18"/>
                <w:szCs w:val="18"/>
              </w:rPr>
              <w:t>【法律】《中华人民共和国安全生产法》</w:t>
            </w:r>
          </w:p>
          <w:p w14:paraId="35BFB5DD">
            <w:pPr>
              <w:spacing w:line="320" w:lineRule="exact"/>
              <w:jc w:val="left"/>
              <w:rPr>
                <w:color w:val="000000"/>
                <w:kern w:val="0"/>
                <w:sz w:val="18"/>
                <w:szCs w:val="18"/>
              </w:rPr>
            </w:pPr>
            <w:r>
              <w:rPr>
                <w:rFonts w:hint="eastAsia"/>
                <w:color w:val="000000"/>
                <w:kern w:val="0"/>
                <w:sz w:val="18"/>
                <w:szCs w:val="18"/>
              </w:rPr>
              <w:t xml:space="preserve">         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14:paraId="52A9DBFE">
            <w:pPr>
              <w:spacing w:line="320" w:lineRule="exact"/>
              <w:jc w:val="left"/>
              <w:rPr>
                <w:color w:val="000000"/>
                <w:kern w:val="0"/>
                <w:sz w:val="18"/>
                <w:szCs w:val="18"/>
              </w:rPr>
            </w:pPr>
            <w:r>
              <w:rPr>
                <w:rFonts w:hint="eastAsia"/>
                <w:color w:val="000000"/>
                <w:kern w:val="0"/>
                <w:sz w:val="18"/>
                <w:szCs w:val="18"/>
              </w:rPr>
              <w:t xml:space="preserve">      （四）拒不执行负有安全生产监督管理职责的部门作出的停产停业整顿决定的。</w:t>
            </w:r>
          </w:p>
        </w:tc>
      </w:tr>
      <w:tr w14:paraId="4DA4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F2975DB">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62A61490">
            <w:pPr>
              <w:spacing w:line="320" w:lineRule="exact"/>
              <w:jc w:val="left"/>
              <w:rPr>
                <w:color w:val="000000"/>
                <w:kern w:val="0"/>
                <w:sz w:val="18"/>
                <w:szCs w:val="18"/>
              </w:rPr>
            </w:pPr>
            <w:r>
              <w:rPr>
                <w:rFonts w:hint="eastAsia"/>
                <w:color w:val="000000"/>
                <w:kern w:val="0"/>
                <w:sz w:val="18"/>
                <w:szCs w:val="18"/>
              </w:rPr>
              <w:t>予以关闭，吊销有关证照</w:t>
            </w:r>
          </w:p>
        </w:tc>
      </w:tr>
      <w:tr w14:paraId="525B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157FEC24">
            <w:pPr>
              <w:spacing w:line="320" w:lineRule="exact"/>
              <w:jc w:val="center"/>
              <w:rPr>
                <w:color w:val="000000"/>
                <w:kern w:val="0"/>
                <w:sz w:val="18"/>
                <w:szCs w:val="18"/>
              </w:rPr>
            </w:pPr>
            <w:r>
              <w:rPr>
                <w:rFonts w:hint="eastAsia"/>
                <w:color w:val="000000"/>
                <w:kern w:val="0"/>
                <w:sz w:val="18"/>
                <w:szCs w:val="18"/>
              </w:rPr>
              <w:t>裁量基准</w:t>
            </w:r>
          </w:p>
        </w:tc>
      </w:tr>
      <w:tr w14:paraId="0D03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6CDF9C66">
            <w:pPr>
              <w:rPr>
                <w:color w:val="000000"/>
                <w:kern w:val="0"/>
                <w:sz w:val="18"/>
                <w:szCs w:val="18"/>
              </w:rPr>
            </w:pPr>
            <w:r>
              <w:rPr>
                <w:rFonts w:hint="eastAsia"/>
                <w:color w:val="000000"/>
                <w:kern w:val="0"/>
                <w:sz w:val="18"/>
                <w:szCs w:val="18"/>
              </w:rPr>
              <w:t>情形描述</w:t>
            </w:r>
          </w:p>
        </w:tc>
        <w:tc>
          <w:tcPr>
            <w:tcW w:w="6376" w:type="dxa"/>
            <w:vAlign w:val="center"/>
          </w:tcPr>
          <w:p w14:paraId="1A300122">
            <w:pPr>
              <w:rPr>
                <w:color w:val="000000"/>
                <w:kern w:val="0"/>
                <w:sz w:val="18"/>
                <w:szCs w:val="18"/>
              </w:rPr>
            </w:pPr>
          </w:p>
        </w:tc>
        <w:tc>
          <w:tcPr>
            <w:tcW w:w="1016" w:type="dxa"/>
            <w:vMerge w:val="restart"/>
            <w:vAlign w:val="center"/>
          </w:tcPr>
          <w:p w14:paraId="02EBB5C8">
            <w:pPr>
              <w:rPr>
                <w:color w:val="000000"/>
                <w:kern w:val="0"/>
                <w:sz w:val="18"/>
                <w:szCs w:val="18"/>
              </w:rPr>
            </w:pPr>
            <w:r>
              <w:rPr>
                <w:rFonts w:hint="eastAsia"/>
                <w:color w:val="000000"/>
                <w:kern w:val="0"/>
                <w:sz w:val="18"/>
                <w:szCs w:val="18"/>
              </w:rPr>
              <w:t>裁量幅度</w:t>
            </w:r>
          </w:p>
        </w:tc>
        <w:tc>
          <w:tcPr>
            <w:tcW w:w="5614" w:type="dxa"/>
            <w:vAlign w:val="center"/>
          </w:tcPr>
          <w:p w14:paraId="70CF4AD3">
            <w:pPr>
              <w:rPr>
                <w:color w:val="000000"/>
                <w:kern w:val="0"/>
                <w:sz w:val="18"/>
                <w:szCs w:val="18"/>
              </w:rPr>
            </w:pPr>
          </w:p>
        </w:tc>
      </w:tr>
      <w:tr w14:paraId="72C5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7CBFB9E">
            <w:pPr>
              <w:spacing w:line="320" w:lineRule="exact"/>
              <w:jc w:val="left"/>
              <w:rPr>
                <w:color w:val="000000"/>
                <w:kern w:val="0"/>
                <w:sz w:val="18"/>
                <w:szCs w:val="18"/>
              </w:rPr>
            </w:pPr>
          </w:p>
        </w:tc>
        <w:tc>
          <w:tcPr>
            <w:tcW w:w="6376" w:type="dxa"/>
            <w:vAlign w:val="center"/>
          </w:tcPr>
          <w:p w14:paraId="5827B4C1">
            <w:pPr>
              <w:spacing w:line="320" w:lineRule="exact"/>
              <w:jc w:val="left"/>
              <w:rPr>
                <w:color w:val="000000"/>
                <w:kern w:val="0"/>
                <w:sz w:val="18"/>
                <w:szCs w:val="18"/>
              </w:rPr>
            </w:pPr>
          </w:p>
        </w:tc>
        <w:tc>
          <w:tcPr>
            <w:tcW w:w="1016" w:type="dxa"/>
            <w:vMerge w:val="continue"/>
            <w:vAlign w:val="center"/>
          </w:tcPr>
          <w:p w14:paraId="41D4264A">
            <w:pPr>
              <w:spacing w:line="320" w:lineRule="exact"/>
              <w:jc w:val="left"/>
              <w:rPr>
                <w:color w:val="000000"/>
                <w:kern w:val="0"/>
                <w:sz w:val="18"/>
                <w:szCs w:val="18"/>
              </w:rPr>
            </w:pPr>
          </w:p>
        </w:tc>
        <w:tc>
          <w:tcPr>
            <w:tcW w:w="5614" w:type="dxa"/>
            <w:vAlign w:val="center"/>
          </w:tcPr>
          <w:p w14:paraId="6A47AC84">
            <w:pPr>
              <w:rPr>
                <w:color w:val="000000"/>
                <w:kern w:val="0"/>
                <w:sz w:val="18"/>
                <w:szCs w:val="18"/>
              </w:rPr>
            </w:pPr>
          </w:p>
        </w:tc>
      </w:tr>
    </w:tbl>
    <w:p w14:paraId="414CCC0D"/>
    <w:p w14:paraId="15C09543"/>
    <w:p w14:paraId="3E9E0C0A"/>
    <w:p w14:paraId="4955EBC6"/>
    <w:p w14:paraId="6F48360A"/>
    <w:p w14:paraId="4A107A92"/>
    <w:p w14:paraId="06FCF4E5"/>
    <w:p w14:paraId="3FFD050E"/>
    <w:p w14:paraId="70363576"/>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E3F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10AE96C3">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43FF4BA">
            <w:pPr>
              <w:spacing w:line="320" w:lineRule="exact"/>
              <w:rPr>
                <w:rFonts w:eastAsia="仿宋_GB2312"/>
                <w:b/>
                <w:bCs/>
                <w:color w:val="000000"/>
                <w:kern w:val="0"/>
                <w:sz w:val="18"/>
                <w:szCs w:val="18"/>
              </w:rPr>
            </w:pPr>
            <w:r>
              <w:rPr>
                <w:rFonts w:eastAsia="仿宋_GB2312"/>
                <w:b/>
                <w:bCs/>
                <w:color w:val="000000"/>
                <w:kern w:val="0"/>
                <w:sz w:val="18"/>
                <w:szCs w:val="18"/>
              </w:rPr>
              <w:t>320217867000</w:t>
            </w:r>
          </w:p>
        </w:tc>
      </w:tr>
      <w:tr w14:paraId="1D42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30EAE8F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6698403">
            <w:pPr>
              <w:spacing w:line="320" w:lineRule="exact"/>
              <w:jc w:val="left"/>
              <w:rPr>
                <w:color w:val="000000"/>
                <w:spacing w:val="-6"/>
                <w:kern w:val="0"/>
                <w:sz w:val="18"/>
                <w:szCs w:val="18"/>
              </w:rPr>
            </w:pPr>
            <w:r>
              <w:rPr>
                <w:rFonts w:hint="eastAsia"/>
                <w:color w:val="000000"/>
                <w:spacing w:val="-6"/>
                <w:kern w:val="0"/>
                <w:sz w:val="18"/>
                <w:szCs w:val="18"/>
              </w:rPr>
              <w:t>对生产经营单位不具备法律、行政法规和国家标准或者行业标准规定的安全生产条件，导致发生重大、特别重大生产安全事故的处罚</w:t>
            </w:r>
          </w:p>
        </w:tc>
      </w:tr>
      <w:tr w14:paraId="35E3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71BCDB7B">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1026679">
            <w:pPr>
              <w:spacing w:line="320" w:lineRule="exact"/>
              <w:jc w:val="left"/>
              <w:rPr>
                <w:color w:val="000000"/>
                <w:kern w:val="0"/>
                <w:sz w:val="18"/>
                <w:szCs w:val="18"/>
              </w:rPr>
            </w:pPr>
            <w:r>
              <w:rPr>
                <w:rFonts w:hint="eastAsia"/>
                <w:color w:val="000000"/>
                <w:kern w:val="0"/>
                <w:sz w:val="18"/>
                <w:szCs w:val="18"/>
              </w:rPr>
              <w:t>【法律】《中华人民共和国安全生产法》</w:t>
            </w:r>
          </w:p>
          <w:p w14:paraId="0C92BF78">
            <w:pPr>
              <w:spacing w:line="320" w:lineRule="exact"/>
              <w:jc w:val="left"/>
              <w:rPr>
                <w:color w:val="000000"/>
                <w:kern w:val="0"/>
                <w:sz w:val="18"/>
                <w:szCs w:val="18"/>
              </w:rPr>
            </w:pPr>
            <w:r>
              <w:rPr>
                <w:rFonts w:hint="eastAsia"/>
                <w:color w:val="000000"/>
                <w:kern w:val="0"/>
                <w:sz w:val="18"/>
                <w:szCs w:val="18"/>
              </w:rPr>
              <w:t xml:space="preserve">         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14:paraId="1BB558C6">
            <w:pPr>
              <w:spacing w:line="320" w:lineRule="exact"/>
              <w:jc w:val="left"/>
              <w:rPr>
                <w:color w:val="000000"/>
                <w:kern w:val="0"/>
                <w:sz w:val="18"/>
                <w:szCs w:val="18"/>
              </w:rPr>
            </w:pPr>
            <w:r>
              <w:rPr>
                <w:rFonts w:hint="eastAsia"/>
                <w:color w:val="000000"/>
                <w:kern w:val="0"/>
                <w:sz w:val="18"/>
                <w:szCs w:val="18"/>
              </w:rPr>
              <w:t xml:space="preserve">      （三）不具备法律、行政法规和国家标准或者行业标准规定的安全生产条件，导致发生重大、特别重大生产安全事故的；</w:t>
            </w:r>
          </w:p>
        </w:tc>
      </w:tr>
      <w:tr w14:paraId="22D4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BFA4307">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78F4978">
            <w:pPr>
              <w:spacing w:line="320" w:lineRule="exact"/>
              <w:jc w:val="left"/>
              <w:rPr>
                <w:color w:val="000000"/>
                <w:kern w:val="0"/>
                <w:sz w:val="18"/>
                <w:szCs w:val="18"/>
              </w:rPr>
            </w:pPr>
            <w:r>
              <w:rPr>
                <w:rFonts w:hint="eastAsia"/>
                <w:color w:val="000000"/>
                <w:kern w:val="0"/>
                <w:sz w:val="18"/>
                <w:szCs w:val="18"/>
              </w:rPr>
              <w:t>予以关闭，吊销有关证照</w:t>
            </w:r>
          </w:p>
        </w:tc>
      </w:tr>
      <w:tr w14:paraId="6ED4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B923DD0">
            <w:pPr>
              <w:spacing w:line="320" w:lineRule="exact"/>
              <w:jc w:val="center"/>
              <w:rPr>
                <w:color w:val="000000"/>
                <w:kern w:val="0"/>
                <w:sz w:val="18"/>
                <w:szCs w:val="18"/>
              </w:rPr>
            </w:pPr>
            <w:r>
              <w:rPr>
                <w:rFonts w:hint="eastAsia"/>
                <w:color w:val="000000"/>
                <w:kern w:val="0"/>
                <w:sz w:val="18"/>
                <w:szCs w:val="18"/>
              </w:rPr>
              <w:t>裁量基准</w:t>
            </w:r>
          </w:p>
        </w:tc>
      </w:tr>
      <w:tr w14:paraId="4670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4663EE3D">
            <w:pPr>
              <w:rPr>
                <w:color w:val="000000"/>
                <w:kern w:val="0"/>
                <w:sz w:val="18"/>
                <w:szCs w:val="18"/>
              </w:rPr>
            </w:pPr>
            <w:r>
              <w:rPr>
                <w:rFonts w:hint="eastAsia"/>
                <w:color w:val="000000"/>
                <w:kern w:val="0"/>
                <w:sz w:val="18"/>
                <w:szCs w:val="18"/>
              </w:rPr>
              <w:t>情形描述</w:t>
            </w:r>
          </w:p>
        </w:tc>
        <w:tc>
          <w:tcPr>
            <w:tcW w:w="6376" w:type="dxa"/>
            <w:vAlign w:val="center"/>
          </w:tcPr>
          <w:p w14:paraId="640CBB05">
            <w:pPr>
              <w:rPr>
                <w:color w:val="000000"/>
                <w:kern w:val="0"/>
                <w:sz w:val="18"/>
                <w:szCs w:val="18"/>
              </w:rPr>
            </w:pPr>
          </w:p>
        </w:tc>
        <w:tc>
          <w:tcPr>
            <w:tcW w:w="1016" w:type="dxa"/>
            <w:vMerge w:val="restart"/>
            <w:vAlign w:val="center"/>
          </w:tcPr>
          <w:p w14:paraId="283A1C0F">
            <w:pPr>
              <w:rPr>
                <w:color w:val="000000"/>
                <w:kern w:val="0"/>
                <w:sz w:val="18"/>
                <w:szCs w:val="18"/>
              </w:rPr>
            </w:pPr>
            <w:r>
              <w:rPr>
                <w:rFonts w:hint="eastAsia"/>
                <w:color w:val="000000"/>
                <w:kern w:val="0"/>
                <w:sz w:val="18"/>
                <w:szCs w:val="18"/>
              </w:rPr>
              <w:t>裁量幅度</w:t>
            </w:r>
          </w:p>
        </w:tc>
        <w:tc>
          <w:tcPr>
            <w:tcW w:w="5614" w:type="dxa"/>
            <w:vAlign w:val="center"/>
          </w:tcPr>
          <w:p w14:paraId="23581657">
            <w:pPr>
              <w:rPr>
                <w:color w:val="000000"/>
                <w:kern w:val="0"/>
                <w:sz w:val="18"/>
                <w:szCs w:val="18"/>
              </w:rPr>
            </w:pPr>
          </w:p>
        </w:tc>
      </w:tr>
      <w:tr w14:paraId="3241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5BDCE60">
            <w:pPr>
              <w:spacing w:line="320" w:lineRule="exact"/>
              <w:jc w:val="left"/>
              <w:rPr>
                <w:color w:val="000000"/>
                <w:kern w:val="0"/>
                <w:sz w:val="18"/>
                <w:szCs w:val="18"/>
              </w:rPr>
            </w:pPr>
          </w:p>
        </w:tc>
        <w:tc>
          <w:tcPr>
            <w:tcW w:w="6376" w:type="dxa"/>
            <w:vAlign w:val="center"/>
          </w:tcPr>
          <w:p w14:paraId="5F4065C4">
            <w:pPr>
              <w:spacing w:line="320" w:lineRule="exact"/>
              <w:jc w:val="left"/>
              <w:rPr>
                <w:color w:val="000000"/>
                <w:kern w:val="0"/>
                <w:sz w:val="18"/>
                <w:szCs w:val="18"/>
              </w:rPr>
            </w:pPr>
          </w:p>
        </w:tc>
        <w:tc>
          <w:tcPr>
            <w:tcW w:w="1016" w:type="dxa"/>
            <w:vMerge w:val="continue"/>
            <w:vAlign w:val="center"/>
          </w:tcPr>
          <w:p w14:paraId="20C9B54C">
            <w:pPr>
              <w:spacing w:line="320" w:lineRule="exact"/>
              <w:jc w:val="left"/>
              <w:rPr>
                <w:color w:val="000000"/>
                <w:kern w:val="0"/>
                <w:sz w:val="18"/>
                <w:szCs w:val="18"/>
              </w:rPr>
            </w:pPr>
          </w:p>
        </w:tc>
        <w:tc>
          <w:tcPr>
            <w:tcW w:w="5614" w:type="dxa"/>
            <w:vAlign w:val="center"/>
          </w:tcPr>
          <w:p w14:paraId="51B00B96">
            <w:pPr>
              <w:rPr>
                <w:color w:val="000000"/>
                <w:kern w:val="0"/>
                <w:sz w:val="18"/>
                <w:szCs w:val="18"/>
              </w:rPr>
            </w:pPr>
          </w:p>
        </w:tc>
      </w:tr>
    </w:tbl>
    <w:p w14:paraId="2870B632"/>
    <w:p w14:paraId="5405E2C6"/>
    <w:p w14:paraId="0D33D9EF"/>
    <w:p w14:paraId="68E65915"/>
    <w:p w14:paraId="64DD6B85"/>
    <w:p w14:paraId="66A83D5B"/>
    <w:p w14:paraId="0F1E7D9B"/>
    <w:p w14:paraId="625F9193"/>
    <w:p w14:paraId="43951BF5"/>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826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17588E98">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5955662">
            <w:pPr>
              <w:spacing w:line="320" w:lineRule="exact"/>
              <w:rPr>
                <w:rFonts w:eastAsia="仿宋_GB2312"/>
                <w:b/>
                <w:bCs/>
                <w:color w:val="000000"/>
                <w:kern w:val="0"/>
                <w:sz w:val="18"/>
                <w:szCs w:val="18"/>
              </w:rPr>
            </w:pPr>
            <w:r>
              <w:rPr>
                <w:rFonts w:eastAsia="仿宋_GB2312"/>
                <w:b/>
                <w:bCs/>
                <w:color w:val="000000"/>
                <w:kern w:val="0"/>
                <w:sz w:val="18"/>
                <w:szCs w:val="18"/>
              </w:rPr>
              <w:t>320217868000</w:t>
            </w:r>
          </w:p>
        </w:tc>
      </w:tr>
      <w:tr w14:paraId="4C0A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3905134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81FA493">
            <w:pPr>
              <w:spacing w:line="320" w:lineRule="exact"/>
              <w:jc w:val="left"/>
              <w:rPr>
                <w:color w:val="000000"/>
                <w:spacing w:val="-6"/>
                <w:kern w:val="0"/>
                <w:sz w:val="18"/>
                <w:szCs w:val="18"/>
              </w:rPr>
            </w:pPr>
            <w:r>
              <w:rPr>
                <w:rFonts w:hint="eastAsia"/>
                <w:color w:val="000000"/>
                <w:spacing w:val="-6"/>
                <w:kern w:val="0"/>
                <w:sz w:val="18"/>
                <w:szCs w:val="18"/>
              </w:rPr>
              <w:t>对生产经营单位经停产停业整顿，仍不具备法律、行政法规和国家标准或者行业标准规定的安全生产条件的处罚</w:t>
            </w:r>
          </w:p>
        </w:tc>
      </w:tr>
      <w:tr w14:paraId="5278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3AE643BD">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323F124">
            <w:pPr>
              <w:spacing w:line="320" w:lineRule="exact"/>
              <w:jc w:val="left"/>
              <w:rPr>
                <w:color w:val="000000"/>
                <w:kern w:val="0"/>
                <w:sz w:val="18"/>
                <w:szCs w:val="18"/>
              </w:rPr>
            </w:pPr>
            <w:r>
              <w:rPr>
                <w:rFonts w:hint="eastAsia"/>
                <w:color w:val="000000"/>
                <w:kern w:val="0"/>
                <w:sz w:val="18"/>
                <w:szCs w:val="18"/>
              </w:rPr>
              <w:t>【法律】《中华人民共和国安全生产法》</w:t>
            </w:r>
          </w:p>
          <w:p w14:paraId="72E6C2AC">
            <w:pPr>
              <w:spacing w:line="320" w:lineRule="exact"/>
              <w:jc w:val="left"/>
              <w:rPr>
                <w:color w:val="000000"/>
                <w:kern w:val="0"/>
                <w:sz w:val="18"/>
                <w:szCs w:val="18"/>
              </w:rPr>
            </w:pPr>
            <w:r>
              <w:rPr>
                <w:rFonts w:hint="eastAsia"/>
                <w:color w:val="000000"/>
                <w:kern w:val="0"/>
                <w:sz w:val="18"/>
                <w:szCs w:val="18"/>
              </w:rPr>
              <w:t xml:space="preserve">         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14:paraId="1D24EE2E">
            <w:pPr>
              <w:spacing w:line="320" w:lineRule="exact"/>
              <w:jc w:val="left"/>
              <w:rPr>
                <w:color w:val="000000"/>
                <w:kern w:val="0"/>
                <w:sz w:val="18"/>
                <w:szCs w:val="18"/>
              </w:rPr>
            </w:pPr>
            <w:r>
              <w:rPr>
                <w:rFonts w:hint="eastAsia"/>
                <w:color w:val="000000"/>
                <w:kern w:val="0"/>
                <w:sz w:val="18"/>
                <w:szCs w:val="18"/>
              </w:rPr>
              <w:t xml:space="preserve">     （二）经停产停业整顿，仍不具备法律、行政法规和国家标准或者行业标准规定的安全生产条件的；</w:t>
            </w:r>
          </w:p>
        </w:tc>
      </w:tr>
      <w:tr w14:paraId="39E2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4A870C9">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F13911A">
            <w:pPr>
              <w:spacing w:line="320" w:lineRule="exact"/>
              <w:jc w:val="left"/>
              <w:rPr>
                <w:color w:val="000000"/>
                <w:kern w:val="0"/>
                <w:sz w:val="18"/>
                <w:szCs w:val="18"/>
              </w:rPr>
            </w:pPr>
            <w:r>
              <w:rPr>
                <w:rFonts w:hint="eastAsia"/>
                <w:color w:val="000000"/>
                <w:kern w:val="0"/>
                <w:sz w:val="18"/>
                <w:szCs w:val="18"/>
              </w:rPr>
              <w:t>予以关闭，吊销有关证照</w:t>
            </w:r>
          </w:p>
        </w:tc>
      </w:tr>
      <w:tr w14:paraId="244B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C42A3D4">
            <w:pPr>
              <w:spacing w:line="320" w:lineRule="exact"/>
              <w:jc w:val="center"/>
              <w:rPr>
                <w:color w:val="000000"/>
                <w:kern w:val="0"/>
                <w:sz w:val="18"/>
                <w:szCs w:val="18"/>
              </w:rPr>
            </w:pPr>
            <w:r>
              <w:rPr>
                <w:rFonts w:hint="eastAsia"/>
                <w:color w:val="000000"/>
                <w:kern w:val="0"/>
                <w:sz w:val="18"/>
                <w:szCs w:val="18"/>
              </w:rPr>
              <w:t>裁量基准</w:t>
            </w:r>
          </w:p>
        </w:tc>
      </w:tr>
      <w:tr w14:paraId="412E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E472453">
            <w:pPr>
              <w:rPr>
                <w:color w:val="000000"/>
                <w:kern w:val="0"/>
                <w:sz w:val="18"/>
                <w:szCs w:val="18"/>
              </w:rPr>
            </w:pPr>
            <w:r>
              <w:rPr>
                <w:rFonts w:hint="eastAsia"/>
                <w:color w:val="000000"/>
                <w:kern w:val="0"/>
                <w:sz w:val="18"/>
                <w:szCs w:val="18"/>
              </w:rPr>
              <w:t>情形描述</w:t>
            </w:r>
          </w:p>
        </w:tc>
        <w:tc>
          <w:tcPr>
            <w:tcW w:w="6376" w:type="dxa"/>
            <w:vAlign w:val="center"/>
          </w:tcPr>
          <w:p w14:paraId="5B5C72D6">
            <w:pPr>
              <w:rPr>
                <w:color w:val="000000"/>
                <w:kern w:val="0"/>
                <w:sz w:val="18"/>
                <w:szCs w:val="18"/>
              </w:rPr>
            </w:pPr>
          </w:p>
        </w:tc>
        <w:tc>
          <w:tcPr>
            <w:tcW w:w="1016" w:type="dxa"/>
            <w:vMerge w:val="restart"/>
            <w:vAlign w:val="center"/>
          </w:tcPr>
          <w:p w14:paraId="7372EC43">
            <w:pPr>
              <w:rPr>
                <w:color w:val="000000"/>
                <w:kern w:val="0"/>
                <w:sz w:val="18"/>
                <w:szCs w:val="18"/>
              </w:rPr>
            </w:pPr>
            <w:r>
              <w:rPr>
                <w:rFonts w:hint="eastAsia"/>
                <w:color w:val="000000"/>
                <w:kern w:val="0"/>
                <w:sz w:val="18"/>
                <w:szCs w:val="18"/>
              </w:rPr>
              <w:t>裁量幅度</w:t>
            </w:r>
          </w:p>
        </w:tc>
        <w:tc>
          <w:tcPr>
            <w:tcW w:w="5614" w:type="dxa"/>
            <w:vAlign w:val="center"/>
          </w:tcPr>
          <w:p w14:paraId="052C33D7">
            <w:pPr>
              <w:rPr>
                <w:color w:val="000000"/>
                <w:kern w:val="0"/>
                <w:sz w:val="18"/>
                <w:szCs w:val="18"/>
              </w:rPr>
            </w:pPr>
          </w:p>
        </w:tc>
      </w:tr>
      <w:tr w14:paraId="796E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37F4B518">
            <w:pPr>
              <w:spacing w:line="320" w:lineRule="exact"/>
              <w:jc w:val="left"/>
              <w:rPr>
                <w:color w:val="000000"/>
                <w:kern w:val="0"/>
                <w:sz w:val="18"/>
                <w:szCs w:val="18"/>
              </w:rPr>
            </w:pPr>
          </w:p>
        </w:tc>
        <w:tc>
          <w:tcPr>
            <w:tcW w:w="6376" w:type="dxa"/>
            <w:vAlign w:val="center"/>
          </w:tcPr>
          <w:p w14:paraId="3B896C05">
            <w:pPr>
              <w:spacing w:line="320" w:lineRule="exact"/>
              <w:jc w:val="left"/>
              <w:rPr>
                <w:color w:val="000000"/>
                <w:kern w:val="0"/>
                <w:sz w:val="18"/>
                <w:szCs w:val="18"/>
              </w:rPr>
            </w:pPr>
          </w:p>
        </w:tc>
        <w:tc>
          <w:tcPr>
            <w:tcW w:w="1016" w:type="dxa"/>
            <w:vMerge w:val="continue"/>
            <w:vAlign w:val="center"/>
          </w:tcPr>
          <w:p w14:paraId="4D470C02">
            <w:pPr>
              <w:spacing w:line="320" w:lineRule="exact"/>
              <w:jc w:val="left"/>
              <w:rPr>
                <w:color w:val="000000"/>
                <w:kern w:val="0"/>
                <w:sz w:val="18"/>
                <w:szCs w:val="18"/>
              </w:rPr>
            </w:pPr>
          </w:p>
        </w:tc>
        <w:tc>
          <w:tcPr>
            <w:tcW w:w="5614" w:type="dxa"/>
            <w:vAlign w:val="center"/>
          </w:tcPr>
          <w:p w14:paraId="58426568">
            <w:pPr>
              <w:rPr>
                <w:color w:val="000000"/>
                <w:kern w:val="0"/>
                <w:sz w:val="18"/>
                <w:szCs w:val="18"/>
              </w:rPr>
            </w:pPr>
          </w:p>
        </w:tc>
      </w:tr>
    </w:tbl>
    <w:p w14:paraId="29062E7E"/>
    <w:p w14:paraId="1C42684C"/>
    <w:p w14:paraId="67A8DD43"/>
    <w:p w14:paraId="0C9C449C"/>
    <w:p w14:paraId="4F0962E2"/>
    <w:p w14:paraId="6C8B331D"/>
    <w:p w14:paraId="65B5E321"/>
    <w:p w14:paraId="67B0B5ED"/>
    <w:p w14:paraId="18F5BB10"/>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C9DB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9245E9D">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2943E2C">
            <w:pPr>
              <w:spacing w:line="320" w:lineRule="exact"/>
              <w:rPr>
                <w:rFonts w:eastAsia="仿宋_GB2312"/>
                <w:b/>
                <w:bCs/>
                <w:color w:val="000000"/>
                <w:kern w:val="0"/>
                <w:sz w:val="18"/>
                <w:szCs w:val="18"/>
              </w:rPr>
            </w:pPr>
            <w:r>
              <w:rPr>
                <w:rFonts w:eastAsia="仿宋_GB2312"/>
                <w:b/>
                <w:bCs/>
                <w:color w:val="000000"/>
                <w:kern w:val="0"/>
                <w:sz w:val="18"/>
                <w:szCs w:val="18"/>
              </w:rPr>
              <w:t>320217869000</w:t>
            </w:r>
          </w:p>
        </w:tc>
      </w:tr>
      <w:tr w14:paraId="5F39E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0F45914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0ADDA27">
            <w:pPr>
              <w:spacing w:line="320" w:lineRule="exact"/>
              <w:jc w:val="left"/>
              <w:rPr>
                <w:color w:val="000000"/>
                <w:spacing w:val="-6"/>
                <w:kern w:val="0"/>
                <w:sz w:val="18"/>
                <w:szCs w:val="18"/>
              </w:rPr>
            </w:pPr>
            <w:r>
              <w:rPr>
                <w:rFonts w:hint="eastAsia"/>
                <w:color w:val="000000"/>
                <w:spacing w:val="-6"/>
                <w:kern w:val="0"/>
                <w:sz w:val="18"/>
                <w:szCs w:val="18"/>
              </w:rPr>
              <w:t>对生产经营单位存在重大事故隐患，一百八十日内三次或者一年内四次受到《中华人民共和国安全生产法》规定的行政处罚的处罚</w:t>
            </w:r>
          </w:p>
        </w:tc>
      </w:tr>
      <w:tr w14:paraId="12C7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0611F71F">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A3B2C90">
            <w:pPr>
              <w:spacing w:line="320" w:lineRule="exact"/>
              <w:jc w:val="left"/>
              <w:rPr>
                <w:color w:val="000000"/>
                <w:kern w:val="0"/>
                <w:sz w:val="18"/>
                <w:szCs w:val="18"/>
              </w:rPr>
            </w:pPr>
            <w:r>
              <w:rPr>
                <w:rFonts w:hint="eastAsia"/>
                <w:color w:val="000000"/>
                <w:kern w:val="0"/>
                <w:sz w:val="18"/>
                <w:szCs w:val="18"/>
              </w:rPr>
              <w:t>【法律】《中华人民共和国安全生产法》</w:t>
            </w:r>
          </w:p>
          <w:p w14:paraId="7024BBE1">
            <w:pPr>
              <w:spacing w:line="320" w:lineRule="exact"/>
              <w:jc w:val="left"/>
              <w:rPr>
                <w:color w:val="000000"/>
                <w:kern w:val="0"/>
                <w:sz w:val="18"/>
                <w:szCs w:val="18"/>
              </w:rPr>
            </w:pPr>
            <w:r>
              <w:rPr>
                <w:rFonts w:hint="eastAsia"/>
                <w:color w:val="000000"/>
                <w:kern w:val="0"/>
                <w:sz w:val="18"/>
                <w:szCs w:val="18"/>
              </w:rPr>
              <w:t xml:space="preserve">         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14:paraId="36265B40">
            <w:pPr>
              <w:spacing w:line="320" w:lineRule="exact"/>
              <w:jc w:val="left"/>
              <w:rPr>
                <w:color w:val="000000"/>
                <w:kern w:val="0"/>
                <w:sz w:val="18"/>
                <w:szCs w:val="18"/>
              </w:rPr>
            </w:pPr>
            <w:r>
              <w:rPr>
                <w:rFonts w:hint="eastAsia"/>
                <w:color w:val="000000"/>
                <w:kern w:val="0"/>
                <w:sz w:val="18"/>
                <w:szCs w:val="18"/>
              </w:rPr>
              <w:t xml:space="preserve">       （一）存在重大事故隐患，一百八十日内三次或者一年内四次受到本法规定的行政处罚的；</w:t>
            </w:r>
          </w:p>
        </w:tc>
      </w:tr>
      <w:tr w14:paraId="27DA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993C472">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4569BC7">
            <w:pPr>
              <w:spacing w:line="320" w:lineRule="exact"/>
              <w:jc w:val="left"/>
              <w:rPr>
                <w:color w:val="000000"/>
                <w:kern w:val="0"/>
                <w:sz w:val="18"/>
                <w:szCs w:val="18"/>
              </w:rPr>
            </w:pPr>
            <w:r>
              <w:rPr>
                <w:rFonts w:hint="eastAsia"/>
                <w:color w:val="000000"/>
                <w:kern w:val="0"/>
                <w:sz w:val="18"/>
                <w:szCs w:val="18"/>
              </w:rPr>
              <w:t>予以关闭，吊销有关证照</w:t>
            </w:r>
          </w:p>
        </w:tc>
      </w:tr>
      <w:tr w14:paraId="21BC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F09848C">
            <w:pPr>
              <w:spacing w:line="320" w:lineRule="exact"/>
              <w:jc w:val="center"/>
              <w:rPr>
                <w:color w:val="000000"/>
                <w:kern w:val="0"/>
                <w:sz w:val="18"/>
                <w:szCs w:val="18"/>
              </w:rPr>
            </w:pPr>
            <w:r>
              <w:rPr>
                <w:rFonts w:hint="eastAsia"/>
                <w:color w:val="000000"/>
                <w:kern w:val="0"/>
                <w:sz w:val="18"/>
                <w:szCs w:val="18"/>
              </w:rPr>
              <w:t>裁量基准</w:t>
            </w:r>
          </w:p>
        </w:tc>
      </w:tr>
      <w:tr w14:paraId="5ACE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116C6CF">
            <w:pPr>
              <w:rPr>
                <w:color w:val="000000"/>
                <w:kern w:val="0"/>
                <w:sz w:val="18"/>
                <w:szCs w:val="18"/>
              </w:rPr>
            </w:pPr>
            <w:r>
              <w:rPr>
                <w:rFonts w:hint="eastAsia"/>
                <w:color w:val="000000"/>
                <w:kern w:val="0"/>
                <w:sz w:val="18"/>
                <w:szCs w:val="18"/>
              </w:rPr>
              <w:t>情形描述</w:t>
            </w:r>
          </w:p>
        </w:tc>
        <w:tc>
          <w:tcPr>
            <w:tcW w:w="6376" w:type="dxa"/>
            <w:vAlign w:val="center"/>
          </w:tcPr>
          <w:p w14:paraId="7607703F">
            <w:pPr>
              <w:rPr>
                <w:color w:val="000000"/>
                <w:kern w:val="0"/>
                <w:sz w:val="18"/>
                <w:szCs w:val="18"/>
              </w:rPr>
            </w:pPr>
          </w:p>
        </w:tc>
        <w:tc>
          <w:tcPr>
            <w:tcW w:w="1016" w:type="dxa"/>
            <w:vMerge w:val="restart"/>
            <w:vAlign w:val="center"/>
          </w:tcPr>
          <w:p w14:paraId="125C864F">
            <w:pPr>
              <w:rPr>
                <w:color w:val="000000"/>
                <w:kern w:val="0"/>
                <w:sz w:val="18"/>
                <w:szCs w:val="18"/>
              </w:rPr>
            </w:pPr>
            <w:r>
              <w:rPr>
                <w:rFonts w:hint="eastAsia"/>
                <w:color w:val="000000"/>
                <w:kern w:val="0"/>
                <w:sz w:val="18"/>
                <w:szCs w:val="18"/>
              </w:rPr>
              <w:t>裁量幅度</w:t>
            </w:r>
          </w:p>
        </w:tc>
        <w:tc>
          <w:tcPr>
            <w:tcW w:w="5614" w:type="dxa"/>
            <w:vAlign w:val="center"/>
          </w:tcPr>
          <w:p w14:paraId="213FB22F">
            <w:pPr>
              <w:rPr>
                <w:color w:val="000000"/>
                <w:kern w:val="0"/>
                <w:sz w:val="18"/>
                <w:szCs w:val="18"/>
              </w:rPr>
            </w:pPr>
          </w:p>
        </w:tc>
      </w:tr>
      <w:tr w14:paraId="5285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ADFB02A">
            <w:pPr>
              <w:spacing w:line="320" w:lineRule="exact"/>
              <w:jc w:val="left"/>
              <w:rPr>
                <w:color w:val="000000"/>
                <w:kern w:val="0"/>
                <w:sz w:val="18"/>
                <w:szCs w:val="18"/>
              </w:rPr>
            </w:pPr>
          </w:p>
        </w:tc>
        <w:tc>
          <w:tcPr>
            <w:tcW w:w="6376" w:type="dxa"/>
            <w:vAlign w:val="center"/>
          </w:tcPr>
          <w:p w14:paraId="15705AA0">
            <w:pPr>
              <w:spacing w:line="320" w:lineRule="exact"/>
              <w:jc w:val="left"/>
              <w:rPr>
                <w:color w:val="000000"/>
                <w:kern w:val="0"/>
                <w:sz w:val="18"/>
                <w:szCs w:val="18"/>
              </w:rPr>
            </w:pPr>
          </w:p>
        </w:tc>
        <w:tc>
          <w:tcPr>
            <w:tcW w:w="1016" w:type="dxa"/>
            <w:vMerge w:val="continue"/>
            <w:vAlign w:val="center"/>
          </w:tcPr>
          <w:p w14:paraId="69C490EE">
            <w:pPr>
              <w:spacing w:line="320" w:lineRule="exact"/>
              <w:jc w:val="left"/>
              <w:rPr>
                <w:color w:val="000000"/>
                <w:kern w:val="0"/>
                <w:sz w:val="18"/>
                <w:szCs w:val="18"/>
              </w:rPr>
            </w:pPr>
          </w:p>
        </w:tc>
        <w:tc>
          <w:tcPr>
            <w:tcW w:w="5614" w:type="dxa"/>
            <w:vAlign w:val="center"/>
          </w:tcPr>
          <w:p w14:paraId="2A8A72D4">
            <w:pPr>
              <w:rPr>
                <w:color w:val="000000"/>
                <w:kern w:val="0"/>
                <w:sz w:val="18"/>
                <w:szCs w:val="18"/>
              </w:rPr>
            </w:pPr>
          </w:p>
        </w:tc>
      </w:tr>
    </w:tbl>
    <w:p w14:paraId="41F45E6D"/>
    <w:p w14:paraId="3AE841D7"/>
    <w:p w14:paraId="78E5A709"/>
    <w:p w14:paraId="609D93CA"/>
    <w:p w14:paraId="5F90591A"/>
    <w:p w14:paraId="04DBCE61"/>
    <w:p w14:paraId="19FC343B"/>
    <w:p w14:paraId="21DEB8D3"/>
    <w:p w14:paraId="1BBC1726"/>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EDC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3BE79179">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C40588E">
            <w:pPr>
              <w:spacing w:line="320" w:lineRule="exact"/>
              <w:rPr>
                <w:rFonts w:eastAsia="仿宋_GB2312"/>
                <w:b/>
                <w:bCs/>
                <w:color w:val="000000"/>
                <w:kern w:val="0"/>
                <w:sz w:val="18"/>
                <w:szCs w:val="18"/>
              </w:rPr>
            </w:pPr>
            <w:r>
              <w:rPr>
                <w:rFonts w:eastAsia="仿宋_GB2312"/>
                <w:b/>
                <w:bCs/>
                <w:color w:val="000000"/>
                <w:kern w:val="0"/>
                <w:sz w:val="18"/>
                <w:szCs w:val="18"/>
              </w:rPr>
              <w:t>320217870000</w:t>
            </w:r>
          </w:p>
        </w:tc>
      </w:tr>
      <w:tr w14:paraId="1967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00CB1BE">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C365FA1">
            <w:pPr>
              <w:spacing w:line="320" w:lineRule="exact"/>
              <w:jc w:val="left"/>
              <w:rPr>
                <w:color w:val="000000"/>
                <w:spacing w:val="-6"/>
                <w:kern w:val="0"/>
                <w:sz w:val="18"/>
                <w:szCs w:val="18"/>
              </w:rPr>
            </w:pPr>
            <w:r>
              <w:rPr>
                <w:rFonts w:hint="eastAsia"/>
                <w:color w:val="000000"/>
                <w:spacing w:val="-6"/>
                <w:kern w:val="0"/>
                <w:sz w:val="18"/>
                <w:szCs w:val="18"/>
              </w:rPr>
              <w:t>对生产经营单位未建立安全风险分级管控制度或者未按照安全风险分级采取相应管控措施的处罚</w:t>
            </w:r>
          </w:p>
        </w:tc>
      </w:tr>
      <w:tr w14:paraId="2B4DA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219D614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72F74C6">
            <w:pPr>
              <w:spacing w:line="320" w:lineRule="exact"/>
              <w:jc w:val="left"/>
              <w:rPr>
                <w:color w:val="000000"/>
                <w:kern w:val="0"/>
                <w:sz w:val="18"/>
                <w:szCs w:val="18"/>
              </w:rPr>
            </w:pPr>
            <w:r>
              <w:rPr>
                <w:rFonts w:hint="eastAsia"/>
                <w:color w:val="000000"/>
                <w:kern w:val="0"/>
                <w:sz w:val="18"/>
                <w:szCs w:val="18"/>
              </w:rPr>
              <w:t>【法律】《中华人民共和国安全生产法》第四十一条　生产经营单位应当建立安全风险分级管控制度，按照安全风险分级采取相应的管控措施。</w:t>
            </w:r>
          </w:p>
          <w:p w14:paraId="4C0EF00C">
            <w:pPr>
              <w:spacing w:line="320" w:lineRule="exact"/>
              <w:jc w:val="left"/>
              <w:rPr>
                <w:color w:val="000000"/>
                <w:kern w:val="0"/>
                <w:sz w:val="18"/>
                <w:szCs w:val="18"/>
              </w:rPr>
            </w:pPr>
            <w:r>
              <w:rPr>
                <w:rFonts w:hint="eastAsia"/>
                <w:color w:val="000000"/>
                <w:kern w:val="0"/>
                <w:sz w:val="18"/>
                <w:szCs w:val="18"/>
              </w:rPr>
              <w:t xml:space="preserve">        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p w14:paraId="417F5B11">
            <w:pPr>
              <w:spacing w:line="320" w:lineRule="exact"/>
              <w:jc w:val="left"/>
              <w:rPr>
                <w:color w:val="000000"/>
                <w:kern w:val="0"/>
                <w:sz w:val="18"/>
                <w:szCs w:val="18"/>
              </w:rPr>
            </w:pPr>
            <w:r>
              <w:rPr>
                <w:rFonts w:hint="eastAsia"/>
                <w:color w:val="000000"/>
                <w:kern w:val="0"/>
                <w:sz w:val="18"/>
                <w:szCs w:val="18"/>
              </w:rPr>
              <w:t xml:space="preserve">       （四）未建立安全风险分级管控制度或者未按照安全风险分级采取相应管控措施的；</w:t>
            </w:r>
          </w:p>
        </w:tc>
      </w:tr>
      <w:tr w14:paraId="3281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EC2FC2E">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55E981C">
            <w:pPr>
              <w:spacing w:line="320" w:lineRule="exact"/>
              <w:jc w:val="left"/>
              <w:rPr>
                <w:color w:val="000000"/>
                <w:kern w:val="0"/>
                <w:sz w:val="18"/>
                <w:szCs w:val="18"/>
              </w:rPr>
            </w:pPr>
            <w:r>
              <w:rPr>
                <w:rFonts w:hint="eastAsia"/>
                <w:color w:val="000000"/>
                <w:kern w:val="0"/>
                <w:sz w:val="18"/>
                <w:szCs w:val="18"/>
              </w:rPr>
              <w:t>责令限期改正，罚款，责令停产停业整顿</w:t>
            </w:r>
          </w:p>
        </w:tc>
      </w:tr>
      <w:tr w14:paraId="3603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AAD29D1">
            <w:pPr>
              <w:spacing w:line="320" w:lineRule="exact"/>
              <w:jc w:val="center"/>
              <w:rPr>
                <w:color w:val="000000"/>
                <w:kern w:val="0"/>
                <w:sz w:val="18"/>
                <w:szCs w:val="18"/>
              </w:rPr>
            </w:pPr>
            <w:r>
              <w:rPr>
                <w:rFonts w:hint="eastAsia"/>
                <w:color w:val="000000"/>
                <w:kern w:val="0"/>
                <w:sz w:val="18"/>
                <w:szCs w:val="18"/>
              </w:rPr>
              <w:t>裁量基准</w:t>
            </w:r>
          </w:p>
        </w:tc>
      </w:tr>
      <w:tr w14:paraId="4C2EA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6F860597">
            <w:pPr>
              <w:rPr>
                <w:color w:val="000000"/>
                <w:kern w:val="0"/>
                <w:sz w:val="18"/>
                <w:szCs w:val="18"/>
              </w:rPr>
            </w:pPr>
            <w:r>
              <w:rPr>
                <w:rFonts w:hint="eastAsia"/>
                <w:color w:val="000000"/>
                <w:kern w:val="0"/>
                <w:sz w:val="18"/>
                <w:szCs w:val="18"/>
              </w:rPr>
              <w:t>情形描述</w:t>
            </w:r>
          </w:p>
        </w:tc>
        <w:tc>
          <w:tcPr>
            <w:tcW w:w="6376" w:type="dxa"/>
            <w:vAlign w:val="center"/>
          </w:tcPr>
          <w:p w14:paraId="1040E655">
            <w:pPr>
              <w:spacing w:line="320" w:lineRule="exact"/>
              <w:jc w:val="left"/>
              <w:rPr>
                <w:color w:val="000000"/>
                <w:kern w:val="0"/>
                <w:sz w:val="18"/>
                <w:szCs w:val="18"/>
              </w:rPr>
            </w:pPr>
            <w:r>
              <w:rPr>
                <w:rFonts w:hint="eastAsia"/>
                <w:color w:val="000000"/>
                <w:kern w:val="0"/>
                <w:sz w:val="18"/>
                <w:szCs w:val="18"/>
              </w:rPr>
              <w:t>按照要求改正且未造成生产安全事故的</w:t>
            </w:r>
          </w:p>
        </w:tc>
        <w:tc>
          <w:tcPr>
            <w:tcW w:w="1016" w:type="dxa"/>
            <w:vMerge w:val="restart"/>
            <w:vAlign w:val="center"/>
          </w:tcPr>
          <w:p w14:paraId="2119C621">
            <w:pPr>
              <w:spacing w:line="320" w:lineRule="exact"/>
              <w:jc w:val="center"/>
              <w:rPr>
                <w:color w:val="000000"/>
                <w:kern w:val="0"/>
                <w:sz w:val="18"/>
                <w:szCs w:val="18"/>
              </w:rPr>
            </w:pPr>
            <w:r>
              <w:rPr>
                <w:rFonts w:hint="eastAsia"/>
                <w:color w:val="000000"/>
                <w:kern w:val="0"/>
                <w:sz w:val="18"/>
                <w:szCs w:val="18"/>
              </w:rPr>
              <w:t>裁量幅度</w:t>
            </w:r>
          </w:p>
        </w:tc>
        <w:tc>
          <w:tcPr>
            <w:tcW w:w="5614" w:type="dxa"/>
            <w:vAlign w:val="center"/>
          </w:tcPr>
          <w:p w14:paraId="6FF2738C">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万元以下罚款</w:t>
            </w:r>
          </w:p>
        </w:tc>
      </w:tr>
      <w:tr w14:paraId="4FFC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58F584E">
            <w:pPr>
              <w:spacing w:line="320" w:lineRule="exact"/>
              <w:jc w:val="left"/>
              <w:rPr>
                <w:color w:val="000000"/>
                <w:kern w:val="0"/>
                <w:sz w:val="18"/>
                <w:szCs w:val="18"/>
              </w:rPr>
            </w:pPr>
          </w:p>
        </w:tc>
        <w:tc>
          <w:tcPr>
            <w:tcW w:w="6376" w:type="dxa"/>
            <w:vAlign w:val="center"/>
          </w:tcPr>
          <w:p w14:paraId="2A760549">
            <w:pPr>
              <w:spacing w:line="320" w:lineRule="exact"/>
              <w:jc w:val="left"/>
              <w:rPr>
                <w:color w:val="000000"/>
                <w:kern w:val="0"/>
                <w:sz w:val="18"/>
                <w:szCs w:val="18"/>
              </w:rPr>
            </w:pPr>
            <w:r>
              <w:rPr>
                <w:rFonts w:hint="eastAsia"/>
                <w:color w:val="000000"/>
                <w:kern w:val="0"/>
                <w:sz w:val="18"/>
                <w:szCs w:val="18"/>
              </w:rPr>
              <w:t>按照要求改正且造成生产安全事故</w:t>
            </w:r>
          </w:p>
        </w:tc>
        <w:tc>
          <w:tcPr>
            <w:tcW w:w="1016" w:type="dxa"/>
            <w:vMerge w:val="continue"/>
            <w:vAlign w:val="center"/>
          </w:tcPr>
          <w:p w14:paraId="749BA263">
            <w:pPr>
              <w:spacing w:line="320" w:lineRule="exact"/>
              <w:jc w:val="left"/>
              <w:rPr>
                <w:color w:val="000000"/>
                <w:kern w:val="0"/>
                <w:sz w:val="18"/>
                <w:szCs w:val="18"/>
              </w:rPr>
            </w:pPr>
          </w:p>
        </w:tc>
        <w:tc>
          <w:tcPr>
            <w:tcW w:w="5614" w:type="dxa"/>
            <w:vAlign w:val="center"/>
          </w:tcPr>
          <w:p w14:paraId="63E51691">
            <w:pPr>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14:paraId="786D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53B8739">
            <w:pPr>
              <w:spacing w:line="320" w:lineRule="exact"/>
              <w:jc w:val="left"/>
              <w:rPr>
                <w:color w:val="000000"/>
                <w:kern w:val="0"/>
                <w:sz w:val="18"/>
                <w:szCs w:val="18"/>
              </w:rPr>
            </w:pPr>
          </w:p>
        </w:tc>
        <w:tc>
          <w:tcPr>
            <w:tcW w:w="6376" w:type="dxa"/>
            <w:vAlign w:val="center"/>
          </w:tcPr>
          <w:p w14:paraId="3481816E">
            <w:pPr>
              <w:spacing w:line="320" w:lineRule="exact"/>
              <w:jc w:val="left"/>
              <w:rPr>
                <w:color w:val="000000"/>
                <w:kern w:val="0"/>
                <w:sz w:val="18"/>
                <w:szCs w:val="18"/>
              </w:rPr>
            </w:pPr>
            <w:r>
              <w:rPr>
                <w:rFonts w:hint="eastAsia"/>
                <w:color w:val="000000"/>
                <w:kern w:val="0"/>
                <w:sz w:val="18"/>
                <w:szCs w:val="18"/>
              </w:rPr>
              <w:t>未按照要求改正且未造成生产安全事故的</w:t>
            </w:r>
          </w:p>
        </w:tc>
        <w:tc>
          <w:tcPr>
            <w:tcW w:w="1016" w:type="dxa"/>
            <w:vMerge w:val="continue"/>
            <w:vAlign w:val="center"/>
          </w:tcPr>
          <w:p w14:paraId="32D7FEFE">
            <w:pPr>
              <w:spacing w:line="320" w:lineRule="exact"/>
              <w:jc w:val="left"/>
              <w:rPr>
                <w:color w:val="000000"/>
                <w:kern w:val="0"/>
                <w:sz w:val="18"/>
                <w:szCs w:val="18"/>
              </w:rPr>
            </w:pPr>
          </w:p>
        </w:tc>
        <w:tc>
          <w:tcPr>
            <w:tcW w:w="5614" w:type="dxa"/>
            <w:vAlign w:val="center"/>
          </w:tcPr>
          <w:p w14:paraId="6DCE1FA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万元以下罚款，责令停产停业整顿</w:t>
            </w:r>
          </w:p>
          <w:p w14:paraId="4DF1D87A">
            <w:pPr>
              <w:rPr>
                <w:color w:val="000000"/>
                <w:kern w:val="0"/>
                <w:sz w:val="18"/>
                <w:szCs w:val="18"/>
              </w:rPr>
            </w:pPr>
            <w:r>
              <w:rPr>
                <w:rFonts w:hint="eastAsia"/>
                <w:color w:val="000000"/>
                <w:kern w:val="0"/>
                <w:sz w:val="18"/>
                <w:szCs w:val="18"/>
              </w:rPr>
              <w:t>对个人：</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14:paraId="7386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12A002C">
            <w:pPr>
              <w:spacing w:line="320" w:lineRule="exact"/>
              <w:jc w:val="left"/>
              <w:rPr>
                <w:color w:val="000000"/>
                <w:kern w:val="0"/>
                <w:sz w:val="18"/>
                <w:szCs w:val="18"/>
              </w:rPr>
            </w:pPr>
          </w:p>
        </w:tc>
        <w:tc>
          <w:tcPr>
            <w:tcW w:w="6376" w:type="dxa"/>
            <w:vAlign w:val="center"/>
          </w:tcPr>
          <w:p w14:paraId="42BF2B93">
            <w:pPr>
              <w:spacing w:line="320" w:lineRule="exact"/>
              <w:jc w:val="left"/>
              <w:rPr>
                <w:color w:val="000000"/>
                <w:kern w:val="0"/>
                <w:sz w:val="18"/>
                <w:szCs w:val="18"/>
              </w:rPr>
            </w:pPr>
            <w:r>
              <w:rPr>
                <w:rFonts w:hint="eastAsia"/>
                <w:color w:val="000000"/>
                <w:kern w:val="0"/>
                <w:sz w:val="18"/>
                <w:szCs w:val="18"/>
              </w:rPr>
              <w:t>未按照要求改正且造成生产安全事故的</w:t>
            </w:r>
          </w:p>
        </w:tc>
        <w:tc>
          <w:tcPr>
            <w:tcW w:w="1016" w:type="dxa"/>
            <w:vMerge w:val="continue"/>
            <w:vAlign w:val="center"/>
          </w:tcPr>
          <w:p w14:paraId="6A82B26A">
            <w:pPr>
              <w:spacing w:line="320" w:lineRule="exact"/>
              <w:jc w:val="left"/>
              <w:rPr>
                <w:color w:val="000000"/>
                <w:kern w:val="0"/>
                <w:sz w:val="18"/>
                <w:szCs w:val="18"/>
              </w:rPr>
            </w:pPr>
          </w:p>
        </w:tc>
        <w:tc>
          <w:tcPr>
            <w:tcW w:w="5614" w:type="dxa"/>
            <w:vAlign w:val="center"/>
          </w:tcPr>
          <w:p w14:paraId="7BD910A1">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14:paraId="533FAA9D">
            <w:pPr>
              <w:rPr>
                <w:color w:val="000000"/>
                <w:kern w:val="0"/>
                <w:sz w:val="18"/>
                <w:szCs w:val="18"/>
              </w:rPr>
            </w:pPr>
            <w:r>
              <w:rPr>
                <w:rFonts w:hint="eastAsia"/>
                <w:color w:val="000000"/>
                <w:kern w:val="0"/>
                <w:sz w:val="18"/>
                <w:szCs w:val="18"/>
              </w:rPr>
              <w:t>对个人：</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0070A855"/>
    <w:p w14:paraId="643A1BE5"/>
    <w:p w14:paraId="5D5A8EF1"/>
    <w:p w14:paraId="7682E93F"/>
    <w:p w14:paraId="662F52DB"/>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1DE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019A926">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043D871">
            <w:pPr>
              <w:spacing w:line="320" w:lineRule="exact"/>
              <w:rPr>
                <w:rFonts w:eastAsia="仿宋_GB2312"/>
                <w:b/>
                <w:bCs/>
                <w:color w:val="000000"/>
                <w:kern w:val="0"/>
                <w:sz w:val="18"/>
                <w:szCs w:val="18"/>
              </w:rPr>
            </w:pPr>
            <w:r>
              <w:rPr>
                <w:rFonts w:eastAsia="仿宋_GB2312"/>
                <w:b/>
                <w:bCs/>
                <w:color w:val="000000"/>
                <w:kern w:val="0"/>
                <w:sz w:val="18"/>
                <w:szCs w:val="18"/>
              </w:rPr>
              <w:t>320217871000</w:t>
            </w:r>
          </w:p>
        </w:tc>
      </w:tr>
      <w:tr w14:paraId="313A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ACA0427">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0B7CDDF">
            <w:pPr>
              <w:spacing w:line="320" w:lineRule="exact"/>
              <w:jc w:val="left"/>
              <w:rPr>
                <w:color w:val="000000"/>
                <w:spacing w:val="-6"/>
                <w:kern w:val="0"/>
                <w:sz w:val="18"/>
                <w:szCs w:val="18"/>
              </w:rPr>
            </w:pPr>
            <w:r>
              <w:rPr>
                <w:rFonts w:hint="eastAsia"/>
                <w:color w:val="000000"/>
                <w:spacing w:val="-6"/>
                <w:kern w:val="0"/>
                <w:sz w:val="18"/>
                <w:szCs w:val="18"/>
              </w:rPr>
              <w:t>对生产经营单位关闭、破坏直接关系生产安全的监控、报警、防护、救生设备、设施，或者篡改、隐瞒、销毁其相关数据、信息的处罚</w:t>
            </w:r>
          </w:p>
        </w:tc>
      </w:tr>
      <w:tr w14:paraId="7170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423425E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D1B30BD">
            <w:pPr>
              <w:spacing w:line="320" w:lineRule="exact"/>
              <w:jc w:val="left"/>
              <w:rPr>
                <w:color w:val="000000"/>
                <w:kern w:val="0"/>
                <w:sz w:val="18"/>
                <w:szCs w:val="18"/>
              </w:rPr>
            </w:pPr>
            <w:r>
              <w:rPr>
                <w:rFonts w:hint="eastAsia"/>
                <w:color w:val="000000"/>
                <w:kern w:val="0"/>
                <w:sz w:val="18"/>
                <w:szCs w:val="18"/>
              </w:rPr>
              <w:t>【法律】《中华人民共和国安全生产法》</w:t>
            </w:r>
          </w:p>
          <w:p w14:paraId="280043EA">
            <w:pPr>
              <w:spacing w:line="320" w:lineRule="exact"/>
              <w:jc w:val="left"/>
              <w:rPr>
                <w:color w:val="000000"/>
                <w:kern w:val="0"/>
                <w:sz w:val="18"/>
                <w:szCs w:val="18"/>
              </w:rPr>
            </w:pPr>
            <w:r>
              <w:rPr>
                <w:rFonts w:hint="eastAsia"/>
                <w:color w:val="000000"/>
                <w:kern w:val="0"/>
                <w:sz w:val="18"/>
                <w:szCs w:val="18"/>
              </w:rPr>
              <w:t xml:space="preserve">          第三十六条第三款  生产经营单位不得关闭、破坏直接关系生产安全的监控、报警、防护、救生设备、设施，或者篡改、隐瞒、销毁其相关数据、信息。</w:t>
            </w:r>
          </w:p>
          <w:p w14:paraId="3F14BED2">
            <w:pPr>
              <w:spacing w:line="320" w:lineRule="exact"/>
              <w:jc w:val="left"/>
              <w:rPr>
                <w:color w:val="000000"/>
                <w:kern w:val="0"/>
                <w:sz w:val="18"/>
                <w:szCs w:val="18"/>
              </w:rPr>
            </w:pPr>
            <w:r>
              <w:rPr>
                <w:rFonts w:hint="eastAsia"/>
                <w:color w:val="000000"/>
                <w:kern w:val="0"/>
                <w:sz w:val="18"/>
                <w:szCs w:val="18"/>
              </w:rPr>
              <w:t xml:space="preserve">         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5F29FB30">
            <w:pPr>
              <w:spacing w:line="320" w:lineRule="exact"/>
              <w:jc w:val="left"/>
              <w:rPr>
                <w:color w:val="000000"/>
                <w:kern w:val="0"/>
                <w:sz w:val="18"/>
                <w:szCs w:val="18"/>
              </w:rPr>
            </w:pPr>
            <w:r>
              <w:rPr>
                <w:rFonts w:hint="eastAsia"/>
                <w:color w:val="000000"/>
                <w:kern w:val="0"/>
                <w:sz w:val="18"/>
                <w:szCs w:val="18"/>
              </w:rPr>
              <w:t xml:space="preserve">      （四）关闭、破坏直接关系生产安全的监控、报警、防护、救生设备、设施，或者篡改、隐瞒、销毁其相关数据、信息的；</w:t>
            </w:r>
          </w:p>
          <w:p w14:paraId="76B5D1DB">
            <w:pPr>
              <w:spacing w:line="320" w:lineRule="exact"/>
              <w:jc w:val="left"/>
              <w:rPr>
                <w:color w:val="000000"/>
                <w:kern w:val="0"/>
                <w:sz w:val="18"/>
                <w:szCs w:val="18"/>
              </w:rPr>
            </w:pPr>
            <w:r>
              <w:rPr>
                <w:color w:val="000000"/>
                <w:kern w:val="0"/>
                <w:sz w:val="18"/>
                <w:szCs w:val="18"/>
              </w:rPr>
              <w:t xml:space="preserve">       </w:t>
            </w:r>
          </w:p>
        </w:tc>
      </w:tr>
      <w:tr w14:paraId="2A50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88021B9">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19E1685">
            <w:pPr>
              <w:spacing w:line="320" w:lineRule="exact"/>
              <w:jc w:val="left"/>
              <w:rPr>
                <w:color w:val="000000"/>
                <w:kern w:val="0"/>
                <w:sz w:val="18"/>
                <w:szCs w:val="18"/>
              </w:rPr>
            </w:pPr>
            <w:r>
              <w:rPr>
                <w:rFonts w:hint="eastAsia"/>
                <w:color w:val="000000"/>
                <w:kern w:val="0"/>
                <w:sz w:val="18"/>
                <w:szCs w:val="18"/>
              </w:rPr>
              <w:t>责令限期改正，罚款，责令停产停业整顿</w:t>
            </w:r>
          </w:p>
        </w:tc>
      </w:tr>
      <w:tr w14:paraId="253E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B2DF733">
            <w:pPr>
              <w:spacing w:line="320" w:lineRule="exact"/>
              <w:jc w:val="center"/>
              <w:rPr>
                <w:color w:val="000000"/>
                <w:kern w:val="0"/>
                <w:sz w:val="18"/>
                <w:szCs w:val="18"/>
              </w:rPr>
            </w:pPr>
            <w:r>
              <w:rPr>
                <w:rFonts w:hint="eastAsia"/>
                <w:color w:val="000000"/>
                <w:kern w:val="0"/>
                <w:sz w:val="18"/>
                <w:szCs w:val="18"/>
              </w:rPr>
              <w:t>裁量基准</w:t>
            </w:r>
          </w:p>
        </w:tc>
      </w:tr>
      <w:tr w14:paraId="5EAB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0C7D5747">
            <w:pPr>
              <w:rPr>
                <w:color w:val="000000"/>
                <w:kern w:val="0"/>
                <w:sz w:val="18"/>
                <w:szCs w:val="18"/>
              </w:rPr>
            </w:pPr>
            <w:r>
              <w:rPr>
                <w:rFonts w:hint="eastAsia"/>
                <w:color w:val="000000"/>
                <w:kern w:val="0"/>
                <w:sz w:val="18"/>
                <w:szCs w:val="18"/>
              </w:rPr>
              <w:t>情形描述</w:t>
            </w:r>
          </w:p>
        </w:tc>
        <w:tc>
          <w:tcPr>
            <w:tcW w:w="6376" w:type="dxa"/>
            <w:vAlign w:val="center"/>
          </w:tcPr>
          <w:p w14:paraId="2387F57F">
            <w:pPr>
              <w:rPr>
                <w:color w:val="000000"/>
                <w:kern w:val="0"/>
                <w:sz w:val="18"/>
                <w:szCs w:val="18"/>
              </w:rPr>
            </w:pPr>
            <w:r>
              <w:rPr>
                <w:rFonts w:hint="eastAsia"/>
                <w:color w:val="000000"/>
                <w:kern w:val="0"/>
                <w:sz w:val="18"/>
                <w:szCs w:val="18"/>
              </w:rPr>
              <w:t>关闭、破坏直接关系生产安全的监控、报警、防护、救生设备、设施，或者篡改、隐瞒、销毁其相关数据、信息，按要求改正的</w:t>
            </w:r>
          </w:p>
        </w:tc>
        <w:tc>
          <w:tcPr>
            <w:tcW w:w="1016" w:type="dxa"/>
            <w:vMerge w:val="restart"/>
            <w:vAlign w:val="center"/>
          </w:tcPr>
          <w:p w14:paraId="7DC5261F">
            <w:pPr>
              <w:rPr>
                <w:color w:val="000000"/>
                <w:kern w:val="0"/>
                <w:sz w:val="18"/>
                <w:szCs w:val="18"/>
              </w:rPr>
            </w:pPr>
            <w:r>
              <w:rPr>
                <w:rFonts w:hint="eastAsia"/>
                <w:color w:val="000000"/>
                <w:kern w:val="0"/>
                <w:sz w:val="18"/>
                <w:szCs w:val="18"/>
              </w:rPr>
              <w:t>裁量幅度</w:t>
            </w:r>
          </w:p>
        </w:tc>
        <w:tc>
          <w:tcPr>
            <w:tcW w:w="5614" w:type="dxa"/>
            <w:vAlign w:val="center"/>
          </w:tcPr>
          <w:p w14:paraId="1680B887">
            <w:pPr>
              <w:rPr>
                <w:color w:val="000000"/>
                <w:kern w:val="0"/>
                <w:sz w:val="18"/>
                <w:szCs w:val="18"/>
              </w:rPr>
            </w:pPr>
            <w:r>
              <w:rPr>
                <w:rFonts w:hint="eastAsia"/>
                <w:color w:val="000000"/>
                <w:kern w:val="0"/>
                <w:sz w:val="18"/>
                <w:szCs w:val="18"/>
              </w:rPr>
              <w:t>处两万元以下的罚款</w:t>
            </w:r>
          </w:p>
        </w:tc>
      </w:tr>
      <w:tr w14:paraId="053B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40A92DF">
            <w:pPr>
              <w:spacing w:line="320" w:lineRule="exact"/>
              <w:jc w:val="left"/>
              <w:rPr>
                <w:color w:val="000000"/>
                <w:kern w:val="0"/>
                <w:sz w:val="18"/>
                <w:szCs w:val="18"/>
              </w:rPr>
            </w:pPr>
          </w:p>
        </w:tc>
        <w:tc>
          <w:tcPr>
            <w:tcW w:w="6376" w:type="dxa"/>
            <w:vAlign w:val="center"/>
          </w:tcPr>
          <w:p w14:paraId="20C9A550">
            <w:pPr>
              <w:spacing w:line="320" w:lineRule="exact"/>
              <w:jc w:val="left"/>
              <w:rPr>
                <w:color w:val="000000"/>
                <w:kern w:val="0"/>
                <w:sz w:val="18"/>
                <w:szCs w:val="18"/>
              </w:rPr>
            </w:pPr>
            <w:r>
              <w:rPr>
                <w:rFonts w:hint="eastAsia"/>
                <w:color w:val="000000"/>
                <w:kern w:val="0"/>
                <w:sz w:val="18"/>
                <w:szCs w:val="18"/>
              </w:rPr>
              <w:t>关闭、破坏直接关系生产安全的监控、报警、防护、救生设备、设施，同时篡改、隐瞒、销毁其相关数据、信息，按要求改正的</w:t>
            </w:r>
          </w:p>
        </w:tc>
        <w:tc>
          <w:tcPr>
            <w:tcW w:w="1016" w:type="dxa"/>
            <w:vMerge w:val="continue"/>
            <w:vAlign w:val="center"/>
          </w:tcPr>
          <w:p w14:paraId="6646CDB2">
            <w:pPr>
              <w:spacing w:line="320" w:lineRule="exact"/>
              <w:jc w:val="left"/>
              <w:rPr>
                <w:color w:val="000000"/>
                <w:kern w:val="0"/>
                <w:sz w:val="18"/>
                <w:szCs w:val="18"/>
              </w:rPr>
            </w:pPr>
          </w:p>
        </w:tc>
        <w:tc>
          <w:tcPr>
            <w:tcW w:w="5614" w:type="dxa"/>
            <w:vAlign w:val="center"/>
          </w:tcPr>
          <w:p w14:paraId="667BDD1B">
            <w:pPr>
              <w:rPr>
                <w:color w:val="000000"/>
                <w:kern w:val="0"/>
                <w:sz w:val="18"/>
                <w:szCs w:val="18"/>
              </w:rPr>
            </w:pPr>
            <w:r>
              <w:rPr>
                <w:rFonts w:hint="eastAsia"/>
                <w:color w:val="000000"/>
                <w:kern w:val="0"/>
                <w:sz w:val="18"/>
                <w:szCs w:val="18"/>
              </w:rPr>
              <w:t>处两万元以上五万元以下的罚款</w:t>
            </w:r>
          </w:p>
        </w:tc>
      </w:tr>
      <w:tr w14:paraId="13BF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61ACDE4">
            <w:pPr>
              <w:spacing w:line="320" w:lineRule="exact"/>
              <w:jc w:val="left"/>
              <w:rPr>
                <w:color w:val="000000"/>
                <w:kern w:val="0"/>
                <w:sz w:val="18"/>
                <w:szCs w:val="18"/>
              </w:rPr>
            </w:pPr>
          </w:p>
        </w:tc>
        <w:tc>
          <w:tcPr>
            <w:tcW w:w="6376" w:type="dxa"/>
            <w:vAlign w:val="center"/>
          </w:tcPr>
          <w:p w14:paraId="5F37250C">
            <w:pPr>
              <w:rPr>
                <w:color w:val="000000"/>
                <w:kern w:val="0"/>
                <w:sz w:val="18"/>
                <w:szCs w:val="18"/>
              </w:rPr>
            </w:pPr>
            <w:r>
              <w:rPr>
                <w:rFonts w:hint="eastAsia"/>
                <w:color w:val="000000"/>
                <w:kern w:val="0"/>
                <w:sz w:val="18"/>
                <w:szCs w:val="18"/>
              </w:rPr>
              <w:t>关闭、破坏直接关系生产安全的监控、报警、防护、救生设备、设施，或者篡改、隐瞒、销毁其相关数据、信息，未按要求改正的</w:t>
            </w:r>
          </w:p>
        </w:tc>
        <w:tc>
          <w:tcPr>
            <w:tcW w:w="1016" w:type="dxa"/>
            <w:vMerge w:val="continue"/>
            <w:vAlign w:val="center"/>
          </w:tcPr>
          <w:p w14:paraId="5EADBBBC">
            <w:pPr>
              <w:spacing w:line="320" w:lineRule="exact"/>
              <w:jc w:val="left"/>
              <w:rPr>
                <w:color w:val="000000"/>
                <w:kern w:val="0"/>
                <w:sz w:val="18"/>
                <w:szCs w:val="18"/>
              </w:rPr>
            </w:pPr>
          </w:p>
        </w:tc>
        <w:tc>
          <w:tcPr>
            <w:tcW w:w="5614" w:type="dxa"/>
            <w:vAlign w:val="center"/>
          </w:tcPr>
          <w:p w14:paraId="5049ECDF">
            <w:pPr>
              <w:rPr>
                <w:color w:val="000000"/>
                <w:kern w:val="0"/>
                <w:sz w:val="18"/>
                <w:szCs w:val="18"/>
              </w:rPr>
            </w:pPr>
            <w:r>
              <w:rPr>
                <w:rFonts w:hint="eastAsia"/>
                <w:color w:val="000000"/>
                <w:kern w:val="0"/>
                <w:sz w:val="18"/>
                <w:szCs w:val="18"/>
              </w:rPr>
              <w:t>对单位：处五万元以上十五万元以下的罚款</w:t>
            </w:r>
          </w:p>
          <w:p w14:paraId="48B761B4">
            <w:pPr>
              <w:rPr>
                <w:color w:val="000000"/>
                <w:kern w:val="0"/>
                <w:sz w:val="18"/>
                <w:szCs w:val="18"/>
              </w:rPr>
            </w:pPr>
            <w:r>
              <w:rPr>
                <w:rFonts w:hint="eastAsia"/>
                <w:color w:val="000000"/>
                <w:kern w:val="0"/>
                <w:sz w:val="18"/>
                <w:szCs w:val="18"/>
              </w:rPr>
              <w:t>对个人：处1万元以上1.5万元以下的罚款</w:t>
            </w:r>
          </w:p>
        </w:tc>
      </w:tr>
      <w:tr w14:paraId="7E73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3F9B3A9A">
            <w:pPr>
              <w:spacing w:line="320" w:lineRule="exact"/>
              <w:jc w:val="left"/>
              <w:rPr>
                <w:color w:val="000000"/>
                <w:kern w:val="0"/>
                <w:sz w:val="18"/>
                <w:szCs w:val="18"/>
              </w:rPr>
            </w:pPr>
          </w:p>
        </w:tc>
        <w:tc>
          <w:tcPr>
            <w:tcW w:w="6376" w:type="dxa"/>
            <w:vAlign w:val="center"/>
          </w:tcPr>
          <w:p w14:paraId="7436E6D9">
            <w:pPr>
              <w:spacing w:line="320" w:lineRule="exact"/>
              <w:jc w:val="left"/>
              <w:rPr>
                <w:color w:val="000000"/>
                <w:kern w:val="0"/>
                <w:sz w:val="18"/>
                <w:szCs w:val="18"/>
              </w:rPr>
            </w:pPr>
            <w:r>
              <w:rPr>
                <w:rFonts w:hint="eastAsia"/>
                <w:color w:val="000000"/>
                <w:kern w:val="0"/>
                <w:sz w:val="18"/>
                <w:szCs w:val="18"/>
              </w:rPr>
              <w:t>关闭、破坏直接关系生产安全的监控、报警、防护、救生设备、设施，同时篡改、隐瞒、销毁其相关数据、信息，未按要求改正的</w:t>
            </w:r>
          </w:p>
        </w:tc>
        <w:tc>
          <w:tcPr>
            <w:tcW w:w="1016" w:type="dxa"/>
            <w:vMerge w:val="continue"/>
            <w:vAlign w:val="center"/>
          </w:tcPr>
          <w:p w14:paraId="5F565642">
            <w:pPr>
              <w:spacing w:line="320" w:lineRule="exact"/>
              <w:jc w:val="left"/>
              <w:rPr>
                <w:color w:val="000000"/>
                <w:kern w:val="0"/>
                <w:sz w:val="18"/>
                <w:szCs w:val="18"/>
              </w:rPr>
            </w:pPr>
          </w:p>
        </w:tc>
        <w:tc>
          <w:tcPr>
            <w:tcW w:w="5614" w:type="dxa"/>
            <w:vAlign w:val="center"/>
          </w:tcPr>
          <w:p w14:paraId="42154E5F">
            <w:pPr>
              <w:rPr>
                <w:color w:val="000000"/>
                <w:kern w:val="0"/>
                <w:sz w:val="18"/>
                <w:szCs w:val="18"/>
              </w:rPr>
            </w:pPr>
            <w:r>
              <w:rPr>
                <w:rFonts w:hint="eastAsia"/>
                <w:color w:val="000000"/>
                <w:kern w:val="0"/>
                <w:sz w:val="18"/>
                <w:szCs w:val="18"/>
              </w:rPr>
              <w:t>对单位：处十五万元以上二十万元以下的罚款</w:t>
            </w:r>
          </w:p>
          <w:p w14:paraId="4C6BAB3D">
            <w:pPr>
              <w:rPr>
                <w:color w:val="000000"/>
                <w:kern w:val="0"/>
                <w:sz w:val="18"/>
                <w:szCs w:val="18"/>
              </w:rPr>
            </w:pPr>
            <w:r>
              <w:rPr>
                <w:rFonts w:hint="eastAsia"/>
                <w:color w:val="000000"/>
                <w:kern w:val="0"/>
                <w:sz w:val="18"/>
                <w:szCs w:val="18"/>
              </w:rPr>
              <w:t>对个人：处1.5万元以上2万元以下的罚款</w:t>
            </w:r>
          </w:p>
        </w:tc>
      </w:tr>
    </w:tbl>
    <w:p w14:paraId="2DCC54DC"/>
    <w:p w14:paraId="25F85676"/>
    <w:p w14:paraId="295D6C85"/>
    <w:p w14:paraId="6F51CFC5"/>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3750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16C1990">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923AE03">
            <w:pPr>
              <w:spacing w:line="320" w:lineRule="exact"/>
              <w:rPr>
                <w:rFonts w:eastAsia="仿宋_GB2312"/>
                <w:b/>
                <w:bCs/>
                <w:color w:val="000000"/>
                <w:kern w:val="0"/>
                <w:sz w:val="18"/>
                <w:szCs w:val="18"/>
              </w:rPr>
            </w:pPr>
            <w:r>
              <w:rPr>
                <w:rFonts w:eastAsia="仿宋_GB2312"/>
                <w:b/>
                <w:bCs/>
                <w:color w:val="000000"/>
                <w:kern w:val="0"/>
                <w:sz w:val="18"/>
                <w:szCs w:val="18"/>
              </w:rPr>
              <w:t>320217875000</w:t>
            </w:r>
          </w:p>
        </w:tc>
      </w:tr>
      <w:tr w14:paraId="718D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B2B2D86">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C85203C">
            <w:pPr>
              <w:spacing w:line="320" w:lineRule="exact"/>
              <w:jc w:val="left"/>
              <w:rPr>
                <w:color w:val="000000"/>
                <w:spacing w:val="-6"/>
                <w:kern w:val="0"/>
                <w:sz w:val="18"/>
                <w:szCs w:val="18"/>
              </w:rPr>
            </w:pPr>
            <w:r>
              <w:rPr>
                <w:rFonts w:hint="eastAsia"/>
                <w:color w:val="000000"/>
                <w:spacing w:val="-6"/>
                <w:kern w:val="0"/>
                <w:sz w:val="18"/>
                <w:szCs w:val="18"/>
              </w:rPr>
              <w:t>对隐瞒有关情况或者提供虚假材料申请房地产估价师注册的处罚</w:t>
            </w:r>
          </w:p>
        </w:tc>
      </w:tr>
      <w:tr w14:paraId="046E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23FB379E">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AAC3CEC">
            <w:pPr>
              <w:spacing w:line="320" w:lineRule="exact"/>
              <w:jc w:val="left"/>
              <w:rPr>
                <w:color w:val="000000"/>
                <w:kern w:val="0"/>
                <w:sz w:val="18"/>
                <w:szCs w:val="18"/>
              </w:rPr>
            </w:pPr>
            <w:r>
              <w:rPr>
                <w:rFonts w:hint="eastAsia"/>
                <w:color w:val="000000"/>
                <w:kern w:val="0"/>
                <w:sz w:val="18"/>
                <w:szCs w:val="18"/>
              </w:rPr>
              <w:t>【规章】《注册房地产估价师管理办法》（建设部令第151号）</w:t>
            </w:r>
          </w:p>
          <w:p w14:paraId="1513FA89">
            <w:pPr>
              <w:spacing w:line="320" w:lineRule="exact"/>
              <w:jc w:val="left"/>
              <w:rPr>
                <w:color w:val="000000"/>
                <w:kern w:val="0"/>
                <w:sz w:val="18"/>
                <w:szCs w:val="18"/>
              </w:rPr>
            </w:pPr>
            <w:r>
              <w:rPr>
                <w:rFonts w:hint="eastAsia"/>
                <w:color w:val="000000"/>
                <w:kern w:val="0"/>
                <w:sz w:val="18"/>
                <w:szCs w:val="18"/>
              </w:rPr>
              <w:t xml:space="preserve">         第三十三条　隐瞒有关情况或者提供虚假材料申请房地产估价师注册的，建设（房地产）主管部门不予受理或者不予行政许可，并给予警告，在1年内不得再次申请房地产估价师注册。</w:t>
            </w:r>
          </w:p>
        </w:tc>
      </w:tr>
      <w:tr w14:paraId="4B74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618462F">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9C5DBC3">
            <w:pPr>
              <w:spacing w:line="320" w:lineRule="exact"/>
              <w:jc w:val="left"/>
              <w:rPr>
                <w:color w:val="000000"/>
                <w:kern w:val="0"/>
                <w:sz w:val="18"/>
                <w:szCs w:val="18"/>
              </w:rPr>
            </w:pPr>
            <w:r>
              <w:rPr>
                <w:rFonts w:hint="eastAsia"/>
                <w:color w:val="000000"/>
                <w:kern w:val="0"/>
                <w:sz w:val="18"/>
                <w:szCs w:val="18"/>
              </w:rPr>
              <w:t>警告，1年内不得再次申请房地产估价师注册</w:t>
            </w:r>
          </w:p>
        </w:tc>
      </w:tr>
      <w:tr w14:paraId="33C0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08E912C2">
            <w:pPr>
              <w:spacing w:line="320" w:lineRule="exact"/>
              <w:jc w:val="center"/>
              <w:rPr>
                <w:color w:val="000000"/>
                <w:kern w:val="0"/>
                <w:sz w:val="18"/>
                <w:szCs w:val="18"/>
              </w:rPr>
            </w:pPr>
            <w:r>
              <w:rPr>
                <w:rFonts w:hint="eastAsia"/>
                <w:color w:val="000000"/>
                <w:kern w:val="0"/>
                <w:sz w:val="18"/>
                <w:szCs w:val="18"/>
              </w:rPr>
              <w:t>裁量基准</w:t>
            </w:r>
          </w:p>
        </w:tc>
      </w:tr>
      <w:tr w14:paraId="4907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89AA3E1">
            <w:pPr>
              <w:rPr>
                <w:color w:val="000000"/>
                <w:kern w:val="0"/>
                <w:sz w:val="18"/>
                <w:szCs w:val="18"/>
              </w:rPr>
            </w:pPr>
            <w:r>
              <w:rPr>
                <w:rFonts w:hint="eastAsia"/>
                <w:color w:val="000000"/>
                <w:kern w:val="0"/>
                <w:sz w:val="18"/>
                <w:szCs w:val="18"/>
              </w:rPr>
              <w:t>情形描述</w:t>
            </w:r>
          </w:p>
        </w:tc>
        <w:tc>
          <w:tcPr>
            <w:tcW w:w="6376" w:type="dxa"/>
            <w:vAlign w:val="center"/>
          </w:tcPr>
          <w:p w14:paraId="4BE2CF18">
            <w:pPr>
              <w:rPr>
                <w:color w:val="000000"/>
                <w:kern w:val="0"/>
                <w:sz w:val="18"/>
                <w:szCs w:val="18"/>
              </w:rPr>
            </w:pPr>
          </w:p>
        </w:tc>
        <w:tc>
          <w:tcPr>
            <w:tcW w:w="1016" w:type="dxa"/>
            <w:vMerge w:val="restart"/>
            <w:vAlign w:val="center"/>
          </w:tcPr>
          <w:p w14:paraId="09230AB1">
            <w:pPr>
              <w:rPr>
                <w:color w:val="000000"/>
                <w:kern w:val="0"/>
                <w:sz w:val="18"/>
                <w:szCs w:val="18"/>
              </w:rPr>
            </w:pPr>
            <w:r>
              <w:rPr>
                <w:rFonts w:hint="eastAsia"/>
                <w:color w:val="000000"/>
                <w:kern w:val="0"/>
                <w:sz w:val="18"/>
                <w:szCs w:val="18"/>
              </w:rPr>
              <w:t>裁量幅度</w:t>
            </w:r>
          </w:p>
        </w:tc>
        <w:tc>
          <w:tcPr>
            <w:tcW w:w="5614" w:type="dxa"/>
            <w:vAlign w:val="center"/>
          </w:tcPr>
          <w:p w14:paraId="3BAC986D">
            <w:pPr>
              <w:rPr>
                <w:color w:val="000000"/>
                <w:kern w:val="0"/>
                <w:sz w:val="18"/>
                <w:szCs w:val="18"/>
              </w:rPr>
            </w:pPr>
          </w:p>
        </w:tc>
      </w:tr>
      <w:tr w14:paraId="5FA7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4BB026B5">
            <w:pPr>
              <w:spacing w:line="320" w:lineRule="exact"/>
              <w:jc w:val="left"/>
              <w:rPr>
                <w:color w:val="000000"/>
                <w:kern w:val="0"/>
                <w:sz w:val="18"/>
                <w:szCs w:val="18"/>
              </w:rPr>
            </w:pPr>
          </w:p>
        </w:tc>
        <w:tc>
          <w:tcPr>
            <w:tcW w:w="6376" w:type="dxa"/>
            <w:vAlign w:val="center"/>
          </w:tcPr>
          <w:p w14:paraId="3433AC82">
            <w:pPr>
              <w:spacing w:line="320" w:lineRule="exact"/>
              <w:jc w:val="left"/>
              <w:rPr>
                <w:color w:val="000000"/>
                <w:kern w:val="0"/>
                <w:sz w:val="18"/>
                <w:szCs w:val="18"/>
              </w:rPr>
            </w:pPr>
          </w:p>
        </w:tc>
        <w:tc>
          <w:tcPr>
            <w:tcW w:w="1016" w:type="dxa"/>
            <w:vMerge w:val="continue"/>
            <w:vAlign w:val="center"/>
          </w:tcPr>
          <w:p w14:paraId="30AECF2F">
            <w:pPr>
              <w:spacing w:line="320" w:lineRule="exact"/>
              <w:jc w:val="left"/>
              <w:rPr>
                <w:color w:val="000000"/>
                <w:kern w:val="0"/>
                <w:sz w:val="18"/>
                <w:szCs w:val="18"/>
              </w:rPr>
            </w:pPr>
          </w:p>
        </w:tc>
        <w:tc>
          <w:tcPr>
            <w:tcW w:w="5614" w:type="dxa"/>
            <w:vAlign w:val="center"/>
          </w:tcPr>
          <w:p w14:paraId="10F50533">
            <w:pPr>
              <w:rPr>
                <w:color w:val="000000"/>
                <w:kern w:val="0"/>
                <w:sz w:val="18"/>
                <w:szCs w:val="18"/>
              </w:rPr>
            </w:pPr>
          </w:p>
        </w:tc>
      </w:tr>
    </w:tbl>
    <w:p w14:paraId="02FE0E5F"/>
    <w:p w14:paraId="445B1EBE"/>
    <w:p w14:paraId="6D2A4E55"/>
    <w:p w14:paraId="73B349CA"/>
    <w:p w14:paraId="14B138C7"/>
    <w:p w14:paraId="28FBBC42"/>
    <w:p w14:paraId="3059642E"/>
    <w:p w14:paraId="62AD3D9D"/>
    <w:p w14:paraId="15F9F44C"/>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FE5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10A70D0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9B6ABB0">
            <w:pPr>
              <w:spacing w:line="320" w:lineRule="exact"/>
              <w:rPr>
                <w:rFonts w:eastAsia="仿宋_GB2312"/>
                <w:b/>
                <w:bCs/>
                <w:color w:val="000000"/>
                <w:kern w:val="0"/>
                <w:sz w:val="18"/>
                <w:szCs w:val="18"/>
              </w:rPr>
            </w:pPr>
            <w:r>
              <w:rPr>
                <w:rFonts w:eastAsia="仿宋_GB2312"/>
                <w:b/>
                <w:bCs/>
                <w:color w:val="000000"/>
                <w:kern w:val="0"/>
                <w:sz w:val="18"/>
                <w:szCs w:val="18"/>
              </w:rPr>
              <w:t>320217876000</w:t>
            </w:r>
          </w:p>
        </w:tc>
      </w:tr>
      <w:tr w14:paraId="3BD6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6CEC6C6E">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558D028">
            <w:pPr>
              <w:spacing w:line="320" w:lineRule="exact"/>
              <w:jc w:val="left"/>
              <w:rPr>
                <w:color w:val="000000"/>
                <w:spacing w:val="-6"/>
                <w:kern w:val="0"/>
                <w:sz w:val="18"/>
                <w:szCs w:val="18"/>
              </w:rPr>
            </w:pPr>
            <w:r>
              <w:rPr>
                <w:rFonts w:hint="eastAsia"/>
                <w:color w:val="000000"/>
                <w:spacing w:val="-6"/>
                <w:kern w:val="0"/>
                <w:sz w:val="18"/>
                <w:szCs w:val="18"/>
              </w:rPr>
              <w:t>对建筑施工企业以欺骗、贿赂等不正当手段取得安全生产许可证的处罚</w:t>
            </w:r>
          </w:p>
        </w:tc>
      </w:tr>
      <w:tr w14:paraId="19CB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8CBCB4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A3070ED">
            <w:pPr>
              <w:spacing w:line="320" w:lineRule="exact"/>
              <w:jc w:val="left"/>
              <w:rPr>
                <w:color w:val="000000"/>
                <w:kern w:val="0"/>
                <w:sz w:val="18"/>
                <w:szCs w:val="18"/>
              </w:rPr>
            </w:pPr>
            <w:r>
              <w:rPr>
                <w:rFonts w:hint="eastAsia"/>
                <w:color w:val="000000"/>
                <w:kern w:val="0"/>
                <w:sz w:val="18"/>
                <w:szCs w:val="18"/>
              </w:rPr>
              <w:t>【规章】《建筑施工企业安全生产许可证管理规定》（建设部令第128号）</w:t>
            </w:r>
          </w:p>
          <w:p w14:paraId="300125A4">
            <w:pPr>
              <w:spacing w:line="320" w:lineRule="exact"/>
              <w:jc w:val="left"/>
              <w:rPr>
                <w:color w:val="000000"/>
                <w:kern w:val="0"/>
                <w:sz w:val="18"/>
                <w:szCs w:val="18"/>
              </w:rPr>
            </w:pPr>
            <w:r>
              <w:rPr>
                <w:rFonts w:hint="eastAsia"/>
                <w:color w:val="000000"/>
                <w:kern w:val="0"/>
                <w:sz w:val="18"/>
                <w:szCs w:val="18"/>
              </w:rPr>
              <w:t xml:space="preserve">         第六条第二款 建筑施工企业申请安全生产许可证，应当对申请材料实质内容的真实性负责，不得隐瞒有关情况或者提供虚假材料。</w:t>
            </w:r>
          </w:p>
          <w:p w14:paraId="124C47A6">
            <w:pPr>
              <w:spacing w:line="320" w:lineRule="exact"/>
              <w:jc w:val="left"/>
              <w:rPr>
                <w:color w:val="000000"/>
                <w:kern w:val="0"/>
                <w:sz w:val="18"/>
                <w:szCs w:val="18"/>
              </w:rPr>
            </w:pPr>
            <w:r>
              <w:rPr>
                <w:rFonts w:hint="eastAsia"/>
                <w:color w:val="000000"/>
                <w:kern w:val="0"/>
                <w:sz w:val="18"/>
                <w:szCs w:val="18"/>
              </w:rPr>
              <w:t xml:space="preserve">         第二十七条第二款  建筑施工企业以欺骗、贿赂等不正当手段取得安全生产许可证的，撤销安全生产许可证，3年内不得再次申请安全生产许可证；构成犯罪的，依法追究刑事责任。 </w:t>
            </w:r>
          </w:p>
          <w:p w14:paraId="616ED7AD">
            <w:pPr>
              <w:spacing w:line="320" w:lineRule="exact"/>
              <w:jc w:val="left"/>
              <w:rPr>
                <w:color w:val="000000"/>
                <w:kern w:val="0"/>
                <w:sz w:val="18"/>
                <w:szCs w:val="18"/>
              </w:rPr>
            </w:pPr>
            <w:r>
              <w:rPr>
                <w:rFonts w:hint="eastAsia"/>
                <w:color w:val="000000"/>
                <w:kern w:val="0"/>
                <w:sz w:val="18"/>
                <w:szCs w:val="18"/>
              </w:rPr>
              <w:t xml:space="preserve">         第二十八条　本规定的暂扣、吊销安全生产许可证的行政处罚，由安全生产许可证的颁发管理机关决定；其他行政处罚，由县级以上地方人民政府建设主管部门决定。</w:t>
            </w:r>
          </w:p>
        </w:tc>
      </w:tr>
      <w:tr w14:paraId="0645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CC9FED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94BD966">
            <w:pPr>
              <w:spacing w:line="320" w:lineRule="exact"/>
              <w:jc w:val="left"/>
              <w:rPr>
                <w:color w:val="000000"/>
                <w:kern w:val="0"/>
                <w:sz w:val="18"/>
                <w:szCs w:val="18"/>
              </w:rPr>
            </w:pPr>
            <w:r>
              <w:rPr>
                <w:rFonts w:hint="eastAsia"/>
                <w:color w:val="000000"/>
                <w:kern w:val="0"/>
                <w:sz w:val="18"/>
                <w:szCs w:val="18"/>
              </w:rPr>
              <w:t>撤销安全生产许可证，3年内不得再次申请安全生产许可证</w:t>
            </w:r>
          </w:p>
        </w:tc>
      </w:tr>
      <w:tr w14:paraId="65E0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9AC9A2B">
            <w:pPr>
              <w:spacing w:line="320" w:lineRule="exact"/>
              <w:jc w:val="center"/>
              <w:rPr>
                <w:color w:val="000000"/>
                <w:kern w:val="0"/>
                <w:sz w:val="18"/>
                <w:szCs w:val="18"/>
              </w:rPr>
            </w:pPr>
            <w:r>
              <w:rPr>
                <w:rFonts w:hint="eastAsia"/>
                <w:color w:val="000000"/>
                <w:kern w:val="0"/>
                <w:sz w:val="18"/>
                <w:szCs w:val="18"/>
              </w:rPr>
              <w:t>裁量基准</w:t>
            </w:r>
          </w:p>
        </w:tc>
      </w:tr>
      <w:tr w14:paraId="5A65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3286177">
            <w:pPr>
              <w:rPr>
                <w:color w:val="000000"/>
                <w:kern w:val="0"/>
                <w:sz w:val="18"/>
                <w:szCs w:val="18"/>
              </w:rPr>
            </w:pPr>
            <w:r>
              <w:rPr>
                <w:rFonts w:hint="eastAsia"/>
                <w:color w:val="000000"/>
                <w:kern w:val="0"/>
                <w:sz w:val="18"/>
                <w:szCs w:val="18"/>
              </w:rPr>
              <w:t>情形描述</w:t>
            </w:r>
          </w:p>
        </w:tc>
        <w:tc>
          <w:tcPr>
            <w:tcW w:w="6376" w:type="dxa"/>
            <w:vAlign w:val="center"/>
          </w:tcPr>
          <w:p w14:paraId="7F4979FA">
            <w:pPr>
              <w:rPr>
                <w:color w:val="000000"/>
                <w:kern w:val="0"/>
                <w:sz w:val="18"/>
                <w:szCs w:val="18"/>
              </w:rPr>
            </w:pPr>
          </w:p>
        </w:tc>
        <w:tc>
          <w:tcPr>
            <w:tcW w:w="1016" w:type="dxa"/>
            <w:vMerge w:val="restart"/>
            <w:vAlign w:val="center"/>
          </w:tcPr>
          <w:p w14:paraId="24701ABD">
            <w:pPr>
              <w:rPr>
                <w:color w:val="000000"/>
                <w:kern w:val="0"/>
                <w:sz w:val="18"/>
                <w:szCs w:val="18"/>
              </w:rPr>
            </w:pPr>
            <w:r>
              <w:rPr>
                <w:rFonts w:hint="eastAsia"/>
                <w:color w:val="000000"/>
                <w:kern w:val="0"/>
                <w:sz w:val="18"/>
                <w:szCs w:val="18"/>
              </w:rPr>
              <w:t>裁量幅度</w:t>
            </w:r>
          </w:p>
        </w:tc>
        <w:tc>
          <w:tcPr>
            <w:tcW w:w="5614" w:type="dxa"/>
            <w:vAlign w:val="center"/>
          </w:tcPr>
          <w:p w14:paraId="56C21082">
            <w:pPr>
              <w:rPr>
                <w:color w:val="000000"/>
                <w:kern w:val="0"/>
                <w:sz w:val="18"/>
                <w:szCs w:val="18"/>
              </w:rPr>
            </w:pPr>
          </w:p>
        </w:tc>
      </w:tr>
      <w:tr w14:paraId="4C61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4F692F94">
            <w:pPr>
              <w:spacing w:line="320" w:lineRule="exact"/>
              <w:jc w:val="left"/>
              <w:rPr>
                <w:color w:val="000000"/>
                <w:kern w:val="0"/>
                <w:sz w:val="18"/>
                <w:szCs w:val="18"/>
              </w:rPr>
            </w:pPr>
          </w:p>
        </w:tc>
        <w:tc>
          <w:tcPr>
            <w:tcW w:w="6376" w:type="dxa"/>
            <w:vAlign w:val="center"/>
          </w:tcPr>
          <w:p w14:paraId="226BEE35">
            <w:pPr>
              <w:spacing w:line="320" w:lineRule="exact"/>
              <w:jc w:val="left"/>
              <w:rPr>
                <w:color w:val="000000"/>
                <w:kern w:val="0"/>
                <w:sz w:val="18"/>
                <w:szCs w:val="18"/>
              </w:rPr>
            </w:pPr>
          </w:p>
        </w:tc>
        <w:tc>
          <w:tcPr>
            <w:tcW w:w="1016" w:type="dxa"/>
            <w:vMerge w:val="continue"/>
            <w:vAlign w:val="center"/>
          </w:tcPr>
          <w:p w14:paraId="4A4A4D95">
            <w:pPr>
              <w:spacing w:line="320" w:lineRule="exact"/>
              <w:jc w:val="left"/>
              <w:rPr>
                <w:color w:val="000000"/>
                <w:kern w:val="0"/>
                <w:sz w:val="18"/>
                <w:szCs w:val="18"/>
              </w:rPr>
            </w:pPr>
          </w:p>
        </w:tc>
        <w:tc>
          <w:tcPr>
            <w:tcW w:w="5614" w:type="dxa"/>
            <w:vAlign w:val="center"/>
          </w:tcPr>
          <w:p w14:paraId="76744BD3">
            <w:pPr>
              <w:rPr>
                <w:color w:val="000000"/>
                <w:kern w:val="0"/>
                <w:sz w:val="18"/>
                <w:szCs w:val="18"/>
              </w:rPr>
            </w:pPr>
          </w:p>
        </w:tc>
      </w:tr>
    </w:tbl>
    <w:p w14:paraId="6F07EE12"/>
    <w:p w14:paraId="10333754"/>
    <w:p w14:paraId="039C8692"/>
    <w:p w14:paraId="4183B077"/>
    <w:p w14:paraId="165561B0"/>
    <w:p w14:paraId="605E18E5"/>
    <w:p w14:paraId="2B0114E0"/>
    <w:p w14:paraId="0FA558DA"/>
    <w:p w14:paraId="74FCDBE8"/>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3A9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0121B777">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6046DDA">
            <w:pPr>
              <w:spacing w:line="320" w:lineRule="exact"/>
              <w:rPr>
                <w:rFonts w:eastAsia="仿宋_GB2312"/>
                <w:b/>
                <w:bCs/>
                <w:color w:val="000000"/>
                <w:kern w:val="0"/>
                <w:sz w:val="18"/>
                <w:szCs w:val="18"/>
              </w:rPr>
            </w:pPr>
            <w:r>
              <w:rPr>
                <w:rFonts w:eastAsia="仿宋_GB2312"/>
                <w:b/>
                <w:bCs/>
                <w:color w:val="000000"/>
                <w:kern w:val="0"/>
                <w:sz w:val="18"/>
                <w:szCs w:val="18"/>
              </w:rPr>
              <w:t>320217877000</w:t>
            </w:r>
          </w:p>
        </w:tc>
      </w:tr>
      <w:tr w14:paraId="15E2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451774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AEB794D">
            <w:pPr>
              <w:spacing w:line="320" w:lineRule="exact"/>
              <w:jc w:val="left"/>
              <w:rPr>
                <w:color w:val="000000"/>
                <w:spacing w:val="-6"/>
                <w:kern w:val="0"/>
                <w:sz w:val="18"/>
                <w:szCs w:val="18"/>
              </w:rPr>
            </w:pPr>
            <w:r>
              <w:rPr>
                <w:rFonts w:hint="eastAsia"/>
                <w:color w:val="000000"/>
                <w:spacing w:val="-6"/>
                <w:kern w:val="0"/>
                <w:sz w:val="18"/>
                <w:szCs w:val="18"/>
              </w:rPr>
              <w:t>对拆除工程完毕后七日内不能开工建设，未对裸土地面进行覆盖、绿化或者铺装的处罚</w:t>
            </w:r>
          </w:p>
        </w:tc>
      </w:tr>
      <w:tr w14:paraId="6D0C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47EAF222">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E993A51">
            <w:pPr>
              <w:spacing w:line="320" w:lineRule="exact"/>
              <w:jc w:val="left"/>
              <w:rPr>
                <w:color w:val="000000"/>
                <w:kern w:val="0"/>
                <w:sz w:val="18"/>
                <w:szCs w:val="18"/>
              </w:rPr>
            </w:pPr>
            <w:r>
              <w:rPr>
                <w:rFonts w:hint="eastAsia"/>
                <w:color w:val="000000"/>
                <w:kern w:val="0"/>
                <w:sz w:val="18"/>
                <w:szCs w:val="18"/>
              </w:rPr>
              <w:t>【地方性法规】《江苏省大气污染防治条例》</w:t>
            </w:r>
          </w:p>
          <w:p w14:paraId="159F2517">
            <w:pPr>
              <w:spacing w:line="320" w:lineRule="exact"/>
              <w:jc w:val="left"/>
              <w:rPr>
                <w:color w:val="000000"/>
                <w:kern w:val="0"/>
                <w:sz w:val="18"/>
                <w:szCs w:val="18"/>
              </w:rPr>
            </w:pPr>
            <w:r>
              <w:rPr>
                <w:rFonts w:hint="eastAsia"/>
                <w:color w:val="000000"/>
                <w:kern w:val="0"/>
                <w:sz w:val="18"/>
                <w:szCs w:val="18"/>
              </w:rPr>
              <w:t xml:space="preserve">      第五十七条第三款  拆除工程完毕后不能在七日内开工建设的，应当对裸土地面进行覆盖、绿化或者铺装。</w:t>
            </w:r>
          </w:p>
          <w:p w14:paraId="19655E75">
            <w:pPr>
              <w:spacing w:line="320" w:lineRule="exact"/>
              <w:jc w:val="left"/>
              <w:rPr>
                <w:color w:val="000000"/>
                <w:kern w:val="0"/>
                <w:sz w:val="18"/>
                <w:szCs w:val="18"/>
              </w:rPr>
            </w:pPr>
            <w:r>
              <w:rPr>
                <w:rFonts w:hint="eastAsia"/>
                <w:color w:val="000000"/>
                <w:kern w:val="0"/>
                <w:sz w:val="18"/>
                <w:szCs w:val="18"/>
              </w:rPr>
              <w:t xml:space="preserve">      第九十四条　有下列行为之一的，由生态环境、住房城乡建设、交通运输、水利等行政主管部门根据各自职责责令限期改正，处一万元以上十万元以下罚款；对逾期仍未达到当地环境保护规定要求的，责令其停工整顿：</w:t>
            </w:r>
          </w:p>
          <w:p w14:paraId="46CF36F3">
            <w:pPr>
              <w:spacing w:line="320" w:lineRule="exact"/>
              <w:jc w:val="left"/>
              <w:rPr>
                <w:color w:val="000000"/>
                <w:kern w:val="0"/>
                <w:sz w:val="18"/>
                <w:szCs w:val="18"/>
              </w:rPr>
            </w:pPr>
            <w:r>
              <w:rPr>
                <w:rFonts w:hint="eastAsia"/>
                <w:color w:val="000000"/>
                <w:kern w:val="0"/>
                <w:sz w:val="18"/>
                <w:szCs w:val="18"/>
              </w:rPr>
              <w:t xml:space="preserve">     （五）违反本条例第五十七条第三款规定，拆除工程完毕后七日内不能开工建设，未对裸土地面进行覆盖、绿化或者铺装的。</w:t>
            </w:r>
          </w:p>
          <w:p w14:paraId="261CA784">
            <w:pPr>
              <w:spacing w:line="320" w:lineRule="exact"/>
              <w:jc w:val="left"/>
              <w:rPr>
                <w:color w:val="000000"/>
                <w:kern w:val="0"/>
                <w:sz w:val="18"/>
                <w:szCs w:val="18"/>
              </w:rPr>
            </w:pPr>
            <w:r>
              <w:rPr>
                <w:rFonts w:hint="eastAsia"/>
                <w:color w:val="000000"/>
                <w:kern w:val="0"/>
                <w:sz w:val="18"/>
                <w:szCs w:val="18"/>
              </w:rPr>
              <w:t>　   第一百零二条  违反本条例，除第八十三条、第八十五条、第八十九条、第九十条、第九十二条、第九十三条、第九十五条、第九十六条第二款、第九十九条、第一百条、第一百零一条规定的情形外，受到罚款的行政处罚，被责令改正，拒不改正的，依法作出处罚决定的部门可以自责令改正之日的次日起，按照原处罚数额按日连续处罚。</w:t>
            </w:r>
          </w:p>
        </w:tc>
      </w:tr>
      <w:tr w14:paraId="1B52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115F427">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9BA21F5">
            <w:pPr>
              <w:spacing w:line="320" w:lineRule="exact"/>
              <w:jc w:val="left"/>
              <w:rPr>
                <w:color w:val="000000"/>
                <w:kern w:val="0"/>
                <w:sz w:val="18"/>
                <w:szCs w:val="18"/>
              </w:rPr>
            </w:pPr>
            <w:r>
              <w:rPr>
                <w:rFonts w:hint="eastAsia"/>
                <w:color w:val="000000"/>
                <w:kern w:val="0"/>
                <w:sz w:val="18"/>
                <w:szCs w:val="18"/>
              </w:rPr>
              <w:t>责令改正，罚款，责令停工整顿</w:t>
            </w:r>
          </w:p>
        </w:tc>
      </w:tr>
      <w:tr w14:paraId="47CD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A61F912">
            <w:pPr>
              <w:spacing w:line="320" w:lineRule="exact"/>
              <w:jc w:val="center"/>
              <w:rPr>
                <w:color w:val="000000"/>
                <w:kern w:val="0"/>
                <w:sz w:val="18"/>
                <w:szCs w:val="18"/>
              </w:rPr>
            </w:pPr>
            <w:r>
              <w:rPr>
                <w:rFonts w:hint="eastAsia"/>
                <w:color w:val="000000"/>
                <w:kern w:val="0"/>
                <w:sz w:val="18"/>
                <w:szCs w:val="18"/>
              </w:rPr>
              <w:t>裁量基准</w:t>
            </w:r>
          </w:p>
        </w:tc>
      </w:tr>
      <w:tr w14:paraId="24FF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7FEE81F0">
            <w:pPr>
              <w:rPr>
                <w:color w:val="000000"/>
                <w:kern w:val="0"/>
                <w:sz w:val="18"/>
                <w:szCs w:val="18"/>
              </w:rPr>
            </w:pPr>
            <w:r>
              <w:rPr>
                <w:rFonts w:hint="eastAsia"/>
                <w:color w:val="000000"/>
                <w:kern w:val="0"/>
                <w:sz w:val="18"/>
                <w:szCs w:val="18"/>
              </w:rPr>
              <w:t>情形描述</w:t>
            </w:r>
          </w:p>
        </w:tc>
        <w:tc>
          <w:tcPr>
            <w:tcW w:w="6376" w:type="dxa"/>
            <w:vAlign w:val="center"/>
          </w:tcPr>
          <w:p w14:paraId="46FAE0D8">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4BF889D1">
            <w:pPr>
              <w:rPr>
                <w:color w:val="000000"/>
                <w:kern w:val="0"/>
                <w:sz w:val="18"/>
                <w:szCs w:val="18"/>
              </w:rPr>
            </w:pPr>
            <w:r>
              <w:rPr>
                <w:rFonts w:hint="eastAsia"/>
                <w:color w:val="000000"/>
                <w:kern w:val="0"/>
                <w:sz w:val="18"/>
                <w:szCs w:val="18"/>
              </w:rPr>
              <w:t>裁量幅度</w:t>
            </w:r>
          </w:p>
        </w:tc>
        <w:tc>
          <w:tcPr>
            <w:tcW w:w="5614" w:type="dxa"/>
            <w:vAlign w:val="center"/>
          </w:tcPr>
          <w:p w14:paraId="575E6E6C">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3DBD7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793DA94">
            <w:pPr>
              <w:spacing w:line="320" w:lineRule="exact"/>
              <w:jc w:val="left"/>
              <w:rPr>
                <w:color w:val="000000"/>
                <w:kern w:val="0"/>
                <w:sz w:val="18"/>
                <w:szCs w:val="18"/>
              </w:rPr>
            </w:pPr>
          </w:p>
        </w:tc>
        <w:tc>
          <w:tcPr>
            <w:tcW w:w="6376" w:type="dxa"/>
            <w:vAlign w:val="center"/>
          </w:tcPr>
          <w:p w14:paraId="07A9D6A0">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2359059F">
            <w:pPr>
              <w:spacing w:line="320" w:lineRule="exact"/>
              <w:jc w:val="left"/>
              <w:rPr>
                <w:color w:val="000000"/>
                <w:kern w:val="0"/>
                <w:sz w:val="18"/>
                <w:szCs w:val="18"/>
              </w:rPr>
            </w:pPr>
          </w:p>
        </w:tc>
        <w:tc>
          <w:tcPr>
            <w:tcW w:w="5614" w:type="dxa"/>
            <w:vAlign w:val="center"/>
          </w:tcPr>
          <w:p w14:paraId="4EA34368">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7F2B75C9"/>
    <w:p w14:paraId="68ACADBD"/>
    <w:p w14:paraId="3E6BFD10"/>
    <w:p w14:paraId="158C2596"/>
    <w:p w14:paraId="60DB8F1E"/>
    <w:p w14:paraId="4C77C54D"/>
    <w:p w14:paraId="5459F8A6"/>
    <w:p w14:paraId="26A86BEE"/>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47B9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11A274B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28E82BA9">
            <w:pPr>
              <w:spacing w:line="320" w:lineRule="exact"/>
              <w:rPr>
                <w:rFonts w:eastAsia="仿宋_GB2312"/>
                <w:b/>
                <w:bCs/>
                <w:color w:val="000000"/>
                <w:kern w:val="0"/>
                <w:sz w:val="18"/>
                <w:szCs w:val="18"/>
              </w:rPr>
            </w:pPr>
            <w:r>
              <w:rPr>
                <w:rFonts w:eastAsia="仿宋_GB2312"/>
                <w:b/>
                <w:bCs/>
                <w:color w:val="000000"/>
                <w:kern w:val="0"/>
                <w:sz w:val="18"/>
                <w:szCs w:val="18"/>
              </w:rPr>
              <w:t>320217878000</w:t>
            </w:r>
          </w:p>
        </w:tc>
      </w:tr>
      <w:tr w14:paraId="7A1A0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48BB00FF">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448ECB6">
            <w:pPr>
              <w:spacing w:line="320" w:lineRule="exact"/>
              <w:jc w:val="left"/>
              <w:rPr>
                <w:color w:val="000000"/>
                <w:spacing w:val="-6"/>
                <w:kern w:val="0"/>
                <w:sz w:val="18"/>
                <w:szCs w:val="18"/>
              </w:rPr>
            </w:pPr>
            <w:r>
              <w:rPr>
                <w:rFonts w:hint="eastAsia"/>
                <w:color w:val="000000"/>
                <w:spacing w:val="-6"/>
                <w:kern w:val="0"/>
                <w:sz w:val="18"/>
                <w:szCs w:val="18"/>
              </w:rPr>
              <w:t>对气象预报风速达到五级以上时，不停止房屋或者其他建（构）筑物爆破或者拆除作业的处罚</w:t>
            </w:r>
          </w:p>
        </w:tc>
      </w:tr>
      <w:tr w14:paraId="6EFF7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39592378">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D4D9B31">
            <w:pPr>
              <w:spacing w:line="320" w:lineRule="exact"/>
              <w:jc w:val="left"/>
              <w:rPr>
                <w:color w:val="000000"/>
                <w:kern w:val="0"/>
                <w:sz w:val="18"/>
                <w:szCs w:val="18"/>
              </w:rPr>
            </w:pPr>
            <w:r>
              <w:rPr>
                <w:rFonts w:hint="eastAsia"/>
                <w:color w:val="000000"/>
                <w:kern w:val="0"/>
                <w:sz w:val="18"/>
                <w:szCs w:val="18"/>
              </w:rPr>
              <w:t>【地方性法规】《江苏省大气污染防治条例》</w:t>
            </w:r>
          </w:p>
          <w:p w14:paraId="73C9CA99">
            <w:pPr>
              <w:spacing w:line="320" w:lineRule="exact"/>
              <w:ind w:firstLine="360" w:firstLineChars="200"/>
              <w:jc w:val="left"/>
              <w:rPr>
                <w:color w:val="000000"/>
                <w:kern w:val="0"/>
                <w:sz w:val="18"/>
                <w:szCs w:val="18"/>
              </w:rPr>
            </w:pPr>
            <w:r>
              <w:rPr>
                <w:rFonts w:hint="eastAsia"/>
                <w:color w:val="000000"/>
                <w:kern w:val="0"/>
                <w:sz w:val="18"/>
                <w:szCs w:val="18"/>
              </w:rPr>
              <w:t>第五十七条第二款　气象预报风速达到五级以上时，应当停止房屋或者其他建（构）筑物爆破或者拆除作业。</w:t>
            </w:r>
          </w:p>
          <w:p w14:paraId="6D39E676">
            <w:pPr>
              <w:spacing w:line="320" w:lineRule="exact"/>
              <w:ind w:firstLine="360" w:firstLineChars="200"/>
              <w:jc w:val="left"/>
              <w:rPr>
                <w:color w:val="000000"/>
                <w:kern w:val="0"/>
                <w:sz w:val="18"/>
                <w:szCs w:val="18"/>
              </w:rPr>
            </w:pP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14:paraId="619B273B">
            <w:pPr>
              <w:spacing w:line="320" w:lineRule="exact"/>
              <w:jc w:val="left"/>
              <w:rPr>
                <w:color w:val="000000"/>
                <w:kern w:val="0"/>
                <w:sz w:val="18"/>
                <w:szCs w:val="18"/>
              </w:rPr>
            </w:pPr>
            <w:r>
              <w:rPr>
                <w:rFonts w:hint="eastAsia"/>
                <w:color w:val="000000"/>
                <w:kern w:val="0"/>
                <w:sz w:val="18"/>
                <w:szCs w:val="18"/>
              </w:rPr>
              <w:t>（四）违反本条例第五十七条第二款规定，不停止房屋或者其他建（构）筑物爆破或者拆除作业的；</w:t>
            </w:r>
          </w:p>
          <w:p w14:paraId="4086C631">
            <w:pPr>
              <w:spacing w:line="320" w:lineRule="exact"/>
              <w:jc w:val="left"/>
              <w:rPr>
                <w:color w:val="000000"/>
                <w:kern w:val="0"/>
                <w:sz w:val="18"/>
                <w:szCs w:val="18"/>
              </w:rPr>
            </w:pPr>
            <w:r>
              <w:rPr>
                <w:rFonts w:hint="eastAsia"/>
                <w:color w:val="000000"/>
                <w:kern w:val="0"/>
                <w:sz w:val="18"/>
                <w:szCs w:val="18"/>
              </w:rPr>
              <w:t xml:space="preserve">   　第一百零二条  违反本条例，除第八十三条、第八十五条、第八十九条、第九十条、第九十二条、第九十三条、第九十五条、第九十六条第二款、第九十九条、第一百条、第一百零一条规定的情形外，受到罚款的行政处罚，被责令改正，拒不改正的，依法作出处罚决定的部门可以自责令改正之日的次日起，按照原处罚数额按日连续处罚。</w:t>
            </w:r>
          </w:p>
        </w:tc>
      </w:tr>
      <w:tr w14:paraId="3939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5135AEE">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6DC96053">
            <w:pPr>
              <w:spacing w:line="320" w:lineRule="exact"/>
              <w:jc w:val="left"/>
              <w:rPr>
                <w:color w:val="000000"/>
                <w:kern w:val="0"/>
                <w:sz w:val="18"/>
                <w:szCs w:val="18"/>
              </w:rPr>
            </w:pPr>
            <w:r>
              <w:rPr>
                <w:rFonts w:hint="eastAsia"/>
                <w:color w:val="000000"/>
                <w:kern w:val="0"/>
                <w:sz w:val="18"/>
                <w:szCs w:val="18"/>
              </w:rPr>
              <w:t>责令改正，罚款，责令停工整顿</w:t>
            </w:r>
          </w:p>
        </w:tc>
      </w:tr>
      <w:tr w14:paraId="4385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2058E1B">
            <w:pPr>
              <w:spacing w:line="320" w:lineRule="exact"/>
              <w:jc w:val="center"/>
              <w:rPr>
                <w:color w:val="000000"/>
                <w:kern w:val="0"/>
                <w:sz w:val="18"/>
                <w:szCs w:val="18"/>
              </w:rPr>
            </w:pPr>
            <w:r>
              <w:rPr>
                <w:rFonts w:hint="eastAsia"/>
                <w:color w:val="000000"/>
                <w:kern w:val="0"/>
                <w:sz w:val="18"/>
                <w:szCs w:val="18"/>
              </w:rPr>
              <w:t>裁量基准</w:t>
            </w:r>
          </w:p>
        </w:tc>
      </w:tr>
      <w:tr w14:paraId="730D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393E57D">
            <w:pPr>
              <w:rPr>
                <w:color w:val="000000"/>
                <w:kern w:val="0"/>
                <w:sz w:val="18"/>
                <w:szCs w:val="18"/>
              </w:rPr>
            </w:pPr>
            <w:r>
              <w:rPr>
                <w:rFonts w:hint="eastAsia"/>
                <w:color w:val="000000"/>
                <w:kern w:val="0"/>
                <w:sz w:val="18"/>
                <w:szCs w:val="18"/>
              </w:rPr>
              <w:t>情形描述</w:t>
            </w:r>
          </w:p>
        </w:tc>
        <w:tc>
          <w:tcPr>
            <w:tcW w:w="6376" w:type="dxa"/>
            <w:vAlign w:val="center"/>
          </w:tcPr>
          <w:p w14:paraId="6602E5F4">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6FA7F5D8">
            <w:pPr>
              <w:rPr>
                <w:color w:val="000000"/>
                <w:kern w:val="0"/>
                <w:sz w:val="18"/>
                <w:szCs w:val="18"/>
              </w:rPr>
            </w:pPr>
            <w:r>
              <w:rPr>
                <w:rFonts w:hint="eastAsia"/>
                <w:color w:val="000000"/>
                <w:kern w:val="0"/>
                <w:sz w:val="18"/>
                <w:szCs w:val="18"/>
              </w:rPr>
              <w:t>裁量幅度</w:t>
            </w:r>
          </w:p>
        </w:tc>
        <w:tc>
          <w:tcPr>
            <w:tcW w:w="5614" w:type="dxa"/>
            <w:vAlign w:val="center"/>
          </w:tcPr>
          <w:p w14:paraId="42D3AE4B">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3870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15CF618">
            <w:pPr>
              <w:spacing w:line="320" w:lineRule="exact"/>
              <w:jc w:val="left"/>
              <w:rPr>
                <w:color w:val="000000"/>
                <w:kern w:val="0"/>
                <w:sz w:val="18"/>
                <w:szCs w:val="18"/>
              </w:rPr>
            </w:pPr>
          </w:p>
        </w:tc>
        <w:tc>
          <w:tcPr>
            <w:tcW w:w="6376" w:type="dxa"/>
            <w:vAlign w:val="center"/>
          </w:tcPr>
          <w:p w14:paraId="5C1859C9">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9195435">
            <w:pPr>
              <w:spacing w:line="320" w:lineRule="exact"/>
              <w:jc w:val="left"/>
              <w:rPr>
                <w:color w:val="000000"/>
                <w:kern w:val="0"/>
                <w:sz w:val="18"/>
                <w:szCs w:val="18"/>
              </w:rPr>
            </w:pPr>
          </w:p>
        </w:tc>
        <w:tc>
          <w:tcPr>
            <w:tcW w:w="5614" w:type="dxa"/>
            <w:vAlign w:val="center"/>
          </w:tcPr>
          <w:p w14:paraId="66CB65F3">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7E7D7CC5"/>
    <w:p w14:paraId="73FB427C"/>
    <w:p w14:paraId="172E8D3E"/>
    <w:p w14:paraId="6C2905A0"/>
    <w:p w14:paraId="000D8911"/>
    <w:p w14:paraId="19D81451"/>
    <w:p w14:paraId="6F39D8BC"/>
    <w:p w14:paraId="702150D9"/>
    <w:p w14:paraId="7534AB56"/>
    <w:p w14:paraId="7F514D73"/>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5FD0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34562D3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01DAAD7">
            <w:pPr>
              <w:spacing w:line="320" w:lineRule="exact"/>
              <w:rPr>
                <w:rFonts w:eastAsia="仿宋_GB2312"/>
                <w:b/>
                <w:bCs/>
                <w:color w:val="000000"/>
                <w:kern w:val="0"/>
                <w:sz w:val="18"/>
                <w:szCs w:val="18"/>
              </w:rPr>
            </w:pPr>
            <w:r>
              <w:rPr>
                <w:rFonts w:eastAsia="仿宋_GB2312"/>
                <w:b/>
                <w:bCs/>
                <w:color w:val="000000"/>
                <w:kern w:val="0"/>
                <w:sz w:val="18"/>
                <w:szCs w:val="18"/>
              </w:rPr>
              <w:t>320217879000</w:t>
            </w:r>
            <w:r>
              <w:rPr>
                <w:rFonts w:hint="eastAsia" w:eastAsia="仿宋_GB2312"/>
                <w:b/>
                <w:bCs/>
                <w:color w:val="000000"/>
                <w:kern w:val="0"/>
                <w:sz w:val="18"/>
                <w:szCs w:val="18"/>
              </w:rPr>
              <w:t xml:space="preserve"> </w:t>
            </w:r>
          </w:p>
        </w:tc>
      </w:tr>
      <w:tr w14:paraId="7F0B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27CA53CE">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14B1E689">
            <w:pPr>
              <w:spacing w:line="320" w:lineRule="exact"/>
              <w:jc w:val="left"/>
              <w:rPr>
                <w:color w:val="000000"/>
                <w:spacing w:val="-6"/>
                <w:kern w:val="0"/>
                <w:sz w:val="18"/>
                <w:szCs w:val="18"/>
              </w:rPr>
            </w:pPr>
            <w:r>
              <w:rPr>
                <w:rFonts w:hint="eastAsia"/>
                <w:color w:val="000000"/>
                <w:spacing w:val="-6"/>
                <w:kern w:val="0"/>
                <w:sz w:val="18"/>
                <w:szCs w:val="18"/>
              </w:rPr>
              <w:t>对拆除房屋或者其他建（构）筑物时未设置围挡、采取持续加压喷淋等措施，或者未在爆破作业区外围洒水喷湿的的处罚</w:t>
            </w:r>
          </w:p>
        </w:tc>
      </w:tr>
      <w:tr w14:paraId="69A1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57DC15D6">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A7B2E8F">
            <w:pPr>
              <w:spacing w:line="320" w:lineRule="exact"/>
              <w:jc w:val="left"/>
              <w:rPr>
                <w:color w:val="000000"/>
                <w:kern w:val="0"/>
                <w:sz w:val="18"/>
                <w:szCs w:val="18"/>
              </w:rPr>
            </w:pPr>
            <w:r>
              <w:rPr>
                <w:rFonts w:hint="eastAsia"/>
                <w:color w:val="000000"/>
                <w:kern w:val="0"/>
                <w:sz w:val="18"/>
                <w:szCs w:val="18"/>
              </w:rPr>
              <w:t>【地方性法规】《江苏省大气污染防治条例》</w:t>
            </w:r>
          </w:p>
          <w:p w14:paraId="484F6449">
            <w:pPr>
              <w:spacing w:line="320" w:lineRule="exact"/>
              <w:jc w:val="left"/>
              <w:rPr>
                <w:color w:val="000000"/>
                <w:kern w:val="0"/>
                <w:sz w:val="18"/>
                <w:szCs w:val="18"/>
              </w:rPr>
            </w:pPr>
            <w:r>
              <w:rPr>
                <w:rFonts w:hint="eastAsia"/>
                <w:color w:val="000000"/>
                <w:kern w:val="0"/>
                <w:sz w:val="18"/>
                <w:szCs w:val="18"/>
              </w:rPr>
              <w:t xml:space="preserve">         第五十七条第一款　房屋或者其他建（构）筑物拆除施工单位应当配备防尘抑尘设备，对拆除过程中产生的扬尘污染控制负责。拆除房屋或者其他建（构）筑物时应当设置围挡，采取持续加压喷淋等措施，抑制扬尘产生。需爆破作业的，应当在爆破作业区外围洒水喷湿。</w:t>
            </w:r>
          </w:p>
          <w:p w14:paraId="67484A5C">
            <w:pPr>
              <w:spacing w:line="320" w:lineRule="exact"/>
              <w:jc w:val="left"/>
              <w:rPr>
                <w:color w:val="000000"/>
                <w:kern w:val="0"/>
                <w:sz w:val="18"/>
                <w:szCs w:val="18"/>
              </w:rPr>
            </w:pPr>
            <w:r>
              <w:rPr>
                <w:rFonts w:hint="eastAsia"/>
                <w:color w:val="000000"/>
                <w:kern w:val="0"/>
                <w:sz w:val="18"/>
                <w:szCs w:val="18"/>
              </w:rPr>
              <w:t xml:space="preserve">       第九十四条　有下列行为之一的，由生态环境、住房城乡建设、交通运输、水利等行政主管部门根据各自职责责令限期改正，处一万元以上十万元以下罚款；对逾期仍未达到当地环境保护规定要求的，责令其停工整顿：</w:t>
            </w:r>
          </w:p>
          <w:p w14:paraId="4D6FE070">
            <w:pPr>
              <w:spacing w:line="320" w:lineRule="exact"/>
              <w:jc w:val="left"/>
              <w:rPr>
                <w:color w:val="000000"/>
                <w:kern w:val="0"/>
                <w:sz w:val="18"/>
                <w:szCs w:val="18"/>
              </w:rPr>
            </w:pPr>
            <w:r>
              <w:rPr>
                <w:rFonts w:hint="eastAsia"/>
                <w:color w:val="000000"/>
                <w:kern w:val="0"/>
                <w:sz w:val="18"/>
                <w:szCs w:val="18"/>
              </w:rPr>
              <w:t xml:space="preserve">     （三）违反本条例第五十七条第一款规定，拆除房屋或者其他建（构）筑物时未设置围挡、采取持续加压喷淋等措施，或者未在爆破作业区外围洒水喷湿的；</w:t>
            </w:r>
          </w:p>
          <w:p w14:paraId="0A253023">
            <w:pPr>
              <w:spacing w:line="320" w:lineRule="exact"/>
              <w:jc w:val="left"/>
              <w:rPr>
                <w:color w:val="000000"/>
                <w:kern w:val="0"/>
                <w:sz w:val="18"/>
                <w:szCs w:val="18"/>
              </w:rPr>
            </w:pPr>
            <w:r>
              <w:rPr>
                <w:rFonts w:hint="eastAsia"/>
                <w:color w:val="000000"/>
                <w:kern w:val="0"/>
                <w:sz w:val="18"/>
                <w:szCs w:val="18"/>
              </w:rPr>
              <w:t xml:space="preserve">  　第一百零二条  违反本条例，除第八十三条、第八十五条、第八十九条、第九十条、第九十二条、第九十三条、第九十五条、第九十六条第二款、第九十九条、第一百条、第一百零一条规定的情形外，受到罚款的行政处罚，被责令改正，拒不改正的，依法作出处罚决定的部门可以自责令改正之日的次日起，按照原处罚数额按日连续处罚。</w:t>
            </w:r>
          </w:p>
        </w:tc>
      </w:tr>
      <w:tr w14:paraId="7534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BD5D1E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273CFD6F">
            <w:pPr>
              <w:spacing w:line="320" w:lineRule="exact"/>
              <w:jc w:val="left"/>
              <w:rPr>
                <w:color w:val="000000"/>
                <w:kern w:val="0"/>
                <w:sz w:val="18"/>
                <w:szCs w:val="18"/>
              </w:rPr>
            </w:pPr>
            <w:r>
              <w:rPr>
                <w:rFonts w:hint="eastAsia"/>
                <w:color w:val="000000"/>
                <w:kern w:val="0"/>
                <w:sz w:val="18"/>
                <w:szCs w:val="18"/>
              </w:rPr>
              <w:t>责令改正，罚款，责令停工整顿</w:t>
            </w:r>
          </w:p>
        </w:tc>
      </w:tr>
      <w:tr w14:paraId="527E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1803434C">
            <w:pPr>
              <w:spacing w:line="320" w:lineRule="exact"/>
              <w:jc w:val="center"/>
              <w:rPr>
                <w:color w:val="000000"/>
                <w:kern w:val="0"/>
                <w:sz w:val="18"/>
                <w:szCs w:val="18"/>
              </w:rPr>
            </w:pPr>
            <w:r>
              <w:rPr>
                <w:rFonts w:hint="eastAsia"/>
                <w:color w:val="000000"/>
                <w:kern w:val="0"/>
                <w:sz w:val="18"/>
                <w:szCs w:val="18"/>
              </w:rPr>
              <w:t>裁量基准</w:t>
            </w:r>
          </w:p>
        </w:tc>
      </w:tr>
      <w:tr w14:paraId="6E2F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0EDE88A8">
            <w:pPr>
              <w:rPr>
                <w:color w:val="000000"/>
                <w:kern w:val="0"/>
                <w:sz w:val="18"/>
                <w:szCs w:val="18"/>
              </w:rPr>
            </w:pPr>
            <w:r>
              <w:rPr>
                <w:rFonts w:hint="eastAsia"/>
                <w:color w:val="000000"/>
                <w:kern w:val="0"/>
                <w:sz w:val="18"/>
                <w:szCs w:val="18"/>
              </w:rPr>
              <w:t>情形描述</w:t>
            </w:r>
          </w:p>
        </w:tc>
        <w:tc>
          <w:tcPr>
            <w:tcW w:w="6376" w:type="dxa"/>
            <w:vAlign w:val="center"/>
          </w:tcPr>
          <w:p w14:paraId="1CA7FB93">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22D5C7B0">
            <w:pPr>
              <w:rPr>
                <w:color w:val="000000"/>
                <w:kern w:val="0"/>
                <w:sz w:val="18"/>
                <w:szCs w:val="18"/>
              </w:rPr>
            </w:pPr>
            <w:r>
              <w:rPr>
                <w:rFonts w:hint="eastAsia"/>
                <w:color w:val="000000"/>
                <w:kern w:val="0"/>
                <w:sz w:val="18"/>
                <w:szCs w:val="18"/>
              </w:rPr>
              <w:t>裁量幅度</w:t>
            </w:r>
          </w:p>
        </w:tc>
        <w:tc>
          <w:tcPr>
            <w:tcW w:w="5614" w:type="dxa"/>
            <w:vAlign w:val="center"/>
          </w:tcPr>
          <w:p w14:paraId="7AF587D8">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07BF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C3AAF01">
            <w:pPr>
              <w:spacing w:line="320" w:lineRule="exact"/>
              <w:jc w:val="left"/>
              <w:rPr>
                <w:color w:val="000000"/>
                <w:kern w:val="0"/>
                <w:sz w:val="18"/>
                <w:szCs w:val="18"/>
              </w:rPr>
            </w:pPr>
          </w:p>
        </w:tc>
        <w:tc>
          <w:tcPr>
            <w:tcW w:w="6376" w:type="dxa"/>
            <w:vAlign w:val="center"/>
          </w:tcPr>
          <w:p w14:paraId="6E014850">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BD84B06">
            <w:pPr>
              <w:spacing w:line="320" w:lineRule="exact"/>
              <w:jc w:val="left"/>
              <w:rPr>
                <w:color w:val="000000"/>
                <w:kern w:val="0"/>
                <w:sz w:val="18"/>
                <w:szCs w:val="18"/>
              </w:rPr>
            </w:pPr>
          </w:p>
        </w:tc>
        <w:tc>
          <w:tcPr>
            <w:tcW w:w="5614" w:type="dxa"/>
            <w:vAlign w:val="center"/>
          </w:tcPr>
          <w:p w14:paraId="7FDE881C">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7D5E09DD"/>
    <w:p w14:paraId="0A6A57FA"/>
    <w:p w14:paraId="7227F075"/>
    <w:p w14:paraId="2E22B922"/>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A06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DB9ECD2">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5E92962">
            <w:pPr>
              <w:spacing w:line="320" w:lineRule="exact"/>
              <w:rPr>
                <w:rFonts w:eastAsia="仿宋_GB2312"/>
                <w:b/>
                <w:bCs/>
                <w:color w:val="000000"/>
                <w:kern w:val="0"/>
                <w:sz w:val="18"/>
                <w:szCs w:val="18"/>
              </w:rPr>
            </w:pPr>
            <w:r>
              <w:rPr>
                <w:rFonts w:eastAsia="仿宋_GB2312"/>
                <w:b/>
                <w:bCs/>
                <w:color w:val="000000"/>
                <w:kern w:val="0"/>
                <w:sz w:val="18"/>
                <w:szCs w:val="18"/>
              </w:rPr>
              <w:t>320217881000</w:t>
            </w:r>
          </w:p>
        </w:tc>
      </w:tr>
      <w:tr w14:paraId="5B1C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23C53CF3">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DB5A8D2">
            <w:pPr>
              <w:spacing w:line="320" w:lineRule="exact"/>
              <w:jc w:val="left"/>
              <w:rPr>
                <w:color w:val="000000"/>
                <w:spacing w:val="-6"/>
                <w:kern w:val="0"/>
                <w:sz w:val="18"/>
                <w:szCs w:val="18"/>
              </w:rPr>
            </w:pPr>
            <w:r>
              <w:rPr>
                <w:rFonts w:hint="eastAsia"/>
                <w:color w:val="000000"/>
                <w:spacing w:val="-6"/>
                <w:kern w:val="0"/>
                <w:sz w:val="18"/>
                <w:szCs w:val="18"/>
              </w:rPr>
              <w:t>对施工单位未制定扬尘污染防治方案或者未按照方案采取防尘降尘措施的处罚</w:t>
            </w:r>
          </w:p>
        </w:tc>
      </w:tr>
      <w:tr w14:paraId="58F0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18802191">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E2E8E76">
            <w:pPr>
              <w:spacing w:line="320" w:lineRule="exact"/>
              <w:jc w:val="left"/>
              <w:rPr>
                <w:color w:val="000000"/>
                <w:kern w:val="0"/>
                <w:sz w:val="18"/>
                <w:szCs w:val="18"/>
              </w:rPr>
            </w:pPr>
            <w:r>
              <w:rPr>
                <w:rFonts w:hint="eastAsia"/>
                <w:color w:val="000000"/>
                <w:kern w:val="0"/>
                <w:sz w:val="18"/>
                <w:szCs w:val="18"/>
              </w:rPr>
              <w:t>【法律】《中华人民共和国大气污染防治法》</w:t>
            </w:r>
          </w:p>
          <w:p w14:paraId="6738ABEA">
            <w:pPr>
              <w:spacing w:line="320" w:lineRule="exact"/>
              <w:jc w:val="left"/>
              <w:rPr>
                <w:color w:val="000000"/>
                <w:kern w:val="0"/>
                <w:sz w:val="18"/>
                <w:szCs w:val="18"/>
              </w:rPr>
            </w:pPr>
            <w:r>
              <w:rPr>
                <w:rFonts w:hint="eastAsia"/>
                <w:color w:val="000000"/>
                <w:kern w:val="0"/>
                <w:sz w:val="18"/>
                <w:szCs w:val="18"/>
              </w:rPr>
              <w:t xml:space="preserve">        第六十九条第三款 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p>
          <w:p w14:paraId="6369C6B4">
            <w:pPr>
              <w:spacing w:line="320" w:lineRule="exact"/>
              <w:jc w:val="left"/>
              <w:rPr>
                <w:color w:val="000000"/>
                <w:kern w:val="0"/>
                <w:sz w:val="18"/>
                <w:szCs w:val="18"/>
              </w:rPr>
            </w:pPr>
            <w:r>
              <w:rPr>
                <w:rFonts w:hint="eastAsia"/>
                <w:color w:val="000000"/>
                <w:kern w:val="0"/>
                <w:sz w:val="18"/>
                <w:szCs w:val="18"/>
              </w:rPr>
              <w:t>　   第一百一十五条第一款　违反本法规定，施工单位有下列行为之一的，由县级以上人民政府住房城乡建设等主管部门按照职责责令改正，处一万元以上十万元以下的罚款；拒不改正的，责令停工整治：</w:t>
            </w:r>
          </w:p>
          <w:p w14:paraId="3F9B15D9">
            <w:pPr>
              <w:spacing w:line="320" w:lineRule="exact"/>
              <w:jc w:val="left"/>
              <w:rPr>
                <w:color w:val="000000"/>
                <w:kern w:val="0"/>
                <w:sz w:val="18"/>
                <w:szCs w:val="18"/>
              </w:rPr>
            </w:pPr>
            <w:r>
              <w:rPr>
                <w:rFonts w:hint="eastAsia"/>
                <w:color w:val="000000"/>
                <w:kern w:val="0"/>
                <w:sz w:val="18"/>
                <w:szCs w:val="18"/>
              </w:rPr>
              <w:t>　　（一）施工工地未设置硬质围挡，或者未采取覆盖、分段作业、择时施工、洒水抑尘、冲洗地面和车辆等有效防尘降尘措施的；</w:t>
            </w:r>
          </w:p>
          <w:p w14:paraId="10EC51C3">
            <w:pPr>
              <w:spacing w:line="320" w:lineRule="exact"/>
              <w:jc w:val="left"/>
              <w:rPr>
                <w:color w:val="000000"/>
                <w:kern w:val="0"/>
                <w:sz w:val="18"/>
                <w:szCs w:val="18"/>
              </w:rPr>
            </w:pPr>
            <w:r>
              <w:rPr>
                <w:rFonts w:hint="eastAsia"/>
                <w:color w:val="000000"/>
                <w:kern w:val="0"/>
                <w:sz w:val="18"/>
                <w:szCs w:val="18"/>
              </w:rPr>
              <w:t>【地方性法规】《江苏省大气污染防治条例》</w:t>
            </w:r>
          </w:p>
          <w:p w14:paraId="26B95DE4">
            <w:pPr>
              <w:spacing w:line="320" w:lineRule="exact"/>
              <w:jc w:val="left"/>
              <w:rPr>
                <w:color w:val="000000"/>
                <w:kern w:val="0"/>
                <w:sz w:val="18"/>
                <w:szCs w:val="18"/>
              </w:rPr>
            </w:pPr>
            <w:r>
              <w:rPr>
                <w:rFonts w:hint="eastAsia"/>
                <w:color w:val="000000"/>
                <w:kern w:val="0"/>
                <w:sz w:val="18"/>
                <w:szCs w:val="18"/>
              </w:rPr>
              <w:t xml:space="preserve">         第五十六条第二款   施工单位应当遵守建设施工现场环境保护的规定，建立相应的责任管理制度，制定扬尘污染防治方案，在施工工地设置密闭围挡，采取覆盖、分段作业、择时施工、洒水抑尘、冲洗地面和车辆等有效防尘降尘措施。</w:t>
            </w:r>
          </w:p>
          <w:p w14:paraId="2AA884EE">
            <w:pPr>
              <w:spacing w:line="320" w:lineRule="exact"/>
              <w:jc w:val="left"/>
              <w:rPr>
                <w:color w:val="000000"/>
                <w:kern w:val="0"/>
                <w:sz w:val="18"/>
                <w:szCs w:val="18"/>
              </w:rPr>
            </w:pPr>
            <w:r>
              <w:rPr>
                <w:rFonts w:hint="eastAsia"/>
                <w:color w:val="000000"/>
                <w:kern w:val="0"/>
                <w:sz w:val="18"/>
                <w:szCs w:val="18"/>
              </w:rPr>
              <w:t xml:space="preserve">         第九十四条　有下列行为之一的，由生态环境、住房城乡建设、交通运输、水利等行政主管部门根据各自职责责令限期改正，处一万元以上十万元以下罚款；对逾期仍未达到当地环境保护规定要求的，责令其停工整顿：</w:t>
            </w:r>
          </w:p>
          <w:p w14:paraId="575B1D4F">
            <w:pPr>
              <w:spacing w:line="320" w:lineRule="exact"/>
              <w:jc w:val="left"/>
              <w:rPr>
                <w:color w:val="000000"/>
                <w:kern w:val="0"/>
                <w:sz w:val="18"/>
                <w:szCs w:val="18"/>
              </w:rPr>
            </w:pPr>
            <w:r>
              <w:rPr>
                <w:rFonts w:hint="eastAsia"/>
                <w:color w:val="000000"/>
                <w:kern w:val="0"/>
                <w:sz w:val="18"/>
                <w:szCs w:val="18"/>
              </w:rPr>
              <w:t xml:space="preserve">        （二）违反本条例第五十六条第二款规定，未制定扬尘污染防治方案或者未按照方案采取防尘降尘措施的；</w:t>
            </w:r>
          </w:p>
          <w:p w14:paraId="088BAB06">
            <w:pPr>
              <w:spacing w:line="320" w:lineRule="exact"/>
              <w:jc w:val="left"/>
              <w:rPr>
                <w:color w:val="000000"/>
                <w:kern w:val="0"/>
                <w:sz w:val="18"/>
                <w:szCs w:val="18"/>
              </w:rPr>
            </w:pPr>
            <w:r>
              <w:rPr>
                <w:rFonts w:hint="eastAsia"/>
                <w:color w:val="000000"/>
                <w:kern w:val="0"/>
                <w:sz w:val="18"/>
                <w:szCs w:val="18"/>
              </w:rPr>
              <w:t>　     第一百零二条  违反本条例，除第八十三条、第八十五条、第八十九条、第九十条、第九十二条、第九十三条、第九十五条、第九十六条第二款、第九十九条、第一百条、第一百零一条规定的情形外，受到罚款的行政处罚，被责令改正，拒不改正的，依法作出处罚决定的部门可以自责令改正之日的次日起，按照原处罚数额按日连续处罚。</w:t>
            </w:r>
          </w:p>
        </w:tc>
      </w:tr>
      <w:tr w14:paraId="373B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0866BCD">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1EE65AC">
            <w:pPr>
              <w:spacing w:line="320" w:lineRule="exact"/>
              <w:jc w:val="left"/>
              <w:rPr>
                <w:color w:val="000000"/>
                <w:kern w:val="0"/>
                <w:sz w:val="18"/>
                <w:szCs w:val="18"/>
              </w:rPr>
            </w:pPr>
            <w:r>
              <w:rPr>
                <w:rFonts w:hint="eastAsia"/>
                <w:color w:val="000000"/>
                <w:kern w:val="0"/>
                <w:sz w:val="18"/>
                <w:szCs w:val="18"/>
              </w:rPr>
              <w:t>责令改正，罚款，责令停工整顿</w:t>
            </w:r>
          </w:p>
        </w:tc>
      </w:tr>
      <w:tr w14:paraId="0022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1A2E3470">
            <w:pPr>
              <w:spacing w:line="320" w:lineRule="exact"/>
              <w:jc w:val="center"/>
              <w:rPr>
                <w:color w:val="000000"/>
                <w:kern w:val="0"/>
                <w:sz w:val="18"/>
                <w:szCs w:val="18"/>
              </w:rPr>
            </w:pPr>
            <w:r>
              <w:rPr>
                <w:rFonts w:hint="eastAsia"/>
                <w:color w:val="000000"/>
                <w:kern w:val="0"/>
                <w:sz w:val="18"/>
                <w:szCs w:val="18"/>
              </w:rPr>
              <w:t>裁量基准</w:t>
            </w:r>
          </w:p>
        </w:tc>
      </w:tr>
      <w:tr w14:paraId="1994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592E87A">
            <w:pPr>
              <w:rPr>
                <w:color w:val="000000"/>
                <w:kern w:val="0"/>
                <w:sz w:val="18"/>
                <w:szCs w:val="18"/>
              </w:rPr>
            </w:pPr>
            <w:r>
              <w:rPr>
                <w:rFonts w:hint="eastAsia"/>
                <w:color w:val="000000"/>
                <w:kern w:val="0"/>
                <w:sz w:val="18"/>
                <w:szCs w:val="18"/>
              </w:rPr>
              <w:t>情形描述</w:t>
            </w:r>
          </w:p>
        </w:tc>
        <w:tc>
          <w:tcPr>
            <w:tcW w:w="6376" w:type="dxa"/>
            <w:vAlign w:val="center"/>
          </w:tcPr>
          <w:p w14:paraId="3C9BD4BB">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2562206D">
            <w:pPr>
              <w:rPr>
                <w:color w:val="000000"/>
                <w:kern w:val="0"/>
                <w:sz w:val="18"/>
                <w:szCs w:val="18"/>
              </w:rPr>
            </w:pPr>
            <w:r>
              <w:rPr>
                <w:rFonts w:hint="eastAsia"/>
                <w:color w:val="000000"/>
                <w:kern w:val="0"/>
                <w:sz w:val="18"/>
                <w:szCs w:val="18"/>
              </w:rPr>
              <w:t>裁量幅度</w:t>
            </w:r>
          </w:p>
        </w:tc>
        <w:tc>
          <w:tcPr>
            <w:tcW w:w="5614" w:type="dxa"/>
            <w:vAlign w:val="center"/>
          </w:tcPr>
          <w:p w14:paraId="037DD6C3">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3748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9EBB9A0">
            <w:pPr>
              <w:spacing w:line="320" w:lineRule="exact"/>
              <w:jc w:val="left"/>
              <w:rPr>
                <w:color w:val="000000"/>
                <w:kern w:val="0"/>
                <w:sz w:val="18"/>
                <w:szCs w:val="18"/>
              </w:rPr>
            </w:pPr>
          </w:p>
        </w:tc>
        <w:tc>
          <w:tcPr>
            <w:tcW w:w="6376" w:type="dxa"/>
            <w:vAlign w:val="center"/>
          </w:tcPr>
          <w:p w14:paraId="0AEA9BA3">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396884EF">
            <w:pPr>
              <w:spacing w:line="320" w:lineRule="exact"/>
              <w:jc w:val="left"/>
              <w:rPr>
                <w:color w:val="000000"/>
                <w:kern w:val="0"/>
                <w:sz w:val="18"/>
                <w:szCs w:val="18"/>
              </w:rPr>
            </w:pPr>
          </w:p>
        </w:tc>
        <w:tc>
          <w:tcPr>
            <w:tcW w:w="5614" w:type="dxa"/>
            <w:vAlign w:val="center"/>
          </w:tcPr>
          <w:p w14:paraId="02ED091D">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6F541839"/>
    <w:p w14:paraId="66C8A9D7"/>
    <w:p w14:paraId="4BD34CBA"/>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637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5B5674F">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0BFD5B1">
            <w:pPr>
              <w:spacing w:line="320" w:lineRule="exact"/>
              <w:rPr>
                <w:rFonts w:eastAsia="仿宋_GB2312"/>
                <w:b/>
                <w:bCs/>
                <w:color w:val="000000"/>
                <w:kern w:val="0"/>
                <w:sz w:val="18"/>
                <w:szCs w:val="18"/>
              </w:rPr>
            </w:pPr>
            <w:r>
              <w:rPr>
                <w:rFonts w:eastAsia="仿宋_GB2312"/>
                <w:b/>
                <w:bCs/>
                <w:color w:val="000000"/>
                <w:kern w:val="0"/>
                <w:sz w:val="18"/>
                <w:szCs w:val="18"/>
              </w:rPr>
              <w:t>320217882000</w:t>
            </w:r>
          </w:p>
        </w:tc>
      </w:tr>
      <w:tr w14:paraId="0DD72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0FCD6AD">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A4A3397">
            <w:pPr>
              <w:spacing w:line="320" w:lineRule="exact"/>
              <w:jc w:val="left"/>
              <w:rPr>
                <w:color w:val="000000"/>
                <w:spacing w:val="-6"/>
                <w:kern w:val="0"/>
                <w:sz w:val="18"/>
                <w:szCs w:val="18"/>
              </w:rPr>
            </w:pPr>
            <w:r>
              <w:rPr>
                <w:rFonts w:hint="eastAsia"/>
                <w:color w:val="000000"/>
                <w:spacing w:val="-6"/>
                <w:kern w:val="0"/>
                <w:sz w:val="18"/>
                <w:szCs w:val="18"/>
              </w:rPr>
              <w:t>对以拒绝进入现场等方式拒不接受负有大气环境保护监督管理职责的部门的监督检查，或者在接受监督检查时弄虚作假的处罚</w:t>
            </w:r>
          </w:p>
        </w:tc>
      </w:tr>
      <w:tr w14:paraId="5085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2C391C1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54C0ADD1">
            <w:pPr>
              <w:spacing w:line="320" w:lineRule="exact"/>
              <w:jc w:val="left"/>
              <w:rPr>
                <w:color w:val="000000"/>
                <w:kern w:val="0"/>
                <w:sz w:val="18"/>
                <w:szCs w:val="18"/>
              </w:rPr>
            </w:pPr>
            <w:r>
              <w:rPr>
                <w:rFonts w:hint="eastAsia"/>
                <w:color w:val="000000"/>
                <w:kern w:val="0"/>
                <w:sz w:val="18"/>
                <w:szCs w:val="18"/>
              </w:rPr>
              <w:t>【法律】《中华人民共和国大气污染防治法》</w:t>
            </w:r>
          </w:p>
          <w:p w14:paraId="0BFABFD9">
            <w:pPr>
              <w:spacing w:line="320" w:lineRule="exact"/>
              <w:jc w:val="left"/>
              <w:rPr>
                <w:color w:val="000000"/>
                <w:kern w:val="0"/>
                <w:sz w:val="18"/>
                <w:szCs w:val="18"/>
              </w:rPr>
            </w:pPr>
            <w:r>
              <w:rPr>
                <w:rFonts w:hint="eastAsia"/>
                <w:color w:val="000000"/>
                <w:kern w:val="0"/>
                <w:sz w:val="18"/>
                <w:szCs w:val="18"/>
              </w:rPr>
              <w:t>　   第五条　县级以上人民政府生态环境主管部门对大气污染防治实施统一监督管理。</w:t>
            </w:r>
          </w:p>
          <w:p w14:paraId="7354F09A">
            <w:pPr>
              <w:spacing w:line="320" w:lineRule="exact"/>
              <w:jc w:val="left"/>
              <w:rPr>
                <w:color w:val="000000"/>
                <w:kern w:val="0"/>
                <w:sz w:val="18"/>
                <w:szCs w:val="18"/>
              </w:rPr>
            </w:pPr>
            <w:r>
              <w:rPr>
                <w:rFonts w:hint="eastAsia"/>
                <w:color w:val="000000"/>
                <w:kern w:val="0"/>
                <w:sz w:val="18"/>
                <w:szCs w:val="18"/>
              </w:rPr>
              <w:t>　　县级以上人民政府其他有关部门在各自职责范围内对大气污染防治实施监督管理。</w:t>
            </w:r>
          </w:p>
          <w:p w14:paraId="457D89FA">
            <w:pPr>
              <w:spacing w:line="320" w:lineRule="exact"/>
              <w:jc w:val="left"/>
              <w:rPr>
                <w:color w:val="000000"/>
                <w:kern w:val="0"/>
                <w:sz w:val="18"/>
                <w:szCs w:val="18"/>
              </w:rPr>
            </w:pPr>
            <w:r>
              <w:rPr>
                <w:rFonts w:hint="eastAsia"/>
                <w:color w:val="000000"/>
                <w:kern w:val="0"/>
                <w:sz w:val="18"/>
                <w:szCs w:val="18"/>
              </w:rPr>
              <w:t xml:space="preserve">         第九十八条　违反本法规定，以拒绝进入现场等方式拒不接受生态环境主管部门及其环境执法机构或者其他负有大气环境保护监督管理职责的部门的监督检查，或者在接受监督检查时弄虚作假的，由县级以上人民政府生态环境主管部门或者其他负有大气环境保护监督管理职责的部门责令改正，处二万元以上二十万元以下的罚款；构成违反治安管理行为的，由公安机关依法予以处罚。</w:t>
            </w:r>
          </w:p>
          <w:p w14:paraId="4E501DAA">
            <w:pPr>
              <w:spacing w:line="320" w:lineRule="exact"/>
              <w:jc w:val="left"/>
              <w:rPr>
                <w:color w:val="000000"/>
                <w:kern w:val="0"/>
                <w:sz w:val="18"/>
                <w:szCs w:val="18"/>
              </w:rPr>
            </w:pPr>
            <w:r>
              <w:rPr>
                <w:rFonts w:hint="eastAsia"/>
                <w:color w:val="000000"/>
                <w:kern w:val="0"/>
                <w:sz w:val="18"/>
                <w:szCs w:val="18"/>
              </w:rPr>
              <w:t xml:space="preserve">  【地方性法规】《江苏省大气污染防治条例》</w:t>
            </w:r>
          </w:p>
          <w:p w14:paraId="0A41114F">
            <w:pPr>
              <w:spacing w:line="320" w:lineRule="exact"/>
              <w:jc w:val="left"/>
              <w:rPr>
                <w:color w:val="000000"/>
                <w:kern w:val="0"/>
                <w:sz w:val="18"/>
                <w:szCs w:val="18"/>
              </w:rPr>
            </w:pPr>
            <w:r>
              <w:rPr>
                <w:rFonts w:hint="eastAsia"/>
                <w:color w:val="000000"/>
                <w:kern w:val="0"/>
                <w:sz w:val="18"/>
                <w:szCs w:val="18"/>
              </w:rPr>
              <w:t xml:space="preserve">         第五条第四款  县级以上地方人民政府公安、交通运输、渔业、住房城乡建设、农业（农机）部门根据各自职责，对机动车船以及非道路移动机械大气污染防治实施监督管理。</w:t>
            </w:r>
          </w:p>
          <w:p w14:paraId="2EB7CD6A">
            <w:pPr>
              <w:spacing w:line="320" w:lineRule="exact"/>
              <w:jc w:val="left"/>
              <w:rPr>
                <w:color w:val="000000"/>
                <w:kern w:val="0"/>
                <w:sz w:val="18"/>
                <w:szCs w:val="18"/>
              </w:rPr>
            </w:pPr>
            <w:r>
              <w:rPr>
                <w:rFonts w:hint="eastAsia"/>
                <w:color w:val="000000"/>
                <w:kern w:val="0"/>
                <w:sz w:val="18"/>
                <w:szCs w:val="18"/>
              </w:rPr>
              <w:t xml:space="preserve">        第五款 县级以上地方人民政府住房城乡建设、国土资源、交通运输、公安、水利、林业、城市管理部门根据各自职责，对扬尘大气污染防治实施监督管理。</w:t>
            </w:r>
          </w:p>
        </w:tc>
      </w:tr>
      <w:tr w14:paraId="2065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AC703A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137F603">
            <w:pPr>
              <w:spacing w:line="320" w:lineRule="exact"/>
              <w:jc w:val="left"/>
              <w:rPr>
                <w:color w:val="000000"/>
                <w:kern w:val="0"/>
                <w:sz w:val="18"/>
                <w:szCs w:val="18"/>
              </w:rPr>
            </w:pPr>
            <w:r>
              <w:rPr>
                <w:rFonts w:hint="eastAsia"/>
                <w:color w:val="000000"/>
                <w:kern w:val="0"/>
                <w:sz w:val="18"/>
                <w:szCs w:val="18"/>
              </w:rPr>
              <w:t>责令改正，罚款</w:t>
            </w:r>
          </w:p>
        </w:tc>
      </w:tr>
      <w:tr w14:paraId="3E8E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FA28A0A">
            <w:pPr>
              <w:spacing w:line="320" w:lineRule="exact"/>
              <w:jc w:val="center"/>
              <w:rPr>
                <w:color w:val="000000"/>
                <w:kern w:val="0"/>
                <w:sz w:val="18"/>
                <w:szCs w:val="18"/>
              </w:rPr>
            </w:pPr>
            <w:r>
              <w:rPr>
                <w:rFonts w:hint="eastAsia"/>
                <w:color w:val="000000"/>
                <w:kern w:val="0"/>
                <w:sz w:val="18"/>
                <w:szCs w:val="18"/>
              </w:rPr>
              <w:t>裁量基准</w:t>
            </w:r>
          </w:p>
        </w:tc>
      </w:tr>
      <w:tr w14:paraId="0BE1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010" w:type="dxa"/>
            <w:vMerge w:val="restart"/>
            <w:vAlign w:val="center"/>
          </w:tcPr>
          <w:p w14:paraId="74223A35">
            <w:pPr>
              <w:rPr>
                <w:color w:val="000000"/>
                <w:kern w:val="0"/>
                <w:sz w:val="18"/>
                <w:szCs w:val="18"/>
              </w:rPr>
            </w:pPr>
            <w:r>
              <w:rPr>
                <w:rFonts w:hint="eastAsia"/>
                <w:color w:val="000000"/>
                <w:kern w:val="0"/>
                <w:sz w:val="18"/>
                <w:szCs w:val="18"/>
              </w:rPr>
              <w:t>情形描述</w:t>
            </w:r>
          </w:p>
        </w:tc>
        <w:tc>
          <w:tcPr>
            <w:tcW w:w="6376" w:type="dxa"/>
            <w:vAlign w:val="center"/>
          </w:tcPr>
          <w:p w14:paraId="21BEE85E">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3157A326">
            <w:pPr>
              <w:rPr>
                <w:color w:val="000000"/>
                <w:kern w:val="0"/>
                <w:sz w:val="18"/>
                <w:szCs w:val="18"/>
              </w:rPr>
            </w:pPr>
            <w:r>
              <w:rPr>
                <w:rFonts w:hint="eastAsia"/>
                <w:color w:val="000000"/>
                <w:kern w:val="0"/>
                <w:sz w:val="18"/>
                <w:szCs w:val="18"/>
              </w:rPr>
              <w:t>裁量幅度</w:t>
            </w:r>
          </w:p>
        </w:tc>
        <w:tc>
          <w:tcPr>
            <w:tcW w:w="5614" w:type="dxa"/>
            <w:vAlign w:val="center"/>
          </w:tcPr>
          <w:p w14:paraId="296937E8">
            <w:pPr>
              <w:rPr>
                <w:color w:val="000000"/>
                <w:kern w:val="0"/>
                <w:sz w:val="18"/>
                <w:szCs w:val="18"/>
              </w:rPr>
            </w:pPr>
            <w:r>
              <w:rPr>
                <w:rFonts w:hint="eastAsia"/>
                <w:color w:val="000000"/>
                <w:kern w:val="0"/>
                <w:sz w:val="18"/>
                <w:szCs w:val="18"/>
              </w:rPr>
              <w:t>处2万元以上10万元以下的罚款</w:t>
            </w:r>
          </w:p>
        </w:tc>
      </w:tr>
      <w:tr w14:paraId="356F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010" w:type="dxa"/>
            <w:vMerge w:val="continue"/>
            <w:vAlign w:val="center"/>
          </w:tcPr>
          <w:p w14:paraId="4537867E">
            <w:pPr>
              <w:spacing w:line="320" w:lineRule="exact"/>
              <w:jc w:val="left"/>
              <w:rPr>
                <w:color w:val="000000"/>
                <w:kern w:val="0"/>
                <w:sz w:val="18"/>
                <w:szCs w:val="18"/>
              </w:rPr>
            </w:pPr>
          </w:p>
        </w:tc>
        <w:tc>
          <w:tcPr>
            <w:tcW w:w="6376" w:type="dxa"/>
            <w:vAlign w:val="center"/>
          </w:tcPr>
          <w:p w14:paraId="51526757">
            <w:pPr>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5D636447">
            <w:pPr>
              <w:spacing w:line="320" w:lineRule="exact"/>
              <w:jc w:val="left"/>
              <w:rPr>
                <w:color w:val="000000"/>
                <w:kern w:val="0"/>
                <w:sz w:val="18"/>
                <w:szCs w:val="18"/>
              </w:rPr>
            </w:pPr>
          </w:p>
        </w:tc>
        <w:tc>
          <w:tcPr>
            <w:tcW w:w="5614" w:type="dxa"/>
            <w:vAlign w:val="center"/>
          </w:tcPr>
          <w:p w14:paraId="6A59AC47">
            <w:pPr>
              <w:rPr>
                <w:color w:val="000000"/>
                <w:kern w:val="0"/>
                <w:sz w:val="18"/>
                <w:szCs w:val="18"/>
              </w:rPr>
            </w:pPr>
            <w:r>
              <w:rPr>
                <w:rFonts w:hint="eastAsia"/>
                <w:color w:val="000000"/>
                <w:kern w:val="0"/>
                <w:sz w:val="18"/>
                <w:szCs w:val="18"/>
              </w:rPr>
              <w:t>处10万元以上20万元以下的罚款</w:t>
            </w:r>
          </w:p>
        </w:tc>
      </w:tr>
    </w:tbl>
    <w:p w14:paraId="21556ACD"/>
    <w:p w14:paraId="0D06B865"/>
    <w:p w14:paraId="0EDD4485"/>
    <w:p w14:paraId="7C55B40F"/>
    <w:p w14:paraId="5DCE4E5E"/>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0FD3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4BAF4C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4C37BAE">
            <w:pPr>
              <w:spacing w:line="320" w:lineRule="exact"/>
              <w:rPr>
                <w:rFonts w:eastAsia="仿宋_GB2312"/>
                <w:b/>
                <w:bCs/>
                <w:color w:val="000000"/>
                <w:kern w:val="0"/>
                <w:sz w:val="18"/>
                <w:szCs w:val="18"/>
              </w:rPr>
            </w:pPr>
            <w:r>
              <w:rPr>
                <w:rFonts w:eastAsia="仿宋_GB2312"/>
                <w:b/>
                <w:bCs/>
                <w:color w:val="000000"/>
                <w:kern w:val="0"/>
                <w:sz w:val="18"/>
                <w:szCs w:val="18"/>
              </w:rPr>
              <w:t>320217883000</w:t>
            </w:r>
          </w:p>
        </w:tc>
      </w:tr>
      <w:tr w14:paraId="18E8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88B9A90">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0E8F351D">
            <w:pPr>
              <w:spacing w:line="320" w:lineRule="exact"/>
              <w:jc w:val="left"/>
              <w:rPr>
                <w:color w:val="000000"/>
                <w:spacing w:val="-6"/>
                <w:kern w:val="0"/>
                <w:sz w:val="18"/>
                <w:szCs w:val="18"/>
              </w:rPr>
            </w:pPr>
            <w:r>
              <w:rPr>
                <w:rFonts w:hint="eastAsia"/>
                <w:color w:val="000000"/>
                <w:spacing w:val="-6"/>
                <w:kern w:val="0"/>
                <w:sz w:val="18"/>
                <w:szCs w:val="18"/>
              </w:rPr>
              <w:t>对建设单位或者施工总承包单位拒不提供或者无法提供工程施工合同、农民工工资专用账户有关资料的处罚</w:t>
            </w:r>
          </w:p>
        </w:tc>
      </w:tr>
      <w:tr w14:paraId="124E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0BDF11A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350947F">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14:paraId="152E41B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14:paraId="685044A0">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第二十四条第二款　建设单位与施工总承包单位依法订立书面工程施工合同，应当约定工程款计量周期、工程款进度结算办法以及人工费用拨付周期，并按照保障农民工工资按时足额支付的要求约定人工费用。人工费用拨付周期不得超过</w:t>
            </w:r>
            <w:r>
              <w:rPr>
                <w:color w:val="000000"/>
                <w:kern w:val="0"/>
                <w:sz w:val="18"/>
                <w:szCs w:val="18"/>
              </w:rPr>
              <w:t>1</w:t>
            </w:r>
            <w:r>
              <w:rPr>
                <w:rFonts w:hint="eastAsia"/>
                <w:color w:val="000000"/>
                <w:kern w:val="0"/>
                <w:sz w:val="18"/>
                <w:szCs w:val="18"/>
              </w:rPr>
              <w:t>个月。</w:t>
            </w:r>
          </w:p>
          <w:p w14:paraId="61835CE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建设单位与施工总承包单位应当将工程施工合同保存备查。</w:t>
            </w:r>
          </w:p>
          <w:p w14:paraId="221ACC4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第二十六条　施工总承包单位应当按照有关规定开设农民工工资专用账户，专项用于支付该工程建设项目农民工工资。</w:t>
            </w:r>
          </w:p>
          <w:p w14:paraId="5F2740A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14:paraId="1AD03FEE">
            <w:pPr>
              <w:spacing w:line="320" w:lineRule="exact"/>
              <w:jc w:val="left"/>
              <w:rPr>
                <w:color w:val="000000"/>
                <w:kern w:val="0"/>
                <w:sz w:val="18"/>
                <w:szCs w:val="18"/>
              </w:rPr>
            </w:pPr>
            <w:r>
              <w:rPr>
                <w:rFonts w:hint="eastAsia"/>
                <w:color w:val="000000"/>
                <w:kern w:val="0"/>
                <w:sz w:val="18"/>
                <w:szCs w:val="18"/>
              </w:rPr>
              <w:t>开设、使用农民工工资专用账户有关资料应当由施工总承包单位妥善保存备查。</w:t>
            </w:r>
          </w:p>
          <w:p w14:paraId="3AC33F7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14:paraId="655A79E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（三）建设单位或者施工总承包单位拒不提供或者无法提供工程施工合同、农民工工资专用账户有关资料。</w:t>
            </w:r>
          </w:p>
        </w:tc>
      </w:tr>
      <w:tr w14:paraId="6447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FE956F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679B20D2">
            <w:pPr>
              <w:spacing w:line="320" w:lineRule="exact"/>
              <w:jc w:val="left"/>
              <w:rPr>
                <w:color w:val="000000"/>
                <w:kern w:val="0"/>
                <w:sz w:val="18"/>
                <w:szCs w:val="18"/>
              </w:rPr>
            </w:pPr>
            <w:r>
              <w:rPr>
                <w:rFonts w:hint="eastAsia"/>
                <w:color w:val="000000"/>
                <w:kern w:val="0"/>
                <w:sz w:val="18"/>
                <w:szCs w:val="18"/>
              </w:rPr>
              <w:t>责令限期改正，责令停工，罚款</w:t>
            </w:r>
          </w:p>
        </w:tc>
      </w:tr>
      <w:tr w14:paraId="78D8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E1CBE95">
            <w:pPr>
              <w:spacing w:line="320" w:lineRule="exact"/>
              <w:jc w:val="center"/>
              <w:rPr>
                <w:color w:val="000000"/>
                <w:kern w:val="0"/>
                <w:sz w:val="18"/>
                <w:szCs w:val="18"/>
              </w:rPr>
            </w:pPr>
            <w:r>
              <w:rPr>
                <w:rFonts w:hint="eastAsia"/>
                <w:color w:val="000000"/>
                <w:kern w:val="0"/>
                <w:sz w:val="18"/>
                <w:szCs w:val="18"/>
              </w:rPr>
              <w:t>裁量基准</w:t>
            </w:r>
          </w:p>
        </w:tc>
      </w:tr>
      <w:tr w14:paraId="604F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010" w:type="dxa"/>
            <w:vMerge w:val="restart"/>
            <w:vAlign w:val="center"/>
          </w:tcPr>
          <w:p w14:paraId="10B4FEA1">
            <w:pPr>
              <w:rPr>
                <w:color w:val="000000"/>
                <w:kern w:val="0"/>
                <w:sz w:val="18"/>
                <w:szCs w:val="18"/>
              </w:rPr>
            </w:pPr>
            <w:r>
              <w:rPr>
                <w:rFonts w:hint="eastAsia"/>
                <w:color w:val="000000"/>
                <w:kern w:val="0"/>
                <w:sz w:val="18"/>
                <w:szCs w:val="18"/>
              </w:rPr>
              <w:t>情形描述</w:t>
            </w:r>
          </w:p>
        </w:tc>
        <w:tc>
          <w:tcPr>
            <w:tcW w:w="6376" w:type="dxa"/>
            <w:vAlign w:val="center"/>
          </w:tcPr>
          <w:p w14:paraId="440A3BD2">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14:paraId="62FF5DE1">
            <w:pPr>
              <w:rPr>
                <w:color w:val="000000"/>
                <w:kern w:val="0"/>
                <w:sz w:val="18"/>
                <w:szCs w:val="18"/>
              </w:rPr>
            </w:pPr>
            <w:r>
              <w:rPr>
                <w:rFonts w:hint="eastAsia"/>
                <w:color w:val="000000"/>
                <w:kern w:val="0"/>
                <w:sz w:val="18"/>
                <w:szCs w:val="18"/>
              </w:rPr>
              <w:t>裁量幅度</w:t>
            </w:r>
          </w:p>
        </w:tc>
        <w:tc>
          <w:tcPr>
            <w:tcW w:w="5614" w:type="dxa"/>
            <w:vAlign w:val="center"/>
          </w:tcPr>
          <w:p w14:paraId="5FB209A6">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2D8A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B498442">
            <w:pPr>
              <w:spacing w:line="320" w:lineRule="exact"/>
              <w:jc w:val="left"/>
              <w:rPr>
                <w:color w:val="000000"/>
                <w:kern w:val="0"/>
                <w:sz w:val="18"/>
                <w:szCs w:val="18"/>
              </w:rPr>
            </w:pPr>
          </w:p>
        </w:tc>
        <w:tc>
          <w:tcPr>
            <w:tcW w:w="6376" w:type="dxa"/>
            <w:vAlign w:val="center"/>
          </w:tcPr>
          <w:p w14:paraId="33F228DC">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continue"/>
            <w:vAlign w:val="center"/>
          </w:tcPr>
          <w:p w14:paraId="160F5FA3">
            <w:pPr>
              <w:spacing w:line="320" w:lineRule="exact"/>
              <w:jc w:val="left"/>
              <w:rPr>
                <w:color w:val="000000"/>
                <w:kern w:val="0"/>
                <w:sz w:val="18"/>
                <w:szCs w:val="18"/>
              </w:rPr>
            </w:pPr>
          </w:p>
        </w:tc>
        <w:tc>
          <w:tcPr>
            <w:tcW w:w="5614" w:type="dxa"/>
            <w:vAlign w:val="center"/>
          </w:tcPr>
          <w:p w14:paraId="7DC9390A">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4B4A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2B58E6DE">
            <w:pPr>
              <w:spacing w:line="320" w:lineRule="exact"/>
              <w:jc w:val="left"/>
              <w:rPr>
                <w:color w:val="000000"/>
                <w:kern w:val="0"/>
                <w:sz w:val="18"/>
                <w:szCs w:val="18"/>
              </w:rPr>
            </w:pPr>
          </w:p>
        </w:tc>
        <w:tc>
          <w:tcPr>
            <w:tcW w:w="6376" w:type="dxa"/>
            <w:vAlign w:val="center"/>
          </w:tcPr>
          <w:p w14:paraId="6E970C24">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continue"/>
            <w:vAlign w:val="center"/>
          </w:tcPr>
          <w:p w14:paraId="05A03D49">
            <w:pPr>
              <w:spacing w:line="320" w:lineRule="exact"/>
              <w:jc w:val="left"/>
              <w:rPr>
                <w:color w:val="000000"/>
                <w:kern w:val="0"/>
                <w:sz w:val="18"/>
                <w:szCs w:val="18"/>
              </w:rPr>
            </w:pPr>
          </w:p>
        </w:tc>
        <w:tc>
          <w:tcPr>
            <w:tcW w:w="5614" w:type="dxa"/>
            <w:vAlign w:val="center"/>
          </w:tcPr>
          <w:p w14:paraId="2B250CB7">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14:paraId="59BD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21EE121E">
            <w:pPr>
              <w:spacing w:line="320" w:lineRule="exact"/>
              <w:jc w:val="left"/>
              <w:rPr>
                <w:color w:val="000000"/>
                <w:kern w:val="0"/>
                <w:sz w:val="18"/>
                <w:szCs w:val="18"/>
              </w:rPr>
            </w:pPr>
          </w:p>
        </w:tc>
        <w:tc>
          <w:tcPr>
            <w:tcW w:w="6376" w:type="dxa"/>
            <w:vAlign w:val="center"/>
          </w:tcPr>
          <w:p w14:paraId="26CE3FBC">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continue"/>
            <w:vAlign w:val="center"/>
          </w:tcPr>
          <w:p w14:paraId="7364A863">
            <w:pPr>
              <w:spacing w:line="320" w:lineRule="exact"/>
              <w:jc w:val="left"/>
              <w:rPr>
                <w:color w:val="000000"/>
                <w:kern w:val="0"/>
                <w:sz w:val="18"/>
                <w:szCs w:val="18"/>
              </w:rPr>
            </w:pPr>
          </w:p>
        </w:tc>
        <w:tc>
          <w:tcPr>
            <w:tcW w:w="5614" w:type="dxa"/>
            <w:vAlign w:val="center"/>
          </w:tcPr>
          <w:p w14:paraId="7D540A0F">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14:paraId="5813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2063F9CE">
            <w:pPr>
              <w:spacing w:line="320" w:lineRule="exact"/>
              <w:jc w:val="left"/>
              <w:rPr>
                <w:color w:val="000000"/>
                <w:kern w:val="0"/>
                <w:sz w:val="18"/>
                <w:szCs w:val="18"/>
              </w:rPr>
            </w:pPr>
          </w:p>
        </w:tc>
        <w:tc>
          <w:tcPr>
            <w:tcW w:w="6376" w:type="dxa"/>
            <w:vAlign w:val="center"/>
          </w:tcPr>
          <w:p w14:paraId="457C5FB0">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continue"/>
            <w:vAlign w:val="center"/>
          </w:tcPr>
          <w:p w14:paraId="7FCB192D">
            <w:pPr>
              <w:spacing w:line="320" w:lineRule="exact"/>
              <w:jc w:val="left"/>
              <w:rPr>
                <w:color w:val="000000"/>
                <w:kern w:val="0"/>
                <w:sz w:val="18"/>
                <w:szCs w:val="18"/>
              </w:rPr>
            </w:pPr>
          </w:p>
        </w:tc>
        <w:tc>
          <w:tcPr>
            <w:tcW w:w="5614" w:type="dxa"/>
            <w:vAlign w:val="center"/>
          </w:tcPr>
          <w:p w14:paraId="2BF6DAA9">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1EAAFD3A"/>
    <w:p w14:paraId="72E8D865"/>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5D54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4D92B99A">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46647720">
            <w:pPr>
              <w:spacing w:line="320" w:lineRule="exact"/>
              <w:rPr>
                <w:rFonts w:eastAsia="仿宋_GB2312"/>
                <w:b/>
                <w:bCs/>
                <w:color w:val="000000"/>
                <w:kern w:val="0"/>
                <w:sz w:val="18"/>
                <w:szCs w:val="18"/>
              </w:rPr>
            </w:pPr>
            <w:r>
              <w:rPr>
                <w:rFonts w:eastAsia="仿宋_GB2312"/>
                <w:b/>
                <w:bCs/>
                <w:color w:val="000000"/>
                <w:kern w:val="0"/>
                <w:sz w:val="18"/>
                <w:szCs w:val="18"/>
              </w:rPr>
              <w:t>320217884000</w:t>
            </w:r>
          </w:p>
        </w:tc>
      </w:tr>
      <w:tr w14:paraId="1CFC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CC07FBA">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995390E">
            <w:pPr>
              <w:spacing w:line="320" w:lineRule="exact"/>
              <w:jc w:val="left"/>
              <w:rPr>
                <w:color w:val="000000"/>
                <w:spacing w:val="-6"/>
                <w:kern w:val="0"/>
                <w:sz w:val="18"/>
                <w:szCs w:val="18"/>
              </w:rPr>
            </w:pPr>
            <w:r>
              <w:rPr>
                <w:rFonts w:hint="eastAsia"/>
                <w:color w:val="000000"/>
                <w:spacing w:val="-6"/>
                <w:kern w:val="0"/>
                <w:sz w:val="18"/>
                <w:szCs w:val="18"/>
              </w:rPr>
              <w:t>对建设单位未按约定及时足额向农民工工资专用账户拨付工程款中的人工费用的处罚</w:t>
            </w:r>
          </w:p>
        </w:tc>
      </w:tr>
      <w:tr w14:paraId="6FC1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2C0BC4E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467AC90">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14:paraId="20DD8972">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14:paraId="7F7AF1B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第二十九条第一款　建设单位应当按照合同约定及时拨付工程款，并将人工费用及时足额拨付至农民工工资专用账户，加强对施工总承包单位按时足额支付农民工工资的监督。</w:t>
            </w:r>
          </w:p>
          <w:p w14:paraId="663A8AD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14:paraId="483E144B">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14:paraId="6245404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（二）建设单位未按约定及时足额向农民工工资专用账户拨付工程款中的人工费用；</w:t>
            </w:r>
          </w:p>
        </w:tc>
      </w:tr>
      <w:tr w14:paraId="2AF4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8CBEEB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313F288">
            <w:pPr>
              <w:spacing w:line="320" w:lineRule="exact"/>
              <w:jc w:val="left"/>
              <w:rPr>
                <w:color w:val="000000"/>
                <w:kern w:val="0"/>
                <w:sz w:val="18"/>
                <w:szCs w:val="18"/>
              </w:rPr>
            </w:pPr>
            <w:r>
              <w:rPr>
                <w:rFonts w:hint="eastAsia"/>
                <w:color w:val="000000"/>
                <w:kern w:val="0"/>
                <w:sz w:val="18"/>
                <w:szCs w:val="18"/>
              </w:rPr>
              <w:t>责令限期改正，责令停工，罚款</w:t>
            </w:r>
          </w:p>
        </w:tc>
      </w:tr>
      <w:tr w14:paraId="77EC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1D2D7D8C">
            <w:pPr>
              <w:spacing w:line="320" w:lineRule="exact"/>
              <w:jc w:val="center"/>
              <w:rPr>
                <w:color w:val="000000"/>
                <w:kern w:val="0"/>
                <w:sz w:val="18"/>
                <w:szCs w:val="18"/>
              </w:rPr>
            </w:pPr>
            <w:r>
              <w:rPr>
                <w:rFonts w:hint="eastAsia"/>
                <w:color w:val="000000"/>
                <w:kern w:val="0"/>
                <w:sz w:val="18"/>
                <w:szCs w:val="18"/>
              </w:rPr>
              <w:t>裁量基准</w:t>
            </w:r>
          </w:p>
        </w:tc>
      </w:tr>
      <w:tr w14:paraId="4C4D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010" w:type="dxa"/>
            <w:vMerge w:val="restart"/>
            <w:vAlign w:val="center"/>
          </w:tcPr>
          <w:p w14:paraId="2799DC01">
            <w:pPr>
              <w:rPr>
                <w:color w:val="000000"/>
                <w:kern w:val="0"/>
                <w:sz w:val="18"/>
                <w:szCs w:val="18"/>
              </w:rPr>
            </w:pPr>
            <w:r>
              <w:rPr>
                <w:rFonts w:hint="eastAsia"/>
                <w:color w:val="000000"/>
                <w:kern w:val="0"/>
                <w:sz w:val="18"/>
                <w:szCs w:val="18"/>
              </w:rPr>
              <w:t>情形描述</w:t>
            </w:r>
          </w:p>
        </w:tc>
        <w:tc>
          <w:tcPr>
            <w:tcW w:w="6376" w:type="dxa"/>
            <w:vAlign w:val="center"/>
          </w:tcPr>
          <w:p w14:paraId="2E806FFC">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14:paraId="35FCFEF7">
            <w:pPr>
              <w:rPr>
                <w:color w:val="000000"/>
                <w:kern w:val="0"/>
                <w:sz w:val="18"/>
                <w:szCs w:val="18"/>
              </w:rPr>
            </w:pPr>
            <w:r>
              <w:rPr>
                <w:rFonts w:hint="eastAsia"/>
                <w:color w:val="000000"/>
                <w:kern w:val="0"/>
                <w:sz w:val="18"/>
                <w:szCs w:val="18"/>
              </w:rPr>
              <w:t>裁量幅度</w:t>
            </w:r>
          </w:p>
        </w:tc>
        <w:tc>
          <w:tcPr>
            <w:tcW w:w="5614" w:type="dxa"/>
            <w:vAlign w:val="center"/>
          </w:tcPr>
          <w:p w14:paraId="21F6CA72">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26D6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474D6ED9">
            <w:pPr>
              <w:spacing w:line="320" w:lineRule="exact"/>
              <w:jc w:val="left"/>
              <w:rPr>
                <w:color w:val="000000"/>
                <w:kern w:val="0"/>
                <w:sz w:val="18"/>
                <w:szCs w:val="18"/>
              </w:rPr>
            </w:pPr>
          </w:p>
        </w:tc>
        <w:tc>
          <w:tcPr>
            <w:tcW w:w="6376" w:type="dxa"/>
            <w:vAlign w:val="center"/>
          </w:tcPr>
          <w:p w14:paraId="41267324">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continue"/>
            <w:vAlign w:val="center"/>
          </w:tcPr>
          <w:p w14:paraId="2CB708B2">
            <w:pPr>
              <w:spacing w:line="320" w:lineRule="exact"/>
              <w:jc w:val="left"/>
              <w:rPr>
                <w:color w:val="000000"/>
                <w:kern w:val="0"/>
                <w:sz w:val="18"/>
                <w:szCs w:val="18"/>
              </w:rPr>
            </w:pPr>
          </w:p>
        </w:tc>
        <w:tc>
          <w:tcPr>
            <w:tcW w:w="5614" w:type="dxa"/>
            <w:vAlign w:val="center"/>
          </w:tcPr>
          <w:p w14:paraId="1D8C0774">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106C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EBB10F7">
            <w:pPr>
              <w:spacing w:line="320" w:lineRule="exact"/>
              <w:jc w:val="left"/>
              <w:rPr>
                <w:color w:val="000000"/>
                <w:kern w:val="0"/>
                <w:sz w:val="18"/>
                <w:szCs w:val="18"/>
              </w:rPr>
            </w:pPr>
          </w:p>
        </w:tc>
        <w:tc>
          <w:tcPr>
            <w:tcW w:w="6376" w:type="dxa"/>
            <w:vAlign w:val="center"/>
          </w:tcPr>
          <w:p w14:paraId="1AB6E0D7">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continue"/>
            <w:vAlign w:val="center"/>
          </w:tcPr>
          <w:p w14:paraId="4F35184D">
            <w:pPr>
              <w:spacing w:line="320" w:lineRule="exact"/>
              <w:jc w:val="left"/>
              <w:rPr>
                <w:color w:val="000000"/>
                <w:kern w:val="0"/>
                <w:sz w:val="18"/>
                <w:szCs w:val="18"/>
              </w:rPr>
            </w:pPr>
          </w:p>
        </w:tc>
        <w:tc>
          <w:tcPr>
            <w:tcW w:w="5614" w:type="dxa"/>
            <w:vAlign w:val="center"/>
          </w:tcPr>
          <w:p w14:paraId="53D1DA7C">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14:paraId="0DF2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035E4A71">
            <w:pPr>
              <w:spacing w:line="320" w:lineRule="exact"/>
              <w:jc w:val="left"/>
              <w:rPr>
                <w:color w:val="000000"/>
                <w:kern w:val="0"/>
                <w:sz w:val="18"/>
                <w:szCs w:val="18"/>
              </w:rPr>
            </w:pPr>
          </w:p>
        </w:tc>
        <w:tc>
          <w:tcPr>
            <w:tcW w:w="6376" w:type="dxa"/>
            <w:vAlign w:val="center"/>
          </w:tcPr>
          <w:p w14:paraId="394A0438">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continue"/>
            <w:vAlign w:val="center"/>
          </w:tcPr>
          <w:p w14:paraId="18B2C9F2">
            <w:pPr>
              <w:spacing w:line="320" w:lineRule="exact"/>
              <w:jc w:val="left"/>
              <w:rPr>
                <w:color w:val="000000"/>
                <w:kern w:val="0"/>
                <w:sz w:val="18"/>
                <w:szCs w:val="18"/>
              </w:rPr>
            </w:pPr>
          </w:p>
        </w:tc>
        <w:tc>
          <w:tcPr>
            <w:tcW w:w="5614" w:type="dxa"/>
            <w:vAlign w:val="center"/>
          </w:tcPr>
          <w:p w14:paraId="1E219B0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14:paraId="2912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5809D89">
            <w:pPr>
              <w:spacing w:line="320" w:lineRule="exact"/>
              <w:jc w:val="left"/>
              <w:rPr>
                <w:color w:val="000000"/>
                <w:kern w:val="0"/>
                <w:sz w:val="18"/>
                <w:szCs w:val="18"/>
              </w:rPr>
            </w:pPr>
          </w:p>
        </w:tc>
        <w:tc>
          <w:tcPr>
            <w:tcW w:w="6376" w:type="dxa"/>
            <w:vAlign w:val="center"/>
          </w:tcPr>
          <w:p w14:paraId="41397DEE">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continue"/>
            <w:vAlign w:val="center"/>
          </w:tcPr>
          <w:p w14:paraId="3B8CE01A">
            <w:pPr>
              <w:spacing w:line="320" w:lineRule="exact"/>
              <w:jc w:val="left"/>
              <w:rPr>
                <w:color w:val="000000"/>
                <w:kern w:val="0"/>
                <w:sz w:val="18"/>
                <w:szCs w:val="18"/>
              </w:rPr>
            </w:pPr>
          </w:p>
        </w:tc>
        <w:tc>
          <w:tcPr>
            <w:tcW w:w="5614" w:type="dxa"/>
            <w:vAlign w:val="center"/>
          </w:tcPr>
          <w:p w14:paraId="00E9CFEF">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054AF382"/>
    <w:p w14:paraId="0BE3E007"/>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73B6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579C38D">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D790662">
            <w:pPr>
              <w:spacing w:line="320" w:lineRule="exact"/>
              <w:rPr>
                <w:rFonts w:eastAsia="仿宋_GB2312"/>
                <w:b/>
                <w:bCs/>
                <w:color w:val="000000"/>
                <w:kern w:val="0"/>
                <w:sz w:val="18"/>
                <w:szCs w:val="18"/>
              </w:rPr>
            </w:pPr>
            <w:r>
              <w:rPr>
                <w:rFonts w:eastAsia="仿宋_GB2312"/>
                <w:b/>
                <w:bCs/>
                <w:color w:val="000000"/>
                <w:kern w:val="0"/>
                <w:sz w:val="18"/>
                <w:szCs w:val="18"/>
              </w:rPr>
              <w:t>320217885000</w:t>
            </w:r>
          </w:p>
        </w:tc>
      </w:tr>
      <w:tr w14:paraId="5B98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3E3DF2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F1B0F12">
            <w:pPr>
              <w:spacing w:line="320" w:lineRule="exact"/>
              <w:jc w:val="left"/>
              <w:rPr>
                <w:color w:val="000000"/>
                <w:spacing w:val="-6"/>
                <w:kern w:val="0"/>
                <w:sz w:val="18"/>
                <w:szCs w:val="18"/>
              </w:rPr>
            </w:pPr>
            <w:r>
              <w:rPr>
                <w:rFonts w:hint="eastAsia"/>
                <w:color w:val="000000"/>
                <w:spacing w:val="-6"/>
                <w:kern w:val="0"/>
                <w:sz w:val="18"/>
                <w:szCs w:val="18"/>
              </w:rPr>
              <w:t>对施工总承包单位未对分包单位劳动用工实施监督管理的处罚</w:t>
            </w:r>
          </w:p>
        </w:tc>
      </w:tr>
      <w:tr w14:paraId="0539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10A6F33C">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5ABBCEA">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14:paraId="7C576DEF">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14:paraId="35787CF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第三十条第二款　施工总承包单位对分包单位劳动用工和工资发放等情况进行监督。</w:t>
            </w:r>
          </w:p>
          <w:p w14:paraId="7812628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14:paraId="7A48CE7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14:paraId="176A8C35">
            <w:pPr>
              <w:spacing w:line="320" w:lineRule="exact"/>
              <w:jc w:val="left"/>
              <w:rPr>
                <w:color w:val="000000"/>
                <w:kern w:val="0"/>
                <w:sz w:val="18"/>
                <w:szCs w:val="18"/>
              </w:rPr>
            </w:pPr>
            <w:r>
              <w:rPr>
                <w:rFonts w:hint="eastAsia"/>
                <w:color w:val="000000"/>
                <w:kern w:val="0"/>
                <w:sz w:val="18"/>
                <w:szCs w:val="18"/>
              </w:rPr>
              <w:t>（二）施工总承包单位未对分包单位劳动用工实施监督管理；</w:t>
            </w:r>
          </w:p>
        </w:tc>
      </w:tr>
      <w:tr w14:paraId="24B7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DAE6E0C">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7BC77AD">
            <w:pPr>
              <w:spacing w:line="320" w:lineRule="exact"/>
              <w:jc w:val="left"/>
              <w:rPr>
                <w:color w:val="000000"/>
                <w:kern w:val="0"/>
                <w:sz w:val="18"/>
                <w:szCs w:val="18"/>
              </w:rPr>
            </w:pPr>
            <w:r>
              <w:rPr>
                <w:rFonts w:hint="eastAsia"/>
                <w:color w:val="000000"/>
                <w:kern w:val="0"/>
                <w:sz w:val="18"/>
                <w:szCs w:val="18"/>
              </w:rPr>
              <w:t>责令限期改正，罚款</w:t>
            </w:r>
          </w:p>
        </w:tc>
      </w:tr>
      <w:tr w14:paraId="547B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022C230">
            <w:pPr>
              <w:spacing w:line="320" w:lineRule="exact"/>
              <w:jc w:val="center"/>
              <w:rPr>
                <w:color w:val="000000"/>
                <w:kern w:val="0"/>
                <w:sz w:val="18"/>
                <w:szCs w:val="18"/>
              </w:rPr>
            </w:pPr>
            <w:r>
              <w:rPr>
                <w:rFonts w:hint="eastAsia"/>
                <w:color w:val="000000"/>
                <w:kern w:val="0"/>
                <w:sz w:val="18"/>
                <w:szCs w:val="18"/>
              </w:rPr>
              <w:t>裁量基准</w:t>
            </w:r>
          </w:p>
        </w:tc>
      </w:tr>
      <w:tr w14:paraId="318D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59E8B09A">
            <w:pPr>
              <w:rPr>
                <w:color w:val="000000"/>
                <w:kern w:val="0"/>
                <w:sz w:val="18"/>
                <w:szCs w:val="18"/>
              </w:rPr>
            </w:pPr>
            <w:r>
              <w:rPr>
                <w:rFonts w:hint="eastAsia"/>
                <w:color w:val="000000"/>
                <w:kern w:val="0"/>
                <w:sz w:val="18"/>
                <w:szCs w:val="18"/>
              </w:rPr>
              <w:t>情形描述</w:t>
            </w:r>
          </w:p>
        </w:tc>
        <w:tc>
          <w:tcPr>
            <w:tcW w:w="6376" w:type="dxa"/>
            <w:vAlign w:val="center"/>
          </w:tcPr>
          <w:p w14:paraId="56B0DD33">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14:paraId="6C79652E">
            <w:pPr>
              <w:rPr>
                <w:color w:val="000000"/>
                <w:kern w:val="0"/>
                <w:sz w:val="18"/>
                <w:szCs w:val="18"/>
              </w:rPr>
            </w:pPr>
            <w:r>
              <w:rPr>
                <w:rFonts w:hint="eastAsia"/>
                <w:color w:val="000000"/>
                <w:kern w:val="0"/>
                <w:sz w:val="18"/>
                <w:szCs w:val="18"/>
              </w:rPr>
              <w:t>裁量幅度</w:t>
            </w:r>
          </w:p>
        </w:tc>
        <w:tc>
          <w:tcPr>
            <w:tcW w:w="5614" w:type="dxa"/>
            <w:vAlign w:val="center"/>
          </w:tcPr>
          <w:p w14:paraId="2DC0E790">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62F22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010" w:type="dxa"/>
            <w:vMerge w:val="continue"/>
            <w:vAlign w:val="center"/>
          </w:tcPr>
          <w:p w14:paraId="291FC655">
            <w:pPr>
              <w:spacing w:line="320" w:lineRule="exact"/>
              <w:jc w:val="left"/>
              <w:rPr>
                <w:color w:val="000000"/>
                <w:kern w:val="0"/>
                <w:sz w:val="18"/>
                <w:szCs w:val="18"/>
              </w:rPr>
            </w:pPr>
          </w:p>
        </w:tc>
        <w:tc>
          <w:tcPr>
            <w:tcW w:w="6376" w:type="dxa"/>
            <w:vAlign w:val="center"/>
          </w:tcPr>
          <w:p w14:paraId="78661E9A">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continue"/>
            <w:vAlign w:val="center"/>
          </w:tcPr>
          <w:p w14:paraId="3A5ADB0C">
            <w:pPr>
              <w:spacing w:line="320" w:lineRule="exact"/>
              <w:jc w:val="left"/>
              <w:rPr>
                <w:color w:val="000000"/>
                <w:kern w:val="0"/>
                <w:sz w:val="18"/>
                <w:szCs w:val="18"/>
              </w:rPr>
            </w:pPr>
          </w:p>
        </w:tc>
        <w:tc>
          <w:tcPr>
            <w:tcW w:w="5614" w:type="dxa"/>
            <w:vAlign w:val="center"/>
          </w:tcPr>
          <w:p w14:paraId="6233D3C6">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726E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010" w:type="dxa"/>
            <w:vMerge w:val="continue"/>
            <w:vAlign w:val="center"/>
          </w:tcPr>
          <w:p w14:paraId="7CC2443F">
            <w:pPr>
              <w:spacing w:line="320" w:lineRule="exact"/>
              <w:jc w:val="left"/>
              <w:rPr>
                <w:color w:val="000000"/>
                <w:kern w:val="0"/>
                <w:sz w:val="18"/>
                <w:szCs w:val="18"/>
              </w:rPr>
            </w:pPr>
          </w:p>
        </w:tc>
        <w:tc>
          <w:tcPr>
            <w:tcW w:w="6376" w:type="dxa"/>
            <w:vAlign w:val="center"/>
          </w:tcPr>
          <w:p w14:paraId="1D02B5DB">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continue"/>
            <w:vAlign w:val="center"/>
          </w:tcPr>
          <w:p w14:paraId="4A1B3BD4">
            <w:pPr>
              <w:spacing w:line="320" w:lineRule="exact"/>
              <w:jc w:val="left"/>
              <w:rPr>
                <w:color w:val="000000"/>
                <w:kern w:val="0"/>
                <w:sz w:val="18"/>
                <w:szCs w:val="18"/>
              </w:rPr>
            </w:pPr>
          </w:p>
        </w:tc>
        <w:tc>
          <w:tcPr>
            <w:tcW w:w="5614" w:type="dxa"/>
            <w:vAlign w:val="center"/>
          </w:tcPr>
          <w:p w14:paraId="173659FA">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14:paraId="6A3FD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010" w:type="dxa"/>
            <w:vMerge w:val="continue"/>
            <w:vAlign w:val="center"/>
          </w:tcPr>
          <w:p w14:paraId="08276154">
            <w:pPr>
              <w:spacing w:line="320" w:lineRule="exact"/>
              <w:jc w:val="left"/>
              <w:rPr>
                <w:color w:val="000000"/>
                <w:kern w:val="0"/>
                <w:sz w:val="18"/>
                <w:szCs w:val="18"/>
              </w:rPr>
            </w:pPr>
          </w:p>
        </w:tc>
        <w:tc>
          <w:tcPr>
            <w:tcW w:w="6376" w:type="dxa"/>
            <w:vAlign w:val="center"/>
          </w:tcPr>
          <w:p w14:paraId="7E3D0C8B">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continue"/>
            <w:vAlign w:val="center"/>
          </w:tcPr>
          <w:p w14:paraId="5728D822">
            <w:pPr>
              <w:spacing w:line="320" w:lineRule="exact"/>
              <w:jc w:val="left"/>
              <w:rPr>
                <w:color w:val="000000"/>
                <w:kern w:val="0"/>
                <w:sz w:val="18"/>
                <w:szCs w:val="18"/>
              </w:rPr>
            </w:pPr>
          </w:p>
        </w:tc>
        <w:tc>
          <w:tcPr>
            <w:tcW w:w="5614" w:type="dxa"/>
            <w:vAlign w:val="center"/>
          </w:tcPr>
          <w:p w14:paraId="147743F2">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14:paraId="0271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010" w:type="dxa"/>
            <w:vMerge w:val="continue"/>
            <w:vAlign w:val="center"/>
          </w:tcPr>
          <w:p w14:paraId="3FD53051">
            <w:pPr>
              <w:spacing w:line="320" w:lineRule="exact"/>
              <w:jc w:val="left"/>
              <w:rPr>
                <w:color w:val="000000"/>
                <w:kern w:val="0"/>
                <w:sz w:val="18"/>
                <w:szCs w:val="18"/>
              </w:rPr>
            </w:pPr>
          </w:p>
        </w:tc>
        <w:tc>
          <w:tcPr>
            <w:tcW w:w="6376" w:type="dxa"/>
            <w:vAlign w:val="center"/>
          </w:tcPr>
          <w:p w14:paraId="5FBB493A">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continue"/>
            <w:vAlign w:val="center"/>
          </w:tcPr>
          <w:p w14:paraId="516757DE">
            <w:pPr>
              <w:spacing w:line="320" w:lineRule="exact"/>
              <w:jc w:val="left"/>
              <w:rPr>
                <w:color w:val="000000"/>
                <w:kern w:val="0"/>
                <w:sz w:val="18"/>
                <w:szCs w:val="18"/>
              </w:rPr>
            </w:pPr>
          </w:p>
        </w:tc>
        <w:tc>
          <w:tcPr>
            <w:tcW w:w="5614" w:type="dxa"/>
            <w:vAlign w:val="center"/>
          </w:tcPr>
          <w:p w14:paraId="19879492">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4C44CA7F"/>
    <w:p w14:paraId="363285CF"/>
    <w:p w14:paraId="4E7A3531"/>
    <w:p w14:paraId="19DF4EDA"/>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295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7214EB9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D0AD251">
            <w:pPr>
              <w:spacing w:line="320" w:lineRule="exact"/>
              <w:rPr>
                <w:rFonts w:eastAsia="仿宋_GB2312"/>
                <w:b/>
                <w:bCs/>
                <w:color w:val="000000"/>
                <w:kern w:val="0"/>
                <w:sz w:val="18"/>
                <w:szCs w:val="18"/>
              </w:rPr>
            </w:pPr>
            <w:r>
              <w:rPr>
                <w:rFonts w:eastAsia="仿宋_GB2312"/>
                <w:b/>
                <w:bCs/>
                <w:color w:val="000000"/>
                <w:kern w:val="0"/>
                <w:sz w:val="18"/>
                <w:szCs w:val="18"/>
              </w:rPr>
              <w:t>320217886000</w:t>
            </w:r>
          </w:p>
        </w:tc>
      </w:tr>
      <w:tr w14:paraId="6C72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760F22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9625AE0">
            <w:pPr>
              <w:spacing w:line="320" w:lineRule="exact"/>
              <w:jc w:val="left"/>
              <w:rPr>
                <w:color w:val="000000"/>
                <w:spacing w:val="-6"/>
                <w:kern w:val="0"/>
                <w:sz w:val="18"/>
                <w:szCs w:val="18"/>
              </w:rPr>
            </w:pPr>
            <w:r>
              <w:rPr>
                <w:rFonts w:hint="eastAsia"/>
                <w:color w:val="000000"/>
                <w:spacing w:val="-6"/>
                <w:kern w:val="0"/>
                <w:sz w:val="18"/>
                <w:szCs w:val="18"/>
              </w:rPr>
              <w:t>对建设单位未依法提供工程款支付担保的处罚</w:t>
            </w:r>
          </w:p>
        </w:tc>
      </w:tr>
      <w:tr w14:paraId="5E4D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1F0ECDD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353A560">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14:paraId="20EE94C1">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14:paraId="2642482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第二十四条第一款　建设单位应当向施工单位提供工程款支付担保。</w:t>
            </w:r>
          </w:p>
          <w:p w14:paraId="16CF06D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14:paraId="7C28B194">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14:paraId="3DF5BCC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（一）建设单位未依法提供工程款支付担保；</w:t>
            </w:r>
          </w:p>
        </w:tc>
      </w:tr>
      <w:tr w14:paraId="191D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A04EEF5">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57C32D0D">
            <w:pPr>
              <w:spacing w:line="320" w:lineRule="exact"/>
              <w:jc w:val="left"/>
              <w:rPr>
                <w:color w:val="000000"/>
                <w:kern w:val="0"/>
                <w:sz w:val="18"/>
                <w:szCs w:val="18"/>
              </w:rPr>
            </w:pPr>
            <w:r>
              <w:rPr>
                <w:rFonts w:hint="eastAsia"/>
                <w:color w:val="000000"/>
                <w:kern w:val="0"/>
                <w:sz w:val="18"/>
                <w:szCs w:val="18"/>
              </w:rPr>
              <w:t>责令限期改正，责令停工，罚款</w:t>
            </w:r>
          </w:p>
        </w:tc>
      </w:tr>
      <w:tr w14:paraId="38BF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71293BB9">
            <w:pPr>
              <w:spacing w:line="320" w:lineRule="exact"/>
              <w:jc w:val="center"/>
              <w:rPr>
                <w:color w:val="000000"/>
                <w:kern w:val="0"/>
                <w:sz w:val="18"/>
                <w:szCs w:val="18"/>
              </w:rPr>
            </w:pPr>
            <w:r>
              <w:rPr>
                <w:rFonts w:hint="eastAsia"/>
                <w:color w:val="000000"/>
                <w:kern w:val="0"/>
                <w:sz w:val="18"/>
                <w:szCs w:val="18"/>
              </w:rPr>
              <w:t>裁量基准</w:t>
            </w:r>
          </w:p>
        </w:tc>
      </w:tr>
      <w:tr w14:paraId="4E43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010" w:type="dxa"/>
            <w:vMerge w:val="restart"/>
            <w:vAlign w:val="center"/>
          </w:tcPr>
          <w:p w14:paraId="75982575">
            <w:pPr>
              <w:rPr>
                <w:color w:val="000000"/>
                <w:kern w:val="0"/>
                <w:sz w:val="18"/>
                <w:szCs w:val="18"/>
              </w:rPr>
            </w:pPr>
            <w:r>
              <w:rPr>
                <w:rFonts w:hint="eastAsia"/>
                <w:color w:val="000000"/>
                <w:kern w:val="0"/>
                <w:sz w:val="18"/>
                <w:szCs w:val="18"/>
              </w:rPr>
              <w:t>情形描述</w:t>
            </w:r>
          </w:p>
        </w:tc>
        <w:tc>
          <w:tcPr>
            <w:tcW w:w="6376" w:type="dxa"/>
            <w:vAlign w:val="center"/>
          </w:tcPr>
          <w:p w14:paraId="4024C3CA">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14:paraId="64581AFE">
            <w:pPr>
              <w:rPr>
                <w:color w:val="000000"/>
                <w:kern w:val="0"/>
                <w:sz w:val="18"/>
                <w:szCs w:val="18"/>
              </w:rPr>
            </w:pPr>
            <w:r>
              <w:rPr>
                <w:rFonts w:hint="eastAsia"/>
                <w:color w:val="000000"/>
                <w:kern w:val="0"/>
                <w:sz w:val="18"/>
                <w:szCs w:val="18"/>
              </w:rPr>
              <w:t>裁量幅度</w:t>
            </w:r>
          </w:p>
        </w:tc>
        <w:tc>
          <w:tcPr>
            <w:tcW w:w="5614" w:type="dxa"/>
            <w:vAlign w:val="center"/>
          </w:tcPr>
          <w:p w14:paraId="1725C008">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5B27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C7B46B4">
            <w:pPr>
              <w:spacing w:line="320" w:lineRule="exact"/>
              <w:jc w:val="left"/>
              <w:rPr>
                <w:color w:val="000000"/>
                <w:kern w:val="0"/>
                <w:sz w:val="18"/>
                <w:szCs w:val="18"/>
              </w:rPr>
            </w:pPr>
          </w:p>
        </w:tc>
        <w:tc>
          <w:tcPr>
            <w:tcW w:w="6376" w:type="dxa"/>
            <w:vAlign w:val="center"/>
          </w:tcPr>
          <w:p w14:paraId="7E33B216">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continue"/>
            <w:vAlign w:val="center"/>
          </w:tcPr>
          <w:p w14:paraId="662881B5">
            <w:pPr>
              <w:spacing w:line="320" w:lineRule="exact"/>
              <w:jc w:val="left"/>
              <w:rPr>
                <w:color w:val="000000"/>
                <w:kern w:val="0"/>
                <w:sz w:val="18"/>
                <w:szCs w:val="18"/>
              </w:rPr>
            </w:pPr>
          </w:p>
        </w:tc>
        <w:tc>
          <w:tcPr>
            <w:tcW w:w="5614" w:type="dxa"/>
            <w:vAlign w:val="center"/>
          </w:tcPr>
          <w:p w14:paraId="592717BC">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5C6CB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44BA17F">
            <w:pPr>
              <w:spacing w:line="320" w:lineRule="exact"/>
              <w:jc w:val="left"/>
              <w:rPr>
                <w:color w:val="000000"/>
                <w:kern w:val="0"/>
                <w:sz w:val="18"/>
                <w:szCs w:val="18"/>
              </w:rPr>
            </w:pPr>
          </w:p>
        </w:tc>
        <w:tc>
          <w:tcPr>
            <w:tcW w:w="6376" w:type="dxa"/>
            <w:vAlign w:val="center"/>
          </w:tcPr>
          <w:p w14:paraId="527CFAB3">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continue"/>
            <w:vAlign w:val="center"/>
          </w:tcPr>
          <w:p w14:paraId="6F3506B3">
            <w:pPr>
              <w:spacing w:line="320" w:lineRule="exact"/>
              <w:jc w:val="left"/>
              <w:rPr>
                <w:color w:val="000000"/>
                <w:kern w:val="0"/>
                <w:sz w:val="18"/>
                <w:szCs w:val="18"/>
              </w:rPr>
            </w:pPr>
          </w:p>
        </w:tc>
        <w:tc>
          <w:tcPr>
            <w:tcW w:w="5614" w:type="dxa"/>
            <w:vAlign w:val="center"/>
          </w:tcPr>
          <w:p w14:paraId="029E843D">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14:paraId="3D19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2EEB91C">
            <w:pPr>
              <w:spacing w:line="320" w:lineRule="exact"/>
              <w:jc w:val="left"/>
              <w:rPr>
                <w:color w:val="000000"/>
                <w:kern w:val="0"/>
                <w:sz w:val="18"/>
                <w:szCs w:val="18"/>
              </w:rPr>
            </w:pPr>
          </w:p>
        </w:tc>
        <w:tc>
          <w:tcPr>
            <w:tcW w:w="6376" w:type="dxa"/>
            <w:vAlign w:val="center"/>
          </w:tcPr>
          <w:p w14:paraId="47742185">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continue"/>
            <w:vAlign w:val="center"/>
          </w:tcPr>
          <w:p w14:paraId="4E1BC05B">
            <w:pPr>
              <w:spacing w:line="320" w:lineRule="exact"/>
              <w:jc w:val="left"/>
              <w:rPr>
                <w:color w:val="000000"/>
                <w:kern w:val="0"/>
                <w:sz w:val="18"/>
                <w:szCs w:val="18"/>
              </w:rPr>
            </w:pPr>
          </w:p>
        </w:tc>
        <w:tc>
          <w:tcPr>
            <w:tcW w:w="5614" w:type="dxa"/>
            <w:vAlign w:val="center"/>
          </w:tcPr>
          <w:p w14:paraId="5C307CF8">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14:paraId="125D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5CC3FC7F">
            <w:pPr>
              <w:spacing w:line="320" w:lineRule="exact"/>
              <w:jc w:val="left"/>
              <w:rPr>
                <w:color w:val="000000"/>
                <w:kern w:val="0"/>
                <w:sz w:val="18"/>
                <w:szCs w:val="18"/>
              </w:rPr>
            </w:pPr>
          </w:p>
        </w:tc>
        <w:tc>
          <w:tcPr>
            <w:tcW w:w="6376" w:type="dxa"/>
            <w:vAlign w:val="center"/>
          </w:tcPr>
          <w:p w14:paraId="4B7F102E">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continue"/>
            <w:vAlign w:val="center"/>
          </w:tcPr>
          <w:p w14:paraId="143A6804">
            <w:pPr>
              <w:spacing w:line="320" w:lineRule="exact"/>
              <w:jc w:val="left"/>
              <w:rPr>
                <w:color w:val="000000"/>
                <w:kern w:val="0"/>
                <w:sz w:val="18"/>
                <w:szCs w:val="18"/>
              </w:rPr>
            </w:pPr>
          </w:p>
        </w:tc>
        <w:tc>
          <w:tcPr>
            <w:tcW w:w="5614" w:type="dxa"/>
            <w:vAlign w:val="center"/>
          </w:tcPr>
          <w:p w14:paraId="2F024A9C">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40963B3F"/>
    <w:p w14:paraId="60507402"/>
    <w:p w14:paraId="1C86C5D2"/>
    <w:p w14:paraId="534D45AB"/>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359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AD7336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18DB9130">
            <w:pPr>
              <w:spacing w:line="320" w:lineRule="exact"/>
              <w:rPr>
                <w:rFonts w:eastAsia="仿宋_GB2312"/>
                <w:b/>
                <w:bCs/>
                <w:color w:val="000000"/>
                <w:kern w:val="0"/>
                <w:sz w:val="18"/>
                <w:szCs w:val="18"/>
              </w:rPr>
            </w:pPr>
            <w:r>
              <w:rPr>
                <w:rFonts w:eastAsia="仿宋_GB2312"/>
                <w:b/>
                <w:bCs/>
                <w:color w:val="000000"/>
                <w:kern w:val="0"/>
                <w:sz w:val="18"/>
                <w:szCs w:val="18"/>
              </w:rPr>
              <w:t>320217887000</w:t>
            </w:r>
          </w:p>
        </w:tc>
      </w:tr>
      <w:tr w14:paraId="6BC1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59596C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B888E78">
            <w:pPr>
              <w:spacing w:line="320" w:lineRule="exact"/>
              <w:jc w:val="left"/>
              <w:rPr>
                <w:color w:val="000000"/>
                <w:spacing w:val="-6"/>
                <w:kern w:val="0"/>
                <w:sz w:val="18"/>
                <w:szCs w:val="18"/>
              </w:rPr>
            </w:pPr>
            <w:r>
              <w:rPr>
                <w:rFonts w:hint="eastAsia"/>
                <w:color w:val="000000"/>
                <w:spacing w:val="-6"/>
                <w:kern w:val="0"/>
                <w:sz w:val="18"/>
                <w:szCs w:val="18"/>
              </w:rPr>
              <w:t>对施工总承包单位未实行施工现场维权信息公示制度的处罚</w:t>
            </w:r>
          </w:p>
        </w:tc>
      </w:tr>
      <w:tr w14:paraId="7D524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690E19AA">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38B38347">
            <w:pPr>
              <w:spacing w:line="320" w:lineRule="exact"/>
              <w:jc w:val="left"/>
              <w:rPr>
                <w:color w:val="000000"/>
                <w:kern w:val="0"/>
                <w:sz w:val="18"/>
                <w:szCs w:val="18"/>
              </w:rPr>
            </w:pPr>
            <w:r>
              <w:rPr>
                <w:rFonts w:hint="eastAsia"/>
                <w:color w:val="000000"/>
                <w:kern w:val="0"/>
                <w:sz w:val="18"/>
                <w:szCs w:val="18"/>
              </w:rPr>
              <w:t>【行政法规】《保障农民工工资支付条例》（国务院令第724号）</w:t>
            </w:r>
          </w:p>
          <w:p w14:paraId="759EC291">
            <w:pPr>
              <w:spacing w:line="320" w:lineRule="exact"/>
              <w:jc w:val="left"/>
              <w:rPr>
                <w:color w:val="000000"/>
                <w:kern w:val="0"/>
                <w:sz w:val="18"/>
                <w:szCs w:val="18"/>
              </w:rPr>
            </w:pPr>
            <w:r>
              <w:rPr>
                <w:rFonts w:hint="eastAsia"/>
                <w:color w:val="000000"/>
                <w:kern w:val="0"/>
                <w:sz w:val="18"/>
                <w:szCs w:val="18"/>
              </w:rPr>
              <w:t xml:space="preserve">       第七条第二款  住房城乡建设、交通运输、水利等相关行业工程建设主管部门按照职责履行行业监管责任，督办因违法发包、转包、违法分包、挂靠、拖欠工程款等导致的拖欠农民工工资案件。</w:t>
            </w:r>
          </w:p>
          <w:p w14:paraId="4BE37F6C">
            <w:pPr>
              <w:spacing w:line="320" w:lineRule="exact"/>
              <w:jc w:val="left"/>
              <w:rPr>
                <w:color w:val="000000"/>
                <w:kern w:val="0"/>
                <w:sz w:val="18"/>
                <w:szCs w:val="18"/>
              </w:rPr>
            </w:pPr>
            <w:r>
              <w:rPr>
                <w:rFonts w:hint="eastAsia"/>
                <w:color w:val="000000"/>
                <w:kern w:val="0"/>
                <w:sz w:val="18"/>
                <w:szCs w:val="18"/>
              </w:rPr>
              <w:t xml:space="preserve">      第三十四条　施工总承包单位应当在施工现场醒目位置设立维权信息告示牌，明示下列事项：</w:t>
            </w:r>
          </w:p>
          <w:p w14:paraId="1C99CF77">
            <w:pPr>
              <w:spacing w:line="320" w:lineRule="exact"/>
              <w:jc w:val="left"/>
              <w:rPr>
                <w:color w:val="000000"/>
                <w:kern w:val="0"/>
                <w:sz w:val="18"/>
                <w:szCs w:val="18"/>
              </w:rPr>
            </w:pPr>
            <w:r>
              <w:rPr>
                <w:rFonts w:hint="eastAsia"/>
                <w:color w:val="000000"/>
                <w:kern w:val="0"/>
                <w:sz w:val="18"/>
                <w:szCs w:val="18"/>
              </w:rPr>
              <w:t xml:space="preserve">     （一）建设单位、施工总承包单位及所在项目部、分包单位、相关行业工程建设主管部门、劳资专管员等基本信息；</w:t>
            </w:r>
          </w:p>
          <w:p w14:paraId="75E7A8D3">
            <w:pPr>
              <w:spacing w:line="320" w:lineRule="exact"/>
              <w:jc w:val="left"/>
              <w:rPr>
                <w:color w:val="000000"/>
                <w:kern w:val="0"/>
                <w:sz w:val="18"/>
                <w:szCs w:val="18"/>
              </w:rPr>
            </w:pPr>
            <w:r>
              <w:rPr>
                <w:rFonts w:hint="eastAsia"/>
                <w:color w:val="000000"/>
                <w:kern w:val="0"/>
                <w:sz w:val="18"/>
                <w:szCs w:val="18"/>
              </w:rPr>
              <w:t xml:space="preserve">     （二）当地最低工资标准、工资支付日期等基本信息；</w:t>
            </w:r>
          </w:p>
          <w:p w14:paraId="1CAB7C25">
            <w:pPr>
              <w:spacing w:line="320" w:lineRule="exact"/>
              <w:jc w:val="left"/>
              <w:rPr>
                <w:color w:val="000000"/>
                <w:kern w:val="0"/>
                <w:sz w:val="18"/>
                <w:szCs w:val="18"/>
              </w:rPr>
            </w:pPr>
            <w:r>
              <w:rPr>
                <w:rFonts w:hint="eastAsia"/>
                <w:color w:val="000000"/>
                <w:kern w:val="0"/>
                <w:sz w:val="18"/>
                <w:szCs w:val="18"/>
              </w:rPr>
              <w:t xml:space="preserve">     （三）相关行业工程建设主管部门和劳动保障监察投诉举报电话、劳动争议调解仲裁申请渠道、法律援助申请渠道、公共法律服务热线等信息。</w:t>
            </w:r>
          </w:p>
          <w:p w14:paraId="07755694">
            <w:pPr>
              <w:spacing w:line="320" w:lineRule="exact"/>
              <w:jc w:val="left"/>
              <w:rPr>
                <w:color w:val="000000"/>
                <w:kern w:val="0"/>
                <w:sz w:val="18"/>
                <w:szCs w:val="18"/>
              </w:rPr>
            </w:pPr>
            <w:r>
              <w:rPr>
                <w:rFonts w:hint="eastAsia"/>
                <w:color w:val="000000"/>
                <w:kern w:val="0"/>
                <w:sz w:val="18"/>
                <w:szCs w:val="18"/>
              </w:rPr>
              <w:t xml:space="preserve">      第四十三条　相关行业工程建设主管部门应当依法规范本领域建设市场秩序，对违法发包、转包、违法分包、挂靠等行为进行查处，并对导致拖欠农民工工资的违法行为及时予以制止、纠正。</w:t>
            </w:r>
          </w:p>
          <w:p w14:paraId="7EC50CCB">
            <w:pPr>
              <w:spacing w:line="320" w:lineRule="exact"/>
              <w:jc w:val="left"/>
              <w:rPr>
                <w:color w:val="000000"/>
                <w:kern w:val="0"/>
                <w:sz w:val="18"/>
                <w:szCs w:val="18"/>
              </w:rPr>
            </w:pPr>
            <w:r>
              <w:rPr>
                <w:rFonts w:hint="eastAsia"/>
                <w:color w:val="000000"/>
                <w:kern w:val="0"/>
                <w:sz w:val="18"/>
                <w:szCs w:val="18"/>
              </w:rPr>
              <w:t xml:space="preserve">      第五十六条　有下列情形之一的，由人力资源社会保障行政部门、相关行业工程建设主管部门按照职责责令限期改正；逾期不改正的，处5万元以上10万元以下的罚款：</w:t>
            </w:r>
          </w:p>
          <w:p w14:paraId="2B832C07">
            <w:pPr>
              <w:spacing w:line="320" w:lineRule="exact"/>
              <w:jc w:val="left"/>
              <w:rPr>
                <w:color w:val="000000"/>
                <w:kern w:val="0"/>
                <w:sz w:val="18"/>
                <w:szCs w:val="18"/>
              </w:rPr>
            </w:pPr>
            <w:r>
              <w:rPr>
                <w:rFonts w:hint="eastAsia"/>
                <w:color w:val="000000"/>
                <w:kern w:val="0"/>
                <w:sz w:val="18"/>
                <w:szCs w:val="18"/>
              </w:rPr>
              <w:t xml:space="preserve">     （四）施工总承包单位未实行施工现场维权信息公示制度。</w:t>
            </w:r>
          </w:p>
        </w:tc>
      </w:tr>
      <w:tr w14:paraId="5C977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34C9CE4">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E5C25F0">
            <w:pPr>
              <w:spacing w:line="320" w:lineRule="exact"/>
              <w:jc w:val="left"/>
              <w:rPr>
                <w:color w:val="000000"/>
                <w:kern w:val="0"/>
                <w:sz w:val="18"/>
                <w:szCs w:val="18"/>
              </w:rPr>
            </w:pPr>
            <w:r>
              <w:rPr>
                <w:rFonts w:hint="eastAsia"/>
                <w:color w:val="000000"/>
                <w:kern w:val="0"/>
                <w:sz w:val="18"/>
                <w:szCs w:val="18"/>
              </w:rPr>
              <w:t>责令限期改正，罚款</w:t>
            </w:r>
          </w:p>
        </w:tc>
      </w:tr>
      <w:tr w14:paraId="1572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5A742466">
            <w:pPr>
              <w:spacing w:line="320" w:lineRule="exact"/>
              <w:jc w:val="center"/>
              <w:rPr>
                <w:color w:val="000000"/>
                <w:kern w:val="0"/>
                <w:sz w:val="18"/>
                <w:szCs w:val="18"/>
              </w:rPr>
            </w:pPr>
            <w:r>
              <w:rPr>
                <w:rFonts w:hint="eastAsia"/>
                <w:color w:val="000000"/>
                <w:kern w:val="0"/>
                <w:sz w:val="18"/>
                <w:szCs w:val="18"/>
              </w:rPr>
              <w:t>裁量基准</w:t>
            </w:r>
          </w:p>
        </w:tc>
      </w:tr>
      <w:tr w14:paraId="2138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010" w:type="dxa"/>
            <w:vMerge w:val="restart"/>
            <w:vAlign w:val="center"/>
          </w:tcPr>
          <w:p w14:paraId="188780D4">
            <w:pPr>
              <w:rPr>
                <w:color w:val="000000"/>
                <w:kern w:val="0"/>
                <w:sz w:val="18"/>
                <w:szCs w:val="18"/>
              </w:rPr>
            </w:pPr>
            <w:r>
              <w:rPr>
                <w:rFonts w:hint="eastAsia"/>
                <w:color w:val="000000"/>
                <w:kern w:val="0"/>
                <w:sz w:val="18"/>
                <w:szCs w:val="18"/>
              </w:rPr>
              <w:t>情形描述</w:t>
            </w:r>
          </w:p>
        </w:tc>
        <w:tc>
          <w:tcPr>
            <w:tcW w:w="6376" w:type="dxa"/>
            <w:vAlign w:val="center"/>
          </w:tcPr>
          <w:p w14:paraId="22199950">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14:paraId="4DF8BF72">
            <w:pPr>
              <w:rPr>
                <w:color w:val="000000"/>
                <w:kern w:val="0"/>
                <w:sz w:val="18"/>
                <w:szCs w:val="18"/>
              </w:rPr>
            </w:pPr>
            <w:r>
              <w:rPr>
                <w:rFonts w:hint="eastAsia"/>
                <w:color w:val="000000"/>
                <w:kern w:val="0"/>
                <w:sz w:val="18"/>
                <w:szCs w:val="18"/>
              </w:rPr>
              <w:t>裁量幅度</w:t>
            </w:r>
          </w:p>
        </w:tc>
        <w:tc>
          <w:tcPr>
            <w:tcW w:w="5614" w:type="dxa"/>
            <w:vAlign w:val="center"/>
          </w:tcPr>
          <w:p w14:paraId="5E33575E">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332B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4E913A4">
            <w:pPr>
              <w:spacing w:line="320" w:lineRule="exact"/>
              <w:jc w:val="left"/>
              <w:rPr>
                <w:color w:val="000000"/>
                <w:kern w:val="0"/>
                <w:sz w:val="18"/>
                <w:szCs w:val="18"/>
              </w:rPr>
            </w:pPr>
          </w:p>
        </w:tc>
        <w:tc>
          <w:tcPr>
            <w:tcW w:w="6376" w:type="dxa"/>
            <w:vAlign w:val="center"/>
          </w:tcPr>
          <w:p w14:paraId="5D28B81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continue"/>
            <w:vAlign w:val="center"/>
          </w:tcPr>
          <w:p w14:paraId="771FC54A">
            <w:pPr>
              <w:spacing w:line="320" w:lineRule="exact"/>
              <w:jc w:val="left"/>
              <w:rPr>
                <w:color w:val="000000"/>
                <w:kern w:val="0"/>
                <w:sz w:val="18"/>
                <w:szCs w:val="18"/>
              </w:rPr>
            </w:pPr>
          </w:p>
        </w:tc>
        <w:tc>
          <w:tcPr>
            <w:tcW w:w="5614" w:type="dxa"/>
            <w:vAlign w:val="center"/>
          </w:tcPr>
          <w:p w14:paraId="0081AE9A">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745E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7AC51EEF">
            <w:pPr>
              <w:spacing w:line="320" w:lineRule="exact"/>
              <w:jc w:val="left"/>
              <w:rPr>
                <w:color w:val="000000"/>
                <w:kern w:val="0"/>
                <w:sz w:val="18"/>
                <w:szCs w:val="18"/>
              </w:rPr>
            </w:pPr>
          </w:p>
        </w:tc>
        <w:tc>
          <w:tcPr>
            <w:tcW w:w="6376" w:type="dxa"/>
            <w:vAlign w:val="center"/>
          </w:tcPr>
          <w:p w14:paraId="51501FF2">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continue"/>
            <w:vAlign w:val="center"/>
          </w:tcPr>
          <w:p w14:paraId="008400FC">
            <w:pPr>
              <w:spacing w:line="320" w:lineRule="exact"/>
              <w:jc w:val="left"/>
              <w:rPr>
                <w:color w:val="000000"/>
                <w:kern w:val="0"/>
                <w:sz w:val="18"/>
                <w:szCs w:val="18"/>
              </w:rPr>
            </w:pPr>
          </w:p>
        </w:tc>
        <w:tc>
          <w:tcPr>
            <w:tcW w:w="5614" w:type="dxa"/>
            <w:vAlign w:val="center"/>
          </w:tcPr>
          <w:p w14:paraId="4354EB94">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14:paraId="7264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45AC10AF">
            <w:pPr>
              <w:spacing w:line="320" w:lineRule="exact"/>
              <w:jc w:val="left"/>
              <w:rPr>
                <w:color w:val="000000"/>
                <w:kern w:val="0"/>
                <w:sz w:val="18"/>
                <w:szCs w:val="18"/>
              </w:rPr>
            </w:pPr>
          </w:p>
        </w:tc>
        <w:tc>
          <w:tcPr>
            <w:tcW w:w="6376" w:type="dxa"/>
            <w:vAlign w:val="center"/>
          </w:tcPr>
          <w:p w14:paraId="3F3A31EF">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continue"/>
            <w:vAlign w:val="center"/>
          </w:tcPr>
          <w:p w14:paraId="6D76CBFA">
            <w:pPr>
              <w:spacing w:line="320" w:lineRule="exact"/>
              <w:jc w:val="left"/>
              <w:rPr>
                <w:color w:val="000000"/>
                <w:kern w:val="0"/>
                <w:sz w:val="18"/>
                <w:szCs w:val="18"/>
              </w:rPr>
            </w:pPr>
          </w:p>
        </w:tc>
        <w:tc>
          <w:tcPr>
            <w:tcW w:w="5614" w:type="dxa"/>
            <w:vAlign w:val="center"/>
          </w:tcPr>
          <w:p w14:paraId="39B35EC9">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14:paraId="5C86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462DB9F">
            <w:pPr>
              <w:spacing w:line="320" w:lineRule="exact"/>
              <w:jc w:val="left"/>
              <w:rPr>
                <w:color w:val="000000"/>
                <w:kern w:val="0"/>
                <w:sz w:val="18"/>
                <w:szCs w:val="18"/>
              </w:rPr>
            </w:pPr>
          </w:p>
        </w:tc>
        <w:tc>
          <w:tcPr>
            <w:tcW w:w="6376" w:type="dxa"/>
            <w:vAlign w:val="center"/>
          </w:tcPr>
          <w:p w14:paraId="5C9215DE">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continue"/>
            <w:vAlign w:val="center"/>
          </w:tcPr>
          <w:p w14:paraId="44D394EA">
            <w:pPr>
              <w:spacing w:line="320" w:lineRule="exact"/>
              <w:jc w:val="left"/>
              <w:rPr>
                <w:color w:val="000000"/>
                <w:kern w:val="0"/>
                <w:sz w:val="18"/>
                <w:szCs w:val="18"/>
              </w:rPr>
            </w:pPr>
          </w:p>
        </w:tc>
        <w:tc>
          <w:tcPr>
            <w:tcW w:w="5614" w:type="dxa"/>
            <w:vAlign w:val="center"/>
          </w:tcPr>
          <w:p w14:paraId="671F55CE">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37E44CD8"/>
    <w:p w14:paraId="07C96B64"/>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3D0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0FCE65F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3264885C">
            <w:pPr>
              <w:spacing w:line="320" w:lineRule="exact"/>
              <w:rPr>
                <w:rFonts w:eastAsia="仿宋_GB2312"/>
                <w:b/>
                <w:bCs/>
                <w:color w:val="000000"/>
                <w:kern w:val="0"/>
                <w:sz w:val="18"/>
                <w:szCs w:val="18"/>
              </w:rPr>
            </w:pPr>
            <w:r>
              <w:rPr>
                <w:rFonts w:eastAsia="仿宋_GB2312"/>
                <w:b/>
                <w:bCs/>
                <w:color w:val="000000"/>
                <w:kern w:val="0"/>
                <w:sz w:val="18"/>
                <w:szCs w:val="18"/>
              </w:rPr>
              <w:t>320217888000</w:t>
            </w:r>
          </w:p>
        </w:tc>
      </w:tr>
      <w:tr w14:paraId="79C5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D532802">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BE47F35">
            <w:pPr>
              <w:spacing w:line="320" w:lineRule="exact"/>
              <w:jc w:val="left"/>
              <w:rPr>
                <w:color w:val="000000"/>
                <w:spacing w:val="-6"/>
                <w:kern w:val="0"/>
                <w:sz w:val="18"/>
                <w:szCs w:val="18"/>
              </w:rPr>
            </w:pPr>
            <w:r>
              <w:rPr>
                <w:rFonts w:hint="eastAsia"/>
                <w:color w:val="000000"/>
                <w:spacing w:val="-6"/>
                <w:kern w:val="0"/>
                <w:sz w:val="18"/>
                <w:szCs w:val="18"/>
              </w:rPr>
              <w:t>对分包单位未配合施工总承包单位对其劳动用工进行监督管理的处罚</w:t>
            </w:r>
          </w:p>
        </w:tc>
      </w:tr>
      <w:tr w14:paraId="051C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790050D2">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D07620D">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14:paraId="6F40EC4C">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14:paraId="41079B8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第二十八条第二款</w:t>
            </w:r>
            <w:r>
              <w:rPr>
                <w:color w:val="000000"/>
                <w:kern w:val="0"/>
                <w:sz w:val="18"/>
                <w:szCs w:val="18"/>
              </w:rPr>
              <w:t xml:space="preserve"> </w:t>
            </w:r>
            <w:r>
              <w:rPr>
                <w:rFonts w:hint="eastAsia"/>
                <w:color w:val="000000"/>
                <w:kern w:val="0"/>
                <w:sz w:val="18"/>
                <w:szCs w:val="18"/>
              </w:rPr>
              <w:t>施工总承包单位应当在工程项目部配备劳资专管员，对分包单位劳动用工实施监督管理，掌握施工现场用工、考勤、工资支付等情况，审核分包单位编制的农民工工资支付表，分包单位应当予以配合。</w:t>
            </w:r>
          </w:p>
          <w:p w14:paraId="50B6AC3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14:paraId="670F03CF">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14:paraId="66BE4A47">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（三）分包单位未配合施工总承包单位对其劳动用工进行监督管理；</w:t>
            </w:r>
          </w:p>
        </w:tc>
      </w:tr>
      <w:tr w14:paraId="71E0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43F7D68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4220EA03">
            <w:pPr>
              <w:spacing w:line="320" w:lineRule="exact"/>
              <w:jc w:val="left"/>
              <w:rPr>
                <w:b/>
                <w:color w:val="000000"/>
                <w:kern w:val="0"/>
                <w:sz w:val="18"/>
                <w:szCs w:val="18"/>
              </w:rPr>
            </w:pPr>
            <w:r>
              <w:rPr>
                <w:rFonts w:hint="eastAsia"/>
                <w:color w:val="000000"/>
                <w:kern w:val="0"/>
                <w:sz w:val="18"/>
                <w:szCs w:val="18"/>
              </w:rPr>
              <w:t>责令限期改正，罚款</w:t>
            </w:r>
          </w:p>
        </w:tc>
      </w:tr>
      <w:tr w14:paraId="01A7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8894989">
            <w:pPr>
              <w:spacing w:line="320" w:lineRule="exact"/>
              <w:jc w:val="center"/>
              <w:rPr>
                <w:color w:val="000000"/>
                <w:kern w:val="0"/>
                <w:sz w:val="18"/>
                <w:szCs w:val="18"/>
              </w:rPr>
            </w:pPr>
            <w:r>
              <w:rPr>
                <w:rFonts w:hint="eastAsia"/>
                <w:color w:val="000000"/>
                <w:kern w:val="0"/>
                <w:sz w:val="18"/>
                <w:szCs w:val="18"/>
              </w:rPr>
              <w:t>裁量基准</w:t>
            </w:r>
          </w:p>
        </w:tc>
      </w:tr>
      <w:tr w14:paraId="73CD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512350D">
            <w:pPr>
              <w:rPr>
                <w:color w:val="000000"/>
                <w:kern w:val="0"/>
                <w:sz w:val="18"/>
                <w:szCs w:val="18"/>
              </w:rPr>
            </w:pPr>
            <w:r>
              <w:rPr>
                <w:rFonts w:hint="eastAsia"/>
                <w:color w:val="000000"/>
                <w:kern w:val="0"/>
                <w:sz w:val="18"/>
                <w:szCs w:val="18"/>
              </w:rPr>
              <w:t>情形描述</w:t>
            </w:r>
          </w:p>
        </w:tc>
        <w:tc>
          <w:tcPr>
            <w:tcW w:w="6376" w:type="dxa"/>
            <w:vAlign w:val="center"/>
          </w:tcPr>
          <w:p w14:paraId="37BA79F7">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14:paraId="3A85182A">
            <w:pPr>
              <w:rPr>
                <w:color w:val="000000"/>
                <w:kern w:val="0"/>
                <w:sz w:val="18"/>
                <w:szCs w:val="18"/>
              </w:rPr>
            </w:pPr>
            <w:r>
              <w:rPr>
                <w:rFonts w:hint="eastAsia"/>
                <w:color w:val="000000"/>
                <w:kern w:val="0"/>
                <w:sz w:val="18"/>
                <w:szCs w:val="18"/>
              </w:rPr>
              <w:t>裁量幅度</w:t>
            </w:r>
          </w:p>
        </w:tc>
        <w:tc>
          <w:tcPr>
            <w:tcW w:w="5614" w:type="dxa"/>
            <w:vAlign w:val="center"/>
          </w:tcPr>
          <w:p w14:paraId="156D97AD">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025B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010" w:type="dxa"/>
            <w:vMerge w:val="continue"/>
            <w:vAlign w:val="center"/>
          </w:tcPr>
          <w:p w14:paraId="6CE42871">
            <w:pPr>
              <w:spacing w:line="320" w:lineRule="exact"/>
              <w:jc w:val="left"/>
              <w:rPr>
                <w:color w:val="000000"/>
                <w:kern w:val="0"/>
                <w:sz w:val="18"/>
                <w:szCs w:val="18"/>
              </w:rPr>
            </w:pPr>
          </w:p>
        </w:tc>
        <w:tc>
          <w:tcPr>
            <w:tcW w:w="6376" w:type="dxa"/>
            <w:vAlign w:val="center"/>
          </w:tcPr>
          <w:p w14:paraId="4489089B">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continue"/>
            <w:vAlign w:val="center"/>
          </w:tcPr>
          <w:p w14:paraId="700D6F7F">
            <w:pPr>
              <w:spacing w:line="320" w:lineRule="exact"/>
              <w:jc w:val="left"/>
              <w:rPr>
                <w:color w:val="000000"/>
                <w:kern w:val="0"/>
                <w:sz w:val="18"/>
                <w:szCs w:val="18"/>
              </w:rPr>
            </w:pPr>
          </w:p>
        </w:tc>
        <w:tc>
          <w:tcPr>
            <w:tcW w:w="5614" w:type="dxa"/>
            <w:vAlign w:val="center"/>
          </w:tcPr>
          <w:p w14:paraId="06B8C0C1">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10CE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010" w:type="dxa"/>
            <w:vMerge w:val="continue"/>
            <w:vAlign w:val="center"/>
          </w:tcPr>
          <w:p w14:paraId="207870EE">
            <w:pPr>
              <w:spacing w:line="320" w:lineRule="exact"/>
              <w:jc w:val="left"/>
              <w:rPr>
                <w:color w:val="000000"/>
                <w:kern w:val="0"/>
                <w:sz w:val="18"/>
                <w:szCs w:val="18"/>
              </w:rPr>
            </w:pPr>
          </w:p>
        </w:tc>
        <w:tc>
          <w:tcPr>
            <w:tcW w:w="6376" w:type="dxa"/>
            <w:vAlign w:val="center"/>
          </w:tcPr>
          <w:p w14:paraId="6D3DE993">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continue"/>
            <w:vAlign w:val="center"/>
          </w:tcPr>
          <w:p w14:paraId="7DF2C685">
            <w:pPr>
              <w:spacing w:line="320" w:lineRule="exact"/>
              <w:jc w:val="left"/>
              <w:rPr>
                <w:color w:val="000000"/>
                <w:kern w:val="0"/>
                <w:sz w:val="18"/>
                <w:szCs w:val="18"/>
              </w:rPr>
            </w:pPr>
          </w:p>
        </w:tc>
        <w:tc>
          <w:tcPr>
            <w:tcW w:w="5614" w:type="dxa"/>
            <w:vAlign w:val="center"/>
          </w:tcPr>
          <w:p w14:paraId="41B6353A">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14:paraId="5C49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010" w:type="dxa"/>
            <w:vMerge w:val="continue"/>
            <w:vAlign w:val="center"/>
          </w:tcPr>
          <w:p w14:paraId="087D6EA9">
            <w:pPr>
              <w:spacing w:line="320" w:lineRule="exact"/>
              <w:jc w:val="left"/>
              <w:rPr>
                <w:color w:val="000000"/>
                <w:kern w:val="0"/>
                <w:sz w:val="18"/>
                <w:szCs w:val="18"/>
              </w:rPr>
            </w:pPr>
          </w:p>
        </w:tc>
        <w:tc>
          <w:tcPr>
            <w:tcW w:w="6376" w:type="dxa"/>
            <w:vAlign w:val="center"/>
          </w:tcPr>
          <w:p w14:paraId="6917965D">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continue"/>
            <w:vAlign w:val="center"/>
          </w:tcPr>
          <w:p w14:paraId="35577AEC">
            <w:pPr>
              <w:spacing w:line="320" w:lineRule="exact"/>
              <w:jc w:val="left"/>
              <w:rPr>
                <w:color w:val="000000"/>
                <w:kern w:val="0"/>
                <w:sz w:val="18"/>
                <w:szCs w:val="18"/>
              </w:rPr>
            </w:pPr>
          </w:p>
        </w:tc>
        <w:tc>
          <w:tcPr>
            <w:tcW w:w="5614" w:type="dxa"/>
            <w:vAlign w:val="center"/>
          </w:tcPr>
          <w:p w14:paraId="0747459A">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14:paraId="0DA9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010" w:type="dxa"/>
            <w:vMerge w:val="continue"/>
            <w:vAlign w:val="center"/>
          </w:tcPr>
          <w:p w14:paraId="2386D95E">
            <w:pPr>
              <w:spacing w:line="320" w:lineRule="exact"/>
              <w:jc w:val="left"/>
              <w:rPr>
                <w:color w:val="000000"/>
                <w:kern w:val="0"/>
                <w:sz w:val="18"/>
                <w:szCs w:val="18"/>
              </w:rPr>
            </w:pPr>
          </w:p>
        </w:tc>
        <w:tc>
          <w:tcPr>
            <w:tcW w:w="6376" w:type="dxa"/>
            <w:vAlign w:val="center"/>
          </w:tcPr>
          <w:p w14:paraId="2FA57C56">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continue"/>
            <w:vAlign w:val="center"/>
          </w:tcPr>
          <w:p w14:paraId="21058D84">
            <w:pPr>
              <w:spacing w:line="320" w:lineRule="exact"/>
              <w:jc w:val="left"/>
              <w:rPr>
                <w:color w:val="000000"/>
                <w:kern w:val="0"/>
                <w:sz w:val="18"/>
                <w:szCs w:val="18"/>
              </w:rPr>
            </w:pPr>
          </w:p>
        </w:tc>
        <w:tc>
          <w:tcPr>
            <w:tcW w:w="5614" w:type="dxa"/>
            <w:vAlign w:val="center"/>
          </w:tcPr>
          <w:p w14:paraId="1E76CA77">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309B6D86"/>
    <w:p w14:paraId="57AA6881"/>
    <w:p w14:paraId="1FF2B9DD"/>
    <w:p w14:paraId="26741115"/>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4E9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7D20BA0">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FFA42A3">
            <w:pPr>
              <w:spacing w:line="320" w:lineRule="exact"/>
              <w:rPr>
                <w:rFonts w:eastAsia="仿宋_GB2312"/>
                <w:b/>
                <w:bCs/>
                <w:color w:val="000000"/>
                <w:kern w:val="0"/>
                <w:sz w:val="18"/>
                <w:szCs w:val="18"/>
              </w:rPr>
            </w:pPr>
            <w:r>
              <w:rPr>
                <w:rFonts w:eastAsia="仿宋_GB2312"/>
                <w:b/>
                <w:bCs/>
                <w:color w:val="000000"/>
                <w:kern w:val="0"/>
                <w:sz w:val="18"/>
                <w:szCs w:val="18"/>
              </w:rPr>
              <w:t>320217889000</w:t>
            </w:r>
          </w:p>
        </w:tc>
      </w:tr>
      <w:tr w14:paraId="2C86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20C13348">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5C428FB">
            <w:pPr>
              <w:spacing w:line="320" w:lineRule="exact"/>
              <w:jc w:val="left"/>
              <w:rPr>
                <w:color w:val="000000"/>
                <w:spacing w:val="-6"/>
                <w:kern w:val="0"/>
                <w:sz w:val="18"/>
                <w:szCs w:val="18"/>
              </w:rPr>
            </w:pPr>
            <w:r>
              <w:rPr>
                <w:rFonts w:hint="eastAsia"/>
                <w:color w:val="000000"/>
                <w:spacing w:val="-6"/>
                <w:kern w:val="0"/>
                <w:sz w:val="18"/>
                <w:szCs w:val="18"/>
              </w:rPr>
              <w:t>对分包单位未按月考核农民工工作量、编制工资支付表并经农民工本人签字确认的处罚</w:t>
            </w:r>
          </w:p>
        </w:tc>
      </w:tr>
      <w:tr w14:paraId="21E7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209BC9C9">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2513DBCC">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14:paraId="60D29071">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14:paraId="68C2EBD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第三十一第二款</w:t>
            </w:r>
            <w:r>
              <w:rPr>
                <w:color w:val="000000"/>
                <w:kern w:val="0"/>
                <w:sz w:val="18"/>
                <w:szCs w:val="18"/>
              </w:rPr>
              <w:t xml:space="preserve">  </w:t>
            </w:r>
            <w:r>
              <w:rPr>
                <w:rFonts w:hint="eastAsia"/>
                <w:color w:val="000000"/>
                <w:kern w:val="0"/>
                <w:sz w:val="18"/>
                <w:szCs w:val="18"/>
              </w:rPr>
              <w:t>分包单位应当按月考核农民工工作量并编制工资支付表，经农民工本人签字确认后，与当月工程进度等情况一并交施工总承包单位。</w:t>
            </w:r>
          </w:p>
          <w:p w14:paraId="780A328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14:paraId="4057098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14:paraId="2786A379">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（一）分包单位未按月考核农民工工作量、编制工资支付表并经农民工本人签字确认；</w:t>
            </w:r>
          </w:p>
        </w:tc>
      </w:tr>
      <w:tr w14:paraId="6C61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89DD66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B90044C">
            <w:pPr>
              <w:spacing w:line="320" w:lineRule="exact"/>
              <w:jc w:val="left"/>
              <w:rPr>
                <w:color w:val="000000"/>
                <w:kern w:val="0"/>
                <w:sz w:val="18"/>
                <w:szCs w:val="18"/>
              </w:rPr>
            </w:pPr>
            <w:r>
              <w:rPr>
                <w:rFonts w:hint="eastAsia"/>
                <w:color w:val="000000"/>
                <w:kern w:val="0"/>
                <w:sz w:val="18"/>
                <w:szCs w:val="18"/>
              </w:rPr>
              <w:t>责令限期改正，罚款</w:t>
            </w:r>
          </w:p>
        </w:tc>
      </w:tr>
      <w:tr w14:paraId="094C8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A58DF6B">
            <w:pPr>
              <w:spacing w:line="320" w:lineRule="exact"/>
              <w:jc w:val="center"/>
              <w:rPr>
                <w:color w:val="000000"/>
                <w:kern w:val="0"/>
                <w:sz w:val="18"/>
                <w:szCs w:val="18"/>
              </w:rPr>
            </w:pPr>
            <w:r>
              <w:rPr>
                <w:rFonts w:hint="eastAsia"/>
                <w:color w:val="000000"/>
                <w:kern w:val="0"/>
                <w:sz w:val="18"/>
                <w:szCs w:val="18"/>
              </w:rPr>
              <w:t>裁量基准</w:t>
            </w:r>
          </w:p>
        </w:tc>
      </w:tr>
      <w:tr w14:paraId="6B01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600444E3">
            <w:pPr>
              <w:rPr>
                <w:color w:val="000000"/>
                <w:kern w:val="0"/>
                <w:sz w:val="18"/>
                <w:szCs w:val="18"/>
              </w:rPr>
            </w:pPr>
            <w:r>
              <w:rPr>
                <w:rFonts w:hint="eastAsia"/>
                <w:color w:val="000000"/>
                <w:kern w:val="0"/>
                <w:sz w:val="18"/>
                <w:szCs w:val="18"/>
              </w:rPr>
              <w:t>情形描述</w:t>
            </w:r>
          </w:p>
        </w:tc>
        <w:tc>
          <w:tcPr>
            <w:tcW w:w="6376" w:type="dxa"/>
            <w:vAlign w:val="center"/>
          </w:tcPr>
          <w:p w14:paraId="2B9001A2">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14:paraId="721CC711">
            <w:pPr>
              <w:rPr>
                <w:color w:val="000000"/>
                <w:kern w:val="0"/>
                <w:sz w:val="18"/>
                <w:szCs w:val="18"/>
              </w:rPr>
            </w:pPr>
            <w:r>
              <w:rPr>
                <w:rFonts w:hint="eastAsia"/>
                <w:color w:val="000000"/>
                <w:kern w:val="0"/>
                <w:sz w:val="18"/>
                <w:szCs w:val="18"/>
              </w:rPr>
              <w:t>裁量幅度</w:t>
            </w:r>
          </w:p>
        </w:tc>
        <w:tc>
          <w:tcPr>
            <w:tcW w:w="5614" w:type="dxa"/>
            <w:vAlign w:val="center"/>
          </w:tcPr>
          <w:p w14:paraId="467A1E1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14:paraId="72CB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010" w:type="dxa"/>
            <w:vMerge w:val="continue"/>
            <w:vAlign w:val="center"/>
          </w:tcPr>
          <w:p w14:paraId="68229102">
            <w:pPr>
              <w:spacing w:line="320" w:lineRule="exact"/>
              <w:jc w:val="left"/>
              <w:rPr>
                <w:color w:val="000000"/>
                <w:kern w:val="0"/>
                <w:sz w:val="18"/>
                <w:szCs w:val="18"/>
              </w:rPr>
            </w:pPr>
          </w:p>
        </w:tc>
        <w:tc>
          <w:tcPr>
            <w:tcW w:w="6376" w:type="dxa"/>
            <w:vAlign w:val="center"/>
          </w:tcPr>
          <w:p w14:paraId="6A0204B4">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continue"/>
            <w:vAlign w:val="center"/>
          </w:tcPr>
          <w:p w14:paraId="433F31EC">
            <w:pPr>
              <w:spacing w:line="320" w:lineRule="exact"/>
              <w:jc w:val="left"/>
              <w:rPr>
                <w:color w:val="000000"/>
                <w:kern w:val="0"/>
                <w:sz w:val="18"/>
                <w:szCs w:val="18"/>
              </w:rPr>
            </w:pPr>
          </w:p>
        </w:tc>
        <w:tc>
          <w:tcPr>
            <w:tcW w:w="5614" w:type="dxa"/>
            <w:vAlign w:val="center"/>
          </w:tcPr>
          <w:p w14:paraId="0F43F0A2">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698F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010" w:type="dxa"/>
            <w:vMerge w:val="continue"/>
            <w:vAlign w:val="center"/>
          </w:tcPr>
          <w:p w14:paraId="7A64D4E5">
            <w:pPr>
              <w:spacing w:line="320" w:lineRule="exact"/>
              <w:jc w:val="left"/>
              <w:rPr>
                <w:color w:val="000000"/>
                <w:kern w:val="0"/>
                <w:sz w:val="18"/>
                <w:szCs w:val="18"/>
              </w:rPr>
            </w:pPr>
          </w:p>
        </w:tc>
        <w:tc>
          <w:tcPr>
            <w:tcW w:w="6376" w:type="dxa"/>
            <w:vAlign w:val="center"/>
          </w:tcPr>
          <w:p w14:paraId="0EE0644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continue"/>
            <w:vAlign w:val="center"/>
          </w:tcPr>
          <w:p w14:paraId="6FAA5C4D">
            <w:pPr>
              <w:spacing w:line="320" w:lineRule="exact"/>
              <w:jc w:val="left"/>
              <w:rPr>
                <w:color w:val="000000"/>
                <w:kern w:val="0"/>
                <w:sz w:val="18"/>
                <w:szCs w:val="18"/>
              </w:rPr>
            </w:pPr>
          </w:p>
        </w:tc>
        <w:tc>
          <w:tcPr>
            <w:tcW w:w="5614" w:type="dxa"/>
            <w:vAlign w:val="center"/>
          </w:tcPr>
          <w:p w14:paraId="45E02A11">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14:paraId="2717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010" w:type="dxa"/>
            <w:vMerge w:val="continue"/>
            <w:vAlign w:val="center"/>
          </w:tcPr>
          <w:p w14:paraId="18EDE66F">
            <w:pPr>
              <w:spacing w:line="320" w:lineRule="exact"/>
              <w:jc w:val="left"/>
              <w:rPr>
                <w:color w:val="000000"/>
                <w:kern w:val="0"/>
                <w:sz w:val="18"/>
                <w:szCs w:val="18"/>
              </w:rPr>
            </w:pPr>
          </w:p>
        </w:tc>
        <w:tc>
          <w:tcPr>
            <w:tcW w:w="6376" w:type="dxa"/>
            <w:vAlign w:val="center"/>
          </w:tcPr>
          <w:p w14:paraId="407C03D2">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continue"/>
            <w:vAlign w:val="center"/>
          </w:tcPr>
          <w:p w14:paraId="4B958FE8">
            <w:pPr>
              <w:spacing w:line="320" w:lineRule="exact"/>
              <w:jc w:val="left"/>
              <w:rPr>
                <w:color w:val="000000"/>
                <w:kern w:val="0"/>
                <w:sz w:val="18"/>
                <w:szCs w:val="18"/>
              </w:rPr>
            </w:pPr>
          </w:p>
        </w:tc>
        <w:tc>
          <w:tcPr>
            <w:tcW w:w="5614" w:type="dxa"/>
            <w:vAlign w:val="center"/>
          </w:tcPr>
          <w:p w14:paraId="427B1E2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14:paraId="0108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010" w:type="dxa"/>
            <w:vMerge w:val="continue"/>
            <w:vAlign w:val="center"/>
          </w:tcPr>
          <w:p w14:paraId="591334FA">
            <w:pPr>
              <w:spacing w:line="320" w:lineRule="exact"/>
              <w:jc w:val="left"/>
              <w:rPr>
                <w:color w:val="000000"/>
                <w:kern w:val="0"/>
                <w:sz w:val="18"/>
                <w:szCs w:val="18"/>
              </w:rPr>
            </w:pPr>
          </w:p>
        </w:tc>
        <w:tc>
          <w:tcPr>
            <w:tcW w:w="6376" w:type="dxa"/>
            <w:vAlign w:val="center"/>
          </w:tcPr>
          <w:p w14:paraId="5C579098">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continue"/>
            <w:vAlign w:val="center"/>
          </w:tcPr>
          <w:p w14:paraId="49C5F2BC">
            <w:pPr>
              <w:spacing w:line="320" w:lineRule="exact"/>
              <w:jc w:val="left"/>
              <w:rPr>
                <w:color w:val="000000"/>
                <w:kern w:val="0"/>
                <w:sz w:val="18"/>
                <w:szCs w:val="18"/>
              </w:rPr>
            </w:pPr>
          </w:p>
        </w:tc>
        <w:tc>
          <w:tcPr>
            <w:tcW w:w="5614" w:type="dxa"/>
            <w:vAlign w:val="center"/>
          </w:tcPr>
          <w:p w14:paraId="2229584A">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14:paraId="621FD01C"/>
    <w:p w14:paraId="4C07056E"/>
    <w:p w14:paraId="6DED8CD1"/>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5DA2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0A27F2C">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6E3927DF">
            <w:pPr>
              <w:spacing w:line="320" w:lineRule="exact"/>
              <w:rPr>
                <w:rFonts w:eastAsia="仿宋_GB2312"/>
                <w:b/>
                <w:bCs/>
                <w:color w:val="000000"/>
                <w:kern w:val="0"/>
                <w:sz w:val="18"/>
                <w:szCs w:val="18"/>
              </w:rPr>
            </w:pPr>
            <w:r>
              <w:rPr>
                <w:rFonts w:eastAsia="仿宋_GB2312"/>
                <w:b/>
                <w:bCs/>
                <w:color w:val="000000"/>
                <w:kern w:val="0"/>
                <w:sz w:val="18"/>
                <w:szCs w:val="18"/>
              </w:rPr>
              <w:t>320217890000</w:t>
            </w:r>
          </w:p>
        </w:tc>
      </w:tr>
      <w:tr w14:paraId="09904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CBFD9F4">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277557B9">
            <w:pPr>
              <w:spacing w:line="320" w:lineRule="exact"/>
              <w:jc w:val="left"/>
              <w:rPr>
                <w:color w:val="000000"/>
                <w:spacing w:val="-6"/>
                <w:kern w:val="0"/>
                <w:sz w:val="18"/>
                <w:szCs w:val="18"/>
              </w:rPr>
            </w:pPr>
            <w:r>
              <w:rPr>
                <w:rFonts w:hint="eastAsia"/>
                <w:color w:val="000000"/>
                <w:spacing w:val="-6"/>
                <w:kern w:val="0"/>
                <w:sz w:val="18"/>
                <w:szCs w:val="18"/>
              </w:rPr>
              <w:t>对施工总承包单位、分包单位未实行劳动用工实名制管理的处罚</w:t>
            </w:r>
          </w:p>
        </w:tc>
      </w:tr>
      <w:tr w14:paraId="7DE2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03C76E74">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44546EE1">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14:paraId="185C0BEC">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第六条　用人单位实行农民工劳动用工实名制管理，与招用的农民工书面约定或者通过依法制定的规章制度规定工资支付标准、支付时间、支付方式等内容。</w:t>
            </w:r>
          </w:p>
          <w:p w14:paraId="145DB62D">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14:paraId="717FD206">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第三十条　分包单位对所招用农民工的实名制管理和工资支付负直接责任。</w:t>
            </w:r>
          </w:p>
          <w:p w14:paraId="6BF14282">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施工总承包单位对分包单位劳动用工和工资发放等情况进行监督。</w:t>
            </w:r>
          </w:p>
          <w:p w14:paraId="797A5C70">
            <w:pPr>
              <w:spacing w:line="320" w:lineRule="exact"/>
              <w:jc w:val="left"/>
              <w:rPr>
                <w:color w:val="000000"/>
                <w:kern w:val="0"/>
                <w:sz w:val="18"/>
                <w:szCs w:val="18"/>
              </w:rPr>
            </w:pPr>
            <w:r>
              <w:rPr>
                <w:rFonts w:hint="eastAsia"/>
                <w:color w:val="000000"/>
                <w:kern w:val="0"/>
                <w:sz w:val="18"/>
                <w:szCs w:val="18"/>
              </w:rPr>
              <w:t>分包单位拖欠农民工工资的，由施工总承包单位先行清偿，再依法进行追偿。</w:t>
            </w:r>
          </w:p>
          <w:p w14:paraId="5A4DF6B2">
            <w:pPr>
              <w:spacing w:line="320" w:lineRule="exact"/>
              <w:jc w:val="left"/>
              <w:rPr>
                <w:color w:val="000000"/>
                <w:kern w:val="0"/>
                <w:sz w:val="18"/>
                <w:szCs w:val="18"/>
              </w:rPr>
            </w:pP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14:paraId="3628366A">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第五十五条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万元以下的罚款；情节严重的，给予施工单位限制承接新工程、降低资质等级、吊销资质证书等处罚：</w:t>
            </w:r>
          </w:p>
          <w:p w14:paraId="5C1C87BE">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（三）施工总承包单位、分包单位未实行劳动用工实名制管理。</w:t>
            </w:r>
          </w:p>
        </w:tc>
      </w:tr>
      <w:tr w14:paraId="688A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721DE4B3">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E9F9274">
            <w:pPr>
              <w:spacing w:line="320" w:lineRule="exact"/>
              <w:jc w:val="left"/>
              <w:rPr>
                <w:color w:val="000000"/>
                <w:kern w:val="0"/>
                <w:sz w:val="18"/>
                <w:szCs w:val="18"/>
              </w:rPr>
            </w:pPr>
            <w:r>
              <w:rPr>
                <w:rFonts w:hint="eastAsia"/>
                <w:color w:val="000000"/>
                <w:kern w:val="0"/>
                <w:sz w:val="18"/>
                <w:szCs w:val="18"/>
              </w:rPr>
              <w:t>责令停工，罚款，限制承接新工程，降低资质等级，吊销资质证书</w:t>
            </w:r>
          </w:p>
        </w:tc>
      </w:tr>
      <w:tr w14:paraId="48296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E38BD0C">
            <w:pPr>
              <w:spacing w:line="320" w:lineRule="exact"/>
              <w:jc w:val="center"/>
              <w:rPr>
                <w:color w:val="000000"/>
                <w:kern w:val="0"/>
                <w:sz w:val="18"/>
                <w:szCs w:val="18"/>
              </w:rPr>
            </w:pPr>
            <w:r>
              <w:rPr>
                <w:rFonts w:hint="eastAsia"/>
                <w:color w:val="000000"/>
                <w:kern w:val="0"/>
                <w:sz w:val="18"/>
                <w:szCs w:val="18"/>
              </w:rPr>
              <w:t>裁量基准</w:t>
            </w:r>
          </w:p>
        </w:tc>
      </w:tr>
      <w:tr w14:paraId="622C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2C2BB6D">
            <w:pPr>
              <w:rPr>
                <w:color w:val="000000"/>
                <w:kern w:val="0"/>
                <w:sz w:val="18"/>
                <w:szCs w:val="18"/>
              </w:rPr>
            </w:pPr>
            <w:r>
              <w:rPr>
                <w:rFonts w:hint="eastAsia"/>
                <w:color w:val="000000"/>
                <w:kern w:val="0"/>
                <w:sz w:val="18"/>
                <w:szCs w:val="18"/>
              </w:rPr>
              <w:t>情形描述</w:t>
            </w:r>
          </w:p>
        </w:tc>
        <w:tc>
          <w:tcPr>
            <w:tcW w:w="6376" w:type="dxa"/>
            <w:vAlign w:val="center"/>
          </w:tcPr>
          <w:p w14:paraId="4C532142">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14:paraId="05344C93">
            <w:pPr>
              <w:rPr>
                <w:color w:val="000000"/>
                <w:kern w:val="0"/>
                <w:sz w:val="18"/>
                <w:szCs w:val="18"/>
              </w:rPr>
            </w:pPr>
            <w:r>
              <w:rPr>
                <w:rFonts w:hint="eastAsia"/>
                <w:color w:val="000000"/>
                <w:kern w:val="0"/>
                <w:sz w:val="18"/>
                <w:szCs w:val="18"/>
              </w:rPr>
              <w:t>裁量幅度</w:t>
            </w:r>
          </w:p>
        </w:tc>
        <w:tc>
          <w:tcPr>
            <w:tcW w:w="5614" w:type="dxa"/>
            <w:vAlign w:val="center"/>
          </w:tcPr>
          <w:p w14:paraId="3A0D20B7">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2BC1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010" w:type="dxa"/>
            <w:vMerge w:val="continue"/>
            <w:vAlign w:val="center"/>
          </w:tcPr>
          <w:p w14:paraId="32370A4C">
            <w:pPr>
              <w:spacing w:line="320" w:lineRule="exact"/>
              <w:jc w:val="left"/>
              <w:rPr>
                <w:color w:val="000000"/>
                <w:kern w:val="0"/>
                <w:sz w:val="18"/>
                <w:szCs w:val="18"/>
              </w:rPr>
            </w:pPr>
          </w:p>
        </w:tc>
        <w:tc>
          <w:tcPr>
            <w:tcW w:w="6376" w:type="dxa"/>
            <w:vAlign w:val="center"/>
          </w:tcPr>
          <w:p w14:paraId="7F4D754B">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continue"/>
            <w:vAlign w:val="center"/>
          </w:tcPr>
          <w:p w14:paraId="72BFF8C1">
            <w:pPr>
              <w:spacing w:line="320" w:lineRule="exact"/>
              <w:jc w:val="left"/>
              <w:rPr>
                <w:color w:val="000000"/>
                <w:kern w:val="0"/>
                <w:sz w:val="18"/>
                <w:szCs w:val="18"/>
              </w:rPr>
            </w:pPr>
          </w:p>
        </w:tc>
        <w:tc>
          <w:tcPr>
            <w:tcW w:w="5614" w:type="dxa"/>
            <w:vAlign w:val="center"/>
          </w:tcPr>
          <w:p w14:paraId="31A833F4">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14:paraId="0427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010" w:type="dxa"/>
            <w:vMerge w:val="continue"/>
            <w:vAlign w:val="center"/>
          </w:tcPr>
          <w:p w14:paraId="2D564D9E">
            <w:pPr>
              <w:spacing w:line="320" w:lineRule="exact"/>
              <w:jc w:val="left"/>
              <w:rPr>
                <w:color w:val="000000"/>
                <w:kern w:val="0"/>
                <w:sz w:val="18"/>
                <w:szCs w:val="18"/>
              </w:rPr>
            </w:pPr>
          </w:p>
        </w:tc>
        <w:tc>
          <w:tcPr>
            <w:tcW w:w="6376" w:type="dxa"/>
            <w:vAlign w:val="center"/>
          </w:tcPr>
          <w:p w14:paraId="77BEE239">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continue"/>
            <w:vAlign w:val="center"/>
          </w:tcPr>
          <w:p w14:paraId="454B0443">
            <w:pPr>
              <w:spacing w:line="320" w:lineRule="exact"/>
              <w:jc w:val="left"/>
              <w:rPr>
                <w:color w:val="000000"/>
                <w:kern w:val="0"/>
                <w:sz w:val="18"/>
                <w:szCs w:val="18"/>
              </w:rPr>
            </w:pPr>
          </w:p>
        </w:tc>
        <w:tc>
          <w:tcPr>
            <w:tcW w:w="5614" w:type="dxa"/>
            <w:vAlign w:val="center"/>
          </w:tcPr>
          <w:p w14:paraId="66C65F6B">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万元罚款，限制承接新工程</w:t>
            </w:r>
          </w:p>
        </w:tc>
      </w:tr>
      <w:tr w14:paraId="734D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010" w:type="dxa"/>
            <w:vMerge w:val="continue"/>
            <w:vAlign w:val="center"/>
          </w:tcPr>
          <w:p w14:paraId="4CCCAA49">
            <w:pPr>
              <w:spacing w:line="320" w:lineRule="exact"/>
              <w:jc w:val="left"/>
              <w:rPr>
                <w:color w:val="000000"/>
                <w:kern w:val="0"/>
                <w:sz w:val="18"/>
                <w:szCs w:val="18"/>
              </w:rPr>
            </w:pPr>
          </w:p>
        </w:tc>
        <w:tc>
          <w:tcPr>
            <w:tcW w:w="6376" w:type="dxa"/>
            <w:vAlign w:val="center"/>
          </w:tcPr>
          <w:p w14:paraId="11EB5236">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continue"/>
            <w:vAlign w:val="center"/>
          </w:tcPr>
          <w:p w14:paraId="5CE80F40">
            <w:pPr>
              <w:spacing w:line="320" w:lineRule="exact"/>
              <w:jc w:val="left"/>
              <w:rPr>
                <w:color w:val="000000"/>
                <w:kern w:val="0"/>
                <w:sz w:val="18"/>
                <w:szCs w:val="18"/>
              </w:rPr>
            </w:pPr>
          </w:p>
        </w:tc>
        <w:tc>
          <w:tcPr>
            <w:tcW w:w="5614" w:type="dxa"/>
            <w:vAlign w:val="center"/>
          </w:tcPr>
          <w:p w14:paraId="27750CF3">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万元罚款，降低资质等级</w:t>
            </w:r>
          </w:p>
        </w:tc>
      </w:tr>
      <w:tr w14:paraId="6597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010" w:type="dxa"/>
            <w:vMerge w:val="continue"/>
            <w:vAlign w:val="center"/>
          </w:tcPr>
          <w:p w14:paraId="618D67FD">
            <w:pPr>
              <w:spacing w:line="320" w:lineRule="exact"/>
              <w:jc w:val="left"/>
              <w:rPr>
                <w:color w:val="000000"/>
                <w:kern w:val="0"/>
                <w:sz w:val="18"/>
                <w:szCs w:val="18"/>
              </w:rPr>
            </w:pPr>
          </w:p>
        </w:tc>
        <w:tc>
          <w:tcPr>
            <w:tcW w:w="6376" w:type="dxa"/>
            <w:vAlign w:val="center"/>
          </w:tcPr>
          <w:p w14:paraId="082A14F2">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continue"/>
            <w:vAlign w:val="center"/>
          </w:tcPr>
          <w:p w14:paraId="43BB1863">
            <w:pPr>
              <w:spacing w:line="320" w:lineRule="exact"/>
              <w:jc w:val="left"/>
              <w:rPr>
                <w:color w:val="000000"/>
                <w:kern w:val="0"/>
                <w:sz w:val="18"/>
                <w:szCs w:val="18"/>
              </w:rPr>
            </w:pPr>
          </w:p>
        </w:tc>
        <w:tc>
          <w:tcPr>
            <w:tcW w:w="5614" w:type="dxa"/>
            <w:vAlign w:val="center"/>
          </w:tcPr>
          <w:p w14:paraId="03D96362">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万元罚款，吊销资质证书</w:t>
            </w:r>
          </w:p>
        </w:tc>
      </w:tr>
    </w:tbl>
    <w:p w14:paraId="183A3013"/>
    <w:p w14:paraId="326E3516"/>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5C3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8327331">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1ACEDCD">
            <w:pPr>
              <w:spacing w:line="320" w:lineRule="exact"/>
              <w:rPr>
                <w:rFonts w:eastAsia="仿宋_GB2312"/>
                <w:b/>
                <w:bCs/>
                <w:color w:val="000000"/>
                <w:kern w:val="0"/>
                <w:sz w:val="18"/>
                <w:szCs w:val="18"/>
              </w:rPr>
            </w:pPr>
            <w:r>
              <w:rPr>
                <w:rFonts w:eastAsia="仿宋_GB2312"/>
                <w:b/>
                <w:bCs/>
                <w:color w:val="000000"/>
                <w:kern w:val="0"/>
                <w:sz w:val="18"/>
                <w:szCs w:val="18"/>
              </w:rPr>
              <w:t>320217891000</w:t>
            </w:r>
          </w:p>
        </w:tc>
      </w:tr>
      <w:tr w14:paraId="7EF0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67B47C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698046A7">
            <w:pPr>
              <w:spacing w:line="320" w:lineRule="exact"/>
              <w:jc w:val="left"/>
              <w:rPr>
                <w:color w:val="000000"/>
                <w:spacing w:val="-6"/>
                <w:kern w:val="0"/>
                <w:sz w:val="18"/>
                <w:szCs w:val="18"/>
              </w:rPr>
            </w:pPr>
            <w:r>
              <w:rPr>
                <w:rFonts w:hint="eastAsia"/>
                <w:color w:val="000000"/>
                <w:spacing w:val="-6"/>
                <w:kern w:val="0"/>
                <w:sz w:val="18"/>
                <w:szCs w:val="18"/>
              </w:rPr>
              <w:t>对施工总承包单位未按规定开设或者使用农民工工资专用账户的处罚</w:t>
            </w:r>
          </w:p>
        </w:tc>
      </w:tr>
      <w:tr w14:paraId="0BB6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028E0BA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1A75A043">
            <w:pPr>
              <w:spacing w:line="320" w:lineRule="exact"/>
              <w:jc w:val="left"/>
              <w:rPr>
                <w:color w:val="000000"/>
                <w:kern w:val="0"/>
                <w:sz w:val="18"/>
                <w:szCs w:val="18"/>
              </w:rPr>
            </w:pPr>
            <w:r>
              <w:rPr>
                <w:rFonts w:hint="eastAsia"/>
                <w:color w:val="000000"/>
                <w:kern w:val="0"/>
                <w:sz w:val="18"/>
                <w:szCs w:val="18"/>
              </w:rPr>
              <w:t>【行政法规】《保障农民工工资支付条例》（国务院令第724号）</w:t>
            </w:r>
          </w:p>
          <w:p w14:paraId="06A26008">
            <w:pPr>
              <w:spacing w:line="320" w:lineRule="exact"/>
              <w:jc w:val="left"/>
              <w:rPr>
                <w:color w:val="000000"/>
                <w:kern w:val="0"/>
                <w:sz w:val="18"/>
                <w:szCs w:val="18"/>
              </w:rPr>
            </w:pPr>
            <w:r>
              <w:rPr>
                <w:rFonts w:hint="eastAsia"/>
                <w:color w:val="000000"/>
                <w:kern w:val="0"/>
                <w:sz w:val="18"/>
                <w:szCs w:val="18"/>
              </w:rPr>
              <w:t xml:space="preserve">         第七条第二款  住房城乡建设、交通运输、水利等相关行业工程建设主管部门按照职责履行行业监管责任，督办因违法发包、转包、违法分包、挂靠、拖欠工程款等导致的拖欠农民工工资案件。</w:t>
            </w:r>
          </w:p>
          <w:p w14:paraId="02A6DA79">
            <w:pPr>
              <w:spacing w:line="320" w:lineRule="exact"/>
              <w:jc w:val="left"/>
              <w:rPr>
                <w:color w:val="000000"/>
                <w:kern w:val="0"/>
                <w:sz w:val="18"/>
                <w:szCs w:val="18"/>
              </w:rPr>
            </w:pPr>
            <w:r>
              <w:rPr>
                <w:rFonts w:hint="eastAsia"/>
                <w:color w:val="000000"/>
                <w:kern w:val="0"/>
                <w:sz w:val="18"/>
                <w:szCs w:val="18"/>
              </w:rPr>
              <w:t xml:space="preserve">          第二十六条　施工总承包单位应当按照有关规定开设农民工工资专用账户，专项用于支付该工程建设项目农民工工资。</w:t>
            </w:r>
          </w:p>
          <w:p w14:paraId="5794DD10">
            <w:pPr>
              <w:spacing w:line="320" w:lineRule="exact"/>
              <w:jc w:val="left"/>
              <w:rPr>
                <w:color w:val="000000"/>
                <w:kern w:val="0"/>
                <w:sz w:val="18"/>
                <w:szCs w:val="18"/>
              </w:rPr>
            </w:pPr>
            <w:r>
              <w:rPr>
                <w:rFonts w:hint="eastAsia"/>
                <w:color w:val="000000"/>
                <w:kern w:val="0"/>
                <w:sz w:val="18"/>
                <w:szCs w:val="18"/>
              </w:rPr>
              <w:t xml:space="preserve">         开设、使用农民工工资专用账户有关资料应当由施工总承包单位妥善保存备查。</w:t>
            </w:r>
          </w:p>
          <w:p w14:paraId="0991AE79">
            <w:pPr>
              <w:spacing w:line="320" w:lineRule="exact"/>
              <w:jc w:val="left"/>
              <w:rPr>
                <w:color w:val="000000"/>
                <w:kern w:val="0"/>
                <w:sz w:val="18"/>
                <w:szCs w:val="18"/>
              </w:rPr>
            </w:pPr>
            <w:r>
              <w:rPr>
                <w:rFonts w:hint="eastAsia"/>
                <w:color w:val="000000"/>
                <w:kern w:val="0"/>
                <w:sz w:val="18"/>
                <w:szCs w:val="18"/>
              </w:rPr>
              <w:t xml:space="preserve">          第四十三条　相关行业工程建设主管部门应当依法规范本领域建设市场秩序，对违法发包、转包、违法分包、挂靠等行为进行查处，并对导致拖欠农民工工资的违法行为及时予以制止、纠正。</w:t>
            </w:r>
          </w:p>
          <w:p w14:paraId="59FD2621">
            <w:pPr>
              <w:spacing w:line="320" w:lineRule="exact"/>
              <w:jc w:val="left"/>
              <w:rPr>
                <w:color w:val="000000"/>
                <w:kern w:val="0"/>
                <w:sz w:val="18"/>
                <w:szCs w:val="18"/>
              </w:rPr>
            </w:pPr>
            <w:r>
              <w:rPr>
                <w:rFonts w:hint="eastAsia"/>
                <w:color w:val="000000"/>
                <w:kern w:val="0"/>
                <w:sz w:val="18"/>
                <w:szCs w:val="18"/>
              </w:rPr>
              <w:t xml:space="preserve">         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w:t>
            </w:r>
          </w:p>
          <w:p w14:paraId="779D1A88">
            <w:pPr>
              <w:spacing w:line="320" w:lineRule="exact"/>
              <w:jc w:val="left"/>
              <w:rPr>
                <w:color w:val="000000"/>
                <w:kern w:val="0"/>
                <w:sz w:val="18"/>
                <w:szCs w:val="18"/>
              </w:rPr>
            </w:pPr>
            <w:r>
              <w:rPr>
                <w:rFonts w:hint="eastAsia"/>
                <w:color w:val="000000"/>
                <w:kern w:val="0"/>
                <w:sz w:val="18"/>
                <w:szCs w:val="18"/>
              </w:rPr>
              <w:t xml:space="preserve">         （一）施工总承包单位未按规定开设或者使用农民工工资专用账户；</w:t>
            </w:r>
          </w:p>
        </w:tc>
      </w:tr>
      <w:tr w14:paraId="3A8F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A820D61">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7BDC2AC9">
            <w:pPr>
              <w:spacing w:line="320" w:lineRule="exact"/>
              <w:jc w:val="left"/>
              <w:rPr>
                <w:color w:val="000000"/>
                <w:kern w:val="0"/>
                <w:sz w:val="18"/>
                <w:szCs w:val="18"/>
              </w:rPr>
            </w:pPr>
            <w:r>
              <w:rPr>
                <w:rFonts w:hint="eastAsia"/>
                <w:color w:val="000000"/>
                <w:kern w:val="0"/>
                <w:sz w:val="18"/>
                <w:szCs w:val="18"/>
              </w:rPr>
              <w:t>责令限期改正，责令停工，罚款，限制承接新工程，降低资质等级，吊销资质证书</w:t>
            </w:r>
          </w:p>
        </w:tc>
      </w:tr>
      <w:tr w14:paraId="2583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3D809570">
            <w:pPr>
              <w:spacing w:line="320" w:lineRule="exact"/>
              <w:jc w:val="center"/>
              <w:rPr>
                <w:color w:val="000000"/>
                <w:kern w:val="0"/>
                <w:sz w:val="18"/>
                <w:szCs w:val="18"/>
              </w:rPr>
            </w:pPr>
            <w:r>
              <w:rPr>
                <w:rFonts w:hint="eastAsia"/>
                <w:color w:val="000000"/>
                <w:kern w:val="0"/>
                <w:sz w:val="18"/>
                <w:szCs w:val="18"/>
              </w:rPr>
              <w:t>裁量基准</w:t>
            </w:r>
          </w:p>
        </w:tc>
      </w:tr>
      <w:tr w14:paraId="44F1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2B1B4C16">
            <w:pPr>
              <w:rPr>
                <w:color w:val="000000"/>
                <w:kern w:val="0"/>
                <w:sz w:val="18"/>
                <w:szCs w:val="18"/>
              </w:rPr>
            </w:pPr>
            <w:r>
              <w:rPr>
                <w:rFonts w:hint="eastAsia"/>
                <w:color w:val="000000"/>
                <w:kern w:val="0"/>
                <w:sz w:val="18"/>
                <w:szCs w:val="18"/>
              </w:rPr>
              <w:t>情形描述</w:t>
            </w:r>
          </w:p>
        </w:tc>
        <w:tc>
          <w:tcPr>
            <w:tcW w:w="6376" w:type="dxa"/>
            <w:vAlign w:val="center"/>
          </w:tcPr>
          <w:p w14:paraId="6B5F457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14:paraId="4510E150">
            <w:pPr>
              <w:rPr>
                <w:color w:val="000000"/>
                <w:kern w:val="0"/>
                <w:sz w:val="18"/>
                <w:szCs w:val="18"/>
              </w:rPr>
            </w:pPr>
            <w:r>
              <w:rPr>
                <w:rFonts w:hint="eastAsia"/>
                <w:color w:val="000000"/>
                <w:kern w:val="0"/>
                <w:sz w:val="18"/>
                <w:szCs w:val="18"/>
              </w:rPr>
              <w:t>裁量幅度</w:t>
            </w:r>
          </w:p>
        </w:tc>
        <w:tc>
          <w:tcPr>
            <w:tcW w:w="5614" w:type="dxa"/>
            <w:vAlign w:val="center"/>
          </w:tcPr>
          <w:p w14:paraId="6CEC52B0">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14:paraId="60D4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010" w:type="dxa"/>
            <w:vMerge w:val="continue"/>
            <w:vAlign w:val="center"/>
          </w:tcPr>
          <w:p w14:paraId="1FCFF4CD">
            <w:pPr>
              <w:spacing w:line="320" w:lineRule="exact"/>
              <w:jc w:val="left"/>
              <w:rPr>
                <w:color w:val="000000"/>
                <w:kern w:val="0"/>
                <w:sz w:val="18"/>
                <w:szCs w:val="18"/>
              </w:rPr>
            </w:pPr>
          </w:p>
        </w:tc>
        <w:tc>
          <w:tcPr>
            <w:tcW w:w="6376" w:type="dxa"/>
            <w:vAlign w:val="center"/>
          </w:tcPr>
          <w:p w14:paraId="6C9D75B8">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continue"/>
            <w:vAlign w:val="center"/>
          </w:tcPr>
          <w:p w14:paraId="6C98FB7B">
            <w:pPr>
              <w:spacing w:line="320" w:lineRule="exact"/>
              <w:jc w:val="left"/>
              <w:rPr>
                <w:color w:val="000000"/>
                <w:kern w:val="0"/>
                <w:sz w:val="18"/>
                <w:szCs w:val="18"/>
              </w:rPr>
            </w:pPr>
          </w:p>
        </w:tc>
        <w:tc>
          <w:tcPr>
            <w:tcW w:w="5614" w:type="dxa"/>
            <w:vAlign w:val="center"/>
          </w:tcPr>
          <w:p w14:paraId="65CD0AFB">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14:paraId="5C29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010" w:type="dxa"/>
            <w:vMerge w:val="continue"/>
            <w:vAlign w:val="center"/>
          </w:tcPr>
          <w:p w14:paraId="57040235">
            <w:pPr>
              <w:spacing w:line="320" w:lineRule="exact"/>
              <w:jc w:val="left"/>
              <w:rPr>
                <w:color w:val="000000"/>
                <w:kern w:val="0"/>
                <w:sz w:val="18"/>
                <w:szCs w:val="18"/>
              </w:rPr>
            </w:pPr>
          </w:p>
        </w:tc>
        <w:tc>
          <w:tcPr>
            <w:tcW w:w="6376" w:type="dxa"/>
            <w:vAlign w:val="center"/>
          </w:tcPr>
          <w:p w14:paraId="372B72B9">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continue"/>
            <w:vAlign w:val="center"/>
          </w:tcPr>
          <w:p w14:paraId="76B23836">
            <w:pPr>
              <w:spacing w:line="320" w:lineRule="exact"/>
              <w:jc w:val="left"/>
              <w:rPr>
                <w:color w:val="000000"/>
                <w:kern w:val="0"/>
                <w:sz w:val="18"/>
                <w:szCs w:val="18"/>
              </w:rPr>
            </w:pPr>
          </w:p>
        </w:tc>
        <w:tc>
          <w:tcPr>
            <w:tcW w:w="5614" w:type="dxa"/>
            <w:vAlign w:val="center"/>
          </w:tcPr>
          <w:p w14:paraId="3CD718BC">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万元罚款，限制承接新工程</w:t>
            </w:r>
          </w:p>
        </w:tc>
      </w:tr>
      <w:tr w14:paraId="4B92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010" w:type="dxa"/>
            <w:vMerge w:val="continue"/>
            <w:vAlign w:val="center"/>
          </w:tcPr>
          <w:p w14:paraId="0B74C0BC">
            <w:pPr>
              <w:spacing w:line="320" w:lineRule="exact"/>
              <w:jc w:val="left"/>
              <w:rPr>
                <w:color w:val="000000"/>
                <w:kern w:val="0"/>
                <w:sz w:val="18"/>
                <w:szCs w:val="18"/>
              </w:rPr>
            </w:pPr>
          </w:p>
        </w:tc>
        <w:tc>
          <w:tcPr>
            <w:tcW w:w="6376" w:type="dxa"/>
            <w:vAlign w:val="center"/>
          </w:tcPr>
          <w:p w14:paraId="144CA4C1">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continue"/>
            <w:vAlign w:val="center"/>
          </w:tcPr>
          <w:p w14:paraId="49ED9587">
            <w:pPr>
              <w:spacing w:line="320" w:lineRule="exact"/>
              <w:jc w:val="left"/>
              <w:rPr>
                <w:color w:val="000000"/>
                <w:kern w:val="0"/>
                <w:sz w:val="18"/>
                <w:szCs w:val="18"/>
              </w:rPr>
            </w:pPr>
          </w:p>
        </w:tc>
        <w:tc>
          <w:tcPr>
            <w:tcW w:w="5614" w:type="dxa"/>
            <w:vAlign w:val="center"/>
          </w:tcPr>
          <w:p w14:paraId="1B895543">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万元罚款，降低资质等级</w:t>
            </w:r>
          </w:p>
        </w:tc>
      </w:tr>
      <w:tr w14:paraId="2C3E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010" w:type="dxa"/>
            <w:vMerge w:val="continue"/>
            <w:vAlign w:val="center"/>
          </w:tcPr>
          <w:p w14:paraId="374EC28D">
            <w:pPr>
              <w:spacing w:line="320" w:lineRule="exact"/>
              <w:jc w:val="left"/>
              <w:rPr>
                <w:color w:val="000000"/>
                <w:kern w:val="0"/>
                <w:sz w:val="18"/>
                <w:szCs w:val="18"/>
              </w:rPr>
            </w:pPr>
          </w:p>
        </w:tc>
        <w:tc>
          <w:tcPr>
            <w:tcW w:w="6376" w:type="dxa"/>
            <w:vAlign w:val="center"/>
          </w:tcPr>
          <w:p w14:paraId="75B8B194">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continue"/>
            <w:vAlign w:val="center"/>
          </w:tcPr>
          <w:p w14:paraId="54B50EBC">
            <w:pPr>
              <w:spacing w:line="320" w:lineRule="exact"/>
              <w:jc w:val="left"/>
              <w:rPr>
                <w:color w:val="000000"/>
                <w:kern w:val="0"/>
                <w:sz w:val="18"/>
                <w:szCs w:val="18"/>
              </w:rPr>
            </w:pPr>
          </w:p>
        </w:tc>
        <w:tc>
          <w:tcPr>
            <w:tcW w:w="5614" w:type="dxa"/>
            <w:vAlign w:val="center"/>
          </w:tcPr>
          <w:p w14:paraId="569571CA">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万元罚款，吊销资质证书</w:t>
            </w:r>
          </w:p>
        </w:tc>
      </w:tr>
    </w:tbl>
    <w:p w14:paraId="7FAEC902"/>
    <w:p w14:paraId="387066E2"/>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8D7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009688F">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2CCEE5D">
            <w:pPr>
              <w:spacing w:line="320" w:lineRule="exact"/>
              <w:rPr>
                <w:rFonts w:eastAsia="仿宋_GB2312"/>
                <w:b/>
                <w:bCs/>
                <w:color w:val="000000"/>
                <w:kern w:val="0"/>
                <w:sz w:val="18"/>
                <w:szCs w:val="18"/>
              </w:rPr>
            </w:pPr>
            <w:r>
              <w:rPr>
                <w:rFonts w:eastAsia="仿宋_GB2312"/>
                <w:b/>
                <w:bCs/>
                <w:color w:val="000000"/>
                <w:kern w:val="0"/>
                <w:sz w:val="18"/>
                <w:szCs w:val="18"/>
              </w:rPr>
              <w:t>320217892000</w:t>
            </w:r>
          </w:p>
        </w:tc>
      </w:tr>
      <w:tr w14:paraId="0C6D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73DAA29B">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3E317E2C">
            <w:pPr>
              <w:spacing w:line="320" w:lineRule="exact"/>
              <w:jc w:val="left"/>
              <w:rPr>
                <w:color w:val="000000"/>
                <w:spacing w:val="-6"/>
                <w:kern w:val="0"/>
                <w:sz w:val="18"/>
                <w:szCs w:val="18"/>
              </w:rPr>
            </w:pPr>
            <w:r>
              <w:rPr>
                <w:rFonts w:hint="eastAsia"/>
                <w:color w:val="000000"/>
                <w:spacing w:val="-6"/>
                <w:kern w:val="0"/>
                <w:sz w:val="18"/>
                <w:szCs w:val="18"/>
              </w:rPr>
              <w:t>对注册造价工程师超出执业范围、注册专业范围执业的处罚</w:t>
            </w:r>
          </w:p>
        </w:tc>
      </w:tr>
      <w:tr w14:paraId="16BC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4F02C7DD">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E7ECFC6">
            <w:pPr>
              <w:spacing w:line="320" w:lineRule="exact"/>
              <w:jc w:val="left"/>
              <w:rPr>
                <w:color w:val="000000"/>
                <w:kern w:val="0"/>
                <w:sz w:val="18"/>
                <w:szCs w:val="18"/>
              </w:rPr>
            </w:pPr>
            <w:r>
              <w:rPr>
                <w:rFonts w:hint="eastAsia"/>
                <w:color w:val="000000"/>
                <w:kern w:val="0"/>
                <w:sz w:val="18"/>
                <w:szCs w:val="18"/>
              </w:rPr>
              <w:t>【规章】《注册造价工程师管理办法》（2006年12月25日建设部令第150号发布，根据2016年9月13日住房和城乡建设部令第32号，2020年2月19日住房和城乡建设部令第50号修正）</w:t>
            </w:r>
          </w:p>
          <w:p w14:paraId="305CD41A">
            <w:pPr>
              <w:spacing w:line="320" w:lineRule="exact"/>
              <w:jc w:val="left"/>
              <w:rPr>
                <w:color w:val="000000"/>
                <w:kern w:val="0"/>
                <w:sz w:val="18"/>
                <w:szCs w:val="18"/>
              </w:rPr>
            </w:pPr>
            <w:r>
              <w:rPr>
                <w:rFonts w:hint="eastAsia"/>
                <w:color w:val="000000"/>
                <w:kern w:val="0"/>
                <w:sz w:val="18"/>
                <w:szCs w:val="18"/>
              </w:rPr>
              <w:t xml:space="preserve">        第二十条　注册造价工程师不得有下列行为：</w:t>
            </w:r>
          </w:p>
          <w:p w14:paraId="3ECEAD98">
            <w:pPr>
              <w:spacing w:line="320" w:lineRule="exact"/>
              <w:jc w:val="left"/>
              <w:rPr>
                <w:color w:val="000000"/>
                <w:kern w:val="0"/>
                <w:sz w:val="18"/>
                <w:szCs w:val="18"/>
              </w:rPr>
            </w:pPr>
            <w:r>
              <w:rPr>
                <w:rFonts w:hint="eastAsia"/>
                <w:color w:val="000000"/>
                <w:kern w:val="0"/>
                <w:sz w:val="18"/>
                <w:szCs w:val="18"/>
              </w:rPr>
              <w:t>　　（九）超出执业范围、注册专业范围执业；</w:t>
            </w:r>
          </w:p>
          <w:p w14:paraId="2034DA9C">
            <w:pPr>
              <w:spacing w:line="320" w:lineRule="exact"/>
              <w:jc w:val="left"/>
              <w:rPr>
                <w:color w:val="000000"/>
                <w:kern w:val="0"/>
                <w:sz w:val="18"/>
                <w:szCs w:val="18"/>
              </w:rPr>
            </w:pPr>
            <w:r>
              <w:rPr>
                <w:rFonts w:hint="eastAsia"/>
                <w:color w:val="000000"/>
                <w:kern w:val="0"/>
                <w:sz w:val="18"/>
                <w:szCs w:val="18"/>
              </w:rPr>
              <w:t>　 第三十六条　注册造价工程师有本办法第二十条规定行为之一的，由县级以上地方人民政府住房城乡建设主管部门或者其他有关部门给予警告，责令改正，没有违法所得的，处以1万元以下罚款，有违法所得的，处以违法所得3倍以下且不超过3万元的罚款。</w:t>
            </w:r>
          </w:p>
        </w:tc>
      </w:tr>
      <w:tr w14:paraId="1784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EB1DE9E">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48E1413">
            <w:pPr>
              <w:spacing w:line="320" w:lineRule="exact"/>
              <w:jc w:val="left"/>
              <w:rPr>
                <w:color w:val="000000"/>
                <w:kern w:val="0"/>
                <w:sz w:val="18"/>
                <w:szCs w:val="18"/>
              </w:rPr>
            </w:pPr>
            <w:r>
              <w:rPr>
                <w:rFonts w:hint="eastAsia"/>
                <w:color w:val="000000"/>
                <w:kern w:val="0"/>
                <w:sz w:val="18"/>
                <w:szCs w:val="18"/>
              </w:rPr>
              <w:t>警告，责令改正，罚款</w:t>
            </w:r>
          </w:p>
        </w:tc>
      </w:tr>
      <w:tr w14:paraId="0054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E19D48F">
            <w:pPr>
              <w:spacing w:line="320" w:lineRule="exact"/>
              <w:jc w:val="center"/>
              <w:rPr>
                <w:color w:val="000000"/>
                <w:kern w:val="0"/>
                <w:sz w:val="18"/>
                <w:szCs w:val="18"/>
              </w:rPr>
            </w:pPr>
            <w:r>
              <w:rPr>
                <w:rFonts w:hint="eastAsia"/>
                <w:color w:val="000000"/>
                <w:kern w:val="0"/>
                <w:sz w:val="18"/>
                <w:szCs w:val="18"/>
              </w:rPr>
              <w:t>裁量基准</w:t>
            </w:r>
          </w:p>
        </w:tc>
      </w:tr>
      <w:tr w14:paraId="4D64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4C43951B">
            <w:pPr>
              <w:rPr>
                <w:color w:val="000000"/>
                <w:kern w:val="0"/>
                <w:sz w:val="18"/>
                <w:szCs w:val="18"/>
              </w:rPr>
            </w:pPr>
            <w:r>
              <w:rPr>
                <w:rFonts w:hint="eastAsia"/>
                <w:color w:val="000000"/>
                <w:kern w:val="0"/>
                <w:sz w:val="18"/>
                <w:szCs w:val="18"/>
              </w:rPr>
              <w:t>情形描述</w:t>
            </w:r>
          </w:p>
        </w:tc>
        <w:tc>
          <w:tcPr>
            <w:tcW w:w="6376" w:type="dxa"/>
            <w:vAlign w:val="center"/>
          </w:tcPr>
          <w:p w14:paraId="339E4835">
            <w:pPr>
              <w:rPr>
                <w:color w:val="000000"/>
                <w:kern w:val="0"/>
                <w:sz w:val="18"/>
                <w:szCs w:val="18"/>
              </w:rPr>
            </w:pPr>
            <w:r>
              <w:rPr>
                <w:rFonts w:hint="eastAsia"/>
                <w:color w:val="000000"/>
                <w:kern w:val="0"/>
                <w:sz w:val="18"/>
                <w:szCs w:val="18"/>
              </w:rPr>
              <w:t>按要求改正的</w:t>
            </w:r>
          </w:p>
        </w:tc>
        <w:tc>
          <w:tcPr>
            <w:tcW w:w="1016" w:type="dxa"/>
            <w:vMerge w:val="restart"/>
            <w:vAlign w:val="center"/>
          </w:tcPr>
          <w:p w14:paraId="2E5528DA">
            <w:pPr>
              <w:rPr>
                <w:color w:val="000000"/>
                <w:kern w:val="0"/>
                <w:sz w:val="18"/>
                <w:szCs w:val="18"/>
              </w:rPr>
            </w:pPr>
            <w:r>
              <w:rPr>
                <w:rFonts w:hint="eastAsia"/>
                <w:color w:val="000000"/>
                <w:kern w:val="0"/>
                <w:sz w:val="18"/>
                <w:szCs w:val="18"/>
              </w:rPr>
              <w:t>裁量幅度</w:t>
            </w:r>
          </w:p>
        </w:tc>
        <w:tc>
          <w:tcPr>
            <w:tcW w:w="5614" w:type="dxa"/>
            <w:vAlign w:val="center"/>
          </w:tcPr>
          <w:p w14:paraId="0FD5CC87">
            <w:pPr>
              <w:rPr>
                <w:color w:val="000000"/>
                <w:kern w:val="0"/>
                <w:sz w:val="18"/>
                <w:szCs w:val="18"/>
              </w:rPr>
            </w:pPr>
            <w:r>
              <w:rPr>
                <w:rFonts w:hint="eastAsia"/>
                <w:color w:val="000000"/>
                <w:kern w:val="0"/>
                <w:sz w:val="18"/>
                <w:szCs w:val="18"/>
              </w:rPr>
              <w:t>没有违法所得的，处以</w:t>
            </w:r>
            <w:r>
              <w:rPr>
                <w:color w:val="000000"/>
                <w:kern w:val="0"/>
                <w:sz w:val="18"/>
                <w:szCs w:val="18"/>
              </w:rPr>
              <w:t>5000</w:t>
            </w:r>
            <w:r>
              <w:rPr>
                <w:rFonts w:hint="eastAsia"/>
                <w:color w:val="000000"/>
                <w:kern w:val="0"/>
                <w:sz w:val="18"/>
                <w:szCs w:val="18"/>
              </w:rPr>
              <w:t>元以下罚款，有违法所得的，处以违法所得</w:t>
            </w:r>
            <w:r>
              <w:rPr>
                <w:color w:val="000000"/>
                <w:kern w:val="0"/>
                <w:sz w:val="18"/>
                <w:szCs w:val="18"/>
              </w:rPr>
              <w:t>1.5</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14:paraId="5149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14A93100">
            <w:pPr>
              <w:spacing w:line="320" w:lineRule="exact"/>
              <w:jc w:val="left"/>
              <w:rPr>
                <w:color w:val="000000"/>
                <w:kern w:val="0"/>
                <w:sz w:val="18"/>
                <w:szCs w:val="18"/>
              </w:rPr>
            </w:pPr>
          </w:p>
        </w:tc>
        <w:tc>
          <w:tcPr>
            <w:tcW w:w="6376" w:type="dxa"/>
            <w:vAlign w:val="center"/>
          </w:tcPr>
          <w:p w14:paraId="796A78E6">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continue"/>
            <w:vAlign w:val="center"/>
          </w:tcPr>
          <w:p w14:paraId="691A52AC">
            <w:pPr>
              <w:spacing w:line="320" w:lineRule="exact"/>
              <w:jc w:val="left"/>
              <w:rPr>
                <w:color w:val="000000"/>
                <w:kern w:val="0"/>
                <w:sz w:val="18"/>
                <w:szCs w:val="18"/>
              </w:rPr>
            </w:pPr>
          </w:p>
        </w:tc>
        <w:tc>
          <w:tcPr>
            <w:tcW w:w="5614" w:type="dxa"/>
            <w:vAlign w:val="center"/>
          </w:tcPr>
          <w:p w14:paraId="00F6FC85">
            <w:pPr>
              <w:rPr>
                <w:color w:val="000000"/>
                <w:kern w:val="0"/>
                <w:sz w:val="18"/>
                <w:szCs w:val="18"/>
              </w:rPr>
            </w:pPr>
            <w:r>
              <w:rPr>
                <w:rFonts w:hint="eastAsia"/>
                <w:color w:val="000000"/>
                <w:kern w:val="0"/>
                <w:sz w:val="18"/>
                <w:szCs w:val="18"/>
              </w:rPr>
              <w:t>没有违法所得的，处以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1.5</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bl>
    <w:p w14:paraId="12C191F6"/>
    <w:p w14:paraId="18F99DCB"/>
    <w:p w14:paraId="3BCFF1BD"/>
    <w:p w14:paraId="14FE16C6"/>
    <w:p w14:paraId="3A860AD2"/>
    <w:p w14:paraId="5AC9AD27"/>
    <w:p w14:paraId="0CD22C38"/>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39ABD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6A8030B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759DC6C3">
            <w:pPr>
              <w:spacing w:line="320" w:lineRule="exact"/>
              <w:rPr>
                <w:rFonts w:eastAsia="仿宋_GB2312"/>
                <w:b/>
                <w:bCs/>
                <w:color w:val="000000"/>
                <w:kern w:val="0"/>
                <w:sz w:val="18"/>
                <w:szCs w:val="18"/>
              </w:rPr>
            </w:pPr>
            <w:r>
              <w:rPr>
                <w:rFonts w:eastAsia="仿宋_GB2312"/>
                <w:b/>
                <w:bCs/>
                <w:color w:val="000000"/>
                <w:kern w:val="0"/>
                <w:sz w:val="18"/>
                <w:szCs w:val="18"/>
              </w:rPr>
              <w:t>320217893000</w:t>
            </w:r>
          </w:p>
        </w:tc>
      </w:tr>
      <w:tr w14:paraId="4AD8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10" w:type="dxa"/>
            <w:vAlign w:val="center"/>
          </w:tcPr>
          <w:p w14:paraId="558E6AF1">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57488DD5">
            <w:pPr>
              <w:spacing w:line="320" w:lineRule="exact"/>
              <w:jc w:val="left"/>
              <w:rPr>
                <w:color w:val="000000"/>
                <w:spacing w:val="-6"/>
                <w:kern w:val="0"/>
                <w:sz w:val="18"/>
                <w:szCs w:val="18"/>
              </w:rPr>
            </w:pPr>
            <w:r>
              <w:rPr>
                <w:rFonts w:hint="eastAsia"/>
                <w:color w:val="000000"/>
                <w:spacing w:val="-6"/>
                <w:kern w:val="0"/>
                <w:sz w:val="18"/>
                <w:szCs w:val="18"/>
              </w:rPr>
              <w:t>对隐瞒有关情况或者提供虚假材料申请造价工程师注册的处罚</w:t>
            </w:r>
          </w:p>
        </w:tc>
      </w:tr>
      <w:tr w14:paraId="2F25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010" w:type="dxa"/>
            <w:vAlign w:val="center"/>
          </w:tcPr>
          <w:p w14:paraId="518510AD">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0122A307">
            <w:pPr>
              <w:spacing w:line="320" w:lineRule="exact"/>
              <w:jc w:val="left"/>
              <w:rPr>
                <w:color w:val="000000"/>
                <w:kern w:val="0"/>
                <w:sz w:val="18"/>
                <w:szCs w:val="18"/>
              </w:rPr>
            </w:pPr>
            <w:r>
              <w:rPr>
                <w:rFonts w:hint="eastAsia"/>
                <w:color w:val="000000"/>
                <w:kern w:val="0"/>
                <w:sz w:val="18"/>
                <w:szCs w:val="18"/>
              </w:rPr>
              <w:t>【法律】《中华人民共和国行政许可法》</w:t>
            </w:r>
          </w:p>
          <w:p w14:paraId="50799CA9">
            <w:pPr>
              <w:spacing w:line="320" w:lineRule="exact"/>
              <w:jc w:val="left"/>
              <w:rPr>
                <w:color w:val="000000"/>
                <w:kern w:val="0"/>
                <w:sz w:val="18"/>
                <w:szCs w:val="18"/>
              </w:rPr>
            </w:pPr>
            <w:r>
              <w:rPr>
                <w:rFonts w:hint="eastAsia"/>
                <w:color w:val="000000"/>
                <w:kern w:val="0"/>
                <w:sz w:val="18"/>
                <w:szCs w:val="18"/>
              </w:rPr>
              <w:t xml:space="preserve">     第三十一条第一款  申请人申请行政许可，应当如实向行政机关提交有关材料和反映真实情况，并对其申请材料实质内容的真实性负责。行政机关不得要求申请人提交与其申请的行政许可事项无关的技术资料和其他材料。</w:t>
            </w:r>
          </w:p>
          <w:p w14:paraId="3C79B04E">
            <w:pPr>
              <w:spacing w:line="320" w:lineRule="exact"/>
              <w:jc w:val="left"/>
              <w:rPr>
                <w:color w:val="000000"/>
                <w:kern w:val="0"/>
                <w:sz w:val="18"/>
                <w:szCs w:val="18"/>
              </w:rPr>
            </w:pPr>
            <w:r>
              <w:rPr>
                <w:rFonts w:hint="eastAsia"/>
                <w:color w:val="000000"/>
                <w:kern w:val="0"/>
                <w:sz w:val="18"/>
                <w:szCs w:val="18"/>
              </w:rPr>
              <w:t xml:space="preserve">【规章】《注册造价工程师管理办法》（2006年12月25日建设部令第150号发布，根据2016年9月13日住房和城乡建设部令第32号，2020年2月19日住房和城乡建设部令第50号修正） </w:t>
            </w:r>
          </w:p>
          <w:p w14:paraId="7BAA202D">
            <w:pPr>
              <w:spacing w:line="320" w:lineRule="exact"/>
              <w:jc w:val="left"/>
              <w:rPr>
                <w:color w:val="000000"/>
                <w:kern w:val="0"/>
                <w:sz w:val="18"/>
                <w:szCs w:val="18"/>
              </w:rPr>
            </w:pPr>
            <w:r>
              <w:rPr>
                <w:rFonts w:hint="eastAsia"/>
                <w:color w:val="000000"/>
                <w:kern w:val="0"/>
                <w:sz w:val="18"/>
                <w:szCs w:val="18"/>
              </w:rPr>
              <w:t xml:space="preserve">    第三十一条　隐瞒有关情况或者提供虚假材料申请造价工程师注册的，不予受理或者不予注册，并给予警告，申请人在1年内不得再次申请造价工程师注册。</w:t>
            </w:r>
          </w:p>
        </w:tc>
      </w:tr>
      <w:tr w14:paraId="1CFC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5DB10E6C">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30AA3C7C">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年内不得再次申请造价工程师注册</w:t>
            </w:r>
          </w:p>
        </w:tc>
      </w:tr>
      <w:tr w14:paraId="3011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4984DF47">
            <w:pPr>
              <w:spacing w:line="320" w:lineRule="exact"/>
              <w:jc w:val="center"/>
              <w:rPr>
                <w:color w:val="000000"/>
                <w:kern w:val="0"/>
                <w:sz w:val="18"/>
                <w:szCs w:val="18"/>
              </w:rPr>
            </w:pPr>
            <w:r>
              <w:rPr>
                <w:rFonts w:hint="eastAsia"/>
                <w:color w:val="000000"/>
                <w:kern w:val="0"/>
                <w:sz w:val="18"/>
                <w:szCs w:val="18"/>
              </w:rPr>
              <w:t>裁量基准</w:t>
            </w:r>
          </w:p>
        </w:tc>
      </w:tr>
      <w:tr w14:paraId="392F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3B8A2609">
            <w:pPr>
              <w:rPr>
                <w:color w:val="000000"/>
                <w:kern w:val="0"/>
                <w:sz w:val="18"/>
                <w:szCs w:val="18"/>
              </w:rPr>
            </w:pPr>
            <w:r>
              <w:rPr>
                <w:rFonts w:hint="eastAsia"/>
                <w:color w:val="000000"/>
                <w:kern w:val="0"/>
                <w:sz w:val="18"/>
                <w:szCs w:val="18"/>
              </w:rPr>
              <w:t>情形描述</w:t>
            </w:r>
          </w:p>
        </w:tc>
        <w:tc>
          <w:tcPr>
            <w:tcW w:w="6376" w:type="dxa"/>
            <w:vAlign w:val="center"/>
          </w:tcPr>
          <w:p w14:paraId="20512F10">
            <w:pPr>
              <w:rPr>
                <w:color w:val="000000"/>
                <w:kern w:val="0"/>
                <w:sz w:val="18"/>
                <w:szCs w:val="18"/>
              </w:rPr>
            </w:pPr>
          </w:p>
        </w:tc>
        <w:tc>
          <w:tcPr>
            <w:tcW w:w="1016" w:type="dxa"/>
            <w:vAlign w:val="center"/>
          </w:tcPr>
          <w:p w14:paraId="557A3007">
            <w:pPr>
              <w:rPr>
                <w:color w:val="000000"/>
                <w:kern w:val="0"/>
                <w:sz w:val="18"/>
                <w:szCs w:val="18"/>
              </w:rPr>
            </w:pPr>
            <w:r>
              <w:rPr>
                <w:rFonts w:hint="eastAsia"/>
                <w:color w:val="000000"/>
                <w:kern w:val="0"/>
                <w:sz w:val="18"/>
                <w:szCs w:val="18"/>
              </w:rPr>
              <w:t>裁量幅度</w:t>
            </w:r>
          </w:p>
        </w:tc>
        <w:tc>
          <w:tcPr>
            <w:tcW w:w="5614" w:type="dxa"/>
            <w:vAlign w:val="center"/>
          </w:tcPr>
          <w:p w14:paraId="0BEDCB26">
            <w:pPr>
              <w:rPr>
                <w:color w:val="000000"/>
                <w:kern w:val="0"/>
                <w:sz w:val="18"/>
                <w:szCs w:val="18"/>
              </w:rPr>
            </w:pPr>
          </w:p>
        </w:tc>
      </w:tr>
    </w:tbl>
    <w:p w14:paraId="2EB4DEFB"/>
    <w:p w14:paraId="385B9634"/>
    <w:p w14:paraId="3ABF6FE0"/>
    <w:p w14:paraId="0EB1B754"/>
    <w:p w14:paraId="3B94AE04"/>
    <w:p w14:paraId="79628956"/>
    <w:p w14:paraId="13B7DF4B"/>
    <w:p w14:paraId="0A96FB7D"/>
    <w:p w14:paraId="27A31CD6"/>
    <w:p w14:paraId="51AA65EC"/>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1859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03C8A4A8">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03556CBF">
            <w:pPr>
              <w:spacing w:line="320" w:lineRule="exact"/>
              <w:rPr>
                <w:rFonts w:eastAsia="仿宋_GB2312"/>
                <w:b/>
                <w:bCs/>
                <w:color w:val="000000"/>
                <w:kern w:val="0"/>
                <w:sz w:val="18"/>
                <w:szCs w:val="18"/>
              </w:rPr>
            </w:pPr>
            <w:r>
              <w:rPr>
                <w:rFonts w:eastAsia="仿宋_GB2312"/>
                <w:b/>
                <w:bCs/>
                <w:color w:val="000000"/>
                <w:kern w:val="0"/>
                <w:sz w:val="18"/>
                <w:szCs w:val="18"/>
              </w:rPr>
              <w:t>320217898000</w:t>
            </w:r>
          </w:p>
        </w:tc>
      </w:tr>
      <w:tr w14:paraId="5680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01E2F89">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7C8047F3">
            <w:pPr>
              <w:spacing w:line="320" w:lineRule="exact"/>
              <w:jc w:val="left"/>
              <w:rPr>
                <w:color w:val="000000"/>
                <w:spacing w:val="-6"/>
                <w:kern w:val="0"/>
                <w:sz w:val="18"/>
                <w:szCs w:val="18"/>
              </w:rPr>
            </w:pPr>
            <w:r>
              <w:rPr>
                <w:rFonts w:hint="eastAsia"/>
                <w:color w:val="000000"/>
                <w:spacing w:val="-6"/>
                <w:kern w:val="0"/>
                <w:sz w:val="18"/>
                <w:szCs w:val="18"/>
              </w:rPr>
              <w:t>对在燃气设施安全保护范围内在穿越河流的管道上方或者下方进行抛锚、拖锚、挖泥、采沙等作业的处罚</w:t>
            </w:r>
          </w:p>
        </w:tc>
      </w:tr>
      <w:tr w14:paraId="52F9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720F9FE3">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680E7AB">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日通过，江苏省人大常委会公告第</w:t>
            </w:r>
            <w:r>
              <w:rPr>
                <w:color w:val="000000"/>
                <w:kern w:val="0"/>
                <w:sz w:val="18"/>
                <w:szCs w:val="18"/>
              </w:rPr>
              <w:t xml:space="preserve"> 28 </w:t>
            </w:r>
            <w:r>
              <w:rPr>
                <w:rFonts w:hint="eastAsia"/>
                <w:color w:val="000000"/>
                <w:kern w:val="0"/>
                <w:sz w:val="18"/>
                <w:szCs w:val="18"/>
              </w:rPr>
              <w:t>号）</w:t>
            </w:r>
            <w:r>
              <w:rPr>
                <w:color w:val="000000"/>
                <w:kern w:val="0"/>
                <w:sz w:val="18"/>
                <w:szCs w:val="18"/>
              </w:rPr>
              <w:t xml:space="preserve"> </w:t>
            </w:r>
          </w:p>
          <w:p w14:paraId="69BA9748">
            <w:pPr>
              <w:spacing w:line="320" w:lineRule="exact"/>
              <w:jc w:val="left"/>
              <w:rPr>
                <w:color w:val="000000"/>
                <w:kern w:val="0"/>
                <w:sz w:val="18"/>
                <w:szCs w:val="18"/>
              </w:rPr>
            </w:pPr>
            <w:r>
              <w:rPr>
                <w:rFonts w:hint="eastAsia"/>
                <w:color w:val="000000"/>
                <w:kern w:val="0"/>
                <w:sz w:val="18"/>
                <w:szCs w:val="18"/>
              </w:rPr>
              <w:t>第四十五条第二款</w:t>
            </w:r>
            <w:r>
              <w:rPr>
                <w:color w:val="000000"/>
                <w:kern w:val="0"/>
                <w:sz w:val="18"/>
                <w:szCs w:val="18"/>
              </w:rPr>
              <w:t xml:space="preserve"> </w:t>
            </w:r>
            <w:r>
              <w:rPr>
                <w:rFonts w:hint="eastAsia"/>
                <w:color w:val="000000"/>
                <w:kern w:val="0"/>
                <w:sz w:val="18"/>
                <w:szCs w:val="18"/>
              </w:rPr>
              <w:t>　在燃气设施的安全保护范围内，禁止从事下列危及燃气安全的活动：</w:t>
            </w:r>
          </w:p>
          <w:p w14:paraId="452A968A">
            <w:pPr>
              <w:spacing w:line="320" w:lineRule="exact"/>
              <w:jc w:val="left"/>
              <w:rPr>
                <w:color w:val="000000"/>
                <w:kern w:val="0"/>
                <w:sz w:val="18"/>
                <w:szCs w:val="18"/>
              </w:rPr>
            </w:pPr>
            <w:r>
              <w:rPr>
                <w:rFonts w:hint="eastAsia"/>
                <w:color w:val="000000"/>
                <w:kern w:val="0"/>
                <w:sz w:val="18"/>
                <w:szCs w:val="18"/>
              </w:rPr>
              <w:t>　（五）在穿越河流的管道上方或者下方进行抛锚、拖锚、挖泥、采沙等作业；</w:t>
            </w:r>
          </w:p>
          <w:p w14:paraId="73F62C51">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第六十四条第二款</w:t>
            </w:r>
            <w:r>
              <w:rPr>
                <w:color w:val="000000"/>
                <w:kern w:val="0"/>
                <w:sz w:val="18"/>
                <w:szCs w:val="18"/>
              </w:rPr>
              <w:t xml:space="preserve">   </w:t>
            </w:r>
            <w:r>
              <w:rPr>
                <w:rFonts w:hint="eastAsia"/>
                <w:color w:val="000000"/>
                <w:kern w:val="0"/>
                <w:sz w:val="18"/>
                <w:szCs w:val="18"/>
              </w:rPr>
              <w:t>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14:paraId="6160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11C7C3F6">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03D36494">
            <w:pPr>
              <w:spacing w:line="320" w:lineRule="exact"/>
              <w:jc w:val="left"/>
              <w:rPr>
                <w:color w:val="000000"/>
                <w:kern w:val="0"/>
                <w:sz w:val="18"/>
                <w:szCs w:val="18"/>
              </w:rPr>
            </w:pPr>
            <w:r>
              <w:rPr>
                <w:rFonts w:hint="eastAsia"/>
                <w:color w:val="000000"/>
                <w:kern w:val="0"/>
                <w:sz w:val="18"/>
                <w:szCs w:val="18"/>
              </w:rPr>
              <w:t>责令停止违法行为，罚款</w:t>
            </w:r>
          </w:p>
        </w:tc>
      </w:tr>
      <w:tr w14:paraId="24B3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64F1D10F">
            <w:pPr>
              <w:spacing w:line="320" w:lineRule="exact"/>
              <w:jc w:val="center"/>
              <w:rPr>
                <w:color w:val="000000"/>
                <w:kern w:val="0"/>
                <w:sz w:val="18"/>
                <w:szCs w:val="18"/>
              </w:rPr>
            </w:pPr>
            <w:r>
              <w:rPr>
                <w:rFonts w:hint="eastAsia"/>
                <w:color w:val="000000"/>
                <w:kern w:val="0"/>
                <w:sz w:val="18"/>
                <w:szCs w:val="18"/>
              </w:rPr>
              <w:t>裁量基准</w:t>
            </w:r>
          </w:p>
        </w:tc>
      </w:tr>
      <w:tr w14:paraId="6CF0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restart"/>
            <w:vAlign w:val="center"/>
          </w:tcPr>
          <w:p w14:paraId="3E8CB6FF">
            <w:pPr>
              <w:rPr>
                <w:color w:val="000000"/>
                <w:kern w:val="0"/>
                <w:sz w:val="18"/>
                <w:szCs w:val="18"/>
              </w:rPr>
            </w:pPr>
            <w:r>
              <w:rPr>
                <w:rFonts w:hint="eastAsia"/>
                <w:color w:val="000000"/>
                <w:kern w:val="0"/>
                <w:sz w:val="18"/>
                <w:szCs w:val="18"/>
              </w:rPr>
              <w:t>情形描述</w:t>
            </w:r>
          </w:p>
        </w:tc>
        <w:tc>
          <w:tcPr>
            <w:tcW w:w="6376" w:type="dxa"/>
            <w:vAlign w:val="center"/>
          </w:tcPr>
          <w:p w14:paraId="6BC755E7">
            <w:pPr>
              <w:rPr>
                <w:color w:val="000000"/>
                <w:kern w:val="0"/>
                <w:sz w:val="18"/>
                <w:szCs w:val="18"/>
              </w:rPr>
            </w:pPr>
            <w:r>
              <w:rPr>
                <w:rFonts w:hint="eastAsia"/>
                <w:color w:val="000000"/>
                <w:kern w:val="0"/>
                <w:sz w:val="18"/>
                <w:szCs w:val="18"/>
              </w:rPr>
              <w:t>未造成损失</w:t>
            </w:r>
          </w:p>
        </w:tc>
        <w:tc>
          <w:tcPr>
            <w:tcW w:w="1016" w:type="dxa"/>
            <w:vMerge w:val="restart"/>
            <w:vAlign w:val="center"/>
          </w:tcPr>
          <w:p w14:paraId="48CF0EBE">
            <w:pPr>
              <w:rPr>
                <w:color w:val="000000"/>
                <w:kern w:val="0"/>
                <w:sz w:val="18"/>
                <w:szCs w:val="18"/>
              </w:rPr>
            </w:pPr>
            <w:r>
              <w:rPr>
                <w:rFonts w:hint="eastAsia"/>
                <w:color w:val="000000"/>
                <w:kern w:val="0"/>
                <w:sz w:val="18"/>
                <w:szCs w:val="18"/>
              </w:rPr>
              <w:t>裁量幅度</w:t>
            </w:r>
          </w:p>
        </w:tc>
        <w:tc>
          <w:tcPr>
            <w:tcW w:w="5614" w:type="dxa"/>
            <w:vAlign w:val="center"/>
          </w:tcPr>
          <w:p w14:paraId="6E2DC834">
            <w:pPr>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tc>
      </w:tr>
      <w:tr w14:paraId="454D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Merge w:val="continue"/>
            <w:vAlign w:val="center"/>
          </w:tcPr>
          <w:p w14:paraId="6AC9B8D3">
            <w:pPr>
              <w:spacing w:line="320" w:lineRule="exact"/>
              <w:jc w:val="left"/>
              <w:rPr>
                <w:color w:val="000000"/>
                <w:kern w:val="0"/>
                <w:sz w:val="18"/>
                <w:szCs w:val="18"/>
              </w:rPr>
            </w:pPr>
          </w:p>
        </w:tc>
        <w:tc>
          <w:tcPr>
            <w:tcW w:w="6376" w:type="dxa"/>
            <w:vAlign w:val="center"/>
          </w:tcPr>
          <w:p w14:paraId="121D1E5A">
            <w:pPr>
              <w:spacing w:line="320" w:lineRule="exact"/>
              <w:jc w:val="left"/>
              <w:rPr>
                <w:color w:val="000000"/>
                <w:kern w:val="0"/>
                <w:sz w:val="18"/>
                <w:szCs w:val="18"/>
              </w:rPr>
            </w:pPr>
            <w:r>
              <w:rPr>
                <w:rFonts w:hint="eastAsia"/>
                <w:color w:val="000000"/>
                <w:kern w:val="0"/>
                <w:sz w:val="18"/>
                <w:szCs w:val="18"/>
              </w:rPr>
              <w:t>造成损失的</w:t>
            </w:r>
          </w:p>
        </w:tc>
        <w:tc>
          <w:tcPr>
            <w:tcW w:w="1016" w:type="dxa"/>
            <w:vMerge w:val="continue"/>
            <w:vAlign w:val="center"/>
          </w:tcPr>
          <w:p w14:paraId="04DBFF7E">
            <w:pPr>
              <w:spacing w:line="320" w:lineRule="exact"/>
              <w:jc w:val="left"/>
              <w:rPr>
                <w:color w:val="000000"/>
                <w:kern w:val="0"/>
                <w:sz w:val="18"/>
                <w:szCs w:val="18"/>
              </w:rPr>
            </w:pPr>
          </w:p>
        </w:tc>
        <w:tc>
          <w:tcPr>
            <w:tcW w:w="5614" w:type="dxa"/>
            <w:vAlign w:val="center"/>
          </w:tcPr>
          <w:p w14:paraId="28FF498D">
            <w:pPr>
              <w:rPr>
                <w:color w:val="000000"/>
                <w:kern w:val="0"/>
                <w:sz w:val="18"/>
                <w:szCs w:val="18"/>
              </w:rPr>
            </w:pPr>
            <w:r>
              <w:rPr>
                <w:rFonts w:hint="eastAsia"/>
                <w:color w:val="000000"/>
                <w:kern w:val="0"/>
                <w:sz w:val="18"/>
                <w:szCs w:val="18"/>
              </w:rPr>
              <w:t>对单位处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14:paraId="50BCD961"/>
    <w:p w14:paraId="3D7F1784"/>
    <w:p w14:paraId="2A6108BF"/>
    <w:p w14:paraId="77976362"/>
    <w:p w14:paraId="465904E4"/>
    <w:p w14:paraId="5F040DE9"/>
    <w:p w14:paraId="49328AF7"/>
    <w:p w14:paraId="635DCF7C"/>
    <w:tbl>
      <w:tblPr>
        <w:tblStyle w:val="15"/>
        <w:tblW w:w="1401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6376"/>
        <w:gridCol w:w="1016"/>
        <w:gridCol w:w="5614"/>
      </w:tblGrid>
      <w:tr w14:paraId="6E96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10" w:type="dxa"/>
            <w:vAlign w:val="center"/>
          </w:tcPr>
          <w:p w14:paraId="2911831E">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14:paraId="556A210D">
            <w:pPr>
              <w:spacing w:line="320" w:lineRule="exact"/>
              <w:rPr>
                <w:rFonts w:eastAsia="仿宋_GB2312"/>
                <w:b/>
                <w:bCs/>
                <w:color w:val="000000"/>
                <w:kern w:val="0"/>
                <w:sz w:val="18"/>
                <w:szCs w:val="18"/>
              </w:rPr>
            </w:pPr>
            <w:r>
              <w:rPr>
                <w:rFonts w:eastAsia="仿宋_GB2312"/>
                <w:b/>
                <w:bCs/>
                <w:color w:val="000000"/>
                <w:kern w:val="0"/>
                <w:sz w:val="18"/>
                <w:szCs w:val="18"/>
              </w:rPr>
              <w:t>320217899000</w:t>
            </w:r>
          </w:p>
        </w:tc>
      </w:tr>
      <w:tr w14:paraId="79E2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63C1A2BB">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14:paraId="4A352BF3">
            <w:pPr>
              <w:spacing w:line="320" w:lineRule="exact"/>
              <w:jc w:val="left"/>
              <w:rPr>
                <w:color w:val="000000"/>
                <w:spacing w:val="-6"/>
                <w:kern w:val="0"/>
                <w:sz w:val="18"/>
                <w:szCs w:val="18"/>
              </w:rPr>
            </w:pPr>
            <w:r>
              <w:rPr>
                <w:rFonts w:hint="eastAsia"/>
                <w:color w:val="000000"/>
                <w:spacing w:val="-6"/>
                <w:kern w:val="0"/>
                <w:sz w:val="18"/>
                <w:szCs w:val="18"/>
              </w:rPr>
              <w:t>对瓶装燃气经营者向未签订供用气合同的用户提供瓶装燃气、向餐饮用户提供气液两相瓶装燃气的处罚</w:t>
            </w:r>
          </w:p>
        </w:tc>
      </w:tr>
      <w:tr w14:paraId="2639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10" w:type="dxa"/>
            <w:vAlign w:val="center"/>
          </w:tcPr>
          <w:p w14:paraId="2CA152A7">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14:paraId="67A0D31D">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日通过，江苏省人大常委会公告第</w:t>
            </w:r>
            <w:r>
              <w:rPr>
                <w:color w:val="000000"/>
                <w:kern w:val="0"/>
                <w:sz w:val="18"/>
                <w:szCs w:val="18"/>
              </w:rPr>
              <w:t xml:space="preserve"> 28 </w:t>
            </w:r>
            <w:r>
              <w:rPr>
                <w:rFonts w:hint="eastAsia"/>
                <w:color w:val="000000"/>
                <w:kern w:val="0"/>
                <w:sz w:val="18"/>
                <w:szCs w:val="18"/>
              </w:rPr>
              <w:t>号）</w:t>
            </w:r>
          </w:p>
          <w:p w14:paraId="7B282E20">
            <w:pPr>
              <w:spacing w:line="32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瓶装燃气经营者应当遵守下列规定：</w:t>
            </w:r>
          </w:p>
          <w:p w14:paraId="51B5A1F3">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（四）不得向未签订供用气合同的用户提供瓶装燃气，不得向餐饮用户提供气液两相瓶装燃气；</w:t>
            </w:r>
          </w:p>
          <w:p w14:paraId="26233542">
            <w:pPr>
              <w:spacing w:line="320" w:lineRule="exact"/>
              <w:jc w:val="left"/>
              <w:rPr>
                <w:color w:val="000000"/>
                <w:kern w:val="0"/>
                <w:sz w:val="18"/>
                <w:szCs w:val="18"/>
              </w:rPr>
            </w:pPr>
            <w:r>
              <w:rPr>
                <w:rFonts w:hint="eastAsia"/>
                <w:color w:val="000000"/>
                <w:kern w:val="0"/>
                <w:sz w:val="18"/>
                <w:szCs w:val="18"/>
              </w:rPr>
              <w:t>　第六十一条第二款　违反本条例第二十三条第三项至第六项规定，由燃气主管部门责令限期改正，处一万元以上十万元以下罚款。</w:t>
            </w:r>
          </w:p>
        </w:tc>
      </w:tr>
      <w:tr w14:paraId="6E7A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0" w:type="dxa"/>
            <w:vAlign w:val="center"/>
          </w:tcPr>
          <w:p w14:paraId="009C6087">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14:paraId="10686E2E">
            <w:pPr>
              <w:spacing w:line="320" w:lineRule="exact"/>
              <w:jc w:val="left"/>
              <w:rPr>
                <w:color w:val="000000"/>
                <w:kern w:val="0"/>
                <w:sz w:val="18"/>
                <w:szCs w:val="18"/>
              </w:rPr>
            </w:pPr>
            <w:r>
              <w:rPr>
                <w:rFonts w:hint="eastAsia"/>
                <w:color w:val="000000"/>
                <w:kern w:val="0"/>
                <w:sz w:val="18"/>
                <w:szCs w:val="18"/>
              </w:rPr>
              <w:t>责令限期改正，罚款</w:t>
            </w:r>
          </w:p>
        </w:tc>
      </w:tr>
      <w:tr w14:paraId="2872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016" w:type="dxa"/>
            <w:gridSpan w:val="4"/>
            <w:vAlign w:val="center"/>
          </w:tcPr>
          <w:p w14:paraId="2C9133EB">
            <w:pPr>
              <w:spacing w:line="320" w:lineRule="exact"/>
              <w:jc w:val="center"/>
              <w:rPr>
                <w:color w:val="000000"/>
                <w:kern w:val="0"/>
                <w:sz w:val="18"/>
                <w:szCs w:val="18"/>
              </w:rPr>
            </w:pPr>
            <w:r>
              <w:rPr>
                <w:rFonts w:hint="eastAsia"/>
                <w:color w:val="000000"/>
                <w:kern w:val="0"/>
                <w:sz w:val="18"/>
                <w:szCs w:val="18"/>
              </w:rPr>
              <w:t>裁量基准</w:t>
            </w:r>
          </w:p>
        </w:tc>
      </w:tr>
      <w:tr w14:paraId="1B341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010" w:type="dxa"/>
            <w:vMerge w:val="restart"/>
            <w:vAlign w:val="center"/>
          </w:tcPr>
          <w:p w14:paraId="2FC12621">
            <w:pPr>
              <w:rPr>
                <w:color w:val="000000"/>
                <w:kern w:val="0"/>
                <w:sz w:val="18"/>
                <w:szCs w:val="18"/>
              </w:rPr>
            </w:pPr>
            <w:r>
              <w:rPr>
                <w:rFonts w:hint="eastAsia"/>
                <w:color w:val="000000"/>
                <w:kern w:val="0"/>
                <w:sz w:val="18"/>
                <w:szCs w:val="18"/>
              </w:rPr>
              <w:t>情形描述</w:t>
            </w:r>
          </w:p>
        </w:tc>
        <w:tc>
          <w:tcPr>
            <w:tcW w:w="6376" w:type="dxa"/>
            <w:vAlign w:val="center"/>
          </w:tcPr>
          <w:p w14:paraId="17F7E7B4">
            <w:pPr>
              <w:rPr>
                <w:color w:val="000000"/>
                <w:kern w:val="0"/>
                <w:sz w:val="18"/>
                <w:szCs w:val="18"/>
              </w:rPr>
            </w:pPr>
            <w:r>
              <w:rPr>
                <w:rFonts w:hint="eastAsia"/>
                <w:color w:val="000000"/>
                <w:kern w:val="0"/>
                <w:sz w:val="18"/>
                <w:szCs w:val="18"/>
              </w:rPr>
              <w:t>按要求改正且未造成损失和燃气安全事故的</w:t>
            </w:r>
          </w:p>
        </w:tc>
        <w:tc>
          <w:tcPr>
            <w:tcW w:w="1016" w:type="dxa"/>
            <w:vMerge w:val="restart"/>
            <w:vAlign w:val="center"/>
          </w:tcPr>
          <w:p w14:paraId="02301777">
            <w:pPr>
              <w:rPr>
                <w:color w:val="000000"/>
                <w:kern w:val="0"/>
                <w:sz w:val="18"/>
                <w:szCs w:val="18"/>
              </w:rPr>
            </w:pPr>
            <w:r>
              <w:rPr>
                <w:rFonts w:hint="eastAsia"/>
                <w:color w:val="000000"/>
                <w:kern w:val="0"/>
                <w:sz w:val="18"/>
                <w:szCs w:val="18"/>
              </w:rPr>
              <w:t>裁量幅度</w:t>
            </w:r>
          </w:p>
        </w:tc>
        <w:tc>
          <w:tcPr>
            <w:tcW w:w="5614" w:type="dxa"/>
            <w:vAlign w:val="center"/>
          </w:tcPr>
          <w:p w14:paraId="4B3F975A">
            <w:pPr>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14:paraId="3082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010" w:type="dxa"/>
            <w:vMerge w:val="continue"/>
            <w:vAlign w:val="center"/>
          </w:tcPr>
          <w:p w14:paraId="335CB25B">
            <w:pPr>
              <w:rPr>
                <w:color w:val="000000"/>
                <w:kern w:val="0"/>
                <w:sz w:val="18"/>
                <w:szCs w:val="18"/>
              </w:rPr>
            </w:pPr>
          </w:p>
        </w:tc>
        <w:tc>
          <w:tcPr>
            <w:tcW w:w="6376" w:type="dxa"/>
            <w:vAlign w:val="center"/>
          </w:tcPr>
          <w:p w14:paraId="39F0B8B4">
            <w:pPr>
              <w:rPr>
                <w:color w:val="000000"/>
                <w:kern w:val="0"/>
                <w:sz w:val="18"/>
                <w:szCs w:val="18"/>
              </w:rPr>
            </w:pPr>
            <w:r>
              <w:rPr>
                <w:rFonts w:hint="eastAsia"/>
                <w:color w:val="000000"/>
                <w:kern w:val="0"/>
                <w:sz w:val="18"/>
                <w:szCs w:val="18"/>
              </w:rPr>
              <w:t>未按要求改正，或者已造成损失、燃气安全事故的</w:t>
            </w:r>
          </w:p>
        </w:tc>
        <w:tc>
          <w:tcPr>
            <w:tcW w:w="1016" w:type="dxa"/>
            <w:vMerge w:val="continue"/>
            <w:vAlign w:val="center"/>
          </w:tcPr>
          <w:p w14:paraId="6BA5AC4B">
            <w:pPr>
              <w:rPr>
                <w:color w:val="000000"/>
                <w:kern w:val="0"/>
                <w:sz w:val="18"/>
                <w:szCs w:val="18"/>
              </w:rPr>
            </w:pPr>
          </w:p>
        </w:tc>
        <w:tc>
          <w:tcPr>
            <w:tcW w:w="5614" w:type="dxa"/>
            <w:vAlign w:val="center"/>
          </w:tcPr>
          <w:p w14:paraId="3B2D7AA8">
            <w:pPr>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14:paraId="0BD8E71A"/>
    <w:p w14:paraId="170FC0F1"/>
    <w:p w14:paraId="40299ABE"/>
    <w:p w14:paraId="45CB892D"/>
    <w:p w14:paraId="41D31785"/>
    <w:p w14:paraId="3FFC9C5E"/>
    <w:p w14:paraId="75696417"/>
    <w:p w14:paraId="2A73BE43"/>
    <w:p w14:paraId="234D838A"/>
    <w:p w14:paraId="75BC58CC"/>
    <w:p w14:paraId="2955C5DC"/>
    <w:p w14:paraId="7246CE0E">
      <w:pPr>
        <w:wordWrap w:val="0"/>
        <w:autoSpaceDE w:val="0"/>
        <w:autoSpaceDN w:val="0"/>
        <w:spacing w:before="0" w:after="0" w:line="480" w:lineRule="exact"/>
        <w:jc w:val="center"/>
        <w:rPr>
          <w:sz w:val="44"/>
        </w:rPr>
      </w:pPr>
      <w:r>
        <w:rPr>
          <w:rFonts w:hint="eastAsia" w:ascii="宋体" w:hAnsi="宋体"/>
          <w:b/>
          <w:color w:val="000000"/>
          <w:sz w:val="44"/>
          <w:lang w:eastAsia="zh-CN"/>
        </w:rPr>
        <w:t>连云港市住房和城乡建设系统人防工程管理类</w:t>
      </w:r>
      <w:r>
        <w:rPr>
          <w:rFonts w:hint="eastAsia" w:ascii="宋体" w:hAnsi="宋体" w:eastAsia="宋体"/>
          <w:b/>
          <w:color w:val="000000"/>
          <w:sz w:val="44"/>
        </w:rPr>
        <w:t>行政处罚裁量基准</w:t>
      </w:r>
    </w:p>
    <w:p w14:paraId="6975E9A5">
      <w:pPr>
        <w:wordWrap w:val="0"/>
        <w:autoSpaceDE w:val="0"/>
        <w:autoSpaceDN w:val="0"/>
        <w:spacing w:before="0" w:after="0" w:line="260" w:lineRule="exact"/>
        <w:ind w:firstLine="0"/>
        <w:jc w:val="both"/>
        <w:rPr>
          <w:rFonts w:hint="eastAsia" w:ascii="宋体" w:hAnsi="宋体" w:eastAsia="宋体"/>
          <w:color w:val="000000"/>
          <w:sz w:val="20"/>
        </w:rPr>
      </w:pPr>
    </w:p>
    <w:tbl>
      <w:tblPr>
        <w:tblStyle w:val="15"/>
        <w:tblW w:w="0" w:type="auto"/>
        <w:tblInd w:w="22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8"/>
        <w:gridCol w:w="5885"/>
        <w:gridCol w:w="1107"/>
        <w:gridCol w:w="5568"/>
      </w:tblGrid>
      <w:tr w14:paraId="59DD0C1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40EC6724">
            <w:pPr>
              <w:wordWrap w:val="0"/>
              <w:autoSpaceDE w:val="0"/>
              <w:autoSpaceDN w:val="0"/>
              <w:spacing w:before="33" w:after="0" w:line="246" w:lineRule="exact"/>
              <w:ind w:firstLine="320"/>
              <w:jc w:val="both"/>
              <w:rPr>
                <w:sz w:val="18"/>
                <w:szCs w:val="18"/>
              </w:rPr>
            </w:pPr>
            <w:r>
              <w:rPr>
                <w:rFonts w:hint="eastAsia" w:ascii="宋体" w:hAnsi="宋体" w:eastAsia="宋体"/>
                <w:color w:val="000000"/>
                <w:sz w:val="18"/>
                <w:szCs w:val="18"/>
              </w:rPr>
              <w:t>序号</w:t>
            </w:r>
          </w:p>
        </w:tc>
        <w:tc>
          <w:tcPr>
            <w:tcW w:w="12760" w:type="dxa"/>
            <w:gridSpan w:val="3"/>
            <w:tcBorders>
              <w:top w:val="single" w:color="000000" w:sz="4" w:space="0"/>
              <w:left w:val="single" w:color="000000" w:sz="4" w:space="0"/>
              <w:bottom w:val="single" w:color="000000" w:sz="4" w:space="0"/>
              <w:right w:val="single" w:color="000000" w:sz="4" w:space="0"/>
            </w:tcBorders>
            <w:vAlign w:val="top"/>
          </w:tcPr>
          <w:p w14:paraId="5423B2A5">
            <w:pPr>
              <w:wordWrap w:val="0"/>
              <w:autoSpaceDE w:val="0"/>
              <w:autoSpaceDN w:val="0"/>
              <w:spacing w:before="73" w:after="0" w:line="246" w:lineRule="exact"/>
              <w:ind w:firstLine="40"/>
              <w:jc w:val="both"/>
              <w:rPr>
                <w:sz w:val="18"/>
                <w:szCs w:val="18"/>
              </w:rPr>
            </w:pPr>
            <w:r>
              <w:rPr>
                <w:rFonts w:hint="eastAsia" w:ascii="Calibri" w:hAnsi="Calibri" w:eastAsia="Calibri"/>
                <w:color w:val="000000"/>
                <w:sz w:val="18"/>
                <w:szCs w:val="18"/>
              </w:rPr>
              <w:t>1</w:t>
            </w:r>
          </w:p>
        </w:tc>
      </w:tr>
      <w:tr w14:paraId="6A6E9C6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7BDF499">
            <w:pPr>
              <w:wordWrap w:val="0"/>
              <w:autoSpaceDE w:val="0"/>
              <w:autoSpaceDN w:val="0"/>
              <w:spacing w:before="13" w:after="0" w:line="246" w:lineRule="exact"/>
              <w:ind w:firstLine="340"/>
              <w:jc w:val="both"/>
              <w:rPr>
                <w:sz w:val="18"/>
                <w:szCs w:val="18"/>
              </w:rPr>
            </w:pPr>
            <w:r>
              <w:rPr>
                <w:rFonts w:hint="eastAsia" w:ascii="宋体" w:hAnsi="宋体" w:eastAsia="宋体"/>
                <w:color w:val="000000"/>
                <w:sz w:val="18"/>
                <w:szCs w:val="18"/>
              </w:rPr>
              <w:t>编号</w:t>
            </w:r>
          </w:p>
        </w:tc>
        <w:tc>
          <w:tcPr>
            <w:tcW w:w="12760" w:type="dxa"/>
            <w:gridSpan w:val="3"/>
            <w:tcBorders>
              <w:top w:val="single" w:color="000000" w:sz="4" w:space="0"/>
              <w:left w:val="single" w:color="000000" w:sz="4" w:space="0"/>
              <w:bottom w:val="single" w:color="000000" w:sz="4" w:space="0"/>
              <w:right w:val="single" w:color="000000" w:sz="4" w:space="0"/>
            </w:tcBorders>
            <w:vAlign w:val="top"/>
          </w:tcPr>
          <w:p w14:paraId="7530BA5D">
            <w:pPr>
              <w:wordWrap w:val="0"/>
              <w:autoSpaceDE w:val="0"/>
              <w:autoSpaceDN w:val="0"/>
              <w:spacing w:before="33" w:after="0" w:line="246" w:lineRule="exact"/>
              <w:ind w:firstLine="120"/>
              <w:jc w:val="both"/>
              <w:rPr>
                <w:sz w:val="18"/>
                <w:szCs w:val="18"/>
              </w:rPr>
            </w:pPr>
            <w:r>
              <w:rPr>
                <w:rFonts w:hint="eastAsia" w:ascii="Calibri" w:hAnsi="Calibri" w:eastAsia="Calibri"/>
                <w:color w:val="000000"/>
                <w:sz w:val="18"/>
                <w:szCs w:val="18"/>
              </w:rPr>
              <w:t>320280001000</w:t>
            </w:r>
          </w:p>
        </w:tc>
      </w:tr>
      <w:tr w14:paraId="3662306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720E93ED">
            <w:pPr>
              <w:wordWrap w:val="0"/>
              <w:autoSpaceDE w:val="0"/>
              <w:autoSpaceDN w:val="0"/>
              <w:spacing w:before="53" w:after="0" w:line="246" w:lineRule="exact"/>
              <w:ind w:firstLine="220"/>
              <w:jc w:val="both"/>
              <w:rPr>
                <w:sz w:val="18"/>
                <w:szCs w:val="18"/>
              </w:rPr>
            </w:pPr>
            <w:r>
              <w:rPr>
                <w:rFonts w:hint="eastAsia" w:ascii="宋体" w:hAnsi="宋体" w:eastAsia="宋体"/>
                <w:color w:val="000000"/>
                <w:sz w:val="18"/>
                <w:szCs w:val="18"/>
              </w:rPr>
              <w:t>行为名称</w:t>
            </w:r>
          </w:p>
        </w:tc>
        <w:tc>
          <w:tcPr>
            <w:tcW w:w="12760" w:type="dxa"/>
            <w:gridSpan w:val="3"/>
            <w:tcBorders>
              <w:top w:val="single" w:color="000000" w:sz="4" w:space="0"/>
              <w:left w:val="single" w:color="000000" w:sz="4" w:space="0"/>
              <w:bottom w:val="single" w:color="000000" w:sz="4" w:space="0"/>
              <w:right w:val="single" w:color="000000" w:sz="4" w:space="0"/>
            </w:tcBorders>
            <w:vAlign w:val="top"/>
          </w:tcPr>
          <w:p w14:paraId="4575F09F">
            <w:pPr>
              <w:wordWrap w:val="0"/>
              <w:autoSpaceDE w:val="0"/>
              <w:autoSpaceDN w:val="0"/>
              <w:spacing w:before="80" w:after="0" w:line="246" w:lineRule="exact"/>
              <w:ind w:firstLine="100"/>
              <w:jc w:val="both"/>
              <w:rPr>
                <w:sz w:val="18"/>
                <w:szCs w:val="18"/>
              </w:rPr>
            </w:pPr>
            <w:r>
              <w:rPr>
                <w:rFonts w:hint="eastAsia" w:ascii="宋体" w:hAnsi="宋体" w:eastAsia="宋体"/>
                <w:color w:val="000000"/>
                <w:sz w:val="18"/>
                <w:szCs w:val="18"/>
              </w:rPr>
              <w:t>对违反国家规定不修建战时可用于防空的地下室的处罚</w:t>
            </w:r>
          </w:p>
        </w:tc>
      </w:tr>
      <w:tr w14:paraId="50178B5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4B4D11C4">
            <w:pPr>
              <w:wordWrap w:val="0"/>
              <w:autoSpaceDE w:val="0"/>
              <w:autoSpaceDN w:val="0"/>
              <w:spacing w:before="0" w:after="0" w:line="246" w:lineRule="exact"/>
              <w:ind w:firstLine="0"/>
              <w:jc w:val="both"/>
              <w:rPr>
                <w:rFonts w:hint="eastAsia" w:ascii="宋体" w:hAnsi="宋体" w:eastAsia="宋体"/>
                <w:color w:val="000000"/>
                <w:sz w:val="18"/>
                <w:szCs w:val="18"/>
              </w:rPr>
            </w:pPr>
          </w:p>
          <w:p w14:paraId="290DDC92">
            <w:pPr>
              <w:wordWrap w:val="0"/>
              <w:autoSpaceDE w:val="0"/>
              <w:autoSpaceDN w:val="0"/>
              <w:spacing w:before="0" w:after="0" w:line="246" w:lineRule="exact"/>
              <w:ind w:firstLine="0"/>
              <w:jc w:val="both"/>
              <w:rPr>
                <w:rFonts w:hint="eastAsia" w:ascii="宋体" w:hAnsi="宋体" w:eastAsia="宋体"/>
                <w:color w:val="000000"/>
                <w:sz w:val="18"/>
                <w:szCs w:val="18"/>
              </w:rPr>
            </w:pPr>
          </w:p>
          <w:p w14:paraId="38EA6EB6">
            <w:pPr>
              <w:wordWrap w:val="0"/>
              <w:autoSpaceDE w:val="0"/>
              <w:autoSpaceDN w:val="0"/>
              <w:spacing w:before="0" w:after="0" w:line="246" w:lineRule="exact"/>
              <w:ind w:firstLine="0"/>
              <w:jc w:val="both"/>
              <w:rPr>
                <w:rFonts w:hint="eastAsia" w:ascii="宋体" w:hAnsi="宋体" w:eastAsia="宋体"/>
                <w:color w:val="000000"/>
                <w:sz w:val="18"/>
                <w:szCs w:val="18"/>
              </w:rPr>
            </w:pPr>
          </w:p>
          <w:p w14:paraId="1A5DF4E9">
            <w:pPr>
              <w:wordWrap w:val="0"/>
              <w:autoSpaceDE w:val="0"/>
              <w:autoSpaceDN w:val="0"/>
              <w:spacing w:before="0" w:after="0" w:line="246" w:lineRule="exact"/>
              <w:ind w:firstLine="0"/>
              <w:jc w:val="both"/>
              <w:rPr>
                <w:rFonts w:hint="eastAsia" w:ascii="宋体" w:hAnsi="宋体" w:eastAsia="宋体"/>
                <w:color w:val="000000"/>
                <w:sz w:val="18"/>
                <w:szCs w:val="18"/>
              </w:rPr>
            </w:pPr>
          </w:p>
          <w:p w14:paraId="21D3C98A">
            <w:pPr>
              <w:wordWrap w:val="0"/>
              <w:autoSpaceDE w:val="0"/>
              <w:autoSpaceDN w:val="0"/>
              <w:spacing w:before="0" w:after="0" w:line="246" w:lineRule="exact"/>
              <w:ind w:firstLine="0"/>
              <w:jc w:val="both"/>
              <w:rPr>
                <w:rFonts w:hint="eastAsia" w:ascii="宋体" w:hAnsi="宋体" w:eastAsia="宋体"/>
                <w:color w:val="000000"/>
                <w:sz w:val="18"/>
                <w:szCs w:val="18"/>
              </w:rPr>
            </w:pPr>
          </w:p>
          <w:p w14:paraId="4BF31BFB">
            <w:pPr>
              <w:wordWrap w:val="0"/>
              <w:autoSpaceDE w:val="0"/>
              <w:autoSpaceDN w:val="0"/>
              <w:spacing w:before="87" w:after="0" w:line="246" w:lineRule="exact"/>
              <w:ind w:firstLine="220"/>
              <w:jc w:val="both"/>
              <w:rPr>
                <w:sz w:val="18"/>
                <w:szCs w:val="18"/>
              </w:rPr>
            </w:pPr>
            <w:r>
              <w:rPr>
                <w:rFonts w:hint="eastAsia" w:ascii="宋体" w:hAnsi="宋体" w:eastAsia="宋体"/>
                <w:color w:val="000000"/>
                <w:sz w:val="18"/>
                <w:szCs w:val="18"/>
              </w:rPr>
              <w:t>法律依据</w:t>
            </w:r>
          </w:p>
        </w:tc>
        <w:tc>
          <w:tcPr>
            <w:tcW w:w="12760" w:type="dxa"/>
            <w:gridSpan w:val="3"/>
            <w:tcBorders>
              <w:top w:val="single" w:color="000000" w:sz="4" w:space="0"/>
              <w:left w:val="single" w:color="000000" w:sz="4" w:space="0"/>
              <w:bottom w:val="single" w:color="000000" w:sz="4" w:space="0"/>
              <w:right w:val="single" w:color="000000" w:sz="4" w:space="0"/>
            </w:tcBorders>
            <w:vAlign w:val="top"/>
          </w:tcPr>
          <w:p w14:paraId="5F764C60">
            <w:pPr>
              <w:wordWrap w:val="0"/>
              <w:autoSpaceDE w:val="0"/>
              <w:autoSpaceDN w:val="0"/>
              <w:spacing w:before="73" w:after="0" w:line="246" w:lineRule="exact"/>
              <w:ind w:firstLine="100"/>
              <w:jc w:val="both"/>
              <w:rPr>
                <w:sz w:val="18"/>
                <w:szCs w:val="18"/>
              </w:rPr>
            </w:pPr>
            <w:r>
              <w:rPr>
                <w:rFonts w:hint="eastAsia" w:ascii="宋体" w:hAnsi="宋体" w:eastAsia="宋体"/>
                <w:color w:val="000000"/>
                <w:sz w:val="18"/>
                <w:szCs w:val="18"/>
              </w:rPr>
              <w:t>【法律】《中华人民共和国人民防空法》</w:t>
            </w:r>
          </w:p>
          <w:p w14:paraId="3F47EE64">
            <w:pPr>
              <w:wordWrap w:val="0"/>
              <w:autoSpaceDE w:val="0"/>
              <w:autoSpaceDN w:val="0"/>
              <w:spacing w:before="53" w:after="0" w:line="246" w:lineRule="exact"/>
              <w:ind w:firstLine="500"/>
              <w:jc w:val="both"/>
              <w:rPr>
                <w:sz w:val="18"/>
                <w:szCs w:val="18"/>
              </w:rPr>
            </w:pPr>
            <w:r>
              <w:rPr>
                <w:rFonts w:hint="eastAsia" w:ascii="宋体" w:hAnsi="宋体" w:eastAsia="宋体"/>
                <w:color w:val="000000"/>
                <w:sz w:val="18"/>
                <w:szCs w:val="18"/>
              </w:rPr>
              <w:t>第二十二条 城市新建民用建筑，按照国家有关规定修建战时可用于防空的地下室。</w:t>
            </w:r>
          </w:p>
          <w:p w14:paraId="3579156B">
            <w:pPr>
              <w:wordWrap w:val="0"/>
              <w:autoSpaceDE w:val="0"/>
              <w:autoSpaceDN w:val="0"/>
              <w:spacing w:before="63" w:after="0" w:line="246" w:lineRule="exact"/>
              <w:ind w:left="80" w:right="40" w:firstLine="420"/>
              <w:jc w:val="both"/>
              <w:rPr>
                <w:sz w:val="18"/>
                <w:szCs w:val="18"/>
              </w:rPr>
            </w:pPr>
            <w:r>
              <w:rPr>
                <w:rFonts w:hint="eastAsia" w:ascii="宋体" w:hAnsi="宋体" w:eastAsia="宋体"/>
                <w:color w:val="000000"/>
                <w:sz w:val="18"/>
                <w:szCs w:val="18"/>
              </w:rPr>
              <w:t>第四十八条 城市新建民用建筑，违反国家有关规定不修建战时可用于防空的地下室的，由县级以上人民政府人民防空主管部门对当事人给予警告，并责令限期修建，可以并处十万元以下的罚款。</w:t>
            </w:r>
          </w:p>
          <w:p w14:paraId="516E5188">
            <w:pPr>
              <w:wordWrap w:val="0"/>
              <w:autoSpaceDE w:val="0"/>
              <w:autoSpaceDN w:val="0"/>
              <w:spacing w:before="93" w:after="0" w:line="246"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2BB08661">
            <w:pPr>
              <w:wordWrap w:val="0"/>
              <w:autoSpaceDE w:val="0"/>
              <w:autoSpaceDN w:val="0"/>
              <w:spacing w:before="63" w:after="0" w:line="246" w:lineRule="exact"/>
              <w:ind w:left="80" w:right="40" w:firstLine="420"/>
              <w:jc w:val="both"/>
              <w:rPr>
                <w:sz w:val="18"/>
                <w:szCs w:val="18"/>
              </w:rPr>
            </w:pPr>
            <w:r>
              <w:rPr>
                <w:rFonts w:hint="eastAsia" w:ascii="宋体" w:hAnsi="宋体" w:eastAsia="宋体"/>
                <w:color w:val="000000"/>
                <w:sz w:val="18"/>
                <w:szCs w:val="18"/>
              </w:rPr>
              <w:t>第十二条第一款 城市新建民用建筑，必须按照国家有关规定修建战时可用于防空的地下室（以下简称防空地下室），并与地面建筑同步规划、设计、建设、竣工验收，其建设经费纳入建设项目投资计划。</w:t>
            </w:r>
          </w:p>
          <w:p w14:paraId="730E309E">
            <w:pPr>
              <w:wordWrap w:val="0"/>
              <w:autoSpaceDE w:val="0"/>
              <w:autoSpaceDN w:val="0"/>
              <w:spacing w:before="0" w:after="0" w:line="246" w:lineRule="exact"/>
              <w:ind w:left="100" w:right="60" w:firstLine="400"/>
              <w:jc w:val="both"/>
              <w:rPr>
                <w:sz w:val="18"/>
                <w:szCs w:val="18"/>
              </w:rPr>
            </w:pPr>
            <w:r>
              <w:rPr>
                <w:rFonts w:hint="eastAsia" w:ascii="宋体" w:hAnsi="宋体" w:eastAsia="宋体"/>
                <w:color w:val="000000"/>
                <w:sz w:val="18"/>
                <w:szCs w:val="18"/>
              </w:rPr>
              <w:t>第三十三条第一款 违反本办法第十二条第一款的规定，不修建防空地下室的，由人防主管部门对当事人给予警告，责令限期修建，可以并处五万元以上十万以下的罚款；因主体工程完工无法补建的，应当缴纳易地建设费，并处五万元以上十万元以下的罚款。</w:t>
            </w:r>
          </w:p>
        </w:tc>
      </w:tr>
      <w:tr w14:paraId="683F7E1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50E8393B">
            <w:pPr>
              <w:wordWrap w:val="0"/>
              <w:autoSpaceDE w:val="0"/>
              <w:autoSpaceDN w:val="0"/>
              <w:spacing w:before="53" w:after="0" w:line="246" w:lineRule="exact"/>
              <w:ind w:firstLine="220"/>
              <w:jc w:val="both"/>
              <w:rPr>
                <w:sz w:val="18"/>
                <w:szCs w:val="18"/>
              </w:rPr>
            </w:pPr>
            <w:r>
              <w:rPr>
                <w:rFonts w:hint="eastAsia" w:ascii="宋体" w:hAnsi="宋体" w:eastAsia="宋体"/>
                <w:color w:val="000000"/>
                <w:sz w:val="18"/>
                <w:szCs w:val="18"/>
              </w:rPr>
              <w:t>处罚种类</w:t>
            </w:r>
          </w:p>
        </w:tc>
        <w:tc>
          <w:tcPr>
            <w:tcW w:w="12760" w:type="dxa"/>
            <w:gridSpan w:val="3"/>
            <w:tcBorders>
              <w:top w:val="single" w:color="000000" w:sz="4" w:space="0"/>
              <w:left w:val="single" w:color="000000" w:sz="4" w:space="0"/>
              <w:bottom w:val="single" w:color="000000" w:sz="4" w:space="0"/>
              <w:right w:val="single" w:color="000000" w:sz="4" w:space="0"/>
            </w:tcBorders>
            <w:vAlign w:val="top"/>
          </w:tcPr>
          <w:p w14:paraId="1074FA9B">
            <w:pPr>
              <w:wordWrap w:val="0"/>
              <w:autoSpaceDE w:val="0"/>
              <w:autoSpaceDN w:val="0"/>
              <w:spacing w:before="73" w:after="0" w:line="246" w:lineRule="exact"/>
              <w:ind w:firstLine="80"/>
              <w:jc w:val="both"/>
              <w:rPr>
                <w:sz w:val="18"/>
                <w:szCs w:val="18"/>
              </w:rPr>
            </w:pPr>
            <w:r>
              <w:rPr>
                <w:rFonts w:hint="eastAsia" w:ascii="宋体" w:hAnsi="宋体" w:eastAsia="宋体"/>
                <w:color w:val="000000"/>
                <w:sz w:val="18"/>
                <w:szCs w:val="18"/>
              </w:rPr>
              <w:t>警告、罚款</w:t>
            </w:r>
          </w:p>
        </w:tc>
      </w:tr>
      <w:tr w14:paraId="2B3AAE9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3960" w:type="dxa"/>
            <w:gridSpan w:val="4"/>
            <w:tcBorders>
              <w:top w:val="single" w:color="000000" w:sz="4" w:space="0"/>
              <w:left w:val="single" w:color="000000" w:sz="4" w:space="0"/>
              <w:bottom w:val="single" w:color="000000" w:sz="4" w:space="0"/>
              <w:right w:val="single" w:color="000000" w:sz="4" w:space="0"/>
            </w:tcBorders>
            <w:vAlign w:val="top"/>
          </w:tcPr>
          <w:p w14:paraId="4027D16D">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自由裁量基准</w:t>
            </w:r>
          </w:p>
        </w:tc>
      </w:tr>
      <w:tr w14:paraId="3860092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58C3AA32">
            <w:pPr>
              <w:wordWrap w:val="0"/>
              <w:autoSpaceDE w:val="0"/>
              <w:autoSpaceDN w:val="0"/>
              <w:spacing w:before="0" w:after="0" w:line="246" w:lineRule="exact"/>
              <w:ind w:firstLine="0"/>
              <w:jc w:val="both"/>
              <w:rPr>
                <w:rFonts w:hint="eastAsia" w:ascii="宋体" w:hAnsi="宋体" w:eastAsia="宋体"/>
                <w:color w:val="000000"/>
                <w:sz w:val="18"/>
                <w:szCs w:val="18"/>
              </w:rPr>
            </w:pPr>
          </w:p>
          <w:p w14:paraId="39C62CD6">
            <w:pPr>
              <w:wordWrap w:val="0"/>
              <w:autoSpaceDE w:val="0"/>
              <w:autoSpaceDN w:val="0"/>
              <w:spacing w:before="0" w:after="0" w:line="246" w:lineRule="exact"/>
              <w:ind w:firstLine="0"/>
              <w:jc w:val="both"/>
              <w:rPr>
                <w:rFonts w:hint="eastAsia" w:ascii="宋体" w:hAnsi="宋体" w:eastAsia="宋体"/>
                <w:color w:val="000000"/>
                <w:sz w:val="18"/>
                <w:szCs w:val="18"/>
              </w:rPr>
            </w:pPr>
          </w:p>
          <w:p w14:paraId="33A440DD">
            <w:pPr>
              <w:wordWrap w:val="0"/>
              <w:autoSpaceDE w:val="0"/>
              <w:autoSpaceDN w:val="0"/>
              <w:spacing w:before="0" w:after="0" w:line="246" w:lineRule="exact"/>
              <w:ind w:firstLine="0"/>
              <w:jc w:val="both"/>
              <w:rPr>
                <w:rFonts w:hint="eastAsia" w:ascii="宋体" w:hAnsi="宋体" w:eastAsia="宋体"/>
                <w:color w:val="000000"/>
                <w:sz w:val="18"/>
                <w:szCs w:val="18"/>
              </w:rPr>
            </w:pPr>
          </w:p>
          <w:p w14:paraId="3F848266">
            <w:pPr>
              <w:wordWrap w:val="0"/>
              <w:autoSpaceDE w:val="0"/>
              <w:autoSpaceDN w:val="0"/>
              <w:spacing w:before="140" w:after="0" w:line="246" w:lineRule="exact"/>
              <w:ind w:firstLine="200"/>
              <w:jc w:val="both"/>
              <w:rPr>
                <w:sz w:val="18"/>
                <w:szCs w:val="18"/>
              </w:rPr>
            </w:pPr>
            <w:r>
              <w:rPr>
                <w:rFonts w:hint="eastAsia" w:ascii="宋体" w:hAnsi="宋体" w:eastAsia="宋体"/>
                <w:color w:val="000000"/>
                <w:sz w:val="18"/>
                <w:szCs w:val="18"/>
              </w:rPr>
              <w:t>情形描述</w:t>
            </w:r>
          </w:p>
        </w:tc>
        <w:tc>
          <w:tcPr>
            <w:tcW w:w="5980" w:type="dxa"/>
            <w:tcBorders>
              <w:top w:val="single" w:color="000000" w:sz="4" w:space="0"/>
              <w:left w:val="single" w:color="000000" w:sz="4" w:space="0"/>
              <w:bottom w:val="single" w:color="000000" w:sz="4" w:space="0"/>
              <w:right w:val="single" w:color="000000" w:sz="4" w:space="0"/>
            </w:tcBorders>
            <w:vAlign w:val="top"/>
          </w:tcPr>
          <w:p w14:paraId="01944C74">
            <w:pPr>
              <w:wordWrap w:val="0"/>
              <w:autoSpaceDE w:val="0"/>
              <w:autoSpaceDN w:val="0"/>
              <w:spacing w:before="60" w:after="0" w:line="246" w:lineRule="exact"/>
              <w:ind w:left="140" w:hanging="60"/>
              <w:jc w:val="both"/>
              <w:rPr>
                <w:sz w:val="18"/>
                <w:szCs w:val="18"/>
              </w:rPr>
            </w:pPr>
            <w:r>
              <w:rPr>
                <w:rFonts w:hint="eastAsia" w:ascii="宋体" w:hAnsi="宋体" w:eastAsia="宋体"/>
                <w:color w:val="000000"/>
                <w:sz w:val="18"/>
                <w:szCs w:val="18"/>
              </w:rPr>
              <w:t>未修建防空地下室，面积</w:t>
            </w:r>
            <w:r>
              <w:rPr>
                <w:rFonts w:hint="eastAsia" w:ascii="Calibri" w:hAnsi="Calibri" w:eastAsia="Calibri"/>
                <w:color w:val="000000"/>
                <w:sz w:val="18"/>
                <w:szCs w:val="18"/>
              </w:rPr>
              <w:t>500</w:t>
            </w:r>
            <w:r>
              <w:rPr>
                <w:rFonts w:hint="eastAsia" w:ascii="宋体" w:hAnsi="宋体" w:eastAsia="宋体"/>
                <w:color w:val="000000"/>
                <w:sz w:val="18"/>
                <w:szCs w:val="18"/>
              </w:rPr>
              <w:t>平方米以下，且不超过批建面积的</w:t>
            </w:r>
            <w:r>
              <w:rPr>
                <w:rFonts w:hint="eastAsia" w:ascii="Calibri" w:hAnsi="Calibri" w:eastAsia="Calibri"/>
                <w:color w:val="000000"/>
                <w:sz w:val="18"/>
                <w:szCs w:val="18"/>
              </w:rPr>
              <w:t>10</w:t>
            </w:r>
            <w:r>
              <w:rPr>
                <w:rFonts w:hint="eastAsia" w:ascii="宋体" w:hAnsi="宋体" w:eastAsia="宋体"/>
                <w:color w:val="000000"/>
                <w:sz w:val="18"/>
                <w:szCs w:val="18"/>
              </w:rPr>
              <w:t>%，初次违法且积极配合及时改正或按照标准缴纳易地建设费</w:t>
            </w:r>
          </w:p>
        </w:tc>
        <w:tc>
          <w:tcPr>
            <w:tcW w:w="1120" w:type="dxa"/>
            <w:tcBorders>
              <w:top w:val="single" w:color="000000" w:sz="4" w:space="0"/>
              <w:left w:val="single" w:color="000000" w:sz="4" w:space="0"/>
              <w:bottom w:val="single" w:color="000000" w:sz="4" w:space="0"/>
              <w:right w:val="single" w:color="000000" w:sz="4" w:space="0"/>
            </w:tcBorders>
            <w:vAlign w:val="center"/>
          </w:tcPr>
          <w:p w14:paraId="406B3EF6">
            <w:pPr>
              <w:wordWrap w:val="0"/>
              <w:autoSpaceDE w:val="0"/>
              <w:autoSpaceDN w:val="0"/>
              <w:spacing w:before="0" w:after="0" w:line="272" w:lineRule="exact"/>
              <w:jc w:val="center"/>
              <w:rPr>
                <w:rFonts w:hint="eastAsia" w:ascii="宋体" w:hAnsi="宋体" w:eastAsia="宋体"/>
                <w:color w:val="000000"/>
                <w:sz w:val="18"/>
                <w:szCs w:val="18"/>
              </w:rPr>
            </w:pPr>
          </w:p>
        </w:tc>
        <w:tc>
          <w:tcPr>
            <w:tcW w:w="5660" w:type="dxa"/>
            <w:tcBorders>
              <w:top w:val="single" w:color="000000" w:sz="4" w:space="0"/>
              <w:left w:val="single" w:color="000000" w:sz="4" w:space="0"/>
              <w:bottom w:val="single" w:color="000000" w:sz="4" w:space="0"/>
              <w:right w:val="single" w:color="000000" w:sz="4" w:space="0"/>
            </w:tcBorders>
            <w:vAlign w:val="top"/>
          </w:tcPr>
          <w:p w14:paraId="1E99FCB6">
            <w:pPr>
              <w:wordWrap w:val="0"/>
              <w:autoSpaceDE w:val="0"/>
              <w:autoSpaceDN w:val="0"/>
              <w:spacing w:before="220" w:after="0" w:line="246" w:lineRule="exact"/>
              <w:ind w:firstLine="120"/>
              <w:jc w:val="both"/>
              <w:rPr>
                <w:sz w:val="18"/>
                <w:szCs w:val="18"/>
              </w:rPr>
            </w:pPr>
            <w:r>
              <w:rPr>
                <w:rFonts w:hint="eastAsia" w:ascii="宋体" w:hAnsi="宋体" w:eastAsia="宋体"/>
                <w:color w:val="000000"/>
                <w:sz w:val="18"/>
                <w:szCs w:val="18"/>
              </w:rPr>
              <w:t>不予处罚</w:t>
            </w:r>
          </w:p>
        </w:tc>
      </w:tr>
      <w:tr w14:paraId="2FB100A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0C0D01D0">
            <w:pPr>
              <w:rPr>
                <w:sz w:val="18"/>
                <w:szCs w:val="18"/>
              </w:rPr>
            </w:pPr>
          </w:p>
        </w:tc>
        <w:tc>
          <w:tcPr>
            <w:tcW w:w="5980" w:type="dxa"/>
            <w:tcBorders>
              <w:top w:val="single" w:color="000000" w:sz="4" w:space="0"/>
              <w:left w:val="single" w:color="000000" w:sz="4" w:space="0"/>
              <w:bottom w:val="single" w:color="000000" w:sz="4" w:space="0"/>
              <w:right w:val="single" w:color="000000" w:sz="4" w:space="0"/>
            </w:tcBorders>
            <w:vAlign w:val="top"/>
          </w:tcPr>
          <w:p w14:paraId="34F4A52B">
            <w:pPr>
              <w:wordWrap w:val="0"/>
              <w:autoSpaceDE w:val="0"/>
              <w:autoSpaceDN w:val="0"/>
              <w:spacing w:before="53" w:after="0" w:line="246" w:lineRule="exact"/>
              <w:ind w:firstLine="80"/>
              <w:jc w:val="both"/>
              <w:rPr>
                <w:sz w:val="18"/>
                <w:szCs w:val="18"/>
              </w:rPr>
            </w:pPr>
            <w:r>
              <w:rPr>
                <w:rFonts w:hint="eastAsia" w:ascii="宋体" w:hAnsi="宋体" w:eastAsia="宋体"/>
                <w:color w:val="000000"/>
                <w:sz w:val="18"/>
                <w:szCs w:val="18"/>
              </w:rPr>
              <w:t>应建未建防空地下室，面积</w:t>
            </w:r>
            <w:r>
              <w:rPr>
                <w:rFonts w:hint="eastAsia" w:ascii="Calibri" w:hAnsi="Calibri" w:eastAsia="Calibri"/>
                <w:color w:val="000000"/>
                <w:sz w:val="18"/>
                <w:szCs w:val="18"/>
              </w:rPr>
              <w:t>1000</w:t>
            </w:r>
            <w:r>
              <w:rPr>
                <w:rFonts w:hint="eastAsia" w:ascii="宋体" w:hAnsi="宋体" w:eastAsia="宋体"/>
                <w:color w:val="000000"/>
                <w:sz w:val="18"/>
                <w:szCs w:val="18"/>
              </w:rPr>
              <w:t>平方米以下</w:t>
            </w:r>
          </w:p>
        </w:tc>
        <w:tc>
          <w:tcPr>
            <w:tcW w:w="1120" w:type="dxa"/>
            <w:vMerge w:val="restart"/>
            <w:tcBorders>
              <w:top w:val="single" w:color="000000" w:sz="4" w:space="0"/>
              <w:left w:val="single" w:color="000000" w:sz="4" w:space="0"/>
              <w:bottom w:val="single" w:color="000000" w:sz="4" w:space="0"/>
              <w:right w:val="single" w:color="000000" w:sz="4" w:space="0"/>
            </w:tcBorders>
            <w:vAlign w:val="top"/>
          </w:tcPr>
          <w:p w14:paraId="1D2FFF25">
            <w:pPr>
              <w:wordWrap w:val="0"/>
              <w:autoSpaceDE w:val="0"/>
              <w:autoSpaceDN w:val="0"/>
              <w:spacing w:before="0" w:after="0" w:line="246" w:lineRule="exact"/>
              <w:ind w:firstLine="0"/>
              <w:jc w:val="both"/>
              <w:rPr>
                <w:rFonts w:hint="eastAsia" w:ascii="宋体" w:hAnsi="宋体" w:eastAsia="宋体"/>
                <w:color w:val="000000"/>
                <w:sz w:val="18"/>
                <w:szCs w:val="18"/>
              </w:rPr>
            </w:pPr>
          </w:p>
          <w:p w14:paraId="1C554EB4">
            <w:pPr>
              <w:wordWrap w:val="0"/>
              <w:autoSpaceDE w:val="0"/>
              <w:autoSpaceDN w:val="0"/>
              <w:spacing w:before="0" w:after="0" w:line="246" w:lineRule="exact"/>
              <w:ind w:firstLine="0"/>
              <w:jc w:val="both"/>
              <w:rPr>
                <w:rFonts w:hint="eastAsia" w:ascii="宋体" w:hAnsi="宋体" w:eastAsia="宋体"/>
                <w:color w:val="000000"/>
                <w:sz w:val="18"/>
                <w:szCs w:val="18"/>
              </w:rPr>
            </w:pPr>
          </w:p>
          <w:p w14:paraId="1E2BFD24">
            <w:pPr>
              <w:wordWrap w:val="0"/>
              <w:autoSpaceDE w:val="0"/>
              <w:autoSpaceDN w:val="0"/>
              <w:spacing w:before="47" w:after="0" w:line="246" w:lineRule="exact"/>
              <w:ind w:firstLine="160"/>
              <w:jc w:val="both"/>
              <w:rPr>
                <w:sz w:val="18"/>
                <w:szCs w:val="18"/>
              </w:rPr>
            </w:pPr>
            <w:r>
              <w:rPr>
                <w:rFonts w:hint="eastAsia" w:ascii="宋体" w:hAnsi="宋体" w:eastAsia="宋体"/>
                <w:color w:val="000000"/>
                <w:sz w:val="18"/>
                <w:szCs w:val="18"/>
              </w:rPr>
              <w:t>裁量幅度</w:t>
            </w:r>
          </w:p>
        </w:tc>
        <w:tc>
          <w:tcPr>
            <w:tcW w:w="5660" w:type="dxa"/>
            <w:tcBorders>
              <w:top w:val="single" w:color="000000" w:sz="4" w:space="0"/>
              <w:left w:val="single" w:color="000000" w:sz="4" w:space="0"/>
              <w:bottom w:val="single" w:color="000000" w:sz="4" w:space="0"/>
              <w:right w:val="single" w:color="000000" w:sz="4" w:space="0"/>
            </w:tcBorders>
            <w:vAlign w:val="top"/>
          </w:tcPr>
          <w:p w14:paraId="5D82F7E0">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警告并责令限期整改</w:t>
            </w:r>
          </w:p>
        </w:tc>
      </w:tr>
      <w:tr w14:paraId="122D743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70891DB4">
            <w:pPr>
              <w:rPr>
                <w:sz w:val="18"/>
                <w:szCs w:val="18"/>
              </w:rPr>
            </w:pPr>
          </w:p>
        </w:tc>
        <w:tc>
          <w:tcPr>
            <w:tcW w:w="5980" w:type="dxa"/>
            <w:tcBorders>
              <w:top w:val="single" w:color="000000" w:sz="4" w:space="0"/>
              <w:left w:val="single" w:color="000000" w:sz="4" w:space="0"/>
              <w:bottom w:val="single" w:color="000000" w:sz="4" w:space="0"/>
              <w:right w:val="single" w:color="000000" w:sz="4" w:space="0"/>
            </w:tcBorders>
            <w:vAlign w:val="top"/>
          </w:tcPr>
          <w:p w14:paraId="5D49607C">
            <w:pPr>
              <w:wordWrap w:val="0"/>
              <w:autoSpaceDE w:val="0"/>
              <w:autoSpaceDN w:val="0"/>
              <w:spacing w:before="0" w:after="0" w:line="240" w:lineRule="exact"/>
              <w:ind w:firstLine="80"/>
              <w:jc w:val="both"/>
              <w:rPr>
                <w:sz w:val="18"/>
                <w:szCs w:val="18"/>
              </w:rPr>
            </w:pPr>
            <w:r>
              <w:rPr>
                <w:rFonts w:hint="eastAsia" w:ascii="宋体" w:hAnsi="宋体" w:eastAsia="宋体"/>
                <w:color w:val="000000"/>
                <w:sz w:val="18"/>
                <w:szCs w:val="18"/>
              </w:rPr>
              <w:t>应建未建防空地下室，面积</w:t>
            </w:r>
            <w:r>
              <w:rPr>
                <w:rFonts w:hint="eastAsia" w:ascii="Calibri" w:hAnsi="Calibri" w:eastAsia="Calibri"/>
                <w:color w:val="000000"/>
                <w:sz w:val="18"/>
                <w:szCs w:val="18"/>
              </w:rPr>
              <w:t>1000</w:t>
            </w:r>
            <w:r>
              <w:rPr>
                <w:rFonts w:hint="eastAsia" w:ascii="宋体" w:hAnsi="宋体" w:eastAsia="宋体"/>
                <w:color w:val="000000"/>
                <w:sz w:val="18"/>
                <w:szCs w:val="18"/>
              </w:rPr>
              <w:t>平方米以上</w:t>
            </w:r>
            <w:r>
              <w:rPr>
                <w:rFonts w:hint="eastAsia" w:ascii="Calibri" w:hAnsi="Calibri" w:eastAsia="Calibri"/>
                <w:color w:val="000000"/>
                <w:sz w:val="18"/>
                <w:szCs w:val="18"/>
              </w:rPr>
              <w:t>2000</w:t>
            </w:r>
            <w:r>
              <w:rPr>
                <w:rFonts w:hint="eastAsia" w:ascii="宋体" w:hAnsi="宋体" w:eastAsia="宋体"/>
                <w:color w:val="000000"/>
                <w:sz w:val="18"/>
                <w:szCs w:val="18"/>
              </w:rPr>
              <w:t>平方米以下</w:t>
            </w:r>
          </w:p>
        </w:tc>
        <w:tc>
          <w:tcPr>
            <w:tcW w:w="1120" w:type="dxa"/>
            <w:vMerge w:val="continue"/>
            <w:tcBorders>
              <w:top w:val="single" w:color="000000" w:sz="4" w:space="0"/>
              <w:left w:val="single" w:color="000000" w:sz="4" w:space="0"/>
              <w:bottom w:val="single" w:color="000000" w:sz="4" w:space="0"/>
              <w:right w:val="single" w:color="000000" w:sz="4" w:space="0"/>
            </w:tcBorders>
          </w:tcPr>
          <w:p w14:paraId="4ED3DCB0">
            <w:pPr>
              <w:rPr>
                <w:sz w:val="18"/>
                <w:szCs w:val="18"/>
              </w:rPr>
            </w:pPr>
          </w:p>
        </w:tc>
        <w:tc>
          <w:tcPr>
            <w:tcW w:w="5660" w:type="dxa"/>
            <w:tcBorders>
              <w:top w:val="single" w:color="000000" w:sz="4" w:space="0"/>
              <w:left w:val="single" w:color="000000" w:sz="4" w:space="0"/>
              <w:bottom w:val="single" w:color="000000" w:sz="4" w:space="0"/>
              <w:right w:val="single" w:color="000000" w:sz="4" w:space="0"/>
            </w:tcBorders>
            <w:vAlign w:val="top"/>
          </w:tcPr>
          <w:p w14:paraId="141B8E92">
            <w:pPr>
              <w:wordWrap w:val="0"/>
              <w:autoSpaceDE w:val="0"/>
              <w:autoSpaceDN w:val="0"/>
              <w:spacing w:before="13" w:after="0" w:line="246" w:lineRule="exact"/>
              <w:ind w:firstLine="140"/>
              <w:jc w:val="both"/>
              <w:rPr>
                <w:sz w:val="18"/>
                <w:szCs w:val="18"/>
              </w:rPr>
            </w:pPr>
            <w:r>
              <w:rPr>
                <w:rFonts w:hint="eastAsia" w:ascii="宋体" w:hAnsi="宋体" w:eastAsia="宋体"/>
                <w:color w:val="000000"/>
                <w:sz w:val="18"/>
                <w:szCs w:val="18"/>
              </w:rPr>
              <w:t>警告并责令限期整改，并处</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6</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r w14:paraId="0D3BEB6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08C2E9E9">
            <w:pPr>
              <w:rPr>
                <w:sz w:val="18"/>
                <w:szCs w:val="18"/>
              </w:rPr>
            </w:pPr>
          </w:p>
        </w:tc>
        <w:tc>
          <w:tcPr>
            <w:tcW w:w="5980" w:type="dxa"/>
            <w:tcBorders>
              <w:top w:val="single" w:color="000000" w:sz="4" w:space="0"/>
              <w:left w:val="single" w:color="000000" w:sz="4" w:space="0"/>
              <w:bottom w:val="single" w:color="000000" w:sz="4" w:space="0"/>
              <w:right w:val="single" w:color="000000" w:sz="4" w:space="0"/>
            </w:tcBorders>
            <w:vAlign w:val="top"/>
          </w:tcPr>
          <w:p w14:paraId="1E319E44">
            <w:pPr>
              <w:wordWrap w:val="0"/>
              <w:autoSpaceDE w:val="0"/>
              <w:autoSpaceDN w:val="0"/>
              <w:spacing w:before="13" w:after="0" w:line="246" w:lineRule="exact"/>
              <w:ind w:firstLine="80"/>
              <w:jc w:val="both"/>
              <w:rPr>
                <w:sz w:val="18"/>
                <w:szCs w:val="18"/>
              </w:rPr>
            </w:pPr>
            <w:r>
              <w:rPr>
                <w:rFonts w:hint="eastAsia" w:ascii="宋体" w:hAnsi="宋体" w:eastAsia="宋体"/>
                <w:color w:val="000000"/>
                <w:sz w:val="18"/>
                <w:szCs w:val="18"/>
              </w:rPr>
              <w:t>应建未建防空地下室，面积</w:t>
            </w:r>
            <w:r>
              <w:rPr>
                <w:rFonts w:hint="eastAsia" w:ascii="Calibri" w:hAnsi="Calibri" w:eastAsia="Calibri"/>
                <w:color w:val="000000"/>
                <w:sz w:val="18"/>
                <w:szCs w:val="18"/>
              </w:rPr>
              <w:t>2000</w:t>
            </w:r>
            <w:r>
              <w:rPr>
                <w:rFonts w:hint="eastAsia" w:ascii="宋体" w:hAnsi="宋体" w:eastAsia="宋体"/>
                <w:color w:val="000000"/>
                <w:sz w:val="18"/>
                <w:szCs w:val="18"/>
              </w:rPr>
              <w:t>平方米以上</w:t>
            </w:r>
            <w:r>
              <w:rPr>
                <w:rFonts w:hint="eastAsia" w:ascii="Calibri" w:hAnsi="Calibri" w:eastAsia="Calibri"/>
                <w:color w:val="000000"/>
                <w:sz w:val="18"/>
                <w:szCs w:val="18"/>
              </w:rPr>
              <w:t>5000</w:t>
            </w:r>
            <w:r>
              <w:rPr>
                <w:rFonts w:hint="eastAsia" w:ascii="宋体" w:hAnsi="宋体" w:eastAsia="宋体"/>
                <w:color w:val="000000"/>
                <w:sz w:val="18"/>
                <w:szCs w:val="18"/>
              </w:rPr>
              <w:t>平方米以下</w:t>
            </w:r>
          </w:p>
        </w:tc>
        <w:tc>
          <w:tcPr>
            <w:tcW w:w="1120" w:type="dxa"/>
            <w:vMerge w:val="continue"/>
            <w:tcBorders>
              <w:top w:val="single" w:color="000000" w:sz="4" w:space="0"/>
              <w:left w:val="single" w:color="000000" w:sz="4" w:space="0"/>
              <w:bottom w:val="single" w:color="000000" w:sz="4" w:space="0"/>
              <w:right w:val="single" w:color="000000" w:sz="4" w:space="0"/>
            </w:tcBorders>
          </w:tcPr>
          <w:p w14:paraId="3574414A">
            <w:pPr>
              <w:rPr>
                <w:sz w:val="18"/>
                <w:szCs w:val="18"/>
              </w:rPr>
            </w:pPr>
          </w:p>
        </w:tc>
        <w:tc>
          <w:tcPr>
            <w:tcW w:w="5660" w:type="dxa"/>
            <w:tcBorders>
              <w:top w:val="single" w:color="000000" w:sz="4" w:space="0"/>
              <w:left w:val="single" w:color="000000" w:sz="4" w:space="0"/>
              <w:bottom w:val="single" w:color="000000" w:sz="4" w:space="0"/>
              <w:right w:val="single" w:color="000000" w:sz="4" w:space="0"/>
            </w:tcBorders>
            <w:vAlign w:val="top"/>
          </w:tcPr>
          <w:p w14:paraId="5EBAEE68">
            <w:pPr>
              <w:wordWrap w:val="0"/>
              <w:autoSpaceDE w:val="0"/>
              <w:autoSpaceDN w:val="0"/>
              <w:spacing w:before="13" w:after="0" w:line="246" w:lineRule="exact"/>
              <w:ind w:firstLine="140"/>
              <w:jc w:val="both"/>
              <w:rPr>
                <w:sz w:val="18"/>
                <w:szCs w:val="18"/>
              </w:rPr>
            </w:pPr>
            <w:r>
              <w:rPr>
                <w:rFonts w:hint="eastAsia" w:ascii="宋体" w:hAnsi="宋体" w:eastAsia="宋体"/>
                <w:color w:val="000000"/>
                <w:sz w:val="18"/>
                <w:szCs w:val="18"/>
              </w:rPr>
              <w:t>警告并责令限期整改，并处</w:t>
            </w:r>
            <w:r>
              <w:rPr>
                <w:rFonts w:hint="eastAsia" w:ascii="Calibri" w:hAnsi="Calibri" w:eastAsia="Calibri"/>
                <w:color w:val="000000"/>
                <w:sz w:val="18"/>
                <w:szCs w:val="18"/>
              </w:rPr>
              <w:t>6</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8</w:t>
            </w:r>
            <w:r>
              <w:rPr>
                <w:rFonts w:hint="eastAsia" w:ascii="宋体" w:hAnsi="宋体" w:eastAsia="宋体"/>
                <w:color w:val="000000"/>
                <w:sz w:val="18"/>
                <w:szCs w:val="18"/>
              </w:rPr>
              <w:t>万元以下罚款</w:t>
            </w:r>
          </w:p>
        </w:tc>
      </w:tr>
      <w:tr w14:paraId="0A2EABB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4DFEA2E4">
            <w:pPr>
              <w:rPr>
                <w:sz w:val="18"/>
                <w:szCs w:val="18"/>
              </w:rPr>
            </w:pPr>
          </w:p>
        </w:tc>
        <w:tc>
          <w:tcPr>
            <w:tcW w:w="5980" w:type="dxa"/>
            <w:tcBorders>
              <w:top w:val="single" w:color="000000" w:sz="4" w:space="0"/>
              <w:left w:val="single" w:color="000000" w:sz="4" w:space="0"/>
              <w:bottom w:val="single" w:color="000000" w:sz="4" w:space="0"/>
              <w:right w:val="single" w:color="000000" w:sz="4" w:space="0"/>
            </w:tcBorders>
            <w:vAlign w:val="top"/>
          </w:tcPr>
          <w:p w14:paraId="4441593A">
            <w:pPr>
              <w:wordWrap w:val="0"/>
              <w:autoSpaceDE w:val="0"/>
              <w:autoSpaceDN w:val="0"/>
              <w:spacing w:before="20" w:after="0" w:line="246" w:lineRule="exact"/>
              <w:ind w:firstLine="80"/>
              <w:jc w:val="both"/>
              <w:rPr>
                <w:sz w:val="18"/>
                <w:szCs w:val="18"/>
              </w:rPr>
            </w:pPr>
            <w:r>
              <w:rPr>
                <w:rFonts w:hint="eastAsia" w:ascii="宋体" w:hAnsi="宋体" w:eastAsia="宋体"/>
                <w:color w:val="000000"/>
                <w:sz w:val="18"/>
                <w:szCs w:val="18"/>
              </w:rPr>
              <w:t>应建未建防空地下室，面积</w:t>
            </w:r>
            <w:r>
              <w:rPr>
                <w:rFonts w:hint="eastAsia" w:ascii="Calibri" w:hAnsi="Calibri" w:eastAsia="Calibri"/>
                <w:color w:val="000000"/>
                <w:sz w:val="18"/>
                <w:szCs w:val="18"/>
              </w:rPr>
              <w:t>5000</w:t>
            </w:r>
            <w:r>
              <w:rPr>
                <w:rFonts w:hint="eastAsia" w:ascii="宋体" w:hAnsi="宋体" w:eastAsia="宋体"/>
                <w:color w:val="000000"/>
                <w:sz w:val="18"/>
                <w:szCs w:val="18"/>
              </w:rPr>
              <w:t>平方米以上</w:t>
            </w:r>
          </w:p>
        </w:tc>
        <w:tc>
          <w:tcPr>
            <w:tcW w:w="1120" w:type="dxa"/>
            <w:vMerge w:val="continue"/>
            <w:tcBorders>
              <w:top w:val="single" w:color="000000" w:sz="4" w:space="0"/>
              <w:left w:val="single" w:color="000000" w:sz="4" w:space="0"/>
              <w:bottom w:val="single" w:color="000000" w:sz="4" w:space="0"/>
              <w:right w:val="single" w:color="000000" w:sz="4" w:space="0"/>
            </w:tcBorders>
          </w:tcPr>
          <w:p w14:paraId="53EBD59C">
            <w:pPr>
              <w:rPr>
                <w:sz w:val="18"/>
                <w:szCs w:val="18"/>
              </w:rPr>
            </w:pPr>
          </w:p>
        </w:tc>
        <w:tc>
          <w:tcPr>
            <w:tcW w:w="5660" w:type="dxa"/>
            <w:tcBorders>
              <w:top w:val="single" w:color="000000" w:sz="4" w:space="0"/>
              <w:left w:val="single" w:color="000000" w:sz="4" w:space="0"/>
              <w:bottom w:val="single" w:color="000000" w:sz="4" w:space="0"/>
              <w:right w:val="single" w:color="000000" w:sz="4" w:space="0"/>
            </w:tcBorders>
            <w:vAlign w:val="top"/>
          </w:tcPr>
          <w:p w14:paraId="4C62967A">
            <w:pPr>
              <w:wordWrap w:val="0"/>
              <w:autoSpaceDE w:val="0"/>
              <w:autoSpaceDN w:val="0"/>
              <w:spacing w:before="40" w:after="0" w:line="246" w:lineRule="exact"/>
              <w:ind w:firstLine="100"/>
              <w:jc w:val="both"/>
              <w:rPr>
                <w:sz w:val="18"/>
                <w:szCs w:val="18"/>
              </w:rPr>
            </w:pPr>
            <w:r>
              <w:rPr>
                <w:rFonts w:hint="eastAsia" w:ascii="宋体" w:hAnsi="宋体" w:eastAsia="宋体"/>
                <w:color w:val="000000"/>
                <w:sz w:val="18"/>
                <w:szCs w:val="18"/>
              </w:rPr>
              <w:t>警告并责令限期整改，并处</w:t>
            </w:r>
            <w:r>
              <w:rPr>
                <w:rFonts w:hint="eastAsia" w:ascii="Calibri" w:hAnsi="Calibri" w:eastAsia="Calibri"/>
                <w:color w:val="000000"/>
                <w:sz w:val="18"/>
                <w:szCs w:val="18"/>
              </w:rPr>
              <w:t>8</w:t>
            </w:r>
            <w:r>
              <w:rPr>
                <w:rFonts w:hint="eastAsia" w:ascii="宋体" w:hAnsi="宋体" w:eastAsia="宋体"/>
                <w:color w:val="000000"/>
                <w:sz w:val="18"/>
                <w:szCs w:val="18"/>
              </w:rPr>
              <w:t>万元以上</w:t>
            </w:r>
            <w:r>
              <w:rPr>
                <w:rFonts w:hint="eastAsia" w:ascii="Calibri" w:hAnsi="Calibri" w:eastAsia="Calibri"/>
                <w:color w:val="000000"/>
                <w:sz w:val="18"/>
                <w:szCs w:val="18"/>
              </w:rPr>
              <w:t>10</w:t>
            </w:r>
            <w:r>
              <w:rPr>
                <w:rFonts w:hint="eastAsia" w:ascii="宋体" w:hAnsi="宋体" w:eastAsia="宋体"/>
                <w:color w:val="000000"/>
                <w:sz w:val="18"/>
                <w:szCs w:val="18"/>
              </w:rPr>
              <w:t>万元以下罚款</w:t>
            </w:r>
          </w:p>
        </w:tc>
      </w:tr>
    </w:tbl>
    <w:p w14:paraId="56E11EE1">
      <w:pPr>
        <w:rPr>
          <w:sz w:val="18"/>
          <w:szCs w:val="18"/>
        </w:rPr>
      </w:pPr>
    </w:p>
    <w:p w14:paraId="741C85B9">
      <w:pPr>
        <w:rPr>
          <w:sz w:val="18"/>
          <w:szCs w:val="18"/>
        </w:rPr>
      </w:pPr>
    </w:p>
    <w:tbl>
      <w:tblPr>
        <w:tblStyle w:val="15"/>
        <w:tblW w:w="0" w:type="auto"/>
        <w:tblInd w:w="8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77"/>
        <w:gridCol w:w="5957"/>
        <w:gridCol w:w="1106"/>
        <w:gridCol w:w="5648"/>
      </w:tblGrid>
      <w:tr w14:paraId="6FC903E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6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051EC570">
            <w:pPr>
              <w:wordWrap w:val="0"/>
              <w:autoSpaceDE w:val="0"/>
              <w:autoSpaceDN w:val="0"/>
              <w:spacing w:before="60" w:after="0" w:line="259" w:lineRule="exact"/>
              <w:jc w:val="center"/>
              <w:rPr>
                <w:sz w:val="18"/>
                <w:szCs w:val="18"/>
              </w:rPr>
            </w:pPr>
            <w:r>
              <w:rPr>
                <w:rFonts w:hint="eastAsia" w:ascii="宋体" w:hAnsi="宋体" w:eastAsia="宋体"/>
                <w:color w:val="000000"/>
                <w:sz w:val="18"/>
                <w:szCs w:val="18"/>
              </w:rPr>
              <w:t>序号</w:t>
            </w:r>
          </w:p>
        </w:tc>
        <w:tc>
          <w:tcPr>
            <w:tcW w:w="13000" w:type="dxa"/>
            <w:gridSpan w:val="3"/>
            <w:tcBorders>
              <w:top w:val="single" w:color="000000" w:sz="4" w:space="0"/>
              <w:left w:val="single" w:color="000000" w:sz="4" w:space="0"/>
              <w:bottom w:val="single" w:color="000000" w:sz="4" w:space="0"/>
              <w:right w:val="single" w:color="000000" w:sz="4" w:space="0"/>
            </w:tcBorders>
            <w:vAlign w:val="top"/>
          </w:tcPr>
          <w:p w14:paraId="45A2E5B3">
            <w:pPr>
              <w:wordWrap w:val="0"/>
              <w:autoSpaceDE w:val="0"/>
              <w:autoSpaceDN w:val="0"/>
              <w:spacing w:before="80" w:after="0" w:line="259" w:lineRule="exact"/>
              <w:ind w:firstLine="60"/>
              <w:jc w:val="both"/>
              <w:rPr>
                <w:sz w:val="18"/>
                <w:szCs w:val="18"/>
              </w:rPr>
            </w:pPr>
            <w:r>
              <w:rPr>
                <w:rFonts w:hint="eastAsia" w:ascii="Calibri" w:hAnsi="Calibri" w:eastAsia="Calibri"/>
                <w:color w:val="000000"/>
                <w:sz w:val="18"/>
                <w:szCs w:val="18"/>
              </w:rPr>
              <w:t>2</w:t>
            </w:r>
          </w:p>
        </w:tc>
      </w:tr>
      <w:tr w14:paraId="3A38E6F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9B3A206">
            <w:pPr>
              <w:wordWrap w:val="0"/>
              <w:autoSpaceDE w:val="0"/>
              <w:autoSpaceDN w:val="0"/>
              <w:spacing w:before="0" w:after="0" w:line="259" w:lineRule="exact"/>
              <w:jc w:val="center"/>
              <w:rPr>
                <w:sz w:val="18"/>
                <w:szCs w:val="18"/>
              </w:rPr>
            </w:pPr>
            <w:r>
              <w:rPr>
                <w:rFonts w:hint="eastAsia" w:ascii="宋体" w:hAnsi="宋体" w:eastAsia="宋体"/>
                <w:color w:val="000000"/>
                <w:sz w:val="18"/>
                <w:szCs w:val="18"/>
              </w:rPr>
              <w:t>编号</w:t>
            </w:r>
          </w:p>
        </w:tc>
        <w:tc>
          <w:tcPr>
            <w:tcW w:w="13000" w:type="dxa"/>
            <w:gridSpan w:val="3"/>
            <w:tcBorders>
              <w:top w:val="single" w:color="000000" w:sz="4" w:space="0"/>
              <w:left w:val="single" w:color="000000" w:sz="4" w:space="0"/>
              <w:bottom w:val="single" w:color="000000" w:sz="4" w:space="0"/>
              <w:right w:val="single" w:color="000000" w:sz="4" w:space="0"/>
            </w:tcBorders>
            <w:vAlign w:val="top"/>
          </w:tcPr>
          <w:p w14:paraId="2848BBC3">
            <w:pPr>
              <w:wordWrap w:val="0"/>
              <w:autoSpaceDE w:val="0"/>
              <w:autoSpaceDN w:val="0"/>
              <w:spacing w:before="20" w:after="0" w:line="259" w:lineRule="exact"/>
              <w:ind w:firstLine="60"/>
              <w:jc w:val="both"/>
              <w:rPr>
                <w:sz w:val="18"/>
                <w:szCs w:val="18"/>
              </w:rPr>
            </w:pPr>
            <w:r>
              <w:rPr>
                <w:rFonts w:hint="eastAsia" w:ascii="Calibri" w:hAnsi="Calibri" w:eastAsia="Calibri"/>
                <w:color w:val="000000"/>
                <w:sz w:val="18"/>
                <w:szCs w:val="18"/>
              </w:rPr>
              <w:t>320280002000</w:t>
            </w:r>
          </w:p>
        </w:tc>
      </w:tr>
      <w:tr w14:paraId="774F1BD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03FD4C72">
            <w:pPr>
              <w:wordWrap w:val="0"/>
              <w:autoSpaceDE w:val="0"/>
              <w:autoSpaceDN w:val="0"/>
              <w:spacing w:before="0" w:after="0" w:line="259" w:lineRule="exact"/>
              <w:jc w:val="center"/>
              <w:rPr>
                <w:sz w:val="18"/>
                <w:szCs w:val="18"/>
              </w:rPr>
            </w:pPr>
            <w:r>
              <w:rPr>
                <w:rFonts w:hint="eastAsia" w:ascii="宋体" w:hAnsi="宋体" w:eastAsia="宋体"/>
                <w:color w:val="000000"/>
                <w:sz w:val="18"/>
                <w:szCs w:val="18"/>
              </w:rPr>
              <w:t>行为名称</w:t>
            </w:r>
          </w:p>
        </w:tc>
        <w:tc>
          <w:tcPr>
            <w:tcW w:w="13000" w:type="dxa"/>
            <w:gridSpan w:val="3"/>
            <w:tcBorders>
              <w:top w:val="single" w:color="000000" w:sz="4" w:space="0"/>
              <w:left w:val="single" w:color="000000" w:sz="4" w:space="0"/>
              <w:bottom w:val="single" w:color="000000" w:sz="4" w:space="0"/>
              <w:right w:val="single" w:color="000000" w:sz="4" w:space="0"/>
            </w:tcBorders>
            <w:vAlign w:val="top"/>
          </w:tcPr>
          <w:p w14:paraId="3A8A2388">
            <w:pPr>
              <w:wordWrap w:val="0"/>
              <w:autoSpaceDE w:val="0"/>
              <w:autoSpaceDN w:val="0"/>
              <w:spacing w:before="20" w:after="0" w:line="259" w:lineRule="exact"/>
              <w:ind w:firstLine="100"/>
              <w:jc w:val="both"/>
              <w:rPr>
                <w:sz w:val="18"/>
                <w:szCs w:val="18"/>
              </w:rPr>
            </w:pPr>
            <w:r>
              <w:rPr>
                <w:rFonts w:hint="eastAsia" w:ascii="宋体" w:hAnsi="宋体" w:eastAsia="宋体"/>
                <w:color w:val="000000"/>
                <w:sz w:val="18"/>
                <w:szCs w:val="18"/>
              </w:rPr>
              <w:t>对侵占人民防空工程的处罚</w:t>
            </w:r>
          </w:p>
        </w:tc>
      </w:tr>
      <w:tr w14:paraId="5F78BB9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9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37347D17">
            <w:pPr>
              <w:wordWrap w:val="0"/>
              <w:autoSpaceDE w:val="0"/>
              <w:autoSpaceDN w:val="0"/>
              <w:spacing w:before="0" w:after="0" w:line="259" w:lineRule="exact"/>
              <w:ind w:firstLine="0"/>
              <w:jc w:val="both"/>
              <w:rPr>
                <w:rFonts w:hint="eastAsia" w:ascii="宋体" w:hAnsi="宋体" w:eastAsia="宋体"/>
                <w:color w:val="000000"/>
                <w:sz w:val="18"/>
                <w:szCs w:val="18"/>
              </w:rPr>
            </w:pPr>
          </w:p>
          <w:p w14:paraId="1F1EBC78">
            <w:pPr>
              <w:wordWrap w:val="0"/>
              <w:autoSpaceDE w:val="0"/>
              <w:autoSpaceDN w:val="0"/>
              <w:spacing w:before="0" w:after="0" w:line="259" w:lineRule="exact"/>
              <w:ind w:firstLine="0"/>
              <w:jc w:val="both"/>
              <w:rPr>
                <w:rFonts w:hint="eastAsia" w:ascii="宋体" w:hAnsi="宋体" w:eastAsia="宋体"/>
                <w:color w:val="000000"/>
                <w:sz w:val="18"/>
                <w:szCs w:val="18"/>
              </w:rPr>
            </w:pPr>
          </w:p>
          <w:p w14:paraId="12692322">
            <w:pPr>
              <w:wordWrap w:val="0"/>
              <w:autoSpaceDE w:val="0"/>
              <w:autoSpaceDN w:val="0"/>
              <w:spacing w:before="0" w:after="0" w:line="259" w:lineRule="exact"/>
              <w:ind w:firstLine="0"/>
              <w:jc w:val="both"/>
              <w:rPr>
                <w:rFonts w:hint="eastAsia" w:ascii="宋体" w:hAnsi="宋体" w:eastAsia="宋体"/>
                <w:color w:val="000000"/>
                <w:sz w:val="18"/>
                <w:szCs w:val="18"/>
              </w:rPr>
            </w:pPr>
          </w:p>
          <w:p w14:paraId="42E104B9">
            <w:pPr>
              <w:wordWrap w:val="0"/>
              <w:autoSpaceDE w:val="0"/>
              <w:autoSpaceDN w:val="0"/>
              <w:spacing w:before="0" w:after="0" w:line="259" w:lineRule="exact"/>
              <w:ind w:firstLine="0"/>
              <w:jc w:val="both"/>
              <w:rPr>
                <w:rFonts w:hint="eastAsia" w:ascii="宋体" w:hAnsi="宋体" w:eastAsia="宋体"/>
                <w:color w:val="000000"/>
                <w:sz w:val="18"/>
                <w:szCs w:val="18"/>
              </w:rPr>
            </w:pPr>
          </w:p>
          <w:p w14:paraId="2840FCBC">
            <w:pPr>
              <w:wordWrap w:val="0"/>
              <w:autoSpaceDE w:val="0"/>
              <w:autoSpaceDN w:val="0"/>
              <w:spacing w:before="0" w:after="0" w:line="259" w:lineRule="exact"/>
              <w:ind w:firstLine="0"/>
              <w:jc w:val="both"/>
              <w:rPr>
                <w:rFonts w:hint="eastAsia" w:ascii="宋体" w:hAnsi="宋体" w:eastAsia="宋体"/>
                <w:color w:val="000000"/>
                <w:sz w:val="18"/>
                <w:szCs w:val="18"/>
              </w:rPr>
            </w:pPr>
          </w:p>
          <w:p w14:paraId="2B16EEC3">
            <w:pPr>
              <w:wordWrap w:val="0"/>
              <w:autoSpaceDE w:val="0"/>
              <w:autoSpaceDN w:val="0"/>
              <w:spacing w:before="123" w:after="0" w:line="259" w:lineRule="exact"/>
              <w:jc w:val="center"/>
              <w:rPr>
                <w:sz w:val="18"/>
                <w:szCs w:val="18"/>
              </w:rPr>
            </w:pPr>
            <w:r>
              <w:rPr>
                <w:rFonts w:hint="eastAsia" w:ascii="宋体" w:hAnsi="宋体" w:eastAsia="宋体"/>
                <w:color w:val="000000"/>
                <w:sz w:val="18"/>
                <w:szCs w:val="18"/>
              </w:rPr>
              <w:t>法律依据</w:t>
            </w:r>
          </w:p>
        </w:tc>
        <w:tc>
          <w:tcPr>
            <w:tcW w:w="13000" w:type="dxa"/>
            <w:gridSpan w:val="3"/>
            <w:tcBorders>
              <w:top w:val="single" w:color="000000" w:sz="4" w:space="0"/>
              <w:left w:val="single" w:color="000000" w:sz="4" w:space="0"/>
              <w:bottom w:val="single" w:color="000000" w:sz="4" w:space="0"/>
              <w:right w:val="single" w:color="000000" w:sz="4" w:space="0"/>
            </w:tcBorders>
            <w:vAlign w:val="top"/>
          </w:tcPr>
          <w:p w14:paraId="36651C2B">
            <w:pPr>
              <w:wordWrap w:val="0"/>
              <w:autoSpaceDE w:val="0"/>
              <w:autoSpaceDN w:val="0"/>
              <w:spacing w:before="80" w:after="0" w:line="259" w:lineRule="exact"/>
              <w:ind w:firstLine="120"/>
              <w:jc w:val="both"/>
              <w:rPr>
                <w:sz w:val="18"/>
                <w:szCs w:val="18"/>
              </w:rPr>
            </w:pPr>
            <w:r>
              <w:rPr>
                <w:rFonts w:hint="eastAsia" w:ascii="宋体" w:hAnsi="宋体" w:eastAsia="宋体"/>
                <w:color w:val="000000"/>
                <w:sz w:val="18"/>
                <w:szCs w:val="18"/>
              </w:rPr>
              <w:t>【法律】《中华人民共和国人民防空法》</w:t>
            </w:r>
          </w:p>
          <w:p w14:paraId="30DB859C">
            <w:pPr>
              <w:wordWrap w:val="0"/>
              <w:autoSpaceDE w:val="0"/>
              <w:autoSpaceDN w:val="0"/>
              <w:spacing w:before="0" w:after="0" w:line="259" w:lineRule="exact"/>
              <w:ind w:firstLine="500"/>
              <w:jc w:val="both"/>
              <w:rPr>
                <w:sz w:val="18"/>
                <w:szCs w:val="18"/>
              </w:rPr>
            </w:pPr>
            <w:r>
              <w:rPr>
                <w:rFonts w:hint="eastAsia" w:ascii="宋体" w:hAnsi="宋体" w:eastAsia="宋体"/>
                <w:color w:val="000000"/>
                <w:sz w:val="18"/>
                <w:szCs w:val="18"/>
              </w:rPr>
              <w:t>第九条 国家保护人民防空设施不受侵害。禁止任何组织或者个人破坏、侵占人民防空设施。</w:t>
            </w:r>
          </w:p>
          <w:p w14:paraId="5BC15FF4">
            <w:pPr>
              <w:wordWrap w:val="0"/>
              <w:autoSpaceDE w:val="0"/>
              <w:autoSpaceDN w:val="0"/>
              <w:spacing w:before="50" w:after="0" w:line="259" w:lineRule="exact"/>
              <w:ind w:left="80" w:right="40" w:firstLine="420"/>
              <w:jc w:val="both"/>
              <w:rPr>
                <w:sz w:val="18"/>
                <w:szCs w:val="18"/>
              </w:rPr>
            </w:pPr>
            <w:r>
              <w:rPr>
                <w:rFonts w:hint="eastAsia" w:ascii="宋体" w:hAnsi="宋体" w:eastAsia="宋体"/>
                <w:color w:val="000000"/>
                <w:sz w:val="18"/>
                <w:szCs w:val="18"/>
              </w:rPr>
              <w:t>第四十九条 有下列行为之一的，由县级以上人民政府人民防空主管部门对当事人给予警告，并责令限期改正违法行为，可以对个人并处五千元以下的罚款、对单位并处一万元至五万元的罚款；造成损失的，应当依法赔偿损失：</w:t>
            </w:r>
          </w:p>
          <w:p w14:paraId="263B6BE8">
            <w:pPr>
              <w:wordWrap w:val="0"/>
              <w:autoSpaceDE w:val="0"/>
              <w:autoSpaceDN w:val="0"/>
              <w:spacing w:before="0" w:after="0" w:line="259" w:lineRule="exact"/>
              <w:ind w:firstLine="560"/>
              <w:jc w:val="both"/>
              <w:rPr>
                <w:sz w:val="18"/>
                <w:szCs w:val="18"/>
              </w:rPr>
            </w:pPr>
            <w:r>
              <w:rPr>
                <w:rFonts w:hint="eastAsia" w:ascii="宋体" w:hAnsi="宋体" w:eastAsia="宋体"/>
                <w:color w:val="000000"/>
                <w:sz w:val="18"/>
                <w:szCs w:val="18"/>
              </w:rPr>
              <w:t>（一）侵占人民防空工程的；</w:t>
            </w:r>
          </w:p>
          <w:p w14:paraId="6109432A">
            <w:pPr>
              <w:wordWrap w:val="0"/>
              <w:autoSpaceDE w:val="0"/>
              <w:autoSpaceDN w:val="0"/>
              <w:spacing w:before="0" w:after="0" w:line="259"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0ED7B066">
            <w:pPr>
              <w:wordWrap w:val="0"/>
              <w:autoSpaceDE w:val="0"/>
              <w:autoSpaceDN w:val="0"/>
              <w:spacing w:before="0" w:after="0" w:line="259" w:lineRule="exact"/>
              <w:ind w:firstLine="520"/>
              <w:jc w:val="both"/>
              <w:rPr>
                <w:sz w:val="18"/>
                <w:szCs w:val="18"/>
              </w:rPr>
            </w:pPr>
            <w:r>
              <w:rPr>
                <w:rFonts w:hint="eastAsia" w:ascii="宋体" w:hAnsi="宋体" w:eastAsia="宋体"/>
                <w:color w:val="000000"/>
                <w:sz w:val="18"/>
                <w:szCs w:val="18"/>
              </w:rPr>
              <w:t>第三条第二款 禁止任何组织或者个人破坏、侵占人民防空工程和设施。</w:t>
            </w:r>
          </w:p>
          <w:p w14:paraId="4A4D05EB">
            <w:pPr>
              <w:wordWrap w:val="0"/>
              <w:autoSpaceDE w:val="0"/>
              <w:autoSpaceDN w:val="0"/>
              <w:spacing w:before="0" w:after="0" w:line="259" w:lineRule="exact"/>
              <w:ind w:left="100" w:right="20" w:firstLine="420"/>
              <w:jc w:val="both"/>
              <w:rPr>
                <w:sz w:val="18"/>
                <w:szCs w:val="18"/>
              </w:rPr>
            </w:pPr>
            <w:r>
              <w:rPr>
                <w:rFonts w:hint="eastAsia" w:ascii="宋体" w:hAnsi="宋体" w:eastAsia="宋体"/>
                <w:color w:val="000000"/>
                <w:sz w:val="18"/>
                <w:szCs w:val="18"/>
              </w:rPr>
              <w:t>第三十四条第一款 违反本办法第十八条第一款规定，或者有下列行为之一的，由人防主管部门对当事人给予警告，并责令限期改正违法行为，可以对个人并处一千元以上五千元以下的罚款，对单位并处一万元以上至五万元以下的罚款；造成损失的，应当依法赔偿损失：</w:t>
            </w:r>
          </w:p>
          <w:p w14:paraId="681F3182">
            <w:pPr>
              <w:wordWrap w:val="0"/>
              <w:autoSpaceDE w:val="0"/>
              <w:autoSpaceDN w:val="0"/>
              <w:spacing w:before="0" w:after="0" w:line="240" w:lineRule="exact"/>
              <w:ind w:firstLine="560"/>
              <w:jc w:val="both"/>
              <w:rPr>
                <w:sz w:val="18"/>
                <w:szCs w:val="18"/>
              </w:rPr>
            </w:pPr>
            <w:r>
              <w:rPr>
                <w:rFonts w:hint="eastAsia" w:ascii="宋体" w:hAnsi="宋体" w:eastAsia="宋体"/>
                <w:color w:val="000000"/>
                <w:sz w:val="18"/>
                <w:szCs w:val="18"/>
              </w:rPr>
              <w:t>（一）侵占人民防空工程的；</w:t>
            </w:r>
          </w:p>
        </w:tc>
      </w:tr>
      <w:tr w14:paraId="1E61B31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6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3857468D">
            <w:pPr>
              <w:wordWrap w:val="0"/>
              <w:autoSpaceDE w:val="0"/>
              <w:autoSpaceDN w:val="0"/>
              <w:spacing w:before="40" w:after="0" w:line="259" w:lineRule="exact"/>
              <w:jc w:val="center"/>
              <w:rPr>
                <w:sz w:val="18"/>
                <w:szCs w:val="18"/>
              </w:rPr>
            </w:pPr>
            <w:r>
              <w:rPr>
                <w:rFonts w:hint="eastAsia" w:ascii="宋体" w:hAnsi="宋体" w:eastAsia="宋体"/>
                <w:color w:val="000000"/>
                <w:sz w:val="18"/>
                <w:szCs w:val="18"/>
              </w:rPr>
              <w:t>处罚种类</w:t>
            </w:r>
          </w:p>
        </w:tc>
        <w:tc>
          <w:tcPr>
            <w:tcW w:w="13000" w:type="dxa"/>
            <w:gridSpan w:val="3"/>
            <w:tcBorders>
              <w:top w:val="single" w:color="000000" w:sz="4" w:space="0"/>
              <w:left w:val="single" w:color="000000" w:sz="4" w:space="0"/>
              <w:bottom w:val="single" w:color="000000" w:sz="4" w:space="0"/>
              <w:right w:val="single" w:color="000000" w:sz="4" w:space="0"/>
            </w:tcBorders>
            <w:vAlign w:val="top"/>
          </w:tcPr>
          <w:p w14:paraId="7BA223CA">
            <w:pPr>
              <w:wordWrap w:val="0"/>
              <w:autoSpaceDE w:val="0"/>
              <w:autoSpaceDN w:val="0"/>
              <w:spacing w:before="80" w:after="0" w:line="259" w:lineRule="exact"/>
              <w:ind w:firstLine="80"/>
              <w:jc w:val="both"/>
              <w:rPr>
                <w:sz w:val="18"/>
                <w:szCs w:val="18"/>
              </w:rPr>
            </w:pPr>
            <w:r>
              <w:rPr>
                <w:rFonts w:hint="eastAsia" w:ascii="宋体" w:hAnsi="宋体" w:eastAsia="宋体"/>
                <w:color w:val="000000"/>
                <w:sz w:val="18"/>
                <w:szCs w:val="18"/>
              </w:rPr>
              <w:t>警告、罚款</w:t>
            </w:r>
          </w:p>
        </w:tc>
      </w:tr>
      <w:tr w14:paraId="5AFCCC6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14200" w:type="dxa"/>
            <w:gridSpan w:val="4"/>
            <w:tcBorders>
              <w:top w:val="single" w:color="000000" w:sz="4" w:space="0"/>
              <w:left w:val="single" w:color="000000" w:sz="4" w:space="0"/>
              <w:bottom w:val="single" w:color="000000" w:sz="4" w:space="0"/>
              <w:right w:val="single" w:color="000000" w:sz="4" w:space="0"/>
            </w:tcBorders>
            <w:vAlign w:val="top"/>
          </w:tcPr>
          <w:p w14:paraId="51254376">
            <w:pPr>
              <w:wordWrap w:val="0"/>
              <w:autoSpaceDE w:val="0"/>
              <w:autoSpaceDN w:val="0"/>
              <w:spacing w:before="20" w:after="0" w:line="259" w:lineRule="exact"/>
              <w:ind w:firstLine="6500"/>
              <w:jc w:val="both"/>
              <w:rPr>
                <w:sz w:val="18"/>
                <w:szCs w:val="18"/>
              </w:rPr>
            </w:pPr>
            <w:r>
              <w:rPr>
                <w:rFonts w:hint="eastAsia" w:ascii="宋体" w:hAnsi="宋体" w:eastAsia="宋体"/>
                <w:color w:val="000000"/>
                <w:sz w:val="18"/>
                <w:szCs w:val="18"/>
              </w:rPr>
              <w:t>自由裁量基准</w:t>
            </w:r>
          </w:p>
        </w:tc>
      </w:tr>
      <w:tr w14:paraId="292663E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1BBAADCA">
            <w:pPr>
              <w:wordWrap w:val="0"/>
              <w:autoSpaceDE w:val="0"/>
              <w:autoSpaceDN w:val="0"/>
              <w:spacing w:before="0" w:after="0" w:line="259" w:lineRule="exact"/>
              <w:ind w:firstLine="0"/>
              <w:jc w:val="both"/>
              <w:rPr>
                <w:rFonts w:hint="eastAsia" w:ascii="宋体" w:hAnsi="宋体" w:eastAsia="宋体"/>
                <w:color w:val="000000"/>
                <w:sz w:val="18"/>
                <w:szCs w:val="18"/>
              </w:rPr>
            </w:pPr>
          </w:p>
          <w:p w14:paraId="2FD39898">
            <w:pPr>
              <w:wordWrap w:val="0"/>
              <w:autoSpaceDE w:val="0"/>
              <w:autoSpaceDN w:val="0"/>
              <w:spacing w:before="0" w:after="0" w:line="259" w:lineRule="exact"/>
              <w:ind w:firstLine="0"/>
              <w:jc w:val="both"/>
              <w:rPr>
                <w:rFonts w:hint="eastAsia" w:ascii="宋体" w:hAnsi="宋体" w:eastAsia="宋体"/>
                <w:color w:val="000000"/>
                <w:sz w:val="18"/>
                <w:szCs w:val="18"/>
              </w:rPr>
            </w:pPr>
          </w:p>
          <w:p w14:paraId="12EB2FCB">
            <w:pPr>
              <w:wordWrap w:val="0"/>
              <w:autoSpaceDE w:val="0"/>
              <w:autoSpaceDN w:val="0"/>
              <w:spacing w:before="0" w:after="0" w:line="259" w:lineRule="exact"/>
              <w:ind w:firstLine="0"/>
              <w:jc w:val="both"/>
              <w:rPr>
                <w:rFonts w:hint="eastAsia" w:ascii="宋体" w:hAnsi="宋体" w:eastAsia="宋体"/>
                <w:color w:val="000000"/>
                <w:sz w:val="18"/>
                <w:szCs w:val="18"/>
              </w:rPr>
            </w:pPr>
          </w:p>
          <w:p w14:paraId="05B5AAA5">
            <w:pPr>
              <w:wordWrap w:val="0"/>
              <w:autoSpaceDE w:val="0"/>
              <w:autoSpaceDN w:val="0"/>
              <w:spacing w:before="0" w:after="0" w:line="259" w:lineRule="exact"/>
              <w:ind w:firstLine="0"/>
              <w:jc w:val="both"/>
              <w:rPr>
                <w:rFonts w:hint="eastAsia" w:ascii="宋体" w:hAnsi="宋体" w:eastAsia="宋体"/>
                <w:color w:val="000000"/>
                <w:sz w:val="18"/>
                <w:szCs w:val="18"/>
              </w:rPr>
            </w:pPr>
          </w:p>
          <w:p w14:paraId="0A54FCF0">
            <w:pPr>
              <w:wordWrap w:val="0"/>
              <w:autoSpaceDE w:val="0"/>
              <w:autoSpaceDN w:val="0"/>
              <w:spacing w:before="122" w:after="0" w:line="259" w:lineRule="exact"/>
              <w:jc w:val="center"/>
              <w:rPr>
                <w:sz w:val="18"/>
                <w:szCs w:val="18"/>
              </w:rPr>
            </w:pPr>
            <w:r>
              <w:rPr>
                <w:rFonts w:hint="eastAsia" w:ascii="宋体" w:hAnsi="宋体" w:eastAsia="宋体"/>
                <w:color w:val="000000"/>
                <w:sz w:val="18"/>
                <w:szCs w:val="18"/>
              </w:rPr>
              <w:t>情形描述</w:t>
            </w:r>
          </w:p>
        </w:tc>
        <w:tc>
          <w:tcPr>
            <w:tcW w:w="6100" w:type="dxa"/>
            <w:tcBorders>
              <w:top w:val="single" w:color="000000" w:sz="4" w:space="0"/>
              <w:left w:val="single" w:color="000000" w:sz="4" w:space="0"/>
              <w:bottom w:val="single" w:color="000000" w:sz="4" w:space="0"/>
              <w:right w:val="single" w:color="000000" w:sz="4" w:space="0"/>
            </w:tcBorders>
            <w:vAlign w:val="top"/>
          </w:tcPr>
          <w:p w14:paraId="24D53EF9">
            <w:pPr>
              <w:wordWrap w:val="0"/>
              <w:autoSpaceDE w:val="0"/>
              <w:autoSpaceDN w:val="0"/>
              <w:spacing w:before="20" w:after="0" w:line="259" w:lineRule="exact"/>
              <w:ind w:left="80" w:firstLine="20"/>
              <w:jc w:val="both"/>
              <w:rPr>
                <w:sz w:val="18"/>
                <w:szCs w:val="18"/>
              </w:rPr>
            </w:pPr>
            <w:r>
              <w:rPr>
                <w:rFonts w:hint="eastAsia" w:ascii="宋体" w:hAnsi="宋体" w:eastAsia="宋体"/>
                <w:color w:val="000000"/>
                <w:sz w:val="18"/>
                <w:szCs w:val="18"/>
              </w:rPr>
              <w:t>侵占人民防空工程</w:t>
            </w:r>
            <w:r>
              <w:rPr>
                <w:rFonts w:hint="eastAsia" w:ascii="Calibri" w:hAnsi="Calibri" w:eastAsia="Calibri"/>
                <w:color w:val="000000"/>
                <w:sz w:val="18"/>
                <w:szCs w:val="18"/>
              </w:rPr>
              <w:t>500</w:t>
            </w:r>
            <w:r>
              <w:rPr>
                <w:rFonts w:hint="eastAsia" w:ascii="宋体" w:hAnsi="宋体" w:eastAsia="宋体"/>
                <w:color w:val="000000"/>
                <w:sz w:val="18"/>
                <w:szCs w:val="18"/>
              </w:rPr>
              <w:t>平方米以下，初次违法并及时改正违法行为，未造成损失的</w:t>
            </w:r>
          </w:p>
        </w:tc>
        <w:tc>
          <w:tcPr>
            <w:tcW w:w="1120" w:type="dxa"/>
            <w:vMerge w:val="restart"/>
            <w:tcBorders>
              <w:top w:val="single" w:color="000000" w:sz="4" w:space="0"/>
              <w:left w:val="single" w:color="000000" w:sz="4" w:space="0"/>
              <w:bottom w:val="single" w:color="000000" w:sz="4" w:space="0"/>
              <w:right w:val="single" w:color="000000" w:sz="4" w:space="0"/>
            </w:tcBorders>
            <w:vAlign w:val="top"/>
          </w:tcPr>
          <w:p w14:paraId="65FEB8AC">
            <w:pPr>
              <w:wordWrap w:val="0"/>
              <w:autoSpaceDE w:val="0"/>
              <w:autoSpaceDN w:val="0"/>
              <w:spacing w:before="0" w:after="0" w:line="259" w:lineRule="exact"/>
              <w:ind w:firstLine="0"/>
              <w:jc w:val="both"/>
              <w:rPr>
                <w:rFonts w:hint="eastAsia" w:ascii="宋体" w:hAnsi="宋体" w:eastAsia="宋体"/>
                <w:color w:val="000000"/>
                <w:sz w:val="18"/>
                <w:szCs w:val="18"/>
              </w:rPr>
            </w:pPr>
          </w:p>
          <w:p w14:paraId="248E6D2C">
            <w:pPr>
              <w:wordWrap w:val="0"/>
              <w:autoSpaceDE w:val="0"/>
              <w:autoSpaceDN w:val="0"/>
              <w:spacing w:before="0" w:after="0" w:line="259" w:lineRule="exact"/>
              <w:ind w:firstLine="0"/>
              <w:jc w:val="both"/>
              <w:rPr>
                <w:rFonts w:hint="eastAsia" w:ascii="宋体" w:hAnsi="宋体" w:eastAsia="宋体"/>
                <w:color w:val="000000"/>
                <w:sz w:val="18"/>
                <w:szCs w:val="18"/>
              </w:rPr>
            </w:pPr>
          </w:p>
          <w:p w14:paraId="4243119E">
            <w:pPr>
              <w:wordWrap w:val="0"/>
              <w:autoSpaceDE w:val="0"/>
              <w:autoSpaceDN w:val="0"/>
              <w:spacing w:before="0" w:after="0" w:line="259" w:lineRule="exact"/>
              <w:ind w:firstLine="0"/>
              <w:jc w:val="both"/>
              <w:rPr>
                <w:rFonts w:hint="eastAsia" w:ascii="宋体" w:hAnsi="宋体" w:eastAsia="宋体"/>
                <w:color w:val="000000"/>
                <w:sz w:val="18"/>
                <w:szCs w:val="18"/>
              </w:rPr>
            </w:pPr>
          </w:p>
          <w:p w14:paraId="2B9B93D7">
            <w:pPr>
              <w:wordWrap w:val="0"/>
              <w:autoSpaceDE w:val="0"/>
              <w:autoSpaceDN w:val="0"/>
              <w:spacing w:before="0" w:after="0" w:line="259" w:lineRule="exact"/>
              <w:ind w:firstLine="0"/>
              <w:jc w:val="both"/>
              <w:rPr>
                <w:rFonts w:hint="eastAsia" w:ascii="宋体" w:hAnsi="宋体" w:eastAsia="宋体"/>
                <w:color w:val="000000"/>
                <w:sz w:val="18"/>
                <w:szCs w:val="18"/>
              </w:rPr>
            </w:pPr>
          </w:p>
          <w:p w14:paraId="2393FC0F">
            <w:pPr>
              <w:wordWrap w:val="0"/>
              <w:autoSpaceDE w:val="0"/>
              <w:autoSpaceDN w:val="0"/>
              <w:spacing w:before="142" w:after="0" w:line="259" w:lineRule="exact"/>
              <w:ind w:firstLine="120"/>
              <w:jc w:val="both"/>
              <w:rPr>
                <w:sz w:val="18"/>
                <w:szCs w:val="18"/>
              </w:rPr>
            </w:pPr>
            <w:r>
              <w:rPr>
                <w:rFonts w:hint="eastAsia" w:ascii="宋体" w:hAnsi="宋体" w:eastAsia="宋体"/>
                <w:color w:val="000000"/>
                <w:sz w:val="18"/>
                <w:szCs w:val="18"/>
              </w:rPr>
              <w:t>裁量幅度</w:t>
            </w:r>
          </w:p>
        </w:tc>
        <w:tc>
          <w:tcPr>
            <w:tcW w:w="5780" w:type="dxa"/>
            <w:tcBorders>
              <w:top w:val="single" w:color="000000" w:sz="4" w:space="0"/>
              <w:left w:val="single" w:color="000000" w:sz="4" w:space="0"/>
              <w:bottom w:val="single" w:color="000000" w:sz="4" w:space="0"/>
              <w:right w:val="single" w:color="000000" w:sz="4" w:space="0"/>
            </w:tcBorders>
            <w:vAlign w:val="top"/>
          </w:tcPr>
          <w:p w14:paraId="4DFE0B12">
            <w:pPr>
              <w:wordWrap w:val="0"/>
              <w:autoSpaceDE w:val="0"/>
              <w:autoSpaceDN w:val="0"/>
              <w:spacing w:before="180" w:after="0" w:line="259" w:lineRule="exact"/>
              <w:ind w:firstLine="100"/>
              <w:jc w:val="both"/>
              <w:rPr>
                <w:sz w:val="18"/>
                <w:szCs w:val="18"/>
              </w:rPr>
            </w:pPr>
            <w:r>
              <w:rPr>
                <w:rFonts w:hint="eastAsia" w:ascii="宋体" w:hAnsi="宋体" w:eastAsia="宋体"/>
                <w:color w:val="000000"/>
                <w:sz w:val="18"/>
                <w:szCs w:val="18"/>
              </w:rPr>
              <w:t>不予处罚</w:t>
            </w:r>
          </w:p>
        </w:tc>
      </w:tr>
      <w:tr w14:paraId="520660A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6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3CEB7391">
            <w:pPr>
              <w:rPr>
                <w:sz w:val="18"/>
                <w:szCs w:val="18"/>
              </w:rPr>
            </w:pPr>
          </w:p>
        </w:tc>
        <w:tc>
          <w:tcPr>
            <w:tcW w:w="6100" w:type="dxa"/>
            <w:tcBorders>
              <w:top w:val="single" w:color="000000" w:sz="4" w:space="0"/>
              <w:left w:val="single" w:color="000000" w:sz="4" w:space="0"/>
              <w:bottom w:val="single" w:color="000000" w:sz="4" w:space="0"/>
              <w:right w:val="single" w:color="000000" w:sz="4" w:space="0"/>
            </w:tcBorders>
            <w:vAlign w:val="top"/>
          </w:tcPr>
          <w:p w14:paraId="3D235DFE">
            <w:pPr>
              <w:wordWrap w:val="0"/>
              <w:autoSpaceDE w:val="0"/>
              <w:autoSpaceDN w:val="0"/>
              <w:spacing w:before="220" w:after="0" w:line="259" w:lineRule="exact"/>
              <w:ind w:firstLine="80"/>
              <w:jc w:val="both"/>
              <w:rPr>
                <w:sz w:val="18"/>
                <w:szCs w:val="18"/>
              </w:rPr>
            </w:pPr>
            <w:r>
              <w:rPr>
                <w:rFonts w:hint="eastAsia" w:ascii="宋体" w:hAnsi="宋体" w:eastAsia="宋体"/>
                <w:color w:val="000000"/>
                <w:sz w:val="18"/>
                <w:szCs w:val="18"/>
              </w:rPr>
              <w:t>侵占人防工程</w:t>
            </w:r>
            <w:r>
              <w:rPr>
                <w:rFonts w:hint="eastAsia" w:ascii="Calibri" w:hAnsi="Calibri" w:eastAsia="Calibri"/>
                <w:color w:val="000000"/>
                <w:sz w:val="18"/>
                <w:szCs w:val="18"/>
              </w:rPr>
              <w:t>500</w:t>
            </w:r>
            <w:r>
              <w:rPr>
                <w:rFonts w:hint="eastAsia" w:ascii="宋体" w:hAnsi="宋体" w:eastAsia="宋体"/>
                <w:color w:val="000000"/>
                <w:sz w:val="18"/>
                <w:szCs w:val="18"/>
              </w:rPr>
              <w:t>平方米以下</w:t>
            </w:r>
          </w:p>
        </w:tc>
        <w:tc>
          <w:tcPr>
            <w:tcW w:w="1120" w:type="dxa"/>
            <w:vMerge w:val="continue"/>
            <w:tcBorders>
              <w:top w:val="single" w:color="000000" w:sz="4" w:space="0"/>
              <w:left w:val="single" w:color="000000" w:sz="4" w:space="0"/>
              <w:bottom w:val="single" w:color="000000" w:sz="4" w:space="0"/>
              <w:right w:val="single" w:color="000000" w:sz="4" w:space="0"/>
            </w:tcBorders>
          </w:tcPr>
          <w:p w14:paraId="6ED767AC">
            <w:pPr>
              <w:rPr>
                <w:sz w:val="18"/>
                <w:szCs w:val="18"/>
              </w:rPr>
            </w:pPr>
          </w:p>
        </w:tc>
        <w:tc>
          <w:tcPr>
            <w:tcW w:w="5780" w:type="dxa"/>
            <w:tcBorders>
              <w:top w:val="single" w:color="000000" w:sz="4" w:space="0"/>
              <w:left w:val="single" w:color="000000" w:sz="4" w:space="0"/>
              <w:bottom w:val="single" w:color="000000" w:sz="4" w:space="0"/>
              <w:right w:val="single" w:color="000000" w:sz="4" w:space="0"/>
            </w:tcBorders>
            <w:vAlign w:val="top"/>
          </w:tcPr>
          <w:p w14:paraId="1506006A">
            <w:pPr>
              <w:wordWrap w:val="0"/>
              <w:autoSpaceDE w:val="0"/>
              <w:autoSpaceDN w:val="0"/>
              <w:spacing w:before="80" w:after="0" w:line="259" w:lineRule="exact"/>
              <w:ind w:left="80" w:right="2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1000</w:t>
            </w:r>
            <w:r>
              <w:rPr>
                <w:rFonts w:hint="eastAsia" w:ascii="宋体" w:hAnsi="宋体" w:eastAsia="宋体"/>
                <w:color w:val="000000"/>
                <w:sz w:val="18"/>
                <w:szCs w:val="18"/>
              </w:rPr>
              <w:t>元以上</w:t>
            </w:r>
            <w:r>
              <w:rPr>
                <w:rFonts w:hint="eastAsia" w:ascii="Calibri" w:hAnsi="Calibri" w:eastAsia="Calibri"/>
                <w:color w:val="000000"/>
                <w:sz w:val="18"/>
                <w:szCs w:val="18"/>
              </w:rPr>
              <w:t>2000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r w14:paraId="0B4C284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2AAC93BA">
            <w:pPr>
              <w:rPr>
                <w:sz w:val="18"/>
                <w:szCs w:val="18"/>
              </w:rPr>
            </w:pPr>
          </w:p>
        </w:tc>
        <w:tc>
          <w:tcPr>
            <w:tcW w:w="6100" w:type="dxa"/>
            <w:tcBorders>
              <w:top w:val="single" w:color="000000" w:sz="4" w:space="0"/>
              <w:left w:val="single" w:color="000000" w:sz="4" w:space="0"/>
              <w:bottom w:val="single" w:color="000000" w:sz="4" w:space="0"/>
              <w:right w:val="single" w:color="000000" w:sz="4" w:space="0"/>
            </w:tcBorders>
            <w:vAlign w:val="top"/>
          </w:tcPr>
          <w:p w14:paraId="0843C3CF">
            <w:pPr>
              <w:wordWrap w:val="0"/>
              <w:autoSpaceDE w:val="0"/>
              <w:autoSpaceDN w:val="0"/>
              <w:spacing w:before="220" w:after="0" w:line="259" w:lineRule="exact"/>
              <w:ind w:firstLine="80"/>
              <w:jc w:val="both"/>
              <w:rPr>
                <w:sz w:val="18"/>
                <w:szCs w:val="18"/>
              </w:rPr>
            </w:pPr>
            <w:r>
              <w:rPr>
                <w:rFonts w:hint="eastAsia" w:ascii="宋体" w:hAnsi="宋体" w:eastAsia="宋体"/>
                <w:color w:val="000000"/>
                <w:sz w:val="18"/>
                <w:szCs w:val="18"/>
              </w:rPr>
              <w:t>侵占人防工程</w:t>
            </w:r>
            <w:r>
              <w:rPr>
                <w:rFonts w:hint="eastAsia" w:ascii="Calibri" w:hAnsi="Calibri" w:eastAsia="Calibri"/>
                <w:color w:val="000000"/>
                <w:sz w:val="18"/>
                <w:szCs w:val="18"/>
              </w:rPr>
              <w:t>500</w:t>
            </w:r>
            <w:r>
              <w:rPr>
                <w:rFonts w:hint="eastAsia" w:ascii="宋体" w:hAnsi="宋体" w:eastAsia="宋体"/>
                <w:color w:val="000000"/>
                <w:sz w:val="18"/>
                <w:szCs w:val="18"/>
              </w:rPr>
              <w:t>平方米以上</w:t>
            </w:r>
            <w:r>
              <w:rPr>
                <w:rFonts w:hint="eastAsia" w:ascii="Calibri" w:hAnsi="Calibri" w:eastAsia="Calibri"/>
                <w:color w:val="000000"/>
                <w:sz w:val="18"/>
                <w:szCs w:val="18"/>
              </w:rPr>
              <w:t>1000</w:t>
            </w:r>
            <w:r>
              <w:rPr>
                <w:rFonts w:hint="eastAsia" w:ascii="宋体" w:hAnsi="宋体" w:eastAsia="宋体"/>
                <w:color w:val="000000"/>
                <w:sz w:val="18"/>
                <w:szCs w:val="18"/>
              </w:rPr>
              <w:t>平方米以下</w:t>
            </w:r>
          </w:p>
        </w:tc>
        <w:tc>
          <w:tcPr>
            <w:tcW w:w="1120" w:type="dxa"/>
            <w:vMerge w:val="continue"/>
            <w:tcBorders>
              <w:top w:val="single" w:color="000000" w:sz="4" w:space="0"/>
              <w:left w:val="single" w:color="000000" w:sz="4" w:space="0"/>
              <w:bottom w:val="single" w:color="000000" w:sz="4" w:space="0"/>
              <w:right w:val="single" w:color="000000" w:sz="4" w:space="0"/>
            </w:tcBorders>
          </w:tcPr>
          <w:p w14:paraId="16C0DC65">
            <w:pPr>
              <w:rPr>
                <w:sz w:val="18"/>
                <w:szCs w:val="18"/>
              </w:rPr>
            </w:pPr>
          </w:p>
        </w:tc>
        <w:tc>
          <w:tcPr>
            <w:tcW w:w="5780" w:type="dxa"/>
            <w:tcBorders>
              <w:top w:val="single" w:color="000000" w:sz="4" w:space="0"/>
              <w:left w:val="single" w:color="000000" w:sz="4" w:space="0"/>
              <w:bottom w:val="single" w:color="000000" w:sz="4" w:space="0"/>
              <w:right w:val="single" w:color="000000" w:sz="4" w:space="0"/>
            </w:tcBorders>
            <w:vAlign w:val="top"/>
          </w:tcPr>
          <w:p w14:paraId="1EDA3171">
            <w:pPr>
              <w:wordWrap w:val="0"/>
              <w:autoSpaceDE w:val="0"/>
              <w:autoSpaceDN w:val="0"/>
              <w:spacing w:before="40" w:after="0" w:line="259" w:lineRule="exact"/>
              <w:ind w:left="80" w:right="4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2000</w:t>
            </w:r>
            <w:r>
              <w:rPr>
                <w:rFonts w:hint="eastAsia" w:ascii="宋体" w:hAnsi="宋体" w:eastAsia="宋体"/>
                <w:color w:val="000000"/>
                <w:sz w:val="18"/>
                <w:szCs w:val="18"/>
              </w:rPr>
              <w:t>元以上</w:t>
            </w:r>
            <w:r>
              <w:rPr>
                <w:rFonts w:hint="eastAsia" w:ascii="Calibri" w:hAnsi="Calibri" w:eastAsia="Calibri"/>
                <w:color w:val="000000"/>
                <w:sz w:val="18"/>
                <w:szCs w:val="18"/>
              </w:rPr>
              <w:t>4000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4</w:t>
            </w:r>
            <w:r>
              <w:rPr>
                <w:rFonts w:hint="eastAsia" w:ascii="宋体" w:hAnsi="宋体" w:eastAsia="宋体"/>
                <w:color w:val="000000"/>
                <w:sz w:val="18"/>
                <w:szCs w:val="18"/>
              </w:rPr>
              <w:t>万元以下罚款</w:t>
            </w:r>
          </w:p>
        </w:tc>
      </w:tr>
      <w:tr w14:paraId="681B73E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8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43CD3B18">
            <w:pPr>
              <w:rPr>
                <w:sz w:val="18"/>
                <w:szCs w:val="18"/>
              </w:rPr>
            </w:pPr>
          </w:p>
        </w:tc>
        <w:tc>
          <w:tcPr>
            <w:tcW w:w="6100" w:type="dxa"/>
            <w:tcBorders>
              <w:top w:val="single" w:color="000000" w:sz="4" w:space="0"/>
              <w:left w:val="single" w:color="000000" w:sz="4" w:space="0"/>
              <w:bottom w:val="single" w:color="000000" w:sz="4" w:space="0"/>
              <w:right w:val="single" w:color="000000" w:sz="4" w:space="0"/>
            </w:tcBorders>
            <w:vAlign w:val="top"/>
          </w:tcPr>
          <w:p w14:paraId="7523DCDF">
            <w:pPr>
              <w:wordWrap w:val="0"/>
              <w:autoSpaceDE w:val="0"/>
              <w:autoSpaceDN w:val="0"/>
              <w:spacing w:before="220" w:after="0" w:line="259" w:lineRule="exact"/>
              <w:ind w:firstLine="80"/>
              <w:jc w:val="both"/>
              <w:rPr>
                <w:sz w:val="18"/>
                <w:szCs w:val="18"/>
              </w:rPr>
            </w:pPr>
            <w:r>
              <w:rPr>
                <w:rFonts w:hint="eastAsia" w:ascii="宋体" w:hAnsi="宋体" w:eastAsia="宋体"/>
                <w:color w:val="000000"/>
                <w:sz w:val="18"/>
                <w:szCs w:val="18"/>
              </w:rPr>
              <w:t>侵占人防工程</w:t>
            </w:r>
            <w:r>
              <w:rPr>
                <w:rFonts w:hint="eastAsia" w:ascii="Calibri" w:hAnsi="Calibri" w:eastAsia="Calibri"/>
                <w:color w:val="000000"/>
                <w:sz w:val="18"/>
                <w:szCs w:val="18"/>
              </w:rPr>
              <w:t>1000</w:t>
            </w:r>
            <w:r>
              <w:rPr>
                <w:rFonts w:hint="eastAsia" w:ascii="宋体" w:hAnsi="宋体" w:eastAsia="宋体"/>
                <w:color w:val="000000"/>
                <w:sz w:val="18"/>
                <w:szCs w:val="18"/>
              </w:rPr>
              <w:t>平方米以上的</w:t>
            </w:r>
          </w:p>
        </w:tc>
        <w:tc>
          <w:tcPr>
            <w:tcW w:w="1120" w:type="dxa"/>
            <w:vMerge w:val="continue"/>
            <w:tcBorders>
              <w:top w:val="single" w:color="000000" w:sz="4" w:space="0"/>
              <w:left w:val="single" w:color="000000" w:sz="4" w:space="0"/>
              <w:bottom w:val="single" w:color="000000" w:sz="4" w:space="0"/>
              <w:right w:val="single" w:color="000000" w:sz="4" w:space="0"/>
            </w:tcBorders>
          </w:tcPr>
          <w:p w14:paraId="4158D4FB">
            <w:pPr>
              <w:rPr>
                <w:sz w:val="18"/>
                <w:szCs w:val="18"/>
              </w:rPr>
            </w:pPr>
          </w:p>
        </w:tc>
        <w:tc>
          <w:tcPr>
            <w:tcW w:w="5780" w:type="dxa"/>
            <w:tcBorders>
              <w:top w:val="single" w:color="000000" w:sz="4" w:space="0"/>
              <w:left w:val="single" w:color="000000" w:sz="4" w:space="0"/>
              <w:bottom w:val="single" w:color="000000" w:sz="4" w:space="0"/>
              <w:right w:val="single" w:color="000000" w:sz="4" w:space="0"/>
            </w:tcBorders>
            <w:vAlign w:val="top"/>
          </w:tcPr>
          <w:p w14:paraId="294D016B">
            <w:pPr>
              <w:wordWrap w:val="0"/>
              <w:autoSpaceDE w:val="0"/>
              <w:autoSpaceDN w:val="0"/>
              <w:spacing w:before="60" w:after="0" w:line="259" w:lineRule="exact"/>
              <w:ind w:left="80" w:firstLine="2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4000</w:t>
            </w:r>
            <w:r>
              <w:rPr>
                <w:rFonts w:hint="eastAsia" w:ascii="宋体" w:hAnsi="宋体" w:eastAsia="宋体"/>
                <w:color w:val="000000"/>
                <w:sz w:val="18"/>
                <w:szCs w:val="18"/>
              </w:rPr>
              <w:t>元以上</w:t>
            </w:r>
            <w:r>
              <w:rPr>
                <w:rFonts w:hint="eastAsia" w:ascii="Calibri" w:hAnsi="Calibri" w:eastAsia="Calibri"/>
                <w:color w:val="000000"/>
                <w:sz w:val="18"/>
                <w:szCs w:val="18"/>
              </w:rPr>
              <w:t>5000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4</w:t>
            </w:r>
            <w:r>
              <w:rPr>
                <w:rFonts w:hint="eastAsia" w:ascii="宋体" w:hAnsi="宋体" w:eastAsia="宋体"/>
                <w:color w:val="000000"/>
                <w:sz w:val="18"/>
                <w:szCs w:val="18"/>
              </w:rPr>
              <w:t>万元以上</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bl>
    <w:p w14:paraId="147D27E2">
      <w:pPr>
        <w:rPr>
          <w:sz w:val="18"/>
          <w:szCs w:val="18"/>
        </w:rPr>
      </w:pPr>
    </w:p>
    <w:p w14:paraId="4B692D01">
      <w:pPr>
        <w:rPr>
          <w:sz w:val="18"/>
          <w:szCs w:val="18"/>
        </w:rPr>
      </w:pPr>
    </w:p>
    <w:p w14:paraId="03C486A4">
      <w:pPr>
        <w:rPr>
          <w:sz w:val="18"/>
          <w:szCs w:val="18"/>
        </w:rPr>
      </w:pPr>
    </w:p>
    <w:tbl>
      <w:tblPr>
        <w:tblStyle w:val="15"/>
        <w:tblW w:w="0" w:type="auto"/>
        <w:tblInd w:w="16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5"/>
        <w:gridCol w:w="5719"/>
        <w:gridCol w:w="1242"/>
        <w:gridCol w:w="5662"/>
      </w:tblGrid>
      <w:tr w14:paraId="33FE83E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30D5CE4D">
            <w:pPr>
              <w:wordWrap w:val="0"/>
              <w:autoSpaceDE w:val="0"/>
              <w:autoSpaceDN w:val="0"/>
              <w:spacing w:before="0" w:after="0" w:line="240" w:lineRule="exact"/>
              <w:ind w:firstLine="320"/>
              <w:jc w:val="both"/>
              <w:rPr>
                <w:sz w:val="18"/>
                <w:szCs w:val="18"/>
              </w:rPr>
            </w:pPr>
            <w:r>
              <w:rPr>
                <w:rFonts w:hint="eastAsia" w:ascii="宋体" w:hAnsi="宋体" w:eastAsia="宋体"/>
                <w:color w:val="000000"/>
                <w:sz w:val="18"/>
                <w:szCs w:val="18"/>
              </w:rPr>
              <w:t>序号</w:t>
            </w:r>
          </w:p>
        </w:tc>
        <w:tc>
          <w:tcPr>
            <w:tcW w:w="12880" w:type="dxa"/>
            <w:gridSpan w:val="3"/>
            <w:tcBorders>
              <w:top w:val="single" w:color="000000" w:sz="4" w:space="0"/>
              <w:left w:val="single" w:color="000000" w:sz="4" w:space="0"/>
              <w:bottom w:val="single" w:color="000000" w:sz="4" w:space="0"/>
              <w:right w:val="single" w:color="000000" w:sz="4" w:space="0"/>
            </w:tcBorders>
            <w:vAlign w:val="top"/>
          </w:tcPr>
          <w:p w14:paraId="13EFD12A">
            <w:pPr>
              <w:wordWrap w:val="0"/>
              <w:autoSpaceDE w:val="0"/>
              <w:autoSpaceDN w:val="0"/>
              <w:spacing w:before="53" w:after="0" w:line="246" w:lineRule="exact"/>
              <w:ind w:firstLine="80"/>
              <w:jc w:val="both"/>
              <w:rPr>
                <w:sz w:val="18"/>
                <w:szCs w:val="18"/>
              </w:rPr>
            </w:pPr>
            <w:r>
              <w:rPr>
                <w:rFonts w:hint="eastAsia" w:ascii="Calibri" w:hAnsi="Calibri" w:eastAsia="Calibri"/>
                <w:color w:val="000000"/>
                <w:sz w:val="18"/>
                <w:szCs w:val="18"/>
              </w:rPr>
              <w:t>3</w:t>
            </w:r>
          </w:p>
        </w:tc>
      </w:tr>
      <w:tr w14:paraId="1E43C45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AD6CE68">
            <w:pPr>
              <w:wordWrap w:val="0"/>
              <w:autoSpaceDE w:val="0"/>
              <w:autoSpaceDN w:val="0"/>
              <w:spacing w:before="13" w:after="0" w:line="246" w:lineRule="exact"/>
              <w:ind w:firstLine="320"/>
              <w:jc w:val="both"/>
              <w:rPr>
                <w:sz w:val="18"/>
                <w:szCs w:val="18"/>
              </w:rPr>
            </w:pPr>
            <w:r>
              <w:rPr>
                <w:rFonts w:hint="eastAsia" w:ascii="宋体" w:hAnsi="宋体" w:eastAsia="宋体"/>
                <w:color w:val="000000"/>
                <w:sz w:val="18"/>
                <w:szCs w:val="18"/>
              </w:rPr>
              <w:t>编号</w:t>
            </w:r>
          </w:p>
        </w:tc>
        <w:tc>
          <w:tcPr>
            <w:tcW w:w="12880" w:type="dxa"/>
            <w:gridSpan w:val="3"/>
            <w:tcBorders>
              <w:top w:val="single" w:color="000000" w:sz="4" w:space="0"/>
              <w:left w:val="single" w:color="000000" w:sz="4" w:space="0"/>
              <w:bottom w:val="single" w:color="000000" w:sz="4" w:space="0"/>
              <w:right w:val="single" w:color="000000" w:sz="4" w:space="0"/>
            </w:tcBorders>
            <w:vAlign w:val="top"/>
          </w:tcPr>
          <w:p w14:paraId="60E9F292">
            <w:pPr>
              <w:wordWrap w:val="0"/>
              <w:autoSpaceDE w:val="0"/>
              <w:autoSpaceDN w:val="0"/>
              <w:spacing w:before="53" w:after="0" w:line="246" w:lineRule="exact"/>
              <w:ind w:firstLine="80"/>
              <w:jc w:val="both"/>
              <w:rPr>
                <w:sz w:val="18"/>
                <w:szCs w:val="18"/>
              </w:rPr>
            </w:pPr>
            <w:r>
              <w:rPr>
                <w:rFonts w:hint="eastAsia" w:ascii="Calibri" w:hAnsi="Calibri" w:eastAsia="Calibri"/>
                <w:color w:val="000000"/>
                <w:sz w:val="18"/>
                <w:szCs w:val="18"/>
              </w:rPr>
              <w:t>320280003000</w:t>
            </w:r>
          </w:p>
        </w:tc>
      </w:tr>
      <w:tr w14:paraId="2A660E3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0E32B60C">
            <w:pPr>
              <w:wordWrap w:val="0"/>
              <w:autoSpaceDE w:val="0"/>
              <w:autoSpaceDN w:val="0"/>
              <w:spacing w:before="53" w:after="0" w:line="246" w:lineRule="exact"/>
              <w:ind w:firstLine="220"/>
              <w:jc w:val="both"/>
              <w:rPr>
                <w:sz w:val="18"/>
                <w:szCs w:val="18"/>
              </w:rPr>
            </w:pPr>
            <w:r>
              <w:rPr>
                <w:rFonts w:hint="eastAsia" w:ascii="宋体" w:hAnsi="宋体" w:eastAsia="宋体"/>
                <w:color w:val="000000"/>
                <w:sz w:val="18"/>
                <w:szCs w:val="18"/>
              </w:rPr>
              <w:t>行为名称</w:t>
            </w:r>
          </w:p>
        </w:tc>
        <w:tc>
          <w:tcPr>
            <w:tcW w:w="12880" w:type="dxa"/>
            <w:gridSpan w:val="3"/>
            <w:tcBorders>
              <w:top w:val="single" w:color="000000" w:sz="4" w:space="0"/>
              <w:left w:val="single" w:color="000000" w:sz="4" w:space="0"/>
              <w:bottom w:val="single" w:color="000000" w:sz="4" w:space="0"/>
              <w:right w:val="single" w:color="000000" w:sz="4" w:space="0"/>
            </w:tcBorders>
            <w:vAlign w:val="top"/>
          </w:tcPr>
          <w:p w14:paraId="68933E92">
            <w:pPr>
              <w:wordWrap w:val="0"/>
              <w:autoSpaceDE w:val="0"/>
              <w:autoSpaceDN w:val="0"/>
              <w:spacing w:before="80" w:after="0" w:line="246" w:lineRule="exact"/>
              <w:ind w:firstLine="80"/>
              <w:jc w:val="both"/>
              <w:rPr>
                <w:sz w:val="18"/>
                <w:szCs w:val="18"/>
              </w:rPr>
            </w:pPr>
            <w:r>
              <w:rPr>
                <w:rFonts w:hint="eastAsia" w:ascii="宋体" w:hAnsi="宋体" w:eastAsia="宋体"/>
                <w:color w:val="000000"/>
                <w:sz w:val="18"/>
                <w:szCs w:val="18"/>
              </w:rPr>
              <w:t>对人民防空工程建设单位人民防空建设工程竣工验收后，未向人民防空主管部门移交建设项目档案的处罚</w:t>
            </w:r>
          </w:p>
        </w:tc>
      </w:tr>
      <w:tr w14:paraId="48C9B17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56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5566DC49">
            <w:pPr>
              <w:wordWrap w:val="0"/>
              <w:autoSpaceDE w:val="0"/>
              <w:autoSpaceDN w:val="0"/>
              <w:spacing w:before="0" w:after="0" w:line="246" w:lineRule="exact"/>
              <w:ind w:firstLine="0"/>
              <w:jc w:val="both"/>
              <w:rPr>
                <w:rFonts w:hint="eastAsia" w:ascii="宋体" w:hAnsi="宋体" w:eastAsia="宋体"/>
                <w:color w:val="000000"/>
                <w:sz w:val="18"/>
                <w:szCs w:val="18"/>
              </w:rPr>
            </w:pPr>
          </w:p>
          <w:p w14:paraId="2E6D7DD7">
            <w:pPr>
              <w:wordWrap w:val="0"/>
              <w:autoSpaceDE w:val="0"/>
              <w:autoSpaceDN w:val="0"/>
              <w:spacing w:before="0" w:after="0" w:line="246" w:lineRule="exact"/>
              <w:ind w:firstLine="0"/>
              <w:jc w:val="both"/>
              <w:rPr>
                <w:rFonts w:hint="eastAsia" w:ascii="宋体" w:hAnsi="宋体" w:eastAsia="宋体"/>
                <w:color w:val="000000"/>
                <w:sz w:val="18"/>
                <w:szCs w:val="18"/>
              </w:rPr>
            </w:pPr>
          </w:p>
          <w:p w14:paraId="1EF9E5E3">
            <w:pPr>
              <w:wordWrap w:val="0"/>
              <w:autoSpaceDE w:val="0"/>
              <w:autoSpaceDN w:val="0"/>
              <w:spacing w:before="0" w:after="0" w:line="246" w:lineRule="exact"/>
              <w:ind w:firstLine="0"/>
              <w:jc w:val="both"/>
              <w:rPr>
                <w:rFonts w:hint="eastAsia" w:ascii="宋体" w:hAnsi="宋体" w:eastAsia="宋体"/>
                <w:color w:val="000000"/>
                <w:sz w:val="18"/>
                <w:szCs w:val="18"/>
              </w:rPr>
            </w:pPr>
          </w:p>
          <w:p w14:paraId="1A08085B">
            <w:pPr>
              <w:wordWrap w:val="0"/>
              <w:autoSpaceDE w:val="0"/>
              <w:autoSpaceDN w:val="0"/>
              <w:spacing w:before="0" w:after="0" w:line="246" w:lineRule="exact"/>
              <w:ind w:firstLine="0"/>
              <w:jc w:val="both"/>
              <w:rPr>
                <w:rFonts w:hint="eastAsia" w:ascii="宋体" w:hAnsi="宋体" w:eastAsia="宋体"/>
                <w:color w:val="000000"/>
                <w:sz w:val="18"/>
                <w:szCs w:val="18"/>
              </w:rPr>
            </w:pPr>
          </w:p>
          <w:p w14:paraId="4655ED65">
            <w:pPr>
              <w:wordWrap w:val="0"/>
              <w:autoSpaceDE w:val="0"/>
              <w:autoSpaceDN w:val="0"/>
              <w:spacing w:before="0" w:after="0" w:line="246" w:lineRule="exact"/>
              <w:ind w:firstLine="0"/>
              <w:jc w:val="both"/>
              <w:rPr>
                <w:rFonts w:hint="eastAsia" w:ascii="宋体" w:hAnsi="宋体" w:eastAsia="宋体"/>
                <w:color w:val="000000"/>
                <w:sz w:val="18"/>
                <w:szCs w:val="18"/>
              </w:rPr>
            </w:pPr>
          </w:p>
          <w:p w14:paraId="21734F4F">
            <w:pPr>
              <w:wordWrap w:val="0"/>
              <w:autoSpaceDE w:val="0"/>
              <w:autoSpaceDN w:val="0"/>
              <w:spacing w:before="0" w:after="0" w:line="246" w:lineRule="exact"/>
              <w:ind w:firstLine="0"/>
              <w:jc w:val="both"/>
              <w:rPr>
                <w:rFonts w:hint="eastAsia" w:ascii="宋体" w:hAnsi="宋体" w:eastAsia="宋体"/>
                <w:color w:val="000000"/>
                <w:sz w:val="18"/>
                <w:szCs w:val="18"/>
              </w:rPr>
            </w:pPr>
          </w:p>
          <w:p w14:paraId="532EFB9F">
            <w:pPr>
              <w:wordWrap w:val="0"/>
              <w:autoSpaceDE w:val="0"/>
              <w:autoSpaceDN w:val="0"/>
              <w:spacing w:before="221" w:after="0" w:line="246" w:lineRule="exact"/>
              <w:ind w:firstLine="200"/>
              <w:jc w:val="both"/>
              <w:rPr>
                <w:sz w:val="18"/>
                <w:szCs w:val="18"/>
              </w:rPr>
            </w:pPr>
            <w:r>
              <w:rPr>
                <w:rFonts w:hint="eastAsia" w:ascii="宋体" w:hAnsi="宋体" w:eastAsia="宋体"/>
                <w:color w:val="000000"/>
                <w:sz w:val="18"/>
                <w:szCs w:val="18"/>
              </w:rPr>
              <w:t>法律依据</w:t>
            </w:r>
          </w:p>
        </w:tc>
        <w:tc>
          <w:tcPr>
            <w:tcW w:w="12880" w:type="dxa"/>
            <w:gridSpan w:val="3"/>
            <w:tcBorders>
              <w:top w:val="single" w:color="000000" w:sz="4" w:space="0"/>
              <w:left w:val="single" w:color="000000" w:sz="4" w:space="0"/>
              <w:bottom w:val="single" w:color="000000" w:sz="4" w:space="0"/>
              <w:right w:val="single" w:color="000000" w:sz="4" w:space="0"/>
            </w:tcBorders>
            <w:vAlign w:val="top"/>
          </w:tcPr>
          <w:p w14:paraId="3FDBD5ED">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4496E526">
            <w:pPr>
              <w:wordWrap w:val="0"/>
              <w:autoSpaceDE w:val="0"/>
              <w:autoSpaceDN w:val="0"/>
              <w:spacing w:before="63" w:after="0" w:line="246" w:lineRule="exact"/>
              <w:ind w:left="80" w:right="80" w:firstLine="420"/>
              <w:jc w:val="both"/>
              <w:rPr>
                <w:sz w:val="18"/>
                <w:szCs w:val="18"/>
              </w:rPr>
            </w:pPr>
            <w:r>
              <w:rPr>
                <w:rFonts w:hint="eastAsia" w:ascii="宋体" w:hAnsi="宋体" w:eastAsia="宋体"/>
                <w:color w:val="000000"/>
                <w:sz w:val="18"/>
                <w:szCs w:val="18"/>
              </w:rPr>
              <w:t>第十七条 建设单位应当严格按照国家有关档案管理的规定，及时收集、整理建设项目各环节的文件资料，建立、健全建设项目档案，并在建设工程竣工验收后，及时向建设行政主管部门或者其他有关部门移交建设项目档案。</w:t>
            </w:r>
          </w:p>
          <w:p w14:paraId="1ACCF64C">
            <w:pPr>
              <w:wordWrap w:val="0"/>
              <w:autoSpaceDE w:val="0"/>
              <w:autoSpaceDN w:val="0"/>
              <w:spacing w:before="0" w:after="0" w:line="246" w:lineRule="exact"/>
              <w:ind w:left="80" w:right="40" w:firstLine="420"/>
              <w:jc w:val="both"/>
              <w:rPr>
                <w:sz w:val="18"/>
                <w:szCs w:val="18"/>
              </w:rPr>
            </w:pPr>
            <w:r>
              <w:rPr>
                <w:rFonts w:hint="eastAsia" w:ascii="宋体" w:hAnsi="宋体" w:eastAsia="宋体"/>
                <w:color w:val="000000"/>
                <w:sz w:val="18"/>
                <w:szCs w:val="18"/>
              </w:rPr>
              <w:t>第五十九条 违反本条例规定，建设工程竣工验收后，建设单位未向建设行政主管部门或者其他有关部门移交建设项目档案的，责令改正，处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10</w:t>
            </w:r>
            <w:r>
              <w:rPr>
                <w:rFonts w:hint="eastAsia" w:ascii="宋体" w:hAnsi="宋体" w:eastAsia="宋体"/>
                <w:color w:val="000000"/>
                <w:sz w:val="18"/>
                <w:szCs w:val="18"/>
              </w:rPr>
              <w:t>万元以下的罚款。</w:t>
            </w:r>
          </w:p>
          <w:p w14:paraId="23DE6CB3">
            <w:pPr>
              <w:wordWrap w:val="0"/>
              <w:autoSpaceDE w:val="0"/>
              <w:autoSpaceDN w:val="0"/>
              <w:spacing w:before="0" w:after="0" w:line="246" w:lineRule="exact"/>
              <w:ind w:firstLine="0"/>
              <w:jc w:val="both"/>
              <w:rPr>
                <w:rFonts w:hint="eastAsia" w:ascii="宋体" w:hAnsi="宋体" w:eastAsia="宋体"/>
                <w:color w:val="000000"/>
                <w:sz w:val="18"/>
                <w:szCs w:val="18"/>
              </w:rPr>
            </w:pPr>
          </w:p>
          <w:p w14:paraId="4BCE9F5B">
            <w:pPr>
              <w:wordWrap w:val="0"/>
              <w:autoSpaceDE w:val="0"/>
              <w:autoSpaceDN w:val="0"/>
              <w:spacing w:before="107" w:after="0" w:line="246" w:lineRule="exact"/>
              <w:ind w:left="100" w:right="8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70439C13">
            <w:pPr>
              <w:wordWrap w:val="0"/>
              <w:autoSpaceDE w:val="0"/>
              <w:autoSpaceDN w:val="0"/>
              <w:spacing w:before="63" w:after="0" w:line="246" w:lineRule="exact"/>
              <w:ind w:left="80" w:right="6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26AD4D6C">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1B4C8F65">
            <w:pPr>
              <w:wordWrap w:val="0"/>
              <w:autoSpaceDE w:val="0"/>
              <w:autoSpaceDN w:val="0"/>
              <w:spacing w:before="0" w:after="0" w:line="246" w:lineRule="exact"/>
              <w:ind w:left="80" w:right="6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4083221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68BE562">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处罚种类</w:t>
            </w:r>
          </w:p>
        </w:tc>
        <w:tc>
          <w:tcPr>
            <w:tcW w:w="12880" w:type="dxa"/>
            <w:gridSpan w:val="3"/>
            <w:tcBorders>
              <w:top w:val="single" w:color="000000" w:sz="4" w:space="0"/>
              <w:left w:val="single" w:color="000000" w:sz="4" w:space="0"/>
              <w:bottom w:val="single" w:color="000000" w:sz="4" w:space="0"/>
              <w:right w:val="single" w:color="000000" w:sz="4" w:space="0"/>
            </w:tcBorders>
            <w:vAlign w:val="top"/>
          </w:tcPr>
          <w:p w14:paraId="529AD99F">
            <w:pPr>
              <w:wordWrap w:val="0"/>
              <w:autoSpaceDE w:val="0"/>
              <w:autoSpaceDN w:val="0"/>
              <w:spacing w:before="73" w:after="0" w:line="246" w:lineRule="exact"/>
              <w:ind w:firstLine="80"/>
              <w:jc w:val="both"/>
              <w:rPr>
                <w:sz w:val="18"/>
                <w:szCs w:val="18"/>
              </w:rPr>
            </w:pPr>
            <w:r>
              <w:rPr>
                <w:rFonts w:hint="eastAsia" w:ascii="宋体" w:hAnsi="宋体" w:eastAsia="宋体"/>
                <w:color w:val="000000"/>
                <w:sz w:val="18"/>
                <w:szCs w:val="18"/>
              </w:rPr>
              <w:t>罚款</w:t>
            </w:r>
          </w:p>
        </w:tc>
      </w:tr>
      <w:tr w14:paraId="220AEB4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4080" w:type="dxa"/>
            <w:gridSpan w:val="4"/>
            <w:tcBorders>
              <w:top w:val="single" w:color="000000" w:sz="4" w:space="0"/>
              <w:left w:val="single" w:color="000000" w:sz="4" w:space="0"/>
              <w:bottom w:val="single" w:color="000000" w:sz="4" w:space="0"/>
              <w:right w:val="single" w:color="000000" w:sz="4" w:space="0"/>
            </w:tcBorders>
            <w:vAlign w:val="top"/>
          </w:tcPr>
          <w:p w14:paraId="0481A5BC">
            <w:pPr>
              <w:wordWrap w:val="0"/>
              <w:autoSpaceDE w:val="0"/>
              <w:autoSpaceDN w:val="0"/>
              <w:spacing w:before="73" w:after="0" w:line="246" w:lineRule="exact"/>
              <w:jc w:val="center"/>
              <w:rPr>
                <w:sz w:val="18"/>
                <w:szCs w:val="18"/>
              </w:rPr>
            </w:pPr>
            <w:r>
              <w:rPr>
                <w:rFonts w:hint="eastAsia" w:ascii="宋体" w:hAnsi="宋体" w:eastAsia="宋体"/>
                <w:color w:val="000000"/>
                <w:sz w:val="18"/>
                <w:szCs w:val="18"/>
              </w:rPr>
              <w:t>自由裁量基准</w:t>
            </w:r>
          </w:p>
        </w:tc>
      </w:tr>
      <w:tr w14:paraId="2493AA9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4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4CEB20C2">
            <w:pPr>
              <w:wordWrap w:val="0"/>
              <w:autoSpaceDE w:val="0"/>
              <w:autoSpaceDN w:val="0"/>
              <w:spacing w:before="0" w:after="0" w:line="246" w:lineRule="exact"/>
              <w:ind w:firstLine="0"/>
              <w:jc w:val="both"/>
              <w:rPr>
                <w:rFonts w:hint="eastAsia" w:ascii="宋体" w:hAnsi="宋体" w:eastAsia="宋体"/>
                <w:color w:val="000000"/>
                <w:sz w:val="18"/>
                <w:szCs w:val="18"/>
              </w:rPr>
            </w:pPr>
          </w:p>
          <w:p w14:paraId="0E5451E1">
            <w:pPr>
              <w:wordWrap w:val="0"/>
              <w:autoSpaceDE w:val="0"/>
              <w:autoSpaceDN w:val="0"/>
              <w:spacing w:before="0" w:after="0" w:line="246" w:lineRule="exact"/>
              <w:ind w:firstLine="0"/>
              <w:jc w:val="both"/>
              <w:rPr>
                <w:rFonts w:hint="eastAsia" w:ascii="宋体" w:hAnsi="宋体" w:eastAsia="宋体"/>
                <w:color w:val="000000"/>
                <w:sz w:val="18"/>
                <w:szCs w:val="18"/>
              </w:rPr>
            </w:pPr>
          </w:p>
          <w:p w14:paraId="54986CE0">
            <w:pPr>
              <w:wordWrap w:val="0"/>
              <w:autoSpaceDE w:val="0"/>
              <w:autoSpaceDN w:val="0"/>
              <w:spacing w:before="67" w:after="0" w:line="246" w:lineRule="exact"/>
              <w:ind w:firstLine="200"/>
              <w:jc w:val="both"/>
              <w:rPr>
                <w:sz w:val="18"/>
                <w:szCs w:val="18"/>
              </w:rPr>
            </w:pPr>
            <w:r>
              <w:rPr>
                <w:rFonts w:hint="eastAsia" w:ascii="宋体" w:hAnsi="宋体" w:eastAsia="宋体"/>
                <w:color w:val="000000"/>
                <w:sz w:val="18"/>
                <w:szCs w:val="18"/>
              </w:rPr>
              <w:t>情形描述</w:t>
            </w:r>
          </w:p>
        </w:tc>
        <w:tc>
          <w:tcPr>
            <w:tcW w:w="5840" w:type="dxa"/>
            <w:tcBorders>
              <w:top w:val="single" w:color="000000" w:sz="4" w:space="0"/>
              <w:left w:val="single" w:color="000000" w:sz="4" w:space="0"/>
              <w:bottom w:val="single" w:color="000000" w:sz="4" w:space="0"/>
              <w:right w:val="single" w:color="000000" w:sz="4" w:space="0"/>
            </w:tcBorders>
            <w:vAlign w:val="top"/>
          </w:tcPr>
          <w:p w14:paraId="2FC92D10">
            <w:pPr>
              <w:wordWrap w:val="0"/>
              <w:autoSpaceDE w:val="0"/>
              <w:autoSpaceDN w:val="0"/>
              <w:spacing w:before="240" w:after="0" w:line="246" w:lineRule="exact"/>
              <w:ind w:firstLine="80"/>
              <w:jc w:val="both"/>
              <w:rPr>
                <w:sz w:val="18"/>
                <w:szCs w:val="18"/>
              </w:rPr>
            </w:pPr>
            <w:r>
              <w:rPr>
                <w:rFonts w:hint="eastAsia" w:ascii="宋体" w:hAnsi="宋体" w:eastAsia="宋体"/>
                <w:color w:val="000000"/>
                <w:sz w:val="18"/>
                <w:szCs w:val="18"/>
              </w:rPr>
              <w:t>按照要求改正的</w:t>
            </w:r>
          </w:p>
        </w:tc>
        <w:tc>
          <w:tcPr>
            <w:tcW w:w="1260" w:type="dxa"/>
            <w:vMerge w:val="restart"/>
            <w:tcBorders>
              <w:top w:val="single" w:color="000000" w:sz="4" w:space="0"/>
              <w:left w:val="single" w:color="000000" w:sz="4" w:space="0"/>
              <w:bottom w:val="single" w:color="000000" w:sz="4" w:space="0"/>
              <w:right w:val="single" w:color="000000" w:sz="4" w:space="0"/>
            </w:tcBorders>
            <w:vAlign w:val="top"/>
          </w:tcPr>
          <w:p w14:paraId="49951DB6">
            <w:pPr>
              <w:wordWrap w:val="0"/>
              <w:autoSpaceDE w:val="0"/>
              <w:autoSpaceDN w:val="0"/>
              <w:spacing w:before="0" w:after="0" w:line="272" w:lineRule="exact"/>
              <w:ind w:firstLine="0"/>
              <w:jc w:val="both"/>
              <w:rPr>
                <w:rFonts w:hint="eastAsia" w:ascii="宋体" w:hAnsi="宋体" w:eastAsia="宋体"/>
                <w:color w:val="000000"/>
                <w:sz w:val="18"/>
                <w:szCs w:val="18"/>
              </w:rPr>
            </w:pPr>
          </w:p>
          <w:p w14:paraId="0A149AA0">
            <w:pPr>
              <w:wordWrap w:val="0"/>
              <w:autoSpaceDE w:val="0"/>
              <w:autoSpaceDN w:val="0"/>
              <w:spacing w:before="247" w:after="0" w:line="272" w:lineRule="exact"/>
              <w:ind w:firstLine="220"/>
              <w:jc w:val="both"/>
              <w:rPr>
                <w:sz w:val="18"/>
                <w:szCs w:val="18"/>
              </w:rPr>
            </w:pPr>
            <w:r>
              <w:rPr>
                <w:rFonts w:hint="eastAsia" w:ascii="宋体" w:hAnsi="宋体" w:eastAsia="宋体"/>
                <w:color w:val="000000"/>
                <w:sz w:val="18"/>
                <w:szCs w:val="18"/>
              </w:rPr>
              <w:t>裁量幅度</w:t>
            </w:r>
          </w:p>
        </w:tc>
        <w:tc>
          <w:tcPr>
            <w:tcW w:w="5780" w:type="dxa"/>
            <w:tcBorders>
              <w:top w:val="single" w:color="000000" w:sz="4" w:space="0"/>
              <w:left w:val="single" w:color="000000" w:sz="4" w:space="0"/>
              <w:bottom w:val="single" w:color="000000" w:sz="4" w:space="0"/>
              <w:right w:val="single" w:color="000000" w:sz="4" w:space="0"/>
            </w:tcBorders>
            <w:vAlign w:val="top"/>
          </w:tcPr>
          <w:p w14:paraId="6E1279AE">
            <w:pPr>
              <w:wordWrap w:val="0"/>
              <w:autoSpaceDE w:val="0"/>
              <w:autoSpaceDN w:val="0"/>
              <w:spacing w:before="7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3</w:t>
            </w:r>
            <w:r>
              <w:rPr>
                <w:rFonts w:hint="eastAsia" w:ascii="宋体" w:hAnsi="宋体" w:eastAsia="宋体"/>
                <w:color w:val="000000"/>
                <w:sz w:val="18"/>
                <w:szCs w:val="18"/>
              </w:rPr>
              <w:t>万元以下罚款</w:t>
            </w:r>
          </w:p>
          <w:p w14:paraId="3D1C105E">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4BBA6CE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491CFB62">
            <w:pPr>
              <w:rPr>
                <w:sz w:val="18"/>
                <w:szCs w:val="18"/>
              </w:rPr>
            </w:pPr>
          </w:p>
        </w:tc>
        <w:tc>
          <w:tcPr>
            <w:tcW w:w="5840" w:type="dxa"/>
            <w:tcBorders>
              <w:top w:val="single" w:color="000000" w:sz="4" w:space="0"/>
              <w:left w:val="single" w:color="000000" w:sz="4" w:space="0"/>
              <w:bottom w:val="single" w:color="000000" w:sz="4" w:space="0"/>
              <w:right w:val="single" w:color="000000" w:sz="4" w:space="0"/>
            </w:tcBorders>
            <w:vAlign w:val="top"/>
          </w:tcPr>
          <w:p w14:paraId="254BD065">
            <w:pPr>
              <w:wordWrap w:val="0"/>
              <w:autoSpaceDE w:val="0"/>
              <w:autoSpaceDN w:val="0"/>
              <w:spacing w:before="200" w:after="0" w:line="246" w:lineRule="exact"/>
              <w:ind w:firstLine="80"/>
              <w:jc w:val="both"/>
              <w:rPr>
                <w:sz w:val="18"/>
                <w:szCs w:val="18"/>
              </w:rPr>
            </w:pPr>
            <w:r>
              <w:rPr>
                <w:rFonts w:hint="eastAsia" w:ascii="宋体" w:hAnsi="宋体" w:eastAsia="宋体"/>
                <w:color w:val="000000"/>
                <w:sz w:val="18"/>
                <w:szCs w:val="18"/>
              </w:rPr>
              <w:t>未按照要求改正的</w:t>
            </w:r>
          </w:p>
        </w:tc>
        <w:tc>
          <w:tcPr>
            <w:tcW w:w="1260" w:type="dxa"/>
            <w:vMerge w:val="continue"/>
            <w:tcBorders>
              <w:top w:val="single" w:color="000000" w:sz="4" w:space="0"/>
              <w:left w:val="single" w:color="000000" w:sz="4" w:space="0"/>
              <w:bottom w:val="single" w:color="000000" w:sz="4" w:space="0"/>
              <w:right w:val="single" w:color="000000" w:sz="4" w:space="0"/>
            </w:tcBorders>
          </w:tcPr>
          <w:p w14:paraId="63B3E382">
            <w:pPr>
              <w:rPr>
                <w:sz w:val="18"/>
                <w:szCs w:val="18"/>
              </w:rPr>
            </w:pPr>
          </w:p>
        </w:tc>
        <w:tc>
          <w:tcPr>
            <w:tcW w:w="5780" w:type="dxa"/>
            <w:tcBorders>
              <w:top w:val="single" w:color="000000" w:sz="4" w:space="0"/>
              <w:left w:val="single" w:color="000000" w:sz="4" w:space="0"/>
              <w:bottom w:val="single" w:color="000000" w:sz="4" w:space="0"/>
              <w:right w:val="single" w:color="000000" w:sz="4" w:space="0"/>
            </w:tcBorders>
            <w:vAlign w:val="top"/>
          </w:tcPr>
          <w:p w14:paraId="086E427F">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3</w:t>
            </w:r>
            <w:r>
              <w:rPr>
                <w:rFonts w:hint="eastAsia" w:ascii="宋体" w:hAnsi="宋体" w:eastAsia="宋体"/>
                <w:color w:val="000000"/>
                <w:sz w:val="18"/>
                <w:szCs w:val="18"/>
              </w:rPr>
              <w:t>万元以上</w:t>
            </w:r>
            <w:r>
              <w:rPr>
                <w:rFonts w:hint="eastAsia" w:ascii="Calibri" w:hAnsi="Calibri" w:eastAsia="Calibri"/>
                <w:color w:val="000000"/>
                <w:sz w:val="18"/>
                <w:szCs w:val="18"/>
              </w:rPr>
              <w:t>10</w:t>
            </w:r>
            <w:r>
              <w:rPr>
                <w:rFonts w:hint="eastAsia" w:ascii="宋体" w:hAnsi="宋体" w:eastAsia="宋体"/>
                <w:color w:val="000000"/>
                <w:sz w:val="18"/>
                <w:szCs w:val="18"/>
              </w:rPr>
              <w:t>万元以下罚款</w:t>
            </w:r>
          </w:p>
          <w:p w14:paraId="10B6097A">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23C28D8F">
      <w:pPr>
        <w:rPr>
          <w:sz w:val="18"/>
          <w:szCs w:val="18"/>
        </w:rPr>
      </w:pPr>
    </w:p>
    <w:p w14:paraId="697BEED4">
      <w:pPr>
        <w:rPr>
          <w:sz w:val="18"/>
          <w:szCs w:val="18"/>
        </w:rPr>
      </w:pPr>
    </w:p>
    <w:p w14:paraId="66371738">
      <w:pPr>
        <w:rPr>
          <w:sz w:val="18"/>
          <w:szCs w:val="18"/>
        </w:rPr>
      </w:pPr>
    </w:p>
    <w:tbl>
      <w:tblPr>
        <w:tblStyle w:val="15"/>
        <w:tblW w:w="0" w:type="auto"/>
        <w:tblInd w:w="16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0"/>
        <w:gridCol w:w="5841"/>
        <w:gridCol w:w="1160"/>
        <w:gridCol w:w="5627"/>
      </w:tblGrid>
      <w:tr w14:paraId="25F90C8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32B16D9">
            <w:pPr>
              <w:wordWrap w:val="0"/>
              <w:autoSpaceDE w:val="0"/>
              <w:autoSpaceDN w:val="0"/>
              <w:spacing w:before="60" w:after="0" w:line="259" w:lineRule="exact"/>
              <w:jc w:val="center"/>
              <w:rPr>
                <w:sz w:val="18"/>
                <w:szCs w:val="18"/>
              </w:rPr>
            </w:pPr>
            <w:r>
              <w:rPr>
                <w:rFonts w:hint="eastAsia" w:ascii="宋体" w:hAnsi="宋体" w:eastAsia="宋体"/>
                <w:color w:val="000000"/>
                <w:sz w:val="18"/>
                <w:szCs w:val="18"/>
              </w:rPr>
              <w:t>序号</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697C0705">
            <w:pPr>
              <w:wordWrap w:val="0"/>
              <w:autoSpaceDE w:val="0"/>
              <w:autoSpaceDN w:val="0"/>
              <w:spacing w:before="80" w:after="0" w:line="259" w:lineRule="exact"/>
              <w:ind w:firstLine="40"/>
              <w:jc w:val="both"/>
              <w:rPr>
                <w:sz w:val="18"/>
                <w:szCs w:val="18"/>
              </w:rPr>
            </w:pPr>
            <w:r>
              <w:rPr>
                <w:rFonts w:hint="eastAsia" w:ascii="Calibri" w:hAnsi="Calibri" w:eastAsia="Calibri"/>
                <w:color w:val="000000"/>
                <w:sz w:val="18"/>
                <w:szCs w:val="18"/>
              </w:rPr>
              <w:t>4</w:t>
            </w:r>
          </w:p>
        </w:tc>
      </w:tr>
      <w:tr w14:paraId="636DE3D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58A3EEF">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编号</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030543AA">
            <w:pPr>
              <w:wordWrap w:val="0"/>
              <w:autoSpaceDE w:val="0"/>
              <w:autoSpaceDN w:val="0"/>
              <w:spacing w:before="20" w:after="0" w:line="259" w:lineRule="exact"/>
              <w:ind w:firstLine="80"/>
              <w:jc w:val="both"/>
              <w:rPr>
                <w:sz w:val="18"/>
                <w:szCs w:val="18"/>
              </w:rPr>
            </w:pPr>
            <w:r>
              <w:rPr>
                <w:rFonts w:hint="eastAsia" w:ascii="Calibri" w:hAnsi="Calibri" w:eastAsia="Calibri"/>
                <w:color w:val="000000"/>
                <w:sz w:val="18"/>
                <w:szCs w:val="18"/>
              </w:rPr>
              <w:t>320280004000</w:t>
            </w:r>
          </w:p>
        </w:tc>
      </w:tr>
      <w:tr w14:paraId="70789CB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372958E0">
            <w:pPr>
              <w:wordWrap w:val="0"/>
              <w:autoSpaceDE w:val="0"/>
              <w:autoSpaceDN w:val="0"/>
              <w:spacing w:before="0" w:after="0" w:line="259" w:lineRule="exact"/>
              <w:jc w:val="center"/>
              <w:rPr>
                <w:sz w:val="18"/>
                <w:szCs w:val="18"/>
              </w:rPr>
            </w:pPr>
            <w:r>
              <w:rPr>
                <w:rFonts w:hint="eastAsia" w:ascii="宋体" w:hAnsi="宋体" w:eastAsia="宋体"/>
                <w:color w:val="000000"/>
                <w:sz w:val="18"/>
                <w:szCs w:val="18"/>
              </w:rPr>
              <w:t>行为名称</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0B1CC27D">
            <w:pPr>
              <w:wordWrap w:val="0"/>
              <w:autoSpaceDE w:val="0"/>
              <w:autoSpaceDN w:val="0"/>
              <w:spacing w:before="20" w:after="0" w:line="259" w:lineRule="exact"/>
              <w:ind w:firstLine="100"/>
              <w:jc w:val="both"/>
              <w:rPr>
                <w:sz w:val="18"/>
                <w:szCs w:val="18"/>
              </w:rPr>
            </w:pPr>
            <w:r>
              <w:rPr>
                <w:rFonts w:hint="eastAsia" w:ascii="宋体" w:hAnsi="宋体" w:eastAsia="宋体"/>
                <w:color w:val="000000"/>
                <w:sz w:val="18"/>
                <w:szCs w:val="18"/>
              </w:rPr>
              <w:t>对人民防空工程设计单位未按照工程建设强制性标准进行设计的处罚</w:t>
            </w:r>
          </w:p>
        </w:tc>
      </w:tr>
      <w:tr w14:paraId="06D15B6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56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594A0E1">
            <w:pPr>
              <w:wordWrap w:val="0"/>
              <w:autoSpaceDE w:val="0"/>
              <w:autoSpaceDN w:val="0"/>
              <w:spacing w:before="0" w:after="0" w:line="259" w:lineRule="exact"/>
              <w:ind w:firstLine="0"/>
              <w:jc w:val="both"/>
              <w:rPr>
                <w:rFonts w:hint="eastAsia" w:ascii="宋体" w:hAnsi="宋体" w:eastAsia="宋体"/>
                <w:color w:val="000000"/>
                <w:sz w:val="18"/>
                <w:szCs w:val="18"/>
              </w:rPr>
            </w:pPr>
          </w:p>
          <w:p w14:paraId="0D22DD32">
            <w:pPr>
              <w:wordWrap w:val="0"/>
              <w:autoSpaceDE w:val="0"/>
              <w:autoSpaceDN w:val="0"/>
              <w:spacing w:before="0" w:after="0" w:line="259" w:lineRule="exact"/>
              <w:ind w:firstLine="0"/>
              <w:jc w:val="both"/>
              <w:rPr>
                <w:rFonts w:hint="eastAsia" w:ascii="宋体" w:hAnsi="宋体" w:eastAsia="宋体"/>
                <w:color w:val="000000"/>
                <w:sz w:val="18"/>
                <w:szCs w:val="18"/>
              </w:rPr>
            </w:pPr>
          </w:p>
          <w:p w14:paraId="479B1555">
            <w:pPr>
              <w:wordWrap w:val="0"/>
              <w:autoSpaceDE w:val="0"/>
              <w:autoSpaceDN w:val="0"/>
              <w:spacing w:before="0" w:after="0" w:line="259" w:lineRule="exact"/>
              <w:ind w:firstLine="0"/>
              <w:jc w:val="both"/>
              <w:rPr>
                <w:rFonts w:hint="eastAsia" w:ascii="宋体" w:hAnsi="宋体" w:eastAsia="宋体"/>
                <w:color w:val="000000"/>
                <w:sz w:val="18"/>
                <w:szCs w:val="18"/>
              </w:rPr>
            </w:pPr>
          </w:p>
          <w:p w14:paraId="3AF60F29">
            <w:pPr>
              <w:wordWrap w:val="0"/>
              <w:autoSpaceDE w:val="0"/>
              <w:autoSpaceDN w:val="0"/>
              <w:spacing w:before="0" w:after="0" w:line="259" w:lineRule="exact"/>
              <w:ind w:firstLine="0"/>
              <w:jc w:val="both"/>
              <w:rPr>
                <w:rFonts w:hint="eastAsia" w:ascii="宋体" w:hAnsi="宋体" w:eastAsia="宋体"/>
                <w:color w:val="000000"/>
                <w:sz w:val="18"/>
                <w:szCs w:val="18"/>
              </w:rPr>
            </w:pPr>
          </w:p>
          <w:p w14:paraId="0E831715">
            <w:pPr>
              <w:wordWrap w:val="0"/>
              <w:autoSpaceDE w:val="0"/>
              <w:autoSpaceDN w:val="0"/>
              <w:spacing w:before="0" w:after="0" w:line="259" w:lineRule="exact"/>
              <w:ind w:firstLine="0"/>
              <w:jc w:val="both"/>
              <w:rPr>
                <w:rFonts w:hint="eastAsia" w:ascii="宋体" w:hAnsi="宋体" w:eastAsia="宋体"/>
                <w:color w:val="000000"/>
                <w:sz w:val="18"/>
                <w:szCs w:val="18"/>
              </w:rPr>
            </w:pPr>
          </w:p>
          <w:p w14:paraId="0B345559">
            <w:pPr>
              <w:wordWrap w:val="0"/>
              <w:autoSpaceDE w:val="0"/>
              <w:autoSpaceDN w:val="0"/>
              <w:spacing w:before="0" w:after="0" w:line="259" w:lineRule="exact"/>
              <w:ind w:firstLine="0"/>
              <w:jc w:val="both"/>
              <w:rPr>
                <w:rFonts w:hint="eastAsia" w:ascii="宋体" w:hAnsi="宋体" w:eastAsia="宋体"/>
                <w:color w:val="000000"/>
                <w:sz w:val="18"/>
                <w:szCs w:val="18"/>
              </w:rPr>
            </w:pPr>
          </w:p>
          <w:p w14:paraId="2836DC47">
            <w:pPr>
              <w:wordWrap w:val="0"/>
              <w:autoSpaceDE w:val="0"/>
              <w:autoSpaceDN w:val="0"/>
              <w:spacing w:before="123" w:after="0" w:line="259" w:lineRule="exact"/>
              <w:ind w:firstLine="200"/>
              <w:jc w:val="both"/>
              <w:rPr>
                <w:sz w:val="18"/>
                <w:szCs w:val="18"/>
              </w:rPr>
            </w:pPr>
            <w:r>
              <w:rPr>
                <w:rFonts w:hint="eastAsia" w:ascii="宋体" w:hAnsi="宋体" w:eastAsia="宋体"/>
                <w:color w:val="000000"/>
                <w:sz w:val="18"/>
                <w:szCs w:val="18"/>
              </w:rPr>
              <w:t>法律依据</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366D9589">
            <w:pPr>
              <w:wordWrap w:val="0"/>
              <w:autoSpaceDE w:val="0"/>
              <w:autoSpaceDN w:val="0"/>
              <w:spacing w:before="60" w:after="0" w:line="259"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355C9CA1">
            <w:pPr>
              <w:wordWrap w:val="0"/>
              <w:autoSpaceDE w:val="0"/>
              <w:autoSpaceDN w:val="0"/>
              <w:spacing w:before="0" w:after="0" w:line="259" w:lineRule="exact"/>
              <w:ind w:firstLine="520"/>
              <w:jc w:val="both"/>
              <w:rPr>
                <w:sz w:val="18"/>
                <w:szCs w:val="18"/>
              </w:rPr>
            </w:pPr>
            <w:r>
              <w:rPr>
                <w:rFonts w:hint="eastAsia" w:ascii="宋体" w:hAnsi="宋体" w:eastAsia="宋体"/>
                <w:color w:val="000000"/>
                <w:sz w:val="18"/>
                <w:szCs w:val="18"/>
              </w:rPr>
              <w:t>第十九条第一款 勘察、设计单位必须按照工程建设强制性标准进行勘察、设计，并对其勘察、设计的质量负责。</w:t>
            </w:r>
          </w:p>
          <w:p w14:paraId="70851245">
            <w:pPr>
              <w:wordWrap w:val="0"/>
              <w:autoSpaceDE w:val="0"/>
              <w:autoSpaceDN w:val="0"/>
              <w:spacing w:before="0" w:after="0" w:line="259" w:lineRule="exact"/>
              <w:ind w:firstLine="500"/>
              <w:jc w:val="both"/>
              <w:rPr>
                <w:sz w:val="18"/>
                <w:szCs w:val="18"/>
              </w:rPr>
            </w:pPr>
            <w:r>
              <w:rPr>
                <w:rFonts w:hint="eastAsia" w:ascii="宋体" w:hAnsi="宋体" w:eastAsia="宋体"/>
                <w:color w:val="000000"/>
                <w:sz w:val="18"/>
                <w:szCs w:val="18"/>
              </w:rPr>
              <w:t>第六十三条 违反本条例规定，有下列行为之一的，责令改正，处</w:t>
            </w:r>
            <w:r>
              <w:rPr>
                <w:rFonts w:hint="eastAsia" w:ascii="Calibri" w:hAnsi="Calibri" w:eastAsia="Calibri"/>
                <w:color w:val="000000"/>
                <w:sz w:val="18"/>
                <w:szCs w:val="18"/>
              </w:rPr>
              <w:t>10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万元以下的罚款：</w:t>
            </w:r>
          </w:p>
          <w:p w14:paraId="76C41D50">
            <w:pPr>
              <w:wordWrap w:val="0"/>
              <w:autoSpaceDE w:val="0"/>
              <w:autoSpaceDN w:val="0"/>
              <w:spacing w:before="0" w:after="0" w:line="259" w:lineRule="exact"/>
              <w:ind w:firstLine="560"/>
              <w:jc w:val="both"/>
              <w:rPr>
                <w:sz w:val="18"/>
                <w:szCs w:val="18"/>
              </w:rPr>
            </w:pPr>
            <w:r>
              <w:rPr>
                <w:rFonts w:hint="eastAsia" w:ascii="宋体" w:hAnsi="宋体" w:eastAsia="宋体"/>
                <w:color w:val="000000"/>
                <w:sz w:val="18"/>
                <w:szCs w:val="18"/>
              </w:rPr>
              <w:t>（四）设计单位未按照工程建设强制性标准进行设计的。</w:t>
            </w:r>
          </w:p>
          <w:p w14:paraId="427CCADA">
            <w:pPr>
              <w:wordWrap w:val="0"/>
              <w:autoSpaceDE w:val="0"/>
              <w:autoSpaceDN w:val="0"/>
              <w:spacing w:before="0" w:after="0" w:line="259" w:lineRule="exact"/>
              <w:ind w:firstLine="500"/>
              <w:jc w:val="both"/>
              <w:rPr>
                <w:sz w:val="18"/>
                <w:szCs w:val="18"/>
              </w:rPr>
            </w:pPr>
            <w:r>
              <w:rPr>
                <w:rFonts w:hint="eastAsia" w:ascii="宋体" w:hAnsi="宋体" w:eastAsia="宋体"/>
                <w:color w:val="000000"/>
                <w:sz w:val="18"/>
                <w:szCs w:val="18"/>
              </w:rPr>
              <w:t>有前款所列行为，造成工程质量事故的，责令停业整顿，降低资质等级；情节严重的，吊销资质证书；造成损失的，依法承担赔偿责任。</w:t>
            </w:r>
          </w:p>
          <w:p w14:paraId="5EECE0D1">
            <w:pPr>
              <w:wordWrap w:val="0"/>
              <w:autoSpaceDE w:val="0"/>
              <w:autoSpaceDN w:val="0"/>
              <w:spacing w:before="0" w:after="0" w:line="259" w:lineRule="exact"/>
              <w:ind w:left="100" w:right="80" w:firstLine="42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2F6D4CA6">
            <w:pPr>
              <w:wordWrap w:val="0"/>
              <w:autoSpaceDE w:val="0"/>
              <w:autoSpaceDN w:val="0"/>
              <w:spacing w:before="50" w:after="0" w:line="259" w:lineRule="exact"/>
              <w:ind w:left="100" w:right="60" w:firstLine="44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722CEF6F">
            <w:pPr>
              <w:wordWrap w:val="0"/>
              <w:autoSpaceDE w:val="0"/>
              <w:autoSpaceDN w:val="0"/>
              <w:spacing w:before="0" w:after="0" w:line="259"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6A7B3CE5">
            <w:pPr>
              <w:wordWrap w:val="0"/>
              <w:autoSpaceDE w:val="0"/>
              <w:autoSpaceDN w:val="0"/>
              <w:spacing w:before="0" w:after="0" w:line="259" w:lineRule="exact"/>
              <w:ind w:left="100" w:right="4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36644DB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397A5ADA">
            <w:pPr>
              <w:wordWrap w:val="0"/>
              <w:autoSpaceDE w:val="0"/>
              <w:autoSpaceDN w:val="0"/>
              <w:spacing w:before="0" w:after="0" w:line="259" w:lineRule="exact"/>
              <w:ind w:firstLine="200"/>
              <w:jc w:val="both"/>
              <w:rPr>
                <w:sz w:val="18"/>
                <w:szCs w:val="18"/>
              </w:rPr>
            </w:pPr>
            <w:r>
              <w:rPr>
                <w:rFonts w:hint="eastAsia" w:ascii="宋体" w:hAnsi="宋体" w:eastAsia="宋体"/>
                <w:color w:val="000000"/>
                <w:sz w:val="18"/>
                <w:szCs w:val="18"/>
              </w:rPr>
              <w:t>处罚种类</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00ABA481">
            <w:pPr>
              <w:wordWrap w:val="0"/>
              <w:autoSpaceDE w:val="0"/>
              <w:autoSpaceDN w:val="0"/>
              <w:spacing w:before="20" w:after="0" w:line="259" w:lineRule="exact"/>
              <w:ind w:firstLine="60"/>
              <w:jc w:val="both"/>
              <w:rPr>
                <w:sz w:val="18"/>
                <w:szCs w:val="18"/>
              </w:rPr>
            </w:pPr>
            <w:r>
              <w:rPr>
                <w:rFonts w:hint="eastAsia" w:ascii="宋体" w:hAnsi="宋体" w:eastAsia="宋体"/>
                <w:color w:val="000000"/>
                <w:sz w:val="18"/>
                <w:szCs w:val="18"/>
              </w:rPr>
              <w:t>罚款</w:t>
            </w:r>
          </w:p>
        </w:tc>
      </w:tr>
      <w:tr w14:paraId="1B7EDBB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4120" w:type="dxa"/>
            <w:gridSpan w:val="4"/>
            <w:tcBorders>
              <w:top w:val="single" w:color="000000" w:sz="4" w:space="0"/>
              <w:left w:val="single" w:color="000000" w:sz="4" w:space="0"/>
              <w:bottom w:val="single" w:color="000000" w:sz="4" w:space="0"/>
              <w:right w:val="single" w:color="000000" w:sz="4" w:space="0"/>
            </w:tcBorders>
            <w:vAlign w:val="top"/>
          </w:tcPr>
          <w:p w14:paraId="2AD151A2">
            <w:pPr>
              <w:wordWrap w:val="0"/>
              <w:autoSpaceDE w:val="0"/>
              <w:autoSpaceDN w:val="0"/>
              <w:spacing w:before="40" w:after="0" w:line="259" w:lineRule="exact"/>
              <w:jc w:val="center"/>
              <w:rPr>
                <w:sz w:val="18"/>
                <w:szCs w:val="18"/>
              </w:rPr>
            </w:pPr>
            <w:r>
              <w:rPr>
                <w:rFonts w:hint="eastAsia" w:ascii="宋体" w:hAnsi="宋体" w:eastAsia="宋体"/>
                <w:color w:val="000000"/>
                <w:sz w:val="18"/>
                <w:szCs w:val="18"/>
              </w:rPr>
              <w:t>自由裁量基准</w:t>
            </w:r>
          </w:p>
        </w:tc>
      </w:tr>
      <w:tr w14:paraId="23A782D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82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70EBD5DA">
            <w:pPr>
              <w:wordWrap w:val="0"/>
              <w:autoSpaceDE w:val="0"/>
              <w:autoSpaceDN w:val="0"/>
              <w:spacing w:before="0" w:after="0" w:line="259" w:lineRule="exact"/>
              <w:ind w:firstLine="0"/>
              <w:jc w:val="both"/>
              <w:rPr>
                <w:rFonts w:hint="eastAsia" w:ascii="宋体" w:hAnsi="宋体" w:eastAsia="宋体"/>
                <w:color w:val="000000"/>
                <w:sz w:val="18"/>
                <w:szCs w:val="18"/>
              </w:rPr>
            </w:pPr>
          </w:p>
          <w:p w14:paraId="2CED7A65">
            <w:pPr>
              <w:wordWrap w:val="0"/>
              <w:autoSpaceDE w:val="0"/>
              <w:autoSpaceDN w:val="0"/>
              <w:spacing w:before="0" w:after="0" w:line="259" w:lineRule="exact"/>
              <w:ind w:firstLine="0"/>
              <w:jc w:val="both"/>
              <w:rPr>
                <w:rFonts w:hint="eastAsia" w:ascii="宋体" w:hAnsi="宋体" w:eastAsia="宋体"/>
                <w:color w:val="000000"/>
                <w:sz w:val="18"/>
                <w:szCs w:val="18"/>
              </w:rPr>
            </w:pPr>
          </w:p>
          <w:p w14:paraId="60469747">
            <w:pPr>
              <w:wordWrap w:val="0"/>
              <w:autoSpaceDE w:val="0"/>
              <w:autoSpaceDN w:val="0"/>
              <w:spacing w:before="0" w:after="0" w:line="259" w:lineRule="exact"/>
              <w:ind w:firstLine="0"/>
              <w:jc w:val="both"/>
              <w:rPr>
                <w:rFonts w:hint="eastAsia" w:ascii="宋体" w:hAnsi="宋体" w:eastAsia="宋体"/>
                <w:color w:val="000000"/>
                <w:sz w:val="18"/>
                <w:szCs w:val="18"/>
              </w:rPr>
            </w:pPr>
          </w:p>
          <w:p w14:paraId="34BCF38F">
            <w:pPr>
              <w:wordWrap w:val="0"/>
              <w:autoSpaceDE w:val="0"/>
              <w:autoSpaceDN w:val="0"/>
              <w:spacing w:before="0" w:after="0" w:line="259" w:lineRule="exact"/>
              <w:ind w:firstLine="0"/>
              <w:jc w:val="both"/>
              <w:rPr>
                <w:rFonts w:hint="eastAsia" w:ascii="宋体" w:hAnsi="宋体" w:eastAsia="宋体"/>
                <w:color w:val="000000"/>
                <w:sz w:val="18"/>
                <w:szCs w:val="18"/>
              </w:rPr>
            </w:pPr>
          </w:p>
          <w:p w14:paraId="07D12A11">
            <w:pPr>
              <w:wordWrap w:val="0"/>
              <w:autoSpaceDE w:val="0"/>
              <w:autoSpaceDN w:val="0"/>
              <w:spacing w:before="202" w:after="0" w:line="259" w:lineRule="exact"/>
              <w:jc w:val="center"/>
              <w:rPr>
                <w:sz w:val="18"/>
                <w:szCs w:val="18"/>
              </w:rPr>
            </w:pPr>
            <w:r>
              <w:rPr>
                <w:rFonts w:hint="eastAsia" w:ascii="宋体" w:hAnsi="宋体" w:eastAsia="宋体"/>
                <w:color w:val="000000"/>
                <w:sz w:val="18"/>
                <w:szCs w:val="18"/>
              </w:rPr>
              <w:t>情形描述</w:t>
            </w:r>
          </w:p>
        </w:tc>
        <w:tc>
          <w:tcPr>
            <w:tcW w:w="5980" w:type="dxa"/>
            <w:tcBorders>
              <w:top w:val="single" w:color="000000" w:sz="4" w:space="0"/>
              <w:left w:val="single" w:color="000000" w:sz="4" w:space="0"/>
              <w:bottom w:val="single" w:color="000000" w:sz="4" w:space="0"/>
              <w:right w:val="single" w:color="000000" w:sz="4" w:space="0"/>
            </w:tcBorders>
            <w:vAlign w:val="top"/>
          </w:tcPr>
          <w:p w14:paraId="02AE61ED">
            <w:pPr>
              <w:wordWrap w:val="0"/>
              <w:autoSpaceDE w:val="0"/>
              <w:autoSpaceDN w:val="0"/>
              <w:spacing w:before="0" w:after="0" w:line="259" w:lineRule="exact"/>
              <w:ind w:firstLine="0"/>
              <w:jc w:val="both"/>
              <w:rPr>
                <w:rFonts w:hint="eastAsia" w:ascii="宋体" w:hAnsi="宋体" w:eastAsia="宋体"/>
                <w:color w:val="000000"/>
                <w:sz w:val="18"/>
                <w:szCs w:val="18"/>
              </w:rPr>
            </w:pPr>
          </w:p>
          <w:p w14:paraId="20F5D3CD">
            <w:pPr>
              <w:wordWrap w:val="0"/>
              <w:autoSpaceDE w:val="0"/>
              <w:autoSpaceDN w:val="0"/>
              <w:spacing w:before="80" w:after="0" w:line="259" w:lineRule="exact"/>
              <w:ind w:firstLine="80"/>
              <w:jc w:val="both"/>
              <w:rPr>
                <w:sz w:val="18"/>
                <w:szCs w:val="18"/>
              </w:rPr>
            </w:pPr>
            <w:r>
              <w:rPr>
                <w:rFonts w:hint="eastAsia" w:ascii="宋体" w:hAnsi="宋体" w:eastAsia="宋体"/>
                <w:color w:val="000000"/>
                <w:sz w:val="18"/>
                <w:szCs w:val="18"/>
              </w:rPr>
              <w:t>施工单位未开始施工的</w:t>
            </w:r>
          </w:p>
        </w:tc>
        <w:tc>
          <w:tcPr>
            <w:tcW w:w="1180" w:type="dxa"/>
            <w:vMerge w:val="restart"/>
            <w:tcBorders>
              <w:top w:val="single" w:color="000000" w:sz="4" w:space="0"/>
              <w:left w:val="single" w:color="000000" w:sz="4" w:space="0"/>
              <w:bottom w:val="single" w:color="000000" w:sz="4" w:space="0"/>
              <w:right w:val="single" w:color="000000" w:sz="4" w:space="0"/>
            </w:tcBorders>
            <w:vAlign w:val="top"/>
          </w:tcPr>
          <w:p w14:paraId="6099BADE">
            <w:pPr>
              <w:wordWrap w:val="0"/>
              <w:autoSpaceDE w:val="0"/>
              <w:autoSpaceDN w:val="0"/>
              <w:spacing w:before="0" w:after="0" w:line="259" w:lineRule="exact"/>
              <w:ind w:firstLine="0"/>
              <w:jc w:val="both"/>
              <w:rPr>
                <w:rFonts w:hint="eastAsia" w:ascii="宋体" w:hAnsi="宋体" w:eastAsia="宋体"/>
                <w:color w:val="000000"/>
                <w:sz w:val="18"/>
                <w:szCs w:val="18"/>
              </w:rPr>
            </w:pPr>
          </w:p>
          <w:p w14:paraId="15A7D27C">
            <w:pPr>
              <w:wordWrap w:val="0"/>
              <w:autoSpaceDE w:val="0"/>
              <w:autoSpaceDN w:val="0"/>
              <w:spacing w:before="0" w:after="0" w:line="259" w:lineRule="exact"/>
              <w:ind w:firstLine="0"/>
              <w:jc w:val="both"/>
              <w:rPr>
                <w:rFonts w:hint="eastAsia" w:ascii="宋体" w:hAnsi="宋体" w:eastAsia="宋体"/>
                <w:color w:val="000000"/>
                <w:sz w:val="18"/>
                <w:szCs w:val="18"/>
              </w:rPr>
            </w:pPr>
          </w:p>
          <w:p w14:paraId="6A56AA21">
            <w:pPr>
              <w:wordWrap w:val="0"/>
              <w:autoSpaceDE w:val="0"/>
              <w:autoSpaceDN w:val="0"/>
              <w:spacing w:before="0" w:after="0" w:line="259" w:lineRule="exact"/>
              <w:ind w:firstLine="0"/>
              <w:jc w:val="both"/>
              <w:rPr>
                <w:rFonts w:hint="eastAsia" w:ascii="宋体" w:hAnsi="宋体" w:eastAsia="宋体"/>
                <w:color w:val="000000"/>
                <w:sz w:val="18"/>
                <w:szCs w:val="18"/>
              </w:rPr>
            </w:pPr>
          </w:p>
          <w:p w14:paraId="7505C38A">
            <w:pPr>
              <w:wordWrap w:val="0"/>
              <w:autoSpaceDE w:val="0"/>
              <w:autoSpaceDN w:val="0"/>
              <w:spacing w:before="0" w:after="0" w:line="259" w:lineRule="exact"/>
              <w:ind w:firstLine="0"/>
              <w:jc w:val="both"/>
              <w:rPr>
                <w:rFonts w:hint="eastAsia" w:ascii="宋体" w:hAnsi="宋体" w:eastAsia="宋体"/>
                <w:color w:val="000000"/>
                <w:sz w:val="18"/>
                <w:szCs w:val="18"/>
              </w:rPr>
            </w:pPr>
          </w:p>
          <w:p w14:paraId="785192F3">
            <w:pPr>
              <w:wordWrap w:val="0"/>
              <w:autoSpaceDE w:val="0"/>
              <w:autoSpaceDN w:val="0"/>
              <w:spacing w:before="222" w:after="0" w:line="259" w:lineRule="exact"/>
              <w:ind w:firstLine="180"/>
              <w:jc w:val="both"/>
              <w:rPr>
                <w:sz w:val="18"/>
                <w:szCs w:val="18"/>
              </w:rPr>
            </w:pPr>
            <w:r>
              <w:rPr>
                <w:rFonts w:hint="eastAsia" w:ascii="宋体" w:hAnsi="宋体" w:eastAsia="宋体"/>
                <w:color w:val="000000"/>
                <w:sz w:val="18"/>
                <w:szCs w:val="18"/>
              </w:rPr>
              <w:t>裁量幅度</w:t>
            </w:r>
          </w:p>
        </w:tc>
        <w:tc>
          <w:tcPr>
            <w:tcW w:w="5760" w:type="dxa"/>
            <w:tcBorders>
              <w:top w:val="single" w:color="000000" w:sz="4" w:space="0"/>
              <w:left w:val="single" w:color="000000" w:sz="4" w:space="0"/>
              <w:bottom w:val="single" w:color="000000" w:sz="4" w:space="0"/>
              <w:right w:val="single" w:color="000000" w:sz="4" w:space="0"/>
            </w:tcBorders>
            <w:vAlign w:val="top"/>
          </w:tcPr>
          <w:p w14:paraId="2EBC66DD">
            <w:pPr>
              <w:wordWrap w:val="0"/>
              <w:autoSpaceDE w:val="0"/>
              <w:autoSpaceDN w:val="0"/>
              <w:spacing w:before="0" w:after="0" w:line="259" w:lineRule="exact"/>
              <w:ind w:firstLine="120"/>
              <w:jc w:val="both"/>
              <w:rPr>
                <w:sz w:val="18"/>
                <w:szCs w:val="18"/>
              </w:rPr>
            </w:pPr>
            <w:r>
              <w:rPr>
                <w:rFonts w:hint="eastAsia" w:ascii="宋体" w:hAnsi="宋体" w:eastAsia="宋体"/>
                <w:color w:val="000000"/>
                <w:sz w:val="18"/>
                <w:szCs w:val="18"/>
              </w:rPr>
              <w:t>处</w:t>
            </w:r>
            <w:r>
              <w:rPr>
                <w:rFonts w:hint="eastAsia" w:ascii="Calibri" w:hAnsi="Calibri" w:eastAsia="Calibri"/>
                <w:color w:val="000000"/>
                <w:sz w:val="18"/>
                <w:szCs w:val="18"/>
              </w:rPr>
              <w:t>10</w:t>
            </w:r>
            <w:r>
              <w:rPr>
                <w:rFonts w:hint="eastAsia" w:ascii="宋体" w:hAnsi="宋体" w:eastAsia="宋体"/>
                <w:color w:val="000000"/>
                <w:sz w:val="18"/>
                <w:szCs w:val="18"/>
              </w:rPr>
              <w:t>万以上</w:t>
            </w:r>
            <w:r>
              <w:rPr>
                <w:rFonts w:hint="eastAsia" w:ascii="Calibri" w:hAnsi="Calibri" w:eastAsia="Calibri"/>
                <w:color w:val="000000"/>
                <w:sz w:val="18"/>
                <w:szCs w:val="18"/>
              </w:rPr>
              <w:t>15</w:t>
            </w:r>
            <w:r>
              <w:rPr>
                <w:rFonts w:hint="eastAsia" w:ascii="宋体" w:hAnsi="宋体" w:eastAsia="宋体"/>
                <w:color w:val="000000"/>
                <w:sz w:val="18"/>
                <w:szCs w:val="18"/>
              </w:rPr>
              <w:t>万以下的罚款</w:t>
            </w:r>
          </w:p>
          <w:p w14:paraId="5EED3828">
            <w:pPr>
              <w:wordWrap w:val="0"/>
              <w:autoSpaceDE w:val="0"/>
              <w:autoSpaceDN w:val="0"/>
              <w:spacing w:before="0" w:after="0" w:line="250" w:lineRule="exact"/>
              <w:ind w:left="140" w:right="60" w:hanging="20"/>
              <w:jc w:val="both"/>
              <w:rPr>
                <w:sz w:val="18"/>
                <w:szCs w:val="18"/>
              </w:rPr>
            </w:pPr>
            <w:r>
              <w:rPr>
                <w:rFonts w:hint="eastAsia" w:ascii="宋体" w:hAnsi="宋体" w:eastAsia="宋体"/>
                <w:color w:val="000000"/>
                <w:sz w:val="18"/>
                <w:szCs w:val="18"/>
              </w:rPr>
              <w:t>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7</w:t>
            </w:r>
            <w:r>
              <w:rPr>
                <w:rFonts w:hint="eastAsia" w:ascii="宋体" w:hAnsi="宋体" w:eastAsia="宋体"/>
                <w:color w:val="000000"/>
                <w:sz w:val="18"/>
                <w:szCs w:val="18"/>
              </w:rPr>
              <w:t>％以下的罚款</w:t>
            </w:r>
          </w:p>
        </w:tc>
      </w:tr>
      <w:tr w14:paraId="685569B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88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6F2A0023">
            <w:pPr>
              <w:rPr>
                <w:sz w:val="18"/>
                <w:szCs w:val="18"/>
              </w:rPr>
            </w:pPr>
          </w:p>
        </w:tc>
        <w:tc>
          <w:tcPr>
            <w:tcW w:w="5980" w:type="dxa"/>
            <w:tcBorders>
              <w:top w:val="single" w:color="000000" w:sz="4" w:space="0"/>
              <w:left w:val="single" w:color="000000" w:sz="4" w:space="0"/>
              <w:bottom w:val="single" w:color="000000" w:sz="4" w:space="0"/>
              <w:right w:val="single" w:color="000000" w:sz="4" w:space="0"/>
            </w:tcBorders>
            <w:vAlign w:val="top"/>
          </w:tcPr>
          <w:p w14:paraId="34A221F3">
            <w:pPr>
              <w:wordWrap w:val="0"/>
              <w:autoSpaceDE w:val="0"/>
              <w:autoSpaceDN w:val="0"/>
              <w:spacing w:before="0" w:after="0" w:line="259" w:lineRule="exact"/>
              <w:ind w:firstLine="0"/>
              <w:jc w:val="both"/>
              <w:rPr>
                <w:rFonts w:hint="eastAsia" w:ascii="宋体" w:hAnsi="宋体" w:eastAsia="宋体"/>
                <w:color w:val="000000"/>
                <w:sz w:val="18"/>
                <w:szCs w:val="18"/>
              </w:rPr>
            </w:pPr>
          </w:p>
          <w:p w14:paraId="52194F54">
            <w:pPr>
              <w:wordWrap w:val="0"/>
              <w:autoSpaceDE w:val="0"/>
              <w:autoSpaceDN w:val="0"/>
              <w:spacing w:before="100" w:after="0" w:line="259" w:lineRule="exact"/>
              <w:ind w:firstLine="80"/>
              <w:jc w:val="both"/>
              <w:rPr>
                <w:sz w:val="18"/>
                <w:szCs w:val="18"/>
              </w:rPr>
            </w:pPr>
            <w:r>
              <w:rPr>
                <w:rFonts w:hint="eastAsia" w:ascii="宋体" w:hAnsi="宋体" w:eastAsia="宋体"/>
                <w:color w:val="000000"/>
                <w:sz w:val="18"/>
                <w:szCs w:val="18"/>
              </w:rPr>
              <w:t>施工单位开始施工，未发生安全事故的</w:t>
            </w:r>
          </w:p>
        </w:tc>
        <w:tc>
          <w:tcPr>
            <w:tcW w:w="1180" w:type="dxa"/>
            <w:vMerge w:val="continue"/>
            <w:tcBorders>
              <w:top w:val="single" w:color="000000" w:sz="4" w:space="0"/>
              <w:left w:val="single" w:color="000000" w:sz="4" w:space="0"/>
              <w:bottom w:val="single" w:color="000000" w:sz="4" w:space="0"/>
              <w:right w:val="single" w:color="000000" w:sz="4" w:space="0"/>
            </w:tcBorders>
          </w:tcPr>
          <w:p w14:paraId="7932B668">
            <w:pPr>
              <w:rPr>
                <w:sz w:val="18"/>
                <w:szCs w:val="18"/>
              </w:rPr>
            </w:pPr>
          </w:p>
        </w:tc>
        <w:tc>
          <w:tcPr>
            <w:tcW w:w="5760" w:type="dxa"/>
            <w:tcBorders>
              <w:top w:val="single" w:color="000000" w:sz="4" w:space="0"/>
              <w:left w:val="single" w:color="000000" w:sz="4" w:space="0"/>
              <w:bottom w:val="single" w:color="000000" w:sz="4" w:space="0"/>
              <w:right w:val="single" w:color="000000" w:sz="4" w:space="0"/>
            </w:tcBorders>
            <w:vAlign w:val="top"/>
          </w:tcPr>
          <w:p w14:paraId="6FD8A46E">
            <w:pPr>
              <w:wordWrap w:val="0"/>
              <w:autoSpaceDE w:val="0"/>
              <w:autoSpaceDN w:val="0"/>
              <w:spacing w:before="93" w:after="0" w:line="246" w:lineRule="exact"/>
              <w:ind w:firstLine="100"/>
              <w:jc w:val="both"/>
              <w:rPr>
                <w:sz w:val="18"/>
                <w:szCs w:val="18"/>
              </w:rPr>
            </w:pPr>
            <w:r>
              <w:rPr>
                <w:rFonts w:hint="eastAsia" w:ascii="宋体" w:hAnsi="宋体" w:eastAsia="宋体"/>
                <w:color w:val="000000"/>
                <w:sz w:val="18"/>
                <w:szCs w:val="18"/>
              </w:rPr>
              <w:t>处</w:t>
            </w:r>
            <w:r>
              <w:rPr>
                <w:rFonts w:hint="eastAsia" w:ascii="Calibri" w:hAnsi="Calibri" w:eastAsia="Calibri"/>
                <w:color w:val="000000"/>
                <w:sz w:val="18"/>
                <w:szCs w:val="18"/>
              </w:rPr>
              <w:t>15</w:t>
            </w:r>
            <w:r>
              <w:rPr>
                <w:rFonts w:hint="eastAsia" w:ascii="宋体" w:hAnsi="宋体" w:eastAsia="宋体"/>
                <w:color w:val="000000"/>
                <w:sz w:val="18"/>
                <w:szCs w:val="18"/>
              </w:rPr>
              <w:t>万以上</w:t>
            </w:r>
            <w:r>
              <w:rPr>
                <w:rFonts w:hint="eastAsia" w:ascii="Calibri" w:hAnsi="Calibri" w:eastAsia="Calibri"/>
                <w:color w:val="000000"/>
                <w:sz w:val="18"/>
                <w:szCs w:val="18"/>
              </w:rPr>
              <w:t>25</w:t>
            </w:r>
            <w:r>
              <w:rPr>
                <w:rFonts w:hint="eastAsia" w:ascii="宋体" w:hAnsi="宋体" w:eastAsia="宋体"/>
                <w:color w:val="000000"/>
                <w:sz w:val="18"/>
                <w:szCs w:val="18"/>
              </w:rPr>
              <w:t>万以下的罚款</w:t>
            </w:r>
          </w:p>
          <w:p w14:paraId="57115A37">
            <w:pPr>
              <w:wordWrap w:val="0"/>
              <w:autoSpaceDE w:val="0"/>
              <w:autoSpaceDN w:val="0"/>
              <w:spacing w:before="0" w:after="0" w:line="246" w:lineRule="exact"/>
              <w:ind w:left="100" w:right="40" w:firstLine="20"/>
              <w:jc w:val="both"/>
              <w:rPr>
                <w:sz w:val="18"/>
                <w:szCs w:val="18"/>
              </w:rPr>
            </w:pPr>
            <w:r>
              <w:rPr>
                <w:rFonts w:hint="eastAsia" w:ascii="宋体" w:hAnsi="宋体" w:eastAsia="宋体"/>
                <w:color w:val="000000"/>
                <w:sz w:val="18"/>
                <w:szCs w:val="18"/>
              </w:rPr>
              <w:t>单位直接负责的主管人员和其他直接责任人员处单位罚款数额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9</w:t>
            </w:r>
            <w:r>
              <w:rPr>
                <w:rFonts w:hint="eastAsia" w:ascii="宋体" w:hAnsi="宋体" w:eastAsia="宋体"/>
                <w:color w:val="000000"/>
                <w:sz w:val="18"/>
                <w:szCs w:val="18"/>
              </w:rPr>
              <w:t>％以下的罚款</w:t>
            </w:r>
          </w:p>
        </w:tc>
      </w:tr>
      <w:tr w14:paraId="0753175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4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5BAEEE6D">
            <w:pPr>
              <w:rPr>
                <w:sz w:val="18"/>
                <w:szCs w:val="18"/>
              </w:rPr>
            </w:pPr>
          </w:p>
        </w:tc>
        <w:tc>
          <w:tcPr>
            <w:tcW w:w="5980" w:type="dxa"/>
            <w:tcBorders>
              <w:top w:val="single" w:color="000000" w:sz="4" w:space="0"/>
              <w:left w:val="single" w:color="000000" w:sz="4" w:space="0"/>
              <w:bottom w:val="single" w:color="000000" w:sz="4" w:space="0"/>
              <w:right w:val="single" w:color="000000" w:sz="4" w:space="0"/>
            </w:tcBorders>
            <w:vAlign w:val="top"/>
          </w:tcPr>
          <w:p w14:paraId="06783BA8">
            <w:pPr>
              <w:wordWrap w:val="0"/>
              <w:autoSpaceDE w:val="0"/>
              <w:autoSpaceDN w:val="0"/>
              <w:spacing w:before="0" w:after="0" w:line="246" w:lineRule="exact"/>
              <w:ind w:firstLine="0"/>
              <w:jc w:val="both"/>
              <w:rPr>
                <w:rFonts w:hint="eastAsia" w:ascii="宋体" w:hAnsi="宋体" w:eastAsia="宋体"/>
                <w:color w:val="000000"/>
                <w:sz w:val="18"/>
                <w:szCs w:val="18"/>
              </w:rPr>
            </w:pPr>
          </w:p>
          <w:p w14:paraId="3C49200B">
            <w:pPr>
              <w:wordWrap w:val="0"/>
              <w:autoSpaceDE w:val="0"/>
              <w:autoSpaceDN w:val="0"/>
              <w:spacing w:before="133" w:after="0" w:line="246" w:lineRule="exact"/>
              <w:ind w:firstLine="80"/>
              <w:jc w:val="both"/>
              <w:rPr>
                <w:sz w:val="18"/>
                <w:szCs w:val="18"/>
              </w:rPr>
            </w:pPr>
            <w:r>
              <w:rPr>
                <w:rFonts w:hint="eastAsia" w:ascii="宋体" w:hAnsi="宋体" w:eastAsia="宋体"/>
                <w:color w:val="000000"/>
                <w:sz w:val="18"/>
                <w:szCs w:val="18"/>
              </w:rPr>
              <w:t>施工单位开始施工，发生安全事故的</w:t>
            </w:r>
          </w:p>
        </w:tc>
        <w:tc>
          <w:tcPr>
            <w:tcW w:w="1180" w:type="dxa"/>
            <w:vMerge w:val="continue"/>
            <w:tcBorders>
              <w:top w:val="single" w:color="000000" w:sz="4" w:space="0"/>
              <w:left w:val="single" w:color="000000" w:sz="4" w:space="0"/>
              <w:bottom w:val="single" w:color="000000" w:sz="4" w:space="0"/>
              <w:right w:val="single" w:color="000000" w:sz="4" w:space="0"/>
            </w:tcBorders>
          </w:tcPr>
          <w:p w14:paraId="669A16DE">
            <w:pPr>
              <w:rPr>
                <w:sz w:val="18"/>
                <w:szCs w:val="18"/>
              </w:rPr>
            </w:pPr>
          </w:p>
        </w:tc>
        <w:tc>
          <w:tcPr>
            <w:tcW w:w="5760" w:type="dxa"/>
            <w:tcBorders>
              <w:top w:val="single" w:color="000000" w:sz="4" w:space="0"/>
              <w:left w:val="single" w:color="000000" w:sz="4" w:space="0"/>
              <w:bottom w:val="single" w:color="000000" w:sz="4" w:space="0"/>
              <w:right w:val="single" w:color="000000" w:sz="4" w:space="0"/>
            </w:tcBorders>
            <w:vAlign w:val="top"/>
          </w:tcPr>
          <w:p w14:paraId="0832AB07">
            <w:pPr>
              <w:wordWrap w:val="0"/>
              <w:autoSpaceDE w:val="0"/>
              <w:autoSpaceDN w:val="0"/>
              <w:spacing w:before="113" w:after="0" w:line="246" w:lineRule="exact"/>
              <w:ind w:firstLine="100"/>
              <w:jc w:val="both"/>
              <w:rPr>
                <w:sz w:val="18"/>
                <w:szCs w:val="18"/>
              </w:rPr>
            </w:pPr>
            <w:r>
              <w:rPr>
                <w:rFonts w:hint="eastAsia" w:ascii="宋体" w:hAnsi="宋体" w:eastAsia="宋体"/>
                <w:color w:val="000000"/>
                <w:sz w:val="18"/>
                <w:szCs w:val="18"/>
              </w:rPr>
              <w:t>处</w:t>
            </w:r>
            <w:r>
              <w:rPr>
                <w:rFonts w:hint="eastAsia" w:ascii="Calibri" w:hAnsi="Calibri" w:eastAsia="Calibri"/>
                <w:color w:val="000000"/>
                <w:sz w:val="18"/>
                <w:szCs w:val="18"/>
              </w:rPr>
              <w:t>25</w:t>
            </w:r>
            <w:r>
              <w:rPr>
                <w:rFonts w:hint="eastAsia" w:ascii="宋体" w:hAnsi="宋体" w:eastAsia="宋体"/>
                <w:color w:val="000000"/>
                <w:sz w:val="18"/>
                <w:szCs w:val="18"/>
              </w:rPr>
              <w:t>万以上</w:t>
            </w:r>
            <w:r>
              <w:rPr>
                <w:rFonts w:hint="eastAsia" w:ascii="Calibri" w:hAnsi="Calibri" w:eastAsia="Calibri"/>
                <w:color w:val="000000"/>
                <w:sz w:val="18"/>
                <w:szCs w:val="18"/>
              </w:rPr>
              <w:t>30</w:t>
            </w:r>
            <w:r>
              <w:rPr>
                <w:rFonts w:hint="eastAsia" w:ascii="宋体" w:hAnsi="宋体" w:eastAsia="宋体"/>
                <w:color w:val="000000"/>
                <w:sz w:val="18"/>
                <w:szCs w:val="18"/>
              </w:rPr>
              <w:t>万以下的罚款</w:t>
            </w:r>
          </w:p>
          <w:p w14:paraId="07E9F6A1">
            <w:pPr>
              <w:wordWrap w:val="0"/>
              <w:autoSpaceDE w:val="0"/>
              <w:autoSpaceDN w:val="0"/>
              <w:spacing w:before="0" w:after="0" w:line="259" w:lineRule="exact"/>
              <w:ind w:left="100" w:right="60" w:firstLine="0"/>
              <w:jc w:val="both"/>
              <w:rPr>
                <w:sz w:val="18"/>
                <w:szCs w:val="18"/>
              </w:rPr>
            </w:pPr>
            <w:r>
              <w:rPr>
                <w:rFonts w:hint="eastAsia" w:ascii="宋体" w:hAnsi="宋体" w:eastAsia="宋体"/>
                <w:color w:val="000000"/>
                <w:sz w:val="18"/>
                <w:szCs w:val="18"/>
              </w:rPr>
              <w:t>单位直接负责的主管人员和其他直接责任人员处单位罚款数额</w:t>
            </w:r>
            <w:r>
              <w:rPr>
                <w:rFonts w:hint="eastAsia" w:ascii="Calibri" w:hAnsi="Calibri" w:eastAsia="Calibri"/>
                <w:color w:val="000000"/>
                <w:sz w:val="18"/>
                <w:szCs w:val="18"/>
              </w:rPr>
              <w:t>9</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tc>
      </w:tr>
    </w:tbl>
    <w:tbl>
      <w:tblPr>
        <w:tblStyle w:val="15"/>
        <w:tblpPr w:leftFromText="180" w:rightFromText="180" w:vertAnchor="text" w:horzAnchor="page" w:tblpX="1500" w:tblpY="109"/>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212"/>
        <w:gridCol w:w="5337"/>
        <w:gridCol w:w="1092"/>
        <w:gridCol w:w="5978"/>
      </w:tblGrid>
      <w:tr w14:paraId="3F2C728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8" w:hRule="atLeast"/>
        </w:trPr>
        <w:tc>
          <w:tcPr>
            <w:tcW w:w="1212" w:type="dxa"/>
            <w:tcBorders>
              <w:top w:val="single" w:color="000000" w:sz="4" w:space="0"/>
              <w:left w:val="single" w:color="000000" w:sz="4" w:space="0"/>
              <w:bottom w:val="single" w:color="000000" w:sz="4" w:space="0"/>
              <w:right w:val="single" w:color="000000" w:sz="4" w:space="0"/>
            </w:tcBorders>
            <w:vAlign w:val="top"/>
          </w:tcPr>
          <w:p w14:paraId="691C23B8">
            <w:pPr>
              <w:wordWrap w:val="0"/>
              <w:autoSpaceDE w:val="0"/>
              <w:autoSpaceDN w:val="0"/>
              <w:spacing w:before="13" w:after="0" w:line="246" w:lineRule="exact"/>
              <w:ind w:firstLine="340"/>
              <w:jc w:val="both"/>
              <w:rPr>
                <w:sz w:val="18"/>
                <w:szCs w:val="18"/>
              </w:rPr>
            </w:pPr>
            <w:r>
              <w:rPr>
                <w:rFonts w:hint="eastAsia" w:ascii="宋体" w:hAnsi="宋体" w:eastAsia="宋体"/>
                <w:color w:val="000000"/>
                <w:sz w:val="18"/>
                <w:szCs w:val="18"/>
              </w:rPr>
              <w:t>序号</w:t>
            </w:r>
          </w:p>
        </w:tc>
        <w:tc>
          <w:tcPr>
            <w:tcW w:w="12407" w:type="dxa"/>
            <w:gridSpan w:val="3"/>
            <w:tcBorders>
              <w:top w:val="single" w:color="000000" w:sz="4" w:space="0"/>
              <w:left w:val="single" w:color="000000" w:sz="4" w:space="0"/>
              <w:bottom w:val="single" w:color="000000" w:sz="4" w:space="0"/>
              <w:right w:val="single" w:color="000000" w:sz="4" w:space="0"/>
            </w:tcBorders>
            <w:vAlign w:val="top"/>
          </w:tcPr>
          <w:p w14:paraId="45B219DD">
            <w:pPr>
              <w:wordWrap w:val="0"/>
              <w:autoSpaceDE w:val="0"/>
              <w:autoSpaceDN w:val="0"/>
              <w:spacing w:before="33" w:after="0" w:line="246" w:lineRule="exact"/>
              <w:ind w:firstLine="60"/>
              <w:jc w:val="both"/>
              <w:rPr>
                <w:sz w:val="18"/>
                <w:szCs w:val="18"/>
              </w:rPr>
            </w:pPr>
            <w:r>
              <w:rPr>
                <w:rFonts w:hint="eastAsia" w:ascii="Calibri" w:hAnsi="Calibri" w:eastAsia="Calibri"/>
                <w:color w:val="000000"/>
                <w:sz w:val="18"/>
                <w:szCs w:val="18"/>
              </w:rPr>
              <w:t>5</w:t>
            </w:r>
          </w:p>
        </w:tc>
      </w:tr>
      <w:tr w14:paraId="3949F7E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8" w:hRule="atLeast"/>
        </w:trPr>
        <w:tc>
          <w:tcPr>
            <w:tcW w:w="1212" w:type="dxa"/>
            <w:tcBorders>
              <w:top w:val="single" w:color="000000" w:sz="4" w:space="0"/>
              <w:left w:val="single" w:color="000000" w:sz="4" w:space="0"/>
              <w:bottom w:val="single" w:color="000000" w:sz="4" w:space="0"/>
              <w:right w:val="single" w:color="000000" w:sz="4" w:space="0"/>
            </w:tcBorders>
            <w:vAlign w:val="top"/>
          </w:tcPr>
          <w:p w14:paraId="7FCBCB76">
            <w:pPr>
              <w:wordWrap w:val="0"/>
              <w:autoSpaceDE w:val="0"/>
              <w:autoSpaceDN w:val="0"/>
              <w:spacing w:before="0" w:after="0" w:line="240" w:lineRule="exact"/>
              <w:ind w:firstLine="340"/>
              <w:jc w:val="both"/>
              <w:rPr>
                <w:sz w:val="18"/>
                <w:szCs w:val="18"/>
              </w:rPr>
            </w:pPr>
            <w:r>
              <w:rPr>
                <w:rFonts w:hint="eastAsia" w:ascii="宋体" w:hAnsi="宋体" w:eastAsia="宋体"/>
                <w:color w:val="000000"/>
                <w:sz w:val="18"/>
                <w:szCs w:val="18"/>
              </w:rPr>
              <w:t>编号</w:t>
            </w:r>
          </w:p>
        </w:tc>
        <w:tc>
          <w:tcPr>
            <w:tcW w:w="12407" w:type="dxa"/>
            <w:gridSpan w:val="3"/>
            <w:tcBorders>
              <w:top w:val="single" w:color="000000" w:sz="4" w:space="0"/>
              <w:left w:val="single" w:color="000000" w:sz="4" w:space="0"/>
              <w:bottom w:val="single" w:color="000000" w:sz="4" w:space="0"/>
              <w:right w:val="single" w:color="000000" w:sz="4" w:space="0"/>
            </w:tcBorders>
            <w:vAlign w:val="top"/>
          </w:tcPr>
          <w:p w14:paraId="040D7D83">
            <w:pPr>
              <w:wordWrap w:val="0"/>
              <w:autoSpaceDE w:val="0"/>
              <w:autoSpaceDN w:val="0"/>
              <w:spacing w:before="33" w:after="0" w:line="246" w:lineRule="exact"/>
              <w:ind w:firstLine="80"/>
              <w:jc w:val="both"/>
              <w:rPr>
                <w:sz w:val="18"/>
                <w:szCs w:val="18"/>
              </w:rPr>
            </w:pPr>
            <w:r>
              <w:rPr>
                <w:rFonts w:hint="eastAsia" w:ascii="Calibri" w:hAnsi="Calibri" w:eastAsia="Calibri"/>
                <w:color w:val="000000"/>
                <w:sz w:val="18"/>
                <w:szCs w:val="18"/>
              </w:rPr>
              <w:t>320280005000</w:t>
            </w:r>
          </w:p>
        </w:tc>
      </w:tr>
      <w:tr w14:paraId="0A53443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5" w:hRule="atLeast"/>
        </w:trPr>
        <w:tc>
          <w:tcPr>
            <w:tcW w:w="1212" w:type="dxa"/>
            <w:tcBorders>
              <w:top w:val="single" w:color="000000" w:sz="4" w:space="0"/>
              <w:left w:val="single" w:color="000000" w:sz="4" w:space="0"/>
              <w:bottom w:val="single" w:color="000000" w:sz="4" w:space="0"/>
              <w:right w:val="single" w:color="000000" w:sz="4" w:space="0"/>
            </w:tcBorders>
            <w:vAlign w:val="top"/>
          </w:tcPr>
          <w:p w14:paraId="3C2BE497">
            <w:pPr>
              <w:wordWrap w:val="0"/>
              <w:autoSpaceDE w:val="0"/>
              <w:autoSpaceDN w:val="0"/>
              <w:spacing w:before="220" w:after="0" w:line="246" w:lineRule="exact"/>
              <w:ind w:firstLine="220"/>
              <w:jc w:val="both"/>
              <w:rPr>
                <w:sz w:val="18"/>
                <w:szCs w:val="18"/>
              </w:rPr>
            </w:pPr>
            <w:r>
              <w:rPr>
                <w:rFonts w:hint="eastAsia" w:ascii="宋体" w:hAnsi="宋体" w:eastAsia="宋体"/>
                <w:color w:val="000000"/>
                <w:sz w:val="18"/>
                <w:szCs w:val="18"/>
              </w:rPr>
              <w:t>行为名称</w:t>
            </w:r>
          </w:p>
        </w:tc>
        <w:tc>
          <w:tcPr>
            <w:tcW w:w="12407" w:type="dxa"/>
            <w:gridSpan w:val="3"/>
            <w:tcBorders>
              <w:top w:val="single" w:color="000000" w:sz="4" w:space="0"/>
              <w:left w:val="single" w:color="000000" w:sz="4" w:space="0"/>
              <w:bottom w:val="single" w:color="000000" w:sz="4" w:space="0"/>
              <w:right w:val="single" w:color="000000" w:sz="4" w:space="0"/>
            </w:tcBorders>
            <w:vAlign w:val="top"/>
          </w:tcPr>
          <w:p w14:paraId="53AFCB75">
            <w:pPr>
              <w:wordWrap w:val="0"/>
              <w:autoSpaceDE w:val="0"/>
              <w:autoSpaceDN w:val="0"/>
              <w:spacing w:before="60" w:after="0" w:line="246" w:lineRule="exact"/>
              <w:ind w:left="100" w:right="20" w:firstLine="0"/>
              <w:jc w:val="both"/>
              <w:rPr>
                <w:sz w:val="18"/>
                <w:szCs w:val="18"/>
              </w:rPr>
            </w:pPr>
            <w:r>
              <w:rPr>
                <w:rFonts w:hint="eastAsia" w:ascii="宋体" w:hAnsi="宋体" w:eastAsia="宋体"/>
                <w:color w:val="000000"/>
                <w:sz w:val="18"/>
                <w:szCs w:val="18"/>
              </w:rPr>
              <w:t>对人民防空工程施工单位在施工中偷工减料的，使用不合格的建筑材料、建筑构配件和设备，或者有不按照工程设计图纸或者施工技术标准施工的其他行为的处罚</w:t>
            </w:r>
          </w:p>
        </w:tc>
      </w:tr>
      <w:tr w14:paraId="4AFAC1E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254" w:hRule="atLeast"/>
        </w:trPr>
        <w:tc>
          <w:tcPr>
            <w:tcW w:w="1212" w:type="dxa"/>
            <w:tcBorders>
              <w:top w:val="single" w:color="000000" w:sz="4" w:space="0"/>
              <w:left w:val="single" w:color="000000" w:sz="4" w:space="0"/>
              <w:bottom w:val="single" w:color="000000" w:sz="4" w:space="0"/>
              <w:right w:val="single" w:color="000000" w:sz="4" w:space="0"/>
            </w:tcBorders>
            <w:vAlign w:val="top"/>
          </w:tcPr>
          <w:p w14:paraId="3DCEBF79">
            <w:pPr>
              <w:wordWrap w:val="0"/>
              <w:autoSpaceDE w:val="0"/>
              <w:autoSpaceDN w:val="0"/>
              <w:spacing w:before="0" w:after="0" w:line="246" w:lineRule="exact"/>
              <w:ind w:firstLine="0"/>
              <w:jc w:val="both"/>
              <w:rPr>
                <w:rFonts w:hint="eastAsia" w:ascii="宋体" w:hAnsi="宋体" w:eastAsia="宋体"/>
                <w:color w:val="000000"/>
                <w:sz w:val="18"/>
                <w:szCs w:val="18"/>
              </w:rPr>
            </w:pPr>
          </w:p>
          <w:p w14:paraId="5F3030FF">
            <w:pPr>
              <w:wordWrap w:val="0"/>
              <w:autoSpaceDE w:val="0"/>
              <w:autoSpaceDN w:val="0"/>
              <w:spacing w:before="0" w:after="0" w:line="246" w:lineRule="exact"/>
              <w:ind w:firstLine="0"/>
              <w:jc w:val="both"/>
              <w:rPr>
                <w:rFonts w:hint="eastAsia" w:ascii="宋体" w:hAnsi="宋体" w:eastAsia="宋体"/>
                <w:color w:val="000000"/>
                <w:sz w:val="18"/>
                <w:szCs w:val="18"/>
              </w:rPr>
            </w:pPr>
          </w:p>
          <w:p w14:paraId="0028DF18">
            <w:pPr>
              <w:wordWrap w:val="0"/>
              <w:autoSpaceDE w:val="0"/>
              <w:autoSpaceDN w:val="0"/>
              <w:spacing w:before="0" w:after="0" w:line="246" w:lineRule="exact"/>
              <w:ind w:firstLine="0"/>
              <w:jc w:val="both"/>
              <w:rPr>
                <w:rFonts w:hint="eastAsia" w:ascii="宋体" w:hAnsi="宋体" w:eastAsia="宋体"/>
                <w:color w:val="000000"/>
                <w:sz w:val="18"/>
                <w:szCs w:val="18"/>
              </w:rPr>
            </w:pPr>
          </w:p>
          <w:p w14:paraId="42A195DA">
            <w:pPr>
              <w:wordWrap w:val="0"/>
              <w:autoSpaceDE w:val="0"/>
              <w:autoSpaceDN w:val="0"/>
              <w:spacing w:before="0" w:after="0" w:line="246" w:lineRule="exact"/>
              <w:ind w:firstLine="0"/>
              <w:jc w:val="both"/>
              <w:rPr>
                <w:rFonts w:hint="eastAsia" w:ascii="宋体" w:hAnsi="宋体" w:eastAsia="宋体"/>
                <w:color w:val="000000"/>
                <w:sz w:val="18"/>
                <w:szCs w:val="18"/>
              </w:rPr>
            </w:pPr>
          </w:p>
          <w:p w14:paraId="1548E344">
            <w:pPr>
              <w:wordWrap w:val="0"/>
              <w:autoSpaceDE w:val="0"/>
              <w:autoSpaceDN w:val="0"/>
              <w:spacing w:before="0" w:after="0" w:line="246" w:lineRule="exact"/>
              <w:ind w:firstLine="0"/>
              <w:jc w:val="both"/>
              <w:rPr>
                <w:rFonts w:hint="eastAsia" w:ascii="宋体" w:hAnsi="宋体" w:eastAsia="宋体"/>
                <w:color w:val="000000"/>
                <w:sz w:val="18"/>
                <w:szCs w:val="18"/>
              </w:rPr>
            </w:pPr>
          </w:p>
          <w:p w14:paraId="3582379B">
            <w:pPr>
              <w:wordWrap w:val="0"/>
              <w:autoSpaceDE w:val="0"/>
              <w:autoSpaceDN w:val="0"/>
              <w:spacing w:before="0" w:after="0" w:line="246" w:lineRule="exact"/>
              <w:ind w:firstLine="0"/>
              <w:jc w:val="both"/>
              <w:rPr>
                <w:rFonts w:hint="eastAsia" w:ascii="宋体" w:hAnsi="宋体" w:eastAsia="宋体"/>
                <w:color w:val="000000"/>
                <w:sz w:val="18"/>
                <w:szCs w:val="18"/>
              </w:rPr>
            </w:pPr>
          </w:p>
          <w:p w14:paraId="52EBBBE7">
            <w:pPr>
              <w:wordWrap w:val="0"/>
              <w:autoSpaceDE w:val="0"/>
              <w:autoSpaceDN w:val="0"/>
              <w:spacing w:before="0" w:after="0" w:line="246" w:lineRule="exact"/>
              <w:ind w:firstLine="0"/>
              <w:jc w:val="both"/>
              <w:rPr>
                <w:rFonts w:hint="eastAsia" w:ascii="宋体" w:hAnsi="宋体" w:eastAsia="宋体"/>
                <w:color w:val="000000"/>
                <w:sz w:val="18"/>
                <w:szCs w:val="18"/>
              </w:rPr>
            </w:pPr>
          </w:p>
          <w:p w14:paraId="7F4D911F">
            <w:pPr>
              <w:wordWrap w:val="0"/>
              <w:autoSpaceDE w:val="0"/>
              <w:autoSpaceDN w:val="0"/>
              <w:spacing w:before="0" w:after="0" w:line="246" w:lineRule="exact"/>
              <w:ind w:firstLine="0"/>
              <w:jc w:val="both"/>
              <w:rPr>
                <w:rFonts w:hint="eastAsia" w:ascii="宋体" w:hAnsi="宋体" w:eastAsia="宋体"/>
                <w:color w:val="000000"/>
                <w:sz w:val="18"/>
                <w:szCs w:val="18"/>
              </w:rPr>
            </w:pPr>
          </w:p>
          <w:p w14:paraId="6F9CEB87">
            <w:pPr>
              <w:wordWrap w:val="0"/>
              <w:autoSpaceDE w:val="0"/>
              <w:autoSpaceDN w:val="0"/>
              <w:spacing w:before="88" w:after="0" w:line="246" w:lineRule="exact"/>
              <w:jc w:val="center"/>
              <w:rPr>
                <w:sz w:val="18"/>
                <w:szCs w:val="18"/>
              </w:rPr>
            </w:pPr>
            <w:r>
              <w:rPr>
                <w:rFonts w:hint="eastAsia" w:ascii="宋体" w:hAnsi="宋体" w:eastAsia="宋体"/>
                <w:color w:val="000000"/>
                <w:sz w:val="18"/>
                <w:szCs w:val="18"/>
              </w:rPr>
              <w:t>法律依据</w:t>
            </w:r>
          </w:p>
        </w:tc>
        <w:tc>
          <w:tcPr>
            <w:tcW w:w="12407" w:type="dxa"/>
            <w:gridSpan w:val="3"/>
            <w:tcBorders>
              <w:top w:val="single" w:color="000000" w:sz="4" w:space="0"/>
              <w:left w:val="single" w:color="000000" w:sz="4" w:space="0"/>
              <w:bottom w:val="single" w:color="000000" w:sz="4" w:space="0"/>
              <w:right w:val="single" w:color="000000" w:sz="4" w:space="0"/>
            </w:tcBorders>
            <w:vAlign w:val="top"/>
          </w:tcPr>
          <w:p w14:paraId="7B36565E">
            <w:pPr>
              <w:wordWrap w:val="0"/>
              <w:autoSpaceDE w:val="0"/>
              <w:autoSpaceDN w:val="0"/>
              <w:spacing w:before="133" w:after="0" w:line="246" w:lineRule="exact"/>
              <w:ind w:firstLine="14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4B52FEEB">
            <w:pPr>
              <w:wordWrap w:val="0"/>
              <w:autoSpaceDE w:val="0"/>
              <w:autoSpaceDN w:val="0"/>
              <w:spacing w:before="53" w:after="0" w:line="246" w:lineRule="exact"/>
              <w:ind w:firstLine="500"/>
              <w:jc w:val="both"/>
              <w:rPr>
                <w:sz w:val="18"/>
                <w:szCs w:val="18"/>
              </w:rPr>
            </w:pPr>
            <w:r>
              <w:rPr>
                <w:rFonts w:hint="eastAsia" w:ascii="宋体" w:hAnsi="宋体" w:eastAsia="宋体"/>
                <w:color w:val="000000"/>
                <w:sz w:val="18"/>
                <w:szCs w:val="18"/>
              </w:rPr>
              <w:t>第二十八条第一款 施工单位必须按照工程设计图纸和施工技术标准施工，不得擅自修改工程设计，不得偷工减料。</w:t>
            </w:r>
          </w:p>
          <w:p w14:paraId="11E4D53C">
            <w:pPr>
              <w:wordWrap w:val="0"/>
              <w:autoSpaceDE w:val="0"/>
              <w:autoSpaceDN w:val="0"/>
              <w:spacing w:before="53" w:after="0" w:line="246" w:lineRule="exact"/>
              <w:ind w:left="80" w:right="40" w:firstLine="420"/>
              <w:jc w:val="both"/>
              <w:rPr>
                <w:sz w:val="18"/>
                <w:szCs w:val="18"/>
              </w:rPr>
            </w:pPr>
            <w:r>
              <w:rPr>
                <w:rFonts w:hint="eastAsia" w:ascii="宋体" w:hAnsi="宋体" w:eastAsia="宋体"/>
                <w:color w:val="000000"/>
                <w:sz w:val="18"/>
                <w:szCs w:val="18"/>
              </w:rPr>
              <w:t>第二十九条 施工单位必须按照工程设计要求、施工技术标准和合同约定，对建筑材料、建筑构配件、设备和商品混凝土进行检验，检验应当有书面记录和专人签字；未经检验或者检验不合格的，不得使用。</w:t>
            </w:r>
          </w:p>
          <w:p w14:paraId="2AFCE897">
            <w:pPr>
              <w:wordWrap w:val="0"/>
              <w:autoSpaceDE w:val="0"/>
              <w:autoSpaceDN w:val="0"/>
              <w:spacing w:before="0" w:after="0" w:line="246" w:lineRule="exact"/>
              <w:ind w:left="100" w:right="20" w:firstLine="400"/>
              <w:jc w:val="both"/>
              <w:rPr>
                <w:sz w:val="18"/>
                <w:szCs w:val="18"/>
              </w:rPr>
            </w:pPr>
            <w:r>
              <w:rPr>
                <w:rFonts w:hint="eastAsia" w:ascii="宋体" w:hAnsi="宋体" w:eastAsia="宋体"/>
                <w:color w:val="000000"/>
                <w:sz w:val="18"/>
                <w:szCs w:val="18"/>
              </w:rPr>
              <w:t>第六十四条 违反本条例规定，施工单位在施工中偷工减料的，使用不合格的建筑材料、建筑构配件和设备的，或者有不按照工程设计图纸或者施工技术标准施工的其他行为的，责令改正，处工程合同价款</w:t>
            </w:r>
            <w:r>
              <w:rPr>
                <w:rFonts w:hint="eastAsia" w:ascii="Calibri" w:hAnsi="Calibri" w:eastAsia="Calibri"/>
                <w:color w:val="000000"/>
                <w:sz w:val="18"/>
                <w:szCs w:val="18"/>
              </w:rPr>
              <w:t>2</w:t>
            </w:r>
            <w:r>
              <w:rPr>
                <w:rFonts w:hint="eastAsia" w:ascii="宋体" w:hAnsi="宋体" w:eastAsia="宋体"/>
                <w:color w:val="000000"/>
                <w:sz w:val="18"/>
                <w:szCs w:val="18"/>
              </w:rPr>
              <w:t>％以上</w:t>
            </w:r>
            <w:r>
              <w:rPr>
                <w:rFonts w:hint="eastAsia" w:ascii="Calibri" w:hAnsi="Calibri" w:eastAsia="Calibri"/>
                <w:color w:val="000000"/>
                <w:sz w:val="18"/>
                <w:szCs w:val="18"/>
              </w:rPr>
              <w:t>4</w:t>
            </w:r>
            <w:r>
              <w:rPr>
                <w:rFonts w:hint="eastAsia" w:ascii="宋体" w:hAnsi="宋体" w:eastAsia="宋体"/>
                <w:color w:val="000000"/>
                <w:sz w:val="18"/>
                <w:szCs w:val="18"/>
              </w:rPr>
              <w:t>％以下的罚款；造成建设工程质量不符合规定的质量标准的，负责返工、修理，并赔偿因此造成的损失；情节严重的，责令停业整顿，降低资质等级或者吊销资质证书。</w:t>
            </w:r>
          </w:p>
          <w:p w14:paraId="482920FC">
            <w:pPr>
              <w:wordWrap w:val="0"/>
              <w:autoSpaceDE w:val="0"/>
              <w:autoSpaceDN w:val="0"/>
              <w:spacing w:before="0" w:after="0" w:line="246" w:lineRule="exact"/>
              <w:ind w:firstLine="0"/>
              <w:jc w:val="both"/>
              <w:rPr>
                <w:rFonts w:hint="eastAsia" w:ascii="宋体" w:hAnsi="宋体" w:eastAsia="宋体"/>
                <w:color w:val="000000"/>
                <w:sz w:val="18"/>
                <w:szCs w:val="18"/>
              </w:rPr>
            </w:pPr>
          </w:p>
          <w:p w14:paraId="5D86618D">
            <w:pPr>
              <w:wordWrap w:val="0"/>
              <w:autoSpaceDE w:val="0"/>
              <w:autoSpaceDN w:val="0"/>
              <w:spacing w:before="87" w:after="0" w:line="246" w:lineRule="exact"/>
              <w:ind w:left="100" w:right="8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18B79B52">
            <w:pPr>
              <w:wordWrap w:val="0"/>
              <w:autoSpaceDE w:val="0"/>
              <w:autoSpaceDN w:val="0"/>
              <w:spacing w:before="53" w:after="0" w:line="246" w:lineRule="exact"/>
              <w:ind w:left="80" w:right="4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7BF53B85">
            <w:pPr>
              <w:wordWrap w:val="0"/>
              <w:autoSpaceDE w:val="0"/>
              <w:autoSpaceDN w:val="0"/>
              <w:spacing w:before="53" w:after="0" w:line="246"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672E9074">
            <w:pPr>
              <w:wordWrap w:val="0"/>
              <w:autoSpaceDE w:val="0"/>
              <w:autoSpaceDN w:val="0"/>
              <w:spacing w:before="53" w:after="0" w:line="246" w:lineRule="exact"/>
              <w:ind w:left="100" w:right="4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2114C5F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8" w:hRule="atLeast"/>
        </w:trPr>
        <w:tc>
          <w:tcPr>
            <w:tcW w:w="1212" w:type="dxa"/>
            <w:tcBorders>
              <w:top w:val="single" w:color="000000" w:sz="4" w:space="0"/>
              <w:left w:val="single" w:color="000000" w:sz="4" w:space="0"/>
              <w:bottom w:val="single" w:color="000000" w:sz="4" w:space="0"/>
              <w:right w:val="single" w:color="000000" w:sz="4" w:space="0"/>
            </w:tcBorders>
            <w:vAlign w:val="top"/>
          </w:tcPr>
          <w:p w14:paraId="6F9A62E4">
            <w:pPr>
              <w:wordWrap w:val="0"/>
              <w:autoSpaceDE w:val="0"/>
              <w:autoSpaceDN w:val="0"/>
              <w:spacing w:before="0" w:after="0" w:line="240" w:lineRule="exact"/>
              <w:ind w:firstLine="240"/>
              <w:jc w:val="both"/>
              <w:rPr>
                <w:sz w:val="18"/>
                <w:szCs w:val="18"/>
              </w:rPr>
            </w:pPr>
            <w:r>
              <w:rPr>
                <w:rFonts w:hint="eastAsia" w:ascii="宋体" w:hAnsi="宋体" w:eastAsia="宋体"/>
                <w:color w:val="000000"/>
                <w:sz w:val="18"/>
                <w:szCs w:val="18"/>
              </w:rPr>
              <w:t>处罚种类</w:t>
            </w:r>
          </w:p>
        </w:tc>
        <w:tc>
          <w:tcPr>
            <w:tcW w:w="12407" w:type="dxa"/>
            <w:gridSpan w:val="3"/>
            <w:tcBorders>
              <w:top w:val="single" w:color="000000" w:sz="4" w:space="0"/>
              <w:left w:val="single" w:color="000000" w:sz="4" w:space="0"/>
              <w:bottom w:val="single" w:color="000000" w:sz="4" w:space="0"/>
              <w:right w:val="single" w:color="000000" w:sz="4" w:space="0"/>
            </w:tcBorders>
            <w:vAlign w:val="top"/>
          </w:tcPr>
          <w:p w14:paraId="502BDA75">
            <w:pPr>
              <w:wordWrap w:val="0"/>
              <w:autoSpaceDE w:val="0"/>
              <w:autoSpaceDN w:val="0"/>
              <w:spacing w:before="33" w:after="0" w:line="246" w:lineRule="exact"/>
              <w:ind w:firstLine="80"/>
              <w:jc w:val="both"/>
              <w:rPr>
                <w:sz w:val="18"/>
                <w:szCs w:val="18"/>
              </w:rPr>
            </w:pPr>
            <w:r>
              <w:rPr>
                <w:rFonts w:hint="eastAsia" w:ascii="宋体" w:hAnsi="宋体" w:eastAsia="宋体"/>
                <w:color w:val="000000"/>
                <w:sz w:val="18"/>
                <w:szCs w:val="18"/>
              </w:rPr>
              <w:t>罚款</w:t>
            </w:r>
          </w:p>
        </w:tc>
      </w:tr>
      <w:tr w14:paraId="247DDC4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8" w:hRule="atLeast"/>
        </w:trPr>
        <w:tc>
          <w:tcPr>
            <w:tcW w:w="13619" w:type="dxa"/>
            <w:gridSpan w:val="4"/>
            <w:tcBorders>
              <w:top w:val="single" w:color="000000" w:sz="4" w:space="0"/>
              <w:left w:val="single" w:color="000000" w:sz="4" w:space="0"/>
              <w:bottom w:val="single" w:color="000000" w:sz="4" w:space="0"/>
              <w:right w:val="single" w:color="000000" w:sz="4" w:space="0"/>
            </w:tcBorders>
            <w:vAlign w:val="top"/>
          </w:tcPr>
          <w:p w14:paraId="332F3181">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自由裁量基准</w:t>
            </w:r>
          </w:p>
        </w:tc>
      </w:tr>
      <w:tr w14:paraId="4352967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5" w:hRule="atLeast"/>
        </w:trPr>
        <w:tc>
          <w:tcPr>
            <w:tcW w:w="1212" w:type="dxa"/>
            <w:vMerge w:val="restart"/>
            <w:tcBorders>
              <w:top w:val="single" w:color="000000" w:sz="4" w:space="0"/>
              <w:left w:val="single" w:color="000000" w:sz="4" w:space="0"/>
              <w:bottom w:val="single" w:color="000000" w:sz="4" w:space="0"/>
              <w:right w:val="single" w:color="000000" w:sz="4" w:space="0"/>
            </w:tcBorders>
            <w:vAlign w:val="top"/>
          </w:tcPr>
          <w:p w14:paraId="2C933892">
            <w:pPr>
              <w:wordWrap w:val="0"/>
              <w:autoSpaceDE w:val="0"/>
              <w:autoSpaceDN w:val="0"/>
              <w:spacing w:before="0" w:after="0" w:line="246" w:lineRule="exact"/>
              <w:ind w:firstLine="0"/>
              <w:jc w:val="both"/>
              <w:rPr>
                <w:rFonts w:hint="eastAsia" w:ascii="宋体" w:hAnsi="宋体" w:eastAsia="宋体"/>
                <w:color w:val="000000"/>
                <w:sz w:val="18"/>
                <w:szCs w:val="18"/>
              </w:rPr>
            </w:pPr>
          </w:p>
          <w:p w14:paraId="01253FE4">
            <w:pPr>
              <w:wordWrap w:val="0"/>
              <w:autoSpaceDE w:val="0"/>
              <w:autoSpaceDN w:val="0"/>
              <w:spacing w:before="0" w:after="0" w:line="246" w:lineRule="exact"/>
              <w:ind w:firstLine="0"/>
              <w:jc w:val="both"/>
              <w:rPr>
                <w:rFonts w:hint="eastAsia" w:ascii="宋体" w:hAnsi="宋体" w:eastAsia="宋体"/>
                <w:color w:val="000000"/>
                <w:sz w:val="18"/>
                <w:szCs w:val="18"/>
              </w:rPr>
            </w:pPr>
          </w:p>
          <w:p w14:paraId="594521FA">
            <w:pPr>
              <w:wordWrap w:val="0"/>
              <w:autoSpaceDE w:val="0"/>
              <w:autoSpaceDN w:val="0"/>
              <w:spacing w:before="0" w:after="0" w:line="246" w:lineRule="exact"/>
              <w:ind w:firstLine="0"/>
              <w:jc w:val="both"/>
              <w:rPr>
                <w:rFonts w:hint="eastAsia" w:ascii="宋体" w:hAnsi="宋体" w:eastAsia="宋体"/>
                <w:color w:val="000000"/>
                <w:sz w:val="18"/>
                <w:szCs w:val="18"/>
              </w:rPr>
            </w:pPr>
          </w:p>
          <w:p w14:paraId="1DB4D5EC">
            <w:pPr>
              <w:wordWrap w:val="0"/>
              <w:autoSpaceDE w:val="0"/>
              <w:autoSpaceDN w:val="0"/>
              <w:spacing w:before="80" w:after="0" w:line="246" w:lineRule="exact"/>
              <w:jc w:val="center"/>
              <w:rPr>
                <w:sz w:val="18"/>
                <w:szCs w:val="18"/>
              </w:rPr>
            </w:pPr>
            <w:r>
              <w:rPr>
                <w:rFonts w:hint="eastAsia" w:ascii="宋体" w:hAnsi="宋体" w:eastAsia="宋体"/>
                <w:color w:val="000000"/>
                <w:sz w:val="18"/>
                <w:szCs w:val="18"/>
              </w:rPr>
              <w:t>情形描述</w:t>
            </w:r>
          </w:p>
        </w:tc>
        <w:tc>
          <w:tcPr>
            <w:tcW w:w="5337" w:type="dxa"/>
            <w:tcBorders>
              <w:top w:val="single" w:color="000000" w:sz="4" w:space="0"/>
              <w:left w:val="single" w:color="000000" w:sz="4" w:space="0"/>
              <w:bottom w:val="single" w:color="000000" w:sz="4" w:space="0"/>
              <w:right w:val="single" w:color="000000" w:sz="4" w:space="0"/>
            </w:tcBorders>
            <w:vAlign w:val="top"/>
          </w:tcPr>
          <w:p w14:paraId="6D742E75">
            <w:pPr>
              <w:wordWrap w:val="0"/>
              <w:autoSpaceDE w:val="0"/>
              <w:autoSpaceDN w:val="0"/>
              <w:spacing w:before="220" w:after="0" w:line="246" w:lineRule="exact"/>
              <w:ind w:firstLine="80"/>
              <w:jc w:val="both"/>
              <w:rPr>
                <w:sz w:val="18"/>
                <w:szCs w:val="18"/>
              </w:rPr>
            </w:pPr>
            <w:r>
              <w:rPr>
                <w:rFonts w:hint="eastAsia" w:ascii="宋体" w:hAnsi="宋体" w:eastAsia="宋体"/>
                <w:color w:val="000000"/>
                <w:sz w:val="18"/>
                <w:szCs w:val="18"/>
              </w:rPr>
              <w:t>在非主体、非关键部分的</w:t>
            </w:r>
          </w:p>
        </w:tc>
        <w:tc>
          <w:tcPr>
            <w:tcW w:w="1092" w:type="dxa"/>
            <w:vMerge w:val="restart"/>
            <w:tcBorders>
              <w:top w:val="single" w:color="000000" w:sz="4" w:space="0"/>
              <w:left w:val="single" w:color="000000" w:sz="4" w:space="0"/>
              <w:bottom w:val="single" w:color="000000" w:sz="4" w:space="0"/>
              <w:right w:val="single" w:color="000000" w:sz="4" w:space="0"/>
            </w:tcBorders>
            <w:vAlign w:val="top"/>
          </w:tcPr>
          <w:p w14:paraId="0594A77D">
            <w:pPr>
              <w:wordWrap w:val="0"/>
              <w:autoSpaceDE w:val="0"/>
              <w:autoSpaceDN w:val="0"/>
              <w:spacing w:before="0" w:after="0" w:line="246" w:lineRule="exact"/>
              <w:ind w:firstLine="0"/>
              <w:jc w:val="both"/>
              <w:rPr>
                <w:rFonts w:hint="eastAsia" w:ascii="宋体" w:hAnsi="宋体" w:eastAsia="宋体"/>
                <w:color w:val="000000"/>
                <w:sz w:val="18"/>
                <w:szCs w:val="18"/>
              </w:rPr>
            </w:pPr>
          </w:p>
          <w:p w14:paraId="0252235F">
            <w:pPr>
              <w:wordWrap w:val="0"/>
              <w:autoSpaceDE w:val="0"/>
              <w:autoSpaceDN w:val="0"/>
              <w:spacing w:before="0" w:after="0" w:line="246" w:lineRule="exact"/>
              <w:ind w:firstLine="0"/>
              <w:jc w:val="both"/>
              <w:rPr>
                <w:rFonts w:hint="eastAsia" w:ascii="宋体" w:hAnsi="宋体" w:eastAsia="宋体"/>
                <w:color w:val="000000"/>
                <w:sz w:val="18"/>
                <w:szCs w:val="18"/>
              </w:rPr>
            </w:pPr>
          </w:p>
          <w:p w14:paraId="2B12D4DB">
            <w:pPr>
              <w:wordWrap w:val="0"/>
              <w:autoSpaceDE w:val="0"/>
              <w:autoSpaceDN w:val="0"/>
              <w:spacing w:before="0" w:after="0" w:line="246" w:lineRule="exact"/>
              <w:ind w:firstLine="0"/>
              <w:jc w:val="both"/>
              <w:rPr>
                <w:rFonts w:hint="eastAsia" w:ascii="宋体" w:hAnsi="宋体" w:eastAsia="宋体"/>
                <w:color w:val="000000"/>
                <w:sz w:val="18"/>
                <w:szCs w:val="18"/>
              </w:rPr>
            </w:pPr>
          </w:p>
          <w:p w14:paraId="0AECB7AE">
            <w:pPr>
              <w:wordWrap w:val="0"/>
              <w:autoSpaceDE w:val="0"/>
              <w:autoSpaceDN w:val="0"/>
              <w:spacing w:before="80" w:after="0" w:line="246" w:lineRule="exact"/>
              <w:ind w:firstLine="160"/>
              <w:jc w:val="both"/>
              <w:rPr>
                <w:sz w:val="18"/>
                <w:szCs w:val="18"/>
              </w:rPr>
            </w:pPr>
            <w:r>
              <w:rPr>
                <w:rFonts w:hint="eastAsia" w:ascii="宋体" w:hAnsi="宋体" w:eastAsia="宋体"/>
                <w:color w:val="000000"/>
                <w:sz w:val="18"/>
                <w:szCs w:val="18"/>
              </w:rPr>
              <w:t>裁量幅度</w:t>
            </w:r>
          </w:p>
        </w:tc>
        <w:tc>
          <w:tcPr>
            <w:tcW w:w="5978" w:type="dxa"/>
            <w:tcBorders>
              <w:top w:val="single" w:color="000000" w:sz="4" w:space="0"/>
              <w:left w:val="single" w:color="000000" w:sz="4" w:space="0"/>
              <w:bottom w:val="single" w:color="000000" w:sz="4" w:space="0"/>
              <w:right w:val="single" w:color="000000" w:sz="4" w:space="0"/>
            </w:tcBorders>
            <w:vAlign w:val="top"/>
          </w:tcPr>
          <w:p w14:paraId="382BCD05">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对单位：工程合同价款</w:t>
            </w:r>
            <w:r>
              <w:rPr>
                <w:rFonts w:hint="eastAsia" w:ascii="Calibri" w:hAnsi="Calibri" w:eastAsia="Calibri"/>
                <w:color w:val="000000"/>
                <w:sz w:val="18"/>
                <w:szCs w:val="18"/>
              </w:rPr>
              <w:t>2</w:t>
            </w:r>
            <w:r>
              <w:rPr>
                <w:rFonts w:hint="eastAsia" w:ascii="宋体" w:hAnsi="宋体" w:eastAsia="宋体"/>
                <w:color w:val="000000"/>
                <w:sz w:val="18"/>
                <w:szCs w:val="18"/>
              </w:rPr>
              <w:t>％以上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％以下罚款</w:t>
            </w:r>
          </w:p>
          <w:p w14:paraId="560DEC98">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6C507A7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6" w:hRule="atLeast"/>
        </w:trPr>
        <w:tc>
          <w:tcPr>
            <w:tcW w:w="1212" w:type="dxa"/>
            <w:vMerge w:val="continue"/>
            <w:tcBorders>
              <w:top w:val="single" w:color="000000" w:sz="4" w:space="0"/>
              <w:left w:val="single" w:color="000000" w:sz="4" w:space="0"/>
              <w:bottom w:val="single" w:color="000000" w:sz="4" w:space="0"/>
              <w:right w:val="single" w:color="000000" w:sz="4" w:space="0"/>
            </w:tcBorders>
          </w:tcPr>
          <w:p w14:paraId="06004310">
            <w:pPr>
              <w:rPr>
                <w:sz w:val="18"/>
                <w:szCs w:val="18"/>
              </w:rPr>
            </w:pPr>
          </w:p>
        </w:tc>
        <w:tc>
          <w:tcPr>
            <w:tcW w:w="5337" w:type="dxa"/>
            <w:tcBorders>
              <w:top w:val="single" w:color="000000" w:sz="4" w:space="0"/>
              <w:left w:val="single" w:color="000000" w:sz="4" w:space="0"/>
              <w:bottom w:val="single" w:color="000000" w:sz="4" w:space="0"/>
              <w:right w:val="single" w:color="000000" w:sz="4" w:space="0"/>
            </w:tcBorders>
            <w:vAlign w:val="top"/>
          </w:tcPr>
          <w:p w14:paraId="1E6FB1B4">
            <w:pPr>
              <w:wordWrap w:val="0"/>
              <w:autoSpaceDE w:val="0"/>
              <w:autoSpaceDN w:val="0"/>
              <w:spacing w:before="180" w:after="0" w:line="246" w:lineRule="exact"/>
              <w:ind w:firstLine="100"/>
              <w:jc w:val="both"/>
              <w:rPr>
                <w:sz w:val="18"/>
                <w:szCs w:val="18"/>
              </w:rPr>
            </w:pPr>
            <w:r>
              <w:rPr>
                <w:rFonts w:hint="eastAsia" w:ascii="宋体" w:hAnsi="宋体" w:eastAsia="宋体"/>
                <w:color w:val="000000"/>
                <w:sz w:val="18"/>
                <w:szCs w:val="18"/>
              </w:rPr>
              <w:t>在主体或关键部分的</w:t>
            </w:r>
          </w:p>
        </w:tc>
        <w:tc>
          <w:tcPr>
            <w:tcW w:w="1092" w:type="dxa"/>
            <w:vMerge w:val="continue"/>
            <w:tcBorders>
              <w:top w:val="single" w:color="000000" w:sz="4" w:space="0"/>
              <w:left w:val="single" w:color="000000" w:sz="4" w:space="0"/>
              <w:bottom w:val="single" w:color="000000" w:sz="4" w:space="0"/>
              <w:right w:val="single" w:color="000000" w:sz="4" w:space="0"/>
            </w:tcBorders>
          </w:tcPr>
          <w:p w14:paraId="38BDD05F">
            <w:pPr>
              <w:rPr>
                <w:sz w:val="18"/>
                <w:szCs w:val="18"/>
              </w:rPr>
            </w:pPr>
          </w:p>
        </w:tc>
        <w:tc>
          <w:tcPr>
            <w:tcW w:w="5978" w:type="dxa"/>
            <w:tcBorders>
              <w:top w:val="single" w:color="000000" w:sz="4" w:space="0"/>
              <w:left w:val="single" w:color="000000" w:sz="4" w:space="0"/>
              <w:bottom w:val="single" w:color="000000" w:sz="4" w:space="0"/>
              <w:right w:val="single" w:color="000000" w:sz="4" w:space="0"/>
            </w:tcBorders>
            <w:vAlign w:val="top"/>
          </w:tcPr>
          <w:p w14:paraId="518E90AB">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对单位：工程合同价款</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3</w:t>
            </w:r>
            <w:r>
              <w:rPr>
                <w:rFonts w:hint="eastAsia" w:ascii="宋体" w:hAnsi="宋体" w:eastAsia="宋体"/>
                <w:color w:val="000000"/>
                <w:sz w:val="18"/>
                <w:szCs w:val="18"/>
              </w:rPr>
              <w:t>％以下罚款</w:t>
            </w:r>
          </w:p>
          <w:p w14:paraId="2D368B01">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1A7E3A8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15" w:hRule="atLeast"/>
        </w:trPr>
        <w:tc>
          <w:tcPr>
            <w:tcW w:w="1212" w:type="dxa"/>
            <w:vMerge w:val="continue"/>
            <w:tcBorders>
              <w:top w:val="single" w:color="000000" w:sz="4" w:space="0"/>
              <w:left w:val="single" w:color="000000" w:sz="4" w:space="0"/>
              <w:bottom w:val="single" w:color="000000" w:sz="4" w:space="0"/>
              <w:right w:val="single" w:color="000000" w:sz="4" w:space="0"/>
            </w:tcBorders>
          </w:tcPr>
          <w:p w14:paraId="3F677AB3">
            <w:pPr>
              <w:rPr>
                <w:sz w:val="18"/>
                <w:szCs w:val="18"/>
              </w:rPr>
            </w:pPr>
          </w:p>
        </w:tc>
        <w:tc>
          <w:tcPr>
            <w:tcW w:w="5337" w:type="dxa"/>
            <w:tcBorders>
              <w:top w:val="single" w:color="000000" w:sz="4" w:space="0"/>
              <w:left w:val="single" w:color="000000" w:sz="4" w:space="0"/>
              <w:bottom w:val="single" w:color="000000" w:sz="4" w:space="0"/>
              <w:right w:val="single" w:color="000000" w:sz="4" w:space="0"/>
            </w:tcBorders>
            <w:vAlign w:val="top"/>
          </w:tcPr>
          <w:p w14:paraId="251B20B8">
            <w:pPr>
              <w:wordWrap w:val="0"/>
              <w:autoSpaceDE w:val="0"/>
              <w:autoSpaceDN w:val="0"/>
              <w:spacing w:before="200" w:after="0" w:line="246" w:lineRule="exact"/>
              <w:ind w:firstLine="80"/>
              <w:jc w:val="both"/>
              <w:rPr>
                <w:sz w:val="18"/>
                <w:szCs w:val="18"/>
              </w:rPr>
            </w:pPr>
            <w:r>
              <w:rPr>
                <w:rFonts w:hint="eastAsia" w:ascii="宋体" w:hAnsi="宋体" w:eastAsia="宋体"/>
                <w:color w:val="000000"/>
                <w:sz w:val="18"/>
                <w:szCs w:val="18"/>
              </w:rPr>
              <w:t>在主体和关键部分或造成质量事故的</w:t>
            </w:r>
          </w:p>
        </w:tc>
        <w:tc>
          <w:tcPr>
            <w:tcW w:w="1092" w:type="dxa"/>
            <w:vMerge w:val="continue"/>
            <w:tcBorders>
              <w:top w:val="single" w:color="000000" w:sz="4" w:space="0"/>
              <w:left w:val="single" w:color="000000" w:sz="4" w:space="0"/>
              <w:bottom w:val="single" w:color="000000" w:sz="4" w:space="0"/>
              <w:right w:val="single" w:color="000000" w:sz="4" w:space="0"/>
            </w:tcBorders>
          </w:tcPr>
          <w:p w14:paraId="0AD8D06A">
            <w:pPr>
              <w:rPr>
                <w:sz w:val="18"/>
                <w:szCs w:val="18"/>
              </w:rPr>
            </w:pPr>
          </w:p>
        </w:tc>
        <w:tc>
          <w:tcPr>
            <w:tcW w:w="5978" w:type="dxa"/>
            <w:tcBorders>
              <w:top w:val="single" w:color="000000" w:sz="4" w:space="0"/>
              <w:left w:val="single" w:color="000000" w:sz="4" w:space="0"/>
              <w:bottom w:val="single" w:color="000000" w:sz="4" w:space="0"/>
              <w:right w:val="single" w:color="000000" w:sz="4" w:space="0"/>
            </w:tcBorders>
            <w:vAlign w:val="top"/>
          </w:tcPr>
          <w:p w14:paraId="119CDB62">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对单位：工程合同价款</w:t>
            </w:r>
            <w:r>
              <w:rPr>
                <w:rFonts w:hint="eastAsia" w:ascii="Calibri" w:hAnsi="Calibri" w:eastAsia="Calibri"/>
                <w:color w:val="000000"/>
                <w:sz w:val="18"/>
                <w:szCs w:val="18"/>
              </w:rPr>
              <w:t>3</w:t>
            </w:r>
            <w:r>
              <w:rPr>
                <w:rFonts w:hint="eastAsia" w:ascii="宋体" w:hAnsi="宋体" w:eastAsia="宋体"/>
                <w:color w:val="000000"/>
                <w:sz w:val="18"/>
                <w:szCs w:val="18"/>
              </w:rPr>
              <w:t>％以上</w:t>
            </w:r>
            <w:r>
              <w:rPr>
                <w:rFonts w:hint="eastAsia" w:ascii="Calibri" w:hAnsi="Calibri" w:eastAsia="Calibri"/>
                <w:color w:val="000000"/>
                <w:sz w:val="18"/>
                <w:szCs w:val="18"/>
              </w:rPr>
              <w:t>4</w:t>
            </w:r>
            <w:r>
              <w:rPr>
                <w:rFonts w:hint="eastAsia" w:ascii="宋体" w:hAnsi="宋体" w:eastAsia="宋体"/>
                <w:color w:val="000000"/>
                <w:sz w:val="18"/>
                <w:szCs w:val="18"/>
              </w:rPr>
              <w:t>％以下罚款</w:t>
            </w:r>
          </w:p>
          <w:p w14:paraId="7AC1D77C">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28916FDC">
      <w:pPr>
        <w:rPr>
          <w:sz w:val="18"/>
          <w:szCs w:val="18"/>
        </w:rPr>
      </w:pPr>
    </w:p>
    <w:tbl>
      <w:tblPr>
        <w:tblStyle w:val="15"/>
        <w:tblW w:w="13940" w:type="dxa"/>
        <w:tblInd w:w="14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20"/>
        <w:gridCol w:w="1182"/>
        <w:gridCol w:w="18"/>
        <w:gridCol w:w="5423"/>
        <w:gridCol w:w="97"/>
        <w:gridCol w:w="867"/>
        <w:gridCol w:w="153"/>
        <w:gridCol w:w="5839"/>
        <w:gridCol w:w="341"/>
      </w:tblGrid>
      <w:tr w14:paraId="022DD60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gridBefore w:val="1"/>
          <w:gridAfter w:val="1"/>
          <w:wBefore w:w="20" w:type="dxa"/>
          <w:wAfter w:w="341" w:type="dxa"/>
          <w:trHeight w:val="213" w:hRule="atLeast"/>
        </w:trPr>
        <w:tc>
          <w:tcPr>
            <w:tcW w:w="1182" w:type="dxa"/>
            <w:tcBorders>
              <w:top w:val="single" w:color="000000" w:sz="4" w:space="0"/>
              <w:left w:val="single" w:color="000000" w:sz="4" w:space="0"/>
              <w:bottom w:val="single" w:color="000000" w:sz="4" w:space="0"/>
              <w:right w:val="single" w:color="000000" w:sz="4" w:space="0"/>
            </w:tcBorders>
            <w:vAlign w:val="top"/>
          </w:tcPr>
          <w:p w14:paraId="56BDB0D7">
            <w:pPr>
              <w:wordWrap w:val="0"/>
              <w:autoSpaceDE w:val="0"/>
              <w:autoSpaceDN w:val="0"/>
              <w:spacing w:before="0" w:after="0" w:line="200" w:lineRule="exact"/>
              <w:ind w:firstLine="340"/>
              <w:jc w:val="both"/>
              <w:rPr>
                <w:sz w:val="18"/>
                <w:szCs w:val="18"/>
              </w:rPr>
            </w:pPr>
            <w:r>
              <w:rPr>
                <w:rFonts w:hint="eastAsia" w:ascii="宋体" w:hAnsi="宋体" w:eastAsia="宋体"/>
                <w:color w:val="000000"/>
                <w:sz w:val="18"/>
                <w:szCs w:val="18"/>
              </w:rPr>
              <w:t>序号</w:t>
            </w:r>
          </w:p>
        </w:tc>
        <w:tc>
          <w:tcPr>
            <w:tcW w:w="12397" w:type="dxa"/>
            <w:gridSpan w:val="6"/>
            <w:tcBorders>
              <w:top w:val="single" w:color="000000" w:sz="4" w:space="0"/>
              <w:left w:val="single" w:color="000000" w:sz="4" w:space="0"/>
              <w:bottom w:val="single" w:color="000000" w:sz="4" w:space="0"/>
              <w:right w:val="single" w:color="000000" w:sz="4" w:space="0"/>
            </w:tcBorders>
            <w:vAlign w:val="top"/>
          </w:tcPr>
          <w:p w14:paraId="3DEAD3F3">
            <w:pPr>
              <w:wordWrap w:val="0"/>
              <w:autoSpaceDE w:val="0"/>
              <w:autoSpaceDN w:val="0"/>
              <w:spacing w:before="0" w:after="0" w:line="200" w:lineRule="exact"/>
              <w:ind w:firstLine="80"/>
              <w:jc w:val="both"/>
              <w:rPr>
                <w:sz w:val="18"/>
                <w:szCs w:val="18"/>
              </w:rPr>
            </w:pPr>
            <w:r>
              <w:rPr>
                <w:rFonts w:hint="eastAsia" w:ascii="Calibri" w:hAnsi="Calibri" w:eastAsia="Calibri"/>
                <w:color w:val="000000"/>
                <w:sz w:val="18"/>
                <w:szCs w:val="18"/>
              </w:rPr>
              <w:t>6</w:t>
            </w:r>
          </w:p>
        </w:tc>
      </w:tr>
      <w:tr w14:paraId="1743EAD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gridBefore w:val="1"/>
          <w:gridAfter w:val="1"/>
          <w:wBefore w:w="20" w:type="dxa"/>
          <w:wAfter w:w="341" w:type="dxa"/>
          <w:trHeight w:val="254" w:hRule="atLeast"/>
        </w:trPr>
        <w:tc>
          <w:tcPr>
            <w:tcW w:w="1182" w:type="dxa"/>
            <w:tcBorders>
              <w:top w:val="single" w:color="000000" w:sz="4" w:space="0"/>
              <w:left w:val="single" w:color="000000" w:sz="4" w:space="0"/>
              <w:bottom w:val="single" w:color="000000" w:sz="4" w:space="0"/>
              <w:right w:val="single" w:color="000000" w:sz="4" w:space="0"/>
            </w:tcBorders>
            <w:vAlign w:val="top"/>
          </w:tcPr>
          <w:p w14:paraId="2B26091E">
            <w:pPr>
              <w:wordWrap w:val="0"/>
              <w:autoSpaceDE w:val="0"/>
              <w:autoSpaceDN w:val="0"/>
              <w:spacing w:before="0" w:after="0" w:line="240" w:lineRule="exact"/>
              <w:ind w:firstLine="340"/>
              <w:jc w:val="both"/>
              <w:rPr>
                <w:sz w:val="18"/>
                <w:szCs w:val="18"/>
              </w:rPr>
            </w:pPr>
            <w:r>
              <w:rPr>
                <w:rFonts w:hint="eastAsia" w:ascii="宋体" w:hAnsi="宋体" w:eastAsia="宋体"/>
                <w:color w:val="000000"/>
                <w:sz w:val="18"/>
                <w:szCs w:val="18"/>
              </w:rPr>
              <w:t>编号</w:t>
            </w:r>
          </w:p>
        </w:tc>
        <w:tc>
          <w:tcPr>
            <w:tcW w:w="12397" w:type="dxa"/>
            <w:gridSpan w:val="6"/>
            <w:tcBorders>
              <w:top w:val="single" w:color="000000" w:sz="4" w:space="0"/>
              <w:left w:val="single" w:color="000000" w:sz="4" w:space="0"/>
              <w:bottom w:val="single" w:color="000000" w:sz="4" w:space="0"/>
              <w:right w:val="single" w:color="000000" w:sz="4" w:space="0"/>
            </w:tcBorders>
            <w:vAlign w:val="top"/>
          </w:tcPr>
          <w:p w14:paraId="51626525">
            <w:pPr>
              <w:wordWrap w:val="0"/>
              <w:autoSpaceDE w:val="0"/>
              <w:autoSpaceDN w:val="0"/>
              <w:spacing w:before="0" w:after="0" w:line="240" w:lineRule="exact"/>
              <w:ind w:firstLine="60"/>
              <w:jc w:val="both"/>
              <w:rPr>
                <w:sz w:val="18"/>
                <w:szCs w:val="18"/>
              </w:rPr>
            </w:pPr>
            <w:r>
              <w:rPr>
                <w:rFonts w:hint="eastAsia" w:ascii="Calibri" w:hAnsi="Calibri" w:eastAsia="Calibri"/>
                <w:color w:val="000000"/>
                <w:sz w:val="18"/>
                <w:szCs w:val="18"/>
              </w:rPr>
              <w:t>320280006000</w:t>
            </w:r>
          </w:p>
        </w:tc>
      </w:tr>
      <w:tr w14:paraId="47CC840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gridBefore w:val="1"/>
          <w:gridAfter w:val="1"/>
          <w:wBefore w:w="20" w:type="dxa"/>
          <w:wAfter w:w="341" w:type="dxa"/>
          <w:trHeight w:val="193" w:hRule="atLeast"/>
        </w:trPr>
        <w:tc>
          <w:tcPr>
            <w:tcW w:w="1182" w:type="dxa"/>
            <w:tcBorders>
              <w:top w:val="single" w:color="000000" w:sz="4" w:space="0"/>
              <w:left w:val="single" w:color="000000" w:sz="4" w:space="0"/>
              <w:bottom w:val="single" w:color="000000" w:sz="4" w:space="0"/>
              <w:right w:val="single" w:color="000000" w:sz="4" w:space="0"/>
            </w:tcBorders>
            <w:vAlign w:val="top"/>
          </w:tcPr>
          <w:p w14:paraId="3800FE21">
            <w:pPr>
              <w:wordWrap w:val="0"/>
              <w:autoSpaceDE w:val="0"/>
              <w:autoSpaceDN w:val="0"/>
              <w:spacing w:before="0" w:after="0" w:line="180" w:lineRule="exact"/>
              <w:ind w:firstLine="220"/>
              <w:jc w:val="both"/>
              <w:rPr>
                <w:sz w:val="18"/>
                <w:szCs w:val="18"/>
              </w:rPr>
            </w:pPr>
            <w:r>
              <w:rPr>
                <w:rFonts w:hint="eastAsia" w:ascii="宋体" w:hAnsi="宋体" w:eastAsia="宋体"/>
                <w:color w:val="000000"/>
                <w:sz w:val="18"/>
                <w:szCs w:val="18"/>
              </w:rPr>
              <w:t>行为名称</w:t>
            </w:r>
          </w:p>
        </w:tc>
        <w:tc>
          <w:tcPr>
            <w:tcW w:w="12397" w:type="dxa"/>
            <w:gridSpan w:val="6"/>
            <w:tcBorders>
              <w:top w:val="single" w:color="000000" w:sz="4" w:space="0"/>
              <w:left w:val="single" w:color="000000" w:sz="4" w:space="0"/>
              <w:bottom w:val="single" w:color="000000" w:sz="4" w:space="0"/>
              <w:right w:val="single" w:color="000000" w:sz="4" w:space="0"/>
            </w:tcBorders>
            <w:vAlign w:val="top"/>
          </w:tcPr>
          <w:p w14:paraId="05803438">
            <w:pPr>
              <w:wordWrap w:val="0"/>
              <w:autoSpaceDE w:val="0"/>
              <w:autoSpaceDN w:val="0"/>
              <w:spacing w:before="0" w:after="0" w:line="180" w:lineRule="exact"/>
              <w:ind w:firstLine="100"/>
              <w:jc w:val="both"/>
              <w:rPr>
                <w:sz w:val="18"/>
                <w:szCs w:val="18"/>
              </w:rPr>
            </w:pPr>
            <w:r>
              <w:rPr>
                <w:rFonts w:hint="eastAsia" w:ascii="宋体" w:hAnsi="宋体" w:eastAsia="宋体"/>
                <w:color w:val="000000"/>
                <w:sz w:val="18"/>
                <w:szCs w:val="18"/>
              </w:rPr>
              <w:t>对人民防空工程建设单位未组织竣工验收、验收不合格擅自交付使用，对不合格的建设工程按照合格工程验收的处罚</w:t>
            </w:r>
          </w:p>
        </w:tc>
      </w:tr>
      <w:tr w14:paraId="457E0EA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gridBefore w:val="1"/>
          <w:gridAfter w:val="1"/>
          <w:wBefore w:w="20" w:type="dxa"/>
          <w:wAfter w:w="341" w:type="dxa"/>
          <w:trHeight w:val="4188" w:hRule="atLeast"/>
        </w:trPr>
        <w:tc>
          <w:tcPr>
            <w:tcW w:w="1182" w:type="dxa"/>
            <w:tcBorders>
              <w:top w:val="single" w:color="000000" w:sz="4" w:space="0"/>
              <w:left w:val="single" w:color="000000" w:sz="4" w:space="0"/>
              <w:bottom w:val="single" w:color="000000" w:sz="4" w:space="0"/>
              <w:right w:val="single" w:color="000000" w:sz="4" w:space="0"/>
            </w:tcBorders>
            <w:vAlign w:val="top"/>
          </w:tcPr>
          <w:p w14:paraId="028CB1B0">
            <w:pPr>
              <w:wordWrap w:val="0"/>
              <w:autoSpaceDE w:val="0"/>
              <w:autoSpaceDN w:val="0"/>
              <w:spacing w:before="0" w:after="0" w:line="246" w:lineRule="exact"/>
              <w:ind w:firstLine="0"/>
              <w:jc w:val="both"/>
              <w:rPr>
                <w:rFonts w:hint="eastAsia" w:ascii="宋体" w:hAnsi="宋体" w:eastAsia="宋体"/>
                <w:color w:val="000000"/>
                <w:sz w:val="18"/>
                <w:szCs w:val="18"/>
              </w:rPr>
            </w:pPr>
          </w:p>
          <w:p w14:paraId="5B360922">
            <w:pPr>
              <w:wordWrap w:val="0"/>
              <w:autoSpaceDE w:val="0"/>
              <w:autoSpaceDN w:val="0"/>
              <w:spacing w:before="0" w:after="0" w:line="246" w:lineRule="exact"/>
              <w:ind w:firstLine="0"/>
              <w:jc w:val="both"/>
              <w:rPr>
                <w:rFonts w:hint="eastAsia" w:ascii="宋体" w:hAnsi="宋体" w:eastAsia="宋体"/>
                <w:color w:val="000000"/>
                <w:sz w:val="18"/>
                <w:szCs w:val="18"/>
              </w:rPr>
            </w:pPr>
          </w:p>
          <w:p w14:paraId="1A958342">
            <w:pPr>
              <w:wordWrap w:val="0"/>
              <w:autoSpaceDE w:val="0"/>
              <w:autoSpaceDN w:val="0"/>
              <w:spacing w:before="0" w:after="0" w:line="246" w:lineRule="exact"/>
              <w:ind w:firstLine="0"/>
              <w:jc w:val="both"/>
              <w:rPr>
                <w:rFonts w:hint="eastAsia" w:ascii="宋体" w:hAnsi="宋体" w:eastAsia="宋体"/>
                <w:color w:val="000000"/>
                <w:sz w:val="18"/>
                <w:szCs w:val="18"/>
              </w:rPr>
            </w:pPr>
          </w:p>
          <w:p w14:paraId="5BC7F783">
            <w:pPr>
              <w:wordWrap w:val="0"/>
              <w:autoSpaceDE w:val="0"/>
              <w:autoSpaceDN w:val="0"/>
              <w:spacing w:before="0" w:after="0" w:line="246" w:lineRule="exact"/>
              <w:ind w:firstLine="0"/>
              <w:jc w:val="both"/>
              <w:rPr>
                <w:rFonts w:hint="eastAsia" w:ascii="宋体" w:hAnsi="宋体" w:eastAsia="宋体"/>
                <w:color w:val="000000"/>
                <w:sz w:val="18"/>
                <w:szCs w:val="18"/>
              </w:rPr>
            </w:pPr>
          </w:p>
          <w:p w14:paraId="29391FB0">
            <w:pPr>
              <w:wordWrap w:val="0"/>
              <w:autoSpaceDE w:val="0"/>
              <w:autoSpaceDN w:val="0"/>
              <w:spacing w:before="0" w:after="0" w:line="246" w:lineRule="exact"/>
              <w:ind w:firstLine="0"/>
              <w:jc w:val="both"/>
              <w:rPr>
                <w:rFonts w:hint="eastAsia" w:ascii="宋体" w:hAnsi="宋体" w:eastAsia="宋体"/>
                <w:color w:val="000000"/>
                <w:sz w:val="18"/>
                <w:szCs w:val="18"/>
              </w:rPr>
            </w:pPr>
          </w:p>
          <w:p w14:paraId="39EA5090">
            <w:pPr>
              <w:wordWrap w:val="0"/>
              <w:autoSpaceDE w:val="0"/>
              <w:autoSpaceDN w:val="0"/>
              <w:spacing w:before="0" w:after="0" w:line="246" w:lineRule="exact"/>
              <w:ind w:firstLine="0"/>
              <w:jc w:val="both"/>
              <w:rPr>
                <w:rFonts w:hint="eastAsia" w:ascii="宋体" w:hAnsi="宋体" w:eastAsia="宋体"/>
                <w:color w:val="000000"/>
                <w:sz w:val="18"/>
                <w:szCs w:val="18"/>
              </w:rPr>
            </w:pPr>
          </w:p>
          <w:p w14:paraId="449BAF25">
            <w:pPr>
              <w:wordWrap w:val="0"/>
              <w:autoSpaceDE w:val="0"/>
              <w:autoSpaceDN w:val="0"/>
              <w:spacing w:before="0" w:after="0" w:line="246" w:lineRule="exact"/>
              <w:ind w:firstLine="0"/>
              <w:jc w:val="both"/>
              <w:rPr>
                <w:rFonts w:hint="eastAsia" w:ascii="宋体" w:hAnsi="宋体" w:eastAsia="宋体"/>
                <w:color w:val="000000"/>
                <w:sz w:val="18"/>
                <w:szCs w:val="18"/>
              </w:rPr>
            </w:pPr>
          </w:p>
          <w:p w14:paraId="11B4CEF7">
            <w:pPr>
              <w:wordWrap w:val="0"/>
              <w:autoSpaceDE w:val="0"/>
              <w:autoSpaceDN w:val="0"/>
              <w:spacing w:before="235" w:after="0" w:line="246" w:lineRule="exact"/>
              <w:ind w:firstLine="240"/>
              <w:jc w:val="both"/>
              <w:rPr>
                <w:sz w:val="18"/>
                <w:szCs w:val="18"/>
              </w:rPr>
            </w:pPr>
            <w:r>
              <w:rPr>
                <w:rFonts w:hint="eastAsia" w:ascii="宋体" w:hAnsi="宋体" w:eastAsia="宋体"/>
                <w:color w:val="000000"/>
                <w:sz w:val="18"/>
                <w:szCs w:val="18"/>
              </w:rPr>
              <w:t>法律依据</w:t>
            </w:r>
          </w:p>
        </w:tc>
        <w:tc>
          <w:tcPr>
            <w:tcW w:w="12397" w:type="dxa"/>
            <w:gridSpan w:val="6"/>
            <w:tcBorders>
              <w:top w:val="single" w:color="000000" w:sz="4" w:space="0"/>
              <w:left w:val="single" w:color="000000" w:sz="4" w:space="0"/>
              <w:bottom w:val="single" w:color="000000" w:sz="4" w:space="0"/>
              <w:right w:val="single" w:color="000000" w:sz="4" w:space="0"/>
            </w:tcBorders>
            <w:vAlign w:val="top"/>
          </w:tcPr>
          <w:p w14:paraId="00DAE1B9">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670A9553">
            <w:pPr>
              <w:wordWrap w:val="0"/>
              <w:autoSpaceDE w:val="0"/>
              <w:autoSpaceDN w:val="0"/>
              <w:spacing w:before="0" w:after="0" w:line="200" w:lineRule="exact"/>
              <w:ind w:firstLine="520"/>
              <w:jc w:val="both"/>
              <w:rPr>
                <w:sz w:val="18"/>
                <w:szCs w:val="18"/>
              </w:rPr>
            </w:pPr>
            <w:r>
              <w:rPr>
                <w:rFonts w:hint="eastAsia" w:ascii="宋体" w:hAnsi="宋体" w:eastAsia="宋体"/>
                <w:color w:val="000000"/>
                <w:sz w:val="18"/>
                <w:szCs w:val="18"/>
              </w:rPr>
              <w:t>第十六条第三款 建设工程经验收合格的，方可交付使用。</w:t>
            </w:r>
          </w:p>
          <w:p w14:paraId="3A792387">
            <w:pPr>
              <w:wordWrap w:val="0"/>
              <w:autoSpaceDE w:val="0"/>
              <w:autoSpaceDN w:val="0"/>
              <w:spacing w:before="213" w:after="0" w:line="246" w:lineRule="exact"/>
              <w:ind w:left="100" w:right="40" w:firstLine="420"/>
              <w:jc w:val="both"/>
              <w:rPr>
                <w:sz w:val="18"/>
                <w:szCs w:val="18"/>
              </w:rPr>
            </w:pPr>
            <w:r>
              <w:rPr>
                <w:rFonts w:hint="eastAsia" w:ascii="宋体" w:hAnsi="宋体" w:eastAsia="宋体"/>
                <w:color w:val="000000"/>
                <w:sz w:val="18"/>
                <w:szCs w:val="18"/>
              </w:rPr>
              <w:t>第五十八条 违反本条例规定，建设单位有下列行为之一的，责令改正，处工程合同价款</w:t>
            </w:r>
            <w:r>
              <w:rPr>
                <w:rFonts w:hint="eastAsia" w:ascii="Calibri" w:hAnsi="Calibri" w:eastAsia="Calibri"/>
                <w:color w:val="000000"/>
                <w:sz w:val="18"/>
                <w:szCs w:val="18"/>
              </w:rPr>
              <w:t>2</w:t>
            </w:r>
            <w:r>
              <w:rPr>
                <w:rFonts w:hint="eastAsia" w:ascii="宋体" w:hAnsi="宋体" w:eastAsia="宋体"/>
                <w:color w:val="000000"/>
                <w:sz w:val="18"/>
                <w:szCs w:val="18"/>
              </w:rPr>
              <w:t>％以上</w:t>
            </w:r>
            <w:r>
              <w:rPr>
                <w:rFonts w:hint="eastAsia" w:ascii="Calibri" w:hAnsi="Calibri" w:eastAsia="Calibri"/>
                <w:color w:val="000000"/>
                <w:sz w:val="18"/>
                <w:szCs w:val="18"/>
              </w:rPr>
              <w:t>4</w:t>
            </w:r>
            <w:r>
              <w:rPr>
                <w:rFonts w:hint="eastAsia" w:ascii="宋体" w:hAnsi="宋体" w:eastAsia="宋体"/>
                <w:color w:val="000000"/>
                <w:sz w:val="18"/>
                <w:szCs w:val="18"/>
              </w:rPr>
              <w:t>％以下的罚款；造成损失的，依法承担赔偿责任：</w:t>
            </w:r>
          </w:p>
          <w:p w14:paraId="5FD8DA99">
            <w:pPr>
              <w:wordWrap w:val="0"/>
              <w:autoSpaceDE w:val="0"/>
              <w:autoSpaceDN w:val="0"/>
              <w:spacing w:before="0" w:after="0" w:line="200" w:lineRule="exact"/>
              <w:ind w:firstLine="560"/>
              <w:jc w:val="both"/>
              <w:rPr>
                <w:sz w:val="18"/>
                <w:szCs w:val="18"/>
              </w:rPr>
            </w:pPr>
            <w:r>
              <w:rPr>
                <w:rFonts w:hint="eastAsia" w:ascii="宋体" w:hAnsi="宋体" w:eastAsia="宋体"/>
                <w:color w:val="000000"/>
                <w:sz w:val="18"/>
                <w:szCs w:val="18"/>
              </w:rPr>
              <w:t>（一）未组织竣工验收，擅自交付使用的；</w:t>
            </w:r>
          </w:p>
          <w:p w14:paraId="3DA4FE1B">
            <w:pPr>
              <w:wordWrap w:val="0"/>
              <w:autoSpaceDE w:val="0"/>
              <w:autoSpaceDN w:val="0"/>
              <w:spacing w:before="0" w:after="0" w:line="220" w:lineRule="exact"/>
              <w:ind w:firstLine="580"/>
              <w:jc w:val="both"/>
              <w:rPr>
                <w:sz w:val="18"/>
                <w:szCs w:val="18"/>
              </w:rPr>
            </w:pPr>
            <w:r>
              <w:rPr>
                <w:rFonts w:hint="eastAsia" w:ascii="宋体" w:hAnsi="宋体" w:eastAsia="宋体"/>
                <w:color w:val="000000"/>
                <w:sz w:val="18"/>
                <w:szCs w:val="18"/>
              </w:rPr>
              <w:t>（二）验收不合格，擅自交付使用的；</w:t>
            </w:r>
          </w:p>
          <w:p w14:paraId="72899F0D">
            <w:pPr>
              <w:wordWrap w:val="0"/>
              <w:autoSpaceDE w:val="0"/>
              <w:autoSpaceDN w:val="0"/>
              <w:spacing w:before="0" w:after="0" w:line="220" w:lineRule="exact"/>
              <w:ind w:firstLine="560"/>
              <w:jc w:val="both"/>
              <w:rPr>
                <w:sz w:val="18"/>
                <w:szCs w:val="18"/>
              </w:rPr>
            </w:pPr>
            <w:r>
              <w:rPr>
                <w:rFonts w:hint="eastAsia" w:ascii="宋体" w:hAnsi="宋体" w:eastAsia="宋体"/>
                <w:color w:val="000000"/>
                <w:sz w:val="18"/>
                <w:szCs w:val="18"/>
              </w:rPr>
              <w:t>（三）对不合格的建设工程按照合格工程验收的。</w:t>
            </w:r>
          </w:p>
          <w:p w14:paraId="3D5CD350">
            <w:pPr>
              <w:wordWrap w:val="0"/>
              <w:autoSpaceDE w:val="0"/>
              <w:autoSpaceDN w:val="0"/>
              <w:spacing w:before="193" w:after="0" w:line="246" w:lineRule="exact"/>
              <w:ind w:left="100" w:right="60" w:firstLine="42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％的罚款。</w:t>
            </w:r>
          </w:p>
          <w:p w14:paraId="21907F9F">
            <w:pPr>
              <w:wordWrap w:val="0"/>
              <w:autoSpaceDE w:val="0"/>
              <w:autoSpaceDN w:val="0"/>
              <w:spacing w:before="0" w:after="0" w:line="220" w:lineRule="exact"/>
              <w:ind w:left="120" w:right="60" w:firstLine="40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4530C711">
            <w:pPr>
              <w:wordWrap w:val="0"/>
              <w:autoSpaceDE w:val="0"/>
              <w:autoSpaceDN w:val="0"/>
              <w:spacing w:before="0" w:after="0" w:line="220"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4856C1E3">
            <w:pPr>
              <w:wordWrap w:val="0"/>
              <w:autoSpaceDE w:val="0"/>
              <w:autoSpaceDN w:val="0"/>
              <w:spacing w:before="0" w:after="0" w:line="220" w:lineRule="exact"/>
              <w:ind w:left="120" w:right="40" w:firstLine="420"/>
              <w:jc w:val="both"/>
              <w:rPr>
                <w:sz w:val="18"/>
                <w:szCs w:val="18"/>
              </w:rPr>
            </w:pPr>
            <w:r>
              <w:rPr>
                <w:rFonts w:hint="eastAsia" w:ascii="宋体" w:hAnsi="宋体" w:eastAsia="宋体"/>
                <w:color w:val="000000"/>
                <w:sz w:val="18"/>
                <w:szCs w:val="18"/>
              </w:rPr>
              <w:t>第十二条第一款 城市新建民用建筑，必须按照国家有关规定修建战时可用于防空的地下室（以下简称防空地下室），并与地面建筑同步规划、设计、建设、竣工验收，其建设经费纳入建设项目投资计划。</w:t>
            </w:r>
          </w:p>
          <w:p w14:paraId="658247C5">
            <w:pPr>
              <w:wordWrap w:val="0"/>
              <w:autoSpaceDE w:val="0"/>
              <w:autoSpaceDN w:val="0"/>
              <w:spacing w:before="0" w:after="0" w:line="220" w:lineRule="exact"/>
              <w:ind w:left="120" w:right="60" w:firstLine="400"/>
              <w:jc w:val="both"/>
              <w:rPr>
                <w:sz w:val="18"/>
                <w:szCs w:val="18"/>
              </w:rPr>
            </w:pPr>
            <w:r>
              <w:rPr>
                <w:rFonts w:hint="eastAsia" w:ascii="宋体" w:hAnsi="宋体" w:eastAsia="宋体"/>
                <w:color w:val="000000"/>
                <w:sz w:val="18"/>
                <w:szCs w:val="18"/>
              </w:rPr>
              <w:t>第三十四条第一款 违反本办法第十八条第一款规定，或者有下列行为之一的，由人防主管部门对当事人给予警告，并责令限期改正违法行为，可以对个人并处一千元以上五千元以下的罚款，对单位并处一万元以上至五万元以下的罚款；造成损失的，应当依法赔偿损失：</w:t>
            </w:r>
          </w:p>
          <w:p w14:paraId="6764081D">
            <w:pPr>
              <w:wordWrap w:val="0"/>
              <w:autoSpaceDE w:val="0"/>
              <w:autoSpaceDN w:val="0"/>
              <w:spacing w:before="0" w:after="0" w:line="220" w:lineRule="exact"/>
              <w:ind w:firstLine="560"/>
              <w:jc w:val="both"/>
              <w:rPr>
                <w:sz w:val="18"/>
                <w:szCs w:val="18"/>
              </w:rPr>
            </w:pPr>
            <w:r>
              <w:rPr>
                <w:rFonts w:hint="eastAsia" w:ascii="宋体" w:hAnsi="宋体" w:eastAsia="宋体"/>
                <w:color w:val="000000"/>
                <w:sz w:val="18"/>
                <w:szCs w:val="18"/>
              </w:rPr>
              <w:t>（六）人民防空工程未组织竣工验收或验收不合格擅自交付使用的；</w:t>
            </w:r>
          </w:p>
          <w:p w14:paraId="7324A2C9">
            <w:pPr>
              <w:wordWrap w:val="0"/>
              <w:autoSpaceDE w:val="0"/>
              <w:autoSpaceDN w:val="0"/>
              <w:spacing w:before="0" w:after="0" w:line="180" w:lineRule="exact"/>
              <w:ind w:left="120" w:right="4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10363DE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gridBefore w:val="1"/>
          <w:gridAfter w:val="1"/>
          <w:wBefore w:w="20" w:type="dxa"/>
          <w:wAfter w:w="341" w:type="dxa"/>
          <w:trHeight w:val="213" w:hRule="atLeast"/>
        </w:trPr>
        <w:tc>
          <w:tcPr>
            <w:tcW w:w="1182" w:type="dxa"/>
            <w:tcBorders>
              <w:top w:val="single" w:color="000000" w:sz="4" w:space="0"/>
              <w:left w:val="single" w:color="000000" w:sz="4" w:space="0"/>
              <w:bottom w:val="single" w:color="000000" w:sz="4" w:space="0"/>
              <w:right w:val="single" w:color="000000" w:sz="4" w:space="0"/>
            </w:tcBorders>
            <w:vAlign w:val="top"/>
          </w:tcPr>
          <w:p w14:paraId="6D364996">
            <w:pPr>
              <w:wordWrap w:val="0"/>
              <w:autoSpaceDE w:val="0"/>
              <w:autoSpaceDN w:val="0"/>
              <w:spacing w:before="0" w:after="0" w:line="200" w:lineRule="exact"/>
              <w:ind w:firstLine="240"/>
              <w:jc w:val="both"/>
              <w:rPr>
                <w:sz w:val="18"/>
                <w:szCs w:val="18"/>
              </w:rPr>
            </w:pPr>
            <w:r>
              <w:rPr>
                <w:rFonts w:hint="eastAsia" w:ascii="宋体" w:hAnsi="宋体" w:eastAsia="宋体"/>
                <w:color w:val="000000"/>
                <w:sz w:val="18"/>
                <w:szCs w:val="18"/>
              </w:rPr>
              <w:t>处罚种类</w:t>
            </w:r>
          </w:p>
        </w:tc>
        <w:tc>
          <w:tcPr>
            <w:tcW w:w="12397" w:type="dxa"/>
            <w:gridSpan w:val="6"/>
            <w:tcBorders>
              <w:top w:val="single" w:color="000000" w:sz="4" w:space="0"/>
              <w:left w:val="single" w:color="000000" w:sz="4" w:space="0"/>
              <w:bottom w:val="single" w:color="000000" w:sz="4" w:space="0"/>
              <w:right w:val="single" w:color="000000" w:sz="4" w:space="0"/>
            </w:tcBorders>
            <w:vAlign w:val="top"/>
          </w:tcPr>
          <w:p w14:paraId="7855FBFB">
            <w:pPr>
              <w:wordWrap w:val="0"/>
              <w:autoSpaceDE w:val="0"/>
              <w:autoSpaceDN w:val="0"/>
              <w:spacing w:before="0" w:after="0" w:line="200" w:lineRule="exact"/>
              <w:ind w:firstLine="100"/>
              <w:jc w:val="both"/>
              <w:rPr>
                <w:sz w:val="18"/>
                <w:szCs w:val="18"/>
              </w:rPr>
            </w:pPr>
            <w:r>
              <w:rPr>
                <w:rFonts w:hint="eastAsia" w:ascii="宋体" w:hAnsi="宋体" w:eastAsia="宋体"/>
                <w:color w:val="000000"/>
                <w:sz w:val="18"/>
                <w:szCs w:val="18"/>
              </w:rPr>
              <w:t>罚款</w:t>
            </w:r>
          </w:p>
        </w:tc>
      </w:tr>
      <w:tr w14:paraId="22A9678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gridBefore w:val="1"/>
          <w:gridAfter w:val="1"/>
          <w:wBefore w:w="20" w:type="dxa"/>
          <w:wAfter w:w="341" w:type="dxa"/>
          <w:trHeight w:val="193" w:hRule="atLeast"/>
        </w:trPr>
        <w:tc>
          <w:tcPr>
            <w:tcW w:w="13579" w:type="dxa"/>
            <w:gridSpan w:val="7"/>
            <w:tcBorders>
              <w:top w:val="single" w:color="000000" w:sz="4" w:space="0"/>
              <w:left w:val="single" w:color="000000" w:sz="4" w:space="0"/>
              <w:bottom w:val="single" w:color="000000" w:sz="4" w:space="0"/>
              <w:right w:val="single" w:color="000000" w:sz="4" w:space="0"/>
            </w:tcBorders>
            <w:vAlign w:val="top"/>
          </w:tcPr>
          <w:p w14:paraId="1BBEEBEE">
            <w:pPr>
              <w:wordWrap w:val="0"/>
              <w:autoSpaceDE w:val="0"/>
              <w:autoSpaceDN w:val="0"/>
              <w:spacing w:before="0" w:after="0" w:line="180" w:lineRule="exact"/>
              <w:jc w:val="center"/>
              <w:rPr>
                <w:sz w:val="18"/>
                <w:szCs w:val="18"/>
              </w:rPr>
            </w:pPr>
            <w:r>
              <w:rPr>
                <w:rFonts w:hint="eastAsia" w:ascii="宋体" w:hAnsi="宋体" w:eastAsia="宋体"/>
                <w:color w:val="000000"/>
                <w:sz w:val="18"/>
                <w:szCs w:val="18"/>
              </w:rPr>
              <w:t>自由裁量基准</w:t>
            </w:r>
          </w:p>
        </w:tc>
      </w:tr>
      <w:tr w14:paraId="5797124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gridBefore w:val="1"/>
          <w:gridAfter w:val="1"/>
          <w:wBefore w:w="20" w:type="dxa"/>
          <w:wAfter w:w="341" w:type="dxa"/>
          <w:trHeight w:val="641" w:hRule="atLeast"/>
        </w:trPr>
        <w:tc>
          <w:tcPr>
            <w:tcW w:w="1182" w:type="dxa"/>
            <w:vMerge w:val="restart"/>
            <w:tcBorders>
              <w:top w:val="single" w:color="000000" w:sz="4" w:space="0"/>
              <w:left w:val="single" w:color="000000" w:sz="4" w:space="0"/>
              <w:bottom w:val="single" w:color="000000" w:sz="4" w:space="0"/>
              <w:right w:val="single" w:color="000000" w:sz="4" w:space="0"/>
            </w:tcBorders>
            <w:vAlign w:val="top"/>
          </w:tcPr>
          <w:p w14:paraId="79A15A69">
            <w:pPr>
              <w:wordWrap w:val="0"/>
              <w:autoSpaceDE w:val="0"/>
              <w:autoSpaceDN w:val="0"/>
              <w:spacing w:before="0" w:after="0" w:line="246" w:lineRule="exact"/>
              <w:ind w:firstLine="0"/>
              <w:jc w:val="both"/>
              <w:rPr>
                <w:rFonts w:hint="eastAsia" w:ascii="宋体" w:hAnsi="宋体" w:eastAsia="宋体"/>
                <w:color w:val="000000"/>
                <w:sz w:val="18"/>
                <w:szCs w:val="18"/>
              </w:rPr>
            </w:pPr>
          </w:p>
          <w:p w14:paraId="1B316C7C">
            <w:pPr>
              <w:wordWrap w:val="0"/>
              <w:autoSpaceDE w:val="0"/>
              <w:autoSpaceDN w:val="0"/>
              <w:spacing w:before="0" w:after="0" w:line="246" w:lineRule="exact"/>
              <w:ind w:firstLine="0"/>
              <w:jc w:val="both"/>
              <w:rPr>
                <w:rFonts w:hint="eastAsia" w:ascii="宋体" w:hAnsi="宋体" w:eastAsia="宋体"/>
                <w:color w:val="000000"/>
                <w:sz w:val="18"/>
                <w:szCs w:val="18"/>
              </w:rPr>
            </w:pPr>
          </w:p>
          <w:p w14:paraId="7ADD4D34">
            <w:pPr>
              <w:wordWrap w:val="0"/>
              <w:autoSpaceDE w:val="0"/>
              <w:autoSpaceDN w:val="0"/>
              <w:spacing w:before="0" w:after="0" w:line="246" w:lineRule="exact"/>
              <w:ind w:firstLine="0"/>
              <w:jc w:val="both"/>
              <w:rPr>
                <w:rFonts w:hint="eastAsia" w:ascii="宋体" w:hAnsi="宋体" w:eastAsia="宋体"/>
                <w:color w:val="000000"/>
                <w:sz w:val="18"/>
                <w:szCs w:val="18"/>
              </w:rPr>
            </w:pPr>
          </w:p>
          <w:p w14:paraId="77BABE8F">
            <w:pPr>
              <w:wordWrap w:val="0"/>
              <w:autoSpaceDE w:val="0"/>
              <w:autoSpaceDN w:val="0"/>
              <w:spacing w:before="0" w:after="0" w:line="246" w:lineRule="exact"/>
              <w:ind w:firstLine="0"/>
              <w:jc w:val="both"/>
              <w:rPr>
                <w:rFonts w:hint="eastAsia" w:ascii="宋体" w:hAnsi="宋体" w:eastAsia="宋体"/>
                <w:color w:val="000000"/>
                <w:sz w:val="18"/>
                <w:szCs w:val="18"/>
              </w:rPr>
            </w:pPr>
          </w:p>
          <w:p w14:paraId="286DA80D">
            <w:pPr>
              <w:wordWrap w:val="0"/>
              <w:autoSpaceDE w:val="0"/>
              <w:autoSpaceDN w:val="0"/>
              <w:spacing w:before="234" w:after="0" w:line="246" w:lineRule="exact"/>
              <w:ind w:firstLine="220"/>
              <w:jc w:val="both"/>
              <w:rPr>
                <w:sz w:val="18"/>
                <w:szCs w:val="18"/>
              </w:rPr>
            </w:pPr>
            <w:r>
              <w:rPr>
                <w:rFonts w:hint="eastAsia" w:ascii="宋体" w:hAnsi="宋体" w:eastAsia="宋体"/>
                <w:color w:val="000000"/>
                <w:sz w:val="18"/>
                <w:szCs w:val="18"/>
              </w:rPr>
              <w:t>情形描述</w:t>
            </w:r>
          </w:p>
        </w:tc>
        <w:tc>
          <w:tcPr>
            <w:tcW w:w="5441" w:type="dxa"/>
            <w:gridSpan w:val="2"/>
            <w:tcBorders>
              <w:top w:val="single" w:color="000000" w:sz="4" w:space="0"/>
              <w:left w:val="single" w:color="000000" w:sz="4" w:space="0"/>
              <w:bottom w:val="single" w:color="000000" w:sz="4" w:space="0"/>
              <w:right w:val="single" w:color="000000" w:sz="4" w:space="0"/>
            </w:tcBorders>
            <w:vAlign w:val="top"/>
          </w:tcPr>
          <w:p w14:paraId="0DF6001D">
            <w:pPr>
              <w:wordWrap w:val="0"/>
              <w:autoSpaceDE w:val="0"/>
              <w:autoSpaceDN w:val="0"/>
              <w:spacing w:before="0" w:after="0" w:line="240" w:lineRule="exact"/>
              <w:ind w:firstLine="1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）按照要求重新竣工验收且验收合格的</w:t>
            </w:r>
          </w:p>
          <w:p w14:paraId="6168D482">
            <w:pPr>
              <w:wordWrap w:val="0"/>
              <w:autoSpaceDE w:val="0"/>
              <w:autoSpaceDN w:val="0"/>
              <w:spacing w:before="0" w:after="0" w:line="220"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）仅非主体、非关键部分不合格且按照要求改正的</w:t>
            </w:r>
          </w:p>
          <w:p w14:paraId="27A7B10B">
            <w:pPr>
              <w:wordWrap w:val="0"/>
              <w:autoSpaceDE w:val="0"/>
              <w:autoSpaceDN w:val="0"/>
              <w:spacing w:before="0" w:after="0" w:line="160"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）按照要求改正后重新验收合格的</w:t>
            </w:r>
          </w:p>
        </w:tc>
        <w:tc>
          <w:tcPr>
            <w:tcW w:w="964" w:type="dxa"/>
            <w:gridSpan w:val="2"/>
            <w:vMerge w:val="restart"/>
            <w:tcBorders>
              <w:top w:val="single" w:color="000000" w:sz="4" w:space="0"/>
              <w:left w:val="single" w:color="000000" w:sz="4" w:space="0"/>
              <w:bottom w:val="single" w:color="000000" w:sz="4" w:space="0"/>
              <w:right w:val="single" w:color="000000" w:sz="4" w:space="0"/>
            </w:tcBorders>
            <w:vAlign w:val="top"/>
          </w:tcPr>
          <w:p w14:paraId="6D7861D4">
            <w:pPr>
              <w:wordWrap w:val="0"/>
              <w:autoSpaceDE w:val="0"/>
              <w:autoSpaceDN w:val="0"/>
              <w:spacing w:before="0" w:after="0" w:line="246" w:lineRule="exact"/>
              <w:ind w:firstLine="0"/>
              <w:jc w:val="both"/>
              <w:rPr>
                <w:rFonts w:hint="eastAsia" w:ascii="宋体" w:hAnsi="宋体" w:eastAsia="宋体"/>
                <w:color w:val="000000"/>
                <w:sz w:val="18"/>
                <w:szCs w:val="18"/>
              </w:rPr>
            </w:pPr>
          </w:p>
          <w:p w14:paraId="193635A3">
            <w:pPr>
              <w:wordWrap w:val="0"/>
              <w:autoSpaceDE w:val="0"/>
              <w:autoSpaceDN w:val="0"/>
              <w:spacing w:before="0" w:after="0" w:line="246" w:lineRule="exact"/>
              <w:ind w:firstLine="0"/>
              <w:jc w:val="both"/>
              <w:rPr>
                <w:rFonts w:hint="eastAsia" w:ascii="宋体" w:hAnsi="宋体" w:eastAsia="宋体"/>
                <w:color w:val="000000"/>
                <w:sz w:val="18"/>
                <w:szCs w:val="18"/>
              </w:rPr>
            </w:pPr>
          </w:p>
          <w:p w14:paraId="670E785D">
            <w:pPr>
              <w:wordWrap w:val="0"/>
              <w:autoSpaceDE w:val="0"/>
              <w:autoSpaceDN w:val="0"/>
              <w:spacing w:before="0" w:after="0" w:line="246" w:lineRule="exact"/>
              <w:ind w:firstLine="0"/>
              <w:jc w:val="both"/>
              <w:rPr>
                <w:rFonts w:hint="eastAsia" w:ascii="宋体" w:hAnsi="宋体" w:eastAsia="宋体"/>
                <w:color w:val="000000"/>
                <w:sz w:val="18"/>
                <w:szCs w:val="18"/>
              </w:rPr>
            </w:pPr>
          </w:p>
          <w:p w14:paraId="515E5CB2">
            <w:pPr>
              <w:wordWrap w:val="0"/>
              <w:autoSpaceDE w:val="0"/>
              <w:autoSpaceDN w:val="0"/>
              <w:spacing w:before="0" w:after="0" w:line="246" w:lineRule="exact"/>
              <w:ind w:firstLine="0"/>
              <w:jc w:val="both"/>
              <w:rPr>
                <w:rFonts w:hint="eastAsia" w:ascii="宋体" w:hAnsi="宋体" w:eastAsia="宋体"/>
                <w:color w:val="000000"/>
                <w:sz w:val="18"/>
                <w:szCs w:val="18"/>
              </w:rPr>
            </w:pPr>
          </w:p>
          <w:p w14:paraId="4F30CA5F">
            <w:pPr>
              <w:wordWrap w:val="0"/>
              <w:autoSpaceDE w:val="0"/>
              <w:autoSpaceDN w:val="0"/>
              <w:spacing w:before="214" w:after="0" w:line="246" w:lineRule="exact"/>
              <w:ind w:firstLine="40"/>
              <w:jc w:val="both"/>
              <w:rPr>
                <w:sz w:val="18"/>
                <w:szCs w:val="18"/>
              </w:rPr>
            </w:pPr>
            <w:r>
              <w:rPr>
                <w:rFonts w:hint="eastAsia" w:ascii="宋体" w:hAnsi="宋体" w:eastAsia="宋体"/>
                <w:color w:val="000000"/>
                <w:sz w:val="18"/>
                <w:szCs w:val="18"/>
              </w:rPr>
              <w:t>裁量幅度</w:t>
            </w:r>
          </w:p>
        </w:tc>
        <w:tc>
          <w:tcPr>
            <w:tcW w:w="5992" w:type="dxa"/>
            <w:gridSpan w:val="2"/>
            <w:tcBorders>
              <w:top w:val="single" w:color="000000" w:sz="4" w:space="0"/>
              <w:left w:val="single" w:color="000000" w:sz="4" w:space="0"/>
              <w:bottom w:val="single" w:color="000000" w:sz="4" w:space="0"/>
              <w:right w:val="single" w:color="000000" w:sz="4" w:space="0"/>
            </w:tcBorders>
            <w:vAlign w:val="top"/>
          </w:tcPr>
          <w:p w14:paraId="0740185C">
            <w:pPr>
              <w:wordWrap w:val="0"/>
              <w:autoSpaceDE w:val="0"/>
              <w:autoSpaceDN w:val="0"/>
              <w:spacing w:before="113" w:after="0" w:line="246" w:lineRule="exact"/>
              <w:ind w:firstLine="120"/>
              <w:jc w:val="both"/>
              <w:rPr>
                <w:sz w:val="18"/>
                <w:szCs w:val="18"/>
              </w:rPr>
            </w:pPr>
            <w:r>
              <w:rPr>
                <w:rFonts w:hint="eastAsia" w:ascii="宋体" w:hAnsi="宋体" w:eastAsia="宋体"/>
                <w:color w:val="000000"/>
                <w:sz w:val="18"/>
                <w:szCs w:val="18"/>
              </w:rPr>
              <w:t>对单位：处工程合同价款</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％罚款</w:t>
            </w:r>
          </w:p>
          <w:p w14:paraId="7EE3AAE4">
            <w:pPr>
              <w:wordWrap w:val="0"/>
              <w:autoSpaceDE w:val="0"/>
              <w:autoSpaceDN w:val="0"/>
              <w:spacing w:before="0" w:after="0" w:line="220"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5A785F1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gridBefore w:val="1"/>
          <w:gridAfter w:val="1"/>
          <w:wBefore w:w="20" w:type="dxa"/>
          <w:wAfter w:w="341" w:type="dxa"/>
          <w:trHeight w:val="875" w:hRule="atLeast"/>
        </w:trPr>
        <w:tc>
          <w:tcPr>
            <w:tcW w:w="1182" w:type="dxa"/>
            <w:vMerge w:val="continue"/>
            <w:tcBorders>
              <w:top w:val="single" w:color="000000" w:sz="4" w:space="0"/>
              <w:left w:val="single" w:color="000000" w:sz="4" w:space="0"/>
              <w:bottom w:val="single" w:color="000000" w:sz="4" w:space="0"/>
              <w:right w:val="single" w:color="000000" w:sz="4" w:space="0"/>
            </w:tcBorders>
          </w:tcPr>
          <w:p w14:paraId="78FBBBF1">
            <w:pPr>
              <w:rPr>
                <w:sz w:val="18"/>
                <w:szCs w:val="18"/>
              </w:rPr>
            </w:pPr>
          </w:p>
        </w:tc>
        <w:tc>
          <w:tcPr>
            <w:tcW w:w="5441" w:type="dxa"/>
            <w:gridSpan w:val="2"/>
            <w:tcBorders>
              <w:top w:val="single" w:color="000000" w:sz="4" w:space="0"/>
              <w:left w:val="single" w:color="000000" w:sz="4" w:space="0"/>
              <w:bottom w:val="single" w:color="000000" w:sz="4" w:space="0"/>
              <w:right w:val="single" w:color="000000" w:sz="4" w:space="0"/>
            </w:tcBorders>
            <w:vAlign w:val="top"/>
          </w:tcPr>
          <w:p w14:paraId="23CAADAC">
            <w:pPr>
              <w:wordWrap w:val="0"/>
              <w:autoSpaceDE w:val="0"/>
              <w:autoSpaceDN w:val="0"/>
              <w:spacing w:before="0" w:after="0" w:line="220" w:lineRule="exact"/>
              <w:ind w:left="12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）按照要求重新竣工验收但验收不合格，或者未按照要求改正的</w:t>
            </w:r>
          </w:p>
          <w:p w14:paraId="43227B82">
            <w:pPr>
              <w:wordWrap w:val="0"/>
              <w:autoSpaceDE w:val="0"/>
              <w:autoSpaceDN w:val="0"/>
              <w:spacing w:before="0" w:after="0" w:line="220"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）主体或关键部分不合格，或者未按照要求改正的</w:t>
            </w:r>
          </w:p>
          <w:p w14:paraId="67D1775C">
            <w:pPr>
              <w:wordWrap w:val="0"/>
              <w:autoSpaceDE w:val="0"/>
              <w:autoSpaceDN w:val="0"/>
              <w:spacing w:before="0" w:after="0" w:line="190" w:lineRule="exact"/>
              <w:ind w:left="120" w:right="4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）按照要求改正后重新验收仍不合格，或者未按照要求改正的</w:t>
            </w:r>
          </w:p>
        </w:tc>
        <w:tc>
          <w:tcPr>
            <w:tcW w:w="964" w:type="dxa"/>
            <w:gridSpan w:val="2"/>
            <w:vMerge w:val="continue"/>
            <w:tcBorders>
              <w:top w:val="single" w:color="000000" w:sz="4" w:space="0"/>
              <w:left w:val="single" w:color="000000" w:sz="4" w:space="0"/>
              <w:bottom w:val="single" w:color="000000" w:sz="4" w:space="0"/>
              <w:right w:val="single" w:color="000000" w:sz="4" w:space="0"/>
            </w:tcBorders>
          </w:tcPr>
          <w:p w14:paraId="12AE454C">
            <w:pPr>
              <w:rPr>
                <w:sz w:val="18"/>
                <w:szCs w:val="18"/>
              </w:rPr>
            </w:pPr>
          </w:p>
        </w:tc>
        <w:tc>
          <w:tcPr>
            <w:tcW w:w="5992" w:type="dxa"/>
            <w:gridSpan w:val="2"/>
            <w:tcBorders>
              <w:top w:val="single" w:color="000000" w:sz="4" w:space="0"/>
              <w:left w:val="single" w:color="000000" w:sz="4" w:space="0"/>
              <w:bottom w:val="single" w:color="000000" w:sz="4" w:space="0"/>
              <w:right w:val="single" w:color="000000" w:sz="4" w:space="0"/>
            </w:tcBorders>
            <w:vAlign w:val="top"/>
          </w:tcPr>
          <w:p w14:paraId="1B302A61">
            <w:pPr>
              <w:wordWrap w:val="0"/>
              <w:autoSpaceDE w:val="0"/>
              <w:autoSpaceDN w:val="0"/>
              <w:spacing w:before="0" w:after="0" w:line="246" w:lineRule="exact"/>
              <w:ind w:firstLine="0"/>
              <w:jc w:val="both"/>
              <w:rPr>
                <w:rFonts w:hint="eastAsia" w:ascii="宋体" w:hAnsi="宋体" w:eastAsia="宋体"/>
                <w:color w:val="000000"/>
                <w:sz w:val="18"/>
                <w:szCs w:val="18"/>
              </w:rPr>
            </w:pPr>
          </w:p>
          <w:p w14:paraId="682AD3F8">
            <w:pPr>
              <w:wordWrap w:val="0"/>
              <w:autoSpaceDE w:val="0"/>
              <w:autoSpaceDN w:val="0"/>
              <w:spacing w:before="67" w:after="0" w:line="246" w:lineRule="exact"/>
              <w:ind w:firstLine="140"/>
              <w:jc w:val="both"/>
              <w:rPr>
                <w:sz w:val="18"/>
                <w:szCs w:val="18"/>
              </w:rPr>
            </w:pPr>
            <w:r>
              <w:rPr>
                <w:rFonts w:hint="eastAsia" w:ascii="宋体" w:hAnsi="宋体" w:eastAsia="宋体"/>
                <w:color w:val="000000"/>
                <w:sz w:val="18"/>
                <w:szCs w:val="18"/>
              </w:rPr>
              <w:t>对单位：处工程合同价款</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％罚款</w:t>
            </w:r>
          </w:p>
          <w:p w14:paraId="340F13AC">
            <w:pPr>
              <w:wordWrap w:val="0"/>
              <w:autoSpaceDE w:val="0"/>
              <w:autoSpaceDN w:val="0"/>
              <w:spacing w:before="0" w:after="0" w:line="220" w:lineRule="exact"/>
              <w:ind w:firstLine="14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1E5A171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gridBefore w:val="1"/>
          <w:gridAfter w:val="1"/>
          <w:wBefore w:w="20" w:type="dxa"/>
          <w:wAfter w:w="341" w:type="dxa"/>
          <w:trHeight w:val="417" w:hRule="atLeast"/>
        </w:trPr>
        <w:tc>
          <w:tcPr>
            <w:tcW w:w="1182" w:type="dxa"/>
            <w:vMerge w:val="continue"/>
            <w:tcBorders>
              <w:top w:val="single" w:color="000000" w:sz="4" w:space="0"/>
              <w:left w:val="single" w:color="000000" w:sz="4" w:space="0"/>
              <w:bottom w:val="single" w:color="000000" w:sz="4" w:space="0"/>
              <w:right w:val="single" w:color="000000" w:sz="4" w:space="0"/>
            </w:tcBorders>
          </w:tcPr>
          <w:p w14:paraId="28D1ECF0">
            <w:pPr>
              <w:rPr>
                <w:sz w:val="18"/>
                <w:szCs w:val="18"/>
              </w:rPr>
            </w:pPr>
          </w:p>
        </w:tc>
        <w:tc>
          <w:tcPr>
            <w:tcW w:w="5441" w:type="dxa"/>
            <w:gridSpan w:val="2"/>
            <w:tcBorders>
              <w:top w:val="single" w:color="000000" w:sz="4" w:space="0"/>
              <w:left w:val="single" w:color="000000" w:sz="4" w:space="0"/>
              <w:bottom w:val="single" w:color="000000" w:sz="4" w:space="0"/>
              <w:right w:val="single" w:color="000000" w:sz="4" w:space="0"/>
            </w:tcBorders>
            <w:vAlign w:val="top"/>
          </w:tcPr>
          <w:p w14:paraId="66E99166">
            <w:pPr>
              <w:wordWrap w:val="0"/>
              <w:autoSpaceDE w:val="0"/>
              <w:autoSpaceDN w:val="0"/>
              <w:spacing w:before="100" w:after="0" w:line="246" w:lineRule="exact"/>
              <w:ind w:firstLine="100"/>
              <w:jc w:val="both"/>
              <w:rPr>
                <w:sz w:val="18"/>
                <w:szCs w:val="18"/>
              </w:rPr>
            </w:pPr>
            <w:r>
              <w:rPr>
                <w:rFonts w:hint="eastAsia" w:ascii="宋体" w:hAnsi="宋体" w:eastAsia="宋体"/>
                <w:color w:val="000000"/>
                <w:sz w:val="18"/>
                <w:szCs w:val="18"/>
              </w:rPr>
              <w:t>造成一般或较大工程质量事故的</w:t>
            </w:r>
          </w:p>
        </w:tc>
        <w:tc>
          <w:tcPr>
            <w:tcW w:w="964" w:type="dxa"/>
            <w:gridSpan w:val="2"/>
            <w:vMerge w:val="continue"/>
            <w:tcBorders>
              <w:top w:val="single" w:color="000000" w:sz="4" w:space="0"/>
              <w:left w:val="single" w:color="000000" w:sz="4" w:space="0"/>
              <w:bottom w:val="single" w:color="000000" w:sz="4" w:space="0"/>
              <w:right w:val="single" w:color="000000" w:sz="4" w:space="0"/>
            </w:tcBorders>
          </w:tcPr>
          <w:p w14:paraId="1EA50C4B">
            <w:pPr>
              <w:rPr>
                <w:sz w:val="18"/>
                <w:szCs w:val="18"/>
              </w:rPr>
            </w:pPr>
          </w:p>
        </w:tc>
        <w:tc>
          <w:tcPr>
            <w:tcW w:w="5992" w:type="dxa"/>
            <w:gridSpan w:val="2"/>
            <w:tcBorders>
              <w:top w:val="single" w:color="000000" w:sz="4" w:space="0"/>
              <w:left w:val="single" w:color="000000" w:sz="4" w:space="0"/>
              <w:bottom w:val="single" w:color="000000" w:sz="4" w:space="0"/>
              <w:right w:val="single" w:color="000000" w:sz="4" w:space="0"/>
            </w:tcBorders>
            <w:vAlign w:val="top"/>
          </w:tcPr>
          <w:p w14:paraId="0003EB47">
            <w:pPr>
              <w:wordWrap w:val="0"/>
              <w:autoSpaceDE w:val="0"/>
              <w:autoSpaceDN w:val="0"/>
              <w:spacing w:before="0" w:after="0" w:line="240" w:lineRule="exact"/>
              <w:ind w:firstLine="120"/>
              <w:jc w:val="both"/>
              <w:rPr>
                <w:sz w:val="18"/>
                <w:szCs w:val="18"/>
              </w:rPr>
            </w:pPr>
            <w:r>
              <w:rPr>
                <w:rFonts w:hint="eastAsia" w:ascii="宋体" w:hAnsi="宋体" w:eastAsia="宋体"/>
                <w:color w:val="000000"/>
                <w:sz w:val="18"/>
                <w:szCs w:val="18"/>
              </w:rPr>
              <w:t>对单位：处工程合同价款</w:t>
            </w:r>
            <w:r>
              <w:rPr>
                <w:rFonts w:hint="eastAsia" w:ascii="Calibri" w:hAnsi="Calibri" w:eastAsia="Calibri"/>
                <w:color w:val="000000"/>
                <w:sz w:val="18"/>
                <w:szCs w:val="18"/>
              </w:rPr>
              <w:t>3</w:t>
            </w: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％罚款</w:t>
            </w:r>
          </w:p>
          <w:p w14:paraId="60219DAC">
            <w:pPr>
              <w:wordWrap w:val="0"/>
              <w:autoSpaceDE w:val="0"/>
              <w:autoSpaceDN w:val="0"/>
              <w:spacing w:before="0" w:after="0" w:line="160"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9</w:t>
            </w:r>
            <w:r>
              <w:rPr>
                <w:rFonts w:hint="eastAsia" w:ascii="宋体" w:hAnsi="宋体" w:eastAsia="宋体"/>
                <w:color w:val="000000"/>
                <w:sz w:val="18"/>
                <w:szCs w:val="18"/>
              </w:rPr>
              <w:t>％以下罚款</w:t>
            </w:r>
          </w:p>
        </w:tc>
      </w:tr>
      <w:tr w14:paraId="4547202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gridBefore w:val="1"/>
          <w:gridAfter w:val="1"/>
          <w:wBefore w:w="20" w:type="dxa"/>
          <w:wAfter w:w="341" w:type="dxa"/>
          <w:trHeight w:val="427" w:hRule="atLeast"/>
        </w:trPr>
        <w:tc>
          <w:tcPr>
            <w:tcW w:w="1182" w:type="dxa"/>
            <w:vMerge w:val="continue"/>
            <w:tcBorders>
              <w:top w:val="single" w:color="000000" w:sz="4" w:space="0"/>
              <w:left w:val="single" w:color="000000" w:sz="4" w:space="0"/>
              <w:bottom w:val="single" w:color="000000" w:sz="4" w:space="0"/>
              <w:right w:val="single" w:color="000000" w:sz="4" w:space="0"/>
            </w:tcBorders>
          </w:tcPr>
          <w:p w14:paraId="5807848A">
            <w:pPr>
              <w:rPr>
                <w:sz w:val="18"/>
                <w:szCs w:val="18"/>
              </w:rPr>
            </w:pPr>
          </w:p>
        </w:tc>
        <w:tc>
          <w:tcPr>
            <w:tcW w:w="5441" w:type="dxa"/>
            <w:gridSpan w:val="2"/>
            <w:tcBorders>
              <w:top w:val="single" w:color="000000" w:sz="4" w:space="0"/>
              <w:left w:val="single" w:color="000000" w:sz="4" w:space="0"/>
              <w:bottom w:val="single" w:color="000000" w:sz="4" w:space="0"/>
              <w:right w:val="single" w:color="000000" w:sz="4" w:space="0"/>
            </w:tcBorders>
            <w:vAlign w:val="top"/>
          </w:tcPr>
          <w:p w14:paraId="4B465B5F">
            <w:pPr>
              <w:wordWrap w:val="0"/>
              <w:autoSpaceDE w:val="0"/>
              <w:autoSpaceDN w:val="0"/>
              <w:spacing w:before="100" w:after="0" w:line="246" w:lineRule="exact"/>
              <w:ind w:firstLine="100"/>
              <w:jc w:val="both"/>
              <w:rPr>
                <w:sz w:val="18"/>
                <w:szCs w:val="18"/>
              </w:rPr>
            </w:pPr>
            <w:r>
              <w:rPr>
                <w:rFonts w:hint="eastAsia" w:ascii="宋体" w:hAnsi="宋体" w:eastAsia="宋体"/>
                <w:color w:val="000000"/>
                <w:sz w:val="18"/>
                <w:szCs w:val="18"/>
              </w:rPr>
              <w:t>造成重大或以上工程质量事故的</w:t>
            </w:r>
          </w:p>
        </w:tc>
        <w:tc>
          <w:tcPr>
            <w:tcW w:w="964" w:type="dxa"/>
            <w:gridSpan w:val="2"/>
            <w:vMerge w:val="continue"/>
            <w:tcBorders>
              <w:top w:val="single" w:color="000000" w:sz="4" w:space="0"/>
              <w:left w:val="single" w:color="000000" w:sz="4" w:space="0"/>
              <w:bottom w:val="single" w:color="000000" w:sz="4" w:space="0"/>
              <w:right w:val="single" w:color="000000" w:sz="4" w:space="0"/>
            </w:tcBorders>
          </w:tcPr>
          <w:p w14:paraId="71A4EA0A">
            <w:pPr>
              <w:rPr>
                <w:sz w:val="18"/>
                <w:szCs w:val="18"/>
              </w:rPr>
            </w:pPr>
          </w:p>
        </w:tc>
        <w:tc>
          <w:tcPr>
            <w:tcW w:w="5992" w:type="dxa"/>
            <w:gridSpan w:val="2"/>
            <w:tcBorders>
              <w:top w:val="single" w:color="000000" w:sz="4" w:space="0"/>
              <w:left w:val="single" w:color="000000" w:sz="4" w:space="0"/>
              <w:bottom w:val="single" w:color="000000" w:sz="4" w:space="0"/>
              <w:right w:val="single" w:color="000000" w:sz="4" w:space="0"/>
            </w:tcBorders>
            <w:vAlign w:val="top"/>
          </w:tcPr>
          <w:p w14:paraId="6B88C24A">
            <w:pPr>
              <w:wordWrap w:val="0"/>
              <w:autoSpaceDE w:val="0"/>
              <w:autoSpaceDN w:val="0"/>
              <w:spacing w:before="0" w:after="0" w:line="220" w:lineRule="exact"/>
              <w:ind w:firstLine="140"/>
              <w:jc w:val="both"/>
              <w:rPr>
                <w:sz w:val="18"/>
                <w:szCs w:val="18"/>
              </w:rPr>
            </w:pPr>
            <w:r>
              <w:rPr>
                <w:rFonts w:hint="eastAsia" w:ascii="宋体" w:hAnsi="宋体" w:eastAsia="宋体"/>
                <w:color w:val="000000"/>
                <w:sz w:val="18"/>
                <w:szCs w:val="18"/>
              </w:rPr>
              <w:t>对单位：处工程合同价款</w:t>
            </w:r>
            <w:r>
              <w:rPr>
                <w:rFonts w:hint="eastAsia" w:ascii="Calibri" w:hAnsi="Calibri" w:eastAsia="Calibri"/>
                <w:color w:val="000000"/>
                <w:sz w:val="18"/>
                <w:szCs w:val="18"/>
              </w:rPr>
              <w:t>3</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w:t>
            </w:r>
            <w:r>
              <w:rPr>
                <w:rFonts w:hint="eastAsia" w:ascii="Calibri" w:hAnsi="Calibri" w:eastAsia="Calibri"/>
                <w:color w:val="000000"/>
                <w:sz w:val="18"/>
                <w:szCs w:val="18"/>
              </w:rPr>
              <w:t>4</w:t>
            </w:r>
            <w:r>
              <w:rPr>
                <w:rFonts w:hint="eastAsia" w:ascii="宋体" w:hAnsi="宋体" w:eastAsia="宋体"/>
                <w:color w:val="000000"/>
                <w:sz w:val="18"/>
                <w:szCs w:val="18"/>
              </w:rPr>
              <w:t>％罚款</w:t>
            </w:r>
          </w:p>
          <w:p w14:paraId="26AAF538">
            <w:pPr>
              <w:wordWrap w:val="0"/>
              <w:autoSpaceDE w:val="0"/>
              <w:autoSpaceDN w:val="0"/>
              <w:spacing w:before="0" w:after="0" w:line="180"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9</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r w14:paraId="1BA842B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gridSpan w:val="3"/>
            <w:tcBorders>
              <w:top w:val="single" w:color="000000" w:sz="4" w:space="0"/>
              <w:left w:val="single" w:color="000000" w:sz="4" w:space="0"/>
              <w:bottom w:val="single" w:color="000000" w:sz="4" w:space="0"/>
              <w:right w:val="single" w:color="000000" w:sz="4" w:space="0"/>
            </w:tcBorders>
            <w:vAlign w:val="top"/>
          </w:tcPr>
          <w:p w14:paraId="661AC359">
            <w:pPr>
              <w:wordWrap w:val="0"/>
              <w:autoSpaceDE w:val="0"/>
              <w:autoSpaceDN w:val="0"/>
              <w:spacing w:before="13" w:after="0" w:line="246" w:lineRule="exact"/>
              <w:ind w:firstLine="340"/>
              <w:jc w:val="both"/>
              <w:rPr>
                <w:sz w:val="18"/>
                <w:szCs w:val="18"/>
              </w:rPr>
            </w:pPr>
            <w:r>
              <w:rPr>
                <w:rFonts w:hint="eastAsia" w:ascii="宋体" w:hAnsi="宋体" w:eastAsia="宋体"/>
                <w:color w:val="000000"/>
                <w:sz w:val="18"/>
                <w:szCs w:val="18"/>
              </w:rPr>
              <w:t>序号</w:t>
            </w:r>
          </w:p>
        </w:tc>
        <w:tc>
          <w:tcPr>
            <w:tcW w:w="12720" w:type="dxa"/>
            <w:gridSpan w:val="6"/>
            <w:tcBorders>
              <w:top w:val="single" w:color="000000" w:sz="4" w:space="0"/>
              <w:left w:val="single" w:color="000000" w:sz="4" w:space="0"/>
              <w:bottom w:val="single" w:color="000000" w:sz="4" w:space="0"/>
              <w:right w:val="single" w:color="000000" w:sz="4" w:space="0"/>
            </w:tcBorders>
            <w:vAlign w:val="top"/>
          </w:tcPr>
          <w:p w14:paraId="5BCBFF0A">
            <w:pPr>
              <w:wordWrap w:val="0"/>
              <w:autoSpaceDE w:val="0"/>
              <w:autoSpaceDN w:val="0"/>
              <w:spacing w:before="53" w:after="0" w:line="246" w:lineRule="exact"/>
              <w:ind w:firstLine="80"/>
              <w:jc w:val="both"/>
              <w:rPr>
                <w:sz w:val="18"/>
                <w:szCs w:val="18"/>
              </w:rPr>
            </w:pPr>
            <w:r>
              <w:rPr>
                <w:rFonts w:hint="eastAsia" w:ascii="Calibri" w:hAnsi="Calibri" w:eastAsia="Calibri"/>
                <w:color w:val="000000"/>
                <w:sz w:val="18"/>
                <w:szCs w:val="18"/>
              </w:rPr>
              <w:t>7</w:t>
            </w:r>
          </w:p>
        </w:tc>
      </w:tr>
      <w:tr w14:paraId="70DD548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gridSpan w:val="3"/>
            <w:tcBorders>
              <w:top w:val="single" w:color="000000" w:sz="4" w:space="0"/>
              <w:left w:val="single" w:color="000000" w:sz="4" w:space="0"/>
              <w:bottom w:val="single" w:color="000000" w:sz="4" w:space="0"/>
              <w:right w:val="single" w:color="000000" w:sz="4" w:space="0"/>
            </w:tcBorders>
            <w:vAlign w:val="top"/>
          </w:tcPr>
          <w:p w14:paraId="78056275">
            <w:pPr>
              <w:wordWrap w:val="0"/>
              <w:autoSpaceDE w:val="0"/>
              <w:autoSpaceDN w:val="0"/>
              <w:spacing w:before="0" w:after="0" w:line="240" w:lineRule="exact"/>
              <w:ind w:firstLine="340"/>
              <w:jc w:val="both"/>
              <w:rPr>
                <w:sz w:val="18"/>
                <w:szCs w:val="18"/>
              </w:rPr>
            </w:pPr>
            <w:r>
              <w:rPr>
                <w:rFonts w:hint="eastAsia" w:ascii="宋体" w:hAnsi="宋体" w:eastAsia="宋体"/>
                <w:color w:val="000000"/>
                <w:sz w:val="18"/>
                <w:szCs w:val="18"/>
              </w:rPr>
              <w:t>编号</w:t>
            </w:r>
          </w:p>
        </w:tc>
        <w:tc>
          <w:tcPr>
            <w:tcW w:w="12720" w:type="dxa"/>
            <w:gridSpan w:val="6"/>
            <w:tcBorders>
              <w:top w:val="single" w:color="000000" w:sz="4" w:space="0"/>
              <w:left w:val="single" w:color="000000" w:sz="4" w:space="0"/>
              <w:bottom w:val="single" w:color="000000" w:sz="4" w:space="0"/>
              <w:right w:val="single" w:color="000000" w:sz="4" w:space="0"/>
            </w:tcBorders>
            <w:vAlign w:val="top"/>
          </w:tcPr>
          <w:p w14:paraId="69D5970B">
            <w:pPr>
              <w:wordWrap w:val="0"/>
              <w:autoSpaceDE w:val="0"/>
              <w:autoSpaceDN w:val="0"/>
              <w:spacing w:before="33" w:after="0" w:line="246" w:lineRule="exact"/>
              <w:ind w:firstLine="80"/>
              <w:jc w:val="both"/>
              <w:rPr>
                <w:sz w:val="18"/>
                <w:szCs w:val="18"/>
              </w:rPr>
            </w:pPr>
            <w:r>
              <w:rPr>
                <w:rFonts w:hint="eastAsia" w:ascii="Calibri" w:hAnsi="Calibri" w:eastAsia="Calibri"/>
                <w:color w:val="000000"/>
                <w:sz w:val="18"/>
                <w:szCs w:val="18"/>
              </w:rPr>
              <w:t>320280007000</w:t>
            </w:r>
          </w:p>
        </w:tc>
      </w:tr>
      <w:tr w14:paraId="21BAF66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gridSpan w:val="3"/>
            <w:tcBorders>
              <w:top w:val="single" w:color="000000" w:sz="4" w:space="0"/>
              <w:left w:val="single" w:color="000000" w:sz="4" w:space="0"/>
              <w:bottom w:val="single" w:color="000000" w:sz="4" w:space="0"/>
              <w:right w:val="single" w:color="000000" w:sz="4" w:space="0"/>
            </w:tcBorders>
            <w:vAlign w:val="top"/>
          </w:tcPr>
          <w:p w14:paraId="2DB239CF">
            <w:pPr>
              <w:wordWrap w:val="0"/>
              <w:autoSpaceDE w:val="0"/>
              <w:autoSpaceDN w:val="0"/>
              <w:spacing w:before="13" w:after="0" w:line="246" w:lineRule="exact"/>
              <w:ind w:firstLine="220"/>
              <w:jc w:val="both"/>
              <w:rPr>
                <w:sz w:val="18"/>
                <w:szCs w:val="18"/>
              </w:rPr>
            </w:pPr>
            <w:r>
              <w:rPr>
                <w:rFonts w:hint="eastAsia" w:ascii="宋体" w:hAnsi="宋体" w:eastAsia="宋体"/>
                <w:color w:val="000000"/>
                <w:sz w:val="18"/>
                <w:szCs w:val="18"/>
              </w:rPr>
              <w:t>行为名称</w:t>
            </w:r>
          </w:p>
        </w:tc>
        <w:tc>
          <w:tcPr>
            <w:tcW w:w="12720" w:type="dxa"/>
            <w:gridSpan w:val="6"/>
            <w:tcBorders>
              <w:top w:val="single" w:color="000000" w:sz="4" w:space="0"/>
              <w:left w:val="single" w:color="000000" w:sz="4" w:space="0"/>
              <w:bottom w:val="single" w:color="000000" w:sz="4" w:space="0"/>
              <w:right w:val="single" w:color="000000" w:sz="4" w:space="0"/>
            </w:tcBorders>
            <w:vAlign w:val="top"/>
          </w:tcPr>
          <w:p w14:paraId="2F3843DE">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对人民防空工程设计单位指定建筑材料、建筑构配件的生产厂、供应商的处罚</w:t>
            </w:r>
          </w:p>
        </w:tc>
      </w:tr>
      <w:tr w14:paraId="5488AD3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540" w:hRule="atLeast"/>
        </w:trPr>
        <w:tc>
          <w:tcPr>
            <w:tcW w:w="1220" w:type="dxa"/>
            <w:gridSpan w:val="3"/>
            <w:tcBorders>
              <w:top w:val="single" w:color="000000" w:sz="4" w:space="0"/>
              <w:left w:val="single" w:color="000000" w:sz="4" w:space="0"/>
              <w:bottom w:val="single" w:color="000000" w:sz="4" w:space="0"/>
              <w:right w:val="single" w:color="000000" w:sz="4" w:space="0"/>
            </w:tcBorders>
            <w:vAlign w:val="top"/>
          </w:tcPr>
          <w:p w14:paraId="05096B27">
            <w:pPr>
              <w:wordWrap w:val="0"/>
              <w:autoSpaceDE w:val="0"/>
              <w:autoSpaceDN w:val="0"/>
              <w:spacing w:before="0" w:after="0" w:line="246" w:lineRule="exact"/>
              <w:ind w:firstLine="0"/>
              <w:jc w:val="both"/>
              <w:rPr>
                <w:rFonts w:hint="eastAsia" w:ascii="宋体" w:hAnsi="宋体" w:eastAsia="宋体"/>
                <w:color w:val="000000"/>
                <w:sz w:val="18"/>
                <w:szCs w:val="18"/>
              </w:rPr>
            </w:pPr>
          </w:p>
          <w:p w14:paraId="1473039C">
            <w:pPr>
              <w:wordWrap w:val="0"/>
              <w:autoSpaceDE w:val="0"/>
              <w:autoSpaceDN w:val="0"/>
              <w:spacing w:before="0" w:after="0" w:line="246" w:lineRule="exact"/>
              <w:ind w:firstLine="0"/>
              <w:jc w:val="both"/>
              <w:rPr>
                <w:rFonts w:hint="eastAsia" w:ascii="宋体" w:hAnsi="宋体" w:eastAsia="宋体"/>
                <w:color w:val="000000"/>
                <w:sz w:val="18"/>
                <w:szCs w:val="18"/>
              </w:rPr>
            </w:pPr>
          </w:p>
          <w:p w14:paraId="626C253E">
            <w:pPr>
              <w:wordWrap w:val="0"/>
              <w:autoSpaceDE w:val="0"/>
              <w:autoSpaceDN w:val="0"/>
              <w:spacing w:before="0" w:after="0" w:line="246" w:lineRule="exact"/>
              <w:ind w:firstLine="0"/>
              <w:jc w:val="both"/>
              <w:rPr>
                <w:rFonts w:hint="eastAsia" w:ascii="宋体" w:hAnsi="宋体" w:eastAsia="宋体"/>
                <w:color w:val="000000"/>
                <w:sz w:val="18"/>
                <w:szCs w:val="18"/>
              </w:rPr>
            </w:pPr>
          </w:p>
          <w:p w14:paraId="3814165F">
            <w:pPr>
              <w:wordWrap w:val="0"/>
              <w:autoSpaceDE w:val="0"/>
              <w:autoSpaceDN w:val="0"/>
              <w:spacing w:before="0" w:after="0" w:line="246" w:lineRule="exact"/>
              <w:ind w:firstLine="0"/>
              <w:jc w:val="both"/>
              <w:rPr>
                <w:rFonts w:hint="eastAsia" w:ascii="宋体" w:hAnsi="宋体" w:eastAsia="宋体"/>
                <w:color w:val="000000"/>
                <w:sz w:val="18"/>
                <w:szCs w:val="18"/>
              </w:rPr>
            </w:pPr>
          </w:p>
          <w:p w14:paraId="22F22CFE">
            <w:pPr>
              <w:wordWrap w:val="0"/>
              <w:autoSpaceDE w:val="0"/>
              <w:autoSpaceDN w:val="0"/>
              <w:spacing w:before="0" w:after="0" w:line="246" w:lineRule="exact"/>
              <w:ind w:firstLine="0"/>
              <w:jc w:val="both"/>
              <w:rPr>
                <w:rFonts w:hint="eastAsia" w:ascii="宋体" w:hAnsi="宋体" w:eastAsia="宋体"/>
                <w:color w:val="000000"/>
                <w:sz w:val="18"/>
                <w:szCs w:val="18"/>
              </w:rPr>
            </w:pPr>
          </w:p>
          <w:p w14:paraId="283FAB56">
            <w:pPr>
              <w:wordWrap w:val="0"/>
              <w:autoSpaceDE w:val="0"/>
              <w:autoSpaceDN w:val="0"/>
              <w:spacing w:before="0" w:after="0" w:line="246" w:lineRule="exact"/>
              <w:ind w:firstLine="0"/>
              <w:jc w:val="both"/>
              <w:rPr>
                <w:rFonts w:hint="eastAsia" w:ascii="宋体" w:hAnsi="宋体" w:eastAsia="宋体"/>
                <w:color w:val="000000"/>
                <w:sz w:val="18"/>
                <w:szCs w:val="18"/>
              </w:rPr>
            </w:pPr>
          </w:p>
          <w:p w14:paraId="051501CC">
            <w:pPr>
              <w:wordWrap w:val="0"/>
              <w:autoSpaceDE w:val="0"/>
              <w:autoSpaceDN w:val="0"/>
              <w:spacing w:before="201" w:after="0" w:line="246" w:lineRule="exact"/>
              <w:ind w:firstLine="240"/>
              <w:jc w:val="both"/>
              <w:rPr>
                <w:sz w:val="18"/>
                <w:szCs w:val="18"/>
              </w:rPr>
            </w:pPr>
            <w:r>
              <w:rPr>
                <w:rFonts w:hint="eastAsia" w:ascii="宋体" w:hAnsi="宋体" w:eastAsia="宋体"/>
                <w:color w:val="000000"/>
                <w:sz w:val="18"/>
                <w:szCs w:val="18"/>
              </w:rPr>
              <w:t>法律依据</w:t>
            </w:r>
          </w:p>
        </w:tc>
        <w:tc>
          <w:tcPr>
            <w:tcW w:w="12720" w:type="dxa"/>
            <w:gridSpan w:val="6"/>
            <w:tcBorders>
              <w:top w:val="single" w:color="000000" w:sz="4" w:space="0"/>
              <w:left w:val="single" w:color="000000" w:sz="4" w:space="0"/>
              <w:bottom w:val="single" w:color="000000" w:sz="4" w:space="0"/>
              <w:right w:val="single" w:color="000000" w:sz="4" w:space="0"/>
            </w:tcBorders>
            <w:vAlign w:val="top"/>
          </w:tcPr>
          <w:p w14:paraId="3E986093">
            <w:pPr>
              <w:wordWrap w:val="0"/>
              <w:autoSpaceDE w:val="0"/>
              <w:autoSpaceDN w:val="0"/>
              <w:spacing w:before="53" w:after="0" w:line="246" w:lineRule="exact"/>
              <w:ind w:firstLine="14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3DFB873B">
            <w:pPr>
              <w:wordWrap w:val="0"/>
              <w:autoSpaceDE w:val="0"/>
              <w:autoSpaceDN w:val="0"/>
              <w:spacing w:before="53" w:after="0" w:line="246" w:lineRule="exact"/>
              <w:ind w:firstLine="500"/>
              <w:jc w:val="both"/>
              <w:rPr>
                <w:sz w:val="18"/>
                <w:szCs w:val="18"/>
              </w:rPr>
            </w:pPr>
            <w:r>
              <w:rPr>
                <w:rFonts w:hint="eastAsia" w:ascii="宋体" w:hAnsi="宋体" w:eastAsia="宋体"/>
                <w:color w:val="000000"/>
                <w:sz w:val="18"/>
                <w:szCs w:val="18"/>
              </w:rPr>
              <w:t>第二十二条第二款 除有特殊要求的建筑材料、专用设备、工艺生产线等外，设计单位不得指定生产厂、供应商。</w:t>
            </w:r>
          </w:p>
          <w:p w14:paraId="6F75E077">
            <w:pPr>
              <w:wordWrap w:val="0"/>
              <w:autoSpaceDE w:val="0"/>
              <w:autoSpaceDN w:val="0"/>
              <w:spacing w:before="53" w:after="0" w:line="246" w:lineRule="exact"/>
              <w:ind w:firstLine="500"/>
              <w:jc w:val="both"/>
              <w:rPr>
                <w:sz w:val="18"/>
                <w:szCs w:val="18"/>
              </w:rPr>
            </w:pPr>
            <w:r>
              <w:rPr>
                <w:rFonts w:hint="eastAsia" w:ascii="宋体" w:hAnsi="宋体" w:eastAsia="宋体"/>
                <w:color w:val="000000"/>
                <w:sz w:val="18"/>
                <w:szCs w:val="18"/>
              </w:rPr>
              <w:t>第六十三条 违反本条例规定，有下列行为之一的，责令改正，处</w:t>
            </w:r>
            <w:r>
              <w:rPr>
                <w:rFonts w:hint="eastAsia" w:ascii="Calibri" w:hAnsi="Calibri" w:eastAsia="Calibri"/>
                <w:color w:val="000000"/>
                <w:sz w:val="18"/>
                <w:szCs w:val="18"/>
              </w:rPr>
              <w:t>10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万元以下的罚款：</w:t>
            </w:r>
          </w:p>
          <w:p w14:paraId="44CF22EC">
            <w:pPr>
              <w:wordWrap w:val="0"/>
              <w:autoSpaceDE w:val="0"/>
              <w:autoSpaceDN w:val="0"/>
              <w:spacing w:before="53" w:after="0" w:line="246" w:lineRule="exact"/>
              <w:ind w:firstLine="560"/>
              <w:jc w:val="both"/>
              <w:rPr>
                <w:sz w:val="18"/>
                <w:szCs w:val="18"/>
              </w:rPr>
            </w:pPr>
            <w:r>
              <w:rPr>
                <w:rFonts w:hint="eastAsia" w:ascii="宋体" w:hAnsi="宋体" w:eastAsia="宋体"/>
                <w:color w:val="000000"/>
                <w:sz w:val="18"/>
                <w:szCs w:val="18"/>
              </w:rPr>
              <w:t>（三）设计单位指定建筑材料、建筑构配件的生产厂、供应商的；</w:t>
            </w:r>
          </w:p>
          <w:p w14:paraId="5D30CBC3">
            <w:pPr>
              <w:wordWrap w:val="0"/>
              <w:autoSpaceDE w:val="0"/>
              <w:autoSpaceDN w:val="0"/>
              <w:spacing w:before="53" w:after="0" w:line="246" w:lineRule="exact"/>
              <w:ind w:firstLine="500"/>
              <w:jc w:val="both"/>
              <w:rPr>
                <w:sz w:val="18"/>
                <w:szCs w:val="18"/>
              </w:rPr>
            </w:pPr>
            <w:r>
              <w:rPr>
                <w:rFonts w:hint="eastAsia" w:ascii="宋体" w:hAnsi="宋体" w:eastAsia="宋体"/>
                <w:color w:val="000000"/>
                <w:sz w:val="18"/>
                <w:szCs w:val="18"/>
              </w:rPr>
              <w:t>有前款所列行为，造成工程质量事故的，责令停业整顿，降低资质等级；情节严重的，吊销资质证书；造成损失的，依法承担赔偿责任。</w:t>
            </w:r>
          </w:p>
          <w:p w14:paraId="263CF2BA">
            <w:pPr>
              <w:wordWrap w:val="0"/>
              <w:autoSpaceDE w:val="0"/>
              <w:autoSpaceDN w:val="0"/>
              <w:spacing w:before="0" w:after="0" w:line="246" w:lineRule="exact"/>
              <w:ind w:firstLine="0"/>
              <w:jc w:val="both"/>
              <w:rPr>
                <w:rFonts w:hint="eastAsia" w:ascii="宋体" w:hAnsi="宋体" w:eastAsia="宋体"/>
                <w:color w:val="000000"/>
                <w:sz w:val="18"/>
                <w:szCs w:val="18"/>
              </w:rPr>
            </w:pPr>
          </w:p>
          <w:p w14:paraId="23681E13">
            <w:pPr>
              <w:wordWrap w:val="0"/>
              <w:autoSpaceDE w:val="0"/>
              <w:autoSpaceDN w:val="0"/>
              <w:spacing w:before="67" w:after="0" w:line="246" w:lineRule="exact"/>
              <w:ind w:left="100" w:right="6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4273A7B0">
            <w:pPr>
              <w:wordWrap w:val="0"/>
              <w:autoSpaceDE w:val="0"/>
              <w:autoSpaceDN w:val="0"/>
              <w:spacing w:before="53" w:after="0" w:line="246" w:lineRule="exact"/>
              <w:ind w:left="100" w:right="60" w:firstLine="40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78065129">
            <w:pPr>
              <w:wordWrap w:val="0"/>
              <w:autoSpaceDE w:val="0"/>
              <w:autoSpaceDN w:val="0"/>
              <w:spacing w:before="53" w:after="0" w:line="246"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3716BEB5">
            <w:pPr>
              <w:wordWrap w:val="0"/>
              <w:autoSpaceDE w:val="0"/>
              <w:autoSpaceDN w:val="0"/>
              <w:spacing w:before="0" w:after="0" w:line="246" w:lineRule="exact"/>
              <w:ind w:left="100" w:right="6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36A092D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gridSpan w:val="3"/>
            <w:tcBorders>
              <w:top w:val="single" w:color="000000" w:sz="4" w:space="0"/>
              <w:left w:val="single" w:color="000000" w:sz="4" w:space="0"/>
              <w:bottom w:val="single" w:color="000000" w:sz="4" w:space="0"/>
              <w:right w:val="single" w:color="000000" w:sz="4" w:space="0"/>
            </w:tcBorders>
            <w:vAlign w:val="top"/>
          </w:tcPr>
          <w:p w14:paraId="396290C1">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处罚种类</w:t>
            </w:r>
          </w:p>
        </w:tc>
        <w:tc>
          <w:tcPr>
            <w:tcW w:w="12720" w:type="dxa"/>
            <w:gridSpan w:val="6"/>
            <w:tcBorders>
              <w:top w:val="single" w:color="000000" w:sz="4" w:space="0"/>
              <w:left w:val="single" w:color="000000" w:sz="4" w:space="0"/>
              <w:bottom w:val="single" w:color="000000" w:sz="4" w:space="0"/>
              <w:right w:val="single" w:color="000000" w:sz="4" w:space="0"/>
            </w:tcBorders>
            <w:vAlign w:val="top"/>
          </w:tcPr>
          <w:p w14:paraId="46F45095">
            <w:pPr>
              <w:wordWrap w:val="0"/>
              <w:autoSpaceDE w:val="0"/>
              <w:autoSpaceDN w:val="0"/>
              <w:spacing w:before="13" w:after="0" w:line="246" w:lineRule="exact"/>
              <w:ind w:firstLine="100"/>
              <w:jc w:val="both"/>
              <w:rPr>
                <w:sz w:val="18"/>
                <w:szCs w:val="18"/>
              </w:rPr>
            </w:pPr>
            <w:r>
              <w:rPr>
                <w:rFonts w:hint="eastAsia" w:ascii="宋体" w:hAnsi="宋体" w:eastAsia="宋体"/>
                <w:color w:val="000000"/>
                <w:sz w:val="18"/>
                <w:szCs w:val="18"/>
              </w:rPr>
              <w:t>罚款</w:t>
            </w:r>
          </w:p>
        </w:tc>
      </w:tr>
      <w:tr w14:paraId="69BD02A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3940" w:type="dxa"/>
            <w:gridSpan w:val="9"/>
            <w:tcBorders>
              <w:top w:val="single" w:color="000000" w:sz="4" w:space="0"/>
              <w:left w:val="single" w:color="000000" w:sz="4" w:space="0"/>
              <w:bottom w:val="single" w:color="000000" w:sz="4" w:space="0"/>
              <w:right w:val="single" w:color="000000" w:sz="4" w:space="0"/>
            </w:tcBorders>
            <w:vAlign w:val="top"/>
          </w:tcPr>
          <w:p w14:paraId="178DB028">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自由裁量基准</w:t>
            </w:r>
          </w:p>
        </w:tc>
      </w:tr>
      <w:tr w14:paraId="40A7798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220" w:type="dxa"/>
            <w:gridSpan w:val="3"/>
            <w:vMerge w:val="restart"/>
            <w:tcBorders>
              <w:top w:val="single" w:color="000000" w:sz="4" w:space="0"/>
              <w:left w:val="single" w:color="000000" w:sz="4" w:space="0"/>
              <w:bottom w:val="single" w:color="000000" w:sz="4" w:space="0"/>
              <w:right w:val="single" w:color="000000" w:sz="4" w:space="0"/>
            </w:tcBorders>
            <w:vAlign w:val="top"/>
          </w:tcPr>
          <w:p w14:paraId="315A933F">
            <w:pPr>
              <w:wordWrap w:val="0"/>
              <w:autoSpaceDE w:val="0"/>
              <w:autoSpaceDN w:val="0"/>
              <w:spacing w:before="0" w:after="0" w:line="246" w:lineRule="exact"/>
              <w:ind w:firstLine="0"/>
              <w:jc w:val="both"/>
              <w:rPr>
                <w:rFonts w:hint="eastAsia" w:ascii="宋体" w:hAnsi="宋体" w:eastAsia="宋体"/>
                <w:color w:val="000000"/>
                <w:sz w:val="18"/>
                <w:szCs w:val="18"/>
              </w:rPr>
            </w:pPr>
          </w:p>
          <w:p w14:paraId="329C0D67">
            <w:pPr>
              <w:wordWrap w:val="0"/>
              <w:autoSpaceDE w:val="0"/>
              <w:autoSpaceDN w:val="0"/>
              <w:spacing w:before="0" w:after="0" w:line="246" w:lineRule="exact"/>
              <w:ind w:firstLine="0"/>
              <w:jc w:val="both"/>
              <w:rPr>
                <w:rFonts w:hint="eastAsia" w:ascii="宋体" w:hAnsi="宋体" w:eastAsia="宋体"/>
                <w:color w:val="000000"/>
                <w:sz w:val="18"/>
                <w:szCs w:val="18"/>
              </w:rPr>
            </w:pPr>
          </w:p>
          <w:p w14:paraId="64686708">
            <w:pPr>
              <w:wordWrap w:val="0"/>
              <w:autoSpaceDE w:val="0"/>
              <w:autoSpaceDN w:val="0"/>
              <w:spacing w:before="0" w:after="0" w:line="246" w:lineRule="exact"/>
              <w:ind w:firstLine="0"/>
              <w:jc w:val="both"/>
              <w:rPr>
                <w:rFonts w:hint="eastAsia" w:ascii="宋体" w:hAnsi="宋体" w:eastAsia="宋体"/>
                <w:color w:val="000000"/>
                <w:sz w:val="18"/>
                <w:szCs w:val="18"/>
              </w:rPr>
            </w:pPr>
          </w:p>
          <w:p w14:paraId="2EBFD000">
            <w:pPr>
              <w:wordWrap w:val="0"/>
              <w:autoSpaceDE w:val="0"/>
              <w:autoSpaceDN w:val="0"/>
              <w:spacing w:before="60" w:after="0" w:line="246" w:lineRule="exact"/>
              <w:ind w:firstLine="240"/>
              <w:jc w:val="both"/>
              <w:rPr>
                <w:sz w:val="18"/>
                <w:szCs w:val="18"/>
              </w:rPr>
            </w:pPr>
            <w:r>
              <w:rPr>
                <w:rFonts w:hint="eastAsia" w:ascii="宋体" w:hAnsi="宋体" w:eastAsia="宋体"/>
                <w:color w:val="000000"/>
                <w:sz w:val="18"/>
                <w:szCs w:val="18"/>
              </w:rPr>
              <w:t>情形描述</w:t>
            </w:r>
          </w:p>
        </w:tc>
        <w:tc>
          <w:tcPr>
            <w:tcW w:w="5520" w:type="dxa"/>
            <w:gridSpan w:val="2"/>
            <w:tcBorders>
              <w:top w:val="single" w:color="000000" w:sz="4" w:space="0"/>
              <w:left w:val="single" w:color="000000" w:sz="4" w:space="0"/>
              <w:bottom w:val="single" w:color="000000" w:sz="4" w:space="0"/>
              <w:right w:val="single" w:color="000000" w:sz="4" w:space="0"/>
            </w:tcBorders>
            <w:vAlign w:val="top"/>
          </w:tcPr>
          <w:p w14:paraId="156D2704">
            <w:pPr>
              <w:wordWrap w:val="0"/>
              <w:autoSpaceDE w:val="0"/>
              <w:autoSpaceDN w:val="0"/>
              <w:spacing w:before="200" w:after="0" w:line="246" w:lineRule="exact"/>
              <w:ind w:firstLine="80"/>
              <w:jc w:val="both"/>
              <w:rPr>
                <w:sz w:val="18"/>
                <w:szCs w:val="18"/>
              </w:rPr>
            </w:pPr>
            <w:r>
              <w:rPr>
                <w:rFonts w:hint="eastAsia" w:ascii="宋体" w:hAnsi="宋体" w:eastAsia="宋体"/>
                <w:color w:val="000000"/>
                <w:sz w:val="18"/>
                <w:szCs w:val="18"/>
              </w:rPr>
              <w:t>指定的产品在非主体、非关键部分的</w:t>
            </w:r>
          </w:p>
        </w:tc>
        <w:tc>
          <w:tcPr>
            <w:tcW w:w="1020" w:type="dxa"/>
            <w:gridSpan w:val="2"/>
            <w:vMerge w:val="restart"/>
            <w:tcBorders>
              <w:top w:val="single" w:color="000000" w:sz="4" w:space="0"/>
              <w:left w:val="single" w:color="000000" w:sz="4" w:space="0"/>
              <w:bottom w:val="single" w:color="000000" w:sz="4" w:space="0"/>
              <w:right w:val="single" w:color="000000" w:sz="4" w:space="0"/>
            </w:tcBorders>
            <w:vAlign w:val="top"/>
          </w:tcPr>
          <w:p w14:paraId="13BA6CA0">
            <w:pPr>
              <w:wordWrap w:val="0"/>
              <w:autoSpaceDE w:val="0"/>
              <w:autoSpaceDN w:val="0"/>
              <w:spacing w:before="0" w:after="0" w:line="246" w:lineRule="exact"/>
              <w:ind w:firstLine="0"/>
              <w:jc w:val="both"/>
              <w:rPr>
                <w:rFonts w:hint="eastAsia" w:ascii="宋体" w:hAnsi="宋体" w:eastAsia="宋体"/>
                <w:color w:val="000000"/>
                <w:sz w:val="18"/>
                <w:szCs w:val="18"/>
              </w:rPr>
            </w:pPr>
          </w:p>
          <w:p w14:paraId="2C1FE01B">
            <w:pPr>
              <w:wordWrap w:val="0"/>
              <w:autoSpaceDE w:val="0"/>
              <w:autoSpaceDN w:val="0"/>
              <w:spacing w:before="0" w:after="0" w:line="246" w:lineRule="exact"/>
              <w:ind w:firstLine="0"/>
              <w:jc w:val="both"/>
              <w:rPr>
                <w:rFonts w:hint="eastAsia" w:ascii="宋体" w:hAnsi="宋体" w:eastAsia="宋体"/>
                <w:color w:val="000000"/>
                <w:sz w:val="18"/>
                <w:szCs w:val="18"/>
              </w:rPr>
            </w:pPr>
          </w:p>
          <w:p w14:paraId="0B1310AB">
            <w:pPr>
              <w:wordWrap w:val="0"/>
              <w:autoSpaceDE w:val="0"/>
              <w:autoSpaceDN w:val="0"/>
              <w:spacing w:before="0" w:after="0" w:line="246" w:lineRule="exact"/>
              <w:ind w:firstLine="0"/>
              <w:jc w:val="both"/>
              <w:rPr>
                <w:rFonts w:hint="eastAsia" w:ascii="宋体" w:hAnsi="宋体" w:eastAsia="宋体"/>
                <w:color w:val="000000"/>
                <w:sz w:val="18"/>
                <w:szCs w:val="18"/>
              </w:rPr>
            </w:pPr>
          </w:p>
          <w:p w14:paraId="41C790A6">
            <w:pPr>
              <w:wordWrap w:val="0"/>
              <w:autoSpaceDE w:val="0"/>
              <w:autoSpaceDN w:val="0"/>
              <w:spacing w:before="40" w:after="0" w:line="246" w:lineRule="exact"/>
              <w:ind w:firstLine="60"/>
              <w:jc w:val="both"/>
              <w:rPr>
                <w:sz w:val="18"/>
                <w:szCs w:val="18"/>
              </w:rPr>
            </w:pPr>
            <w:r>
              <w:rPr>
                <w:rFonts w:hint="eastAsia" w:ascii="宋体" w:hAnsi="宋体" w:eastAsia="宋体"/>
                <w:color w:val="000000"/>
                <w:sz w:val="18"/>
                <w:szCs w:val="18"/>
              </w:rPr>
              <w:t>裁量幅度</w:t>
            </w:r>
          </w:p>
        </w:tc>
        <w:tc>
          <w:tcPr>
            <w:tcW w:w="6180" w:type="dxa"/>
            <w:gridSpan w:val="2"/>
            <w:tcBorders>
              <w:top w:val="single" w:color="000000" w:sz="4" w:space="0"/>
              <w:left w:val="single" w:color="000000" w:sz="4" w:space="0"/>
              <w:bottom w:val="single" w:color="000000" w:sz="4" w:space="0"/>
              <w:right w:val="single" w:color="000000" w:sz="4" w:space="0"/>
            </w:tcBorders>
            <w:vAlign w:val="top"/>
          </w:tcPr>
          <w:p w14:paraId="6D50FAD2">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10</w:t>
            </w:r>
            <w:r>
              <w:rPr>
                <w:rFonts w:hint="eastAsia" w:ascii="宋体" w:hAnsi="宋体" w:eastAsia="宋体"/>
                <w:color w:val="000000"/>
                <w:sz w:val="18"/>
                <w:szCs w:val="18"/>
              </w:rPr>
              <w:t>万元以上</w:t>
            </w:r>
            <w:r>
              <w:rPr>
                <w:rFonts w:hint="eastAsia" w:ascii="Calibri" w:hAnsi="Calibri" w:eastAsia="Calibri"/>
                <w:color w:val="000000"/>
                <w:sz w:val="18"/>
                <w:szCs w:val="18"/>
              </w:rPr>
              <w:t>15</w:t>
            </w:r>
            <w:r>
              <w:rPr>
                <w:rFonts w:hint="eastAsia" w:ascii="宋体" w:hAnsi="宋体" w:eastAsia="宋体"/>
                <w:color w:val="000000"/>
                <w:sz w:val="18"/>
                <w:szCs w:val="18"/>
              </w:rPr>
              <w:t>万元以下罚款</w:t>
            </w:r>
          </w:p>
          <w:p w14:paraId="0801330A">
            <w:pPr>
              <w:wordWrap w:val="0"/>
              <w:autoSpaceDE w:val="0"/>
              <w:autoSpaceDN w:val="0"/>
              <w:spacing w:before="0" w:after="0" w:line="240" w:lineRule="exact"/>
              <w:ind w:firstLine="10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4EBF924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20" w:type="dxa"/>
            <w:gridSpan w:val="3"/>
            <w:vMerge w:val="continue"/>
            <w:tcBorders>
              <w:top w:val="single" w:color="000000" w:sz="4" w:space="0"/>
              <w:left w:val="single" w:color="000000" w:sz="4" w:space="0"/>
              <w:bottom w:val="single" w:color="000000" w:sz="4" w:space="0"/>
              <w:right w:val="single" w:color="000000" w:sz="4" w:space="0"/>
            </w:tcBorders>
          </w:tcPr>
          <w:p w14:paraId="2B3E5EF8">
            <w:pPr>
              <w:rPr>
                <w:sz w:val="18"/>
                <w:szCs w:val="18"/>
              </w:rPr>
            </w:pPr>
          </w:p>
        </w:tc>
        <w:tc>
          <w:tcPr>
            <w:tcW w:w="5520" w:type="dxa"/>
            <w:gridSpan w:val="2"/>
            <w:tcBorders>
              <w:top w:val="single" w:color="000000" w:sz="4" w:space="0"/>
              <w:left w:val="single" w:color="000000" w:sz="4" w:space="0"/>
              <w:bottom w:val="single" w:color="000000" w:sz="4" w:space="0"/>
              <w:right w:val="single" w:color="000000" w:sz="4" w:space="0"/>
            </w:tcBorders>
            <w:vAlign w:val="top"/>
          </w:tcPr>
          <w:p w14:paraId="5122EF54">
            <w:pPr>
              <w:wordWrap w:val="0"/>
              <w:autoSpaceDE w:val="0"/>
              <w:autoSpaceDN w:val="0"/>
              <w:spacing w:before="220" w:after="0" w:line="246" w:lineRule="exact"/>
              <w:ind w:firstLine="100"/>
              <w:jc w:val="both"/>
              <w:rPr>
                <w:sz w:val="18"/>
                <w:szCs w:val="18"/>
              </w:rPr>
            </w:pPr>
            <w:r>
              <w:rPr>
                <w:rFonts w:hint="eastAsia" w:ascii="宋体" w:hAnsi="宋体" w:eastAsia="宋体"/>
                <w:color w:val="000000"/>
                <w:sz w:val="18"/>
                <w:szCs w:val="18"/>
              </w:rPr>
              <w:t>指定的产品在主体、关键部分但尚未造成质量事故的</w:t>
            </w:r>
          </w:p>
        </w:tc>
        <w:tc>
          <w:tcPr>
            <w:tcW w:w="1020" w:type="dxa"/>
            <w:gridSpan w:val="2"/>
            <w:vMerge w:val="continue"/>
            <w:tcBorders>
              <w:top w:val="single" w:color="000000" w:sz="4" w:space="0"/>
              <w:left w:val="single" w:color="000000" w:sz="4" w:space="0"/>
              <w:bottom w:val="single" w:color="000000" w:sz="4" w:space="0"/>
              <w:right w:val="single" w:color="000000" w:sz="4" w:space="0"/>
            </w:tcBorders>
          </w:tcPr>
          <w:p w14:paraId="2BA1319A">
            <w:pPr>
              <w:rPr>
                <w:sz w:val="18"/>
                <w:szCs w:val="18"/>
              </w:rPr>
            </w:pPr>
          </w:p>
        </w:tc>
        <w:tc>
          <w:tcPr>
            <w:tcW w:w="6180" w:type="dxa"/>
            <w:gridSpan w:val="2"/>
            <w:tcBorders>
              <w:top w:val="single" w:color="000000" w:sz="4" w:space="0"/>
              <w:left w:val="single" w:color="000000" w:sz="4" w:space="0"/>
              <w:bottom w:val="single" w:color="000000" w:sz="4" w:space="0"/>
              <w:right w:val="single" w:color="000000" w:sz="4" w:space="0"/>
            </w:tcBorders>
            <w:vAlign w:val="top"/>
          </w:tcPr>
          <w:p w14:paraId="3C8D8673">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15</w:t>
            </w:r>
            <w:r>
              <w:rPr>
                <w:rFonts w:hint="eastAsia" w:ascii="宋体" w:hAnsi="宋体" w:eastAsia="宋体"/>
                <w:color w:val="000000"/>
                <w:sz w:val="18"/>
                <w:szCs w:val="18"/>
              </w:rPr>
              <w:t>万元以上</w:t>
            </w:r>
            <w:r>
              <w:rPr>
                <w:rFonts w:hint="eastAsia" w:ascii="Calibri" w:hAnsi="Calibri" w:eastAsia="Calibri"/>
                <w:color w:val="000000"/>
                <w:sz w:val="18"/>
                <w:szCs w:val="18"/>
              </w:rPr>
              <w:t>20</w:t>
            </w:r>
            <w:r>
              <w:rPr>
                <w:rFonts w:hint="eastAsia" w:ascii="宋体" w:hAnsi="宋体" w:eastAsia="宋体"/>
                <w:color w:val="000000"/>
                <w:sz w:val="18"/>
                <w:szCs w:val="18"/>
              </w:rPr>
              <w:t>万元以下罚款</w:t>
            </w:r>
          </w:p>
          <w:p w14:paraId="340C7A43">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74A7DDD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20" w:type="dxa"/>
            <w:gridSpan w:val="3"/>
            <w:vMerge w:val="continue"/>
            <w:tcBorders>
              <w:top w:val="single" w:color="000000" w:sz="4" w:space="0"/>
              <w:left w:val="single" w:color="000000" w:sz="4" w:space="0"/>
              <w:bottom w:val="single" w:color="000000" w:sz="4" w:space="0"/>
              <w:right w:val="single" w:color="000000" w:sz="4" w:space="0"/>
            </w:tcBorders>
          </w:tcPr>
          <w:p w14:paraId="5E63326E">
            <w:pPr>
              <w:rPr>
                <w:sz w:val="18"/>
                <w:szCs w:val="18"/>
              </w:rPr>
            </w:pPr>
          </w:p>
        </w:tc>
        <w:tc>
          <w:tcPr>
            <w:tcW w:w="5520" w:type="dxa"/>
            <w:gridSpan w:val="2"/>
            <w:tcBorders>
              <w:top w:val="single" w:color="000000" w:sz="4" w:space="0"/>
              <w:left w:val="single" w:color="000000" w:sz="4" w:space="0"/>
              <w:bottom w:val="single" w:color="000000" w:sz="4" w:space="0"/>
              <w:right w:val="single" w:color="000000" w:sz="4" w:space="0"/>
            </w:tcBorders>
            <w:vAlign w:val="top"/>
          </w:tcPr>
          <w:p w14:paraId="07297E9B">
            <w:pPr>
              <w:wordWrap w:val="0"/>
              <w:autoSpaceDE w:val="0"/>
              <w:autoSpaceDN w:val="0"/>
              <w:spacing w:before="200" w:after="0" w:line="246" w:lineRule="exact"/>
              <w:ind w:firstLine="100"/>
              <w:jc w:val="both"/>
              <w:rPr>
                <w:sz w:val="18"/>
                <w:szCs w:val="18"/>
              </w:rPr>
            </w:pPr>
            <w:r>
              <w:rPr>
                <w:rFonts w:hint="eastAsia" w:ascii="宋体" w:hAnsi="宋体" w:eastAsia="宋体"/>
                <w:color w:val="000000"/>
                <w:sz w:val="18"/>
                <w:szCs w:val="18"/>
              </w:rPr>
              <w:t>造成质量事故的</w:t>
            </w:r>
          </w:p>
        </w:tc>
        <w:tc>
          <w:tcPr>
            <w:tcW w:w="1020" w:type="dxa"/>
            <w:gridSpan w:val="2"/>
            <w:vMerge w:val="continue"/>
            <w:tcBorders>
              <w:top w:val="single" w:color="000000" w:sz="4" w:space="0"/>
              <w:left w:val="single" w:color="000000" w:sz="4" w:space="0"/>
              <w:bottom w:val="single" w:color="000000" w:sz="4" w:space="0"/>
              <w:right w:val="single" w:color="000000" w:sz="4" w:space="0"/>
            </w:tcBorders>
          </w:tcPr>
          <w:p w14:paraId="427BE19E">
            <w:pPr>
              <w:rPr>
                <w:sz w:val="18"/>
                <w:szCs w:val="18"/>
              </w:rPr>
            </w:pPr>
          </w:p>
        </w:tc>
        <w:tc>
          <w:tcPr>
            <w:tcW w:w="6180" w:type="dxa"/>
            <w:gridSpan w:val="2"/>
            <w:tcBorders>
              <w:top w:val="single" w:color="000000" w:sz="4" w:space="0"/>
              <w:left w:val="single" w:color="000000" w:sz="4" w:space="0"/>
              <w:bottom w:val="single" w:color="000000" w:sz="4" w:space="0"/>
              <w:right w:val="single" w:color="000000" w:sz="4" w:space="0"/>
            </w:tcBorders>
            <w:vAlign w:val="top"/>
          </w:tcPr>
          <w:p w14:paraId="5F52955E">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万元以下罚款</w:t>
            </w:r>
          </w:p>
          <w:p w14:paraId="0559BDB3">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7A359D05">
      <w:pPr>
        <w:rPr>
          <w:sz w:val="18"/>
          <w:szCs w:val="18"/>
        </w:rPr>
      </w:pPr>
    </w:p>
    <w:p w14:paraId="669D138B">
      <w:pPr>
        <w:rPr>
          <w:sz w:val="18"/>
          <w:szCs w:val="18"/>
        </w:rPr>
      </w:pPr>
    </w:p>
    <w:p w14:paraId="13D6C045">
      <w:pPr>
        <w:rPr>
          <w:sz w:val="18"/>
          <w:szCs w:val="18"/>
        </w:rPr>
      </w:pPr>
    </w:p>
    <w:p w14:paraId="30214FF2">
      <w:pPr>
        <w:rPr>
          <w:sz w:val="18"/>
          <w:szCs w:val="18"/>
        </w:rPr>
      </w:pPr>
    </w:p>
    <w:p w14:paraId="5081A776">
      <w:pPr>
        <w:rPr>
          <w:sz w:val="18"/>
          <w:szCs w:val="18"/>
        </w:rPr>
      </w:pPr>
    </w:p>
    <w:tbl>
      <w:tblPr>
        <w:tblStyle w:val="15"/>
        <w:tblW w:w="0" w:type="auto"/>
        <w:tblInd w:w="18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225"/>
        <w:gridCol w:w="4878"/>
        <w:gridCol w:w="1122"/>
        <w:gridCol w:w="6563"/>
      </w:tblGrid>
      <w:tr w14:paraId="62D83C4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40" w:type="dxa"/>
            <w:tcBorders>
              <w:top w:val="single" w:color="000000" w:sz="4" w:space="0"/>
              <w:left w:val="single" w:color="000000" w:sz="4" w:space="0"/>
              <w:bottom w:val="single" w:color="000000" w:sz="4" w:space="0"/>
              <w:right w:val="single" w:color="000000" w:sz="4" w:space="0"/>
            </w:tcBorders>
            <w:vAlign w:val="top"/>
          </w:tcPr>
          <w:p w14:paraId="3B231A1C">
            <w:pPr>
              <w:wordWrap w:val="0"/>
              <w:autoSpaceDE w:val="0"/>
              <w:autoSpaceDN w:val="0"/>
              <w:spacing w:before="13" w:after="0" w:line="246" w:lineRule="exact"/>
              <w:ind w:firstLine="340"/>
              <w:jc w:val="both"/>
              <w:rPr>
                <w:sz w:val="18"/>
                <w:szCs w:val="18"/>
              </w:rPr>
            </w:pPr>
            <w:r>
              <w:rPr>
                <w:rFonts w:hint="eastAsia" w:ascii="宋体" w:hAnsi="宋体" w:eastAsia="宋体"/>
                <w:color w:val="000000"/>
                <w:sz w:val="18"/>
                <w:szCs w:val="18"/>
              </w:rPr>
              <w:t>序号</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56DEB0A8">
            <w:pPr>
              <w:wordWrap w:val="0"/>
              <w:autoSpaceDE w:val="0"/>
              <w:autoSpaceDN w:val="0"/>
              <w:spacing w:before="13" w:after="0" w:line="246" w:lineRule="exact"/>
              <w:ind w:firstLine="40"/>
              <w:jc w:val="both"/>
              <w:rPr>
                <w:sz w:val="18"/>
                <w:szCs w:val="18"/>
              </w:rPr>
            </w:pPr>
            <w:r>
              <w:rPr>
                <w:rFonts w:hint="eastAsia" w:ascii="Calibri" w:hAnsi="Calibri" w:eastAsia="Calibri"/>
                <w:color w:val="000000"/>
                <w:sz w:val="18"/>
                <w:szCs w:val="18"/>
              </w:rPr>
              <w:t>8</w:t>
            </w:r>
          </w:p>
        </w:tc>
      </w:tr>
      <w:tr w14:paraId="1096F26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40" w:type="dxa"/>
            <w:tcBorders>
              <w:top w:val="single" w:color="000000" w:sz="4" w:space="0"/>
              <w:left w:val="single" w:color="000000" w:sz="4" w:space="0"/>
              <w:bottom w:val="single" w:color="000000" w:sz="4" w:space="0"/>
              <w:right w:val="single" w:color="000000" w:sz="4" w:space="0"/>
            </w:tcBorders>
            <w:vAlign w:val="top"/>
          </w:tcPr>
          <w:p w14:paraId="47534596">
            <w:pPr>
              <w:wordWrap w:val="0"/>
              <w:autoSpaceDE w:val="0"/>
              <w:autoSpaceDN w:val="0"/>
              <w:spacing w:before="33" w:after="0" w:line="246" w:lineRule="exact"/>
              <w:ind w:firstLine="340"/>
              <w:jc w:val="both"/>
              <w:rPr>
                <w:sz w:val="18"/>
                <w:szCs w:val="18"/>
              </w:rPr>
            </w:pPr>
            <w:r>
              <w:rPr>
                <w:rFonts w:hint="eastAsia" w:ascii="宋体" w:hAnsi="宋体" w:eastAsia="宋体"/>
                <w:color w:val="000000"/>
                <w:sz w:val="18"/>
                <w:szCs w:val="18"/>
              </w:rPr>
              <w:t>编号</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46C9B8B2">
            <w:pPr>
              <w:wordWrap w:val="0"/>
              <w:autoSpaceDE w:val="0"/>
              <w:autoSpaceDN w:val="0"/>
              <w:spacing w:before="33" w:after="0" w:line="246" w:lineRule="exact"/>
              <w:ind w:firstLine="60"/>
              <w:jc w:val="both"/>
              <w:rPr>
                <w:sz w:val="18"/>
                <w:szCs w:val="18"/>
              </w:rPr>
            </w:pPr>
            <w:r>
              <w:rPr>
                <w:rFonts w:hint="eastAsia" w:ascii="Calibri" w:hAnsi="Calibri" w:eastAsia="Calibri"/>
                <w:color w:val="000000"/>
                <w:sz w:val="18"/>
                <w:szCs w:val="18"/>
              </w:rPr>
              <w:t>320280008000</w:t>
            </w:r>
          </w:p>
        </w:tc>
      </w:tr>
      <w:tr w14:paraId="6AFCEDF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240" w:type="dxa"/>
            <w:tcBorders>
              <w:top w:val="single" w:color="000000" w:sz="4" w:space="0"/>
              <w:left w:val="single" w:color="000000" w:sz="4" w:space="0"/>
              <w:bottom w:val="single" w:color="000000" w:sz="4" w:space="0"/>
              <w:right w:val="single" w:color="000000" w:sz="4" w:space="0"/>
            </w:tcBorders>
            <w:vAlign w:val="top"/>
          </w:tcPr>
          <w:p w14:paraId="067656CE">
            <w:pPr>
              <w:wordWrap w:val="0"/>
              <w:autoSpaceDE w:val="0"/>
              <w:autoSpaceDN w:val="0"/>
              <w:spacing w:before="200" w:after="0" w:line="246" w:lineRule="exact"/>
              <w:ind w:firstLine="240"/>
              <w:jc w:val="both"/>
              <w:rPr>
                <w:sz w:val="18"/>
                <w:szCs w:val="18"/>
              </w:rPr>
            </w:pPr>
            <w:r>
              <w:rPr>
                <w:rFonts w:hint="eastAsia" w:ascii="宋体" w:hAnsi="宋体" w:eastAsia="宋体"/>
                <w:color w:val="000000"/>
                <w:sz w:val="18"/>
                <w:szCs w:val="18"/>
              </w:rPr>
              <w:t>行为名称</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34C29799">
            <w:pPr>
              <w:wordWrap w:val="0"/>
              <w:autoSpaceDE w:val="0"/>
              <w:autoSpaceDN w:val="0"/>
              <w:spacing w:before="40" w:after="0" w:line="246" w:lineRule="exact"/>
              <w:ind w:left="100" w:right="60" w:firstLine="0"/>
              <w:jc w:val="both"/>
              <w:rPr>
                <w:sz w:val="18"/>
                <w:szCs w:val="18"/>
              </w:rPr>
            </w:pPr>
            <w:r>
              <w:rPr>
                <w:rFonts w:hint="eastAsia" w:ascii="宋体" w:hAnsi="宋体" w:eastAsia="宋体"/>
                <w:color w:val="000000"/>
                <w:sz w:val="18"/>
                <w:szCs w:val="18"/>
              </w:rPr>
              <w:t>对人民防空工程监理单位与被监理工程的施工承包单位以及建筑材料、建筑构配件和设备供应单位有隶属关系或者有其他利害关系承担该项建设工程的监理业务的处罚</w:t>
            </w:r>
          </w:p>
        </w:tc>
      </w:tr>
      <w:tr w14:paraId="2CEB521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860" w:hRule="atLeast"/>
        </w:trPr>
        <w:tc>
          <w:tcPr>
            <w:tcW w:w="1240" w:type="dxa"/>
            <w:tcBorders>
              <w:top w:val="single" w:color="000000" w:sz="4" w:space="0"/>
              <w:left w:val="single" w:color="000000" w:sz="4" w:space="0"/>
              <w:bottom w:val="single" w:color="000000" w:sz="4" w:space="0"/>
              <w:right w:val="single" w:color="000000" w:sz="4" w:space="0"/>
            </w:tcBorders>
            <w:vAlign w:val="top"/>
          </w:tcPr>
          <w:p w14:paraId="55176741">
            <w:pPr>
              <w:wordWrap w:val="0"/>
              <w:autoSpaceDE w:val="0"/>
              <w:autoSpaceDN w:val="0"/>
              <w:spacing w:before="0" w:after="0" w:line="246" w:lineRule="exact"/>
              <w:ind w:firstLine="0"/>
              <w:jc w:val="both"/>
              <w:rPr>
                <w:rFonts w:hint="eastAsia" w:ascii="宋体" w:hAnsi="宋体" w:eastAsia="宋体"/>
                <w:color w:val="000000"/>
                <w:sz w:val="18"/>
                <w:szCs w:val="18"/>
              </w:rPr>
            </w:pPr>
          </w:p>
          <w:p w14:paraId="7485D79A">
            <w:pPr>
              <w:wordWrap w:val="0"/>
              <w:autoSpaceDE w:val="0"/>
              <w:autoSpaceDN w:val="0"/>
              <w:spacing w:before="0" w:after="0" w:line="246" w:lineRule="exact"/>
              <w:ind w:firstLine="0"/>
              <w:jc w:val="both"/>
              <w:rPr>
                <w:rFonts w:hint="eastAsia" w:ascii="宋体" w:hAnsi="宋体" w:eastAsia="宋体"/>
                <w:color w:val="000000"/>
                <w:sz w:val="18"/>
                <w:szCs w:val="18"/>
              </w:rPr>
            </w:pPr>
          </w:p>
          <w:p w14:paraId="6A97F309">
            <w:pPr>
              <w:wordWrap w:val="0"/>
              <w:autoSpaceDE w:val="0"/>
              <w:autoSpaceDN w:val="0"/>
              <w:spacing w:before="0" w:after="0" w:line="246" w:lineRule="exact"/>
              <w:ind w:firstLine="0"/>
              <w:jc w:val="both"/>
              <w:rPr>
                <w:rFonts w:hint="eastAsia" w:ascii="宋体" w:hAnsi="宋体" w:eastAsia="宋体"/>
                <w:color w:val="000000"/>
                <w:sz w:val="18"/>
                <w:szCs w:val="18"/>
              </w:rPr>
            </w:pPr>
          </w:p>
          <w:p w14:paraId="23E6FABB">
            <w:pPr>
              <w:wordWrap w:val="0"/>
              <w:autoSpaceDE w:val="0"/>
              <w:autoSpaceDN w:val="0"/>
              <w:spacing w:before="0" w:after="0" w:line="246" w:lineRule="exact"/>
              <w:ind w:firstLine="0"/>
              <w:jc w:val="both"/>
              <w:rPr>
                <w:rFonts w:hint="eastAsia" w:ascii="宋体" w:hAnsi="宋体" w:eastAsia="宋体"/>
                <w:color w:val="000000"/>
                <w:sz w:val="18"/>
                <w:szCs w:val="18"/>
              </w:rPr>
            </w:pPr>
          </w:p>
          <w:p w14:paraId="315701D3">
            <w:pPr>
              <w:wordWrap w:val="0"/>
              <w:autoSpaceDE w:val="0"/>
              <w:autoSpaceDN w:val="0"/>
              <w:spacing w:before="0" w:after="0" w:line="246" w:lineRule="exact"/>
              <w:ind w:firstLine="0"/>
              <w:jc w:val="both"/>
              <w:rPr>
                <w:rFonts w:hint="eastAsia" w:ascii="宋体" w:hAnsi="宋体" w:eastAsia="宋体"/>
                <w:color w:val="000000"/>
                <w:sz w:val="18"/>
                <w:szCs w:val="18"/>
              </w:rPr>
            </w:pPr>
          </w:p>
          <w:p w14:paraId="3A3BB188">
            <w:pPr>
              <w:wordWrap w:val="0"/>
              <w:autoSpaceDE w:val="0"/>
              <w:autoSpaceDN w:val="0"/>
              <w:spacing w:before="0" w:after="0" w:line="246" w:lineRule="exact"/>
              <w:ind w:firstLine="0"/>
              <w:jc w:val="both"/>
              <w:rPr>
                <w:rFonts w:hint="eastAsia" w:ascii="宋体" w:hAnsi="宋体" w:eastAsia="宋体"/>
                <w:color w:val="000000"/>
                <w:sz w:val="18"/>
                <w:szCs w:val="18"/>
              </w:rPr>
            </w:pPr>
          </w:p>
          <w:p w14:paraId="504370BD">
            <w:pPr>
              <w:wordWrap w:val="0"/>
              <w:autoSpaceDE w:val="0"/>
              <w:autoSpaceDN w:val="0"/>
              <w:spacing w:before="0" w:after="0" w:line="246" w:lineRule="exact"/>
              <w:ind w:firstLine="0"/>
              <w:jc w:val="both"/>
              <w:rPr>
                <w:rFonts w:hint="eastAsia" w:ascii="宋体" w:hAnsi="宋体" w:eastAsia="宋体"/>
                <w:color w:val="000000"/>
                <w:sz w:val="18"/>
                <w:szCs w:val="18"/>
              </w:rPr>
            </w:pPr>
          </w:p>
          <w:p w14:paraId="6599B36A">
            <w:pPr>
              <w:wordWrap w:val="0"/>
              <w:autoSpaceDE w:val="0"/>
              <w:autoSpaceDN w:val="0"/>
              <w:spacing w:before="115" w:after="0" w:line="246" w:lineRule="exact"/>
              <w:ind w:firstLine="260"/>
              <w:jc w:val="both"/>
              <w:rPr>
                <w:sz w:val="18"/>
                <w:szCs w:val="18"/>
              </w:rPr>
            </w:pPr>
            <w:r>
              <w:rPr>
                <w:rFonts w:hint="eastAsia" w:ascii="宋体" w:hAnsi="宋体" w:eastAsia="宋体"/>
                <w:color w:val="000000"/>
                <w:sz w:val="18"/>
                <w:szCs w:val="18"/>
              </w:rPr>
              <w:t>法律依据</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20369E4A">
            <w:pPr>
              <w:wordWrap w:val="0"/>
              <w:autoSpaceDE w:val="0"/>
              <w:autoSpaceDN w:val="0"/>
              <w:spacing w:before="93" w:after="0" w:line="246"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463D1732">
            <w:pPr>
              <w:wordWrap w:val="0"/>
              <w:autoSpaceDE w:val="0"/>
              <w:autoSpaceDN w:val="0"/>
              <w:spacing w:before="53" w:after="0" w:line="246" w:lineRule="exact"/>
              <w:ind w:left="100" w:right="40" w:firstLine="400"/>
              <w:jc w:val="both"/>
              <w:rPr>
                <w:sz w:val="18"/>
                <w:szCs w:val="18"/>
              </w:rPr>
            </w:pPr>
            <w:r>
              <w:rPr>
                <w:rFonts w:hint="eastAsia" w:ascii="宋体" w:hAnsi="宋体" w:eastAsia="宋体"/>
                <w:color w:val="000000"/>
                <w:sz w:val="18"/>
                <w:szCs w:val="18"/>
              </w:rPr>
              <w:t>第三十五条 工程监理单位与被监理工程的施工承包单位以及建筑材料、建筑构配件和设备供应单位不得有隶属关系或者其他利害关系，不得承担该项建设工程的监理业务。</w:t>
            </w:r>
          </w:p>
          <w:p w14:paraId="032E670C">
            <w:pPr>
              <w:wordWrap w:val="0"/>
              <w:autoSpaceDE w:val="0"/>
              <w:autoSpaceDN w:val="0"/>
              <w:spacing w:before="193" w:after="0" w:line="246" w:lineRule="exact"/>
              <w:ind w:left="100" w:right="60" w:firstLine="400"/>
              <w:jc w:val="both"/>
              <w:rPr>
                <w:sz w:val="18"/>
                <w:szCs w:val="18"/>
              </w:rPr>
            </w:pPr>
            <w:r>
              <w:rPr>
                <w:rFonts w:hint="eastAsia" w:ascii="宋体" w:hAnsi="宋体" w:eastAsia="宋体"/>
                <w:color w:val="000000"/>
                <w:sz w:val="18"/>
                <w:szCs w:val="18"/>
              </w:rPr>
              <w:t>第六十八条 违反本条例规定，工程监理单位与被监理工程的施工承包单位以及建筑材料、建筑构配件和设备供应单位有隶属关系或者有其他利害关系承担该项建设工程的监理业务的，责令改正，处</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10</w:t>
            </w:r>
            <w:r>
              <w:rPr>
                <w:rFonts w:hint="eastAsia" w:ascii="宋体" w:hAnsi="宋体" w:eastAsia="宋体"/>
                <w:color w:val="000000"/>
                <w:sz w:val="18"/>
                <w:szCs w:val="18"/>
              </w:rPr>
              <w:t>万元以下的罚款，降低资质等级或者吊销资质证书；有违法所得的，予以没收。</w:t>
            </w:r>
          </w:p>
          <w:p w14:paraId="76B291E9">
            <w:pPr>
              <w:wordWrap w:val="0"/>
              <w:autoSpaceDE w:val="0"/>
              <w:autoSpaceDN w:val="0"/>
              <w:spacing w:before="0" w:after="0" w:line="246" w:lineRule="exact"/>
              <w:ind w:firstLine="0"/>
              <w:jc w:val="both"/>
              <w:rPr>
                <w:rFonts w:hint="eastAsia" w:ascii="宋体" w:hAnsi="宋体" w:eastAsia="宋体"/>
                <w:color w:val="000000"/>
                <w:sz w:val="18"/>
                <w:szCs w:val="18"/>
              </w:rPr>
            </w:pPr>
          </w:p>
          <w:p w14:paraId="2E0B5D93">
            <w:pPr>
              <w:wordWrap w:val="0"/>
              <w:autoSpaceDE w:val="0"/>
              <w:autoSpaceDN w:val="0"/>
              <w:spacing w:before="87" w:after="0" w:line="246" w:lineRule="exact"/>
              <w:ind w:left="100" w:right="60" w:firstLine="42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1423ED02">
            <w:pPr>
              <w:wordWrap w:val="0"/>
              <w:autoSpaceDE w:val="0"/>
              <w:autoSpaceDN w:val="0"/>
              <w:spacing w:before="53" w:after="0" w:line="246" w:lineRule="exact"/>
              <w:ind w:left="100" w:right="4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46A36F64">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6A605B28">
            <w:pPr>
              <w:wordWrap w:val="0"/>
              <w:autoSpaceDE w:val="0"/>
              <w:autoSpaceDN w:val="0"/>
              <w:spacing w:before="0" w:after="0" w:line="246" w:lineRule="exact"/>
              <w:ind w:left="100" w:right="2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378251D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40" w:type="dxa"/>
            <w:tcBorders>
              <w:top w:val="single" w:color="000000" w:sz="4" w:space="0"/>
              <w:left w:val="single" w:color="000000" w:sz="4" w:space="0"/>
              <w:bottom w:val="single" w:color="000000" w:sz="4" w:space="0"/>
              <w:right w:val="single" w:color="000000" w:sz="4" w:space="0"/>
            </w:tcBorders>
            <w:vAlign w:val="top"/>
          </w:tcPr>
          <w:p w14:paraId="48D73743">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处罚种类</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3772DA37">
            <w:pPr>
              <w:wordWrap w:val="0"/>
              <w:autoSpaceDE w:val="0"/>
              <w:autoSpaceDN w:val="0"/>
              <w:spacing w:before="33" w:after="0" w:line="246" w:lineRule="exact"/>
              <w:ind w:firstLine="80"/>
              <w:jc w:val="both"/>
              <w:rPr>
                <w:sz w:val="18"/>
                <w:szCs w:val="18"/>
              </w:rPr>
            </w:pPr>
            <w:r>
              <w:rPr>
                <w:rFonts w:hint="eastAsia" w:ascii="宋体" w:hAnsi="宋体" w:eastAsia="宋体"/>
                <w:color w:val="000000"/>
                <w:sz w:val="18"/>
                <w:szCs w:val="18"/>
              </w:rPr>
              <w:t>罚款、没收违法所得</w:t>
            </w:r>
          </w:p>
        </w:tc>
      </w:tr>
      <w:tr w14:paraId="30EC2C5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4060" w:type="dxa"/>
            <w:gridSpan w:val="4"/>
            <w:tcBorders>
              <w:top w:val="single" w:color="000000" w:sz="4" w:space="0"/>
              <w:left w:val="single" w:color="000000" w:sz="4" w:space="0"/>
              <w:bottom w:val="single" w:color="000000" w:sz="4" w:space="0"/>
              <w:right w:val="single" w:color="000000" w:sz="4" w:space="0"/>
            </w:tcBorders>
            <w:vAlign w:val="top"/>
          </w:tcPr>
          <w:p w14:paraId="79054927">
            <w:pPr>
              <w:wordWrap w:val="0"/>
              <w:autoSpaceDE w:val="0"/>
              <w:autoSpaceDN w:val="0"/>
              <w:spacing w:before="53" w:after="0" w:line="246" w:lineRule="exact"/>
              <w:jc w:val="center"/>
              <w:rPr>
                <w:sz w:val="18"/>
                <w:szCs w:val="18"/>
              </w:rPr>
            </w:pPr>
            <w:r>
              <w:rPr>
                <w:rFonts w:hint="eastAsia" w:ascii="宋体" w:hAnsi="宋体" w:eastAsia="宋体"/>
                <w:color w:val="000000"/>
                <w:sz w:val="18"/>
                <w:szCs w:val="18"/>
              </w:rPr>
              <w:t>自由裁量基准</w:t>
            </w:r>
          </w:p>
        </w:tc>
      </w:tr>
      <w:tr w14:paraId="1850E9C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240" w:type="dxa"/>
            <w:vMerge w:val="restart"/>
            <w:tcBorders>
              <w:top w:val="single" w:color="000000" w:sz="4" w:space="0"/>
              <w:left w:val="single" w:color="000000" w:sz="4" w:space="0"/>
              <w:bottom w:val="single" w:color="000000" w:sz="4" w:space="0"/>
              <w:right w:val="single" w:color="000000" w:sz="4" w:space="0"/>
            </w:tcBorders>
            <w:vAlign w:val="top"/>
          </w:tcPr>
          <w:p w14:paraId="2FE18CBC">
            <w:pPr>
              <w:wordWrap w:val="0"/>
              <w:autoSpaceDE w:val="0"/>
              <w:autoSpaceDN w:val="0"/>
              <w:spacing w:before="0" w:after="0" w:line="246" w:lineRule="exact"/>
              <w:ind w:firstLine="0"/>
              <w:jc w:val="both"/>
              <w:rPr>
                <w:rFonts w:hint="eastAsia" w:ascii="宋体" w:hAnsi="宋体" w:eastAsia="宋体"/>
                <w:color w:val="000000"/>
                <w:sz w:val="18"/>
                <w:szCs w:val="18"/>
              </w:rPr>
            </w:pPr>
          </w:p>
          <w:p w14:paraId="15C93687">
            <w:pPr>
              <w:wordWrap w:val="0"/>
              <w:autoSpaceDE w:val="0"/>
              <w:autoSpaceDN w:val="0"/>
              <w:spacing w:before="0" w:after="0" w:line="246" w:lineRule="exact"/>
              <w:ind w:firstLine="0"/>
              <w:jc w:val="both"/>
              <w:rPr>
                <w:rFonts w:hint="eastAsia" w:ascii="宋体" w:hAnsi="宋体" w:eastAsia="宋体"/>
                <w:color w:val="000000"/>
                <w:sz w:val="18"/>
                <w:szCs w:val="18"/>
              </w:rPr>
            </w:pPr>
          </w:p>
          <w:p w14:paraId="184C40B2">
            <w:pPr>
              <w:wordWrap w:val="0"/>
              <w:autoSpaceDE w:val="0"/>
              <w:autoSpaceDN w:val="0"/>
              <w:spacing w:before="0" w:after="0" w:line="246" w:lineRule="exact"/>
              <w:ind w:firstLine="0"/>
              <w:jc w:val="both"/>
              <w:rPr>
                <w:rFonts w:hint="eastAsia" w:ascii="宋体" w:hAnsi="宋体" w:eastAsia="宋体"/>
                <w:color w:val="000000"/>
                <w:sz w:val="18"/>
                <w:szCs w:val="18"/>
              </w:rPr>
            </w:pPr>
          </w:p>
          <w:p w14:paraId="3F6937A8">
            <w:pPr>
              <w:wordWrap w:val="0"/>
              <w:autoSpaceDE w:val="0"/>
              <w:autoSpaceDN w:val="0"/>
              <w:spacing w:before="40" w:after="0" w:line="246" w:lineRule="exact"/>
              <w:jc w:val="center"/>
              <w:rPr>
                <w:sz w:val="18"/>
                <w:szCs w:val="18"/>
              </w:rPr>
            </w:pPr>
            <w:r>
              <w:rPr>
                <w:rFonts w:hint="eastAsia" w:ascii="宋体" w:hAnsi="宋体" w:eastAsia="宋体"/>
                <w:color w:val="000000"/>
                <w:sz w:val="18"/>
                <w:szCs w:val="18"/>
              </w:rPr>
              <w:t>情形描述</w:t>
            </w:r>
          </w:p>
        </w:tc>
        <w:tc>
          <w:tcPr>
            <w:tcW w:w="4980" w:type="dxa"/>
            <w:tcBorders>
              <w:top w:val="single" w:color="000000" w:sz="4" w:space="0"/>
              <w:left w:val="single" w:color="000000" w:sz="4" w:space="0"/>
              <w:bottom w:val="single" w:color="000000" w:sz="4" w:space="0"/>
              <w:right w:val="single" w:color="000000" w:sz="4" w:space="0"/>
            </w:tcBorders>
            <w:vAlign w:val="top"/>
          </w:tcPr>
          <w:p w14:paraId="6AC77CD3">
            <w:pPr>
              <w:wordWrap w:val="0"/>
              <w:autoSpaceDE w:val="0"/>
              <w:autoSpaceDN w:val="0"/>
              <w:spacing w:before="200" w:after="0" w:line="246" w:lineRule="exact"/>
              <w:ind w:firstLine="80"/>
              <w:jc w:val="both"/>
              <w:rPr>
                <w:sz w:val="18"/>
                <w:szCs w:val="18"/>
              </w:rPr>
            </w:pPr>
            <w:r>
              <w:rPr>
                <w:rFonts w:hint="eastAsia" w:ascii="宋体" w:hAnsi="宋体" w:eastAsia="宋体"/>
                <w:color w:val="000000"/>
                <w:sz w:val="18"/>
                <w:szCs w:val="18"/>
              </w:rPr>
              <w:t>未造成质量缺陷的</w:t>
            </w:r>
          </w:p>
        </w:tc>
        <w:tc>
          <w:tcPr>
            <w:tcW w:w="1140" w:type="dxa"/>
            <w:vMerge w:val="restart"/>
            <w:tcBorders>
              <w:top w:val="single" w:color="000000" w:sz="4" w:space="0"/>
              <w:left w:val="single" w:color="000000" w:sz="4" w:space="0"/>
              <w:bottom w:val="single" w:color="000000" w:sz="4" w:space="0"/>
              <w:right w:val="single" w:color="000000" w:sz="4" w:space="0"/>
            </w:tcBorders>
            <w:vAlign w:val="top"/>
          </w:tcPr>
          <w:p w14:paraId="79E078AE">
            <w:pPr>
              <w:wordWrap w:val="0"/>
              <w:autoSpaceDE w:val="0"/>
              <w:autoSpaceDN w:val="0"/>
              <w:spacing w:before="0" w:after="0" w:line="259" w:lineRule="exact"/>
              <w:ind w:firstLine="0"/>
              <w:jc w:val="both"/>
              <w:rPr>
                <w:rFonts w:hint="eastAsia" w:ascii="宋体" w:hAnsi="宋体" w:eastAsia="宋体"/>
                <w:color w:val="000000"/>
                <w:sz w:val="18"/>
                <w:szCs w:val="18"/>
              </w:rPr>
            </w:pPr>
          </w:p>
          <w:p w14:paraId="4E248368">
            <w:pPr>
              <w:wordWrap w:val="0"/>
              <w:autoSpaceDE w:val="0"/>
              <w:autoSpaceDN w:val="0"/>
              <w:spacing w:before="0" w:after="0" w:line="259" w:lineRule="exact"/>
              <w:ind w:firstLine="0"/>
              <w:jc w:val="both"/>
              <w:rPr>
                <w:rFonts w:hint="eastAsia" w:ascii="宋体" w:hAnsi="宋体" w:eastAsia="宋体"/>
                <w:color w:val="000000"/>
                <w:sz w:val="18"/>
                <w:szCs w:val="18"/>
              </w:rPr>
            </w:pPr>
          </w:p>
          <w:p w14:paraId="6A962573">
            <w:pPr>
              <w:wordWrap w:val="0"/>
              <w:autoSpaceDE w:val="0"/>
              <w:autoSpaceDN w:val="0"/>
              <w:spacing w:before="0" w:after="0" w:line="259" w:lineRule="exact"/>
              <w:ind w:firstLine="0"/>
              <w:jc w:val="both"/>
              <w:rPr>
                <w:rFonts w:hint="eastAsia" w:ascii="宋体" w:hAnsi="宋体" w:eastAsia="宋体"/>
                <w:color w:val="000000"/>
                <w:sz w:val="18"/>
                <w:szCs w:val="18"/>
              </w:rPr>
            </w:pPr>
          </w:p>
          <w:p w14:paraId="14C3BEE1">
            <w:pPr>
              <w:wordWrap w:val="0"/>
              <w:autoSpaceDE w:val="0"/>
              <w:autoSpaceDN w:val="0"/>
              <w:spacing w:before="1" w:after="0" w:line="259" w:lineRule="exact"/>
              <w:ind w:firstLine="140"/>
              <w:jc w:val="both"/>
              <w:rPr>
                <w:sz w:val="18"/>
                <w:szCs w:val="18"/>
              </w:rPr>
            </w:pPr>
            <w:r>
              <w:rPr>
                <w:rFonts w:hint="eastAsia" w:ascii="宋体" w:hAnsi="宋体" w:eastAsia="宋体"/>
                <w:color w:val="000000"/>
                <w:sz w:val="18"/>
                <w:szCs w:val="18"/>
              </w:rPr>
              <w:t>裁量幅度</w:t>
            </w:r>
          </w:p>
        </w:tc>
        <w:tc>
          <w:tcPr>
            <w:tcW w:w="6700" w:type="dxa"/>
            <w:tcBorders>
              <w:top w:val="single" w:color="000000" w:sz="4" w:space="0"/>
              <w:left w:val="single" w:color="000000" w:sz="4" w:space="0"/>
              <w:bottom w:val="single" w:color="000000" w:sz="4" w:space="0"/>
              <w:right w:val="single" w:color="000000" w:sz="4" w:space="0"/>
            </w:tcBorders>
            <w:vAlign w:val="top"/>
          </w:tcPr>
          <w:p w14:paraId="0271D838">
            <w:pPr>
              <w:wordWrap w:val="0"/>
              <w:autoSpaceDE w:val="0"/>
              <w:autoSpaceDN w:val="0"/>
              <w:spacing w:before="93" w:after="0" w:line="246" w:lineRule="exact"/>
              <w:ind w:firstLine="16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6</w:t>
            </w:r>
            <w:r>
              <w:rPr>
                <w:rFonts w:hint="eastAsia" w:ascii="宋体" w:hAnsi="宋体" w:eastAsia="宋体"/>
                <w:color w:val="000000"/>
                <w:sz w:val="18"/>
                <w:szCs w:val="18"/>
              </w:rPr>
              <w:t>万元以下罚款</w:t>
            </w:r>
          </w:p>
          <w:p w14:paraId="160F5C09">
            <w:pPr>
              <w:wordWrap w:val="0"/>
              <w:autoSpaceDE w:val="0"/>
              <w:autoSpaceDN w:val="0"/>
              <w:spacing w:before="0" w:after="0" w:line="220" w:lineRule="exact"/>
              <w:ind w:firstLine="16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455F5DB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240" w:type="dxa"/>
            <w:vMerge w:val="continue"/>
            <w:tcBorders>
              <w:top w:val="single" w:color="000000" w:sz="4" w:space="0"/>
              <w:left w:val="single" w:color="000000" w:sz="4" w:space="0"/>
              <w:bottom w:val="single" w:color="000000" w:sz="4" w:space="0"/>
              <w:right w:val="single" w:color="000000" w:sz="4" w:space="0"/>
            </w:tcBorders>
          </w:tcPr>
          <w:p w14:paraId="1E4B5417">
            <w:pPr>
              <w:rPr>
                <w:sz w:val="18"/>
                <w:szCs w:val="18"/>
              </w:rPr>
            </w:pPr>
          </w:p>
        </w:tc>
        <w:tc>
          <w:tcPr>
            <w:tcW w:w="4980" w:type="dxa"/>
            <w:tcBorders>
              <w:top w:val="single" w:color="000000" w:sz="4" w:space="0"/>
              <w:left w:val="single" w:color="000000" w:sz="4" w:space="0"/>
              <w:bottom w:val="single" w:color="000000" w:sz="4" w:space="0"/>
              <w:right w:val="single" w:color="000000" w:sz="4" w:space="0"/>
            </w:tcBorders>
            <w:vAlign w:val="top"/>
          </w:tcPr>
          <w:p w14:paraId="0EE7E312">
            <w:pPr>
              <w:wordWrap w:val="0"/>
              <w:autoSpaceDE w:val="0"/>
              <w:autoSpaceDN w:val="0"/>
              <w:spacing w:before="200" w:after="0" w:line="246" w:lineRule="exact"/>
              <w:ind w:firstLine="80"/>
              <w:jc w:val="both"/>
              <w:rPr>
                <w:sz w:val="18"/>
                <w:szCs w:val="18"/>
              </w:rPr>
            </w:pPr>
            <w:r>
              <w:rPr>
                <w:rFonts w:hint="eastAsia" w:ascii="宋体" w:hAnsi="宋体" w:eastAsia="宋体"/>
                <w:color w:val="000000"/>
                <w:sz w:val="18"/>
                <w:szCs w:val="18"/>
              </w:rPr>
              <w:t>造成质量缺陷但未造成质量安全事故的</w:t>
            </w:r>
          </w:p>
        </w:tc>
        <w:tc>
          <w:tcPr>
            <w:tcW w:w="1140" w:type="dxa"/>
            <w:vMerge w:val="continue"/>
            <w:tcBorders>
              <w:top w:val="single" w:color="000000" w:sz="4" w:space="0"/>
              <w:left w:val="single" w:color="000000" w:sz="4" w:space="0"/>
              <w:bottom w:val="single" w:color="000000" w:sz="4" w:space="0"/>
              <w:right w:val="single" w:color="000000" w:sz="4" w:space="0"/>
            </w:tcBorders>
          </w:tcPr>
          <w:p w14:paraId="48B67328">
            <w:pPr>
              <w:rPr>
                <w:sz w:val="18"/>
                <w:szCs w:val="18"/>
              </w:rPr>
            </w:pPr>
          </w:p>
        </w:tc>
        <w:tc>
          <w:tcPr>
            <w:tcW w:w="6700" w:type="dxa"/>
            <w:tcBorders>
              <w:top w:val="single" w:color="000000" w:sz="4" w:space="0"/>
              <w:left w:val="single" w:color="000000" w:sz="4" w:space="0"/>
              <w:bottom w:val="single" w:color="000000" w:sz="4" w:space="0"/>
              <w:right w:val="single" w:color="000000" w:sz="4" w:space="0"/>
            </w:tcBorders>
            <w:vAlign w:val="top"/>
          </w:tcPr>
          <w:p w14:paraId="2FE974DB">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6</w:t>
            </w:r>
            <w:r>
              <w:rPr>
                <w:rFonts w:hint="eastAsia" w:ascii="宋体" w:hAnsi="宋体" w:eastAsia="宋体"/>
                <w:color w:val="000000"/>
                <w:sz w:val="18"/>
                <w:szCs w:val="18"/>
              </w:rPr>
              <w:t>万元以上</w:t>
            </w:r>
            <w:r>
              <w:rPr>
                <w:rFonts w:hint="eastAsia" w:ascii="Calibri" w:hAnsi="Calibri" w:eastAsia="Calibri"/>
                <w:color w:val="000000"/>
                <w:sz w:val="18"/>
                <w:szCs w:val="18"/>
              </w:rPr>
              <w:t>8</w:t>
            </w:r>
            <w:r>
              <w:rPr>
                <w:rFonts w:hint="eastAsia" w:ascii="宋体" w:hAnsi="宋体" w:eastAsia="宋体"/>
                <w:color w:val="000000"/>
                <w:sz w:val="18"/>
                <w:szCs w:val="18"/>
              </w:rPr>
              <w:t>万元以下罚款</w:t>
            </w:r>
          </w:p>
          <w:p w14:paraId="09B4C6D8">
            <w:pPr>
              <w:wordWrap w:val="0"/>
              <w:autoSpaceDE w:val="0"/>
              <w:autoSpaceDN w:val="0"/>
              <w:spacing w:before="0" w:after="0" w:line="220" w:lineRule="exact"/>
              <w:ind w:firstLine="16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1B55BB2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240" w:type="dxa"/>
            <w:vMerge w:val="continue"/>
            <w:tcBorders>
              <w:top w:val="single" w:color="000000" w:sz="4" w:space="0"/>
              <w:left w:val="single" w:color="000000" w:sz="4" w:space="0"/>
              <w:bottom w:val="single" w:color="000000" w:sz="4" w:space="0"/>
              <w:right w:val="single" w:color="000000" w:sz="4" w:space="0"/>
            </w:tcBorders>
          </w:tcPr>
          <w:p w14:paraId="63F4A920">
            <w:pPr>
              <w:rPr>
                <w:sz w:val="18"/>
                <w:szCs w:val="18"/>
              </w:rPr>
            </w:pPr>
          </w:p>
        </w:tc>
        <w:tc>
          <w:tcPr>
            <w:tcW w:w="4980" w:type="dxa"/>
            <w:tcBorders>
              <w:top w:val="single" w:color="000000" w:sz="4" w:space="0"/>
              <w:left w:val="single" w:color="000000" w:sz="4" w:space="0"/>
              <w:bottom w:val="single" w:color="000000" w:sz="4" w:space="0"/>
              <w:right w:val="single" w:color="000000" w:sz="4" w:space="0"/>
            </w:tcBorders>
            <w:vAlign w:val="top"/>
          </w:tcPr>
          <w:p w14:paraId="345E85EA">
            <w:pPr>
              <w:wordWrap w:val="0"/>
              <w:autoSpaceDE w:val="0"/>
              <w:autoSpaceDN w:val="0"/>
              <w:spacing w:before="220" w:after="0" w:line="246" w:lineRule="exact"/>
              <w:ind w:firstLine="80"/>
              <w:jc w:val="both"/>
              <w:rPr>
                <w:sz w:val="18"/>
                <w:szCs w:val="18"/>
              </w:rPr>
            </w:pPr>
            <w:r>
              <w:rPr>
                <w:rFonts w:hint="eastAsia" w:ascii="宋体" w:hAnsi="宋体" w:eastAsia="宋体"/>
                <w:color w:val="000000"/>
                <w:sz w:val="18"/>
                <w:szCs w:val="18"/>
              </w:rPr>
              <w:t>造成质量安全事故的</w:t>
            </w:r>
          </w:p>
        </w:tc>
        <w:tc>
          <w:tcPr>
            <w:tcW w:w="1140" w:type="dxa"/>
            <w:vMerge w:val="continue"/>
            <w:tcBorders>
              <w:top w:val="single" w:color="000000" w:sz="4" w:space="0"/>
              <w:left w:val="single" w:color="000000" w:sz="4" w:space="0"/>
              <w:bottom w:val="single" w:color="000000" w:sz="4" w:space="0"/>
              <w:right w:val="single" w:color="000000" w:sz="4" w:space="0"/>
            </w:tcBorders>
          </w:tcPr>
          <w:p w14:paraId="3A69D34D">
            <w:pPr>
              <w:rPr>
                <w:sz w:val="18"/>
                <w:szCs w:val="18"/>
              </w:rPr>
            </w:pPr>
          </w:p>
        </w:tc>
        <w:tc>
          <w:tcPr>
            <w:tcW w:w="6700" w:type="dxa"/>
            <w:tcBorders>
              <w:top w:val="single" w:color="000000" w:sz="4" w:space="0"/>
              <w:left w:val="single" w:color="000000" w:sz="4" w:space="0"/>
              <w:bottom w:val="single" w:color="000000" w:sz="4" w:space="0"/>
              <w:right w:val="single" w:color="000000" w:sz="4" w:space="0"/>
            </w:tcBorders>
            <w:vAlign w:val="top"/>
          </w:tcPr>
          <w:p w14:paraId="6E78A928">
            <w:pPr>
              <w:wordWrap w:val="0"/>
              <w:autoSpaceDE w:val="0"/>
              <w:autoSpaceDN w:val="0"/>
              <w:spacing w:before="93" w:after="0" w:line="246" w:lineRule="exact"/>
              <w:ind w:firstLine="14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8</w:t>
            </w:r>
            <w:r>
              <w:rPr>
                <w:rFonts w:hint="eastAsia" w:ascii="宋体" w:hAnsi="宋体" w:eastAsia="宋体"/>
                <w:color w:val="000000"/>
                <w:sz w:val="18"/>
                <w:szCs w:val="18"/>
              </w:rPr>
              <w:t>万元以上</w:t>
            </w:r>
            <w:r>
              <w:rPr>
                <w:rFonts w:hint="eastAsia" w:ascii="Calibri" w:hAnsi="Calibri" w:eastAsia="Calibri"/>
                <w:color w:val="000000"/>
                <w:sz w:val="18"/>
                <w:szCs w:val="18"/>
              </w:rPr>
              <w:t>10</w:t>
            </w:r>
            <w:r>
              <w:rPr>
                <w:rFonts w:hint="eastAsia" w:ascii="宋体" w:hAnsi="宋体" w:eastAsia="宋体"/>
                <w:color w:val="000000"/>
                <w:sz w:val="18"/>
                <w:szCs w:val="18"/>
              </w:rPr>
              <w:t>万元以下罚款</w:t>
            </w:r>
          </w:p>
          <w:p w14:paraId="74BD5713">
            <w:pPr>
              <w:wordWrap w:val="0"/>
              <w:autoSpaceDE w:val="0"/>
              <w:autoSpaceDN w:val="0"/>
              <w:spacing w:before="0" w:after="0" w:line="240" w:lineRule="exact"/>
              <w:ind w:firstLine="12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2AFA1FD0">
      <w:pPr>
        <w:rPr>
          <w:sz w:val="18"/>
          <w:szCs w:val="18"/>
        </w:rPr>
      </w:pPr>
    </w:p>
    <w:p w14:paraId="34BD65DB">
      <w:pPr>
        <w:rPr>
          <w:sz w:val="18"/>
          <w:szCs w:val="18"/>
        </w:rPr>
      </w:pPr>
    </w:p>
    <w:tbl>
      <w:tblPr>
        <w:tblStyle w:val="15"/>
        <w:tblpPr w:leftFromText="180" w:rightFromText="180" w:vertAnchor="page" w:horzAnchor="page" w:tblpX="1650" w:tblpY="2156"/>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217"/>
        <w:gridCol w:w="5425"/>
        <w:gridCol w:w="1178"/>
        <w:gridCol w:w="6143"/>
      </w:tblGrid>
      <w:tr w14:paraId="44AB161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217" w:type="dxa"/>
            <w:tcBorders>
              <w:top w:val="single" w:color="000000" w:sz="4" w:space="0"/>
              <w:left w:val="single" w:color="000000" w:sz="4" w:space="0"/>
              <w:bottom w:val="single" w:color="000000" w:sz="4" w:space="0"/>
              <w:right w:val="single" w:color="000000" w:sz="4" w:space="0"/>
            </w:tcBorders>
            <w:vAlign w:val="top"/>
          </w:tcPr>
          <w:p w14:paraId="79255A8A">
            <w:pPr>
              <w:wordWrap w:val="0"/>
              <w:autoSpaceDE w:val="0"/>
              <w:autoSpaceDN w:val="0"/>
              <w:spacing w:before="33" w:after="0" w:line="246" w:lineRule="exact"/>
              <w:ind w:firstLine="320"/>
              <w:jc w:val="both"/>
              <w:rPr>
                <w:sz w:val="18"/>
                <w:szCs w:val="18"/>
              </w:rPr>
            </w:pPr>
            <w:r>
              <w:rPr>
                <w:rFonts w:hint="eastAsia" w:ascii="宋体" w:hAnsi="宋体" w:eastAsia="宋体"/>
                <w:color w:val="000000"/>
                <w:sz w:val="18"/>
                <w:szCs w:val="18"/>
              </w:rPr>
              <w:t>序号</w:t>
            </w:r>
          </w:p>
        </w:tc>
        <w:tc>
          <w:tcPr>
            <w:tcW w:w="12746" w:type="dxa"/>
            <w:gridSpan w:val="3"/>
            <w:tcBorders>
              <w:top w:val="single" w:color="000000" w:sz="4" w:space="0"/>
              <w:left w:val="single" w:color="000000" w:sz="4" w:space="0"/>
              <w:bottom w:val="single" w:color="000000" w:sz="4" w:space="0"/>
              <w:right w:val="single" w:color="000000" w:sz="4" w:space="0"/>
            </w:tcBorders>
            <w:vAlign w:val="top"/>
          </w:tcPr>
          <w:p w14:paraId="0784BF41">
            <w:pPr>
              <w:wordWrap w:val="0"/>
              <w:autoSpaceDE w:val="0"/>
              <w:autoSpaceDN w:val="0"/>
              <w:spacing w:before="53" w:after="0" w:line="246" w:lineRule="exact"/>
              <w:ind w:firstLine="80"/>
              <w:jc w:val="both"/>
              <w:rPr>
                <w:sz w:val="18"/>
                <w:szCs w:val="18"/>
              </w:rPr>
            </w:pPr>
            <w:r>
              <w:rPr>
                <w:rFonts w:hint="eastAsia" w:ascii="Calibri" w:hAnsi="Calibri" w:eastAsia="Calibri"/>
                <w:color w:val="000000"/>
                <w:sz w:val="18"/>
                <w:szCs w:val="18"/>
              </w:rPr>
              <w:t>9</w:t>
            </w:r>
          </w:p>
        </w:tc>
      </w:tr>
      <w:tr w14:paraId="2C06230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0" w:hRule="atLeast"/>
        </w:trPr>
        <w:tc>
          <w:tcPr>
            <w:tcW w:w="1217" w:type="dxa"/>
            <w:tcBorders>
              <w:top w:val="single" w:color="000000" w:sz="4" w:space="0"/>
              <w:left w:val="single" w:color="000000" w:sz="4" w:space="0"/>
              <w:bottom w:val="single" w:color="000000" w:sz="4" w:space="0"/>
              <w:right w:val="single" w:color="000000" w:sz="4" w:space="0"/>
            </w:tcBorders>
            <w:vAlign w:val="top"/>
          </w:tcPr>
          <w:p w14:paraId="202996E4">
            <w:pPr>
              <w:wordWrap w:val="0"/>
              <w:autoSpaceDE w:val="0"/>
              <w:autoSpaceDN w:val="0"/>
              <w:spacing w:before="0" w:after="0" w:line="220" w:lineRule="exact"/>
              <w:ind w:firstLine="340"/>
              <w:jc w:val="both"/>
              <w:rPr>
                <w:sz w:val="18"/>
                <w:szCs w:val="18"/>
              </w:rPr>
            </w:pPr>
            <w:r>
              <w:rPr>
                <w:rFonts w:hint="eastAsia" w:ascii="宋体" w:hAnsi="宋体" w:eastAsia="宋体"/>
                <w:color w:val="000000"/>
                <w:sz w:val="18"/>
                <w:szCs w:val="18"/>
              </w:rPr>
              <w:t>编号</w:t>
            </w:r>
          </w:p>
        </w:tc>
        <w:tc>
          <w:tcPr>
            <w:tcW w:w="12746" w:type="dxa"/>
            <w:gridSpan w:val="3"/>
            <w:tcBorders>
              <w:top w:val="single" w:color="000000" w:sz="4" w:space="0"/>
              <w:left w:val="single" w:color="000000" w:sz="4" w:space="0"/>
              <w:bottom w:val="single" w:color="000000" w:sz="4" w:space="0"/>
              <w:right w:val="single" w:color="000000" w:sz="4" w:space="0"/>
            </w:tcBorders>
            <w:vAlign w:val="top"/>
          </w:tcPr>
          <w:p w14:paraId="795209D5">
            <w:pPr>
              <w:wordWrap w:val="0"/>
              <w:autoSpaceDE w:val="0"/>
              <w:autoSpaceDN w:val="0"/>
              <w:spacing w:before="13" w:after="0" w:line="246" w:lineRule="exact"/>
              <w:ind w:firstLine="80"/>
              <w:jc w:val="both"/>
              <w:rPr>
                <w:sz w:val="18"/>
                <w:szCs w:val="18"/>
              </w:rPr>
            </w:pPr>
            <w:r>
              <w:rPr>
                <w:rFonts w:hint="eastAsia" w:ascii="Calibri" w:hAnsi="Calibri" w:eastAsia="Calibri"/>
                <w:color w:val="000000"/>
                <w:sz w:val="18"/>
                <w:szCs w:val="18"/>
              </w:rPr>
              <w:t>320280010000</w:t>
            </w:r>
          </w:p>
        </w:tc>
      </w:tr>
      <w:tr w14:paraId="077EE3D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17" w:type="dxa"/>
            <w:tcBorders>
              <w:top w:val="single" w:color="000000" w:sz="4" w:space="0"/>
              <w:left w:val="single" w:color="000000" w:sz="4" w:space="0"/>
              <w:bottom w:val="single" w:color="000000" w:sz="4" w:space="0"/>
              <w:right w:val="single" w:color="000000" w:sz="4" w:space="0"/>
            </w:tcBorders>
            <w:vAlign w:val="top"/>
          </w:tcPr>
          <w:p w14:paraId="433F7447">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行为名称</w:t>
            </w:r>
          </w:p>
        </w:tc>
        <w:tc>
          <w:tcPr>
            <w:tcW w:w="12746" w:type="dxa"/>
            <w:gridSpan w:val="3"/>
            <w:tcBorders>
              <w:top w:val="single" w:color="000000" w:sz="4" w:space="0"/>
              <w:left w:val="single" w:color="000000" w:sz="4" w:space="0"/>
              <w:bottom w:val="single" w:color="000000" w:sz="4" w:space="0"/>
              <w:right w:val="single" w:color="000000" w:sz="4" w:space="0"/>
            </w:tcBorders>
            <w:vAlign w:val="top"/>
          </w:tcPr>
          <w:p w14:paraId="6DAAB527">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对人民防空工程建设单位未按照国家规定办理工程质量监督手续的处罚</w:t>
            </w:r>
          </w:p>
        </w:tc>
      </w:tr>
      <w:tr w14:paraId="26A2661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540" w:hRule="atLeast"/>
        </w:trPr>
        <w:tc>
          <w:tcPr>
            <w:tcW w:w="1217" w:type="dxa"/>
            <w:tcBorders>
              <w:top w:val="single" w:color="000000" w:sz="4" w:space="0"/>
              <w:left w:val="single" w:color="000000" w:sz="4" w:space="0"/>
              <w:bottom w:val="single" w:color="000000" w:sz="4" w:space="0"/>
              <w:right w:val="single" w:color="000000" w:sz="4" w:space="0"/>
            </w:tcBorders>
            <w:vAlign w:val="top"/>
          </w:tcPr>
          <w:p w14:paraId="0F1981BC">
            <w:pPr>
              <w:wordWrap w:val="0"/>
              <w:autoSpaceDE w:val="0"/>
              <w:autoSpaceDN w:val="0"/>
              <w:spacing w:before="0" w:after="0" w:line="246" w:lineRule="exact"/>
              <w:ind w:firstLine="0"/>
              <w:jc w:val="both"/>
              <w:rPr>
                <w:rFonts w:hint="eastAsia" w:ascii="宋体" w:hAnsi="宋体" w:eastAsia="宋体"/>
                <w:color w:val="000000"/>
                <w:sz w:val="18"/>
                <w:szCs w:val="18"/>
              </w:rPr>
            </w:pPr>
          </w:p>
          <w:p w14:paraId="6047B212">
            <w:pPr>
              <w:wordWrap w:val="0"/>
              <w:autoSpaceDE w:val="0"/>
              <w:autoSpaceDN w:val="0"/>
              <w:spacing w:before="0" w:after="0" w:line="246" w:lineRule="exact"/>
              <w:ind w:firstLine="0"/>
              <w:jc w:val="both"/>
              <w:rPr>
                <w:rFonts w:hint="eastAsia" w:ascii="宋体" w:hAnsi="宋体" w:eastAsia="宋体"/>
                <w:color w:val="000000"/>
                <w:sz w:val="18"/>
                <w:szCs w:val="18"/>
              </w:rPr>
            </w:pPr>
          </w:p>
          <w:p w14:paraId="3524062E">
            <w:pPr>
              <w:wordWrap w:val="0"/>
              <w:autoSpaceDE w:val="0"/>
              <w:autoSpaceDN w:val="0"/>
              <w:spacing w:before="0" w:after="0" w:line="246" w:lineRule="exact"/>
              <w:ind w:firstLine="0"/>
              <w:jc w:val="both"/>
              <w:rPr>
                <w:rFonts w:hint="eastAsia" w:ascii="宋体" w:hAnsi="宋体" w:eastAsia="宋体"/>
                <w:color w:val="000000"/>
                <w:sz w:val="18"/>
                <w:szCs w:val="18"/>
              </w:rPr>
            </w:pPr>
          </w:p>
          <w:p w14:paraId="13FFFEE3">
            <w:pPr>
              <w:wordWrap w:val="0"/>
              <w:autoSpaceDE w:val="0"/>
              <w:autoSpaceDN w:val="0"/>
              <w:spacing w:before="0" w:after="0" w:line="246" w:lineRule="exact"/>
              <w:ind w:firstLine="0"/>
              <w:jc w:val="both"/>
              <w:rPr>
                <w:rFonts w:hint="eastAsia" w:ascii="宋体" w:hAnsi="宋体" w:eastAsia="宋体"/>
                <w:color w:val="000000"/>
                <w:sz w:val="18"/>
                <w:szCs w:val="18"/>
              </w:rPr>
            </w:pPr>
          </w:p>
          <w:p w14:paraId="4789386E">
            <w:pPr>
              <w:wordWrap w:val="0"/>
              <w:autoSpaceDE w:val="0"/>
              <w:autoSpaceDN w:val="0"/>
              <w:spacing w:before="0" w:after="0" w:line="246" w:lineRule="exact"/>
              <w:ind w:firstLine="0"/>
              <w:jc w:val="both"/>
              <w:rPr>
                <w:rFonts w:hint="eastAsia" w:ascii="宋体" w:hAnsi="宋体" w:eastAsia="宋体"/>
                <w:color w:val="000000"/>
                <w:sz w:val="18"/>
                <w:szCs w:val="18"/>
              </w:rPr>
            </w:pPr>
          </w:p>
          <w:p w14:paraId="41598653">
            <w:pPr>
              <w:wordWrap w:val="0"/>
              <w:autoSpaceDE w:val="0"/>
              <w:autoSpaceDN w:val="0"/>
              <w:spacing w:before="0" w:after="0" w:line="246" w:lineRule="exact"/>
              <w:ind w:firstLine="0"/>
              <w:jc w:val="both"/>
              <w:rPr>
                <w:rFonts w:hint="eastAsia" w:ascii="宋体" w:hAnsi="宋体" w:eastAsia="宋体"/>
                <w:color w:val="000000"/>
                <w:sz w:val="18"/>
                <w:szCs w:val="18"/>
              </w:rPr>
            </w:pPr>
          </w:p>
          <w:p w14:paraId="129103C9">
            <w:pPr>
              <w:wordWrap w:val="0"/>
              <w:autoSpaceDE w:val="0"/>
              <w:autoSpaceDN w:val="0"/>
              <w:spacing w:before="201" w:after="0" w:line="246" w:lineRule="exact"/>
              <w:jc w:val="center"/>
              <w:rPr>
                <w:sz w:val="18"/>
                <w:szCs w:val="18"/>
              </w:rPr>
            </w:pPr>
            <w:r>
              <w:rPr>
                <w:rFonts w:hint="eastAsia" w:ascii="宋体" w:hAnsi="宋体" w:eastAsia="宋体"/>
                <w:color w:val="000000"/>
                <w:sz w:val="18"/>
                <w:szCs w:val="18"/>
              </w:rPr>
              <w:t>法律依据</w:t>
            </w:r>
          </w:p>
        </w:tc>
        <w:tc>
          <w:tcPr>
            <w:tcW w:w="12746" w:type="dxa"/>
            <w:gridSpan w:val="3"/>
            <w:tcBorders>
              <w:top w:val="single" w:color="000000" w:sz="4" w:space="0"/>
              <w:left w:val="single" w:color="000000" w:sz="4" w:space="0"/>
              <w:bottom w:val="single" w:color="000000" w:sz="4" w:space="0"/>
              <w:right w:val="single" w:color="000000" w:sz="4" w:space="0"/>
            </w:tcBorders>
            <w:vAlign w:val="top"/>
          </w:tcPr>
          <w:p w14:paraId="2DAAE582">
            <w:pPr>
              <w:wordWrap w:val="0"/>
              <w:autoSpaceDE w:val="0"/>
              <w:autoSpaceDN w:val="0"/>
              <w:spacing w:before="93" w:after="0" w:line="246" w:lineRule="exact"/>
              <w:ind w:firstLine="14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7E40DF42">
            <w:pPr>
              <w:wordWrap w:val="0"/>
              <w:autoSpaceDE w:val="0"/>
              <w:autoSpaceDN w:val="0"/>
              <w:spacing w:before="0" w:after="0" w:line="246" w:lineRule="exact"/>
              <w:ind w:firstLine="0"/>
              <w:jc w:val="both"/>
              <w:rPr>
                <w:rFonts w:hint="eastAsia" w:ascii="宋体" w:hAnsi="宋体" w:eastAsia="宋体"/>
                <w:color w:val="000000"/>
                <w:sz w:val="18"/>
                <w:szCs w:val="18"/>
              </w:rPr>
            </w:pPr>
          </w:p>
          <w:p w14:paraId="4BD3EE88">
            <w:pPr>
              <w:wordWrap w:val="0"/>
              <w:autoSpaceDE w:val="0"/>
              <w:autoSpaceDN w:val="0"/>
              <w:spacing w:before="107" w:after="0" w:line="246" w:lineRule="exact"/>
              <w:ind w:left="100" w:right="80" w:firstLine="420"/>
              <w:jc w:val="both"/>
              <w:rPr>
                <w:sz w:val="18"/>
                <w:szCs w:val="18"/>
              </w:rPr>
            </w:pPr>
            <w:r>
              <w:rPr>
                <w:rFonts w:hint="eastAsia" w:ascii="宋体" w:hAnsi="宋体" w:eastAsia="宋体"/>
                <w:color w:val="000000"/>
                <w:sz w:val="18"/>
                <w:szCs w:val="18"/>
              </w:rPr>
              <w:t>第十三条 建设单位在开工前，应当按照国家有关规定办理工程质量监督手续，工程质量监督手续可以与施工许可证或者开工报告合并办理。</w:t>
            </w:r>
          </w:p>
          <w:p w14:paraId="6877A998">
            <w:pPr>
              <w:wordWrap w:val="0"/>
              <w:autoSpaceDE w:val="0"/>
              <w:autoSpaceDN w:val="0"/>
              <w:spacing w:before="0" w:after="0" w:line="246" w:lineRule="exact"/>
              <w:ind w:firstLine="520"/>
              <w:jc w:val="both"/>
              <w:rPr>
                <w:sz w:val="18"/>
                <w:szCs w:val="18"/>
              </w:rPr>
            </w:pPr>
            <w:r>
              <w:rPr>
                <w:rFonts w:hint="eastAsia" w:ascii="宋体" w:hAnsi="宋体" w:eastAsia="宋体"/>
                <w:color w:val="000000"/>
                <w:sz w:val="18"/>
                <w:szCs w:val="18"/>
              </w:rPr>
              <w:t>第五十六条 违反本条例规定，建设单位有下列行为之一的，责令改正，处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万元以下的罚款：</w:t>
            </w:r>
          </w:p>
          <w:p w14:paraId="100CE704">
            <w:pPr>
              <w:wordWrap w:val="0"/>
              <w:autoSpaceDE w:val="0"/>
              <w:autoSpaceDN w:val="0"/>
              <w:spacing w:before="53" w:after="0" w:line="246" w:lineRule="exact"/>
              <w:ind w:firstLine="580"/>
              <w:jc w:val="both"/>
              <w:rPr>
                <w:sz w:val="18"/>
                <w:szCs w:val="18"/>
              </w:rPr>
            </w:pPr>
            <w:r>
              <w:rPr>
                <w:rFonts w:hint="eastAsia" w:ascii="宋体" w:hAnsi="宋体" w:eastAsia="宋体"/>
                <w:color w:val="000000"/>
                <w:sz w:val="18"/>
                <w:szCs w:val="18"/>
              </w:rPr>
              <w:t>（六）未按照国家规定办理工程质量监督手续的；</w:t>
            </w:r>
          </w:p>
          <w:p w14:paraId="69D9FC87">
            <w:pPr>
              <w:wordWrap w:val="0"/>
              <w:autoSpaceDE w:val="0"/>
              <w:autoSpaceDN w:val="0"/>
              <w:spacing w:before="0" w:after="0" w:line="246" w:lineRule="exact"/>
              <w:ind w:firstLine="0"/>
              <w:jc w:val="both"/>
              <w:rPr>
                <w:rFonts w:hint="eastAsia" w:ascii="宋体" w:hAnsi="宋体" w:eastAsia="宋体"/>
                <w:color w:val="000000"/>
                <w:sz w:val="18"/>
                <w:szCs w:val="18"/>
              </w:rPr>
            </w:pPr>
          </w:p>
          <w:p w14:paraId="13469C98">
            <w:pPr>
              <w:wordWrap w:val="0"/>
              <w:autoSpaceDE w:val="0"/>
              <w:autoSpaceDN w:val="0"/>
              <w:spacing w:before="87" w:after="0" w:line="246" w:lineRule="exact"/>
              <w:ind w:left="100" w:right="80" w:firstLine="42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6315FE1E">
            <w:pPr>
              <w:wordWrap w:val="0"/>
              <w:autoSpaceDE w:val="0"/>
              <w:autoSpaceDN w:val="0"/>
              <w:spacing w:before="53" w:after="0" w:line="246" w:lineRule="exact"/>
              <w:ind w:left="120" w:right="60" w:firstLine="40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0C14B5D1">
            <w:pPr>
              <w:wordWrap w:val="0"/>
              <w:autoSpaceDE w:val="0"/>
              <w:autoSpaceDN w:val="0"/>
              <w:spacing w:before="73" w:after="0" w:line="246" w:lineRule="exact"/>
              <w:ind w:firstLine="160"/>
              <w:jc w:val="both"/>
              <w:rPr>
                <w:sz w:val="18"/>
                <w:szCs w:val="18"/>
              </w:rPr>
            </w:pPr>
            <w:r>
              <w:rPr>
                <w:rFonts w:hint="eastAsia" w:ascii="宋体" w:hAnsi="宋体" w:eastAsia="宋体"/>
                <w:color w:val="000000"/>
                <w:sz w:val="18"/>
                <w:szCs w:val="18"/>
              </w:rPr>
              <w:t>【地方性法规】《江苏省实施＜中华人民共和国人民防空法＞办法》</w:t>
            </w:r>
          </w:p>
          <w:p w14:paraId="20795D70">
            <w:pPr>
              <w:wordWrap w:val="0"/>
              <w:autoSpaceDE w:val="0"/>
              <w:autoSpaceDN w:val="0"/>
              <w:spacing w:before="0" w:after="0" w:line="246" w:lineRule="exact"/>
              <w:ind w:left="100" w:right="6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13262CB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17" w:type="dxa"/>
            <w:tcBorders>
              <w:top w:val="single" w:color="000000" w:sz="4" w:space="0"/>
              <w:left w:val="single" w:color="000000" w:sz="4" w:space="0"/>
              <w:bottom w:val="single" w:color="000000" w:sz="4" w:space="0"/>
              <w:right w:val="single" w:color="000000" w:sz="4" w:space="0"/>
            </w:tcBorders>
            <w:vAlign w:val="top"/>
          </w:tcPr>
          <w:p w14:paraId="718F99EC">
            <w:pPr>
              <w:wordWrap w:val="0"/>
              <w:autoSpaceDE w:val="0"/>
              <w:autoSpaceDN w:val="0"/>
              <w:spacing w:before="33" w:after="0" w:line="246" w:lineRule="exact"/>
              <w:ind w:firstLine="240"/>
              <w:jc w:val="both"/>
              <w:rPr>
                <w:sz w:val="18"/>
                <w:szCs w:val="18"/>
              </w:rPr>
            </w:pPr>
            <w:r>
              <w:rPr>
                <w:rFonts w:hint="eastAsia" w:ascii="宋体" w:hAnsi="宋体" w:eastAsia="宋体"/>
                <w:color w:val="000000"/>
                <w:sz w:val="18"/>
                <w:szCs w:val="18"/>
              </w:rPr>
              <w:t>处罚种类</w:t>
            </w:r>
          </w:p>
        </w:tc>
        <w:tc>
          <w:tcPr>
            <w:tcW w:w="12746" w:type="dxa"/>
            <w:gridSpan w:val="3"/>
            <w:tcBorders>
              <w:top w:val="single" w:color="000000" w:sz="4" w:space="0"/>
              <w:left w:val="single" w:color="000000" w:sz="4" w:space="0"/>
              <w:bottom w:val="single" w:color="000000" w:sz="4" w:space="0"/>
              <w:right w:val="single" w:color="000000" w:sz="4" w:space="0"/>
            </w:tcBorders>
            <w:vAlign w:val="top"/>
          </w:tcPr>
          <w:p w14:paraId="49619062">
            <w:pPr>
              <w:wordWrap w:val="0"/>
              <w:autoSpaceDE w:val="0"/>
              <w:autoSpaceDN w:val="0"/>
              <w:spacing w:before="73" w:after="0" w:line="246" w:lineRule="exact"/>
              <w:ind w:firstLine="80"/>
              <w:jc w:val="both"/>
              <w:rPr>
                <w:sz w:val="18"/>
                <w:szCs w:val="18"/>
              </w:rPr>
            </w:pPr>
            <w:r>
              <w:rPr>
                <w:rFonts w:hint="eastAsia" w:ascii="宋体" w:hAnsi="宋体" w:eastAsia="宋体"/>
                <w:color w:val="000000"/>
                <w:sz w:val="18"/>
                <w:szCs w:val="18"/>
              </w:rPr>
              <w:t>罚款</w:t>
            </w:r>
          </w:p>
        </w:tc>
      </w:tr>
      <w:tr w14:paraId="1F286F5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0" w:hRule="atLeast"/>
        </w:trPr>
        <w:tc>
          <w:tcPr>
            <w:tcW w:w="13963" w:type="dxa"/>
            <w:gridSpan w:val="4"/>
            <w:tcBorders>
              <w:top w:val="single" w:color="000000" w:sz="4" w:space="0"/>
              <w:left w:val="single" w:color="000000" w:sz="4" w:space="0"/>
              <w:bottom w:val="single" w:color="000000" w:sz="4" w:space="0"/>
              <w:right w:val="single" w:color="000000" w:sz="4" w:space="0"/>
            </w:tcBorders>
            <w:vAlign w:val="top"/>
          </w:tcPr>
          <w:p w14:paraId="34B4C95E">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自由裁量基准</w:t>
            </w:r>
          </w:p>
        </w:tc>
      </w:tr>
      <w:tr w14:paraId="42EC40D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17" w:type="dxa"/>
            <w:vMerge w:val="restart"/>
            <w:tcBorders>
              <w:top w:val="single" w:color="000000" w:sz="4" w:space="0"/>
              <w:left w:val="single" w:color="000000" w:sz="4" w:space="0"/>
              <w:bottom w:val="single" w:color="000000" w:sz="4" w:space="0"/>
              <w:right w:val="single" w:color="000000" w:sz="4" w:space="0"/>
            </w:tcBorders>
            <w:vAlign w:val="top"/>
          </w:tcPr>
          <w:p w14:paraId="261C40CE">
            <w:pPr>
              <w:wordWrap w:val="0"/>
              <w:autoSpaceDE w:val="0"/>
              <w:autoSpaceDN w:val="0"/>
              <w:spacing w:before="0" w:after="0" w:line="246" w:lineRule="exact"/>
              <w:ind w:firstLine="0"/>
              <w:jc w:val="both"/>
              <w:rPr>
                <w:rFonts w:hint="eastAsia" w:ascii="宋体" w:hAnsi="宋体" w:eastAsia="宋体"/>
                <w:color w:val="000000"/>
                <w:sz w:val="18"/>
                <w:szCs w:val="18"/>
              </w:rPr>
            </w:pPr>
          </w:p>
          <w:p w14:paraId="5E321ECD">
            <w:pPr>
              <w:wordWrap w:val="0"/>
              <w:autoSpaceDE w:val="0"/>
              <w:autoSpaceDN w:val="0"/>
              <w:spacing w:before="0" w:after="0" w:line="246" w:lineRule="exact"/>
              <w:ind w:firstLine="0"/>
              <w:jc w:val="both"/>
              <w:rPr>
                <w:rFonts w:hint="eastAsia" w:ascii="宋体" w:hAnsi="宋体" w:eastAsia="宋体"/>
                <w:color w:val="000000"/>
                <w:sz w:val="18"/>
                <w:szCs w:val="18"/>
              </w:rPr>
            </w:pPr>
          </w:p>
          <w:p w14:paraId="32A8162B">
            <w:pPr>
              <w:wordWrap w:val="0"/>
              <w:autoSpaceDE w:val="0"/>
              <w:autoSpaceDN w:val="0"/>
              <w:spacing w:before="0" w:after="0" w:line="246" w:lineRule="exact"/>
              <w:ind w:firstLine="0"/>
              <w:jc w:val="both"/>
              <w:rPr>
                <w:rFonts w:hint="eastAsia" w:ascii="宋体" w:hAnsi="宋体" w:eastAsia="宋体"/>
                <w:color w:val="000000"/>
                <w:sz w:val="18"/>
                <w:szCs w:val="18"/>
              </w:rPr>
            </w:pPr>
          </w:p>
          <w:p w14:paraId="38501613">
            <w:pPr>
              <w:wordWrap w:val="0"/>
              <w:autoSpaceDE w:val="0"/>
              <w:autoSpaceDN w:val="0"/>
              <w:spacing w:before="80" w:after="0" w:line="246" w:lineRule="exact"/>
              <w:jc w:val="center"/>
              <w:rPr>
                <w:sz w:val="18"/>
                <w:szCs w:val="18"/>
              </w:rPr>
            </w:pPr>
            <w:r>
              <w:rPr>
                <w:rFonts w:hint="eastAsia" w:ascii="宋体" w:hAnsi="宋体" w:eastAsia="宋体"/>
                <w:color w:val="000000"/>
                <w:sz w:val="18"/>
                <w:szCs w:val="18"/>
              </w:rPr>
              <w:t>情形描述</w:t>
            </w:r>
          </w:p>
        </w:tc>
        <w:tc>
          <w:tcPr>
            <w:tcW w:w="5425" w:type="dxa"/>
            <w:tcBorders>
              <w:top w:val="single" w:color="000000" w:sz="4" w:space="0"/>
              <w:left w:val="single" w:color="000000" w:sz="4" w:space="0"/>
              <w:bottom w:val="single" w:color="000000" w:sz="4" w:space="0"/>
              <w:right w:val="single" w:color="000000" w:sz="4" w:space="0"/>
            </w:tcBorders>
            <w:vAlign w:val="top"/>
          </w:tcPr>
          <w:p w14:paraId="1EBEB999">
            <w:pPr>
              <w:wordWrap w:val="0"/>
              <w:autoSpaceDE w:val="0"/>
              <w:autoSpaceDN w:val="0"/>
              <w:spacing w:before="240" w:after="0" w:line="246" w:lineRule="exact"/>
              <w:ind w:firstLine="80"/>
              <w:jc w:val="both"/>
              <w:rPr>
                <w:sz w:val="18"/>
                <w:szCs w:val="18"/>
              </w:rPr>
            </w:pPr>
            <w:r>
              <w:rPr>
                <w:rFonts w:hint="eastAsia" w:ascii="宋体" w:hAnsi="宋体" w:eastAsia="宋体"/>
                <w:color w:val="000000"/>
                <w:sz w:val="18"/>
                <w:szCs w:val="18"/>
              </w:rPr>
              <w:t>工程形象进度未过半的</w:t>
            </w:r>
          </w:p>
        </w:tc>
        <w:tc>
          <w:tcPr>
            <w:tcW w:w="1178" w:type="dxa"/>
            <w:vMerge w:val="restart"/>
            <w:tcBorders>
              <w:top w:val="single" w:color="000000" w:sz="4" w:space="0"/>
              <w:left w:val="single" w:color="000000" w:sz="4" w:space="0"/>
              <w:bottom w:val="single" w:color="000000" w:sz="4" w:space="0"/>
              <w:right w:val="single" w:color="000000" w:sz="4" w:space="0"/>
            </w:tcBorders>
            <w:vAlign w:val="top"/>
          </w:tcPr>
          <w:p w14:paraId="342D3338">
            <w:pPr>
              <w:wordWrap w:val="0"/>
              <w:autoSpaceDE w:val="0"/>
              <w:autoSpaceDN w:val="0"/>
              <w:spacing w:before="0" w:after="0" w:line="246" w:lineRule="exact"/>
              <w:ind w:firstLine="0"/>
              <w:jc w:val="both"/>
              <w:rPr>
                <w:rFonts w:hint="eastAsia" w:ascii="宋体" w:hAnsi="宋体" w:eastAsia="宋体"/>
                <w:color w:val="000000"/>
                <w:sz w:val="18"/>
                <w:szCs w:val="18"/>
              </w:rPr>
            </w:pPr>
          </w:p>
          <w:p w14:paraId="66575AD3">
            <w:pPr>
              <w:wordWrap w:val="0"/>
              <w:autoSpaceDE w:val="0"/>
              <w:autoSpaceDN w:val="0"/>
              <w:spacing w:before="0" w:after="0" w:line="246" w:lineRule="exact"/>
              <w:ind w:firstLine="0"/>
              <w:jc w:val="both"/>
              <w:rPr>
                <w:rFonts w:hint="eastAsia" w:ascii="宋体" w:hAnsi="宋体" w:eastAsia="宋体"/>
                <w:color w:val="000000"/>
                <w:sz w:val="18"/>
                <w:szCs w:val="18"/>
              </w:rPr>
            </w:pPr>
          </w:p>
          <w:p w14:paraId="4352FC13">
            <w:pPr>
              <w:wordWrap w:val="0"/>
              <w:autoSpaceDE w:val="0"/>
              <w:autoSpaceDN w:val="0"/>
              <w:spacing w:before="0" w:after="0" w:line="246" w:lineRule="exact"/>
              <w:ind w:firstLine="0"/>
              <w:jc w:val="both"/>
              <w:rPr>
                <w:rFonts w:hint="eastAsia" w:ascii="宋体" w:hAnsi="宋体" w:eastAsia="宋体"/>
                <w:color w:val="000000"/>
                <w:sz w:val="18"/>
                <w:szCs w:val="18"/>
              </w:rPr>
            </w:pPr>
          </w:p>
          <w:p w14:paraId="0A0938A8">
            <w:pPr>
              <w:wordWrap w:val="0"/>
              <w:autoSpaceDE w:val="0"/>
              <w:autoSpaceDN w:val="0"/>
              <w:spacing w:before="60" w:after="0" w:line="246" w:lineRule="exact"/>
              <w:ind w:firstLine="220"/>
              <w:jc w:val="both"/>
              <w:rPr>
                <w:sz w:val="18"/>
                <w:szCs w:val="18"/>
              </w:rPr>
            </w:pPr>
            <w:r>
              <w:rPr>
                <w:rFonts w:hint="eastAsia" w:ascii="宋体" w:hAnsi="宋体" w:eastAsia="宋体"/>
                <w:color w:val="000000"/>
                <w:sz w:val="18"/>
                <w:szCs w:val="18"/>
              </w:rPr>
              <w:t>裁量幅度</w:t>
            </w:r>
          </w:p>
        </w:tc>
        <w:tc>
          <w:tcPr>
            <w:tcW w:w="6143" w:type="dxa"/>
            <w:tcBorders>
              <w:top w:val="single" w:color="000000" w:sz="4" w:space="0"/>
              <w:left w:val="single" w:color="000000" w:sz="4" w:space="0"/>
              <w:bottom w:val="single" w:color="000000" w:sz="4" w:space="0"/>
              <w:right w:val="single" w:color="000000" w:sz="4" w:space="0"/>
            </w:tcBorders>
            <w:vAlign w:val="top"/>
          </w:tcPr>
          <w:p w14:paraId="05270CE1">
            <w:pPr>
              <w:wordWrap w:val="0"/>
              <w:autoSpaceDE w:val="0"/>
              <w:autoSpaceDN w:val="0"/>
              <w:spacing w:before="93" w:after="0" w:line="246" w:lineRule="exact"/>
              <w:ind w:firstLine="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万元以下罚款</w:t>
            </w:r>
          </w:p>
          <w:p w14:paraId="7825D879">
            <w:pPr>
              <w:wordWrap w:val="0"/>
              <w:autoSpaceDE w:val="0"/>
              <w:autoSpaceDN w:val="0"/>
              <w:spacing w:before="0" w:after="0" w:line="240"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7</w:t>
            </w:r>
            <w:r>
              <w:rPr>
                <w:rFonts w:hint="eastAsia" w:ascii="宋体" w:hAnsi="宋体" w:eastAsia="宋体"/>
                <w:color w:val="000000"/>
                <w:sz w:val="18"/>
                <w:szCs w:val="18"/>
              </w:rPr>
              <w:t>％以下罚款</w:t>
            </w:r>
          </w:p>
        </w:tc>
      </w:tr>
      <w:tr w14:paraId="3294BBA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17" w:type="dxa"/>
            <w:vMerge w:val="continue"/>
            <w:tcBorders>
              <w:top w:val="single" w:color="000000" w:sz="4" w:space="0"/>
              <w:left w:val="single" w:color="000000" w:sz="4" w:space="0"/>
              <w:bottom w:val="single" w:color="000000" w:sz="4" w:space="0"/>
              <w:right w:val="single" w:color="000000" w:sz="4" w:space="0"/>
            </w:tcBorders>
          </w:tcPr>
          <w:p w14:paraId="0F1622DF">
            <w:pPr>
              <w:rPr>
                <w:sz w:val="18"/>
                <w:szCs w:val="18"/>
              </w:rPr>
            </w:pPr>
          </w:p>
        </w:tc>
        <w:tc>
          <w:tcPr>
            <w:tcW w:w="5425" w:type="dxa"/>
            <w:tcBorders>
              <w:top w:val="single" w:color="000000" w:sz="4" w:space="0"/>
              <w:left w:val="single" w:color="000000" w:sz="4" w:space="0"/>
              <w:bottom w:val="single" w:color="000000" w:sz="4" w:space="0"/>
              <w:right w:val="single" w:color="000000" w:sz="4" w:space="0"/>
            </w:tcBorders>
            <w:vAlign w:val="top"/>
          </w:tcPr>
          <w:p w14:paraId="31E83111">
            <w:pPr>
              <w:wordWrap w:val="0"/>
              <w:autoSpaceDE w:val="0"/>
              <w:autoSpaceDN w:val="0"/>
              <w:spacing w:before="220" w:after="0" w:line="246" w:lineRule="exact"/>
              <w:ind w:firstLine="120"/>
              <w:jc w:val="both"/>
              <w:rPr>
                <w:sz w:val="18"/>
                <w:szCs w:val="18"/>
              </w:rPr>
            </w:pPr>
            <w:r>
              <w:rPr>
                <w:rFonts w:hint="eastAsia" w:ascii="宋体" w:hAnsi="宋体" w:eastAsia="宋体"/>
                <w:color w:val="000000"/>
                <w:sz w:val="18"/>
                <w:szCs w:val="18"/>
              </w:rPr>
              <w:t>工程形象进度已过半的</w:t>
            </w:r>
          </w:p>
        </w:tc>
        <w:tc>
          <w:tcPr>
            <w:tcW w:w="1178" w:type="dxa"/>
            <w:vMerge w:val="continue"/>
            <w:tcBorders>
              <w:top w:val="single" w:color="000000" w:sz="4" w:space="0"/>
              <w:left w:val="single" w:color="000000" w:sz="4" w:space="0"/>
              <w:bottom w:val="single" w:color="000000" w:sz="4" w:space="0"/>
              <w:right w:val="single" w:color="000000" w:sz="4" w:space="0"/>
            </w:tcBorders>
          </w:tcPr>
          <w:p w14:paraId="394C38E0">
            <w:pPr>
              <w:rPr>
                <w:sz w:val="18"/>
                <w:szCs w:val="18"/>
              </w:rPr>
            </w:pPr>
          </w:p>
        </w:tc>
        <w:tc>
          <w:tcPr>
            <w:tcW w:w="6143" w:type="dxa"/>
            <w:tcBorders>
              <w:top w:val="single" w:color="000000" w:sz="4" w:space="0"/>
              <w:left w:val="single" w:color="000000" w:sz="4" w:space="0"/>
              <w:bottom w:val="single" w:color="000000" w:sz="4" w:space="0"/>
              <w:right w:val="single" w:color="000000" w:sz="4" w:space="0"/>
            </w:tcBorders>
            <w:vAlign w:val="top"/>
          </w:tcPr>
          <w:p w14:paraId="1EE8A84F">
            <w:pPr>
              <w:wordWrap w:val="0"/>
              <w:autoSpaceDE w:val="0"/>
              <w:autoSpaceDN w:val="0"/>
              <w:spacing w:before="11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30</w:t>
            </w:r>
            <w:r>
              <w:rPr>
                <w:rFonts w:hint="eastAsia" w:ascii="宋体" w:hAnsi="宋体" w:eastAsia="宋体"/>
                <w:color w:val="000000"/>
                <w:sz w:val="18"/>
                <w:szCs w:val="18"/>
              </w:rPr>
              <w:t>万元以上</w:t>
            </w:r>
            <w:r>
              <w:rPr>
                <w:rFonts w:hint="eastAsia" w:ascii="Calibri" w:hAnsi="Calibri" w:eastAsia="Calibri"/>
                <w:color w:val="000000"/>
                <w:sz w:val="18"/>
                <w:szCs w:val="18"/>
              </w:rPr>
              <w:t>40</w:t>
            </w:r>
            <w:r>
              <w:rPr>
                <w:rFonts w:hint="eastAsia" w:ascii="宋体" w:hAnsi="宋体" w:eastAsia="宋体"/>
                <w:color w:val="000000"/>
                <w:sz w:val="18"/>
                <w:szCs w:val="18"/>
              </w:rPr>
              <w:t>万元以下罚款</w:t>
            </w:r>
          </w:p>
          <w:p w14:paraId="1DA91475">
            <w:pPr>
              <w:wordWrap w:val="0"/>
              <w:autoSpaceDE w:val="0"/>
              <w:autoSpaceDN w:val="0"/>
              <w:spacing w:before="0" w:after="0" w:line="220"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58620B1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40" w:hRule="atLeast"/>
        </w:trPr>
        <w:tc>
          <w:tcPr>
            <w:tcW w:w="1217" w:type="dxa"/>
            <w:vMerge w:val="continue"/>
            <w:tcBorders>
              <w:top w:val="single" w:color="000000" w:sz="4" w:space="0"/>
              <w:left w:val="single" w:color="000000" w:sz="4" w:space="0"/>
              <w:bottom w:val="single" w:color="000000" w:sz="4" w:space="0"/>
              <w:right w:val="single" w:color="000000" w:sz="4" w:space="0"/>
            </w:tcBorders>
          </w:tcPr>
          <w:p w14:paraId="2BB53E26">
            <w:pPr>
              <w:rPr>
                <w:sz w:val="18"/>
                <w:szCs w:val="18"/>
              </w:rPr>
            </w:pPr>
          </w:p>
        </w:tc>
        <w:tc>
          <w:tcPr>
            <w:tcW w:w="5425" w:type="dxa"/>
            <w:tcBorders>
              <w:top w:val="single" w:color="000000" w:sz="4" w:space="0"/>
              <w:left w:val="single" w:color="000000" w:sz="4" w:space="0"/>
              <w:bottom w:val="single" w:color="000000" w:sz="4" w:space="0"/>
              <w:right w:val="single" w:color="000000" w:sz="4" w:space="0"/>
            </w:tcBorders>
            <w:vAlign w:val="top"/>
          </w:tcPr>
          <w:p w14:paraId="27DB96BC">
            <w:pPr>
              <w:wordWrap w:val="0"/>
              <w:autoSpaceDE w:val="0"/>
              <w:autoSpaceDN w:val="0"/>
              <w:spacing w:before="240" w:after="0" w:line="246" w:lineRule="exact"/>
              <w:ind w:firstLine="100"/>
              <w:jc w:val="both"/>
              <w:rPr>
                <w:sz w:val="18"/>
                <w:szCs w:val="18"/>
              </w:rPr>
            </w:pPr>
            <w:r>
              <w:rPr>
                <w:rFonts w:hint="eastAsia" w:ascii="宋体" w:hAnsi="宋体" w:eastAsia="宋体"/>
                <w:color w:val="000000"/>
                <w:sz w:val="18"/>
                <w:szCs w:val="18"/>
              </w:rPr>
              <w:t>工程已完工的</w:t>
            </w:r>
          </w:p>
        </w:tc>
        <w:tc>
          <w:tcPr>
            <w:tcW w:w="1178" w:type="dxa"/>
            <w:vMerge w:val="continue"/>
            <w:tcBorders>
              <w:top w:val="single" w:color="000000" w:sz="4" w:space="0"/>
              <w:left w:val="single" w:color="000000" w:sz="4" w:space="0"/>
              <w:bottom w:val="single" w:color="000000" w:sz="4" w:space="0"/>
              <w:right w:val="single" w:color="000000" w:sz="4" w:space="0"/>
            </w:tcBorders>
          </w:tcPr>
          <w:p w14:paraId="63F3B852">
            <w:pPr>
              <w:rPr>
                <w:sz w:val="18"/>
                <w:szCs w:val="18"/>
              </w:rPr>
            </w:pPr>
          </w:p>
        </w:tc>
        <w:tc>
          <w:tcPr>
            <w:tcW w:w="6143" w:type="dxa"/>
            <w:tcBorders>
              <w:top w:val="single" w:color="000000" w:sz="4" w:space="0"/>
              <w:left w:val="single" w:color="000000" w:sz="4" w:space="0"/>
              <w:bottom w:val="single" w:color="000000" w:sz="4" w:space="0"/>
              <w:right w:val="single" w:color="000000" w:sz="4" w:space="0"/>
            </w:tcBorders>
            <w:vAlign w:val="top"/>
          </w:tcPr>
          <w:p w14:paraId="4B59E226">
            <w:pPr>
              <w:wordWrap w:val="0"/>
              <w:autoSpaceDE w:val="0"/>
              <w:autoSpaceDN w:val="0"/>
              <w:spacing w:before="73" w:after="0" w:line="246" w:lineRule="exact"/>
              <w:ind w:firstLine="10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40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万元以下罚款</w:t>
            </w:r>
          </w:p>
          <w:p w14:paraId="0C8DD019">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67D5E6DD">
      <w:pPr>
        <w:rPr>
          <w:sz w:val="18"/>
          <w:szCs w:val="18"/>
        </w:rPr>
      </w:pPr>
    </w:p>
    <w:p w14:paraId="7EC25C34">
      <w:pPr>
        <w:rPr>
          <w:sz w:val="18"/>
          <w:szCs w:val="18"/>
        </w:rPr>
      </w:pPr>
    </w:p>
    <w:tbl>
      <w:tblPr>
        <w:tblStyle w:val="15"/>
        <w:tblW w:w="0" w:type="auto"/>
        <w:tblInd w:w="10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69"/>
        <w:gridCol w:w="1107"/>
        <w:gridCol w:w="4323"/>
        <w:gridCol w:w="1089"/>
        <w:gridCol w:w="6180"/>
      </w:tblGrid>
      <w:tr w14:paraId="79BC1BB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180" w:type="dxa"/>
            <w:tcBorders>
              <w:top w:val="single" w:color="000000" w:sz="4" w:space="0"/>
              <w:left w:val="single" w:color="000000" w:sz="4" w:space="0"/>
              <w:bottom w:val="single" w:color="000000" w:sz="4" w:space="0"/>
              <w:right w:val="single" w:color="000000" w:sz="4" w:space="0"/>
            </w:tcBorders>
            <w:vAlign w:val="top"/>
          </w:tcPr>
          <w:p w14:paraId="4221ADC5">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序号</w:t>
            </w:r>
          </w:p>
        </w:tc>
        <w:tc>
          <w:tcPr>
            <w:tcW w:w="12860" w:type="dxa"/>
            <w:gridSpan w:val="4"/>
            <w:tcBorders>
              <w:top w:val="single" w:color="000000" w:sz="4" w:space="0"/>
              <w:left w:val="single" w:color="000000" w:sz="4" w:space="0"/>
              <w:bottom w:val="single" w:color="000000" w:sz="4" w:space="0"/>
              <w:right w:val="single" w:color="000000" w:sz="4" w:space="0"/>
            </w:tcBorders>
            <w:vAlign w:val="top"/>
          </w:tcPr>
          <w:p w14:paraId="56C872A6">
            <w:pPr>
              <w:wordWrap w:val="0"/>
              <w:autoSpaceDE w:val="0"/>
              <w:autoSpaceDN w:val="0"/>
              <w:spacing w:before="33" w:after="0" w:line="246" w:lineRule="exact"/>
              <w:ind w:firstLine="80"/>
              <w:jc w:val="both"/>
              <w:rPr>
                <w:sz w:val="18"/>
                <w:szCs w:val="18"/>
              </w:rPr>
            </w:pPr>
            <w:r>
              <w:rPr>
                <w:rFonts w:hint="eastAsia" w:ascii="Calibri" w:hAnsi="Calibri" w:eastAsia="Calibri"/>
                <w:color w:val="000000"/>
                <w:sz w:val="18"/>
                <w:szCs w:val="18"/>
              </w:rPr>
              <w:t>10</w:t>
            </w:r>
          </w:p>
        </w:tc>
      </w:tr>
      <w:tr w14:paraId="51D5793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180" w:type="dxa"/>
            <w:tcBorders>
              <w:top w:val="single" w:color="000000" w:sz="4" w:space="0"/>
              <w:left w:val="single" w:color="000000" w:sz="4" w:space="0"/>
              <w:bottom w:val="single" w:color="000000" w:sz="4" w:space="0"/>
              <w:right w:val="single" w:color="000000" w:sz="4" w:space="0"/>
            </w:tcBorders>
            <w:vAlign w:val="top"/>
          </w:tcPr>
          <w:p w14:paraId="643EC47F">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编号</w:t>
            </w:r>
          </w:p>
        </w:tc>
        <w:tc>
          <w:tcPr>
            <w:tcW w:w="12860" w:type="dxa"/>
            <w:gridSpan w:val="4"/>
            <w:tcBorders>
              <w:top w:val="single" w:color="000000" w:sz="4" w:space="0"/>
              <w:left w:val="single" w:color="000000" w:sz="4" w:space="0"/>
              <w:bottom w:val="single" w:color="000000" w:sz="4" w:space="0"/>
              <w:right w:val="single" w:color="000000" w:sz="4" w:space="0"/>
            </w:tcBorders>
            <w:vAlign w:val="top"/>
          </w:tcPr>
          <w:p w14:paraId="3E760F28">
            <w:pPr>
              <w:wordWrap w:val="0"/>
              <w:autoSpaceDE w:val="0"/>
              <w:autoSpaceDN w:val="0"/>
              <w:spacing w:before="33" w:after="0" w:line="246" w:lineRule="exact"/>
              <w:ind w:firstLine="80"/>
              <w:jc w:val="both"/>
              <w:rPr>
                <w:sz w:val="18"/>
                <w:szCs w:val="18"/>
              </w:rPr>
            </w:pPr>
            <w:r>
              <w:rPr>
                <w:rFonts w:hint="eastAsia" w:ascii="Calibri" w:hAnsi="Calibri" w:eastAsia="Calibri"/>
                <w:color w:val="000000"/>
                <w:sz w:val="18"/>
                <w:szCs w:val="18"/>
              </w:rPr>
              <w:t>320280011000</w:t>
            </w:r>
          </w:p>
        </w:tc>
      </w:tr>
      <w:tr w14:paraId="112E386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60" w:hRule="atLeast"/>
        </w:trPr>
        <w:tc>
          <w:tcPr>
            <w:tcW w:w="1180" w:type="dxa"/>
            <w:tcBorders>
              <w:top w:val="single" w:color="000000" w:sz="4" w:space="0"/>
              <w:left w:val="single" w:color="000000" w:sz="4" w:space="0"/>
              <w:bottom w:val="single" w:color="000000" w:sz="4" w:space="0"/>
              <w:right w:val="single" w:color="000000" w:sz="4" w:space="0"/>
            </w:tcBorders>
            <w:vAlign w:val="top"/>
          </w:tcPr>
          <w:p w14:paraId="0EE7E0CF">
            <w:pPr>
              <w:wordWrap w:val="0"/>
              <w:autoSpaceDE w:val="0"/>
              <w:autoSpaceDN w:val="0"/>
              <w:spacing w:before="140" w:after="0" w:line="246" w:lineRule="exact"/>
              <w:jc w:val="center"/>
              <w:rPr>
                <w:sz w:val="18"/>
                <w:szCs w:val="18"/>
              </w:rPr>
            </w:pPr>
            <w:r>
              <w:rPr>
                <w:rFonts w:hint="eastAsia" w:ascii="宋体" w:hAnsi="宋体" w:eastAsia="宋体"/>
                <w:color w:val="000000"/>
                <w:sz w:val="18"/>
                <w:szCs w:val="18"/>
              </w:rPr>
              <w:t>行为名称</w:t>
            </w:r>
          </w:p>
        </w:tc>
        <w:tc>
          <w:tcPr>
            <w:tcW w:w="12860" w:type="dxa"/>
            <w:gridSpan w:val="4"/>
            <w:tcBorders>
              <w:top w:val="single" w:color="000000" w:sz="4" w:space="0"/>
              <w:left w:val="single" w:color="000000" w:sz="4" w:space="0"/>
              <w:bottom w:val="single" w:color="000000" w:sz="4" w:space="0"/>
              <w:right w:val="single" w:color="000000" w:sz="4" w:space="0"/>
            </w:tcBorders>
            <w:vAlign w:val="top"/>
          </w:tcPr>
          <w:p w14:paraId="682CF85B">
            <w:pPr>
              <w:wordWrap w:val="0"/>
              <w:autoSpaceDE w:val="0"/>
              <w:autoSpaceDN w:val="0"/>
              <w:spacing w:before="20" w:after="0" w:line="220" w:lineRule="exact"/>
              <w:ind w:left="100" w:right="40" w:firstLine="0"/>
              <w:jc w:val="both"/>
              <w:rPr>
                <w:sz w:val="18"/>
                <w:szCs w:val="18"/>
              </w:rPr>
            </w:pPr>
            <w:r>
              <w:rPr>
                <w:rFonts w:hint="eastAsia" w:ascii="宋体" w:hAnsi="宋体" w:eastAsia="宋体"/>
                <w:color w:val="000000"/>
                <w:sz w:val="18"/>
                <w:szCs w:val="18"/>
              </w:rPr>
              <w:t>对涉及人民防空工程建筑主体或者承重结构变动的装修工程，没有设计方案擅自施工，或者房屋建筑使用者在装修过程中擅自变动房屋建筑主体和承重结构的处罚</w:t>
            </w:r>
          </w:p>
        </w:tc>
      </w:tr>
      <w:tr w14:paraId="0CE23BD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340" w:hRule="atLeast"/>
        </w:trPr>
        <w:tc>
          <w:tcPr>
            <w:tcW w:w="1180" w:type="dxa"/>
            <w:tcBorders>
              <w:top w:val="single" w:color="000000" w:sz="4" w:space="0"/>
              <w:left w:val="single" w:color="000000" w:sz="4" w:space="0"/>
              <w:bottom w:val="single" w:color="000000" w:sz="4" w:space="0"/>
              <w:right w:val="single" w:color="000000" w:sz="4" w:space="0"/>
            </w:tcBorders>
            <w:vAlign w:val="top"/>
          </w:tcPr>
          <w:p w14:paraId="26B297C7">
            <w:pPr>
              <w:wordWrap w:val="0"/>
              <w:autoSpaceDE w:val="0"/>
              <w:autoSpaceDN w:val="0"/>
              <w:spacing w:before="0" w:after="0" w:line="246" w:lineRule="exact"/>
              <w:ind w:firstLine="0"/>
              <w:jc w:val="both"/>
              <w:rPr>
                <w:rFonts w:hint="eastAsia" w:ascii="宋体" w:hAnsi="宋体" w:eastAsia="宋体"/>
                <w:color w:val="000000"/>
                <w:sz w:val="18"/>
                <w:szCs w:val="18"/>
              </w:rPr>
            </w:pPr>
          </w:p>
          <w:p w14:paraId="365FF51E">
            <w:pPr>
              <w:wordWrap w:val="0"/>
              <w:autoSpaceDE w:val="0"/>
              <w:autoSpaceDN w:val="0"/>
              <w:spacing w:before="0" w:after="0" w:line="246" w:lineRule="exact"/>
              <w:ind w:firstLine="0"/>
              <w:jc w:val="both"/>
              <w:rPr>
                <w:rFonts w:hint="eastAsia" w:ascii="宋体" w:hAnsi="宋体" w:eastAsia="宋体"/>
                <w:color w:val="000000"/>
                <w:sz w:val="18"/>
                <w:szCs w:val="18"/>
              </w:rPr>
            </w:pPr>
          </w:p>
          <w:p w14:paraId="5C8C9A55">
            <w:pPr>
              <w:wordWrap w:val="0"/>
              <w:autoSpaceDE w:val="0"/>
              <w:autoSpaceDN w:val="0"/>
              <w:spacing w:before="0" w:after="0" w:line="246" w:lineRule="exact"/>
              <w:ind w:firstLine="0"/>
              <w:jc w:val="both"/>
              <w:rPr>
                <w:rFonts w:hint="eastAsia" w:ascii="宋体" w:hAnsi="宋体" w:eastAsia="宋体"/>
                <w:color w:val="000000"/>
                <w:sz w:val="18"/>
                <w:szCs w:val="18"/>
              </w:rPr>
            </w:pPr>
          </w:p>
          <w:p w14:paraId="6B90AF48">
            <w:pPr>
              <w:wordWrap w:val="0"/>
              <w:autoSpaceDE w:val="0"/>
              <w:autoSpaceDN w:val="0"/>
              <w:spacing w:before="0" w:after="0" w:line="246" w:lineRule="exact"/>
              <w:ind w:firstLine="0"/>
              <w:jc w:val="both"/>
              <w:rPr>
                <w:rFonts w:hint="eastAsia" w:ascii="宋体" w:hAnsi="宋体" w:eastAsia="宋体"/>
                <w:color w:val="000000"/>
                <w:sz w:val="18"/>
                <w:szCs w:val="18"/>
              </w:rPr>
            </w:pPr>
          </w:p>
          <w:p w14:paraId="7A9610CC">
            <w:pPr>
              <w:wordWrap w:val="0"/>
              <w:autoSpaceDE w:val="0"/>
              <w:autoSpaceDN w:val="0"/>
              <w:spacing w:before="0" w:after="0" w:line="246" w:lineRule="exact"/>
              <w:ind w:firstLine="0"/>
              <w:jc w:val="both"/>
              <w:rPr>
                <w:rFonts w:hint="eastAsia" w:ascii="宋体" w:hAnsi="宋体" w:eastAsia="宋体"/>
                <w:color w:val="000000"/>
                <w:sz w:val="18"/>
                <w:szCs w:val="18"/>
              </w:rPr>
            </w:pPr>
          </w:p>
          <w:p w14:paraId="460EA255">
            <w:pPr>
              <w:wordWrap w:val="0"/>
              <w:autoSpaceDE w:val="0"/>
              <w:autoSpaceDN w:val="0"/>
              <w:spacing w:before="0" w:after="0" w:line="246" w:lineRule="exact"/>
              <w:ind w:firstLine="0"/>
              <w:jc w:val="both"/>
              <w:rPr>
                <w:rFonts w:hint="eastAsia" w:ascii="宋体" w:hAnsi="宋体" w:eastAsia="宋体"/>
                <w:color w:val="000000"/>
                <w:sz w:val="18"/>
                <w:szCs w:val="18"/>
              </w:rPr>
            </w:pPr>
          </w:p>
          <w:p w14:paraId="2A165094">
            <w:pPr>
              <w:wordWrap w:val="0"/>
              <w:autoSpaceDE w:val="0"/>
              <w:autoSpaceDN w:val="0"/>
              <w:spacing w:before="101" w:after="0" w:line="246" w:lineRule="exact"/>
              <w:ind w:firstLine="200"/>
              <w:jc w:val="both"/>
              <w:rPr>
                <w:sz w:val="18"/>
                <w:szCs w:val="18"/>
              </w:rPr>
            </w:pPr>
            <w:r>
              <w:rPr>
                <w:rFonts w:hint="eastAsia" w:ascii="宋体" w:hAnsi="宋体" w:eastAsia="宋体"/>
                <w:color w:val="000000"/>
                <w:sz w:val="18"/>
                <w:szCs w:val="18"/>
              </w:rPr>
              <w:t>法律依据</w:t>
            </w:r>
          </w:p>
        </w:tc>
        <w:tc>
          <w:tcPr>
            <w:tcW w:w="12860" w:type="dxa"/>
            <w:gridSpan w:val="4"/>
            <w:tcBorders>
              <w:top w:val="single" w:color="000000" w:sz="4" w:space="0"/>
              <w:left w:val="single" w:color="000000" w:sz="4" w:space="0"/>
              <w:bottom w:val="single" w:color="000000" w:sz="4" w:space="0"/>
              <w:right w:val="single" w:color="000000" w:sz="4" w:space="0"/>
            </w:tcBorders>
            <w:vAlign w:val="top"/>
          </w:tcPr>
          <w:p w14:paraId="56A4CF7C">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48A47271">
            <w:pPr>
              <w:wordWrap w:val="0"/>
              <w:autoSpaceDE w:val="0"/>
              <w:autoSpaceDN w:val="0"/>
              <w:spacing w:before="0" w:after="0" w:line="240" w:lineRule="exact"/>
              <w:ind w:left="100" w:right="60" w:firstLine="400"/>
              <w:jc w:val="both"/>
              <w:rPr>
                <w:sz w:val="18"/>
                <w:szCs w:val="18"/>
              </w:rPr>
            </w:pPr>
            <w:r>
              <w:rPr>
                <w:rFonts w:hint="eastAsia" w:ascii="宋体" w:hAnsi="宋体" w:eastAsia="宋体"/>
                <w:color w:val="000000"/>
                <w:sz w:val="18"/>
                <w:szCs w:val="18"/>
              </w:rPr>
              <w:t>第十五条 涉及建筑主体和承重结构变动的装修工程，建设单位应当在施工前委托原设计单位或者具有相应资质等级的设计单位提出设计方案；没有设计方案的，不得施工。</w:t>
            </w:r>
          </w:p>
          <w:p w14:paraId="07EBAB14">
            <w:pPr>
              <w:wordWrap w:val="0"/>
              <w:autoSpaceDE w:val="0"/>
              <w:autoSpaceDN w:val="0"/>
              <w:spacing w:before="0" w:after="0" w:line="246" w:lineRule="exact"/>
              <w:ind w:firstLine="520"/>
              <w:jc w:val="both"/>
              <w:rPr>
                <w:sz w:val="18"/>
                <w:szCs w:val="18"/>
              </w:rPr>
            </w:pPr>
            <w:r>
              <w:rPr>
                <w:rFonts w:hint="eastAsia" w:ascii="宋体" w:hAnsi="宋体" w:eastAsia="宋体"/>
                <w:color w:val="000000"/>
                <w:sz w:val="18"/>
                <w:szCs w:val="18"/>
              </w:rPr>
              <w:t>房屋建筑使用者在装修过程中，不得擅自变动房屋建筑主体和承重结构。</w:t>
            </w:r>
          </w:p>
          <w:p w14:paraId="6A4C4160">
            <w:pPr>
              <w:wordWrap w:val="0"/>
              <w:autoSpaceDE w:val="0"/>
              <w:autoSpaceDN w:val="0"/>
              <w:spacing w:before="103" w:after="0" w:line="246" w:lineRule="exact"/>
              <w:ind w:left="100" w:right="60" w:firstLine="420"/>
              <w:jc w:val="both"/>
              <w:rPr>
                <w:sz w:val="18"/>
                <w:szCs w:val="18"/>
              </w:rPr>
            </w:pPr>
            <w:r>
              <w:rPr>
                <w:rFonts w:hint="eastAsia" w:ascii="宋体" w:hAnsi="宋体" w:eastAsia="宋体"/>
                <w:color w:val="000000"/>
                <w:sz w:val="18"/>
                <w:szCs w:val="18"/>
              </w:rPr>
              <w:t>第六十九条第一款 违反本条例规定，涉及建筑主体或者承重结构变动的装修工程，没有设计方案擅自施工的，责令改正，处</w:t>
            </w:r>
            <w:r>
              <w:rPr>
                <w:rFonts w:hint="eastAsia" w:ascii="Calibri" w:hAnsi="Calibri" w:eastAsia="Calibri"/>
                <w:color w:val="000000"/>
                <w:sz w:val="18"/>
                <w:szCs w:val="18"/>
              </w:rPr>
              <w:t>50</w:t>
            </w:r>
            <w:r>
              <w:rPr>
                <w:rFonts w:hint="eastAsia" w:ascii="宋体" w:hAnsi="宋体" w:eastAsia="宋体"/>
                <w:color w:val="000000"/>
                <w:sz w:val="18"/>
                <w:szCs w:val="18"/>
              </w:rPr>
              <w:t>万元以上</w:t>
            </w:r>
            <w:r>
              <w:rPr>
                <w:rFonts w:hint="eastAsia" w:ascii="Calibri" w:hAnsi="Calibri" w:eastAsia="Calibri"/>
                <w:color w:val="000000"/>
                <w:sz w:val="18"/>
                <w:szCs w:val="18"/>
              </w:rPr>
              <w:t>100</w:t>
            </w:r>
            <w:r>
              <w:rPr>
                <w:rFonts w:hint="eastAsia" w:ascii="宋体" w:hAnsi="宋体" w:eastAsia="宋体"/>
                <w:color w:val="000000"/>
                <w:sz w:val="18"/>
                <w:szCs w:val="18"/>
              </w:rPr>
              <w:t>万元以下的罚款；房屋建筑使用者在装修过程中擅自变动房屋建筑主体和承重结构的，责令改正，处</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10</w:t>
            </w:r>
            <w:r>
              <w:rPr>
                <w:rFonts w:hint="eastAsia" w:ascii="宋体" w:hAnsi="宋体" w:eastAsia="宋体"/>
                <w:color w:val="000000"/>
                <w:sz w:val="18"/>
                <w:szCs w:val="18"/>
              </w:rPr>
              <w:t>万元以下的罚款。</w:t>
            </w:r>
          </w:p>
          <w:p w14:paraId="3F3DFF3B">
            <w:pPr>
              <w:wordWrap w:val="0"/>
              <w:autoSpaceDE w:val="0"/>
              <w:autoSpaceDN w:val="0"/>
              <w:spacing w:before="213" w:after="0" w:line="246" w:lineRule="exact"/>
              <w:ind w:left="100" w:right="6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33A35A5A">
            <w:pPr>
              <w:wordWrap w:val="0"/>
              <w:autoSpaceDE w:val="0"/>
              <w:autoSpaceDN w:val="0"/>
              <w:spacing w:before="0" w:after="0" w:line="240" w:lineRule="exact"/>
              <w:ind w:left="100" w:right="6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1130A027">
            <w:pPr>
              <w:wordWrap w:val="0"/>
              <w:autoSpaceDE w:val="0"/>
              <w:autoSpaceDN w:val="0"/>
              <w:spacing w:before="0" w:after="0" w:line="240"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183F3995">
            <w:pPr>
              <w:wordWrap w:val="0"/>
              <w:autoSpaceDE w:val="0"/>
              <w:autoSpaceDN w:val="0"/>
              <w:spacing w:before="0" w:after="0" w:line="220" w:lineRule="exact"/>
              <w:ind w:left="80" w:right="6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0E6CC6D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180" w:type="dxa"/>
            <w:tcBorders>
              <w:top w:val="single" w:color="000000" w:sz="4" w:space="0"/>
              <w:left w:val="single" w:color="000000" w:sz="4" w:space="0"/>
              <w:bottom w:val="single" w:color="000000" w:sz="4" w:space="0"/>
              <w:right w:val="single" w:color="000000" w:sz="4" w:space="0"/>
            </w:tcBorders>
            <w:vAlign w:val="top"/>
          </w:tcPr>
          <w:p w14:paraId="5CF3B95D">
            <w:pPr>
              <w:wordWrap w:val="0"/>
              <w:autoSpaceDE w:val="0"/>
              <w:autoSpaceDN w:val="0"/>
              <w:spacing w:before="0" w:after="0" w:line="240" w:lineRule="exact"/>
              <w:ind w:firstLine="220"/>
              <w:jc w:val="both"/>
              <w:rPr>
                <w:sz w:val="18"/>
                <w:szCs w:val="18"/>
              </w:rPr>
            </w:pPr>
            <w:r>
              <w:rPr>
                <w:rFonts w:hint="eastAsia" w:ascii="宋体" w:hAnsi="宋体" w:eastAsia="宋体"/>
                <w:color w:val="000000"/>
                <w:sz w:val="18"/>
                <w:szCs w:val="18"/>
              </w:rPr>
              <w:t>处罚种类</w:t>
            </w:r>
          </w:p>
        </w:tc>
        <w:tc>
          <w:tcPr>
            <w:tcW w:w="12860" w:type="dxa"/>
            <w:gridSpan w:val="4"/>
            <w:tcBorders>
              <w:top w:val="single" w:color="000000" w:sz="4" w:space="0"/>
              <w:left w:val="single" w:color="000000" w:sz="4" w:space="0"/>
              <w:bottom w:val="single" w:color="000000" w:sz="4" w:space="0"/>
              <w:right w:val="single" w:color="000000" w:sz="4" w:space="0"/>
            </w:tcBorders>
            <w:vAlign w:val="top"/>
          </w:tcPr>
          <w:p w14:paraId="02CF2CAE">
            <w:pPr>
              <w:wordWrap w:val="0"/>
              <w:autoSpaceDE w:val="0"/>
              <w:autoSpaceDN w:val="0"/>
              <w:spacing w:before="33" w:after="0" w:line="246" w:lineRule="exact"/>
              <w:ind w:firstLine="80"/>
              <w:jc w:val="both"/>
              <w:rPr>
                <w:sz w:val="18"/>
                <w:szCs w:val="18"/>
              </w:rPr>
            </w:pPr>
            <w:r>
              <w:rPr>
                <w:rFonts w:hint="eastAsia" w:ascii="宋体" w:hAnsi="宋体" w:eastAsia="宋体"/>
                <w:color w:val="000000"/>
                <w:sz w:val="18"/>
                <w:szCs w:val="18"/>
              </w:rPr>
              <w:t>罚款</w:t>
            </w:r>
          </w:p>
        </w:tc>
      </w:tr>
      <w:tr w14:paraId="138ADD9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0" w:hRule="atLeast"/>
        </w:trPr>
        <w:tc>
          <w:tcPr>
            <w:tcW w:w="14040" w:type="dxa"/>
            <w:gridSpan w:val="5"/>
            <w:tcBorders>
              <w:top w:val="single" w:color="000000" w:sz="4" w:space="0"/>
              <w:left w:val="single" w:color="000000" w:sz="4" w:space="0"/>
              <w:bottom w:val="single" w:color="000000" w:sz="4" w:space="0"/>
              <w:right w:val="single" w:color="000000" w:sz="4" w:space="0"/>
            </w:tcBorders>
            <w:vAlign w:val="top"/>
          </w:tcPr>
          <w:p w14:paraId="2A36E315">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自由裁量基准</w:t>
            </w:r>
          </w:p>
        </w:tc>
      </w:tr>
      <w:tr w14:paraId="58BD999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20" w:hRule="atLeast"/>
        </w:trPr>
        <w:tc>
          <w:tcPr>
            <w:tcW w:w="1180" w:type="dxa"/>
            <w:vMerge w:val="restart"/>
            <w:tcBorders>
              <w:top w:val="single" w:color="000000" w:sz="4" w:space="0"/>
              <w:left w:val="single" w:color="000000" w:sz="4" w:space="0"/>
              <w:bottom w:val="single" w:color="000000" w:sz="4" w:space="0"/>
              <w:right w:val="single" w:color="000000" w:sz="4" w:space="0"/>
            </w:tcBorders>
            <w:vAlign w:val="top"/>
          </w:tcPr>
          <w:p w14:paraId="4F4FA789">
            <w:pPr>
              <w:wordWrap w:val="0"/>
              <w:autoSpaceDE w:val="0"/>
              <w:autoSpaceDN w:val="0"/>
              <w:spacing w:before="0" w:after="0" w:line="246" w:lineRule="exact"/>
              <w:ind w:firstLine="0"/>
              <w:jc w:val="both"/>
              <w:rPr>
                <w:rFonts w:hint="eastAsia" w:ascii="宋体" w:hAnsi="宋体" w:eastAsia="宋体"/>
                <w:color w:val="000000"/>
                <w:sz w:val="18"/>
                <w:szCs w:val="18"/>
              </w:rPr>
            </w:pPr>
          </w:p>
          <w:p w14:paraId="47B65CEE">
            <w:pPr>
              <w:wordWrap w:val="0"/>
              <w:autoSpaceDE w:val="0"/>
              <w:autoSpaceDN w:val="0"/>
              <w:spacing w:before="0" w:after="0" w:line="246" w:lineRule="exact"/>
              <w:ind w:firstLine="0"/>
              <w:jc w:val="both"/>
              <w:rPr>
                <w:rFonts w:hint="eastAsia" w:ascii="宋体" w:hAnsi="宋体" w:eastAsia="宋体"/>
                <w:color w:val="000000"/>
                <w:sz w:val="18"/>
                <w:szCs w:val="18"/>
              </w:rPr>
            </w:pPr>
          </w:p>
          <w:p w14:paraId="6176A6C1">
            <w:pPr>
              <w:wordWrap w:val="0"/>
              <w:autoSpaceDE w:val="0"/>
              <w:autoSpaceDN w:val="0"/>
              <w:spacing w:before="0" w:after="0" w:line="246" w:lineRule="exact"/>
              <w:ind w:firstLine="0"/>
              <w:jc w:val="both"/>
              <w:rPr>
                <w:rFonts w:hint="eastAsia" w:ascii="宋体" w:hAnsi="宋体" w:eastAsia="宋体"/>
                <w:color w:val="000000"/>
                <w:sz w:val="18"/>
                <w:szCs w:val="18"/>
              </w:rPr>
            </w:pPr>
          </w:p>
          <w:p w14:paraId="4F7226BC">
            <w:pPr>
              <w:wordWrap w:val="0"/>
              <w:autoSpaceDE w:val="0"/>
              <w:autoSpaceDN w:val="0"/>
              <w:spacing w:before="0" w:after="0" w:line="246" w:lineRule="exact"/>
              <w:ind w:firstLine="0"/>
              <w:jc w:val="both"/>
              <w:rPr>
                <w:rFonts w:hint="eastAsia" w:ascii="宋体" w:hAnsi="宋体" w:eastAsia="宋体"/>
                <w:color w:val="000000"/>
                <w:sz w:val="18"/>
                <w:szCs w:val="18"/>
              </w:rPr>
            </w:pPr>
          </w:p>
          <w:p w14:paraId="6BEC1ADD">
            <w:pPr>
              <w:wordWrap w:val="0"/>
              <w:autoSpaceDE w:val="0"/>
              <w:autoSpaceDN w:val="0"/>
              <w:spacing w:before="0" w:after="0" w:line="246" w:lineRule="exact"/>
              <w:ind w:firstLine="0"/>
              <w:jc w:val="both"/>
              <w:rPr>
                <w:rFonts w:hint="eastAsia" w:ascii="宋体" w:hAnsi="宋体" w:eastAsia="宋体"/>
                <w:color w:val="000000"/>
                <w:sz w:val="18"/>
                <w:szCs w:val="18"/>
              </w:rPr>
            </w:pPr>
          </w:p>
          <w:p w14:paraId="23CCC657">
            <w:pPr>
              <w:wordWrap w:val="0"/>
              <w:autoSpaceDE w:val="0"/>
              <w:autoSpaceDN w:val="0"/>
              <w:spacing w:before="127" w:after="0" w:line="246" w:lineRule="exact"/>
              <w:jc w:val="center"/>
              <w:rPr>
                <w:sz w:val="18"/>
                <w:szCs w:val="18"/>
              </w:rPr>
            </w:pPr>
            <w:r>
              <w:rPr>
                <w:rFonts w:hint="eastAsia" w:ascii="宋体" w:hAnsi="宋体" w:eastAsia="宋体"/>
                <w:color w:val="000000"/>
                <w:sz w:val="18"/>
                <w:szCs w:val="18"/>
              </w:rPr>
              <w:t>情形描述</w:t>
            </w:r>
          </w:p>
        </w:tc>
        <w:tc>
          <w:tcPr>
            <w:tcW w:w="1120" w:type="dxa"/>
            <w:vMerge w:val="restart"/>
            <w:tcBorders>
              <w:top w:val="single" w:color="000000" w:sz="4" w:space="0"/>
              <w:left w:val="single" w:color="000000" w:sz="4" w:space="0"/>
              <w:bottom w:val="single" w:color="000000" w:sz="4" w:space="0"/>
              <w:right w:val="single" w:color="000000" w:sz="4" w:space="0"/>
            </w:tcBorders>
            <w:vAlign w:val="top"/>
          </w:tcPr>
          <w:p w14:paraId="358D6613">
            <w:pPr>
              <w:wordWrap w:val="0"/>
              <w:autoSpaceDE w:val="0"/>
              <w:autoSpaceDN w:val="0"/>
              <w:spacing w:before="0" w:after="0" w:line="246" w:lineRule="exact"/>
              <w:ind w:firstLine="0"/>
              <w:jc w:val="both"/>
              <w:rPr>
                <w:rFonts w:hint="eastAsia" w:ascii="宋体" w:hAnsi="宋体" w:eastAsia="宋体"/>
                <w:color w:val="000000"/>
                <w:sz w:val="18"/>
                <w:szCs w:val="18"/>
              </w:rPr>
            </w:pPr>
          </w:p>
          <w:p w14:paraId="27EE61FA">
            <w:pPr>
              <w:wordWrap w:val="0"/>
              <w:autoSpaceDE w:val="0"/>
              <w:autoSpaceDN w:val="0"/>
              <w:spacing w:before="0" w:after="0" w:line="246" w:lineRule="exact"/>
              <w:ind w:firstLine="0"/>
              <w:jc w:val="both"/>
              <w:rPr>
                <w:rFonts w:hint="eastAsia" w:ascii="宋体" w:hAnsi="宋体" w:eastAsia="宋体"/>
                <w:color w:val="000000"/>
                <w:sz w:val="18"/>
                <w:szCs w:val="18"/>
              </w:rPr>
            </w:pPr>
          </w:p>
          <w:p w14:paraId="70C63175">
            <w:pPr>
              <w:wordWrap w:val="0"/>
              <w:autoSpaceDE w:val="0"/>
              <w:autoSpaceDN w:val="0"/>
              <w:spacing w:before="127" w:after="0" w:line="246" w:lineRule="exact"/>
              <w:jc w:val="center"/>
              <w:rPr>
                <w:sz w:val="18"/>
                <w:szCs w:val="18"/>
              </w:rPr>
            </w:pPr>
            <w:r>
              <w:rPr>
                <w:rFonts w:hint="eastAsia" w:ascii="宋体" w:hAnsi="宋体" w:eastAsia="宋体"/>
                <w:color w:val="000000"/>
                <w:sz w:val="18"/>
                <w:szCs w:val="18"/>
              </w:rPr>
              <w:t>建设单位</w:t>
            </w:r>
          </w:p>
        </w:tc>
        <w:tc>
          <w:tcPr>
            <w:tcW w:w="4380" w:type="dxa"/>
            <w:tcBorders>
              <w:top w:val="single" w:color="000000" w:sz="4" w:space="0"/>
              <w:left w:val="single" w:color="000000" w:sz="4" w:space="0"/>
              <w:bottom w:val="single" w:color="000000" w:sz="4" w:space="0"/>
              <w:right w:val="single" w:color="000000" w:sz="4" w:space="0"/>
            </w:tcBorders>
            <w:vAlign w:val="top"/>
          </w:tcPr>
          <w:p w14:paraId="76CDB7A9">
            <w:pPr>
              <w:wordWrap w:val="0"/>
              <w:autoSpaceDE w:val="0"/>
              <w:autoSpaceDN w:val="0"/>
              <w:spacing w:before="140" w:after="0" w:line="246" w:lineRule="exact"/>
              <w:ind w:firstLine="80"/>
              <w:jc w:val="both"/>
              <w:rPr>
                <w:sz w:val="18"/>
                <w:szCs w:val="18"/>
              </w:rPr>
            </w:pPr>
            <w:r>
              <w:rPr>
                <w:rFonts w:hint="eastAsia" w:ascii="宋体" w:hAnsi="宋体" w:eastAsia="宋体"/>
                <w:color w:val="000000"/>
                <w:sz w:val="18"/>
                <w:szCs w:val="18"/>
              </w:rPr>
              <w:t>未造成安全隐患的</w:t>
            </w:r>
          </w:p>
        </w:tc>
        <w:tc>
          <w:tcPr>
            <w:tcW w:w="1100" w:type="dxa"/>
            <w:vMerge w:val="restart"/>
            <w:tcBorders>
              <w:top w:val="single" w:color="000000" w:sz="4" w:space="0"/>
              <w:left w:val="single" w:color="000000" w:sz="4" w:space="0"/>
              <w:bottom w:val="single" w:color="000000" w:sz="4" w:space="0"/>
              <w:right w:val="single" w:color="000000" w:sz="4" w:space="0"/>
            </w:tcBorders>
            <w:vAlign w:val="top"/>
          </w:tcPr>
          <w:p w14:paraId="743ADD96">
            <w:pPr>
              <w:wordWrap w:val="0"/>
              <w:autoSpaceDE w:val="0"/>
              <w:autoSpaceDN w:val="0"/>
              <w:spacing w:before="0" w:after="0" w:line="246" w:lineRule="exact"/>
              <w:ind w:firstLine="0"/>
              <w:jc w:val="both"/>
              <w:rPr>
                <w:rFonts w:hint="eastAsia" w:ascii="宋体" w:hAnsi="宋体" w:eastAsia="宋体"/>
                <w:color w:val="000000"/>
                <w:sz w:val="18"/>
                <w:szCs w:val="18"/>
              </w:rPr>
            </w:pPr>
          </w:p>
          <w:p w14:paraId="139CB284">
            <w:pPr>
              <w:wordWrap w:val="0"/>
              <w:autoSpaceDE w:val="0"/>
              <w:autoSpaceDN w:val="0"/>
              <w:spacing w:before="0" w:after="0" w:line="246" w:lineRule="exact"/>
              <w:ind w:firstLine="0"/>
              <w:jc w:val="both"/>
              <w:rPr>
                <w:rFonts w:hint="eastAsia" w:ascii="宋体" w:hAnsi="宋体" w:eastAsia="宋体"/>
                <w:color w:val="000000"/>
                <w:sz w:val="18"/>
                <w:szCs w:val="18"/>
              </w:rPr>
            </w:pPr>
          </w:p>
          <w:p w14:paraId="16E8177C">
            <w:pPr>
              <w:wordWrap w:val="0"/>
              <w:autoSpaceDE w:val="0"/>
              <w:autoSpaceDN w:val="0"/>
              <w:spacing w:before="0" w:after="0" w:line="246" w:lineRule="exact"/>
              <w:ind w:firstLine="0"/>
              <w:jc w:val="both"/>
              <w:rPr>
                <w:rFonts w:hint="eastAsia" w:ascii="宋体" w:hAnsi="宋体" w:eastAsia="宋体"/>
                <w:color w:val="000000"/>
                <w:sz w:val="18"/>
                <w:szCs w:val="18"/>
              </w:rPr>
            </w:pPr>
          </w:p>
          <w:p w14:paraId="6AE44C85">
            <w:pPr>
              <w:wordWrap w:val="0"/>
              <w:autoSpaceDE w:val="0"/>
              <w:autoSpaceDN w:val="0"/>
              <w:spacing w:before="0" w:after="0" w:line="246" w:lineRule="exact"/>
              <w:ind w:firstLine="0"/>
              <w:jc w:val="both"/>
              <w:rPr>
                <w:rFonts w:hint="eastAsia" w:ascii="宋体" w:hAnsi="宋体" w:eastAsia="宋体"/>
                <w:color w:val="000000"/>
                <w:sz w:val="18"/>
                <w:szCs w:val="18"/>
              </w:rPr>
            </w:pPr>
          </w:p>
          <w:p w14:paraId="0E8A5299">
            <w:pPr>
              <w:wordWrap w:val="0"/>
              <w:autoSpaceDE w:val="0"/>
              <w:autoSpaceDN w:val="0"/>
              <w:spacing w:before="0" w:after="0" w:line="246" w:lineRule="exact"/>
              <w:ind w:firstLine="0"/>
              <w:jc w:val="both"/>
              <w:rPr>
                <w:rFonts w:hint="eastAsia" w:ascii="宋体" w:hAnsi="宋体" w:eastAsia="宋体"/>
                <w:color w:val="000000"/>
                <w:sz w:val="18"/>
                <w:szCs w:val="18"/>
              </w:rPr>
            </w:pPr>
          </w:p>
          <w:p w14:paraId="242C0528">
            <w:pPr>
              <w:wordWrap w:val="0"/>
              <w:autoSpaceDE w:val="0"/>
              <w:autoSpaceDN w:val="0"/>
              <w:spacing w:before="107" w:after="0" w:line="246" w:lineRule="exact"/>
              <w:ind w:firstLine="140"/>
              <w:jc w:val="both"/>
              <w:rPr>
                <w:sz w:val="18"/>
                <w:szCs w:val="18"/>
              </w:rPr>
            </w:pPr>
            <w:r>
              <w:rPr>
                <w:rFonts w:hint="eastAsia" w:ascii="宋体" w:hAnsi="宋体" w:eastAsia="宋体"/>
                <w:color w:val="000000"/>
                <w:sz w:val="18"/>
                <w:szCs w:val="18"/>
              </w:rPr>
              <w:t>裁量幅度</w:t>
            </w:r>
          </w:p>
        </w:tc>
        <w:tc>
          <w:tcPr>
            <w:tcW w:w="6260" w:type="dxa"/>
            <w:tcBorders>
              <w:top w:val="single" w:color="000000" w:sz="4" w:space="0"/>
              <w:left w:val="single" w:color="000000" w:sz="4" w:space="0"/>
              <w:bottom w:val="single" w:color="000000" w:sz="4" w:space="0"/>
              <w:right w:val="single" w:color="000000" w:sz="4" w:space="0"/>
            </w:tcBorders>
            <w:vAlign w:val="top"/>
          </w:tcPr>
          <w:p w14:paraId="3E94A34B">
            <w:pPr>
              <w:wordWrap w:val="0"/>
              <w:autoSpaceDE w:val="0"/>
              <w:autoSpaceDN w:val="0"/>
              <w:spacing w:before="0" w:after="0" w:line="246" w:lineRule="exact"/>
              <w:ind w:firstLine="14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50</w:t>
            </w:r>
            <w:r>
              <w:rPr>
                <w:rFonts w:hint="eastAsia" w:ascii="宋体" w:hAnsi="宋体" w:eastAsia="宋体"/>
                <w:color w:val="000000"/>
                <w:sz w:val="18"/>
                <w:szCs w:val="18"/>
              </w:rPr>
              <w:t>万元以上</w:t>
            </w:r>
            <w:r>
              <w:rPr>
                <w:rFonts w:hint="eastAsia" w:ascii="Calibri" w:hAnsi="Calibri" w:eastAsia="Calibri"/>
                <w:color w:val="000000"/>
                <w:sz w:val="18"/>
                <w:szCs w:val="18"/>
              </w:rPr>
              <w:t>65</w:t>
            </w:r>
            <w:r>
              <w:rPr>
                <w:rFonts w:hint="eastAsia" w:ascii="宋体" w:hAnsi="宋体" w:eastAsia="宋体"/>
                <w:color w:val="000000"/>
                <w:sz w:val="18"/>
                <w:szCs w:val="18"/>
              </w:rPr>
              <w:t>万元以下罚款</w:t>
            </w:r>
          </w:p>
          <w:p w14:paraId="3974667A">
            <w:pPr>
              <w:wordWrap w:val="0"/>
              <w:autoSpaceDE w:val="0"/>
              <w:autoSpaceDN w:val="0"/>
              <w:spacing w:before="0" w:after="0" w:line="220" w:lineRule="exact"/>
              <w:ind w:firstLine="14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％以下罚款</w:t>
            </w:r>
          </w:p>
        </w:tc>
      </w:tr>
      <w:tr w14:paraId="27B6DA1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60" w:hRule="atLeast"/>
        </w:trPr>
        <w:tc>
          <w:tcPr>
            <w:tcW w:w="1180" w:type="dxa"/>
            <w:vMerge w:val="continue"/>
            <w:tcBorders>
              <w:top w:val="single" w:color="000000" w:sz="4" w:space="0"/>
              <w:left w:val="single" w:color="000000" w:sz="4" w:space="0"/>
              <w:bottom w:val="single" w:color="000000" w:sz="4" w:space="0"/>
              <w:right w:val="single" w:color="000000" w:sz="4" w:space="0"/>
            </w:tcBorders>
          </w:tcPr>
          <w:p w14:paraId="372A3D64">
            <w:pPr>
              <w:rPr>
                <w:sz w:val="18"/>
                <w:szCs w:val="18"/>
              </w:rPr>
            </w:pPr>
          </w:p>
        </w:tc>
        <w:tc>
          <w:tcPr>
            <w:tcW w:w="1120" w:type="dxa"/>
            <w:vMerge w:val="continue"/>
            <w:tcBorders>
              <w:top w:val="single" w:color="000000" w:sz="4" w:space="0"/>
              <w:left w:val="single" w:color="000000" w:sz="4" w:space="0"/>
              <w:bottom w:val="single" w:color="000000" w:sz="4" w:space="0"/>
              <w:right w:val="single" w:color="000000" w:sz="4" w:space="0"/>
            </w:tcBorders>
          </w:tcPr>
          <w:p w14:paraId="06165EFF">
            <w:pPr>
              <w:rPr>
                <w:sz w:val="18"/>
                <w:szCs w:val="18"/>
              </w:rPr>
            </w:pPr>
          </w:p>
        </w:tc>
        <w:tc>
          <w:tcPr>
            <w:tcW w:w="4380" w:type="dxa"/>
            <w:tcBorders>
              <w:top w:val="single" w:color="000000" w:sz="4" w:space="0"/>
              <w:left w:val="single" w:color="000000" w:sz="4" w:space="0"/>
              <w:bottom w:val="single" w:color="000000" w:sz="4" w:space="0"/>
              <w:right w:val="single" w:color="000000" w:sz="4" w:space="0"/>
            </w:tcBorders>
            <w:vAlign w:val="top"/>
          </w:tcPr>
          <w:p w14:paraId="225F64F6">
            <w:pPr>
              <w:wordWrap w:val="0"/>
              <w:autoSpaceDE w:val="0"/>
              <w:autoSpaceDN w:val="0"/>
              <w:spacing w:before="100" w:after="0" w:line="246" w:lineRule="exact"/>
              <w:ind w:firstLine="80"/>
              <w:jc w:val="both"/>
              <w:rPr>
                <w:sz w:val="18"/>
                <w:szCs w:val="18"/>
              </w:rPr>
            </w:pPr>
            <w:r>
              <w:rPr>
                <w:rFonts w:hint="eastAsia" w:ascii="宋体" w:hAnsi="宋体" w:eastAsia="宋体"/>
                <w:color w:val="000000"/>
                <w:sz w:val="18"/>
                <w:szCs w:val="18"/>
              </w:rPr>
              <w:t>造成安全隐患的</w:t>
            </w:r>
          </w:p>
        </w:tc>
        <w:tc>
          <w:tcPr>
            <w:tcW w:w="1100" w:type="dxa"/>
            <w:vMerge w:val="continue"/>
            <w:tcBorders>
              <w:top w:val="single" w:color="000000" w:sz="4" w:space="0"/>
              <w:left w:val="single" w:color="000000" w:sz="4" w:space="0"/>
              <w:bottom w:val="single" w:color="000000" w:sz="4" w:space="0"/>
              <w:right w:val="single" w:color="000000" w:sz="4" w:space="0"/>
            </w:tcBorders>
          </w:tcPr>
          <w:p w14:paraId="4714F51E">
            <w:pPr>
              <w:rPr>
                <w:sz w:val="18"/>
                <w:szCs w:val="18"/>
              </w:rPr>
            </w:pPr>
          </w:p>
        </w:tc>
        <w:tc>
          <w:tcPr>
            <w:tcW w:w="6260" w:type="dxa"/>
            <w:tcBorders>
              <w:top w:val="single" w:color="000000" w:sz="4" w:space="0"/>
              <w:left w:val="single" w:color="000000" w:sz="4" w:space="0"/>
              <w:bottom w:val="single" w:color="000000" w:sz="4" w:space="0"/>
              <w:right w:val="single" w:color="000000" w:sz="4" w:space="0"/>
            </w:tcBorders>
            <w:vAlign w:val="top"/>
          </w:tcPr>
          <w:p w14:paraId="0932F997">
            <w:pPr>
              <w:wordWrap w:val="0"/>
              <w:autoSpaceDE w:val="0"/>
              <w:autoSpaceDN w:val="0"/>
              <w:spacing w:before="0" w:after="0" w:line="220" w:lineRule="exact"/>
              <w:ind w:firstLine="14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65</w:t>
            </w:r>
            <w:r>
              <w:rPr>
                <w:rFonts w:hint="eastAsia" w:ascii="宋体" w:hAnsi="宋体" w:eastAsia="宋体"/>
                <w:color w:val="000000"/>
                <w:sz w:val="18"/>
                <w:szCs w:val="18"/>
              </w:rPr>
              <w:t>万元以上</w:t>
            </w:r>
            <w:r>
              <w:rPr>
                <w:rFonts w:hint="eastAsia" w:ascii="Calibri" w:hAnsi="Calibri" w:eastAsia="Calibri"/>
                <w:color w:val="000000"/>
                <w:sz w:val="18"/>
                <w:szCs w:val="18"/>
              </w:rPr>
              <w:t>80</w:t>
            </w:r>
            <w:r>
              <w:rPr>
                <w:rFonts w:hint="eastAsia" w:ascii="宋体" w:hAnsi="宋体" w:eastAsia="宋体"/>
                <w:color w:val="000000"/>
                <w:sz w:val="18"/>
                <w:szCs w:val="18"/>
              </w:rPr>
              <w:t>万元以下罚款</w:t>
            </w:r>
          </w:p>
          <w:p w14:paraId="65D00D21">
            <w:pPr>
              <w:wordWrap w:val="0"/>
              <w:autoSpaceDE w:val="0"/>
              <w:autoSpaceDN w:val="0"/>
              <w:spacing w:before="0" w:after="0" w:line="200" w:lineRule="exact"/>
              <w:ind w:firstLine="12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6</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5EC12A8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60" w:hRule="atLeast"/>
        </w:trPr>
        <w:tc>
          <w:tcPr>
            <w:tcW w:w="1180" w:type="dxa"/>
            <w:vMerge w:val="continue"/>
            <w:tcBorders>
              <w:top w:val="single" w:color="000000" w:sz="4" w:space="0"/>
              <w:left w:val="single" w:color="000000" w:sz="4" w:space="0"/>
              <w:bottom w:val="single" w:color="000000" w:sz="4" w:space="0"/>
              <w:right w:val="single" w:color="000000" w:sz="4" w:space="0"/>
            </w:tcBorders>
          </w:tcPr>
          <w:p w14:paraId="339EDABF">
            <w:pPr>
              <w:rPr>
                <w:sz w:val="18"/>
                <w:szCs w:val="18"/>
              </w:rPr>
            </w:pPr>
          </w:p>
        </w:tc>
        <w:tc>
          <w:tcPr>
            <w:tcW w:w="1120" w:type="dxa"/>
            <w:vMerge w:val="continue"/>
            <w:tcBorders>
              <w:top w:val="single" w:color="000000" w:sz="4" w:space="0"/>
              <w:left w:val="single" w:color="000000" w:sz="4" w:space="0"/>
              <w:bottom w:val="single" w:color="000000" w:sz="4" w:space="0"/>
              <w:right w:val="single" w:color="000000" w:sz="4" w:space="0"/>
            </w:tcBorders>
          </w:tcPr>
          <w:p w14:paraId="2FA7BBE0">
            <w:pPr>
              <w:rPr>
                <w:sz w:val="18"/>
                <w:szCs w:val="18"/>
              </w:rPr>
            </w:pPr>
          </w:p>
        </w:tc>
        <w:tc>
          <w:tcPr>
            <w:tcW w:w="4380" w:type="dxa"/>
            <w:tcBorders>
              <w:top w:val="single" w:color="000000" w:sz="4" w:space="0"/>
              <w:left w:val="single" w:color="000000" w:sz="4" w:space="0"/>
              <w:bottom w:val="single" w:color="000000" w:sz="4" w:space="0"/>
              <w:right w:val="single" w:color="000000" w:sz="4" w:space="0"/>
            </w:tcBorders>
            <w:vAlign w:val="top"/>
          </w:tcPr>
          <w:p w14:paraId="0AE43110">
            <w:pPr>
              <w:wordWrap w:val="0"/>
              <w:autoSpaceDE w:val="0"/>
              <w:autoSpaceDN w:val="0"/>
              <w:spacing w:before="100" w:after="0" w:line="246" w:lineRule="exact"/>
              <w:ind w:firstLine="80"/>
              <w:jc w:val="both"/>
              <w:rPr>
                <w:sz w:val="18"/>
                <w:szCs w:val="18"/>
              </w:rPr>
            </w:pPr>
            <w:r>
              <w:rPr>
                <w:rFonts w:hint="eastAsia" w:ascii="宋体" w:hAnsi="宋体" w:eastAsia="宋体"/>
                <w:color w:val="000000"/>
                <w:sz w:val="18"/>
                <w:szCs w:val="18"/>
              </w:rPr>
              <w:t>造成安全事故的</w:t>
            </w:r>
          </w:p>
        </w:tc>
        <w:tc>
          <w:tcPr>
            <w:tcW w:w="1100" w:type="dxa"/>
            <w:vMerge w:val="continue"/>
            <w:tcBorders>
              <w:top w:val="single" w:color="000000" w:sz="4" w:space="0"/>
              <w:left w:val="single" w:color="000000" w:sz="4" w:space="0"/>
              <w:bottom w:val="single" w:color="000000" w:sz="4" w:space="0"/>
              <w:right w:val="single" w:color="000000" w:sz="4" w:space="0"/>
            </w:tcBorders>
          </w:tcPr>
          <w:p w14:paraId="63B0A965">
            <w:pPr>
              <w:rPr>
                <w:sz w:val="18"/>
                <w:szCs w:val="18"/>
              </w:rPr>
            </w:pPr>
          </w:p>
        </w:tc>
        <w:tc>
          <w:tcPr>
            <w:tcW w:w="6260" w:type="dxa"/>
            <w:tcBorders>
              <w:top w:val="single" w:color="000000" w:sz="4" w:space="0"/>
              <w:left w:val="single" w:color="000000" w:sz="4" w:space="0"/>
              <w:bottom w:val="single" w:color="000000" w:sz="4" w:space="0"/>
              <w:right w:val="single" w:color="000000" w:sz="4" w:space="0"/>
            </w:tcBorders>
            <w:vAlign w:val="top"/>
          </w:tcPr>
          <w:p w14:paraId="4AA46F6A">
            <w:pPr>
              <w:wordWrap w:val="0"/>
              <w:autoSpaceDE w:val="0"/>
              <w:autoSpaceDN w:val="0"/>
              <w:spacing w:before="0" w:after="0" w:line="240" w:lineRule="exact"/>
              <w:ind w:firstLine="16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80</w:t>
            </w:r>
            <w:r>
              <w:rPr>
                <w:rFonts w:hint="eastAsia" w:ascii="宋体" w:hAnsi="宋体" w:eastAsia="宋体"/>
                <w:color w:val="000000"/>
                <w:sz w:val="18"/>
                <w:szCs w:val="18"/>
              </w:rPr>
              <w:t>万元以上</w:t>
            </w:r>
            <w:r>
              <w:rPr>
                <w:rFonts w:hint="eastAsia" w:ascii="Calibri" w:hAnsi="Calibri" w:eastAsia="Calibri"/>
                <w:color w:val="000000"/>
                <w:sz w:val="18"/>
                <w:szCs w:val="18"/>
              </w:rPr>
              <w:t>100</w:t>
            </w:r>
            <w:r>
              <w:rPr>
                <w:rFonts w:hint="eastAsia" w:ascii="宋体" w:hAnsi="宋体" w:eastAsia="宋体"/>
                <w:color w:val="000000"/>
                <w:sz w:val="18"/>
                <w:szCs w:val="18"/>
              </w:rPr>
              <w:t>万元以下罚款</w:t>
            </w:r>
          </w:p>
          <w:p w14:paraId="0BC13313">
            <w:pPr>
              <w:wordWrap w:val="0"/>
              <w:autoSpaceDE w:val="0"/>
              <w:autoSpaceDN w:val="0"/>
              <w:spacing w:before="0" w:after="0" w:line="180" w:lineRule="exact"/>
              <w:ind w:firstLine="12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r w14:paraId="35C2E6E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60" w:hRule="atLeast"/>
        </w:trPr>
        <w:tc>
          <w:tcPr>
            <w:tcW w:w="1180" w:type="dxa"/>
            <w:vMerge w:val="continue"/>
            <w:tcBorders>
              <w:top w:val="single" w:color="000000" w:sz="4" w:space="0"/>
              <w:left w:val="single" w:color="000000" w:sz="4" w:space="0"/>
              <w:bottom w:val="single" w:color="000000" w:sz="4" w:space="0"/>
              <w:right w:val="single" w:color="000000" w:sz="4" w:space="0"/>
            </w:tcBorders>
          </w:tcPr>
          <w:p w14:paraId="4480D941">
            <w:pPr>
              <w:rPr>
                <w:sz w:val="18"/>
                <w:szCs w:val="18"/>
              </w:rPr>
            </w:pPr>
          </w:p>
        </w:tc>
        <w:tc>
          <w:tcPr>
            <w:tcW w:w="1120" w:type="dxa"/>
            <w:vMerge w:val="restart"/>
            <w:tcBorders>
              <w:top w:val="single" w:color="000000" w:sz="4" w:space="0"/>
              <w:left w:val="single" w:color="000000" w:sz="4" w:space="0"/>
              <w:bottom w:val="single" w:color="000000" w:sz="4" w:space="0"/>
              <w:right w:val="single" w:color="000000" w:sz="4" w:space="0"/>
            </w:tcBorders>
            <w:vAlign w:val="top"/>
          </w:tcPr>
          <w:p w14:paraId="2644663D">
            <w:pPr>
              <w:wordWrap w:val="0"/>
              <w:autoSpaceDE w:val="0"/>
              <w:autoSpaceDN w:val="0"/>
              <w:spacing w:before="0" w:after="0" w:line="246" w:lineRule="exact"/>
              <w:ind w:firstLine="0"/>
              <w:jc w:val="both"/>
              <w:rPr>
                <w:rFonts w:hint="eastAsia" w:ascii="宋体" w:hAnsi="宋体" w:eastAsia="宋体"/>
                <w:color w:val="000000"/>
                <w:sz w:val="18"/>
                <w:szCs w:val="18"/>
              </w:rPr>
            </w:pPr>
          </w:p>
          <w:p w14:paraId="7624D986">
            <w:pPr>
              <w:wordWrap w:val="0"/>
              <w:autoSpaceDE w:val="0"/>
              <w:autoSpaceDN w:val="0"/>
              <w:spacing w:before="233" w:after="0" w:line="246" w:lineRule="exact"/>
              <w:jc w:val="center"/>
              <w:rPr>
                <w:sz w:val="18"/>
                <w:szCs w:val="18"/>
              </w:rPr>
            </w:pPr>
            <w:r>
              <w:rPr>
                <w:rFonts w:hint="eastAsia" w:ascii="宋体" w:hAnsi="宋体" w:eastAsia="宋体"/>
                <w:color w:val="000000"/>
                <w:sz w:val="18"/>
                <w:szCs w:val="18"/>
              </w:rPr>
              <w:t>房屋建筑使用者</w:t>
            </w:r>
          </w:p>
        </w:tc>
        <w:tc>
          <w:tcPr>
            <w:tcW w:w="4380" w:type="dxa"/>
            <w:tcBorders>
              <w:top w:val="single" w:color="000000" w:sz="4" w:space="0"/>
              <w:left w:val="single" w:color="000000" w:sz="4" w:space="0"/>
              <w:bottom w:val="single" w:color="000000" w:sz="4" w:space="0"/>
              <w:right w:val="single" w:color="000000" w:sz="4" w:space="0"/>
            </w:tcBorders>
            <w:vAlign w:val="top"/>
          </w:tcPr>
          <w:p w14:paraId="1C2775B9">
            <w:pPr>
              <w:wordWrap w:val="0"/>
              <w:autoSpaceDE w:val="0"/>
              <w:autoSpaceDN w:val="0"/>
              <w:spacing w:before="120" w:after="0" w:line="246" w:lineRule="exact"/>
              <w:ind w:firstLine="80"/>
              <w:jc w:val="both"/>
              <w:rPr>
                <w:sz w:val="18"/>
                <w:szCs w:val="18"/>
              </w:rPr>
            </w:pPr>
            <w:r>
              <w:rPr>
                <w:rFonts w:hint="eastAsia" w:ascii="宋体" w:hAnsi="宋体" w:eastAsia="宋体"/>
                <w:color w:val="000000"/>
                <w:sz w:val="18"/>
                <w:szCs w:val="18"/>
              </w:rPr>
              <w:t>未造成安全隐患的</w:t>
            </w:r>
          </w:p>
        </w:tc>
        <w:tc>
          <w:tcPr>
            <w:tcW w:w="1100" w:type="dxa"/>
            <w:vMerge w:val="continue"/>
            <w:tcBorders>
              <w:top w:val="single" w:color="000000" w:sz="4" w:space="0"/>
              <w:left w:val="single" w:color="000000" w:sz="4" w:space="0"/>
              <w:bottom w:val="single" w:color="000000" w:sz="4" w:space="0"/>
              <w:right w:val="single" w:color="000000" w:sz="4" w:space="0"/>
            </w:tcBorders>
          </w:tcPr>
          <w:p w14:paraId="0483FE99">
            <w:pPr>
              <w:rPr>
                <w:sz w:val="18"/>
                <w:szCs w:val="18"/>
              </w:rPr>
            </w:pPr>
          </w:p>
        </w:tc>
        <w:tc>
          <w:tcPr>
            <w:tcW w:w="6260" w:type="dxa"/>
            <w:tcBorders>
              <w:top w:val="single" w:color="000000" w:sz="4" w:space="0"/>
              <w:left w:val="single" w:color="000000" w:sz="4" w:space="0"/>
              <w:bottom w:val="single" w:color="000000" w:sz="4" w:space="0"/>
              <w:right w:val="single" w:color="000000" w:sz="4" w:space="0"/>
            </w:tcBorders>
            <w:vAlign w:val="top"/>
          </w:tcPr>
          <w:p w14:paraId="042E9E1D">
            <w:pPr>
              <w:wordWrap w:val="0"/>
              <w:autoSpaceDE w:val="0"/>
              <w:autoSpaceDN w:val="0"/>
              <w:spacing w:before="0" w:after="0" w:line="246" w:lineRule="exact"/>
              <w:ind w:firstLine="100"/>
              <w:jc w:val="both"/>
              <w:rPr>
                <w:sz w:val="18"/>
                <w:szCs w:val="18"/>
              </w:rPr>
            </w:pP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6</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p w14:paraId="402647D4">
            <w:pPr>
              <w:wordWrap w:val="0"/>
              <w:autoSpaceDE w:val="0"/>
              <w:autoSpaceDN w:val="0"/>
              <w:spacing w:before="0" w:after="0" w:line="180" w:lineRule="exact"/>
              <w:ind w:firstLine="12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％以下罚款</w:t>
            </w:r>
          </w:p>
        </w:tc>
      </w:tr>
      <w:tr w14:paraId="312095B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60" w:hRule="atLeast"/>
        </w:trPr>
        <w:tc>
          <w:tcPr>
            <w:tcW w:w="1180" w:type="dxa"/>
            <w:vMerge w:val="continue"/>
            <w:tcBorders>
              <w:top w:val="single" w:color="000000" w:sz="4" w:space="0"/>
              <w:left w:val="single" w:color="000000" w:sz="4" w:space="0"/>
              <w:bottom w:val="single" w:color="000000" w:sz="4" w:space="0"/>
              <w:right w:val="single" w:color="000000" w:sz="4" w:space="0"/>
            </w:tcBorders>
          </w:tcPr>
          <w:p w14:paraId="2A3F3710">
            <w:pPr>
              <w:rPr>
                <w:sz w:val="18"/>
                <w:szCs w:val="18"/>
              </w:rPr>
            </w:pPr>
          </w:p>
        </w:tc>
        <w:tc>
          <w:tcPr>
            <w:tcW w:w="1120" w:type="dxa"/>
            <w:vMerge w:val="continue"/>
            <w:tcBorders>
              <w:top w:val="single" w:color="000000" w:sz="4" w:space="0"/>
              <w:left w:val="single" w:color="000000" w:sz="4" w:space="0"/>
              <w:bottom w:val="single" w:color="000000" w:sz="4" w:space="0"/>
              <w:right w:val="single" w:color="000000" w:sz="4" w:space="0"/>
            </w:tcBorders>
          </w:tcPr>
          <w:p w14:paraId="1D0EFC3C">
            <w:pPr>
              <w:rPr>
                <w:sz w:val="18"/>
                <w:szCs w:val="18"/>
              </w:rPr>
            </w:pPr>
          </w:p>
        </w:tc>
        <w:tc>
          <w:tcPr>
            <w:tcW w:w="4380" w:type="dxa"/>
            <w:tcBorders>
              <w:top w:val="single" w:color="000000" w:sz="4" w:space="0"/>
              <w:left w:val="single" w:color="000000" w:sz="4" w:space="0"/>
              <w:bottom w:val="single" w:color="000000" w:sz="4" w:space="0"/>
              <w:right w:val="single" w:color="000000" w:sz="4" w:space="0"/>
            </w:tcBorders>
            <w:vAlign w:val="top"/>
          </w:tcPr>
          <w:p w14:paraId="1A5F7710">
            <w:pPr>
              <w:wordWrap w:val="0"/>
              <w:autoSpaceDE w:val="0"/>
              <w:autoSpaceDN w:val="0"/>
              <w:spacing w:before="120" w:after="0" w:line="246" w:lineRule="exact"/>
              <w:ind w:firstLine="80"/>
              <w:jc w:val="both"/>
              <w:rPr>
                <w:sz w:val="18"/>
                <w:szCs w:val="18"/>
              </w:rPr>
            </w:pPr>
            <w:r>
              <w:rPr>
                <w:rFonts w:hint="eastAsia" w:ascii="宋体" w:hAnsi="宋体" w:eastAsia="宋体"/>
                <w:color w:val="000000"/>
                <w:sz w:val="18"/>
                <w:szCs w:val="18"/>
              </w:rPr>
              <w:t>造成安全隐患的</w:t>
            </w:r>
          </w:p>
        </w:tc>
        <w:tc>
          <w:tcPr>
            <w:tcW w:w="1100" w:type="dxa"/>
            <w:vMerge w:val="continue"/>
            <w:tcBorders>
              <w:top w:val="single" w:color="000000" w:sz="4" w:space="0"/>
              <w:left w:val="single" w:color="000000" w:sz="4" w:space="0"/>
              <w:bottom w:val="single" w:color="000000" w:sz="4" w:space="0"/>
              <w:right w:val="single" w:color="000000" w:sz="4" w:space="0"/>
            </w:tcBorders>
          </w:tcPr>
          <w:p w14:paraId="66EB236F">
            <w:pPr>
              <w:rPr>
                <w:sz w:val="18"/>
                <w:szCs w:val="18"/>
              </w:rPr>
            </w:pPr>
          </w:p>
        </w:tc>
        <w:tc>
          <w:tcPr>
            <w:tcW w:w="6260" w:type="dxa"/>
            <w:tcBorders>
              <w:top w:val="single" w:color="000000" w:sz="4" w:space="0"/>
              <w:left w:val="single" w:color="000000" w:sz="4" w:space="0"/>
              <w:bottom w:val="single" w:color="000000" w:sz="4" w:space="0"/>
              <w:right w:val="single" w:color="000000" w:sz="4" w:space="0"/>
            </w:tcBorders>
            <w:vAlign w:val="top"/>
          </w:tcPr>
          <w:p w14:paraId="106DF468">
            <w:pPr>
              <w:wordWrap w:val="0"/>
              <w:autoSpaceDE w:val="0"/>
              <w:autoSpaceDN w:val="0"/>
              <w:spacing w:before="0" w:after="0" w:line="240" w:lineRule="exact"/>
              <w:ind w:firstLine="100"/>
              <w:jc w:val="both"/>
              <w:rPr>
                <w:sz w:val="18"/>
                <w:szCs w:val="18"/>
              </w:rPr>
            </w:pPr>
            <w:r>
              <w:rPr>
                <w:rFonts w:hint="eastAsia" w:ascii="Calibri" w:hAnsi="Calibri" w:eastAsia="Calibri"/>
                <w:color w:val="000000"/>
                <w:sz w:val="18"/>
                <w:szCs w:val="18"/>
              </w:rPr>
              <w:t>6</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8</w:t>
            </w:r>
            <w:r>
              <w:rPr>
                <w:rFonts w:hint="eastAsia" w:ascii="宋体" w:hAnsi="宋体" w:eastAsia="宋体"/>
                <w:color w:val="000000"/>
                <w:sz w:val="18"/>
                <w:szCs w:val="18"/>
              </w:rPr>
              <w:t>万元以下罚款</w:t>
            </w:r>
          </w:p>
          <w:p w14:paraId="17F8E4B0">
            <w:pPr>
              <w:wordWrap w:val="0"/>
              <w:autoSpaceDE w:val="0"/>
              <w:autoSpaceDN w:val="0"/>
              <w:spacing w:before="0" w:after="0" w:line="200" w:lineRule="exact"/>
              <w:ind w:firstLine="12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6</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275B912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00" w:hRule="atLeast"/>
        </w:trPr>
        <w:tc>
          <w:tcPr>
            <w:tcW w:w="1180" w:type="dxa"/>
            <w:vMerge w:val="continue"/>
            <w:tcBorders>
              <w:top w:val="single" w:color="000000" w:sz="4" w:space="0"/>
              <w:left w:val="single" w:color="000000" w:sz="4" w:space="0"/>
              <w:bottom w:val="single" w:color="000000" w:sz="4" w:space="0"/>
              <w:right w:val="single" w:color="000000" w:sz="4" w:space="0"/>
            </w:tcBorders>
          </w:tcPr>
          <w:p w14:paraId="5676230D">
            <w:pPr>
              <w:rPr>
                <w:sz w:val="18"/>
                <w:szCs w:val="18"/>
              </w:rPr>
            </w:pPr>
          </w:p>
        </w:tc>
        <w:tc>
          <w:tcPr>
            <w:tcW w:w="1120" w:type="dxa"/>
            <w:vMerge w:val="continue"/>
            <w:tcBorders>
              <w:top w:val="single" w:color="000000" w:sz="4" w:space="0"/>
              <w:left w:val="single" w:color="000000" w:sz="4" w:space="0"/>
              <w:bottom w:val="single" w:color="000000" w:sz="4" w:space="0"/>
              <w:right w:val="single" w:color="000000" w:sz="4" w:space="0"/>
            </w:tcBorders>
          </w:tcPr>
          <w:p w14:paraId="191639FE">
            <w:pPr>
              <w:rPr>
                <w:sz w:val="18"/>
                <w:szCs w:val="18"/>
              </w:rPr>
            </w:pPr>
          </w:p>
        </w:tc>
        <w:tc>
          <w:tcPr>
            <w:tcW w:w="4380" w:type="dxa"/>
            <w:tcBorders>
              <w:top w:val="single" w:color="000000" w:sz="4" w:space="0"/>
              <w:left w:val="single" w:color="000000" w:sz="4" w:space="0"/>
              <w:bottom w:val="single" w:color="000000" w:sz="4" w:space="0"/>
              <w:right w:val="single" w:color="000000" w:sz="4" w:space="0"/>
            </w:tcBorders>
            <w:vAlign w:val="top"/>
          </w:tcPr>
          <w:p w14:paraId="63422FF8">
            <w:pPr>
              <w:wordWrap w:val="0"/>
              <w:autoSpaceDE w:val="0"/>
              <w:autoSpaceDN w:val="0"/>
              <w:spacing w:before="120" w:after="0" w:line="246" w:lineRule="exact"/>
              <w:ind w:firstLine="80"/>
              <w:jc w:val="both"/>
              <w:rPr>
                <w:sz w:val="18"/>
                <w:szCs w:val="18"/>
              </w:rPr>
            </w:pPr>
            <w:r>
              <w:rPr>
                <w:rFonts w:hint="eastAsia" w:ascii="宋体" w:hAnsi="宋体" w:eastAsia="宋体"/>
                <w:color w:val="000000"/>
                <w:sz w:val="18"/>
                <w:szCs w:val="18"/>
              </w:rPr>
              <w:t>造成安全事故的</w:t>
            </w:r>
          </w:p>
        </w:tc>
        <w:tc>
          <w:tcPr>
            <w:tcW w:w="1100" w:type="dxa"/>
            <w:vMerge w:val="continue"/>
            <w:tcBorders>
              <w:top w:val="single" w:color="000000" w:sz="4" w:space="0"/>
              <w:left w:val="single" w:color="000000" w:sz="4" w:space="0"/>
              <w:bottom w:val="single" w:color="000000" w:sz="4" w:space="0"/>
              <w:right w:val="single" w:color="000000" w:sz="4" w:space="0"/>
            </w:tcBorders>
          </w:tcPr>
          <w:p w14:paraId="3466F2AE">
            <w:pPr>
              <w:rPr>
                <w:sz w:val="18"/>
                <w:szCs w:val="18"/>
              </w:rPr>
            </w:pPr>
          </w:p>
        </w:tc>
        <w:tc>
          <w:tcPr>
            <w:tcW w:w="6260" w:type="dxa"/>
            <w:tcBorders>
              <w:top w:val="single" w:color="000000" w:sz="4" w:space="0"/>
              <w:left w:val="single" w:color="000000" w:sz="4" w:space="0"/>
              <w:bottom w:val="single" w:color="000000" w:sz="4" w:space="0"/>
              <w:right w:val="single" w:color="000000" w:sz="4" w:space="0"/>
            </w:tcBorders>
            <w:vAlign w:val="top"/>
          </w:tcPr>
          <w:p w14:paraId="3C93341F">
            <w:pPr>
              <w:wordWrap w:val="0"/>
              <w:autoSpaceDE w:val="0"/>
              <w:autoSpaceDN w:val="0"/>
              <w:spacing w:before="0" w:after="0" w:line="246" w:lineRule="exact"/>
              <w:ind w:firstLine="100"/>
              <w:jc w:val="both"/>
              <w:rPr>
                <w:sz w:val="18"/>
                <w:szCs w:val="18"/>
              </w:rPr>
            </w:pPr>
            <w:r>
              <w:rPr>
                <w:rFonts w:hint="eastAsia" w:ascii="Calibri" w:hAnsi="Calibri" w:eastAsia="Calibri"/>
                <w:color w:val="000000"/>
                <w:sz w:val="18"/>
                <w:szCs w:val="18"/>
              </w:rPr>
              <w:t>8</w:t>
            </w:r>
            <w:r>
              <w:rPr>
                <w:rFonts w:hint="eastAsia" w:ascii="宋体" w:hAnsi="宋体" w:eastAsia="宋体"/>
                <w:color w:val="000000"/>
                <w:sz w:val="18"/>
                <w:szCs w:val="18"/>
              </w:rPr>
              <w:t>万元以上</w:t>
            </w:r>
            <w:r>
              <w:rPr>
                <w:rFonts w:hint="eastAsia" w:ascii="Calibri" w:hAnsi="Calibri" w:eastAsia="Calibri"/>
                <w:color w:val="000000"/>
                <w:sz w:val="18"/>
                <w:szCs w:val="18"/>
              </w:rPr>
              <w:t>10</w:t>
            </w:r>
            <w:r>
              <w:rPr>
                <w:rFonts w:hint="eastAsia" w:ascii="宋体" w:hAnsi="宋体" w:eastAsia="宋体"/>
                <w:color w:val="000000"/>
                <w:sz w:val="18"/>
                <w:szCs w:val="18"/>
              </w:rPr>
              <w:t>万元以下罚款</w:t>
            </w:r>
          </w:p>
          <w:p w14:paraId="523A4CED">
            <w:pPr>
              <w:wordWrap w:val="0"/>
              <w:autoSpaceDE w:val="0"/>
              <w:autoSpaceDN w:val="0"/>
              <w:spacing w:before="0" w:after="0" w:line="240" w:lineRule="exact"/>
              <w:ind w:firstLine="10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2CFBA8BF">
      <w:pPr>
        <w:rPr>
          <w:sz w:val="18"/>
          <w:szCs w:val="18"/>
        </w:rPr>
      </w:pPr>
    </w:p>
    <w:tbl>
      <w:tblPr>
        <w:tblStyle w:val="15"/>
        <w:tblW w:w="0" w:type="auto"/>
        <w:tblInd w:w="16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9"/>
        <w:gridCol w:w="5934"/>
        <w:gridCol w:w="1043"/>
        <w:gridCol w:w="5642"/>
      </w:tblGrid>
      <w:tr w14:paraId="540976D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2710B959">
            <w:pPr>
              <w:wordWrap w:val="0"/>
              <w:autoSpaceDE w:val="0"/>
              <w:autoSpaceDN w:val="0"/>
              <w:spacing w:before="33" w:after="0" w:line="246" w:lineRule="exact"/>
              <w:ind w:firstLine="460"/>
              <w:jc w:val="both"/>
              <w:rPr>
                <w:sz w:val="18"/>
                <w:szCs w:val="18"/>
              </w:rPr>
            </w:pPr>
            <w:r>
              <w:rPr>
                <w:rFonts w:hint="eastAsia" w:ascii="宋体" w:hAnsi="宋体" w:eastAsia="宋体"/>
                <w:color w:val="000000"/>
                <w:sz w:val="18"/>
                <w:szCs w:val="18"/>
              </w:rPr>
              <w:t>序号</w:t>
            </w:r>
          </w:p>
        </w:tc>
        <w:tc>
          <w:tcPr>
            <w:tcW w:w="12840" w:type="dxa"/>
            <w:gridSpan w:val="3"/>
            <w:tcBorders>
              <w:top w:val="single" w:color="000000" w:sz="4" w:space="0"/>
              <w:left w:val="single" w:color="000000" w:sz="4" w:space="0"/>
              <w:bottom w:val="single" w:color="000000" w:sz="4" w:space="0"/>
              <w:right w:val="single" w:color="000000" w:sz="4" w:space="0"/>
            </w:tcBorders>
            <w:vAlign w:val="top"/>
          </w:tcPr>
          <w:p w14:paraId="7A1D7924">
            <w:pPr>
              <w:wordWrap w:val="0"/>
              <w:autoSpaceDE w:val="0"/>
              <w:autoSpaceDN w:val="0"/>
              <w:spacing w:before="33" w:after="0" w:line="246" w:lineRule="exact"/>
              <w:ind w:firstLine="100"/>
              <w:jc w:val="both"/>
              <w:rPr>
                <w:sz w:val="18"/>
                <w:szCs w:val="18"/>
              </w:rPr>
            </w:pPr>
            <w:r>
              <w:rPr>
                <w:rFonts w:hint="eastAsia" w:ascii="Calibri" w:hAnsi="Calibri" w:eastAsia="Calibri"/>
                <w:color w:val="000000"/>
                <w:sz w:val="18"/>
                <w:szCs w:val="18"/>
              </w:rPr>
              <w:t>11</w:t>
            </w:r>
          </w:p>
        </w:tc>
      </w:tr>
      <w:tr w14:paraId="16D869F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7743A286">
            <w:pPr>
              <w:wordWrap w:val="0"/>
              <w:autoSpaceDE w:val="0"/>
              <w:autoSpaceDN w:val="0"/>
              <w:spacing w:before="33" w:after="0" w:line="246" w:lineRule="exact"/>
              <w:ind w:firstLine="420"/>
              <w:jc w:val="both"/>
              <w:rPr>
                <w:sz w:val="18"/>
                <w:szCs w:val="18"/>
              </w:rPr>
            </w:pPr>
            <w:r>
              <w:rPr>
                <w:rFonts w:hint="eastAsia" w:ascii="宋体" w:hAnsi="宋体" w:eastAsia="宋体"/>
                <w:color w:val="000000"/>
                <w:sz w:val="18"/>
                <w:szCs w:val="18"/>
              </w:rPr>
              <w:t>编号</w:t>
            </w:r>
          </w:p>
        </w:tc>
        <w:tc>
          <w:tcPr>
            <w:tcW w:w="12840" w:type="dxa"/>
            <w:gridSpan w:val="3"/>
            <w:tcBorders>
              <w:top w:val="single" w:color="000000" w:sz="4" w:space="0"/>
              <w:left w:val="single" w:color="000000" w:sz="4" w:space="0"/>
              <w:bottom w:val="single" w:color="000000" w:sz="4" w:space="0"/>
              <w:right w:val="single" w:color="000000" w:sz="4" w:space="0"/>
            </w:tcBorders>
            <w:vAlign w:val="top"/>
          </w:tcPr>
          <w:p w14:paraId="057A18CF">
            <w:pPr>
              <w:wordWrap w:val="0"/>
              <w:autoSpaceDE w:val="0"/>
              <w:autoSpaceDN w:val="0"/>
              <w:spacing w:before="33" w:after="0" w:line="246" w:lineRule="exact"/>
              <w:ind w:firstLine="100"/>
              <w:jc w:val="both"/>
              <w:rPr>
                <w:sz w:val="18"/>
                <w:szCs w:val="18"/>
              </w:rPr>
            </w:pPr>
            <w:r>
              <w:rPr>
                <w:rFonts w:hint="eastAsia" w:ascii="Calibri" w:hAnsi="Calibri" w:eastAsia="Calibri"/>
                <w:color w:val="000000"/>
                <w:sz w:val="18"/>
                <w:szCs w:val="18"/>
              </w:rPr>
              <w:t>320280012000</w:t>
            </w:r>
          </w:p>
        </w:tc>
      </w:tr>
      <w:tr w14:paraId="5239F5A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4A8069F1">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行为名称</w:t>
            </w:r>
          </w:p>
        </w:tc>
        <w:tc>
          <w:tcPr>
            <w:tcW w:w="12840" w:type="dxa"/>
            <w:gridSpan w:val="3"/>
            <w:tcBorders>
              <w:top w:val="single" w:color="000000" w:sz="4" w:space="0"/>
              <w:left w:val="single" w:color="000000" w:sz="4" w:space="0"/>
              <w:bottom w:val="single" w:color="000000" w:sz="4" w:space="0"/>
              <w:right w:val="single" w:color="000000" w:sz="4" w:space="0"/>
            </w:tcBorders>
            <w:vAlign w:val="top"/>
          </w:tcPr>
          <w:p w14:paraId="6913D752">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对拆除人民防空工程后拒不补建或者拒不补偿的处罚</w:t>
            </w:r>
          </w:p>
        </w:tc>
      </w:tr>
      <w:tr w14:paraId="2BF1519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1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D334316">
            <w:pPr>
              <w:wordWrap w:val="0"/>
              <w:autoSpaceDE w:val="0"/>
              <w:autoSpaceDN w:val="0"/>
              <w:spacing w:before="0" w:after="0" w:line="246" w:lineRule="exact"/>
              <w:ind w:firstLine="0"/>
              <w:jc w:val="both"/>
              <w:rPr>
                <w:rFonts w:hint="eastAsia" w:ascii="宋体" w:hAnsi="宋体" w:eastAsia="宋体"/>
                <w:color w:val="000000"/>
                <w:sz w:val="18"/>
                <w:szCs w:val="18"/>
              </w:rPr>
            </w:pPr>
          </w:p>
          <w:p w14:paraId="7A9D5738">
            <w:pPr>
              <w:wordWrap w:val="0"/>
              <w:autoSpaceDE w:val="0"/>
              <w:autoSpaceDN w:val="0"/>
              <w:spacing w:before="0" w:after="0" w:line="246" w:lineRule="exact"/>
              <w:ind w:firstLine="0"/>
              <w:jc w:val="both"/>
              <w:rPr>
                <w:rFonts w:hint="eastAsia" w:ascii="宋体" w:hAnsi="宋体" w:eastAsia="宋体"/>
                <w:color w:val="000000"/>
                <w:sz w:val="18"/>
                <w:szCs w:val="18"/>
              </w:rPr>
            </w:pPr>
          </w:p>
          <w:p w14:paraId="529D2EC9">
            <w:pPr>
              <w:wordWrap w:val="0"/>
              <w:autoSpaceDE w:val="0"/>
              <w:autoSpaceDN w:val="0"/>
              <w:spacing w:before="0" w:after="0" w:line="246" w:lineRule="exact"/>
              <w:ind w:firstLine="0"/>
              <w:jc w:val="both"/>
              <w:rPr>
                <w:rFonts w:hint="eastAsia" w:ascii="宋体" w:hAnsi="宋体" w:eastAsia="宋体"/>
                <w:color w:val="000000"/>
                <w:sz w:val="18"/>
                <w:szCs w:val="18"/>
              </w:rPr>
            </w:pPr>
          </w:p>
          <w:p w14:paraId="438AEBF0">
            <w:pPr>
              <w:wordWrap w:val="0"/>
              <w:autoSpaceDE w:val="0"/>
              <w:autoSpaceDN w:val="0"/>
              <w:spacing w:before="0" w:after="0" w:line="246" w:lineRule="exact"/>
              <w:ind w:firstLine="0"/>
              <w:jc w:val="both"/>
              <w:rPr>
                <w:rFonts w:hint="eastAsia" w:ascii="宋体" w:hAnsi="宋体" w:eastAsia="宋体"/>
                <w:color w:val="000000"/>
                <w:sz w:val="18"/>
                <w:szCs w:val="18"/>
              </w:rPr>
            </w:pPr>
          </w:p>
          <w:p w14:paraId="1C63504A">
            <w:pPr>
              <w:wordWrap w:val="0"/>
              <w:autoSpaceDE w:val="0"/>
              <w:autoSpaceDN w:val="0"/>
              <w:spacing w:before="0" w:after="0" w:line="246" w:lineRule="exact"/>
              <w:ind w:firstLine="0"/>
              <w:jc w:val="both"/>
              <w:rPr>
                <w:rFonts w:hint="eastAsia" w:ascii="宋体" w:hAnsi="宋体" w:eastAsia="宋体"/>
                <w:color w:val="000000"/>
                <w:sz w:val="18"/>
                <w:szCs w:val="18"/>
              </w:rPr>
            </w:pPr>
          </w:p>
          <w:p w14:paraId="706BA59B">
            <w:pPr>
              <w:wordWrap w:val="0"/>
              <w:autoSpaceDE w:val="0"/>
              <w:autoSpaceDN w:val="0"/>
              <w:spacing w:before="0" w:after="0" w:line="246" w:lineRule="exact"/>
              <w:ind w:firstLine="0"/>
              <w:jc w:val="both"/>
              <w:rPr>
                <w:rFonts w:hint="eastAsia" w:ascii="宋体" w:hAnsi="宋体" w:eastAsia="宋体"/>
                <w:color w:val="000000"/>
                <w:sz w:val="18"/>
                <w:szCs w:val="18"/>
              </w:rPr>
            </w:pPr>
          </w:p>
          <w:p w14:paraId="6661AF6D">
            <w:pPr>
              <w:wordWrap w:val="0"/>
              <w:autoSpaceDE w:val="0"/>
              <w:autoSpaceDN w:val="0"/>
              <w:spacing w:before="0" w:after="0" w:line="246" w:lineRule="exact"/>
              <w:ind w:firstLine="0"/>
              <w:jc w:val="both"/>
              <w:rPr>
                <w:rFonts w:hint="eastAsia" w:ascii="宋体" w:hAnsi="宋体" w:eastAsia="宋体"/>
                <w:color w:val="000000"/>
                <w:sz w:val="18"/>
                <w:szCs w:val="18"/>
              </w:rPr>
            </w:pPr>
          </w:p>
          <w:p w14:paraId="78A998A8">
            <w:pPr>
              <w:wordWrap w:val="0"/>
              <w:autoSpaceDE w:val="0"/>
              <w:autoSpaceDN w:val="0"/>
              <w:spacing w:before="235" w:after="0" w:line="246" w:lineRule="exact"/>
              <w:jc w:val="center"/>
              <w:rPr>
                <w:sz w:val="18"/>
                <w:szCs w:val="18"/>
              </w:rPr>
            </w:pPr>
            <w:r>
              <w:rPr>
                <w:rFonts w:hint="eastAsia" w:ascii="宋体" w:hAnsi="宋体" w:eastAsia="宋体"/>
                <w:color w:val="000000"/>
                <w:sz w:val="18"/>
                <w:szCs w:val="18"/>
              </w:rPr>
              <w:t>法律依据</w:t>
            </w:r>
          </w:p>
        </w:tc>
        <w:tc>
          <w:tcPr>
            <w:tcW w:w="12840" w:type="dxa"/>
            <w:gridSpan w:val="3"/>
            <w:tcBorders>
              <w:top w:val="single" w:color="000000" w:sz="4" w:space="0"/>
              <w:left w:val="single" w:color="000000" w:sz="4" w:space="0"/>
              <w:bottom w:val="single" w:color="000000" w:sz="4" w:space="0"/>
              <w:right w:val="single" w:color="000000" w:sz="4" w:space="0"/>
            </w:tcBorders>
            <w:vAlign w:val="top"/>
          </w:tcPr>
          <w:p w14:paraId="64565606">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【法律】《中华人民共和国人民防空法》</w:t>
            </w:r>
          </w:p>
          <w:p w14:paraId="0136D7AC">
            <w:pPr>
              <w:wordWrap w:val="0"/>
              <w:autoSpaceDE w:val="0"/>
              <w:autoSpaceDN w:val="0"/>
              <w:spacing w:before="73" w:after="0" w:line="246" w:lineRule="exact"/>
              <w:ind w:left="100" w:right="60" w:firstLine="400"/>
              <w:jc w:val="both"/>
              <w:rPr>
                <w:sz w:val="18"/>
                <w:szCs w:val="18"/>
              </w:rPr>
            </w:pPr>
            <w:r>
              <w:rPr>
                <w:rFonts w:hint="eastAsia" w:ascii="宋体" w:hAnsi="宋体" w:eastAsia="宋体"/>
                <w:color w:val="000000"/>
                <w:sz w:val="18"/>
                <w:szCs w:val="18"/>
              </w:rPr>
              <w:t>第二十八条 任何组织或者个人不得擅自拆除本法第二十一条规定的人民防空工程；确需拆除的，必须报经人民防空主管部门批准，并由拆除单位负责补建或者补偿。</w:t>
            </w:r>
          </w:p>
          <w:p w14:paraId="5132FD8D">
            <w:pPr>
              <w:wordWrap w:val="0"/>
              <w:autoSpaceDE w:val="0"/>
              <w:autoSpaceDN w:val="0"/>
              <w:spacing w:before="63" w:after="0" w:line="246" w:lineRule="exact"/>
              <w:ind w:left="60" w:right="40" w:firstLine="440"/>
              <w:jc w:val="both"/>
              <w:rPr>
                <w:sz w:val="18"/>
                <w:szCs w:val="18"/>
              </w:rPr>
            </w:pPr>
            <w:r>
              <w:rPr>
                <w:rFonts w:hint="eastAsia" w:ascii="宋体" w:hAnsi="宋体" w:eastAsia="宋体"/>
                <w:color w:val="000000"/>
                <w:sz w:val="18"/>
                <w:szCs w:val="18"/>
              </w:rPr>
              <w:t>第四十九条 有下列行为之一的，由县级以上人民政府人民防空主管部门对当事人给予警告，并责令限期改正违法行为，可以对个人并处五千元以下的罚款、对单位并处一万元至五万元的罚款；造成损失的，应当依法赔偿损失：</w:t>
            </w:r>
          </w:p>
          <w:p w14:paraId="3982371E">
            <w:pPr>
              <w:wordWrap w:val="0"/>
              <w:autoSpaceDE w:val="0"/>
              <w:autoSpaceDN w:val="0"/>
              <w:spacing w:before="73" w:after="0" w:line="246" w:lineRule="exact"/>
              <w:ind w:firstLine="540"/>
              <w:jc w:val="both"/>
              <w:rPr>
                <w:sz w:val="18"/>
                <w:szCs w:val="18"/>
              </w:rPr>
            </w:pPr>
            <w:r>
              <w:rPr>
                <w:rFonts w:hint="eastAsia" w:ascii="宋体" w:hAnsi="宋体" w:eastAsia="宋体"/>
                <w:color w:val="000000"/>
                <w:sz w:val="18"/>
                <w:szCs w:val="18"/>
              </w:rPr>
              <w:t>（四）拆除人民防空工程后拒不补建的；</w:t>
            </w:r>
          </w:p>
          <w:p w14:paraId="7520E9C5">
            <w:pPr>
              <w:wordWrap w:val="0"/>
              <w:autoSpaceDE w:val="0"/>
              <w:autoSpaceDN w:val="0"/>
              <w:spacing w:before="93" w:after="0" w:line="246"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72FB73DD">
            <w:pPr>
              <w:wordWrap w:val="0"/>
              <w:autoSpaceDE w:val="0"/>
              <w:autoSpaceDN w:val="0"/>
              <w:spacing w:before="67" w:after="0" w:line="246" w:lineRule="exact"/>
              <w:ind w:left="80" w:right="40" w:firstLine="420"/>
              <w:jc w:val="both"/>
              <w:rPr>
                <w:sz w:val="18"/>
                <w:szCs w:val="18"/>
              </w:rPr>
            </w:pPr>
            <w:r>
              <w:rPr>
                <w:rFonts w:hint="eastAsia" w:ascii="宋体" w:hAnsi="宋体" w:eastAsia="宋体"/>
                <w:color w:val="000000"/>
                <w:sz w:val="18"/>
                <w:szCs w:val="18"/>
              </w:rPr>
              <w:t>第十七条第三款 人民防空工程的拆除、报废、改造，应当报经人防主管部门批准。经批准改造的人民防空工程，不得降低国家规定的防护标准；经批准拆除、封填的人民防空工程，建设单位应当按拆除、封填的建筑面积、防护等级就近补建；就近补建确有困难的，必须向人防主管部门缴纳易地建设费，由人防主管部门组织易地建设。</w:t>
            </w:r>
          </w:p>
          <w:p w14:paraId="601A6C76">
            <w:pPr>
              <w:wordWrap w:val="0"/>
              <w:autoSpaceDE w:val="0"/>
              <w:autoSpaceDN w:val="0"/>
              <w:spacing w:before="73" w:after="0" w:line="246" w:lineRule="exact"/>
              <w:ind w:left="100" w:right="60" w:firstLine="400"/>
              <w:jc w:val="both"/>
              <w:rPr>
                <w:sz w:val="18"/>
                <w:szCs w:val="18"/>
              </w:rPr>
            </w:pPr>
            <w:r>
              <w:rPr>
                <w:rFonts w:hint="eastAsia" w:ascii="宋体" w:hAnsi="宋体" w:eastAsia="宋体"/>
                <w:color w:val="000000"/>
                <w:sz w:val="18"/>
                <w:szCs w:val="18"/>
              </w:rPr>
              <w:t>第三十四条第一款 违反本办法第十八条第一款规定，或者有下列行为之一的，由人防主管部门对当事人给予警告，并责令限期改正违法行为，可以对个人并处一千元以上五千元以下的罚款，对单位并处一万元以上至五万元以下的罚款；造成损失的，应当依法赔偿损失：</w:t>
            </w:r>
          </w:p>
          <w:p w14:paraId="058E5773">
            <w:pPr>
              <w:wordWrap w:val="0"/>
              <w:autoSpaceDE w:val="0"/>
              <w:autoSpaceDN w:val="0"/>
              <w:spacing w:before="53" w:after="0" w:line="246" w:lineRule="exact"/>
              <w:ind w:firstLine="560"/>
              <w:jc w:val="both"/>
              <w:rPr>
                <w:sz w:val="18"/>
                <w:szCs w:val="18"/>
              </w:rPr>
            </w:pPr>
            <w:r>
              <w:rPr>
                <w:rFonts w:hint="eastAsia" w:ascii="宋体" w:hAnsi="宋体" w:eastAsia="宋体"/>
                <w:color w:val="000000"/>
                <w:sz w:val="18"/>
                <w:szCs w:val="18"/>
              </w:rPr>
              <w:t>（三）拆除人民防空工程后拒不补建或者拒不补偿的；</w:t>
            </w:r>
          </w:p>
        </w:tc>
      </w:tr>
      <w:tr w14:paraId="308F13B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63F7ED8">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处罚种类</w:t>
            </w:r>
          </w:p>
        </w:tc>
        <w:tc>
          <w:tcPr>
            <w:tcW w:w="12840" w:type="dxa"/>
            <w:gridSpan w:val="3"/>
            <w:tcBorders>
              <w:top w:val="single" w:color="000000" w:sz="4" w:space="0"/>
              <w:left w:val="single" w:color="000000" w:sz="4" w:space="0"/>
              <w:bottom w:val="single" w:color="000000" w:sz="4" w:space="0"/>
              <w:right w:val="single" w:color="000000" w:sz="4" w:space="0"/>
            </w:tcBorders>
            <w:vAlign w:val="top"/>
          </w:tcPr>
          <w:p w14:paraId="60D920FC">
            <w:pPr>
              <w:wordWrap w:val="0"/>
              <w:autoSpaceDE w:val="0"/>
              <w:autoSpaceDN w:val="0"/>
              <w:spacing w:before="33" w:after="0" w:line="246" w:lineRule="exact"/>
              <w:ind w:firstLine="80"/>
              <w:jc w:val="both"/>
              <w:rPr>
                <w:sz w:val="18"/>
                <w:szCs w:val="18"/>
              </w:rPr>
            </w:pPr>
            <w:r>
              <w:rPr>
                <w:rFonts w:hint="eastAsia" w:ascii="宋体" w:hAnsi="宋体" w:eastAsia="宋体"/>
                <w:color w:val="000000"/>
                <w:sz w:val="18"/>
                <w:szCs w:val="18"/>
              </w:rPr>
              <w:t>警告、罚款</w:t>
            </w:r>
          </w:p>
        </w:tc>
      </w:tr>
      <w:tr w14:paraId="3587D12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4040" w:type="dxa"/>
            <w:gridSpan w:val="4"/>
            <w:tcBorders>
              <w:top w:val="single" w:color="000000" w:sz="4" w:space="0"/>
              <w:left w:val="single" w:color="000000" w:sz="4" w:space="0"/>
              <w:bottom w:val="single" w:color="000000" w:sz="4" w:space="0"/>
              <w:right w:val="single" w:color="000000" w:sz="4" w:space="0"/>
            </w:tcBorders>
            <w:vAlign w:val="top"/>
          </w:tcPr>
          <w:p w14:paraId="3B1D8427">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自由裁量基准</w:t>
            </w:r>
          </w:p>
        </w:tc>
      </w:tr>
      <w:tr w14:paraId="38E99B8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2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10957A04">
            <w:pPr>
              <w:wordWrap w:val="0"/>
              <w:autoSpaceDE w:val="0"/>
              <w:autoSpaceDN w:val="0"/>
              <w:spacing w:before="0" w:after="0" w:line="246" w:lineRule="exact"/>
              <w:ind w:firstLine="0"/>
              <w:jc w:val="both"/>
              <w:rPr>
                <w:rFonts w:hint="eastAsia" w:ascii="宋体" w:hAnsi="宋体" w:eastAsia="宋体"/>
                <w:color w:val="000000"/>
                <w:sz w:val="18"/>
                <w:szCs w:val="18"/>
              </w:rPr>
            </w:pPr>
          </w:p>
          <w:p w14:paraId="10A733C0">
            <w:pPr>
              <w:wordWrap w:val="0"/>
              <w:autoSpaceDE w:val="0"/>
              <w:autoSpaceDN w:val="0"/>
              <w:spacing w:before="0" w:after="0" w:line="246" w:lineRule="exact"/>
              <w:ind w:firstLine="0"/>
              <w:jc w:val="both"/>
              <w:rPr>
                <w:rFonts w:hint="eastAsia" w:ascii="宋体" w:hAnsi="宋体" w:eastAsia="宋体"/>
                <w:color w:val="000000"/>
                <w:sz w:val="18"/>
                <w:szCs w:val="18"/>
              </w:rPr>
            </w:pPr>
          </w:p>
          <w:p w14:paraId="5A00C1B1">
            <w:pPr>
              <w:wordWrap w:val="0"/>
              <w:autoSpaceDE w:val="0"/>
              <w:autoSpaceDN w:val="0"/>
              <w:spacing w:before="0" w:after="0" w:line="246" w:lineRule="exact"/>
              <w:ind w:firstLine="0"/>
              <w:jc w:val="both"/>
              <w:rPr>
                <w:rFonts w:hint="eastAsia" w:ascii="宋体" w:hAnsi="宋体" w:eastAsia="宋体"/>
                <w:color w:val="000000"/>
                <w:sz w:val="18"/>
                <w:szCs w:val="18"/>
              </w:rPr>
            </w:pPr>
          </w:p>
          <w:p w14:paraId="21F448BD">
            <w:pPr>
              <w:wordWrap w:val="0"/>
              <w:autoSpaceDE w:val="0"/>
              <w:autoSpaceDN w:val="0"/>
              <w:spacing w:before="160" w:after="0" w:line="246" w:lineRule="exact"/>
              <w:ind w:firstLine="220"/>
              <w:jc w:val="both"/>
              <w:rPr>
                <w:sz w:val="18"/>
                <w:szCs w:val="18"/>
              </w:rPr>
            </w:pPr>
            <w:r>
              <w:rPr>
                <w:rFonts w:hint="eastAsia" w:ascii="宋体" w:hAnsi="宋体" w:eastAsia="宋体"/>
                <w:color w:val="000000"/>
                <w:sz w:val="18"/>
                <w:szCs w:val="18"/>
              </w:rPr>
              <w:t>情形描述</w:t>
            </w:r>
          </w:p>
        </w:tc>
        <w:tc>
          <w:tcPr>
            <w:tcW w:w="6040" w:type="dxa"/>
            <w:tcBorders>
              <w:top w:val="single" w:color="000000" w:sz="4" w:space="0"/>
              <w:left w:val="single" w:color="000000" w:sz="4" w:space="0"/>
              <w:bottom w:val="single" w:color="000000" w:sz="4" w:space="0"/>
              <w:right w:val="single" w:color="000000" w:sz="4" w:space="0"/>
            </w:tcBorders>
            <w:vAlign w:val="top"/>
          </w:tcPr>
          <w:p w14:paraId="61D08414">
            <w:pPr>
              <w:wordWrap w:val="0"/>
              <w:autoSpaceDE w:val="0"/>
              <w:autoSpaceDN w:val="0"/>
              <w:spacing w:before="0" w:after="0" w:line="240" w:lineRule="exact"/>
              <w:ind w:left="80" w:right="40" w:firstLine="0"/>
              <w:jc w:val="both"/>
              <w:rPr>
                <w:sz w:val="18"/>
                <w:szCs w:val="18"/>
              </w:rPr>
            </w:pPr>
            <w:r>
              <w:rPr>
                <w:rFonts w:hint="eastAsia" w:ascii="宋体" w:hAnsi="宋体" w:eastAsia="宋体"/>
                <w:color w:val="000000"/>
                <w:sz w:val="18"/>
                <w:szCs w:val="18"/>
              </w:rPr>
              <w:t>擅自拆除单个人防工程面积</w:t>
            </w:r>
            <w:r>
              <w:rPr>
                <w:rFonts w:hint="eastAsia" w:ascii="Calibri" w:hAnsi="Calibri" w:eastAsia="Calibri"/>
                <w:color w:val="000000"/>
                <w:sz w:val="18"/>
                <w:szCs w:val="18"/>
              </w:rPr>
              <w:t>300</w:t>
            </w:r>
            <w:r>
              <w:rPr>
                <w:rFonts w:hint="eastAsia" w:ascii="宋体" w:hAnsi="宋体" w:eastAsia="宋体"/>
                <w:color w:val="000000"/>
                <w:sz w:val="18"/>
                <w:szCs w:val="18"/>
              </w:rPr>
              <w:t>平方米以下，拒不补建或拒不补偿的</w:t>
            </w:r>
          </w:p>
        </w:tc>
        <w:tc>
          <w:tcPr>
            <w:tcW w:w="1060" w:type="dxa"/>
            <w:vMerge w:val="restart"/>
            <w:tcBorders>
              <w:top w:val="single" w:color="000000" w:sz="4" w:space="0"/>
              <w:left w:val="single" w:color="000000" w:sz="4" w:space="0"/>
              <w:bottom w:val="single" w:color="000000" w:sz="4" w:space="0"/>
              <w:right w:val="single" w:color="000000" w:sz="4" w:space="0"/>
            </w:tcBorders>
            <w:vAlign w:val="top"/>
          </w:tcPr>
          <w:p w14:paraId="1320BF90">
            <w:pPr>
              <w:wordWrap w:val="0"/>
              <w:autoSpaceDE w:val="0"/>
              <w:autoSpaceDN w:val="0"/>
              <w:spacing w:before="0" w:after="0" w:line="246" w:lineRule="exact"/>
              <w:ind w:firstLine="0"/>
              <w:jc w:val="both"/>
              <w:rPr>
                <w:rFonts w:hint="eastAsia" w:ascii="宋体" w:hAnsi="宋体" w:eastAsia="宋体"/>
                <w:color w:val="000000"/>
                <w:sz w:val="18"/>
                <w:szCs w:val="18"/>
              </w:rPr>
            </w:pPr>
          </w:p>
          <w:p w14:paraId="77F97388">
            <w:pPr>
              <w:wordWrap w:val="0"/>
              <w:autoSpaceDE w:val="0"/>
              <w:autoSpaceDN w:val="0"/>
              <w:spacing w:before="0" w:after="0" w:line="246" w:lineRule="exact"/>
              <w:ind w:firstLine="0"/>
              <w:jc w:val="both"/>
              <w:rPr>
                <w:rFonts w:hint="eastAsia" w:ascii="宋体" w:hAnsi="宋体" w:eastAsia="宋体"/>
                <w:color w:val="000000"/>
                <w:sz w:val="18"/>
                <w:szCs w:val="18"/>
              </w:rPr>
            </w:pPr>
          </w:p>
          <w:p w14:paraId="52F6A4E9">
            <w:pPr>
              <w:wordWrap w:val="0"/>
              <w:autoSpaceDE w:val="0"/>
              <w:autoSpaceDN w:val="0"/>
              <w:spacing w:before="0" w:after="0" w:line="246" w:lineRule="exact"/>
              <w:ind w:firstLine="0"/>
              <w:jc w:val="both"/>
              <w:rPr>
                <w:rFonts w:hint="eastAsia" w:ascii="宋体" w:hAnsi="宋体" w:eastAsia="宋体"/>
                <w:color w:val="000000"/>
                <w:sz w:val="18"/>
                <w:szCs w:val="18"/>
              </w:rPr>
            </w:pPr>
          </w:p>
          <w:p w14:paraId="62441534">
            <w:pPr>
              <w:wordWrap w:val="0"/>
              <w:autoSpaceDE w:val="0"/>
              <w:autoSpaceDN w:val="0"/>
              <w:spacing w:before="140" w:after="0" w:line="246" w:lineRule="exact"/>
              <w:jc w:val="center"/>
              <w:rPr>
                <w:sz w:val="18"/>
                <w:szCs w:val="18"/>
              </w:rPr>
            </w:pPr>
            <w:r>
              <w:rPr>
                <w:rFonts w:hint="eastAsia" w:ascii="宋体" w:hAnsi="宋体" w:eastAsia="宋体"/>
                <w:color w:val="000000"/>
                <w:sz w:val="18"/>
                <w:szCs w:val="18"/>
              </w:rPr>
              <w:t>裁量幅度</w:t>
            </w:r>
          </w:p>
        </w:tc>
        <w:tc>
          <w:tcPr>
            <w:tcW w:w="5740" w:type="dxa"/>
            <w:tcBorders>
              <w:top w:val="single" w:color="000000" w:sz="4" w:space="0"/>
              <w:left w:val="single" w:color="000000" w:sz="4" w:space="0"/>
              <w:bottom w:val="single" w:color="000000" w:sz="4" w:space="0"/>
              <w:right w:val="single" w:color="000000" w:sz="4" w:space="0"/>
            </w:tcBorders>
            <w:vAlign w:val="top"/>
          </w:tcPr>
          <w:p w14:paraId="74352C3E">
            <w:pPr>
              <w:wordWrap w:val="0"/>
              <w:autoSpaceDE w:val="0"/>
              <w:autoSpaceDN w:val="0"/>
              <w:spacing w:before="0" w:after="0" w:line="240" w:lineRule="exact"/>
              <w:ind w:left="120" w:right="60" w:firstLine="2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1000</w:t>
            </w:r>
            <w:r>
              <w:rPr>
                <w:rFonts w:hint="eastAsia" w:ascii="宋体" w:hAnsi="宋体" w:eastAsia="宋体"/>
                <w:color w:val="000000"/>
                <w:sz w:val="18"/>
                <w:szCs w:val="18"/>
              </w:rPr>
              <w:t>元以上</w:t>
            </w:r>
            <w:r>
              <w:rPr>
                <w:rFonts w:hint="eastAsia" w:ascii="Calibri" w:hAnsi="Calibri" w:eastAsia="Calibri"/>
                <w:color w:val="000000"/>
                <w:sz w:val="18"/>
                <w:szCs w:val="18"/>
              </w:rPr>
              <w:t>2000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r w14:paraId="76D4083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5434EE31">
            <w:pPr>
              <w:rPr>
                <w:sz w:val="18"/>
                <w:szCs w:val="18"/>
              </w:rPr>
            </w:pPr>
          </w:p>
        </w:tc>
        <w:tc>
          <w:tcPr>
            <w:tcW w:w="6040" w:type="dxa"/>
            <w:tcBorders>
              <w:top w:val="single" w:color="000000" w:sz="4" w:space="0"/>
              <w:left w:val="single" w:color="000000" w:sz="4" w:space="0"/>
              <w:bottom w:val="single" w:color="000000" w:sz="4" w:space="0"/>
              <w:right w:val="single" w:color="000000" w:sz="4" w:space="0"/>
            </w:tcBorders>
            <w:vAlign w:val="top"/>
          </w:tcPr>
          <w:p w14:paraId="4E00E6A3">
            <w:pPr>
              <w:wordWrap w:val="0"/>
              <w:autoSpaceDE w:val="0"/>
              <w:autoSpaceDN w:val="0"/>
              <w:spacing w:before="40" w:after="0" w:line="246" w:lineRule="exact"/>
              <w:ind w:left="100" w:right="20" w:firstLine="0"/>
              <w:jc w:val="both"/>
              <w:rPr>
                <w:sz w:val="18"/>
                <w:szCs w:val="18"/>
              </w:rPr>
            </w:pPr>
            <w:r>
              <w:rPr>
                <w:rFonts w:hint="eastAsia" w:ascii="宋体" w:hAnsi="宋体" w:eastAsia="宋体"/>
                <w:color w:val="000000"/>
                <w:sz w:val="18"/>
                <w:szCs w:val="18"/>
              </w:rPr>
              <w:t>擅自拆除单个人防工程面积</w:t>
            </w:r>
            <w:r>
              <w:rPr>
                <w:rFonts w:hint="eastAsia" w:ascii="Calibri" w:hAnsi="Calibri" w:eastAsia="Calibri"/>
                <w:color w:val="000000"/>
                <w:sz w:val="18"/>
                <w:szCs w:val="18"/>
              </w:rPr>
              <w:t>300</w:t>
            </w:r>
            <w:r>
              <w:rPr>
                <w:rFonts w:hint="eastAsia" w:ascii="宋体" w:hAnsi="宋体" w:eastAsia="宋体"/>
                <w:color w:val="000000"/>
                <w:sz w:val="18"/>
                <w:szCs w:val="18"/>
              </w:rPr>
              <w:t>平方米以上</w:t>
            </w:r>
            <w:r>
              <w:rPr>
                <w:rFonts w:hint="eastAsia" w:ascii="Calibri" w:hAnsi="Calibri" w:eastAsia="Calibri"/>
                <w:color w:val="000000"/>
                <w:sz w:val="18"/>
                <w:szCs w:val="18"/>
              </w:rPr>
              <w:t>800</w:t>
            </w:r>
            <w:r>
              <w:rPr>
                <w:rFonts w:hint="eastAsia" w:ascii="宋体" w:hAnsi="宋体" w:eastAsia="宋体"/>
                <w:color w:val="000000"/>
                <w:sz w:val="18"/>
                <w:szCs w:val="18"/>
              </w:rPr>
              <w:t>平方米以下，拒不补建或拒不补偿的</w:t>
            </w:r>
          </w:p>
        </w:tc>
        <w:tc>
          <w:tcPr>
            <w:tcW w:w="1060" w:type="dxa"/>
            <w:vMerge w:val="continue"/>
            <w:tcBorders>
              <w:top w:val="single" w:color="000000" w:sz="4" w:space="0"/>
              <w:left w:val="single" w:color="000000" w:sz="4" w:space="0"/>
              <w:bottom w:val="single" w:color="000000" w:sz="4" w:space="0"/>
              <w:right w:val="single" w:color="000000" w:sz="4" w:space="0"/>
            </w:tcBorders>
          </w:tcPr>
          <w:p w14:paraId="7CA40DED">
            <w:pPr>
              <w:rPr>
                <w:sz w:val="18"/>
                <w:szCs w:val="18"/>
              </w:rPr>
            </w:pPr>
          </w:p>
        </w:tc>
        <w:tc>
          <w:tcPr>
            <w:tcW w:w="5740" w:type="dxa"/>
            <w:tcBorders>
              <w:top w:val="single" w:color="000000" w:sz="4" w:space="0"/>
              <w:left w:val="single" w:color="000000" w:sz="4" w:space="0"/>
              <w:bottom w:val="single" w:color="000000" w:sz="4" w:space="0"/>
              <w:right w:val="single" w:color="000000" w:sz="4" w:space="0"/>
            </w:tcBorders>
            <w:vAlign w:val="top"/>
          </w:tcPr>
          <w:p w14:paraId="40E19460">
            <w:pPr>
              <w:wordWrap w:val="0"/>
              <w:autoSpaceDE w:val="0"/>
              <w:autoSpaceDN w:val="0"/>
              <w:spacing w:before="27" w:after="0" w:line="246" w:lineRule="exact"/>
              <w:ind w:left="120" w:right="4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2000</w:t>
            </w:r>
            <w:r>
              <w:rPr>
                <w:rFonts w:hint="eastAsia" w:ascii="宋体" w:hAnsi="宋体" w:eastAsia="宋体"/>
                <w:color w:val="000000"/>
                <w:sz w:val="18"/>
                <w:szCs w:val="18"/>
              </w:rPr>
              <w:t>元以上</w:t>
            </w:r>
            <w:r>
              <w:rPr>
                <w:rFonts w:hint="eastAsia" w:ascii="Calibri" w:hAnsi="Calibri" w:eastAsia="Calibri"/>
                <w:color w:val="000000"/>
                <w:sz w:val="18"/>
                <w:szCs w:val="18"/>
              </w:rPr>
              <w:t>4000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4</w:t>
            </w:r>
            <w:r>
              <w:rPr>
                <w:rFonts w:hint="eastAsia" w:ascii="宋体" w:hAnsi="宋体" w:eastAsia="宋体"/>
                <w:color w:val="000000"/>
                <w:sz w:val="18"/>
                <w:szCs w:val="18"/>
              </w:rPr>
              <w:t>万元以下罚款</w:t>
            </w:r>
          </w:p>
        </w:tc>
      </w:tr>
      <w:tr w14:paraId="2C8B285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84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0BC7B9BA">
            <w:pPr>
              <w:rPr>
                <w:sz w:val="18"/>
                <w:szCs w:val="18"/>
              </w:rPr>
            </w:pPr>
          </w:p>
        </w:tc>
        <w:tc>
          <w:tcPr>
            <w:tcW w:w="6040" w:type="dxa"/>
            <w:tcBorders>
              <w:top w:val="single" w:color="000000" w:sz="4" w:space="0"/>
              <w:left w:val="single" w:color="000000" w:sz="4" w:space="0"/>
              <w:bottom w:val="single" w:color="000000" w:sz="4" w:space="0"/>
              <w:right w:val="single" w:color="000000" w:sz="4" w:space="0"/>
            </w:tcBorders>
            <w:vAlign w:val="top"/>
          </w:tcPr>
          <w:p w14:paraId="4BDDEAAE">
            <w:pPr>
              <w:wordWrap w:val="0"/>
              <w:autoSpaceDE w:val="0"/>
              <w:autoSpaceDN w:val="0"/>
              <w:spacing w:before="163" w:after="0" w:line="246" w:lineRule="exact"/>
              <w:ind w:left="60" w:firstLine="20"/>
              <w:jc w:val="both"/>
              <w:rPr>
                <w:sz w:val="18"/>
                <w:szCs w:val="18"/>
              </w:rPr>
            </w:pPr>
            <w:r>
              <w:rPr>
                <w:rFonts w:hint="eastAsia" w:ascii="宋体" w:hAnsi="宋体" w:eastAsia="宋体"/>
                <w:color w:val="000000"/>
                <w:sz w:val="18"/>
                <w:szCs w:val="18"/>
              </w:rPr>
              <w:t>擅自拆除单个人防工程面积</w:t>
            </w:r>
            <w:r>
              <w:rPr>
                <w:rFonts w:hint="eastAsia" w:ascii="Calibri" w:hAnsi="Calibri" w:eastAsia="Calibri"/>
                <w:color w:val="000000"/>
                <w:sz w:val="18"/>
                <w:szCs w:val="18"/>
              </w:rPr>
              <w:t>800</w:t>
            </w:r>
            <w:r>
              <w:rPr>
                <w:rFonts w:hint="eastAsia" w:ascii="宋体" w:hAnsi="宋体" w:eastAsia="宋体"/>
                <w:color w:val="000000"/>
                <w:sz w:val="18"/>
                <w:szCs w:val="18"/>
              </w:rPr>
              <w:t>平方米以上，拒不补建或拒不补偿的擅自拆除重要的指挥通信等工程，拒不补建或拒不补偿的</w:t>
            </w:r>
          </w:p>
        </w:tc>
        <w:tc>
          <w:tcPr>
            <w:tcW w:w="1060" w:type="dxa"/>
            <w:vMerge w:val="continue"/>
            <w:tcBorders>
              <w:top w:val="single" w:color="000000" w:sz="4" w:space="0"/>
              <w:left w:val="single" w:color="000000" w:sz="4" w:space="0"/>
              <w:bottom w:val="single" w:color="000000" w:sz="4" w:space="0"/>
              <w:right w:val="single" w:color="000000" w:sz="4" w:space="0"/>
            </w:tcBorders>
          </w:tcPr>
          <w:p w14:paraId="230339A9">
            <w:pPr>
              <w:rPr>
                <w:sz w:val="18"/>
                <w:szCs w:val="18"/>
              </w:rPr>
            </w:pPr>
          </w:p>
        </w:tc>
        <w:tc>
          <w:tcPr>
            <w:tcW w:w="5740" w:type="dxa"/>
            <w:tcBorders>
              <w:top w:val="single" w:color="000000" w:sz="4" w:space="0"/>
              <w:left w:val="single" w:color="000000" w:sz="4" w:space="0"/>
              <w:bottom w:val="single" w:color="000000" w:sz="4" w:space="0"/>
              <w:right w:val="single" w:color="000000" w:sz="4" w:space="0"/>
            </w:tcBorders>
            <w:vAlign w:val="top"/>
          </w:tcPr>
          <w:p w14:paraId="105B0D00">
            <w:pPr>
              <w:wordWrap w:val="0"/>
              <w:autoSpaceDE w:val="0"/>
              <w:autoSpaceDN w:val="0"/>
              <w:spacing w:before="160" w:after="0" w:line="246" w:lineRule="exact"/>
              <w:ind w:left="140" w:right="8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4000</w:t>
            </w:r>
            <w:r>
              <w:rPr>
                <w:rFonts w:hint="eastAsia" w:ascii="宋体" w:hAnsi="宋体" w:eastAsia="宋体"/>
                <w:color w:val="000000"/>
                <w:sz w:val="18"/>
                <w:szCs w:val="18"/>
              </w:rPr>
              <w:t>元以上</w:t>
            </w:r>
            <w:r>
              <w:rPr>
                <w:rFonts w:hint="eastAsia" w:ascii="Calibri" w:hAnsi="Calibri" w:eastAsia="Calibri"/>
                <w:color w:val="000000"/>
                <w:sz w:val="18"/>
                <w:szCs w:val="18"/>
              </w:rPr>
              <w:t>5000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4</w:t>
            </w:r>
            <w:r>
              <w:rPr>
                <w:rFonts w:hint="eastAsia" w:ascii="宋体" w:hAnsi="宋体" w:eastAsia="宋体"/>
                <w:color w:val="000000"/>
                <w:sz w:val="18"/>
                <w:szCs w:val="18"/>
              </w:rPr>
              <w:t>万元以上</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bl>
    <w:p w14:paraId="2A6DBA0D">
      <w:pPr>
        <w:rPr>
          <w:sz w:val="18"/>
          <w:szCs w:val="18"/>
        </w:rPr>
      </w:pPr>
    </w:p>
    <w:tbl>
      <w:tblPr>
        <w:tblStyle w:val="15"/>
        <w:tblW w:w="0" w:type="auto"/>
        <w:tblInd w:w="20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202"/>
        <w:gridCol w:w="5820"/>
        <w:gridCol w:w="1122"/>
        <w:gridCol w:w="5624"/>
      </w:tblGrid>
      <w:tr w14:paraId="7B9F24D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2CBFFD1D">
            <w:pPr>
              <w:wordWrap w:val="0"/>
              <w:autoSpaceDE w:val="0"/>
              <w:autoSpaceDN w:val="0"/>
              <w:spacing w:before="0" w:after="0" w:line="220" w:lineRule="exact"/>
              <w:jc w:val="center"/>
              <w:rPr>
                <w:sz w:val="18"/>
                <w:szCs w:val="18"/>
              </w:rPr>
            </w:pPr>
            <w:r>
              <w:rPr>
                <w:rFonts w:hint="eastAsia" w:ascii="宋体" w:hAnsi="宋体" w:eastAsia="宋体"/>
                <w:color w:val="000000"/>
                <w:sz w:val="18"/>
                <w:szCs w:val="18"/>
              </w:rPr>
              <w:t>序号</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3548FC82">
            <w:pPr>
              <w:wordWrap w:val="0"/>
              <w:autoSpaceDE w:val="0"/>
              <w:autoSpaceDN w:val="0"/>
              <w:spacing w:before="0" w:after="0" w:line="220" w:lineRule="exact"/>
              <w:ind w:firstLine="60"/>
              <w:jc w:val="both"/>
              <w:rPr>
                <w:sz w:val="18"/>
                <w:szCs w:val="18"/>
              </w:rPr>
            </w:pPr>
            <w:r>
              <w:rPr>
                <w:rFonts w:hint="eastAsia" w:ascii="Calibri" w:hAnsi="Calibri" w:eastAsia="Calibri"/>
                <w:color w:val="000000"/>
                <w:sz w:val="18"/>
                <w:szCs w:val="18"/>
              </w:rPr>
              <w:t>12</w:t>
            </w:r>
          </w:p>
        </w:tc>
      </w:tr>
      <w:tr w14:paraId="4508253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766EAB81">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编号</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78D58C90">
            <w:pPr>
              <w:wordWrap w:val="0"/>
              <w:autoSpaceDE w:val="0"/>
              <w:autoSpaceDN w:val="0"/>
              <w:spacing w:before="0" w:after="0" w:line="240" w:lineRule="exact"/>
              <w:ind w:firstLine="40"/>
              <w:jc w:val="both"/>
              <w:rPr>
                <w:sz w:val="18"/>
                <w:szCs w:val="18"/>
              </w:rPr>
            </w:pPr>
            <w:r>
              <w:rPr>
                <w:rFonts w:hint="eastAsia" w:ascii="Calibri" w:hAnsi="Calibri" w:eastAsia="Calibri"/>
                <w:color w:val="000000"/>
                <w:sz w:val="18"/>
                <w:szCs w:val="18"/>
              </w:rPr>
              <w:t>320280013000</w:t>
            </w:r>
          </w:p>
        </w:tc>
      </w:tr>
      <w:tr w14:paraId="5F6314A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11641225">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行为名称</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3DA42213">
            <w:pPr>
              <w:wordWrap w:val="0"/>
              <w:autoSpaceDE w:val="0"/>
              <w:autoSpaceDN w:val="0"/>
              <w:spacing w:before="13" w:after="0" w:line="246" w:lineRule="exact"/>
              <w:ind w:firstLine="60"/>
              <w:jc w:val="both"/>
              <w:rPr>
                <w:sz w:val="18"/>
                <w:szCs w:val="18"/>
              </w:rPr>
            </w:pPr>
            <w:r>
              <w:rPr>
                <w:rFonts w:hint="eastAsia" w:ascii="宋体" w:hAnsi="宋体" w:eastAsia="宋体"/>
                <w:color w:val="000000"/>
                <w:sz w:val="18"/>
                <w:szCs w:val="18"/>
              </w:rPr>
              <w:t>对人民防空工程建设单位任意压缩合理工期的处罚</w:t>
            </w:r>
          </w:p>
        </w:tc>
      </w:tr>
      <w:tr w14:paraId="44D25CC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2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6A28AC74">
            <w:pPr>
              <w:wordWrap w:val="0"/>
              <w:autoSpaceDE w:val="0"/>
              <w:autoSpaceDN w:val="0"/>
              <w:spacing w:before="0" w:after="0" w:line="246" w:lineRule="exact"/>
              <w:ind w:firstLine="0"/>
              <w:jc w:val="both"/>
              <w:rPr>
                <w:rFonts w:hint="eastAsia" w:ascii="宋体" w:hAnsi="宋体" w:eastAsia="宋体"/>
                <w:color w:val="000000"/>
                <w:sz w:val="18"/>
                <w:szCs w:val="18"/>
              </w:rPr>
            </w:pPr>
          </w:p>
          <w:p w14:paraId="453EA7C9">
            <w:pPr>
              <w:wordWrap w:val="0"/>
              <w:autoSpaceDE w:val="0"/>
              <w:autoSpaceDN w:val="0"/>
              <w:spacing w:before="0" w:after="0" w:line="246" w:lineRule="exact"/>
              <w:ind w:firstLine="0"/>
              <w:jc w:val="both"/>
              <w:rPr>
                <w:rFonts w:hint="eastAsia" w:ascii="宋体" w:hAnsi="宋体" w:eastAsia="宋体"/>
                <w:color w:val="000000"/>
                <w:sz w:val="18"/>
                <w:szCs w:val="18"/>
              </w:rPr>
            </w:pPr>
          </w:p>
          <w:p w14:paraId="0947F13B">
            <w:pPr>
              <w:wordWrap w:val="0"/>
              <w:autoSpaceDE w:val="0"/>
              <w:autoSpaceDN w:val="0"/>
              <w:spacing w:before="0" w:after="0" w:line="246" w:lineRule="exact"/>
              <w:ind w:firstLine="0"/>
              <w:jc w:val="both"/>
              <w:rPr>
                <w:rFonts w:hint="eastAsia" w:ascii="宋体" w:hAnsi="宋体" w:eastAsia="宋体"/>
                <w:color w:val="000000"/>
                <w:sz w:val="18"/>
                <w:szCs w:val="18"/>
              </w:rPr>
            </w:pPr>
          </w:p>
          <w:p w14:paraId="5B74E246">
            <w:pPr>
              <w:wordWrap w:val="0"/>
              <w:autoSpaceDE w:val="0"/>
              <w:autoSpaceDN w:val="0"/>
              <w:spacing w:before="0" w:after="0" w:line="246" w:lineRule="exact"/>
              <w:ind w:firstLine="0"/>
              <w:jc w:val="both"/>
              <w:rPr>
                <w:rFonts w:hint="eastAsia" w:ascii="宋体" w:hAnsi="宋体" w:eastAsia="宋体"/>
                <w:color w:val="000000"/>
                <w:sz w:val="18"/>
                <w:szCs w:val="18"/>
              </w:rPr>
            </w:pPr>
          </w:p>
          <w:p w14:paraId="76310443">
            <w:pPr>
              <w:wordWrap w:val="0"/>
              <w:autoSpaceDE w:val="0"/>
              <w:autoSpaceDN w:val="0"/>
              <w:spacing w:before="0" w:after="0" w:line="246" w:lineRule="exact"/>
              <w:ind w:firstLine="0"/>
              <w:jc w:val="both"/>
              <w:rPr>
                <w:rFonts w:hint="eastAsia" w:ascii="宋体" w:hAnsi="宋体" w:eastAsia="宋体"/>
                <w:color w:val="000000"/>
                <w:sz w:val="18"/>
                <w:szCs w:val="18"/>
              </w:rPr>
            </w:pPr>
          </w:p>
          <w:p w14:paraId="44D6918A">
            <w:pPr>
              <w:wordWrap w:val="0"/>
              <w:autoSpaceDE w:val="0"/>
              <w:autoSpaceDN w:val="0"/>
              <w:spacing w:before="0" w:after="0" w:line="246" w:lineRule="exact"/>
              <w:ind w:firstLine="0"/>
              <w:jc w:val="both"/>
              <w:rPr>
                <w:rFonts w:hint="eastAsia" w:ascii="宋体" w:hAnsi="宋体" w:eastAsia="宋体"/>
                <w:color w:val="000000"/>
                <w:sz w:val="18"/>
                <w:szCs w:val="18"/>
              </w:rPr>
            </w:pPr>
          </w:p>
          <w:p w14:paraId="5CEEFE8E">
            <w:pPr>
              <w:wordWrap w:val="0"/>
              <w:autoSpaceDE w:val="0"/>
              <w:autoSpaceDN w:val="0"/>
              <w:spacing w:before="61" w:after="0" w:line="246" w:lineRule="exact"/>
              <w:ind w:firstLine="220"/>
              <w:jc w:val="both"/>
              <w:rPr>
                <w:sz w:val="18"/>
                <w:szCs w:val="18"/>
              </w:rPr>
            </w:pPr>
            <w:r>
              <w:rPr>
                <w:rFonts w:hint="eastAsia" w:ascii="宋体" w:hAnsi="宋体" w:eastAsia="宋体"/>
                <w:color w:val="000000"/>
                <w:sz w:val="18"/>
                <w:szCs w:val="18"/>
              </w:rPr>
              <w:t>法律依据</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1174E35E">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6E179B4C">
            <w:pPr>
              <w:wordWrap w:val="0"/>
              <w:autoSpaceDE w:val="0"/>
              <w:autoSpaceDN w:val="0"/>
              <w:spacing w:before="73" w:after="0" w:line="246" w:lineRule="exact"/>
              <w:ind w:firstLine="500"/>
              <w:jc w:val="both"/>
              <w:rPr>
                <w:sz w:val="18"/>
                <w:szCs w:val="18"/>
              </w:rPr>
            </w:pPr>
            <w:r>
              <w:rPr>
                <w:rFonts w:hint="eastAsia" w:ascii="宋体" w:hAnsi="宋体" w:eastAsia="宋体"/>
                <w:color w:val="000000"/>
                <w:sz w:val="18"/>
                <w:szCs w:val="18"/>
              </w:rPr>
              <w:t>第十条第一款 建设工程发包单位不得迫使承包方以低于成本的价格竞标，不得任意压缩合理工期。</w:t>
            </w:r>
          </w:p>
          <w:p w14:paraId="4C1E5B5D">
            <w:pPr>
              <w:wordWrap w:val="0"/>
              <w:autoSpaceDE w:val="0"/>
              <w:autoSpaceDN w:val="0"/>
              <w:spacing w:before="53" w:after="0" w:line="246" w:lineRule="exact"/>
              <w:ind w:firstLine="480"/>
              <w:jc w:val="both"/>
              <w:rPr>
                <w:sz w:val="18"/>
                <w:szCs w:val="18"/>
              </w:rPr>
            </w:pPr>
            <w:r>
              <w:rPr>
                <w:rFonts w:hint="eastAsia" w:ascii="宋体" w:hAnsi="宋体" w:eastAsia="宋体"/>
                <w:color w:val="000000"/>
                <w:sz w:val="18"/>
                <w:szCs w:val="18"/>
              </w:rPr>
              <w:t>第五十六条 违反本条例规定，建设单位有下列行为之一的，责令改正，处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万元以下的罚款：</w:t>
            </w:r>
          </w:p>
          <w:p w14:paraId="2AA2C695">
            <w:pPr>
              <w:wordWrap w:val="0"/>
              <w:autoSpaceDE w:val="0"/>
              <w:autoSpaceDN w:val="0"/>
              <w:spacing w:before="53" w:after="0" w:line="246" w:lineRule="exact"/>
              <w:ind w:firstLine="540"/>
              <w:jc w:val="both"/>
              <w:rPr>
                <w:sz w:val="18"/>
                <w:szCs w:val="18"/>
              </w:rPr>
            </w:pPr>
            <w:r>
              <w:rPr>
                <w:rFonts w:hint="eastAsia" w:ascii="宋体" w:hAnsi="宋体" w:eastAsia="宋体"/>
                <w:color w:val="000000"/>
                <w:sz w:val="18"/>
                <w:szCs w:val="18"/>
              </w:rPr>
              <w:t>（二）任意压缩合理工期的；</w:t>
            </w:r>
          </w:p>
          <w:p w14:paraId="1F60E73B">
            <w:pPr>
              <w:wordWrap w:val="0"/>
              <w:autoSpaceDE w:val="0"/>
              <w:autoSpaceDN w:val="0"/>
              <w:spacing w:before="0" w:after="0" w:line="246" w:lineRule="exact"/>
              <w:ind w:firstLine="0"/>
              <w:jc w:val="both"/>
              <w:rPr>
                <w:rFonts w:hint="eastAsia" w:ascii="宋体" w:hAnsi="宋体" w:eastAsia="宋体"/>
                <w:color w:val="000000"/>
                <w:sz w:val="18"/>
                <w:szCs w:val="18"/>
              </w:rPr>
            </w:pPr>
          </w:p>
          <w:p w14:paraId="3D7B5C31">
            <w:pPr>
              <w:wordWrap w:val="0"/>
              <w:autoSpaceDE w:val="0"/>
              <w:autoSpaceDN w:val="0"/>
              <w:spacing w:before="87" w:after="0" w:line="246" w:lineRule="exact"/>
              <w:ind w:left="100" w:right="6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288C6F04">
            <w:pPr>
              <w:wordWrap w:val="0"/>
              <w:autoSpaceDE w:val="0"/>
              <w:autoSpaceDN w:val="0"/>
              <w:spacing w:before="53" w:after="0" w:line="246" w:lineRule="exact"/>
              <w:ind w:left="80" w:right="4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5DAE369B">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64494BCC">
            <w:pPr>
              <w:wordWrap w:val="0"/>
              <w:autoSpaceDE w:val="0"/>
              <w:autoSpaceDN w:val="0"/>
              <w:spacing w:before="0" w:after="0" w:line="246" w:lineRule="exact"/>
              <w:ind w:left="80" w:right="4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56316A5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119DC5C3">
            <w:pPr>
              <w:wordWrap w:val="0"/>
              <w:autoSpaceDE w:val="0"/>
              <w:autoSpaceDN w:val="0"/>
              <w:spacing w:before="13" w:after="0" w:line="246" w:lineRule="exact"/>
              <w:ind w:firstLine="220"/>
              <w:jc w:val="both"/>
              <w:rPr>
                <w:sz w:val="18"/>
                <w:szCs w:val="18"/>
              </w:rPr>
            </w:pPr>
            <w:r>
              <w:rPr>
                <w:rFonts w:hint="eastAsia" w:ascii="宋体" w:hAnsi="宋体" w:eastAsia="宋体"/>
                <w:color w:val="000000"/>
                <w:sz w:val="18"/>
                <w:szCs w:val="18"/>
              </w:rPr>
              <w:t>处罚种类</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16985723">
            <w:pPr>
              <w:wordWrap w:val="0"/>
              <w:autoSpaceDE w:val="0"/>
              <w:autoSpaceDN w:val="0"/>
              <w:spacing w:before="13" w:after="0" w:line="246" w:lineRule="exact"/>
              <w:ind w:firstLine="80"/>
              <w:jc w:val="both"/>
              <w:rPr>
                <w:sz w:val="18"/>
                <w:szCs w:val="18"/>
              </w:rPr>
            </w:pPr>
            <w:r>
              <w:rPr>
                <w:rFonts w:hint="eastAsia" w:ascii="宋体" w:hAnsi="宋体" w:eastAsia="宋体"/>
                <w:color w:val="000000"/>
                <w:sz w:val="18"/>
                <w:szCs w:val="18"/>
              </w:rPr>
              <w:t>罚款</w:t>
            </w:r>
          </w:p>
        </w:tc>
      </w:tr>
      <w:tr w14:paraId="050FE99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4040" w:type="dxa"/>
            <w:gridSpan w:val="4"/>
            <w:tcBorders>
              <w:top w:val="single" w:color="000000" w:sz="4" w:space="0"/>
              <w:left w:val="single" w:color="000000" w:sz="4" w:space="0"/>
              <w:bottom w:val="single" w:color="000000" w:sz="4" w:space="0"/>
              <w:right w:val="single" w:color="000000" w:sz="4" w:space="0"/>
            </w:tcBorders>
            <w:vAlign w:val="top"/>
          </w:tcPr>
          <w:p w14:paraId="6B6C9251">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自由裁量基准</w:t>
            </w:r>
          </w:p>
        </w:tc>
      </w:tr>
      <w:tr w14:paraId="5FED0B6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220" w:type="dxa"/>
            <w:vMerge w:val="restart"/>
            <w:tcBorders>
              <w:top w:val="single" w:color="000000" w:sz="4" w:space="0"/>
              <w:left w:val="single" w:color="000000" w:sz="4" w:space="0"/>
              <w:bottom w:val="single" w:color="000000" w:sz="4" w:space="0"/>
              <w:right w:val="single" w:color="000000" w:sz="4" w:space="0"/>
            </w:tcBorders>
            <w:vAlign w:val="top"/>
          </w:tcPr>
          <w:p w14:paraId="56B7CE67">
            <w:pPr>
              <w:wordWrap w:val="0"/>
              <w:autoSpaceDE w:val="0"/>
              <w:autoSpaceDN w:val="0"/>
              <w:spacing w:before="0" w:after="0" w:line="246" w:lineRule="exact"/>
              <w:ind w:firstLine="0"/>
              <w:jc w:val="both"/>
              <w:rPr>
                <w:rFonts w:hint="eastAsia" w:ascii="宋体" w:hAnsi="宋体" w:eastAsia="宋体"/>
                <w:color w:val="000000"/>
                <w:sz w:val="18"/>
                <w:szCs w:val="18"/>
              </w:rPr>
            </w:pPr>
          </w:p>
          <w:p w14:paraId="58F8247F">
            <w:pPr>
              <w:wordWrap w:val="0"/>
              <w:autoSpaceDE w:val="0"/>
              <w:autoSpaceDN w:val="0"/>
              <w:spacing w:before="0" w:after="0" w:line="246" w:lineRule="exact"/>
              <w:ind w:firstLine="0"/>
              <w:jc w:val="both"/>
              <w:rPr>
                <w:rFonts w:hint="eastAsia" w:ascii="宋体" w:hAnsi="宋体" w:eastAsia="宋体"/>
                <w:color w:val="000000"/>
                <w:sz w:val="18"/>
                <w:szCs w:val="18"/>
              </w:rPr>
            </w:pPr>
          </w:p>
          <w:p w14:paraId="570EE462">
            <w:pPr>
              <w:wordWrap w:val="0"/>
              <w:autoSpaceDE w:val="0"/>
              <w:autoSpaceDN w:val="0"/>
              <w:spacing w:before="0" w:after="0" w:line="246" w:lineRule="exact"/>
              <w:ind w:firstLine="0"/>
              <w:jc w:val="both"/>
              <w:rPr>
                <w:rFonts w:hint="eastAsia" w:ascii="宋体" w:hAnsi="宋体" w:eastAsia="宋体"/>
                <w:color w:val="000000"/>
                <w:sz w:val="18"/>
                <w:szCs w:val="18"/>
              </w:rPr>
            </w:pPr>
          </w:p>
          <w:p w14:paraId="6D45C603">
            <w:pPr>
              <w:wordWrap w:val="0"/>
              <w:autoSpaceDE w:val="0"/>
              <w:autoSpaceDN w:val="0"/>
              <w:spacing w:before="60" w:after="0" w:line="246" w:lineRule="exact"/>
              <w:jc w:val="center"/>
              <w:rPr>
                <w:sz w:val="18"/>
                <w:szCs w:val="18"/>
              </w:rPr>
            </w:pPr>
            <w:r>
              <w:rPr>
                <w:rFonts w:hint="eastAsia" w:ascii="宋体" w:hAnsi="宋体" w:eastAsia="宋体"/>
                <w:color w:val="000000"/>
                <w:sz w:val="18"/>
                <w:szCs w:val="18"/>
              </w:rPr>
              <w:t>情形描述</w:t>
            </w:r>
          </w:p>
        </w:tc>
        <w:tc>
          <w:tcPr>
            <w:tcW w:w="5940" w:type="dxa"/>
            <w:tcBorders>
              <w:top w:val="single" w:color="000000" w:sz="4" w:space="0"/>
              <w:left w:val="single" w:color="000000" w:sz="4" w:space="0"/>
              <w:bottom w:val="single" w:color="000000" w:sz="4" w:space="0"/>
              <w:right w:val="single" w:color="000000" w:sz="4" w:space="0"/>
            </w:tcBorders>
            <w:vAlign w:val="top"/>
          </w:tcPr>
          <w:p w14:paraId="5C158EA4">
            <w:pPr>
              <w:wordWrap w:val="0"/>
              <w:autoSpaceDE w:val="0"/>
              <w:autoSpaceDN w:val="0"/>
              <w:spacing w:before="200" w:after="0" w:line="246" w:lineRule="exact"/>
              <w:ind w:firstLine="80"/>
              <w:jc w:val="both"/>
              <w:rPr>
                <w:sz w:val="18"/>
                <w:szCs w:val="18"/>
              </w:rPr>
            </w:pPr>
            <w:r>
              <w:rPr>
                <w:rFonts w:hint="eastAsia" w:ascii="宋体" w:hAnsi="宋体" w:eastAsia="宋体"/>
                <w:color w:val="000000"/>
                <w:sz w:val="18"/>
                <w:szCs w:val="18"/>
              </w:rPr>
              <w:t>比合理工期少</w:t>
            </w:r>
            <w:r>
              <w:rPr>
                <w:rFonts w:hint="eastAsia" w:ascii="Calibri" w:hAnsi="Calibri" w:eastAsia="Calibri"/>
                <w:color w:val="000000"/>
                <w:sz w:val="18"/>
                <w:szCs w:val="18"/>
              </w:rPr>
              <w:t>10</w:t>
            </w:r>
            <w:r>
              <w:rPr>
                <w:rFonts w:hint="eastAsia" w:ascii="宋体" w:hAnsi="宋体" w:eastAsia="宋体"/>
                <w:color w:val="000000"/>
                <w:sz w:val="18"/>
                <w:szCs w:val="18"/>
              </w:rPr>
              <w:t>％以下的</w:t>
            </w:r>
          </w:p>
        </w:tc>
        <w:tc>
          <w:tcPr>
            <w:tcW w:w="1140" w:type="dxa"/>
            <w:vMerge w:val="restart"/>
            <w:tcBorders>
              <w:top w:val="single" w:color="000000" w:sz="4" w:space="0"/>
              <w:left w:val="single" w:color="000000" w:sz="4" w:space="0"/>
              <w:bottom w:val="single" w:color="000000" w:sz="4" w:space="0"/>
              <w:right w:val="single" w:color="000000" w:sz="4" w:space="0"/>
            </w:tcBorders>
            <w:vAlign w:val="top"/>
          </w:tcPr>
          <w:p w14:paraId="157F5657">
            <w:pPr>
              <w:wordWrap w:val="0"/>
              <w:autoSpaceDE w:val="0"/>
              <w:autoSpaceDN w:val="0"/>
              <w:spacing w:before="0" w:after="0" w:line="272" w:lineRule="exact"/>
              <w:ind w:firstLine="0"/>
              <w:jc w:val="both"/>
              <w:rPr>
                <w:rFonts w:hint="eastAsia" w:ascii="宋体" w:hAnsi="宋体" w:eastAsia="宋体"/>
                <w:color w:val="000000"/>
                <w:sz w:val="18"/>
                <w:szCs w:val="18"/>
              </w:rPr>
            </w:pPr>
          </w:p>
          <w:p w14:paraId="4EB55227">
            <w:pPr>
              <w:wordWrap w:val="0"/>
              <w:autoSpaceDE w:val="0"/>
              <w:autoSpaceDN w:val="0"/>
              <w:spacing w:before="0" w:after="0" w:line="272" w:lineRule="exact"/>
              <w:ind w:firstLine="0"/>
              <w:jc w:val="both"/>
              <w:rPr>
                <w:rFonts w:hint="eastAsia" w:ascii="宋体" w:hAnsi="宋体" w:eastAsia="宋体"/>
                <w:color w:val="000000"/>
                <w:sz w:val="18"/>
                <w:szCs w:val="18"/>
              </w:rPr>
            </w:pPr>
          </w:p>
          <w:p w14:paraId="149FC0A9">
            <w:pPr>
              <w:wordWrap w:val="0"/>
              <w:autoSpaceDE w:val="0"/>
              <w:autoSpaceDN w:val="0"/>
              <w:spacing w:before="255" w:after="0" w:line="272" w:lineRule="exact"/>
              <w:ind w:firstLine="100"/>
              <w:jc w:val="both"/>
              <w:rPr>
                <w:sz w:val="18"/>
                <w:szCs w:val="18"/>
              </w:rPr>
            </w:pPr>
            <w:r>
              <w:rPr>
                <w:rFonts w:hint="eastAsia" w:ascii="宋体" w:hAnsi="宋体" w:eastAsia="宋体"/>
                <w:color w:val="000000"/>
                <w:sz w:val="18"/>
                <w:szCs w:val="18"/>
              </w:rPr>
              <w:t>裁量幅度</w:t>
            </w:r>
          </w:p>
        </w:tc>
        <w:tc>
          <w:tcPr>
            <w:tcW w:w="5740" w:type="dxa"/>
            <w:tcBorders>
              <w:top w:val="single" w:color="000000" w:sz="4" w:space="0"/>
              <w:left w:val="single" w:color="000000" w:sz="4" w:space="0"/>
              <w:bottom w:val="single" w:color="000000" w:sz="4" w:space="0"/>
              <w:right w:val="single" w:color="000000" w:sz="4" w:space="0"/>
            </w:tcBorders>
            <w:vAlign w:val="top"/>
          </w:tcPr>
          <w:p w14:paraId="0CDF43F6">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万元以下罚款</w:t>
            </w:r>
          </w:p>
          <w:p w14:paraId="406DD4A5">
            <w:pPr>
              <w:wordWrap w:val="0"/>
              <w:autoSpaceDE w:val="0"/>
              <w:autoSpaceDN w:val="0"/>
              <w:spacing w:before="0" w:after="0" w:line="200" w:lineRule="exact"/>
              <w:ind w:firstLine="14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774BB56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220" w:type="dxa"/>
            <w:vMerge w:val="continue"/>
            <w:tcBorders>
              <w:top w:val="single" w:color="000000" w:sz="4" w:space="0"/>
              <w:left w:val="single" w:color="000000" w:sz="4" w:space="0"/>
              <w:bottom w:val="single" w:color="000000" w:sz="4" w:space="0"/>
              <w:right w:val="single" w:color="000000" w:sz="4" w:space="0"/>
            </w:tcBorders>
          </w:tcPr>
          <w:p w14:paraId="61C94A78">
            <w:pPr>
              <w:rPr>
                <w:sz w:val="18"/>
                <w:szCs w:val="18"/>
              </w:rPr>
            </w:pPr>
          </w:p>
        </w:tc>
        <w:tc>
          <w:tcPr>
            <w:tcW w:w="5940" w:type="dxa"/>
            <w:tcBorders>
              <w:top w:val="single" w:color="000000" w:sz="4" w:space="0"/>
              <w:left w:val="single" w:color="000000" w:sz="4" w:space="0"/>
              <w:bottom w:val="single" w:color="000000" w:sz="4" w:space="0"/>
              <w:right w:val="single" w:color="000000" w:sz="4" w:space="0"/>
            </w:tcBorders>
            <w:vAlign w:val="top"/>
          </w:tcPr>
          <w:p w14:paraId="78C9836A">
            <w:pPr>
              <w:wordWrap w:val="0"/>
              <w:autoSpaceDE w:val="0"/>
              <w:autoSpaceDN w:val="0"/>
              <w:spacing w:before="220" w:after="0" w:line="246" w:lineRule="exact"/>
              <w:ind w:firstLine="80"/>
              <w:jc w:val="both"/>
              <w:rPr>
                <w:sz w:val="18"/>
                <w:szCs w:val="18"/>
              </w:rPr>
            </w:pPr>
            <w:r>
              <w:rPr>
                <w:rFonts w:hint="eastAsia" w:ascii="宋体" w:hAnsi="宋体" w:eastAsia="宋体"/>
                <w:color w:val="000000"/>
                <w:sz w:val="18"/>
                <w:szCs w:val="18"/>
              </w:rPr>
              <w:t>比合理工期少</w:t>
            </w:r>
            <w:r>
              <w:rPr>
                <w:rFonts w:hint="eastAsia" w:ascii="Calibri" w:hAnsi="Calibri" w:eastAsia="Calibri"/>
                <w:color w:val="000000"/>
                <w:sz w:val="18"/>
                <w:szCs w:val="18"/>
              </w:rPr>
              <w:t>10</w:t>
            </w:r>
            <w:r>
              <w:rPr>
                <w:rFonts w:hint="eastAsia" w:ascii="宋体" w:hAnsi="宋体" w:eastAsia="宋体"/>
                <w:color w:val="000000"/>
                <w:sz w:val="18"/>
                <w:szCs w:val="18"/>
              </w:rPr>
              <w:t>％以上</w:t>
            </w:r>
            <w:r>
              <w:rPr>
                <w:rFonts w:hint="eastAsia" w:ascii="Calibri" w:hAnsi="Calibri" w:eastAsia="Calibri"/>
                <w:color w:val="000000"/>
                <w:sz w:val="18"/>
                <w:szCs w:val="18"/>
              </w:rPr>
              <w:t>20</w:t>
            </w:r>
            <w:r>
              <w:rPr>
                <w:rFonts w:hint="eastAsia" w:ascii="宋体" w:hAnsi="宋体" w:eastAsia="宋体"/>
                <w:color w:val="000000"/>
                <w:sz w:val="18"/>
                <w:szCs w:val="18"/>
              </w:rPr>
              <w:t>％以下的</w:t>
            </w:r>
          </w:p>
        </w:tc>
        <w:tc>
          <w:tcPr>
            <w:tcW w:w="1140" w:type="dxa"/>
            <w:vMerge w:val="continue"/>
            <w:tcBorders>
              <w:top w:val="single" w:color="000000" w:sz="4" w:space="0"/>
              <w:left w:val="single" w:color="000000" w:sz="4" w:space="0"/>
              <w:bottom w:val="single" w:color="000000" w:sz="4" w:space="0"/>
              <w:right w:val="single" w:color="000000" w:sz="4" w:space="0"/>
            </w:tcBorders>
          </w:tcPr>
          <w:p w14:paraId="2AA61D3B">
            <w:pPr>
              <w:rPr>
                <w:sz w:val="18"/>
                <w:szCs w:val="18"/>
              </w:rPr>
            </w:pPr>
          </w:p>
        </w:tc>
        <w:tc>
          <w:tcPr>
            <w:tcW w:w="5740" w:type="dxa"/>
            <w:tcBorders>
              <w:top w:val="single" w:color="000000" w:sz="4" w:space="0"/>
              <w:left w:val="single" w:color="000000" w:sz="4" w:space="0"/>
              <w:bottom w:val="single" w:color="000000" w:sz="4" w:space="0"/>
              <w:right w:val="single" w:color="000000" w:sz="4" w:space="0"/>
            </w:tcBorders>
            <w:vAlign w:val="top"/>
          </w:tcPr>
          <w:p w14:paraId="7EDBF3D3">
            <w:pPr>
              <w:wordWrap w:val="0"/>
              <w:autoSpaceDE w:val="0"/>
              <w:autoSpaceDN w:val="0"/>
              <w:spacing w:before="93" w:after="0" w:line="246" w:lineRule="exact"/>
              <w:ind w:firstLine="14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30</w:t>
            </w:r>
            <w:r>
              <w:rPr>
                <w:rFonts w:hint="eastAsia" w:ascii="宋体" w:hAnsi="宋体" w:eastAsia="宋体"/>
                <w:color w:val="000000"/>
                <w:sz w:val="18"/>
                <w:szCs w:val="18"/>
              </w:rPr>
              <w:t>万元以上</w:t>
            </w:r>
            <w:r>
              <w:rPr>
                <w:rFonts w:hint="eastAsia" w:ascii="Calibri" w:hAnsi="Calibri" w:eastAsia="Calibri"/>
                <w:color w:val="000000"/>
                <w:sz w:val="18"/>
                <w:szCs w:val="18"/>
              </w:rPr>
              <w:t>40</w:t>
            </w:r>
            <w:r>
              <w:rPr>
                <w:rFonts w:hint="eastAsia" w:ascii="宋体" w:hAnsi="宋体" w:eastAsia="宋体"/>
                <w:color w:val="000000"/>
                <w:sz w:val="18"/>
                <w:szCs w:val="18"/>
              </w:rPr>
              <w:t>万元以下罚款</w:t>
            </w:r>
          </w:p>
          <w:p w14:paraId="74C35F6A">
            <w:pPr>
              <w:wordWrap w:val="0"/>
              <w:autoSpaceDE w:val="0"/>
              <w:autoSpaceDN w:val="0"/>
              <w:spacing w:before="0" w:after="0" w:line="240" w:lineRule="exact"/>
              <w:ind w:firstLine="14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700BFA6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220" w:type="dxa"/>
            <w:vMerge w:val="continue"/>
            <w:tcBorders>
              <w:top w:val="single" w:color="000000" w:sz="4" w:space="0"/>
              <w:left w:val="single" w:color="000000" w:sz="4" w:space="0"/>
              <w:bottom w:val="single" w:color="000000" w:sz="4" w:space="0"/>
              <w:right w:val="single" w:color="000000" w:sz="4" w:space="0"/>
            </w:tcBorders>
          </w:tcPr>
          <w:p w14:paraId="7E9B6B10">
            <w:pPr>
              <w:rPr>
                <w:sz w:val="18"/>
                <w:szCs w:val="18"/>
              </w:rPr>
            </w:pPr>
          </w:p>
        </w:tc>
        <w:tc>
          <w:tcPr>
            <w:tcW w:w="5940" w:type="dxa"/>
            <w:tcBorders>
              <w:top w:val="single" w:color="000000" w:sz="4" w:space="0"/>
              <w:left w:val="single" w:color="000000" w:sz="4" w:space="0"/>
              <w:bottom w:val="single" w:color="000000" w:sz="4" w:space="0"/>
              <w:right w:val="single" w:color="000000" w:sz="4" w:space="0"/>
            </w:tcBorders>
            <w:vAlign w:val="top"/>
          </w:tcPr>
          <w:p w14:paraId="43AB52B3">
            <w:pPr>
              <w:wordWrap w:val="0"/>
              <w:autoSpaceDE w:val="0"/>
              <w:autoSpaceDN w:val="0"/>
              <w:spacing w:before="200" w:after="0" w:line="246" w:lineRule="exact"/>
              <w:ind w:firstLine="80"/>
              <w:jc w:val="both"/>
              <w:rPr>
                <w:sz w:val="18"/>
                <w:szCs w:val="18"/>
              </w:rPr>
            </w:pPr>
            <w:r>
              <w:rPr>
                <w:rFonts w:hint="eastAsia" w:ascii="宋体" w:hAnsi="宋体" w:eastAsia="宋体"/>
                <w:color w:val="000000"/>
                <w:sz w:val="18"/>
                <w:szCs w:val="18"/>
              </w:rPr>
              <w:t>比合理工期少</w:t>
            </w:r>
            <w:r>
              <w:rPr>
                <w:rFonts w:hint="eastAsia" w:ascii="Calibri" w:hAnsi="Calibri" w:eastAsia="Calibri"/>
                <w:color w:val="000000"/>
                <w:sz w:val="18"/>
                <w:szCs w:val="18"/>
              </w:rPr>
              <w:t>20</w:t>
            </w:r>
            <w:r>
              <w:rPr>
                <w:rFonts w:hint="eastAsia" w:ascii="宋体" w:hAnsi="宋体" w:eastAsia="宋体"/>
                <w:color w:val="000000"/>
                <w:sz w:val="18"/>
                <w:szCs w:val="18"/>
              </w:rPr>
              <w:t>％以上，或者造成重大质量安全事故的</w:t>
            </w:r>
          </w:p>
        </w:tc>
        <w:tc>
          <w:tcPr>
            <w:tcW w:w="1140" w:type="dxa"/>
            <w:vMerge w:val="continue"/>
            <w:tcBorders>
              <w:top w:val="single" w:color="000000" w:sz="4" w:space="0"/>
              <w:left w:val="single" w:color="000000" w:sz="4" w:space="0"/>
              <w:bottom w:val="single" w:color="000000" w:sz="4" w:space="0"/>
              <w:right w:val="single" w:color="000000" w:sz="4" w:space="0"/>
            </w:tcBorders>
          </w:tcPr>
          <w:p w14:paraId="56078AC9">
            <w:pPr>
              <w:rPr>
                <w:sz w:val="18"/>
                <w:szCs w:val="18"/>
              </w:rPr>
            </w:pPr>
          </w:p>
        </w:tc>
        <w:tc>
          <w:tcPr>
            <w:tcW w:w="5740" w:type="dxa"/>
            <w:tcBorders>
              <w:top w:val="single" w:color="000000" w:sz="4" w:space="0"/>
              <w:left w:val="single" w:color="000000" w:sz="4" w:space="0"/>
              <w:bottom w:val="single" w:color="000000" w:sz="4" w:space="0"/>
              <w:right w:val="single" w:color="000000" w:sz="4" w:space="0"/>
            </w:tcBorders>
            <w:vAlign w:val="top"/>
          </w:tcPr>
          <w:p w14:paraId="2CB945A8">
            <w:pPr>
              <w:wordWrap w:val="0"/>
              <w:autoSpaceDE w:val="0"/>
              <w:autoSpaceDN w:val="0"/>
              <w:spacing w:before="53" w:after="0" w:line="246" w:lineRule="exact"/>
              <w:ind w:firstLine="14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40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万元以下罚款</w:t>
            </w:r>
          </w:p>
          <w:p w14:paraId="6DD33355">
            <w:pPr>
              <w:wordWrap w:val="0"/>
              <w:autoSpaceDE w:val="0"/>
              <w:autoSpaceDN w:val="0"/>
              <w:spacing w:before="0" w:after="0" w:line="220"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5322C937">
      <w:pPr>
        <w:rPr>
          <w:sz w:val="18"/>
          <w:szCs w:val="18"/>
        </w:rPr>
      </w:pPr>
    </w:p>
    <w:p w14:paraId="387F8AA4">
      <w:pPr>
        <w:rPr>
          <w:sz w:val="18"/>
          <w:szCs w:val="18"/>
        </w:rPr>
      </w:pPr>
    </w:p>
    <w:p w14:paraId="663F9F0C">
      <w:pPr>
        <w:rPr>
          <w:sz w:val="18"/>
          <w:szCs w:val="18"/>
        </w:rPr>
      </w:pPr>
    </w:p>
    <w:p w14:paraId="52BEB0E9">
      <w:pPr>
        <w:rPr>
          <w:sz w:val="18"/>
          <w:szCs w:val="18"/>
        </w:rPr>
      </w:pPr>
    </w:p>
    <w:tbl>
      <w:tblPr>
        <w:tblStyle w:val="15"/>
        <w:tblpPr w:leftFromText="180" w:rightFromText="180" w:vertAnchor="text" w:horzAnchor="page" w:tblpX="1637" w:tblpY="425"/>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9"/>
        <w:gridCol w:w="5831"/>
        <w:gridCol w:w="1088"/>
        <w:gridCol w:w="5675"/>
      </w:tblGrid>
      <w:tr w14:paraId="041BFA0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189" w:type="dxa"/>
            <w:tcBorders>
              <w:top w:val="single" w:color="000000" w:sz="4" w:space="0"/>
              <w:left w:val="single" w:color="000000" w:sz="4" w:space="0"/>
              <w:bottom w:val="single" w:color="000000" w:sz="4" w:space="0"/>
              <w:right w:val="single" w:color="000000" w:sz="4" w:space="0"/>
            </w:tcBorders>
            <w:vAlign w:val="top"/>
          </w:tcPr>
          <w:p w14:paraId="6A923604">
            <w:pPr>
              <w:wordWrap w:val="0"/>
              <w:autoSpaceDE w:val="0"/>
              <w:autoSpaceDN w:val="0"/>
              <w:spacing w:before="0" w:after="0" w:line="240" w:lineRule="exact"/>
              <w:jc w:val="center"/>
              <w:rPr>
                <w:sz w:val="18"/>
                <w:szCs w:val="18"/>
              </w:rPr>
            </w:pPr>
            <w:r>
              <w:rPr>
                <w:rFonts w:hint="eastAsia" w:ascii="宋体" w:hAnsi="宋体"/>
                <w:color w:val="000000"/>
                <w:sz w:val="18"/>
                <w:szCs w:val="18"/>
                <w:lang w:eastAsia="zh-CN"/>
              </w:rPr>
              <w:t>序号</w:t>
            </w:r>
          </w:p>
        </w:tc>
        <w:tc>
          <w:tcPr>
            <w:tcW w:w="12594" w:type="dxa"/>
            <w:gridSpan w:val="3"/>
            <w:tcBorders>
              <w:top w:val="single" w:color="000000" w:sz="4" w:space="0"/>
              <w:left w:val="single" w:color="000000" w:sz="4" w:space="0"/>
              <w:bottom w:val="single" w:color="000000" w:sz="4" w:space="0"/>
              <w:right w:val="single" w:color="000000" w:sz="4" w:space="0"/>
            </w:tcBorders>
            <w:vAlign w:val="top"/>
          </w:tcPr>
          <w:p w14:paraId="7AF09BB7">
            <w:pPr>
              <w:wordWrap w:val="0"/>
              <w:autoSpaceDE w:val="0"/>
              <w:autoSpaceDN w:val="0"/>
              <w:spacing w:before="33" w:after="0" w:line="246" w:lineRule="exact"/>
              <w:ind w:firstLine="80"/>
              <w:jc w:val="both"/>
              <w:rPr>
                <w:rFonts w:hint="eastAsia" w:eastAsia="宋体"/>
                <w:sz w:val="18"/>
                <w:szCs w:val="18"/>
                <w:lang w:val="en-US" w:eastAsia="zh-CN"/>
              </w:rPr>
            </w:pPr>
            <w:r>
              <w:rPr>
                <w:rFonts w:hint="eastAsia" w:ascii="Calibri" w:hAnsi="Calibri" w:eastAsia="Calibri"/>
                <w:color w:val="000000"/>
                <w:sz w:val="18"/>
                <w:szCs w:val="18"/>
              </w:rPr>
              <w:t>1</w:t>
            </w:r>
            <w:r>
              <w:rPr>
                <w:rFonts w:hint="eastAsia" w:ascii="Calibri" w:hAnsi="Calibri"/>
                <w:color w:val="000000"/>
                <w:sz w:val="18"/>
                <w:szCs w:val="18"/>
                <w:lang w:val="en-US" w:eastAsia="zh-CN"/>
              </w:rPr>
              <w:t>3</w:t>
            </w:r>
          </w:p>
        </w:tc>
      </w:tr>
      <w:tr w14:paraId="2ACFEC0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89" w:type="dxa"/>
            <w:tcBorders>
              <w:top w:val="single" w:color="000000" w:sz="4" w:space="0"/>
              <w:left w:val="single" w:color="000000" w:sz="4" w:space="0"/>
              <w:bottom w:val="single" w:color="000000" w:sz="4" w:space="0"/>
              <w:right w:val="single" w:color="000000" w:sz="4" w:space="0"/>
            </w:tcBorders>
            <w:vAlign w:val="top"/>
          </w:tcPr>
          <w:p w14:paraId="36AE8C66">
            <w:pPr>
              <w:wordWrap w:val="0"/>
              <w:autoSpaceDE w:val="0"/>
              <w:autoSpaceDN w:val="0"/>
              <w:spacing w:before="13" w:after="0" w:line="246" w:lineRule="exact"/>
              <w:ind w:firstLine="320"/>
              <w:jc w:val="both"/>
              <w:rPr>
                <w:sz w:val="18"/>
                <w:szCs w:val="18"/>
              </w:rPr>
            </w:pPr>
            <w:r>
              <w:rPr>
                <w:rFonts w:hint="eastAsia" w:ascii="宋体" w:hAnsi="宋体" w:eastAsia="宋体"/>
                <w:color w:val="000000"/>
                <w:sz w:val="18"/>
                <w:szCs w:val="18"/>
              </w:rPr>
              <w:t>编号</w:t>
            </w:r>
          </w:p>
        </w:tc>
        <w:tc>
          <w:tcPr>
            <w:tcW w:w="12594" w:type="dxa"/>
            <w:gridSpan w:val="3"/>
            <w:tcBorders>
              <w:top w:val="single" w:color="000000" w:sz="4" w:space="0"/>
              <w:left w:val="single" w:color="000000" w:sz="4" w:space="0"/>
              <w:bottom w:val="single" w:color="000000" w:sz="4" w:space="0"/>
              <w:right w:val="single" w:color="000000" w:sz="4" w:space="0"/>
            </w:tcBorders>
            <w:vAlign w:val="top"/>
          </w:tcPr>
          <w:p w14:paraId="74B6B7F1">
            <w:pPr>
              <w:wordWrap w:val="0"/>
              <w:autoSpaceDE w:val="0"/>
              <w:autoSpaceDN w:val="0"/>
              <w:spacing w:before="53" w:after="0" w:line="246" w:lineRule="exact"/>
              <w:ind w:firstLine="60"/>
              <w:jc w:val="both"/>
              <w:rPr>
                <w:sz w:val="18"/>
                <w:szCs w:val="18"/>
              </w:rPr>
            </w:pPr>
            <w:r>
              <w:rPr>
                <w:rFonts w:hint="eastAsia" w:ascii="Calibri" w:hAnsi="Calibri" w:eastAsia="Calibri"/>
                <w:color w:val="000000"/>
                <w:sz w:val="18"/>
                <w:szCs w:val="18"/>
              </w:rPr>
              <w:t>320280016000</w:t>
            </w:r>
          </w:p>
        </w:tc>
      </w:tr>
      <w:tr w14:paraId="4B98BC9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89" w:type="dxa"/>
            <w:tcBorders>
              <w:top w:val="single" w:color="000000" w:sz="4" w:space="0"/>
              <w:left w:val="single" w:color="000000" w:sz="4" w:space="0"/>
              <w:bottom w:val="single" w:color="000000" w:sz="4" w:space="0"/>
              <w:right w:val="single" w:color="000000" w:sz="4" w:space="0"/>
            </w:tcBorders>
            <w:vAlign w:val="top"/>
          </w:tcPr>
          <w:p w14:paraId="63864D1B">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行为名称</w:t>
            </w:r>
          </w:p>
        </w:tc>
        <w:tc>
          <w:tcPr>
            <w:tcW w:w="12594" w:type="dxa"/>
            <w:gridSpan w:val="3"/>
            <w:tcBorders>
              <w:top w:val="single" w:color="000000" w:sz="4" w:space="0"/>
              <w:left w:val="single" w:color="000000" w:sz="4" w:space="0"/>
              <w:bottom w:val="single" w:color="000000" w:sz="4" w:space="0"/>
              <w:right w:val="single" w:color="000000" w:sz="4" w:space="0"/>
            </w:tcBorders>
            <w:vAlign w:val="top"/>
          </w:tcPr>
          <w:p w14:paraId="675F3D74">
            <w:pPr>
              <w:wordWrap w:val="0"/>
              <w:autoSpaceDE w:val="0"/>
              <w:autoSpaceDN w:val="0"/>
              <w:spacing w:before="53" w:after="0" w:line="246" w:lineRule="exact"/>
              <w:ind w:firstLine="80"/>
              <w:jc w:val="both"/>
              <w:rPr>
                <w:sz w:val="18"/>
                <w:szCs w:val="18"/>
              </w:rPr>
            </w:pPr>
            <w:r>
              <w:rPr>
                <w:rFonts w:hint="eastAsia" w:ascii="宋体" w:hAnsi="宋体" w:eastAsia="宋体"/>
                <w:color w:val="000000"/>
                <w:sz w:val="18"/>
                <w:szCs w:val="18"/>
              </w:rPr>
              <w:t>对人民防空工程施工单位不履行保修义务或者拖延履行保修义务的处罚</w:t>
            </w:r>
          </w:p>
        </w:tc>
      </w:tr>
      <w:tr w14:paraId="53E765A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60" w:hRule="atLeast"/>
        </w:trPr>
        <w:tc>
          <w:tcPr>
            <w:tcW w:w="1189" w:type="dxa"/>
            <w:tcBorders>
              <w:top w:val="single" w:color="000000" w:sz="4" w:space="0"/>
              <w:left w:val="single" w:color="000000" w:sz="4" w:space="0"/>
              <w:bottom w:val="single" w:color="000000" w:sz="4" w:space="0"/>
              <w:right w:val="single" w:color="000000" w:sz="4" w:space="0"/>
            </w:tcBorders>
            <w:vAlign w:val="top"/>
          </w:tcPr>
          <w:p w14:paraId="0E4EE20A">
            <w:pPr>
              <w:wordWrap w:val="0"/>
              <w:autoSpaceDE w:val="0"/>
              <w:autoSpaceDN w:val="0"/>
              <w:spacing w:before="0" w:after="0" w:line="246" w:lineRule="exact"/>
              <w:ind w:firstLine="0"/>
              <w:jc w:val="both"/>
              <w:rPr>
                <w:rFonts w:hint="eastAsia" w:ascii="宋体" w:hAnsi="宋体" w:eastAsia="宋体"/>
                <w:color w:val="000000"/>
                <w:sz w:val="18"/>
                <w:szCs w:val="18"/>
              </w:rPr>
            </w:pPr>
          </w:p>
          <w:p w14:paraId="30903EC4">
            <w:pPr>
              <w:wordWrap w:val="0"/>
              <w:autoSpaceDE w:val="0"/>
              <w:autoSpaceDN w:val="0"/>
              <w:spacing w:before="0" w:after="0" w:line="246" w:lineRule="exact"/>
              <w:ind w:firstLine="0"/>
              <w:jc w:val="both"/>
              <w:rPr>
                <w:rFonts w:hint="eastAsia" w:ascii="宋体" w:hAnsi="宋体" w:eastAsia="宋体"/>
                <w:color w:val="000000"/>
                <w:sz w:val="18"/>
                <w:szCs w:val="18"/>
              </w:rPr>
            </w:pPr>
          </w:p>
          <w:p w14:paraId="349C9DDA">
            <w:pPr>
              <w:wordWrap w:val="0"/>
              <w:autoSpaceDE w:val="0"/>
              <w:autoSpaceDN w:val="0"/>
              <w:spacing w:before="0" w:after="0" w:line="246" w:lineRule="exact"/>
              <w:ind w:firstLine="0"/>
              <w:jc w:val="both"/>
              <w:rPr>
                <w:rFonts w:hint="eastAsia" w:ascii="宋体" w:hAnsi="宋体" w:eastAsia="宋体"/>
                <w:color w:val="000000"/>
                <w:sz w:val="18"/>
                <w:szCs w:val="18"/>
              </w:rPr>
            </w:pPr>
          </w:p>
          <w:p w14:paraId="45DBCAA9">
            <w:pPr>
              <w:wordWrap w:val="0"/>
              <w:autoSpaceDE w:val="0"/>
              <w:autoSpaceDN w:val="0"/>
              <w:spacing w:before="0" w:after="0" w:line="246" w:lineRule="exact"/>
              <w:ind w:firstLine="0"/>
              <w:jc w:val="both"/>
              <w:rPr>
                <w:rFonts w:hint="eastAsia" w:ascii="宋体" w:hAnsi="宋体" w:eastAsia="宋体"/>
                <w:color w:val="000000"/>
                <w:sz w:val="18"/>
                <w:szCs w:val="18"/>
              </w:rPr>
            </w:pPr>
          </w:p>
          <w:p w14:paraId="0ED19CDC">
            <w:pPr>
              <w:wordWrap w:val="0"/>
              <w:autoSpaceDE w:val="0"/>
              <w:autoSpaceDN w:val="0"/>
              <w:spacing w:before="0" w:after="0" w:line="246" w:lineRule="exact"/>
              <w:ind w:firstLine="0"/>
              <w:jc w:val="both"/>
              <w:rPr>
                <w:rFonts w:hint="eastAsia" w:ascii="宋体" w:hAnsi="宋体" w:eastAsia="宋体"/>
                <w:color w:val="000000"/>
                <w:sz w:val="18"/>
                <w:szCs w:val="18"/>
              </w:rPr>
            </w:pPr>
          </w:p>
          <w:p w14:paraId="71BDEA1F">
            <w:pPr>
              <w:wordWrap w:val="0"/>
              <w:autoSpaceDE w:val="0"/>
              <w:autoSpaceDN w:val="0"/>
              <w:spacing w:before="0" w:after="0" w:line="246" w:lineRule="exact"/>
              <w:ind w:firstLine="0"/>
              <w:jc w:val="both"/>
              <w:rPr>
                <w:rFonts w:hint="eastAsia" w:ascii="宋体" w:hAnsi="宋体" w:eastAsia="宋体"/>
                <w:color w:val="000000"/>
                <w:sz w:val="18"/>
                <w:szCs w:val="18"/>
              </w:rPr>
            </w:pPr>
          </w:p>
          <w:p w14:paraId="24AA5346">
            <w:pPr>
              <w:wordWrap w:val="0"/>
              <w:autoSpaceDE w:val="0"/>
              <w:autoSpaceDN w:val="0"/>
              <w:spacing w:before="61" w:after="0" w:line="246" w:lineRule="exact"/>
              <w:jc w:val="center"/>
              <w:rPr>
                <w:sz w:val="18"/>
                <w:szCs w:val="18"/>
              </w:rPr>
            </w:pPr>
            <w:r>
              <w:rPr>
                <w:rFonts w:hint="eastAsia" w:ascii="宋体" w:hAnsi="宋体" w:eastAsia="宋体"/>
                <w:color w:val="000000"/>
                <w:sz w:val="18"/>
                <w:szCs w:val="18"/>
              </w:rPr>
              <w:t>法律依据</w:t>
            </w:r>
          </w:p>
        </w:tc>
        <w:tc>
          <w:tcPr>
            <w:tcW w:w="12594" w:type="dxa"/>
            <w:gridSpan w:val="3"/>
            <w:tcBorders>
              <w:top w:val="single" w:color="000000" w:sz="4" w:space="0"/>
              <w:left w:val="single" w:color="000000" w:sz="4" w:space="0"/>
              <w:bottom w:val="single" w:color="000000" w:sz="4" w:space="0"/>
              <w:right w:val="single" w:color="000000" w:sz="4" w:space="0"/>
            </w:tcBorders>
            <w:vAlign w:val="top"/>
          </w:tcPr>
          <w:p w14:paraId="00F4C345">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1A7EFDE8">
            <w:pPr>
              <w:wordWrap w:val="0"/>
              <w:autoSpaceDE w:val="0"/>
              <w:autoSpaceDN w:val="0"/>
              <w:spacing w:before="53" w:after="0" w:line="246" w:lineRule="exact"/>
              <w:ind w:firstLine="480"/>
              <w:jc w:val="both"/>
              <w:rPr>
                <w:sz w:val="18"/>
                <w:szCs w:val="18"/>
              </w:rPr>
            </w:pPr>
            <w:r>
              <w:rPr>
                <w:rFonts w:hint="eastAsia" w:ascii="宋体" w:hAnsi="宋体" w:eastAsia="宋体"/>
                <w:color w:val="000000"/>
                <w:sz w:val="18"/>
                <w:szCs w:val="18"/>
              </w:rPr>
              <w:t>第四十一条 建设工程在保修范围和保修期限内发生质量问题的，施工单位应当履行保修义务，并对造成的损失承担赔偿责任。</w:t>
            </w:r>
          </w:p>
          <w:p w14:paraId="6DCD712D">
            <w:pPr>
              <w:wordWrap w:val="0"/>
              <w:autoSpaceDE w:val="0"/>
              <w:autoSpaceDN w:val="0"/>
              <w:spacing w:before="0" w:after="0" w:line="246" w:lineRule="exact"/>
              <w:ind w:left="60" w:right="20" w:firstLine="440"/>
              <w:jc w:val="both"/>
              <w:rPr>
                <w:sz w:val="18"/>
                <w:szCs w:val="18"/>
              </w:rPr>
            </w:pPr>
            <w:r>
              <w:rPr>
                <w:rFonts w:hint="eastAsia" w:ascii="宋体" w:hAnsi="宋体" w:eastAsia="宋体"/>
                <w:color w:val="000000"/>
                <w:sz w:val="18"/>
                <w:szCs w:val="18"/>
              </w:rPr>
              <w:t>第六十六条 违反本条例规定，施工单位不履行保修义务或者拖延履行保修义务的，责令改正，处</w:t>
            </w:r>
            <w:r>
              <w:rPr>
                <w:rFonts w:hint="eastAsia" w:ascii="Calibri" w:hAnsi="Calibri" w:eastAsia="Calibri"/>
                <w:color w:val="000000"/>
                <w:sz w:val="18"/>
                <w:szCs w:val="18"/>
              </w:rPr>
              <w:t>10</w:t>
            </w:r>
            <w:r>
              <w:rPr>
                <w:rFonts w:hint="eastAsia" w:ascii="宋体" w:hAnsi="宋体" w:eastAsia="宋体"/>
                <w:color w:val="000000"/>
                <w:sz w:val="18"/>
                <w:szCs w:val="18"/>
              </w:rPr>
              <w:t>万元以上</w:t>
            </w:r>
            <w:r>
              <w:rPr>
                <w:rFonts w:hint="eastAsia" w:ascii="Calibri" w:hAnsi="Calibri" w:eastAsia="Calibri"/>
                <w:color w:val="000000"/>
                <w:sz w:val="18"/>
                <w:szCs w:val="18"/>
              </w:rPr>
              <w:t>20</w:t>
            </w:r>
            <w:r>
              <w:rPr>
                <w:rFonts w:hint="eastAsia" w:ascii="宋体" w:hAnsi="宋体" w:eastAsia="宋体"/>
                <w:color w:val="000000"/>
                <w:sz w:val="18"/>
                <w:szCs w:val="18"/>
              </w:rPr>
              <w:t>万元以下的罚款，并对在保修期内因质量缺陷造成的损失承担赔偿责任。</w:t>
            </w:r>
          </w:p>
          <w:p w14:paraId="6164CA73">
            <w:pPr>
              <w:wordWrap w:val="0"/>
              <w:autoSpaceDE w:val="0"/>
              <w:autoSpaceDN w:val="0"/>
              <w:spacing w:before="0" w:after="0" w:line="246" w:lineRule="exact"/>
              <w:ind w:firstLine="0"/>
              <w:jc w:val="both"/>
              <w:rPr>
                <w:rFonts w:hint="eastAsia" w:ascii="宋体" w:hAnsi="宋体" w:eastAsia="宋体"/>
                <w:color w:val="000000"/>
                <w:sz w:val="18"/>
                <w:szCs w:val="18"/>
              </w:rPr>
            </w:pPr>
          </w:p>
          <w:p w14:paraId="4071BF31">
            <w:pPr>
              <w:wordWrap w:val="0"/>
              <w:autoSpaceDE w:val="0"/>
              <w:autoSpaceDN w:val="0"/>
              <w:spacing w:before="127" w:after="0" w:line="246" w:lineRule="exact"/>
              <w:ind w:left="80" w:right="60" w:firstLine="42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3B00F1DD">
            <w:pPr>
              <w:wordWrap w:val="0"/>
              <w:autoSpaceDE w:val="0"/>
              <w:autoSpaceDN w:val="0"/>
              <w:spacing w:before="53" w:after="0" w:line="246" w:lineRule="exact"/>
              <w:ind w:left="60" w:right="4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78FFB3E9">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【地方性法规】《江苏省实施＜中华人民共和国人民防空法＞办法》</w:t>
            </w:r>
          </w:p>
          <w:p w14:paraId="0AF39683">
            <w:pPr>
              <w:wordWrap w:val="0"/>
              <w:autoSpaceDE w:val="0"/>
              <w:autoSpaceDN w:val="0"/>
              <w:spacing w:before="0" w:after="0" w:line="246" w:lineRule="exact"/>
              <w:ind w:left="80" w:right="4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26C57FB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89" w:type="dxa"/>
            <w:tcBorders>
              <w:top w:val="single" w:color="000000" w:sz="4" w:space="0"/>
              <w:left w:val="single" w:color="000000" w:sz="4" w:space="0"/>
              <w:bottom w:val="single" w:color="000000" w:sz="4" w:space="0"/>
              <w:right w:val="single" w:color="000000" w:sz="4" w:space="0"/>
            </w:tcBorders>
            <w:vAlign w:val="top"/>
          </w:tcPr>
          <w:p w14:paraId="34283813">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处罚种类</w:t>
            </w:r>
          </w:p>
        </w:tc>
        <w:tc>
          <w:tcPr>
            <w:tcW w:w="12594" w:type="dxa"/>
            <w:gridSpan w:val="3"/>
            <w:tcBorders>
              <w:top w:val="single" w:color="000000" w:sz="4" w:space="0"/>
              <w:left w:val="single" w:color="000000" w:sz="4" w:space="0"/>
              <w:bottom w:val="single" w:color="000000" w:sz="4" w:space="0"/>
              <w:right w:val="single" w:color="000000" w:sz="4" w:space="0"/>
            </w:tcBorders>
            <w:vAlign w:val="top"/>
          </w:tcPr>
          <w:p w14:paraId="7AA803FC">
            <w:pPr>
              <w:wordWrap w:val="0"/>
              <w:autoSpaceDE w:val="0"/>
              <w:autoSpaceDN w:val="0"/>
              <w:spacing w:before="53" w:after="0" w:line="246" w:lineRule="exact"/>
              <w:ind w:firstLine="80"/>
              <w:jc w:val="both"/>
              <w:rPr>
                <w:sz w:val="18"/>
                <w:szCs w:val="18"/>
              </w:rPr>
            </w:pPr>
            <w:r>
              <w:rPr>
                <w:rFonts w:hint="eastAsia" w:ascii="宋体" w:hAnsi="宋体" w:eastAsia="宋体"/>
                <w:color w:val="000000"/>
                <w:sz w:val="18"/>
                <w:szCs w:val="18"/>
              </w:rPr>
              <w:t>罚款</w:t>
            </w:r>
          </w:p>
        </w:tc>
      </w:tr>
      <w:tr w14:paraId="2536134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3783" w:type="dxa"/>
            <w:gridSpan w:val="4"/>
            <w:tcBorders>
              <w:top w:val="single" w:color="000000" w:sz="4" w:space="0"/>
              <w:left w:val="single" w:color="000000" w:sz="4" w:space="0"/>
              <w:bottom w:val="single" w:color="000000" w:sz="4" w:space="0"/>
              <w:right w:val="single" w:color="000000" w:sz="4" w:space="0"/>
            </w:tcBorders>
            <w:vAlign w:val="top"/>
          </w:tcPr>
          <w:p w14:paraId="6D4EEF16">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自由裁量基准</w:t>
            </w:r>
          </w:p>
        </w:tc>
      </w:tr>
      <w:tr w14:paraId="7BDC524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189" w:type="dxa"/>
            <w:vMerge w:val="restart"/>
            <w:tcBorders>
              <w:top w:val="single" w:color="000000" w:sz="4" w:space="0"/>
              <w:left w:val="single" w:color="000000" w:sz="4" w:space="0"/>
              <w:bottom w:val="single" w:color="000000" w:sz="4" w:space="0"/>
              <w:right w:val="single" w:color="000000" w:sz="4" w:space="0"/>
            </w:tcBorders>
            <w:vAlign w:val="top"/>
          </w:tcPr>
          <w:p w14:paraId="16987A81">
            <w:pPr>
              <w:wordWrap w:val="0"/>
              <w:autoSpaceDE w:val="0"/>
              <w:autoSpaceDN w:val="0"/>
              <w:spacing w:before="0" w:after="0" w:line="246" w:lineRule="exact"/>
              <w:ind w:firstLine="0"/>
              <w:jc w:val="both"/>
              <w:rPr>
                <w:rFonts w:hint="eastAsia" w:ascii="宋体" w:hAnsi="宋体" w:eastAsia="宋体"/>
                <w:color w:val="000000"/>
                <w:sz w:val="18"/>
                <w:szCs w:val="18"/>
              </w:rPr>
            </w:pPr>
          </w:p>
          <w:p w14:paraId="227C69E6">
            <w:pPr>
              <w:wordWrap w:val="0"/>
              <w:autoSpaceDE w:val="0"/>
              <w:autoSpaceDN w:val="0"/>
              <w:spacing w:before="0" w:after="0" w:line="246" w:lineRule="exact"/>
              <w:ind w:firstLine="0"/>
              <w:jc w:val="both"/>
              <w:rPr>
                <w:rFonts w:hint="eastAsia" w:ascii="宋体" w:hAnsi="宋体" w:eastAsia="宋体"/>
                <w:color w:val="000000"/>
                <w:sz w:val="18"/>
                <w:szCs w:val="18"/>
              </w:rPr>
            </w:pPr>
          </w:p>
          <w:p w14:paraId="30F90760">
            <w:pPr>
              <w:wordWrap w:val="0"/>
              <w:autoSpaceDE w:val="0"/>
              <w:autoSpaceDN w:val="0"/>
              <w:spacing w:before="0" w:after="0" w:line="246" w:lineRule="exact"/>
              <w:ind w:firstLine="0"/>
              <w:jc w:val="both"/>
              <w:rPr>
                <w:rFonts w:hint="eastAsia" w:ascii="宋体" w:hAnsi="宋体" w:eastAsia="宋体"/>
                <w:color w:val="000000"/>
                <w:sz w:val="18"/>
                <w:szCs w:val="18"/>
              </w:rPr>
            </w:pPr>
          </w:p>
          <w:p w14:paraId="05858789">
            <w:pPr>
              <w:wordWrap w:val="0"/>
              <w:autoSpaceDE w:val="0"/>
              <w:autoSpaceDN w:val="0"/>
              <w:spacing w:before="60" w:after="0" w:line="246" w:lineRule="exact"/>
              <w:jc w:val="center"/>
              <w:rPr>
                <w:sz w:val="18"/>
                <w:szCs w:val="18"/>
              </w:rPr>
            </w:pPr>
            <w:r>
              <w:rPr>
                <w:rFonts w:hint="eastAsia" w:ascii="宋体" w:hAnsi="宋体" w:eastAsia="宋体"/>
                <w:color w:val="000000"/>
                <w:sz w:val="18"/>
                <w:szCs w:val="18"/>
              </w:rPr>
              <w:t>情形描述</w:t>
            </w:r>
          </w:p>
        </w:tc>
        <w:tc>
          <w:tcPr>
            <w:tcW w:w="5831" w:type="dxa"/>
            <w:tcBorders>
              <w:top w:val="single" w:color="000000" w:sz="4" w:space="0"/>
              <w:left w:val="single" w:color="000000" w:sz="4" w:space="0"/>
              <w:bottom w:val="single" w:color="000000" w:sz="4" w:space="0"/>
              <w:right w:val="single" w:color="000000" w:sz="4" w:space="0"/>
            </w:tcBorders>
            <w:vAlign w:val="top"/>
          </w:tcPr>
          <w:p w14:paraId="667AF103">
            <w:pPr>
              <w:wordWrap w:val="0"/>
              <w:autoSpaceDE w:val="0"/>
              <w:autoSpaceDN w:val="0"/>
              <w:spacing w:before="200" w:after="0" w:line="246" w:lineRule="exact"/>
              <w:ind w:firstLine="80"/>
              <w:jc w:val="both"/>
              <w:rPr>
                <w:sz w:val="18"/>
                <w:szCs w:val="18"/>
              </w:rPr>
            </w:pPr>
            <w:r>
              <w:rPr>
                <w:rFonts w:hint="eastAsia" w:ascii="Calibri" w:hAnsi="Calibri" w:eastAsia="Calibri"/>
                <w:color w:val="000000"/>
                <w:sz w:val="18"/>
                <w:szCs w:val="18"/>
              </w:rPr>
              <w:t>15</w:t>
            </w:r>
            <w:r>
              <w:rPr>
                <w:rFonts w:hint="eastAsia" w:ascii="宋体" w:hAnsi="宋体" w:eastAsia="宋体"/>
                <w:color w:val="000000"/>
                <w:sz w:val="18"/>
                <w:szCs w:val="18"/>
              </w:rPr>
              <w:t>天内不履行保修义务的</w:t>
            </w:r>
          </w:p>
        </w:tc>
        <w:tc>
          <w:tcPr>
            <w:tcW w:w="1088" w:type="dxa"/>
            <w:vMerge w:val="restart"/>
            <w:tcBorders>
              <w:top w:val="single" w:color="000000" w:sz="4" w:space="0"/>
              <w:left w:val="single" w:color="000000" w:sz="4" w:space="0"/>
              <w:bottom w:val="single" w:color="000000" w:sz="4" w:space="0"/>
              <w:right w:val="single" w:color="000000" w:sz="4" w:space="0"/>
            </w:tcBorders>
            <w:vAlign w:val="top"/>
          </w:tcPr>
          <w:p w14:paraId="415C14B9">
            <w:pPr>
              <w:wordWrap w:val="0"/>
              <w:autoSpaceDE w:val="0"/>
              <w:autoSpaceDN w:val="0"/>
              <w:spacing w:before="0" w:after="0" w:line="246" w:lineRule="exact"/>
              <w:ind w:firstLine="0"/>
              <w:jc w:val="both"/>
              <w:rPr>
                <w:rFonts w:hint="eastAsia" w:ascii="宋体" w:hAnsi="宋体" w:eastAsia="宋体"/>
                <w:color w:val="000000"/>
                <w:sz w:val="18"/>
                <w:szCs w:val="18"/>
              </w:rPr>
            </w:pPr>
          </w:p>
          <w:p w14:paraId="112D44BA">
            <w:pPr>
              <w:wordWrap w:val="0"/>
              <w:autoSpaceDE w:val="0"/>
              <w:autoSpaceDN w:val="0"/>
              <w:spacing w:before="0" w:after="0" w:line="246" w:lineRule="exact"/>
              <w:ind w:firstLine="0"/>
              <w:jc w:val="both"/>
              <w:rPr>
                <w:rFonts w:hint="eastAsia" w:ascii="宋体" w:hAnsi="宋体" w:eastAsia="宋体"/>
                <w:color w:val="000000"/>
                <w:sz w:val="18"/>
                <w:szCs w:val="18"/>
              </w:rPr>
            </w:pPr>
          </w:p>
          <w:p w14:paraId="42C21E49">
            <w:pPr>
              <w:wordWrap w:val="0"/>
              <w:autoSpaceDE w:val="0"/>
              <w:autoSpaceDN w:val="0"/>
              <w:spacing w:before="0" w:after="0" w:line="246" w:lineRule="exact"/>
              <w:ind w:firstLine="0"/>
              <w:jc w:val="both"/>
              <w:rPr>
                <w:rFonts w:hint="eastAsia" w:ascii="宋体" w:hAnsi="宋体" w:eastAsia="宋体"/>
                <w:color w:val="000000"/>
                <w:sz w:val="18"/>
                <w:szCs w:val="18"/>
              </w:rPr>
            </w:pPr>
          </w:p>
          <w:p w14:paraId="04C11187">
            <w:pPr>
              <w:wordWrap w:val="0"/>
              <w:autoSpaceDE w:val="0"/>
              <w:autoSpaceDN w:val="0"/>
              <w:spacing w:before="60" w:after="0" w:line="246" w:lineRule="exact"/>
              <w:ind w:firstLine="140"/>
              <w:jc w:val="both"/>
              <w:rPr>
                <w:sz w:val="18"/>
                <w:szCs w:val="18"/>
              </w:rPr>
            </w:pPr>
            <w:r>
              <w:rPr>
                <w:rFonts w:hint="eastAsia" w:ascii="宋体" w:hAnsi="宋体" w:eastAsia="宋体"/>
                <w:color w:val="000000"/>
                <w:sz w:val="18"/>
                <w:szCs w:val="18"/>
              </w:rPr>
              <w:t>裁量幅度</w:t>
            </w:r>
          </w:p>
        </w:tc>
        <w:tc>
          <w:tcPr>
            <w:tcW w:w="5675" w:type="dxa"/>
            <w:tcBorders>
              <w:top w:val="single" w:color="000000" w:sz="4" w:space="0"/>
              <w:left w:val="single" w:color="000000" w:sz="4" w:space="0"/>
              <w:bottom w:val="single" w:color="000000" w:sz="4" w:space="0"/>
              <w:right w:val="single" w:color="000000" w:sz="4" w:space="0"/>
            </w:tcBorders>
            <w:vAlign w:val="top"/>
          </w:tcPr>
          <w:p w14:paraId="39F40A03">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10</w:t>
            </w:r>
            <w:r>
              <w:rPr>
                <w:rFonts w:hint="eastAsia" w:ascii="宋体" w:hAnsi="宋体" w:eastAsia="宋体"/>
                <w:color w:val="000000"/>
                <w:sz w:val="18"/>
                <w:szCs w:val="18"/>
              </w:rPr>
              <w:t>万元以上</w:t>
            </w:r>
            <w:r>
              <w:rPr>
                <w:rFonts w:hint="eastAsia" w:ascii="Calibri" w:hAnsi="Calibri" w:eastAsia="Calibri"/>
                <w:color w:val="000000"/>
                <w:sz w:val="18"/>
                <w:szCs w:val="18"/>
              </w:rPr>
              <w:t>12</w:t>
            </w:r>
            <w:r>
              <w:rPr>
                <w:rFonts w:hint="eastAsia" w:ascii="宋体" w:hAnsi="宋体" w:eastAsia="宋体"/>
                <w:color w:val="000000"/>
                <w:sz w:val="18"/>
                <w:szCs w:val="18"/>
              </w:rPr>
              <w:t>万元以下罚款</w:t>
            </w:r>
          </w:p>
          <w:p w14:paraId="5C7DEBFB">
            <w:pPr>
              <w:wordWrap w:val="0"/>
              <w:autoSpaceDE w:val="0"/>
              <w:autoSpaceDN w:val="0"/>
              <w:spacing w:before="0" w:after="0" w:line="240" w:lineRule="exact"/>
              <w:ind w:firstLine="16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7CB23CE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189" w:type="dxa"/>
            <w:vMerge w:val="continue"/>
            <w:tcBorders>
              <w:top w:val="single" w:color="000000" w:sz="4" w:space="0"/>
              <w:left w:val="single" w:color="000000" w:sz="4" w:space="0"/>
              <w:bottom w:val="single" w:color="000000" w:sz="4" w:space="0"/>
              <w:right w:val="single" w:color="000000" w:sz="4" w:space="0"/>
            </w:tcBorders>
          </w:tcPr>
          <w:p w14:paraId="4B88892C">
            <w:pPr>
              <w:rPr>
                <w:sz w:val="18"/>
                <w:szCs w:val="18"/>
              </w:rPr>
            </w:pPr>
          </w:p>
        </w:tc>
        <w:tc>
          <w:tcPr>
            <w:tcW w:w="5831" w:type="dxa"/>
            <w:tcBorders>
              <w:top w:val="single" w:color="000000" w:sz="4" w:space="0"/>
              <w:left w:val="single" w:color="000000" w:sz="4" w:space="0"/>
              <w:bottom w:val="single" w:color="000000" w:sz="4" w:space="0"/>
              <w:right w:val="single" w:color="000000" w:sz="4" w:space="0"/>
            </w:tcBorders>
            <w:vAlign w:val="top"/>
          </w:tcPr>
          <w:p w14:paraId="03F1AEF0">
            <w:pPr>
              <w:wordWrap w:val="0"/>
              <w:autoSpaceDE w:val="0"/>
              <w:autoSpaceDN w:val="0"/>
              <w:spacing w:before="220" w:after="0" w:line="246" w:lineRule="exact"/>
              <w:ind w:firstLine="60"/>
              <w:jc w:val="both"/>
              <w:rPr>
                <w:sz w:val="18"/>
                <w:szCs w:val="18"/>
              </w:rPr>
            </w:pPr>
            <w:r>
              <w:rPr>
                <w:rFonts w:hint="eastAsia" w:ascii="Calibri" w:hAnsi="Calibri" w:eastAsia="Calibri"/>
                <w:color w:val="000000"/>
                <w:sz w:val="18"/>
                <w:szCs w:val="18"/>
              </w:rPr>
              <w:t>1</w:t>
            </w:r>
            <w:r>
              <w:rPr>
                <w:rFonts w:hint="eastAsia" w:ascii="宋体" w:hAnsi="宋体" w:eastAsia="宋体"/>
                <w:color w:val="000000"/>
                <w:sz w:val="18"/>
                <w:szCs w:val="18"/>
              </w:rPr>
              <w:t>个月内不履行保修义务的</w:t>
            </w:r>
          </w:p>
        </w:tc>
        <w:tc>
          <w:tcPr>
            <w:tcW w:w="1088" w:type="dxa"/>
            <w:vMerge w:val="continue"/>
            <w:tcBorders>
              <w:top w:val="single" w:color="000000" w:sz="4" w:space="0"/>
              <w:left w:val="single" w:color="000000" w:sz="4" w:space="0"/>
              <w:bottom w:val="single" w:color="000000" w:sz="4" w:space="0"/>
              <w:right w:val="single" w:color="000000" w:sz="4" w:space="0"/>
            </w:tcBorders>
          </w:tcPr>
          <w:p w14:paraId="31FAB057">
            <w:pPr>
              <w:rPr>
                <w:sz w:val="18"/>
                <w:szCs w:val="18"/>
              </w:rPr>
            </w:pPr>
          </w:p>
        </w:tc>
        <w:tc>
          <w:tcPr>
            <w:tcW w:w="5675" w:type="dxa"/>
            <w:tcBorders>
              <w:top w:val="single" w:color="000000" w:sz="4" w:space="0"/>
              <w:left w:val="single" w:color="000000" w:sz="4" w:space="0"/>
              <w:bottom w:val="single" w:color="000000" w:sz="4" w:space="0"/>
              <w:right w:val="single" w:color="000000" w:sz="4" w:space="0"/>
            </w:tcBorders>
            <w:vAlign w:val="top"/>
          </w:tcPr>
          <w:p w14:paraId="652783D6">
            <w:pPr>
              <w:wordWrap w:val="0"/>
              <w:autoSpaceDE w:val="0"/>
              <w:autoSpaceDN w:val="0"/>
              <w:spacing w:before="73" w:after="0" w:line="246" w:lineRule="exact"/>
              <w:ind w:firstLine="16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12</w:t>
            </w:r>
            <w:r>
              <w:rPr>
                <w:rFonts w:hint="eastAsia" w:ascii="宋体" w:hAnsi="宋体" w:eastAsia="宋体"/>
                <w:color w:val="000000"/>
                <w:sz w:val="18"/>
                <w:szCs w:val="18"/>
              </w:rPr>
              <w:t>万元以上</w:t>
            </w:r>
            <w:r>
              <w:rPr>
                <w:rFonts w:hint="eastAsia" w:ascii="Calibri" w:hAnsi="Calibri" w:eastAsia="Calibri"/>
                <w:color w:val="000000"/>
                <w:sz w:val="18"/>
                <w:szCs w:val="18"/>
              </w:rPr>
              <w:t>15</w:t>
            </w:r>
            <w:r>
              <w:rPr>
                <w:rFonts w:hint="eastAsia" w:ascii="宋体" w:hAnsi="宋体" w:eastAsia="宋体"/>
                <w:color w:val="000000"/>
                <w:sz w:val="18"/>
                <w:szCs w:val="18"/>
              </w:rPr>
              <w:t>万元以下罚款</w:t>
            </w:r>
          </w:p>
          <w:p w14:paraId="391BFECE">
            <w:pPr>
              <w:wordWrap w:val="0"/>
              <w:autoSpaceDE w:val="0"/>
              <w:autoSpaceDN w:val="0"/>
              <w:spacing w:before="0" w:after="0" w:line="246" w:lineRule="exact"/>
              <w:ind w:firstLine="16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4678ADC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189" w:type="dxa"/>
            <w:vMerge w:val="continue"/>
            <w:tcBorders>
              <w:top w:val="single" w:color="000000" w:sz="4" w:space="0"/>
              <w:left w:val="single" w:color="000000" w:sz="4" w:space="0"/>
              <w:bottom w:val="single" w:color="000000" w:sz="4" w:space="0"/>
              <w:right w:val="single" w:color="000000" w:sz="4" w:space="0"/>
            </w:tcBorders>
          </w:tcPr>
          <w:p w14:paraId="722E65A0">
            <w:pPr>
              <w:rPr>
                <w:sz w:val="18"/>
                <w:szCs w:val="18"/>
              </w:rPr>
            </w:pPr>
          </w:p>
        </w:tc>
        <w:tc>
          <w:tcPr>
            <w:tcW w:w="5831" w:type="dxa"/>
            <w:tcBorders>
              <w:top w:val="single" w:color="000000" w:sz="4" w:space="0"/>
              <w:left w:val="single" w:color="000000" w:sz="4" w:space="0"/>
              <w:bottom w:val="single" w:color="000000" w:sz="4" w:space="0"/>
              <w:right w:val="single" w:color="000000" w:sz="4" w:space="0"/>
            </w:tcBorders>
            <w:vAlign w:val="top"/>
          </w:tcPr>
          <w:p w14:paraId="4FDA5962">
            <w:pPr>
              <w:wordWrap w:val="0"/>
              <w:autoSpaceDE w:val="0"/>
              <w:autoSpaceDN w:val="0"/>
              <w:spacing w:before="60" w:after="0" w:line="246" w:lineRule="exact"/>
              <w:ind w:left="60" w:firstLine="0"/>
              <w:jc w:val="both"/>
              <w:rPr>
                <w:sz w:val="18"/>
                <w:szCs w:val="18"/>
              </w:rPr>
            </w:pPr>
            <w:r>
              <w:rPr>
                <w:rFonts w:hint="eastAsia" w:ascii="Calibri" w:hAnsi="Calibri" w:eastAsia="Calibri"/>
                <w:color w:val="000000"/>
                <w:sz w:val="18"/>
                <w:szCs w:val="18"/>
              </w:rPr>
              <w:t>1</w:t>
            </w:r>
            <w:r>
              <w:rPr>
                <w:rFonts w:hint="eastAsia" w:ascii="宋体" w:hAnsi="宋体" w:eastAsia="宋体"/>
                <w:color w:val="000000"/>
                <w:sz w:val="18"/>
                <w:szCs w:val="18"/>
              </w:rPr>
              <w:t>个月以上不履行保修义务的或者因迟延履行造成质量安全事故的</w:t>
            </w:r>
          </w:p>
        </w:tc>
        <w:tc>
          <w:tcPr>
            <w:tcW w:w="1088" w:type="dxa"/>
            <w:vMerge w:val="continue"/>
            <w:tcBorders>
              <w:top w:val="single" w:color="000000" w:sz="4" w:space="0"/>
              <w:left w:val="single" w:color="000000" w:sz="4" w:space="0"/>
              <w:bottom w:val="single" w:color="000000" w:sz="4" w:space="0"/>
              <w:right w:val="single" w:color="000000" w:sz="4" w:space="0"/>
            </w:tcBorders>
          </w:tcPr>
          <w:p w14:paraId="064634DE">
            <w:pPr>
              <w:rPr>
                <w:sz w:val="18"/>
                <w:szCs w:val="18"/>
              </w:rPr>
            </w:pPr>
          </w:p>
        </w:tc>
        <w:tc>
          <w:tcPr>
            <w:tcW w:w="5675" w:type="dxa"/>
            <w:tcBorders>
              <w:top w:val="single" w:color="000000" w:sz="4" w:space="0"/>
              <w:left w:val="single" w:color="000000" w:sz="4" w:space="0"/>
              <w:bottom w:val="single" w:color="000000" w:sz="4" w:space="0"/>
              <w:right w:val="single" w:color="000000" w:sz="4" w:space="0"/>
            </w:tcBorders>
            <w:vAlign w:val="top"/>
          </w:tcPr>
          <w:p w14:paraId="2D56D46D">
            <w:pPr>
              <w:wordWrap w:val="0"/>
              <w:autoSpaceDE w:val="0"/>
              <w:autoSpaceDN w:val="0"/>
              <w:spacing w:before="53" w:after="0" w:line="246" w:lineRule="exact"/>
              <w:ind w:firstLine="16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15</w:t>
            </w:r>
            <w:r>
              <w:rPr>
                <w:rFonts w:hint="eastAsia" w:ascii="宋体" w:hAnsi="宋体" w:eastAsia="宋体"/>
                <w:color w:val="000000"/>
                <w:sz w:val="18"/>
                <w:szCs w:val="18"/>
              </w:rPr>
              <w:t>万元以上</w:t>
            </w:r>
            <w:r>
              <w:rPr>
                <w:rFonts w:hint="eastAsia" w:ascii="Calibri" w:hAnsi="Calibri" w:eastAsia="Calibri"/>
                <w:color w:val="000000"/>
                <w:sz w:val="18"/>
                <w:szCs w:val="18"/>
              </w:rPr>
              <w:t>20</w:t>
            </w:r>
            <w:r>
              <w:rPr>
                <w:rFonts w:hint="eastAsia" w:ascii="宋体" w:hAnsi="宋体" w:eastAsia="宋体"/>
                <w:color w:val="000000"/>
                <w:sz w:val="18"/>
                <w:szCs w:val="18"/>
              </w:rPr>
              <w:t>万元以下罚款</w:t>
            </w:r>
          </w:p>
          <w:p w14:paraId="350D56A0">
            <w:pPr>
              <w:wordWrap w:val="0"/>
              <w:autoSpaceDE w:val="0"/>
              <w:autoSpaceDN w:val="0"/>
              <w:spacing w:before="0" w:after="0" w:line="246" w:lineRule="exact"/>
              <w:ind w:firstLine="14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0EBB49C9">
      <w:pPr>
        <w:rPr>
          <w:sz w:val="18"/>
          <w:szCs w:val="18"/>
        </w:rPr>
      </w:pPr>
    </w:p>
    <w:p w14:paraId="03026A28">
      <w:pPr>
        <w:rPr>
          <w:sz w:val="18"/>
          <w:szCs w:val="18"/>
        </w:rPr>
      </w:pPr>
    </w:p>
    <w:p w14:paraId="4FDAF6F9">
      <w:pPr>
        <w:rPr>
          <w:sz w:val="18"/>
          <w:szCs w:val="18"/>
        </w:rPr>
      </w:pPr>
    </w:p>
    <w:tbl>
      <w:tblPr>
        <w:tblStyle w:val="15"/>
        <w:tblW w:w="0" w:type="auto"/>
        <w:tblInd w:w="14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78"/>
        <w:gridCol w:w="1212"/>
        <w:gridCol w:w="4378"/>
        <w:gridCol w:w="998"/>
        <w:gridCol w:w="6062"/>
      </w:tblGrid>
      <w:tr w14:paraId="21EB41E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B799E50">
            <w:pPr>
              <w:wordWrap w:val="0"/>
              <w:autoSpaceDE w:val="0"/>
              <w:autoSpaceDN w:val="0"/>
              <w:spacing w:before="26" w:after="0" w:line="233" w:lineRule="exact"/>
              <w:jc w:val="center"/>
              <w:rPr>
                <w:sz w:val="18"/>
                <w:szCs w:val="18"/>
              </w:rPr>
            </w:pPr>
            <w:r>
              <w:rPr>
                <w:rFonts w:hint="eastAsia" w:ascii="宋体" w:hAnsi="宋体" w:eastAsia="宋体"/>
                <w:color w:val="000000"/>
                <w:sz w:val="18"/>
                <w:szCs w:val="18"/>
              </w:rPr>
              <w:t>序号</w:t>
            </w:r>
          </w:p>
        </w:tc>
        <w:tc>
          <w:tcPr>
            <w:tcW w:w="13000" w:type="dxa"/>
            <w:gridSpan w:val="4"/>
            <w:tcBorders>
              <w:top w:val="single" w:color="000000" w:sz="4" w:space="0"/>
              <w:left w:val="single" w:color="000000" w:sz="4" w:space="0"/>
              <w:bottom w:val="single" w:color="000000" w:sz="4" w:space="0"/>
              <w:right w:val="single" w:color="000000" w:sz="4" w:space="0"/>
            </w:tcBorders>
            <w:vAlign w:val="top"/>
          </w:tcPr>
          <w:p w14:paraId="7A04B352">
            <w:pPr>
              <w:wordWrap w:val="0"/>
              <w:autoSpaceDE w:val="0"/>
              <w:autoSpaceDN w:val="0"/>
              <w:spacing w:before="26" w:after="0" w:line="233" w:lineRule="exact"/>
              <w:ind w:firstLine="80"/>
              <w:jc w:val="both"/>
              <w:rPr>
                <w:rFonts w:hint="eastAsia" w:eastAsia="宋体"/>
                <w:sz w:val="18"/>
                <w:szCs w:val="18"/>
                <w:lang w:val="en-US" w:eastAsia="zh-CN"/>
              </w:rPr>
            </w:pPr>
            <w:r>
              <w:rPr>
                <w:rFonts w:hint="eastAsia" w:ascii="Calibri" w:hAnsi="Calibri" w:eastAsia="Calibri"/>
                <w:color w:val="000000"/>
                <w:sz w:val="18"/>
                <w:szCs w:val="18"/>
              </w:rPr>
              <w:t>1</w:t>
            </w:r>
            <w:r>
              <w:rPr>
                <w:rFonts w:hint="eastAsia" w:ascii="Calibri" w:hAnsi="Calibri"/>
                <w:color w:val="000000"/>
                <w:sz w:val="18"/>
                <w:szCs w:val="18"/>
                <w:lang w:val="en-US" w:eastAsia="zh-CN"/>
              </w:rPr>
              <w:t>4</w:t>
            </w:r>
          </w:p>
        </w:tc>
      </w:tr>
      <w:tr w14:paraId="6BC52AA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3DE3F88B">
            <w:pPr>
              <w:wordWrap w:val="0"/>
              <w:autoSpaceDE w:val="0"/>
              <w:autoSpaceDN w:val="0"/>
              <w:spacing w:before="0" w:after="0" w:line="220" w:lineRule="exact"/>
              <w:jc w:val="center"/>
              <w:rPr>
                <w:sz w:val="18"/>
                <w:szCs w:val="18"/>
              </w:rPr>
            </w:pPr>
            <w:r>
              <w:rPr>
                <w:rFonts w:hint="eastAsia" w:ascii="宋体" w:hAnsi="宋体" w:eastAsia="宋体"/>
                <w:color w:val="000000"/>
                <w:sz w:val="18"/>
                <w:szCs w:val="18"/>
              </w:rPr>
              <w:t>编号</w:t>
            </w:r>
          </w:p>
        </w:tc>
        <w:tc>
          <w:tcPr>
            <w:tcW w:w="13000" w:type="dxa"/>
            <w:gridSpan w:val="4"/>
            <w:tcBorders>
              <w:top w:val="single" w:color="000000" w:sz="4" w:space="0"/>
              <w:left w:val="single" w:color="000000" w:sz="4" w:space="0"/>
              <w:bottom w:val="single" w:color="000000" w:sz="4" w:space="0"/>
              <w:right w:val="single" w:color="000000" w:sz="4" w:space="0"/>
            </w:tcBorders>
            <w:vAlign w:val="top"/>
          </w:tcPr>
          <w:p w14:paraId="3C33A100">
            <w:pPr>
              <w:wordWrap w:val="0"/>
              <w:autoSpaceDE w:val="0"/>
              <w:autoSpaceDN w:val="0"/>
              <w:spacing w:before="0" w:after="0" w:line="220" w:lineRule="exact"/>
              <w:ind w:firstLine="80"/>
              <w:jc w:val="both"/>
              <w:rPr>
                <w:sz w:val="18"/>
                <w:szCs w:val="18"/>
              </w:rPr>
            </w:pPr>
            <w:r>
              <w:rPr>
                <w:rFonts w:hint="eastAsia" w:ascii="Calibri" w:hAnsi="Calibri" w:eastAsia="Calibri"/>
                <w:color w:val="000000"/>
                <w:sz w:val="18"/>
                <w:szCs w:val="18"/>
              </w:rPr>
              <w:t>320280017000</w:t>
            </w:r>
          </w:p>
        </w:tc>
      </w:tr>
      <w:tr w14:paraId="18964D1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5BB3D3E">
            <w:pPr>
              <w:wordWrap w:val="0"/>
              <w:autoSpaceDE w:val="0"/>
              <w:autoSpaceDN w:val="0"/>
              <w:spacing w:before="120" w:after="0" w:line="233" w:lineRule="exact"/>
              <w:jc w:val="center"/>
              <w:rPr>
                <w:sz w:val="18"/>
                <w:szCs w:val="18"/>
              </w:rPr>
            </w:pPr>
            <w:r>
              <w:rPr>
                <w:rFonts w:hint="eastAsia" w:ascii="宋体" w:hAnsi="宋体" w:eastAsia="宋体"/>
                <w:color w:val="000000"/>
                <w:sz w:val="18"/>
                <w:szCs w:val="18"/>
              </w:rPr>
              <w:t>行为名称</w:t>
            </w:r>
          </w:p>
        </w:tc>
        <w:tc>
          <w:tcPr>
            <w:tcW w:w="13000" w:type="dxa"/>
            <w:gridSpan w:val="4"/>
            <w:tcBorders>
              <w:top w:val="single" w:color="000000" w:sz="4" w:space="0"/>
              <w:left w:val="single" w:color="000000" w:sz="4" w:space="0"/>
              <w:bottom w:val="single" w:color="000000" w:sz="4" w:space="0"/>
              <w:right w:val="single" w:color="000000" w:sz="4" w:space="0"/>
            </w:tcBorders>
            <w:vAlign w:val="top"/>
          </w:tcPr>
          <w:p w14:paraId="0CD79E9E">
            <w:pPr>
              <w:wordWrap w:val="0"/>
              <w:autoSpaceDE w:val="0"/>
              <w:autoSpaceDN w:val="0"/>
              <w:spacing w:before="0" w:after="0" w:line="200" w:lineRule="exact"/>
              <w:ind w:left="120" w:right="80" w:firstLine="100"/>
              <w:jc w:val="both"/>
              <w:rPr>
                <w:sz w:val="18"/>
                <w:szCs w:val="18"/>
              </w:rPr>
            </w:pPr>
            <w:r>
              <w:rPr>
                <w:rFonts w:hint="eastAsia" w:ascii="宋体" w:hAnsi="宋体" w:eastAsia="宋体"/>
                <w:color w:val="000000"/>
                <w:sz w:val="18"/>
                <w:szCs w:val="18"/>
              </w:rPr>
              <w:t>对人民防空工程监理单位与建设单位或者施工单位串通，弄虚作假、降低人防工程质量，或者将不合格的建设工程、建筑材料、建筑构配件和设备按照合格签字的处罚</w:t>
            </w:r>
          </w:p>
        </w:tc>
      </w:tr>
      <w:tr w14:paraId="0213D7C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0C6148CA">
            <w:pPr>
              <w:wordWrap w:val="0"/>
              <w:autoSpaceDE w:val="0"/>
              <w:autoSpaceDN w:val="0"/>
              <w:spacing w:before="0" w:after="0" w:line="233" w:lineRule="exact"/>
              <w:ind w:firstLine="0"/>
              <w:jc w:val="both"/>
              <w:rPr>
                <w:rFonts w:hint="eastAsia" w:ascii="宋体" w:hAnsi="宋体" w:eastAsia="宋体"/>
                <w:color w:val="000000"/>
                <w:sz w:val="18"/>
                <w:szCs w:val="18"/>
              </w:rPr>
            </w:pPr>
          </w:p>
          <w:p w14:paraId="41271514">
            <w:pPr>
              <w:wordWrap w:val="0"/>
              <w:autoSpaceDE w:val="0"/>
              <w:autoSpaceDN w:val="0"/>
              <w:spacing w:before="0" w:after="0" w:line="233" w:lineRule="exact"/>
              <w:ind w:firstLine="0"/>
              <w:jc w:val="both"/>
              <w:rPr>
                <w:rFonts w:hint="eastAsia" w:ascii="宋体" w:hAnsi="宋体" w:eastAsia="宋体"/>
                <w:color w:val="000000"/>
                <w:sz w:val="18"/>
                <w:szCs w:val="18"/>
              </w:rPr>
            </w:pPr>
          </w:p>
          <w:p w14:paraId="3FB82DF7">
            <w:pPr>
              <w:wordWrap w:val="0"/>
              <w:autoSpaceDE w:val="0"/>
              <w:autoSpaceDN w:val="0"/>
              <w:spacing w:before="0" w:after="0" w:line="233" w:lineRule="exact"/>
              <w:ind w:firstLine="0"/>
              <w:jc w:val="both"/>
              <w:rPr>
                <w:rFonts w:hint="eastAsia" w:ascii="宋体" w:hAnsi="宋体" w:eastAsia="宋体"/>
                <w:color w:val="000000"/>
                <w:sz w:val="18"/>
                <w:szCs w:val="18"/>
              </w:rPr>
            </w:pPr>
          </w:p>
          <w:p w14:paraId="3A596977">
            <w:pPr>
              <w:wordWrap w:val="0"/>
              <w:autoSpaceDE w:val="0"/>
              <w:autoSpaceDN w:val="0"/>
              <w:spacing w:before="0" w:after="0" w:line="233" w:lineRule="exact"/>
              <w:ind w:firstLine="0"/>
              <w:jc w:val="both"/>
              <w:rPr>
                <w:rFonts w:hint="eastAsia" w:ascii="宋体" w:hAnsi="宋体" w:eastAsia="宋体"/>
                <w:color w:val="000000"/>
                <w:sz w:val="18"/>
                <w:szCs w:val="18"/>
              </w:rPr>
            </w:pPr>
          </w:p>
          <w:p w14:paraId="3A35717A">
            <w:pPr>
              <w:wordWrap w:val="0"/>
              <w:autoSpaceDE w:val="0"/>
              <w:autoSpaceDN w:val="0"/>
              <w:spacing w:before="0" w:after="0" w:line="233" w:lineRule="exact"/>
              <w:ind w:firstLine="0"/>
              <w:jc w:val="both"/>
              <w:rPr>
                <w:rFonts w:hint="eastAsia" w:ascii="宋体" w:hAnsi="宋体" w:eastAsia="宋体"/>
                <w:color w:val="000000"/>
                <w:sz w:val="18"/>
                <w:szCs w:val="18"/>
              </w:rPr>
            </w:pPr>
          </w:p>
          <w:p w14:paraId="73BC246E">
            <w:pPr>
              <w:wordWrap w:val="0"/>
              <w:autoSpaceDE w:val="0"/>
              <w:autoSpaceDN w:val="0"/>
              <w:spacing w:before="0" w:after="0" w:line="233" w:lineRule="exact"/>
              <w:ind w:firstLine="0"/>
              <w:jc w:val="both"/>
              <w:rPr>
                <w:rFonts w:hint="eastAsia" w:ascii="宋体" w:hAnsi="宋体" w:eastAsia="宋体"/>
                <w:color w:val="000000"/>
                <w:sz w:val="18"/>
                <w:szCs w:val="18"/>
              </w:rPr>
            </w:pPr>
          </w:p>
          <w:p w14:paraId="42453822">
            <w:pPr>
              <w:wordWrap w:val="0"/>
              <w:autoSpaceDE w:val="0"/>
              <w:autoSpaceDN w:val="0"/>
              <w:spacing w:before="159" w:after="0" w:line="233" w:lineRule="exact"/>
              <w:ind w:firstLine="240"/>
              <w:jc w:val="both"/>
              <w:rPr>
                <w:sz w:val="18"/>
                <w:szCs w:val="18"/>
              </w:rPr>
            </w:pPr>
            <w:r>
              <w:rPr>
                <w:rFonts w:hint="eastAsia" w:ascii="宋体" w:hAnsi="宋体" w:eastAsia="宋体"/>
                <w:color w:val="000000"/>
                <w:sz w:val="18"/>
                <w:szCs w:val="18"/>
              </w:rPr>
              <w:t>法律依据</w:t>
            </w:r>
          </w:p>
        </w:tc>
        <w:tc>
          <w:tcPr>
            <w:tcW w:w="13000" w:type="dxa"/>
            <w:gridSpan w:val="4"/>
            <w:tcBorders>
              <w:top w:val="single" w:color="000000" w:sz="4" w:space="0"/>
              <w:left w:val="single" w:color="000000" w:sz="4" w:space="0"/>
              <w:bottom w:val="single" w:color="000000" w:sz="4" w:space="0"/>
              <w:right w:val="single" w:color="000000" w:sz="4" w:space="0"/>
            </w:tcBorders>
            <w:vAlign w:val="top"/>
          </w:tcPr>
          <w:p w14:paraId="33040CCB">
            <w:pPr>
              <w:wordWrap w:val="0"/>
              <w:autoSpaceDE w:val="0"/>
              <w:autoSpaceDN w:val="0"/>
              <w:spacing w:before="0" w:after="0" w:line="220"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2A7C6C12">
            <w:pPr>
              <w:wordWrap w:val="0"/>
              <w:autoSpaceDE w:val="0"/>
              <w:autoSpaceDN w:val="0"/>
              <w:spacing w:before="0" w:after="0" w:line="200" w:lineRule="exact"/>
              <w:ind w:left="100" w:right="60" w:firstLine="420"/>
              <w:jc w:val="both"/>
              <w:rPr>
                <w:sz w:val="18"/>
                <w:szCs w:val="18"/>
              </w:rPr>
            </w:pPr>
            <w:r>
              <w:rPr>
                <w:rFonts w:hint="eastAsia" w:ascii="宋体" w:hAnsi="宋体" w:eastAsia="宋体"/>
                <w:color w:val="000000"/>
                <w:sz w:val="18"/>
                <w:szCs w:val="18"/>
              </w:rPr>
              <w:t>第三十六条 工程监理单位应当依照法律、法规以及有关技术标准、设计文件和建设工程承包合同，代表建设单位对施工质量实施监理，并对施工质量承担监理责任。</w:t>
            </w:r>
          </w:p>
          <w:p w14:paraId="7C6D5A83">
            <w:pPr>
              <w:wordWrap w:val="0"/>
              <w:autoSpaceDE w:val="0"/>
              <w:autoSpaceDN w:val="0"/>
              <w:spacing w:before="0" w:after="0" w:line="220" w:lineRule="exact"/>
              <w:ind w:left="100" w:right="100" w:firstLine="420"/>
              <w:jc w:val="both"/>
              <w:rPr>
                <w:sz w:val="18"/>
                <w:szCs w:val="18"/>
              </w:rPr>
            </w:pPr>
            <w:r>
              <w:rPr>
                <w:rFonts w:hint="eastAsia" w:ascii="宋体" w:hAnsi="宋体" w:eastAsia="宋体"/>
                <w:color w:val="000000"/>
                <w:sz w:val="18"/>
                <w:szCs w:val="18"/>
              </w:rPr>
              <w:t>第三十七条第二款 未经监理工程师签字，建筑材料、建筑构配件和设备不得在工程上使用或者安装，施工单位不得进行下一道工序的施工。未经总监理工程师签字，建设单位不拨付工程款，不进行竣工验收。</w:t>
            </w:r>
          </w:p>
          <w:p w14:paraId="30392949">
            <w:pPr>
              <w:wordWrap w:val="0"/>
              <w:autoSpaceDE w:val="0"/>
              <w:autoSpaceDN w:val="0"/>
              <w:spacing w:before="0" w:after="0" w:line="210" w:lineRule="exact"/>
              <w:ind w:left="100" w:right="40" w:firstLine="420"/>
              <w:jc w:val="both"/>
              <w:rPr>
                <w:sz w:val="18"/>
                <w:szCs w:val="18"/>
              </w:rPr>
            </w:pPr>
            <w:r>
              <w:rPr>
                <w:rFonts w:hint="eastAsia" w:ascii="宋体" w:hAnsi="宋体" w:eastAsia="宋体"/>
                <w:color w:val="000000"/>
                <w:sz w:val="18"/>
                <w:szCs w:val="18"/>
              </w:rPr>
              <w:t>第六十七条 工程监理单位有下列行为之一的，责令改正，处</w:t>
            </w:r>
            <w:r>
              <w:rPr>
                <w:rFonts w:hint="eastAsia" w:ascii="Calibri" w:hAnsi="Calibri" w:eastAsia="Calibri"/>
                <w:color w:val="000000"/>
                <w:sz w:val="18"/>
                <w:szCs w:val="18"/>
              </w:rPr>
              <w:t>50</w:t>
            </w:r>
            <w:r>
              <w:rPr>
                <w:rFonts w:hint="eastAsia" w:ascii="宋体" w:hAnsi="宋体" w:eastAsia="宋体"/>
                <w:color w:val="000000"/>
                <w:sz w:val="18"/>
                <w:szCs w:val="18"/>
              </w:rPr>
              <w:t>万元以上</w:t>
            </w:r>
            <w:r>
              <w:rPr>
                <w:rFonts w:hint="eastAsia" w:ascii="Calibri" w:hAnsi="Calibri" w:eastAsia="Calibri"/>
                <w:color w:val="000000"/>
                <w:sz w:val="18"/>
                <w:szCs w:val="18"/>
              </w:rPr>
              <w:t>100</w:t>
            </w:r>
            <w:r>
              <w:rPr>
                <w:rFonts w:hint="eastAsia" w:ascii="宋体" w:hAnsi="宋体" w:eastAsia="宋体"/>
                <w:color w:val="000000"/>
                <w:sz w:val="18"/>
                <w:szCs w:val="18"/>
              </w:rPr>
              <w:t>万元以下的罚款，降低资质等级或者吊销资质证书；有违法所得的，予以没收；造成损失的，承担连带赔偿责任：</w:t>
            </w:r>
          </w:p>
          <w:p w14:paraId="013BEDC4">
            <w:pPr>
              <w:wordWrap w:val="0"/>
              <w:autoSpaceDE w:val="0"/>
              <w:autoSpaceDN w:val="0"/>
              <w:spacing w:before="0" w:after="0" w:line="200" w:lineRule="exact"/>
              <w:ind w:firstLine="560"/>
              <w:jc w:val="both"/>
              <w:rPr>
                <w:sz w:val="18"/>
                <w:szCs w:val="18"/>
              </w:rPr>
            </w:pPr>
            <w:r>
              <w:rPr>
                <w:rFonts w:hint="eastAsia" w:ascii="宋体" w:hAnsi="宋体" w:eastAsia="宋体"/>
                <w:color w:val="000000"/>
                <w:sz w:val="18"/>
                <w:szCs w:val="18"/>
              </w:rPr>
              <w:t>（一）与建设单位或者施工单位串通，弄虚作假、降低工程质量的；</w:t>
            </w:r>
          </w:p>
          <w:p w14:paraId="19608AAA">
            <w:pPr>
              <w:wordWrap w:val="0"/>
              <w:autoSpaceDE w:val="0"/>
              <w:autoSpaceDN w:val="0"/>
              <w:spacing w:before="0" w:after="0" w:line="220" w:lineRule="exact"/>
              <w:ind w:firstLine="560"/>
              <w:jc w:val="both"/>
              <w:rPr>
                <w:sz w:val="18"/>
                <w:szCs w:val="18"/>
              </w:rPr>
            </w:pPr>
            <w:r>
              <w:rPr>
                <w:rFonts w:hint="eastAsia" w:ascii="宋体" w:hAnsi="宋体" w:eastAsia="宋体"/>
                <w:color w:val="000000"/>
                <w:sz w:val="18"/>
                <w:szCs w:val="18"/>
              </w:rPr>
              <w:t>（二）将不合格的建设工程、建筑材料、建筑构配件和设备按照合格签字的。</w:t>
            </w:r>
          </w:p>
          <w:p w14:paraId="7AD9975D">
            <w:pPr>
              <w:wordWrap w:val="0"/>
              <w:autoSpaceDE w:val="0"/>
              <w:autoSpaceDN w:val="0"/>
              <w:spacing w:before="186" w:after="0" w:line="233" w:lineRule="exact"/>
              <w:ind w:left="100" w:right="4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6D1BAA98">
            <w:pPr>
              <w:wordWrap w:val="0"/>
              <w:autoSpaceDE w:val="0"/>
              <w:autoSpaceDN w:val="0"/>
              <w:spacing w:before="0" w:after="0" w:line="210" w:lineRule="exact"/>
              <w:ind w:left="120" w:right="20" w:firstLine="40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00941A4D">
            <w:pPr>
              <w:wordWrap w:val="0"/>
              <w:autoSpaceDE w:val="0"/>
              <w:autoSpaceDN w:val="0"/>
              <w:spacing w:before="0" w:after="0" w:line="220"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4F71BCE9">
            <w:pPr>
              <w:wordWrap w:val="0"/>
              <w:autoSpaceDE w:val="0"/>
              <w:autoSpaceDN w:val="0"/>
              <w:spacing w:before="0" w:after="0" w:line="170" w:lineRule="exact"/>
              <w:ind w:left="120" w:right="6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06ECEDF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C31CB98">
            <w:pPr>
              <w:wordWrap w:val="0"/>
              <w:autoSpaceDE w:val="0"/>
              <w:autoSpaceDN w:val="0"/>
              <w:spacing w:before="0" w:after="0" w:line="220" w:lineRule="exact"/>
              <w:ind w:firstLine="240"/>
              <w:jc w:val="both"/>
              <w:rPr>
                <w:sz w:val="18"/>
                <w:szCs w:val="18"/>
              </w:rPr>
            </w:pPr>
            <w:r>
              <w:rPr>
                <w:rFonts w:hint="eastAsia" w:ascii="宋体" w:hAnsi="宋体" w:eastAsia="宋体"/>
                <w:color w:val="000000"/>
                <w:sz w:val="18"/>
                <w:szCs w:val="18"/>
              </w:rPr>
              <w:t>处罚种类</w:t>
            </w:r>
          </w:p>
        </w:tc>
        <w:tc>
          <w:tcPr>
            <w:tcW w:w="13000" w:type="dxa"/>
            <w:gridSpan w:val="4"/>
            <w:tcBorders>
              <w:top w:val="single" w:color="000000" w:sz="4" w:space="0"/>
              <w:left w:val="single" w:color="000000" w:sz="4" w:space="0"/>
              <w:bottom w:val="single" w:color="000000" w:sz="4" w:space="0"/>
              <w:right w:val="single" w:color="000000" w:sz="4" w:space="0"/>
            </w:tcBorders>
            <w:vAlign w:val="top"/>
          </w:tcPr>
          <w:p w14:paraId="465A38CA">
            <w:pPr>
              <w:wordWrap w:val="0"/>
              <w:autoSpaceDE w:val="0"/>
              <w:autoSpaceDN w:val="0"/>
              <w:spacing w:before="6" w:after="0" w:line="233" w:lineRule="exact"/>
              <w:ind w:firstLine="100"/>
              <w:jc w:val="both"/>
              <w:rPr>
                <w:sz w:val="18"/>
                <w:szCs w:val="18"/>
              </w:rPr>
            </w:pPr>
            <w:r>
              <w:rPr>
                <w:rFonts w:hint="eastAsia" w:ascii="宋体" w:hAnsi="宋体" w:eastAsia="宋体"/>
                <w:color w:val="000000"/>
                <w:sz w:val="18"/>
                <w:szCs w:val="18"/>
              </w:rPr>
              <w:t>罚款、没收违法所得</w:t>
            </w:r>
          </w:p>
        </w:tc>
      </w:tr>
      <w:tr w14:paraId="3A7A94C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4200" w:type="dxa"/>
            <w:gridSpan w:val="5"/>
            <w:tcBorders>
              <w:top w:val="single" w:color="000000" w:sz="4" w:space="0"/>
              <w:left w:val="single" w:color="000000" w:sz="4" w:space="0"/>
              <w:bottom w:val="single" w:color="000000" w:sz="4" w:space="0"/>
              <w:right w:val="single" w:color="000000" w:sz="4" w:space="0"/>
            </w:tcBorders>
            <w:vAlign w:val="top"/>
          </w:tcPr>
          <w:p w14:paraId="53334603">
            <w:pPr>
              <w:wordWrap w:val="0"/>
              <w:autoSpaceDE w:val="0"/>
              <w:autoSpaceDN w:val="0"/>
              <w:spacing w:before="26" w:after="0" w:line="233" w:lineRule="exact"/>
              <w:jc w:val="center"/>
              <w:rPr>
                <w:sz w:val="18"/>
                <w:szCs w:val="18"/>
              </w:rPr>
            </w:pPr>
            <w:r>
              <w:rPr>
                <w:rFonts w:hint="eastAsia" w:ascii="宋体" w:hAnsi="宋体" w:eastAsia="宋体"/>
                <w:color w:val="000000"/>
                <w:sz w:val="18"/>
                <w:szCs w:val="18"/>
              </w:rPr>
              <w:t>自由裁量基准</w:t>
            </w:r>
          </w:p>
        </w:tc>
      </w:tr>
      <w:tr w14:paraId="55F38F5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2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70F0A53D">
            <w:pPr>
              <w:wordWrap w:val="0"/>
              <w:autoSpaceDE w:val="0"/>
              <w:autoSpaceDN w:val="0"/>
              <w:spacing w:before="0" w:after="0" w:line="228" w:lineRule="exact"/>
              <w:ind w:left="100" w:right="20" w:firstLine="0"/>
              <w:jc w:val="both"/>
              <w:rPr>
                <w:sz w:val="18"/>
                <w:szCs w:val="18"/>
              </w:rPr>
            </w:pPr>
            <w:r>
              <w:rPr>
                <w:rFonts w:hint="eastAsia" w:ascii="宋体" w:hAnsi="宋体" w:eastAsia="宋体"/>
                <w:color w:val="000000"/>
                <w:sz w:val="18"/>
                <w:szCs w:val="18"/>
              </w:rPr>
              <w:t>情形描述（监理单位与建设单位或者施工单位串通，弄虚作假、降低人防工程质量）</w:t>
            </w:r>
          </w:p>
        </w:tc>
        <w:tc>
          <w:tcPr>
            <w:tcW w:w="1240" w:type="dxa"/>
            <w:vMerge w:val="restart"/>
            <w:tcBorders>
              <w:top w:val="single" w:color="000000" w:sz="4" w:space="0"/>
              <w:left w:val="single" w:color="000000" w:sz="4" w:space="0"/>
              <w:bottom w:val="single" w:color="000000" w:sz="4" w:space="0"/>
              <w:right w:val="single" w:color="000000" w:sz="4" w:space="0"/>
            </w:tcBorders>
            <w:vAlign w:val="top"/>
          </w:tcPr>
          <w:p w14:paraId="54EB58C7">
            <w:pPr>
              <w:wordWrap w:val="0"/>
              <w:autoSpaceDE w:val="0"/>
              <w:autoSpaceDN w:val="0"/>
              <w:spacing w:before="0" w:after="0" w:line="233" w:lineRule="exact"/>
              <w:ind w:firstLine="0"/>
              <w:jc w:val="both"/>
              <w:rPr>
                <w:rFonts w:hint="eastAsia" w:ascii="宋体" w:hAnsi="宋体" w:eastAsia="宋体"/>
                <w:color w:val="000000"/>
                <w:sz w:val="18"/>
                <w:szCs w:val="18"/>
              </w:rPr>
            </w:pPr>
          </w:p>
          <w:p w14:paraId="154404F7">
            <w:pPr>
              <w:wordWrap w:val="0"/>
              <w:autoSpaceDE w:val="0"/>
              <w:autoSpaceDN w:val="0"/>
              <w:spacing w:before="33" w:after="0" w:line="233" w:lineRule="exact"/>
              <w:ind w:firstLine="120"/>
              <w:jc w:val="both"/>
              <w:rPr>
                <w:sz w:val="18"/>
                <w:szCs w:val="18"/>
              </w:rPr>
            </w:pPr>
            <w:r>
              <w:rPr>
                <w:rFonts w:hint="eastAsia" w:ascii="宋体" w:hAnsi="宋体" w:eastAsia="宋体"/>
                <w:color w:val="000000"/>
                <w:sz w:val="18"/>
                <w:szCs w:val="18"/>
              </w:rPr>
              <w:t>未造成质量</w:t>
            </w:r>
          </w:p>
          <w:p w14:paraId="2FEFD7A8">
            <w:pPr>
              <w:wordWrap w:val="0"/>
              <w:autoSpaceDE w:val="0"/>
              <w:autoSpaceDN w:val="0"/>
              <w:spacing w:before="0" w:after="0" w:line="180" w:lineRule="exact"/>
              <w:ind w:firstLine="120"/>
              <w:jc w:val="both"/>
              <w:rPr>
                <w:sz w:val="18"/>
                <w:szCs w:val="18"/>
              </w:rPr>
            </w:pPr>
            <w:r>
              <w:rPr>
                <w:rFonts w:hint="eastAsia" w:ascii="宋体" w:hAnsi="宋体" w:eastAsia="宋体"/>
                <w:color w:val="000000"/>
                <w:sz w:val="18"/>
                <w:szCs w:val="18"/>
              </w:rPr>
              <w:t>事故的</w:t>
            </w:r>
          </w:p>
        </w:tc>
        <w:tc>
          <w:tcPr>
            <w:tcW w:w="4500" w:type="dxa"/>
            <w:tcBorders>
              <w:top w:val="single" w:color="000000" w:sz="4" w:space="0"/>
              <w:left w:val="single" w:color="000000" w:sz="4" w:space="0"/>
              <w:bottom w:val="single" w:color="000000" w:sz="4" w:space="0"/>
              <w:right w:val="single" w:color="000000" w:sz="4" w:space="0"/>
            </w:tcBorders>
            <w:vAlign w:val="top"/>
          </w:tcPr>
          <w:p w14:paraId="71951392">
            <w:pPr>
              <w:wordWrap w:val="0"/>
              <w:autoSpaceDE w:val="0"/>
              <w:autoSpaceDN w:val="0"/>
              <w:spacing w:before="0" w:after="0" w:line="233" w:lineRule="exact"/>
              <w:ind w:firstLine="100"/>
              <w:jc w:val="both"/>
              <w:rPr>
                <w:sz w:val="18"/>
                <w:szCs w:val="18"/>
              </w:rPr>
            </w:pPr>
            <w:r>
              <w:rPr>
                <w:rFonts w:hint="eastAsia" w:ascii="宋体" w:hAnsi="宋体" w:eastAsia="宋体"/>
                <w:color w:val="000000"/>
                <w:sz w:val="18"/>
                <w:szCs w:val="18"/>
              </w:rPr>
              <w:t>与建设单位或者施工单位串通，弄虚作假，降低工</w:t>
            </w:r>
          </w:p>
          <w:p w14:paraId="104734CB">
            <w:pPr>
              <w:wordWrap w:val="0"/>
              <w:autoSpaceDE w:val="0"/>
              <w:autoSpaceDN w:val="0"/>
              <w:spacing w:before="0" w:after="0" w:line="140" w:lineRule="exact"/>
              <w:ind w:firstLine="100"/>
              <w:jc w:val="both"/>
              <w:rPr>
                <w:sz w:val="18"/>
                <w:szCs w:val="18"/>
              </w:rPr>
            </w:pPr>
            <w:r>
              <w:rPr>
                <w:rFonts w:hint="eastAsia" w:ascii="宋体" w:hAnsi="宋体" w:eastAsia="宋体"/>
                <w:color w:val="000000"/>
                <w:sz w:val="18"/>
                <w:szCs w:val="18"/>
              </w:rPr>
              <w:t>程质量</w:t>
            </w:r>
          </w:p>
        </w:tc>
        <w:tc>
          <w:tcPr>
            <w:tcW w:w="1020" w:type="dxa"/>
            <w:vMerge w:val="restart"/>
            <w:tcBorders>
              <w:top w:val="single" w:color="000000" w:sz="4" w:space="0"/>
              <w:left w:val="single" w:color="000000" w:sz="4" w:space="0"/>
              <w:bottom w:val="single" w:color="000000" w:sz="4" w:space="0"/>
              <w:right w:val="single" w:color="000000" w:sz="4" w:space="0"/>
            </w:tcBorders>
            <w:vAlign w:val="top"/>
          </w:tcPr>
          <w:p w14:paraId="16E34F7B">
            <w:pPr>
              <w:wordWrap w:val="0"/>
              <w:autoSpaceDE w:val="0"/>
              <w:autoSpaceDN w:val="0"/>
              <w:spacing w:before="0" w:after="0" w:line="233" w:lineRule="exact"/>
              <w:ind w:firstLine="0"/>
              <w:jc w:val="both"/>
              <w:rPr>
                <w:rFonts w:hint="eastAsia" w:ascii="宋体" w:hAnsi="宋体" w:eastAsia="宋体"/>
                <w:color w:val="000000"/>
                <w:sz w:val="18"/>
                <w:szCs w:val="18"/>
              </w:rPr>
            </w:pPr>
          </w:p>
          <w:p w14:paraId="17740C58">
            <w:pPr>
              <w:wordWrap w:val="0"/>
              <w:autoSpaceDE w:val="0"/>
              <w:autoSpaceDN w:val="0"/>
              <w:spacing w:before="0" w:after="0" w:line="233" w:lineRule="exact"/>
              <w:ind w:firstLine="0"/>
              <w:jc w:val="both"/>
              <w:rPr>
                <w:rFonts w:hint="eastAsia" w:ascii="宋体" w:hAnsi="宋体" w:eastAsia="宋体"/>
                <w:color w:val="000000"/>
                <w:sz w:val="18"/>
                <w:szCs w:val="18"/>
              </w:rPr>
            </w:pPr>
          </w:p>
          <w:p w14:paraId="5CBB3AD1">
            <w:pPr>
              <w:wordWrap w:val="0"/>
              <w:autoSpaceDE w:val="0"/>
              <w:autoSpaceDN w:val="0"/>
              <w:spacing w:before="0" w:after="0" w:line="233" w:lineRule="exact"/>
              <w:ind w:firstLine="0"/>
              <w:jc w:val="both"/>
              <w:rPr>
                <w:rFonts w:hint="eastAsia" w:ascii="宋体" w:hAnsi="宋体" w:eastAsia="宋体"/>
                <w:color w:val="000000"/>
                <w:sz w:val="18"/>
                <w:szCs w:val="18"/>
              </w:rPr>
            </w:pPr>
          </w:p>
          <w:p w14:paraId="425AD1CF">
            <w:pPr>
              <w:wordWrap w:val="0"/>
              <w:autoSpaceDE w:val="0"/>
              <w:autoSpaceDN w:val="0"/>
              <w:spacing w:before="59" w:after="0" w:line="233" w:lineRule="exact"/>
              <w:ind w:firstLine="100"/>
              <w:jc w:val="both"/>
              <w:rPr>
                <w:sz w:val="18"/>
                <w:szCs w:val="18"/>
              </w:rPr>
            </w:pPr>
            <w:r>
              <w:rPr>
                <w:rFonts w:hint="eastAsia" w:ascii="宋体" w:hAnsi="宋体" w:eastAsia="宋体"/>
                <w:color w:val="000000"/>
                <w:sz w:val="18"/>
                <w:szCs w:val="18"/>
              </w:rPr>
              <w:t>裁量幅度</w:t>
            </w:r>
          </w:p>
        </w:tc>
        <w:tc>
          <w:tcPr>
            <w:tcW w:w="6240" w:type="dxa"/>
            <w:tcBorders>
              <w:top w:val="single" w:color="000000" w:sz="4" w:space="0"/>
              <w:left w:val="single" w:color="000000" w:sz="4" w:space="0"/>
              <w:bottom w:val="single" w:color="000000" w:sz="4" w:space="0"/>
              <w:right w:val="single" w:color="000000" w:sz="4" w:space="0"/>
            </w:tcBorders>
            <w:vAlign w:val="top"/>
          </w:tcPr>
          <w:p w14:paraId="3E25ED7A">
            <w:pPr>
              <w:wordWrap w:val="0"/>
              <w:autoSpaceDE w:val="0"/>
              <w:autoSpaceDN w:val="0"/>
              <w:spacing w:before="0" w:after="0" w:line="233" w:lineRule="exact"/>
              <w:ind w:firstLine="12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50</w:t>
            </w:r>
            <w:r>
              <w:rPr>
                <w:rFonts w:hint="eastAsia" w:ascii="宋体" w:hAnsi="宋体" w:eastAsia="宋体"/>
                <w:color w:val="000000"/>
                <w:sz w:val="18"/>
                <w:szCs w:val="18"/>
              </w:rPr>
              <w:t>万元以上</w:t>
            </w:r>
            <w:r>
              <w:rPr>
                <w:rFonts w:hint="eastAsia" w:ascii="Calibri" w:hAnsi="Calibri" w:eastAsia="Calibri"/>
                <w:color w:val="000000"/>
                <w:sz w:val="18"/>
                <w:szCs w:val="18"/>
              </w:rPr>
              <w:t>60</w:t>
            </w:r>
            <w:r>
              <w:rPr>
                <w:rFonts w:hint="eastAsia" w:ascii="宋体" w:hAnsi="宋体" w:eastAsia="宋体"/>
                <w:color w:val="000000"/>
                <w:sz w:val="18"/>
                <w:szCs w:val="18"/>
              </w:rPr>
              <w:t>万元以下罚款</w:t>
            </w:r>
          </w:p>
          <w:p w14:paraId="2131B5A1">
            <w:pPr>
              <w:wordWrap w:val="0"/>
              <w:autoSpaceDE w:val="0"/>
              <w:autoSpaceDN w:val="0"/>
              <w:spacing w:before="0" w:after="0" w:line="160" w:lineRule="exact"/>
              <w:ind w:firstLine="10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1EED355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0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769E70F4">
            <w:pPr>
              <w:rPr>
                <w:sz w:val="18"/>
                <w:szCs w:val="18"/>
              </w:rPr>
            </w:pPr>
          </w:p>
        </w:tc>
        <w:tc>
          <w:tcPr>
            <w:tcW w:w="1240" w:type="dxa"/>
            <w:vMerge w:val="continue"/>
            <w:tcBorders>
              <w:top w:val="single" w:color="000000" w:sz="4" w:space="0"/>
              <w:left w:val="single" w:color="000000" w:sz="4" w:space="0"/>
              <w:bottom w:val="single" w:color="000000" w:sz="4" w:space="0"/>
              <w:right w:val="single" w:color="000000" w:sz="4" w:space="0"/>
            </w:tcBorders>
          </w:tcPr>
          <w:p w14:paraId="1A6B25D4">
            <w:pPr>
              <w:rPr>
                <w:sz w:val="18"/>
                <w:szCs w:val="18"/>
              </w:rPr>
            </w:pPr>
          </w:p>
        </w:tc>
        <w:tc>
          <w:tcPr>
            <w:tcW w:w="4500" w:type="dxa"/>
            <w:tcBorders>
              <w:top w:val="single" w:color="000000" w:sz="4" w:space="0"/>
              <w:left w:val="single" w:color="000000" w:sz="4" w:space="0"/>
              <w:bottom w:val="single" w:color="000000" w:sz="4" w:space="0"/>
              <w:right w:val="single" w:color="000000" w:sz="4" w:space="0"/>
            </w:tcBorders>
            <w:vAlign w:val="top"/>
          </w:tcPr>
          <w:p w14:paraId="73E69DBA">
            <w:pPr>
              <w:wordWrap w:val="0"/>
              <w:autoSpaceDE w:val="0"/>
              <w:autoSpaceDN w:val="0"/>
              <w:spacing w:before="0" w:after="0" w:line="180" w:lineRule="exact"/>
              <w:ind w:left="80" w:right="20" w:firstLine="20"/>
              <w:jc w:val="both"/>
              <w:rPr>
                <w:sz w:val="18"/>
                <w:szCs w:val="18"/>
              </w:rPr>
            </w:pPr>
            <w:r>
              <w:rPr>
                <w:rFonts w:hint="eastAsia" w:ascii="宋体" w:hAnsi="宋体" w:eastAsia="宋体"/>
                <w:color w:val="000000"/>
                <w:sz w:val="18"/>
                <w:szCs w:val="18"/>
              </w:rPr>
              <w:t>与建设单位和施工单位串通，弄虚作假，降低工程质量</w:t>
            </w:r>
          </w:p>
        </w:tc>
        <w:tc>
          <w:tcPr>
            <w:tcW w:w="1020" w:type="dxa"/>
            <w:vMerge w:val="continue"/>
            <w:tcBorders>
              <w:top w:val="single" w:color="000000" w:sz="4" w:space="0"/>
              <w:left w:val="single" w:color="000000" w:sz="4" w:space="0"/>
              <w:bottom w:val="single" w:color="000000" w:sz="4" w:space="0"/>
              <w:right w:val="single" w:color="000000" w:sz="4" w:space="0"/>
            </w:tcBorders>
          </w:tcPr>
          <w:p w14:paraId="55975F1A">
            <w:pPr>
              <w:rPr>
                <w:sz w:val="18"/>
                <w:szCs w:val="18"/>
              </w:rPr>
            </w:pPr>
          </w:p>
        </w:tc>
        <w:tc>
          <w:tcPr>
            <w:tcW w:w="6240" w:type="dxa"/>
            <w:tcBorders>
              <w:top w:val="single" w:color="000000" w:sz="4" w:space="0"/>
              <w:left w:val="single" w:color="000000" w:sz="4" w:space="0"/>
              <w:bottom w:val="single" w:color="000000" w:sz="4" w:space="0"/>
              <w:right w:val="single" w:color="000000" w:sz="4" w:space="0"/>
            </w:tcBorders>
            <w:vAlign w:val="top"/>
          </w:tcPr>
          <w:p w14:paraId="60E3FEB9">
            <w:pPr>
              <w:wordWrap w:val="0"/>
              <w:autoSpaceDE w:val="0"/>
              <w:autoSpaceDN w:val="0"/>
              <w:spacing w:before="0" w:after="0" w:line="233" w:lineRule="exact"/>
              <w:ind w:firstLine="12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60</w:t>
            </w:r>
            <w:r>
              <w:rPr>
                <w:rFonts w:hint="eastAsia" w:ascii="宋体" w:hAnsi="宋体" w:eastAsia="宋体"/>
                <w:color w:val="000000"/>
                <w:sz w:val="18"/>
                <w:szCs w:val="18"/>
              </w:rPr>
              <w:t>万元以上</w:t>
            </w:r>
            <w:r>
              <w:rPr>
                <w:rFonts w:hint="eastAsia" w:ascii="Calibri" w:hAnsi="Calibri" w:eastAsia="Calibri"/>
                <w:color w:val="000000"/>
                <w:sz w:val="18"/>
                <w:szCs w:val="18"/>
              </w:rPr>
              <w:t>70</w:t>
            </w:r>
            <w:r>
              <w:rPr>
                <w:rFonts w:hint="eastAsia" w:ascii="宋体" w:hAnsi="宋体" w:eastAsia="宋体"/>
                <w:color w:val="000000"/>
                <w:sz w:val="18"/>
                <w:szCs w:val="18"/>
              </w:rPr>
              <w:t>万元以下罚款</w:t>
            </w:r>
          </w:p>
          <w:p w14:paraId="695138DA">
            <w:pPr>
              <w:wordWrap w:val="0"/>
              <w:autoSpaceDE w:val="0"/>
              <w:autoSpaceDN w:val="0"/>
              <w:spacing w:before="0" w:after="0" w:line="120" w:lineRule="exact"/>
              <w:ind w:firstLine="12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7</w:t>
            </w:r>
            <w:r>
              <w:rPr>
                <w:rFonts w:hint="eastAsia" w:ascii="宋体" w:hAnsi="宋体" w:eastAsia="宋体"/>
                <w:color w:val="000000"/>
                <w:sz w:val="18"/>
                <w:szCs w:val="18"/>
              </w:rPr>
              <w:t>％以下罚款</w:t>
            </w:r>
          </w:p>
        </w:tc>
      </w:tr>
      <w:tr w14:paraId="6048D1D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2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0716415B">
            <w:pPr>
              <w:rPr>
                <w:sz w:val="18"/>
                <w:szCs w:val="18"/>
              </w:rPr>
            </w:pPr>
          </w:p>
        </w:tc>
        <w:tc>
          <w:tcPr>
            <w:tcW w:w="1240" w:type="dxa"/>
            <w:vMerge w:val="restart"/>
            <w:tcBorders>
              <w:top w:val="single" w:color="000000" w:sz="4" w:space="0"/>
              <w:left w:val="single" w:color="000000" w:sz="4" w:space="0"/>
              <w:bottom w:val="single" w:color="000000" w:sz="4" w:space="0"/>
              <w:right w:val="single" w:color="000000" w:sz="4" w:space="0"/>
            </w:tcBorders>
            <w:vAlign w:val="top"/>
          </w:tcPr>
          <w:p w14:paraId="237F1F61">
            <w:pPr>
              <w:wordWrap w:val="0"/>
              <w:autoSpaceDE w:val="0"/>
              <w:autoSpaceDN w:val="0"/>
              <w:spacing w:before="206" w:after="0" w:line="233" w:lineRule="exact"/>
              <w:ind w:firstLine="120"/>
              <w:jc w:val="both"/>
              <w:rPr>
                <w:sz w:val="18"/>
                <w:szCs w:val="18"/>
              </w:rPr>
            </w:pPr>
            <w:r>
              <w:rPr>
                <w:rFonts w:hint="eastAsia" w:ascii="宋体" w:hAnsi="宋体" w:eastAsia="宋体"/>
                <w:color w:val="000000"/>
                <w:sz w:val="18"/>
                <w:szCs w:val="18"/>
              </w:rPr>
              <w:t>造成质量事</w:t>
            </w:r>
          </w:p>
          <w:p w14:paraId="3E92B427">
            <w:pPr>
              <w:wordWrap w:val="0"/>
              <w:autoSpaceDE w:val="0"/>
              <w:autoSpaceDN w:val="0"/>
              <w:spacing w:before="0" w:after="0" w:line="200" w:lineRule="exact"/>
              <w:ind w:firstLine="120"/>
              <w:jc w:val="both"/>
              <w:rPr>
                <w:sz w:val="18"/>
                <w:szCs w:val="18"/>
              </w:rPr>
            </w:pPr>
            <w:r>
              <w:rPr>
                <w:rFonts w:hint="eastAsia" w:ascii="宋体" w:hAnsi="宋体" w:eastAsia="宋体"/>
                <w:color w:val="000000"/>
                <w:sz w:val="18"/>
                <w:szCs w:val="18"/>
              </w:rPr>
              <w:t>故的</w:t>
            </w:r>
          </w:p>
        </w:tc>
        <w:tc>
          <w:tcPr>
            <w:tcW w:w="4500" w:type="dxa"/>
            <w:tcBorders>
              <w:top w:val="single" w:color="000000" w:sz="4" w:space="0"/>
              <w:left w:val="single" w:color="000000" w:sz="4" w:space="0"/>
              <w:bottom w:val="single" w:color="000000" w:sz="4" w:space="0"/>
              <w:right w:val="single" w:color="000000" w:sz="4" w:space="0"/>
            </w:tcBorders>
            <w:vAlign w:val="top"/>
          </w:tcPr>
          <w:p w14:paraId="212C7184">
            <w:pPr>
              <w:wordWrap w:val="0"/>
              <w:autoSpaceDE w:val="0"/>
              <w:autoSpaceDN w:val="0"/>
              <w:spacing w:before="0" w:after="0" w:line="200" w:lineRule="exact"/>
              <w:ind w:left="80" w:right="20" w:firstLine="20"/>
              <w:jc w:val="both"/>
              <w:rPr>
                <w:sz w:val="18"/>
                <w:szCs w:val="18"/>
              </w:rPr>
            </w:pPr>
            <w:r>
              <w:rPr>
                <w:rFonts w:hint="eastAsia" w:ascii="宋体" w:hAnsi="宋体" w:eastAsia="宋体"/>
                <w:color w:val="000000"/>
                <w:sz w:val="18"/>
                <w:szCs w:val="18"/>
              </w:rPr>
              <w:t>与建设单位或者施工单位串通，弄虚作假，降低工程质量</w:t>
            </w:r>
          </w:p>
        </w:tc>
        <w:tc>
          <w:tcPr>
            <w:tcW w:w="1020" w:type="dxa"/>
            <w:vMerge w:val="continue"/>
            <w:tcBorders>
              <w:top w:val="single" w:color="000000" w:sz="4" w:space="0"/>
              <w:left w:val="single" w:color="000000" w:sz="4" w:space="0"/>
              <w:bottom w:val="single" w:color="000000" w:sz="4" w:space="0"/>
              <w:right w:val="single" w:color="000000" w:sz="4" w:space="0"/>
            </w:tcBorders>
          </w:tcPr>
          <w:p w14:paraId="5263E603">
            <w:pPr>
              <w:rPr>
                <w:sz w:val="18"/>
                <w:szCs w:val="18"/>
              </w:rPr>
            </w:pPr>
          </w:p>
        </w:tc>
        <w:tc>
          <w:tcPr>
            <w:tcW w:w="6240" w:type="dxa"/>
            <w:tcBorders>
              <w:top w:val="single" w:color="000000" w:sz="4" w:space="0"/>
              <w:left w:val="single" w:color="000000" w:sz="4" w:space="0"/>
              <w:bottom w:val="single" w:color="000000" w:sz="4" w:space="0"/>
              <w:right w:val="single" w:color="000000" w:sz="4" w:space="0"/>
            </w:tcBorders>
            <w:vAlign w:val="top"/>
          </w:tcPr>
          <w:p w14:paraId="1852A896">
            <w:pPr>
              <w:wordWrap w:val="0"/>
              <w:autoSpaceDE w:val="0"/>
              <w:autoSpaceDN w:val="0"/>
              <w:spacing w:before="0" w:after="0" w:line="233" w:lineRule="exact"/>
              <w:ind w:firstLine="12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70</w:t>
            </w:r>
            <w:r>
              <w:rPr>
                <w:rFonts w:hint="eastAsia" w:ascii="宋体" w:hAnsi="宋体" w:eastAsia="宋体"/>
                <w:color w:val="000000"/>
                <w:sz w:val="18"/>
                <w:szCs w:val="18"/>
              </w:rPr>
              <w:t>万元以上</w:t>
            </w:r>
            <w:r>
              <w:rPr>
                <w:rFonts w:hint="eastAsia" w:ascii="Calibri" w:hAnsi="Calibri" w:eastAsia="Calibri"/>
                <w:color w:val="000000"/>
                <w:sz w:val="18"/>
                <w:szCs w:val="18"/>
              </w:rPr>
              <w:t>85</w:t>
            </w:r>
            <w:r>
              <w:rPr>
                <w:rFonts w:hint="eastAsia" w:ascii="宋体" w:hAnsi="宋体" w:eastAsia="宋体"/>
                <w:color w:val="000000"/>
                <w:sz w:val="18"/>
                <w:szCs w:val="18"/>
              </w:rPr>
              <w:t>万元以下罚款</w:t>
            </w:r>
          </w:p>
          <w:p w14:paraId="5EF1EAEE">
            <w:pPr>
              <w:wordWrap w:val="0"/>
              <w:autoSpaceDE w:val="0"/>
              <w:autoSpaceDN w:val="0"/>
              <w:spacing w:before="0" w:after="0" w:line="140" w:lineRule="exact"/>
              <w:ind w:firstLine="10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％以下罚款</w:t>
            </w:r>
          </w:p>
        </w:tc>
      </w:tr>
      <w:tr w14:paraId="5DB5B87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0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39FD731A">
            <w:pPr>
              <w:rPr>
                <w:sz w:val="18"/>
                <w:szCs w:val="18"/>
              </w:rPr>
            </w:pPr>
          </w:p>
        </w:tc>
        <w:tc>
          <w:tcPr>
            <w:tcW w:w="1240" w:type="dxa"/>
            <w:vMerge w:val="continue"/>
            <w:tcBorders>
              <w:top w:val="single" w:color="000000" w:sz="4" w:space="0"/>
              <w:left w:val="single" w:color="000000" w:sz="4" w:space="0"/>
              <w:bottom w:val="single" w:color="000000" w:sz="4" w:space="0"/>
              <w:right w:val="single" w:color="000000" w:sz="4" w:space="0"/>
            </w:tcBorders>
          </w:tcPr>
          <w:p w14:paraId="55ECB53E">
            <w:pPr>
              <w:rPr>
                <w:sz w:val="18"/>
                <w:szCs w:val="18"/>
              </w:rPr>
            </w:pPr>
          </w:p>
        </w:tc>
        <w:tc>
          <w:tcPr>
            <w:tcW w:w="4500" w:type="dxa"/>
            <w:tcBorders>
              <w:top w:val="single" w:color="000000" w:sz="4" w:space="0"/>
              <w:left w:val="single" w:color="000000" w:sz="4" w:space="0"/>
              <w:bottom w:val="single" w:color="000000" w:sz="4" w:space="0"/>
              <w:right w:val="single" w:color="000000" w:sz="4" w:space="0"/>
            </w:tcBorders>
            <w:vAlign w:val="top"/>
          </w:tcPr>
          <w:p w14:paraId="5DA012FB">
            <w:pPr>
              <w:wordWrap w:val="0"/>
              <w:autoSpaceDE w:val="0"/>
              <w:autoSpaceDN w:val="0"/>
              <w:spacing w:before="0" w:after="0" w:line="180" w:lineRule="exact"/>
              <w:ind w:left="60" w:right="20" w:firstLine="60"/>
              <w:jc w:val="both"/>
              <w:rPr>
                <w:sz w:val="18"/>
                <w:szCs w:val="18"/>
              </w:rPr>
            </w:pPr>
            <w:r>
              <w:rPr>
                <w:rFonts w:hint="eastAsia" w:ascii="宋体" w:hAnsi="宋体" w:eastAsia="宋体"/>
                <w:color w:val="000000"/>
                <w:sz w:val="18"/>
                <w:szCs w:val="18"/>
              </w:rPr>
              <w:t>与建设单位和施工单位串通，弄虚作假，降低工程质量</w:t>
            </w:r>
          </w:p>
        </w:tc>
        <w:tc>
          <w:tcPr>
            <w:tcW w:w="1020" w:type="dxa"/>
            <w:vMerge w:val="continue"/>
            <w:tcBorders>
              <w:top w:val="single" w:color="000000" w:sz="4" w:space="0"/>
              <w:left w:val="single" w:color="000000" w:sz="4" w:space="0"/>
              <w:bottom w:val="single" w:color="000000" w:sz="4" w:space="0"/>
              <w:right w:val="single" w:color="000000" w:sz="4" w:space="0"/>
            </w:tcBorders>
          </w:tcPr>
          <w:p w14:paraId="26491288">
            <w:pPr>
              <w:rPr>
                <w:sz w:val="18"/>
                <w:szCs w:val="18"/>
              </w:rPr>
            </w:pPr>
          </w:p>
        </w:tc>
        <w:tc>
          <w:tcPr>
            <w:tcW w:w="6240" w:type="dxa"/>
            <w:tcBorders>
              <w:top w:val="single" w:color="000000" w:sz="4" w:space="0"/>
              <w:left w:val="single" w:color="000000" w:sz="4" w:space="0"/>
              <w:bottom w:val="single" w:color="000000" w:sz="4" w:space="0"/>
              <w:right w:val="single" w:color="000000" w:sz="4" w:space="0"/>
            </w:tcBorders>
            <w:vAlign w:val="top"/>
          </w:tcPr>
          <w:p w14:paraId="358DDA8B">
            <w:pPr>
              <w:wordWrap w:val="0"/>
              <w:autoSpaceDE w:val="0"/>
              <w:autoSpaceDN w:val="0"/>
              <w:spacing w:before="0" w:after="0" w:line="233" w:lineRule="exact"/>
              <w:ind w:firstLine="10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85</w:t>
            </w:r>
            <w:r>
              <w:rPr>
                <w:rFonts w:hint="eastAsia" w:ascii="宋体" w:hAnsi="宋体" w:eastAsia="宋体"/>
                <w:color w:val="000000"/>
                <w:sz w:val="18"/>
                <w:szCs w:val="18"/>
              </w:rPr>
              <w:t>万元以上</w:t>
            </w:r>
            <w:r>
              <w:rPr>
                <w:rFonts w:hint="eastAsia" w:ascii="Calibri" w:hAnsi="Calibri" w:eastAsia="Calibri"/>
                <w:color w:val="000000"/>
                <w:sz w:val="18"/>
                <w:szCs w:val="18"/>
              </w:rPr>
              <w:t>100</w:t>
            </w:r>
            <w:r>
              <w:rPr>
                <w:rFonts w:hint="eastAsia" w:ascii="宋体" w:hAnsi="宋体" w:eastAsia="宋体"/>
                <w:color w:val="000000"/>
                <w:sz w:val="18"/>
                <w:szCs w:val="18"/>
              </w:rPr>
              <w:t>万元以下罚款</w:t>
            </w:r>
          </w:p>
          <w:p w14:paraId="1A7042DD">
            <w:pPr>
              <w:wordWrap w:val="0"/>
              <w:autoSpaceDE w:val="0"/>
              <w:autoSpaceDN w:val="0"/>
              <w:spacing w:before="0" w:after="0" w:line="120" w:lineRule="exact"/>
              <w:ind w:firstLine="10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8</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r w14:paraId="4944FD7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2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7E92D3F5">
            <w:pPr>
              <w:wordWrap w:val="0"/>
              <w:autoSpaceDE w:val="0"/>
              <w:autoSpaceDN w:val="0"/>
              <w:spacing w:before="0" w:after="0" w:line="208" w:lineRule="exact"/>
              <w:ind w:left="80" w:right="20" w:firstLine="20"/>
              <w:jc w:val="both"/>
              <w:rPr>
                <w:sz w:val="18"/>
                <w:szCs w:val="18"/>
              </w:rPr>
            </w:pPr>
            <w:r>
              <w:rPr>
                <w:rFonts w:hint="eastAsia" w:ascii="宋体" w:hAnsi="宋体" w:eastAsia="宋体"/>
                <w:color w:val="000000"/>
                <w:sz w:val="18"/>
                <w:szCs w:val="18"/>
              </w:rPr>
              <w:t>情形描述（监理单位将不合格的建设工程、建筑材料、建筑构配件和设备按照合格签字）</w:t>
            </w:r>
          </w:p>
        </w:tc>
        <w:tc>
          <w:tcPr>
            <w:tcW w:w="5740" w:type="dxa"/>
            <w:gridSpan w:val="2"/>
            <w:tcBorders>
              <w:top w:val="single" w:color="000000" w:sz="4" w:space="0"/>
              <w:left w:val="single" w:color="000000" w:sz="4" w:space="0"/>
              <w:bottom w:val="single" w:color="000000" w:sz="4" w:space="0"/>
              <w:right w:val="single" w:color="000000" w:sz="4" w:space="0"/>
            </w:tcBorders>
            <w:vAlign w:val="top"/>
          </w:tcPr>
          <w:p w14:paraId="4A47CB3F">
            <w:pPr>
              <w:wordWrap w:val="0"/>
              <w:autoSpaceDE w:val="0"/>
              <w:autoSpaceDN w:val="0"/>
              <w:spacing w:before="140" w:after="0" w:line="233" w:lineRule="exact"/>
              <w:ind w:firstLine="100"/>
              <w:jc w:val="both"/>
              <w:rPr>
                <w:sz w:val="18"/>
                <w:szCs w:val="18"/>
              </w:rPr>
            </w:pPr>
            <w:r>
              <w:rPr>
                <w:rFonts w:hint="eastAsia" w:ascii="宋体" w:hAnsi="宋体" w:eastAsia="宋体"/>
                <w:color w:val="000000"/>
                <w:sz w:val="18"/>
                <w:szCs w:val="18"/>
              </w:rPr>
              <w:t>未造成质量缺陷的</w:t>
            </w:r>
          </w:p>
        </w:tc>
        <w:tc>
          <w:tcPr>
            <w:tcW w:w="1020" w:type="dxa"/>
            <w:vMerge w:val="restart"/>
            <w:tcBorders>
              <w:top w:val="single" w:color="000000" w:sz="4" w:space="0"/>
              <w:left w:val="single" w:color="000000" w:sz="4" w:space="0"/>
              <w:bottom w:val="single" w:color="000000" w:sz="4" w:space="0"/>
              <w:right w:val="single" w:color="000000" w:sz="4" w:space="0"/>
            </w:tcBorders>
            <w:vAlign w:val="top"/>
          </w:tcPr>
          <w:p w14:paraId="00D44546">
            <w:pPr>
              <w:wordWrap w:val="0"/>
              <w:autoSpaceDE w:val="0"/>
              <w:autoSpaceDN w:val="0"/>
              <w:spacing w:before="0" w:after="0" w:line="233" w:lineRule="exact"/>
              <w:ind w:firstLine="0"/>
              <w:jc w:val="both"/>
              <w:rPr>
                <w:rFonts w:hint="eastAsia" w:ascii="宋体" w:hAnsi="宋体" w:eastAsia="宋体"/>
                <w:color w:val="000000"/>
                <w:sz w:val="18"/>
                <w:szCs w:val="18"/>
              </w:rPr>
            </w:pPr>
          </w:p>
          <w:p w14:paraId="2DF8319F">
            <w:pPr>
              <w:wordWrap w:val="0"/>
              <w:autoSpaceDE w:val="0"/>
              <w:autoSpaceDN w:val="0"/>
              <w:spacing w:before="0" w:after="0" w:line="233" w:lineRule="exact"/>
              <w:ind w:firstLine="0"/>
              <w:jc w:val="both"/>
              <w:rPr>
                <w:rFonts w:hint="eastAsia" w:ascii="宋体" w:hAnsi="宋体" w:eastAsia="宋体"/>
                <w:color w:val="000000"/>
                <w:sz w:val="18"/>
                <w:szCs w:val="18"/>
              </w:rPr>
            </w:pPr>
          </w:p>
          <w:p w14:paraId="478EE99E">
            <w:pPr>
              <w:wordWrap w:val="0"/>
              <w:autoSpaceDE w:val="0"/>
              <w:autoSpaceDN w:val="0"/>
              <w:spacing w:before="193" w:after="0" w:line="233" w:lineRule="exact"/>
              <w:jc w:val="center"/>
              <w:rPr>
                <w:sz w:val="18"/>
                <w:szCs w:val="18"/>
              </w:rPr>
            </w:pPr>
            <w:r>
              <w:rPr>
                <w:rFonts w:hint="eastAsia" w:ascii="宋体" w:hAnsi="宋体" w:eastAsia="宋体"/>
                <w:color w:val="000000"/>
                <w:sz w:val="18"/>
                <w:szCs w:val="18"/>
              </w:rPr>
              <w:t>裁量幅度</w:t>
            </w:r>
          </w:p>
        </w:tc>
        <w:tc>
          <w:tcPr>
            <w:tcW w:w="6240" w:type="dxa"/>
            <w:tcBorders>
              <w:top w:val="single" w:color="000000" w:sz="4" w:space="0"/>
              <w:left w:val="single" w:color="000000" w:sz="4" w:space="0"/>
              <w:bottom w:val="single" w:color="000000" w:sz="4" w:space="0"/>
              <w:right w:val="single" w:color="000000" w:sz="4" w:space="0"/>
            </w:tcBorders>
            <w:vAlign w:val="top"/>
          </w:tcPr>
          <w:p w14:paraId="4D0FEF43">
            <w:pPr>
              <w:wordWrap w:val="0"/>
              <w:autoSpaceDE w:val="0"/>
              <w:autoSpaceDN w:val="0"/>
              <w:spacing w:before="0" w:after="0" w:line="233" w:lineRule="exact"/>
              <w:ind w:firstLine="12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50</w:t>
            </w:r>
            <w:r>
              <w:rPr>
                <w:rFonts w:hint="eastAsia" w:ascii="宋体" w:hAnsi="宋体" w:eastAsia="宋体"/>
                <w:color w:val="000000"/>
                <w:sz w:val="18"/>
                <w:szCs w:val="18"/>
              </w:rPr>
              <w:t>万元以上</w:t>
            </w:r>
            <w:r>
              <w:rPr>
                <w:rFonts w:hint="eastAsia" w:ascii="Calibri" w:hAnsi="Calibri" w:eastAsia="Calibri"/>
                <w:color w:val="000000"/>
                <w:sz w:val="18"/>
                <w:szCs w:val="18"/>
              </w:rPr>
              <w:t>60</w:t>
            </w:r>
            <w:r>
              <w:rPr>
                <w:rFonts w:hint="eastAsia" w:ascii="宋体" w:hAnsi="宋体" w:eastAsia="宋体"/>
                <w:color w:val="000000"/>
                <w:sz w:val="18"/>
                <w:szCs w:val="18"/>
              </w:rPr>
              <w:t>万元以下罚款</w:t>
            </w:r>
          </w:p>
          <w:p w14:paraId="2FD91C24">
            <w:pPr>
              <w:wordWrap w:val="0"/>
              <w:autoSpaceDE w:val="0"/>
              <w:autoSpaceDN w:val="0"/>
              <w:spacing w:before="0" w:after="0" w:line="160" w:lineRule="exact"/>
              <w:ind w:firstLine="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7502C3E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2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3B736B4C">
            <w:pPr>
              <w:rPr>
                <w:sz w:val="18"/>
                <w:szCs w:val="18"/>
              </w:rPr>
            </w:pPr>
          </w:p>
        </w:tc>
        <w:tc>
          <w:tcPr>
            <w:tcW w:w="5740" w:type="dxa"/>
            <w:gridSpan w:val="2"/>
            <w:tcBorders>
              <w:top w:val="single" w:color="000000" w:sz="4" w:space="0"/>
              <w:left w:val="single" w:color="000000" w:sz="4" w:space="0"/>
              <w:bottom w:val="single" w:color="000000" w:sz="4" w:space="0"/>
              <w:right w:val="single" w:color="000000" w:sz="4" w:space="0"/>
            </w:tcBorders>
            <w:vAlign w:val="top"/>
          </w:tcPr>
          <w:p w14:paraId="698FCD13">
            <w:pPr>
              <w:wordWrap w:val="0"/>
              <w:autoSpaceDE w:val="0"/>
              <w:autoSpaceDN w:val="0"/>
              <w:spacing w:before="100" w:after="0" w:line="233" w:lineRule="exact"/>
              <w:ind w:firstLine="100"/>
              <w:jc w:val="both"/>
              <w:rPr>
                <w:sz w:val="18"/>
                <w:szCs w:val="18"/>
              </w:rPr>
            </w:pPr>
            <w:r>
              <w:rPr>
                <w:rFonts w:hint="eastAsia" w:ascii="宋体" w:hAnsi="宋体" w:eastAsia="宋体"/>
                <w:color w:val="000000"/>
                <w:sz w:val="18"/>
                <w:szCs w:val="18"/>
              </w:rPr>
              <w:t>造成质量缺陷但未造成质量安全事故的</w:t>
            </w:r>
          </w:p>
        </w:tc>
        <w:tc>
          <w:tcPr>
            <w:tcW w:w="1020" w:type="dxa"/>
            <w:vMerge w:val="continue"/>
            <w:tcBorders>
              <w:top w:val="single" w:color="000000" w:sz="4" w:space="0"/>
              <w:left w:val="single" w:color="000000" w:sz="4" w:space="0"/>
              <w:bottom w:val="single" w:color="000000" w:sz="4" w:space="0"/>
              <w:right w:val="single" w:color="000000" w:sz="4" w:space="0"/>
            </w:tcBorders>
          </w:tcPr>
          <w:p w14:paraId="3023DE64">
            <w:pPr>
              <w:rPr>
                <w:sz w:val="18"/>
                <w:szCs w:val="18"/>
              </w:rPr>
            </w:pPr>
          </w:p>
        </w:tc>
        <w:tc>
          <w:tcPr>
            <w:tcW w:w="6240" w:type="dxa"/>
            <w:tcBorders>
              <w:top w:val="single" w:color="000000" w:sz="4" w:space="0"/>
              <w:left w:val="single" w:color="000000" w:sz="4" w:space="0"/>
              <w:bottom w:val="single" w:color="000000" w:sz="4" w:space="0"/>
              <w:right w:val="single" w:color="000000" w:sz="4" w:space="0"/>
            </w:tcBorders>
            <w:vAlign w:val="top"/>
          </w:tcPr>
          <w:p w14:paraId="61512138">
            <w:pPr>
              <w:wordWrap w:val="0"/>
              <w:autoSpaceDE w:val="0"/>
              <w:autoSpaceDN w:val="0"/>
              <w:spacing w:before="0" w:after="0" w:line="233" w:lineRule="exact"/>
              <w:ind w:firstLine="10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60</w:t>
            </w:r>
            <w:r>
              <w:rPr>
                <w:rFonts w:hint="eastAsia" w:ascii="宋体" w:hAnsi="宋体" w:eastAsia="宋体"/>
                <w:color w:val="000000"/>
                <w:sz w:val="18"/>
                <w:szCs w:val="18"/>
              </w:rPr>
              <w:t>万元以上</w:t>
            </w:r>
            <w:r>
              <w:rPr>
                <w:rFonts w:hint="eastAsia" w:ascii="Calibri" w:hAnsi="Calibri" w:eastAsia="Calibri"/>
                <w:color w:val="000000"/>
                <w:sz w:val="18"/>
                <w:szCs w:val="18"/>
              </w:rPr>
              <w:t>80</w:t>
            </w:r>
            <w:r>
              <w:rPr>
                <w:rFonts w:hint="eastAsia" w:ascii="宋体" w:hAnsi="宋体" w:eastAsia="宋体"/>
                <w:color w:val="000000"/>
                <w:sz w:val="18"/>
                <w:szCs w:val="18"/>
              </w:rPr>
              <w:t>万元以下罚款</w:t>
            </w:r>
          </w:p>
          <w:p w14:paraId="79005EA3">
            <w:pPr>
              <w:wordWrap w:val="0"/>
              <w:autoSpaceDE w:val="0"/>
              <w:autoSpaceDN w:val="0"/>
              <w:spacing w:before="0" w:after="0" w:line="160" w:lineRule="exact"/>
              <w:ind w:firstLine="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0076A62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0CC0AE1C">
            <w:pPr>
              <w:rPr>
                <w:sz w:val="18"/>
                <w:szCs w:val="18"/>
              </w:rPr>
            </w:pPr>
          </w:p>
        </w:tc>
        <w:tc>
          <w:tcPr>
            <w:tcW w:w="5740" w:type="dxa"/>
            <w:gridSpan w:val="2"/>
            <w:tcBorders>
              <w:top w:val="single" w:color="000000" w:sz="4" w:space="0"/>
              <w:left w:val="single" w:color="000000" w:sz="4" w:space="0"/>
              <w:bottom w:val="single" w:color="000000" w:sz="4" w:space="0"/>
              <w:right w:val="single" w:color="000000" w:sz="4" w:space="0"/>
            </w:tcBorders>
            <w:vAlign w:val="top"/>
          </w:tcPr>
          <w:p w14:paraId="28C2921A">
            <w:pPr>
              <w:wordWrap w:val="0"/>
              <w:autoSpaceDE w:val="0"/>
              <w:autoSpaceDN w:val="0"/>
              <w:spacing w:before="200" w:after="0" w:line="233" w:lineRule="exact"/>
              <w:ind w:firstLine="100"/>
              <w:jc w:val="both"/>
              <w:rPr>
                <w:sz w:val="18"/>
                <w:szCs w:val="18"/>
              </w:rPr>
            </w:pPr>
            <w:r>
              <w:rPr>
                <w:rFonts w:hint="eastAsia" w:ascii="宋体" w:hAnsi="宋体" w:eastAsia="宋体"/>
                <w:color w:val="000000"/>
                <w:sz w:val="18"/>
                <w:szCs w:val="18"/>
              </w:rPr>
              <w:t>造成质量安全事故的</w:t>
            </w:r>
          </w:p>
        </w:tc>
        <w:tc>
          <w:tcPr>
            <w:tcW w:w="1020" w:type="dxa"/>
            <w:vMerge w:val="continue"/>
            <w:tcBorders>
              <w:top w:val="single" w:color="000000" w:sz="4" w:space="0"/>
              <w:left w:val="single" w:color="000000" w:sz="4" w:space="0"/>
              <w:bottom w:val="single" w:color="000000" w:sz="4" w:space="0"/>
              <w:right w:val="single" w:color="000000" w:sz="4" w:space="0"/>
            </w:tcBorders>
          </w:tcPr>
          <w:p w14:paraId="336AEE3E">
            <w:pPr>
              <w:rPr>
                <w:sz w:val="18"/>
                <w:szCs w:val="18"/>
              </w:rPr>
            </w:pPr>
          </w:p>
        </w:tc>
        <w:tc>
          <w:tcPr>
            <w:tcW w:w="6240" w:type="dxa"/>
            <w:tcBorders>
              <w:top w:val="single" w:color="000000" w:sz="4" w:space="0"/>
              <w:left w:val="single" w:color="000000" w:sz="4" w:space="0"/>
              <w:bottom w:val="single" w:color="000000" w:sz="4" w:space="0"/>
              <w:right w:val="single" w:color="000000" w:sz="4" w:space="0"/>
            </w:tcBorders>
            <w:vAlign w:val="top"/>
          </w:tcPr>
          <w:p w14:paraId="522E300C">
            <w:pPr>
              <w:wordWrap w:val="0"/>
              <w:autoSpaceDE w:val="0"/>
              <w:autoSpaceDN w:val="0"/>
              <w:spacing w:before="86" w:after="0" w:line="233" w:lineRule="exact"/>
              <w:ind w:firstLine="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80</w:t>
            </w:r>
            <w:r>
              <w:rPr>
                <w:rFonts w:hint="eastAsia" w:ascii="宋体" w:hAnsi="宋体" w:eastAsia="宋体"/>
                <w:color w:val="000000"/>
                <w:sz w:val="18"/>
                <w:szCs w:val="18"/>
              </w:rPr>
              <w:t>万元以上</w:t>
            </w:r>
            <w:r>
              <w:rPr>
                <w:rFonts w:hint="eastAsia" w:ascii="Calibri" w:hAnsi="Calibri" w:eastAsia="Calibri"/>
                <w:color w:val="000000"/>
                <w:sz w:val="18"/>
                <w:szCs w:val="18"/>
              </w:rPr>
              <w:t>100</w:t>
            </w:r>
            <w:r>
              <w:rPr>
                <w:rFonts w:hint="eastAsia" w:ascii="宋体" w:hAnsi="宋体" w:eastAsia="宋体"/>
                <w:color w:val="000000"/>
                <w:sz w:val="18"/>
                <w:szCs w:val="18"/>
              </w:rPr>
              <w:t>万元以下罚款</w:t>
            </w:r>
          </w:p>
          <w:p w14:paraId="3075EE84">
            <w:pPr>
              <w:wordWrap w:val="0"/>
              <w:autoSpaceDE w:val="0"/>
              <w:autoSpaceDN w:val="0"/>
              <w:spacing w:before="0" w:after="0" w:line="233" w:lineRule="exact"/>
              <w:ind w:firstLine="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6182A48D">
      <w:pPr>
        <w:rPr>
          <w:sz w:val="18"/>
          <w:szCs w:val="18"/>
        </w:rPr>
      </w:pPr>
    </w:p>
    <w:tbl>
      <w:tblPr>
        <w:tblStyle w:val="15"/>
        <w:tblW w:w="0" w:type="auto"/>
        <w:tblInd w:w="12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9"/>
        <w:gridCol w:w="5511"/>
        <w:gridCol w:w="1046"/>
        <w:gridCol w:w="6102"/>
      </w:tblGrid>
      <w:tr w14:paraId="7E414A3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6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3A3B74E8">
            <w:pPr>
              <w:wordWrap w:val="0"/>
              <w:autoSpaceDE w:val="0"/>
              <w:autoSpaceDN w:val="0"/>
              <w:spacing w:before="73" w:after="0" w:line="246" w:lineRule="exact"/>
              <w:ind w:firstLine="360"/>
              <w:jc w:val="both"/>
              <w:rPr>
                <w:sz w:val="18"/>
                <w:szCs w:val="18"/>
              </w:rPr>
            </w:pPr>
            <w:r>
              <w:rPr>
                <w:rFonts w:hint="eastAsia" w:ascii="宋体" w:hAnsi="宋体" w:eastAsia="宋体"/>
                <w:color w:val="000000"/>
                <w:sz w:val="18"/>
                <w:szCs w:val="18"/>
              </w:rPr>
              <w:t>序号</w:t>
            </w:r>
          </w:p>
        </w:tc>
        <w:tc>
          <w:tcPr>
            <w:tcW w:w="12860" w:type="dxa"/>
            <w:gridSpan w:val="3"/>
            <w:tcBorders>
              <w:top w:val="single" w:color="000000" w:sz="4" w:space="0"/>
              <w:left w:val="single" w:color="000000" w:sz="4" w:space="0"/>
              <w:bottom w:val="single" w:color="000000" w:sz="4" w:space="0"/>
              <w:right w:val="single" w:color="000000" w:sz="4" w:space="0"/>
            </w:tcBorders>
            <w:vAlign w:val="top"/>
          </w:tcPr>
          <w:p w14:paraId="3FE2CDE9">
            <w:pPr>
              <w:wordWrap w:val="0"/>
              <w:autoSpaceDE w:val="0"/>
              <w:autoSpaceDN w:val="0"/>
              <w:spacing w:before="113" w:after="0" w:line="246" w:lineRule="exact"/>
              <w:ind w:firstLine="100"/>
              <w:jc w:val="both"/>
              <w:rPr>
                <w:rFonts w:hint="eastAsia" w:eastAsia="宋体"/>
                <w:sz w:val="18"/>
                <w:szCs w:val="18"/>
                <w:lang w:val="en-US" w:eastAsia="zh-CN"/>
              </w:rPr>
            </w:pPr>
            <w:r>
              <w:rPr>
                <w:rFonts w:hint="eastAsia" w:ascii="Calibri" w:hAnsi="Calibri" w:eastAsia="Calibri"/>
                <w:color w:val="000000"/>
                <w:sz w:val="18"/>
                <w:szCs w:val="18"/>
              </w:rPr>
              <w:t>1</w:t>
            </w:r>
            <w:r>
              <w:rPr>
                <w:rFonts w:hint="eastAsia" w:ascii="Calibri" w:hAnsi="Calibri"/>
                <w:color w:val="000000"/>
                <w:sz w:val="18"/>
                <w:szCs w:val="18"/>
                <w:lang w:val="en-US" w:eastAsia="zh-CN"/>
              </w:rPr>
              <w:t>5</w:t>
            </w:r>
          </w:p>
        </w:tc>
      </w:tr>
      <w:tr w14:paraId="13C6DE9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25EC7B2A">
            <w:pPr>
              <w:wordWrap w:val="0"/>
              <w:autoSpaceDE w:val="0"/>
              <w:autoSpaceDN w:val="0"/>
              <w:spacing w:before="13" w:after="0" w:line="246" w:lineRule="exact"/>
              <w:ind w:firstLine="360"/>
              <w:jc w:val="both"/>
              <w:rPr>
                <w:sz w:val="18"/>
                <w:szCs w:val="18"/>
              </w:rPr>
            </w:pPr>
            <w:r>
              <w:rPr>
                <w:rFonts w:hint="eastAsia" w:ascii="宋体" w:hAnsi="宋体" w:eastAsia="宋体"/>
                <w:color w:val="000000"/>
                <w:sz w:val="18"/>
                <w:szCs w:val="18"/>
              </w:rPr>
              <w:t>编号</w:t>
            </w:r>
          </w:p>
        </w:tc>
        <w:tc>
          <w:tcPr>
            <w:tcW w:w="12860" w:type="dxa"/>
            <w:gridSpan w:val="3"/>
            <w:tcBorders>
              <w:top w:val="single" w:color="000000" w:sz="4" w:space="0"/>
              <w:left w:val="single" w:color="000000" w:sz="4" w:space="0"/>
              <w:bottom w:val="single" w:color="000000" w:sz="4" w:space="0"/>
              <w:right w:val="single" w:color="000000" w:sz="4" w:space="0"/>
            </w:tcBorders>
            <w:vAlign w:val="top"/>
          </w:tcPr>
          <w:p w14:paraId="3E6573BE">
            <w:pPr>
              <w:wordWrap w:val="0"/>
              <w:autoSpaceDE w:val="0"/>
              <w:autoSpaceDN w:val="0"/>
              <w:spacing w:before="73" w:after="0" w:line="246" w:lineRule="exact"/>
              <w:ind w:firstLine="120"/>
              <w:jc w:val="both"/>
              <w:rPr>
                <w:sz w:val="18"/>
                <w:szCs w:val="18"/>
              </w:rPr>
            </w:pPr>
            <w:r>
              <w:rPr>
                <w:rFonts w:hint="eastAsia" w:ascii="Calibri" w:hAnsi="Calibri" w:eastAsia="Calibri"/>
                <w:color w:val="000000"/>
                <w:sz w:val="18"/>
                <w:szCs w:val="18"/>
              </w:rPr>
              <w:t>320280019000</w:t>
            </w:r>
          </w:p>
        </w:tc>
      </w:tr>
      <w:tr w14:paraId="1E7A906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41462E91">
            <w:pPr>
              <w:wordWrap w:val="0"/>
              <w:autoSpaceDE w:val="0"/>
              <w:autoSpaceDN w:val="0"/>
              <w:spacing w:before="13" w:after="0" w:line="246" w:lineRule="exact"/>
              <w:ind w:firstLine="240"/>
              <w:jc w:val="both"/>
              <w:rPr>
                <w:sz w:val="18"/>
                <w:szCs w:val="18"/>
              </w:rPr>
            </w:pPr>
            <w:r>
              <w:rPr>
                <w:rFonts w:hint="eastAsia" w:ascii="宋体" w:hAnsi="宋体" w:eastAsia="宋体"/>
                <w:color w:val="000000"/>
                <w:sz w:val="18"/>
                <w:szCs w:val="18"/>
              </w:rPr>
              <w:t>行为名称</w:t>
            </w:r>
          </w:p>
        </w:tc>
        <w:tc>
          <w:tcPr>
            <w:tcW w:w="12860" w:type="dxa"/>
            <w:gridSpan w:val="3"/>
            <w:tcBorders>
              <w:top w:val="single" w:color="000000" w:sz="4" w:space="0"/>
              <w:left w:val="single" w:color="000000" w:sz="4" w:space="0"/>
              <w:bottom w:val="single" w:color="000000" w:sz="4" w:space="0"/>
              <w:right w:val="single" w:color="000000" w:sz="4" w:space="0"/>
            </w:tcBorders>
            <w:vAlign w:val="top"/>
          </w:tcPr>
          <w:p w14:paraId="041F094A">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对人民防空工程建设单位迫使承包方以低于成本的价格竞标的处罚</w:t>
            </w:r>
          </w:p>
        </w:tc>
      </w:tr>
      <w:tr w14:paraId="02D59CC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5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73E94247">
            <w:pPr>
              <w:wordWrap w:val="0"/>
              <w:autoSpaceDE w:val="0"/>
              <w:autoSpaceDN w:val="0"/>
              <w:spacing w:before="0" w:after="0" w:line="246" w:lineRule="exact"/>
              <w:ind w:firstLine="0"/>
              <w:jc w:val="both"/>
              <w:rPr>
                <w:rFonts w:hint="eastAsia" w:ascii="宋体" w:hAnsi="宋体" w:eastAsia="宋体"/>
                <w:color w:val="000000"/>
                <w:sz w:val="18"/>
                <w:szCs w:val="18"/>
              </w:rPr>
            </w:pPr>
          </w:p>
          <w:p w14:paraId="1D97341C">
            <w:pPr>
              <w:wordWrap w:val="0"/>
              <w:autoSpaceDE w:val="0"/>
              <w:autoSpaceDN w:val="0"/>
              <w:spacing w:before="0" w:after="0" w:line="246" w:lineRule="exact"/>
              <w:ind w:firstLine="0"/>
              <w:jc w:val="both"/>
              <w:rPr>
                <w:rFonts w:hint="eastAsia" w:ascii="宋体" w:hAnsi="宋体" w:eastAsia="宋体"/>
                <w:color w:val="000000"/>
                <w:sz w:val="18"/>
                <w:szCs w:val="18"/>
              </w:rPr>
            </w:pPr>
          </w:p>
          <w:p w14:paraId="23562C1F">
            <w:pPr>
              <w:wordWrap w:val="0"/>
              <w:autoSpaceDE w:val="0"/>
              <w:autoSpaceDN w:val="0"/>
              <w:spacing w:before="0" w:after="0" w:line="246" w:lineRule="exact"/>
              <w:ind w:firstLine="0"/>
              <w:jc w:val="both"/>
              <w:rPr>
                <w:rFonts w:hint="eastAsia" w:ascii="宋体" w:hAnsi="宋体" w:eastAsia="宋体"/>
                <w:color w:val="000000"/>
                <w:sz w:val="18"/>
                <w:szCs w:val="18"/>
              </w:rPr>
            </w:pPr>
          </w:p>
          <w:p w14:paraId="049FEA44">
            <w:pPr>
              <w:wordWrap w:val="0"/>
              <w:autoSpaceDE w:val="0"/>
              <w:autoSpaceDN w:val="0"/>
              <w:spacing w:before="0" w:after="0" w:line="246" w:lineRule="exact"/>
              <w:ind w:firstLine="0"/>
              <w:jc w:val="both"/>
              <w:rPr>
                <w:rFonts w:hint="eastAsia" w:ascii="宋体" w:hAnsi="宋体" w:eastAsia="宋体"/>
                <w:color w:val="000000"/>
                <w:sz w:val="18"/>
                <w:szCs w:val="18"/>
              </w:rPr>
            </w:pPr>
          </w:p>
          <w:p w14:paraId="3C0636AD">
            <w:pPr>
              <w:wordWrap w:val="0"/>
              <w:autoSpaceDE w:val="0"/>
              <w:autoSpaceDN w:val="0"/>
              <w:spacing w:before="0" w:after="0" w:line="246" w:lineRule="exact"/>
              <w:ind w:firstLine="0"/>
              <w:jc w:val="both"/>
              <w:rPr>
                <w:rFonts w:hint="eastAsia" w:ascii="宋体" w:hAnsi="宋体" w:eastAsia="宋体"/>
                <w:color w:val="000000"/>
                <w:sz w:val="18"/>
                <w:szCs w:val="18"/>
              </w:rPr>
            </w:pPr>
          </w:p>
          <w:p w14:paraId="3927F5C9">
            <w:pPr>
              <w:wordWrap w:val="0"/>
              <w:autoSpaceDE w:val="0"/>
              <w:autoSpaceDN w:val="0"/>
              <w:spacing w:before="0" w:after="0" w:line="246" w:lineRule="exact"/>
              <w:ind w:firstLine="0"/>
              <w:jc w:val="both"/>
              <w:rPr>
                <w:rFonts w:hint="eastAsia" w:ascii="宋体" w:hAnsi="宋体" w:eastAsia="宋体"/>
                <w:color w:val="000000"/>
                <w:sz w:val="18"/>
                <w:szCs w:val="18"/>
              </w:rPr>
            </w:pPr>
          </w:p>
          <w:p w14:paraId="2C772F57">
            <w:pPr>
              <w:wordWrap w:val="0"/>
              <w:autoSpaceDE w:val="0"/>
              <w:autoSpaceDN w:val="0"/>
              <w:spacing w:before="201" w:after="0" w:line="246" w:lineRule="exact"/>
              <w:ind w:firstLine="240"/>
              <w:jc w:val="both"/>
              <w:rPr>
                <w:sz w:val="18"/>
                <w:szCs w:val="18"/>
              </w:rPr>
            </w:pPr>
            <w:r>
              <w:rPr>
                <w:rFonts w:hint="eastAsia" w:ascii="宋体" w:hAnsi="宋体" w:eastAsia="宋体"/>
                <w:color w:val="000000"/>
                <w:sz w:val="18"/>
                <w:szCs w:val="18"/>
              </w:rPr>
              <w:t>法律依据</w:t>
            </w:r>
          </w:p>
        </w:tc>
        <w:tc>
          <w:tcPr>
            <w:tcW w:w="12860" w:type="dxa"/>
            <w:gridSpan w:val="3"/>
            <w:tcBorders>
              <w:top w:val="single" w:color="000000" w:sz="4" w:space="0"/>
              <w:left w:val="single" w:color="000000" w:sz="4" w:space="0"/>
              <w:bottom w:val="single" w:color="000000" w:sz="4" w:space="0"/>
              <w:right w:val="single" w:color="000000" w:sz="4" w:space="0"/>
            </w:tcBorders>
            <w:vAlign w:val="top"/>
          </w:tcPr>
          <w:p w14:paraId="5D87412D">
            <w:pPr>
              <w:wordWrap w:val="0"/>
              <w:autoSpaceDE w:val="0"/>
              <w:autoSpaceDN w:val="0"/>
              <w:spacing w:before="113" w:after="0" w:line="246" w:lineRule="exact"/>
              <w:ind w:firstLine="16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347B5C3D">
            <w:pPr>
              <w:wordWrap w:val="0"/>
              <w:autoSpaceDE w:val="0"/>
              <w:autoSpaceDN w:val="0"/>
              <w:spacing w:before="73" w:after="0" w:line="246" w:lineRule="exact"/>
              <w:ind w:firstLine="540"/>
              <w:jc w:val="both"/>
              <w:rPr>
                <w:sz w:val="18"/>
                <w:szCs w:val="18"/>
              </w:rPr>
            </w:pPr>
            <w:r>
              <w:rPr>
                <w:rFonts w:hint="eastAsia" w:ascii="宋体" w:hAnsi="宋体" w:eastAsia="宋体"/>
                <w:color w:val="000000"/>
                <w:sz w:val="18"/>
                <w:szCs w:val="18"/>
              </w:rPr>
              <w:t>第十条第一款 建设工程发包单位不得迫使承包方以低于成本的价格竞标，不得任意压缩合理工期。</w:t>
            </w:r>
          </w:p>
          <w:p w14:paraId="067CF555">
            <w:pPr>
              <w:wordWrap w:val="0"/>
              <w:autoSpaceDE w:val="0"/>
              <w:autoSpaceDN w:val="0"/>
              <w:spacing w:before="73" w:after="0" w:line="246" w:lineRule="exact"/>
              <w:ind w:firstLine="520"/>
              <w:jc w:val="both"/>
              <w:rPr>
                <w:sz w:val="18"/>
                <w:szCs w:val="18"/>
              </w:rPr>
            </w:pPr>
            <w:r>
              <w:rPr>
                <w:rFonts w:hint="eastAsia" w:ascii="宋体" w:hAnsi="宋体" w:eastAsia="宋体"/>
                <w:color w:val="000000"/>
                <w:sz w:val="18"/>
                <w:szCs w:val="18"/>
              </w:rPr>
              <w:t>第五十六条 违反本条例规定，建设单位有下列行为之一的，责令改正，处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万元以下的罚款：</w:t>
            </w:r>
          </w:p>
          <w:p w14:paraId="6A2C8AAC">
            <w:pPr>
              <w:wordWrap w:val="0"/>
              <w:autoSpaceDE w:val="0"/>
              <w:autoSpaceDN w:val="0"/>
              <w:spacing w:before="73" w:after="0" w:line="246" w:lineRule="exact"/>
              <w:ind w:firstLine="580"/>
              <w:jc w:val="both"/>
              <w:rPr>
                <w:sz w:val="18"/>
                <w:szCs w:val="18"/>
              </w:rPr>
            </w:pPr>
            <w:r>
              <w:rPr>
                <w:rFonts w:hint="eastAsia" w:ascii="宋体" w:hAnsi="宋体" w:eastAsia="宋体"/>
                <w:color w:val="000000"/>
                <w:sz w:val="18"/>
                <w:szCs w:val="18"/>
              </w:rPr>
              <w:t>（一）迫使承包方以低于成本的价格竞标的；</w:t>
            </w:r>
          </w:p>
          <w:p w14:paraId="60329306">
            <w:pPr>
              <w:wordWrap w:val="0"/>
              <w:autoSpaceDE w:val="0"/>
              <w:autoSpaceDN w:val="0"/>
              <w:spacing w:before="0" w:after="0" w:line="246" w:lineRule="exact"/>
              <w:ind w:firstLine="0"/>
              <w:jc w:val="both"/>
              <w:rPr>
                <w:rFonts w:hint="eastAsia" w:ascii="宋体" w:hAnsi="宋体" w:eastAsia="宋体"/>
                <w:color w:val="000000"/>
                <w:sz w:val="18"/>
                <w:szCs w:val="18"/>
              </w:rPr>
            </w:pPr>
          </w:p>
          <w:p w14:paraId="49EF69DA">
            <w:pPr>
              <w:wordWrap w:val="0"/>
              <w:autoSpaceDE w:val="0"/>
              <w:autoSpaceDN w:val="0"/>
              <w:spacing w:before="147" w:after="0" w:line="246" w:lineRule="exact"/>
              <w:ind w:left="120" w:right="8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4F99874F">
            <w:pPr>
              <w:wordWrap w:val="0"/>
              <w:autoSpaceDE w:val="0"/>
              <w:autoSpaceDN w:val="0"/>
              <w:spacing w:before="73" w:after="0" w:line="246" w:lineRule="exact"/>
              <w:ind w:left="100" w:right="60" w:firstLine="44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4909923B">
            <w:pPr>
              <w:wordWrap w:val="0"/>
              <w:autoSpaceDE w:val="0"/>
              <w:autoSpaceDN w:val="0"/>
              <w:spacing w:before="93" w:after="0" w:line="246" w:lineRule="exact"/>
              <w:ind w:firstLine="160"/>
              <w:jc w:val="both"/>
              <w:rPr>
                <w:sz w:val="18"/>
                <w:szCs w:val="18"/>
              </w:rPr>
            </w:pPr>
            <w:r>
              <w:rPr>
                <w:rFonts w:hint="eastAsia" w:ascii="宋体" w:hAnsi="宋体" w:eastAsia="宋体"/>
                <w:color w:val="000000"/>
                <w:sz w:val="18"/>
                <w:szCs w:val="18"/>
              </w:rPr>
              <w:t>【地方性法规】《江苏省实施＜中华人民共和国人民防空法＞办法》</w:t>
            </w:r>
          </w:p>
          <w:p w14:paraId="543F8EB3">
            <w:pPr>
              <w:wordWrap w:val="0"/>
              <w:autoSpaceDE w:val="0"/>
              <w:autoSpaceDN w:val="0"/>
              <w:spacing w:before="0" w:after="0" w:line="246" w:lineRule="exact"/>
              <w:ind w:left="140" w:right="6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7819350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5CE00CE4">
            <w:pPr>
              <w:wordWrap w:val="0"/>
              <w:autoSpaceDE w:val="0"/>
              <w:autoSpaceDN w:val="0"/>
              <w:spacing w:before="33" w:after="0" w:line="246" w:lineRule="exact"/>
              <w:ind w:firstLine="220"/>
              <w:jc w:val="both"/>
              <w:rPr>
                <w:sz w:val="18"/>
                <w:szCs w:val="18"/>
              </w:rPr>
            </w:pPr>
            <w:r>
              <w:rPr>
                <w:rFonts w:hint="eastAsia" w:ascii="宋体" w:hAnsi="宋体" w:eastAsia="宋体"/>
                <w:color w:val="000000"/>
                <w:sz w:val="18"/>
                <w:szCs w:val="18"/>
              </w:rPr>
              <w:t>处罚种类</w:t>
            </w:r>
          </w:p>
        </w:tc>
        <w:tc>
          <w:tcPr>
            <w:tcW w:w="12860" w:type="dxa"/>
            <w:gridSpan w:val="3"/>
            <w:tcBorders>
              <w:top w:val="single" w:color="000000" w:sz="4" w:space="0"/>
              <w:left w:val="single" w:color="000000" w:sz="4" w:space="0"/>
              <w:bottom w:val="single" w:color="000000" w:sz="4" w:space="0"/>
              <w:right w:val="single" w:color="000000" w:sz="4" w:space="0"/>
            </w:tcBorders>
            <w:vAlign w:val="top"/>
          </w:tcPr>
          <w:p w14:paraId="1630483B">
            <w:pPr>
              <w:wordWrap w:val="0"/>
              <w:autoSpaceDE w:val="0"/>
              <w:autoSpaceDN w:val="0"/>
              <w:spacing w:before="93" w:after="0" w:line="246" w:lineRule="exact"/>
              <w:ind w:firstLine="80"/>
              <w:jc w:val="both"/>
              <w:rPr>
                <w:sz w:val="18"/>
                <w:szCs w:val="18"/>
              </w:rPr>
            </w:pPr>
            <w:r>
              <w:rPr>
                <w:rFonts w:hint="eastAsia" w:ascii="宋体" w:hAnsi="宋体" w:eastAsia="宋体"/>
                <w:color w:val="000000"/>
                <w:sz w:val="18"/>
                <w:szCs w:val="18"/>
              </w:rPr>
              <w:t>罚款</w:t>
            </w:r>
          </w:p>
        </w:tc>
      </w:tr>
      <w:tr w14:paraId="28DA795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4060" w:type="dxa"/>
            <w:gridSpan w:val="4"/>
            <w:tcBorders>
              <w:top w:val="single" w:color="000000" w:sz="4" w:space="0"/>
              <w:left w:val="single" w:color="000000" w:sz="4" w:space="0"/>
              <w:bottom w:val="single" w:color="000000" w:sz="4" w:space="0"/>
              <w:right w:val="single" w:color="000000" w:sz="4" w:space="0"/>
            </w:tcBorders>
            <w:vAlign w:val="top"/>
          </w:tcPr>
          <w:p w14:paraId="19F463BE">
            <w:pPr>
              <w:wordWrap w:val="0"/>
              <w:autoSpaceDE w:val="0"/>
              <w:autoSpaceDN w:val="0"/>
              <w:spacing w:before="60" w:after="0" w:line="246" w:lineRule="exact"/>
              <w:jc w:val="center"/>
              <w:rPr>
                <w:sz w:val="18"/>
                <w:szCs w:val="18"/>
              </w:rPr>
            </w:pPr>
            <w:r>
              <w:rPr>
                <w:rFonts w:hint="eastAsia" w:ascii="宋体" w:hAnsi="宋体" w:eastAsia="宋体"/>
                <w:color w:val="000000"/>
                <w:sz w:val="18"/>
                <w:szCs w:val="18"/>
              </w:rPr>
              <w:t>自由裁量基准</w:t>
            </w:r>
          </w:p>
        </w:tc>
      </w:tr>
      <w:tr w14:paraId="794566E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74C32F66">
            <w:pPr>
              <w:wordWrap w:val="0"/>
              <w:autoSpaceDE w:val="0"/>
              <w:autoSpaceDN w:val="0"/>
              <w:spacing w:before="0" w:after="0" w:line="246" w:lineRule="exact"/>
              <w:ind w:firstLine="0"/>
              <w:jc w:val="both"/>
              <w:rPr>
                <w:rFonts w:hint="eastAsia" w:ascii="宋体" w:hAnsi="宋体" w:eastAsia="宋体"/>
                <w:color w:val="000000"/>
                <w:sz w:val="18"/>
                <w:szCs w:val="18"/>
              </w:rPr>
            </w:pPr>
          </w:p>
          <w:p w14:paraId="43A4A9FE">
            <w:pPr>
              <w:wordWrap w:val="0"/>
              <w:autoSpaceDE w:val="0"/>
              <w:autoSpaceDN w:val="0"/>
              <w:spacing w:before="0" w:after="0" w:line="246" w:lineRule="exact"/>
              <w:ind w:firstLine="0"/>
              <w:jc w:val="both"/>
              <w:rPr>
                <w:rFonts w:hint="eastAsia" w:ascii="宋体" w:hAnsi="宋体" w:eastAsia="宋体"/>
                <w:color w:val="000000"/>
                <w:sz w:val="18"/>
                <w:szCs w:val="18"/>
              </w:rPr>
            </w:pPr>
          </w:p>
          <w:p w14:paraId="59CEA66F">
            <w:pPr>
              <w:wordWrap w:val="0"/>
              <w:autoSpaceDE w:val="0"/>
              <w:autoSpaceDN w:val="0"/>
              <w:spacing w:before="0" w:after="0" w:line="246" w:lineRule="exact"/>
              <w:ind w:firstLine="0"/>
              <w:jc w:val="both"/>
              <w:rPr>
                <w:rFonts w:hint="eastAsia" w:ascii="宋体" w:hAnsi="宋体" w:eastAsia="宋体"/>
                <w:color w:val="000000"/>
                <w:sz w:val="18"/>
                <w:szCs w:val="18"/>
              </w:rPr>
            </w:pPr>
          </w:p>
          <w:p w14:paraId="31004C63">
            <w:pPr>
              <w:wordWrap w:val="0"/>
              <w:autoSpaceDE w:val="0"/>
              <w:autoSpaceDN w:val="0"/>
              <w:spacing w:before="120" w:after="0" w:line="246" w:lineRule="exact"/>
              <w:ind w:firstLine="220"/>
              <w:jc w:val="both"/>
              <w:rPr>
                <w:sz w:val="18"/>
                <w:szCs w:val="18"/>
              </w:rPr>
            </w:pPr>
            <w:r>
              <w:rPr>
                <w:rFonts w:hint="eastAsia" w:ascii="宋体" w:hAnsi="宋体" w:eastAsia="宋体"/>
                <w:color w:val="000000"/>
                <w:sz w:val="18"/>
                <w:szCs w:val="18"/>
              </w:rPr>
              <w:t>情形描述</w:t>
            </w:r>
          </w:p>
        </w:tc>
        <w:tc>
          <w:tcPr>
            <w:tcW w:w="5600" w:type="dxa"/>
            <w:tcBorders>
              <w:top w:val="single" w:color="000000" w:sz="4" w:space="0"/>
              <w:left w:val="single" w:color="000000" w:sz="4" w:space="0"/>
              <w:bottom w:val="single" w:color="000000" w:sz="4" w:space="0"/>
              <w:right w:val="single" w:color="000000" w:sz="4" w:space="0"/>
            </w:tcBorders>
            <w:vAlign w:val="top"/>
          </w:tcPr>
          <w:p w14:paraId="40452470">
            <w:pPr>
              <w:wordWrap w:val="0"/>
              <w:autoSpaceDE w:val="0"/>
              <w:autoSpaceDN w:val="0"/>
              <w:spacing w:before="0" w:after="0" w:line="246" w:lineRule="exact"/>
              <w:ind w:firstLine="0"/>
              <w:jc w:val="both"/>
              <w:rPr>
                <w:rFonts w:hint="eastAsia" w:ascii="宋体" w:hAnsi="宋体" w:eastAsia="宋体"/>
                <w:color w:val="000000"/>
                <w:sz w:val="18"/>
                <w:szCs w:val="18"/>
              </w:rPr>
            </w:pPr>
          </w:p>
          <w:p w14:paraId="57BE2FDD">
            <w:pPr>
              <w:wordWrap w:val="0"/>
              <w:autoSpaceDE w:val="0"/>
              <w:autoSpaceDN w:val="0"/>
              <w:spacing w:before="13" w:after="0" w:line="246" w:lineRule="exact"/>
              <w:ind w:firstLine="100"/>
              <w:jc w:val="both"/>
              <w:rPr>
                <w:sz w:val="18"/>
                <w:szCs w:val="18"/>
              </w:rPr>
            </w:pPr>
            <w:r>
              <w:rPr>
                <w:rFonts w:hint="eastAsia" w:ascii="宋体" w:hAnsi="宋体" w:eastAsia="宋体"/>
                <w:color w:val="000000"/>
                <w:sz w:val="18"/>
                <w:szCs w:val="18"/>
              </w:rPr>
              <w:t>低于成本</w:t>
            </w:r>
            <w:r>
              <w:rPr>
                <w:rFonts w:hint="eastAsia" w:ascii="Calibri" w:hAnsi="Calibri" w:eastAsia="Calibri"/>
                <w:color w:val="000000"/>
                <w:sz w:val="18"/>
                <w:szCs w:val="18"/>
              </w:rPr>
              <w:t>10</w:t>
            </w:r>
            <w:r>
              <w:rPr>
                <w:rFonts w:hint="eastAsia" w:ascii="宋体" w:hAnsi="宋体" w:eastAsia="宋体"/>
                <w:color w:val="000000"/>
                <w:sz w:val="18"/>
                <w:szCs w:val="18"/>
              </w:rPr>
              <w:t>％以下的</w:t>
            </w:r>
          </w:p>
        </w:tc>
        <w:tc>
          <w:tcPr>
            <w:tcW w:w="1060" w:type="dxa"/>
            <w:vMerge w:val="restart"/>
            <w:tcBorders>
              <w:top w:val="single" w:color="000000" w:sz="4" w:space="0"/>
              <w:left w:val="single" w:color="000000" w:sz="4" w:space="0"/>
              <w:bottom w:val="single" w:color="000000" w:sz="4" w:space="0"/>
              <w:right w:val="single" w:color="000000" w:sz="4" w:space="0"/>
            </w:tcBorders>
            <w:vAlign w:val="top"/>
          </w:tcPr>
          <w:p w14:paraId="26F2DE97">
            <w:pPr>
              <w:wordWrap w:val="0"/>
              <w:autoSpaceDE w:val="0"/>
              <w:autoSpaceDN w:val="0"/>
              <w:spacing w:before="0" w:after="0" w:line="259" w:lineRule="exact"/>
              <w:ind w:firstLine="0"/>
              <w:jc w:val="both"/>
              <w:rPr>
                <w:rFonts w:hint="eastAsia" w:ascii="宋体" w:hAnsi="宋体" w:eastAsia="宋体"/>
                <w:color w:val="000000"/>
                <w:sz w:val="18"/>
                <w:szCs w:val="18"/>
              </w:rPr>
            </w:pPr>
          </w:p>
          <w:p w14:paraId="5BDFCC35">
            <w:pPr>
              <w:wordWrap w:val="0"/>
              <w:autoSpaceDE w:val="0"/>
              <w:autoSpaceDN w:val="0"/>
              <w:spacing w:before="0" w:after="0" w:line="259" w:lineRule="exact"/>
              <w:ind w:firstLine="0"/>
              <w:jc w:val="both"/>
              <w:rPr>
                <w:rFonts w:hint="eastAsia" w:ascii="宋体" w:hAnsi="宋体" w:eastAsia="宋体"/>
                <w:color w:val="000000"/>
                <w:sz w:val="18"/>
                <w:szCs w:val="18"/>
              </w:rPr>
            </w:pPr>
          </w:p>
          <w:p w14:paraId="6C0963BA">
            <w:pPr>
              <w:wordWrap w:val="0"/>
              <w:autoSpaceDE w:val="0"/>
              <w:autoSpaceDN w:val="0"/>
              <w:spacing w:before="0" w:after="0" w:line="259" w:lineRule="exact"/>
              <w:ind w:firstLine="0"/>
              <w:jc w:val="both"/>
              <w:rPr>
                <w:rFonts w:hint="eastAsia" w:ascii="宋体" w:hAnsi="宋体" w:eastAsia="宋体"/>
                <w:color w:val="000000"/>
                <w:sz w:val="18"/>
                <w:szCs w:val="18"/>
              </w:rPr>
            </w:pPr>
          </w:p>
          <w:p w14:paraId="7DB75EA5">
            <w:pPr>
              <w:wordWrap w:val="0"/>
              <w:autoSpaceDE w:val="0"/>
              <w:autoSpaceDN w:val="0"/>
              <w:spacing w:before="81" w:after="0" w:line="259" w:lineRule="exact"/>
              <w:ind w:firstLine="60"/>
              <w:jc w:val="both"/>
              <w:rPr>
                <w:sz w:val="18"/>
                <w:szCs w:val="18"/>
              </w:rPr>
            </w:pPr>
            <w:r>
              <w:rPr>
                <w:rFonts w:hint="eastAsia" w:ascii="宋体" w:hAnsi="宋体" w:eastAsia="宋体"/>
                <w:color w:val="000000"/>
                <w:sz w:val="18"/>
                <w:szCs w:val="18"/>
              </w:rPr>
              <w:t>裁量幅度</w:t>
            </w:r>
          </w:p>
        </w:tc>
        <w:tc>
          <w:tcPr>
            <w:tcW w:w="6200" w:type="dxa"/>
            <w:tcBorders>
              <w:top w:val="single" w:color="000000" w:sz="4" w:space="0"/>
              <w:left w:val="single" w:color="000000" w:sz="4" w:space="0"/>
              <w:bottom w:val="single" w:color="000000" w:sz="4" w:space="0"/>
              <w:right w:val="single" w:color="000000" w:sz="4" w:space="0"/>
            </w:tcBorders>
            <w:vAlign w:val="top"/>
          </w:tcPr>
          <w:p w14:paraId="39A65DC9">
            <w:pPr>
              <w:wordWrap w:val="0"/>
              <w:autoSpaceDE w:val="0"/>
              <w:autoSpaceDN w:val="0"/>
              <w:spacing w:before="9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万元以下罚款</w:t>
            </w:r>
          </w:p>
          <w:p w14:paraId="1BDA1D32">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2D56A03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4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0D7020EF">
            <w:pPr>
              <w:rPr>
                <w:sz w:val="18"/>
                <w:szCs w:val="18"/>
              </w:rPr>
            </w:pPr>
          </w:p>
        </w:tc>
        <w:tc>
          <w:tcPr>
            <w:tcW w:w="5600" w:type="dxa"/>
            <w:tcBorders>
              <w:top w:val="single" w:color="000000" w:sz="4" w:space="0"/>
              <w:left w:val="single" w:color="000000" w:sz="4" w:space="0"/>
              <w:bottom w:val="single" w:color="000000" w:sz="4" w:space="0"/>
              <w:right w:val="single" w:color="000000" w:sz="4" w:space="0"/>
            </w:tcBorders>
            <w:vAlign w:val="top"/>
          </w:tcPr>
          <w:p w14:paraId="1AC3F0E9">
            <w:pPr>
              <w:wordWrap w:val="0"/>
              <w:autoSpaceDE w:val="0"/>
              <w:autoSpaceDN w:val="0"/>
              <w:spacing w:before="240" w:after="0" w:line="246" w:lineRule="exact"/>
              <w:ind w:firstLine="100"/>
              <w:jc w:val="both"/>
              <w:rPr>
                <w:sz w:val="18"/>
                <w:szCs w:val="18"/>
              </w:rPr>
            </w:pPr>
            <w:r>
              <w:rPr>
                <w:rFonts w:hint="eastAsia" w:ascii="宋体" w:hAnsi="宋体" w:eastAsia="宋体"/>
                <w:color w:val="000000"/>
                <w:sz w:val="18"/>
                <w:szCs w:val="18"/>
              </w:rPr>
              <w:t>低于成本</w:t>
            </w:r>
            <w:r>
              <w:rPr>
                <w:rFonts w:hint="eastAsia" w:ascii="Calibri" w:hAnsi="Calibri" w:eastAsia="Calibri"/>
                <w:color w:val="000000"/>
                <w:sz w:val="18"/>
                <w:szCs w:val="18"/>
              </w:rPr>
              <w:t>10</w:t>
            </w:r>
            <w:r>
              <w:rPr>
                <w:rFonts w:hint="eastAsia" w:ascii="宋体" w:hAnsi="宋体" w:eastAsia="宋体"/>
                <w:color w:val="000000"/>
                <w:sz w:val="18"/>
                <w:szCs w:val="18"/>
              </w:rPr>
              <w:t>％以上</w:t>
            </w:r>
            <w:r>
              <w:rPr>
                <w:rFonts w:hint="eastAsia" w:ascii="Calibri" w:hAnsi="Calibri" w:eastAsia="Calibri"/>
                <w:color w:val="000000"/>
                <w:sz w:val="18"/>
                <w:szCs w:val="18"/>
              </w:rPr>
              <w:t>20</w:t>
            </w:r>
            <w:r>
              <w:rPr>
                <w:rFonts w:hint="eastAsia" w:ascii="宋体" w:hAnsi="宋体" w:eastAsia="宋体"/>
                <w:color w:val="000000"/>
                <w:sz w:val="18"/>
                <w:szCs w:val="18"/>
              </w:rPr>
              <w:t>％以下的</w:t>
            </w:r>
          </w:p>
        </w:tc>
        <w:tc>
          <w:tcPr>
            <w:tcW w:w="1060" w:type="dxa"/>
            <w:vMerge w:val="continue"/>
            <w:tcBorders>
              <w:top w:val="single" w:color="000000" w:sz="4" w:space="0"/>
              <w:left w:val="single" w:color="000000" w:sz="4" w:space="0"/>
              <w:bottom w:val="single" w:color="000000" w:sz="4" w:space="0"/>
              <w:right w:val="single" w:color="000000" w:sz="4" w:space="0"/>
            </w:tcBorders>
          </w:tcPr>
          <w:p w14:paraId="5B0C2B9D">
            <w:pPr>
              <w:rPr>
                <w:sz w:val="18"/>
                <w:szCs w:val="18"/>
              </w:rPr>
            </w:pPr>
          </w:p>
        </w:tc>
        <w:tc>
          <w:tcPr>
            <w:tcW w:w="6200" w:type="dxa"/>
            <w:tcBorders>
              <w:top w:val="single" w:color="000000" w:sz="4" w:space="0"/>
              <w:left w:val="single" w:color="000000" w:sz="4" w:space="0"/>
              <w:bottom w:val="single" w:color="000000" w:sz="4" w:space="0"/>
              <w:right w:val="single" w:color="000000" w:sz="4" w:space="0"/>
            </w:tcBorders>
            <w:vAlign w:val="top"/>
          </w:tcPr>
          <w:p w14:paraId="125B5246">
            <w:pPr>
              <w:wordWrap w:val="0"/>
              <w:autoSpaceDE w:val="0"/>
              <w:autoSpaceDN w:val="0"/>
              <w:spacing w:before="11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30</w:t>
            </w:r>
            <w:r>
              <w:rPr>
                <w:rFonts w:hint="eastAsia" w:ascii="宋体" w:hAnsi="宋体" w:eastAsia="宋体"/>
                <w:color w:val="000000"/>
                <w:sz w:val="18"/>
                <w:szCs w:val="18"/>
              </w:rPr>
              <w:t>万元以上</w:t>
            </w:r>
            <w:r>
              <w:rPr>
                <w:rFonts w:hint="eastAsia" w:ascii="Calibri" w:hAnsi="Calibri" w:eastAsia="Calibri"/>
                <w:color w:val="000000"/>
                <w:sz w:val="18"/>
                <w:szCs w:val="18"/>
              </w:rPr>
              <w:t>40</w:t>
            </w:r>
            <w:r>
              <w:rPr>
                <w:rFonts w:hint="eastAsia" w:ascii="宋体" w:hAnsi="宋体" w:eastAsia="宋体"/>
                <w:color w:val="000000"/>
                <w:sz w:val="18"/>
                <w:szCs w:val="18"/>
              </w:rPr>
              <w:t>万元以下罚款</w:t>
            </w:r>
          </w:p>
          <w:p w14:paraId="661598E3">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11BF3C1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354F41A6">
            <w:pPr>
              <w:rPr>
                <w:sz w:val="18"/>
                <w:szCs w:val="18"/>
              </w:rPr>
            </w:pPr>
          </w:p>
        </w:tc>
        <w:tc>
          <w:tcPr>
            <w:tcW w:w="5600" w:type="dxa"/>
            <w:tcBorders>
              <w:top w:val="single" w:color="000000" w:sz="4" w:space="0"/>
              <w:left w:val="single" w:color="000000" w:sz="4" w:space="0"/>
              <w:bottom w:val="single" w:color="000000" w:sz="4" w:space="0"/>
              <w:right w:val="single" w:color="000000" w:sz="4" w:space="0"/>
            </w:tcBorders>
            <w:vAlign w:val="top"/>
          </w:tcPr>
          <w:p w14:paraId="452C20BD">
            <w:pPr>
              <w:wordWrap w:val="0"/>
              <w:autoSpaceDE w:val="0"/>
              <w:autoSpaceDN w:val="0"/>
              <w:spacing w:before="220" w:after="0" w:line="246" w:lineRule="exact"/>
              <w:ind w:firstLine="120"/>
              <w:jc w:val="both"/>
              <w:rPr>
                <w:sz w:val="18"/>
                <w:szCs w:val="18"/>
              </w:rPr>
            </w:pPr>
            <w:r>
              <w:rPr>
                <w:rFonts w:hint="eastAsia" w:ascii="宋体" w:hAnsi="宋体" w:eastAsia="宋体"/>
                <w:color w:val="000000"/>
                <w:sz w:val="18"/>
                <w:szCs w:val="18"/>
              </w:rPr>
              <w:t>低于成本</w:t>
            </w:r>
            <w:r>
              <w:rPr>
                <w:rFonts w:hint="eastAsia" w:ascii="Calibri" w:hAnsi="Calibri" w:eastAsia="Calibri"/>
                <w:color w:val="000000"/>
                <w:sz w:val="18"/>
                <w:szCs w:val="18"/>
              </w:rPr>
              <w:t>20</w:t>
            </w:r>
            <w:r>
              <w:rPr>
                <w:rFonts w:hint="eastAsia" w:ascii="宋体" w:hAnsi="宋体" w:eastAsia="宋体"/>
                <w:color w:val="000000"/>
                <w:sz w:val="18"/>
                <w:szCs w:val="18"/>
              </w:rPr>
              <w:t>％以上，或者造成重大质量安全事故的</w:t>
            </w:r>
          </w:p>
        </w:tc>
        <w:tc>
          <w:tcPr>
            <w:tcW w:w="1060" w:type="dxa"/>
            <w:vMerge w:val="continue"/>
            <w:tcBorders>
              <w:top w:val="single" w:color="000000" w:sz="4" w:space="0"/>
              <w:left w:val="single" w:color="000000" w:sz="4" w:space="0"/>
              <w:bottom w:val="single" w:color="000000" w:sz="4" w:space="0"/>
              <w:right w:val="single" w:color="000000" w:sz="4" w:space="0"/>
            </w:tcBorders>
          </w:tcPr>
          <w:p w14:paraId="4732570B">
            <w:pPr>
              <w:rPr>
                <w:sz w:val="18"/>
                <w:szCs w:val="18"/>
              </w:rPr>
            </w:pPr>
          </w:p>
        </w:tc>
        <w:tc>
          <w:tcPr>
            <w:tcW w:w="6200" w:type="dxa"/>
            <w:tcBorders>
              <w:top w:val="single" w:color="000000" w:sz="4" w:space="0"/>
              <w:left w:val="single" w:color="000000" w:sz="4" w:space="0"/>
              <w:bottom w:val="single" w:color="000000" w:sz="4" w:space="0"/>
              <w:right w:val="single" w:color="000000" w:sz="4" w:space="0"/>
            </w:tcBorders>
            <w:vAlign w:val="top"/>
          </w:tcPr>
          <w:p w14:paraId="44A3E979">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40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万元以下罚款</w:t>
            </w:r>
          </w:p>
          <w:p w14:paraId="43AD773F">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6368F84D">
      <w:pPr>
        <w:rPr>
          <w:sz w:val="18"/>
          <w:szCs w:val="18"/>
        </w:rPr>
      </w:pPr>
    </w:p>
    <w:tbl>
      <w:tblPr>
        <w:tblStyle w:val="15"/>
        <w:tblW w:w="0" w:type="auto"/>
        <w:tblInd w:w="18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9"/>
        <w:gridCol w:w="1474"/>
        <w:gridCol w:w="4404"/>
        <w:gridCol w:w="1083"/>
        <w:gridCol w:w="5638"/>
      </w:tblGrid>
      <w:tr w14:paraId="3EE814D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0AFA90B6">
            <w:pPr>
              <w:wordWrap w:val="0"/>
              <w:autoSpaceDE w:val="0"/>
              <w:autoSpaceDN w:val="0"/>
              <w:spacing w:before="13" w:after="0" w:line="246" w:lineRule="exact"/>
              <w:ind w:firstLine="453" w:firstLineChars="252"/>
              <w:jc w:val="both"/>
              <w:rPr>
                <w:sz w:val="18"/>
                <w:szCs w:val="18"/>
              </w:rPr>
            </w:pPr>
            <w:r>
              <w:rPr>
                <w:rFonts w:hint="eastAsia" w:ascii="宋体" w:hAnsi="宋体" w:eastAsia="宋体"/>
                <w:color w:val="000000"/>
                <w:sz w:val="18"/>
                <w:szCs w:val="18"/>
              </w:rPr>
              <w:t>序号</w:t>
            </w:r>
          </w:p>
        </w:tc>
        <w:tc>
          <w:tcPr>
            <w:tcW w:w="12860" w:type="dxa"/>
            <w:gridSpan w:val="4"/>
            <w:tcBorders>
              <w:top w:val="single" w:color="000000" w:sz="4" w:space="0"/>
              <w:left w:val="single" w:color="000000" w:sz="4" w:space="0"/>
              <w:bottom w:val="single" w:color="000000" w:sz="4" w:space="0"/>
              <w:right w:val="single" w:color="000000" w:sz="4" w:space="0"/>
            </w:tcBorders>
            <w:vAlign w:val="top"/>
          </w:tcPr>
          <w:p w14:paraId="41810C07">
            <w:pPr>
              <w:wordWrap w:val="0"/>
              <w:autoSpaceDE w:val="0"/>
              <w:autoSpaceDN w:val="0"/>
              <w:spacing w:before="73" w:after="0" w:line="246" w:lineRule="exact"/>
              <w:ind w:firstLine="60"/>
              <w:jc w:val="both"/>
              <w:rPr>
                <w:rFonts w:hint="eastAsia" w:eastAsia="宋体"/>
                <w:sz w:val="18"/>
                <w:szCs w:val="18"/>
                <w:lang w:val="en-US" w:eastAsia="zh-CN"/>
              </w:rPr>
            </w:pPr>
            <w:r>
              <w:rPr>
                <w:rFonts w:hint="eastAsia" w:ascii="Calibri" w:hAnsi="Calibri" w:eastAsia="Calibri"/>
                <w:color w:val="000000"/>
                <w:sz w:val="18"/>
                <w:szCs w:val="18"/>
              </w:rPr>
              <w:t>1</w:t>
            </w:r>
            <w:r>
              <w:rPr>
                <w:rFonts w:hint="eastAsia" w:ascii="Calibri" w:hAnsi="Calibri"/>
                <w:color w:val="000000"/>
                <w:sz w:val="18"/>
                <w:szCs w:val="18"/>
                <w:lang w:val="en-US" w:eastAsia="zh-CN"/>
              </w:rPr>
              <w:t>6</w:t>
            </w:r>
          </w:p>
        </w:tc>
      </w:tr>
      <w:tr w14:paraId="2245112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2A1514AB">
            <w:pPr>
              <w:wordWrap w:val="0"/>
              <w:autoSpaceDE w:val="0"/>
              <w:autoSpaceDN w:val="0"/>
              <w:spacing w:before="53" w:after="0" w:line="246" w:lineRule="exact"/>
              <w:jc w:val="center"/>
              <w:rPr>
                <w:sz w:val="18"/>
                <w:szCs w:val="18"/>
              </w:rPr>
            </w:pPr>
            <w:r>
              <w:rPr>
                <w:rFonts w:hint="eastAsia" w:ascii="宋体" w:hAnsi="宋体" w:eastAsia="宋体"/>
                <w:color w:val="000000"/>
                <w:sz w:val="18"/>
                <w:szCs w:val="18"/>
              </w:rPr>
              <w:t>编号</w:t>
            </w:r>
          </w:p>
        </w:tc>
        <w:tc>
          <w:tcPr>
            <w:tcW w:w="12860" w:type="dxa"/>
            <w:gridSpan w:val="4"/>
            <w:tcBorders>
              <w:top w:val="single" w:color="000000" w:sz="4" w:space="0"/>
              <w:left w:val="single" w:color="000000" w:sz="4" w:space="0"/>
              <w:bottom w:val="single" w:color="000000" w:sz="4" w:space="0"/>
              <w:right w:val="single" w:color="000000" w:sz="4" w:space="0"/>
            </w:tcBorders>
            <w:vAlign w:val="top"/>
          </w:tcPr>
          <w:p w14:paraId="25BC0572">
            <w:pPr>
              <w:wordWrap w:val="0"/>
              <w:autoSpaceDE w:val="0"/>
              <w:autoSpaceDN w:val="0"/>
              <w:spacing w:before="113" w:after="0" w:line="246" w:lineRule="exact"/>
              <w:ind w:firstLine="60"/>
              <w:jc w:val="both"/>
              <w:rPr>
                <w:sz w:val="18"/>
                <w:szCs w:val="18"/>
              </w:rPr>
            </w:pPr>
            <w:r>
              <w:rPr>
                <w:rFonts w:hint="eastAsia" w:ascii="Calibri" w:hAnsi="Calibri" w:eastAsia="Calibri"/>
                <w:color w:val="000000"/>
                <w:sz w:val="18"/>
                <w:szCs w:val="18"/>
              </w:rPr>
              <w:t>320280020000</w:t>
            </w:r>
          </w:p>
        </w:tc>
      </w:tr>
      <w:tr w14:paraId="2986B89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6D4B535">
            <w:pPr>
              <w:wordWrap w:val="0"/>
              <w:autoSpaceDE w:val="0"/>
              <w:autoSpaceDN w:val="0"/>
              <w:spacing w:before="240" w:after="0" w:line="246" w:lineRule="exact"/>
              <w:jc w:val="center"/>
              <w:rPr>
                <w:sz w:val="18"/>
                <w:szCs w:val="18"/>
              </w:rPr>
            </w:pPr>
            <w:r>
              <w:rPr>
                <w:rFonts w:hint="eastAsia" w:ascii="宋体" w:hAnsi="宋体" w:eastAsia="宋体"/>
                <w:color w:val="000000"/>
                <w:sz w:val="18"/>
                <w:szCs w:val="18"/>
              </w:rPr>
              <w:t>行为名称</w:t>
            </w:r>
          </w:p>
        </w:tc>
        <w:tc>
          <w:tcPr>
            <w:tcW w:w="12860" w:type="dxa"/>
            <w:gridSpan w:val="4"/>
            <w:tcBorders>
              <w:top w:val="single" w:color="000000" w:sz="4" w:space="0"/>
              <w:left w:val="single" w:color="000000" w:sz="4" w:space="0"/>
              <w:bottom w:val="single" w:color="000000" w:sz="4" w:space="0"/>
              <w:right w:val="single" w:color="000000" w:sz="4" w:space="0"/>
            </w:tcBorders>
            <w:vAlign w:val="top"/>
          </w:tcPr>
          <w:p w14:paraId="263EFF8F">
            <w:pPr>
              <w:wordWrap w:val="0"/>
              <w:autoSpaceDE w:val="0"/>
              <w:autoSpaceDN w:val="0"/>
              <w:spacing w:before="80" w:after="0" w:line="246" w:lineRule="exact"/>
              <w:ind w:left="60" w:right="40" w:firstLine="0"/>
              <w:jc w:val="both"/>
              <w:rPr>
                <w:sz w:val="18"/>
                <w:szCs w:val="18"/>
              </w:rPr>
            </w:pPr>
            <w:r>
              <w:rPr>
                <w:rFonts w:hint="eastAsia" w:ascii="宋体" w:hAnsi="宋体" w:eastAsia="宋体"/>
                <w:color w:val="000000"/>
                <w:sz w:val="18"/>
                <w:szCs w:val="18"/>
              </w:rPr>
              <w:t>对人民防空工程建设单位将人民防空建设工程发包给不具有相应资质等级的勘察、设计、施工单位或者委托给不具有相应资质等级的工程监理单位的处罚</w:t>
            </w:r>
          </w:p>
        </w:tc>
      </w:tr>
      <w:tr w14:paraId="52E5687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6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700A265D">
            <w:pPr>
              <w:wordWrap w:val="0"/>
              <w:autoSpaceDE w:val="0"/>
              <w:autoSpaceDN w:val="0"/>
              <w:spacing w:before="0" w:after="0" w:line="246" w:lineRule="exact"/>
              <w:ind w:firstLine="0"/>
              <w:jc w:val="both"/>
              <w:rPr>
                <w:rFonts w:hint="eastAsia" w:ascii="宋体" w:hAnsi="宋体" w:eastAsia="宋体"/>
                <w:color w:val="000000"/>
                <w:sz w:val="18"/>
                <w:szCs w:val="18"/>
              </w:rPr>
            </w:pPr>
          </w:p>
          <w:p w14:paraId="522A4AA2">
            <w:pPr>
              <w:wordWrap w:val="0"/>
              <w:autoSpaceDE w:val="0"/>
              <w:autoSpaceDN w:val="0"/>
              <w:spacing w:before="0" w:after="0" w:line="246" w:lineRule="exact"/>
              <w:ind w:firstLine="0"/>
              <w:jc w:val="both"/>
              <w:rPr>
                <w:rFonts w:hint="eastAsia" w:ascii="宋体" w:hAnsi="宋体" w:eastAsia="宋体"/>
                <w:color w:val="000000"/>
                <w:sz w:val="18"/>
                <w:szCs w:val="18"/>
              </w:rPr>
            </w:pPr>
          </w:p>
          <w:p w14:paraId="3A99A715">
            <w:pPr>
              <w:wordWrap w:val="0"/>
              <w:autoSpaceDE w:val="0"/>
              <w:autoSpaceDN w:val="0"/>
              <w:spacing w:before="0" w:after="0" w:line="246" w:lineRule="exact"/>
              <w:ind w:firstLine="0"/>
              <w:jc w:val="both"/>
              <w:rPr>
                <w:rFonts w:hint="eastAsia" w:ascii="宋体" w:hAnsi="宋体" w:eastAsia="宋体"/>
                <w:color w:val="000000"/>
                <w:sz w:val="18"/>
                <w:szCs w:val="18"/>
              </w:rPr>
            </w:pPr>
          </w:p>
          <w:p w14:paraId="5BA194B6">
            <w:pPr>
              <w:wordWrap w:val="0"/>
              <w:autoSpaceDE w:val="0"/>
              <w:autoSpaceDN w:val="0"/>
              <w:spacing w:before="0" w:after="0" w:line="246" w:lineRule="exact"/>
              <w:ind w:firstLine="0"/>
              <w:jc w:val="both"/>
              <w:rPr>
                <w:rFonts w:hint="eastAsia" w:ascii="宋体" w:hAnsi="宋体" w:eastAsia="宋体"/>
                <w:color w:val="000000"/>
                <w:sz w:val="18"/>
                <w:szCs w:val="18"/>
              </w:rPr>
            </w:pPr>
          </w:p>
          <w:p w14:paraId="6CECAB79">
            <w:pPr>
              <w:wordWrap w:val="0"/>
              <w:autoSpaceDE w:val="0"/>
              <w:autoSpaceDN w:val="0"/>
              <w:spacing w:before="0" w:after="0" w:line="246" w:lineRule="exact"/>
              <w:ind w:firstLine="0"/>
              <w:jc w:val="both"/>
              <w:rPr>
                <w:rFonts w:hint="eastAsia" w:ascii="宋体" w:hAnsi="宋体" w:eastAsia="宋体"/>
                <w:color w:val="000000"/>
                <w:sz w:val="18"/>
                <w:szCs w:val="18"/>
              </w:rPr>
            </w:pPr>
          </w:p>
          <w:p w14:paraId="5FD36A02">
            <w:pPr>
              <w:wordWrap w:val="0"/>
              <w:autoSpaceDE w:val="0"/>
              <w:autoSpaceDN w:val="0"/>
              <w:spacing w:before="0" w:after="0" w:line="246" w:lineRule="exact"/>
              <w:ind w:firstLine="0"/>
              <w:jc w:val="both"/>
              <w:rPr>
                <w:rFonts w:hint="eastAsia" w:ascii="宋体" w:hAnsi="宋体" w:eastAsia="宋体"/>
                <w:color w:val="000000"/>
                <w:sz w:val="18"/>
                <w:szCs w:val="18"/>
              </w:rPr>
            </w:pPr>
          </w:p>
          <w:p w14:paraId="6F65B882">
            <w:pPr>
              <w:wordWrap w:val="0"/>
              <w:autoSpaceDE w:val="0"/>
              <w:autoSpaceDN w:val="0"/>
              <w:spacing w:before="141" w:after="0" w:line="246" w:lineRule="exact"/>
              <w:ind w:firstLine="240"/>
              <w:jc w:val="both"/>
              <w:rPr>
                <w:sz w:val="18"/>
                <w:szCs w:val="18"/>
              </w:rPr>
            </w:pPr>
            <w:r>
              <w:rPr>
                <w:rFonts w:hint="eastAsia" w:ascii="宋体" w:hAnsi="宋体" w:eastAsia="宋体"/>
                <w:color w:val="000000"/>
                <w:sz w:val="18"/>
                <w:szCs w:val="18"/>
              </w:rPr>
              <w:t>法律依据</w:t>
            </w:r>
          </w:p>
        </w:tc>
        <w:tc>
          <w:tcPr>
            <w:tcW w:w="12860" w:type="dxa"/>
            <w:gridSpan w:val="4"/>
            <w:tcBorders>
              <w:top w:val="single" w:color="000000" w:sz="4" w:space="0"/>
              <w:left w:val="single" w:color="000000" w:sz="4" w:space="0"/>
              <w:bottom w:val="single" w:color="000000" w:sz="4" w:space="0"/>
              <w:right w:val="single" w:color="000000" w:sz="4" w:space="0"/>
            </w:tcBorders>
            <w:vAlign w:val="top"/>
          </w:tcPr>
          <w:p w14:paraId="1ACC79F1">
            <w:pPr>
              <w:wordWrap w:val="0"/>
              <w:autoSpaceDE w:val="0"/>
              <w:autoSpaceDN w:val="0"/>
              <w:spacing w:before="73" w:after="0" w:line="246"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6887F889">
            <w:pPr>
              <w:wordWrap w:val="0"/>
              <w:autoSpaceDE w:val="0"/>
              <w:autoSpaceDN w:val="0"/>
              <w:spacing w:before="73" w:after="0" w:line="246" w:lineRule="exact"/>
              <w:ind w:firstLine="500"/>
              <w:jc w:val="both"/>
              <w:rPr>
                <w:sz w:val="18"/>
                <w:szCs w:val="18"/>
              </w:rPr>
            </w:pPr>
            <w:r>
              <w:rPr>
                <w:rFonts w:hint="eastAsia" w:ascii="宋体" w:hAnsi="宋体" w:eastAsia="宋体"/>
                <w:color w:val="000000"/>
                <w:sz w:val="18"/>
                <w:szCs w:val="18"/>
              </w:rPr>
              <w:t>第七条第一款 建设单位应当将工程发包给具有相应资质等级的单位。</w:t>
            </w:r>
          </w:p>
          <w:p w14:paraId="286EA07A">
            <w:pPr>
              <w:wordWrap w:val="0"/>
              <w:autoSpaceDE w:val="0"/>
              <w:autoSpaceDN w:val="0"/>
              <w:spacing w:before="63" w:after="0" w:line="246" w:lineRule="exact"/>
              <w:ind w:left="80" w:right="60" w:firstLine="440"/>
              <w:jc w:val="both"/>
              <w:rPr>
                <w:sz w:val="18"/>
                <w:szCs w:val="18"/>
              </w:rPr>
            </w:pPr>
            <w:r>
              <w:rPr>
                <w:rFonts w:hint="eastAsia" w:ascii="宋体" w:hAnsi="宋体" w:eastAsia="宋体"/>
                <w:color w:val="000000"/>
                <w:sz w:val="18"/>
                <w:szCs w:val="18"/>
              </w:rPr>
              <w:t>第五十四条 违反本条例规定，建设单位将建设工程发包给不具有相应资质等级的勘察、设计、施工单位或者委托给不具有相应资质等级的工程监理单位的，责令改正，处</w:t>
            </w:r>
            <w:r>
              <w:rPr>
                <w:rFonts w:hint="eastAsia" w:ascii="Calibri" w:hAnsi="Calibri" w:eastAsia="Calibri"/>
                <w:color w:val="000000"/>
                <w:sz w:val="18"/>
                <w:szCs w:val="18"/>
              </w:rPr>
              <w:t>50</w:t>
            </w:r>
            <w:r>
              <w:rPr>
                <w:rFonts w:hint="eastAsia" w:ascii="宋体" w:hAnsi="宋体" w:eastAsia="宋体"/>
                <w:color w:val="000000"/>
                <w:sz w:val="18"/>
                <w:szCs w:val="18"/>
              </w:rPr>
              <w:t>万元以上</w:t>
            </w:r>
            <w:r>
              <w:rPr>
                <w:rFonts w:hint="eastAsia" w:ascii="Calibri" w:hAnsi="Calibri" w:eastAsia="Calibri"/>
                <w:color w:val="000000"/>
                <w:sz w:val="18"/>
                <w:szCs w:val="18"/>
              </w:rPr>
              <w:t>100</w:t>
            </w:r>
            <w:r>
              <w:rPr>
                <w:rFonts w:hint="eastAsia" w:ascii="宋体" w:hAnsi="宋体" w:eastAsia="宋体"/>
                <w:color w:val="000000"/>
                <w:sz w:val="18"/>
                <w:szCs w:val="18"/>
              </w:rPr>
              <w:t>万元以下的罚款。</w:t>
            </w:r>
          </w:p>
          <w:p w14:paraId="35E1F26F">
            <w:pPr>
              <w:wordWrap w:val="0"/>
              <w:autoSpaceDE w:val="0"/>
              <w:autoSpaceDN w:val="0"/>
              <w:spacing w:before="0" w:after="0" w:line="246" w:lineRule="exact"/>
              <w:ind w:firstLine="0"/>
              <w:jc w:val="both"/>
              <w:rPr>
                <w:rFonts w:hint="eastAsia" w:ascii="宋体" w:hAnsi="宋体" w:eastAsia="宋体"/>
                <w:color w:val="000000"/>
                <w:sz w:val="18"/>
                <w:szCs w:val="18"/>
              </w:rPr>
            </w:pPr>
          </w:p>
          <w:p w14:paraId="071DB78B">
            <w:pPr>
              <w:wordWrap w:val="0"/>
              <w:autoSpaceDE w:val="0"/>
              <w:autoSpaceDN w:val="0"/>
              <w:spacing w:before="127" w:after="0" w:line="246" w:lineRule="exact"/>
              <w:ind w:left="80" w:right="80" w:firstLine="44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60351CAA">
            <w:pPr>
              <w:wordWrap w:val="0"/>
              <w:autoSpaceDE w:val="0"/>
              <w:autoSpaceDN w:val="0"/>
              <w:spacing w:before="83" w:after="0" w:line="246" w:lineRule="exact"/>
              <w:ind w:left="80" w:right="40" w:firstLine="44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178C89C0">
            <w:pPr>
              <w:wordWrap w:val="0"/>
              <w:autoSpaceDE w:val="0"/>
              <w:autoSpaceDN w:val="0"/>
              <w:spacing w:before="73" w:after="0" w:line="246"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67F601AF">
            <w:pPr>
              <w:wordWrap w:val="0"/>
              <w:autoSpaceDE w:val="0"/>
              <w:autoSpaceDN w:val="0"/>
              <w:spacing w:before="53" w:after="0" w:line="246" w:lineRule="exact"/>
              <w:ind w:left="100" w:right="6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63878B2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0F919380">
            <w:pPr>
              <w:wordWrap w:val="0"/>
              <w:autoSpaceDE w:val="0"/>
              <w:autoSpaceDN w:val="0"/>
              <w:spacing w:before="53" w:after="0" w:line="246" w:lineRule="exact"/>
              <w:ind w:firstLine="220"/>
              <w:jc w:val="both"/>
              <w:rPr>
                <w:sz w:val="18"/>
                <w:szCs w:val="18"/>
              </w:rPr>
            </w:pPr>
            <w:r>
              <w:rPr>
                <w:rFonts w:hint="eastAsia" w:ascii="宋体" w:hAnsi="宋体" w:eastAsia="宋体"/>
                <w:color w:val="000000"/>
                <w:sz w:val="18"/>
                <w:szCs w:val="18"/>
              </w:rPr>
              <w:t>处罚种类</w:t>
            </w:r>
          </w:p>
        </w:tc>
        <w:tc>
          <w:tcPr>
            <w:tcW w:w="12860" w:type="dxa"/>
            <w:gridSpan w:val="4"/>
            <w:tcBorders>
              <w:top w:val="single" w:color="000000" w:sz="4" w:space="0"/>
              <w:left w:val="single" w:color="000000" w:sz="4" w:space="0"/>
              <w:bottom w:val="single" w:color="000000" w:sz="4" w:space="0"/>
              <w:right w:val="single" w:color="000000" w:sz="4" w:space="0"/>
            </w:tcBorders>
            <w:vAlign w:val="top"/>
          </w:tcPr>
          <w:p w14:paraId="739BBF04">
            <w:pPr>
              <w:wordWrap w:val="0"/>
              <w:autoSpaceDE w:val="0"/>
              <w:autoSpaceDN w:val="0"/>
              <w:spacing w:before="93" w:after="0" w:line="246" w:lineRule="exact"/>
              <w:ind w:firstLine="80"/>
              <w:jc w:val="both"/>
              <w:rPr>
                <w:sz w:val="18"/>
                <w:szCs w:val="18"/>
              </w:rPr>
            </w:pPr>
            <w:r>
              <w:rPr>
                <w:rFonts w:hint="eastAsia" w:ascii="宋体" w:hAnsi="宋体" w:eastAsia="宋体"/>
                <w:color w:val="000000"/>
                <w:sz w:val="18"/>
                <w:szCs w:val="18"/>
              </w:rPr>
              <w:t>罚款</w:t>
            </w:r>
          </w:p>
        </w:tc>
      </w:tr>
      <w:tr w14:paraId="4C0E949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4060" w:type="dxa"/>
            <w:gridSpan w:val="5"/>
            <w:tcBorders>
              <w:top w:val="single" w:color="000000" w:sz="4" w:space="0"/>
              <w:left w:val="single" w:color="000000" w:sz="4" w:space="0"/>
              <w:bottom w:val="single" w:color="000000" w:sz="4" w:space="0"/>
              <w:right w:val="single" w:color="000000" w:sz="4" w:space="0"/>
            </w:tcBorders>
            <w:vAlign w:val="top"/>
          </w:tcPr>
          <w:p w14:paraId="186F0AD6">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自由裁量基准</w:t>
            </w:r>
          </w:p>
        </w:tc>
      </w:tr>
      <w:tr w14:paraId="59E2317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634E9B5A">
            <w:pPr>
              <w:wordWrap w:val="0"/>
              <w:autoSpaceDE w:val="0"/>
              <w:autoSpaceDN w:val="0"/>
              <w:spacing w:before="0" w:after="0" w:line="246" w:lineRule="exact"/>
              <w:ind w:firstLine="0"/>
              <w:jc w:val="both"/>
              <w:rPr>
                <w:rFonts w:hint="eastAsia" w:ascii="宋体" w:hAnsi="宋体" w:eastAsia="宋体"/>
                <w:color w:val="000000"/>
                <w:sz w:val="18"/>
                <w:szCs w:val="18"/>
              </w:rPr>
            </w:pPr>
          </w:p>
          <w:p w14:paraId="66CDE2ED">
            <w:pPr>
              <w:wordWrap w:val="0"/>
              <w:autoSpaceDE w:val="0"/>
              <w:autoSpaceDN w:val="0"/>
              <w:spacing w:before="0" w:after="0" w:line="246" w:lineRule="exact"/>
              <w:ind w:firstLine="0"/>
              <w:jc w:val="both"/>
              <w:rPr>
                <w:rFonts w:hint="eastAsia" w:ascii="宋体" w:hAnsi="宋体" w:eastAsia="宋体"/>
                <w:color w:val="000000"/>
                <w:sz w:val="18"/>
                <w:szCs w:val="18"/>
              </w:rPr>
            </w:pPr>
          </w:p>
          <w:p w14:paraId="3FB567D7">
            <w:pPr>
              <w:wordWrap w:val="0"/>
              <w:autoSpaceDE w:val="0"/>
              <w:autoSpaceDN w:val="0"/>
              <w:spacing w:before="0" w:after="0" w:line="246" w:lineRule="exact"/>
              <w:ind w:firstLine="0"/>
              <w:jc w:val="both"/>
              <w:rPr>
                <w:rFonts w:hint="eastAsia" w:ascii="宋体" w:hAnsi="宋体" w:eastAsia="宋体"/>
                <w:color w:val="000000"/>
                <w:sz w:val="18"/>
                <w:szCs w:val="18"/>
              </w:rPr>
            </w:pPr>
          </w:p>
          <w:p w14:paraId="0A72C8A7">
            <w:pPr>
              <w:wordWrap w:val="0"/>
              <w:autoSpaceDE w:val="0"/>
              <w:autoSpaceDN w:val="0"/>
              <w:spacing w:before="0" w:after="0" w:line="246" w:lineRule="exact"/>
              <w:ind w:firstLine="0"/>
              <w:jc w:val="both"/>
              <w:rPr>
                <w:rFonts w:hint="eastAsia" w:ascii="宋体" w:hAnsi="宋体" w:eastAsia="宋体"/>
                <w:color w:val="000000"/>
                <w:sz w:val="18"/>
                <w:szCs w:val="18"/>
              </w:rPr>
            </w:pPr>
          </w:p>
          <w:p w14:paraId="614F66CD">
            <w:pPr>
              <w:wordWrap w:val="0"/>
              <w:autoSpaceDE w:val="0"/>
              <w:autoSpaceDN w:val="0"/>
              <w:spacing w:before="114" w:after="0" w:line="246" w:lineRule="exact"/>
              <w:jc w:val="center"/>
              <w:rPr>
                <w:sz w:val="18"/>
                <w:szCs w:val="18"/>
              </w:rPr>
            </w:pPr>
            <w:r>
              <w:rPr>
                <w:rFonts w:hint="eastAsia" w:ascii="宋体" w:hAnsi="宋体" w:eastAsia="宋体"/>
                <w:color w:val="000000"/>
                <w:sz w:val="18"/>
                <w:szCs w:val="18"/>
              </w:rPr>
              <w:t>情形描述</w:t>
            </w:r>
          </w:p>
        </w:tc>
        <w:tc>
          <w:tcPr>
            <w:tcW w:w="1500" w:type="dxa"/>
            <w:vMerge w:val="restart"/>
            <w:tcBorders>
              <w:top w:val="single" w:color="000000" w:sz="4" w:space="0"/>
              <w:left w:val="single" w:color="000000" w:sz="4" w:space="0"/>
              <w:bottom w:val="single" w:color="000000" w:sz="4" w:space="0"/>
              <w:right w:val="single" w:color="000000" w:sz="4" w:space="0"/>
            </w:tcBorders>
            <w:vAlign w:val="top"/>
          </w:tcPr>
          <w:p w14:paraId="4E6F2665">
            <w:pPr>
              <w:wordWrap w:val="0"/>
              <w:autoSpaceDE w:val="0"/>
              <w:autoSpaceDN w:val="0"/>
              <w:spacing w:before="107" w:after="0" w:line="246" w:lineRule="exact"/>
              <w:ind w:left="80" w:right="60" w:firstLine="0"/>
              <w:jc w:val="both"/>
              <w:rPr>
                <w:sz w:val="18"/>
                <w:szCs w:val="18"/>
              </w:rPr>
            </w:pPr>
            <w:r>
              <w:rPr>
                <w:rFonts w:hint="eastAsia" w:ascii="宋体" w:hAnsi="宋体" w:eastAsia="宋体"/>
                <w:color w:val="000000"/>
                <w:sz w:val="18"/>
                <w:szCs w:val="18"/>
              </w:rPr>
              <w:t>承包或受委托单位低于规定资质等级的</w:t>
            </w:r>
          </w:p>
        </w:tc>
        <w:tc>
          <w:tcPr>
            <w:tcW w:w="4500" w:type="dxa"/>
            <w:tcBorders>
              <w:top w:val="single" w:color="000000" w:sz="4" w:space="0"/>
              <w:left w:val="single" w:color="000000" w:sz="4" w:space="0"/>
              <w:bottom w:val="single" w:color="000000" w:sz="4" w:space="0"/>
              <w:right w:val="single" w:color="000000" w:sz="4" w:space="0"/>
            </w:tcBorders>
            <w:vAlign w:val="top"/>
          </w:tcPr>
          <w:p w14:paraId="06185877">
            <w:pPr>
              <w:wordWrap w:val="0"/>
              <w:autoSpaceDE w:val="0"/>
              <w:autoSpaceDN w:val="0"/>
              <w:spacing w:before="200" w:after="0" w:line="246" w:lineRule="exact"/>
              <w:ind w:firstLine="60"/>
              <w:jc w:val="both"/>
              <w:rPr>
                <w:sz w:val="18"/>
                <w:szCs w:val="18"/>
              </w:rPr>
            </w:pPr>
            <w:r>
              <w:rPr>
                <w:rFonts w:hint="eastAsia" w:ascii="宋体" w:hAnsi="宋体" w:eastAsia="宋体"/>
                <w:color w:val="000000"/>
                <w:sz w:val="18"/>
                <w:szCs w:val="18"/>
              </w:rPr>
              <w:t>按照要求改正且未造成质量安全事故的</w:t>
            </w:r>
          </w:p>
        </w:tc>
        <w:tc>
          <w:tcPr>
            <w:tcW w:w="1100" w:type="dxa"/>
            <w:vMerge w:val="restart"/>
            <w:tcBorders>
              <w:top w:val="single" w:color="000000" w:sz="4" w:space="0"/>
              <w:left w:val="single" w:color="000000" w:sz="4" w:space="0"/>
              <w:bottom w:val="single" w:color="000000" w:sz="4" w:space="0"/>
              <w:right w:val="single" w:color="000000" w:sz="4" w:space="0"/>
            </w:tcBorders>
            <w:vAlign w:val="top"/>
          </w:tcPr>
          <w:p w14:paraId="643A4BF2">
            <w:pPr>
              <w:wordWrap w:val="0"/>
              <w:autoSpaceDE w:val="0"/>
              <w:autoSpaceDN w:val="0"/>
              <w:spacing w:before="0" w:after="0" w:line="246" w:lineRule="exact"/>
              <w:ind w:firstLine="0"/>
              <w:jc w:val="both"/>
              <w:rPr>
                <w:rFonts w:hint="eastAsia" w:ascii="宋体" w:hAnsi="宋体" w:eastAsia="宋体"/>
                <w:color w:val="000000"/>
                <w:sz w:val="18"/>
                <w:szCs w:val="18"/>
              </w:rPr>
            </w:pPr>
          </w:p>
          <w:p w14:paraId="6CA55171">
            <w:pPr>
              <w:wordWrap w:val="0"/>
              <w:autoSpaceDE w:val="0"/>
              <w:autoSpaceDN w:val="0"/>
              <w:spacing w:before="0" w:after="0" w:line="246" w:lineRule="exact"/>
              <w:ind w:firstLine="0"/>
              <w:jc w:val="both"/>
              <w:rPr>
                <w:rFonts w:hint="eastAsia" w:ascii="宋体" w:hAnsi="宋体" w:eastAsia="宋体"/>
                <w:color w:val="000000"/>
                <w:sz w:val="18"/>
                <w:szCs w:val="18"/>
              </w:rPr>
            </w:pPr>
          </w:p>
          <w:p w14:paraId="5E175EE5">
            <w:pPr>
              <w:wordWrap w:val="0"/>
              <w:autoSpaceDE w:val="0"/>
              <w:autoSpaceDN w:val="0"/>
              <w:spacing w:before="0" w:after="0" w:line="246" w:lineRule="exact"/>
              <w:ind w:firstLine="0"/>
              <w:jc w:val="both"/>
              <w:rPr>
                <w:rFonts w:hint="eastAsia" w:ascii="宋体" w:hAnsi="宋体" w:eastAsia="宋体"/>
                <w:color w:val="000000"/>
                <w:sz w:val="18"/>
                <w:szCs w:val="18"/>
              </w:rPr>
            </w:pPr>
          </w:p>
          <w:p w14:paraId="0301BA2A">
            <w:pPr>
              <w:wordWrap w:val="0"/>
              <w:autoSpaceDE w:val="0"/>
              <w:autoSpaceDN w:val="0"/>
              <w:spacing w:before="0" w:after="0" w:line="246" w:lineRule="exact"/>
              <w:ind w:firstLine="0"/>
              <w:jc w:val="both"/>
              <w:rPr>
                <w:rFonts w:hint="eastAsia" w:ascii="宋体" w:hAnsi="宋体" w:eastAsia="宋体"/>
                <w:color w:val="000000"/>
                <w:sz w:val="18"/>
                <w:szCs w:val="18"/>
              </w:rPr>
            </w:pPr>
          </w:p>
          <w:p w14:paraId="70865F02">
            <w:pPr>
              <w:wordWrap w:val="0"/>
              <w:autoSpaceDE w:val="0"/>
              <w:autoSpaceDN w:val="0"/>
              <w:spacing w:before="114" w:after="0" w:line="246" w:lineRule="exact"/>
              <w:ind w:firstLine="140"/>
              <w:jc w:val="both"/>
              <w:rPr>
                <w:sz w:val="18"/>
                <w:szCs w:val="18"/>
              </w:rPr>
            </w:pPr>
            <w:r>
              <w:rPr>
                <w:rFonts w:hint="eastAsia" w:ascii="宋体" w:hAnsi="宋体" w:eastAsia="宋体"/>
                <w:color w:val="000000"/>
                <w:sz w:val="18"/>
                <w:szCs w:val="18"/>
              </w:rPr>
              <w:t>裁量幅度</w:t>
            </w:r>
          </w:p>
        </w:tc>
        <w:tc>
          <w:tcPr>
            <w:tcW w:w="5760" w:type="dxa"/>
            <w:tcBorders>
              <w:top w:val="single" w:color="000000" w:sz="4" w:space="0"/>
              <w:left w:val="single" w:color="000000" w:sz="4" w:space="0"/>
              <w:bottom w:val="single" w:color="000000" w:sz="4" w:space="0"/>
              <w:right w:val="single" w:color="000000" w:sz="4" w:space="0"/>
            </w:tcBorders>
            <w:vAlign w:val="top"/>
          </w:tcPr>
          <w:p w14:paraId="0D092C93">
            <w:pPr>
              <w:wordWrap w:val="0"/>
              <w:autoSpaceDE w:val="0"/>
              <w:autoSpaceDN w:val="0"/>
              <w:spacing w:before="73" w:after="0" w:line="246" w:lineRule="exact"/>
              <w:ind w:firstLine="10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50</w:t>
            </w:r>
            <w:r>
              <w:rPr>
                <w:rFonts w:hint="eastAsia" w:ascii="宋体" w:hAnsi="宋体" w:eastAsia="宋体"/>
                <w:color w:val="000000"/>
                <w:sz w:val="18"/>
                <w:szCs w:val="18"/>
              </w:rPr>
              <w:t>万元以上</w:t>
            </w:r>
            <w:r>
              <w:rPr>
                <w:rFonts w:hint="eastAsia" w:ascii="Calibri" w:hAnsi="Calibri" w:eastAsia="Calibri"/>
                <w:color w:val="000000"/>
                <w:sz w:val="18"/>
                <w:szCs w:val="18"/>
              </w:rPr>
              <w:t>60</w:t>
            </w:r>
            <w:r>
              <w:rPr>
                <w:rFonts w:hint="eastAsia" w:ascii="宋体" w:hAnsi="宋体" w:eastAsia="宋体"/>
                <w:color w:val="000000"/>
                <w:sz w:val="18"/>
                <w:szCs w:val="18"/>
              </w:rPr>
              <w:t>万元以下罚款</w:t>
            </w:r>
          </w:p>
          <w:p w14:paraId="6073BE93">
            <w:pPr>
              <w:wordWrap w:val="0"/>
              <w:autoSpaceDE w:val="0"/>
              <w:autoSpaceDN w:val="0"/>
              <w:spacing w:before="0" w:after="0" w:line="246" w:lineRule="exact"/>
              <w:ind w:firstLine="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0768943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039C70F6">
            <w:pPr>
              <w:rPr>
                <w:sz w:val="18"/>
                <w:szCs w:val="18"/>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7C2E81E7">
            <w:pPr>
              <w:rPr>
                <w:sz w:val="18"/>
                <w:szCs w:val="18"/>
              </w:rPr>
            </w:pPr>
          </w:p>
        </w:tc>
        <w:tc>
          <w:tcPr>
            <w:tcW w:w="4500" w:type="dxa"/>
            <w:tcBorders>
              <w:top w:val="single" w:color="000000" w:sz="4" w:space="0"/>
              <w:left w:val="single" w:color="000000" w:sz="4" w:space="0"/>
              <w:bottom w:val="single" w:color="000000" w:sz="4" w:space="0"/>
              <w:right w:val="single" w:color="000000" w:sz="4" w:space="0"/>
            </w:tcBorders>
            <w:vAlign w:val="top"/>
          </w:tcPr>
          <w:p w14:paraId="6E1FBB89">
            <w:pPr>
              <w:wordWrap w:val="0"/>
              <w:autoSpaceDE w:val="0"/>
              <w:autoSpaceDN w:val="0"/>
              <w:spacing w:before="200" w:after="0" w:line="246" w:lineRule="exact"/>
              <w:ind w:firstLine="40"/>
              <w:jc w:val="both"/>
              <w:rPr>
                <w:sz w:val="18"/>
                <w:szCs w:val="18"/>
              </w:rPr>
            </w:pPr>
            <w:r>
              <w:rPr>
                <w:rFonts w:hint="eastAsia" w:ascii="宋体" w:hAnsi="宋体" w:eastAsia="宋体"/>
                <w:color w:val="000000"/>
                <w:sz w:val="18"/>
                <w:szCs w:val="18"/>
              </w:rPr>
              <w:t>未按照要求改正或者造成质量安全事故的</w:t>
            </w:r>
          </w:p>
        </w:tc>
        <w:tc>
          <w:tcPr>
            <w:tcW w:w="1100" w:type="dxa"/>
            <w:vMerge w:val="continue"/>
            <w:tcBorders>
              <w:top w:val="single" w:color="000000" w:sz="4" w:space="0"/>
              <w:left w:val="single" w:color="000000" w:sz="4" w:space="0"/>
              <w:bottom w:val="single" w:color="000000" w:sz="4" w:space="0"/>
              <w:right w:val="single" w:color="000000" w:sz="4" w:space="0"/>
            </w:tcBorders>
          </w:tcPr>
          <w:p w14:paraId="705BD86A">
            <w:pPr>
              <w:rPr>
                <w:sz w:val="18"/>
                <w:szCs w:val="18"/>
              </w:rPr>
            </w:pPr>
          </w:p>
        </w:tc>
        <w:tc>
          <w:tcPr>
            <w:tcW w:w="5760" w:type="dxa"/>
            <w:tcBorders>
              <w:top w:val="single" w:color="000000" w:sz="4" w:space="0"/>
              <w:left w:val="single" w:color="000000" w:sz="4" w:space="0"/>
              <w:bottom w:val="single" w:color="000000" w:sz="4" w:space="0"/>
              <w:right w:val="single" w:color="000000" w:sz="4" w:space="0"/>
            </w:tcBorders>
            <w:vAlign w:val="top"/>
          </w:tcPr>
          <w:p w14:paraId="77D8972C">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60</w:t>
            </w:r>
            <w:r>
              <w:rPr>
                <w:rFonts w:hint="eastAsia" w:ascii="宋体" w:hAnsi="宋体" w:eastAsia="宋体"/>
                <w:color w:val="000000"/>
                <w:sz w:val="18"/>
                <w:szCs w:val="18"/>
              </w:rPr>
              <w:t>万元以上</w:t>
            </w:r>
            <w:r>
              <w:rPr>
                <w:rFonts w:hint="eastAsia" w:ascii="Calibri" w:hAnsi="Calibri" w:eastAsia="Calibri"/>
                <w:color w:val="000000"/>
                <w:sz w:val="18"/>
                <w:szCs w:val="18"/>
              </w:rPr>
              <w:t>90</w:t>
            </w:r>
            <w:r>
              <w:rPr>
                <w:rFonts w:hint="eastAsia" w:ascii="宋体" w:hAnsi="宋体" w:eastAsia="宋体"/>
                <w:color w:val="000000"/>
                <w:sz w:val="18"/>
                <w:szCs w:val="18"/>
              </w:rPr>
              <w:t>万元以下罚款</w:t>
            </w:r>
          </w:p>
          <w:p w14:paraId="405832F0">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142413E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355D4FBC">
            <w:pPr>
              <w:rPr>
                <w:sz w:val="18"/>
                <w:szCs w:val="18"/>
              </w:rPr>
            </w:pPr>
          </w:p>
        </w:tc>
        <w:tc>
          <w:tcPr>
            <w:tcW w:w="1500" w:type="dxa"/>
            <w:vMerge w:val="restart"/>
            <w:tcBorders>
              <w:top w:val="single" w:color="000000" w:sz="4" w:space="0"/>
              <w:left w:val="single" w:color="000000" w:sz="4" w:space="0"/>
              <w:bottom w:val="single" w:color="000000" w:sz="4" w:space="0"/>
              <w:right w:val="single" w:color="000000" w:sz="4" w:space="0"/>
            </w:tcBorders>
            <w:vAlign w:val="top"/>
          </w:tcPr>
          <w:p w14:paraId="672B0FD3">
            <w:pPr>
              <w:wordWrap w:val="0"/>
              <w:autoSpaceDE w:val="0"/>
              <w:autoSpaceDN w:val="0"/>
              <w:spacing w:before="0" w:after="0" w:line="246" w:lineRule="exact"/>
              <w:ind w:firstLine="0"/>
              <w:jc w:val="both"/>
              <w:rPr>
                <w:rFonts w:hint="eastAsia" w:ascii="宋体" w:hAnsi="宋体" w:eastAsia="宋体"/>
                <w:color w:val="000000"/>
                <w:sz w:val="18"/>
                <w:szCs w:val="18"/>
              </w:rPr>
            </w:pPr>
          </w:p>
          <w:p w14:paraId="3A9B8A1D">
            <w:pPr>
              <w:wordWrap w:val="0"/>
              <w:autoSpaceDE w:val="0"/>
              <w:autoSpaceDN w:val="0"/>
              <w:spacing w:before="107" w:after="0" w:line="246" w:lineRule="exact"/>
              <w:ind w:firstLine="0"/>
              <w:jc w:val="both"/>
              <w:rPr>
                <w:sz w:val="18"/>
                <w:szCs w:val="18"/>
              </w:rPr>
            </w:pPr>
            <w:r>
              <w:rPr>
                <w:rFonts w:hint="eastAsia" w:ascii="宋体" w:hAnsi="宋体" w:eastAsia="宋体"/>
                <w:color w:val="000000"/>
                <w:sz w:val="18"/>
                <w:szCs w:val="18"/>
              </w:rPr>
              <w:t>承包或受委托</w:t>
            </w:r>
          </w:p>
          <w:p w14:paraId="7F45026F">
            <w:pPr>
              <w:wordWrap w:val="0"/>
              <w:autoSpaceDE w:val="0"/>
              <w:autoSpaceDN w:val="0"/>
              <w:spacing w:before="53" w:after="0" w:line="246" w:lineRule="exact"/>
              <w:ind w:firstLine="0"/>
              <w:jc w:val="both"/>
              <w:rPr>
                <w:sz w:val="18"/>
                <w:szCs w:val="18"/>
              </w:rPr>
            </w:pPr>
            <w:r>
              <w:rPr>
                <w:rFonts w:hint="eastAsia" w:ascii="宋体" w:hAnsi="宋体" w:eastAsia="宋体"/>
                <w:color w:val="000000"/>
                <w:sz w:val="18"/>
                <w:szCs w:val="18"/>
              </w:rPr>
              <w:t>单位无资质的</w:t>
            </w:r>
          </w:p>
        </w:tc>
        <w:tc>
          <w:tcPr>
            <w:tcW w:w="4500" w:type="dxa"/>
            <w:tcBorders>
              <w:top w:val="single" w:color="000000" w:sz="4" w:space="0"/>
              <w:left w:val="single" w:color="000000" w:sz="4" w:space="0"/>
              <w:bottom w:val="single" w:color="000000" w:sz="4" w:space="0"/>
              <w:right w:val="single" w:color="000000" w:sz="4" w:space="0"/>
            </w:tcBorders>
            <w:vAlign w:val="top"/>
          </w:tcPr>
          <w:p w14:paraId="35C6AB3E">
            <w:pPr>
              <w:wordWrap w:val="0"/>
              <w:autoSpaceDE w:val="0"/>
              <w:autoSpaceDN w:val="0"/>
              <w:spacing w:before="200" w:after="0" w:line="246" w:lineRule="exact"/>
              <w:ind w:firstLine="40"/>
              <w:jc w:val="both"/>
              <w:rPr>
                <w:sz w:val="18"/>
                <w:szCs w:val="18"/>
              </w:rPr>
            </w:pPr>
            <w:r>
              <w:rPr>
                <w:rFonts w:hint="eastAsia" w:ascii="宋体" w:hAnsi="宋体" w:eastAsia="宋体"/>
                <w:color w:val="000000"/>
                <w:sz w:val="18"/>
                <w:szCs w:val="18"/>
              </w:rPr>
              <w:t>按照要求改正且未造成质量安全事故的</w:t>
            </w:r>
          </w:p>
        </w:tc>
        <w:tc>
          <w:tcPr>
            <w:tcW w:w="1100" w:type="dxa"/>
            <w:vMerge w:val="continue"/>
            <w:tcBorders>
              <w:top w:val="single" w:color="000000" w:sz="4" w:space="0"/>
              <w:left w:val="single" w:color="000000" w:sz="4" w:space="0"/>
              <w:bottom w:val="single" w:color="000000" w:sz="4" w:space="0"/>
              <w:right w:val="single" w:color="000000" w:sz="4" w:space="0"/>
            </w:tcBorders>
          </w:tcPr>
          <w:p w14:paraId="2D99889C">
            <w:pPr>
              <w:rPr>
                <w:sz w:val="18"/>
                <w:szCs w:val="18"/>
              </w:rPr>
            </w:pPr>
          </w:p>
        </w:tc>
        <w:tc>
          <w:tcPr>
            <w:tcW w:w="5760" w:type="dxa"/>
            <w:tcBorders>
              <w:top w:val="single" w:color="000000" w:sz="4" w:space="0"/>
              <w:left w:val="single" w:color="000000" w:sz="4" w:space="0"/>
              <w:bottom w:val="single" w:color="000000" w:sz="4" w:space="0"/>
              <w:right w:val="single" w:color="000000" w:sz="4" w:space="0"/>
            </w:tcBorders>
            <w:vAlign w:val="top"/>
          </w:tcPr>
          <w:p w14:paraId="07E5A2E9">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50</w:t>
            </w:r>
            <w:r>
              <w:rPr>
                <w:rFonts w:hint="eastAsia" w:ascii="宋体" w:hAnsi="宋体" w:eastAsia="宋体"/>
                <w:color w:val="000000"/>
                <w:sz w:val="18"/>
                <w:szCs w:val="18"/>
              </w:rPr>
              <w:t>万元以上</w:t>
            </w:r>
            <w:r>
              <w:rPr>
                <w:rFonts w:hint="eastAsia" w:ascii="Calibri" w:hAnsi="Calibri" w:eastAsia="Calibri"/>
                <w:color w:val="000000"/>
                <w:sz w:val="18"/>
                <w:szCs w:val="18"/>
              </w:rPr>
              <w:t>70</w:t>
            </w:r>
            <w:r>
              <w:rPr>
                <w:rFonts w:hint="eastAsia" w:ascii="宋体" w:hAnsi="宋体" w:eastAsia="宋体"/>
                <w:color w:val="000000"/>
                <w:sz w:val="18"/>
                <w:szCs w:val="18"/>
              </w:rPr>
              <w:t>万元以下罚款</w:t>
            </w:r>
          </w:p>
          <w:p w14:paraId="5A11F017">
            <w:pPr>
              <w:wordWrap w:val="0"/>
              <w:autoSpaceDE w:val="0"/>
              <w:autoSpaceDN w:val="0"/>
              <w:spacing w:before="0" w:after="0" w:line="246" w:lineRule="exact"/>
              <w:ind w:firstLine="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7</w:t>
            </w:r>
            <w:r>
              <w:rPr>
                <w:rFonts w:hint="eastAsia" w:ascii="宋体" w:hAnsi="宋体" w:eastAsia="宋体"/>
                <w:color w:val="000000"/>
                <w:sz w:val="18"/>
                <w:szCs w:val="18"/>
              </w:rPr>
              <w:t>％以下罚款</w:t>
            </w:r>
          </w:p>
        </w:tc>
      </w:tr>
      <w:tr w14:paraId="3405F40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113C7741">
            <w:pPr>
              <w:rPr>
                <w:sz w:val="18"/>
                <w:szCs w:val="18"/>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439FAE8D">
            <w:pPr>
              <w:rPr>
                <w:sz w:val="18"/>
                <w:szCs w:val="18"/>
              </w:rPr>
            </w:pPr>
          </w:p>
        </w:tc>
        <w:tc>
          <w:tcPr>
            <w:tcW w:w="4500" w:type="dxa"/>
            <w:tcBorders>
              <w:top w:val="single" w:color="000000" w:sz="4" w:space="0"/>
              <w:left w:val="single" w:color="000000" w:sz="4" w:space="0"/>
              <w:bottom w:val="single" w:color="000000" w:sz="4" w:space="0"/>
              <w:right w:val="single" w:color="000000" w:sz="4" w:space="0"/>
            </w:tcBorders>
            <w:vAlign w:val="top"/>
          </w:tcPr>
          <w:p w14:paraId="2164284F">
            <w:pPr>
              <w:wordWrap w:val="0"/>
              <w:autoSpaceDE w:val="0"/>
              <w:autoSpaceDN w:val="0"/>
              <w:spacing w:before="180" w:after="0" w:line="246" w:lineRule="exact"/>
              <w:ind w:firstLine="40"/>
              <w:jc w:val="both"/>
              <w:rPr>
                <w:sz w:val="18"/>
                <w:szCs w:val="18"/>
              </w:rPr>
            </w:pPr>
            <w:r>
              <w:rPr>
                <w:rFonts w:hint="eastAsia" w:ascii="宋体" w:hAnsi="宋体" w:eastAsia="宋体"/>
                <w:color w:val="000000"/>
                <w:sz w:val="18"/>
                <w:szCs w:val="18"/>
              </w:rPr>
              <w:t>未按照要求改正或者造成质量安全事故的</w:t>
            </w:r>
          </w:p>
        </w:tc>
        <w:tc>
          <w:tcPr>
            <w:tcW w:w="1100" w:type="dxa"/>
            <w:vMerge w:val="continue"/>
            <w:tcBorders>
              <w:top w:val="single" w:color="000000" w:sz="4" w:space="0"/>
              <w:left w:val="single" w:color="000000" w:sz="4" w:space="0"/>
              <w:bottom w:val="single" w:color="000000" w:sz="4" w:space="0"/>
              <w:right w:val="single" w:color="000000" w:sz="4" w:space="0"/>
            </w:tcBorders>
          </w:tcPr>
          <w:p w14:paraId="6F53914D">
            <w:pPr>
              <w:rPr>
                <w:sz w:val="18"/>
                <w:szCs w:val="18"/>
              </w:rPr>
            </w:pPr>
          </w:p>
        </w:tc>
        <w:tc>
          <w:tcPr>
            <w:tcW w:w="5760" w:type="dxa"/>
            <w:tcBorders>
              <w:top w:val="single" w:color="000000" w:sz="4" w:space="0"/>
              <w:left w:val="single" w:color="000000" w:sz="4" w:space="0"/>
              <w:bottom w:val="single" w:color="000000" w:sz="4" w:space="0"/>
              <w:right w:val="single" w:color="000000" w:sz="4" w:space="0"/>
            </w:tcBorders>
            <w:vAlign w:val="top"/>
          </w:tcPr>
          <w:p w14:paraId="46CE18D4">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70</w:t>
            </w:r>
            <w:r>
              <w:rPr>
                <w:rFonts w:hint="eastAsia" w:ascii="宋体" w:hAnsi="宋体" w:eastAsia="宋体"/>
                <w:color w:val="000000"/>
                <w:sz w:val="18"/>
                <w:szCs w:val="18"/>
              </w:rPr>
              <w:t>万元以上</w:t>
            </w:r>
            <w:r>
              <w:rPr>
                <w:rFonts w:hint="eastAsia" w:ascii="Calibri" w:hAnsi="Calibri" w:eastAsia="Calibri"/>
                <w:color w:val="000000"/>
                <w:sz w:val="18"/>
                <w:szCs w:val="18"/>
              </w:rPr>
              <w:t>100</w:t>
            </w:r>
            <w:r>
              <w:rPr>
                <w:rFonts w:hint="eastAsia" w:ascii="宋体" w:hAnsi="宋体" w:eastAsia="宋体"/>
                <w:color w:val="000000"/>
                <w:sz w:val="18"/>
                <w:szCs w:val="18"/>
              </w:rPr>
              <w:t>万元以下罚款</w:t>
            </w:r>
          </w:p>
          <w:p w14:paraId="1EEE27FE">
            <w:pPr>
              <w:wordWrap w:val="0"/>
              <w:autoSpaceDE w:val="0"/>
              <w:autoSpaceDN w:val="0"/>
              <w:spacing w:before="0" w:after="0" w:line="246" w:lineRule="exact"/>
              <w:ind w:firstLine="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775AE269">
      <w:pPr>
        <w:rPr>
          <w:sz w:val="18"/>
          <w:szCs w:val="18"/>
        </w:rPr>
      </w:pPr>
    </w:p>
    <w:tbl>
      <w:tblPr>
        <w:tblStyle w:val="15"/>
        <w:tblW w:w="0" w:type="auto"/>
        <w:tblInd w:w="18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208"/>
        <w:gridCol w:w="5861"/>
        <w:gridCol w:w="1088"/>
        <w:gridCol w:w="5631"/>
      </w:tblGrid>
      <w:tr w14:paraId="12C0F0A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2FBC4801">
            <w:pPr>
              <w:wordWrap w:val="0"/>
              <w:autoSpaceDE w:val="0"/>
              <w:autoSpaceDN w:val="0"/>
              <w:spacing w:before="59" w:after="0" w:line="220" w:lineRule="exact"/>
              <w:ind w:firstLine="340"/>
              <w:jc w:val="both"/>
              <w:rPr>
                <w:sz w:val="18"/>
                <w:szCs w:val="18"/>
              </w:rPr>
            </w:pPr>
            <w:r>
              <w:rPr>
                <w:rFonts w:hint="eastAsia" w:ascii="宋体" w:hAnsi="宋体" w:eastAsia="宋体"/>
                <w:color w:val="000000"/>
                <w:sz w:val="18"/>
                <w:szCs w:val="18"/>
              </w:rPr>
              <w:t>序号</w:t>
            </w:r>
          </w:p>
        </w:tc>
        <w:tc>
          <w:tcPr>
            <w:tcW w:w="12780" w:type="dxa"/>
            <w:gridSpan w:val="3"/>
            <w:tcBorders>
              <w:top w:val="single" w:color="000000" w:sz="4" w:space="0"/>
              <w:left w:val="single" w:color="000000" w:sz="4" w:space="0"/>
              <w:bottom w:val="single" w:color="000000" w:sz="4" w:space="0"/>
              <w:right w:val="single" w:color="000000" w:sz="4" w:space="0"/>
            </w:tcBorders>
            <w:vAlign w:val="top"/>
          </w:tcPr>
          <w:p w14:paraId="29E6BE9B">
            <w:pPr>
              <w:wordWrap w:val="0"/>
              <w:autoSpaceDE w:val="0"/>
              <w:autoSpaceDN w:val="0"/>
              <w:spacing w:before="79" w:after="0" w:line="220" w:lineRule="exact"/>
              <w:ind w:firstLine="80"/>
              <w:jc w:val="both"/>
              <w:rPr>
                <w:rFonts w:hint="eastAsia" w:eastAsia="宋体"/>
                <w:sz w:val="18"/>
                <w:szCs w:val="18"/>
                <w:lang w:val="en-US" w:eastAsia="zh-CN"/>
              </w:rPr>
            </w:pPr>
            <w:r>
              <w:rPr>
                <w:rFonts w:hint="eastAsia" w:ascii="Calibri" w:hAnsi="Calibri" w:eastAsia="Calibri"/>
                <w:color w:val="000000"/>
                <w:sz w:val="18"/>
                <w:szCs w:val="18"/>
              </w:rPr>
              <w:t>1</w:t>
            </w:r>
            <w:r>
              <w:rPr>
                <w:rFonts w:hint="eastAsia" w:ascii="Calibri" w:hAnsi="Calibri"/>
                <w:color w:val="000000"/>
                <w:sz w:val="18"/>
                <w:szCs w:val="18"/>
                <w:lang w:val="en-US" w:eastAsia="zh-CN"/>
              </w:rPr>
              <w:t>7</w:t>
            </w:r>
          </w:p>
        </w:tc>
      </w:tr>
      <w:tr w14:paraId="292B847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4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61346711">
            <w:pPr>
              <w:wordWrap w:val="0"/>
              <w:autoSpaceDE w:val="0"/>
              <w:autoSpaceDN w:val="0"/>
              <w:spacing w:before="0" w:after="0" w:line="220" w:lineRule="exact"/>
              <w:ind w:firstLine="360"/>
              <w:jc w:val="both"/>
              <w:rPr>
                <w:sz w:val="18"/>
                <w:szCs w:val="18"/>
              </w:rPr>
            </w:pPr>
            <w:r>
              <w:rPr>
                <w:rFonts w:hint="eastAsia" w:ascii="宋体" w:hAnsi="宋体" w:eastAsia="宋体"/>
                <w:color w:val="000000"/>
                <w:sz w:val="18"/>
                <w:szCs w:val="18"/>
              </w:rPr>
              <w:t>编号</w:t>
            </w:r>
          </w:p>
        </w:tc>
        <w:tc>
          <w:tcPr>
            <w:tcW w:w="12780" w:type="dxa"/>
            <w:gridSpan w:val="3"/>
            <w:tcBorders>
              <w:top w:val="single" w:color="000000" w:sz="4" w:space="0"/>
              <w:left w:val="single" w:color="000000" w:sz="4" w:space="0"/>
              <w:bottom w:val="single" w:color="000000" w:sz="4" w:space="0"/>
              <w:right w:val="single" w:color="000000" w:sz="4" w:space="0"/>
            </w:tcBorders>
            <w:vAlign w:val="top"/>
          </w:tcPr>
          <w:p w14:paraId="2C1A76D9">
            <w:pPr>
              <w:wordWrap w:val="0"/>
              <w:autoSpaceDE w:val="0"/>
              <w:autoSpaceDN w:val="0"/>
              <w:spacing w:before="0" w:after="0" w:line="220" w:lineRule="exact"/>
              <w:ind w:firstLine="60"/>
              <w:jc w:val="both"/>
              <w:rPr>
                <w:sz w:val="18"/>
                <w:szCs w:val="18"/>
              </w:rPr>
            </w:pPr>
            <w:r>
              <w:rPr>
                <w:rFonts w:hint="eastAsia" w:ascii="Calibri" w:hAnsi="Calibri" w:eastAsia="Calibri"/>
                <w:color w:val="000000"/>
                <w:sz w:val="18"/>
                <w:szCs w:val="18"/>
              </w:rPr>
              <w:t>320280021000</w:t>
            </w:r>
          </w:p>
        </w:tc>
      </w:tr>
      <w:tr w14:paraId="16927ED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45E49D50">
            <w:pPr>
              <w:wordWrap w:val="0"/>
              <w:autoSpaceDE w:val="0"/>
              <w:autoSpaceDN w:val="0"/>
              <w:spacing w:before="19" w:after="0" w:line="220" w:lineRule="exact"/>
              <w:jc w:val="center"/>
              <w:rPr>
                <w:sz w:val="18"/>
                <w:szCs w:val="18"/>
              </w:rPr>
            </w:pPr>
            <w:r>
              <w:rPr>
                <w:rFonts w:hint="eastAsia" w:ascii="宋体" w:hAnsi="宋体" w:eastAsia="宋体"/>
                <w:color w:val="000000"/>
                <w:sz w:val="18"/>
                <w:szCs w:val="18"/>
              </w:rPr>
              <w:t>行为名称</w:t>
            </w:r>
          </w:p>
        </w:tc>
        <w:tc>
          <w:tcPr>
            <w:tcW w:w="12780" w:type="dxa"/>
            <w:gridSpan w:val="3"/>
            <w:tcBorders>
              <w:top w:val="single" w:color="000000" w:sz="4" w:space="0"/>
              <w:left w:val="single" w:color="000000" w:sz="4" w:space="0"/>
              <w:bottom w:val="single" w:color="000000" w:sz="4" w:space="0"/>
              <w:right w:val="single" w:color="000000" w:sz="4" w:space="0"/>
            </w:tcBorders>
            <w:vAlign w:val="top"/>
          </w:tcPr>
          <w:p w14:paraId="72E13C00">
            <w:pPr>
              <w:wordWrap w:val="0"/>
              <w:autoSpaceDE w:val="0"/>
              <w:autoSpaceDN w:val="0"/>
              <w:spacing w:before="39" w:after="0" w:line="220" w:lineRule="exact"/>
              <w:ind w:firstLine="80"/>
              <w:jc w:val="both"/>
              <w:rPr>
                <w:sz w:val="18"/>
                <w:szCs w:val="18"/>
              </w:rPr>
            </w:pPr>
            <w:r>
              <w:rPr>
                <w:rFonts w:hint="eastAsia" w:ascii="宋体" w:hAnsi="宋体" w:eastAsia="宋体"/>
                <w:color w:val="000000"/>
                <w:sz w:val="18"/>
                <w:szCs w:val="18"/>
              </w:rPr>
              <w:t>对人民防空工程勘察、设计、施工、工程监理单位允许其他单位或者个人以本单位名义承揽工程的处罚</w:t>
            </w:r>
          </w:p>
        </w:tc>
      </w:tr>
      <w:tr w14:paraId="3C05700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54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6A67D0E9">
            <w:pPr>
              <w:wordWrap w:val="0"/>
              <w:autoSpaceDE w:val="0"/>
              <w:autoSpaceDN w:val="0"/>
              <w:spacing w:before="0" w:after="0" w:line="220" w:lineRule="exact"/>
              <w:ind w:firstLine="0"/>
              <w:jc w:val="both"/>
              <w:rPr>
                <w:rFonts w:hint="eastAsia" w:ascii="宋体" w:hAnsi="宋体" w:eastAsia="宋体"/>
                <w:color w:val="000000"/>
                <w:sz w:val="18"/>
                <w:szCs w:val="18"/>
              </w:rPr>
            </w:pPr>
          </w:p>
          <w:p w14:paraId="7DED1F0D">
            <w:pPr>
              <w:wordWrap w:val="0"/>
              <w:autoSpaceDE w:val="0"/>
              <w:autoSpaceDN w:val="0"/>
              <w:spacing w:before="0" w:after="0" w:line="220" w:lineRule="exact"/>
              <w:ind w:firstLine="0"/>
              <w:jc w:val="both"/>
              <w:rPr>
                <w:rFonts w:hint="eastAsia" w:ascii="宋体" w:hAnsi="宋体" w:eastAsia="宋体"/>
                <w:color w:val="000000"/>
                <w:sz w:val="18"/>
                <w:szCs w:val="18"/>
              </w:rPr>
            </w:pPr>
          </w:p>
          <w:p w14:paraId="1C2E3891">
            <w:pPr>
              <w:wordWrap w:val="0"/>
              <w:autoSpaceDE w:val="0"/>
              <w:autoSpaceDN w:val="0"/>
              <w:spacing w:before="0" w:after="0" w:line="220" w:lineRule="exact"/>
              <w:ind w:firstLine="0"/>
              <w:jc w:val="both"/>
              <w:rPr>
                <w:rFonts w:hint="eastAsia" w:ascii="宋体" w:hAnsi="宋体" w:eastAsia="宋体"/>
                <w:color w:val="000000"/>
                <w:sz w:val="18"/>
                <w:szCs w:val="18"/>
              </w:rPr>
            </w:pPr>
          </w:p>
          <w:p w14:paraId="2E4BC45C">
            <w:pPr>
              <w:wordWrap w:val="0"/>
              <w:autoSpaceDE w:val="0"/>
              <w:autoSpaceDN w:val="0"/>
              <w:spacing w:before="0" w:after="0" w:line="220" w:lineRule="exact"/>
              <w:ind w:firstLine="0"/>
              <w:jc w:val="both"/>
              <w:rPr>
                <w:rFonts w:hint="eastAsia" w:ascii="宋体" w:hAnsi="宋体" w:eastAsia="宋体"/>
                <w:color w:val="000000"/>
                <w:sz w:val="18"/>
                <w:szCs w:val="18"/>
              </w:rPr>
            </w:pPr>
          </w:p>
          <w:p w14:paraId="42A8F6E4">
            <w:pPr>
              <w:wordWrap w:val="0"/>
              <w:autoSpaceDE w:val="0"/>
              <w:autoSpaceDN w:val="0"/>
              <w:spacing w:before="0" w:after="0" w:line="220" w:lineRule="exact"/>
              <w:ind w:firstLine="0"/>
              <w:jc w:val="both"/>
              <w:rPr>
                <w:rFonts w:hint="eastAsia" w:ascii="宋体" w:hAnsi="宋体" w:eastAsia="宋体"/>
                <w:color w:val="000000"/>
                <w:sz w:val="18"/>
                <w:szCs w:val="18"/>
              </w:rPr>
            </w:pPr>
          </w:p>
          <w:p w14:paraId="697DD926">
            <w:pPr>
              <w:wordWrap w:val="0"/>
              <w:autoSpaceDE w:val="0"/>
              <w:autoSpaceDN w:val="0"/>
              <w:spacing w:before="0" w:after="0" w:line="220" w:lineRule="exact"/>
              <w:ind w:firstLine="0"/>
              <w:jc w:val="both"/>
              <w:rPr>
                <w:rFonts w:hint="eastAsia" w:ascii="宋体" w:hAnsi="宋体" w:eastAsia="宋体"/>
                <w:color w:val="000000"/>
                <w:sz w:val="18"/>
                <w:szCs w:val="18"/>
              </w:rPr>
            </w:pPr>
          </w:p>
          <w:p w14:paraId="62FDB749">
            <w:pPr>
              <w:wordWrap w:val="0"/>
              <w:autoSpaceDE w:val="0"/>
              <w:autoSpaceDN w:val="0"/>
              <w:spacing w:before="0" w:after="0" w:line="220" w:lineRule="exact"/>
              <w:ind w:firstLine="0"/>
              <w:jc w:val="both"/>
              <w:rPr>
                <w:rFonts w:hint="eastAsia" w:ascii="宋体" w:hAnsi="宋体" w:eastAsia="宋体"/>
                <w:color w:val="000000"/>
                <w:sz w:val="18"/>
                <w:szCs w:val="18"/>
              </w:rPr>
            </w:pPr>
          </w:p>
          <w:p w14:paraId="5F261870">
            <w:pPr>
              <w:wordWrap w:val="0"/>
              <w:autoSpaceDE w:val="0"/>
              <w:autoSpaceDN w:val="0"/>
              <w:spacing w:before="156" w:after="0" w:line="220" w:lineRule="exact"/>
              <w:ind w:firstLine="240"/>
              <w:jc w:val="both"/>
              <w:rPr>
                <w:sz w:val="18"/>
                <w:szCs w:val="18"/>
              </w:rPr>
            </w:pPr>
            <w:r>
              <w:rPr>
                <w:rFonts w:hint="eastAsia" w:ascii="宋体" w:hAnsi="宋体" w:eastAsia="宋体"/>
                <w:color w:val="000000"/>
                <w:sz w:val="18"/>
                <w:szCs w:val="18"/>
              </w:rPr>
              <w:t>法律依据</w:t>
            </w:r>
          </w:p>
        </w:tc>
        <w:tc>
          <w:tcPr>
            <w:tcW w:w="12780" w:type="dxa"/>
            <w:gridSpan w:val="3"/>
            <w:tcBorders>
              <w:top w:val="single" w:color="000000" w:sz="4" w:space="0"/>
              <w:left w:val="single" w:color="000000" w:sz="4" w:space="0"/>
              <w:bottom w:val="single" w:color="000000" w:sz="4" w:space="0"/>
              <w:right w:val="single" w:color="000000" w:sz="4" w:space="0"/>
            </w:tcBorders>
            <w:vAlign w:val="top"/>
          </w:tcPr>
          <w:p w14:paraId="1CD1EBEB">
            <w:pPr>
              <w:wordWrap w:val="0"/>
              <w:autoSpaceDE w:val="0"/>
              <w:autoSpaceDN w:val="0"/>
              <w:spacing w:before="0" w:after="0" w:line="220"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28E8DDDE">
            <w:pPr>
              <w:wordWrap w:val="0"/>
              <w:autoSpaceDE w:val="0"/>
              <w:autoSpaceDN w:val="0"/>
              <w:spacing w:before="0" w:after="0" w:line="210" w:lineRule="exact"/>
              <w:ind w:left="80" w:right="40" w:firstLine="420"/>
              <w:jc w:val="both"/>
              <w:rPr>
                <w:sz w:val="18"/>
                <w:szCs w:val="18"/>
              </w:rPr>
            </w:pPr>
            <w:r>
              <w:rPr>
                <w:rFonts w:hint="eastAsia" w:ascii="宋体" w:hAnsi="宋体" w:eastAsia="宋体"/>
                <w:color w:val="000000"/>
                <w:sz w:val="18"/>
                <w:szCs w:val="18"/>
              </w:rPr>
              <w:t>第十八条第二款 禁止勘察、设计单位超越其资质等级许可的范围或者以其他勘察、设计单位的名义承揽工程。禁止勘察、设计单位允许其他单位或者个人以本单位的名义承揽工程。</w:t>
            </w:r>
          </w:p>
          <w:p w14:paraId="5CED4791">
            <w:pPr>
              <w:wordWrap w:val="0"/>
              <w:autoSpaceDE w:val="0"/>
              <w:autoSpaceDN w:val="0"/>
              <w:spacing w:before="0" w:after="0" w:line="210" w:lineRule="exact"/>
              <w:ind w:left="80" w:right="40" w:firstLine="420"/>
              <w:jc w:val="both"/>
              <w:rPr>
                <w:sz w:val="18"/>
                <w:szCs w:val="18"/>
              </w:rPr>
            </w:pPr>
            <w:r>
              <w:rPr>
                <w:rFonts w:hint="eastAsia" w:ascii="宋体" w:hAnsi="宋体" w:eastAsia="宋体"/>
                <w:color w:val="000000"/>
                <w:sz w:val="18"/>
                <w:szCs w:val="18"/>
              </w:rPr>
              <w:t>第二十五条第二款 禁止施工单位超越本单位资质等级许可的业务范围或者以其他施工单位的名义承揽工程。禁止施工单位允许其他单位或者个人以本单位的名义承揽工程。</w:t>
            </w:r>
          </w:p>
          <w:p w14:paraId="033575D4">
            <w:pPr>
              <w:wordWrap w:val="0"/>
              <w:autoSpaceDE w:val="0"/>
              <w:autoSpaceDN w:val="0"/>
              <w:spacing w:before="0" w:after="0" w:line="220" w:lineRule="exact"/>
              <w:ind w:left="100" w:right="40" w:firstLine="400"/>
              <w:jc w:val="both"/>
              <w:rPr>
                <w:sz w:val="18"/>
                <w:szCs w:val="18"/>
              </w:rPr>
            </w:pPr>
            <w:r>
              <w:rPr>
                <w:rFonts w:hint="eastAsia" w:ascii="宋体" w:hAnsi="宋体" w:eastAsia="宋体"/>
                <w:color w:val="000000"/>
                <w:sz w:val="18"/>
                <w:szCs w:val="18"/>
              </w:rPr>
              <w:t>第三十四条第二款 禁止工程监理单位超越本单位资质等级许可的范围或者以其他工程监理单位的名义承担工程监理业务。禁止工程监理单位允许其他单位或者个人以本单位的名义承担工程监理业务。</w:t>
            </w:r>
          </w:p>
          <w:p w14:paraId="51E7A96A">
            <w:pPr>
              <w:wordWrap w:val="0"/>
              <w:autoSpaceDE w:val="0"/>
              <w:autoSpaceDN w:val="0"/>
              <w:spacing w:before="0" w:after="0" w:line="206" w:lineRule="exact"/>
              <w:ind w:left="80" w:firstLine="420"/>
              <w:jc w:val="both"/>
              <w:rPr>
                <w:sz w:val="18"/>
                <w:szCs w:val="18"/>
              </w:rPr>
            </w:pPr>
            <w:r>
              <w:rPr>
                <w:rFonts w:hint="eastAsia" w:ascii="宋体" w:hAnsi="宋体" w:eastAsia="宋体"/>
                <w:color w:val="000000"/>
                <w:sz w:val="18"/>
                <w:szCs w:val="18"/>
              </w:rPr>
              <w:t>第六十一条 违反本条例规定，勘察、设计、施工、工程监理单位允许其他单位或者个人以本单位名义承揽工程的，责令改正，没收违法所得，对勘察、设计单位和工程监理单位处合同约定的勘察费、设计费和监理酬金</w:t>
            </w:r>
            <w:r>
              <w:rPr>
                <w:rFonts w:hint="eastAsia" w:ascii="Calibri" w:hAnsi="Calibri" w:eastAsia="Calibri"/>
                <w:color w:val="000000"/>
                <w:sz w:val="18"/>
                <w:szCs w:val="18"/>
              </w:rPr>
              <w:t>1</w:t>
            </w:r>
            <w:r>
              <w:rPr>
                <w:rFonts w:hint="eastAsia" w:ascii="宋体" w:hAnsi="宋体" w:eastAsia="宋体"/>
                <w:color w:val="000000"/>
                <w:sz w:val="18"/>
                <w:szCs w:val="18"/>
              </w:rPr>
              <w:t>倍以上</w:t>
            </w:r>
            <w:r>
              <w:rPr>
                <w:rFonts w:hint="eastAsia" w:ascii="Calibri" w:hAnsi="Calibri" w:eastAsia="Calibri"/>
                <w:color w:val="000000"/>
                <w:sz w:val="18"/>
                <w:szCs w:val="18"/>
              </w:rPr>
              <w:t>2</w:t>
            </w:r>
            <w:r>
              <w:rPr>
                <w:rFonts w:hint="eastAsia" w:ascii="宋体" w:hAnsi="宋体" w:eastAsia="宋体"/>
                <w:color w:val="000000"/>
                <w:sz w:val="18"/>
                <w:szCs w:val="18"/>
              </w:rPr>
              <w:t>倍以下的罚款；对施工单位处工程合同价款</w:t>
            </w:r>
            <w:r>
              <w:rPr>
                <w:rFonts w:hint="eastAsia" w:ascii="Calibri" w:hAnsi="Calibri" w:eastAsia="Calibri"/>
                <w:color w:val="000000"/>
                <w:sz w:val="18"/>
                <w:szCs w:val="18"/>
              </w:rPr>
              <w:t>2</w:t>
            </w:r>
            <w:r>
              <w:rPr>
                <w:rFonts w:hint="eastAsia" w:ascii="宋体" w:hAnsi="宋体" w:eastAsia="宋体"/>
                <w:color w:val="000000"/>
                <w:sz w:val="18"/>
                <w:szCs w:val="18"/>
              </w:rPr>
              <w:t>％以上</w:t>
            </w:r>
            <w:r>
              <w:rPr>
                <w:rFonts w:hint="eastAsia" w:ascii="Calibri" w:hAnsi="Calibri" w:eastAsia="Calibri"/>
                <w:color w:val="000000"/>
                <w:sz w:val="18"/>
                <w:szCs w:val="18"/>
              </w:rPr>
              <w:t>4</w:t>
            </w:r>
            <w:r>
              <w:rPr>
                <w:rFonts w:hint="eastAsia" w:ascii="宋体" w:hAnsi="宋体" w:eastAsia="宋体"/>
                <w:color w:val="000000"/>
                <w:sz w:val="18"/>
                <w:szCs w:val="18"/>
              </w:rPr>
              <w:t>％以下的罚款，可以责令停业整顿，降低资质等级；情节严重的，吊销资质证书。</w:t>
            </w:r>
          </w:p>
          <w:p w14:paraId="07955DD3">
            <w:pPr>
              <w:wordWrap w:val="0"/>
              <w:autoSpaceDE w:val="0"/>
              <w:autoSpaceDN w:val="0"/>
              <w:spacing w:before="199" w:after="0" w:line="220" w:lineRule="exact"/>
              <w:ind w:left="80" w:right="40" w:firstLine="42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44992C21">
            <w:pPr>
              <w:wordWrap w:val="0"/>
              <w:autoSpaceDE w:val="0"/>
              <w:autoSpaceDN w:val="0"/>
              <w:spacing w:before="0" w:after="0" w:line="190" w:lineRule="exact"/>
              <w:ind w:left="80" w:right="4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36246D3E">
            <w:pPr>
              <w:wordWrap w:val="0"/>
              <w:autoSpaceDE w:val="0"/>
              <w:autoSpaceDN w:val="0"/>
              <w:spacing w:before="0" w:after="0" w:line="220"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41FEAB7B">
            <w:pPr>
              <w:wordWrap w:val="0"/>
              <w:autoSpaceDE w:val="0"/>
              <w:autoSpaceDN w:val="0"/>
              <w:spacing w:before="0" w:after="0" w:line="160" w:lineRule="exact"/>
              <w:ind w:left="120" w:right="4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0BD6542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71DEDE3E">
            <w:pPr>
              <w:wordWrap w:val="0"/>
              <w:autoSpaceDE w:val="0"/>
              <w:autoSpaceDN w:val="0"/>
              <w:spacing w:before="19" w:after="0" w:line="220" w:lineRule="exact"/>
              <w:jc w:val="center"/>
              <w:rPr>
                <w:sz w:val="18"/>
                <w:szCs w:val="18"/>
              </w:rPr>
            </w:pPr>
            <w:r>
              <w:rPr>
                <w:rFonts w:hint="eastAsia" w:ascii="宋体" w:hAnsi="宋体" w:eastAsia="宋体"/>
                <w:color w:val="000000"/>
                <w:sz w:val="18"/>
                <w:szCs w:val="18"/>
              </w:rPr>
              <w:t>处罚种类</w:t>
            </w:r>
          </w:p>
        </w:tc>
        <w:tc>
          <w:tcPr>
            <w:tcW w:w="12780" w:type="dxa"/>
            <w:gridSpan w:val="3"/>
            <w:tcBorders>
              <w:top w:val="single" w:color="000000" w:sz="4" w:space="0"/>
              <w:left w:val="single" w:color="000000" w:sz="4" w:space="0"/>
              <w:bottom w:val="single" w:color="000000" w:sz="4" w:space="0"/>
              <w:right w:val="single" w:color="000000" w:sz="4" w:space="0"/>
            </w:tcBorders>
            <w:vAlign w:val="top"/>
          </w:tcPr>
          <w:p w14:paraId="3B651DE2">
            <w:pPr>
              <w:wordWrap w:val="0"/>
              <w:autoSpaceDE w:val="0"/>
              <w:autoSpaceDN w:val="0"/>
              <w:spacing w:before="39" w:after="0" w:line="220" w:lineRule="exact"/>
              <w:ind w:firstLine="60"/>
              <w:jc w:val="both"/>
              <w:rPr>
                <w:sz w:val="18"/>
                <w:szCs w:val="18"/>
              </w:rPr>
            </w:pPr>
            <w:r>
              <w:rPr>
                <w:rFonts w:hint="eastAsia" w:ascii="宋体" w:hAnsi="宋体" w:eastAsia="宋体"/>
                <w:color w:val="000000"/>
                <w:sz w:val="18"/>
                <w:szCs w:val="18"/>
              </w:rPr>
              <w:t>罚款、没收违法所得</w:t>
            </w:r>
          </w:p>
        </w:tc>
      </w:tr>
      <w:tr w14:paraId="7F1AFD2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40" w:hRule="atLeast"/>
        </w:trPr>
        <w:tc>
          <w:tcPr>
            <w:tcW w:w="14000" w:type="dxa"/>
            <w:gridSpan w:val="4"/>
            <w:tcBorders>
              <w:top w:val="single" w:color="000000" w:sz="4" w:space="0"/>
              <w:left w:val="single" w:color="000000" w:sz="4" w:space="0"/>
              <w:bottom w:val="single" w:color="000000" w:sz="4" w:space="0"/>
              <w:right w:val="single" w:color="000000" w:sz="4" w:space="0"/>
            </w:tcBorders>
            <w:vAlign w:val="top"/>
          </w:tcPr>
          <w:p w14:paraId="5202AE4F">
            <w:pPr>
              <w:wordWrap w:val="0"/>
              <w:autoSpaceDE w:val="0"/>
              <w:autoSpaceDN w:val="0"/>
              <w:spacing w:before="0" w:after="0" w:line="220" w:lineRule="exact"/>
              <w:jc w:val="center"/>
              <w:rPr>
                <w:sz w:val="18"/>
                <w:szCs w:val="18"/>
              </w:rPr>
            </w:pPr>
            <w:r>
              <w:rPr>
                <w:rFonts w:hint="eastAsia" w:ascii="宋体" w:hAnsi="宋体" w:eastAsia="宋体"/>
                <w:color w:val="000000"/>
                <w:sz w:val="18"/>
                <w:szCs w:val="18"/>
              </w:rPr>
              <w:t>自由裁量基准</w:t>
            </w:r>
          </w:p>
        </w:tc>
      </w:tr>
      <w:tr w14:paraId="61D41AC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886" w:hRule="atLeast"/>
        </w:trPr>
        <w:tc>
          <w:tcPr>
            <w:tcW w:w="1220" w:type="dxa"/>
            <w:vMerge w:val="restart"/>
            <w:tcBorders>
              <w:top w:val="single" w:color="000000" w:sz="4" w:space="0"/>
              <w:left w:val="single" w:color="000000" w:sz="4" w:space="0"/>
              <w:bottom w:val="single" w:color="000000" w:sz="4" w:space="0"/>
              <w:right w:val="single" w:color="000000" w:sz="4" w:space="0"/>
            </w:tcBorders>
            <w:vAlign w:val="top"/>
          </w:tcPr>
          <w:p w14:paraId="32C4F0B7">
            <w:pPr>
              <w:wordWrap w:val="0"/>
              <w:autoSpaceDE w:val="0"/>
              <w:autoSpaceDN w:val="0"/>
              <w:spacing w:before="0" w:after="0" w:line="220" w:lineRule="exact"/>
              <w:ind w:firstLine="0"/>
              <w:jc w:val="both"/>
              <w:rPr>
                <w:rFonts w:hint="eastAsia" w:ascii="宋体" w:hAnsi="宋体" w:eastAsia="宋体"/>
                <w:color w:val="000000"/>
                <w:sz w:val="18"/>
                <w:szCs w:val="18"/>
              </w:rPr>
            </w:pPr>
          </w:p>
          <w:p w14:paraId="3F85446C">
            <w:pPr>
              <w:wordWrap w:val="0"/>
              <w:autoSpaceDE w:val="0"/>
              <w:autoSpaceDN w:val="0"/>
              <w:spacing w:before="0" w:after="0" w:line="220" w:lineRule="exact"/>
              <w:ind w:firstLine="0"/>
              <w:jc w:val="both"/>
              <w:rPr>
                <w:rFonts w:hint="eastAsia" w:ascii="宋体" w:hAnsi="宋体" w:eastAsia="宋体"/>
                <w:color w:val="000000"/>
                <w:sz w:val="18"/>
                <w:szCs w:val="18"/>
              </w:rPr>
            </w:pPr>
          </w:p>
          <w:p w14:paraId="12A6D9E6">
            <w:pPr>
              <w:wordWrap w:val="0"/>
              <w:autoSpaceDE w:val="0"/>
              <w:autoSpaceDN w:val="0"/>
              <w:spacing w:before="0" w:after="0" w:line="220" w:lineRule="exact"/>
              <w:ind w:firstLine="0"/>
              <w:jc w:val="both"/>
              <w:rPr>
                <w:rFonts w:hint="eastAsia" w:ascii="宋体" w:hAnsi="宋体" w:eastAsia="宋体"/>
                <w:color w:val="000000"/>
                <w:sz w:val="18"/>
                <w:szCs w:val="18"/>
              </w:rPr>
            </w:pPr>
          </w:p>
          <w:p w14:paraId="04933F17">
            <w:pPr>
              <w:wordWrap w:val="0"/>
              <w:autoSpaceDE w:val="0"/>
              <w:autoSpaceDN w:val="0"/>
              <w:spacing w:before="0" w:after="0" w:line="220" w:lineRule="exact"/>
              <w:ind w:firstLine="0"/>
              <w:jc w:val="both"/>
              <w:rPr>
                <w:rFonts w:hint="eastAsia" w:ascii="宋体" w:hAnsi="宋体" w:eastAsia="宋体"/>
                <w:color w:val="000000"/>
                <w:sz w:val="18"/>
                <w:szCs w:val="18"/>
              </w:rPr>
            </w:pPr>
          </w:p>
          <w:p w14:paraId="6D1762C8">
            <w:pPr>
              <w:wordWrap w:val="0"/>
              <w:autoSpaceDE w:val="0"/>
              <w:autoSpaceDN w:val="0"/>
              <w:spacing w:before="0" w:after="0" w:line="220" w:lineRule="exact"/>
              <w:ind w:firstLine="0"/>
              <w:jc w:val="both"/>
              <w:rPr>
                <w:rFonts w:hint="eastAsia" w:ascii="宋体" w:hAnsi="宋体" w:eastAsia="宋体"/>
                <w:color w:val="000000"/>
                <w:sz w:val="18"/>
                <w:szCs w:val="18"/>
              </w:rPr>
            </w:pPr>
          </w:p>
          <w:p w14:paraId="2A496784">
            <w:pPr>
              <w:wordWrap w:val="0"/>
              <w:autoSpaceDE w:val="0"/>
              <w:autoSpaceDN w:val="0"/>
              <w:spacing w:before="0" w:after="0" w:line="220" w:lineRule="exact"/>
              <w:ind w:firstLine="0"/>
              <w:jc w:val="both"/>
              <w:rPr>
                <w:rFonts w:hint="eastAsia" w:ascii="宋体" w:hAnsi="宋体" w:eastAsia="宋体"/>
                <w:color w:val="000000"/>
                <w:sz w:val="18"/>
                <w:szCs w:val="18"/>
              </w:rPr>
            </w:pPr>
          </w:p>
          <w:p w14:paraId="646D61D8">
            <w:pPr>
              <w:wordWrap w:val="0"/>
              <w:autoSpaceDE w:val="0"/>
              <w:autoSpaceDN w:val="0"/>
              <w:spacing w:before="0" w:after="0" w:line="220" w:lineRule="exact"/>
              <w:ind w:firstLine="0"/>
              <w:jc w:val="both"/>
              <w:rPr>
                <w:rFonts w:hint="eastAsia" w:ascii="宋体" w:hAnsi="宋体" w:eastAsia="宋体"/>
                <w:color w:val="000000"/>
                <w:sz w:val="18"/>
                <w:szCs w:val="18"/>
              </w:rPr>
            </w:pPr>
          </w:p>
          <w:p w14:paraId="17FA83B3">
            <w:pPr>
              <w:wordWrap w:val="0"/>
              <w:autoSpaceDE w:val="0"/>
              <w:autoSpaceDN w:val="0"/>
              <w:spacing w:before="36" w:after="0" w:line="220" w:lineRule="exact"/>
              <w:ind w:firstLine="240"/>
              <w:jc w:val="both"/>
              <w:rPr>
                <w:sz w:val="18"/>
                <w:szCs w:val="18"/>
              </w:rPr>
            </w:pPr>
            <w:r>
              <w:rPr>
                <w:rFonts w:hint="eastAsia" w:ascii="宋体" w:hAnsi="宋体" w:eastAsia="宋体"/>
                <w:color w:val="000000"/>
                <w:sz w:val="18"/>
                <w:szCs w:val="18"/>
              </w:rPr>
              <w:t>情形描述</w:t>
            </w:r>
          </w:p>
        </w:tc>
        <w:tc>
          <w:tcPr>
            <w:tcW w:w="5960" w:type="dxa"/>
            <w:tcBorders>
              <w:top w:val="single" w:color="000000" w:sz="4" w:space="0"/>
              <w:left w:val="single" w:color="000000" w:sz="4" w:space="0"/>
              <w:bottom w:val="single" w:color="000000" w:sz="4" w:space="0"/>
              <w:right w:val="single" w:color="000000" w:sz="4" w:space="0"/>
            </w:tcBorders>
            <w:vAlign w:val="top"/>
          </w:tcPr>
          <w:p w14:paraId="29C032E4">
            <w:pPr>
              <w:wordWrap w:val="0"/>
              <w:autoSpaceDE w:val="0"/>
              <w:autoSpaceDN w:val="0"/>
              <w:spacing w:before="0" w:after="0" w:line="220" w:lineRule="exact"/>
              <w:ind w:firstLine="0"/>
              <w:jc w:val="both"/>
              <w:rPr>
                <w:rFonts w:hint="eastAsia" w:ascii="宋体" w:hAnsi="宋体" w:eastAsia="宋体"/>
                <w:color w:val="000000"/>
                <w:sz w:val="18"/>
                <w:szCs w:val="18"/>
              </w:rPr>
            </w:pPr>
          </w:p>
          <w:p w14:paraId="16C731CE">
            <w:pPr>
              <w:wordWrap w:val="0"/>
              <w:autoSpaceDE w:val="0"/>
              <w:autoSpaceDN w:val="0"/>
              <w:spacing w:before="219" w:after="0" w:line="220" w:lineRule="exact"/>
              <w:ind w:firstLine="80"/>
              <w:jc w:val="both"/>
              <w:rPr>
                <w:sz w:val="18"/>
                <w:szCs w:val="18"/>
              </w:rPr>
            </w:pPr>
            <w:r>
              <w:rPr>
                <w:rFonts w:hint="eastAsia" w:ascii="宋体" w:hAnsi="宋体" w:eastAsia="宋体"/>
                <w:color w:val="000000"/>
                <w:sz w:val="18"/>
                <w:szCs w:val="18"/>
              </w:rPr>
              <w:t>未获得工程任务的</w:t>
            </w:r>
          </w:p>
        </w:tc>
        <w:tc>
          <w:tcPr>
            <w:tcW w:w="1100" w:type="dxa"/>
            <w:vMerge w:val="restart"/>
            <w:tcBorders>
              <w:top w:val="single" w:color="000000" w:sz="4" w:space="0"/>
              <w:left w:val="single" w:color="000000" w:sz="4" w:space="0"/>
              <w:bottom w:val="single" w:color="000000" w:sz="4" w:space="0"/>
              <w:right w:val="single" w:color="000000" w:sz="4" w:space="0"/>
            </w:tcBorders>
            <w:vAlign w:val="top"/>
          </w:tcPr>
          <w:p w14:paraId="4B31D085">
            <w:pPr>
              <w:wordWrap w:val="0"/>
              <w:autoSpaceDE w:val="0"/>
              <w:autoSpaceDN w:val="0"/>
              <w:spacing w:before="0" w:after="0" w:line="220" w:lineRule="exact"/>
              <w:ind w:firstLine="0"/>
              <w:jc w:val="both"/>
              <w:rPr>
                <w:rFonts w:hint="eastAsia" w:ascii="宋体" w:hAnsi="宋体" w:eastAsia="宋体"/>
                <w:color w:val="000000"/>
                <w:sz w:val="18"/>
                <w:szCs w:val="18"/>
              </w:rPr>
            </w:pPr>
          </w:p>
          <w:p w14:paraId="7085DC27">
            <w:pPr>
              <w:wordWrap w:val="0"/>
              <w:autoSpaceDE w:val="0"/>
              <w:autoSpaceDN w:val="0"/>
              <w:spacing w:before="0" w:after="0" w:line="220" w:lineRule="exact"/>
              <w:ind w:firstLine="0"/>
              <w:jc w:val="both"/>
              <w:rPr>
                <w:rFonts w:hint="eastAsia" w:ascii="宋体" w:hAnsi="宋体" w:eastAsia="宋体"/>
                <w:color w:val="000000"/>
                <w:sz w:val="18"/>
                <w:szCs w:val="18"/>
              </w:rPr>
            </w:pPr>
          </w:p>
          <w:p w14:paraId="1A85D24E">
            <w:pPr>
              <w:wordWrap w:val="0"/>
              <w:autoSpaceDE w:val="0"/>
              <w:autoSpaceDN w:val="0"/>
              <w:spacing w:before="0" w:after="0" w:line="220" w:lineRule="exact"/>
              <w:ind w:firstLine="0"/>
              <w:jc w:val="both"/>
              <w:rPr>
                <w:rFonts w:hint="eastAsia" w:ascii="宋体" w:hAnsi="宋体" w:eastAsia="宋体"/>
                <w:color w:val="000000"/>
                <w:sz w:val="18"/>
                <w:szCs w:val="18"/>
              </w:rPr>
            </w:pPr>
          </w:p>
          <w:p w14:paraId="3CB9B4AE">
            <w:pPr>
              <w:wordWrap w:val="0"/>
              <w:autoSpaceDE w:val="0"/>
              <w:autoSpaceDN w:val="0"/>
              <w:spacing w:before="0" w:after="0" w:line="220" w:lineRule="exact"/>
              <w:ind w:firstLine="0"/>
              <w:jc w:val="both"/>
              <w:rPr>
                <w:rFonts w:hint="eastAsia" w:ascii="宋体" w:hAnsi="宋体" w:eastAsia="宋体"/>
                <w:color w:val="000000"/>
                <w:sz w:val="18"/>
                <w:szCs w:val="18"/>
              </w:rPr>
            </w:pPr>
          </w:p>
          <w:p w14:paraId="064935C6">
            <w:pPr>
              <w:wordWrap w:val="0"/>
              <w:autoSpaceDE w:val="0"/>
              <w:autoSpaceDN w:val="0"/>
              <w:spacing w:before="0" w:after="0" w:line="220" w:lineRule="exact"/>
              <w:ind w:firstLine="0"/>
              <w:jc w:val="both"/>
              <w:rPr>
                <w:rFonts w:hint="eastAsia" w:ascii="宋体" w:hAnsi="宋体" w:eastAsia="宋体"/>
                <w:color w:val="000000"/>
                <w:sz w:val="18"/>
                <w:szCs w:val="18"/>
              </w:rPr>
            </w:pPr>
          </w:p>
          <w:p w14:paraId="5658B677">
            <w:pPr>
              <w:wordWrap w:val="0"/>
              <w:autoSpaceDE w:val="0"/>
              <w:autoSpaceDN w:val="0"/>
              <w:spacing w:before="0" w:after="0" w:line="220" w:lineRule="exact"/>
              <w:ind w:firstLine="0"/>
              <w:jc w:val="both"/>
              <w:rPr>
                <w:rFonts w:hint="eastAsia" w:ascii="宋体" w:hAnsi="宋体" w:eastAsia="宋体"/>
                <w:color w:val="000000"/>
                <w:sz w:val="18"/>
                <w:szCs w:val="18"/>
              </w:rPr>
            </w:pPr>
          </w:p>
          <w:p w14:paraId="106DE3D9">
            <w:pPr>
              <w:wordWrap w:val="0"/>
              <w:autoSpaceDE w:val="0"/>
              <w:autoSpaceDN w:val="0"/>
              <w:spacing w:before="0" w:after="0" w:line="220" w:lineRule="exact"/>
              <w:ind w:firstLine="0"/>
              <w:jc w:val="both"/>
              <w:rPr>
                <w:rFonts w:hint="eastAsia" w:ascii="宋体" w:hAnsi="宋体" w:eastAsia="宋体"/>
                <w:color w:val="000000"/>
                <w:sz w:val="18"/>
                <w:szCs w:val="18"/>
              </w:rPr>
            </w:pPr>
          </w:p>
          <w:p w14:paraId="670D0C74">
            <w:pPr>
              <w:wordWrap w:val="0"/>
              <w:autoSpaceDE w:val="0"/>
              <w:autoSpaceDN w:val="0"/>
              <w:spacing w:before="16" w:after="0" w:line="220" w:lineRule="exact"/>
              <w:ind w:firstLine="220"/>
              <w:jc w:val="both"/>
              <w:rPr>
                <w:sz w:val="18"/>
                <w:szCs w:val="18"/>
              </w:rPr>
            </w:pPr>
            <w:r>
              <w:rPr>
                <w:rFonts w:hint="eastAsia" w:ascii="宋体" w:hAnsi="宋体" w:eastAsia="宋体"/>
                <w:color w:val="000000"/>
                <w:sz w:val="18"/>
                <w:szCs w:val="18"/>
              </w:rPr>
              <w:t>裁量幅度</w:t>
            </w:r>
          </w:p>
        </w:tc>
        <w:tc>
          <w:tcPr>
            <w:tcW w:w="5720" w:type="dxa"/>
            <w:tcBorders>
              <w:top w:val="single" w:color="000000" w:sz="4" w:space="0"/>
              <w:left w:val="single" w:color="000000" w:sz="4" w:space="0"/>
              <w:bottom w:val="single" w:color="000000" w:sz="4" w:space="0"/>
              <w:right w:val="single" w:color="000000" w:sz="4" w:space="0"/>
            </w:tcBorders>
            <w:vAlign w:val="top"/>
          </w:tcPr>
          <w:p w14:paraId="63B5E581">
            <w:pPr>
              <w:keepNext w:val="0"/>
              <w:keepLines w:val="0"/>
              <w:pageBreakBefore w:val="0"/>
              <w:widowControl w:val="0"/>
              <w:kinsoku/>
              <w:wordWrap w:val="0"/>
              <w:overflowPunct/>
              <w:topLinePunct w:val="0"/>
              <w:autoSpaceDE w:val="0"/>
              <w:autoSpaceDN w:val="0"/>
              <w:bidi w:val="0"/>
              <w:adjustRightInd/>
              <w:snapToGrid/>
              <w:spacing w:before="19" w:after="0" w:line="240" w:lineRule="exact"/>
              <w:ind w:left="140" w:hanging="20"/>
              <w:jc w:val="both"/>
              <w:textAlignment w:val="auto"/>
              <w:rPr>
                <w:sz w:val="18"/>
                <w:szCs w:val="18"/>
              </w:rPr>
            </w:pPr>
            <w:r>
              <w:rPr>
                <w:rFonts w:hint="eastAsia" w:ascii="宋体" w:hAnsi="宋体" w:eastAsia="宋体"/>
                <w:color w:val="000000"/>
                <w:sz w:val="18"/>
                <w:szCs w:val="18"/>
              </w:rPr>
              <w:t>对勘察、设计单位：合同约定的勘察、设计费</w:t>
            </w:r>
            <w:r>
              <w:rPr>
                <w:rFonts w:hint="eastAsia" w:ascii="Calibri" w:hAnsi="Calibri" w:eastAsia="Calibri"/>
                <w:color w:val="000000"/>
                <w:sz w:val="18"/>
                <w:szCs w:val="18"/>
              </w:rPr>
              <w:t>1</w:t>
            </w:r>
            <w:r>
              <w:rPr>
                <w:rFonts w:hint="eastAsia" w:ascii="宋体" w:hAnsi="宋体" w:eastAsia="宋体"/>
                <w:color w:val="000000"/>
                <w:sz w:val="18"/>
                <w:szCs w:val="18"/>
              </w:rPr>
              <w:t>倍以上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倍以下罚款</w:t>
            </w:r>
          </w:p>
          <w:p w14:paraId="3E87F9DB">
            <w:pPr>
              <w:keepNext w:val="0"/>
              <w:keepLines w:val="0"/>
              <w:pageBreakBefore w:val="0"/>
              <w:widowControl w:val="0"/>
              <w:kinsoku/>
              <w:wordWrap w:val="0"/>
              <w:overflowPunct/>
              <w:topLinePunct w:val="0"/>
              <w:autoSpaceDE w:val="0"/>
              <w:autoSpaceDN w:val="0"/>
              <w:bidi w:val="0"/>
              <w:adjustRightInd/>
              <w:snapToGrid/>
              <w:spacing w:before="0" w:after="0" w:line="240" w:lineRule="exact"/>
              <w:ind w:firstLine="120"/>
              <w:jc w:val="both"/>
              <w:textAlignment w:val="auto"/>
              <w:rPr>
                <w:sz w:val="18"/>
                <w:szCs w:val="18"/>
              </w:rPr>
            </w:pPr>
            <w:r>
              <w:rPr>
                <w:rFonts w:hint="eastAsia" w:ascii="宋体" w:hAnsi="宋体" w:eastAsia="宋体"/>
                <w:color w:val="000000"/>
                <w:sz w:val="18"/>
                <w:szCs w:val="18"/>
              </w:rPr>
              <w:t>对施工单位：工程合同价款</w:t>
            </w:r>
            <w:r>
              <w:rPr>
                <w:rFonts w:hint="eastAsia" w:ascii="Calibri" w:hAnsi="Calibri" w:eastAsia="Calibri"/>
                <w:color w:val="000000"/>
                <w:sz w:val="18"/>
                <w:szCs w:val="18"/>
              </w:rPr>
              <w:t>2</w:t>
            </w:r>
            <w:r>
              <w:rPr>
                <w:rFonts w:hint="eastAsia" w:ascii="宋体" w:hAnsi="宋体" w:eastAsia="宋体"/>
                <w:color w:val="000000"/>
                <w:sz w:val="18"/>
                <w:szCs w:val="18"/>
              </w:rPr>
              <w:t>％以上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％以下罚款</w:t>
            </w:r>
          </w:p>
          <w:p w14:paraId="71F0E4C6">
            <w:pPr>
              <w:keepNext w:val="0"/>
              <w:keepLines w:val="0"/>
              <w:pageBreakBefore w:val="0"/>
              <w:widowControl w:val="0"/>
              <w:kinsoku/>
              <w:wordWrap w:val="0"/>
              <w:overflowPunct/>
              <w:topLinePunct w:val="0"/>
              <w:autoSpaceDE w:val="0"/>
              <w:autoSpaceDN w:val="0"/>
              <w:bidi w:val="0"/>
              <w:adjustRightInd/>
              <w:snapToGrid/>
              <w:spacing w:before="0" w:after="0" w:line="240" w:lineRule="exact"/>
              <w:ind w:firstLine="140"/>
              <w:jc w:val="both"/>
              <w:textAlignment w:val="auto"/>
              <w:rPr>
                <w:sz w:val="18"/>
                <w:szCs w:val="18"/>
              </w:rPr>
            </w:pPr>
            <w:r>
              <w:rPr>
                <w:rFonts w:hint="eastAsia" w:ascii="宋体" w:hAnsi="宋体" w:eastAsia="宋体"/>
                <w:color w:val="000000"/>
                <w:sz w:val="18"/>
                <w:szCs w:val="18"/>
              </w:rPr>
              <w:t>对工程监理单位：合同约定的监理酬金</w:t>
            </w:r>
            <w:r>
              <w:rPr>
                <w:rFonts w:hint="eastAsia" w:ascii="Calibri" w:hAnsi="Calibri" w:eastAsia="Calibri"/>
                <w:color w:val="000000"/>
                <w:sz w:val="18"/>
                <w:szCs w:val="18"/>
              </w:rPr>
              <w:t>1</w:t>
            </w:r>
            <w:r>
              <w:rPr>
                <w:rFonts w:hint="eastAsia" w:ascii="宋体" w:hAnsi="宋体" w:eastAsia="宋体"/>
                <w:color w:val="000000"/>
                <w:sz w:val="18"/>
                <w:szCs w:val="18"/>
              </w:rPr>
              <w:t>倍以上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倍以下罚款</w:t>
            </w:r>
          </w:p>
          <w:p w14:paraId="119F3480">
            <w:pPr>
              <w:keepNext w:val="0"/>
              <w:keepLines w:val="0"/>
              <w:pageBreakBefore w:val="0"/>
              <w:widowControl w:val="0"/>
              <w:kinsoku/>
              <w:wordWrap w:val="0"/>
              <w:overflowPunct/>
              <w:topLinePunct w:val="0"/>
              <w:autoSpaceDE w:val="0"/>
              <w:autoSpaceDN w:val="0"/>
              <w:bidi w:val="0"/>
              <w:adjustRightInd/>
              <w:snapToGrid/>
              <w:spacing w:before="0" w:after="0" w:line="240" w:lineRule="exact"/>
              <w:ind w:firstLine="180" w:firstLineChars="100"/>
              <w:jc w:val="both"/>
              <w:textAlignment w:val="auto"/>
              <w:rPr>
                <w:sz w:val="18"/>
                <w:szCs w:val="18"/>
              </w:rPr>
            </w:pPr>
            <w:r>
              <w:rPr>
                <w:rFonts w:hint="eastAsia" w:ascii="宋体" w:hAnsi="宋体"/>
                <w:color w:val="000000"/>
                <w:sz w:val="18"/>
                <w:szCs w:val="18"/>
                <w:lang w:val="en-US" w:eastAsia="zh-CN"/>
              </w:rPr>
              <w:t>对单位责任人员</w:t>
            </w:r>
            <w:r>
              <w:rPr>
                <w:rFonts w:hint="eastAsia" w:ascii="宋体" w:hAnsi="宋体" w:eastAsia="宋体"/>
                <w:color w:val="000000"/>
                <w:sz w:val="18"/>
                <w:szCs w:val="18"/>
              </w:rPr>
              <w:t>：单位罚款数额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6DE16DB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040" w:hRule="atLeast"/>
        </w:trPr>
        <w:tc>
          <w:tcPr>
            <w:tcW w:w="1220" w:type="dxa"/>
            <w:vMerge w:val="continue"/>
            <w:tcBorders>
              <w:top w:val="single" w:color="000000" w:sz="4" w:space="0"/>
              <w:left w:val="single" w:color="000000" w:sz="4" w:space="0"/>
              <w:bottom w:val="single" w:color="000000" w:sz="4" w:space="0"/>
              <w:right w:val="single" w:color="000000" w:sz="4" w:space="0"/>
            </w:tcBorders>
          </w:tcPr>
          <w:p w14:paraId="62898B38">
            <w:pPr>
              <w:rPr>
                <w:sz w:val="18"/>
                <w:szCs w:val="18"/>
              </w:rPr>
            </w:pPr>
          </w:p>
        </w:tc>
        <w:tc>
          <w:tcPr>
            <w:tcW w:w="5960" w:type="dxa"/>
            <w:tcBorders>
              <w:top w:val="single" w:color="000000" w:sz="4" w:space="0"/>
              <w:left w:val="single" w:color="000000" w:sz="4" w:space="0"/>
              <w:bottom w:val="single" w:color="000000" w:sz="4" w:space="0"/>
              <w:right w:val="single" w:color="000000" w:sz="4" w:space="0"/>
            </w:tcBorders>
            <w:vAlign w:val="top"/>
          </w:tcPr>
          <w:p w14:paraId="5E0C2026">
            <w:pPr>
              <w:wordWrap w:val="0"/>
              <w:autoSpaceDE w:val="0"/>
              <w:autoSpaceDN w:val="0"/>
              <w:spacing w:before="0" w:after="0" w:line="220" w:lineRule="exact"/>
              <w:ind w:firstLine="0"/>
              <w:jc w:val="both"/>
              <w:rPr>
                <w:rFonts w:hint="eastAsia" w:ascii="宋体" w:hAnsi="宋体" w:eastAsia="宋体"/>
                <w:color w:val="000000"/>
                <w:sz w:val="18"/>
                <w:szCs w:val="18"/>
              </w:rPr>
            </w:pPr>
          </w:p>
          <w:p w14:paraId="2DBCBDDB">
            <w:pPr>
              <w:wordWrap w:val="0"/>
              <w:autoSpaceDE w:val="0"/>
              <w:autoSpaceDN w:val="0"/>
              <w:spacing w:before="199" w:after="0" w:line="220" w:lineRule="exact"/>
              <w:ind w:firstLine="60"/>
              <w:jc w:val="both"/>
              <w:rPr>
                <w:sz w:val="18"/>
                <w:szCs w:val="18"/>
              </w:rPr>
            </w:pPr>
            <w:r>
              <w:rPr>
                <w:rFonts w:hint="eastAsia" w:ascii="宋体" w:hAnsi="宋体" w:eastAsia="宋体"/>
                <w:color w:val="000000"/>
                <w:sz w:val="18"/>
                <w:szCs w:val="18"/>
              </w:rPr>
              <w:t>承揽到工程任务的并且已经开始施工的</w:t>
            </w:r>
          </w:p>
        </w:tc>
        <w:tc>
          <w:tcPr>
            <w:tcW w:w="1100" w:type="dxa"/>
            <w:vMerge w:val="continue"/>
            <w:tcBorders>
              <w:top w:val="single" w:color="000000" w:sz="4" w:space="0"/>
              <w:left w:val="single" w:color="000000" w:sz="4" w:space="0"/>
              <w:bottom w:val="single" w:color="000000" w:sz="4" w:space="0"/>
              <w:right w:val="single" w:color="000000" w:sz="4" w:space="0"/>
            </w:tcBorders>
          </w:tcPr>
          <w:p w14:paraId="64E17549">
            <w:pPr>
              <w:rPr>
                <w:sz w:val="18"/>
                <w:szCs w:val="18"/>
              </w:rPr>
            </w:pPr>
          </w:p>
        </w:tc>
        <w:tc>
          <w:tcPr>
            <w:tcW w:w="5720" w:type="dxa"/>
            <w:vMerge w:val="restart"/>
            <w:tcBorders>
              <w:top w:val="single" w:color="000000" w:sz="4" w:space="0"/>
              <w:left w:val="single" w:color="000000" w:sz="4" w:space="0"/>
              <w:bottom w:val="single" w:color="000000" w:sz="4" w:space="0"/>
              <w:right w:val="single" w:color="000000" w:sz="4" w:space="0"/>
            </w:tcBorders>
            <w:vAlign w:val="top"/>
          </w:tcPr>
          <w:p w14:paraId="643479F2">
            <w:pPr>
              <w:wordWrap w:val="0"/>
              <w:autoSpaceDE w:val="0"/>
              <w:autoSpaceDN w:val="0"/>
              <w:spacing w:before="19" w:after="0" w:line="220" w:lineRule="exact"/>
              <w:ind w:right="20" w:firstLine="180" w:firstLineChars="100"/>
              <w:jc w:val="both"/>
              <w:rPr>
                <w:sz w:val="18"/>
                <w:szCs w:val="18"/>
              </w:rPr>
            </w:pPr>
            <w:r>
              <w:rPr>
                <w:rFonts w:hint="eastAsia" w:ascii="宋体" w:hAnsi="宋体" w:eastAsia="宋体"/>
                <w:color w:val="000000"/>
                <w:sz w:val="18"/>
                <w:szCs w:val="18"/>
              </w:rPr>
              <w:t>对勘察、设计单位：合同约定的勘察、设计费</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倍以上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倍以下罚款</w:t>
            </w:r>
          </w:p>
          <w:p w14:paraId="7B93D2D5">
            <w:pPr>
              <w:wordWrap w:val="0"/>
              <w:autoSpaceDE w:val="0"/>
              <w:autoSpaceDN w:val="0"/>
              <w:spacing w:before="0" w:after="0" w:line="206" w:lineRule="exact"/>
              <w:ind w:left="120" w:right="20" w:firstLine="0"/>
              <w:jc w:val="both"/>
              <w:rPr>
                <w:sz w:val="18"/>
                <w:szCs w:val="18"/>
              </w:rPr>
            </w:pPr>
            <w:r>
              <w:rPr>
                <w:rFonts w:hint="eastAsia" w:ascii="宋体" w:hAnsi="宋体" w:eastAsia="宋体"/>
                <w:color w:val="000000"/>
                <w:sz w:val="18"/>
                <w:szCs w:val="18"/>
              </w:rPr>
              <w:t>对施工单位：工程合同价款</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3</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％以下罚款对工程监理单位：合同约定的监理酬金</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倍以上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倍以下罚款对单位责任人员：单位罚款数额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p w14:paraId="710986F7">
            <w:pPr>
              <w:wordWrap w:val="0"/>
              <w:autoSpaceDE w:val="0"/>
              <w:autoSpaceDN w:val="0"/>
              <w:spacing w:before="159" w:after="0" w:line="220" w:lineRule="exact"/>
              <w:ind w:left="140" w:right="20" w:firstLine="0"/>
              <w:jc w:val="both"/>
              <w:rPr>
                <w:sz w:val="18"/>
                <w:szCs w:val="18"/>
              </w:rPr>
            </w:pPr>
            <w:r>
              <w:rPr>
                <w:rFonts w:hint="eastAsia" w:ascii="宋体" w:hAnsi="宋体" w:eastAsia="宋体"/>
                <w:color w:val="000000"/>
                <w:sz w:val="18"/>
                <w:szCs w:val="18"/>
              </w:rPr>
              <w:t>对勘察、设计单位：合同约定的勘察、设计费</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倍以上</w:t>
            </w:r>
            <w:r>
              <w:rPr>
                <w:rFonts w:hint="eastAsia" w:ascii="Calibri" w:hAnsi="Calibri" w:eastAsia="Calibri"/>
                <w:color w:val="000000"/>
                <w:sz w:val="18"/>
                <w:szCs w:val="18"/>
              </w:rPr>
              <w:t>2</w:t>
            </w:r>
            <w:r>
              <w:rPr>
                <w:rFonts w:hint="eastAsia" w:ascii="宋体" w:hAnsi="宋体" w:eastAsia="宋体"/>
                <w:color w:val="000000"/>
                <w:sz w:val="18"/>
                <w:szCs w:val="18"/>
              </w:rPr>
              <w:t>倍以下罚款</w:t>
            </w:r>
          </w:p>
          <w:p w14:paraId="53F8B8BE">
            <w:pPr>
              <w:wordWrap w:val="0"/>
              <w:autoSpaceDE w:val="0"/>
              <w:autoSpaceDN w:val="0"/>
              <w:spacing w:before="0" w:after="0" w:line="220" w:lineRule="exact"/>
              <w:ind w:left="140" w:right="20" w:firstLine="0"/>
              <w:jc w:val="both"/>
              <w:rPr>
                <w:sz w:val="18"/>
                <w:szCs w:val="18"/>
              </w:rPr>
            </w:pPr>
            <w:r>
              <w:rPr>
                <w:rFonts w:hint="eastAsia" w:ascii="宋体" w:hAnsi="宋体" w:eastAsia="宋体"/>
                <w:color w:val="000000"/>
                <w:sz w:val="18"/>
                <w:szCs w:val="18"/>
              </w:rPr>
              <w:t>对施工单位：工程合同价款</w:t>
            </w:r>
            <w:r>
              <w:rPr>
                <w:rFonts w:hint="eastAsia" w:ascii="Calibri" w:hAnsi="Calibri" w:eastAsia="Calibri"/>
                <w:color w:val="000000"/>
                <w:sz w:val="18"/>
                <w:szCs w:val="18"/>
              </w:rPr>
              <w:t>3</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4</w:t>
            </w:r>
            <w:r>
              <w:rPr>
                <w:rFonts w:hint="eastAsia" w:ascii="宋体" w:hAnsi="宋体" w:eastAsia="宋体"/>
                <w:color w:val="000000"/>
                <w:sz w:val="18"/>
                <w:szCs w:val="18"/>
              </w:rPr>
              <w:t>％以下罚款对工程监理单位：合同约定的监理酬金</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倍以上</w:t>
            </w:r>
            <w:r>
              <w:rPr>
                <w:rFonts w:hint="eastAsia" w:ascii="Calibri" w:hAnsi="Calibri" w:eastAsia="Calibri"/>
                <w:color w:val="000000"/>
                <w:sz w:val="18"/>
                <w:szCs w:val="18"/>
              </w:rPr>
              <w:t>2</w:t>
            </w:r>
            <w:r>
              <w:rPr>
                <w:rFonts w:hint="eastAsia" w:ascii="宋体" w:hAnsi="宋体" w:eastAsia="宋体"/>
                <w:color w:val="000000"/>
                <w:sz w:val="18"/>
                <w:szCs w:val="18"/>
              </w:rPr>
              <w:t>倍以下罚款对单位责任人员：单位罚款数额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r w14:paraId="06A6351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895" w:hRule="atLeast"/>
        </w:trPr>
        <w:tc>
          <w:tcPr>
            <w:tcW w:w="1220" w:type="dxa"/>
            <w:vMerge w:val="continue"/>
            <w:tcBorders>
              <w:top w:val="single" w:color="000000" w:sz="4" w:space="0"/>
              <w:left w:val="single" w:color="000000" w:sz="4" w:space="0"/>
              <w:bottom w:val="single" w:color="000000" w:sz="4" w:space="0"/>
              <w:right w:val="single" w:color="000000" w:sz="4" w:space="0"/>
            </w:tcBorders>
          </w:tcPr>
          <w:p w14:paraId="00F55CAF">
            <w:pPr>
              <w:rPr>
                <w:sz w:val="18"/>
                <w:szCs w:val="18"/>
              </w:rPr>
            </w:pPr>
          </w:p>
        </w:tc>
        <w:tc>
          <w:tcPr>
            <w:tcW w:w="5960" w:type="dxa"/>
            <w:tcBorders>
              <w:top w:val="single" w:color="000000" w:sz="4" w:space="0"/>
              <w:left w:val="single" w:color="000000" w:sz="4" w:space="0"/>
              <w:bottom w:val="single" w:color="000000" w:sz="4" w:space="0"/>
              <w:right w:val="single" w:color="000000" w:sz="4" w:space="0"/>
            </w:tcBorders>
            <w:vAlign w:val="top"/>
          </w:tcPr>
          <w:p w14:paraId="60DB64B6">
            <w:pPr>
              <w:wordWrap w:val="0"/>
              <w:autoSpaceDE w:val="0"/>
              <w:autoSpaceDN w:val="0"/>
              <w:spacing w:before="0" w:after="0" w:line="220" w:lineRule="exact"/>
              <w:ind w:firstLine="0"/>
              <w:jc w:val="both"/>
              <w:rPr>
                <w:rFonts w:hint="eastAsia" w:ascii="宋体" w:hAnsi="宋体" w:eastAsia="宋体"/>
                <w:color w:val="000000"/>
                <w:sz w:val="18"/>
                <w:szCs w:val="18"/>
              </w:rPr>
            </w:pPr>
          </w:p>
          <w:p w14:paraId="60B5FA87">
            <w:pPr>
              <w:wordWrap w:val="0"/>
              <w:autoSpaceDE w:val="0"/>
              <w:autoSpaceDN w:val="0"/>
              <w:spacing w:before="0" w:after="0" w:line="220" w:lineRule="exact"/>
              <w:ind w:firstLine="0"/>
              <w:jc w:val="both"/>
              <w:rPr>
                <w:rFonts w:hint="eastAsia" w:ascii="宋体" w:hAnsi="宋体" w:eastAsia="宋体"/>
                <w:color w:val="000000"/>
                <w:sz w:val="18"/>
                <w:szCs w:val="18"/>
              </w:rPr>
            </w:pPr>
          </w:p>
          <w:p w14:paraId="318A4C14">
            <w:pPr>
              <w:wordWrap w:val="0"/>
              <w:autoSpaceDE w:val="0"/>
              <w:autoSpaceDN w:val="0"/>
              <w:spacing w:before="39" w:after="0" w:line="220" w:lineRule="exact"/>
              <w:ind w:firstLine="80"/>
              <w:jc w:val="both"/>
              <w:rPr>
                <w:sz w:val="18"/>
                <w:szCs w:val="18"/>
              </w:rPr>
            </w:pPr>
            <w:r>
              <w:rPr>
                <w:rFonts w:hint="eastAsia" w:ascii="宋体" w:hAnsi="宋体" w:eastAsia="宋体"/>
                <w:color w:val="000000"/>
                <w:sz w:val="18"/>
                <w:szCs w:val="18"/>
              </w:rPr>
              <w:t>承揽工程任务已经完成或者发生安全事故的</w:t>
            </w:r>
          </w:p>
        </w:tc>
        <w:tc>
          <w:tcPr>
            <w:tcW w:w="1100" w:type="dxa"/>
            <w:vMerge w:val="continue"/>
            <w:tcBorders>
              <w:top w:val="single" w:color="000000" w:sz="4" w:space="0"/>
              <w:left w:val="single" w:color="000000" w:sz="4" w:space="0"/>
              <w:bottom w:val="single" w:color="000000" w:sz="4" w:space="0"/>
              <w:right w:val="single" w:color="000000" w:sz="4" w:space="0"/>
            </w:tcBorders>
          </w:tcPr>
          <w:p w14:paraId="5724D626">
            <w:pPr>
              <w:rPr>
                <w:sz w:val="18"/>
                <w:szCs w:val="18"/>
              </w:rPr>
            </w:pPr>
          </w:p>
        </w:tc>
        <w:tc>
          <w:tcPr>
            <w:tcW w:w="5720" w:type="dxa"/>
            <w:vMerge w:val="continue"/>
            <w:tcBorders>
              <w:top w:val="single" w:color="000000" w:sz="4" w:space="0"/>
              <w:left w:val="single" w:color="000000" w:sz="4" w:space="0"/>
              <w:bottom w:val="single" w:color="000000" w:sz="4" w:space="0"/>
              <w:right w:val="single" w:color="000000" w:sz="4" w:space="0"/>
            </w:tcBorders>
          </w:tcPr>
          <w:p w14:paraId="4C92F65F">
            <w:pPr>
              <w:rPr>
                <w:sz w:val="18"/>
                <w:szCs w:val="18"/>
              </w:rPr>
            </w:pPr>
          </w:p>
        </w:tc>
      </w:tr>
    </w:tbl>
    <w:p w14:paraId="05127932">
      <w:pPr>
        <w:rPr>
          <w:sz w:val="18"/>
          <w:szCs w:val="18"/>
        </w:rPr>
      </w:pPr>
    </w:p>
    <w:tbl>
      <w:tblPr>
        <w:tblStyle w:val="15"/>
        <w:tblW w:w="0" w:type="auto"/>
        <w:tblInd w:w="18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4"/>
        <w:gridCol w:w="5848"/>
        <w:gridCol w:w="1103"/>
        <w:gridCol w:w="5653"/>
      </w:tblGrid>
      <w:tr w14:paraId="3B8FBD2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24A90183">
            <w:pPr>
              <w:wordWrap w:val="0"/>
              <w:autoSpaceDE w:val="0"/>
              <w:autoSpaceDN w:val="0"/>
              <w:spacing w:before="6" w:after="0" w:line="233" w:lineRule="exact"/>
              <w:jc w:val="center"/>
              <w:rPr>
                <w:sz w:val="18"/>
                <w:szCs w:val="18"/>
              </w:rPr>
            </w:pPr>
            <w:r>
              <w:rPr>
                <w:rFonts w:hint="eastAsia" w:ascii="宋体" w:hAnsi="宋体" w:eastAsia="宋体"/>
                <w:color w:val="000000"/>
                <w:sz w:val="18"/>
                <w:szCs w:val="18"/>
              </w:rPr>
              <w:t>序号</w:t>
            </w:r>
          </w:p>
        </w:tc>
        <w:tc>
          <w:tcPr>
            <w:tcW w:w="12880" w:type="dxa"/>
            <w:gridSpan w:val="3"/>
            <w:tcBorders>
              <w:top w:val="single" w:color="000000" w:sz="4" w:space="0"/>
              <w:left w:val="single" w:color="000000" w:sz="4" w:space="0"/>
              <w:bottom w:val="single" w:color="000000" w:sz="4" w:space="0"/>
              <w:right w:val="single" w:color="000000" w:sz="4" w:space="0"/>
            </w:tcBorders>
            <w:vAlign w:val="top"/>
          </w:tcPr>
          <w:p w14:paraId="67883542">
            <w:pPr>
              <w:wordWrap w:val="0"/>
              <w:autoSpaceDE w:val="0"/>
              <w:autoSpaceDN w:val="0"/>
              <w:spacing w:before="6" w:after="0" w:line="233" w:lineRule="exact"/>
              <w:ind w:firstLine="60"/>
              <w:jc w:val="both"/>
              <w:rPr>
                <w:rFonts w:hint="default" w:eastAsia="宋体"/>
                <w:sz w:val="18"/>
                <w:szCs w:val="18"/>
                <w:lang w:val="en-US" w:eastAsia="zh-CN"/>
              </w:rPr>
            </w:pPr>
            <w:r>
              <w:rPr>
                <w:rFonts w:hint="eastAsia"/>
                <w:sz w:val="18"/>
                <w:szCs w:val="18"/>
                <w:lang w:val="en-US" w:eastAsia="zh-CN"/>
              </w:rPr>
              <w:t>18</w:t>
            </w:r>
          </w:p>
        </w:tc>
      </w:tr>
      <w:tr w14:paraId="23EFE5C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41820EF5">
            <w:pPr>
              <w:wordWrap w:val="0"/>
              <w:autoSpaceDE w:val="0"/>
              <w:autoSpaceDN w:val="0"/>
              <w:spacing w:before="6" w:after="0" w:line="233" w:lineRule="exact"/>
              <w:ind w:firstLine="340"/>
              <w:jc w:val="both"/>
              <w:rPr>
                <w:sz w:val="18"/>
                <w:szCs w:val="18"/>
              </w:rPr>
            </w:pPr>
            <w:r>
              <w:rPr>
                <w:rFonts w:hint="eastAsia" w:ascii="宋体" w:hAnsi="宋体" w:eastAsia="宋体"/>
                <w:color w:val="000000"/>
                <w:sz w:val="18"/>
                <w:szCs w:val="18"/>
              </w:rPr>
              <w:t>编号</w:t>
            </w:r>
          </w:p>
        </w:tc>
        <w:tc>
          <w:tcPr>
            <w:tcW w:w="12880" w:type="dxa"/>
            <w:gridSpan w:val="3"/>
            <w:tcBorders>
              <w:top w:val="single" w:color="000000" w:sz="4" w:space="0"/>
              <w:left w:val="single" w:color="000000" w:sz="4" w:space="0"/>
              <w:bottom w:val="single" w:color="000000" w:sz="4" w:space="0"/>
              <w:right w:val="single" w:color="000000" w:sz="4" w:space="0"/>
            </w:tcBorders>
            <w:vAlign w:val="top"/>
          </w:tcPr>
          <w:p w14:paraId="7C0A6B1A">
            <w:pPr>
              <w:wordWrap w:val="0"/>
              <w:autoSpaceDE w:val="0"/>
              <w:autoSpaceDN w:val="0"/>
              <w:spacing w:before="6" w:after="0" w:line="233" w:lineRule="exact"/>
              <w:ind w:firstLine="60"/>
              <w:jc w:val="both"/>
              <w:rPr>
                <w:sz w:val="18"/>
                <w:szCs w:val="18"/>
              </w:rPr>
            </w:pPr>
            <w:r>
              <w:rPr>
                <w:rFonts w:hint="eastAsia" w:ascii="Calibri" w:hAnsi="Calibri" w:eastAsia="Calibri"/>
                <w:color w:val="000000"/>
                <w:sz w:val="18"/>
                <w:szCs w:val="18"/>
              </w:rPr>
              <w:t>320280022000</w:t>
            </w:r>
          </w:p>
        </w:tc>
      </w:tr>
      <w:tr w14:paraId="22B528A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09A41F1D">
            <w:pPr>
              <w:wordWrap w:val="0"/>
              <w:autoSpaceDE w:val="0"/>
              <w:autoSpaceDN w:val="0"/>
              <w:spacing w:before="66" w:after="0" w:line="233" w:lineRule="exact"/>
              <w:jc w:val="center"/>
              <w:rPr>
                <w:sz w:val="18"/>
                <w:szCs w:val="18"/>
              </w:rPr>
            </w:pPr>
            <w:r>
              <w:rPr>
                <w:rFonts w:hint="eastAsia" w:ascii="宋体" w:hAnsi="宋体" w:eastAsia="宋体"/>
                <w:color w:val="000000"/>
                <w:sz w:val="18"/>
                <w:szCs w:val="18"/>
              </w:rPr>
              <w:t>行为名称</w:t>
            </w:r>
          </w:p>
        </w:tc>
        <w:tc>
          <w:tcPr>
            <w:tcW w:w="12880" w:type="dxa"/>
            <w:gridSpan w:val="3"/>
            <w:tcBorders>
              <w:top w:val="single" w:color="000000" w:sz="4" w:space="0"/>
              <w:left w:val="single" w:color="000000" w:sz="4" w:space="0"/>
              <w:bottom w:val="single" w:color="000000" w:sz="4" w:space="0"/>
              <w:right w:val="single" w:color="000000" w:sz="4" w:space="0"/>
            </w:tcBorders>
            <w:vAlign w:val="top"/>
          </w:tcPr>
          <w:p w14:paraId="603F3EED">
            <w:pPr>
              <w:wordWrap w:val="0"/>
              <w:autoSpaceDE w:val="0"/>
              <w:autoSpaceDN w:val="0"/>
              <w:spacing w:before="66" w:after="0" w:line="233" w:lineRule="exact"/>
              <w:ind w:firstLine="80"/>
              <w:jc w:val="both"/>
              <w:rPr>
                <w:sz w:val="18"/>
                <w:szCs w:val="18"/>
              </w:rPr>
            </w:pPr>
            <w:r>
              <w:rPr>
                <w:rFonts w:hint="eastAsia" w:ascii="宋体" w:hAnsi="宋体" w:eastAsia="宋体"/>
                <w:color w:val="000000"/>
                <w:sz w:val="18"/>
                <w:szCs w:val="18"/>
              </w:rPr>
              <w:t>对人民防空工程勘察单位未按照工程建设强制性标准进行勘察的处罚</w:t>
            </w:r>
          </w:p>
        </w:tc>
      </w:tr>
      <w:tr w14:paraId="1162167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5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D9E221C">
            <w:pPr>
              <w:wordWrap w:val="0"/>
              <w:autoSpaceDE w:val="0"/>
              <w:autoSpaceDN w:val="0"/>
              <w:spacing w:before="0" w:after="0" w:line="233" w:lineRule="exact"/>
              <w:ind w:firstLine="0"/>
              <w:jc w:val="both"/>
              <w:rPr>
                <w:rFonts w:hint="eastAsia" w:ascii="宋体" w:hAnsi="宋体" w:eastAsia="宋体"/>
                <w:color w:val="000000"/>
                <w:sz w:val="18"/>
                <w:szCs w:val="18"/>
              </w:rPr>
            </w:pPr>
          </w:p>
          <w:p w14:paraId="5CA9C061">
            <w:pPr>
              <w:wordWrap w:val="0"/>
              <w:autoSpaceDE w:val="0"/>
              <w:autoSpaceDN w:val="0"/>
              <w:spacing w:before="0" w:after="0" w:line="233" w:lineRule="exact"/>
              <w:ind w:firstLine="0"/>
              <w:jc w:val="both"/>
              <w:rPr>
                <w:rFonts w:hint="eastAsia" w:ascii="宋体" w:hAnsi="宋体" w:eastAsia="宋体"/>
                <w:color w:val="000000"/>
                <w:sz w:val="18"/>
                <w:szCs w:val="18"/>
              </w:rPr>
            </w:pPr>
          </w:p>
          <w:p w14:paraId="3BAFB1A0">
            <w:pPr>
              <w:wordWrap w:val="0"/>
              <w:autoSpaceDE w:val="0"/>
              <w:autoSpaceDN w:val="0"/>
              <w:spacing w:before="0" w:after="0" w:line="233" w:lineRule="exact"/>
              <w:ind w:firstLine="0"/>
              <w:jc w:val="both"/>
              <w:rPr>
                <w:rFonts w:hint="eastAsia" w:ascii="宋体" w:hAnsi="宋体" w:eastAsia="宋体"/>
                <w:color w:val="000000"/>
                <w:sz w:val="18"/>
                <w:szCs w:val="18"/>
              </w:rPr>
            </w:pPr>
          </w:p>
          <w:p w14:paraId="45B61B24">
            <w:pPr>
              <w:wordWrap w:val="0"/>
              <w:autoSpaceDE w:val="0"/>
              <w:autoSpaceDN w:val="0"/>
              <w:spacing w:before="0" w:after="0" w:line="233" w:lineRule="exact"/>
              <w:ind w:firstLine="0"/>
              <w:jc w:val="both"/>
              <w:rPr>
                <w:rFonts w:hint="eastAsia" w:ascii="宋体" w:hAnsi="宋体" w:eastAsia="宋体"/>
                <w:color w:val="000000"/>
                <w:sz w:val="18"/>
                <w:szCs w:val="18"/>
              </w:rPr>
            </w:pPr>
          </w:p>
          <w:p w14:paraId="2BDF76EE">
            <w:pPr>
              <w:wordWrap w:val="0"/>
              <w:autoSpaceDE w:val="0"/>
              <w:autoSpaceDN w:val="0"/>
              <w:spacing w:before="0" w:after="0" w:line="233" w:lineRule="exact"/>
              <w:ind w:firstLine="0"/>
              <w:jc w:val="both"/>
              <w:rPr>
                <w:rFonts w:hint="eastAsia" w:ascii="宋体" w:hAnsi="宋体" w:eastAsia="宋体"/>
                <w:color w:val="000000"/>
                <w:sz w:val="18"/>
                <w:szCs w:val="18"/>
              </w:rPr>
            </w:pPr>
          </w:p>
          <w:p w14:paraId="37B347E9">
            <w:pPr>
              <w:wordWrap w:val="0"/>
              <w:autoSpaceDE w:val="0"/>
              <w:autoSpaceDN w:val="0"/>
              <w:spacing w:before="0" w:after="0" w:line="233" w:lineRule="exact"/>
              <w:ind w:firstLine="0"/>
              <w:jc w:val="both"/>
              <w:rPr>
                <w:rFonts w:hint="eastAsia" w:ascii="宋体" w:hAnsi="宋体" w:eastAsia="宋体"/>
                <w:color w:val="000000"/>
                <w:sz w:val="18"/>
                <w:szCs w:val="18"/>
              </w:rPr>
            </w:pPr>
          </w:p>
          <w:p w14:paraId="5AE954D4">
            <w:pPr>
              <w:wordWrap w:val="0"/>
              <w:autoSpaceDE w:val="0"/>
              <w:autoSpaceDN w:val="0"/>
              <w:spacing w:before="0" w:after="0" w:line="233" w:lineRule="exact"/>
              <w:ind w:firstLine="0"/>
              <w:jc w:val="both"/>
              <w:rPr>
                <w:rFonts w:hint="eastAsia" w:ascii="宋体" w:hAnsi="宋体" w:eastAsia="宋体"/>
                <w:color w:val="000000"/>
                <w:sz w:val="18"/>
                <w:szCs w:val="18"/>
              </w:rPr>
            </w:pPr>
          </w:p>
          <w:p w14:paraId="7786CCE1">
            <w:pPr>
              <w:wordWrap w:val="0"/>
              <w:autoSpaceDE w:val="0"/>
              <w:autoSpaceDN w:val="0"/>
              <w:spacing w:before="45" w:after="0" w:line="233" w:lineRule="exact"/>
              <w:ind w:firstLine="240"/>
              <w:jc w:val="both"/>
              <w:rPr>
                <w:sz w:val="18"/>
                <w:szCs w:val="18"/>
              </w:rPr>
            </w:pPr>
            <w:r>
              <w:rPr>
                <w:rFonts w:hint="eastAsia" w:ascii="宋体" w:hAnsi="宋体" w:eastAsia="宋体"/>
                <w:color w:val="000000"/>
                <w:sz w:val="18"/>
                <w:szCs w:val="18"/>
              </w:rPr>
              <w:t>法律依据</w:t>
            </w:r>
          </w:p>
        </w:tc>
        <w:tc>
          <w:tcPr>
            <w:tcW w:w="12880" w:type="dxa"/>
            <w:gridSpan w:val="3"/>
            <w:tcBorders>
              <w:top w:val="single" w:color="000000" w:sz="4" w:space="0"/>
              <w:left w:val="single" w:color="000000" w:sz="4" w:space="0"/>
              <w:bottom w:val="single" w:color="000000" w:sz="4" w:space="0"/>
              <w:right w:val="single" w:color="000000" w:sz="4" w:space="0"/>
            </w:tcBorders>
            <w:vAlign w:val="top"/>
          </w:tcPr>
          <w:p w14:paraId="4F9D44AB">
            <w:pPr>
              <w:wordWrap w:val="0"/>
              <w:autoSpaceDE w:val="0"/>
              <w:autoSpaceDN w:val="0"/>
              <w:spacing w:before="46" w:after="0" w:line="233"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36C181C1">
            <w:pPr>
              <w:wordWrap w:val="0"/>
              <w:autoSpaceDE w:val="0"/>
              <w:autoSpaceDN w:val="0"/>
              <w:spacing w:before="66" w:after="0" w:line="233" w:lineRule="exact"/>
              <w:ind w:firstLine="500"/>
              <w:jc w:val="both"/>
              <w:rPr>
                <w:sz w:val="18"/>
                <w:szCs w:val="18"/>
              </w:rPr>
            </w:pPr>
            <w:r>
              <w:rPr>
                <w:rFonts w:hint="eastAsia" w:ascii="宋体" w:hAnsi="宋体" w:eastAsia="宋体"/>
                <w:color w:val="000000"/>
                <w:sz w:val="18"/>
                <w:szCs w:val="18"/>
              </w:rPr>
              <w:t>第十九条第一款 勘察、设计单位必须按照工程建设强制性标准进行勘察、设计，并对其勘察、设计的质量负责。</w:t>
            </w:r>
          </w:p>
          <w:p w14:paraId="079D791F">
            <w:pPr>
              <w:wordWrap w:val="0"/>
              <w:autoSpaceDE w:val="0"/>
              <w:autoSpaceDN w:val="0"/>
              <w:spacing w:before="46" w:after="0" w:line="233" w:lineRule="exact"/>
              <w:ind w:firstLine="500"/>
              <w:jc w:val="both"/>
              <w:rPr>
                <w:sz w:val="18"/>
                <w:szCs w:val="18"/>
              </w:rPr>
            </w:pPr>
            <w:r>
              <w:rPr>
                <w:rFonts w:hint="eastAsia" w:ascii="宋体" w:hAnsi="宋体" w:eastAsia="宋体"/>
                <w:color w:val="000000"/>
                <w:sz w:val="18"/>
                <w:szCs w:val="18"/>
              </w:rPr>
              <w:t>第六十三条 违反本条例规定，有下列行为之一的，责令改正，处</w:t>
            </w:r>
            <w:r>
              <w:rPr>
                <w:rFonts w:hint="eastAsia" w:ascii="Calibri" w:hAnsi="Calibri" w:eastAsia="Calibri"/>
                <w:color w:val="000000"/>
                <w:sz w:val="18"/>
                <w:szCs w:val="18"/>
              </w:rPr>
              <w:t>10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万元以下的罚款：</w:t>
            </w:r>
          </w:p>
          <w:p w14:paraId="11EE7468">
            <w:pPr>
              <w:wordWrap w:val="0"/>
              <w:autoSpaceDE w:val="0"/>
              <w:autoSpaceDN w:val="0"/>
              <w:spacing w:before="66" w:after="0" w:line="233" w:lineRule="exact"/>
              <w:ind w:firstLine="540"/>
              <w:jc w:val="both"/>
              <w:rPr>
                <w:sz w:val="18"/>
                <w:szCs w:val="18"/>
              </w:rPr>
            </w:pPr>
            <w:r>
              <w:rPr>
                <w:rFonts w:hint="eastAsia" w:ascii="宋体" w:hAnsi="宋体" w:eastAsia="宋体"/>
                <w:color w:val="000000"/>
                <w:sz w:val="18"/>
                <w:szCs w:val="18"/>
              </w:rPr>
              <w:t>（一）勘察单位未按照工程建设强制性标准进行勘察的；</w:t>
            </w:r>
          </w:p>
          <w:p w14:paraId="4CA3B141">
            <w:pPr>
              <w:wordWrap w:val="0"/>
              <w:autoSpaceDE w:val="0"/>
              <w:autoSpaceDN w:val="0"/>
              <w:spacing w:before="66" w:after="0" w:line="233" w:lineRule="exact"/>
              <w:ind w:firstLine="500"/>
              <w:jc w:val="both"/>
              <w:rPr>
                <w:sz w:val="18"/>
                <w:szCs w:val="18"/>
              </w:rPr>
            </w:pPr>
            <w:r>
              <w:rPr>
                <w:rFonts w:hint="eastAsia" w:ascii="宋体" w:hAnsi="宋体" w:eastAsia="宋体"/>
                <w:color w:val="000000"/>
                <w:sz w:val="18"/>
                <w:szCs w:val="18"/>
              </w:rPr>
              <w:t>有前款所列行为，造成工程质量事故的，责令停业整顿，降低资质等级；情节严重的，吊销资质证书；造成损失的，依法承担赔偿责任。</w:t>
            </w:r>
          </w:p>
          <w:p w14:paraId="7D5C746D">
            <w:pPr>
              <w:wordWrap w:val="0"/>
              <w:autoSpaceDE w:val="0"/>
              <w:autoSpaceDN w:val="0"/>
              <w:spacing w:before="0" w:after="0" w:line="233" w:lineRule="exact"/>
              <w:ind w:firstLine="0"/>
              <w:jc w:val="both"/>
              <w:rPr>
                <w:rFonts w:hint="eastAsia" w:ascii="宋体" w:hAnsi="宋体" w:eastAsia="宋体"/>
                <w:color w:val="000000"/>
                <w:sz w:val="18"/>
                <w:szCs w:val="18"/>
              </w:rPr>
            </w:pPr>
          </w:p>
          <w:p w14:paraId="58D3504B">
            <w:pPr>
              <w:wordWrap w:val="0"/>
              <w:autoSpaceDE w:val="0"/>
              <w:autoSpaceDN w:val="0"/>
              <w:spacing w:before="113" w:after="0" w:line="233" w:lineRule="exact"/>
              <w:ind w:left="80" w:right="60" w:firstLine="44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48D5E81A">
            <w:pPr>
              <w:wordWrap w:val="0"/>
              <w:autoSpaceDE w:val="0"/>
              <w:autoSpaceDN w:val="0"/>
              <w:spacing w:before="66" w:after="0" w:line="233" w:lineRule="exact"/>
              <w:ind w:left="80" w:right="4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34222471">
            <w:pPr>
              <w:wordWrap w:val="0"/>
              <w:autoSpaceDE w:val="0"/>
              <w:autoSpaceDN w:val="0"/>
              <w:spacing w:before="86" w:after="0" w:line="233"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3DFD3FDF">
            <w:pPr>
              <w:wordWrap w:val="0"/>
              <w:autoSpaceDE w:val="0"/>
              <w:autoSpaceDN w:val="0"/>
              <w:spacing w:before="0" w:after="0" w:line="233" w:lineRule="exact"/>
              <w:ind w:left="80" w:right="4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6A9945F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227ABFEB">
            <w:pPr>
              <w:wordWrap w:val="0"/>
              <w:autoSpaceDE w:val="0"/>
              <w:autoSpaceDN w:val="0"/>
              <w:spacing w:before="66" w:after="0" w:line="233" w:lineRule="exact"/>
              <w:ind w:firstLine="260"/>
              <w:jc w:val="both"/>
              <w:rPr>
                <w:sz w:val="18"/>
                <w:szCs w:val="18"/>
              </w:rPr>
            </w:pPr>
            <w:r>
              <w:rPr>
                <w:rFonts w:hint="eastAsia" w:ascii="宋体" w:hAnsi="宋体" w:eastAsia="宋体"/>
                <w:color w:val="000000"/>
                <w:sz w:val="18"/>
                <w:szCs w:val="18"/>
              </w:rPr>
              <w:t>处罚种类</w:t>
            </w:r>
          </w:p>
        </w:tc>
        <w:tc>
          <w:tcPr>
            <w:tcW w:w="12880" w:type="dxa"/>
            <w:gridSpan w:val="3"/>
            <w:tcBorders>
              <w:top w:val="single" w:color="000000" w:sz="4" w:space="0"/>
              <w:left w:val="single" w:color="000000" w:sz="4" w:space="0"/>
              <w:bottom w:val="single" w:color="000000" w:sz="4" w:space="0"/>
              <w:right w:val="single" w:color="000000" w:sz="4" w:space="0"/>
            </w:tcBorders>
            <w:vAlign w:val="top"/>
          </w:tcPr>
          <w:p w14:paraId="74EA568F">
            <w:pPr>
              <w:wordWrap w:val="0"/>
              <w:autoSpaceDE w:val="0"/>
              <w:autoSpaceDN w:val="0"/>
              <w:spacing w:before="66" w:after="0" w:line="233" w:lineRule="exact"/>
              <w:ind w:firstLine="100"/>
              <w:jc w:val="both"/>
              <w:rPr>
                <w:sz w:val="18"/>
                <w:szCs w:val="18"/>
              </w:rPr>
            </w:pPr>
            <w:r>
              <w:rPr>
                <w:rFonts w:hint="eastAsia" w:ascii="宋体" w:hAnsi="宋体" w:eastAsia="宋体"/>
                <w:color w:val="000000"/>
                <w:sz w:val="18"/>
                <w:szCs w:val="18"/>
              </w:rPr>
              <w:t>罚款</w:t>
            </w:r>
          </w:p>
        </w:tc>
      </w:tr>
      <w:tr w14:paraId="62E26B5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4080" w:type="dxa"/>
            <w:gridSpan w:val="4"/>
            <w:tcBorders>
              <w:top w:val="single" w:color="000000" w:sz="4" w:space="0"/>
              <w:left w:val="single" w:color="000000" w:sz="4" w:space="0"/>
              <w:bottom w:val="single" w:color="000000" w:sz="4" w:space="0"/>
              <w:right w:val="single" w:color="000000" w:sz="4" w:space="0"/>
            </w:tcBorders>
            <w:vAlign w:val="top"/>
          </w:tcPr>
          <w:p w14:paraId="14351842">
            <w:pPr>
              <w:wordWrap w:val="0"/>
              <w:autoSpaceDE w:val="0"/>
              <w:autoSpaceDN w:val="0"/>
              <w:spacing w:before="6" w:after="0" w:line="233" w:lineRule="exact"/>
              <w:jc w:val="center"/>
              <w:rPr>
                <w:sz w:val="18"/>
                <w:szCs w:val="18"/>
              </w:rPr>
            </w:pPr>
            <w:r>
              <w:rPr>
                <w:rFonts w:hint="eastAsia" w:ascii="宋体" w:hAnsi="宋体" w:eastAsia="宋体"/>
                <w:color w:val="000000"/>
                <w:sz w:val="18"/>
                <w:szCs w:val="18"/>
              </w:rPr>
              <w:t>自由裁量基准</w:t>
            </w:r>
          </w:p>
        </w:tc>
      </w:tr>
      <w:tr w14:paraId="7081BFC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84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15968E37">
            <w:pPr>
              <w:wordWrap w:val="0"/>
              <w:autoSpaceDE w:val="0"/>
              <w:autoSpaceDN w:val="0"/>
              <w:spacing w:before="0" w:after="0" w:line="233" w:lineRule="exact"/>
              <w:ind w:firstLine="0"/>
              <w:jc w:val="both"/>
              <w:rPr>
                <w:rFonts w:hint="eastAsia" w:ascii="宋体" w:hAnsi="宋体" w:eastAsia="宋体"/>
                <w:color w:val="000000"/>
                <w:sz w:val="18"/>
                <w:szCs w:val="18"/>
              </w:rPr>
            </w:pPr>
          </w:p>
          <w:p w14:paraId="5C17AE55">
            <w:pPr>
              <w:wordWrap w:val="0"/>
              <w:autoSpaceDE w:val="0"/>
              <w:autoSpaceDN w:val="0"/>
              <w:spacing w:before="0" w:after="0" w:line="233" w:lineRule="exact"/>
              <w:ind w:firstLine="0"/>
              <w:jc w:val="both"/>
              <w:rPr>
                <w:rFonts w:hint="eastAsia" w:ascii="宋体" w:hAnsi="宋体" w:eastAsia="宋体"/>
                <w:color w:val="000000"/>
                <w:sz w:val="18"/>
                <w:szCs w:val="18"/>
              </w:rPr>
            </w:pPr>
          </w:p>
          <w:p w14:paraId="4144E216">
            <w:pPr>
              <w:wordWrap w:val="0"/>
              <w:autoSpaceDE w:val="0"/>
              <w:autoSpaceDN w:val="0"/>
              <w:spacing w:before="0" w:after="0" w:line="233" w:lineRule="exact"/>
              <w:ind w:firstLine="0"/>
              <w:jc w:val="both"/>
              <w:rPr>
                <w:rFonts w:hint="eastAsia" w:ascii="宋体" w:hAnsi="宋体" w:eastAsia="宋体"/>
                <w:color w:val="000000"/>
                <w:sz w:val="18"/>
                <w:szCs w:val="18"/>
              </w:rPr>
            </w:pPr>
          </w:p>
          <w:p w14:paraId="113E0DC8">
            <w:pPr>
              <w:wordWrap w:val="0"/>
              <w:autoSpaceDE w:val="0"/>
              <w:autoSpaceDN w:val="0"/>
              <w:spacing w:before="0" w:after="0" w:line="233" w:lineRule="exact"/>
              <w:ind w:firstLine="0"/>
              <w:jc w:val="both"/>
              <w:rPr>
                <w:rFonts w:hint="eastAsia" w:ascii="宋体" w:hAnsi="宋体" w:eastAsia="宋体"/>
                <w:color w:val="000000"/>
                <w:sz w:val="18"/>
                <w:szCs w:val="18"/>
              </w:rPr>
            </w:pPr>
          </w:p>
          <w:p w14:paraId="3BA31F20">
            <w:pPr>
              <w:wordWrap w:val="0"/>
              <w:autoSpaceDE w:val="0"/>
              <w:autoSpaceDN w:val="0"/>
              <w:spacing w:before="0" w:after="0" w:line="233" w:lineRule="exact"/>
              <w:ind w:firstLine="0"/>
              <w:jc w:val="both"/>
              <w:rPr>
                <w:rFonts w:hint="eastAsia" w:ascii="宋体" w:hAnsi="宋体" w:eastAsia="宋体"/>
                <w:color w:val="000000"/>
                <w:sz w:val="18"/>
                <w:szCs w:val="18"/>
              </w:rPr>
            </w:pPr>
          </w:p>
          <w:p w14:paraId="15304BF3">
            <w:pPr>
              <w:wordWrap w:val="0"/>
              <w:autoSpaceDE w:val="0"/>
              <w:autoSpaceDN w:val="0"/>
              <w:spacing w:before="52" w:after="0" w:line="233" w:lineRule="exact"/>
              <w:ind w:firstLine="260"/>
              <w:jc w:val="both"/>
              <w:rPr>
                <w:sz w:val="18"/>
                <w:szCs w:val="18"/>
              </w:rPr>
            </w:pPr>
            <w:r>
              <w:rPr>
                <w:rFonts w:hint="eastAsia" w:ascii="宋体" w:hAnsi="宋体" w:eastAsia="宋体"/>
                <w:color w:val="000000"/>
                <w:sz w:val="18"/>
                <w:szCs w:val="18"/>
              </w:rPr>
              <w:t>情形描述</w:t>
            </w:r>
          </w:p>
        </w:tc>
        <w:tc>
          <w:tcPr>
            <w:tcW w:w="5980" w:type="dxa"/>
            <w:tcBorders>
              <w:top w:val="single" w:color="000000" w:sz="4" w:space="0"/>
              <w:left w:val="single" w:color="000000" w:sz="4" w:space="0"/>
              <w:bottom w:val="single" w:color="000000" w:sz="4" w:space="0"/>
              <w:right w:val="single" w:color="000000" w:sz="4" w:space="0"/>
            </w:tcBorders>
            <w:vAlign w:val="top"/>
          </w:tcPr>
          <w:p w14:paraId="73933D45">
            <w:pPr>
              <w:wordWrap w:val="0"/>
              <w:autoSpaceDE w:val="0"/>
              <w:autoSpaceDN w:val="0"/>
              <w:spacing w:before="0" w:after="0" w:line="233" w:lineRule="exact"/>
              <w:ind w:firstLine="0"/>
              <w:jc w:val="both"/>
              <w:rPr>
                <w:rFonts w:hint="eastAsia" w:ascii="宋体" w:hAnsi="宋体" w:eastAsia="宋体"/>
                <w:color w:val="000000"/>
                <w:sz w:val="18"/>
                <w:szCs w:val="18"/>
              </w:rPr>
            </w:pPr>
          </w:p>
          <w:p w14:paraId="1959BD14">
            <w:pPr>
              <w:wordWrap w:val="0"/>
              <w:autoSpaceDE w:val="0"/>
              <w:autoSpaceDN w:val="0"/>
              <w:spacing w:before="86" w:after="0" w:line="233" w:lineRule="exact"/>
              <w:ind w:firstLine="100"/>
              <w:jc w:val="both"/>
              <w:rPr>
                <w:sz w:val="18"/>
                <w:szCs w:val="18"/>
              </w:rPr>
            </w:pPr>
            <w:r>
              <w:rPr>
                <w:rFonts w:hint="eastAsia" w:ascii="宋体" w:hAnsi="宋体" w:eastAsia="宋体"/>
                <w:color w:val="000000"/>
                <w:sz w:val="18"/>
                <w:szCs w:val="18"/>
              </w:rPr>
              <w:t>施工单位未开始施工的</w:t>
            </w:r>
          </w:p>
        </w:tc>
        <w:tc>
          <w:tcPr>
            <w:tcW w:w="1120" w:type="dxa"/>
            <w:vMerge w:val="restart"/>
            <w:tcBorders>
              <w:top w:val="single" w:color="000000" w:sz="4" w:space="0"/>
              <w:left w:val="single" w:color="000000" w:sz="4" w:space="0"/>
              <w:bottom w:val="single" w:color="000000" w:sz="4" w:space="0"/>
              <w:right w:val="single" w:color="000000" w:sz="4" w:space="0"/>
            </w:tcBorders>
            <w:vAlign w:val="top"/>
          </w:tcPr>
          <w:p w14:paraId="24142760">
            <w:pPr>
              <w:wordWrap w:val="0"/>
              <w:autoSpaceDE w:val="0"/>
              <w:autoSpaceDN w:val="0"/>
              <w:spacing w:before="0" w:after="0" w:line="233" w:lineRule="exact"/>
              <w:ind w:firstLine="0"/>
              <w:jc w:val="both"/>
              <w:rPr>
                <w:rFonts w:hint="eastAsia" w:ascii="宋体" w:hAnsi="宋体" w:eastAsia="宋体"/>
                <w:color w:val="000000"/>
                <w:sz w:val="18"/>
                <w:szCs w:val="18"/>
              </w:rPr>
            </w:pPr>
          </w:p>
          <w:p w14:paraId="0F1E5342">
            <w:pPr>
              <w:wordWrap w:val="0"/>
              <w:autoSpaceDE w:val="0"/>
              <w:autoSpaceDN w:val="0"/>
              <w:spacing w:before="0" w:after="0" w:line="233" w:lineRule="exact"/>
              <w:ind w:firstLine="0"/>
              <w:jc w:val="both"/>
              <w:rPr>
                <w:rFonts w:hint="eastAsia" w:ascii="宋体" w:hAnsi="宋体" w:eastAsia="宋体"/>
                <w:color w:val="000000"/>
                <w:sz w:val="18"/>
                <w:szCs w:val="18"/>
              </w:rPr>
            </w:pPr>
          </w:p>
          <w:p w14:paraId="75336B9C">
            <w:pPr>
              <w:wordWrap w:val="0"/>
              <w:autoSpaceDE w:val="0"/>
              <w:autoSpaceDN w:val="0"/>
              <w:spacing w:before="0" w:after="0" w:line="233" w:lineRule="exact"/>
              <w:ind w:firstLine="0"/>
              <w:jc w:val="both"/>
              <w:rPr>
                <w:rFonts w:hint="eastAsia" w:ascii="宋体" w:hAnsi="宋体" w:eastAsia="宋体"/>
                <w:color w:val="000000"/>
                <w:sz w:val="18"/>
                <w:szCs w:val="18"/>
              </w:rPr>
            </w:pPr>
          </w:p>
          <w:p w14:paraId="049AEBE7">
            <w:pPr>
              <w:wordWrap w:val="0"/>
              <w:autoSpaceDE w:val="0"/>
              <w:autoSpaceDN w:val="0"/>
              <w:spacing w:before="0" w:after="0" w:line="233" w:lineRule="exact"/>
              <w:ind w:firstLine="0"/>
              <w:jc w:val="both"/>
              <w:rPr>
                <w:rFonts w:hint="eastAsia" w:ascii="宋体" w:hAnsi="宋体" w:eastAsia="宋体"/>
                <w:color w:val="000000"/>
                <w:sz w:val="18"/>
                <w:szCs w:val="18"/>
              </w:rPr>
            </w:pPr>
          </w:p>
          <w:p w14:paraId="4B50CBCB">
            <w:pPr>
              <w:wordWrap w:val="0"/>
              <w:autoSpaceDE w:val="0"/>
              <w:autoSpaceDN w:val="0"/>
              <w:spacing w:before="0" w:after="0" w:line="233" w:lineRule="exact"/>
              <w:ind w:firstLine="0"/>
              <w:jc w:val="both"/>
              <w:rPr>
                <w:rFonts w:hint="eastAsia" w:ascii="宋体" w:hAnsi="宋体" w:eastAsia="宋体"/>
                <w:color w:val="000000"/>
                <w:sz w:val="18"/>
                <w:szCs w:val="18"/>
              </w:rPr>
            </w:pPr>
          </w:p>
          <w:p w14:paraId="2103C0E6">
            <w:pPr>
              <w:wordWrap w:val="0"/>
              <w:autoSpaceDE w:val="0"/>
              <w:autoSpaceDN w:val="0"/>
              <w:spacing w:before="52" w:after="0" w:line="233" w:lineRule="exact"/>
              <w:ind w:firstLine="200"/>
              <w:jc w:val="both"/>
              <w:rPr>
                <w:sz w:val="18"/>
                <w:szCs w:val="18"/>
              </w:rPr>
            </w:pPr>
            <w:r>
              <w:rPr>
                <w:rFonts w:hint="eastAsia" w:ascii="宋体" w:hAnsi="宋体" w:eastAsia="宋体"/>
                <w:color w:val="000000"/>
                <w:sz w:val="18"/>
                <w:szCs w:val="18"/>
              </w:rPr>
              <w:t>裁量幅度</w:t>
            </w:r>
          </w:p>
        </w:tc>
        <w:tc>
          <w:tcPr>
            <w:tcW w:w="5780" w:type="dxa"/>
            <w:tcBorders>
              <w:top w:val="single" w:color="000000" w:sz="4" w:space="0"/>
              <w:left w:val="single" w:color="000000" w:sz="4" w:space="0"/>
              <w:bottom w:val="single" w:color="000000" w:sz="4" w:space="0"/>
              <w:right w:val="single" w:color="000000" w:sz="4" w:space="0"/>
            </w:tcBorders>
            <w:vAlign w:val="top"/>
          </w:tcPr>
          <w:p w14:paraId="42ED5293">
            <w:pPr>
              <w:wordWrap w:val="0"/>
              <w:autoSpaceDE w:val="0"/>
              <w:autoSpaceDN w:val="0"/>
              <w:spacing w:before="46" w:after="0" w:line="233" w:lineRule="exact"/>
              <w:ind w:firstLine="140"/>
              <w:jc w:val="both"/>
              <w:rPr>
                <w:sz w:val="18"/>
                <w:szCs w:val="18"/>
              </w:rPr>
            </w:pPr>
            <w:r>
              <w:rPr>
                <w:rFonts w:hint="eastAsia" w:ascii="宋体" w:hAnsi="宋体" w:eastAsia="宋体"/>
                <w:color w:val="000000"/>
                <w:sz w:val="18"/>
                <w:szCs w:val="18"/>
              </w:rPr>
              <w:t>处</w:t>
            </w:r>
            <w:r>
              <w:rPr>
                <w:rFonts w:hint="eastAsia" w:ascii="Calibri" w:hAnsi="Calibri" w:eastAsia="Calibri"/>
                <w:color w:val="000000"/>
                <w:sz w:val="18"/>
                <w:szCs w:val="18"/>
              </w:rPr>
              <w:t>10</w:t>
            </w:r>
            <w:r>
              <w:rPr>
                <w:rFonts w:hint="eastAsia" w:ascii="宋体" w:hAnsi="宋体" w:eastAsia="宋体"/>
                <w:color w:val="000000"/>
                <w:sz w:val="18"/>
                <w:szCs w:val="18"/>
              </w:rPr>
              <w:t>万以上</w:t>
            </w:r>
            <w:r>
              <w:rPr>
                <w:rFonts w:hint="eastAsia" w:ascii="Calibri" w:hAnsi="Calibri" w:eastAsia="Calibri"/>
                <w:color w:val="000000"/>
                <w:sz w:val="18"/>
                <w:szCs w:val="18"/>
              </w:rPr>
              <w:t>15</w:t>
            </w:r>
            <w:r>
              <w:rPr>
                <w:rFonts w:hint="eastAsia" w:ascii="宋体" w:hAnsi="宋体" w:eastAsia="宋体"/>
                <w:color w:val="000000"/>
                <w:sz w:val="18"/>
                <w:szCs w:val="18"/>
              </w:rPr>
              <w:t>万以下的罚款</w:t>
            </w:r>
          </w:p>
          <w:p w14:paraId="1DD74D9A">
            <w:pPr>
              <w:wordWrap w:val="0"/>
              <w:autoSpaceDE w:val="0"/>
              <w:autoSpaceDN w:val="0"/>
              <w:spacing w:before="0" w:after="0" w:line="246" w:lineRule="exact"/>
              <w:ind w:left="120" w:right="40" w:firstLine="20"/>
              <w:jc w:val="both"/>
              <w:rPr>
                <w:sz w:val="18"/>
                <w:szCs w:val="18"/>
              </w:rPr>
            </w:pPr>
            <w:r>
              <w:rPr>
                <w:rFonts w:hint="eastAsia" w:ascii="宋体" w:hAnsi="宋体" w:eastAsia="宋体"/>
                <w:color w:val="000000"/>
                <w:sz w:val="18"/>
                <w:szCs w:val="18"/>
              </w:rPr>
              <w:t>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7</w:t>
            </w:r>
            <w:r>
              <w:rPr>
                <w:rFonts w:hint="eastAsia" w:ascii="宋体" w:hAnsi="宋体" w:eastAsia="宋体"/>
                <w:color w:val="000000"/>
                <w:sz w:val="18"/>
                <w:szCs w:val="18"/>
              </w:rPr>
              <w:t>％以下的罚款</w:t>
            </w:r>
          </w:p>
        </w:tc>
      </w:tr>
      <w:tr w14:paraId="36AE123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2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5E18DF82">
            <w:pPr>
              <w:rPr>
                <w:sz w:val="18"/>
                <w:szCs w:val="18"/>
              </w:rPr>
            </w:pPr>
          </w:p>
        </w:tc>
        <w:tc>
          <w:tcPr>
            <w:tcW w:w="5980" w:type="dxa"/>
            <w:tcBorders>
              <w:top w:val="single" w:color="000000" w:sz="4" w:space="0"/>
              <w:left w:val="single" w:color="000000" w:sz="4" w:space="0"/>
              <w:bottom w:val="single" w:color="000000" w:sz="4" w:space="0"/>
              <w:right w:val="single" w:color="000000" w:sz="4" w:space="0"/>
            </w:tcBorders>
            <w:vAlign w:val="top"/>
          </w:tcPr>
          <w:p w14:paraId="34AC4498">
            <w:pPr>
              <w:wordWrap w:val="0"/>
              <w:autoSpaceDE w:val="0"/>
              <w:autoSpaceDN w:val="0"/>
              <w:spacing w:before="0" w:after="0" w:line="233" w:lineRule="exact"/>
              <w:ind w:firstLine="0"/>
              <w:jc w:val="both"/>
              <w:rPr>
                <w:rFonts w:hint="eastAsia" w:ascii="宋体" w:hAnsi="宋体" w:eastAsia="宋体"/>
                <w:color w:val="000000"/>
                <w:sz w:val="18"/>
                <w:szCs w:val="18"/>
              </w:rPr>
            </w:pPr>
          </w:p>
          <w:p w14:paraId="0F93FFA6">
            <w:pPr>
              <w:wordWrap w:val="0"/>
              <w:autoSpaceDE w:val="0"/>
              <w:autoSpaceDN w:val="0"/>
              <w:spacing w:before="126" w:after="0" w:line="233" w:lineRule="exact"/>
              <w:ind w:firstLine="100"/>
              <w:jc w:val="both"/>
              <w:rPr>
                <w:sz w:val="18"/>
                <w:szCs w:val="18"/>
              </w:rPr>
            </w:pPr>
            <w:r>
              <w:rPr>
                <w:rFonts w:hint="eastAsia" w:ascii="宋体" w:hAnsi="宋体" w:eastAsia="宋体"/>
                <w:color w:val="000000"/>
                <w:sz w:val="18"/>
                <w:szCs w:val="18"/>
              </w:rPr>
              <w:t>施工单位开始施工，未发生安全事故的</w:t>
            </w:r>
          </w:p>
        </w:tc>
        <w:tc>
          <w:tcPr>
            <w:tcW w:w="1120" w:type="dxa"/>
            <w:vMerge w:val="continue"/>
            <w:tcBorders>
              <w:top w:val="single" w:color="000000" w:sz="4" w:space="0"/>
              <w:left w:val="single" w:color="000000" w:sz="4" w:space="0"/>
              <w:bottom w:val="single" w:color="000000" w:sz="4" w:space="0"/>
              <w:right w:val="single" w:color="000000" w:sz="4" w:space="0"/>
            </w:tcBorders>
          </w:tcPr>
          <w:p w14:paraId="2EF6953B">
            <w:pPr>
              <w:rPr>
                <w:sz w:val="18"/>
                <w:szCs w:val="18"/>
              </w:rPr>
            </w:pPr>
          </w:p>
        </w:tc>
        <w:tc>
          <w:tcPr>
            <w:tcW w:w="5780" w:type="dxa"/>
            <w:tcBorders>
              <w:top w:val="single" w:color="000000" w:sz="4" w:space="0"/>
              <w:left w:val="single" w:color="000000" w:sz="4" w:space="0"/>
              <w:bottom w:val="single" w:color="000000" w:sz="4" w:space="0"/>
              <w:right w:val="single" w:color="000000" w:sz="4" w:space="0"/>
            </w:tcBorders>
            <w:vAlign w:val="top"/>
          </w:tcPr>
          <w:p w14:paraId="2E35B08C">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处</w:t>
            </w:r>
            <w:r>
              <w:rPr>
                <w:rFonts w:hint="eastAsia" w:ascii="Calibri" w:hAnsi="Calibri" w:eastAsia="Calibri"/>
                <w:color w:val="000000"/>
                <w:sz w:val="18"/>
                <w:szCs w:val="18"/>
              </w:rPr>
              <w:t>15</w:t>
            </w:r>
            <w:r>
              <w:rPr>
                <w:rFonts w:hint="eastAsia" w:ascii="宋体" w:hAnsi="宋体" w:eastAsia="宋体"/>
                <w:color w:val="000000"/>
                <w:sz w:val="18"/>
                <w:szCs w:val="18"/>
              </w:rPr>
              <w:t>万以上</w:t>
            </w:r>
            <w:r>
              <w:rPr>
                <w:rFonts w:hint="eastAsia" w:ascii="Calibri" w:hAnsi="Calibri" w:eastAsia="Calibri"/>
                <w:color w:val="000000"/>
                <w:sz w:val="18"/>
                <w:szCs w:val="18"/>
              </w:rPr>
              <w:t>25</w:t>
            </w:r>
            <w:r>
              <w:rPr>
                <w:rFonts w:hint="eastAsia" w:ascii="宋体" w:hAnsi="宋体" w:eastAsia="宋体"/>
                <w:color w:val="000000"/>
                <w:sz w:val="18"/>
                <w:szCs w:val="18"/>
              </w:rPr>
              <w:t>万以下的罚款</w:t>
            </w:r>
          </w:p>
          <w:p w14:paraId="6506955E">
            <w:pPr>
              <w:wordWrap w:val="0"/>
              <w:autoSpaceDE w:val="0"/>
              <w:autoSpaceDN w:val="0"/>
              <w:spacing w:before="0" w:after="0" w:line="246" w:lineRule="exact"/>
              <w:ind w:left="100" w:right="60" w:firstLine="40"/>
              <w:jc w:val="both"/>
              <w:rPr>
                <w:sz w:val="18"/>
                <w:szCs w:val="18"/>
              </w:rPr>
            </w:pPr>
            <w:r>
              <w:rPr>
                <w:rFonts w:hint="eastAsia" w:ascii="宋体" w:hAnsi="宋体" w:eastAsia="宋体"/>
                <w:color w:val="000000"/>
                <w:sz w:val="18"/>
                <w:szCs w:val="18"/>
              </w:rPr>
              <w:t>单位直接负责的主管人员和其他直接责任人员处单位罚款数额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9</w:t>
            </w:r>
            <w:r>
              <w:rPr>
                <w:rFonts w:hint="eastAsia" w:ascii="宋体" w:hAnsi="宋体" w:eastAsia="宋体"/>
                <w:color w:val="000000"/>
                <w:sz w:val="18"/>
                <w:szCs w:val="18"/>
              </w:rPr>
              <w:t>％以下的罚款</w:t>
            </w:r>
          </w:p>
        </w:tc>
      </w:tr>
      <w:tr w14:paraId="0F07191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88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39FE3583">
            <w:pPr>
              <w:rPr>
                <w:sz w:val="18"/>
                <w:szCs w:val="18"/>
              </w:rPr>
            </w:pPr>
          </w:p>
        </w:tc>
        <w:tc>
          <w:tcPr>
            <w:tcW w:w="5980" w:type="dxa"/>
            <w:tcBorders>
              <w:top w:val="single" w:color="000000" w:sz="4" w:space="0"/>
              <w:left w:val="single" w:color="000000" w:sz="4" w:space="0"/>
              <w:bottom w:val="single" w:color="000000" w:sz="4" w:space="0"/>
              <w:right w:val="single" w:color="000000" w:sz="4" w:space="0"/>
            </w:tcBorders>
            <w:vAlign w:val="top"/>
          </w:tcPr>
          <w:p w14:paraId="48F354F9">
            <w:pPr>
              <w:wordWrap w:val="0"/>
              <w:autoSpaceDE w:val="0"/>
              <w:autoSpaceDN w:val="0"/>
              <w:spacing w:before="0" w:after="0" w:line="246" w:lineRule="exact"/>
              <w:ind w:firstLine="0"/>
              <w:jc w:val="both"/>
              <w:rPr>
                <w:rFonts w:hint="eastAsia" w:ascii="宋体" w:hAnsi="宋体" w:eastAsia="宋体"/>
                <w:color w:val="000000"/>
                <w:sz w:val="18"/>
                <w:szCs w:val="18"/>
              </w:rPr>
            </w:pPr>
          </w:p>
          <w:p w14:paraId="06357949">
            <w:pPr>
              <w:wordWrap w:val="0"/>
              <w:autoSpaceDE w:val="0"/>
              <w:autoSpaceDN w:val="0"/>
              <w:spacing w:before="73" w:after="0" w:line="246" w:lineRule="exact"/>
              <w:ind w:firstLine="100"/>
              <w:jc w:val="both"/>
              <w:rPr>
                <w:sz w:val="18"/>
                <w:szCs w:val="18"/>
              </w:rPr>
            </w:pPr>
            <w:r>
              <w:rPr>
                <w:rFonts w:hint="eastAsia" w:ascii="宋体" w:hAnsi="宋体" w:eastAsia="宋体"/>
                <w:color w:val="000000"/>
                <w:sz w:val="18"/>
                <w:szCs w:val="18"/>
              </w:rPr>
              <w:t>施工单位开始施工，发生安全事故的</w:t>
            </w:r>
          </w:p>
        </w:tc>
        <w:tc>
          <w:tcPr>
            <w:tcW w:w="1120" w:type="dxa"/>
            <w:vMerge w:val="continue"/>
            <w:tcBorders>
              <w:top w:val="single" w:color="000000" w:sz="4" w:space="0"/>
              <w:left w:val="single" w:color="000000" w:sz="4" w:space="0"/>
              <w:bottom w:val="single" w:color="000000" w:sz="4" w:space="0"/>
              <w:right w:val="single" w:color="000000" w:sz="4" w:space="0"/>
            </w:tcBorders>
          </w:tcPr>
          <w:p w14:paraId="7D257004">
            <w:pPr>
              <w:rPr>
                <w:sz w:val="18"/>
                <w:szCs w:val="18"/>
              </w:rPr>
            </w:pPr>
          </w:p>
        </w:tc>
        <w:tc>
          <w:tcPr>
            <w:tcW w:w="5780" w:type="dxa"/>
            <w:tcBorders>
              <w:top w:val="single" w:color="000000" w:sz="4" w:space="0"/>
              <w:left w:val="single" w:color="000000" w:sz="4" w:space="0"/>
              <w:bottom w:val="single" w:color="000000" w:sz="4" w:space="0"/>
              <w:right w:val="single" w:color="000000" w:sz="4" w:space="0"/>
            </w:tcBorders>
            <w:vAlign w:val="top"/>
          </w:tcPr>
          <w:p w14:paraId="73A0305D">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处</w:t>
            </w:r>
            <w:r>
              <w:rPr>
                <w:rFonts w:hint="eastAsia" w:ascii="Calibri" w:hAnsi="Calibri" w:eastAsia="Calibri"/>
                <w:color w:val="000000"/>
                <w:sz w:val="18"/>
                <w:szCs w:val="18"/>
              </w:rPr>
              <w:t>25</w:t>
            </w:r>
            <w:r>
              <w:rPr>
                <w:rFonts w:hint="eastAsia" w:ascii="宋体" w:hAnsi="宋体" w:eastAsia="宋体"/>
                <w:color w:val="000000"/>
                <w:sz w:val="18"/>
                <w:szCs w:val="18"/>
              </w:rPr>
              <w:t>万以上</w:t>
            </w:r>
            <w:r>
              <w:rPr>
                <w:rFonts w:hint="eastAsia" w:ascii="Calibri" w:hAnsi="Calibri" w:eastAsia="Calibri"/>
                <w:color w:val="000000"/>
                <w:sz w:val="18"/>
                <w:szCs w:val="18"/>
              </w:rPr>
              <w:t>30</w:t>
            </w:r>
            <w:r>
              <w:rPr>
                <w:rFonts w:hint="eastAsia" w:ascii="宋体" w:hAnsi="宋体" w:eastAsia="宋体"/>
                <w:color w:val="000000"/>
                <w:sz w:val="18"/>
                <w:szCs w:val="18"/>
              </w:rPr>
              <w:t>万以下的罚款</w:t>
            </w:r>
          </w:p>
          <w:p w14:paraId="2F99E3FE">
            <w:pPr>
              <w:wordWrap w:val="0"/>
              <w:autoSpaceDE w:val="0"/>
              <w:autoSpaceDN w:val="0"/>
              <w:spacing w:before="0" w:after="0" w:line="246" w:lineRule="exact"/>
              <w:ind w:left="100" w:right="60" w:firstLine="20"/>
              <w:jc w:val="both"/>
              <w:rPr>
                <w:sz w:val="18"/>
                <w:szCs w:val="18"/>
              </w:rPr>
            </w:pPr>
            <w:r>
              <w:rPr>
                <w:rFonts w:hint="eastAsia" w:ascii="宋体" w:hAnsi="宋体" w:eastAsia="宋体"/>
                <w:color w:val="000000"/>
                <w:sz w:val="18"/>
                <w:szCs w:val="18"/>
              </w:rPr>
              <w:t>单位直接负责的主管人员和其他直接责任人员处单位罚款数额</w:t>
            </w:r>
            <w:r>
              <w:rPr>
                <w:rFonts w:hint="eastAsia" w:ascii="Calibri" w:hAnsi="Calibri" w:eastAsia="Calibri"/>
                <w:color w:val="000000"/>
                <w:sz w:val="18"/>
                <w:szCs w:val="18"/>
              </w:rPr>
              <w:t>9</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tc>
      </w:tr>
    </w:tbl>
    <w:p w14:paraId="5C75476D">
      <w:pPr>
        <w:rPr>
          <w:sz w:val="18"/>
          <w:szCs w:val="18"/>
        </w:rPr>
      </w:pPr>
    </w:p>
    <w:tbl>
      <w:tblPr>
        <w:tblStyle w:val="15"/>
        <w:tblW w:w="0" w:type="auto"/>
        <w:tblInd w:w="10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60"/>
        <w:gridCol w:w="5860"/>
        <w:gridCol w:w="1160"/>
        <w:gridCol w:w="5660"/>
      </w:tblGrid>
      <w:tr w14:paraId="0907468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160" w:type="dxa"/>
            <w:tcBorders>
              <w:top w:val="single" w:color="000000" w:sz="4" w:space="0"/>
              <w:left w:val="single" w:color="000000" w:sz="4" w:space="0"/>
              <w:bottom w:val="single" w:color="000000" w:sz="4" w:space="0"/>
              <w:right w:val="single" w:color="000000" w:sz="4" w:space="0"/>
            </w:tcBorders>
            <w:vAlign w:val="top"/>
          </w:tcPr>
          <w:p w14:paraId="35394329">
            <w:pPr>
              <w:wordWrap w:val="0"/>
              <w:autoSpaceDE w:val="0"/>
              <w:autoSpaceDN w:val="0"/>
              <w:spacing w:before="53" w:after="0" w:line="246" w:lineRule="exact"/>
              <w:ind w:firstLine="320"/>
              <w:jc w:val="both"/>
              <w:rPr>
                <w:sz w:val="18"/>
                <w:szCs w:val="18"/>
              </w:rPr>
            </w:pPr>
            <w:r>
              <w:rPr>
                <w:rFonts w:hint="eastAsia" w:ascii="宋体" w:hAnsi="宋体" w:eastAsia="宋体"/>
                <w:color w:val="000000"/>
                <w:sz w:val="18"/>
                <w:szCs w:val="18"/>
              </w:rPr>
              <w:t>序号</w:t>
            </w:r>
          </w:p>
        </w:tc>
        <w:tc>
          <w:tcPr>
            <w:tcW w:w="12680" w:type="dxa"/>
            <w:gridSpan w:val="3"/>
            <w:tcBorders>
              <w:top w:val="single" w:color="000000" w:sz="4" w:space="0"/>
              <w:left w:val="single" w:color="000000" w:sz="4" w:space="0"/>
              <w:bottom w:val="single" w:color="000000" w:sz="4" w:space="0"/>
              <w:right w:val="single" w:color="000000" w:sz="4" w:space="0"/>
            </w:tcBorders>
            <w:vAlign w:val="top"/>
          </w:tcPr>
          <w:p w14:paraId="7CB1A03D">
            <w:pPr>
              <w:wordWrap w:val="0"/>
              <w:autoSpaceDE w:val="0"/>
              <w:autoSpaceDN w:val="0"/>
              <w:spacing w:before="73" w:after="0" w:line="246" w:lineRule="exact"/>
              <w:ind w:firstLine="80"/>
              <w:jc w:val="both"/>
              <w:rPr>
                <w:rFonts w:hint="default" w:eastAsia="宋体"/>
                <w:sz w:val="18"/>
                <w:szCs w:val="18"/>
                <w:lang w:val="en-US" w:eastAsia="zh-CN"/>
              </w:rPr>
            </w:pPr>
            <w:r>
              <w:rPr>
                <w:rFonts w:hint="eastAsia"/>
                <w:sz w:val="18"/>
                <w:szCs w:val="18"/>
                <w:lang w:val="en-US" w:eastAsia="zh-CN"/>
              </w:rPr>
              <w:t>19</w:t>
            </w:r>
          </w:p>
        </w:tc>
      </w:tr>
      <w:tr w14:paraId="380B04F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60" w:type="dxa"/>
            <w:tcBorders>
              <w:top w:val="single" w:color="000000" w:sz="4" w:space="0"/>
              <w:left w:val="single" w:color="000000" w:sz="4" w:space="0"/>
              <w:bottom w:val="single" w:color="000000" w:sz="4" w:space="0"/>
              <w:right w:val="single" w:color="000000" w:sz="4" w:space="0"/>
            </w:tcBorders>
            <w:vAlign w:val="top"/>
          </w:tcPr>
          <w:p w14:paraId="21488DC4">
            <w:pPr>
              <w:wordWrap w:val="0"/>
              <w:autoSpaceDE w:val="0"/>
              <w:autoSpaceDN w:val="0"/>
              <w:spacing w:before="13" w:after="0" w:line="246" w:lineRule="exact"/>
              <w:ind w:firstLine="300"/>
              <w:jc w:val="both"/>
              <w:rPr>
                <w:sz w:val="18"/>
                <w:szCs w:val="18"/>
              </w:rPr>
            </w:pPr>
            <w:r>
              <w:rPr>
                <w:rFonts w:hint="eastAsia" w:ascii="宋体" w:hAnsi="宋体" w:eastAsia="宋体"/>
                <w:color w:val="000000"/>
                <w:sz w:val="18"/>
                <w:szCs w:val="18"/>
              </w:rPr>
              <w:t>编号</w:t>
            </w:r>
          </w:p>
        </w:tc>
        <w:tc>
          <w:tcPr>
            <w:tcW w:w="12680" w:type="dxa"/>
            <w:gridSpan w:val="3"/>
            <w:tcBorders>
              <w:top w:val="single" w:color="000000" w:sz="4" w:space="0"/>
              <w:left w:val="single" w:color="000000" w:sz="4" w:space="0"/>
              <w:bottom w:val="single" w:color="000000" w:sz="4" w:space="0"/>
              <w:right w:val="single" w:color="000000" w:sz="4" w:space="0"/>
            </w:tcBorders>
            <w:vAlign w:val="top"/>
          </w:tcPr>
          <w:p w14:paraId="325C9F85">
            <w:pPr>
              <w:wordWrap w:val="0"/>
              <w:autoSpaceDE w:val="0"/>
              <w:autoSpaceDN w:val="0"/>
              <w:spacing w:before="33" w:after="0" w:line="246" w:lineRule="exact"/>
              <w:ind w:firstLine="100"/>
              <w:jc w:val="both"/>
              <w:rPr>
                <w:sz w:val="18"/>
                <w:szCs w:val="18"/>
              </w:rPr>
            </w:pPr>
            <w:r>
              <w:rPr>
                <w:rFonts w:hint="eastAsia" w:ascii="Calibri" w:hAnsi="Calibri" w:eastAsia="Calibri"/>
                <w:color w:val="000000"/>
                <w:sz w:val="18"/>
                <w:szCs w:val="18"/>
              </w:rPr>
              <w:t>320280023000</w:t>
            </w:r>
          </w:p>
        </w:tc>
      </w:tr>
      <w:tr w14:paraId="5FDE90D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60" w:type="dxa"/>
            <w:tcBorders>
              <w:top w:val="single" w:color="000000" w:sz="4" w:space="0"/>
              <w:left w:val="single" w:color="000000" w:sz="4" w:space="0"/>
              <w:bottom w:val="single" w:color="000000" w:sz="4" w:space="0"/>
              <w:right w:val="single" w:color="000000" w:sz="4" w:space="0"/>
            </w:tcBorders>
            <w:vAlign w:val="top"/>
          </w:tcPr>
          <w:p w14:paraId="1D194731">
            <w:pPr>
              <w:wordWrap w:val="0"/>
              <w:autoSpaceDE w:val="0"/>
              <w:autoSpaceDN w:val="0"/>
              <w:spacing w:before="13" w:after="0" w:line="246" w:lineRule="exact"/>
              <w:ind w:firstLine="200"/>
              <w:jc w:val="both"/>
              <w:rPr>
                <w:sz w:val="18"/>
                <w:szCs w:val="18"/>
              </w:rPr>
            </w:pPr>
            <w:r>
              <w:rPr>
                <w:rFonts w:hint="eastAsia" w:ascii="宋体" w:hAnsi="宋体" w:eastAsia="宋体"/>
                <w:color w:val="000000"/>
                <w:sz w:val="18"/>
                <w:szCs w:val="18"/>
              </w:rPr>
              <w:t>行为名称</w:t>
            </w:r>
          </w:p>
        </w:tc>
        <w:tc>
          <w:tcPr>
            <w:tcW w:w="12680" w:type="dxa"/>
            <w:gridSpan w:val="3"/>
            <w:tcBorders>
              <w:top w:val="single" w:color="000000" w:sz="4" w:space="0"/>
              <w:left w:val="single" w:color="000000" w:sz="4" w:space="0"/>
              <w:bottom w:val="single" w:color="000000" w:sz="4" w:space="0"/>
              <w:right w:val="single" w:color="000000" w:sz="4" w:space="0"/>
            </w:tcBorders>
            <w:vAlign w:val="top"/>
          </w:tcPr>
          <w:p w14:paraId="3BDD166A">
            <w:pPr>
              <w:wordWrap w:val="0"/>
              <w:autoSpaceDE w:val="0"/>
              <w:autoSpaceDN w:val="0"/>
              <w:spacing w:before="33" w:after="0" w:line="246" w:lineRule="exact"/>
              <w:ind w:firstLine="100"/>
              <w:jc w:val="both"/>
              <w:rPr>
                <w:sz w:val="18"/>
                <w:szCs w:val="18"/>
              </w:rPr>
            </w:pPr>
            <w:r>
              <w:rPr>
                <w:rFonts w:hint="eastAsia" w:ascii="宋体" w:hAnsi="宋体" w:eastAsia="宋体"/>
                <w:color w:val="000000"/>
                <w:sz w:val="18"/>
                <w:szCs w:val="18"/>
              </w:rPr>
              <w:t>对人民防空工程设计单位未根据勘察成果文件进行工程设计的处罚</w:t>
            </w:r>
          </w:p>
        </w:tc>
      </w:tr>
      <w:tr w14:paraId="29524EF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80" w:hRule="atLeast"/>
        </w:trPr>
        <w:tc>
          <w:tcPr>
            <w:tcW w:w="1160" w:type="dxa"/>
            <w:tcBorders>
              <w:top w:val="single" w:color="000000" w:sz="4" w:space="0"/>
              <w:left w:val="single" w:color="000000" w:sz="4" w:space="0"/>
              <w:bottom w:val="single" w:color="000000" w:sz="4" w:space="0"/>
              <w:right w:val="single" w:color="000000" w:sz="4" w:space="0"/>
            </w:tcBorders>
            <w:vAlign w:val="top"/>
          </w:tcPr>
          <w:p w14:paraId="5C57AFCD">
            <w:pPr>
              <w:wordWrap w:val="0"/>
              <w:autoSpaceDE w:val="0"/>
              <w:autoSpaceDN w:val="0"/>
              <w:spacing w:before="0" w:after="0" w:line="246" w:lineRule="exact"/>
              <w:ind w:firstLine="0"/>
              <w:jc w:val="both"/>
              <w:rPr>
                <w:rFonts w:hint="eastAsia" w:ascii="宋体" w:hAnsi="宋体" w:eastAsia="宋体"/>
                <w:color w:val="000000"/>
                <w:sz w:val="18"/>
                <w:szCs w:val="18"/>
              </w:rPr>
            </w:pPr>
          </w:p>
          <w:p w14:paraId="417E41BC">
            <w:pPr>
              <w:wordWrap w:val="0"/>
              <w:autoSpaceDE w:val="0"/>
              <w:autoSpaceDN w:val="0"/>
              <w:spacing w:before="0" w:after="0" w:line="246" w:lineRule="exact"/>
              <w:ind w:firstLine="0"/>
              <w:jc w:val="both"/>
              <w:rPr>
                <w:rFonts w:hint="eastAsia" w:ascii="宋体" w:hAnsi="宋体" w:eastAsia="宋体"/>
                <w:color w:val="000000"/>
                <w:sz w:val="18"/>
                <w:szCs w:val="18"/>
              </w:rPr>
            </w:pPr>
          </w:p>
          <w:p w14:paraId="3F3E3B51">
            <w:pPr>
              <w:wordWrap w:val="0"/>
              <w:autoSpaceDE w:val="0"/>
              <w:autoSpaceDN w:val="0"/>
              <w:spacing w:before="0" w:after="0" w:line="246" w:lineRule="exact"/>
              <w:ind w:firstLine="0"/>
              <w:jc w:val="both"/>
              <w:rPr>
                <w:rFonts w:hint="eastAsia" w:ascii="宋体" w:hAnsi="宋体" w:eastAsia="宋体"/>
                <w:color w:val="000000"/>
                <w:sz w:val="18"/>
                <w:szCs w:val="18"/>
              </w:rPr>
            </w:pPr>
          </w:p>
          <w:p w14:paraId="29E2F884">
            <w:pPr>
              <w:wordWrap w:val="0"/>
              <w:autoSpaceDE w:val="0"/>
              <w:autoSpaceDN w:val="0"/>
              <w:spacing w:before="0" w:after="0" w:line="246" w:lineRule="exact"/>
              <w:ind w:firstLine="0"/>
              <w:jc w:val="both"/>
              <w:rPr>
                <w:rFonts w:hint="eastAsia" w:ascii="宋体" w:hAnsi="宋体" w:eastAsia="宋体"/>
                <w:color w:val="000000"/>
                <w:sz w:val="18"/>
                <w:szCs w:val="18"/>
              </w:rPr>
            </w:pPr>
          </w:p>
          <w:p w14:paraId="6BF187BE">
            <w:pPr>
              <w:wordWrap w:val="0"/>
              <w:autoSpaceDE w:val="0"/>
              <w:autoSpaceDN w:val="0"/>
              <w:spacing w:before="0" w:after="0" w:line="246" w:lineRule="exact"/>
              <w:ind w:firstLine="0"/>
              <w:jc w:val="both"/>
              <w:rPr>
                <w:rFonts w:hint="eastAsia" w:ascii="宋体" w:hAnsi="宋体" w:eastAsia="宋体"/>
                <w:color w:val="000000"/>
                <w:sz w:val="18"/>
                <w:szCs w:val="18"/>
              </w:rPr>
            </w:pPr>
          </w:p>
          <w:p w14:paraId="5763B8B5">
            <w:pPr>
              <w:wordWrap w:val="0"/>
              <w:autoSpaceDE w:val="0"/>
              <w:autoSpaceDN w:val="0"/>
              <w:spacing w:before="0" w:after="0" w:line="246" w:lineRule="exact"/>
              <w:ind w:firstLine="0"/>
              <w:jc w:val="both"/>
              <w:rPr>
                <w:rFonts w:hint="eastAsia" w:ascii="宋体" w:hAnsi="宋体" w:eastAsia="宋体"/>
                <w:color w:val="000000"/>
                <w:sz w:val="18"/>
                <w:szCs w:val="18"/>
              </w:rPr>
            </w:pPr>
          </w:p>
          <w:p w14:paraId="713E7B6B">
            <w:pPr>
              <w:wordWrap w:val="0"/>
              <w:autoSpaceDE w:val="0"/>
              <w:autoSpaceDN w:val="0"/>
              <w:spacing w:before="181" w:after="0" w:line="246" w:lineRule="exact"/>
              <w:ind w:firstLine="200"/>
              <w:jc w:val="both"/>
              <w:rPr>
                <w:sz w:val="18"/>
                <w:szCs w:val="18"/>
              </w:rPr>
            </w:pPr>
            <w:r>
              <w:rPr>
                <w:rFonts w:hint="eastAsia" w:ascii="宋体" w:hAnsi="宋体" w:eastAsia="宋体"/>
                <w:color w:val="000000"/>
                <w:sz w:val="18"/>
                <w:szCs w:val="18"/>
              </w:rPr>
              <w:t>法律依据</w:t>
            </w:r>
          </w:p>
        </w:tc>
        <w:tc>
          <w:tcPr>
            <w:tcW w:w="12680" w:type="dxa"/>
            <w:gridSpan w:val="3"/>
            <w:tcBorders>
              <w:top w:val="single" w:color="000000" w:sz="4" w:space="0"/>
              <w:left w:val="single" w:color="000000" w:sz="4" w:space="0"/>
              <w:bottom w:val="single" w:color="000000" w:sz="4" w:space="0"/>
              <w:right w:val="single" w:color="000000" w:sz="4" w:space="0"/>
            </w:tcBorders>
            <w:vAlign w:val="top"/>
          </w:tcPr>
          <w:p w14:paraId="68CFC42C">
            <w:pPr>
              <w:wordWrap w:val="0"/>
              <w:autoSpaceDE w:val="0"/>
              <w:autoSpaceDN w:val="0"/>
              <w:spacing w:before="0" w:after="0" w:line="246" w:lineRule="exact"/>
              <w:ind w:firstLine="14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1ADCCF66">
            <w:pPr>
              <w:wordWrap w:val="0"/>
              <w:autoSpaceDE w:val="0"/>
              <w:autoSpaceDN w:val="0"/>
              <w:spacing w:before="0" w:after="0" w:line="246" w:lineRule="exact"/>
              <w:ind w:firstLine="520"/>
              <w:jc w:val="both"/>
              <w:rPr>
                <w:sz w:val="18"/>
                <w:szCs w:val="18"/>
              </w:rPr>
            </w:pPr>
            <w:r>
              <w:rPr>
                <w:rFonts w:hint="eastAsia" w:ascii="宋体" w:hAnsi="宋体" w:eastAsia="宋体"/>
                <w:color w:val="000000"/>
                <w:sz w:val="18"/>
                <w:szCs w:val="18"/>
              </w:rPr>
              <w:t>第二十一条第一款 设计单位应当根据勘察成果文件进行建设工程设计。</w:t>
            </w:r>
          </w:p>
          <w:p w14:paraId="19B3769E">
            <w:pPr>
              <w:wordWrap w:val="0"/>
              <w:autoSpaceDE w:val="0"/>
              <w:autoSpaceDN w:val="0"/>
              <w:spacing w:before="53" w:after="0" w:line="246" w:lineRule="exact"/>
              <w:ind w:firstLine="500"/>
              <w:jc w:val="both"/>
              <w:rPr>
                <w:sz w:val="18"/>
                <w:szCs w:val="18"/>
              </w:rPr>
            </w:pPr>
            <w:r>
              <w:rPr>
                <w:rFonts w:hint="eastAsia" w:ascii="宋体" w:hAnsi="宋体" w:eastAsia="宋体"/>
                <w:color w:val="000000"/>
                <w:sz w:val="18"/>
                <w:szCs w:val="18"/>
              </w:rPr>
              <w:t>第六十三条 违反本条例规定，有下列行为之一的，责令改正，处</w:t>
            </w:r>
            <w:r>
              <w:rPr>
                <w:rFonts w:hint="eastAsia" w:ascii="Calibri" w:hAnsi="Calibri" w:eastAsia="Calibri"/>
                <w:color w:val="000000"/>
                <w:sz w:val="18"/>
                <w:szCs w:val="18"/>
              </w:rPr>
              <w:t>10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万元以下的罚款：</w:t>
            </w:r>
          </w:p>
          <w:p w14:paraId="2F2C62D7">
            <w:pPr>
              <w:wordWrap w:val="0"/>
              <w:autoSpaceDE w:val="0"/>
              <w:autoSpaceDN w:val="0"/>
              <w:spacing w:before="53" w:after="0" w:line="246" w:lineRule="exact"/>
              <w:ind w:firstLine="560"/>
              <w:jc w:val="both"/>
              <w:rPr>
                <w:sz w:val="18"/>
                <w:szCs w:val="18"/>
              </w:rPr>
            </w:pPr>
            <w:r>
              <w:rPr>
                <w:rFonts w:hint="eastAsia" w:ascii="宋体" w:hAnsi="宋体" w:eastAsia="宋体"/>
                <w:color w:val="000000"/>
                <w:sz w:val="18"/>
                <w:szCs w:val="18"/>
              </w:rPr>
              <w:t>（二）设计单位未根据勘察成果文件进行工程设计的；</w:t>
            </w:r>
          </w:p>
          <w:p w14:paraId="3B0BC20E">
            <w:pPr>
              <w:wordWrap w:val="0"/>
              <w:autoSpaceDE w:val="0"/>
              <w:autoSpaceDN w:val="0"/>
              <w:spacing w:before="53" w:after="0" w:line="246" w:lineRule="exact"/>
              <w:ind w:firstLine="500"/>
              <w:jc w:val="both"/>
              <w:rPr>
                <w:sz w:val="18"/>
                <w:szCs w:val="18"/>
              </w:rPr>
            </w:pPr>
            <w:r>
              <w:rPr>
                <w:rFonts w:hint="eastAsia" w:ascii="宋体" w:hAnsi="宋体" w:eastAsia="宋体"/>
                <w:color w:val="000000"/>
                <w:sz w:val="18"/>
                <w:szCs w:val="18"/>
              </w:rPr>
              <w:t>有前款所列行为，造成工程质量事故的，责令停业整顿，降低资质等级；情节严重的，吊销资质证书；造成损失的，依法承担赔偿责任。</w:t>
            </w:r>
          </w:p>
          <w:p w14:paraId="0500181A">
            <w:pPr>
              <w:wordWrap w:val="0"/>
              <w:autoSpaceDE w:val="0"/>
              <w:autoSpaceDN w:val="0"/>
              <w:spacing w:before="0" w:after="0" w:line="246" w:lineRule="exact"/>
              <w:ind w:firstLine="0"/>
              <w:jc w:val="both"/>
              <w:rPr>
                <w:rFonts w:hint="eastAsia" w:ascii="宋体" w:hAnsi="宋体" w:eastAsia="宋体"/>
                <w:color w:val="000000"/>
                <w:sz w:val="18"/>
                <w:szCs w:val="18"/>
              </w:rPr>
            </w:pPr>
          </w:p>
          <w:p w14:paraId="3F6F8E78">
            <w:pPr>
              <w:wordWrap w:val="0"/>
              <w:autoSpaceDE w:val="0"/>
              <w:autoSpaceDN w:val="0"/>
              <w:spacing w:before="87" w:after="0" w:line="246" w:lineRule="exact"/>
              <w:ind w:left="100" w:right="6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55F96CB8">
            <w:pPr>
              <w:wordWrap w:val="0"/>
              <w:autoSpaceDE w:val="0"/>
              <w:autoSpaceDN w:val="0"/>
              <w:spacing w:before="53" w:after="0" w:line="246" w:lineRule="exact"/>
              <w:ind w:left="100" w:right="6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421EA68C">
            <w:pPr>
              <w:wordWrap w:val="0"/>
              <w:autoSpaceDE w:val="0"/>
              <w:autoSpaceDN w:val="0"/>
              <w:spacing w:before="53" w:after="0" w:line="246"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1EB37F6E">
            <w:pPr>
              <w:wordWrap w:val="0"/>
              <w:autoSpaceDE w:val="0"/>
              <w:autoSpaceDN w:val="0"/>
              <w:spacing w:before="0" w:after="0" w:line="246" w:lineRule="exact"/>
              <w:ind w:left="100" w:right="4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69B63C5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160" w:type="dxa"/>
            <w:tcBorders>
              <w:top w:val="single" w:color="000000" w:sz="4" w:space="0"/>
              <w:left w:val="single" w:color="000000" w:sz="4" w:space="0"/>
              <w:bottom w:val="single" w:color="000000" w:sz="4" w:space="0"/>
              <w:right w:val="single" w:color="000000" w:sz="4" w:space="0"/>
            </w:tcBorders>
            <w:vAlign w:val="top"/>
          </w:tcPr>
          <w:p w14:paraId="2C9E4548">
            <w:pPr>
              <w:wordWrap w:val="0"/>
              <w:autoSpaceDE w:val="0"/>
              <w:autoSpaceDN w:val="0"/>
              <w:spacing w:before="0" w:after="0" w:line="240" w:lineRule="exact"/>
              <w:ind w:firstLine="200"/>
              <w:jc w:val="both"/>
              <w:rPr>
                <w:sz w:val="18"/>
                <w:szCs w:val="18"/>
              </w:rPr>
            </w:pPr>
            <w:r>
              <w:rPr>
                <w:rFonts w:hint="eastAsia" w:ascii="宋体" w:hAnsi="宋体" w:eastAsia="宋体"/>
                <w:color w:val="000000"/>
                <w:sz w:val="18"/>
                <w:szCs w:val="18"/>
              </w:rPr>
              <w:t>处罚种类</w:t>
            </w:r>
          </w:p>
        </w:tc>
        <w:tc>
          <w:tcPr>
            <w:tcW w:w="12680" w:type="dxa"/>
            <w:gridSpan w:val="3"/>
            <w:tcBorders>
              <w:top w:val="single" w:color="000000" w:sz="4" w:space="0"/>
              <w:left w:val="single" w:color="000000" w:sz="4" w:space="0"/>
              <w:bottom w:val="single" w:color="000000" w:sz="4" w:space="0"/>
              <w:right w:val="single" w:color="000000" w:sz="4" w:space="0"/>
            </w:tcBorders>
            <w:vAlign w:val="top"/>
          </w:tcPr>
          <w:p w14:paraId="4D49B2EF">
            <w:pPr>
              <w:wordWrap w:val="0"/>
              <w:autoSpaceDE w:val="0"/>
              <w:autoSpaceDN w:val="0"/>
              <w:spacing w:before="13" w:after="0" w:line="246" w:lineRule="exact"/>
              <w:ind w:firstLine="80"/>
              <w:jc w:val="both"/>
              <w:rPr>
                <w:sz w:val="18"/>
                <w:szCs w:val="18"/>
              </w:rPr>
            </w:pPr>
            <w:r>
              <w:rPr>
                <w:rFonts w:hint="eastAsia" w:ascii="宋体" w:hAnsi="宋体" w:eastAsia="宋体"/>
                <w:color w:val="000000"/>
                <w:sz w:val="18"/>
                <w:szCs w:val="18"/>
              </w:rPr>
              <w:t>罚款</w:t>
            </w:r>
          </w:p>
        </w:tc>
      </w:tr>
      <w:tr w14:paraId="6BD33B7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3840" w:type="dxa"/>
            <w:gridSpan w:val="4"/>
            <w:tcBorders>
              <w:top w:val="single" w:color="000000" w:sz="4" w:space="0"/>
              <w:left w:val="single" w:color="000000" w:sz="4" w:space="0"/>
              <w:bottom w:val="single" w:color="000000" w:sz="4" w:space="0"/>
              <w:right w:val="single" w:color="000000" w:sz="4" w:space="0"/>
            </w:tcBorders>
            <w:vAlign w:val="top"/>
          </w:tcPr>
          <w:p w14:paraId="360216EE">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自由裁量基准</w:t>
            </w:r>
          </w:p>
        </w:tc>
      </w:tr>
      <w:tr w14:paraId="76C4556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160" w:type="dxa"/>
            <w:vMerge w:val="restart"/>
            <w:tcBorders>
              <w:top w:val="single" w:color="000000" w:sz="4" w:space="0"/>
              <w:left w:val="single" w:color="000000" w:sz="4" w:space="0"/>
              <w:bottom w:val="single" w:color="000000" w:sz="4" w:space="0"/>
              <w:right w:val="single" w:color="000000" w:sz="4" w:space="0"/>
            </w:tcBorders>
            <w:vAlign w:val="top"/>
          </w:tcPr>
          <w:p w14:paraId="4B633330">
            <w:pPr>
              <w:wordWrap w:val="0"/>
              <w:autoSpaceDE w:val="0"/>
              <w:autoSpaceDN w:val="0"/>
              <w:spacing w:before="0" w:after="0" w:line="246" w:lineRule="exact"/>
              <w:ind w:firstLine="0"/>
              <w:jc w:val="both"/>
              <w:rPr>
                <w:rFonts w:hint="eastAsia" w:ascii="宋体" w:hAnsi="宋体" w:eastAsia="宋体"/>
                <w:color w:val="000000"/>
                <w:sz w:val="18"/>
                <w:szCs w:val="18"/>
              </w:rPr>
            </w:pPr>
          </w:p>
          <w:p w14:paraId="0CA02B5F">
            <w:pPr>
              <w:wordWrap w:val="0"/>
              <w:autoSpaceDE w:val="0"/>
              <w:autoSpaceDN w:val="0"/>
              <w:spacing w:before="0" w:after="0" w:line="246" w:lineRule="exact"/>
              <w:ind w:firstLine="0"/>
              <w:jc w:val="both"/>
              <w:rPr>
                <w:rFonts w:hint="eastAsia" w:ascii="宋体" w:hAnsi="宋体" w:eastAsia="宋体"/>
                <w:color w:val="000000"/>
                <w:sz w:val="18"/>
                <w:szCs w:val="18"/>
              </w:rPr>
            </w:pPr>
          </w:p>
          <w:p w14:paraId="4E1A7C46">
            <w:pPr>
              <w:wordWrap w:val="0"/>
              <w:autoSpaceDE w:val="0"/>
              <w:autoSpaceDN w:val="0"/>
              <w:spacing w:before="0" w:after="0" w:line="246" w:lineRule="exact"/>
              <w:ind w:firstLine="0"/>
              <w:jc w:val="both"/>
              <w:rPr>
                <w:rFonts w:hint="eastAsia" w:ascii="宋体" w:hAnsi="宋体" w:eastAsia="宋体"/>
                <w:color w:val="000000"/>
                <w:sz w:val="18"/>
                <w:szCs w:val="18"/>
              </w:rPr>
            </w:pPr>
          </w:p>
          <w:p w14:paraId="428F0BF3">
            <w:pPr>
              <w:wordWrap w:val="0"/>
              <w:autoSpaceDE w:val="0"/>
              <w:autoSpaceDN w:val="0"/>
              <w:spacing w:before="80" w:after="0" w:line="246" w:lineRule="exact"/>
              <w:jc w:val="center"/>
              <w:rPr>
                <w:sz w:val="18"/>
                <w:szCs w:val="18"/>
              </w:rPr>
            </w:pPr>
            <w:r>
              <w:rPr>
                <w:rFonts w:hint="eastAsia" w:ascii="宋体" w:hAnsi="宋体" w:eastAsia="宋体"/>
                <w:color w:val="000000"/>
                <w:sz w:val="18"/>
                <w:szCs w:val="18"/>
              </w:rPr>
              <w:t>情形描述</w:t>
            </w:r>
          </w:p>
        </w:tc>
        <w:tc>
          <w:tcPr>
            <w:tcW w:w="5860" w:type="dxa"/>
            <w:tcBorders>
              <w:top w:val="single" w:color="000000" w:sz="4" w:space="0"/>
              <w:left w:val="single" w:color="000000" w:sz="4" w:space="0"/>
              <w:bottom w:val="single" w:color="000000" w:sz="4" w:space="0"/>
              <w:right w:val="single" w:color="000000" w:sz="4" w:space="0"/>
            </w:tcBorders>
            <w:vAlign w:val="top"/>
          </w:tcPr>
          <w:p w14:paraId="70A1949B">
            <w:pPr>
              <w:wordWrap w:val="0"/>
              <w:autoSpaceDE w:val="0"/>
              <w:autoSpaceDN w:val="0"/>
              <w:spacing w:before="220" w:after="0" w:line="246" w:lineRule="exact"/>
              <w:ind w:firstLine="100"/>
              <w:jc w:val="both"/>
              <w:rPr>
                <w:sz w:val="18"/>
                <w:szCs w:val="18"/>
              </w:rPr>
            </w:pPr>
            <w:r>
              <w:rPr>
                <w:rFonts w:hint="eastAsia" w:ascii="宋体" w:hAnsi="宋体" w:eastAsia="宋体"/>
                <w:color w:val="000000"/>
                <w:sz w:val="18"/>
                <w:szCs w:val="18"/>
              </w:rPr>
              <w:t>未造成设计缺陷的</w:t>
            </w:r>
          </w:p>
        </w:tc>
        <w:tc>
          <w:tcPr>
            <w:tcW w:w="1160" w:type="dxa"/>
            <w:vMerge w:val="restart"/>
            <w:tcBorders>
              <w:top w:val="single" w:color="000000" w:sz="4" w:space="0"/>
              <w:left w:val="single" w:color="000000" w:sz="4" w:space="0"/>
              <w:bottom w:val="single" w:color="000000" w:sz="4" w:space="0"/>
              <w:right w:val="single" w:color="000000" w:sz="4" w:space="0"/>
            </w:tcBorders>
            <w:vAlign w:val="top"/>
          </w:tcPr>
          <w:p w14:paraId="670EF9EC">
            <w:pPr>
              <w:wordWrap w:val="0"/>
              <w:autoSpaceDE w:val="0"/>
              <w:autoSpaceDN w:val="0"/>
              <w:spacing w:before="0" w:after="0" w:line="246" w:lineRule="exact"/>
              <w:ind w:firstLine="0"/>
              <w:jc w:val="both"/>
              <w:rPr>
                <w:rFonts w:hint="eastAsia" w:ascii="宋体" w:hAnsi="宋体" w:eastAsia="宋体"/>
                <w:color w:val="000000"/>
                <w:sz w:val="18"/>
                <w:szCs w:val="18"/>
              </w:rPr>
            </w:pPr>
          </w:p>
          <w:p w14:paraId="0D39D036">
            <w:pPr>
              <w:wordWrap w:val="0"/>
              <w:autoSpaceDE w:val="0"/>
              <w:autoSpaceDN w:val="0"/>
              <w:spacing w:before="0" w:after="0" w:line="246" w:lineRule="exact"/>
              <w:ind w:firstLine="0"/>
              <w:jc w:val="both"/>
              <w:rPr>
                <w:rFonts w:hint="eastAsia" w:ascii="宋体" w:hAnsi="宋体" w:eastAsia="宋体"/>
                <w:color w:val="000000"/>
                <w:sz w:val="18"/>
                <w:szCs w:val="18"/>
              </w:rPr>
            </w:pPr>
          </w:p>
          <w:p w14:paraId="365C6E72">
            <w:pPr>
              <w:wordWrap w:val="0"/>
              <w:autoSpaceDE w:val="0"/>
              <w:autoSpaceDN w:val="0"/>
              <w:spacing w:before="0" w:after="0" w:line="246" w:lineRule="exact"/>
              <w:ind w:firstLine="0"/>
              <w:jc w:val="both"/>
              <w:rPr>
                <w:rFonts w:hint="eastAsia" w:ascii="宋体" w:hAnsi="宋体" w:eastAsia="宋体"/>
                <w:color w:val="000000"/>
                <w:sz w:val="18"/>
                <w:szCs w:val="18"/>
              </w:rPr>
            </w:pPr>
          </w:p>
          <w:p w14:paraId="0F45930C">
            <w:pPr>
              <w:wordWrap w:val="0"/>
              <w:autoSpaceDE w:val="0"/>
              <w:autoSpaceDN w:val="0"/>
              <w:spacing w:before="60" w:after="0" w:line="246" w:lineRule="exact"/>
              <w:ind w:firstLine="200"/>
              <w:jc w:val="both"/>
              <w:rPr>
                <w:sz w:val="18"/>
                <w:szCs w:val="18"/>
              </w:rPr>
            </w:pPr>
            <w:r>
              <w:rPr>
                <w:rFonts w:hint="eastAsia" w:ascii="宋体" w:hAnsi="宋体" w:eastAsia="宋体"/>
                <w:color w:val="000000"/>
                <w:sz w:val="18"/>
                <w:szCs w:val="18"/>
              </w:rPr>
              <w:t>裁量幅度</w:t>
            </w:r>
          </w:p>
        </w:tc>
        <w:tc>
          <w:tcPr>
            <w:tcW w:w="5660" w:type="dxa"/>
            <w:tcBorders>
              <w:top w:val="single" w:color="000000" w:sz="4" w:space="0"/>
              <w:left w:val="single" w:color="000000" w:sz="4" w:space="0"/>
              <w:bottom w:val="single" w:color="000000" w:sz="4" w:space="0"/>
              <w:right w:val="single" w:color="000000" w:sz="4" w:space="0"/>
            </w:tcBorders>
            <w:vAlign w:val="top"/>
          </w:tcPr>
          <w:p w14:paraId="637759C7">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10</w:t>
            </w:r>
            <w:r>
              <w:rPr>
                <w:rFonts w:hint="eastAsia" w:ascii="宋体" w:hAnsi="宋体" w:eastAsia="宋体"/>
                <w:color w:val="000000"/>
                <w:sz w:val="18"/>
                <w:szCs w:val="18"/>
              </w:rPr>
              <w:t>万元以上</w:t>
            </w:r>
            <w:r>
              <w:rPr>
                <w:rFonts w:hint="eastAsia" w:ascii="Calibri" w:hAnsi="Calibri" w:eastAsia="Calibri"/>
                <w:color w:val="000000"/>
                <w:sz w:val="18"/>
                <w:szCs w:val="18"/>
              </w:rPr>
              <w:t>15</w:t>
            </w:r>
            <w:r>
              <w:rPr>
                <w:rFonts w:hint="eastAsia" w:ascii="宋体" w:hAnsi="宋体" w:eastAsia="宋体"/>
                <w:color w:val="000000"/>
                <w:sz w:val="18"/>
                <w:szCs w:val="18"/>
              </w:rPr>
              <w:t>万元以下罚款</w:t>
            </w:r>
          </w:p>
          <w:p w14:paraId="25C2DD2F">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对个人：单位罚款数额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46B3596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160" w:type="dxa"/>
            <w:vMerge w:val="continue"/>
            <w:tcBorders>
              <w:top w:val="single" w:color="000000" w:sz="4" w:space="0"/>
              <w:left w:val="single" w:color="000000" w:sz="4" w:space="0"/>
              <w:bottom w:val="single" w:color="000000" w:sz="4" w:space="0"/>
              <w:right w:val="single" w:color="000000" w:sz="4" w:space="0"/>
            </w:tcBorders>
          </w:tcPr>
          <w:p w14:paraId="1B3FA59E">
            <w:pPr>
              <w:rPr>
                <w:sz w:val="18"/>
                <w:szCs w:val="18"/>
              </w:rPr>
            </w:pPr>
          </w:p>
        </w:tc>
        <w:tc>
          <w:tcPr>
            <w:tcW w:w="5860" w:type="dxa"/>
            <w:tcBorders>
              <w:top w:val="single" w:color="000000" w:sz="4" w:space="0"/>
              <w:left w:val="single" w:color="000000" w:sz="4" w:space="0"/>
              <w:bottom w:val="single" w:color="000000" w:sz="4" w:space="0"/>
              <w:right w:val="single" w:color="000000" w:sz="4" w:space="0"/>
            </w:tcBorders>
            <w:vAlign w:val="top"/>
          </w:tcPr>
          <w:p w14:paraId="39304824">
            <w:pPr>
              <w:wordWrap w:val="0"/>
              <w:autoSpaceDE w:val="0"/>
              <w:autoSpaceDN w:val="0"/>
              <w:spacing w:before="180" w:after="0" w:line="246" w:lineRule="exact"/>
              <w:ind w:firstLine="120"/>
              <w:jc w:val="both"/>
              <w:rPr>
                <w:sz w:val="18"/>
                <w:szCs w:val="18"/>
              </w:rPr>
            </w:pPr>
            <w:r>
              <w:rPr>
                <w:rFonts w:hint="eastAsia" w:ascii="宋体" w:hAnsi="宋体" w:eastAsia="宋体"/>
                <w:color w:val="000000"/>
                <w:sz w:val="18"/>
                <w:szCs w:val="18"/>
              </w:rPr>
              <w:t>造成设计缺陷但未造成质量事故的</w:t>
            </w:r>
          </w:p>
        </w:tc>
        <w:tc>
          <w:tcPr>
            <w:tcW w:w="1160" w:type="dxa"/>
            <w:vMerge w:val="continue"/>
            <w:tcBorders>
              <w:top w:val="single" w:color="000000" w:sz="4" w:space="0"/>
              <w:left w:val="single" w:color="000000" w:sz="4" w:space="0"/>
              <w:bottom w:val="single" w:color="000000" w:sz="4" w:space="0"/>
              <w:right w:val="single" w:color="000000" w:sz="4" w:space="0"/>
            </w:tcBorders>
          </w:tcPr>
          <w:p w14:paraId="2E11C8FC">
            <w:pPr>
              <w:rPr>
                <w:sz w:val="18"/>
                <w:szCs w:val="18"/>
              </w:rPr>
            </w:pPr>
          </w:p>
        </w:tc>
        <w:tc>
          <w:tcPr>
            <w:tcW w:w="5660" w:type="dxa"/>
            <w:tcBorders>
              <w:top w:val="single" w:color="000000" w:sz="4" w:space="0"/>
              <w:left w:val="single" w:color="000000" w:sz="4" w:space="0"/>
              <w:bottom w:val="single" w:color="000000" w:sz="4" w:space="0"/>
              <w:right w:val="single" w:color="000000" w:sz="4" w:space="0"/>
            </w:tcBorders>
            <w:vAlign w:val="top"/>
          </w:tcPr>
          <w:p w14:paraId="237631CA">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15</w:t>
            </w:r>
            <w:r>
              <w:rPr>
                <w:rFonts w:hint="eastAsia" w:ascii="宋体" w:hAnsi="宋体" w:eastAsia="宋体"/>
                <w:color w:val="000000"/>
                <w:sz w:val="18"/>
                <w:szCs w:val="18"/>
              </w:rPr>
              <w:t>万元以上</w:t>
            </w:r>
            <w:r>
              <w:rPr>
                <w:rFonts w:hint="eastAsia" w:ascii="Calibri" w:hAnsi="Calibri" w:eastAsia="Calibri"/>
                <w:color w:val="000000"/>
                <w:sz w:val="18"/>
                <w:szCs w:val="18"/>
              </w:rPr>
              <w:t>20</w:t>
            </w:r>
            <w:r>
              <w:rPr>
                <w:rFonts w:hint="eastAsia" w:ascii="宋体" w:hAnsi="宋体" w:eastAsia="宋体"/>
                <w:color w:val="000000"/>
                <w:sz w:val="18"/>
                <w:szCs w:val="18"/>
              </w:rPr>
              <w:t>万元以下罚款</w:t>
            </w:r>
          </w:p>
          <w:p w14:paraId="609FE07E">
            <w:pPr>
              <w:wordWrap w:val="0"/>
              <w:autoSpaceDE w:val="0"/>
              <w:autoSpaceDN w:val="0"/>
              <w:spacing w:before="0" w:after="0" w:line="240" w:lineRule="exact"/>
              <w:ind w:firstLine="100"/>
              <w:jc w:val="both"/>
              <w:rPr>
                <w:sz w:val="18"/>
                <w:szCs w:val="18"/>
              </w:rPr>
            </w:pPr>
            <w:r>
              <w:rPr>
                <w:rFonts w:hint="eastAsia" w:ascii="宋体" w:hAnsi="宋体" w:eastAsia="宋体"/>
                <w:color w:val="000000"/>
                <w:sz w:val="18"/>
                <w:szCs w:val="18"/>
              </w:rPr>
              <w:t>对个人：单位罚款数额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5786B14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160" w:type="dxa"/>
            <w:vMerge w:val="continue"/>
            <w:tcBorders>
              <w:top w:val="single" w:color="000000" w:sz="4" w:space="0"/>
              <w:left w:val="single" w:color="000000" w:sz="4" w:space="0"/>
              <w:bottom w:val="single" w:color="000000" w:sz="4" w:space="0"/>
              <w:right w:val="single" w:color="000000" w:sz="4" w:space="0"/>
            </w:tcBorders>
          </w:tcPr>
          <w:p w14:paraId="534AE146">
            <w:pPr>
              <w:rPr>
                <w:sz w:val="18"/>
                <w:szCs w:val="18"/>
              </w:rPr>
            </w:pPr>
          </w:p>
        </w:tc>
        <w:tc>
          <w:tcPr>
            <w:tcW w:w="5860" w:type="dxa"/>
            <w:tcBorders>
              <w:top w:val="single" w:color="000000" w:sz="4" w:space="0"/>
              <w:left w:val="single" w:color="000000" w:sz="4" w:space="0"/>
              <w:bottom w:val="single" w:color="000000" w:sz="4" w:space="0"/>
              <w:right w:val="single" w:color="000000" w:sz="4" w:space="0"/>
            </w:tcBorders>
            <w:vAlign w:val="top"/>
          </w:tcPr>
          <w:p w14:paraId="0B0095D4">
            <w:pPr>
              <w:wordWrap w:val="0"/>
              <w:autoSpaceDE w:val="0"/>
              <w:autoSpaceDN w:val="0"/>
              <w:spacing w:before="220" w:after="0" w:line="246" w:lineRule="exact"/>
              <w:ind w:firstLine="100"/>
              <w:jc w:val="both"/>
              <w:rPr>
                <w:sz w:val="18"/>
                <w:szCs w:val="18"/>
              </w:rPr>
            </w:pPr>
            <w:r>
              <w:rPr>
                <w:rFonts w:hint="eastAsia" w:ascii="宋体" w:hAnsi="宋体" w:eastAsia="宋体"/>
                <w:color w:val="000000"/>
                <w:sz w:val="18"/>
                <w:szCs w:val="18"/>
              </w:rPr>
              <w:t>造成质量安全事故的</w:t>
            </w:r>
          </w:p>
        </w:tc>
        <w:tc>
          <w:tcPr>
            <w:tcW w:w="1160" w:type="dxa"/>
            <w:vMerge w:val="continue"/>
            <w:tcBorders>
              <w:top w:val="single" w:color="000000" w:sz="4" w:space="0"/>
              <w:left w:val="single" w:color="000000" w:sz="4" w:space="0"/>
              <w:bottom w:val="single" w:color="000000" w:sz="4" w:space="0"/>
              <w:right w:val="single" w:color="000000" w:sz="4" w:space="0"/>
            </w:tcBorders>
          </w:tcPr>
          <w:p w14:paraId="121E46BA">
            <w:pPr>
              <w:rPr>
                <w:sz w:val="18"/>
                <w:szCs w:val="18"/>
              </w:rPr>
            </w:pPr>
          </w:p>
        </w:tc>
        <w:tc>
          <w:tcPr>
            <w:tcW w:w="5660" w:type="dxa"/>
            <w:tcBorders>
              <w:top w:val="single" w:color="000000" w:sz="4" w:space="0"/>
              <w:left w:val="single" w:color="000000" w:sz="4" w:space="0"/>
              <w:bottom w:val="single" w:color="000000" w:sz="4" w:space="0"/>
              <w:right w:val="single" w:color="000000" w:sz="4" w:space="0"/>
            </w:tcBorders>
            <w:vAlign w:val="top"/>
          </w:tcPr>
          <w:p w14:paraId="234EA934">
            <w:pPr>
              <w:wordWrap w:val="0"/>
              <w:autoSpaceDE w:val="0"/>
              <w:autoSpaceDN w:val="0"/>
              <w:spacing w:before="73" w:after="0" w:line="246" w:lineRule="exact"/>
              <w:ind w:firstLine="100"/>
              <w:jc w:val="both"/>
              <w:rPr>
                <w:sz w:val="18"/>
                <w:szCs w:val="18"/>
              </w:rPr>
            </w:pPr>
            <w:r>
              <w:rPr>
                <w:rFonts w:hint="eastAsia" w:ascii="宋体" w:hAnsi="宋体" w:eastAsia="宋体"/>
                <w:color w:val="000000"/>
                <w:sz w:val="18"/>
                <w:szCs w:val="18"/>
              </w:rPr>
              <w:t>对单位：</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万元以下罚款</w:t>
            </w:r>
          </w:p>
          <w:p w14:paraId="48E669AF">
            <w:pPr>
              <w:wordWrap w:val="0"/>
              <w:autoSpaceDE w:val="0"/>
              <w:autoSpaceDN w:val="0"/>
              <w:spacing w:before="0" w:after="0" w:line="240" w:lineRule="exact"/>
              <w:ind w:firstLine="100"/>
              <w:jc w:val="both"/>
              <w:rPr>
                <w:sz w:val="18"/>
                <w:szCs w:val="18"/>
              </w:rPr>
            </w:pPr>
            <w:r>
              <w:rPr>
                <w:rFonts w:hint="eastAsia" w:ascii="宋体" w:hAnsi="宋体" w:eastAsia="宋体"/>
                <w:color w:val="000000"/>
                <w:sz w:val="18"/>
                <w:szCs w:val="18"/>
              </w:rPr>
              <w:t>对个人：单位罚款数额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07B87924">
      <w:pPr>
        <w:rPr>
          <w:sz w:val="18"/>
          <w:szCs w:val="18"/>
        </w:rPr>
      </w:pPr>
    </w:p>
    <w:p w14:paraId="2D19EB1A">
      <w:pPr>
        <w:rPr>
          <w:sz w:val="18"/>
          <w:szCs w:val="18"/>
        </w:rPr>
      </w:pPr>
    </w:p>
    <w:tbl>
      <w:tblPr>
        <w:tblStyle w:val="15"/>
        <w:tblW w:w="13743" w:type="dxa"/>
        <w:tblInd w:w="22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78"/>
        <w:gridCol w:w="5921"/>
        <w:gridCol w:w="1041"/>
        <w:gridCol w:w="5603"/>
      </w:tblGrid>
      <w:tr w14:paraId="25E5750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60" w:hRule="atLeast"/>
        </w:trPr>
        <w:tc>
          <w:tcPr>
            <w:tcW w:w="1178" w:type="dxa"/>
            <w:tcBorders>
              <w:top w:val="single" w:color="000000" w:sz="4" w:space="0"/>
              <w:left w:val="single" w:color="000000" w:sz="4" w:space="0"/>
              <w:bottom w:val="single" w:color="000000" w:sz="4" w:space="0"/>
              <w:right w:val="single" w:color="000000" w:sz="4" w:space="0"/>
            </w:tcBorders>
            <w:vAlign w:val="top"/>
          </w:tcPr>
          <w:p w14:paraId="310225A6">
            <w:pPr>
              <w:wordWrap w:val="0"/>
              <w:autoSpaceDE w:val="0"/>
              <w:autoSpaceDN w:val="0"/>
              <w:spacing w:before="53" w:after="0" w:line="246" w:lineRule="exact"/>
              <w:jc w:val="center"/>
              <w:rPr>
                <w:sz w:val="18"/>
                <w:szCs w:val="18"/>
              </w:rPr>
            </w:pPr>
            <w:r>
              <w:rPr>
                <w:rFonts w:hint="eastAsia" w:ascii="宋体" w:hAnsi="宋体" w:eastAsia="宋体"/>
                <w:color w:val="000000"/>
                <w:sz w:val="18"/>
                <w:szCs w:val="18"/>
              </w:rPr>
              <w:t>序号</w:t>
            </w:r>
          </w:p>
        </w:tc>
        <w:tc>
          <w:tcPr>
            <w:tcW w:w="12565" w:type="dxa"/>
            <w:gridSpan w:val="3"/>
            <w:tcBorders>
              <w:top w:val="single" w:color="000000" w:sz="4" w:space="0"/>
              <w:left w:val="single" w:color="000000" w:sz="4" w:space="0"/>
              <w:bottom w:val="single" w:color="000000" w:sz="4" w:space="0"/>
              <w:right w:val="single" w:color="000000" w:sz="4" w:space="0"/>
            </w:tcBorders>
            <w:vAlign w:val="top"/>
          </w:tcPr>
          <w:p w14:paraId="5C75DCC2">
            <w:pPr>
              <w:wordWrap w:val="0"/>
              <w:autoSpaceDE w:val="0"/>
              <w:autoSpaceDN w:val="0"/>
              <w:spacing w:before="73" w:after="0" w:line="246" w:lineRule="exact"/>
              <w:ind w:firstLine="60"/>
              <w:jc w:val="both"/>
              <w:rPr>
                <w:rFonts w:hint="eastAsia" w:eastAsia="宋体"/>
                <w:sz w:val="18"/>
                <w:szCs w:val="18"/>
                <w:lang w:eastAsia="zh-CN"/>
              </w:rPr>
            </w:pPr>
            <w:r>
              <w:rPr>
                <w:rFonts w:hint="eastAsia" w:ascii="Calibri" w:hAnsi="Calibri" w:eastAsia="Calibri"/>
                <w:color w:val="000000"/>
                <w:sz w:val="18"/>
                <w:szCs w:val="18"/>
              </w:rPr>
              <w:t>2</w:t>
            </w:r>
            <w:r>
              <w:rPr>
                <w:rFonts w:hint="eastAsia" w:ascii="Calibri" w:hAnsi="Calibri"/>
                <w:color w:val="000000"/>
                <w:sz w:val="18"/>
                <w:szCs w:val="18"/>
                <w:lang w:val="en-US" w:eastAsia="zh-CN"/>
              </w:rPr>
              <w:t>0</w:t>
            </w:r>
          </w:p>
        </w:tc>
      </w:tr>
      <w:tr w14:paraId="7D748D0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78" w:type="dxa"/>
            <w:tcBorders>
              <w:top w:val="single" w:color="000000" w:sz="4" w:space="0"/>
              <w:left w:val="single" w:color="000000" w:sz="4" w:space="0"/>
              <w:bottom w:val="single" w:color="000000" w:sz="4" w:space="0"/>
              <w:right w:val="single" w:color="000000" w:sz="4" w:space="0"/>
            </w:tcBorders>
            <w:vAlign w:val="top"/>
          </w:tcPr>
          <w:p w14:paraId="161A72AE">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编号</w:t>
            </w:r>
          </w:p>
        </w:tc>
        <w:tc>
          <w:tcPr>
            <w:tcW w:w="12565" w:type="dxa"/>
            <w:gridSpan w:val="3"/>
            <w:tcBorders>
              <w:top w:val="single" w:color="000000" w:sz="4" w:space="0"/>
              <w:left w:val="single" w:color="000000" w:sz="4" w:space="0"/>
              <w:bottom w:val="single" w:color="000000" w:sz="4" w:space="0"/>
              <w:right w:val="single" w:color="000000" w:sz="4" w:space="0"/>
            </w:tcBorders>
            <w:vAlign w:val="top"/>
          </w:tcPr>
          <w:p w14:paraId="18863551">
            <w:pPr>
              <w:wordWrap w:val="0"/>
              <w:autoSpaceDE w:val="0"/>
              <w:autoSpaceDN w:val="0"/>
              <w:spacing w:before="33" w:after="0" w:line="246" w:lineRule="exact"/>
              <w:ind w:firstLine="60"/>
              <w:jc w:val="both"/>
              <w:rPr>
                <w:sz w:val="18"/>
                <w:szCs w:val="18"/>
              </w:rPr>
            </w:pPr>
            <w:r>
              <w:rPr>
                <w:rFonts w:hint="eastAsia" w:ascii="Calibri" w:hAnsi="Calibri" w:eastAsia="Calibri"/>
                <w:color w:val="000000"/>
                <w:sz w:val="18"/>
                <w:szCs w:val="18"/>
              </w:rPr>
              <w:t>320280024000</w:t>
            </w:r>
          </w:p>
        </w:tc>
      </w:tr>
      <w:tr w14:paraId="16F7E58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78" w:type="dxa"/>
            <w:tcBorders>
              <w:top w:val="single" w:color="000000" w:sz="4" w:space="0"/>
              <w:left w:val="single" w:color="000000" w:sz="4" w:space="0"/>
              <w:bottom w:val="single" w:color="000000" w:sz="4" w:space="0"/>
              <w:right w:val="single" w:color="000000" w:sz="4" w:space="0"/>
            </w:tcBorders>
            <w:vAlign w:val="top"/>
          </w:tcPr>
          <w:p w14:paraId="55FA2212">
            <w:pPr>
              <w:wordWrap w:val="0"/>
              <w:autoSpaceDE w:val="0"/>
              <w:autoSpaceDN w:val="0"/>
              <w:spacing w:before="13" w:after="0" w:line="246" w:lineRule="exact"/>
              <w:ind w:firstLine="220"/>
              <w:jc w:val="both"/>
              <w:rPr>
                <w:sz w:val="18"/>
                <w:szCs w:val="18"/>
              </w:rPr>
            </w:pPr>
            <w:r>
              <w:rPr>
                <w:rFonts w:hint="eastAsia" w:ascii="宋体" w:hAnsi="宋体" w:eastAsia="宋体"/>
                <w:color w:val="000000"/>
                <w:sz w:val="18"/>
                <w:szCs w:val="18"/>
              </w:rPr>
              <w:t>行为名称</w:t>
            </w:r>
          </w:p>
        </w:tc>
        <w:tc>
          <w:tcPr>
            <w:tcW w:w="12565" w:type="dxa"/>
            <w:gridSpan w:val="3"/>
            <w:tcBorders>
              <w:top w:val="single" w:color="000000" w:sz="4" w:space="0"/>
              <w:left w:val="single" w:color="000000" w:sz="4" w:space="0"/>
              <w:bottom w:val="single" w:color="000000" w:sz="4" w:space="0"/>
              <w:right w:val="single" w:color="000000" w:sz="4" w:space="0"/>
            </w:tcBorders>
            <w:vAlign w:val="top"/>
          </w:tcPr>
          <w:p w14:paraId="7C0B72C1">
            <w:pPr>
              <w:wordWrap w:val="0"/>
              <w:autoSpaceDE w:val="0"/>
              <w:autoSpaceDN w:val="0"/>
              <w:spacing w:before="33" w:after="0" w:line="246" w:lineRule="exact"/>
              <w:ind w:firstLine="80"/>
              <w:jc w:val="both"/>
              <w:rPr>
                <w:sz w:val="18"/>
                <w:szCs w:val="18"/>
              </w:rPr>
            </w:pPr>
            <w:r>
              <w:rPr>
                <w:rFonts w:hint="eastAsia" w:ascii="宋体" w:hAnsi="宋体" w:eastAsia="宋体"/>
                <w:color w:val="000000"/>
                <w:sz w:val="18"/>
                <w:szCs w:val="18"/>
              </w:rPr>
              <w:t>对不按照国家规定的防护标准和质量标准修建人民防空工程的处罚</w:t>
            </w:r>
          </w:p>
        </w:tc>
      </w:tr>
      <w:tr w14:paraId="47F3C57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40" w:hRule="atLeast"/>
        </w:trPr>
        <w:tc>
          <w:tcPr>
            <w:tcW w:w="1178" w:type="dxa"/>
            <w:tcBorders>
              <w:top w:val="single" w:color="000000" w:sz="4" w:space="0"/>
              <w:left w:val="single" w:color="000000" w:sz="4" w:space="0"/>
              <w:bottom w:val="single" w:color="000000" w:sz="4" w:space="0"/>
              <w:right w:val="single" w:color="000000" w:sz="4" w:space="0"/>
            </w:tcBorders>
            <w:vAlign w:val="top"/>
          </w:tcPr>
          <w:p w14:paraId="10443D8F">
            <w:pPr>
              <w:wordWrap w:val="0"/>
              <w:autoSpaceDE w:val="0"/>
              <w:autoSpaceDN w:val="0"/>
              <w:spacing w:before="0" w:after="0" w:line="246" w:lineRule="exact"/>
              <w:ind w:firstLine="0"/>
              <w:jc w:val="both"/>
              <w:rPr>
                <w:rFonts w:hint="eastAsia" w:ascii="宋体" w:hAnsi="宋体" w:eastAsia="宋体"/>
                <w:color w:val="000000"/>
                <w:sz w:val="18"/>
                <w:szCs w:val="18"/>
              </w:rPr>
            </w:pPr>
          </w:p>
          <w:p w14:paraId="0987DDCA">
            <w:pPr>
              <w:wordWrap w:val="0"/>
              <w:autoSpaceDE w:val="0"/>
              <w:autoSpaceDN w:val="0"/>
              <w:spacing w:before="0" w:after="0" w:line="246" w:lineRule="exact"/>
              <w:ind w:firstLine="0"/>
              <w:jc w:val="both"/>
              <w:rPr>
                <w:rFonts w:hint="eastAsia" w:ascii="宋体" w:hAnsi="宋体" w:eastAsia="宋体"/>
                <w:color w:val="000000"/>
                <w:sz w:val="18"/>
                <w:szCs w:val="18"/>
              </w:rPr>
            </w:pPr>
          </w:p>
          <w:p w14:paraId="7A40BD64">
            <w:pPr>
              <w:wordWrap w:val="0"/>
              <w:autoSpaceDE w:val="0"/>
              <w:autoSpaceDN w:val="0"/>
              <w:spacing w:before="0" w:after="0" w:line="246" w:lineRule="exact"/>
              <w:ind w:firstLine="0"/>
              <w:jc w:val="both"/>
              <w:rPr>
                <w:rFonts w:hint="eastAsia" w:ascii="宋体" w:hAnsi="宋体" w:eastAsia="宋体"/>
                <w:color w:val="000000"/>
                <w:sz w:val="18"/>
                <w:szCs w:val="18"/>
              </w:rPr>
            </w:pPr>
          </w:p>
          <w:p w14:paraId="776B13FE">
            <w:pPr>
              <w:wordWrap w:val="0"/>
              <w:autoSpaceDE w:val="0"/>
              <w:autoSpaceDN w:val="0"/>
              <w:spacing w:before="0" w:after="0" w:line="246" w:lineRule="exact"/>
              <w:ind w:firstLine="0"/>
              <w:jc w:val="both"/>
              <w:rPr>
                <w:rFonts w:hint="eastAsia" w:ascii="宋体" w:hAnsi="宋体" w:eastAsia="宋体"/>
                <w:color w:val="000000"/>
                <w:sz w:val="18"/>
                <w:szCs w:val="18"/>
              </w:rPr>
            </w:pPr>
          </w:p>
          <w:p w14:paraId="7C18F16D">
            <w:pPr>
              <w:wordWrap w:val="0"/>
              <w:autoSpaceDE w:val="0"/>
              <w:autoSpaceDN w:val="0"/>
              <w:spacing w:before="0" w:after="0" w:line="246" w:lineRule="exact"/>
              <w:ind w:firstLine="0"/>
              <w:jc w:val="both"/>
              <w:rPr>
                <w:rFonts w:hint="eastAsia" w:ascii="宋体" w:hAnsi="宋体" w:eastAsia="宋体"/>
                <w:color w:val="000000"/>
                <w:sz w:val="18"/>
                <w:szCs w:val="18"/>
              </w:rPr>
            </w:pPr>
          </w:p>
          <w:p w14:paraId="4B4579E7">
            <w:pPr>
              <w:wordWrap w:val="0"/>
              <w:autoSpaceDE w:val="0"/>
              <w:autoSpaceDN w:val="0"/>
              <w:spacing w:before="207" w:after="0" w:line="246" w:lineRule="exact"/>
              <w:ind w:firstLine="220"/>
              <w:jc w:val="both"/>
              <w:rPr>
                <w:sz w:val="18"/>
                <w:szCs w:val="18"/>
              </w:rPr>
            </w:pPr>
            <w:r>
              <w:rPr>
                <w:rFonts w:hint="eastAsia" w:ascii="宋体" w:hAnsi="宋体" w:eastAsia="宋体"/>
                <w:color w:val="000000"/>
                <w:sz w:val="18"/>
                <w:szCs w:val="18"/>
              </w:rPr>
              <w:t>法律依据</w:t>
            </w:r>
          </w:p>
        </w:tc>
        <w:tc>
          <w:tcPr>
            <w:tcW w:w="12565" w:type="dxa"/>
            <w:gridSpan w:val="3"/>
            <w:tcBorders>
              <w:top w:val="single" w:color="000000" w:sz="4" w:space="0"/>
              <w:left w:val="single" w:color="000000" w:sz="4" w:space="0"/>
              <w:bottom w:val="single" w:color="000000" w:sz="4" w:space="0"/>
              <w:right w:val="single" w:color="000000" w:sz="4" w:space="0"/>
            </w:tcBorders>
            <w:vAlign w:val="top"/>
          </w:tcPr>
          <w:p w14:paraId="65815B6A">
            <w:pPr>
              <w:wordWrap w:val="0"/>
              <w:autoSpaceDE w:val="0"/>
              <w:autoSpaceDN w:val="0"/>
              <w:spacing w:before="0" w:after="0" w:line="246" w:lineRule="exact"/>
              <w:ind w:left="500" w:right="3020" w:hanging="380"/>
              <w:jc w:val="both"/>
              <w:rPr>
                <w:sz w:val="18"/>
                <w:szCs w:val="18"/>
              </w:rPr>
            </w:pPr>
            <w:r>
              <w:rPr>
                <w:rFonts w:hint="eastAsia" w:ascii="宋体" w:hAnsi="宋体" w:eastAsia="宋体"/>
                <w:color w:val="000000"/>
                <w:sz w:val="18"/>
                <w:szCs w:val="18"/>
              </w:rPr>
              <w:t>【法律】《中华人民共和国人民防空法》第二十三条第一款 人民防空工程建设的设计、施工、质量必须符合国家规定的防护标准和质量标准。</w:t>
            </w:r>
          </w:p>
          <w:p w14:paraId="25520A83">
            <w:pPr>
              <w:wordWrap w:val="0"/>
              <w:autoSpaceDE w:val="0"/>
              <w:autoSpaceDN w:val="0"/>
              <w:spacing w:before="0" w:after="0" w:line="246" w:lineRule="exact"/>
              <w:ind w:left="80" w:right="40" w:firstLine="440"/>
              <w:jc w:val="both"/>
              <w:rPr>
                <w:sz w:val="18"/>
                <w:szCs w:val="18"/>
              </w:rPr>
            </w:pPr>
            <w:r>
              <w:rPr>
                <w:rFonts w:hint="eastAsia" w:ascii="宋体" w:hAnsi="宋体" w:eastAsia="宋体"/>
                <w:color w:val="000000"/>
                <w:sz w:val="18"/>
                <w:szCs w:val="18"/>
              </w:rPr>
              <w:t>第四十九条 有下列行为之一的，由县级以上人民政府人民防空主管部门对当事人给予警告，并责令限期改正违法行为，可以对个人并处五千元以下的罚款、对单位并处一万元至五万元的罚款；造成损失的，应当依法赔偿损失：</w:t>
            </w:r>
          </w:p>
          <w:p w14:paraId="43E8C11C">
            <w:pPr>
              <w:wordWrap w:val="0"/>
              <w:autoSpaceDE w:val="0"/>
              <w:autoSpaceDN w:val="0"/>
              <w:spacing w:before="0" w:after="0" w:line="246" w:lineRule="exact"/>
              <w:ind w:firstLine="560"/>
              <w:jc w:val="both"/>
              <w:rPr>
                <w:sz w:val="18"/>
                <w:szCs w:val="18"/>
              </w:rPr>
            </w:pPr>
            <w:r>
              <w:rPr>
                <w:rFonts w:hint="eastAsia" w:ascii="宋体" w:hAnsi="宋体" w:eastAsia="宋体"/>
                <w:color w:val="000000"/>
                <w:sz w:val="18"/>
                <w:szCs w:val="18"/>
              </w:rPr>
              <w:t>（二）不按照国家规定的防护标准和质量标准修建人民防空工程；</w:t>
            </w:r>
          </w:p>
          <w:p w14:paraId="7A9C1DD8">
            <w:pPr>
              <w:wordWrap w:val="0"/>
              <w:autoSpaceDE w:val="0"/>
              <w:autoSpaceDN w:val="0"/>
              <w:spacing w:before="0" w:after="0" w:line="246"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5CD4AA51">
            <w:pPr>
              <w:wordWrap w:val="0"/>
              <w:autoSpaceDE w:val="0"/>
              <w:autoSpaceDN w:val="0"/>
              <w:spacing w:before="0" w:after="0" w:line="246" w:lineRule="exact"/>
              <w:ind w:left="100" w:right="40" w:firstLine="420"/>
              <w:jc w:val="both"/>
              <w:rPr>
                <w:sz w:val="18"/>
                <w:szCs w:val="18"/>
              </w:rPr>
            </w:pPr>
            <w:r>
              <w:rPr>
                <w:rFonts w:hint="eastAsia" w:ascii="宋体" w:hAnsi="宋体" w:eastAsia="宋体"/>
                <w:color w:val="000000"/>
                <w:sz w:val="18"/>
                <w:szCs w:val="18"/>
              </w:rPr>
              <w:t>第十三条第一款 人民防空工程建设项目应当按照国家和省有关规定，实行招标投标制度。承担人民防空工程任务的单位，应当具有与该工程项目相适应的工程设计、施工和监理资质，并严格执行国家规定的人民防空工程防护标准、质量标准、技术规范等。</w:t>
            </w:r>
          </w:p>
          <w:p w14:paraId="4721A257">
            <w:pPr>
              <w:wordWrap w:val="0"/>
              <w:autoSpaceDE w:val="0"/>
              <w:autoSpaceDN w:val="0"/>
              <w:spacing w:before="0" w:after="0" w:line="246" w:lineRule="exact"/>
              <w:ind w:left="100" w:right="40" w:firstLine="420"/>
              <w:jc w:val="both"/>
              <w:rPr>
                <w:sz w:val="18"/>
                <w:szCs w:val="18"/>
              </w:rPr>
            </w:pPr>
            <w:r>
              <w:rPr>
                <w:rFonts w:hint="eastAsia" w:ascii="宋体" w:hAnsi="宋体" w:eastAsia="宋体"/>
                <w:color w:val="000000"/>
                <w:sz w:val="18"/>
                <w:szCs w:val="18"/>
              </w:rPr>
              <w:t>第三十四条第一款 违反本办法第十八条第一款规定，或者有下列行为之一的，由人防主管部门对当事人给予警告，并责令限期改正违法行为，可以对个人并处一千元以上五千元以下的罚款，对单位并处一万元以上至五万元以下的罚款；造成损失的，应当依法赔偿损失：</w:t>
            </w:r>
          </w:p>
          <w:p w14:paraId="2AA68662">
            <w:pPr>
              <w:wordWrap w:val="0"/>
              <w:autoSpaceDE w:val="0"/>
              <w:autoSpaceDN w:val="0"/>
              <w:spacing w:before="0" w:after="0" w:line="240" w:lineRule="exact"/>
              <w:ind w:firstLine="560"/>
              <w:jc w:val="both"/>
              <w:rPr>
                <w:sz w:val="18"/>
                <w:szCs w:val="18"/>
              </w:rPr>
            </w:pPr>
            <w:r>
              <w:rPr>
                <w:rFonts w:hint="eastAsia" w:ascii="宋体" w:hAnsi="宋体" w:eastAsia="宋体"/>
                <w:color w:val="000000"/>
                <w:sz w:val="18"/>
                <w:szCs w:val="18"/>
              </w:rPr>
              <w:t>（二）不按照国家规定的防护标准和质量标准修建人民防空工程：</w:t>
            </w:r>
          </w:p>
        </w:tc>
      </w:tr>
      <w:tr w14:paraId="35B42E1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78" w:type="dxa"/>
            <w:tcBorders>
              <w:top w:val="single" w:color="000000" w:sz="4" w:space="0"/>
              <w:left w:val="single" w:color="000000" w:sz="4" w:space="0"/>
              <w:bottom w:val="single" w:color="000000" w:sz="4" w:space="0"/>
              <w:right w:val="single" w:color="000000" w:sz="4" w:space="0"/>
            </w:tcBorders>
            <w:vAlign w:val="top"/>
          </w:tcPr>
          <w:p w14:paraId="7A0759AF">
            <w:pPr>
              <w:wordWrap w:val="0"/>
              <w:autoSpaceDE w:val="0"/>
              <w:autoSpaceDN w:val="0"/>
              <w:spacing w:before="33" w:after="0" w:line="246" w:lineRule="exact"/>
              <w:ind w:firstLine="240"/>
              <w:jc w:val="both"/>
              <w:rPr>
                <w:sz w:val="18"/>
                <w:szCs w:val="18"/>
              </w:rPr>
            </w:pPr>
            <w:r>
              <w:rPr>
                <w:rFonts w:hint="eastAsia" w:ascii="宋体" w:hAnsi="宋体" w:eastAsia="宋体"/>
                <w:color w:val="000000"/>
                <w:sz w:val="18"/>
                <w:szCs w:val="18"/>
              </w:rPr>
              <w:t>处罚种类</w:t>
            </w:r>
          </w:p>
        </w:tc>
        <w:tc>
          <w:tcPr>
            <w:tcW w:w="12565" w:type="dxa"/>
            <w:gridSpan w:val="3"/>
            <w:tcBorders>
              <w:top w:val="single" w:color="000000" w:sz="4" w:space="0"/>
              <w:left w:val="single" w:color="000000" w:sz="4" w:space="0"/>
              <w:bottom w:val="single" w:color="000000" w:sz="4" w:space="0"/>
              <w:right w:val="single" w:color="000000" w:sz="4" w:space="0"/>
            </w:tcBorders>
            <w:vAlign w:val="top"/>
          </w:tcPr>
          <w:p w14:paraId="229B787A">
            <w:pPr>
              <w:wordWrap w:val="0"/>
              <w:autoSpaceDE w:val="0"/>
              <w:autoSpaceDN w:val="0"/>
              <w:spacing w:before="33" w:after="0" w:line="246" w:lineRule="exact"/>
              <w:ind w:firstLine="100"/>
              <w:jc w:val="both"/>
              <w:rPr>
                <w:sz w:val="18"/>
                <w:szCs w:val="18"/>
              </w:rPr>
            </w:pPr>
            <w:r>
              <w:rPr>
                <w:rFonts w:hint="eastAsia" w:ascii="宋体" w:hAnsi="宋体" w:eastAsia="宋体"/>
                <w:color w:val="000000"/>
                <w:sz w:val="18"/>
                <w:szCs w:val="18"/>
              </w:rPr>
              <w:t>警告、罚款</w:t>
            </w:r>
          </w:p>
        </w:tc>
      </w:tr>
      <w:tr w14:paraId="719ADFF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3743" w:type="dxa"/>
            <w:gridSpan w:val="4"/>
            <w:tcBorders>
              <w:top w:val="single" w:color="000000" w:sz="4" w:space="0"/>
              <w:left w:val="single" w:color="000000" w:sz="4" w:space="0"/>
              <w:bottom w:val="single" w:color="000000" w:sz="4" w:space="0"/>
              <w:right w:val="single" w:color="000000" w:sz="4" w:space="0"/>
            </w:tcBorders>
            <w:vAlign w:val="top"/>
          </w:tcPr>
          <w:p w14:paraId="673C68F7">
            <w:pPr>
              <w:wordWrap w:val="0"/>
              <w:autoSpaceDE w:val="0"/>
              <w:autoSpaceDN w:val="0"/>
              <w:spacing w:before="53" w:after="0" w:line="246" w:lineRule="exact"/>
              <w:jc w:val="center"/>
              <w:rPr>
                <w:sz w:val="18"/>
                <w:szCs w:val="18"/>
              </w:rPr>
            </w:pPr>
            <w:r>
              <w:rPr>
                <w:rFonts w:hint="eastAsia" w:ascii="宋体" w:hAnsi="宋体" w:eastAsia="宋体"/>
                <w:color w:val="000000"/>
                <w:sz w:val="18"/>
                <w:szCs w:val="18"/>
              </w:rPr>
              <w:t>自由裁量基准</w:t>
            </w:r>
          </w:p>
        </w:tc>
      </w:tr>
      <w:tr w14:paraId="5DD1912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000" w:hRule="atLeast"/>
        </w:trPr>
        <w:tc>
          <w:tcPr>
            <w:tcW w:w="1178" w:type="dxa"/>
            <w:vMerge w:val="restart"/>
            <w:tcBorders>
              <w:top w:val="single" w:color="000000" w:sz="4" w:space="0"/>
              <w:left w:val="single" w:color="000000" w:sz="4" w:space="0"/>
              <w:bottom w:val="single" w:color="000000" w:sz="4" w:space="0"/>
              <w:right w:val="single" w:color="000000" w:sz="4" w:space="0"/>
            </w:tcBorders>
            <w:vAlign w:val="top"/>
          </w:tcPr>
          <w:p w14:paraId="75771CA8">
            <w:pPr>
              <w:wordWrap w:val="0"/>
              <w:autoSpaceDE w:val="0"/>
              <w:autoSpaceDN w:val="0"/>
              <w:spacing w:before="0" w:after="0" w:line="246" w:lineRule="exact"/>
              <w:ind w:firstLine="0"/>
              <w:jc w:val="both"/>
              <w:rPr>
                <w:rFonts w:hint="eastAsia" w:ascii="宋体" w:hAnsi="宋体" w:eastAsia="宋体"/>
                <w:color w:val="000000"/>
                <w:sz w:val="18"/>
                <w:szCs w:val="18"/>
              </w:rPr>
            </w:pPr>
          </w:p>
          <w:p w14:paraId="55211976">
            <w:pPr>
              <w:wordWrap w:val="0"/>
              <w:autoSpaceDE w:val="0"/>
              <w:autoSpaceDN w:val="0"/>
              <w:spacing w:before="0" w:after="0" w:line="246" w:lineRule="exact"/>
              <w:ind w:firstLine="0"/>
              <w:jc w:val="both"/>
              <w:rPr>
                <w:rFonts w:hint="eastAsia" w:ascii="宋体" w:hAnsi="宋体" w:eastAsia="宋体"/>
                <w:color w:val="000000"/>
                <w:sz w:val="18"/>
                <w:szCs w:val="18"/>
              </w:rPr>
            </w:pPr>
          </w:p>
          <w:p w14:paraId="39ED679E">
            <w:pPr>
              <w:wordWrap w:val="0"/>
              <w:autoSpaceDE w:val="0"/>
              <w:autoSpaceDN w:val="0"/>
              <w:spacing w:before="0" w:after="0" w:line="246" w:lineRule="exact"/>
              <w:ind w:firstLine="0"/>
              <w:jc w:val="both"/>
              <w:rPr>
                <w:rFonts w:hint="eastAsia" w:ascii="宋体" w:hAnsi="宋体" w:eastAsia="宋体"/>
                <w:color w:val="000000"/>
                <w:sz w:val="18"/>
                <w:szCs w:val="18"/>
              </w:rPr>
            </w:pPr>
          </w:p>
          <w:p w14:paraId="40876FD1">
            <w:pPr>
              <w:wordWrap w:val="0"/>
              <w:autoSpaceDE w:val="0"/>
              <w:autoSpaceDN w:val="0"/>
              <w:spacing w:before="0" w:after="0" w:line="246" w:lineRule="exact"/>
              <w:ind w:firstLine="0"/>
              <w:jc w:val="both"/>
              <w:rPr>
                <w:rFonts w:hint="eastAsia" w:ascii="宋体" w:hAnsi="宋体" w:eastAsia="宋体"/>
                <w:color w:val="000000"/>
                <w:sz w:val="18"/>
                <w:szCs w:val="18"/>
              </w:rPr>
            </w:pPr>
          </w:p>
          <w:p w14:paraId="17292FA2">
            <w:pPr>
              <w:wordWrap w:val="0"/>
              <w:autoSpaceDE w:val="0"/>
              <w:autoSpaceDN w:val="0"/>
              <w:spacing w:before="0" w:after="0" w:line="246" w:lineRule="exact"/>
              <w:ind w:firstLine="0"/>
              <w:jc w:val="both"/>
              <w:rPr>
                <w:rFonts w:hint="eastAsia" w:ascii="宋体" w:hAnsi="宋体" w:eastAsia="宋体"/>
                <w:color w:val="000000"/>
                <w:sz w:val="18"/>
                <w:szCs w:val="18"/>
              </w:rPr>
            </w:pPr>
          </w:p>
          <w:p w14:paraId="61DD59DF">
            <w:pPr>
              <w:wordWrap w:val="0"/>
              <w:autoSpaceDE w:val="0"/>
              <w:autoSpaceDN w:val="0"/>
              <w:spacing w:before="0" w:after="0" w:line="246" w:lineRule="exact"/>
              <w:ind w:firstLine="0"/>
              <w:jc w:val="both"/>
              <w:rPr>
                <w:rFonts w:hint="eastAsia" w:ascii="宋体" w:hAnsi="宋体" w:eastAsia="宋体"/>
                <w:color w:val="000000"/>
                <w:sz w:val="18"/>
                <w:szCs w:val="18"/>
              </w:rPr>
            </w:pPr>
          </w:p>
          <w:p w14:paraId="7A1DAEAE">
            <w:pPr>
              <w:wordWrap w:val="0"/>
              <w:autoSpaceDE w:val="0"/>
              <w:autoSpaceDN w:val="0"/>
              <w:spacing w:before="81" w:after="0" w:line="246" w:lineRule="exact"/>
              <w:ind w:firstLine="220"/>
              <w:jc w:val="both"/>
              <w:rPr>
                <w:sz w:val="18"/>
                <w:szCs w:val="18"/>
              </w:rPr>
            </w:pPr>
            <w:r>
              <w:rPr>
                <w:rFonts w:hint="eastAsia" w:ascii="宋体" w:hAnsi="宋体" w:eastAsia="宋体"/>
                <w:color w:val="000000"/>
                <w:sz w:val="18"/>
                <w:szCs w:val="18"/>
              </w:rPr>
              <w:t>情形描述</w:t>
            </w:r>
          </w:p>
        </w:tc>
        <w:tc>
          <w:tcPr>
            <w:tcW w:w="5921" w:type="dxa"/>
            <w:tcBorders>
              <w:top w:val="single" w:color="000000" w:sz="4" w:space="0"/>
              <w:left w:val="single" w:color="000000" w:sz="4" w:space="0"/>
              <w:bottom w:val="single" w:color="000000" w:sz="4" w:space="0"/>
              <w:right w:val="single" w:color="000000" w:sz="4" w:space="0"/>
            </w:tcBorders>
            <w:vAlign w:val="top"/>
          </w:tcPr>
          <w:p w14:paraId="5C9009AB">
            <w:pPr>
              <w:wordWrap w:val="0"/>
              <w:autoSpaceDE w:val="0"/>
              <w:autoSpaceDN w:val="0"/>
              <w:spacing w:before="60" w:after="0" w:line="246" w:lineRule="exact"/>
              <w:ind w:left="100" w:right="40" w:firstLine="0"/>
              <w:jc w:val="both"/>
              <w:rPr>
                <w:sz w:val="18"/>
                <w:szCs w:val="18"/>
              </w:rPr>
            </w:pPr>
            <w:r>
              <w:rPr>
                <w:rFonts w:hint="eastAsia" w:ascii="宋体" w:hAnsi="宋体" w:eastAsia="宋体"/>
                <w:color w:val="000000"/>
                <w:sz w:val="18"/>
                <w:szCs w:val="18"/>
              </w:rPr>
              <w:t>人民防空工程参建单位初次违反国家规定的防护标准和质量标准修建人民防空工程面积在</w:t>
            </w:r>
            <w:r>
              <w:rPr>
                <w:rFonts w:hint="eastAsia" w:ascii="Calibri" w:hAnsi="Calibri" w:eastAsia="Calibri"/>
                <w:color w:val="000000"/>
                <w:sz w:val="18"/>
                <w:szCs w:val="18"/>
              </w:rPr>
              <w:t>2000</w:t>
            </w:r>
            <w:r>
              <w:rPr>
                <w:rFonts w:hint="eastAsia" w:ascii="宋体" w:hAnsi="宋体" w:eastAsia="宋体"/>
                <w:color w:val="000000"/>
                <w:sz w:val="18"/>
                <w:szCs w:val="18"/>
              </w:rPr>
              <w:t>平方米以下，人防主管部门责令限期改正后及时改正的</w:t>
            </w:r>
          </w:p>
        </w:tc>
        <w:tc>
          <w:tcPr>
            <w:tcW w:w="1041" w:type="dxa"/>
            <w:vMerge w:val="restart"/>
            <w:tcBorders>
              <w:top w:val="single" w:color="000000" w:sz="4" w:space="0"/>
              <w:left w:val="single" w:color="000000" w:sz="4" w:space="0"/>
              <w:bottom w:val="single" w:color="000000" w:sz="4" w:space="0"/>
              <w:right w:val="single" w:color="000000" w:sz="4" w:space="0"/>
            </w:tcBorders>
            <w:vAlign w:val="top"/>
          </w:tcPr>
          <w:p w14:paraId="228B810D">
            <w:pPr>
              <w:wordWrap w:val="0"/>
              <w:autoSpaceDE w:val="0"/>
              <w:autoSpaceDN w:val="0"/>
              <w:spacing w:before="0" w:after="0" w:line="246" w:lineRule="exact"/>
              <w:ind w:firstLine="0"/>
              <w:jc w:val="both"/>
              <w:rPr>
                <w:rFonts w:hint="eastAsia" w:ascii="宋体" w:hAnsi="宋体" w:eastAsia="宋体"/>
                <w:color w:val="000000"/>
                <w:sz w:val="18"/>
                <w:szCs w:val="18"/>
              </w:rPr>
            </w:pPr>
          </w:p>
          <w:p w14:paraId="2D86E71B">
            <w:pPr>
              <w:wordWrap w:val="0"/>
              <w:autoSpaceDE w:val="0"/>
              <w:autoSpaceDN w:val="0"/>
              <w:spacing w:before="0" w:after="0" w:line="246" w:lineRule="exact"/>
              <w:ind w:firstLine="0"/>
              <w:jc w:val="both"/>
              <w:rPr>
                <w:rFonts w:hint="eastAsia" w:ascii="宋体" w:hAnsi="宋体" w:eastAsia="宋体"/>
                <w:color w:val="000000"/>
                <w:sz w:val="18"/>
                <w:szCs w:val="18"/>
              </w:rPr>
            </w:pPr>
          </w:p>
          <w:p w14:paraId="16CCC48D">
            <w:pPr>
              <w:wordWrap w:val="0"/>
              <w:autoSpaceDE w:val="0"/>
              <w:autoSpaceDN w:val="0"/>
              <w:spacing w:before="0" w:after="0" w:line="246" w:lineRule="exact"/>
              <w:ind w:firstLine="0"/>
              <w:jc w:val="both"/>
              <w:rPr>
                <w:rFonts w:hint="eastAsia" w:ascii="宋体" w:hAnsi="宋体" w:eastAsia="宋体"/>
                <w:color w:val="000000"/>
                <w:sz w:val="18"/>
                <w:szCs w:val="18"/>
              </w:rPr>
            </w:pPr>
          </w:p>
          <w:p w14:paraId="655397FA">
            <w:pPr>
              <w:wordWrap w:val="0"/>
              <w:autoSpaceDE w:val="0"/>
              <w:autoSpaceDN w:val="0"/>
              <w:spacing w:before="0" w:after="0" w:line="246" w:lineRule="exact"/>
              <w:ind w:firstLine="0"/>
              <w:jc w:val="both"/>
              <w:rPr>
                <w:rFonts w:hint="eastAsia" w:ascii="宋体" w:hAnsi="宋体" w:eastAsia="宋体"/>
                <w:color w:val="000000"/>
                <w:sz w:val="18"/>
                <w:szCs w:val="18"/>
              </w:rPr>
            </w:pPr>
          </w:p>
          <w:p w14:paraId="039BA06E">
            <w:pPr>
              <w:wordWrap w:val="0"/>
              <w:autoSpaceDE w:val="0"/>
              <w:autoSpaceDN w:val="0"/>
              <w:spacing w:before="0" w:after="0" w:line="246" w:lineRule="exact"/>
              <w:ind w:firstLine="0"/>
              <w:jc w:val="both"/>
              <w:rPr>
                <w:rFonts w:hint="eastAsia" w:ascii="宋体" w:hAnsi="宋体" w:eastAsia="宋体"/>
                <w:color w:val="000000"/>
                <w:sz w:val="18"/>
                <w:szCs w:val="18"/>
              </w:rPr>
            </w:pPr>
          </w:p>
          <w:p w14:paraId="48D09F2A">
            <w:pPr>
              <w:wordWrap w:val="0"/>
              <w:autoSpaceDE w:val="0"/>
              <w:autoSpaceDN w:val="0"/>
              <w:spacing w:before="0" w:after="0" w:line="246" w:lineRule="exact"/>
              <w:ind w:firstLine="0"/>
              <w:jc w:val="both"/>
              <w:rPr>
                <w:rFonts w:hint="eastAsia" w:ascii="宋体" w:hAnsi="宋体" w:eastAsia="宋体"/>
                <w:color w:val="000000"/>
                <w:sz w:val="18"/>
                <w:szCs w:val="18"/>
              </w:rPr>
            </w:pPr>
          </w:p>
          <w:p w14:paraId="40D8ECC7">
            <w:pPr>
              <w:wordWrap w:val="0"/>
              <w:autoSpaceDE w:val="0"/>
              <w:autoSpaceDN w:val="0"/>
              <w:spacing w:before="61" w:after="0" w:line="246" w:lineRule="exact"/>
              <w:jc w:val="center"/>
              <w:rPr>
                <w:sz w:val="18"/>
                <w:szCs w:val="18"/>
              </w:rPr>
            </w:pPr>
            <w:r>
              <w:rPr>
                <w:rFonts w:hint="eastAsia" w:ascii="宋体" w:hAnsi="宋体" w:eastAsia="宋体"/>
                <w:color w:val="000000"/>
                <w:sz w:val="18"/>
                <w:szCs w:val="18"/>
              </w:rPr>
              <w:t>裁量幅度</w:t>
            </w:r>
          </w:p>
        </w:tc>
        <w:tc>
          <w:tcPr>
            <w:tcW w:w="5603" w:type="dxa"/>
            <w:tcBorders>
              <w:top w:val="single" w:color="000000" w:sz="4" w:space="0"/>
              <w:left w:val="single" w:color="000000" w:sz="4" w:space="0"/>
              <w:bottom w:val="single" w:color="000000" w:sz="4" w:space="0"/>
              <w:right w:val="single" w:color="000000" w:sz="4" w:space="0"/>
            </w:tcBorders>
            <w:vAlign w:val="top"/>
          </w:tcPr>
          <w:p w14:paraId="3C204759">
            <w:pPr>
              <w:wordWrap w:val="0"/>
              <w:autoSpaceDE w:val="0"/>
              <w:autoSpaceDN w:val="0"/>
              <w:spacing w:before="0" w:after="0" w:line="246" w:lineRule="exact"/>
              <w:ind w:firstLine="0"/>
              <w:jc w:val="both"/>
              <w:rPr>
                <w:rFonts w:hint="eastAsia" w:ascii="宋体" w:hAnsi="宋体" w:eastAsia="宋体"/>
                <w:color w:val="000000"/>
                <w:sz w:val="18"/>
                <w:szCs w:val="18"/>
              </w:rPr>
            </w:pPr>
          </w:p>
          <w:p w14:paraId="2773299A">
            <w:pPr>
              <w:wordWrap w:val="0"/>
              <w:autoSpaceDE w:val="0"/>
              <w:autoSpaceDN w:val="0"/>
              <w:spacing w:before="173" w:after="0" w:line="246" w:lineRule="exact"/>
              <w:ind w:firstLine="80"/>
              <w:jc w:val="both"/>
              <w:rPr>
                <w:sz w:val="18"/>
                <w:szCs w:val="18"/>
              </w:rPr>
            </w:pPr>
            <w:r>
              <w:rPr>
                <w:rFonts w:hint="eastAsia" w:ascii="宋体" w:hAnsi="宋体" w:eastAsia="宋体"/>
                <w:color w:val="000000"/>
                <w:sz w:val="18"/>
                <w:szCs w:val="18"/>
              </w:rPr>
              <w:t>不予处罚</w:t>
            </w:r>
          </w:p>
        </w:tc>
      </w:tr>
      <w:tr w14:paraId="4256C0D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260" w:hRule="atLeast"/>
        </w:trPr>
        <w:tc>
          <w:tcPr>
            <w:tcW w:w="1178" w:type="dxa"/>
            <w:vMerge w:val="continue"/>
            <w:tcBorders>
              <w:top w:val="single" w:color="000000" w:sz="4" w:space="0"/>
              <w:left w:val="single" w:color="000000" w:sz="4" w:space="0"/>
              <w:bottom w:val="single" w:color="000000" w:sz="4" w:space="0"/>
              <w:right w:val="single" w:color="000000" w:sz="4" w:space="0"/>
            </w:tcBorders>
          </w:tcPr>
          <w:p w14:paraId="25853FD3">
            <w:pPr>
              <w:rPr>
                <w:sz w:val="18"/>
                <w:szCs w:val="18"/>
              </w:rPr>
            </w:pPr>
          </w:p>
        </w:tc>
        <w:tc>
          <w:tcPr>
            <w:tcW w:w="5921" w:type="dxa"/>
            <w:tcBorders>
              <w:top w:val="single" w:color="000000" w:sz="4" w:space="0"/>
              <w:left w:val="single" w:color="000000" w:sz="4" w:space="0"/>
              <w:bottom w:val="single" w:color="000000" w:sz="4" w:space="0"/>
              <w:right w:val="single" w:color="000000" w:sz="4" w:space="0"/>
            </w:tcBorders>
            <w:vAlign w:val="top"/>
          </w:tcPr>
          <w:p w14:paraId="4555F255">
            <w:pPr>
              <w:wordWrap w:val="0"/>
              <w:autoSpaceDE w:val="0"/>
              <w:autoSpaceDN w:val="0"/>
              <w:spacing w:before="53" w:after="0" w:line="246" w:lineRule="exact"/>
              <w:ind w:left="100" w:right="6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）工程防护标准或质量不达标，经整改后能够达到防护和建设标准的</w:t>
            </w:r>
          </w:p>
          <w:p w14:paraId="7BB4DCD8">
            <w:pPr>
              <w:wordWrap w:val="0"/>
              <w:autoSpaceDE w:val="0"/>
              <w:autoSpaceDN w:val="0"/>
              <w:spacing w:before="113" w:after="0" w:line="246" w:lineRule="exact"/>
              <w:ind w:left="80" w:right="20" w:firstLine="8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）一个防护单元内出现</w:t>
            </w:r>
            <w:r>
              <w:rPr>
                <w:rFonts w:hint="eastAsia" w:ascii="Calibri" w:hAnsi="Calibri" w:eastAsia="Calibri"/>
                <w:color w:val="000000"/>
                <w:sz w:val="18"/>
                <w:szCs w:val="18"/>
              </w:rPr>
              <w:t>1</w:t>
            </w:r>
            <w:r>
              <w:rPr>
                <w:rFonts w:hint="eastAsia" w:ascii="宋体" w:hAnsi="宋体" w:eastAsia="宋体"/>
                <w:color w:val="000000"/>
                <w:sz w:val="18"/>
                <w:szCs w:val="18"/>
              </w:rPr>
              <w:t>樘防护设备未按照生产图纸、设计要求和有关规范生产，或出现制作工艺不符合图纸要求问题（常见的有：门扇门框规格尺寸、型材厚度、焊接质量不合格等问题），整改后仍不合格</w:t>
            </w:r>
          </w:p>
          <w:p w14:paraId="5D999617">
            <w:pPr>
              <w:wordWrap w:val="0"/>
              <w:autoSpaceDE w:val="0"/>
              <w:autoSpaceDN w:val="0"/>
              <w:spacing w:before="0" w:after="0" w:line="246" w:lineRule="exact"/>
              <w:ind w:left="80" w:right="6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）一个防护单元内出现</w:t>
            </w:r>
            <w:r>
              <w:rPr>
                <w:rFonts w:hint="eastAsia" w:ascii="Calibri" w:hAnsi="Calibri" w:eastAsia="Calibri"/>
                <w:color w:val="000000"/>
                <w:sz w:val="18"/>
                <w:szCs w:val="18"/>
              </w:rPr>
              <w:t>3</w:t>
            </w:r>
            <w:r>
              <w:rPr>
                <w:rFonts w:hint="eastAsia" w:ascii="宋体" w:hAnsi="宋体" w:eastAsia="宋体"/>
                <w:color w:val="000000"/>
                <w:sz w:val="18"/>
                <w:szCs w:val="18"/>
              </w:rPr>
              <w:t>樘以下防护设备安装调试后，安装质量不合格，整改后仍不合格</w:t>
            </w:r>
            <w:r>
              <w:rPr>
                <w:rFonts w:hint="eastAsia" w:ascii="宋体" w:hAnsi="宋体" w:eastAsia="宋体"/>
                <w:color w:val="000000"/>
                <w:sz w:val="18"/>
                <w:szCs w:val="18"/>
              </w:rPr>
              <w:br w:type="textWrapping"/>
            </w:r>
            <w:r>
              <w:rPr>
                <w:rFonts w:hint="eastAsia" w:ascii="宋体" w:hAnsi="宋体" w:eastAsia="宋体"/>
                <w:color w:val="000000"/>
                <w:sz w:val="18"/>
                <w:szCs w:val="18"/>
              </w:rPr>
              <w:t>（4）一个防护单元内出现1樘防护设备与建筑结构、设备设施等冲突，导致平时或战时功能不满足规范指标要求（如：梁、柱、墙体等影响门扇启闭，门扇与门扇冲突等问题），整改后仍不合格</w:t>
            </w:r>
          </w:p>
        </w:tc>
        <w:tc>
          <w:tcPr>
            <w:tcW w:w="1041" w:type="dxa"/>
            <w:vMerge w:val="continue"/>
            <w:tcBorders>
              <w:top w:val="single" w:color="000000" w:sz="4" w:space="0"/>
              <w:left w:val="single" w:color="000000" w:sz="4" w:space="0"/>
              <w:bottom w:val="single" w:color="000000" w:sz="4" w:space="0"/>
              <w:right w:val="single" w:color="000000" w:sz="4" w:space="0"/>
            </w:tcBorders>
          </w:tcPr>
          <w:p w14:paraId="0BDD7F02">
            <w:pPr>
              <w:rPr>
                <w:sz w:val="18"/>
                <w:szCs w:val="18"/>
              </w:rPr>
            </w:pPr>
          </w:p>
        </w:tc>
        <w:tc>
          <w:tcPr>
            <w:tcW w:w="5603" w:type="dxa"/>
            <w:tcBorders>
              <w:top w:val="single" w:color="000000" w:sz="4" w:space="0"/>
              <w:left w:val="single" w:color="000000" w:sz="4" w:space="0"/>
              <w:bottom w:val="single" w:color="000000" w:sz="4" w:space="0"/>
              <w:right w:val="single" w:color="000000" w:sz="4" w:space="0"/>
            </w:tcBorders>
            <w:vAlign w:val="top"/>
          </w:tcPr>
          <w:p w14:paraId="75101B15">
            <w:pPr>
              <w:wordWrap w:val="0"/>
              <w:autoSpaceDE w:val="0"/>
              <w:autoSpaceDN w:val="0"/>
              <w:spacing w:before="0" w:after="0" w:line="246" w:lineRule="exact"/>
              <w:ind w:firstLine="0"/>
              <w:jc w:val="both"/>
              <w:rPr>
                <w:rFonts w:hint="eastAsia" w:ascii="宋体" w:hAnsi="宋体" w:eastAsia="宋体"/>
                <w:color w:val="000000"/>
                <w:sz w:val="18"/>
                <w:szCs w:val="18"/>
              </w:rPr>
            </w:pPr>
          </w:p>
          <w:p w14:paraId="2F4B5015">
            <w:pPr>
              <w:wordWrap w:val="0"/>
              <w:autoSpaceDE w:val="0"/>
              <w:autoSpaceDN w:val="0"/>
              <w:spacing w:before="0" w:after="0" w:line="246" w:lineRule="exact"/>
              <w:ind w:firstLine="0"/>
              <w:jc w:val="both"/>
              <w:rPr>
                <w:rFonts w:hint="eastAsia" w:ascii="宋体" w:hAnsi="宋体" w:eastAsia="宋体"/>
                <w:color w:val="000000"/>
                <w:sz w:val="18"/>
                <w:szCs w:val="18"/>
              </w:rPr>
            </w:pPr>
          </w:p>
          <w:p w14:paraId="680AF202">
            <w:pPr>
              <w:wordWrap w:val="0"/>
              <w:autoSpaceDE w:val="0"/>
              <w:autoSpaceDN w:val="0"/>
              <w:spacing w:before="0" w:after="0" w:line="246" w:lineRule="exact"/>
              <w:ind w:firstLine="0"/>
              <w:jc w:val="both"/>
              <w:rPr>
                <w:rFonts w:hint="eastAsia" w:ascii="宋体" w:hAnsi="宋体" w:eastAsia="宋体"/>
                <w:color w:val="000000"/>
                <w:sz w:val="18"/>
                <w:szCs w:val="18"/>
              </w:rPr>
            </w:pPr>
          </w:p>
          <w:p w14:paraId="48932D1A">
            <w:pPr>
              <w:wordWrap w:val="0"/>
              <w:autoSpaceDE w:val="0"/>
              <w:autoSpaceDN w:val="0"/>
              <w:spacing w:before="140" w:after="0" w:line="246" w:lineRule="exact"/>
              <w:ind w:left="100" w:right="40" w:hanging="2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1000</w:t>
            </w:r>
            <w:r>
              <w:rPr>
                <w:rFonts w:hint="eastAsia" w:ascii="宋体" w:hAnsi="宋体" w:eastAsia="宋体"/>
                <w:color w:val="000000"/>
                <w:sz w:val="18"/>
                <w:szCs w:val="18"/>
              </w:rPr>
              <w:t>元以上</w:t>
            </w:r>
            <w:r>
              <w:rPr>
                <w:rFonts w:hint="eastAsia" w:ascii="Calibri" w:hAnsi="Calibri" w:eastAsia="Calibri"/>
                <w:color w:val="000000"/>
                <w:sz w:val="18"/>
                <w:szCs w:val="18"/>
              </w:rPr>
              <w:t>2000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r w14:paraId="2010400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260" w:hRule="atLeast"/>
        </w:trPr>
        <w:tc>
          <w:tcPr>
            <w:tcW w:w="1178" w:type="dxa"/>
            <w:vMerge w:val="restart"/>
            <w:tcBorders>
              <w:top w:val="single" w:color="000000" w:sz="4" w:space="0"/>
              <w:left w:val="single" w:color="000000" w:sz="4" w:space="0"/>
              <w:right w:val="single" w:color="000000" w:sz="4" w:space="0"/>
            </w:tcBorders>
            <w:vAlign w:val="center"/>
          </w:tcPr>
          <w:p w14:paraId="277C37E0">
            <w:pPr>
              <w:wordWrap w:val="0"/>
              <w:autoSpaceDE w:val="0"/>
              <w:autoSpaceDN w:val="0"/>
              <w:spacing w:before="81" w:after="0" w:line="246" w:lineRule="exact"/>
              <w:ind w:firstLine="180" w:firstLineChars="100"/>
              <w:jc w:val="both"/>
              <w:rPr>
                <w:rFonts w:hint="eastAsia" w:ascii="宋体" w:hAnsi="宋体" w:eastAsia="宋体"/>
                <w:color w:val="000000"/>
                <w:sz w:val="18"/>
                <w:szCs w:val="18"/>
              </w:rPr>
            </w:pPr>
            <w:r>
              <w:rPr>
                <w:rFonts w:hint="eastAsia" w:ascii="宋体" w:hAnsi="宋体" w:eastAsia="宋体"/>
                <w:color w:val="000000"/>
                <w:sz w:val="18"/>
                <w:szCs w:val="18"/>
              </w:rPr>
              <w:t>情形描述</w:t>
            </w:r>
          </w:p>
        </w:tc>
        <w:tc>
          <w:tcPr>
            <w:tcW w:w="5921" w:type="dxa"/>
            <w:tcBorders>
              <w:top w:val="single" w:color="000000" w:sz="4" w:space="0"/>
              <w:left w:val="single" w:color="000000" w:sz="4" w:space="0"/>
              <w:bottom w:val="single" w:color="000000" w:sz="4" w:space="0"/>
              <w:right w:val="single" w:color="000000" w:sz="4" w:space="0"/>
            </w:tcBorders>
            <w:shd w:val="clear" w:color="auto" w:fill="auto"/>
            <w:vAlign w:val="top"/>
          </w:tcPr>
          <w:p w14:paraId="25BE0E2D">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r>
              <w:rPr>
                <w:rFonts w:hint="eastAsia" w:ascii="宋体" w:hAnsi="宋体" w:eastAsia="宋体"/>
                <w:color w:val="000000"/>
                <w:sz w:val="18"/>
                <w:szCs w:val="18"/>
              </w:rPr>
              <w:t>（1）工程防护标准或质量不达标，经整改后建设质量能够达标但防护等级降低的</w:t>
            </w:r>
          </w:p>
          <w:p w14:paraId="018FF524">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r>
              <w:rPr>
                <w:rFonts w:hint="eastAsia" w:ascii="宋体" w:hAnsi="宋体" w:eastAsia="宋体"/>
                <w:color w:val="000000"/>
                <w:sz w:val="18"/>
                <w:szCs w:val="18"/>
              </w:rPr>
              <w:t>（2）一个防护单元内出现2樘以上3樘以下防护设备未按照生产图纸、设计要求和有关规范生产，或出现制作工艺不符合图纸要求问题（常见的有：门扇门框规格尺寸、型材厚度、焊接质量不合格等问题），整改后仍不合格</w:t>
            </w:r>
          </w:p>
          <w:p w14:paraId="1BC68619">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r>
              <w:rPr>
                <w:rFonts w:hint="eastAsia" w:ascii="宋体" w:hAnsi="宋体" w:eastAsia="宋体"/>
                <w:color w:val="000000"/>
                <w:sz w:val="18"/>
                <w:szCs w:val="18"/>
              </w:rPr>
              <w:t>（3）一个防护单位内出现3樘以上5樘以下防护设备安装调试后，安装质量不合格，整改后仍不合格</w:t>
            </w:r>
          </w:p>
          <w:p w14:paraId="249B4AD2">
            <w:pPr>
              <w:wordWrap w:val="0"/>
              <w:autoSpaceDE w:val="0"/>
              <w:autoSpaceDN w:val="0"/>
              <w:spacing w:before="0" w:after="0" w:line="246" w:lineRule="exact"/>
              <w:ind w:left="80" w:right="60" w:firstLine="60"/>
              <w:jc w:val="both"/>
              <w:rPr>
                <w:rFonts w:hint="eastAsia" w:ascii="宋体" w:hAnsi="宋体" w:eastAsia="宋体"/>
                <w:color w:val="000000"/>
                <w:sz w:val="18"/>
                <w:szCs w:val="18"/>
                <w:lang w:val="en-US" w:eastAsia="zh-CN"/>
              </w:rPr>
            </w:pPr>
            <w:r>
              <w:rPr>
                <w:rFonts w:hint="eastAsia" w:ascii="宋体" w:hAnsi="宋体" w:eastAsia="宋体"/>
                <w:color w:val="000000"/>
                <w:sz w:val="18"/>
                <w:szCs w:val="18"/>
              </w:rPr>
              <w:t>（4）一个防护单元内出现2樘以上3樘以下防护设备与建筑结构、设备设施等冲突，导致平时或战时功能不满足规范指标（如：梁、柱、墙体等影响门扇启闭，门扇与门扇冲突等问题），整改后仍不合格</w:t>
            </w:r>
          </w:p>
        </w:tc>
        <w:tc>
          <w:tcPr>
            <w:tcW w:w="1041" w:type="dxa"/>
            <w:vMerge w:val="restart"/>
            <w:tcBorders>
              <w:top w:val="single" w:color="000000" w:sz="4" w:space="0"/>
              <w:left w:val="single" w:color="000000" w:sz="4" w:space="0"/>
              <w:right w:val="single" w:color="000000" w:sz="4" w:space="0"/>
            </w:tcBorders>
            <w:vAlign w:val="center"/>
          </w:tcPr>
          <w:p w14:paraId="324D3D9E">
            <w:pPr>
              <w:wordWrap w:val="0"/>
              <w:autoSpaceDE w:val="0"/>
              <w:autoSpaceDN w:val="0"/>
              <w:spacing w:before="0" w:after="0" w:line="246" w:lineRule="exact"/>
              <w:ind w:left="80" w:right="60" w:firstLine="60"/>
              <w:jc w:val="center"/>
              <w:rPr>
                <w:rFonts w:hint="eastAsia" w:ascii="宋体" w:hAnsi="宋体" w:eastAsia="宋体"/>
                <w:color w:val="000000"/>
                <w:sz w:val="18"/>
                <w:szCs w:val="18"/>
              </w:rPr>
            </w:pPr>
            <w:r>
              <w:rPr>
                <w:rFonts w:hint="eastAsia" w:ascii="宋体" w:hAnsi="宋体" w:eastAsia="宋体"/>
                <w:color w:val="000000"/>
                <w:sz w:val="18"/>
                <w:szCs w:val="18"/>
              </w:rPr>
              <w:t>裁量幅度</w:t>
            </w:r>
          </w:p>
        </w:tc>
        <w:tc>
          <w:tcPr>
            <w:tcW w:w="5603" w:type="dxa"/>
            <w:tcBorders>
              <w:top w:val="single" w:color="000000" w:sz="4" w:space="0"/>
              <w:left w:val="single" w:color="000000" w:sz="4" w:space="0"/>
              <w:bottom w:val="single" w:color="000000" w:sz="4" w:space="0"/>
              <w:right w:val="single" w:color="000000" w:sz="4" w:space="0"/>
            </w:tcBorders>
            <w:shd w:val="clear" w:color="auto" w:fill="auto"/>
            <w:vAlign w:val="top"/>
          </w:tcPr>
          <w:p w14:paraId="4C6038E7">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p>
          <w:p w14:paraId="56302829">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p>
          <w:p w14:paraId="2C51A3B4">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p>
          <w:p w14:paraId="0342C006">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p>
          <w:p w14:paraId="041CC783">
            <w:pPr>
              <w:wordWrap w:val="0"/>
              <w:autoSpaceDE w:val="0"/>
              <w:autoSpaceDN w:val="0"/>
              <w:spacing w:before="0" w:after="0" w:line="246" w:lineRule="exact"/>
              <w:ind w:left="80" w:right="60" w:firstLine="60"/>
              <w:jc w:val="both"/>
              <w:rPr>
                <w:rFonts w:hint="eastAsia" w:ascii="宋体" w:hAnsi="宋体" w:eastAsia="宋体"/>
                <w:color w:val="000000"/>
                <w:sz w:val="18"/>
                <w:szCs w:val="18"/>
                <w:lang w:val="en-US" w:eastAsia="zh-CN"/>
              </w:rPr>
            </w:pPr>
            <w:r>
              <w:rPr>
                <w:rFonts w:hint="eastAsia" w:ascii="宋体" w:hAnsi="宋体" w:eastAsia="宋体"/>
                <w:color w:val="000000"/>
                <w:sz w:val="18"/>
                <w:szCs w:val="18"/>
              </w:rPr>
              <w:t>警告并责令限期整改，对个人并处2000元以上4000元以下罚款，对单位并处2.5万元以上4万元以下罚款</w:t>
            </w:r>
          </w:p>
        </w:tc>
      </w:tr>
      <w:tr w14:paraId="00D8220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260" w:hRule="atLeast"/>
        </w:trPr>
        <w:tc>
          <w:tcPr>
            <w:tcW w:w="1178" w:type="dxa"/>
            <w:vMerge w:val="continue"/>
            <w:tcBorders>
              <w:left w:val="single" w:color="000000" w:sz="4" w:space="0"/>
              <w:bottom w:val="single" w:color="000000" w:sz="4" w:space="0"/>
              <w:right w:val="single" w:color="000000" w:sz="4" w:space="0"/>
            </w:tcBorders>
          </w:tcPr>
          <w:p w14:paraId="3C405C46">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p>
        </w:tc>
        <w:tc>
          <w:tcPr>
            <w:tcW w:w="5921" w:type="dxa"/>
            <w:tcBorders>
              <w:top w:val="single" w:color="000000" w:sz="4" w:space="0"/>
              <w:left w:val="single" w:color="000000" w:sz="4" w:space="0"/>
              <w:bottom w:val="single" w:color="000000" w:sz="4" w:space="0"/>
              <w:right w:val="single" w:color="000000" w:sz="4" w:space="0"/>
            </w:tcBorders>
            <w:shd w:val="clear" w:color="auto" w:fill="auto"/>
            <w:vAlign w:val="top"/>
          </w:tcPr>
          <w:p w14:paraId="70B0F6F7">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r>
              <w:rPr>
                <w:rFonts w:hint="eastAsia" w:ascii="宋体" w:hAnsi="宋体" w:eastAsia="宋体"/>
                <w:color w:val="000000"/>
                <w:sz w:val="18"/>
                <w:szCs w:val="18"/>
              </w:rPr>
              <w:t>（1）工程防护标准或质量不达标，经整改无法达到人防工程标准的（2）一个防护单元内出现3樘以上防护设备未按照生产图纸、设计要求和有关规范生产，或出现制作工艺不符合图纸要求问题（常见的有：门扇门框规格尺寸、型材厚度、焊接质量不合格等问题），整改后仍不合格</w:t>
            </w:r>
          </w:p>
          <w:p w14:paraId="29D7B392">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r>
              <w:rPr>
                <w:rFonts w:hint="eastAsia" w:ascii="宋体" w:hAnsi="宋体" w:eastAsia="宋体"/>
                <w:color w:val="000000"/>
                <w:sz w:val="18"/>
                <w:szCs w:val="18"/>
              </w:rPr>
              <w:t>（3）一个防护单元内出现5樘以上防护设备安装调试后，安装质量不合格，整改后仍不合格</w:t>
            </w:r>
          </w:p>
          <w:p w14:paraId="1D155F53">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r>
              <w:rPr>
                <w:rFonts w:hint="eastAsia" w:ascii="宋体" w:hAnsi="宋体" w:eastAsia="宋体"/>
                <w:color w:val="000000"/>
                <w:sz w:val="18"/>
                <w:szCs w:val="18"/>
              </w:rPr>
              <w:t>（4）一个防护单元内出现3樘以上防护设备与建筑结构、设备设施等冲突，导致平时或战时功能不满足规范指标（如：梁、柱、墙体等影响门扇启闭，门扇与门扇冲突等问题），整改后仍不合格</w:t>
            </w:r>
          </w:p>
          <w:p w14:paraId="1A5C5768">
            <w:pPr>
              <w:wordWrap w:val="0"/>
              <w:autoSpaceDE w:val="0"/>
              <w:autoSpaceDN w:val="0"/>
              <w:spacing w:before="0" w:after="0" w:line="246" w:lineRule="exact"/>
              <w:ind w:left="80" w:right="60" w:firstLine="60"/>
              <w:jc w:val="both"/>
              <w:rPr>
                <w:rFonts w:hint="eastAsia" w:ascii="宋体" w:hAnsi="宋体" w:eastAsia="宋体"/>
                <w:color w:val="000000"/>
                <w:sz w:val="18"/>
                <w:szCs w:val="18"/>
                <w:lang w:val="en-US" w:eastAsia="zh-CN"/>
              </w:rPr>
            </w:pPr>
            <w:r>
              <w:rPr>
                <w:rFonts w:hint="eastAsia" w:ascii="宋体" w:hAnsi="宋体" w:eastAsia="宋体"/>
                <w:color w:val="000000"/>
                <w:sz w:val="18"/>
                <w:szCs w:val="18"/>
              </w:rPr>
              <w:t>（5）防护、防化设备不使用定点厂家产品，整改后仍不合格</w:t>
            </w:r>
          </w:p>
        </w:tc>
        <w:tc>
          <w:tcPr>
            <w:tcW w:w="1041" w:type="dxa"/>
            <w:vMerge w:val="continue"/>
            <w:tcBorders>
              <w:left w:val="single" w:color="000000" w:sz="4" w:space="0"/>
              <w:bottom w:val="single" w:color="000000" w:sz="4" w:space="0"/>
              <w:right w:val="single" w:color="000000" w:sz="4" w:space="0"/>
            </w:tcBorders>
          </w:tcPr>
          <w:p w14:paraId="6A11E66B">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p>
        </w:tc>
        <w:tc>
          <w:tcPr>
            <w:tcW w:w="5603" w:type="dxa"/>
            <w:tcBorders>
              <w:top w:val="single" w:color="000000" w:sz="4" w:space="0"/>
              <w:left w:val="single" w:color="000000" w:sz="4" w:space="0"/>
              <w:bottom w:val="single" w:color="000000" w:sz="4" w:space="0"/>
              <w:right w:val="single" w:color="000000" w:sz="4" w:space="0"/>
            </w:tcBorders>
            <w:shd w:val="clear" w:color="auto" w:fill="auto"/>
            <w:vAlign w:val="top"/>
          </w:tcPr>
          <w:p w14:paraId="76D11C3D">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p>
          <w:p w14:paraId="6FAAF7B6">
            <w:pPr>
              <w:wordWrap w:val="0"/>
              <w:autoSpaceDE w:val="0"/>
              <w:autoSpaceDN w:val="0"/>
              <w:spacing w:before="0" w:after="0" w:line="246" w:lineRule="exact"/>
              <w:ind w:right="60"/>
              <w:jc w:val="both"/>
              <w:rPr>
                <w:rFonts w:hint="eastAsia" w:ascii="宋体" w:hAnsi="宋体" w:eastAsia="宋体"/>
                <w:color w:val="000000"/>
                <w:sz w:val="18"/>
                <w:szCs w:val="18"/>
              </w:rPr>
            </w:pPr>
          </w:p>
          <w:p w14:paraId="35A4DB17">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p>
          <w:p w14:paraId="341364AE">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p>
          <w:p w14:paraId="6015A263">
            <w:pPr>
              <w:wordWrap w:val="0"/>
              <w:autoSpaceDE w:val="0"/>
              <w:autoSpaceDN w:val="0"/>
              <w:spacing w:before="0" w:after="0" w:line="246" w:lineRule="exact"/>
              <w:ind w:left="80" w:right="60" w:firstLine="60"/>
              <w:jc w:val="both"/>
              <w:rPr>
                <w:rFonts w:hint="eastAsia" w:ascii="宋体" w:hAnsi="宋体" w:eastAsia="宋体"/>
                <w:color w:val="000000"/>
                <w:sz w:val="18"/>
                <w:szCs w:val="18"/>
                <w:lang w:val="en-US" w:eastAsia="zh-CN"/>
              </w:rPr>
            </w:pPr>
            <w:r>
              <w:rPr>
                <w:rFonts w:hint="eastAsia" w:ascii="宋体" w:hAnsi="宋体" w:eastAsia="宋体"/>
                <w:color w:val="000000"/>
                <w:sz w:val="18"/>
                <w:szCs w:val="18"/>
              </w:rPr>
              <w:t>警告并责令限期整改，对个人并处4000元以上5000元以下罚款，对单位并处4万元以上5万元以下罚款</w:t>
            </w:r>
          </w:p>
        </w:tc>
      </w:tr>
    </w:tbl>
    <w:p w14:paraId="3E79040C">
      <w:pPr>
        <w:wordWrap w:val="0"/>
        <w:autoSpaceDE w:val="0"/>
        <w:autoSpaceDN w:val="0"/>
        <w:spacing w:before="0" w:after="0" w:line="246" w:lineRule="exact"/>
        <w:ind w:left="80" w:right="60" w:firstLine="60"/>
        <w:jc w:val="both"/>
        <w:rPr>
          <w:rFonts w:hint="eastAsia" w:ascii="宋体" w:hAnsi="宋体" w:eastAsia="宋体"/>
          <w:color w:val="000000"/>
          <w:sz w:val="18"/>
          <w:szCs w:val="18"/>
        </w:rPr>
      </w:pPr>
    </w:p>
    <w:p w14:paraId="04A95866">
      <w:pPr>
        <w:rPr>
          <w:sz w:val="18"/>
          <w:szCs w:val="18"/>
        </w:rPr>
      </w:pPr>
    </w:p>
    <w:p w14:paraId="39719F88">
      <w:pPr>
        <w:rPr>
          <w:sz w:val="18"/>
          <w:szCs w:val="18"/>
        </w:rPr>
      </w:pPr>
    </w:p>
    <w:p w14:paraId="0D6BD936">
      <w:pPr>
        <w:rPr>
          <w:sz w:val="18"/>
          <w:szCs w:val="18"/>
        </w:rPr>
      </w:pPr>
    </w:p>
    <w:p w14:paraId="66E3C9A5">
      <w:pPr>
        <w:rPr>
          <w:sz w:val="18"/>
          <w:szCs w:val="18"/>
        </w:rPr>
      </w:pPr>
    </w:p>
    <w:p w14:paraId="59207652">
      <w:pPr>
        <w:rPr>
          <w:sz w:val="18"/>
          <w:szCs w:val="18"/>
        </w:rPr>
      </w:pPr>
    </w:p>
    <w:p w14:paraId="3E674920">
      <w:pPr>
        <w:rPr>
          <w:sz w:val="18"/>
          <w:szCs w:val="18"/>
        </w:rPr>
      </w:pPr>
    </w:p>
    <w:p w14:paraId="5F478B98">
      <w:pPr>
        <w:rPr>
          <w:sz w:val="18"/>
          <w:szCs w:val="18"/>
        </w:rPr>
      </w:pPr>
    </w:p>
    <w:tbl>
      <w:tblPr>
        <w:tblStyle w:val="15"/>
        <w:tblW w:w="0" w:type="auto"/>
        <w:tblInd w:w="14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0"/>
        <w:gridCol w:w="5762"/>
        <w:gridCol w:w="1220"/>
        <w:gridCol w:w="5666"/>
      </w:tblGrid>
      <w:tr w14:paraId="5207C85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7FDDF59">
            <w:pPr>
              <w:wordWrap w:val="0"/>
              <w:autoSpaceDE w:val="0"/>
              <w:autoSpaceDN w:val="0"/>
              <w:spacing w:before="0" w:after="0" w:line="259" w:lineRule="exact"/>
              <w:jc w:val="center"/>
              <w:rPr>
                <w:sz w:val="18"/>
                <w:szCs w:val="18"/>
              </w:rPr>
            </w:pPr>
            <w:r>
              <w:rPr>
                <w:rFonts w:hint="eastAsia" w:ascii="宋体" w:hAnsi="宋体" w:eastAsia="宋体"/>
                <w:color w:val="000000"/>
                <w:sz w:val="18"/>
                <w:szCs w:val="18"/>
              </w:rPr>
              <w:t>序号</w:t>
            </w:r>
          </w:p>
        </w:tc>
        <w:tc>
          <w:tcPr>
            <w:tcW w:w="12940" w:type="dxa"/>
            <w:gridSpan w:val="3"/>
            <w:tcBorders>
              <w:top w:val="single" w:color="000000" w:sz="4" w:space="0"/>
              <w:left w:val="single" w:color="000000" w:sz="4" w:space="0"/>
              <w:bottom w:val="single" w:color="000000" w:sz="4" w:space="0"/>
              <w:right w:val="single" w:color="000000" w:sz="4" w:space="0"/>
            </w:tcBorders>
            <w:vAlign w:val="top"/>
          </w:tcPr>
          <w:p w14:paraId="5614E613">
            <w:pPr>
              <w:wordWrap w:val="0"/>
              <w:autoSpaceDE w:val="0"/>
              <w:autoSpaceDN w:val="0"/>
              <w:spacing w:before="20" w:after="0" w:line="259" w:lineRule="exact"/>
              <w:ind w:firstLine="80"/>
              <w:jc w:val="both"/>
              <w:rPr>
                <w:rFonts w:hint="eastAsia" w:eastAsia="宋体"/>
                <w:sz w:val="18"/>
                <w:szCs w:val="18"/>
                <w:lang w:val="en-US" w:eastAsia="zh-CN"/>
              </w:rPr>
            </w:pPr>
            <w:r>
              <w:rPr>
                <w:rFonts w:hint="eastAsia" w:ascii="Calibri" w:hAnsi="Calibri" w:eastAsia="Calibri"/>
                <w:color w:val="000000"/>
                <w:sz w:val="18"/>
                <w:szCs w:val="18"/>
              </w:rPr>
              <w:t>2</w:t>
            </w:r>
            <w:r>
              <w:rPr>
                <w:rFonts w:hint="eastAsia" w:ascii="Calibri" w:hAnsi="Calibri"/>
                <w:color w:val="000000"/>
                <w:sz w:val="18"/>
                <w:szCs w:val="18"/>
                <w:lang w:val="en-US" w:eastAsia="zh-CN"/>
              </w:rPr>
              <w:t>1</w:t>
            </w:r>
          </w:p>
        </w:tc>
      </w:tr>
      <w:tr w14:paraId="4D1AECD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378D6B60">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编号</w:t>
            </w:r>
          </w:p>
        </w:tc>
        <w:tc>
          <w:tcPr>
            <w:tcW w:w="12940" w:type="dxa"/>
            <w:gridSpan w:val="3"/>
            <w:tcBorders>
              <w:top w:val="single" w:color="000000" w:sz="4" w:space="0"/>
              <w:left w:val="single" w:color="000000" w:sz="4" w:space="0"/>
              <w:bottom w:val="single" w:color="000000" w:sz="4" w:space="0"/>
              <w:right w:val="single" w:color="000000" w:sz="4" w:space="0"/>
            </w:tcBorders>
            <w:vAlign w:val="top"/>
          </w:tcPr>
          <w:p w14:paraId="0872B687">
            <w:pPr>
              <w:wordWrap w:val="0"/>
              <w:autoSpaceDE w:val="0"/>
              <w:autoSpaceDN w:val="0"/>
              <w:spacing w:before="20" w:after="0" w:line="259" w:lineRule="exact"/>
              <w:ind w:firstLine="60"/>
              <w:jc w:val="both"/>
              <w:rPr>
                <w:sz w:val="18"/>
                <w:szCs w:val="18"/>
              </w:rPr>
            </w:pPr>
            <w:r>
              <w:rPr>
                <w:rFonts w:hint="eastAsia" w:ascii="Calibri" w:hAnsi="Calibri" w:eastAsia="Calibri"/>
                <w:color w:val="000000"/>
                <w:sz w:val="18"/>
                <w:szCs w:val="18"/>
              </w:rPr>
              <w:t>320280025000</w:t>
            </w:r>
          </w:p>
        </w:tc>
      </w:tr>
      <w:tr w14:paraId="5E5A143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9979B8A">
            <w:pPr>
              <w:wordWrap w:val="0"/>
              <w:autoSpaceDE w:val="0"/>
              <w:autoSpaceDN w:val="0"/>
              <w:spacing w:before="20" w:after="0" w:line="259" w:lineRule="exact"/>
              <w:jc w:val="center"/>
              <w:rPr>
                <w:sz w:val="18"/>
                <w:szCs w:val="18"/>
              </w:rPr>
            </w:pPr>
            <w:r>
              <w:rPr>
                <w:rFonts w:hint="eastAsia" w:ascii="宋体" w:hAnsi="宋体" w:eastAsia="宋体"/>
                <w:color w:val="000000"/>
                <w:sz w:val="18"/>
                <w:szCs w:val="18"/>
              </w:rPr>
              <w:t>行为名称</w:t>
            </w:r>
          </w:p>
        </w:tc>
        <w:tc>
          <w:tcPr>
            <w:tcW w:w="12940" w:type="dxa"/>
            <w:gridSpan w:val="3"/>
            <w:tcBorders>
              <w:top w:val="single" w:color="000000" w:sz="4" w:space="0"/>
              <w:left w:val="single" w:color="000000" w:sz="4" w:space="0"/>
              <w:bottom w:val="single" w:color="000000" w:sz="4" w:space="0"/>
              <w:right w:val="single" w:color="000000" w:sz="4" w:space="0"/>
            </w:tcBorders>
            <w:vAlign w:val="top"/>
          </w:tcPr>
          <w:p w14:paraId="0FA6FF60">
            <w:pPr>
              <w:wordWrap w:val="0"/>
              <w:autoSpaceDE w:val="0"/>
              <w:autoSpaceDN w:val="0"/>
              <w:spacing w:before="60" w:after="0" w:line="259" w:lineRule="exact"/>
              <w:ind w:firstLine="80"/>
              <w:jc w:val="both"/>
              <w:rPr>
                <w:sz w:val="18"/>
                <w:szCs w:val="18"/>
              </w:rPr>
            </w:pPr>
            <w:r>
              <w:rPr>
                <w:rFonts w:hint="eastAsia" w:ascii="宋体" w:hAnsi="宋体" w:eastAsia="宋体"/>
                <w:color w:val="000000"/>
                <w:sz w:val="18"/>
                <w:szCs w:val="18"/>
              </w:rPr>
              <w:t>对人民防空工程建设单位未按照国家规定将竣工验收报告、有关认可文件或者准许使用文件报送备案的处罚</w:t>
            </w:r>
          </w:p>
        </w:tc>
      </w:tr>
      <w:tr w14:paraId="760A577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56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5F1312A8">
            <w:pPr>
              <w:wordWrap w:val="0"/>
              <w:autoSpaceDE w:val="0"/>
              <w:autoSpaceDN w:val="0"/>
              <w:spacing w:before="0" w:after="0" w:line="259" w:lineRule="exact"/>
              <w:ind w:firstLine="0"/>
              <w:jc w:val="both"/>
              <w:rPr>
                <w:rFonts w:hint="eastAsia" w:ascii="宋体" w:hAnsi="宋体" w:eastAsia="宋体"/>
                <w:color w:val="000000"/>
                <w:sz w:val="18"/>
                <w:szCs w:val="18"/>
              </w:rPr>
            </w:pPr>
          </w:p>
          <w:p w14:paraId="1BE3FD42">
            <w:pPr>
              <w:wordWrap w:val="0"/>
              <w:autoSpaceDE w:val="0"/>
              <w:autoSpaceDN w:val="0"/>
              <w:spacing w:before="0" w:after="0" w:line="259" w:lineRule="exact"/>
              <w:ind w:firstLine="0"/>
              <w:jc w:val="both"/>
              <w:rPr>
                <w:rFonts w:hint="eastAsia" w:ascii="宋体" w:hAnsi="宋体" w:eastAsia="宋体"/>
                <w:color w:val="000000"/>
                <w:sz w:val="18"/>
                <w:szCs w:val="18"/>
              </w:rPr>
            </w:pPr>
          </w:p>
          <w:p w14:paraId="5E4EDEF5">
            <w:pPr>
              <w:wordWrap w:val="0"/>
              <w:autoSpaceDE w:val="0"/>
              <w:autoSpaceDN w:val="0"/>
              <w:spacing w:before="0" w:after="0" w:line="259" w:lineRule="exact"/>
              <w:ind w:firstLine="0"/>
              <w:jc w:val="both"/>
              <w:rPr>
                <w:rFonts w:hint="eastAsia" w:ascii="宋体" w:hAnsi="宋体" w:eastAsia="宋体"/>
                <w:color w:val="000000"/>
                <w:sz w:val="18"/>
                <w:szCs w:val="18"/>
              </w:rPr>
            </w:pPr>
          </w:p>
          <w:p w14:paraId="6621DEBC">
            <w:pPr>
              <w:wordWrap w:val="0"/>
              <w:autoSpaceDE w:val="0"/>
              <w:autoSpaceDN w:val="0"/>
              <w:spacing w:before="0" w:after="0" w:line="259" w:lineRule="exact"/>
              <w:ind w:firstLine="0"/>
              <w:jc w:val="both"/>
              <w:rPr>
                <w:rFonts w:hint="eastAsia" w:ascii="宋体" w:hAnsi="宋体" w:eastAsia="宋体"/>
                <w:color w:val="000000"/>
                <w:sz w:val="18"/>
                <w:szCs w:val="18"/>
              </w:rPr>
            </w:pPr>
          </w:p>
          <w:p w14:paraId="54A528A8">
            <w:pPr>
              <w:wordWrap w:val="0"/>
              <w:autoSpaceDE w:val="0"/>
              <w:autoSpaceDN w:val="0"/>
              <w:spacing w:before="0" w:after="0" w:line="259" w:lineRule="exact"/>
              <w:ind w:firstLine="0"/>
              <w:jc w:val="both"/>
              <w:rPr>
                <w:rFonts w:hint="eastAsia" w:ascii="宋体" w:hAnsi="宋体" w:eastAsia="宋体"/>
                <w:color w:val="000000"/>
                <w:sz w:val="18"/>
                <w:szCs w:val="18"/>
              </w:rPr>
            </w:pPr>
          </w:p>
          <w:p w14:paraId="13E8013C">
            <w:pPr>
              <w:wordWrap w:val="0"/>
              <w:autoSpaceDE w:val="0"/>
              <w:autoSpaceDN w:val="0"/>
              <w:spacing w:before="0" w:after="0" w:line="259" w:lineRule="exact"/>
              <w:ind w:firstLine="0"/>
              <w:jc w:val="both"/>
              <w:rPr>
                <w:rFonts w:hint="eastAsia" w:ascii="宋体" w:hAnsi="宋体" w:eastAsia="宋体"/>
                <w:color w:val="000000"/>
                <w:sz w:val="18"/>
                <w:szCs w:val="18"/>
              </w:rPr>
            </w:pPr>
          </w:p>
          <w:p w14:paraId="1D111029">
            <w:pPr>
              <w:wordWrap w:val="0"/>
              <w:autoSpaceDE w:val="0"/>
              <w:autoSpaceDN w:val="0"/>
              <w:spacing w:before="163" w:after="0" w:line="259" w:lineRule="exact"/>
              <w:ind w:firstLine="200"/>
              <w:jc w:val="both"/>
              <w:rPr>
                <w:sz w:val="18"/>
                <w:szCs w:val="18"/>
              </w:rPr>
            </w:pPr>
            <w:r>
              <w:rPr>
                <w:rFonts w:hint="eastAsia" w:ascii="宋体" w:hAnsi="宋体" w:eastAsia="宋体"/>
                <w:color w:val="000000"/>
                <w:sz w:val="18"/>
                <w:szCs w:val="18"/>
              </w:rPr>
              <w:t>法律依据</w:t>
            </w:r>
          </w:p>
        </w:tc>
        <w:tc>
          <w:tcPr>
            <w:tcW w:w="12940" w:type="dxa"/>
            <w:gridSpan w:val="3"/>
            <w:tcBorders>
              <w:top w:val="single" w:color="000000" w:sz="4" w:space="0"/>
              <w:left w:val="single" w:color="000000" w:sz="4" w:space="0"/>
              <w:bottom w:val="single" w:color="000000" w:sz="4" w:space="0"/>
              <w:right w:val="single" w:color="000000" w:sz="4" w:space="0"/>
            </w:tcBorders>
            <w:vAlign w:val="top"/>
          </w:tcPr>
          <w:p w14:paraId="7C69C726">
            <w:pPr>
              <w:wordWrap w:val="0"/>
              <w:autoSpaceDE w:val="0"/>
              <w:autoSpaceDN w:val="0"/>
              <w:spacing w:before="60" w:after="0" w:line="259" w:lineRule="exact"/>
              <w:ind w:firstLine="14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44176526">
            <w:pPr>
              <w:wordWrap w:val="0"/>
              <w:autoSpaceDE w:val="0"/>
              <w:autoSpaceDN w:val="0"/>
              <w:spacing w:before="50" w:after="0" w:line="259" w:lineRule="exact"/>
              <w:ind w:left="100" w:right="40" w:firstLine="420"/>
              <w:jc w:val="both"/>
              <w:rPr>
                <w:sz w:val="18"/>
                <w:szCs w:val="18"/>
              </w:rPr>
            </w:pPr>
            <w:r>
              <w:rPr>
                <w:rFonts w:hint="eastAsia" w:ascii="宋体" w:hAnsi="宋体" w:eastAsia="宋体"/>
                <w:color w:val="000000"/>
                <w:sz w:val="18"/>
                <w:szCs w:val="18"/>
              </w:rPr>
              <w:t>第四十九条第一款 建设单位应当自建设工程竣工验收合格之日起</w:t>
            </w:r>
            <w:r>
              <w:rPr>
                <w:rFonts w:hint="eastAsia" w:ascii="Calibri" w:hAnsi="Calibri" w:eastAsia="Calibri"/>
                <w:color w:val="000000"/>
                <w:sz w:val="18"/>
                <w:szCs w:val="18"/>
              </w:rPr>
              <w:t>15</w:t>
            </w:r>
            <w:r>
              <w:rPr>
                <w:rFonts w:hint="eastAsia" w:ascii="宋体" w:hAnsi="宋体" w:eastAsia="宋体"/>
                <w:color w:val="000000"/>
                <w:sz w:val="18"/>
                <w:szCs w:val="18"/>
              </w:rPr>
              <w:t>日内，将建设工程竣工验收报告和规划、公安消防、环保等部门出具的认可文件或者准许使用文件报建设行政主管部门或者其他有关部门备案。</w:t>
            </w:r>
          </w:p>
          <w:p w14:paraId="46D26E8B">
            <w:pPr>
              <w:wordWrap w:val="0"/>
              <w:autoSpaceDE w:val="0"/>
              <w:autoSpaceDN w:val="0"/>
              <w:spacing w:before="0" w:after="0" w:line="259" w:lineRule="exact"/>
              <w:ind w:firstLine="540"/>
              <w:jc w:val="both"/>
              <w:rPr>
                <w:sz w:val="18"/>
                <w:szCs w:val="18"/>
              </w:rPr>
            </w:pPr>
            <w:r>
              <w:rPr>
                <w:rFonts w:hint="eastAsia" w:ascii="宋体" w:hAnsi="宋体" w:eastAsia="宋体"/>
                <w:color w:val="000000"/>
                <w:sz w:val="18"/>
                <w:szCs w:val="18"/>
              </w:rPr>
              <w:t>第五十六条 违反本条例规定，建设单位有下列行为之一的，责令改正，处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万元以下的罚款：</w:t>
            </w:r>
          </w:p>
          <w:p w14:paraId="416551B0">
            <w:pPr>
              <w:wordWrap w:val="0"/>
              <w:autoSpaceDE w:val="0"/>
              <w:autoSpaceDN w:val="0"/>
              <w:spacing w:before="0" w:after="0" w:line="259" w:lineRule="exact"/>
              <w:ind w:firstLine="740"/>
              <w:jc w:val="both"/>
              <w:rPr>
                <w:sz w:val="18"/>
                <w:szCs w:val="18"/>
              </w:rPr>
            </w:pPr>
            <w:r>
              <w:rPr>
                <w:rFonts w:hint="eastAsia" w:ascii="宋体" w:hAnsi="宋体" w:eastAsia="宋体"/>
                <w:color w:val="000000"/>
                <w:sz w:val="18"/>
                <w:szCs w:val="18"/>
              </w:rPr>
              <w:t>（八）未按照国家规定将竣工验收报告、有关认可文件或者准许使用文件报送备案的。</w:t>
            </w:r>
          </w:p>
          <w:p w14:paraId="7B83A2AF">
            <w:pPr>
              <w:wordWrap w:val="0"/>
              <w:autoSpaceDE w:val="0"/>
              <w:autoSpaceDN w:val="0"/>
              <w:spacing w:before="0" w:after="0" w:line="259" w:lineRule="exact"/>
              <w:ind w:left="140" w:right="4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45B687FC">
            <w:pPr>
              <w:wordWrap w:val="0"/>
              <w:autoSpaceDE w:val="0"/>
              <w:autoSpaceDN w:val="0"/>
              <w:spacing w:before="50" w:after="0" w:line="259" w:lineRule="exact"/>
              <w:ind w:left="100" w:right="20" w:firstLine="44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31865ADB">
            <w:pPr>
              <w:wordWrap w:val="0"/>
              <w:autoSpaceDE w:val="0"/>
              <w:autoSpaceDN w:val="0"/>
              <w:spacing w:before="0" w:after="0" w:line="259"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0C0DFBC8">
            <w:pPr>
              <w:wordWrap w:val="0"/>
              <w:autoSpaceDE w:val="0"/>
              <w:autoSpaceDN w:val="0"/>
              <w:spacing w:before="0" w:after="0" w:line="259" w:lineRule="exact"/>
              <w:ind w:left="120" w:right="2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5B0134B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30E43545">
            <w:pPr>
              <w:wordWrap w:val="0"/>
              <w:autoSpaceDE w:val="0"/>
              <w:autoSpaceDN w:val="0"/>
              <w:spacing w:before="40" w:after="0" w:line="259" w:lineRule="exact"/>
              <w:ind w:firstLine="200"/>
              <w:jc w:val="both"/>
              <w:rPr>
                <w:sz w:val="18"/>
                <w:szCs w:val="18"/>
              </w:rPr>
            </w:pPr>
            <w:r>
              <w:rPr>
                <w:rFonts w:hint="eastAsia" w:ascii="宋体" w:hAnsi="宋体" w:eastAsia="宋体"/>
                <w:color w:val="000000"/>
                <w:sz w:val="18"/>
                <w:szCs w:val="18"/>
              </w:rPr>
              <w:t>处罚种类</w:t>
            </w:r>
          </w:p>
        </w:tc>
        <w:tc>
          <w:tcPr>
            <w:tcW w:w="12940" w:type="dxa"/>
            <w:gridSpan w:val="3"/>
            <w:tcBorders>
              <w:top w:val="single" w:color="000000" w:sz="4" w:space="0"/>
              <w:left w:val="single" w:color="000000" w:sz="4" w:space="0"/>
              <w:bottom w:val="single" w:color="000000" w:sz="4" w:space="0"/>
              <w:right w:val="single" w:color="000000" w:sz="4" w:space="0"/>
            </w:tcBorders>
            <w:vAlign w:val="top"/>
          </w:tcPr>
          <w:p w14:paraId="1628883F">
            <w:pPr>
              <w:wordWrap w:val="0"/>
              <w:autoSpaceDE w:val="0"/>
              <w:autoSpaceDN w:val="0"/>
              <w:spacing w:before="80" w:after="0" w:line="259" w:lineRule="exact"/>
              <w:ind w:firstLine="120"/>
              <w:jc w:val="both"/>
              <w:rPr>
                <w:sz w:val="18"/>
                <w:szCs w:val="18"/>
              </w:rPr>
            </w:pPr>
            <w:r>
              <w:rPr>
                <w:rFonts w:hint="eastAsia" w:ascii="宋体" w:hAnsi="宋体" w:eastAsia="宋体"/>
                <w:color w:val="000000"/>
                <w:sz w:val="18"/>
                <w:szCs w:val="18"/>
              </w:rPr>
              <w:t>罚款</w:t>
            </w:r>
          </w:p>
        </w:tc>
      </w:tr>
      <w:tr w14:paraId="2775003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4140" w:type="dxa"/>
            <w:gridSpan w:val="4"/>
            <w:tcBorders>
              <w:top w:val="single" w:color="000000" w:sz="4" w:space="0"/>
              <w:left w:val="single" w:color="000000" w:sz="4" w:space="0"/>
              <w:bottom w:val="single" w:color="000000" w:sz="4" w:space="0"/>
              <w:right w:val="single" w:color="000000" w:sz="4" w:space="0"/>
            </w:tcBorders>
            <w:vAlign w:val="top"/>
          </w:tcPr>
          <w:p w14:paraId="007ACE41">
            <w:pPr>
              <w:wordWrap w:val="0"/>
              <w:autoSpaceDE w:val="0"/>
              <w:autoSpaceDN w:val="0"/>
              <w:spacing w:before="20" w:after="0" w:line="259" w:lineRule="exact"/>
              <w:jc w:val="center"/>
              <w:rPr>
                <w:sz w:val="18"/>
                <w:szCs w:val="18"/>
              </w:rPr>
            </w:pPr>
            <w:r>
              <w:rPr>
                <w:rFonts w:hint="eastAsia" w:ascii="宋体" w:hAnsi="宋体" w:eastAsia="宋体"/>
                <w:color w:val="000000"/>
                <w:sz w:val="18"/>
                <w:szCs w:val="18"/>
              </w:rPr>
              <w:t>自由裁量基准</w:t>
            </w:r>
          </w:p>
        </w:tc>
      </w:tr>
      <w:tr w14:paraId="6ED4E21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7FB5FC38">
            <w:pPr>
              <w:wordWrap w:val="0"/>
              <w:autoSpaceDE w:val="0"/>
              <w:autoSpaceDN w:val="0"/>
              <w:spacing w:before="0" w:after="0" w:line="259" w:lineRule="exact"/>
              <w:ind w:firstLine="0"/>
              <w:jc w:val="both"/>
              <w:rPr>
                <w:rFonts w:hint="eastAsia" w:ascii="宋体" w:hAnsi="宋体" w:eastAsia="宋体"/>
                <w:color w:val="000000"/>
                <w:sz w:val="18"/>
                <w:szCs w:val="18"/>
              </w:rPr>
            </w:pPr>
          </w:p>
          <w:p w14:paraId="03EA02EA">
            <w:pPr>
              <w:wordWrap w:val="0"/>
              <w:autoSpaceDE w:val="0"/>
              <w:autoSpaceDN w:val="0"/>
              <w:spacing w:before="220" w:after="0" w:line="259" w:lineRule="exact"/>
              <w:ind w:firstLine="200"/>
              <w:jc w:val="both"/>
              <w:rPr>
                <w:sz w:val="18"/>
                <w:szCs w:val="18"/>
              </w:rPr>
            </w:pPr>
            <w:r>
              <w:rPr>
                <w:rFonts w:hint="eastAsia" w:ascii="宋体" w:hAnsi="宋体" w:eastAsia="宋体"/>
                <w:color w:val="000000"/>
                <w:sz w:val="18"/>
                <w:szCs w:val="18"/>
              </w:rPr>
              <w:t>情形描述</w:t>
            </w:r>
          </w:p>
        </w:tc>
        <w:tc>
          <w:tcPr>
            <w:tcW w:w="5900" w:type="dxa"/>
            <w:tcBorders>
              <w:top w:val="single" w:color="000000" w:sz="4" w:space="0"/>
              <w:left w:val="single" w:color="000000" w:sz="4" w:space="0"/>
              <w:bottom w:val="single" w:color="000000" w:sz="4" w:space="0"/>
              <w:right w:val="single" w:color="000000" w:sz="4" w:space="0"/>
            </w:tcBorders>
            <w:vAlign w:val="top"/>
          </w:tcPr>
          <w:p w14:paraId="1C8D211D">
            <w:pPr>
              <w:wordWrap w:val="0"/>
              <w:autoSpaceDE w:val="0"/>
              <w:autoSpaceDN w:val="0"/>
              <w:spacing w:before="200" w:after="0" w:line="259" w:lineRule="exact"/>
              <w:ind w:firstLine="100"/>
              <w:jc w:val="both"/>
              <w:rPr>
                <w:sz w:val="18"/>
                <w:szCs w:val="18"/>
              </w:rPr>
            </w:pPr>
            <w:r>
              <w:rPr>
                <w:rFonts w:hint="eastAsia" w:ascii="宋体" w:hAnsi="宋体" w:eastAsia="宋体"/>
                <w:color w:val="000000"/>
                <w:sz w:val="18"/>
                <w:szCs w:val="18"/>
              </w:rPr>
              <w:t>未投入使用的</w:t>
            </w:r>
          </w:p>
        </w:tc>
        <w:tc>
          <w:tcPr>
            <w:tcW w:w="1240" w:type="dxa"/>
            <w:vMerge w:val="restart"/>
            <w:tcBorders>
              <w:top w:val="single" w:color="000000" w:sz="4" w:space="0"/>
              <w:left w:val="single" w:color="000000" w:sz="4" w:space="0"/>
              <w:bottom w:val="single" w:color="000000" w:sz="4" w:space="0"/>
              <w:right w:val="single" w:color="000000" w:sz="4" w:space="0"/>
            </w:tcBorders>
            <w:vAlign w:val="top"/>
          </w:tcPr>
          <w:p w14:paraId="62A772A2">
            <w:pPr>
              <w:wordWrap w:val="0"/>
              <w:autoSpaceDE w:val="0"/>
              <w:autoSpaceDN w:val="0"/>
              <w:spacing w:before="0" w:after="0" w:line="259" w:lineRule="exact"/>
              <w:ind w:firstLine="0"/>
              <w:jc w:val="both"/>
              <w:rPr>
                <w:rFonts w:hint="eastAsia" w:ascii="宋体" w:hAnsi="宋体" w:eastAsia="宋体"/>
                <w:color w:val="000000"/>
                <w:sz w:val="18"/>
                <w:szCs w:val="18"/>
              </w:rPr>
            </w:pPr>
          </w:p>
          <w:p w14:paraId="6D2A02AB">
            <w:pPr>
              <w:wordWrap w:val="0"/>
              <w:autoSpaceDE w:val="0"/>
              <w:autoSpaceDN w:val="0"/>
              <w:spacing w:before="220" w:after="0" w:line="259" w:lineRule="exact"/>
              <w:ind w:firstLine="240"/>
              <w:jc w:val="both"/>
              <w:rPr>
                <w:sz w:val="18"/>
                <w:szCs w:val="18"/>
              </w:rPr>
            </w:pPr>
            <w:r>
              <w:rPr>
                <w:rFonts w:hint="eastAsia" w:ascii="宋体" w:hAnsi="宋体" w:eastAsia="宋体"/>
                <w:color w:val="000000"/>
                <w:sz w:val="18"/>
                <w:szCs w:val="18"/>
              </w:rPr>
              <w:t>裁量幅度</w:t>
            </w:r>
          </w:p>
        </w:tc>
        <w:tc>
          <w:tcPr>
            <w:tcW w:w="5800" w:type="dxa"/>
            <w:tcBorders>
              <w:top w:val="single" w:color="000000" w:sz="4" w:space="0"/>
              <w:left w:val="single" w:color="000000" w:sz="4" w:space="0"/>
              <w:bottom w:val="single" w:color="000000" w:sz="4" w:space="0"/>
              <w:right w:val="single" w:color="000000" w:sz="4" w:space="0"/>
            </w:tcBorders>
            <w:vAlign w:val="top"/>
          </w:tcPr>
          <w:p w14:paraId="09DFE8A4">
            <w:pPr>
              <w:wordWrap w:val="0"/>
              <w:autoSpaceDE w:val="0"/>
              <w:autoSpaceDN w:val="0"/>
              <w:spacing w:before="0" w:after="0" w:line="259" w:lineRule="exact"/>
              <w:ind w:firstLine="10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40</w:t>
            </w:r>
            <w:r>
              <w:rPr>
                <w:rFonts w:hint="eastAsia" w:ascii="宋体" w:hAnsi="宋体" w:eastAsia="宋体"/>
                <w:color w:val="000000"/>
                <w:sz w:val="18"/>
                <w:szCs w:val="18"/>
              </w:rPr>
              <w:t>万元以下罚款</w:t>
            </w:r>
          </w:p>
          <w:p w14:paraId="7451D1A9">
            <w:pPr>
              <w:wordWrap w:val="0"/>
              <w:autoSpaceDE w:val="0"/>
              <w:autoSpaceDN w:val="0"/>
              <w:spacing w:before="0" w:after="0" w:line="259"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725091A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01FA27E0">
            <w:pPr>
              <w:rPr>
                <w:sz w:val="18"/>
                <w:szCs w:val="18"/>
              </w:rPr>
            </w:pPr>
          </w:p>
        </w:tc>
        <w:tc>
          <w:tcPr>
            <w:tcW w:w="5900" w:type="dxa"/>
            <w:tcBorders>
              <w:top w:val="single" w:color="000000" w:sz="4" w:space="0"/>
              <w:left w:val="single" w:color="000000" w:sz="4" w:space="0"/>
              <w:bottom w:val="single" w:color="000000" w:sz="4" w:space="0"/>
              <w:right w:val="single" w:color="000000" w:sz="4" w:space="0"/>
            </w:tcBorders>
            <w:vAlign w:val="top"/>
          </w:tcPr>
          <w:p w14:paraId="2DB4B3B5">
            <w:pPr>
              <w:wordWrap w:val="0"/>
              <w:autoSpaceDE w:val="0"/>
              <w:autoSpaceDN w:val="0"/>
              <w:spacing w:before="180" w:after="0" w:line="259" w:lineRule="exact"/>
              <w:ind w:firstLine="120"/>
              <w:jc w:val="both"/>
              <w:rPr>
                <w:sz w:val="18"/>
                <w:szCs w:val="18"/>
              </w:rPr>
            </w:pPr>
            <w:r>
              <w:rPr>
                <w:rFonts w:hint="eastAsia" w:ascii="宋体" w:hAnsi="宋体" w:eastAsia="宋体"/>
                <w:color w:val="000000"/>
                <w:sz w:val="18"/>
                <w:szCs w:val="18"/>
              </w:rPr>
              <w:t>已经投入使用的</w:t>
            </w:r>
          </w:p>
        </w:tc>
        <w:tc>
          <w:tcPr>
            <w:tcW w:w="1240" w:type="dxa"/>
            <w:vMerge w:val="continue"/>
            <w:tcBorders>
              <w:top w:val="single" w:color="000000" w:sz="4" w:space="0"/>
              <w:left w:val="single" w:color="000000" w:sz="4" w:space="0"/>
              <w:bottom w:val="single" w:color="000000" w:sz="4" w:space="0"/>
              <w:right w:val="single" w:color="000000" w:sz="4" w:space="0"/>
            </w:tcBorders>
          </w:tcPr>
          <w:p w14:paraId="72F033D4">
            <w:pPr>
              <w:rPr>
                <w:sz w:val="18"/>
                <w:szCs w:val="18"/>
              </w:rPr>
            </w:pPr>
          </w:p>
        </w:tc>
        <w:tc>
          <w:tcPr>
            <w:tcW w:w="5800" w:type="dxa"/>
            <w:tcBorders>
              <w:top w:val="single" w:color="000000" w:sz="4" w:space="0"/>
              <w:left w:val="single" w:color="000000" w:sz="4" w:space="0"/>
              <w:bottom w:val="single" w:color="000000" w:sz="4" w:space="0"/>
              <w:right w:val="single" w:color="000000" w:sz="4" w:space="0"/>
            </w:tcBorders>
            <w:vAlign w:val="top"/>
          </w:tcPr>
          <w:p w14:paraId="7F17C0A9">
            <w:pPr>
              <w:wordWrap w:val="0"/>
              <w:autoSpaceDE w:val="0"/>
              <w:autoSpaceDN w:val="0"/>
              <w:spacing w:before="0" w:after="0" w:line="259"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40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万元以下罚款</w:t>
            </w:r>
          </w:p>
          <w:p w14:paraId="6A4263D3">
            <w:pPr>
              <w:wordWrap w:val="0"/>
              <w:autoSpaceDE w:val="0"/>
              <w:autoSpaceDN w:val="0"/>
              <w:spacing w:before="0" w:after="0" w:line="259"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65C6BBAB">
      <w:pPr>
        <w:rPr>
          <w:sz w:val="18"/>
          <w:szCs w:val="18"/>
        </w:rPr>
      </w:pPr>
    </w:p>
    <w:p w14:paraId="130B96DE">
      <w:pPr>
        <w:rPr>
          <w:sz w:val="18"/>
          <w:szCs w:val="18"/>
        </w:rPr>
      </w:pPr>
    </w:p>
    <w:p w14:paraId="46AAD3D8">
      <w:pPr>
        <w:rPr>
          <w:sz w:val="18"/>
          <w:szCs w:val="18"/>
        </w:rPr>
      </w:pPr>
    </w:p>
    <w:p w14:paraId="753C9312">
      <w:pPr>
        <w:rPr>
          <w:sz w:val="18"/>
          <w:szCs w:val="18"/>
        </w:rPr>
      </w:pPr>
    </w:p>
    <w:tbl>
      <w:tblPr>
        <w:tblStyle w:val="15"/>
        <w:tblpPr w:leftFromText="180" w:rightFromText="180" w:vertAnchor="page" w:horzAnchor="page" w:tblpX="1555" w:tblpY="2129"/>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94"/>
        <w:gridCol w:w="5913"/>
        <w:gridCol w:w="1134"/>
        <w:gridCol w:w="5722"/>
      </w:tblGrid>
      <w:tr w14:paraId="7F2AFCF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94" w:type="dxa"/>
            <w:tcBorders>
              <w:top w:val="single" w:color="000000" w:sz="4" w:space="0"/>
              <w:left w:val="single" w:color="000000" w:sz="4" w:space="0"/>
              <w:bottom w:val="single" w:color="000000" w:sz="4" w:space="0"/>
              <w:right w:val="single" w:color="000000" w:sz="4" w:space="0"/>
            </w:tcBorders>
            <w:vAlign w:val="top"/>
          </w:tcPr>
          <w:p w14:paraId="793BC63D">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序号</w:t>
            </w:r>
          </w:p>
        </w:tc>
        <w:tc>
          <w:tcPr>
            <w:tcW w:w="12769" w:type="dxa"/>
            <w:gridSpan w:val="3"/>
            <w:tcBorders>
              <w:top w:val="single" w:color="000000" w:sz="4" w:space="0"/>
              <w:left w:val="single" w:color="000000" w:sz="4" w:space="0"/>
              <w:bottom w:val="single" w:color="000000" w:sz="4" w:space="0"/>
              <w:right w:val="single" w:color="000000" w:sz="4" w:space="0"/>
            </w:tcBorders>
            <w:vAlign w:val="top"/>
          </w:tcPr>
          <w:p w14:paraId="2862033B">
            <w:pPr>
              <w:wordWrap w:val="0"/>
              <w:autoSpaceDE w:val="0"/>
              <w:autoSpaceDN w:val="0"/>
              <w:spacing w:before="13" w:after="0" w:line="246" w:lineRule="exact"/>
              <w:ind w:firstLine="60"/>
              <w:jc w:val="both"/>
              <w:rPr>
                <w:rFonts w:hint="default" w:eastAsia="宋体"/>
                <w:sz w:val="18"/>
                <w:szCs w:val="18"/>
                <w:lang w:val="en-US" w:eastAsia="zh-CN"/>
              </w:rPr>
            </w:pPr>
            <w:r>
              <w:rPr>
                <w:rFonts w:hint="eastAsia" w:ascii="Calibri" w:hAnsi="Calibri" w:eastAsia="Calibri"/>
                <w:color w:val="000000"/>
                <w:sz w:val="18"/>
                <w:szCs w:val="18"/>
              </w:rPr>
              <w:t>2</w:t>
            </w:r>
            <w:r>
              <w:rPr>
                <w:rFonts w:hint="eastAsia" w:ascii="Calibri" w:hAnsi="Calibri"/>
                <w:color w:val="000000"/>
                <w:sz w:val="18"/>
                <w:szCs w:val="18"/>
                <w:lang w:val="en-US" w:eastAsia="zh-CN"/>
              </w:rPr>
              <w:t>2</w:t>
            </w:r>
          </w:p>
        </w:tc>
      </w:tr>
      <w:tr w14:paraId="4DD280B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0" w:hRule="atLeast"/>
        </w:trPr>
        <w:tc>
          <w:tcPr>
            <w:tcW w:w="1194" w:type="dxa"/>
            <w:tcBorders>
              <w:top w:val="single" w:color="000000" w:sz="4" w:space="0"/>
              <w:left w:val="single" w:color="000000" w:sz="4" w:space="0"/>
              <w:bottom w:val="single" w:color="000000" w:sz="4" w:space="0"/>
              <w:right w:val="single" w:color="000000" w:sz="4" w:space="0"/>
            </w:tcBorders>
            <w:vAlign w:val="top"/>
          </w:tcPr>
          <w:p w14:paraId="6FEC8A3C">
            <w:pPr>
              <w:wordWrap w:val="0"/>
              <w:autoSpaceDE w:val="0"/>
              <w:autoSpaceDN w:val="0"/>
              <w:spacing w:before="0" w:after="0" w:line="220" w:lineRule="exact"/>
              <w:ind w:firstLine="320"/>
              <w:jc w:val="both"/>
              <w:rPr>
                <w:sz w:val="18"/>
                <w:szCs w:val="18"/>
              </w:rPr>
            </w:pPr>
            <w:r>
              <w:rPr>
                <w:rFonts w:hint="eastAsia" w:ascii="宋体" w:hAnsi="宋体" w:eastAsia="宋体"/>
                <w:color w:val="000000"/>
                <w:sz w:val="18"/>
                <w:szCs w:val="18"/>
              </w:rPr>
              <w:t>编号</w:t>
            </w:r>
          </w:p>
        </w:tc>
        <w:tc>
          <w:tcPr>
            <w:tcW w:w="12769" w:type="dxa"/>
            <w:gridSpan w:val="3"/>
            <w:tcBorders>
              <w:top w:val="single" w:color="000000" w:sz="4" w:space="0"/>
              <w:left w:val="single" w:color="000000" w:sz="4" w:space="0"/>
              <w:bottom w:val="single" w:color="000000" w:sz="4" w:space="0"/>
              <w:right w:val="single" w:color="000000" w:sz="4" w:space="0"/>
            </w:tcBorders>
            <w:vAlign w:val="top"/>
          </w:tcPr>
          <w:p w14:paraId="08899323">
            <w:pPr>
              <w:wordWrap w:val="0"/>
              <w:autoSpaceDE w:val="0"/>
              <w:autoSpaceDN w:val="0"/>
              <w:spacing w:before="0" w:after="0" w:line="220" w:lineRule="exact"/>
              <w:ind w:firstLine="80"/>
              <w:jc w:val="both"/>
              <w:rPr>
                <w:sz w:val="18"/>
                <w:szCs w:val="18"/>
              </w:rPr>
            </w:pPr>
            <w:r>
              <w:rPr>
                <w:rFonts w:hint="eastAsia" w:ascii="Calibri" w:hAnsi="Calibri" w:eastAsia="Calibri"/>
                <w:color w:val="000000"/>
                <w:sz w:val="18"/>
                <w:szCs w:val="18"/>
              </w:rPr>
              <w:t>320280026000</w:t>
            </w:r>
          </w:p>
        </w:tc>
      </w:tr>
      <w:tr w14:paraId="01FCAC7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194" w:type="dxa"/>
            <w:tcBorders>
              <w:top w:val="single" w:color="000000" w:sz="4" w:space="0"/>
              <w:left w:val="single" w:color="000000" w:sz="4" w:space="0"/>
              <w:bottom w:val="single" w:color="000000" w:sz="4" w:space="0"/>
              <w:right w:val="single" w:color="000000" w:sz="4" w:space="0"/>
            </w:tcBorders>
            <w:vAlign w:val="top"/>
          </w:tcPr>
          <w:p w14:paraId="6098003D">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行为名称</w:t>
            </w:r>
          </w:p>
        </w:tc>
        <w:tc>
          <w:tcPr>
            <w:tcW w:w="12769" w:type="dxa"/>
            <w:gridSpan w:val="3"/>
            <w:tcBorders>
              <w:top w:val="single" w:color="000000" w:sz="4" w:space="0"/>
              <w:left w:val="single" w:color="000000" w:sz="4" w:space="0"/>
              <w:bottom w:val="single" w:color="000000" w:sz="4" w:space="0"/>
              <w:right w:val="single" w:color="000000" w:sz="4" w:space="0"/>
            </w:tcBorders>
            <w:vAlign w:val="top"/>
          </w:tcPr>
          <w:p w14:paraId="6992A828">
            <w:pPr>
              <w:wordWrap w:val="0"/>
              <w:autoSpaceDE w:val="0"/>
              <w:autoSpaceDN w:val="0"/>
              <w:spacing w:before="0" w:after="0" w:line="240" w:lineRule="exact"/>
              <w:ind w:firstLine="100"/>
              <w:jc w:val="both"/>
              <w:rPr>
                <w:sz w:val="18"/>
                <w:szCs w:val="18"/>
              </w:rPr>
            </w:pPr>
            <w:r>
              <w:rPr>
                <w:rFonts w:hint="eastAsia" w:ascii="宋体" w:hAnsi="宋体" w:eastAsia="宋体"/>
                <w:color w:val="000000"/>
                <w:sz w:val="18"/>
                <w:szCs w:val="18"/>
              </w:rPr>
              <w:t>对人民防空工程建设单位未取得施工许可证或者开工报告未经批准，擅自组织施工的处罚</w:t>
            </w:r>
          </w:p>
        </w:tc>
      </w:tr>
      <w:tr w14:paraId="412CD85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80" w:hRule="atLeast"/>
        </w:trPr>
        <w:tc>
          <w:tcPr>
            <w:tcW w:w="1194" w:type="dxa"/>
            <w:tcBorders>
              <w:top w:val="single" w:color="000000" w:sz="4" w:space="0"/>
              <w:left w:val="single" w:color="000000" w:sz="4" w:space="0"/>
              <w:bottom w:val="single" w:color="000000" w:sz="4" w:space="0"/>
              <w:right w:val="single" w:color="000000" w:sz="4" w:space="0"/>
            </w:tcBorders>
            <w:vAlign w:val="top"/>
          </w:tcPr>
          <w:p w14:paraId="4F02EE82">
            <w:pPr>
              <w:wordWrap w:val="0"/>
              <w:autoSpaceDE w:val="0"/>
              <w:autoSpaceDN w:val="0"/>
              <w:spacing w:before="0" w:after="0" w:line="246" w:lineRule="exact"/>
              <w:ind w:firstLine="0"/>
              <w:jc w:val="both"/>
              <w:rPr>
                <w:rFonts w:hint="eastAsia" w:ascii="宋体" w:hAnsi="宋体" w:eastAsia="宋体"/>
                <w:color w:val="000000"/>
                <w:sz w:val="18"/>
                <w:szCs w:val="18"/>
              </w:rPr>
            </w:pPr>
          </w:p>
          <w:p w14:paraId="6BDC3524">
            <w:pPr>
              <w:wordWrap w:val="0"/>
              <w:autoSpaceDE w:val="0"/>
              <w:autoSpaceDN w:val="0"/>
              <w:spacing w:before="0" w:after="0" w:line="246" w:lineRule="exact"/>
              <w:ind w:firstLine="0"/>
              <w:jc w:val="both"/>
              <w:rPr>
                <w:rFonts w:hint="eastAsia" w:ascii="宋体" w:hAnsi="宋体" w:eastAsia="宋体"/>
                <w:color w:val="000000"/>
                <w:sz w:val="18"/>
                <w:szCs w:val="18"/>
              </w:rPr>
            </w:pPr>
          </w:p>
          <w:p w14:paraId="28794836">
            <w:pPr>
              <w:wordWrap w:val="0"/>
              <w:autoSpaceDE w:val="0"/>
              <w:autoSpaceDN w:val="0"/>
              <w:spacing w:before="0" w:after="0" w:line="246" w:lineRule="exact"/>
              <w:ind w:firstLine="0"/>
              <w:jc w:val="both"/>
              <w:rPr>
                <w:rFonts w:hint="eastAsia" w:ascii="宋体" w:hAnsi="宋体" w:eastAsia="宋体"/>
                <w:color w:val="000000"/>
                <w:sz w:val="18"/>
                <w:szCs w:val="18"/>
              </w:rPr>
            </w:pPr>
          </w:p>
          <w:p w14:paraId="790AE464">
            <w:pPr>
              <w:wordWrap w:val="0"/>
              <w:autoSpaceDE w:val="0"/>
              <w:autoSpaceDN w:val="0"/>
              <w:spacing w:before="0" w:after="0" w:line="246" w:lineRule="exact"/>
              <w:ind w:firstLine="0"/>
              <w:jc w:val="both"/>
              <w:rPr>
                <w:rFonts w:hint="eastAsia" w:ascii="宋体" w:hAnsi="宋体" w:eastAsia="宋体"/>
                <w:color w:val="000000"/>
                <w:sz w:val="18"/>
                <w:szCs w:val="18"/>
              </w:rPr>
            </w:pPr>
          </w:p>
          <w:p w14:paraId="2CF2E178">
            <w:pPr>
              <w:wordWrap w:val="0"/>
              <w:autoSpaceDE w:val="0"/>
              <w:autoSpaceDN w:val="0"/>
              <w:spacing w:before="0" w:after="0" w:line="246" w:lineRule="exact"/>
              <w:ind w:firstLine="0"/>
              <w:jc w:val="both"/>
              <w:rPr>
                <w:rFonts w:hint="eastAsia" w:ascii="宋体" w:hAnsi="宋体" w:eastAsia="宋体"/>
                <w:color w:val="000000"/>
                <w:sz w:val="18"/>
                <w:szCs w:val="18"/>
              </w:rPr>
            </w:pPr>
          </w:p>
          <w:p w14:paraId="51FF083B">
            <w:pPr>
              <w:wordWrap w:val="0"/>
              <w:autoSpaceDE w:val="0"/>
              <w:autoSpaceDN w:val="0"/>
              <w:spacing w:before="107" w:after="0" w:line="246" w:lineRule="exact"/>
              <w:jc w:val="center"/>
              <w:rPr>
                <w:sz w:val="18"/>
                <w:szCs w:val="18"/>
              </w:rPr>
            </w:pPr>
            <w:r>
              <w:rPr>
                <w:rFonts w:hint="eastAsia" w:ascii="宋体" w:hAnsi="宋体" w:eastAsia="宋体"/>
                <w:color w:val="000000"/>
                <w:sz w:val="18"/>
                <w:szCs w:val="18"/>
              </w:rPr>
              <w:t>法律依据</w:t>
            </w:r>
          </w:p>
        </w:tc>
        <w:tc>
          <w:tcPr>
            <w:tcW w:w="12769" w:type="dxa"/>
            <w:gridSpan w:val="3"/>
            <w:tcBorders>
              <w:top w:val="single" w:color="000000" w:sz="4" w:space="0"/>
              <w:left w:val="single" w:color="000000" w:sz="4" w:space="0"/>
              <w:bottom w:val="single" w:color="000000" w:sz="4" w:space="0"/>
              <w:right w:val="single" w:color="000000" w:sz="4" w:space="0"/>
            </w:tcBorders>
            <w:vAlign w:val="top"/>
          </w:tcPr>
          <w:p w14:paraId="13D7EB28">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40104384">
            <w:pPr>
              <w:wordWrap w:val="0"/>
              <w:autoSpaceDE w:val="0"/>
              <w:autoSpaceDN w:val="0"/>
              <w:spacing w:before="233" w:after="0" w:line="246" w:lineRule="exact"/>
              <w:ind w:left="80" w:right="80" w:firstLine="420"/>
              <w:jc w:val="both"/>
              <w:rPr>
                <w:sz w:val="18"/>
                <w:szCs w:val="18"/>
              </w:rPr>
            </w:pPr>
            <w:r>
              <w:rPr>
                <w:rFonts w:hint="eastAsia" w:ascii="宋体" w:hAnsi="宋体" w:eastAsia="宋体"/>
                <w:color w:val="000000"/>
                <w:sz w:val="18"/>
                <w:szCs w:val="18"/>
              </w:rPr>
              <w:t>第十三条 建设单位在开工前，应当按照国家有关规定办理工程质量监督手续，工程质量监督手续可以与施工许可证或者开工报告合并办理。</w:t>
            </w:r>
          </w:p>
          <w:p w14:paraId="65EB16BF">
            <w:pPr>
              <w:wordWrap w:val="0"/>
              <w:autoSpaceDE w:val="0"/>
              <w:autoSpaceDN w:val="0"/>
              <w:spacing w:before="0" w:after="0" w:line="240" w:lineRule="exact"/>
              <w:ind w:left="80" w:right="80" w:firstLine="420"/>
              <w:jc w:val="both"/>
              <w:rPr>
                <w:sz w:val="18"/>
                <w:szCs w:val="18"/>
              </w:rPr>
            </w:pPr>
            <w:r>
              <w:rPr>
                <w:rFonts w:hint="eastAsia" w:ascii="宋体" w:hAnsi="宋体" w:eastAsia="宋体"/>
                <w:color w:val="000000"/>
                <w:sz w:val="18"/>
                <w:szCs w:val="18"/>
              </w:rPr>
              <w:t>第五十七条 违反本条例规定，建设单位未取得施工许可证或者开工报告未经批准，擅自组织施工的，责令停止施工，限期改正，处工程合同价款</w:t>
            </w:r>
            <w:r>
              <w:rPr>
                <w:rFonts w:hint="eastAsia" w:ascii="Calibri" w:hAnsi="Calibri" w:eastAsia="Calibri"/>
                <w:color w:val="000000"/>
                <w:sz w:val="18"/>
                <w:szCs w:val="18"/>
              </w:rPr>
              <w:t>1</w:t>
            </w:r>
            <w:r>
              <w:rPr>
                <w:rFonts w:hint="eastAsia" w:ascii="宋体" w:hAnsi="宋体" w:eastAsia="宋体"/>
                <w:color w:val="000000"/>
                <w:sz w:val="18"/>
                <w:szCs w:val="18"/>
              </w:rPr>
              <w:t>％以上</w:t>
            </w:r>
            <w:r>
              <w:rPr>
                <w:rFonts w:hint="eastAsia" w:ascii="Calibri" w:hAnsi="Calibri" w:eastAsia="Calibri"/>
                <w:color w:val="000000"/>
                <w:sz w:val="18"/>
                <w:szCs w:val="18"/>
              </w:rPr>
              <w:t>2</w:t>
            </w:r>
            <w:r>
              <w:rPr>
                <w:rFonts w:hint="eastAsia" w:ascii="宋体" w:hAnsi="宋体" w:eastAsia="宋体"/>
                <w:color w:val="000000"/>
                <w:sz w:val="18"/>
                <w:szCs w:val="18"/>
              </w:rPr>
              <w:t>％以下的罚款。</w:t>
            </w:r>
          </w:p>
          <w:p w14:paraId="75DA906D">
            <w:pPr>
              <w:wordWrap w:val="0"/>
              <w:autoSpaceDE w:val="0"/>
              <w:autoSpaceDN w:val="0"/>
              <w:spacing w:before="213" w:after="0" w:line="246" w:lineRule="exact"/>
              <w:ind w:left="80" w:right="80" w:firstLine="42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388E74E2">
            <w:pPr>
              <w:wordWrap w:val="0"/>
              <w:autoSpaceDE w:val="0"/>
              <w:autoSpaceDN w:val="0"/>
              <w:spacing w:before="0" w:after="0" w:line="240" w:lineRule="exact"/>
              <w:ind w:left="80" w:right="8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2EB90608">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6DFB5057">
            <w:pPr>
              <w:wordWrap w:val="0"/>
              <w:autoSpaceDE w:val="0"/>
              <w:autoSpaceDN w:val="0"/>
              <w:spacing w:before="0" w:after="0" w:line="210" w:lineRule="exact"/>
              <w:ind w:left="100" w:right="8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093D645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40" w:hRule="atLeast"/>
        </w:trPr>
        <w:tc>
          <w:tcPr>
            <w:tcW w:w="1194" w:type="dxa"/>
            <w:tcBorders>
              <w:top w:val="single" w:color="000000" w:sz="4" w:space="0"/>
              <w:left w:val="single" w:color="000000" w:sz="4" w:space="0"/>
              <w:bottom w:val="single" w:color="000000" w:sz="4" w:space="0"/>
              <w:right w:val="single" w:color="000000" w:sz="4" w:space="0"/>
            </w:tcBorders>
            <w:vAlign w:val="top"/>
          </w:tcPr>
          <w:p w14:paraId="3FF1EDDE">
            <w:pPr>
              <w:wordWrap w:val="0"/>
              <w:autoSpaceDE w:val="0"/>
              <w:autoSpaceDN w:val="0"/>
              <w:spacing w:before="0" w:after="0" w:line="220" w:lineRule="exact"/>
              <w:jc w:val="center"/>
              <w:rPr>
                <w:sz w:val="18"/>
                <w:szCs w:val="18"/>
              </w:rPr>
            </w:pPr>
            <w:r>
              <w:rPr>
                <w:rFonts w:hint="eastAsia" w:ascii="宋体" w:hAnsi="宋体" w:eastAsia="宋体"/>
                <w:color w:val="000000"/>
                <w:sz w:val="18"/>
                <w:szCs w:val="18"/>
              </w:rPr>
              <w:t>处罚种类</w:t>
            </w:r>
          </w:p>
        </w:tc>
        <w:tc>
          <w:tcPr>
            <w:tcW w:w="12769" w:type="dxa"/>
            <w:gridSpan w:val="3"/>
            <w:tcBorders>
              <w:top w:val="single" w:color="000000" w:sz="4" w:space="0"/>
              <w:left w:val="single" w:color="000000" w:sz="4" w:space="0"/>
              <w:bottom w:val="single" w:color="000000" w:sz="4" w:space="0"/>
              <w:right w:val="single" w:color="000000" w:sz="4" w:space="0"/>
            </w:tcBorders>
            <w:vAlign w:val="top"/>
          </w:tcPr>
          <w:p w14:paraId="39849861">
            <w:pPr>
              <w:wordWrap w:val="0"/>
              <w:autoSpaceDE w:val="0"/>
              <w:autoSpaceDN w:val="0"/>
              <w:spacing w:before="0" w:after="0" w:line="240" w:lineRule="exact"/>
              <w:ind w:firstLine="60"/>
              <w:jc w:val="both"/>
              <w:rPr>
                <w:sz w:val="18"/>
                <w:szCs w:val="18"/>
              </w:rPr>
            </w:pPr>
            <w:r>
              <w:rPr>
                <w:rFonts w:hint="eastAsia" w:ascii="宋体" w:hAnsi="宋体" w:eastAsia="宋体"/>
                <w:color w:val="000000"/>
                <w:sz w:val="18"/>
                <w:szCs w:val="18"/>
              </w:rPr>
              <w:t>罚款</w:t>
            </w:r>
          </w:p>
        </w:tc>
      </w:tr>
      <w:tr w14:paraId="5FBB2CF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3963" w:type="dxa"/>
            <w:gridSpan w:val="4"/>
            <w:tcBorders>
              <w:top w:val="single" w:color="000000" w:sz="4" w:space="0"/>
              <w:left w:val="single" w:color="000000" w:sz="4" w:space="0"/>
              <w:bottom w:val="single" w:color="000000" w:sz="4" w:space="0"/>
              <w:right w:val="single" w:color="000000" w:sz="4" w:space="0"/>
            </w:tcBorders>
            <w:vAlign w:val="top"/>
          </w:tcPr>
          <w:p w14:paraId="377640F6">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自由裁量基准</w:t>
            </w:r>
          </w:p>
        </w:tc>
      </w:tr>
      <w:tr w14:paraId="1961B76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194" w:type="dxa"/>
            <w:vMerge w:val="restart"/>
            <w:tcBorders>
              <w:top w:val="single" w:color="000000" w:sz="4" w:space="0"/>
              <w:left w:val="single" w:color="000000" w:sz="4" w:space="0"/>
              <w:bottom w:val="single" w:color="000000" w:sz="4" w:space="0"/>
              <w:right w:val="single" w:color="000000" w:sz="4" w:space="0"/>
            </w:tcBorders>
            <w:vAlign w:val="top"/>
          </w:tcPr>
          <w:p w14:paraId="3B7E68BC">
            <w:pPr>
              <w:wordWrap w:val="0"/>
              <w:autoSpaceDE w:val="0"/>
              <w:autoSpaceDN w:val="0"/>
              <w:spacing w:before="0" w:after="0" w:line="246" w:lineRule="exact"/>
              <w:ind w:firstLine="0"/>
              <w:jc w:val="both"/>
              <w:rPr>
                <w:rFonts w:hint="eastAsia" w:ascii="宋体" w:hAnsi="宋体" w:eastAsia="宋体"/>
                <w:color w:val="000000"/>
                <w:sz w:val="18"/>
                <w:szCs w:val="18"/>
              </w:rPr>
            </w:pPr>
          </w:p>
          <w:p w14:paraId="26AB1B3A">
            <w:pPr>
              <w:wordWrap w:val="0"/>
              <w:autoSpaceDE w:val="0"/>
              <w:autoSpaceDN w:val="0"/>
              <w:spacing w:before="0" w:after="0" w:line="246" w:lineRule="exact"/>
              <w:ind w:firstLine="0"/>
              <w:jc w:val="both"/>
              <w:rPr>
                <w:rFonts w:hint="eastAsia" w:ascii="宋体" w:hAnsi="宋体" w:eastAsia="宋体"/>
                <w:color w:val="000000"/>
                <w:sz w:val="18"/>
                <w:szCs w:val="18"/>
              </w:rPr>
            </w:pPr>
          </w:p>
          <w:p w14:paraId="3ED98E45">
            <w:pPr>
              <w:wordWrap w:val="0"/>
              <w:autoSpaceDE w:val="0"/>
              <w:autoSpaceDN w:val="0"/>
              <w:spacing w:before="0" w:after="0" w:line="246" w:lineRule="exact"/>
              <w:ind w:firstLine="0"/>
              <w:jc w:val="both"/>
              <w:rPr>
                <w:rFonts w:hint="eastAsia" w:ascii="宋体" w:hAnsi="宋体" w:eastAsia="宋体"/>
                <w:color w:val="000000"/>
                <w:sz w:val="18"/>
                <w:szCs w:val="18"/>
              </w:rPr>
            </w:pPr>
          </w:p>
          <w:p w14:paraId="5E09FCD8">
            <w:pPr>
              <w:wordWrap w:val="0"/>
              <w:autoSpaceDE w:val="0"/>
              <w:autoSpaceDN w:val="0"/>
              <w:spacing w:before="0" w:after="0" w:line="246" w:lineRule="exact"/>
              <w:ind w:firstLine="0"/>
              <w:jc w:val="both"/>
              <w:rPr>
                <w:rFonts w:hint="eastAsia" w:ascii="宋体" w:hAnsi="宋体" w:eastAsia="宋体"/>
                <w:color w:val="000000"/>
                <w:sz w:val="18"/>
                <w:szCs w:val="18"/>
              </w:rPr>
            </w:pPr>
          </w:p>
          <w:p w14:paraId="39A94847">
            <w:pPr>
              <w:wordWrap w:val="0"/>
              <w:autoSpaceDE w:val="0"/>
              <w:autoSpaceDN w:val="0"/>
              <w:spacing w:before="0" w:after="0" w:line="246" w:lineRule="exact"/>
              <w:ind w:firstLine="0"/>
              <w:jc w:val="both"/>
              <w:rPr>
                <w:rFonts w:hint="eastAsia" w:ascii="宋体" w:hAnsi="宋体" w:eastAsia="宋体"/>
                <w:color w:val="000000"/>
                <w:sz w:val="18"/>
                <w:szCs w:val="18"/>
              </w:rPr>
            </w:pPr>
          </w:p>
          <w:p w14:paraId="7F66CDEA">
            <w:pPr>
              <w:wordWrap w:val="0"/>
              <w:autoSpaceDE w:val="0"/>
              <w:autoSpaceDN w:val="0"/>
              <w:spacing w:before="167" w:after="0" w:line="246" w:lineRule="exact"/>
              <w:jc w:val="center"/>
              <w:rPr>
                <w:sz w:val="18"/>
                <w:szCs w:val="18"/>
              </w:rPr>
            </w:pPr>
            <w:r>
              <w:rPr>
                <w:rFonts w:hint="eastAsia" w:ascii="宋体" w:hAnsi="宋体" w:eastAsia="宋体"/>
                <w:color w:val="000000"/>
                <w:sz w:val="18"/>
                <w:szCs w:val="18"/>
              </w:rPr>
              <w:t>情形描述</w:t>
            </w:r>
          </w:p>
        </w:tc>
        <w:tc>
          <w:tcPr>
            <w:tcW w:w="5913" w:type="dxa"/>
            <w:tcBorders>
              <w:top w:val="single" w:color="000000" w:sz="4" w:space="0"/>
              <w:left w:val="single" w:color="000000" w:sz="4" w:space="0"/>
              <w:bottom w:val="single" w:color="000000" w:sz="4" w:space="0"/>
              <w:right w:val="single" w:color="000000" w:sz="4" w:space="0"/>
            </w:tcBorders>
            <w:vAlign w:val="top"/>
          </w:tcPr>
          <w:p w14:paraId="43ADA3D6">
            <w:pPr>
              <w:wordWrap w:val="0"/>
              <w:autoSpaceDE w:val="0"/>
              <w:autoSpaceDN w:val="0"/>
              <w:spacing w:before="200" w:after="0" w:line="246" w:lineRule="exact"/>
              <w:ind w:firstLine="80"/>
              <w:jc w:val="both"/>
              <w:rPr>
                <w:sz w:val="18"/>
                <w:szCs w:val="18"/>
              </w:rPr>
            </w:pPr>
            <w:r>
              <w:rPr>
                <w:rFonts w:hint="eastAsia" w:ascii="宋体" w:hAnsi="宋体" w:eastAsia="宋体"/>
                <w:color w:val="000000"/>
                <w:sz w:val="18"/>
                <w:szCs w:val="18"/>
              </w:rPr>
              <w:t>已办理部分前期手续，开工时间少于一个月的</w:t>
            </w:r>
          </w:p>
        </w:tc>
        <w:tc>
          <w:tcPr>
            <w:tcW w:w="1134" w:type="dxa"/>
            <w:vMerge w:val="restart"/>
            <w:tcBorders>
              <w:top w:val="single" w:color="000000" w:sz="4" w:space="0"/>
              <w:left w:val="single" w:color="000000" w:sz="4" w:space="0"/>
              <w:bottom w:val="single" w:color="000000" w:sz="4" w:space="0"/>
              <w:right w:val="single" w:color="000000" w:sz="4" w:space="0"/>
            </w:tcBorders>
            <w:vAlign w:val="top"/>
          </w:tcPr>
          <w:p w14:paraId="1486F7AC">
            <w:pPr>
              <w:wordWrap w:val="0"/>
              <w:autoSpaceDE w:val="0"/>
              <w:autoSpaceDN w:val="0"/>
              <w:spacing w:before="0" w:after="0" w:line="246" w:lineRule="exact"/>
              <w:ind w:firstLine="0"/>
              <w:jc w:val="both"/>
              <w:rPr>
                <w:rFonts w:hint="eastAsia" w:ascii="宋体" w:hAnsi="宋体" w:eastAsia="宋体"/>
                <w:color w:val="000000"/>
                <w:sz w:val="18"/>
                <w:szCs w:val="18"/>
              </w:rPr>
            </w:pPr>
          </w:p>
          <w:p w14:paraId="6F7DCE12">
            <w:pPr>
              <w:wordWrap w:val="0"/>
              <w:autoSpaceDE w:val="0"/>
              <w:autoSpaceDN w:val="0"/>
              <w:spacing w:before="0" w:after="0" w:line="246" w:lineRule="exact"/>
              <w:ind w:firstLine="0"/>
              <w:jc w:val="both"/>
              <w:rPr>
                <w:rFonts w:hint="eastAsia" w:ascii="宋体" w:hAnsi="宋体" w:eastAsia="宋体"/>
                <w:color w:val="000000"/>
                <w:sz w:val="18"/>
                <w:szCs w:val="18"/>
              </w:rPr>
            </w:pPr>
          </w:p>
          <w:p w14:paraId="35E6BF27">
            <w:pPr>
              <w:wordWrap w:val="0"/>
              <w:autoSpaceDE w:val="0"/>
              <w:autoSpaceDN w:val="0"/>
              <w:spacing w:before="0" w:after="0" w:line="246" w:lineRule="exact"/>
              <w:ind w:firstLine="0"/>
              <w:jc w:val="both"/>
              <w:rPr>
                <w:rFonts w:hint="eastAsia" w:ascii="宋体" w:hAnsi="宋体" w:eastAsia="宋体"/>
                <w:color w:val="000000"/>
                <w:sz w:val="18"/>
                <w:szCs w:val="18"/>
              </w:rPr>
            </w:pPr>
          </w:p>
          <w:p w14:paraId="2F621C63">
            <w:pPr>
              <w:wordWrap w:val="0"/>
              <w:autoSpaceDE w:val="0"/>
              <w:autoSpaceDN w:val="0"/>
              <w:spacing w:before="0" w:after="0" w:line="246" w:lineRule="exact"/>
              <w:ind w:firstLine="0"/>
              <w:jc w:val="both"/>
              <w:rPr>
                <w:rFonts w:hint="eastAsia" w:ascii="宋体" w:hAnsi="宋体" w:eastAsia="宋体"/>
                <w:color w:val="000000"/>
                <w:sz w:val="18"/>
                <w:szCs w:val="18"/>
              </w:rPr>
            </w:pPr>
          </w:p>
          <w:p w14:paraId="086235D3">
            <w:pPr>
              <w:wordWrap w:val="0"/>
              <w:autoSpaceDE w:val="0"/>
              <w:autoSpaceDN w:val="0"/>
              <w:spacing w:before="0" w:after="0" w:line="246" w:lineRule="exact"/>
              <w:ind w:firstLine="0"/>
              <w:jc w:val="both"/>
              <w:rPr>
                <w:rFonts w:hint="eastAsia" w:ascii="宋体" w:hAnsi="宋体" w:eastAsia="宋体"/>
                <w:color w:val="000000"/>
                <w:sz w:val="18"/>
                <w:szCs w:val="18"/>
              </w:rPr>
            </w:pPr>
          </w:p>
          <w:p w14:paraId="70AECD97">
            <w:pPr>
              <w:wordWrap w:val="0"/>
              <w:autoSpaceDE w:val="0"/>
              <w:autoSpaceDN w:val="0"/>
              <w:spacing w:before="167" w:after="0" w:line="246" w:lineRule="exact"/>
              <w:ind w:firstLine="180"/>
              <w:jc w:val="both"/>
              <w:rPr>
                <w:sz w:val="18"/>
                <w:szCs w:val="18"/>
              </w:rPr>
            </w:pPr>
            <w:r>
              <w:rPr>
                <w:rFonts w:hint="eastAsia" w:ascii="宋体" w:hAnsi="宋体" w:eastAsia="宋体"/>
                <w:color w:val="000000"/>
                <w:sz w:val="18"/>
                <w:szCs w:val="18"/>
              </w:rPr>
              <w:t>裁量幅度</w:t>
            </w:r>
          </w:p>
        </w:tc>
        <w:tc>
          <w:tcPr>
            <w:tcW w:w="5722" w:type="dxa"/>
            <w:tcBorders>
              <w:top w:val="single" w:color="000000" w:sz="4" w:space="0"/>
              <w:left w:val="single" w:color="000000" w:sz="4" w:space="0"/>
              <w:bottom w:val="single" w:color="000000" w:sz="4" w:space="0"/>
              <w:right w:val="single" w:color="000000" w:sz="4" w:space="0"/>
            </w:tcBorders>
            <w:vAlign w:val="top"/>
          </w:tcPr>
          <w:p w14:paraId="7D67C3BA">
            <w:pPr>
              <w:wordWrap w:val="0"/>
              <w:autoSpaceDE w:val="0"/>
              <w:autoSpaceDN w:val="0"/>
              <w:spacing w:before="73" w:after="0" w:line="246" w:lineRule="exact"/>
              <w:ind w:firstLine="120"/>
              <w:jc w:val="both"/>
              <w:rPr>
                <w:sz w:val="18"/>
                <w:szCs w:val="18"/>
              </w:rPr>
            </w:pPr>
            <w:r>
              <w:rPr>
                <w:rFonts w:hint="eastAsia" w:ascii="宋体" w:hAnsi="宋体" w:eastAsia="宋体"/>
                <w:color w:val="000000"/>
                <w:sz w:val="18"/>
                <w:szCs w:val="18"/>
              </w:rPr>
              <w:t>对建设单位：处工程合同价款</w:t>
            </w:r>
            <w:r>
              <w:rPr>
                <w:rFonts w:hint="eastAsia" w:ascii="Calibri" w:hAnsi="Calibri" w:eastAsia="Calibri"/>
                <w:color w:val="000000"/>
                <w:sz w:val="18"/>
                <w:szCs w:val="18"/>
              </w:rPr>
              <w:t>1</w:t>
            </w:r>
            <w:r>
              <w:rPr>
                <w:rFonts w:hint="eastAsia" w:ascii="宋体" w:hAnsi="宋体" w:eastAsia="宋体"/>
                <w:color w:val="000000"/>
                <w:sz w:val="18"/>
                <w:szCs w:val="18"/>
              </w:rPr>
              <w:t>％以上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％以下罚款</w:t>
            </w:r>
          </w:p>
          <w:p w14:paraId="5C2A1471">
            <w:pPr>
              <w:wordWrap w:val="0"/>
              <w:autoSpaceDE w:val="0"/>
              <w:autoSpaceDN w:val="0"/>
              <w:spacing w:before="0" w:after="0" w:line="220"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604774E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194" w:type="dxa"/>
            <w:vMerge w:val="continue"/>
            <w:tcBorders>
              <w:top w:val="single" w:color="000000" w:sz="4" w:space="0"/>
              <w:left w:val="single" w:color="000000" w:sz="4" w:space="0"/>
              <w:bottom w:val="single" w:color="000000" w:sz="4" w:space="0"/>
              <w:right w:val="single" w:color="000000" w:sz="4" w:space="0"/>
            </w:tcBorders>
          </w:tcPr>
          <w:p w14:paraId="12AC9AB8">
            <w:pPr>
              <w:rPr>
                <w:sz w:val="18"/>
                <w:szCs w:val="18"/>
              </w:rPr>
            </w:pPr>
          </w:p>
        </w:tc>
        <w:tc>
          <w:tcPr>
            <w:tcW w:w="5913" w:type="dxa"/>
            <w:tcBorders>
              <w:top w:val="single" w:color="000000" w:sz="4" w:space="0"/>
              <w:left w:val="single" w:color="000000" w:sz="4" w:space="0"/>
              <w:bottom w:val="single" w:color="000000" w:sz="4" w:space="0"/>
              <w:right w:val="single" w:color="000000" w:sz="4" w:space="0"/>
            </w:tcBorders>
            <w:vAlign w:val="top"/>
          </w:tcPr>
          <w:p w14:paraId="6B0B5103">
            <w:pPr>
              <w:wordWrap w:val="0"/>
              <w:autoSpaceDE w:val="0"/>
              <w:autoSpaceDN w:val="0"/>
              <w:spacing w:before="200" w:after="0" w:line="246" w:lineRule="exact"/>
              <w:ind w:firstLine="60"/>
              <w:jc w:val="both"/>
              <w:rPr>
                <w:sz w:val="18"/>
                <w:szCs w:val="18"/>
              </w:rPr>
            </w:pPr>
            <w:r>
              <w:rPr>
                <w:rFonts w:hint="eastAsia" w:ascii="宋体" w:hAnsi="宋体" w:eastAsia="宋体"/>
                <w:color w:val="000000"/>
                <w:sz w:val="18"/>
                <w:szCs w:val="18"/>
              </w:rPr>
              <w:t>未办理前期手续，开工时间少于一个月的</w:t>
            </w:r>
          </w:p>
        </w:tc>
        <w:tc>
          <w:tcPr>
            <w:tcW w:w="1134" w:type="dxa"/>
            <w:vMerge w:val="continue"/>
            <w:tcBorders>
              <w:top w:val="single" w:color="000000" w:sz="4" w:space="0"/>
              <w:left w:val="single" w:color="000000" w:sz="4" w:space="0"/>
              <w:bottom w:val="single" w:color="000000" w:sz="4" w:space="0"/>
              <w:right w:val="single" w:color="000000" w:sz="4" w:space="0"/>
            </w:tcBorders>
          </w:tcPr>
          <w:p w14:paraId="3D597E6F">
            <w:pPr>
              <w:rPr>
                <w:sz w:val="18"/>
                <w:szCs w:val="18"/>
              </w:rPr>
            </w:pPr>
          </w:p>
        </w:tc>
        <w:tc>
          <w:tcPr>
            <w:tcW w:w="5722" w:type="dxa"/>
            <w:tcBorders>
              <w:top w:val="single" w:color="000000" w:sz="4" w:space="0"/>
              <w:left w:val="single" w:color="000000" w:sz="4" w:space="0"/>
              <w:bottom w:val="single" w:color="000000" w:sz="4" w:space="0"/>
              <w:right w:val="single" w:color="000000" w:sz="4" w:space="0"/>
            </w:tcBorders>
            <w:vAlign w:val="top"/>
          </w:tcPr>
          <w:p w14:paraId="4F341002">
            <w:pPr>
              <w:wordWrap w:val="0"/>
              <w:autoSpaceDE w:val="0"/>
              <w:autoSpaceDN w:val="0"/>
              <w:spacing w:before="93" w:after="0" w:line="246" w:lineRule="exact"/>
              <w:ind w:firstLine="120"/>
              <w:jc w:val="both"/>
              <w:rPr>
                <w:sz w:val="18"/>
                <w:szCs w:val="18"/>
              </w:rPr>
            </w:pPr>
            <w:r>
              <w:rPr>
                <w:rFonts w:hint="eastAsia" w:ascii="宋体" w:hAnsi="宋体" w:eastAsia="宋体"/>
                <w:color w:val="000000"/>
                <w:sz w:val="18"/>
                <w:szCs w:val="18"/>
              </w:rPr>
              <w:t>对建设单位：处工程合同价款</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％以下罚款</w:t>
            </w:r>
          </w:p>
          <w:p w14:paraId="540A8385">
            <w:pPr>
              <w:wordWrap w:val="0"/>
              <w:autoSpaceDE w:val="0"/>
              <w:autoSpaceDN w:val="0"/>
              <w:spacing w:before="0" w:after="0" w:line="240"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7</w:t>
            </w:r>
            <w:r>
              <w:rPr>
                <w:rFonts w:hint="eastAsia" w:ascii="宋体" w:hAnsi="宋体" w:eastAsia="宋体"/>
                <w:color w:val="000000"/>
                <w:sz w:val="18"/>
                <w:szCs w:val="18"/>
              </w:rPr>
              <w:t>％以下罚款</w:t>
            </w:r>
          </w:p>
        </w:tc>
      </w:tr>
      <w:tr w14:paraId="0E827B0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194" w:type="dxa"/>
            <w:vMerge w:val="continue"/>
            <w:tcBorders>
              <w:top w:val="single" w:color="000000" w:sz="4" w:space="0"/>
              <w:left w:val="single" w:color="000000" w:sz="4" w:space="0"/>
              <w:bottom w:val="single" w:color="000000" w:sz="4" w:space="0"/>
              <w:right w:val="single" w:color="000000" w:sz="4" w:space="0"/>
            </w:tcBorders>
          </w:tcPr>
          <w:p w14:paraId="3F186942">
            <w:pPr>
              <w:rPr>
                <w:sz w:val="18"/>
                <w:szCs w:val="18"/>
              </w:rPr>
            </w:pPr>
          </w:p>
        </w:tc>
        <w:tc>
          <w:tcPr>
            <w:tcW w:w="5913" w:type="dxa"/>
            <w:tcBorders>
              <w:top w:val="single" w:color="000000" w:sz="4" w:space="0"/>
              <w:left w:val="single" w:color="000000" w:sz="4" w:space="0"/>
              <w:bottom w:val="single" w:color="000000" w:sz="4" w:space="0"/>
              <w:right w:val="single" w:color="000000" w:sz="4" w:space="0"/>
            </w:tcBorders>
            <w:vAlign w:val="top"/>
          </w:tcPr>
          <w:p w14:paraId="4A1AA17D">
            <w:pPr>
              <w:wordWrap w:val="0"/>
              <w:autoSpaceDE w:val="0"/>
              <w:autoSpaceDN w:val="0"/>
              <w:spacing w:before="180" w:after="0" w:line="246" w:lineRule="exact"/>
              <w:ind w:firstLine="100"/>
              <w:jc w:val="both"/>
              <w:rPr>
                <w:sz w:val="18"/>
                <w:szCs w:val="18"/>
              </w:rPr>
            </w:pPr>
            <w:r>
              <w:rPr>
                <w:rFonts w:hint="eastAsia" w:ascii="宋体" w:hAnsi="宋体" w:eastAsia="宋体"/>
                <w:color w:val="000000"/>
                <w:sz w:val="18"/>
                <w:szCs w:val="18"/>
              </w:rPr>
              <w:t>已办理部分前期手续，开工时间超过一个月的</w:t>
            </w:r>
          </w:p>
        </w:tc>
        <w:tc>
          <w:tcPr>
            <w:tcW w:w="1134" w:type="dxa"/>
            <w:vMerge w:val="continue"/>
            <w:tcBorders>
              <w:top w:val="single" w:color="000000" w:sz="4" w:space="0"/>
              <w:left w:val="single" w:color="000000" w:sz="4" w:space="0"/>
              <w:bottom w:val="single" w:color="000000" w:sz="4" w:space="0"/>
              <w:right w:val="single" w:color="000000" w:sz="4" w:space="0"/>
            </w:tcBorders>
          </w:tcPr>
          <w:p w14:paraId="09B16BFF">
            <w:pPr>
              <w:rPr>
                <w:sz w:val="18"/>
                <w:szCs w:val="18"/>
              </w:rPr>
            </w:pPr>
          </w:p>
        </w:tc>
        <w:tc>
          <w:tcPr>
            <w:tcW w:w="5722" w:type="dxa"/>
            <w:tcBorders>
              <w:top w:val="single" w:color="000000" w:sz="4" w:space="0"/>
              <w:left w:val="single" w:color="000000" w:sz="4" w:space="0"/>
              <w:bottom w:val="single" w:color="000000" w:sz="4" w:space="0"/>
              <w:right w:val="single" w:color="000000" w:sz="4" w:space="0"/>
            </w:tcBorders>
            <w:vAlign w:val="top"/>
          </w:tcPr>
          <w:p w14:paraId="30D83C18">
            <w:pPr>
              <w:wordWrap w:val="0"/>
              <w:autoSpaceDE w:val="0"/>
              <w:autoSpaceDN w:val="0"/>
              <w:spacing w:before="27" w:after="0" w:line="246" w:lineRule="exact"/>
              <w:ind w:left="140" w:right="680" w:hanging="20"/>
              <w:jc w:val="both"/>
              <w:rPr>
                <w:sz w:val="18"/>
                <w:szCs w:val="18"/>
              </w:rPr>
            </w:pPr>
            <w:r>
              <w:rPr>
                <w:rFonts w:hint="eastAsia" w:ascii="宋体" w:hAnsi="宋体" w:eastAsia="宋体"/>
                <w:color w:val="000000"/>
                <w:sz w:val="18"/>
                <w:szCs w:val="18"/>
              </w:rPr>
              <w:t>对建设单位：处工程合同价款</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％以下罚款对个人：处单位罚款数额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14C42E4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194" w:type="dxa"/>
            <w:vMerge w:val="continue"/>
            <w:tcBorders>
              <w:top w:val="single" w:color="000000" w:sz="4" w:space="0"/>
              <w:left w:val="single" w:color="000000" w:sz="4" w:space="0"/>
              <w:bottom w:val="single" w:color="000000" w:sz="4" w:space="0"/>
              <w:right w:val="single" w:color="000000" w:sz="4" w:space="0"/>
            </w:tcBorders>
          </w:tcPr>
          <w:p w14:paraId="4E9AA885">
            <w:pPr>
              <w:rPr>
                <w:sz w:val="18"/>
                <w:szCs w:val="18"/>
              </w:rPr>
            </w:pPr>
          </w:p>
        </w:tc>
        <w:tc>
          <w:tcPr>
            <w:tcW w:w="5913" w:type="dxa"/>
            <w:tcBorders>
              <w:top w:val="single" w:color="000000" w:sz="4" w:space="0"/>
              <w:left w:val="single" w:color="000000" w:sz="4" w:space="0"/>
              <w:bottom w:val="single" w:color="000000" w:sz="4" w:space="0"/>
              <w:right w:val="single" w:color="000000" w:sz="4" w:space="0"/>
            </w:tcBorders>
            <w:vAlign w:val="top"/>
          </w:tcPr>
          <w:p w14:paraId="779BCFE2">
            <w:pPr>
              <w:wordWrap w:val="0"/>
              <w:autoSpaceDE w:val="0"/>
              <w:autoSpaceDN w:val="0"/>
              <w:spacing w:before="220" w:after="0" w:line="246" w:lineRule="exact"/>
              <w:ind w:firstLine="80"/>
              <w:jc w:val="both"/>
              <w:rPr>
                <w:sz w:val="18"/>
                <w:szCs w:val="18"/>
              </w:rPr>
            </w:pPr>
            <w:r>
              <w:rPr>
                <w:rFonts w:hint="eastAsia" w:ascii="宋体" w:hAnsi="宋体" w:eastAsia="宋体"/>
                <w:color w:val="000000"/>
                <w:sz w:val="18"/>
                <w:szCs w:val="18"/>
              </w:rPr>
              <w:t>未办理前期手续，开工时间超过一个月的</w:t>
            </w:r>
          </w:p>
        </w:tc>
        <w:tc>
          <w:tcPr>
            <w:tcW w:w="1134" w:type="dxa"/>
            <w:vMerge w:val="continue"/>
            <w:tcBorders>
              <w:top w:val="single" w:color="000000" w:sz="4" w:space="0"/>
              <w:left w:val="single" w:color="000000" w:sz="4" w:space="0"/>
              <w:bottom w:val="single" w:color="000000" w:sz="4" w:space="0"/>
              <w:right w:val="single" w:color="000000" w:sz="4" w:space="0"/>
            </w:tcBorders>
          </w:tcPr>
          <w:p w14:paraId="44FB2EEB">
            <w:pPr>
              <w:rPr>
                <w:sz w:val="18"/>
                <w:szCs w:val="18"/>
              </w:rPr>
            </w:pPr>
          </w:p>
        </w:tc>
        <w:tc>
          <w:tcPr>
            <w:tcW w:w="5722" w:type="dxa"/>
            <w:tcBorders>
              <w:top w:val="single" w:color="000000" w:sz="4" w:space="0"/>
              <w:left w:val="single" w:color="000000" w:sz="4" w:space="0"/>
              <w:bottom w:val="single" w:color="000000" w:sz="4" w:space="0"/>
              <w:right w:val="single" w:color="000000" w:sz="4" w:space="0"/>
            </w:tcBorders>
            <w:vAlign w:val="top"/>
          </w:tcPr>
          <w:p w14:paraId="44E40D26">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对建设单位：处工程合同价款</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2</w:t>
            </w:r>
            <w:r>
              <w:rPr>
                <w:rFonts w:hint="eastAsia" w:ascii="宋体" w:hAnsi="宋体" w:eastAsia="宋体"/>
                <w:color w:val="000000"/>
                <w:sz w:val="18"/>
                <w:szCs w:val="18"/>
              </w:rPr>
              <w:t>％以下罚款</w:t>
            </w:r>
          </w:p>
          <w:p w14:paraId="51271EEC">
            <w:pPr>
              <w:wordWrap w:val="0"/>
              <w:autoSpaceDE w:val="0"/>
              <w:autoSpaceDN w:val="0"/>
              <w:spacing w:before="0" w:after="0" w:line="246" w:lineRule="exact"/>
              <w:ind w:firstLine="14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9</w:t>
            </w:r>
            <w:r>
              <w:rPr>
                <w:rFonts w:hint="eastAsia" w:ascii="宋体" w:hAnsi="宋体" w:eastAsia="宋体"/>
                <w:color w:val="000000"/>
                <w:sz w:val="18"/>
                <w:szCs w:val="18"/>
              </w:rPr>
              <w:t>％以下罚款</w:t>
            </w:r>
          </w:p>
        </w:tc>
      </w:tr>
      <w:tr w14:paraId="174176C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194" w:type="dxa"/>
            <w:vMerge w:val="continue"/>
            <w:tcBorders>
              <w:top w:val="single" w:color="000000" w:sz="4" w:space="0"/>
              <w:left w:val="single" w:color="000000" w:sz="4" w:space="0"/>
              <w:bottom w:val="single" w:color="000000" w:sz="4" w:space="0"/>
              <w:right w:val="single" w:color="000000" w:sz="4" w:space="0"/>
            </w:tcBorders>
          </w:tcPr>
          <w:p w14:paraId="38BE0D3A">
            <w:pPr>
              <w:rPr>
                <w:sz w:val="18"/>
                <w:szCs w:val="18"/>
              </w:rPr>
            </w:pPr>
          </w:p>
        </w:tc>
        <w:tc>
          <w:tcPr>
            <w:tcW w:w="5913" w:type="dxa"/>
            <w:tcBorders>
              <w:top w:val="single" w:color="000000" w:sz="4" w:space="0"/>
              <w:left w:val="single" w:color="000000" w:sz="4" w:space="0"/>
              <w:bottom w:val="single" w:color="000000" w:sz="4" w:space="0"/>
              <w:right w:val="single" w:color="000000" w:sz="4" w:space="0"/>
            </w:tcBorders>
            <w:vAlign w:val="top"/>
          </w:tcPr>
          <w:p w14:paraId="361029C9">
            <w:pPr>
              <w:wordWrap w:val="0"/>
              <w:autoSpaceDE w:val="0"/>
              <w:autoSpaceDN w:val="0"/>
              <w:spacing w:before="180" w:after="0" w:line="246" w:lineRule="exact"/>
              <w:ind w:firstLine="100"/>
              <w:jc w:val="both"/>
              <w:rPr>
                <w:sz w:val="18"/>
                <w:szCs w:val="18"/>
              </w:rPr>
            </w:pPr>
            <w:r>
              <w:rPr>
                <w:rFonts w:hint="eastAsia" w:ascii="宋体" w:hAnsi="宋体" w:eastAsia="宋体"/>
                <w:color w:val="000000"/>
                <w:sz w:val="18"/>
                <w:szCs w:val="18"/>
              </w:rPr>
              <w:t>工程提前开工，造成事故的</w:t>
            </w:r>
          </w:p>
        </w:tc>
        <w:tc>
          <w:tcPr>
            <w:tcW w:w="1134" w:type="dxa"/>
            <w:vMerge w:val="continue"/>
            <w:tcBorders>
              <w:top w:val="single" w:color="000000" w:sz="4" w:space="0"/>
              <w:left w:val="single" w:color="000000" w:sz="4" w:space="0"/>
              <w:bottom w:val="single" w:color="000000" w:sz="4" w:space="0"/>
              <w:right w:val="single" w:color="000000" w:sz="4" w:space="0"/>
            </w:tcBorders>
          </w:tcPr>
          <w:p w14:paraId="765C1910">
            <w:pPr>
              <w:rPr>
                <w:sz w:val="18"/>
                <w:szCs w:val="18"/>
              </w:rPr>
            </w:pPr>
          </w:p>
        </w:tc>
        <w:tc>
          <w:tcPr>
            <w:tcW w:w="5722" w:type="dxa"/>
            <w:tcBorders>
              <w:top w:val="single" w:color="000000" w:sz="4" w:space="0"/>
              <w:left w:val="single" w:color="000000" w:sz="4" w:space="0"/>
              <w:bottom w:val="single" w:color="000000" w:sz="4" w:space="0"/>
              <w:right w:val="single" w:color="000000" w:sz="4" w:space="0"/>
            </w:tcBorders>
            <w:vAlign w:val="top"/>
          </w:tcPr>
          <w:p w14:paraId="31F80249">
            <w:pPr>
              <w:wordWrap w:val="0"/>
              <w:autoSpaceDE w:val="0"/>
              <w:autoSpaceDN w:val="0"/>
              <w:spacing w:before="53" w:after="0" w:line="246" w:lineRule="exact"/>
              <w:ind w:firstLine="140"/>
              <w:jc w:val="both"/>
              <w:rPr>
                <w:sz w:val="18"/>
                <w:szCs w:val="18"/>
              </w:rPr>
            </w:pPr>
            <w:r>
              <w:rPr>
                <w:rFonts w:hint="eastAsia" w:ascii="宋体" w:hAnsi="宋体" w:eastAsia="宋体"/>
                <w:color w:val="000000"/>
                <w:sz w:val="18"/>
                <w:szCs w:val="18"/>
              </w:rPr>
              <w:t>对建设单位：处工程合同价款</w:t>
            </w:r>
            <w:r>
              <w:rPr>
                <w:rFonts w:hint="eastAsia" w:ascii="Calibri" w:hAnsi="Calibri" w:eastAsia="Calibri"/>
                <w:color w:val="000000"/>
                <w:sz w:val="18"/>
                <w:szCs w:val="18"/>
              </w:rPr>
              <w:t>2</w:t>
            </w:r>
            <w:r>
              <w:rPr>
                <w:rFonts w:hint="eastAsia" w:ascii="宋体" w:hAnsi="宋体" w:eastAsia="宋体"/>
                <w:color w:val="000000"/>
                <w:sz w:val="18"/>
                <w:szCs w:val="18"/>
              </w:rPr>
              <w:t>％罚款</w:t>
            </w:r>
          </w:p>
          <w:p w14:paraId="7A131B3D">
            <w:pPr>
              <w:wordWrap w:val="0"/>
              <w:autoSpaceDE w:val="0"/>
              <w:autoSpaceDN w:val="0"/>
              <w:spacing w:before="0" w:after="0" w:line="240" w:lineRule="exact"/>
              <w:ind w:firstLine="14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9</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0168C61C">
      <w:pPr>
        <w:rPr>
          <w:sz w:val="18"/>
          <w:szCs w:val="18"/>
        </w:rPr>
      </w:pPr>
    </w:p>
    <w:tbl>
      <w:tblPr>
        <w:tblStyle w:val="15"/>
        <w:tblpPr w:leftFromText="180" w:rightFromText="180" w:vertAnchor="page" w:horzAnchor="page" w:tblpX="1514" w:tblpY="2081"/>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61"/>
        <w:gridCol w:w="5820"/>
        <w:gridCol w:w="1004"/>
        <w:gridCol w:w="5554"/>
      </w:tblGrid>
      <w:tr w14:paraId="00A520A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4" w:hRule="atLeast"/>
        </w:trPr>
        <w:tc>
          <w:tcPr>
            <w:tcW w:w="1161" w:type="dxa"/>
            <w:tcBorders>
              <w:top w:val="single" w:color="000000" w:sz="4" w:space="0"/>
              <w:left w:val="single" w:color="000000" w:sz="4" w:space="0"/>
              <w:bottom w:val="single" w:color="000000" w:sz="4" w:space="0"/>
              <w:right w:val="single" w:color="000000" w:sz="4" w:space="0"/>
            </w:tcBorders>
            <w:vAlign w:val="top"/>
          </w:tcPr>
          <w:p w14:paraId="7012B70A">
            <w:pPr>
              <w:wordWrap w:val="0"/>
              <w:autoSpaceDE w:val="0"/>
              <w:autoSpaceDN w:val="0"/>
              <w:spacing w:before="39" w:after="0" w:line="220" w:lineRule="exact"/>
              <w:jc w:val="center"/>
              <w:rPr>
                <w:sz w:val="18"/>
                <w:szCs w:val="18"/>
              </w:rPr>
            </w:pPr>
            <w:r>
              <w:rPr>
                <w:rFonts w:hint="eastAsia" w:ascii="宋体" w:hAnsi="宋体" w:eastAsia="宋体"/>
                <w:color w:val="000000"/>
                <w:sz w:val="18"/>
                <w:szCs w:val="18"/>
              </w:rPr>
              <w:t>序号</w:t>
            </w:r>
          </w:p>
        </w:tc>
        <w:tc>
          <w:tcPr>
            <w:tcW w:w="12378" w:type="dxa"/>
            <w:gridSpan w:val="3"/>
            <w:tcBorders>
              <w:top w:val="single" w:color="000000" w:sz="4" w:space="0"/>
              <w:left w:val="single" w:color="000000" w:sz="4" w:space="0"/>
              <w:bottom w:val="single" w:color="000000" w:sz="4" w:space="0"/>
              <w:right w:val="single" w:color="000000" w:sz="4" w:space="0"/>
            </w:tcBorders>
            <w:vAlign w:val="top"/>
          </w:tcPr>
          <w:p w14:paraId="6923D13E">
            <w:pPr>
              <w:wordWrap w:val="0"/>
              <w:autoSpaceDE w:val="0"/>
              <w:autoSpaceDN w:val="0"/>
              <w:spacing w:before="59" w:after="0" w:line="220" w:lineRule="exact"/>
              <w:ind w:firstLine="60"/>
              <w:jc w:val="both"/>
              <w:rPr>
                <w:rFonts w:hint="eastAsia" w:eastAsia="宋体"/>
                <w:sz w:val="18"/>
                <w:szCs w:val="18"/>
                <w:lang w:val="en-US" w:eastAsia="zh-CN"/>
              </w:rPr>
            </w:pPr>
            <w:r>
              <w:rPr>
                <w:rFonts w:hint="eastAsia" w:ascii="Calibri" w:hAnsi="Calibri" w:eastAsia="Calibri"/>
                <w:color w:val="000000"/>
                <w:sz w:val="18"/>
                <w:szCs w:val="18"/>
              </w:rPr>
              <w:t>2</w:t>
            </w:r>
            <w:r>
              <w:rPr>
                <w:rFonts w:hint="eastAsia" w:ascii="Calibri" w:hAnsi="Calibri"/>
                <w:color w:val="000000"/>
                <w:sz w:val="18"/>
                <w:szCs w:val="18"/>
                <w:lang w:val="en-US" w:eastAsia="zh-CN"/>
              </w:rPr>
              <w:t>3</w:t>
            </w:r>
          </w:p>
        </w:tc>
      </w:tr>
      <w:tr w14:paraId="1A02A94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6" w:hRule="atLeast"/>
        </w:trPr>
        <w:tc>
          <w:tcPr>
            <w:tcW w:w="1161" w:type="dxa"/>
            <w:tcBorders>
              <w:top w:val="single" w:color="000000" w:sz="4" w:space="0"/>
              <w:left w:val="single" w:color="000000" w:sz="4" w:space="0"/>
              <w:bottom w:val="single" w:color="000000" w:sz="4" w:space="0"/>
              <w:right w:val="single" w:color="000000" w:sz="4" w:space="0"/>
            </w:tcBorders>
            <w:vAlign w:val="top"/>
          </w:tcPr>
          <w:p w14:paraId="03690352">
            <w:pPr>
              <w:wordWrap w:val="0"/>
              <w:autoSpaceDE w:val="0"/>
              <w:autoSpaceDN w:val="0"/>
              <w:spacing w:before="0" w:after="0" w:line="220" w:lineRule="exact"/>
              <w:ind w:firstLine="340"/>
              <w:jc w:val="both"/>
              <w:rPr>
                <w:sz w:val="18"/>
                <w:szCs w:val="18"/>
              </w:rPr>
            </w:pPr>
            <w:r>
              <w:rPr>
                <w:rFonts w:hint="eastAsia" w:ascii="宋体" w:hAnsi="宋体" w:eastAsia="宋体"/>
                <w:color w:val="000000"/>
                <w:sz w:val="18"/>
                <w:szCs w:val="18"/>
              </w:rPr>
              <w:t>编号</w:t>
            </w:r>
          </w:p>
        </w:tc>
        <w:tc>
          <w:tcPr>
            <w:tcW w:w="12378" w:type="dxa"/>
            <w:gridSpan w:val="3"/>
            <w:tcBorders>
              <w:top w:val="single" w:color="000000" w:sz="4" w:space="0"/>
              <w:left w:val="single" w:color="000000" w:sz="4" w:space="0"/>
              <w:bottom w:val="single" w:color="000000" w:sz="4" w:space="0"/>
              <w:right w:val="single" w:color="000000" w:sz="4" w:space="0"/>
            </w:tcBorders>
            <w:vAlign w:val="top"/>
          </w:tcPr>
          <w:p w14:paraId="4FFEFE3A">
            <w:pPr>
              <w:wordWrap w:val="0"/>
              <w:autoSpaceDE w:val="0"/>
              <w:autoSpaceDN w:val="0"/>
              <w:spacing w:before="39" w:after="0" w:line="220" w:lineRule="exact"/>
              <w:ind w:firstLine="80"/>
              <w:jc w:val="both"/>
              <w:rPr>
                <w:sz w:val="18"/>
                <w:szCs w:val="18"/>
              </w:rPr>
            </w:pPr>
            <w:r>
              <w:rPr>
                <w:rFonts w:hint="eastAsia" w:ascii="Calibri" w:hAnsi="Calibri" w:eastAsia="Calibri"/>
                <w:color w:val="000000"/>
                <w:sz w:val="18"/>
                <w:szCs w:val="18"/>
              </w:rPr>
              <w:t>320280027000</w:t>
            </w:r>
          </w:p>
        </w:tc>
      </w:tr>
      <w:tr w14:paraId="45CEFF5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6" w:hRule="atLeast"/>
        </w:trPr>
        <w:tc>
          <w:tcPr>
            <w:tcW w:w="1161" w:type="dxa"/>
            <w:tcBorders>
              <w:top w:val="single" w:color="000000" w:sz="4" w:space="0"/>
              <w:left w:val="single" w:color="000000" w:sz="4" w:space="0"/>
              <w:bottom w:val="single" w:color="000000" w:sz="4" w:space="0"/>
              <w:right w:val="single" w:color="000000" w:sz="4" w:space="0"/>
            </w:tcBorders>
            <w:vAlign w:val="top"/>
          </w:tcPr>
          <w:p w14:paraId="24B4406D">
            <w:pPr>
              <w:wordWrap w:val="0"/>
              <w:autoSpaceDE w:val="0"/>
              <w:autoSpaceDN w:val="0"/>
              <w:spacing w:before="0" w:after="0" w:line="220" w:lineRule="exact"/>
              <w:jc w:val="center"/>
              <w:rPr>
                <w:sz w:val="18"/>
                <w:szCs w:val="18"/>
              </w:rPr>
            </w:pPr>
            <w:r>
              <w:rPr>
                <w:rFonts w:hint="eastAsia" w:ascii="宋体" w:hAnsi="宋体" w:eastAsia="宋体"/>
                <w:color w:val="000000"/>
                <w:sz w:val="18"/>
                <w:szCs w:val="18"/>
              </w:rPr>
              <w:t>行为名称</w:t>
            </w:r>
          </w:p>
        </w:tc>
        <w:tc>
          <w:tcPr>
            <w:tcW w:w="12378" w:type="dxa"/>
            <w:gridSpan w:val="3"/>
            <w:tcBorders>
              <w:top w:val="single" w:color="000000" w:sz="4" w:space="0"/>
              <w:left w:val="single" w:color="000000" w:sz="4" w:space="0"/>
              <w:bottom w:val="single" w:color="000000" w:sz="4" w:space="0"/>
              <w:right w:val="single" w:color="000000" w:sz="4" w:space="0"/>
            </w:tcBorders>
            <w:vAlign w:val="top"/>
          </w:tcPr>
          <w:p w14:paraId="0B5D4763">
            <w:pPr>
              <w:wordWrap w:val="0"/>
              <w:autoSpaceDE w:val="0"/>
              <w:autoSpaceDN w:val="0"/>
              <w:spacing w:before="39" w:after="0" w:line="220" w:lineRule="exact"/>
              <w:ind w:firstLine="100"/>
              <w:jc w:val="both"/>
              <w:rPr>
                <w:sz w:val="18"/>
                <w:szCs w:val="18"/>
              </w:rPr>
            </w:pPr>
            <w:r>
              <w:rPr>
                <w:rFonts w:hint="eastAsia" w:ascii="宋体" w:hAnsi="宋体" w:eastAsia="宋体"/>
                <w:color w:val="000000"/>
                <w:sz w:val="18"/>
                <w:szCs w:val="18"/>
              </w:rPr>
              <w:t>对人民防空工程承包单位将承包的工程转包或者违法分包的处罚</w:t>
            </w:r>
          </w:p>
        </w:tc>
      </w:tr>
      <w:tr w14:paraId="7F8DA03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160" w:hRule="atLeast"/>
        </w:trPr>
        <w:tc>
          <w:tcPr>
            <w:tcW w:w="1161" w:type="dxa"/>
            <w:tcBorders>
              <w:top w:val="single" w:color="000000" w:sz="4" w:space="0"/>
              <w:left w:val="single" w:color="000000" w:sz="4" w:space="0"/>
              <w:bottom w:val="single" w:color="000000" w:sz="4" w:space="0"/>
              <w:right w:val="single" w:color="000000" w:sz="4" w:space="0"/>
            </w:tcBorders>
            <w:vAlign w:val="top"/>
          </w:tcPr>
          <w:p w14:paraId="33DCDBCB">
            <w:pPr>
              <w:wordWrap w:val="0"/>
              <w:autoSpaceDE w:val="0"/>
              <w:autoSpaceDN w:val="0"/>
              <w:spacing w:before="0" w:after="0" w:line="220" w:lineRule="exact"/>
              <w:ind w:firstLine="0"/>
              <w:jc w:val="both"/>
              <w:rPr>
                <w:rFonts w:hint="eastAsia" w:ascii="宋体" w:hAnsi="宋体" w:eastAsia="宋体"/>
                <w:color w:val="000000"/>
                <w:sz w:val="18"/>
                <w:szCs w:val="18"/>
              </w:rPr>
            </w:pPr>
          </w:p>
          <w:p w14:paraId="2BEB91C7">
            <w:pPr>
              <w:wordWrap w:val="0"/>
              <w:autoSpaceDE w:val="0"/>
              <w:autoSpaceDN w:val="0"/>
              <w:spacing w:before="0" w:after="0" w:line="220" w:lineRule="exact"/>
              <w:ind w:firstLine="0"/>
              <w:jc w:val="both"/>
              <w:rPr>
                <w:rFonts w:hint="eastAsia" w:ascii="宋体" w:hAnsi="宋体" w:eastAsia="宋体"/>
                <w:color w:val="000000"/>
                <w:sz w:val="18"/>
                <w:szCs w:val="18"/>
              </w:rPr>
            </w:pPr>
          </w:p>
          <w:p w14:paraId="2059FE57">
            <w:pPr>
              <w:wordWrap w:val="0"/>
              <w:autoSpaceDE w:val="0"/>
              <w:autoSpaceDN w:val="0"/>
              <w:spacing w:before="0" w:after="0" w:line="220" w:lineRule="exact"/>
              <w:ind w:firstLine="0"/>
              <w:jc w:val="both"/>
              <w:rPr>
                <w:rFonts w:hint="eastAsia" w:ascii="宋体" w:hAnsi="宋体" w:eastAsia="宋体"/>
                <w:color w:val="000000"/>
                <w:sz w:val="18"/>
                <w:szCs w:val="18"/>
              </w:rPr>
            </w:pPr>
          </w:p>
          <w:p w14:paraId="5340523B">
            <w:pPr>
              <w:wordWrap w:val="0"/>
              <w:autoSpaceDE w:val="0"/>
              <w:autoSpaceDN w:val="0"/>
              <w:spacing w:before="0" w:after="0" w:line="220" w:lineRule="exact"/>
              <w:ind w:firstLine="0"/>
              <w:jc w:val="both"/>
              <w:rPr>
                <w:rFonts w:hint="eastAsia" w:ascii="宋体" w:hAnsi="宋体" w:eastAsia="宋体"/>
                <w:color w:val="000000"/>
                <w:sz w:val="18"/>
                <w:szCs w:val="18"/>
              </w:rPr>
            </w:pPr>
          </w:p>
          <w:p w14:paraId="692BD7A3">
            <w:pPr>
              <w:wordWrap w:val="0"/>
              <w:autoSpaceDE w:val="0"/>
              <w:autoSpaceDN w:val="0"/>
              <w:spacing w:before="0" w:after="0" w:line="220" w:lineRule="exact"/>
              <w:ind w:firstLine="0"/>
              <w:jc w:val="both"/>
              <w:rPr>
                <w:rFonts w:hint="eastAsia" w:ascii="宋体" w:hAnsi="宋体" w:eastAsia="宋体"/>
                <w:color w:val="000000"/>
                <w:sz w:val="18"/>
                <w:szCs w:val="18"/>
              </w:rPr>
            </w:pPr>
          </w:p>
          <w:p w14:paraId="7AAC540C">
            <w:pPr>
              <w:wordWrap w:val="0"/>
              <w:autoSpaceDE w:val="0"/>
              <w:autoSpaceDN w:val="0"/>
              <w:spacing w:before="0" w:after="0" w:line="220" w:lineRule="exact"/>
              <w:ind w:firstLine="0"/>
              <w:jc w:val="both"/>
              <w:rPr>
                <w:rFonts w:hint="eastAsia" w:ascii="宋体" w:hAnsi="宋体" w:eastAsia="宋体"/>
                <w:color w:val="000000"/>
                <w:sz w:val="18"/>
                <w:szCs w:val="18"/>
              </w:rPr>
            </w:pPr>
          </w:p>
          <w:p w14:paraId="5629D5F3">
            <w:pPr>
              <w:wordWrap w:val="0"/>
              <w:autoSpaceDE w:val="0"/>
              <w:autoSpaceDN w:val="0"/>
              <w:spacing w:before="0" w:after="0" w:line="220" w:lineRule="exact"/>
              <w:ind w:firstLine="0"/>
              <w:jc w:val="both"/>
              <w:rPr>
                <w:rFonts w:hint="eastAsia" w:ascii="宋体" w:hAnsi="宋体" w:eastAsia="宋体"/>
                <w:color w:val="000000"/>
                <w:sz w:val="18"/>
                <w:szCs w:val="18"/>
              </w:rPr>
            </w:pPr>
          </w:p>
          <w:p w14:paraId="1D78D74E">
            <w:pPr>
              <w:wordWrap w:val="0"/>
              <w:autoSpaceDE w:val="0"/>
              <w:autoSpaceDN w:val="0"/>
              <w:spacing w:before="16" w:after="0" w:line="220" w:lineRule="exact"/>
              <w:ind w:firstLine="260"/>
              <w:jc w:val="both"/>
              <w:rPr>
                <w:sz w:val="18"/>
                <w:szCs w:val="18"/>
              </w:rPr>
            </w:pPr>
            <w:r>
              <w:rPr>
                <w:rFonts w:hint="eastAsia" w:ascii="宋体" w:hAnsi="宋体" w:eastAsia="宋体"/>
                <w:color w:val="000000"/>
                <w:sz w:val="18"/>
                <w:szCs w:val="18"/>
              </w:rPr>
              <w:t>法律依据</w:t>
            </w:r>
          </w:p>
        </w:tc>
        <w:tc>
          <w:tcPr>
            <w:tcW w:w="12378" w:type="dxa"/>
            <w:gridSpan w:val="3"/>
            <w:tcBorders>
              <w:top w:val="single" w:color="000000" w:sz="4" w:space="0"/>
              <w:left w:val="single" w:color="000000" w:sz="4" w:space="0"/>
              <w:bottom w:val="single" w:color="000000" w:sz="4" w:space="0"/>
              <w:right w:val="single" w:color="000000" w:sz="4" w:space="0"/>
            </w:tcBorders>
            <w:vAlign w:val="top"/>
          </w:tcPr>
          <w:p w14:paraId="4104E316">
            <w:pPr>
              <w:wordWrap w:val="0"/>
              <w:autoSpaceDE w:val="0"/>
              <w:autoSpaceDN w:val="0"/>
              <w:spacing w:before="0" w:after="0" w:line="220" w:lineRule="exact"/>
              <w:ind w:firstLine="14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0F641473">
            <w:pPr>
              <w:wordWrap w:val="0"/>
              <w:autoSpaceDE w:val="0"/>
              <w:autoSpaceDN w:val="0"/>
              <w:spacing w:before="0" w:after="0" w:line="200" w:lineRule="exact"/>
              <w:ind w:firstLine="500"/>
              <w:jc w:val="both"/>
              <w:rPr>
                <w:sz w:val="18"/>
                <w:szCs w:val="18"/>
              </w:rPr>
            </w:pPr>
            <w:r>
              <w:rPr>
                <w:rFonts w:hint="eastAsia" w:ascii="宋体" w:hAnsi="宋体" w:eastAsia="宋体"/>
                <w:color w:val="000000"/>
                <w:sz w:val="18"/>
                <w:szCs w:val="18"/>
              </w:rPr>
              <w:t>第十八条第三款 勘察、设计单位不得转包或者违法分包所承揽的工程。</w:t>
            </w:r>
          </w:p>
          <w:p w14:paraId="0BCB7AE6">
            <w:pPr>
              <w:wordWrap w:val="0"/>
              <w:autoSpaceDE w:val="0"/>
              <w:autoSpaceDN w:val="0"/>
              <w:spacing w:before="0" w:after="0" w:line="200" w:lineRule="exact"/>
              <w:ind w:firstLine="500"/>
              <w:jc w:val="both"/>
              <w:rPr>
                <w:sz w:val="18"/>
                <w:szCs w:val="18"/>
              </w:rPr>
            </w:pPr>
            <w:r>
              <w:rPr>
                <w:rFonts w:hint="eastAsia" w:ascii="宋体" w:hAnsi="宋体" w:eastAsia="宋体"/>
                <w:color w:val="000000"/>
                <w:sz w:val="18"/>
                <w:szCs w:val="18"/>
              </w:rPr>
              <w:t>第二十五条第三款 施工单位不得转包或者违法分包工程。</w:t>
            </w:r>
          </w:p>
          <w:p w14:paraId="7AE042A7">
            <w:pPr>
              <w:wordWrap w:val="0"/>
              <w:autoSpaceDE w:val="0"/>
              <w:autoSpaceDN w:val="0"/>
              <w:spacing w:before="0" w:after="0" w:line="220" w:lineRule="exact"/>
              <w:ind w:firstLine="500"/>
              <w:jc w:val="both"/>
              <w:rPr>
                <w:sz w:val="18"/>
                <w:szCs w:val="18"/>
              </w:rPr>
            </w:pPr>
            <w:r>
              <w:rPr>
                <w:rFonts w:hint="eastAsia" w:ascii="宋体" w:hAnsi="宋体" w:eastAsia="宋体"/>
                <w:color w:val="000000"/>
                <w:sz w:val="18"/>
                <w:szCs w:val="18"/>
              </w:rPr>
              <w:t>第三十四条第三款 工程监理单位不得转让工程监理业务。</w:t>
            </w:r>
          </w:p>
          <w:p w14:paraId="435A465E">
            <w:pPr>
              <w:wordWrap w:val="0"/>
              <w:autoSpaceDE w:val="0"/>
              <w:autoSpaceDN w:val="0"/>
              <w:spacing w:before="79" w:after="0" w:line="220" w:lineRule="exact"/>
              <w:ind w:left="120" w:right="20" w:firstLine="380"/>
              <w:jc w:val="both"/>
              <w:rPr>
                <w:sz w:val="18"/>
                <w:szCs w:val="18"/>
              </w:rPr>
            </w:pPr>
            <w:r>
              <w:rPr>
                <w:rFonts w:hint="eastAsia" w:ascii="宋体" w:hAnsi="宋体" w:eastAsia="宋体"/>
                <w:color w:val="000000"/>
                <w:sz w:val="18"/>
                <w:szCs w:val="18"/>
              </w:rPr>
              <w:t>第六十二条 违反本条例规定，承包单位将承包的工程转包或者违法分包的，责令改正，没收违法所得，对勘察、设计单位处合同约定的勘察费、设计费</w:t>
            </w:r>
            <w:r>
              <w:rPr>
                <w:rFonts w:hint="eastAsia" w:ascii="Calibri" w:hAnsi="Calibri" w:eastAsia="Calibri"/>
                <w:color w:val="000000"/>
                <w:sz w:val="18"/>
                <w:szCs w:val="18"/>
              </w:rPr>
              <w:t>25</w:t>
            </w:r>
            <w:r>
              <w:rPr>
                <w:rFonts w:hint="eastAsia" w:ascii="宋体" w:hAnsi="宋体" w:eastAsia="宋体"/>
                <w:color w:val="000000"/>
                <w:sz w:val="18"/>
                <w:szCs w:val="18"/>
              </w:rPr>
              <w:t>％以上</w:t>
            </w:r>
            <w:r>
              <w:rPr>
                <w:rFonts w:hint="eastAsia" w:ascii="Calibri" w:hAnsi="Calibri" w:eastAsia="Calibri"/>
                <w:color w:val="000000"/>
                <w:sz w:val="18"/>
                <w:szCs w:val="18"/>
              </w:rPr>
              <w:t>50</w:t>
            </w:r>
            <w:r>
              <w:rPr>
                <w:rFonts w:hint="eastAsia" w:ascii="宋体" w:hAnsi="宋体" w:eastAsia="宋体"/>
                <w:color w:val="000000"/>
                <w:sz w:val="18"/>
                <w:szCs w:val="18"/>
              </w:rPr>
              <w:t>％以下的罚款；对施工单位处工程合同价款</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w:t>
            </w:r>
            <w:r>
              <w:rPr>
                <w:rFonts w:hint="eastAsia" w:ascii="宋体" w:hAnsi="宋体" w:eastAsia="宋体"/>
                <w:color w:val="000000"/>
                <w:sz w:val="18"/>
                <w:szCs w:val="18"/>
              </w:rPr>
              <w:t>％以下的罚款；可以责令停业整顿，降低资质等级；情节严重的，吊销资质证书。</w:t>
            </w:r>
          </w:p>
          <w:p w14:paraId="753C4015">
            <w:pPr>
              <w:wordWrap w:val="0"/>
              <w:autoSpaceDE w:val="0"/>
              <w:autoSpaceDN w:val="0"/>
              <w:spacing w:before="0" w:after="0" w:line="220" w:lineRule="exact"/>
              <w:ind w:left="120" w:right="20" w:firstLine="400"/>
              <w:jc w:val="both"/>
              <w:rPr>
                <w:sz w:val="18"/>
                <w:szCs w:val="18"/>
              </w:rPr>
            </w:pPr>
            <w:r>
              <w:rPr>
                <w:rFonts w:hint="eastAsia" w:ascii="宋体" w:hAnsi="宋体" w:eastAsia="宋体"/>
                <w:color w:val="000000"/>
                <w:sz w:val="18"/>
                <w:szCs w:val="18"/>
              </w:rPr>
              <w:t>工程监理单位转让工程监理业务的，责令改正，没收违法所得，处合同约定的监理酬金</w:t>
            </w:r>
            <w:r>
              <w:rPr>
                <w:rFonts w:hint="eastAsia" w:ascii="Calibri" w:hAnsi="Calibri" w:eastAsia="Calibri"/>
                <w:color w:val="000000"/>
                <w:sz w:val="18"/>
                <w:szCs w:val="18"/>
              </w:rPr>
              <w:t>25</w:t>
            </w:r>
            <w:r>
              <w:rPr>
                <w:rFonts w:hint="eastAsia" w:ascii="宋体" w:hAnsi="宋体" w:eastAsia="宋体"/>
                <w:color w:val="000000"/>
                <w:sz w:val="18"/>
                <w:szCs w:val="18"/>
              </w:rPr>
              <w:t>％以上</w:t>
            </w:r>
            <w:r>
              <w:rPr>
                <w:rFonts w:hint="eastAsia" w:ascii="Calibri" w:hAnsi="Calibri" w:eastAsia="Calibri"/>
                <w:color w:val="000000"/>
                <w:sz w:val="18"/>
                <w:szCs w:val="18"/>
              </w:rPr>
              <w:t>50</w:t>
            </w:r>
            <w:r>
              <w:rPr>
                <w:rFonts w:hint="eastAsia" w:ascii="宋体" w:hAnsi="宋体" w:eastAsia="宋体"/>
                <w:color w:val="000000"/>
                <w:sz w:val="18"/>
                <w:szCs w:val="18"/>
              </w:rPr>
              <w:t>％以下的罚款；可以责令停业整顿，降低资质等级；情节严重的，吊销资质证书。</w:t>
            </w:r>
          </w:p>
          <w:p w14:paraId="223BC0D2">
            <w:pPr>
              <w:wordWrap w:val="0"/>
              <w:autoSpaceDE w:val="0"/>
              <w:autoSpaceDN w:val="0"/>
              <w:spacing w:before="199" w:after="0" w:line="220" w:lineRule="exact"/>
              <w:ind w:left="120" w:right="4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02DCF51E">
            <w:pPr>
              <w:wordWrap w:val="0"/>
              <w:autoSpaceDE w:val="0"/>
              <w:autoSpaceDN w:val="0"/>
              <w:spacing w:before="0" w:after="0" w:line="200" w:lineRule="exact"/>
              <w:ind w:left="120" w:right="40" w:firstLine="38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500D203A">
            <w:pPr>
              <w:wordWrap w:val="0"/>
              <w:autoSpaceDE w:val="0"/>
              <w:autoSpaceDN w:val="0"/>
              <w:spacing w:before="0" w:after="0" w:line="200"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13C40B9B">
            <w:pPr>
              <w:wordWrap w:val="0"/>
              <w:autoSpaceDE w:val="0"/>
              <w:autoSpaceDN w:val="0"/>
              <w:spacing w:before="0" w:after="0" w:line="190" w:lineRule="exact"/>
              <w:ind w:left="120" w:right="4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62DDA12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1161" w:type="dxa"/>
            <w:tcBorders>
              <w:top w:val="single" w:color="000000" w:sz="4" w:space="0"/>
              <w:left w:val="single" w:color="000000" w:sz="4" w:space="0"/>
              <w:bottom w:val="single" w:color="000000" w:sz="4" w:space="0"/>
              <w:right w:val="single" w:color="000000" w:sz="4" w:space="0"/>
            </w:tcBorders>
            <w:vAlign w:val="top"/>
          </w:tcPr>
          <w:p w14:paraId="66655C5A">
            <w:pPr>
              <w:wordWrap w:val="0"/>
              <w:autoSpaceDE w:val="0"/>
              <w:autoSpaceDN w:val="0"/>
              <w:spacing w:before="0" w:after="0" w:line="220" w:lineRule="exact"/>
              <w:ind w:firstLine="240"/>
              <w:jc w:val="both"/>
              <w:rPr>
                <w:sz w:val="18"/>
                <w:szCs w:val="18"/>
              </w:rPr>
            </w:pPr>
            <w:r>
              <w:rPr>
                <w:rFonts w:hint="eastAsia" w:ascii="宋体" w:hAnsi="宋体" w:eastAsia="宋体"/>
                <w:color w:val="000000"/>
                <w:sz w:val="18"/>
                <w:szCs w:val="18"/>
              </w:rPr>
              <w:t>处罚种类</w:t>
            </w:r>
          </w:p>
        </w:tc>
        <w:tc>
          <w:tcPr>
            <w:tcW w:w="12378" w:type="dxa"/>
            <w:gridSpan w:val="3"/>
            <w:tcBorders>
              <w:top w:val="single" w:color="000000" w:sz="4" w:space="0"/>
              <w:left w:val="single" w:color="000000" w:sz="4" w:space="0"/>
              <w:bottom w:val="single" w:color="000000" w:sz="4" w:space="0"/>
              <w:right w:val="single" w:color="000000" w:sz="4" w:space="0"/>
            </w:tcBorders>
            <w:vAlign w:val="top"/>
          </w:tcPr>
          <w:p w14:paraId="6B04EAB1">
            <w:pPr>
              <w:wordWrap w:val="0"/>
              <w:autoSpaceDE w:val="0"/>
              <w:autoSpaceDN w:val="0"/>
              <w:spacing w:before="19" w:after="0" w:line="220" w:lineRule="exact"/>
              <w:ind w:firstLine="100"/>
              <w:jc w:val="both"/>
              <w:rPr>
                <w:sz w:val="18"/>
                <w:szCs w:val="18"/>
              </w:rPr>
            </w:pPr>
            <w:r>
              <w:rPr>
                <w:rFonts w:hint="eastAsia" w:ascii="宋体" w:hAnsi="宋体" w:eastAsia="宋体"/>
                <w:color w:val="000000"/>
                <w:sz w:val="18"/>
                <w:szCs w:val="18"/>
              </w:rPr>
              <w:t>罚款、没收违法所得</w:t>
            </w:r>
          </w:p>
        </w:tc>
      </w:tr>
      <w:tr w14:paraId="1F2E8A3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6" w:hRule="atLeast"/>
        </w:trPr>
        <w:tc>
          <w:tcPr>
            <w:tcW w:w="13539" w:type="dxa"/>
            <w:gridSpan w:val="4"/>
            <w:tcBorders>
              <w:top w:val="single" w:color="000000" w:sz="4" w:space="0"/>
              <w:left w:val="single" w:color="000000" w:sz="4" w:space="0"/>
              <w:bottom w:val="single" w:color="000000" w:sz="4" w:space="0"/>
              <w:right w:val="single" w:color="000000" w:sz="4" w:space="0"/>
            </w:tcBorders>
            <w:vAlign w:val="top"/>
          </w:tcPr>
          <w:p w14:paraId="74A04EC7">
            <w:pPr>
              <w:wordWrap w:val="0"/>
              <w:autoSpaceDE w:val="0"/>
              <w:autoSpaceDN w:val="0"/>
              <w:spacing w:before="19" w:after="0" w:line="220" w:lineRule="exact"/>
              <w:jc w:val="center"/>
              <w:rPr>
                <w:sz w:val="18"/>
                <w:szCs w:val="18"/>
              </w:rPr>
            </w:pPr>
            <w:r>
              <w:rPr>
                <w:rFonts w:hint="eastAsia" w:ascii="宋体" w:hAnsi="宋体" w:eastAsia="宋体"/>
                <w:color w:val="000000"/>
                <w:sz w:val="18"/>
                <w:szCs w:val="18"/>
              </w:rPr>
              <w:t>自由裁量基准</w:t>
            </w:r>
          </w:p>
        </w:tc>
      </w:tr>
      <w:tr w14:paraId="2FEAD03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207" w:hRule="atLeast"/>
        </w:trPr>
        <w:tc>
          <w:tcPr>
            <w:tcW w:w="1161" w:type="dxa"/>
            <w:vMerge w:val="restart"/>
            <w:tcBorders>
              <w:top w:val="single" w:color="000000" w:sz="4" w:space="0"/>
              <w:left w:val="single" w:color="000000" w:sz="4" w:space="0"/>
              <w:bottom w:val="single" w:color="000000" w:sz="4" w:space="0"/>
              <w:right w:val="single" w:color="000000" w:sz="4" w:space="0"/>
            </w:tcBorders>
            <w:vAlign w:val="top"/>
          </w:tcPr>
          <w:p w14:paraId="37B34ED4">
            <w:pPr>
              <w:wordWrap w:val="0"/>
              <w:autoSpaceDE w:val="0"/>
              <w:autoSpaceDN w:val="0"/>
              <w:spacing w:before="0" w:after="0" w:line="220" w:lineRule="exact"/>
              <w:ind w:firstLine="0"/>
              <w:jc w:val="both"/>
              <w:rPr>
                <w:rFonts w:hint="eastAsia" w:ascii="宋体" w:hAnsi="宋体" w:eastAsia="宋体"/>
                <w:color w:val="000000"/>
                <w:sz w:val="18"/>
                <w:szCs w:val="18"/>
              </w:rPr>
            </w:pPr>
          </w:p>
          <w:p w14:paraId="2AFC7AB0">
            <w:pPr>
              <w:wordWrap w:val="0"/>
              <w:autoSpaceDE w:val="0"/>
              <w:autoSpaceDN w:val="0"/>
              <w:spacing w:before="0" w:after="0" w:line="220" w:lineRule="exact"/>
              <w:ind w:firstLine="0"/>
              <w:jc w:val="both"/>
              <w:rPr>
                <w:rFonts w:hint="eastAsia" w:ascii="宋体" w:hAnsi="宋体" w:eastAsia="宋体"/>
                <w:color w:val="000000"/>
                <w:sz w:val="18"/>
                <w:szCs w:val="18"/>
              </w:rPr>
            </w:pPr>
          </w:p>
          <w:p w14:paraId="15978734">
            <w:pPr>
              <w:wordWrap w:val="0"/>
              <w:autoSpaceDE w:val="0"/>
              <w:autoSpaceDN w:val="0"/>
              <w:spacing w:before="0" w:after="0" w:line="220" w:lineRule="exact"/>
              <w:ind w:firstLine="0"/>
              <w:jc w:val="both"/>
              <w:rPr>
                <w:rFonts w:hint="eastAsia" w:ascii="宋体" w:hAnsi="宋体" w:eastAsia="宋体"/>
                <w:color w:val="000000"/>
                <w:sz w:val="18"/>
                <w:szCs w:val="18"/>
              </w:rPr>
            </w:pPr>
          </w:p>
          <w:p w14:paraId="26C5F984">
            <w:pPr>
              <w:wordWrap w:val="0"/>
              <w:autoSpaceDE w:val="0"/>
              <w:autoSpaceDN w:val="0"/>
              <w:spacing w:before="0" w:after="0" w:line="220" w:lineRule="exact"/>
              <w:ind w:firstLine="0"/>
              <w:jc w:val="both"/>
              <w:rPr>
                <w:rFonts w:hint="eastAsia" w:ascii="宋体" w:hAnsi="宋体" w:eastAsia="宋体"/>
                <w:color w:val="000000"/>
                <w:sz w:val="18"/>
                <w:szCs w:val="18"/>
              </w:rPr>
            </w:pPr>
          </w:p>
          <w:p w14:paraId="12CDB3B0">
            <w:pPr>
              <w:wordWrap w:val="0"/>
              <w:autoSpaceDE w:val="0"/>
              <w:autoSpaceDN w:val="0"/>
              <w:spacing w:before="0" w:after="0" w:line="220" w:lineRule="exact"/>
              <w:ind w:firstLine="0"/>
              <w:jc w:val="both"/>
              <w:rPr>
                <w:rFonts w:hint="eastAsia" w:ascii="宋体" w:hAnsi="宋体" w:eastAsia="宋体"/>
                <w:color w:val="000000"/>
                <w:sz w:val="18"/>
                <w:szCs w:val="18"/>
              </w:rPr>
            </w:pPr>
          </w:p>
          <w:p w14:paraId="6B0F605F">
            <w:pPr>
              <w:wordWrap w:val="0"/>
              <w:autoSpaceDE w:val="0"/>
              <w:autoSpaceDN w:val="0"/>
              <w:spacing w:before="0" w:after="0" w:line="220" w:lineRule="exact"/>
              <w:ind w:firstLine="0"/>
              <w:jc w:val="both"/>
              <w:rPr>
                <w:rFonts w:hint="eastAsia" w:ascii="宋体" w:hAnsi="宋体" w:eastAsia="宋体"/>
                <w:color w:val="000000"/>
                <w:sz w:val="18"/>
                <w:szCs w:val="18"/>
              </w:rPr>
            </w:pPr>
          </w:p>
          <w:p w14:paraId="69BA81E3">
            <w:pPr>
              <w:wordWrap w:val="0"/>
              <w:autoSpaceDE w:val="0"/>
              <w:autoSpaceDN w:val="0"/>
              <w:spacing w:before="117" w:after="0" w:line="220" w:lineRule="exact"/>
              <w:ind w:firstLine="240"/>
              <w:jc w:val="both"/>
              <w:rPr>
                <w:sz w:val="18"/>
                <w:szCs w:val="18"/>
              </w:rPr>
            </w:pPr>
            <w:r>
              <w:rPr>
                <w:rFonts w:hint="eastAsia" w:ascii="宋体" w:hAnsi="宋体" w:eastAsia="宋体"/>
                <w:color w:val="000000"/>
                <w:sz w:val="18"/>
                <w:szCs w:val="18"/>
              </w:rPr>
              <w:t>情形描述</w:t>
            </w:r>
          </w:p>
        </w:tc>
        <w:tc>
          <w:tcPr>
            <w:tcW w:w="5820" w:type="dxa"/>
            <w:tcBorders>
              <w:top w:val="single" w:color="000000" w:sz="4" w:space="0"/>
              <w:left w:val="single" w:color="000000" w:sz="4" w:space="0"/>
              <w:bottom w:val="single" w:color="000000" w:sz="4" w:space="0"/>
              <w:right w:val="single" w:color="000000" w:sz="4" w:space="0"/>
            </w:tcBorders>
            <w:vAlign w:val="top"/>
          </w:tcPr>
          <w:p w14:paraId="344A3E65">
            <w:pPr>
              <w:wordWrap w:val="0"/>
              <w:autoSpaceDE w:val="0"/>
              <w:autoSpaceDN w:val="0"/>
              <w:spacing w:before="0" w:after="0" w:line="220" w:lineRule="exact"/>
              <w:ind w:firstLine="0"/>
              <w:jc w:val="both"/>
              <w:rPr>
                <w:rFonts w:hint="eastAsia" w:ascii="宋体" w:hAnsi="宋体" w:eastAsia="宋体"/>
                <w:color w:val="000000"/>
                <w:sz w:val="18"/>
                <w:szCs w:val="18"/>
              </w:rPr>
            </w:pPr>
          </w:p>
          <w:p w14:paraId="4327FD2A">
            <w:pPr>
              <w:wordWrap w:val="0"/>
              <w:autoSpaceDE w:val="0"/>
              <w:autoSpaceDN w:val="0"/>
              <w:spacing w:before="79" w:after="0" w:line="220" w:lineRule="exact"/>
              <w:ind w:left="120" w:right="40" w:firstLine="20"/>
              <w:jc w:val="both"/>
              <w:rPr>
                <w:sz w:val="18"/>
                <w:szCs w:val="18"/>
              </w:rPr>
            </w:pPr>
            <w:r>
              <w:rPr>
                <w:rFonts w:hint="eastAsia" w:ascii="宋体" w:hAnsi="宋体" w:eastAsia="宋体"/>
                <w:color w:val="000000"/>
                <w:sz w:val="18"/>
                <w:szCs w:val="18"/>
              </w:rPr>
              <w:t>转包或者违法分包、监理转让给其他具备相应资质条件他人的，但未发生质量安全事故的</w:t>
            </w:r>
          </w:p>
        </w:tc>
        <w:tc>
          <w:tcPr>
            <w:tcW w:w="1004" w:type="dxa"/>
            <w:vMerge w:val="restart"/>
            <w:tcBorders>
              <w:top w:val="single" w:color="000000" w:sz="4" w:space="0"/>
              <w:left w:val="single" w:color="000000" w:sz="4" w:space="0"/>
              <w:bottom w:val="single" w:color="000000" w:sz="4" w:space="0"/>
              <w:right w:val="single" w:color="000000" w:sz="4" w:space="0"/>
            </w:tcBorders>
            <w:vAlign w:val="top"/>
          </w:tcPr>
          <w:p w14:paraId="3B938B27">
            <w:pPr>
              <w:wordWrap w:val="0"/>
              <w:autoSpaceDE w:val="0"/>
              <w:autoSpaceDN w:val="0"/>
              <w:spacing w:before="0" w:after="0" w:line="220" w:lineRule="exact"/>
              <w:ind w:firstLine="0"/>
              <w:jc w:val="both"/>
              <w:rPr>
                <w:rFonts w:hint="eastAsia" w:ascii="宋体" w:hAnsi="宋体" w:eastAsia="宋体"/>
                <w:color w:val="000000"/>
                <w:sz w:val="18"/>
                <w:szCs w:val="18"/>
              </w:rPr>
            </w:pPr>
          </w:p>
          <w:p w14:paraId="7E10BBCB">
            <w:pPr>
              <w:wordWrap w:val="0"/>
              <w:autoSpaceDE w:val="0"/>
              <w:autoSpaceDN w:val="0"/>
              <w:spacing w:before="0" w:after="0" w:line="220" w:lineRule="exact"/>
              <w:ind w:firstLine="0"/>
              <w:jc w:val="both"/>
              <w:rPr>
                <w:rFonts w:hint="eastAsia" w:ascii="宋体" w:hAnsi="宋体" w:eastAsia="宋体"/>
                <w:color w:val="000000"/>
                <w:sz w:val="18"/>
                <w:szCs w:val="18"/>
              </w:rPr>
            </w:pPr>
          </w:p>
          <w:p w14:paraId="59BC82A1">
            <w:pPr>
              <w:wordWrap w:val="0"/>
              <w:autoSpaceDE w:val="0"/>
              <w:autoSpaceDN w:val="0"/>
              <w:spacing w:before="0" w:after="0" w:line="220" w:lineRule="exact"/>
              <w:ind w:firstLine="0"/>
              <w:jc w:val="both"/>
              <w:rPr>
                <w:rFonts w:hint="eastAsia" w:ascii="宋体" w:hAnsi="宋体" w:eastAsia="宋体"/>
                <w:color w:val="000000"/>
                <w:sz w:val="18"/>
                <w:szCs w:val="18"/>
              </w:rPr>
            </w:pPr>
          </w:p>
          <w:p w14:paraId="4AE28152">
            <w:pPr>
              <w:wordWrap w:val="0"/>
              <w:autoSpaceDE w:val="0"/>
              <w:autoSpaceDN w:val="0"/>
              <w:spacing w:before="0" w:after="0" w:line="220" w:lineRule="exact"/>
              <w:ind w:firstLine="0"/>
              <w:jc w:val="both"/>
              <w:rPr>
                <w:rFonts w:hint="eastAsia" w:ascii="宋体" w:hAnsi="宋体" w:eastAsia="宋体"/>
                <w:color w:val="000000"/>
                <w:sz w:val="18"/>
                <w:szCs w:val="18"/>
              </w:rPr>
            </w:pPr>
          </w:p>
          <w:p w14:paraId="66B143EE">
            <w:pPr>
              <w:wordWrap w:val="0"/>
              <w:autoSpaceDE w:val="0"/>
              <w:autoSpaceDN w:val="0"/>
              <w:spacing w:before="0" w:after="0" w:line="220" w:lineRule="exact"/>
              <w:ind w:firstLine="0"/>
              <w:jc w:val="both"/>
              <w:rPr>
                <w:rFonts w:hint="eastAsia" w:ascii="宋体" w:hAnsi="宋体" w:eastAsia="宋体"/>
                <w:color w:val="000000"/>
                <w:sz w:val="18"/>
                <w:szCs w:val="18"/>
              </w:rPr>
            </w:pPr>
          </w:p>
          <w:p w14:paraId="62EA6330">
            <w:pPr>
              <w:wordWrap w:val="0"/>
              <w:autoSpaceDE w:val="0"/>
              <w:autoSpaceDN w:val="0"/>
              <w:spacing w:before="0" w:after="0" w:line="220" w:lineRule="exact"/>
              <w:ind w:firstLine="0"/>
              <w:jc w:val="both"/>
              <w:rPr>
                <w:rFonts w:hint="eastAsia" w:ascii="宋体" w:hAnsi="宋体" w:eastAsia="宋体"/>
                <w:color w:val="000000"/>
                <w:sz w:val="18"/>
                <w:szCs w:val="18"/>
              </w:rPr>
            </w:pPr>
          </w:p>
          <w:p w14:paraId="133377B8">
            <w:pPr>
              <w:wordWrap w:val="0"/>
              <w:autoSpaceDE w:val="0"/>
              <w:autoSpaceDN w:val="0"/>
              <w:spacing w:before="137" w:after="0" w:line="220" w:lineRule="exact"/>
              <w:jc w:val="center"/>
              <w:rPr>
                <w:sz w:val="18"/>
                <w:szCs w:val="18"/>
              </w:rPr>
            </w:pPr>
            <w:r>
              <w:rPr>
                <w:rFonts w:hint="eastAsia" w:ascii="宋体" w:hAnsi="宋体" w:eastAsia="宋体"/>
                <w:color w:val="000000"/>
                <w:sz w:val="18"/>
                <w:szCs w:val="18"/>
              </w:rPr>
              <w:t>裁量幅度</w:t>
            </w:r>
          </w:p>
        </w:tc>
        <w:tc>
          <w:tcPr>
            <w:tcW w:w="5554" w:type="dxa"/>
            <w:tcBorders>
              <w:top w:val="single" w:color="000000" w:sz="4" w:space="0"/>
              <w:left w:val="single" w:color="000000" w:sz="4" w:space="0"/>
              <w:bottom w:val="single" w:color="000000" w:sz="4" w:space="0"/>
              <w:right w:val="single" w:color="000000" w:sz="4" w:space="0"/>
            </w:tcBorders>
            <w:vAlign w:val="top"/>
          </w:tcPr>
          <w:p w14:paraId="019BE8B0">
            <w:pPr>
              <w:wordWrap w:val="0"/>
              <w:autoSpaceDE w:val="0"/>
              <w:autoSpaceDN w:val="0"/>
              <w:spacing w:before="0" w:after="0" w:line="220" w:lineRule="exact"/>
              <w:ind w:firstLine="0"/>
              <w:jc w:val="both"/>
              <w:rPr>
                <w:rFonts w:hint="eastAsia" w:ascii="宋体" w:hAnsi="宋体" w:eastAsia="宋体"/>
                <w:color w:val="000000"/>
                <w:sz w:val="18"/>
                <w:szCs w:val="18"/>
              </w:rPr>
            </w:pPr>
          </w:p>
          <w:p w14:paraId="3393E177">
            <w:pPr>
              <w:wordWrap w:val="0"/>
              <w:autoSpaceDE w:val="0"/>
              <w:autoSpaceDN w:val="0"/>
              <w:spacing w:before="19" w:after="0" w:line="220" w:lineRule="exact"/>
              <w:ind w:left="140" w:right="20" w:firstLine="0"/>
              <w:jc w:val="both"/>
              <w:rPr>
                <w:sz w:val="18"/>
                <w:szCs w:val="18"/>
              </w:rPr>
            </w:pPr>
            <w:r>
              <w:rPr>
                <w:rFonts w:hint="eastAsia" w:ascii="宋体" w:hAnsi="宋体" w:eastAsia="宋体"/>
                <w:color w:val="000000"/>
                <w:sz w:val="18"/>
                <w:szCs w:val="18"/>
              </w:rPr>
              <w:t>对勘察、设计单位：处合同约定的勘察、设计费</w:t>
            </w:r>
            <w:r>
              <w:rPr>
                <w:rFonts w:hint="eastAsia" w:ascii="Calibri" w:hAnsi="Calibri" w:eastAsia="Calibri"/>
                <w:color w:val="000000"/>
                <w:sz w:val="18"/>
                <w:szCs w:val="18"/>
              </w:rPr>
              <w:t>25</w:t>
            </w:r>
            <w:r>
              <w:rPr>
                <w:rFonts w:hint="eastAsia" w:ascii="宋体" w:hAnsi="宋体" w:eastAsia="宋体"/>
                <w:color w:val="000000"/>
                <w:sz w:val="18"/>
                <w:szCs w:val="18"/>
              </w:rPr>
              <w:t>％以上</w:t>
            </w:r>
            <w:r>
              <w:rPr>
                <w:rFonts w:hint="eastAsia" w:ascii="Calibri" w:hAnsi="Calibri" w:eastAsia="Calibri"/>
                <w:color w:val="000000"/>
                <w:sz w:val="18"/>
                <w:szCs w:val="18"/>
              </w:rPr>
              <w:t>30</w:t>
            </w:r>
            <w:r>
              <w:rPr>
                <w:rFonts w:hint="eastAsia" w:ascii="宋体" w:hAnsi="宋体" w:eastAsia="宋体"/>
                <w:color w:val="000000"/>
                <w:sz w:val="18"/>
                <w:szCs w:val="18"/>
              </w:rPr>
              <w:t>％以下罚款</w:t>
            </w:r>
          </w:p>
          <w:p w14:paraId="05A2068A">
            <w:pPr>
              <w:wordWrap w:val="0"/>
              <w:autoSpaceDE w:val="0"/>
              <w:autoSpaceDN w:val="0"/>
              <w:spacing w:before="0" w:after="0" w:line="200" w:lineRule="exact"/>
              <w:ind w:firstLine="140"/>
              <w:jc w:val="both"/>
              <w:rPr>
                <w:sz w:val="18"/>
                <w:szCs w:val="18"/>
              </w:rPr>
            </w:pPr>
            <w:r>
              <w:rPr>
                <w:rFonts w:hint="eastAsia" w:ascii="宋体" w:hAnsi="宋体" w:eastAsia="宋体"/>
                <w:color w:val="000000"/>
                <w:sz w:val="18"/>
                <w:szCs w:val="18"/>
              </w:rPr>
              <w:t>对施工单位：工程合同价款</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p w14:paraId="5524B755">
            <w:pPr>
              <w:wordWrap w:val="0"/>
              <w:autoSpaceDE w:val="0"/>
              <w:autoSpaceDN w:val="0"/>
              <w:spacing w:before="0" w:after="0" w:line="200" w:lineRule="exact"/>
              <w:ind w:firstLine="140"/>
              <w:jc w:val="both"/>
              <w:rPr>
                <w:sz w:val="18"/>
                <w:szCs w:val="18"/>
              </w:rPr>
            </w:pPr>
            <w:r>
              <w:rPr>
                <w:rFonts w:hint="eastAsia" w:ascii="宋体" w:hAnsi="宋体" w:eastAsia="宋体"/>
                <w:color w:val="000000"/>
                <w:sz w:val="18"/>
                <w:szCs w:val="18"/>
              </w:rPr>
              <w:t>对工程监理单位：合同约定的监理酬金</w:t>
            </w:r>
            <w:r>
              <w:rPr>
                <w:rFonts w:hint="eastAsia" w:ascii="Calibri" w:hAnsi="Calibri" w:eastAsia="Calibri"/>
                <w:color w:val="000000"/>
                <w:sz w:val="18"/>
                <w:szCs w:val="18"/>
              </w:rPr>
              <w:t>25</w:t>
            </w:r>
            <w:r>
              <w:rPr>
                <w:rFonts w:hint="eastAsia" w:ascii="宋体" w:hAnsi="宋体" w:eastAsia="宋体"/>
                <w:color w:val="000000"/>
                <w:sz w:val="18"/>
                <w:szCs w:val="18"/>
              </w:rPr>
              <w:t>％以上</w:t>
            </w:r>
            <w:r>
              <w:rPr>
                <w:rFonts w:hint="eastAsia" w:ascii="Calibri" w:hAnsi="Calibri" w:eastAsia="Calibri"/>
                <w:color w:val="000000"/>
                <w:sz w:val="18"/>
                <w:szCs w:val="18"/>
              </w:rPr>
              <w:t>30</w:t>
            </w:r>
            <w:r>
              <w:rPr>
                <w:rFonts w:hint="eastAsia" w:ascii="宋体" w:hAnsi="宋体" w:eastAsia="宋体"/>
                <w:color w:val="000000"/>
                <w:sz w:val="18"/>
                <w:szCs w:val="18"/>
              </w:rPr>
              <w:t>％以下罚款</w:t>
            </w:r>
          </w:p>
          <w:p w14:paraId="0DC606D4">
            <w:pPr>
              <w:wordWrap w:val="0"/>
              <w:autoSpaceDE w:val="0"/>
              <w:autoSpaceDN w:val="0"/>
              <w:spacing w:before="0" w:after="0" w:line="160" w:lineRule="exact"/>
              <w:ind w:firstLine="140"/>
              <w:jc w:val="both"/>
              <w:rPr>
                <w:sz w:val="18"/>
                <w:szCs w:val="18"/>
              </w:rPr>
            </w:pPr>
            <w:r>
              <w:rPr>
                <w:rFonts w:hint="eastAsia" w:ascii="宋体" w:hAnsi="宋体" w:eastAsia="宋体"/>
                <w:color w:val="000000"/>
                <w:sz w:val="18"/>
                <w:szCs w:val="18"/>
              </w:rPr>
              <w:t>对单位责任人员：单位罚款数额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28D83F5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004" w:hRule="atLeast"/>
        </w:trPr>
        <w:tc>
          <w:tcPr>
            <w:tcW w:w="1161" w:type="dxa"/>
            <w:vMerge w:val="continue"/>
            <w:tcBorders>
              <w:top w:val="single" w:color="000000" w:sz="4" w:space="0"/>
              <w:left w:val="single" w:color="000000" w:sz="4" w:space="0"/>
              <w:bottom w:val="single" w:color="000000" w:sz="4" w:space="0"/>
              <w:right w:val="single" w:color="000000" w:sz="4" w:space="0"/>
            </w:tcBorders>
          </w:tcPr>
          <w:p w14:paraId="74FB5462">
            <w:pPr>
              <w:rPr>
                <w:sz w:val="18"/>
                <w:szCs w:val="18"/>
              </w:rPr>
            </w:pPr>
          </w:p>
        </w:tc>
        <w:tc>
          <w:tcPr>
            <w:tcW w:w="5820" w:type="dxa"/>
            <w:tcBorders>
              <w:top w:val="single" w:color="000000" w:sz="4" w:space="0"/>
              <w:left w:val="single" w:color="000000" w:sz="4" w:space="0"/>
              <w:bottom w:val="single" w:color="000000" w:sz="4" w:space="0"/>
              <w:right w:val="single" w:color="000000" w:sz="4" w:space="0"/>
            </w:tcBorders>
            <w:vAlign w:val="top"/>
          </w:tcPr>
          <w:p w14:paraId="5F4C1408">
            <w:pPr>
              <w:wordWrap w:val="0"/>
              <w:autoSpaceDE w:val="0"/>
              <w:autoSpaceDN w:val="0"/>
              <w:spacing w:before="0" w:after="0" w:line="220" w:lineRule="exact"/>
              <w:ind w:firstLine="0"/>
              <w:jc w:val="both"/>
              <w:rPr>
                <w:rFonts w:hint="eastAsia" w:ascii="宋体" w:hAnsi="宋体" w:eastAsia="宋体"/>
                <w:color w:val="000000"/>
                <w:sz w:val="18"/>
                <w:szCs w:val="18"/>
              </w:rPr>
            </w:pPr>
          </w:p>
          <w:p w14:paraId="550E2D57">
            <w:pPr>
              <w:wordWrap w:val="0"/>
              <w:autoSpaceDE w:val="0"/>
              <w:autoSpaceDN w:val="0"/>
              <w:spacing w:before="99" w:after="0" w:line="220" w:lineRule="exact"/>
              <w:ind w:left="100" w:right="40" w:firstLine="20"/>
              <w:jc w:val="both"/>
              <w:rPr>
                <w:sz w:val="18"/>
                <w:szCs w:val="18"/>
              </w:rPr>
            </w:pPr>
            <w:r>
              <w:rPr>
                <w:rFonts w:hint="eastAsia" w:ascii="宋体" w:hAnsi="宋体" w:eastAsia="宋体"/>
                <w:color w:val="000000"/>
                <w:sz w:val="18"/>
                <w:szCs w:val="18"/>
              </w:rPr>
              <w:t>转包或者违法分包、监理转让给其他不具备相应资质条件他人的，但未发生质量安全事故的</w:t>
            </w:r>
          </w:p>
        </w:tc>
        <w:tc>
          <w:tcPr>
            <w:tcW w:w="1004" w:type="dxa"/>
            <w:vMerge w:val="continue"/>
            <w:tcBorders>
              <w:top w:val="single" w:color="000000" w:sz="4" w:space="0"/>
              <w:left w:val="single" w:color="000000" w:sz="4" w:space="0"/>
              <w:bottom w:val="single" w:color="000000" w:sz="4" w:space="0"/>
              <w:right w:val="single" w:color="000000" w:sz="4" w:space="0"/>
            </w:tcBorders>
          </w:tcPr>
          <w:p w14:paraId="45D67DA2">
            <w:pPr>
              <w:rPr>
                <w:sz w:val="18"/>
                <w:szCs w:val="18"/>
              </w:rPr>
            </w:pPr>
          </w:p>
        </w:tc>
        <w:tc>
          <w:tcPr>
            <w:tcW w:w="5554" w:type="dxa"/>
            <w:tcBorders>
              <w:top w:val="single" w:color="000000" w:sz="4" w:space="0"/>
              <w:left w:val="single" w:color="000000" w:sz="4" w:space="0"/>
              <w:bottom w:val="single" w:color="000000" w:sz="4" w:space="0"/>
              <w:right w:val="single" w:color="000000" w:sz="4" w:space="0"/>
            </w:tcBorders>
            <w:vAlign w:val="top"/>
          </w:tcPr>
          <w:p w14:paraId="2B3B14AB">
            <w:pPr>
              <w:wordWrap w:val="0"/>
              <w:autoSpaceDE w:val="0"/>
              <w:autoSpaceDN w:val="0"/>
              <w:spacing w:before="219" w:after="0" w:line="220" w:lineRule="exact"/>
              <w:ind w:left="140" w:right="20" w:hanging="20"/>
              <w:jc w:val="both"/>
              <w:rPr>
                <w:sz w:val="18"/>
                <w:szCs w:val="18"/>
              </w:rPr>
            </w:pPr>
            <w:r>
              <w:rPr>
                <w:rFonts w:hint="eastAsia" w:ascii="宋体" w:hAnsi="宋体" w:eastAsia="宋体"/>
                <w:color w:val="000000"/>
                <w:sz w:val="18"/>
                <w:szCs w:val="18"/>
              </w:rPr>
              <w:t>对勘察、设计单位：合同约定的勘察、设计费</w:t>
            </w:r>
            <w:r>
              <w:rPr>
                <w:rFonts w:hint="eastAsia" w:ascii="Calibri" w:hAnsi="Calibri" w:eastAsia="Calibri"/>
                <w:color w:val="000000"/>
                <w:sz w:val="18"/>
                <w:szCs w:val="18"/>
              </w:rPr>
              <w:t>30</w:t>
            </w:r>
            <w:r>
              <w:rPr>
                <w:rFonts w:hint="eastAsia" w:ascii="宋体" w:hAnsi="宋体" w:eastAsia="宋体"/>
                <w:color w:val="000000"/>
                <w:sz w:val="18"/>
                <w:szCs w:val="18"/>
              </w:rPr>
              <w:t>％以上</w:t>
            </w:r>
            <w:r>
              <w:rPr>
                <w:rFonts w:hint="eastAsia" w:ascii="Calibri" w:hAnsi="Calibri" w:eastAsia="Calibri"/>
                <w:color w:val="000000"/>
                <w:sz w:val="18"/>
                <w:szCs w:val="18"/>
              </w:rPr>
              <w:t>40</w:t>
            </w:r>
            <w:r>
              <w:rPr>
                <w:rFonts w:hint="eastAsia" w:ascii="宋体" w:hAnsi="宋体" w:eastAsia="宋体"/>
                <w:color w:val="000000"/>
                <w:sz w:val="18"/>
                <w:szCs w:val="18"/>
              </w:rPr>
              <w:t>％以下罚款</w:t>
            </w:r>
          </w:p>
          <w:p w14:paraId="7E738E9E">
            <w:pPr>
              <w:wordWrap w:val="0"/>
              <w:autoSpaceDE w:val="0"/>
              <w:autoSpaceDN w:val="0"/>
              <w:spacing w:before="0" w:after="0" w:line="200" w:lineRule="exact"/>
              <w:ind w:firstLine="120"/>
              <w:jc w:val="both"/>
              <w:rPr>
                <w:sz w:val="18"/>
                <w:szCs w:val="18"/>
              </w:rPr>
            </w:pPr>
            <w:r>
              <w:rPr>
                <w:rFonts w:hint="eastAsia" w:ascii="宋体" w:hAnsi="宋体" w:eastAsia="宋体"/>
                <w:color w:val="000000"/>
                <w:sz w:val="18"/>
                <w:szCs w:val="18"/>
              </w:rPr>
              <w:t>对施工单位：工程合同价款</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p w14:paraId="74240C8D">
            <w:pPr>
              <w:wordWrap w:val="0"/>
              <w:autoSpaceDE w:val="0"/>
              <w:autoSpaceDN w:val="0"/>
              <w:spacing w:before="0" w:after="0" w:line="180" w:lineRule="exact"/>
              <w:ind w:left="140" w:right="520" w:hanging="20"/>
              <w:jc w:val="both"/>
              <w:rPr>
                <w:sz w:val="18"/>
                <w:szCs w:val="18"/>
              </w:rPr>
            </w:pPr>
            <w:r>
              <w:rPr>
                <w:rFonts w:hint="eastAsia" w:ascii="宋体" w:hAnsi="宋体" w:eastAsia="宋体"/>
                <w:color w:val="000000"/>
                <w:sz w:val="18"/>
                <w:szCs w:val="18"/>
              </w:rPr>
              <w:t>对工程监理单位：合同约定的监理酬金</w:t>
            </w:r>
            <w:r>
              <w:rPr>
                <w:rFonts w:hint="eastAsia" w:ascii="Calibri" w:hAnsi="Calibri" w:eastAsia="Calibri"/>
                <w:color w:val="000000"/>
                <w:sz w:val="18"/>
                <w:szCs w:val="18"/>
              </w:rPr>
              <w:t>30</w:t>
            </w:r>
            <w:r>
              <w:rPr>
                <w:rFonts w:hint="eastAsia" w:ascii="宋体" w:hAnsi="宋体" w:eastAsia="宋体"/>
                <w:color w:val="000000"/>
                <w:sz w:val="18"/>
                <w:szCs w:val="18"/>
              </w:rPr>
              <w:t>％以上</w:t>
            </w:r>
            <w:r>
              <w:rPr>
                <w:rFonts w:hint="eastAsia" w:ascii="Calibri" w:hAnsi="Calibri" w:eastAsia="Calibri"/>
                <w:color w:val="000000"/>
                <w:sz w:val="18"/>
                <w:szCs w:val="18"/>
              </w:rPr>
              <w:t>40</w:t>
            </w:r>
            <w:r>
              <w:rPr>
                <w:rFonts w:hint="eastAsia" w:ascii="宋体" w:hAnsi="宋体" w:eastAsia="宋体"/>
                <w:color w:val="000000"/>
                <w:sz w:val="18"/>
                <w:szCs w:val="18"/>
              </w:rPr>
              <w:t>％以下罚款对单位责任人员：单位罚款数额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021BA48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004" w:hRule="atLeast"/>
        </w:trPr>
        <w:tc>
          <w:tcPr>
            <w:tcW w:w="1161" w:type="dxa"/>
            <w:vMerge w:val="continue"/>
            <w:tcBorders>
              <w:top w:val="single" w:color="000000" w:sz="4" w:space="0"/>
              <w:left w:val="single" w:color="000000" w:sz="4" w:space="0"/>
              <w:bottom w:val="single" w:color="000000" w:sz="4" w:space="0"/>
              <w:right w:val="single" w:color="000000" w:sz="4" w:space="0"/>
            </w:tcBorders>
          </w:tcPr>
          <w:p w14:paraId="01FE02ED">
            <w:pPr>
              <w:rPr>
                <w:sz w:val="18"/>
                <w:szCs w:val="18"/>
              </w:rPr>
            </w:pPr>
          </w:p>
        </w:tc>
        <w:tc>
          <w:tcPr>
            <w:tcW w:w="5820" w:type="dxa"/>
            <w:tcBorders>
              <w:top w:val="single" w:color="000000" w:sz="4" w:space="0"/>
              <w:left w:val="single" w:color="000000" w:sz="4" w:space="0"/>
              <w:bottom w:val="single" w:color="000000" w:sz="4" w:space="0"/>
              <w:right w:val="single" w:color="000000" w:sz="4" w:space="0"/>
            </w:tcBorders>
            <w:vAlign w:val="top"/>
          </w:tcPr>
          <w:p w14:paraId="2D034130">
            <w:pPr>
              <w:wordWrap w:val="0"/>
              <w:autoSpaceDE w:val="0"/>
              <w:autoSpaceDN w:val="0"/>
              <w:spacing w:before="0" w:after="0" w:line="220" w:lineRule="exact"/>
              <w:ind w:firstLine="0"/>
              <w:jc w:val="both"/>
              <w:rPr>
                <w:rFonts w:hint="eastAsia" w:ascii="宋体" w:hAnsi="宋体" w:eastAsia="宋体"/>
                <w:color w:val="000000"/>
                <w:sz w:val="18"/>
                <w:szCs w:val="18"/>
              </w:rPr>
            </w:pPr>
          </w:p>
          <w:p w14:paraId="7E38F679">
            <w:pPr>
              <w:wordWrap w:val="0"/>
              <w:autoSpaceDE w:val="0"/>
              <w:autoSpaceDN w:val="0"/>
              <w:spacing w:before="199" w:after="0" w:line="220" w:lineRule="exact"/>
              <w:ind w:firstLine="80"/>
              <w:jc w:val="both"/>
              <w:rPr>
                <w:sz w:val="18"/>
                <w:szCs w:val="18"/>
              </w:rPr>
            </w:pPr>
            <w:r>
              <w:rPr>
                <w:rFonts w:hint="eastAsia" w:ascii="宋体" w:hAnsi="宋体" w:eastAsia="宋体"/>
                <w:color w:val="000000"/>
                <w:sz w:val="18"/>
                <w:szCs w:val="18"/>
              </w:rPr>
              <w:t>发生质量安全事故的</w:t>
            </w:r>
          </w:p>
        </w:tc>
        <w:tc>
          <w:tcPr>
            <w:tcW w:w="1004" w:type="dxa"/>
            <w:vMerge w:val="continue"/>
            <w:tcBorders>
              <w:top w:val="single" w:color="000000" w:sz="4" w:space="0"/>
              <w:left w:val="single" w:color="000000" w:sz="4" w:space="0"/>
              <w:bottom w:val="single" w:color="000000" w:sz="4" w:space="0"/>
              <w:right w:val="single" w:color="000000" w:sz="4" w:space="0"/>
            </w:tcBorders>
          </w:tcPr>
          <w:p w14:paraId="1BDCC7AE">
            <w:pPr>
              <w:rPr>
                <w:sz w:val="18"/>
                <w:szCs w:val="18"/>
              </w:rPr>
            </w:pPr>
          </w:p>
        </w:tc>
        <w:tc>
          <w:tcPr>
            <w:tcW w:w="5554" w:type="dxa"/>
            <w:tcBorders>
              <w:top w:val="single" w:color="000000" w:sz="4" w:space="0"/>
              <w:left w:val="single" w:color="000000" w:sz="4" w:space="0"/>
              <w:bottom w:val="single" w:color="000000" w:sz="4" w:space="0"/>
              <w:right w:val="single" w:color="000000" w:sz="4" w:space="0"/>
            </w:tcBorders>
            <w:vAlign w:val="top"/>
          </w:tcPr>
          <w:p w14:paraId="6CD97380">
            <w:pPr>
              <w:wordWrap w:val="0"/>
              <w:autoSpaceDE w:val="0"/>
              <w:autoSpaceDN w:val="0"/>
              <w:spacing w:before="199" w:after="0" w:line="220" w:lineRule="exact"/>
              <w:ind w:left="120" w:right="40" w:firstLine="0"/>
              <w:jc w:val="both"/>
              <w:rPr>
                <w:sz w:val="18"/>
                <w:szCs w:val="18"/>
              </w:rPr>
            </w:pPr>
            <w:r>
              <w:rPr>
                <w:rFonts w:hint="eastAsia" w:ascii="宋体" w:hAnsi="宋体" w:eastAsia="宋体"/>
                <w:color w:val="000000"/>
                <w:sz w:val="18"/>
                <w:szCs w:val="18"/>
              </w:rPr>
              <w:t>对勘察、设计单位：合同约定的勘察、设计费</w:t>
            </w:r>
            <w:r>
              <w:rPr>
                <w:rFonts w:hint="eastAsia" w:ascii="Calibri" w:hAnsi="Calibri" w:eastAsia="Calibri"/>
                <w:color w:val="000000"/>
                <w:sz w:val="18"/>
                <w:szCs w:val="18"/>
              </w:rPr>
              <w:t>40</w:t>
            </w:r>
            <w:r>
              <w:rPr>
                <w:rFonts w:hint="eastAsia" w:ascii="宋体" w:hAnsi="宋体" w:eastAsia="宋体"/>
                <w:color w:val="000000"/>
                <w:sz w:val="18"/>
                <w:szCs w:val="18"/>
              </w:rPr>
              <w:t>％以上</w:t>
            </w:r>
            <w:r>
              <w:rPr>
                <w:rFonts w:hint="eastAsia" w:ascii="Calibri" w:hAnsi="Calibri" w:eastAsia="Calibri"/>
                <w:color w:val="000000"/>
                <w:sz w:val="18"/>
                <w:szCs w:val="18"/>
              </w:rPr>
              <w:t>50</w:t>
            </w:r>
            <w:r>
              <w:rPr>
                <w:rFonts w:hint="eastAsia" w:ascii="宋体" w:hAnsi="宋体" w:eastAsia="宋体"/>
                <w:color w:val="000000"/>
                <w:sz w:val="18"/>
                <w:szCs w:val="18"/>
              </w:rPr>
              <w:t>％以下罚款</w:t>
            </w:r>
          </w:p>
          <w:p w14:paraId="16E67CA6">
            <w:pPr>
              <w:wordWrap w:val="0"/>
              <w:autoSpaceDE w:val="0"/>
              <w:autoSpaceDN w:val="0"/>
              <w:spacing w:before="0" w:after="0" w:line="220" w:lineRule="exact"/>
              <w:ind w:firstLine="120"/>
              <w:jc w:val="both"/>
              <w:rPr>
                <w:sz w:val="18"/>
                <w:szCs w:val="18"/>
              </w:rPr>
            </w:pPr>
            <w:r>
              <w:rPr>
                <w:rFonts w:hint="eastAsia" w:ascii="宋体" w:hAnsi="宋体" w:eastAsia="宋体"/>
                <w:color w:val="000000"/>
                <w:sz w:val="18"/>
                <w:szCs w:val="18"/>
              </w:rPr>
              <w:t>对施工单位：工程合同价款</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w:t>
            </w:r>
            <w:r>
              <w:rPr>
                <w:rFonts w:hint="eastAsia" w:ascii="宋体" w:hAnsi="宋体" w:eastAsia="宋体"/>
                <w:color w:val="000000"/>
                <w:sz w:val="18"/>
                <w:szCs w:val="18"/>
              </w:rPr>
              <w:t>％以下罚款</w:t>
            </w:r>
          </w:p>
          <w:p w14:paraId="347ED001">
            <w:pPr>
              <w:wordWrap w:val="0"/>
              <w:autoSpaceDE w:val="0"/>
              <w:autoSpaceDN w:val="0"/>
              <w:spacing w:before="0" w:after="0" w:line="170" w:lineRule="exact"/>
              <w:ind w:left="120" w:right="560" w:firstLine="0"/>
              <w:jc w:val="both"/>
              <w:rPr>
                <w:sz w:val="18"/>
                <w:szCs w:val="18"/>
              </w:rPr>
            </w:pPr>
            <w:r>
              <w:rPr>
                <w:rFonts w:hint="eastAsia" w:ascii="宋体" w:hAnsi="宋体" w:eastAsia="宋体"/>
                <w:color w:val="000000"/>
                <w:sz w:val="18"/>
                <w:szCs w:val="18"/>
              </w:rPr>
              <w:t>对工程监理单位：合同约定的监理酬金</w:t>
            </w:r>
            <w:r>
              <w:rPr>
                <w:rFonts w:hint="eastAsia" w:ascii="Calibri" w:hAnsi="Calibri" w:eastAsia="Calibri"/>
                <w:color w:val="000000"/>
                <w:sz w:val="18"/>
                <w:szCs w:val="18"/>
              </w:rPr>
              <w:t>40</w:t>
            </w:r>
            <w:r>
              <w:rPr>
                <w:rFonts w:hint="eastAsia" w:ascii="宋体" w:hAnsi="宋体" w:eastAsia="宋体"/>
                <w:color w:val="000000"/>
                <w:sz w:val="18"/>
                <w:szCs w:val="18"/>
              </w:rPr>
              <w:t>％以上</w:t>
            </w:r>
            <w:r>
              <w:rPr>
                <w:rFonts w:hint="eastAsia" w:ascii="Calibri" w:hAnsi="Calibri" w:eastAsia="Calibri"/>
                <w:color w:val="000000"/>
                <w:sz w:val="18"/>
                <w:szCs w:val="18"/>
              </w:rPr>
              <w:t>50</w:t>
            </w:r>
            <w:r>
              <w:rPr>
                <w:rFonts w:hint="eastAsia" w:ascii="宋体" w:hAnsi="宋体" w:eastAsia="宋体"/>
                <w:color w:val="000000"/>
                <w:sz w:val="18"/>
                <w:szCs w:val="18"/>
              </w:rPr>
              <w:t>％以下罚款对单位责任人员：单位罚款数额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tbl>
      <w:tblPr>
        <w:tblStyle w:val="15"/>
        <w:tblpPr w:leftFromText="180" w:rightFromText="180" w:vertAnchor="text" w:horzAnchor="page" w:tblpX="1514" w:tblpY="435"/>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61"/>
        <w:gridCol w:w="5604"/>
        <w:gridCol w:w="1019"/>
        <w:gridCol w:w="5935"/>
      </w:tblGrid>
      <w:tr w14:paraId="5E60ABD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39" w:hRule="atLeast"/>
        </w:trPr>
        <w:tc>
          <w:tcPr>
            <w:tcW w:w="1161" w:type="dxa"/>
            <w:tcBorders>
              <w:top w:val="single" w:color="000000" w:sz="4" w:space="0"/>
              <w:left w:val="single" w:color="000000" w:sz="4" w:space="0"/>
              <w:bottom w:val="single" w:color="000000" w:sz="4" w:space="0"/>
              <w:right w:val="single" w:color="000000" w:sz="4" w:space="0"/>
            </w:tcBorders>
            <w:vAlign w:val="top"/>
          </w:tcPr>
          <w:p w14:paraId="59742D4D">
            <w:pPr>
              <w:wordWrap w:val="0"/>
              <w:autoSpaceDE w:val="0"/>
              <w:autoSpaceDN w:val="0"/>
              <w:spacing w:before="39" w:after="0" w:line="220" w:lineRule="exact"/>
              <w:ind w:firstLine="340"/>
              <w:jc w:val="both"/>
              <w:rPr>
                <w:sz w:val="18"/>
                <w:szCs w:val="18"/>
              </w:rPr>
            </w:pPr>
            <w:r>
              <w:rPr>
                <w:rFonts w:hint="eastAsia" w:ascii="宋体" w:hAnsi="宋体" w:eastAsia="宋体"/>
                <w:color w:val="000000"/>
                <w:sz w:val="18"/>
                <w:szCs w:val="18"/>
              </w:rPr>
              <w:t>序号</w:t>
            </w:r>
          </w:p>
        </w:tc>
        <w:tc>
          <w:tcPr>
            <w:tcW w:w="12558" w:type="dxa"/>
            <w:gridSpan w:val="3"/>
            <w:tcBorders>
              <w:top w:val="single" w:color="000000" w:sz="4" w:space="0"/>
              <w:left w:val="single" w:color="000000" w:sz="4" w:space="0"/>
              <w:bottom w:val="single" w:color="000000" w:sz="4" w:space="0"/>
              <w:right w:val="single" w:color="000000" w:sz="4" w:space="0"/>
            </w:tcBorders>
            <w:vAlign w:val="top"/>
          </w:tcPr>
          <w:p w14:paraId="1FC59C5F">
            <w:pPr>
              <w:wordWrap w:val="0"/>
              <w:autoSpaceDE w:val="0"/>
              <w:autoSpaceDN w:val="0"/>
              <w:spacing w:before="80" w:after="0" w:line="220" w:lineRule="exact"/>
              <w:ind w:firstLine="60"/>
              <w:jc w:val="both"/>
              <w:rPr>
                <w:rFonts w:hint="eastAsia" w:eastAsia="宋体"/>
                <w:sz w:val="18"/>
                <w:szCs w:val="18"/>
                <w:lang w:val="en-US" w:eastAsia="zh-CN"/>
              </w:rPr>
            </w:pPr>
            <w:r>
              <w:rPr>
                <w:rFonts w:hint="eastAsia" w:ascii="Calibri" w:hAnsi="Calibri" w:eastAsia="Calibri"/>
                <w:color w:val="000000"/>
                <w:sz w:val="18"/>
                <w:szCs w:val="18"/>
              </w:rPr>
              <w:t>2</w:t>
            </w:r>
            <w:r>
              <w:rPr>
                <w:rFonts w:hint="eastAsia" w:ascii="Calibri" w:hAnsi="Calibri"/>
                <w:color w:val="000000"/>
                <w:sz w:val="18"/>
                <w:szCs w:val="18"/>
                <w:lang w:val="en-US" w:eastAsia="zh-CN"/>
              </w:rPr>
              <w:t>4</w:t>
            </w:r>
          </w:p>
        </w:tc>
      </w:tr>
      <w:tr w14:paraId="35B2968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08" w:hRule="atLeast"/>
        </w:trPr>
        <w:tc>
          <w:tcPr>
            <w:tcW w:w="1161" w:type="dxa"/>
            <w:tcBorders>
              <w:top w:val="single" w:color="000000" w:sz="4" w:space="0"/>
              <w:left w:val="single" w:color="000000" w:sz="4" w:space="0"/>
              <w:bottom w:val="single" w:color="000000" w:sz="4" w:space="0"/>
              <w:right w:val="single" w:color="000000" w:sz="4" w:space="0"/>
            </w:tcBorders>
            <w:vAlign w:val="top"/>
          </w:tcPr>
          <w:p w14:paraId="1A4F9B3A">
            <w:pPr>
              <w:wordWrap w:val="0"/>
              <w:autoSpaceDE w:val="0"/>
              <w:autoSpaceDN w:val="0"/>
              <w:spacing w:before="0" w:after="0" w:line="220" w:lineRule="exact"/>
              <w:ind w:firstLine="340"/>
              <w:jc w:val="both"/>
              <w:rPr>
                <w:sz w:val="18"/>
                <w:szCs w:val="18"/>
              </w:rPr>
            </w:pPr>
            <w:r>
              <w:rPr>
                <w:rFonts w:hint="eastAsia" w:ascii="宋体" w:hAnsi="宋体" w:eastAsia="宋体"/>
                <w:color w:val="000000"/>
                <w:sz w:val="18"/>
                <w:szCs w:val="18"/>
              </w:rPr>
              <w:t>编号</w:t>
            </w:r>
          </w:p>
        </w:tc>
        <w:tc>
          <w:tcPr>
            <w:tcW w:w="12558" w:type="dxa"/>
            <w:gridSpan w:val="3"/>
            <w:tcBorders>
              <w:top w:val="single" w:color="000000" w:sz="4" w:space="0"/>
              <w:left w:val="single" w:color="000000" w:sz="4" w:space="0"/>
              <w:bottom w:val="single" w:color="000000" w:sz="4" w:space="0"/>
              <w:right w:val="single" w:color="000000" w:sz="4" w:space="0"/>
            </w:tcBorders>
            <w:vAlign w:val="top"/>
          </w:tcPr>
          <w:p w14:paraId="75AB165C">
            <w:pPr>
              <w:wordWrap w:val="0"/>
              <w:autoSpaceDE w:val="0"/>
              <w:autoSpaceDN w:val="0"/>
              <w:spacing w:before="39" w:after="0" w:line="220" w:lineRule="exact"/>
              <w:ind w:firstLine="80"/>
              <w:jc w:val="both"/>
              <w:rPr>
                <w:sz w:val="18"/>
                <w:szCs w:val="18"/>
              </w:rPr>
            </w:pPr>
            <w:r>
              <w:rPr>
                <w:rFonts w:hint="eastAsia" w:ascii="Calibri" w:hAnsi="Calibri" w:eastAsia="Calibri"/>
                <w:color w:val="000000"/>
                <w:sz w:val="18"/>
                <w:szCs w:val="18"/>
              </w:rPr>
              <w:t>320280028000</w:t>
            </w:r>
          </w:p>
        </w:tc>
      </w:tr>
      <w:tr w14:paraId="3FB71B3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08" w:hRule="atLeast"/>
        </w:trPr>
        <w:tc>
          <w:tcPr>
            <w:tcW w:w="1161" w:type="dxa"/>
            <w:tcBorders>
              <w:top w:val="single" w:color="000000" w:sz="4" w:space="0"/>
              <w:left w:val="single" w:color="000000" w:sz="4" w:space="0"/>
              <w:bottom w:val="single" w:color="000000" w:sz="4" w:space="0"/>
              <w:right w:val="single" w:color="000000" w:sz="4" w:space="0"/>
            </w:tcBorders>
            <w:vAlign w:val="top"/>
          </w:tcPr>
          <w:p w14:paraId="0556BCC4">
            <w:pPr>
              <w:wordWrap w:val="0"/>
              <w:autoSpaceDE w:val="0"/>
              <w:autoSpaceDN w:val="0"/>
              <w:spacing w:before="0" w:after="0" w:line="200" w:lineRule="exact"/>
              <w:jc w:val="center"/>
              <w:rPr>
                <w:sz w:val="18"/>
                <w:szCs w:val="18"/>
              </w:rPr>
            </w:pPr>
            <w:r>
              <w:rPr>
                <w:rFonts w:hint="eastAsia" w:ascii="宋体" w:hAnsi="宋体" w:eastAsia="宋体"/>
                <w:color w:val="000000"/>
                <w:sz w:val="18"/>
                <w:szCs w:val="18"/>
              </w:rPr>
              <w:t>行为名称</w:t>
            </w:r>
          </w:p>
        </w:tc>
        <w:tc>
          <w:tcPr>
            <w:tcW w:w="12558" w:type="dxa"/>
            <w:gridSpan w:val="3"/>
            <w:tcBorders>
              <w:top w:val="single" w:color="000000" w:sz="4" w:space="0"/>
              <w:left w:val="single" w:color="000000" w:sz="4" w:space="0"/>
              <w:bottom w:val="single" w:color="000000" w:sz="4" w:space="0"/>
              <w:right w:val="single" w:color="000000" w:sz="4" w:space="0"/>
            </w:tcBorders>
            <w:vAlign w:val="top"/>
          </w:tcPr>
          <w:p w14:paraId="6AC35936">
            <w:pPr>
              <w:wordWrap w:val="0"/>
              <w:autoSpaceDE w:val="0"/>
              <w:autoSpaceDN w:val="0"/>
              <w:spacing w:before="39" w:after="0" w:line="220" w:lineRule="exact"/>
              <w:ind w:firstLine="100"/>
              <w:jc w:val="both"/>
              <w:rPr>
                <w:sz w:val="18"/>
                <w:szCs w:val="18"/>
              </w:rPr>
            </w:pPr>
            <w:r>
              <w:rPr>
                <w:rFonts w:hint="eastAsia" w:ascii="宋体" w:hAnsi="宋体" w:eastAsia="宋体"/>
                <w:color w:val="000000"/>
                <w:sz w:val="18"/>
                <w:szCs w:val="18"/>
              </w:rPr>
              <w:t>对影响人民防空工程使用或者降低人民防空工程防护能力的作业的处罚</w:t>
            </w:r>
          </w:p>
        </w:tc>
      </w:tr>
      <w:tr w14:paraId="5005F7E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948" w:hRule="atLeast"/>
        </w:trPr>
        <w:tc>
          <w:tcPr>
            <w:tcW w:w="1161" w:type="dxa"/>
            <w:tcBorders>
              <w:top w:val="single" w:color="000000" w:sz="4" w:space="0"/>
              <w:left w:val="single" w:color="000000" w:sz="4" w:space="0"/>
              <w:bottom w:val="single" w:color="000000" w:sz="4" w:space="0"/>
              <w:right w:val="single" w:color="000000" w:sz="4" w:space="0"/>
            </w:tcBorders>
            <w:vAlign w:val="top"/>
          </w:tcPr>
          <w:p w14:paraId="390CF8EB">
            <w:pPr>
              <w:wordWrap w:val="0"/>
              <w:autoSpaceDE w:val="0"/>
              <w:autoSpaceDN w:val="0"/>
              <w:spacing w:before="0" w:after="0" w:line="220" w:lineRule="exact"/>
              <w:ind w:firstLine="0"/>
              <w:jc w:val="both"/>
              <w:rPr>
                <w:rFonts w:hint="eastAsia" w:ascii="宋体" w:hAnsi="宋体" w:eastAsia="宋体"/>
                <w:color w:val="000000"/>
                <w:sz w:val="18"/>
                <w:szCs w:val="18"/>
              </w:rPr>
            </w:pPr>
          </w:p>
          <w:p w14:paraId="0739FB33">
            <w:pPr>
              <w:wordWrap w:val="0"/>
              <w:autoSpaceDE w:val="0"/>
              <w:autoSpaceDN w:val="0"/>
              <w:spacing w:before="0" w:after="0" w:line="220" w:lineRule="exact"/>
              <w:ind w:firstLine="0"/>
              <w:jc w:val="both"/>
              <w:rPr>
                <w:rFonts w:hint="eastAsia" w:ascii="宋体" w:hAnsi="宋体" w:eastAsia="宋体"/>
                <w:color w:val="000000"/>
                <w:sz w:val="18"/>
                <w:szCs w:val="18"/>
              </w:rPr>
            </w:pPr>
          </w:p>
          <w:p w14:paraId="27D2B724">
            <w:pPr>
              <w:wordWrap w:val="0"/>
              <w:autoSpaceDE w:val="0"/>
              <w:autoSpaceDN w:val="0"/>
              <w:spacing w:before="0" w:after="0" w:line="220" w:lineRule="exact"/>
              <w:ind w:firstLine="0"/>
              <w:jc w:val="both"/>
              <w:rPr>
                <w:rFonts w:hint="eastAsia" w:ascii="宋体" w:hAnsi="宋体" w:eastAsia="宋体"/>
                <w:color w:val="000000"/>
                <w:sz w:val="18"/>
                <w:szCs w:val="18"/>
              </w:rPr>
            </w:pPr>
          </w:p>
          <w:p w14:paraId="31BF1038">
            <w:pPr>
              <w:wordWrap w:val="0"/>
              <w:autoSpaceDE w:val="0"/>
              <w:autoSpaceDN w:val="0"/>
              <w:spacing w:before="0" w:after="0" w:line="220" w:lineRule="exact"/>
              <w:ind w:firstLine="0"/>
              <w:jc w:val="both"/>
              <w:rPr>
                <w:rFonts w:hint="eastAsia" w:ascii="宋体" w:hAnsi="宋体" w:eastAsia="宋体"/>
                <w:color w:val="000000"/>
                <w:sz w:val="18"/>
                <w:szCs w:val="18"/>
              </w:rPr>
            </w:pPr>
          </w:p>
          <w:p w14:paraId="340B11A7">
            <w:pPr>
              <w:wordWrap w:val="0"/>
              <w:autoSpaceDE w:val="0"/>
              <w:autoSpaceDN w:val="0"/>
              <w:spacing w:before="0" w:after="0" w:line="220" w:lineRule="exact"/>
              <w:ind w:firstLine="0"/>
              <w:jc w:val="both"/>
              <w:rPr>
                <w:rFonts w:hint="eastAsia" w:ascii="宋体" w:hAnsi="宋体" w:eastAsia="宋体"/>
                <w:color w:val="000000"/>
                <w:sz w:val="18"/>
                <w:szCs w:val="18"/>
              </w:rPr>
            </w:pPr>
          </w:p>
          <w:p w14:paraId="26C6FACC">
            <w:pPr>
              <w:wordWrap w:val="0"/>
              <w:autoSpaceDE w:val="0"/>
              <w:autoSpaceDN w:val="0"/>
              <w:spacing w:before="77" w:after="0" w:line="220" w:lineRule="exact"/>
              <w:jc w:val="center"/>
              <w:rPr>
                <w:sz w:val="18"/>
                <w:szCs w:val="18"/>
              </w:rPr>
            </w:pPr>
            <w:r>
              <w:rPr>
                <w:rFonts w:hint="eastAsia" w:ascii="宋体" w:hAnsi="宋体" w:eastAsia="宋体"/>
                <w:color w:val="000000"/>
                <w:sz w:val="18"/>
                <w:szCs w:val="18"/>
              </w:rPr>
              <w:t>法律依据</w:t>
            </w:r>
          </w:p>
        </w:tc>
        <w:tc>
          <w:tcPr>
            <w:tcW w:w="12558" w:type="dxa"/>
            <w:gridSpan w:val="3"/>
            <w:tcBorders>
              <w:top w:val="single" w:color="000000" w:sz="4" w:space="0"/>
              <w:left w:val="single" w:color="000000" w:sz="4" w:space="0"/>
              <w:bottom w:val="single" w:color="000000" w:sz="4" w:space="0"/>
              <w:right w:val="single" w:color="000000" w:sz="4" w:space="0"/>
            </w:tcBorders>
            <w:vAlign w:val="top"/>
          </w:tcPr>
          <w:p w14:paraId="727C4DF3">
            <w:pPr>
              <w:wordWrap w:val="0"/>
              <w:autoSpaceDE w:val="0"/>
              <w:autoSpaceDN w:val="0"/>
              <w:spacing w:before="59" w:after="0" w:line="220"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4DBB76F7">
            <w:pPr>
              <w:wordWrap w:val="0"/>
              <w:autoSpaceDE w:val="0"/>
              <w:autoSpaceDN w:val="0"/>
              <w:spacing w:before="0" w:after="0" w:line="220" w:lineRule="exact"/>
              <w:ind w:firstLine="500"/>
              <w:jc w:val="both"/>
              <w:rPr>
                <w:sz w:val="18"/>
                <w:szCs w:val="18"/>
              </w:rPr>
            </w:pPr>
            <w:r>
              <w:rPr>
                <w:rFonts w:hint="eastAsia" w:ascii="宋体" w:hAnsi="宋体" w:eastAsia="宋体"/>
                <w:color w:val="000000"/>
                <w:sz w:val="18"/>
                <w:szCs w:val="18"/>
              </w:rPr>
              <w:t>第十八条 任何组织或者个人不得进行下列影响人民防空工程使用或者降低人民防空工程防护能力的作业：</w:t>
            </w:r>
          </w:p>
          <w:p w14:paraId="48987B44">
            <w:pPr>
              <w:wordWrap w:val="0"/>
              <w:autoSpaceDE w:val="0"/>
              <w:autoSpaceDN w:val="0"/>
              <w:spacing w:before="0" w:after="0" w:line="200" w:lineRule="exact"/>
              <w:ind w:firstLine="540"/>
              <w:jc w:val="both"/>
              <w:rPr>
                <w:sz w:val="18"/>
                <w:szCs w:val="18"/>
              </w:rPr>
            </w:pPr>
            <w:r>
              <w:rPr>
                <w:rFonts w:hint="eastAsia" w:ascii="宋体" w:hAnsi="宋体" w:eastAsia="宋体"/>
                <w:color w:val="000000"/>
                <w:sz w:val="18"/>
                <w:szCs w:val="18"/>
              </w:rPr>
              <w:t>（一）在危害人民防空工程安全的范围内进行采石、伐木、取土、爆破、挖洞、开沟、植桩等；</w:t>
            </w:r>
          </w:p>
          <w:p w14:paraId="7478E00F">
            <w:pPr>
              <w:wordWrap w:val="0"/>
              <w:autoSpaceDE w:val="0"/>
              <w:autoSpaceDN w:val="0"/>
              <w:spacing w:before="0" w:after="0" w:line="200" w:lineRule="exact"/>
              <w:ind w:firstLine="560"/>
              <w:jc w:val="both"/>
              <w:rPr>
                <w:sz w:val="18"/>
                <w:szCs w:val="18"/>
              </w:rPr>
            </w:pPr>
            <w:r>
              <w:rPr>
                <w:rFonts w:hint="eastAsia" w:ascii="宋体" w:hAnsi="宋体" w:eastAsia="宋体"/>
                <w:color w:val="000000"/>
                <w:sz w:val="18"/>
                <w:szCs w:val="18"/>
              </w:rPr>
              <w:t>（二）在影响人民防空工程进出和正常使用的范围内设置障碍、堆放物品、新建建筑物；</w:t>
            </w:r>
          </w:p>
          <w:p w14:paraId="01155ADA">
            <w:pPr>
              <w:wordWrap w:val="0"/>
              <w:autoSpaceDE w:val="0"/>
              <w:autoSpaceDN w:val="0"/>
              <w:spacing w:before="0" w:after="0" w:line="200" w:lineRule="exact"/>
              <w:ind w:firstLine="560"/>
              <w:jc w:val="both"/>
              <w:rPr>
                <w:sz w:val="18"/>
                <w:szCs w:val="18"/>
              </w:rPr>
            </w:pPr>
            <w:r>
              <w:rPr>
                <w:rFonts w:hint="eastAsia" w:ascii="宋体" w:hAnsi="宋体" w:eastAsia="宋体"/>
                <w:color w:val="000000"/>
                <w:sz w:val="18"/>
                <w:szCs w:val="18"/>
              </w:rPr>
              <w:t>（三）向人民防空工程内排入废水、废气和倾倒废弃物；</w:t>
            </w:r>
          </w:p>
          <w:p w14:paraId="313EAF24">
            <w:pPr>
              <w:wordWrap w:val="0"/>
              <w:autoSpaceDE w:val="0"/>
              <w:autoSpaceDN w:val="0"/>
              <w:spacing w:before="0" w:after="0" w:line="220" w:lineRule="exact"/>
              <w:ind w:firstLine="540"/>
              <w:jc w:val="both"/>
              <w:rPr>
                <w:sz w:val="18"/>
                <w:szCs w:val="18"/>
              </w:rPr>
            </w:pPr>
            <w:r>
              <w:rPr>
                <w:rFonts w:hint="eastAsia" w:ascii="宋体" w:hAnsi="宋体" w:eastAsia="宋体"/>
                <w:color w:val="000000"/>
                <w:sz w:val="18"/>
                <w:szCs w:val="18"/>
              </w:rPr>
              <w:t>（四）在人民防空工程内或者危及其安全的范围内生产、储存爆炸、剧毒、易燃、放射性和腐蚀性物品；</w:t>
            </w:r>
          </w:p>
          <w:p w14:paraId="53C2686C">
            <w:pPr>
              <w:wordWrap w:val="0"/>
              <w:autoSpaceDE w:val="0"/>
              <w:autoSpaceDN w:val="0"/>
              <w:spacing w:before="0" w:after="0" w:line="200" w:lineRule="exact"/>
              <w:ind w:firstLine="520"/>
              <w:jc w:val="both"/>
              <w:rPr>
                <w:sz w:val="18"/>
                <w:szCs w:val="18"/>
              </w:rPr>
            </w:pPr>
            <w:r>
              <w:rPr>
                <w:rFonts w:hint="eastAsia" w:ascii="宋体" w:hAnsi="宋体" w:eastAsia="宋体"/>
                <w:color w:val="000000"/>
                <w:sz w:val="18"/>
                <w:szCs w:val="18"/>
              </w:rPr>
              <w:t>（五）擅自将管网、线缆穿越人民防空工程；</w:t>
            </w:r>
          </w:p>
          <w:p w14:paraId="28ADF0A9">
            <w:pPr>
              <w:wordWrap w:val="0"/>
              <w:autoSpaceDE w:val="0"/>
              <w:autoSpaceDN w:val="0"/>
              <w:spacing w:before="0" w:after="0" w:line="220" w:lineRule="exact"/>
              <w:ind w:firstLine="520"/>
              <w:jc w:val="both"/>
              <w:rPr>
                <w:sz w:val="18"/>
                <w:szCs w:val="18"/>
              </w:rPr>
            </w:pPr>
            <w:r>
              <w:rPr>
                <w:rFonts w:hint="eastAsia" w:ascii="宋体" w:hAnsi="宋体" w:eastAsia="宋体"/>
                <w:color w:val="000000"/>
                <w:sz w:val="18"/>
                <w:szCs w:val="18"/>
              </w:rPr>
              <w:t>（六）毁损人民防空工程孔口伪装、地面附属设施以及防洪、防倒灌设施，堵塞或者截断人民防空工程的出入口、进排风竖井、进排水管道；</w:t>
            </w:r>
          </w:p>
          <w:p w14:paraId="15B547A7">
            <w:pPr>
              <w:wordWrap w:val="0"/>
              <w:autoSpaceDE w:val="0"/>
              <w:autoSpaceDN w:val="0"/>
              <w:spacing w:before="0" w:after="0" w:line="200" w:lineRule="exact"/>
              <w:ind w:firstLine="540"/>
              <w:jc w:val="both"/>
              <w:rPr>
                <w:sz w:val="18"/>
                <w:szCs w:val="18"/>
              </w:rPr>
            </w:pPr>
            <w:r>
              <w:rPr>
                <w:rFonts w:hint="eastAsia" w:ascii="宋体" w:hAnsi="宋体" w:eastAsia="宋体"/>
                <w:color w:val="000000"/>
                <w:sz w:val="18"/>
                <w:szCs w:val="18"/>
              </w:rPr>
              <w:t>（七）擅自改变人民防空工程主体结构、拆除防护设施，进行穿墙打孔等影响防护效能的改造和装修；</w:t>
            </w:r>
          </w:p>
          <w:p w14:paraId="053EDF3B">
            <w:pPr>
              <w:wordWrap w:val="0"/>
              <w:autoSpaceDE w:val="0"/>
              <w:autoSpaceDN w:val="0"/>
              <w:spacing w:before="0" w:after="0" w:line="200" w:lineRule="exact"/>
              <w:ind w:firstLine="520"/>
              <w:jc w:val="both"/>
              <w:rPr>
                <w:sz w:val="18"/>
                <w:szCs w:val="18"/>
              </w:rPr>
            </w:pPr>
            <w:r>
              <w:rPr>
                <w:rFonts w:hint="eastAsia" w:ascii="宋体" w:hAnsi="宋体" w:eastAsia="宋体"/>
                <w:color w:val="000000"/>
                <w:sz w:val="18"/>
                <w:szCs w:val="18"/>
              </w:rPr>
              <w:t>（八）占用人民防空工程通风、配电等设备用房作其他用途。</w:t>
            </w:r>
          </w:p>
          <w:p w14:paraId="7FD27497">
            <w:pPr>
              <w:wordWrap w:val="0"/>
              <w:autoSpaceDE w:val="0"/>
              <w:autoSpaceDN w:val="0"/>
              <w:spacing w:before="0" w:after="0" w:line="190" w:lineRule="exact"/>
              <w:ind w:left="80" w:right="60" w:firstLine="420"/>
              <w:jc w:val="both"/>
              <w:rPr>
                <w:sz w:val="18"/>
                <w:szCs w:val="18"/>
              </w:rPr>
            </w:pPr>
            <w:r>
              <w:rPr>
                <w:rFonts w:hint="eastAsia" w:ascii="宋体" w:hAnsi="宋体" w:eastAsia="宋体"/>
                <w:color w:val="000000"/>
                <w:sz w:val="18"/>
                <w:szCs w:val="18"/>
              </w:rPr>
              <w:t>第三十四条第一款 违反本办法第十八条第一款规定，或者有下列行为之一的，由人防主管部门对当事人给予警告，并责令限期改正违法行为，可以对个人并处一千元以上五千元以下的罚款，对单位并处一万元以上至五万元以下的罚款；造成损失的，应当依法赔偿损失：</w:t>
            </w:r>
          </w:p>
        </w:tc>
      </w:tr>
      <w:tr w14:paraId="5EA61E1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24" w:hRule="atLeast"/>
        </w:trPr>
        <w:tc>
          <w:tcPr>
            <w:tcW w:w="1161" w:type="dxa"/>
            <w:tcBorders>
              <w:top w:val="single" w:color="000000" w:sz="4" w:space="0"/>
              <w:left w:val="single" w:color="000000" w:sz="4" w:space="0"/>
              <w:bottom w:val="single" w:color="000000" w:sz="4" w:space="0"/>
              <w:right w:val="single" w:color="000000" w:sz="4" w:space="0"/>
            </w:tcBorders>
            <w:vAlign w:val="top"/>
          </w:tcPr>
          <w:p w14:paraId="68BCC6F1">
            <w:pPr>
              <w:wordWrap w:val="0"/>
              <w:autoSpaceDE w:val="0"/>
              <w:autoSpaceDN w:val="0"/>
              <w:spacing w:before="19" w:after="0" w:line="220" w:lineRule="exact"/>
              <w:jc w:val="center"/>
              <w:rPr>
                <w:sz w:val="18"/>
                <w:szCs w:val="18"/>
              </w:rPr>
            </w:pPr>
            <w:r>
              <w:rPr>
                <w:rFonts w:hint="eastAsia" w:ascii="宋体" w:hAnsi="宋体" w:eastAsia="宋体"/>
                <w:color w:val="000000"/>
                <w:sz w:val="18"/>
                <w:szCs w:val="18"/>
              </w:rPr>
              <w:t>处罚种类</w:t>
            </w:r>
          </w:p>
        </w:tc>
        <w:tc>
          <w:tcPr>
            <w:tcW w:w="12558" w:type="dxa"/>
            <w:gridSpan w:val="3"/>
            <w:tcBorders>
              <w:top w:val="single" w:color="000000" w:sz="4" w:space="0"/>
              <w:left w:val="single" w:color="000000" w:sz="4" w:space="0"/>
              <w:bottom w:val="single" w:color="000000" w:sz="4" w:space="0"/>
              <w:right w:val="single" w:color="000000" w:sz="4" w:space="0"/>
            </w:tcBorders>
            <w:vAlign w:val="top"/>
          </w:tcPr>
          <w:p w14:paraId="18145E4B">
            <w:pPr>
              <w:wordWrap w:val="0"/>
              <w:autoSpaceDE w:val="0"/>
              <w:autoSpaceDN w:val="0"/>
              <w:spacing w:before="60" w:after="0" w:line="220" w:lineRule="exact"/>
              <w:ind w:firstLine="60"/>
              <w:jc w:val="both"/>
              <w:rPr>
                <w:sz w:val="18"/>
                <w:szCs w:val="18"/>
              </w:rPr>
            </w:pPr>
            <w:r>
              <w:rPr>
                <w:rFonts w:hint="eastAsia" w:ascii="宋体" w:hAnsi="宋体" w:eastAsia="宋体"/>
                <w:color w:val="000000"/>
                <w:sz w:val="18"/>
                <w:szCs w:val="18"/>
              </w:rPr>
              <w:t>警告、罚款</w:t>
            </w:r>
          </w:p>
        </w:tc>
      </w:tr>
      <w:tr w14:paraId="393326E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08" w:hRule="atLeast"/>
        </w:trPr>
        <w:tc>
          <w:tcPr>
            <w:tcW w:w="13719" w:type="dxa"/>
            <w:gridSpan w:val="4"/>
            <w:tcBorders>
              <w:top w:val="single" w:color="000000" w:sz="4" w:space="0"/>
              <w:left w:val="single" w:color="000000" w:sz="4" w:space="0"/>
              <w:bottom w:val="single" w:color="000000" w:sz="4" w:space="0"/>
              <w:right w:val="single" w:color="000000" w:sz="4" w:space="0"/>
            </w:tcBorders>
            <w:vAlign w:val="top"/>
          </w:tcPr>
          <w:p w14:paraId="1BDD19DE">
            <w:pPr>
              <w:wordWrap w:val="0"/>
              <w:autoSpaceDE w:val="0"/>
              <w:autoSpaceDN w:val="0"/>
              <w:spacing w:before="39" w:after="0" w:line="220" w:lineRule="exact"/>
              <w:jc w:val="center"/>
              <w:rPr>
                <w:sz w:val="18"/>
                <w:szCs w:val="18"/>
              </w:rPr>
            </w:pPr>
            <w:r>
              <w:rPr>
                <w:rFonts w:hint="eastAsia" w:ascii="宋体" w:hAnsi="宋体" w:eastAsia="宋体"/>
                <w:color w:val="000000"/>
                <w:sz w:val="18"/>
                <w:szCs w:val="18"/>
              </w:rPr>
              <w:t>自由裁量基准</w:t>
            </w:r>
          </w:p>
        </w:tc>
      </w:tr>
      <w:tr w14:paraId="4E69E7B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32" w:hRule="atLeast"/>
        </w:trPr>
        <w:tc>
          <w:tcPr>
            <w:tcW w:w="1161" w:type="dxa"/>
            <w:vMerge w:val="restart"/>
            <w:tcBorders>
              <w:top w:val="single" w:color="000000" w:sz="4" w:space="0"/>
              <w:left w:val="single" w:color="000000" w:sz="4" w:space="0"/>
              <w:bottom w:val="single" w:color="000000" w:sz="4" w:space="0"/>
              <w:right w:val="single" w:color="000000" w:sz="4" w:space="0"/>
            </w:tcBorders>
            <w:vAlign w:val="top"/>
          </w:tcPr>
          <w:p w14:paraId="2EAD9E48">
            <w:pPr>
              <w:wordWrap w:val="0"/>
              <w:autoSpaceDE w:val="0"/>
              <w:autoSpaceDN w:val="0"/>
              <w:spacing w:before="0" w:after="0" w:line="220" w:lineRule="exact"/>
              <w:ind w:firstLine="0"/>
              <w:jc w:val="both"/>
              <w:rPr>
                <w:rFonts w:hint="eastAsia" w:ascii="宋体" w:hAnsi="宋体" w:eastAsia="宋体"/>
                <w:color w:val="000000"/>
                <w:sz w:val="18"/>
                <w:szCs w:val="18"/>
              </w:rPr>
            </w:pPr>
          </w:p>
          <w:p w14:paraId="231B9367">
            <w:pPr>
              <w:wordWrap w:val="0"/>
              <w:autoSpaceDE w:val="0"/>
              <w:autoSpaceDN w:val="0"/>
              <w:spacing w:before="0" w:after="0" w:line="220" w:lineRule="exact"/>
              <w:ind w:firstLine="0"/>
              <w:jc w:val="both"/>
              <w:rPr>
                <w:rFonts w:hint="eastAsia" w:ascii="宋体" w:hAnsi="宋体" w:eastAsia="宋体"/>
                <w:color w:val="000000"/>
                <w:sz w:val="18"/>
                <w:szCs w:val="18"/>
              </w:rPr>
            </w:pPr>
          </w:p>
          <w:p w14:paraId="3FC4679F">
            <w:pPr>
              <w:wordWrap w:val="0"/>
              <w:autoSpaceDE w:val="0"/>
              <w:autoSpaceDN w:val="0"/>
              <w:spacing w:before="0" w:after="0" w:line="220" w:lineRule="exact"/>
              <w:ind w:firstLine="0"/>
              <w:jc w:val="both"/>
              <w:rPr>
                <w:rFonts w:hint="eastAsia" w:ascii="宋体" w:hAnsi="宋体" w:eastAsia="宋体"/>
                <w:color w:val="000000"/>
                <w:sz w:val="18"/>
                <w:szCs w:val="18"/>
              </w:rPr>
            </w:pPr>
          </w:p>
          <w:p w14:paraId="0D75A3D2">
            <w:pPr>
              <w:wordWrap w:val="0"/>
              <w:autoSpaceDE w:val="0"/>
              <w:autoSpaceDN w:val="0"/>
              <w:spacing w:before="0" w:after="0" w:line="220" w:lineRule="exact"/>
              <w:ind w:firstLine="0"/>
              <w:jc w:val="both"/>
              <w:rPr>
                <w:rFonts w:hint="eastAsia" w:ascii="宋体" w:hAnsi="宋体" w:eastAsia="宋体"/>
                <w:color w:val="000000"/>
                <w:sz w:val="18"/>
                <w:szCs w:val="18"/>
              </w:rPr>
            </w:pPr>
          </w:p>
          <w:p w14:paraId="696251FD">
            <w:pPr>
              <w:wordWrap w:val="0"/>
              <w:autoSpaceDE w:val="0"/>
              <w:autoSpaceDN w:val="0"/>
              <w:spacing w:before="0" w:after="0" w:line="220" w:lineRule="exact"/>
              <w:ind w:firstLine="0"/>
              <w:jc w:val="both"/>
              <w:rPr>
                <w:rFonts w:hint="eastAsia" w:ascii="宋体" w:hAnsi="宋体" w:eastAsia="宋体"/>
                <w:color w:val="000000"/>
                <w:sz w:val="18"/>
                <w:szCs w:val="18"/>
              </w:rPr>
            </w:pPr>
          </w:p>
          <w:p w14:paraId="04FD70D4">
            <w:pPr>
              <w:wordWrap w:val="0"/>
              <w:autoSpaceDE w:val="0"/>
              <w:autoSpaceDN w:val="0"/>
              <w:spacing w:before="0" w:after="0" w:line="220" w:lineRule="exact"/>
              <w:ind w:firstLine="0"/>
              <w:jc w:val="both"/>
              <w:rPr>
                <w:rFonts w:hint="eastAsia" w:ascii="宋体" w:hAnsi="宋体" w:eastAsia="宋体"/>
                <w:color w:val="000000"/>
                <w:sz w:val="18"/>
                <w:szCs w:val="18"/>
              </w:rPr>
            </w:pPr>
          </w:p>
          <w:p w14:paraId="5D0DA082">
            <w:pPr>
              <w:wordWrap w:val="0"/>
              <w:autoSpaceDE w:val="0"/>
              <w:autoSpaceDN w:val="0"/>
              <w:spacing w:before="0" w:after="0" w:line="220" w:lineRule="exact"/>
              <w:ind w:firstLine="0"/>
              <w:jc w:val="both"/>
              <w:rPr>
                <w:rFonts w:hint="eastAsia" w:ascii="宋体" w:hAnsi="宋体" w:eastAsia="宋体"/>
                <w:color w:val="000000"/>
                <w:sz w:val="18"/>
                <w:szCs w:val="18"/>
              </w:rPr>
            </w:pPr>
          </w:p>
          <w:p w14:paraId="5B77A8D7">
            <w:pPr>
              <w:wordWrap w:val="0"/>
              <w:autoSpaceDE w:val="0"/>
              <w:autoSpaceDN w:val="0"/>
              <w:spacing w:before="0" w:after="0" w:line="220" w:lineRule="exact"/>
              <w:ind w:firstLine="0"/>
              <w:jc w:val="both"/>
              <w:rPr>
                <w:rFonts w:hint="eastAsia" w:ascii="宋体" w:hAnsi="宋体" w:eastAsia="宋体"/>
                <w:color w:val="000000"/>
                <w:sz w:val="18"/>
                <w:szCs w:val="18"/>
              </w:rPr>
            </w:pPr>
          </w:p>
          <w:p w14:paraId="371F9025">
            <w:pPr>
              <w:wordWrap w:val="0"/>
              <w:autoSpaceDE w:val="0"/>
              <w:autoSpaceDN w:val="0"/>
              <w:spacing w:before="0" w:after="0" w:line="220" w:lineRule="exact"/>
              <w:ind w:firstLine="0"/>
              <w:jc w:val="both"/>
              <w:rPr>
                <w:rFonts w:hint="eastAsia" w:ascii="宋体" w:hAnsi="宋体" w:eastAsia="宋体"/>
                <w:color w:val="000000"/>
                <w:sz w:val="18"/>
                <w:szCs w:val="18"/>
              </w:rPr>
            </w:pPr>
          </w:p>
          <w:p w14:paraId="62EC9AD8">
            <w:pPr>
              <w:wordWrap w:val="0"/>
              <w:autoSpaceDE w:val="0"/>
              <w:autoSpaceDN w:val="0"/>
              <w:spacing w:before="35" w:after="0" w:line="220" w:lineRule="exact"/>
              <w:jc w:val="center"/>
              <w:rPr>
                <w:sz w:val="18"/>
                <w:szCs w:val="18"/>
              </w:rPr>
            </w:pPr>
            <w:r>
              <w:rPr>
                <w:rFonts w:hint="eastAsia" w:ascii="宋体" w:hAnsi="宋体" w:eastAsia="宋体"/>
                <w:color w:val="000000"/>
                <w:sz w:val="18"/>
                <w:szCs w:val="18"/>
              </w:rPr>
              <w:t>情形描述</w:t>
            </w:r>
          </w:p>
        </w:tc>
        <w:tc>
          <w:tcPr>
            <w:tcW w:w="5604" w:type="dxa"/>
            <w:tcBorders>
              <w:top w:val="single" w:color="000000" w:sz="4" w:space="0"/>
              <w:left w:val="single" w:color="000000" w:sz="4" w:space="0"/>
              <w:bottom w:val="single" w:color="000000" w:sz="4" w:space="0"/>
              <w:right w:val="single" w:color="000000" w:sz="4" w:space="0"/>
            </w:tcBorders>
            <w:vAlign w:val="top"/>
          </w:tcPr>
          <w:p w14:paraId="0FBDB49F">
            <w:pPr>
              <w:wordWrap w:val="0"/>
              <w:autoSpaceDE w:val="0"/>
              <w:autoSpaceDN w:val="0"/>
              <w:spacing w:before="20" w:after="0" w:line="200" w:lineRule="exact"/>
              <w:ind w:left="100" w:right="40" w:hanging="40"/>
              <w:jc w:val="both"/>
              <w:rPr>
                <w:sz w:val="18"/>
                <w:szCs w:val="18"/>
              </w:rPr>
            </w:pPr>
            <w:r>
              <w:rPr>
                <w:rFonts w:hint="eastAsia" w:ascii="宋体" w:hAnsi="宋体" w:eastAsia="宋体"/>
                <w:color w:val="000000"/>
                <w:sz w:val="18"/>
                <w:szCs w:val="18"/>
              </w:rPr>
              <w:t>初次违法且积极配合检查人员查处改正违法行为，未对工程的防护能力造成实质性影响、危害后果轻微的</w:t>
            </w:r>
          </w:p>
        </w:tc>
        <w:tc>
          <w:tcPr>
            <w:tcW w:w="1019" w:type="dxa"/>
            <w:tcBorders>
              <w:top w:val="single" w:color="000000" w:sz="4" w:space="0"/>
              <w:left w:val="single" w:color="000000" w:sz="4" w:space="0"/>
              <w:bottom w:val="single" w:color="000000" w:sz="4" w:space="0"/>
              <w:right w:val="single" w:color="000000" w:sz="4" w:space="0"/>
            </w:tcBorders>
            <w:vAlign w:val="center"/>
          </w:tcPr>
          <w:p w14:paraId="65B06EF3">
            <w:pPr>
              <w:wordWrap w:val="0"/>
              <w:autoSpaceDE w:val="0"/>
              <w:autoSpaceDN w:val="0"/>
              <w:spacing w:before="0" w:after="0" w:line="272" w:lineRule="exact"/>
              <w:jc w:val="center"/>
              <w:rPr>
                <w:rFonts w:hint="eastAsia" w:ascii="宋体" w:hAnsi="宋体" w:eastAsia="宋体"/>
                <w:color w:val="000000"/>
                <w:sz w:val="18"/>
                <w:szCs w:val="18"/>
              </w:rPr>
            </w:pPr>
          </w:p>
        </w:tc>
        <w:tc>
          <w:tcPr>
            <w:tcW w:w="5935" w:type="dxa"/>
            <w:tcBorders>
              <w:top w:val="single" w:color="000000" w:sz="4" w:space="0"/>
              <w:left w:val="single" w:color="000000" w:sz="4" w:space="0"/>
              <w:bottom w:val="single" w:color="000000" w:sz="4" w:space="0"/>
              <w:right w:val="single" w:color="000000" w:sz="4" w:space="0"/>
            </w:tcBorders>
            <w:vAlign w:val="top"/>
          </w:tcPr>
          <w:p w14:paraId="7F4F93C3">
            <w:pPr>
              <w:wordWrap w:val="0"/>
              <w:autoSpaceDE w:val="0"/>
              <w:autoSpaceDN w:val="0"/>
              <w:spacing w:before="140" w:after="0" w:line="220" w:lineRule="exact"/>
              <w:ind w:firstLine="100"/>
              <w:jc w:val="both"/>
              <w:rPr>
                <w:sz w:val="18"/>
                <w:szCs w:val="18"/>
              </w:rPr>
            </w:pPr>
            <w:r>
              <w:rPr>
                <w:rFonts w:hint="eastAsia" w:ascii="宋体" w:hAnsi="宋体" w:eastAsia="宋体"/>
                <w:color w:val="000000"/>
                <w:sz w:val="18"/>
                <w:szCs w:val="18"/>
              </w:rPr>
              <w:t>不予处罚</w:t>
            </w:r>
          </w:p>
        </w:tc>
      </w:tr>
      <w:tr w14:paraId="5F11476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16" w:hRule="atLeast"/>
        </w:trPr>
        <w:tc>
          <w:tcPr>
            <w:tcW w:w="1161" w:type="dxa"/>
            <w:vMerge w:val="continue"/>
            <w:tcBorders>
              <w:top w:val="single" w:color="000000" w:sz="4" w:space="0"/>
              <w:left w:val="single" w:color="000000" w:sz="4" w:space="0"/>
              <w:bottom w:val="single" w:color="000000" w:sz="4" w:space="0"/>
              <w:right w:val="single" w:color="000000" w:sz="4" w:space="0"/>
            </w:tcBorders>
          </w:tcPr>
          <w:p w14:paraId="172520C0">
            <w:pPr>
              <w:rPr>
                <w:sz w:val="18"/>
                <w:szCs w:val="18"/>
              </w:rPr>
            </w:pPr>
          </w:p>
        </w:tc>
        <w:tc>
          <w:tcPr>
            <w:tcW w:w="5604" w:type="dxa"/>
            <w:tcBorders>
              <w:top w:val="single" w:color="000000" w:sz="4" w:space="0"/>
              <w:left w:val="single" w:color="000000" w:sz="4" w:space="0"/>
              <w:bottom w:val="single" w:color="000000" w:sz="4" w:space="0"/>
              <w:right w:val="single" w:color="000000" w:sz="4" w:space="0"/>
            </w:tcBorders>
            <w:vAlign w:val="top"/>
          </w:tcPr>
          <w:p w14:paraId="07F628F3">
            <w:pPr>
              <w:wordWrap w:val="0"/>
              <w:autoSpaceDE w:val="0"/>
              <w:autoSpaceDN w:val="0"/>
              <w:spacing w:before="0" w:after="0" w:line="200" w:lineRule="exact"/>
              <w:ind w:left="80" w:right="40" w:firstLine="20"/>
              <w:jc w:val="both"/>
              <w:rPr>
                <w:sz w:val="18"/>
                <w:szCs w:val="18"/>
              </w:rPr>
            </w:pPr>
            <w:r>
              <w:rPr>
                <w:rFonts w:hint="eastAsia" w:ascii="宋体" w:hAnsi="宋体" w:eastAsia="宋体"/>
                <w:color w:val="000000"/>
                <w:sz w:val="18"/>
                <w:szCs w:val="18"/>
              </w:rPr>
              <w:t>非初次违法但能积极配合检查人员查处改正违法行为，主动采取措施消除减轻危害的</w:t>
            </w:r>
          </w:p>
        </w:tc>
        <w:tc>
          <w:tcPr>
            <w:tcW w:w="1019" w:type="dxa"/>
            <w:vMerge w:val="restart"/>
            <w:tcBorders>
              <w:top w:val="single" w:color="000000" w:sz="4" w:space="0"/>
              <w:left w:val="single" w:color="000000" w:sz="4" w:space="0"/>
              <w:bottom w:val="single" w:color="000000" w:sz="4" w:space="0"/>
              <w:right w:val="single" w:color="000000" w:sz="4" w:space="0"/>
            </w:tcBorders>
            <w:vAlign w:val="top"/>
          </w:tcPr>
          <w:p w14:paraId="3826A951">
            <w:pPr>
              <w:wordWrap w:val="0"/>
              <w:autoSpaceDE w:val="0"/>
              <w:autoSpaceDN w:val="0"/>
              <w:spacing w:before="0" w:after="0" w:line="220" w:lineRule="exact"/>
              <w:ind w:firstLine="0"/>
              <w:jc w:val="both"/>
              <w:rPr>
                <w:rFonts w:hint="eastAsia" w:ascii="宋体" w:hAnsi="宋体" w:eastAsia="宋体"/>
                <w:color w:val="000000"/>
                <w:sz w:val="18"/>
                <w:szCs w:val="18"/>
              </w:rPr>
            </w:pPr>
          </w:p>
          <w:p w14:paraId="06A4468E">
            <w:pPr>
              <w:wordWrap w:val="0"/>
              <w:autoSpaceDE w:val="0"/>
              <w:autoSpaceDN w:val="0"/>
              <w:spacing w:before="0" w:after="0" w:line="220" w:lineRule="exact"/>
              <w:ind w:firstLine="0"/>
              <w:jc w:val="both"/>
              <w:rPr>
                <w:rFonts w:hint="eastAsia" w:ascii="宋体" w:hAnsi="宋体" w:eastAsia="宋体"/>
                <w:color w:val="000000"/>
                <w:sz w:val="18"/>
                <w:szCs w:val="18"/>
              </w:rPr>
            </w:pPr>
          </w:p>
          <w:p w14:paraId="047518BE">
            <w:pPr>
              <w:wordWrap w:val="0"/>
              <w:autoSpaceDE w:val="0"/>
              <w:autoSpaceDN w:val="0"/>
              <w:spacing w:before="0" w:after="0" w:line="220" w:lineRule="exact"/>
              <w:ind w:firstLine="0"/>
              <w:jc w:val="both"/>
              <w:rPr>
                <w:rFonts w:hint="eastAsia" w:ascii="宋体" w:hAnsi="宋体" w:eastAsia="宋体"/>
                <w:color w:val="000000"/>
                <w:sz w:val="18"/>
                <w:szCs w:val="18"/>
              </w:rPr>
            </w:pPr>
          </w:p>
          <w:p w14:paraId="0DFE0913">
            <w:pPr>
              <w:wordWrap w:val="0"/>
              <w:autoSpaceDE w:val="0"/>
              <w:autoSpaceDN w:val="0"/>
              <w:spacing w:before="0" w:after="0" w:line="220" w:lineRule="exact"/>
              <w:ind w:firstLine="0"/>
              <w:jc w:val="both"/>
              <w:rPr>
                <w:rFonts w:hint="eastAsia" w:ascii="宋体" w:hAnsi="宋体" w:eastAsia="宋体"/>
                <w:color w:val="000000"/>
                <w:sz w:val="18"/>
                <w:szCs w:val="18"/>
              </w:rPr>
            </w:pPr>
          </w:p>
          <w:p w14:paraId="5812F5F3">
            <w:pPr>
              <w:wordWrap w:val="0"/>
              <w:autoSpaceDE w:val="0"/>
              <w:autoSpaceDN w:val="0"/>
              <w:spacing w:before="0" w:after="0" w:line="220" w:lineRule="exact"/>
              <w:ind w:firstLine="0"/>
              <w:jc w:val="both"/>
              <w:rPr>
                <w:rFonts w:hint="eastAsia" w:ascii="宋体" w:hAnsi="宋体" w:eastAsia="宋体"/>
                <w:color w:val="000000"/>
                <w:sz w:val="18"/>
                <w:szCs w:val="18"/>
              </w:rPr>
            </w:pPr>
          </w:p>
          <w:p w14:paraId="45F0532E">
            <w:pPr>
              <w:wordWrap w:val="0"/>
              <w:autoSpaceDE w:val="0"/>
              <w:autoSpaceDN w:val="0"/>
              <w:spacing w:before="0" w:after="0" w:line="220" w:lineRule="exact"/>
              <w:ind w:firstLine="0"/>
              <w:jc w:val="both"/>
              <w:rPr>
                <w:rFonts w:hint="eastAsia" w:ascii="宋体" w:hAnsi="宋体" w:eastAsia="宋体"/>
                <w:color w:val="000000"/>
                <w:sz w:val="18"/>
                <w:szCs w:val="18"/>
              </w:rPr>
            </w:pPr>
          </w:p>
          <w:p w14:paraId="24A346BB">
            <w:pPr>
              <w:wordWrap w:val="0"/>
              <w:autoSpaceDE w:val="0"/>
              <w:autoSpaceDN w:val="0"/>
              <w:spacing w:before="0" w:after="0" w:line="220" w:lineRule="exact"/>
              <w:ind w:firstLine="0"/>
              <w:jc w:val="both"/>
              <w:rPr>
                <w:rFonts w:hint="eastAsia" w:ascii="宋体" w:hAnsi="宋体" w:eastAsia="宋体"/>
                <w:color w:val="000000"/>
                <w:sz w:val="18"/>
                <w:szCs w:val="18"/>
              </w:rPr>
            </w:pPr>
          </w:p>
          <w:p w14:paraId="2ECB5681">
            <w:pPr>
              <w:wordWrap w:val="0"/>
              <w:autoSpaceDE w:val="0"/>
              <w:autoSpaceDN w:val="0"/>
              <w:spacing w:before="216" w:after="0" w:line="220" w:lineRule="exact"/>
              <w:jc w:val="center"/>
              <w:rPr>
                <w:sz w:val="18"/>
                <w:szCs w:val="18"/>
              </w:rPr>
            </w:pPr>
            <w:r>
              <w:rPr>
                <w:rFonts w:hint="eastAsia" w:ascii="宋体" w:hAnsi="宋体" w:eastAsia="宋体"/>
                <w:color w:val="000000"/>
                <w:sz w:val="18"/>
                <w:szCs w:val="18"/>
              </w:rPr>
              <w:t>裁量幅度</w:t>
            </w:r>
          </w:p>
        </w:tc>
        <w:tc>
          <w:tcPr>
            <w:tcW w:w="5935" w:type="dxa"/>
            <w:tcBorders>
              <w:top w:val="single" w:color="000000" w:sz="4" w:space="0"/>
              <w:left w:val="single" w:color="000000" w:sz="4" w:space="0"/>
              <w:bottom w:val="single" w:color="000000" w:sz="4" w:space="0"/>
              <w:right w:val="single" w:color="000000" w:sz="4" w:space="0"/>
            </w:tcBorders>
            <w:vAlign w:val="top"/>
          </w:tcPr>
          <w:p w14:paraId="703B3D5C">
            <w:pPr>
              <w:wordWrap w:val="0"/>
              <w:autoSpaceDE w:val="0"/>
              <w:autoSpaceDN w:val="0"/>
              <w:spacing w:before="80" w:after="0" w:line="220" w:lineRule="exact"/>
              <w:ind w:firstLine="60"/>
              <w:jc w:val="both"/>
              <w:rPr>
                <w:sz w:val="18"/>
                <w:szCs w:val="18"/>
              </w:rPr>
            </w:pPr>
            <w:r>
              <w:rPr>
                <w:rFonts w:hint="eastAsia" w:ascii="宋体" w:hAnsi="宋体" w:eastAsia="宋体"/>
                <w:color w:val="000000"/>
                <w:sz w:val="18"/>
                <w:szCs w:val="18"/>
              </w:rPr>
              <w:t>警告并责令限期整改</w:t>
            </w:r>
          </w:p>
        </w:tc>
      </w:tr>
      <w:tr w14:paraId="66BFD97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8" w:hRule="atLeast"/>
        </w:trPr>
        <w:tc>
          <w:tcPr>
            <w:tcW w:w="1161" w:type="dxa"/>
            <w:vMerge w:val="continue"/>
            <w:tcBorders>
              <w:top w:val="single" w:color="000000" w:sz="4" w:space="0"/>
              <w:left w:val="single" w:color="000000" w:sz="4" w:space="0"/>
              <w:bottom w:val="single" w:color="000000" w:sz="4" w:space="0"/>
              <w:right w:val="single" w:color="000000" w:sz="4" w:space="0"/>
            </w:tcBorders>
          </w:tcPr>
          <w:p w14:paraId="2AE944E3">
            <w:pPr>
              <w:rPr>
                <w:sz w:val="18"/>
                <w:szCs w:val="18"/>
              </w:rPr>
            </w:pPr>
          </w:p>
        </w:tc>
        <w:tc>
          <w:tcPr>
            <w:tcW w:w="5604" w:type="dxa"/>
            <w:tcBorders>
              <w:top w:val="single" w:color="000000" w:sz="4" w:space="0"/>
              <w:left w:val="single" w:color="000000" w:sz="4" w:space="0"/>
              <w:bottom w:val="single" w:color="000000" w:sz="4" w:space="0"/>
              <w:right w:val="single" w:color="000000" w:sz="4" w:space="0"/>
            </w:tcBorders>
            <w:vAlign w:val="top"/>
          </w:tcPr>
          <w:p w14:paraId="0F97493A">
            <w:pPr>
              <w:wordWrap w:val="0"/>
              <w:autoSpaceDE w:val="0"/>
              <w:autoSpaceDN w:val="0"/>
              <w:spacing w:before="89" w:after="0" w:line="220" w:lineRule="exact"/>
              <w:ind w:left="80" w:right="6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）在危害人民防空工程安全的范围内进行采石、伐木、取土、爆破、挖洞、开沟、植桩等未造成人防工程（含附属设备设施）损害的</w:t>
            </w:r>
          </w:p>
          <w:p w14:paraId="39632FE5">
            <w:pPr>
              <w:wordWrap w:val="0"/>
              <w:autoSpaceDE w:val="0"/>
              <w:autoSpaceDN w:val="0"/>
              <w:spacing w:before="0" w:after="0" w:line="210" w:lineRule="exact"/>
              <w:ind w:left="80" w:right="6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）在影响人民防空工程进出和正常使用的范围内设置障碍、堆放物品、新建建筑物影响人防工程使用轻微的</w:t>
            </w:r>
          </w:p>
          <w:p w14:paraId="3C896AC6">
            <w:pPr>
              <w:wordWrap w:val="0"/>
              <w:autoSpaceDE w:val="0"/>
              <w:autoSpaceDN w:val="0"/>
              <w:spacing w:before="0" w:after="0" w:line="210" w:lineRule="exact"/>
              <w:ind w:left="100" w:right="20" w:firstLine="2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）向人民防空工程内排入废水、废气和倾倒废弃物，情节轻微，并及时改正未造成损失的</w:t>
            </w:r>
          </w:p>
          <w:p w14:paraId="009E2BA5">
            <w:pPr>
              <w:wordWrap w:val="0"/>
              <w:autoSpaceDE w:val="0"/>
              <w:autoSpaceDN w:val="0"/>
              <w:spacing w:before="99" w:after="0" w:line="220" w:lineRule="exact"/>
              <w:ind w:left="80" w:right="4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4</w:t>
            </w:r>
            <w:r>
              <w:rPr>
                <w:rFonts w:hint="eastAsia" w:ascii="宋体" w:hAnsi="宋体" w:eastAsia="宋体"/>
                <w:color w:val="000000"/>
                <w:sz w:val="18"/>
                <w:szCs w:val="18"/>
              </w:rPr>
              <w:t>）在人民防空工程内或者危及其安全的范围内生产、储存爆炸、剧毒、易燃、放射性和腐蚀性物品，情节轻微，并及时改正未造成损失的</w:t>
            </w:r>
          </w:p>
          <w:p w14:paraId="25FA6B1B">
            <w:pPr>
              <w:wordWrap w:val="0"/>
              <w:autoSpaceDE w:val="0"/>
              <w:autoSpaceDN w:val="0"/>
              <w:spacing w:before="0" w:after="0" w:line="200" w:lineRule="exact"/>
              <w:ind w:firstLine="1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）擅自将管网、线缆穿越人民防空工程</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处的</w:t>
            </w:r>
          </w:p>
          <w:p w14:paraId="265A0D9D">
            <w:pPr>
              <w:wordWrap w:val="0"/>
              <w:autoSpaceDE w:val="0"/>
              <w:autoSpaceDN w:val="0"/>
              <w:spacing w:before="0" w:after="0" w:line="200" w:lineRule="exact"/>
              <w:ind w:left="100" w:right="20" w:firstLine="2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6</w:t>
            </w:r>
            <w:r>
              <w:rPr>
                <w:rFonts w:hint="eastAsia" w:ascii="宋体" w:hAnsi="宋体" w:eastAsia="宋体"/>
                <w:color w:val="000000"/>
                <w:sz w:val="18"/>
                <w:szCs w:val="18"/>
              </w:rPr>
              <w:t>）毁损人民防空工程孔口伪装、地面附属设施以及防洪、防倒灌设施，堵塞或者截断人民防空工程的出入口、进排风竖井、进排水管道，情节轻微，并及时改正未造成损失的</w:t>
            </w:r>
          </w:p>
          <w:p w14:paraId="45F8E439">
            <w:pPr>
              <w:wordWrap w:val="0"/>
              <w:autoSpaceDE w:val="0"/>
              <w:autoSpaceDN w:val="0"/>
              <w:spacing w:before="0" w:after="0" w:line="220" w:lineRule="exact"/>
              <w:ind w:firstLine="1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7</w:t>
            </w:r>
            <w:r>
              <w:rPr>
                <w:rFonts w:hint="eastAsia" w:ascii="宋体" w:hAnsi="宋体" w:eastAsia="宋体"/>
                <w:color w:val="000000"/>
                <w:sz w:val="18"/>
                <w:szCs w:val="18"/>
              </w:rPr>
              <w:t>）在人防工程墙体开孔面积累计</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平方米以下的</w:t>
            </w:r>
          </w:p>
          <w:p w14:paraId="1930A61E">
            <w:pPr>
              <w:wordWrap w:val="0"/>
              <w:autoSpaceDE w:val="0"/>
              <w:autoSpaceDN w:val="0"/>
              <w:spacing w:before="0" w:after="0" w:line="180" w:lineRule="exact"/>
              <w:ind w:firstLine="1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）占用人民防空工程通风、配电等设备用房</w:t>
            </w:r>
            <w:r>
              <w:rPr>
                <w:rFonts w:hint="eastAsia" w:ascii="Calibri" w:hAnsi="Calibri" w:eastAsia="Calibri"/>
                <w:color w:val="000000"/>
                <w:sz w:val="18"/>
                <w:szCs w:val="18"/>
              </w:rPr>
              <w:t>2</w:t>
            </w:r>
            <w:r>
              <w:rPr>
                <w:rFonts w:hint="eastAsia" w:ascii="宋体" w:hAnsi="宋体" w:eastAsia="宋体"/>
                <w:color w:val="000000"/>
                <w:sz w:val="18"/>
                <w:szCs w:val="18"/>
              </w:rPr>
              <w:t>处以下的</w:t>
            </w:r>
          </w:p>
        </w:tc>
        <w:tc>
          <w:tcPr>
            <w:tcW w:w="1019" w:type="dxa"/>
            <w:vMerge w:val="continue"/>
            <w:tcBorders>
              <w:top w:val="single" w:color="000000" w:sz="4" w:space="0"/>
              <w:left w:val="single" w:color="000000" w:sz="4" w:space="0"/>
              <w:bottom w:val="single" w:color="000000" w:sz="4" w:space="0"/>
              <w:right w:val="single" w:color="000000" w:sz="4" w:space="0"/>
            </w:tcBorders>
          </w:tcPr>
          <w:p w14:paraId="3FAF7B7A">
            <w:pPr>
              <w:rPr>
                <w:sz w:val="18"/>
                <w:szCs w:val="18"/>
              </w:rPr>
            </w:pPr>
          </w:p>
        </w:tc>
        <w:tc>
          <w:tcPr>
            <w:tcW w:w="5935" w:type="dxa"/>
            <w:tcBorders>
              <w:top w:val="single" w:color="000000" w:sz="4" w:space="0"/>
              <w:left w:val="single" w:color="000000" w:sz="4" w:space="0"/>
              <w:bottom w:val="single" w:color="000000" w:sz="4" w:space="0"/>
              <w:right w:val="single" w:color="000000" w:sz="4" w:space="0"/>
            </w:tcBorders>
            <w:vAlign w:val="top"/>
          </w:tcPr>
          <w:p w14:paraId="60054949">
            <w:pPr>
              <w:wordWrap w:val="0"/>
              <w:autoSpaceDE w:val="0"/>
              <w:autoSpaceDN w:val="0"/>
              <w:spacing w:before="0" w:after="0" w:line="220" w:lineRule="exact"/>
              <w:ind w:firstLine="0"/>
              <w:jc w:val="both"/>
              <w:rPr>
                <w:rFonts w:hint="eastAsia" w:ascii="宋体" w:hAnsi="宋体" w:eastAsia="宋体"/>
                <w:color w:val="000000"/>
                <w:sz w:val="18"/>
                <w:szCs w:val="18"/>
              </w:rPr>
            </w:pPr>
          </w:p>
          <w:p w14:paraId="085E58EF">
            <w:pPr>
              <w:wordWrap w:val="0"/>
              <w:autoSpaceDE w:val="0"/>
              <w:autoSpaceDN w:val="0"/>
              <w:spacing w:before="0" w:after="0" w:line="220" w:lineRule="exact"/>
              <w:ind w:firstLine="0"/>
              <w:jc w:val="both"/>
              <w:rPr>
                <w:rFonts w:hint="eastAsia" w:ascii="宋体" w:hAnsi="宋体" w:eastAsia="宋体"/>
                <w:color w:val="000000"/>
                <w:sz w:val="18"/>
                <w:szCs w:val="18"/>
              </w:rPr>
            </w:pPr>
          </w:p>
          <w:p w14:paraId="703D0B71">
            <w:pPr>
              <w:wordWrap w:val="0"/>
              <w:autoSpaceDE w:val="0"/>
              <w:autoSpaceDN w:val="0"/>
              <w:spacing w:before="0" w:after="0" w:line="220" w:lineRule="exact"/>
              <w:ind w:firstLine="0"/>
              <w:jc w:val="both"/>
              <w:rPr>
                <w:rFonts w:hint="eastAsia" w:ascii="宋体" w:hAnsi="宋体" w:eastAsia="宋体"/>
                <w:color w:val="000000"/>
                <w:sz w:val="18"/>
                <w:szCs w:val="18"/>
              </w:rPr>
            </w:pPr>
          </w:p>
          <w:p w14:paraId="01BB1F7F">
            <w:pPr>
              <w:wordWrap w:val="0"/>
              <w:autoSpaceDE w:val="0"/>
              <w:autoSpaceDN w:val="0"/>
              <w:spacing w:before="0" w:after="0" w:line="220" w:lineRule="exact"/>
              <w:ind w:firstLine="0"/>
              <w:jc w:val="both"/>
              <w:rPr>
                <w:rFonts w:hint="eastAsia" w:ascii="宋体" w:hAnsi="宋体" w:eastAsia="宋体"/>
                <w:color w:val="000000"/>
                <w:sz w:val="18"/>
                <w:szCs w:val="18"/>
              </w:rPr>
            </w:pPr>
          </w:p>
          <w:p w14:paraId="103BACEB">
            <w:pPr>
              <w:wordWrap w:val="0"/>
              <w:autoSpaceDE w:val="0"/>
              <w:autoSpaceDN w:val="0"/>
              <w:spacing w:before="0" w:after="0" w:line="220" w:lineRule="exact"/>
              <w:ind w:firstLine="0"/>
              <w:jc w:val="both"/>
              <w:rPr>
                <w:rFonts w:hint="eastAsia" w:ascii="宋体" w:hAnsi="宋体" w:eastAsia="宋体"/>
                <w:color w:val="000000"/>
                <w:sz w:val="18"/>
                <w:szCs w:val="18"/>
              </w:rPr>
            </w:pPr>
          </w:p>
          <w:p w14:paraId="75C71925">
            <w:pPr>
              <w:wordWrap w:val="0"/>
              <w:autoSpaceDE w:val="0"/>
              <w:autoSpaceDN w:val="0"/>
              <w:spacing w:before="0" w:after="0" w:line="220" w:lineRule="exact"/>
              <w:ind w:firstLine="0"/>
              <w:jc w:val="both"/>
              <w:rPr>
                <w:rFonts w:hint="eastAsia" w:ascii="宋体" w:hAnsi="宋体" w:eastAsia="宋体"/>
                <w:color w:val="000000"/>
                <w:sz w:val="18"/>
                <w:szCs w:val="18"/>
              </w:rPr>
            </w:pPr>
          </w:p>
          <w:p w14:paraId="7A61CDA5">
            <w:pPr>
              <w:wordWrap w:val="0"/>
              <w:autoSpaceDE w:val="0"/>
              <w:autoSpaceDN w:val="0"/>
              <w:spacing w:before="117" w:after="0" w:line="220" w:lineRule="exact"/>
              <w:ind w:left="100" w:right="4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1000</w:t>
            </w:r>
            <w:r>
              <w:rPr>
                <w:rFonts w:hint="eastAsia" w:ascii="宋体" w:hAnsi="宋体" w:eastAsia="宋体"/>
                <w:color w:val="000000"/>
                <w:sz w:val="18"/>
                <w:szCs w:val="18"/>
              </w:rPr>
              <w:t>元以上</w:t>
            </w:r>
            <w:r>
              <w:rPr>
                <w:rFonts w:hint="eastAsia" w:ascii="Calibri" w:hAnsi="Calibri" w:eastAsia="Calibri"/>
                <w:color w:val="000000"/>
                <w:sz w:val="18"/>
                <w:szCs w:val="18"/>
              </w:rPr>
              <w:t>2000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r w14:paraId="16CFB3F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8" w:hRule="atLeast"/>
        </w:trPr>
        <w:tc>
          <w:tcPr>
            <w:tcW w:w="1161" w:type="dxa"/>
            <w:vMerge w:val="restart"/>
            <w:tcBorders>
              <w:top w:val="single" w:color="000000" w:sz="4" w:space="0"/>
              <w:left w:val="single" w:color="000000" w:sz="4" w:space="0"/>
              <w:right w:val="single" w:color="000000" w:sz="4" w:space="0"/>
            </w:tcBorders>
            <w:vAlign w:val="center"/>
          </w:tcPr>
          <w:p w14:paraId="25B0E084">
            <w:pPr>
              <w:bidi w:val="0"/>
              <w:jc w:val="center"/>
              <w:rPr>
                <w:lang w:val="en-US" w:eastAsia="zh-CN"/>
              </w:rPr>
            </w:pPr>
            <w:r>
              <w:rPr>
                <w:rFonts w:hint="eastAsia" w:ascii="宋体" w:hAnsi="宋体" w:eastAsia="宋体"/>
                <w:color w:val="000000"/>
                <w:sz w:val="18"/>
                <w:szCs w:val="18"/>
              </w:rPr>
              <w:t>情形描述</w:t>
            </w:r>
          </w:p>
        </w:tc>
        <w:tc>
          <w:tcPr>
            <w:tcW w:w="5604" w:type="dxa"/>
            <w:tcBorders>
              <w:top w:val="single" w:color="000000" w:sz="4" w:space="0"/>
              <w:left w:val="single" w:color="000000" w:sz="4" w:space="0"/>
              <w:bottom w:val="single" w:color="000000" w:sz="4" w:space="0"/>
              <w:right w:val="single" w:color="000000" w:sz="4" w:space="0"/>
            </w:tcBorders>
            <w:shd w:val="clear" w:color="auto" w:fill="auto"/>
            <w:vAlign w:val="top"/>
          </w:tcPr>
          <w:p w14:paraId="64B3645C">
            <w:pPr>
              <w:wordWrap w:val="0"/>
              <w:autoSpaceDE w:val="0"/>
              <w:autoSpaceDN w:val="0"/>
              <w:spacing w:before="0" w:after="0" w:line="220" w:lineRule="exact"/>
              <w:ind w:left="120" w:right="60" w:firstLine="2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）在危害人民防空工程安全的范围内进行采石、伐木、取土、爆破、挖洞、开沟、植桩等造成人防工程（含附属设备设施）轻微损害，经修复不影响人防工程的防护标准和质量的</w:t>
            </w:r>
          </w:p>
          <w:p w14:paraId="7EB9A584">
            <w:pPr>
              <w:wordWrap w:val="0"/>
              <w:autoSpaceDE w:val="0"/>
              <w:autoSpaceDN w:val="0"/>
              <w:spacing w:before="0" w:after="0" w:line="200" w:lineRule="exact"/>
              <w:ind w:left="120" w:right="4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）在影响人民防空工程进出和正常使用的范围内设置障碍、堆放物品、新建建筑物影响人防工程使用严重的</w:t>
            </w:r>
          </w:p>
          <w:p w14:paraId="6101CF80">
            <w:pPr>
              <w:wordWrap w:val="0"/>
              <w:autoSpaceDE w:val="0"/>
              <w:autoSpaceDN w:val="0"/>
              <w:spacing w:before="0" w:after="0" w:line="210" w:lineRule="exact"/>
              <w:ind w:left="120" w:right="40" w:firstLine="2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）向人民防空工程内排入废水、废气和倾倒废弃物造成人防工程内部内部积水防护设施设备出现锈蚀损害现象的</w:t>
            </w:r>
          </w:p>
          <w:p w14:paraId="73B01013">
            <w:pPr>
              <w:wordWrap w:val="0"/>
              <w:autoSpaceDE w:val="0"/>
              <w:autoSpaceDN w:val="0"/>
              <w:spacing w:before="89" w:after="0" w:line="220" w:lineRule="exact"/>
              <w:ind w:left="12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4</w:t>
            </w:r>
            <w:r>
              <w:rPr>
                <w:rFonts w:hint="eastAsia" w:ascii="宋体" w:hAnsi="宋体" w:eastAsia="宋体"/>
                <w:color w:val="000000"/>
                <w:sz w:val="18"/>
                <w:szCs w:val="18"/>
              </w:rPr>
              <w:t>）在人民防空工程内或者危及其安全的范围内生产、储存爆炸、剧毒、易燃、放射性和腐蚀性物品，对人防工程造成一定的安全隐患的</w:t>
            </w:r>
          </w:p>
          <w:p w14:paraId="16DC569C">
            <w:pPr>
              <w:wordWrap w:val="0"/>
              <w:autoSpaceDE w:val="0"/>
              <w:autoSpaceDN w:val="0"/>
              <w:spacing w:before="0" w:after="0" w:line="200"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）擅自将管网、线缆穿越人民防空工程</w:t>
            </w:r>
            <w:r>
              <w:rPr>
                <w:rFonts w:hint="eastAsia" w:ascii="Calibri" w:hAnsi="Calibri" w:eastAsia="Calibri"/>
                <w:color w:val="000000"/>
                <w:sz w:val="18"/>
                <w:szCs w:val="18"/>
              </w:rPr>
              <w:t>3</w:t>
            </w:r>
            <w:r>
              <w:rPr>
                <w:rFonts w:hint="eastAsia" w:ascii="宋体" w:hAnsi="宋体" w:eastAsia="宋体"/>
                <w:color w:val="000000"/>
                <w:sz w:val="18"/>
                <w:szCs w:val="18"/>
              </w:rPr>
              <w:t>-</w:t>
            </w:r>
            <w:r>
              <w:rPr>
                <w:rFonts w:hint="eastAsia" w:ascii="Calibri" w:hAnsi="Calibri" w:eastAsia="Calibri"/>
                <w:color w:val="000000"/>
                <w:sz w:val="18"/>
                <w:szCs w:val="18"/>
              </w:rPr>
              <w:t>4</w:t>
            </w:r>
            <w:r>
              <w:rPr>
                <w:rFonts w:hint="eastAsia" w:ascii="宋体" w:hAnsi="宋体" w:eastAsia="宋体"/>
                <w:color w:val="000000"/>
                <w:sz w:val="18"/>
                <w:szCs w:val="18"/>
              </w:rPr>
              <w:t>处的</w:t>
            </w:r>
          </w:p>
          <w:p w14:paraId="411B7DCE">
            <w:pPr>
              <w:wordWrap w:val="0"/>
              <w:autoSpaceDE w:val="0"/>
              <w:autoSpaceDN w:val="0"/>
              <w:spacing w:before="0" w:after="0" w:line="206" w:lineRule="exact"/>
              <w:ind w:left="120" w:right="2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6</w:t>
            </w:r>
            <w:r>
              <w:rPr>
                <w:rFonts w:hint="eastAsia" w:ascii="宋体" w:hAnsi="宋体" w:eastAsia="宋体"/>
                <w:color w:val="000000"/>
                <w:sz w:val="18"/>
                <w:szCs w:val="18"/>
              </w:rPr>
              <w:t>）毁损人民防空工程孔口伪装、地面附属设施以及防洪、防倒灌设施，堵塞或者截断人民防空工程的出入口进排风竖井、进排水管道，造成人防工程（含附属设施）损毁较重的</w:t>
            </w:r>
          </w:p>
          <w:p w14:paraId="37303ED9">
            <w:pPr>
              <w:wordWrap w:val="0"/>
              <w:autoSpaceDE w:val="0"/>
              <w:autoSpaceDN w:val="0"/>
              <w:spacing w:before="199" w:after="0" w:line="220" w:lineRule="exact"/>
              <w:ind w:left="160" w:right="40" w:hanging="2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7</w:t>
            </w:r>
            <w:r>
              <w:rPr>
                <w:rFonts w:hint="eastAsia" w:ascii="宋体" w:hAnsi="宋体" w:eastAsia="宋体"/>
                <w:color w:val="000000"/>
                <w:sz w:val="18"/>
                <w:szCs w:val="18"/>
              </w:rPr>
              <w:t>）在人防工程墙体开孔面积累计</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平方米以上</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平方米以下的</w:t>
            </w:r>
          </w:p>
          <w:p w14:paraId="6BB3411C">
            <w:pPr>
              <w:wordWrap w:val="0"/>
              <w:autoSpaceDE w:val="0"/>
              <w:autoSpaceDN w:val="0"/>
              <w:spacing w:before="0" w:after="0" w:line="140" w:lineRule="exact"/>
              <w:ind w:firstLine="18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）占用人民防空工程通风、配电等设备用房</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4</w:t>
            </w:r>
            <w:r>
              <w:rPr>
                <w:rFonts w:hint="eastAsia" w:ascii="宋体" w:hAnsi="宋体" w:eastAsia="宋体"/>
                <w:color w:val="000000"/>
                <w:sz w:val="18"/>
                <w:szCs w:val="18"/>
              </w:rPr>
              <w:t>处的</w:t>
            </w:r>
          </w:p>
        </w:tc>
        <w:tc>
          <w:tcPr>
            <w:tcW w:w="1019" w:type="dxa"/>
            <w:vMerge w:val="restart"/>
            <w:tcBorders>
              <w:top w:val="single" w:color="000000" w:sz="4" w:space="0"/>
              <w:left w:val="single" w:color="000000" w:sz="4" w:space="0"/>
              <w:right w:val="single" w:color="000000" w:sz="4" w:space="0"/>
            </w:tcBorders>
            <w:shd w:val="clear" w:color="auto" w:fill="auto"/>
            <w:vAlign w:val="center"/>
          </w:tcPr>
          <w:p w14:paraId="6B4636AC">
            <w:pPr>
              <w:wordWrap w:val="0"/>
              <w:autoSpaceDE w:val="0"/>
              <w:autoSpaceDN w:val="0"/>
              <w:spacing w:before="112" w:after="0" w:line="220" w:lineRule="exact"/>
              <w:jc w:val="center"/>
              <w:rPr>
                <w:rFonts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裁量幅度</w:t>
            </w:r>
          </w:p>
        </w:tc>
        <w:tc>
          <w:tcPr>
            <w:tcW w:w="5935" w:type="dxa"/>
            <w:tcBorders>
              <w:top w:val="single" w:color="000000" w:sz="4" w:space="0"/>
              <w:left w:val="single" w:color="000000" w:sz="4" w:space="0"/>
              <w:bottom w:val="single" w:color="000000" w:sz="4" w:space="0"/>
              <w:right w:val="single" w:color="000000" w:sz="4" w:space="0"/>
            </w:tcBorders>
            <w:shd w:val="clear" w:color="auto" w:fill="auto"/>
            <w:vAlign w:val="top"/>
          </w:tcPr>
          <w:p w14:paraId="2E868D38">
            <w:pPr>
              <w:wordWrap w:val="0"/>
              <w:autoSpaceDE w:val="0"/>
              <w:autoSpaceDN w:val="0"/>
              <w:spacing w:before="0" w:after="0" w:line="220" w:lineRule="exact"/>
              <w:ind w:firstLine="0"/>
              <w:jc w:val="both"/>
              <w:rPr>
                <w:rFonts w:hint="eastAsia" w:ascii="宋体" w:hAnsi="宋体" w:eastAsia="宋体"/>
                <w:color w:val="000000"/>
                <w:sz w:val="18"/>
                <w:szCs w:val="18"/>
              </w:rPr>
            </w:pPr>
          </w:p>
          <w:p w14:paraId="27F014D6">
            <w:pPr>
              <w:wordWrap w:val="0"/>
              <w:autoSpaceDE w:val="0"/>
              <w:autoSpaceDN w:val="0"/>
              <w:spacing w:before="0" w:after="0" w:line="220" w:lineRule="exact"/>
              <w:ind w:firstLine="0"/>
              <w:jc w:val="both"/>
              <w:rPr>
                <w:rFonts w:hint="eastAsia" w:ascii="宋体" w:hAnsi="宋体" w:eastAsia="宋体"/>
                <w:color w:val="000000"/>
                <w:sz w:val="18"/>
                <w:szCs w:val="18"/>
              </w:rPr>
            </w:pPr>
          </w:p>
          <w:p w14:paraId="0F0D7902">
            <w:pPr>
              <w:wordWrap w:val="0"/>
              <w:autoSpaceDE w:val="0"/>
              <w:autoSpaceDN w:val="0"/>
              <w:spacing w:before="0" w:after="0" w:line="220" w:lineRule="exact"/>
              <w:ind w:firstLine="0"/>
              <w:jc w:val="both"/>
              <w:rPr>
                <w:rFonts w:hint="eastAsia" w:ascii="宋体" w:hAnsi="宋体" w:eastAsia="宋体"/>
                <w:color w:val="000000"/>
                <w:sz w:val="18"/>
                <w:szCs w:val="18"/>
              </w:rPr>
            </w:pPr>
          </w:p>
          <w:p w14:paraId="39C815D1">
            <w:pPr>
              <w:wordWrap w:val="0"/>
              <w:autoSpaceDE w:val="0"/>
              <w:autoSpaceDN w:val="0"/>
              <w:spacing w:before="0" w:after="0" w:line="220" w:lineRule="exact"/>
              <w:ind w:firstLine="0"/>
              <w:jc w:val="both"/>
              <w:rPr>
                <w:rFonts w:hint="eastAsia" w:ascii="宋体" w:hAnsi="宋体" w:eastAsia="宋体"/>
                <w:color w:val="000000"/>
                <w:sz w:val="18"/>
                <w:szCs w:val="18"/>
              </w:rPr>
            </w:pPr>
          </w:p>
          <w:p w14:paraId="236D71BA">
            <w:pPr>
              <w:wordWrap w:val="0"/>
              <w:autoSpaceDE w:val="0"/>
              <w:autoSpaceDN w:val="0"/>
              <w:spacing w:before="0" w:after="0" w:line="220" w:lineRule="exact"/>
              <w:ind w:firstLine="0"/>
              <w:jc w:val="both"/>
              <w:rPr>
                <w:rFonts w:hint="eastAsia" w:ascii="宋体" w:hAnsi="宋体" w:eastAsia="宋体"/>
                <w:color w:val="000000"/>
                <w:sz w:val="18"/>
                <w:szCs w:val="18"/>
              </w:rPr>
            </w:pPr>
          </w:p>
          <w:p w14:paraId="26227B89">
            <w:pPr>
              <w:wordWrap w:val="0"/>
              <w:autoSpaceDE w:val="0"/>
              <w:autoSpaceDN w:val="0"/>
              <w:spacing w:before="0" w:after="0" w:line="220" w:lineRule="exact"/>
              <w:ind w:firstLine="0"/>
              <w:jc w:val="both"/>
              <w:rPr>
                <w:rFonts w:hint="eastAsia" w:ascii="宋体" w:hAnsi="宋体" w:eastAsia="宋体"/>
                <w:color w:val="000000"/>
                <w:sz w:val="18"/>
                <w:szCs w:val="18"/>
              </w:rPr>
            </w:pPr>
          </w:p>
          <w:p w14:paraId="3FCC436D">
            <w:pPr>
              <w:wordWrap w:val="0"/>
              <w:autoSpaceDE w:val="0"/>
              <w:autoSpaceDN w:val="0"/>
              <w:spacing w:before="217" w:after="0" w:line="220" w:lineRule="exact"/>
              <w:ind w:left="100" w:leftChars="0" w:right="40" w:rightChars="0" w:hanging="2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2000</w:t>
            </w:r>
            <w:r>
              <w:rPr>
                <w:rFonts w:hint="eastAsia" w:ascii="宋体" w:hAnsi="宋体" w:eastAsia="宋体"/>
                <w:color w:val="000000"/>
                <w:sz w:val="18"/>
                <w:szCs w:val="18"/>
              </w:rPr>
              <w:t>元以上</w:t>
            </w:r>
            <w:r>
              <w:rPr>
                <w:rFonts w:hint="eastAsia" w:ascii="Calibri" w:hAnsi="Calibri" w:eastAsia="Calibri"/>
                <w:color w:val="000000"/>
                <w:sz w:val="18"/>
                <w:szCs w:val="18"/>
              </w:rPr>
              <w:t>4000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4</w:t>
            </w:r>
            <w:r>
              <w:rPr>
                <w:rFonts w:hint="eastAsia" w:ascii="宋体" w:hAnsi="宋体" w:eastAsia="宋体"/>
                <w:color w:val="000000"/>
                <w:sz w:val="18"/>
                <w:szCs w:val="18"/>
              </w:rPr>
              <w:t>万元以下罚款</w:t>
            </w:r>
          </w:p>
        </w:tc>
      </w:tr>
      <w:tr w14:paraId="49C5B9A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8" w:hRule="atLeast"/>
        </w:trPr>
        <w:tc>
          <w:tcPr>
            <w:tcW w:w="1161" w:type="dxa"/>
            <w:vMerge w:val="continue"/>
            <w:tcBorders>
              <w:left w:val="single" w:color="000000" w:sz="4" w:space="0"/>
              <w:bottom w:val="single" w:color="000000" w:sz="4" w:space="0"/>
              <w:right w:val="single" w:color="000000" w:sz="4" w:space="0"/>
            </w:tcBorders>
          </w:tcPr>
          <w:p w14:paraId="37B72908">
            <w:pPr>
              <w:bidi w:val="0"/>
              <w:jc w:val="center"/>
              <w:rPr>
                <w:lang w:val="en-US" w:eastAsia="zh-CN"/>
              </w:rPr>
            </w:pPr>
          </w:p>
        </w:tc>
        <w:tc>
          <w:tcPr>
            <w:tcW w:w="5604" w:type="dxa"/>
            <w:tcBorders>
              <w:top w:val="single" w:color="000000" w:sz="4" w:space="0"/>
              <w:left w:val="single" w:color="000000" w:sz="4" w:space="0"/>
              <w:bottom w:val="single" w:color="000000" w:sz="4" w:space="0"/>
              <w:right w:val="single" w:color="000000" w:sz="4" w:space="0"/>
            </w:tcBorders>
            <w:shd w:val="clear" w:color="auto" w:fill="auto"/>
            <w:vAlign w:val="top"/>
          </w:tcPr>
          <w:p w14:paraId="695D8310">
            <w:pPr>
              <w:wordWrap w:val="0"/>
              <w:autoSpaceDE w:val="0"/>
              <w:autoSpaceDN w:val="0"/>
              <w:spacing w:before="0" w:after="0" w:line="206" w:lineRule="exact"/>
              <w:ind w:left="120" w:right="2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）在危害人民防空工程安全的范围内进行采石、伐木、取土、爆破、挖洞、开沟、植桩等造成人防工程（含附属设备设施）严重损害，不能修复或修复后防护标准和质量降低的</w:t>
            </w:r>
          </w:p>
          <w:p w14:paraId="37D2B577">
            <w:pPr>
              <w:wordWrap w:val="0"/>
              <w:autoSpaceDE w:val="0"/>
              <w:autoSpaceDN w:val="0"/>
              <w:spacing w:before="0" w:after="0" w:line="210" w:lineRule="exact"/>
              <w:ind w:left="100" w:right="4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）在影响人民防空工程进出和正常使用的范围内设置障碍、堆放物品、新建建筑物造成人防工程无法使用的</w:t>
            </w:r>
          </w:p>
          <w:p w14:paraId="269CFEB4">
            <w:pPr>
              <w:wordWrap w:val="0"/>
              <w:autoSpaceDE w:val="0"/>
              <w:autoSpaceDN w:val="0"/>
              <w:spacing w:before="0" w:after="0" w:line="210" w:lineRule="exact"/>
              <w:ind w:left="120" w:right="60" w:firstLine="2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）向人民防空工程内排入废水、废气和倾倒废弃物造成人防工程内部长期积水，内部防护设施设备无法正常使用的</w:t>
            </w:r>
          </w:p>
          <w:p w14:paraId="1747F699">
            <w:pPr>
              <w:wordWrap w:val="0"/>
              <w:autoSpaceDE w:val="0"/>
              <w:autoSpaceDN w:val="0"/>
              <w:spacing w:before="0" w:after="0" w:line="200" w:lineRule="exact"/>
              <w:ind w:left="100" w:right="20" w:firstLine="12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4</w:t>
            </w:r>
            <w:r>
              <w:rPr>
                <w:rFonts w:hint="eastAsia" w:ascii="宋体" w:hAnsi="宋体" w:eastAsia="宋体"/>
                <w:color w:val="000000"/>
                <w:sz w:val="18"/>
                <w:szCs w:val="18"/>
              </w:rPr>
              <w:t>）向人防通信、指挥、重要公共工程内排入废水、废气和倾倒废弃物的</w:t>
            </w:r>
          </w:p>
          <w:p w14:paraId="1851DA11">
            <w:pPr>
              <w:wordWrap w:val="0"/>
              <w:autoSpaceDE w:val="0"/>
              <w:autoSpaceDN w:val="0"/>
              <w:spacing w:before="89" w:after="0" w:line="220" w:lineRule="exact"/>
              <w:ind w:left="120" w:right="20" w:firstLine="2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）在人民防空工程内或者危及其安全的范围内生产、储存爆炸、剧毒、易燃、放射性和腐蚀性物品，对人防工程具有较大安全隐患的</w:t>
            </w:r>
          </w:p>
          <w:p w14:paraId="47A3DB2D">
            <w:pPr>
              <w:wordWrap w:val="0"/>
              <w:autoSpaceDE w:val="0"/>
              <w:autoSpaceDN w:val="0"/>
              <w:spacing w:before="0" w:after="0" w:line="220"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6</w:t>
            </w:r>
            <w:r>
              <w:rPr>
                <w:rFonts w:hint="eastAsia" w:ascii="宋体" w:hAnsi="宋体" w:eastAsia="宋体"/>
                <w:color w:val="000000"/>
                <w:sz w:val="18"/>
                <w:szCs w:val="18"/>
              </w:rPr>
              <w:t>）擅自将管网、线缆穿越人民防空工程</w:t>
            </w:r>
            <w:r>
              <w:rPr>
                <w:rFonts w:hint="eastAsia" w:ascii="Calibri" w:hAnsi="Calibri" w:eastAsia="Calibri"/>
                <w:color w:val="000000"/>
                <w:sz w:val="18"/>
                <w:szCs w:val="18"/>
              </w:rPr>
              <w:t>5</w:t>
            </w:r>
            <w:r>
              <w:rPr>
                <w:rFonts w:hint="eastAsia" w:ascii="宋体" w:hAnsi="宋体" w:eastAsia="宋体"/>
                <w:color w:val="000000"/>
                <w:sz w:val="18"/>
                <w:szCs w:val="18"/>
              </w:rPr>
              <w:t>处及以上的</w:t>
            </w:r>
          </w:p>
          <w:p w14:paraId="57AACD84">
            <w:pPr>
              <w:wordWrap w:val="0"/>
              <w:autoSpaceDE w:val="0"/>
              <w:autoSpaceDN w:val="0"/>
              <w:spacing w:before="0" w:after="0" w:line="206" w:lineRule="exact"/>
              <w:ind w:left="100" w:right="4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7</w:t>
            </w:r>
            <w:r>
              <w:rPr>
                <w:rFonts w:hint="eastAsia" w:ascii="宋体" w:hAnsi="宋体" w:eastAsia="宋体"/>
                <w:color w:val="000000"/>
                <w:sz w:val="18"/>
                <w:szCs w:val="18"/>
              </w:rPr>
              <w:t>）毁损人民防空工程孔口伪装、地面附属设施以及防洪、防倒灌设施，堵塞或者截断人民防空工程的出入口、进排风竖井、进排水管道，造成人防工程（含附属设施）损毁严重</w:t>
            </w:r>
          </w:p>
          <w:p w14:paraId="7F4A5782">
            <w:pPr>
              <w:wordWrap w:val="0"/>
              <w:autoSpaceDE w:val="0"/>
              <w:autoSpaceDN w:val="0"/>
              <w:spacing w:before="0" w:after="0" w:line="200"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）占用人民防空工程通风、配电等设备用房</w:t>
            </w:r>
            <w:r>
              <w:rPr>
                <w:rFonts w:hint="eastAsia" w:ascii="Calibri" w:hAnsi="Calibri" w:eastAsia="Calibri"/>
                <w:color w:val="000000"/>
                <w:sz w:val="18"/>
                <w:szCs w:val="18"/>
              </w:rPr>
              <w:t>4</w:t>
            </w:r>
            <w:r>
              <w:rPr>
                <w:rFonts w:hint="eastAsia" w:ascii="宋体" w:hAnsi="宋体" w:eastAsia="宋体"/>
                <w:color w:val="000000"/>
                <w:sz w:val="18"/>
                <w:szCs w:val="18"/>
              </w:rPr>
              <w:t>处以上的</w:t>
            </w:r>
          </w:p>
          <w:p w14:paraId="6985F49A">
            <w:pPr>
              <w:wordWrap w:val="0"/>
              <w:autoSpaceDE w:val="0"/>
              <w:autoSpaceDN w:val="0"/>
              <w:spacing w:before="0" w:after="0" w:line="200"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9</w:t>
            </w:r>
            <w:r>
              <w:rPr>
                <w:rFonts w:hint="eastAsia" w:ascii="宋体" w:hAnsi="宋体" w:eastAsia="宋体"/>
                <w:color w:val="000000"/>
                <w:sz w:val="18"/>
                <w:szCs w:val="18"/>
              </w:rPr>
              <w:t>）有上述违法行为，经人防部门责令整改后拒不改正的</w:t>
            </w:r>
          </w:p>
          <w:p w14:paraId="477B8F9A">
            <w:pPr>
              <w:wordWrap w:val="0"/>
              <w:autoSpaceDE w:val="0"/>
              <w:autoSpaceDN w:val="0"/>
              <w:spacing w:before="0" w:after="0" w:line="160" w:lineRule="exact"/>
              <w:ind w:firstLine="14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w:t>
            </w:r>
            <w:r>
              <w:rPr>
                <w:rFonts w:hint="eastAsia" w:ascii="Calibri" w:hAnsi="Calibri" w:eastAsia="Calibri"/>
                <w:color w:val="000000"/>
                <w:sz w:val="18"/>
                <w:szCs w:val="18"/>
              </w:rPr>
              <w:t>10</w:t>
            </w:r>
            <w:r>
              <w:rPr>
                <w:rFonts w:hint="eastAsia" w:ascii="宋体" w:hAnsi="宋体" w:eastAsia="宋体"/>
                <w:color w:val="000000"/>
                <w:sz w:val="18"/>
                <w:szCs w:val="18"/>
              </w:rPr>
              <w:t>）实施上述违法行为</w:t>
            </w:r>
            <w:r>
              <w:rPr>
                <w:rFonts w:hint="eastAsia" w:ascii="Calibri" w:hAnsi="Calibri" w:eastAsia="Calibri"/>
                <w:color w:val="000000"/>
                <w:sz w:val="18"/>
                <w:szCs w:val="18"/>
              </w:rPr>
              <w:t>2</w:t>
            </w:r>
            <w:r>
              <w:rPr>
                <w:rFonts w:hint="eastAsia" w:ascii="宋体" w:hAnsi="宋体" w:eastAsia="宋体"/>
                <w:color w:val="000000"/>
                <w:sz w:val="18"/>
                <w:szCs w:val="18"/>
              </w:rPr>
              <w:t>次以上的</w:t>
            </w:r>
          </w:p>
        </w:tc>
        <w:tc>
          <w:tcPr>
            <w:tcW w:w="1019" w:type="dxa"/>
            <w:vMerge w:val="continue"/>
            <w:tcBorders>
              <w:left w:val="single" w:color="000000" w:sz="4" w:space="0"/>
              <w:bottom w:val="single" w:color="000000" w:sz="4" w:space="0"/>
              <w:right w:val="single" w:color="000000" w:sz="4" w:space="0"/>
            </w:tcBorders>
          </w:tcPr>
          <w:p w14:paraId="456EA66A">
            <w:pPr>
              <w:rPr>
                <w:sz w:val="18"/>
                <w:szCs w:val="18"/>
              </w:rPr>
            </w:pPr>
          </w:p>
        </w:tc>
        <w:tc>
          <w:tcPr>
            <w:tcW w:w="5935" w:type="dxa"/>
            <w:tcBorders>
              <w:top w:val="single" w:color="000000" w:sz="4" w:space="0"/>
              <w:left w:val="single" w:color="000000" w:sz="4" w:space="0"/>
              <w:bottom w:val="single" w:color="000000" w:sz="4" w:space="0"/>
              <w:right w:val="single" w:color="000000" w:sz="4" w:space="0"/>
            </w:tcBorders>
            <w:shd w:val="clear" w:color="auto" w:fill="auto"/>
            <w:vAlign w:val="top"/>
          </w:tcPr>
          <w:p w14:paraId="669BD23C">
            <w:pPr>
              <w:wordWrap w:val="0"/>
              <w:autoSpaceDE w:val="0"/>
              <w:autoSpaceDN w:val="0"/>
              <w:spacing w:before="0" w:after="0" w:line="220" w:lineRule="exact"/>
              <w:ind w:firstLine="0"/>
              <w:jc w:val="both"/>
              <w:rPr>
                <w:rFonts w:hint="eastAsia" w:ascii="宋体" w:hAnsi="宋体" w:eastAsia="宋体"/>
                <w:color w:val="000000"/>
                <w:sz w:val="18"/>
                <w:szCs w:val="18"/>
              </w:rPr>
            </w:pPr>
          </w:p>
          <w:p w14:paraId="24A6DD2F">
            <w:pPr>
              <w:wordWrap w:val="0"/>
              <w:autoSpaceDE w:val="0"/>
              <w:autoSpaceDN w:val="0"/>
              <w:spacing w:before="0" w:after="0" w:line="220" w:lineRule="exact"/>
              <w:ind w:firstLine="0"/>
              <w:jc w:val="both"/>
              <w:rPr>
                <w:rFonts w:hint="eastAsia" w:ascii="宋体" w:hAnsi="宋体" w:eastAsia="宋体"/>
                <w:color w:val="000000"/>
                <w:sz w:val="18"/>
                <w:szCs w:val="18"/>
              </w:rPr>
            </w:pPr>
          </w:p>
          <w:p w14:paraId="568D81C2">
            <w:pPr>
              <w:wordWrap w:val="0"/>
              <w:autoSpaceDE w:val="0"/>
              <w:autoSpaceDN w:val="0"/>
              <w:spacing w:before="0" w:after="0" w:line="220" w:lineRule="exact"/>
              <w:ind w:firstLine="0"/>
              <w:jc w:val="both"/>
              <w:rPr>
                <w:rFonts w:hint="eastAsia" w:ascii="宋体" w:hAnsi="宋体" w:eastAsia="宋体"/>
                <w:color w:val="000000"/>
                <w:sz w:val="18"/>
                <w:szCs w:val="18"/>
              </w:rPr>
            </w:pPr>
          </w:p>
          <w:p w14:paraId="6F49975A">
            <w:pPr>
              <w:wordWrap w:val="0"/>
              <w:autoSpaceDE w:val="0"/>
              <w:autoSpaceDN w:val="0"/>
              <w:spacing w:before="0" w:after="0" w:line="220" w:lineRule="exact"/>
              <w:ind w:firstLine="0"/>
              <w:jc w:val="both"/>
              <w:rPr>
                <w:rFonts w:hint="eastAsia" w:ascii="宋体" w:hAnsi="宋体" w:eastAsia="宋体"/>
                <w:color w:val="000000"/>
                <w:sz w:val="18"/>
                <w:szCs w:val="18"/>
              </w:rPr>
            </w:pPr>
          </w:p>
          <w:p w14:paraId="0448978C">
            <w:pPr>
              <w:wordWrap w:val="0"/>
              <w:autoSpaceDE w:val="0"/>
              <w:autoSpaceDN w:val="0"/>
              <w:spacing w:before="0" w:after="0" w:line="220" w:lineRule="exact"/>
              <w:ind w:firstLine="0"/>
              <w:jc w:val="both"/>
              <w:rPr>
                <w:rFonts w:hint="eastAsia" w:ascii="宋体" w:hAnsi="宋体" w:eastAsia="宋体"/>
                <w:color w:val="000000"/>
                <w:sz w:val="18"/>
                <w:szCs w:val="18"/>
              </w:rPr>
            </w:pPr>
          </w:p>
          <w:p w14:paraId="6D406333">
            <w:pPr>
              <w:wordWrap w:val="0"/>
              <w:autoSpaceDE w:val="0"/>
              <w:autoSpaceDN w:val="0"/>
              <w:spacing w:before="0" w:after="0" w:line="220" w:lineRule="exact"/>
              <w:ind w:firstLine="0"/>
              <w:jc w:val="both"/>
              <w:rPr>
                <w:rFonts w:hint="eastAsia" w:ascii="宋体" w:hAnsi="宋体" w:eastAsia="宋体"/>
                <w:color w:val="000000"/>
                <w:sz w:val="18"/>
                <w:szCs w:val="18"/>
              </w:rPr>
            </w:pPr>
          </w:p>
          <w:p w14:paraId="22427A73">
            <w:pPr>
              <w:wordWrap w:val="0"/>
              <w:autoSpaceDE w:val="0"/>
              <w:autoSpaceDN w:val="0"/>
              <w:spacing w:before="0" w:after="0" w:line="220" w:lineRule="exact"/>
              <w:ind w:firstLine="0"/>
              <w:jc w:val="both"/>
              <w:rPr>
                <w:rFonts w:hint="eastAsia" w:ascii="宋体" w:hAnsi="宋体" w:eastAsia="宋体"/>
                <w:color w:val="000000"/>
                <w:sz w:val="18"/>
                <w:szCs w:val="18"/>
              </w:rPr>
            </w:pPr>
          </w:p>
          <w:p w14:paraId="45CE1B50">
            <w:pPr>
              <w:wordWrap w:val="0"/>
              <w:autoSpaceDE w:val="0"/>
              <w:autoSpaceDN w:val="0"/>
              <w:spacing w:before="196" w:after="0" w:line="220" w:lineRule="exact"/>
              <w:ind w:left="80" w:leftChars="0" w:right="60" w:rightChars="0" w:firstLine="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4000</w:t>
            </w:r>
            <w:r>
              <w:rPr>
                <w:rFonts w:hint="eastAsia" w:ascii="宋体" w:hAnsi="宋体" w:eastAsia="宋体"/>
                <w:color w:val="000000"/>
                <w:sz w:val="18"/>
                <w:szCs w:val="18"/>
              </w:rPr>
              <w:t>元以上</w:t>
            </w:r>
            <w:r>
              <w:rPr>
                <w:rFonts w:hint="eastAsia" w:ascii="Calibri" w:hAnsi="Calibri" w:eastAsia="Calibri"/>
                <w:color w:val="000000"/>
                <w:sz w:val="18"/>
                <w:szCs w:val="18"/>
              </w:rPr>
              <w:t>5000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4</w:t>
            </w:r>
            <w:r>
              <w:rPr>
                <w:rFonts w:hint="eastAsia" w:ascii="宋体" w:hAnsi="宋体" w:eastAsia="宋体"/>
                <w:color w:val="000000"/>
                <w:sz w:val="18"/>
                <w:szCs w:val="18"/>
              </w:rPr>
              <w:t>万元以上</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bl>
    <w:p w14:paraId="24243287">
      <w:pPr>
        <w:rPr>
          <w:sz w:val="18"/>
          <w:szCs w:val="18"/>
        </w:rPr>
      </w:pPr>
    </w:p>
    <w:tbl>
      <w:tblPr>
        <w:tblStyle w:val="15"/>
        <w:tblpPr w:leftFromText="180" w:rightFromText="180" w:vertAnchor="text" w:horzAnchor="page" w:tblpX="1623" w:tblpY="137"/>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4"/>
        <w:gridCol w:w="5917"/>
        <w:gridCol w:w="1063"/>
        <w:gridCol w:w="5599"/>
      </w:tblGrid>
      <w:tr w14:paraId="31DB2E9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184" w:type="dxa"/>
            <w:tcBorders>
              <w:top w:val="single" w:color="000000" w:sz="4" w:space="0"/>
              <w:left w:val="single" w:color="000000" w:sz="4" w:space="0"/>
              <w:bottom w:val="single" w:color="000000" w:sz="4" w:space="0"/>
              <w:right w:val="single" w:color="000000" w:sz="4" w:space="0"/>
            </w:tcBorders>
            <w:vAlign w:val="top"/>
          </w:tcPr>
          <w:p w14:paraId="49674A86">
            <w:pPr>
              <w:wordWrap w:val="0"/>
              <w:autoSpaceDE w:val="0"/>
              <w:autoSpaceDN w:val="0"/>
              <w:spacing w:before="53" w:after="0" w:line="246" w:lineRule="exact"/>
              <w:jc w:val="center"/>
              <w:rPr>
                <w:sz w:val="18"/>
                <w:szCs w:val="18"/>
              </w:rPr>
            </w:pPr>
            <w:r>
              <w:rPr>
                <w:rFonts w:hint="eastAsia" w:ascii="宋体" w:hAnsi="宋体"/>
                <w:color w:val="000000"/>
                <w:sz w:val="18"/>
                <w:szCs w:val="18"/>
                <w:lang w:eastAsia="zh-CN"/>
              </w:rPr>
              <w:t>序号</w:t>
            </w:r>
          </w:p>
        </w:tc>
        <w:tc>
          <w:tcPr>
            <w:tcW w:w="12579" w:type="dxa"/>
            <w:gridSpan w:val="3"/>
            <w:tcBorders>
              <w:top w:val="single" w:color="000000" w:sz="4" w:space="0"/>
              <w:left w:val="single" w:color="000000" w:sz="4" w:space="0"/>
              <w:bottom w:val="single" w:color="000000" w:sz="4" w:space="0"/>
              <w:right w:val="single" w:color="000000" w:sz="4" w:space="0"/>
            </w:tcBorders>
            <w:vAlign w:val="top"/>
          </w:tcPr>
          <w:p w14:paraId="30DF602E">
            <w:pPr>
              <w:wordWrap w:val="0"/>
              <w:autoSpaceDE w:val="0"/>
              <w:autoSpaceDN w:val="0"/>
              <w:spacing w:before="73" w:after="0" w:line="246" w:lineRule="exact"/>
              <w:ind w:firstLine="40"/>
              <w:jc w:val="both"/>
              <w:rPr>
                <w:rFonts w:hint="eastAsia" w:eastAsia="宋体"/>
                <w:sz w:val="18"/>
                <w:szCs w:val="18"/>
                <w:lang w:val="en-US" w:eastAsia="zh-CN"/>
              </w:rPr>
            </w:pPr>
            <w:r>
              <w:rPr>
                <w:rFonts w:hint="eastAsia" w:ascii="Calibri" w:hAnsi="Calibri" w:eastAsia="Calibri"/>
                <w:color w:val="000000"/>
                <w:sz w:val="18"/>
                <w:szCs w:val="18"/>
              </w:rPr>
              <w:t>2</w:t>
            </w:r>
            <w:r>
              <w:rPr>
                <w:rFonts w:hint="eastAsia" w:ascii="Calibri" w:hAnsi="Calibri"/>
                <w:color w:val="000000"/>
                <w:sz w:val="18"/>
                <w:szCs w:val="18"/>
                <w:lang w:val="en-US" w:eastAsia="zh-CN"/>
              </w:rPr>
              <w:t>5</w:t>
            </w:r>
          </w:p>
        </w:tc>
      </w:tr>
      <w:tr w14:paraId="3659957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84" w:type="dxa"/>
            <w:tcBorders>
              <w:top w:val="single" w:color="000000" w:sz="4" w:space="0"/>
              <w:left w:val="single" w:color="000000" w:sz="4" w:space="0"/>
              <w:bottom w:val="single" w:color="000000" w:sz="4" w:space="0"/>
              <w:right w:val="single" w:color="000000" w:sz="4" w:space="0"/>
            </w:tcBorders>
            <w:vAlign w:val="top"/>
          </w:tcPr>
          <w:p w14:paraId="453B456E">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编号</w:t>
            </w:r>
          </w:p>
        </w:tc>
        <w:tc>
          <w:tcPr>
            <w:tcW w:w="12579" w:type="dxa"/>
            <w:gridSpan w:val="3"/>
            <w:tcBorders>
              <w:top w:val="single" w:color="000000" w:sz="4" w:space="0"/>
              <w:left w:val="single" w:color="000000" w:sz="4" w:space="0"/>
              <w:bottom w:val="single" w:color="000000" w:sz="4" w:space="0"/>
              <w:right w:val="single" w:color="000000" w:sz="4" w:space="0"/>
            </w:tcBorders>
            <w:vAlign w:val="top"/>
          </w:tcPr>
          <w:p w14:paraId="3AB234AA">
            <w:pPr>
              <w:wordWrap w:val="0"/>
              <w:autoSpaceDE w:val="0"/>
              <w:autoSpaceDN w:val="0"/>
              <w:spacing w:before="33" w:after="0" w:line="246" w:lineRule="exact"/>
              <w:ind w:firstLine="60"/>
              <w:jc w:val="both"/>
              <w:rPr>
                <w:sz w:val="18"/>
                <w:szCs w:val="18"/>
              </w:rPr>
            </w:pPr>
            <w:r>
              <w:rPr>
                <w:rFonts w:hint="eastAsia" w:ascii="Calibri" w:hAnsi="Calibri" w:eastAsia="Calibri"/>
                <w:color w:val="000000"/>
                <w:sz w:val="18"/>
                <w:szCs w:val="18"/>
              </w:rPr>
              <w:t>320280031000</w:t>
            </w:r>
          </w:p>
        </w:tc>
      </w:tr>
      <w:tr w14:paraId="7C207E7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60" w:hRule="atLeast"/>
        </w:trPr>
        <w:tc>
          <w:tcPr>
            <w:tcW w:w="1184" w:type="dxa"/>
            <w:tcBorders>
              <w:top w:val="single" w:color="000000" w:sz="4" w:space="0"/>
              <w:left w:val="single" w:color="000000" w:sz="4" w:space="0"/>
              <w:bottom w:val="single" w:color="000000" w:sz="4" w:space="0"/>
              <w:right w:val="single" w:color="000000" w:sz="4" w:space="0"/>
            </w:tcBorders>
            <w:vAlign w:val="top"/>
          </w:tcPr>
          <w:p w14:paraId="6E5B984A">
            <w:pPr>
              <w:wordWrap w:val="0"/>
              <w:autoSpaceDE w:val="0"/>
              <w:autoSpaceDN w:val="0"/>
              <w:spacing w:before="53" w:after="0" w:line="246" w:lineRule="exact"/>
              <w:jc w:val="center"/>
              <w:rPr>
                <w:sz w:val="18"/>
                <w:szCs w:val="18"/>
              </w:rPr>
            </w:pPr>
            <w:r>
              <w:rPr>
                <w:rFonts w:hint="eastAsia" w:ascii="宋体" w:hAnsi="宋体" w:eastAsia="宋体"/>
                <w:color w:val="000000"/>
                <w:sz w:val="18"/>
                <w:szCs w:val="18"/>
              </w:rPr>
              <w:t>行为名称</w:t>
            </w:r>
          </w:p>
        </w:tc>
        <w:tc>
          <w:tcPr>
            <w:tcW w:w="12579" w:type="dxa"/>
            <w:gridSpan w:val="3"/>
            <w:tcBorders>
              <w:top w:val="single" w:color="000000" w:sz="4" w:space="0"/>
              <w:left w:val="single" w:color="000000" w:sz="4" w:space="0"/>
              <w:bottom w:val="single" w:color="000000" w:sz="4" w:space="0"/>
              <w:right w:val="single" w:color="000000" w:sz="4" w:space="0"/>
            </w:tcBorders>
            <w:vAlign w:val="top"/>
          </w:tcPr>
          <w:p w14:paraId="4B39BF5B">
            <w:pPr>
              <w:wordWrap w:val="0"/>
              <w:autoSpaceDE w:val="0"/>
              <w:autoSpaceDN w:val="0"/>
              <w:spacing w:before="60" w:after="0" w:line="246" w:lineRule="exact"/>
              <w:ind w:firstLine="80"/>
              <w:jc w:val="both"/>
              <w:rPr>
                <w:sz w:val="18"/>
                <w:szCs w:val="18"/>
              </w:rPr>
            </w:pPr>
            <w:r>
              <w:rPr>
                <w:rFonts w:hint="eastAsia" w:ascii="宋体" w:hAnsi="宋体" w:eastAsia="宋体"/>
                <w:color w:val="000000"/>
                <w:sz w:val="18"/>
                <w:szCs w:val="18"/>
              </w:rPr>
              <w:t>对人防工程维护管理不当影响防护效能的处罚</w:t>
            </w:r>
          </w:p>
        </w:tc>
      </w:tr>
      <w:tr w14:paraId="3035107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900" w:hRule="atLeast"/>
        </w:trPr>
        <w:tc>
          <w:tcPr>
            <w:tcW w:w="1184" w:type="dxa"/>
            <w:tcBorders>
              <w:top w:val="single" w:color="000000" w:sz="4" w:space="0"/>
              <w:left w:val="single" w:color="000000" w:sz="4" w:space="0"/>
              <w:bottom w:val="single" w:color="000000" w:sz="4" w:space="0"/>
              <w:right w:val="single" w:color="000000" w:sz="4" w:space="0"/>
            </w:tcBorders>
            <w:vAlign w:val="top"/>
          </w:tcPr>
          <w:p w14:paraId="4566DEE4">
            <w:pPr>
              <w:wordWrap w:val="0"/>
              <w:autoSpaceDE w:val="0"/>
              <w:autoSpaceDN w:val="0"/>
              <w:spacing w:before="0" w:after="0" w:line="246" w:lineRule="exact"/>
              <w:ind w:firstLine="0"/>
              <w:jc w:val="both"/>
              <w:rPr>
                <w:rFonts w:hint="eastAsia" w:ascii="宋体" w:hAnsi="宋体" w:eastAsia="宋体"/>
                <w:color w:val="000000"/>
                <w:sz w:val="18"/>
                <w:szCs w:val="18"/>
              </w:rPr>
            </w:pPr>
          </w:p>
          <w:p w14:paraId="350D4A6D">
            <w:pPr>
              <w:wordWrap w:val="0"/>
              <w:autoSpaceDE w:val="0"/>
              <w:autoSpaceDN w:val="0"/>
              <w:spacing w:before="0" w:after="0" w:line="246" w:lineRule="exact"/>
              <w:ind w:firstLine="0"/>
              <w:jc w:val="both"/>
              <w:rPr>
                <w:rFonts w:hint="eastAsia" w:ascii="宋体" w:hAnsi="宋体" w:eastAsia="宋体"/>
                <w:color w:val="000000"/>
                <w:sz w:val="18"/>
                <w:szCs w:val="18"/>
              </w:rPr>
            </w:pPr>
          </w:p>
          <w:p w14:paraId="5758646B">
            <w:pPr>
              <w:wordWrap w:val="0"/>
              <w:autoSpaceDE w:val="0"/>
              <w:autoSpaceDN w:val="0"/>
              <w:spacing w:before="0" w:after="0" w:line="246" w:lineRule="exact"/>
              <w:ind w:firstLine="0"/>
              <w:jc w:val="both"/>
              <w:rPr>
                <w:rFonts w:hint="eastAsia" w:ascii="宋体" w:hAnsi="宋体" w:eastAsia="宋体"/>
                <w:color w:val="000000"/>
                <w:sz w:val="18"/>
                <w:szCs w:val="18"/>
              </w:rPr>
            </w:pPr>
          </w:p>
          <w:p w14:paraId="203CC8AE">
            <w:pPr>
              <w:wordWrap w:val="0"/>
              <w:autoSpaceDE w:val="0"/>
              <w:autoSpaceDN w:val="0"/>
              <w:spacing w:before="140" w:after="0" w:line="246" w:lineRule="exact"/>
              <w:ind w:firstLine="240"/>
              <w:jc w:val="both"/>
              <w:rPr>
                <w:sz w:val="18"/>
                <w:szCs w:val="18"/>
              </w:rPr>
            </w:pPr>
            <w:r>
              <w:rPr>
                <w:rFonts w:hint="eastAsia" w:ascii="宋体" w:hAnsi="宋体" w:eastAsia="宋体"/>
                <w:color w:val="000000"/>
                <w:sz w:val="18"/>
                <w:szCs w:val="18"/>
              </w:rPr>
              <w:t>法律依据</w:t>
            </w:r>
          </w:p>
        </w:tc>
        <w:tc>
          <w:tcPr>
            <w:tcW w:w="12579" w:type="dxa"/>
            <w:gridSpan w:val="3"/>
            <w:tcBorders>
              <w:top w:val="single" w:color="000000" w:sz="4" w:space="0"/>
              <w:left w:val="single" w:color="000000" w:sz="4" w:space="0"/>
              <w:bottom w:val="single" w:color="000000" w:sz="4" w:space="0"/>
              <w:right w:val="single" w:color="000000" w:sz="4" w:space="0"/>
            </w:tcBorders>
            <w:vAlign w:val="top"/>
          </w:tcPr>
          <w:p w14:paraId="21B254A4">
            <w:pPr>
              <w:wordWrap w:val="0"/>
              <w:autoSpaceDE w:val="0"/>
              <w:autoSpaceDN w:val="0"/>
              <w:spacing w:before="93" w:after="0" w:line="246"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4C438F9E">
            <w:pPr>
              <w:wordWrap w:val="0"/>
              <w:autoSpaceDE w:val="0"/>
              <w:autoSpaceDN w:val="0"/>
              <w:spacing w:before="63" w:after="0" w:line="246" w:lineRule="exact"/>
              <w:ind w:left="100" w:right="40" w:firstLine="400"/>
              <w:jc w:val="both"/>
              <w:rPr>
                <w:sz w:val="18"/>
                <w:szCs w:val="18"/>
              </w:rPr>
            </w:pPr>
            <w:r>
              <w:rPr>
                <w:rFonts w:hint="eastAsia" w:ascii="宋体" w:hAnsi="宋体" w:eastAsia="宋体"/>
                <w:color w:val="000000"/>
                <w:sz w:val="18"/>
                <w:szCs w:val="18"/>
              </w:rPr>
              <w:t>第十七条第一款 人民防空工程的平时维护管理实行分类负责。公用的人民防空工程，由人防主管部门负责；单位修建或者使用的人民防空工程，按照国家规定由单位负责；个人投资建设的人民防空工程由投资者负责。</w:t>
            </w:r>
          </w:p>
          <w:p w14:paraId="0717F4F0">
            <w:pPr>
              <w:wordWrap w:val="0"/>
              <w:autoSpaceDE w:val="0"/>
              <w:autoSpaceDN w:val="0"/>
              <w:spacing w:before="73" w:after="0" w:line="246" w:lineRule="exact"/>
              <w:ind w:firstLine="500"/>
              <w:jc w:val="both"/>
              <w:rPr>
                <w:sz w:val="18"/>
                <w:szCs w:val="18"/>
              </w:rPr>
            </w:pPr>
            <w:r>
              <w:rPr>
                <w:rFonts w:hint="eastAsia" w:ascii="宋体" w:hAnsi="宋体" w:eastAsia="宋体"/>
                <w:color w:val="000000"/>
                <w:sz w:val="18"/>
                <w:szCs w:val="18"/>
              </w:rPr>
              <w:t>第十七条第二款 人民防空工程的平时维护管理应当执行国家和省有关规定，落实维护管理资金，使其保持良好使用状态。</w:t>
            </w:r>
          </w:p>
          <w:p w14:paraId="3BA7521F">
            <w:pPr>
              <w:wordWrap w:val="0"/>
              <w:autoSpaceDE w:val="0"/>
              <w:autoSpaceDN w:val="0"/>
              <w:spacing w:before="63" w:after="0" w:line="246" w:lineRule="exact"/>
              <w:ind w:left="100" w:right="40" w:firstLine="400"/>
              <w:jc w:val="both"/>
              <w:rPr>
                <w:sz w:val="18"/>
                <w:szCs w:val="18"/>
              </w:rPr>
            </w:pPr>
            <w:r>
              <w:rPr>
                <w:rFonts w:hint="eastAsia" w:ascii="宋体" w:hAnsi="宋体" w:eastAsia="宋体"/>
                <w:color w:val="000000"/>
                <w:sz w:val="18"/>
                <w:szCs w:val="18"/>
              </w:rPr>
              <w:t>第三十四条第二款 人防主管部门在对人防工程进行监督检查时，发现人防工程维护管理不当影响防护效能的，应当责令人防工程维护管理责任人限期修复，可以对个人并处一千元以上五千元以下的罚款，对单位并处一万元以上五万元以下的罚款。”</w:t>
            </w:r>
          </w:p>
        </w:tc>
      </w:tr>
      <w:tr w14:paraId="72505D9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184" w:type="dxa"/>
            <w:tcBorders>
              <w:top w:val="single" w:color="000000" w:sz="4" w:space="0"/>
              <w:left w:val="single" w:color="000000" w:sz="4" w:space="0"/>
              <w:bottom w:val="single" w:color="000000" w:sz="4" w:space="0"/>
              <w:right w:val="single" w:color="000000" w:sz="4" w:space="0"/>
            </w:tcBorders>
            <w:vAlign w:val="top"/>
          </w:tcPr>
          <w:p w14:paraId="04C7387F">
            <w:pPr>
              <w:wordWrap w:val="0"/>
              <w:autoSpaceDE w:val="0"/>
              <w:autoSpaceDN w:val="0"/>
              <w:spacing w:before="73" w:after="0" w:line="246" w:lineRule="exact"/>
              <w:ind w:firstLine="220"/>
              <w:jc w:val="both"/>
              <w:rPr>
                <w:sz w:val="18"/>
                <w:szCs w:val="18"/>
              </w:rPr>
            </w:pPr>
            <w:r>
              <w:rPr>
                <w:rFonts w:hint="eastAsia" w:ascii="宋体" w:hAnsi="宋体" w:eastAsia="宋体"/>
                <w:color w:val="000000"/>
                <w:sz w:val="18"/>
                <w:szCs w:val="18"/>
              </w:rPr>
              <w:t>处罚种类</w:t>
            </w:r>
          </w:p>
        </w:tc>
        <w:tc>
          <w:tcPr>
            <w:tcW w:w="12579" w:type="dxa"/>
            <w:gridSpan w:val="3"/>
            <w:tcBorders>
              <w:top w:val="single" w:color="000000" w:sz="4" w:space="0"/>
              <w:left w:val="single" w:color="000000" w:sz="4" w:space="0"/>
              <w:bottom w:val="single" w:color="000000" w:sz="4" w:space="0"/>
              <w:right w:val="single" w:color="000000" w:sz="4" w:space="0"/>
            </w:tcBorders>
            <w:vAlign w:val="top"/>
          </w:tcPr>
          <w:p w14:paraId="3ABD9DF0">
            <w:pPr>
              <w:wordWrap w:val="0"/>
              <w:autoSpaceDE w:val="0"/>
              <w:autoSpaceDN w:val="0"/>
              <w:spacing w:before="93" w:after="0" w:line="246" w:lineRule="exact"/>
              <w:ind w:firstLine="100"/>
              <w:jc w:val="both"/>
              <w:rPr>
                <w:sz w:val="18"/>
                <w:szCs w:val="18"/>
              </w:rPr>
            </w:pPr>
            <w:r>
              <w:rPr>
                <w:rFonts w:hint="eastAsia" w:ascii="宋体" w:hAnsi="宋体" w:eastAsia="宋体"/>
                <w:color w:val="000000"/>
                <w:sz w:val="18"/>
                <w:szCs w:val="18"/>
              </w:rPr>
              <w:t>罚款</w:t>
            </w:r>
          </w:p>
        </w:tc>
      </w:tr>
      <w:tr w14:paraId="7A858D1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3763" w:type="dxa"/>
            <w:gridSpan w:val="4"/>
            <w:tcBorders>
              <w:top w:val="single" w:color="000000" w:sz="4" w:space="0"/>
              <w:left w:val="single" w:color="000000" w:sz="4" w:space="0"/>
              <w:bottom w:val="single" w:color="000000" w:sz="4" w:space="0"/>
              <w:right w:val="single" w:color="000000" w:sz="4" w:space="0"/>
            </w:tcBorders>
            <w:vAlign w:val="top"/>
          </w:tcPr>
          <w:p w14:paraId="6A766FB7">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自由裁量基准</w:t>
            </w:r>
          </w:p>
        </w:tc>
      </w:tr>
      <w:tr w14:paraId="3DB5AE9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020" w:hRule="atLeast"/>
        </w:trPr>
        <w:tc>
          <w:tcPr>
            <w:tcW w:w="1184" w:type="dxa"/>
            <w:vMerge w:val="restart"/>
            <w:tcBorders>
              <w:top w:val="single" w:color="000000" w:sz="4" w:space="0"/>
              <w:left w:val="single" w:color="000000" w:sz="4" w:space="0"/>
              <w:bottom w:val="single" w:color="000000" w:sz="4" w:space="0"/>
              <w:right w:val="single" w:color="000000" w:sz="4" w:space="0"/>
            </w:tcBorders>
            <w:vAlign w:val="top"/>
          </w:tcPr>
          <w:p w14:paraId="03D8C8CE">
            <w:pPr>
              <w:wordWrap w:val="0"/>
              <w:autoSpaceDE w:val="0"/>
              <w:autoSpaceDN w:val="0"/>
              <w:spacing w:before="0" w:after="0" w:line="246" w:lineRule="exact"/>
              <w:ind w:firstLine="0"/>
              <w:jc w:val="both"/>
              <w:rPr>
                <w:rFonts w:hint="eastAsia" w:ascii="宋体" w:hAnsi="宋体" w:eastAsia="宋体"/>
                <w:color w:val="000000"/>
                <w:sz w:val="18"/>
                <w:szCs w:val="18"/>
              </w:rPr>
            </w:pPr>
          </w:p>
          <w:p w14:paraId="26C5DEE7">
            <w:pPr>
              <w:wordWrap w:val="0"/>
              <w:autoSpaceDE w:val="0"/>
              <w:autoSpaceDN w:val="0"/>
              <w:spacing w:before="0" w:after="0" w:line="246" w:lineRule="exact"/>
              <w:ind w:firstLine="0"/>
              <w:jc w:val="both"/>
              <w:rPr>
                <w:rFonts w:hint="eastAsia" w:ascii="宋体" w:hAnsi="宋体" w:eastAsia="宋体"/>
                <w:color w:val="000000"/>
                <w:sz w:val="18"/>
                <w:szCs w:val="18"/>
              </w:rPr>
            </w:pPr>
          </w:p>
          <w:p w14:paraId="540ECBC9">
            <w:pPr>
              <w:wordWrap w:val="0"/>
              <w:autoSpaceDE w:val="0"/>
              <w:autoSpaceDN w:val="0"/>
              <w:spacing w:before="0" w:after="0" w:line="246" w:lineRule="exact"/>
              <w:ind w:firstLine="0"/>
              <w:jc w:val="both"/>
              <w:rPr>
                <w:rFonts w:hint="eastAsia" w:ascii="宋体" w:hAnsi="宋体" w:eastAsia="宋体"/>
                <w:color w:val="000000"/>
                <w:sz w:val="18"/>
                <w:szCs w:val="18"/>
              </w:rPr>
            </w:pPr>
          </w:p>
          <w:p w14:paraId="2DEDA906">
            <w:pPr>
              <w:wordWrap w:val="0"/>
              <w:autoSpaceDE w:val="0"/>
              <w:autoSpaceDN w:val="0"/>
              <w:spacing w:before="0" w:after="0" w:line="246" w:lineRule="exact"/>
              <w:ind w:firstLine="0"/>
              <w:jc w:val="both"/>
              <w:rPr>
                <w:rFonts w:hint="eastAsia" w:ascii="宋体" w:hAnsi="宋体" w:eastAsia="宋体"/>
                <w:color w:val="000000"/>
                <w:sz w:val="18"/>
                <w:szCs w:val="18"/>
              </w:rPr>
            </w:pPr>
          </w:p>
          <w:p w14:paraId="394CD396">
            <w:pPr>
              <w:wordWrap w:val="0"/>
              <w:autoSpaceDE w:val="0"/>
              <w:autoSpaceDN w:val="0"/>
              <w:spacing w:before="0" w:after="0" w:line="246" w:lineRule="exact"/>
              <w:ind w:firstLine="0"/>
              <w:jc w:val="both"/>
              <w:rPr>
                <w:rFonts w:hint="eastAsia" w:ascii="宋体" w:hAnsi="宋体" w:eastAsia="宋体"/>
                <w:color w:val="000000"/>
                <w:sz w:val="18"/>
                <w:szCs w:val="18"/>
              </w:rPr>
            </w:pPr>
          </w:p>
          <w:p w14:paraId="3EAE77D7">
            <w:pPr>
              <w:wordWrap w:val="0"/>
              <w:autoSpaceDE w:val="0"/>
              <w:autoSpaceDN w:val="0"/>
              <w:spacing w:before="0" w:after="0" w:line="246" w:lineRule="exact"/>
              <w:ind w:firstLine="0"/>
              <w:jc w:val="both"/>
              <w:rPr>
                <w:rFonts w:hint="eastAsia" w:ascii="宋体" w:hAnsi="宋体" w:eastAsia="宋体"/>
                <w:color w:val="000000"/>
                <w:sz w:val="18"/>
                <w:szCs w:val="18"/>
              </w:rPr>
            </w:pPr>
          </w:p>
          <w:p w14:paraId="1068EA66">
            <w:pPr>
              <w:wordWrap w:val="0"/>
              <w:autoSpaceDE w:val="0"/>
              <w:autoSpaceDN w:val="0"/>
              <w:spacing w:before="0" w:after="0" w:line="246" w:lineRule="exact"/>
              <w:ind w:firstLine="0"/>
              <w:jc w:val="both"/>
              <w:rPr>
                <w:rFonts w:hint="eastAsia" w:ascii="宋体" w:hAnsi="宋体" w:eastAsia="宋体"/>
                <w:color w:val="000000"/>
                <w:sz w:val="18"/>
                <w:szCs w:val="18"/>
              </w:rPr>
            </w:pPr>
          </w:p>
          <w:p w14:paraId="1B2FA4FE">
            <w:pPr>
              <w:wordWrap w:val="0"/>
              <w:autoSpaceDE w:val="0"/>
              <w:autoSpaceDN w:val="0"/>
              <w:spacing w:before="0" w:after="0" w:line="246" w:lineRule="exact"/>
              <w:ind w:firstLine="0"/>
              <w:jc w:val="both"/>
              <w:rPr>
                <w:rFonts w:hint="eastAsia" w:ascii="宋体" w:hAnsi="宋体" w:eastAsia="宋体"/>
                <w:color w:val="000000"/>
                <w:sz w:val="18"/>
                <w:szCs w:val="18"/>
              </w:rPr>
            </w:pPr>
          </w:p>
          <w:p w14:paraId="623977F9">
            <w:pPr>
              <w:wordWrap w:val="0"/>
              <w:autoSpaceDE w:val="0"/>
              <w:autoSpaceDN w:val="0"/>
              <w:spacing w:before="108" w:after="0" w:line="246" w:lineRule="exact"/>
              <w:ind w:firstLine="240"/>
              <w:jc w:val="both"/>
              <w:rPr>
                <w:sz w:val="18"/>
                <w:szCs w:val="18"/>
              </w:rPr>
            </w:pPr>
            <w:r>
              <w:rPr>
                <w:rFonts w:hint="eastAsia" w:ascii="宋体" w:hAnsi="宋体" w:eastAsia="宋体"/>
                <w:color w:val="000000"/>
                <w:sz w:val="18"/>
                <w:szCs w:val="18"/>
              </w:rPr>
              <w:t>情形描述</w:t>
            </w:r>
          </w:p>
        </w:tc>
        <w:tc>
          <w:tcPr>
            <w:tcW w:w="5917" w:type="dxa"/>
            <w:tcBorders>
              <w:top w:val="single" w:color="000000" w:sz="4" w:space="0"/>
              <w:left w:val="single" w:color="000000" w:sz="4" w:space="0"/>
              <w:bottom w:val="single" w:color="000000" w:sz="4" w:space="0"/>
              <w:right w:val="single" w:color="000000" w:sz="4" w:space="0"/>
            </w:tcBorders>
            <w:vAlign w:val="top"/>
          </w:tcPr>
          <w:p w14:paraId="53F57C5D">
            <w:pPr>
              <w:wordWrap w:val="0"/>
              <w:autoSpaceDE w:val="0"/>
              <w:autoSpaceDN w:val="0"/>
              <w:spacing w:before="0" w:after="0" w:line="246" w:lineRule="exact"/>
              <w:ind w:firstLine="0"/>
              <w:jc w:val="both"/>
              <w:rPr>
                <w:rFonts w:hint="eastAsia" w:ascii="宋体" w:hAnsi="宋体" w:eastAsia="宋体"/>
                <w:color w:val="000000"/>
                <w:sz w:val="18"/>
                <w:szCs w:val="18"/>
              </w:rPr>
            </w:pPr>
          </w:p>
          <w:p w14:paraId="01BD2B83">
            <w:pPr>
              <w:wordWrap w:val="0"/>
              <w:autoSpaceDE w:val="0"/>
              <w:autoSpaceDN w:val="0"/>
              <w:spacing w:before="7" w:after="0" w:line="246" w:lineRule="exact"/>
              <w:ind w:left="100" w:right="40" w:hanging="20"/>
              <w:jc w:val="both"/>
              <w:rPr>
                <w:sz w:val="18"/>
                <w:szCs w:val="18"/>
              </w:rPr>
            </w:pPr>
            <w:r>
              <w:rPr>
                <w:rFonts w:hint="eastAsia" w:ascii="宋体" w:hAnsi="宋体" w:eastAsia="宋体"/>
                <w:color w:val="000000"/>
                <w:sz w:val="18"/>
                <w:szCs w:val="18"/>
              </w:rPr>
              <w:t>人防工程出现</w:t>
            </w:r>
            <w:r>
              <w:rPr>
                <w:rFonts w:hint="eastAsia" w:ascii="Calibri" w:hAnsi="Calibri" w:eastAsia="Calibri"/>
                <w:color w:val="000000"/>
                <w:sz w:val="18"/>
                <w:szCs w:val="18"/>
              </w:rPr>
              <w:t>2</w:t>
            </w:r>
            <w:r>
              <w:rPr>
                <w:rFonts w:hint="eastAsia" w:ascii="宋体" w:hAnsi="宋体" w:eastAsia="宋体"/>
                <w:color w:val="000000"/>
                <w:sz w:val="18"/>
                <w:szCs w:val="18"/>
              </w:rPr>
              <w:t>处以下的渗漏水现象，防护设施设备出现局部锈蚀损害，初次违法且责令限期修复后及时修复后不影响防护效能的</w:t>
            </w:r>
          </w:p>
        </w:tc>
        <w:tc>
          <w:tcPr>
            <w:tcW w:w="1063" w:type="dxa"/>
            <w:vMerge w:val="restart"/>
            <w:tcBorders>
              <w:top w:val="single" w:color="000000" w:sz="4" w:space="0"/>
              <w:left w:val="single" w:color="000000" w:sz="4" w:space="0"/>
              <w:bottom w:val="single" w:color="000000" w:sz="4" w:space="0"/>
              <w:right w:val="single" w:color="000000" w:sz="4" w:space="0"/>
            </w:tcBorders>
            <w:vAlign w:val="top"/>
          </w:tcPr>
          <w:p w14:paraId="00931EFB">
            <w:pPr>
              <w:wordWrap w:val="0"/>
              <w:autoSpaceDE w:val="0"/>
              <w:autoSpaceDN w:val="0"/>
              <w:spacing w:before="0" w:after="0" w:line="246" w:lineRule="exact"/>
              <w:ind w:firstLine="0"/>
              <w:jc w:val="both"/>
              <w:rPr>
                <w:rFonts w:hint="eastAsia" w:ascii="宋体" w:hAnsi="宋体" w:eastAsia="宋体"/>
                <w:color w:val="000000"/>
                <w:sz w:val="18"/>
                <w:szCs w:val="18"/>
              </w:rPr>
            </w:pPr>
          </w:p>
          <w:p w14:paraId="5DC4B318">
            <w:pPr>
              <w:wordWrap w:val="0"/>
              <w:autoSpaceDE w:val="0"/>
              <w:autoSpaceDN w:val="0"/>
              <w:spacing w:before="0" w:after="0" w:line="246" w:lineRule="exact"/>
              <w:ind w:firstLine="0"/>
              <w:jc w:val="both"/>
              <w:rPr>
                <w:rFonts w:hint="eastAsia" w:ascii="宋体" w:hAnsi="宋体" w:eastAsia="宋体"/>
                <w:color w:val="000000"/>
                <w:sz w:val="18"/>
                <w:szCs w:val="18"/>
              </w:rPr>
            </w:pPr>
          </w:p>
          <w:p w14:paraId="56B9DD8C">
            <w:pPr>
              <w:wordWrap w:val="0"/>
              <w:autoSpaceDE w:val="0"/>
              <w:autoSpaceDN w:val="0"/>
              <w:spacing w:before="0" w:after="0" w:line="246" w:lineRule="exact"/>
              <w:ind w:firstLine="0"/>
              <w:jc w:val="both"/>
              <w:rPr>
                <w:rFonts w:hint="eastAsia" w:ascii="宋体" w:hAnsi="宋体" w:eastAsia="宋体"/>
                <w:color w:val="000000"/>
                <w:sz w:val="18"/>
                <w:szCs w:val="18"/>
              </w:rPr>
            </w:pPr>
          </w:p>
          <w:p w14:paraId="679D6038">
            <w:pPr>
              <w:wordWrap w:val="0"/>
              <w:autoSpaceDE w:val="0"/>
              <w:autoSpaceDN w:val="0"/>
              <w:spacing w:before="0" w:after="0" w:line="246" w:lineRule="exact"/>
              <w:ind w:firstLine="0"/>
              <w:jc w:val="both"/>
              <w:rPr>
                <w:rFonts w:hint="eastAsia" w:ascii="宋体" w:hAnsi="宋体" w:eastAsia="宋体"/>
                <w:color w:val="000000"/>
                <w:sz w:val="18"/>
                <w:szCs w:val="18"/>
              </w:rPr>
            </w:pPr>
          </w:p>
          <w:p w14:paraId="7D9BDD9B">
            <w:pPr>
              <w:wordWrap w:val="0"/>
              <w:autoSpaceDE w:val="0"/>
              <w:autoSpaceDN w:val="0"/>
              <w:spacing w:before="0" w:after="0" w:line="246" w:lineRule="exact"/>
              <w:ind w:firstLine="0"/>
              <w:jc w:val="both"/>
              <w:rPr>
                <w:rFonts w:hint="eastAsia" w:ascii="宋体" w:hAnsi="宋体" w:eastAsia="宋体"/>
                <w:color w:val="000000"/>
                <w:sz w:val="18"/>
                <w:szCs w:val="18"/>
              </w:rPr>
            </w:pPr>
          </w:p>
          <w:p w14:paraId="26C1477D">
            <w:pPr>
              <w:wordWrap w:val="0"/>
              <w:autoSpaceDE w:val="0"/>
              <w:autoSpaceDN w:val="0"/>
              <w:spacing w:before="0" w:after="0" w:line="246" w:lineRule="exact"/>
              <w:ind w:firstLine="0"/>
              <w:jc w:val="both"/>
              <w:rPr>
                <w:rFonts w:hint="eastAsia" w:ascii="宋体" w:hAnsi="宋体" w:eastAsia="宋体"/>
                <w:color w:val="000000"/>
                <w:sz w:val="18"/>
                <w:szCs w:val="18"/>
              </w:rPr>
            </w:pPr>
          </w:p>
          <w:p w14:paraId="704119C7">
            <w:pPr>
              <w:wordWrap w:val="0"/>
              <w:autoSpaceDE w:val="0"/>
              <w:autoSpaceDN w:val="0"/>
              <w:spacing w:before="0" w:after="0" w:line="246" w:lineRule="exact"/>
              <w:ind w:firstLine="0"/>
              <w:jc w:val="both"/>
              <w:rPr>
                <w:rFonts w:hint="eastAsia" w:ascii="宋体" w:hAnsi="宋体" w:eastAsia="宋体"/>
                <w:color w:val="000000"/>
                <w:sz w:val="18"/>
                <w:szCs w:val="18"/>
              </w:rPr>
            </w:pPr>
          </w:p>
          <w:p w14:paraId="2BACAF68">
            <w:pPr>
              <w:wordWrap w:val="0"/>
              <w:autoSpaceDE w:val="0"/>
              <w:autoSpaceDN w:val="0"/>
              <w:spacing w:before="0" w:after="0" w:line="246" w:lineRule="exact"/>
              <w:ind w:firstLine="0"/>
              <w:jc w:val="both"/>
              <w:rPr>
                <w:rFonts w:hint="eastAsia" w:ascii="宋体" w:hAnsi="宋体" w:eastAsia="宋体"/>
                <w:color w:val="000000"/>
                <w:sz w:val="18"/>
                <w:szCs w:val="18"/>
              </w:rPr>
            </w:pPr>
          </w:p>
          <w:p w14:paraId="73C12AAC">
            <w:pPr>
              <w:wordWrap w:val="0"/>
              <w:autoSpaceDE w:val="0"/>
              <w:autoSpaceDN w:val="0"/>
              <w:spacing w:before="88" w:after="0" w:line="246" w:lineRule="exact"/>
              <w:jc w:val="center"/>
              <w:rPr>
                <w:sz w:val="18"/>
                <w:szCs w:val="18"/>
              </w:rPr>
            </w:pPr>
            <w:r>
              <w:rPr>
                <w:rFonts w:hint="eastAsia" w:ascii="宋体" w:hAnsi="宋体" w:eastAsia="宋体"/>
                <w:color w:val="000000"/>
                <w:sz w:val="18"/>
                <w:szCs w:val="18"/>
              </w:rPr>
              <w:t>裁量幅度</w:t>
            </w:r>
          </w:p>
        </w:tc>
        <w:tc>
          <w:tcPr>
            <w:tcW w:w="5599" w:type="dxa"/>
            <w:tcBorders>
              <w:top w:val="single" w:color="000000" w:sz="4" w:space="0"/>
              <w:left w:val="single" w:color="000000" w:sz="4" w:space="0"/>
              <w:bottom w:val="single" w:color="000000" w:sz="4" w:space="0"/>
              <w:right w:val="single" w:color="000000" w:sz="4" w:space="0"/>
            </w:tcBorders>
            <w:vAlign w:val="top"/>
          </w:tcPr>
          <w:p w14:paraId="7F13BE3D">
            <w:pPr>
              <w:wordWrap w:val="0"/>
              <w:autoSpaceDE w:val="0"/>
              <w:autoSpaceDN w:val="0"/>
              <w:spacing w:before="0" w:after="0" w:line="246" w:lineRule="exact"/>
              <w:ind w:firstLine="0"/>
              <w:jc w:val="both"/>
              <w:rPr>
                <w:rFonts w:hint="eastAsia" w:ascii="宋体" w:hAnsi="宋体" w:eastAsia="宋体"/>
                <w:color w:val="000000"/>
                <w:sz w:val="18"/>
                <w:szCs w:val="18"/>
              </w:rPr>
            </w:pPr>
          </w:p>
          <w:p w14:paraId="3A807C3C">
            <w:pPr>
              <w:wordWrap w:val="0"/>
              <w:autoSpaceDE w:val="0"/>
              <w:autoSpaceDN w:val="0"/>
              <w:spacing w:before="193" w:after="0" w:line="246" w:lineRule="exact"/>
              <w:ind w:firstLine="80"/>
              <w:jc w:val="both"/>
              <w:rPr>
                <w:sz w:val="18"/>
                <w:szCs w:val="18"/>
              </w:rPr>
            </w:pPr>
            <w:r>
              <w:rPr>
                <w:rFonts w:hint="eastAsia" w:ascii="宋体" w:hAnsi="宋体" w:eastAsia="宋体"/>
                <w:color w:val="000000"/>
                <w:sz w:val="18"/>
                <w:szCs w:val="18"/>
              </w:rPr>
              <w:t>不予处罚</w:t>
            </w:r>
          </w:p>
        </w:tc>
      </w:tr>
      <w:tr w14:paraId="6FDB418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300" w:hRule="atLeast"/>
        </w:trPr>
        <w:tc>
          <w:tcPr>
            <w:tcW w:w="1184" w:type="dxa"/>
            <w:vMerge w:val="continue"/>
            <w:tcBorders>
              <w:top w:val="single" w:color="000000" w:sz="4" w:space="0"/>
              <w:left w:val="single" w:color="000000" w:sz="4" w:space="0"/>
              <w:bottom w:val="single" w:color="000000" w:sz="4" w:space="0"/>
              <w:right w:val="single" w:color="000000" w:sz="4" w:space="0"/>
            </w:tcBorders>
          </w:tcPr>
          <w:p w14:paraId="08A3027E">
            <w:pPr>
              <w:rPr>
                <w:sz w:val="18"/>
                <w:szCs w:val="18"/>
              </w:rPr>
            </w:pPr>
          </w:p>
        </w:tc>
        <w:tc>
          <w:tcPr>
            <w:tcW w:w="5917" w:type="dxa"/>
            <w:tcBorders>
              <w:top w:val="single" w:color="000000" w:sz="4" w:space="0"/>
              <w:left w:val="single" w:color="000000" w:sz="4" w:space="0"/>
              <w:bottom w:val="single" w:color="000000" w:sz="4" w:space="0"/>
              <w:right w:val="single" w:color="000000" w:sz="4" w:space="0"/>
            </w:tcBorders>
            <w:vAlign w:val="top"/>
          </w:tcPr>
          <w:p w14:paraId="33173964">
            <w:pPr>
              <w:wordWrap w:val="0"/>
              <w:autoSpaceDE w:val="0"/>
              <w:autoSpaceDN w:val="0"/>
              <w:spacing w:before="173" w:after="0" w:line="246"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）人防工程出现</w:t>
            </w:r>
            <w:r>
              <w:rPr>
                <w:rFonts w:hint="eastAsia" w:ascii="Calibri" w:hAnsi="Calibri" w:eastAsia="Calibri"/>
                <w:color w:val="000000"/>
                <w:sz w:val="18"/>
                <w:szCs w:val="18"/>
              </w:rPr>
              <w:t>2</w:t>
            </w:r>
            <w:r>
              <w:rPr>
                <w:rFonts w:hint="eastAsia" w:ascii="宋体" w:hAnsi="宋体" w:eastAsia="宋体"/>
                <w:color w:val="000000"/>
                <w:sz w:val="18"/>
                <w:szCs w:val="18"/>
              </w:rPr>
              <w:t>处以下的渗漏水现象</w:t>
            </w:r>
          </w:p>
          <w:p w14:paraId="7B6CEDC8">
            <w:pPr>
              <w:wordWrap w:val="0"/>
              <w:autoSpaceDE w:val="0"/>
              <w:autoSpaceDN w:val="0"/>
              <w:spacing w:before="53" w:after="0" w:line="246"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）防护设施设备出现局部锈蚀损害，经修理仍能使用的</w:t>
            </w:r>
          </w:p>
          <w:p w14:paraId="71A4D6AA">
            <w:pPr>
              <w:wordWrap w:val="0"/>
              <w:autoSpaceDE w:val="0"/>
              <w:autoSpaceDN w:val="0"/>
              <w:spacing w:before="73" w:after="0" w:line="246" w:lineRule="exact"/>
              <w:ind w:left="100" w:right="4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）一个防护单元内出现</w:t>
            </w:r>
            <w:r>
              <w:rPr>
                <w:rFonts w:hint="eastAsia" w:ascii="Calibri" w:hAnsi="Calibri" w:eastAsia="Calibri"/>
                <w:color w:val="000000"/>
                <w:sz w:val="18"/>
                <w:szCs w:val="18"/>
              </w:rPr>
              <w:t>3</w:t>
            </w:r>
            <w:r>
              <w:rPr>
                <w:rFonts w:hint="eastAsia" w:ascii="宋体" w:hAnsi="宋体" w:eastAsia="宋体"/>
                <w:color w:val="000000"/>
                <w:sz w:val="18"/>
                <w:szCs w:val="18"/>
              </w:rPr>
              <w:t>樘以下防护设备（包括门类、超压排气活门、悬板活门）无法正常启闭或复位。出现门扇下垂变形，密封胶条老化、脱落、缺失，防爆地漏堵塞锈蚀等情况无法使用（</w:t>
            </w:r>
            <w:r>
              <w:rPr>
                <w:rFonts w:hint="eastAsia" w:ascii="Calibri" w:hAnsi="Calibri" w:eastAsia="Calibri"/>
                <w:color w:val="000000"/>
                <w:sz w:val="18"/>
                <w:szCs w:val="18"/>
              </w:rPr>
              <w:t>4</w:t>
            </w:r>
            <w:r>
              <w:rPr>
                <w:rFonts w:hint="eastAsia" w:ascii="宋体" w:hAnsi="宋体" w:eastAsia="宋体"/>
                <w:color w:val="000000"/>
                <w:sz w:val="18"/>
                <w:szCs w:val="18"/>
              </w:rPr>
              <w:t>）防护设备出现未定期加注黄油、润滑油的问题</w:t>
            </w:r>
          </w:p>
          <w:p w14:paraId="295A3A88">
            <w:pPr>
              <w:wordWrap w:val="0"/>
              <w:autoSpaceDE w:val="0"/>
              <w:autoSpaceDN w:val="0"/>
              <w:spacing w:before="73" w:after="0" w:line="246" w:lineRule="exact"/>
              <w:ind w:left="100" w:right="6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）一个防护单元内有</w:t>
            </w:r>
            <w:r>
              <w:rPr>
                <w:rFonts w:hint="eastAsia" w:ascii="Calibri" w:hAnsi="Calibri" w:eastAsia="Calibri"/>
                <w:color w:val="000000"/>
                <w:sz w:val="18"/>
                <w:szCs w:val="18"/>
              </w:rPr>
              <w:t>3</w:t>
            </w:r>
            <w:r>
              <w:rPr>
                <w:rFonts w:hint="eastAsia" w:ascii="宋体" w:hAnsi="宋体" w:eastAsia="宋体"/>
                <w:color w:val="000000"/>
                <w:sz w:val="18"/>
                <w:szCs w:val="18"/>
              </w:rPr>
              <w:t>樘以下防护设备出现预制件缺失或零部件缺失等问题</w:t>
            </w:r>
          </w:p>
          <w:p w14:paraId="7106A204">
            <w:pPr>
              <w:wordWrap w:val="0"/>
              <w:autoSpaceDE w:val="0"/>
              <w:autoSpaceDN w:val="0"/>
              <w:spacing w:before="63" w:after="0" w:line="246" w:lineRule="exact"/>
              <w:ind w:left="100" w:right="10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6</w:t>
            </w:r>
            <w:r>
              <w:rPr>
                <w:rFonts w:hint="eastAsia" w:ascii="宋体" w:hAnsi="宋体" w:eastAsia="宋体"/>
                <w:color w:val="000000"/>
                <w:sz w:val="18"/>
                <w:szCs w:val="18"/>
              </w:rPr>
              <w:t>）一个防护单元内出现</w:t>
            </w:r>
            <w:r>
              <w:rPr>
                <w:rFonts w:hint="eastAsia" w:ascii="Calibri" w:hAnsi="Calibri" w:eastAsia="Calibri"/>
                <w:color w:val="000000"/>
                <w:sz w:val="18"/>
                <w:szCs w:val="18"/>
              </w:rPr>
              <w:t>3</w:t>
            </w:r>
            <w:r>
              <w:rPr>
                <w:rFonts w:hint="eastAsia" w:ascii="宋体" w:hAnsi="宋体" w:eastAsia="宋体"/>
                <w:color w:val="000000"/>
                <w:sz w:val="18"/>
                <w:szCs w:val="18"/>
              </w:rPr>
              <w:t>樘以下防护设备活门槛安装孔堵塞、门扇缺固定和支撑等问题</w:t>
            </w:r>
          </w:p>
        </w:tc>
        <w:tc>
          <w:tcPr>
            <w:tcW w:w="1063" w:type="dxa"/>
            <w:vMerge w:val="continue"/>
            <w:tcBorders>
              <w:top w:val="single" w:color="000000" w:sz="4" w:space="0"/>
              <w:left w:val="single" w:color="000000" w:sz="4" w:space="0"/>
              <w:bottom w:val="single" w:color="000000" w:sz="4" w:space="0"/>
              <w:right w:val="single" w:color="000000" w:sz="4" w:space="0"/>
            </w:tcBorders>
          </w:tcPr>
          <w:p w14:paraId="4568EEFF">
            <w:pPr>
              <w:rPr>
                <w:sz w:val="18"/>
                <w:szCs w:val="18"/>
              </w:rPr>
            </w:pPr>
          </w:p>
        </w:tc>
        <w:tc>
          <w:tcPr>
            <w:tcW w:w="5599" w:type="dxa"/>
            <w:tcBorders>
              <w:top w:val="single" w:color="000000" w:sz="4" w:space="0"/>
              <w:left w:val="single" w:color="000000" w:sz="4" w:space="0"/>
              <w:bottom w:val="single" w:color="000000" w:sz="4" w:space="0"/>
              <w:right w:val="single" w:color="000000" w:sz="4" w:space="0"/>
            </w:tcBorders>
            <w:vAlign w:val="top"/>
          </w:tcPr>
          <w:p w14:paraId="0CB37324">
            <w:pPr>
              <w:wordWrap w:val="0"/>
              <w:autoSpaceDE w:val="0"/>
              <w:autoSpaceDN w:val="0"/>
              <w:spacing w:before="0" w:after="0" w:line="246" w:lineRule="exact"/>
              <w:ind w:firstLine="0"/>
              <w:jc w:val="both"/>
              <w:rPr>
                <w:rFonts w:hint="eastAsia" w:ascii="宋体" w:hAnsi="宋体" w:eastAsia="宋体"/>
                <w:color w:val="000000"/>
                <w:sz w:val="18"/>
                <w:szCs w:val="18"/>
              </w:rPr>
            </w:pPr>
          </w:p>
          <w:p w14:paraId="28138E56">
            <w:pPr>
              <w:wordWrap w:val="0"/>
              <w:autoSpaceDE w:val="0"/>
              <w:autoSpaceDN w:val="0"/>
              <w:spacing w:before="0" w:after="0" w:line="246" w:lineRule="exact"/>
              <w:ind w:firstLine="0"/>
              <w:jc w:val="both"/>
              <w:rPr>
                <w:rFonts w:hint="eastAsia" w:ascii="宋体" w:hAnsi="宋体" w:eastAsia="宋体"/>
                <w:color w:val="000000"/>
                <w:sz w:val="18"/>
                <w:szCs w:val="18"/>
              </w:rPr>
            </w:pPr>
          </w:p>
          <w:p w14:paraId="6C30A871">
            <w:pPr>
              <w:wordWrap w:val="0"/>
              <w:autoSpaceDE w:val="0"/>
              <w:autoSpaceDN w:val="0"/>
              <w:spacing w:before="0" w:after="0" w:line="246" w:lineRule="exact"/>
              <w:ind w:firstLine="0"/>
              <w:jc w:val="both"/>
              <w:rPr>
                <w:rFonts w:hint="eastAsia" w:ascii="宋体" w:hAnsi="宋体" w:eastAsia="宋体"/>
                <w:color w:val="000000"/>
                <w:sz w:val="18"/>
                <w:szCs w:val="18"/>
              </w:rPr>
            </w:pPr>
          </w:p>
          <w:p w14:paraId="14D32492">
            <w:pPr>
              <w:wordWrap w:val="0"/>
              <w:autoSpaceDE w:val="0"/>
              <w:autoSpaceDN w:val="0"/>
              <w:spacing w:before="0" w:after="0" w:line="246" w:lineRule="exact"/>
              <w:ind w:firstLine="0"/>
              <w:jc w:val="both"/>
              <w:rPr>
                <w:rFonts w:hint="eastAsia" w:ascii="宋体" w:hAnsi="宋体" w:eastAsia="宋体"/>
                <w:color w:val="000000"/>
                <w:sz w:val="18"/>
                <w:szCs w:val="18"/>
              </w:rPr>
            </w:pPr>
          </w:p>
          <w:p w14:paraId="1B0F33E4">
            <w:pPr>
              <w:wordWrap w:val="0"/>
              <w:autoSpaceDE w:val="0"/>
              <w:autoSpaceDN w:val="0"/>
              <w:spacing w:before="0" w:after="0" w:line="246" w:lineRule="exact"/>
              <w:ind w:firstLine="0"/>
              <w:jc w:val="both"/>
              <w:rPr>
                <w:rFonts w:hint="eastAsia" w:ascii="宋体" w:hAnsi="宋体" w:eastAsia="宋体"/>
                <w:color w:val="000000"/>
                <w:sz w:val="18"/>
                <w:szCs w:val="18"/>
              </w:rPr>
            </w:pPr>
          </w:p>
          <w:p w14:paraId="7BCD7B1F">
            <w:pPr>
              <w:wordWrap w:val="0"/>
              <w:autoSpaceDE w:val="0"/>
              <w:autoSpaceDN w:val="0"/>
              <w:spacing w:before="167" w:after="0" w:line="246" w:lineRule="exact"/>
              <w:ind w:left="80" w:right="40" w:firstLine="0"/>
              <w:jc w:val="both"/>
              <w:rPr>
                <w:sz w:val="18"/>
                <w:szCs w:val="18"/>
              </w:rPr>
            </w:pPr>
            <w:r>
              <w:rPr>
                <w:rFonts w:hint="eastAsia" w:ascii="宋体" w:hAnsi="宋体" w:eastAsia="宋体"/>
                <w:color w:val="000000"/>
                <w:sz w:val="18"/>
                <w:szCs w:val="18"/>
              </w:rPr>
              <w:t>责令限期整改，对个人并处</w:t>
            </w:r>
            <w:r>
              <w:rPr>
                <w:rFonts w:hint="eastAsia" w:ascii="Calibri" w:hAnsi="Calibri" w:eastAsia="Calibri"/>
                <w:color w:val="000000"/>
                <w:sz w:val="18"/>
                <w:szCs w:val="18"/>
              </w:rPr>
              <w:t>1000</w:t>
            </w:r>
            <w:r>
              <w:rPr>
                <w:rFonts w:hint="eastAsia" w:ascii="宋体" w:hAnsi="宋体" w:eastAsia="宋体"/>
                <w:color w:val="000000"/>
                <w:sz w:val="18"/>
                <w:szCs w:val="18"/>
              </w:rPr>
              <w:t>元以上</w:t>
            </w:r>
            <w:r>
              <w:rPr>
                <w:rFonts w:hint="eastAsia" w:ascii="Calibri" w:hAnsi="Calibri" w:eastAsia="Calibri"/>
                <w:color w:val="000000"/>
                <w:sz w:val="18"/>
                <w:szCs w:val="18"/>
              </w:rPr>
              <w:t>2000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r w14:paraId="66D33BD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271" w:hRule="atLeast"/>
        </w:trPr>
        <w:tc>
          <w:tcPr>
            <w:tcW w:w="1184" w:type="dxa"/>
            <w:vMerge w:val="restart"/>
            <w:tcBorders>
              <w:top w:val="single" w:color="000000" w:sz="4" w:space="0"/>
              <w:left w:val="single" w:color="000000" w:sz="4" w:space="0"/>
              <w:right w:val="single" w:color="000000" w:sz="4" w:space="0"/>
            </w:tcBorders>
            <w:shd w:val="clear" w:color="auto" w:fill="auto"/>
            <w:vAlign w:val="top"/>
          </w:tcPr>
          <w:p w14:paraId="15C5164A">
            <w:pPr>
              <w:wordWrap w:val="0"/>
              <w:autoSpaceDE w:val="0"/>
              <w:autoSpaceDN w:val="0"/>
              <w:spacing w:before="0" w:after="0" w:line="246" w:lineRule="exact"/>
              <w:ind w:firstLine="0"/>
              <w:jc w:val="both"/>
              <w:rPr>
                <w:rFonts w:hint="eastAsia" w:ascii="宋体" w:hAnsi="宋体" w:eastAsia="宋体"/>
                <w:color w:val="000000"/>
                <w:sz w:val="18"/>
                <w:szCs w:val="18"/>
              </w:rPr>
            </w:pPr>
          </w:p>
          <w:p w14:paraId="5A1F3D55">
            <w:pPr>
              <w:wordWrap w:val="0"/>
              <w:autoSpaceDE w:val="0"/>
              <w:autoSpaceDN w:val="0"/>
              <w:spacing w:before="0" w:after="0" w:line="246" w:lineRule="exact"/>
              <w:ind w:firstLine="0"/>
              <w:jc w:val="both"/>
              <w:rPr>
                <w:rFonts w:hint="eastAsia" w:ascii="宋体" w:hAnsi="宋体" w:eastAsia="宋体"/>
                <w:color w:val="000000"/>
                <w:sz w:val="18"/>
                <w:szCs w:val="18"/>
              </w:rPr>
            </w:pPr>
          </w:p>
          <w:p w14:paraId="2C3F0FB4">
            <w:pPr>
              <w:wordWrap w:val="0"/>
              <w:autoSpaceDE w:val="0"/>
              <w:autoSpaceDN w:val="0"/>
              <w:spacing w:before="0" w:after="0" w:line="246" w:lineRule="exact"/>
              <w:ind w:firstLine="0"/>
              <w:jc w:val="both"/>
              <w:rPr>
                <w:rFonts w:hint="eastAsia" w:ascii="宋体" w:hAnsi="宋体" w:eastAsia="宋体"/>
                <w:color w:val="000000"/>
                <w:sz w:val="18"/>
                <w:szCs w:val="18"/>
              </w:rPr>
            </w:pPr>
          </w:p>
          <w:p w14:paraId="1FEB21F4">
            <w:pPr>
              <w:wordWrap w:val="0"/>
              <w:autoSpaceDE w:val="0"/>
              <w:autoSpaceDN w:val="0"/>
              <w:spacing w:before="0" w:after="0" w:line="246" w:lineRule="exact"/>
              <w:ind w:firstLine="0"/>
              <w:jc w:val="both"/>
              <w:rPr>
                <w:rFonts w:hint="eastAsia" w:ascii="宋体" w:hAnsi="宋体" w:eastAsia="宋体"/>
                <w:color w:val="000000"/>
                <w:sz w:val="18"/>
                <w:szCs w:val="18"/>
              </w:rPr>
            </w:pPr>
          </w:p>
          <w:p w14:paraId="5382A921">
            <w:pPr>
              <w:wordWrap w:val="0"/>
              <w:autoSpaceDE w:val="0"/>
              <w:autoSpaceDN w:val="0"/>
              <w:spacing w:before="0" w:after="0" w:line="246" w:lineRule="exact"/>
              <w:ind w:firstLine="0"/>
              <w:jc w:val="both"/>
              <w:rPr>
                <w:rFonts w:hint="eastAsia" w:ascii="宋体" w:hAnsi="宋体" w:eastAsia="宋体"/>
                <w:color w:val="000000"/>
                <w:sz w:val="18"/>
                <w:szCs w:val="18"/>
              </w:rPr>
            </w:pPr>
          </w:p>
          <w:p w14:paraId="30397024">
            <w:pPr>
              <w:wordWrap w:val="0"/>
              <w:autoSpaceDE w:val="0"/>
              <w:autoSpaceDN w:val="0"/>
              <w:spacing w:before="0" w:after="0" w:line="246" w:lineRule="exact"/>
              <w:ind w:firstLine="0"/>
              <w:jc w:val="both"/>
              <w:rPr>
                <w:rFonts w:hint="eastAsia" w:ascii="宋体" w:hAnsi="宋体" w:eastAsia="宋体"/>
                <w:color w:val="000000"/>
                <w:sz w:val="18"/>
                <w:szCs w:val="18"/>
              </w:rPr>
            </w:pPr>
          </w:p>
          <w:p w14:paraId="0FBFD3C2">
            <w:pPr>
              <w:wordWrap w:val="0"/>
              <w:autoSpaceDE w:val="0"/>
              <w:autoSpaceDN w:val="0"/>
              <w:spacing w:before="0" w:after="0" w:line="246" w:lineRule="exact"/>
              <w:ind w:firstLine="0"/>
              <w:jc w:val="both"/>
              <w:rPr>
                <w:rFonts w:hint="eastAsia" w:ascii="宋体" w:hAnsi="宋体" w:eastAsia="宋体"/>
                <w:color w:val="000000"/>
                <w:sz w:val="18"/>
                <w:szCs w:val="18"/>
              </w:rPr>
            </w:pPr>
          </w:p>
          <w:p w14:paraId="4B4F3205">
            <w:pPr>
              <w:wordWrap w:val="0"/>
              <w:autoSpaceDE w:val="0"/>
              <w:autoSpaceDN w:val="0"/>
              <w:spacing w:before="0" w:after="0" w:line="246" w:lineRule="exact"/>
              <w:ind w:firstLine="0"/>
              <w:jc w:val="both"/>
              <w:rPr>
                <w:rFonts w:hint="eastAsia" w:ascii="宋体" w:hAnsi="宋体" w:eastAsia="宋体"/>
                <w:color w:val="000000"/>
                <w:sz w:val="18"/>
                <w:szCs w:val="18"/>
              </w:rPr>
            </w:pPr>
          </w:p>
          <w:p w14:paraId="61CB6A39">
            <w:pPr>
              <w:wordWrap w:val="0"/>
              <w:autoSpaceDE w:val="0"/>
              <w:autoSpaceDN w:val="0"/>
              <w:spacing w:before="0" w:after="0" w:line="246" w:lineRule="exact"/>
              <w:ind w:firstLine="0"/>
              <w:jc w:val="both"/>
              <w:rPr>
                <w:rFonts w:hint="eastAsia" w:ascii="宋体" w:hAnsi="宋体" w:eastAsia="宋体"/>
                <w:color w:val="000000"/>
                <w:sz w:val="18"/>
                <w:szCs w:val="18"/>
              </w:rPr>
            </w:pPr>
          </w:p>
          <w:p w14:paraId="2269B3C2">
            <w:pPr>
              <w:wordWrap w:val="0"/>
              <w:autoSpaceDE w:val="0"/>
              <w:autoSpaceDN w:val="0"/>
              <w:spacing w:before="0" w:after="0" w:line="246" w:lineRule="exact"/>
              <w:ind w:firstLine="0"/>
              <w:jc w:val="both"/>
              <w:rPr>
                <w:rFonts w:hint="eastAsia" w:ascii="宋体" w:hAnsi="宋体" w:eastAsia="宋体"/>
                <w:color w:val="000000"/>
                <w:sz w:val="18"/>
                <w:szCs w:val="18"/>
              </w:rPr>
            </w:pPr>
          </w:p>
          <w:p w14:paraId="7A99B44D">
            <w:pPr>
              <w:wordWrap w:val="0"/>
              <w:autoSpaceDE w:val="0"/>
              <w:autoSpaceDN w:val="0"/>
              <w:spacing w:before="0" w:after="0" w:line="246" w:lineRule="exact"/>
              <w:ind w:firstLine="0"/>
              <w:jc w:val="both"/>
              <w:rPr>
                <w:rFonts w:hint="eastAsia" w:ascii="宋体" w:hAnsi="宋体" w:eastAsia="宋体"/>
                <w:color w:val="000000"/>
                <w:sz w:val="18"/>
                <w:szCs w:val="18"/>
              </w:rPr>
            </w:pPr>
          </w:p>
          <w:p w14:paraId="161157C3">
            <w:pPr>
              <w:wordWrap w:val="0"/>
              <w:autoSpaceDE w:val="0"/>
              <w:autoSpaceDN w:val="0"/>
              <w:spacing w:before="189" w:after="0" w:line="246" w:lineRule="exact"/>
              <w:ind w:firstLine="220" w:firstLineChars="0"/>
              <w:jc w:val="both"/>
              <w:rPr>
                <w:rFonts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情形描述</w:t>
            </w:r>
          </w:p>
        </w:tc>
        <w:tc>
          <w:tcPr>
            <w:tcW w:w="5917" w:type="dxa"/>
            <w:tcBorders>
              <w:top w:val="single" w:color="000000" w:sz="4" w:space="0"/>
              <w:left w:val="single" w:color="000000" w:sz="4" w:space="0"/>
              <w:bottom w:val="single" w:color="000000" w:sz="4" w:space="0"/>
              <w:right w:val="single" w:color="000000" w:sz="4" w:space="0"/>
            </w:tcBorders>
            <w:shd w:val="clear" w:color="auto" w:fill="auto"/>
            <w:vAlign w:val="top"/>
          </w:tcPr>
          <w:p w14:paraId="2285E0E5">
            <w:pPr>
              <w:wordWrap w:val="0"/>
              <w:autoSpaceDE w:val="0"/>
              <w:autoSpaceDN w:val="0"/>
              <w:spacing w:before="93" w:after="0" w:line="246"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）人防工程出现</w:t>
            </w:r>
            <w:r>
              <w:rPr>
                <w:rFonts w:hint="eastAsia" w:ascii="Calibri" w:hAnsi="Calibri" w:eastAsia="Calibri"/>
                <w:color w:val="000000"/>
                <w:sz w:val="18"/>
                <w:szCs w:val="18"/>
              </w:rPr>
              <w:t>2</w:t>
            </w:r>
            <w:r>
              <w:rPr>
                <w:rFonts w:hint="eastAsia" w:ascii="宋体" w:hAnsi="宋体" w:eastAsia="宋体"/>
                <w:color w:val="000000"/>
                <w:sz w:val="18"/>
                <w:szCs w:val="18"/>
              </w:rPr>
              <w:t>处以上</w:t>
            </w:r>
            <w:r>
              <w:rPr>
                <w:rFonts w:hint="eastAsia" w:ascii="Calibri" w:hAnsi="Calibri" w:eastAsia="Calibri"/>
                <w:color w:val="000000"/>
                <w:sz w:val="18"/>
                <w:szCs w:val="18"/>
              </w:rPr>
              <w:t>5</w:t>
            </w:r>
            <w:r>
              <w:rPr>
                <w:rFonts w:hint="eastAsia" w:ascii="宋体" w:hAnsi="宋体" w:eastAsia="宋体"/>
                <w:color w:val="000000"/>
                <w:sz w:val="18"/>
                <w:szCs w:val="18"/>
              </w:rPr>
              <w:t>处以下的渗漏水现象</w:t>
            </w:r>
          </w:p>
          <w:p w14:paraId="42B46C5C">
            <w:pPr>
              <w:wordWrap w:val="0"/>
              <w:autoSpaceDE w:val="0"/>
              <w:autoSpaceDN w:val="0"/>
              <w:spacing w:before="73" w:after="0" w:line="246" w:lineRule="exact"/>
              <w:ind w:left="100" w:right="8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）防护设施设备出现大面积的锈蚀损害，个别设施设备已无法使用</w:t>
            </w:r>
          </w:p>
          <w:p w14:paraId="10590C29">
            <w:pPr>
              <w:wordWrap w:val="0"/>
              <w:autoSpaceDE w:val="0"/>
              <w:autoSpaceDN w:val="0"/>
              <w:spacing w:before="73" w:after="0" w:line="246" w:lineRule="exact"/>
              <w:ind w:left="100" w:right="4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）一个防护单元内出现</w:t>
            </w:r>
            <w:r>
              <w:rPr>
                <w:rFonts w:hint="eastAsia" w:ascii="Calibri" w:hAnsi="Calibri" w:eastAsia="Calibri"/>
                <w:color w:val="000000"/>
                <w:sz w:val="18"/>
                <w:szCs w:val="18"/>
              </w:rPr>
              <w:t>3</w:t>
            </w:r>
            <w:r>
              <w:rPr>
                <w:rFonts w:hint="eastAsia" w:ascii="宋体" w:hAnsi="宋体" w:eastAsia="宋体"/>
                <w:color w:val="000000"/>
                <w:sz w:val="18"/>
                <w:szCs w:val="18"/>
              </w:rPr>
              <w:t>樘以上</w:t>
            </w:r>
            <w:r>
              <w:rPr>
                <w:rFonts w:hint="eastAsia" w:ascii="Calibri" w:hAnsi="Calibri" w:eastAsia="Calibri"/>
                <w:color w:val="000000"/>
                <w:sz w:val="18"/>
                <w:szCs w:val="18"/>
              </w:rPr>
              <w:t>5</w:t>
            </w:r>
            <w:r>
              <w:rPr>
                <w:rFonts w:hint="eastAsia" w:ascii="宋体" w:hAnsi="宋体" w:eastAsia="宋体"/>
                <w:color w:val="000000"/>
                <w:sz w:val="18"/>
                <w:szCs w:val="18"/>
              </w:rPr>
              <w:t>樘以下防护设备（包括门类、超压排气活门、悬板活门）无法正常启闭或复位</w:t>
            </w:r>
          </w:p>
          <w:p w14:paraId="2BFD1B6B">
            <w:pPr>
              <w:wordWrap w:val="0"/>
              <w:autoSpaceDE w:val="0"/>
              <w:autoSpaceDN w:val="0"/>
              <w:spacing w:before="73" w:after="0" w:line="246" w:lineRule="exact"/>
              <w:ind w:left="100" w:right="8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4</w:t>
            </w:r>
            <w:r>
              <w:rPr>
                <w:rFonts w:hint="eastAsia" w:ascii="宋体" w:hAnsi="宋体" w:eastAsia="宋体"/>
                <w:color w:val="000000"/>
                <w:sz w:val="18"/>
                <w:szCs w:val="18"/>
              </w:rPr>
              <w:t>）一个防护单元内出现</w:t>
            </w:r>
            <w:r>
              <w:rPr>
                <w:rFonts w:hint="eastAsia" w:ascii="Calibri" w:hAnsi="Calibri" w:eastAsia="Calibri"/>
                <w:color w:val="000000"/>
                <w:sz w:val="18"/>
                <w:szCs w:val="18"/>
              </w:rPr>
              <w:t>3</w:t>
            </w:r>
            <w:r>
              <w:rPr>
                <w:rFonts w:hint="eastAsia" w:ascii="宋体" w:hAnsi="宋体" w:eastAsia="宋体"/>
                <w:color w:val="000000"/>
                <w:sz w:val="18"/>
                <w:szCs w:val="18"/>
              </w:rPr>
              <w:t>樘以上</w:t>
            </w:r>
            <w:r>
              <w:rPr>
                <w:rFonts w:hint="eastAsia" w:ascii="Calibri" w:hAnsi="Calibri" w:eastAsia="Calibri"/>
                <w:color w:val="000000"/>
                <w:sz w:val="18"/>
                <w:szCs w:val="18"/>
              </w:rPr>
              <w:t>5</w:t>
            </w:r>
            <w:r>
              <w:rPr>
                <w:rFonts w:hint="eastAsia" w:ascii="宋体" w:hAnsi="宋体" w:eastAsia="宋体"/>
                <w:color w:val="000000"/>
                <w:sz w:val="18"/>
                <w:szCs w:val="18"/>
              </w:rPr>
              <w:t>樘以下防护设备预制件缺失或零部件缺失等问题</w:t>
            </w:r>
          </w:p>
          <w:p w14:paraId="716D438F">
            <w:pPr>
              <w:wordWrap w:val="0"/>
              <w:autoSpaceDE w:val="0"/>
              <w:autoSpaceDN w:val="0"/>
              <w:spacing w:before="0" w:after="0" w:line="246" w:lineRule="exact"/>
              <w:ind w:left="100" w:leftChars="0" w:right="80" w:rightChars="0" w:firstLine="4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）一个防护单元内出现</w:t>
            </w:r>
            <w:r>
              <w:rPr>
                <w:rFonts w:hint="eastAsia" w:ascii="Calibri" w:hAnsi="Calibri" w:eastAsia="Calibri"/>
                <w:color w:val="000000"/>
                <w:sz w:val="18"/>
                <w:szCs w:val="18"/>
              </w:rPr>
              <w:t>3</w:t>
            </w:r>
            <w:r>
              <w:rPr>
                <w:rFonts w:hint="eastAsia" w:ascii="宋体" w:hAnsi="宋体" w:eastAsia="宋体"/>
                <w:color w:val="000000"/>
                <w:sz w:val="18"/>
                <w:szCs w:val="18"/>
              </w:rPr>
              <w:t>樘以上</w:t>
            </w:r>
            <w:r>
              <w:rPr>
                <w:rFonts w:hint="eastAsia" w:ascii="Calibri" w:hAnsi="Calibri" w:eastAsia="Calibri"/>
                <w:color w:val="000000"/>
                <w:sz w:val="18"/>
                <w:szCs w:val="18"/>
              </w:rPr>
              <w:t>5</w:t>
            </w:r>
            <w:r>
              <w:rPr>
                <w:rFonts w:hint="eastAsia" w:ascii="宋体" w:hAnsi="宋体" w:eastAsia="宋体"/>
                <w:color w:val="000000"/>
                <w:sz w:val="18"/>
                <w:szCs w:val="18"/>
              </w:rPr>
              <w:t>樘以下防护设备活门槛安装孔堵塞、门扇缺固定和支撑等问题</w:t>
            </w:r>
          </w:p>
        </w:tc>
        <w:tc>
          <w:tcPr>
            <w:tcW w:w="1063" w:type="dxa"/>
            <w:vMerge w:val="restart"/>
            <w:tcBorders>
              <w:top w:val="single" w:color="000000" w:sz="4" w:space="0"/>
              <w:left w:val="single" w:color="000000" w:sz="4" w:space="0"/>
              <w:right w:val="single" w:color="000000" w:sz="4" w:space="0"/>
            </w:tcBorders>
            <w:shd w:val="clear" w:color="auto" w:fill="auto"/>
            <w:vAlign w:val="top"/>
          </w:tcPr>
          <w:p w14:paraId="3511EE27">
            <w:pPr>
              <w:wordWrap w:val="0"/>
              <w:autoSpaceDE w:val="0"/>
              <w:autoSpaceDN w:val="0"/>
              <w:spacing w:before="0" w:after="0" w:line="246" w:lineRule="exact"/>
              <w:ind w:firstLine="0"/>
              <w:jc w:val="both"/>
              <w:rPr>
                <w:rFonts w:hint="eastAsia" w:ascii="宋体" w:hAnsi="宋体" w:eastAsia="宋体"/>
                <w:color w:val="000000"/>
                <w:sz w:val="18"/>
                <w:szCs w:val="18"/>
              </w:rPr>
            </w:pPr>
          </w:p>
          <w:p w14:paraId="42582FC8">
            <w:pPr>
              <w:wordWrap w:val="0"/>
              <w:autoSpaceDE w:val="0"/>
              <w:autoSpaceDN w:val="0"/>
              <w:spacing w:before="0" w:after="0" w:line="246" w:lineRule="exact"/>
              <w:ind w:firstLine="0"/>
              <w:jc w:val="both"/>
              <w:rPr>
                <w:rFonts w:hint="eastAsia" w:ascii="宋体" w:hAnsi="宋体" w:eastAsia="宋体"/>
                <w:color w:val="000000"/>
                <w:sz w:val="18"/>
                <w:szCs w:val="18"/>
              </w:rPr>
            </w:pPr>
          </w:p>
          <w:p w14:paraId="5744BEC0">
            <w:pPr>
              <w:wordWrap w:val="0"/>
              <w:autoSpaceDE w:val="0"/>
              <w:autoSpaceDN w:val="0"/>
              <w:spacing w:before="0" w:after="0" w:line="246" w:lineRule="exact"/>
              <w:ind w:firstLine="0"/>
              <w:jc w:val="both"/>
              <w:rPr>
                <w:rFonts w:hint="eastAsia" w:ascii="宋体" w:hAnsi="宋体" w:eastAsia="宋体"/>
                <w:color w:val="000000"/>
                <w:sz w:val="18"/>
                <w:szCs w:val="18"/>
              </w:rPr>
            </w:pPr>
          </w:p>
          <w:p w14:paraId="776A8198">
            <w:pPr>
              <w:wordWrap w:val="0"/>
              <w:autoSpaceDE w:val="0"/>
              <w:autoSpaceDN w:val="0"/>
              <w:spacing w:before="0" w:after="0" w:line="246" w:lineRule="exact"/>
              <w:ind w:firstLine="0"/>
              <w:jc w:val="both"/>
              <w:rPr>
                <w:rFonts w:hint="eastAsia" w:ascii="宋体" w:hAnsi="宋体" w:eastAsia="宋体"/>
                <w:color w:val="000000"/>
                <w:sz w:val="18"/>
                <w:szCs w:val="18"/>
              </w:rPr>
            </w:pPr>
          </w:p>
          <w:p w14:paraId="54552646">
            <w:pPr>
              <w:wordWrap w:val="0"/>
              <w:autoSpaceDE w:val="0"/>
              <w:autoSpaceDN w:val="0"/>
              <w:spacing w:before="0" w:after="0" w:line="246" w:lineRule="exact"/>
              <w:ind w:firstLine="0"/>
              <w:jc w:val="both"/>
              <w:rPr>
                <w:rFonts w:hint="eastAsia" w:ascii="宋体" w:hAnsi="宋体" w:eastAsia="宋体"/>
                <w:color w:val="000000"/>
                <w:sz w:val="18"/>
                <w:szCs w:val="18"/>
              </w:rPr>
            </w:pPr>
          </w:p>
          <w:p w14:paraId="61799FCA">
            <w:pPr>
              <w:wordWrap w:val="0"/>
              <w:autoSpaceDE w:val="0"/>
              <w:autoSpaceDN w:val="0"/>
              <w:spacing w:before="0" w:after="0" w:line="246" w:lineRule="exact"/>
              <w:ind w:firstLine="0"/>
              <w:jc w:val="both"/>
              <w:rPr>
                <w:rFonts w:hint="eastAsia" w:ascii="宋体" w:hAnsi="宋体" w:eastAsia="宋体"/>
                <w:color w:val="000000"/>
                <w:sz w:val="18"/>
                <w:szCs w:val="18"/>
              </w:rPr>
            </w:pPr>
          </w:p>
          <w:p w14:paraId="2EF5670A">
            <w:pPr>
              <w:wordWrap w:val="0"/>
              <w:autoSpaceDE w:val="0"/>
              <w:autoSpaceDN w:val="0"/>
              <w:spacing w:before="0" w:after="0" w:line="246" w:lineRule="exact"/>
              <w:ind w:firstLine="0"/>
              <w:jc w:val="both"/>
              <w:rPr>
                <w:rFonts w:hint="eastAsia" w:ascii="宋体" w:hAnsi="宋体" w:eastAsia="宋体"/>
                <w:color w:val="000000"/>
                <w:sz w:val="18"/>
                <w:szCs w:val="18"/>
              </w:rPr>
            </w:pPr>
          </w:p>
          <w:p w14:paraId="5C57E6DB">
            <w:pPr>
              <w:wordWrap w:val="0"/>
              <w:autoSpaceDE w:val="0"/>
              <w:autoSpaceDN w:val="0"/>
              <w:spacing w:before="0" w:after="0" w:line="246" w:lineRule="exact"/>
              <w:ind w:firstLine="0"/>
              <w:jc w:val="both"/>
              <w:rPr>
                <w:rFonts w:hint="eastAsia" w:ascii="宋体" w:hAnsi="宋体" w:eastAsia="宋体"/>
                <w:color w:val="000000"/>
                <w:sz w:val="18"/>
                <w:szCs w:val="18"/>
              </w:rPr>
            </w:pPr>
          </w:p>
          <w:p w14:paraId="30D4E772">
            <w:pPr>
              <w:wordWrap w:val="0"/>
              <w:autoSpaceDE w:val="0"/>
              <w:autoSpaceDN w:val="0"/>
              <w:spacing w:before="0" w:after="0" w:line="246" w:lineRule="exact"/>
              <w:ind w:firstLine="0"/>
              <w:jc w:val="both"/>
              <w:rPr>
                <w:rFonts w:hint="eastAsia" w:ascii="宋体" w:hAnsi="宋体" w:eastAsia="宋体"/>
                <w:color w:val="000000"/>
                <w:sz w:val="18"/>
                <w:szCs w:val="18"/>
              </w:rPr>
            </w:pPr>
          </w:p>
          <w:p w14:paraId="76E2A499">
            <w:pPr>
              <w:wordWrap w:val="0"/>
              <w:autoSpaceDE w:val="0"/>
              <w:autoSpaceDN w:val="0"/>
              <w:spacing w:before="0" w:after="0" w:line="246" w:lineRule="exact"/>
              <w:ind w:firstLine="0"/>
              <w:jc w:val="both"/>
              <w:rPr>
                <w:rFonts w:hint="eastAsia" w:ascii="宋体" w:hAnsi="宋体" w:eastAsia="宋体"/>
                <w:color w:val="000000"/>
                <w:sz w:val="18"/>
                <w:szCs w:val="18"/>
              </w:rPr>
            </w:pPr>
          </w:p>
          <w:p w14:paraId="308041E7">
            <w:pPr>
              <w:wordWrap w:val="0"/>
              <w:autoSpaceDE w:val="0"/>
              <w:autoSpaceDN w:val="0"/>
              <w:spacing w:before="0" w:after="0" w:line="246" w:lineRule="exact"/>
              <w:ind w:firstLine="0"/>
              <w:jc w:val="both"/>
              <w:rPr>
                <w:rFonts w:hint="eastAsia" w:ascii="宋体" w:hAnsi="宋体" w:eastAsia="宋体"/>
                <w:color w:val="000000"/>
                <w:sz w:val="18"/>
                <w:szCs w:val="18"/>
              </w:rPr>
            </w:pPr>
          </w:p>
          <w:p w14:paraId="3334A521">
            <w:pPr>
              <w:wordWrap w:val="0"/>
              <w:autoSpaceDE w:val="0"/>
              <w:autoSpaceDN w:val="0"/>
              <w:spacing w:before="169" w:after="0" w:line="246" w:lineRule="exact"/>
              <w:jc w:val="center"/>
              <w:rPr>
                <w:rFonts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裁量幅度</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top"/>
          </w:tcPr>
          <w:p w14:paraId="064646CE">
            <w:pPr>
              <w:wordWrap w:val="0"/>
              <w:autoSpaceDE w:val="0"/>
              <w:autoSpaceDN w:val="0"/>
              <w:spacing w:before="0" w:after="0" w:line="246" w:lineRule="exact"/>
              <w:ind w:firstLine="0"/>
              <w:jc w:val="both"/>
              <w:rPr>
                <w:rFonts w:hint="eastAsia" w:ascii="宋体" w:hAnsi="宋体" w:eastAsia="宋体"/>
                <w:color w:val="000000"/>
                <w:sz w:val="18"/>
                <w:szCs w:val="18"/>
              </w:rPr>
            </w:pPr>
          </w:p>
          <w:p w14:paraId="2680360A">
            <w:pPr>
              <w:wordWrap w:val="0"/>
              <w:autoSpaceDE w:val="0"/>
              <w:autoSpaceDN w:val="0"/>
              <w:spacing w:before="0" w:after="0" w:line="246" w:lineRule="exact"/>
              <w:ind w:firstLine="0"/>
              <w:jc w:val="both"/>
              <w:rPr>
                <w:rFonts w:hint="eastAsia" w:ascii="宋体" w:hAnsi="宋体" w:eastAsia="宋体"/>
                <w:color w:val="000000"/>
                <w:sz w:val="18"/>
                <w:szCs w:val="18"/>
              </w:rPr>
            </w:pPr>
          </w:p>
          <w:p w14:paraId="371DBFAD">
            <w:pPr>
              <w:wordWrap w:val="0"/>
              <w:autoSpaceDE w:val="0"/>
              <w:autoSpaceDN w:val="0"/>
              <w:spacing w:before="0" w:after="0" w:line="246" w:lineRule="exact"/>
              <w:ind w:firstLine="0"/>
              <w:jc w:val="both"/>
              <w:rPr>
                <w:rFonts w:hint="eastAsia" w:ascii="宋体" w:hAnsi="宋体" w:eastAsia="宋体"/>
                <w:color w:val="000000"/>
                <w:sz w:val="18"/>
                <w:szCs w:val="18"/>
              </w:rPr>
            </w:pPr>
          </w:p>
          <w:p w14:paraId="42E5AD87">
            <w:pPr>
              <w:wordWrap w:val="0"/>
              <w:autoSpaceDE w:val="0"/>
              <w:autoSpaceDN w:val="0"/>
              <w:spacing w:before="0" w:after="0" w:line="246" w:lineRule="exact"/>
              <w:ind w:firstLine="0"/>
              <w:jc w:val="both"/>
              <w:rPr>
                <w:rFonts w:hint="eastAsia" w:ascii="宋体" w:hAnsi="宋体" w:eastAsia="宋体"/>
                <w:color w:val="000000"/>
                <w:sz w:val="18"/>
                <w:szCs w:val="18"/>
              </w:rPr>
            </w:pPr>
          </w:p>
          <w:p w14:paraId="65DB9AF1">
            <w:pPr>
              <w:wordWrap w:val="0"/>
              <w:autoSpaceDE w:val="0"/>
              <w:autoSpaceDN w:val="0"/>
              <w:spacing w:before="214" w:after="0" w:line="246" w:lineRule="exact"/>
              <w:ind w:left="80" w:leftChars="0" w:right="60" w:rightChars="0" w:firstLine="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责令限期整改，对个人并处</w:t>
            </w:r>
            <w:r>
              <w:rPr>
                <w:rFonts w:hint="eastAsia" w:ascii="Calibri" w:hAnsi="Calibri" w:eastAsia="Calibri"/>
                <w:color w:val="000000"/>
                <w:sz w:val="18"/>
                <w:szCs w:val="18"/>
              </w:rPr>
              <w:t>2000</w:t>
            </w:r>
            <w:r>
              <w:rPr>
                <w:rFonts w:hint="eastAsia" w:ascii="宋体" w:hAnsi="宋体" w:eastAsia="宋体"/>
                <w:color w:val="000000"/>
                <w:sz w:val="18"/>
                <w:szCs w:val="18"/>
              </w:rPr>
              <w:t>元以上</w:t>
            </w:r>
            <w:r>
              <w:rPr>
                <w:rFonts w:hint="eastAsia" w:ascii="Calibri" w:hAnsi="Calibri" w:eastAsia="Calibri"/>
                <w:color w:val="000000"/>
                <w:sz w:val="18"/>
                <w:szCs w:val="18"/>
              </w:rPr>
              <w:t>4000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4</w:t>
            </w:r>
            <w:r>
              <w:rPr>
                <w:rFonts w:hint="eastAsia" w:ascii="宋体" w:hAnsi="宋体" w:eastAsia="宋体"/>
                <w:color w:val="000000"/>
                <w:sz w:val="18"/>
                <w:szCs w:val="18"/>
              </w:rPr>
              <w:t>万元以下罚款</w:t>
            </w:r>
          </w:p>
        </w:tc>
      </w:tr>
      <w:tr w14:paraId="631D438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986" w:hRule="atLeast"/>
        </w:trPr>
        <w:tc>
          <w:tcPr>
            <w:tcW w:w="1184" w:type="dxa"/>
            <w:vMerge w:val="continue"/>
            <w:tcBorders>
              <w:left w:val="single" w:color="000000" w:sz="4" w:space="0"/>
              <w:bottom w:val="single" w:color="000000" w:sz="4" w:space="0"/>
              <w:right w:val="single" w:color="000000" w:sz="4" w:space="0"/>
            </w:tcBorders>
          </w:tcPr>
          <w:p w14:paraId="0FC082BF">
            <w:pPr>
              <w:rPr>
                <w:sz w:val="18"/>
                <w:szCs w:val="18"/>
              </w:rPr>
            </w:pPr>
          </w:p>
        </w:tc>
        <w:tc>
          <w:tcPr>
            <w:tcW w:w="5917" w:type="dxa"/>
            <w:tcBorders>
              <w:top w:val="single" w:color="000000" w:sz="4" w:space="0"/>
              <w:left w:val="single" w:color="000000" w:sz="4" w:space="0"/>
              <w:bottom w:val="single" w:color="000000" w:sz="4" w:space="0"/>
              <w:right w:val="single" w:color="000000" w:sz="4" w:space="0"/>
            </w:tcBorders>
            <w:shd w:val="clear" w:color="auto" w:fill="auto"/>
            <w:vAlign w:val="top"/>
          </w:tcPr>
          <w:p w14:paraId="5C296360">
            <w:pPr>
              <w:wordWrap w:val="0"/>
              <w:autoSpaceDE w:val="0"/>
              <w:autoSpaceDN w:val="0"/>
              <w:spacing w:before="73" w:after="0" w:line="246"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）人防工程出现</w:t>
            </w:r>
            <w:r>
              <w:rPr>
                <w:rFonts w:hint="eastAsia" w:ascii="Calibri" w:hAnsi="Calibri" w:eastAsia="Calibri"/>
                <w:color w:val="000000"/>
                <w:sz w:val="18"/>
                <w:szCs w:val="18"/>
              </w:rPr>
              <w:t>5</w:t>
            </w:r>
            <w:r>
              <w:rPr>
                <w:rFonts w:hint="eastAsia" w:ascii="宋体" w:hAnsi="宋体" w:eastAsia="宋体"/>
                <w:color w:val="000000"/>
                <w:sz w:val="18"/>
                <w:szCs w:val="18"/>
              </w:rPr>
              <w:t>处以上渗漏水现象</w:t>
            </w:r>
          </w:p>
          <w:p w14:paraId="7F77F2BD">
            <w:pPr>
              <w:wordWrap w:val="0"/>
              <w:autoSpaceDE w:val="0"/>
              <w:autoSpaceDN w:val="0"/>
              <w:spacing w:before="93" w:after="0" w:line="246"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）防护设施设备损害严重、出现丢失现象</w:t>
            </w:r>
          </w:p>
          <w:p w14:paraId="6292E737">
            <w:pPr>
              <w:wordWrap w:val="0"/>
              <w:autoSpaceDE w:val="0"/>
              <w:autoSpaceDN w:val="0"/>
              <w:spacing w:before="63" w:after="0" w:line="246" w:lineRule="exact"/>
              <w:ind w:left="100" w:right="6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）一个防护单元内出现</w:t>
            </w:r>
            <w:r>
              <w:rPr>
                <w:rFonts w:hint="eastAsia" w:ascii="Calibri" w:hAnsi="Calibri" w:eastAsia="Calibri"/>
                <w:color w:val="000000"/>
                <w:sz w:val="18"/>
                <w:szCs w:val="18"/>
              </w:rPr>
              <w:t>5</w:t>
            </w:r>
            <w:r>
              <w:rPr>
                <w:rFonts w:hint="eastAsia" w:ascii="宋体" w:hAnsi="宋体" w:eastAsia="宋体"/>
                <w:color w:val="000000"/>
                <w:sz w:val="18"/>
                <w:szCs w:val="18"/>
              </w:rPr>
              <w:t>樘以上防护设备（包括门类、超压排气活门、悬板活门）无法正常启闭或复位</w:t>
            </w:r>
          </w:p>
          <w:p w14:paraId="3EF33B06">
            <w:pPr>
              <w:wordWrap w:val="0"/>
              <w:autoSpaceDE w:val="0"/>
              <w:autoSpaceDN w:val="0"/>
              <w:spacing w:before="73" w:after="0" w:line="246" w:lineRule="exact"/>
              <w:ind w:left="100" w:right="6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4</w:t>
            </w:r>
            <w:r>
              <w:rPr>
                <w:rFonts w:hint="eastAsia" w:ascii="宋体" w:hAnsi="宋体" w:eastAsia="宋体"/>
                <w:color w:val="000000"/>
                <w:sz w:val="18"/>
                <w:szCs w:val="18"/>
              </w:rPr>
              <w:t>）一个防护单元内出现</w:t>
            </w:r>
            <w:r>
              <w:rPr>
                <w:rFonts w:hint="eastAsia" w:ascii="Calibri" w:hAnsi="Calibri" w:eastAsia="Calibri"/>
                <w:color w:val="000000"/>
                <w:sz w:val="18"/>
                <w:szCs w:val="18"/>
              </w:rPr>
              <w:t>5</w:t>
            </w:r>
            <w:r>
              <w:rPr>
                <w:rFonts w:hint="eastAsia" w:ascii="宋体" w:hAnsi="宋体" w:eastAsia="宋体"/>
                <w:color w:val="000000"/>
                <w:sz w:val="18"/>
                <w:szCs w:val="18"/>
              </w:rPr>
              <w:t>樘以上防护设备预制件缺失或零部件缺失等问题</w:t>
            </w:r>
          </w:p>
          <w:p w14:paraId="4CA733F5">
            <w:pPr>
              <w:wordWrap w:val="0"/>
              <w:autoSpaceDE w:val="0"/>
              <w:autoSpaceDN w:val="0"/>
              <w:spacing w:before="73" w:after="0" w:line="246" w:lineRule="exact"/>
              <w:ind w:left="120" w:right="12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）一个防护单元内出现</w:t>
            </w:r>
            <w:r>
              <w:rPr>
                <w:rFonts w:hint="eastAsia" w:ascii="Calibri" w:hAnsi="Calibri" w:eastAsia="Calibri"/>
                <w:color w:val="000000"/>
                <w:sz w:val="18"/>
                <w:szCs w:val="18"/>
              </w:rPr>
              <w:t>5</w:t>
            </w:r>
            <w:r>
              <w:rPr>
                <w:rFonts w:hint="eastAsia" w:ascii="宋体" w:hAnsi="宋体" w:eastAsia="宋体"/>
                <w:color w:val="000000"/>
                <w:sz w:val="18"/>
                <w:szCs w:val="18"/>
              </w:rPr>
              <w:t>樘以上防护设备活门槛安装孔堵塞、门扇缺固定和支撑等问题</w:t>
            </w:r>
          </w:p>
          <w:p w14:paraId="7C930AB2">
            <w:pPr>
              <w:wordWrap w:val="0"/>
              <w:autoSpaceDE w:val="0"/>
              <w:autoSpaceDN w:val="0"/>
              <w:spacing w:before="73" w:after="0" w:line="246" w:lineRule="exact"/>
              <w:ind w:firstLine="18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6</w:t>
            </w:r>
            <w:r>
              <w:rPr>
                <w:rFonts w:hint="eastAsia" w:ascii="宋体" w:hAnsi="宋体" w:eastAsia="宋体"/>
                <w:color w:val="000000"/>
                <w:sz w:val="18"/>
                <w:szCs w:val="18"/>
              </w:rPr>
              <w:t>）战时风机损坏</w:t>
            </w:r>
          </w:p>
          <w:p w14:paraId="1724458A">
            <w:pPr>
              <w:wordWrap w:val="0"/>
              <w:autoSpaceDE w:val="0"/>
              <w:autoSpaceDN w:val="0"/>
              <w:spacing w:before="0" w:after="0" w:line="246" w:lineRule="exact"/>
              <w:ind w:firstLine="16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w:t>
            </w:r>
            <w:r>
              <w:rPr>
                <w:rFonts w:hint="eastAsia" w:ascii="Calibri" w:hAnsi="Calibri" w:eastAsia="Calibri"/>
                <w:color w:val="000000"/>
                <w:sz w:val="18"/>
                <w:szCs w:val="18"/>
              </w:rPr>
              <w:t>7</w:t>
            </w:r>
            <w:r>
              <w:rPr>
                <w:rFonts w:hint="eastAsia" w:ascii="宋体" w:hAnsi="宋体" w:eastAsia="宋体"/>
                <w:color w:val="000000"/>
                <w:sz w:val="18"/>
                <w:szCs w:val="18"/>
              </w:rPr>
              <w:t>）拒不改正违法行为，情节恶劣的</w:t>
            </w:r>
          </w:p>
        </w:tc>
        <w:tc>
          <w:tcPr>
            <w:tcW w:w="1063" w:type="dxa"/>
            <w:vMerge w:val="continue"/>
            <w:tcBorders>
              <w:left w:val="single" w:color="000000" w:sz="4" w:space="0"/>
              <w:bottom w:val="single" w:color="000000" w:sz="4" w:space="0"/>
              <w:right w:val="single" w:color="000000" w:sz="4" w:space="0"/>
            </w:tcBorders>
          </w:tcPr>
          <w:p w14:paraId="455B95A3">
            <w:pPr>
              <w:rPr>
                <w:sz w:val="18"/>
                <w:szCs w:val="18"/>
              </w:rPr>
            </w:pP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top"/>
          </w:tcPr>
          <w:p w14:paraId="37C18425">
            <w:pPr>
              <w:wordWrap w:val="0"/>
              <w:autoSpaceDE w:val="0"/>
              <w:autoSpaceDN w:val="0"/>
              <w:spacing w:before="0" w:after="0" w:line="246" w:lineRule="exact"/>
              <w:ind w:firstLine="0"/>
              <w:jc w:val="both"/>
              <w:rPr>
                <w:rFonts w:hint="eastAsia" w:ascii="宋体" w:hAnsi="宋体" w:eastAsia="宋体"/>
                <w:color w:val="000000"/>
                <w:sz w:val="18"/>
                <w:szCs w:val="18"/>
              </w:rPr>
            </w:pPr>
          </w:p>
          <w:p w14:paraId="2CEB804F">
            <w:pPr>
              <w:wordWrap w:val="0"/>
              <w:autoSpaceDE w:val="0"/>
              <w:autoSpaceDN w:val="0"/>
              <w:spacing w:before="0" w:after="0" w:line="246" w:lineRule="exact"/>
              <w:ind w:firstLine="0"/>
              <w:jc w:val="both"/>
              <w:rPr>
                <w:rFonts w:hint="eastAsia" w:ascii="宋体" w:hAnsi="宋体" w:eastAsia="宋体"/>
                <w:color w:val="000000"/>
                <w:sz w:val="18"/>
                <w:szCs w:val="18"/>
              </w:rPr>
            </w:pPr>
          </w:p>
          <w:p w14:paraId="10710DF9">
            <w:pPr>
              <w:wordWrap w:val="0"/>
              <w:autoSpaceDE w:val="0"/>
              <w:autoSpaceDN w:val="0"/>
              <w:spacing w:before="0" w:after="0" w:line="246" w:lineRule="exact"/>
              <w:ind w:firstLine="0"/>
              <w:jc w:val="both"/>
              <w:rPr>
                <w:rFonts w:hint="eastAsia" w:ascii="宋体" w:hAnsi="宋体" w:eastAsia="宋体"/>
                <w:color w:val="000000"/>
                <w:sz w:val="18"/>
                <w:szCs w:val="18"/>
              </w:rPr>
            </w:pPr>
          </w:p>
          <w:p w14:paraId="329E8D14">
            <w:pPr>
              <w:wordWrap w:val="0"/>
              <w:autoSpaceDE w:val="0"/>
              <w:autoSpaceDN w:val="0"/>
              <w:spacing w:before="0" w:after="0" w:line="246" w:lineRule="exact"/>
              <w:ind w:firstLine="0"/>
              <w:jc w:val="both"/>
              <w:rPr>
                <w:rFonts w:hint="eastAsia" w:ascii="宋体" w:hAnsi="宋体" w:eastAsia="宋体"/>
                <w:color w:val="000000"/>
                <w:sz w:val="18"/>
                <w:szCs w:val="18"/>
              </w:rPr>
            </w:pPr>
          </w:p>
          <w:p w14:paraId="1719C82F">
            <w:pPr>
              <w:wordWrap w:val="0"/>
              <w:autoSpaceDE w:val="0"/>
              <w:autoSpaceDN w:val="0"/>
              <w:spacing w:before="0" w:after="0" w:line="246" w:lineRule="exact"/>
              <w:ind w:firstLine="0"/>
              <w:jc w:val="both"/>
              <w:rPr>
                <w:rFonts w:hint="eastAsia" w:ascii="宋体" w:hAnsi="宋体" w:eastAsia="宋体"/>
                <w:color w:val="000000"/>
                <w:sz w:val="18"/>
                <w:szCs w:val="18"/>
              </w:rPr>
            </w:pPr>
          </w:p>
          <w:p w14:paraId="4075F149">
            <w:pPr>
              <w:wordWrap w:val="0"/>
              <w:autoSpaceDE w:val="0"/>
              <w:autoSpaceDN w:val="0"/>
              <w:spacing w:before="147" w:after="0" w:line="246" w:lineRule="exact"/>
              <w:ind w:left="80" w:leftChars="0" w:right="60" w:rightChars="0" w:firstLine="2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责令限期整改，对个人并处</w:t>
            </w:r>
            <w:r>
              <w:rPr>
                <w:rFonts w:hint="eastAsia" w:ascii="Calibri" w:hAnsi="Calibri" w:eastAsia="Calibri"/>
                <w:color w:val="000000"/>
                <w:sz w:val="18"/>
                <w:szCs w:val="18"/>
              </w:rPr>
              <w:t>4000</w:t>
            </w:r>
            <w:r>
              <w:rPr>
                <w:rFonts w:hint="eastAsia" w:ascii="宋体" w:hAnsi="宋体" w:eastAsia="宋体"/>
                <w:color w:val="000000"/>
                <w:sz w:val="18"/>
                <w:szCs w:val="18"/>
              </w:rPr>
              <w:t>元以上</w:t>
            </w:r>
            <w:r>
              <w:rPr>
                <w:rFonts w:hint="eastAsia" w:ascii="Calibri" w:hAnsi="Calibri" w:eastAsia="Calibri"/>
                <w:color w:val="000000"/>
                <w:sz w:val="18"/>
                <w:szCs w:val="18"/>
              </w:rPr>
              <w:t>5000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4</w:t>
            </w:r>
            <w:r>
              <w:rPr>
                <w:rFonts w:hint="eastAsia" w:ascii="宋体" w:hAnsi="宋体" w:eastAsia="宋体"/>
                <w:color w:val="000000"/>
                <w:sz w:val="18"/>
                <w:szCs w:val="18"/>
              </w:rPr>
              <w:t>万元以上</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bl>
    <w:p w14:paraId="6DE75730">
      <w:pPr>
        <w:rPr>
          <w:sz w:val="18"/>
          <w:szCs w:val="18"/>
        </w:rPr>
      </w:pPr>
    </w:p>
    <w:p w14:paraId="0B796327">
      <w:pPr>
        <w:rPr>
          <w:sz w:val="18"/>
          <w:szCs w:val="18"/>
        </w:rPr>
      </w:pPr>
    </w:p>
    <w:p w14:paraId="6016A9FC">
      <w:pPr>
        <w:rPr>
          <w:sz w:val="18"/>
          <w:szCs w:val="18"/>
        </w:rPr>
      </w:pPr>
    </w:p>
    <w:p w14:paraId="723ED9EF">
      <w:pPr>
        <w:rPr>
          <w:sz w:val="18"/>
          <w:szCs w:val="18"/>
        </w:rPr>
      </w:pPr>
    </w:p>
    <w:p w14:paraId="0D90A955">
      <w:pPr>
        <w:rPr>
          <w:sz w:val="18"/>
          <w:szCs w:val="18"/>
        </w:rPr>
      </w:pPr>
    </w:p>
    <w:p w14:paraId="52AE16EB">
      <w:pPr>
        <w:rPr>
          <w:sz w:val="18"/>
          <w:szCs w:val="18"/>
        </w:rPr>
      </w:pPr>
    </w:p>
    <w:p w14:paraId="41BAA728">
      <w:pPr>
        <w:rPr>
          <w:sz w:val="18"/>
          <w:szCs w:val="18"/>
        </w:rPr>
      </w:pPr>
    </w:p>
    <w:tbl>
      <w:tblPr>
        <w:tblStyle w:val="15"/>
        <w:tblW w:w="0" w:type="auto"/>
        <w:tblInd w:w="16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3"/>
        <w:gridCol w:w="5921"/>
        <w:gridCol w:w="1041"/>
        <w:gridCol w:w="5663"/>
      </w:tblGrid>
      <w:tr w14:paraId="01CC60D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D91F32B">
            <w:pPr>
              <w:wordWrap w:val="0"/>
              <w:autoSpaceDE w:val="0"/>
              <w:autoSpaceDN w:val="0"/>
              <w:spacing w:before="53" w:after="0" w:line="246" w:lineRule="exact"/>
              <w:ind w:firstLine="320"/>
              <w:jc w:val="both"/>
              <w:rPr>
                <w:sz w:val="18"/>
                <w:szCs w:val="18"/>
              </w:rPr>
            </w:pPr>
            <w:r>
              <w:rPr>
                <w:rFonts w:hint="eastAsia" w:ascii="宋体" w:hAnsi="宋体" w:eastAsia="宋体"/>
                <w:color w:val="000000"/>
                <w:sz w:val="18"/>
                <w:szCs w:val="18"/>
              </w:rPr>
              <w:t>序号</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450DF3C7">
            <w:pPr>
              <w:wordWrap w:val="0"/>
              <w:autoSpaceDE w:val="0"/>
              <w:autoSpaceDN w:val="0"/>
              <w:spacing w:before="80" w:after="0" w:line="246" w:lineRule="exact"/>
              <w:ind w:firstLine="60"/>
              <w:jc w:val="both"/>
              <w:rPr>
                <w:rFonts w:hint="eastAsia" w:eastAsia="宋体"/>
                <w:sz w:val="18"/>
                <w:szCs w:val="18"/>
                <w:lang w:val="en-US" w:eastAsia="zh-CN"/>
              </w:rPr>
            </w:pPr>
            <w:r>
              <w:rPr>
                <w:rFonts w:hint="eastAsia" w:ascii="Calibri" w:hAnsi="Calibri" w:eastAsia="Calibri"/>
                <w:color w:val="000000"/>
                <w:sz w:val="18"/>
                <w:szCs w:val="18"/>
              </w:rPr>
              <w:t>2</w:t>
            </w:r>
            <w:r>
              <w:rPr>
                <w:rFonts w:hint="eastAsia" w:ascii="Calibri" w:hAnsi="Calibri"/>
                <w:color w:val="000000"/>
                <w:sz w:val="18"/>
                <w:szCs w:val="18"/>
                <w:lang w:val="en-US" w:eastAsia="zh-CN"/>
              </w:rPr>
              <w:t>6</w:t>
            </w:r>
          </w:p>
        </w:tc>
      </w:tr>
      <w:tr w14:paraId="504CB82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72CA35E0">
            <w:pPr>
              <w:wordWrap w:val="0"/>
              <w:autoSpaceDE w:val="0"/>
              <w:autoSpaceDN w:val="0"/>
              <w:spacing w:before="13" w:after="0" w:line="246" w:lineRule="exact"/>
              <w:ind w:firstLine="320"/>
              <w:jc w:val="both"/>
              <w:rPr>
                <w:sz w:val="18"/>
                <w:szCs w:val="18"/>
              </w:rPr>
            </w:pPr>
            <w:r>
              <w:rPr>
                <w:rFonts w:hint="eastAsia" w:ascii="宋体" w:hAnsi="宋体" w:eastAsia="宋体"/>
                <w:color w:val="000000"/>
                <w:sz w:val="18"/>
                <w:szCs w:val="18"/>
              </w:rPr>
              <w:t>编号</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7DA60F47">
            <w:pPr>
              <w:wordWrap w:val="0"/>
              <w:autoSpaceDE w:val="0"/>
              <w:autoSpaceDN w:val="0"/>
              <w:spacing w:before="60" w:after="0" w:line="246" w:lineRule="exact"/>
              <w:ind w:firstLine="60"/>
              <w:jc w:val="both"/>
              <w:rPr>
                <w:sz w:val="18"/>
                <w:szCs w:val="18"/>
              </w:rPr>
            </w:pPr>
            <w:r>
              <w:rPr>
                <w:rFonts w:hint="eastAsia" w:ascii="Calibri" w:hAnsi="Calibri" w:eastAsia="Calibri"/>
                <w:color w:val="000000"/>
                <w:sz w:val="18"/>
                <w:szCs w:val="18"/>
              </w:rPr>
              <w:t>320280035000</w:t>
            </w:r>
          </w:p>
        </w:tc>
      </w:tr>
      <w:tr w14:paraId="48D756F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00F1EC08">
            <w:pPr>
              <w:wordWrap w:val="0"/>
              <w:autoSpaceDE w:val="0"/>
              <w:autoSpaceDN w:val="0"/>
              <w:spacing w:before="13" w:after="0" w:line="246" w:lineRule="exact"/>
              <w:ind w:firstLine="200"/>
              <w:jc w:val="both"/>
              <w:rPr>
                <w:sz w:val="18"/>
                <w:szCs w:val="18"/>
              </w:rPr>
            </w:pPr>
            <w:r>
              <w:rPr>
                <w:rFonts w:hint="eastAsia" w:ascii="宋体" w:hAnsi="宋体" w:eastAsia="宋体"/>
                <w:color w:val="000000"/>
                <w:sz w:val="18"/>
                <w:szCs w:val="18"/>
              </w:rPr>
              <w:t>行为名称</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13A67B34">
            <w:pPr>
              <w:wordWrap w:val="0"/>
              <w:autoSpaceDE w:val="0"/>
              <w:autoSpaceDN w:val="0"/>
              <w:spacing w:before="40" w:after="0" w:line="246" w:lineRule="exact"/>
              <w:ind w:firstLine="80"/>
              <w:jc w:val="both"/>
              <w:rPr>
                <w:sz w:val="18"/>
                <w:szCs w:val="18"/>
              </w:rPr>
            </w:pPr>
            <w:r>
              <w:rPr>
                <w:rFonts w:hint="eastAsia" w:ascii="宋体" w:hAnsi="宋体" w:eastAsia="宋体"/>
                <w:color w:val="000000"/>
                <w:sz w:val="18"/>
                <w:szCs w:val="18"/>
              </w:rPr>
              <w:t>对将平时用作停车位的人民防空工程不向业主开放、出租停车位的租赁期限超过三年或者将停车位出售、附赠的处罚</w:t>
            </w:r>
          </w:p>
        </w:tc>
      </w:tr>
      <w:tr w14:paraId="3E8CB80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46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3711A747">
            <w:pPr>
              <w:wordWrap w:val="0"/>
              <w:autoSpaceDE w:val="0"/>
              <w:autoSpaceDN w:val="0"/>
              <w:spacing w:before="0" w:after="0" w:line="246" w:lineRule="exact"/>
              <w:ind w:firstLine="0"/>
              <w:jc w:val="both"/>
              <w:rPr>
                <w:rFonts w:hint="eastAsia" w:ascii="宋体" w:hAnsi="宋体" w:eastAsia="宋体"/>
                <w:color w:val="000000"/>
                <w:sz w:val="18"/>
                <w:szCs w:val="18"/>
              </w:rPr>
            </w:pPr>
          </w:p>
          <w:p w14:paraId="0876BC86">
            <w:pPr>
              <w:wordWrap w:val="0"/>
              <w:autoSpaceDE w:val="0"/>
              <w:autoSpaceDN w:val="0"/>
              <w:spacing w:before="0" w:after="0" w:line="246" w:lineRule="exact"/>
              <w:ind w:firstLine="0"/>
              <w:jc w:val="both"/>
              <w:rPr>
                <w:rFonts w:hint="eastAsia" w:ascii="宋体" w:hAnsi="宋体" w:eastAsia="宋体"/>
                <w:color w:val="000000"/>
                <w:sz w:val="18"/>
                <w:szCs w:val="18"/>
              </w:rPr>
            </w:pPr>
          </w:p>
          <w:p w14:paraId="07761B15">
            <w:pPr>
              <w:wordWrap w:val="0"/>
              <w:autoSpaceDE w:val="0"/>
              <w:autoSpaceDN w:val="0"/>
              <w:spacing w:before="167" w:after="0" w:line="246" w:lineRule="exact"/>
              <w:ind w:firstLine="220"/>
              <w:jc w:val="both"/>
              <w:rPr>
                <w:sz w:val="18"/>
                <w:szCs w:val="18"/>
              </w:rPr>
            </w:pPr>
            <w:r>
              <w:rPr>
                <w:rFonts w:hint="eastAsia" w:ascii="宋体" w:hAnsi="宋体" w:eastAsia="宋体"/>
                <w:color w:val="000000"/>
                <w:sz w:val="18"/>
                <w:szCs w:val="18"/>
              </w:rPr>
              <w:t>法律依据</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100DD9E4">
            <w:pPr>
              <w:wordWrap w:val="0"/>
              <w:autoSpaceDE w:val="0"/>
              <w:autoSpaceDN w:val="0"/>
              <w:spacing w:before="93" w:after="0" w:line="246" w:lineRule="exact"/>
              <w:ind w:firstLine="120"/>
              <w:jc w:val="both"/>
              <w:rPr>
                <w:sz w:val="18"/>
                <w:szCs w:val="18"/>
              </w:rPr>
            </w:pPr>
            <w:r>
              <w:rPr>
                <w:rFonts w:hint="eastAsia" w:ascii="宋体" w:hAnsi="宋体" w:eastAsia="宋体"/>
                <w:color w:val="000000"/>
                <w:sz w:val="18"/>
                <w:szCs w:val="18"/>
              </w:rPr>
              <w:t>【地方性法规】《江苏省物业管理条例》</w:t>
            </w:r>
          </w:p>
          <w:p w14:paraId="50B72E15">
            <w:pPr>
              <w:wordWrap w:val="0"/>
              <w:autoSpaceDE w:val="0"/>
              <w:autoSpaceDN w:val="0"/>
              <w:spacing w:before="53" w:after="0" w:line="246" w:lineRule="exact"/>
              <w:ind w:left="80" w:right="60" w:firstLine="440"/>
              <w:jc w:val="both"/>
              <w:rPr>
                <w:sz w:val="18"/>
                <w:szCs w:val="18"/>
              </w:rPr>
            </w:pPr>
            <w:r>
              <w:rPr>
                <w:rFonts w:hint="eastAsia" w:ascii="宋体" w:hAnsi="宋体" w:eastAsia="宋体"/>
                <w:color w:val="000000"/>
                <w:sz w:val="18"/>
                <w:szCs w:val="18"/>
              </w:rPr>
              <w:t>第六十七条第二款 物业管理区域内依法配建的人民防空工程平时用作停车位的，应当向业主开放，出租的租赁期限不得超过三年，不得将停车位出售、附赠。</w:t>
            </w:r>
          </w:p>
          <w:p w14:paraId="5C53C8F0">
            <w:pPr>
              <w:wordWrap w:val="0"/>
              <w:autoSpaceDE w:val="0"/>
              <w:autoSpaceDN w:val="0"/>
              <w:spacing w:before="0" w:after="0" w:line="246" w:lineRule="exact"/>
              <w:ind w:left="60" w:right="60" w:firstLine="440"/>
              <w:jc w:val="both"/>
              <w:rPr>
                <w:sz w:val="18"/>
                <w:szCs w:val="18"/>
              </w:rPr>
            </w:pPr>
            <w:r>
              <w:rPr>
                <w:rFonts w:hint="eastAsia" w:ascii="宋体" w:hAnsi="宋体" w:eastAsia="宋体"/>
                <w:color w:val="000000"/>
                <w:sz w:val="18"/>
                <w:szCs w:val="18"/>
              </w:rPr>
              <w:t>第九十条 违反本条例第六十七条第二款规定，将平时用作停车位的人民防空工程不向业主开放、出租停车位的租赁期限超过三年或者将停车位出售、附赠的，由县级以上民防行政主管部门责令限期改正，没收违法所得；逾期不改正的，处五万元以上二十万元以下罚款。</w:t>
            </w:r>
          </w:p>
        </w:tc>
      </w:tr>
      <w:tr w14:paraId="2F55E35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0529A31F">
            <w:pPr>
              <w:wordWrap w:val="0"/>
              <w:autoSpaceDE w:val="0"/>
              <w:autoSpaceDN w:val="0"/>
              <w:spacing w:before="53" w:after="0" w:line="246" w:lineRule="exact"/>
              <w:ind w:firstLine="220"/>
              <w:jc w:val="both"/>
              <w:rPr>
                <w:sz w:val="18"/>
                <w:szCs w:val="18"/>
              </w:rPr>
            </w:pPr>
            <w:r>
              <w:rPr>
                <w:rFonts w:hint="eastAsia" w:ascii="宋体" w:hAnsi="宋体" w:eastAsia="宋体"/>
                <w:color w:val="000000"/>
                <w:sz w:val="18"/>
                <w:szCs w:val="18"/>
              </w:rPr>
              <w:t>处罚种类</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5CC504F5">
            <w:pPr>
              <w:wordWrap w:val="0"/>
              <w:autoSpaceDE w:val="0"/>
              <w:autoSpaceDN w:val="0"/>
              <w:spacing w:before="80" w:after="0" w:line="246" w:lineRule="exact"/>
              <w:ind w:firstLine="60"/>
              <w:jc w:val="both"/>
              <w:rPr>
                <w:sz w:val="18"/>
                <w:szCs w:val="18"/>
              </w:rPr>
            </w:pPr>
            <w:r>
              <w:rPr>
                <w:rFonts w:hint="eastAsia" w:ascii="宋体" w:hAnsi="宋体" w:eastAsia="宋体"/>
                <w:color w:val="000000"/>
                <w:sz w:val="18"/>
                <w:szCs w:val="18"/>
              </w:rPr>
              <w:t>没收违法所得、罚款</w:t>
            </w:r>
          </w:p>
        </w:tc>
      </w:tr>
      <w:tr w14:paraId="33F5CA1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4120" w:type="dxa"/>
            <w:gridSpan w:val="4"/>
            <w:tcBorders>
              <w:top w:val="single" w:color="000000" w:sz="4" w:space="0"/>
              <w:left w:val="single" w:color="000000" w:sz="4" w:space="0"/>
              <w:bottom w:val="single" w:color="000000" w:sz="4" w:space="0"/>
              <w:right w:val="single" w:color="000000" w:sz="4" w:space="0"/>
            </w:tcBorders>
            <w:vAlign w:val="top"/>
          </w:tcPr>
          <w:p w14:paraId="0F134C0E">
            <w:pPr>
              <w:wordWrap w:val="0"/>
              <w:autoSpaceDE w:val="0"/>
              <w:autoSpaceDN w:val="0"/>
              <w:spacing w:before="73" w:after="0" w:line="246" w:lineRule="exact"/>
              <w:jc w:val="center"/>
              <w:rPr>
                <w:sz w:val="18"/>
                <w:szCs w:val="18"/>
              </w:rPr>
            </w:pPr>
            <w:r>
              <w:rPr>
                <w:rFonts w:hint="eastAsia" w:ascii="宋体" w:hAnsi="宋体" w:eastAsia="宋体"/>
                <w:color w:val="000000"/>
                <w:sz w:val="18"/>
                <w:szCs w:val="18"/>
              </w:rPr>
              <w:t>自由裁量基准</w:t>
            </w:r>
          </w:p>
        </w:tc>
      </w:tr>
      <w:tr w14:paraId="2EAEE5A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47513353">
            <w:pPr>
              <w:wordWrap w:val="0"/>
              <w:autoSpaceDE w:val="0"/>
              <w:autoSpaceDN w:val="0"/>
              <w:spacing w:before="0" w:after="0" w:line="246" w:lineRule="exact"/>
              <w:ind w:firstLine="0"/>
              <w:jc w:val="both"/>
              <w:rPr>
                <w:rFonts w:hint="eastAsia" w:ascii="宋体" w:hAnsi="宋体" w:eastAsia="宋体"/>
                <w:color w:val="000000"/>
                <w:sz w:val="18"/>
                <w:szCs w:val="18"/>
              </w:rPr>
            </w:pPr>
          </w:p>
          <w:p w14:paraId="7D33EB0D">
            <w:pPr>
              <w:wordWrap w:val="0"/>
              <w:autoSpaceDE w:val="0"/>
              <w:autoSpaceDN w:val="0"/>
              <w:spacing w:before="0" w:after="0" w:line="246" w:lineRule="exact"/>
              <w:ind w:firstLine="0"/>
              <w:jc w:val="both"/>
              <w:rPr>
                <w:rFonts w:hint="eastAsia" w:ascii="宋体" w:hAnsi="宋体" w:eastAsia="宋体"/>
                <w:color w:val="000000"/>
                <w:sz w:val="18"/>
                <w:szCs w:val="18"/>
              </w:rPr>
            </w:pPr>
          </w:p>
          <w:p w14:paraId="6673B906">
            <w:pPr>
              <w:wordWrap w:val="0"/>
              <w:autoSpaceDE w:val="0"/>
              <w:autoSpaceDN w:val="0"/>
              <w:spacing w:before="0" w:after="0" w:line="246" w:lineRule="exact"/>
              <w:ind w:firstLine="0"/>
              <w:jc w:val="both"/>
              <w:rPr>
                <w:rFonts w:hint="eastAsia" w:ascii="宋体" w:hAnsi="宋体" w:eastAsia="宋体"/>
                <w:color w:val="000000"/>
                <w:sz w:val="18"/>
                <w:szCs w:val="18"/>
              </w:rPr>
            </w:pPr>
          </w:p>
          <w:p w14:paraId="0E731B23">
            <w:pPr>
              <w:wordWrap w:val="0"/>
              <w:autoSpaceDE w:val="0"/>
              <w:autoSpaceDN w:val="0"/>
              <w:spacing w:before="0" w:after="0" w:line="246" w:lineRule="exact"/>
              <w:ind w:firstLine="0"/>
              <w:jc w:val="both"/>
              <w:rPr>
                <w:rFonts w:hint="eastAsia" w:ascii="宋体" w:hAnsi="宋体" w:eastAsia="宋体"/>
                <w:color w:val="000000"/>
                <w:sz w:val="18"/>
                <w:szCs w:val="18"/>
              </w:rPr>
            </w:pPr>
          </w:p>
          <w:p w14:paraId="6AA73CFF">
            <w:pPr>
              <w:wordWrap w:val="0"/>
              <w:autoSpaceDE w:val="0"/>
              <w:autoSpaceDN w:val="0"/>
              <w:spacing w:before="0" w:after="0" w:line="246" w:lineRule="exact"/>
              <w:ind w:firstLine="0"/>
              <w:jc w:val="both"/>
              <w:rPr>
                <w:rFonts w:hint="eastAsia" w:ascii="宋体" w:hAnsi="宋体" w:eastAsia="宋体"/>
                <w:color w:val="000000"/>
                <w:sz w:val="18"/>
                <w:szCs w:val="18"/>
              </w:rPr>
            </w:pPr>
          </w:p>
          <w:p w14:paraId="1748B77A">
            <w:pPr>
              <w:wordWrap w:val="0"/>
              <w:autoSpaceDE w:val="0"/>
              <w:autoSpaceDN w:val="0"/>
              <w:spacing w:before="27" w:after="0" w:line="246" w:lineRule="exact"/>
              <w:ind w:firstLine="220"/>
              <w:jc w:val="both"/>
              <w:rPr>
                <w:sz w:val="18"/>
                <w:szCs w:val="18"/>
              </w:rPr>
            </w:pPr>
            <w:r>
              <w:rPr>
                <w:rFonts w:hint="eastAsia" w:ascii="宋体" w:hAnsi="宋体" w:eastAsia="宋体"/>
                <w:color w:val="000000"/>
                <w:sz w:val="18"/>
                <w:szCs w:val="18"/>
              </w:rPr>
              <w:t>情形描述</w:t>
            </w:r>
          </w:p>
        </w:tc>
        <w:tc>
          <w:tcPr>
            <w:tcW w:w="6060" w:type="dxa"/>
            <w:tcBorders>
              <w:top w:val="single" w:color="000000" w:sz="4" w:space="0"/>
              <w:left w:val="single" w:color="000000" w:sz="4" w:space="0"/>
              <w:bottom w:val="single" w:color="000000" w:sz="4" w:space="0"/>
              <w:right w:val="single" w:color="000000" w:sz="4" w:space="0"/>
            </w:tcBorders>
            <w:vAlign w:val="top"/>
          </w:tcPr>
          <w:p w14:paraId="47C102A6">
            <w:pPr>
              <w:wordWrap w:val="0"/>
              <w:autoSpaceDE w:val="0"/>
              <w:autoSpaceDN w:val="0"/>
              <w:spacing w:before="40" w:after="0" w:line="246" w:lineRule="exact"/>
              <w:ind w:left="80" w:right="20" w:firstLine="20"/>
              <w:jc w:val="both"/>
              <w:rPr>
                <w:sz w:val="18"/>
                <w:szCs w:val="18"/>
              </w:rPr>
            </w:pPr>
            <w:r>
              <w:rPr>
                <w:rFonts w:hint="eastAsia" w:ascii="宋体" w:hAnsi="宋体" w:eastAsia="宋体"/>
                <w:color w:val="000000"/>
                <w:sz w:val="18"/>
                <w:szCs w:val="18"/>
              </w:rPr>
              <w:t>当事人初次违法且积极配合，涉及人防车位</w:t>
            </w:r>
            <w:r>
              <w:rPr>
                <w:rFonts w:hint="eastAsia" w:ascii="Calibri" w:hAnsi="Calibri" w:eastAsia="Calibri"/>
                <w:color w:val="000000"/>
                <w:sz w:val="18"/>
                <w:szCs w:val="18"/>
              </w:rPr>
              <w:t>10</w:t>
            </w:r>
            <w:r>
              <w:rPr>
                <w:rFonts w:hint="eastAsia" w:ascii="宋体" w:hAnsi="宋体" w:eastAsia="宋体"/>
                <w:color w:val="000000"/>
                <w:sz w:val="18"/>
                <w:szCs w:val="18"/>
              </w:rPr>
              <w:t>个以下、按期改正，未造成不良影响的</w:t>
            </w:r>
          </w:p>
        </w:tc>
        <w:tc>
          <w:tcPr>
            <w:tcW w:w="1060" w:type="dxa"/>
            <w:tcBorders>
              <w:top w:val="single" w:color="000000" w:sz="4" w:space="0"/>
              <w:left w:val="single" w:color="000000" w:sz="4" w:space="0"/>
              <w:bottom w:val="single" w:color="000000" w:sz="4" w:space="0"/>
              <w:right w:val="single" w:color="000000" w:sz="4" w:space="0"/>
            </w:tcBorders>
            <w:vAlign w:val="center"/>
          </w:tcPr>
          <w:p w14:paraId="12A78044">
            <w:pPr>
              <w:wordWrap w:val="0"/>
              <w:autoSpaceDE w:val="0"/>
              <w:autoSpaceDN w:val="0"/>
              <w:spacing w:before="0" w:after="0" w:line="272" w:lineRule="exact"/>
              <w:jc w:val="center"/>
              <w:rPr>
                <w:rFonts w:hint="eastAsia" w:ascii="宋体" w:hAnsi="宋体" w:eastAsia="宋体"/>
                <w:color w:val="000000"/>
                <w:sz w:val="18"/>
                <w:szCs w:val="18"/>
              </w:rPr>
            </w:pPr>
          </w:p>
        </w:tc>
        <w:tc>
          <w:tcPr>
            <w:tcW w:w="5800" w:type="dxa"/>
            <w:tcBorders>
              <w:top w:val="single" w:color="000000" w:sz="4" w:space="0"/>
              <w:left w:val="single" w:color="000000" w:sz="4" w:space="0"/>
              <w:bottom w:val="single" w:color="000000" w:sz="4" w:space="0"/>
              <w:right w:val="single" w:color="000000" w:sz="4" w:space="0"/>
            </w:tcBorders>
            <w:vAlign w:val="top"/>
          </w:tcPr>
          <w:p w14:paraId="6CADDA56">
            <w:pPr>
              <w:wordWrap w:val="0"/>
              <w:autoSpaceDE w:val="0"/>
              <w:autoSpaceDN w:val="0"/>
              <w:spacing w:before="200" w:after="0" w:line="246" w:lineRule="exact"/>
              <w:ind w:firstLine="100"/>
              <w:jc w:val="both"/>
              <w:rPr>
                <w:sz w:val="18"/>
                <w:szCs w:val="18"/>
              </w:rPr>
            </w:pPr>
            <w:r>
              <w:rPr>
                <w:rFonts w:hint="eastAsia" w:ascii="宋体" w:hAnsi="宋体" w:eastAsia="宋体"/>
                <w:color w:val="000000"/>
                <w:sz w:val="18"/>
                <w:szCs w:val="18"/>
              </w:rPr>
              <w:t>不予处罚</w:t>
            </w:r>
          </w:p>
        </w:tc>
      </w:tr>
      <w:tr w14:paraId="11FA748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328C999A">
            <w:pPr>
              <w:rPr>
                <w:sz w:val="18"/>
                <w:szCs w:val="18"/>
              </w:rPr>
            </w:pPr>
          </w:p>
        </w:tc>
        <w:tc>
          <w:tcPr>
            <w:tcW w:w="6060" w:type="dxa"/>
            <w:tcBorders>
              <w:top w:val="single" w:color="000000" w:sz="4" w:space="0"/>
              <w:left w:val="single" w:color="000000" w:sz="4" w:space="0"/>
              <w:bottom w:val="single" w:color="000000" w:sz="4" w:space="0"/>
              <w:right w:val="single" w:color="000000" w:sz="4" w:space="0"/>
            </w:tcBorders>
            <w:vAlign w:val="top"/>
          </w:tcPr>
          <w:p w14:paraId="55BD3B9A">
            <w:pPr>
              <w:wordWrap w:val="0"/>
              <w:autoSpaceDE w:val="0"/>
              <w:autoSpaceDN w:val="0"/>
              <w:spacing w:before="60" w:after="0" w:line="246" w:lineRule="exact"/>
              <w:ind w:left="100" w:right="40" w:firstLine="20"/>
              <w:jc w:val="both"/>
              <w:rPr>
                <w:sz w:val="18"/>
                <w:szCs w:val="18"/>
              </w:rPr>
            </w:pPr>
            <w:r>
              <w:rPr>
                <w:rFonts w:hint="eastAsia" w:ascii="宋体" w:hAnsi="宋体" w:eastAsia="宋体"/>
                <w:color w:val="000000"/>
                <w:sz w:val="18"/>
                <w:szCs w:val="18"/>
              </w:rPr>
              <w:t>当事人配合，涉及人防车位在</w:t>
            </w:r>
            <w:r>
              <w:rPr>
                <w:rFonts w:hint="eastAsia" w:ascii="Calibri" w:hAnsi="Calibri" w:eastAsia="Calibri"/>
                <w:color w:val="000000"/>
                <w:sz w:val="18"/>
                <w:szCs w:val="18"/>
              </w:rPr>
              <w:t>10</w:t>
            </w:r>
            <w:r>
              <w:rPr>
                <w:rFonts w:hint="eastAsia" w:ascii="宋体" w:hAnsi="宋体" w:eastAsia="宋体"/>
                <w:color w:val="000000"/>
                <w:sz w:val="18"/>
                <w:szCs w:val="18"/>
              </w:rPr>
              <w:t>个以下的，未能在限期内改正到位，未造成不良社会影响的</w:t>
            </w:r>
          </w:p>
        </w:tc>
        <w:tc>
          <w:tcPr>
            <w:tcW w:w="1060" w:type="dxa"/>
            <w:vMerge w:val="restart"/>
            <w:tcBorders>
              <w:top w:val="single" w:color="000000" w:sz="4" w:space="0"/>
              <w:left w:val="single" w:color="000000" w:sz="4" w:space="0"/>
              <w:bottom w:val="single" w:color="000000" w:sz="4" w:space="0"/>
              <w:right w:val="single" w:color="000000" w:sz="4" w:space="0"/>
            </w:tcBorders>
            <w:vAlign w:val="top"/>
          </w:tcPr>
          <w:p w14:paraId="17E3DA6D">
            <w:pPr>
              <w:wordWrap w:val="0"/>
              <w:autoSpaceDE w:val="0"/>
              <w:autoSpaceDN w:val="0"/>
              <w:spacing w:before="0" w:after="0" w:line="246" w:lineRule="exact"/>
              <w:ind w:firstLine="0"/>
              <w:jc w:val="both"/>
              <w:rPr>
                <w:rFonts w:hint="eastAsia" w:ascii="宋体" w:hAnsi="宋体" w:eastAsia="宋体"/>
                <w:color w:val="000000"/>
                <w:sz w:val="18"/>
                <w:szCs w:val="18"/>
              </w:rPr>
            </w:pPr>
          </w:p>
          <w:p w14:paraId="52BB189D">
            <w:pPr>
              <w:wordWrap w:val="0"/>
              <w:autoSpaceDE w:val="0"/>
              <w:autoSpaceDN w:val="0"/>
              <w:spacing w:before="0" w:after="0" w:line="246" w:lineRule="exact"/>
              <w:ind w:firstLine="0"/>
              <w:jc w:val="both"/>
              <w:rPr>
                <w:rFonts w:hint="eastAsia" w:ascii="宋体" w:hAnsi="宋体" w:eastAsia="宋体"/>
                <w:color w:val="000000"/>
                <w:sz w:val="18"/>
                <w:szCs w:val="18"/>
              </w:rPr>
            </w:pPr>
          </w:p>
          <w:p w14:paraId="24BF1AB7">
            <w:pPr>
              <w:wordWrap w:val="0"/>
              <w:autoSpaceDE w:val="0"/>
              <w:autoSpaceDN w:val="0"/>
              <w:spacing w:before="0" w:after="0" w:line="246" w:lineRule="exact"/>
              <w:ind w:firstLine="0"/>
              <w:jc w:val="both"/>
              <w:rPr>
                <w:rFonts w:hint="eastAsia" w:ascii="宋体" w:hAnsi="宋体" w:eastAsia="宋体"/>
                <w:color w:val="000000"/>
                <w:sz w:val="18"/>
                <w:szCs w:val="18"/>
              </w:rPr>
            </w:pPr>
          </w:p>
          <w:p w14:paraId="2D281E01">
            <w:pPr>
              <w:wordWrap w:val="0"/>
              <w:autoSpaceDE w:val="0"/>
              <w:autoSpaceDN w:val="0"/>
              <w:spacing w:before="220" w:after="0" w:line="246" w:lineRule="exact"/>
              <w:ind w:firstLine="100"/>
              <w:jc w:val="both"/>
              <w:rPr>
                <w:sz w:val="18"/>
                <w:szCs w:val="18"/>
              </w:rPr>
            </w:pPr>
            <w:r>
              <w:rPr>
                <w:rFonts w:hint="eastAsia" w:ascii="宋体" w:hAnsi="宋体" w:eastAsia="宋体"/>
                <w:color w:val="000000"/>
                <w:sz w:val="18"/>
                <w:szCs w:val="18"/>
              </w:rPr>
              <w:t>裁量幅度</w:t>
            </w:r>
          </w:p>
        </w:tc>
        <w:tc>
          <w:tcPr>
            <w:tcW w:w="5800" w:type="dxa"/>
            <w:tcBorders>
              <w:top w:val="single" w:color="000000" w:sz="4" w:space="0"/>
              <w:left w:val="single" w:color="000000" w:sz="4" w:space="0"/>
              <w:bottom w:val="single" w:color="000000" w:sz="4" w:space="0"/>
              <w:right w:val="single" w:color="000000" w:sz="4" w:space="0"/>
            </w:tcBorders>
            <w:vAlign w:val="top"/>
          </w:tcPr>
          <w:p w14:paraId="2EE5F951">
            <w:pPr>
              <w:wordWrap w:val="0"/>
              <w:autoSpaceDE w:val="0"/>
              <w:autoSpaceDN w:val="0"/>
              <w:spacing w:before="180" w:after="0" w:line="246" w:lineRule="exact"/>
              <w:ind w:firstLine="100"/>
              <w:jc w:val="both"/>
              <w:rPr>
                <w:sz w:val="18"/>
                <w:szCs w:val="18"/>
              </w:rPr>
            </w:pPr>
            <w:r>
              <w:rPr>
                <w:rFonts w:hint="eastAsia" w:ascii="宋体" w:hAnsi="宋体" w:eastAsia="宋体"/>
                <w:color w:val="000000"/>
                <w:sz w:val="18"/>
                <w:szCs w:val="18"/>
              </w:rPr>
              <w:t>处</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10</w:t>
            </w:r>
            <w:r>
              <w:rPr>
                <w:rFonts w:hint="eastAsia" w:ascii="宋体" w:hAnsi="宋体" w:eastAsia="宋体"/>
                <w:color w:val="000000"/>
                <w:sz w:val="18"/>
                <w:szCs w:val="18"/>
              </w:rPr>
              <w:t>万元以下罚款</w:t>
            </w:r>
          </w:p>
        </w:tc>
      </w:tr>
      <w:tr w14:paraId="0953B9B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40669090">
            <w:pPr>
              <w:rPr>
                <w:sz w:val="18"/>
                <w:szCs w:val="18"/>
              </w:rPr>
            </w:pPr>
          </w:p>
        </w:tc>
        <w:tc>
          <w:tcPr>
            <w:tcW w:w="6060" w:type="dxa"/>
            <w:tcBorders>
              <w:top w:val="single" w:color="000000" w:sz="4" w:space="0"/>
              <w:left w:val="single" w:color="000000" w:sz="4" w:space="0"/>
              <w:bottom w:val="single" w:color="000000" w:sz="4" w:space="0"/>
              <w:right w:val="single" w:color="000000" w:sz="4" w:space="0"/>
            </w:tcBorders>
            <w:vAlign w:val="top"/>
          </w:tcPr>
          <w:p w14:paraId="040E2F05">
            <w:pPr>
              <w:wordWrap w:val="0"/>
              <w:autoSpaceDE w:val="0"/>
              <w:autoSpaceDN w:val="0"/>
              <w:spacing w:before="60" w:after="0" w:line="246" w:lineRule="exact"/>
              <w:ind w:left="100" w:right="20" w:firstLine="20"/>
              <w:jc w:val="both"/>
              <w:rPr>
                <w:sz w:val="18"/>
                <w:szCs w:val="18"/>
              </w:rPr>
            </w:pPr>
            <w:r>
              <w:rPr>
                <w:rFonts w:hint="eastAsia" w:ascii="宋体" w:hAnsi="宋体" w:eastAsia="宋体"/>
                <w:color w:val="000000"/>
                <w:sz w:val="18"/>
                <w:szCs w:val="18"/>
              </w:rPr>
              <w:t>当事人配合，涉及人防车位超过</w:t>
            </w:r>
            <w:r>
              <w:rPr>
                <w:rFonts w:hint="eastAsia" w:ascii="Calibri" w:hAnsi="Calibri" w:eastAsia="Calibri"/>
                <w:color w:val="000000"/>
                <w:sz w:val="18"/>
                <w:szCs w:val="18"/>
              </w:rPr>
              <w:t>10</w:t>
            </w:r>
            <w:r>
              <w:rPr>
                <w:rFonts w:hint="eastAsia" w:ascii="宋体" w:hAnsi="宋体" w:eastAsia="宋体"/>
                <w:color w:val="000000"/>
                <w:sz w:val="18"/>
                <w:szCs w:val="18"/>
              </w:rPr>
              <w:t>个的，未能在限期内改正到位，未造成不良社会影响的</w:t>
            </w:r>
          </w:p>
        </w:tc>
        <w:tc>
          <w:tcPr>
            <w:tcW w:w="1060" w:type="dxa"/>
            <w:vMerge w:val="continue"/>
            <w:tcBorders>
              <w:top w:val="single" w:color="000000" w:sz="4" w:space="0"/>
              <w:left w:val="single" w:color="000000" w:sz="4" w:space="0"/>
              <w:bottom w:val="single" w:color="000000" w:sz="4" w:space="0"/>
              <w:right w:val="single" w:color="000000" w:sz="4" w:space="0"/>
            </w:tcBorders>
          </w:tcPr>
          <w:p w14:paraId="560B3272">
            <w:pPr>
              <w:rPr>
                <w:sz w:val="18"/>
                <w:szCs w:val="18"/>
              </w:rPr>
            </w:pPr>
          </w:p>
        </w:tc>
        <w:tc>
          <w:tcPr>
            <w:tcW w:w="5800" w:type="dxa"/>
            <w:tcBorders>
              <w:top w:val="single" w:color="000000" w:sz="4" w:space="0"/>
              <w:left w:val="single" w:color="000000" w:sz="4" w:space="0"/>
              <w:bottom w:val="single" w:color="000000" w:sz="4" w:space="0"/>
              <w:right w:val="single" w:color="000000" w:sz="4" w:space="0"/>
            </w:tcBorders>
            <w:vAlign w:val="top"/>
          </w:tcPr>
          <w:p w14:paraId="75BFE63F">
            <w:pPr>
              <w:wordWrap w:val="0"/>
              <w:autoSpaceDE w:val="0"/>
              <w:autoSpaceDN w:val="0"/>
              <w:spacing w:before="200" w:after="0" w:line="246" w:lineRule="exact"/>
              <w:ind w:firstLine="120"/>
              <w:jc w:val="both"/>
              <w:rPr>
                <w:sz w:val="18"/>
                <w:szCs w:val="18"/>
              </w:rPr>
            </w:pPr>
            <w:r>
              <w:rPr>
                <w:rFonts w:hint="eastAsia" w:ascii="宋体" w:hAnsi="宋体" w:eastAsia="宋体"/>
                <w:color w:val="000000"/>
                <w:sz w:val="18"/>
                <w:szCs w:val="18"/>
              </w:rPr>
              <w:t>处</w:t>
            </w:r>
            <w:r>
              <w:rPr>
                <w:rFonts w:hint="eastAsia" w:ascii="Calibri" w:hAnsi="Calibri" w:eastAsia="Calibri"/>
                <w:color w:val="000000"/>
                <w:sz w:val="18"/>
                <w:szCs w:val="18"/>
              </w:rPr>
              <w:t>10</w:t>
            </w:r>
            <w:r>
              <w:rPr>
                <w:rFonts w:hint="eastAsia" w:ascii="宋体" w:hAnsi="宋体" w:eastAsia="宋体"/>
                <w:color w:val="000000"/>
                <w:sz w:val="18"/>
                <w:szCs w:val="18"/>
              </w:rPr>
              <w:t>万元以上</w:t>
            </w:r>
            <w:r>
              <w:rPr>
                <w:rFonts w:hint="eastAsia" w:ascii="Calibri" w:hAnsi="Calibri" w:eastAsia="Calibri"/>
                <w:color w:val="000000"/>
                <w:sz w:val="18"/>
                <w:szCs w:val="18"/>
              </w:rPr>
              <w:t>12</w:t>
            </w:r>
            <w:r>
              <w:rPr>
                <w:rFonts w:hint="eastAsia" w:ascii="宋体" w:hAnsi="宋体" w:eastAsia="宋体"/>
                <w:color w:val="000000"/>
                <w:sz w:val="18"/>
                <w:szCs w:val="18"/>
              </w:rPr>
              <w:t>万元以下罚款</w:t>
            </w:r>
          </w:p>
        </w:tc>
      </w:tr>
      <w:tr w14:paraId="513F999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1EFC37B8">
            <w:pPr>
              <w:rPr>
                <w:sz w:val="18"/>
                <w:szCs w:val="18"/>
              </w:rPr>
            </w:pPr>
          </w:p>
        </w:tc>
        <w:tc>
          <w:tcPr>
            <w:tcW w:w="6060" w:type="dxa"/>
            <w:tcBorders>
              <w:top w:val="single" w:color="000000" w:sz="4" w:space="0"/>
              <w:left w:val="single" w:color="000000" w:sz="4" w:space="0"/>
              <w:bottom w:val="single" w:color="000000" w:sz="4" w:space="0"/>
              <w:right w:val="single" w:color="000000" w:sz="4" w:space="0"/>
            </w:tcBorders>
            <w:vAlign w:val="top"/>
          </w:tcPr>
          <w:p w14:paraId="02837D63">
            <w:pPr>
              <w:wordWrap w:val="0"/>
              <w:autoSpaceDE w:val="0"/>
              <w:autoSpaceDN w:val="0"/>
              <w:spacing w:before="40" w:after="0" w:line="246" w:lineRule="exact"/>
              <w:ind w:left="100" w:right="20" w:firstLine="20"/>
              <w:jc w:val="both"/>
              <w:rPr>
                <w:sz w:val="18"/>
                <w:szCs w:val="18"/>
              </w:rPr>
            </w:pPr>
            <w:r>
              <w:rPr>
                <w:rFonts w:hint="eastAsia" w:ascii="宋体" w:hAnsi="宋体" w:eastAsia="宋体"/>
                <w:color w:val="000000"/>
                <w:sz w:val="18"/>
                <w:szCs w:val="18"/>
              </w:rPr>
              <w:t>当事人不配合，涉及人防车位在</w:t>
            </w:r>
            <w:r>
              <w:rPr>
                <w:rFonts w:hint="eastAsia" w:ascii="Calibri" w:hAnsi="Calibri" w:eastAsia="Calibri"/>
                <w:color w:val="000000"/>
                <w:sz w:val="18"/>
                <w:szCs w:val="18"/>
              </w:rPr>
              <w:t>10</w:t>
            </w:r>
            <w:r>
              <w:rPr>
                <w:rFonts w:hint="eastAsia" w:ascii="宋体" w:hAnsi="宋体" w:eastAsia="宋体"/>
                <w:color w:val="000000"/>
                <w:sz w:val="18"/>
                <w:szCs w:val="18"/>
              </w:rPr>
              <w:t>个以下的，未实质性采取改正措施的，造成一定社会影响的</w:t>
            </w:r>
          </w:p>
        </w:tc>
        <w:tc>
          <w:tcPr>
            <w:tcW w:w="1060" w:type="dxa"/>
            <w:vMerge w:val="continue"/>
            <w:tcBorders>
              <w:top w:val="single" w:color="000000" w:sz="4" w:space="0"/>
              <w:left w:val="single" w:color="000000" w:sz="4" w:space="0"/>
              <w:bottom w:val="single" w:color="000000" w:sz="4" w:space="0"/>
              <w:right w:val="single" w:color="000000" w:sz="4" w:space="0"/>
            </w:tcBorders>
          </w:tcPr>
          <w:p w14:paraId="43FE7F13">
            <w:pPr>
              <w:rPr>
                <w:sz w:val="18"/>
                <w:szCs w:val="18"/>
              </w:rPr>
            </w:pPr>
          </w:p>
        </w:tc>
        <w:tc>
          <w:tcPr>
            <w:tcW w:w="5800" w:type="dxa"/>
            <w:tcBorders>
              <w:top w:val="single" w:color="000000" w:sz="4" w:space="0"/>
              <w:left w:val="single" w:color="000000" w:sz="4" w:space="0"/>
              <w:bottom w:val="single" w:color="000000" w:sz="4" w:space="0"/>
              <w:right w:val="single" w:color="000000" w:sz="4" w:space="0"/>
            </w:tcBorders>
            <w:vAlign w:val="top"/>
          </w:tcPr>
          <w:p w14:paraId="644734EE">
            <w:pPr>
              <w:wordWrap w:val="0"/>
              <w:autoSpaceDE w:val="0"/>
              <w:autoSpaceDN w:val="0"/>
              <w:spacing w:before="200" w:after="0" w:line="246" w:lineRule="exact"/>
              <w:ind w:firstLine="80"/>
              <w:jc w:val="both"/>
              <w:rPr>
                <w:sz w:val="18"/>
                <w:szCs w:val="18"/>
              </w:rPr>
            </w:pPr>
            <w:r>
              <w:rPr>
                <w:rFonts w:hint="eastAsia" w:ascii="宋体" w:hAnsi="宋体" w:eastAsia="宋体"/>
                <w:color w:val="000000"/>
                <w:sz w:val="18"/>
                <w:szCs w:val="18"/>
              </w:rPr>
              <w:t>处</w:t>
            </w:r>
            <w:r>
              <w:rPr>
                <w:rFonts w:hint="eastAsia" w:ascii="Calibri" w:hAnsi="Calibri" w:eastAsia="Calibri"/>
                <w:color w:val="000000"/>
                <w:sz w:val="18"/>
                <w:szCs w:val="18"/>
              </w:rPr>
              <w:t>12</w:t>
            </w:r>
            <w:r>
              <w:rPr>
                <w:rFonts w:hint="eastAsia" w:ascii="宋体" w:hAnsi="宋体" w:eastAsia="宋体"/>
                <w:color w:val="000000"/>
                <w:sz w:val="18"/>
                <w:szCs w:val="18"/>
              </w:rPr>
              <w:t>万元以上</w:t>
            </w:r>
            <w:r>
              <w:rPr>
                <w:rFonts w:hint="eastAsia" w:ascii="Calibri" w:hAnsi="Calibri" w:eastAsia="Calibri"/>
                <w:color w:val="000000"/>
                <w:sz w:val="18"/>
                <w:szCs w:val="18"/>
              </w:rPr>
              <w:t>15</w:t>
            </w:r>
            <w:r>
              <w:rPr>
                <w:rFonts w:hint="eastAsia" w:ascii="宋体" w:hAnsi="宋体" w:eastAsia="宋体"/>
                <w:color w:val="000000"/>
                <w:sz w:val="18"/>
                <w:szCs w:val="18"/>
              </w:rPr>
              <w:t>万元以下罚款</w:t>
            </w:r>
          </w:p>
        </w:tc>
      </w:tr>
      <w:tr w14:paraId="1B7924D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2C25DC21">
            <w:pPr>
              <w:rPr>
                <w:sz w:val="18"/>
                <w:szCs w:val="18"/>
              </w:rPr>
            </w:pPr>
          </w:p>
        </w:tc>
        <w:tc>
          <w:tcPr>
            <w:tcW w:w="6060" w:type="dxa"/>
            <w:tcBorders>
              <w:top w:val="single" w:color="000000" w:sz="4" w:space="0"/>
              <w:left w:val="single" w:color="000000" w:sz="4" w:space="0"/>
              <w:bottom w:val="single" w:color="000000" w:sz="4" w:space="0"/>
              <w:right w:val="single" w:color="000000" w:sz="4" w:space="0"/>
            </w:tcBorders>
            <w:vAlign w:val="top"/>
          </w:tcPr>
          <w:p w14:paraId="1A526217">
            <w:pPr>
              <w:wordWrap w:val="0"/>
              <w:autoSpaceDE w:val="0"/>
              <w:autoSpaceDN w:val="0"/>
              <w:spacing w:before="13" w:after="0" w:line="246" w:lineRule="exact"/>
              <w:ind w:firstLine="100"/>
              <w:jc w:val="both"/>
              <w:rPr>
                <w:sz w:val="18"/>
                <w:szCs w:val="18"/>
              </w:rPr>
            </w:pPr>
            <w:r>
              <w:rPr>
                <w:rFonts w:hint="eastAsia" w:ascii="宋体" w:hAnsi="宋体" w:eastAsia="宋体"/>
                <w:color w:val="000000"/>
                <w:sz w:val="18"/>
                <w:szCs w:val="18"/>
              </w:rPr>
              <w:t>当事人不配合，涉及人防车位在</w:t>
            </w:r>
            <w:r>
              <w:rPr>
                <w:rFonts w:hint="eastAsia" w:ascii="Calibri" w:hAnsi="Calibri" w:eastAsia="Calibri"/>
                <w:color w:val="000000"/>
                <w:sz w:val="18"/>
                <w:szCs w:val="18"/>
              </w:rPr>
              <w:t>10</w:t>
            </w:r>
            <w:r>
              <w:rPr>
                <w:rFonts w:hint="eastAsia" w:ascii="宋体" w:hAnsi="宋体" w:eastAsia="宋体"/>
                <w:color w:val="000000"/>
                <w:sz w:val="18"/>
                <w:szCs w:val="18"/>
              </w:rPr>
              <w:t>个以上的</w:t>
            </w:r>
          </w:p>
        </w:tc>
        <w:tc>
          <w:tcPr>
            <w:tcW w:w="1060" w:type="dxa"/>
            <w:vMerge w:val="continue"/>
            <w:tcBorders>
              <w:top w:val="single" w:color="000000" w:sz="4" w:space="0"/>
              <w:left w:val="single" w:color="000000" w:sz="4" w:space="0"/>
              <w:bottom w:val="single" w:color="000000" w:sz="4" w:space="0"/>
              <w:right w:val="single" w:color="000000" w:sz="4" w:space="0"/>
            </w:tcBorders>
          </w:tcPr>
          <w:p w14:paraId="517ADF74">
            <w:pPr>
              <w:rPr>
                <w:sz w:val="18"/>
                <w:szCs w:val="18"/>
              </w:rPr>
            </w:pPr>
          </w:p>
        </w:tc>
        <w:tc>
          <w:tcPr>
            <w:tcW w:w="5800" w:type="dxa"/>
            <w:tcBorders>
              <w:top w:val="single" w:color="000000" w:sz="4" w:space="0"/>
              <w:left w:val="single" w:color="000000" w:sz="4" w:space="0"/>
              <w:bottom w:val="single" w:color="000000" w:sz="4" w:space="0"/>
              <w:right w:val="single" w:color="000000" w:sz="4" w:space="0"/>
            </w:tcBorders>
            <w:vAlign w:val="top"/>
          </w:tcPr>
          <w:p w14:paraId="08E9CE1C">
            <w:pPr>
              <w:wordWrap w:val="0"/>
              <w:autoSpaceDE w:val="0"/>
              <w:autoSpaceDN w:val="0"/>
              <w:spacing w:before="33" w:after="0" w:line="246" w:lineRule="exact"/>
              <w:ind w:firstLine="100"/>
              <w:jc w:val="both"/>
              <w:rPr>
                <w:sz w:val="18"/>
                <w:szCs w:val="18"/>
              </w:rPr>
            </w:pPr>
            <w:r>
              <w:rPr>
                <w:rFonts w:hint="eastAsia" w:ascii="宋体" w:hAnsi="宋体" w:eastAsia="宋体"/>
                <w:color w:val="000000"/>
                <w:sz w:val="18"/>
                <w:szCs w:val="18"/>
              </w:rPr>
              <w:t>处</w:t>
            </w:r>
            <w:r>
              <w:rPr>
                <w:rFonts w:hint="eastAsia" w:ascii="Calibri" w:hAnsi="Calibri" w:eastAsia="Calibri"/>
                <w:color w:val="000000"/>
                <w:sz w:val="18"/>
                <w:szCs w:val="18"/>
              </w:rPr>
              <w:t>15</w:t>
            </w:r>
            <w:r>
              <w:rPr>
                <w:rFonts w:hint="eastAsia" w:ascii="宋体" w:hAnsi="宋体" w:eastAsia="宋体"/>
                <w:color w:val="000000"/>
                <w:sz w:val="18"/>
                <w:szCs w:val="18"/>
              </w:rPr>
              <w:t>万元以上</w:t>
            </w:r>
            <w:r>
              <w:rPr>
                <w:rFonts w:hint="eastAsia" w:ascii="Calibri" w:hAnsi="Calibri" w:eastAsia="Calibri"/>
                <w:color w:val="000000"/>
                <w:sz w:val="18"/>
                <w:szCs w:val="18"/>
              </w:rPr>
              <w:t>20</w:t>
            </w:r>
            <w:r>
              <w:rPr>
                <w:rFonts w:hint="eastAsia" w:ascii="宋体" w:hAnsi="宋体" w:eastAsia="宋体"/>
                <w:color w:val="000000"/>
                <w:sz w:val="18"/>
                <w:szCs w:val="18"/>
              </w:rPr>
              <w:t>万元以下罚款</w:t>
            </w:r>
          </w:p>
        </w:tc>
      </w:tr>
    </w:tbl>
    <w:p w14:paraId="5374FF17">
      <w:pPr>
        <w:rPr>
          <w:sz w:val="18"/>
          <w:szCs w:val="18"/>
        </w:rPr>
      </w:pPr>
    </w:p>
    <w:p w14:paraId="1D37B975">
      <w:pPr>
        <w:rPr>
          <w:sz w:val="18"/>
          <w:szCs w:val="18"/>
        </w:rPr>
      </w:pPr>
    </w:p>
    <w:p w14:paraId="445E909A">
      <w:pPr>
        <w:rPr>
          <w:sz w:val="18"/>
          <w:szCs w:val="18"/>
        </w:rPr>
      </w:pPr>
    </w:p>
    <w:p w14:paraId="5E14F313">
      <w:pPr>
        <w:rPr>
          <w:sz w:val="18"/>
          <w:szCs w:val="18"/>
        </w:rPr>
      </w:pPr>
    </w:p>
    <w:p w14:paraId="30065C7D">
      <w:pPr>
        <w:rPr>
          <w:sz w:val="18"/>
          <w:szCs w:val="18"/>
        </w:rPr>
      </w:pPr>
    </w:p>
    <w:p w14:paraId="65FC3C41">
      <w:pPr>
        <w:rPr>
          <w:sz w:val="18"/>
          <w:szCs w:val="18"/>
        </w:rPr>
      </w:pPr>
    </w:p>
    <w:tbl>
      <w:tblPr>
        <w:tblStyle w:val="15"/>
        <w:tblpPr w:leftFromText="180" w:rightFromText="180" w:vertAnchor="page" w:horzAnchor="page" w:tblpX="1459" w:tblpY="2058"/>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218"/>
        <w:gridCol w:w="5883"/>
        <w:gridCol w:w="1158"/>
        <w:gridCol w:w="5704"/>
      </w:tblGrid>
      <w:tr w14:paraId="168BE38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218" w:type="dxa"/>
            <w:tcBorders>
              <w:top w:val="single" w:color="000000" w:sz="4" w:space="0"/>
              <w:left w:val="single" w:color="000000" w:sz="4" w:space="0"/>
              <w:bottom w:val="single" w:color="000000" w:sz="4" w:space="0"/>
              <w:right w:val="single" w:color="000000" w:sz="4" w:space="0"/>
            </w:tcBorders>
            <w:vAlign w:val="top"/>
          </w:tcPr>
          <w:p w14:paraId="6EA54F41">
            <w:pPr>
              <w:wordWrap w:val="0"/>
              <w:autoSpaceDE w:val="0"/>
              <w:autoSpaceDN w:val="0"/>
              <w:spacing w:before="33" w:after="0" w:line="246" w:lineRule="exact"/>
              <w:ind w:firstLine="340"/>
              <w:jc w:val="both"/>
              <w:rPr>
                <w:sz w:val="18"/>
                <w:szCs w:val="18"/>
              </w:rPr>
            </w:pPr>
            <w:r>
              <w:rPr>
                <w:rFonts w:hint="eastAsia" w:ascii="宋体" w:hAnsi="宋体" w:eastAsia="宋体"/>
                <w:color w:val="000000"/>
                <w:sz w:val="18"/>
                <w:szCs w:val="18"/>
              </w:rPr>
              <w:t>序号</w:t>
            </w:r>
          </w:p>
        </w:tc>
        <w:tc>
          <w:tcPr>
            <w:tcW w:w="12745" w:type="dxa"/>
            <w:gridSpan w:val="3"/>
            <w:tcBorders>
              <w:top w:val="single" w:color="000000" w:sz="4" w:space="0"/>
              <w:left w:val="single" w:color="000000" w:sz="4" w:space="0"/>
              <w:bottom w:val="single" w:color="000000" w:sz="4" w:space="0"/>
              <w:right w:val="single" w:color="000000" w:sz="4" w:space="0"/>
            </w:tcBorders>
            <w:vAlign w:val="top"/>
          </w:tcPr>
          <w:p w14:paraId="6927B828">
            <w:pPr>
              <w:wordWrap w:val="0"/>
              <w:autoSpaceDE w:val="0"/>
              <w:autoSpaceDN w:val="0"/>
              <w:spacing w:before="53" w:after="0" w:line="246" w:lineRule="exact"/>
              <w:ind w:firstLine="80"/>
              <w:jc w:val="both"/>
              <w:rPr>
                <w:rFonts w:hint="default" w:eastAsia="宋体"/>
                <w:sz w:val="18"/>
                <w:szCs w:val="18"/>
                <w:lang w:val="en-US" w:eastAsia="zh-CN"/>
              </w:rPr>
            </w:pPr>
            <w:r>
              <w:rPr>
                <w:rFonts w:hint="eastAsia"/>
                <w:sz w:val="18"/>
                <w:szCs w:val="18"/>
                <w:lang w:val="en-US" w:eastAsia="zh-CN"/>
              </w:rPr>
              <w:t>27</w:t>
            </w:r>
          </w:p>
        </w:tc>
      </w:tr>
      <w:tr w14:paraId="7380BDE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0" w:hRule="atLeast"/>
        </w:trPr>
        <w:tc>
          <w:tcPr>
            <w:tcW w:w="1218" w:type="dxa"/>
            <w:tcBorders>
              <w:top w:val="single" w:color="000000" w:sz="4" w:space="0"/>
              <w:left w:val="single" w:color="000000" w:sz="4" w:space="0"/>
              <w:bottom w:val="single" w:color="000000" w:sz="4" w:space="0"/>
              <w:right w:val="single" w:color="000000" w:sz="4" w:space="0"/>
            </w:tcBorders>
            <w:vAlign w:val="top"/>
          </w:tcPr>
          <w:p w14:paraId="173C2817">
            <w:pPr>
              <w:wordWrap w:val="0"/>
              <w:autoSpaceDE w:val="0"/>
              <w:autoSpaceDN w:val="0"/>
              <w:spacing w:before="0" w:after="0" w:line="220" w:lineRule="exact"/>
              <w:ind w:firstLine="360"/>
              <w:jc w:val="both"/>
              <w:rPr>
                <w:sz w:val="18"/>
                <w:szCs w:val="18"/>
              </w:rPr>
            </w:pPr>
            <w:r>
              <w:rPr>
                <w:rFonts w:hint="eastAsia" w:ascii="宋体" w:hAnsi="宋体" w:eastAsia="宋体"/>
                <w:color w:val="000000"/>
                <w:sz w:val="18"/>
                <w:szCs w:val="18"/>
              </w:rPr>
              <w:t>编号</w:t>
            </w:r>
          </w:p>
        </w:tc>
        <w:tc>
          <w:tcPr>
            <w:tcW w:w="12745" w:type="dxa"/>
            <w:gridSpan w:val="3"/>
            <w:tcBorders>
              <w:top w:val="single" w:color="000000" w:sz="4" w:space="0"/>
              <w:left w:val="single" w:color="000000" w:sz="4" w:space="0"/>
              <w:bottom w:val="single" w:color="000000" w:sz="4" w:space="0"/>
              <w:right w:val="single" w:color="000000" w:sz="4" w:space="0"/>
            </w:tcBorders>
            <w:vAlign w:val="top"/>
          </w:tcPr>
          <w:p w14:paraId="6AA29A0C">
            <w:pPr>
              <w:wordWrap w:val="0"/>
              <w:autoSpaceDE w:val="0"/>
              <w:autoSpaceDN w:val="0"/>
              <w:spacing w:before="13" w:after="0" w:line="246" w:lineRule="exact"/>
              <w:ind w:firstLine="100"/>
              <w:jc w:val="both"/>
              <w:rPr>
                <w:sz w:val="18"/>
                <w:szCs w:val="18"/>
              </w:rPr>
            </w:pPr>
            <w:r>
              <w:rPr>
                <w:rFonts w:hint="eastAsia" w:ascii="Calibri" w:hAnsi="Calibri" w:eastAsia="Calibri"/>
                <w:color w:val="000000"/>
                <w:sz w:val="18"/>
                <w:szCs w:val="18"/>
              </w:rPr>
              <w:t>320280051000</w:t>
            </w:r>
          </w:p>
        </w:tc>
      </w:tr>
      <w:tr w14:paraId="0817683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18" w:type="dxa"/>
            <w:tcBorders>
              <w:top w:val="single" w:color="000000" w:sz="4" w:space="0"/>
              <w:left w:val="single" w:color="000000" w:sz="4" w:space="0"/>
              <w:bottom w:val="single" w:color="000000" w:sz="4" w:space="0"/>
              <w:right w:val="single" w:color="000000" w:sz="4" w:space="0"/>
            </w:tcBorders>
            <w:vAlign w:val="top"/>
          </w:tcPr>
          <w:p w14:paraId="272AA296">
            <w:pPr>
              <w:wordWrap w:val="0"/>
              <w:autoSpaceDE w:val="0"/>
              <w:autoSpaceDN w:val="0"/>
              <w:spacing w:before="13" w:after="0" w:line="246" w:lineRule="exact"/>
              <w:ind w:firstLine="240"/>
              <w:jc w:val="both"/>
              <w:rPr>
                <w:sz w:val="18"/>
                <w:szCs w:val="18"/>
              </w:rPr>
            </w:pPr>
            <w:r>
              <w:rPr>
                <w:rFonts w:hint="eastAsia" w:ascii="宋体" w:hAnsi="宋体" w:eastAsia="宋体"/>
                <w:color w:val="000000"/>
                <w:sz w:val="18"/>
                <w:szCs w:val="18"/>
              </w:rPr>
              <w:t>行为名称</w:t>
            </w:r>
          </w:p>
        </w:tc>
        <w:tc>
          <w:tcPr>
            <w:tcW w:w="12745" w:type="dxa"/>
            <w:gridSpan w:val="3"/>
            <w:tcBorders>
              <w:top w:val="single" w:color="000000" w:sz="4" w:space="0"/>
              <w:left w:val="single" w:color="000000" w:sz="4" w:space="0"/>
              <w:bottom w:val="single" w:color="000000" w:sz="4" w:space="0"/>
              <w:right w:val="single" w:color="000000" w:sz="4" w:space="0"/>
            </w:tcBorders>
            <w:vAlign w:val="top"/>
          </w:tcPr>
          <w:p w14:paraId="25E5E6FA">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对人民防空工程建设项目必须实行工程监理而未实行工程监理的处罚</w:t>
            </w:r>
          </w:p>
        </w:tc>
      </w:tr>
      <w:tr w14:paraId="1D78ACE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760" w:hRule="atLeast"/>
        </w:trPr>
        <w:tc>
          <w:tcPr>
            <w:tcW w:w="1218" w:type="dxa"/>
            <w:tcBorders>
              <w:top w:val="single" w:color="000000" w:sz="4" w:space="0"/>
              <w:left w:val="single" w:color="000000" w:sz="4" w:space="0"/>
              <w:bottom w:val="single" w:color="000000" w:sz="4" w:space="0"/>
              <w:right w:val="single" w:color="000000" w:sz="4" w:space="0"/>
            </w:tcBorders>
            <w:vAlign w:val="top"/>
          </w:tcPr>
          <w:p w14:paraId="0D888ED0">
            <w:pPr>
              <w:wordWrap w:val="0"/>
              <w:autoSpaceDE w:val="0"/>
              <w:autoSpaceDN w:val="0"/>
              <w:spacing w:before="0" w:after="0" w:line="246" w:lineRule="exact"/>
              <w:ind w:firstLine="0"/>
              <w:jc w:val="both"/>
              <w:rPr>
                <w:rFonts w:hint="eastAsia" w:ascii="宋体" w:hAnsi="宋体" w:eastAsia="宋体"/>
                <w:color w:val="000000"/>
                <w:sz w:val="18"/>
                <w:szCs w:val="18"/>
              </w:rPr>
            </w:pPr>
          </w:p>
          <w:p w14:paraId="5E9DA247">
            <w:pPr>
              <w:wordWrap w:val="0"/>
              <w:autoSpaceDE w:val="0"/>
              <w:autoSpaceDN w:val="0"/>
              <w:spacing w:before="0" w:after="0" w:line="246" w:lineRule="exact"/>
              <w:ind w:firstLine="0"/>
              <w:jc w:val="both"/>
              <w:rPr>
                <w:rFonts w:hint="eastAsia" w:ascii="宋体" w:hAnsi="宋体" w:eastAsia="宋体"/>
                <w:color w:val="000000"/>
                <w:sz w:val="18"/>
                <w:szCs w:val="18"/>
              </w:rPr>
            </w:pPr>
          </w:p>
          <w:p w14:paraId="022F5FE9">
            <w:pPr>
              <w:wordWrap w:val="0"/>
              <w:autoSpaceDE w:val="0"/>
              <w:autoSpaceDN w:val="0"/>
              <w:spacing w:before="0" w:after="0" w:line="246" w:lineRule="exact"/>
              <w:ind w:firstLine="0"/>
              <w:jc w:val="both"/>
              <w:rPr>
                <w:rFonts w:hint="eastAsia" w:ascii="宋体" w:hAnsi="宋体" w:eastAsia="宋体"/>
                <w:color w:val="000000"/>
                <w:sz w:val="18"/>
                <w:szCs w:val="18"/>
              </w:rPr>
            </w:pPr>
          </w:p>
          <w:p w14:paraId="5E077BF5">
            <w:pPr>
              <w:wordWrap w:val="0"/>
              <w:autoSpaceDE w:val="0"/>
              <w:autoSpaceDN w:val="0"/>
              <w:spacing w:before="0" w:after="0" w:line="246" w:lineRule="exact"/>
              <w:ind w:firstLine="0"/>
              <w:jc w:val="both"/>
              <w:rPr>
                <w:rFonts w:hint="eastAsia" w:ascii="宋体" w:hAnsi="宋体" w:eastAsia="宋体"/>
                <w:color w:val="000000"/>
                <w:sz w:val="18"/>
                <w:szCs w:val="18"/>
              </w:rPr>
            </w:pPr>
          </w:p>
          <w:p w14:paraId="05D72311">
            <w:pPr>
              <w:wordWrap w:val="0"/>
              <w:autoSpaceDE w:val="0"/>
              <w:autoSpaceDN w:val="0"/>
              <w:spacing w:before="0" w:after="0" w:line="246" w:lineRule="exact"/>
              <w:ind w:firstLine="0"/>
              <w:jc w:val="both"/>
              <w:rPr>
                <w:rFonts w:hint="eastAsia" w:ascii="宋体" w:hAnsi="宋体" w:eastAsia="宋体"/>
                <w:color w:val="000000"/>
                <w:sz w:val="18"/>
                <w:szCs w:val="18"/>
              </w:rPr>
            </w:pPr>
          </w:p>
          <w:p w14:paraId="402CC005">
            <w:pPr>
              <w:wordWrap w:val="0"/>
              <w:autoSpaceDE w:val="0"/>
              <w:autoSpaceDN w:val="0"/>
              <w:spacing w:before="0" w:after="0" w:line="246" w:lineRule="exact"/>
              <w:ind w:firstLine="0"/>
              <w:jc w:val="both"/>
              <w:rPr>
                <w:rFonts w:hint="eastAsia" w:ascii="宋体" w:hAnsi="宋体" w:eastAsia="宋体"/>
                <w:color w:val="000000"/>
                <w:sz w:val="18"/>
                <w:szCs w:val="18"/>
              </w:rPr>
            </w:pPr>
          </w:p>
          <w:p w14:paraId="79AD9A2D">
            <w:pPr>
              <w:wordWrap w:val="0"/>
              <w:autoSpaceDE w:val="0"/>
              <w:autoSpaceDN w:val="0"/>
              <w:spacing w:before="0" w:after="0" w:line="246" w:lineRule="exact"/>
              <w:ind w:firstLine="0"/>
              <w:jc w:val="both"/>
              <w:rPr>
                <w:rFonts w:hint="eastAsia" w:ascii="宋体" w:hAnsi="宋体" w:eastAsia="宋体"/>
                <w:color w:val="000000"/>
                <w:sz w:val="18"/>
                <w:szCs w:val="18"/>
              </w:rPr>
            </w:pPr>
          </w:p>
          <w:p w14:paraId="311C223F">
            <w:pPr>
              <w:wordWrap w:val="0"/>
              <w:autoSpaceDE w:val="0"/>
              <w:autoSpaceDN w:val="0"/>
              <w:spacing w:before="0" w:after="0" w:line="246" w:lineRule="exact"/>
              <w:ind w:firstLine="0"/>
              <w:jc w:val="both"/>
              <w:rPr>
                <w:rFonts w:hint="eastAsia" w:ascii="宋体" w:hAnsi="宋体" w:eastAsia="宋体"/>
                <w:color w:val="000000"/>
                <w:sz w:val="18"/>
                <w:szCs w:val="18"/>
              </w:rPr>
            </w:pPr>
          </w:p>
          <w:p w14:paraId="51BDC878">
            <w:pPr>
              <w:wordWrap w:val="0"/>
              <w:autoSpaceDE w:val="0"/>
              <w:autoSpaceDN w:val="0"/>
              <w:spacing w:before="0" w:after="0" w:line="246" w:lineRule="exact"/>
              <w:ind w:firstLine="0"/>
              <w:jc w:val="both"/>
              <w:rPr>
                <w:rFonts w:hint="eastAsia" w:ascii="宋体" w:hAnsi="宋体" w:eastAsia="宋体"/>
                <w:color w:val="000000"/>
                <w:sz w:val="18"/>
                <w:szCs w:val="18"/>
              </w:rPr>
            </w:pPr>
          </w:p>
          <w:p w14:paraId="07AEE825">
            <w:pPr>
              <w:wordWrap w:val="0"/>
              <w:autoSpaceDE w:val="0"/>
              <w:autoSpaceDN w:val="0"/>
              <w:spacing w:before="62" w:after="0" w:line="246" w:lineRule="exact"/>
              <w:jc w:val="center"/>
              <w:rPr>
                <w:sz w:val="18"/>
                <w:szCs w:val="18"/>
              </w:rPr>
            </w:pPr>
            <w:r>
              <w:rPr>
                <w:rFonts w:hint="eastAsia" w:ascii="宋体" w:hAnsi="宋体" w:eastAsia="宋体"/>
                <w:color w:val="000000"/>
                <w:sz w:val="18"/>
                <w:szCs w:val="18"/>
              </w:rPr>
              <w:t>法律依据</w:t>
            </w:r>
          </w:p>
        </w:tc>
        <w:tc>
          <w:tcPr>
            <w:tcW w:w="12745" w:type="dxa"/>
            <w:gridSpan w:val="3"/>
            <w:tcBorders>
              <w:top w:val="single" w:color="000000" w:sz="4" w:space="0"/>
              <w:left w:val="single" w:color="000000" w:sz="4" w:space="0"/>
              <w:bottom w:val="single" w:color="000000" w:sz="4" w:space="0"/>
              <w:right w:val="single" w:color="000000" w:sz="4" w:space="0"/>
            </w:tcBorders>
            <w:vAlign w:val="top"/>
          </w:tcPr>
          <w:p w14:paraId="5D54C671">
            <w:pPr>
              <w:wordWrap w:val="0"/>
              <w:autoSpaceDE w:val="0"/>
              <w:autoSpaceDN w:val="0"/>
              <w:spacing w:before="73" w:after="0" w:line="246"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61D7AFB9">
            <w:pPr>
              <w:wordWrap w:val="0"/>
              <w:autoSpaceDE w:val="0"/>
              <w:autoSpaceDN w:val="0"/>
              <w:spacing w:before="53" w:after="0" w:line="246" w:lineRule="exact"/>
              <w:ind w:firstLine="500"/>
              <w:jc w:val="both"/>
              <w:rPr>
                <w:sz w:val="18"/>
                <w:szCs w:val="18"/>
              </w:rPr>
            </w:pPr>
            <w:r>
              <w:rPr>
                <w:rFonts w:hint="eastAsia" w:ascii="宋体" w:hAnsi="宋体" w:eastAsia="宋体"/>
                <w:color w:val="000000"/>
                <w:sz w:val="18"/>
                <w:szCs w:val="18"/>
              </w:rPr>
              <w:t>第十二条第二款 下列建设工程必须实行监理：</w:t>
            </w:r>
          </w:p>
          <w:p w14:paraId="14729A56">
            <w:pPr>
              <w:wordWrap w:val="0"/>
              <w:autoSpaceDE w:val="0"/>
              <w:autoSpaceDN w:val="0"/>
              <w:spacing w:before="73" w:after="0" w:line="246" w:lineRule="exact"/>
              <w:ind w:firstLine="560"/>
              <w:jc w:val="both"/>
              <w:rPr>
                <w:sz w:val="18"/>
                <w:szCs w:val="18"/>
              </w:rPr>
            </w:pPr>
            <w:r>
              <w:rPr>
                <w:rFonts w:hint="eastAsia" w:ascii="宋体" w:hAnsi="宋体" w:eastAsia="宋体"/>
                <w:color w:val="000000"/>
                <w:sz w:val="18"/>
                <w:szCs w:val="18"/>
              </w:rPr>
              <w:t>（一）国家重点建设工程；</w:t>
            </w:r>
          </w:p>
          <w:p w14:paraId="1F3CC03A">
            <w:pPr>
              <w:wordWrap w:val="0"/>
              <w:autoSpaceDE w:val="0"/>
              <w:autoSpaceDN w:val="0"/>
              <w:spacing w:before="0" w:after="0" w:line="246" w:lineRule="exact"/>
              <w:ind w:firstLine="560"/>
              <w:jc w:val="both"/>
              <w:rPr>
                <w:sz w:val="18"/>
                <w:szCs w:val="18"/>
              </w:rPr>
            </w:pPr>
            <w:r>
              <w:rPr>
                <w:rFonts w:hint="eastAsia" w:ascii="宋体" w:hAnsi="宋体" w:eastAsia="宋体"/>
                <w:color w:val="000000"/>
                <w:sz w:val="18"/>
                <w:szCs w:val="18"/>
              </w:rPr>
              <w:t>（二）大中型公用事业工程；</w:t>
            </w:r>
          </w:p>
          <w:p w14:paraId="7FF527AB">
            <w:pPr>
              <w:wordWrap w:val="0"/>
              <w:autoSpaceDE w:val="0"/>
              <w:autoSpaceDN w:val="0"/>
              <w:spacing w:before="73" w:after="0" w:line="246" w:lineRule="exact"/>
              <w:ind w:firstLine="560"/>
              <w:jc w:val="both"/>
              <w:rPr>
                <w:sz w:val="18"/>
                <w:szCs w:val="18"/>
              </w:rPr>
            </w:pPr>
            <w:r>
              <w:rPr>
                <w:rFonts w:hint="eastAsia" w:ascii="宋体" w:hAnsi="宋体" w:eastAsia="宋体"/>
                <w:color w:val="000000"/>
                <w:sz w:val="18"/>
                <w:szCs w:val="18"/>
              </w:rPr>
              <w:t>（三）成片开发建设的住宅小区工程；</w:t>
            </w:r>
          </w:p>
          <w:p w14:paraId="35E8D146">
            <w:pPr>
              <w:wordWrap w:val="0"/>
              <w:autoSpaceDE w:val="0"/>
              <w:autoSpaceDN w:val="0"/>
              <w:spacing w:before="0" w:after="0" w:line="246" w:lineRule="exact"/>
              <w:ind w:firstLine="560"/>
              <w:jc w:val="both"/>
              <w:rPr>
                <w:sz w:val="18"/>
                <w:szCs w:val="18"/>
              </w:rPr>
            </w:pPr>
            <w:r>
              <w:rPr>
                <w:rFonts w:hint="eastAsia" w:ascii="宋体" w:hAnsi="宋体" w:eastAsia="宋体"/>
                <w:color w:val="000000"/>
                <w:sz w:val="18"/>
                <w:szCs w:val="18"/>
              </w:rPr>
              <w:t>（四）利用外国政府或者国际组织贷款、援助资金的工程；</w:t>
            </w:r>
          </w:p>
          <w:p w14:paraId="4F95FA99">
            <w:pPr>
              <w:wordWrap w:val="0"/>
              <w:autoSpaceDE w:val="0"/>
              <w:autoSpaceDN w:val="0"/>
              <w:spacing w:before="53" w:after="0" w:line="246" w:lineRule="exact"/>
              <w:ind w:firstLine="560"/>
              <w:jc w:val="both"/>
              <w:rPr>
                <w:sz w:val="18"/>
                <w:szCs w:val="18"/>
              </w:rPr>
            </w:pPr>
            <w:r>
              <w:rPr>
                <w:rFonts w:hint="eastAsia" w:ascii="宋体" w:hAnsi="宋体" w:eastAsia="宋体"/>
                <w:color w:val="000000"/>
                <w:sz w:val="18"/>
                <w:szCs w:val="18"/>
              </w:rPr>
              <w:t>（五）国家规定必须实行监理的其他工程。</w:t>
            </w:r>
          </w:p>
          <w:p w14:paraId="4ED2779D">
            <w:pPr>
              <w:wordWrap w:val="0"/>
              <w:autoSpaceDE w:val="0"/>
              <w:autoSpaceDN w:val="0"/>
              <w:spacing w:before="0" w:after="0" w:line="246" w:lineRule="exact"/>
              <w:ind w:firstLine="520"/>
              <w:jc w:val="both"/>
              <w:rPr>
                <w:sz w:val="18"/>
                <w:szCs w:val="18"/>
              </w:rPr>
            </w:pPr>
            <w:r>
              <w:rPr>
                <w:rFonts w:hint="eastAsia" w:ascii="宋体" w:hAnsi="宋体" w:eastAsia="宋体"/>
                <w:color w:val="000000"/>
                <w:sz w:val="18"/>
                <w:szCs w:val="18"/>
              </w:rPr>
              <w:t>第五十六条 违反本条例规定，建设单位有下列行为之一的，责令改正，处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万元以下的罚款：</w:t>
            </w:r>
          </w:p>
          <w:p w14:paraId="77725CB4">
            <w:pPr>
              <w:wordWrap w:val="0"/>
              <w:autoSpaceDE w:val="0"/>
              <w:autoSpaceDN w:val="0"/>
              <w:spacing w:before="73" w:after="0" w:line="246" w:lineRule="exact"/>
              <w:ind w:firstLine="560"/>
              <w:jc w:val="both"/>
              <w:rPr>
                <w:sz w:val="18"/>
                <w:szCs w:val="18"/>
              </w:rPr>
            </w:pPr>
            <w:r>
              <w:rPr>
                <w:rFonts w:hint="eastAsia" w:ascii="宋体" w:hAnsi="宋体" w:eastAsia="宋体"/>
                <w:color w:val="000000"/>
                <w:sz w:val="18"/>
                <w:szCs w:val="18"/>
              </w:rPr>
              <w:t>（五）建设项目必须实行工程监理而未实行工程监理的；</w:t>
            </w:r>
          </w:p>
          <w:p w14:paraId="1DC49D64">
            <w:pPr>
              <w:wordWrap w:val="0"/>
              <w:autoSpaceDE w:val="0"/>
              <w:autoSpaceDN w:val="0"/>
              <w:spacing w:before="0" w:after="0" w:line="246" w:lineRule="exact"/>
              <w:ind w:firstLine="0"/>
              <w:jc w:val="both"/>
              <w:rPr>
                <w:rFonts w:hint="eastAsia" w:ascii="宋体" w:hAnsi="宋体" w:eastAsia="宋体"/>
                <w:color w:val="000000"/>
                <w:sz w:val="18"/>
                <w:szCs w:val="18"/>
              </w:rPr>
            </w:pPr>
          </w:p>
          <w:p w14:paraId="346B1C1B">
            <w:pPr>
              <w:wordWrap w:val="0"/>
              <w:autoSpaceDE w:val="0"/>
              <w:autoSpaceDN w:val="0"/>
              <w:spacing w:before="107" w:after="0" w:line="246" w:lineRule="exact"/>
              <w:ind w:left="120" w:right="8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19BF5C5F">
            <w:pPr>
              <w:wordWrap w:val="0"/>
              <w:autoSpaceDE w:val="0"/>
              <w:autoSpaceDN w:val="0"/>
              <w:spacing w:before="0" w:after="0" w:line="246" w:lineRule="exact"/>
              <w:ind w:left="120" w:right="8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3CC0CF2B">
            <w:pPr>
              <w:wordWrap w:val="0"/>
              <w:autoSpaceDE w:val="0"/>
              <w:autoSpaceDN w:val="0"/>
              <w:spacing w:before="53" w:after="0" w:line="246"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739424B8">
            <w:pPr>
              <w:wordWrap w:val="0"/>
              <w:autoSpaceDE w:val="0"/>
              <w:autoSpaceDN w:val="0"/>
              <w:spacing w:before="0" w:after="0" w:line="246" w:lineRule="exact"/>
              <w:ind w:left="120" w:right="40" w:firstLine="44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73DC20D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0" w:hRule="atLeast"/>
        </w:trPr>
        <w:tc>
          <w:tcPr>
            <w:tcW w:w="1218" w:type="dxa"/>
            <w:tcBorders>
              <w:top w:val="single" w:color="000000" w:sz="4" w:space="0"/>
              <w:left w:val="single" w:color="000000" w:sz="4" w:space="0"/>
              <w:bottom w:val="single" w:color="000000" w:sz="4" w:space="0"/>
              <w:right w:val="single" w:color="000000" w:sz="4" w:space="0"/>
            </w:tcBorders>
            <w:vAlign w:val="top"/>
          </w:tcPr>
          <w:p w14:paraId="2381F069">
            <w:pPr>
              <w:wordWrap w:val="0"/>
              <w:autoSpaceDE w:val="0"/>
              <w:autoSpaceDN w:val="0"/>
              <w:spacing w:before="0" w:after="0" w:line="220" w:lineRule="exact"/>
              <w:jc w:val="center"/>
              <w:rPr>
                <w:sz w:val="18"/>
                <w:szCs w:val="18"/>
              </w:rPr>
            </w:pPr>
            <w:r>
              <w:rPr>
                <w:rFonts w:hint="eastAsia" w:ascii="宋体" w:hAnsi="宋体" w:eastAsia="宋体"/>
                <w:color w:val="000000"/>
                <w:sz w:val="18"/>
                <w:szCs w:val="18"/>
              </w:rPr>
              <w:t>处罚种类</w:t>
            </w:r>
          </w:p>
        </w:tc>
        <w:tc>
          <w:tcPr>
            <w:tcW w:w="12745" w:type="dxa"/>
            <w:gridSpan w:val="3"/>
            <w:tcBorders>
              <w:top w:val="single" w:color="000000" w:sz="4" w:space="0"/>
              <w:left w:val="single" w:color="000000" w:sz="4" w:space="0"/>
              <w:bottom w:val="single" w:color="000000" w:sz="4" w:space="0"/>
              <w:right w:val="single" w:color="000000" w:sz="4" w:space="0"/>
            </w:tcBorders>
            <w:vAlign w:val="top"/>
          </w:tcPr>
          <w:p w14:paraId="65761E23">
            <w:pPr>
              <w:wordWrap w:val="0"/>
              <w:autoSpaceDE w:val="0"/>
              <w:autoSpaceDN w:val="0"/>
              <w:spacing w:before="33" w:after="0" w:line="246" w:lineRule="exact"/>
              <w:ind w:firstLine="60"/>
              <w:jc w:val="both"/>
              <w:rPr>
                <w:sz w:val="18"/>
                <w:szCs w:val="18"/>
              </w:rPr>
            </w:pPr>
            <w:r>
              <w:rPr>
                <w:rFonts w:hint="eastAsia" w:ascii="宋体" w:hAnsi="宋体" w:eastAsia="宋体"/>
                <w:color w:val="000000"/>
                <w:sz w:val="18"/>
                <w:szCs w:val="18"/>
              </w:rPr>
              <w:t>罚款</w:t>
            </w:r>
          </w:p>
        </w:tc>
      </w:tr>
      <w:tr w14:paraId="74D878F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3963" w:type="dxa"/>
            <w:gridSpan w:val="4"/>
            <w:tcBorders>
              <w:top w:val="single" w:color="000000" w:sz="4" w:space="0"/>
              <w:left w:val="single" w:color="000000" w:sz="4" w:space="0"/>
              <w:bottom w:val="single" w:color="000000" w:sz="4" w:space="0"/>
              <w:right w:val="single" w:color="000000" w:sz="4" w:space="0"/>
            </w:tcBorders>
            <w:vAlign w:val="top"/>
          </w:tcPr>
          <w:p w14:paraId="033D1EB4">
            <w:pPr>
              <w:wordWrap w:val="0"/>
              <w:autoSpaceDE w:val="0"/>
              <w:autoSpaceDN w:val="0"/>
              <w:spacing w:before="73" w:after="0" w:line="246" w:lineRule="exact"/>
              <w:jc w:val="center"/>
              <w:rPr>
                <w:sz w:val="18"/>
                <w:szCs w:val="18"/>
              </w:rPr>
            </w:pPr>
            <w:r>
              <w:rPr>
                <w:rFonts w:hint="eastAsia" w:ascii="宋体" w:hAnsi="宋体" w:eastAsia="宋体"/>
                <w:color w:val="000000"/>
                <w:sz w:val="18"/>
                <w:szCs w:val="18"/>
              </w:rPr>
              <w:t>自由裁量基准</w:t>
            </w:r>
          </w:p>
        </w:tc>
      </w:tr>
      <w:tr w14:paraId="10D3C4C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18" w:type="dxa"/>
            <w:vMerge w:val="restart"/>
            <w:tcBorders>
              <w:top w:val="single" w:color="000000" w:sz="4" w:space="0"/>
              <w:left w:val="single" w:color="000000" w:sz="4" w:space="0"/>
              <w:bottom w:val="single" w:color="000000" w:sz="4" w:space="0"/>
              <w:right w:val="single" w:color="000000" w:sz="4" w:space="0"/>
            </w:tcBorders>
            <w:vAlign w:val="top"/>
          </w:tcPr>
          <w:p w14:paraId="1571C87F">
            <w:pPr>
              <w:wordWrap w:val="0"/>
              <w:autoSpaceDE w:val="0"/>
              <w:autoSpaceDN w:val="0"/>
              <w:spacing w:before="0" w:after="0" w:line="246" w:lineRule="exact"/>
              <w:ind w:firstLine="0"/>
              <w:jc w:val="both"/>
              <w:rPr>
                <w:rFonts w:hint="eastAsia" w:ascii="宋体" w:hAnsi="宋体" w:eastAsia="宋体"/>
                <w:color w:val="000000"/>
                <w:sz w:val="18"/>
                <w:szCs w:val="18"/>
              </w:rPr>
            </w:pPr>
          </w:p>
          <w:p w14:paraId="3E00836D">
            <w:pPr>
              <w:wordWrap w:val="0"/>
              <w:autoSpaceDE w:val="0"/>
              <w:autoSpaceDN w:val="0"/>
              <w:spacing w:before="0" w:after="0" w:line="246" w:lineRule="exact"/>
              <w:ind w:firstLine="0"/>
              <w:jc w:val="both"/>
              <w:rPr>
                <w:rFonts w:hint="eastAsia" w:ascii="宋体" w:hAnsi="宋体" w:eastAsia="宋体"/>
                <w:color w:val="000000"/>
                <w:sz w:val="18"/>
                <w:szCs w:val="18"/>
              </w:rPr>
            </w:pPr>
          </w:p>
          <w:p w14:paraId="4952356A">
            <w:pPr>
              <w:wordWrap w:val="0"/>
              <w:autoSpaceDE w:val="0"/>
              <w:autoSpaceDN w:val="0"/>
              <w:spacing w:before="0" w:after="0" w:line="246" w:lineRule="exact"/>
              <w:ind w:firstLine="0"/>
              <w:jc w:val="both"/>
              <w:rPr>
                <w:rFonts w:hint="eastAsia" w:ascii="宋体" w:hAnsi="宋体" w:eastAsia="宋体"/>
                <w:color w:val="000000"/>
                <w:sz w:val="18"/>
                <w:szCs w:val="18"/>
              </w:rPr>
            </w:pPr>
          </w:p>
          <w:p w14:paraId="2D14BE61">
            <w:pPr>
              <w:wordWrap w:val="0"/>
              <w:autoSpaceDE w:val="0"/>
              <w:autoSpaceDN w:val="0"/>
              <w:spacing w:before="40" w:after="0" w:line="246" w:lineRule="exact"/>
              <w:jc w:val="center"/>
              <w:rPr>
                <w:sz w:val="18"/>
                <w:szCs w:val="18"/>
              </w:rPr>
            </w:pPr>
            <w:r>
              <w:rPr>
                <w:rFonts w:hint="eastAsia" w:ascii="宋体" w:hAnsi="宋体" w:eastAsia="宋体"/>
                <w:color w:val="000000"/>
                <w:sz w:val="18"/>
                <w:szCs w:val="18"/>
              </w:rPr>
              <w:t>情形描述</w:t>
            </w:r>
          </w:p>
        </w:tc>
        <w:tc>
          <w:tcPr>
            <w:tcW w:w="5883" w:type="dxa"/>
            <w:tcBorders>
              <w:top w:val="single" w:color="000000" w:sz="4" w:space="0"/>
              <w:left w:val="single" w:color="000000" w:sz="4" w:space="0"/>
              <w:bottom w:val="single" w:color="000000" w:sz="4" w:space="0"/>
              <w:right w:val="single" w:color="000000" w:sz="4" w:space="0"/>
            </w:tcBorders>
            <w:vAlign w:val="top"/>
          </w:tcPr>
          <w:p w14:paraId="62899059">
            <w:pPr>
              <w:wordWrap w:val="0"/>
              <w:autoSpaceDE w:val="0"/>
              <w:autoSpaceDN w:val="0"/>
              <w:spacing w:before="200" w:after="0" w:line="246" w:lineRule="exact"/>
              <w:ind w:firstLine="100"/>
              <w:jc w:val="both"/>
              <w:rPr>
                <w:sz w:val="18"/>
                <w:szCs w:val="18"/>
              </w:rPr>
            </w:pPr>
            <w:r>
              <w:rPr>
                <w:rFonts w:hint="eastAsia" w:ascii="宋体" w:hAnsi="宋体" w:eastAsia="宋体"/>
                <w:color w:val="000000"/>
                <w:sz w:val="18"/>
                <w:szCs w:val="18"/>
              </w:rPr>
              <w:t>工程形象进度未过半的</w:t>
            </w:r>
          </w:p>
        </w:tc>
        <w:tc>
          <w:tcPr>
            <w:tcW w:w="1158" w:type="dxa"/>
            <w:vMerge w:val="restart"/>
            <w:tcBorders>
              <w:top w:val="single" w:color="000000" w:sz="4" w:space="0"/>
              <w:left w:val="single" w:color="000000" w:sz="4" w:space="0"/>
              <w:bottom w:val="single" w:color="000000" w:sz="4" w:space="0"/>
              <w:right w:val="single" w:color="000000" w:sz="4" w:space="0"/>
            </w:tcBorders>
            <w:vAlign w:val="top"/>
          </w:tcPr>
          <w:p w14:paraId="15641C37">
            <w:pPr>
              <w:wordWrap w:val="0"/>
              <w:autoSpaceDE w:val="0"/>
              <w:autoSpaceDN w:val="0"/>
              <w:spacing w:before="0" w:after="0" w:line="246" w:lineRule="exact"/>
              <w:ind w:firstLine="0"/>
              <w:jc w:val="both"/>
              <w:rPr>
                <w:rFonts w:hint="eastAsia" w:ascii="宋体" w:hAnsi="宋体" w:eastAsia="宋体"/>
                <w:color w:val="000000"/>
                <w:sz w:val="18"/>
                <w:szCs w:val="18"/>
              </w:rPr>
            </w:pPr>
          </w:p>
          <w:p w14:paraId="4F38B35C">
            <w:pPr>
              <w:wordWrap w:val="0"/>
              <w:autoSpaceDE w:val="0"/>
              <w:autoSpaceDN w:val="0"/>
              <w:spacing w:before="0" w:after="0" w:line="246" w:lineRule="exact"/>
              <w:ind w:firstLine="0"/>
              <w:jc w:val="both"/>
              <w:rPr>
                <w:rFonts w:hint="eastAsia" w:ascii="宋体" w:hAnsi="宋体" w:eastAsia="宋体"/>
                <w:color w:val="000000"/>
                <w:sz w:val="18"/>
                <w:szCs w:val="18"/>
              </w:rPr>
            </w:pPr>
          </w:p>
          <w:p w14:paraId="1D184A7D">
            <w:pPr>
              <w:wordWrap w:val="0"/>
              <w:autoSpaceDE w:val="0"/>
              <w:autoSpaceDN w:val="0"/>
              <w:spacing w:before="0" w:after="0" w:line="246" w:lineRule="exact"/>
              <w:ind w:firstLine="0"/>
              <w:jc w:val="both"/>
              <w:rPr>
                <w:rFonts w:hint="eastAsia" w:ascii="宋体" w:hAnsi="宋体" w:eastAsia="宋体"/>
                <w:color w:val="000000"/>
                <w:sz w:val="18"/>
                <w:szCs w:val="18"/>
              </w:rPr>
            </w:pPr>
          </w:p>
          <w:p w14:paraId="3901D54C">
            <w:pPr>
              <w:wordWrap w:val="0"/>
              <w:autoSpaceDE w:val="0"/>
              <w:autoSpaceDN w:val="0"/>
              <w:spacing w:before="40" w:after="0" w:line="246" w:lineRule="exact"/>
              <w:ind w:firstLine="200"/>
              <w:jc w:val="both"/>
              <w:rPr>
                <w:sz w:val="18"/>
                <w:szCs w:val="18"/>
              </w:rPr>
            </w:pPr>
            <w:r>
              <w:rPr>
                <w:rFonts w:hint="eastAsia" w:ascii="宋体" w:hAnsi="宋体" w:eastAsia="宋体"/>
                <w:color w:val="000000"/>
                <w:sz w:val="18"/>
                <w:szCs w:val="18"/>
              </w:rPr>
              <w:t>裁量幅度</w:t>
            </w:r>
          </w:p>
        </w:tc>
        <w:tc>
          <w:tcPr>
            <w:tcW w:w="5704" w:type="dxa"/>
            <w:tcBorders>
              <w:top w:val="single" w:color="000000" w:sz="4" w:space="0"/>
              <w:left w:val="single" w:color="000000" w:sz="4" w:space="0"/>
              <w:bottom w:val="single" w:color="000000" w:sz="4" w:space="0"/>
              <w:right w:val="single" w:color="000000" w:sz="4" w:space="0"/>
            </w:tcBorders>
            <w:vAlign w:val="top"/>
          </w:tcPr>
          <w:p w14:paraId="7F612DB2">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万元以下罚款</w:t>
            </w:r>
          </w:p>
          <w:p w14:paraId="38FB9419">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7</w:t>
            </w:r>
            <w:r>
              <w:rPr>
                <w:rFonts w:hint="eastAsia" w:ascii="宋体" w:hAnsi="宋体" w:eastAsia="宋体"/>
                <w:color w:val="000000"/>
                <w:sz w:val="18"/>
                <w:szCs w:val="18"/>
              </w:rPr>
              <w:t>％以下罚款</w:t>
            </w:r>
          </w:p>
        </w:tc>
      </w:tr>
      <w:tr w14:paraId="56BC284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40" w:hRule="atLeast"/>
        </w:trPr>
        <w:tc>
          <w:tcPr>
            <w:tcW w:w="1218" w:type="dxa"/>
            <w:vMerge w:val="continue"/>
            <w:tcBorders>
              <w:top w:val="single" w:color="000000" w:sz="4" w:space="0"/>
              <w:left w:val="single" w:color="000000" w:sz="4" w:space="0"/>
              <w:bottom w:val="single" w:color="000000" w:sz="4" w:space="0"/>
              <w:right w:val="single" w:color="000000" w:sz="4" w:space="0"/>
            </w:tcBorders>
          </w:tcPr>
          <w:p w14:paraId="55DF5541">
            <w:pPr>
              <w:rPr>
                <w:sz w:val="18"/>
                <w:szCs w:val="18"/>
              </w:rPr>
            </w:pPr>
          </w:p>
        </w:tc>
        <w:tc>
          <w:tcPr>
            <w:tcW w:w="5883" w:type="dxa"/>
            <w:tcBorders>
              <w:top w:val="single" w:color="000000" w:sz="4" w:space="0"/>
              <w:left w:val="single" w:color="000000" w:sz="4" w:space="0"/>
              <w:bottom w:val="single" w:color="000000" w:sz="4" w:space="0"/>
              <w:right w:val="single" w:color="000000" w:sz="4" w:space="0"/>
            </w:tcBorders>
            <w:vAlign w:val="top"/>
          </w:tcPr>
          <w:p w14:paraId="45B40A9F">
            <w:pPr>
              <w:wordWrap w:val="0"/>
              <w:autoSpaceDE w:val="0"/>
              <w:autoSpaceDN w:val="0"/>
              <w:spacing w:before="180" w:after="0" w:line="246" w:lineRule="exact"/>
              <w:ind w:firstLine="80"/>
              <w:jc w:val="both"/>
              <w:rPr>
                <w:sz w:val="18"/>
                <w:szCs w:val="18"/>
              </w:rPr>
            </w:pPr>
            <w:r>
              <w:rPr>
                <w:rFonts w:hint="eastAsia" w:ascii="宋体" w:hAnsi="宋体" w:eastAsia="宋体"/>
                <w:color w:val="000000"/>
                <w:sz w:val="18"/>
                <w:szCs w:val="18"/>
              </w:rPr>
              <w:t>工程形象进度已过半的</w:t>
            </w:r>
          </w:p>
        </w:tc>
        <w:tc>
          <w:tcPr>
            <w:tcW w:w="1158" w:type="dxa"/>
            <w:vMerge w:val="continue"/>
            <w:tcBorders>
              <w:top w:val="single" w:color="000000" w:sz="4" w:space="0"/>
              <w:left w:val="single" w:color="000000" w:sz="4" w:space="0"/>
              <w:bottom w:val="single" w:color="000000" w:sz="4" w:space="0"/>
              <w:right w:val="single" w:color="000000" w:sz="4" w:space="0"/>
            </w:tcBorders>
          </w:tcPr>
          <w:p w14:paraId="1E25B7ED">
            <w:pPr>
              <w:rPr>
                <w:sz w:val="18"/>
                <w:szCs w:val="18"/>
              </w:rPr>
            </w:pPr>
          </w:p>
        </w:tc>
        <w:tc>
          <w:tcPr>
            <w:tcW w:w="5704" w:type="dxa"/>
            <w:tcBorders>
              <w:top w:val="single" w:color="000000" w:sz="4" w:space="0"/>
              <w:left w:val="single" w:color="000000" w:sz="4" w:space="0"/>
              <w:bottom w:val="single" w:color="000000" w:sz="4" w:space="0"/>
              <w:right w:val="single" w:color="000000" w:sz="4" w:space="0"/>
            </w:tcBorders>
            <w:vAlign w:val="top"/>
          </w:tcPr>
          <w:p w14:paraId="411798D7">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30</w:t>
            </w:r>
            <w:r>
              <w:rPr>
                <w:rFonts w:hint="eastAsia" w:ascii="宋体" w:hAnsi="宋体" w:eastAsia="宋体"/>
                <w:color w:val="000000"/>
                <w:sz w:val="18"/>
                <w:szCs w:val="18"/>
              </w:rPr>
              <w:t>万元以上</w:t>
            </w:r>
            <w:r>
              <w:rPr>
                <w:rFonts w:hint="eastAsia" w:ascii="Calibri" w:hAnsi="Calibri" w:eastAsia="Calibri"/>
                <w:color w:val="000000"/>
                <w:sz w:val="18"/>
                <w:szCs w:val="18"/>
              </w:rPr>
              <w:t>40</w:t>
            </w:r>
            <w:r>
              <w:rPr>
                <w:rFonts w:hint="eastAsia" w:ascii="宋体" w:hAnsi="宋体" w:eastAsia="宋体"/>
                <w:color w:val="000000"/>
                <w:sz w:val="18"/>
                <w:szCs w:val="18"/>
              </w:rPr>
              <w:t>万元以下罚款</w:t>
            </w:r>
          </w:p>
          <w:p w14:paraId="59396896">
            <w:pPr>
              <w:wordWrap w:val="0"/>
              <w:autoSpaceDE w:val="0"/>
              <w:autoSpaceDN w:val="0"/>
              <w:spacing w:before="0" w:after="0" w:line="240"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1CABB8B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40" w:hRule="atLeast"/>
        </w:trPr>
        <w:tc>
          <w:tcPr>
            <w:tcW w:w="1218" w:type="dxa"/>
            <w:vMerge w:val="continue"/>
            <w:tcBorders>
              <w:top w:val="single" w:color="000000" w:sz="4" w:space="0"/>
              <w:left w:val="single" w:color="000000" w:sz="4" w:space="0"/>
              <w:bottom w:val="single" w:color="000000" w:sz="4" w:space="0"/>
              <w:right w:val="single" w:color="000000" w:sz="4" w:space="0"/>
            </w:tcBorders>
          </w:tcPr>
          <w:p w14:paraId="769F8C2B">
            <w:pPr>
              <w:rPr>
                <w:sz w:val="18"/>
                <w:szCs w:val="18"/>
              </w:rPr>
            </w:pPr>
          </w:p>
        </w:tc>
        <w:tc>
          <w:tcPr>
            <w:tcW w:w="5883" w:type="dxa"/>
            <w:tcBorders>
              <w:top w:val="single" w:color="000000" w:sz="4" w:space="0"/>
              <w:left w:val="single" w:color="000000" w:sz="4" w:space="0"/>
              <w:bottom w:val="single" w:color="000000" w:sz="4" w:space="0"/>
              <w:right w:val="single" w:color="000000" w:sz="4" w:space="0"/>
            </w:tcBorders>
            <w:vAlign w:val="top"/>
          </w:tcPr>
          <w:p w14:paraId="1A7E5CF1">
            <w:pPr>
              <w:wordWrap w:val="0"/>
              <w:autoSpaceDE w:val="0"/>
              <w:autoSpaceDN w:val="0"/>
              <w:spacing w:before="240" w:after="0" w:line="246" w:lineRule="exact"/>
              <w:ind w:firstLine="120"/>
              <w:jc w:val="both"/>
              <w:rPr>
                <w:sz w:val="18"/>
                <w:szCs w:val="18"/>
              </w:rPr>
            </w:pPr>
            <w:r>
              <w:rPr>
                <w:rFonts w:hint="eastAsia" w:ascii="宋体" w:hAnsi="宋体" w:eastAsia="宋体"/>
                <w:color w:val="000000"/>
                <w:sz w:val="18"/>
                <w:szCs w:val="18"/>
              </w:rPr>
              <w:t>工程已完工的</w:t>
            </w:r>
          </w:p>
        </w:tc>
        <w:tc>
          <w:tcPr>
            <w:tcW w:w="1158" w:type="dxa"/>
            <w:vMerge w:val="continue"/>
            <w:tcBorders>
              <w:top w:val="single" w:color="000000" w:sz="4" w:space="0"/>
              <w:left w:val="single" w:color="000000" w:sz="4" w:space="0"/>
              <w:bottom w:val="single" w:color="000000" w:sz="4" w:space="0"/>
              <w:right w:val="single" w:color="000000" w:sz="4" w:space="0"/>
            </w:tcBorders>
          </w:tcPr>
          <w:p w14:paraId="1659AB09">
            <w:pPr>
              <w:rPr>
                <w:sz w:val="18"/>
                <w:szCs w:val="18"/>
              </w:rPr>
            </w:pPr>
          </w:p>
        </w:tc>
        <w:tc>
          <w:tcPr>
            <w:tcW w:w="5704" w:type="dxa"/>
            <w:tcBorders>
              <w:top w:val="single" w:color="000000" w:sz="4" w:space="0"/>
              <w:left w:val="single" w:color="000000" w:sz="4" w:space="0"/>
              <w:bottom w:val="single" w:color="000000" w:sz="4" w:space="0"/>
              <w:right w:val="single" w:color="000000" w:sz="4" w:space="0"/>
            </w:tcBorders>
            <w:vAlign w:val="top"/>
          </w:tcPr>
          <w:p w14:paraId="766426EC">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40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万元以下罚款</w:t>
            </w:r>
          </w:p>
          <w:p w14:paraId="15B262B3">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tbl>
      <w:tblPr>
        <w:tblStyle w:val="15"/>
        <w:tblpPr w:leftFromText="180" w:rightFromText="180" w:vertAnchor="page" w:horzAnchor="page" w:tblpX="1568" w:tblpY="2201"/>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212"/>
        <w:gridCol w:w="5948"/>
        <w:gridCol w:w="1053"/>
        <w:gridCol w:w="5750"/>
      </w:tblGrid>
      <w:tr w14:paraId="2754B5C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212" w:type="dxa"/>
            <w:tcBorders>
              <w:top w:val="single" w:color="000000" w:sz="4" w:space="0"/>
              <w:left w:val="single" w:color="000000" w:sz="4" w:space="0"/>
              <w:bottom w:val="single" w:color="000000" w:sz="4" w:space="0"/>
              <w:right w:val="single" w:color="000000" w:sz="4" w:space="0"/>
            </w:tcBorders>
            <w:vAlign w:val="top"/>
          </w:tcPr>
          <w:p w14:paraId="718FD609">
            <w:pPr>
              <w:wordWrap w:val="0"/>
              <w:autoSpaceDE w:val="0"/>
              <w:autoSpaceDN w:val="0"/>
              <w:spacing w:before="53" w:after="0" w:line="246" w:lineRule="exact"/>
              <w:jc w:val="center"/>
              <w:rPr>
                <w:sz w:val="18"/>
                <w:szCs w:val="18"/>
              </w:rPr>
            </w:pPr>
            <w:r>
              <w:rPr>
                <w:rFonts w:hint="eastAsia" w:ascii="宋体" w:hAnsi="宋体" w:eastAsia="宋体"/>
                <w:color w:val="000000"/>
                <w:sz w:val="18"/>
                <w:szCs w:val="18"/>
              </w:rPr>
              <w:t>序号</w:t>
            </w:r>
          </w:p>
        </w:tc>
        <w:tc>
          <w:tcPr>
            <w:tcW w:w="12751" w:type="dxa"/>
            <w:gridSpan w:val="3"/>
            <w:tcBorders>
              <w:top w:val="single" w:color="000000" w:sz="4" w:space="0"/>
              <w:left w:val="single" w:color="000000" w:sz="4" w:space="0"/>
              <w:bottom w:val="single" w:color="000000" w:sz="4" w:space="0"/>
              <w:right w:val="single" w:color="000000" w:sz="4" w:space="0"/>
            </w:tcBorders>
            <w:vAlign w:val="top"/>
          </w:tcPr>
          <w:p w14:paraId="752C0E61">
            <w:pPr>
              <w:wordWrap w:val="0"/>
              <w:autoSpaceDE w:val="0"/>
              <w:autoSpaceDN w:val="0"/>
              <w:spacing w:before="80" w:after="0" w:line="246" w:lineRule="exact"/>
              <w:ind w:firstLine="40"/>
              <w:jc w:val="both"/>
              <w:rPr>
                <w:rFonts w:hint="default" w:eastAsia="宋体"/>
                <w:sz w:val="18"/>
                <w:szCs w:val="18"/>
                <w:lang w:val="en-US" w:eastAsia="zh-CN"/>
              </w:rPr>
            </w:pPr>
            <w:r>
              <w:rPr>
                <w:rFonts w:hint="eastAsia"/>
                <w:sz w:val="18"/>
                <w:szCs w:val="18"/>
                <w:lang w:val="en-US" w:eastAsia="zh-CN"/>
              </w:rPr>
              <w:t>28</w:t>
            </w:r>
          </w:p>
        </w:tc>
      </w:tr>
      <w:tr w14:paraId="69802F1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12" w:type="dxa"/>
            <w:tcBorders>
              <w:top w:val="single" w:color="000000" w:sz="4" w:space="0"/>
              <w:left w:val="single" w:color="000000" w:sz="4" w:space="0"/>
              <w:bottom w:val="single" w:color="000000" w:sz="4" w:space="0"/>
              <w:right w:val="single" w:color="000000" w:sz="4" w:space="0"/>
            </w:tcBorders>
            <w:vAlign w:val="top"/>
          </w:tcPr>
          <w:p w14:paraId="6E0FB9E7">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编号</w:t>
            </w:r>
          </w:p>
        </w:tc>
        <w:tc>
          <w:tcPr>
            <w:tcW w:w="12751" w:type="dxa"/>
            <w:gridSpan w:val="3"/>
            <w:tcBorders>
              <w:top w:val="single" w:color="000000" w:sz="4" w:space="0"/>
              <w:left w:val="single" w:color="000000" w:sz="4" w:space="0"/>
              <w:bottom w:val="single" w:color="000000" w:sz="4" w:space="0"/>
              <w:right w:val="single" w:color="000000" w:sz="4" w:space="0"/>
            </w:tcBorders>
            <w:vAlign w:val="top"/>
          </w:tcPr>
          <w:p w14:paraId="4E1EA8D3">
            <w:pPr>
              <w:wordWrap w:val="0"/>
              <w:autoSpaceDE w:val="0"/>
              <w:autoSpaceDN w:val="0"/>
              <w:spacing w:before="73" w:after="0" w:line="246" w:lineRule="exact"/>
              <w:ind w:firstLine="60"/>
              <w:jc w:val="both"/>
              <w:rPr>
                <w:sz w:val="18"/>
                <w:szCs w:val="18"/>
              </w:rPr>
            </w:pPr>
            <w:r>
              <w:rPr>
                <w:rFonts w:hint="eastAsia" w:ascii="Calibri" w:hAnsi="Calibri" w:eastAsia="Calibri"/>
                <w:color w:val="000000"/>
                <w:sz w:val="18"/>
                <w:szCs w:val="18"/>
              </w:rPr>
              <w:t>320280054000</w:t>
            </w:r>
          </w:p>
        </w:tc>
      </w:tr>
      <w:tr w14:paraId="62ED78C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12" w:type="dxa"/>
            <w:tcBorders>
              <w:top w:val="single" w:color="000000" w:sz="4" w:space="0"/>
              <w:left w:val="single" w:color="000000" w:sz="4" w:space="0"/>
              <w:bottom w:val="single" w:color="000000" w:sz="4" w:space="0"/>
              <w:right w:val="single" w:color="000000" w:sz="4" w:space="0"/>
            </w:tcBorders>
            <w:vAlign w:val="top"/>
          </w:tcPr>
          <w:p w14:paraId="678ED4D6">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行为名称</w:t>
            </w:r>
          </w:p>
        </w:tc>
        <w:tc>
          <w:tcPr>
            <w:tcW w:w="12751" w:type="dxa"/>
            <w:gridSpan w:val="3"/>
            <w:tcBorders>
              <w:top w:val="single" w:color="000000" w:sz="4" w:space="0"/>
              <w:left w:val="single" w:color="000000" w:sz="4" w:space="0"/>
              <w:bottom w:val="single" w:color="000000" w:sz="4" w:space="0"/>
              <w:right w:val="single" w:color="000000" w:sz="4" w:space="0"/>
            </w:tcBorders>
            <w:vAlign w:val="top"/>
          </w:tcPr>
          <w:p w14:paraId="2E733E64">
            <w:pPr>
              <w:wordWrap w:val="0"/>
              <w:autoSpaceDE w:val="0"/>
              <w:autoSpaceDN w:val="0"/>
              <w:spacing w:before="60" w:after="0" w:line="246" w:lineRule="exact"/>
              <w:ind w:firstLine="60"/>
              <w:jc w:val="both"/>
              <w:rPr>
                <w:sz w:val="18"/>
                <w:szCs w:val="18"/>
              </w:rPr>
            </w:pPr>
            <w:r>
              <w:rPr>
                <w:rFonts w:hint="eastAsia" w:ascii="宋体" w:hAnsi="宋体" w:eastAsia="宋体"/>
                <w:color w:val="000000"/>
                <w:sz w:val="18"/>
                <w:szCs w:val="18"/>
              </w:rPr>
              <w:t>对人民防空工程建设单位明示或者暗示设计单位或者施工单位违反工程建设强制性标准，降低工程质量的处罚</w:t>
            </w:r>
          </w:p>
        </w:tc>
      </w:tr>
      <w:tr w14:paraId="43DE0C5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40" w:hRule="atLeast"/>
        </w:trPr>
        <w:tc>
          <w:tcPr>
            <w:tcW w:w="1212" w:type="dxa"/>
            <w:tcBorders>
              <w:top w:val="single" w:color="000000" w:sz="4" w:space="0"/>
              <w:left w:val="single" w:color="000000" w:sz="4" w:space="0"/>
              <w:bottom w:val="single" w:color="000000" w:sz="4" w:space="0"/>
              <w:right w:val="single" w:color="000000" w:sz="4" w:space="0"/>
            </w:tcBorders>
            <w:vAlign w:val="top"/>
          </w:tcPr>
          <w:p w14:paraId="4DDBCD68">
            <w:pPr>
              <w:wordWrap w:val="0"/>
              <w:autoSpaceDE w:val="0"/>
              <w:autoSpaceDN w:val="0"/>
              <w:spacing w:before="0" w:after="0" w:line="246" w:lineRule="exact"/>
              <w:ind w:firstLine="0"/>
              <w:jc w:val="both"/>
              <w:rPr>
                <w:rFonts w:hint="eastAsia" w:ascii="宋体" w:hAnsi="宋体" w:eastAsia="宋体"/>
                <w:color w:val="000000"/>
                <w:sz w:val="18"/>
                <w:szCs w:val="18"/>
              </w:rPr>
            </w:pPr>
          </w:p>
          <w:p w14:paraId="3C018AAB">
            <w:pPr>
              <w:wordWrap w:val="0"/>
              <w:autoSpaceDE w:val="0"/>
              <w:autoSpaceDN w:val="0"/>
              <w:spacing w:before="0" w:after="0" w:line="246" w:lineRule="exact"/>
              <w:ind w:firstLine="0"/>
              <w:jc w:val="both"/>
              <w:rPr>
                <w:rFonts w:hint="eastAsia" w:ascii="宋体" w:hAnsi="宋体" w:eastAsia="宋体"/>
                <w:color w:val="000000"/>
                <w:sz w:val="18"/>
                <w:szCs w:val="18"/>
              </w:rPr>
            </w:pPr>
          </w:p>
          <w:p w14:paraId="2529DD2D">
            <w:pPr>
              <w:wordWrap w:val="0"/>
              <w:autoSpaceDE w:val="0"/>
              <w:autoSpaceDN w:val="0"/>
              <w:spacing w:before="0" w:after="0" w:line="246" w:lineRule="exact"/>
              <w:ind w:firstLine="0"/>
              <w:jc w:val="both"/>
              <w:rPr>
                <w:rFonts w:hint="eastAsia" w:ascii="宋体" w:hAnsi="宋体" w:eastAsia="宋体"/>
                <w:color w:val="000000"/>
                <w:sz w:val="18"/>
                <w:szCs w:val="18"/>
              </w:rPr>
            </w:pPr>
          </w:p>
          <w:p w14:paraId="2B00D622">
            <w:pPr>
              <w:wordWrap w:val="0"/>
              <w:autoSpaceDE w:val="0"/>
              <w:autoSpaceDN w:val="0"/>
              <w:spacing w:before="0" w:after="0" w:line="246" w:lineRule="exact"/>
              <w:ind w:firstLine="0"/>
              <w:jc w:val="both"/>
              <w:rPr>
                <w:rFonts w:hint="eastAsia" w:ascii="宋体" w:hAnsi="宋体" w:eastAsia="宋体"/>
                <w:color w:val="000000"/>
                <w:sz w:val="18"/>
                <w:szCs w:val="18"/>
              </w:rPr>
            </w:pPr>
          </w:p>
          <w:p w14:paraId="45DB6B04">
            <w:pPr>
              <w:wordWrap w:val="0"/>
              <w:autoSpaceDE w:val="0"/>
              <w:autoSpaceDN w:val="0"/>
              <w:spacing w:before="0" w:after="0" w:line="246" w:lineRule="exact"/>
              <w:ind w:firstLine="0"/>
              <w:jc w:val="both"/>
              <w:rPr>
                <w:rFonts w:hint="eastAsia" w:ascii="宋体" w:hAnsi="宋体" w:eastAsia="宋体"/>
                <w:color w:val="000000"/>
                <w:sz w:val="18"/>
                <w:szCs w:val="18"/>
              </w:rPr>
            </w:pPr>
          </w:p>
          <w:p w14:paraId="13C2CBF7">
            <w:pPr>
              <w:wordWrap w:val="0"/>
              <w:autoSpaceDE w:val="0"/>
              <w:autoSpaceDN w:val="0"/>
              <w:spacing w:before="0" w:after="0" w:line="246" w:lineRule="exact"/>
              <w:ind w:firstLine="0"/>
              <w:jc w:val="both"/>
              <w:rPr>
                <w:rFonts w:hint="eastAsia" w:ascii="宋体" w:hAnsi="宋体" w:eastAsia="宋体"/>
                <w:color w:val="000000"/>
                <w:sz w:val="18"/>
                <w:szCs w:val="18"/>
              </w:rPr>
            </w:pPr>
          </w:p>
          <w:p w14:paraId="57CF1DA5">
            <w:pPr>
              <w:wordWrap w:val="0"/>
              <w:autoSpaceDE w:val="0"/>
              <w:autoSpaceDN w:val="0"/>
              <w:spacing w:before="81" w:after="0" w:line="246" w:lineRule="exact"/>
              <w:ind w:firstLine="240"/>
              <w:jc w:val="both"/>
              <w:rPr>
                <w:sz w:val="18"/>
                <w:szCs w:val="18"/>
              </w:rPr>
            </w:pPr>
            <w:r>
              <w:rPr>
                <w:rFonts w:hint="eastAsia" w:ascii="宋体" w:hAnsi="宋体" w:eastAsia="宋体"/>
                <w:color w:val="000000"/>
                <w:sz w:val="18"/>
                <w:szCs w:val="18"/>
              </w:rPr>
              <w:t>法律依据</w:t>
            </w:r>
          </w:p>
        </w:tc>
        <w:tc>
          <w:tcPr>
            <w:tcW w:w="12751" w:type="dxa"/>
            <w:gridSpan w:val="3"/>
            <w:tcBorders>
              <w:top w:val="single" w:color="000000" w:sz="4" w:space="0"/>
              <w:left w:val="single" w:color="000000" w:sz="4" w:space="0"/>
              <w:bottom w:val="single" w:color="000000" w:sz="4" w:space="0"/>
              <w:right w:val="single" w:color="000000" w:sz="4" w:space="0"/>
            </w:tcBorders>
            <w:vAlign w:val="top"/>
          </w:tcPr>
          <w:p w14:paraId="1E9AE69C">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094A580C">
            <w:pPr>
              <w:wordWrap w:val="0"/>
              <w:autoSpaceDE w:val="0"/>
              <w:autoSpaceDN w:val="0"/>
              <w:spacing w:before="53" w:after="0" w:line="246" w:lineRule="exact"/>
              <w:ind w:firstLine="500"/>
              <w:jc w:val="both"/>
              <w:rPr>
                <w:sz w:val="18"/>
                <w:szCs w:val="18"/>
              </w:rPr>
            </w:pPr>
            <w:r>
              <w:rPr>
                <w:rFonts w:hint="eastAsia" w:ascii="宋体" w:hAnsi="宋体" w:eastAsia="宋体"/>
                <w:color w:val="000000"/>
                <w:sz w:val="18"/>
                <w:szCs w:val="18"/>
              </w:rPr>
              <w:t>第十条第二款 建设单位不得明示或者暗示设计单位或者施工单位违反工程建设强制性标准，降低建设工程质量。</w:t>
            </w:r>
          </w:p>
          <w:p w14:paraId="59A53927">
            <w:pPr>
              <w:wordWrap w:val="0"/>
              <w:autoSpaceDE w:val="0"/>
              <w:autoSpaceDN w:val="0"/>
              <w:spacing w:before="53" w:after="0" w:line="246" w:lineRule="exact"/>
              <w:ind w:firstLine="520"/>
              <w:jc w:val="both"/>
              <w:rPr>
                <w:sz w:val="18"/>
                <w:szCs w:val="18"/>
              </w:rPr>
            </w:pPr>
            <w:r>
              <w:rPr>
                <w:rFonts w:hint="eastAsia" w:ascii="宋体" w:hAnsi="宋体" w:eastAsia="宋体"/>
                <w:color w:val="000000"/>
                <w:sz w:val="18"/>
                <w:szCs w:val="18"/>
              </w:rPr>
              <w:t>第五十六条 违反本条例规定，建设单位有下列行为之一的，责令改正，处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万元以下的罚款：</w:t>
            </w:r>
          </w:p>
          <w:p w14:paraId="0013D141">
            <w:pPr>
              <w:wordWrap w:val="0"/>
              <w:autoSpaceDE w:val="0"/>
              <w:autoSpaceDN w:val="0"/>
              <w:spacing w:before="0" w:after="0" w:line="246" w:lineRule="exact"/>
              <w:ind w:firstLine="560"/>
              <w:jc w:val="both"/>
              <w:rPr>
                <w:sz w:val="18"/>
                <w:szCs w:val="18"/>
              </w:rPr>
            </w:pPr>
            <w:r>
              <w:rPr>
                <w:rFonts w:hint="eastAsia" w:ascii="宋体" w:hAnsi="宋体" w:eastAsia="宋体"/>
                <w:color w:val="000000"/>
                <w:sz w:val="18"/>
                <w:szCs w:val="18"/>
              </w:rPr>
              <w:t>（三）明示或者暗示设计单位或者施工单位违反工程建设强制性标准，降低工程质量的；</w:t>
            </w:r>
          </w:p>
          <w:p w14:paraId="54825F3C">
            <w:pPr>
              <w:wordWrap w:val="0"/>
              <w:autoSpaceDE w:val="0"/>
              <w:autoSpaceDN w:val="0"/>
              <w:spacing w:before="0" w:after="0" w:line="246" w:lineRule="exact"/>
              <w:ind w:firstLine="0"/>
              <w:jc w:val="both"/>
              <w:rPr>
                <w:rFonts w:hint="eastAsia" w:ascii="宋体" w:hAnsi="宋体" w:eastAsia="宋体"/>
                <w:color w:val="000000"/>
                <w:sz w:val="18"/>
                <w:szCs w:val="18"/>
              </w:rPr>
            </w:pPr>
          </w:p>
          <w:p w14:paraId="779DEF2F">
            <w:pPr>
              <w:wordWrap w:val="0"/>
              <w:autoSpaceDE w:val="0"/>
              <w:autoSpaceDN w:val="0"/>
              <w:spacing w:before="107" w:after="0" w:line="246" w:lineRule="exact"/>
              <w:ind w:left="100" w:right="80" w:firstLine="42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1B4463CF">
            <w:pPr>
              <w:wordWrap w:val="0"/>
              <w:autoSpaceDE w:val="0"/>
              <w:autoSpaceDN w:val="0"/>
              <w:spacing w:before="53" w:after="0" w:line="246" w:lineRule="exact"/>
              <w:ind w:left="100" w:right="6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071203EB">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0CD05BFB">
            <w:pPr>
              <w:wordWrap w:val="0"/>
              <w:autoSpaceDE w:val="0"/>
              <w:autoSpaceDN w:val="0"/>
              <w:spacing w:before="0" w:after="0" w:line="246" w:lineRule="exact"/>
              <w:ind w:left="80" w:right="6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5EFD050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12" w:type="dxa"/>
            <w:tcBorders>
              <w:top w:val="single" w:color="000000" w:sz="4" w:space="0"/>
              <w:left w:val="single" w:color="000000" w:sz="4" w:space="0"/>
              <w:bottom w:val="single" w:color="000000" w:sz="4" w:space="0"/>
              <w:right w:val="single" w:color="000000" w:sz="4" w:space="0"/>
            </w:tcBorders>
            <w:vAlign w:val="top"/>
          </w:tcPr>
          <w:p w14:paraId="7C280F96">
            <w:pPr>
              <w:wordWrap w:val="0"/>
              <w:autoSpaceDE w:val="0"/>
              <w:autoSpaceDN w:val="0"/>
              <w:spacing w:before="0" w:after="0" w:line="240" w:lineRule="exact"/>
              <w:ind w:firstLine="240"/>
              <w:jc w:val="both"/>
              <w:rPr>
                <w:sz w:val="18"/>
                <w:szCs w:val="18"/>
              </w:rPr>
            </w:pPr>
            <w:r>
              <w:rPr>
                <w:rFonts w:hint="eastAsia" w:ascii="宋体" w:hAnsi="宋体" w:eastAsia="宋体"/>
                <w:color w:val="000000"/>
                <w:sz w:val="18"/>
                <w:szCs w:val="18"/>
              </w:rPr>
              <w:t>处罚种类</w:t>
            </w:r>
          </w:p>
        </w:tc>
        <w:tc>
          <w:tcPr>
            <w:tcW w:w="12751" w:type="dxa"/>
            <w:gridSpan w:val="3"/>
            <w:tcBorders>
              <w:top w:val="single" w:color="000000" w:sz="4" w:space="0"/>
              <w:left w:val="single" w:color="000000" w:sz="4" w:space="0"/>
              <w:bottom w:val="single" w:color="000000" w:sz="4" w:space="0"/>
              <w:right w:val="single" w:color="000000" w:sz="4" w:space="0"/>
            </w:tcBorders>
            <w:vAlign w:val="top"/>
          </w:tcPr>
          <w:p w14:paraId="0011ABDC">
            <w:pPr>
              <w:wordWrap w:val="0"/>
              <w:autoSpaceDE w:val="0"/>
              <w:autoSpaceDN w:val="0"/>
              <w:spacing w:before="60" w:after="0" w:line="246" w:lineRule="exact"/>
              <w:ind w:firstLine="60"/>
              <w:jc w:val="both"/>
              <w:rPr>
                <w:sz w:val="18"/>
                <w:szCs w:val="18"/>
              </w:rPr>
            </w:pPr>
            <w:r>
              <w:rPr>
                <w:rFonts w:hint="eastAsia" w:ascii="宋体" w:hAnsi="宋体" w:eastAsia="宋体"/>
                <w:color w:val="000000"/>
                <w:sz w:val="18"/>
                <w:szCs w:val="18"/>
              </w:rPr>
              <w:t>罚款</w:t>
            </w:r>
          </w:p>
        </w:tc>
      </w:tr>
      <w:tr w14:paraId="08DC1C6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3963" w:type="dxa"/>
            <w:gridSpan w:val="4"/>
            <w:tcBorders>
              <w:top w:val="single" w:color="000000" w:sz="4" w:space="0"/>
              <w:left w:val="single" w:color="000000" w:sz="4" w:space="0"/>
              <w:bottom w:val="single" w:color="000000" w:sz="4" w:space="0"/>
              <w:right w:val="single" w:color="000000" w:sz="4" w:space="0"/>
            </w:tcBorders>
            <w:vAlign w:val="top"/>
          </w:tcPr>
          <w:p w14:paraId="7013AE97">
            <w:pPr>
              <w:wordWrap w:val="0"/>
              <w:autoSpaceDE w:val="0"/>
              <w:autoSpaceDN w:val="0"/>
              <w:spacing w:before="100" w:after="0" w:line="246" w:lineRule="exact"/>
              <w:jc w:val="center"/>
              <w:rPr>
                <w:sz w:val="18"/>
                <w:szCs w:val="18"/>
              </w:rPr>
            </w:pPr>
            <w:r>
              <w:rPr>
                <w:rFonts w:hint="eastAsia" w:ascii="宋体" w:hAnsi="宋体" w:eastAsia="宋体"/>
                <w:color w:val="000000"/>
                <w:sz w:val="18"/>
                <w:szCs w:val="18"/>
              </w:rPr>
              <w:t>自由裁量基准</w:t>
            </w:r>
          </w:p>
        </w:tc>
      </w:tr>
      <w:tr w14:paraId="71CB832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12" w:type="dxa"/>
            <w:vMerge w:val="restart"/>
            <w:tcBorders>
              <w:top w:val="single" w:color="000000" w:sz="4" w:space="0"/>
              <w:left w:val="single" w:color="000000" w:sz="4" w:space="0"/>
              <w:bottom w:val="single" w:color="000000" w:sz="4" w:space="0"/>
              <w:right w:val="single" w:color="000000" w:sz="4" w:space="0"/>
            </w:tcBorders>
            <w:vAlign w:val="top"/>
          </w:tcPr>
          <w:p w14:paraId="448AFA56">
            <w:pPr>
              <w:wordWrap w:val="0"/>
              <w:autoSpaceDE w:val="0"/>
              <w:autoSpaceDN w:val="0"/>
              <w:spacing w:before="0" w:after="0" w:line="246" w:lineRule="exact"/>
              <w:ind w:firstLine="0"/>
              <w:jc w:val="both"/>
              <w:rPr>
                <w:rFonts w:hint="eastAsia" w:ascii="宋体" w:hAnsi="宋体" w:eastAsia="宋体"/>
                <w:color w:val="000000"/>
                <w:sz w:val="18"/>
                <w:szCs w:val="18"/>
              </w:rPr>
            </w:pPr>
          </w:p>
          <w:p w14:paraId="6EACB0FE">
            <w:pPr>
              <w:wordWrap w:val="0"/>
              <w:autoSpaceDE w:val="0"/>
              <w:autoSpaceDN w:val="0"/>
              <w:spacing w:before="0" w:after="0" w:line="246" w:lineRule="exact"/>
              <w:ind w:firstLine="0"/>
              <w:jc w:val="both"/>
              <w:rPr>
                <w:rFonts w:hint="eastAsia" w:ascii="宋体" w:hAnsi="宋体" w:eastAsia="宋体"/>
                <w:color w:val="000000"/>
                <w:sz w:val="18"/>
                <w:szCs w:val="18"/>
              </w:rPr>
            </w:pPr>
          </w:p>
          <w:p w14:paraId="1CEA63F2">
            <w:pPr>
              <w:wordWrap w:val="0"/>
              <w:autoSpaceDE w:val="0"/>
              <w:autoSpaceDN w:val="0"/>
              <w:spacing w:before="0" w:after="0" w:line="246" w:lineRule="exact"/>
              <w:ind w:firstLine="0"/>
              <w:jc w:val="both"/>
              <w:rPr>
                <w:rFonts w:hint="eastAsia" w:ascii="宋体" w:hAnsi="宋体" w:eastAsia="宋体"/>
                <w:color w:val="000000"/>
                <w:sz w:val="18"/>
                <w:szCs w:val="18"/>
              </w:rPr>
            </w:pPr>
          </w:p>
          <w:p w14:paraId="4CF4C697">
            <w:pPr>
              <w:wordWrap w:val="0"/>
              <w:autoSpaceDE w:val="0"/>
              <w:autoSpaceDN w:val="0"/>
              <w:spacing w:before="0" w:after="0" w:line="246" w:lineRule="exact"/>
              <w:ind w:firstLine="0"/>
              <w:jc w:val="both"/>
              <w:rPr>
                <w:rFonts w:hint="eastAsia" w:ascii="宋体" w:hAnsi="宋体" w:eastAsia="宋体"/>
                <w:color w:val="000000"/>
                <w:sz w:val="18"/>
                <w:szCs w:val="18"/>
              </w:rPr>
            </w:pPr>
          </w:p>
          <w:p w14:paraId="75A81B50">
            <w:pPr>
              <w:wordWrap w:val="0"/>
              <w:autoSpaceDE w:val="0"/>
              <w:autoSpaceDN w:val="0"/>
              <w:spacing w:before="114" w:after="0" w:line="246" w:lineRule="exact"/>
              <w:ind w:firstLine="260"/>
              <w:jc w:val="both"/>
              <w:rPr>
                <w:sz w:val="18"/>
                <w:szCs w:val="18"/>
              </w:rPr>
            </w:pPr>
            <w:r>
              <w:rPr>
                <w:rFonts w:hint="eastAsia" w:ascii="宋体" w:hAnsi="宋体" w:eastAsia="宋体"/>
                <w:color w:val="000000"/>
                <w:sz w:val="18"/>
                <w:szCs w:val="18"/>
              </w:rPr>
              <w:t>情形描述</w:t>
            </w:r>
          </w:p>
        </w:tc>
        <w:tc>
          <w:tcPr>
            <w:tcW w:w="5948" w:type="dxa"/>
            <w:tcBorders>
              <w:top w:val="single" w:color="000000" w:sz="4" w:space="0"/>
              <w:left w:val="single" w:color="000000" w:sz="4" w:space="0"/>
              <w:bottom w:val="single" w:color="000000" w:sz="4" w:space="0"/>
              <w:right w:val="single" w:color="000000" w:sz="4" w:space="0"/>
            </w:tcBorders>
            <w:vAlign w:val="top"/>
          </w:tcPr>
          <w:p w14:paraId="17A8E421">
            <w:pPr>
              <w:wordWrap w:val="0"/>
              <w:autoSpaceDE w:val="0"/>
              <w:autoSpaceDN w:val="0"/>
              <w:spacing w:before="220" w:after="0" w:line="246" w:lineRule="exact"/>
              <w:jc w:val="center"/>
              <w:rPr>
                <w:sz w:val="18"/>
                <w:szCs w:val="18"/>
              </w:rPr>
            </w:pPr>
            <w:r>
              <w:rPr>
                <w:rFonts w:hint="eastAsia" w:ascii="宋体" w:hAnsi="宋体" w:eastAsia="宋体"/>
                <w:color w:val="000000"/>
                <w:sz w:val="18"/>
                <w:szCs w:val="18"/>
              </w:rPr>
              <w:t>建筑设计单位或者建筑施工企业未实施，或者未造成质量隐患的</w:t>
            </w:r>
          </w:p>
        </w:tc>
        <w:tc>
          <w:tcPr>
            <w:tcW w:w="1053" w:type="dxa"/>
            <w:vMerge w:val="restart"/>
            <w:tcBorders>
              <w:top w:val="single" w:color="000000" w:sz="4" w:space="0"/>
              <w:left w:val="single" w:color="000000" w:sz="4" w:space="0"/>
              <w:bottom w:val="single" w:color="000000" w:sz="4" w:space="0"/>
              <w:right w:val="single" w:color="000000" w:sz="4" w:space="0"/>
            </w:tcBorders>
            <w:vAlign w:val="top"/>
          </w:tcPr>
          <w:p w14:paraId="1D097F13">
            <w:pPr>
              <w:wordWrap w:val="0"/>
              <w:autoSpaceDE w:val="0"/>
              <w:autoSpaceDN w:val="0"/>
              <w:spacing w:before="0" w:after="0" w:line="246" w:lineRule="exact"/>
              <w:ind w:firstLine="0"/>
              <w:jc w:val="both"/>
              <w:rPr>
                <w:rFonts w:hint="eastAsia" w:ascii="宋体" w:hAnsi="宋体" w:eastAsia="宋体"/>
                <w:color w:val="000000"/>
                <w:sz w:val="18"/>
                <w:szCs w:val="18"/>
              </w:rPr>
            </w:pPr>
          </w:p>
          <w:p w14:paraId="5499005E">
            <w:pPr>
              <w:wordWrap w:val="0"/>
              <w:autoSpaceDE w:val="0"/>
              <w:autoSpaceDN w:val="0"/>
              <w:spacing w:before="0" w:after="0" w:line="246" w:lineRule="exact"/>
              <w:ind w:firstLine="0"/>
              <w:jc w:val="both"/>
              <w:rPr>
                <w:rFonts w:hint="eastAsia" w:ascii="宋体" w:hAnsi="宋体" w:eastAsia="宋体"/>
                <w:color w:val="000000"/>
                <w:sz w:val="18"/>
                <w:szCs w:val="18"/>
              </w:rPr>
            </w:pPr>
          </w:p>
          <w:p w14:paraId="793EC593">
            <w:pPr>
              <w:wordWrap w:val="0"/>
              <w:autoSpaceDE w:val="0"/>
              <w:autoSpaceDN w:val="0"/>
              <w:spacing w:before="0" w:after="0" w:line="246" w:lineRule="exact"/>
              <w:ind w:firstLine="0"/>
              <w:jc w:val="both"/>
              <w:rPr>
                <w:rFonts w:hint="eastAsia" w:ascii="宋体" w:hAnsi="宋体" w:eastAsia="宋体"/>
                <w:color w:val="000000"/>
                <w:sz w:val="18"/>
                <w:szCs w:val="18"/>
              </w:rPr>
            </w:pPr>
          </w:p>
          <w:p w14:paraId="6B9457E1">
            <w:pPr>
              <w:wordWrap w:val="0"/>
              <w:autoSpaceDE w:val="0"/>
              <w:autoSpaceDN w:val="0"/>
              <w:spacing w:before="0" w:after="0" w:line="246" w:lineRule="exact"/>
              <w:ind w:firstLine="0"/>
              <w:jc w:val="both"/>
              <w:rPr>
                <w:rFonts w:hint="eastAsia" w:ascii="宋体" w:hAnsi="宋体" w:eastAsia="宋体"/>
                <w:color w:val="000000"/>
                <w:sz w:val="18"/>
                <w:szCs w:val="18"/>
              </w:rPr>
            </w:pPr>
          </w:p>
          <w:p w14:paraId="29FDEAAC">
            <w:pPr>
              <w:wordWrap w:val="0"/>
              <w:autoSpaceDE w:val="0"/>
              <w:autoSpaceDN w:val="0"/>
              <w:spacing w:before="94" w:after="0" w:line="246" w:lineRule="exact"/>
              <w:ind w:firstLine="100"/>
              <w:jc w:val="both"/>
              <w:rPr>
                <w:sz w:val="18"/>
                <w:szCs w:val="18"/>
              </w:rPr>
            </w:pPr>
            <w:r>
              <w:rPr>
                <w:rFonts w:hint="eastAsia" w:ascii="宋体" w:hAnsi="宋体" w:eastAsia="宋体"/>
                <w:color w:val="000000"/>
                <w:sz w:val="18"/>
                <w:szCs w:val="18"/>
              </w:rPr>
              <w:t>裁量幅度</w:t>
            </w:r>
          </w:p>
        </w:tc>
        <w:tc>
          <w:tcPr>
            <w:tcW w:w="5750" w:type="dxa"/>
            <w:tcBorders>
              <w:top w:val="single" w:color="000000" w:sz="4" w:space="0"/>
              <w:left w:val="single" w:color="000000" w:sz="4" w:space="0"/>
              <w:bottom w:val="single" w:color="000000" w:sz="4" w:space="0"/>
              <w:right w:val="single" w:color="000000" w:sz="4" w:space="0"/>
            </w:tcBorders>
            <w:vAlign w:val="top"/>
          </w:tcPr>
          <w:p w14:paraId="79EA6465">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25</w:t>
            </w:r>
            <w:r>
              <w:rPr>
                <w:rFonts w:hint="eastAsia" w:ascii="宋体" w:hAnsi="宋体" w:eastAsia="宋体"/>
                <w:color w:val="000000"/>
                <w:sz w:val="18"/>
                <w:szCs w:val="18"/>
              </w:rPr>
              <w:t>万元以下罚款</w:t>
            </w:r>
          </w:p>
          <w:p w14:paraId="01CBAE0D">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18512BC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212" w:type="dxa"/>
            <w:vMerge w:val="continue"/>
            <w:tcBorders>
              <w:top w:val="single" w:color="000000" w:sz="4" w:space="0"/>
              <w:left w:val="single" w:color="000000" w:sz="4" w:space="0"/>
              <w:bottom w:val="single" w:color="000000" w:sz="4" w:space="0"/>
              <w:right w:val="single" w:color="000000" w:sz="4" w:space="0"/>
            </w:tcBorders>
          </w:tcPr>
          <w:p w14:paraId="13C891F3">
            <w:pPr>
              <w:rPr>
                <w:sz w:val="18"/>
                <w:szCs w:val="18"/>
              </w:rPr>
            </w:pPr>
          </w:p>
        </w:tc>
        <w:tc>
          <w:tcPr>
            <w:tcW w:w="5948" w:type="dxa"/>
            <w:tcBorders>
              <w:top w:val="single" w:color="000000" w:sz="4" w:space="0"/>
              <w:left w:val="single" w:color="000000" w:sz="4" w:space="0"/>
              <w:bottom w:val="single" w:color="000000" w:sz="4" w:space="0"/>
              <w:right w:val="single" w:color="000000" w:sz="4" w:space="0"/>
            </w:tcBorders>
            <w:vAlign w:val="top"/>
          </w:tcPr>
          <w:p w14:paraId="1C7597B7">
            <w:pPr>
              <w:wordWrap w:val="0"/>
              <w:autoSpaceDE w:val="0"/>
              <w:autoSpaceDN w:val="0"/>
              <w:spacing w:before="200" w:after="0" w:line="246" w:lineRule="exact"/>
              <w:ind w:firstLine="100"/>
              <w:jc w:val="both"/>
              <w:rPr>
                <w:sz w:val="18"/>
                <w:szCs w:val="18"/>
              </w:rPr>
            </w:pPr>
            <w:r>
              <w:rPr>
                <w:rFonts w:hint="eastAsia" w:ascii="宋体" w:hAnsi="宋体" w:eastAsia="宋体"/>
                <w:color w:val="000000"/>
                <w:sz w:val="18"/>
                <w:szCs w:val="18"/>
              </w:rPr>
              <w:t>造成质量隐患的</w:t>
            </w:r>
          </w:p>
        </w:tc>
        <w:tc>
          <w:tcPr>
            <w:tcW w:w="1053" w:type="dxa"/>
            <w:vMerge w:val="continue"/>
            <w:tcBorders>
              <w:top w:val="single" w:color="000000" w:sz="4" w:space="0"/>
              <w:left w:val="single" w:color="000000" w:sz="4" w:space="0"/>
              <w:bottom w:val="single" w:color="000000" w:sz="4" w:space="0"/>
              <w:right w:val="single" w:color="000000" w:sz="4" w:space="0"/>
            </w:tcBorders>
          </w:tcPr>
          <w:p w14:paraId="7453F480">
            <w:pPr>
              <w:rPr>
                <w:sz w:val="18"/>
                <w:szCs w:val="18"/>
              </w:rPr>
            </w:pPr>
          </w:p>
        </w:tc>
        <w:tc>
          <w:tcPr>
            <w:tcW w:w="5750" w:type="dxa"/>
            <w:tcBorders>
              <w:top w:val="single" w:color="000000" w:sz="4" w:space="0"/>
              <w:left w:val="single" w:color="000000" w:sz="4" w:space="0"/>
              <w:bottom w:val="single" w:color="000000" w:sz="4" w:space="0"/>
              <w:right w:val="single" w:color="000000" w:sz="4" w:space="0"/>
            </w:tcBorders>
            <w:vAlign w:val="top"/>
          </w:tcPr>
          <w:p w14:paraId="73F43FBB">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25</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万元以下罚款</w:t>
            </w:r>
          </w:p>
          <w:p w14:paraId="65621457">
            <w:pPr>
              <w:wordWrap w:val="0"/>
              <w:autoSpaceDE w:val="0"/>
              <w:autoSpaceDN w:val="0"/>
              <w:spacing w:before="0" w:after="0" w:line="240"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7</w:t>
            </w:r>
            <w:r>
              <w:rPr>
                <w:rFonts w:hint="eastAsia" w:ascii="宋体" w:hAnsi="宋体" w:eastAsia="宋体"/>
                <w:color w:val="000000"/>
                <w:sz w:val="18"/>
                <w:szCs w:val="18"/>
              </w:rPr>
              <w:t>％以下罚款</w:t>
            </w:r>
          </w:p>
        </w:tc>
      </w:tr>
      <w:tr w14:paraId="3C8E599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12" w:type="dxa"/>
            <w:vMerge w:val="continue"/>
            <w:tcBorders>
              <w:top w:val="single" w:color="000000" w:sz="4" w:space="0"/>
              <w:left w:val="single" w:color="000000" w:sz="4" w:space="0"/>
              <w:bottom w:val="single" w:color="000000" w:sz="4" w:space="0"/>
              <w:right w:val="single" w:color="000000" w:sz="4" w:space="0"/>
            </w:tcBorders>
          </w:tcPr>
          <w:p w14:paraId="33269976">
            <w:pPr>
              <w:rPr>
                <w:sz w:val="18"/>
                <w:szCs w:val="18"/>
              </w:rPr>
            </w:pPr>
          </w:p>
        </w:tc>
        <w:tc>
          <w:tcPr>
            <w:tcW w:w="5948" w:type="dxa"/>
            <w:tcBorders>
              <w:top w:val="single" w:color="000000" w:sz="4" w:space="0"/>
              <w:left w:val="single" w:color="000000" w:sz="4" w:space="0"/>
              <w:bottom w:val="single" w:color="000000" w:sz="4" w:space="0"/>
              <w:right w:val="single" w:color="000000" w:sz="4" w:space="0"/>
            </w:tcBorders>
            <w:vAlign w:val="top"/>
          </w:tcPr>
          <w:p w14:paraId="55C992C3">
            <w:pPr>
              <w:wordWrap w:val="0"/>
              <w:autoSpaceDE w:val="0"/>
              <w:autoSpaceDN w:val="0"/>
              <w:spacing w:before="240" w:after="0" w:line="246" w:lineRule="exact"/>
              <w:ind w:firstLine="80"/>
              <w:jc w:val="both"/>
              <w:rPr>
                <w:sz w:val="18"/>
                <w:szCs w:val="18"/>
              </w:rPr>
            </w:pPr>
            <w:r>
              <w:rPr>
                <w:rFonts w:hint="eastAsia" w:ascii="宋体" w:hAnsi="宋体" w:eastAsia="宋体"/>
                <w:color w:val="000000"/>
                <w:sz w:val="18"/>
                <w:szCs w:val="18"/>
              </w:rPr>
              <w:t>造成一般或较大质量事故的</w:t>
            </w:r>
          </w:p>
        </w:tc>
        <w:tc>
          <w:tcPr>
            <w:tcW w:w="1053" w:type="dxa"/>
            <w:vMerge w:val="continue"/>
            <w:tcBorders>
              <w:top w:val="single" w:color="000000" w:sz="4" w:space="0"/>
              <w:left w:val="single" w:color="000000" w:sz="4" w:space="0"/>
              <w:bottom w:val="single" w:color="000000" w:sz="4" w:space="0"/>
              <w:right w:val="single" w:color="000000" w:sz="4" w:space="0"/>
            </w:tcBorders>
          </w:tcPr>
          <w:p w14:paraId="1912E017">
            <w:pPr>
              <w:rPr>
                <w:sz w:val="18"/>
                <w:szCs w:val="18"/>
              </w:rPr>
            </w:pPr>
          </w:p>
        </w:tc>
        <w:tc>
          <w:tcPr>
            <w:tcW w:w="5750" w:type="dxa"/>
            <w:tcBorders>
              <w:top w:val="single" w:color="000000" w:sz="4" w:space="0"/>
              <w:left w:val="single" w:color="000000" w:sz="4" w:space="0"/>
              <w:bottom w:val="single" w:color="000000" w:sz="4" w:space="0"/>
              <w:right w:val="single" w:color="000000" w:sz="4" w:space="0"/>
            </w:tcBorders>
            <w:vAlign w:val="top"/>
          </w:tcPr>
          <w:p w14:paraId="704A71E1">
            <w:pPr>
              <w:wordWrap w:val="0"/>
              <w:autoSpaceDE w:val="0"/>
              <w:autoSpaceDN w:val="0"/>
              <w:spacing w:before="93" w:after="0" w:line="246" w:lineRule="exact"/>
              <w:ind w:firstLine="10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30</w:t>
            </w:r>
            <w:r>
              <w:rPr>
                <w:rFonts w:hint="eastAsia" w:ascii="宋体" w:hAnsi="宋体" w:eastAsia="宋体"/>
                <w:color w:val="000000"/>
                <w:sz w:val="18"/>
                <w:szCs w:val="18"/>
              </w:rPr>
              <w:t>万元以上</w:t>
            </w:r>
            <w:r>
              <w:rPr>
                <w:rFonts w:hint="eastAsia" w:ascii="Calibri" w:hAnsi="Calibri" w:eastAsia="Calibri"/>
                <w:color w:val="000000"/>
                <w:sz w:val="18"/>
                <w:szCs w:val="18"/>
              </w:rPr>
              <w:t>40</w:t>
            </w:r>
            <w:r>
              <w:rPr>
                <w:rFonts w:hint="eastAsia" w:ascii="宋体" w:hAnsi="宋体" w:eastAsia="宋体"/>
                <w:color w:val="000000"/>
                <w:sz w:val="18"/>
                <w:szCs w:val="18"/>
              </w:rPr>
              <w:t>万元以下罚款</w:t>
            </w:r>
          </w:p>
          <w:p w14:paraId="6FD3DE68">
            <w:pPr>
              <w:wordWrap w:val="0"/>
              <w:autoSpaceDE w:val="0"/>
              <w:autoSpaceDN w:val="0"/>
              <w:spacing w:before="0" w:after="0" w:line="240"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01DE483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1212" w:type="dxa"/>
            <w:vMerge w:val="continue"/>
            <w:tcBorders>
              <w:top w:val="single" w:color="000000" w:sz="4" w:space="0"/>
              <w:left w:val="single" w:color="000000" w:sz="4" w:space="0"/>
              <w:bottom w:val="single" w:color="000000" w:sz="4" w:space="0"/>
              <w:right w:val="single" w:color="000000" w:sz="4" w:space="0"/>
            </w:tcBorders>
          </w:tcPr>
          <w:p w14:paraId="067DBE53">
            <w:pPr>
              <w:rPr>
                <w:sz w:val="18"/>
                <w:szCs w:val="18"/>
              </w:rPr>
            </w:pPr>
          </w:p>
        </w:tc>
        <w:tc>
          <w:tcPr>
            <w:tcW w:w="5948" w:type="dxa"/>
            <w:tcBorders>
              <w:top w:val="single" w:color="000000" w:sz="4" w:space="0"/>
              <w:left w:val="single" w:color="000000" w:sz="4" w:space="0"/>
              <w:bottom w:val="single" w:color="000000" w:sz="4" w:space="0"/>
              <w:right w:val="single" w:color="000000" w:sz="4" w:space="0"/>
            </w:tcBorders>
            <w:vAlign w:val="top"/>
          </w:tcPr>
          <w:p w14:paraId="08DD5E24">
            <w:pPr>
              <w:wordWrap w:val="0"/>
              <w:autoSpaceDE w:val="0"/>
              <w:autoSpaceDN w:val="0"/>
              <w:spacing w:before="220" w:after="0" w:line="246" w:lineRule="exact"/>
              <w:ind w:firstLine="100"/>
              <w:jc w:val="both"/>
              <w:rPr>
                <w:sz w:val="18"/>
                <w:szCs w:val="18"/>
              </w:rPr>
            </w:pPr>
            <w:r>
              <w:rPr>
                <w:rFonts w:hint="eastAsia" w:ascii="宋体" w:hAnsi="宋体" w:eastAsia="宋体"/>
                <w:color w:val="000000"/>
                <w:sz w:val="18"/>
                <w:szCs w:val="18"/>
              </w:rPr>
              <w:t>造成重大及以上质量事故的</w:t>
            </w:r>
          </w:p>
        </w:tc>
        <w:tc>
          <w:tcPr>
            <w:tcW w:w="1053" w:type="dxa"/>
            <w:vMerge w:val="continue"/>
            <w:tcBorders>
              <w:top w:val="single" w:color="000000" w:sz="4" w:space="0"/>
              <w:left w:val="single" w:color="000000" w:sz="4" w:space="0"/>
              <w:bottom w:val="single" w:color="000000" w:sz="4" w:space="0"/>
              <w:right w:val="single" w:color="000000" w:sz="4" w:space="0"/>
            </w:tcBorders>
          </w:tcPr>
          <w:p w14:paraId="3347C068">
            <w:pPr>
              <w:rPr>
                <w:sz w:val="18"/>
                <w:szCs w:val="18"/>
              </w:rPr>
            </w:pPr>
          </w:p>
        </w:tc>
        <w:tc>
          <w:tcPr>
            <w:tcW w:w="5750" w:type="dxa"/>
            <w:tcBorders>
              <w:top w:val="single" w:color="000000" w:sz="4" w:space="0"/>
              <w:left w:val="single" w:color="000000" w:sz="4" w:space="0"/>
              <w:bottom w:val="single" w:color="000000" w:sz="4" w:space="0"/>
              <w:right w:val="single" w:color="000000" w:sz="4" w:space="0"/>
            </w:tcBorders>
            <w:vAlign w:val="top"/>
          </w:tcPr>
          <w:p w14:paraId="1EA458B3">
            <w:pPr>
              <w:wordWrap w:val="0"/>
              <w:autoSpaceDE w:val="0"/>
              <w:autoSpaceDN w:val="0"/>
              <w:spacing w:before="7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40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万元以下罚款</w:t>
            </w:r>
          </w:p>
          <w:p w14:paraId="7CFFC3D9">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2639CF5C">
      <w:pPr>
        <w:rPr>
          <w:sz w:val="18"/>
          <w:szCs w:val="18"/>
        </w:rPr>
      </w:pPr>
    </w:p>
    <w:p w14:paraId="79522C9C">
      <w:pPr>
        <w:rPr>
          <w:sz w:val="18"/>
          <w:szCs w:val="18"/>
        </w:rPr>
      </w:pPr>
    </w:p>
    <w:tbl>
      <w:tblPr>
        <w:tblStyle w:val="15"/>
        <w:tblW w:w="0" w:type="auto"/>
        <w:tblInd w:w="18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9"/>
        <w:gridCol w:w="5755"/>
        <w:gridCol w:w="1225"/>
        <w:gridCol w:w="5619"/>
      </w:tblGrid>
      <w:tr w14:paraId="74CF939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559B935C">
            <w:pPr>
              <w:wordWrap w:val="0"/>
              <w:autoSpaceDE w:val="0"/>
              <w:autoSpaceDN w:val="0"/>
              <w:spacing w:before="13" w:after="0" w:line="246" w:lineRule="exact"/>
              <w:ind w:firstLine="440"/>
              <w:jc w:val="both"/>
              <w:rPr>
                <w:sz w:val="18"/>
                <w:szCs w:val="18"/>
              </w:rPr>
            </w:pPr>
            <w:r>
              <w:rPr>
                <w:rFonts w:hint="eastAsia" w:ascii="宋体" w:hAnsi="宋体" w:eastAsia="宋体"/>
                <w:color w:val="000000"/>
                <w:sz w:val="18"/>
                <w:szCs w:val="18"/>
              </w:rPr>
              <w:t>序号</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68B308F9">
            <w:pPr>
              <w:wordWrap w:val="0"/>
              <w:autoSpaceDE w:val="0"/>
              <w:autoSpaceDN w:val="0"/>
              <w:spacing w:before="33" w:after="0" w:line="246" w:lineRule="exact"/>
              <w:ind w:firstLine="80"/>
              <w:jc w:val="both"/>
              <w:rPr>
                <w:rFonts w:hint="default" w:eastAsia="宋体"/>
                <w:sz w:val="18"/>
                <w:szCs w:val="18"/>
                <w:lang w:val="en-US" w:eastAsia="zh-CN"/>
              </w:rPr>
            </w:pPr>
            <w:r>
              <w:rPr>
                <w:rFonts w:hint="eastAsia"/>
                <w:sz w:val="18"/>
                <w:szCs w:val="18"/>
                <w:lang w:val="en-US" w:eastAsia="zh-CN"/>
              </w:rPr>
              <w:t>29</w:t>
            </w:r>
          </w:p>
        </w:tc>
      </w:tr>
      <w:tr w14:paraId="4763C7D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D95432F">
            <w:pPr>
              <w:wordWrap w:val="0"/>
              <w:autoSpaceDE w:val="0"/>
              <w:autoSpaceDN w:val="0"/>
              <w:spacing w:before="0" w:after="0" w:line="240" w:lineRule="exact"/>
              <w:ind w:firstLine="440"/>
              <w:jc w:val="both"/>
              <w:rPr>
                <w:sz w:val="18"/>
                <w:szCs w:val="18"/>
              </w:rPr>
            </w:pPr>
            <w:r>
              <w:rPr>
                <w:rFonts w:hint="eastAsia" w:ascii="宋体" w:hAnsi="宋体" w:eastAsia="宋体"/>
                <w:color w:val="000000"/>
                <w:sz w:val="18"/>
                <w:szCs w:val="18"/>
              </w:rPr>
              <w:t>编号</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0687CDA2">
            <w:pPr>
              <w:wordWrap w:val="0"/>
              <w:autoSpaceDE w:val="0"/>
              <w:autoSpaceDN w:val="0"/>
              <w:spacing w:before="13" w:after="0" w:line="246" w:lineRule="exact"/>
              <w:ind w:firstLine="80"/>
              <w:jc w:val="both"/>
              <w:rPr>
                <w:sz w:val="18"/>
                <w:szCs w:val="18"/>
              </w:rPr>
            </w:pPr>
            <w:r>
              <w:rPr>
                <w:rFonts w:hint="eastAsia" w:ascii="Calibri" w:hAnsi="Calibri" w:eastAsia="Calibri"/>
                <w:color w:val="000000"/>
                <w:sz w:val="18"/>
                <w:szCs w:val="18"/>
              </w:rPr>
              <w:t>320280055000</w:t>
            </w:r>
          </w:p>
        </w:tc>
      </w:tr>
      <w:tr w14:paraId="26AAAC3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136DC067">
            <w:pPr>
              <w:wordWrap w:val="0"/>
              <w:autoSpaceDE w:val="0"/>
              <w:autoSpaceDN w:val="0"/>
              <w:spacing w:before="13" w:after="0" w:line="246" w:lineRule="exact"/>
              <w:ind w:firstLine="220"/>
              <w:jc w:val="both"/>
              <w:rPr>
                <w:sz w:val="18"/>
                <w:szCs w:val="18"/>
              </w:rPr>
            </w:pPr>
            <w:r>
              <w:rPr>
                <w:rFonts w:hint="eastAsia" w:ascii="宋体" w:hAnsi="宋体" w:eastAsia="宋体"/>
                <w:color w:val="000000"/>
                <w:sz w:val="18"/>
                <w:szCs w:val="18"/>
              </w:rPr>
              <w:t>行为名称</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7CA67F44">
            <w:pPr>
              <w:wordWrap w:val="0"/>
              <w:autoSpaceDE w:val="0"/>
              <w:autoSpaceDN w:val="0"/>
              <w:spacing w:before="33" w:after="0" w:line="246" w:lineRule="exact"/>
              <w:ind w:firstLine="80"/>
              <w:jc w:val="both"/>
              <w:rPr>
                <w:sz w:val="18"/>
                <w:szCs w:val="18"/>
              </w:rPr>
            </w:pPr>
            <w:r>
              <w:rPr>
                <w:rFonts w:hint="eastAsia" w:ascii="宋体" w:hAnsi="宋体" w:eastAsia="宋体"/>
                <w:color w:val="000000"/>
                <w:sz w:val="18"/>
                <w:szCs w:val="18"/>
              </w:rPr>
              <w:t>对人民防空工程建设单位明示或者暗示施工单位使用不合格的建筑材料、建筑构配件和设备的处罚</w:t>
            </w:r>
          </w:p>
        </w:tc>
      </w:tr>
      <w:tr w14:paraId="1813425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6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7CF22FF">
            <w:pPr>
              <w:wordWrap w:val="0"/>
              <w:autoSpaceDE w:val="0"/>
              <w:autoSpaceDN w:val="0"/>
              <w:spacing w:before="0" w:after="0" w:line="246" w:lineRule="exact"/>
              <w:ind w:firstLine="0"/>
              <w:jc w:val="both"/>
              <w:rPr>
                <w:rFonts w:hint="eastAsia" w:ascii="宋体" w:hAnsi="宋体" w:eastAsia="宋体"/>
                <w:color w:val="000000"/>
                <w:sz w:val="18"/>
                <w:szCs w:val="18"/>
              </w:rPr>
            </w:pPr>
          </w:p>
          <w:p w14:paraId="25501049">
            <w:pPr>
              <w:wordWrap w:val="0"/>
              <w:autoSpaceDE w:val="0"/>
              <w:autoSpaceDN w:val="0"/>
              <w:spacing w:before="0" w:after="0" w:line="246" w:lineRule="exact"/>
              <w:ind w:firstLine="0"/>
              <w:jc w:val="both"/>
              <w:rPr>
                <w:rFonts w:hint="eastAsia" w:ascii="宋体" w:hAnsi="宋体" w:eastAsia="宋体"/>
                <w:color w:val="000000"/>
                <w:sz w:val="18"/>
                <w:szCs w:val="18"/>
              </w:rPr>
            </w:pPr>
          </w:p>
          <w:p w14:paraId="794BF7BE">
            <w:pPr>
              <w:wordWrap w:val="0"/>
              <w:autoSpaceDE w:val="0"/>
              <w:autoSpaceDN w:val="0"/>
              <w:spacing w:before="0" w:after="0" w:line="246" w:lineRule="exact"/>
              <w:ind w:firstLine="0"/>
              <w:jc w:val="both"/>
              <w:rPr>
                <w:rFonts w:hint="eastAsia" w:ascii="宋体" w:hAnsi="宋体" w:eastAsia="宋体"/>
                <w:color w:val="000000"/>
                <w:sz w:val="18"/>
                <w:szCs w:val="18"/>
              </w:rPr>
            </w:pPr>
          </w:p>
          <w:p w14:paraId="22371534">
            <w:pPr>
              <w:wordWrap w:val="0"/>
              <w:autoSpaceDE w:val="0"/>
              <w:autoSpaceDN w:val="0"/>
              <w:spacing w:before="0" w:after="0" w:line="246" w:lineRule="exact"/>
              <w:ind w:firstLine="0"/>
              <w:jc w:val="both"/>
              <w:rPr>
                <w:rFonts w:hint="eastAsia" w:ascii="宋体" w:hAnsi="宋体" w:eastAsia="宋体"/>
                <w:color w:val="000000"/>
                <w:sz w:val="18"/>
                <w:szCs w:val="18"/>
              </w:rPr>
            </w:pPr>
          </w:p>
          <w:p w14:paraId="4F9C80D4">
            <w:pPr>
              <w:wordWrap w:val="0"/>
              <w:autoSpaceDE w:val="0"/>
              <w:autoSpaceDN w:val="0"/>
              <w:spacing w:before="0" w:after="0" w:line="246" w:lineRule="exact"/>
              <w:ind w:firstLine="0"/>
              <w:jc w:val="both"/>
              <w:rPr>
                <w:rFonts w:hint="eastAsia" w:ascii="宋体" w:hAnsi="宋体" w:eastAsia="宋体"/>
                <w:color w:val="000000"/>
                <w:sz w:val="18"/>
                <w:szCs w:val="18"/>
              </w:rPr>
            </w:pPr>
          </w:p>
          <w:p w14:paraId="1A88F60D">
            <w:pPr>
              <w:wordWrap w:val="0"/>
              <w:autoSpaceDE w:val="0"/>
              <w:autoSpaceDN w:val="0"/>
              <w:spacing w:before="0" w:after="0" w:line="246" w:lineRule="exact"/>
              <w:ind w:firstLine="0"/>
              <w:jc w:val="both"/>
              <w:rPr>
                <w:rFonts w:hint="eastAsia" w:ascii="宋体" w:hAnsi="宋体" w:eastAsia="宋体"/>
                <w:color w:val="000000"/>
                <w:sz w:val="18"/>
                <w:szCs w:val="18"/>
              </w:rPr>
            </w:pPr>
          </w:p>
          <w:p w14:paraId="2AA78211">
            <w:pPr>
              <w:wordWrap w:val="0"/>
              <w:autoSpaceDE w:val="0"/>
              <w:autoSpaceDN w:val="0"/>
              <w:spacing w:before="81" w:after="0" w:line="246" w:lineRule="exact"/>
              <w:ind w:firstLine="240"/>
              <w:jc w:val="both"/>
              <w:rPr>
                <w:sz w:val="18"/>
                <w:szCs w:val="18"/>
              </w:rPr>
            </w:pPr>
            <w:r>
              <w:rPr>
                <w:rFonts w:hint="eastAsia" w:ascii="宋体" w:hAnsi="宋体" w:eastAsia="宋体"/>
                <w:color w:val="000000"/>
                <w:sz w:val="18"/>
                <w:szCs w:val="18"/>
              </w:rPr>
              <w:t>法律依据</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33273632">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545BB26A">
            <w:pPr>
              <w:wordWrap w:val="0"/>
              <w:autoSpaceDE w:val="0"/>
              <w:autoSpaceDN w:val="0"/>
              <w:spacing w:before="53" w:after="0" w:line="246" w:lineRule="exact"/>
              <w:ind w:firstLine="520"/>
              <w:jc w:val="both"/>
              <w:rPr>
                <w:sz w:val="18"/>
                <w:szCs w:val="18"/>
              </w:rPr>
            </w:pPr>
            <w:r>
              <w:rPr>
                <w:rFonts w:hint="eastAsia" w:ascii="宋体" w:hAnsi="宋体" w:eastAsia="宋体"/>
                <w:color w:val="000000"/>
                <w:sz w:val="18"/>
                <w:szCs w:val="18"/>
              </w:rPr>
              <w:t>第十四条第二款 建设单位不得明示或者暗示施工单位使用不合格的建筑材料、建筑构配件和设备。</w:t>
            </w:r>
          </w:p>
          <w:p w14:paraId="19B056E2">
            <w:pPr>
              <w:wordWrap w:val="0"/>
              <w:autoSpaceDE w:val="0"/>
              <w:autoSpaceDN w:val="0"/>
              <w:spacing w:before="53" w:after="0" w:line="246" w:lineRule="exact"/>
              <w:ind w:firstLine="500"/>
              <w:jc w:val="both"/>
              <w:rPr>
                <w:sz w:val="18"/>
                <w:szCs w:val="18"/>
              </w:rPr>
            </w:pPr>
            <w:r>
              <w:rPr>
                <w:rFonts w:hint="eastAsia" w:ascii="宋体" w:hAnsi="宋体" w:eastAsia="宋体"/>
                <w:color w:val="000000"/>
                <w:sz w:val="18"/>
                <w:szCs w:val="18"/>
              </w:rPr>
              <w:t>第五十六条 违反本条例规定，建设单位有下列行为之一的，责令改正，处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万元以下的罚款：</w:t>
            </w:r>
          </w:p>
          <w:p w14:paraId="45CB946A">
            <w:pPr>
              <w:wordWrap w:val="0"/>
              <w:autoSpaceDE w:val="0"/>
              <w:autoSpaceDN w:val="0"/>
              <w:spacing w:before="73" w:after="0" w:line="246" w:lineRule="exact"/>
              <w:ind w:firstLine="560"/>
              <w:jc w:val="both"/>
              <w:rPr>
                <w:sz w:val="18"/>
                <w:szCs w:val="18"/>
              </w:rPr>
            </w:pPr>
            <w:r>
              <w:rPr>
                <w:rFonts w:hint="eastAsia" w:ascii="宋体" w:hAnsi="宋体" w:eastAsia="宋体"/>
                <w:color w:val="000000"/>
                <w:sz w:val="18"/>
                <w:szCs w:val="18"/>
              </w:rPr>
              <w:t>（七）明示或者暗示施工单位使用不合格的建筑材料、建筑构配件和设备的；</w:t>
            </w:r>
          </w:p>
          <w:p w14:paraId="1A1082A9">
            <w:pPr>
              <w:wordWrap w:val="0"/>
              <w:autoSpaceDE w:val="0"/>
              <w:autoSpaceDN w:val="0"/>
              <w:spacing w:before="0" w:after="0" w:line="246" w:lineRule="exact"/>
              <w:ind w:firstLine="0"/>
              <w:jc w:val="both"/>
              <w:rPr>
                <w:rFonts w:hint="eastAsia" w:ascii="宋体" w:hAnsi="宋体" w:eastAsia="宋体"/>
                <w:color w:val="000000"/>
                <w:sz w:val="18"/>
                <w:szCs w:val="18"/>
              </w:rPr>
            </w:pPr>
          </w:p>
          <w:p w14:paraId="75866AE3">
            <w:pPr>
              <w:wordWrap w:val="0"/>
              <w:autoSpaceDE w:val="0"/>
              <w:autoSpaceDN w:val="0"/>
              <w:spacing w:before="87" w:after="0" w:line="246" w:lineRule="exact"/>
              <w:ind w:left="100" w:right="80" w:firstLine="42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410EE40C">
            <w:pPr>
              <w:wordWrap w:val="0"/>
              <w:autoSpaceDE w:val="0"/>
              <w:autoSpaceDN w:val="0"/>
              <w:spacing w:before="53" w:after="0" w:line="246" w:lineRule="exact"/>
              <w:ind w:left="80" w:right="6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7E7D9C41">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【地方性法规】《江苏省实施＜中华人民共和国人民防空法＞办法》</w:t>
            </w:r>
          </w:p>
          <w:p w14:paraId="72DCCC55">
            <w:pPr>
              <w:wordWrap w:val="0"/>
              <w:autoSpaceDE w:val="0"/>
              <w:autoSpaceDN w:val="0"/>
              <w:spacing w:before="0" w:after="0" w:line="246" w:lineRule="exact"/>
              <w:ind w:left="100" w:right="60" w:firstLine="42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4C7FAAC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78617C62">
            <w:pPr>
              <w:wordWrap w:val="0"/>
              <w:autoSpaceDE w:val="0"/>
              <w:autoSpaceDN w:val="0"/>
              <w:spacing w:before="0" w:after="0" w:line="240" w:lineRule="exact"/>
              <w:ind w:firstLine="220"/>
              <w:jc w:val="both"/>
              <w:rPr>
                <w:sz w:val="18"/>
                <w:szCs w:val="18"/>
              </w:rPr>
            </w:pPr>
            <w:r>
              <w:rPr>
                <w:rFonts w:hint="eastAsia" w:ascii="宋体" w:hAnsi="宋体" w:eastAsia="宋体"/>
                <w:color w:val="000000"/>
                <w:sz w:val="18"/>
                <w:szCs w:val="18"/>
              </w:rPr>
              <w:t>处罚种类</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589C08E6">
            <w:pPr>
              <w:wordWrap w:val="0"/>
              <w:autoSpaceDE w:val="0"/>
              <w:autoSpaceDN w:val="0"/>
              <w:spacing w:before="0" w:after="0" w:line="240" w:lineRule="exact"/>
              <w:ind w:firstLine="60"/>
              <w:jc w:val="both"/>
              <w:rPr>
                <w:sz w:val="18"/>
                <w:szCs w:val="18"/>
              </w:rPr>
            </w:pPr>
            <w:r>
              <w:rPr>
                <w:rFonts w:hint="eastAsia" w:ascii="宋体" w:hAnsi="宋体" w:eastAsia="宋体"/>
                <w:color w:val="000000"/>
                <w:sz w:val="18"/>
                <w:szCs w:val="18"/>
              </w:rPr>
              <w:t>罚款</w:t>
            </w:r>
          </w:p>
        </w:tc>
      </w:tr>
      <w:tr w14:paraId="14BC073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4020" w:type="dxa"/>
            <w:gridSpan w:val="4"/>
            <w:tcBorders>
              <w:top w:val="single" w:color="000000" w:sz="4" w:space="0"/>
              <w:left w:val="single" w:color="000000" w:sz="4" w:space="0"/>
              <w:bottom w:val="single" w:color="000000" w:sz="4" w:space="0"/>
              <w:right w:val="single" w:color="000000" w:sz="4" w:space="0"/>
            </w:tcBorders>
            <w:vAlign w:val="top"/>
          </w:tcPr>
          <w:p w14:paraId="3C05CD99">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自由裁量基准</w:t>
            </w:r>
          </w:p>
        </w:tc>
      </w:tr>
      <w:tr w14:paraId="6CB4765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1142C50E">
            <w:pPr>
              <w:wordWrap w:val="0"/>
              <w:autoSpaceDE w:val="0"/>
              <w:autoSpaceDN w:val="0"/>
              <w:spacing w:before="0" w:after="0" w:line="246" w:lineRule="exact"/>
              <w:ind w:firstLine="0"/>
              <w:jc w:val="both"/>
              <w:rPr>
                <w:rFonts w:hint="eastAsia" w:ascii="宋体" w:hAnsi="宋体" w:eastAsia="宋体"/>
                <w:color w:val="000000"/>
                <w:sz w:val="18"/>
                <w:szCs w:val="18"/>
              </w:rPr>
            </w:pPr>
          </w:p>
          <w:p w14:paraId="2EFC14AF">
            <w:pPr>
              <w:wordWrap w:val="0"/>
              <w:autoSpaceDE w:val="0"/>
              <w:autoSpaceDN w:val="0"/>
              <w:spacing w:before="0" w:after="0" w:line="246" w:lineRule="exact"/>
              <w:ind w:firstLine="0"/>
              <w:jc w:val="both"/>
              <w:rPr>
                <w:rFonts w:hint="eastAsia" w:ascii="宋体" w:hAnsi="宋体" w:eastAsia="宋体"/>
                <w:color w:val="000000"/>
                <w:sz w:val="18"/>
                <w:szCs w:val="18"/>
              </w:rPr>
            </w:pPr>
          </w:p>
          <w:p w14:paraId="7CF2BFF1">
            <w:pPr>
              <w:wordWrap w:val="0"/>
              <w:autoSpaceDE w:val="0"/>
              <w:autoSpaceDN w:val="0"/>
              <w:spacing w:before="0" w:after="0" w:line="246" w:lineRule="exact"/>
              <w:ind w:firstLine="0"/>
              <w:jc w:val="both"/>
              <w:rPr>
                <w:rFonts w:hint="eastAsia" w:ascii="宋体" w:hAnsi="宋体" w:eastAsia="宋体"/>
                <w:color w:val="000000"/>
                <w:sz w:val="18"/>
                <w:szCs w:val="18"/>
              </w:rPr>
            </w:pPr>
          </w:p>
          <w:p w14:paraId="2079B142">
            <w:pPr>
              <w:wordWrap w:val="0"/>
              <w:autoSpaceDE w:val="0"/>
              <w:autoSpaceDN w:val="0"/>
              <w:spacing w:before="60" w:after="0" w:line="246" w:lineRule="exact"/>
              <w:ind w:firstLine="220"/>
              <w:jc w:val="both"/>
              <w:rPr>
                <w:sz w:val="18"/>
                <w:szCs w:val="18"/>
              </w:rPr>
            </w:pPr>
            <w:r>
              <w:rPr>
                <w:rFonts w:hint="eastAsia" w:ascii="宋体" w:hAnsi="宋体" w:eastAsia="宋体"/>
                <w:color w:val="000000"/>
                <w:sz w:val="18"/>
                <w:szCs w:val="18"/>
              </w:rPr>
              <w:t>情形描述</w:t>
            </w:r>
          </w:p>
        </w:tc>
        <w:tc>
          <w:tcPr>
            <w:tcW w:w="5860" w:type="dxa"/>
            <w:tcBorders>
              <w:top w:val="single" w:color="000000" w:sz="4" w:space="0"/>
              <w:left w:val="single" w:color="000000" w:sz="4" w:space="0"/>
              <w:bottom w:val="single" w:color="000000" w:sz="4" w:space="0"/>
              <w:right w:val="single" w:color="000000" w:sz="4" w:space="0"/>
            </w:tcBorders>
            <w:vAlign w:val="top"/>
          </w:tcPr>
          <w:p w14:paraId="05B60432">
            <w:pPr>
              <w:wordWrap w:val="0"/>
              <w:autoSpaceDE w:val="0"/>
              <w:autoSpaceDN w:val="0"/>
              <w:spacing w:before="180" w:after="0" w:line="246" w:lineRule="exact"/>
              <w:ind w:firstLine="60"/>
              <w:jc w:val="both"/>
              <w:rPr>
                <w:sz w:val="18"/>
                <w:szCs w:val="18"/>
              </w:rPr>
            </w:pPr>
            <w:r>
              <w:rPr>
                <w:rFonts w:hint="eastAsia" w:ascii="宋体" w:hAnsi="宋体" w:eastAsia="宋体"/>
                <w:color w:val="000000"/>
                <w:sz w:val="18"/>
                <w:szCs w:val="18"/>
              </w:rPr>
              <w:t>施工单位尚未使用的</w:t>
            </w:r>
          </w:p>
        </w:tc>
        <w:tc>
          <w:tcPr>
            <w:tcW w:w="1240" w:type="dxa"/>
            <w:vMerge w:val="restart"/>
            <w:tcBorders>
              <w:top w:val="single" w:color="000000" w:sz="4" w:space="0"/>
              <w:left w:val="single" w:color="000000" w:sz="4" w:space="0"/>
              <w:bottom w:val="single" w:color="000000" w:sz="4" w:space="0"/>
              <w:right w:val="single" w:color="000000" w:sz="4" w:space="0"/>
            </w:tcBorders>
            <w:vAlign w:val="top"/>
          </w:tcPr>
          <w:p w14:paraId="40AB8DD9">
            <w:pPr>
              <w:wordWrap w:val="0"/>
              <w:autoSpaceDE w:val="0"/>
              <w:autoSpaceDN w:val="0"/>
              <w:spacing w:before="0" w:after="0" w:line="259" w:lineRule="exact"/>
              <w:ind w:firstLine="0"/>
              <w:jc w:val="both"/>
              <w:rPr>
                <w:rFonts w:hint="eastAsia" w:ascii="宋体" w:hAnsi="宋体" w:eastAsia="宋体"/>
                <w:color w:val="000000"/>
                <w:sz w:val="18"/>
                <w:szCs w:val="18"/>
              </w:rPr>
            </w:pPr>
          </w:p>
          <w:p w14:paraId="78C9C61E">
            <w:pPr>
              <w:wordWrap w:val="0"/>
              <w:autoSpaceDE w:val="0"/>
              <w:autoSpaceDN w:val="0"/>
              <w:spacing w:before="0" w:after="0" w:line="259" w:lineRule="exact"/>
              <w:ind w:firstLine="0"/>
              <w:jc w:val="both"/>
              <w:rPr>
                <w:rFonts w:hint="eastAsia" w:ascii="宋体" w:hAnsi="宋体" w:eastAsia="宋体"/>
                <w:color w:val="000000"/>
                <w:sz w:val="18"/>
                <w:szCs w:val="18"/>
              </w:rPr>
            </w:pPr>
          </w:p>
          <w:p w14:paraId="1516EF5D">
            <w:pPr>
              <w:wordWrap w:val="0"/>
              <w:autoSpaceDE w:val="0"/>
              <w:autoSpaceDN w:val="0"/>
              <w:spacing w:before="0" w:after="0" w:line="259" w:lineRule="exact"/>
              <w:ind w:firstLine="0"/>
              <w:jc w:val="both"/>
              <w:rPr>
                <w:rFonts w:hint="eastAsia" w:ascii="宋体" w:hAnsi="宋体" w:eastAsia="宋体"/>
                <w:color w:val="000000"/>
                <w:sz w:val="18"/>
                <w:szCs w:val="18"/>
              </w:rPr>
            </w:pPr>
          </w:p>
          <w:p w14:paraId="331B3501">
            <w:pPr>
              <w:wordWrap w:val="0"/>
              <w:autoSpaceDE w:val="0"/>
              <w:autoSpaceDN w:val="0"/>
              <w:spacing w:before="21" w:after="0" w:line="259" w:lineRule="exact"/>
              <w:ind w:firstLine="240"/>
              <w:jc w:val="both"/>
              <w:rPr>
                <w:sz w:val="18"/>
                <w:szCs w:val="18"/>
              </w:rPr>
            </w:pPr>
            <w:r>
              <w:rPr>
                <w:rFonts w:hint="eastAsia" w:ascii="宋体" w:hAnsi="宋体" w:eastAsia="宋体"/>
                <w:color w:val="000000"/>
                <w:sz w:val="18"/>
                <w:szCs w:val="18"/>
              </w:rPr>
              <w:t>裁量幅度</w:t>
            </w:r>
          </w:p>
        </w:tc>
        <w:tc>
          <w:tcPr>
            <w:tcW w:w="5720" w:type="dxa"/>
            <w:tcBorders>
              <w:top w:val="single" w:color="000000" w:sz="4" w:space="0"/>
              <w:left w:val="single" w:color="000000" w:sz="4" w:space="0"/>
              <w:bottom w:val="single" w:color="000000" w:sz="4" w:space="0"/>
              <w:right w:val="single" w:color="000000" w:sz="4" w:space="0"/>
            </w:tcBorders>
            <w:vAlign w:val="top"/>
          </w:tcPr>
          <w:p w14:paraId="7C5EFF25">
            <w:pPr>
              <w:wordWrap w:val="0"/>
              <w:autoSpaceDE w:val="0"/>
              <w:autoSpaceDN w:val="0"/>
              <w:spacing w:before="53" w:after="0" w:line="246" w:lineRule="exact"/>
              <w:ind w:firstLine="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万元以下罚款</w:t>
            </w:r>
          </w:p>
          <w:p w14:paraId="1E3CD170">
            <w:pPr>
              <w:wordWrap w:val="0"/>
              <w:autoSpaceDE w:val="0"/>
              <w:autoSpaceDN w:val="0"/>
              <w:spacing w:before="0" w:after="0" w:line="220" w:lineRule="exact"/>
              <w:ind w:firstLine="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7</w:t>
            </w:r>
            <w:r>
              <w:rPr>
                <w:rFonts w:hint="eastAsia" w:ascii="宋体" w:hAnsi="宋体" w:eastAsia="宋体"/>
                <w:color w:val="000000"/>
                <w:sz w:val="18"/>
                <w:szCs w:val="18"/>
              </w:rPr>
              <w:t>％以下罚款</w:t>
            </w:r>
          </w:p>
        </w:tc>
      </w:tr>
      <w:tr w14:paraId="3546AAD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27203DDB">
            <w:pPr>
              <w:rPr>
                <w:sz w:val="18"/>
                <w:szCs w:val="18"/>
              </w:rPr>
            </w:pPr>
          </w:p>
        </w:tc>
        <w:tc>
          <w:tcPr>
            <w:tcW w:w="5860" w:type="dxa"/>
            <w:tcBorders>
              <w:top w:val="single" w:color="000000" w:sz="4" w:space="0"/>
              <w:left w:val="single" w:color="000000" w:sz="4" w:space="0"/>
              <w:bottom w:val="single" w:color="000000" w:sz="4" w:space="0"/>
              <w:right w:val="single" w:color="000000" w:sz="4" w:space="0"/>
            </w:tcBorders>
            <w:vAlign w:val="top"/>
          </w:tcPr>
          <w:p w14:paraId="31FE6D1F">
            <w:pPr>
              <w:wordWrap w:val="0"/>
              <w:autoSpaceDE w:val="0"/>
              <w:autoSpaceDN w:val="0"/>
              <w:spacing w:before="220" w:after="0" w:line="246" w:lineRule="exact"/>
              <w:ind w:firstLine="80"/>
              <w:jc w:val="both"/>
              <w:rPr>
                <w:sz w:val="18"/>
                <w:szCs w:val="18"/>
              </w:rPr>
            </w:pPr>
            <w:r>
              <w:rPr>
                <w:rFonts w:hint="eastAsia" w:ascii="宋体" w:hAnsi="宋体" w:eastAsia="宋体"/>
                <w:color w:val="000000"/>
                <w:sz w:val="18"/>
                <w:szCs w:val="18"/>
              </w:rPr>
              <w:t>施工单位已使用但可按要求改正的</w:t>
            </w:r>
          </w:p>
        </w:tc>
        <w:tc>
          <w:tcPr>
            <w:tcW w:w="1240" w:type="dxa"/>
            <w:vMerge w:val="continue"/>
            <w:tcBorders>
              <w:top w:val="single" w:color="000000" w:sz="4" w:space="0"/>
              <w:left w:val="single" w:color="000000" w:sz="4" w:space="0"/>
              <w:bottom w:val="single" w:color="000000" w:sz="4" w:space="0"/>
              <w:right w:val="single" w:color="000000" w:sz="4" w:space="0"/>
            </w:tcBorders>
          </w:tcPr>
          <w:p w14:paraId="20C7C26F">
            <w:pPr>
              <w:rPr>
                <w:sz w:val="18"/>
                <w:szCs w:val="18"/>
              </w:rPr>
            </w:pPr>
          </w:p>
        </w:tc>
        <w:tc>
          <w:tcPr>
            <w:tcW w:w="5720" w:type="dxa"/>
            <w:tcBorders>
              <w:top w:val="single" w:color="000000" w:sz="4" w:space="0"/>
              <w:left w:val="single" w:color="000000" w:sz="4" w:space="0"/>
              <w:bottom w:val="single" w:color="000000" w:sz="4" w:space="0"/>
              <w:right w:val="single" w:color="000000" w:sz="4" w:space="0"/>
            </w:tcBorders>
            <w:vAlign w:val="top"/>
          </w:tcPr>
          <w:p w14:paraId="35D64EA1">
            <w:pPr>
              <w:wordWrap w:val="0"/>
              <w:autoSpaceDE w:val="0"/>
              <w:autoSpaceDN w:val="0"/>
              <w:spacing w:before="73" w:after="0" w:line="246" w:lineRule="exact"/>
              <w:ind w:firstLine="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30</w:t>
            </w:r>
            <w:r>
              <w:rPr>
                <w:rFonts w:hint="eastAsia" w:ascii="宋体" w:hAnsi="宋体" w:eastAsia="宋体"/>
                <w:color w:val="000000"/>
                <w:sz w:val="18"/>
                <w:szCs w:val="18"/>
              </w:rPr>
              <w:t>万元以上</w:t>
            </w:r>
            <w:r>
              <w:rPr>
                <w:rFonts w:hint="eastAsia" w:ascii="Calibri" w:hAnsi="Calibri" w:eastAsia="Calibri"/>
                <w:color w:val="000000"/>
                <w:sz w:val="18"/>
                <w:szCs w:val="18"/>
              </w:rPr>
              <w:t>40</w:t>
            </w:r>
            <w:r>
              <w:rPr>
                <w:rFonts w:hint="eastAsia" w:ascii="宋体" w:hAnsi="宋体" w:eastAsia="宋体"/>
                <w:color w:val="000000"/>
                <w:sz w:val="18"/>
                <w:szCs w:val="18"/>
              </w:rPr>
              <w:t>万元以下罚款</w:t>
            </w:r>
          </w:p>
          <w:p w14:paraId="648EFCCE">
            <w:pPr>
              <w:wordWrap w:val="0"/>
              <w:autoSpaceDE w:val="0"/>
              <w:autoSpaceDN w:val="0"/>
              <w:spacing w:before="0" w:after="0" w:line="246" w:lineRule="exact"/>
              <w:ind w:firstLine="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35CBAC0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76030C06">
            <w:pPr>
              <w:rPr>
                <w:sz w:val="18"/>
                <w:szCs w:val="18"/>
              </w:rPr>
            </w:pPr>
          </w:p>
        </w:tc>
        <w:tc>
          <w:tcPr>
            <w:tcW w:w="5860" w:type="dxa"/>
            <w:tcBorders>
              <w:top w:val="single" w:color="000000" w:sz="4" w:space="0"/>
              <w:left w:val="single" w:color="000000" w:sz="4" w:space="0"/>
              <w:bottom w:val="single" w:color="000000" w:sz="4" w:space="0"/>
              <w:right w:val="single" w:color="000000" w:sz="4" w:space="0"/>
            </w:tcBorders>
            <w:vAlign w:val="top"/>
          </w:tcPr>
          <w:p w14:paraId="242A19B3">
            <w:pPr>
              <w:wordWrap w:val="0"/>
              <w:autoSpaceDE w:val="0"/>
              <w:autoSpaceDN w:val="0"/>
              <w:spacing w:before="180" w:after="0" w:line="246" w:lineRule="exact"/>
              <w:ind w:firstLine="100"/>
              <w:jc w:val="both"/>
              <w:rPr>
                <w:sz w:val="18"/>
                <w:szCs w:val="18"/>
              </w:rPr>
            </w:pPr>
            <w:r>
              <w:rPr>
                <w:rFonts w:hint="eastAsia" w:ascii="宋体" w:hAnsi="宋体" w:eastAsia="宋体"/>
                <w:color w:val="000000"/>
                <w:sz w:val="18"/>
                <w:szCs w:val="18"/>
              </w:rPr>
              <w:t>项目已经完工或者无法改正的</w:t>
            </w:r>
          </w:p>
        </w:tc>
        <w:tc>
          <w:tcPr>
            <w:tcW w:w="1240" w:type="dxa"/>
            <w:vMerge w:val="continue"/>
            <w:tcBorders>
              <w:top w:val="single" w:color="000000" w:sz="4" w:space="0"/>
              <w:left w:val="single" w:color="000000" w:sz="4" w:space="0"/>
              <w:bottom w:val="single" w:color="000000" w:sz="4" w:space="0"/>
              <w:right w:val="single" w:color="000000" w:sz="4" w:space="0"/>
            </w:tcBorders>
          </w:tcPr>
          <w:p w14:paraId="1EA2A137">
            <w:pPr>
              <w:rPr>
                <w:sz w:val="18"/>
                <w:szCs w:val="18"/>
              </w:rPr>
            </w:pPr>
          </w:p>
        </w:tc>
        <w:tc>
          <w:tcPr>
            <w:tcW w:w="5720" w:type="dxa"/>
            <w:tcBorders>
              <w:top w:val="single" w:color="000000" w:sz="4" w:space="0"/>
              <w:left w:val="single" w:color="000000" w:sz="4" w:space="0"/>
              <w:bottom w:val="single" w:color="000000" w:sz="4" w:space="0"/>
              <w:right w:val="single" w:color="000000" w:sz="4" w:space="0"/>
            </w:tcBorders>
            <w:vAlign w:val="top"/>
          </w:tcPr>
          <w:p w14:paraId="178F6B0B">
            <w:pPr>
              <w:wordWrap w:val="0"/>
              <w:autoSpaceDE w:val="0"/>
              <w:autoSpaceDN w:val="0"/>
              <w:spacing w:before="53" w:after="0" w:line="246" w:lineRule="exact"/>
              <w:ind w:firstLine="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40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万元以下罚款</w:t>
            </w:r>
          </w:p>
          <w:p w14:paraId="14D406AE">
            <w:pPr>
              <w:wordWrap w:val="0"/>
              <w:autoSpaceDE w:val="0"/>
              <w:autoSpaceDN w:val="0"/>
              <w:spacing w:before="0" w:after="0" w:line="220" w:lineRule="exact"/>
              <w:ind w:firstLine="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639A6B3D">
      <w:pPr>
        <w:rPr>
          <w:sz w:val="18"/>
          <w:szCs w:val="18"/>
        </w:rPr>
      </w:pPr>
    </w:p>
    <w:p w14:paraId="7ABED422">
      <w:pPr>
        <w:rPr>
          <w:sz w:val="18"/>
          <w:szCs w:val="18"/>
        </w:rPr>
      </w:pPr>
    </w:p>
    <w:p w14:paraId="4D714A23">
      <w:pPr>
        <w:rPr>
          <w:sz w:val="18"/>
          <w:szCs w:val="18"/>
        </w:rPr>
      </w:pPr>
    </w:p>
    <w:tbl>
      <w:tblPr>
        <w:tblStyle w:val="15"/>
        <w:tblpPr w:leftFromText="180" w:rightFromText="180" w:vertAnchor="page" w:horzAnchor="page" w:tblpX="1418" w:tblpY="1989"/>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83"/>
        <w:gridCol w:w="5886"/>
        <w:gridCol w:w="1184"/>
        <w:gridCol w:w="5710"/>
      </w:tblGrid>
      <w:tr w14:paraId="02D5948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183" w:type="dxa"/>
            <w:tcBorders>
              <w:top w:val="single" w:color="000000" w:sz="4" w:space="0"/>
              <w:left w:val="single" w:color="000000" w:sz="4" w:space="0"/>
              <w:bottom w:val="single" w:color="000000" w:sz="4" w:space="0"/>
              <w:right w:val="single" w:color="000000" w:sz="4" w:space="0"/>
            </w:tcBorders>
            <w:vAlign w:val="top"/>
          </w:tcPr>
          <w:p w14:paraId="1AE4BE13">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序号</w:t>
            </w:r>
          </w:p>
        </w:tc>
        <w:tc>
          <w:tcPr>
            <w:tcW w:w="12780" w:type="dxa"/>
            <w:gridSpan w:val="3"/>
            <w:tcBorders>
              <w:top w:val="single" w:color="000000" w:sz="4" w:space="0"/>
              <w:left w:val="single" w:color="000000" w:sz="4" w:space="0"/>
              <w:bottom w:val="single" w:color="000000" w:sz="4" w:space="0"/>
              <w:right w:val="single" w:color="000000" w:sz="4" w:space="0"/>
            </w:tcBorders>
            <w:vAlign w:val="top"/>
          </w:tcPr>
          <w:p w14:paraId="10C6B189">
            <w:pPr>
              <w:wordWrap w:val="0"/>
              <w:autoSpaceDE w:val="0"/>
              <w:autoSpaceDN w:val="0"/>
              <w:spacing w:before="0" w:after="0" w:line="240" w:lineRule="exact"/>
              <w:ind w:firstLine="100"/>
              <w:jc w:val="both"/>
              <w:rPr>
                <w:rFonts w:hint="eastAsia" w:eastAsia="宋体"/>
                <w:sz w:val="18"/>
                <w:szCs w:val="18"/>
                <w:lang w:val="en-US" w:eastAsia="zh-CN"/>
              </w:rPr>
            </w:pPr>
            <w:r>
              <w:rPr>
                <w:rFonts w:hint="eastAsia" w:ascii="Calibri" w:hAnsi="Calibri" w:eastAsia="Calibri"/>
                <w:color w:val="000000"/>
                <w:sz w:val="18"/>
                <w:szCs w:val="18"/>
              </w:rPr>
              <w:t>3</w:t>
            </w:r>
            <w:r>
              <w:rPr>
                <w:rFonts w:hint="eastAsia" w:ascii="Calibri" w:hAnsi="Calibri"/>
                <w:color w:val="000000"/>
                <w:sz w:val="18"/>
                <w:szCs w:val="18"/>
                <w:lang w:val="en-US" w:eastAsia="zh-CN"/>
              </w:rPr>
              <w:t>0</w:t>
            </w:r>
          </w:p>
        </w:tc>
      </w:tr>
      <w:tr w14:paraId="1F6A1D0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83" w:type="dxa"/>
            <w:tcBorders>
              <w:top w:val="single" w:color="000000" w:sz="4" w:space="0"/>
              <w:left w:val="single" w:color="000000" w:sz="4" w:space="0"/>
              <w:bottom w:val="single" w:color="000000" w:sz="4" w:space="0"/>
              <w:right w:val="single" w:color="000000" w:sz="4" w:space="0"/>
            </w:tcBorders>
            <w:vAlign w:val="top"/>
          </w:tcPr>
          <w:p w14:paraId="5B629E81">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编号</w:t>
            </w:r>
          </w:p>
        </w:tc>
        <w:tc>
          <w:tcPr>
            <w:tcW w:w="12780" w:type="dxa"/>
            <w:gridSpan w:val="3"/>
            <w:tcBorders>
              <w:top w:val="single" w:color="000000" w:sz="4" w:space="0"/>
              <w:left w:val="single" w:color="000000" w:sz="4" w:space="0"/>
              <w:bottom w:val="single" w:color="000000" w:sz="4" w:space="0"/>
              <w:right w:val="single" w:color="000000" w:sz="4" w:space="0"/>
            </w:tcBorders>
            <w:vAlign w:val="top"/>
          </w:tcPr>
          <w:p w14:paraId="34652E81">
            <w:pPr>
              <w:wordWrap w:val="0"/>
              <w:autoSpaceDE w:val="0"/>
              <w:autoSpaceDN w:val="0"/>
              <w:spacing w:before="13" w:after="0" w:line="246" w:lineRule="exact"/>
              <w:ind w:firstLine="80"/>
              <w:jc w:val="both"/>
              <w:rPr>
                <w:sz w:val="18"/>
                <w:szCs w:val="18"/>
              </w:rPr>
            </w:pPr>
            <w:r>
              <w:rPr>
                <w:rFonts w:hint="eastAsia" w:ascii="Calibri" w:hAnsi="Calibri" w:eastAsia="Calibri"/>
                <w:color w:val="000000"/>
                <w:sz w:val="18"/>
                <w:szCs w:val="18"/>
              </w:rPr>
              <w:t>320280056000</w:t>
            </w:r>
          </w:p>
        </w:tc>
      </w:tr>
      <w:tr w14:paraId="06C457C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183" w:type="dxa"/>
            <w:tcBorders>
              <w:top w:val="single" w:color="000000" w:sz="4" w:space="0"/>
              <w:left w:val="single" w:color="000000" w:sz="4" w:space="0"/>
              <w:bottom w:val="single" w:color="000000" w:sz="4" w:space="0"/>
              <w:right w:val="single" w:color="000000" w:sz="4" w:space="0"/>
            </w:tcBorders>
            <w:vAlign w:val="top"/>
          </w:tcPr>
          <w:p w14:paraId="63D83B23">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行为名称</w:t>
            </w:r>
          </w:p>
        </w:tc>
        <w:tc>
          <w:tcPr>
            <w:tcW w:w="12780" w:type="dxa"/>
            <w:gridSpan w:val="3"/>
            <w:tcBorders>
              <w:top w:val="single" w:color="000000" w:sz="4" w:space="0"/>
              <w:left w:val="single" w:color="000000" w:sz="4" w:space="0"/>
              <w:bottom w:val="single" w:color="000000" w:sz="4" w:space="0"/>
              <w:right w:val="single" w:color="000000" w:sz="4" w:space="0"/>
            </w:tcBorders>
            <w:vAlign w:val="top"/>
          </w:tcPr>
          <w:p w14:paraId="15F4CA65">
            <w:pPr>
              <w:wordWrap w:val="0"/>
              <w:autoSpaceDE w:val="0"/>
              <w:autoSpaceDN w:val="0"/>
              <w:spacing w:before="13" w:after="0" w:line="246" w:lineRule="exact"/>
              <w:ind w:firstLine="100"/>
              <w:jc w:val="both"/>
              <w:rPr>
                <w:sz w:val="18"/>
                <w:szCs w:val="18"/>
              </w:rPr>
            </w:pPr>
            <w:r>
              <w:rPr>
                <w:rFonts w:hint="eastAsia" w:ascii="宋体" w:hAnsi="宋体" w:eastAsia="宋体"/>
                <w:color w:val="000000"/>
                <w:sz w:val="18"/>
                <w:szCs w:val="18"/>
              </w:rPr>
              <w:t>对人民防空工程建设单位施工图设计文件未经审查或者审查不合格，擅自施工的处罚</w:t>
            </w:r>
          </w:p>
        </w:tc>
      </w:tr>
      <w:tr w14:paraId="132A0AC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320" w:hRule="atLeast"/>
        </w:trPr>
        <w:tc>
          <w:tcPr>
            <w:tcW w:w="1183" w:type="dxa"/>
            <w:tcBorders>
              <w:top w:val="single" w:color="000000" w:sz="4" w:space="0"/>
              <w:left w:val="single" w:color="000000" w:sz="4" w:space="0"/>
              <w:bottom w:val="single" w:color="000000" w:sz="4" w:space="0"/>
              <w:right w:val="single" w:color="000000" w:sz="4" w:space="0"/>
            </w:tcBorders>
            <w:vAlign w:val="top"/>
          </w:tcPr>
          <w:p w14:paraId="2A050CF8">
            <w:pPr>
              <w:wordWrap w:val="0"/>
              <w:autoSpaceDE w:val="0"/>
              <w:autoSpaceDN w:val="0"/>
              <w:spacing w:before="0" w:after="0" w:line="246" w:lineRule="exact"/>
              <w:ind w:firstLine="0"/>
              <w:jc w:val="both"/>
              <w:rPr>
                <w:rFonts w:hint="eastAsia" w:ascii="宋体" w:hAnsi="宋体" w:eastAsia="宋体"/>
                <w:color w:val="000000"/>
                <w:sz w:val="18"/>
                <w:szCs w:val="18"/>
              </w:rPr>
            </w:pPr>
          </w:p>
          <w:p w14:paraId="4E4A10AA">
            <w:pPr>
              <w:wordWrap w:val="0"/>
              <w:autoSpaceDE w:val="0"/>
              <w:autoSpaceDN w:val="0"/>
              <w:spacing w:before="0" w:after="0" w:line="246" w:lineRule="exact"/>
              <w:ind w:firstLine="0"/>
              <w:jc w:val="both"/>
              <w:rPr>
                <w:rFonts w:hint="eastAsia" w:ascii="宋体" w:hAnsi="宋体" w:eastAsia="宋体"/>
                <w:color w:val="000000"/>
                <w:sz w:val="18"/>
                <w:szCs w:val="18"/>
              </w:rPr>
            </w:pPr>
          </w:p>
          <w:p w14:paraId="7D827BD3">
            <w:pPr>
              <w:wordWrap w:val="0"/>
              <w:autoSpaceDE w:val="0"/>
              <w:autoSpaceDN w:val="0"/>
              <w:spacing w:before="0" w:after="0" w:line="246" w:lineRule="exact"/>
              <w:ind w:firstLine="0"/>
              <w:jc w:val="both"/>
              <w:rPr>
                <w:rFonts w:hint="eastAsia" w:ascii="宋体" w:hAnsi="宋体" w:eastAsia="宋体"/>
                <w:color w:val="000000"/>
                <w:sz w:val="18"/>
                <w:szCs w:val="18"/>
              </w:rPr>
            </w:pPr>
          </w:p>
          <w:p w14:paraId="65CB8AB7">
            <w:pPr>
              <w:wordWrap w:val="0"/>
              <w:autoSpaceDE w:val="0"/>
              <w:autoSpaceDN w:val="0"/>
              <w:spacing w:before="0" w:after="0" w:line="246" w:lineRule="exact"/>
              <w:ind w:firstLine="0"/>
              <w:jc w:val="both"/>
              <w:rPr>
                <w:rFonts w:hint="eastAsia" w:ascii="宋体" w:hAnsi="宋体" w:eastAsia="宋体"/>
                <w:color w:val="000000"/>
                <w:sz w:val="18"/>
                <w:szCs w:val="18"/>
              </w:rPr>
            </w:pPr>
          </w:p>
          <w:p w14:paraId="34496E5B">
            <w:pPr>
              <w:wordWrap w:val="0"/>
              <w:autoSpaceDE w:val="0"/>
              <w:autoSpaceDN w:val="0"/>
              <w:spacing w:before="0" w:after="0" w:line="246" w:lineRule="exact"/>
              <w:ind w:firstLine="0"/>
              <w:jc w:val="both"/>
              <w:rPr>
                <w:rFonts w:hint="eastAsia" w:ascii="宋体" w:hAnsi="宋体" w:eastAsia="宋体"/>
                <w:color w:val="000000"/>
                <w:sz w:val="18"/>
                <w:szCs w:val="18"/>
              </w:rPr>
            </w:pPr>
          </w:p>
          <w:p w14:paraId="2F64C5C3">
            <w:pPr>
              <w:wordWrap w:val="0"/>
              <w:autoSpaceDE w:val="0"/>
              <w:autoSpaceDN w:val="0"/>
              <w:spacing w:before="0" w:after="0" w:line="246" w:lineRule="exact"/>
              <w:ind w:firstLine="0"/>
              <w:jc w:val="both"/>
              <w:rPr>
                <w:rFonts w:hint="eastAsia" w:ascii="宋体" w:hAnsi="宋体" w:eastAsia="宋体"/>
                <w:color w:val="000000"/>
                <w:sz w:val="18"/>
                <w:szCs w:val="18"/>
              </w:rPr>
            </w:pPr>
          </w:p>
          <w:p w14:paraId="15ED926D">
            <w:pPr>
              <w:wordWrap w:val="0"/>
              <w:autoSpaceDE w:val="0"/>
              <w:autoSpaceDN w:val="0"/>
              <w:spacing w:before="101" w:after="0" w:line="246" w:lineRule="exact"/>
              <w:ind w:firstLine="220"/>
              <w:jc w:val="both"/>
              <w:rPr>
                <w:sz w:val="18"/>
                <w:szCs w:val="18"/>
              </w:rPr>
            </w:pPr>
            <w:r>
              <w:rPr>
                <w:rFonts w:hint="eastAsia" w:ascii="宋体" w:hAnsi="宋体" w:eastAsia="宋体"/>
                <w:color w:val="000000"/>
                <w:sz w:val="18"/>
                <w:szCs w:val="18"/>
              </w:rPr>
              <w:t>法律依据</w:t>
            </w:r>
          </w:p>
        </w:tc>
        <w:tc>
          <w:tcPr>
            <w:tcW w:w="12780" w:type="dxa"/>
            <w:gridSpan w:val="3"/>
            <w:tcBorders>
              <w:top w:val="single" w:color="000000" w:sz="4" w:space="0"/>
              <w:left w:val="single" w:color="000000" w:sz="4" w:space="0"/>
              <w:bottom w:val="single" w:color="000000" w:sz="4" w:space="0"/>
              <w:right w:val="single" w:color="000000" w:sz="4" w:space="0"/>
            </w:tcBorders>
            <w:vAlign w:val="top"/>
          </w:tcPr>
          <w:p w14:paraId="18442F93">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5400FBA6">
            <w:pPr>
              <w:wordWrap w:val="0"/>
              <w:autoSpaceDE w:val="0"/>
              <w:autoSpaceDN w:val="0"/>
              <w:spacing w:before="53" w:after="0" w:line="246" w:lineRule="exact"/>
              <w:ind w:firstLine="520"/>
              <w:jc w:val="both"/>
              <w:rPr>
                <w:sz w:val="18"/>
                <w:szCs w:val="18"/>
              </w:rPr>
            </w:pPr>
            <w:r>
              <w:rPr>
                <w:rFonts w:hint="eastAsia" w:ascii="宋体" w:hAnsi="宋体" w:eastAsia="宋体"/>
                <w:color w:val="000000"/>
                <w:sz w:val="18"/>
                <w:szCs w:val="18"/>
              </w:rPr>
              <w:t>第十一条第二款 施工图设计文件未经审查批准的，不得使用。</w:t>
            </w:r>
          </w:p>
          <w:p w14:paraId="088D5E14">
            <w:pPr>
              <w:wordWrap w:val="0"/>
              <w:autoSpaceDE w:val="0"/>
              <w:autoSpaceDN w:val="0"/>
              <w:spacing w:before="73" w:after="0" w:line="246" w:lineRule="exact"/>
              <w:ind w:firstLine="520"/>
              <w:jc w:val="both"/>
              <w:rPr>
                <w:sz w:val="18"/>
                <w:szCs w:val="18"/>
              </w:rPr>
            </w:pPr>
            <w:r>
              <w:rPr>
                <w:rFonts w:hint="eastAsia" w:ascii="宋体" w:hAnsi="宋体" w:eastAsia="宋体"/>
                <w:color w:val="000000"/>
                <w:sz w:val="18"/>
                <w:szCs w:val="18"/>
              </w:rPr>
              <w:t>第五十六条 违反本条例规定，建设单位有下列行为之一的，责令改正，处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万元以下的罚款：</w:t>
            </w:r>
          </w:p>
          <w:p w14:paraId="20247C8E">
            <w:pPr>
              <w:wordWrap w:val="0"/>
              <w:autoSpaceDE w:val="0"/>
              <w:autoSpaceDN w:val="0"/>
              <w:spacing w:before="53" w:after="0" w:line="246" w:lineRule="exact"/>
              <w:ind w:firstLine="560"/>
              <w:jc w:val="both"/>
              <w:rPr>
                <w:sz w:val="18"/>
                <w:szCs w:val="18"/>
              </w:rPr>
            </w:pPr>
            <w:r>
              <w:rPr>
                <w:rFonts w:hint="eastAsia" w:ascii="宋体" w:hAnsi="宋体" w:eastAsia="宋体"/>
                <w:color w:val="000000"/>
                <w:sz w:val="18"/>
                <w:szCs w:val="18"/>
              </w:rPr>
              <w:t>（四）施工图设计文件未经审查或者审查不合格，擅自施工的；</w:t>
            </w:r>
          </w:p>
          <w:p w14:paraId="66640DAB">
            <w:pPr>
              <w:wordWrap w:val="0"/>
              <w:autoSpaceDE w:val="0"/>
              <w:autoSpaceDN w:val="0"/>
              <w:spacing w:before="0" w:after="0" w:line="246" w:lineRule="exact"/>
              <w:ind w:firstLine="0"/>
              <w:jc w:val="both"/>
              <w:rPr>
                <w:rFonts w:hint="eastAsia" w:ascii="宋体" w:hAnsi="宋体" w:eastAsia="宋体"/>
                <w:color w:val="000000"/>
                <w:sz w:val="18"/>
                <w:szCs w:val="18"/>
              </w:rPr>
            </w:pPr>
          </w:p>
          <w:p w14:paraId="410C61ED">
            <w:pPr>
              <w:wordWrap w:val="0"/>
              <w:autoSpaceDE w:val="0"/>
              <w:autoSpaceDN w:val="0"/>
              <w:spacing w:before="87" w:after="0" w:line="246" w:lineRule="exact"/>
              <w:ind w:left="100" w:right="40" w:firstLine="42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1221EEBD">
            <w:pPr>
              <w:wordWrap w:val="0"/>
              <w:autoSpaceDE w:val="0"/>
              <w:autoSpaceDN w:val="0"/>
              <w:spacing w:before="53" w:after="0" w:line="246" w:lineRule="exact"/>
              <w:ind w:left="100" w:right="2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417BA7CA">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【地方性法规】《江苏省实施＜中华人民共和国人民防空法＞办法》</w:t>
            </w:r>
          </w:p>
          <w:p w14:paraId="76AEBE04">
            <w:pPr>
              <w:wordWrap w:val="0"/>
              <w:autoSpaceDE w:val="0"/>
              <w:autoSpaceDN w:val="0"/>
              <w:spacing w:before="0" w:after="0" w:line="246" w:lineRule="exact"/>
              <w:ind w:left="120" w:right="2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570A23F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83" w:type="dxa"/>
            <w:tcBorders>
              <w:top w:val="single" w:color="000000" w:sz="4" w:space="0"/>
              <w:left w:val="single" w:color="000000" w:sz="4" w:space="0"/>
              <w:bottom w:val="single" w:color="000000" w:sz="4" w:space="0"/>
              <w:right w:val="single" w:color="000000" w:sz="4" w:space="0"/>
            </w:tcBorders>
            <w:vAlign w:val="top"/>
          </w:tcPr>
          <w:p w14:paraId="034D86FB">
            <w:pPr>
              <w:wordWrap w:val="0"/>
              <w:autoSpaceDE w:val="0"/>
              <w:autoSpaceDN w:val="0"/>
              <w:spacing w:before="13" w:after="0" w:line="246" w:lineRule="exact"/>
              <w:ind w:firstLine="220"/>
              <w:jc w:val="both"/>
              <w:rPr>
                <w:sz w:val="18"/>
                <w:szCs w:val="18"/>
              </w:rPr>
            </w:pPr>
            <w:r>
              <w:rPr>
                <w:rFonts w:hint="eastAsia" w:ascii="宋体" w:hAnsi="宋体" w:eastAsia="宋体"/>
                <w:color w:val="000000"/>
                <w:sz w:val="18"/>
                <w:szCs w:val="18"/>
              </w:rPr>
              <w:t>处罚种类</w:t>
            </w:r>
          </w:p>
        </w:tc>
        <w:tc>
          <w:tcPr>
            <w:tcW w:w="12780" w:type="dxa"/>
            <w:gridSpan w:val="3"/>
            <w:tcBorders>
              <w:top w:val="single" w:color="000000" w:sz="4" w:space="0"/>
              <w:left w:val="single" w:color="000000" w:sz="4" w:space="0"/>
              <w:bottom w:val="single" w:color="000000" w:sz="4" w:space="0"/>
              <w:right w:val="single" w:color="000000" w:sz="4" w:space="0"/>
            </w:tcBorders>
            <w:vAlign w:val="top"/>
          </w:tcPr>
          <w:p w14:paraId="6901948B">
            <w:pPr>
              <w:wordWrap w:val="0"/>
              <w:autoSpaceDE w:val="0"/>
              <w:autoSpaceDN w:val="0"/>
              <w:spacing w:before="13" w:after="0" w:line="246" w:lineRule="exact"/>
              <w:ind w:firstLine="120"/>
              <w:jc w:val="both"/>
              <w:rPr>
                <w:sz w:val="18"/>
                <w:szCs w:val="18"/>
              </w:rPr>
            </w:pPr>
            <w:r>
              <w:rPr>
                <w:rFonts w:hint="eastAsia" w:ascii="宋体" w:hAnsi="宋体" w:eastAsia="宋体"/>
                <w:color w:val="000000"/>
                <w:sz w:val="18"/>
                <w:szCs w:val="18"/>
              </w:rPr>
              <w:t>罚款</w:t>
            </w:r>
          </w:p>
        </w:tc>
      </w:tr>
      <w:tr w14:paraId="41B445A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3963" w:type="dxa"/>
            <w:gridSpan w:val="4"/>
            <w:tcBorders>
              <w:top w:val="single" w:color="000000" w:sz="4" w:space="0"/>
              <w:left w:val="single" w:color="000000" w:sz="4" w:space="0"/>
              <w:bottom w:val="single" w:color="000000" w:sz="4" w:space="0"/>
              <w:right w:val="single" w:color="000000" w:sz="4" w:space="0"/>
            </w:tcBorders>
            <w:vAlign w:val="top"/>
          </w:tcPr>
          <w:p w14:paraId="23E149CD">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自由裁量基准</w:t>
            </w:r>
          </w:p>
        </w:tc>
      </w:tr>
      <w:tr w14:paraId="6822BB5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183" w:type="dxa"/>
            <w:vMerge w:val="restart"/>
            <w:tcBorders>
              <w:top w:val="single" w:color="000000" w:sz="4" w:space="0"/>
              <w:left w:val="single" w:color="000000" w:sz="4" w:space="0"/>
              <w:bottom w:val="single" w:color="000000" w:sz="4" w:space="0"/>
              <w:right w:val="single" w:color="000000" w:sz="4" w:space="0"/>
            </w:tcBorders>
            <w:vAlign w:val="top"/>
          </w:tcPr>
          <w:p w14:paraId="6E827399">
            <w:pPr>
              <w:wordWrap w:val="0"/>
              <w:autoSpaceDE w:val="0"/>
              <w:autoSpaceDN w:val="0"/>
              <w:spacing w:before="0" w:after="0" w:line="246" w:lineRule="exact"/>
              <w:ind w:firstLine="0"/>
              <w:jc w:val="both"/>
              <w:rPr>
                <w:rFonts w:hint="eastAsia" w:ascii="宋体" w:hAnsi="宋体" w:eastAsia="宋体"/>
                <w:color w:val="000000"/>
                <w:sz w:val="18"/>
                <w:szCs w:val="18"/>
              </w:rPr>
            </w:pPr>
          </w:p>
          <w:p w14:paraId="7EEA1456">
            <w:pPr>
              <w:wordWrap w:val="0"/>
              <w:autoSpaceDE w:val="0"/>
              <w:autoSpaceDN w:val="0"/>
              <w:spacing w:before="0" w:after="0" w:line="246" w:lineRule="exact"/>
              <w:ind w:firstLine="0"/>
              <w:jc w:val="both"/>
              <w:rPr>
                <w:rFonts w:hint="eastAsia" w:ascii="宋体" w:hAnsi="宋体" w:eastAsia="宋体"/>
                <w:color w:val="000000"/>
                <w:sz w:val="18"/>
                <w:szCs w:val="18"/>
              </w:rPr>
            </w:pPr>
          </w:p>
          <w:p w14:paraId="07D9290B">
            <w:pPr>
              <w:wordWrap w:val="0"/>
              <w:autoSpaceDE w:val="0"/>
              <w:autoSpaceDN w:val="0"/>
              <w:spacing w:before="0" w:after="0" w:line="246" w:lineRule="exact"/>
              <w:ind w:firstLine="0"/>
              <w:jc w:val="both"/>
              <w:rPr>
                <w:rFonts w:hint="eastAsia" w:ascii="宋体" w:hAnsi="宋体" w:eastAsia="宋体"/>
                <w:color w:val="000000"/>
                <w:sz w:val="18"/>
                <w:szCs w:val="18"/>
              </w:rPr>
            </w:pPr>
          </w:p>
          <w:p w14:paraId="16A0A5BF">
            <w:pPr>
              <w:wordWrap w:val="0"/>
              <w:autoSpaceDE w:val="0"/>
              <w:autoSpaceDN w:val="0"/>
              <w:spacing w:before="0" w:after="0" w:line="246" w:lineRule="exact"/>
              <w:ind w:firstLine="0"/>
              <w:jc w:val="both"/>
              <w:rPr>
                <w:rFonts w:hint="eastAsia" w:ascii="宋体" w:hAnsi="宋体" w:eastAsia="宋体"/>
                <w:color w:val="000000"/>
                <w:sz w:val="18"/>
                <w:szCs w:val="18"/>
              </w:rPr>
            </w:pPr>
          </w:p>
          <w:p w14:paraId="6A938FE7">
            <w:pPr>
              <w:wordWrap w:val="0"/>
              <w:autoSpaceDE w:val="0"/>
              <w:autoSpaceDN w:val="0"/>
              <w:spacing w:before="134" w:after="0" w:line="246" w:lineRule="exact"/>
              <w:ind w:firstLine="200"/>
              <w:jc w:val="both"/>
              <w:rPr>
                <w:sz w:val="18"/>
                <w:szCs w:val="18"/>
              </w:rPr>
            </w:pPr>
            <w:r>
              <w:rPr>
                <w:rFonts w:hint="eastAsia" w:ascii="宋体" w:hAnsi="宋体" w:eastAsia="宋体"/>
                <w:color w:val="000000"/>
                <w:sz w:val="18"/>
                <w:szCs w:val="18"/>
              </w:rPr>
              <w:t>情形描述</w:t>
            </w:r>
          </w:p>
        </w:tc>
        <w:tc>
          <w:tcPr>
            <w:tcW w:w="5886" w:type="dxa"/>
            <w:tcBorders>
              <w:top w:val="single" w:color="000000" w:sz="4" w:space="0"/>
              <w:left w:val="single" w:color="000000" w:sz="4" w:space="0"/>
              <w:bottom w:val="single" w:color="000000" w:sz="4" w:space="0"/>
              <w:right w:val="single" w:color="000000" w:sz="4" w:space="0"/>
            </w:tcBorders>
            <w:vAlign w:val="top"/>
          </w:tcPr>
          <w:p w14:paraId="7D3EFF66">
            <w:pPr>
              <w:wordWrap w:val="0"/>
              <w:autoSpaceDE w:val="0"/>
              <w:autoSpaceDN w:val="0"/>
              <w:spacing w:before="200" w:after="0" w:line="246" w:lineRule="exact"/>
              <w:ind w:firstLine="140"/>
              <w:jc w:val="both"/>
              <w:rPr>
                <w:sz w:val="18"/>
                <w:szCs w:val="18"/>
              </w:rPr>
            </w:pPr>
            <w:r>
              <w:rPr>
                <w:rFonts w:hint="eastAsia" w:ascii="宋体" w:hAnsi="宋体" w:eastAsia="宋体"/>
                <w:color w:val="000000"/>
                <w:sz w:val="18"/>
                <w:szCs w:val="18"/>
              </w:rPr>
              <w:t>停止施工，且施工图经审查合格的</w:t>
            </w:r>
          </w:p>
        </w:tc>
        <w:tc>
          <w:tcPr>
            <w:tcW w:w="1184" w:type="dxa"/>
            <w:vMerge w:val="restart"/>
            <w:tcBorders>
              <w:top w:val="single" w:color="000000" w:sz="4" w:space="0"/>
              <w:left w:val="single" w:color="000000" w:sz="4" w:space="0"/>
              <w:bottom w:val="single" w:color="000000" w:sz="4" w:space="0"/>
              <w:right w:val="single" w:color="000000" w:sz="4" w:space="0"/>
            </w:tcBorders>
            <w:vAlign w:val="top"/>
          </w:tcPr>
          <w:p w14:paraId="27807E00">
            <w:pPr>
              <w:wordWrap w:val="0"/>
              <w:autoSpaceDE w:val="0"/>
              <w:autoSpaceDN w:val="0"/>
              <w:spacing w:before="0" w:after="0" w:line="259" w:lineRule="exact"/>
              <w:ind w:firstLine="0"/>
              <w:jc w:val="both"/>
              <w:rPr>
                <w:rFonts w:hint="eastAsia" w:ascii="宋体" w:hAnsi="宋体" w:eastAsia="宋体"/>
                <w:color w:val="000000"/>
                <w:sz w:val="18"/>
                <w:szCs w:val="18"/>
              </w:rPr>
            </w:pPr>
          </w:p>
          <w:p w14:paraId="26C5B55E">
            <w:pPr>
              <w:wordWrap w:val="0"/>
              <w:autoSpaceDE w:val="0"/>
              <w:autoSpaceDN w:val="0"/>
              <w:spacing w:before="0" w:after="0" w:line="259" w:lineRule="exact"/>
              <w:ind w:firstLine="0"/>
              <w:jc w:val="both"/>
              <w:rPr>
                <w:rFonts w:hint="eastAsia" w:ascii="宋体" w:hAnsi="宋体" w:eastAsia="宋体"/>
                <w:color w:val="000000"/>
                <w:sz w:val="18"/>
                <w:szCs w:val="18"/>
              </w:rPr>
            </w:pPr>
          </w:p>
          <w:p w14:paraId="588A79F4">
            <w:pPr>
              <w:wordWrap w:val="0"/>
              <w:autoSpaceDE w:val="0"/>
              <w:autoSpaceDN w:val="0"/>
              <w:spacing w:before="0" w:after="0" w:line="259" w:lineRule="exact"/>
              <w:ind w:firstLine="0"/>
              <w:jc w:val="both"/>
              <w:rPr>
                <w:rFonts w:hint="eastAsia" w:ascii="宋体" w:hAnsi="宋体" w:eastAsia="宋体"/>
                <w:color w:val="000000"/>
                <w:sz w:val="18"/>
                <w:szCs w:val="18"/>
              </w:rPr>
            </w:pPr>
          </w:p>
          <w:p w14:paraId="5D04CFC1">
            <w:pPr>
              <w:wordWrap w:val="0"/>
              <w:autoSpaceDE w:val="0"/>
              <w:autoSpaceDN w:val="0"/>
              <w:spacing w:before="0" w:after="0" w:line="259" w:lineRule="exact"/>
              <w:ind w:firstLine="0"/>
              <w:jc w:val="both"/>
              <w:rPr>
                <w:rFonts w:hint="eastAsia" w:ascii="宋体" w:hAnsi="宋体" w:eastAsia="宋体"/>
                <w:color w:val="000000"/>
                <w:sz w:val="18"/>
                <w:szCs w:val="18"/>
              </w:rPr>
            </w:pPr>
          </w:p>
          <w:p w14:paraId="2DA0566E">
            <w:pPr>
              <w:wordWrap w:val="0"/>
              <w:autoSpaceDE w:val="0"/>
              <w:autoSpaceDN w:val="0"/>
              <w:spacing w:before="82" w:after="0" w:line="259" w:lineRule="exact"/>
              <w:ind w:firstLine="200"/>
              <w:jc w:val="both"/>
              <w:rPr>
                <w:sz w:val="18"/>
                <w:szCs w:val="18"/>
              </w:rPr>
            </w:pPr>
            <w:r>
              <w:rPr>
                <w:rFonts w:hint="eastAsia" w:ascii="宋体" w:hAnsi="宋体" w:eastAsia="宋体"/>
                <w:color w:val="000000"/>
                <w:sz w:val="18"/>
                <w:szCs w:val="18"/>
              </w:rPr>
              <w:t>裁量幅度</w:t>
            </w:r>
          </w:p>
        </w:tc>
        <w:tc>
          <w:tcPr>
            <w:tcW w:w="5710" w:type="dxa"/>
            <w:tcBorders>
              <w:top w:val="single" w:color="000000" w:sz="4" w:space="0"/>
              <w:left w:val="single" w:color="000000" w:sz="4" w:space="0"/>
              <w:bottom w:val="single" w:color="000000" w:sz="4" w:space="0"/>
              <w:right w:val="single" w:color="000000" w:sz="4" w:space="0"/>
            </w:tcBorders>
            <w:vAlign w:val="top"/>
          </w:tcPr>
          <w:p w14:paraId="197C0B91">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20</w:t>
            </w:r>
            <w:r>
              <w:rPr>
                <w:rFonts w:hint="eastAsia" w:ascii="宋体" w:hAnsi="宋体" w:eastAsia="宋体"/>
                <w:color w:val="000000"/>
                <w:sz w:val="18"/>
                <w:szCs w:val="18"/>
              </w:rPr>
              <w:t>万元以上</w:t>
            </w:r>
            <w:r>
              <w:rPr>
                <w:rFonts w:hint="eastAsia" w:ascii="Calibri" w:hAnsi="Calibri" w:eastAsia="Calibri"/>
                <w:color w:val="000000"/>
                <w:sz w:val="18"/>
                <w:szCs w:val="18"/>
              </w:rPr>
              <w:t>25</w:t>
            </w:r>
            <w:r>
              <w:rPr>
                <w:rFonts w:hint="eastAsia" w:ascii="宋体" w:hAnsi="宋体" w:eastAsia="宋体"/>
                <w:color w:val="000000"/>
                <w:sz w:val="18"/>
                <w:szCs w:val="18"/>
              </w:rPr>
              <w:t>万元以下罚款</w:t>
            </w:r>
          </w:p>
          <w:p w14:paraId="4F9535CC">
            <w:pPr>
              <w:wordWrap w:val="0"/>
              <w:autoSpaceDE w:val="0"/>
              <w:autoSpaceDN w:val="0"/>
              <w:spacing w:before="0" w:after="0" w:line="240"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59B3F61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183" w:type="dxa"/>
            <w:vMerge w:val="continue"/>
            <w:tcBorders>
              <w:top w:val="single" w:color="000000" w:sz="4" w:space="0"/>
              <w:left w:val="single" w:color="000000" w:sz="4" w:space="0"/>
              <w:bottom w:val="single" w:color="000000" w:sz="4" w:space="0"/>
              <w:right w:val="single" w:color="000000" w:sz="4" w:space="0"/>
            </w:tcBorders>
          </w:tcPr>
          <w:p w14:paraId="15A0E4B6">
            <w:pPr>
              <w:rPr>
                <w:sz w:val="18"/>
                <w:szCs w:val="18"/>
              </w:rPr>
            </w:pPr>
          </w:p>
        </w:tc>
        <w:tc>
          <w:tcPr>
            <w:tcW w:w="5886" w:type="dxa"/>
            <w:tcBorders>
              <w:top w:val="single" w:color="000000" w:sz="4" w:space="0"/>
              <w:left w:val="single" w:color="000000" w:sz="4" w:space="0"/>
              <w:bottom w:val="single" w:color="000000" w:sz="4" w:space="0"/>
              <w:right w:val="single" w:color="000000" w:sz="4" w:space="0"/>
            </w:tcBorders>
            <w:vAlign w:val="top"/>
          </w:tcPr>
          <w:p w14:paraId="6BB90483">
            <w:pPr>
              <w:wordWrap w:val="0"/>
              <w:autoSpaceDE w:val="0"/>
              <w:autoSpaceDN w:val="0"/>
              <w:spacing w:before="180" w:after="0" w:line="246" w:lineRule="exact"/>
              <w:ind w:firstLine="100"/>
              <w:jc w:val="both"/>
              <w:rPr>
                <w:sz w:val="18"/>
                <w:szCs w:val="18"/>
              </w:rPr>
            </w:pPr>
            <w:r>
              <w:rPr>
                <w:rFonts w:hint="eastAsia" w:ascii="宋体" w:hAnsi="宋体" w:eastAsia="宋体"/>
                <w:color w:val="000000"/>
                <w:sz w:val="18"/>
                <w:szCs w:val="18"/>
              </w:rPr>
              <w:t>未停止施工，或者施工图经审查不合格的</w:t>
            </w:r>
          </w:p>
        </w:tc>
        <w:tc>
          <w:tcPr>
            <w:tcW w:w="1184" w:type="dxa"/>
            <w:vMerge w:val="continue"/>
            <w:tcBorders>
              <w:top w:val="single" w:color="000000" w:sz="4" w:space="0"/>
              <w:left w:val="single" w:color="000000" w:sz="4" w:space="0"/>
              <w:bottom w:val="single" w:color="000000" w:sz="4" w:space="0"/>
              <w:right w:val="single" w:color="000000" w:sz="4" w:space="0"/>
            </w:tcBorders>
          </w:tcPr>
          <w:p w14:paraId="29089EAE">
            <w:pPr>
              <w:rPr>
                <w:sz w:val="18"/>
                <w:szCs w:val="18"/>
              </w:rPr>
            </w:pPr>
          </w:p>
        </w:tc>
        <w:tc>
          <w:tcPr>
            <w:tcW w:w="5710" w:type="dxa"/>
            <w:tcBorders>
              <w:top w:val="single" w:color="000000" w:sz="4" w:space="0"/>
              <w:left w:val="single" w:color="000000" w:sz="4" w:space="0"/>
              <w:bottom w:val="single" w:color="000000" w:sz="4" w:space="0"/>
              <w:right w:val="single" w:color="000000" w:sz="4" w:space="0"/>
            </w:tcBorders>
            <w:vAlign w:val="top"/>
          </w:tcPr>
          <w:p w14:paraId="13F34768">
            <w:pPr>
              <w:wordWrap w:val="0"/>
              <w:autoSpaceDE w:val="0"/>
              <w:autoSpaceDN w:val="0"/>
              <w:spacing w:before="53"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25</w:t>
            </w:r>
            <w:r>
              <w:rPr>
                <w:rFonts w:hint="eastAsia" w:ascii="宋体" w:hAnsi="宋体" w:eastAsia="宋体"/>
                <w:color w:val="000000"/>
                <w:sz w:val="18"/>
                <w:szCs w:val="18"/>
              </w:rPr>
              <w:t>万元以上</w:t>
            </w:r>
            <w:r>
              <w:rPr>
                <w:rFonts w:hint="eastAsia" w:ascii="Calibri" w:hAnsi="Calibri" w:eastAsia="Calibri"/>
                <w:color w:val="000000"/>
                <w:sz w:val="18"/>
                <w:szCs w:val="18"/>
              </w:rPr>
              <w:t>30</w:t>
            </w:r>
            <w:r>
              <w:rPr>
                <w:rFonts w:hint="eastAsia" w:ascii="宋体" w:hAnsi="宋体" w:eastAsia="宋体"/>
                <w:color w:val="000000"/>
                <w:sz w:val="18"/>
                <w:szCs w:val="18"/>
              </w:rPr>
              <w:t>万元以下罚款</w:t>
            </w:r>
          </w:p>
          <w:p w14:paraId="094FFF6C">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7</w:t>
            </w:r>
            <w:r>
              <w:rPr>
                <w:rFonts w:hint="eastAsia" w:ascii="宋体" w:hAnsi="宋体" w:eastAsia="宋体"/>
                <w:color w:val="000000"/>
                <w:sz w:val="18"/>
                <w:szCs w:val="18"/>
              </w:rPr>
              <w:t>％以下罚款</w:t>
            </w:r>
          </w:p>
        </w:tc>
      </w:tr>
      <w:tr w14:paraId="630AD1B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40" w:hRule="atLeast"/>
        </w:trPr>
        <w:tc>
          <w:tcPr>
            <w:tcW w:w="1183" w:type="dxa"/>
            <w:vMerge w:val="continue"/>
            <w:tcBorders>
              <w:top w:val="single" w:color="000000" w:sz="4" w:space="0"/>
              <w:left w:val="single" w:color="000000" w:sz="4" w:space="0"/>
              <w:bottom w:val="single" w:color="000000" w:sz="4" w:space="0"/>
              <w:right w:val="single" w:color="000000" w:sz="4" w:space="0"/>
            </w:tcBorders>
          </w:tcPr>
          <w:p w14:paraId="58A3A467">
            <w:pPr>
              <w:rPr>
                <w:sz w:val="18"/>
                <w:szCs w:val="18"/>
              </w:rPr>
            </w:pPr>
          </w:p>
        </w:tc>
        <w:tc>
          <w:tcPr>
            <w:tcW w:w="5886" w:type="dxa"/>
            <w:tcBorders>
              <w:top w:val="single" w:color="000000" w:sz="4" w:space="0"/>
              <w:left w:val="single" w:color="000000" w:sz="4" w:space="0"/>
              <w:bottom w:val="single" w:color="000000" w:sz="4" w:space="0"/>
              <w:right w:val="single" w:color="000000" w:sz="4" w:space="0"/>
            </w:tcBorders>
            <w:vAlign w:val="top"/>
          </w:tcPr>
          <w:p w14:paraId="42C59311">
            <w:pPr>
              <w:wordWrap w:val="0"/>
              <w:autoSpaceDE w:val="0"/>
              <w:autoSpaceDN w:val="0"/>
              <w:spacing w:before="180" w:after="0" w:line="246" w:lineRule="exact"/>
              <w:ind w:firstLine="100"/>
              <w:jc w:val="both"/>
              <w:rPr>
                <w:sz w:val="18"/>
                <w:szCs w:val="18"/>
              </w:rPr>
            </w:pPr>
            <w:r>
              <w:rPr>
                <w:rFonts w:hint="eastAsia" w:ascii="宋体" w:hAnsi="宋体" w:eastAsia="宋体"/>
                <w:color w:val="000000"/>
                <w:sz w:val="18"/>
                <w:szCs w:val="18"/>
              </w:rPr>
              <w:t>引起一般或较大质量事故的</w:t>
            </w:r>
          </w:p>
        </w:tc>
        <w:tc>
          <w:tcPr>
            <w:tcW w:w="1184" w:type="dxa"/>
            <w:vMerge w:val="continue"/>
            <w:tcBorders>
              <w:top w:val="single" w:color="000000" w:sz="4" w:space="0"/>
              <w:left w:val="single" w:color="000000" w:sz="4" w:space="0"/>
              <w:bottom w:val="single" w:color="000000" w:sz="4" w:space="0"/>
              <w:right w:val="single" w:color="000000" w:sz="4" w:space="0"/>
            </w:tcBorders>
          </w:tcPr>
          <w:p w14:paraId="16E0125F">
            <w:pPr>
              <w:rPr>
                <w:sz w:val="18"/>
                <w:szCs w:val="18"/>
              </w:rPr>
            </w:pPr>
          </w:p>
        </w:tc>
        <w:tc>
          <w:tcPr>
            <w:tcW w:w="5710" w:type="dxa"/>
            <w:tcBorders>
              <w:top w:val="single" w:color="000000" w:sz="4" w:space="0"/>
              <w:left w:val="single" w:color="000000" w:sz="4" w:space="0"/>
              <w:bottom w:val="single" w:color="000000" w:sz="4" w:space="0"/>
              <w:right w:val="single" w:color="000000" w:sz="4" w:space="0"/>
            </w:tcBorders>
            <w:vAlign w:val="top"/>
          </w:tcPr>
          <w:p w14:paraId="2BF1AF4A">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30</w:t>
            </w:r>
            <w:r>
              <w:rPr>
                <w:rFonts w:hint="eastAsia" w:ascii="宋体" w:hAnsi="宋体" w:eastAsia="宋体"/>
                <w:color w:val="000000"/>
                <w:sz w:val="18"/>
                <w:szCs w:val="18"/>
              </w:rPr>
              <w:t>万元以上</w:t>
            </w:r>
            <w:r>
              <w:rPr>
                <w:rFonts w:hint="eastAsia" w:ascii="Calibri" w:hAnsi="Calibri" w:eastAsia="Calibri"/>
                <w:color w:val="000000"/>
                <w:sz w:val="18"/>
                <w:szCs w:val="18"/>
              </w:rPr>
              <w:t>40</w:t>
            </w:r>
            <w:r>
              <w:rPr>
                <w:rFonts w:hint="eastAsia" w:ascii="宋体" w:hAnsi="宋体" w:eastAsia="宋体"/>
                <w:color w:val="000000"/>
                <w:sz w:val="18"/>
                <w:szCs w:val="18"/>
              </w:rPr>
              <w:t>万元以下罚款</w:t>
            </w:r>
          </w:p>
          <w:p w14:paraId="5B198B39">
            <w:pPr>
              <w:wordWrap w:val="0"/>
              <w:autoSpaceDE w:val="0"/>
              <w:autoSpaceDN w:val="0"/>
              <w:spacing w:before="0" w:after="0" w:line="220"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6F4E0A7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40" w:hRule="atLeast"/>
        </w:trPr>
        <w:tc>
          <w:tcPr>
            <w:tcW w:w="1183" w:type="dxa"/>
            <w:vMerge w:val="continue"/>
            <w:tcBorders>
              <w:top w:val="single" w:color="000000" w:sz="4" w:space="0"/>
              <w:left w:val="single" w:color="000000" w:sz="4" w:space="0"/>
              <w:bottom w:val="single" w:color="000000" w:sz="4" w:space="0"/>
              <w:right w:val="single" w:color="000000" w:sz="4" w:space="0"/>
            </w:tcBorders>
          </w:tcPr>
          <w:p w14:paraId="0B74ED0A">
            <w:pPr>
              <w:rPr>
                <w:sz w:val="18"/>
                <w:szCs w:val="18"/>
              </w:rPr>
            </w:pPr>
          </w:p>
        </w:tc>
        <w:tc>
          <w:tcPr>
            <w:tcW w:w="5886" w:type="dxa"/>
            <w:tcBorders>
              <w:top w:val="single" w:color="000000" w:sz="4" w:space="0"/>
              <w:left w:val="single" w:color="000000" w:sz="4" w:space="0"/>
              <w:bottom w:val="single" w:color="000000" w:sz="4" w:space="0"/>
              <w:right w:val="single" w:color="000000" w:sz="4" w:space="0"/>
            </w:tcBorders>
            <w:vAlign w:val="top"/>
          </w:tcPr>
          <w:p w14:paraId="50B9CB70">
            <w:pPr>
              <w:wordWrap w:val="0"/>
              <w:autoSpaceDE w:val="0"/>
              <w:autoSpaceDN w:val="0"/>
              <w:spacing w:before="220" w:after="0" w:line="246" w:lineRule="exact"/>
              <w:ind w:firstLine="100"/>
              <w:jc w:val="both"/>
              <w:rPr>
                <w:sz w:val="18"/>
                <w:szCs w:val="18"/>
              </w:rPr>
            </w:pPr>
            <w:r>
              <w:rPr>
                <w:rFonts w:hint="eastAsia" w:ascii="宋体" w:hAnsi="宋体" w:eastAsia="宋体"/>
                <w:color w:val="000000"/>
                <w:sz w:val="18"/>
                <w:szCs w:val="18"/>
              </w:rPr>
              <w:t>引起重大及以上质量事故的</w:t>
            </w:r>
          </w:p>
        </w:tc>
        <w:tc>
          <w:tcPr>
            <w:tcW w:w="1184" w:type="dxa"/>
            <w:vMerge w:val="continue"/>
            <w:tcBorders>
              <w:top w:val="single" w:color="000000" w:sz="4" w:space="0"/>
              <w:left w:val="single" w:color="000000" w:sz="4" w:space="0"/>
              <w:bottom w:val="single" w:color="000000" w:sz="4" w:space="0"/>
              <w:right w:val="single" w:color="000000" w:sz="4" w:space="0"/>
            </w:tcBorders>
          </w:tcPr>
          <w:p w14:paraId="02A7DDE3">
            <w:pPr>
              <w:rPr>
                <w:sz w:val="18"/>
                <w:szCs w:val="18"/>
              </w:rPr>
            </w:pPr>
          </w:p>
        </w:tc>
        <w:tc>
          <w:tcPr>
            <w:tcW w:w="5710" w:type="dxa"/>
            <w:tcBorders>
              <w:top w:val="single" w:color="000000" w:sz="4" w:space="0"/>
              <w:left w:val="single" w:color="000000" w:sz="4" w:space="0"/>
              <w:bottom w:val="single" w:color="000000" w:sz="4" w:space="0"/>
              <w:right w:val="single" w:color="000000" w:sz="4" w:space="0"/>
            </w:tcBorders>
            <w:vAlign w:val="top"/>
          </w:tcPr>
          <w:p w14:paraId="024585EF">
            <w:pPr>
              <w:wordWrap w:val="0"/>
              <w:autoSpaceDE w:val="0"/>
              <w:autoSpaceDN w:val="0"/>
              <w:spacing w:before="73" w:after="0" w:line="246" w:lineRule="exact"/>
              <w:ind w:firstLine="100"/>
              <w:jc w:val="both"/>
              <w:rPr>
                <w:sz w:val="18"/>
                <w:szCs w:val="18"/>
              </w:rPr>
            </w:pPr>
            <w:r>
              <w:rPr>
                <w:rFonts w:hint="eastAsia" w:ascii="宋体" w:hAnsi="宋体" w:eastAsia="宋体"/>
                <w:color w:val="000000"/>
                <w:sz w:val="18"/>
                <w:szCs w:val="18"/>
              </w:rPr>
              <w:t>对单位：处</w:t>
            </w:r>
            <w:r>
              <w:rPr>
                <w:rFonts w:hint="eastAsia" w:ascii="Calibri" w:hAnsi="Calibri" w:eastAsia="Calibri"/>
                <w:color w:val="000000"/>
                <w:sz w:val="18"/>
                <w:szCs w:val="18"/>
              </w:rPr>
              <w:t>40</w:t>
            </w:r>
            <w:r>
              <w:rPr>
                <w:rFonts w:hint="eastAsia" w:ascii="宋体" w:hAnsi="宋体" w:eastAsia="宋体"/>
                <w:color w:val="000000"/>
                <w:sz w:val="18"/>
                <w:szCs w:val="18"/>
              </w:rPr>
              <w:t>万元以上</w:t>
            </w:r>
            <w:r>
              <w:rPr>
                <w:rFonts w:hint="eastAsia" w:ascii="Calibri" w:hAnsi="Calibri" w:eastAsia="Calibri"/>
                <w:color w:val="000000"/>
                <w:sz w:val="18"/>
                <w:szCs w:val="18"/>
              </w:rPr>
              <w:t>50</w:t>
            </w:r>
            <w:r>
              <w:rPr>
                <w:rFonts w:hint="eastAsia" w:ascii="宋体" w:hAnsi="宋体" w:eastAsia="宋体"/>
                <w:color w:val="000000"/>
                <w:sz w:val="18"/>
                <w:szCs w:val="18"/>
              </w:rPr>
              <w:t>万元以下罚款</w:t>
            </w:r>
          </w:p>
          <w:p w14:paraId="5605C4B9">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102E8757">
      <w:pPr>
        <w:rPr>
          <w:sz w:val="18"/>
          <w:szCs w:val="18"/>
        </w:rPr>
      </w:pPr>
    </w:p>
    <w:p w14:paraId="5DDD95D7">
      <w:pPr>
        <w:rPr>
          <w:sz w:val="18"/>
          <w:szCs w:val="18"/>
        </w:rPr>
      </w:pPr>
    </w:p>
    <w:tbl>
      <w:tblPr>
        <w:tblStyle w:val="15"/>
        <w:tblpPr w:leftFromText="180" w:rightFromText="180" w:vertAnchor="page" w:horzAnchor="page" w:tblpX="1500" w:tblpY="2052"/>
        <w:tblOverlap w:val="never"/>
        <w:tblW w:w="13963"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99"/>
        <w:gridCol w:w="5393"/>
        <w:gridCol w:w="1099"/>
        <w:gridCol w:w="6272"/>
      </w:tblGrid>
      <w:tr w14:paraId="1EB3A93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199" w:type="dxa"/>
            <w:tcBorders>
              <w:top w:val="single" w:color="000000" w:sz="4" w:space="0"/>
              <w:left w:val="single" w:color="000000" w:sz="4" w:space="0"/>
              <w:bottom w:val="single" w:color="000000" w:sz="4" w:space="0"/>
              <w:right w:val="single" w:color="000000" w:sz="4" w:space="0"/>
            </w:tcBorders>
            <w:vAlign w:val="top"/>
          </w:tcPr>
          <w:p w14:paraId="37CCA98F">
            <w:pPr>
              <w:wordWrap w:val="0"/>
              <w:autoSpaceDE w:val="0"/>
              <w:autoSpaceDN w:val="0"/>
              <w:spacing w:before="73" w:after="0" w:line="246" w:lineRule="exact"/>
              <w:ind w:firstLine="340"/>
              <w:jc w:val="both"/>
              <w:rPr>
                <w:sz w:val="18"/>
                <w:szCs w:val="18"/>
              </w:rPr>
            </w:pPr>
            <w:r>
              <w:rPr>
                <w:rFonts w:hint="eastAsia" w:ascii="宋体" w:hAnsi="宋体" w:eastAsia="宋体"/>
                <w:color w:val="000000"/>
                <w:sz w:val="18"/>
                <w:szCs w:val="18"/>
              </w:rPr>
              <w:t>序号</w:t>
            </w:r>
          </w:p>
        </w:tc>
        <w:tc>
          <w:tcPr>
            <w:tcW w:w="12764" w:type="dxa"/>
            <w:gridSpan w:val="3"/>
            <w:tcBorders>
              <w:top w:val="single" w:color="000000" w:sz="4" w:space="0"/>
              <w:left w:val="single" w:color="000000" w:sz="4" w:space="0"/>
              <w:bottom w:val="single" w:color="000000" w:sz="4" w:space="0"/>
              <w:right w:val="single" w:color="000000" w:sz="4" w:space="0"/>
            </w:tcBorders>
            <w:vAlign w:val="top"/>
          </w:tcPr>
          <w:p w14:paraId="223F26F8">
            <w:pPr>
              <w:wordWrap w:val="0"/>
              <w:autoSpaceDE w:val="0"/>
              <w:autoSpaceDN w:val="0"/>
              <w:spacing w:before="73" w:after="0" w:line="246" w:lineRule="exact"/>
              <w:ind w:firstLine="100"/>
              <w:jc w:val="both"/>
              <w:rPr>
                <w:rFonts w:hint="eastAsia" w:eastAsia="宋体"/>
                <w:sz w:val="18"/>
                <w:szCs w:val="18"/>
                <w:lang w:val="en-US" w:eastAsia="zh-CN"/>
              </w:rPr>
            </w:pPr>
            <w:r>
              <w:rPr>
                <w:rFonts w:hint="eastAsia" w:ascii="Calibri" w:hAnsi="Calibri" w:eastAsia="Calibri"/>
                <w:color w:val="000000"/>
                <w:sz w:val="18"/>
                <w:szCs w:val="18"/>
              </w:rPr>
              <w:t>3</w:t>
            </w:r>
            <w:r>
              <w:rPr>
                <w:rFonts w:hint="eastAsia" w:ascii="Calibri" w:hAnsi="Calibri"/>
                <w:color w:val="000000"/>
                <w:sz w:val="18"/>
                <w:szCs w:val="18"/>
                <w:lang w:val="en-US" w:eastAsia="zh-CN"/>
              </w:rPr>
              <w:t>1</w:t>
            </w:r>
          </w:p>
        </w:tc>
      </w:tr>
      <w:tr w14:paraId="6C39FF6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99" w:type="dxa"/>
            <w:tcBorders>
              <w:top w:val="single" w:color="000000" w:sz="4" w:space="0"/>
              <w:left w:val="single" w:color="000000" w:sz="4" w:space="0"/>
              <w:bottom w:val="single" w:color="000000" w:sz="4" w:space="0"/>
              <w:right w:val="single" w:color="000000" w:sz="4" w:space="0"/>
            </w:tcBorders>
            <w:vAlign w:val="top"/>
          </w:tcPr>
          <w:p w14:paraId="188C0862">
            <w:pPr>
              <w:wordWrap w:val="0"/>
              <w:autoSpaceDE w:val="0"/>
              <w:autoSpaceDN w:val="0"/>
              <w:spacing w:before="13" w:after="0" w:line="246" w:lineRule="exact"/>
              <w:ind w:firstLine="340"/>
              <w:jc w:val="both"/>
              <w:rPr>
                <w:sz w:val="18"/>
                <w:szCs w:val="18"/>
              </w:rPr>
            </w:pPr>
            <w:r>
              <w:rPr>
                <w:rFonts w:hint="eastAsia" w:ascii="宋体" w:hAnsi="宋体" w:eastAsia="宋体"/>
                <w:color w:val="000000"/>
                <w:sz w:val="18"/>
                <w:szCs w:val="18"/>
              </w:rPr>
              <w:t>编号</w:t>
            </w:r>
          </w:p>
        </w:tc>
        <w:tc>
          <w:tcPr>
            <w:tcW w:w="12764" w:type="dxa"/>
            <w:gridSpan w:val="3"/>
            <w:tcBorders>
              <w:top w:val="single" w:color="000000" w:sz="4" w:space="0"/>
              <w:left w:val="single" w:color="000000" w:sz="4" w:space="0"/>
              <w:bottom w:val="single" w:color="000000" w:sz="4" w:space="0"/>
              <w:right w:val="single" w:color="000000" w:sz="4" w:space="0"/>
            </w:tcBorders>
            <w:vAlign w:val="top"/>
          </w:tcPr>
          <w:p w14:paraId="72434F0D">
            <w:pPr>
              <w:wordWrap w:val="0"/>
              <w:autoSpaceDE w:val="0"/>
              <w:autoSpaceDN w:val="0"/>
              <w:spacing w:before="33" w:after="0" w:line="246" w:lineRule="exact"/>
              <w:ind w:firstLine="80"/>
              <w:jc w:val="both"/>
              <w:rPr>
                <w:sz w:val="18"/>
                <w:szCs w:val="18"/>
              </w:rPr>
            </w:pPr>
            <w:r>
              <w:rPr>
                <w:rFonts w:hint="eastAsia" w:ascii="Calibri" w:hAnsi="Calibri" w:eastAsia="Calibri"/>
                <w:color w:val="000000"/>
                <w:sz w:val="18"/>
                <w:szCs w:val="18"/>
              </w:rPr>
              <w:t>320280113000</w:t>
            </w:r>
          </w:p>
        </w:tc>
      </w:tr>
      <w:tr w14:paraId="632D499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199" w:type="dxa"/>
            <w:tcBorders>
              <w:top w:val="single" w:color="000000" w:sz="4" w:space="0"/>
              <w:left w:val="single" w:color="000000" w:sz="4" w:space="0"/>
              <w:bottom w:val="single" w:color="000000" w:sz="4" w:space="0"/>
              <w:right w:val="single" w:color="000000" w:sz="4" w:space="0"/>
            </w:tcBorders>
            <w:vAlign w:val="top"/>
          </w:tcPr>
          <w:p w14:paraId="066C1B76">
            <w:pPr>
              <w:wordWrap w:val="0"/>
              <w:autoSpaceDE w:val="0"/>
              <w:autoSpaceDN w:val="0"/>
              <w:spacing w:before="53" w:after="0" w:line="246" w:lineRule="exact"/>
              <w:ind w:firstLine="220"/>
              <w:jc w:val="both"/>
              <w:rPr>
                <w:sz w:val="18"/>
                <w:szCs w:val="18"/>
              </w:rPr>
            </w:pPr>
            <w:r>
              <w:rPr>
                <w:rFonts w:hint="eastAsia" w:ascii="宋体" w:hAnsi="宋体" w:eastAsia="宋体"/>
                <w:color w:val="000000"/>
                <w:sz w:val="18"/>
                <w:szCs w:val="18"/>
              </w:rPr>
              <w:t>行为名称</w:t>
            </w:r>
          </w:p>
        </w:tc>
        <w:tc>
          <w:tcPr>
            <w:tcW w:w="12764" w:type="dxa"/>
            <w:gridSpan w:val="3"/>
            <w:tcBorders>
              <w:top w:val="single" w:color="000000" w:sz="4" w:space="0"/>
              <w:left w:val="single" w:color="000000" w:sz="4" w:space="0"/>
              <w:bottom w:val="single" w:color="000000" w:sz="4" w:space="0"/>
              <w:right w:val="single" w:color="000000" w:sz="4" w:space="0"/>
            </w:tcBorders>
            <w:vAlign w:val="top"/>
          </w:tcPr>
          <w:p w14:paraId="67531944">
            <w:pPr>
              <w:wordWrap w:val="0"/>
              <w:autoSpaceDE w:val="0"/>
              <w:autoSpaceDN w:val="0"/>
              <w:spacing w:before="53" w:after="0" w:line="246" w:lineRule="exact"/>
              <w:ind w:firstLine="100"/>
              <w:jc w:val="both"/>
              <w:rPr>
                <w:sz w:val="18"/>
                <w:szCs w:val="18"/>
              </w:rPr>
            </w:pPr>
            <w:r>
              <w:rPr>
                <w:rFonts w:hint="eastAsia" w:ascii="宋体" w:hAnsi="宋体" w:eastAsia="宋体"/>
                <w:color w:val="000000"/>
                <w:sz w:val="18"/>
                <w:szCs w:val="18"/>
              </w:rPr>
              <w:t>对勘察、设计、施工、工程监理单位超越本单位资质等级承揽人民防空工程的处罚</w:t>
            </w:r>
          </w:p>
        </w:tc>
      </w:tr>
      <w:tr w14:paraId="2F4DF0F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520" w:hRule="atLeast"/>
        </w:trPr>
        <w:tc>
          <w:tcPr>
            <w:tcW w:w="1199" w:type="dxa"/>
            <w:tcBorders>
              <w:top w:val="single" w:color="000000" w:sz="4" w:space="0"/>
              <w:left w:val="single" w:color="000000" w:sz="4" w:space="0"/>
              <w:bottom w:val="single" w:color="000000" w:sz="4" w:space="0"/>
              <w:right w:val="single" w:color="000000" w:sz="4" w:space="0"/>
            </w:tcBorders>
            <w:vAlign w:val="top"/>
          </w:tcPr>
          <w:p w14:paraId="1B90B7CC">
            <w:pPr>
              <w:wordWrap w:val="0"/>
              <w:autoSpaceDE w:val="0"/>
              <w:autoSpaceDN w:val="0"/>
              <w:spacing w:before="0" w:after="0" w:line="246" w:lineRule="exact"/>
              <w:ind w:firstLine="0"/>
              <w:jc w:val="both"/>
              <w:rPr>
                <w:rFonts w:hint="eastAsia" w:ascii="宋体" w:hAnsi="宋体" w:eastAsia="宋体"/>
                <w:color w:val="000000"/>
                <w:sz w:val="18"/>
                <w:szCs w:val="18"/>
              </w:rPr>
            </w:pPr>
          </w:p>
          <w:p w14:paraId="77C4D28B">
            <w:pPr>
              <w:wordWrap w:val="0"/>
              <w:autoSpaceDE w:val="0"/>
              <w:autoSpaceDN w:val="0"/>
              <w:spacing w:before="0" w:after="0" w:line="246" w:lineRule="exact"/>
              <w:ind w:firstLine="0"/>
              <w:jc w:val="both"/>
              <w:rPr>
                <w:rFonts w:hint="eastAsia" w:ascii="宋体" w:hAnsi="宋体" w:eastAsia="宋体"/>
                <w:color w:val="000000"/>
                <w:sz w:val="18"/>
                <w:szCs w:val="18"/>
              </w:rPr>
            </w:pPr>
          </w:p>
          <w:p w14:paraId="66EADD84">
            <w:pPr>
              <w:wordWrap w:val="0"/>
              <w:autoSpaceDE w:val="0"/>
              <w:autoSpaceDN w:val="0"/>
              <w:spacing w:before="0" w:after="0" w:line="246" w:lineRule="exact"/>
              <w:ind w:firstLine="0"/>
              <w:jc w:val="both"/>
              <w:rPr>
                <w:rFonts w:hint="eastAsia" w:ascii="宋体" w:hAnsi="宋体" w:eastAsia="宋体"/>
                <w:color w:val="000000"/>
                <w:sz w:val="18"/>
                <w:szCs w:val="18"/>
              </w:rPr>
            </w:pPr>
          </w:p>
          <w:p w14:paraId="581410B5">
            <w:pPr>
              <w:wordWrap w:val="0"/>
              <w:autoSpaceDE w:val="0"/>
              <w:autoSpaceDN w:val="0"/>
              <w:spacing w:before="0" w:after="0" w:line="246" w:lineRule="exact"/>
              <w:ind w:firstLine="0"/>
              <w:jc w:val="both"/>
              <w:rPr>
                <w:rFonts w:hint="eastAsia" w:ascii="宋体" w:hAnsi="宋体" w:eastAsia="宋体"/>
                <w:color w:val="000000"/>
                <w:sz w:val="18"/>
                <w:szCs w:val="18"/>
              </w:rPr>
            </w:pPr>
          </w:p>
          <w:p w14:paraId="59ABE818">
            <w:pPr>
              <w:wordWrap w:val="0"/>
              <w:autoSpaceDE w:val="0"/>
              <w:autoSpaceDN w:val="0"/>
              <w:spacing w:before="0" w:after="0" w:line="246" w:lineRule="exact"/>
              <w:ind w:firstLine="0"/>
              <w:jc w:val="both"/>
              <w:rPr>
                <w:rFonts w:hint="eastAsia" w:ascii="宋体" w:hAnsi="宋体" w:eastAsia="宋体"/>
                <w:color w:val="000000"/>
                <w:sz w:val="18"/>
                <w:szCs w:val="18"/>
              </w:rPr>
            </w:pPr>
          </w:p>
          <w:p w14:paraId="48E8FEF6">
            <w:pPr>
              <w:wordWrap w:val="0"/>
              <w:autoSpaceDE w:val="0"/>
              <w:autoSpaceDN w:val="0"/>
              <w:spacing w:before="0" w:after="0" w:line="246" w:lineRule="exact"/>
              <w:ind w:firstLine="0"/>
              <w:jc w:val="both"/>
              <w:rPr>
                <w:rFonts w:hint="eastAsia" w:ascii="宋体" w:hAnsi="宋体" w:eastAsia="宋体"/>
                <w:color w:val="000000"/>
                <w:sz w:val="18"/>
                <w:szCs w:val="18"/>
              </w:rPr>
            </w:pPr>
          </w:p>
          <w:p w14:paraId="0FB53EFD">
            <w:pPr>
              <w:wordWrap w:val="0"/>
              <w:autoSpaceDE w:val="0"/>
              <w:autoSpaceDN w:val="0"/>
              <w:spacing w:before="0" w:after="0" w:line="246" w:lineRule="exact"/>
              <w:ind w:firstLine="0"/>
              <w:jc w:val="both"/>
              <w:rPr>
                <w:rFonts w:hint="eastAsia" w:ascii="宋体" w:hAnsi="宋体" w:eastAsia="宋体"/>
                <w:color w:val="000000"/>
                <w:sz w:val="18"/>
                <w:szCs w:val="18"/>
              </w:rPr>
            </w:pPr>
          </w:p>
          <w:p w14:paraId="0749806C">
            <w:pPr>
              <w:wordWrap w:val="0"/>
              <w:autoSpaceDE w:val="0"/>
              <w:autoSpaceDN w:val="0"/>
              <w:spacing w:before="0" w:after="0" w:line="246" w:lineRule="exact"/>
              <w:ind w:firstLine="0"/>
              <w:jc w:val="both"/>
              <w:rPr>
                <w:rFonts w:hint="eastAsia" w:ascii="宋体" w:hAnsi="宋体" w:eastAsia="宋体"/>
                <w:color w:val="000000"/>
                <w:sz w:val="18"/>
                <w:szCs w:val="18"/>
              </w:rPr>
            </w:pPr>
          </w:p>
          <w:p w14:paraId="4FEC1779">
            <w:pPr>
              <w:wordWrap w:val="0"/>
              <w:autoSpaceDE w:val="0"/>
              <w:autoSpaceDN w:val="0"/>
              <w:spacing w:before="208" w:after="0" w:line="246" w:lineRule="exact"/>
              <w:ind w:firstLine="240"/>
              <w:jc w:val="both"/>
              <w:rPr>
                <w:sz w:val="18"/>
                <w:szCs w:val="18"/>
              </w:rPr>
            </w:pPr>
            <w:r>
              <w:rPr>
                <w:rFonts w:hint="eastAsia" w:ascii="宋体" w:hAnsi="宋体" w:eastAsia="宋体"/>
                <w:color w:val="000000"/>
                <w:sz w:val="18"/>
                <w:szCs w:val="18"/>
              </w:rPr>
              <w:t>法律依据</w:t>
            </w:r>
          </w:p>
        </w:tc>
        <w:tc>
          <w:tcPr>
            <w:tcW w:w="12764" w:type="dxa"/>
            <w:gridSpan w:val="3"/>
            <w:tcBorders>
              <w:top w:val="single" w:color="000000" w:sz="4" w:space="0"/>
              <w:left w:val="single" w:color="000000" w:sz="4" w:space="0"/>
              <w:bottom w:val="single" w:color="000000" w:sz="4" w:space="0"/>
              <w:right w:val="single" w:color="000000" w:sz="4" w:space="0"/>
            </w:tcBorders>
            <w:vAlign w:val="top"/>
          </w:tcPr>
          <w:p w14:paraId="2054EAA6">
            <w:pPr>
              <w:wordWrap w:val="0"/>
              <w:autoSpaceDE w:val="0"/>
              <w:autoSpaceDN w:val="0"/>
              <w:spacing w:before="0" w:after="0" w:line="246" w:lineRule="exact"/>
              <w:ind w:firstLine="0"/>
              <w:jc w:val="both"/>
              <w:rPr>
                <w:rFonts w:hint="eastAsia" w:ascii="宋体" w:hAnsi="宋体" w:eastAsia="宋体"/>
                <w:color w:val="000000"/>
                <w:sz w:val="18"/>
                <w:szCs w:val="18"/>
              </w:rPr>
            </w:pPr>
          </w:p>
          <w:p w14:paraId="5AAF4694">
            <w:pPr>
              <w:wordWrap w:val="0"/>
              <w:autoSpaceDE w:val="0"/>
              <w:autoSpaceDN w:val="0"/>
              <w:spacing w:before="67" w:after="0" w:line="246" w:lineRule="exact"/>
              <w:ind w:firstLine="14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4A74DEC5">
            <w:pPr>
              <w:wordWrap w:val="0"/>
              <w:autoSpaceDE w:val="0"/>
              <w:autoSpaceDN w:val="0"/>
              <w:spacing w:before="67" w:after="0" w:line="246" w:lineRule="exact"/>
              <w:ind w:left="100" w:right="80" w:firstLine="420"/>
              <w:jc w:val="both"/>
              <w:rPr>
                <w:sz w:val="18"/>
                <w:szCs w:val="18"/>
              </w:rPr>
            </w:pPr>
            <w:r>
              <w:rPr>
                <w:rFonts w:hint="eastAsia" w:ascii="宋体" w:hAnsi="宋体" w:eastAsia="宋体"/>
                <w:color w:val="000000"/>
                <w:sz w:val="18"/>
                <w:szCs w:val="18"/>
              </w:rPr>
              <w:t>第六十条 违反本条例规定，勘察、设计、施工、工程监理单位超越本单位资质等级承揽工程的，责令停止违法行为，对勘察、设计单位或者工程监理单位处合同约定的勘察费、设计费或者监理酬金</w:t>
            </w:r>
            <w:r>
              <w:rPr>
                <w:rFonts w:hint="eastAsia" w:ascii="Calibri" w:hAnsi="Calibri" w:eastAsia="Calibri"/>
                <w:color w:val="000000"/>
                <w:sz w:val="18"/>
                <w:szCs w:val="18"/>
              </w:rPr>
              <w:t>1</w:t>
            </w:r>
            <w:r>
              <w:rPr>
                <w:rFonts w:hint="eastAsia" w:ascii="宋体" w:hAnsi="宋体" w:eastAsia="宋体"/>
                <w:color w:val="000000"/>
                <w:sz w:val="18"/>
                <w:szCs w:val="18"/>
              </w:rPr>
              <w:t>倍以上</w:t>
            </w:r>
            <w:r>
              <w:rPr>
                <w:rFonts w:hint="eastAsia" w:ascii="Calibri" w:hAnsi="Calibri" w:eastAsia="Calibri"/>
                <w:color w:val="000000"/>
                <w:sz w:val="18"/>
                <w:szCs w:val="18"/>
              </w:rPr>
              <w:t>2</w:t>
            </w:r>
            <w:r>
              <w:rPr>
                <w:rFonts w:hint="eastAsia" w:ascii="宋体" w:hAnsi="宋体" w:eastAsia="宋体"/>
                <w:color w:val="000000"/>
                <w:sz w:val="18"/>
                <w:szCs w:val="18"/>
              </w:rPr>
              <w:t>倍以下的罚款；对施工单位处工程合同价款</w:t>
            </w:r>
            <w:r>
              <w:rPr>
                <w:rFonts w:hint="eastAsia" w:ascii="Calibri" w:hAnsi="Calibri" w:eastAsia="Calibri"/>
                <w:color w:val="000000"/>
                <w:sz w:val="18"/>
                <w:szCs w:val="18"/>
              </w:rPr>
              <w:t>2</w:t>
            </w:r>
            <w:r>
              <w:rPr>
                <w:rFonts w:hint="eastAsia" w:ascii="宋体" w:hAnsi="宋体" w:eastAsia="宋体"/>
                <w:color w:val="000000"/>
                <w:sz w:val="18"/>
                <w:szCs w:val="18"/>
              </w:rPr>
              <w:t>％以上</w:t>
            </w:r>
            <w:r>
              <w:rPr>
                <w:rFonts w:hint="eastAsia" w:ascii="Calibri" w:hAnsi="Calibri" w:eastAsia="Calibri"/>
                <w:color w:val="000000"/>
                <w:sz w:val="18"/>
                <w:szCs w:val="18"/>
              </w:rPr>
              <w:t>4</w:t>
            </w:r>
            <w:r>
              <w:rPr>
                <w:rFonts w:hint="eastAsia" w:ascii="宋体" w:hAnsi="宋体" w:eastAsia="宋体"/>
                <w:color w:val="000000"/>
                <w:sz w:val="18"/>
                <w:szCs w:val="18"/>
              </w:rPr>
              <w:t>％以下的罚款，可以责令停业整顿，降低资质等级；情节严重的，吊销资质证书；有违法所得的，予以没收。</w:t>
            </w:r>
          </w:p>
          <w:p w14:paraId="3443FF2B">
            <w:pPr>
              <w:wordWrap w:val="0"/>
              <w:autoSpaceDE w:val="0"/>
              <w:autoSpaceDN w:val="0"/>
              <w:spacing w:before="53" w:after="0" w:line="246" w:lineRule="exact"/>
              <w:ind w:firstLine="520"/>
              <w:jc w:val="both"/>
              <w:rPr>
                <w:sz w:val="18"/>
                <w:szCs w:val="18"/>
              </w:rPr>
            </w:pPr>
            <w:r>
              <w:rPr>
                <w:rFonts w:hint="eastAsia" w:ascii="宋体" w:hAnsi="宋体" w:eastAsia="宋体"/>
                <w:color w:val="000000"/>
                <w:sz w:val="18"/>
                <w:szCs w:val="18"/>
              </w:rPr>
              <w:t>未取得资质证书承揽工程的，予以取缔，依照前款规定处以罚款；有违法所得的，予以没收。</w:t>
            </w:r>
          </w:p>
          <w:p w14:paraId="30431DFC">
            <w:pPr>
              <w:wordWrap w:val="0"/>
              <w:autoSpaceDE w:val="0"/>
              <w:autoSpaceDN w:val="0"/>
              <w:spacing w:before="73" w:after="0" w:line="246" w:lineRule="exact"/>
              <w:ind w:firstLine="520"/>
              <w:jc w:val="both"/>
              <w:rPr>
                <w:sz w:val="18"/>
                <w:szCs w:val="18"/>
              </w:rPr>
            </w:pPr>
            <w:r>
              <w:rPr>
                <w:rFonts w:hint="eastAsia" w:ascii="宋体" w:hAnsi="宋体" w:eastAsia="宋体"/>
                <w:color w:val="000000"/>
                <w:sz w:val="18"/>
                <w:szCs w:val="18"/>
              </w:rPr>
              <w:t>以欺骗手段取得资质证书承揽工程的，吊销资质证书，依照本条第一款规定处以罚款；有违法所得的，予以没收。</w:t>
            </w:r>
          </w:p>
          <w:p w14:paraId="4D78960B">
            <w:pPr>
              <w:wordWrap w:val="0"/>
              <w:autoSpaceDE w:val="0"/>
              <w:autoSpaceDN w:val="0"/>
              <w:spacing w:before="0" w:after="0" w:line="246" w:lineRule="exact"/>
              <w:ind w:firstLine="0"/>
              <w:jc w:val="both"/>
              <w:rPr>
                <w:rFonts w:hint="eastAsia" w:ascii="宋体" w:hAnsi="宋体" w:eastAsia="宋体"/>
                <w:color w:val="000000"/>
                <w:sz w:val="18"/>
                <w:szCs w:val="18"/>
              </w:rPr>
            </w:pPr>
          </w:p>
          <w:p w14:paraId="274E0AC5">
            <w:pPr>
              <w:wordWrap w:val="0"/>
              <w:autoSpaceDE w:val="0"/>
              <w:autoSpaceDN w:val="0"/>
              <w:spacing w:before="167" w:after="0" w:line="246" w:lineRule="exact"/>
              <w:ind w:left="120" w:right="10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31E1A88D">
            <w:pPr>
              <w:wordWrap w:val="0"/>
              <w:autoSpaceDE w:val="0"/>
              <w:autoSpaceDN w:val="0"/>
              <w:spacing w:before="63" w:after="0" w:line="246" w:lineRule="exact"/>
              <w:ind w:left="120" w:right="80" w:firstLine="420"/>
              <w:jc w:val="both"/>
              <w:rPr>
                <w:sz w:val="18"/>
                <w:szCs w:val="18"/>
              </w:rPr>
            </w:pPr>
            <w:r>
              <w:rPr>
                <w:rFonts w:hint="eastAsia" w:ascii="宋体" w:hAnsi="宋体" w:eastAsia="宋体"/>
                <w:color w:val="000000"/>
                <w:sz w:val="18"/>
                <w:szCs w:val="18"/>
              </w:rPr>
              <w:t>第七十五条第一款 本条例规定的责令停业整顿，降低资质等级和吊销资质证书的行政处罚，由颁发资质证书的机关决定；其他行政处罚，由建设行政主管部门或者其他有关部门依照法定职权决定。</w:t>
            </w:r>
          </w:p>
          <w:p w14:paraId="1756FBDB">
            <w:pPr>
              <w:wordWrap w:val="0"/>
              <w:autoSpaceDE w:val="0"/>
              <w:autoSpaceDN w:val="0"/>
              <w:spacing w:before="93" w:after="0" w:line="246" w:lineRule="exact"/>
              <w:ind w:firstLine="140"/>
              <w:jc w:val="both"/>
              <w:rPr>
                <w:sz w:val="18"/>
                <w:szCs w:val="18"/>
              </w:rPr>
            </w:pPr>
            <w:r>
              <w:rPr>
                <w:rFonts w:hint="eastAsia" w:ascii="宋体" w:hAnsi="宋体" w:eastAsia="宋体"/>
                <w:color w:val="000000"/>
                <w:sz w:val="18"/>
                <w:szCs w:val="18"/>
              </w:rPr>
              <w:t>【省级地方性法规】《江苏省实施《中华人民共和国人民防空法》办法》</w:t>
            </w:r>
          </w:p>
          <w:p w14:paraId="11CFF71E">
            <w:pPr>
              <w:wordWrap w:val="0"/>
              <w:autoSpaceDE w:val="0"/>
              <w:autoSpaceDN w:val="0"/>
              <w:spacing w:before="63" w:after="0" w:line="246" w:lineRule="exact"/>
              <w:ind w:left="140" w:right="6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43AC75F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199" w:type="dxa"/>
            <w:tcBorders>
              <w:top w:val="single" w:color="000000" w:sz="4" w:space="0"/>
              <w:left w:val="single" w:color="000000" w:sz="4" w:space="0"/>
              <w:bottom w:val="single" w:color="000000" w:sz="4" w:space="0"/>
              <w:right w:val="single" w:color="000000" w:sz="4" w:space="0"/>
            </w:tcBorders>
            <w:vAlign w:val="top"/>
          </w:tcPr>
          <w:p w14:paraId="495A2BD1">
            <w:pPr>
              <w:wordWrap w:val="0"/>
              <w:autoSpaceDE w:val="0"/>
              <w:autoSpaceDN w:val="0"/>
              <w:spacing w:before="33" w:after="0" w:line="246" w:lineRule="exact"/>
              <w:ind w:firstLine="220"/>
              <w:jc w:val="both"/>
              <w:rPr>
                <w:sz w:val="18"/>
                <w:szCs w:val="18"/>
              </w:rPr>
            </w:pPr>
            <w:r>
              <w:rPr>
                <w:rFonts w:hint="eastAsia" w:ascii="宋体" w:hAnsi="宋体" w:eastAsia="宋体"/>
                <w:color w:val="000000"/>
                <w:sz w:val="18"/>
                <w:szCs w:val="18"/>
              </w:rPr>
              <w:t>处罚种类</w:t>
            </w:r>
          </w:p>
        </w:tc>
        <w:tc>
          <w:tcPr>
            <w:tcW w:w="12764" w:type="dxa"/>
            <w:gridSpan w:val="3"/>
            <w:tcBorders>
              <w:top w:val="single" w:color="000000" w:sz="4" w:space="0"/>
              <w:left w:val="single" w:color="000000" w:sz="4" w:space="0"/>
              <w:bottom w:val="single" w:color="000000" w:sz="4" w:space="0"/>
              <w:right w:val="single" w:color="000000" w:sz="4" w:space="0"/>
            </w:tcBorders>
            <w:vAlign w:val="top"/>
          </w:tcPr>
          <w:p w14:paraId="4319B4EB">
            <w:pPr>
              <w:wordWrap w:val="0"/>
              <w:autoSpaceDE w:val="0"/>
              <w:autoSpaceDN w:val="0"/>
              <w:spacing w:before="73" w:after="0" w:line="246" w:lineRule="exact"/>
              <w:ind w:firstLine="100"/>
              <w:jc w:val="both"/>
              <w:rPr>
                <w:sz w:val="18"/>
                <w:szCs w:val="18"/>
              </w:rPr>
            </w:pPr>
            <w:r>
              <w:rPr>
                <w:rFonts w:hint="eastAsia" w:ascii="宋体" w:hAnsi="宋体" w:eastAsia="宋体"/>
                <w:color w:val="000000"/>
                <w:sz w:val="18"/>
                <w:szCs w:val="18"/>
              </w:rPr>
              <w:t>没收违法所得、罚款</w:t>
            </w:r>
          </w:p>
        </w:tc>
      </w:tr>
      <w:tr w14:paraId="4ACE973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3963" w:type="dxa"/>
            <w:gridSpan w:val="4"/>
            <w:tcBorders>
              <w:top w:val="single" w:color="000000" w:sz="4" w:space="0"/>
              <w:left w:val="single" w:color="000000" w:sz="4" w:space="0"/>
              <w:bottom w:val="single" w:color="000000" w:sz="4" w:space="0"/>
              <w:right w:val="single" w:color="000000" w:sz="4" w:space="0"/>
            </w:tcBorders>
            <w:vAlign w:val="top"/>
          </w:tcPr>
          <w:p w14:paraId="7750687A">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自由裁量基准</w:t>
            </w:r>
          </w:p>
        </w:tc>
      </w:tr>
      <w:tr w14:paraId="7C5FB55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820" w:hRule="atLeast"/>
        </w:trPr>
        <w:tc>
          <w:tcPr>
            <w:tcW w:w="1199" w:type="dxa"/>
            <w:tcBorders>
              <w:top w:val="single" w:color="000000" w:sz="4" w:space="0"/>
              <w:left w:val="single" w:color="000000" w:sz="4" w:space="0"/>
              <w:bottom w:val="single" w:color="000000" w:sz="4" w:space="0"/>
              <w:right w:val="single" w:color="000000" w:sz="4" w:space="0"/>
            </w:tcBorders>
            <w:vAlign w:val="top"/>
          </w:tcPr>
          <w:p w14:paraId="294DB346">
            <w:pPr>
              <w:wordWrap w:val="0"/>
              <w:autoSpaceDE w:val="0"/>
              <w:autoSpaceDN w:val="0"/>
              <w:spacing w:before="0" w:after="0" w:line="246" w:lineRule="exact"/>
              <w:ind w:firstLine="0"/>
              <w:jc w:val="both"/>
              <w:rPr>
                <w:rFonts w:hint="eastAsia" w:ascii="宋体" w:hAnsi="宋体" w:eastAsia="宋体"/>
                <w:color w:val="000000"/>
                <w:sz w:val="18"/>
                <w:szCs w:val="18"/>
              </w:rPr>
            </w:pPr>
          </w:p>
          <w:p w14:paraId="756B5F37">
            <w:pPr>
              <w:wordWrap w:val="0"/>
              <w:autoSpaceDE w:val="0"/>
              <w:autoSpaceDN w:val="0"/>
              <w:spacing w:before="0" w:after="0" w:line="246" w:lineRule="exact"/>
              <w:ind w:firstLine="0"/>
              <w:jc w:val="both"/>
              <w:rPr>
                <w:rFonts w:hint="eastAsia" w:ascii="宋体" w:hAnsi="宋体" w:eastAsia="宋体"/>
                <w:color w:val="000000"/>
                <w:sz w:val="18"/>
                <w:szCs w:val="18"/>
              </w:rPr>
            </w:pPr>
          </w:p>
          <w:p w14:paraId="5B3A1243">
            <w:pPr>
              <w:wordWrap w:val="0"/>
              <w:autoSpaceDE w:val="0"/>
              <w:autoSpaceDN w:val="0"/>
              <w:spacing w:before="0" w:after="0" w:line="246" w:lineRule="exact"/>
              <w:ind w:firstLine="0"/>
              <w:jc w:val="both"/>
              <w:rPr>
                <w:rFonts w:hint="eastAsia" w:ascii="宋体" w:hAnsi="宋体" w:eastAsia="宋体"/>
                <w:color w:val="000000"/>
                <w:sz w:val="18"/>
                <w:szCs w:val="18"/>
              </w:rPr>
            </w:pPr>
          </w:p>
          <w:p w14:paraId="50E7E045">
            <w:pPr>
              <w:wordWrap w:val="0"/>
              <w:autoSpaceDE w:val="0"/>
              <w:autoSpaceDN w:val="0"/>
              <w:spacing w:before="100" w:after="0" w:line="246" w:lineRule="exact"/>
              <w:ind w:firstLine="220"/>
              <w:jc w:val="both"/>
              <w:rPr>
                <w:sz w:val="18"/>
                <w:szCs w:val="18"/>
              </w:rPr>
            </w:pPr>
            <w:r>
              <w:rPr>
                <w:rFonts w:hint="eastAsia" w:ascii="宋体" w:hAnsi="宋体" w:eastAsia="宋体"/>
                <w:color w:val="000000"/>
                <w:sz w:val="18"/>
                <w:szCs w:val="18"/>
              </w:rPr>
              <w:t>情形描述</w:t>
            </w:r>
          </w:p>
        </w:tc>
        <w:tc>
          <w:tcPr>
            <w:tcW w:w="5393" w:type="dxa"/>
            <w:tcBorders>
              <w:top w:val="single" w:color="000000" w:sz="4" w:space="0"/>
              <w:left w:val="single" w:color="000000" w:sz="4" w:space="0"/>
              <w:bottom w:val="single" w:color="000000" w:sz="4" w:space="0"/>
              <w:right w:val="single" w:color="000000" w:sz="4" w:space="0"/>
            </w:tcBorders>
            <w:vAlign w:val="top"/>
          </w:tcPr>
          <w:p w14:paraId="1D2C1DE8">
            <w:pPr>
              <w:wordWrap w:val="0"/>
              <w:autoSpaceDE w:val="0"/>
              <w:autoSpaceDN w:val="0"/>
              <w:spacing w:before="0" w:after="0" w:line="246" w:lineRule="exact"/>
              <w:ind w:firstLine="0"/>
              <w:jc w:val="both"/>
              <w:rPr>
                <w:rFonts w:hint="eastAsia" w:ascii="宋体" w:hAnsi="宋体" w:eastAsia="宋体"/>
                <w:color w:val="000000"/>
                <w:sz w:val="18"/>
                <w:szCs w:val="18"/>
              </w:rPr>
            </w:pPr>
          </w:p>
          <w:p w14:paraId="15C5ECB6">
            <w:pPr>
              <w:wordWrap w:val="0"/>
              <w:autoSpaceDE w:val="0"/>
              <w:autoSpaceDN w:val="0"/>
              <w:spacing w:before="0" w:after="0" w:line="246" w:lineRule="exact"/>
              <w:ind w:firstLine="0"/>
              <w:jc w:val="both"/>
              <w:rPr>
                <w:rFonts w:hint="eastAsia" w:ascii="宋体" w:hAnsi="宋体" w:eastAsia="宋体"/>
                <w:color w:val="000000"/>
                <w:sz w:val="18"/>
                <w:szCs w:val="18"/>
              </w:rPr>
            </w:pPr>
          </w:p>
          <w:p w14:paraId="469F7E4D">
            <w:pPr>
              <w:wordWrap w:val="0"/>
              <w:autoSpaceDE w:val="0"/>
              <w:autoSpaceDN w:val="0"/>
              <w:spacing w:before="0" w:after="0" w:line="246" w:lineRule="exact"/>
              <w:ind w:firstLine="0"/>
              <w:jc w:val="both"/>
              <w:rPr>
                <w:rFonts w:hint="eastAsia" w:ascii="宋体" w:hAnsi="宋体" w:eastAsia="宋体"/>
                <w:color w:val="000000"/>
                <w:sz w:val="18"/>
                <w:szCs w:val="18"/>
              </w:rPr>
            </w:pPr>
          </w:p>
          <w:p w14:paraId="0DD90815">
            <w:pPr>
              <w:wordWrap w:val="0"/>
              <w:autoSpaceDE w:val="0"/>
              <w:autoSpaceDN w:val="0"/>
              <w:spacing w:before="120" w:after="0" w:line="246" w:lineRule="exact"/>
              <w:ind w:firstLine="100"/>
              <w:jc w:val="both"/>
              <w:rPr>
                <w:sz w:val="18"/>
                <w:szCs w:val="18"/>
              </w:rPr>
            </w:pPr>
            <w:r>
              <w:rPr>
                <w:rFonts w:hint="eastAsia" w:ascii="宋体" w:hAnsi="宋体" w:eastAsia="宋体"/>
                <w:color w:val="000000"/>
                <w:sz w:val="18"/>
                <w:szCs w:val="18"/>
              </w:rPr>
              <w:t>超越一个资质等级的</w:t>
            </w:r>
          </w:p>
        </w:tc>
        <w:tc>
          <w:tcPr>
            <w:tcW w:w="1099" w:type="dxa"/>
            <w:tcBorders>
              <w:top w:val="single" w:color="000000" w:sz="4" w:space="0"/>
              <w:left w:val="single" w:color="000000" w:sz="4" w:space="0"/>
              <w:bottom w:val="single" w:color="000000" w:sz="4" w:space="0"/>
              <w:right w:val="single" w:color="000000" w:sz="4" w:space="0"/>
            </w:tcBorders>
            <w:vAlign w:val="top"/>
          </w:tcPr>
          <w:p w14:paraId="0EF3B15A">
            <w:pPr>
              <w:wordWrap w:val="0"/>
              <w:autoSpaceDE w:val="0"/>
              <w:autoSpaceDN w:val="0"/>
              <w:spacing w:before="0" w:after="0" w:line="246" w:lineRule="exact"/>
              <w:ind w:firstLine="0"/>
              <w:jc w:val="both"/>
              <w:rPr>
                <w:rFonts w:hint="eastAsia" w:ascii="宋体" w:hAnsi="宋体" w:eastAsia="宋体"/>
                <w:color w:val="000000"/>
                <w:sz w:val="18"/>
                <w:szCs w:val="18"/>
              </w:rPr>
            </w:pPr>
          </w:p>
          <w:p w14:paraId="4602F27D">
            <w:pPr>
              <w:wordWrap w:val="0"/>
              <w:autoSpaceDE w:val="0"/>
              <w:autoSpaceDN w:val="0"/>
              <w:spacing w:before="0" w:after="0" w:line="246" w:lineRule="exact"/>
              <w:ind w:firstLine="0"/>
              <w:jc w:val="both"/>
              <w:rPr>
                <w:rFonts w:hint="eastAsia" w:ascii="宋体" w:hAnsi="宋体" w:eastAsia="宋体"/>
                <w:color w:val="000000"/>
                <w:sz w:val="18"/>
                <w:szCs w:val="18"/>
              </w:rPr>
            </w:pPr>
          </w:p>
          <w:p w14:paraId="066C08B6">
            <w:pPr>
              <w:wordWrap w:val="0"/>
              <w:autoSpaceDE w:val="0"/>
              <w:autoSpaceDN w:val="0"/>
              <w:spacing w:before="0" w:after="0" w:line="246" w:lineRule="exact"/>
              <w:ind w:firstLine="0"/>
              <w:jc w:val="both"/>
              <w:rPr>
                <w:rFonts w:hint="eastAsia" w:ascii="宋体" w:hAnsi="宋体" w:eastAsia="宋体"/>
                <w:color w:val="000000"/>
                <w:sz w:val="18"/>
                <w:szCs w:val="18"/>
              </w:rPr>
            </w:pPr>
          </w:p>
          <w:p w14:paraId="4620C5BF">
            <w:pPr>
              <w:wordWrap w:val="0"/>
              <w:autoSpaceDE w:val="0"/>
              <w:autoSpaceDN w:val="0"/>
              <w:spacing w:before="100" w:after="0" w:line="246" w:lineRule="exact"/>
              <w:ind w:firstLine="140"/>
              <w:jc w:val="both"/>
              <w:rPr>
                <w:sz w:val="18"/>
                <w:szCs w:val="18"/>
              </w:rPr>
            </w:pPr>
            <w:r>
              <w:rPr>
                <w:rFonts w:hint="eastAsia" w:ascii="宋体" w:hAnsi="宋体" w:eastAsia="宋体"/>
                <w:color w:val="000000"/>
                <w:sz w:val="18"/>
                <w:szCs w:val="18"/>
              </w:rPr>
              <w:t>裁量幅度</w:t>
            </w:r>
          </w:p>
        </w:tc>
        <w:tc>
          <w:tcPr>
            <w:tcW w:w="6272" w:type="dxa"/>
            <w:tcBorders>
              <w:top w:val="single" w:color="000000" w:sz="4" w:space="0"/>
              <w:left w:val="single" w:color="000000" w:sz="4" w:space="0"/>
              <w:bottom w:val="single" w:color="000000" w:sz="4" w:space="0"/>
              <w:right w:val="single" w:color="000000" w:sz="4" w:space="0"/>
            </w:tcBorders>
            <w:vAlign w:val="top"/>
          </w:tcPr>
          <w:p w14:paraId="346ADB7B">
            <w:pPr>
              <w:wordWrap w:val="0"/>
              <w:autoSpaceDE w:val="0"/>
              <w:autoSpaceDN w:val="0"/>
              <w:spacing w:before="0" w:after="0" w:line="246" w:lineRule="exact"/>
              <w:ind w:firstLine="0"/>
              <w:jc w:val="both"/>
              <w:rPr>
                <w:rFonts w:hint="eastAsia" w:ascii="宋体" w:hAnsi="宋体" w:eastAsia="宋体"/>
                <w:color w:val="000000"/>
                <w:sz w:val="18"/>
                <w:szCs w:val="18"/>
              </w:rPr>
            </w:pPr>
          </w:p>
          <w:p w14:paraId="52DA6733">
            <w:pPr>
              <w:wordWrap w:val="0"/>
              <w:autoSpaceDE w:val="0"/>
              <w:autoSpaceDN w:val="0"/>
              <w:spacing w:before="0" w:after="0" w:line="246" w:lineRule="exact"/>
              <w:ind w:firstLine="0"/>
              <w:jc w:val="both"/>
              <w:rPr>
                <w:rFonts w:hint="eastAsia" w:ascii="宋体" w:hAnsi="宋体" w:eastAsia="宋体"/>
                <w:color w:val="000000"/>
                <w:sz w:val="18"/>
                <w:szCs w:val="18"/>
              </w:rPr>
            </w:pPr>
          </w:p>
          <w:p w14:paraId="357E75F0">
            <w:pPr>
              <w:wordWrap w:val="0"/>
              <w:autoSpaceDE w:val="0"/>
              <w:autoSpaceDN w:val="0"/>
              <w:spacing w:before="40" w:after="0" w:line="246" w:lineRule="exact"/>
              <w:ind w:left="100" w:right="40" w:firstLine="0"/>
              <w:jc w:val="both"/>
              <w:rPr>
                <w:sz w:val="18"/>
                <w:szCs w:val="18"/>
              </w:rPr>
            </w:pPr>
            <w:r>
              <w:rPr>
                <w:rFonts w:hint="eastAsia" w:ascii="宋体" w:hAnsi="宋体" w:eastAsia="宋体"/>
                <w:color w:val="000000"/>
                <w:sz w:val="18"/>
                <w:szCs w:val="18"/>
              </w:rPr>
              <w:t>对勘察、设计单位：处合同约定的勘察、设计费</w:t>
            </w:r>
            <w:r>
              <w:rPr>
                <w:rFonts w:hint="eastAsia" w:ascii="Calibri" w:hAnsi="Calibri" w:eastAsia="Calibri"/>
                <w:color w:val="000000"/>
                <w:sz w:val="18"/>
                <w:szCs w:val="18"/>
              </w:rPr>
              <w:t>1</w:t>
            </w:r>
            <w:r>
              <w:rPr>
                <w:rFonts w:hint="eastAsia" w:ascii="宋体" w:hAnsi="宋体" w:eastAsia="宋体"/>
                <w:color w:val="000000"/>
                <w:sz w:val="18"/>
                <w:szCs w:val="18"/>
              </w:rPr>
              <w:t>倍以上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倍以下罚款</w:t>
            </w:r>
          </w:p>
          <w:p w14:paraId="4E7C7817">
            <w:pPr>
              <w:wordWrap w:val="0"/>
              <w:autoSpaceDE w:val="0"/>
              <w:autoSpaceDN w:val="0"/>
              <w:spacing w:before="53" w:after="0" w:line="246" w:lineRule="exact"/>
              <w:ind w:left="100" w:right="200" w:firstLine="0"/>
              <w:jc w:val="both"/>
              <w:rPr>
                <w:sz w:val="18"/>
                <w:szCs w:val="18"/>
              </w:rPr>
            </w:pPr>
            <w:r>
              <w:rPr>
                <w:rFonts w:hint="eastAsia" w:ascii="宋体" w:hAnsi="宋体" w:eastAsia="宋体"/>
                <w:color w:val="000000"/>
                <w:sz w:val="18"/>
                <w:szCs w:val="18"/>
              </w:rPr>
              <w:t>对工程监理单位：处合同约定的监理酬金</w:t>
            </w:r>
            <w:r>
              <w:rPr>
                <w:rFonts w:hint="eastAsia" w:ascii="Calibri" w:hAnsi="Calibri" w:eastAsia="Calibri"/>
                <w:color w:val="000000"/>
                <w:sz w:val="18"/>
                <w:szCs w:val="18"/>
              </w:rPr>
              <w:t>1</w:t>
            </w:r>
            <w:r>
              <w:rPr>
                <w:rFonts w:hint="eastAsia" w:ascii="宋体" w:hAnsi="宋体" w:eastAsia="宋体"/>
                <w:color w:val="000000"/>
                <w:sz w:val="18"/>
                <w:szCs w:val="18"/>
              </w:rPr>
              <w:t>倍以上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倍以下罚款对施工单位：处工程合同价款</w:t>
            </w:r>
            <w:r>
              <w:rPr>
                <w:rFonts w:hint="eastAsia" w:ascii="Calibri" w:hAnsi="Calibri" w:eastAsia="Calibri"/>
                <w:color w:val="000000"/>
                <w:sz w:val="18"/>
                <w:szCs w:val="18"/>
              </w:rPr>
              <w:t>2</w:t>
            </w:r>
            <w:r>
              <w:rPr>
                <w:rFonts w:hint="eastAsia" w:ascii="宋体" w:hAnsi="宋体" w:eastAsia="宋体"/>
                <w:color w:val="000000"/>
                <w:sz w:val="18"/>
                <w:szCs w:val="18"/>
              </w:rPr>
              <w:t>％以上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％以下罚款</w:t>
            </w:r>
          </w:p>
          <w:p w14:paraId="19EFF9E9">
            <w:pPr>
              <w:wordWrap w:val="0"/>
              <w:autoSpaceDE w:val="0"/>
              <w:autoSpaceDN w:val="0"/>
              <w:spacing w:before="73" w:after="0" w:line="246"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4554F95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496" w:hRule="atLeast"/>
        </w:trPr>
        <w:tc>
          <w:tcPr>
            <w:tcW w:w="1199" w:type="dxa"/>
            <w:vMerge w:val="restart"/>
            <w:tcBorders>
              <w:top w:val="single" w:color="000000" w:sz="4" w:space="0"/>
              <w:left w:val="single" w:color="000000" w:sz="4" w:space="0"/>
              <w:right w:val="single" w:color="000000" w:sz="4" w:space="0"/>
            </w:tcBorders>
            <w:shd w:val="clear" w:color="auto" w:fill="auto"/>
            <w:vAlign w:val="top"/>
          </w:tcPr>
          <w:p w14:paraId="37874C89">
            <w:pPr>
              <w:wordWrap w:val="0"/>
              <w:autoSpaceDE w:val="0"/>
              <w:autoSpaceDN w:val="0"/>
              <w:spacing w:before="0" w:after="0" w:line="246" w:lineRule="exact"/>
              <w:ind w:firstLine="0"/>
              <w:jc w:val="both"/>
              <w:rPr>
                <w:rFonts w:hint="eastAsia" w:ascii="宋体" w:hAnsi="宋体" w:eastAsia="宋体"/>
                <w:color w:val="000000"/>
                <w:sz w:val="18"/>
                <w:szCs w:val="18"/>
              </w:rPr>
            </w:pPr>
          </w:p>
          <w:p w14:paraId="2033D5C5">
            <w:pPr>
              <w:wordWrap w:val="0"/>
              <w:autoSpaceDE w:val="0"/>
              <w:autoSpaceDN w:val="0"/>
              <w:spacing w:before="0" w:after="0" w:line="246" w:lineRule="exact"/>
              <w:ind w:firstLine="0"/>
              <w:jc w:val="both"/>
              <w:rPr>
                <w:rFonts w:hint="eastAsia" w:ascii="宋体" w:hAnsi="宋体" w:eastAsia="宋体"/>
                <w:color w:val="000000"/>
                <w:sz w:val="18"/>
                <w:szCs w:val="18"/>
              </w:rPr>
            </w:pPr>
          </w:p>
          <w:p w14:paraId="6AB6C339">
            <w:pPr>
              <w:wordWrap w:val="0"/>
              <w:autoSpaceDE w:val="0"/>
              <w:autoSpaceDN w:val="0"/>
              <w:spacing w:before="0" w:after="0" w:line="246" w:lineRule="exact"/>
              <w:ind w:firstLine="0"/>
              <w:jc w:val="both"/>
              <w:rPr>
                <w:rFonts w:hint="eastAsia" w:ascii="宋体" w:hAnsi="宋体" w:eastAsia="宋体"/>
                <w:color w:val="000000"/>
                <w:sz w:val="18"/>
                <w:szCs w:val="18"/>
              </w:rPr>
            </w:pPr>
          </w:p>
          <w:p w14:paraId="4CD99824">
            <w:pPr>
              <w:wordWrap w:val="0"/>
              <w:autoSpaceDE w:val="0"/>
              <w:autoSpaceDN w:val="0"/>
              <w:spacing w:before="0" w:after="0" w:line="246" w:lineRule="exact"/>
              <w:ind w:firstLine="0"/>
              <w:jc w:val="both"/>
              <w:rPr>
                <w:rFonts w:hint="eastAsia" w:ascii="宋体" w:hAnsi="宋体" w:eastAsia="宋体"/>
                <w:color w:val="000000"/>
                <w:sz w:val="18"/>
                <w:szCs w:val="18"/>
              </w:rPr>
            </w:pPr>
          </w:p>
          <w:p w14:paraId="7D48EDC4">
            <w:pPr>
              <w:wordWrap w:val="0"/>
              <w:autoSpaceDE w:val="0"/>
              <w:autoSpaceDN w:val="0"/>
              <w:spacing w:before="0" w:after="0" w:line="246" w:lineRule="exact"/>
              <w:ind w:firstLine="0"/>
              <w:jc w:val="both"/>
              <w:rPr>
                <w:rFonts w:hint="eastAsia" w:ascii="宋体" w:hAnsi="宋体" w:eastAsia="宋体"/>
                <w:color w:val="000000"/>
                <w:sz w:val="18"/>
                <w:szCs w:val="18"/>
              </w:rPr>
            </w:pPr>
          </w:p>
          <w:p w14:paraId="13F29BB2">
            <w:pPr>
              <w:wordWrap w:val="0"/>
              <w:autoSpaceDE w:val="0"/>
              <w:autoSpaceDN w:val="0"/>
              <w:spacing w:before="0" w:after="0" w:line="246" w:lineRule="exact"/>
              <w:ind w:firstLine="0"/>
              <w:jc w:val="both"/>
              <w:rPr>
                <w:rFonts w:hint="eastAsia" w:ascii="宋体" w:hAnsi="宋体" w:eastAsia="宋体"/>
                <w:color w:val="000000"/>
                <w:sz w:val="18"/>
                <w:szCs w:val="18"/>
              </w:rPr>
            </w:pPr>
          </w:p>
          <w:p w14:paraId="135ECF41">
            <w:pPr>
              <w:wordWrap w:val="0"/>
              <w:autoSpaceDE w:val="0"/>
              <w:autoSpaceDN w:val="0"/>
              <w:spacing w:before="0" w:after="0" w:line="246" w:lineRule="exact"/>
              <w:ind w:firstLine="0"/>
              <w:jc w:val="both"/>
              <w:rPr>
                <w:rFonts w:hint="eastAsia" w:ascii="宋体" w:hAnsi="宋体" w:eastAsia="宋体"/>
                <w:color w:val="000000"/>
                <w:sz w:val="18"/>
                <w:szCs w:val="18"/>
              </w:rPr>
            </w:pPr>
          </w:p>
          <w:p w14:paraId="29421AF7">
            <w:pPr>
              <w:wordWrap w:val="0"/>
              <w:autoSpaceDE w:val="0"/>
              <w:autoSpaceDN w:val="0"/>
              <w:spacing w:before="0" w:after="0" w:line="246" w:lineRule="exact"/>
              <w:ind w:firstLine="0"/>
              <w:jc w:val="both"/>
              <w:rPr>
                <w:rFonts w:hint="eastAsia" w:ascii="宋体" w:hAnsi="宋体" w:eastAsia="宋体"/>
                <w:color w:val="000000"/>
                <w:sz w:val="18"/>
                <w:szCs w:val="18"/>
              </w:rPr>
            </w:pPr>
          </w:p>
          <w:p w14:paraId="4C6AAB9D">
            <w:pPr>
              <w:wordWrap w:val="0"/>
              <w:autoSpaceDE w:val="0"/>
              <w:autoSpaceDN w:val="0"/>
              <w:spacing w:before="0" w:after="0" w:line="246" w:lineRule="exact"/>
              <w:ind w:firstLine="0"/>
              <w:jc w:val="both"/>
              <w:rPr>
                <w:rFonts w:hint="eastAsia" w:ascii="宋体" w:hAnsi="宋体" w:eastAsia="宋体"/>
                <w:color w:val="000000"/>
                <w:sz w:val="18"/>
                <w:szCs w:val="18"/>
              </w:rPr>
            </w:pPr>
          </w:p>
          <w:p w14:paraId="14691BEC">
            <w:pPr>
              <w:wordWrap w:val="0"/>
              <w:autoSpaceDE w:val="0"/>
              <w:autoSpaceDN w:val="0"/>
              <w:spacing w:before="82" w:after="0" w:line="246" w:lineRule="exact"/>
              <w:ind w:firstLine="22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情形描述</w:t>
            </w:r>
          </w:p>
        </w:tc>
        <w:tc>
          <w:tcPr>
            <w:tcW w:w="5393" w:type="dxa"/>
            <w:tcBorders>
              <w:top w:val="single" w:color="000000" w:sz="4" w:space="0"/>
              <w:left w:val="single" w:color="000000" w:sz="4" w:space="0"/>
              <w:bottom w:val="single" w:color="000000" w:sz="4" w:space="0"/>
              <w:right w:val="single" w:color="000000" w:sz="4" w:space="0"/>
            </w:tcBorders>
            <w:shd w:val="clear" w:color="auto" w:fill="auto"/>
            <w:vAlign w:val="top"/>
          </w:tcPr>
          <w:p w14:paraId="0C03982E">
            <w:pPr>
              <w:wordWrap w:val="0"/>
              <w:autoSpaceDE w:val="0"/>
              <w:autoSpaceDN w:val="0"/>
              <w:spacing w:before="0" w:after="0" w:line="246" w:lineRule="exact"/>
              <w:ind w:firstLine="0"/>
              <w:jc w:val="both"/>
              <w:rPr>
                <w:rFonts w:hint="eastAsia" w:ascii="宋体" w:hAnsi="宋体" w:eastAsia="宋体"/>
                <w:color w:val="000000"/>
                <w:sz w:val="18"/>
                <w:szCs w:val="18"/>
              </w:rPr>
            </w:pPr>
          </w:p>
          <w:p w14:paraId="47A332C9">
            <w:pPr>
              <w:wordWrap w:val="0"/>
              <w:autoSpaceDE w:val="0"/>
              <w:autoSpaceDN w:val="0"/>
              <w:spacing w:before="0" w:after="0" w:line="246" w:lineRule="exact"/>
              <w:ind w:firstLine="0"/>
              <w:jc w:val="both"/>
              <w:rPr>
                <w:rFonts w:hint="eastAsia" w:ascii="宋体" w:hAnsi="宋体" w:eastAsia="宋体"/>
                <w:color w:val="000000"/>
                <w:sz w:val="18"/>
                <w:szCs w:val="18"/>
              </w:rPr>
            </w:pPr>
          </w:p>
          <w:p w14:paraId="48AA56FC">
            <w:pPr>
              <w:wordWrap w:val="0"/>
              <w:autoSpaceDE w:val="0"/>
              <w:autoSpaceDN w:val="0"/>
              <w:spacing w:before="207" w:after="0" w:line="246" w:lineRule="exact"/>
              <w:ind w:firstLine="10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超越两个以上资质等级，或者超越序列的</w:t>
            </w:r>
          </w:p>
        </w:tc>
        <w:tc>
          <w:tcPr>
            <w:tcW w:w="1099" w:type="dxa"/>
            <w:vMerge w:val="restart"/>
            <w:tcBorders>
              <w:top w:val="single" w:color="000000" w:sz="4" w:space="0"/>
              <w:left w:val="single" w:color="000000" w:sz="4" w:space="0"/>
              <w:right w:val="single" w:color="000000" w:sz="4" w:space="0"/>
            </w:tcBorders>
            <w:shd w:val="clear" w:color="auto" w:fill="auto"/>
            <w:vAlign w:val="top"/>
          </w:tcPr>
          <w:p w14:paraId="6081783A">
            <w:pPr>
              <w:wordWrap w:val="0"/>
              <w:autoSpaceDE w:val="0"/>
              <w:autoSpaceDN w:val="0"/>
              <w:spacing w:before="0" w:after="0" w:line="246" w:lineRule="exact"/>
              <w:ind w:firstLine="0"/>
              <w:jc w:val="both"/>
              <w:rPr>
                <w:rFonts w:hint="eastAsia" w:ascii="宋体" w:hAnsi="宋体" w:eastAsia="宋体"/>
                <w:color w:val="000000"/>
                <w:sz w:val="18"/>
                <w:szCs w:val="18"/>
              </w:rPr>
            </w:pPr>
          </w:p>
          <w:p w14:paraId="0A128969">
            <w:pPr>
              <w:wordWrap w:val="0"/>
              <w:autoSpaceDE w:val="0"/>
              <w:autoSpaceDN w:val="0"/>
              <w:spacing w:before="0" w:after="0" w:line="246" w:lineRule="exact"/>
              <w:ind w:firstLine="0"/>
              <w:jc w:val="both"/>
              <w:rPr>
                <w:rFonts w:hint="eastAsia" w:ascii="宋体" w:hAnsi="宋体" w:eastAsia="宋体"/>
                <w:color w:val="000000"/>
                <w:sz w:val="18"/>
                <w:szCs w:val="18"/>
              </w:rPr>
            </w:pPr>
          </w:p>
          <w:p w14:paraId="37E15077">
            <w:pPr>
              <w:wordWrap w:val="0"/>
              <w:autoSpaceDE w:val="0"/>
              <w:autoSpaceDN w:val="0"/>
              <w:spacing w:before="0" w:after="0" w:line="246" w:lineRule="exact"/>
              <w:ind w:firstLine="0"/>
              <w:jc w:val="both"/>
              <w:rPr>
                <w:rFonts w:hint="eastAsia" w:ascii="宋体" w:hAnsi="宋体" w:eastAsia="宋体"/>
                <w:color w:val="000000"/>
                <w:sz w:val="18"/>
                <w:szCs w:val="18"/>
              </w:rPr>
            </w:pPr>
          </w:p>
          <w:p w14:paraId="4A173B9C">
            <w:pPr>
              <w:wordWrap w:val="0"/>
              <w:autoSpaceDE w:val="0"/>
              <w:autoSpaceDN w:val="0"/>
              <w:spacing w:before="0" w:after="0" w:line="246" w:lineRule="exact"/>
              <w:ind w:firstLine="0"/>
              <w:jc w:val="both"/>
              <w:rPr>
                <w:rFonts w:hint="eastAsia" w:ascii="宋体" w:hAnsi="宋体" w:eastAsia="宋体"/>
                <w:color w:val="000000"/>
                <w:sz w:val="18"/>
                <w:szCs w:val="18"/>
              </w:rPr>
            </w:pPr>
          </w:p>
          <w:p w14:paraId="6FBE6A56">
            <w:pPr>
              <w:wordWrap w:val="0"/>
              <w:autoSpaceDE w:val="0"/>
              <w:autoSpaceDN w:val="0"/>
              <w:spacing w:before="0" w:after="0" w:line="246" w:lineRule="exact"/>
              <w:ind w:firstLine="0"/>
              <w:jc w:val="both"/>
              <w:rPr>
                <w:rFonts w:hint="eastAsia" w:ascii="宋体" w:hAnsi="宋体" w:eastAsia="宋体"/>
                <w:color w:val="000000"/>
                <w:sz w:val="18"/>
                <w:szCs w:val="18"/>
              </w:rPr>
            </w:pPr>
          </w:p>
          <w:p w14:paraId="53D41639">
            <w:pPr>
              <w:wordWrap w:val="0"/>
              <w:autoSpaceDE w:val="0"/>
              <w:autoSpaceDN w:val="0"/>
              <w:spacing w:before="0" w:after="0" w:line="246" w:lineRule="exact"/>
              <w:ind w:firstLine="0"/>
              <w:jc w:val="both"/>
              <w:rPr>
                <w:rFonts w:hint="eastAsia" w:ascii="宋体" w:hAnsi="宋体" w:eastAsia="宋体"/>
                <w:color w:val="000000"/>
                <w:sz w:val="18"/>
                <w:szCs w:val="18"/>
              </w:rPr>
            </w:pPr>
          </w:p>
          <w:p w14:paraId="39905805">
            <w:pPr>
              <w:wordWrap w:val="0"/>
              <w:autoSpaceDE w:val="0"/>
              <w:autoSpaceDN w:val="0"/>
              <w:spacing w:before="0" w:after="0" w:line="246" w:lineRule="exact"/>
              <w:ind w:firstLine="0"/>
              <w:jc w:val="both"/>
              <w:rPr>
                <w:rFonts w:hint="eastAsia" w:ascii="宋体" w:hAnsi="宋体" w:eastAsia="宋体"/>
                <w:color w:val="000000"/>
                <w:sz w:val="18"/>
                <w:szCs w:val="18"/>
              </w:rPr>
            </w:pPr>
          </w:p>
          <w:p w14:paraId="451E61F9">
            <w:pPr>
              <w:wordWrap w:val="0"/>
              <w:autoSpaceDE w:val="0"/>
              <w:autoSpaceDN w:val="0"/>
              <w:spacing w:before="0" w:after="0" w:line="246" w:lineRule="exact"/>
              <w:ind w:firstLine="0"/>
              <w:jc w:val="both"/>
              <w:rPr>
                <w:rFonts w:hint="eastAsia" w:ascii="宋体" w:hAnsi="宋体" w:eastAsia="宋体"/>
                <w:color w:val="000000"/>
                <w:sz w:val="18"/>
                <w:szCs w:val="18"/>
              </w:rPr>
            </w:pPr>
          </w:p>
          <w:p w14:paraId="600BAEFD">
            <w:pPr>
              <w:wordWrap w:val="0"/>
              <w:autoSpaceDE w:val="0"/>
              <w:autoSpaceDN w:val="0"/>
              <w:spacing w:before="0" w:after="0" w:line="246" w:lineRule="exact"/>
              <w:ind w:firstLine="0"/>
              <w:jc w:val="both"/>
              <w:rPr>
                <w:rFonts w:hint="eastAsia" w:ascii="宋体" w:hAnsi="宋体" w:eastAsia="宋体"/>
                <w:color w:val="000000"/>
                <w:sz w:val="18"/>
                <w:szCs w:val="18"/>
              </w:rPr>
            </w:pPr>
          </w:p>
          <w:p w14:paraId="5CF65F41">
            <w:pPr>
              <w:wordWrap w:val="0"/>
              <w:autoSpaceDE w:val="0"/>
              <w:autoSpaceDN w:val="0"/>
              <w:spacing w:before="102" w:after="0" w:line="246" w:lineRule="exact"/>
              <w:jc w:val="center"/>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裁量幅度</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top"/>
          </w:tcPr>
          <w:p w14:paraId="02C0BF41">
            <w:pPr>
              <w:wordWrap w:val="0"/>
              <w:autoSpaceDE w:val="0"/>
              <w:autoSpaceDN w:val="0"/>
              <w:spacing w:before="147" w:after="0" w:line="246" w:lineRule="exact"/>
              <w:ind w:left="80" w:right="20" w:firstLine="0"/>
              <w:jc w:val="both"/>
              <w:rPr>
                <w:sz w:val="18"/>
                <w:szCs w:val="18"/>
              </w:rPr>
            </w:pPr>
            <w:r>
              <w:rPr>
                <w:rFonts w:hint="eastAsia" w:ascii="宋体" w:hAnsi="宋体" w:eastAsia="宋体"/>
                <w:color w:val="000000"/>
                <w:sz w:val="18"/>
                <w:szCs w:val="18"/>
              </w:rPr>
              <w:t>对勘察、设计单位：处合同约定的勘察、设计费</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倍以上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倍以下罚款</w:t>
            </w:r>
          </w:p>
          <w:p w14:paraId="27A43538">
            <w:pPr>
              <w:wordWrap w:val="0"/>
              <w:autoSpaceDE w:val="0"/>
              <w:autoSpaceDN w:val="0"/>
              <w:spacing w:before="73" w:after="0" w:line="246" w:lineRule="exact"/>
              <w:ind w:left="80" w:right="20" w:hanging="20"/>
              <w:jc w:val="both"/>
              <w:rPr>
                <w:sz w:val="18"/>
                <w:szCs w:val="18"/>
              </w:rPr>
            </w:pPr>
            <w:r>
              <w:rPr>
                <w:rFonts w:hint="eastAsia" w:ascii="宋体" w:hAnsi="宋体" w:eastAsia="宋体"/>
                <w:color w:val="000000"/>
                <w:sz w:val="18"/>
                <w:szCs w:val="18"/>
              </w:rPr>
              <w:t>对工程监理单位：处合同约定的监理酬金</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倍以上</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倍以下罚款对施工单位：处工程合同价款</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3</w:t>
            </w:r>
            <w:r>
              <w:rPr>
                <w:rFonts w:hint="eastAsia" w:ascii="宋体" w:hAnsi="宋体" w:eastAsia="宋体"/>
                <w:color w:val="000000"/>
                <w:sz w:val="18"/>
                <w:szCs w:val="18"/>
              </w:rPr>
              <w:t>％以下罚款</w:t>
            </w:r>
          </w:p>
          <w:p w14:paraId="4E9B5DBD">
            <w:pPr>
              <w:wordWrap w:val="0"/>
              <w:autoSpaceDE w:val="0"/>
              <w:autoSpaceDN w:val="0"/>
              <w:spacing w:before="53" w:after="0" w:line="246" w:lineRule="exact"/>
              <w:ind w:firstLine="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770623C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306" w:hRule="atLeast"/>
        </w:trPr>
        <w:tc>
          <w:tcPr>
            <w:tcW w:w="1199" w:type="dxa"/>
            <w:vMerge w:val="continue"/>
            <w:tcBorders>
              <w:left w:val="single" w:color="000000" w:sz="4" w:space="0"/>
              <w:right w:val="single" w:color="000000" w:sz="4" w:space="0"/>
            </w:tcBorders>
            <w:vAlign w:val="top"/>
          </w:tcPr>
          <w:p w14:paraId="2E982CDF">
            <w:pPr>
              <w:wordWrap w:val="0"/>
              <w:autoSpaceDE w:val="0"/>
              <w:autoSpaceDN w:val="0"/>
              <w:spacing w:before="100" w:after="0" w:line="246" w:lineRule="exact"/>
              <w:ind w:firstLine="220"/>
              <w:jc w:val="both"/>
              <w:rPr>
                <w:rFonts w:hint="eastAsia" w:ascii="宋体" w:hAnsi="宋体" w:eastAsia="宋体"/>
                <w:color w:val="000000"/>
                <w:sz w:val="18"/>
                <w:szCs w:val="18"/>
              </w:rPr>
            </w:pPr>
          </w:p>
        </w:tc>
        <w:tc>
          <w:tcPr>
            <w:tcW w:w="5393" w:type="dxa"/>
            <w:tcBorders>
              <w:top w:val="single" w:color="000000" w:sz="4" w:space="0"/>
              <w:left w:val="single" w:color="000000" w:sz="4" w:space="0"/>
              <w:bottom w:val="single" w:color="000000" w:sz="4" w:space="0"/>
              <w:right w:val="single" w:color="000000" w:sz="4" w:space="0"/>
            </w:tcBorders>
            <w:shd w:val="clear" w:color="auto" w:fill="auto"/>
            <w:vAlign w:val="top"/>
          </w:tcPr>
          <w:p w14:paraId="4994F15E">
            <w:pPr>
              <w:wordWrap w:val="0"/>
              <w:autoSpaceDE w:val="0"/>
              <w:autoSpaceDN w:val="0"/>
              <w:spacing w:before="0" w:after="0" w:line="246" w:lineRule="exact"/>
              <w:ind w:firstLine="0"/>
              <w:jc w:val="both"/>
              <w:rPr>
                <w:rFonts w:hint="eastAsia" w:ascii="宋体" w:hAnsi="宋体" w:eastAsia="宋体"/>
                <w:color w:val="000000"/>
                <w:sz w:val="18"/>
                <w:szCs w:val="18"/>
              </w:rPr>
            </w:pPr>
          </w:p>
          <w:p w14:paraId="41930A48">
            <w:pPr>
              <w:wordWrap w:val="0"/>
              <w:autoSpaceDE w:val="0"/>
              <w:autoSpaceDN w:val="0"/>
              <w:spacing w:before="0" w:after="0" w:line="246" w:lineRule="exact"/>
              <w:ind w:firstLine="0"/>
              <w:jc w:val="both"/>
              <w:rPr>
                <w:rFonts w:hint="eastAsia" w:ascii="宋体" w:hAnsi="宋体" w:eastAsia="宋体"/>
                <w:color w:val="000000"/>
                <w:sz w:val="18"/>
                <w:szCs w:val="18"/>
              </w:rPr>
            </w:pPr>
          </w:p>
          <w:p w14:paraId="39508DCA">
            <w:pPr>
              <w:wordWrap w:val="0"/>
              <w:autoSpaceDE w:val="0"/>
              <w:autoSpaceDN w:val="0"/>
              <w:spacing w:before="167" w:after="0" w:line="246" w:lineRule="exact"/>
              <w:ind w:firstLine="10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造成一般或较大工程质量事故的</w:t>
            </w:r>
          </w:p>
        </w:tc>
        <w:tc>
          <w:tcPr>
            <w:tcW w:w="1099" w:type="dxa"/>
            <w:vMerge w:val="continue"/>
            <w:tcBorders>
              <w:left w:val="single" w:color="000000" w:sz="4" w:space="0"/>
              <w:right w:val="single" w:color="000000" w:sz="4" w:space="0"/>
            </w:tcBorders>
            <w:vAlign w:val="top"/>
          </w:tcPr>
          <w:p w14:paraId="5D77940E">
            <w:pPr>
              <w:wordWrap w:val="0"/>
              <w:autoSpaceDE w:val="0"/>
              <w:autoSpaceDN w:val="0"/>
              <w:spacing w:before="100" w:after="0" w:line="246" w:lineRule="exact"/>
              <w:ind w:firstLine="140"/>
              <w:jc w:val="both"/>
              <w:rPr>
                <w:rFonts w:hint="eastAsia" w:ascii="宋体" w:hAnsi="宋体" w:eastAsia="宋体"/>
                <w:color w:val="000000"/>
                <w:sz w:val="18"/>
                <w:szCs w:val="18"/>
              </w:rPr>
            </w:pP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top"/>
          </w:tcPr>
          <w:p w14:paraId="4248012E">
            <w:pPr>
              <w:wordWrap w:val="0"/>
              <w:autoSpaceDE w:val="0"/>
              <w:autoSpaceDN w:val="0"/>
              <w:spacing w:before="127" w:after="0" w:line="246" w:lineRule="exact"/>
              <w:ind w:left="80" w:right="40" w:hanging="20"/>
              <w:jc w:val="both"/>
              <w:rPr>
                <w:sz w:val="18"/>
                <w:szCs w:val="18"/>
              </w:rPr>
            </w:pPr>
            <w:r>
              <w:rPr>
                <w:rFonts w:hint="eastAsia" w:ascii="宋体" w:hAnsi="宋体" w:eastAsia="宋体"/>
                <w:color w:val="000000"/>
                <w:sz w:val="18"/>
                <w:szCs w:val="18"/>
              </w:rPr>
              <w:t>对勘察、设计单位：处合同约定的勘察、设计费</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倍以上</w:t>
            </w:r>
            <w:r>
              <w:rPr>
                <w:rFonts w:hint="eastAsia" w:ascii="Calibri" w:hAnsi="Calibri" w:eastAsia="Calibri"/>
                <w:color w:val="000000"/>
                <w:sz w:val="18"/>
                <w:szCs w:val="18"/>
              </w:rPr>
              <w:t>2</w:t>
            </w:r>
            <w:r>
              <w:rPr>
                <w:rFonts w:hint="eastAsia" w:ascii="宋体" w:hAnsi="宋体" w:eastAsia="宋体"/>
                <w:color w:val="000000"/>
                <w:sz w:val="18"/>
                <w:szCs w:val="18"/>
              </w:rPr>
              <w:t>倍以下罚款</w:t>
            </w:r>
          </w:p>
          <w:p w14:paraId="64A4DDC2">
            <w:pPr>
              <w:wordWrap w:val="0"/>
              <w:autoSpaceDE w:val="0"/>
              <w:autoSpaceDN w:val="0"/>
              <w:spacing w:before="73" w:after="0" w:line="246" w:lineRule="exact"/>
              <w:ind w:left="60" w:right="220" w:firstLine="20"/>
              <w:jc w:val="both"/>
              <w:rPr>
                <w:sz w:val="18"/>
                <w:szCs w:val="18"/>
              </w:rPr>
            </w:pPr>
            <w:r>
              <w:rPr>
                <w:rFonts w:hint="eastAsia" w:ascii="宋体" w:hAnsi="宋体" w:eastAsia="宋体"/>
                <w:color w:val="000000"/>
                <w:sz w:val="18"/>
                <w:szCs w:val="18"/>
              </w:rPr>
              <w:t>对工程监理单位：处合同约定的监理酬金</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倍以上</w:t>
            </w:r>
            <w:r>
              <w:rPr>
                <w:rFonts w:hint="eastAsia" w:ascii="Calibri" w:hAnsi="Calibri" w:eastAsia="Calibri"/>
                <w:color w:val="000000"/>
                <w:sz w:val="18"/>
                <w:szCs w:val="18"/>
              </w:rPr>
              <w:t>2</w:t>
            </w:r>
            <w:r>
              <w:rPr>
                <w:rFonts w:hint="eastAsia" w:ascii="宋体" w:hAnsi="宋体" w:eastAsia="宋体"/>
                <w:color w:val="000000"/>
                <w:sz w:val="18"/>
                <w:szCs w:val="18"/>
              </w:rPr>
              <w:t>倍以下罚款对施工单位：处工程合同价款</w:t>
            </w:r>
            <w:r>
              <w:rPr>
                <w:rFonts w:hint="eastAsia" w:ascii="Calibri" w:hAnsi="Calibri" w:eastAsia="Calibri"/>
                <w:color w:val="000000"/>
                <w:sz w:val="18"/>
                <w:szCs w:val="18"/>
              </w:rPr>
              <w:t>3</w:t>
            </w:r>
            <w:r>
              <w:rPr>
                <w:rFonts w:hint="eastAsia" w:ascii="宋体" w:hAnsi="宋体" w:eastAsia="宋体"/>
                <w:color w:val="000000"/>
                <w:sz w:val="18"/>
                <w:szCs w:val="18"/>
              </w:rPr>
              <w:t>％以上</w:t>
            </w:r>
            <w:r>
              <w:rPr>
                <w:rFonts w:hint="eastAsia" w:ascii="Calibri" w:hAnsi="Calibri" w:eastAsia="Calibri"/>
                <w:color w:val="000000"/>
                <w:sz w:val="18"/>
                <w:szCs w:val="18"/>
              </w:rPr>
              <w:t>4</w:t>
            </w:r>
            <w:r>
              <w:rPr>
                <w:rFonts w:hint="eastAsia" w:ascii="宋体" w:hAnsi="宋体" w:eastAsia="宋体"/>
                <w:color w:val="000000"/>
                <w:sz w:val="18"/>
                <w:szCs w:val="18"/>
              </w:rPr>
              <w:t>％以下罚款</w:t>
            </w:r>
          </w:p>
          <w:p w14:paraId="67914F6A">
            <w:pPr>
              <w:wordWrap w:val="0"/>
              <w:autoSpaceDE w:val="0"/>
              <w:autoSpaceDN w:val="0"/>
              <w:spacing w:before="0" w:after="0" w:line="246" w:lineRule="exact"/>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7</w:t>
            </w:r>
            <w:r>
              <w:rPr>
                <w:rFonts w:hint="eastAsia" w:ascii="宋体" w:hAnsi="宋体" w:eastAsia="宋体"/>
                <w:color w:val="000000"/>
                <w:sz w:val="18"/>
                <w:szCs w:val="18"/>
              </w:rPr>
              <w:t>％以上</w:t>
            </w:r>
            <w:r>
              <w:rPr>
                <w:rFonts w:hint="eastAsia" w:ascii="Calibri" w:hAnsi="Calibri" w:eastAsia="Calibri"/>
                <w:color w:val="000000"/>
                <w:sz w:val="18"/>
                <w:szCs w:val="18"/>
              </w:rPr>
              <w:t>9</w:t>
            </w:r>
            <w:r>
              <w:rPr>
                <w:rFonts w:hint="eastAsia" w:ascii="宋体" w:hAnsi="宋体" w:eastAsia="宋体"/>
                <w:color w:val="000000"/>
                <w:sz w:val="18"/>
                <w:szCs w:val="18"/>
              </w:rPr>
              <w:t>％以下罚款</w:t>
            </w:r>
          </w:p>
        </w:tc>
      </w:tr>
      <w:tr w14:paraId="1B8AD18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288" w:hRule="atLeast"/>
        </w:trPr>
        <w:tc>
          <w:tcPr>
            <w:tcW w:w="1199" w:type="dxa"/>
            <w:vMerge w:val="continue"/>
            <w:tcBorders>
              <w:left w:val="single" w:color="000000" w:sz="4" w:space="0"/>
              <w:bottom w:val="single" w:color="000000" w:sz="4" w:space="0"/>
              <w:right w:val="single" w:color="000000" w:sz="4" w:space="0"/>
            </w:tcBorders>
            <w:vAlign w:val="top"/>
          </w:tcPr>
          <w:p w14:paraId="6E81042E">
            <w:pPr>
              <w:wordWrap w:val="0"/>
              <w:autoSpaceDE w:val="0"/>
              <w:autoSpaceDN w:val="0"/>
              <w:spacing w:before="100" w:after="0" w:line="246" w:lineRule="exact"/>
              <w:ind w:firstLine="220"/>
              <w:jc w:val="both"/>
              <w:rPr>
                <w:rFonts w:hint="eastAsia" w:ascii="宋体" w:hAnsi="宋体" w:eastAsia="宋体"/>
                <w:color w:val="000000"/>
                <w:sz w:val="18"/>
                <w:szCs w:val="18"/>
              </w:rPr>
            </w:pPr>
          </w:p>
        </w:tc>
        <w:tc>
          <w:tcPr>
            <w:tcW w:w="5393" w:type="dxa"/>
            <w:tcBorders>
              <w:top w:val="single" w:color="000000" w:sz="4" w:space="0"/>
              <w:left w:val="single" w:color="000000" w:sz="4" w:space="0"/>
              <w:bottom w:val="single" w:color="000000" w:sz="4" w:space="0"/>
              <w:right w:val="single" w:color="000000" w:sz="4" w:space="0"/>
            </w:tcBorders>
            <w:shd w:val="clear" w:color="auto" w:fill="auto"/>
            <w:vAlign w:val="top"/>
          </w:tcPr>
          <w:p w14:paraId="09CD2C79">
            <w:pPr>
              <w:wordWrap w:val="0"/>
              <w:autoSpaceDE w:val="0"/>
              <w:autoSpaceDN w:val="0"/>
              <w:spacing w:before="0" w:after="0" w:line="246" w:lineRule="exact"/>
              <w:ind w:firstLine="0"/>
              <w:jc w:val="both"/>
              <w:rPr>
                <w:rFonts w:hint="eastAsia" w:ascii="宋体" w:hAnsi="宋体" w:eastAsia="宋体"/>
                <w:color w:val="000000"/>
                <w:sz w:val="18"/>
                <w:szCs w:val="18"/>
              </w:rPr>
            </w:pPr>
          </w:p>
          <w:p w14:paraId="34FF447A">
            <w:pPr>
              <w:wordWrap w:val="0"/>
              <w:autoSpaceDE w:val="0"/>
              <w:autoSpaceDN w:val="0"/>
              <w:spacing w:before="0" w:after="0" w:line="246" w:lineRule="exact"/>
              <w:ind w:firstLine="0"/>
              <w:jc w:val="both"/>
              <w:rPr>
                <w:rFonts w:hint="eastAsia" w:ascii="宋体" w:hAnsi="宋体" w:eastAsia="宋体"/>
                <w:color w:val="000000"/>
                <w:sz w:val="18"/>
                <w:szCs w:val="18"/>
              </w:rPr>
            </w:pPr>
          </w:p>
          <w:p w14:paraId="5CE3114D">
            <w:pPr>
              <w:wordWrap w:val="0"/>
              <w:autoSpaceDE w:val="0"/>
              <w:autoSpaceDN w:val="0"/>
              <w:spacing w:before="207" w:after="0" w:line="246" w:lineRule="exact"/>
              <w:ind w:firstLine="10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造成重大或以上工程质量事故的</w:t>
            </w:r>
          </w:p>
        </w:tc>
        <w:tc>
          <w:tcPr>
            <w:tcW w:w="1099" w:type="dxa"/>
            <w:vMerge w:val="continue"/>
            <w:tcBorders>
              <w:left w:val="single" w:color="000000" w:sz="4" w:space="0"/>
              <w:bottom w:val="single" w:color="000000" w:sz="4" w:space="0"/>
              <w:right w:val="single" w:color="000000" w:sz="4" w:space="0"/>
            </w:tcBorders>
            <w:vAlign w:val="top"/>
          </w:tcPr>
          <w:p w14:paraId="4B0D5FDB">
            <w:pPr>
              <w:wordWrap w:val="0"/>
              <w:autoSpaceDE w:val="0"/>
              <w:autoSpaceDN w:val="0"/>
              <w:spacing w:before="100" w:after="0" w:line="246" w:lineRule="exact"/>
              <w:ind w:firstLine="140"/>
              <w:jc w:val="both"/>
              <w:rPr>
                <w:rFonts w:hint="eastAsia" w:ascii="宋体" w:hAnsi="宋体" w:eastAsia="宋体"/>
                <w:color w:val="000000"/>
                <w:sz w:val="18"/>
                <w:szCs w:val="18"/>
              </w:rPr>
            </w:pP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top"/>
          </w:tcPr>
          <w:p w14:paraId="241C7683">
            <w:pPr>
              <w:wordWrap w:val="0"/>
              <w:autoSpaceDE w:val="0"/>
              <w:autoSpaceDN w:val="0"/>
              <w:spacing w:before="147" w:after="0" w:line="246" w:lineRule="exact"/>
              <w:ind w:left="60" w:right="40" w:hanging="20"/>
              <w:jc w:val="both"/>
              <w:rPr>
                <w:sz w:val="18"/>
                <w:szCs w:val="18"/>
              </w:rPr>
            </w:pPr>
            <w:r>
              <w:rPr>
                <w:rFonts w:hint="eastAsia" w:ascii="宋体" w:hAnsi="宋体" w:eastAsia="宋体"/>
                <w:color w:val="000000"/>
                <w:sz w:val="18"/>
                <w:szCs w:val="18"/>
              </w:rPr>
              <w:t>对勘察、设计单位：处合同约定的勘察、设计费</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倍以上</w:t>
            </w:r>
            <w:r>
              <w:rPr>
                <w:rFonts w:hint="eastAsia" w:ascii="Calibri" w:hAnsi="Calibri" w:eastAsia="Calibri"/>
                <w:color w:val="000000"/>
                <w:sz w:val="18"/>
                <w:szCs w:val="18"/>
              </w:rPr>
              <w:t>2</w:t>
            </w:r>
            <w:r>
              <w:rPr>
                <w:rFonts w:hint="eastAsia" w:ascii="宋体" w:hAnsi="宋体" w:eastAsia="宋体"/>
                <w:color w:val="000000"/>
                <w:sz w:val="18"/>
                <w:szCs w:val="18"/>
              </w:rPr>
              <w:t>倍以下罚款</w:t>
            </w:r>
          </w:p>
          <w:p w14:paraId="3FC072E2">
            <w:pPr>
              <w:wordWrap w:val="0"/>
              <w:autoSpaceDE w:val="0"/>
              <w:autoSpaceDN w:val="0"/>
              <w:spacing w:before="73" w:after="0" w:line="246" w:lineRule="exact"/>
              <w:ind w:left="60" w:right="220" w:firstLine="0"/>
              <w:jc w:val="both"/>
              <w:rPr>
                <w:sz w:val="18"/>
                <w:szCs w:val="18"/>
              </w:rPr>
            </w:pPr>
            <w:r>
              <w:rPr>
                <w:rFonts w:hint="eastAsia" w:ascii="宋体" w:hAnsi="宋体" w:eastAsia="宋体"/>
                <w:color w:val="000000"/>
                <w:sz w:val="18"/>
                <w:szCs w:val="18"/>
              </w:rPr>
              <w:t>对工程监理单位：处合同约定的监理酬金</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倍以上</w:t>
            </w:r>
            <w:r>
              <w:rPr>
                <w:rFonts w:hint="eastAsia" w:ascii="Calibri" w:hAnsi="Calibri" w:eastAsia="Calibri"/>
                <w:color w:val="000000"/>
                <w:sz w:val="18"/>
                <w:szCs w:val="18"/>
              </w:rPr>
              <w:t>2</w:t>
            </w:r>
            <w:r>
              <w:rPr>
                <w:rFonts w:hint="eastAsia" w:ascii="宋体" w:hAnsi="宋体" w:eastAsia="宋体"/>
                <w:color w:val="000000"/>
                <w:sz w:val="18"/>
                <w:szCs w:val="18"/>
              </w:rPr>
              <w:t>倍以下罚款对施工单位：处工程合同价款</w:t>
            </w:r>
            <w:r>
              <w:rPr>
                <w:rFonts w:hint="eastAsia" w:ascii="Calibri" w:hAnsi="Calibri" w:eastAsia="Calibri"/>
                <w:color w:val="000000"/>
                <w:sz w:val="18"/>
                <w:szCs w:val="18"/>
              </w:rPr>
              <w:t>3</w:t>
            </w:r>
            <w:r>
              <w:rPr>
                <w:rFonts w:hint="eastAsia" w:ascii="宋体" w:hAnsi="宋体" w:eastAsia="宋体"/>
                <w:color w:val="000000"/>
                <w:sz w:val="18"/>
                <w:szCs w:val="18"/>
              </w:rPr>
              <w:t>％以上</w:t>
            </w:r>
            <w:r>
              <w:rPr>
                <w:rFonts w:hint="eastAsia" w:ascii="Calibri" w:hAnsi="Calibri" w:eastAsia="Calibri"/>
                <w:color w:val="000000"/>
                <w:sz w:val="18"/>
                <w:szCs w:val="18"/>
              </w:rPr>
              <w:t>4</w:t>
            </w:r>
            <w:r>
              <w:rPr>
                <w:rFonts w:hint="eastAsia" w:ascii="宋体" w:hAnsi="宋体" w:eastAsia="宋体"/>
                <w:color w:val="000000"/>
                <w:sz w:val="18"/>
                <w:szCs w:val="18"/>
              </w:rPr>
              <w:t>％以下罚款</w:t>
            </w:r>
          </w:p>
          <w:p w14:paraId="44C53077">
            <w:pPr>
              <w:wordWrap w:val="0"/>
              <w:autoSpaceDE w:val="0"/>
              <w:autoSpaceDN w:val="0"/>
              <w:spacing w:before="0" w:after="0" w:line="240" w:lineRule="exact"/>
              <w:ind w:firstLine="0" w:firstLineChars="0"/>
              <w:jc w:val="both"/>
              <w:rPr>
                <w:rFonts w:hint="eastAsia" w:ascii="Times New Roman" w:hAnsi="Times New Roman" w:eastAsia="宋体" w:cs="Times New Roman"/>
                <w:kern w:val="2"/>
                <w:sz w:val="18"/>
                <w:szCs w:val="18"/>
                <w:lang w:val="en-US" w:eastAsia="zh-CN" w:bidi="ar-SA"/>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6C867243">
      <w:pPr>
        <w:rPr>
          <w:sz w:val="18"/>
          <w:szCs w:val="18"/>
        </w:rPr>
      </w:pPr>
    </w:p>
    <w:p w14:paraId="0DDFF970">
      <w:pPr>
        <w:rPr>
          <w:sz w:val="18"/>
          <w:szCs w:val="18"/>
        </w:rPr>
      </w:pPr>
    </w:p>
    <w:p w14:paraId="569E7AC1">
      <w:pPr>
        <w:rPr>
          <w:sz w:val="18"/>
          <w:szCs w:val="18"/>
        </w:rPr>
      </w:pPr>
    </w:p>
    <w:p w14:paraId="4E83DC96">
      <w:pPr>
        <w:rPr>
          <w:sz w:val="18"/>
          <w:szCs w:val="18"/>
        </w:rPr>
      </w:pPr>
    </w:p>
    <w:p w14:paraId="65AF1AEA">
      <w:pPr>
        <w:rPr>
          <w:sz w:val="18"/>
          <w:szCs w:val="18"/>
        </w:rPr>
      </w:pPr>
    </w:p>
    <w:p w14:paraId="29736BF7">
      <w:pPr>
        <w:rPr>
          <w:sz w:val="18"/>
          <w:szCs w:val="18"/>
        </w:rPr>
      </w:pPr>
    </w:p>
    <w:p w14:paraId="50D2E40B">
      <w:pPr>
        <w:rPr>
          <w:sz w:val="18"/>
          <w:szCs w:val="18"/>
        </w:rPr>
      </w:pPr>
    </w:p>
    <w:p w14:paraId="074FF964">
      <w:pPr>
        <w:rPr>
          <w:sz w:val="18"/>
          <w:szCs w:val="18"/>
        </w:rPr>
      </w:pPr>
    </w:p>
    <w:p w14:paraId="28B1BE7C">
      <w:pPr>
        <w:rPr>
          <w:sz w:val="18"/>
          <w:szCs w:val="18"/>
        </w:rPr>
      </w:pPr>
    </w:p>
    <w:tbl>
      <w:tblPr>
        <w:tblStyle w:val="15"/>
        <w:tblpPr w:leftFromText="180" w:rightFromText="180" w:vertAnchor="page" w:horzAnchor="page" w:tblpX="1459" w:tblpY="2414"/>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96"/>
        <w:gridCol w:w="5965"/>
        <w:gridCol w:w="1095"/>
        <w:gridCol w:w="5707"/>
      </w:tblGrid>
      <w:tr w14:paraId="06D45B0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96" w:type="dxa"/>
            <w:tcBorders>
              <w:top w:val="single" w:color="000000" w:sz="4" w:space="0"/>
              <w:left w:val="single" w:color="000000" w:sz="4" w:space="0"/>
              <w:bottom w:val="single" w:color="000000" w:sz="4" w:space="0"/>
              <w:right w:val="single" w:color="000000" w:sz="4" w:space="0"/>
            </w:tcBorders>
            <w:vAlign w:val="top"/>
          </w:tcPr>
          <w:p w14:paraId="0AF725F6">
            <w:pPr>
              <w:wordWrap w:val="0"/>
              <w:autoSpaceDE w:val="0"/>
              <w:autoSpaceDN w:val="0"/>
              <w:spacing w:before="33" w:after="0" w:line="246" w:lineRule="exact"/>
              <w:ind w:firstLine="340"/>
              <w:jc w:val="both"/>
              <w:rPr>
                <w:sz w:val="18"/>
                <w:szCs w:val="18"/>
              </w:rPr>
            </w:pPr>
            <w:r>
              <w:rPr>
                <w:rFonts w:hint="eastAsia" w:ascii="宋体" w:hAnsi="宋体" w:eastAsia="宋体"/>
                <w:color w:val="000000"/>
                <w:sz w:val="18"/>
                <w:szCs w:val="18"/>
              </w:rPr>
              <w:t>序号</w:t>
            </w:r>
          </w:p>
        </w:tc>
        <w:tc>
          <w:tcPr>
            <w:tcW w:w="12767" w:type="dxa"/>
            <w:gridSpan w:val="3"/>
            <w:tcBorders>
              <w:top w:val="single" w:color="000000" w:sz="4" w:space="0"/>
              <w:left w:val="single" w:color="000000" w:sz="4" w:space="0"/>
              <w:bottom w:val="single" w:color="000000" w:sz="4" w:space="0"/>
              <w:right w:val="single" w:color="000000" w:sz="4" w:space="0"/>
            </w:tcBorders>
            <w:vAlign w:val="top"/>
          </w:tcPr>
          <w:p w14:paraId="038400A8">
            <w:pPr>
              <w:wordWrap w:val="0"/>
              <w:autoSpaceDE w:val="0"/>
              <w:autoSpaceDN w:val="0"/>
              <w:spacing w:before="93" w:after="0" w:line="246" w:lineRule="exact"/>
              <w:ind w:firstLine="100"/>
              <w:jc w:val="both"/>
              <w:rPr>
                <w:rFonts w:hint="eastAsia" w:eastAsia="宋体"/>
                <w:sz w:val="18"/>
                <w:szCs w:val="18"/>
                <w:lang w:val="en-US" w:eastAsia="zh-CN"/>
              </w:rPr>
            </w:pPr>
            <w:r>
              <w:rPr>
                <w:rFonts w:hint="eastAsia" w:ascii="Calibri" w:hAnsi="Calibri" w:eastAsia="Calibri"/>
                <w:color w:val="000000"/>
                <w:sz w:val="18"/>
                <w:szCs w:val="18"/>
              </w:rPr>
              <w:t>3</w:t>
            </w:r>
            <w:r>
              <w:rPr>
                <w:rFonts w:hint="eastAsia" w:ascii="Calibri" w:hAnsi="Calibri"/>
                <w:color w:val="000000"/>
                <w:sz w:val="18"/>
                <w:szCs w:val="18"/>
                <w:lang w:val="en-US" w:eastAsia="zh-CN"/>
              </w:rPr>
              <w:t>2</w:t>
            </w:r>
          </w:p>
        </w:tc>
      </w:tr>
      <w:tr w14:paraId="1FD8041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96" w:type="dxa"/>
            <w:tcBorders>
              <w:top w:val="single" w:color="000000" w:sz="4" w:space="0"/>
              <w:left w:val="single" w:color="000000" w:sz="4" w:space="0"/>
              <w:bottom w:val="single" w:color="000000" w:sz="4" w:space="0"/>
              <w:right w:val="single" w:color="000000" w:sz="4" w:space="0"/>
            </w:tcBorders>
            <w:vAlign w:val="top"/>
          </w:tcPr>
          <w:p w14:paraId="4193E4F3">
            <w:pPr>
              <w:wordWrap w:val="0"/>
              <w:autoSpaceDE w:val="0"/>
              <w:autoSpaceDN w:val="0"/>
              <w:spacing w:before="13" w:after="0" w:line="246" w:lineRule="exact"/>
              <w:ind w:firstLine="320"/>
              <w:jc w:val="both"/>
              <w:rPr>
                <w:sz w:val="18"/>
                <w:szCs w:val="18"/>
              </w:rPr>
            </w:pPr>
            <w:r>
              <w:rPr>
                <w:rFonts w:hint="eastAsia" w:ascii="宋体" w:hAnsi="宋体" w:eastAsia="宋体"/>
                <w:color w:val="000000"/>
                <w:sz w:val="18"/>
                <w:szCs w:val="18"/>
              </w:rPr>
              <w:t>编号</w:t>
            </w:r>
          </w:p>
        </w:tc>
        <w:tc>
          <w:tcPr>
            <w:tcW w:w="12767" w:type="dxa"/>
            <w:gridSpan w:val="3"/>
            <w:tcBorders>
              <w:top w:val="single" w:color="000000" w:sz="4" w:space="0"/>
              <w:left w:val="single" w:color="000000" w:sz="4" w:space="0"/>
              <w:bottom w:val="single" w:color="000000" w:sz="4" w:space="0"/>
              <w:right w:val="single" w:color="000000" w:sz="4" w:space="0"/>
            </w:tcBorders>
            <w:vAlign w:val="top"/>
          </w:tcPr>
          <w:p w14:paraId="2AB1A189">
            <w:pPr>
              <w:wordWrap w:val="0"/>
              <w:autoSpaceDE w:val="0"/>
              <w:autoSpaceDN w:val="0"/>
              <w:spacing w:before="93" w:after="0" w:line="246" w:lineRule="exact"/>
              <w:ind w:firstLine="100"/>
              <w:jc w:val="both"/>
              <w:rPr>
                <w:sz w:val="18"/>
                <w:szCs w:val="18"/>
              </w:rPr>
            </w:pPr>
            <w:r>
              <w:rPr>
                <w:rFonts w:hint="eastAsia" w:ascii="Calibri" w:hAnsi="Calibri" w:eastAsia="Calibri"/>
                <w:color w:val="000000"/>
                <w:sz w:val="18"/>
                <w:szCs w:val="18"/>
              </w:rPr>
              <w:t>320280114000</w:t>
            </w:r>
          </w:p>
        </w:tc>
      </w:tr>
      <w:tr w14:paraId="278D2C3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60" w:hRule="atLeast"/>
        </w:trPr>
        <w:tc>
          <w:tcPr>
            <w:tcW w:w="1196" w:type="dxa"/>
            <w:tcBorders>
              <w:top w:val="single" w:color="000000" w:sz="4" w:space="0"/>
              <w:left w:val="single" w:color="000000" w:sz="4" w:space="0"/>
              <w:bottom w:val="single" w:color="000000" w:sz="4" w:space="0"/>
              <w:right w:val="single" w:color="000000" w:sz="4" w:space="0"/>
            </w:tcBorders>
            <w:vAlign w:val="top"/>
          </w:tcPr>
          <w:p w14:paraId="4E9DE4EE">
            <w:pPr>
              <w:wordWrap w:val="0"/>
              <w:autoSpaceDE w:val="0"/>
              <w:autoSpaceDN w:val="0"/>
              <w:spacing w:before="53" w:after="0" w:line="246" w:lineRule="exact"/>
              <w:ind w:firstLine="200"/>
              <w:jc w:val="both"/>
              <w:rPr>
                <w:sz w:val="18"/>
                <w:szCs w:val="18"/>
              </w:rPr>
            </w:pPr>
            <w:r>
              <w:rPr>
                <w:rFonts w:hint="eastAsia" w:ascii="宋体" w:hAnsi="宋体" w:eastAsia="宋体"/>
                <w:color w:val="000000"/>
                <w:sz w:val="18"/>
                <w:szCs w:val="18"/>
              </w:rPr>
              <w:t>行为名称</w:t>
            </w:r>
          </w:p>
        </w:tc>
        <w:tc>
          <w:tcPr>
            <w:tcW w:w="12767" w:type="dxa"/>
            <w:gridSpan w:val="3"/>
            <w:tcBorders>
              <w:top w:val="single" w:color="000000" w:sz="4" w:space="0"/>
              <w:left w:val="single" w:color="000000" w:sz="4" w:space="0"/>
              <w:bottom w:val="single" w:color="000000" w:sz="4" w:space="0"/>
              <w:right w:val="single" w:color="000000" w:sz="4" w:space="0"/>
            </w:tcBorders>
            <w:vAlign w:val="top"/>
          </w:tcPr>
          <w:p w14:paraId="12CBD8AF">
            <w:pPr>
              <w:wordWrap w:val="0"/>
              <w:autoSpaceDE w:val="0"/>
              <w:autoSpaceDN w:val="0"/>
              <w:spacing w:before="113" w:after="0" w:line="246" w:lineRule="exact"/>
              <w:ind w:firstLine="80"/>
              <w:jc w:val="both"/>
              <w:rPr>
                <w:sz w:val="18"/>
                <w:szCs w:val="18"/>
              </w:rPr>
            </w:pPr>
            <w:r>
              <w:rPr>
                <w:rFonts w:hint="eastAsia" w:ascii="宋体" w:hAnsi="宋体" w:eastAsia="宋体"/>
                <w:color w:val="000000"/>
                <w:sz w:val="18"/>
                <w:szCs w:val="18"/>
              </w:rPr>
              <w:t>对人民防空工程建设单位将建设工程肢解发包的处罚</w:t>
            </w:r>
          </w:p>
        </w:tc>
      </w:tr>
      <w:tr w14:paraId="34DA429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520" w:hRule="atLeast"/>
        </w:trPr>
        <w:tc>
          <w:tcPr>
            <w:tcW w:w="1196" w:type="dxa"/>
            <w:tcBorders>
              <w:top w:val="single" w:color="000000" w:sz="4" w:space="0"/>
              <w:left w:val="single" w:color="000000" w:sz="4" w:space="0"/>
              <w:bottom w:val="single" w:color="000000" w:sz="4" w:space="0"/>
              <w:right w:val="single" w:color="000000" w:sz="4" w:space="0"/>
            </w:tcBorders>
            <w:vAlign w:val="top"/>
          </w:tcPr>
          <w:p w14:paraId="0B6F2B82">
            <w:pPr>
              <w:wordWrap w:val="0"/>
              <w:autoSpaceDE w:val="0"/>
              <w:autoSpaceDN w:val="0"/>
              <w:spacing w:before="0" w:after="0" w:line="246" w:lineRule="exact"/>
              <w:ind w:firstLine="0"/>
              <w:jc w:val="both"/>
              <w:rPr>
                <w:rFonts w:hint="eastAsia" w:ascii="宋体" w:hAnsi="宋体" w:eastAsia="宋体"/>
                <w:color w:val="000000"/>
                <w:sz w:val="18"/>
                <w:szCs w:val="18"/>
              </w:rPr>
            </w:pPr>
          </w:p>
          <w:p w14:paraId="633935DA">
            <w:pPr>
              <w:wordWrap w:val="0"/>
              <w:autoSpaceDE w:val="0"/>
              <w:autoSpaceDN w:val="0"/>
              <w:spacing w:before="0" w:after="0" w:line="246" w:lineRule="exact"/>
              <w:ind w:firstLine="0"/>
              <w:jc w:val="both"/>
              <w:rPr>
                <w:rFonts w:hint="eastAsia" w:ascii="宋体" w:hAnsi="宋体" w:eastAsia="宋体"/>
                <w:color w:val="000000"/>
                <w:sz w:val="18"/>
                <w:szCs w:val="18"/>
              </w:rPr>
            </w:pPr>
          </w:p>
          <w:p w14:paraId="19B758DE">
            <w:pPr>
              <w:wordWrap w:val="0"/>
              <w:autoSpaceDE w:val="0"/>
              <w:autoSpaceDN w:val="0"/>
              <w:spacing w:before="0" w:after="0" w:line="246" w:lineRule="exact"/>
              <w:ind w:firstLine="0"/>
              <w:jc w:val="both"/>
              <w:rPr>
                <w:rFonts w:hint="eastAsia" w:ascii="宋体" w:hAnsi="宋体" w:eastAsia="宋体"/>
                <w:color w:val="000000"/>
                <w:sz w:val="18"/>
                <w:szCs w:val="18"/>
              </w:rPr>
            </w:pPr>
          </w:p>
          <w:p w14:paraId="1946237B">
            <w:pPr>
              <w:wordWrap w:val="0"/>
              <w:autoSpaceDE w:val="0"/>
              <w:autoSpaceDN w:val="0"/>
              <w:spacing w:before="0" w:after="0" w:line="246" w:lineRule="exact"/>
              <w:ind w:firstLine="0"/>
              <w:jc w:val="both"/>
              <w:rPr>
                <w:rFonts w:hint="eastAsia" w:ascii="宋体" w:hAnsi="宋体" w:eastAsia="宋体"/>
                <w:color w:val="000000"/>
                <w:sz w:val="18"/>
                <w:szCs w:val="18"/>
              </w:rPr>
            </w:pPr>
          </w:p>
          <w:p w14:paraId="6FFE6494">
            <w:pPr>
              <w:wordWrap w:val="0"/>
              <w:autoSpaceDE w:val="0"/>
              <w:autoSpaceDN w:val="0"/>
              <w:spacing w:before="154" w:after="0" w:line="246" w:lineRule="exact"/>
              <w:jc w:val="center"/>
              <w:rPr>
                <w:sz w:val="18"/>
                <w:szCs w:val="18"/>
              </w:rPr>
            </w:pPr>
            <w:r>
              <w:rPr>
                <w:rFonts w:hint="eastAsia" w:ascii="宋体" w:hAnsi="宋体" w:eastAsia="宋体"/>
                <w:color w:val="000000"/>
                <w:sz w:val="18"/>
                <w:szCs w:val="18"/>
              </w:rPr>
              <w:t>法律依据</w:t>
            </w:r>
          </w:p>
        </w:tc>
        <w:tc>
          <w:tcPr>
            <w:tcW w:w="12767" w:type="dxa"/>
            <w:gridSpan w:val="3"/>
            <w:tcBorders>
              <w:top w:val="single" w:color="000000" w:sz="4" w:space="0"/>
              <w:left w:val="single" w:color="000000" w:sz="4" w:space="0"/>
              <w:bottom w:val="single" w:color="000000" w:sz="4" w:space="0"/>
              <w:right w:val="single" w:color="000000" w:sz="4" w:space="0"/>
            </w:tcBorders>
            <w:vAlign w:val="top"/>
          </w:tcPr>
          <w:p w14:paraId="60908CD3">
            <w:pPr>
              <w:wordWrap w:val="0"/>
              <w:autoSpaceDE w:val="0"/>
              <w:autoSpaceDN w:val="0"/>
              <w:spacing w:before="113" w:after="0" w:line="246" w:lineRule="exact"/>
              <w:ind w:firstLine="140"/>
              <w:jc w:val="both"/>
              <w:rPr>
                <w:sz w:val="18"/>
                <w:szCs w:val="18"/>
              </w:rPr>
            </w:pPr>
            <w:r>
              <w:rPr>
                <w:rFonts w:hint="eastAsia" w:ascii="宋体" w:hAnsi="宋体" w:eastAsia="宋体"/>
                <w:color w:val="000000"/>
                <w:sz w:val="18"/>
                <w:szCs w:val="18"/>
              </w:rPr>
              <w:t>【行政法规】《建设工程质量管理条例》（国务院令第</w:t>
            </w:r>
            <w:r>
              <w:rPr>
                <w:rFonts w:hint="eastAsia" w:ascii="Calibri" w:hAnsi="Calibri" w:eastAsia="Calibri"/>
                <w:color w:val="000000"/>
                <w:sz w:val="18"/>
                <w:szCs w:val="18"/>
              </w:rPr>
              <w:t>279</w:t>
            </w:r>
            <w:r>
              <w:rPr>
                <w:rFonts w:hint="eastAsia" w:ascii="宋体" w:hAnsi="宋体" w:eastAsia="宋体"/>
                <w:color w:val="000000"/>
                <w:sz w:val="18"/>
                <w:szCs w:val="18"/>
              </w:rPr>
              <w:t>号）</w:t>
            </w:r>
          </w:p>
          <w:p w14:paraId="6BDFC9AC">
            <w:pPr>
              <w:wordWrap w:val="0"/>
              <w:autoSpaceDE w:val="0"/>
              <w:autoSpaceDN w:val="0"/>
              <w:spacing w:before="63" w:after="0" w:line="246" w:lineRule="exact"/>
              <w:ind w:left="120" w:right="20" w:firstLine="400"/>
              <w:jc w:val="both"/>
              <w:rPr>
                <w:sz w:val="18"/>
                <w:szCs w:val="18"/>
              </w:rPr>
            </w:pPr>
            <w:r>
              <w:rPr>
                <w:rFonts w:hint="eastAsia" w:ascii="宋体" w:hAnsi="宋体" w:eastAsia="宋体"/>
                <w:color w:val="000000"/>
                <w:sz w:val="18"/>
                <w:szCs w:val="18"/>
              </w:rPr>
              <w:t>第五十五条 违反本条例规定，建设单位将建设工程肢解发包的，责令改正，处工程合同价款</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w:t>
            </w:r>
            <w:r>
              <w:rPr>
                <w:rFonts w:hint="eastAsia" w:ascii="宋体" w:hAnsi="宋体" w:eastAsia="宋体"/>
                <w:color w:val="000000"/>
                <w:sz w:val="18"/>
                <w:szCs w:val="18"/>
              </w:rPr>
              <w:t>％以下的罚款；对全部或者部分使用国有资金的项目，并可以暂停项目执行或者暂停资金拨付。</w:t>
            </w:r>
          </w:p>
          <w:p w14:paraId="1240B550">
            <w:pPr>
              <w:wordWrap w:val="0"/>
              <w:autoSpaceDE w:val="0"/>
              <w:autoSpaceDN w:val="0"/>
              <w:spacing w:before="0" w:after="0" w:line="246" w:lineRule="exact"/>
              <w:ind w:firstLine="0"/>
              <w:jc w:val="both"/>
              <w:rPr>
                <w:rFonts w:hint="eastAsia" w:ascii="宋体" w:hAnsi="宋体" w:eastAsia="宋体"/>
                <w:color w:val="000000"/>
                <w:sz w:val="18"/>
                <w:szCs w:val="18"/>
              </w:rPr>
            </w:pPr>
          </w:p>
          <w:p w14:paraId="1CD118EE">
            <w:pPr>
              <w:wordWrap w:val="0"/>
              <w:autoSpaceDE w:val="0"/>
              <w:autoSpaceDN w:val="0"/>
              <w:spacing w:before="147" w:after="0" w:line="246" w:lineRule="exact"/>
              <w:ind w:left="120" w:right="60" w:firstLine="400"/>
              <w:jc w:val="both"/>
              <w:rPr>
                <w:sz w:val="18"/>
                <w:szCs w:val="18"/>
              </w:rPr>
            </w:pPr>
            <w:r>
              <w:rPr>
                <w:rFonts w:hint="eastAsia" w:ascii="宋体" w:hAnsi="宋体" w:eastAsia="宋体"/>
                <w:color w:val="000000"/>
                <w:sz w:val="18"/>
                <w:szCs w:val="18"/>
              </w:rPr>
              <w:t>第七十三条 依照本条例规定，给予单位罚款处罚的，对单位直接负责的主管人员和其他直接责任人员处单位罚款数额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％以下的罚款。</w:t>
            </w:r>
          </w:p>
          <w:p w14:paraId="4F5E98D0">
            <w:pPr>
              <w:wordWrap w:val="0"/>
              <w:autoSpaceDE w:val="0"/>
              <w:autoSpaceDN w:val="0"/>
              <w:spacing w:before="73" w:after="0" w:line="246" w:lineRule="exact"/>
              <w:ind w:firstLine="140"/>
              <w:jc w:val="both"/>
              <w:rPr>
                <w:sz w:val="18"/>
                <w:szCs w:val="18"/>
              </w:rPr>
            </w:pPr>
            <w:r>
              <w:rPr>
                <w:rFonts w:hint="eastAsia" w:ascii="宋体" w:hAnsi="宋体" w:eastAsia="宋体"/>
                <w:color w:val="000000"/>
                <w:sz w:val="18"/>
                <w:szCs w:val="18"/>
              </w:rPr>
              <w:t>【省级地方性法规】《江苏省实施＜中华人民共和国人民防空法》办法》</w:t>
            </w:r>
          </w:p>
          <w:p w14:paraId="38CE6BB3">
            <w:pPr>
              <w:wordWrap w:val="0"/>
              <w:autoSpaceDE w:val="0"/>
              <w:autoSpaceDN w:val="0"/>
              <w:spacing w:before="63" w:after="0" w:line="246" w:lineRule="exact"/>
              <w:ind w:left="120" w:right="20" w:firstLine="400"/>
              <w:jc w:val="both"/>
              <w:rPr>
                <w:sz w:val="18"/>
                <w:szCs w:val="18"/>
              </w:rPr>
            </w:pPr>
            <w:r>
              <w:rPr>
                <w:rFonts w:hint="eastAsia" w:ascii="宋体" w:hAnsi="宋体" w:eastAsia="宋体"/>
                <w:color w:val="000000"/>
                <w:sz w:val="18"/>
                <w:szCs w:val="18"/>
              </w:rPr>
              <w:t>第三十五条 建设、设计、施工、监理等单位违反人民防空工程质量管理规定从事相关活动的，由县级以上建设、人防等相关行政主管部门在其职责范围内按照《建设工程质量管理条例》的有关规定予以处罚。</w:t>
            </w:r>
          </w:p>
        </w:tc>
      </w:tr>
      <w:tr w14:paraId="23EF13A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96" w:type="dxa"/>
            <w:tcBorders>
              <w:top w:val="single" w:color="000000" w:sz="4" w:space="0"/>
              <w:left w:val="single" w:color="000000" w:sz="4" w:space="0"/>
              <w:bottom w:val="single" w:color="000000" w:sz="4" w:space="0"/>
              <w:right w:val="single" w:color="000000" w:sz="4" w:space="0"/>
            </w:tcBorders>
            <w:vAlign w:val="top"/>
          </w:tcPr>
          <w:p w14:paraId="661C7124">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处罚种类</w:t>
            </w:r>
          </w:p>
        </w:tc>
        <w:tc>
          <w:tcPr>
            <w:tcW w:w="12767" w:type="dxa"/>
            <w:gridSpan w:val="3"/>
            <w:tcBorders>
              <w:top w:val="single" w:color="000000" w:sz="4" w:space="0"/>
              <w:left w:val="single" w:color="000000" w:sz="4" w:space="0"/>
              <w:bottom w:val="single" w:color="000000" w:sz="4" w:space="0"/>
              <w:right w:val="single" w:color="000000" w:sz="4" w:space="0"/>
            </w:tcBorders>
            <w:vAlign w:val="top"/>
          </w:tcPr>
          <w:p w14:paraId="59D18F00">
            <w:pPr>
              <w:wordWrap w:val="0"/>
              <w:autoSpaceDE w:val="0"/>
              <w:autoSpaceDN w:val="0"/>
              <w:spacing w:before="73" w:after="0" w:line="246" w:lineRule="exact"/>
              <w:ind w:firstLine="60"/>
              <w:jc w:val="both"/>
              <w:rPr>
                <w:sz w:val="18"/>
                <w:szCs w:val="18"/>
              </w:rPr>
            </w:pPr>
            <w:r>
              <w:rPr>
                <w:rFonts w:hint="eastAsia" w:ascii="宋体" w:hAnsi="宋体" w:eastAsia="宋体"/>
                <w:color w:val="000000"/>
                <w:sz w:val="18"/>
                <w:szCs w:val="18"/>
              </w:rPr>
              <w:t>罚款</w:t>
            </w:r>
          </w:p>
        </w:tc>
      </w:tr>
      <w:tr w14:paraId="0055C3C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3963" w:type="dxa"/>
            <w:gridSpan w:val="4"/>
            <w:tcBorders>
              <w:top w:val="single" w:color="000000" w:sz="4" w:space="0"/>
              <w:left w:val="single" w:color="000000" w:sz="4" w:space="0"/>
              <w:bottom w:val="single" w:color="000000" w:sz="4" w:space="0"/>
              <w:right w:val="single" w:color="000000" w:sz="4" w:space="0"/>
            </w:tcBorders>
            <w:vAlign w:val="top"/>
          </w:tcPr>
          <w:p w14:paraId="06E94FD3">
            <w:pPr>
              <w:wordWrap w:val="0"/>
              <w:autoSpaceDE w:val="0"/>
              <w:autoSpaceDN w:val="0"/>
              <w:spacing w:before="60" w:after="0" w:line="246" w:lineRule="exact"/>
              <w:jc w:val="center"/>
              <w:rPr>
                <w:sz w:val="18"/>
                <w:szCs w:val="18"/>
              </w:rPr>
            </w:pPr>
            <w:r>
              <w:rPr>
                <w:rFonts w:hint="eastAsia" w:ascii="宋体" w:hAnsi="宋体" w:eastAsia="宋体"/>
                <w:color w:val="000000"/>
                <w:sz w:val="18"/>
                <w:szCs w:val="18"/>
              </w:rPr>
              <w:t>自由裁量基准</w:t>
            </w:r>
          </w:p>
        </w:tc>
      </w:tr>
      <w:tr w14:paraId="7D892F8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196" w:type="dxa"/>
            <w:vMerge w:val="restart"/>
            <w:tcBorders>
              <w:top w:val="single" w:color="000000" w:sz="4" w:space="0"/>
              <w:left w:val="single" w:color="000000" w:sz="4" w:space="0"/>
              <w:bottom w:val="single" w:color="000000" w:sz="4" w:space="0"/>
              <w:right w:val="single" w:color="000000" w:sz="4" w:space="0"/>
            </w:tcBorders>
            <w:vAlign w:val="top"/>
          </w:tcPr>
          <w:p w14:paraId="21FAD5AE">
            <w:pPr>
              <w:wordWrap w:val="0"/>
              <w:autoSpaceDE w:val="0"/>
              <w:autoSpaceDN w:val="0"/>
              <w:spacing w:before="0" w:after="0" w:line="246" w:lineRule="exact"/>
              <w:ind w:firstLine="0"/>
              <w:jc w:val="both"/>
              <w:rPr>
                <w:rFonts w:hint="eastAsia" w:ascii="宋体" w:hAnsi="宋体" w:eastAsia="宋体"/>
                <w:color w:val="000000"/>
                <w:sz w:val="18"/>
                <w:szCs w:val="18"/>
              </w:rPr>
            </w:pPr>
          </w:p>
          <w:p w14:paraId="5029B896">
            <w:pPr>
              <w:wordWrap w:val="0"/>
              <w:autoSpaceDE w:val="0"/>
              <w:autoSpaceDN w:val="0"/>
              <w:spacing w:before="0" w:after="0" w:line="246" w:lineRule="exact"/>
              <w:ind w:firstLine="0"/>
              <w:jc w:val="both"/>
              <w:rPr>
                <w:rFonts w:hint="eastAsia" w:ascii="宋体" w:hAnsi="宋体" w:eastAsia="宋体"/>
                <w:color w:val="000000"/>
                <w:sz w:val="18"/>
                <w:szCs w:val="18"/>
              </w:rPr>
            </w:pPr>
          </w:p>
          <w:p w14:paraId="42D47CAD">
            <w:pPr>
              <w:wordWrap w:val="0"/>
              <w:autoSpaceDE w:val="0"/>
              <w:autoSpaceDN w:val="0"/>
              <w:spacing w:before="0" w:after="0" w:line="246" w:lineRule="exact"/>
              <w:ind w:firstLine="0"/>
              <w:jc w:val="both"/>
              <w:rPr>
                <w:rFonts w:hint="eastAsia" w:ascii="宋体" w:hAnsi="宋体" w:eastAsia="宋体"/>
                <w:color w:val="000000"/>
                <w:sz w:val="18"/>
                <w:szCs w:val="18"/>
              </w:rPr>
            </w:pPr>
          </w:p>
          <w:p w14:paraId="7F599370">
            <w:pPr>
              <w:wordWrap w:val="0"/>
              <w:autoSpaceDE w:val="0"/>
              <w:autoSpaceDN w:val="0"/>
              <w:spacing w:before="140" w:after="0" w:line="246" w:lineRule="exact"/>
              <w:ind w:firstLine="220"/>
              <w:jc w:val="both"/>
              <w:rPr>
                <w:sz w:val="18"/>
                <w:szCs w:val="18"/>
              </w:rPr>
            </w:pPr>
            <w:r>
              <w:rPr>
                <w:rFonts w:hint="eastAsia" w:ascii="宋体" w:hAnsi="宋体" w:eastAsia="宋体"/>
                <w:color w:val="000000"/>
                <w:sz w:val="18"/>
                <w:szCs w:val="18"/>
              </w:rPr>
              <w:t>情形描述</w:t>
            </w:r>
          </w:p>
        </w:tc>
        <w:tc>
          <w:tcPr>
            <w:tcW w:w="5965" w:type="dxa"/>
            <w:tcBorders>
              <w:top w:val="single" w:color="000000" w:sz="4" w:space="0"/>
              <w:left w:val="single" w:color="000000" w:sz="4" w:space="0"/>
              <w:bottom w:val="single" w:color="000000" w:sz="4" w:space="0"/>
              <w:right w:val="single" w:color="000000" w:sz="4" w:space="0"/>
            </w:tcBorders>
            <w:vAlign w:val="top"/>
          </w:tcPr>
          <w:p w14:paraId="738BF4F6">
            <w:pPr>
              <w:wordWrap w:val="0"/>
              <w:autoSpaceDE w:val="0"/>
              <w:autoSpaceDN w:val="0"/>
              <w:spacing w:before="220" w:after="0" w:line="246" w:lineRule="exact"/>
              <w:jc w:val="center"/>
              <w:rPr>
                <w:sz w:val="18"/>
                <w:szCs w:val="18"/>
              </w:rPr>
            </w:pPr>
            <w:r>
              <w:rPr>
                <w:rFonts w:hint="eastAsia" w:ascii="宋体" w:hAnsi="宋体" w:eastAsia="宋体"/>
                <w:color w:val="000000"/>
                <w:sz w:val="18"/>
                <w:szCs w:val="18"/>
              </w:rPr>
              <w:t>将非主体、非关键性工作肢解发包的，且未造成质量安全事故的</w:t>
            </w:r>
          </w:p>
        </w:tc>
        <w:tc>
          <w:tcPr>
            <w:tcW w:w="1095" w:type="dxa"/>
            <w:vMerge w:val="restart"/>
            <w:tcBorders>
              <w:top w:val="single" w:color="000000" w:sz="4" w:space="0"/>
              <w:left w:val="single" w:color="000000" w:sz="4" w:space="0"/>
              <w:bottom w:val="single" w:color="000000" w:sz="4" w:space="0"/>
              <w:right w:val="single" w:color="000000" w:sz="4" w:space="0"/>
            </w:tcBorders>
            <w:vAlign w:val="top"/>
          </w:tcPr>
          <w:p w14:paraId="018955D6">
            <w:pPr>
              <w:wordWrap w:val="0"/>
              <w:autoSpaceDE w:val="0"/>
              <w:autoSpaceDN w:val="0"/>
              <w:spacing w:before="0" w:after="0" w:line="246" w:lineRule="exact"/>
              <w:ind w:firstLine="0"/>
              <w:jc w:val="both"/>
              <w:rPr>
                <w:rFonts w:hint="eastAsia" w:ascii="宋体" w:hAnsi="宋体" w:eastAsia="宋体"/>
                <w:color w:val="000000"/>
                <w:sz w:val="18"/>
                <w:szCs w:val="18"/>
              </w:rPr>
            </w:pPr>
          </w:p>
          <w:p w14:paraId="7C565341">
            <w:pPr>
              <w:wordWrap w:val="0"/>
              <w:autoSpaceDE w:val="0"/>
              <w:autoSpaceDN w:val="0"/>
              <w:spacing w:before="0" w:after="0" w:line="246" w:lineRule="exact"/>
              <w:ind w:firstLine="0"/>
              <w:jc w:val="both"/>
              <w:rPr>
                <w:rFonts w:hint="eastAsia" w:ascii="宋体" w:hAnsi="宋体" w:eastAsia="宋体"/>
                <w:color w:val="000000"/>
                <w:sz w:val="18"/>
                <w:szCs w:val="18"/>
              </w:rPr>
            </w:pPr>
          </w:p>
          <w:p w14:paraId="55E855BD">
            <w:pPr>
              <w:wordWrap w:val="0"/>
              <w:autoSpaceDE w:val="0"/>
              <w:autoSpaceDN w:val="0"/>
              <w:spacing w:before="0" w:after="0" w:line="246" w:lineRule="exact"/>
              <w:ind w:firstLine="0"/>
              <w:jc w:val="both"/>
              <w:rPr>
                <w:rFonts w:hint="eastAsia" w:ascii="宋体" w:hAnsi="宋体" w:eastAsia="宋体"/>
                <w:color w:val="000000"/>
                <w:sz w:val="18"/>
                <w:szCs w:val="18"/>
              </w:rPr>
            </w:pPr>
          </w:p>
          <w:p w14:paraId="63D89AF8">
            <w:pPr>
              <w:wordWrap w:val="0"/>
              <w:autoSpaceDE w:val="0"/>
              <w:autoSpaceDN w:val="0"/>
              <w:spacing w:before="140" w:after="0" w:line="246" w:lineRule="exact"/>
              <w:ind w:firstLine="140"/>
              <w:jc w:val="both"/>
              <w:rPr>
                <w:sz w:val="18"/>
                <w:szCs w:val="18"/>
              </w:rPr>
            </w:pPr>
            <w:r>
              <w:rPr>
                <w:rFonts w:hint="eastAsia" w:ascii="宋体" w:hAnsi="宋体" w:eastAsia="宋体"/>
                <w:color w:val="000000"/>
                <w:sz w:val="18"/>
                <w:szCs w:val="18"/>
              </w:rPr>
              <w:t>裁量幅度</w:t>
            </w:r>
          </w:p>
        </w:tc>
        <w:tc>
          <w:tcPr>
            <w:tcW w:w="5707" w:type="dxa"/>
            <w:tcBorders>
              <w:top w:val="single" w:color="000000" w:sz="4" w:space="0"/>
              <w:left w:val="single" w:color="000000" w:sz="4" w:space="0"/>
              <w:bottom w:val="single" w:color="000000" w:sz="4" w:space="0"/>
              <w:right w:val="single" w:color="000000" w:sz="4" w:space="0"/>
            </w:tcBorders>
            <w:vAlign w:val="top"/>
          </w:tcPr>
          <w:p w14:paraId="46A1C899">
            <w:pPr>
              <w:wordWrap w:val="0"/>
              <w:autoSpaceDE w:val="0"/>
              <w:autoSpaceDN w:val="0"/>
              <w:spacing w:before="93" w:after="0" w:line="246" w:lineRule="exact"/>
              <w:ind w:firstLine="100"/>
              <w:jc w:val="both"/>
              <w:rPr>
                <w:sz w:val="18"/>
                <w:szCs w:val="18"/>
              </w:rPr>
            </w:pPr>
            <w:r>
              <w:rPr>
                <w:rFonts w:hint="eastAsia" w:ascii="宋体" w:hAnsi="宋体" w:eastAsia="宋体"/>
                <w:color w:val="000000"/>
                <w:sz w:val="18"/>
                <w:szCs w:val="18"/>
              </w:rPr>
              <w:t>对单位：处工程合同价款</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p w14:paraId="5B49395F">
            <w:pPr>
              <w:wordWrap w:val="0"/>
              <w:autoSpaceDE w:val="0"/>
              <w:autoSpaceDN w:val="0"/>
              <w:spacing w:before="0" w:after="0" w:line="246" w:lineRule="exact"/>
              <w:ind w:firstLine="10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5</w:t>
            </w:r>
            <w:r>
              <w:rPr>
                <w:rFonts w:hint="eastAsia" w:ascii="宋体" w:hAnsi="宋体" w:eastAsia="宋体"/>
                <w:color w:val="000000"/>
                <w:sz w:val="18"/>
                <w:szCs w:val="18"/>
              </w:rPr>
              <w:t>％以上</w:t>
            </w:r>
            <w:r>
              <w:rPr>
                <w:rFonts w:hint="eastAsia" w:ascii="Calibri" w:hAnsi="Calibri" w:eastAsia="Calibri"/>
                <w:color w:val="000000"/>
                <w:sz w:val="18"/>
                <w:szCs w:val="18"/>
              </w:rPr>
              <w:t>6</w:t>
            </w:r>
            <w:r>
              <w:rPr>
                <w:rFonts w:hint="eastAsia" w:ascii="宋体" w:hAnsi="宋体" w:eastAsia="宋体"/>
                <w:color w:val="000000"/>
                <w:sz w:val="18"/>
                <w:szCs w:val="18"/>
              </w:rPr>
              <w:t>％以下罚款</w:t>
            </w:r>
          </w:p>
        </w:tc>
      </w:tr>
      <w:tr w14:paraId="2598890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40" w:hRule="atLeast"/>
        </w:trPr>
        <w:tc>
          <w:tcPr>
            <w:tcW w:w="1196" w:type="dxa"/>
            <w:vMerge w:val="continue"/>
            <w:tcBorders>
              <w:top w:val="single" w:color="000000" w:sz="4" w:space="0"/>
              <w:left w:val="single" w:color="000000" w:sz="4" w:space="0"/>
              <w:bottom w:val="single" w:color="000000" w:sz="4" w:space="0"/>
              <w:right w:val="single" w:color="000000" w:sz="4" w:space="0"/>
            </w:tcBorders>
          </w:tcPr>
          <w:p w14:paraId="74AC6A07">
            <w:pPr>
              <w:rPr>
                <w:sz w:val="18"/>
                <w:szCs w:val="18"/>
              </w:rPr>
            </w:pPr>
          </w:p>
        </w:tc>
        <w:tc>
          <w:tcPr>
            <w:tcW w:w="5965" w:type="dxa"/>
            <w:tcBorders>
              <w:top w:val="single" w:color="000000" w:sz="4" w:space="0"/>
              <w:left w:val="single" w:color="000000" w:sz="4" w:space="0"/>
              <w:bottom w:val="single" w:color="000000" w:sz="4" w:space="0"/>
              <w:right w:val="single" w:color="000000" w:sz="4" w:space="0"/>
            </w:tcBorders>
            <w:vAlign w:val="top"/>
          </w:tcPr>
          <w:p w14:paraId="3C1CC7EC">
            <w:pPr>
              <w:wordWrap w:val="0"/>
              <w:autoSpaceDE w:val="0"/>
              <w:autoSpaceDN w:val="0"/>
              <w:spacing w:before="240" w:after="0" w:line="246" w:lineRule="exact"/>
              <w:ind w:firstLine="80"/>
              <w:jc w:val="both"/>
              <w:rPr>
                <w:sz w:val="18"/>
                <w:szCs w:val="18"/>
              </w:rPr>
            </w:pPr>
            <w:r>
              <w:rPr>
                <w:rFonts w:hint="eastAsia" w:ascii="宋体" w:hAnsi="宋体" w:eastAsia="宋体"/>
                <w:color w:val="000000"/>
                <w:sz w:val="18"/>
                <w:szCs w:val="18"/>
              </w:rPr>
              <w:t>将主体或者关键性工作肢解发包的，且未造成质量安全事故的</w:t>
            </w:r>
          </w:p>
        </w:tc>
        <w:tc>
          <w:tcPr>
            <w:tcW w:w="1095" w:type="dxa"/>
            <w:vMerge w:val="continue"/>
            <w:tcBorders>
              <w:top w:val="single" w:color="000000" w:sz="4" w:space="0"/>
              <w:left w:val="single" w:color="000000" w:sz="4" w:space="0"/>
              <w:bottom w:val="single" w:color="000000" w:sz="4" w:space="0"/>
              <w:right w:val="single" w:color="000000" w:sz="4" w:space="0"/>
            </w:tcBorders>
          </w:tcPr>
          <w:p w14:paraId="0883596B">
            <w:pPr>
              <w:rPr>
                <w:sz w:val="18"/>
                <w:szCs w:val="18"/>
              </w:rPr>
            </w:pPr>
          </w:p>
        </w:tc>
        <w:tc>
          <w:tcPr>
            <w:tcW w:w="5707" w:type="dxa"/>
            <w:tcBorders>
              <w:top w:val="single" w:color="000000" w:sz="4" w:space="0"/>
              <w:left w:val="single" w:color="000000" w:sz="4" w:space="0"/>
              <w:bottom w:val="single" w:color="000000" w:sz="4" w:space="0"/>
              <w:right w:val="single" w:color="000000" w:sz="4" w:space="0"/>
            </w:tcBorders>
            <w:vAlign w:val="top"/>
          </w:tcPr>
          <w:p w14:paraId="46A94B1A">
            <w:pPr>
              <w:wordWrap w:val="0"/>
              <w:autoSpaceDE w:val="0"/>
              <w:autoSpaceDN w:val="0"/>
              <w:spacing w:before="113" w:after="0" w:line="246" w:lineRule="exact"/>
              <w:ind w:firstLine="120"/>
              <w:jc w:val="both"/>
              <w:rPr>
                <w:sz w:val="18"/>
                <w:szCs w:val="18"/>
              </w:rPr>
            </w:pPr>
            <w:r>
              <w:rPr>
                <w:rFonts w:hint="eastAsia" w:ascii="宋体" w:hAnsi="宋体" w:eastAsia="宋体"/>
                <w:color w:val="000000"/>
                <w:sz w:val="18"/>
                <w:szCs w:val="18"/>
              </w:rPr>
              <w:t>对单位：处工程合同价款</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p w14:paraId="5D691C3C">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6</w:t>
            </w:r>
            <w:r>
              <w:rPr>
                <w:rFonts w:hint="eastAsia" w:ascii="宋体" w:hAnsi="宋体" w:eastAsia="宋体"/>
                <w:color w:val="000000"/>
                <w:sz w:val="18"/>
                <w:szCs w:val="18"/>
              </w:rPr>
              <w:t>％以上</w:t>
            </w:r>
            <w:r>
              <w:rPr>
                <w:rFonts w:hint="eastAsia" w:ascii="Calibri" w:hAnsi="Calibri" w:eastAsia="Calibri"/>
                <w:color w:val="000000"/>
                <w:sz w:val="18"/>
                <w:szCs w:val="18"/>
              </w:rPr>
              <w:t>8</w:t>
            </w:r>
            <w:r>
              <w:rPr>
                <w:rFonts w:hint="eastAsia" w:ascii="宋体" w:hAnsi="宋体" w:eastAsia="宋体"/>
                <w:color w:val="000000"/>
                <w:sz w:val="18"/>
                <w:szCs w:val="18"/>
              </w:rPr>
              <w:t>％以下罚款</w:t>
            </w:r>
          </w:p>
        </w:tc>
      </w:tr>
      <w:tr w14:paraId="714A630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196" w:type="dxa"/>
            <w:vMerge w:val="continue"/>
            <w:tcBorders>
              <w:top w:val="single" w:color="000000" w:sz="4" w:space="0"/>
              <w:left w:val="single" w:color="000000" w:sz="4" w:space="0"/>
              <w:bottom w:val="single" w:color="000000" w:sz="4" w:space="0"/>
              <w:right w:val="single" w:color="000000" w:sz="4" w:space="0"/>
            </w:tcBorders>
          </w:tcPr>
          <w:p w14:paraId="1C12F366">
            <w:pPr>
              <w:rPr>
                <w:sz w:val="18"/>
                <w:szCs w:val="18"/>
              </w:rPr>
            </w:pPr>
          </w:p>
        </w:tc>
        <w:tc>
          <w:tcPr>
            <w:tcW w:w="5965" w:type="dxa"/>
            <w:tcBorders>
              <w:top w:val="single" w:color="000000" w:sz="4" w:space="0"/>
              <w:left w:val="single" w:color="000000" w:sz="4" w:space="0"/>
              <w:bottom w:val="single" w:color="000000" w:sz="4" w:space="0"/>
              <w:right w:val="single" w:color="000000" w:sz="4" w:space="0"/>
            </w:tcBorders>
            <w:vAlign w:val="top"/>
          </w:tcPr>
          <w:p w14:paraId="660C1631">
            <w:pPr>
              <w:wordWrap w:val="0"/>
              <w:autoSpaceDE w:val="0"/>
              <w:autoSpaceDN w:val="0"/>
              <w:spacing w:before="240" w:after="0" w:line="246" w:lineRule="exact"/>
              <w:ind w:firstLine="100"/>
              <w:jc w:val="both"/>
              <w:rPr>
                <w:sz w:val="18"/>
                <w:szCs w:val="18"/>
              </w:rPr>
            </w:pPr>
            <w:r>
              <w:rPr>
                <w:rFonts w:hint="eastAsia" w:ascii="宋体" w:hAnsi="宋体" w:eastAsia="宋体"/>
                <w:color w:val="000000"/>
                <w:sz w:val="18"/>
                <w:szCs w:val="18"/>
              </w:rPr>
              <w:t>将主体和关键性工作肢解发包的或者造成质量安全事故的</w:t>
            </w:r>
          </w:p>
        </w:tc>
        <w:tc>
          <w:tcPr>
            <w:tcW w:w="1095" w:type="dxa"/>
            <w:vMerge w:val="continue"/>
            <w:tcBorders>
              <w:top w:val="single" w:color="000000" w:sz="4" w:space="0"/>
              <w:left w:val="single" w:color="000000" w:sz="4" w:space="0"/>
              <w:bottom w:val="single" w:color="000000" w:sz="4" w:space="0"/>
              <w:right w:val="single" w:color="000000" w:sz="4" w:space="0"/>
            </w:tcBorders>
          </w:tcPr>
          <w:p w14:paraId="60F8B5EF">
            <w:pPr>
              <w:rPr>
                <w:sz w:val="18"/>
                <w:szCs w:val="18"/>
              </w:rPr>
            </w:pPr>
          </w:p>
        </w:tc>
        <w:tc>
          <w:tcPr>
            <w:tcW w:w="5707" w:type="dxa"/>
            <w:tcBorders>
              <w:top w:val="single" w:color="000000" w:sz="4" w:space="0"/>
              <w:left w:val="single" w:color="000000" w:sz="4" w:space="0"/>
              <w:bottom w:val="single" w:color="000000" w:sz="4" w:space="0"/>
              <w:right w:val="single" w:color="000000" w:sz="4" w:space="0"/>
            </w:tcBorders>
            <w:vAlign w:val="top"/>
          </w:tcPr>
          <w:p w14:paraId="544749E8">
            <w:pPr>
              <w:wordWrap w:val="0"/>
              <w:autoSpaceDE w:val="0"/>
              <w:autoSpaceDN w:val="0"/>
              <w:spacing w:before="73" w:after="0" w:line="246" w:lineRule="exact"/>
              <w:ind w:firstLine="120"/>
              <w:jc w:val="both"/>
              <w:rPr>
                <w:sz w:val="18"/>
                <w:szCs w:val="18"/>
              </w:rPr>
            </w:pPr>
            <w:r>
              <w:rPr>
                <w:rFonts w:hint="eastAsia" w:ascii="宋体" w:hAnsi="宋体" w:eastAsia="宋体"/>
                <w:color w:val="000000"/>
                <w:sz w:val="18"/>
                <w:szCs w:val="18"/>
              </w:rPr>
              <w:t>对单位：处工程合同价款</w:t>
            </w:r>
            <w:r>
              <w:rPr>
                <w:rFonts w:hint="eastAsia" w:ascii="Calibri" w:hAnsi="Calibri" w:eastAsia="Calibri"/>
                <w:color w:val="000000"/>
                <w:sz w:val="18"/>
                <w:szCs w:val="18"/>
              </w:rPr>
              <w:t>0</w:t>
            </w:r>
            <w:r>
              <w:rPr>
                <w:rFonts w:hint="eastAsia" w:ascii="宋体" w:hAnsi="宋体" w:eastAsia="宋体"/>
                <w:color w:val="000000"/>
                <w:sz w:val="18"/>
                <w:szCs w:val="18"/>
              </w:rPr>
              <w:t>.</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w:t>
            </w:r>
            <w:r>
              <w:rPr>
                <w:rFonts w:hint="eastAsia" w:ascii="宋体" w:hAnsi="宋体" w:eastAsia="宋体"/>
                <w:color w:val="000000"/>
                <w:sz w:val="18"/>
                <w:szCs w:val="18"/>
              </w:rPr>
              <w:t>％以下罚款</w:t>
            </w:r>
          </w:p>
          <w:p w14:paraId="6F5FFD95">
            <w:pPr>
              <w:wordWrap w:val="0"/>
              <w:autoSpaceDE w:val="0"/>
              <w:autoSpaceDN w:val="0"/>
              <w:spacing w:before="0" w:after="0" w:line="246" w:lineRule="exact"/>
              <w:ind w:firstLine="120"/>
              <w:jc w:val="both"/>
              <w:rPr>
                <w:sz w:val="18"/>
                <w:szCs w:val="18"/>
              </w:rPr>
            </w:pPr>
            <w:r>
              <w:rPr>
                <w:rFonts w:hint="eastAsia" w:ascii="宋体" w:hAnsi="宋体" w:eastAsia="宋体"/>
                <w:color w:val="000000"/>
                <w:sz w:val="18"/>
                <w:szCs w:val="18"/>
              </w:rPr>
              <w:t>对个人：处单位罚款数额</w:t>
            </w:r>
            <w:r>
              <w:rPr>
                <w:rFonts w:hint="eastAsia" w:ascii="Calibri" w:hAnsi="Calibri" w:eastAsia="Calibri"/>
                <w:color w:val="000000"/>
                <w:sz w:val="18"/>
                <w:szCs w:val="18"/>
              </w:rPr>
              <w:t>8</w:t>
            </w:r>
            <w:r>
              <w:rPr>
                <w:rFonts w:hint="eastAsia" w:ascii="宋体" w:hAnsi="宋体" w:eastAsia="宋体"/>
                <w:color w:val="000000"/>
                <w:sz w:val="18"/>
                <w:szCs w:val="18"/>
              </w:rPr>
              <w:t>％以上</w:t>
            </w:r>
            <w:r>
              <w:rPr>
                <w:rFonts w:hint="eastAsia" w:ascii="Calibri" w:hAnsi="Calibri" w:eastAsia="Calibri"/>
                <w:color w:val="000000"/>
                <w:sz w:val="18"/>
                <w:szCs w:val="18"/>
              </w:rPr>
              <w:t>10</w:t>
            </w:r>
            <w:r>
              <w:rPr>
                <w:rFonts w:hint="eastAsia" w:ascii="宋体" w:hAnsi="宋体" w:eastAsia="宋体"/>
                <w:color w:val="000000"/>
                <w:sz w:val="18"/>
                <w:szCs w:val="18"/>
              </w:rPr>
              <w:t>％以下罚款</w:t>
            </w:r>
          </w:p>
        </w:tc>
      </w:tr>
    </w:tbl>
    <w:p w14:paraId="0CA0F688">
      <w:pPr>
        <w:rPr>
          <w:sz w:val="18"/>
          <w:szCs w:val="18"/>
        </w:rPr>
      </w:pPr>
    </w:p>
    <w:p w14:paraId="35FB7F29">
      <w:pPr>
        <w:rPr>
          <w:sz w:val="18"/>
          <w:szCs w:val="18"/>
        </w:rPr>
      </w:pPr>
    </w:p>
    <w:p w14:paraId="73EF5693">
      <w:pPr>
        <w:rPr>
          <w:sz w:val="18"/>
          <w:szCs w:val="18"/>
        </w:rPr>
      </w:pPr>
    </w:p>
    <w:p w14:paraId="3A6D9113">
      <w:pPr>
        <w:rPr>
          <w:sz w:val="18"/>
          <w:szCs w:val="18"/>
        </w:rPr>
      </w:pPr>
    </w:p>
    <w:tbl>
      <w:tblPr>
        <w:tblStyle w:val="15"/>
        <w:tblpPr w:leftFromText="180" w:rightFromText="180" w:vertAnchor="text" w:horzAnchor="page" w:tblpX="1559" w:tblpY="140"/>
        <w:tblOverlap w:val="never"/>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63"/>
        <w:gridCol w:w="5938"/>
        <w:gridCol w:w="1080"/>
        <w:gridCol w:w="5682"/>
      </w:tblGrid>
      <w:tr w14:paraId="66B704B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163" w:type="dxa"/>
            <w:tcBorders>
              <w:top w:val="single" w:color="000000" w:sz="4" w:space="0"/>
              <w:left w:val="single" w:color="000000" w:sz="4" w:space="0"/>
              <w:bottom w:val="single" w:color="000000" w:sz="4" w:space="0"/>
              <w:right w:val="single" w:color="000000" w:sz="4" w:space="0"/>
            </w:tcBorders>
            <w:vAlign w:val="top"/>
          </w:tcPr>
          <w:p w14:paraId="0E6CB399">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序号</w:t>
            </w:r>
          </w:p>
        </w:tc>
        <w:tc>
          <w:tcPr>
            <w:tcW w:w="12700" w:type="dxa"/>
            <w:gridSpan w:val="3"/>
            <w:tcBorders>
              <w:top w:val="single" w:color="000000" w:sz="4" w:space="0"/>
              <w:left w:val="single" w:color="000000" w:sz="4" w:space="0"/>
              <w:bottom w:val="single" w:color="000000" w:sz="4" w:space="0"/>
              <w:right w:val="single" w:color="000000" w:sz="4" w:space="0"/>
            </w:tcBorders>
            <w:vAlign w:val="top"/>
          </w:tcPr>
          <w:p w14:paraId="1B24AA25">
            <w:pPr>
              <w:wordWrap w:val="0"/>
              <w:autoSpaceDE w:val="0"/>
              <w:autoSpaceDN w:val="0"/>
              <w:spacing w:before="100" w:after="0" w:line="246" w:lineRule="exact"/>
              <w:ind w:firstLine="80"/>
              <w:jc w:val="both"/>
              <w:rPr>
                <w:rFonts w:hint="eastAsia" w:eastAsia="宋体"/>
                <w:sz w:val="18"/>
                <w:szCs w:val="18"/>
                <w:lang w:val="en-US" w:eastAsia="zh-CN"/>
              </w:rPr>
            </w:pPr>
            <w:r>
              <w:rPr>
                <w:rFonts w:hint="eastAsia" w:ascii="Calibri" w:hAnsi="Calibri" w:eastAsia="Calibri"/>
                <w:color w:val="000000"/>
                <w:sz w:val="18"/>
                <w:szCs w:val="18"/>
              </w:rPr>
              <w:t>3</w:t>
            </w:r>
            <w:r>
              <w:rPr>
                <w:rFonts w:hint="eastAsia" w:ascii="Calibri" w:hAnsi="Calibri"/>
                <w:color w:val="000000"/>
                <w:sz w:val="18"/>
                <w:szCs w:val="18"/>
                <w:lang w:val="en-US" w:eastAsia="zh-CN"/>
              </w:rPr>
              <w:t>3</w:t>
            </w:r>
          </w:p>
        </w:tc>
      </w:tr>
      <w:tr w14:paraId="1DFBA55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163" w:type="dxa"/>
            <w:tcBorders>
              <w:top w:val="single" w:color="000000" w:sz="4" w:space="0"/>
              <w:left w:val="single" w:color="000000" w:sz="4" w:space="0"/>
              <w:bottom w:val="single" w:color="000000" w:sz="4" w:space="0"/>
              <w:right w:val="single" w:color="000000" w:sz="4" w:space="0"/>
            </w:tcBorders>
            <w:vAlign w:val="top"/>
          </w:tcPr>
          <w:p w14:paraId="09092589">
            <w:pPr>
              <w:wordWrap w:val="0"/>
              <w:autoSpaceDE w:val="0"/>
              <w:autoSpaceDN w:val="0"/>
              <w:spacing w:before="13" w:after="0" w:line="246" w:lineRule="exact"/>
              <w:ind w:firstLine="320"/>
              <w:jc w:val="both"/>
              <w:rPr>
                <w:sz w:val="18"/>
                <w:szCs w:val="18"/>
              </w:rPr>
            </w:pPr>
            <w:r>
              <w:rPr>
                <w:rFonts w:hint="eastAsia" w:ascii="宋体" w:hAnsi="宋体" w:eastAsia="宋体"/>
                <w:color w:val="000000"/>
                <w:sz w:val="18"/>
                <w:szCs w:val="18"/>
              </w:rPr>
              <w:t>编号</w:t>
            </w:r>
          </w:p>
        </w:tc>
        <w:tc>
          <w:tcPr>
            <w:tcW w:w="12700" w:type="dxa"/>
            <w:gridSpan w:val="3"/>
            <w:tcBorders>
              <w:top w:val="single" w:color="000000" w:sz="4" w:space="0"/>
              <w:left w:val="single" w:color="000000" w:sz="4" w:space="0"/>
              <w:bottom w:val="single" w:color="000000" w:sz="4" w:space="0"/>
              <w:right w:val="single" w:color="000000" w:sz="4" w:space="0"/>
            </w:tcBorders>
            <w:vAlign w:val="top"/>
          </w:tcPr>
          <w:p w14:paraId="6E31E354">
            <w:pPr>
              <w:wordWrap w:val="0"/>
              <w:autoSpaceDE w:val="0"/>
              <w:autoSpaceDN w:val="0"/>
              <w:spacing w:before="73" w:after="0" w:line="246" w:lineRule="exact"/>
              <w:ind w:firstLine="80"/>
              <w:jc w:val="both"/>
              <w:rPr>
                <w:sz w:val="18"/>
                <w:szCs w:val="18"/>
              </w:rPr>
            </w:pPr>
            <w:r>
              <w:rPr>
                <w:rFonts w:hint="eastAsia" w:ascii="Calibri" w:hAnsi="Calibri" w:eastAsia="Calibri"/>
                <w:color w:val="000000"/>
                <w:sz w:val="18"/>
                <w:szCs w:val="18"/>
              </w:rPr>
              <w:t>320280115000</w:t>
            </w:r>
          </w:p>
        </w:tc>
      </w:tr>
      <w:tr w14:paraId="63EBA7A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163" w:type="dxa"/>
            <w:tcBorders>
              <w:top w:val="single" w:color="000000" w:sz="4" w:space="0"/>
              <w:left w:val="single" w:color="000000" w:sz="4" w:space="0"/>
              <w:bottom w:val="single" w:color="000000" w:sz="4" w:space="0"/>
              <w:right w:val="single" w:color="000000" w:sz="4" w:space="0"/>
            </w:tcBorders>
            <w:vAlign w:val="top"/>
          </w:tcPr>
          <w:p w14:paraId="530C62E6">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行为名称</w:t>
            </w:r>
          </w:p>
        </w:tc>
        <w:tc>
          <w:tcPr>
            <w:tcW w:w="12700" w:type="dxa"/>
            <w:gridSpan w:val="3"/>
            <w:tcBorders>
              <w:top w:val="single" w:color="000000" w:sz="4" w:space="0"/>
              <w:left w:val="single" w:color="000000" w:sz="4" w:space="0"/>
              <w:bottom w:val="single" w:color="000000" w:sz="4" w:space="0"/>
              <w:right w:val="single" w:color="000000" w:sz="4" w:space="0"/>
            </w:tcBorders>
            <w:vAlign w:val="top"/>
          </w:tcPr>
          <w:p w14:paraId="4835CD66">
            <w:pPr>
              <w:wordWrap w:val="0"/>
              <w:autoSpaceDE w:val="0"/>
              <w:autoSpaceDN w:val="0"/>
              <w:spacing w:before="80" w:after="0" w:line="246" w:lineRule="exact"/>
              <w:ind w:firstLine="100"/>
              <w:jc w:val="both"/>
              <w:rPr>
                <w:sz w:val="18"/>
                <w:szCs w:val="18"/>
              </w:rPr>
            </w:pPr>
            <w:r>
              <w:rPr>
                <w:rFonts w:hint="eastAsia" w:ascii="宋体" w:hAnsi="宋体" w:eastAsia="宋体"/>
                <w:color w:val="000000"/>
                <w:sz w:val="18"/>
                <w:szCs w:val="18"/>
              </w:rPr>
              <w:t>对未达到人防工程维护管理要求的处罚</w:t>
            </w:r>
          </w:p>
        </w:tc>
      </w:tr>
      <w:tr w14:paraId="6C73173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380" w:hRule="atLeast"/>
        </w:trPr>
        <w:tc>
          <w:tcPr>
            <w:tcW w:w="1163" w:type="dxa"/>
            <w:tcBorders>
              <w:top w:val="single" w:color="000000" w:sz="4" w:space="0"/>
              <w:left w:val="single" w:color="000000" w:sz="4" w:space="0"/>
              <w:bottom w:val="single" w:color="000000" w:sz="4" w:space="0"/>
              <w:right w:val="single" w:color="000000" w:sz="4" w:space="0"/>
            </w:tcBorders>
            <w:vAlign w:val="top"/>
          </w:tcPr>
          <w:p w14:paraId="1C486DCA">
            <w:pPr>
              <w:wordWrap w:val="0"/>
              <w:autoSpaceDE w:val="0"/>
              <w:autoSpaceDN w:val="0"/>
              <w:spacing w:before="0" w:after="0" w:line="246" w:lineRule="exact"/>
              <w:ind w:firstLine="0"/>
              <w:jc w:val="both"/>
              <w:rPr>
                <w:rFonts w:hint="eastAsia" w:ascii="宋体" w:hAnsi="宋体" w:eastAsia="宋体"/>
                <w:color w:val="000000"/>
                <w:sz w:val="18"/>
                <w:szCs w:val="18"/>
              </w:rPr>
            </w:pPr>
          </w:p>
          <w:p w14:paraId="43F96BED">
            <w:pPr>
              <w:wordWrap w:val="0"/>
              <w:autoSpaceDE w:val="0"/>
              <w:autoSpaceDN w:val="0"/>
              <w:spacing w:before="0" w:after="0" w:line="246" w:lineRule="exact"/>
              <w:ind w:firstLine="0"/>
              <w:jc w:val="both"/>
              <w:rPr>
                <w:rFonts w:hint="eastAsia" w:ascii="宋体" w:hAnsi="宋体" w:eastAsia="宋体"/>
                <w:color w:val="000000"/>
                <w:sz w:val="18"/>
                <w:szCs w:val="18"/>
              </w:rPr>
            </w:pPr>
          </w:p>
          <w:p w14:paraId="1A857A0C">
            <w:pPr>
              <w:wordWrap w:val="0"/>
              <w:autoSpaceDE w:val="0"/>
              <w:autoSpaceDN w:val="0"/>
              <w:spacing w:before="0" w:after="0" w:line="246" w:lineRule="exact"/>
              <w:ind w:firstLine="0"/>
              <w:jc w:val="both"/>
              <w:rPr>
                <w:rFonts w:hint="eastAsia" w:ascii="宋体" w:hAnsi="宋体" w:eastAsia="宋体"/>
                <w:color w:val="000000"/>
                <w:sz w:val="18"/>
                <w:szCs w:val="18"/>
              </w:rPr>
            </w:pPr>
          </w:p>
          <w:p w14:paraId="62ACF2F6">
            <w:pPr>
              <w:wordWrap w:val="0"/>
              <w:autoSpaceDE w:val="0"/>
              <w:autoSpaceDN w:val="0"/>
              <w:spacing w:before="0" w:after="0" w:line="246" w:lineRule="exact"/>
              <w:ind w:firstLine="0"/>
              <w:jc w:val="both"/>
              <w:rPr>
                <w:rFonts w:hint="eastAsia" w:ascii="宋体" w:hAnsi="宋体" w:eastAsia="宋体"/>
                <w:color w:val="000000"/>
                <w:sz w:val="18"/>
                <w:szCs w:val="18"/>
              </w:rPr>
            </w:pPr>
          </w:p>
          <w:p w14:paraId="645518D0">
            <w:pPr>
              <w:wordWrap w:val="0"/>
              <w:autoSpaceDE w:val="0"/>
              <w:autoSpaceDN w:val="0"/>
              <w:spacing w:before="0" w:after="0" w:line="246" w:lineRule="exact"/>
              <w:ind w:firstLine="0"/>
              <w:jc w:val="both"/>
              <w:rPr>
                <w:rFonts w:hint="eastAsia" w:ascii="宋体" w:hAnsi="宋体" w:eastAsia="宋体"/>
                <w:color w:val="000000"/>
                <w:sz w:val="18"/>
                <w:szCs w:val="18"/>
              </w:rPr>
            </w:pPr>
          </w:p>
          <w:p w14:paraId="07EB871D">
            <w:pPr>
              <w:wordWrap w:val="0"/>
              <w:autoSpaceDE w:val="0"/>
              <w:autoSpaceDN w:val="0"/>
              <w:spacing w:before="0" w:after="0" w:line="246" w:lineRule="exact"/>
              <w:ind w:firstLine="0"/>
              <w:jc w:val="both"/>
              <w:rPr>
                <w:rFonts w:hint="eastAsia" w:ascii="宋体" w:hAnsi="宋体" w:eastAsia="宋体"/>
                <w:color w:val="000000"/>
                <w:sz w:val="18"/>
                <w:szCs w:val="18"/>
              </w:rPr>
            </w:pPr>
          </w:p>
          <w:p w14:paraId="6637995A">
            <w:pPr>
              <w:wordWrap w:val="0"/>
              <w:autoSpaceDE w:val="0"/>
              <w:autoSpaceDN w:val="0"/>
              <w:spacing w:before="121" w:after="0" w:line="246" w:lineRule="exact"/>
              <w:ind w:firstLine="220"/>
              <w:jc w:val="both"/>
              <w:rPr>
                <w:sz w:val="18"/>
                <w:szCs w:val="18"/>
              </w:rPr>
            </w:pPr>
            <w:r>
              <w:rPr>
                <w:rFonts w:hint="eastAsia" w:ascii="宋体" w:hAnsi="宋体" w:eastAsia="宋体"/>
                <w:color w:val="000000"/>
                <w:sz w:val="18"/>
                <w:szCs w:val="18"/>
              </w:rPr>
              <w:t>法律依据</w:t>
            </w:r>
          </w:p>
        </w:tc>
        <w:tc>
          <w:tcPr>
            <w:tcW w:w="12700" w:type="dxa"/>
            <w:gridSpan w:val="3"/>
            <w:tcBorders>
              <w:top w:val="single" w:color="000000" w:sz="4" w:space="0"/>
              <w:left w:val="single" w:color="000000" w:sz="4" w:space="0"/>
              <w:bottom w:val="single" w:color="000000" w:sz="4" w:space="0"/>
              <w:right w:val="single" w:color="000000" w:sz="4" w:space="0"/>
            </w:tcBorders>
            <w:vAlign w:val="top"/>
          </w:tcPr>
          <w:p w14:paraId="0B24E96E">
            <w:pPr>
              <w:wordWrap w:val="0"/>
              <w:autoSpaceDE w:val="0"/>
              <w:autoSpaceDN w:val="0"/>
              <w:spacing w:before="53" w:after="0" w:line="246" w:lineRule="exact"/>
              <w:ind w:firstLine="160"/>
              <w:jc w:val="both"/>
              <w:rPr>
                <w:sz w:val="18"/>
                <w:szCs w:val="18"/>
              </w:rPr>
            </w:pPr>
            <w:r>
              <w:rPr>
                <w:rFonts w:hint="eastAsia" w:ascii="宋体" w:hAnsi="宋体" w:eastAsia="宋体"/>
                <w:color w:val="000000"/>
                <w:sz w:val="18"/>
                <w:szCs w:val="18"/>
              </w:rPr>
              <w:t>【地方政府规章】《江苏省人民防空工程维护管理规定》（省政府令第</w:t>
            </w:r>
            <w:r>
              <w:rPr>
                <w:rFonts w:hint="eastAsia" w:ascii="Calibri" w:hAnsi="Calibri" w:eastAsia="Calibri"/>
                <w:color w:val="000000"/>
                <w:sz w:val="18"/>
                <w:szCs w:val="18"/>
              </w:rPr>
              <w:t>165</w:t>
            </w:r>
            <w:r>
              <w:rPr>
                <w:rFonts w:hint="eastAsia" w:ascii="宋体" w:hAnsi="宋体" w:eastAsia="宋体"/>
                <w:color w:val="000000"/>
                <w:sz w:val="18"/>
                <w:szCs w:val="18"/>
              </w:rPr>
              <w:t>号）</w:t>
            </w:r>
          </w:p>
          <w:p w14:paraId="5DE9789A">
            <w:pPr>
              <w:wordWrap w:val="0"/>
              <w:autoSpaceDE w:val="0"/>
              <w:autoSpaceDN w:val="0"/>
              <w:spacing w:before="0" w:after="0" w:line="246" w:lineRule="exact"/>
              <w:ind w:firstLine="560"/>
              <w:jc w:val="both"/>
              <w:rPr>
                <w:sz w:val="18"/>
                <w:szCs w:val="18"/>
              </w:rPr>
            </w:pPr>
            <w:r>
              <w:rPr>
                <w:rFonts w:hint="eastAsia" w:ascii="宋体" w:hAnsi="宋体" w:eastAsia="宋体"/>
                <w:color w:val="000000"/>
                <w:sz w:val="18"/>
                <w:szCs w:val="18"/>
              </w:rPr>
              <w:t>第十二条 人防工程维护管理应当按照国家有关规定执行，并达到下列要求：</w:t>
            </w:r>
          </w:p>
          <w:p w14:paraId="3C141A05">
            <w:pPr>
              <w:wordWrap w:val="0"/>
              <w:autoSpaceDE w:val="0"/>
              <w:autoSpaceDN w:val="0"/>
              <w:spacing w:before="0" w:after="0" w:line="240" w:lineRule="exact"/>
              <w:ind w:firstLine="580"/>
              <w:jc w:val="both"/>
              <w:rPr>
                <w:sz w:val="18"/>
                <w:szCs w:val="18"/>
              </w:rPr>
            </w:pPr>
            <w:r>
              <w:rPr>
                <w:rFonts w:hint="eastAsia" w:ascii="宋体" w:hAnsi="宋体" w:eastAsia="宋体"/>
                <w:color w:val="000000"/>
                <w:sz w:val="18"/>
                <w:szCs w:val="18"/>
              </w:rPr>
              <w:t>（一）工程结构完好；</w:t>
            </w:r>
          </w:p>
          <w:p w14:paraId="190E3436">
            <w:pPr>
              <w:wordWrap w:val="0"/>
              <w:autoSpaceDE w:val="0"/>
              <w:autoSpaceDN w:val="0"/>
              <w:spacing w:before="0" w:after="0" w:line="246" w:lineRule="exact"/>
              <w:ind w:firstLine="580"/>
              <w:jc w:val="both"/>
              <w:rPr>
                <w:sz w:val="18"/>
                <w:szCs w:val="18"/>
              </w:rPr>
            </w:pPr>
            <w:r>
              <w:rPr>
                <w:rFonts w:hint="eastAsia" w:ascii="宋体" w:hAnsi="宋体" w:eastAsia="宋体"/>
                <w:color w:val="000000"/>
                <w:sz w:val="18"/>
                <w:szCs w:val="18"/>
              </w:rPr>
              <w:t>（二）人防专用设备设施性能完好，金属构件无锈蚀和损坏；</w:t>
            </w:r>
          </w:p>
          <w:p w14:paraId="3BB0EA0A">
            <w:pPr>
              <w:wordWrap w:val="0"/>
              <w:autoSpaceDE w:val="0"/>
              <w:autoSpaceDN w:val="0"/>
              <w:spacing w:before="0" w:after="0" w:line="240" w:lineRule="exact"/>
              <w:ind w:firstLine="580"/>
              <w:jc w:val="both"/>
              <w:rPr>
                <w:sz w:val="18"/>
                <w:szCs w:val="18"/>
              </w:rPr>
            </w:pPr>
            <w:r>
              <w:rPr>
                <w:rFonts w:hint="eastAsia" w:ascii="宋体" w:hAnsi="宋体" w:eastAsia="宋体"/>
                <w:color w:val="000000"/>
                <w:sz w:val="18"/>
                <w:szCs w:val="18"/>
              </w:rPr>
              <w:t>（三）工程口部畅通，防汛及地面附属设施完好；</w:t>
            </w:r>
          </w:p>
          <w:p w14:paraId="68131368">
            <w:pPr>
              <w:wordWrap w:val="0"/>
              <w:autoSpaceDE w:val="0"/>
              <w:autoSpaceDN w:val="0"/>
              <w:spacing w:before="0" w:after="0" w:line="246" w:lineRule="exact"/>
              <w:ind w:firstLine="580"/>
              <w:jc w:val="both"/>
              <w:rPr>
                <w:sz w:val="18"/>
                <w:szCs w:val="18"/>
              </w:rPr>
            </w:pPr>
            <w:r>
              <w:rPr>
                <w:rFonts w:hint="eastAsia" w:ascii="宋体" w:hAnsi="宋体" w:eastAsia="宋体"/>
                <w:color w:val="000000"/>
                <w:sz w:val="18"/>
                <w:szCs w:val="18"/>
              </w:rPr>
              <w:t>（四）工程的消防设施，风、水、电、信息等系统工作正常；</w:t>
            </w:r>
          </w:p>
          <w:p w14:paraId="05AF19E9">
            <w:pPr>
              <w:wordWrap w:val="0"/>
              <w:autoSpaceDE w:val="0"/>
              <w:autoSpaceDN w:val="0"/>
              <w:spacing w:before="0" w:after="0" w:line="240" w:lineRule="exact"/>
              <w:ind w:firstLine="600"/>
              <w:jc w:val="both"/>
              <w:rPr>
                <w:sz w:val="18"/>
                <w:szCs w:val="18"/>
              </w:rPr>
            </w:pPr>
            <w:r>
              <w:rPr>
                <w:rFonts w:hint="eastAsia" w:ascii="宋体" w:hAnsi="宋体" w:eastAsia="宋体"/>
                <w:color w:val="000000"/>
                <w:sz w:val="18"/>
                <w:szCs w:val="18"/>
              </w:rPr>
              <w:t>（五）工程内部整洁、无渗漏；</w:t>
            </w:r>
          </w:p>
          <w:p w14:paraId="1E3719F2">
            <w:pPr>
              <w:wordWrap w:val="0"/>
              <w:autoSpaceDE w:val="0"/>
              <w:autoSpaceDN w:val="0"/>
              <w:spacing w:before="0" w:after="0" w:line="246" w:lineRule="exact"/>
              <w:ind w:firstLine="600"/>
              <w:jc w:val="both"/>
              <w:rPr>
                <w:sz w:val="18"/>
                <w:szCs w:val="18"/>
              </w:rPr>
            </w:pPr>
            <w:r>
              <w:rPr>
                <w:rFonts w:hint="eastAsia" w:ascii="宋体" w:hAnsi="宋体" w:eastAsia="宋体"/>
                <w:color w:val="000000"/>
                <w:sz w:val="18"/>
                <w:szCs w:val="18"/>
              </w:rPr>
              <w:t>（六）工程内无私自改造或者私拉乱接现象；</w:t>
            </w:r>
          </w:p>
          <w:p w14:paraId="6F05CD76">
            <w:pPr>
              <w:wordWrap w:val="0"/>
              <w:autoSpaceDE w:val="0"/>
              <w:autoSpaceDN w:val="0"/>
              <w:spacing w:before="0" w:after="0" w:line="246" w:lineRule="exact"/>
              <w:ind w:firstLine="580"/>
              <w:jc w:val="both"/>
              <w:rPr>
                <w:sz w:val="18"/>
                <w:szCs w:val="18"/>
              </w:rPr>
            </w:pPr>
            <w:r>
              <w:rPr>
                <w:rFonts w:hint="eastAsia" w:ascii="宋体" w:hAnsi="宋体" w:eastAsia="宋体"/>
                <w:color w:val="000000"/>
                <w:sz w:val="18"/>
                <w:szCs w:val="18"/>
              </w:rPr>
              <w:t>（七）工程平战转换所需设备设施按照规定存储；</w:t>
            </w:r>
          </w:p>
          <w:p w14:paraId="4D92CB5B">
            <w:pPr>
              <w:wordWrap w:val="0"/>
              <w:autoSpaceDE w:val="0"/>
              <w:autoSpaceDN w:val="0"/>
              <w:spacing w:before="0" w:after="0" w:line="246" w:lineRule="exact"/>
              <w:ind w:firstLine="580"/>
              <w:jc w:val="both"/>
              <w:rPr>
                <w:sz w:val="18"/>
                <w:szCs w:val="18"/>
              </w:rPr>
            </w:pPr>
            <w:r>
              <w:rPr>
                <w:rFonts w:hint="eastAsia" w:ascii="宋体" w:hAnsi="宋体" w:eastAsia="宋体"/>
                <w:color w:val="000000"/>
                <w:sz w:val="18"/>
                <w:szCs w:val="18"/>
              </w:rPr>
              <w:t>（八）相关标识标注完整、整洁；</w:t>
            </w:r>
          </w:p>
          <w:p w14:paraId="6865556C">
            <w:pPr>
              <w:wordWrap w:val="0"/>
              <w:autoSpaceDE w:val="0"/>
              <w:autoSpaceDN w:val="0"/>
              <w:spacing w:before="0" w:after="0" w:line="246" w:lineRule="exact"/>
              <w:ind w:firstLine="580"/>
              <w:jc w:val="both"/>
              <w:rPr>
                <w:sz w:val="18"/>
                <w:szCs w:val="18"/>
              </w:rPr>
            </w:pPr>
            <w:r>
              <w:rPr>
                <w:rFonts w:hint="eastAsia" w:ascii="宋体" w:hAnsi="宋体" w:eastAsia="宋体"/>
                <w:color w:val="000000"/>
                <w:sz w:val="18"/>
                <w:szCs w:val="18"/>
              </w:rPr>
              <w:t>（九）国家和省规定的其他要求。</w:t>
            </w:r>
          </w:p>
          <w:p w14:paraId="26DBFE9D">
            <w:pPr>
              <w:wordWrap w:val="0"/>
              <w:autoSpaceDE w:val="0"/>
              <w:autoSpaceDN w:val="0"/>
              <w:spacing w:before="0" w:after="0" w:line="246" w:lineRule="exact"/>
              <w:ind w:left="100" w:right="60" w:firstLine="440"/>
              <w:jc w:val="both"/>
              <w:rPr>
                <w:sz w:val="18"/>
                <w:szCs w:val="18"/>
              </w:rPr>
            </w:pPr>
            <w:r>
              <w:rPr>
                <w:rFonts w:hint="eastAsia" w:ascii="宋体" w:hAnsi="宋体" w:eastAsia="宋体"/>
                <w:color w:val="000000"/>
                <w:sz w:val="18"/>
                <w:szCs w:val="18"/>
              </w:rPr>
              <w:t>第三十条 对未达到本规定第十二条要求或者违反第二十条规定的，由人防主管部门对当事人给予警告，并责令限期改正，可以对个人并处一千元以上五千元以下罚款，对单位并处一万元以上五万元以下罚款；造成损失的，应当依法赔偿损失。</w:t>
            </w:r>
          </w:p>
        </w:tc>
      </w:tr>
      <w:tr w14:paraId="5CD9C5D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163" w:type="dxa"/>
            <w:tcBorders>
              <w:top w:val="single" w:color="000000" w:sz="4" w:space="0"/>
              <w:left w:val="single" w:color="000000" w:sz="4" w:space="0"/>
              <w:bottom w:val="single" w:color="000000" w:sz="4" w:space="0"/>
              <w:right w:val="single" w:color="000000" w:sz="4" w:space="0"/>
            </w:tcBorders>
            <w:vAlign w:val="top"/>
          </w:tcPr>
          <w:p w14:paraId="730F9770">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处罚种类</w:t>
            </w:r>
          </w:p>
        </w:tc>
        <w:tc>
          <w:tcPr>
            <w:tcW w:w="12700" w:type="dxa"/>
            <w:gridSpan w:val="3"/>
            <w:tcBorders>
              <w:top w:val="single" w:color="000000" w:sz="4" w:space="0"/>
              <w:left w:val="single" w:color="000000" w:sz="4" w:space="0"/>
              <w:bottom w:val="single" w:color="000000" w:sz="4" w:space="0"/>
              <w:right w:val="single" w:color="000000" w:sz="4" w:space="0"/>
            </w:tcBorders>
            <w:vAlign w:val="top"/>
          </w:tcPr>
          <w:p w14:paraId="2E4CA9C1">
            <w:pPr>
              <w:wordWrap w:val="0"/>
              <w:autoSpaceDE w:val="0"/>
              <w:autoSpaceDN w:val="0"/>
              <w:spacing w:before="60" w:after="0" w:line="246" w:lineRule="exact"/>
              <w:ind w:firstLine="100"/>
              <w:jc w:val="both"/>
              <w:rPr>
                <w:sz w:val="18"/>
                <w:szCs w:val="18"/>
              </w:rPr>
            </w:pPr>
            <w:r>
              <w:rPr>
                <w:rFonts w:hint="eastAsia" w:ascii="宋体" w:hAnsi="宋体" w:eastAsia="宋体"/>
                <w:color w:val="000000"/>
                <w:sz w:val="18"/>
                <w:szCs w:val="18"/>
              </w:rPr>
              <w:t>警告、罚款</w:t>
            </w:r>
          </w:p>
        </w:tc>
      </w:tr>
      <w:tr w14:paraId="37E7960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0" w:hRule="atLeast"/>
        </w:trPr>
        <w:tc>
          <w:tcPr>
            <w:tcW w:w="13863" w:type="dxa"/>
            <w:gridSpan w:val="4"/>
            <w:tcBorders>
              <w:top w:val="single" w:color="000000" w:sz="4" w:space="0"/>
              <w:left w:val="single" w:color="000000" w:sz="4" w:space="0"/>
              <w:bottom w:val="single" w:color="000000" w:sz="4" w:space="0"/>
              <w:right w:val="single" w:color="000000" w:sz="4" w:space="0"/>
            </w:tcBorders>
            <w:vAlign w:val="top"/>
          </w:tcPr>
          <w:p w14:paraId="4210DCDB">
            <w:pPr>
              <w:wordWrap w:val="0"/>
              <w:autoSpaceDE w:val="0"/>
              <w:autoSpaceDN w:val="0"/>
              <w:spacing w:before="33" w:after="0" w:line="246" w:lineRule="exact"/>
              <w:jc w:val="center"/>
              <w:rPr>
                <w:sz w:val="18"/>
                <w:szCs w:val="18"/>
              </w:rPr>
            </w:pPr>
            <w:r>
              <w:rPr>
                <w:rFonts w:hint="eastAsia" w:ascii="宋体" w:hAnsi="宋体" w:eastAsia="宋体"/>
                <w:color w:val="000000"/>
                <w:sz w:val="18"/>
                <w:szCs w:val="18"/>
              </w:rPr>
              <w:t>自由裁量基准</w:t>
            </w:r>
          </w:p>
        </w:tc>
      </w:tr>
      <w:tr w14:paraId="22ABA33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60" w:hRule="atLeast"/>
        </w:trPr>
        <w:tc>
          <w:tcPr>
            <w:tcW w:w="1163" w:type="dxa"/>
            <w:vMerge w:val="restart"/>
            <w:tcBorders>
              <w:top w:val="single" w:color="000000" w:sz="4" w:space="0"/>
              <w:left w:val="single" w:color="000000" w:sz="4" w:space="0"/>
              <w:bottom w:val="single" w:color="000000" w:sz="4" w:space="0"/>
              <w:right w:val="single" w:color="000000" w:sz="4" w:space="0"/>
            </w:tcBorders>
            <w:vAlign w:val="top"/>
          </w:tcPr>
          <w:p w14:paraId="7BE00F2C">
            <w:pPr>
              <w:wordWrap w:val="0"/>
              <w:autoSpaceDE w:val="0"/>
              <w:autoSpaceDN w:val="0"/>
              <w:spacing w:before="0" w:after="0" w:line="246" w:lineRule="exact"/>
              <w:ind w:firstLine="0"/>
              <w:jc w:val="both"/>
              <w:rPr>
                <w:rFonts w:hint="eastAsia" w:ascii="宋体" w:hAnsi="宋体" w:eastAsia="宋体"/>
                <w:color w:val="000000"/>
                <w:sz w:val="18"/>
                <w:szCs w:val="18"/>
              </w:rPr>
            </w:pPr>
          </w:p>
          <w:p w14:paraId="112ECCF6">
            <w:pPr>
              <w:wordWrap w:val="0"/>
              <w:autoSpaceDE w:val="0"/>
              <w:autoSpaceDN w:val="0"/>
              <w:spacing w:before="0" w:after="0" w:line="246" w:lineRule="exact"/>
              <w:ind w:firstLine="0"/>
              <w:jc w:val="both"/>
              <w:rPr>
                <w:rFonts w:hint="eastAsia" w:ascii="宋体" w:hAnsi="宋体" w:eastAsia="宋体"/>
                <w:color w:val="000000"/>
                <w:sz w:val="18"/>
                <w:szCs w:val="18"/>
              </w:rPr>
            </w:pPr>
          </w:p>
          <w:p w14:paraId="226D882B">
            <w:pPr>
              <w:wordWrap w:val="0"/>
              <w:autoSpaceDE w:val="0"/>
              <w:autoSpaceDN w:val="0"/>
              <w:spacing w:before="0" w:after="0" w:line="246" w:lineRule="exact"/>
              <w:ind w:firstLine="0"/>
              <w:jc w:val="both"/>
              <w:rPr>
                <w:rFonts w:hint="eastAsia" w:ascii="宋体" w:hAnsi="宋体" w:eastAsia="宋体"/>
                <w:color w:val="000000"/>
                <w:sz w:val="18"/>
                <w:szCs w:val="18"/>
              </w:rPr>
            </w:pPr>
          </w:p>
          <w:p w14:paraId="02CF1DFA">
            <w:pPr>
              <w:wordWrap w:val="0"/>
              <w:autoSpaceDE w:val="0"/>
              <w:autoSpaceDN w:val="0"/>
              <w:spacing w:before="0" w:after="0" w:line="246" w:lineRule="exact"/>
              <w:ind w:firstLine="0"/>
              <w:jc w:val="both"/>
              <w:rPr>
                <w:rFonts w:hint="eastAsia" w:ascii="宋体" w:hAnsi="宋体" w:eastAsia="宋体"/>
                <w:color w:val="000000"/>
                <w:sz w:val="18"/>
                <w:szCs w:val="18"/>
              </w:rPr>
            </w:pPr>
          </w:p>
          <w:p w14:paraId="7B5F7B2B">
            <w:pPr>
              <w:wordWrap w:val="0"/>
              <w:autoSpaceDE w:val="0"/>
              <w:autoSpaceDN w:val="0"/>
              <w:spacing w:before="0" w:after="0" w:line="246" w:lineRule="exact"/>
              <w:ind w:firstLine="0"/>
              <w:jc w:val="both"/>
              <w:rPr>
                <w:rFonts w:hint="eastAsia" w:ascii="宋体" w:hAnsi="宋体" w:eastAsia="宋体"/>
                <w:color w:val="000000"/>
                <w:sz w:val="18"/>
                <w:szCs w:val="18"/>
              </w:rPr>
            </w:pPr>
          </w:p>
          <w:p w14:paraId="45A9D9CF">
            <w:pPr>
              <w:wordWrap w:val="0"/>
              <w:autoSpaceDE w:val="0"/>
              <w:autoSpaceDN w:val="0"/>
              <w:spacing w:before="0" w:after="0" w:line="246" w:lineRule="exact"/>
              <w:ind w:firstLine="0"/>
              <w:jc w:val="both"/>
              <w:rPr>
                <w:rFonts w:hint="eastAsia" w:ascii="宋体" w:hAnsi="宋体" w:eastAsia="宋体"/>
                <w:color w:val="000000"/>
                <w:sz w:val="18"/>
                <w:szCs w:val="18"/>
              </w:rPr>
            </w:pPr>
          </w:p>
          <w:p w14:paraId="705ED67A">
            <w:pPr>
              <w:wordWrap w:val="0"/>
              <w:autoSpaceDE w:val="0"/>
              <w:autoSpaceDN w:val="0"/>
              <w:spacing w:before="21" w:after="0" w:line="246" w:lineRule="exact"/>
              <w:jc w:val="center"/>
              <w:rPr>
                <w:sz w:val="18"/>
                <w:szCs w:val="18"/>
              </w:rPr>
            </w:pPr>
            <w:r>
              <w:rPr>
                <w:rFonts w:hint="eastAsia" w:ascii="宋体" w:hAnsi="宋体" w:eastAsia="宋体"/>
                <w:color w:val="000000"/>
                <w:sz w:val="18"/>
                <w:szCs w:val="18"/>
              </w:rPr>
              <w:t>情形描述</w:t>
            </w:r>
          </w:p>
        </w:tc>
        <w:tc>
          <w:tcPr>
            <w:tcW w:w="5938" w:type="dxa"/>
            <w:tcBorders>
              <w:top w:val="single" w:color="000000" w:sz="4" w:space="0"/>
              <w:left w:val="single" w:color="000000" w:sz="4" w:space="0"/>
              <w:bottom w:val="single" w:color="000000" w:sz="4" w:space="0"/>
              <w:right w:val="single" w:color="000000" w:sz="4" w:space="0"/>
            </w:tcBorders>
            <w:vAlign w:val="top"/>
          </w:tcPr>
          <w:p w14:paraId="110222B3">
            <w:pPr>
              <w:wordWrap w:val="0"/>
              <w:autoSpaceDE w:val="0"/>
              <w:autoSpaceDN w:val="0"/>
              <w:spacing w:before="40" w:after="0" w:line="246" w:lineRule="exact"/>
              <w:ind w:left="120" w:firstLine="0"/>
              <w:jc w:val="both"/>
              <w:rPr>
                <w:sz w:val="18"/>
                <w:szCs w:val="18"/>
              </w:rPr>
            </w:pPr>
            <w:r>
              <w:rPr>
                <w:rFonts w:hint="eastAsia" w:ascii="宋体" w:hAnsi="宋体" w:eastAsia="宋体"/>
                <w:color w:val="000000"/>
                <w:sz w:val="18"/>
                <w:szCs w:val="18"/>
              </w:rPr>
              <w:t>人防工程出现</w:t>
            </w:r>
            <w:r>
              <w:rPr>
                <w:rFonts w:hint="eastAsia" w:ascii="Calibri" w:hAnsi="Calibri" w:eastAsia="Calibri"/>
                <w:color w:val="000000"/>
                <w:sz w:val="18"/>
                <w:szCs w:val="18"/>
              </w:rPr>
              <w:t>2</w:t>
            </w:r>
            <w:r>
              <w:rPr>
                <w:rFonts w:hint="eastAsia" w:ascii="宋体" w:hAnsi="宋体" w:eastAsia="宋体"/>
                <w:color w:val="000000"/>
                <w:sz w:val="18"/>
                <w:szCs w:val="18"/>
              </w:rPr>
              <w:t>处以下的渗漏水现象，初次违法且责令限期修复后及时修复后不影响防护效能的</w:t>
            </w:r>
          </w:p>
        </w:tc>
        <w:tc>
          <w:tcPr>
            <w:tcW w:w="1080" w:type="dxa"/>
            <w:vMerge w:val="restart"/>
            <w:tcBorders>
              <w:top w:val="single" w:color="000000" w:sz="4" w:space="0"/>
              <w:left w:val="single" w:color="000000" w:sz="4" w:space="0"/>
              <w:bottom w:val="single" w:color="000000" w:sz="4" w:space="0"/>
              <w:right w:val="single" w:color="000000" w:sz="4" w:space="0"/>
            </w:tcBorders>
            <w:vAlign w:val="top"/>
          </w:tcPr>
          <w:p w14:paraId="344FB5CF">
            <w:pPr>
              <w:wordWrap w:val="0"/>
              <w:autoSpaceDE w:val="0"/>
              <w:autoSpaceDN w:val="0"/>
              <w:spacing w:before="0" w:after="0" w:line="246" w:lineRule="exact"/>
              <w:ind w:firstLine="0"/>
              <w:jc w:val="both"/>
              <w:rPr>
                <w:rFonts w:hint="eastAsia" w:ascii="宋体" w:hAnsi="宋体" w:eastAsia="宋体"/>
                <w:color w:val="000000"/>
                <w:sz w:val="18"/>
                <w:szCs w:val="18"/>
              </w:rPr>
            </w:pPr>
          </w:p>
          <w:p w14:paraId="69AF19A8">
            <w:pPr>
              <w:wordWrap w:val="0"/>
              <w:autoSpaceDE w:val="0"/>
              <w:autoSpaceDN w:val="0"/>
              <w:spacing w:before="0" w:after="0" w:line="246" w:lineRule="exact"/>
              <w:ind w:firstLine="0"/>
              <w:jc w:val="both"/>
              <w:rPr>
                <w:rFonts w:hint="eastAsia" w:ascii="宋体" w:hAnsi="宋体" w:eastAsia="宋体"/>
                <w:color w:val="000000"/>
                <w:sz w:val="18"/>
                <w:szCs w:val="18"/>
              </w:rPr>
            </w:pPr>
          </w:p>
          <w:p w14:paraId="63DF61B4">
            <w:pPr>
              <w:wordWrap w:val="0"/>
              <w:autoSpaceDE w:val="0"/>
              <w:autoSpaceDN w:val="0"/>
              <w:spacing w:before="0" w:after="0" w:line="246" w:lineRule="exact"/>
              <w:ind w:firstLine="0"/>
              <w:jc w:val="both"/>
              <w:rPr>
                <w:rFonts w:hint="eastAsia" w:ascii="宋体" w:hAnsi="宋体" w:eastAsia="宋体"/>
                <w:color w:val="000000"/>
                <w:sz w:val="18"/>
                <w:szCs w:val="18"/>
              </w:rPr>
            </w:pPr>
          </w:p>
          <w:p w14:paraId="7BABEA28">
            <w:pPr>
              <w:wordWrap w:val="0"/>
              <w:autoSpaceDE w:val="0"/>
              <w:autoSpaceDN w:val="0"/>
              <w:spacing w:before="0" w:after="0" w:line="246" w:lineRule="exact"/>
              <w:ind w:firstLine="0"/>
              <w:jc w:val="both"/>
              <w:rPr>
                <w:rFonts w:hint="eastAsia" w:ascii="宋体" w:hAnsi="宋体" w:eastAsia="宋体"/>
                <w:color w:val="000000"/>
                <w:sz w:val="18"/>
                <w:szCs w:val="18"/>
              </w:rPr>
            </w:pPr>
          </w:p>
          <w:p w14:paraId="0EBFE8C2">
            <w:pPr>
              <w:wordWrap w:val="0"/>
              <w:autoSpaceDE w:val="0"/>
              <w:autoSpaceDN w:val="0"/>
              <w:spacing w:before="0" w:after="0" w:line="246" w:lineRule="exact"/>
              <w:ind w:firstLine="0"/>
              <w:jc w:val="both"/>
              <w:rPr>
                <w:rFonts w:hint="eastAsia" w:ascii="宋体" w:hAnsi="宋体" w:eastAsia="宋体"/>
                <w:color w:val="000000"/>
                <w:sz w:val="18"/>
                <w:szCs w:val="18"/>
              </w:rPr>
            </w:pPr>
          </w:p>
          <w:p w14:paraId="7CD101F2">
            <w:pPr>
              <w:wordWrap w:val="0"/>
              <w:autoSpaceDE w:val="0"/>
              <w:autoSpaceDN w:val="0"/>
              <w:spacing w:before="0" w:after="0" w:line="246" w:lineRule="exact"/>
              <w:ind w:firstLine="0"/>
              <w:jc w:val="both"/>
              <w:rPr>
                <w:rFonts w:hint="eastAsia" w:ascii="宋体" w:hAnsi="宋体" w:eastAsia="宋体"/>
                <w:color w:val="000000"/>
                <w:sz w:val="18"/>
                <w:szCs w:val="18"/>
              </w:rPr>
            </w:pPr>
          </w:p>
          <w:p w14:paraId="302660DC">
            <w:pPr>
              <w:wordWrap w:val="0"/>
              <w:autoSpaceDE w:val="0"/>
              <w:autoSpaceDN w:val="0"/>
              <w:spacing w:before="1" w:after="0" w:line="246" w:lineRule="exact"/>
              <w:ind w:firstLine="140"/>
              <w:jc w:val="both"/>
              <w:rPr>
                <w:sz w:val="18"/>
                <w:szCs w:val="18"/>
              </w:rPr>
            </w:pPr>
            <w:r>
              <w:rPr>
                <w:rFonts w:hint="eastAsia" w:ascii="宋体" w:hAnsi="宋体" w:eastAsia="宋体"/>
                <w:color w:val="000000"/>
                <w:sz w:val="18"/>
                <w:szCs w:val="18"/>
              </w:rPr>
              <w:t>裁量幅度</w:t>
            </w:r>
          </w:p>
        </w:tc>
        <w:tc>
          <w:tcPr>
            <w:tcW w:w="5682" w:type="dxa"/>
            <w:tcBorders>
              <w:top w:val="single" w:color="000000" w:sz="4" w:space="0"/>
              <w:left w:val="single" w:color="000000" w:sz="4" w:space="0"/>
              <w:bottom w:val="single" w:color="000000" w:sz="4" w:space="0"/>
              <w:right w:val="single" w:color="000000" w:sz="4" w:space="0"/>
            </w:tcBorders>
            <w:vAlign w:val="top"/>
          </w:tcPr>
          <w:p w14:paraId="4D77B98D">
            <w:pPr>
              <w:wordWrap w:val="0"/>
              <w:autoSpaceDE w:val="0"/>
              <w:autoSpaceDN w:val="0"/>
              <w:spacing w:before="180" w:after="0" w:line="246" w:lineRule="exact"/>
              <w:ind w:firstLine="120"/>
              <w:jc w:val="both"/>
              <w:rPr>
                <w:sz w:val="18"/>
                <w:szCs w:val="18"/>
              </w:rPr>
            </w:pPr>
            <w:r>
              <w:rPr>
                <w:rFonts w:hint="eastAsia" w:ascii="宋体" w:hAnsi="宋体" w:eastAsia="宋体"/>
                <w:color w:val="000000"/>
                <w:sz w:val="18"/>
                <w:szCs w:val="18"/>
              </w:rPr>
              <w:t>不予处罚</w:t>
            </w:r>
          </w:p>
        </w:tc>
      </w:tr>
      <w:tr w14:paraId="3BAFD03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20" w:hRule="atLeast"/>
        </w:trPr>
        <w:tc>
          <w:tcPr>
            <w:tcW w:w="1163" w:type="dxa"/>
            <w:vMerge w:val="continue"/>
            <w:tcBorders>
              <w:top w:val="single" w:color="000000" w:sz="4" w:space="0"/>
              <w:left w:val="single" w:color="000000" w:sz="4" w:space="0"/>
              <w:bottom w:val="single" w:color="000000" w:sz="4" w:space="0"/>
              <w:right w:val="single" w:color="000000" w:sz="4" w:space="0"/>
            </w:tcBorders>
          </w:tcPr>
          <w:p w14:paraId="0D97F86C">
            <w:pPr>
              <w:rPr>
                <w:sz w:val="18"/>
                <w:szCs w:val="18"/>
              </w:rPr>
            </w:pPr>
          </w:p>
        </w:tc>
        <w:tc>
          <w:tcPr>
            <w:tcW w:w="5938" w:type="dxa"/>
            <w:tcBorders>
              <w:top w:val="single" w:color="000000" w:sz="4" w:space="0"/>
              <w:left w:val="single" w:color="000000" w:sz="4" w:space="0"/>
              <w:bottom w:val="single" w:color="000000" w:sz="4" w:space="0"/>
              <w:right w:val="single" w:color="000000" w:sz="4" w:space="0"/>
            </w:tcBorders>
            <w:vAlign w:val="top"/>
          </w:tcPr>
          <w:p w14:paraId="7D4C2BEE">
            <w:pPr>
              <w:wordWrap w:val="0"/>
              <w:autoSpaceDE w:val="0"/>
              <w:autoSpaceDN w:val="0"/>
              <w:spacing w:before="0" w:after="0" w:line="246" w:lineRule="exact"/>
              <w:ind w:firstLine="18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）工程内部不整洁</w:t>
            </w:r>
          </w:p>
          <w:p w14:paraId="387F1267">
            <w:pPr>
              <w:wordWrap w:val="0"/>
              <w:autoSpaceDE w:val="0"/>
              <w:autoSpaceDN w:val="0"/>
              <w:spacing w:before="0" w:after="0" w:line="220"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）相关标识标注不完整、不整洁</w:t>
            </w:r>
          </w:p>
        </w:tc>
        <w:tc>
          <w:tcPr>
            <w:tcW w:w="1080" w:type="dxa"/>
            <w:vMerge w:val="continue"/>
            <w:tcBorders>
              <w:top w:val="single" w:color="000000" w:sz="4" w:space="0"/>
              <w:left w:val="single" w:color="000000" w:sz="4" w:space="0"/>
              <w:bottom w:val="single" w:color="000000" w:sz="4" w:space="0"/>
              <w:right w:val="single" w:color="000000" w:sz="4" w:space="0"/>
            </w:tcBorders>
          </w:tcPr>
          <w:p w14:paraId="730B4EC5">
            <w:pPr>
              <w:rPr>
                <w:sz w:val="18"/>
                <w:szCs w:val="18"/>
              </w:rPr>
            </w:pPr>
          </w:p>
        </w:tc>
        <w:tc>
          <w:tcPr>
            <w:tcW w:w="5682" w:type="dxa"/>
            <w:tcBorders>
              <w:top w:val="single" w:color="000000" w:sz="4" w:space="0"/>
              <w:left w:val="single" w:color="000000" w:sz="4" w:space="0"/>
              <w:bottom w:val="single" w:color="000000" w:sz="4" w:space="0"/>
              <w:right w:val="single" w:color="000000" w:sz="4" w:space="0"/>
            </w:tcBorders>
            <w:vAlign w:val="top"/>
          </w:tcPr>
          <w:p w14:paraId="45821918">
            <w:pPr>
              <w:wordWrap w:val="0"/>
              <w:autoSpaceDE w:val="0"/>
              <w:autoSpaceDN w:val="0"/>
              <w:spacing w:before="120" w:after="0" w:line="246" w:lineRule="exact"/>
              <w:ind w:firstLine="120"/>
              <w:jc w:val="both"/>
              <w:rPr>
                <w:sz w:val="18"/>
                <w:szCs w:val="18"/>
              </w:rPr>
            </w:pPr>
            <w:r>
              <w:rPr>
                <w:rFonts w:hint="eastAsia" w:ascii="宋体" w:hAnsi="宋体" w:eastAsia="宋体"/>
                <w:color w:val="000000"/>
                <w:sz w:val="18"/>
                <w:szCs w:val="18"/>
              </w:rPr>
              <w:t>警告并责令限期整改</w:t>
            </w:r>
          </w:p>
        </w:tc>
      </w:tr>
      <w:tr w14:paraId="7FDBF95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780" w:hRule="atLeast"/>
        </w:trPr>
        <w:tc>
          <w:tcPr>
            <w:tcW w:w="1163" w:type="dxa"/>
            <w:vMerge w:val="continue"/>
            <w:tcBorders>
              <w:top w:val="single" w:color="000000" w:sz="4" w:space="0"/>
              <w:left w:val="single" w:color="000000" w:sz="4" w:space="0"/>
              <w:bottom w:val="single" w:color="000000" w:sz="4" w:space="0"/>
              <w:right w:val="single" w:color="000000" w:sz="4" w:space="0"/>
            </w:tcBorders>
          </w:tcPr>
          <w:p w14:paraId="548F0C0A">
            <w:pPr>
              <w:rPr>
                <w:sz w:val="18"/>
                <w:szCs w:val="18"/>
              </w:rPr>
            </w:pPr>
          </w:p>
        </w:tc>
        <w:tc>
          <w:tcPr>
            <w:tcW w:w="5938" w:type="dxa"/>
            <w:tcBorders>
              <w:top w:val="single" w:color="000000" w:sz="4" w:space="0"/>
              <w:left w:val="single" w:color="000000" w:sz="4" w:space="0"/>
              <w:bottom w:val="single" w:color="000000" w:sz="4" w:space="0"/>
              <w:right w:val="single" w:color="000000" w:sz="4" w:space="0"/>
            </w:tcBorders>
            <w:vAlign w:val="top"/>
          </w:tcPr>
          <w:p w14:paraId="05BC6AB7">
            <w:pPr>
              <w:wordWrap w:val="0"/>
              <w:autoSpaceDE w:val="0"/>
              <w:autoSpaceDN w:val="0"/>
              <w:spacing w:before="0" w:after="0" w:line="246"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）金属构件出现局部锈蚀损坏</w:t>
            </w:r>
          </w:p>
          <w:p w14:paraId="316ED9BC">
            <w:pPr>
              <w:wordWrap w:val="0"/>
              <w:autoSpaceDE w:val="0"/>
              <w:autoSpaceDN w:val="0"/>
              <w:spacing w:before="0" w:after="0" w:line="246"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）地面附属设施不完好</w:t>
            </w:r>
          </w:p>
          <w:p w14:paraId="484F7BBD">
            <w:pPr>
              <w:wordWrap w:val="0"/>
              <w:autoSpaceDE w:val="0"/>
              <w:autoSpaceDN w:val="0"/>
              <w:spacing w:before="0" w:after="0" w:line="220" w:lineRule="exact"/>
              <w:ind w:firstLine="18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）工程内部出现</w:t>
            </w:r>
            <w:r>
              <w:rPr>
                <w:rFonts w:hint="eastAsia" w:ascii="Calibri" w:hAnsi="Calibri" w:eastAsia="Calibri"/>
                <w:color w:val="000000"/>
                <w:sz w:val="18"/>
                <w:szCs w:val="18"/>
              </w:rPr>
              <w:t>2</w:t>
            </w:r>
            <w:r>
              <w:rPr>
                <w:rFonts w:hint="eastAsia" w:ascii="宋体" w:hAnsi="宋体" w:eastAsia="宋体"/>
                <w:color w:val="000000"/>
                <w:sz w:val="18"/>
                <w:szCs w:val="18"/>
              </w:rPr>
              <w:t>处以下渗漏水</w:t>
            </w:r>
          </w:p>
        </w:tc>
        <w:tc>
          <w:tcPr>
            <w:tcW w:w="1080" w:type="dxa"/>
            <w:vMerge w:val="continue"/>
            <w:tcBorders>
              <w:top w:val="single" w:color="000000" w:sz="4" w:space="0"/>
              <w:left w:val="single" w:color="000000" w:sz="4" w:space="0"/>
              <w:bottom w:val="single" w:color="000000" w:sz="4" w:space="0"/>
              <w:right w:val="single" w:color="000000" w:sz="4" w:space="0"/>
            </w:tcBorders>
          </w:tcPr>
          <w:p w14:paraId="7B2C58B9">
            <w:pPr>
              <w:rPr>
                <w:sz w:val="18"/>
                <w:szCs w:val="18"/>
              </w:rPr>
            </w:pPr>
          </w:p>
        </w:tc>
        <w:tc>
          <w:tcPr>
            <w:tcW w:w="5682" w:type="dxa"/>
            <w:tcBorders>
              <w:top w:val="single" w:color="000000" w:sz="4" w:space="0"/>
              <w:left w:val="single" w:color="000000" w:sz="4" w:space="0"/>
              <w:bottom w:val="single" w:color="000000" w:sz="4" w:space="0"/>
              <w:right w:val="single" w:color="000000" w:sz="4" w:space="0"/>
            </w:tcBorders>
            <w:vAlign w:val="top"/>
          </w:tcPr>
          <w:p w14:paraId="6890B2E5">
            <w:pPr>
              <w:wordWrap w:val="0"/>
              <w:autoSpaceDE w:val="0"/>
              <w:autoSpaceDN w:val="0"/>
              <w:spacing w:before="140" w:after="0" w:line="246" w:lineRule="exact"/>
              <w:ind w:left="120" w:right="4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1000</w:t>
            </w:r>
            <w:r>
              <w:rPr>
                <w:rFonts w:hint="eastAsia" w:ascii="宋体" w:hAnsi="宋体" w:eastAsia="宋体"/>
                <w:color w:val="000000"/>
                <w:sz w:val="18"/>
                <w:szCs w:val="18"/>
              </w:rPr>
              <w:t>元以上</w:t>
            </w:r>
            <w:r>
              <w:rPr>
                <w:rFonts w:hint="eastAsia" w:ascii="Calibri" w:hAnsi="Calibri" w:eastAsia="Calibri"/>
                <w:color w:val="000000"/>
                <w:sz w:val="18"/>
                <w:szCs w:val="18"/>
              </w:rPr>
              <w:t>2000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r w14:paraId="0667F84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300" w:hRule="atLeast"/>
        </w:trPr>
        <w:tc>
          <w:tcPr>
            <w:tcW w:w="1163" w:type="dxa"/>
            <w:vMerge w:val="continue"/>
            <w:tcBorders>
              <w:top w:val="single" w:color="000000" w:sz="4" w:space="0"/>
              <w:left w:val="single" w:color="000000" w:sz="4" w:space="0"/>
              <w:bottom w:val="single" w:color="000000" w:sz="4" w:space="0"/>
              <w:right w:val="single" w:color="000000" w:sz="4" w:space="0"/>
            </w:tcBorders>
          </w:tcPr>
          <w:p w14:paraId="16EBD5F1">
            <w:pPr>
              <w:rPr>
                <w:sz w:val="18"/>
                <w:szCs w:val="18"/>
              </w:rPr>
            </w:pPr>
          </w:p>
        </w:tc>
        <w:tc>
          <w:tcPr>
            <w:tcW w:w="5938" w:type="dxa"/>
            <w:tcBorders>
              <w:top w:val="single" w:color="000000" w:sz="4" w:space="0"/>
              <w:left w:val="single" w:color="000000" w:sz="4" w:space="0"/>
              <w:bottom w:val="single" w:color="000000" w:sz="4" w:space="0"/>
              <w:right w:val="single" w:color="000000" w:sz="4" w:space="0"/>
            </w:tcBorders>
            <w:vAlign w:val="top"/>
          </w:tcPr>
          <w:p w14:paraId="40D30F43">
            <w:pPr>
              <w:wordWrap w:val="0"/>
              <w:autoSpaceDE w:val="0"/>
              <w:autoSpaceDN w:val="0"/>
              <w:spacing w:before="0" w:after="0" w:line="246" w:lineRule="exact"/>
              <w:ind w:firstLine="18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）金属构件出现大面积锈蚀损坏</w:t>
            </w:r>
          </w:p>
          <w:p w14:paraId="3F19A256">
            <w:pPr>
              <w:wordWrap w:val="0"/>
              <w:autoSpaceDE w:val="0"/>
              <w:autoSpaceDN w:val="0"/>
              <w:spacing w:before="0" w:after="0" w:line="246"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）工程口部不畅通，防汛设施不完好</w:t>
            </w:r>
          </w:p>
          <w:p w14:paraId="0267238B">
            <w:pPr>
              <w:wordWrap w:val="0"/>
              <w:autoSpaceDE w:val="0"/>
              <w:autoSpaceDN w:val="0"/>
              <w:spacing w:before="0" w:after="0" w:line="246"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）工程内部出现</w:t>
            </w:r>
            <w:r>
              <w:rPr>
                <w:rFonts w:hint="eastAsia" w:ascii="Calibri" w:hAnsi="Calibri" w:eastAsia="Calibri"/>
                <w:color w:val="000000"/>
                <w:sz w:val="18"/>
                <w:szCs w:val="18"/>
              </w:rPr>
              <w:t>2</w:t>
            </w:r>
            <w:r>
              <w:rPr>
                <w:rFonts w:hint="eastAsia" w:ascii="宋体" w:hAnsi="宋体" w:eastAsia="宋体"/>
                <w:color w:val="000000"/>
                <w:sz w:val="18"/>
                <w:szCs w:val="18"/>
              </w:rPr>
              <w:t>处以上</w:t>
            </w:r>
            <w:r>
              <w:rPr>
                <w:rFonts w:hint="eastAsia" w:ascii="Calibri" w:hAnsi="Calibri" w:eastAsia="Calibri"/>
                <w:color w:val="000000"/>
                <w:sz w:val="18"/>
                <w:szCs w:val="18"/>
              </w:rPr>
              <w:t>5</w:t>
            </w:r>
            <w:r>
              <w:rPr>
                <w:rFonts w:hint="eastAsia" w:ascii="宋体" w:hAnsi="宋体" w:eastAsia="宋体"/>
                <w:color w:val="000000"/>
                <w:sz w:val="18"/>
                <w:szCs w:val="18"/>
              </w:rPr>
              <w:t>处以下渗漏水</w:t>
            </w:r>
          </w:p>
          <w:p w14:paraId="39D54AC2">
            <w:pPr>
              <w:wordWrap w:val="0"/>
              <w:autoSpaceDE w:val="0"/>
              <w:autoSpaceDN w:val="0"/>
              <w:spacing w:before="0" w:after="0" w:line="246" w:lineRule="exact"/>
              <w:ind w:firstLine="1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4</w:t>
            </w:r>
            <w:r>
              <w:rPr>
                <w:rFonts w:hint="eastAsia" w:ascii="宋体" w:hAnsi="宋体" w:eastAsia="宋体"/>
                <w:color w:val="000000"/>
                <w:sz w:val="18"/>
                <w:szCs w:val="18"/>
              </w:rPr>
              <w:t>）工程内有私自改造或者私拉乱接现象</w:t>
            </w:r>
          </w:p>
          <w:p w14:paraId="2C4BE41E">
            <w:pPr>
              <w:wordWrap w:val="0"/>
              <w:autoSpaceDE w:val="0"/>
              <w:autoSpaceDN w:val="0"/>
              <w:spacing w:before="0" w:after="0" w:line="240" w:lineRule="exact"/>
              <w:ind w:firstLine="1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）工程平战转换所需设备设施未按照规定存储</w:t>
            </w:r>
          </w:p>
        </w:tc>
        <w:tc>
          <w:tcPr>
            <w:tcW w:w="1080" w:type="dxa"/>
            <w:vMerge w:val="continue"/>
            <w:tcBorders>
              <w:top w:val="single" w:color="000000" w:sz="4" w:space="0"/>
              <w:left w:val="single" w:color="000000" w:sz="4" w:space="0"/>
              <w:bottom w:val="single" w:color="000000" w:sz="4" w:space="0"/>
              <w:right w:val="single" w:color="000000" w:sz="4" w:space="0"/>
            </w:tcBorders>
          </w:tcPr>
          <w:p w14:paraId="37FC5DDF">
            <w:pPr>
              <w:rPr>
                <w:sz w:val="18"/>
                <w:szCs w:val="18"/>
              </w:rPr>
            </w:pPr>
          </w:p>
        </w:tc>
        <w:tc>
          <w:tcPr>
            <w:tcW w:w="5682" w:type="dxa"/>
            <w:tcBorders>
              <w:top w:val="single" w:color="000000" w:sz="4" w:space="0"/>
              <w:left w:val="single" w:color="000000" w:sz="4" w:space="0"/>
              <w:bottom w:val="single" w:color="000000" w:sz="4" w:space="0"/>
              <w:right w:val="single" w:color="000000" w:sz="4" w:space="0"/>
            </w:tcBorders>
            <w:vAlign w:val="top"/>
          </w:tcPr>
          <w:p w14:paraId="5CB88C14">
            <w:pPr>
              <w:wordWrap w:val="0"/>
              <w:autoSpaceDE w:val="0"/>
              <w:autoSpaceDN w:val="0"/>
              <w:spacing w:before="0" w:after="0" w:line="246" w:lineRule="exact"/>
              <w:ind w:firstLine="0"/>
              <w:jc w:val="both"/>
              <w:rPr>
                <w:rFonts w:hint="eastAsia" w:ascii="宋体" w:hAnsi="宋体" w:eastAsia="宋体"/>
                <w:color w:val="000000"/>
                <w:sz w:val="18"/>
                <w:szCs w:val="18"/>
              </w:rPr>
            </w:pPr>
          </w:p>
          <w:p w14:paraId="32447BC7">
            <w:pPr>
              <w:wordWrap w:val="0"/>
              <w:autoSpaceDE w:val="0"/>
              <w:autoSpaceDN w:val="0"/>
              <w:spacing w:before="153" w:after="0" w:line="246" w:lineRule="exact"/>
              <w:ind w:left="100" w:right="60" w:firstLine="2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2000</w:t>
            </w:r>
            <w:r>
              <w:rPr>
                <w:rFonts w:hint="eastAsia" w:ascii="宋体" w:hAnsi="宋体" w:eastAsia="宋体"/>
                <w:color w:val="000000"/>
                <w:sz w:val="18"/>
                <w:szCs w:val="18"/>
              </w:rPr>
              <w:t>元以上</w:t>
            </w:r>
            <w:r>
              <w:rPr>
                <w:rFonts w:hint="eastAsia" w:ascii="Calibri" w:hAnsi="Calibri" w:eastAsia="Calibri"/>
                <w:color w:val="000000"/>
                <w:sz w:val="18"/>
                <w:szCs w:val="18"/>
              </w:rPr>
              <w:t>4000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4</w:t>
            </w:r>
            <w:r>
              <w:rPr>
                <w:rFonts w:hint="eastAsia" w:ascii="宋体" w:hAnsi="宋体" w:eastAsia="宋体"/>
                <w:color w:val="000000"/>
                <w:sz w:val="18"/>
                <w:szCs w:val="18"/>
              </w:rPr>
              <w:t>万元以下罚款</w:t>
            </w:r>
          </w:p>
        </w:tc>
      </w:tr>
      <w:tr w14:paraId="29D662E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300" w:hRule="atLeast"/>
        </w:trPr>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46A2">
            <w:pPr>
              <w:wordWrap w:val="0"/>
              <w:autoSpaceDE w:val="0"/>
              <w:autoSpaceDN w:val="0"/>
              <w:spacing w:before="0" w:after="0" w:line="246" w:lineRule="exact"/>
              <w:ind w:firstLine="0"/>
              <w:jc w:val="center"/>
              <w:rPr>
                <w:rFonts w:hint="eastAsia" w:ascii="宋体" w:hAnsi="宋体" w:eastAsia="宋体"/>
                <w:color w:val="000000"/>
                <w:sz w:val="18"/>
                <w:szCs w:val="18"/>
                <w:lang w:val="en-US" w:eastAsia="zh-CN"/>
              </w:rPr>
            </w:pPr>
            <w:r>
              <w:rPr>
                <w:rFonts w:hint="eastAsia" w:ascii="宋体" w:hAnsi="宋体" w:eastAsia="宋体"/>
                <w:color w:val="000000"/>
                <w:sz w:val="18"/>
                <w:szCs w:val="18"/>
              </w:rPr>
              <w:t>情形描述</w:t>
            </w:r>
          </w:p>
        </w:tc>
        <w:tc>
          <w:tcPr>
            <w:tcW w:w="5938" w:type="dxa"/>
            <w:tcBorders>
              <w:top w:val="single" w:color="000000" w:sz="4" w:space="0"/>
              <w:left w:val="single" w:color="000000" w:sz="4" w:space="0"/>
              <w:bottom w:val="single" w:color="000000" w:sz="4" w:space="0"/>
              <w:right w:val="single" w:color="000000" w:sz="4" w:space="0"/>
            </w:tcBorders>
            <w:shd w:val="clear" w:color="auto" w:fill="auto"/>
            <w:vAlign w:val="top"/>
          </w:tcPr>
          <w:p w14:paraId="3F7D1CD8">
            <w:pPr>
              <w:wordWrap w:val="0"/>
              <w:autoSpaceDE w:val="0"/>
              <w:autoSpaceDN w:val="0"/>
              <w:spacing w:before="0" w:after="0" w:line="246" w:lineRule="exact"/>
              <w:ind w:firstLine="0"/>
              <w:jc w:val="both"/>
              <w:rPr>
                <w:rFonts w:hint="eastAsia" w:ascii="宋体" w:hAnsi="宋体" w:eastAsia="宋体"/>
                <w:color w:val="000000"/>
                <w:sz w:val="18"/>
                <w:szCs w:val="18"/>
              </w:rPr>
            </w:pPr>
            <w:r>
              <w:rPr>
                <w:rFonts w:hint="eastAsia" w:ascii="宋体" w:hAnsi="宋体" w:eastAsia="宋体"/>
                <w:color w:val="000000"/>
                <w:sz w:val="18"/>
                <w:szCs w:val="18"/>
              </w:rPr>
              <w:t>（1）工程结构不完好</w:t>
            </w:r>
          </w:p>
          <w:p w14:paraId="14897F58">
            <w:pPr>
              <w:wordWrap w:val="0"/>
              <w:autoSpaceDE w:val="0"/>
              <w:autoSpaceDN w:val="0"/>
              <w:spacing w:before="0" w:after="0" w:line="246" w:lineRule="exact"/>
              <w:ind w:firstLine="0"/>
              <w:jc w:val="both"/>
              <w:rPr>
                <w:rFonts w:hint="eastAsia" w:ascii="宋体" w:hAnsi="宋体" w:eastAsia="宋体"/>
                <w:color w:val="000000"/>
                <w:sz w:val="18"/>
                <w:szCs w:val="18"/>
              </w:rPr>
            </w:pPr>
            <w:r>
              <w:rPr>
                <w:rFonts w:hint="eastAsia" w:ascii="宋体" w:hAnsi="宋体" w:eastAsia="宋体"/>
                <w:color w:val="000000"/>
                <w:sz w:val="18"/>
                <w:szCs w:val="18"/>
              </w:rPr>
              <w:t>（2）人防专用设备设施性能不完好</w:t>
            </w:r>
          </w:p>
          <w:p w14:paraId="6F0AB6C4">
            <w:pPr>
              <w:wordWrap w:val="0"/>
              <w:autoSpaceDE w:val="0"/>
              <w:autoSpaceDN w:val="0"/>
              <w:spacing w:before="0" w:after="0" w:line="246" w:lineRule="exact"/>
              <w:ind w:firstLine="0"/>
              <w:jc w:val="both"/>
              <w:rPr>
                <w:rFonts w:hint="eastAsia" w:ascii="宋体" w:hAnsi="宋体" w:eastAsia="宋体"/>
                <w:color w:val="000000"/>
                <w:sz w:val="18"/>
                <w:szCs w:val="18"/>
              </w:rPr>
            </w:pPr>
            <w:r>
              <w:rPr>
                <w:rFonts w:hint="eastAsia" w:ascii="宋体" w:hAnsi="宋体" w:eastAsia="宋体"/>
                <w:color w:val="000000"/>
                <w:sz w:val="18"/>
                <w:szCs w:val="18"/>
              </w:rPr>
              <w:t>（3）金属构件损害严重，出现丢失现象</w:t>
            </w:r>
          </w:p>
          <w:p w14:paraId="6680AD1B">
            <w:pPr>
              <w:wordWrap w:val="0"/>
              <w:autoSpaceDE w:val="0"/>
              <w:autoSpaceDN w:val="0"/>
              <w:spacing w:before="0" w:after="0" w:line="246" w:lineRule="exact"/>
              <w:ind w:firstLine="0"/>
              <w:jc w:val="both"/>
              <w:rPr>
                <w:rFonts w:hint="eastAsia" w:ascii="宋体" w:hAnsi="宋体" w:eastAsia="宋体"/>
                <w:color w:val="000000"/>
                <w:sz w:val="18"/>
                <w:szCs w:val="18"/>
              </w:rPr>
            </w:pPr>
            <w:r>
              <w:rPr>
                <w:rFonts w:hint="eastAsia" w:ascii="宋体" w:hAnsi="宋体" w:eastAsia="宋体"/>
                <w:color w:val="000000"/>
                <w:sz w:val="18"/>
                <w:szCs w:val="18"/>
              </w:rPr>
              <w:t>（4）工程的消防设施，风、水、电、信息等系统工作不正常</w:t>
            </w:r>
          </w:p>
          <w:p w14:paraId="3585B517">
            <w:pPr>
              <w:wordWrap w:val="0"/>
              <w:autoSpaceDE w:val="0"/>
              <w:autoSpaceDN w:val="0"/>
              <w:spacing w:before="0" w:after="0" w:line="246" w:lineRule="exact"/>
              <w:ind w:firstLine="0"/>
              <w:jc w:val="both"/>
              <w:rPr>
                <w:rFonts w:hint="eastAsia" w:ascii="宋体" w:hAnsi="宋体" w:eastAsia="宋体"/>
                <w:color w:val="000000"/>
                <w:sz w:val="18"/>
                <w:szCs w:val="18"/>
                <w:lang w:val="en-US" w:eastAsia="zh-CN"/>
              </w:rPr>
            </w:pPr>
            <w:r>
              <w:rPr>
                <w:rFonts w:hint="eastAsia" w:ascii="宋体" w:hAnsi="宋体" w:eastAsia="宋体"/>
                <w:color w:val="000000"/>
                <w:sz w:val="18"/>
                <w:szCs w:val="18"/>
              </w:rPr>
              <w:t>（5）工程内部出现5处以上渗漏水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6F07">
            <w:pPr>
              <w:wordWrap w:val="0"/>
              <w:autoSpaceDE w:val="0"/>
              <w:autoSpaceDN w:val="0"/>
              <w:spacing w:before="0" w:after="0" w:line="246" w:lineRule="exact"/>
              <w:ind w:firstLine="0"/>
              <w:jc w:val="center"/>
              <w:rPr>
                <w:rFonts w:hint="eastAsia" w:ascii="宋体" w:hAnsi="宋体" w:eastAsia="宋体"/>
                <w:color w:val="000000"/>
                <w:sz w:val="18"/>
                <w:szCs w:val="18"/>
                <w:lang w:val="en-US" w:eastAsia="zh-CN"/>
              </w:rPr>
            </w:pPr>
            <w:r>
              <w:rPr>
                <w:rFonts w:hint="eastAsia" w:ascii="宋体" w:hAnsi="宋体" w:eastAsia="宋体"/>
                <w:color w:val="000000"/>
                <w:sz w:val="18"/>
                <w:szCs w:val="18"/>
              </w:rPr>
              <w:t>裁量幅度</w:t>
            </w:r>
          </w:p>
        </w:tc>
        <w:tc>
          <w:tcPr>
            <w:tcW w:w="5682" w:type="dxa"/>
            <w:tcBorders>
              <w:top w:val="single" w:color="000000" w:sz="4" w:space="0"/>
              <w:left w:val="single" w:color="000000" w:sz="4" w:space="0"/>
              <w:bottom w:val="single" w:color="000000" w:sz="4" w:space="0"/>
              <w:right w:val="single" w:color="000000" w:sz="4" w:space="0"/>
            </w:tcBorders>
            <w:shd w:val="clear" w:color="auto" w:fill="auto"/>
            <w:vAlign w:val="top"/>
          </w:tcPr>
          <w:p w14:paraId="342BFD30">
            <w:pPr>
              <w:wordWrap w:val="0"/>
              <w:autoSpaceDE w:val="0"/>
              <w:autoSpaceDN w:val="0"/>
              <w:spacing w:before="0" w:after="0" w:line="246" w:lineRule="exact"/>
              <w:ind w:firstLine="0"/>
              <w:jc w:val="both"/>
              <w:rPr>
                <w:rFonts w:hint="eastAsia" w:ascii="宋体" w:hAnsi="宋体" w:eastAsia="宋体"/>
                <w:color w:val="000000"/>
                <w:sz w:val="18"/>
                <w:szCs w:val="18"/>
              </w:rPr>
            </w:pPr>
          </w:p>
          <w:p w14:paraId="12F3DF43">
            <w:pPr>
              <w:wordWrap w:val="0"/>
              <w:autoSpaceDE w:val="0"/>
              <w:autoSpaceDN w:val="0"/>
              <w:spacing w:before="0" w:after="0" w:line="246" w:lineRule="exact"/>
              <w:ind w:firstLine="0"/>
              <w:jc w:val="both"/>
              <w:rPr>
                <w:rFonts w:hint="eastAsia" w:ascii="宋体" w:hAnsi="宋体" w:eastAsia="宋体"/>
                <w:color w:val="000000"/>
                <w:sz w:val="18"/>
                <w:szCs w:val="18"/>
                <w:lang w:val="en-US" w:eastAsia="zh-CN"/>
              </w:rPr>
            </w:pPr>
            <w:r>
              <w:rPr>
                <w:rFonts w:hint="eastAsia" w:ascii="宋体" w:hAnsi="宋体" w:eastAsia="宋体"/>
                <w:color w:val="000000"/>
                <w:sz w:val="18"/>
                <w:szCs w:val="18"/>
              </w:rPr>
              <w:t>警告并责令限期整改，对个人并处4000元以上5000元以下罚款，对单位并处4万元以上5万元以下罚款</w:t>
            </w:r>
          </w:p>
        </w:tc>
      </w:tr>
    </w:tbl>
    <w:p w14:paraId="7988F41A">
      <w:pPr>
        <w:rPr>
          <w:sz w:val="18"/>
          <w:szCs w:val="18"/>
        </w:rPr>
      </w:pPr>
    </w:p>
    <w:p w14:paraId="0D152E4E">
      <w:pPr>
        <w:rPr>
          <w:sz w:val="18"/>
          <w:szCs w:val="18"/>
        </w:rPr>
      </w:pPr>
    </w:p>
    <w:p w14:paraId="0D77494D">
      <w:pPr>
        <w:rPr>
          <w:sz w:val="18"/>
          <w:szCs w:val="18"/>
        </w:rPr>
      </w:pPr>
    </w:p>
    <w:p w14:paraId="5409B848">
      <w:pPr>
        <w:rPr>
          <w:sz w:val="18"/>
          <w:szCs w:val="18"/>
        </w:rPr>
      </w:pPr>
    </w:p>
    <w:p w14:paraId="321E3E6D">
      <w:pPr>
        <w:rPr>
          <w:sz w:val="18"/>
          <w:szCs w:val="18"/>
        </w:rPr>
      </w:pPr>
    </w:p>
    <w:p w14:paraId="78EF7A01">
      <w:pPr>
        <w:rPr>
          <w:sz w:val="18"/>
          <w:szCs w:val="18"/>
        </w:rPr>
      </w:pPr>
    </w:p>
    <w:p w14:paraId="5CFF2EB3">
      <w:pPr>
        <w:rPr>
          <w:sz w:val="18"/>
          <w:szCs w:val="18"/>
        </w:rPr>
      </w:pPr>
    </w:p>
    <w:p w14:paraId="5A3D6F88">
      <w:pPr>
        <w:rPr>
          <w:sz w:val="18"/>
          <w:szCs w:val="18"/>
        </w:rPr>
      </w:pPr>
    </w:p>
    <w:p w14:paraId="1E72EE72">
      <w:pPr>
        <w:rPr>
          <w:sz w:val="18"/>
          <w:szCs w:val="18"/>
        </w:rPr>
      </w:pPr>
    </w:p>
    <w:p w14:paraId="413E9B3F">
      <w:pPr>
        <w:rPr>
          <w:sz w:val="18"/>
          <w:szCs w:val="18"/>
        </w:rPr>
      </w:pPr>
    </w:p>
    <w:p w14:paraId="20AD930C">
      <w:pPr>
        <w:rPr>
          <w:sz w:val="18"/>
          <w:szCs w:val="18"/>
        </w:rPr>
      </w:pPr>
    </w:p>
    <w:p w14:paraId="37A39608">
      <w:pPr>
        <w:rPr>
          <w:sz w:val="18"/>
          <w:szCs w:val="18"/>
        </w:rPr>
      </w:pPr>
    </w:p>
    <w:p w14:paraId="1833B9DE">
      <w:pPr>
        <w:rPr>
          <w:sz w:val="18"/>
          <w:szCs w:val="18"/>
        </w:rPr>
      </w:pPr>
    </w:p>
    <w:p w14:paraId="54E9C145">
      <w:pPr>
        <w:rPr>
          <w:sz w:val="18"/>
          <w:szCs w:val="18"/>
        </w:rPr>
      </w:pPr>
    </w:p>
    <w:tbl>
      <w:tblPr>
        <w:tblStyle w:val="15"/>
        <w:tblW w:w="0" w:type="auto"/>
        <w:tblInd w:w="16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179"/>
        <w:gridCol w:w="5963"/>
        <w:gridCol w:w="1039"/>
        <w:gridCol w:w="5627"/>
      </w:tblGrid>
      <w:tr w14:paraId="213D6E8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2CC4FEE4">
            <w:pPr>
              <w:wordWrap w:val="0"/>
              <w:autoSpaceDE w:val="0"/>
              <w:autoSpaceDN w:val="0"/>
              <w:spacing w:before="40" w:after="0" w:line="259" w:lineRule="exact"/>
              <w:jc w:val="center"/>
              <w:rPr>
                <w:sz w:val="18"/>
                <w:szCs w:val="18"/>
              </w:rPr>
            </w:pPr>
            <w:r>
              <w:rPr>
                <w:rFonts w:hint="eastAsia" w:ascii="宋体" w:hAnsi="宋体" w:eastAsia="宋体"/>
                <w:color w:val="000000"/>
                <w:sz w:val="18"/>
                <w:szCs w:val="18"/>
              </w:rPr>
              <w:t>序号</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248B04A7">
            <w:pPr>
              <w:wordWrap w:val="0"/>
              <w:autoSpaceDE w:val="0"/>
              <w:autoSpaceDN w:val="0"/>
              <w:spacing w:before="80" w:after="0" w:line="259" w:lineRule="exact"/>
              <w:ind w:firstLine="80"/>
              <w:jc w:val="both"/>
              <w:rPr>
                <w:rFonts w:hint="eastAsia" w:eastAsia="宋体"/>
                <w:sz w:val="18"/>
                <w:szCs w:val="18"/>
                <w:lang w:val="en-US" w:eastAsia="zh-CN"/>
              </w:rPr>
            </w:pPr>
            <w:r>
              <w:rPr>
                <w:rFonts w:hint="eastAsia" w:ascii="Calibri" w:hAnsi="Calibri" w:eastAsia="Calibri"/>
                <w:color w:val="000000"/>
                <w:sz w:val="18"/>
                <w:szCs w:val="18"/>
              </w:rPr>
              <w:t>3</w:t>
            </w:r>
            <w:r>
              <w:rPr>
                <w:rFonts w:hint="eastAsia" w:ascii="Calibri" w:hAnsi="Calibri"/>
                <w:color w:val="000000"/>
                <w:sz w:val="18"/>
                <w:szCs w:val="18"/>
                <w:lang w:val="en-US" w:eastAsia="zh-CN"/>
              </w:rPr>
              <w:t>4</w:t>
            </w:r>
          </w:p>
        </w:tc>
      </w:tr>
      <w:tr w14:paraId="3E95D21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59314947">
            <w:pPr>
              <w:wordWrap w:val="0"/>
              <w:autoSpaceDE w:val="0"/>
              <w:autoSpaceDN w:val="0"/>
              <w:spacing w:before="0" w:after="0" w:line="259" w:lineRule="exact"/>
              <w:jc w:val="center"/>
              <w:rPr>
                <w:sz w:val="18"/>
                <w:szCs w:val="18"/>
              </w:rPr>
            </w:pPr>
            <w:r>
              <w:rPr>
                <w:rFonts w:hint="eastAsia" w:ascii="宋体" w:hAnsi="宋体" w:eastAsia="宋体"/>
                <w:color w:val="000000"/>
                <w:sz w:val="18"/>
                <w:szCs w:val="18"/>
              </w:rPr>
              <w:t>编号</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27C0F80F">
            <w:pPr>
              <w:wordWrap w:val="0"/>
              <w:autoSpaceDE w:val="0"/>
              <w:autoSpaceDN w:val="0"/>
              <w:spacing w:before="40" w:after="0" w:line="259" w:lineRule="exact"/>
              <w:ind w:firstLine="80"/>
              <w:jc w:val="both"/>
              <w:rPr>
                <w:sz w:val="18"/>
                <w:szCs w:val="18"/>
              </w:rPr>
            </w:pPr>
            <w:r>
              <w:rPr>
                <w:rFonts w:hint="eastAsia" w:ascii="Calibri" w:hAnsi="Calibri" w:eastAsia="Calibri"/>
                <w:color w:val="000000"/>
                <w:sz w:val="18"/>
                <w:szCs w:val="18"/>
              </w:rPr>
              <w:t>320280116000</w:t>
            </w:r>
          </w:p>
        </w:tc>
      </w:tr>
      <w:tr w14:paraId="3DCD827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E743CC6">
            <w:pPr>
              <w:wordWrap w:val="0"/>
              <w:autoSpaceDE w:val="0"/>
              <w:autoSpaceDN w:val="0"/>
              <w:spacing w:before="0" w:after="0" w:line="240" w:lineRule="exact"/>
              <w:jc w:val="center"/>
              <w:rPr>
                <w:sz w:val="18"/>
                <w:szCs w:val="18"/>
              </w:rPr>
            </w:pPr>
            <w:r>
              <w:rPr>
                <w:rFonts w:hint="eastAsia" w:ascii="宋体" w:hAnsi="宋体" w:eastAsia="宋体"/>
                <w:color w:val="000000"/>
                <w:sz w:val="18"/>
                <w:szCs w:val="18"/>
              </w:rPr>
              <w:t>行为名称</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743845B6">
            <w:pPr>
              <w:wordWrap w:val="0"/>
              <w:autoSpaceDE w:val="0"/>
              <w:autoSpaceDN w:val="0"/>
              <w:spacing w:before="40" w:after="0" w:line="259" w:lineRule="exact"/>
              <w:ind w:firstLine="100"/>
              <w:jc w:val="both"/>
              <w:rPr>
                <w:sz w:val="18"/>
                <w:szCs w:val="18"/>
              </w:rPr>
            </w:pPr>
            <w:r>
              <w:rPr>
                <w:rFonts w:hint="eastAsia" w:ascii="宋体" w:hAnsi="宋体" w:eastAsia="宋体"/>
                <w:color w:val="000000"/>
                <w:sz w:val="18"/>
                <w:szCs w:val="18"/>
              </w:rPr>
              <w:t>对损坏人防工程标识的处罚</w:t>
            </w:r>
          </w:p>
        </w:tc>
      </w:tr>
      <w:tr w14:paraId="593B537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6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8FF5756">
            <w:pPr>
              <w:wordWrap w:val="0"/>
              <w:autoSpaceDE w:val="0"/>
              <w:autoSpaceDN w:val="0"/>
              <w:spacing w:before="0" w:after="0" w:line="259" w:lineRule="exact"/>
              <w:ind w:firstLine="0"/>
              <w:jc w:val="both"/>
              <w:rPr>
                <w:rFonts w:hint="eastAsia" w:ascii="宋体" w:hAnsi="宋体" w:eastAsia="宋体"/>
                <w:color w:val="000000"/>
                <w:sz w:val="18"/>
                <w:szCs w:val="18"/>
              </w:rPr>
            </w:pPr>
          </w:p>
          <w:p w14:paraId="5E826103">
            <w:pPr>
              <w:wordWrap w:val="0"/>
              <w:autoSpaceDE w:val="0"/>
              <w:autoSpaceDN w:val="0"/>
              <w:spacing w:before="0" w:after="0" w:line="259" w:lineRule="exact"/>
              <w:ind w:firstLine="0"/>
              <w:jc w:val="both"/>
              <w:rPr>
                <w:rFonts w:hint="eastAsia" w:ascii="宋体" w:hAnsi="宋体" w:eastAsia="宋体"/>
                <w:color w:val="000000"/>
                <w:sz w:val="18"/>
                <w:szCs w:val="18"/>
              </w:rPr>
            </w:pPr>
          </w:p>
          <w:p w14:paraId="194C325C">
            <w:pPr>
              <w:wordWrap w:val="0"/>
              <w:autoSpaceDE w:val="0"/>
              <w:autoSpaceDN w:val="0"/>
              <w:spacing w:before="201" w:after="0" w:line="259" w:lineRule="exact"/>
              <w:ind w:firstLine="200"/>
              <w:jc w:val="both"/>
              <w:rPr>
                <w:sz w:val="18"/>
                <w:szCs w:val="18"/>
              </w:rPr>
            </w:pPr>
            <w:r>
              <w:rPr>
                <w:rFonts w:hint="eastAsia" w:ascii="宋体" w:hAnsi="宋体" w:eastAsia="宋体"/>
                <w:color w:val="000000"/>
                <w:sz w:val="18"/>
                <w:szCs w:val="18"/>
              </w:rPr>
              <w:t>法律依据</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4CE7227D">
            <w:pPr>
              <w:wordWrap w:val="0"/>
              <w:autoSpaceDE w:val="0"/>
              <w:autoSpaceDN w:val="0"/>
              <w:spacing w:before="100" w:after="0" w:line="259" w:lineRule="exact"/>
              <w:ind w:firstLine="120"/>
              <w:jc w:val="both"/>
              <w:rPr>
                <w:sz w:val="18"/>
                <w:szCs w:val="18"/>
              </w:rPr>
            </w:pPr>
            <w:r>
              <w:rPr>
                <w:rFonts w:hint="eastAsia" w:ascii="宋体" w:hAnsi="宋体" w:eastAsia="宋体"/>
                <w:color w:val="000000"/>
                <w:sz w:val="18"/>
                <w:szCs w:val="18"/>
              </w:rPr>
              <w:t>【地方政府规章】《江苏省人民防空工程维护管理规定》（省政府令第</w:t>
            </w:r>
            <w:r>
              <w:rPr>
                <w:rFonts w:hint="eastAsia" w:ascii="Calibri" w:hAnsi="Calibri" w:eastAsia="Calibri"/>
                <w:color w:val="000000"/>
                <w:sz w:val="18"/>
                <w:szCs w:val="18"/>
              </w:rPr>
              <w:t>165</w:t>
            </w:r>
            <w:r>
              <w:rPr>
                <w:rFonts w:hint="eastAsia" w:ascii="宋体" w:hAnsi="宋体" w:eastAsia="宋体"/>
                <w:color w:val="000000"/>
                <w:sz w:val="18"/>
                <w:szCs w:val="18"/>
              </w:rPr>
              <w:t>号）</w:t>
            </w:r>
          </w:p>
          <w:p w14:paraId="376FC519">
            <w:pPr>
              <w:wordWrap w:val="0"/>
              <w:autoSpaceDE w:val="0"/>
              <w:autoSpaceDN w:val="0"/>
              <w:spacing w:before="60" w:after="0" w:line="259" w:lineRule="exact"/>
              <w:ind w:firstLine="520"/>
              <w:jc w:val="both"/>
              <w:rPr>
                <w:sz w:val="18"/>
                <w:szCs w:val="18"/>
              </w:rPr>
            </w:pPr>
            <w:r>
              <w:rPr>
                <w:rFonts w:hint="eastAsia" w:ascii="宋体" w:hAnsi="宋体" w:eastAsia="宋体"/>
                <w:color w:val="000000"/>
                <w:sz w:val="18"/>
                <w:szCs w:val="18"/>
              </w:rPr>
              <w:t>第二十条 禁止任何单位或者个人实施影响人防工程使用或者降低人防工程防护能力的下列行为：</w:t>
            </w:r>
          </w:p>
          <w:p w14:paraId="1C0D37B4">
            <w:pPr>
              <w:wordWrap w:val="0"/>
              <w:autoSpaceDE w:val="0"/>
              <w:autoSpaceDN w:val="0"/>
              <w:spacing w:before="0" w:after="0" w:line="259" w:lineRule="exact"/>
              <w:ind w:firstLine="560"/>
              <w:jc w:val="both"/>
              <w:rPr>
                <w:sz w:val="18"/>
                <w:szCs w:val="18"/>
              </w:rPr>
            </w:pPr>
            <w:r>
              <w:rPr>
                <w:rFonts w:hint="eastAsia" w:ascii="宋体" w:hAnsi="宋体" w:eastAsia="宋体"/>
                <w:color w:val="000000"/>
                <w:sz w:val="18"/>
                <w:szCs w:val="18"/>
              </w:rPr>
              <w:t>（一）损坏人防工程标识；</w:t>
            </w:r>
          </w:p>
          <w:p w14:paraId="67A18F3C">
            <w:pPr>
              <w:wordWrap w:val="0"/>
              <w:autoSpaceDE w:val="0"/>
              <w:autoSpaceDN w:val="0"/>
              <w:spacing w:before="60" w:after="0" w:line="259" w:lineRule="exact"/>
              <w:ind w:left="100" w:right="60" w:firstLine="440"/>
              <w:jc w:val="both"/>
              <w:rPr>
                <w:sz w:val="18"/>
                <w:szCs w:val="18"/>
              </w:rPr>
            </w:pPr>
            <w:r>
              <w:rPr>
                <w:rFonts w:hint="eastAsia" w:ascii="宋体" w:hAnsi="宋体" w:eastAsia="宋体"/>
                <w:color w:val="000000"/>
                <w:sz w:val="18"/>
                <w:szCs w:val="18"/>
              </w:rPr>
              <w:t>第三十条 对未达到本规定第十二条要求或者违反第二十条规定的，由人防主管部门对当事人给予警告，并责令限期改正，可以对个人并处一千元以上五千元以下罚款，对单位并处一万元以上五万元以下罚款；造成损失的，应当依法赔偿损失。</w:t>
            </w:r>
          </w:p>
        </w:tc>
      </w:tr>
      <w:tr w14:paraId="66CFD13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vAlign w:val="top"/>
          </w:tcPr>
          <w:p w14:paraId="6903B8DC">
            <w:pPr>
              <w:wordWrap w:val="0"/>
              <w:autoSpaceDE w:val="0"/>
              <w:autoSpaceDN w:val="0"/>
              <w:spacing w:before="0" w:after="0" w:line="259" w:lineRule="exact"/>
              <w:ind w:firstLine="200"/>
              <w:jc w:val="both"/>
              <w:rPr>
                <w:sz w:val="18"/>
                <w:szCs w:val="18"/>
              </w:rPr>
            </w:pPr>
            <w:r>
              <w:rPr>
                <w:rFonts w:hint="eastAsia" w:ascii="宋体" w:hAnsi="宋体" w:eastAsia="宋体"/>
                <w:color w:val="000000"/>
                <w:sz w:val="18"/>
                <w:szCs w:val="18"/>
              </w:rPr>
              <w:t>处罚种类</w:t>
            </w:r>
          </w:p>
        </w:tc>
        <w:tc>
          <w:tcPr>
            <w:tcW w:w="12920" w:type="dxa"/>
            <w:gridSpan w:val="3"/>
            <w:tcBorders>
              <w:top w:val="single" w:color="000000" w:sz="4" w:space="0"/>
              <w:left w:val="single" w:color="000000" w:sz="4" w:space="0"/>
              <w:bottom w:val="single" w:color="000000" w:sz="4" w:space="0"/>
              <w:right w:val="single" w:color="000000" w:sz="4" w:space="0"/>
            </w:tcBorders>
            <w:vAlign w:val="top"/>
          </w:tcPr>
          <w:p w14:paraId="3E64118E">
            <w:pPr>
              <w:wordWrap w:val="0"/>
              <w:autoSpaceDE w:val="0"/>
              <w:autoSpaceDN w:val="0"/>
              <w:spacing w:before="40" w:after="0" w:line="259" w:lineRule="exact"/>
              <w:ind w:firstLine="120"/>
              <w:jc w:val="both"/>
              <w:rPr>
                <w:sz w:val="18"/>
                <w:szCs w:val="18"/>
              </w:rPr>
            </w:pPr>
            <w:r>
              <w:rPr>
                <w:rFonts w:hint="eastAsia" w:ascii="宋体" w:hAnsi="宋体" w:eastAsia="宋体"/>
                <w:color w:val="000000"/>
                <w:sz w:val="18"/>
                <w:szCs w:val="18"/>
              </w:rPr>
              <w:t>警告、罚款</w:t>
            </w:r>
          </w:p>
        </w:tc>
      </w:tr>
      <w:tr w14:paraId="547DEB8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4120" w:type="dxa"/>
            <w:gridSpan w:val="4"/>
            <w:tcBorders>
              <w:top w:val="single" w:color="000000" w:sz="4" w:space="0"/>
              <w:left w:val="single" w:color="000000" w:sz="4" w:space="0"/>
              <w:bottom w:val="single" w:color="000000" w:sz="4" w:space="0"/>
              <w:right w:val="single" w:color="000000" w:sz="4" w:space="0"/>
            </w:tcBorders>
            <w:vAlign w:val="top"/>
          </w:tcPr>
          <w:p w14:paraId="1201E12A">
            <w:pPr>
              <w:wordWrap w:val="0"/>
              <w:autoSpaceDE w:val="0"/>
              <w:autoSpaceDN w:val="0"/>
              <w:spacing w:before="60" w:after="0" w:line="259" w:lineRule="exact"/>
              <w:jc w:val="center"/>
              <w:rPr>
                <w:sz w:val="18"/>
                <w:szCs w:val="18"/>
              </w:rPr>
            </w:pPr>
            <w:r>
              <w:rPr>
                <w:rFonts w:hint="eastAsia" w:ascii="宋体" w:hAnsi="宋体" w:eastAsia="宋体"/>
                <w:color w:val="000000"/>
                <w:sz w:val="18"/>
                <w:szCs w:val="18"/>
              </w:rPr>
              <w:t>自由裁量基准</w:t>
            </w:r>
          </w:p>
        </w:tc>
      </w:tr>
      <w:tr w14:paraId="2CA3962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6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top"/>
          </w:tcPr>
          <w:p w14:paraId="6E81788B">
            <w:pPr>
              <w:wordWrap w:val="0"/>
              <w:autoSpaceDE w:val="0"/>
              <w:autoSpaceDN w:val="0"/>
              <w:spacing w:before="0" w:after="0" w:line="259" w:lineRule="exact"/>
              <w:ind w:firstLine="0"/>
              <w:jc w:val="both"/>
              <w:rPr>
                <w:rFonts w:hint="eastAsia" w:ascii="宋体" w:hAnsi="宋体" w:eastAsia="宋体"/>
                <w:color w:val="000000"/>
                <w:sz w:val="18"/>
                <w:szCs w:val="18"/>
              </w:rPr>
            </w:pPr>
          </w:p>
          <w:p w14:paraId="18A26F43">
            <w:pPr>
              <w:wordWrap w:val="0"/>
              <w:autoSpaceDE w:val="0"/>
              <w:autoSpaceDN w:val="0"/>
              <w:spacing w:before="0" w:after="0" w:line="259" w:lineRule="exact"/>
              <w:ind w:firstLine="0"/>
              <w:jc w:val="both"/>
              <w:rPr>
                <w:rFonts w:hint="eastAsia" w:ascii="宋体" w:hAnsi="宋体" w:eastAsia="宋体"/>
                <w:color w:val="000000"/>
                <w:sz w:val="18"/>
                <w:szCs w:val="18"/>
              </w:rPr>
            </w:pPr>
          </w:p>
          <w:p w14:paraId="3B0D6F61">
            <w:pPr>
              <w:wordWrap w:val="0"/>
              <w:autoSpaceDE w:val="0"/>
              <w:autoSpaceDN w:val="0"/>
              <w:spacing w:before="0" w:after="0" w:line="259" w:lineRule="exact"/>
              <w:ind w:firstLine="0"/>
              <w:jc w:val="both"/>
              <w:rPr>
                <w:rFonts w:hint="eastAsia" w:ascii="宋体" w:hAnsi="宋体" w:eastAsia="宋体"/>
                <w:color w:val="000000"/>
                <w:sz w:val="18"/>
                <w:szCs w:val="18"/>
              </w:rPr>
            </w:pPr>
          </w:p>
          <w:p w14:paraId="003FD4C6">
            <w:pPr>
              <w:wordWrap w:val="0"/>
              <w:autoSpaceDE w:val="0"/>
              <w:autoSpaceDN w:val="0"/>
              <w:spacing w:before="0" w:after="0" w:line="259" w:lineRule="exact"/>
              <w:ind w:firstLine="0"/>
              <w:jc w:val="both"/>
              <w:rPr>
                <w:rFonts w:hint="eastAsia" w:ascii="宋体" w:hAnsi="宋体" w:eastAsia="宋体"/>
                <w:color w:val="000000"/>
                <w:sz w:val="18"/>
                <w:szCs w:val="18"/>
              </w:rPr>
            </w:pPr>
          </w:p>
          <w:p w14:paraId="4DACEE99">
            <w:pPr>
              <w:wordWrap w:val="0"/>
              <w:autoSpaceDE w:val="0"/>
              <w:autoSpaceDN w:val="0"/>
              <w:spacing w:before="0" w:after="0" w:line="259" w:lineRule="exact"/>
              <w:ind w:firstLine="0"/>
              <w:jc w:val="both"/>
              <w:rPr>
                <w:rFonts w:hint="eastAsia" w:ascii="宋体" w:hAnsi="宋体" w:eastAsia="宋体"/>
                <w:color w:val="000000"/>
                <w:sz w:val="18"/>
                <w:szCs w:val="18"/>
              </w:rPr>
            </w:pPr>
          </w:p>
          <w:p w14:paraId="6FEC3A6C">
            <w:pPr>
              <w:wordWrap w:val="0"/>
              <w:autoSpaceDE w:val="0"/>
              <w:autoSpaceDN w:val="0"/>
              <w:spacing w:before="0" w:after="0" w:line="259" w:lineRule="exact"/>
              <w:ind w:firstLine="0"/>
              <w:jc w:val="both"/>
              <w:rPr>
                <w:rFonts w:hint="eastAsia" w:ascii="宋体" w:hAnsi="宋体" w:eastAsia="宋体"/>
                <w:color w:val="000000"/>
                <w:sz w:val="18"/>
                <w:szCs w:val="18"/>
              </w:rPr>
            </w:pPr>
          </w:p>
          <w:p w14:paraId="02629110">
            <w:pPr>
              <w:wordWrap w:val="0"/>
              <w:autoSpaceDE w:val="0"/>
              <w:autoSpaceDN w:val="0"/>
              <w:spacing w:before="123" w:after="0" w:line="259" w:lineRule="exact"/>
              <w:ind w:firstLine="200"/>
              <w:jc w:val="both"/>
              <w:rPr>
                <w:sz w:val="18"/>
                <w:szCs w:val="18"/>
              </w:rPr>
            </w:pPr>
            <w:r>
              <w:rPr>
                <w:rFonts w:hint="eastAsia" w:ascii="宋体" w:hAnsi="宋体" w:eastAsia="宋体"/>
                <w:color w:val="000000"/>
                <w:sz w:val="18"/>
                <w:szCs w:val="18"/>
              </w:rPr>
              <w:t>情形描述</w:t>
            </w:r>
          </w:p>
        </w:tc>
        <w:tc>
          <w:tcPr>
            <w:tcW w:w="6100" w:type="dxa"/>
            <w:tcBorders>
              <w:top w:val="single" w:color="000000" w:sz="4" w:space="0"/>
              <w:left w:val="single" w:color="000000" w:sz="4" w:space="0"/>
              <w:bottom w:val="single" w:color="000000" w:sz="4" w:space="0"/>
              <w:right w:val="single" w:color="000000" w:sz="4" w:space="0"/>
            </w:tcBorders>
            <w:vAlign w:val="top"/>
          </w:tcPr>
          <w:p w14:paraId="486FF365">
            <w:pPr>
              <w:wordWrap w:val="0"/>
              <w:autoSpaceDE w:val="0"/>
              <w:autoSpaceDN w:val="0"/>
              <w:spacing w:before="240" w:after="0" w:line="246" w:lineRule="exact"/>
              <w:ind w:firstLine="120"/>
              <w:jc w:val="both"/>
              <w:rPr>
                <w:sz w:val="18"/>
                <w:szCs w:val="18"/>
              </w:rPr>
            </w:pPr>
            <w:r>
              <w:rPr>
                <w:rFonts w:hint="eastAsia" w:ascii="宋体" w:hAnsi="宋体" w:eastAsia="宋体"/>
                <w:color w:val="000000"/>
                <w:sz w:val="18"/>
                <w:szCs w:val="18"/>
              </w:rPr>
              <w:t>损坏人防工程设施类、设备类、提示性标识中的</w:t>
            </w:r>
            <w:r>
              <w:rPr>
                <w:rFonts w:hint="eastAsia" w:ascii="Calibri" w:hAnsi="Calibri" w:eastAsia="Calibri"/>
                <w:color w:val="000000"/>
                <w:sz w:val="18"/>
                <w:szCs w:val="18"/>
              </w:rPr>
              <w:t>5</w:t>
            </w:r>
            <w:r>
              <w:rPr>
                <w:rFonts w:hint="eastAsia" w:ascii="宋体" w:hAnsi="宋体" w:eastAsia="宋体"/>
                <w:color w:val="000000"/>
                <w:sz w:val="18"/>
                <w:szCs w:val="18"/>
              </w:rPr>
              <w:t>个以下</w:t>
            </w:r>
          </w:p>
        </w:tc>
        <w:tc>
          <w:tcPr>
            <w:tcW w:w="1060" w:type="dxa"/>
            <w:vMerge w:val="restart"/>
            <w:tcBorders>
              <w:top w:val="single" w:color="000000" w:sz="4" w:space="0"/>
              <w:left w:val="single" w:color="000000" w:sz="4" w:space="0"/>
              <w:bottom w:val="single" w:color="000000" w:sz="4" w:space="0"/>
              <w:right w:val="single" w:color="000000" w:sz="4" w:space="0"/>
            </w:tcBorders>
            <w:vAlign w:val="top"/>
          </w:tcPr>
          <w:p w14:paraId="1AE8E274">
            <w:pPr>
              <w:wordWrap w:val="0"/>
              <w:autoSpaceDE w:val="0"/>
              <w:autoSpaceDN w:val="0"/>
              <w:spacing w:before="0" w:after="0" w:line="259" w:lineRule="exact"/>
              <w:ind w:firstLine="0"/>
              <w:jc w:val="both"/>
              <w:rPr>
                <w:rFonts w:hint="eastAsia" w:ascii="宋体" w:hAnsi="宋体" w:eastAsia="宋体"/>
                <w:color w:val="000000"/>
                <w:sz w:val="18"/>
                <w:szCs w:val="18"/>
              </w:rPr>
            </w:pPr>
          </w:p>
          <w:p w14:paraId="119EEDBF">
            <w:pPr>
              <w:wordWrap w:val="0"/>
              <w:autoSpaceDE w:val="0"/>
              <w:autoSpaceDN w:val="0"/>
              <w:spacing w:before="0" w:after="0" w:line="259" w:lineRule="exact"/>
              <w:ind w:firstLine="0"/>
              <w:jc w:val="both"/>
              <w:rPr>
                <w:rFonts w:hint="eastAsia" w:ascii="宋体" w:hAnsi="宋体" w:eastAsia="宋体"/>
                <w:color w:val="000000"/>
                <w:sz w:val="18"/>
                <w:szCs w:val="18"/>
              </w:rPr>
            </w:pPr>
          </w:p>
          <w:p w14:paraId="12042A3E">
            <w:pPr>
              <w:wordWrap w:val="0"/>
              <w:autoSpaceDE w:val="0"/>
              <w:autoSpaceDN w:val="0"/>
              <w:spacing w:before="0" w:after="0" w:line="259" w:lineRule="exact"/>
              <w:ind w:firstLine="0"/>
              <w:jc w:val="both"/>
              <w:rPr>
                <w:rFonts w:hint="eastAsia" w:ascii="宋体" w:hAnsi="宋体" w:eastAsia="宋体"/>
                <w:color w:val="000000"/>
                <w:sz w:val="18"/>
                <w:szCs w:val="18"/>
              </w:rPr>
            </w:pPr>
          </w:p>
          <w:p w14:paraId="63BE3374">
            <w:pPr>
              <w:wordWrap w:val="0"/>
              <w:autoSpaceDE w:val="0"/>
              <w:autoSpaceDN w:val="0"/>
              <w:spacing w:before="0" w:after="0" w:line="259" w:lineRule="exact"/>
              <w:ind w:firstLine="0"/>
              <w:jc w:val="both"/>
              <w:rPr>
                <w:rFonts w:hint="eastAsia" w:ascii="宋体" w:hAnsi="宋体" w:eastAsia="宋体"/>
                <w:color w:val="000000"/>
                <w:sz w:val="18"/>
                <w:szCs w:val="18"/>
              </w:rPr>
            </w:pPr>
          </w:p>
          <w:p w14:paraId="70D88E4E">
            <w:pPr>
              <w:wordWrap w:val="0"/>
              <w:autoSpaceDE w:val="0"/>
              <w:autoSpaceDN w:val="0"/>
              <w:spacing w:before="0" w:after="0" w:line="259" w:lineRule="exact"/>
              <w:ind w:firstLine="0"/>
              <w:jc w:val="both"/>
              <w:rPr>
                <w:rFonts w:hint="eastAsia" w:ascii="宋体" w:hAnsi="宋体" w:eastAsia="宋体"/>
                <w:color w:val="000000"/>
                <w:sz w:val="18"/>
                <w:szCs w:val="18"/>
              </w:rPr>
            </w:pPr>
          </w:p>
          <w:p w14:paraId="0D12942E">
            <w:pPr>
              <w:wordWrap w:val="0"/>
              <w:autoSpaceDE w:val="0"/>
              <w:autoSpaceDN w:val="0"/>
              <w:spacing w:before="0" w:after="0" w:line="259" w:lineRule="exact"/>
              <w:ind w:firstLine="0"/>
              <w:jc w:val="both"/>
              <w:rPr>
                <w:rFonts w:hint="eastAsia" w:ascii="宋体" w:hAnsi="宋体" w:eastAsia="宋体"/>
                <w:color w:val="000000"/>
                <w:sz w:val="18"/>
                <w:szCs w:val="18"/>
              </w:rPr>
            </w:pPr>
          </w:p>
          <w:p w14:paraId="6D04C7EA">
            <w:pPr>
              <w:wordWrap w:val="0"/>
              <w:autoSpaceDE w:val="0"/>
              <w:autoSpaceDN w:val="0"/>
              <w:spacing w:before="103" w:after="0" w:line="259" w:lineRule="exact"/>
              <w:ind w:firstLine="60"/>
              <w:jc w:val="both"/>
              <w:rPr>
                <w:sz w:val="18"/>
                <w:szCs w:val="18"/>
              </w:rPr>
            </w:pPr>
            <w:r>
              <w:rPr>
                <w:rFonts w:hint="eastAsia" w:ascii="宋体" w:hAnsi="宋体" w:eastAsia="宋体"/>
                <w:color w:val="000000"/>
                <w:sz w:val="18"/>
                <w:szCs w:val="18"/>
              </w:rPr>
              <w:t>裁量幅度</w:t>
            </w:r>
          </w:p>
        </w:tc>
        <w:tc>
          <w:tcPr>
            <w:tcW w:w="5760" w:type="dxa"/>
            <w:tcBorders>
              <w:top w:val="single" w:color="000000" w:sz="4" w:space="0"/>
              <w:left w:val="single" w:color="000000" w:sz="4" w:space="0"/>
              <w:bottom w:val="single" w:color="000000" w:sz="4" w:space="0"/>
              <w:right w:val="single" w:color="000000" w:sz="4" w:space="0"/>
            </w:tcBorders>
            <w:vAlign w:val="top"/>
          </w:tcPr>
          <w:p w14:paraId="5B49D5FA">
            <w:pPr>
              <w:wordWrap w:val="0"/>
              <w:autoSpaceDE w:val="0"/>
              <w:autoSpaceDN w:val="0"/>
              <w:spacing w:before="80" w:after="0" w:line="259" w:lineRule="exact"/>
              <w:ind w:left="100" w:right="40" w:firstLine="2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1000</w:t>
            </w:r>
            <w:r>
              <w:rPr>
                <w:rFonts w:hint="eastAsia" w:ascii="宋体" w:hAnsi="宋体" w:eastAsia="宋体"/>
                <w:color w:val="000000"/>
                <w:sz w:val="18"/>
                <w:szCs w:val="18"/>
              </w:rPr>
              <w:t>元以上</w:t>
            </w:r>
            <w:r>
              <w:rPr>
                <w:rFonts w:hint="eastAsia" w:ascii="Calibri" w:hAnsi="Calibri" w:eastAsia="Calibri"/>
                <w:color w:val="000000"/>
                <w:sz w:val="18"/>
                <w:szCs w:val="18"/>
              </w:rPr>
              <w:t>2000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r w14:paraId="1C0AE5B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56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2CFD68B6">
            <w:pPr>
              <w:rPr>
                <w:sz w:val="18"/>
                <w:szCs w:val="18"/>
              </w:rPr>
            </w:pPr>
          </w:p>
        </w:tc>
        <w:tc>
          <w:tcPr>
            <w:tcW w:w="6100" w:type="dxa"/>
            <w:tcBorders>
              <w:top w:val="single" w:color="000000" w:sz="4" w:space="0"/>
              <w:left w:val="single" w:color="000000" w:sz="4" w:space="0"/>
              <w:bottom w:val="single" w:color="000000" w:sz="4" w:space="0"/>
              <w:right w:val="single" w:color="000000" w:sz="4" w:space="0"/>
            </w:tcBorders>
            <w:vAlign w:val="top"/>
          </w:tcPr>
          <w:p w14:paraId="28B690F9">
            <w:pPr>
              <w:wordWrap w:val="0"/>
              <w:autoSpaceDE w:val="0"/>
              <w:autoSpaceDN w:val="0"/>
              <w:spacing w:before="93" w:after="0" w:line="246" w:lineRule="exact"/>
              <w:ind w:firstLine="1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）损坏人防工程设施类、设备类、提示性标识</w:t>
            </w:r>
            <w:r>
              <w:rPr>
                <w:rFonts w:hint="eastAsia" w:ascii="Calibri" w:hAnsi="Calibri" w:eastAsia="Calibri"/>
                <w:color w:val="000000"/>
                <w:sz w:val="18"/>
                <w:szCs w:val="18"/>
              </w:rPr>
              <w:t>5</w:t>
            </w:r>
            <w:r>
              <w:rPr>
                <w:rFonts w:hint="eastAsia" w:ascii="宋体" w:hAnsi="宋体" w:eastAsia="宋体"/>
                <w:color w:val="000000"/>
                <w:sz w:val="18"/>
                <w:szCs w:val="18"/>
              </w:rPr>
              <w:t>个以上</w:t>
            </w:r>
          </w:p>
          <w:p w14:paraId="69B15455">
            <w:pPr>
              <w:wordWrap w:val="0"/>
              <w:autoSpaceDE w:val="0"/>
              <w:autoSpaceDN w:val="0"/>
              <w:spacing w:before="63" w:after="0" w:line="246" w:lineRule="exact"/>
              <w:ind w:left="120" w:right="6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）损坏人防工程示意图、人防工程维护管理制度、人防工程平时使用须知等管理标识牌中的</w:t>
            </w:r>
            <w:r>
              <w:rPr>
                <w:rFonts w:hint="eastAsia" w:ascii="Calibri" w:hAnsi="Calibri" w:eastAsia="Calibri"/>
                <w:color w:val="000000"/>
                <w:sz w:val="18"/>
                <w:szCs w:val="18"/>
              </w:rPr>
              <w:t>3</w:t>
            </w:r>
            <w:r>
              <w:rPr>
                <w:rFonts w:hint="eastAsia" w:ascii="宋体" w:hAnsi="宋体" w:eastAsia="宋体"/>
                <w:color w:val="000000"/>
                <w:sz w:val="18"/>
                <w:szCs w:val="18"/>
              </w:rPr>
              <w:t>个以下</w:t>
            </w:r>
          </w:p>
          <w:p w14:paraId="06A13845">
            <w:pPr>
              <w:wordWrap w:val="0"/>
              <w:autoSpaceDE w:val="0"/>
              <w:autoSpaceDN w:val="0"/>
              <w:spacing w:before="53" w:after="0" w:line="246" w:lineRule="exact"/>
              <w:ind w:left="100" w:right="80" w:firstLine="8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3</w:t>
            </w:r>
            <w:r>
              <w:rPr>
                <w:rFonts w:hint="eastAsia" w:ascii="宋体" w:hAnsi="宋体" w:eastAsia="宋体"/>
                <w:color w:val="000000"/>
                <w:sz w:val="18"/>
                <w:szCs w:val="18"/>
              </w:rPr>
              <w:t>）损坏人防工程所处区域外部导引类、口部导引类、内部导引类标识牌中的</w:t>
            </w:r>
            <w:r>
              <w:rPr>
                <w:rFonts w:hint="eastAsia" w:ascii="Calibri" w:hAnsi="Calibri" w:eastAsia="Calibri"/>
                <w:color w:val="000000"/>
                <w:sz w:val="18"/>
                <w:szCs w:val="18"/>
              </w:rPr>
              <w:t>2</w:t>
            </w:r>
            <w:r>
              <w:rPr>
                <w:rFonts w:hint="eastAsia" w:ascii="宋体" w:hAnsi="宋体" w:eastAsia="宋体"/>
                <w:color w:val="000000"/>
                <w:sz w:val="18"/>
                <w:szCs w:val="18"/>
              </w:rPr>
              <w:t>个以下</w:t>
            </w:r>
          </w:p>
        </w:tc>
        <w:tc>
          <w:tcPr>
            <w:tcW w:w="1060" w:type="dxa"/>
            <w:vMerge w:val="continue"/>
            <w:tcBorders>
              <w:top w:val="single" w:color="000000" w:sz="4" w:space="0"/>
              <w:left w:val="single" w:color="000000" w:sz="4" w:space="0"/>
              <w:bottom w:val="single" w:color="000000" w:sz="4" w:space="0"/>
              <w:right w:val="single" w:color="000000" w:sz="4" w:space="0"/>
            </w:tcBorders>
          </w:tcPr>
          <w:p w14:paraId="080F9155">
            <w:pPr>
              <w:rPr>
                <w:sz w:val="18"/>
                <w:szCs w:val="18"/>
              </w:rPr>
            </w:pPr>
          </w:p>
        </w:tc>
        <w:tc>
          <w:tcPr>
            <w:tcW w:w="5760" w:type="dxa"/>
            <w:tcBorders>
              <w:top w:val="single" w:color="000000" w:sz="4" w:space="0"/>
              <w:left w:val="single" w:color="000000" w:sz="4" w:space="0"/>
              <w:bottom w:val="single" w:color="000000" w:sz="4" w:space="0"/>
              <w:right w:val="single" w:color="000000" w:sz="4" w:space="0"/>
            </w:tcBorders>
            <w:vAlign w:val="top"/>
          </w:tcPr>
          <w:p w14:paraId="5ECC63AC">
            <w:pPr>
              <w:wordWrap w:val="0"/>
              <w:autoSpaceDE w:val="0"/>
              <w:autoSpaceDN w:val="0"/>
              <w:spacing w:before="0" w:after="0" w:line="259" w:lineRule="exact"/>
              <w:ind w:firstLine="0"/>
              <w:jc w:val="both"/>
              <w:rPr>
                <w:rFonts w:hint="eastAsia" w:ascii="宋体" w:hAnsi="宋体" w:eastAsia="宋体"/>
                <w:color w:val="000000"/>
                <w:sz w:val="18"/>
                <w:szCs w:val="18"/>
              </w:rPr>
            </w:pPr>
          </w:p>
          <w:p w14:paraId="343735BD">
            <w:pPr>
              <w:wordWrap w:val="0"/>
              <w:autoSpaceDE w:val="0"/>
              <w:autoSpaceDN w:val="0"/>
              <w:spacing w:before="0" w:after="0" w:line="259" w:lineRule="exact"/>
              <w:ind w:firstLine="0"/>
              <w:jc w:val="both"/>
              <w:rPr>
                <w:rFonts w:hint="eastAsia" w:ascii="宋体" w:hAnsi="宋体" w:eastAsia="宋体"/>
                <w:color w:val="000000"/>
                <w:sz w:val="18"/>
                <w:szCs w:val="18"/>
              </w:rPr>
            </w:pPr>
          </w:p>
          <w:p w14:paraId="550413B4">
            <w:pPr>
              <w:wordWrap w:val="0"/>
              <w:autoSpaceDE w:val="0"/>
              <w:autoSpaceDN w:val="0"/>
              <w:spacing w:before="1" w:after="0" w:line="259" w:lineRule="exact"/>
              <w:ind w:left="100" w:right="4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2000</w:t>
            </w:r>
            <w:r>
              <w:rPr>
                <w:rFonts w:hint="eastAsia" w:ascii="宋体" w:hAnsi="宋体" w:eastAsia="宋体"/>
                <w:color w:val="000000"/>
                <w:sz w:val="18"/>
                <w:szCs w:val="18"/>
              </w:rPr>
              <w:t>元以上</w:t>
            </w:r>
            <w:r>
              <w:rPr>
                <w:rFonts w:hint="eastAsia" w:ascii="Calibri" w:hAnsi="Calibri" w:eastAsia="Calibri"/>
                <w:color w:val="000000"/>
                <w:sz w:val="18"/>
                <w:szCs w:val="18"/>
              </w:rPr>
              <w:t>4000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4</w:t>
            </w:r>
            <w:r>
              <w:rPr>
                <w:rFonts w:hint="eastAsia" w:ascii="宋体" w:hAnsi="宋体" w:eastAsia="宋体"/>
                <w:color w:val="000000"/>
                <w:sz w:val="18"/>
                <w:szCs w:val="18"/>
              </w:rPr>
              <w:t>万元以下罚款</w:t>
            </w:r>
          </w:p>
        </w:tc>
      </w:tr>
      <w:tr w14:paraId="04D03F8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280" w:hRule="atLeast"/>
        </w:trPr>
        <w:tc>
          <w:tcPr>
            <w:tcW w:w="1200" w:type="dxa"/>
            <w:vMerge w:val="continue"/>
            <w:tcBorders>
              <w:top w:val="single" w:color="000000" w:sz="4" w:space="0"/>
              <w:left w:val="single" w:color="000000" w:sz="4" w:space="0"/>
              <w:bottom w:val="single" w:color="000000" w:sz="4" w:space="0"/>
              <w:right w:val="single" w:color="000000" w:sz="4" w:space="0"/>
            </w:tcBorders>
          </w:tcPr>
          <w:p w14:paraId="6D811959">
            <w:pPr>
              <w:rPr>
                <w:sz w:val="18"/>
                <w:szCs w:val="18"/>
              </w:rPr>
            </w:pPr>
          </w:p>
        </w:tc>
        <w:tc>
          <w:tcPr>
            <w:tcW w:w="6100" w:type="dxa"/>
            <w:tcBorders>
              <w:top w:val="single" w:color="000000" w:sz="4" w:space="0"/>
              <w:left w:val="single" w:color="000000" w:sz="4" w:space="0"/>
              <w:bottom w:val="single" w:color="000000" w:sz="4" w:space="0"/>
              <w:right w:val="single" w:color="000000" w:sz="4" w:space="0"/>
            </w:tcBorders>
            <w:vAlign w:val="top"/>
          </w:tcPr>
          <w:p w14:paraId="4E0CB048">
            <w:pPr>
              <w:wordWrap w:val="0"/>
              <w:autoSpaceDE w:val="0"/>
              <w:autoSpaceDN w:val="0"/>
              <w:spacing w:before="83" w:after="0" w:line="246" w:lineRule="exact"/>
              <w:ind w:left="100" w:right="40" w:firstLine="4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1</w:t>
            </w:r>
            <w:r>
              <w:rPr>
                <w:rFonts w:hint="eastAsia" w:ascii="宋体" w:hAnsi="宋体" w:eastAsia="宋体"/>
                <w:color w:val="000000"/>
                <w:sz w:val="18"/>
                <w:szCs w:val="18"/>
              </w:rPr>
              <w:t>）损坏人防工程示意图、人防工程维护管理制度、人防工程平时使用须知等管理标识牌中的</w:t>
            </w:r>
            <w:r>
              <w:rPr>
                <w:rFonts w:hint="eastAsia" w:ascii="Calibri" w:hAnsi="Calibri" w:eastAsia="Calibri"/>
                <w:color w:val="000000"/>
                <w:sz w:val="18"/>
                <w:szCs w:val="18"/>
              </w:rPr>
              <w:t>3</w:t>
            </w:r>
            <w:r>
              <w:rPr>
                <w:rFonts w:hint="eastAsia" w:ascii="宋体" w:hAnsi="宋体" w:eastAsia="宋体"/>
                <w:color w:val="000000"/>
                <w:sz w:val="18"/>
                <w:szCs w:val="18"/>
              </w:rPr>
              <w:t>个以上</w:t>
            </w:r>
          </w:p>
          <w:p w14:paraId="4AFCE200">
            <w:pPr>
              <w:wordWrap w:val="0"/>
              <w:autoSpaceDE w:val="0"/>
              <w:autoSpaceDN w:val="0"/>
              <w:spacing w:before="63" w:after="0" w:line="246" w:lineRule="exact"/>
              <w:ind w:left="100" w:right="80" w:firstLine="60"/>
              <w:jc w:val="both"/>
              <w:rPr>
                <w:sz w:val="18"/>
                <w:szCs w:val="18"/>
              </w:rPr>
            </w:pP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）损坏人防工程所处区域外部导引类、口部导引类、内部导引类标识牌中的</w:t>
            </w:r>
            <w:r>
              <w:rPr>
                <w:rFonts w:hint="eastAsia" w:ascii="Calibri" w:hAnsi="Calibri" w:eastAsia="Calibri"/>
                <w:color w:val="000000"/>
                <w:sz w:val="18"/>
                <w:szCs w:val="18"/>
              </w:rPr>
              <w:t>2</w:t>
            </w:r>
            <w:r>
              <w:rPr>
                <w:rFonts w:hint="eastAsia" w:ascii="宋体" w:hAnsi="宋体" w:eastAsia="宋体"/>
                <w:color w:val="000000"/>
                <w:sz w:val="18"/>
                <w:szCs w:val="18"/>
              </w:rPr>
              <w:t>个以上</w:t>
            </w:r>
          </w:p>
        </w:tc>
        <w:tc>
          <w:tcPr>
            <w:tcW w:w="1060" w:type="dxa"/>
            <w:vMerge w:val="continue"/>
            <w:tcBorders>
              <w:top w:val="single" w:color="000000" w:sz="4" w:space="0"/>
              <w:left w:val="single" w:color="000000" w:sz="4" w:space="0"/>
              <w:bottom w:val="single" w:color="000000" w:sz="4" w:space="0"/>
              <w:right w:val="single" w:color="000000" w:sz="4" w:space="0"/>
            </w:tcBorders>
          </w:tcPr>
          <w:p w14:paraId="0BBD8805">
            <w:pPr>
              <w:rPr>
                <w:sz w:val="18"/>
                <w:szCs w:val="18"/>
              </w:rPr>
            </w:pPr>
          </w:p>
        </w:tc>
        <w:tc>
          <w:tcPr>
            <w:tcW w:w="5760" w:type="dxa"/>
            <w:tcBorders>
              <w:top w:val="single" w:color="000000" w:sz="4" w:space="0"/>
              <w:left w:val="single" w:color="000000" w:sz="4" w:space="0"/>
              <w:bottom w:val="single" w:color="000000" w:sz="4" w:space="0"/>
              <w:right w:val="single" w:color="000000" w:sz="4" w:space="0"/>
            </w:tcBorders>
            <w:vAlign w:val="top"/>
          </w:tcPr>
          <w:p w14:paraId="4B69723C">
            <w:pPr>
              <w:wordWrap w:val="0"/>
              <w:autoSpaceDE w:val="0"/>
              <w:autoSpaceDN w:val="0"/>
              <w:spacing w:before="0" w:after="0" w:line="259" w:lineRule="exact"/>
              <w:ind w:firstLine="0"/>
              <w:jc w:val="both"/>
              <w:rPr>
                <w:rFonts w:hint="eastAsia" w:ascii="宋体" w:hAnsi="宋体" w:eastAsia="宋体"/>
                <w:color w:val="000000"/>
                <w:sz w:val="18"/>
                <w:szCs w:val="18"/>
              </w:rPr>
            </w:pPr>
          </w:p>
          <w:p w14:paraId="642A7C0F">
            <w:pPr>
              <w:wordWrap w:val="0"/>
              <w:autoSpaceDE w:val="0"/>
              <w:autoSpaceDN w:val="0"/>
              <w:spacing w:before="120" w:after="0" w:line="259" w:lineRule="exact"/>
              <w:ind w:left="100" w:right="4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4000</w:t>
            </w:r>
            <w:r>
              <w:rPr>
                <w:rFonts w:hint="eastAsia" w:ascii="宋体" w:hAnsi="宋体" w:eastAsia="宋体"/>
                <w:color w:val="000000"/>
                <w:sz w:val="18"/>
                <w:szCs w:val="18"/>
              </w:rPr>
              <w:t>元以上</w:t>
            </w:r>
            <w:r>
              <w:rPr>
                <w:rFonts w:hint="eastAsia" w:ascii="Calibri" w:hAnsi="Calibri" w:eastAsia="Calibri"/>
                <w:color w:val="000000"/>
                <w:sz w:val="18"/>
                <w:szCs w:val="18"/>
              </w:rPr>
              <w:t>5000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4</w:t>
            </w:r>
            <w:r>
              <w:rPr>
                <w:rFonts w:hint="eastAsia" w:ascii="宋体" w:hAnsi="宋体" w:eastAsia="宋体"/>
                <w:color w:val="000000"/>
                <w:sz w:val="18"/>
                <w:szCs w:val="18"/>
              </w:rPr>
              <w:t>万元以上</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bl>
    <w:p w14:paraId="2047B76C">
      <w:pPr>
        <w:rPr>
          <w:sz w:val="18"/>
          <w:szCs w:val="18"/>
        </w:rPr>
      </w:pPr>
    </w:p>
    <w:p w14:paraId="13771B7E">
      <w:pPr>
        <w:rPr>
          <w:sz w:val="18"/>
          <w:szCs w:val="18"/>
        </w:rPr>
      </w:pPr>
    </w:p>
    <w:p w14:paraId="48F0659F">
      <w:pPr>
        <w:rPr>
          <w:sz w:val="18"/>
          <w:szCs w:val="18"/>
        </w:rPr>
      </w:pPr>
    </w:p>
    <w:tbl>
      <w:tblPr>
        <w:tblStyle w:val="15"/>
        <w:tblW w:w="0" w:type="auto"/>
        <w:tblInd w:w="18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206"/>
        <w:gridCol w:w="5906"/>
        <w:gridCol w:w="1063"/>
        <w:gridCol w:w="5613"/>
      </w:tblGrid>
      <w:tr w14:paraId="6787BF2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21A3C3CE">
            <w:pPr>
              <w:wordWrap w:val="0"/>
              <w:autoSpaceDE w:val="0"/>
              <w:autoSpaceDN w:val="0"/>
              <w:spacing w:before="0" w:after="0" w:line="259" w:lineRule="exact"/>
              <w:ind w:firstLine="340"/>
              <w:jc w:val="both"/>
              <w:rPr>
                <w:sz w:val="18"/>
                <w:szCs w:val="18"/>
              </w:rPr>
            </w:pPr>
            <w:r>
              <w:rPr>
                <w:rFonts w:hint="eastAsia" w:ascii="宋体" w:hAnsi="宋体" w:eastAsia="宋体"/>
                <w:color w:val="000000"/>
                <w:sz w:val="18"/>
                <w:szCs w:val="18"/>
              </w:rPr>
              <w:t>序号</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12B0B37F">
            <w:pPr>
              <w:wordWrap w:val="0"/>
              <w:autoSpaceDE w:val="0"/>
              <w:autoSpaceDN w:val="0"/>
              <w:spacing w:before="20" w:after="0" w:line="259" w:lineRule="exact"/>
              <w:ind w:firstLine="80"/>
              <w:jc w:val="both"/>
              <w:rPr>
                <w:rFonts w:hint="eastAsia" w:eastAsia="宋体"/>
                <w:sz w:val="18"/>
                <w:szCs w:val="18"/>
                <w:lang w:val="en-US" w:eastAsia="zh-CN"/>
              </w:rPr>
            </w:pPr>
            <w:r>
              <w:rPr>
                <w:rFonts w:hint="eastAsia" w:ascii="Calibri" w:hAnsi="Calibri" w:eastAsia="Calibri"/>
                <w:color w:val="000000"/>
                <w:sz w:val="18"/>
                <w:szCs w:val="18"/>
              </w:rPr>
              <w:t>3</w:t>
            </w:r>
            <w:r>
              <w:rPr>
                <w:rFonts w:hint="eastAsia" w:ascii="Calibri" w:hAnsi="Calibri"/>
                <w:color w:val="000000"/>
                <w:sz w:val="18"/>
                <w:szCs w:val="18"/>
                <w:lang w:val="en-US" w:eastAsia="zh-CN"/>
              </w:rPr>
              <w:t>5</w:t>
            </w:r>
          </w:p>
        </w:tc>
      </w:tr>
      <w:tr w14:paraId="43E41C2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48BCA3BE">
            <w:pPr>
              <w:wordWrap w:val="0"/>
              <w:autoSpaceDE w:val="0"/>
              <w:autoSpaceDN w:val="0"/>
              <w:spacing w:before="0" w:after="0" w:line="259" w:lineRule="exact"/>
              <w:ind w:firstLine="320"/>
              <w:jc w:val="both"/>
              <w:rPr>
                <w:sz w:val="18"/>
                <w:szCs w:val="18"/>
              </w:rPr>
            </w:pPr>
            <w:r>
              <w:rPr>
                <w:rFonts w:hint="eastAsia" w:ascii="宋体" w:hAnsi="宋体" w:eastAsia="宋体"/>
                <w:color w:val="000000"/>
                <w:sz w:val="18"/>
                <w:szCs w:val="18"/>
              </w:rPr>
              <w:t>编号</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67EE07B6">
            <w:pPr>
              <w:wordWrap w:val="0"/>
              <w:autoSpaceDE w:val="0"/>
              <w:autoSpaceDN w:val="0"/>
              <w:spacing w:before="20" w:after="0" w:line="259" w:lineRule="exact"/>
              <w:ind w:firstLine="60"/>
              <w:jc w:val="both"/>
              <w:rPr>
                <w:sz w:val="18"/>
                <w:szCs w:val="18"/>
              </w:rPr>
            </w:pPr>
            <w:r>
              <w:rPr>
                <w:rFonts w:hint="eastAsia" w:ascii="Calibri" w:hAnsi="Calibri" w:eastAsia="Calibri"/>
                <w:color w:val="000000"/>
                <w:sz w:val="18"/>
                <w:szCs w:val="18"/>
              </w:rPr>
              <w:t>320280117000</w:t>
            </w:r>
          </w:p>
        </w:tc>
      </w:tr>
      <w:tr w14:paraId="4EDE058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7443D215">
            <w:pPr>
              <w:wordWrap w:val="0"/>
              <w:autoSpaceDE w:val="0"/>
              <w:autoSpaceDN w:val="0"/>
              <w:spacing w:before="20" w:after="0" w:line="259" w:lineRule="exact"/>
              <w:ind w:firstLine="220"/>
              <w:jc w:val="both"/>
              <w:rPr>
                <w:sz w:val="18"/>
                <w:szCs w:val="18"/>
              </w:rPr>
            </w:pPr>
            <w:r>
              <w:rPr>
                <w:rFonts w:hint="eastAsia" w:ascii="宋体" w:hAnsi="宋体" w:eastAsia="宋体"/>
                <w:color w:val="000000"/>
                <w:sz w:val="18"/>
                <w:szCs w:val="18"/>
              </w:rPr>
              <w:t>行为名称</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422810D9">
            <w:pPr>
              <w:wordWrap w:val="0"/>
              <w:autoSpaceDE w:val="0"/>
              <w:autoSpaceDN w:val="0"/>
              <w:spacing w:before="40" w:after="0" w:line="259" w:lineRule="exact"/>
              <w:ind w:firstLine="80"/>
              <w:jc w:val="both"/>
              <w:rPr>
                <w:sz w:val="18"/>
                <w:szCs w:val="18"/>
              </w:rPr>
            </w:pPr>
            <w:r>
              <w:rPr>
                <w:rFonts w:hint="eastAsia" w:ascii="宋体" w:hAnsi="宋体" w:eastAsia="宋体"/>
                <w:color w:val="000000"/>
                <w:sz w:val="18"/>
                <w:szCs w:val="18"/>
              </w:rPr>
              <w:t>对挪用或者损坏平战转换设备设施的处罚</w:t>
            </w:r>
          </w:p>
        </w:tc>
      </w:tr>
      <w:tr w14:paraId="3EDC73B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60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2461B964">
            <w:pPr>
              <w:wordWrap w:val="0"/>
              <w:autoSpaceDE w:val="0"/>
              <w:autoSpaceDN w:val="0"/>
              <w:spacing w:before="0" w:after="0" w:line="259" w:lineRule="exact"/>
              <w:ind w:firstLine="0"/>
              <w:jc w:val="both"/>
              <w:rPr>
                <w:rFonts w:hint="eastAsia" w:ascii="宋体" w:hAnsi="宋体" w:eastAsia="宋体"/>
                <w:color w:val="000000"/>
                <w:sz w:val="18"/>
                <w:szCs w:val="18"/>
              </w:rPr>
            </w:pPr>
          </w:p>
          <w:p w14:paraId="717F8FDA">
            <w:pPr>
              <w:wordWrap w:val="0"/>
              <w:autoSpaceDE w:val="0"/>
              <w:autoSpaceDN w:val="0"/>
              <w:spacing w:before="0" w:after="0" w:line="259" w:lineRule="exact"/>
              <w:ind w:firstLine="0"/>
              <w:jc w:val="both"/>
              <w:rPr>
                <w:rFonts w:hint="eastAsia" w:ascii="宋体" w:hAnsi="宋体" w:eastAsia="宋体"/>
                <w:color w:val="000000"/>
                <w:sz w:val="18"/>
                <w:szCs w:val="18"/>
              </w:rPr>
            </w:pPr>
          </w:p>
          <w:p w14:paraId="144417F3">
            <w:pPr>
              <w:wordWrap w:val="0"/>
              <w:autoSpaceDE w:val="0"/>
              <w:autoSpaceDN w:val="0"/>
              <w:spacing w:before="201" w:after="0" w:line="259" w:lineRule="exact"/>
              <w:ind w:firstLine="220"/>
              <w:jc w:val="both"/>
              <w:rPr>
                <w:sz w:val="18"/>
                <w:szCs w:val="18"/>
              </w:rPr>
            </w:pPr>
            <w:r>
              <w:rPr>
                <w:rFonts w:hint="eastAsia" w:ascii="宋体" w:hAnsi="宋体" w:eastAsia="宋体"/>
                <w:color w:val="000000"/>
                <w:sz w:val="18"/>
                <w:szCs w:val="18"/>
              </w:rPr>
              <w:t>法律依据</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447FE009">
            <w:pPr>
              <w:wordWrap w:val="0"/>
              <w:autoSpaceDE w:val="0"/>
              <w:autoSpaceDN w:val="0"/>
              <w:spacing w:before="100" w:after="0" w:line="259" w:lineRule="exact"/>
              <w:ind w:firstLine="120"/>
              <w:jc w:val="both"/>
              <w:rPr>
                <w:sz w:val="18"/>
                <w:szCs w:val="18"/>
              </w:rPr>
            </w:pPr>
            <w:r>
              <w:rPr>
                <w:rFonts w:hint="eastAsia" w:ascii="宋体" w:hAnsi="宋体" w:eastAsia="宋体"/>
                <w:color w:val="000000"/>
                <w:sz w:val="18"/>
                <w:szCs w:val="18"/>
              </w:rPr>
              <w:t>【地方政府规章】《江苏省人民防空工程维护管理规定》（省政府令第</w:t>
            </w:r>
            <w:r>
              <w:rPr>
                <w:rFonts w:hint="eastAsia" w:ascii="Calibri" w:hAnsi="Calibri" w:eastAsia="Calibri"/>
                <w:color w:val="000000"/>
                <w:sz w:val="18"/>
                <w:szCs w:val="18"/>
              </w:rPr>
              <w:t>165</w:t>
            </w:r>
            <w:r>
              <w:rPr>
                <w:rFonts w:hint="eastAsia" w:ascii="宋体" w:hAnsi="宋体" w:eastAsia="宋体"/>
                <w:color w:val="000000"/>
                <w:sz w:val="18"/>
                <w:szCs w:val="18"/>
              </w:rPr>
              <w:t>号）</w:t>
            </w:r>
          </w:p>
          <w:p w14:paraId="66DCE29F">
            <w:pPr>
              <w:wordWrap w:val="0"/>
              <w:autoSpaceDE w:val="0"/>
              <w:autoSpaceDN w:val="0"/>
              <w:spacing w:before="0" w:after="0" w:line="259" w:lineRule="exact"/>
              <w:ind w:firstLine="520"/>
              <w:jc w:val="both"/>
              <w:rPr>
                <w:sz w:val="18"/>
                <w:szCs w:val="18"/>
              </w:rPr>
            </w:pPr>
            <w:r>
              <w:rPr>
                <w:rFonts w:hint="eastAsia" w:ascii="宋体" w:hAnsi="宋体" w:eastAsia="宋体"/>
                <w:color w:val="000000"/>
                <w:sz w:val="18"/>
                <w:szCs w:val="18"/>
              </w:rPr>
              <w:t>第二十条 禁止任何单位或者个人实施影响人防工程使用或者降低人防工程防护能力的下列行为：</w:t>
            </w:r>
          </w:p>
          <w:p w14:paraId="1EF9EF72">
            <w:pPr>
              <w:wordWrap w:val="0"/>
              <w:autoSpaceDE w:val="0"/>
              <w:autoSpaceDN w:val="0"/>
              <w:spacing w:before="0" w:after="0" w:line="259" w:lineRule="exact"/>
              <w:ind w:firstLine="560"/>
              <w:jc w:val="both"/>
              <w:rPr>
                <w:sz w:val="18"/>
                <w:szCs w:val="18"/>
              </w:rPr>
            </w:pPr>
            <w:r>
              <w:rPr>
                <w:rFonts w:hint="eastAsia" w:ascii="宋体" w:hAnsi="宋体" w:eastAsia="宋体"/>
                <w:color w:val="000000"/>
                <w:sz w:val="18"/>
                <w:szCs w:val="18"/>
              </w:rPr>
              <w:t>（二）挪用或者损坏平战转换设备设施；</w:t>
            </w:r>
          </w:p>
          <w:p w14:paraId="57718809">
            <w:pPr>
              <w:wordWrap w:val="0"/>
              <w:autoSpaceDE w:val="0"/>
              <w:autoSpaceDN w:val="0"/>
              <w:spacing w:before="50" w:after="0" w:line="259" w:lineRule="exact"/>
              <w:ind w:left="80" w:right="40" w:firstLine="420"/>
              <w:jc w:val="both"/>
              <w:rPr>
                <w:sz w:val="18"/>
                <w:szCs w:val="18"/>
              </w:rPr>
            </w:pPr>
            <w:r>
              <w:rPr>
                <w:rFonts w:hint="eastAsia" w:ascii="宋体" w:hAnsi="宋体" w:eastAsia="宋体"/>
                <w:color w:val="000000"/>
                <w:sz w:val="18"/>
                <w:szCs w:val="18"/>
              </w:rPr>
              <w:t>第三十条 对未达到本规定第十二条要求或者违反第二十条规定的，由人防主管部门对当事人给予警告，并责令限期改正，可以对个人并处一千元以上五千元以下罚款，对单位并处一万元以上五万元以下罚款；造成损失的，应当依法赔偿损失。</w:t>
            </w:r>
          </w:p>
        </w:tc>
      </w:tr>
      <w:tr w14:paraId="2FE5B74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22E32896">
            <w:pPr>
              <w:wordWrap w:val="0"/>
              <w:autoSpaceDE w:val="0"/>
              <w:autoSpaceDN w:val="0"/>
              <w:spacing w:before="20" w:after="0" w:line="259" w:lineRule="exact"/>
              <w:ind w:firstLine="220"/>
              <w:jc w:val="both"/>
              <w:rPr>
                <w:sz w:val="18"/>
                <w:szCs w:val="18"/>
              </w:rPr>
            </w:pPr>
            <w:r>
              <w:rPr>
                <w:rFonts w:hint="eastAsia" w:ascii="宋体" w:hAnsi="宋体" w:eastAsia="宋体"/>
                <w:color w:val="000000"/>
                <w:sz w:val="18"/>
                <w:szCs w:val="18"/>
              </w:rPr>
              <w:t>处罚种类</w:t>
            </w:r>
          </w:p>
        </w:tc>
        <w:tc>
          <w:tcPr>
            <w:tcW w:w="12820" w:type="dxa"/>
            <w:gridSpan w:val="3"/>
            <w:tcBorders>
              <w:top w:val="single" w:color="000000" w:sz="4" w:space="0"/>
              <w:left w:val="single" w:color="000000" w:sz="4" w:space="0"/>
              <w:bottom w:val="single" w:color="000000" w:sz="4" w:space="0"/>
              <w:right w:val="single" w:color="000000" w:sz="4" w:space="0"/>
            </w:tcBorders>
            <w:vAlign w:val="top"/>
          </w:tcPr>
          <w:p w14:paraId="203FE8C2">
            <w:pPr>
              <w:wordWrap w:val="0"/>
              <w:autoSpaceDE w:val="0"/>
              <w:autoSpaceDN w:val="0"/>
              <w:spacing w:before="20" w:after="0" w:line="259" w:lineRule="exact"/>
              <w:ind w:firstLine="60"/>
              <w:jc w:val="both"/>
              <w:rPr>
                <w:sz w:val="18"/>
                <w:szCs w:val="18"/>
              </w:rPr>
            </w:pPr>
            <w:r>
              <w:rPr>
                <w:rFonts w:hint="eastAsia" w:ascii="宋体" w:hAnsi="宋体" w:eastAsia="宋体"/>
                <w:color w:val="000000"/>
                <w:sz w:val="18"/>
                <w:szCs w:val="18"/>
              </w:rPr>
              <w:t>警告、罚款</w:t>
            </w:r>
          </w:p>
        </w:tc>
      </w:tr>
      <w:tr w14:paraId="2464BC2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4040" w:type="dxa"/>
            <w:gridSpan w:val="4"/>
            <w:tcBorders>
              <w:top w:val="single" w:color="000000" w:sz="4" w:space="0"/>
              <w:left w:val="single" w:color="000000" w:sz="4" w:space="0"/>
              <w:bottom w:val="single" w:color="000000" w:sz="4" w:space="0"/>
              <w:right w:val="single" w:color="000000" w:sz="4" w:space="0"/>
            </w:tcBorders>
            <w:vAlign w:val="top"/>
          </w:tcPr>
          <w:p w14:paraId="18F8F948">
            <w:pPr>
              <w:wordWrap w:val="0"/>
              <w:autoSpaceDE w:val="0"/>
              <w:autoSpaceDN w:val="0"/>
              <w:spacing w:before="40" w:after="0" w:line="259" w:lineRule="exact"/>
              <w:jc w:val="center"/>
              <w:rPr>
                <w:sz w:val="18"/>
                <w:szCs w:val="18"/>
              </w:rPr>
            </w:pPr>
            <w:r>
              <w:rPr>
                <w:rFonts w:hint="eastAsia" w:ascii="宋体" w:hAnsi="宋体" w:eastAsia="宋体"/>
                <w:color w:val="000000"/>
                <w:sz w:val="18"/>
                <w:szCs w:val="18"/>
              </w:rPr>
              <w:t>自由裁量基准</w:t>
            </w:r>
          </w:p>
        </w:tc>
      </w:tr>
      <w:tr w14:paraId="179EC37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20" w:hRule="atLeast"/>
        </w:trPr>
        <w:tc>
          <w:tcPr>
            <w:tcW w:w="1220" w:type="dxa"/>
            <w:vMerge w:val="restart"/>
            <w:tcBorders>
              <w:top w:val="single" w:color="000000" w:sz="4" w:space="0"/>
              <w:left w:val="single" w:color="000000" w:sz="4" w:space="0"/>
              <w:bottom w:val="single" w:color="000000" w:sz="4" w:space="0"/>
              <w:right w:val="single" w:color="000000" w:sz="4" w:space="0"/>
            </w:tcBorders>
            <w:vAlign w:val="top"/>
          </w:tcPr>
          <w:p w14:paraId="310FA944">
            <w:pPr>
              <w:wordWrap w:val="0"/>
              <w:autoSpaceDE w:val="0"/>
              <w:autoSpaceDN w:val="0"/>
              <w:spacing w:before="0" w:after="0" w:line="259" w:lineRule="exact"/>
              <w:ind w:firstLine="0"/>
              <w:jc w:val="both"/>
              <w:rPr>
                <w:rFonts w:hint="eastAsia" w:ascii="宋体" w:hAnsi="宋体" w:eastAsia="宋体"/>
                <w:color w:val="000000"/>
                <w:sz w:val="18"/>
                <w:szCs w:val="18"/>
              </w:rPr>
            </w:pPr>
          </w:p>
          <w:p w14:paraId="3A712832">
            <w:pPr>
              <w:wordWrap w:val="0"/>
              <w:autoSpaceDE w:val="0"/>
              <w:autoSpaceDN w:val="0"/>
              <w:spacing w:before="0" w:after="0" w:line="259" w:lineRule="exact"/>
              <w:ind w:firstLine="0"/>
              <w:jc w:val="both"/>
              <w:rPr>
                <w:rFonts w:hint="eastAsia" w:ascii="宋体" w:hAnsi="宋体" w:eastAsia="宋体"/>
                <w:color w:val="000000"/>
                <w:sz w:val="18"/>
                <w:szCs w:val="18"/>
              </w:rPr>
            </w:pPr>
          </w:p>
          <w:p w14:paraId="595A83E0">
            <w:pPr>
              <w:wordWrap w:val="0"/>
              <w:autoSpaceDE w:val="0"/>
              <w:autoSpaceDN w:val="0"/>
              <w:spacing w:before="0" w:after="0" w:line="259" w:lineRule="exact"/>
              <w:ind w:firstLine="0"/>
              <w:jc w:val="both"/>
              <w:rPr>
                <w:rFonts w:hint="eastAsia" w:ascii="宋体" w:hAnsi="宋体" w:eastAsia="宋体"/>
                <w:color w:val="000000"/>
                <w:sz w:val="18"/>
                <w:szCs w:val="18"/>
              </w:rPr>
            </w:pPr>
          </w:p>
          <w:p w14:paraId="5C11206C">
            <w:pPr>
              <w:wordWrap w:val="0"/>
              <w:autoSpaceDE w:val="0"/>
              <w:autoSpaceDN w:val="0"/>
              <w:spacing w:before="0" w:after="0" w:line="259" w:lineRule="exact"/>
              <w:ind w:firstLine="0"/>
              <w:jc w:val="both"/>
              <w:rPr>
                <w:rFonts w:hint="eastAsia" w:ascii="宋体" w:hAnsi="宋体" w:eastAsia="宋体"/>
                <w:color w:val="000000"/>
                <w:sz w:val="18"/>
                <w:szCs w:val="18"/>
              </w:rPr>
            </w:pPr>
          </w:p>
          <w:p w14:paraId="3E2FAD1D">
            <w:pPr>
              <w:wordWrap w:val="0"/>
              <w:autoSpaceDE w:val="0"/>
              <w:autoSpaceDN w:val="0"/>
              <w:spacing w:before="2" w:after="0" w:line="259" w:lineRule="exact"/>
              <w:jc w:val="center"/>
              <w:rPr>
                <w:sz w:val="18"/>
                <w:szCs w:val="18"/>
              </w:rPr>
            </w:pPr>
            <w:r>
              <w:rPr>
                <w:rFonts w:hint="eastAsia" w:ascii="宋体" w:hAnsi="宋体" w:eastAsia="宋体"/>
                <w:color w:val="000000"/>
                <w:sz w:val="18"/>
                <w:szCs w:val="18"/>
              </w:rPr>
              <w:t>情形描述</w:t>
            </w:r>
          </w:p>
        </w:tc>
        <w:tc>
          <w:tcPr>
            <w:tcW w:w="6020" w:type="dxa"/>
            <w:tcBorders>
              <w:top w:val="single" w:color="000000" w:sz="4" w:space="0"/>
              <w:left w:val="single" w:color="000000" w:sz="4" w:space="0"/>
              <w:bottom w:val="single" w:color="000000" w:sz="4" w:space="0"/>
              <w:right w:val="single" w:color="000000" w:sz="4" w:space="0"/>
            </w:tcBorders>
            <w:vAlign w:val="top"/>
          </w:tcPr>
          <w:p w14:paraId="20969390">
            <w:pPr>
              <w:wordWrap w:val="0"/>
              <w:autoSpaceDE w:val="0"/>
              <w:autoSpaceDN w:val="0"/>
              <w:spacing w:before="220" w:after="0" w:line="259" w:lineRule="exact"/>
              <w:ind w:firstLine="80"/>
              <w:jc w:val="both"/>
              <w:rPr>
                <w:sz w:val="18"/>
                <w:szCs w:val="18"/>
              </w:rPr>
            </w:pPr>
            <w:r>
              <w:rPr>
                <w:rFonts w:hint="eastAsia" w:ascii="宋体" w:hAnsi="宋体" w:eastAsia="宋体"/>
                <w:color w:val="000000"/>
                <w:sz w:val="18"/>
                <w:szCs w:val="18"/>
              </w:rPr>
              <w:t>挪用或者损坏封堵板、活门槛等平战转换设备设施</w:t>
            </w:r>
            <w:r>
              <w:rPr>
                <w:rFonts w:hint="eastAsia" w:ascii="Calibri" w:hAnsi="Calibri" w:eastAsia="Calibri"/>
                <w:color w:val="000000"/>
                <w:sz w:val="18"/>
                <w:szCs w:val="18"/>
              </w:rPr>
              <w:t>3</w:t>
            </w:r>
            <w:r>
              <w:rPr>
                <w:rFonts w:hint="eastAsia" w:ascii="宋体" w:hAnsi="宋体" w:eastAsia="宋体"/>
                <w:color w:val="000000"/>
                <w:sz w:val="18"/>
                <w:szCs w:val="18"/>
              </w:rPr>
              <w:t>件以下</w:t>
            </w:r>
          </w:p>
        </w:tc>
        <w:tc>
          <w:tcPr>
            <w:tcW w:w="1080" w:type="dxa"/>
            <w:vMerge w:val="restart"/>
            <w:tcBorders>
              <w:top w:val="single" w:color="000000" w:sz="4" w:space="0"/>
              <w:left w:val="single" w:color="000000" w:sz="4" w:space="0"/>
              <w:bottom w:val="single" w:color="000000" w:sz="4" w:space="0"/>
              <w:right w:val="single" w:color="000000" w:sz="4" w:space="0"/>
            </w:tcBorders>
            <w:vAlign w:val="top"/>
          </w:tcPr>
          <w:p w14:paraId="105E3746">
            <w:pPr>
              <w:wordWrap w:val="0"/>
              <w:autoSpaceDE w:val="0"/>
              <w:autoSpaceDN w:val="0"/>
              <w:spacing w:before="0" w:after="0" w:line="259" w:lineRule="exact"/>
              <w:ind w:firstLine="0"/>
              <w:jc w:val="both"/>
              <w:rPr>
                <w:rFonts w:hint="eastAsia" w:ascii="宋体" w:hAnsi="宋体" w:eastAsia="宋体"/>
                <w:color w:val="000000"/>
                <w:sz w:val="18"/>
                <w:szCs w:val="18"/>
              </w:rPr>
            </w:pPr>
          </w:p>
          <w:p w14:paraId="4D0AA4B4">
            <w:pPr>
              <w:wordWrap w:val="0"/>
              <w:autoSpaceDE w:val="0"/>
              <w:autoSpaceDN w:val="0"/>
              <w:spacing w:before="0" w:after="0" w:line="259" w:lineRule="exact"/>
              <w:ind w:firstLine="0"/>
              <w:jc w:val="both"/>
              <w:rPr>
                <w:rFonts w:hint="eastAsia" w:ascii="宋体" w:hAnsi="宋体" w:eastAsia="宋体"/>
                <w:color w:val="000000"/>
                <w:sz w:val="18"/>
                <w:szCs w:val="18"/>
              </w:rPr>
            </w:pPr>
          </w:p>
          <w:p w14:paraId="0670258C">
            <w:pPr>
              <w:wordWrap w:val="0"/>
              <w:autoSpaceDE w:val="0"/>
              <w:autoSpaceDN w:val="0"/>
              <w:spacing w:before="101" w:after="0" w:line="259" w:lineRule="exact"/>
              <w:ind w:firstLine="80"/>
              <w:jc w:val="both"/>
              <w:rPr>
                <w:sz w:val="18"/>
                <w:szCs w:val="18"/>
              </w:rPr>
            </w:pPr>
            <w:r>
              <w:rPr>
                <w:rFonts w:hint="eastAsia" w:ascii="宋体" w:hAnsi="宋体" w:eastAsia="宋体"/>
                <w:color w:val="000000"/>
                <w:sz w:val="18"/>
                <w:szCs w:val="18"/>
              </w:rPr>
              <w:t>裁量幅度</w:t>
            </w:r>
          </w:p>
        </w:tc>
        <w:tc>
          <w:tcPr>
            <w:tcW w:w="5720" w:type="dxa"/>
            <w:tcBorders>
              <w:top w:val="single" w:color="000000" w:sz="4" w:space="0"/>
              <w:left w:val="single" w:color="000000" w:sz="4" w:space="0"/>
              <w:bottom w:val="single" w:color="000000" w:sz="4" w:space="0"/>
              <w:right w:val="single" w:color="000000" w:sz="4" w:space="0"/>
            </w:tcBorders>
            <w:vAlign w:val="top"/>
          </w:tcPr>
          <w:p w14:paraId="2421A070">
            <w:pPr>
              <w:wordWrap w:val="0"/>
              <w:autoSpaceDE w:val="0"/>
              <w:autoSpaceDN w:val="0"/>
              <w:spacing w:before="81" w:after="0" w:line="259" w:lineRule="exact"/>
              <w:ind w:left="100" w:right="60" w:firstLine="2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1000</w:t>
            </w:r>
            <w:r>
              <w:rPr>
                <w:rFonts w:hint="eastAsia" w:ascii="宋体" w:hAnsi="宋体" w:eastAsia="宋体"/>
                <w:color w:val="000000"/>
                <w:sz w:val="18"/>
                <w:szCs w:val="18"/>
              </w:rPr>
              <w:t>元以上</w:t>
            </w:r>
            <w:r>
              <w:rPr>
                <w:rFonts w:hint="eastAsia" w:ascii="Calibri" w:hAnsi="Calibri" w:eastAsia="Calibri"/>
                <w:color w:val="000000"/>
                <w:sz w:val="18"/>
                <w:szCs w:val="18"/>
              </w:rPr>
              <w:t>2000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r w14:paraId="26190F6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780" w:hRule="atLeast"/>
        </w:trPr>
        <w:tc>
          <w:tcPr>
            <w:tcW w:w="1220" w:type="dxa"/>
            <w:vMerge w:val="continue"/>
            <w:tcBorders>
              <w:top w:val="single" w:color="000000" w:sz="4" w:space="0"/>
              <w:left w:val="single" w:color="000000" w:sz="4" w:space="0"/>
              <w:bottom w:val="single" w:color="000000" w:sz="4" w:space="0"/>
              <w:right w:val="single" w:color="000000" w:sz="4" w:space="0"/>
            </w:tcBorders>
          </w:tcPr>
          <w:p w14:paraId="08A9BCFD">
            <w:pPr>
              <w:rPr>
                <w:sz w:val="18"/>
                <w:szCs w:val="18"/>
              </w:rPr>
            </w:pPr>
          </w:p>
        </w:tc>
        <w:tc>
          <w:tcPr>
            <w:tcW w:w="6020" w:type="dxa"/>
            <w:tcBorders>
              <w:top w:val="single" w:color="000000" w:sz="4" w:space="0"/>
              <w:left w:val="single" w:color="000000" w:sz="4" w:space="0"/>
              <w:bottom w:val="single" w:color="000000" w:sz="4" w:space="0"/>
              <w:right w:val="single" w:color="000000" w:sz="4" w:space="0"/>
            </w:tcBorders>
            <w:vAlign w:val="top"/>
          </w:tcPr>
          <w:p w14:paraId="17E54B53">
            <w:pPr>
              <w:wordWrap w:val="0"/>
              <w:autoSpaceDE w:val="0"/>
              <w:autoSpaceDN w:val="0"/>
              <w:spacing w:before="120" w:after="0" w:line="259" w:lineRule="exact"/>
              <w:ind w:left="80" w:right="40" w:hanging="20"/>
              <w:jc w:val="both"/>
              <w:rPr>
                <w:sz w:val="18"/>
                <w:szCs w:val="18"/>
              </w:rPr>
            </w:pPr>
            <w:r>
              <w:rPr>
                <w:rFonts w:hint="eastAsia" w:ascii="宋体" w:hAnsi="宋体" w:eastAsia="宋体"/>
                <w:color w:val="000000"/>
                <w:sz w:val="18"/>
                <w:szCs w:val="18"/>
              </w:rPr>
              <w:t>挪用或者损坏封堵板、活门槛等平战转换设备设施</w:t>
            </w:r>
            <w:r>
              <w:rPr>
                <w:rFonts w:hint="eastAsia" w:ascii="Calibri" w:hAnsi="Calibri" w:eastAsia="Calibri"/>
                <w:color w:val="000000"/>
                <w:sz w:val="18"/>
                <w:szCs w:val="18"/>
              </w:rPr>
              <w:t>3</w:t>
            </w:r>
            <w:r>
              <w:rPr>
                <w:rFonts w:hint="eastAsia" w:ascii="宋体" w:hAnsi="宋体" w:eastAsia="宋体"/>
                <w:color w:val="000000"/>
                <w:sz w:val="18"/>
                <w:szCs w:val="18"/>
              </w:rPr>
              <w:t>件以上</w:t>
            </w:r>
            <w:r>
              <w:rPr>
                <w:rFonts w:hint="eastAsia" w:ascii="Calibri" w:hAnsi="Calibri" w:eastAsia="Calibri"/>
                <w:color w:val="000000"/>
                <w:sz w:val="18"/>
                <w:szCs w:val="18"/>
              </w:rPr>
              <w:t>5</w:t>
            </w:r>
            <w:r>
              <w:rPr>
                <w:rFonts w:hint="eastAsia" w:ascii="宋体" w:hAnsi="宋体" w:eastAsia="宋体"/>
                <w:color w:val="000000"/>
                <w:sz w:val="18"/>
                <w:szCs w:val="18"/>
              </w:rPr>
              <w:t>件以下</w:t>
            </w:r>
          </w:p>
        </w:tc>
        <w:tc>
          <w:tcPr>
            <w:tcW w:w="1080" w:type="dxa"/>
            <w:vMerge w:val="continue"/>
            <w:tcBorders>
              <w:top w:val="single" w:color="000000" w:sz="4" w:space="0"/>
              <w:left w:val="single" w:color="000000" w:sz="4" w:space="0"/>
              <w:bottom w:val="single" w:color="000000" w:sz="4" w:space="0"/>
              <w:right w:val="single" w:color="000000" w:sz="4" w:space="0"/>
            </w:tcBorders>
          </w:tcPr>
          <w:p w14:paraId="7A688194">
            <w:pPr>
              <w:rPr>
                <w:sz w:val="18"/>
                <w:szCs w:val="18"/>
              </w:rPr>
            </w:pPr>
          </w:p>
        </w:tc>
        <w:tc>
          <w:tcPr>
            <w:tcW w:w="5720" w:type="dxa"/>
            <w:tcBorders>
              <w:top w:val="single" w:color="000000" w:sz="4" w:space="0"/>
              <w:left w:val="single" w:color="000000" w:sz="4" w:space="0"/>
              <w:bottom w:val="single" w:color="000000" w:sz="4" w:space="0"/>
              <w:right w:val="single" w:color="000000" w:sz="4" w:space="0"/>
            </w:tcBorders>
            <w:vAlign w:val="top"/>
          </w:tcPr>
          <w:p w14:paraId="3AB5061F">
            <w:pPr>
              <w:wordWrap w:val="0"/>
              <w:autoSpaceDE w:val="0"/>
              <w:autoSpaceDN w:val="0"/>
              <w:spacing w:before="160" w:after="0" w:line="259" w:lineRule="exact"/>
              <w:ind w:left="120" w:right="6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2000</w:t>
            </w:r>
            <w:r>
              <w:rPr>
                <w:rFonts w:hint="eastAsia" w:ascii="宋体" w:hAnsi="宋体" w:eastAsia="宋体"/>
                <w:color w:val="000000"/>
                <w:sz w:val="18"/>
                <w:szCs w:val="18"/>
              </w:rPr>
              <w:t>元以上</w:t>
            </w:r>
            <w:r>
              <w:rPr>
                <w:rFonts w:hint="eastAsia" w:ascii="Calibri" w:hAnsi="Calibri" w:eastAsia="Calibri"/>
                <w:color w:val="000000"/>
                <w:sz w:val="18"/>
                <w:szCs w:val="18"/>
              </w:rPr>
              <w:t>4000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4</w:t>
            </w:r>
            <w:r>
              <w:rPr>
                <w:rFonts w:hint="eastAsia" w:ascii="宋体" w:hAnsi="宋体" w:eastAsia="宋体"/>
                <w:color w:val="000000"/>
                <w:sz w:val="18"/>
                <w:szCs w:val="18"/>
              </w:rPr>
              <w:t>万元以下罚款</w:t>
            </w:r>
          </w:p>
        </w:tc>
      </w:tr>
      <w:tr w14:paraId="75F1635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760" w:hRule="atLeast"/>
        </w:trPr>
        <w:tc>
          <w:tcPr>
            <w:tcW w:w="1220" w:type="dxa"/>
            <w:vMerge w:val="continue"/>
            <w:tcBorders>
              <w:top w:val="single" w:color="000000" w:sz="4" w:space="0"/>
              <w:left w:val="single" w:color="000000" w:sz="4" w:space="0"/>
              <w:bottom w:val="single" w:color="000000" w:sz="4" w:space="0"/>
              <w:right w:val="single" w:color="000000" w:sz="4" w:space="0"/>
            </w:tcBorders>
          </w:tcPr>
          <w:p w14:paraId="4662EEC5">
            <w:pPr>
              <w:rPr>
                <w:sz w:val="18"/>
                <w:szCs w:val="18"/>
              </w:rPr>
            </w:pPr>
          </w:p>
        </w:tc>
        <w:tc>
          <w:tcPr>
            <w:tcW w:w="6020" w:type="dxa"/>
            <w:tcBorders>
              <w:top w:val="single" w:color="000000" w:sz="4" w:space="0"/>
              <w:left w:val="single" w:color="000000" w:sz="4" w:space="0"/>
              <w:bottom w:val="single" w:color="000000" w:sz="4" w:space="0"/>
              <w:right w:val="single" w:color="000000" w:sz="4" w:space="0"/>
            </w:tcBorders>
            <w:vAlign w:val="top"/>
          </w:tcPr>
          <w:p w14:paraId="1DD92A51">
            <w:pPr>
              <w:wordWrap w:val="0"/>
              <w:autoSpaceDE w:val="0"/>
              <w:autoSpaceDN w:val="0"/>
              <w:spacing w:before="0" w:after="0" w:line="259" w:lineRule="exact"/>
              <w:ind w:firstLine="0"/>
              <w:jc w:val="both"/>
              <w:rPr>
                <w:rFonts w:hint="eastAsia" w:ascii="宋体" w:hAnsi="宋体" w:eastAsia="宋体"/>
                <w:color w:val="000000"/>
                <w:sz w:val="18"/>
                <w:szCs w:val="18"/>
              </w:rPr>
            </w:pPr>
          </w:p>
          <w:p w14:paraId="27B84D81">
            <w:pPr>
              <w:wordWrap w:val="0"/>
              <w:autoSpaceDE w:val="0"/>
              <w:autoSpaceDN w:val="0"/>
              <w:spacing w:before="0" w:after="0" w:line="259" w:lineRule="exact"/>
              <w:ind w:firstLine="80"/>
              <w:jc w:val="both"/>
              <w:rPr>
                <w:sz w:val="18"/>
                <w:szCs w:val="18"/>
              </w:rPr>
            </w:pPr>
            <w:r>
              <w:rPr>
                <w:rFonts w:hint="eastAsia" w:ascii="宋体" w:hAnsi="宋体" w:eastAsia="宋体"/>
                <w:color w:val="000000"/>
                <w:sz w:val="18"/>
                <w:szCs w:val="18"/>
              </w:rPr>
              <w:t>挪用或者损坏封堵板、活门槛等平战转换设备设施</w:t>
            </w:r>
            <w:r>
              <w:rPr>
                <w:rFonts w:hint="eastAsia" w:ascii="Calibri" w:hAnsi="Calibri" w:eastAsia="Calibri"/>
                <w:color w:val="000000"/>
                <w:sz w:val="18"/>
                <w:szCs w:val="18"/>
              </w:rPr>
              <w:t>5</w:t>
            </w:r>
            <w:r>
              <w:rPr>
                <w:rFonts w:hint="eastAsia" w:ascii="宋体" w:hAnsi="宋体" w:eastAsia="宋体"/>
                <w:color w:val="000000"/>
                <w:sz w:val="18"/>
                <w:szCs w:val="18"/>
              </w:rPr>
              <w:t>件以上</w:t>
            </w:r>
          </w:p>
        </w:tc>
        <w:tc>
          <w:tcPr>
            <w:tcW w:w="1080" w:type="dxa"/>
            <w:tcBorders>
              <w:top w:val="single" w:color="000000" w:sz="4" w:space="0"/>
              <w:left w:val="single" w:color="000000" w:sz="4" w:space="0"/>
              <w:bottom w:val="single" w:color="000000" w:sz="4" w:space="0"/>
              <w:right w:val="single" w:color="000000" w:sz="4" w:space="0"/>
            </w:tcBorders>
            <w:vAlign w:val="center"/>
          </w:tcPr>
          <w:p w14:paraId="34B7407E">
            <w:pPr>
              <w:wordWrap w:val="0"/>
              <w:autoSpaceDE w:val="0"/>
              <w:autoSpaceDN w:val="0"/>
              <w:spacing w:before="0" w:after="0" w:line="272" w:lineRule="exact"/>
              <w:jc w:val="center"/>
              <w:rPr>
                <w:rFonts w:hint="eastAsia" w:ascii="宋体" w:hAnsi="宋体" w:eastAsia="宋体"/>
                <w:color w:val="000000"/>
                <w:sz w:val="18"/>
                <w:szCs w:val="18"/>
              </w:rPr>
            </w:pPr>
          </w:p>
        </w:tc>
        <w:tc>
          <w:tcPr>
            <w:tcW w:w="5720" w:type="dxa"/>
            <w:tcBorders>
              <w:top w:val="single" w:color="000000" w:sz="4" w:space="0"/>
              <w:left w:val="single" w:color="000000" w:sz="4" w:space="0"/>
              <w:bottom w:val="single" w:color="000000" w:sz="4" w:space="0"/>
              <w:right w:val="single" w:color="000000" w:sz="4" w:space="0"/>
            </w:tcBorders>
            <w:vAlign w:val="top"/>
          </w:tcPr>
          <w:p w14:paraId="21828ED8">
            <w:pPr>
              <w:wordWrap w:val="0"/>
              <w:autoSpaceDE w:val="0"/>
              <w:autoSpaceDN w:val="0"/>
              <w:spacing w:before="140" w:after="0" w:line="259" w:lineRule="exact"/>
              <w:ind w:left="100" w:right="6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4000</w:t>
            </w:r>
            <w:r>
              <w:rPr>
                <w:rFonts w:hint="eastAsia" w:ascii="宋体" w:hAnsi="宋体" w:eastAsia="宋体"/>
                <w:color w:val="000000"/>
                <w:sz w:val="18"/>
                <w:szCs w:val="18"/>
              </w:rPr>
              <w:t>元以上</w:t>
            </w:r>
            <w:r>
              <w:rPr>
                <w:rFonts w:hint="eastAsia" w:ascii="Calibri" w:hAnsi="Calibri" w:eastAsia="Calibri"/>
                <w:color w:val="000000"/>
                <w:sz w:val="18"/>
                <w:szCs w:val="18"/>
              </w:rPr>
              <w:t>5000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4</w:t>
            </w:r>
            <w:r>
              <w:rPr>
                <w:rFonts w:hint="eastAsia" w:ascii="宋体" w:hAnsi="宋体" w:eastAsia="宋体"/>
                <w:color w:val="000000"/>
                <w:sz w:val="18"/>
                <w:szCs w:val="18"/>
              </w:rPr>
              <w:t>万元以上</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bl>
    <w:p w14:paraId="142DEA5B">
      <w:pPr>
        <w:rPr>
          <w:sz w:val="18"/>
          <w:szCs w:val="18"/>
        </w:rPr>
      </w:pPr>
    </w:p>
    <w:p w14:paraId="63CC8B82">
      <w:pPr>
        <w:rPr>
          <w:sz w:val="18"/>
          <w:szCs w:val="18"/>
        </w:rPr>
      </w:pPr>
    </w:p>
    <w:p w14:paraId="41FC8068">
      <w:pPr>
        <w:rPr>
          <w:sz w:val="18"/>
          <w:szCs w:val="18"/>
        </w:rPr>
      </w:pPr>
    </w:p>
    <w:p w14:paraId="03A9BF66">
      <w:pPr>
        <w:rPr>
          <w:sz w:val="18"/>
          <w:szCs w:val="18"/>
        </w:rPr>
      </w:pPr>
    </w:p>
    <w:p w14:paraId="5F7CF284">
      <w:pPr>
        <w:rPr>
          <w:sz w:val="18"/>
          <w:szCs w:val="18"/>
        </w:rPr>
      </w:pPr>
    </w:p>
    <w:tbl>
      <w:tblPr>
        <w:tblStyle w:val="15"/>
        <w:tblW w:w="0" w:type="auto"/>
        <w:tblInd w:w="20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1201"/>
        <w:gridCol w:w="5866"/>
        <w:gridCol w:w="1102"/>
        <w:gridCol w:w="5599"/>
      </w:tblGrid>
      <w:tr w14:paraId="5FAA179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697FC056">
            <w:pPr>
              <w:wordWrap w:val="0"/>
              <w:autoSpaceDE w:val="0"/>
              <w:autoSpaceDN w:val="0"/>
              <w:spacing w:before="53" w:after="0" w:line="246" w:lineRule="exact"/>
              <w:jc w:val="center"/>
              <w:rPr>
                <w:sz w:val="18"/>
                <w:szCs w:val="18"/>
              </w:rPr>
            </w:pPr>
            <w:r>
              <w:rPr>
                <w:rFonts w:hint="eastAsia" w:ascii="宋体" w:hAnsi="宋体" w:eastAsia="宋体"/>
                <w:color w:val="000000"/>
                <w:sz w:val="18"/>
                <w:szCs w:val="18"/>
              </w:rPr>
              <w:t>序号</w:t>
            </w:r>
          </w:p>
        </w:tc>
        <w:tc>
          <w:tcPr>
            <w:tcW w:w="12840" w:type="dxa"/>
            <w:gridSpan w:val="3"/>
            <w:tcBorders>
              <w:top w:val="single" w:color="000000" w:sz="4" w:space="0"/>
              <w:left w:val="single" w:color="000000" w:sz="4" w:space="0"/>
              <w:bottom w:val="single" w:color="000000" w:sz="4" w:space="0"/>
              <w:right w:val="single" w:color="000000" w:sz="4" w:space="0"/>
            </w:tcBorders>
            <w:vAlign w:val="top"/>
          </w:tcPr>
          <w:p w14:paraId="6D2550D5">
            <w:pPr>
              <w:wordWrap w:val="0"/>
              <w:autoSpaceDE w:val="0"/>
              <w:autoSpaceDN w:val="0"/>
              <w:spacing w:before="93" w:after="0" w:line="246" w:lineRule="exact"/>
              <w:ind w:firstLine="60"/>
              <w:jc w:val="both"/>
              <w:rPr>
                <w:rFonts w:hint="eastAsia" w:eastAsia="宋体"/>
                <w:sz w:val="18"/>
                <w:szCs w:val="18"/>
                <w:lang w:val="en-US" w:eastAsia="zh-CN"/>
              </w:rPr>
            </w:pPr>
            <w:r>
              <w:rPr>
                <w:rFonts w:hint="eastAsia" w:ascii="Calibri" w:hAnsi="Calibri" w:eastAsia="Calibri"/>
                <w:color w:val="000000"/>
                <w:sz w:val="18"/>
                <w:szCs w:val="18"/>
              </w:rPr>
              <w:t>3</w:t>
            </w:r>
            <w:r>
              <w:rPr>
                <w:rFonts w:hint="eastAsia" w:ascii="Calibri" w:hAnsi="Calibri"/>
                <w:color w:val="000000"/>
                <w:sz w:val="18"/>
                <w:szCs w:val="18"/>
                <w:lang w:val="en-US" w:eastAsia="zh-CN"/>
              </w:rPr>
              <w:t>6</w:t>
            </w:r>
          </w:p>
        </w:tc>
      </w:tr>
      <w:tr w14:paraId="2E1D180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7D608AE9">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编号</w:t>
            </w:r>
          </w:p>
        </w:tc>
        <w:tc>
          <w:tcPr>
            <w:tcW w:w="12840" w:type="dxa"/>
            <w:gridSpan w:val="3"/>
            <w:tcBorders>
              <w:top w:val="single" w:color="000000" w:sz="4" w:space="0"/>
              <w:left w:val="single" w:color="000000" w:sz="4" w:space="0"/>
              <w:bottom w:val="single" w:color="000000" w:sz="4" w:space="0"/>
              <w:right w:val="single" w:color="000000" w:sz="4" w:space="0"/>
            </w:tcBorders>
            <w:vAlign w:val="top"/>
          </w:tcPr>
          <w:p w14:paraId="102417C8">
            <w:pPr>
              <w:wordWrap w:val="0"/>
              <w:autoSpaceDE w:val="0"/>
              <w:autoSpaceDN w:val="0"/>
              <w:spacing w:before="53" w:after="0" w:line="246" w:lineRule="exact"/>
              <w:ind w:firstLine="60"/>
              <w:jc w:val="both"/>
              <w:rPr>
                <w:sz w:val="18"/>
                <w:szCs w:val="18"/>
              </w:rPr>
            </w:pPr>
            <w:r>
              <w:rPr>
                <w:rFonts w:hint="eastAsia" w:ascii="Calibri" w:hAnsi="Calibri" w:eastAsia="Calibri"/>
                <w:color w:val="000000"/>
                <w:sz w:val="18"/>
                <w:szCs w:val="18"/>
              </w:rPr>
              <w:t>320280118000</w:t>
            </w:r>
          </w:p>
        </w:tc>
      </w:tr>
      <w:tr w14:paraId="78972F0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14422041">
            <w:pPr>
              <w:wordWrap w:val="0"/>
              <w:autoSpaceDE w:val="0"/>
              <w:autoSpaceDN w:val="0"/>
              <w:spacing w:before="13" w:after="0" w:line="246" w:lineRule="exact"/>
              <w:jc w:val="center"/>
              <w:rPr>
                <w:sz w:val="18"/>
                <w:szCs w:val="18"/>
              </w:rPr>
            </w:pPr>
            <w:r>
              <w:rPr>
                <w:rFonts w:hint="eastAsia" w:ascii="宋体" w:hAnsi="宋体" w:eastAsia="宋体"/>
                <w:color w:val="000000"/>
                <w:sz w:val="18"/>
                <w:szCs w:val="18"/>
              </w:rPr>
              <w:t>行为名称</w:t>
            </w:r>
          </w:p>
        </w:tc>
        <w:tc>
          <w:tcPr>
            <w:tcW w:w="12840" w:type="dxa"/>
            <w:gridSpan w:val="3"/>
            <w:tcBorders>
              <w:top w:val="single" w:color="000000" w:sz="4" w:space="0"/>
              <w:left w:val="single" w:color="000000" w:sz="4" w:space="0"/>
              <w:bottom w:val="single" w:color="000000" w:sz="4" w:space="0"/>
              <w:right w:val="single" w:color="000000" w:sz="4" w:space="0"/>
            </w:tcBorders>
            <w:vAlign w:val="top"/>
          </w:tcPr>
          <w:p w14:paraId="27F872C1">
            <w:pPr>
              <w:wordWrap w:val="0"/>
              <w:autoSpaceDE w:val="0"/>
              <w:autoSpaceDN w:val="0"/>
              <w:spacing w:before="53" w:after="0" w:line="246" w:lineRule="exact"/>
              <w:ind w:firstLine="80"/>
              <w:jc w:val="both"/>
              <w:rPr>
                <w:sz w:val="18"/>
                <w:szCs w:val="18"/>
              </w:rPr>
            </w:pPr>
            <w:r>
              <w:rPr>
                <w:rFonts w:hint="eastAsia" w:ascii="宋体" w:hAnsi="宋体" w:eastAsia="宋体"/>
                <w:color w:val="000000"/>
                <w:sz w:val="18"/>
                <w:szCs w:val="18"/>
              </w:rPr>
              <w:t>对安装充电设备设施破坏人防工程战时防护效能的处罚</w:t>
            </w:r>
          </w:p>
        </w:tc>
      </w:tr>
      <w:tr w14:paraId="7F56469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60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69A58756">
            <w:pPr>
              <w:wordWrap w:val="0"/>
              <w:autoSpaceDE w:val="0"/>
              <w:autoSpaceDN w:val="0"/>
              <w:spacing w:before="0" w:after="0" w:line="246" w:lineRule="exact"/>
              <w:ind w:firstLine="0"/>
              <w:jc w:val="both"/>
              <w:rPr>
                <w:rFonts w:hint="eastAsia" w:ascii="宋体" w:hAnsi="宋体" w:eastAsia="宋体"/>
                <w:color w:val="000000"/>
                <w:sz w:val="18"/>
                <w:szCs w:val="18"/>
              </w:rPr>
            </w:pPr>
          </w:p>
          <w:p w14:paraId="5D69B8CA">
            <w:pPr>
              <w:wordWrap w:val="0"/>
              <w:autoSpaceDE w:val="0"/>
              <w:autoSpaceDN w:val="0"/>
              <w:spacing w:before="0" w:after="0" w:line="246" w:lineRule="exact"/>
              <w:ind w:firstLine="0"/>
              <w:jc w:val="both"/>
              <w:rPr>
                <w:rFonts w:hint="eastAsia" w:ascii="宋体" w:hAnsi="宋体" w:eastAsia="宋体"/>
                <w:color w:val="000000"/>
                <w:sz w:val="18"/>
                <w:szCs w:val="18"/>
              </w:rPr>
            </w:pPr>
          </w:p>
          <w:p w14:paraId="1BB66E1A">
            <w:pPr>
              <w:wordWrap w:val="0"/>
              <w:autoSpaceDE w:val="0"/>
              <w:autoSpaceDN w:val="0"/>
              <w:spacing w:before="207" w:after="0" w:line="246" w:lineRule="exact"/>
              <w:ind w:firstLine="220"/>
              <w:jc w:val="both"/>
              <w:rPr>
                <w:sz w:val="18"/>
                <w:szCs w:val="18"/>
              </w:rPr>
            </w:pPr>
            <w:r>
              <w:rPr>
                <w:rFonts w:hint="eastAsia" w:ascii="宋体" w:hAnsi="宋体" w:eastAsia="宋体"/>
                <w:color w:val="000000"/>
                <w:sz w:val="18"/>
                <w:szCs w:val="18"/>
              </w:rPr>
              <w:t>法律依据</w:t>
            </w:r>
          </w:p>
        </w:tc>
        <w:tc>
          <w:tcPr>
            <w:tcW w:w="12840" w:type="dxa"/>
            <w:gridSpan w:val="3"/>
            <w:tcBorders>
              <w:top w:val="single" w:color="000000" w:sz="4" w:space="0"/>
              <w:left w:val="single" w:color="000000" w:sz="4" w:space="0"/>
              <w:bottom w:val="single" w:color="000000" w:sz="4" w:space="0"/>
              <w:right w:val="single" w:color="000000" w:sz="4" w:space="0"/>
            </w:tcBorders>
            <w:vAlign w:val="top"/>
          </w:tcPr>
          <w:p w14:paraId="1CC12FFB">
            <w:pPr>
              <w:wordWrap w:val="0"/>
              <w:autoSpaceDE w:val="0"/>
              <w:autoSpaceDN w:val="0"/>
              <w:spacing w:before="93" w:after="0" w:line="246" w:lineRule="exact"/>
              <w:ind w:firstLine="120"/>
              <w:jc w:val="both"/>
              <w:rPr>
                <w:sz w:val="18"/>
                <w:szCs w:val="18"/>
              </w:rPr>
            </w:pPr>
            <w:r>
              <w:rPr>
                <w:rFonts w:hint="eastAsia" w:ascii="宋体" w:hAnsi="宋体" w:eastAsia="宋体"/>
                <w:color w:val="000000"/>
                <w:sz w:val="18"/>
                <w:szCs w:val="18"/>
              </w:rPr>
              <w:t>【地方政府规章】《江苏省人民防空工程维护管理规定》（省政府令第</w:t>
            </w:r>
            <w:r>
              <w:rPr>
                <w:rFonts w:hint="eastAsia" w:ascii="Calibri" w:hAnsi="Calibri" w:eastAsia="Calibri"/>
                <w:color w:val="000000"/>
                <w:sz w:val="18"/>
                <w:szCs w:val="18"/>
              </w:rPr>
              <w:t>165</w:t>
            </w:r>
            <w:r>
              <w:rPr>
                <w:rFonts w:hint="eastAsia" w:ascii="宋体" w:hAnsi="宋体" w:eastAsia="宋体"/>
                <w:color w:val="000000"/>
                <w:sz w:val="18"/>
                <w:szCs w:val="18"/>
              </w:rPr>
              <w:t>号）</w:t>
            </w:r>
          </w:p>
          <w:p w14:paraId="1B3961CF">
            <w:pPr>
              <w:wordWrap w:val="0"/>
              <w:autoSpaceDE w:val="0"/>
              <w:autoSpaceDN w:val="0"/>
              <w:spacing w:before="73" w:after="0" w:line="246" w:lineRule="exact"/>
              <w:ind w:firstLine="500"/>
              <w:jc w:val="both"/>
              <w:rPr>
                <w:sz w:val="18"/>
                <w:szCs w:val="18"/>
              </w:rPr>
            </w:pPr>
            <w:r>
              <w:rPr>
                <w:rFonts w:hint="eastAsia" w:ascii="宋体" w:hAnsi="宋体" w:eastAsia="宋体"/>
                <w:color w:val="000000"/>
                <w:sz w:val="18"/>
                <w:szCs w:val="18"/>
              </w:rPr>
              <w:t>第二十条 禁止任何单位或者个人实施影响人防工程使用或者降低人防工程防护能力的下列行为：</w:t>
            </w:r>
          </w:p>
          <w:p w14:paraId="7DD4882A">
            <w:pPr>
              <w:wordWrap w:val="0"/>
              <w:autoSpaceDE w:val="0"/>
              <w:autoSpaceDN w:val="0"/>
              <w:spacing w:before="53" w:after="0" w:line="246" w:lineRule="exact"/>
              <w:ind w:firstLine="560"/>
              <w:jc w:val="both"/>
              <w:rPr>
                <w:sz w:val="18"/>
                <w:szCs w:val="18"/>
              </w:rPr>
            </w:pPr>
            <w:r>
              <w:rPr>
                <w:rFonts w:hint="eastAsia" w:ascii="宋体" w:hAnsi="宋体" w:eastAsia="宋体"/>
                <w:color w:val="000000"/>
                <w:sz w:val="18"/>
                <w:szCs w:val="18"/>
              </w:rPr>
              <w:t>（三）安装充电设备设施破坏人防工程战时防护效能；</w:t>
            </w:r>
          </w:p>
          <w:p w14:paraId="3B68E8F8">
            <w:pPr>
              <w:wordWrap w:val="0"/>
              <w:autoSpaceDE w:val="0"/>
              <w:autoSpaceDN w:val="0"/>
              <w:spacing w:before="63" w:after="0" w:line="246" w:lineRule="exact"/>
              <w:ind w:left="80" w:right="40" w:firstLine="420"/>
              <w:jc w:val="both"/>
              <w:rPr>
                <w:sz w:val="18"/>
                <w:szCs w:val="18"/>
              </w:rPr>
            </w:pPr>
            <w:r>
              <w:rPr>
                <w:rFonts w:hint="eastAsia" w:ascii="宋体" w:hAnsi="宋体" w:eastAsia="宋体"/>
                <w:color w:val="000000"/>
                <w:sz w:val="18"/>
                <w:szCs w:val="18"/>
              </w:rPr>
              <w:t>第三十条 对未达到本规定第十二条要求或者违反第二十条规定的，由人防主管部门对当事人给予警告，并责令限期改正，可以对个人并处一千元以上五千元以下罚款，对单位并处一万元以上五万元以下罚款；造成损失的，应当依法赔偿损失。</w:t>
            </w:r>
          </w:p>
        </w:tc>
      </w:tr>
      <w:tr w14:paraId="6189336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1220" w:type="dxa"/>
            <w:tcBorders>
              <w:top w:val="single" w:color="000000" w:sz="4" w:space="0"/>
              <w:left w:val="single" w:color="000000" w:sz="4" w:space="0"/>
              <w:bottom w:val="single" w:color="000000" w:sz="4" w:space="0"/>
              <w:right w:val="single" w:color="000000" w:sz="4" w:space="0"/>
            </w:tcBorders>
            <w:vAlign w:val="top"/>
          </w:tcPr>
          <w:p w14:paraId="0F7A4C40">
            <w:pPr>
              <w:wordWrap w:val="0"/>
              <w:autoSpaceDE w:val="0"/>
              <w:autoSpaceDN w:val="0"/>
              <w:spacing w:before="13" w:after="0" w:line="246" w:lineRule="exact"/>
              <w:ind w:firstLine="220"/>
              <w:jc w:val="both"/>
              <w:rPr>
                <w:sz w:val="18"/>
                <w:szCs w:val="18"/>
              </w:rPr>
            </w:pPr>
            <w:r>
              <w:rPr>
                <w:rFonts w:hint="eastAsia" w:ascii="宋体" w:hAnsi="宋体" w:eastAsia="宋体"/>
                <w:color w:val="000000"/>
                <w:sz w:val="18"/>
                <w:szCs w:val="18"/>
              </w:rPr>
              <w:t>处罚种类</w:t>
            </w:r>
          </w:p>
        </w:tc>
        <w:tc>
          <w:tcPr>
            <w:tcW w:w="12840" w:type="dxa"/>
            <w:gridSpan w:val="3"/>
            <w:tcBorders>
              <w:top w:val="single" w:color="000000" w:sz="4" w:space="0"/>
              <w:left w:val="single" w:color="000000" w:sz="4" w:space="0"/>
              <w:bottom w:val="single" w:color="000000" w:sz="4" w:space="0"/>
              <w:right w:val="single" w:color="000000" w:sz="4" w:space="0"/>
            </w:tcBorders>
            <w:vAlign w:val="top"/>
          </w:tcPr>
          <w:p w14:paraId="332CE266">
            <w:pPr>
              <w:wordWrap w:val="0"/>
              <w:autoSpaceDE w:val="0"/>
              <w:autoSpaceDN w:val="0"/>
              <w:spacing w:before="53" w:after="0" w:line="246" w:lineRule="exact"/>
              <w:ind w:firstLine="80"/>
              <w:jc w:val="both"/>
              <w:rPr>
                <w:sz w:val="18"/>
                <w:szCs w:val="18"/>
              </w:rPr>
            </w:pPr>
            <w:r>
              <w:rPr>
                <w:rFonts w:hint="eastAsia" w:ascii="宋体" w:hAnsi="宋体" w:eastAsia="宋体"/>
                <w:color w:val="000000"/>
                <w:sz w:val="18"/>
                <w:szCs w:val="18"/>
              </w:rPr>
              <w:t>警告、罚款</w:t>
            </w:r>
          </w:p>
        </w:tc>
      </w:tr>
      <w:tr w14:paraId="79CF5AB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14060" w:type="dxa"/>
            <w:gridSpan w:val="4"/>
            <w:tcBorders>
              <w:top w:val="single" w:color="000000" w:sz="4" w:space="0"/>
              <w:left w:val="single" w:color="000000" w:sz="4" w:space="0"/>
              <w:bottom w:val="single" w:color="000000" w:sz="4" w:space="0"/>
              <w:right w:val="single" w:color="000000" w:sz="4" w:space="0"/>
            </w:tcBorders>
            <w:vAlign w:val="top"/>
          </w:tcPr>
          <w:p w14:paraId="33322B54">
            <w:pPr>
              <w:wordWrap w:val="0"/>
              <w:autoSpaceDE w:val="0"/>
              <w:autoSpaceDN w:val="0"/>
              <w:spacing w:before="53" w:after="0" w:line="246" w:lineRule="exact"/>
              <w:jc w:val="center"/>
              <w:rPr>
                <w:sz w:val="18"/>
                <w:szCs w:val="18"/>
              </w:rPr>
            </w:pPr>
            <w:r>
              <w:rPr>
                <w:rFonts w:hint="eastAsia" w:ascii="宋体" w:hAnsi="宋体" w:eastAsia="宋体"/>
                <w:color w:val="000000"/>
                <w:sz w:val="18"/>
                <w:szCs w:val="18"/>
              </w:rPr>
              <w:t>自由裁量基准</w:t>
            </w:r>
          </w:p>
        </w:tc>
      </w:tr>
      <w:tr w14:paraId="5A4CA2C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60" w:hRule="atLeast"/>
        </w:trPr>
        <w:tc>
          <w:tcPr>
            <w:tcW w:w="1220" w:type="dxa"/>
            <w:vMerge w:val="restart"/>
            <w:tcBorders>
              <w:top w:val="single" w:color="000000" w:sz="4" w:space="0"/>
              <w:left w:val="single" w:color="000000" w:sz="4" w:space="0"/>
              <w:bottom w:val="single" w:color="000000" w:sz="4" w:space="0"/>
              <w:right w:val="single" w:color="000000" w:sz="4" w:space="0"/>
            </w:tcBorders>
            <w:vAlign w:val="top"/>
          </w:tcPr>
          <w:p w14:paraId="3373FE3C">
            <w:pPr>
              <w:wordWrap w:val="0"/>
              <w:autoSpaceDE w:val="0"/>
              <w:autoSpaceDN w:val="0"/>
              <w:spacing w:before="0" w:after="0" w:line="246" w:lineRule="exact"/>
              <w:ind w:firstLine="0"/>
              <w:jc w:val="both"/>
              <w:rPr>
                <w:rFonts w:hint="eastAsia" w:ascii="宋体" w:hAnsi="宋体" w:eastAsia="宋体"/>
                <w:color w:val="000000"/>
                <w:sz w:val="18"/>
                <w:szCs w:val="18"/>
              </w:rPr>
            </w:pPr>
          </w:p>
          <w:p w14:paraId="67ED95DA">
            <w:pPr>
              <w:wordWrap w:val="0"/>
              <w:autoSpaceDE w:val="0"/>
              <w:autoSpaceDN w:val="0"/>
              <w:spacing w:before="0" w:after="0" w:line="246" w:lineRule="exact"/>
              <w:ind w:firstLine="0"/>
              <w:jc w:val="both"/>
              <w:rPr>
                <w:rFonts w:hint="eastAsia" w:ascii="宋体" w:hAnsi="宋体" w:eastAsia="宋体"/>
                <w:color w:val="000000"/>
                <w:sz w:val="18"/>
                <w:szCs w:val="18"/>
              </w:rPr>
            </w:pPr>
          </w:p>
          <w:p w14:paraId="6141CF48">
            <w:pPr>
              <w:wordWrap w:val="0"/>
              <w:autoSpaceDE w:val="0"/>
              <w:autoSpaceDN w:val="0"/>
              <w:spacing w:before="0" w:after="0" w:line="246" w:lineRule="exact"/>
              <w:ind w:firstLine="0"/>
              <w:jc w:val="both"/>
              <w:rPr>
                <w:rFonts w:hint="eastAsia" w:ascii="宋体" w:hAnsi="宋体" w:eastAsia="宋体"/>
                <w:color w:val="000000"/>
                <w:sz w:val="18"/>
                <w:szCs w:val="18"/>
              </w:rPr>
            </w:pPr>
          </w:p>
          <w:p w14:paraId="422059D8">
            <w:pPr>
              <w:wordWrap w:val="0"/>
              <w:autoSpaceDE w:val="0"/>
              <w:autoSpaceDN w:val="0"/>
              <w:spacing w:before="180" w:after="0" w:line="246" w:lineRule="exact"/>
              <w:jc w:val="center"/>
              <w:rPr>
                <w:sz w:val="18"/>
                <w:szCs w:val="18"/>
              </w:rPr>
            </w:pPr>
            <w:r>
              <w:rPr>
                <w:rFonts w:hint="eastAsia" w:ascii="宋体" w:hAnsi="宋体" w:eastAsia="宋体"/>
                <w:color w:val="000000"/>
                <w:sz w:val="18"/>
                <w:szCs w:val="18"/>
              </w:rPr>
              <w:t>情形描述</w:t>
            </w:r>
          </w:p>
        </w:tc>
        <w:tc>
          <w:tcPr>
            <w:tcW w:w="6000" w:type="dxa"/>
            <w:tcBorders>
              <w:top w:val="single" w:color="000000" w:sz="4" w:space="0"/>
              <w:left w:val="single" w:color="000000" w:sz="4" w:space="0"/>
              <w:bottom w:val="single" w:color="000000" w:sz="4" w:space="0"/>
              <w:right w:val="single" w:color="000000" w:sz="4" w:space="0"/>
            </w:tcBorders>
            <w:vAlign w:val="top"/>
          </w:tcPr>
          <w:p w14:paraId="23B873BF">
            <w:pPr>
              <w:wordWrap w:val="0"/>
              <w:autoSpaceDE w:val="0"/>
              <w:autoSpaceDN w:val="0"/>
              <w:spacing w:before="240" w:after="0" w:line="246" w:lineRule="exact"/>
              <w:ind w:firstLine="80"/>
              <w:jc w:val="both"/>
              <w:rPr>
                <w:sz w:val="18"/>
                <w:szCs w:val="18"/>
              </w:rPr>
            </w:pPr>
            <w:r>
              <w:rPr>
                <w:rFonts w:hint="eastAsia" w:ascii="宋体" w:hAnsi="宋体" w:eastAsia="宋体"/>
                <w:color w:val="000000"/>
                <w:sz w:val="18"/>
                <w:szCs w:val="18"/>
              </w:rPr>
              <w:t>安装充电设备设施影响人防工程战时防护效能</w:t>
            </w:r>
            <w:r>
              <w:rPr>
                <w:rFonts w:hint="eastAsia" w:ascii="Calibri" w:hAnsi="Calibri" w:eastAsia="Calibri"/>
                <w:color w:val="000000"/>
                <w:sz w:val="18"/>
                <w:szCs w:val="18"/>
              </w:rPr>
              <w:t>1</w:t>
            </w:r>
            <w:r>
              <w:rPr>
                <w:rFonts w:hint="eastAsia" w:ascii="宋体" w:hAnsi="宋体" w:eastAsia="宋体"/>
                <w:color w:val="000000"/>
                <w:sz w:val="18"/>
                <w:szCs w:val="18"/>
              </w:rPr>
              <w:t>-</w:t>
            </w:r>
            <w:r>
              <w:rPr>
                <w:rFonts w:hint="eastAsia" w:ascii="Calibri" w:hAnsi="Calibri" w:eastAsia="Calibri"/>
                <w:color w:val="000000"/>
                <w:sz w:val="18"/>
                <w:szCs w:val="18"/>
              </w:rPr>
              <w:t>2</w:t>
            </w:r>
            <w:r>
              <w:rPr>
                <w:rFonts w:hint="eastAsia" w:ascii="宋体" w:hAnsi="宋体" w:eastAsia="宋体"/>
                <w:color w:val="000000"/>
                <w:sz w:val="18"/>
                <w:szCs w:val="18"/>
              </w:rPr>
              <w:t>处</w:t>
            </w:r>
          </w:p>
        </w:tc>
        <w:tc>
          <w:tcPr>
            <w:tcW w:w="1120" w:type="dxa"/>
            <w:vMerge w:val="restart"/>
            <w:tcBorders>
              <w:top w:val="single" w:color="000000" w:sz="4" w:space="0"/>
              <w:left w:val="single" w:color="000000" w:sz="4" w:space="0"/>
              <w:bottom w:val="single" w:color="000000" w:sz="4" w:space="0"/>
              <w:right w:val="single" w:color="000000" w:sz="4" w:space="0"/>
            </w:tcBorders>
            <w:vAlign w:val="top"/>
          </w:tcPr>
          <w:p w14:paraId="660E2EDB">
            <w:pPr>
              <w:wordWrap w:val="0"/>
              <w:autoSpaceDE w:val="0"/>
              <w:autoSpaceDN w:val="0"/>
              <w:spacing w:before="0" w:after="0" w:line="246" w:lineRule="exact"/>
              <w:ind w:firstLine="0"/>
              <w:jc w:val="both"/>
              <w:rPr>
                <w:rFonts w:hint="eastAsia" w:ascii="宋体" w:hAnsi="宋体" w:eastAsia="宋体"/>
                <w:color w:val="000000"/>
                <w:sz w:val="18"/>
                <w:szCs w:val="18"/>
              </w:rPr>
            </w:pPr>
          </w:p>
          <w:p w14:paraId="59643417">
            <w:pPr>
              <w:wordWrap w:val="0"/>
              <w:autoSpaceDE w:val="0"/>
              <w:autoSpaceDN w:val="0"/>
              <w:spacing w:before="0" w:after="0" w:line="246" w:lineRule="exact"/>
              <w:ind w:firstLine="0"/>
              <w:jc w:val="both"/>
              <w:rPr>
                <w:rFonts w:hint="eastAsia" w:ascii="宋体" w:hAnsi="宋体" w:eastAsia="宋体"/>
                <w:color w:val="000000"/>
                <w:sz w:val="18"/>
                <w:szCs w:val="18"/>
              </w:rPr>
            </w:pPr>
          </w:p>
          <w:p w14:paraId="5E3E1E4C">
            <w:pPr>
              <w:wordWrap w:val="0"/>
              <w:autoSpaceDE w:val="0"/>
              <w:autoSpaceDN w:val="0"/>
              <w:spacing w:before="0" w:after="0" w:line="246" w:lineRule="exact"/>
              <w:ind w:firstLine="0"/>
              <w:jc w:val="both"/>
              <w:rPr>
                <w:rFonts w:hint="eastAsia" w:ascii="宋体" w:hAnsi="宋体" w:eastAsia="宋体"/>
                <w:color w:val="000000"/>
                <w:sz w:val="18"/>
                <w:szCs w:val="18"/>
              </w:rPr>
            </w:pPr>
          </w:p>
          <w:p w14:paraId="44260A2A">
            <w:pPr>
              <w:wordWrap w:val="0"/>
              <w:autoSpaceDE w:val="0"/>
              <w:autoSpaceDN w:val="0"/>
              <w:spacing w:before="160" w:after="0" w:line="246" w:lineRule="exact"/>
              <w:ind w:firstLine="160"/>
              <w:jc w:val="both"/>
              <w:rPr>
                <w:sz w:val="18"/>
                <w:szCs w:val="18"/>
              </w:rPr>
            </w:pPr>
            <w:r>
              <w:rPr>
                <w:rFonts w:hint="eastAsia" w:ascii="宋体" w:hAnsi="宋体" w:eastAsia="宋体"/>
                <w:color w:val="000000"/>
                <w:sz w:val="18"/>
                <w:szCs w:val="18"/>
              </w:rPr>
              <w:t>裁量幅度</w:t>
            </w:r>
          </w:p>
        </w:tc>
        <w:tc>
          <w:tcPr>
            <w:tcW w:w="5720" w:type="dxa"/>
            <w:tcBorders>
              <w:top w:val="single" w:color="000000" w:sz="4" w:space="0"/>
              <w:left w:val="single" w:color="000000" w:sz="4" w:space="0"/>
              <w:bottom w:val="single" w:color="000000" w:sz="4" w:space="0"/>
              <w:right w:val="single" w:color="000000" w:sz="4" w:space="0"/>
            </w:tcBorders>
            <w:vAlign w:val="top"/>
          </w:tcPr>
          <w:p w14:paraId="6807EDB7">
            <w:pPr>
              <w:wordWrap w:val="0"/>
              <w:autoSpaceDE w:val="0"/>
              <w:autoSpaceDN w:val="0"/>
              <w:spacing w:before="80" w:after="0" w:line="246" w:lineRule="exact"/>
              <w:ind w:left="80" w:right="60" w:firstLine="2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1000</w:t>
            </w:r>
            <w:r>
              <w:rPr>
                <w:rFonts w:hint="eastAsia" w:ascii="宋体" w:hAnsi="宋体" w:eastAsia="宋体"/>
                <w:color w:val="000000"/>
                <w:sz w:val="18"/>
                <w:szCs w:val="18"/>
              </w:rPr>
              <w:t>元以上</w:t>
            </w:r>
            <w:r>
              <w:rPr>
                <w:rFonts w:hint="eastAsia" w:ascii="Calibri" w:hAnsi="Calibri" w:eastAsia="Calibri"/>
                <w:color w:val="000000"/>
                <w:sz w:val="18"/>
                <w:szCs w:val="18"/>
              </w:rPr>
              <w:t>2000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1</w:t>
            </w:r>
            <w:r>
              <w:rPr>
                <w:rFonts w:hint="eastAsia" w:ascii="宋体" w:hAnsi="宋体" w:eastAsia="宋体"/>
                <w:color w:val="000000"/>
                <w:sz w:val="18"/>
                <w:szCs w:val="18"/>
              </w:rPr>
              <w:t>万元以上</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r w14:paraId="0B5CBF4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00" w:hRule="atLeast"/>
        </w:trPr>
        <w:tc>
          <w:tcPr>
            <w:tcW w:w="1220" w:type="dxa"/>
            <w:vMerge w:val="continue"/>
            <w:tcBorders>
              <w:top w:val="single" w:color="000000" w:sz="4" w:space="0"/>
              <w:left w:val="single" w:color="000000" w:sz="4" w:space="0"/>
              <w:bottom w:val="single" w:color="000000" w:sz="4" w:space="0"/>
              <w:right w:val="single" w:color="000000" w:sz="4" w:space="0"/>
            </w:tcBorders>
          </w:tcPr>
          <w:p w14:paraId="00C1D757">
            <w:pPr>
              <w:rPr>
                <w:sz w:val="18"/>
                <w:szCs w:val="18"/>
              </w:rPr>
            </w:pPr>
          </w:p>
        </w:tc>
        <w:tc>
          <w:tcPr>
            <w:tcW w:w="6000" w:type="dxa"/>
            <w:tcBorders>
              <w:top w:val="single" w:color="000000" w:sz="4" w:space="0"/>
              <w:left w:val="single" w:color="000000" w:sz="4" w:space="0"/>
              <w:bottom w:val="single" w:color="000000" w:sz="4" w:space="0"/>
              <w:right w:val="single" w:color="000000" w:sz="4" w:space="0"/>
            </w:tcBorders>
            <w:vAlign w:val="top"/>
          </w:tcPr>
          <w:p w14:paraId="7EC97108">
            <w:pPr>
              <w:wordWrap w:val="0"/>
              <w:autoSpaceDE w:val="0"/>
              <w:autoSpaceDN w:val="0"/>
              <w:spacing w:before="240" w:after="0" w:line="246" w:lineRule="exact"/>
              <w:ind w:firstLine="80"/>
              <w:jc w:val="both"/>
              <w:rPr>
                <w:sz w:val="18"/>
                <w:szCs w:val="18"/>
              </w:rPr>
            </w:pPr>
            <w:r>
              <w:rPr>
                <w:rFonts w:hint="eastAsia" w:ascii="宋体" w:hAnsi="宋体" w:eastAsia="宋体"/>
                <w:color w:val="000000"/>
                <w:sz w:val="18"/>
                <w:szCs w:val="18"/>
              </w:rPr>
              <w:t>安装充电设备设施影响人防工程战时防护效能</w:t>
            </w:r>
            <w:r>
              <w:rPr>
                <w:rFonts w:hint="eastAsia" w:ascii="Calibri" w:hAnsi="Calibri" w:eastAsia="Calibri"/>
                <w:color w:val="000000"/>
                <w:sz w:val="18"/>
                <w:szCs w:val="18"/>
              </w:rPr>
              <w:t>3</w:t>
            </w:r>
            <w:r>
              <w:rPr>
                <w:rFonts w:hint="eastAsia" w:ascii="宋体" w:hAnsi="宋体" w:eastAsia="宋体"/>
                <w:color w:val="000000"/>
                <w:sz w:val="18"/>
                <w:szCs w:val="18"/>
              </w:rPr>
              <w:t>-</w:t>
            </w:r>
            <w:r>
              <w:rPr>
                <w:rFonts w:hint="eastAsia" w:ascii="Calibri" w:hAnsi="Calibri" w:eastAsia="Calibri"/>
                <w:color w:val="000000"/>
                <w:sz w:val="18"/>
                <w:szCs w:val="18"/>
              </w:rPr>
              <w:t>4</w:t>
            </w:r>
            <w:r>
              <w:rPr>
                <w:rFonts w:hint="eastAsia" w:ascii="宋体" w:hAnsi="宋体" w:eastAsia="宋体"/>
                <w:color w:val="000000"/>
                <w:sz w:val="18"/>
                <w:szCs w:val="18"/>
              </w:rPr>
              <w:t>处</w:t>
            </w:r>
          </w:p>
        </w:tc>
        <w:tc>
          <w:tcPr>
            <w:tcW w:w="1120" w:type="dxa"/>
            <w:vMerge w:val="continue"/>
            <w:tcBorders>
              <w:top w:val="single" w:color="000000" w:sz="4" w:space="0"/>
              <w:left w:val="single" w:color="000000" w:sz="4" w:space="0"/>
              <w:bottom w:val="single" w:color="000000" w:sz="4" w:space="0"/>
              <w:right w:val="single" w:color="000000" w:sz="4" w:space="0"/>
            </w:tcBorders>
          </w:tcPr>
          <w:p w14:paraId="4C9338C3">
            <w:pPr>
              <w:rPr>
                <w:sz w:val="18"/>
                <w:szCs w:val="18"/>
              </w:rPr>
            </w:pPr>
          </w:p>
        </w:tc>
        <w:tc>
          <w:tcPr>
            <w:tcW w:w="5720" w:type="dxa"/>
            <w:tcBorders>
              <w:top w:val="single" w:color="000000" w:sz="4" w:space="0"/>
              <w:left w:val="single" w:color="000000" w:sz="4" w:space="0"/>
              <w:bottom w:val="single" w:color="000000" w:sz="4" w:space="0"/>
              <w:right w:val="single" w:color="000000" w:sz="4" w:space="0"/>
            </w:tcBorders>
            <w:vAlign w:val="top"/>
          </w:tcPr>
          <w:p w14:paraId="1B9FBBA6">
            <w:pPr>
              <w:wordWrap w:val="0"/>
              <w:autoSpaceDE w:val="0"/>
              <w:autoSpaceDN w:val="0"/>
              <w:spacing w:before="80" w:after="0" w:line="246" w:lineRule="exact"/>
              <w:ind w:left="100" w:right="60" w:firstLine="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2000</w:t>
            </w:r>
            <w:r>
              <w:rPr>
                <w:rFonts w:hint="eastAsia" w:ascii="宋体" w:hAnsi="宋体" w:eastAsia="宋体"/>
                <w:color w:val="000000"/>
                <w:sz w:val="18"/>
                <w:szCs w:val="18"/>
              </w:rPr>
              <w:t>元以上</w:t>
            </w:r>
            <w:r>
              <w:rPr>
                <w:rFonts w:hint="eastAsia" w:ascii="Calibri" w:hAnsi="Calibri" w:eastAsia="Calibri"/>
                <w:color w:val="000000"/>
                <w:sz w:val="18"/>
                <w:szCs w:val="18"/>
              </w:rPr>
              <w:t>4000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2</w:t>
            </w:r>
            <w:r>
              <w:rPr>
                <w:rFonts w:hint="eastAsia" w:ascii="宋体" w:hAnsi="宋体" w:eastAsia="宋体"/>
                <w:color w:val="000000"/>
                <w:sz w:val="18"/>
                <w:szCs w:val="18"/>
              </w:rPr>
              <w:t>.</w:t>
            </w:r>
            <w:r>
              <w:rPr>
                <w:rFonts w:hint="eastAsia" w:ascii="Calibri" w:hAnsi="Calibri" w:eastAsia="Calibri"/>
                <w:color w:val="000000"/>
                <w:sz w:val="18"/>
                <w:szCs w:val="18"/>
              </w:rPr>
              <w:t>5</w:t>
            </w:r>
            <w:r>
              <w:rPr>
                <w:rFonts w:hint="eastAsia" w:ascii="宋体" w:hAnsi="宋体" w:eastAsia="宋体"/>
                <w:color w:val="000000"/>
                <w:sz w:val="18"/>
                <w:szCs w:val="18"/>
              </w:rPr>
              <w:t>万元以上</w:t>
            </w:r>
            <w:r>
              <w:rPr>
                <w:rFonts w:hint="eastAsia" w:ascii="Calibri" w:hAnsi="Calibri" w:eastAsia="Calibri"/>
                <w:color w:val="000000"/>
                <w:sz w:val="18"/>
                <w:szCs w:val="18"/>
              </w:rPr>
              <w:t>4</w:t>
            </w:r>
            <w:r>
              <w:rPr>
                <w:rFonts w:hint="eastAsia" w:ascii="宋体" w:hAnsi="宋体" w:eastAsia="宋体"/>
                <w:color w:val="000000"/>
                <w:sz w:val="18"/>
                <w:szCs w:val="18"/>
              </w:rPr>
              <w:t>万元以下罚款</w:t>
            </w:r>
          </w:p>
        </w:tc>
      </w:tr>
      <w:tr w14:paraId="49353BF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660" w:hRule="atLeast"/>
        </w:trPr>
        <w:tc>
          <w:tcPr>
            <w:tcW w:w="1220" w:type="dxa"/>
            <w:vMerge w:val="continue"/>
            <w:tcBorders>
              <w:top w:val="single" w:color="000000" w:sz="4" w:space="0"/>
              <w:left w:val="single" w:color="000000" w:sz="4" w:space="0"/>
              <w:bottom w:val="single" w:color="000000" w:sz="4" w:space="0"/>
              <w:right w:val="single" w:color="000000" w:sz="4" w:space="0"/>
            </w:tcBorders>
          </w:tcPr>
          <w:p w14:paraId="5951DBBD">
            <w:pPr>
              <w:rPr>
                <w:sz w:val="18"/>
                <w:szCs w:val="18"/>
              </w:rPr>
            </w:pPr>
          </w:p>
        </w:tc>
        <w:tc>
          <w:tcPr>
            <w:tcW w:w="6000" w:type="dxa"/>
            <w:tcBorders>
              <w:top w:val="single" w:color="000000" w:sz="4" w:space="0"/>
              <w:left w:val="single" w:color="000000" w:sz="4" w:space="0"/>
              <w:bottom w:val="single" w:color="000000" w:sz="4" w:space="0"/>
              <w:right w:val="single" w:color="000000" w:sz="4" w:space="0"/>
            </w:tcBorders>
            <w:vAlign w:val="top"/>
          </w:tcPr>
          <w:p w14:paraId="5F6F1E93">
            <w:pPr>
              <w:wordWrap w:val="0"/>
              <w:autoSpaceDE w:val="0"/>
              <w:autoSpaceDN w:val="0"/>
              <w:spacing w:before="0" w:after="0" w:line="246" w:lineRule="exact"/>
              <w:ind w:firstLine="0"/>
              <w:jc w:val="both"/>
              <w:rPr>
                <w:rFonts w:hint="eastAsia" w:ascii="宋体" w:hAnsi="宋体" w:eastAsia="宋体"/>
                <w:color w:val="000000"/>
                <w:sz w:val="18"/>
                <w:szCs w:val="18"/>
              </w:rPr>
            </w:pPr>
          </w:p>
          <w:p w14:paraId="42ADC09A">
            <w:pPr>
              <w:wordWrap w:val="0"/>
              <w:autoSpaceDE w:val="0"/>
              <w:autoSpaceDN w:val="0"/>
              <w:spacing w:before="13" w:after="0" w:line="246" w:lineRule="exact"/>
              <w:ind w:firstLine="80"/>
              <w:jc w:val="both"/>
              <w:rPr>
                <w:sz w:val="18"/>
                <w:szCs w:val="18"/>
              </w:rPr>
            </w:pPr>
            <w:r>
              <w:rPr>
                <w:rFonts w:hint="eastAsia" w:ascii="宋体" w:hAnsi="宋体" w:eastAsia="宋体"/>
                <w:color w:val="000000"/>
                <w:sz w:val="18"/>
                <w:szCs w:val="18"/>
              </w:rPr>
              <w:t>安装充电设备设施影响人防工程战时防护效能</w:t>
            </w:r>
            <w:r>
              <w:rPr>
                <w:rFonts w:hint="eastAsia" w:ascii="Calibri" w:hAnsi="Calibri" w:eastAsia="Calibri"/>
                <w:color w:val="000000"/>
                <w:sz w:val="18"/>
                <w:szCs w:val="18"/>
              </w:rPr>
              <w:t>5</w:t>
            </w:r>
            <w:r>
              <w:rPr>
                <w:rFonts w:hint="eastAsia" w:ascii="宋体" w:hAnsi="宋体" w:eastAsia="宋体"/>
                <w:color w:val="000000"/>
                <w:sz w:val="18"/>
                <w:szCs w:val="18"/>
              </w:rPr>
              <w:t>处以上</w:t>
            </w:r>
          </w:p>
        </w:tc>
        <w:tc>
          <w:tcPr>
            <w:tcW w:w="1120" w:type="dxa"/>
            <w:vMerge w:val="continue"/>
            <w:tcBorders>
              <w:top w:val="single" w:color="000000" w:sz="4" w:space="0"/>
              <w:left w:val="single" w:color="000000" w:sz="4" w:space="0"/>
              <w:bottom w:val="single" w:color="000000" w:sz="4" w:space="0"/>
              <w:right w:val="single" w:color="000000" w:sz="4" w:space="0"/>
            </w:tcBorders>
          </w:tcPr>
          <w:p w14:paraId="7F0EFA12">
            <w:pPr>
              <w:rPr>
                <w:sz w:val="18"/>
                <w:szCs w:val="18"/>
              </w:rPr>
            </w:pPr>
          </w:p>
        </w:tc>
        <w:tc>
          <w:tcPr>
            <w:tcW w:w="5720" w:type="dxa"/>
            <w:tcBorders>
              <w:top w:val="single" w:color="000000" w:sz="4" w:space="0"/>
              <w:left w:val="single" w:color="000000" w:sz="4" w:space="0"/>
              <w:bottom w:val="single" w:color="000000" w:sz="4" w:space="0"/>
              <w:right w:val="single" w:color="000000" w:sz="4" w:space="0"/>
            </w:tcBorders>
            <w:vAlign w:val="top"/>
          </w:tcPr>
          <w:p w14:paraId="4087EACE">
            <w:pPr>
              <w:wordWrap w:val="0"/>
              <w:autoSpaceDE w:val="0"/>
              <w:autoSpaceDN w:val="0"/>
              <w:spacing w:before="80" w:after="0" w:line="246" w:lineRule="exact"/>
              <w:ind w:left="80" w:right="40" w:firstLine="20"/>
              <w:jc w:val="both"/>
              <w:rPr>
                <w:sz w:val="18"/>
                <w:szCs w:val="18"/>
              </w:rPr>
            </w:pPr>
            <w:r>
              <w:rPr>
                <w:rFonts w:hint="eastAsia" w:ascii="宋体" w:hAnsi="宋体" w:eastAsia="宋体"/>
                <w:color w:val="000000"/>
                <w:sz w:val="18"/>
                <w:szCs w:val="18"/>
              </w:rPr>
              <w:t>警告并责令限期整改，对个人并处</w:t>
            </w:r>
            <w:r>
              <w:rPr>
                <w:rFonts w:hint="eastAsia" w:ascii="Calibri" w:hAnsi="Calibri" w:eastAsia="Calibri"/>
                <w:color w:val="000000"/>
                <w:sz w:val="18"/>
                <w:szCs w:val="18"/>
              </w:rPr>
              <w:t>4000</w:t>
            </w:r>
            <w:r>
              <w:rPr>
                <w:rFonts w:hint="eastAsia" w:ascii="宋体" w:hAnsi="宋体" w:eastAsia="宋体"/>
                <w:color w:val="000000"/>
                <w:sz w:val="18"/>
                <w:szCs w:val="18"/>
              </w:rPr>
              <w:t>元以上</w:t>
            </w:r>
            <w:r>
              <w:rPr>
                <w:rFonts w:hint="eastAsia" w:ascii="Calibri" w:hAnsi="Calibri" w:eastAsia="Calibri"/>
                <w:color w:val="000000"/>
                <w:sz w:val="18"/>
                <w:szCs w:val="18"/>
              </w:rPr>
              <w:t>5000</w:t>
            </w:r>
            <w:r>
              <w:rPr>
                <w:rFonts w:hint="eastAsia" w:ascii="宋体" w:hAnsi="宋体" w:eastAsia="宋体"/>
                <w:color w:val="000000"/>
                <w:sz w:val="18"/>
                <w:szCs w:val="18"/>
              </w:rPr>
              <w:t>元以下罚款，对单位并处</w:t>
            </w:r>
            <w:r>
              <w:rPr>
                <w:rFonts w:hint="eastAsia" w:ascii="Calibri" w:hAnsi="Calibri" w:eastAsia="Calibri"/>
                <w:color w:val="000000"/>
                <w:sz w:val="18"/>
                <w:szCs w:val="18"/>
              </w:rPr>
              <w:t>4</w:t>
            </w:r>
            <w:r>
              <w:rPr>
                <w:rFonts w:hint="eastAsia" w:ascii="宋体" w:hAnsi="宋体" w:eastAsia="宋体"/>
                <w:color w:val="000000"/>
                <w:sz w:val="18"/>
                <w:szCs w:val="18"/>
              </w:rPr>
              <w:t>万元以上</w:t>
            </w:r>
            <w:r>
              <w:rPr>
                <w:rFonts w:hint="eastAsia" w:ascii="Calibri" w:hAnsi="Calibri" w:eastAsia="Calibri"/>
                <w:color w:val="000000"/>
                <w:sz w:val="18"/>
                <w:szCs w:val="18"/>
              </w:rPr>
              <w:t>5</w:t>
            </w:r>
            <w:r>
              <w:rPr>
                <w:rFonts w:hint="eastAsia" w:ascii="宋体" w:hAnsi="宋体" w:eastAsia="宋体"/>
                <w:color w:val="000000"/>
                <w:sz w:val="18"/>
                <w:szCs w:val="18"/>
              </w:rPr>
              <w:t>万元以下罚款</w:t>
            </w:r>
          </w:p>
        </w:tc>
      </w:tr>
    </w:tbl>
    <w:p w14:paraId="5DF8AB78">
      <w:pPr>
        <w:rPr>
          <w:sz w:val="18"/>
          <w:szCs w:val="18"/>
        </w:rPr>
      </w:pPr>
    </w:p>
    <w:p w14:paraId="12934A13">
      <w:pPr>
        <w:rPr>
          <w:rFonts w:hint="eastAsia"/>
          <w:sz w:val="18"/>
          <w:szCs w:val="18"/>
          <w:lang w:val="en-US" w:eastAsia="zh-CN"/>
        </w:rPr>
      </w:pPr>
      <w:r>
        <w:rPr>
          <w:rFonts w:hint="eastAsia"/>
          <w:sz w:val="18"/>
          <w:szCs w:val="18"/>
          <w:lang w:val="en-US" w:eastAsia="zh-CN"/>
        </w:rPr>
        <w:br w:type="textWrapping"/>
      </w:r>
    </w:p>
    <w:p w14:paraId="667F13C3">
      <w:pPr>
        <w:rPr>
          <w:rFonts w:hint="default" w:eastAsia="宋体"/>
          <w:sz w:val="18"/>
          <w:szCs w:val="18"/>
          <w:lang w:val="en-US" w:eastAsia="zh-CN"/>
        </w:rPr>
      </w:pPr>
    </w:p>
    <w:p w14:paraId="658736BC">
      <w:pPr>
        <w:rPr>
          <w:sz w:val="18"/>
          <w:szCs w:val="18"/>
        </w:rPr>
      </w:pPr>
    </w:p>
    <w:p w14:paraId="27587D42">
      <w:pPr>
        <w:rPr>
          <w:sz w:val="18"/>
          <w:szCs w:val="18"/>
        </w:rPr>
      </w:pPr>
    </w:p>
    <w:p w14:paraId="41FC5B5E">
      <w:pPr>
        <w:rPr>
          <w:sz w:val="18"/>
          <w:szCs w:val="18"/>
        </w:rPr>
      </w:pPr>
    </w:p>
    <w:p w14:paraId="5C42450D">
      <w:pPr>
        <w:rPr>
          <w:sz w:val="18"/>
          <w:szCs w:val="18"/>
        </w:rPr>
      </w:pPr>
    </w:p>
    <w:p w14:paraId="4FEA500A">
      <w:pPr>
        <w:rPr>
          <w:sz w:val="18"/>
          <w:szCs w:val="18"/>
        </w:rPr>
      </w:pPr>
    </w:p>
    <w:p w14:paraId="47859B11">
      <w:pPr>
        <w:wordWrap w:val="0"/>
        <w:autoSpaceDE w:val="0"/>
        <w:autoSpaceDN w:val="0"/>
        <w:spacing w:before="0" w:after="0" w:line="480" w:lineRule="exact"/>
        <w:jc w:val="both"/>
        <w:rPr>
          <w:rFonts w:hint="eastAsia" w:ascii="宋体" w:hAnsi="宋体" w:eastAsia="宋体"/>
          <w:b/>
          <w:color w:val="000000"/>
          <w:sz w:val="44"/>
        </w:rPr>
      </w:pPr>
      <w:r>
        <w:rPr>
          <w:rFonts w:hint="eastAsia" w:ascii="宋体" w:hAnsi="宋体" w:eastAsia="宋体"/>
          <w:b/>
          <w:color w:val="000000"/>
          <w:sz w:val="44"/>
        </w:rPr>
        <w:t>连云港市住房和城乡建设系统行政处罚裁量基准（</w:t>
      </w:r>
      <w:r>
        <w:rPr>
          <w:rFonts w:hint="eastAsia" w:ascii="宋体" w:hAnsi="宋体"/>
          <w:b/>
          <w:color w:val="000000"/>
          <w:sz w:val="44"/>
          <w:lang w:eastAsia="zh-CN"/>
        </w:rPr>
        <w:t>市设</w:t>
      </w:r>
      <w:r>
        <w:rPr>
          <w:rFonts w:hint="eastAsia" w:ascii="宋体" w:hAnsi="宋体" w:eastAsia="宋体"/>
          <w:b/>
          <w:color w:val="000000"/>
          <w:sz w:val="44"/>
        </w:rPr>
        <w:t>住宅小区装饰装修）</w:t>
      </w:r>
    </w:p>
    <w:tbl>
      <w:tblPr>
        <w:tblStyle w:val="15"/>
        <w:tblpPr w:leftFromText="180" w:rightFromText="180" w:vertAnchor="text" w:horzAnchor="page" w:tblpX="1518" w:tblpY="418"/>
        <w:tblOverlap w:val="never"/>
        <w:tblW w:w="0" w:type="auto"/>
        <w:tblInd w:w="0" w:type="dxa"/>
        <w:tblLayout w:type="fixed"/>
        <w:tblCellMar>
          <w:top w:w="0" w:type="dxa"/>
          <w:left w:w="108" w:type="dxa"/>
          <w:bottom w:w="0" w:type="dxa"/>
          <w:right w:w="108" w:type="dxa"/>
        </w:tblCellMar>
      </w:tblPr>
      <w:tblGrid>
        <w:gridCol w:w="1412"/>
        <w:gridCol w:w="5784"/>
        <w:gridCol w:w="1044"/>
        <w:gridCol w:w="5820"/>
      </w:tblGrid>
      <w:tr w14:paraId="29ED0D3A">
        <w:tblPrEx>
          <w:tblCellMar>
            <w:top w:w="0" w:type="dxa"/>
            <w:left w:w="108" w:type="dxa"/>
            <w:bottom w:w="0" w:type="dxa"/>
            <w:right w:w="108" w:type="dxa"/>
          </w:tblCellMar>
        </w:tblPrEx>
        <w:trPr>
          <w:trHeight w:val="285" w:hRule="atLeast"/>
        </w:trPr>
        <w:tc>
          <w:tcPr>
            <w:tcW w:w="1412" w:type="dxa"/>
            <w:tcBorders>
              <w:top w:val="single" w:color="auto" w:sz="8" w:space="0"/>
              <w:left w:val="single" w:color="auto" w:sz="8" w:space="0"/>
              <w:bottom w:val="single" w:color="auto" w:sz="4" w:space="0"/>
              <w:right w:val="single" w:color="auto" w:sz="4" w:space="0"/>
            </w:tcBorders>
            <w:vAlign w:val="center"/>
          </w:tcPr>
          <w:p w14:paraId="6ED24129">
            <w:pPr>
              <w:spacing w:line="320" w:lineRule="exact"/>
              <w:jc w:val="left"/>
              <w:rPr>
                <w:color w:val="000000"/>
                <w:kern w:val="0"/>
                <w:sz w:val="18"/>
                <w:szCs w:val="18"/>
              </w:rPr>
            </w:pPr>
            <w:r>
              <w:rPr>
                <w:rFonts w:hint="eastAsia"/>
                <w:color w:val="000000"/>
                <w:kern w:val="0"/>
                <w:sz w:val="18"/>
                <w:szCs w:val="18"/>
              </w:rPr>
              <w:t>编号</w:t>
            </w:r>
          </w:p>
        </w:tc>
        <w:tc>
          <w:tcPr>
            <w:tcW w:w="12648" w:type="dxa"/>
            <w:gridSpan w:val="3"/>
            <w:tcBorders>
              <w:top w:val="single" w:color="auto" w:sz="8" w:space="0"/>
              <w:left w:val="nil"/>
              <w:bottom w:val="single" w:color="auto" w:sz="4" w:space="0"/>
              <w:right w:val="single" w:color="000000" w:sz="8" w:space="0"/>
            </w:tcBorders>
            <w:vAlign w:val="center"/>
          </w:tcPr>
          <w:p w14:paraId="504A2E32">
            <w:pPr>
              <w:spacing w:line="280" w:lineRule="exact"/>
              <w:jc w:val="left"/>
              <w:rPr>
                <w:color w:val="000000"/>
                <w:kern w:val="0"/>
                <w:sz w:val="18"/>
                <w:szCs w:val="18"/>
              </w:rPr>
            </w:pPr>
          </w:p>
        </w:tc>
      </w:tr>
      <w:tr w14:paraId="1B88B4A6">
        <w:tblPrEx>
          <w:tblCellMar>
            <w:top w:w="0" w:type="dxa"/>
            <w:left w:w="108" w:type="dxa"/>
            <w:bottom w:w="0" w:type="dxa"/>
            <w:right w:w="108" w:type="dxa"/>
          </w:tblCellMar>
        </w:tblPrEx>
        <w:trPr>
          <w:trHeight w:val="285" w:hRule="atLeast"/>
        </w:trPr>
        <w:tc>
          <w:tcPr>
            <w:tcW w:w="1412" w:type="dxa"/>
            <w:tcBorders>
              <w:top w:val="nil"/>
              <w:left w:val="single" w:color="auto" w:sz="8" w:space="0"/>
              <w:bottom w:val="single" w:color="auto" w:sz="4" w:space="0"/>
              <w:right w:val="single" w:color="auto" w:sz="4" w:space="0"/>
            </w:tcBorders>
            <w:vAlign w:val="center"/>
          </w:tcPr>
          <w:p w14:paraId="644DDC24">
            <w:pPr>
              <w:spacing w:line="320" w:lineRule="exact"/>
              <w:jc w:val="left"/>
              <w:rPr>
                <w:color w:val="000000"/>
                <w:kern w:val="0"/>
                <w:sz w:val="18"/>
                <w:szCs w:val="18"/>
              </w:rPr>
            </w:pPr>
            <w:r>
              <w:rPr>
                <w:rFonts w:hint="eastAsia"/>
                <w:color w:val="000000"/>
                <w:kern w:val="0"/>
                <w:sz w:val="18"/>
                <w:szCs w:val="18"/>
              </w:rPr>
              <w:t>行为名称</w:t>
            </w:r>
          </w:p>
        </w:tc>
        <w:tc>
          <w:tcPr>
            <w:tcW w:w="12648" w:type="dxa"/>
            <w:gridSpan w:val="3"/>
            <w:tcBorders>
              <w:top w:val="single" w:color="auto" w:sz="4" w:space="0"/>
              <w:left w:val="nil"/>
              <w:bottom w:val="single" w:color="auto" w:sz="4" w:space="0"/>
              <w:right w:val="single" w:color="000000" w:sz="8" w:space="0"/>
            </w:tcBorders>
            <w:vAlign w:val="center"/>
          </w:tcPr>
          <w:p w14:paraId="3C44320C">
            <w:pPr>
              <w:spacing w:line="320" w:lineRule="exact"/>
              <w:jc w:val="left"/>
              <w:rPr>
                <w:color w:val="000000"/>
                <w:kern w:val="0"/>
                <w:sz w:val="18"/>
                <w:szCs w:val="18"/>
              </w:rPr>
            </w:pPr>
            <w:r>
              <w:rPr>
                <w:sz w:val="18"/>
                <w:szCs w:val="18"/>
              </w:rPr>
              <w:t>对装修人擅自变动房屋楼撑等建筑主体和承重结构的处罚</w:t>
            </w:r>
          </w:p>
        </w:tc>
      </w:tr>
      <w:tr w14:paraId="7505AC42">
        <w:tblPrEx>
          <w:tblCellMar>
            <w:top w:w="0" w:type="dxa"/>
            <w:left w:w="108" w:type="dxa"/>
            <w:bottom w:w="0" w:type="dxa"/>
            <w:right w:w="108" w:type="dxa"/>
          </w:tblCellMar>
        </w:tblPrEx>
        <w:trPr>
          <w:trHeight w:val="780" w:hRule="atLeast"/>
        </w:trPr>
        <w:tc>
          <w:tcPr>
            <w:tcW w:w="1412" w:type="dxa"/>
            <w:tcBorders>
              <w:top w:val="nil"/>
              <w:left w:val="single" w:color="auto" w:sz="8" w:space="0"/>
              <w:bottom w:val="single" w:color="auto" w:sz="4" w:space="0"/>
              <w:right w:val="single" w:color="auto" w:sz="4" w:space="0"/>
            </w:tcBorders>
            <w:vAlign w:val="center"/>
          </w:tcPr>
          <w:p w14:paraId="3CDA5C08">
            <w:pPr>
              <w:spacing w:line="320" w:lineRule="exact"/>
              <w:jc w:val="left"/>
              <w:rPr>
                <w:color w:val="000000"/>
                <w:kern w:val="0"/>
                <w:sz w:val="18"/>
                <w:szCs w:val="18"/>
              </w:rPr>
            </w:pPr>
            <w:r>
              <w:rPr>
                <w:rFonts w:hint="eastAsia"/>
                <w:color w:val="000000"/>
                <w:kern w:val="0"/>
                <w:sz w:val="18"/>
                <w:szCs w:val="18"/>
              </w:rPr>
              <w:t>法律依据</w:t>
            </w:r>
          </w:p>
        </w:tc>
        <w:tc>
          <w:tcPr>
            <w:tcW w:w="12648" w:type="dxa"/>
            <w:gridSpan w:val="3"/>
            <w:tcBorders>
              <w:top w:val="single" w:color="auto" w:sz="4" w:space="0"/>
              <w:left w:val="nil"/>
              <w:bottom w:val="single" w:color="auto" w:sz="4" w:space="0"/>
              <w:right w:val="single" w:color="000000" w:sz="8" w:space="0"/>
            </w:tcBorders>
            <w:vAlign w:val="center"/>
          </w:tcPr>
          <w:p w14:paraId="78C78CFB">
            <w:pPr>
              <w:spacing w:line="320" w:lineRule="exact"/>
              <w:jc w:val="left"/>
              <w:rPr>
                <w:color w:val="000000"/>
                <w:kern w:val="0"/>
                <w:sz w:val="18"/>
                <w:szCs w:val="18"/>
              </w:rPr>
            </w:pPr>
            <w:r>
              <w:rPr>
                <w:sz w:val="18"/>
                <w:szCs w:val="18"/>
              </w:rPr>
              <w:t>【地方性法规】《连云港市住宅小区装饰装修管理条例》第二十二条第一款：违反本条例第九条第一款第（一）项规定，擅自变动房屋楼盖、墙体、支撑等建筑主体和承重结构的，由住房和城乡建设部门责令整改，对装修人处五万元以上十万元以下罚款。</w:t>
            </w:r>
          </w:p>
        </w:tc>
      </w:tr>
      <w:tr w14:paraId="5D6969F4">
        <w:tblPrEx>
          <w:tblCellMar>
            <w:top w:w="0" w:type="dxa"/>
            <w:left w:w="108" w:type="dxa"/>
            <w:bottom w:w="0" w:type="dxa"/>
            <w:right w:w="108" w:type="dxa"/>
          </w:tblCellMar>
        </w:tblPrEx>
        <w:trPr>
          <w:trHeight w:val="285" w:hRule="atLeast"/>
        </w:trPr>
        <w:tc>
          <w:tcPr>
            <w:tcW w:w="1412" w:type="dxa"/>
            <w:tcBorders>
              <w:top w:val="nil"/>
              <w:left w:val="single" w:color="auto" w:sz="8" w:space="0"/>
              <w:bottom w:val="single" w:color="auto" w:sz="4" w:space="0"/>
              <w:right w:val="single" w:color="auto" w:sz="4" w:space="0"/>
            </w:tcBorders>
            <w:vAlign w:val="center"/>
          </w:tcPr>
          <w:p w14:paraId="75C1E503">
            <w:pPr>
              <w:spacing w:line="320" w:lineRule="exact"/>
              <w:jc w:val="left"/>
              <w:rPr>
                <w:color w:val="000000"/>
                <w:kern w:val="0"/>
                <w:sz w:val="18"/>
                <w:szCs w:val="18"/>
              </w:rPr>
            </w:pPr>
            <w:r>
              <w:rPr>
                <w:rFonts w:hint="eastAsia"/>
                <w:color w:val="000000"/>
                <w:kern w:val="0"/>
                <w:sz w:val="18"/>
                <w:szCs w:val="18"/>
              </w:rPr>
              <w:t>行使内容</w:t>
            </w:r>
          </w:p>
        </w:tc>
        <w:tc>
          <w:tcPr>
            <w:tcW w:w="12648" w:type="dxa"/>
            <w:gridSpan w:val="3"/>
            <w:tcBorders>
              <w:top w:val="single" w:color="auto" w:sz="4" w:space="0"/>
              <w:left w:val="nil"/>
              <w:bottom w:val="single" w:color="auto" w:sz="4" w:space="0"/>
              <w:right w:val="single" w:color="000000" w:sz="8" w:space="0"/>
            </w:tcBorders>
            <w:vAlign w:val="center"/>
          </w:tcPr>
          <w:p w14:paraId="3D8F08CE">
            <w:pPr>
              <w:spacing w:line="320" w:lineRule="exact"/>
              <w:jc w:val="left"/>
              <w:rPr>
                <w:color w:val="000000"/>
                <w:kern w:val="0"/>
                <w:sz w:val="18"/>
                <w:szCs w:val="18"/>
              </w:rPr>
            </w:pPr>
            <w:r>
              <w:rPr>
                <w:sz w:val="18"/>
                <w:szCs w:val="18"/>
              </w:rPr>
              <w:t>责令改正，罚款</w:t>
            </w:r>
          </w:p>
        </w:tc>
      </w:tr>
      <w:tr w14:paraId="1809EBAC">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0F621E5E">
            <w:pPr>
              <w:spacing w:line="320" w:lineRule="exact"/>
              <w:jc w:val="center"/>
              <w:rPr>
                <w:color w:val="000000"/>
                <w:kern w:val="0"/>
                <w:sz w:val="18"/>
                <w:szCs w:val="18"/>
              </w:rPr>
            </w:pPr>
            <w:r>
              <w:rPr>
                <w:rFonts w:hint="eastAsia"/>
                <w:color w:val="000000"/>
                <w:kern w:val="0"/>
                <w:sz w:val="18"/>
                <w:szCs w:val="18"/>
              </w:rPr>
              <w:t>裁量基准</w:t>
            </w:r>
          </w:p>
        </w:tc>
      </w:tr>
      <w:tr w14:paraId="548C1773">
        <w:tblPrEx>
          <w:tblCellMar>
            <w:top w:w="0" w:type="dxa"/>
            <w:left w:w="108" w:type="dxa"/>
            <w:bottom w:w="0" w:type="dxa"/>
            <w:right w:w="108" w:type="dxa"/>
          </w:tblCellMar>
        </w:tblPrEx>
        <w:trPr>
          <w:trHeight w:val="285" w:hRule="atLeast"/>
        </w:trPr>
        <w:tc>
          <w:tcPr>
            <w:tcW w:w="1412" w:type="dxa"/>
            <w:vMerge w:val="restart"/>
            <w:tcBorders>
              <w:top w:val="nil"/>
              <w:left w:val="single" w:color="auto" w:sz="8" w:space="0"/>
              <w:right w:val="single" w:color="auto" w:sz="4" w:space="0"/>
            </w:tcBorders>
            <w:vAlign w:val="center"/>
          </w:tcPr>
          <w:p w14:paraId="320CEDE9">
            <w:pPr>
              <w:spacing w:line="320" w:lineRule="exact"/>
              <w:jc w:val="left"/>
              <w:rPr>
                <w:color w:val="000000"/>
                <w:kern w:val="0"/>
                <w:sz w:val="18"/>
                <w:szCs w:val="18"/>
              </w:rPr>
            </w:pPr>
            <w:r>
              <w:rPr>
                <w:rFonts w:hint="eastAsia"/>
                <w:color w:val="000000"/>
                <w:kern w:val="0"/>
                <w:sz w:val="18"/>
                <w:szCs w:val="18"/>
              </w:rPr>
              <w:t>情形描述</w:t>
            </w:r>
          </w:p>
        </w:tc>
        <w:tc>
          <w:tcPr>
            <w:tcW w:w="5784" w:type="dxa"/>
            <w:tcBorders>
              <w:top w:val="single" w:color="auto" w:sz="4" w:space="0"/>
              <w:left w:val="nil"/>
              <w:bottom w:val="single" w:color="auto" w:sz="4" w:space="0"/>
              <w:right w:val="single" w:color="auto" w:sz="4" w:space="0"/>
            </w:tcBorders>
            <w:vAlign w:val="center"/>
          </w:tcPr>
          <w:p w14:paraId="72C82FB5">
            <w:pPr>
              <w:spacing w:line="320" w:lineRule="exact"/>
              <w:jc w:val="left"/>
              <w:rPr>
                <w:color w:val="000000"/>
                <w:kern w:val="0"/>
                <w:sz w:val="18"/>
                <w:szCs w:val="18"/>
              </w:rPr>
            </w:pPr>
            <w:r>
              <w:rPr>
                <w:sz w:val="18"/>
                <w:szCs w:val="18"/>
              </w:rPr>
              <w:t>造成轻微结构安全影响，如对非关键部位的结构有轻微改动，未明显影响房屋整体稳定性</w:t>
            </w:r>
          </w:p>
        </w:tc>
        <w:tc>
          <w:tcPr>
            <w:tcW w:w="1044" w:type="dxa"/>
            <w:vMerge w:val="restart"/>
            <w:tcBorders>
              <w:top w:val="nil"/>
              <w:left w:val="single" w:color="auto" w:sz="4" w:space="0"/>
              <w:right w:val="single" w:color="auto" w:sz="4" w:space="0"/>
            </w:tcBorders>
            <w:vAlign w:val="center"/>
          </w:tcPr>
          <w:p w14:paraId="2E996262">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4971E033">
            <w:pPr>
              <w:spacing w:line="320" w:lineRule="exact"/>
              <w:jc w:val="left"/>
              <w:rPr>
                <w:color w:val="000000"/>
                <w:kern w:val="0"/>
                <w:sz w:val="18"/>
                <w:szCs w:val="18"/>
              </w:rPr>
            </w:pPr>
            <w:r>
              <w:rPr>
                <w:sz w:val="18"/>
                <w:szCs w:val="18"/>
              </w:rPr>
              <w:t>处 5 万元以上 6 万元以下罚款</w:t>
            </w:r>
          </w:p>
        </w:tc>
      </w:tr>
      <w:tr w14:paraId="75B26FD0">
        <w:tblPrEx>
          <w:tblCellMar>
            <w:top w:w="0" w:type="dxa"/>
            <w:left w:w="108" w:type="dxa"/>
            <w:bottom w:w="0" w:type="dxa"/>
            <w:right w:w="108" w:type="dxa"/>
          </w:tblCellMar>
        </w:tblPrEx>
        <w:trPr>
          <w:trHeight w:val="285" w:hRule="atLeast"/>
        </w:trPr>
        <w:tc>
          <w:tcPr>
            <w:tcW w:w="1412" w:type="dxa"/>
            <w:vMerge w:val="continue"/>
            <w:tcBorders>
              <w:left w:val="single" w:color="auto" w:sz="8" w:space="0"/>
              <w:right w:val="single" w:color="auto" w:sz="4" w:space="0"/>
            </w:tcBorders>
            <w:vAlign w:val="center"/>
          </w:tcPr>
          <w:p w14:paraId="4C20867E">
            <w:pPr>
              <w:spacing w:line="320" w:lineRule="exact"/>
              <w:jc w:val="left"/>
              <w:rPr>
                <w:color w:val="000000"/>
                <w:kern w:val="0"/>
                <w:sz w:val="18"/>
                <w:szCs w:val="18"/>
              </w:rPr>
            </w:pPr>
          </w:p>
        </w:tc>
        <w:tc>
          <w:tcPr>
            <w:tcW w:w="5784" w:type="dxa"/>
            <w:tcBorders>
              <w:top w:val="single" w:color="auto" w:sz="4" w:space="0"/>
              <w:left w:val="nil"/>
              <w:bottom w:val="single" w:color="auto" w:sz="4" w:space="0"/>
              <w:right w:val="single" w:color="auto" w:sz="4" w:space="0"/>
            </w:tcBorders>
            <w:vAlign w:val="center"/>
          </w:tcPr>
          <w:p w14:paraId="74CE85A5">
            <w:pPr>
              <w:spacing w:line="320" w:lineRule="exact"/>
              <w:jc w:val="left"/>
              <w:rPr>
                <w:color w:val="000000"/>
                <w:kern w:val="0"/>
                <w:sz w:val="18"/>
                <w:szCs w:val="18"/>
              </w:rPr>
            </w:pPr>
            <w:r>
              <w:rPr>
                <w:sz w:val="18"/>
                <w:szCs w:val="18"/>
              </w:rPr>
              <w:t>造成一般结构安全影响，如影响局部结构承载能力，但经简单修复可消除隐患</w:t>
            </w:r>
          </w:p>
        </w:tc>
        <w:tc>
          <w:tcPr>
            <w:tcW w:w="1044" w:type="dxa"/>
            <w:vMerge w:val="continue"/>
            <w:tcBorders>
              <w:left w:val="single" w:color="auto" w:sz="4" w:space="0"/>
              <w:right w:val="single" w:color="auto" w:sz="4" w:space="0"/>
            </w:tcBorders>
            <w:vAlign w:val="center"/>
          </w:tcPr>
          <w:p w14:paraId="1870A292">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47E0CDEB">
            <w:pPr>
              <w:spacing w:line="320" w:lineRule="exact"/>
              <w:jc w:val="left"/>
              <w:rPr>
                <w:color w:val="000000"/>
                <w:kern w:val="0"/>
                <w:sz w:val="18"/>
                <w:szCs w:val="18"/>
              </w:rPr>
            </w:pPr>
            <w:r>
              <w:rPr>
                <w:sz w:val="18"/>
                <w:szCs w:val="18"/>
              </w:rPr>
              <w:t>处 6 万元以上 8 万元以下罚款</w:t>
            </w:r>
          </w:p>
        </w:tc>
      </w:tr>
      <w:tr w14:paraId="2154351A">
        <w:tblPrEx>
          <w:tblCellMar>
            <w:top w:w="0" w:type="dxa"/>
            <w:left w:w="108" w:type="dxa"/>
            <w:bottom w:w="0" w:type="dxa"/>
            <w:right w:w="108" w:type="dxa"/>
          </w:tblCellMar>
        </w:tblPrEx>
        <w:trPr>
          <w:trHeight w:val="285" w:hRule="atLeast"/>
        </w:trPr>
        <w:tc>
          <w:tcPr>
            <w:tcW w:w="1412" w:type="dxa"/>
            <w:vMerge w:val="continue"/>
            <w:tcBorders>
              <w:left w:val="single" w:color="auto" w:sz="8" w:space="0"/>
              <w:bottom w:val="single" w:color="auto" w:sz="4" w:space="0"/>
              <w:right w:val="single" w:color="auto" w:sz="4" w:space="0"/>
            </w:tcBorders>
            <w:vAlign w:val="center"/>
          </w:tcPr>
          <w:p w14:paraId="01B5CFE8">
            <w:pPr>
              <w:spacing w:line="320" w:lineRule="exact"/>
              <w:jc w:val="left"/>
              <w:rPr>
                <w:color w:val="000000"/>
                <w:kern w:val="0"/>
                <w:sz w:val="18"/>
                <w:szCs w:val="18"/>
              </w:rPr>
            </w:pPr>
          </w:p>
        </w:tc>
        <w:tc>
          <w:tcPr>
            <w:tcW w:w="5784" w:type="dxa"/>
            <w:tcBorders>
              <w:top w:val="single" w:color="auto" w:sz="4" w:space="0"/>
              <w:left w:val="nil"/>
              <w:bottom w:val="single" w:color="auto" w:sz="4" w:space="0"/>
              <w:right w:val="single" w:color="auto" w:sz="4" w:space="0"/>
            </w:tcBorders>
            <w:vAlign w:val="center"/>
          </w:tcPr>
          <w:p w14:paraId="6923CF74">
            <w:pPr>
              <w:spacing w:line="320" w:lineRule="exact"/>
              <w:jc w:val="left"/>
              <w:rPr>
                <w:sz w:val="18"/>
                <w:szCs w:val="18"/>
              </w:rPr>
            </w:pPr>
            <w:r>
              <w:rPr>
                <w:sz w:val="18"/>
                <w:szCs w:val="18"/>
              </w:rPr>
              <w:t>造成严重结构安全影响，如导致房屋整体结构出现较大安全隐患，需进行较大规模修复加固</w:t>
            </w:r>
          </w:p>
        </w:tc>
        <w:tc>
          <w:tcPr>
            <w:tcW w:w="1044" w:type="dxa"/>
            <w:vMerge w:val="continue"/>
            <w:tcBorders>
              <w:left w:val="single" w:color="auto" w:sz="4" w:space="0"/>
              <w:bottom w:val="single" w:color="auto" w:sz="4" w:space="0"/>
              <w:right w:val="single" w:color="auto" w:sz="4" w:space="0"/>
            </w:tcBorders>
            <w:vAlign w:val="center"/>
          </w:tcPr>
          <w:p w14:paraId="72468C66">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BA54C56">
            <w:pPr>
              <w:spacing w:line="320" w:lineRule="exact"/>
              <w:jc w:val="left"/>
              <w:rPr>
                <w:sz w:val="18"/>
                <w:szCs w:val="18"/>
              </w:rPr>
            </w:pPr>
            <w:r>
              <w:rPr>
                <w:sz w:val="18"/>
                <w:szCs w:val="18"/>
              </w:rPr>
              <w:t>处 8 万元以上 10 万元以下罚款</w:t>
            </w:r>
          </w:p>
        </w:tc>
      </w:tr>
    </w:tbl>
    <w:p w14:paraId="66CCB9E9">
      <w:pPr>
        <w:rPr>
          <w:rFonts w:hint="eastAsia"/>
          <w:sz w:val="18"/>
          <w:szCs w:val="18"/>
        </w:rPr>
      </w:pPr>
    </w:p>
    <w:p w14:paraId="31CF39DF">
      <w:pPr>
        <w:rPr>
          <w:rFonts w:hint="eastAsia"/>
          <w:sz w:val="18"/>
          <w:szCs w:val="18"/>
        </w:rPr>
      </w:pPr>
    </w:p>
    <w:p w14:paraId="7DD72228">
      <w:pPr>
        <w:rPr>
          <w:rFonts w:hint="eastAsia"/>
          <w:sz w:val="18"/>
          <w:szCs w:val="18"/>
        </w:rPr>
      </w:pPr>
    </w:p>
    <w:p w14:paraId="2241BDA4">
      <w:pPr>
        <w:rPr>
          <w:rFonts w:hint="eastAsia"/>
          <w:sz w:val="18"/>
          <w:szCs w:val="18"/>
        </w:rPr>
      </w:pPr>
    </w:p>
    <w:p w14:paraId="67FBFB32">
      <w:pPr>
        <w:rPr>
          <w:rFonts w:hint="eastAsia"/>
          <w:sz w:val="18"/>
          <w:szCs w:val="18"/>
        </w:rPr>
      </w:pPr>
    </w:p>
    <w:p w14:paraId="5FFDE407">
      <w:pPr>
        <w:rPr>
          <w:rFonts w:hint="eastAsia"/>
          <w:sz w:val="18"/>
          <w:szCs w:val="18"/>
        </w:rPr>
      </w:pPr>
    </w:p>
    <w:p w14:paraId="74A1FDD1">
      <w:pPr>
        <w:rPr>
          <w:rFonts w:hint="eastAsia"/>
          <w:sz w:val="18"/>
          <w:szCs w:val="18"/>
        </w:rPr>
      </w:pPr>
    </w:p>
    <w:p w14:paraId="5CFCAD99">
      <w:pPr>
        <w:rPr>
          <w:rFonts w:hint="eastAsia"/>
          <w:sz w:val="18"/>
          <w:szCs w:val="18"/>
        </w:rPr>
      </w:pPr>
    </w:p>
    <w:tbl>
      <w:tblPr>
        <w:tblStyle w:val="15"/>
        <w:tblW w:w="0" w:type="auto"/>
        <w:tblInd w:w="88" w:type="dxa"/>
        <w:tblLayout w:type="fixed"/>
        <w:tblCellMar>
          <w:top w:w="0" w:type="dxa"/>
          <w:left w:w="108" w:type="dxa"/>
          <w:bottom w:w="0" w:type="dxa"/>
          <w:right w:w="108" w:type="dxa"/>
        </w:tblCellMar>
      </w:tblPr>
      <w:tblGrid>
        <w:gridCol w:w="1412"/>
        <w:gridCol w:w="5784"/>
        <w:gridCol w:w="1044"/>
        <w:gridCol w:w="5820"/>
      </w:tblGrid>
      <w:tr w14:paraId="7778E44F">
        <w:tblPrEx>
          <w:tblCellMar>
            <w:top w:w="0" w:type="dxa"/>
            <w:left w:w="108" w:type="dxa"/>
            <w:bottom w:w="0" w:type="dxa"/>
            <w:right w:w="108" w:type="dxa"/>
          </w:tblCellMar>
        </w:tblPrEx>
        <w:trPr>
          <w:trHeight w:val="285" w:hRule="atLeast"/>
        </w:trPr>
        <w:tc>
          <w:tcPr>
            <w:tcW w:w="1412" w:type="dxa"/>
            <w:tcBorders>
              <w:top w:val="single" w:color="auto" w:sz="8" w:space="0"/>
              <w:left w:val="single" w:color="auto" w:sz="8" w:space="0"/>
              <w:bottom w:val="single" w:color="auto" w:sz="4" w:space="0"/>
              <w:right w:val="single" w:color="auto" w:sz="4" w:space="0"/>
            </w:tcBorders>
            <w:vAlign w:val="center"/>
          </w:tcPr>
          <w:p w14:paraId="10E1423F">
            <w:pPr>
              <w:spacing w:line="320" w:lineRule="exact"/>
              <w:jc w:val="left"/>
              <w:rPr>
                <w:color w:val="000000"/>
                <w:kern w:val="0"/>
                <w:sz w:val="18"/>
                <w:szCs w:val="18"/>
              </w:rPr>
            </w:pPr>
            <w:r>
              <w:rPr>
                <w:rFonts w:hint="eastAsia"/>
                <w:color w:val="000000"/>
                <w:kern w:val="0"/>
                <w:sz w:val="18"/>
                <w:szCs w:val="18"/>
              </w:rPr>
              <w:t>编号</w:t>
            </w:r>
          </w:p>
        </w:tc>
        <w:tc>
          <w:tcPr>
            <w:tcW w:w="12648" w:type="dxa"/>
            <w:gridSpan w:val="3"/>
            <w:tcBorders>
              <w:top w:val="single" w:color="auto" w:sz="8" w:space="0"/>
              <w:left w:val="nil"/>
              <w:bottom w:val="single" w:color="auto" w:sz="4" w:space="0"/>
              <w:right w:val="single" w:color="000000" w:sz="8" w:space="0"/>
            </w:tcBorders>
            <w:vAlign w:val="center"/>
          </w:tcPr>
          <w:p w14:paraId="3325C37B">
            <w:pPr>
              <w:spacing w:line="280" w:lineRule="exact"/>
              <w:jc w:val="left"/>
              <w:rPr>
                <w:color w:val="000000"/>
                <w:kern w:val="0"/>
                <w:sz w:val="18"/>
                <w:szCs w:val="18"/>
              </w:rPr>
            </w:pPr>
          </w:p>
        </w:tc>
      </w:tr>
      <w:tr w14:paraId="265E8A2D">
        <w:tblPrEx>
          <w:tblCellMar>
            <w:top w:w="0" w:type="dxa"/>
            <w:left w:w="108" w:type="dxa"/>
            <w:bottom w:w="0" w:type="dxa"/>
            <w:right w:w="108" w:type="dxa"/>
          </w:tblCellMar>
        </w:tblPrEx>
        <w:trPr>
          <w:trHeight w:val="285" w:hRule="atLeast"/>
        </w:trPr>
        <w:tc>
          <w:tcPr>
            <w:tcW w:w="1412" w:type="dxa"/>
            <w:tcBorders>
              <w:top w:val="nil"/>
              <w:left w:val="single" w:color="auto" w:sz="8" w:space="0"/>
              <w:bottom w:val="single" w:color="auto" w:sz="4" w:space="0"/>
              <w:right w:val="single" w:color="auto" w:sz="4" w:space="0"/>
            </w:tcBorders>
            <w:vAlign w:val="center"/>
          </w:tcPr>
          <w:p w14:paraId="7EE8C0AF">
            <w:pPr>
              <w:spacing w:line="320" w:lineRule="exact"/>
              <w:jc w:val="left"/>
              <w:rPr>
                <w:color w:val="000000"/>
                <w:kern w:val="0"/>
                <w:sz w:val="18"/>
                <w:szCs w:val="18"/>
              </w:rPr>
            </w:pPr>
            <w:r>
              <w:rPr>
                <w:rFonts w:hint="eastAsia"/>
                <w:color w:val="000000"/>
                <w:kern w:val="0"/>
                <w:sz w:val="18"/>
                <w:szCs w:val="18"/>
              </w:rPr>
              <w:t>行为名称</w:t>
            </w:r>
          </w:p>
        </w:tc>
        <w:tc>
          <w:tcPr>
            <w:tcW w:w="12648" w:type="dxa"/>
            <w:gridSpan w:val="3"/>
            <w:tcBorders>
              <w:top w:val="single" w:color="auto" w:sz="4" w:space="0"/>
              <w:left w:val="nil"/>
              <w:bottom w:val="single" w:color="auto" w:sz="4" w:space="0"/>
              <w:right w:val="single" w:color="000000" w:sz="8" w:space="0"/>
            </w:tcBorders>
            <w:vAlign w:val="center"/>
          </w:tcPr>
          <w:p w14:paraId="72FFAC4B">
            <w:pPr>
              <w:spacing w:line="320" w:lineRule="exact"/>
              <w:jc w:val="left"/>
              <w:rPr>
                <w:color w:val="000000"/>
                <w:kern w:val="0"/>
                <w:sz w:val="18"/>
                <w:szCs w:val="18"/>
              </w:rPr>
            </w:pPr>
            <w:r>
              <w:rPr>
                <w:sz w:val="18"/>
                <w:szCs w:val="18"/>
              </w:rPr>
              <w:t>对装修人擅自变动房屋楼撑等建筑主体和承重结构的处罚</w:t>
            </w:r>
          </w:p>
        </w:tc>
      </w:tr>
      <w:tr w14:paraId="2054F3D1">
        <w:tblPrEx>
          <w:tblCellMar>
            <w:top w:w="0" w:type="dxa"/>
            <w:left w:w="108" w:type="dxa"/>
            <w:bottom w:w="0" w:type="dxa"/>
            <w:right w:w="108" w:type="dxa"/>
          </w:tblCellMar>
        </w:tblPrEx>
        <w:trPr>
          <w:trHeight w:val="780" w:hRule="atLeast"/>
        </w:trPr>
        <w:tc>
          <w:tcPr>
            <w:tcW w:w="1412" w:type="dxa"/>
            <w:tcBorders>
              <w:top w:val="nil"/>
              <w:left w:val="single" w:color="auto" w:sz="8" w:space="0"/>
              <w:bottom w:val="single" w:color="auto" w:sz="4" w:space="0"/>
              <w:right w:val="single" w:color="auto" w:sz="4" w:space="0"/>
            </w:tcBorders>
            <w:vAlign w:val="center"/>
          </w:tcPr>
          <w:p w14:paraId="3318BD51">
            <w:pPr>
              <w:spacing w:line="320" w:lineRule="exact"/>
              <w:jc w:val="left"/>
              <w:rPr>
                <w:color w:val="000000"/>
                <w:kern w:val="0"/>
                <w:sz w:val="18"/>
                <w:szCs w:val="18"/>
              </w:rPr>
            </w:pPr>
            <w:r>
              <w:rPr>
                <w:rFonts w:hint="eastAsia"/>
                <w:color w:val="000000"/>
                <w:kern w:val="0"/>
                <w:sz w:val="18"/>
                <w:szCs w:val="18"/>
              </w:rPr>
              <w:t>法律依据</w:t>
            </w:r>
          </w:p>
        </w:tc>
        <w:tc>
          <w:tcPr>
            <w:tcW w:w="12648" w:type="dxa"/>
            <w:gridSpan w:val="3"/>
            <w:tcBorders>
              <w:top w:val="single" w:color="auto" w:sz="4" w:space="0"/>
              <w:left w:val="nil"/>
              <w:bottom w:val="single" w:color="auto" w:sz="4" w:space="0"/>
              <w:right w:val="single" w:color="000000" w:sz="8" w:space="0"/>
            </w:tcBorders>
            <w:vAlign w:val="center"/>
          </w:tcPr>
          <w:p w14:paraId="54ACFFA4">
            <w:pPr>
              <w:spacing w:line="320" w:lineRule="exact"/>
              <w:jc w:val="left"/>
              <w:rPr>
                <w:color w:val="000000"/>
                <w:kern w:val="0"/>
                <w:sz w:val="18"/>
                <w:szCs w:val="18"/>
              </w:rPr>
            </w:pPr>
            <w:r>
              <w:rPr>
                <w:sz w:val="18"/>
                <w:szCs w:val="18"/>
              </w:rPr>
              <w:t>【地方性法规】《连云港市住宅小区装饰装修管理条例》第二十二条第一款：违反本条例第九条第一款第（一）项规定，擅自变动房屋楼盖、墙体、支撑等建筑主体和承重结构的，由住房和城乡建设部门责令整改，对装修人处五万元以上十万元以下罚款。</w:t>
            </w:r>
          </w:p>
        </w:tc>
      </w:tr>
      <w:tr w14:paraId="4D4136EB">
        <w:tblPrEx>
          <w:tblCellMar>
            <w:top w:w="0" w:type="dxa"/>
            <w:left w:w="108" w:type="dxa"/>
            <w:bottom w:w="0" w:type="dxa"/>
            <w:right w:w="108" w:type="dxa"/>
          </w:tblCellMar>
        </w:tblPrEx>
        <w:trPr>
          <w:trHeight w:val="285" w:hRule="atLeast"/>
        </w:trPr>
        <w:tc>
          <w:tcPr>
            <w:tcW w:w="1412" w:type="dxa"/>
            <w:tcBorders>
              <w:top w:val="nil"/>
              <w:left w:val="single" w:color="auto" w:sz="8" w:space="0"/>
              <w:bottom w:val="single" w:color="auto" w:sz="4" w:space="0"/>
              <w:right w:val="single" w:color="auto" w:sz="4" w:space="0"/>
            </w:tcBorders>
            <w:vAlign w:val="center"/>
          </w:tcPr>
          <w:p w14:paraId="03D3C580">
            <w:pPr>
              <w:spacing w:line="320" w:lineRule="exact"/>
              <w:jc w:val="left"/>
              <w:rPr>
                <w:color w:val="000000"/>
                <w:kern w:val="0"/>
                <w:sz w:val="18"/>
                <w:szCs w:val="18"/>
              </w:rPr>
            </w:pPr>
            <w:r>
              <w:rPr>
                <w:rFonts w:hint="eastAsia"/>
                <w:color w:val="000000"/>
                <w:kern w:val="0"/>
                <w:sz w:val="18"/>
                <w:szCs w:val="18"/>
              </w:rPr>
              <w:t>行使内容</w:t>
            </w:r>
          </w:p>
        </w:tc>
        <w:tc>
          <w:tcPr>
            <w:tcW w:w="12648" w:type="dxa"/>
            <w:gridSpan w:val="3"/>
            <w:tcBorders>
              <w:top w:val="single" w:color="auto" w:sz="4" w:space="0"/>
              <w:left w:val="nil"/>
              <w:bottom w:val="single" w:color="auto" w:sz="4" w:space="0"/>
              <w:right w:val="single" w:color="000000" w:sz="8" w:space="0"/>
            </w:tcBorders>
            <w:vAlign w:val="center"/>
          </w:tcPr>
          <w:p w14:paraId="19DBAE36">
            <w:pPr>
              <w:spacing w:line="320" w:lineRule="exact"/>
              <w:jc w:val="left"/>
              <w:rPr>
                <w:color w:val="000000"/>
                <w:kern w:val="0"/>
                <w:sz w:val="18"/>
                <w:szCs w:val="18"/>
              </w:rPr>
            </w:pPr>
            <w:r>
              <w:rPr>
                <w:sz w:val="18"/>
                <w:szCs w:val="18"/>
              </w:rPr>
              <w:t>责令改正，罚款</w:t>
            </w:r>
          </w:p>
        </w:tc>
      </w:tr>
      <w:tr w14:paraId="6ABED052">
        <w:tblPrEx>
          <w:tblCellMar>
            <w:top w:w="0" w:type="dxa"/>
            <w:left w:w="108" w:type="dxa"/>
            <w:bottom w:w="0" w:type="dxa"/>
            <w:right w:w="108" w:type="dxa"/>
          </w:tblCellMar>
        </w:tblPrEx>
        <w:trPr>
          <w:trHeight w:val="285" w:hRule="atLeast"/>
        </w:trPr>
        <w:tc>
          <w:tcPr>
            <w:tcW w:w="14060" w:type="dxa"/>
            <w:gridSpan w:val="4"/>
            <w:tcBorders>
              <w:top w:val="single" w:color="auto" w:sz="4" w:space="0"/>
              <w:left w:val="single" w:color="auto" w:sz="8" w:space="0"/>
              <w:bottom w:val="single" w:color="auto" w:sz="4" w:space="0"/>
              <w:right w:val="single" w:color="000000" w:sz="8" w:space="0"/>
            </w:tcBorders>
            <w:vAlign w:val="center"/>
          </w:tcPr>
          <w:p w14:paraId="7DA3D674">
            <w:pPr>
              <w:spacing w:line="320" w:lineRule="exact"/>
              <w:jc w:val="center"/>
              <w:rPr>
                <w:color w:val="000000"/>
                <w:kern w:val="0"/>
                <w:sz w:val="18"/>
                <w:szCs w:val="18"/>
              </w:rPr>
            </w:pPr>
            <w:r>
              <w:rPr>
                <w:rFonts w:hint="eastAsia"/>
                <w:color w:val="000000"/>
                <w:kern w:val="0"/>
                <w:sz w:val="18"/>
                <w:szCs w:val="18"/>
              </w:rPr>
              <w:t>裁量基准</w:t>
            </w:r>
          </w:p>
        </w:tc>
      </w:tr>
      <w:tr w14:paraId="0A6EF7E5">
        <w:tblPrEx>
          <w:tblCellMar>
            <w:top w:w="0" w:type="dxa"/>
            <w:left w:w="108" w:type="dxa"/>
            <w:bottom w:w="0" w:type="dxa"/>
            <w:right w:w="108" w:type="dxa"/>
          </w:tblCellMar>
        </w:tblPrEx>
        <w:trPr>
          <w:trHeight w:val="285" w:hRule="atLeast"/>
        </w:trPr>
        <w:tc>
          <w:tcPr>
            <w:tcW w:w="1412" w:type="dxa"/>
            <w:vMerge w:val="restart"/>
            <w:tcBorders>
              <w:top w:val="nil"/>
              <w:left w:val="single" w:color="auto" w:sz="8" w:space="0"/>
              <w:right w:val="single" w:color="auto" w:sz="4" w:space="0"/>
            </w:tcBorders>
            <w:vAlign w:val="center"/>
          </w:tcPr>
          <w:p w14:paraId="01521500">
            <w:pPr>
              <w:spacing w:line="320" w:lineRule="exact"/>
              <w:jc w:val="left"/>
              <w:rPr>
                <w:color w:val="000000"/>
                <w:kern w:val="0"/>
                <w:sz w:val="18"/>
                <w:szCs w:val="18"/>
              </w:rPr>
            </w:pPr>
            <w:r>
              <w:rPr>
                <w:rFonts w:hint="eastAsia"/>
                <w:color w:val="000000"/>
                <w:kern w:val="0"/>
                <w:sz w:val="18"/>
                <w:szCs w:val="18"/>
              </w:rPr>
              <w:t>情形描述</w:t>
            </w:r>
          </w:p>
        </w:tc>
        <w:tc>
          <w:tcPr>
            <w:tcW w:w="5784" w:type="dxa"/>
            <w:tcBorders>
              <w:top w:val="single" w:color="auto" w:sz="4" w:space="0"/>
              <w:left w:val="nil"/>
              <w:bottom w:val="single" w:color="auto" w:sz="4" w:space="0"/>
              <w:right w:val="single" w:color="auto" w:sz="4" w:space="0"/>
            </w:tcBorders>
            <w:vAlign w:val="center"/>
          </w:tcPr>
          <w:p w14:paraId="3EE6B111">
            <w:pPr>
              <w:spacing w:line="320" w:lineRule="exact"/>
              <w:jc w:val="left"/>
              <w:rPr>
                <w:color w:val="000000"/>
                <w:kern w:val="0"/>
                <w:sz w:val="18"/>
                <w:szCs w:val="18"/>
              </w:rPr>
            </w:pPr>
            <w:r>
              <w:rPr>
                <w:sz w:val="18"/>
                <w:szCs w:val="18"/>
              </w:rPr>
              <w:t>造成轻微结构安全影响，如对非关键部位的结构有轻微改动，未明显影响房屋整体稳定性</w:t>
            </w:r>
          </w:p>
        </w:tc>
        <w:tc>
          <w:tcPr>
            <w:tcW w:w="1044" w:type="dxa"/>
            <w:vMerge w:val="restart"/>
            <w:tcBorders>
              <w:top w:val="nil"/>
              <w:left w:val="single" w:color="auto" w:sz="4" w:space="0"/>
              <w:right w:val="single" w:color="auto" w:sz="4" w:space="0"/>
            </w:tcBorders>
            <w:vAlign w:val="center"/>
          </w:tcPr>
          <w:p w14:paraId="6C65C943">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color="auto" w:sz="4" w:space="0"/>
              <w:right w:val="single" w:color="auto" w:sz="8" w:space="0"/>
            </w:tcBorders>
            <w:vAlign w:val="center"/>
          </w:tcPr>
          <w:p w14:paraId="1E643FE7">
            <w:pPr>
              <w:spacing w:line="320" w:lineRule="exact"/>
              <w:jc w:val="left"/>
              <w:rPr>
                <w:color w:val="000000"/>
                <w:kern w:val="0"/>
                <w:sz w:val="18"/>
                <w:szCs w:val="18"/>
              </w:rPr>
            </w:pPr>
            <w:r>
              <w:rPr>
                <w:sz w:val="18"/>
                <w:szCs w:val="18"/>
              </w:rPr>
              <w:t>处 5 万元以上 6 万元以下罚款</w:t>
            </w:r>
          </w:p>
        </w:tc>
      </w:tr>
      <w:tr w14:paraId="44D5BFDB">
        <w:tblPrEx>
          <w:tblCellMar>
            <w:top w:w="0" w:type="dxa"/>
            <w:left w:w="108" w:type="dxa"/>
            <w:bottom w:w="0" w:type="dxa"/>
            <w:right w:w="108" w:type="dxa"/>
          </w:tblCellMar>
        </w:tblPrEx>
        <w:trPr>
          <w:trHeight w:val="285" w:hRule="atLeast"/>
        </w:trPr>
        <w:tc>
          <w:tcPr>
            <w:tcW w:w="1412" w:type="dxa"/>
            <w:vMerge w:val="continue"/>
            <w:tcBorders>
              <w:left w:val="single" w:color="auto" w:sz="8" w:space="0"/>
              <w:right w:val="single" w:color="auto" w:sz="4" w:space="0"/>
            </w:tcBorders>
            <w:vAlign w:val="center"/>
          </w:tcPr>
          <w:p w14:paraId="38456FF3">
            <w:pPr>
              <w:spacing w:line="320" w:lineRule="exact"/>
              <w:jc w:val="left"/>
              <w:rPr>
                <w:color w:val="000000"/>
                <w:kern w:val="0"/>
                <w:sz w:val="18"/>
                <w:szCs w:val="18"/>
              </w:rPr>
            </w:pPr>
          </w:p>
        </w:tc>
        <w:tc>
          <w:tcPr>
            <w:tcW w:w="5784" w:type="dxa"/>
            <w:tcBorders>
              <w:top w:val="single" w:color="auto" w:sz="4" w:space="0"/>
              <w:left w:val="nil"/>
              <w:bottom w:val="single" w:color="auto" w:sz="4" w:space="0"/>
              <w:right w:val="single" w:color="auto" w:sz="4" w:space="0"/>
            </w:tcBorders>
            <w:vAlign w:val="center"/>
          </w:tcPr>
          <w:p w14:paraId="620EDC94">
            <w:pPr>
              <w:spacing w:line="320" w:lineRule="exact"/>
              <w:jc w:val="left"/>
              <w:rPr>
                <w:color w:val="000000"/>
                <w:kern w:val="0"/>
                <w:sz w:val="18"/>
                <w:szCs w:val="18"/>
              </w:rPr>
            </w:pPr>
            <w:r>
              <w:rPr>
                <w:sz w:val="18"/>
                <w:szCs w:val="18"/>
              </w:rPr>
              <w:t>造成一般结构安全影响，如影响局部结构承载能力，但经简单修复可消除隐患</w:t>
            </w:r>
          </w:p>
        </w:tc>
        <w:tc>
          <w:tcPr>
            <w:tcW w:w="1044" w:type="dxa"/>
            <w:vMerge w:val="continue"/>
            <w:tcBorders>
              <w:left w:val="single" w:color="auto" w:sz="4" w:space="0"/>
              <w:right w:val="single" w:color="auto" w:sz="4" w:space="0"/>
            </w:tcBorders>
            <w:vAlign w:val="center"/>
          </w:tcPr>
          <w:p w14:paraId="6FE5AD34">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74FD3781">
            <w:pPr>
              <w:spacing w:line="320" w:lineRule="exact"/>
              <w:jc w:val="left"/>
              <w:rPr>
                <w:color w:val="000000"/>
                <w:kern w:val="0"/>
                <w:sz w:val="18"/>
                <w:szCs w:val="18"/>
              </w:rPr>
            </w:pPr>
            <w:r>
              <w:rPr>
                <w:sz w:val="18"/>
                <w:szCs w:val="18"/>
              </w:rPr>
              <w:t>处 6 万元以上 8 万元以下罚款</w:t>
            </w:r>
          </w:p>
        </w:tc>
      </w:tr>
      <w:tr w14:paraId="3C0A6448">
        <w:tblPrEx>
          <w:tblCellMar>
            <w:top w:w="0" w:type="dxa"/>
            <w:left w:w="108" w:type="dxa"/>
            <w:bottom w:w="0" w:type="dxa"/>
            <w:right w:w="108" w:type="dxa"/>
          </w:tblCellMar>
        </w:tblPrEx>
        <w:trPr>
          <w:trHeight w:val="285" w:hRule="atLeast"/>
        </w:trPr>
        <w:tc>
          <w:tcPr>
            <w:tcW w:w="1412" w:type="dxa"/>
            <w:vMerge w:val="continue"/>
            <w:tcBorders>
              <w:left w:val="single" w:color="auto" w:sz="8" w:space="0"/>
              <w:bottom w:val="single" w:color="auto" w:sz="4" w:space="0"/>
              <w:right w:val="single" w:color="auto" w:sz="4" w:space="0"/>
            </w:tcBorders>
            <w:vAlign w:val="center"/>
          </w:tcPr>
          <w:p w14:paraId="48F70547">
            <w:pPr>
              <w:spacing w:line="320" w:lineRule="exact"/>
              <w:jc w:val="left"/>
              <w:rPr>
                <w:color w:val="000000"/>
                <w:kern w:val="0"/>
                <w:sz w:val="18"/>
                <w:szCs w:val="18"/>
              </w:rPr>
            </w:pPr>
          </w:p>
        </w:tc>
        <w:tc>
          <w:tcPr>
            <w:tcW w:w="5784" w:type="dxa"/>
            <w:tcBorders>
              <w:top w:val="single" w:color="auto" w:sz="4" w:space="0"/>
              <w:left w:val="nil"/>
              <w:bottom w:val="single" w:color="auto" w:sz="4" w:space="0"/>
              <w:right w:val="single" w:color="auto" w:sz="4" w:space="0"/>
            </w:tcBorders>
            <w:vAlign w:val="center"/>
          </w:tcPr>
          <w:p w14:paraId="6E8222C7">
            <w:pPr>
              <w:spacing w:line="320" w:lineRule="exact"/>
              <w:jc w:val="left"/>
              <w:rPr>
                <w:sz w:val="18"/>
                <w:szCs w:val="18"/>
              </w:rPr>
            </w:pPr>
            <w:r>
              <w:rPr>
                <w:sz w:val="18"/>
                <w:szCs w:val="18"/>
              </w:rPr>
              <w:t>造成严重结构安全影响，如导致房屋整体结构出现较大安全隐患，需进行较大规模修复加固</w:t>
            </w:r>
          </w:p>
        </w:tc>
        <w:tc>
          <w:tcPr>
            <w:tcW w:w="1044" w:type="dxa"/>
            <w:vMerge w:val="continue"/>
            <w:tcBorders>
              <w:left w:val="single" w:color="auto" w:sz="4" w:space="0"/>
              <w:bottom w:val="single" w:color="auto" w:sz="4" w:space="0"/>
              <w:right w:val="single" w:color="auto" w:sz="4" w:space="0"/>
            </w:tcBorders>
            <w:vAlign w:val="center"/>
          </w:tcPr>
          <w:p w14:paraId="5CE907E4">
            <w:pPr>
              <w:spacing w:line="320" w:lineRule="exact"/>
              <w:jc w:val="left"/>
              <w:rPr>
                <w:color w:val="000000"/>
                <w:kern w:val="0"/>
                <w:sz w:val="18"/>
                <w:szCs w:val="18"/>
              </w:rPr>
            </w:pPr>
          </w:p>
        </w:tc>
        <w:tc>
          <w:tcPr>
            <w:tcW w:w="5820" w:type="dxa"/>
            <w:tcBorders>
              <w:top w:val="single" w:color="auto" w:sz="4" w:space="0"/>
              <w:left w:val="single" w:color="auto" w:sz="4" w:space="0"/>
              <w:bottom w:val="single" w:color="auto" w:sz="4" w:space="0"/>
              <w:right w:val="single" w:color="auto" w:sz="4" w:space="0"/>
            </w:tcBorders>
            <w:vAlign w:val="center"/>
          </w:tcPr>
          <w:p w14:paraId="3886DE89">
            <w:pPr>
              <w:spacing w:line="320" w:lineRule="exact"/>
              <w:jc w:val="left"/>
              <w:rPr>
                <w:sz w:val="18"/>
                <w:szCs w:val="18"/>
              </w:rPr>
            </w:pPr>
            <w:r>
              <w:rPr>
                <w:sz w:val="18"/>
                <w:szCs w:val="18"/>
              </w:rPr>
              <w:t>处 8 万元以上 10 万元以下罚款</w:t>
            </w:r>
          </w:p>
        </w:tc>
      </w:tr>
    </w:tbl>
    <w:p w14:paraId="66619901">
      <w:pPr>
        <w:rPr>
          <w:rFonts w:hint="eastAsia"/>
          <w:sz w:val="18"/>
          <w:szCs w:val="18"/>
        </w:rPr>
      </w:pPr>
    </w:p>
    <w:p w14:paraId="2C25C03A">
      <w:pPr>
        <w:rPr>
          <w:rFonts w:hint="eastAsia"/>
          <w:sz w:val="18"/>
          <w:szCs w:val="18"/>
        </w:rPr>
      </w:pPr>
    </w:p>
    <w:p w14:paraId="2279C5C7">
      <w:pPr>
        <w:rPr>
          <w:rFonts w:hint="eastAsia"/>
          <w:sz w:val="18"/>
          <w:szCs w:val="18"/>
        </w:rPr>
      </w:pPr>
    </w:p>
    <w:p w14:paraId="00F67EE2">
      <w:pPr>
        <w:rPr>
          <w:rFonts w:hint="eastAsia"/>
          <w:sz w:val="18"/>
          <w:szCs w:val="18"/>
        </w:rPr>
      </w:pPr>
    </w:p>
    <w:p w14:paraId="01568FA7">
      <w:pPr>
        <w:rPr>
          <w:rFonts w:hint="eastAsia"/>
          <w:sz w:val="18"/>
          <w:szCs w:val="18"/>
        </w:rPr>
      </w:pPr>
    </w:p>
    <w:p w14:paraId="0AC742BC">
      <w:pPr>
        <w:rPr>
          <w:rFonts w:hint="eastAsia"/>
          <w:sz w:val="18"/>
          <w:szCs w:val="18"/>
        </w:rPr>
      </w:pPr>
    </w:p>
    <w:p w14:paraId="61261999">
      <w:pPr>
        <w:rPr>
          <w:rFonts w:hint="eastAsia"/>
          <w:sz w:val="18"/>
          <w:szCs w:val="18"/>
        </w:rPr>
      </w:pPr>
    </w:p>
    <w:p w14:paraId="39A8ABFF">
      <w:pPr>
        <w:rPr>
          <w:rFonts w:hint="eastAsia"/>
          <w:sz w:val="18"/>
          <w:szCs w:val="18"/>
        </w:rPr>
      </w:pPr>
    </w:p>
    <w:p w14:paraId="5A1BF48A">
      <w:pPr>
        <w:rPr>
          <w:rFonts w:hint="eastAsia"/>
          <w:sz w:val="18"/>
          <w:szCs w:val="18"/>
        </w:rPr>
      </w:pPr>
    </w:p>
    <w:tbl>
      <w:tblPr>
        <w:tblStyle w:val="15"/>
        <w:tblW w:w="0" w:type="auto"/>
        <w:tblInd w:w="88" w:type="dxa"/>
        <w:tblLayout w:type="fixed"/>
        <w:tblCellMar>
          <w:top w:w="0" w:type="dxa"/>
          <w:left w:w="108" w:type="dxa"/>
          <w:bottom w:w="0" w:type="dxa"/>
          <w:right w:w="108" w:type="dxa"/>
        </w:tblCellMar>
      </w:tblPr>
      <w:tblGrid>
        <w:gridCol w:w="1442"/>
        <w:gridCol w:w="5754"/>
        <w:gridCol w:w="1060"/>
        <w:gridCol w:w="5760"/>
      </w:tblGrid>
      <w:tr w14:paraId="715F4897">
        <w:tblPrEx>
          <w:tblCellMar>
            <w:top w:w="0" w:type="dxa"/>
            <w:left w:w="108" w:type="dxa"/>
            <w:bottom w:w="0" w:type="dxa"/>
            <w:right w:w="108" w:type="dxa"/>
          </w:tblCellMar>
        </w:tblPrEx>
        <w:trPr>
          <w:trHeight w:val="285" w:hRule="atLeast"/>
        </w:trPr>
        <w:tc>
          <w:tcPr>
            <w:tcW w:w="1442" w:type="dxa"/>
            <w:tcBorders>
              <w:top w:val="single" w:color="auto" w:sz="8" w:space="0"/>
              <w:left w:val="single" w:color="auto" w:sz="8" w:space="0"/>
              <w:bottom w:val="single" w:color="auto" w:sz="4" w:space="0"/>
              <w:right w:val="single" w:color="auto" w:sz="4" w:space="0"/>
            </w:tcBorders>
            <w:vAlign w:val="center"/>
          </w:tcPr>
          <w:p w14:paraId="56DC2C40">
            <w:pPr>
              <w:spacing w:line="320" w:lineRule="exact"/>
              <w:jc w:val="center"/>
              <w:rPr>
                <w:color w:val="000000"/>
                <w:kern w:val="0"/>
                <w:sz w:val="18"/>
                <w:szCs w:val="18"/>
              </w:rPr>
            </w:pPr>
            <w:r>
              <w:rPr>
                <w:rFonts w:hint="eastAsia"/>
                <w:color w:val="000000"/>
                <w:kern w:val="0"/>
                <w:sz w:val="18"/>
                <w:szCs w:val="18"/>
              </w:rPr>
              <w:t>编号</w:t>
            </w:r>
          </w:p>
        </w:tc>
        <w:tc>
          <w:tcPr>
            <w:tcW w:w="12574" w:type="dxa"/>
            <w:gridSpan w:val="3"/>
            <w:tcBorders>
              <w:top w:val="single" w:color="auto" w:sz="8" w:space="0"/>
              <w:left w:val="nil"/>
              <w:bottom w:val="single" w:color="auto" w:sz="4" w:space="0"/>
              <w:right w:val="single" w:color="000000" w:sz="8" w:space="0"/>
            </w:tcBorders>
            <w:vAlign w:val="center"/>
          </w:tcPr>
          <w:p w14:paraId="4D609901">
            <w:pPr>
              <w:spacing w:line="320" w:lineRule="exact"/>
              <w:jc w:val="left"/>
              <w:rPr>
                <w:rFonts w:eastAsia="仿宋_GB2312"/>
                <w:b/>
                <w:bCs/>
                <w:color w:val="000000"/>
                <w:kern w:val="0"/>
                <w:sz w:val="18"/>
                <w:szCs w:val="18"/>
              </w:rPr>
            </w:pPr>
          </w:p>
        </w:tc>
      </w:tr>
      <w:tr w14:paraId="1FAEDDD0">
        <w:tblPrEx>
          <w:tblCellMar>
            <w:top w:w="0" w:type="dxa"/>
            <w:left w:w="108" w:type="dxa"/>
            <w:bottom w:w="0" w:type="dxa"/>
            <w:right w:w="108" w:type="dxa"/>
          </w:tblCellMar>
        </w:tblPrEx>
        <w:trPr>
          <w:trHeight w:val="285" w:hRule="atLeast"/>
        </w:trPr>
        <w:tc>
          <w:tcPr>
            <w:tcW w:w="1442" w:type="dxa"/>
            <w:tcBorders>
              <w:top w:val="nil"/>
              <w:left w:val="single" w:color="auto" w:sz="8" w:space="0"/>
              <w:bottom w:val="single" w:color="auto" w:sz="4" w:space="0"/>
              <w:right w:val="single" w:color="auto" w:sz="4" w:space="0"/>
            </w:tcBorders>
            <w:vAlign w:val="center"/>
          </w:tcPr>
          <w:p w14:paraId="64569AB2">
            <w:pPr>
              <w:spacing w:line="320" w:lineRule="exact"/>
              <w:jc w:val="center"/>
              <w:rPr>
                <w:color w:val="000000"/>
                <w:kern w:val="0"/>
                <w:sz w:val="18"/>
                <w:szCs w:val="18"/>
              </w:rPr>
            </w:pPr>
            <w:r>
              <w:rPr>
                <w:rFonts w:hint="eastAsia"/>
                <w:color w:val="000000"/>
                <w:kern w:val="0"/>
                <w:sz w:val="18"/>
                <w:szCs w:val="18"/>
              </w:rPr>
              <w:t>行为名称</w:t>
            </w:r>
          </w:p>
        </w:tc>
        <w:tc>
          <w:tcPr>
            <w:tcW w:w="12574" w:type="dxa"/>
            <w:gridSpan w:val="3"/>
            <w:tcBorders>
              <w:top w:val="single" w:color="auto" w:sz="4" w:space="0"/>
              <w:left w:val="nil"/>
              <w:bottom w:val="single" w:color="auto" w:sz="4" w:space="0"/>
              <w:right w:val="single" w:color="000000" w:sz="8" w:space="0"/>
            </w:tcBorders>
            <w:vAlign w:val="center"/>
          </w:tcPr>
          <w:p w14:paraId="47EF0C73">
            <w:pPr>
              <w:spacing w:line="320" w:lineRule="exact"/>
              <w:jc w:val="left"/>
              <w:rPr>
                <w:color w:val="000000"/>
                <w:kern w:val="0"/>
                <w:sz w:val="18"/>
                <w:szCs w:val="18"/>
              </w:rPr>
            </w:pPr>
            <w:r>
              <w:rPr>
                <w:sz w:val="18"/>
                <w:szCs w:val="18"/>
              </w:rPr>
              <w:t>对装修人拒不办理登记手续进行装饰装修活动的处罚</w:t>
            </w:r>
          </w:p>
        </w:tc>
      </w:tr>
      <w:tr w14:paraId="42396DA1">
        <w:tblPrEx>
          <w:tblCellMar>
            <w:top w:w="0" w:type="dxa"/>
            <w:left w:w="108" w:type="dxa"/>
            <w:bottom w:w="0" w:type="dxa"/>
            <w:right w:w="108" w:type="dxa"/>
          </w:tblCellMar>
        </w:tblPrEx>
        <w:trPr>
          <w:trHeight w:val="1140" w:hRule="atLeast"/>
        </w:trPr>
        <w:tc>
          <w:tcPr>
            <w:tcW w:w="1442" w:type="dxa"/>
            <w:tcBorders>
              <w:top w:val="nil"/>
              <w:left w:val="single" w:color="auto" w:sz="8" w:space="0"/>
              <w:bottom w:val="single" w:color="auto" w:sz="4" w:space="0"/>
              <w:right w:val="single" w:color="auto" w:sz="4" w:space="0"/>
            </w:tcBorders>
            <w:vAlign w:val="center"/>
          </w:tcPr>
          <w:p w14:paraId="1C8CEEB2">
            <w:pPr>
              <w:spacing w:line="320" w:lineRule="exact"/>
              <w:jc w:val="center"/>
              <w:rPr>
                <w:color w:val="000000"/>
                <w:kern w:val="0"/>
                <w:sz w:val="18"/>
                <w:szCs w:val="18"/>
              </w:rPr>
            </w:pPr>
            <w:r>
              <w:rPr>
                <w:rFonts w:hint="eastAsia"/>
                <w:color w:val="000000"/>
                <w:kern w:val="0"/>
                <w:sz w:val="18"/>
                <w:szCs w:val="18"/>
              </w:rPr>
              <w:t>法律依据</w:t>
            </w:r>
          </w:p>
        </w:tc>
        <w:tc>
          <w:tcPr>
            <w:tcW w:w="12574" w:type="dxa"/>
            <w:gridSpan w:val="3"/>
            <w:tcBorders>
              <w:top w:val="single" w:color="auto" w:sz="4" w:space="0"/>
              <w:left w:val="nil"/>
              <w:bottom w:val="single" w:color="auto" w:sz="4" w:space="0"/>
              <w:right w:val="single" w:color="000000" w:sz="8" w:space="0"/>
            </w:tcBorders>
            <w:vAlign w:val="center"/>
          </w:tcPr>
          <w:p w14:paraId="1B820C6A">
            <w:pPr>
              <w:spacing w:line="320" w:lineRule="exact"/>
              <w:jc w:val="left"/>
              <w:rPr>
                <w:color w:val="000000"/>
                <w:kern w:val="0"/>
                <w:sz w:val="18"/>
                <w:szCs w:val="18"/>
              </w:rPr>
            </w:pPr>
            <w:r>
              <w:rPr>
                <w:sz w:val="18"/>
                <w:szCs w:val="18"/>
              </w:rPr>
              <w:t>【地方性法规】《连云港市住宅小区装饰装修管理条例》第二十三条：违反本条例第二十一条第二款规定，拒不办理登记手续进行装饰装修活动的，由住房和城乡建设部门责令改正；拒不改正的，对装修人处五百元以上一千元以下罚款。</w:t>
            </w:r>
          </w:p>
        </w:tc>
      </w:tr>
      <w:tr w14:paraId="0F0AF716">
        <w:tblPrEx>
          <w:tblCellMar>
            <w:top w:w="0" w:type="dxa"/>
            <w:left w:w="108" w:type="dxa"/>
            <w:bottom w:w="0" w:type="dxa"/>
            <w:right w:w="108" w:type="dxa"/>
          </w:tblCellMar>
        </w:tblPrEx>
        <w:trPr>
          <w:trHeight w:val="285" w:hRule="atLeast"/>
        </w:trPr>
        <w:tc>
          <w:tcPr>
            <w:tcW w:w="1442" w:type="dxa"/>
            <w:tcBorders>
              <w:top w:val="nil"/>
              <w:left w:val="single" w:color="auto" w:sz="8" w:space="0"/>
              <w:bottom w:val="single" w:color="auto" w:sz="4" w:space="0"/>
              <w:right w:val="single" w:color="auto" w:sz="4" w:space="0"/>
            </w:tcBorders>
            <w:vAlign w:val="center"/>
          </w:tcPr>
          <w:p w14:paraId="199361C8">
            <w:pPr>
              <w:spacing w:line="320" w:lineRule="exact"/>
              <w:jc w:val="center"/>
              <w:rPr>
                <w:color w:val="000000"/>
                <w:kern w:val="0"/>
                <w:sz w:val="18"/>
                <w:szCs w:val="18"/>
              </w:rPr>
            </w:pPr>
            <w:r>
              <w:rPr>
                <w:rFonts w:hint="eastAsia"/>
                <w:color w:val="000000"/>
                <w:kern w:val="0"/>
                <w:sz w:val="18"/>
                <w:szCs w:val="18"/>
              </w:rPr>
              <w:t>行使内容</w:t>
            </w:r>
          </w:p>
        </w:tc>
        <w:tc>
          <w:tcPr>
            <w:tcW w:w="12574" w:type="dxa"/>
            <w:gridSpan w:val="3"/>
            <w:tcBorders>
              <w:top w:val="single" w:color="auto" w:sz="4" w:space="0"/>
              <w:left w:val="nil"/>
              <w:bottom w:val="single" w:color="auto" w:sz="4" w:space="0"/>
              <w:right w:val="single" w:color="000000" w:sz="8" w:space="0"/>
            </w:tcBorders>
            <w:vAlign w:val="center"/>
          </w:tcPr>
          <w:p w14:paraId="073C67B7">
            <w:pPr>
              <w:spacing w:line="320" w:lineRule="exact"/>
              <w:jc w:val="left"/>
              <w:rPr>
                <w:color w:val="000000"/>
                <w:kern w:val="0"/>
                <w:sz w:val="18"/>
                <w:szCs w:val="18"/>
              </w:rPr>
            </w:pPr>
            <w:r>
              <w:rPr>
                <w:sz w:val="18"/>
                <w:szCs w:val="18"/>
              </w:rPr>
              <w:t>责令改正，</w:t>
            </w:r>
            <w:r>
              <w:rPr>
                <w:rFonts w:hint="eastAsia"/>
                <w:color w:val="000000"/>
                <w:kern w:val="0"/>
                <w:sz w:val="18"/>
                <w:szCs w:val="18"/>
              </w:rPr>
              <w:t>罚款</w:t>
            </w:r>
          </w:p>
        </w:tc>
      </w:tr>
      <w:tr w14:paraId="44923773">
        <w:tblPrEx>
          <w:tblCellMar>
            <w:top w:w="0" w:type="dxa"/>
            <w:left w:w="108" w:type="dxa"/>
            <w:bottom w:w="0" w:type="dxa"/>
            <w:right w:w="108" w:type="dxa"/>
          </w:tblCellMar>
        </w:tblPrEx>
        <w:trPr>
          <w:trHeight w:val="285" w:hRule="atLeast"/>
        </w:trPr>
        <w:tc>
          <w:tcPr>
            <w:tcW w:w="14016" w:type="dxa"/>
            <w:gridSpan w:val="4"/>
            <w:tcBorders>
              <w:top w:val="single" w:color="auto" w:sz="4" w:space="0"/>
              <w:left w:val="single" w:color="auto" w:sz="8" w:space="0"/>
              <w:bottom w:val="single" w:color="auto" w:sz="4" w:space="0"/>
              <w:right w:val="single" w:color="000000" w:sz="8" w:space="0"/>
            </w:tcBorders>
            <w:vAlign w:val="center"/>
          </w:tcPr>
          <w:p w14:paraId="26D7F147">
            <w:pPr>
              <w:spacing w:line="320" w:lineRule="exact"/>
              <w:jc w:val="center"/>
              <w:rPr>
                <w:color w:val="000000"/>
                <w:kern w:val="0"/>
                <w:sz w:val="18"/>
                <w:szCs w:val="18"/>
              </w:rPr>
            </w:pPr>
            <w:r>
              <w:rPr>
                <w:rFonts w:hint="eastAsia"/>
                <w:color w:val="000000"/>
                <w:kern w:val="0"/>
                <w:sz w:val="18"/>
                <w:szCs w:val="18"/>
              </w:rPr>
              <w:t>裁量基准</w:t>
            </w:r>
          </w:p>
        </w:tc>
      </w:tr>
      <w:tr w14:paraId="5F838D04">
        <w:tblPrEx>
          <w:tblCellMar>
            <w:top w:w="0" w:type="dxa"/>
            <w:left w:w="108" w:type="dxa"/>
            <w:bottom w:w="0" w:type="dxa"/>
            <w:right w:w="108" w:type="dxa"/>
          </w:tblCellMar>
        </w:tblPrEx>
        <w:trPr>
          <w:trHeight w:val="650" w:hRule="atLeast"/>
        </w:trPr>
        <w:tc>
          <w:tcPr>
            <w:tcW w:w="1442" w:type="dxa"/>
            <w:vMerge w:val="restart"/>
            <w:tcBorders>
              <w:top w:val="nil"/>
              <w:left w:val="single" w:color="auto" w:sz="8" w:space="0"/>
              <w:bottom w:val="single" w:color="auto" w:sz="4" w:space="0"/>
              <w:right w:val="single" w:color="auto" w:sz="4" w:space="0"/>
            </w:tcBorders>
            <w:vAlign w:val="center"/>
          </w:tcPr>
          <w:p w14:paraId="458E4220">
            <w:pPr>
              <w:spacing w:line="320" w:lineRule="exact"/>
              <w:jc w:val="center"/>
              <w:rPr>
                <w:color w:val="000000"/>
                <w:kern w:val="0"/>
                <w:sz w:val="18"/>
                <w:szCs w:val="18"/>
              </w:rPr>
            </w:pPr>
            <w:r>
              <w:rPr>
                <w:rFonts w:hint="eastAsia"/>
                <w:color w:val="000000"/>
                <w:kern w:val="0"/>
                <w:sz w:val="18"/>
                <w:szCs w:val="18"/>
              </w:rPr>
              <w:t>情形描述</w:t>
            </w:r>
          </w:p>
        </w:tc>
        <w:tc>
          <w:tcPr>
            <w:tcW w:w="5754" w:type="dxa"/>
            <w:tcBorders>
              <w:top w:val="single" w:color="auto" w:sz="4" w:space="0"/>
              <w:left w:val="nil"/>
              <w:right w:val="single" w:color="auto" w:sz="4" w:space="0"/>
            </w:tcBorders>
            <w:vAlign w:val="center"/>
          </w:tcPr>
          <w:p w14:paraId="47D86141">
            <w:pPr>
              <w:spacing w:line="320" w:lineRule="exact"/>
              <w:jc w:val="left"/>
              <w:rPr>
                <w:color w:val="000000"/>
                <w:kern w:val="0"/>
                <w:sz w:val="18"/>
                <w:szCs w:val="18"/>
              </w:rPr>
            </w:pPr>
            <w:r>
              <w:rPr>
                <w:sz w:val="18"/>
                <w:szCs w:val="18"/>
              </w:rPr>
              <w:t>初次拒不办理登记手续，经责令后及时改正</w:t>
            </w:r>
          </w:p>
        </w:tc>
        <w:tc>
          <w:tcPr>
            <w:tcW w:w="1060" w:type="dxa"/>
            <w:vMerge w:val="restart"/>
            <w:tcBorders>
              <w:top w:val="single" w:color="auto" w:sz="4" w:space="0"/>
              <w:left w:val="single" w:color="auto" w:sz="4" w:space="0"/>
              <w:bottom w:val="single" w:color="auto" w:sz="4" w:space="0"/>
              <w:right w:val="single" w:color="auto" w:sz="4" w:space="0"/>
            </w:tcBorders>
            <w:vAlign w:val="center"/>
          </w:tcPr>
          <w:p w14:paraId="24C0CD0D">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color="auto" w:sz="4" w:space="0"/>
              <w:left w:val="nil"/>
              <w:bottom w:val="single" w:color="auto" w:sz="4" w:space="0"/>
              <w:right w:val="single" w:color="auto" w:sz="4" w:space="0"/>
            </w:tcBorders>
            <w:vAlign w:val="center"/>
          </w:tcPr>
          <w:p w14:paraId="03CBA134">
            <w:pPr>
              <w:spacing w:line="320" w:lineRule="exact"/>
              <w:jc w:val="left"/>
              <w:rPr>
                <w:color w:val="000000"/>
                <w:kern w:val="0"/>
                <w:sz w:val="18"/>
                <w:szCs w:val="18"/>
              </w:rPr>
            </w:pPr>
            <w:r>
              <w:rPr>
                <w:sz w:val="18"/>
                <w:szCs w:val="18"/>
              </w:rPr>
              <w:t>处 500 元罚款</w:t>
            </w:r>
          </w:p>
        </w:tc>
      </w:tr>
      <w:tr w14:paraId="616B6459">
        <w:tblPrEx>
          <w:tblCellMar>
            <w:top w:w="0" w:type="dxa"/>
            <w:left w:w="108" w:type="dxa"/>
            <w:bottom w:w="0" w:type="dxa"/>
            <w:right w:w="108" w:type="dxa"/>
          </w:tblCellMar>
        </w:tblPrEx>
        <w:trPr>
          <w:trHeight w:val="362" w:hRule="atLeast"/>
        </w:trPr>
        <w:tc>
          <w:tcPr>
            <w:tcW w:w="1442" w:type="dxa"/>
            <w:vMerge w:val="continue"/>
            <w:tcBorders>
              <w:top w:val="nil"/>
              <w:left w:val="single" w:color="auto" w:sz="8" w:space="0"/>
              <w:bottom w:val="single" w:color="auto" w:sz="4" w:space="0"/>
              <w:right w:val="single" w:color="auto" w:sz="4" w:space="0"/>
            </w:tcBorders>
            <w:vAlign w:val="center"/>
          </w:tcPr>
          <w:p w14:paraId="1552EC02">
            <w:pPr>
              <w:spacing w:line="320" w:lineRule="exact"/>
              <w:jc w:val="center"/>
              <w:rPr>
                <w:color w:val="000000"/>
                <w:kern w:val="0"/>
                <w:sz w:val="18"/>
                <w:szCs w:val="18"/>
              </w:rPr>
            </w:pPr>
          </w:p>
        </w:tc>
        <w:tc>
          <w:tcPr>
            <w:tcW w:w="5754" w:type="dxa"/>
            <w:tcBorders>
              <w:top w:val="single" w:color="auto" w:sz="4" w:space="0"/>
              <w:left w:val="nil"/>
              <w:bottom w:val="single" w:color="auto" w:sz="4" w:space="0"/>
              <w:right w:val="single" w:color="auto" w:sz="4" w:space="0"/>
            </w:tcBorders>
            <w:vAlign w:val="center"/>
          </w:tcPr>
          <w:p w14:paraId="0E82AEB5">
            <w:pPr>
              <w:spacing w:line="320" w:lineRule="exact"/>
              <w:jc w:val="left"/>
              <w:rPr>
                <w:color w:val="000000"/>
                <w:kern w:val="0"/>
                <w:sz w:val="18"/>
                <w:szCs w:val="18"/>
              </w:rPr>
            </w:pPr>
            <w:r>
              <w:rPr>
                <w:sz w:val="18"/>
                <w:szCs w:val="18"/>
              </w:rPr>
              <w:t>拒不办理登记手续，或经责令后仍不改正</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7471F61E">
            <w:pPr>
              <w:spacing w:line="320" w:lineRule="exact"/>
              <w:jc w:val="center"/>
              <w:rPr>
                <w:color w:val="000000"/>
                <w:kern w:val="0"/>
                <w:sz w:val="18"/>
                <w:szCs w:val="18"/>
              </w:rPr>
            </w:pPr>
          </w:p>
        </w:tc>
        <w:tc>
          <w:tcPr>
            <w:tcW w:w="5760" w:type="dxa"/>
            <w:tcBorders>
              <w:top w:val="single" w:color="auto" w:sz="4" w:space="0"/>
              <w:left w:val="nil"/>
              <w:bottom w:val="single" w:color="auto" w:sz="4" w:space="0"/>
              <w:right w:val="single" w:color="auto" w:sz="4" w:space="0"/>
            </w:tcBorders>
            <w:vAlign w:val="center"/>
          </w:tcPr>
          <w:p w14:paraId="554EB727">
            <w:pPr>
              <w:spacing w:line="320" w:lineRule="exact"/>
              <w:jc w:val="left"/>
              <w:rPr>
                <w:color w:val="000000"/>
                <w:kern w:val="0"/>
                <w:sz w:val="18"/>
                <w:szCs w:val="18"/>
              </w:rPr>
            </w:pPr>
            <w:r>
              <w:rPr>
                <w:sz w:val="18"/>
                <w:szCs w:val="18"/>
              </w:rPr>
              <w:t>处 800 元以上 1000 元以下罚款</w:t>
            </w:r>
          </w:p>
        </w:tc>
      </w:tr>
    </w:tbl>
    <w:p w14:paraId="571C3DF4">
      <w:pPr>
        <w:rPr>
          <w:rFonts w:hint="eastAsia"/>
          <w:sz w:val="18"/>
          <w:szCs w:val="18"/>
        </w:rPr>
      </w:pPr>
    </w:p>
    <w:p w14:paraId="069FAC84">
      <w:pPr>
        <w:rPr>
          <w:rFonts w:hint="eastAsia"/>
          <w:sz w:val="18"/>
          <w:szCs w:val="18"/>
        </w:rPr>
      </w:pPr>
    </w:p>
    <w:p w14:paraId="1203FE99">
      <w:pPr>
        <w:rPr>
          <w:rFonts w:hint="eastAsia"/>
          <w:sz w:val="18"/>
          <w:szCs w:val="18"/>
        </w:rPr>
      </w:pPr>
    </w:p>
    <w:p w14:paraId="27B41ADF">
      <w:pPr>
        <w:rPr>
          <w:rFonts w:hint="eastAsia"/>
          <w:sz w:val="18"/>
          <w:szCs w:val="18"/>
        </w:rPr>
      </w:pPr>
    </w:p>
    <w:p w14:paraId="2F7EBB32">
      <w:pPr>
        <w:rPr>
          <w:rFonts w:hint="eastAsia"/>
          <w:sz w:val="18"/>
          <w:szCs w:val="18"/>
        </w:rPr>
      </w:pPr>
    </w:p>
    <w:p w14:paraId="6C94C490">
      <w:pPr>
        <w:rPr>
          <w:rFonts w:hint="eastAsia"/>
          <w:sz w:val="18"/>
          <w:szCs w:val="18"/>
        </w:rPr>
      </w:pPr>
    </w:p>
    <w:p w14:paraId="70954AF4">
      <w:pPr>
        <w:rPr>
          <w:rFonts w:hint="eastAsia"/>
          <w:sz w:val="18"/>
          <w:szCs w:val="18"/>
        </w:rPr>
      </w:pPr>
    </w:p>
    <w:p w14:paraId="0D501193">
      <w:pPr>
        <w:rPr>
          <w:rFonts w:hint="eastAsia"/>
          <w:sz w:val="18"/>
          <w:szCs w:val="18"/>
        </w:rPr>
      </w:pPr>
    </w:p>
    <w:p w14:paraId="43E2D678">
      <w:pPr>
        <w:rPr>
          <w:rFonts w:hint="eastAsia"/>
          <w:sz w:val="18"/>
          <w:szCs w:val="18"/>
        </w:rPr>
      </w:pPr>
    </w:p>
    <w:p w14:paraId="49675D4A">
      <w:pPr>
        <w:rPr>
          <w:rFonts w:hint="eastAsia"/>
          <w:sz w:val="18"/>
          <w:szCs w:val="18"/>
        </w:rPr>
      </w:pPr>
    </w:p>
    <w:p w14:paraId="47C53222">
      <w:pPr>
        <w:rPr>
          <w:rFonts w:hint="eastAsia"/>
          <w:sz w:val="18"/>
          <w:szCs w:val="18"/>
        </w:rPr>
      </w:pPr>
    </w:p>
    <w:tbl>
      <w:tblPr>
        <w:tblStyle w:val="15"/>
        <w:tblW w:w="0" w:type="auto"/>
        <w:tblInd w:w="88" w:type="dxa"/>
        <w:tblLayout w:type="fixed"/>
        <w:tblCellMar>
          <w:top w:w="0" w:type="dxa"/>
          <w:left w:w="108" w:type="dxa"/>
          <w:bottom w:w="0" w:type="dxa"/>
          <w:right w:w="108" w:type="dxa"/>
        </w:tblCellMar>
      </w:tblPr>
      <w:tblGrid>
        <w:gridCol w:w="1427"/>
        <w:gridCol w:w="5783"/>
        <w:gridCol w:w="1106"/>
        <w:gridCol w:w="5714"/>
      </w:tblGrid>
      <w:tr w14:paraId="54A992DD">
        <w:tblPrEx>
          <w:tblCellMar>
            <w:top w:w="0" w:type="dxa"/>
            <w:left w:w="108" w:type="dxa"/>
            <w:bottom w:w="0" w:type="dxa"/>
            <w:right w:w="108" w:type="dxa"/>
          </w:tblCellMar>
        </w:tblPrEx>
        <w:trPr>
          <w:trHeight w:val="285" w:hRule="atLeast"/>
        </w:trPr>
        <w:tc>
          <w:tcPr>
            <w:tcW w:w="1427" w:type="dxa"/>
            <w:tcBorders>
              <w:top w:val="single" w:color="auto" w:sz="8" w:space="0"/>
              <w:left w:val="single" w:color="auto" w:sz="8" w:space="0"/>
              <w:bottom w:val="single" w:color="auto" w:sz="4" w:space="0"/>
              <w:right w:val="single" w:color="auto" w:sz="4" w:space="0"/>
            </w:tcBorders>
            <w:vAlign w:val="center"/>
          </w:tcPr>
          <w:p w14:paraId="34E5F407">
            <w:pPr>
              <w:spacing w:line="320" w:lineRule="exact"/>
              <w:jc w:val="center"/>
              <w:rPr>
                <w:color w:val="000000"/>
                <w:kern w:val="0"/>
                <w:sz w:val="18"/>
                <w:szCs w:val="18"/>
              </w:rPr>
            </w:pPr>
            <w:r>
              <w:rPr>
                <w:rFonts w:hint="eastAsia"/>
                <w:color w:val="000000"/>
                <w:kern w:val="0"/>
                <w:sz w:val="18"/>
                <w:szCs w:val="18"/>
              </w:rPr>
              <w:t>编号</w:t>
            </w:r>
          </w:p>
        </w:tc>
        <w:tc>
          <w:tcPr>
            <w:tcW w:w="12603" w:type="dxa"/>
            <w:gridSpan w:val="3"/>
            <w:tcBorders>
              <w:top w:val="single" w:color="auto" w:sz="8" w:space="0"/>
              <w:left w:val="nil"/>
              <w:bottom w:val="single" w:color="auto" w:sz="4" w:space="0"/>
              <w:right w:val="single" w:color="000000" w:sz="8" w:space="0"/>
            </w:tcBorders>
            <w:vAlign w:val="center"/>
          </w:tcPr>
          <w:p w14:paraId="7B76B6CC">
            <w:pPr>
              <w:spacing w:line="320" w:lineRule="exact"/>
              <w:jc w:val="left"/>
              <w:rPr>
                <w:rFonts w:eastAsia="仿宋_GB2312"/>
                <w:b/>
                <w:bCs/>
                <w:color w:val="000000"/>
                <w:kern w:val="0"/>
                <w:sz w:val="18"/>
                <w:szCs w:val="18"/>
              </w:rPr>
            </w:pPr>
          </w:p>
        </w:tc>
      </w:tr>
      <w:tr w14:paraId="43A66135">
        <w:tblPrEx>
          <w:tblCellMar>
            <w:top w:w="0" w:type="dxa"/>
            <w:left w:w="108" w:type="dxa"/>
            <w:bottom w:w="0" w:type="dxa"/>
            <w:right w:w="108" w:type="dxa"/>
          </w:tblCellMar>
        </w:tblPrEx>
        <w:trPr>
          <w:trHeight w:val="285" w:hRule="atLeast"/>
        </w:trPr>
        <w:tc>
          <w:tcPr>
            <w:tcW w:w="1427" w:type="dxa"/>
            <w:tcBorders>
              <w:top w:val="nil"/>
              <w:left w:val="single" w:color="auto" w:sz="8" w:space="0"/>
              <w:bottom w:val="single" w:color="auto" w:sz="4" w:space="0"/>
              <w:right w:val="single" w:color="auto" w:sz="4" w:space="0"/>
            </w:tcBorders>
            <w:vAlign w:val="center"/>
          </w:tcPr>
          <w:p w14:paraId="49D650DB">
            <w:pPr>
              <w:spacing w:line="320" w:lineRule="exact"/>
              <w:jc w:val="center"/>
              <w:rPr>
                <w:color w:val="000000"/>
                <w:kern w:val="0"/>
                <w:sz w:val="18"/>
                <w:szCs w:val="18"/>
              </w:rPr>
            </w:pPr>
            <w:r>
              <w:rPr>
                <w:rFonts w:hint="eastAsia"/>
                <w:color w:val="000000"/>
                <w:kern w:val="0"/>
                <w:sz w:val="18"/>
                <w:szCs w:val="18"/>
              </w:rPr>
              <w:t>行为名称</w:t>
            </w:r>
          </w:p>
        </w:tc>
        <w:tc>
          <w:tcPr>
            <w:tcW w:w="12603" w:type="dxa"/>
            <w:gridSpan w:val="3"/>
            <w:tcBorders>
              <w:top w:val="single" w:color="auto" w:sz="4" w:space="0"/>
              <w:left w:val="nil"/>
              <w:bottom w:val="single" w:color="auto" w:sz="4" w:space="0"/>
              <w:right w:val="single" w:color="000000" w:sz="8" w:space="0"/>
            </w:tcBorders>
            <w:vAlign w:val="center"/>
          </w:tcPr>
          <w:p w14:paraId="60BAC657">
            <w:pPr>
              <w:spacing w:line="320" w:lineRule="exact"/>
              <w:jc w:val="left"/>
              <w:rPr>
                <w:color w:val="000000"/>
                <w:kern w:val="0"/>
                <w:sz w:val="18"/>
                <w:szCs w:val="18"/>
              </w:rPr>
            </w:pPr>
            <w:r>
              <w:rPr>
                <w:sz w:val="18"/>
                <w:szCs w:val="18"/>
              </w:rPr>
              <w:t>对物业服务企业未告知装饰装修禁止行为和注意事项，或者未按规定进行现场巡查和抽查的处罚</w:t>
            </w:r>
          </w:p>
        </w:tc>
      </w:tr>
      <w:tr w14:paraId="56169055">
        <w:tblPrEx>
          <w:tblCellMar>
            <w:top w:w="0" w:type="dxa"/>
            <w:left w:w="108" w:type="dxa"/>
            <w:bottom w:w="0" w:type="dxa"/>
            <w:right w:w="108" w:type="dxa"/>
          </w:tblCellMar>
        </w:tblPrEx>
        <w:trPr>
          <w:trHeight w:val="1290" w:hRule="atLeast"/>
        </w:trPr>
        <w:tc>
          <w:tcPr>
            <w:tcW w:w="1427" w:type="dxa"/>
            <w:tcBorders>
              <w:top w:val="nil"/>
              <w:left w:val="single" w:color="auto" w:sz="8" w:space="0"/>
              <w:bottom w:val="single" w:color="auto" w:sz="4" w:space="0"/>
              <w:right w:val="single" w:color="auto" w:sz="4" w:space="0"/>
            </w:tcBorders>
            <w:vAlign w:val="center"/>
          </w:tcPr>
          <w:p w14:paraId="0CBE4B12">
            <w:pPr>
              <w:spacing w:line="320" w:lineRule="exact"/>
              <w:jc w:val="center"/>
              <w:rPr>
                <w:color w:val="000000"/>
                <w:kern w:val="0"/>
                <w:sz w:val="18"/>
                <w:szCs w:val="18"/>
              </w:rPr>
            </w:pPr>
            <w:r>
              <w:rPr>
                <w:rFonts w:hint="eastAsia"/>
                <w:color w:val="000000"/>
                <w:kern w:val="0"/>
                <w:sz w:val="18"/>
                <w:szCs w:val="18"/>
              </w:rPr>
              <w:t>法律依据</w:t>
            </w:r>
          </w:p>
        </w:tc>
        <w:tc>
          <w:tcPr>
            <w:tcW w:w="12603" w:type="dxa"/>
            <w:gridSpan w:val="3"/>
            <w:tcBorders>
              <w:top w:val="single" w:color="auto" w:sz="4" w:space="0"/>
              <w:left w:val="nil"/>
              <w:bottom w:val="single" w:color="auto" w:sz="4" w:space="0"/>
              <w:right w:val="single" w:color="000000" w:sz="8" w:space="0"/>
            </w:tcBorders>
            <w:vAlign w:val="center"/>
          </w:tcPr>
          <w:p w14:paraId="7FDA1AED">
            <w:pPr>
              <w:spacing w:line="320" w:lineRule="exact"/>
              <w:jc w:val="left"/>
              <w:rPr>
                <w:color w:val="000000"/>
                <w:kern w:val="0"/>
                <w:sz w:val="18"/>
                <w:szCs w:val="18"/>
              </w:rPr>
            </w:pPr>
            <w:r>
              <w:rPr>
                <w:sz w:val="18"/>
                <w:szCs w:val="18"/>
              </w:rPr>
              <w:t>【地方性法规】《连云港市住宅小区装饰装修管理条例》第二十条第一款：违反本条例第十条第一款、第十九条第二款规定，未告知装饰装修禁止行为和注意事项，或者未按规定进行现场巡查和抽查的，由住房和城乡建设部门责令限期改正；逾期未改正的，给予警告，处五百元以上二千元以下罚款。</w:t>
            </w:r>
          </w:p>
        </w:tc>
      </w:tr>
      <w:tr w14:paraId="52ABB584">
        <w:tblPrEx>
          <w:tblCellMar>
            <w:top w:w="0" w:type="dxa"/>
            <w:left w:w="108" w:type="dxa"/>
            <w:bottom w:w="0" w:type="dxa"/>
            <w:right w:w="108" w:type="dxa"/>
          </w:tblCellMar>
        </w:tblPrEx>
        <w:trPr>
          <w:trHeight w:val="285" w:hRule="atLeast"/>
        </w:trPr>
        <w:tc>
          <w:tcPr>
            <w:tcW w:w="1427" w:type="dxa"/>
            <w:tcBorders>
              <w:top w:val="nil"/>
              <w:left w:val="single" w:color="auto" w:sz="8" w:space="0"/>
              <w:bottom w:val="single" w:color="auto" w:sz="4" w:space="0"/>
              <w:right w:val="single" w:color="auto" w:sz="4" w:space="0"/>
            </w:tcBorders>
            <w:vAlign w:val="center"/>
          </w:tcPr>
          <w:p w14:paraId="25057D8A">
            <w:pPr>
              <w:spacing w:line="320" w:lineRule="exact"/>
              <w:jc w:val="center"/>
              <w:rPr>
                <w:color w:val="000000"/>
                <w:kern w:val="0"/>
                <w:sz w:val="18"/>
                <w:szCs w:val="18"/>
              </w:rPr>
            </w:pPr>
            <w:r>
              <w:rPr>
                <w:rFonts w:hint="eastAsia"/>
                <w:color w:val="000000"/>
                <w:kern w:val="0"/>
                <w:sz w:val="18"/>
                <w:szCs w:val="18"/>
              </w:rPr>
              <w:t>行使内容</w:t>
            </w:r>
          </w:p>
        </w:tc>
        <w:tc>
          <w:tcPr>
            <w:tcW w:w="12603" w:type="dxa"/>
            <w:gridSpan w:val="3"/>
            <w:tcBorders>
              <w:top w:val="single" w:color="auto" w:sz="4" w:space="0"/>
              <w:left w:val="nil"/>
              <w:bottom w:val="single" w:color="auto" w:sz="4" w:space="0"/>
              <w:right w:val="single" w:color="000000" w:sz="8" w:space="0"/>
            </w:tcBorders>
            <w:vAlign w:val="center"/>
          </w:tcPr>
          <w:p w14:paraId="364023DF">
            <w:pPr>
              <w:spacing w:line="320" w:lineRule="exact"/>
              <w:jc w:val="left"/>
              <w:rPr>
                <w:color w:val="000000"/>
                <w:kern w:val="0"/>
                <w:sz w:val="18"/>
                <w:szCs w:val="18"/>
              </w:rPr>
            </w:pPr>
            <w:r>
              <w:rPr>
                <w:sz w:val="18"/>
                <w:szCs w:val="18"/>
              </w:rPr>
              <w:t>责令限期改正，警告，罚款</w:t>
            </w:r>
          </w:p>
        </w:tc>
      </w:tr>
      <w:tr w14:paraId="3EE4A1F7">
        <w:tblPrEx>
          <w:tblCellMar>
            <w:top w:w="0" w:type="dxa"/>
            <w:left w:w="108" w:type="dxa"/>
            <w:bottom w:w="0" w:type="dxa"/>
            <w:right w:w="108" w:type="dxa"/>
          </w:tblCellMar>
        </w:tblPrEx>
        <w:trPr>
          <w:trHeight w:val="285" w:hRule="atLeast"/>
        </w:trPr>
        <w:tc>
          <w:tcPr>
            <w:tcW w:w="14030" w:type="dxa"/>
            <w:gridSpan w:val="4"/>
            <w:tcBorders>
              <w:top w:val="single" w:color="auto" w:sz="4" w:space="0"/>
              <w:left w:val="single" w:color="auto" w:sz="8" w:space="0"/>
              <w:bottom w:val="single" w:color="auto" w:sz="4" w:space="0"/>
              <w:right w:val="single" w:color="000000" w:sz="8" w:space="0"/>
            </w:tcBorders>
            <w:vAlign w:val="center"/>
          </w:tcPr>
          <w:p w14:paraId="64313D5D">
            <w:pPr>
              <w:spacing w:line="320" w:lineRule="exact"/>
              <w:jc w:val="center"/>
              <w:rPr>
                <w:color w:val="000000"/>
                <w:kern w:val="0"/>
                <w:sz w:val="18"/>
                <w:szCs w:val="18"/>
              </w:rPr>
            </w:pPr>
            <w:r>
              <w:rPr>
                <w:rFonts w:hint="eastAsia"/>
                <w:color w:val="000000"/>
                <w:kern w:val="0"/>
                <w:sz w:val="18"/>
                <w:szCs w:val="18"/>
              </w:rPr>
              <w:t>裁量基准</w:t>
            </w:r>
          </w:p>
        </w:tc>
      </w:tr>
      <w:tr w14:paraId="562E3D50">
        <w:tblPrEx>
          <w:tblCellMar>
            <w:top w:w="0" w:type="dxa"/>
            <w:left w:w="108" w:type="dxa"/>
            <w:bottom w:w="0" w:type="dxa"/>
            <w:right w:w="108" w:type="dxa"/>
          </w:tblCellMar>
        </w:tblPrEx>
        <w:trPr>
          <w:trHeight w:val="480" w:hRule="atLeast"/>
        </w:trPr>
        <w:tc>
          <w:tcPr>
            <w:tcW w:w="1427" w:type="dxa"/>
            <w:vMerge w:val="restart"/>
            <w:tcBorders>
              <w:top w:val="nil"/>
              <w:left w:val="single" w:color="auto" w:sz="8" w:space="0"/>
              <w:bottom w:val="single" w:color="auto" w:sz="4" w:space="0"/>
              <w:right w:val="single" w:color="auto" w:sz="4" w:space="0"/>
            </w:tcBorders>
            <w:vAlign w:val="center"/>
          </w:tcPr>
          <w:p w14:paraId="05E30EB6">
            <w:pPr>
              <w:spacing w:line="320" w:lineRule="exact"/>
              <w:jc w:val="center"/>
              <w:rPr>
                <w:color w:val="000000"/>
                <w:kern w:val="0"/>
                <w:sz w:val="18"/>
                <w:szCs w:val="18"/>
              </w:rPr>
            </w:pPr>
            <w:r>
              <w:rPr>
                <w:rFonts w:hint="eastAsia"/>
                <w:color w:val="000000"/>
                <w:kern w:val="0"/>
                <w:sz w:val="18"/>
                <w:szCs w:val="18"/>
              </w:rPr>
              <w:t>情形描述</w:t>
            </w:r>
          </w:p>
        </w:tc>
        <w:tc>
          <w:tcPr>
            <w:tcW w:w="5783" w:type="dxa"/>
            <w:tcBorders>
              <w:top w:val="single" w:color="auto" w:sz="4" w:space="0"/>
              <w:left w:val="nil"/>
              <w:bottom w:val="single" w:color="auto" w:sz="4" w:space="0"/>
              <w:right w:val="single" w:color="auto" w:sz="4" w:space="0"/>
            </w:tcBorders>
            <w:vAlign w:val="center"/>
          </w:tcPr>
          <w:p w14:paraId="259BF432">
            <w:pPr>
              <w:spacing w:line="320" w:lineRule="exact"/>
              <w:jc w:val="left"/>
              <w:rPr>
                <w:color w:val="000000"/>
                <w:kern w:val="0"/>
                <w:sz w:val="18"/>
                <w:szCs w:val="18"/>
              </w:rPr>
            </w:pPr>
            <w:r>
              <w:rPr>
                <w:sz w:val="18"/>
                <w:szCs w:val="18"/>
              </w:rPr>
              <w:t>初次违规且逾期未改正，未造成不良后果</w:t>
            </w:r>
          </w:p>
        </w:tc>
        <w:tc>
          <w:tcPr>
            <w:tcW w:w="1106" w:type="dxa"/>
            <w:vMerge w:val="restart"/>
            <w:tcBorders>
              <w:top w:val="nil"/>
              <w:left w:val="single" w:color="auto" w:sz="4" w:space="0"/>
              <w:bottom w:val="single" w:color="auto" w:sz="4" w:space="0"/>
              <w:right w:val="single" w:color="auto" w:sz="4" w:space="0"/>
            </w:tcBorders>
            <w:vAlign w:val="center"/>
          </w:tcPr>
          <w:p w14:paraId="213272D6">
            <w:pPr>
              <w:spacing w:line="320" w:lineRule="exact"/>
              <w:jc w:val="center"/>
              <w:rPr>
                <w:color w:val="000000"/>
                <w:kern w:val="0"/>
                <w:sz w:val="18"/>
                <w:szCs w:val="18"/>
              </w:rPr>
            </w:pPr>
            <w:r>
              <w:rPr>
                <w:rFonts w:hint="eastAsia"/>
                <w:color w:val="000000"/>
                <w:kern w:val="0"/>
                <w:sz w:val="18"/>
                <w:szCs w:val="18"/>
              </w:rPr>
              <w:t>裁量幅度</w:t>
            </w:r>
          </w:p>
        </w:tc>
        <w:tc>
          <w:tcPr>
            <w:tcW w:w="5714" w:type="dxa"/>
            <w:tcBorders>
              <w:top w:val="nil"/>
              <w:left w:val="nil"/>
              <w:bottom w:val="single" w:color="auto" w:sz="4" w:space="0"/>
              <w:right w:val="single" w:color="auto" w:sz="8" w:space="0"/>
            </w:tcBorders>
            <w:vAlign w:val="center"/>
          </w:tcPr>
          <w:p w14:paraId="57ED103B">
            <w:pPr>
              <w:spacing w:line="320" w:lineRule="exact"/>
              <w:jc w:val="left"/>
              <w:rPr>
                <w:color w:val="000000"/>
                <w:kern w:val="0"/>
                <w:sz w:val="18"/>
                <w:szCs w:val="18"/>
              </w:rPr>
            </w:pPr>
            <w:r>
              <w:rPr>
                <w:sz w:val="18"/>
                <w:szCs w:val="18"/>
              </w:rPr>
              <w:t>给予警告，处 500 元以上 1000 元以下罚款</w:t>
            </w:r>
          </w:p>
        </w:tc>
      </w:tr>
      <w:tr w14:paraId="3EB7D0CC">
        <w:tblPrEx>
          <w:tblCellMar>
            <w:top w:w="0" w:type="dxa"/>
            <w:left w:w="108" w:type="dxa"/>
            <w:bottom w:w="0" w:type="dxa"/>
            <w:right w:w="108" w:type="dxa"/>
          </w:tblCellMar>
        </w:tblPrEx>
        <w:trPr>
          <w:trHeight w:val="720" w:hRule="atLeast"/>
        </w:trPr>
        <w:tc>
          <w:tcPr>
            <w:tcW w:w="1427" w:type="dxa"/>
            <w:vMerge w:val="continue"/>
            <w:tcBorders>
              <w:top w:val="nil"/>
              <w:left w:val="single" w:color="auto" w:sz="8" w:space="0"/>
              <w:bottom w:val="single" w:color="auto" w:sz="4" w:space="0"/>
              <w:right w:val="single" w:color="auto" w:sz="4" w:space="0"/>
            </w:tcBorders>
            <w:vAlign w:val="center"/>
          </w:tcPr>
          <w:p w14:paraId="43B9AE45">
            <w:pPr>
              <w:spacing w:line="320" w:lineRule="exact"/>
              <w:jc w:val="left"/>
              <w:rPr>
                <w:color w:val="000000"/>
                <w:kern w:val="0"/>
                <w:sz w:val="18"/>
                <w:szCs w:val="18"/>
              </w:rPr>
            </w:pPr>
          </w:p>
        </w:tc>
        <w:tc>
          <w:tcPr>
            <w:tcW w:w="5783" w:type="dxa"/>
            <w:tcBorders>
              <w:top w:val="single" w:color="auto" w:sz="4" w:space="0"/>
              <w:left w:val="nil"/>
              <w:bottom w:val="single" w:color="auto" w:sz="4" w:space="0"/>
              <w:right w:val="single" w:color="auto" w:sz="4" w:space="0"/>
            </w:tcBorders>
            <w:vAlign w:val="center"/>
          </w:tcPr>
          <w:p w14:paraId="6670AAE1">
            <w:pPr>
              <w:spacing w:line="320" w:lineRule="exact"/>
              <w:jc w:val="left"/>
              <w:rPr>
                <w:color w:val="000000"/>
                <w:kern w:val="0"/>
                <w:sz w:val="18"/>
                <w:szCs w:val="18"/>
              </w:rPr>
            </w:pPr>
            <w:r>
              <w:rPr>
                <w:sz w:val="18"/>
                <w:szCs w:val="18"/>
              </w:rPr>
              <w:t>多次违规或逾期未改且造成一定不良后果，如发生轻微违规装修行为未及时发现处理</w:t>
            </w:r>
          </w:p>
        </w:tc>
        <w:tc>
          <w:tcPr>
            <w:tcW w:w="1106" w:type="dxa"/>
            <w:vMerge w:val="continue"/>
            <w:tcBorders>
              <w:top w:val="nil"/>
              <w:left w:val="single" w:color="auto" w:sz="4" w:space="0"/>
              <w:bottom w:val="single" w:color="auto" w:sz="4" w:space="0"/>
              <w:right w:val="single" w:color="auto" w:sz="4" w:space="0"/>
            </w:tcBorders>
            <w:vAlign w:val="center"/>
          </w:tcPr>
          <w:p w14:paraId="35ECAA4C">
            <w:pPr>
              <w:spacing w:line="320" w:lineRule="exact"/>
              <w:jc w:val="left"/>
              <w:rPr>
                <w:color w:val="000000"/>
                <w:kern w:val="0"/>
                <w:sz w:val="18"/>
                <w:szCs w:val="18"/>
              </w:rPr>
            </w:pPr>
          </w:p>
        </w:tc>
        <w:tc>
          <w:tcPr>
            <w:tcW w:w="5714" w:type="dxa"/>
            <w:tcBorders>
              <w:top w:val="nil"/>
              <w:left w:val="nil"/>
              <w:bottom w:val="single" w:color="auto" w:sz="4" w:space="0"/>
              <w:right w:val="single" w:color="auto" w:sz="8" w:space="0"/>
            </w:tcBorders>
            <w:vAlign w:val="center"/>
          </w:tcPr>
          <w:p w14:paraId="710D2EF6">
            <w:pPr>
              <w:spacing w:line="320" w:lineRule="exact"/>
              <w:jc w:val="left"/>
              <w:rPr>
                <w:color w:val="000000"/>
                <w:kern w:val="0"/>
                <w:sz w:val="18"/>
                <w:szCs w:val="18"/>
              </w:rPr>
            </w:pPr>
            <w:r>
              <w:rPr>
                <w:sz w:val="18"/>
                <w:szCs w:val="18"/>
              </w:rPr>
              <w:t>给予警告，处 1000 元以上 2000 元以下罚款</w:t>
            </w:r>
          </w:p>
        </w:tc>
      </w:tr>
    </w:tbl>
    <w:p w14:paraId="689C8894">
      <w:pPr>
        <w:rPr>
          <w:rFonts w:hint="eastAsia"/>
          <w:sz w:val="18"/>
          <w:szCs w:val="18"/>
        </w:rPr>
      </w:pPr>
    </w:p>
    <w:sectPr>
      <w:pgSz w:w="16838" w:h="11906" w:orient="landscape"/>
      <w:pgMar w:top="1800" w:right="1440" w:bottom="180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3ZjM1MTMxYzI0N2VhNmRiNWEzNzBiMWU0OTA1MDgifQ=="/>
  </w:docVars>
  <w:rsids>
    <w:rsidRoot w:val="00F545CF"/>
    <w:rsid w:val="00005FD5"/>
    <w:rsid w:val="0001194B"/>
    <w:rsid w:val="00014A32"/>
    <w:rsid w:val="00016394"/>
    <w:rsid w:val="00017B07"/>
    <w:rsid w:val="00024CEA"/>
    <w:rsid w:val="00025059"/>
    <w:rsid w:val="000630B9"/>
    <w:rsid w:val="000A2B96"/>
    <w:rsid w:val="000A5F81"/>
    <w:rsid w:val="000B1151"/>
    <w:rsid w:val="000D6109"/>
    <w:rsid w:val="00111470"/>
    <w:rsid w:val="0012309F"/>
    <w:rsid w:val="001244F3"/>
    <w:rsid w:val="00132CD9"/>
    <w:rsid w:val="00135403"/>
    <w:rsid w:val="00137F4B"/>
    <w:rsid w:val="00147F4A"/>
    <w:rsid w:val="00152973"/>
    <w:rsid w:val="001543C1"/>
    <w:rsid w:val="00162ED1"/>
    <w:rsid w:val="0016585C"/>
    <w:rsid w:val="001715C8"/>
    <w:rsid w:val="00183B71"/>
    <w:rsid w:val="001955D7"/>
    <w:rsid w:val="001A1182"/>
    <w:rsid w:val="001A73CC"/>
    <w:rsid w:val="001B48D4"/>
    <w:rsid w:val="001B59A0"/>
    <w:rsid w:val="001B74BA"/>
    <w:rsid w:val="001E6278"/>
    <w:rsid w:val="001F5406"/>
    <w:rsid w:val="001F5A12"/>
    <w:rsid w:val="00205A32"/>
    <w:rsid w:val="00205FD2"/>
    <w:rsid w:val="002060FA"/>
    <w:rsid w:val="00210A87"/>
    <w:rsid w:val="0021188C"/>
    <w:rsid w:val="00227E95"/>
    <w:rsid w:val="002309FF"/>
    <w:rsid w:val="00231751"/>
    <w:rsid w:val="00257BFE"/>
    <w:rsid w:val="00262A9D"/>
    <w:rsid w:val="00265F86"/>
    <w:rsid w:val="00271820"/>
    <w:rsid w:val="00277C9F"/>
    <w:rsid w:val="00284AF8"/>
    <w:rsid w:val="002A4F7F"/>
    <w:rsid w:val="002A5AF7"/>
    <w:rsid w:val="002B0FF9"/>
    <w:rsid w:val="002D66DB"/>
    <w:rsid w:val="002E1917"/>
    <w:rsid w:val="00301192"/>
    <w:rsid w:val="003147BB"/>
    <w:rsid w:val="00316EAB"/>
    <w:rsid w:val="0031779C"/>
    <w:rsid w:val="00330100"/>
    <w:rsid w:val="00336CC2"/>
    <w:rsid w:val="00341B37"/>
    <w:rsid w:val="0034747D"/>
    <w:rsid w:val="00351B95"/>
    <w:rsid w:val="00355A2B"/>
    <w:rsid w:val="00381E53"/>
    <w:rsid w:val="003878A4"/>
    <w:rsid w:val="003910FA"/>
    <w:rsid w:val="00391808"/>
    <w:rsid w:val="003A3DCB"/>
    <w:rsid w:val="003B14ED"/>
    <w:rsid w:val="003B5B4C"/>
    <w:rsid w:val="003F349A"/>
    <w:rsid w:val="003F4AC0"/>
    <w:rsid w:val="003F4C1A"/>
    <w:rsid w:val="0040243D"/>
    <w:rsid w:val="00431F25"/>
    <w:rsid w:val="00433F68"/>
    <w:rsid w:val="004361C4"/>
    <w:rsid w:val="004364D8"/>
    <w:rsid w:val="0044306B"/>
    <w:rsid w:val="00472508"/>
    <w:rsid w:val="00486A84"/>
    <w:rsid w:val="004953A6"/>
    <w:rsid w:val="004B1690"/>
    <w:rsid w:val="004B19D8"/>
    <w:rsid w:val="004B3157"/>
    <w:rsid w:val="004B415F"/>
    <w:rsid w:val="004B5F47"/>
    <w:rsid w:val="004D0855"/>
    <w:rsid w:val="004D184F"/>
    <w:rsid w:val="004D298C"/>
    <w:rsid w:val="004F0C81"/>
    <w:rsid w:val="004F5230"/>
    <w:rsid w:val="004F6FA8"/>
    <w:rsid w:val="00500120"/>
    <w:rsid w:val="005152DD"/>
    <w:rsid w:val="00521603"/>
    <w:rsid w:val="00523220"/>
    <w:rsid w:val="00553634"/>
    <w:rsid w:val="0055561F"/>
    <w:rsid w:val="00565804"/>
    <w:rsid w:val="00576EC2"/>
    <w:rsid w:val="00581944"/>
    <w:rsid w:val="005857E2"/>
    <w:rsid w:val="00586DAE"/>
    <w:rsid w:val="0058794F"/>
    <w:rsid w:val="00594230"/>
    <w:rsid w:val="005D364A"/>
    <w:rsid w:val="005D5324"/>
    <w:rsid w:val="005D7791"/>
    <w:rsid w:val="005E09AE"/>
    <w:rsid w:val="005E19E6"/>
    <w:rsid w:val="00604211"/>
    <w:rsid w:val="00614C59"/>
    <w:rsid w:val="0063443F"/>
    <w:rsid w:val="0063473D"/>
    <w:rsid w:val="00643AB1"/>
    <w:rsid w:val="00643B2F"/>
    <w:rsid w:val="006521BB"/>
    <w:rsid w:val="00657004"/>
    <w:rsid w:val="00663EAE"/>
    <w:rsid w:val="00667C84"/>
    <w:rsid w:val="00670CB2"/>
    <w:rsid w:val="00676420"/>
    <w:rsid w:val="006B50A7"/>
    <w:rsid w:val="006D3DE8"/>
    <w:rsid w:val="006D7E14"/>
    <w:rsid w:val="006F1E09"/>
    <w:rsid w:val="0070181A"/>
    <w:rsid w:val="00731D80"/>
    <w:rsid w:val="00734F6F"/>
    <w:rsid w:val="00736D37"/>
    <w:rsid w:val="007469AD"/>
    <w:rsid w:val="00761F38"/>
    <w:rsid w:val="00762CCA"/>
    <w:rsid w:val="00767D51"/>
    <w:rsid w:val="00775B22"/>
    <w:rsid w:val="00784A3D"/>
    <w:rsid w:val="00794EF3"/>
    <w:rsid w:val="007A69EB"/>
    <w:rsid w:val="007B1C07"/>
    <w:rsid w:val="007B3249"/>
    <w:rsid w:val="007C41BF"/>
    <w:rsid w:val="007C72A2"/>
    <w:rsid w:val="007E3CF8"/>
    <w:rsid w:val="007F02EA"/>
    <w:rsid w:val="007F255C"/>
    <w:rsid w:val="007F7FA3"/>
    <w:rsid w:val="00812751"/>
    <w:rsid w:val="00812D74"/>
    <w:rsid w:val="00814B41"/>
    <w:rsid w:val="0081687E"/>
    <w:rsid w:val="008331F8"/>
    <w:rsid w:val="008404CA"/>
    <w:rsid w:val="00851ADA"/>
    <w:rsid w:val="00874A15"/>
    <w:rsid w:val="0089035D"/>
    <w:rsid w:val="008925A7"/>
    <w:rsid w:val="00892D34"/>
    <w:rsid w:val="008A17B9"/>
    <w:rsid w:val="008A31CD"/>
    <w:rsid w:val="008A78DD"/>
    <w:rsid w:val="008B06CF"/>
    <w:rsid w:val="008B1BB0"/>
    <w:rsid w:val="008B2E2D"/>
    <w:rsid w:val="008C1823"/>
    <w:rsid w:val="008C4621"/>
    <w:rsid w:val="008D0696"/>
    <w:rsid w:val="008D465E"/>
    <w:rsid w:val="008E2BB6"/>
    <w:rsid w:val="008E3F6A"/>
    <w:rsid w:val="008E4B60"/>
    <w:rsid w:val="008F3E75"/>
    <w:rsid w:val="00902412"/>
    <w:rsid w:val="00912D80"/>
    <w:rsid w:val="00963222"/>
    <w:rsid w:val="009B1DF0"/>
    <w:rsid w:val="009D1AE7"/>
    <w:rsid w:val="009D5254"/>
    <w:rsid w:val="009D5CAF"/>
    <w:rsid w:val="009F067D"/>
    <w:rsid w:val="009F229F"/>
    <w:rsid w:val="009F22AA"/>
    <w:rsid w:val="009F29AD"/>
    <w:rsid w:val="00A13B24"/>
    <w:rsid w:val="00A1563E"/>
    <w:rsid w:val="00A211CF"/>
    <w:rsid w:val="00A30A35"/>
    <w:rsid w:val="00A33B8D"/>
    <w:rsid w:val="00A413F6"/>
    <w:rsid w:val="00A446A5"/>
    <w:rsid w:val="00A6638D"/>
    <w:rsid w:val="00A76853"/>
    <w:rsid w:val="00AB035B"/>
    <w:rsid w:val="00AC0A18"/>
    <w:rsid w:val="00AC6351"/>
    <w:rsid w:val="00AD5D81"/>
    <w:rsid w:val="00AF1D50"/>
    <w:rsid w:val="00AF5380"/>
    <w:rsid w:val="00B065B4"/>
    <w:rsid w:val="00B068A6"/>
    <w:rsid w:val="00B21D66"/>
    <w:rsid w:val="00B22DBC"/>
    <w:rsid w:val="00B271FD"/>
    <w:rsid w:val="00B32B97"/>
    <w:rsid w:val="00B41883"/>
    <w:rsid w:val="00B44F72"/>
    <w:rsid w:val="00B46EC6"/>
    <w:rsid w:val="00B50283"/>
    <w:rsid w:val="00B552D3"/>
    <w:rsid w:val="00B6018A"/>
    <w:rsid w:val="00B62B09"/>
    <w:rsid w:val="00B64BE8"/>
    <w:rsid w:val="00B97961"/>
    <w:rsid w:val="00BB3F8C"/>
    <w:rsid w:val="00BB4A6C"/>
    <w:rsid w:val="00BC37F9"/>
    <w:rsid w:val="00BC450D"/>
    <w:rsid w:val="00BC6F9B"/>
    <w:rsid w:val="00BD5459"/>
    <w:rsid w:val="00BE1CE8"/>
    <w:rsid w:val="00BE2FB5"/>
    <w:rsid w:val="00C06C22"/>
    <w:rsid w:val="00C2529F"/>
    <w:rsid w:val="00C26796"/>
    <w:rsid w:val="00C276E1"/>
    <w:rsid w:val="00C30FDE"/>
    <w:rsid w:val="00C356C0"/>
    <w:rsid w:val="00C67688"/>
    <w:rsid w:val="00C72374"/>
    <w:rsid w:val="00C7619E"/>
    <w:rsid w:val="00C8152A"/>
    <w:rsid w:val="00C8295B"/>
    <w:rsid w:val="00CA754B"/>
    <w:rsid w:val="00CC4E4A"/>
    <w:rsid w:val="00CF6AE0"/>
    <w:rsid w:val="00D052DB"/>
    <w:rsid w:val="00D103D5"/>
    <w:rsid w:val="00D45799"/>
    <w:rsid w:val="00D46B23"/>
    <w:rsid w:val="00D60182"/>
    <w:rsid w:val="00D61C87"/>
    <w:rsid w:val="00D67D80"/>
    <w:rsid w:val="00D8397E"/>
    <w:rsid w:val="00DA1DEA"/>
    <w:rsid w:val="00DD15C9"/>
    <w:rsid w:val="00DD6319"/>
    <w:rsid w:val="00DE28E8"/>
    <w:rsid w:val="00E05453"/>
    <w:rsid w:val="00E4425A"/>
    <w:rsid w:val="00E55F0C"/>
    <w:rsid w:val="00E613B8"/>
    <w:rsid w:val="00E75A0E"/>
    <w:rsid w:val="00E81BD3"/>
    <w:rsid w:val="00E84781"/>
    <w:rsid w:val="00EB15EF"/>
    <w:rsid w:val="00EB527E"/>
    <w:rsid w:val="00EE192E"/>
    <w:rsid w:val="00EF7043"/>
    <w:rsid w:val="00F31E34"/>
    <w:rsid w:val="00F34A96"/>
    <w:rsid w:val="00F42D56"/>
    <w:rsid w:val="00F545CF"/>
    <w:rsid w:val="00F63004"/>
    <w:rsid w:val="00F66D58"/>
    <w:rsid w:val="00F7270A"/>
    <w:rsid w:val="00F769D6"/>
    <w:rsid w:val="00F81D5B"/>
    <w:rsid w:val="00F826EE"/>
    <w:rsid w:val="00F870BB"/>
    <w:rsid w:val="00FB6C66"/>
    <w:rsid w:val="01861AC5"/>
    <w:rsid w:val="067868FD"/>
    <w:rsid w:val="091A0743"/>
    <w:rsid w:val="09AC0D8D"/>
    <w:rsid w:val="09EB702F"/>
    <w:rsid w:val="0B99628D"/>
    <w:rsid w:val="10481536"/>
    <w:rsid w:val="14306E33"/>
    <w:rsid w:val="15051099"/>
    <w:rsid w:val="15A2305E"/>
    <w:rsid w:val="169D17F7"/>
    <w:rsid w:val="1CB702B4"/>
    <w:rsid w:val="2153702C"/>
    <w:rsid w:val="245C2C9F"/>
    <w:rsid w:val="27226A3D"/>
    <w:rsid w:val="28384920"/>
    <w:rsid w:val="2AA1140C"/>
    <w:rsid w:val="2B1B2080"/>
    <w:rsid w:val="31FA30D9"/>
    <w:rsid w:val="32CE7F4A"/>
    <w:rsid w:val="352D1518"/>
    <w:rsid w:val="3AD25874"/>
    <w:rsid w:val="3C095928"/>
    <w:rsid w:val="3DB75261"/>
    <w:rsid w:val="3DD06CC5"/>
    <w:rsid w:val="41735459"/>
    <w:rsid w:val="47256E27"/>
    <w:rsid w:val="47832DAA"/>
    <w:rsid w:val="4B7C0820"/>
    <w:rsid w:val="4F8837B2"/>
    <w:rsid w:val="51FE3331"/>
    <w:rsid w:val="57F329F7"/>
    <w:rsid w:val="5A752912"/>
    <w:rsid w:val="5B9E0E6F"/>
    <w:rsid w:val="5E5D495A"/>
    <w:rsid w:val="5FC609F2"/>
    <w:rsid w:val="62831597"/>
    <w:rsid w:val="634379A6"/>
    <w:rsid w:val="63AF7F85"/>
    <w:rsid w:val="64330225"/>
    <w:rsid w:val="64C179D9"/>
    <w:rsid w:val="65A813B7"/>
    <w:rsid w:val="6CEA65F8"/>
    <w:rsid w:val="6E633DC4"/>
    <w:rsid w:val="6F082DD5"/>
    <w:rsid w:val="71534AF8"/>
    <w:rsid w:val="728409C4"/>
    <w:rsid w:val="74321BDE"/>
    <w:rsid w:val="76412008"/>
    <w:rsid w:val="7BC6375F"/>
    <w:rsid w:val="7E8B7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qFormat/>
    <w:uiPriority w:val="9"/>
    <w:pPr>
      <w:keepNext/>
      <w:keepLines/>
      <w:widowControl/>
      <w:spacing w:line="570" w:lineRule="atLeast"/>
      <w:jc w:val="left"/>
      <w:outlineLvl w:val="0"/>
    </w:pPr>
    <w:rPr>
      <w:rFonts w:eastAsia="方正仿宋_GBK" w:asciiTheme="minorHAnsi" w:hAnsiTheme="minorHAnsi" w:cstheme="minorBidi"/>
      <w:bCs/>
      <w:kern w:val="44"/>
      <w:sz w:val="32"/>
      <w:szCs w:val="44"/>
    </w:rPr>
  </w:style>
  <w:style w:type="paragraph" w:styleId="3">
    <w:name w:val="heading 2"/>
    <w:basedOn w:val="1"/>
    <w:next w:val="1"/>
    <w:link w:val="21"/>
    <w:unhideWhenUsed/>
    <w:qFormat/>
    <w:uiPriority w:val="9"/>
    <w:pPr>
      <w:keepNext/>
      <w:keepLines/>
      <w:widowControl/>
      <w:spacing w:before="260" w:after="260" w:line="416" w:lineRule="atLeast"/>
      <w:jc w:val="left"/>
      <w:outlineLvl w:val="1"/>
    </w:pPr>
    <w:rPr>
      <w:rFonts w:asciiTheme="majorHAnsi" w:hAnsiTheme="majorHAnsi" w:eastAsiaTheme="majorEastAsia" w:cstheme="majorBidi"/>
      <w:b/>
      <w:bCs/>
      <w:sz w:val="32"/>
      <w:szCs w:val="32"/>
    </w:rPr>
  </w:style>
  <w:style w:type="paragraph" w:styleId="4">
    <w:name w:val="heading 3"/>
    <w:basedOn w:val="1"/>
    <w:next w:val="1"/>
    <w:link w:val="22"/>
    <w:unhideWhenUsed/>
    <w:qFormat/>
    <w:uiPriority w:val="9"/>
    <w:pPr>
      <w:keepNext/>
      <w:keepLines/>
      <w:widowControl/>
      <w:spacing w:before="260" w:after="260" w:line="416" w:lineRule="atLeast"/>
      <w:jc w:val="left"/>
      <w:outlineLvl w:val="2"/>
    </w:pPr>
    <w:rPr>
      <w:rFonts w:eastAsia="方正仿宋_GBK" w:asciiTheme="minorHAnsi" w:hAnsiTheme="minorHAnsi" w:cstheme="minorBidi"/>
      <w:b/>
      <w:bCs/>
      <w:sz w:val="32"/>
      <w:szCs w:val="32"/>
    </w:rPr>
  </w:style>
  <w:style w:type="paragraph" w:styleId="5">
    <w:name w:val="heading 4"/>
    <w:basedOn w:val="1"/>
    <w:next w:val="1"/>
    <w:link w:val="23"/>
    <w:unhideWhenUsed/>
    <w:qFormat/>
    <w:uiPriority w:val="9"/>
    <w:pPr>
      <w:keepNext/>
      <w:keepLines/>
      <w:widowControl/>
      <w:spacing w:before="280" w:after="290" w:line="376" w:lineRule="atLeast"/>
      <w:jc w:val="left"/>
      <w:outlineLvl w:val="3"/>
    </w:pPr>
    <w:rPr>
      <w:rFonts w:asciiTheme="majorHAnsi" w:hAnsiTheme="majorHAnsi" w:eastAsiaTheme="majorEastAsia" w:cstheme="majorBidi"/>
      <w:b/>
      <w:bCs/>
      <w:sz w:val="28"/>
      <w:szCs w:val="28"/>
    </w:rPr>
  </w:style>
  <w:style w:type="paragraph" w:styleId="6">
    <w:name w:val="heading 5"/>
    <w:basedOn w:val="1"/>
    <w:next w:val="1"/>
    <w:link w:val="24"/>
    <w:unhideWhenUsed/>
    <w:qFormat/>
    <w:uiPriority w:val="9"/>
    <w:pPr>
      <w:keepNext/>
      <w:keepLines/>
      <w:widowControl/>
      <w:spacing w:before="280" w:after="290" w:line="376" w:lineRule="atLeast"/>
      <w:jc w:val="left"/>
      <w:outlineLvl w:val="4"/>
    </w:pPr>
    <w:rPr>
      <w:rFonts w:eastAsia="方正仿宋_GBK" w:asciiTheme="minorHAnsi" w:hAnsiTheme="minorHAnsi" w:cstheme="minorBidi"/>
      <w:b/>
      <w:bCs/>
      <w:sz w:val="28"/>
      <w:szCs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31"/>
    <w:qFormat/>
    <w:uiPriority w:val="0"/>
    <w:pPr>
      <w:jc w:val="left"/>
    </w:pPr>
    <w:rPr>
      <w:rFonts w:ascii="Calibri" w:hAnsi="Calibri"/>
      <w:szCs w:val="24"/>
    </w:rPr>
  </w:style>
  <w:style w:type="paragraph" w:styleId="8">
    <w:name w:val="Body Text Indent"/>
    <w:basedOn w:val="1"/>
    <w:link w:val="18"/>
    <w:semiHidden/>
    <w:unhideWhenUsed/>
    <w:qFormat/>
    <w:uiPriority w:val="99"/>
    <w:pPr>
      <w:widowControl/>
      <w:spacing w:after="120" w:line="570" w:lineRule="exact"/>
      <w:ind w:left="420" w:leftChars="200"/>
      <w:jc w:val="left"/>
    </w:pPr>
    <w:rPr>
      <w:rFonts w:eastAsia="方正仿宋_GBK" w:asciiTheme="minorHAnsi" w:hAnsiTheme="minorHAnsi" w:cstheme="minorBidi"/>
      <w:sz w:val="32"/>
      <w:szCs w:val="32"/>
    </w:rPr>
  </w:style>
  <w:style w:type="paragraph" w:styleId="9">
    <w:name w:val="Balloon Text"/>
    <w:basedOn w:val="1"/>
    <w:link w:val="32"/>
    <w:semiHidden/>
    <w:unhideWhenUsed/>
    <w:qFormat/>
    <w:uiPriority w:val="99"/>
    <w:rPr>
      <w:sz w:val="18"/>
      <w:szCs w:val="18"/>
    </w:rPr>
  </w:style>
  <w:style w:type="paragraph" w:styleId="10">
    <w:name w:val="footer"/>
    <w:basedOn w:val="1"/>
    <w:link w:val="28"/>
    <w:unhideWhenUsed/>
    <w:qFormat/>
    <w:uiPriority w:val="99"/>
    <w:pPr>
      <w:tabs>
        <w:tab w:val="center" w:pos="4153"/>
        <w:tab w:val="right" w:pos="8306"/>
      </w:tabs>
      <w:snapToGrid w:val="0"/>
      <w:jc w:val="left"/>
    </w:pPr>
    <w:rPr>
      <w:sz w:val="18"/>
      <w:szCs w:val="18"/>
    </w:rPr>
  </w:style>
  <w:style w:type="paragraph" w:styleId="11">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13">
    <w:name w:val="Title"/>
    <w:basedOn w:val="1"/>
    <w:next w:val="1"/>
    <w:link w:val="25"/>
    <w:qFormat/>
    <w:uiPriority w:val="10"/>
    <w:pPr>
      <w:widowControl/>
      <w:spacing w:before="240" w:after="60" w:line="570" w:lineRule="exact"/>
      <w:jc w:val="center"/>
      <w:outlineLvl w:val="0"/>
    </w:pPr>
    <w:rPr>
      <w:rFonts w:asciiTheme="majorHAnsi" w:hAnsiTheme="majorHAnsi" w:cstheme="majorBidi"/>
      <w:b/>
      <w:bCs/>
      <w:sz w:val="32"/>
      <w:szCs w:val="32"/>
    </w:rPr>
  </w:style>
  <w:style w:type="paragraph" w:styleId="14">
    <w:name w:val="Body Text First Indent 2"/>
    <w:basedOn w:val="8"/>
    <w:link w:val="19"/>
    <w:semiHidden/>
    <w:unhideWhenUsed/>
    <w:qFormat/>
    <w:uiPriority w:val="99"/>
    <w:pPr>
      <w:ind w:firstLine="420" w:firstLineChars="200"/>
    </w:pPr>
  </w:style>
  <w:style w:type="character" w:styleId="17">
    <w:name w:val="Hyperlink"/>
    <w:basedOn w:val="16"/>
    <w:semiHidden/>
    <w:unhideWhenUsed/>
    <w:qFormat/>
    <w:uiPriority w:val="99"/>
    <w:rPr>
      <w:color w:val="0000FF"/>
      <w:u w:val="single"/>
    </w:rPr>
  </w:style>
  <w:style w:type="character" w:customStyle="1" w:styleId="18">
    <w:name w:val="正文文本缩进 Char"/>
    <w:basedOn w:val="16"/>
    <w:link w:val="8"/>
    <w:semiHidden/>
    <w:qFormat/>
    <w:uiPriority w:val="99"/>
  </w:style>
  <w:style w:type="character" w:customStyle="1" w:styleId="19">
    <w:name w:val="正文首行缩进 2 Char"/>
    <w:basedOn w:val="18"/>
    <w:link w:val="14"/>
    <w:semiHidden/>
    <w:qFormat/>
    <w:uiPriority w:val="99"/>
  </w:style>
  <w:style w:type="character" w:customStyle="1" w:styleId="20">
    <w:name w:val="标题 1 Char"/>
    <w:basedOn w:val="16"/>
    <w:link w:val="2"/>
    <w:qFormat/>
    <w:uiPriority w:val="9"/>
    <w:rPr>
      <w:bCs/>
      <w:kern w:val="44"/>
      <w:szCs w:val="44"/>
    </w:rPr>
  </w:style>
  <w:style w:type="character" w:customStyle="1" w:styleId="21">
    <w:name w:val="标题 2 Char"/>
    <w:basedOn w:val="16"/>
    <w:link w:val="3"/>
    <w:qFormat/>
    <w:uiPriority w:val="9"/>
    <w:rPr>
      <w:rFonts w:asciiTheme="majorHAnsi" w:hAnsiTheme="majorHAnsi" w:eastAsiaTheme="majorEastAsia" w:cstheme="majorBidi"/>
      <w:b/>
      <w:bCs/>
    </w:rPr>
  </w:style>
  <w:style w:type="character" w:customStyle="1" w:styleId="22">
    <w:name w:val="标题 3 Char"/>
    <w:basedOn w:val="16"/>
    <w:link w:val="4"/>
    <w:qFormat/>
    <w:uiPriority w:val="9"/>
    <w:rPr>
      <w:b/>
      <w:bCs/>
    </w:rPr>
  </w:style>
  <w:style w:type="character" w:customStyle="1" w:styleId="23">
    <w:name w:val="标题 4 Char"/>
    <w:basedOn w:val="16"/>
    <w:link w:val="5"/>
    <w:qFormat/>
    <w:uiPriority w:val="9"/>
    <w:rPr>
      <w:rFonts w:asciiTheme="majorHAnsi" w:hAnsiTheme="majorHAnsi" w:eastAsiaTheme="majorEastAsia" w:cstheme="majorBidi"/>
      <w:b/>
      <w:bCs/>
      <w:sz w:val="28"/>
      <w:szCs w:val="28"/>
    </w:rPr>
  </w:style>
  <w:style w:type="character" w:customStyle="1" w:styleId="24">
    <w:name w:val="标题 5 Char"/>
    <w:basedOn w:val="16"/>
    <w:link w:val="6"/>
    <w:qFormat/>
    <w:uiPriority w:val="9"/>
    <w:rPr>
      <w:b/>
      <w:bCs/>
      <w:sz w:val="28"/>
      <w:szCs w:val="28"/>
    </w:rPr>
  </w:style>
  <w:style w:type="character" w:customStyle="1" w:styleId="25">
    <w:name w:val="标题 Char"/>
    <w:basedOn w:val="16"/>
    <w:link w:val="13"/>
    <w:qFormat/>
    <w:uiPriority w:val="10"/>
    <w:rPr>
      <w:rFonts w:eastAsia="宋体" w:asciiTheme="majorHAnsi" w:hAnsiTheme="majorHAnsi" w:cstheme="majorBidi"/>
      <w:b/>
      <w:bCs/>
    </w:rPr>
  </w:style>
  <w:style w:type="paragraph" w:styleId="26">
    <w:name w:val="No Spacing"/>
    <w:qFormat/>
    <w:uiPriority w:val="1"/>
    <w:rPr>
      <w:rFonts w:eastAsia="方正仿宋_GBK" w:asciiTheme="minorHAnsi" w:hAnsiTheme="minorHAnsi" w:cstheme="minorBidi"/>
      <w:kern w:val="2"/>
      <w:sz w:val="32"/>
      <w:szCs w:val="32"/>
      <w:lang w:val="en-US" w:eastAsia="zh-CN" w:bidi="ar-SA"/>
    </w:rPr>
  </w:style>
  <w:style w:type="character" w:customStyle="1" w:styleId="27">
    <w:name w:val="页眉 Char"/>
    <w:basedOn w:val="16"/>
    <w:link w:val="11"/>
    <w:qFormat/>
    <w:uiPriority w:val="99"/>
    <w:rPr>
      <w:rFonts w:ascii="Times New Roman" w:hAnsi="Times New Roman" w:eastAsia="宋体" w:cs="Times New Roman"/>
      <w:sz w:val="18"/>
      <w:szCs w:val="18"/>
    </w:rPr>
  </w:style>
  <w:style w:type="character" w:customStyle="1" w:styleId="28">
    <w:name w:val="页脚 Char"/>
    <w:basedOn w:val="16"/>
    <w:link w:val="10"/>
    <w:qFormat/>
    <w:uiPriority w:val="99"/>
    <w:rPr>
      <w:rFonts w:ascii="Times New Roman" w:hAnsi="Times New Roman" w:eastAsia="宋体" w:cs="Times New Roman"/>
      <w:sz w:val="18"/>
      <w:szCs w:val="18"/>
    </w:rPr>
  </w:style>
  <w:style w:type="character" w:customStyle="1" w:styleId="29">
    <w:name w:val="font01"/>
    <w:qFormat/>
    <w:uiPriority w:val="0"/>
    <w:rPr>
      <w:rFonts w:ascii="仿宋_GB2312" w:eastAsia="仿宋_GB2312" w:cs="仿宋_GB2312"/>
      <w:color w:val="000000"/>
      <w:sz w:val="20"/>
      <w:szCs w:val="20"/>
      <w:u w:val="none"/>
    </w:rPr>
  </w:style>
  <w:style w:type="paragraph" w:customStyle="1" w:styleId="30">
    <w:name w:val="Default"/>
    <w:qFormat/>
    <w:uiPriority w:val="0"/>
    <w:pPr>
      <w:widowControl w:val="0"/>
      <w:autoSpaceDE w:val="0"/>
      <w:autoSpaceDN w:val="0"/>
      <w:adjustRightInd w:val="0"/>
    </w:pPr>
    <w:rPr>
      <w:rFonts w:hint="eastAsia" w:ascii="方正仿宋_GBK" w:hAnsi="方正仿宋_GBK" w:eastAsia="方正仿宋_GBK" w:cs="Times New Roman"/>
      <w:color w:val="000000"/>
      <w:sz w:val="24"/>
      <w:szCs w:val="22"/>
      <w:lang w:val="en-US" w:eastAsia="zh-CN" w:bidi="ar-SA"/>
    </w:rPr>
  </w:style>
  <w:style w:type="character" w:customStyle="1" w:styleId="31">
    <w:name w:val="批注文字 Char"/>
    <w:basedOn w:val="16"/>
    <w:link w:val="7"/>
    <w:qFormat/>
    <w:uiPriority w:val="0"/>
    <w:rPr>
      <w:rFonts w:ascii="Calibri" w:hAnsi="Calibri" w:eastAsia="宋体" w:cs="Times New Roman"/>
      <w:sz w:val="21"/>
      <w:szCs w:val="24"/>
    </w:rPr>
  </w:style>
  <w:style w:type="character" w:customStyle="1" w:styleId="32">
    <w:name w:val="批注框文本 Char"/>
    <w:basedOn w:val="16"/>
    <w:link w:val="9"/>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2CE5B-413F-4A24-9C6C-1C5D16B1ED50}">
  <ds:schemaRefs/>
</ds:datastoreItem>
</file>

<file path=docProps/app.xml><?xml version="1.0" encoding="utf-8"?>
<Properties xmlns="http://schemas.openxmlformats.org/officeDocument/2006/extended-properties" xmlns:vt="http://schemas.openxmlformats.org/officeDocument/2006/docPropsVTypes">
  <Template>Normal</Template>
  <Pages>733</Pages>
  <Words>15601</Words>
  <Characters>16279</Characters>
  <Lines>3134</Lines>
  <Paragraphs>882</Paragraphs>
  <TotalTime>7</TotalTime>
  <ScaleCrop>false</ScaleCrop>
  <LinksUpToDate>false</LinksUpToDate>
  <CharactersWithSpaces>16847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2023-06-20T02:23:00Z</dcterms:created>
  <dc:creator>陈昱晗</dc:creator>
  <cp:lastModifiedBy>wdf</cp:lastModifiedBy>
  <cp:lastPrinted>2026-08-20T01:27:00Z</cp:lastPrinted>
  <dcterms:modified xsi:type="dcterms:W3CDTF">2026-09-15T01:44:28Z</dcterms:modified>
  <cp:revision>167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C1EF1D64FA174EF5AAE81BF53882140E_13</vt:lpwstr>
  </property>
  <property fmtid="{D5CDD505-2E9C-101B-9397-08002B2CF9AE}" pid="4" name="KSOTemplateDocerSaveRecord">
    <vt:lpwstr>eyJoZGlkIjoiM2EzNjQ3NTQxNmM2MWZkN2Q0MTA2ZDEzZjE2M2ViZjgiLCJ1c2VySWQiOiI0NDA0NTMyMjYifQ==</vt:lpwstr>
  </property>
</Properties>
</file>